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footer3.xml" ContentType="application/vnd.openxmlformats-officedocument.wordprocessingml.footer+xml"/>
  <Override PartName="/word/header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35.xml" ContentType="application/vnd.openxmlformats-officedocument.drawingml.chart+xml"/>
  <Override PartName="/word/charts/chart36.xml" ContentType="application/vnd.openxmlformats-officedocument.drawingml.chart+xml"/>
  <Override PartName="/word/header8.xml" ContentType="application/vnd.openxmlformats-officedocument.wordprocessingml.header+xml"/>
  <Override PartName="/word/footer10.xml" ContentType="application/vnd.openxmlformats-officedocument.wordprocessingml.footer+xml"/>
  <Override PartName="/word/charts/chart37.xml" ContentType="application/vnd.openxmlformats-officedocument.drawingml.chart+xml"/>
  <Override PartName="/word/charts/chart38.xml" ContentType="application/vnd.openxmlformats-officedocument.drawingml.chart+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1567E0" w14:textId="3459C0D1" w:rsidR="00E87FE1" w:rsidRPr="00182051" w:rsidRDefault="00A27DD4" w:rsidP="00182051">
      <w:pPr>
        <w:pStyle w:val="Heading1"/>
        <w:pBdr>
          <w:bottom w:val="none" w:sz="0" w:space="0" w:color="auto"/>
        </w:pBdr>
        <w:rPr>
          <w:color w:val="365F91" w:themeColor="accent1" w:themeShade="BF"/>
          <w:szCs w:val="48"/>
        </w:rPr>
      </w:pPr>
      <w:r>
        <w:rPr>
          <w:color w:val="365F91" w:themeColor="accent1" w:themeShade="BF"/>
          <w:szCs w:val="48"/>
        </w:rPr>
        <w:t xml:space="preserve">Child Abuse and Neglect: </w:t>
      </w:r>
      <w:r w:rsidR="00E87FE1" w:rsidRPr="00E318BE">
        <w:t>A Socio-legal Study of Mandatory Reporting</w:t>
      </w:r>
      <w:r w:rsidR="00182051">
        <w:t xml:space="preserve"> </w:t>
      </w:r>
      <w:r w:rsidR="00E87FE1" w:rsidRPr="00E318BE">
        <w:t>in Australia</w:t>
      </w:r>
    </w:p>
    <w:p w14:paraId="29532C36" w14:textId="2D4EC956" w:rsidR="00D14840" w:rsidRPr="00A27DD4" w:rsidRDefault="00E87FE1" w:rsidP="00A1687D">
      <w:pPr>
        <w:pStyle w:val="Subtitle"/>
        <w:pBdr>
          <w:bottom w:val="single" w:sz="8" w:space="5" w:color="365F91"/>
        </w:pBdr>
        <w:spacing w:before="240" w:after="360"/>
        <w:rPr>
          <w:sz w:val="48"/>
          <w:szCs w:val="48"/>
        </w:rPr>
      </w:pPr>
      <w:r w:rsidRPr="00440252">
        <w:t>Report for the Victoria Department of Human Services</w:t>
      </w:r>
    </w:p>
    <w:p w14:paraId="2C57CDAA" w14:textId="3A47B4C2" w:rsidR="005908F6" w:rsidRPr="00A27DD4" w:rsidRDefault="005908F6" w:rsidP="00A1687D">
      <w:pPr>
        <w:spacing w:before="360" w:line="276" w:lineRule="auto"/>
        <w:rPr>
          <w:b/>
          <w:sz w:val="24"/>
        </w:rPr>
      </w:pPr>
      <w:r w:rsidRPr="00A226E0">
        <w:rPr>
          <w:b/>
          <w:sz w:val="24"/>
        </w:rPr>
        <w:t>Associate Professor Ben Mathews</w:t>
      </w:r>
      <w:r w:rsidR="00A27DD4">
        <w:rPr>
          <w:b/>
          <w:sz w:val="24"/>
        </w:rPr>
        <w:br/>
      </w:r>
      <w:r w:rsidRPr="00D17253">
        <w:rPr>
          <w:rFonts w:ascii="Calibri" w:eastAsiaTheme="minorEastAsia" w:hAnsi="Calibri"/>
          <w:noProof/>
          <w:sz w:val="24"/>
          <w:szCs w:val="24"/>
          <w:lang w:eastAsia="en-AU"/>
        </w:rPr>
        <w:t>Australian Centre for Health Law Research (Co-Director, Children’s Health Program)</w:t>
      </w:r>
      <w:r w:rsidR="00A27DD4">
        <w:rPr>
          <w:b/>
          <w:sz w:val="24"/>
        </w:rPr>
        <w:br/>
      </w:r>
      <w:r w:rsidRPr="00D17253">
        <w:rPr>
          <w:rFonts w:ascii="Calibri" w:eastAsiaTheme="minorEastAsia" w:hAnsi="Calibri"/>
          <w:noProof/>
          <w:sz w:val="24"/>
          <w:szCs w:val="24"/>
          <w:lang w:eastAsia="en-AU"/>
        </w:rPr>
        <w:t>Faculty of Law, Queensland University of Technology</w:t>
      </w:r>
    </w:p>
    <w:p w14:paraId="7E869AD3" w14:textId="5AB4B8D5" w:rsidR="005908F6" w:rsidRPr="00A27DD4" w:rsidRDefault="005908F6" w:rsidP="00A83E44">
      <w:pPr>
        <w:spacing w:before="240" w:after="240" w:line="276" w:lineRule="auto"/>
        <w:rPr>
          <w:b/>
          <w:sz w:val="24"/>
          <w:szCs w:val="24"/>
        </w:rPr>
      </w:pPr>
      <w:r w:rsidRPr="00A226E0">
        <w:rPr>
          <w:rStyle w:val="apple-style-span"/>
          <w:rFonts w:eastAsia="Times New Roman"/>
          <w:b/>
          <w:sz w:val="24"/>
          <w:szCs w:val="24"/>
        </w:rPr>
        <w:t>A</w:t>
      </w:r>
      <w:r w:rsidRPr="00A226E0">
        <w:rPr>
          <w:b/>
          <w:sz w:val="24"/>
          <w:szCs w:val="24"/>
        </w:rPr>
        <w:t xml:space="preserve">ssociate Professor Leah Bromfield </w:t>
      </w:r>
      <w:r w:rsidR="00A27DD4">
        <w:rPr>
          <w:b/>
          <w:sz w:val="24"/>
          <w:szCs w:val="24"/>
        </w:rPr>
        <w:br/>
      </w:r>
      <w:r w:rsidR="00B349CA" w:rsidRPr="00D17253">
        <w:rPr>
          <w:rStyle w:val="apple-style-span"/>
          <w:rFonts w:ascii="Calibri" w:eastAsia="Times New Roman" w:hAnsi="Calibri"/>
          <w:sz w:val="24"/>
          <w:szCs w:val="24"/>
        </w:rPr>
        <w:t xml:space="preserve">Deputy Director, </w:t>
      </w:r>
      <w:r w:rsidRPr="00D17253">
        <w:rPr>
          <w:rStyle w:val="apple-style-span"/>
          <w:rFonts w:ascii="Calibri" w:eastAsia="Times New Roman" w:hAnsi="Calibri"/>
          <w:sz w:val="24"/>
          <w:szCs w:val="24"/>
        </w:rPr>
        <w:t>Australian Centre for Child Protection</w:t>
      </w:r>
      <w:r w:rsidR="00A27DD4">
        <w:rPr>
          <w:b/>
          <w:sz w:val="24"/>
          <w:szCs w:val="24"/>
        </w:rPr>
        <w:br/>
      </w:r>
      <w:r w:rsidRPr="00D17253">
        <w:rPr>
          <w:rStyle w:val="apple-style-span"/>
          <w:rFonts w:ascii="Calibri" w:eastAsia="Times New Roman" w:hAnsi="Calibri"/>
          <w:sz w:val="24"/>
          <w:szCs w:val="24"/>
        </w:rPr>
        <w:t>Hawke Research Institute</w:t>
      </w:r>
      <w:r w:rsidR="00B349CA" w:rsidRPr="00D17253">
        <w:rPr>
          <w:rStyle w:val="apple-style-span"/>
          <w:rFonts w:ascii="Calibri" w:eastAsia="Times New Roman" w:hAnsi="Calibri"/>
          <w:sz w:val="24"/>
          <w:szCs w:val="24"/>
        </w:rPr>
        <w:t>, University of South Australia</w:t>
      </w:r>
    </w:p>
    <w:p w14:paraId="50BA6B1A" w14:textId="27DFEBAB" w:rsidR="005908F6" w:rsidRPr="00A27DD4" w:rsidRDefault="005908F6" w:rsidP="00A83E44">
      <w:pPr>
        <w:spacing w:before="360" w:after="360" w:line="276" w:lineRule="auto"/>
        <w:rPr>
          <w:b/>
          <w:noProof/>
          <w:sz w:val="24"/>
          <w:lang w:eastAsia="en-AU"/>
        </w:rPr>
      </w:pPr>
      <w:r w:rsidRPr="00A226E0">
        <w:rPr>
          <w:b/>
          <w:noProof/>
          <w:sz w:val="24"/>
          <w:lang w:eastAsia="en-AU"/>
        </w:rPr>
        <w:t>Associate Professor Kerryann Walsh</w:t>
      </w:r>
      <w:r w:rsidR="00A27DD4">
        <w:rPr>
          <w:b/>
          <w:noProof/>
          <w:sz w:val="24"/>
          <w:lang w:eastAsia="en-AU"/>
        </w:rPr>
        <w:br/>
      </w:r>
      <w:r w:rsidRPr="00D17253">
        <w:rPr>
          <w:rFonts w:ascii="Calibri" w:eastAsiaTheme="minorEastAsia" w:hAnsi="Calibri"/>
          <w:noProof/>
          <w:sz w:val="24"/>
          <w:szCs w:val="24"/>
          <w:lang w:eastAsia="en-AU"/>
        </w:rPr>
        <w:t>Children and Youth Research Centre (Co-Director, Children’s Rights and Wellbeing Program)</w:t>
      </w:r>
      <w:r w:rsidR="00A27DD4">
        <w:rPr>
          <w:b/>
          <w:noProof/>
          <w:sz w:val="24"/>
          <w:lang w:eastAsia="en-AU"/>
        </w:rPr>
        <w:br/>
      </w:r>
      <w:r w:rsidRPr="00D17253">
        <w:rPr>
          <w:rFonts w:ascii="Calibri" w:eastAsiaTheme="minorEastAsia" w:hAnsi="Calibri"/>
          <w:noProof/>
          <w:sz w:val="24"/>
          <w:szCs w:val="24"/>
          <w:lang w:eastAsia="en-AU"/>
        </w:rPr>
        <w:t>Faculty of Education, Queensland University of Technology</w:t>
      </w:r>
    </w:p>
    <w:p w14:paraId="0FDA1638" w14:textId="2FEEEAAB" w:rsidR="005908F6" w:rsidRPr="00A27DD4" w:rsidRDefault="005908F6" w:rsidP="00A83E44">
      <w:pPr>
        <w:spacing w:line="276" w:lineRule="auto"/>
        <w:rPr>
          <w:b/>
          <w:sz w:val="24"/>
        </w:rPr>
      </w:pPr>
      <w:r w:rsidRPr="00A226E0">
        <w:rPr>
          <w:b/>
          <w:sz w:val="24"/>
        </w:rPr>
        <w:t xml:space="preserve">Professor Graham </w:t>
      </w:r>
      <w:proofErr w:type="spellStart"/>
      <w:r w:rsidRPr="00A226E0">
        <w:rPr>
          <w:b/>
          <w:sz w:val="24"/>
        </w:rPr>
        <w:t>Vimpani</w:t>
      </w:r>
      <w:proofErr w:type="spellEnd"/>
      <w:r w:rsidR="00A27DD4">
        <w:rPr>
          <w:b/>
          <w:sz w:val="24"/>
        </w:rPr>
        <w:br/>
      </w:r>
      <w:r w:rsidRPr="00D17253">
        <w:rPr>
          <w:rFonts w:ascii="Calibri" w:hAnsi="Calibri"/>
          <w:sz w:val="24"/>
          <w:szCs w:val="24"/>
        </w:rPr>
        <w:t>School of Medicine and Public Health</w:t>
      </w:r>
      <w:r w:rsidR="00A27DD4">
        <w:rPr>
          <w:b/>
          <w:sz w:val="24"/>
        </w:rPr>
        <w:br/>
      </w:r>
      <w:r w:rsidRPr="00D17253">
        <w:rPr>
          <w:rFonts w:ascii="Calibri" w:hAnsi="Calibri"/>
          <w:sz w:val="24"/>
          <w:szCs w:val="24"/>
        </w:rPr>
        <w:t>University of Newcastle</w:t>
      </w:r>
    </w:p>
    <w:p w14:paraId="0761AE47" w14:textId="225D2EF0" w:rsidR="00D14840" w:rsidRPr="00A27DD4" w:rsidRDefault="00971C16" w:rsidP="00D14840">
      <w:pPr>
        <w:rPr>
          <w:sz w:val="24"/>
          <w:szCs w:val="24"/>
        </w:rPr>
      </w:pPr>
      <w:r>
        <w:rPr>
          <w:sz w:val="24"/>
          <w:szCs w:val="24"/>
        </w:rPr>
        <w:br/>
      </w:r>
      <w:r w:rsidR="00201A0C">
        <w:rPr>
          <w:sz w:val="24"/>
          <w:szCs w:val="24"/>
        </w:rPr>
        <w:t>April 2015</w:t>
      </w:r>
    </w:p>
    <w:p w14:paraId="25204C82" w14:textId="1FA38C40" w:rsidR="008A4ABC" w:rsidRPr="00DA2755" w:rsidRDefault="00D14840" w:rsidP="00DA2755">
      <w:pPr>
        <w:rPr>
          <w:sz w:val="20"/>
        </w:rPr>
      </w:pPr>
      <w:r w:rsidRPr="00910835">
        <w:rPr>
          <w:noProof/>
          <w:sz w:val="20"/>
          <w:lang w:eastAsia="en-AU"/>
        </w:rPr>
        <w:drawing>
          <wp:inline distT="0" distB="0" distL="0" distR="0" wp14:anchorId="6DF021BF" wp14:editId="3BC6F30C">
            <wp:extent cx="2247900" cy="597307"/>
            <wp:effectExtent l="0" t="0" r="0" b="0"/>
            <wp:docPr id="60" name="Picture 1" descr="Australian Centre for Health law Research"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extLst>
                        <a:ext uri="{28A0092B-C50C-407E-A947-70E740481C1C}">
                          <a14:useLocalDpi xmlns:a14="http://schemas.microsoft.com/office/drawing/2010/main" val="0"/>
                        </a:ext>
                      </a:extLst>
                    </a:blip>
                    <a:srcRect l="1" r="41197"/>
                    <a:stretch/>
                  </pic:blipFill>
                  <pic:spPr>
                    <a:xfrm>
                      <a:off x="0" y="0"/>
                      <a:ext cx="2294684" cy="609738"/>
                    </a:xfrm>
                    <a:prstGeom prst="rect">
                      <a:avLst/>
                    </a:prstGeom>
                  </pic:spPr>
                </pic:pic>
              </a:graphicData>
            </a:graphic>
          </wp:inline>
        </w:drawing>
      </w:r>
      <w:r w:rsidRPr="00910835">
        <w:rPr>
          <w:noProof/>
          <w:sz w:val="20"/>
          <w:lang w:eastAsia="en-AU"/>
        </w:rPr>
        <w:drawing>
          <wp:inline distT="0" distB="0" distL="0" distR="0" wp14:anchorId="5F2DA553" wp14:editId="36F1CE5E">
            <wp:extent cx="1961827" cy="638175"/>
            <wp:effectExtent l="0" t="0" r="635" b="0"/>
            <wp:docPr id="61" name="Picture 6" descr="Australian Centre for Child Protection" title="University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10956" r="55229"/>
                    <a:stretch/>
                  </pic:blipFill>
                  <pic:spPr>
                    <a:xfrm>
                      <a:off x="0" y="0"/>
                      <a:ext cx="1976331" cy="642893"/>
                    </a:xfrm>
                    <a:prstGeom prst="rect">
                      <a:avLst/>
                    </a:prstGeom>
                  </pic:spPr>
                </pic:pic>
              </a:graphicData>
            </a:graphic>
          </wp:inline>
        </w:drawing>
      </w:r>
      <w:r w:rsidRPr="00910835">
        <w:rPr>
          <w:noProof/>
          <w:sz w:val="20"/>
          <w:lang w:eastAsia="en-AU"/>
        </w:rPr>
        <w:drawing>
          <wp:inline distT="0" distB="0" distL="0" distR="0" wp14:anchorId="413861E5" wp14:editId="4DB134BB">
            <wp:extent cx="1419225" cy="638141"/>
            <wp:effectExtent l="0" t="0" r="0" b="0"/>
            <wp:docPr id="71" name="Picture 7" descr="Children and Youth Research Centre"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20804" cy="638851"/>
                    </a:xfrm>
                    <a:prstGeom prst="rect">
                      <a:avLst/>
                    </a:prstGeom>
                  </pic:spPr>
                </pic:pic>
              </a:graphicData>
            </a:graphic>
          </wp:inline>
        </w:drawing>
      </w:r>
      <w:r w:rsidR="00DA2755">
        <w:rPr>
          <w:sz w:val="24"/>
          <w:szCs w:val="24"/>
        </w:rPr>
        <w:br/>
      </w:r>
      <w:r w:rsidR="008A4ABC">
        <w:rPr>
          <w:sz w:val="24"/>
          <w:szCs w:val="24"/>
        </w:rPr>
        <w:br w:type="page"/>
      </w:r>
    </w:p>
    <w:p w14:paraId="02F0307F" w14:textId="61917AC9" w:rsidR="005F2247" w:rsidRPr="009F5740" w:rsidRDefault="005F2247" w:rsidP="00D7144F">
      <w:pPr>
        <w:pStyle w:val="IntroductionHeader"/>
      </w:pPr>
      <w:r w:rsidRPr="009F5740">
        <w:lastRenderedPageBreak/>
        <w:t>Acknowledgments</w:t>
      </w:r>
    </w:p>
    <w:p w14:paraId="712D45C4" w14:textId="7246E1DF" w:rsidR="00FF2D54" w:rsidRPr="00D7144F" w:rsidRDefault="005F2247" w:rsidP="00D7144F">
      <w:pPr>
        <w:jc w:val="both"/>
        <w:rPr>
          <w:rFonts w:ascii="Calibri" w:eastAsia="Calibri" w:hAnsi="Calibri" w:cs="Times New Roman"/>
        </w:rPr>
      </w:pPr>
      <w:r w:rsidRPr="00D7144F">
        <w:rPr>
          <w:rFonts w:ascii="Calibri" w:eastAsia="Calibri" w:hAnsi="Calibri" w:cs="Times New Roman"/>
        </w:rPr>
        <w:t xml:space="preserve">The authors express their sincere appreciation to the Commonwealth Department of Social Services for sponsoring this national research project, and to the Victorian Department of Human </w:t>
      </w:r>
      <w:proofErr w:type="gramStart"/>
      <w:r w:rsidRPr="00D7144F">
        <w:rPr>
          <w:rFonts w:ascii="Calibri" w:eastAsia="Calibri" w:hAnsi="Calibri" w:cs="Times New Roman"/>
        </w:rPr>
        <w:t>Services which</w:t>
      </w:r>
      <w:proofErr w:type="gramEnd"/>
      <w:r w:rsidRPr="00D7144F">
        <w:rPr>
          <w:rFonts w:ascii="Calibri" w:eastAsia="Calibri" w:hAnsi="Calibri" w:cs="Times New Roman"/>
        </w:rPr>
        <w:t xml:space="preserve"> had administrative carriage of the project.  In particular, we thank Beth Allen (Assistant Director, Child Protection, Statutory and Forensic Services), and Graham Brewster (Statutory and Forensic Services - Child Protection), both from the Victorian Department of Human Services. Their ongoing project monitoring for quality assurance through correspondence, teleconferences and in personal meetings has been invaluable</w:t>
      </w:r>
      <w:r w:rsidR="00FF2D54" w:rsidRPr="00D7144F">
        <w:rPr>
          <w:rFonts w:ascii="Calibri" w:eastAsia="Calibri" w:hAnsi="Calibri" w:cs="Times New Roman"/>
        </w:rPr>
        <w:t>.</w:t>
      </w:r>
    </w:p>
    <w:p w14:paraId="4628A75D" w14:textId="24542C73" w:rsidR="005F2247" w:rsidRPr="00A27DD4" w:rsidRDefault="00AE134C" w:rsidP="00D7144F">
      <w:pPr>
        <w:jc w:val="both"/>
      </w:pPr>
      <w:r w:rsidRPr="00D7144F">
        <w:t xml:space="preserve">The authors also express deep gratitude to </w:t>
      </w:r>
      <w:proofErr w:type="gramStart"/>
      <w:r w:rsidRPr="00D7144F">
        <w:t>child welfare agency staff</w:t>
      </w:r>
      <w:proofErr w:type="gramEnd"/>
      <w:r w:rsidRPr="00D7144F">
        <w:t xml:space="preserve"> from every State and Territory for extracting and providing the data used in Stage 2 of this project. The authors also thank agency staff from State and Territory child welfare departments for their time and expertise in providing feedback in a </w:t>
      </w:r>
      <w:proofErr w:type="gramStart"/>
      <w:r w:rsidRPr="00D7144F">
        <w:t>three stage</w:t>
      </w:r>
      <w:proofErr w:type="gramEnd"/>
      <w:r w:rsidRPr="00D7144F">
        <w:t xml:space="preserve"> process on drafts of sections of this report. Without this support and helpful commentary from government agency partners nationwide, this research project would not have been possible.</w:t>
      </w:r>
    </w:p>
    <w:p w14:paraId="216FFE57" w14:textId="47CAC6F9" w:rsidR="005F2247" w:rsidRPr="00D7144F" w:rsidRDefault="005F2247" w:rsidP="00D7144F">
      <w:pPr>
        <w:spacing w:after="240"/>
        <w:jc w:val="both"/>
        <w:rPr>
          <w:rFonts w:ascii="Calibri" w:eastAsia="Calibri" w:hAnsi="Calibri" w:cs="Times New Roman"/>
        </w:rPr>
      </w:pPr>
      <w:r w:rsidRPr="00D7144F">
        <w:rPr>
          <w:rFonts w:ascii="Calibri" w:eastAsia="Calibri" w:hAnsi="Calibri" w:cs="Times New Roman"/>
        </w:rPr>
        <w:t xml:space="preserve">The authors thank support staff for their administrative assistance on this research project. In particular, we express our gratitude to Dr Sandra Coe (Senior Research Assistant) for extensive assistance. We also thank Stephanie Jowett, Anne </w:t>
      </w:r>
      <w:proofErr w:type="spellStart"/>
      <w:r w:rsidRPr="00D7144F">
        <w:rPr>
          <w:rFonts w:ascii="Calibri" w:eastAsia="Calibri" w:hAnsi="Calibri" w:cs="Times New Roman"/>
        </w:rPr>
        <w:t>Overell</w:t>
      </w:r>
      <w:proofErr w:type="spellEnd"/>
      <w:r w:rsidRPr="00D7144F">
        <w:rPr>
          <w:rFonts w:ascii="Calibri" w:eastAsia="Calibri" w:hAnsi="Calibri" w:cs="Times New Roman"/>
        </w:rPr>
        <w:t xml:space="preserve"> and Ivan Ingram for their assistance in the closing stages of the project.  The authors thank their University research centres for intellectual and administrative support, and two international expert academic reviewers for their technical evaluation of the project methodology.</w:t>
      </w:r>
      <w:r w:rsidR="005B3749" w:rsidRPr="00D7144F">
        <w:rPr>
          <w:rFonts w:ascii="Calibri" w:eastAsia="Calibri" w:hAnsi="Calibri" w:cs="Times New Roman"/>
        </w:rPr>
        <w:t xml:space="preserve"> </w:t>
      </w:r>
    </w:p>
    <w:p w14:paraId="607D15BD" w14:textId="77777777" w:rsidR="005F2247" w:rsidRPr="009F5740" w:rsidRDefault="005F2247" w:rsidP="00D7144F">
      <w:pPr>
        <w:pStyle w:val="IntroductionHeader"/>
        <w:jc w:val="both"/>
      </w:pPr>
      <w:r w:rsidRPr="009F5740">
        <w:t>Disclaimer</w:t>
      </w:r>
    </w:p>
    <w:p w14:paraId="5B6A7823" w14:textId="4C3A0062" w:rsidR="005F2247" w:rsidRPr="00D7144F" w:rsidRDefault="005F2247" w:rsidP="00D7144F">
      <w:pPr>
        <w:jc w:val="both"/>
        <w:rPr>
          <w:rFonts w:ascii="Calibri" w:eastAsia="Calibri" w:hAnsi="Calibri" w:cs="Times New Roman"/>
        </w:rPr>
      </w:pPr>
      <w:r w:rsidRPr="00D7144F">
        <w:rPr>
          <w:rFonts w:ascii="Calibri" w:eastAsia="Calibri" w:hAnsi="Calibri" w:cs="Times New Roman"/>
        </w:rPr>
        <w:t>The views and findings expressed in this report are those of the authors and do not necessarily reflect those of the Commonwealth Government or of State and Territory child welfare departments.</w:t>
      </w:r>
    </w:p>
    <w:p w14:paraId="36E92B6B" w14:textId="682D89D0" w:rsidR="00AA507C" w:rsidRPr="00D7144F" w:rsidRDefault="005F2247" w:rsidP="00D7144F">
      <w:pPr>
        <w:jc w:val="both"/>
        <w:rPr>
          <w:rFonts w:ascii="Calibri" w:eastAsia="Calibri" w:hAnsi="Calibri" w:cs="Times New Roman"/>
        </w:rPr>
      </w:pPr>
      <w:r w:rsidRPr="00D7144F">
        <w:rPr>
          <w:rFonts w:ascii="Calibri" w:eastAsia="Calibri" w:hAnsi="Calibri" w:cs="Times New Roman"/>
        </w:rPr>
        <w:t>The law as state</w:t>
      </w:r>
      <w:r w:rsidR="007C3EBA" w:rsidRPr="00D7144F">
        <w:rPr>
          <w:rFonts w:ascii="Calibri" w:eastAsia="Calibri" w:hAnsi="Calibri" w:cs="Times New Roman"/>
        </w:rPr>
        <w:t>d is current to 31 December 2012</w:t>
      </w:r>
      <w:r w:rsidRPr="00D7144F">
        <w:rPr>
          <w:rFonts w:ascii="Calibri" w:eastAsia="Calibri" w:hAnsi="Calibri" w:cs="Times New Roman"/>
        </w:rPr>
        <w:t>.</w:t>
      </w:r>
    </w:p>
    <w:p w14:paraId="142F3E5D" w14:textId="5CCF6EFE" w:rsidR="00AA507C" w:rsidRPr="00D7144F" w:rsidRDefault="00AA507C" w:rsidP="00D7144F">
      <w:pPr>
        <w:jc w:val="both"/>
      </w:pPr>
      <w:r w:rsidRPr="00D7144F">
        <w:rPr>
          <w:b/>
        </w:rPr>
        <w:t>Important note</w:t>
      </w:r>
      <w:r w:rsidRPr="00D7144F">
        <w:t xml:space="preserve">: In 2014, the </w:t>
      </w:r>
      <w:r w:rsidRPr="00D7144F">
        <w:rPr>
          <w:rFonts w:cs="Helvetica"/>
          <w:i/>
        </w:rPr>
        <w:t>Child Protection Reform Amendment Act 2014</w:t>
      </w:r>
      <w:r w:rsidRPr="00D7144F">
        <w:rPr>
          <w:rFonts w:cs="Helvetica"/>
        </w:rPr>
        <w:t xml:space="preserve"> (Qld) </w:t>
      </w:r>
      <w:proofErr w:type="gramStart"/>
      <w:r w:rsidRPr="00D7144F">
        <w:rPr>
          <w:rFonts w:cs="Helvetica"/>
        </w:rPr>
        <w:t>was passed</w:t>
      </w:r>
      <w:proofErr w:type="gramEnd"/>
      <w:r w:rsidRPr="00D7144F">
        <w:rPr>
          <w:rFonts w:cs="Helvetica"/>
        </w:rPr>
        <w:t xml:space="preserve">,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 </w:t>
      </w:r>
      <w:r w:rsidRPr="00D7144F">
        <w:t xml:space="preserve">These pending changes in Queensland are the most significant legislative amendments made in any jurisdiction to mandatory reporting legislation in the period after the 2003-12 </w:t>
      </w:r>
      <w:proofErr w:type="gramStart"/>
      <w:r w:rsidRPr="00D7144F">
        <w:t>time period</w:t>
      </w:r>
      <w:proofErr w:type="gramEnd"/>
      <w:r w:rsidRPr="00D7144F">
        <w:t xml:space="preserve"> which defined the scope of this research project.</w:t>
      </w:r>
    </w:p>
    <w:p w14:paraId="0A32C0BA" w14:textId="360CE514" w:rsidR="005F2247" w:rsidRPr="00D7144F" w:rsidRDefault="009B310F" w:rsidP="00D7144F">
      <w:pPr>
        <w:jc w:val="both"/>
        <w:rPr>
          <w:rFonts w:ascii="Calibri" w:eastAsia="Calibri" w:hAnsi="Calibri" w:cs="Times New Roman"/>
        </w:rPr>
      </w:pPr>
      <w:proofErr w:type="gramStart"/>
      <w:r w:rsidRPr="00D7144F">
        <w:rPr>
          <w:rFonts w:ascii="Calibri" w:eastAsia="Calibri" w:hAnsi="Calibri" w:cs="Times New Roman"/>
          <w:b/>
          <w:lang w:val="en-US"/>
        </w:rPr>
        <w:lastRenderedPageBreak/>
        <w:t>Suggested citation</w:t>
      </w:r>
      <w:r w:rsidRPr="00D7144F">
        <w:rPr>
          <w:rFonts w:ascii="Calibri" w:eastAsia="Calibri" w:hAnsi="Calibri" w:cs="Times New Roman"/>
          <w:lang w:val="en-US"/>
        </w:rPr>
        <w:t xml:space="preserve">: </w:t>
      </w:r>
      <w:r w:rsidRPr="00D7144F">
        <w:rPr>
          <w:rFonts w:ascii="Calibri" w:eastAsia="Calibri" w:hAnsi="Calibri" w:cs="Times New Roman"/>
        </w:rPr>
        <w:t xml:space="preserve">Mathews, B., Bromfield, L., Walsh, K., &amp; </w:t>
      </w:r>
      <w:proofErr w:type="spellStart"/>
      <w:r w:rsidRPr="00D7144F">
        <w:rPr>
          <w:rFonts w:ascii="Calibri" w:eastAsia="Calibri" w:hAnsi="Calibri" w:cs="Times New Roman"/>
        </w:rPr>
        <w:t>Vimpani</w:t>
      </w:r>
      <w:proofErr w:type="spellEnd"/>
      <w:r w:rsidRPr="00D7144F">
        <w:rPr>
          <w:rFonts w:ascii="Calibri" w:eastAsia="Calibri" w:hAnsi="Calibri" w:cs="Times New Roman"/>
        </w:rPr>
        <w:t>, G. (2015).</w:t>
      </w:r>
      <w:proofErr w:type="gramEnd"/>
      <w:r w:rsidRPr="00D7144F">
        <w:rPr>
          <w:rFonts w:ascii="Calibri" w:eastAsia="Calibri" w:hAnsi="Calibri" w:cs="Times New Roman"/>
        </w:rPr>
        <w:t xml:space="preserve"> </w:t>
      </w:r>
      <w:proofErr w:type="gramStart"/>
      <w:r w:rsidRPr="00D7144F">
        <w:rPr>
          <w:rFonts w:ascii="Calibri" w:eastAsia="Calibri" w:hAnsi="Calibri" w:cs="Times New Roman"/>
          <w:bCs/>
          <w:i/>
        </w:rPr>
        <w:t>Child Abuse and Neglect: A Socio-legal Study of Mandatory Reporting in Australia - Report for the Victorian Government</w:t>
      </w:r>
      <w:r w:rsidRPr="00D7144F">
        <w:rPr>
          <w:rFonts w:ascii="Calibri" w:eastAsia="Calibri" w:hAnsi="Calibri" w:cs="Times New Roman"/>
        </w:rPr>
        <w:t>.</w:t>
      </w:r>
      <w:proofErr w:type="gramEnd"/>
      <w:r w:rsidRPr="00D7144F">
        <w:rPr>
          <w:rFonts w:ascii="Calibri" w:eastAsia="Calibri" w:hAnsi="Calibri" w:cs="Times New Roman"/>
        </w:rPr>
        <w:t> </w:t>
      </w:r>
      <w:proofErr w:type="gramStart"/>
      <w:r w:rsidRPr="00D7144F">
        <w:rPr>
          <w:rFonts w:ascii="Calibri" w:eastAsia="Calibri" w:hAnsi="Calibri" w:cs="Times New Roman"/>
          <w:bCs/>
        </w:rPr>
        <w:t xml:space="preserve">Brisbane: </w:t>
      </w:r>
      <w:r w:rsidRPr="00D7144F">
        <w:rPr>
          <w:rFonts w:ascii="Calibri" w:eastAsia="Calibri" w:hAnsi="Calibri" w:cs="Times New Roman"/>
        </w:rPr>
        <w:t>Queensland University of Technology.</w:t>
      </w:r>
      <w:proofErr w:type="gramEnd"/>
    </w:p>
    <w:p w14:paraId="37A14BC2" w14:textId="27BCF50D" w:rsidR="00DC7BFE" w:rsidRPr="00A27DD4" w:rsidRDefault="0087784A" w:rsidP="00D7144F">
      <w:pPr>
        <w:jc w:val="both"/>
        <w:rPr>
          <w:rFonts w:ascii="Calibri" w:hAnsi="Calibri"/>
        </w:rPr>
      </w:pPr>
      <w:r w:rsidRPr="00D7144F">
        <w:rPr>
          <w:rFonts w:ascii="Calibri" w:hAnsi="Calibri"/>
        </w:rPr>
        <w:t xml:space="preserve">Copyright © State of Victoria, Australia, 2015. </w:t>
      </w:r>
      <w:proofErr w:type="gramStart"/>
      <w:r w:rsidRPr="00D7144F">
        <w:rPr>
          <w:rFonts w:ascii="Calibri" w:hAnsi="Calibri"/>
        </w:rPr>
        <w:t>Reproduced with permission of the Secretary to the Department of Human Services.</w:t>
      </w:r>
      <w:proofErr w:type="gramEnd"/>
      <w:r w:rsidRPr="00D7144F">
        <w:rPr>
          <w:rFonts w:ascii="Calibri" w:hAnsi="Calibri"/>
        </w:rPr>
        <w:t xml:space="preserve"> Unauthorised reproduction and other uses comprised in the copyright </w:t>
      </w:r>
      <w:proofErr w:type="gramStart"/>
      <w:r w:rsidRPr="00D7144F">
        <w:rPr>
          <w:rFonts w:ascii="Calibri" w:hAnsi="Calibri"/>
        </w:rPr>
        <w:t>are prohibited</w:t>
      </w:r>
      <w:proofErr w:type="gramEnd"/>
      <w:r w:rsidRPr="00D7144F">
        <w:rPr>
          <w:rFonts w:ascii="Calibri" w:hAnsi="Calibri"/>
        </w:rPr>
        <w:t xml:space="preserve"> without permission.</w:t>
      </w:r>
    </w:p>
    <w:p w14:paraId="3EB1DC63" w14:textId="70DA6563" w:rsidR="004407F2" w:rsidRPr="00D7144F" w:rsidRDefault="005F2247" w:rsidP="00D7144F">
      <w:pPr>
        <w:jc w:val="both"/>
        <w:sectPr w:rsidR="004407F2" w:rsidRPr="00D7144F" w:rsidSect="004407F2">
          <w:footerReference w:type="default" r:id="rId12"/>
          <w:pgSz w:w="11906" w:h="16838"/>
          <w:pgMar w:top="1701" w:right="1134" w:bottom="1701" w:left="1134" w:header="709" w:footer="709" w:gutter="0"/>
          <w:cols w:space="708"/>
          <w:docGrid w:linePitch="360"/>
        </w:sectPr>
      </w:pPr>
      <w:r w:rsidRPr="00D7144F">
        <w:t>ISBN</w:t>
      </w:r>
      <w:r w:rsidR="001F4E0D" w:rsidRPr="00D7144F">
        <w:t xml:space="preserve"> </w:t>
      </w:r>
      <w:r w:rsidR="001F4E0D" w:rsidRPr="00D7144F">
        <w:rPr>
          <w:lang w:val="en-US"/>
        </w:rPr>
        <w:t>978-0-9941872-1-5</w:t>
      </w:r>
    </w:p>
    <w:sdt>
      <w:sdtPr>
        <w:rPr>
          <w:b w:val="0"/>
          <w:bCs/>
          <w:caps w:val="0"/>
          <w:color w:val="auto"/>
          <w:sz w:val="22"/>
        </w:rPr>
        <w:id w:val="-1740694885"/>
        <w:docPartObj>
          <w:docPartGallery w:val="Table of Contents"/>
          <w:docPartUnique/>
        </w:docPartObj>
      </w:sdtPr>
      <w:sdtEndPr>
        <w:rPr>
          <w:bCs w:val="0"/>
        </w:rPr>
      </w:sdtEndPr>
      <w:sdtContent>
        <w:p w14:paraId="48609163" w14:textId="38226CD9" w:rsidR="000E48FE" w:rsidRPr="005B3749" w:rsidRDefault="003277F2" w:rsidP="003277F2">
          <w:pPr>
            <w:pStyle w:val="TableofContentsHeading"/>
          </w:pPr>
          <w:r>
            <w:t>Table of Contents</w:t>
          </w:r>
        </w:p>
        <w:p w14:paraId="56EF458D" w14:textId="77777777" w:rsidR="00E46179" w:rsidRDefault="007754A4">
          <w:pPr>
            <w:pStyle w:val="TOC3"/>
            <w:tabs>
              <w:tab w:val="right" w:leader="dot" w:pos="9620"/>
            </w:tabs>
            <w:rPr>
              <w:rFonts w:eastAsiaTheme="minorEastAsia"/>
              <w:b w:val="0"/>
              <w:caps w:val="0"/>
              <w:noProof/>
              <w:lang w:val="en-US"/>
            </w:rPr>
          </w:pPr>
          <w:r>
            <w:rPr>
              <w:noProof/>
            </w:rPr>
            <w:fldChar w:fldCharType="begin"/>
          </w:r>
          <w:r>
            <w:rPr>
              <w:noProof/>
            </w:rPr>
            <w:instrText xml:space="preserve"> TOC </w:instrText>
          </w:r>
          <w:r>
            <w:instrText>\o "3-4</w:instrText>
          </w:r>
          <w:r>
            <w:rPr>
              <w:noProof/>
            </w:rPr>
            <w:instrText xml:space="preserve">" \h \z \u </w:instrText>
          </w:r>
          <w:r>
            <w:rPr>
              <w:noProof/>
            </w:rPr>
            <w:fldChar w:fldCharType="separate"/>
          </w:r>
          <w:hyperlink w:anchor="_Toc435716746" w:history="1">
            <w:r w:rsidR="00E46179" w:rsidRPr="00D51C03">
              <w:rPr>
                <w:rStyle w:val="Hyperlink"/>
                <w:noProof/>
              </w:rPr>
              <w:t>Executive Summary: Victoria</w:t>
            </w:r>
            <w:r w:rsidR="00E46179">
              <w:rPr>
                <w:noProof/>
                <w:webHidden/>
              </w:rPr>
              <w:tab/>
            </w:r>
            <w:r w:rsidR="00E46179">
              <w:rPr>
                <w:noProof/>
                <w:webHidden/>
              </w:rPr>
              <w:fldChar w:fldCharType="begin"/>
            </w:r>
            <w:r w:rsidR="00E46179">
              <w:rPr>
                <w:noProof/>
                <w:webHidden/>
              </w:rPr>
              <w:instrText xml:space="preserve"> PAGEREF _Toc435716746 \h </w:instrText>
            </w:r>
            <w:r w:rsidR="00E46179">
              <w:rPr>
                <w:noProof/>
                <w:webHidden/>
              </w:rPr>
            </w:r>
            <w:r w:rsidR="00E46179">
              <w:rPr>
                <w:noProof/>
                <w:webHidden/>
              </w:rPr>
              <w:fldChar w:fldCharType="separate"/>
            </w:r>
            <w:r w:rsidR="00E46179">
              <w:rPr>
                <w:noProof/>
                <w:webHidden/>
              </w:rPr>
              <w:t>7</w:t>
            </w:r>
            <w:r w:rsidR="00E46179">
              <w:rPr>
                <w:noProof/>
                <w:webHidden/>
              </w:rPr>
              <w:fldChar w:fldCharType="end"/>
            </w:r>
          </w:hyperlink>
        </w:p>
        <w:p w14:paraId="344C0CF6" w14:textId="77777777" w:rsidR="00E46179" w:rsidRDefault="002418F8">
          <w:pPr>
            <w:pStyle w:val="TOC4"/>
            <w:tabs>
              <w:tab w:val="right" w:leader="dot" w:pos="9620"/>
            </w:tabs>
            <w:rPr>
              <w:noProof/>
              <w:lang w:val="en-US" w:eastAsia="en-US"/>
            </w:rPr>
          </w:pPr>
          <w:hyperlink w:anchor="_Toc435716747" w:history="1">
            <w:r w:rsidR="00E46179" w:rsidRPr="00D51C03">
              <w:rPr>
                <w:rStyle w:val="Hyperlink"/>
                <w:noProof/>
              </w:rPr>
              <w:t>Introduction</w:t>
            </w:r>
            <w:r w:rsidR="00E46179">
              <w:rPr>
                <w:noProof/>
                <w:webHidden/>
              </w:rPr>
              <w:tab/>
            </w:r>
            <w:r w:rsidR="00E46179">
              <w:rPr>
                <w:noProof/>
                <w:webHidden/>
              </w:rPr>
              <w:fldChar w:fldCharType="begin"/>
            </w:r>
            <w:r w:rsidR="00E46179">
              <w:rPr>
                <w:noProof/>
                <w:webHidden/>
              </w:rPr>
              <w:instrText xml:space="preserve"> PAGEREF _Toc435716747 \h </w:instrText>
            </w:r>
            <w:r w:rsidR="00E46179">
              <w:rPr>
                <w:noProof/>
                <w:webHidden/>
              </w:rPr>
            </w:r>
            <w:r w:rsidR="00E46179">
              <w:rPr>
                <w:noProof/>
                <w:webHidden/>
              </w:rPr>
              <w:fldChar w:fldCharType="separate"/>
            </w:r>
            <w:r w:rsidR="00E46179">
              <w:rPr>
                <w:noProof/>
                <w:webHidden/>
              </w:rPr>
              <w:t>7</w:t>
            </w:r>
            <w:r w:rsidR="00E46179">
              <w:rPr>
                <w:noProof/>
                <w:webHidden/>
              </w:rPr>
              <w:fldChar w:fldCharType="end"/>
            </w:r>
          </w:hyperlink>
        </w:p>
        <w:p w14:paraId="649A11EE" w14:textId="77777777" w:rsidR="00E46179" w:rsidRDefault="002418F8">
          <w:pPr>
            <w:pStyle w:val="TOC4"/>
            <w:tabs>
              <w:tab w:val="right" w:leader="dot" w:pos="9620"/>
            </w:tabs>
            <w:rPr>
              <w:noProof/>
              <w:lang w:val="en-US" w:eastAsia="en-US"/>
            </w:rPr>
          </w:pPr>
          <w:hyperlink w:anchor="_Toc435716748" w:history="1">
            <w:r w:rsidR="00E46179" w:rsidRPr="00D51C03">
              <w:rPr>
                <w:rStyle w:val="Hyperlink"/>
                <w:noProof/>
              </w:rPr>
              <w:t>Victoria’s mandatory reporting law</w:t>
            </w:r>
            <w:r w:rsidR="00E46179">
              <w:rPr>
                <w:noProof/>
                <w:webHidden/>
              </w:rPr>
              <w:tab/>
            </w:r>
            <w:r w:rsidR="00E46179">
              <w:rPr>
                <w:noProof/>
                <w:webHidden/>
              </w:rPr>
              <w:fldChar w:fldCharType="begin"/>
            </w:r>
            <w:r w:rsidR="00E46179">
              <w:rPr>
                <w:noProof/>
                <w:webHidden/>
              </w:rPr>
              <w:instrText xml:space="preserve"> PAGEREF _Toc435716748 \h </w:instrText>
            </w:r>
            <w:r w:rsidR="00E46179">
              <w:rPr>
                <w:noProof/>
                <w:webHidden/>
              </w:rPr>
            </w:r>
            <w:r w:rsidR="00E46179">
              <w:rPr>
                <w:noProof/>
                <w:webHidden/>
              </w:rPr>
              <w:fldChar w:fldCharType="separate"/>
            </w:r>
            <w:r w:rsidR="00E46179">
              <w:rPr>
                <w:noProof/>
                <w:webHidden/>
              </w:rPr>
              <w:t>7</w:t>
            </w:r>
            <w:r w:rsidR="00E46179">
              <w:rPr>
                <w:noProof/>
                <w:webHidden/>
              </w:rPr>
              <w:fldChar w:fldCharType="end"/>
            </w:r>
          </w:hyperlink>
        </w:p>
        <w:p w14:paraId="05AECC21" w14:textId="77777777" w:rsidR="00E46179" w:rsidRDefault="002418F8">
          <w:pPr>
            <w:pStyle w:val="TOC4"/>
            <w:tabs>
              <w:tab w:val="right" w:leader="dot" w:pos="9620"/>
            </w:tabs>
            <w:rPr>
              <w:noProof/>
              <w:lang w:val="en-US" w:eastAsia="en-US"/>
            </w:rPr>
          </w:pPr>
          <w:hyperlink w:anchor="_Toc435716749" w:history="1">
            <w:r w:rsidR="00E46179" w:rsidRPr="00D51C03">
              <w:rPr>
                <w:rStyle w:val="Hyperlink"/>
                <w:noProof/>
              </w:rPr>
              <w:t>Major findings from analysis of data on notifications and outcomes 2003-12</w:t>
            </w:r>
            <w:r w:rsidR="00E46179">
              <w:rPr>
                <w:noProof/>
                <w:webHidden/>
              </w:rPr>
              <w:tab/>
            </w:r>
            <w:r w:rsidR="00E46179">
              <w:rPr>
                <w:noProof/>
                <w:webHidden/>
              </w:rPr>
              <w:fldChar w:fldCharType="begin"/>
            </w:r>
            <w:r w:rsidR="00E46179">
              <w:rPr>
                <w:noProof/>
                <w:webHidden/>
              </w:rPr>
              <w:instrText xml:space="preserve"> PAGEREF _Toc435716749 \h </w:instrText>
            </w:r>
            <w:r w:rsidR="00E46179">
              <w:rPr>
                <w:noProof/>
                <w:webHidden/>
              </w:rPr>
            </w:r>
            <w:r w:rsidR="00E46179">
              <w:rPr>
                <w:noProof/>
                <w:webHidden/>
              </w:rPr>
              <w:fldChar w:fldCharType="separate"/>
            </w:r>
            <w:r w:rsidR="00E46179">
              <w:rPr>
                <w:noProof/>
                <w:webHidden/>
              </w:rPr>
              <w:t>8</w:t>
            </w:r>
            <w:r w:rsidR="00E46179">
              <w:rPr>
                <w:noProof/>
                <w:webHidden/>
              </w:rPr>
              <w:fldChar w:fldCharType="end"/>
            </w:r>
          </w:hyperlink>
        </w:p>
        <w:p w14:paraId="1DD9BA59" w14:textId="77777777" w:rsidR="00E46179" w:rsidRDefault="002418F8">
          <w:pPr>
            <w:pStyle w:val="TOC4"/>
            <w:tabs>
              <w:tab w:val="right" w:leader="dot" w:pos="9620"/>
            </w:tabs>
            <w:rPr>
              <w:noProof/>
              <w:lang w:val="en-US" w:eastAsia="en-US"/>
            </w:rPr>
          </w:pPr>
          <w:hyperlink w:anchor="_Toc435716750" w:history="1">
            <w:r w:rsidR="00E46179" w:rsidRPr="00D51C03">
              <w:rPr>
                <w:rStyle w:val="Hyperlink"/>
                <w:noProof/>
              </w:rPr>
              <w:t>Conclusion</w:t>
            </w:r>
            <w:r w:rsidR="00E46179">
              <w:rPr>
                <w:noProof/>
                <w:webHidden/>
              </w:rPr>
              <w:tab/>
            </w:r>
            <w:r w:rsidR="00E46179">
              <w:rPr>
                <w:noProof/>
                <w:webHidden/>
              </w:rPr>
              <w:fldChar w:fldCharType="begin"/>
            </w:r>
            <w:r w:rsidR="00E46179">
              <w:rPr>
                <w:noProof/>
                <w:webHidden/>
              </w:rPr>
              <w:instrText xml:space="preserve"> PAGEREF _Toc435716750 \h </w:instrText>
            </w:r>
            <w:r w:rsidR="00E46179">
              <w:rPr>
                <w:noProof/>
                <w:webHidden/>
              </w:rPr>
            </w:r>
            <w:r w:rsidR="00E46179">
              <w:rPr>
                <w:noProof/>
                <w:webHidden/>
              </w:rPr>
              <w:fldChar w:fldCharType="separate"/>
            </w:r>
            <w:r w:rsidR="00E46179">
              <w:rPr>
                <w:noProof/>
                <w:webHidden/>
              </w:rPr>
              <w:t>13</w:t>
            </w:r>
            <w:r w:rsidR="00E46179">
              <w:rPr>
                <w:noProof/>
                <w:webHidden/>
              </w:rPr>
              <w:fldChar w:fldCharType="end"/>
            </w:r>
          </w:hyperlink>
        </w:p>
        <w:p w14:paraId="44CEB030" w14:textId="77777777" w:rsidR="00E46179" w:rsidRDefault="002418F8">
          <w:pPr>
            <w:pStyle w:val="TOC3"/>
            <w:tabs>
              <w:tab w:val="right" w:leader="dot" w:pos="9620"/>
            </w:tabs>
            <w:rPr>
              <w:rFonts w:eastAsiaTheme="minorEastAsia"/>
              <w:b w:val="0"/>
              <w:caps w:val="0"/>
              <w:noProof/>
              <w:lang w:val="en-US"/>
            </w:rPr>
          </w:pPr>
          <w:hyperlink w:anchor="_Toc435716751" w:history="1">
            <w:r w:rsidR="00E46179" w:rsidRPr="00D51C03">
              <w:rPr>
                <w:rStyle w:val="Hyperlink"/>
                <w:noProof/>
              </w:rPr>
              <w:t>Stage 1: Legal Analysis</w:t>
            </w:r>
            <w:r w:rsidR="00E46179">
              <w:rPr>
                <w:noProof/>
                <w:webHidden/>
              </w:rPr>
              <w:tab/>
            </w:r>
            <w:r w:rsidR="00E46179">
              <w:rPr>
                <w:noProof/>
                <w:webHidden/>
              </w:rPr>
              <w:fldChar w:fldCharType="begin"/>
            </w:r>
            <w:r w:rsidR="00E46179">
              <w:rPr>
                <w:noProof/>
                <w:webHidden/>
              </w:rPr>
              <w:instrText xml:space="preserve"> PAGEREF _Toc435716751 \h </w:instrText>
            </w:r>
            <w:r w:rsidR="00E46179">
              <w:rPr>
                <w:noProof/>
                <w:webHidden/>
              </w:rPr>
            </w:r>
            <w:r w:rsidR="00E46179">
              <w:rPr>
                <w:noProof/>
                <w:webHidden/>
              </w:rPr>
              <w:fldChar w:fldCharType="separate"/>
            </w:r>
            <w:r w:rsidR="00E46179">
              <w:rPr>
                <w:noProof/>
                <w:webHidden/>
              </w:rPr>
              <w:t>16</w:t>
            </w:r>
            <w:r w:rsidR="00E46179">
              <w:rPr>
                <w:noProof/>
                <w:webHidden/>
              </w:rPr>
              <w:fldChar w:fldCharType="end"/>
            </w:r>
          </w:hyperlink>
        </w:p>
        <w:p w14:paraId="484A02B2" w14:textId="77777777" w:rsidR="00E46179" w:rsidRDefault="002418F8">
          <w:pPr>
            <w:pStyle w:val="TOC4"/>
            <w:tabs>
              <w:tab w:val="left" w:pos="1320"/>
              <w:tab w:val="right" w:leader="dot" w:pos="9620"/>
            </w:tabs>
            <w:rPr>
              <w:noProof/>
              <w:lang w:val="en-US" w:eastAsia="en-US"/>
            </w:rPr>
          </w:pPr>
          <w:hyperlink w:anchor="_Toc435716752" w:history="1">
            <w:r w:rsidR="00E46179" w:rsidRPr="00D51C03">
              <w:rPr>
                <w:rStyle w:val="Hyperlink"/>
                <w:noProof/>
                <w:lang w:eastAsia="zh-CN"/>
              </w:rPr>
              <w:t>1.1.</w:t>
            </w:r>
            <w:r w:rsidR="00E46179">
              <w:rPr>
                <w:noProof/>
                <w:lang w:val="en-US" w:eastAsia="en-US"/>
              </w:rPr>
              <w:tab/>
            </w:r>
            <w:r w:rsidR="00E46179" w:rsidRPr="00D51C03">
              <w:rPr>
                <w:rStyle w:val="Hyperlink"/>
                <w:noProof/>
                <w:lang w:eastAsia="zh-CN"/>
              </w:rPr>
              <w:t>Introduction</w:t>
            </w:r>
            <w:r w:rsidR="00E46179">
              <w:rPr>
                <w:noProof/>
                <w:webHidden/>
              </w:rPr>
              <w:tab/>
            </w:r>
            <w:r w:rsidR="00E46179">
              <w:rPr>
                <w:noProof/>
                <w:webHidden/>
              </w:rPr>
              <w:fldChar w:fldCharType="begin"/>
            </w:r>
            <w:r w:rsidR="00E46179">
              <w:rPr>
                <w:noProof/>
                <w:webHidden/>
              </w:rPr>
              <w:instrText xml:space="preserve"> PAGEREF _Toc435716752 \h </w:instrText>
            </w:r>
            <w:r w:rsidR="00E46179">
              <w:rPr>
                <w:noProof/>
                <w:webHidden/>
              </w:rPr>
            </w:r>
            <w:r w:rsidR="00E46179">
              <w:rPr>
                <w:noProof/>
                <w:webHidden/>
              </w:rPr>
              <w:fldChar w:fldCharType="separate"/>
            </w:r>
            <w:r w:rsidR="00E46179">
              <w:rPr>
                <w:noProof/>
                <w:webHidden/>
              </w:rPr>
              <w:t>16</w:t>
            </w:r>
            <w:r w:rsidR="00E46179">
              <w:rPr>
                <w:noProof/>
                <w:webHidden/>
              </w:rPr>
              <w:fldChar w:fldCharType="end"/>
            </w:r>
          </w:hyperlink>
        </w:p>
        <w:p w14:paraId="5A5637A9" w14:textId="77777777" w:rsidR="00E46179" w:rsidRDefault="002418F8">
          <w:pPr>
            <w:pStyle w:val="TOC4"/>
            <w:tabs>
              <w:tab w:val="left" w:pos="1320"/>
              <w:tab w:val="right" w:leader="dot" w:pos="9620"/>
            </w:tabs>
            <w:rPr>
              <w:noProof/>
              <w:lang w:val="en-US" w:eastAsia="en-US"/>
            </w:rPr>
          </w:pPr>
          <w:hyperlink w:anchor="_Toc435716753" w:history="1">
            <w:r w:rsidR="00E46179" w:rsidRPr="00D51C03">
              <w:rPr>
                <w:rStyle w:val="Hyperlink"/>
                <w:noProof/>
                <w:lang w:eastAsia="zh-CN"/>
              </w:rPr>
              <w:t>1.2.</w:t>
            </w:r>
            <w:r w:rsidR="00E46179">
              <w:rPr>
                <w:noProof/>
                <w:lang w:val="en-US" w:eastAsia="en-US"/>
              </w:rPr>
              <w:tab/>
            </w:r>
            <w:r w:rsidR="00E46179" w:rsidRPr="00D51C03">
              <w:rPr>
                <w:rStyle w:val="Hyperlink"/>
                <w:noProof/>
                <w:lang w:eastAsia="zh-CN"/>
              </w:rPr>
              <w:t>Major legislative differences and common approaches across Australia</w:t>
            </w:r>
            <w:r w:rsidR="00E46179">
              <w:rPr>
                <w:noProof/>
                <w:webHidden/>
              </w:rPr>
              <w:tab/>
            </w:r>
            <w:r w:rsidR="00E46179">
              <w:rPr>
                <w:noProof/>
                <w:webHidden/>
              </w:rPr>
              <w:fldChar w:fldCharType="begin"/>
            </w:r>
            <w:r w:rsidR="00E46179">
              <w:rPr>
                <w:noProof/>
                <w:webHidden/>
              </w:rPr>
              <w:instrText xml:space="preserve"> PAGEREF _Toc435716753 \h </w:instrText>
            </w:r>
            <w:r w:rsidR="00E46179">
              <w:rPr>
                <w:noProof/>
                <w:webHidden/>
              </w:rPr>
            </w:r>
            <w:r w:rsidR="00E46179">
              <w:rPr>
                <w:noProof/>
                <w:webHidden/>
              </w:rPr>
              <w:fldChar w:fldCharType="separate"/>
            </w:r>
            <w:r w:rsidR="00E46179">
              <w:rPr>
                <w:noProof/>
                <w:webHidden/>
              </w:rPr>
              <w:t>17</w:t>
            </w:r>
            <w:r w:rsidR="00E46179">
              <w:rPr>
                <w:noProof/>
                <w:webHidden/>
              </w:rPr>
              <w:fldChar w:fldCharType="end"/>
            </w:r>
          </w:hyperlink>
        </w:p>
        <w:p w14:paraId="38A235CC" w14:textId="77777777" w:rsidR="00E46179" w:rsidRDefault="002418F8">
          <w:pPr>
            <w:pStyle w:val="TOC4"/>
            <w:tabs>
              <w:tab w:val="left" w:pos="1320"/>
              <w:tab w:val="right" w:leader="dot" w:pos="9620"/>
            </w:tabs>
            <w:rPr>
              <w:noProof/>
              <w:lang w:val="en-US" w:eastAsia="en-US"/>
            </w:rPr>
          </w:pPr>
          <w:hyperlink w:anchor="_Toc435716754" w:history="1">
            <w:r w:rsidR="00E46179" w:rsidRPr="00D51C03">
              <w:rPr>
                <w:rStyle w:val="Hyperlink"/>
                <w:noProof/>
              </w:rPr>
              <w:t>1.3.</w:t>
            </w:r>
            <w:r w:rsidR="00E46179">
              <w:rPr>
                <w:noProof/>
                <w:lang w:val="en-US" w:eastAsia="en-US"/>
              </w:rPr>
              <w:tab/>
            </w:r>
            <w:r w:rsidR="00E46179" w:rsidRPr="00D51C03">
              <w:rPr>
                <w:rStyle w:val="Hyperlink"/>
                <w:noProof/>
              </w:rPr>
              <w:t>Mandatory reporting legislation as one element of a systematic approach to child protection and welfare: A note on differential response</w:t>
            </w:r>
            <w:r w:rsidR="00E46179">
              <w:rPr>
                <w:noProof/>
                <w:webHidden/>
              </w:rPr>
              <w:tab/>
            </w:r>
            <w:r w:rsidR="00E46179">
              <w:rPr>
                <w:noProof/>
                <w:webHidden/>
              </w:rPr>
              <w:fldChar w:fldCharType="begin"/>
            </w:r>
            <w:r w:rsidR="00E46179">
              <w:rPr>
                <w:noProof/>
                <w:webHidden/>
              </w:rPr>
              <w:instrText xml:space="preserve"> PAGEREF _Toc435716754 \h </w:instrText>
            </w:r>
            <w:r w:rsidR="00E46179">
              <w:rPr>
                <w:noProof/>
                <w:webHidden/>
              </w:rPr>
            </w:r>
            <w:r w:rsidR="00E46179">
              <w:rPr>
                <w:noProof/>
                <w:webHidden/>
              </w:rPr>
              <w:fldChar w:fldCharType="separate"/>
            </w:r>
            <w:r w:rsidR="00E46179">
              <w:rPr>
                <w:noProof/>
                <w:webHidden/>
              </w:rPr>
              <w:t>21</w:t>
            </w:r>
            <w:r w:rsidR="00E46179">
              <w:rPr>
                <w:noProof/>
                <w:webHidden/>
              </w:rPr>
              <w:fldChar w:fldCharType="end"/>
            </w:r>
          </w:hyperlink>
        </w:p>
        <w:p w14:paraId="41F6A010" w14:textId="77777777" w:rsidR="00E46179" w:rsidRDefault="002418F8">
          <w:pPr>
            <w:pStyle w:val="TOC4"/>
            <w:tabs>
              <w:tab w:val="left" w:pos="1320"/>
              <w:tab w:val="right" w:leader="dot" w:pos="9620"/>
            </w:tabs>
            <w:rPr>
              <w:noProof/>
              <w:lang w:val="en-US" w:eastAsia="en-US"/>
            </w:rPr>
          </w:pPr>
          <w:hyperlink w:anchor="_Toc435716755" w:history="1">
            <w:r w:rsidR="00E46179" w:rsidRPr="00D51C03">
              <w:rPr>
                <w:rStyle w:val="Hyperlink"/>
                <w:noProof/>
                <w:lang w:eastAsia="zh-CN"/>
              </w:rPr>
              <w:t xml:space="preserve">1.4. </w:t>
            </w:r>
            <w:r w:rsidR="00E46179">
              <w:rPr>
                <w:noProof/>
                <w:lang w:val="en-US" w:eastAsia="en-US"/>
              </w:rPr>
              <w:tab/>
            </w:r>
            <w:r w:rsidR="00E46179" w:rsidRPr="00D51C03">
              <w:rPr>
                <w:rStyle w:val="Hyperlink"/>
                <w:noProof/>
                <w:lang w:eastAsia="zh-CN"/>
              </w:rPr>
              <w:t>Comparative tables</w:t>
            </w:r>
            <w:r w:rsidR="00E46179">
              <w:rPr>
                <w:noProof/>
                <w:webHidden/>
              </w:rPr>
              <w:tab/>
            </w:r>
            <w:r w:rsidR="00E46179">
              <w:rPr>
                <w:noProof/>
                <w:webHidden/>
              </w:rPr>
              <w:fldChar w:fldCharType="begin"/>
            </w:r>
            <w:r w:rsidR="00E46179">
              <w:rPr>
                <w:noProof/>
                <w:webHidden/>
              </w:rPr>
              <w:instrText xml:space="preserve"> PAGEREF _Toc435716755 \h </w:instrText>
            </w:r>
            <w:r w:rsidR="00E46179">
              <w:rPr>
                <w:noProof/>
                <w:webHidden/>
              </w:rPr>
            </w:r>
            <w:r w:rsidR="00E46179">
              <w:rPr>
                <w:noProof/>
                <w:webHidden/>
              </w:rPr>
              <w:fldChar w:fldCharType="separate"/>
            </w:r>
            <w:r w:rsidR="00E46179">
              <w:rPr>
                <w:noProof/>
                <w:webHidden/>
              </w:rPr>
              <w:t>23</w:t>
            </w:r>
            <w:r w:rsidR="00E46179">
              <w:rPr>
                <w:noProof/>
                <w:webHidden/>
              </w:rPr>
              <w:fldChar w:fldCharType="end"/>
            </w:r>
          </w:hyperlink>
        </w:p>
        <w:p w14:paraId="2D674E32" w14:textId="77777777" w:rsidR="00E46179" w:rsidRDefault="002418F8">
          <w:pPr>
            <w:pStyle w:val="TOC4"/>
            <w:tabs>
              <w:tab w:val="left" w:pos="1320"/>
              <w:tab w:val="right" w:leader="dot" w:pos="9620"/>
            </w:tabs>
            <w:rPr>
              <w:noProof/>
              <w:lang w:val="en-US" w:eastAsia="en-US"/>
            </w:rPr>
          </w:pPr>
          <w:hyperlink w:anchor="_Toc435716756" w:history="1">
            <w:r w:rsidR="00E46179" w:rsidRPr="00D51C03">
              <w:rPr>
                <w:rStyle w:val="Hyperlink"/>
                <w:noProof/>
              </w:rPr>
              <w:t>1.5.</w:t>
            </w:r>
            <w:r w:rsidR="00E46179">
              <w:rPr>
                <w:noProof/>
                <w:lang w:val="en-US" w:eastAsia="en-US"/>
              </w:rPr>
              <w:tab/>
            </w:r>
            <w:r w:rsidR="00E46179" w:rsidRPr="00D51C03">
              <w:rPr>
                <w:rStyle w:val="Hyperlink"/>
                <w:noProof/>
              </w:rPr>
              <w:t>Legislative developments for each State and Territory over time: 2003-2012</w:t>
            </w:r>
            <w:r w:rsidR="00E46179">
              <w:rPr>
                <w:noProof/>
                <w:webHidden/>
              </w:rPr>
              <w:tab/>
            </w:r>
            <w:r w:rsidR="00E46179">
              <w:rPr>
                <w:noProof/>
                <w:webHidden/>
              </w:rPr>
              <w:fldChar w:fldCharType="begin"/>
            </w:r>
            <w:r w:rsidR="00E46179">
              <w:rPr>
                <w:noProof/>
                <w:webHidden/>
              </w:rPr>
              <w:instrText xml:space="preserve"> PAGEREF _Toc435716756 \h </w:instrText>
            </w:r>
            <w:r w:rsidR="00E46179">
              <w:rPr>
                <w:noProof/>
                <w:webHidden/>
              </w:rPr>
            </w:r>
            <w:r w:rsidR="00E46179">
              <w:rPr>
                <w:noProof/>
                <w:webHidden/>
              </w:rPr>
              <w:fldChar w:fldCharType="separate"/>
            </w:r>
            <w:r w:rsidR="00E46179">
              <w:rPr>
                <w:noProof/>
                <w:webHidden/>
              </w:rPr>
              <w:t>36</w:t>
            </w:r>
            <w:r w:rsidR="00E46179">
              <w:rPr>
                <w:noProof/>
                <w:webHidden/>
              </w:rPr>
              <w:fldChar w:fldCharType="end"/>
            </w:r>
          </w:hyperlink>
        </w:p>
        <w:p w14:paraId="6F2F9978" w14:textId="77777777" w:rsidR="00E46179" w:rsidRDefault="002418F8">
          <w:pPr>
            <w:pStyle w:val="TOC3"/>
            <w:tabs>
              <w:tab w:val="right" w:leader="dot" w:pos="9620"/>
            </w:tabs>
            <w:rPr>
              <w:rFonts w:eastAsiaTheme="minorEastAsia"/>
              <w:b w:val="0"/>
              <w:caps w:val="0"/>
              <w:noProof/>
              <w:lang w:val="en-US"/>
            </w:rPr>
          </w:pPr>
          <w:hyperlink w:anchor="_Toc435716757" w:history="1">
            <w:r w:rsidR="00E46179" w:rsidRPr="00D51C03">
              <w:rPr>
                <w:rStyle w:val="Hyperlink"/>
                <w:noProof/>
              </w:rPr>
              <w:t>Stage 2: Data and Analyses (Victoria)</w:t>
            </w:r>
            <w:r w:rsidR="00E46179">
              <w:rPr>
                <w:noProof/>
                <w:webHidden/>
              </w:rPr>
              <w:tab/>
            </w:r>
            <w:r w:rsidR="00E46179">
              <w:rPr>
                <w:noProof/>
                <w:webHidden/>
              </w:rPr>
              <w:fldChar w:fldCharType="begin"/>
            </w:r>
            <w:r w:rsidR="00E46179">
              <w:rPr>
                <w:noProof/>
                <w:webHidden/>
              </w:rPr>
              <w:instrText xml:space="preserve"> PAGEREF _Toc435716757 \h </w:instrText>
            </w:r>
            <w:r w:rsidR="00E46179">
              <w:rPr>
                <w:noProof/>
                <w:webHidden/>
              </w:rPr>
            </w:r>
            <w:r w:rsidR="00E46179">
              <w:rPr>
                <w:noProof/>
                <w:webHidden/>
              </w:rPr>
              <w:fldChar w:fldCharType="separate"/>
            </w:r>
            <w:r w:rsidR="00E46179">
              <w:rPr>
                <w:noProof/>
                <w:webHidden/>
              </w:rPr>
              <w:t>95</w:t>
            </w:r>
            <w:r w:rsidR="00E46179">
              <w:rPr>
                <w:noProof/>
                <w:webHidden/>
              </w:rPr>
              <w:fldChar w:fldCharType="end"/>
            </w:r>
          </w:hyperlink>
        </w:p>
        <w:p w14:paraId="101F9179" w14:textId="77777777" w:rsidR="00E46179" w:rsidRDefault="002418F8">
          <w:pPr>
            <w:pStyle w:val="TOC4"/>
            <w:tabs>
              <w:tab w:val="right" w:leader="dot" w:pos="9620"/>
            </w:tabs>
            <w:rPr>
              <w:noProof/>
              <w:lang w:val="en-US" w:eastAsia="en-US"/>
            </w:rPr>
          </w:pPr>
          <w:hyperlink w:anchor="_Toc435716758" w:history="1">
            <w:r w:rsidR="00E46179" w:rsidRPr="00D51C03">
              <w:rPr>
                <w:rStyle w:val="Hyperlink"/>
                <w:noProof/>
              </w:rPr>
              <w:t>Introduction, definitions, and notes</w:t>
            </w:r>
            <w:r w:rsidR="00E46179">
              <w:rPr>
                <w:noProof/>
                <w:webHidden/>
              </w:rPr>
              <w:tab/>
            </w:r>
            <w:r w:rsidR="00E46179">
              <w:rPr>
                <w:noProof/>
                <w:webHidden/>
              </w:rPr>
              <w:fldChar w:fldCharType="begin"/>
            </w:r>
            <w:r w:rsidR="00E46179">
              <w:rPr>
                <w:noProof/>
                <w:webHidden/>
              </w:rPr>
              <w:instrText xml:space="preserve"> PAGEREF _Toc435716758 \h </w:instrText>
            </w:r>
            <w:r w:rsidR="00E46179">
              <w:rPr>
                <w:noProof/>
                <w:webHidden/>
              </w:rPr>
            </w:r>
            <w:r w:rsidR="00E46179">
              <w:rPr>
                <w:noProof/>
                <w:webHidden/>
              </w:rPr>
              <w:fldChar w:fldCharType="separate"/>
            </w:r>
            <w:r w:rsidR="00E46179">
              <w:rPr>
                <w:noProof/>
                <w:webHidden/>
              </w:rPr>
              <w:t>95</w:t>
            </w:r>
            <w:r w:rsidR="00E46179">
              <w:rPr>
                <w:noProof/>
                <w:webHidden/>
              </w:rPr>
              <w:fldChar w:fldCharType="end"/>
            </w:r>
          </w:hyperlink>
        </w:p>
        <w:p w14:paraId="261C929F" w14:textId="77777777" w:rsidR="00E46179" w:rsidRDefault="002418F8">
          <w:pPr>
            <w:pStyle w:val="TOC4"/>
            <w:tabs>
              <w:tab w:val="right" w:leader="dot" w:pos="9620"/>
            </w:tabs>
            <w:rPr>
              <w:noProof/>
              <w:lang w:val="en-US" w:eastAsia="en-US"/>
            </w:rPr>
          </w:pPr>
          <w:hyperlink w:anchor="_Toc435716759" w:history="1">
            <w:r w:rsidR="00E46179" w:rsidRPr="00D51C03">
              <w:rPr>
                <w:rStyle w:val="Hyperlink"/>
                <w:noProof/>
              </w:rPr>
              <w:t>Key legislative changes and hypotheses: Victoria</w:t>
            </w:r>
            <w:r w:rsidR="00E46179">
              <w:rPr>
                <w:noProof/>
                <w:webHidden/>
              </w:rPr>
              <w:tab/>
            </w:r>
            <w:r w:rsidR="00E46179">
              <w:rPr>
                <w:noProof/>
                <w:webHidden/>
              </w:rPr>
              <w:fldChar w:fldCharType="begin"/>
            </w:r>
            <w:r w:rsidR="00E46179">
              <w:rPr>
                <w:noProof/>
                <w:webHidden/>
              </w:rPr>
              <w:instrText xml:space="preserve"> PAGEREF _Toc435716759 \h </w:instrText>
            </w:r>
            <w:r w:rsidR="00E46179">
              <w:rPr>
                <w:noProof/>
                <w:webHidden/>
              </w:rPr>
            </w:r>
            <w:r w:rsidR="00E46179">
              <w:rPr>
                <w:noProof/>
                <w:webHidden/>
              </w:rPr>
              <w:fldChar w:fldCharType="separate"/>
            </w:r>
            <w:r w:rsidR="00E46179">
              <w:rPr>
                <w:noProof/>
                <w:webHidden/>
              </w:rPr>
              <w:t>96</w:t>
            </w:r>
            <w:r w:rsidR="00E46179">
              <w:rPr>
                <w:noProof/>
                <w:webHidden/>
              </w:rPr>
              <w:fldChar w:fldCharType="end"/>
            </w:r>
          </w:hyperlink>
        </w:p>
        <w:p w14:paraId="31319210" w14:textId="77777777" w:rsidR="00E46179" w:rsidRDefault="002418F8">
          <w:pPr>
            <w:pStyle w:val="TOC4"/>
            <w:tabs>
              <w:tab w:val="right" w:leader="dot" w:pos="9620"/>
            </w:tabs>
            <w:rPr>
              <w:noProof/>
              <w:lang w:val="en-US" w:eastAsia="en-US"/>
            </w:rPr>
          </w:pPr>
          <w:hyperlink w:anchor="_Toc435716760" w:history="1">
            <w:r w:rsidR="00E46179" w:rsidRPr="00D51C03">
              <w:rPr>
                <w:rStyle w:val="Hyperlink"/>
                <w:noProof/>
              </w:rPr>
              <w:t>Definitions and notes: Victoria</w:t>
            </w:r>
            <w:r w:rsidR="00E46179">
              <w:rPr>
                <w:noProof/>
                <w:webHidden/>
              </w:rPr>
              <w:tab/>
            </w:r>
            <w:r w:rsidR="00E46179">
              <w:rPr>
                <w:noProof/>
                <w:webHidden/>
              </w:rPr>
              <w:fldChar w:fldCharType="begin"/>
            </w:r>
            <w:r w:rsidR="00E46179">
              <w:rPr>
                <w:noProof/>
                <w:webHidden/>
              </w:rPr>
              <w:instrText xml:space="preserve"> PAGEREF _Toc435716760 \h </w:instrText>
            </w:r>
            <w:r w:rsidR="00E46179">
              <w:rPr>
                <w:noProof/>
                <w:webHidden/>
              </w:rPr>
            </w:r>
            <w:r w:rsidR="00E46179">
              <w:rPr>
                <w:noProof/>
                <w:webHidden/>
              </w:rPr>
              <w:fldChar w:fldCharType="separate"/>
            </w:r>
            <w:r w:rsidR="00E46179">
              <w:rPr>
                <w:noProof/>
                <w:webHidden/>
              </w:rPr>
              <w:t>96</w:t>
            </w:r>
            <w:r w:rsidR="00E46179">
              <w:rPr>
                <w:noProof/>
                <w:webHidden/>
              </w:rPr>
              <w:fldChar w:fldCharType="end"/>
            </w:r>
          </w:hyperlink>
        </w:p>
        <w:p w14:paraId="55BD4169" w14:textId="77777777" w:rsidR="00E46179" w:rsidRDefault="002418F8">
          <w:pPr>
            <w:pStyle w:val="TOC4"/>
            <w:tabs>
              <w:tab w:val="right" w:leader="dot" w:pos="9620"/>
            </w:tabs>
            <w:rPr>
              <w:noProof/>
              <w:lang w:val="en-US" w:eastAsia="en-US"/>
            </w:rPr>
          </w:pPr>
          <w:hyperlink w:anchor="_Toc435716761" w:history="1">
            <w:r w:rsidR="00E46179" w:rsidRPr="00D51C03">
              <w:rPr>
                <w:rStyle w:val="Hyperlink"/>
                <w:noProof/>
              </w:rPr>
              <w:t>Key data findings and interpretations: Victoria</w:t>
            </w:r>
            <w:r w:rsidR="00E46179">
              <w:rPr>
                <w:noProof/>
                <w:webHidden/>
              </w:rPr>
              <w:tab/>
            </w:r>
            <w:r w:rsidR="00E46179">
              <w:rPr>
                <w:noProof/>
                <w:webHidden/>
              </w:rPr>
              <w:fldChar w:fldCharType="begin"/>
            </w:r>
            <w:r w:rsidR="00E46179">
              <w:rPr>
                <w:noProof/>
                <w:webHidden/>
              </w:rPr>
              <w:instrText xml:space="preserve"> PAGEREF _Toc435716761 \h </w:instrText>
            </w:r>
            <w:r w:rsidR="00E46179">
              <w:rPr>
                <w:noProof/>
                <w:webHidden/>
              </w:rPr>
            </w:r>
            <w:r w:rsidR="00E46179">
              <w:rPr>
                <w:noProof/>
                <w:webHidden/>
              </w:rPr>
              <w:fldChar w:fldCharType="separate"/>
            </w:r>
            <w:r w:rsidR="00E46179">
              <w:rPr>
                <w:noProof/>
                <w:webHidden/>
              </w:rPr>
              <w:t>99</w:t>
            </w:r>
            <w:r w:rsidR="00E46179">
              <w:rPr>
                <w:noProof/>
                <w:webHidden/>
              </w:rPr>
              <w:fldChar w:fldCharType="end"/>
            </w:r>
          </w:hyperlink>
        </w:p>
        <w:p w14:paraId="3B2B2C06" w14:textId="77777777" w:rsidR="00E46179" w:rsidRDefault="002418F8">
          <w:pPr>
            <w:pStyle w:val="TOC3"/>
            <w:tabs>
              <w:tab w:val="right" w:leader="dot" w:pos="9620"/>
            </w:tabs>
            <w:rPr>
              <w:rFonts w:eastAsiaTheme="minorEastAsia"/>
              <w:b w:val="0"/>
              <w:caps w:val="0"/>
              <w:noProof/>
              <w:lang w:val="en-US"/>
            </w:rPr>
          </w:pPr>
          <w:hyperlink w:anchor="_Toc435716763" w:history="1">
            <w:r w:rsidR="00E46179" w:rsidRPr="00D51C03">
              <w:rPr>
                <w:rStyle w:val="Hyperlink"/>
                <w:noProof/>
              </w:rPr>
              <w:t>Stage 2 Part 1: Ten Year Analysis</w:t>
            </w:r>
            <w:r w:rsidR="00E46179">
              <w:rPr>
                <w:noProof/>
                <w:webHidden/>
              </w:rPr>
              <w:tab/>
            </w:r>
            <w:r w:rsidR="00E46179">
              <w:rPr>
                <w:noProof/>
                <w:webHidden/>
              </w:rPr>
              <w:fldChar w:fldCharType="begin"/>
            </w:r>
            <w:r w:rsidR="00E46179">
              <w:rPr>
                <w:noProof/>
                <w:webHidden/>
              </w:rPr>
              <w:instrText xml:space="preserve"> PAGEREF _Toc435716763 \h </w:instrText>
            </w:r>
            <w:r w:rsidR="00E46179">
              <w:rPr>
                <w:noProof/>
                <w:webHidden/>
              </w:rPr>
            </w:r>
            <w:r w:rsidR="00E46179">
              <w:rPr>
                <w:noProof/>
                <w:webHidden/>
              </w:rPr>
              <w:fldChar w:fldCharType="separate"/>
            </w:r>
            <w:r w:rsidR="00E46179">
              <w:rPr>
                <w:noProof/>
                <w:webHidden/>
              </w:rPr>
              <w:t>114</w:t>
            </w:r>
            <w:r w:rsidR="00E46179">
              <w:rPr>
                <w:noProof/>
                <w:webHidden/>
              </w:rPr>
              <w:fldChar w:fldCharType="end"/>
            </w:r>
          </w:hyperlink>
        </w:p>
        <w:p w14:paraId="0244AD90" w14:textId="77777777" w:rsidR="00E46179" w:rsidRDefault="002418F8">
          <w:pPr>
            <w:pStyle w:val="TOC4"/>
            <w:tabs>
              <w:tab w:val="right" w:leader="dot" w:pos="9620"/>
            </w:tabs>
            <w:rPr>
              <w:noProof/>
              <w:lang w:val="en-US" w:eastAsia="en-US"/>
            </w:rPr>
          </w:pPr>
          <w:hyperlink w:anchor="_Toc435716764" w:history="1">
            <w:r w:rsidR="00E46179" w:rsidRPr="00D51C03">
              <w:rPr>
                <w:rStyle w:val="Hyperlink"/>
                <w:noProof/>
              </w:rPr>
              <w:t>Part 1A: Ten year analyses of numbers and outcome of reports</w:t>
            </w:r>
            <w:r w:rsidR="00E46179">
              <w:rPr>
                <w:noProof/>
                <w:webHidden/>
              </w:rPr>
              <w:tab/>
            </w:r>
            <w:r w:rsidR="00E46179">
              <w:rPr>
                <w:noProof/>
                <w:webHidden/>
              </w:rPr>
              <w:fldChar w:fldCharType="begin"/>
            </w:r>
            <w:r w:rsidR="00E46179">
              <w:rPr>
                <w:noProof/>
                <w:webHidden/>
              </w:rPr>
              <w:instrText xml:space="preserve"> PAGEREF _Toc435716764 \h </w:instrText>
            </w:r>
            <w:r w:rsidR="00E46179">
              <w:rPr>
                <w:noProof/>
                <w:webHidden/>
              </w:rPr>
            </w:r>
            <w:r w:rsidR="00E46179">
              <w:rPr>
                <w:noProof/>
                <w:webHidden/>
              </w:rPr>
              <w:fldChar w:fldCharType="separate"/>
            </w:r>
            <w:r w:rsidR="00E46179">
              <w:rPr>
                <w:noProof/>
                <w:webHidden/>
              </w:rPr>
              <w:t>114</w:t>
            </w:r>
            <w:r w:rsidR="00E46179">
              <w:rPr>
                <w:noProof/>
                <w:webHidden/>
              </w:rPr>
              <w:fldChar w:fldCharType="end"/>
            </w:r>
          </w:hyperlink>
        </w:p>
        <w:p w14:paraId="1FC31673" w14:textId="77777777" w:rsidR="00E46179" w:rsidRDefault="002418F8">
          <w:pPr>
            <w:pStyle w:val="TOC4"/>
            <w:tabs>
              <w:tab w:val="right" w:leader="dot" w:pos="9620"/>
            </w:tabs>
            <w:rPr>
              <w:noProof/>
              <w:lang w:val="en-US" w:eastAsia="en-US"/>
            </w:rPr>
          </w:pPr>
          <w:hyperlink w:anchor="_Toc435716765" w:history="1">
            <w:r w:rsidR="00E46179" w:rsidRPr="00D51C03">
              <w:rPr>
                <w:rStyle w:val="Hyperlink"/>
                <w:noProof/>
              </w:rPr>
              <w:t>Part 1B: Ten year analysis of reporting of individual abuse types</w:t>
            </w:r>
            <w:r w:rsidR="00E46179">
              <w:rPr>
                <w:noProof/>
                <w:webHidden/>
              </w:rPr>
              <w:tab/>
            </w:r>
            <w:r w:rsidR="00E46179">
              <w:rPr>
                <w:noProof/>
                <w:webHidden/>
              </w:rPr>
              <w:fldChar w:fldCharType="begin"/>
            </w:r>
            <w:r w:rsidR="00E46179">
              <w:rPr>
                <w:noProof/>
                <w:webHidden/>
              </w:rPr>
              <w:instrText xml:space="preserve"> PAGEREF _Toc435716765 \h </w:instrText>
            </w:r>
            <w:r w:rsidR="00E46179">
              <w:rPr>
                <w:noProof/>
                <w:webHidden/>
              </w:rPr>
            </w:r>
            <w:r w:rsidR="00E46179">
              <w:rPr>
                <w:noProof/>
                <w:webHidden/>
              </w:rPr>
              <w:fldChar w:fldCharType="separate"/>
            </w:r>
            <w:r w:rsidR="00E46179">
              <w:rPr>
                <w:noProof/>
                <w:webHidden/>
              </w:rPr>
              <w:t>133</w:t>
            </w:r>
            <w:r w:rsidR="00E46179">
              <w:rPr>
                <w:noProof/>
                <w:webHidden/>
              </w:rPr>
              <w:fldChar w:fldCharType="end"/>
            </w:r>
          </w:hyperlink>
        </w:p>
        <w:p w14:paraId="1A4108E8" w14:textId="77777777" w:rsidR="00E46179" w:rsidRDefault="002418F8">
          <w:pPr>
            <w:pStyle w:val="TOC4"/>
            <w:tabs>
              <w:tab w:val="right" w:leader="dot" w:pos="9620"/>
            </w:tabs>
            <w:rPr>
              <w:noProof/>
              <w:lang w:val="en-US" w:eastAsia="en-US"/>
            </w:rPr>
          </w:pPr>
          <w:hyperlink w:anchor="_Toc435716766" w:history="1">
            <w:r w:rsidR="00E46179" w:rsidRPr="00D51C03">
              <w:rPr>
                <w:rStyle w:val="Hyperlink"/>
                <w:noProof/>
              </w:rPr>
              <w:t>Part 1C: Ten year analysis of reporting by different reporter groups</w:t>
            </w:r>
            <w:r w:rsidR="00E46179">
              <w:rPr>
                <w:noProof/>
                <w:webHidden/>
              </w:rPr>
              <w:tab/>
            </w:r>
            <w:r w:rsidR="00E46179">
              <w:rPr>
                <w:noProof/>
                <w:webHidden/>
              </w:rPr>
              <w:fldChar w:fldCharType="begin"/>
            </w:r>
            <w:r w:rsidR="00E46179">
              <w:rPr>
                <w:noProof/>
                <w:webHidden/>
              </w:rPr>
              <w:instrText xml:space="preserve"> PAGEREF _Toc435716766 \h </w:instrText>
            </w:r>
            <w:r w:rsidR="00E46179">
              <w:rPr>
                <w:noProof/>
                <w:webHidden/>
              </w:rPr>
            </w:r>
            <w:r w:rsidR="00E46179">
              <w:rPr>
                <w:noProof/>
                <w:webHidden/>
              </w:rPr>
              <w:fldChar w:fldCharType="separate"/>
            </w:r>
            <w:r w:rsidR="00E46179">
              <w:rPr>
                <w:noProof/>
                <w:webHidden/>
              </w:rPr>
              <w:t>142</w:t>
            </w:r>
            <w:r w:rsidR="00E46179">
              <w:rPr>
                <w:noProof/>
                <w:webHidden/>
              </w:rPr>
              <w:fldChar w:fldCharType="end"/>
            </w:r>
          </w:hyperlink>
        </w:p>
        <w:p w14:paraId="4BFF6F91" w14:textId="77777777" w:rsidR="00E46179" w:rsidRDefault="002418F8">
          <w:pPr>
            <w:pStyle w:val="TOC3"/>
            <w:tabs>
              <w:tab w:val="right" w:leader="dot" w:pos="9620"/>
            </w:tabs>
            <w:rPr>
              <w:rFonts w:eastAsiaTheme="minorEastAsia"/>
              <w:b w:val="0"/>
              <w:caps w:val="0"/>
              <w:noProof/>
              <w:lang w:val="en-US"/>
            </w:rPr>
          </w:pPr>
          <w:hyperlink w:anchor="_Toc435716767" w:history="1">
            <w:r w:rsidR="00E46179" w:rsidRPr="00D51C03">
              <w:rPr>
                <w:rStyle w:val="Hyperlink"/>
                <w:noProof/>
              </w:rPr>
              <w:t>Stage 2 Part 2: Detailed Yearly Analyses</w:t>
            </w:r>
            <w:r w:rsidR="00E46179">
              <w:rPr>
                <w:noProof/>
                <w:webHidden/>
              </w:rPr>
              <w:tab/>
            </w:r>
            <w:r w:rsidR="00E46179">
              <w:rPr>
                <w:noProof/>
                <w:webHidden/>
              </w:rPr>
              <w:fldChar w:fldCharType="begin"/>
            </w:r>
            <w:r w:rsidR="00E46179">
              <w:rPr>
                <w:noProof/>
                <w:webHidden/>
              </w:rPr>
              <w:instrText xml:space="preserve"> PAGEREF _Toc435716767 \h </w:instrText>
            </w:r>
            <w:r w:rsidR="00E46179">
              <w:rPr>
                <w:noProof/>
                <w:webHidden/>
              </w:rPr>
            </w:r>
            <w:r w:rsidR="00E46179">
              <w:rPr>
                <w:noProof/>
                <w:webHidden/>
              </w:rPr>
              <w:fldChar w:fldCharType="separate"/>
            </w:r>
            <w:r w:rsidR="00E46179">
              <w:rPr>
                <w:noProof/>
                <w:webHidden/>
              </w:rPr>
              <w:t>158</w:t>
            </w:r>
            <w:r w:rsidR="00E46179">
              <w:rPr>
                <w:noProof/>
                <w:webHidden/>
              </w:rPr>
              <w:fldChar w:fldCharType="end"/>
            </w:r>
          </w:hyperlink>
        </w:p>
        <w:p w14:paraId="2167EBDD" w14:textId="77777777" w:rsidR="00E46179" w:rsidRDefault="002418F8">
          <w:pPr>
            <w:pStyle w:val="TOC4"/>
            <w:tabs>
              <w:tab w:val="right" w:leader="dot" w:pos="9620"/>
            </w:tabs>
            <w:rPr>
              <w:noProof/>
              <w:lang w:val="en-US" w:eastAsia="en-US"/>
            </w:rPr>
          </w:pPr>
          <w:hyperlink w:anchor="_Toc435716768" w:history="1">
            <w:r w:rsidR="00E46179" w:rsidRPr="00D51C03">
              <w:rPr>
                <w:rStyle w:val="Hyperlink"/>
                <w:noProof/>
              </w:rPr>
              <w:t>Part 2: Detailed yearly analyses</w:t>
            </w:r>
            <w:r w:rsidR="00E46179">
              <w:rPr>
                <w:noProof/>
                <w:webHidden/>
              </w:rPr>
              <w:tab/>
            </w:r>
            <w:r w:rsidR="00E46179">
              <w:rPr>
                <w:noProof/>
                <w:webHidden/>
              </w:rPr>
              <w:fldChar w:fldCharType="begin"/>
            </w:r>
            <w:r w:rsidR="00E46179">
              <w:rPr>
                <w:noProof/>
                <w:webHidden/>
              </w:rPr>
              <w:instrText xml:space="preserve"> PAGEREF _Toc435716768 \h </w:instrText>
            </w:r>
            <w:r w:rsidR="00E46179">
              <w:rPr>
                <w:noProof/>
                <w:webHidden/>
              </w:rPr>
            </w:r>
            <w:r w:rsidR="00E46179">
              <w:rPr>
                <w:noProof/>
                <w:webHidden/>
              </w:rPr>
              <w:fldChar w:fldCharType="separate"/>
            </w:r>
            <w:r w:rsidR="00E46179">
              <w:rPr>
                <w:noProof/>
                <w:webHidden/>
              </w:rPr>
              <w:t>158</w:t>
            </w:r>
            <w:r w:rsidR="00E46179">
              <w:rPr>
                <w:noProof/>
                <w:webHidden/>
              </w:rPr>
              <w:fldChar w:fldCharType="end"/>
            </w:r>
          </w:hyperlink>
        </w:p>
        <w:p w14:paraId="2AD03D20" w14:textId="77777777" w:rsidR="00E46179" w:rsidRDefault="002418F8">
          <w:pPr>
            <w:pStyle w:val="TOC3"/>
            <w:tabs>
              <w:tab w:val="right" w:leader="dot" w:pos="9620"/>
            </w:tabs>
            <w:rPr>
              <w:rFonts w:eastAsiaTheme="minorEastAsia"/>
              <w:b w:val="0"/>
              <w:caps w:val="0"/>
              <w:noProof/>
              <w:lang w:val="en-US"/>
            </w:rPr>
          </w:pPr>
          <w:hyperlink w:anchor="_Toc435716769" w:history="1">
            <w:r w:rsidR="00E46179" w:rsidRPr="00D51C03">
              <w:rPr>
                <w:rStyle w:val="Hyperlink"/>
                <w:noProof/>
              </w:rPr>
              <w:t>Stage 2 Part 3: Reports of Distinct Children</w:t>
            </w:r>
            <w:r w:rsidR="00E46179">
              <w:rPr>
                <w:noProof/>
                <w:webHidden/>
              </w:rPr>
              <w:tab/>
            </w:r>
            <w:r w:rsidR="00E46179">
              <w:rPr>
                <w:noProof/>
                <w:webHidden/>
              </w:rPr>
              <w:fldChar w:fldCharType="begin"/>
            </w:r>
            <w:r w:rsidR="00E46179">
              <w:rPr>
                <w:noProof/>
                <w:webHidden/>
              </w:rPr>
              <w:instrText xml:space="preserve"> PAGEREF _Toc435716769 \h </w:instrText>
            </w:r>
            <w:r w:rsidR="00E46179">
              <w:rPr>
                <w:noProof/>
                <w:webHidden/>
              </w:rPr>
            </w:r>
            <w:r w:rsidR="00E46179">
              <w:rPr>
                <w:noProof/>
                <w:webHidden/>
              </w:rPr>
              <w:fldChar w:fldCharType="separate"/>
            </w:r>
            <w:r w:rsidR="00E46179">
              <w:rPr>
                <w:noProof/>
                <w:webHidden/>
              </w:rPr>
              <w:t>189</w:t>
            </w:r>
            <w:r w:rsidR="00E46179">
              <w:rPr>
                <w:noProof/>
                <w:webHidden/>
              </w:rPr>
              <w:fldChar w:fldCharType="end"/>
            </w:r>
          </w:hyperlink>
        </w:p>
        <w:p w14:paraId="11C5C52D" w14:textId="77777777" w:rsidR="00E46179" w:rsidRDefault="002418F8">
          <w:pPr>
            <w:pStyle w:val="TOC4"/>
            <w:tabs>
              <w:tab w:val="right" w:leader="dot" w:pos="9620"/>
            </w:tabs>
            <w:rPr>
              <w:noProof/>
              <w:lang w:val="en-US" w:eastAsia="en-US"/>
            </w:rPr>
          </w:pPr>
          <w:hyperlink w:anchor="_Toc435716770" w:history="1">
            <w:r w:rsidR="00E46179" w:rsidRPr="00D51C03">
              <w:rPr>
                <w:rStyle w:val="Hyperlink"/>
                <w:noProof/>
              </w:rPr>
              <w:t>Part 3</w:t>
            </w:r>
            <w:r w:rsidR="00E46179" w:rsidRPr="00D51C03">
              <w:rPr>
                <w:rStyle w:val="Hyperlink"/>
                <w:caps/>
                <w:noProof/>
              </w:rPr>
              <w:t>:</w:t>
            </w:r>
            <w:r w:rsidR="00E46179" w:rsidRPr="00D51C03">
              <w:rPr>
                <w:rStyle w:val="Hyperlink"/>
                <w:noProof/>
              </w:rPr>
              <w:t xml:space="preserve"> Reports of distinct children</w:t>
            </w:r>
            <w:r w:rsidR="00E46179">
              <w:rPr>
                <w:noProof/>
                <w:webHidden/>
              </w:rPr>
              <w:tab/>
            </w:r>
            <w:r w:rsidR="00E46179">
              <w:rPr>
                <w:noProof/>
                <w:webHidden/>
              </w:rPr>
              <w:fldChar w:fldCharType="begin"/>
            </w:r>
            <w:r w:rsidR="00E46179">
              <w:rPr>
                <w:noProof/>
                <w:webHidden/>
              </w:rPr>
              <w:instrText xml:space="preserve"> PAGEREF _Toc435716770 \h </w:instrText>
            </w:r>
            <w:r w:rsidR="00E46179">
              <w:rPr>
                <w:noProof/>
                <w:webHidden/>
              </w:rPr>
            </w:r>
            <w:r w:rsidR="00E46179">
              <w:rPr>
                <w:noProof/>
                <w:webHidden/>
              </w:rPr>
              <w:fldChar w:fldCharType="separate"/>
            </w:r>
            <w:r w:rsidR="00E46179">
              <w:rPr>
                <w:noProof/>
                <w:webHidden/>
              </w:rPr>
              <w:t>189</w:t>
            </w:r>
            <w:r w:rsidR="00E46179">
              <w:rPr>
                <w:noProof/>
                <w:webHidden/>
              </w:rPr>
              <w:fldChar w:fldCharType="end"/>
            </w:r>
          </w:hyperlink>
        </w:p>
        <w:p w14:paraId="6B2A0CF0" w14:textId="77777777" w:rsidR="00E46179" w:rsidRDefault="002418F8">
          <w:pPr>
            <w:pStyle w:val="TOC3"/>
            <w:tabs>
              <w:tab w:val="right" w:leader="dot" w:pos="9620"/>
            </w:tabs>
            <w:rPr>
              <w:rFonts w:eastAsiaTheme="minorEastAsia"/>
              <w:b w:val="0"/>
              <w:caps w:val="0"/>
              <w:noProof/>
              <w:lang w:val="en-US"/>
            </w:rPr>
          </w:pPr>
          <w:hyperlink w:anchor="_Toc435716771" w:history="1">
            <w:r w:rsidR="00E46179" w:rsidRPr="00D51C03">
              <w:rPr>
                <w:rStyle w:val="Hyperlink"/>
                <w:noProof/>
              </w:rPr>
              <w:t>Stage 2 Appendix 1</w:t>
            </w:r>
            <w:r w:rsidR="00E46179">
              <w:rPr>
                <w:noProof/>
                <w:webHidden/>
              </w:rPr>
              <w:tab/>
            </w:r>
            <w:r w:rsidR="00E46179">
              <w:rPr>
                <w:noProof/>
                <w:webHidden/>
              </w:rPr>
              <w:fldChar w:fldCharType="begin"/>
            </w:r>
            <w:r w:rsidR="00E46179">
              <w:rPr>
                <w:noProof/>
                <w:webHidden/>
              </w:rPr>
              <w:instrText xml:space="preserve"> PAGEREF _Toc435716771 \h </w:instrText>
            </w:r>
            <w:r w:rsidR="00E46179">
              <w:rPr>
                <w:noProof/>
                <w:webHidden/>
              </w:rPr>
            </w:r>
            <w:r w:rsidR="00E46179">
              <w:rPr>
                <w:noProof/>
                <w:webHidden/>
              </w:rPr>
              <w:fldChar w:fldCharType="separate"/>
            </w:r>
            <w:r w:rsidR="00E46179">
              <w:rPr>
                <w:noProof/>
                <w:webHidden/>
              </w:rPr>
              <w:t>226</w:t>
            </w:r>
            <w:r w:rsidR="00E46179">
              <w:rPr>
                <w:noProof/>
                <w:webHidden/>
              </w:rPr>
              <w:fldChar w:fldCharType="end"/>
            </w:r>
          </w:hyperlink>
        </w:p>
        <w:p w14:paraId="473F38DD" w14:textId="77777777" w:rsidR="00E46179" w:rsidRDefault="002418F8">
          <w:pPr>
            <w:pStyle w:val="TOC3"/>
            <w:tabs>
              <w:tab w:val="right" w:leader="dot" w:pos="9620"/>
            </w:tabs>
            <w:rPr>
              <w:rFonts w:eastAsiaTheme="minorEastAsia"/>
              <w:b w:val="0"/>
              <w:caps w:val="0"/>
              <w:noProof/>
              <w:lang w:val="en-US"/>
            </w:rPr>
          </w:pPr>
          <w:hyperlink w:anchor="_Toc435716772" w:history="1">
            <w:r w:rsidR="00E46179" w:rsidRPr="00D51C03">
              <w:rPr>
                <w:rStyle w:val="Hyperlink"/>
                <w:noProof/>
              </w:rPr>
              <w:t>Stage 3: Two Literature Reviews</w:t>
            </w:r>
            <w:r w:rsidR="00E46179">
              <w:rPr>
                <w:noProof/>
                <w:webHidden/>
              </w:rPr>
              <w:tab/>
            </w:r>
            <w:r w:rsidR="00E46179">
              <w:rPr>
                <w:noProof/>
                <w:webHidden/>
              </w:rPr>
              <w:fldChar w:fldCharType="begin"/>
            </w:r>
            <w:r w:rsidR="00E46179">
              <w:rPr>
                <w:noProof/>
                <w:webHidden/>
              </w:rPr>
              <w:instrText xml:space="preserve"> PAGEREF _Toc435716772 \h </w:instrText>
            </w:r>
            <w:r w:rsidR="00E46179">
              <w:rPr>
                <w:noProof/>
                <w:webHidden/>
              </w:rPr>
            </w:r>
            <w:r w:rsidR="00E46179">
              <w:rPr>
                <w:noProof/>
                <w:webHidden/>
              </w:rPr>
              <w:fldChar w:fldCharType="separate"/>
            </w:r>
            <w:r w:rsidR="00E46179">
              <w:rPr>
                <w:noProof/>
                <w:webHidden/>
              </w:rPr>
              <w:t>228</w:t>
            </w:r>
            <w:r w:rsidR="00E46179">
              <w:rPr>
                <w:noProof/>
                <w:webHidden/>
              </w:rPr>
              <w:fldChar w:fldCharType="end"/>
            </w:r>
          </w:hyperlink>
        </w:p>
        <w:p w14:paraId="5F7562DB" w14:textId="77777777" w:rsidR="00E46179" w:rsidRDefault="002418F8">
          <w:pPr>
            <w:pStyle w:val="TOC4"/>
            <w:tabs>
              <w:tab w:val="right" w:leader="dot" w:pos="9620"/>
            </w:tabs>
            <w:rPr>
              <w:noProof/>
              <w:lang w:val="en-US" w:eastAsia="en-US"/>
            </w:rPr>
          </w:pPr>
          <w:hyperlink w:anchor="_Toc435716773" w:history="1">
            <w:r w:rsidR="00E46179" w:rsidRPr="00D51C03">
              <w:rPr>
                <w:rStyle w:val="Hyperlink"/>
                <w:noProof/>
              </w:rPr>
              <w:t>Overview</w:t>
            </w:r>
            <w:r w:rsidR="00E46179">
              <w:rPr>
                <w:noProof/>
                <w:webHidden/>
              </w:rPr>
              <w:tab/>
            </w:r>
            <w:r w:rsidR="00E46179">
              <w:rPr>
                <w:noProof/>
                <w:webHidden/>
              </w:rPr>
              <w:fldChar w:fldCharType="begin"/>
            </w:r>
            <w:r w:rsidR="00E46179">
              <w:rPr>
                <w:noProof/>
                <w:webHidden/>
              </w:rPr>
              <w:instrText xml:space="preserve"> PAGEREF _Toc435716773 \h </w:instrText>
            </w:r>
            <w:r w:rsidR="00E46179">
              <w:rPr>
                <w:noProof/>
                <w:webHidden/>
              </w:rPr>
            </w:r>
            <w:r w:rsidR="00E46179">
              <w:rPr>
                <w:noProof/>
                <w:webHidden/>
              </w:rPr>
              <w:fldChar w:fldCharType="separate"/>
            </w:r>
            <w:r w:rsidR="00E46179">
              <w:rPr>
                <w:noProof/>
                <w:webHidden/>
              </w:rPr>
              <w:t>228</w:t>
            </w:r>
            <w:r w:rsidR="00E46179">
              <w:rPr>
                <w:noProof/>
                <w:webHidden/>
              </w:rPr>
              <w:fldChar w:fldCharType="end"/>
            </w:r>
          </w:hyperlink>
        </w:p>
        <w:p w14:paraId="355E4CF7" w14:textId="77777777" w:rsidR="00E46179" w:rsidRDefault="002418F8">
          <w:pPr>
            <w:pStyle w:val="TOC4"/>
            <w:tabs>
              <w:tab w:val="left" w:pos="1320"/>
              <w:tab w:val="right" w:leader="dot" w:pos="9620"/>
            </w:tabs>
            <w:rPr>
              <w:noProof/>
              <w:lang w:val="en-US" w:eastAsia="en-US"/>
            </w:rPr>
          </w:pPr>
          <w:hyperlink w:anchor="_Toc435716774" w:history="1">
            <w:r w:rsidR="00E46179" w:rsidRPr="00D51C03">
              <w:rPr>
                <w:rStyle w:val="Hyperlink"/>
                <w:noProof/>
              </w:rPr>
              <w:t>3.1</w:t>
            </w:r>
            <w:r w:rsidR="00E46179">
              <w:rPr>
                <w:noProof/>
                <w:lang w:val="en-US" w:eastAsia="en-US"/>
              </w:rPr>
              <w:tab/>
            </w:r>
            <w:r w:rsidR="00E46179" w:rsidRPr="00D51C03">
              <w:rPr>
                <w:rStyle w:val="Hyperlink"/>
                <w:noProof/>
              </w:rPr>
              <w:t>Literature review 1: Factors influencing mandatory reporting of child abuse and neglect</w:t>
            </w:r>
            <w:r w:rsidR="00E46179">
              <w:rPr>
                <w:noProof/>
                <w:webHidden/>
              </w:rPr>
              <w:tab/>
            </w:r>
            <w:r w:rsidR="00E46179">
              <w:rPr>
                <w:noProof/>
                <w:webHidden/>
              </w:rPr>
              <w:fldChar w:fldCharType="begin"/>
            </w:r>
            <w:r w:rsidR="00E46179">
              <w:rPr>
                <w:noProof/>
                <w:webHidden/>
              </w:rPr>
              <w:instrText xml:space="preserve"> PAGEREF _Toc435716774 \h </w:instrText>
            </w:r>
            <w:r w:rsidR="00E46179">
              <w:rPr>
                <w:noProof/>
                <w:webHidden/>
              </w:rPr>
            </w:r>
            <w:r w:rsidR="00E46179">
              <w:rPr>
                <w:noProof/>
                <w:webHidden/>
              </w:rPr>
              <w:fldChar w:fldCharType="separate"/>
            </w:r>
            <w:r w:rsidR="00E46179">
              <w:rPr>
                <w:noProof/>
                <w:webHidden/>
              </w:rPr>
              <w:t>229</w:t>
            </w:r>
            <w:r w:rsidR="00E46179">
              <w:rPr>
                <w:noProof/>
                <w:webHidden/>
              </w:rPr>
              <w:fldChar w:fldCharType="end"/>
            </w:r>
          </w:hyperlink>
        </w:p>
        <w:p w14:paraId="7DBB7EA9" w14:textId="77777777" w:rsidR="00E46179" w:rsidRDefault="002418F8">
          <w:pPr>
            <w:pStyle w:val="TOC4"/>
            <w:tabs>
              <w:tab w:val="left" w:pos="1320"/>
              <w:tab w:val="right" w:leader="dot" w:pos="9620"/>
            </w:tabs>
            <w:rPr>
              <w:noProof/>
              <w:lang w:val="en-US" w:eastAsia="en-US"/>
            </w:rPr>
          </w:pPr>
          <w:hyperlink w:anchor="_Toc435716775" w:history="1">
            <w:r w:rsidR="00E46179" w:rsidRPr="00D51C03">
              <w:rPr>
                <w:rStyle w:val="Hyperlink"/>
                <w:noProof/>
              </w:rPr>
              <w:t>3.2</w:t>
            </w:r>
            <w:r w:rsidR="00E46179">
              <w:rPr>
                <w:noProof/>
                <w:lang w:val="en-US" w:eastAsia="en-US"/>
              </w:rPr>
              <w:tab/>
            </w:r>
            <w:r w:rsidR="00E46179" w:rsidRPr="00D51C03">
              <w:rPr>
                <w:rStyle w:val="Hyperlink"/>
                <w:noProof/>
              </w:rPr>
              <w:t>Literature review 2: Theoretical critiques of mandatory reporting laws</w:t>
            </w:r>
            <w:r w:rsidR="00E46179">
              <w:rPr>
                <w:noProof/>
                <w:webHidden/>
              </w:rPr>
              <w:tab/>
            </w:r>
            <w:r w:rsidR="00E46179">
              <w:rPr>
                <w:noProof/>
                <w:webHidden/>
              </w:rPr>
              <w:fldChar w:fldCharType="begin"/>
            </w:r>
            <w:r w:rsidR="00E46179">
              <w:rPr>
                <w:noProof/>
                <w:webHidden/>
              </w:rPr>
              <w:instrText xml:space="preserve"> PAGEREF _Toc435716775 \h </w:instrText>
            </w:r>
            <w:r w:rsidR="00E46179">
              <w:rPr>
                <w:noProof/>
                <w:webHidden/>
              </w:rPr>
            </w:r>
            <w:r w:rsidR="00E46179">
              <w:rPr>
                <w:noProof/>
                <w:webHidden/>
              </w:rPr>
              <w:fldChar w:fldCharType="separate"/>
            </w:r>
            <w:r w:rsidR="00E46179">
              <w:rPr>
                <w:noProof/>
                <w:webHidden/>
              </w:rPr>
              <w:t>249</w:t>
            </w:r>
            <w:r w:rsidR="00E46179">
              <w:rPr>
                <w:noProof/>
                <w:webHidden/>
              </w:rPr>
              <w:fldChar w:fldCharType="end"/>
            </w:r>
          </w:hyperlink>
        </w:p>
        <w:p w14:paraId="1CF71EEB" w14:textId="77777777" w:rsidR="00E46179" w:rsidRDefault="002418F8">
          <w:pPr>
            <w:pStyle w:val="TOC3"/>
            <w:tabs>
              <w:tab w:val="right" w:leader="dot" w:pos="9620"/>
            </w:tabs>
            <w:rPr>
              <w:rFonts w:eastAsiaTheme="minorEastAsia"/>
              <w:b w:val="0"/>
              <w:caps w:val="0"/>
              <w:noProof/>
              <w:lang w:val="en-US"/>
            </w:rPr>
          </w:pPr>
          <w:hyperlink w:anchor="_Toc435716776" w:history="1">
            <w:r w:rsidR="00E46179" w:rsidRPr="00D51C03">
              <w:rPr>
                <w:rStyle w:val="Hyperlink"/>
                <w:noProof/>
              </w:rPr>
              <w:t>Appendix 1: Research Approach</w:t>
            </w:r>
            <w:r w:rsidR="00E46179">
              <w:rPr>
                <w:noProof/>
                <w:webHidden/>
              </w:rPr>
              <w:tab/>
            </w:r>
            <w:r w:rsidR="00E46179">
              <w:rPr>
                <w:noProof/>
                <w:webHidden/>
              </w:rPr>
              <w:fldChar w:fldCharType="begin"/>
            </w:r>
            <w:r w:rsidR="00E46179">
              <w:rPr>
                <w:noProof/>
                <w:webHidden/>
              </w:rPr>
              <w:instrText xml:space="preserve"> PAGEREF _Toc435716776 \h </w:instrText>
            </w:r>
            <w:r w:rsidR="00E46179">
              <w:rPr>
                <w:noProof/>
                <w:webHidden/>
              </w:rPr>
            </w:r>
            <w:r w:rsidR="00E46179">
              <w:rPr>
                <w:noProof/>
                <w:webHidden/>
              </w:rPr>
              <w:fldChar w:fldCharType="separate"/>
            </w:r>
            <w:r w:rsidR="00E46179">
              <w:rPr>
                <w:noProof/>
                <w:webHidden/>
              </w:rPr>
              <w:t>266</w:t>
            </w:r>
            <w:r w:rsidR="00E46179">
              <w:rPr>
                <w:noProof/>
                <w:webHidden/>
              </w:rPr>
              <w:fldChar w:fldCharType="end"/>
            </w:r>
          </w:hyperlink>
        </w:p>
        <w:p w14:paraId="4F69EB39" w14:textId="77777777" w:rsidR="00E46179" w:rsidRDefault="002418F8">
          <w:pPr>
            <w:pStyle w:val="TOC4"/>
            <w:tabs>
              <w:tab w:val="right" w:leader="dot" w:pos="9620"/>
            </w:tabs>
            <w:rPr>
              <w:noProof/>
              <w:lang w:val="en-US" w:eastAsia="en-US"/>
            </w:rPr>
          </w:pPr>
          <w:hyperlink w:anchor="_Toc435716777" w:history="1">
            <w:r w:rsidR="00E46179" w:rsidRPr="00D51C03">
              <w:rPr>
                <w:rStyle w:val="Hyperlink"/>
                <w:noProof/>
              </w:rPr>
              <w:t>Overview</w:t>
            </w:r>
            <w:r w:rsidR="00E46179">
              <w:rPr>
                <w:noProof/>
                <w:webHidden/>
              </w:rPr>
              <w:tab/>
            </w:r>
            <w:r w:rsidR="00E46179">
              <w:rPr>
                <w:noProof/>
                <w:webHidden/>
              </w:rPr>
              <w:fldChar w:fldCharType="begin"/>
            </w:r>
            <w:r w:rsidR="00E46179">
              <w:rPr>
                <w:noProof/>
                <w:webHidden/>
              </w:rPr>
              <w:instrText xml:space="preserve"> PAGEREF _Toc435716777 \h </w:instrText>
            </w:r>
            <w:r w:rsidR="00E46179">
              <w:rPr>
                <w:noProof/>
                <w:webHidden/>
              </w:rPr>
            </w:r>
            <w:r w:rsidR="00E46179">
              <w:rPr>
                <w:noProof/>
                <w:webHidden/>
              </w:rPr>
              <w:fldChar w:fldCharType="separate"/>
            </w:r>
            <w:r w:rsidR="00E46179">
              <w:rPr>
                <w:noProof/>
                <w:webHidden/>
              </w:rPr>
              <w:t>266</w:t>
            </w:r>
            <w:r w:rsidR="00E46179">
              <w:rPr>
                <w:noProof/>
                <w:webHidden/>
              </w:rPr>
              <w:fldChar w:fldCharType="end"/>
            </w:r>
          </w:hyperlink>
        </w:p>
        <w:p w14:paraId="2D71B8FC" w14:textId="77777777" w:rsidR="00E46179" w:rsidRDefault="002418F8">
          <w:pPr>
            <w:pStyle w:val="TOC4"/>
            <w:tabs>
              <w:tab w:val="right" w:leader="dot" w:pos="9620"/>
            </w:tabs>
            <w:rPr>
              <w:noProof/>
              <w:lang w:val="en-US" w:eastAsia="en-US"/>
            </w:rPr>
          </w:pPr>
          <w:hyperlink w:anchor="_Toc435716778" w:history="1">
            <w:r w:rsidR="00E46179" w:rsidRPr="00D51C03">
              <w:rPr>
                <w:rStyle w:val="Hyperlink"/>
                <w:noProof/>
              </w:rPr>
              <w:t>Stage 1: Legal doctrinal and historical analysis of legislative mandatory reporting duties in each Australian State and Territory</w:t>
            </w:r>
            <w:r w:rsidR="00E46179">
              <w:rPr>
                <w:noProof/>
                <w:webHidden/>
              </w:rPr>
              <w:tab/>
            </w:r>
            <w:r w:rsidR="00E46179">
              <w:rPr>
                <w:noProof/>
                <w:webHidden/>
              </w:rPr>
              <w:fldChar w:fldCharType="begin"/>
            </w:r>
            <w:r w:rsidR="00E46179">
              <w:rPr>
                <w:noProof/>
                <w:webHidden/>
              </w:rPr>
              <w:instrText xml:space="preserve"> PAGEREF _Toc435716778 \h </w:instrText>
            </w:r>
            <w:r w:rsidR="00E46179">
              <w:rPr>
                <w:noProof/>
                <w:webHidden/>
              </w:rPr>
            </w:r>
            <w:r w:rsidR="00E46179">
              <w:rPr>
                <w:noProof/>
                <w:webHidden/>
              </w:rPr>
              <w:fldChar w:fldCharType="separate"/>
            </w:r>
            <w:r w:rsidR="00E46179">
              <w:rPr>
                <w:noProof/>
                <w:webHidden/>
              </w:rPr>
              <w:t>267</w:t>
            </w:r>
            <w:r w:rsidR="00E46179">
              <w:rPr>
                <w:noProof/>
                <w:webHidden/>
              </w:rPr>
              <w:fldChar w:fldCharType="end"/>
            </w:r>
          </w:hyperlink>
        </w:p>
        <w:p w14:paraId="7ED255C3" w14:textId="77777777" w:rsidR="00E46179" w:rsidRDefault="002418F8">
          <w:pPr>
            <w:pStyle w:val="TOC4"/>
            <w:tabs>
              <w:tab w:val="right" w:leader="dot" w:pos="9620"/>
            </w:tabs>
            <w:rPr>
              <w:noProof/>
              <w:lang w:val="en-US" w:eastAsia="en-US"/>
            </w:rPr>
          </w:pPr>
          <w:hyperlink w:anchor="_Toc435716779" w:history="1">
            <w:r w:rsidR="00E46179" w:rsidRPr="00D51C03">
              <w:rPr>
                <w:rStyle w:val="Hyperlink"/>
                <w:noProof/>
              </w:rPr>
              <w:t>Stage 2: Numbers and outcomes of notifications of each type of child abuse and neglect: Descriptive analysis and data mining</w:t>
            </w:r>
            <w:r w:rsidR="00E46179">
              <w:rPr>
                <w:noProof/>
                <w:webHidden/>
              </w:rPr>
              <w:tab/>
            </w:r>
            <w:r w:rsidR="00E46179">
              <w:rPr>
                <w:noProof/>
                <w:webHidden/>
              </w:rPr>
              <w:fldChar w:fldCharType="begin"/>
            </w:r>
            <w:r w:rsidR="00E46179">
              <w:rPr>
                <w:noProof/>
                <w:webHidden/>
              </w:rPr>
              <w:instrText xml:space="preserve"> PAGEREF _Toc435716779 \h </w:instrText>
            </w:r>
            <w:r w:rsidR="00E46179">
              <w:rPr>
                <w:noProof/>
                <w:webHidden/>
              </w:rPr>
            </w:r>
            <w:r w:rsidR="00E46179">
              <w:rPr>
                <w:noProof/>
                <w:webHidden/>
              </w:rPr>
              <w:fldChar w:fldCharType="separate"/>
            </w:r>
            <w:r w:rsidR="00E46179">
              <w:rPr>
                <w:noProof/>
                <w:webHidden/>
              </w:rPr>
              <w:t>267</w:t>
            </w:r>
            <w:r w:rsidR="00E46179">
              <w:rPr>
                <w:noProof/>
                <w:webHidden/>
              </w:rPr>
              <w:fldChar w:fldCharType="end"/>
            </w:r>
          </w:hyperlink>
        </w:p>
        <w:p w14:paraId="66311F36" w14:textId="77777777" w:rsidR="00E46179" w:rsidRDefault="002418F8">
          <w:pPr>
            <w:pStyle w:val="TOC4"/>
            <w:tabs>
              <w:tab w:val="right" w:leader="dot" w:pos="9620"/>
            </w:tabs>
            <w:rPr>
              <w:noProof/>
              <w:lang w:val="en-US" w:eastAsia="en-US"/>
            </w:rPr>
          </w:pPr>
          <w:hyperlink w:anchor="_Toc435716780" w:history="1">
            <w:r w:rsidR="00E46179" w:rsidRPr="00D51C03">
              <w:rPr>
                <w:rStyle w:val="Hyperlink"/>
                <w:noProof/>
              </w:rPr>
              <w:t>Stage 3: Literature reviews</w:t>
            </w:r>
            <w:r w:rsidR="00E46179">
              <w:rPr>
                <w:noProof/>
                <w:webHidden/>
              </w:rPr>
              <w:tab/>
            </w:r>
            <w:r w:rsidR="00E46179">
              <w:rPr>
                <w:noProof/>
                <w:webHidden/>
              </w:rPr>
              <w:fldChar w:fldCharType="begin"/>
            </w:r>
            <w:r w:rsidR="00E46179">
              <w:rPr>
                <w:noProof/>
                <w:webHidden/>
              </w:rPr>
              <w:instrText xml:space="preserve"> PAGEREF _Toc435716780 \h </w:instrText>
            </w:r>
            <w:r w:rsidR="00E46179">
              <w:rPr>
                <w:noProof/>
                <w:webHidden/>
              </w:rPr>
            </w:r>
            <w:r w:rsidR="00E46179">
              <w:rPr>
                <w:noProof/>
                <w:webHidden/>
              </w:rPr>
              <w:fldChar w:fldCharType="separate"/>
            </w:r>
            <w:r w:rsidR="00E46179">
              <w:rPr>
                <w:noProof/>
                <w:webHidden/>
              </w:rPr>
              <w:t>273</w:t>
            </w:r>
            <w:r w:rsidR="00E46179">
              <w:rPr>
                <w:noProof/>
                <w:webHidden/>
              </w:rPr>
              <w:fldChar w:fldCharType="end"/>
            </w:r>
          </w:hyperlink>
        </w:p>
        <w:p w14:paraId="058740C0" w14:textId="77777777" w:rsidR="00E46179" w:rsidRDefault="002418F8">
          <w:pPr>
            <w:pStyle w:val="TOC4"/>
            <w:tabs>
              <w:tab w:val="right" w:leader="dot" w:pos="9620"/>
            </w:tabs>
            <w:rPr>
              <w:noProof/>
              <w:lang w:val="en-US" w:eastAsia="en-US"/>
            </w:rPr>
          </w:pPr>
          <w:hyperlink w:anchor="_Toc435716781" w:history="1">
            <w:r w:rsidR="00E46179" w:rsidRPr="00D51C03">
              <w:rPr>
                <w:rStyle w:val="Hyperlink"/>
                <w:noProof/>
              </w:rPr>
              <w:t>References</w:t>
            </w:r>
            <w:r w:rsidR="00E46179">
              <w:rPr>
                <w:noProof/>
                <w:webHidden/>
              </w:rPr>
              <w:tab/>
            </w:r>
            <w:r w:rsidR="00E46179">
              <w:rPr>
                <w:noProof/>
                <w:webHidden/>
              </w:rPr>
              <w:fldChar w:fldCharType="begin"/>
            </w:r>
            <w:r w:rsidR="00E46179">
              <w:rPr>
                <w:noProof/>
                <w:webHidden/>
              </w:rPr>
              <w:instrText xml:space="preserve"> PAGEREF _Toc435716781 \h </w:instrText>
            </w:r>
            <w:r w:rsidR="00E46179">
              <w:rPr>
                <w:noProof/>
                <w:webHidden/>
              </w:rPr>
            </w:r>
            <w:r w:rsidR="00E46179">
              <w:rPr>
                <w:noProof/>
                <w:webHidden/>
              </w:rPr>
              <w:fldChar w:fldCharType="separate"/>
            </w:r>
            <w:r w:rsidR="00E46179">
              <w:rPr>
                <w:noProof/>
                <w:webHidden/>
              </w:rPr>
              <w:t>273</w:t>
            </w:r>
            <w:r w:rsidR="00E46179">
              <w:rPr>
                <w:noProof/>
                <w:webHidden/>
              </w:rPr>
              <w:fldChar w:fldCharType="end"/>
            </w:r>
          </w:hyperlink>
        </w:p>
        <w:p w14:paraId="30CBA8F8" w14:textId="77777777" w:rsidR="00E46179" w:rsidRDefault="002418F8">
          <w:pPr>
            <w:pStyle w:val="TOC4"/>
            <w:tabs>
              <w:tab w:val="right" w:leader="dot" w:pos="9620"/>
            </w:tabs>
            <w:rPr>
              <w:noProof/>
              <w:lang w:val="en-US" w:eastAsia="en-US"/>
            </w:rPr>
          </w:pPr>
          <w:hyperlink w:anchor="_Toc435716782" w:history="1">
            <w:r w:rsidR="00E46179" w:rsidRPr="00D51C03">
              <w:rPr>
                <w:rStyle w:val="Hyperlink"/>
                <w:noProof/>
              </w:rPr>
              <w:t>Appendix 1 Table 1 and Figure 1</w:t>
            </w:r>
            <w:r w:rsidR="00E46179">
              <w:rPr>
                <w:noProof/>
                <w:webHidden/>
              </w:rPr>
              <w:tab/>
            </w:r>
            <w:r w:rsidR="00E46179">
              <w:rPr>
                <w:noProof/>
                <w:webHidden/>
              </w:rPr>
              <w:fldChar w:fldCharType="begin"/>
            </w:r>
            <w:r w:rsidR="00E46179">
              <w:rPr>
                <w:noProof/>
                <w:webHidden/>
              </w:rPr>
              <w:instrText xml:space="preserve"> PAGEREF _Toc435716782 \h </w:instrText>
            </w:r>
            <w:r w:rsidR="00E46179">
              <w:rPr>
                <w:noProof/>
                <w:webHidden/>
              </w:rPr>
            </w:r>
            <w:r w:rsidR="00E46179">
              <w:rPr>
                <w:noProof/>
                <w:webHidden/>
              </w:rPr>
              <w:fldChar w:fldCharType="separate"/>
            </w:r>
            <w:r w:rsidR="00E46179">
              <w:rPr>
                <w:noProof/>
                <w:webHidden/>
              </w:rPr>
              <w:t>275</w:t>
            </w:r>
            <w:r w:rsidR="00E46179">
              <w:rPr>
                <w:noProof/>
                <w:webHidden/>
              </w:rPr>
              <w:fldChar w:fldCharType="end"/>
            </w:r>
          </w:hyperlink>
        </w:p>
        <w:p w14:paraId="236E40E0" w14:textId="4D561D80" w:rsidR="00BA0958" w:rsidRPr="007754A4" w:rsidRDefault="007754A4" w:rsidP="007754A4">
          <w:r>
            <w:rPr>
              <w:noProof/>
            </w:rPr>
            <w:fldChar w:fldCharType="end"/>
          </w:r>
        </w:p>
      </w:sdtContent>
    </w:sdt>
    <w:p w14:paraId="698604F9" w14:textId="77777777" w:rsidR="001C7990" w:rsidRDefault="001C7990">
      <w:pPr>
        <w:spacing w:before="0" w:after="200" w:line="276" w:lineRule="auto"/>
        <w:rPr>
          <w:rFonts w:ascii="Calibri" w:hAnsi="Calibri"/>
          <w:b/>
          <w:color w:val="365F91"/>
          <w:sz w:val="80"/>
        </w:rPr>
      </w:pPr>
      <w:r>
        <w:br w:type="page"/>
      </w:r>
    </w:p>
    <w:p w14:paraId="4616AC32" w14:textId="039E433C" w:rsidR="009432EF" w:rsidRDefault="00BA0958" w:rsidP="00B15586">
      <w:pPr>
        <w:pStyle w:val="Heading2"/>
      </w:pPr>
      <w:r w:rsidRPr="00BA0958">
        <w:lastRenderedPageBreak/>
        <w:t>Executive Summary</w:t>
      </w:r>
    </w:p>
    <w:p w14:paraId="1278544D" w14:textId="77777777" w:rsidR="00AC5097" w:rsidRDefault="00AC5097" w:rsidP="00B15586">
      <w:pPr>
        <w:spacing w:after="200" w:line="276" w:lineRule="auto"/>
        <w:jc w:val="center"/>
        <w:rPr>
          <w:b/>
          <w:color w:val="365F91" w:themeColor="accent1" w:themeShade="BF"/>
          <w:sz w:val="80"/>
          <w:szCs w:val="80"/>
        </w:rPr>
        <w:sectPr w:rsidR="00AC5097" w:rsidSect="00643E15">
          <w:footerReference w:type="default" r:id="rId13"/>
          <w:pgSz w:w="11906" w:h="16838" w:code="9"/>
          <w:pgMar w:top="1138" w:right="1138" w:bottom="1138" w:left="1138" w:header="706" w:footer="706" w:gutter="0"/>
          <w:cols w:space="708"/>
          <w:vAlign w:val="center"/>
          <w:docGrid w:linePitch="360"/>
        </w:sectPr>
      </w:pPr>
    </w:p>
    <w:p w14:paraId="69B8EDC2" w14:textId="38ED1278" w:rsidR="005908F6" w:rsidRPr="005908F6" w:rsidRDefault="003A194E" w:rsidP="002728D5">
      <w:pPr>
        <w:pStyle w:val="Heading3"/>
        <w:pBdr>
          <w:bottom w:val="single" w:sz="8" w:space="6" w:color="365F91"/>
        </w:pBdr>
      </w:pPr>
      <w:bookmarkStart w:id="0" w:name="_Toc435716746"/>
      <w:r>
        <w:lastRenderedPageBreak/>
        <w:t>Executive Summary: Victoria</w:t>
      </w:r>
      <w:bookmarkEnd w:id="0"/>
      <w:r>
        <w:t xml:space="preserve"> </w:t>
      </w:r>
    </w:p>
    <w:p w14:paraId="1E139590" w14:textId="77777777" w:rsidR="00AC5097" w:rsidRDefault="00AC5097" w:rsidP="00B15586">
      <w:pPr>
        <w:spacing w:after="210" w:line="210" w:lineRule="atLeast"/>
        <w:jc w:val="both"/>
        <w:rPr>
          <w:rFonts w:ascii="Arial" w:hAnsi="Arial" w:cs="Arial"/>
          <w:b/>
        </w:rPr>
        <w:sectPr w:rsidR="00AC5097" w:rsidSect="002015ED">
          <w:pgSz w:w="11906" w:h="16838"/>
          <w:pgMar w:top="851" w:right="1134" w:bottom="567" w:left="1134" w:header="709" w:footer="284" w:gutter="0"/>
          <w:cols w:space="708"/>
          <w:docGrid w:linePitch="360"/>
        </w:sectPr>
      </w:pPr>
    </w:p>
    <w:p w14:paraId="4E8ED6DC" w14:textId="12E67F35" w:rsidR="00AC5097" w:rsidRPr="00A27DD4" w:rsidRDefault="00AC5097" w:rsidP="00A64F29">
      <w:pPr>
        <w:pStyle w:val="Heading4"/>
      </w:pPr>
      <w:bookmarkStart w:id="1" w:name="_Toc435716747"/>
      <w:r w:rsidRPr="00A27DD4">
        <w:lastRenderedPageBreak/>
        <w:t>Introduction</w:t>
      </w:r>
      <w:bookmarkEnd w:id="1"/>
    </w:p>
    <w:p w14:paraId="58D5A51D" w14:textId="4BA682D2" w:rsidR="00AC5097" w:rsidRPr="00D96B7F" w:rsidRDefault="00AC5097" w:rsidP="00A64F29">
      <w:pPr>
        <w:spacing w:after="120"/>
        <w:rPr>
          <w:rFonts w:eastAsia="Times New Roman" w:cs="Arial"/>
          <w:color w:val="000000"/>
        </w:rPr>
      </w:pPr>
      <w:r w:rsidRPr="00D96B7F">
        <w:rPr>
          <w:rFonts w:eastAsia="Times New Roman" w:cs="Arial"/>
          <w:color w:val="000000"/>
        </w:rPr>
        <w:t xml:space="preserve">This </w:t>
      </w:r>
      <w:r w:rsidRPr="00D96B7F">
        <w:rPr>
          <w:rFonts w:eastAsia="Times New Roman" w:cs="Arial"/>
          <w:b/>
          <w:color w:val="000000"/>
        </w:rPr>
        <w:t>Executive Summary</w:t>
      </w:r>
      <w:r w:rsidRPr="00D96B7F">
        <w:rPr>
          <w:rFonts w:eastAsia="Times New Roman" w:cs="Arial"/>
          <w:color w:val="000000"/>
        </w:rPr>
        <w:t xml:space="preserve"> presents key findings from this research project entitled </w:t>
      </w:r>
      <w:r w:rsidRPr="00D96B7F">
        <w:rPr>
          <w:rFonts w:eastAsia="Times New Roman" w:cs="Arial"/>
          <w:i/>
          <w:color w:val="000000"/>
        </w:rPr>
        <w:t>Child Abuse and Neglect: A Socio-legal Study of Mandatory Reporting in Australia</w:t>
      </w:r>
      <w:r w:rsidRPr="00D96B7F">
        <w:rPr>
          <w:rFonts w:eastAsia="Times New Roman" w:cs="Arial"/>
          <w:color w:val="000000"/>
        </w:rPr>
        <w:t xml:space="preserve">. A comprehensive treatment of our analysis </w:t>
      </w:r>
      <w:proofErr w:type="gramStart"/>
      <w:r w:rsidRPr="00D96B7F">
        <w:rPr>
          <w:rFonts w:eastAsia="Times New Roman" w:cs="Arial"/>
          <w:color w:val="000000"/>
        </w:rPr>
        <w:t>is presented</w:t>
      </w:r>
      <w:proofErr w:type="gramEnd"/>
      <w:r w:rsidRPr="00D96B7F">
        <w:rPr>
          <w:rFonts w:eastAsia="Times New Roman" w:cs="Arial"/>
          <w:color w:val="000000"/>
        </w:rPr>
        <w:t xml:space="preserve"> in the full Report. </w:t>
      </w:r>
    </w:p>
    <w:p w14:paraId="172C38A8" w14:textId="5BBF229B" w:rsidR="00AC5097" w:rsidRPr="00D96B7F" w:rsidRDefault="00AC5097" w:rsidP="00A64F29">
      <w:pPr>
        <w:spacing w:after="120"/>
        <w:rPr>
          <w:rFonts w:eastAsia="Times New Roman" w:cs="Arial"/>
          <w:color w:val="000000"/>
        </w:rPr>
      </w:pPr>
      <w:r w:rsidRPr="00D96B7F">
        <w:rPr>
          <w:rFonts w:eastAsia="Times New Roman" w:cs="Arial"/>
          <w:color w:val="000000"/>
        </w:rPr>
        <w:t>A key component of this research project was to access official government data to analyse the reporting of different types of child abuse and neglect, by different reporter groups (both mandated reporters such as police, and non-mandated reporters), over the decade 2003-12 in Victoria.</w:t>
      </w:r>
    </w:p>
    <w:p w14:paraId="2CAB7E19" w14:textId="6122A65C" w:rsidR="00AC5097" w:rsidRPr="00D96B7F" w:rsidRDefault="00AC5097" w:rsidP="00A64F29">
      <w:pPr>
        <w:spacing w:after="210"/>
        <w:rPr>
          <w:rFonts w:cs="Arial"/>
          <w:b/>
        </w:rPr>
      </w:pPr>
      <w:r w:rsidRPr="00D96B7F">
        <w:rPr>
          <w:rFonts w:eastAsia="Times New Roman" w:cs="Arial"/>
          <w:color w:val="000000"/>
        </w:rPr>
        <w:t>This summary captures some of the most important trends identified by our analysis, which can inform future advances to policy and practice.</w:t>
      </w:r>
    </w:p>
    <w:p w14:paraId="168646D2" w14:textId="2FAAC5DC" w:rsidR="00AC5097" w:rsidRPr="00A27DD4" w:rsidRDefault="00AC5097" w:rsidP="00A64F29">
      <w:pPr>
        <w:pStyle w:val="Heading4"/>
      </w:pPr>
      <w:bookmarkStart w:id="2" w:name="_Toc435716748"/>
      <w:r w:rsidRPr="00A27DD4">
        <w:lastRenderedPageBreak/>
        <w:t>Victoria’s mandatory reporting law</w:t>
      </w:r>
      <w:bookmarkEnd w:id="2"/>
    </w:p>
    <w:p w14:paraId="3857AC33" w14:textId="77777777" w:rsidR="00AC5097" w:rsidRPr="00D96B7F" w:rsidRDefault="00AC5097" w:rsidP="00A64F29">
      <w:pPr>
        <w:spacing w:after="120"/>
        <w:rPr>
          <w:rFonts w:eastAsia="Times New Roman" w:cs="Arial"/>
          <w:color w:val="000000"/>
        </w:rPr>
      </w:pPr>
      <w:r w:rsidRPr="00D96B7F">
        <w:rPr>
          <w:rFonts w:eastAsia="Times New Roman" w:cs="Arial"/>
          <w:color w:val="000000"/>
        </w:rPr>
        <w:t>Victoria has a relatively narrow mandatory reporting law, compared with other States and Territories (</w:t>
      </w:r>
      <w:r w:rsidRPr="00D96B7F">
        <w:rPr>
          <w:rFonts w:eastAsia="Times New Roman" w:cs="Arial"/>
          <w:b/>
          <w:color w:val="000000"/>
        </w:rPr>
        <w:t>Fig 1</w:t>
      </w:r>
      <w:r w:rsidRPr="00D96B7F">
        <w:rPr>
          <w:rFonts w:eastAsia="Times New Roman" w:cs="Arial"/>
          <w:color w:val="000000"/>
        </w:rPr>
        <w:t xml:space="preserve">). </w:t>
      </w:r>
    </w:p>
    <w:p w14:paraId="1675E610" w14:textId="77777777" w:rsidR="00AC5097" w:rsidRPr="00D96B7F" w:rsidRDefault="00AC5097" w:rsidP="00A64F29">
      <w:pPr>
        <w:spacing w:after="120"/>
        <w:rPr>
          <w:rFonts w:eastAsia="Times New Roman" w:cs="Arial"/>
          <w:color w:val="000000"/>
        </w:rPr>
      </w:pPr>
      <w:r w:rsidRPr="00D96B7F">
        <w:rPr>
          <w:rFonts w:eastAsia="Times New Roman" w:cs="Arial"/>
          <w:color w:val="000000"/>
        </w:rPr>
        <w:t xml:space="preserve">A relatively small range of occupational groups are designated as ‘mandated reporters’: teachers, police, doctors and nurses. </w:t>
      </w:r>
    </w:p>
    <w:p w14:paraId="7303F35D" w14:textId="42E25181" w:rsidR="00E40921" w:rsidRPr="00E40921" w:rsidRDefault="00AC5097" w:rsidP="00A64F29">
      <w:pPr>
        <w:tabs>
          <w:tab w:val="left" w:pos="5118"/>
        </w:tabs>
        <w:spacing w:after="120"/>
        <w:rPr>
          <w:rFonts w:cs="Arial"/>
          <w:b/>
        </w:rPr>
        <w:sectPr w:rsidR="00E40921" w:rsidRPr="00E40921" w:rsidSect="00A64F29">
          <w:type w:val="continuous"/>
          <w:pgSz w:w="11906" w:h="16838"/>
          <w:pgMar w:top="851" w:right="1134" w:bottom="567" w:left="1134" w:header="709" w:footer="284" w:gutter="0"/>
          <w:cols w:num="2" w:space="514"/>
          <w:docGrid w:linePitch="360"/>
        </w:sectPr>
      </w:pPr>
      <w:r w:rsidRPr="00D96B7F">
        <w:rPr>
          <w:rFonts w:eastAsia="Times New Roman" w:cs="Arial"/>
          <w:color w:val="000000"/>
        </w:rPr>
        <w:t>Reports (notifications) must be made of situations where a child has suffered, or is likely to suffer, significant harm as a result of ‘physical injury’ or sexual abuse, but only where the child is ‘in need of protection’ because ‘the child’s parents have not protected the child’ from the</w:t>
      </w:r>
      <w:r w:rsidR="00A27DD4">
        <w:rPr>
          <w:rFonts w:eastAsia="Times New Roman" w:cs="Arial"/>
          <w:color w:val="000000"/>
        </w:rPr>
        <w:t xml:space="preserve"> harm, or are unlikely to do so</w:t>
      </w:r>
      <w:r w:rsidR="00A64F29">
        <w:rPr>
          <w:rFonts w:eastAsia="Times New Roman" w:cs="Arial"/>
          <w:color w:val="000000"/>
        </w:rPr>
        <w:t>.</w:t>
      </w:r>
    </w:p>
    <w:p w14:paraId="77E56E4E" w14:textId="12362B1A" w:rsidR="00AC5097" w:rsidRPr="00D96B7F" w:rsidRDefault="00AC5097" w:rsidP="00A64F29">
      <w:pPr>
        <w:pStyle w:val="Figureheading"/>
        <w:pBdr>
          <w:bottom w:val="single" w:sz="8" w:space="7" w:color="1F497D" w:themeColor="text2"/>
        </w:pBdr>
        <w:spacing w:after="0"/>
      </w:pPr>
      <w:r w:rsidRPr="00D96B7F">
        <w:lastRenderedPageBreak/>
        <w:t>Fig 1: Mandatory reporting law spectrum*</w:t>
      </w:r>
    </w:p>
    <w:p w14:paraId="7306B53F" w14:textId="0F41AFD6" w:rsidR="0047182D" w:rsidRDefault="002418F8" w:rsidP="0047182D">
      <w:pPr>
        <w:spacing w:after="240"/>
        <w:rPr>
          <w:rFonts w:cs="Arial"/>
          <w:b/>
        </w:rPr>
      </w:pPr>
      <w:r>
        <w:rPr>
          <w:rFonts w:cs="Arial"/>
          <w:b/>
        </w:rPr>
        <w:pict w14:anchorId="6A3FA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shows that in Victoria reporting physical and sexual abuse is mandatory for teachers, police, doctors and nurses." style="width:480.6pt;height:200.1pt">
            <v:imagedata r:id="rId14" o:title="VIC"/>
          </v:shape>
        </w:pict>
      </w:r>
    </w:p>
    <w:p w14:paraId="0CE6CBF5" w14:textId="77777777" w:rsidR="000818DF" w:rsidRPr="00A64F29" w:rsidRDefault="0047182D" w:rsidP="00A64F29">
      <w:pPr>
        <w:spacing w:after="240" w:line="276" w:lineRule="auto"/>
        <w:rPr>
          <w:sz w:val="20"/>
        </w:rPr>
        <w:sectPr w:rsidR="000818DF" w:rsidRPr="00A64F29" w:rsidSect="00AC5097">
          <w:type w:val="continuous"/>
          <w:pgSz w:w="11906" w:h="16838"/>
          <w:pgMar w:top="851" w:right="1134" w:bottom="567" w:left="1134" w:header="709" w:footer="284" w:gutter="0"/>
          <w:cols w:space="708"/>
          <w:docGrid w:linePitch="360"/>
        </w:sectPr>
      </w:pPr>
      <w:proofErr w:type="gramStart"/>
      <w:r w:rsidRPr="00A64F29">
        <w:rPr>
          <w:sz w:val="20"/>
        </w:rPr>
        <w:t>* Reflects general position at 31 December 2012:  full reports provide complete details.</w:t>
      </w:r>
      <w:proofErr w:type="gramEnd"/>
      <w:r w:rsidRPr="00A64F29">
        <w:rPr>
          <w:sz w:val="20"/>
        </w:rPr>
        <w:t xml:space="preserve"> Victoria limits the reporting duty to situations where the child’s parents have not protected the child from harm. Queensland has </w:t>
      </w:r>
      <w:proofErr w:type="spellStart"/>
      <w:r w:rsidRPr="00A64F29">
        <w:rPr>
          <w:sz w:val="20"/>
        </w:rPr>
        <w:t>uncommenced</w:t>
      </w:r>
      <w:proofErr w:type="spellEnd"/>
      <w:r w:rsidRPr="00A64F29">
        <w:rPr>
          <w:sz w:val="20"/>
        </w:rPr>
        <w:t xml:space="preserve"> </w:t>
      </w:r>
      <w:proofErr w:type="gramStart"/>
      <w:r w:rsidRPr="00A64F29">
        <w:rPr>
          <w:sz w:val="20"/>
        </w:rPr>
        <w:t>amendments which</w:t>
      </w:r>
      <w:proofErr w:type="gramEnd"/>
      <w:r w:rsidRPr="00A64F29">
        <w:rPr>
          <w:sz w:val="20"/>
        </w:rPr>
        <w:t xml:space="preserve"> will place it close to Victoria’s position. Emotional abuse </w:t>
      </w:r>
      <w:proofErr w:type="gramStart"/>
      <w:r w:rsidRPr="00A64F29">
        <w:rPr>
          <w:sz w:val="20"/>
        </w:rPr>
        <w:t>is sometimes named</w:t>
      </w:r>
      <w:proofErr w:type="gramEnd"/>
      <w:r w:rsidRPr="00A64F29">
        <w:rPr>
          <w:sz w:val="20"/>
        </w:rPr>
        <w:t xml:space="preserve"> psychological abuse. NSW, </w:t>
      </w:r>
      <w:proofErr w:type="spellStart"/>
      <w:proofErr w:type="gramStart"/>
      <w:r w:rsidRPr="00A64F29">
        <w:rPr>
          <w:sz w:val="20"/>
        </w:rPr>
        <w:t>Tas</w:t>
      </w:r>
      <w:proofErr w:type="spellEnd"/>
      <w:proofErr w:type="gramEnd"/>
      <w:r w:rsidRPr="00A64F29">
        <w:rPr>
          <w:sz w:val="20"/>
        </w:rPr>
        <w:t xml:space="preserve"> also require reports of prenatal risk of harm in some circumstances. In NT, EDV refers to exposure to physical violence, and is more limited than in NSW, </w:t>
      </w:r>
      <w:proofErr w:type="gramStart"/>
      <w:r w:rsidRPr="00A64F29">
        <w:rPr>
          <w:sz w:val="20"/>
        </w:rPr>
        <w:t>Tas.</w:t>
      </w:r>
      <w:proofErr w:type="gramEnd"/>
    </w:p>
    <w:p w14:paraId="34DD8A85" w14:textId="12B00FFD" w:rsidR="00AC5097" w:rsidRPr="00D4016E" w:rsidRDefault="00AC5097" w:rsidP="00D96B7F">
      <w:pPr>
        <w:pStyle w:val="Heading4"/>
      </w:pPr>
      <w:bookmarkStart w:id="3" w:name="_Toc435716749"/>
      <w:r w:rsidRPr="00D4016E">
        <w:lastRenderedPageBreak/>
        <w:t>Major findings from analysis of data on notifications and outcomes 2003-12</w:t>
      </w:r>
      <w:bookmarkEnd w:id="3"/>
    </w:p>
    <w:p w14:paraId="5362B56B" w14:textId="77777777" w:rsidR="002B4A9E" w:rsidRDefault="00AC5097" w:rsidP="001C7990">
      <w:r w:rsidRPr="00963592">
        <w:t xml:space="preserve">Some major trends emerge from our analysis of the data on notifications of child abuse and neglect in Victoria. </w:t>
      </w:r>
    </w:p>
    <w:p w14:paraId="2AE5DE3E" w14:textId="0CD6A583" w:rsidR="001C7990" w:rsidRDefault="00AC5097" w:rsidP="001C7990">
      <w:r w:rsidRPr="00963592">
        <w:t xml:space="preserve"> </w:t>
      </w:r>
      <w:r w:rsidR="002B4A9E" w:rsidRPr="00D4016E">
        <w:rPr>
          <w:noProof/>
          <w:lang w:eastAsia="en-AU"/>
        </w:rPr>
        <w:drawing>
          <wp:inline distT="0" distB="0" distL="0" distR="0" wp14:anchorId="5553BBDC" wp14:editId="56C71A0B">
            <wp:extent cx="5934456" cy="4151376"/>
            <wp:effectExtent l="0" t="0" r="9525" b="1905"/>
            <wp:docPr id="106" name="Chart 106" descr="Shows that Victoria receives more than half its reports of abuse from sources other than the major mandatory reporting groups."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F13A34" w14:textId="42D31B59" w:rsidR="006C1356" w:rsidRPr="006C1356" w:rsidRDefault="00AC5097" w:rsidP="000B2DAF">
      <w:pPr>
        <w:pStyle w:val="Heading5"/>
        <w:numPr>
          <w:ilvl w:val="0"/>
          <w:numId w:val="91"/>
        </w:numPr>
        <w:rPr>
          <w:sz w:val="22"/>
        </w:rPr>
      </w:pPr>
      <w:r w:rsidRPr="006C1356">
        <w:t xml:space="preserve">Non-mandated reporters make the majority of all notifications. </w:t>
      </w:r>
    </w:p>
    <w:p w14:paraId="56E9DB75" w14:textId="3520D0BB" w:rsidR="00AC5097" w:rsidRPr="006C1356" w:rsidRDefault="00AC5097" w:rsidP="00A27DD4">
      <w:pPr>
        <w:spacing w:after="210"/>
        <w:rPr>
          <w:rFonts w:eastAsia="Times New Roman" w:cs="Arial"/>
          <w:color w:val="000000"/>
        </w:rPr>
      </w:pPr>
      <w:r w:rsidRPr="006C1356">
        <w:rPr>
          <w:rFonts w:eastAsia="Times New Roman" w:cs="Arial"/>
          <w:color w:val="000000"/>
        </w:rPr>
        <w:t>There were 454,120 notifications of suspected child abuse and neglect made by all persons over the decade (</w:t>
      </w:r>
      <w:r w:rsidRPr="006C1356">
        <w:rPr>
          <w:rFonts w:eastAsia="Times New Roman" w:cs="Arial"/>
          <w:b/>
          <w:color w:val="000000"/>
        </w:rPr>
        <w:t>Fig 2</w:t>
      </w:r>
      <w:r w:rsidRPr="006C1356">
        <w:rPr>
          <w:rFonts w:eastAsia="Times New Roman" w:cs="Arial"/>
          <w:color w:val="000000"/>
        </w:rPr>
        <w:t xml:space="preserve">). Non-mandated reporters made 263,692 notifications (58% of the total). This suggests the practices of non-mandated reporters merit attention to enhance reporting. </w:t>
      </w:r>
    </w:p>
    <w:p w14:paraId="1B74DF62" w14:textId="1662F5A7" w:rsidR="00601087" w:rsidRPr="00601087" w:rsidRDefault="00AC5097" w:rsidP="000B2DAF">
      <w:pPr>
        <w:pStyle w:val="Heading5"/>
        <w:numPr>
          <w:ilvl w:val="0"/>
          <w:numId w:val="91"/>
        </w:numPr>
        <w:rPr>
          <w:rFonts w:eastAsia="Times New Roman" w:cs="Arial"/>
          <w:color w:val="000000"/>
          <w:sz w:val="17"/>
          <w:szCs w:val="17"/>
        </w:rPr>
      </w:pPr>
      <w:r w:rsidRPr="006C1356">
        <w:t>Mandated reporters make a minority of all notifications.</w:t>
      </w:r>
      <w:r w:rsidRPr="00CB023E">
        <w:rPr>
          <w:rFonts w:eastAsia="Times New Roman" w:cs="Arial"/>
          <w:color w:val="000000"/>
          <w:sz w:val="17"/>
          <w:szCs w:val="17"/>
        </w:rPr>
        <w:t xml:space="preserve"> </w:t>
      </w:r>
    </w:p>
    <w:p w14:paraId="6494FB28" w14:textId="1DAD7023" w:rsidR="00AC5097" w:rsidRPr="006C1356" w:rsidRDefault="00AC5097" w:rsidP="00A27DD4">
      <w:pPr>
        <w:spacing w:after="210"/>
        <w:rPr>
          <w:rFonts w:eastAsia="Times New Roman" w:cs="Arial"/>
          <w:color w:val="000000"/>
          <w:sz w:val="17"/>
          <w:szCs w:val="17"/>
        </w:rPr>
      </w:pPr>
      <w:r w:rsidRPr="006C1356">
        <w:rPr>
          <w:rFonts w:eastAsia="Times New Roman" w:cs="Arial"/>
          <w:color w:val="000000"/>
        </w:rPr>
        <w:t>Mandated reporter groups made 190,428 notifications (42% of the total) (</w:t>
      </w:r>
      <w:r w:rsidRPr="006C1356">
        <w:rPr>
          <w:rFonts w:eastAsia="Times New Roman" w:cs="Arial"/>
          <w:b/>
          <w:color w:val="000000"/>
        </w:rPr>
        <w:t>Fig 2</w:t>
      </w:r>
      <w:r w:rsidRPr="006C1356">
        <w:rPr>
          <w:rFonts w:eastAsia="Times New Roman" w:cs="Arial"/>
          <w:color w:val="000000"/>
        </w:rPr>
        <w:t>). Notifications fully mandated by law – that is, those by mandated reporter groups, of physical injury and sexual abuse only – account for a significantly smaller proportion of notifications.</w:t>
      </w:r>
    </w:p>
    <w:p w14:paraId="74A4919D" w14:textId="4950C110" w:rsidR="00601087" w:rsidRPr="006C1356" w:rsidRDefault="00AC5097" w:rsidP="000B2DAF">
      <w:pPr>
        <w:pStyle w:val="Heading5"/>
        <w:numPr>
          <w:ilvl w:val="0"/>
          <w:numId w:val="91"/>
        </w:numPr>
        <w:rPr>
          <w:rStyle w:val="Heading6Char"/>
          <w:rFonts w:eastAsia="Times New Roman" w:cs="Arial"/>
          <w:b/>
          <w:color w:val="000000"/>
          <w:sz w:val="22"/>
        </w:rPr>
      </w:pPr>
      <w:r w:rsidRPr="00601087">
        <w:t xml:space="preserve">A substantial proportion of all notifications </w:t>
      </w:r>
      <w:proofErr w:type="gramStart"/>
      <w:r w:rsidRPr="00601087">
        <w:t>are not investigated</w:t>
      </w:r>
      <w:proofErr w:type="gramEnd"/>
      <w:r w:rsidRPr="00601087">
        <w:t>.</w:t>
      </w:r>
    </w:p>
    <w:p w14:paraId="42741DB3" w14:textId="6D0F07A1" w:rsidR="00AC5097" w:rsidRPr="006C1356" w:rsidRDefault="00AC5097" w:rsidP="00A27DD4">
      <w:pPr>
        <w:spacing w:after="210"/>
        <w:rPr>
          <w:rFonts w:eastAsia="Times New Roman" w:cs="Arial"/>
          <w:color w:val="000000"/>
        </w:rPr>
      </w:pPr>
      <w:r w:rsidRPr="006C1356">
        <w:rPr>
          <w:rFonts w:eastAsia="Times New Roman" w:cs="Arial"/>
          <w:color w:val="000000"/>
        </w:rPr>
        <w:t xml:space="preserve">For various reasons, many notifications </w:t>
      </w:r>
      <w:proofErr w:type="gramStart"/>
      <w:r w:rsidRPr="006C1356">
        <w:rPr>
          <w:rFonts w:eastAsia="Times New Roman" w:cs="Arial"/>
          <w:color w:val="000000"/>
        </w:rPr>
        <w:t>are not investigated</w:t>
      </w:r>
      <w:proofErr w:type="gramEnd"/>
      <w:r w:rsidRPr="006C1356">
        <w:rPr>
          <w:rFonts w:eastAsia="Times New Roman" w:cs="Arial"/>
          <w:color w:val="000000"/>
        </w:rPr>
        <w:t xml:space="preserve">. In Victoria, 128,316 notifications </w:t>
      </w:r>
      <w:proofErr w:type="gramStart"/>
      <w:r w:rsidRPr="006C1356">
        <w:rPr>
          <w:rFonts w:eastAsia="Times New Roman" w:cs="Arial"/>
          <w:color w:val="000000"/>
        </w:rPr>
        <w:t>were investigated</w:t>
      </w:r>
      <w:proofErr w:type="gramEnd"/>
      <w:r w:rsidRPr="006C1356">
        <w:rPr>
          <w:rFonts w:eastAsia="Times New Roman" w:cs="Arial"/>
          <w:color w:val="000000"/>
        </w:rPr>
        <w:t xml:space="preserve"> (28%: </w:t>
      </w:r>
      <w:r w:rsidRPr="006C1356">
        <w:rPr>
          <w:rFonts w:eastAsia="Times New Roman" w:cs="Arial"/>
          <w:b/>
          <w:color w:val="000000"/>
        </w:rPr>
        <w:t>Fig 2</w:t>
      </w:r>
      <w:r w:rsidRPr="006C1356">
        <w:rPr>
          <w:rFonts w:eastAsia="Times New Roman" w:cs="Arial"/>
          <w:color w:val="000000"/>
        </w:rPr>
        <w:t xml:space="preserve">). </w:t>
      </w:r>
    </w:p>
    <w:p w14:paraId="29C272B4" w14:textId="47E880FC" w:rsidR="00601087" w:rsidRPr="00A27DD4" w:rsidRDefault="00AC5097" w:rsidP="000B2DAF">
      <w:pPr>
        <w:pStyle w:val="Heading5"/>
        <w:numPr>
          <w:ilvl w:val="0"/>
          <w:numId w:val="91"/>
        </w:numPr>
        <w:rPr>
          <w:rFonts w:cs="Arial"/>
          <w:color w:val="auto"/>
          <w:sz w:val="22"/>
        </w:rPr>
      </w:pPr>
      <w:r w:rsidRPr="00601087">
        <w:lastRenderedPageBreak/>
        <w:t>A significant proportion of substantiated notifications result from notifications by mandated reporters</w:t>
      </w:r>
    </w:p>
    <w:p w14:paraId="52673646" w14:textId="1BB3AF7A" w:rsidR="00963592" w:rsidRDefault="00AC5097" w:rsidP="00A27DD4">
      <w:pPr>
        <w:tabs>
          <w:tab w:val="left" w:pos="5118"/>
        </w:tabs>
        <w:rPr>
          <w:rFonts w:cs="Arial"/>
          <w:b/>
        </w:rPr>
      </w:pPr>
      <w:r w:rsidRPr="006C1356">
        <w:rPr>
          <w:rFonts w:eastAsia="Times New Roman" w:cs="Arial"/>
          <w:color w:val="000000"/>
        </w:rPr>
        <w:t>There were 78,068 substantiated notifications out of 128,316 investigations (</w:t>
      </w:r>
      <w:r w:rsidRPr="006C1356">
        <w:rPr>
          <w:rFonts w:eastAsia="Times New Roman" w:cs="Arial"/>
          <w:b/>
          <w:color w:val="000000"/>
        </w:rPr>
        <w:t>Fig 2</w:t>
      </w:r>
      <w:r w:rsidRPr="006C1356">
        <w:rPr>
          <w:rFonts w:eastAsia="Times New Roman" w:cs="Arial"/>
          <w:color w:val="000000"/>
        </w:rPr>
        <w:t>). This is a relatively large proportion (61%). Of all substantiated cases, 47% result from notifications by mandated reporters (36,888).</w:t>
      </w:r>
      <w:r w:rsidR="00FF2D54" w:rsidRPr="006C1356">
        <w:rPr>
          <w:rFonts w:cs="Arial"/>
          <w:b/>
        </w:rPr>
        <w:t xml:space="preserve"> </w:t>
      </w:r>
    </w:p>
    <w:p w14:paraId="2655F4F5" w14:textId="3A14CD8C" w:rsidR="00AC5097" w:rsidRPr="00D4016E" w:rsidRDefault="00AC5097" w:rsidP="000B2DAF">
      <w:pPr>
        <w:pStyle w:val="Heading5"/>
        <w:numPr>
          <w:ilvl w:val="0"/>
          <w:numId w:val="91"/>
        </w:numPr>
        <w:rPr>
          <w:rFonts w:eastAsia="Times New Roman"/>
          <w:color w:val="000000"/>
        </w:rPr>
      </w:pPr>
      <w:r w:rsidRPr="00D4016E">
        <w:t xml:space="preserve">The number and proportion of notifications differs by type of child abuse/neglect, and by reporter group. Unlike other types, notifications of </w:t>
      </w:r>
      <w:r w:rsidRPr="00D4016E">
        <w:rPr>
          <w:i/>
        </w:rPr>
        <w:t>emotional abuse</w:t>
      </w:r>
      <w:r w:rsidRPr="00D4016E">
        <w:t xml:space="preserve"> have increased exponentially since 2007. </w:t>
      </w:r>
    </w:p>
    <w:p w14:paraId="0ABF405F" w14:textId="68FF377A" w:rsidR="00CB023E" w:rsidRPr="00A27DD4" w:rsidRDefault="00AC5097" w:rsidP="00A27DD4">
      <w:pPr>
        <w:rPr>
          <w:rFonts w:cs="Arial"/>
        </w:rPr>
      </w:pPr>
      <w:r w:rsidRPr="006C1356">
        <w:rPr>
          <w:rFonts w:cs="Arial"/>
        </w:rPr>
        <w:t>Overall, notifications of emotional abuse have surged, in a pattern not seen for any other type of abuse or neglect (</w:t>
      </w:r>
      <w:r w:rsidRPr="006C1356">
        <w:rPr>
          <w:rFonts w:cs="Arial"/>
          <w:b/>
        </w:rPr>
        <w:t>Fig 3</w:t>
      </w:r>
      <w:r w:rsidRPr="006C1356">
        <w:rPr>
          <w:rFonts w:cs="Arial"/>
        </w:rPr>
        <w:t xml:space="preserve">). </w:t>
      </w:r>
    </w:p>
    <w:p w14:paraId="691B3BA7" w14:textId="220030F1" w:rsidR="00AC5097" w:rsidRPr="00CB023E" w:rsidRDefault="00AC5097" w:rsidP="00CB023E">
      <w:pPr>
        <w:rPr>
          <w:rFonts w:cs="Arial"/>
        </w:rPr>
      </w:pPr>
      <w:r w:rsidRPr="006C1356">
        <w:rPr>
          <w:rFonts w:cs="Arial"/>
        </w:rPr>
        <w:t xml:space="preserve">From 2007-12, notifications of emotional abuse have almost quadrupled (10,680 to 41,480). This trend is similar for both non-mandated and mandated reporters, but </w:t>
      </w:r>
      <w:proofErr w:type="gramStart"/>
      <w:r w:rsidRPr="006C1356">
        <w:rPr>
          <w:rFonts w:cs="Arial"/>
        </w:rPr>
        <w:t>is even more pronounced</w:t>
      </w:r>
      <w:proofErr w:type="gramEnd"/>
      <w:r w:rsidRPr="006C1356">
        <w:rPr>
          <w:rFonts w:cs="Arial"/>
        </w:rPr>
        <w:t xml:space="preserve"> for mandated reporters, with notifications by police largely responsible. </w:t>
      </w:r>
    </w:p>
    <w:p w14:paraId="3D6C1BE4" w14:textId="7C625D6C" w:rsidR="00AC5097" w:rsidRPr="00CB023E" w:rsidRDefault="00AC5097" w:rsidP="00CB023E">
      <w:pPr>
        <w:rPr>
          <w:rFonts w:cs="Arial"/>
        </w:rPr>
      </w:pPr>
      <w:proofErr w:type="gramStart"/>
      <w:r w:rsidRPr="006C1356">
        <w:rPr>
          <w:rFonts w:cs="Arial"/>
        </w:rPr>
        <w:t>Notifications of emotional abuse by non-mandated reporters increased by 3 times (6678 to 20,636).</w:t>
      </w:r>
      <w:proofErr w:type="gramEnd"/>
      <w:r w:rsidRPr="006C1356">
        <w:rPr>
          <w:rFonts w:cs="Arial"/>
        </w:rPr>
        <w:t xml:space="preserve"> This trend indicates that </w:t>
      </w:r>
      <w:proofErr w:type="gramStart"/>
      <w:r w:rsidRPr="006C1356">
        <w:rPr>
          <w:rFonts w:cs="Arial"/>
        </w:rPr>
        <w:t>referrals of emotional abuse are not being made by non-mandated reporters</w:t>
      </w:r>
      <w:proofErr w:type="gramEnd"/>
      <w:r w:rsidRPr="006C1356">
        <w:rPr>
          <w:rFonts w:cs="Arial"/>
        </w:rPr>
        <w:t xml:space="preserve"> to Child FIRST.</w:t>
      </w:r>
    </w:p>
    <w:p w14:paraId="5D62DFCB" w14:textId="77777777" w:rsidR="002B4A9E" w:rsidRDefault="00AC5097" w:rsidP="00CB023E">
      <w:pPr>
        <w:rPr>
          <w:rFonts w:cs="Arial"/>
        </w:rPr>
      </w:pPr>
      <w:r w:rsidRPr="006C1356">
        <w:rPr>
          <w:rFonts w:cs="Arial"/>
        </w:rPr>
        <w:t xml:space="preserve">Notifications of emotional abuse by mandated reporters also surged in this period 2007-12, increasing by 5 times (4002 to 20,844). </w:t>
      </w:r>
    </w:p>
    <w:p w14:paraId="22AC0F6D" w14:textId="35304F68" w:rsidR="00AC5097" w:rsidRPr="00CB023E" w:rsidRDefault="002B4A9E" w:rsidP="00CB023E">
      <w:pPr>
        <w:rPr>
          <w:rFonts w:cs="Arial"/>
        </w:rPr>
      </w:pPr>
      <w:r w:rsidRPr="00D4016E">
        <w:rPr>
          <w:noProof/>
          <w:lang w:eastAsia="en-AU"/>
        </w:rPr>
        <w:drawing>
          <wp:inline distT="0" distB="0" distL="0" distR="0" wp14:anchorId="4F3DC4B1" wp14:editId="7D70A1E4">
            <wp:extent cx="6113145" cy="4371975"/>
            <wp:effectExtent l="0" t="0" r="1905" b="9525"/>
            <wp:docPr id="201" name="Chart 201" descr="Shows reports of emotional abuse peaked in Victoria in 2012 with 41,480 cases."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A60254" w14:textId="59C9850A" w:rsidR="00AC5097" w:rsidRPr="00CB023E" w:rsidRDefault="00AC5097" w:rsidP="00CB023E">
      <w:pPr>
        <w:rPr>
          <w:rFonts w:cs="Arial"/>
        </w:rPr>
      </w:pPr>
      <w:r w:rsidRPr="006C1356">
        <w:rPr>
          <w:rFonts w:cs="Arial"/>
        </w:rPr>
        <w:lastRenderedPageBreak/>
        <w:t xml:space="preserve">Police notifications were a particularly prominent source of this increase (2581 to 14,139). It is plausible that many of these situations arise in the context of domestic violence. </w:t>
      </w:r>
    </w:p>
    <w:p w14:paraId="30B41A9F" w14:textId="744288EF" w:rsidR="00AC5097" w:rsidRPr="006C1356" w:rsidRDefault="00AC5097" w:rsidP="006C1356">
      <w:pPr>
        <w:rPr>
          <w:rFonts w:cs="Arial"/>
        </w:rPr>
      </w:pPr>
      <w:r w:rsidRPr="006C1356">
        <w:rPr>
          <w:rFonts w:cs="Arial"/>
        </w:rPr>
        <w:t>While 2007 figures may not be completely representative due to agency-related factors (see discussion at p 73), the trend from 2007-12 is still very strong.</w:t>
      </w:r>
    </w:p>
    <w:p w14:paraId="3653B3D3" w14:textId="40CC809C" w:rsidR="00691F1C" w:rsidRPr="00A27DD4" w:rsidRDefault="00AC5097" w:rsidP="00A27DD4">
      <w:pPr>
        <w:rPr>
          <w:rFonts w:cs="Arial"/>
        </w:rPr>
      </w:pPr>
      <w:r w:rsidRPr="006C1356">
        <w:rPr>
          <w:rFonts w:cs="Arial"/>
        </w:rPr>
        <w:t xml:space="preserve">Therefore, emotional abuse </w:t>
      </w:r>
      <w:proofErr w:type="gramStart"/>
      <w:r w:rsidRPr="006C1356">
        <w:rPr>
          <w:rFonts w:cs="Arial"/>
        </w:rPr>
        <w:t>is frequently reported</w:t>
      </w:r>
      <w:proofErr w:type="gramEnd"/>
      <w:r w:rsidRPr="006C1356">
        <w:rPr>
          <w:rFonts w:cs="Arial"/>
        </w:rPr>
        <w:t xml:space="preserve"> by mandated reporters despite not being a mandated abuse type, and despite 2007 legislative amendments enabling referrals to Child FIRST.</w:t>
      </w:r>
      <w:r w:rsidR="00A81F15" w:rsidRPr="006C1356">
        <w:rPr>
          <w:rFonts w:cs="Arial"/>
        </w:rPr>
        <w:t xml:space="preserve"> </w:t>
      </w:r>
    </w:p>
    <w:p w14:paraId="443933E6" w14:textId="3C9FD778" w:rsidR="00AC5097" w:rsidRPr="00D4016E" w:rsidRDefault="00AC5097" w:rsidP="000B2DAF">
      <w:pPr>
        <w:pStyle w:val="Heading5"/>
        <w:numPr>
          <w:ilvl w:val="0"/>
          <w:numId w:val="91"/>
        </w:numPr>
      </w:pPr>
      <w:r w:rsidRPr="00D4016E">
        <w:t xml:space="preserve">In contrast, notifications of </w:t>
      </w:r>
      <w:r w:rsidRPr="00D4016E">
        <w:rPr>
          <w:i/>
        </w:rPr>
        <w:t>neglect</w:t>
      </w:r>
      <w:r w:rsidRPr="00D4016E">
        <w:t xml:space="preserve"> have decreased markedly since 2007.</w:t>
      </w:r>
    </w:p>
    <w:p w14:paraId="56FCCDBA" w14:textId="2390ED5C" w:rsidR="00AC5097" w:rsidRPr="00CB023E" w:rsidRDefault="00AC5097" w:rsidP="00A27DD4">
      <w:pPr>
        <w:rPr>
          <w:rFonts w:cs="Arial"/>
        </w:rPr>
      </w:pPr>
      <w:r w:rsidRPr="00CB023E">
        <w:rPr>
          <w:rFonts w:cs="Arial"/>
        </w:rPr>
        <w:t>Overall, notifications of neglect show a distinctly different pattern to those for emotional abuse (</w:t>
      </w:r>
      <w:r w:rsidRPr="00CB023E">
        <w:rPr>
          <w:rFonts w:cs="Arial"/>
          <w:b/>
        </w:rPr>
        <w:t>Fig 4</w:t>
      </w:r>
      <w:r w:rsidRPr="00CB023E">
        <w:rPr>
          <w:rFonts w:cs="Arial"/>
        </w:rPr>
        <w:t>).</w:t>
      </w:r>
    </w:p>
    <w:p w14:paraId="6B3E8942" w14:textId="09EEAC01" w:rsidR="00AC5097" w:rsidRPr="00CB023E" w:rsidRDefault="00AC5097" w:rsidP="00A27DD4">
      <w:pPr>
        <w:rPr>
          <w:rFonts w:eastAsia="Times New Roman" w:cs="Arial"/>
          <w:color w:val="000000"/>
        </w:rPr>
      </w:pPr>
      <w:r w:rsidRPr="00CB023E">
        <w:rPr>
          <w:rFonts w:cs="Arial"/>
        </w:rPr>
        <w:t>From 2007-12, notifications of neglect have declined markedly (14,778 to 4902). This trend is similar for both non-mandated and mandated reporters</w:t>
      </w:r>
      <w:r w:rsidRPr="00CB023E">
        <w:rPr>
          <w:rFonts w:eastAsia="Times New Roman" w:cs="Arial"/>
          <w:color w:val="000000"/>
        </w:rPr>
        <w:t xml:space="preserve">. </w:t>
      </w:r>
    </w:p>
    <w:p w14:paraId="6A8D08B8" w14:textId="24496414" w:rsidR="00AC5097" w:rsidRPr="00CB023E" w:rsidRDefault="00AC5097" w:rsidP="00A27DD4">
      <w:pPr>
        <w:rPr>
          <w:rFonts w:cs="Arial"/>
        </w:rPr>
      </w:pPr>
      <w:r w:rsidRPr="00CB023E">
        <w:rPr>
          <w:rFonts w:cs="Arial"/>
        </w:rPr>
        <w:t>Notifications of neglect by non-mandated reporters declined substantially in this period (10,005 to 3210).</w:t>
      </w:r>
    </w:p>
    <w:p w14:paraId="3CEB3C6C" w14:textId="164B961A" w:rsidR="00AC5097" w:rsidRPr="00CB023E" w:rsidRDefault="00AC5097" w:rsidP="00A27DD4">
      <w:pPr>
        <w:rPr>
          <w:rFonts w:cs="Arial"/>
        </w:rPr>
      </w:pPr>
      <w:r w:rsidRPr="00CB023E">
        <w:rPr>
          <w:rFonts w:cs="Arial"/>
        </w:rPr>
        <w:t>Notifications of neglect by mandated reporters also declined substantially in this period (4773 to 1692).</w:t>
      </w:r>
    </w:p>
    <w:p w14:paraId="069FBAB6" w14:textId="6CCA12DF" w:rsidR="00AC5097" w:rsidRPr="00CB023E" w:rsidRDefault="00AC5097" w:rsidP="00A27DD4">
      <w:pPr>
        <w:rPr>
          <w:rFonts w:cs="Arial"/>
        </w:rPr>
      </w:pPr>
      <w:r w:rsidRPr="00CB023E">
        <w:rPr>
          <w:rFonts w:cs="Arial"/>
        </w:rPr>
        <w:t>These trends suggest that the introduction of Child FIRST has witnessed a shift in reporting practice regarding neglect.</w:t>
      </w:r>
    </w:p>
    <w:p w14:paraId="2D7C1454" w14:textId="77777777" w:rsidR="002B4A9E" w:rsidRDefault="00AC5097" w:rsidP="006C1356">
      <w:pPr>
        <w:rPr>
          <w:noProof/>
          <w:lang w:val="en-US"/>
        </w:rPr>
      </w:pPr>
      <w:r w:rsidRPr="00CB023E">
        <w:rPr>
          <w:rFonts w:cs="Arial"/>
        </w:rPr>
        <w:t>It is not clear why this shift has occurred for neglect, and not for emotional abuse. This question merits further exploration and resolution, as it appears that the current trends in reporting of emotional abuse are producing a burden on the system, at least in the burdens produced by the making of notifications, intake of notifications, and treatmen</w:t>
      </w:r>
      <w:r w:rsidR="00A27DD4">
        <w:rPr>
          <w:rFonts w:cs="Arial"/>
        </w:rPr>
        <w:t>t of the intakes at agency level.</w:t>
      </w:r>
      <w:r w:rsidR="002B4A9E" w:rsidRPr="002B4A9E">
        <w:rPr>
          <w:noProof/>
          <w:lang w:val="en-US"/>
        </w:rPr>
        <w:t xml:space="preserve"> </w:t>
      </w:r>
    </w:p>
    <w:p w14:paraId="350C5C7E" w14:textId="0C24AB5E" w:rsidR="00CB023E" w:rsidRPr="00CB023E" w:rsidRDefault="002B4A9E" w:rsidP="006C1356">
      <w:pPr>
        <w:sectPr w:rsidR="00CB023E" w:rsidRPr="00CB023E" w:rsidSect="000818DF">
          <w:pgSz w:w="11906" w:h="16838"/>
          <w:pgMar w:top="851" w:right="1134" w:bottom="567" w:left="1134" w:header="709" w:footer="284" w:gutter="0"/>
          <w:cols w:space="708"/>
          <w:docGrid w:linePitch="360"/>
        </w:sectPr>
      </w:pPr>
      <w:r w:rsidRPr="00D4016E">
        <w:rPr>
          <w:noProof/>
          <w:lang w:eastAsia="en-AU"/>
        </w:rPr>
        <w:drawing>
          <wp:inline distT="0" distB="0" distL="0" distR="0" wp14:anchorId="18B163A1" wp14:editId="2FF58F69">
            <wp:extent cx="6120130" cy="3747599"/>
            <wp:effectExtent l="0" t="0" r="13970" b="5715"/>
            <wp:docPr id="202" name="Chart 202" descr="Shows reports of neglect peaked in Victoria in 2007 at 14,778 cases and was down to 4902 in 2012."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DFFBC0" w14:textId="380D7793" w:rsidR="006B2BBB" w:rsidRPr="00632470" w:rsidRDefault="006B2BBB" w:rsidP="000B2DAF">
      <w:pPr>
        <w:pStyle w:val="Heading5"/>
        <w:numPr>
          <w:ilvl w:val="0"/>
          <w:numId w:val="91"/>
        </w:numPr>
        <w:rPr>
          <w:rFonts w:eastAsia="Times New Roman" w:cs="Arial"/>
          <w:color w:val="000000"/>
          <w:sz w:val="18"/>
          <w:szCs w:val="17"/>
        </w:rPr>
      </w:pPr>
      <w:r w:rsidRPr="00D4016E">
        <w:lastRenderedPageBreak/>
        <w:t>Other clear trends, by type of abuse and neglect</w:t>
      </w:r>
    </w:p>
    <w:p w14:paraId="5D810827" w14:textId="18507EBB" w:rsidR="006B2BBB" w:rsidRPr="00A27DD4" w:rsidRDefault="006B2BBB" w:rsidP="00B15586">
      <w:pPr>
        <w:jc w:val="both"/>
        <w:rPr>
          <w:rFonts w:cs="Arial"/>
        </w:rPr>
      </w:pPr>
      <w:r w:rsidRPr="00632470">
        <w:rPr>
          <w:rFonts w:cs="Arial"/>
        </w:rPr>
        <w:t>Several other trends emerge from the data on notifications by mandated reporters over time, by type of abuse and neglect, and by outcome (</w:t>
      </w:r>
      <w:r w:rsidRPr="00632470">
        <w:rPr>
          <w:rFonts w:cs="Arial"/>
          <w:b/>
        </w:rPr>
        <w:t>Fig 5</w:t>
      </w:r>
      <w:r w:rsidRPr="00632470">
        <w:rPr>
          <w:rFonts w:cs="Arial"/>
        </w:rPr>
        <w:t>).</w:t>
      </w:r>
    </w:p>
    <w:p w14:paraId="3A22BA3A" w14:textId="206EFA50" w:rsidR="006B2BBB" w:rsidRPr="00D4016E" w:rsidRDefault="006B2BBB" w:rsidP="000B2DAF">
      <w:pPr>
        <w:pStyle w:val="Heading6"/>
      </w:pPr>
      <w:r w:rsidRPr="00D4016E">
        <w:t>Emotional abuse</w:t>
      </w:r>
    </w:p>
    <w:p w14:paraId="3276CF6E" w14:textId="72FCE818" w:rsidR="006B2BBB" w:rsidRPr="00632470" w:rsidRDefault="006B2BBB" w:rsidP="00A27DD4">
      <w:pPr>
        <w:jc w:val="both"/>
        <w:rPr>
          <w:rFonts w:cs="Arial"/>
          <w:szCs w:val="17"/>
        </w:rPr>
      </w:pPr>
      <w:r w:rsidRPr="00632470">
        <w:rPr>
          <w:rFonts w:cs="Arial"/>
          <w:szCs w:val="17"/>
        </w:rPr>
        <w:t>Figure 5 demonstrates both the respective contribution of emotional abuse notifications to notifications as a whole, and the distinct pattern of increasing notifications compared with those for other notifications.</w:t>
      </w:r>
    </w:p>
    <w:p w14:paraId="15F49900" w14:textId="3CAA9209" w:rsidR="006B2BBB" w:rsidRPr="00632470" w:rsidRDefault="006B2BBB" w:rsidP="00A27DD4">
      <w:pPr>
        <w:jc w:val="both"/>
        <w:rPr>
          <w:rFonts w:cs="Arial"/>
          <w:szCs w:val="17"/>
        </w:rPr>
      </w:pPr>
      <w:r w:rsidRPr="00632470">
        <w:rPr>
          <w:rFonts w:cs="Arial"/>
          <w:szCs w:val="17"/>
        </w:rPr>
        <w:t xml:space="preserve">Notifications of emotional abuse in this period are the largest single contributor to the increase in notifications, with the increase occurring from 2007-2012. For the year 2012, there were 20,844 notifications of emotional abuse by mandated reporters; in 2007, there were 4002. </w:t>
      </w:r>
    </w:p>
    <w:p w14:paraId="639E62A0" w14:textId="4B98699E" w:rsidR="006B2BBB" w:rsidRPr="00632470" w:rsidRDefault="006B2BBB" w:rsidP="006C1356">
      <w:pPr>
        <w:jc w:val="both"/>
        <w:rPr>
          <w:rFonts w:cs="Arial"/>
          <w:szCs w:val="17"/>
        </w:rPr>
      </w:pPr>
      <w:proofErr w:type="gramStart"/>
      <w:r w:rsidRPr="00632470">
        <w:rPr>
          <w:rFonts w:cs="Arial"/>
          <w:szCs w:val="17"/>
        </w:rPr>
        <w:t>Substantiations of emotional abuse nearly triple in this 2007-12 period (861 to 2241).</w:t>
      </w:r>
      <w:proofErr w:type="gramEnd"/>
      <w:r w:rsidRPr="00632470">
        <w:rPr>
          <w:rFonts w:cs="Arial"/>
          <w:szCs w:val="17"/>
        </w:rPr>
        <w:t xml:space="preserve"> However, a very low proportion of all notifications </w:t>
      </w:r>
      <w:proofErr w:type="gramStart"/>
      <w:r w:rsidRPr="00632470">
        <w:rPr>
          <w:rFonts w:cs="Arial"/>
          <w:szCs w:val="17"/>
        </w:rPr>
        <w:t>are investigated</w:t>
      </w:r>
      <w:proofErr w:type="gramEnd"/>
      <w:r w:rsidRPr="00632470">
        <w:rPr>
          <w:rFonts w:cs="Arial"/>
          <w:szCs w:val="17"/>
        </w:rPr>
        <w:t>.</w:t>
      </w:r>
    </w:p>
    <w:p w14:paraId="33A1E281" w14:textId="742376C3" w:rsidR="006B2BBB" w:rsidRPr="00D4016E" w:rsidRDefault="006B2BBB" w:rsidP="000B2DAF">
      <w:pPr>
        <w:pStyle w:val="Heading6"/>
      </w:pPr>
      <w:r w:rsidRPr="00D4016E">
        <w:t>Physical abuse</w:t>
      </w:r>
    </w:p>
    <w:p w14:paraId="4473DC4C" w14:textId="39C8F519" w:rsidR="006B2BBB" w:rsidRPr="00632470" w:rsidRDefault="006B2BBB" w:rsidP="00A27DD4">
      <w:pPr>
        <w:jc w:val="both"/>
        <w:rPr>
          <w:rFonts w:cs="Arial"/>
        </w:rPr>
      </w:pPr>
      <w:proofErr w:type="gramStart"/>
      <w:r w:rsidRPr="00632470">
        <w:rPr>
          <w:rFonts w:cs="Arial"/>
        </w:rPr>
        <w:t>Notifications of physical abuse in the period from 2006 to 2012 increase.</w:t>
      </w:r>
      <w:proofErr w:type="gramEnd"/>
      <w:r w:rsidR="006C1356">
        <w:rPr>
          <w:rFonts w:cs="Arial"/>
        </w:rPr>
        <w:t xml:space="preserve"> </w:t>
      </w:r>
      <w:r w:rsidRPr="00632470">
        <w:rPr>
          <w:rFonts w:cs="Arial"/>
        </w:rPr>
        <w:t xml:space="preserve">In particular, there are increased notifications by police (1919 to 3452), and teachers (1739 to 3963). </w:t>
      </w:r>
    </w:p>
    <w:p w14:paraId="41D40EA3" w14:textId="77777777" w:rsidR="002B4A9E" w:rsidRDefault="006B2BBB" w:rsidP="00A27DD4">
      <w:pPr>
        <w:jc w:val="both"/>
        <w:rPr>
          <w:rFonts w:cs="Arial"/>
          <w:sz w:val="17"/>
          <w:szCs w:val="17"/>
        </w:rPr>
      </w:pPr>
      <w:r w:rsidRPr="00632470">
        <w:rPr>
          <w:rFonts w:cs="Arial"/>
        </w:rPr>
        <w:t>Substantiations of physical abuse double from 2006 to 2012 (1022 to 2099).</w:t>
      </w:r>
      <w:r w:rsidR="00632470" w:rsidRPr="00D4016E">
        <w:rPr>
          <w:rFonts w:cs="Arial"/>
          <w:sz w:val="17"/>
          <w:szCs w:val="17"/>
        </w:rPr>
        <w:t xml:space="preserve"> </w:t>
      </w:r>
    </w:p>
    <w:p w14:paraId="6AAF5286" w14:textId="7F426A63" w:rsidR="00A27DD4" w:rsidRDefault="002B4A9E" w:rsidP="00A27DD4">
      <w:pPr>
        <w:jc w:val="both"/>
        <w:rPr>
          <w:rFonts w:cs="Arial"/>
          <w:sz w:val="17"/>
          <w:szCs w:val="17"/>
        </w:rPr>
      </w:pPr>
      <w:r w:rsidRPr="00D4016E">
        <w:rPr>
          <w:noProof/>
          <w:lang w:eastAsia="en-AU"/>
        </w:rPr>
        <w:drawing>
          <wp:inline distT="0" distB="0" distL="0" distR="0" wp14:anchorId="5F368700" wp14:editId="425A59B9">
            <wp:extent cx="6098540" cy="4564380"/>
            <wp:effectExtent l="0" t="0" r="16510" b="7620"/>
            <wp:docPr id="9" name="Chart 9" descr="Shows that since 2008 emotional abuse has dominated the notifications by major mandated reporter groups in Victoria."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CC9098" w14:textId="088C1D87" w:rsidR="006B2BBB" w:rsidRPr="00A27DD4" w:rsidRDefault="006B2BBB" w:rsidP="000B2DAF">
      <w:pPr>
        <w:pStyle w:val="Heading6"/>
        <w:rPr>
          <w:rFonts w:cs="Arial"/>
          <w:sz w:val="17"/>
          <w:szCs w:val="17"/>
        </w:rPr>
      </w:pPr>
      <w:r w:rsidRPr="00D4016E">
        <w:lastRenderedPageBreak/>
        <w:t>Sexual abuse</w:t>
      </w:r>
    </w:p>
    <w:p w14:paraId="26CB2A05" w14:textId="3D6120B2" w:rsidR="006B2BBB" w:rsidRPr="00632470" w:rsidRDefault="006B2BBB" w:rsidP="00A27DD4">
      <w:pPr>
        <w:jc w:val="both"/>
        <w:rPr>
          <w:rFonts w:cs="Arial"/>
        </w:rPr>
      </w:pPr>
      <w:r w:rsidRPr="00632470">
        <w:rPr>
          <w:rFonts w:cs="Arial"/>
        </w:rPr>
        <w:t xml:space="preserve">Notifications of sexual abuse increase substantially from 2007 to 2012, especially by police (698 to 2780), and teachers (420 to 1001). </w:t>
      </w:r>
    </w:p>
    <w:p w14:paraId="3C94D63D" w14:textId="569BD1E6" w:rsidR="006B2BBB" w:rsidRPr="00A27DD4" w:rsidRDefault="006B2BBB" w:rsidP="00A27DD4">
      <w:pPr>
        <w:jc w:val="both"/>
        <w:rPr>
          <w:rFonts w:cs="Arial"/>
        </w:rPr>
      </w:pPr>
      <w:proofErr w:type="gramStart"/>
      <w:r w:rsidRPr="00632470">
        <w:rPr>
          <w:rFonts w:cs="Arial"/>
        </w:rPr>
        <w:t>Substantiations of sexual abuse nearly triple from 2007 to 2012 (298 to 863).</w:t>
      </w:r>
      <w:proofErr w:type="gramEnd"/>
    </w:p>
    <w:p w14:paraId="34EBBEFF" w14:textId="5BE2DF72" w:rsidR="006B2BBB" w:rsidRPr="00D4016E" w:rsidRDefault="006B2BBB" w:rsidP="000B2DAF">
      <w:pPr>
        <w:pStyle w:val="Heading6"/>
      </w:pPr>
      <w:r w:rsidRPr="00D4016E">
        <w:t>Neglect</w:t>
      </w:r>
    </w:p>
    <w:p w14:paraId="405C6680" w14:textId="2AD82040" w:rsidR="00A93B95" w:rsidRDefault="006B2BBB" w:rsidP="00B15586">
      <w:pPr>
        <w:jc w:val="both"/>
        <w:rPr>
          <w:rFonts w:cs="Arial"/>
          <w:szCs w:val="17"/>
        </w:rPr>
      </w:pPr>
      <w:r w:rsidRPr="00632470">
        <w:rPr>
          <w:rFonts w:cs="Arial"/>
          <w:szCs w:val="17"/>
        </w:rPr>
        <w:t>Notifications of neglect decrease substantially from 2007 to 2012 (4773 to 1692).</w:t>
      </w:r>
    </w:p>
    <w:p w14:paraId="1949DB7E" w14:textId="1958668D" w:rsidR="005B5D14" w:rsidRPr="00A27DD4" w:rsidRDefault="006B2BBB" w:rsidP="00B15586">
      <w:pPr>
        <w:jc w:val="both"/>
        <w:rPr>
          <w:rFonts w:cs="Arial"/>
          <w:szCs w:val="17"/>
        </w:rPr>
      </w:pPr>
      <w:r w:rsidRPr="00632470">
        <w:rPr>
          <w:rFonts w:cs="Arial"/>
          <w:szCs w:val="17"/>
        </w:rPr>
        <w:t>Substantiations also decline (466 to 333).</w:t>
      </w:r>
    </w:p>
    <w:p w14:paraId="46D675E3" w14:textId="368BBCC5" w:rsidR="006B2BBB" w:rsidRPr="00D4016E" w:rsidRDefault="006B2BBB" w:rsidP="000B2DAF">
      <w:pPr>
        <w:pStyle w:val="Heading5"/>
        <w:numPr>
          <w:ilvl w:val="0"/>
          <w:numId w:val="91"/>
        </w:numPr>
      </w:pPr>
      <w:r w:rsidRPr="00D4016E">
        <w:t>Notifications involving distinct children</w:t>
      </w:r>
    </w:p>
    <w:p w14:paraId="2C756A8B" w14:textId="7C01A95E" w:rsidR="006B2BBB" w:rsidRPr="00632470" w:rsidRDefault="006B2BBB" w:rsidP="00D97A8F">
      <w:pPr>
        <w:spacing w:after="210"/>
        <w:jc w:val="both"/>
        <w:rPr>
          <w:rFonts w:eastAsia="Times New Roman" w:cs="Arial"/>
          <w:color w:val="000000"/>
        </w:rPr>
      </w:pPr>
      <w:r w:rsidRPr="00632470">
        <w:rPr>
          <w:rFonts w:eastAsia="Times New Roman" w:cs="Arial"/>
          <w:color w:val="000000"/>
        </w:rPr>
        <w:t xml:space="preserve">Summary data on the level of involvement of distinct children in notifications may also prove useful for government agencies. Over the decade, there were 454,120 notifications from all persons, involving 201,389 children.  </w:t>
      </w:r>
    </w:p>
    <w:p w14:paraId="2F85319C" w14:textId="77777777" w:rsidR="006B2BBB" w:rsidRPr="00632470" w:rsidRDefault="006B2BBB" w:rsidP="00D97A8F">
      <w:pPr>
        <w:spacing w:after="210"/>
        <w:jc w:val="both"/>
        <w:rPr>
          <w:rFonts w:eastAsia="Times New Roman" w:cs="Arial"/>
          <w:b/>
          <w:color w:val="000000"/>
        </w:rPr>
      </w:pPr>
      <w:r w:rsidRPr="00632470">
        <w:rPr>
          <w:rFonts w:eastAsia="Times New Roman" w:cs="Arial"/>
          <w:color w:val="000000"/>
        </w:rPr>
        <w:t xml:space="preserve">Of all children in notifications, 55% </w:t>
      </w:r>
      <w:proofErr w:type="gramStart"/>
      <w:r w:rsidRPr="00632470">
        <w:rPr>
          <w:rFonts w:eastAsia="Times New Roman" w:cs="Arial"/>
          <w:color w:val="000000"/>
        </w:rPr>
        <w:t>were only reported</w:t>
      </w:r>
      <w:proofErr w:type="gramEnd"/>
      <w:r w:rsidRPr="00632470">
        <w:rPr>
          <w:rFonts w:eastAsia="Times New Roman" w:cs="Arial"/>
          <w:color w:val="000000"/>
        </w:rPr>
        <w:t xml:space="preserve"> once, and 19% were reported twice. Combined, 74% of all children who were the subject of a notification </w:t>
      </w:r>
      <w:proofErr w:type="gramStart"/>
      <w:r w:rsidRPr="00632470">
        <w:rPr>
          <w:rFonts w:eastAsia="Times New Roman" w:cs="Arial"/>
          <w:color w:val="000000"/>
        </w:rPr>
        <w:t>were reported</w:t>
      </w:r>
      <w:proofErr w:type="gramEnd"/>
      <w:r w:rsidRPr="00632470">
        <w:rPr>
          <w:rFonts w:eastAsia="Times New Roman" w:cs="Arial"/>
          <w:color w:val="000000"/>
        </w:rPr>
        <w:t xml:space="preserve"> once or twice. A group of 26% of children in notifications were reported three or more times.</w:t>
      </w:r>
    </w:p>
    <w:p w14:paraId="6D86522F" w14:textId="446B447C" w:rsidR="002B4A9E" w:rsidRDefault="006B2BBB" w:rsidP="00D97A8F">
      <w:pPr>
        <w:spacing w:after="210"/>
        <w:jc w:val="both"/>
        <w:rPr>
          <w:noProof/>
          <w:lang w:val="en-US"/>
        </w:rPr>
      </w:pPr>
      <w:r w:rsidRPr="00632470">
        <w:rPr>
          <w:rFonts w:eastAsia="Times New Roman" w:cs="Arial"/>
          <w:color w:val="000000"/>
        </w:rPr>
        <w:t xml:space="preserve">Of all notifications, 40% related to children who </w:t>
      </w:r>
      <w:proofErr w:type="gramStart"/>
      <w:r w:rsidRPr="00632470">
        <w:rPr>
          <w:rFonts w:eastAsia="Times New Roman" w:cs="Arial"/>
          <w:color w:val="000000"/>
        </w:rPr>
        <w:t>were reported</w:t>
      </w:r>
      <w:proofErr w:type="gramEnd"/>
      <w:r w:rsidRPr="00632470">
        <w:rPr>
          <w:rFonts w:eastAsia="Times New Roman" w:cs="Arial"/>
          <w:color w:val="000000"/>
        </w:rPr>
        <w:t xml:space="preserve"> once or twice. </w:t>
      </w:r>
      <w:proofErr w:type="gramStart"/>
      <w:r w:rsidRPr="00632470">
        <w:rPr>
          <w:rFonts w:eastAsia="Times New Roman" w:cs="Arial"/>
          <w:color w:val="000000"/>
        </w:rPr>
        <w:t>60%</w:t>
      </w:r>
      <w:proofErr w:type="gramEnd"/>
      <w:r w:rsidRPr="00632470">
        <w:rPr>
          <w:rFonts w:eastAsia="Times New Roman" w:cs="Arial"/>
          <w:color w:val="000000"/>
        </w:rPr>
        <w:t xml:space="preserve"> of all notifications concerned children who were reported three or more times. This may suggest that a relatively small group of children are subject to chronic maltreatment and may not be receiving sufficient service provision.</w:t>
      </w:r>
      <w:r w:rsidR="002B4A9E" w:rsidRPr="002B4A9E">
        <w:rPr>
          <w:noProof/>
          <w:lang w:val="en-US"/>
        </w:rPr>
        <w:t xml:space="preserve"> </w:t>
      </w:r>
      <w:r w:rsidR="002C6107">
        <w:rPr>
          <w:noProof/>
          <w:lang w:val="en-US"/>
        </w:rPr>
        <w:t xml:space="preserve"> </w:t>
      </w:r>
    </w:p>
    <w:p w14:paraId="23CD02B8" w14:textId="550BD49A" w:rsidR="00643E15" w:rsidRPr="00632470" w:rsidRDefault="002B4A9E" w:rsidP="00D97A8F">
      <w:pPr>
        <w:spacing w:after="210"/>
        <w:jc w:val="both"/>
        <w:rPr>
          <w:rFonts w:eastAsia="Times New Roman" w:cs="Arial"/>
          <w:color w:val="000000"/>
        </w:rPr>
      </w:pPr>
      <w:r>
        <w:rPr>
          <w:noProof/>
          <w:lang w:eastAsia="en-AU"/>
        </w:rPr>
        <w:drawing>
          <wp:inline distT="0" distB="0" distL="0" distR="0" wp14:anchorId="32E9415D" wp14:editId="5C1E96AF">
            <wp:extent cx="6099048" cy="4069080"/>
            <wp:effectExtent l="0" t="0" r="16510" b="7620"/>
            <wp:docPr id="108" name="Chart 108" descr="Shows that Victoria police now make more notifications of emotional abuse than neglect, physical and sexual abuse combined."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7286A1" w14:textId="2ECC12AC" w:rsidR="00643E15" w:rsidRDefault="00643E15">
      <w:pPr>
        <w:spacing w:after="200" w:line="276" w:lineRule="auto"/>
        <w:rPr>
          <w:rFonts w:eastAsia="Times New Roman" w:cs="Arial"/>
          <w:color w:val="000000"/>
          <w:sz w:val="17"/>
          <w:szCs w:val="17"/>
        </w:rPr>
      </w:pPr>
    </w:p>
    <w:p w14:paraId="7FB81237" w14:textId="55493256" w:rsidR="00643E15" w:rsidRPr="006C1356" w:rsidRDefault="00643E15" w:rsidP="000B2DAF">
      <w:pPr>
        <w:pStyle w:val="Heading5"/>
        <w:numPr>
          <w:ilvl w:val="0"/>
          <w:numId w:val="91"/>
        </w:numPr>
      </w:pPr>
      <w:r w:rsidRPr="006C1356">
        <w:t>Analysis of notifications by police reveals a number of key findings.</w:t>
      </w:r>
    </w:p>
    <w:p w14:paraId="539FC52F" w14:textId="5049BAB5" w:rsidR="00643E15" w:rsidRPr="006C1356" w:rsidRDefault="00643E15" w:rsidP="00D97A8F">
      <w:pPr>
        <w:spacing w:after="210"/>
        <w:ind w:left="60"/>
        <w:jc w:val="both"/>
        <w:rPr>
          <w:rFonts w:eastAsia="Times New Roman" w:cs="Arial"/>
          <w:color w:val="000000"/>
        </w:rPr>
      </w:pPr>
      <w:r w:rsidRPr="006C1356">
        <w:rPr>
          <w:rFonts w:eastAsia="Times New Roman" w:cs="Arial"/>
          <w:color w:val="000000"/>
        </w:rPr>
        <w:t xml:space="preserve">Police are the mandated reporter </w:t>
      </w:r>
      <w:proofErr w:type="gramStart"/>
      <w:r w:rsidRPr="006C1356">
        <w:rPr>
          <w:rFonts w:eastAsia="Times New Roman" w:cs="Arial"/>
          <w:color w:val="000000"/>
        </w:rPr>
        <w:t>group which</w:t>
      </w:r>
      <w:proofErr w:type="gramEnd"/>
      <w:r w:rsidRPr="006C1356">
        <w:rPr>
          <w:rFonts w:eastAsia="Times New Roman" w:cs="Arial"/>
          <w:color w:val="000000"/>
        </w:rPr>
        <w:t xml:space="preserve"> makes the most notifications. Several key findings emerge from an analysis of their reporting patterns (</w:t>
      </w:r>
      <w:r w:rsidRPr="006C1356">
        <w:rPr>
          <w:rFonts w:eastAsia="Times New Roman" w:cs="Arial"/>
          <w:b/>
          <w:color w:val="000000"/>
        </w:rPr>
        <w:t>Fig</w:t>
      </w:r>
      <w:r w:rsidRPr="006C1356">
        <w:rPr>
          <w:rFonts w:eastAsia="Times New Roman" w:cs="Arial"/>
          <w:color w:val="000000"/>
        </w:rPr>
        <w:t xml:space="preserve"> </w:t>
      </w:r>
      <w:r w:rsidRPr="006C1356">
        <w:rPr>
          <w:rFonts w:eastAsia="Times New Roman" w:cs="Arial"/>
          <w:b/>
          <w:color w:val="000000"/>
        </w:rPr>
        <w:t>6</w:t>
      </w:r>
      <w:r w:rsidRPr="006C1356">
        <w:rPr>
          <w:rFonts w:eastAsia="Times New Roman" w:cs="Arial"/>
          <w:color w:val="000000"/>
        </w:rPr>
        <w:t>).</w:t>
      </w:r>
    </w:p>
    <w:p w14:paraId="335C89FF" w14:textId="49DE2951" w:rsidR="00643E15" w:rsidRPr="006C1356" w:rsidRDefault="00643E15" w:rsidP="00D97A8F">
      <w:pPr>
        <w:spacing w:after="210"/>
        <w:jc w:val="both"/>
        <w:rPr>
          <w:rFonts w:eastAsia="Times New Roman" w:cs="Arial"/>
          <w:color w:val="000000"/>
        </w:rPr>
      </w:pPr>
      <w:r w:rsidRPr="006C1356">
        <w:rPr>
          <w:rFonts w:eastAsia="Times New Roman" w:cs="Arial"/>
          <w:color w:val="000000"/>
        </w:rPr>
        <w:t xml:space="preserve">As for other reporter groups, notifications by police were </w:t>
      </w:r>
      <w:proofErr w:type="gramStart"/>
      <w:r w:rsidRPr="006C1356">
        <w:rPr>
          <w:rFonts w:eastAsia="Times New Roman" w:cs="Arial"/>
          <w:color w:val="000000"/>
        </w:rPr>
        <w:t>relatively</w:t>
      </w:r>
      <w:proofErr w:type="gramEnd"/>
      <w:r w:rsidRPr="006C1356">
        <w:rPr>
          <w:rFonts w:eastAsia="Times New Roman" w:cs="Arial"/>
          <w:color w:val="000000"/>
        </w:rPr>
        <w:t xml:space="preserve"> stable in the period 2003-2006. </w:t>
      </w:r>
    </w:p>
    <w:p w14:paraId="0026C106" w14:textId="6B02DA75" w:rsidR="00643E15" w:rsidRPr="006C1356" w:rsidRDefault="00643E15" w:rsidP="00D97A8F">
      <w:pPr>
        <w:spacing w:after="210"/>
        <w:jc w:val="both"/>
        <w:rPr>
          <w:rFonts w:cs="Arial"/>
        </w:rPr>
      </w:pPr>
      <w:r w:rsidRPr="006C1356">
        <w:rPr>
          <w:rFonts w:eastAsia="Times New Roman" w:cs="Arial"/>
          <w:color w:val="000000"/>
        </w:rPr>
        <w:t>A series of changes then occurred. Most significantly, since 2007, there were</w:t>
      </w:r>
      <w:r w:rsidRPr="006C1356">
        <w:rPr>
          <w:rFonts w:cs="Arial"/>
        </w:rPr>
        <w:t xml:space="preserve"> substantial and sustained </w:t>
      </w:r>
      <w:r w:rsidRPr="006C1356">
        <w:rPr>
          <w:rFonts w:cs="Arial"/>
          <w:i/>
        </w:rPr>
        <w:t>increases</w:t>
      </w:r>
      <w:r w:rsidRPr="006C1356">
        <w:rPr>
          <w:rFonts w:cs="Arial"/>
        </w:rPr>
        <w:t xml:space="preserve"> in notifications of emotional abuse (2581 to 14,139); sexual abuse (698 to 2780)</w:t>
      </w:r>
      <w:proofErr w:type="gramStart"/>
      <w:r w:rsidRPr="006C1356">
        <w:rPr>
          <w:rFonts w:cs="Arial"/>
        </w:rPr>
        <w:t>;</w:t>
      </w:r>
      <w:proofErr w:type="gramEnd"/>
      <w:r w:rsidRPr="006C1356">
        <w:rPr>
          <w:rFonts w:cs="Arial"/>
        </w:rPr>
        <w:t xml:space="preserve"> and physical abuse (1919 to 3452). In contrast, there was a substantial </w:t>
      </w:r>
      <w:r w:rsidRPr="006C1356">
        <w:rPr>
          <w:rFonts w:cs="Arial"/>
          <w:i/>
        </w:rPr>
        <w:t>decline</w:t>
      </w:r>
      <w:r w:rsidRPr="006C1356">
        <w:rPr>
          <w:rFonts w:cs="Arial"/>
        </w:rPr>
        <w:t xml:space="preserve"> in notifications of neglect (2432 to 621). </w:t>
      </w:r>
    </w:p>
    <w:p w14:paraId="69C7BE4C" w14:textId="50B10D6B" w:rsidR="00643E15" w:rsidRPr="006C1356" w:rsidRDefault="00643E15" w:rsidP="00D97A8F">
      <w:pPr>
        <w:spacing w:after="210"/>
        <w:jc w:val="both"/>
        <w:rPr>
          <w:rFonts w:cs="Arial"/>
        </w:rPr>
      </w:pPr>
      <w:r w:rsidRPr="006C1356">
        <w:rPr>
          <w:rFonts w:cs="Arial"/>
        </w:rPr>
        <w:t>The decline in notifications of neglect suggests that from 2007, police were instead referring cases to Child FIRST, or adopting some other course of action. However, the exponential increase in notifications of emotional abuse (possibly related to encounters with exposure of children to domestic violence) indicates this did not occur for emotional abuse cases.</w:t>
      </w:r>
    </w:p>
    <w:p w14:paraId="2EDC4F84" w14:textId="20D8DDFF" w:rsidR="00643E15" w:rsidRPr="006C1356" w:rsidRDefault="00643E15" w:rsidP="00D97A8F">
      <w:pPr>
        <w:spacing w:after="210"/>
        <w:jc w:val="both"/>
        <w:rPr>
          <w:rFonts w:cs="Arial"/>
        </w:rPr>
      </w:pPr>
      <w:r w:rsidRPr="006C1356">
        <w:rPr>
          <w:rFonts w:cs="Arial"/>
        </w:rPr>
        <w:t xml:space="preserve">Notifications by police increased over the period 2007-12 for the two categories of maltreatment required by the law to </w:t>
      </w:r>
      <w:proofErr w:type="gramStart"/>
      <w:r w:rsidRPr="006C1356">
        <w:rPr>
          <w:rFonts w:cs="Arial"/>
        </w:rPr>
        <w:t>be reported</w:t>
      </w:r>
      <w:proofErr w:type="gramEnd"/>
      <w:r w:rsidRPr="006C1356">
        <w:rPr>
          <w:rFonts w:cs="Arial"/>
        </w:rPr>
        <w:t>: physical abuse (1919 to 3452) and sexual abuse (698 to 2780).</w:t>
      </w:r>
    </w:p>
    <w:p w14:paraId="54E33E03" w14:textId="131ACF70" w:rsidR="00643E15" w:rsidRPr="006C1356" w:rsidRDefault="00643E15" w:rsidP="00D97A8F">
      <w:pPr>
        <w:spacing w:after="210"/>
        <w:jc w:val="both"/>
        <w:rPr>
          <w:rFonts w:cs="Arial"/>
        </w:rPr>
      </w:pPr>
      <w:r w:rsidRPr="006C1356">
        <w:rPr>
          <w:rFonts w:cs="Arial"/>
        </w:rPr>
        <w:t xml:space="preserve">Of physical abuse notifications by police that </w:t>
      </w:r>
      <w:proofErr w:type="gramStart"/>
      <w:r w:rsidRPr="006C1356">
        <w:rPr>
          <w:rFonts w:cs="Arial"/>
        </w:rPr>
        <w:t>were investigated</w:t>
      </w:r>
      <w:proofErr w:type="gramEnd"/>
      <w:r w:rsidRPr="006C1356">
        <w:rPr>
          <w:rFonts w:cs="Arial"/>
        </w:rPr>
        <w:t>, 70% were substantiated.</w:t>
      </w:r>
    </w:p>
    <w:p w14:paraId="18C34080" w14:textId="5496C612" w:rsidR="00643E15" w:rsidRPr="006C1356" w:rsidRDefault="00643E15" w:rsidP="00D97A8F">
      <w:pPr>
        <w:spacing w:after="210"/>
        <w:jc w:val="both"/>
        <w:rPr>
          <w:rFonts w:eastAsia="Times New Roman" w:cs="Arial"/>
          <w:b/>
          <w:color w:val="000000"/>
        </w:rPr>
      </w:pPr>
      <w:r w:rsidRPr="006C1356">
        <w:rPr>
          <w:rFonts w:cs="Arial"/>
        </w:rPr>
        <w:t>Substantiations of sexual abuse notifications by police have increased markedly in the period 2007-12 (193 to 689).</w:t>
      </w:r>
      <w:r w:rsidRPr="006C1356">
        <w:rPr>
          <w:rFonts w:eastAsia="Times New Roman" w:cs="Arial"/>
          <w:b/>
          <w:color w:val="000000"/>
        </w:rPr>
        <w:t xml:space="preserve"> </w:t>
      </w:r>
    </w:p>
    <w:p w14:paraId="158E3DED" w14:textId="777A6EDB" w:rsidR="00643E15" w:rsidRPr="00512812" w:rsidRDefault="00643E15" w:rsidP="0048015B">
      <w:pPr>
        <w:pStyle w:val="Heading4"/>
      </w:pPr>
      <w:bookmarkStart w:id="4" w:name="_Toc435716750"/>
      <w:r>
        <w:t>Conclusion</w:t>
      </w:r>
      <w:bookmarkEnd w:id="4"/>
    </w:p>
    <w:p w14:paraId="2F620750" w14:textId="77777777" w:rsidR="0047182D" w:rsidRDefault="00643E15" w:rsidP="0047182D">
      <w:pPr>
        <w:spacing w:after="240"/>
      </w:pPr>
      <w:r w:rsidRPr="006C1356">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w:t>
      </w:r>
      <w:proofErr w:type="gramStart"/>
      <w:r w:rsidRPr="006C1356">
        <w:t>may be enhanced</w:t>
      </w:r>
      <w:proofErr w:type="gramEnd"/>
      <w:r w:rsidRPr="006C1356">
        <w:t xml:space="preserve">. </w:t>
      </w:r>
    </w:p>
    <w:p w14:paraId="3DA36E6F" w14:textId="34988015" w:rsidR="00643E15" w:rsidRPr="006C1356" w:rsidRDefault="00643E15" w:rsidP="0047182D">
      <w:pPr>
        <w:spacing w:after="240"/>
      </w:pPr>
      <w:r w:rsidRPr="006C1356">
        <w:t xml:space="preserve">One finding is that non-mandated notifications account for the majority of all notifications. This indicates that while mandated reporting practice merits attention to enhance reporting practice and outcomes, attention </w:t>
      </w:r>
      <w:proofErr w:type="gramStart"/>
      <w:r w:rsidRPr="006C1356">
        <w:t>may also be productively directed</w:t>
      </w:r>
      <w:proofErr w:type="gramEnd"/>
      <w:r w:rsidRPr="006C1356">
        <w:t xml:space="preserve"> towards reporting by non-mandated reporters.</w:t>
      </w:r>
    </w:p>
    <w:p w14:paraId="766D7345" w14:textId="19311A65" w:rsidR="00643E15" w:rsidRPr="006C1356" w:rsidRDefault="00643E15" w:rsidP="0047182D">
      <w:pPr>
        <w:spacing w:after="240"/>
        <w:rPr>
          <w:rFonts w:eastAsia="Times New Roman"/>
          <w:color w:val="000000"/>
        </w:rPr>
      </w:pPr>
      <w:r w:rsidRPr="006C1356">
        <w:rPr>
          <w:rFonts w:eastAsia="Times New Roman"/>
          <w:color w:val="000000"/>
        </w:rPr>
        <w:t xml:space="preserve">Several findings suggest positive outcomes and trends in recent years in relation to notifications by mandated reporters. </w:t>
      </w:r>
    </w:p>
    <w:p w14:paraId="0CB6A190" w14:textId="52AC1E95" w:rsidR="00643E15" w:rsidRPr="006C1356" w:rsidRDefault="00643E15" w:rsidP="0047182D">
      <w:pPr>
        <w:spacing w:after="240"/>
      </w:pPr>
      <w:r w:rsidRPr="006C1356">
        <w:rPr>
          <w:rFonts w:eastAsia="Times New Roman"/>
          <w:color w:val="000000"/>
        </w:rPr>
        <w:t xml:space="preserve">In particular, the data on substantiations of physical abuse and sexual abuse are notable, especially since those two types of maltreatment are the only categories required by the Victorian legislation to </w:t>
      </w:r>
      <w:proofErr w:type="gramStart"/>
      <w:r w:rsidRPr="006C1356">
        <w:rPr>
          <w:rFonts w:eastAsia="Times New Roman"/>
          <w:color w:val="000000"/>
        </w:rPr>
        <w:t>be reported</w:t>
      </w:r>
      <w:proofErr w:type="gramEnd"/>
      <w:r w:rsidRPr="006C1356">
        <w:rPr>
          <w:rFonts w:eastAsia="Times New Roman"/>
          <w:color w:val="000000"/>
        </w:rPr>
        <w:t xml:space="preserve">. </w:t>
      </w:r>
      <w:r w:rsidRPr="006C1356">
        <w:t xml:space="preserve">Of notifications made by mandated reporters, substantiations of physical abuse doubled from </w:t>
      </w:r>
      <w:r w:rsidRPr="006C1356">
        <w:lastRenderedPageBreak/>
        <w:t>2006 to 2012 (1022 to 2099), and substantiations of sexual abuse nearly tripled from 2007 to 2012 (298 to 863).</w:t>
      </w:r>
    </w:p>
    <w:p w14:paraId="7A36E466" w14:textId="420072CC" w:rsidR="00643E15" w:rsidRPr="006C1356" w:rsidRDefault="00643E15" w:rsidP="0047182D">
      <w:pPr>
        <w:spacing w:after="240"/>
      </w:pPr>
      <w:r w:rsidRPr="006C1356">
        <w:t>In addition, it appears the introduction of Child FIRST as a differential response mechanism for referral of situations of less serious neglect has produced the anticipated outcome.</w:t>
      </w:r>
    </w:p>
    <w:p w14:paraId="26E51EE8" w14:textId="77777777" w:rsidR="00643E15" w:rsidRPr="006C1356" w:rsidRDefault="00643E15" w:rsidP="0047182D">
      <w:pPr>
        <w:spacing w:after="240"/>
        <w:rPr>
          <w:rFonts w:eastAsia="Times New Roman"/>
          <w:color w:val="000000"/>
        </w:rPr>
      </w:pPr>
      <w:r w:rsidRPr="006C1356">
        <w:t xml:space="preserve">The analyses have also indicated some areas of practice where intended effects of the 2007 changes do not yet appear to have produced the desired outcomes. In particular, the reporting of emotional abuse has increased dramatically, and especially by police. Identification of this and other trends may indicate dimensions of reporting </w:t>
      </w:r>
      <w:proofErr w:type="gramStart"/>
      <w:r w:rsidRPr="006C1356">
        <w:t>practice which</w:t>
      </w:r>
      <w:proofErr w:type="gramEnd"/>
      <w:r w:rsidRPr="006C1356">
        <w:t xml:space="preserve"> are most in need of attention.</w:t>
      </w:r>
    </w:p>
    <w:p w14:paraId="2C45B109" w14:textId="77777777" w:rsidR="00621454" w:rsidRDefault="00621454" w:rsidP="0047182D"/>
    <w:p w14:paraId="08A56C55" w14:textId="77777777" w:rsidR="00621454" w:rsidRDefault="00621454" w:rsidP="0047182D">
      <w:pPr>
        <w:sectPr w:rsidR="00621454" w:rsidSect="00AC5097">
          <w:type w:val="continuous"/>
          <w:pgSz w:w="11906" w:h="16838"/>
          <w:pgMar w:top="851" w:right="1134" w:bottom="567" w:left="1134" w:header="709" w:footer="284" w:gutter="0"/>
          <w:cols w:space="708"/>
          <w:docGrid w:linePitch="360"/>
        </w:sectPr>
      </w:pPr>
    </w:p>
    <w:p w14:paraId="76F71CD9" w14:textId="77777777" w:rsidR="00F312E3" w:rsidRPr="00270658" w:rsidRDefault="00F312E3" w:rsidP="00F312E3">
      <w:pPr>
        <w:pStyle w:val="Heading2"/>
        <w:sectPr w:rsidR="00F312E3" w:rsidRPr="00270658" w:rsidSect="00D650B4">
          <w:pgSz w:w="11906" w:h="16838" w:code="9"/>
          <w:pgMar w:top="1138" w:right="1138" w:bottom="1138" w:left="1138" w:header="720" w:footer="720" w:gutter="0"/>
          <w:cols w:space="274"/>
          <w:vAlign w:val="center"/>
          <w:docGrid w:linePitch="360"/>
        </w:sectPr>
      </w:pPr>
      <w:bookmarkStart w:id="5" w:name="_Toc435018513"/>
      <w:r>
        <w:lastRenderedPageBreak/>
        <w:t xml:space="preserve">Stage 1: </w:t>
      </w:r>
      <w:r>
        <w:br/>
        <w:t>Legal Analysis</w:t>
      </w:r>
      <w:bookmarkEnd w:id="5"/>
    </w:p>
    <w:p w14:paraId="011AA127" w14:textId="1D31B214" w:rsidR="00F312E3" w:rsidRPr="00C3052E" w:rsidRDefault="003A194E" w:rsidP="00FF41B4">
      <w:pPr>
        <w:pStyle w:val="Heading3"/>
        <w:jc w:val="both"/>
        <w:rPr>
          <w:noProof/>
        </w:rPr>
      </w:pPr>
      <w:bookmarkStart w:id="6" w:name="_Toc435716751"/>
      <w:bookmarkStart w:id="7" w:name="_Toc435018514"/>
      <w:bookmarkStart w:id="8" w:name="_Toc435457001"/>
      <w:r>
        <w:rPr>
          <w:noProof/>
        </w:rPr>
        <w:lastRenderedPageBreak/>
        <w:t>Stage 1: Legal Analysis</w:t>
      </w:r>
      <w:bookmarkEnd w:id="6"/>
      <w:r>
        <w:rPr>
          <w:noProof/>
        </w:rPr>
        <w:t xml:space="preserve"> </w:t>
      </w:r>
      <w:bookmarkEnd w:id="7"/>
      <w:bookmarkEnd w:id="8"/>
    </w:p>
    <w:p w14:paraId="75A5136E" w14:textId="77777777" w:rsidR="00F312E3" w:rsidRPr="00C3052E" w:rsidRDefault="00F312E3" w:rsidP="00FF41B4">
      <w:pPr>
        <w:pStyle w:val="Heading4"/>
        <w:jc w:val="both"/>
        <w:rPr>
          <w:lang w:eastAsia="zh-CN"/>
        </w:rPr>
      </w:pPr>
      <w:bookmarkStart w:id="9" w:name="_Toc400110653"/>
      <w:bookmarkStart w:id="10" w:name="_Toc435457002"/>
      <w:bookmarkStart w:id="11" w:name="_Toc435716752"/>
      <w:r>
        <w:rPr>
          <w:lang w:eastAsia="zh-CN"/>
        </w:rPr>
        <w:t>1.1.</w:t>
      </w:r>
      <w:r>
        <w:rPr>
          <w:lang w:eastAsia="zh-CN"/>
        </w:rPr>
        <w:tab/>
      </w:r>
      <w:r w:rsidRPr="00C3052E">
        <w:rPr>
          <w:lang w:eastAsia="zh-CN"/>
        </w:rPr>
        <w:t>Introduction</w:t>
      </w:r>
      <w:bookmarkEnd w:id="9"/>
      <w:bookmarkEnd w:id="10"/>
      <w:bookmarkEnd w:id="11"/>
    </w:p>
    <w:p w14:paraId="58E760FE" w14:textId="77777777" w:rsidR="00F312E3" w:rsidRPr="00C3052E" w:rsidRDefault="00F312E3" w:rsidP="00FF41B4">
      <w:pPr>
        <w:jc w:val="both"/>
        <w:rPr>
          <w:rFonts w:eastAsia="MS Mincho" w:cs="Times New Roman"/>
        </w:rPr>
      </w:pPr>
      <w:r w:rsidRPr="00C3052E">
        <w:rPr>
          <w:rFonts w:eastAsia="MS Mincho" w:cs="Times New Roman"/>
        </w:rPr>
        <w:t xml:space="preserve">As part of the effort to protect children from significant abuse and neglect, each State and Territory in Australia has enacted legislation commonly known as ‘mandatory reporting laws’. The laws differ in scope and have changed over time. Accordingly, the main aim of this Stage 1 Report is to review and explain the legislative principles across Australia and to chart changes in the decade from 1 January 2003 – 31 December 2012. In doing so, the Report will identify differences between State and Territory law over this </w:t>
      </w:r>
      <w:proofErr w:type="gramStart"/>
      <w:r w:rsidRPr="00C3052E">
        <w:rPr>
          <w:rFonts w:eastAsia="MS Mincho" w:cs="Times New Roman"/>
        </w:rPr>
        <w:t>time period</w:t>
      </w:r>
      <w:proofErr w:type="gramEnd"/>
      <w:r w:rsidRPr="00C3052E">
        <w:rPr>
          <w:rFonts w:eastAsia="MS Mincho" w:cs="Times New Roman"/>
        </w:rPr>
        <w:t>.</w:t>
      </w:r>
    </w:p>
    <w:p w14:paraId="3F80C338" w14:textId="77777777" w:rsidR="00F312E3" w:rsidRPr="00C3052E" w:rsidRDefault="00F312E3" w:rsidP="001B0227">
      <w:pPr>
        <w:pStyle w:val="Heading5"/>
        <w:keepNext w:val="0"/>
        <w:keepLines w:val="0"/>
        <w:numPr>
          <w:ilvl w:val="2"/>
          <w:numId w:val="52"/>
        </w:numPr>
        <w:spacing w:before="240" w:after="240" w:line="240" w:lineRule="auto"/>
        <w:jc w:val="both"/>
        <w:rPr>
          <w:lang w:eastAsia="zh-CN"/>
        </w:rPr>
      </w:pPr>
      <w:bookmarkStart w:id="12" w:name="_Toc400110654"/>
      <w:r w:rsidRPr="00C3052E">
        <w:rPr>
          <w:lang w:eastAsia="zh-CN"/>
        </w:rPr>
        <w:t>General nature and effect of mandatory reporting laws</w:t>
      </w:r>
      <w:bookmarkEnd w:id="12"/>
    </w:p>
    <w:p w14:paraId="49CE181B" w14:textId="77777777" w:rsidR="00F312E3" w:rsidRPr="00C3052E" w:rsidRDefault="00F312E3" w:rsidP="00FF41B4">
      <w:pPr>
        <w:jc w:val="both"/>
        <w:rPr>
          <w:rFonts w:eastAsia="MS Mincho" w:cs="Times New Roman"/>
        </w:rPr>
      </w:pPr>
      <w:r w:rsidRPr="00C3052E">
        <w:rPr>
          <w:rFonts w:eastAsia="MS Mincho" w:cs="Times New Roman"/>
        </w:rPr>
        <w:t>Mandatory reporting laws are laws passed by Parliament requiring designated persons to report certain kinds of child abuse and neglect</w:t>
      </w:r>
      <w:r w:rsidRPr="00C3052E">
        <w:rPr>
          <w:rFonts w:eastAsia="MS Mincho" w:cs="Times New Roman"/>
          <w:vertAlign w:val="superscript"/>
        </w:rPr>
        <w:footnoteReference w:id="1"/>
      </w:r>
      <w:r w:rsidRPr="00C3052E">
        <w:rPr>
          <w:rFonts w:eastAsia="MS Mincho" w:cs="Times New Roman"/>
        </w:rPr>
        <w:t xml:space="preserve"> to government authorities. The core principle motivating these laws is that many cases of severe child abuse and neglect occur in private, cause substantial harm to extremely vulnerable children, and are unlikely to </w:t>
      </w:r>
      <w:proofErr w:type="gramStart"/>
      <w:r w:rsidRPr="00C3052E">
        <w:rPr>
          <w:rFonts w:eastAsia="MS Mincho" w:cs="Times New Roman"/>
        </w:rPr>
        <w:t>be brought</w:t>
      </w:r>
      <w:proofErr w:type="gramEnd"/>
      <w:r w:rsidRPr="00C3052E">
        <w:rPr>
          <w:rFonts w:eastAsia="MS Mincho" w:cs="Times New Roman"/>
        </w:rPr>
        <w:t xml:space="preserve"> to the attention of helping agencies. Governments have chosen, as a social policy and public health measure, to enact these laws to draw on the capacity of professionals who typically deal with children in the course of their work (such as teachers, police, doctors and nurses), and who encounter cases of serious child abuse and neglect, to report these situations to helping agencies. Generally, the primary aim is to protect the child from significant harm. The secondary aim is to assist the child’s parents or caregivers to decrease the likelihood of recurrence.</w:t>
      </w:r>
      <w:r w:rsidRPr="00C3052E">
        <w:rPr>
          <w:rFonts w:eastAsia="MS Mincho" w:cs="Times New Roman"/>
          <w:vertAlign w:val="superscript"/>
        </w:rPr>
        <w:footnoteReference w:id="2"/>
      </w:r>
    </w:p>
    <w:p w14:paraId="027F98B5" w14:textId="77777777" w:rsidR="00F312E3" w:rsidRPr="00C3052E" w:rsidRDefault="00F312E3" w:rsidP="00FF41B4">
      <w:pPr>
        <w:jc w:val="both"/>
        <w:rPr>
          <w:rFonts w:eastAsia="MS Mincho" w:cs="Times New Roman"/>
        </w:rPr>
      </w:pPr>
      <w:r w:rsidRPr="00C3052E">
        <w:rPr>
          <w:rFonts w:eastAsia="MS Mincho" w:cs="Times New Roman"/>
        </w:rPr>
        <w:lastRenderedPageBreak/>
        <w:t xml:space="preserve">Consequently, there are differences across Australian jurisdictions concerning who has to report, and what types of maltreatment </w:t>
      </w:r>
      <w:proofErr w:type="gramStart"/>
      <w:r w:rsidRPr="00C3052E">
        <w:rPr>
          <w:rFonts w:eastAsia="MS Mincho" w:cs="Times New Roman"/>
        </w:rPr>
        <w:t>must be reported</w:t>
      </w:r>
      <w:proofErr w:type="gramEnd"/>
      <w:r w:rsidRPr="00C3052E">
        <w:rPr>
          <w:rFonts w:eastAsia="MS Mincho" w:cs="Times New Roman"/>
        </w:rPr>
        <w:t xml:space="preserve">. Before pointing out these differences in the legislative duties, a common approach to the legislative scheme </w:t>
      </w:r>
      <w:proofErr w:type="gramStart"/>
      <w:r w:rsidRPr="00C3052E">
        <w:rPr>
          <w:rFonts w:eastAsia="MS Mincho" w:cs="Times New Roman"/>
        </w:rPr>
        <w:t>ca</w:t>
      </w:r>
      <w:r>
        <w:rPr>
          <w:rFonts w:eastAsia="MS Mincho" w:cs="Times New Roman"/>
        </w:rPr>
        <w:t>n be identified</w:t>
      </w:r>
      <w:proofErr w:type="gramEnd"/>
      <w:r>
        <w:rPr>
          <w:rFonts w:eastAsia="MS Mincho" w:cs="Times New Roman"/>
        </w:rPr>
        <w:t>. The laws will:</w:t>
      </w:r>
    </w:p>
    <w:p w14:paraId="74120382"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define which persons must make reports;</w:t>
      </w:r>
    </w:p>
    <w:p w14:paraId="721D956D"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identify what state of mind a reporter must have before the reporting duty is activated;</w:t>
      </w:r>
    </w:p>
    <w:p w14:paraId="73FA6976"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define the types of abuse and neglect that must be reported;</w:t>
      </w:r>
    </w:p>
    <w:p w14:paraId="68ACBF3D"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 xml:space="preserve">define the extent of abuse or neglect which requires a report; </w:t>
      </w:r>
    </w:p>
    <w:p w14:paraId="46316C3D"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state whether the duty applies only to past or present abuse, or also to future abuse which has not occurred yet but which is thought likely to occur;</w:t>
      </w:r>
    </w:p>
    <w:p w14:paraId="71123B45"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state penalties for failure to report (to encourage reporting rather than police it);</w:t>
      </w:r>
    </w:p>
    <w:p w14:paraId="6378C179"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 xml:space="preserve">provide a reporter with confidentiality regarding their identity; </w:t>
      </w:r>
    </w:p>
    <w:p w14:paraId="2AA31F17"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provide a reporter with immunity from liability arising from a report made in good faith;</w:t>
      </w:r>
    </w:p>
    <w:p w14:paraId="4EEC90EB"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state when the report must be made;</w:t>
      </w:r>
    </w:p>
    <w:p w14:paraId="64805FDC"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state to whom the report must be made;</w:t>
      </w:r>
    </w:p>
    <w:p w14:paraId="2BEA689E" w14:textId="77777777" w:rsidR="00F312E3" w:rsidRPr="00C3052E" w:rsidRDefault="00F312E3" w:rsidP="00FF41B4">
      <w:pPr>
        <w:numPr>
          <w:ilvl w:val="0"/>
          <w:numId w:val="27"/>
        </w:numPr>
        <w:spacing w:before="0" w:after="160"/>
        <w:contextualSpacing/>
        <w:jc w:val="both"/>
        <w:rPr>
          <w:rFonts w:eastAsia="MS Mincho" w:cs="Times New Roman"/>
        </w:rPr>
      </w:pPr>
      <w:r w:rsidRPr="00C3052E">
        <w:rPr>
          <w:rFonts w:eastAsia="MS Mincho" w:cs="Times New Roman"/>
        </w:rPr>
        <w:t>state what details a report should contain;</w:t>
      </w:r>
    </w:p>
    <w:p w14:paraId="5ABC4C3D" w14:textId="77777777" w:rsidR="00F312E3" w:rsidRPr="00C3052E" w:rsidRDefault="00F312E3" w:rsidP="00FF41B4">
      <w:pPr>
        <w:numPr>
          <w:ilvl w:val="0"/>
          <w:numId w:val="27"/>
        </w:numPr>
        <w:spacing w:before="0" w:after="160"/>
        <w:contextualSpacing/>
        <w:jc w:val="both"/>
        <w:rPr>
          <w:rFonts w:eastAsia="MS Mincho" w:cs="Times New Roman"/>
        </w:rPr>
      </w:pPr>
      <w:proofErr w:type="gramStart"/>
      <w:r w:rsidRPr="00C3052E">
        <w:rPr>
          <w:rFonts w:eastAsia="MS Mincho" w:cs="Times New Roman"/>
        </w:rPr>
        <w:t>enable</w:t>
      </w:r>
      <w:proofErr w:type="gramEnd"/>
      <w:r w:rsidRPr="00C3052E">
        <w:rPr>
          <w:rFonts w:eastAsia="MS Mincho" w:cs="Times New Roman"/>
        </w:rPr>
        <w:t xml:space="preserve"> any other person to make a report in good faith, even if not required to do so, and grant confidentiality and legal immunity to these persons.</w:t>
      </w:r>
      <w:r w:rsidRPr="00C3052E">
        <w:rPr>
          <w:rFonts w:eastAsia="MS Mincho" w:cs="Times New Roman"/>
          <w:b/>
          <w:vertAlign w:val="superscript"/>
        </w:rPr>
        <w:footnoteReference w:id="3"/>
      </w:r>
    </w:p>
    <w:p w14:paraId="04C5AE02" w14:textId="77777777" w:rsidR="00F312E3" w:rsidRPr="00C3052E" w:rsidRDefault="00F312E3" w:rsidP="00FF41B4">
      <w:pPr>
        <w:contextualSpacing/>
        <w:jc w:val="both"/>
        <w:rPr>
          <w:rFonts w:eastAsia="MS Mincho" w:cs="Times New Roman"/>
        </w:rPr>
      </w:pPr>
    </w:p>
    <w:p w14:paraId="2EB14125" w14:textId="77777777" w:rsidR="00F312E3" w:rsidRPr="00C3052E" w:rsidRDefault="00F312E3" w:rsidP="00BB746F">
      <w:pPr>
        <w:pStyle w:val="Heading4"/>
        <w:rPr>
          <w:lang w:eastAsia="zh-CN"/>
        </w:rPr>
      </w:pPr>
      <w:bookmarkStart w:id="13" w:name="_Toc400110655"/>
      <w:bookmarkStart w:id="14" w:name="_Toc435457003"/>
      <w:bookmarkStart w:id="15" w:name="_Toc435716753"/>
      <w:r>
        <w:rPr>
          <w:lang w:eastAsia="zh-CN"/>
        </w:rPr>
        <w:t>1.2.</w:t>
      </w:r>
      <w:r>
        <w:rPr>
          <w:lang w:eastAsia="zh-CN"/>
        </w:rPr>
        <w:tab/>
      </w:r>
      <w:r w:rsidRPr="00C3052E">
        <w:rPr>
          <w:lang w:eastAsia="zh-CN"/>
        </w:rPr>
        <w:t>Major legislative differences and common approaches across Australia</w:t>
      </w:r>
      <w:bookmarkEnd w:id="13"/>
      <w:bookmarkEnd w:id="14"/>
      <w:bookmarkEnd w:id="15"/>
    </w:p>
    <w:p w14:paraId="611CE7AE" w14:textId="77777777" w:rsidR="00F312E3" w:rsidRPr="00C3052E" w:rsidRDefault="00F312E3" w:rsidP="00FF41B4">
      <w:pPr>
        <w:jc w:val="both"/>
        <w:rPr>
          <w:rFonts w:eastAsia="MS Mincho" w:cs="Times New Roman"/>
        </w:rPr>
      </w:pPr>
      <w:r w:rsidRPr="00C3052E">
        <w:rPr>
          <w:rFonts w:eastAsia="MS Mincho" w:cs="Times New Roman"/>
        </w:rPr>
        <w:t>This section provides a brief summary of major legislative differences and common approaches in Australian State and Territory laws.</w:t>
      </w:r>
    </w:p>
    <w:p w14:paraId="2CF0E3BE" w14:textId="77777777" w:rsidR="00F312E3" w:rsidRPr="00C3052E" w:rsidRDefault="00F312E3" w:rsidP="00FF41B4">
      <w:pPr>
        <w:pStyle w:val="Heading5"/>
        <w:jc w:val="both"/>
        <w:rPr>
          <w:lang w:eastAsia="zh-CN"/>
        </w:rPr>
      </w:pPr>
      <w:bookmarkStart w:id="16" w:name="_Toc400110656"/>
      <w:r w:rsidRPr="00824790">
        <w:rPr>
          <w:lang w:eastAsia="zh-CN"/>
        </w:rPr>
        <w:lastRenderedPageBreak/>
        <w:t>1.</w:t>
      </w:r>
      <w:r>
        <w:rPr>
          <w:lang w:eastAsia="zh-CN"/>
        </w:rPr>
        <w:t>2.1.</w:t>
      </w:r>
      <w:r>
        <w:rPr>
          <w:lang w:eastAsia="zh-CN"/>
        </w:rPr>
        <w:tab/>
      </w:r>
      <w:r w:rsidRPr="00C3052E">
        <w:rPr>
          <w:lang w:eastAsia="zh-CN"/>
        </w:rPr>
        <w:t>Different reporter groups</w:t>
      </w:r>
      <w:bookmarkEnd w:id="16"/>
    </w:p>
    <w:p w14:paraId="305DA839" w14:textId="77777777" w:rsidR="00F312E3" w:rsidRPr="00C3052E" w:rsidRDefault="00F312E3" w:rsidP="00FF41B4">
      <w:pPr>
        <w:jc w:val="both"/>
        <w:rPr>
          <w:rFonts w:eastAsia="MS Mincho" w:cs="Times New Roman"/>
        </w:rPr>
      </w:pPr>
      <w:r w:rsidRPr="00C3052E">
        <w:rPr>
          <w:rFonts w:eastAsia="MS Mincho" w:cs="Times New Roman"/>
        </w:rPr>
        <w:t xml:space="preserve">To begin with, there are differences in who is required to report. Normally, the reporting duty </w:t>
      </w:r>
      <w:proofErr w:type="gramStart"/>
      <w:r w:rsidRPr="00C3052E">
        <w:rPr>
          <w:rFonts w:eastAsia="MS Mincho" w:cs="Times New Roman"/>
        </w:rPr>
        <w:t>is applied</w:t>
      </w:r>
      <w:proofErr w:type="gramEnd"/>
      <w:r w:rsidRPr="00C3052E">
        <w:rPr>
          <w:rFonts w:eastAsia="MS Mincho" w:cs="Times New Roman"/>
        </w:rPr>
        <w:t xml:space="preserve"> to a minimum of four occupations who regularly work with children: police, teachers, doctors and nurses. However, even this general approach is not present in every Australian State and Territory. There are numerous different approaches. At one end of the spectrum, the Northern Territory makes all citizens mandated reporters. Close to this end of the spectrum </w:t>
      </w:r>
      <w:proofErr w:type="gramStart"/>
      <w:r w:rsidRPr="00C3052E">
        <w:rPr>
          <w:rFonts w:eastAsia="MS Mincho" w:cs="Times New Roman"/>
        </w:rPr>
        <w:t>is</w:t>
      </w:r>
      <w:proofErr w:type="gramEnd"/>
      <w:r w:rsidRPr="00C3052E">
        <w:rPr>
          <w:rFonts w:eastAsia="MS Mincho" w:cs="Times New Roman"/>
        </w:rPr>
        <w:t xml:space="preserve"> New South Wales, South Australia and Tasmania, which mandate a large range of occupations. Closer to the other end of the spectrum is Queensland, which mandates only two professions completely.</w:t>
      </w:r>
      <w:r w:rsidRPr="00C3052E">
        <w:rPr>
          <w:rFonts w:eastAsia="MS Mincho" w:cs="Times New Roman"/>
          <w:vertAlign w:val="superscript"/>
        </w:rPr>
        <w:footnoteReference w:id="4"/>
      </w:r>
      <w:r w:rsidRPr="00C3052E">
        <w:rPr>
          <w:rFonts w:eastAsia="MS Mincho" w:cs="Times New Roman"/>
        </w:rPr>
        <w:t xml:space="preserve"> A summary is set out in </w:t>
      </w:r>
      <w:r w:rsidRPr="00C3052E">
        <w:rPr>
          <w:rFonts w:eastAsia="MS Mincho" w:cs="Times New Roman"/>
          <w:b/>
        </w:rPr>
        <w:t>Table 1.1</w:t>
      </w:r>
      <w:r w:rsidRPr="00C3052E">
        <w:rPr>
          <w:rFonts w:eastAsia="MS Mincho" w:cs="Times New Roman"/>
        </w:rPr>
        <w:t>.</w:t>
      </w:r>
    </w:p>
    <w:p w14:paraId="140B4F07" w14:textId="77777777" w:rsidR="00F312E3" w:rsidRPr="00C3052E" w:rsidRDefault="00F312E3" w:rsidP="00FF41B4">
      <w:pPr>
        <w:pStyle w:val="Heading5"/>
        <w:jc w:val="both"/>
        <w:rPr>
          <w:lang w:eastAsia="zh-CN"/>
        </w:rPr>
      </w:pPr>
      <w:bookmarkStart w:id="17" w:name="_Toc400110657"/>
      <w:r>
        <w:rPr>
          <w:lang w:eastAsia="zh-CN"/>
        </w:rPr>
        <w:t>1.2.2.</w:t>
      </w:r>
      <w:r>
        <w:rPr>
          <w:lang w:eastAsia="zh-CN"/>
        </w:rPr>
        <w:tab/>
      </w:r>
      <w:r w:rsidRPr="00C3052E">
        <w:rPr>
          <w:lang w:eastAsia="zh-CN"/>
        </w:rPr>
        <w:t>Different types of abuse and neglect must be reported</w:t>
      </w:r>
      <w:bookmarkEnd w:id="17"/>
    </w:p>
    <w:p w14:paraId="10E37B7D" w14:textId="77777777" w:rsidR="00F312E3" w:rsidRPr="00C3052E" w:rsidRDefault="00F312E3" w:rsidP="00FF41B4">
      <w:pPr>
        <w:jc w:val="both"/>
        <w:rPr>
          <w:rFonts w:eastAsia="MS Mincho" w:cs="Times New Roman"/>
        </w:rPr>
      </w:pPr>
      <w:r w:rsidRPr="00C3052E">
        <w:rPr>
          <w:rFonts w:eastAsia="MS Mincho" w:cs="Times New Roman"/>
        </w:rPr>
        <w:t xml:space="preserve">Another major difference is in which types of abuse and neglect (or the harm caused by them: see </w:t>
      </w:r>
      <w:r w:rsidRPr="00C3052E">
        <w:rPr>
          <w:rFonts w:eastAsia="MS Mincho" w:cs="Times New Roman"/>
          <w:b/>
        </w:rPr>
        <w:t>Table 1.7</w:t>
      </w:r>
      <w:r w:rsidRPr="00C3052E">
        <w:rPr>
          <w:rFonts w:eastAsia="MS Mincho" w:cs="Times New Roman"/>
        </w:rPr>
        <w:t>)</w:t>
      </w:r>
      <w:r w:rsidRPr="00C3052E">
        <w:rPr>
          <w:rFonts w:eastAsia="MS Mincho" w:cs="Times New Roman"/>
          <w:vertAlign w:val="superscript"/>
        </w:rPr>
        <w:footnoteReference w:id="5"/>
      </w:r>
      <w:r w:rsidRPr="00C3052E">
        <w:rPr>
          <w:rFonts w:eastAsia="MS Mincho" w:cs="Times New Roman"/>
        </w:rPr>
        <w:t xml:space="preserve"> </w:t>
      </w:r>
      <w:proofErr w:type="gramStart"/>
      <w:r w:rsidRPr="00C3052E">
        <w:rPr>
          <w:rFonts w:eastAsia="MS Mincho" w:cs="Times New Roman"/>
        </w:rPr>
        <w:t>must be reported</w:t>
      </w:r>
      <w:proofErr w:type="gramEnd"/>
      <w:r w:rsidRPr="00C3052E">
        <w:rPr>
          <w:rFonts w:eastAsia="MS Mincho" w:cs="Times New Roman"/>
        </w:rPr>
        <w:t>. For example, most but not all States and Territories clearly require reports of significant neglect. In contrast, Western Australia and the ACT clearly do not require reports of even life-threatening neglect, and it is arguable that Victoria also does not require reports of these situations.</w:t>
      </w:r>
      <w:r w:rsidRPr="00C3052E">
        <w:rPr>
          <w:rFonts w:eastAsia="MS Mincho" w:cs="Times New Roman"/>
          <w:vertAlign w:val="superscript"/>
        </w:rPr>
        <w:footnoteReference w:id="6"/>
      </w:r>
      <w:r w:rsidRPr="00C3052E">
        <w:rPr>
          <w:rFonts w:eastAsia="MS Mincho" w:cs="Times New Roman"/>
        </w:rPr>
        <w:t xml:space="preserve"> Some jurisdictions, such as New South Wales and Tasmania, have relatively recently imposed a requirement to report exposure of a child to domestic violence. This might be expected to produce a high number of additional </w:t>
      </w:r>
      <w:proofErr w:type="gramStart"/>
      <w:r w:rsidRPr="00C3052E">
        <w:rPr>
          <w:rFonts w:eastAsia="MS Mincho" w:cs="Times New Roman"/>
        </w:rPr>
        <w:t>reports which</w:t>
      </w:r>
      <w:proofErr w:type="gramEnd"/>
      <w:r w:rsidRPr="00C3052E">
        <w:rPr>
          <w:rFonts w:eastAsia="MS Mincho" w:cs="Times New Roman"/>
        </w:rPr>
        <w:t xml:space="preserve"> would not otherwise be made. A summary is set out in </w:t>
      </w:r>
      <w:r w:rsidRPr="00C3052E">
        <w:rPr>
          <w:rFonts w:eastAsia="MS Mincho" w:cs="Times New Roman"/>
          <w:b/>
        </w:rPr>
        <w:t>Table 1.2</w:t>
      </w:r>
      <w:r w:rsidRPr="00C3052E">
        <w:rPr>
          <w:rFonts w:eastAsia="MS Mincho" w:cs="Times New Roman"/>
        </w:rPr>
        <w:t>.</w:t>
      </w:r>
    </w:p>
    <w:p w14:paraId="020529E1" w14:textId="77777777" w:rsidR="00F312E3" w:rsidRPr="00C3052E" w:rsidRDefault="00F312E3" w:rsidP="00FF41B4">
      <w:pPr>
        <w:pStyle w:val="Heading5"/>
        <w:jc w:val="both"/>
        <w:rPr>
          <w:lang w:eastAsia="zh-CN"/>
        </w:rPr>
      </w:pPr>
      <w:bookmarkStart w:id="18" w:name="_Toc400110658"/>
      <w:r w:rsidRPr="00C3052E">
        <w:rPr>
          <w:lang w:eastAsia="zh-CN"/>
        </w:rPr>
        <w:lastRenderedPageBreak/>
        <w:t>1.2.3</w:t>
      </w:r>
      <w:r>
        <w:rPr>
          <w:lang w:eastAsia="zh-CN"/>
        </w:rPr>
        <w:t>.</w:t>
      </w:r>
      <w:r>
        <w:rPr>
          <w:lang w:eastAsia="zh-CN"/>
        </w:rPr>
        <w:tab/>
      </w:r>
      <w:r w:rsidRPr="00C3052E">
        <w:rPr>
          <w:lang w:eastAsia="zh-CN"/>
        </w:rPr>
        <w:t>Different extent of harm activates the reporting duty</w:t>
      </w:r>
      <w:bookmarkEnd w:id="18"/>
    </w:p>
    <w:p w14:paraId="1B244A72" w14:textId="77777777" w:rsidR="00F312E3" w:rsidRPr="00C3052E" w:rsidRDefault="00F312E3" w:rsidP="00FF41B4">
      <w:pPr>
        <w:jc w:val="both"/>
        <w:rPr>
          <w:rFonts w:eastAsia="MS Mincho" w:cs="Times New Roman"/>
        </w:rPr>
      </w:pPr>
      <w:r w:rsidRPr="00C3052E">
        <w:rPr>
          <w:rFonts w:eastAsia="MS Mincho" w:cs="Times New Roman"/>
        </w:rPr>
        <w:t xml:space="preserve">There are differences in the extent of suspected </w:t>
      </w:r>
      <w:proofErr w:type="gramStart"/>
      <w:r w:rsidRPr="00C3052E">
        <w:rPr>
          <w:rFonts w:eastAsia="MS Mincho" w:cs="Times New Roman"/>
        </w:rPr>
        <w:t>harm which</w:t>
      </w:r>
      <w:proofErr w:type="gramEnd"/>
      <w:r w:rsidRPr="00C3052E">
        <w:rPr>
          <w:rFonts w:eastAsia="MS Mincho" w:cs="Times New Roman"/>
        </w:rPr>
        <w:t xml:space="preserve"> activates the reporting duty. Especially for physical abuse, psychological abuse, and neglect, the laws are generally not intended to require reports of </w:t>
      </w:r>
      <w:proofErr w:type="gramStart"/>
      <w:r w:rsidRPr="00C3052E">
        <w:rPr>
          <w:rFonts w:eastAsia="MS Mincho" w:cs="Times New Roman"/>
        </w:rPr>
        <w:t>any and all</w:t>
      </w:r>
      <w:proofErr w:type="gramEnd"/>
      <w:r w:rsidRPr="00C3052E">
        <w:rPr>
          <w:rFonts w:eastAsia="MS Mincho" w:cs="Times New Roman"/>
        </w:rPr>
        <w:t xml:space="preserve"> behaviour perceived to be abusive or neglectful. Accidental injuries and trivial incidents of less than ideal parenting practice are not the intended object of the laws. Rather, the laws are concerned with acts and omissions that are significantly harmful to the child’s health, safety, wellbeing or development. The legislation differs in how these concepts are expressed, but generally uses indeterminate concepts such as ‘significant harm’ or </w:t>
      </w:r>
      <w:proofErr w:type="gramStart"/>
      <w:r w:rsidRPr="00C3052E">
        <w:rPr>
          <w:rFonts w:eastAsia="MS Mincho" w:cs="Times New Roman"/>
        </w:rPr>
        <w:t>‘detriment’ which</w:t>
      </w:r>
      <w:proofErr w:type="gramEnd"/>
      <w:r w:rsidRPr="00C3052E">
        <w:rPr>
          <w:rFonts w:eastAsia="MS Mincho" w:cs="Times New Roman"/>
        </w:rPr>
        <w:t xml:space="preserve"> beg the question of what constitutes these injuries. Except for cases that are clearly very serious, this ambiguity may cause confusion and uncertainty for reporters. For psychological abuse and neglect, especially, this indeterminacy may be particularly problematic. These different concepts and standards are set out in </w:t>
      </w:r>
      <w:r w:rsidRPr="00C3052E">
        <w:rPr>
          <w:rFonts w:eastAsia="MS Mincho" w:cs="Times New Roman"/>
          <w:b/>
        </w:rPr>
        <w:t>Table 1.3</w:t>
      </w:r>
      <w:r w:rsidRPr="00C3052E">
        <w:rPr>
          <w:rFonts w:eastAsia="MS Mincho" w:cs="Times New Roman"/>
        </w:rPr>
        <w:t>.</w:t>
      </w:r>
    </w:p>
    <w:p w14:paraId="5A48C99D" w14:textId="77777777" w:rsidR="00F312E3" w:rsidRPr="00C3052E" w:rsidRDefault="00F312E3" w:rsidP="00FF41B4">
      <w:pPr>
        <w:pStyle w:val="Heading5"/>
        <w:jc w:val="both"/>
        <w:rPr>
          <w:lang w:eastAsia="zh-CN"/>
        </w:rPr>
      </w:pPr>
      <w:bookmarkStart w:id="19" w:name="_Toc400110659"/>
      <w:r w:rsidRPr="00C3052E">
        <w:rPr>
          <w:lang w:eastAsia="zh-CN"/>
        </w:rPr>
        <w:t>1.2.4</w:t>
      </w:r>
      <w:r>
        <w:rPr>
          <w:lang w:eastAsia="zh-CN"/>
        </w:rPr>
        <w:t>.</w:t>
      </w:r>
      <w:r>
        <w:rPr>
          <w:lang w:eastAsia="zh-CN"/>
        </w:rPr>
        <w:tab/>
      </w:r>
      <w:r w:rsidRPr="00C3052E">
        <w:rPr>
          <w:lang w:eastAsia="zh-CN"/>
        </w:rPr>
        <w:t>Different states of mind activate the reporting duty</w:t>
      </w:r>
      <w:bookmarkEnd w:id="19"/>
    </w:p>
    <w:p w14:paraId="356B607B" w14:textId="77777777" w:rsidR="00F312E3" w:rsidRPr="00C3052E" w:rsidRDefault="00F312E3" w:rsidP="00FF41B4">
      <w:pPr>
        <w:jc w:val="both"/>
        <w:rPr>
          <w:rFonts w:eastAsia="MS Mincho" w:cs="Times New Roman"/>
        </w:rPr>
      </w:pPr>
      <w:r w:rsidRPr="00C3052E">
        <w:rPr>
          <w:rFonts w:eastAsia="MS Mincho" w:cs="Times New Roman"/>
        </w:rPr>
        <w:t xml:space="preserve">There are also differences in the state of mind that a reporter must have before the duty </w:t>
      </w:r>
      <w:proofErr w:type="gramStart"/>
      <w:r w:rsidRPr="00C3052E">
        <w:rPr>
          <w:rFonts w:eastAsia="MS Mincho" w:cs="Times New Roman"/>
        </w:rPr>
        <w:t>is activated</w:t>
      </w:r>
      <w:proofErr w:type="gramEnd"/>
      <w:r w:rsidRPr="00C3052E">
        <w:rPr>
          <w:rFonts w:eastAsia="MS Mincho" w:cs="Times New Roman"/>
        </w:rPr>
        <w:t xml:space="preserve">. Duties are never so strictly limited that it only applies to cases where the person is certain that the child is being abused or neglected; but nor are they so wide as to apply to cases where a person may have the merest inkling that abuse or neglect may have occurred. While this is a reasonable approach, there are differences between the jurisdictions in how this state of mind </w:t>
      </w:r>
      <w:proofErr w:type="gramStart"/>
      <w:r w:rsidRPr="00C3052E">
        <w:rPr>
          <w:rFonts w:eastAsia="MS Mincho" w:cs="Times New Roman"/>
        </w:rPr>
        <w:t>is expressed</w:t>
      </w:r>
      <w:proofErr w:type="gramEnd"/>
      <w:r w:rsidRPr="00C3052E">
        <w:rPr>
          <w:rFonts w:eastAsia="MS Mincho" w:cs="Times New Roman"/>
        </w:rPr>
        <w:t xml:space="preserve">, which may cause confusion for reporters. The legislation variously uses the concept of ‘belief on reasonable grounds’ (four jurisdictions), and ‘suspects on reasonable grounds’ (four jurisdictions). Technically, belief requires a higher level of certainty than suspicion. These differences in reporters’ states of mind are set out in </w:t>
      </w:r>
      <w:r w:rsidRPr="00C3052E">
        <w:rPr>
          <w:rFonts w:eastAsia="MS Mincho" w:cs="Times New Roman"/>
          <w:b/>
        </w:rPr>
        <w:t>Table 1.3</w:t>
      </w:r>
      <w:r w:rsidRPr="00C3052E">
        <w:rPr>
          <w:rFonts w:eastAsia="MS Mincho" w:cs="Times New Roman"/>
        </w:rPr>
        <w:t>.</w:t>
      </w:r>
    </w:p>
    <w:p w14:paraId="73611D5B" w14:textId="77777777" w:rsidR="00F312E3" w:rsidRPr="00C3052E" w:rsidRDefault="00F312E3" w:rsidP="00FF41B4">
      <w:pPr>
        <w:jc w:val="both"/>
        <w:rPr>
          <w:rFonts w:eastAsia="MS Mincho" w:cs="Times New Roman"/>
        </w:rPr>
      </w:pPr>
      <w:proofErr w:type="gramStart"/>
      <w:r w:rsidRPr="00C3052E">
        <w:rPr>
          <w:rFonts w:eastAsia="MS Mincho" w:cs="Times New Roman"/>
        </w:rPr>
        <w:t>While discussed in more detail later in this Report, it can also be noted here that Victoria is the only jurisdiction which has as part of its mandatory reporting provision a clause which further limits the duty to cases in which the reporter not only has a reasonable belief about the child’s harm/abuse, but that the reporter must also have a reasonable belief that the child’s parent has not protected the child from the abuse (or in the case of a report of a child who is likely to suffer significant harm, the child does not have a parent who is likely to pro</w:t>
      </w:r>
      <w:r>
        <w:rPr>
          <w:rFonts w:eastAsia="MS Mincho" w:cs="Times New Roman"/>
        </w:rPr>
        <w:t>tect the child from that harm).</w:t>
      </w:r>
      <w:proofErr w:type="gramEnd"/>
    </w:p>
    <w:p w14:paraId="6FB0219E" w14:textId="77777777" w:rsidR="00F312E3" w:rsidRPr="00C3052E" w:rsidRDefault="00F312E3" w:rsidP="00FF41B4">
      <w:pPr>
        <w:pStyle w:val="Heading5"/>
        <w:jc w:val="both"/>
        <w:rPr>
          <w:lang w:eastAsia="zh-CN"/>
        </w:rPr>
      </w:pPr>
      <w:bookmarkStart w:id="20" w:name="_Toc400110660"/>
      <w:r>
        <w:rPr>
          <w:lang w:eastAsia="zh-CN"/>
        </w:rPr>
        <w:t>1.2.5.</w:t>
      </w:r>
      <w:r>
        <w:rPr>
          <w:lang w:eastAsia="zh-CN"/>
        </w:rPr>
        <w:tab/>
      </w:r>
      <w:r w:rsidRPr="00C3052E">
        <w:rPr>
          <w:lang w:eastAsia="zh-CN"/>
        </w:rPr>
        <w:t>Different temporal/situational scope of the reporting duty</w:t>
      </w:r>
      <w:bookmarkEnd w:id="20"/>
    </w:p>
    <w:p w14:paraId="5306AA73" w14:textId="77777777" w:rsidR="00F312E3" w:rsidRPr="00C3052E" w:rsidRDefault="00F312E3" w:rsidP="00FF41B4">
      <w:pPr>
        <w:jc w:val="both"/>
        <w:rPr>
          <w:rFonts w:eastAsia="MS Mincho" w:cs="Times New Roman"/>
        </w:rPr>
      </w:pPr>
      <w:r w:rsidRPr="00C3052E">
        <w:rPr>
          <w:rFonts w:eastAsia="MS Mincho" w:cs="Times New Roman"/>
        </w:rPr>
        <w:t xml:space="preserve">As well, there are differences in whether the reporting duty </w:t>
      </w:r>
      <w:proofErr w:type="gramStart"/>
      <w:r w:rsidRPr="00C3052E">
        <w:rPr>
          <w:rFonts w:eastAsia="MS Mincho" w:cs="Times New Roman"/>
        </w:rPr>
        <w:t>is applied</w:t>
      </w:r>
      <w:proofErr w:type="gramEnd"/>
      <w:r w:rsidRPr="00C3052E">
        <w:rPr>
          <w:rFonts w:eastAsia="MS Mincho" w:cs="Times New Roman"/>
        </w:rPr>
        <w:t xml:space="preserve"> to past or currently occurring abuse only, or also to perceived risk of future abuse to a child who is not suspected to have been abused yet. In all jurisdictions, the reporting duty applies to cases of suspected past abuse and of suspected abuse that is currently occurring. However, four jurisdictions (New South Wales, Queensland, Victoria and the Northern Territory) extend the duty to cases where the reporter has a reasonable suspicion that a child is at risk of </w:t>
      </w:r>
      <w:proofErr w:type="gramStart"/>
      <w:r w:rsidRPr="00C3052E">
        <w:rPr>
          <w:rFonts w:eastAsia="MS Mincho" w:cs="Times New Roman"/>
        </w:rPr>
        <w:lastRenderedPageBreak/>
        <w:t>being abused</w:t>
      </w:r>
      <w:proofErr w:type="gramEnd"/>
      <w:r w:rsidRPr="00C3052E">
        <w:rPr>
          <w:rFonts w:eastAsia="MS Mincho" w:cs="Times New Roman"/>
        </w:rPr>
        <w:t xml:space="preserve"> in future, no matter who the suspected future perpetrator may be. South Australia and Tasmania require reports of suspicions that a child is likely to </w:t>
      </w:r>
      <w:proofErr w:type="gramStart"/>
      <w:r w:rsidRPr="00C3052E">
        <w:rPr>
          <w:rFonts w:eastAsia="MS Mincho" w:cs="Times New Roman"/>
        </w:rPr>
        <w:t>be abused</w:t>
      </w:r>
      <w:proofErr w:type="gramEnd"/>
      <w:r w:rsidRPr="00C3052E">
        <w:rPr>
          <w:rFonts w:eastAsia="MS Mincho" w:cs="Times New Roman"/>
        </w:rPr>
        <w:t xml:space="preserve"> in future, but only if the suspected future perpetrator is a person who lives with the child. In contrast, the Australian Capital Territory and Western Australia limit the duty to cases of past or current abuse. Australian jurisdictions generally have a strong approach to preventing future abuse, as well as responding to abuse thought to have already occurred. These different approaches are set out in </w:t>
      </w:r>
      <w:r w:rsidRPr="00C3052E">
        <w:rPr>
          <w:rFonts w:eastAsia="MS Mincho" w:cs="Times New Roman"/>
          <w:b/>
        </w:rPr>
        <w:t>Table 1.4</w:t>
      </w:r>
      <w:r w:rsidRPr="00C3052E">
        <w:rPr>
          <w:rFonts w:eastAsia="MS Mincho" w:cs="Times New Roman"/>
        </w:rPr>
        <w:t>.</w:t>
      </w:r>
      <w:bookmarkStart w:id="21" w:name="_Toc400110661"/>
    </w:p>
    <w:p w14:paraId="41C5E7F3" w14:textId="77777777" w:rsidR="00F312E3" w:rsidRPr="00C3052E" w:rsidRDefault="00F312E3" w:rsidP="00FF41B4">
      <w:pPr>
        <w:pStyle w:val="Heading5"/>
        <w:jc w:val="both"/>
        <w:rPr>
          <w:lang w:eastAsia="zh-CN"/>
        </w:rPr>
      </w:pPr>
      <w:r>
        <w:rPr>
          <w:lang w:eastAsia="zh-CN"/>
        </w:rPr>
        <w:t>1.2.6.</w:t>
      </w:r>
      <w:r>
        <w:rPr>
          <w:lang w:eastAsia="zh-CN"/>
        </w:rPr>
        <w:tab/>
      </w:r>
      <w:r w:rsidRPr="00C3052E">
        <w:rPr>
          <w:lang w:eastAsia="zh-CN"/>
        </w:rPr>
        <w:t>Different definition of ‘child’ to whom the reporting duty is owed</w:t>
      </w:r>
      <w:bookmarkEnd w:id="21"/>
    </w:p>
    <w:p w14:paraId="60603DE0" w14:textId="77777777" w:rsidR="00F312E3" w:rsidRPr="00C3052E" w:rsidRDefault="00F312E3" w:rsidP="00FF41B4">
      <w:pPr>
        <w:jc w:val="both"/>
        <w:rPr>
          <w:rFonts w:eastAsia="MS Mincho" w:cs="Times New Roman"/>
        </w:rPr>
      </w:pPr>
      <w:r w:rsidRPr="00C3052E">
        <w:rPr>
          <w:rFonts w:eastAsia="MS Mincho" w:cs="Times New Roman"/>
        </w:rPr>
        <w:t xml:space="preserve">The general approach across States and Territories is to apply the reporting duty to suspected abuse and neglect of children under 18, which is the age of majority for most legal purposes. However, there are three </w:t>
      </w:r>
      <w:proofErr w:type="gramStart"/>
      <w:r w:rsidRPr="00C3052E">
        <w:rPr>
          <w:rFonts w:eastAsia="MS Mincho" w:cs="Times New Roman"/>
        </w:rPr>
        <w:t>differences which</w:t>
      </w:r>
      <w:proofErr w:type="gramEnd"/>
      <w:r w:rsidRPr="00C3052E">
        <w:rPr>
          <w:rFonts w:eastAsia="MS Mincho" w:cs="Times New Roman"/>
        </w:rPr>
        <w:t xml:space="preserve"> should be noted. Most significantly, New South Wales restricts the duty to abuse and neglect of children aged </w:t>
      </w:r>
      <w:proofErr w:type="gramStart"/>
      <w:r w:rsidRPr="00C3052E">
        <w:rPr>
          <w:rFonts w:eastAsia="MS Mincho" w:cs="Times New Roman"/>
        </w:rPr>
        <w:t>under</w:t>
      </w:r>
      <w:proofErr w:type="gramEnd"/>
      <w:r w:rsidRPr="00C3052E">
        <w:rPr>
          <w:rFonts w:eastAsia="MS Mincho" w:cs="Times New Roman"/>
        </w:rPr>
        <w:t xml:space="preserve"> 16 years, and Victoria restricts the duty to abuse of children under 17. This makes </w:t>
      </w:r>
      <w:proofErr w:type="gramStart"/>
      <w:r w:rsidRPr="00C3052E">
        <w:rPr>
          <w:rFonts w:eastAsia="MS Mincho" w:cs="Times New Roman"/>
        </w:rPr>
        <w:t>these two</w:t>
      </w:r>
      <w:proofErr w:type="gramEnd"/>
      <w:r w:rsidRPr="00C3052E">
        <w:rPr>
          <w:rFonts w:eastAsia="MS Mincho" w:cs="Times New Roman"/>
        </w:rPr>
        <w:t xml:space="preserve"> States the only jurisdictions in Australia to exclude children aged 16 and 17 (in NSW) and children aged 17 (in Victoria) from the benefit of the reporting provisions. Of less significance, but still of interest, is that Queensland’s prior duty under the health legislation (applying the duty to doctors) restricted the duty to children under 17; this was amended in 2005 to include 17 year olds under the reporting framework. These different provisions, and their changes over the decade, are set out in </w:t>
      </w:r>
      <w:r w:rsidRPr="00C3052E">
        <w:rPr>
          <w:rFonts w:eastAsia="MS Mincho" w:cs="Times New Roman"/>
          <w:b/>
        </w:rPr>
        <w:t>Table 1.5</w:t>
      </w:r>
      <w:r>
        <w:rPr>
          <w:rFonts w:eastAsia="MS Mincho" w:cs="Times New Roman"/>
        </w:rPr>
        <w:t>.</w:t>
      </w:r>
    </w:p>
    <w:p w14:paraId="6732AA17" w14:textId="77777777" w:rsidR="00F312E3" w:rsidRPr="00C3052E" w:rsidRDefault="00F312E3" w:rsidP="00FF41B4">
      <w:pPr>
        <w:pStyle w:val="Heading5"/>
        <w:jc w:val="both"/>
        <w:rPr>
          <w:lang w:eastAsia="zh-CN"/>
        </w:rPr>
      </w:pPr>
      <w:bookmarkStart w:id="22" w:name="_Toc400110662"/>
      <w:r>
        <w:rPr>
          <w:lang w:eastAsia="zh-CN"/>
        </w:rPr>
        <w:t>1.2.7.</w:t>
      </w:r>
      <w:r>
        <w:rPr>
          <w:lang w:eastAsia="zh-CN"/>
        </w:rPr>
        <w:tab/>
      </w:r>
      <w:r w:rsidRPr="00C3052E">
        <w:rPr>
          <w:lang w:eastAsia="zh-CN"/>
        </w:rPr>
        <w:t>Different penalties</w:t>
      </w:r>
      <w:bookmarkEnd w:id="22"/>
    </w:p>
    <w:p w14:paraId="1DB42DE4" w14:textId="77777777" w:rsidR="00F312E3" w:rsidRDefault="00F312E3" w:rsidP="00FF41B4">
      <w:pPr>
        <w:jc w:val="both"/>
        <w:rPr>
          <w:rFonts w:eastAsia="MS Mincho" w:cs="Times New Roman"/>
        </w:rPr>
      </w:pPr>
      <w:r w:rsidRPr="00C3052E">
        <w:rPr>
          <w:rFonts w:eastAsia="MS Mincho" w:cs="Times New Roman"/>
        </w:rPr>
        <w:t xml:space="preserve">Penalties for noncompliance are present in seven of the eight jurisdictions. New South Wales originally provided a penalty, but this </w:t>
      </w:r>
      <w:proofErr w:type="gramStart"/>
      <w:r w:rsidRPr="00C3052E">
        <w:rPr>
          <w:rFonts w:eastAsia="MS Mincho" w:cs="Times New Roman"/>
        </w:rPr>
        <w:t>was omitted</w:t>
      </w:r>
      <w:proofErr w:type="gramEnd"/>
      <w:r w:rsidRPr="00C3052E">
        <w:rPr>
          <w:rFonts w:eastAsia="MS Mincho" w:cs="Times New Roman"/>
        </w:rPr>
        <w:t xml:space="preserve"> after the Wood Inquiry recommendations and legislation in 2009. It is significant that the penalties across jurisdictions differ substantially. These differences may be important as without effective </w:t>
      </w:r>
      <w:proofErr w:type="gramStart"/>
      <w:r w:rsidRPr="00C3052E">
        <w:rPr>
          <w:rFonts w:eastAsia="MS Mincho" w:cs="Times New Roman"/>
        </w:rPr>
        <w:t>reporter</w:t>
      </w:r>
      <w:proofErr w:type="gramEnd"/>
      <w:r w:rsidRPr="00C3052E">
        <w:rPr>
          <w:rFonts w:eastAsia="MS Mincho" w:cs="Times New Roman"/>
        </w:rPr>
        <w:t xml:space="preserve"> training, severe penalties might influence hypersensitive or ‘defensive’ reporting of minor incidents not intended to be covered by the law. This is despite the fact that it is generally perceived that the penalties </w:t>
      </w:r>
      <w:proofErr w:type="gramStart"/>
      <w:r w:rsidRPr="00C3052E">
        <w:rPr>
          <w:rFonts w:eastAsia="MS Mincho" w:cs="Times New Roman"/>
        </w:rPr>
        <w:t>are meant</w:t>
      </w:r>
      <w:proofErr w:type="gramEnd"/>
      <w:r w:rsidRPr="00C3052E">
        <w:rPr>
          <w:rFonts w:eastAsia="MS Mincho" w:cs="Times New Roman"/>
        </w:rPr>
        <w:t xml:space="preserve"> to encourage reporting rather than to police it. These different penalties are set out in </w:t>
      </w:r>
      <w:r w:rsidRPr="00C3052E">
        <w:rPr>
          <w:rFonts w:eastAsia="MS Mincho" w:cs="Times New Roman"/>
          <w:b/>
        </w:rPr>
        <w:t>Table 1.6</w:t>
      </w:r>
      <w:r w:rsidRPr="00C3052E">
        <w:rPr>
          <w:rFonts w:eastAsia="MS Mincho" w:cs="Times New Roman"/>
        </w:rPr>
        <w:t>.</w:t>
      </w:r>
    </w:p>
    <w:p w14:paraId="24514F22" w14:textId="77777777" w:rsidR="00F312E3" w:rsidRPr="00DD6895" w:rsidRDefault="00F312E3" w:rsidP="00FF41B4">
      <w:pPr>
        <w:pStyle w:val="Heading5"/>
        <w:jc w:val="both"/>
        <w:rPr>
          <w:rFonts w:eastAsia="MS Mincho" w:cs="Times New Roman"/>
        </w:rPr>
      </w:pPr>
      <w:r w:rsidRPr="00C3052E">
        <w:rPr>
          <w:rFonts w:eastAsia="MS Mincho" w:cs="Times New Roman"/>
        </w:rPr>
        <w:t xml:space="preserve"> </w:t>
      </w:r>
      <w:bookmarkStart w:id="23" w:name="_Toc400110663"/>
      <w:r>
        <w:rPr>
          <w:lang w:eastAsia="zh-CN"/>
        </w:rPr>
        <w:t>1.2.8.</w:t>
      </w:r>
      <w:r>
        <w:rPr>
          <w:lang w:eastAsia="zh-CN"/>
        </w:rPr>
        <w:tab/>
      </w:r>
      <w:r w:rsidRPr="00C3052E">
        <w:rPr>
          <w:lang w:eastAsia="zh-CN"/>
        </w:rPr>
        <w:t>Common approaches</w:t>
      </w:r>
      <w:bookmarkEnd w:id="23"/>
    </w:p>
    <w:p w14:paraId="5E5593E1" w14:textId="77777777" w:rsidR="00F312E3" w:rsidRPr="00C3052E" w:rsidRDefault="00F312E3" w:rsidP="00FF41B4">
      <w:pPr>
        <w:jc w:val="both"/>
        <w:rPr>
          <w:rFonts w:eastAsia="MS Mincho" w:cs="Times New Roman"/>
        </w:rPr>
      </w:pPr>
      <w:r w:rsidRPr="00C3052E">
        <w:rPr>
          <w:rFonts w:eastAsia="MS Mincho" w:cs="Times New Roman"/>
        </w:rPr>
        <w:t xml:space="preserve">Other dimensions of the reporting duty are more consistent. Across jurisdictions, the duty is obligatory, rather than discretionary (words such as ‘must’, are used rather than ‘may’). It </w:t>
      </w:r>
      <w:proofErr w:type="gramStart"/>
      <w:r w:rsidRPr="00C3052E">
        <w:rPr>
          <w:rFonts w:eastAsia="MS Mincho" w:cs="Times New Roman"/>
        </w:rPr>
        <w:t>must be complied</w:t>
      </w:r>
      <w:proofErr w:type="gramEnd"/>
      <w:r w:rsidRPr="00C3052E">
        <w:rPr>
          <w:rFonts w:eastAsia="MS Mincho" w:cs="Times New Roman"/>
        </w:rPr>
        <w:t xml:space="preserve"> with immediately. The report destination is usually the jurisdiction’s department of child protection. Confidentiality and immunity are universal features, both for mandated reporters (those required by the law to report), and for non-mandated reporters (those not required to report, but enabled to do so, such as neighbours, family, and friends).</w:t>
      </w:r>
    </w:p>
    <w:p w14:paraId="1417185A" w14:textId="77777777" w:rsidR="00F312E3" w:rsidRDefault="00F312E3" w:rsidP="00BB746F">
      <w:pPr>
        <w:pStyle w:val="Heading4"/>
        <w:spacing w:after="240"/>
      </w:pPr>
      <w:bookmarkStart w:id="24" w:name="_Toc400110664"/>
      <w:bookmarkStart w:id="25" w:name="_Toc435457004"/>
      <w:bookmarkStart w:id="26" w:name="_Toc435716754"/>
      <w:bookmarkStart w:id="27" w:name="_Toc400110665"/>
      <w:r w:rsidRPr="00824790">
        <w:lastRenderedPageBreak/>
        <w:t>1.</w:t>
      </w:r>
      <w:r>
        <w:t>3.</w:t>
      </w:r>
      <w:r>
        <w:tab/>
      </w:r>
      <w:r w:rsidRPr="0052480C">
        <w:t>Mandatory reporting legislation as one element of a systematic approach to child protection and welfare: A note on differential response</w:t>
      </w:r>
      <w:bookmarkEnd w:id="24"/>
      <w:bookmarkEnd w:id="25"/>
      <w:bookmarkEnd w:id="26"/>
    </w:p>
    <w:p w14:paraId="550DE09A" w14:textId="77777777" w:rsidR="00F312E3" w:rsidRPr="00824790" w:rsidRDefault="00F312E3" w:rsidP="00FF41B4">
      <w:pPr>
        <w:pStyle w:val="Heading5"/>
        <w:jc w:val="both"/>
      </w:pPr>
      <w:proofErr w:type="gramStart"/>
      <w:r w:rsidRPr="00824790">
        <w:t>1.3.1.</w:t>
      </w:r>
      <w:r>
        <w:tab/>
        <w:t>Mandatory reporting laws’ focus on serious cases more likely to require child protection and services.</w:t>
      </w:r>
      <w:proofErr w:type="gramEnd"/>
      <w:r>
        <w:t xml:space="preserve"> </w:t>
      </w:r>
    </w:p>
    <w:bookmarkEnd w:id="27"/>
    <w:p w14:paraId="106E5EB9" w14:textId="77777777" w:rsidR="00F312E3" w:rsidRPr="00DD0AED" w:rsidRDefault="00F312E3" w:rsidP="00B11D58">
      <w:pPr>
        <w:jc w:val="both"/>
      </w:pPr>
      <w:r w:rsidRPr="00790DD3">
        <w:t xml:space="preserve">Mandatory reporting laws are part of a system of responses to child protection and family welfare concerns. The different components of this system are necessary owing to the differences between types of maltreatment recognising that within the spectrum of circumstances, different responses are appropriate. A case of severe battering of a </w:t>
      </w:r>
      <w:proofErr w:type="gramStart"/>
      <w:r w:rsidRPr="00790DD3">
        <w:t>six month old</w:t>
      </w:r>
      <w:proofErr w:type="gramEnd"/>
      <w:r w:rsidRPr="00790DD3">
        <w:t xml:space="preserve"> infant, or of sexual abuse of a three year old, requires different responses than a case of mild neglect of a 14 year old arising only from conditions of poverty in an otherwise healthy and well-functioning family. Different responses cater to the needs of children, families, communities, and child protection systems. There is nothing to be gained from the inappropriate use of mandatory reporting laws for </w:t>
      </w:r>
      <w:proofErr w:type="gramStart"/>
      <w:r w:rsidRPr="00790DD3">
        <w:t>cases which</w:t>
      </w:r>
      <w:proofErr w:type="gramEnd"/>
      <w:r w:rsidRPr="00790DD3">
        <w:t xml:space="preserve"> are not their primary object; an analogy might be the inappropriate use of an ambulance to deal with a minor health complaint. It is important to avoid overburdening child protec</w:t>
      </w:r>
      <w:r>
        <w:t>tion systems wherever possible.</w:t>
      </w:r>
    </w:p>
    <w:p w14:paraId="75348C76" w14:textId="77777777" w:rsidR="00F312E3" w:rsidRPr="00C3052E" w:rsidRDefault="00F312E3" w:rsidP="00FF41B4">
      <w:pPr>
        <w:pStyle w:val="Heading5"/>
        <w:jc w:val="both"/>
        <w:rPr>
          <w:lang w:eastAsia="zh-CN"/>
        </w:rPr>
      </w:pPr>
      <w:bookmarkStart w:id="28" w:name="_Toc400110666"/>
      <w:r w:rsidRPr="00C3052E">
        <w:rPr>
          <w:lang w:eastAsia="zh-CN"/>
        </w:rPr>
        <w:t>1.3.2.</w:t>
      </w:r>
      <w:r w:rsidRPr="00C3052E">
        <w:rPr>
          <w:lang w:eastAsia="zh-CN"/>
        </w:rPr>
        <w:tab/>
        <w:t>Differential response systems’ focus on less serious cases requiring services and assistance</w:t>
      </w:r>
      <w:bookmarkEnd w:id="28"/>
    </w:p>
    <w:p w14:paraId="7BFD7FFA" w14:textId="77777777" w:rsidR="00F312E3" w:rsidRPr="00C3052E" w:rsidRDefault="00F312E3" w:rsidP="00FF41B4">
      <w:pPr>
        <w:jc w:val="both"/>
        <w:rPr>
          <w:rFonts w:eastAsia="MS Mincho" w:cs="Times New Roman"/>
        </w:rPr>
      </w:pPr>
      <w:r w:rsidRPr="00C3052E">
        <w:rPr>
          <w:rFonts w:eastAsia="MS Mincho" w:cs="Times New Roman"/>
        </w:rPr>
        <w:t xml:space="preserve">Some jurisdictions have formalised these different responses – commonly called ‘differential response’ – </w:t>
      </w:r>
      <w:proofErr w:type="gramStart"/>
      <w:r w:rsidRPr="00C3052E">
        <w:rPr>
          <w:rFonts w:eastAsia="MS Mincho" w:cs="Times New Roman"/>
        </w:rPr>
        <w:t>to a greater extent</w:t>
      </w:r>
      <w:proofErr w:type="gramEnd"/>
      <w:r w:rsidRPr="00C3052E">
        <w:rPr>
          <w:rFonts w:eastAsia="MS Mincho" w:cs="Times New Roman"/>
        </w:rPr>
        <w:t xml:space="preserve"> than others. As previously noted, the aim is not to apply mandatory reporting laws to any and all cases of ‘abuse’ and ‘neglect’, but to limit those laws to severe cases, and to enable referral to and deployment of supportive community agencies to situations of less severe problems. This applies especially in situations of neglect and domestic violence. Distinguishing </w:t>
      </w:r>
      <w:proofErr w:type="gramStart"/>
      <w:r w:rsidRPr="00C3052E">
        <w:rPr>
          <w:rFonts w:eastAsia="MS Mincho" w:cs="Times New Roman"/>
        </w:rPr>
        <w:t>between more serious cases of abuse and neglect, and less serious ones</w:t>
      </w:r>
      <w:proofErr w:type="gramEnd"/>
      <w:r w:rsidRPr="00C3052E">
        <w:rPr>
          <w:rFonts w:eastAsia="MS Mincho" w:cs="Times New Roman"/>
        </w:rPr>
        <w:t xml:space="preserve"> can be difficult, but this is what differential response aims to achieve. At one end of the differential response continuum, in cases of serious abuse and neglect statutory responses such as child protection orders </w:t>
      </w:r>
      <w:proofErr w:type="gramStart"/>
      <w:r w:rsidRPr="00C3052E">
        <w:rPr>
          <w:rFonts w:eastAsia="MS Mincho" w:cs="Times New Roman"/>
        </w:rPr>
        <w:t>can be made</w:t>
      </w:r>
      <w:proofErr w:type="gramEnd"/>
      <w:r w:rsidRPr="00C3052E">
        <w:rPr>
          <w:rFonts w:eastAsia="MS Mincho" w:cs="Times New Roman"/>
        </w:rPr>
        <w:t xml:space="preserve">. At the other end of the continuum, ideally, are supports such as assistance with housing, finance, employment, substance abuse, alcohol dependency, mental health conditions, domestic violence respite care, and parenting skills. Cases of serious abuse and neglect may require a blend of both statutory intervention and support to the family. </w:t>
      </w:r>
    </w:p>
    <w:p w14:paraId="4723966D" w14:textId="77777777" w:rsidR="00F312E3" w:rsidRPr="00C3052E" w:rsidRDefault="00F312E3" w:rsidP="00FF41B4">
      <w:pPr>
        <w:jc w:val="both"/>
        <w:rPr>
          <w:rFonts w:eastAsia="MS Mincho" w:cs="Times New Roman"/>
        </w:rPr>
      </w:pPr>
      <w:r w:rsidRPr="00C3052E">
        <w:rPr>
          <w:rFonts w:eastAsia="MS Mincho" w:cs="Times New Roman"/>
        </w:rPr>
        <w:t>Examples include Victoria’s Child and Family Information, Referral and Support Teams (</w:t>
      </w:r>
      <w:proofErr w:type="spellStart"/>
      <w:r w:rsidRPr="00C3052E">
        <w:rPr>
          <w:rFonts w:eastAsia="MS Mincho" w:cs="Times New Roman"/>
        </w:rPr>
        <w:t>ChildFIRST</w:t>
      </w:r>
      <w:proofErr w:type="spellEnd"/>
      <w:r w:rsidRPr="00C3052E">
        <w:rPr>
          <w:rFonts w:eastAsia="MS Mincho" w:cs="Times New Roman"/>
        </w:rPr>
        <w:t xml:space="preserve">) system, which enables individuals who have a significant concern about a child’s wellbeing to refer their concern to </w:t>
      </w:r>
      <w:proofErr w:type="spellStart"/>
      <w:r w:rsidRPr="00C3052E">
        <w:rPr>
          <w:rFonts w:eastAsia="MS Mincho" w:cs="Times New Roman"/>
        </w:rPr>
        <w:lastRenderedPageBreak/>
        <w:t>ChildFIRST</w:t>
      </w:r>
      <w:proofErr w:type="spellEnd"/>
      <w:r w:rsidRPr="00C3052E">
        <w:rPr>
          <w:rFonts w:eastAsia="MS Mincho" w:cs="Times New Roman"/>
        </w:rPr>
        <w:t xml:space="preserve"> for help, rather than reporting to the department responsible for child protection.</w:t>
      </w:r>
      <w:r w:rsidRPr="00C3052E">
        <w:rPr>
          <w:rFonts w:eastAsia="MS Mincho" w:cs="Times New Roman"/>
          <w:vertAlign w:val="superscript"/>
        </w:rPr>
        <w:footnoteReference w:id="7"/>
      </w:r>
      <w:r w:rsidRPr="00C3052E">
        <w:rPr>
          <w:rFonts w:eastAsia="MS Mincho" w:cs="Times New Roman"/>
        </w:rPr>
        <w:t xml:space="preserve"> This provision complements the mandatory reporting provisions, where reports of specified cases of a child being ‘in need of protection’ </w:t>
      </w:r>
      <w:proofErr w:type="gramStart"/>
      <w:r w:rsidRPr="00C3052E">
        <w:rPr>
          <w:rFonts w:eastAsia="MS Mincho" w:cs="Times New Roman"/>
        </w:rPr>
        <w:t>must be made</w:t>
      </w:r>
      <w:proofErr w:type="gramEnd"/>
      <w:r w:rsidRPr="00C3052E">
        <w:rPr>
          <w:rFonts w:eastAsia="MS Mincho" w:cs="Times New Roman"/>
        </w:rPr>
        <w:t xml:space="preserve"> to the Secretary of the Department.</w:t>
      </w:r>
      <w:r w:rsidRPr="00C3052E">
        <w:rPr>
          <w:rFonts w:eastAsia="MS Mincho" w:cs="Times New Roman"/>
          <w:vertAlign w:val="superscript"/>
        </w:rPr>
        <w:footnoteReference w:id="8"/>
      </w:r>
      <w:r w:rsidRPr="00C3052E">
        <w:rPr>
          <w:rFonts w:eastAsia="MS Mincho" w:cs="Times New Roman"/>
        </w:rPr>
        <w:t xml:space="preserve"> Children and families who </w:t>
      </w:r>
      <w:proofErr w:type="gramStart"/>
      <w:r w:rsidRPr="00C3052E">
        <w:rPr>
          <w:rFonts w:eastAsia="MS Mincho" w:cs="Times New Roman"/>
        </w:rPr>
        <w:t>are referred</w:t>
      </w:r>
      <w:proofErr w:type="gramEnd"/>
      <w:r w:rsidRPr="00C3052E">
        <w:rPr>
          <w:rFonts w:eastAsia="MS Mincho" w:cs="Times New Roman"/>
        </w:rPr>
        <w:t xml:space="preserve"> to </w:t>
      </w:r>
      <w:proofErr w:type="spellStart"/>
      <w:r w:rsidRPr="00C3052E">
        <w:rPr>
          <w:rFonts w:eastAsia="MS Mincho" w:cs="Times New Roman"/>
        </w:rPr>
        <w:t>ChildFIRST</w:t>
      </w:r>
      <w:proofErr w:type="spellEnd"/>
      <w:r w:rsidRPr="00C3052E">
        <w:rPr>
          <w:rFonts w:eastAsia="MS Mincho" w:cs="Times New Roman"/>
        </w:rPr>
        <w:t xml:space="preserve"> are assessed and may be offered home-based family support or referred to other health and welfare services.</w:t>
      </w:r>
      <w:r w:rsidRPr="00C3052E">
        <w:rPr>
          <w:rFonts w:eastAsia="MS Mincho" w:cs="Times New Roman"/>
          <w:vertAlign w:val="superscript"/>
        </w:rPr>
        <w:footnoteReference w:id="9"/>
      </w:r>
      <w:r w:rsidRPr="00C3052E">
        <w:rPr>
          <w:rFonts w:eastAsia="MS Mincho" w:cs="Times New Roman"/>
        </w:rPr>
        <w:t xml:space="preserve"> </w:t>
      </w:r>
      <w:proofErr w:type="spellStart"/>
      <w:r w:rsidRPr="00C3052E">
        <w:rPr>
          <w:rFonts w:eastAsia="MS Mincho" w:cs="Times New Roman"/>
        </w:rPr>
        <w:t>ChildFIRST</w:t>
      </w:r>
      <w:proofErr w:type="spellEnd"/>
      <w:r w:rsidRPr="00C3052E">
        <w:rPr>
          <w:rFonts w:eastAsia="MS Mincho" w:cs="Times New Roman"/>
        </w:rPr>
        <w:t xml:space="preserve"> must forward reports to child protection services if the community-based child and family service considers that the situation may involve more significant harm or risk of harm; that is, that the child may be ‘in need of protection’ (Government of Victoria, 2006).</w:t>
      </w:r>
      <w:r w:rsidRPr="00C3052E">
        <w:rPr>
          <w:rFonts w:eastAsia="MS Mincho" w:cs="Times New Roman"/>
          <w:vertAlign w:val="superscript"/>
        </w:rPr>
        <w:footnoteReference w:id="10"/>
      </w:r>
      <w:r w:rsidRPr="00C3052E">
        <w:rPr>
          <w:rFonts w:eastAsia="MS Mincho" w:cs="Times New Roman"/>
        </w:rPr>
        <w:t xml:space="preserve"> Equally, reports made to child protective services </w:t>
      </w:r>
      <w:proofErr w:type="gramStart"/>
      <w:r w:rsidRPr="00C3052E">
        <w:rPr>
          <w:rFonts w:eastAsia="MS Mincho" w:cs="Times New Roman"/>
        </w:rPr>
        <w:t>may be redirected</w:t>
      </w:r>
      <w:proofErr w:type="gramEnd"/>
      <w:r w:rsidRPr="00C3052E">
        <w:rPr>
          <w:rFonts w:eastAsia="MS Mincho" w:cs="Times New Roman"/>
        </w:rPr>
        <w:t xml:space="preserve"> to </w:t>
      </w:r>
      <w:proofErr w:type="spellStart"/>
      <w:r w:rsidRPr="00C3052E">
        <w:rPr>
          <w:rFonts w:eastAsia="MS Mincho" w:cs="Times New Roman"/>
        </w:rPr>
        <w:t>ChildFIRST</w:t>
      </w:r>
      <w:proofErr w:type="spellEnd"/>
      <w:r w:rsidRPr="00C3052E">
        <w:rPr>
          <w:rFonts w:eastAsia="MS Mincho" w:cs="Times New Roman"/>
        </w:rPr>
        <w:t xml:space="preserve"> if deemed not to require a child protection response (Government of Victoria, 2006).</w:t>
      </w:r>
      <w:r w:rsidRPr="00C3052E">
        <w:rPr>
          <w:rFonts w:eastAsia="MS Mincho" w:cs="Times New Roman"/>
          <w:vertAlign w:val="superscript"/>
        </w:rPr>
        <w:footnoteReference w:id="11"/>
      </w:r>
    </w:p>
    <w:p w14:paraId="3B4EB022" w14:textId="77777777" w:rsidR="00F312E3" w:rsidRPr="00C3052E" w:rsidRDefault="00F312E3" w:rsidP="00FF41B4">
      <w:pPr>
        <w:jc w:val="both"/>
        <w:rPr>
          <w:rFonts w:eastAsia="MS Mincho" w:cs="Times New Roman"/>
        </w:rPr>
      </w:pPr>
      <w:r w:rsidRPr="00C3052E">
        <w:rPr>
          <w:rFonts w:eastAsia="MS Mincho" w:cs="Times New Roman"/>
        </w:rPr>
        <w:t xml:space="preserve">The </w:t>
      </w:r>
      <w:proofErr w:type="spellStart"/>
      <w:r w:rsidRPr="00C3052E">
        <w:rPr>
          <w:rFonts w:eastAsia="MS Mincho" w:cs="Times New Roman"/>
        </w:rPr>
        <w:t>ChildFIRST</w:t>
      </w:r>
      <w:proofErr w:type="spellEnd"/>
      <w:r w:rsidRPr="00C3052E">
        <w:rPr>
          <w:rFonts w:eastAsia="MS Mincho" w:cs="Times New Roman"/>
        </w:rPr>
        <w:t xml:space="preserve"> model </w:t>
      </w:r>
      <w:proofErr w:type="gramStart"/>
      <w:r w:rsidRPr="00C3052E">
        <w:rPr>
          <w:rFonts w:eastAsia="MS Mincho" w:cs="Times New Roman"/>
        </w:rPr>
        <w:t>was adopted</w:t>
      </w:r>
      <w:proofErr w:type="gramEnd"/>
      <w:r w:rsidRPr="00C3052E">
        <w:rPr>
          <w:rFonts w:eastAsia="MS Mincho" w:cs="Times New Roman"/>
        </w:rPr>
        <w:t xml:space="preserve"> in Tasmania under the name ‘Gateways’. Tasmania also amended its mandatory reporting laws to facilitate a preventative approach. Mandatory reporters could report their concerns about the care of a child to a ‘Community-Based Intake Service’, and this would fulfil their reporting duty (Children, Young Persons and Their Families Act 1997 Part 5B). In New South Wales, to renew an emphasis on limiting mandatory reporting to cases of significant harm, the Keep Them Safe: Annual Report 2010-11 set out the new system requiring mandated reporters to report to the department only cases of suspected significant harm. Section 27A of the Children and Young Persons (Care and Protection) Act 1998 (NSW) then enabled mandated reporters to make reports to ‘Child Wellbeing Units’ which were established in the four major State government departmental groups (health, education, police, and family and community services). These units provide support and advice to mandated reporters on whether a situation warrants a mandated report and on local </w:t>
      </w:r>
      <w:proofErr w:type="gramStart"/>
      <w:r w:rsidRPr="00C3052E">
        <w:rPr>
          <w:rFonts w:eastAsia="MS Mincho" w:cs="Times New Roman"/>
        </w:rPr>
        <w:t>services which</w:t>
      </w:r>
      <w:proofErr w:type="gramEnd"/>
      <w:r w:rsidRPr="00C3052E">
        <w:rPr>
          <w:rFonts w:eastAsia="MS Mincho" w:cs="Times New Roman"/>
        </w:rPr>
        <w:t xml:space="preserve"> might be of assistance (NSW Department of Premier and Cabinet, 2011). The units’ focus is on ascertaining what the family needs to minimise or overcome their present situation and on facilitating the most appropriate assistance.</w:t>
      </w:r>
    </w:p>
    <w:p w14:paraId="54C7EEB4" w14:textId="77777777" w:rsidR="00F312E3" w:rsidRPr="00C3052E" w:rsidRDefault="00F312E3" w:rsidP="00FF41B4">
      <w:pPr>
        <w:jc w:val="both"/>
        <w:rPr>
          <w:rFonts w:eastAsia="MS Mincho" w:cs="Times New Roman"/>
        </w:rPr>
      </w:pPr>
      <w:r w:rsidRPr="00C3052E">
        <w:rPr>
          <w:rFonts w:eastAsia="MS Mincho" w:cs="Times New Roman"/>
        </w:rPr>
        <w:lastRenderedPageBreak/>
        <w:t xml:space="preserve">These developments </w:t>
      </w:r>
      <w:proofErr w:type="gramStart"/>
      <w:r w:rsidRPr="00C3052E">
        <w:rPr>
          <w:rFonts w:eastAsia="MS Mincho" w:cs="Times New Roman"/>
        </w:rPr>
        <w:t>will be tracked</w:t>
      </w:r>
      <w:proofErr w:type="gramEnd"/>
      <w:r w:rsidRPr="00C3052E">
        <w:rPr>
          <w:rFonts w:eastAsia="MS Mincho" w:cs="Times New Roman"/>
        </w:rPr>
        <w:t xml:space="preserve"> in the historical research below and effects anticipated on mandated reports.</w:t>
      </w:r>
    </w:p>
    <w:p w14:paraId="151D4DE1" w14:textId="77777777" w:rsidR="00F312E3" w:rsidRPr="00C3052E" w:rsidRDefault="00F312E3" w:rsidP="00FF41B4">
      <w:pPr>
        <w:pStyle w:val="Heading4"/>
        <w:jc w:val="both"/>
        <w:rPr>
          <w:lang w:eastAsia="zh-CN"/>
        </w:rPr>
      </w:pPr>
      <w:bookmarkStart w:id="29" w:name="_Toc400110667"/>
      <w:bookmarkStart w:id="30" w:name="_Toc435457005"/>
      <w:bookmarkStart w:id="31" w:name="_Toc435716755"/>
      <w:r w:rsidRPr="00C3052E">
        <w:rPr>
          <w:lang w:eastAsia="zh-CN"/>
        </w:rPr>
        <w:t xml:space="preserve">1.4. </w:t>
      </w:r>
      <w:r w:rsidRPr="00C3052E">
        <w:rPr>
          <w:lang w:eastAsia="zh-CN"/>
        </w:rPr>
        <w:tab/>
        <w:t>Comparative tables</w:t>
      </w:r>
      <w:bookmarkEnd w:id="29"/>
      <w:bookmarkEnd w:id="30"/>
      <w:bookmarkEnd w:id="31"/>
    </w:p>
    <w:p w14:paraId="20416617" w14:textId="77777777" w:rsidR="00F312E3" w:rsidRPr="00C3052E" w:rsidRDefault="00F312E3" w:rsidP="00FF41B4">
      <w:pPr>
        <w:jc w:val="both"/>
        <w:rPr>
          <w:rFonts w:eastAsia="MS Mincho" w:cs="Times New Roman"/>
        </w:rPr>
      </w:pPr>
      <w:r w:rsidRPr="00C3052E">
        <w:rPr>
          <w:rFonts w:eastAsia="MS Mincho" w:cs="Times New Roman"/>
        </w:rPr>
        <w:t>This section displays seven comparative tables relevant to State and Territory reporting provisions detailed in the previous sections (section 1.1 to section 1.3). The tables are:</w:t>
      </w:r>
    </w:p>
    <w:p w14:paraId="07F6406C" w14:textId="77777777" w:rsidR="00F312E3" w:rsidRPr="00C3052E" w:rsidRDefault="00F312E3" w:rsidP="00FF41B4">
      <w:pPr>
        <w:numPr>
          <w:ilvl w:val="0"/>
          <w:numId w:val="28"/>
        </w:numPr>
        <w:spacing w:before="0" w:after="160"/>
        <w:contextualSpacing/>
        <w:jc w:val="both"/>
        <w:rPr>
          <w:rFonts w:eastAsia="MS Mincho" w:cs="Times New Roman"/>
        </w:rPr>
      </w:pPr>
      <w:r w:rsidRPr="00C3052E">
        <w:rPr>
          <w:rFonts w:eastAsia="MS Mincho" w:cs="Times New Roman"/>
        </w:rPr>
        <w:t>Table 1.1 Reporter groups</w:t>
      </w:r>
    </w:p>
    <w:p w14:paraId="0D122E54" w14:textId="77777777" w:rsidR="00F312E3" w:rsidRPr="00C3052E" w:rsidRDefault="00F312E3" w:rsidP="00FF41B4">
      <w:pPr>
        <w:numPr>
          <w:ilvl w:val="0"/>
          <w:numId w:val="28"/>
        </w:numPr>
        <w:spacing w:before="0" w:after="160"/>
        <w:contextualSpacing/>
        <w:jc w:val="both"/>
        <w:rPr>
          <w:rFonts w:eastAsia="MS Mincho" w:cs="Times New Roman"/>
        </w:rPr>
      </w:pPr>
      <w:r w:rsidRPr="00C3052E">
        <w:rPr>
          <w:rFonts w:eastAsia="MS Mincho" w:cs="Times New Roman"/>
        </w:rPr>
        <w:t>Table 1.2 Types of abuse and neglect that must be reported</w:t>
      </w:r>
    </w:p>
    <w:p w14:paraId="0D87FDBF" w14:textId="77777777" w:rsidR="00F312E3" w:rsidRPr="00C3052E" w:rsidRDefault="00F312E3" w:rsidP="00FF41B4">
      <w:pPr>
        <w:numPr>
          <w:ilvl w:val="0"/>
          <w:numId w:val="28"/>
        </w:numPr>
        <w:spacing w:before="0" w:after="160"/>
        <w:contextualSpacing/>
        <w:jc w:val="both"/>
        <w:rPr>
          <w:rFonts w:eastAsia="MS Mincho" w:cs="Times New Roman"/>
        </w:rPr>
      </w:pPr>
      <w:r w:rsidRPr="00C3052E">
        <w:rPr>
          <w:rFonts w:eastAsia="MS Mincho" w:cs="Times New Roman"/>
        </w:rPr>
        <w:t>Table 1.3 Key features of legislative reporting duties</w:t>
      </w:r>
    </w:p>
    <w:p w14:paraId="351E48D3" w14:textId="77777777" w:rsidR="00F312E3" w:rsidRPr="00C3052E" w:rsidRDefault="00F312E3" w:rsidP="00FF41B4">
      <w:pPr>
        <w:numPr>
          <w:ilvl w:val="0"/>
          <w:numId w:val="28"/>
        </w:numPr>
        <w:spacing w:before="0" w:after="160"/>
        <w:contextualSpacing/>
        <w:jc w:val="both"/>
        <w:rPr>
          <w:rFonts w:eastAsia="MS Mincho" w:cs="Times New Roman"/>
        </w:rPr>
      </w:pPr>
      <w:r w:rsidRPr="00C3052E">
        <w:rPr>
          <w:rFonts w:eastAsia="MS Mincho" w:cs="Times New Roman"/>
        </w:rPr>
        <w:t>Table 1.4 Legislation containing reporting duties and key provisions</w:t>
      </w:r>
    </w:p>
    <w:p w14:paraId="65DCA895" w14:textId="77777777" w:rsidR="00F312E3" w:rsidRPr="00C3052E" w:rsidRDefault="00F312E3" w:rsidP="00FF41B4">
      <w:pPr>
        <w:numPr>
          <w:ilvl w:val="0"/>
          <w:numId w:val="28"/>
        </w:numPr>
        <w:spacing w:before="0" w:after="160"/>
        <w:contextualSpacing/>
        <w:jc w:val="both"/>
        <w:rPr>
          <w:rFonts w:eastAsia="MS Mincho" w:cs="Times New Roman"/>
        </w:rPr>
      </w:pPr>
      <w:r w:rsidRPr="00C3052E">
        <w:rPr>
          <w:rFonts w:eastAsia="MS Mincho" w:cs="Times New Roman"/>
        </w:rPr>
        <w:t>Table 1.5 Legislative definition of ‘child’ for the purpose of reporting duties</w:t>
      </w:r>
    </w:p>
    <w:p w14:paraId="5D3C457A" w14:textId="77777777" w:rsidR="00F312E3" w:rsidRPr="00C3052E" w:rsidRDefault="00F312E3" w:rsidP="00FF41B4">
      <w:pPr>
        <w:numPr>
          <w:ilvl w:val="0"/>
          <w:numId w:val="28"/>
        </w:numPr>
        <w:spacing w:before="0" w:after="160"/>
        <w:contextualSpacing/>
        <w:jc w:val="both"/>
        <w:rPr>
          <w:rFonts w:eastAsia="MS Mincho" w:cs="Times New Roman"/>
        </w:rPr>
      </w:pPr>
      <w:r w:rsidRPr="00C3052E">
        <w:rPr>
          <w:rFonts w:eastAsia="MS Mincho" w:cs="Times New Roman"/>
        </w:rPr>
        <w:t>Table 1.6 Maximum penalties, and penalty units</w:t>
      </w:r>
    </w:p>
    <w:p w14:paraId="6C4241FE" w14:textId="77777777" w:rsidR="00F312E3" w:rsidRPr="001B0567" w:rsidRDefault="00F312E3" w:rsidP="00FF41B4">
      <w:pPr>
        <w:numPr>
          <w:ilvl w:val="0"/>
          <w:numId w:val="28"/>
        </w:numPr>
        <w:spacing w:before="0" w:after="160"/>
        <w:contextualSpacing/>
        <w:jc w:val="both"/>
        <w:rPr>
          <w:rFonts w:eastAsia="MS Mincho" w:cs="Times New Roman"/>
        </w:rPr>
      </w:pPr>
      <w:r w:rsidRPr="00C3052E">
        <w:rPr>
          <w:rFonts w:eastAsia="MS Mincho" w:cs="Times New Roman"/>
        </w:rPr>
        <w:t>Table 1.7 What must be reported – types of abuse and neglect, abuse vs harm, and the extent of harm</w:t>
      </w:r>
    </w:p>
    <w:p w14:paraId="44EAA3F6" w14:textId="77777777" w:rsidR="00F312E3" w:rsidRPr="00C3052E" w:rsidRDefault="00F312E3" w:rsidP="00FF41B4">
      <w:pPr>
        <w:pStyle w:val="Heading5"/>
        <w:jc w:val="both"/>
      </w:pPr>
      <w:r w:rsidRPr="00C3052E">
        <w:t xml:space="preserve">Important note </w:t>
      </w:r>
    </w:p>
    <w:p w14:paraId="78A0E36A" w14:textId="77777777" w:rsidR="00F312E3" w:rsidRPr="00C3052E" w:rsidRDefault="00F312E3" w:rsidP="00FF41B4">
      <w:pPr>
        <w:jc w:val="both"/>
        <w:rPr>
          <w:rFonts w:eastAsia="MS Mincho" w:cs="Times New Roman"/>
        </w:rPr>
      </w:pPr>
      <w:r w:rsidRPr="00C3052E">
        <w:rPr>
          <w:rFonts w:eastAsia="MS Mincho" w:cs="Times New Roman"/>
        </w:rPr>
        <w:t>These comparative tables show the law at 31 December 2012. The treatment in Stage 1 of developments in each State and Territory charts the changes to each jurisdiction’s laws over the period 2003-12.</w:t>
      </w:r>
    </w:p>
    <w:p w14:paraId="4F414B8C" w14:textId="77777777" w:rsidR="00F312E3" w:rsidRPr="00C3052E" w:rsidRDefault="00F312E3" w:rsidP="00FF41B4">
      <w:pPr>
        <w:jc w:val="both"/>
        <w:rPr>
          <w:rFonts w:eastAsia="MS Mincho" w:cs="Helvetica"/>
        </w:rPr>
      </w:pPr>
      <w:r w:rsidRPr="00C3052E">
        <w:rPr>
          <w:rFonts w:eastAsia="MS Mincho" w:cs="Times New Roman"/>
        </w:rPr>
        <w:t xml:space="preserve">In 2014, the </w:t>
      </w:r>
      <w:r w:rsidRPr="00C3052E">
        <w:rPr>
          <w:rFonts w:eastAsia="MS Mincho" w:cs="Helvetica"/>
          <w:i/>
        </w:rPr>
        <w:t>Child Protection Reform Amendment Act 2014</w:t>
      </w:r>
      <w:r w:rsidRPr="00C3052E">
        <w:rPr>
          <w:rFonts w:eastAsia="MS Mincho" w:cs="Helvetica"/>
        </w:rPr>
        <w:t xml:space="preserve"> (Qld) </w:t>
      </w:r>
      <w:proofErr w:type="gramStart"/>
      <w:r w:rsidRPr="00C3052E">
        <w:rPr>
          <w:rFonts w:eastAsia="MS Mincho" w:cs="Helvetica"/>
        </w:rPr>
        <w:t>was passed</w:t>
      </w:r>
      <w:proofErr w:type="gramEnd"/>
      <w:r w:rsidRPr="00C3052E">
        <w:rPr>
          <w:rFonts w:eastAsia="MS Mincho" w:cs="Helvetica"/>
        </w:rPr>
        <w:t>,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16FC2562" w14:textId="77777777" w:rsidR="00F312E3" w:rsidRPr="00C3052E" w:rsidRDefault="00F312E3" w:rsidP="00FF41B4">
      <w:pPr>
        <w:jc w:val="both"/>
        <w:rPr>
          <w:rFonts w:eastAsia="MS Mincho" w:cs="Times New Roman"/>
        </w:rPr>
      </w:pPr>
      <w:r w:rsidRPr="00C3052E">
        <w:rPr>
          <w:rFonts w:eastAsia="MS Mincho" w:cs="Times New Roman"/>
        </w:rPr>
        <w:t xml:space="preserve">These pending changes in Queensland are the most significant legislative amendments made in any jurisdiction to mandatory reporting legislation in the period after the 2003-12 </w:t>
      </w:r>
      <w:proofErr w:type="gramStart"/>
      <w:r w:rsidRPr="00C3052E">
        <w:rPr>
          <w:rFonts w:eastAsia="MS Mincho" w:cs="Times New Roman"/>
        </w:rPr>
        <w:t>time period</w:t>
      </w:r>
      <w:proofErr w:type="gramEnd"/>
      <w:r w:rsidRPr="00C3052E">
        <w:rPr>
          <w:rFonts w:eastAsia="MS Mincho" w:cs="Times New Roman"/>
        </w:rPr>
        <w:t xml:space="preserve"> which defined the scope of this research project.</w:t>
      </w:r>
    </w:p>
    <w:p w14:paraId="6232ED2D" w14:textId="77777777" w:rsidR="00F312E3" w:rsidRPr="00C3052E" w:rsidRDefault="00F312E3" w:rsidP="00FF41B4">
      <w:pPr>
        <w:jc w:val="both"/>
        <w:rPr>
          <w:rFonts w:asciiTheme="majorHAnsi" w:hAnsiTheme="majorHAnsi"/>
        </w:rPr>
      </w:pPr>
    </w:p>
    <w:p w14:paraId="56C1C99D" w14:textId="77777777" w:rsidR="00F312E3" w:rsidRDefault="00F312E3" w:rsidP="00FF41B4">
      <w:pPr>
        <w:jc w:val="both"/>
        <w:rPr>
          <w:rFonts w:asciiTheme="majorHAnsi" w:hAnsiTheme="majorHAnsi"/>
        </w:rPr>
      </w:pPr>
    </w:p>
    <w:p w14:paraId="636065F3" w14:textId="77777777" w:rsidR="00F312E3" w:rsidRPr="00C3052E" w:rsidRDefault="00F312E3" w:rsidP="00FF41B4">
      <w:pPr>
        <w:jc w:val="both"/>
        <w:rPr>
          <w:rFonts w:asciiTheme="majorHAnsi" w:hAnsiTheme="majorHAnsi"/>
        </w:rPr>
        <w:sectPr w:rsidR="00F312E3" w:rsidRPr="00C3052E" w:rsidSect="00D650B4">
          <w:pgSz w:w="11900" w:h="16840"/>
          <w:pgMar w:top="1418" w:right="1134" w:bottom="1418" w:left="1134" w:header="708" w:footer="708" w:gutter="0"/>
          <w:cols w:space="708"/>
          <w:docGrid w:linePitch="360"/>
        </w:sectPr>
      </w:pPr>
    </w:p>
    <w:p w14:paraId="0433F3EC" w14:textId="77777777" w:rsidR="00F312E3" w:rsidRPr="00EB4582" w:rsidRDefault="00F312E3" w:rsidP="00FF41B4">
      <w:pPr>
        <w:pStyle w:val="Heading5"/>
        <w:jc w:val="both"/>
      </w:pPr>
      <w:r w:rsidRPr="0052480C">
        <w:lastRenderedPageBreak/>
        <w:t>Table 1.1: Reporter groups: Australian States and Territories</w:t>
      </w:r>
    </w:p>
    <w:tbl>
      <w:tblPr>
        <w:tblStyle w:val="TableGrid"/>
        <w:tblW w:w="14508" w:type="dxa"/>
        <w:tblLayout w:type="fixed"/>
        <w:tblLook w:val="04A0" w:firstRow="1" w:lastRow="0" w:firstColumn="1" w:lastColumn="0" w:noHBand="0" w:noVBand="1"/>
        <w:tblCaption w:val="Reporter groups: Australian States and Territories"/>
      </w:tblPr>
      <w:tblGrid>
        <w:gridCol w:w="1620"/>
        <w:gridCol w:w="1260"/>
        <w:gridCol w:w="1080"/>
        <w:gridCol w:w="1080"/>
        <w:gridCol w:w="1170"/>
        <w:gridCol w:w="8298"/>
      </w:tblGrid>
      <w:tr w:rsidR="00F312E3" w:rsidRPr="0052480C" w14:paraId="66DCBC18" w14:textId="77777777" w:rsidTr="00D650B4">
        <w:trPr>
          <w:tblHeader/>
        </w:trPr>
        <w:tc>
          <w:tcPr>
            <w:tcW w:w="1620" w:type="dxa"/>
            <w:shd w:val="clear" w:color="auto" w:fill="D9D9D9" w:themeFill="background1" w:themeFillShade="D9"/>
          </w:tcPr>
          <w:p w14:paraId="582153A3" w14:textId="77777777" w:rsidR="00F312E3" w:rsidRPr="00C515EF" w:rsidRDefault="00F312E3" w:rsidP="00FF41B4">
            <w:pPr>
              <w:spacing w:line="240" w:lineRule="auto"/>
              <w:jc w:val="both"/>
              <w:rPr>
                <w:b/>
                <w:sz w:val="20"/>
                <w:szCs w:val="20"/>
              </w:rPr>
            </w:pPr>
            <w:r w:rsidRPr="00C515EF">
              <w:rPr>
                <w:b/>
                <w:sz w:val="20"/>
                <w:szCs w:val="20"/>
              </w:rPr>
              <w:t>Jurisdiction</w:t>
            </w:r>
          </w:p>
        </w:tc>
        <w:tc>
          <w:tcPr>
            <w:tcW w:w="1260" w:type="dxa"/>
            <w:shd w:val="clear" w:color="auto" w:fill="D9D9D9" w:themeFill="background1" w:themeFillShade="D9"/>
          </w:tcPr>
          <w:p w14:paraId="1192892E" w14:textId="77777777" w:rsidR="00F312E3" w:rsidRPr="00C515EF" w:rsidRDefault="00F312E3" w:rsidP="00FF41B4">
            <w:pPr>
              <w:spacing w:line="240" w:lineRule="auto"/>
              <w:jc w:val="both"/>
              <w:rPr>
                <w:b/>
                <w:sz w:val="20"/>
                <w:szCs w:val="20"/>
              </w:rPr>
            </w:pPr>
            <w:r w:rsidRPr="00C515EF">
              <w:rPr>
                <w:b/>
                <w:sz w:val="20"/>
                <w:szCs w:val="20"/>
              </w:rPr>
              <w:t>Teachers</w:t>
            </w:r>
          </w:p>
        </w:tc>
        <w:tc>
          <w:tcPr>
            <w:tcW w:w="1080" w:type="dxa"/>
            <w:shd w:val="clear" w:color="auto" w:fill="D9D9D9" w:themeFill="background1" w:themeFillShade="D9"/>
          </w:tcPr>
          <w:p w14:paraId="3DA571F1" w14:textId="77777777" w:rsidR="00F312E3" w:rsidRPr="00C515EF" w:rsidRDefault="00F312E3" w:rsidP="00FF41B4">
            <w:pPr>
              <w:spacing w:line="240" w:lineRule="auto"/>
              <w:jc w:val="both"/>
              <w:rPr>
                <w:b/>
                <w:sz w:val="20"/>
                <w:szCs w:val="20"/>
              </w:rPr>
            </w:pPr>
            <w:r w:rsidRPr="00C515EF">
              <w:rPr>
                <w:b/>
                <w:sz w:val="20"/>
                <w:szCs w:val="20"/>
              </w:rPr>
              <w:t>Police</w:t>
            </w:r>
          </w:p>
        </w:tc>
        <w:tc>
          <w:tcPr>
            <w:tcW w:w="1080" w:type="dxa"/>
            <w:shd w:val="clear" w:color="auto" w:fill="D9D9D9" w:themeFill="background1" w:themeFillShade="D9"/>
          </w:tcPr>
          <w:p w14:paraId="0F11084A" w14:textId="77777777" w:rsidR="00F312E3" w:rsidRPr="00C515EF" w:rsidRDefault="00F312E3" w:rsidP="00FF41B4">
            <w:pPr>
              <w:spacing w:line="240" w:lineRule="auto"/>
              <w:jc w:val="both"/>
              <w:rPr>
                <w:b/>
                <w:sz w:val="20"/>
                <w:szCs w:val="20"/>
              </w:rPr>
            </w:pPr>
            <w:r w:rsidRPr="00C515EF">
              <w:rPr>
                <w:b/>
                <w:sz w:val="20"/>
                <w:szCs w:val="20"/>
              </w:rPr>
              <w:t>Nurses</w:t>
            </w:r>
          </w:p>
        </w:tc>
        <w:tc>
          <w:tcPr>
            <w:tcW w:w="1170" w:type="dxa"/>
            <w:shd w:val="clear" w:color="auto" w:fill="D9D9D9" w:themeFill="background1" w:themeFillShade="D9"/>
          </w:tcPr>
          <w:p w14:paraId="1B77BB47" w14:textId="77777777" w:rsidR="00F312E3" w:rsidRPr="00C515EF" w:rsidRDefault="00F312E3" w:rsidP="00FF41B4">
            <w:pPr>
              <w:spacing w:line="240" w:lineRule="auto"/>
              <w:jc w:val="both"/>
              <w:rPr>
                <w:b/>
                <w:sz w:val="20"/>
                <w:szCs w:val="20"/>
              </w:rPr>
            </w:pPr>
            <w:r w:rsidRPr="00C515EF">
              <w:rPr>
                <w:b/>
                <w:sz w:val="20"/>
                <w:szCs w:val="20"/>
              </w:rPr>
              <w:t>Doctors</w:t>
            </w:r>
          </w:p>
        </w:tc>
        <w:tc>
          <w:tcPr>
            <w:tcW w:w="8298" w:type="dxa"/>
            <w:shd w:val="clear" w:color="auto" w:fill="D9D9D9" w:themeFill="background1" w:themeFillShade="D9"/>
          </w:tcPr>
          <w:p w14:paraId="5B5855B4" w14:textId="77777777" w:rsidR="00F312E3" w:rsidRPr="00C515EF" w:rsidRDefault="00F312E3" w:rsidP="00FF41B4">
            <w:pPr>
              <w:spacing w:line="240" w:lineRule="auto"/>
              <w:jc w:val="both"/>
              <w:rPr>
                <w:b/>
                <w:sz w:val="20"/>
                <w:szCs w:val="20"/>
              </w:rPr>
            </w:pPr>
            <w:r w:rsidRPr="00C515EF">
              <w:rPr>
                <w:b/>
                <w:sz w:val="20"/>
                <w:szCs w:val="20"/>
              </w:rPr>
              <w:t>Others</w:t>
            </w:r>
          </w:p>
        </w:tc>
      </w:tr>
      <w:tr w:rsidR="00F312E3" w:rsidRPr="0052480C" w14:paraId="3F97182C" w14:textId="77777777" w:rsidTr="00D650B4">
        <w:tc>
          <w:tcPr>
            <w:tcW w:w="1620" w:type="dxa"/>
          </w:tcPr>
          <w:p w14:paraId="3D28DF87" w14:textId="77777777" w:rsidR="00F312E3" w:rsidRPr="00D650B4" w:rsidRDefault="00F312E3" w:rsidP="00FF41B4">
            <w:pPr>
              <w:spacing w:before="0" w:line="240" w:lineRule="auto"/>
              <w:jc w:val="both"/>
              <w:rPr>
                <w:sz w:val="20"/>
                <w:szCs w:val="20"/>
              </w:rPr>
            </w:pPr>
            <w:r w:rsidRPr="00D650B4">
              <w:rPr>
                <w:sz w:val="20"/>
                <w:szCs w:val="20"/>
              </w:rPr>
              <w:t>ACT</w:t>
            </w:r>
          </w:p>
        </w:tc>
        <w:tc>
          <w:tcPr>
            <w:tcW w:w="1260" w:type="dxa"/>
          </w:tcPr>
          <w:p w14:paraId="64140CB7"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7038BE0A"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4BDF859C" w14:textId="77777777" w:rsidR="00F312E3" w:rsidRPr="00D650B4" w:rsidRDefault="00F312E3" w:rsidP="00FF41B4">
            <w:pPr>
              <w:spacing w:before="0" w:line="240" w:lineRule="auto"/>
              <w:jc w:val="both"/>
              <w:rPr>
                <w:sz w:val="20"/>
                <w:szCs w:val="20"/>
              </w:rPr>
            </w:pPr>
            <w:r w:rsidRPr="00D650B4">
              <w:rPr>
                <w:sz w:val="20"/>
                <w:szCs w:val="20"/>
              </w:rPr>
              <w:t>Yes</w:t>
            </w:r>
          </w:p>
        </w:tc>
        <w:tc>
          <w:tcPr>
            <w:tcW w:w="1170" w:type="dxa"/>
          </w:tcPr>
          <w:p w14:paraId="591594CD" w14:textId="77777777" w:rsidR="00F312E3" w:rsidRPr="00D650B4" w:rsidRDefault="00F312E3" w:rsidP="00FF41B4">
            <w:pPr>
              <w:spacing w:before="0" w:line="240" w:lineRule="auto"/>
              <w:jc w:val="both"/>
              <w:rPr>
                <w:sz w:val="20"/>
                <w:szCs w:val="20"/>
              </w:rPr>
            </w:pPr>
            <w:r w:rsidRPr="00D650B4">
              <w:rPr>
                <w:sz w:val="20"/>
                <w:szCs w:val="20"/>
              </w:rPr>
              <w:t>Yes</w:t>
            </w:r>
          </w:p>
        </w:tc>
        <w:tc>
          <w:tcPr>
            <w:tcW w:w="8298" w:type="dxa"/>
          </w:tcPr>
          <w:p w14:paraId="2BFA623A"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Dentists, midwives, home education inspectors, school counsellors, childcare </w:t>
            </w:r>
            <w:proofErr w:type="spellStart"/>
            <w:r w:rsidRPr="00D650B4">
              <w:rPr>
                <w:rFonts w:asciiTheme="minorHAnsi" w:hAnsiTheme="minorHAnsi"/>
              </w:rPr>
              <w:t>centre</w:t>
            </w:r>
            <w:proofErr w:type="spellEnd"/>
            <w:r w:rsidRPr="00D650B4">
              <w:rPr>
                <w:rFonts w:asciiTheme="minorHAnsi" w:hAnsiTheme="minorHAnsi"/>
              </w:rPr>
              <w:t xml:space="preserve"> carers, home-based care officers, public servants working in services related to families and children, the public advocate, the official visitor, paid teacher’s assistants/aides, paid childcare assistants/aides</w:t>
            </w:r>
          </w:p>
        </w:tc>
      </w:tr>
      <w:tr w:rsidR="00F312E3" w:rsidRPr="0052480C" w14:paraId="22D14698" w14:textId="77777777" w:rsidTr="00D650B4">
        <w:tc>
          <w:tcPr>
            <w:tcW w:w="1620" w:type="dxa"/>
          </w:tcPr>
          <w:p w14:paraId="2287264E" w14:textId="77777777" w:rsidR="00F312E3" w:rsidRPr="00D650B4" w:rsidRDefault="00F312E3" w:rsidP="00FF41B4">
            <w:pPr>
              <w:spacing w:before="0" w:line="240" w:lineRule="auto"/>
              <w:jc w:val="both"/>
              <w:rPr>
                <w:sz w:val="20"/>
                <w:szCs w:val="20"/>
              </w:rPr>
            </w:pPr>
            <w:r w:rsidRPr="00D650B4">
              <w:rPr>
                <w:sz w:val="20"/>
                <w:szCs w:val="20"/>
              </w:rPr>
              <w:t>NSW</w:t>
            </w:r>
          </w:p>
        </w:tc>
        <w:tc>
          <w:tcPr>
            <w:tcW w:w="1260" w:type="dxa"/>
          </w:tcPr>
          <w:p w14:paraId="35D53B67"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5054B9AE"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5D642B31" w14:textId="77777777" w:rsidR="00F312E3" w:rsidRPr="00D650B4" w:rsidRDefault="00F312E3" w:rsidP="00FF41B4">
            <w:pPr>
              <w:spacing w:before="0" w:line="240" w:lineRule="auto"/>
              <w:jc w:val="both"/>
              <w:rPr>
                <w:sz w:val="20"/>
                <w:szCs w:val="20"/>
              </w:rPr>
            </w:pPr>
            <w:r w:rsidRPr="00D650B4">
              <w:rPr>
                <w:sz w:val="20"/>
                <w:szCs w:val="20"/>
              </w:rPr>
              <w:t>Yes</w:t>
            </w:r>
          </w:p>
        </w:tc>
        <w:tc>
          <w:tcPr>
            <w:tcW w:w="1170" w:type="dxa"/>
          </w:tcPr>
          <w:p w14:paraId="66D9CE9D" w14:textId="77777777" w:rsidR="00F312E3" w:rsidRPr="00D650B4" w:rsidRDefault="00F312E3" w:rsidP="00FF41B4">
            <w:pPr>
              <w:spacing w:before="0" w:line="240" w:lineRule="auto"/>
              <w:jc w:val="both"/>
              <w:rPr>
                <w:sz w:val="20"/>
                <w:szCs w:val="20"/>
              </w:rPr>
            </w:pPr>
            <w:r w:rsidRPr="00D650B4">
              <w:rPr>
                <w:sz w:val="20"/>
                <w:szCs w:val="20"/>
              </w:rPr>
              <w:t>Yes</w:t>
            </w:r>
          </w:p>
        </w:tc>
        <w:tc>
          <w:tcPr>
            <w:tcW w:w="8298" w:type="dxa"/>
          </w:tcPr>
          <w:p w14:paraId="4CD858BE" w14:textId="77777777" w:rsidR="00F312E3" w:rsidRPr="00D650B4" w:rsidRDefault="00F312E3" w:rsidP="00FF41B4">
            <w:pPr>
              <w:spacing w:before="0" w:line="240" w:lineRule="auto"/>
              <w:jc w:val="both"/>
              <w:rPr>
                <w:sz w:val="20"/>
                <w:szCs w:val="20"/>
              </w:rPr>
            </w:pPr>
            <w:r w:rsidRPr="00D650B4">
              <w:rPr>
                <w:sz w:val="20"/>
                <w:szCs w:val="20"/>
              </w:rPr>
              <w:t>A person who, in the course of his or her professional work or other paid employment delivers health care, welfare, education, children’s services, residential services, or law enforcement, wholly or partly, to children (and managers in organisations providing such services)</w:t>
            </w:r>
          </w:p>
        </w:tc>
      </w:tr>
      <w:tr w:rsidR="00F312E3" w:rsidRPr="0052480C" w14:paraId="683803EA" w14:textId="77777777" w:rsidTr="00D650B4">
        <w:tc>
          <w:tcPr>
            <w:tcW w:w="1620" w:type="dxa"/>
          </w:tcPr>
          <w:p w14:paraId="518DF954" w14:textId="77777777" w:rsidR="00F312E3" w:rsidRPr="00D650B4" w:rsidRDefault="00F312E3" w:rsidP="00FF41B4">
            <w:pPr>
              <w:spacing w:before="0" w:line="240" w:lineRule="auto"/>
              <w:jc w:val="both"/>
              <w:rPr>
                <w:sz w:val="20"/>
                <w:szCs w:val="20"/>
              </w:rPr>
            </w:pPr>
            <w:r w:rsidRPr="00D650B4">
              <w:rPr>
                <w:sz w:val="20"/>
                <w:szCs w:val="20"/>
              </w:rPr>
              <w:t>NT</w:t>
            </w:r>
          </w:p>
        </w:tc>
        <w:tc>
          <w:tcPr>
            <w:tcW w:w="1260" w:type="dxa"/>
          </w:tcPr>
          <w:p w14:paraId="4EA2E9A0"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5AE97E5C"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4AA16417" w14:textId="77777777" w:rsidR="00F312E3" w:rsidRPr="00D650B4" w:rsidRDefault="00F312E3" w:rsidP="00FF41B4">
            <w:pPr>
              <w:spacing w:before="0" w:line="240" w:lineRule="auto"/>
              <w:jc w:val="both"/>
              <w:rPr>
                <w:sz w:val="20"/>
                <w:szCs w:val="20"/>
              </w:rPr>
            </w:pPr>
            <w:r w:rsidRPr="00D650B4">
              <w:rPr>
                <w:sz w:val="20"/>
                <w:szCs w:val="20"/>
              </w:rPr>
              <w:t>Yes</w:t>
            </w:r>
          </w:p>
        </w:tc>
        <w:tc>
          <w:tcPr>
            <w:tcW w:w="1170" w:type="dxa"/>
          </w:tcPr>
          <w:p w14:paraId="2C89A9F0" w14:textId="77777777" w:rsidR="00F312E3" w:rsidRPr="00D650B4" w:rsidRDefault="00F312E3" w:rsidP="00FF41B4">
            <w:pPr>
              <w:spacing w:before="0" w:line="240" w:lineRule="auto"/>
              <w:jc w:val="both"/>
              <w:rPr>
                <w:sz w:val="20"/>
                <w:szCs w:val="20"/>
              </w:rPr>
            </w:pPr>
            <w:r w:rsidRPr="00D650B4">
              <w:rPr>
                <w:sz w:val="20"/>
                <w:szCs w:val="20"/>
              </w:rPr>
              <w:t>Yes</w:t>
            </w:r>
          </w:p>
        </w:tc>
        <w:tc>
          <w:tcPr>
            <w:tcW w:w="8298" w:type="dxa"/>
          </w:tcPr>
          <w:p w14:paraId="38491F06" w14:textId="77777777" w:rsidR="00F312E3" w:rsidRPr="00D650B4" w:rsidRDefault="00F312E3" w:rsidP="00FF41B4">
            <w:pPr>
              <w:spacing w:before="0" w:line="240" w:lineRule="auto"/>
              <w:jc w:val="both"/>
              <w:rPr>
                <w:sz w:val="20"/>
                <w:szCs w:val="20"/>
              </w:rPr>
            </w:pPr>
            <w:r w:rsidRPr="00D650B4">
              <w:rPr>
                <w:sz w:val="20"/>
                <w:szCs w:val="20"/>
              </w:rPr>
              <w:t>All persons</w:t>
            </w:r>
          </w:p>
        </w:tc>
      </w:tr>
      <w:tr w:rsidR="00F312E3" w:rsidRPr="0052480C" w14:paraId="07258B32" w14:textId="77777777" w:rsidTr="00D650B4">
        <w:tc>
          <w:tcPr>
            <w:tcW w:w="1620" w:type="dxa"/>
          </w:tcPr>
          <w:p w14:paraId="47FB26F0" w14:textId="77777777" w:rsidR="00F312E3" w:rsidRPr="00D650B4" w:rsidRDefault="00F312E3" w:rsidP="00FF41B4">
            <w:pPr>
              <w:spacing w:before="0" w:line="240" w:lineRule="auto"/>
              <w:jc w:val="both"/>
              <w:rPr>
                <w:sz w:val="20"/>
                <w:szCs w:val="20"/>
              </w:rPr>
            </w:pPr>
            <w:r w:rsidRPr="00D650B4">
              <w:rPr>
                <w:sz w:val="20"/>
                <w:szCs w:val="20"/>
              </w:rPr>
              <w:t>QLD</w:t>
            </w:r>
          </w:p>
        </w:tc>
        <w:tc>
          <w:tcPr>
            <w:tcW w:w="1260" w:type="dxa"/>
          </w:tcPr>
          <w:p w14:paraId="0911937E"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0253F523" w14:textId="77777777" w:rsidR="00F312E3" w:rsidRPr="00D650B4" w:rsidRDefault="00F312E3" w:rsidP="00FF41B4">
            <w:pPr>
              <w:spacing w:before="0" w:line="240" w:lineRule="auto"/>
              <w:jc w:val="both"/>
              <w:rPr>
                <w:sz w:val="20"/>
                <w:szCs w:val="20"/>
              </w:rPr>
            </w:pPr>
            <w:r w:rsidRPr="00D650B4">
              <w:rPr>
                <w:sz w:val="20"/>
                <w:szCs w:val="20"/>
              </w:rPr>
              <w:t>No</w:t>
            </w:r>
          </w:p>
        </w:tc>
        <w:tc>
          <w:tcPr>
            <w:tcW w:w="1080" w:type="dxa"/>
          </w:tcPr>
          <w:p w14:paraId="69EFE135" w14:textId="77777777" w:rsidR="00F312E3" w:rsidRPr="00D650B4" w:rsidRDefault="00F312E3" w:rsidP="00FF41B4">
            <w:pPr>
              <w:spacing w:before="0" w:line="240" w:lineRule="auto"/>
              <w:jc w:val="both"/>
              <w:rPr>
                <w:sz w:val="20"/>
                <w:szCs w:val="20"/>
              </w:rPr>
            </w:pPr>
            <w:r w:rsidRPr="00D650B4">
              <w:rPr>
                <w:sz w:val="20"/>
                <w:szCs w:val="20"/>
              </w:rPr>
              <w:t>Yes</w:t>
            </w:r>
          </w:p>
        </w:tc>
        <w:tc>
          <w:tcPr>
            <w:tcW w:w="1170" w:type="dxa"/>
          </w:tcPr>
          <w:p w14:paraId="329F8F84" w14:textId="77777777" w:rsidR="00F312E3" w:rsidRPr="00D650B4" w:rsidRDefault="00F312E3" w:rsidP="00FF41B4">
            <w:pPr>
              <w:spacing w:before="0" w:line="240" w:lineRule="auto"/>
              <w:jc w:val="both"/>
              <w:rPr>
                <w:sz w:val="20"/>
                <w:szCs w:val="20"/>
              </w:rPr>
            </w:pPr>
            <w:r w:rsidRPr="00D650B4">
              <w:rPr>
                <w:sz w:val="20"/>
                <w:szCs w:val="20"/>
              </w:rPr>
              <w:t>Yes</w:t>
            </w:r>
          </w:p>
        </w:tc>
        <w:tc>
          <w:tcPr>
            <w:tcW w:w="8298" w:type="dxa"/>
          </w:tcPr>
          <w:p w14:paraId="2E517C97" w14:textId="77777777" w:rsidR="00F312E3" w:rsidRPr="00D650B4" w:rsidRDefault="00F312E3" w:rsidP="00FF41B4">
            <w:pPr>
              <w:spacing w:before="0" w:line="240" w:lineRule="auto"/>
              <w:jc w:val="both"/>
              <w:rPr>
                <w:sz w:val="20"/>
                <w:szCs w:val="20"/>
              </w:rPr>
            </w:pPr>
            <w:r w:rsidRPr="00D650B4">
              <w:rPr>
                <w:sz w:val="20"/>
                <w:szCs w:val="20"/>
              </w:rPr>
              <w:t>Nil</w:t>
            </w:r>
          </w:p>
        </w:tc>
      </w:tr>
      <w:tr w:rsidR="00F312E3" w:rsidRPr="0052480C" w14:paraId="658AF927" w14:textId="77777777" w:rsidTr="00D650B4">
        <w:tc>
          <w:tcPr>
            <w:tcW w:w="1620" w:type="dxa"/>
          </w:tcPr>
          <w:p w14:paraId="4659A494" w14:textId="77777777" w:rsidR="00F312E3" w:rsidRPr="00D650B4" w:rsidRDefault="00F312E3" w:rsidP="00FF41B4">
            <w:pPr>
              <w:spacing w:before="0" w:line="240" w:lineRule="auto"/>
              <w:jc w:val="both"/>
              <w:rPr>
                <w:sz w:val="20"/>
                <w:szCs w:val="20"/>
              </w:rPr>
            </w:pPr>
            <w:r w:rsidRPr="00D650B4">
              <w:rPr>
                <w:sz w:val="20"/>
                <w:szCs w:val="20"/>
              </w:rPr>
              <w:t>SA</w:t>
            </w:r>
          </w:p>
        </w:tc>
        <w:tc>
          <w:tcPr>
            <w:tcW w:w="1260" w:type="dxa"/>
          </w:tcPr>
          <w:p w14:paraId="780B8A11"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6DBCB93D"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7C1B5E28" w14:textId="77777777" w:rsidR="00F312E3" w:rsidRPr="00D650B4" w:rsidRDefault="00F312E3" w:rsidP="00FF41B4">
            <w:pPr>
              <w:spacing w:before="0" w:line="240" w:lineRule="auto"/>
              <w:jc w:val="both"/>
              <w:rPr>
                <w:sz w:val="20"/>
                <w:szCs w:val="20"/>
              </w:rPr>
            </w:pPr>
            <w:r w:rsidRPr="00D650B4">
              <w:rPr>
                <w:sz w:val="20"/>
                <w:szCs w:val="20"/>
              </w:rPr>
              <w:t>Yes</w:t>
            </w:r>
          </w:p>
        </w:tc>
        <w:tc>
          <w:tcPr>
            <w:tcW w:w="1170" w:type="dxa"/>
          </w:tcPr>
          <w:p w14:paraId="40F80E41" w14:textId="77777777" w:rsidR="00F312E3" w:rsidRPr="00D650B4" w:rsidRDefault="00F312E3" w:rsidP="00FF41B4">
            <w:pPr>
              <w:spacing w:before="0" w:line="240" w:lineRule="auto"/>
              <w:jc w:val="both"/>
              <w:rPr>
                <w:sz w:val="20"/>
                <w:szCs w:val="20"/>
              </w:rPr>
            </w:pPr>
            <w:r w:rsidRPr="00D650B4">
              <w:rPr>
                <w:sz w:val="20"/>
                <w:szCs w:val="20"/>
              </w:rPr>
              <w:t>Yes</w:t>
            </w:r>
          </w:p>
        </w:tc>
        <w:tc>
          <w:tcPr>
            <w:tcW w:w="8298" w:type="dxa"/>
          </w:tcPr>
          <w:p w14:paraId="0747B8D8" w14:textId="77777777" w:rsidR="00F312E3" w:rsidRPr="00D650B4" w:rsidRDefault="00F312E3" w:rsidP="00FF41B4">
            <w:pPr>
              <w:spacing w:before="0" w:line="240" w:lineRule="auto"/>
              <w:jc w:val="both"/>
              <w:rPr>
                <w:sz w:val="20"/>
                <w:szCs w:val="20"/>
              </w:rPr>
            </w:pPr>
            <w:r w:rsidRPr="00D650B4">
              <w:rPr>
                <w:sz w:val="20"/>
                <w:szCs w:val="20"/>
              </w:rPr>
              <w:t>Pharmacists, dentists, psychologists, community corrections officers, social workers, religious ministers, employees and volunteers in religious organisations, teachers in educational institutions; family day care providers; employees and volunteers in organisations providing health, education, welfare, sporting or recreational services to children; managers in relevant organisations</w:t>
            </w:r>
          </w:p>
        </w:tc>
      </w:tr>
      <w:tr w:rsidR="00F312E3" w:rsidRPr="0052480C" w14:paraId="4CF52BA6" w14:textId="77777777" w:rsidTr="00D650B4">
        <w:tc>
          <w:tcPr>
            <w:tcW w:w="1620" w:type="dxa"/>
          </w:tcPr>
          <w:p w14:paraId="1F854056" w14:textId="77777777" w:rsidR="00F312E3" w:rsidRPr="00D650B4" w:rsidRDefault="00F312E3" w:rsidP="00FF41B4">
            <w:pPr>
              <w:spacing w:before="0" w:line="240" w:lineRule="auto"/>
              <w:jc w:val="both"/>
              <w:rPr>
                <w:sz w:val="20"/>
                <w:szCs w:val="20"/>
              </w:rPr>
            </w:pPr>
            <w:r w:rsidRPr="00D650B4">
              <w:rPr>
                <w:sz w:val="20"/>
                <w:szCs w:val="20"/>
              </w:rPr>
              <w:t>TAS</w:t>
            </w:r>
          </w:p>
        </w:tc>
        <w:tc>
          <w:tcPr>
            <w:tcW w:w="1260" w:type="dxa"/>
          </w:tcPr>
          <w:p w14:paraId="5601DDAF"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20A2767E"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13A8732D" w14:textId="77777777" w:rsidR="00F312E3" w:rsidRPr="00D650B4" w:rsidRDefault="00F312E3" w:rsidP="00FF41B4">
            <w:pPr>
              <w:spacing w:before="0" w:line="240" w:lineRule="auto"/>
              <w:jc w:val="both"/>
              <w:rPr>
                <w:sz w:val="20"/>
                <w:szCs w:val="20"/>
              </w:rPr>
            </w:pPr>
            <w:r w:rsidRPr="00D650B4">
              <w:rPr>
                <w:sz w:val="20"/>
                <w:szCs w:val="20"/>
              </w:rPr>
              <w:t>Yes</w:t>
            </w:r>
          </w:p>
        </w:tc>
        <w:tc>
          <w:tcPr>
            <w:tcW w:w="1170" w:type="dxa"/>
          </w:tcPr>
          <w:p w14:paraId="4057500D" w14:textId="77777777" w:rsidR="00F312E3" w:rsidRPr="00D650B4" w:rsidRDefault="00F312E3" w:rsidP="00FF41B4">
            <w:pPr>
              <w:spacing w:before="0" w:line="240" w:lineRule="auto"/>
              <w:jc w:val="both"/>
              <w:rPr>
                <w:sz w:val="20"/>
                <w:szCs w:val="20"/>
              </w:rPr>
            </w:pPr>
            <w:r w:rsidRPr="00D650B4">
              <w:rPr>
                <w:sz w:val="20"/>
                <w:szCs w:val="20"/>
              </w:rPr>
              <w:t>Yes</w:t>
            </w:r>
          </w:p>
        </w:tc>
        <w:tc>
          <w:tcPr>
            <w:tcW w:w="8298" w:type="dxa"/>
          </w:tcPr>
          <w:p w14:paraId="70A6E03B" w14:textId="77777777" w:rsidR="00F312E3" w:rsidRPr="00D650B4" w:rsidRDefault="00F312E3" w:rsidP="00FF41B4">
            <w:pPr>
              <w:spacing w:before="0" w:line="240" w:lineRule="auto"/>
              <w:jc w:val="both"/>
              <w:rPr>
                <w:sz w:val="20"/>
                <w:szCs w:val="20"/>
              </w:rPr>
            </w:pPr>
            <w:r w:rsidRPr="00D650B4">
              <w:rPr>
                <w:sz w:val="20"/>
                <w:szCs w:val="20"/>
              </w:rPr>
              <w:t>Midwives, dentists, psychologists, probation officers, principals and teachers in any educational institution, child care providers, employees and volunteers in government funded agencies providing health, welfare or education services to children</w:t>
            </w:r>
          </w:p>
        </w:tc>
      </w:tr>
      <w:tr w:rsidR="00F312E3" w:rsidRPr="0052480C" w14:paraId="614365F9" w14:textId="77777777" w:rsidTr="00D650B4">
        <w:tc>
          <w:tcPr>
            <w:tcW w:w="1620" w:type="dxa"/>
          </w:tcPr>
          <w:p w14:paraId="74984EA7" w14:textId="77777777" w:rsidR="00F312E3" w:rsidRPr="00D650B4" w:rsidRDefault="00F312E3" w:rsidP="00FF41B4">
            <w:pPr>
              <w:spacing w:before="0" w:line="240" w:lineRule="auto"/>
              <w:jc w:val="both"/>
              <w:rPr>
                <w:sz w:val="20"/>
                <w:szCs w:val="20"/>
              </w:rPr>
            </w:pPr>
            <w:r w:rsidRPr="00D650B4">
              <w:rPr>
                <w:sz w:val="20"/>
                <w:szCs w:val="20"/>
              </w:rPr>
              <w:t>VIC</w:t>
            </w:r>
          </w:p>
        </w:tc>
        <w:tc>
          <w:tcPr>
            <w:tcW w:w="1260" w:type="dxa"/>
          </w:tcPr>
          <w:p w14:paraId="120E4439"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485BF362"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0A94C4AE" w14:textId="77777777" w:rsidR="00F312E3" w:rsidRPr="00D650B4" w:rsidRDefault="00F312E3" w:rsidP="00FF41B4">
            <w:pPr>
              <w:spacing w:before="0" w:line="240" w:lineRule="auto"/>
              <w:jc w:val="both"/>
              <w:rPr>
                <w:sz w:val="20"/>
                <w:szCs w:val="20"/>
              </w:rPr>
            </w:pPr>
            <w:r w:rsidRPr="00D650B4">
              <w:rPr>
                <w:sz w:val="20"/>
                <w:szCs w:val="20"/>
              </w:rPr>
              <w:t>Yes</w:t>
            </w:r>
          </w:p>
        </w:tc>
        <w:tc>
          <w:tcPr>
            <w:tcW w:w="1170" w:type="dxa"/>
          </w:tcPr>
          <w:p w14:paraId="084A0508" w14:textId="77777777" w:rsidR="00F312E3" w:rsidRPr="00D650B4" w:rsidRDefault="00F312E3" w:rsidP="00FF41B4">
            <w:pPr>
              <w:spacing w:before="0" w:line="240" w:lineRule="auto"/>
              <w:jc w:val="both"/>
              <w:rPr>
                <w:sz w:val="20"/>
                <w:szCs w:val="20"/>
              </w:rPr>
            </w:pPr>
            <w:r w:rsidRPr="00D650B4">
              <w:rPr>
                <w:sz w:val="20"/>
                <w:szCs w:val="20"/>
              </w:rPr>
              <w:t>Yes</w:t>
            </w:r>
          </w:p>
        </w:tc>
        <w:tc>
          <w:tcPr>
            <w:tcW w:w="8298" w:type="dxa"/>
          </w:tcPr>
          <w:p w14:paraId="1AAFB1C4" w14:textId="77777777" w:rsidR="00F312E3" w:rsidRPr="00D650B4" w:rsidRDefault="00F312E3" w:rsidP="00FF41B4">
            <w:pPr>
              <w:spacing w:before="0" w:line="240" w:lineRule="auto"/>
              <w:jc w:val="both"/>
              <w:rPr>
                <w:sz w:val="20"/>
                <w:szCs w:val="20"/>
              </w:rPr>
            </w:pPr>
            <w:r w:rsidRPr="00D650B4">
              <w:rPr>
                <w:sz w:val="20"/>
                <w:szCs w:val="20"/>
              </w:rPr>
              <w:t>Midwives, school principals</w:t>
            </w:r>
          </w:p>
        </w:tc>
      </w:tr>
      <w:tr w:rsidR="00F312E3" w:rsidRPr="0052480C" w14:paraId="7BC62D75" w14:textId="77777777" w:rsidTr="00D650B4">
        <w:tc>
          <w:tcPr>
            <w:tcW w:w="1620" w:type="dxa"/>
          </w:tcPr>
          <w:p w14:paraId="71ABDD04" w14:textId="77777777" w:rsidR="00F312E3" w:rsidRPr="00D650B4" w:rsidRDefault="00F312E3" w:rsidP="00FF41B4">
            <w:pPr>
              <w:spacing w:before="0" w:line="240" w:lineRule="auto"/>
              <w:jc w:val="both"/>
              <w:rPr>
                <w:sz w:val="20"/>
                <w:szCs w:val="20"/>
              </w:rPr>
            </w:pPr>
            <w:r w:rsidRPr="00D650B4">
              <w:rPr>
                <w:sz w:val="20"/>
                <w:szCs w:val="20"/>
              </w:rPr>
              <w:t>WA</w:t>
            </w:r>
          </w:p>
        </w:tc>
        <w:tc>
          <w:tcPr>
            <w:tcW w:w="1260" w:type="dxa"/>
          </w:tcPr>
          <w:p w14:paraId="694AE14E"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78B25B1A" w14:textId="77777777" w:rsidR="00F312E3" w:rsidRPr="00D650B4" w:rsidRDefault="00F312E3" w:rsidP="00FF41B4">
            <w:pPr>
              <w:spacing w:before="0" w:line="240" w:lineRule="auto"/>
              <w:jc w:val="both"/>
              <w:rPr>
                <w:sz w:val="20"/>
                <w:szCs w:val="20"/>
              </w:rPr>
            </w:pPr>
            <w:r w:rsidRPr="00D650B4">
              <w:rPr>
                <w:sz w:val="20"/>
                <w:szCs w:val="20"/>
              </w:rPr>
              <w:t>Yes</w:t>
            </w:r>
          </w:p>
        </w:tc>
        <w:tc>
          <w:tcPr>
            <w:tcW w:w="1080" w:type="dxa"/>
          </w:tcPr>
          <w:p w14:paraId="6D5DF89E" w14:textId="77777777" w:rsidR="00F312E3" w:rsidRPr="00D650B4" w:rsidRDefault="00F312E3" w:rsidP="00FF41B4">
            <w:pPr>
              <w:spacing w:before="0" w:line="240" w:lineRule="auto"/>
              <w:jc w:val="both"/>
              <w:rPr>
                <w:sz w:val="20"/>
                <w:szCs w:val="20"/>
              </w:rPr>
            </w:pPr>
            <w:r w:rsidRPr="00D650B4">
              <w:rPr>
                <w:sz w:val="20"/>
                <w:szCs w:val="20"/>
              </w:rPr>
              <w:t>Yes</w:t>
            </w:r>
          </w:p>
        </w:tc>
        <w:tc>
          <w:tcPr>
            <w:tcW w:w="1170" w:type="dxa"/>
          </w:tcPr>
          <w:p w14:paraId="4917AF1F" w14:textId="77777777" w:rsidR="00F312E3" w:rsidRPr="00D650B4" w:rsidRDefault="00F312E3" w:rsidP="00FF41B4">
            <w:pPr>
              <w:spacing w:before="0" w:line="240" w:lineRule="auto"/>
              <w:jc w:val="both"/>
              <w:rPr>
                <w:sz w:val="20"/>
                <w:szCs w:val="20"/>
              </w:rPr>
            </w:pPr>
            <w:r w:rsidRPr="00D650B4">
              <w:rPr>
                <w:sz w:val="20"/>
                <w:szCs w:val="20"/>
              </w:rPr>
              <w:t>Yes</w:t>
            </w:r>
          </w:p>
        </w:tc>
        <w:tc>
          <w:tcPr>
            <w:tcW w:w="8298" w:type="dxa"/>
          </w:tcPr>
          <w:p w14:paraId="2CA61D7E" w14:textId="77777777" w:rsidR="00F312E3" w:rsidRPr="00D650B4" w:rsidRDefault="00F312E3" w:rsidP="00FF41B4">
            <w:pPr>
              <w:spacing w:before="0" w:line="240" w:lineRule="auto"/>
              <w:jc w:val="both"/>
              <w:rPr>
                <w:sz w:val="20"/>
                <w:szCs w:val="20"/>
              </w:rPr>
            </w:pPr>
            <w:r w:rsidRPr="00D650B4">
              <w:rPr>
                <w:sz w:val="20"/>
                <w:szCs w:val="20"/>
              </w:rPr>
              <w:t xml:space="preserve">Midwives </w:t>
            </w:r>
          </w:p>
        </w:tc>
      </w:tr>
      <w:tr w:rsidR="00F312E3" w:rsidRPr="0052480C" w14:paraId="58FE8231" w14:textId="77777777" w:rsidTr="00D650B4">
        <w:tc>
          <w:tcPr>
            <w:tcW w:w="1620" w:type="dxa"/>
          </w:tcPr>
          <w:p w14:paraId="7CCAD4AA" w14:textId="77777777" w:rsidR="00F312E3" w:rsidRPr="00D650B4" w:rsidRDefault="00F312E3" w:rsidP="00FF41B4">
            <w:pPr>
              <w:spacing w:before="0" w:line="240" w:lineRule="auto"/>
              <w:jc w:val="both"/>
              <w:rPr>
                <w:sz w:val="20"/>
                <w:szCs w:val="20"/>
              </w:rPr>
            </w:pPr>
            <w:proofErr w:type="spellStart"/>
            <w:r w:rsidRPr="00D650B4">
              <w:rPr>
                <w:sz w:val="20"/>
                <w:szCs w:val="20"/>
              </w:rPr>
              <w:t>Cth</w:t>
            </w:r>
            <w:proofErr w:type="spellEnd"/>
          </w:p>
        </w:tc>
        <w:tc>
          <w:tcPr>
            <w:tcW w:w="1260" w:type="dxa"/>
          </w:tcPr>
          <w:p w14:paraId="0C4D8502" w14:textId="77777777" w:rsidR="00F312E3" w:rsidRPr="00D650B4" w:rsidRDefault="00F312E3" w:rsidP="00FF41B4">
            <w:pPr>
              <w:spacing w:before="0" w:line="240" w:lineRule="auto"/>
              <w:jc w:val="both"/>
              <w:rPr>
                <w:sz w:val="20"/>
                <w:szCs w:val="20"/>
              </w:rPr>
            </w:pPr>
            <w:r w:rsidRPr="00D650B4">
              <w:rPr>
                <w:sz w:val="20"/>
                <w:szCs w:val="20"/>
              </w:rPr>
              <w:t>No</w:t>
            </w:r>
          </w:p>
        </w:tc>
        <w:tc>
          <w:tcPr>
            <w:tcW w:w="1080" w:type="dxa"/>
          </w:tcPr>
          <w:p w14:paraId="14F44BF6" w14:textId="77777777" w:rsidR="00F312E3" w:rsidRPr="00D650B4" w:rsidRDefault="00F312E3" w:rsidP="00FF41B4">
            <w:pPr>
              <w:spacing w:before="0" w:line="240" w:lineRule="auto"/>
              <w:jc w:val="both"/>
            </w:pPr>
            <w:r w:rsidRPr="00D650B4">
              <w:rPr>
                <w:sz w:val="20"/>
                <w:szCs w:val="20"/>
              </w:rPr>
              <w:t>No</w:t>
            </w:r>
          </w:p>
        </w:tc>
        <w:tc>
          <w:tcPr>
            <w:tcW w:w="1080" w:type="dxa"/>
          </w:tcPr>
          <w:p w14:paraId="7B12D29D" w14:textId="77777777" w:rsidR="00F312E3" w:rsidRPr="00D650B4" w:rsidRDefault="00F312E3" w:rsidP="00FF41B4">
            <w:pPr>
              <w:spacing w:before="0" w:line="240" w:lineRule="auto"/>
              <w:jc w:val="both"/>
            </w:pPr>
            <w:r w:rsidRPr="00D650B4">
              <w:rPr>
                <w:sz w:val="20"/>
                <w:szCs w:val="20"/>
              </w:rPr>
              <w:t>No</w:t>
            </w:r>
          </w:p>
        </w:tc>
        <w:tc>
          <w:tcPr>
            <w:tcW w:w="1170" w:type="dxa"/>
          </w:tcPr>
          <w:p w14:paraId="1C26BE5C" w14:textId="77777777" w:rsidR="00F312E3" w:rsidRPr="00D650B4" w:rsidRDefault="00F312E3" w:rsidP="00FF41B4">
            <w:pPr>
              <w:spacing w:before="0" w:line="240" w:lineRule="auto"/>
              <w:jc w:val="both"/>
            </w:pPr>
            <w:r w:rsidRPr="00D650B4">
              <w:rPr>
                <w:sz w:val="20"/>
                <w:szCs w:val="20"/>
              </w:rPr>
              <w:t>No</w:t>
            </w:r>
          </w:p>
        </w:tc>
        <w:tc>
          <w:tcPr>
            <w:tcW w:w="8298" w:type="dxa"/>
          </w:tcPr>
          <w:p w14:paraId="15618380" w14:textId="77777777" w:rsidR="00F312E3" w:rsidRPr="00D650B4" w:rsidRDefault="00F312E3" w:rsidP="00FF41B4">
            <w:pPr>
              <w:spacing w:before="0" w:line="240" w:lineRule="auto"/>
              <w:jc w:val="both"/>
              <w:rPr>
                <w:sz w:val="20"/>
              </w:rPr>
            </w:pPr>
            <w:r w:rsidRPr="00D650B4">
              <w:rPr>
                <w:sz w:val="20"/>
              </w:rPr>
              <w:t>Registrar or a Deputy Registrar of a Registry of the Family Court of Australia, or of the Family Court of Western Australia; a Registrar of the Federal Magistrates Court; or family consultants; family counsellors; family dispute resolution practitioners; arbitrators; lawyers independently representing a child’s interests</w:t>
            </w:r>
          </w:p>
        </w:tc>
      </w:tr>
    </w:tbl>
    <w:p w14:paraId="36D57096" w14:textId="77777777" w:rsidR="00F312E3" w:rsidRDefault="00F312E3" w:rsidP="00FF41B4">
      <w:pPr>
        <w:pStyle w:val="Heading5"/>
        <w:jc w:val="both"/>
        <w:sectPr w:rsidR="00F312E3" w:rsidSect="00D650B4">
          <w:pgSz w:w="16840" w:h="11900" w:orient="landscape"/>
          <w:pgMar w:top="1134" w:right="1134" w:bottom="1134" w:left="1134" w:header="708" w:footer="708" w:gutter="0"/>
          <w:cols w:space="708"/>
          <w:docGrid w:linePitch="360"/>
        </w:sectPr>
      </w:pPr>
    </w:p>
    <w:p w14:paraId="354CFBB7" w14:textId="77777777" w:rsidR="00F312E3" w:rsidRDefault="00F312E3" w:rsidP="00FF41B4">
      <w:pPr>
        <w:pStyle w:val="Heading5"/>
        <w:jc w:val="both"/>
      </w:pPr>
      <w:r w:rsidRPr="0052480C">
        <w:lastRenderedPageBreak/>
        <w:t>Table 1.2: Types of abuse and neglect that must be reported: Australian States and Territories</w:t>
      </w:r>
    </w:p>
    <w:p w14:paraId="6561716C" w14:textId="77777777" w:rsidR="00F312E3" w:rsidRPr="00EB4582" w:rsidRDefault="00F312E3" w:rsidP="00FF41B4">
      <w:pPr>
        <w:jc w:val="both"/>
      </w:pPr>
    </w:p>
    <w:tbl>
      <w:tblPr>
        <w:tblStyle w:val="TableGrid"/>
        <w:tblW w:w="14508" w:type="dxa"/>
        <w:tblLayout w:type="fixed"/>
        <w:tblLook w:val="04A0" w:firstRow="1" w:lastRow="0" w:firstColumn="1" w:lastColumn="0" w:noHBand="0" w:noVBand="1"/>
        <w:tblCaption w:val="Types of abuse and neglect that must be reported: Australian States and Territories"/>
      </w:tblPr>
      <w:tblGrid>
        <w:gridCol w:w="1620"/>
        <w:gridCol w:w="1728"/>
        <w:gridCol w:w="1980"/>
        <w:gridCol w:w="3060"/>
        <w:gridCol w:w="2790"/>
        <w:gridCol w:w="3330"/>
      </w:tblGrid>
      <w:tr w:rsidR="00F312E3" w:rsidRPr="0052480C" w14:paraId="49F3FB21" w14:textId="77777777" w:rsidTr="00D650B4">
        <w:trPr>
          <w:tblHeader/>
        </w:trPr>
        <w:tc>
          <w:tcPr>
            <w:tcW w:w="1620" w:type="dxa"/>
            <w:shd w:val="clear" w:color="auto" w:fill="D9D9D9" w:themeFill="background1" w:themeFillShade="D9"/>
          </w:tcPr>
          <w:p w14:paraId="6649232F"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Jurisdiction</w:t>
            </w:r>
          </w:p>
        </w:tc>
        <w:tc>
          <w:tcPr>
            <w:tcW w:w="1728" w:type="dxa"/>
            <w:shd w:val="clear" w:color="auto" w:fill="D9D9D9" w:themeFill="background1" w:themeFillShade="D9"/>
          </w:tcPr>
          <w:p w14:paraId="1ED7B1F2"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Physical abuse</w:t>
            </w:r>
          </w:p>
        </w:tc>
        <w:tc>
          <w:tcPr>
            <w:tcW w:w="1980" w:type="dxa"/>
            <w:shd w:val="clear" w:color="auto" w:fill="D9D9D9" w:themeFill="background1" w:themeFillShade="D9"/>
          </w:tcPr>
          <w:p w14:paraId="53D24BA8"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Sexual abuse</w:t>
            </w:r>
          </w:p>
        </w:tc>
        <w:tc>
          <w:tcPr>
            <w:tcW w:w="3060" w:type="dxa"/>
            <w:shd w:val="clear" w:color="auto" w:fill="D9D9D9" w:themeFill="background1" w:themeFillShade="D9"/>
          </w:tcPr>
          <w:p w14:paraId="45AD5575"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Psychological / emotional abuse</w:t>
            </w:r>
          </w:p>
        </w:tc>
        <w:tc>
          <w:tcPr>
            <w:tcW w:w="2790" w:type="dxa"/>
            <w:shd w:val="clear" w:color="auto" w:fill="D9D9D9" w:themeFill="background1" w:themeFillShade="D9"/>
          </w:tcPr>
          <w:p w14:paraId="25B432C9"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Neglect</w:t>
            </w:r>
          </w:p>
        </w:tc>
        <w:tc>
          <w:tcPr>
            <w:tcW w:w="3330" w:type="dxa"/>
            <w:shd w:val="clear" w:color="auto" w:fill="D9D9D9" w:themeFill="background1" w:themeFillShade="D9"/>
          </w:tcPr>
          <w:p w14:paraId="0D0D153A"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Exposure to domestic violence</w:t>
            </w:r>
          </w:p>
        </w:tc>
      </w:tr>
      <w:tr w:rsidR="00F312E3" w:rsidRPr="0052480C" w14:paraId="2927F195" w14:textId="77777777" w:rsidTr="00D650B4">
        <w:tc>
          <w:tcPr>
            <w:tcW w:w="1620" w:type="dxa"/>
          </w:tcPr>
          <w:p w14:paraId="2FF60F82"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ACT</w:t>
            </w:r>
          </w:p>
        </w:tc>
        <w:tc>
          <w:tcPr>
            <w:tcW w:w="1728" w:type="dxa"/>
          </w:tcPr>
          <w:p w14:paraId="0DBDC4FF"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1980" w:type="dxa"/>
          </w:tcPr>
          <w:p w14:paraId="443B2B26"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060" w:type="dxa"/>
          </w:tcPr>
          <w:p w14:paraId="2CF339B5"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c>
          <w:tcPr>
            <w:tcW w:w="2790" w:type="dxa"/>
          </w:tcPr>
          <w:p w14:paraId="09F9939F"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c>
          <w:tcPr>
            <w:tcW w:w="3330" w:type="dxa"/>
          </w:tcPr>
          <w:p w14:paraId="46A0FD73"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r>
      <w:tr w:rsidR="00F312E3" w:rsidRPr="0052480C" w14:paraId="30C4211E" w14:textId="77777777" w:rsidTr="00D650B4">
        <w:trPr>
          <w:trHeight w:val="266"/>
        </w:trPr>
        <w:tc>
          <w:tcPr>
            <w:tcW w:w="1620" w:type="dxa"/>
          </w:tcPr>
          <w:p w14:paraId="7C6B9B92"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NSW</w:t>
            </w:r>
          </w:p>
        </w:tc>
        <w:tc>
          <w:tcPr>
            <w:tcW w:w="1728" w:type="dxa"/>
          </w:tcPr>
          <w:p w14:paraId="473C23F4"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1980" w:type="dxa"/>
          </w:tcPr>
          <w:p w14:paraId="693C217A"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060" w:type="dxa"/>
          </w:tcPr>
          <w:p w14:paraId="42DD3D5B"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2790" w:type="dxa"/>
          </w:tcPr>
          <w:p w14:paraId="3C87A573"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330" w:type="dxa"/>
          </w:tcPr>
          <w:p w14:paraId="3AE2FB01"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r>
      <w:tr w:rsidR="00F312E3" w:rsidRPr="0052480C" w14:paraId="39B6F27F" w14:textId="77777777" w:rsidTr="00D650B4">
        <w:tc>
          <w:tcPr>
            <w:tcW w:w="1620" w:type="dxa"/>
          </w:tcPr>
          <w:p w14:paraId="6F3747E0"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NT</w:t>
            </w:r>
          </w:p>
        </w:tc>
        <w:tc>
          <w:tcPr>
            <w:tcW w:w="1728" w:type="dxa"/>
          </w:tcPr>
          <w:p w14:paraId="36CD3D42"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1980" w:type="dxa"/>
          </w:tcPr>
          <w:p w14:paraId="7AB3E191"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060" w:type="dxa"/>
          </w:tcPr>
          <w:p w14:paraId="61E17AA6"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2790" w:type="dxa"/>
          </w:tcPr>
          <w:p w14:paraId="222B1FA1"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330" w:type="dxa"/>
          </w:tcPr>
          <w:p w14:paraId="6B69177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r>
      <w:tr w:rsidR="00F312E3" w:rsidRPr="0052480C" w14:paraId="3100A681" w14:textId="77777777" w:rsidTr="00D650B4">
        <w:tc>
          <w:tcPr>
            <w:tcW w:w="1620" w:type="dxa"/>
          </w:tcPr>
          <w:p w14:paraId="3A81D51E"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QLD</w:t>
            </w:r>
          </w:p>
        </w:tc>
        <w:tc>
          <w:tcPr>
            <w:tcW w:w="1728" w:type="dxa"/>
          </w:tcPr>
          <w:p w14:paraId="21D9B7B7"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1980" w:type="dxa"/>
          </w:tcPr>
          <w:p w14:paraId="3869BCD3"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060" w:type="dxa"/>
          </w:tcPr>
          <w:p w14:paraId="4B7DC038"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2790" w:type="dxa"/>
          </w:tcPr>
          <w:p w14:paraId="32440ED1"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330" w:type="dxa"/>
          </w:tcPr>
          <w:p w14:paraId="77F94608"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r>
      <w:tr w:rsidR="00F312E3" w:rsidRPr="0052480C" w14:paraId="35514D80" w14:textId="77777777" w:rsidTr="00D650B4">
        <w:tc>
          <w:tcPr>
            <w:tcW w:w="1620" w:type="dxa"/>
          </w:tcPr>
          <w:p w14:paraId="0100779D"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SA</w:t>
            </w:r>
          </w:p>
        </w:tc>
        <w:tc>
          <w:tcPr>
            <w:tcW w:w="1728" w:type="dxa"/>
          </w:tcPr>
          <w:p w14:paraId="09F95FD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1980" w:type="dxa"/>
          </w:tcPr>
          <w:p w14:paraId="3EDF39A3"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060" w:type="dxa"/>
          </w:tcPr>
          <w:p w14:paraId="14B308D5"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2790" w:type="dxa"/>
          </w:tcPr>
          <w:p w14:paraId="336690A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330" w:type="dxa"/>
          </w:tcPr>
          <w:p w14:paraId="00C8E04B"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r>
      <w:tr w:rsidR="00F312E3" w:rsidRPr="0052480C" w14:paraId="1CB3F5FE" w14:textId="77777777" w:rsidTr="00D650B4">
        <w:tc>
          <w:tcPr>
            <w:tcW w:w="1620" w:type="dxa"/>
          </w:tcPr>
          <w:p w14:paraId="0B170072"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TAS</w:t>
            </w:r>
          </w:p>
        </w:tc>
        <w:tc>
          <w:tcPr>
            <w:tcW w:w="1728" w:type="dxa"/>
          </w:tcPr>
          <w:p w14:paraId="0C78C556"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1980" w:type="dxa"/>
          </w:tcPr>
          <w:p w14:paraId="10371AA5"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060" w:type="dxa"/>
          </w:tcPr>
          <w:p w14:paraId="2D05F616"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2790" w:type="dxa"/>
          </w:tcPr>
          <w:p w14:paraId="58BE666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330" w:type="dxa"/>
          </w:tcPr>
          <w:p w14:paraId="1B6C16D0"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r>
      <w:tr w:rsidR="00F312E3" w:rsidRPr="0052480C" w14:paraId="784B54C4" w14:textId="77777777" w:rsidTr="00D650B4">
        <w:tc>
          <w:tcPr>
            <w:tcW w:w="1620" w:type="dxa"/>
          </w:tcPr>
          <w:p w14:paraId="3EF0CF3D"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VIC</w:t>
            </w:r>
          </w:p>
        </w:tc>
        <w:tc>
          <w:tcPr>
            <w:tcW w:w="1728" w:type="dxa"/>
          </w:tcPr>
          <w:p w14:paraId="374B3951"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1980" w:type="dxa"/>
          </w:tcPr>
          <w:p w14:paraId="5BE2B051"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060" w:type="dxa"/>
          </w:tcPr>
          <w:p w14:paraId="2292EFBD"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c>
          <w:tcPr>
            <w:tcW w:w="2790" w:type="dxa"/>
          </w:tcPr>
          <w:p w14:paraId="7A03F71B"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c>
          <w:tcPr>
            <w:tcW w:w="3330" w:type="dxa"/>
          </w:tcPr>
          <w:p w14:paraId="052BB1A9"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r>
      <w:tr w:rsidR="00F312E3" w:rsidRPr="0052480C" w14:paraId="3CF5A829" w14:textId="77777777" w:rsidTr="00D650B4">
        <w:tc>
          <w:tcPr>
            <w:tcW w:w="1620" w:type="dxa"/>
          </w:tcPr>
          <w:p w14:paraId="7CFFE221"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WA</w:t>
            </w:r>
          </w:p>
        </w:tc>
        <w:tc>
          <w:tcPr>
            <w:tcW w:w="1728" w:type="dxa"/>
          </w:tcPr>
          <w:p w14:paraId="7F9300C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c>
          <w:tcPr>
            <w:tcW w:w="1980" w:type="dxa"/>
          </w:tcPr>
          <w:p w14:paraId="45929934"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060" w:type="dxa"/>
          </w:tcPr>
          <w:p w14:paraId="240C4CEA"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c>
          <w:tcPr>
            <w:tcW w:w="2790" w:type="dxa"/>
          </w:tcPr>
          <w:p w14:paraId="06EF6B80"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c>
          <w:tcPr>
            <w:tcW w:w="3330" w:type="dxa"/>
          </w:tcPr>
          <w:p w14:paraId="29FBD3B6"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w:t>
            </w:r>
          </w:p>
        </w:tc>
      </w:tr>
      <w:tr w:rsidR="00F312E3" w:rsidRPr="0052480C" w14:paraId="67D75B0D" w14:textId="77777777" w:rsidTr="00D650B4">
        <w:tc>
          <w:tcPr>
            <w:tcW w:w="1620" w:type="dxa"/>
          </w:tcPr>
          <w:p w14:paraId="37410BD4" w14:textId="77777777" w:rsidR="00F312E3" w:rsidRPr="00D650B4" w:rsidRDefault="00F312E3" w:rsidP="00FF41B4">
            <w:pPr>
              <w:pStyle w:val="TableText"/>
              <w:spacing w:line="240" w:lineRule="auto"/>
              <w:rPr>
                <w:rFonts w:asciiTheme="minorHAnsi" w:hAnsiTheme="minorHAnsi"/>
              </w:rPr>
            </w:pPr>
            <w:proofErr w:type="spellStart"/>
            <w:r w:rsidRPr="00D650B4">
              <w:rPr>
                <w:rFonts w:asciiTheme="minorHAnsi" w:hAnsiTheme="minorHAnsi"/>
              </w:rPr>
              <w:t>Cth</w:t>
            </w:r>
            <w:proofErr w:type="spellEnd"/>
          </w:p>
        </w:tc>
        <w:tc>
          <w:tcPr>
            <w:tcW w:w="1728" w:type="dxa"/>
          </w:tcPr>
          <w:p w14:paraId="556FA32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1980" w:type="dxa"/>
          </w:tcPr>
          <w:p w14:paraId="36D3C30D"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060" w:type="dxa"/>
          </w:tcPr>
          <w:p w14:paraId="74EE8B0F"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2790" w:type="dxa"/>
          </w:tcPr>
          <w:p w14:paraId="7E59A745"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c>
          <w:tcPr>
            <w:tcW w:w="3330" w:type="dxa"/>
          </w:tcPr>
          <w:p w14:paraId="507306C4"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Yes</w:t>
            </w:r>
          </w:p>
        </w:tc>
      </w:tr>
    </w:tbl>
    <w:p w14:paraId="4BCCF75C" w14:textId="77777777" w:rsidR="00F312E3" w:rsidRPr="0052480C" w:rsidRDefault="00F312E3" w:rsidP="00FF41B4">
      <w:pPr>
        <w:spacing w:before="0"/>
        <w:jc w:val="both"/>
        <w:rPr>
          <w:rFonts w:asciiTheme="majorHAnsi" w:hAnsiTheme="majorHAnsi"/>
        </w:rPr>
      </w:pPr>
      <w:r w:rsidRPr="0052480C">
        <w:rPr>
          <w:rFonts w:asciiTheme="majorHAnsi" w:hAnsiTheme="majorHAnsi"/>
        </w:rPr>
        <w:br w:type="page"/>
      </w:r>
    </w:p>
    <w:p w14:paraId="113A6502" w14:textId="77777777" w:rsidR="00F312E3" w:rsidRPr="00EB4582" w:rsidRDefault="00F312E3" w:rsidP="00FF41B4">
      <w:pPr>
        <w:pStyle w:val="Heading5"/>
        <w:jc w:val="both"/>
      </w:pPr>
      <w:r w:rsidRPr="0052480C">
        <w:lastRenderedPageBreak/>
        <w:t>Table 1.3: Key features of legislative reporting duties: Australian States and Territories</w:t>
      </w:r>
    </w:p>
    <w:tbl>
      <w:tblPr>
        <w:tblStyle w:val="TableGrid"/>
        <w:tblW w:w="14508" w:type="dxa"/>
        <w:tblLayout w:type="fixed"/>
        <w:tblLook w:val="04A0" w:firstRow="1" w:lastRow="0" w:firstColumn="1" w:lastColumn="0" w:noHBand="0" w:noVBand="1"/>
        <w:tblCaption w:val="Key features of legislative reporting duties: Australian States and Territories"/>
      </w:tblPr>
      <w:tblGrid>
        <w:gridCol w:w="1384"/>
        <w:gridCol w:w="3044"/>
        <w:gridCol w:w="6210"/>
        <w:gridCol w:w="3870"/>
      </w:tblGrid>
      <w:tr w:rsidR="00F312E3" w:rsidRPr="005C2CE0" w14:paraId="69373AB0" w14:textId="77777777" w:rsidTr="00D650B4">
        <w:trPr>
          <w:tblHeader/>
        </w:trPr>
        <w:tc>
          <w:tcPr>
            <w:tcW w:w="1384" w:type="dxa"/>
            <w:shd w:val="clear" w:color="auto" w:fill="D9D9D9" w:themeFill="background1" w:themeFillShade="D9"/>
          </w:tcPr>
          <w:p w14:paraId="0841B660" w14:textId="77777777" w:rsidR="00F312E3" w:rsidRPr="00D650B4" w:rsidRDefault="00F312E3" w:rsidP="00FF41B4">
            <w:pPr>
              <w:pStyle w:val="TableText"/>
              <w:spacing w:line="240" w:lineRule="auto"/>
              <w:rPr>
                <w:rFonts w:asciiTheme="minorHAnsi" w:hAnsiTheme="minorHAnsi"/>
                <w:b/>
                <w:sz w:val="22"/>
                <w:szCs w:val="22"/>
              </w:rPr>
            </w:pPr>
            <w:r w:rsidRPr="00D650B4">
              <w:rPr>
                <w:rFonts w:asciiTheme="minorHAnsi" w:hAnsiTheme="minorHAnsi"/>
                <w:b/>
                <w:sz w:val="22"/>
                <w:szCs w:val="22"/>
              </w:rPr>
              <w:t>Jurisdiction</w:t>
            </w:r>
          </w:p>
        </w:tc>
        <w:tc>
          <w:tcPr>
            <w:tcW w:w="3044" w:type="dxa"/>
            <w:shd w:val="clear" w:color="auto" w:fill="D9D9D9" w:themeFill="background1" w:themeFillShade="D9"/>
          </w:tcPr>
          <w:p w14:paraId="5BFE40A3" w14:textId="77777777" w:rsidR="00F312E3" w:rsidRPr="00D650B4" w:rsidRDefault="00F312E3" w:rsidP="00FF41B4">
            <w:pPr>
              <w:pStyle w:val="TableText"/>
              <w:spacing w:line="240" w:lineRule="auto"/>
              <w:rPr>
                <w:rFonts w:asciiTheme="minorHAnsi" w:hAnsiTheme="minorHAnsi"/>
                <w:b/>
                <w:sz w:val="22"/>
                <w:szCs w:val="22"/>
              </w:rPr>
            </w:pPr>
            <w:r w:rsidRPr="00D650B4">
              <w:rPr>
                <w:rFonts w:asciiTheme="minorHAnsi" w:hAnsiTheme="minorHAnsi"/>
                <w:b/>
                <w:sz w:val="22"/>
                <w:szCs w:val="22"/>
              </w:rPr>
              <w:t>State of mind</w:t>
            </w:r>
          </w:p>
        </w:tc>
        <w:tc>
          <w:tcPr>
            <w:tcW w:w="6210" w:type="dxa"/>
            <w:shd w:val="clear" w:color="auto" w:fill="D9D9D9" w:themeFill="background1" w:themeFillShade="D9"/>
          </w:tcPr>
          <w:p w14:paraId="44029D28" w14:textId="77777777" w:rsidR="00F312E3" w:rsidRPr="00D650B4" w:rsidRDefault="00F312E3" w:rsidP="00FF41B4">
            <w:pPr>
              <w:pStyle w:val="TableText"/>
              <w:spacing w:line="240" w:lineRule="auto"/>
              <w:rPr>
                <w:rFonts w:asciiTheme="minorHAnsi" w:hAnsiTheme="minorHAnsi"/>
                <w:b/>
                <w:sz w:val="22"/>
                <w:szCs w:val="22"/>
              </w:rPr>
            </w:pPr>
            <w:r w:rsidRPr="00D650B4">
              <w:rPr>
                <w:rFonts w:asciiTheme="minorHAnsi" w:hAnsiTheme="minorHAnsi"/>
                <w:b/>
                <w:sz w:val="22"/>
                <w:szCs w:val="22"/>
              </w:rPr>
              <w:t>Extent of harm</w:t>
            </w:r>
          </w:p>
        </w:tc>
        <w:tc>
          <w:tcPr>
            <w:tcW w:w="3870" w:type="dxa"/>
            <w:shd w:val="clear" w:color="auto" w:fill="D9D9D9" w:themeFill="background1" w:themeFillShade="D9"/>
          </w:tcPr>
          <w:p w14:paraId="3353EF9C" w14:textId="77777777" w:rsidR="00F312E3" w:rsidRPr="00D650B4" w:rsidRDefault="00F312E3" w:rsidP="00FF41B4">
            <w:pPr>
              <w:pStyle w:val="TableText"/>
              <w:spacing w:line="240" w:lineRule="auto"/>
              <w:rPr>
                <w:rFonts w:asciiTheme="minorHAnsi" w:hAnsiTheme="minorHAnsi"/>
                <w:b/>
                <w:sz w:val="22"/>
                <w:szCs w:val="22"/>
              </w:rPr>
            </w:pPr>
            <w:r w:rsidRPr="00D650B4">
              <w:rPr>
                <w:rFonts w:asciiTheme="minorHAnsi" w:hAnsiTheme="minorHAnsi"/>
                <w:b/>
                <w:sz w:val="22"/>
                <w:szCs w:val="22"/>
              </w:rPr>
              <w:t>Past and present only /</w:t>
            </w:r>
          </w:p>
          <w:p w14:paraId="361BF29D" w14:textId="77777777" w:rsidR="00F312E3" w:rsidRPr="00D650B4" w:rsidRDefault="00F312E3" w:rsidP="00FF41B4">
            <w:pPr>
              <w:pStyle w:val="TableText"/>
              <w:spacing w:line="240" w:lineRule="auto"/>
              <w:rPr>
                <w:rFonts w:asciiTheme="minorHAnsi" w:hAnsiTheme="minorHAnsi"/>
                <w:b/>
                <w:sz w:val="22"/>
                <w:szCs w:val="22"/>
              </w:rPr>
            </w:pPr>
            <w:r w:rsidRPr="00D650B4">
              <w:rPr>
                <w:rFonts w:asciiTheme="minorHAnsi" w:hAnsiTheme="minorHAnsi"/>
                <w:b/>
                <w:sz w:val="22"/>
                <w:szCs w:val="22"/>
              </w:rPr>
              <w:t>both past and present, and future</w:t>
            </w:r>
          </w:p>
        </w:tc>
      </w:tr>
      <w:tr w:rsidR="00F312E3" w:rsidRPr="005C2CE0" w14:paraId="0E805297" w14:textId="77777777" w:rsidTr="00D650B4">
        <w:tc>
          <w:tcPr>
            <w:tcW w:w="1384" w:type="dxa"/>
          </w:tcPr>
          <w:p w14:paraId="06D360FC"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ACT</w:t>
            </w:r>
          </w:p>
        </w:tc>
        <w:tc>
          <w:tcPr>
            <w:tcW w:w="3044" w:type="dxa"/>
          </w:tcPr>
          <w:p w14:paraId="763C5E5D"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Belief on reasonable grounds</w:t>
            </w:r>
          </w:p>
        </w:tc>
        <w:tc>
          <w:tcPr>
            <w:tcW w:w="6210" w:type="dxa"/>
          </w:tcPr>
          <w:p w14:paraId="04FD062E"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Not specified: ‘sexual abuse…or non-accidental physical injury’</w:t>
            </w:r>
          </w:p>
        </w:tc>
        <w:tc>
          <w:tcPr>
            <w:tcW w:w="3870" w:type="dxa"/>
          </w:tcPr>
          <w:p w14:paraId="79E2D7DE"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Past and present only</w:t>
            </w:r>
          </w:p>
        </w:tc>
      </w:tr>
      <w:tr w:rsidR="00F312E3" w:rsidRPr="005C2CE0" w14:paraId="6BDF09E7" w14:textId="77777777" w:rsidTr="00D650B4">
        <w:trPr>
          <w:trHeight w:val="305"/>
        </w:trPr>
        <w:tc>
          <w:tcPr>
            <w:tcW w:w="1384" w:type="dxa"/>
          </w:tcPr>
          <w:p w14:paraId="6BED36E8"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NSW</w:t>
            </w:r>
          </w:p>
        </w:tc>
        <w:tc>
          <w:tcPr>
            <w:tcW w:w="3044" w:type="dxa"/>
          </w:tcPr>
          <w:p w14:paraId="06604A23"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Suspects on reasonable grounds that a child is at risk of significant harm</w:t>
            </w:r>
          </w:p>
        </w:tc>
        <w:tc>
          <w:tcPr>
            <w:tcW w:w="6210" w:type="dxa"/>
          </w:tcPr>
          <w:p w14:paraId="3708CAE6"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A child or young person ‘is at risk of significant harm if current concerns exist for the safety, welfare or well-being of the child or young person because of the presence, to a significant extent, of… basic physical or psychological needs are not being met…physical or sexual abuse or ill-treatment… serious psychological harm’</w:t>
            </w:r>
          </w:p>
        </w:tc>
        <w:tc>
          <w:tcPr>
            <w:tcW w:w="3870" w:type="dxa"/>
          </w:tcPr>
          <w:p w14:paraId="675CBD82"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Both</w:t>
            </w:r>
          </w:p>
        </w:tc>
      </w:tr>
      <w:tr w:rsidR="00F312E3" w:rsidRPr="005C2CE0" w14:paraId="2D0CF1F6" w14:textId="77777777" w:rsidTr="00D650B4">
        <w:tc>
          <w:tcPr>
            <w:tcW w:w="1384" w:type="dxa"/>
          </w:tcPr>
          <w:p w14:paraId="668BCF69"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NT</w:t>
            </w:r>
          </w:p>
        </w:tc>
        <w:tc>
          <w:tcPr>
            <w:tcW w:w="3044" w:type="dxa"/>
          </w:tcPr>
          <w:p w14:paraId="1CA0EFF3"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Belief on reasonable grounds</w:t>
            </w:r>
          </w:p>
        </w:tc>
        <w:tc>
          <w:tcPr>
            <w:tcW w:w="6210" w:type="dxa"/>
          </w:tcPr>
          <w:p w14:paraId="6521F9F8"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Any significant detrimental effect caused by any act, omission or circumstance on the physical, psychological or emotional wellbeing or development of the child</w:t>
            </w:r>
          </w:p>
        </w:tc>
        <w:tc>
          <w:tcPr>
            <w:tcW w:w="3870" w:type="dxa"/>
          </w:tcPr>
          <w:p w14:paraId="637F7DE0"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Both</w:t>
            </w:r>
          </w:p>
        </w:tc>
      </w:tr>
      <w:tr w:rsidR="00F312E3" w:rsidRPr="005C2CE0" w14:paraId="790C91C7" w14:textId="77777777" w:rsidTr="00D650B4">
        <w:tc>
          <w:tcPr>
            <w:tcW w:w="1384" w:type="dxa"/>
          </w:tcPr>
          <w:p w14:paraId="64AB404F"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QLD</w:t>
            </w:r>
          </w:p>
        </w:tc>
        <w:tc>
          <w:tcPr>
            <w:tcW w:w="3044" w:type="dxa"/>
          </w:tcPr>
          <w:p w14:paraId="18CEFDA7"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Becomes aware, or reasonably suspects</w:t>
            </w:r>
          </w:p>
        </w:tc>
        <w:tc>
          <w:tcPr>
            <w:tcW w:w="6210" w:type="dxa"/>
          </w:tcPr>
          <w:p w14:paraId="57E5B92C"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 xml:space="preserve">Significant detrimental effect on the child’s physical, psychological or emotional wellbeing </w:t>
            </w:r>
          </w:p>
        </w:tc>
        <w:tc>
          <w:tcPr>
            <w:tcW w:w="3870" w:type="dxa"/>
          </w:tcPr>
          <w:p w14:paraId="22FDAE18"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Both</w:t>
            </w:r>
          </w:p>
        </w:tc>
      </w:tr>
      <w:tr w:rsidR="00F312E3" w:rsidRPr="005C2CE0" w14:paraId="35387E32" w14:textId="77777777" w:rsidTr="00D650B4">
        <w:tc>
          <w:tcPr>
            <w:tcW w:w="1384" w:type="dxa"/>
          </w:tcPr>
          <w:p w14:paraId="72416EEF"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SA</w:t>
            </w:r>
          </w:p>
        </w:tc>
        <w:tc>
          <w:tcPr>
            <w:tcW w:w="3044" w:type="dxa"/>
          </w:tcPr>
          <w:p w14:paraId="5349B98A"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Suspects on reasonable grounds</w:t>
            </w:r>
          </w:p>
        </w:tc>
        <w:tc>
          <w:tcPr>
            <w:tcW w:w="6210" w:type="dxa"/>
          </w:tcPr>
          <w:p w14:paraId="4E5FC091"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Any sexual abuse; physical or psychological abuse or neglect to extent that to the extent that the child ‘has suffered, or is likely to suffer, physical or psychological injury detrimental to the child's wellbeing; or the child's physical or psychological development is in jeopardy’</w:t>
            </w:r>
          </w:p>
        </w:tc>
        <w:tc>
          <w:tcPr>
            <w:tcW w:w="3870" w:type="dxa"/>
          </w:tcPr>
          <w:p w14:paraId="4A6B67EC"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Past and present only</w:t>
            </w:r>
            <w:r w:rsidRPr="00D650B4">
              <w:rPr>
                <w:rStyle w:val="FootnoteReference"/>
                <w:rFonts w:asciiTheme="minorHAnsi" w:hAnsiTheme="minorHAnsi"/>
                <w:sz w:val="22"/>
                <w:szCs w:val="22"/>
              </w:rPr>
              <w:t xml:space="preserve"> </w:t>
            </w:r>
            <w:r w:rsidRPr="00D650B4">
              <w:rPr>
                <w:rStyle w:val="FootnoteReference"/>
                <w:rFonts w:asciiTheme="minorHAnsi" w:hAnsiTheme="minorHAnsi"/>
                <w:sz w:val="22"/>
                <w:szCs w:val="22"/>
              </w:rPr>
              <w:footnoteReference w:id="12"/>
            </w:r>
          </w:p>
          <w:p w14:paraId="157E9C22" w14:textId="77777777" w:rsidR="00F312E3" w:rsidRPr="00D650B4" w:rsidRDefault="00F312E3" w:rsidP="00FF41B4">
            <w:pPr>
              <w:pStyle w:val="TableText"/>
              <w:spacing w:line="240" w:lineRule="auto"/>
              <w:rPr>
                <w:rFonts w:asciiTheme="minorHAnsi" w:hAnsiTheme="minorHAnsi"/>
                <w:sz w:val="22"/>
                <w:szCs w:val="22"/>
              </w:rPr>
            </w:pPr>
          </w:p>
        </w:tc>
      </w:tr>
      <w:tr w:rsidR="00F312E3" w:rsidRPr="005C2CE0" w14:paraId="6AB1AB30" w14:textId="77777777" w:rsidTr="00D650B4">
        <w:tc>
          <w:tcPr>
            <w:tcW w:w="1384" w:type="dxa"/>
          </w:tcPr>
          <w:p w14:paraId="534E26B2"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TAS</w:t>
            </w:r>
          </w:p>
        </w:tc>
        <w:tc>
          <w:tcPr>
            <w:tcW w:w="3044" w:type="dxa"/>
          </w:tcPr>
          <w:p w14:paraId="782F4F08"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Believes, or suspects, on reasonable grounds, or knows</w:t>
            </w:r>
          </w:p>
        </w:tc>
        <w:tc>
          <w:tcPr>
            <w:tcW w:w="6210" w:type="dxa"/>
          </w:tcPr>
          <w:p w14:paraId="49F7D3FA"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 xml:space="preserve">Any sexual abuse; physical or emotional injury or other abuse, or neglect, to extent that the child has suffered, or is likely to suffer, </w:t>
            </w:r>
            <w:r w:rsidRPr="00D650B4">
              <w:rPr>
                <w:rFonts w:asciiTheme="minorHAnsi" w:hAnsiTheme="minorHAnsi"/>
                <w:sz w:val="22"/>
                <w:szCs w:val="22"/>
              </w:rPr>
              <w:lastRenderedPageBreak/>
              <w:t>physical or psychological harm detrimental to the child's wellbeing; or the child's physical or psychological development is in jeopardy</w:t>
            </w:r>
          </w:p>
        </w:tc>
        <w:tc>
          <w:tcPr>
            <w:tcW w:w="3870" w:type="dxa"/>
          </w:tcPr>
          <w:p w14:paraId="438BF137"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lastRenderedPageBreak/>
              <w:t>Past and present only</w:t>
            </w:r>
            <w:r w:rsidRPr="00D650B4">
              <w:rPr>
                <w:rStyle w:val="FootnoteReference"/>
                <w:rFonts w:asciiTheme="minorHAnsi" w:hAnsiTheme="minorHAnsi"/>
                <w:sz w:val="22"/>
                <w:szCs w:val="22"/>
              </w:rPr>
              <w:t xml:space="preserve"> </w:t>
            </w:r>
            <w:r w:rsidRPr="00D650B4">
              <w:rPr>
                <w:rStyle w:val="FootnoteReference"/>
                <w:rFonts w:asciiTheme="minorHAnsi" w:hAnsiTheme="minorHAnsi"/>
                <w:sz w:val="22"/>
                <w:szCs w:val="22"/>
              </w:rPr>
              <w:footnoteReference w:id="13"/>
            </w:r>
          </w:p>
        </w:tc>
      </w:tr>
      <w:tr w:rsidR="00F312E3" w:rsidRPr="005C2CE0" w14:paraId="7B8EDA69" w14:textId="77777777" w:rsidTr="00D650B4">
        <w:tc>
          <w:tcPr>
            <w:tcW w:w="1384" w:type="dxa"/>
          </w:tcPr>
          <w:p w14:paraId="3D0132F8"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lastRenderedPageBreak/>
              <w:t>VIC</w:t>
            </w:r>
          </w:p>
        </w:tc>
        <w:tc>
          <w:tcPr>
            <w:tcW w:w="3044" w:type="dxa"/>
          </w:tcPr>
          <w:p w14:paraId="720D2876"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 xml:space="preserve">Belief on reasonable grounds (both regarding the child’s injury or abuse, </w:t>
            </w:r>
            <w:r w:rsidRPr="00D650B4">
              <w:rPr>
                <w:rFonts w:asciiTheme="minorHAnsi" w:hAnsiTheme="minorHAnsi"/>
                <w:i/>
                <w:sz w:val="22"/>
                <w:szCs w:val="22"/>
              </w:rPr>
              <w:t>and</w:t>
            </w:r>
            <w:r w:rsidRPr="00D650B4">
              <w:rPr>
                <w:rFonts w:asciiTheme="minorHAnsi" w:hAnsiTheme="minorHAnsi"/>
                <w:sz w:val="22"/>
                <w:szCs w:val="22"/>
              </w:rPr>
              <w:t xml:space="preserve"> the presence of a protective parent)</w:t>
            </w:r>
          </w:p>
        </w:tc>
        <w:tc>
          <w:tcPr>
            <w:tcW w:w="6210" w:type="dxa"/>
          </w:tcPr>
          <w:p w14:paraId="7DD624EF"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Child has suffered, or is likely to suffer, significant harm as a result of physical injury or sexual abuse and the child's parents have not protected, or are unlikely to protect, the child from harm of that type</w:t>
            </w:r>
          </w:p>
        </w:tc>
        <w:tc>
          <w:tcPr>
            <w:tcW w:w="3870" w:type="dxa"/>
          </w:tcPr>
          <w:p w14:paraId="1B53DE96"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Both</w:t>
            </w:r>
          </w:p>
        </w:tc>
      </w:tr>
      <w:tr w:rsidR="00F312E3" w:rsidRPr="005C2CE0" w14:paraId="012ACB8E" w14:textId="77777777" w:rsidTr="00D650B4">
        <w:tc>
          <w:tcPr>
            <w:tcW w:w="1384" w:type="dxa"/>
          </w:tcPr>
          <w:p w14:paraId="325DD7A5"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WA</w:t>
            </w:r>
          </w:p>
        </w:tc>
        <w:tc>
          <w:tcPr>
            <w:tcW w:w="3044" w:type="dxa"/>
          </w:tcPr>
          <w:p w14:paraId="5526A530"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Belief on reasonable grounds</w:t>
            </w:r>
          </w:p>
        </w:tc>
        <w:tc>
          <w:tcPr>
            <w:tcW w:w="6210" w:type="dxa"/>
          </w:tcPr>
          <w:p w14:paraId="469C10E2"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Not specified: any sexual abuse</w:t>
            </w:r>
          </w:p>
        </w:tc>
        <w:tc>
          <w:tcPr>
            <w:tcW w:w="3870" w:type="dxa"/>
          </w:tcPr>
          <w:p w14:paraId="6C407DE6"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Past and present only</w:t>
            </w:r>
          </w:p>
        </w:tc>
      </w:tr>
      <w:tr w:rsidR="00F312E3" w:rsidRPr="005C2CE0" w14:paraId="54079318" w14:textId="77777777" w:rsidTr="00D650B4">
        <w:tc>
          <w:tcPr>
            <w:tcW w:w="1384" w:type="dxa"/>
          </w:tcPr>
          <w:p w14:paraId="61CFC8BF" w14:textId="77777777" w:rsidR="00F312E3" w:rsidRPr="00D650B4" w:rsidRDefault="00F312E3" w:rsidP="00FF41B4">
            <w:pPr>
              <w:pStyle w:val="TableText"/>
              <w:spacing w:line="240" w:lineRule="auto"/>
              <w:rPr>
                <w:rFonts w:asciiTheme="minorHAnsi" w:hAnsiTheme="minorHAnsi"/>
                <w:sz w:val="22"/>
                <w:szCs w:val="22"/>
              </w:rPr>
            </w:pPr>
            <w:proofErr w:type="spellStart"/>
            <w:r w:rsidRPr="00D650B4">
              <w:rPr>
                <w:rFonts w:asciiTheme="minorHAnsi" w:hAnsiTheme="minorHAnsi"/>
                <w:sz w:val="22"/>
                <w:szCs w:val="22"/>
              </w:rPr>
              <w:t>Cth</w:t>
            </w:r>
            <w:proofErr w:type="spellEnd"/>
          </w:p>
        </w:tc>
        <w:tc>
          <w:tcPr>
            <w:tcW w:w="3044" w:type="dxa"/>
          </w:tcPr>
          <w:p w14:paraId="7B553022"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Suspects on reasonable grounds</w:t>
            </w:r>
          </w:p>
        </w:tc>
        <w:tc>
          <w:tcPr>
            <w:tcW w:w="6210" w:type="dxa"/>
          </w:tcPr>
          <w:p w14:paraId="0E249179"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Not specified: any assault or sexual assault; serious psychological harm; serious neglect</w:t>
            </w:r>
          </w:p>
        </w:tc>
        <w:tc>
          <w:tcPr>
            <w:tcW w:w="3870" w:type="dxa"/>
          </w:tcPr>
          <w:p w14:paraId="2BED9205" w14:textId="77777777" w:rsidR="00F312E3" w:rsidRPr="00D650B4" w:rsidRDefault="00F312E3" w:rsidP="00FF41B4">
            <w:pPr>
              <w:pStyle w:val="TableText"/>
              <w:spacing w:line="240" w:lineRule="auto"/>
              <w:rPr>
                <w:rFonts w:asciiTheme="minorHAnsi" w:hAnsiTheme="minorHAnsi"/>
                <w:sz w:val="22"/>
                <w:szCs w:val="22"/>
              </w:rPr>
            </w:pPr>
            <w:r w:rsidRPr="00D650B4">
              <w:rPr>
                <w:rFonts w:asciiTheme="minorHAnsi" w:hAnsiTheme="minorHAnsi"/>
                <w:sz w:val="22"/>
                <w:szCs w:val="22"/>
              </w:rPr>
              <w:t xml:space="preserve">Both </w:t>
            </w:r>
          </w:p>
        </w:tc>
      </w:tr>
    </w:tbl>
    <w:p w14:paraId="41A2F249" w14:textId="77777777" w:rsidR="00F312E3" w:rsidRDefault="00F312E3" w:rsidP="00FF41B4">
      <w:pPr>
        <w:pStyle w:val="Heading5"/>
        <w:jc w:val="both"/>
        <w:sectPr w:rsidR="00F312E3" w:rsidSect="00D650B4">
          <w:pgSz w:w="16840" w:h="11900" w:orient="landscape"/>
          <w:pgMar w:top="1134" w:right="1134" w:bottom="1134" w:left="1134" w:header="708" w:footer="708" w:gutter="0"/>
          <w:cols w:space="708"/>
          <w:docGrid w:linePitch="360"/>
        </w:sectPr>
      </w:pPr>
    </w:p>
    <w:p w14:paraId="2335A9F2" w14:textId="77777777" w:rsidR="00F312E3" w:rsidRDefault="00F312E3" w:rsidP="00FF41B4">
      <w:pPr>
        <w:pStyle w:val="Heading5"/>
        <w:jc w:val="both"/>
      </w:pPr>
      <w:r w:rsidRPr="0052480C">
        <w:lastRenderedPageBreak/>
        <w:t>Table 1.4: Legislation containing reporting duties and key provisions: Australian States and Territories</w:t>
      </w:r>
      <w:r>
        <w:t>*</w:t>
      </w:r>
    </w:p>
    <w:p w14:paraId="5CC57112" w14:textId="77777777" w:rsidR="00F312E3" w:rsidRPr="00EB4582" w:rsidRDefault="00F312E3" w:rsidP="00FF41B4">
      <w:pPr>
        <w:jc w:val="both"/>
      </w:pPr>
    </w:p>
    <w:tbl>
      <w:tblPr>
        <w:tblStyle w:val="TableGrid"/>
        <w:tblW w:w="14508" w:type="dxa"/>
        <w:tblLook w:val="04A0" w:firstRow="1" w:lastRow="0" w:firstColumn="1" w:lastColumn="0" w:noHBand="0" w:noVBand="1"/>
        <w:tblCaption w:val="Legislation containing reporting duties and key provisions: Australian States and Territories"/>
      </w:tblPr>
      <w:tblGrid>
        <w:gridCol w:w="1766"/>
        <w:gridCol w:w="12742"/>
      </w:tblGrid>
      <w:tr w:rsidR="00F312E3" w:rsidRPr="005C2CE0" w14:paraId="3AE8A184" w14:textId="77777777" w:rsidTr="00D650B4">
        <w:trPr>
          <w:tblHeader/>
        </w:trPr>
        <w:tc>
          <w:tcPr>
            <w:tcW w:w="1766" w:type="dxa"/>
            <w:shd w:val="clear" w:color="auto" w:fill="D9D9D9" w:themeFill="background1" w:themeFillShade="D9"/>
          </w:tcPr>
          <w:p w14:paraId="1D8F964F" w14:textId="77777777" w:rsidR="00F312E3" w:rsidRPr="006B0113" w:rsidRDefault="00F312E3" w:rsidP="00FF41B4">
            <w:pPr>
              <w:pStyle w:val="TableText"/>
              <w:rPr>
                <w:b/>
                <w:sz w:val="22"/>
                <w:szCs w:val="22"/>
              </w:rPr>
            </w:pPr>
            <w:r w:rsidRPr="006B0113">
              <w:rPr>
                <w:b/>
                <w:sz w:val="22"/>
                <w:szCs w:val="22"/>
              </w:rPr>
              <w:t>Jurisdiction</w:t>
            </w:r>
          </w:p>
        </w:tc>
        <w:tc>
          <w:tcPr>
            <w:tcW w:w="12742" w:type="dxa"/>
            <w:shd w:val="clear" w:color="auto" w:fill="D9D9D9" w:themeFill="background1" w:themeFillShade="D9"/>
          </w:tcPr>
          <w:p w14:paraId="28861537" w14:textId="77777777" w:rsidR="00F312E3" w:rsidRPr="006B0113" w:rsidRDefault="00F312E3" w:rsidP="00FF41B4">
            <w:pPr>
              <w:pStyle w:val="TableText"/>
              <w:rPr>
                <w:b/>
                <w:sz w:val="22"/>
                <w:szCs w:val="22"/>
              </w:rPr>
            </w:pPr>
            <w:r w:rsidRPr="006B0113">
              <w:rPr>
                <w:b/>
                <w:sz w:val="22"/>
                <w:szCs w:val="22"/>
              </w:rPr>
              <w:t>Legislation</w:t>
            </w:r>
          </w:p>
        </w:tc>
      </w:tr>
      <w:tr w:rsidR="00F312E3" w:rsidRPr="00D650B4" w14:paraId="787D78A3" w14:textId="77777777" w:rsidTr="00D650B4">
        <w:trPr>
          <w:trHeight w:val="179"/>
        </w:trPr>
        <w:tc>
          <w:tcPr>
            <w:tcW w:w="1766" w:type="dxa"/>
          </w:tcPr>
          <w:p w14:paraId="09892A2F"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ACT</w:t>
            </w:r>
          </w:p>
        </w:tc>
        <w:tc>
          <w:tcPr>
            <w:tcW w:w="12742" w:type="dxa"/>
          </w:tcPr>
          <w:p w14:paraId="6E240FC2"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Children and Young People Act 2008 (ACT) s 356</w:t>
            </w:r>
          </w:p>
        </w:tc>
      </w:tr>
      <w:tr w:rsidR="00F312E3" w:rsidRPr="00D650B4" w14:paraId="47E58E7B" w14:textId="77777777" w:rsidTr="00D650B4">
        <w:trPr>
          <w:trHeight w:val="161"/>
        </w:trPr>
        <w:tc>
          <w:tcPr>
            <w:tcW w:w="1766" w:type="dxa"/>
          </w:tcPr>
          <w:p w14:paraId="008A0C77"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NSW</w:t>
            </w:r>
          </w:p>
        </w:tc>
        <w:tc>
          <w:tcPr>
            <w:tcW w:w="12742" w:type="dxa"/>
          </w:tcPr>
          <w:p w14:paraId="4B0CDF76"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bCs/>
                <w:sz w:val="22"/>
                <w:szCs w:val="22"/>
              </w:rPr>
              <w:t xml:space="preserve">Children and Young Persons (Care and Protection) Act 1998 (NSW) </w:t>
            </w:r>
            <w:proofErr w:type="spellStart"/>
            <w:r w:rsidRPr="00D650B4">
              <w:rPr>
                <w:rFonts w:asciiTheme="minorHAnsi" w:hAnsiTheme="minorHAnsi"/>
                <w:sz w:val="22"/>
                <w:szCs w:val="22"/>
              </w:rPr>
              <w:t>ss</w:t>
            </w:r>
            <w:proofErr w:type="spellEnd"/>
            <w:r w:rsidRPr="00D650B4">
              <w:rPr>
                <w:rFonts w:asciiTheme="minorHAnsi" w:hAnsiTheme="minorHAnsi"/>
                <w:sz w:val="22"/>
                <w:szCs w:val="22"/>
              </w:rPr>
              <w:t xml:space="preserve"> 23, 27</w:t>
            </w:r>
          </w:p>
        </w:tc>
      </w:tr>
      <w:tr w:rsidR="00F312E3" w:rsidRPr="00D650B4" w14:paraId="171A3EE9" w14:textId="77777777" w:rsidTr="00D650B4">
        <w:trPr>
          <w:trHeight w:val="215"/>
        </w:trPr>
        <w:tc>
          <w:tcPr>
            <w:tcW w:w="1766" w:type="dxa"/>
          </w:tcPr>
          <w:p w14:paraId="4C97D71B"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NT</w:t>
            </w:r>
          </w:p>
        </w:tc>
        <w:tc>
          <w:tcPr>
            <w:tcW w:w="12742" w:type="dxa"/>
          </w:tcPr>
          <w:p w14:paraId="7823F927"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 xml:space="preserve">Care and Protection of Children Act (NT) </w:t>
            </w:r>
            <w:proofErr w:type="spellStart"/>
            <w:r w:rsidRPr="00D650B4">
              <w:rPr>
                <w:rFonts w:asciiTheme="minorHAnsi" w:hAnsiTheme="minorHAnsi"/>
                <w:sz w:val="22"/>
                <w:szCs w:val="22"/>
              </w:rPr>
              <w:t>ss</w:t>
            </w:r>
            <w:proofErr w:type="spellEnd"/>
            <w:r w:rsidRPr="00D650B4">
              <w:rPr>
                <w:rFonts w:asciiTheme="minorHAnsi" w:hAnsiTheme="minorHAnsi"/>
                <w:sz w:val="22"/>
                <w:szCs w:val="22"/>
              </w:rPr>
              <w:t xml:space="preserve"> 15, 16, 26</w:t>
            </w:r>
          </w:p>
        </w:tc>
      </w:tr>
      <w:tr w:rsidR="00F312E3" w:rsidRPr="00D650B4" w14:paraId="6F74531A" w14:textId="77777777" w:rsidTr="00D650B4">
        <w:tc>
          <w:tcPr>
            <w:tcW w:w="1766" w:type="dxa"/>
          </w:tcPr>
          <w:p w14:paraId="64EC404B"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QLD</w:t>
            </w:r>
          </w:p>
        </w:tc>
        <w:tc>
          <w:tcPr>
            <w:tcW w:w="12742" w:type="dxa"/>
          </w:tcPr>
          <w:p w14:paraId="566B5A4E"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Public Health Act 2005 (</w:t>
            </w:r>
            <w:proofErr w:type="spellStart"/>
            <w:r w:rsidRPr="00D650B4">
              <w:rPr>
                <w:rFonts w:asciiTheme="minorHAnsi" w:hAnsiTheme="minorHAnsi"/>
                <w:sz w:val="22"/>
                <w:szCs w:val="22"/>
              </w:rPr>
              <w:t>Qld</w:t>
            </w:r>
            <w:proofErr w:type="spellEnd"/>
            <w:r w:rsidRPr="00D650B4">
              <w:rPr>
                <w:rFonts w:asciiTheme="minorHAnsi" w:hAnsiTheme="minorHAnsi"/>
                <w:sz w:val="22"/>
                <w:szCs w:val="22"/>
              </w:rPr>
              <w:t xml:space="preserve">) </w:t>
            </w:r>
            <w:proofErr w:type="spellStart"/>
            <w:r w:rsidRPr="00D650B4">
              <w:rPr>
                <w:rFonts w:asciiTheme="minorHAnsi" w:hAnsiTheme="minorHAnsi"/>
                <w:sz w:val="22"/>
                <w:szCs w:val="22"/>
              </w:rPr>
              <w:t>ss</w:t>
            </w:r>
            <w:proofErr w:type="spellEnd"/>
            <w:r w:rsidRPr="00D650B4">
              <w:rPr>
                <w:rFonts w:asciiTheme="minorHAnsi" w:hAnsiTheme="minorHAnsi"/>
                <w:sz w:val="22"/>
                <w:szCs w:val="22"/>
              </w:rPr>
              <w:t xml:space="preserve"> 158, 191; Education (General Provisions) Act 2006 (</w:t>
            </w:r>
            <w:proofErr w:type="spellStart"/>
            <w:r w:rsidRPr="00D650B4">
              <w:rPr>
                <w:rFonts w:asciiTheme="minorHAnsi" w:hAnsiTheme="minorHAnsi"/>
                <w:sz w:val="22"/>
                <w:szCs w:val="22"/>
              </w:rPr>
              <w:t>Qld</w:t>
            </w:r>
            <w:proofErr w:type="spellEnd"/>
            <w:r w:rsidRPr="00D650B4">
              <w:rPr>
                <w:rFonts w:asciiTheme="minorHAnsi" w:hAnsiTheme="minorHAnsi"/>
                <w:sz w:val="22"/>
                <w:szCs w:val="22"/>
              </w:rPr>
              <w:t xml:space="preserve">) </w:t>
            </w:r>
            <w:proofErr w:type="spellStart"/>
            <w:r w:rsidRPr="00D650B4">
              <w:rPr>
                <w:rFonts w:asciiTheme="minorHAnsi" w:hAnsiTheme="minorHAnsi"/>
                <w:sz w:val="22"/>
                <w:szCs w:val="22"/>
              </w:rPr>
              <w:t>ss</w:t>
            </w:r>
            <w:proofErr w:type="spellEnd"/>
            <w:r w:rsidRPr="00D650B4">
              <w:rPr>
                <w:rFonts w:asciiTheme="minorHAnsi" w:hAnsiTheme="minorHAnsi"/>
                <w:sz w:val="22"/>
                <w:szCs w:val="22"/>
              </w:rPr>
              <w:t xml:space="preserve"> 364-366A; Child Protection Act 1999 (</w:t>
            </w:r>
            <w:proofErr w:type="spellStart"/>
            <w:r w:rsidRPr="00D650B4">
              <w:rPr>
                <w:rFonts w:asciiTheme="minorHAnsi" w:hAnsiTheme="minorHAnsi"/>
                <w:sz w:val="22"/>
                <w:szCs w:val="22"/>
              </w:rPr>
              <w:t>Qld</w:t>
            </w:r>
            <w:proofErr w:type="spellEnd"/>
            <w:r w:rsidRPr="00D650B4">
              <w:rPr>
                <w:rFonts w:asciiTheme="minorHAnsi" w:hAnsiTheme="minorHAnsi"/>
                <w:sz w:val="22"/>
                <w:szCs w:val="22"/>
              </w:rPr>
              <w:t xml:space="preserve">) </w:t>
            </w:r>
            <w:proofErr w:type="spellStart"/>
            <w:r w:rsidRPr="00D650B4">
              <w:rPr>
                <w:rFonts w:asciiTheme="minorHAnsi" w:hAnsiTheme="minorHAnsi"/>
                <w:sz w:val="22"/>
                <w:szCs w:val="22"/>
              </w:rPr>
              <w:t>ss</w:t>
            </w:r>
            <w:proofErr w:type="spellEnd"/>
            <w:r w:rsidRPr="00D650B4">
              <w:rPr>
                <w:rFonts w:asciiTheme="minorHAnsi" w:hAnsiTheme="minorHAnsi"/>
                <w:sz w:val="22"/>
                <w:szCs w:val="22"/>
              </w:rPr>
              <w:t xml:space="preserve"> 22, 186</w:t>
            </w:r>
          </w:p>
        </w:tc>
      </w:tr>
      <w:tr w:rsidR="00F312E3" w:rsidRPr="00D650B4" w14:paraId="78C46E86" w14:textId="77777777" w:rsidTr="00D650B4">
        <w:trPr>
          <w:trHeight w:val="179"/>
        </w:trPr>
        <w:tc>
          <w:tcPr>
            <w:tcW w:w="1766" w:type="dxa"/>
          </w:tcPr>
          <w:p w14:paraId="5CA4F472"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SA</w:t>
            </w:r>
          </w:p>
        </w:tc>
        <w:tc>
          <w:tcPr>
            <w:tcW w:w="12742" w:type="dxa"/>
          </w:tcPr>
          <w:p w14:paraId="3F4297C0"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bCs/>
                <w:color w:val="000000"/>
                <w:sz w:val="22"/>
                <w:szCs w:val="22"/>
              </w:rPr>
              <w:t xml:space="preserve">Children’s Protection Act 1993 (SA) </w:t>
            </w:r>
            <w:proofErr w:type="spellStart"/>
            <w:r w:rsidRPr="00D650B4">
              <w:rPr>
                <w:rFonts w:asciiTheme="minorHAnsi" w:hAnsiTheme="minorHAnsi"/>
                <w:sz w:val="22"/>
                <w:szCs w:val="22"/>
              </w:rPr>
              <w:t>ss</w:t>
            </w:r>
            <w:proofErr w:type="spellEnd"/>
            <w:r w:rsidRPr="00D650B4">
              <w:rPr>
                <w:rFonts w:asciiTheme="minorHAnsi" w:hAnsiTheme="minorHAnsi"/>
                <w:sz w:val="22"/>
                <w:szCs w:val="22"/>
              </w:rPr>
              <w:t xml:space="preserve"> 6, 10, 11</w:t>
            </w:r>
          </w:p>
        </w:tc>
      </w:tr>
      <w:tr w:rsidR="00F312E3" w:rsidRPr="00D650B4" w14:paraId="3D4307C6" w14:textId="77777777" w:rsidTr="00D650B4">
        <w:tc>
          <w:tcPr>
            <w:tcW w:w="1766" w:type="dxa"/>
          </w:tcPr>
          <w:p w14:paraId="22D0F95A"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TAS</w:t>
            </w:r>
          </w:p>
        </w:tc>
        <w:tc>
          <w:tcPr>
            <w:tcW w:w="12742" w:type="dxa"/>
          </w:tcPr>
          <w:p w14:paraId="45FAB01C"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bCs/>
                <w:color w:val="000000"/>
                <w:sz w:val="22"/>
                <w:szCs w:val="22"/>
              </w:rPr>
              <w:t>Children</w:t>
            </w:r>
            <w:r w:rsidRPr="00D650B4">
              <w:rPr>
                <w:rFonts w:asciiTheme="minorHAnsi" w:hAnsiTheme="minorHAnsi"/>
                <w:bCs/>
                <w:sz w:val="22"/>
                <w:szCs w:val="22"/>
              </w:rPr>
              <w:t>, Young Persons and Their Families Act 1997 (</w:t>
            </w:r>
            <w:proofErr w:type="spellStart"/>
            <w:r w:rsidRPr="00D650B4">
              <w:rPr>
                <w:rFonts w:asciiTheme="minorHAnsi" w:hAnsiTheme="minorHAnsi"/>
                <w:bCs/>
                <w:sz w:val="22"/>
                <w:szCs w:val="22"/>
              </w:rPr>
              <w:t>Tas</w:t>
            </w:r>
            <w:proofErr w:type="spellEnd"/>
            <w:r w:rsidRPr="00D650B4">
              <w:rPr>
                <w:rFonts w:asciiTheme="minorHAnsi" w:hAnsiTheme="minorHAnsi"/>
                <w:bCs/>
                <w:sz w:val="22"/>
                <w:szCs w:val="22"/>
              </w:rPr>
              <w:t xml:space="preserve">) </w:t>
            </w:r>
            <w:proofErr w:type="spellStart"/>
            <w:r w:rsidRPr="00D650B4">
              <w:rPr>
                <w:rFonts w:asciiTheme="minorHAnsi" w:hAnsiTheme="minorHAnsi"/>
                <w:sz w:val="22"/>
                <w:szCs w:val="22"/>
              </w:rPr>
              <w:t>ss</w:t>
            </w:r>
            <w:proofErr w:type="spellEnd"/>
            <w:r w:rsidRPr="00D650B4">
              <w:rPr>
                <w:rFonts w:asciiTheme="minorHAnsi" w:hAnsiTheme="minorHAnsi"/>
                <w:sz w:val="22"/>
                <w:szCs w:val="22"/>
              </w:rPr>
              <w:t xml:space="preserve"> 3, 4, 14</w:t>
            </w:r>
          </w:p>
        </w:tc>
      </w:tr>
      <w:tr w:rsidR="00F312E3" w:rsidRPr="00D650B4" w14:paraId="3DA4AF7E" w14:textId="77777777" w:rsidTr="00D650B4">
        <w:tc>
          <w:tcPr>
            <w:tcW w:w="1766" w:type="dxa"/>
          </w:tcPr>
          <w:p w14:paraId="4F8E1C75"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VIC</w:t>
            </w:r>
          </w:p>
        </w:tc>
        <w:tc>
          <w:tcPr>
            <w:tcW w:w="12742" w:type="dxa"/>
          </w:tcPr>
          <w:p w14:paraId="19E69311"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bCs/>
                <w:sz w:val="22"/>
                <w:szCs w:val="22"/>
              </w:rPr>
              <w:t xml:space="preserve">Children, Youth and Families Act 2005 (Vic) </w:t>
            </w:r>
            <w:proofErr w:type="spellStart"/>
            <w:r w:rsidRPr="00D650B4">
              <w:rPr>
                <w:rFonts w:asciiTheme="minorHAnsi" w:hAnsiTheme="minorHAnsi"/>
                <w:sz w:val="22"/>
                <w:szCs w:val="22"/>
              </w:rPr>
              <w:t>ss</w:t>
            </w:r>
            <w:proofErr w:type="spellEnd"/>
            <w:r w:rsidRPr="00D650B4">
              <w:rPr>
                <w:rFonts w:asciiTheme="minorHAnsi" w:hAnsiTheme="minorHAnsi"/>
                <w:sz w:val="22"/>
                <w:szCs w:val="22"/>
              </w:rPr>
              <w:t xml:space="preserve"> 162, 182, 184</w:t>
            </w:r>
          </w:p>
        </w:tc>
      </w:tr>
      <w:tr w:rsidR="00F312E3" w:rsidRPr="00D650B4" w14:paraId="6168ECDD" w14:textId="77777777" w:rsidTr="00D650B4">
        <w:tc>
          <w:tcPr>
            <w:tcW w:w="1766" w:type="dxa"/>
          </w:tcPr>
          <w:p w14:paraId="71ED5714"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WA</w:t>
            </w:r>
          </w:p>
        </w:tc>
        <w:tc>
          <w:tcPr>
            <w:tcW w:w="12742" w:type="dxa"/>
          </w:tcPr>
          <w:p w14:paraId="39328018"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bCs/>
                <w:sz w:val="22"/>
                <w:szCs w:val="22"/>
              </w:rPr>
              <w:t xml:space="preserve">Children and Community Services Act 2004 (WA) </w:t>
            </w:r>
            <w:proofErr w:type="spellStart"/>
            <w:r w:rsidRPr="00D650B4">
              <w:rPr>
                <w:rFonts w:asciiTheme="minorHAnsi" w:hAnsiTheme="minorHAnsi"/>
                <w:bCs/>
                <w:sz w:val="22"/>
                <w:szCs w:val="22"/>
              </w:rPr>
              <w:t>ss</w:t>
            </w:r>
            <w:proofErr w:type="spellEnd"/>
            <w:r w:rsidRPr="00D650B4">
              <w:rPr>
                <w:rFonts w:asciiTheme="minorHAnsi" w:hAnsiTheme="minorHAnsi"/>
                <w:bCs/>
                <w:sz w:val="22"/>
                <w:szCs w:val="22"/>
              </w:rPr>
              <w:t xml:space="preserve"> 124A-H</w:t>
            </w:r>
          </w:p>
        </w:tc>
      </w:tr>
      <w:tr w:rsidR="00F312E3" w:rsidRPr="00D650B4" w14:paraId="5FEEE0FB" w14:textId="77777777" w:rsidTr="00D650B4">
        <w:tc>
          <w:tcPr>
            <w:tcW w:w="1766" w:type="dxa"/>
          </w:tcPr>
          <w:p w14:paraId="1153B374"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sz w:val="22"/>
                <w:szCs w:val="22"/>
              </w:rPr>
              <w:t>Commonwealth</w:t>
            </w:r>
          </w:p>
        </w:tc>
        <w:tc>
          <w:tcPr>
            <w:tcW w:w="12742" w:type="dxa"/>
          </w:tcPr>
          <w:p w14:paraId="53182276" w14:textId="77777777" w:rsidR="00F312E3" w:rsidRPr="00D650B4" w:rsidRDefault="00F312E3" w:rsidP="00FF41B4">
            <w:pPr>
              <w:pStyle w:val="TableText"/>
              <w:rPr>
                <w:rFonts w:asciiTheme="minorHAnsi" w:hAnsiTheme="minorHAnsi"/>
                <w:sz w:val="22"/>
                <w:szCs w:val="22"/>
              </w:rPr>
            </w:pPr>
            <w:r w:rsidRPr="00D650B4">
              <w:rPr>
                <w:rFonts w:asciiTheme="minorHAnsi" w:hAnsiTheme="minorHAnsi"/>
                <w:bCs/>
                <w:sz w:val="22"/>
                <w:szCs w:val="22"/>
              </w:rPr>
              <w:t>Family Law Act 1975 (</w:t>
            </w:r>
            <w:proofErr w:type="spellStart"/>
            <w:r w:rsidRPr="00D650B4">
              <w:rPr>
                <w:rFonts w:asciiTheme="minorHAnsi" w:hAnsiTheme="minorHAnsi"/>
                <w:bCs/>
                <w:sz w:val="22"/>
                <w:szCs w:val="22"/>
              </w:rPr>
              <w:t>Cth</w:t>
            </w:r>
            <w:proofErr w:type="spellEnd"/>
            <w:r w:rsidRPr="00D650B4">
              <w:rPr>
                <w:rFonts w:asciiTheme="minorHAnsi" w:hAnsiTheme="minorHAnsi"/>
                <w:bCs/>
                <w:sz w:val="22"/>
                <w:szCs w:val="22"/>
              </w:rPr>
              <w:t xml:space="preserve">) </w:t>
            </w:r>
            <w:proofErr w:type="spellStart"/>
            <w:r w:rsidRPr="00D650B4">
              <w:rPr>
                <w:rFonts w:asciiTheme="minorHAnsi" w:hAnsiTheme="minorHAnsi"/>
                <w:bCs/>
                <w:sz w:val="22"/>
                <w:szCs w:val="22"/>
              </w:rPr>
              <w:t>ss</w:t>
            </w:r>
            <w:proofErr w:type="spellEnd"/>
            <w:r w:rsidRPr="00D650B4">
              <w:rPr>
                <w:rFonts w:asciiTheme="minorHAnsi" w:hAnsiTheme="minorHAnsi"/>
                <w:bCs/>
                <w:sz w:val="22"/>
                <w:szCs w:val="22"/>
              </w:rPr>
              <w:t xml:space="preserve"> 4, 67ZA</w:t>
            </w:r>
          </w:p>
        </w:tc>
      </w:tr>
    </w:tbl>
    <w:p w14:paraId="6A39EE66" w14:textId="77777777" w:rsidR="00F312E3" w:rsidRPr="00D650B4" w:rsidRDefault="00F312E3" w:rsidP="00FF41B4">
      <w:pPr>
        <w:jc w:val="both"/>
        <w:rPr>
          <w:sz w:val="20"/>
          <w:szCs w:val="20"/>
        </w:rPr>
      </w:pPr>
      <w:r w:rsidRPr="00D650B4">
        <w:rPr>
          <w:sz w:val="20"/>
          <w:szCs w:val="20"/>
        </w:rPr>
        <w:t xml:space="preserve">* Note: many jurisdictions also impose other obligations to make notifications of harm occurring to children while in their care, or in departmental care. Examples are obligations on licensees (and other responsible officers) of departmental and licensed care services (see for example </w:t>
      </w:r>
      <w:r w:rsidRPr="00D650B4">
        <w:rPr>
          <w:i/>
          <w:sz w:val="20"/>
          <w:szCs w:val="20"/>
        </w:rPr>
        <w:t>Child Protection Act 1999</w:t>
      </w:r>
      <w:r w:rsidRPr="00D650B4">
        <w:rPr>
          <w:sz w:val="20"/>
          <w:szCs w:val="20"/>
        </w:rPr>
        <w:t xml:space="preserve"> (Qld) s 148), and licensees of child care services (see for example </w:t>
      </w:r>
      <w:r w:rsidRPr="00D650B4">
        <w:rPr>
          <w:i/>
          <w:iCs/>
          <w:sz w:val="20"/>
          <w:szCs w:val="20"/>
        </w:rPr>
        <w:t>Child Care Services (Child Care) Regulations 2006</w:t>
      </w:r>
      <w:r w:rsidRPr="00D650B4">
        <w:rPr>
          <w:iCs/>
          <w:sz w:val="20"/>
          <w:szCs w:val="20"/>
        </w:rPr>
        <w:t xml:space="preserve"> (WA) r 20)</w:t>
      </w:r>
      <w:r w:rsidRPr="00D650B4">
        <w:rPr>
          <w:sz w:val="20"/>
          <w:szCs w:val="20"/>
        </w:rPr>
        <w:t>. Because these obligations are somewhat different in provenance, purpose and operation to the mandatory reporting duties enacted in legislation, we have not treated these obligations as a ‘true’ mandatory reporting duty for the purpose of this research project.</w:t>
      </w:r>
    </w:p>
    <w:p w14:paraId="4B7BAA80" w14:textId="77777777" w:rsidR="00F312E3" w:rsidRPr="00D650B4" w:rsidRDefault="00F312E3" w:rsidP="00FF41B4">
      <w:pPr>
        <w:spacing w:before="0"/>
        <w:jc w:val="both"/>
      </w:pPr>
      <w:r w:rsidRPr="00D650B4">
        <w:br w:type="page"/>
      </w:r>
    </w:p>
    <w:p w14:paraId="6248DC78" w14:textId="77777777" w:rsidR="00F312E3" w:rsidRPr="00D650B4" w:rsidRDefault="00F312E3" w:rsidP="00FF41B4">
      <w:pPr>
        <w:pStyle w:val="Heading5"/>
        <w:jc w:val="both"/>
        <w:rPr>
          <w:rFonts w:asciiTheme="minorHAnsi" w:hAnsiTheme="minorHAnsi"/>
        </w:rPr>
      </w:pPr>
      <w:r w:rsidRPr="00D650B4">
        <w:rPr>
          <w:rFonts w:asciiTheme="minorHAnsi" w:hAnsiTheme="minorHAnsi"/>
        </w:rPr>
        <w:lastRenderedPageBreak/>
        <w:t>Table 1.5: Legislative definition of ‘child’ for the purpose of the reporting duties: Australian States and Territories</w:t>
      </w:r>
    </w:p>
    <w:tbl>
      <w:tblPr>
        <w:tblStyle w:val="TableGrid"/>
        <w:tblW w:w="14567" w:type="dxa"/>
        <w:tblLook w:val="04A0" w:firstRow="1" w:lastRow="0" w:firstColumn="1" w:lastColumn="0" w:noHBand="0" w:noVBand="1"/>
        <w:tblCaption w:val="Legislative definition of ‘child’ for the purpose of the reporting duties: Australian States and Territories"/>
      </w:tblPr>
      <w:tblGrid>
        <w:gridCol w:w="1384"/>
        <w:gridCol w:w="4820"/>
        <w:gridCol w:w="4819"/>
        <w:gridCol w:w="3544"/>
      </w:tblGrid>
      <w:tr w:rsidR="00F312E3" w:rsidRPr="00D650B4" w14:paraId="5E246AE8" w14:textId="77777777" w:rsidTr="00D650B4">
        <w:trPr>
          <w:tblHeader/>
        </w:trPr>
        <w:tc>
          <w:tcPr>
            <w:tcW w:w="1384" w:type="dxa"/>
            <w:shd w:val="clear" w:color="auto" w:fill="D9D9D9" w:themeFill="background1" w:themeFillShade="D9"/>
          </w:tcPr>
          <w:p w14:paraId="203EDDFC" w14:textId="77777777" w:rsidR="00F312E3" w:rsidRPr="00D650B4" w:rsidRDefault="00F312E3" w:rsidP="00FF41B4">
            <w:pPr>
              <w:pStyle w:val="TableText"/>
              <w:spacing w:line="240" w:lineRule="auto"/>
              <w:rPr>
                <w:rFonts w:asciiTheme="minorHAnsi" w:hAnsiTheme="minorHAnsi"/>
                <w:b/>
                <w:szCs w:val="22"/>
              </w:rPr>
            </w:pPr>
            <w:r w:rsidRPr="00D650B4">
              <w:rPr>
                <w:rFonts w:asciiTheme="minorHAnsi" w:hAnsiTheme="minorHAnsi"/>
                <w:b/>
                <w:szCs w:val="22"/>
              </w:rPr>
              <w:t>Jurisdiction</w:t>
            </w:r>
          </w:p>
        </w:tc>
        <w:tc>
          <w:tcPr>
            <w:tcW w:w="4820" w:type="dxa"/>
            <w:shd w:val="clear" w:color="auto" w:fill="D9D9D9" w:themeFill="background1" w:themeFillShade="D9"/>
          </w:tcPr>
          <w:p w14:paraId="26D6BFBA" w14:textId="77777777" w:rsidR="00F312E3" w:rsidRPr="00D650B4" w:rsidRDefault="00F312E3" w:rsidP="00FF41B4">
            <w:pPr>
              <w:pStyle w:val="TableText"/>
              <w:spacing w:line="240" w:lineRule="auto"/>
              <w:rPr>
                <w:rFonts w:asciiTheme="minorHAnsi" w:hAnsiTheme="minorHAnsi"/>
                <w:b/>
                <w:szCs w:val="22"/>
              </w:rPr>
            </w:pPr>
            <w:r w:rsidRPr="00D650B4">
              <w:rPr>
                <w:rFonts w:asciiTheme="minorHAnsi" w:hAnsiTheme="minorHAnsi"/>
                <w:b/>
                <w:szCs w:val="22"/>
              </w:rPr>
              <w:t>Current Legislation</w:t>
            </w:r>
          </w:p>
        </w:tc>
        <w:tc>
          <w:tcPr>
            <w:tcW w:w="4819" w:type="dxa"/>
            <w:shd w:val="clear" w:color="auto" w:fill="D9D9D9" w:themeFill="background1" w:themeFillShade="D9"/>
          </w:tcPr>
          <w:p w14:paraId="1785F85F" w14:textId="77777777" w:rsidR="00F312E3" w:rsidRPr="00D650B4" w:rsidRDefault="00F312E3" w:rsidP="00FF41B4">
            <w:pPr>
              <w:pStyle w:val="TableText"/>
              <w:spacing w:line="240" w:lineRule="auto"/>
              <w:rPr>
                <w:rFonts w:asciiTheme="minorHAnsi" w:hAnsiTheme="minorHAnsi"/>
                <w:b/>
                <w:szCs w:val="22"/>
              </w:rPr>
            </w:pPr>
            <w:r w:rsidRPr="00D650B4">
              <w:rPr>
                <w:rFonts w:asciiTheme="minorHAnsi" w:hAnsiTheme="minorHAnsi"/>
                <w:b/>
                <w:szCs w:val="22"/>
              </w:rPr>
              <w:t>Former provisions</w:t>
            </w:r>
          </w:p>
        </w:tc>
        <w:tc>
          <w:tcPr>
            <w:tcW w:w="3544" w:type="dxa"/>
            <w:shd w:val="clear" w:color="auto" w:fill="D9D9D9" w:themeFill="background1" w:themeFillShade="D9"/>
          </w:tcPr>
          <w:p w14:paraId="09961807" w14:textId="77777777" w:rsidR="00F312E3" w:rsidRPr="00D650B4" w:rsidRDefault="00F312E3" w:rsidP="00FF41B4">
            <w:pPr>
              <w:pStyle w:val="TableText"/>
              <w:spacing w:line="240" w:lineRule="auto"/>
              <w:rPr>
                <w:rFonts w:asciiTheme="minorHAnsi" w:hAnsiTheme="minorHAnsi"/>
                <w:b/>
                <w:szCs w:val="22"/>
              </w:rPr>
            </w:pPr>
            <w:r w:rsidRPr="00D650B4">
              <w:rPr>
                <w:rFonts w:asciiTheme="minorHAnsi" w:hAnsiTheme="minorHAnsi"/>
                <w:b/>
                <w:szCs w:val="22"/>
              </w:rPr>
              <w:t>Children to whom the provisions apply</w:t>
            </w:r>
          </w:p>
        </w:tc>
      </w:tr>
      <w:tr w:rsidR="00F312E3" w:rsidRPr="00D650B4" w14:paraId="27C3E0E1" w14:textId="77777777" w:rsidTr="00D650B4">
        <w:trPr>
          <w:trHeight w:val="179"/>
        </w:trPr>
        <w:tc>
          <w:tcPr>
            <w:tcW w:w="1384" w:type="dxa"/>
          </w:tcPr>
          <w:p w14:paraId="3626201F"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ACT</w:t>
            </w:r>
          </w:p>
        </w:tc>
        <w:tc>
          <w:tcPr>
            <w:tcW w:w="4820" w:type="dxa"/>
          </w:tcPr>
          <w:p w14:paraId="6FAB16EE"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and Young People Act 2008 (ACT) s 11: a ‘child’ is a person under 12 years old; s 12: a ‘young person’ is a person of 12 years or older, but not yet an adult.</w:t>
            </w:r>
          </w:p>
        </w:tc>
        <w:tc>
          <w:tcPr>
            <w:tcW w:w="4819" w:type="dxa"/>
          </w:tcPr>
          <w:p w14:paraId="119BA838"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Both CYPA 1999 at 1 January 2003</w:t>
            </w:r>
            <w:proofErr w:type="gramStart"/>
            <w:r w:rsidRPr="00D650B4">
              <w:rPr>
                <w:rFonts w:asciiTheme="minorHAnsi" w:hAnsiTheme="minorHAnsi"/>
                <w:szCs w:val="22"/>
              </w:rPr>
              <w:t>;</w:t>
            </w:r>
            <w:proofErr w:type="gramEnd"/>
            <w:r w:rsidRPr="00D650B4">
              <w:rPr>
                <w:rFonts w:asciiTheme="minorHAnsi" w:hAnsiTheme="minorHAnsi"/>
                <w:szCs w:val="22"/>
              </w:rPr>
              <w:t xml:space="preserve"> and CYPA immediately before CYPA 2008 as made, defined ‘child’ in s 7 and ‘young person’ in s 8 in the same way as the 2008 legislation.</w:t>
            </w:r>
          </w:p>
        </w:tc>
        <w:tc>
          <w:tcPr>
            <w:tcW w:w="3544" w:type="dxa"/>
          </w:tcPr>
          <w:p w14:paraId="1B911448"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under age 18</w:t>
            </w:r>
          </w:p>
        </w:tc>
      </w:tr>
      <w:tr w:rsidR="00F312E3" w:rsidRPr="00D650B4" w14:paraId="1C782BF8" w14:textId="77777777" w:rsidTr="00D650B4">
        <w:trPr>
          <w:trHeight w:val="161"/>
        </w:trPr>
        <w:tc>
          <w:tcPr>
            <w:tcW w:w="1384" w:type="dxa"/>
          </w:tcPr>
          <w:p w14:paraId="2096DF99"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NSW</w:t>
            </w:r>
          </w:p>
        </w:tc>
        <w:tc>
          <w:tcPr>
            <w:tcW w:w="4820" w:type="dxa"/>
          </w:tcPr>
          <w:p w14:paraId="570CAB79"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bCs/>
                <w:szCs w:val="22"/>
              </w:rPr>
              <w:t xml:space="preserve">Children and Young Persons (Care and Protection) Act 1998 (NSW) </w:t>
            </w:r>
            <w:r w:rsidRPr="00D650B4">
              <w:rPr>
                <w:rFonts w:asciiTheme="minorHAnsi" w:hAnsiTheme="minorHAnsi"/>
                <w:szCs w:val="22"/>
              </w:rPr>
              <w:t xml:space="preserve">s 3: ‘child’ is a person who is under the age of 16 years; ‘young person’ is a person who is aged 16 or above but who is under the age of 18 years; but the duty to report in s 27 applies only where a person ‘has reasonable grounds to suspect that a </w:t>
            </w:r>
            <w:r w:rsidRPr="00D650B4">
              <w:rPr>
                <w:rFonts w:asciiTheme="minorHAnsi" w:hAnsiTheme="minorHAnsi"/>
                <w:i/>
                <w:szCs w:val="22"/>
              </w:rPr>
              <w:t>child</w:t>
            </w:r>
            <w:r w:rsidRPr="00D650B4">
              <w:rPr>
                <w:rFonts w:asciiTheme="minorHAnsi" w:hAnsiTheme="minorHAnsi"/>
                <w:szCs w:val="22"/>
              </w:rPr>
              <w:t xml:space="preserve"> is at risk of harm’ (our emphasis)</w:t>
            </w:r>
          </w:p>
        </w:tc>
        <w:tc>
          <w:tcPr>
            <w:tcW w:w="4819" w:type="dxa"/>
          </w:tcPr>
          <w:p w14:paraId="1C1B3852"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bCs/>
                <w:szCs w:val="22"/>
              </w:rPr>
              <w:t xml:space="preserve">Children and Young Persons (Care and Protection) Act 1998 (NSW) </w:t>
            </w:r>
            <w:r w:rsidRPr="00D650B4">
              <w:rPr>
                <w:rFonts w:asciiTheme="minorHAnsi" w:hAnsiTheme="minorHAnsi"/>
                <w:szCs w:val="22"/>
              </w:rPr>
              <w:t>s 3: ‘child’ is a person who is under the age of 16 years; ‘young person’ is a person who is aged 16 or above but who is under the age of 18 years</w:t>
            </w:r>
          </w:p>
        </w:tc>
        <w:tc>
          <w:tcPr>
            <w:tcW w:w="3544" w:type="dxa"/>
          </w:tcPr>
          <w:p w14:paraId="5B4C62D3"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under age 16</w:t>
            </w:r>
          </w:p>
        </w:tc>
      </w:tr>
      <w:tr w:rsidR="00F312E3" w:rsidRPr="00D650B4" w14:paraId="1D8E77D8" w14:textId="77777777" w:rsidTr="00D650B4">
        <w:trPr>
          <w:trHeight w:val="215"/>
        </w:trPr>
        <w:tc>
          <w:tcPr>
            <w:tcW w:w="1384" w:type="dxa"/>
          </w:tcPr>
          <w:p w14:paraId="493B9179"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NT</w:t>
            </w:r>
          </w:p>
        </w:tc>
        <w:tc>
          <w:tcPr>
            <w:tcW w:w="4820" w:type="dxa"/>
          </w:tcPr>
          <w:p w14:paraId="0D48BAA2"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Care and Protection of Children Act (NT) s 13: ‘child’ is a person who is under the age of 18 years</w:t>
            </w:r>
          </w:p>
        </w:tc>
        <w:tc>
          <w:tcPr>
            <w:tcW w:w="4819" w:type="dxa"/>
          </w:tcPr>
          <w:p w14:paraId="3A2C8D01"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Community Welfare Act s 4: ‘child’ is a person who has not attained the age of 18 years</w:t>
            </w:r>
          </w:p>
        </w:tc>
        <w:tc>
          <w:tcPr>
            <w:tcW w:w="3544" w:type="dxa"/>
          </w:tcPr>
          <w:p w14:paraId="5A2A2306"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under age 18</w:t>
            </w:r>
          </w:p>
        </w:tc>
      </w:tr>
      <w:tr w:rsidR="00F312E3" w:rsidRPr="00D650B4" w14:paraId="30C2A4C4" w14:textId="77777777" w:rsidTr="00D650B4">
        <w:tc>
          <w:tcPr>
            <w:tcW w:w="1384" w:type="dxa"/>
          </w:tcPr>
          <w:p w14:paraId="7D986B10"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QLD</w:t>
            </w:r>
          </w:p>
        </w:tc>
        <w:tc>
          <w:tcPr>
            <w:tcW w:w="4820" w:type="dxa"/>
          </w:tcPr>
          <w:p w14:paraId="5B503D98"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Public Health Act 2005 (</w:t>
            </w:r>
            <w:proofErr w:type="spellStart"/>
            <w:r w:rsidRPr="00D650B4">
              <w:rPr>
                <w:rFonts w:asciiTheme="minorHAnsi" w:hAnsiTheme="minorHAnsi"/>
                <w:szCs w:val="22"/>
              </w:rPr>
              <w:t>Qld</w:t>
            </w:r>
            <w:proofErr w:type="spellEnd"/>
            <w:r w:rsidRPr="00D650B4">
              <w:rPr>
                <w:rFonts w:asciiTheme="minorHAnsi" w:hAnsiTheme="minorHAnsi"/>
                <w:szCs w:val="22"/>
              </w:rPr>
              <w:t xml:space="preserve">) </w:t>
            </w:r>
            <w:proofErr w:type="spellStart"/>
            <w:r w:rsidRPr="00D650B4">
              <w:rPr>
                <w:rFonts w:asciiTheme="minorHAnsi" w:hAnsiTheme="minorHAnsi"/>
                <w:szCs w:val="22"/>
              </w:rPr>
              <w:t>Sch</w:t>
            </w:r>
            <w:proofErr w:type="spellEnd"/>
            <w:r w:rsidRPr="00D650B4">
              <w:rPr>
                <w:rFonts w:asciiTheme="minorHAnsi" w:hAnsiTheme="minorHAnsi"/>
                <w:szCs w:val="22"/>
              </w:rPr>
              <w:t xml:space="preserve"> 2: ‘child’ means an individual under 18 years;</w:t>
            </w:r>
          </w:p>
          <w:p w14:paraId="3057E8EE"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Education (General Provisions) Act 2006 (</w:t>
            </w:r>
            <w:proofErr w:type="spellStart"/>
            <w:r w:rsidRPr="00D650B4">
              <w:rPr>
                <w:rFonts w:asciiTheme="minorHAnsi" w:hAnsiTheme="minorHAnsi"/>
                <w:szCs w:val="22"/>
              </w:rPr>
              <w:t>Qld</w:t>
            </w:r>
            <w:proofErr w:type="spellEnd"/>
            <w:r w:rsidRPr="00D650B4">
              <w:rPr>
                <w:rFonts w:asciiTheme="minorHAnsi" w:hAnsiTheme="minorHAnsi"/>
                <w:szCs w:val="22"/>
              </w:rPr>
              <w:t xml:space="preserve">) </w:t>
            </w:r>
            <w:proofErr w:type="spellStart"/>
            <w:r w:rsidRPr="00D650B4">
              <w:rPr>
                <w:rFonts w:asciiTheme="minorHAnsi" w:hAnsiTheme="minorHAnsi"/>
                <w:szCs w:val="22"/>
              </w:rPr>
              <w:t>ss</w:t>
            </w:r>
            <w:proofErr w:type="spellEnd"/>
            <w:r w:rsidRPr="00D650B4">
              <w:rPr>
                <w:rFonts w:asciiTheme="minorHAnsi" w:hAnsiTheme="minorHAnsi"/>
                <w:szCs w:val="22"/>
              </w:rPr>
              <w:t xml:space="preserve"> 364-366A apply to students under 18; </w:t>
            </w:r>
          </w:p>
          <w:p w14:paraId="378FBDD7"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 Protection Act 1999 (</w:t>
            </w:r>
            <w:proofErr w:type="spellStart"/>
            <w:r w:rsidRPr="00D650B4">
              <w:rPr>
                <w:rFonts w:asciiTheme="minorHAnsi" w:hAnsiTheme="minorHAnsi"/>
                <w:szCs w:val="22"/>
              </w:rPr>
              <w:t>Qld</w:t>
            </w:r>
            <w:proofErr w:type="spellEnd"/>
            <w:r w:rsidRPr="00D650B4">
              <w:rPr>
                <w:rFonts w:asciiTheme="minorHAnsi" w:hAnsiTheme="minorHAnsi"/>
                <w:szCs w:val="22"/>
              </w:rPr>
              <w:t>) s 8: a child is an individual under 18 years.</w:t>
            </w:r>
          </w:p>
        </w:tc>
        <w:tc>
          <w:tcPr>
            <w:tcW w:w="4819" w:type="dxa"/>
          </w:tcPr>
          <w:p w14:paraId="2072B09B"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 xml:space="preserve">Health Act 1937 s 76M at 1 January 2003 defined ‘child’ as a person under the age of 17 years; this was changed so the duty applied to children under 18 years via s 76K, </w:t>
            </w:r>
            <w:proofErr w:type="spellStart"/>
            <w:r w:rsidRPr="00D650B4">
              <w:rPr>
                <w:rFonts w:asciiTheme="minorHAnsi" w:hAnsiTheme="minorHAnsi"/>
                <w:szCs w:val="22"/>
              </w:rPr>
              <w:t>comm</w:t>
            </w:r>
            <w:proofErr w:type="spellEnd"/>
            <w:r w:rsidRPr="00D650B4">
              <w:rPr>
                <w:rFonts w:asciiTheme="minorHAnsi" w:hAnsiTheme="minorHAnsi"/>
                <w:szCs w:val="22"/>
              </w:rPr>
              <w:t xml:space="preserve"> 31 August 2005;</w:t>
            </w:r>
          </w:p>
          <w:p w14:paraId="6AEDF96E"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Education (General Provisions) Act 1989 (</w:t>
            </w:r>
            <w:proofErr w:type="spellStart"/>
            <w:r w:rsidRPr="00D650B4">
              <w:rPr>
                <w:rFonts w:asciiTheme="minorHAnsi" w:hAnsiTheme="minorHAnsi"/>
                <w:szCs w:val="22"/>
              </w:rPr>
              <w:t>Qld</w:t>
            </w:r>
            <w:proofErr w:type="spellEnd"/>
            <w:r w:rsidRPr="00D650B4">
              <w:rPr>
                <w:rFonts w:asciiTheme="minorHAnsi" w:hAnsiTheme="minorHAnsi"/>
                <w:szCs w:val="22"/>
              </w:rPr>
              <w:t xml:space="preserve">) </w:t>
            </w:r>
            <w:proofErr w:type="spellStart"/>
            <w:r w:rsidRPr="00D650B4">
              <w:rPr>
                <w:rFonts w:asciiTheme="minorHAnsi" w:hAnsiTheme="minorHAnsi"/>
                <w:szCs w:val="22"/>
              </w:rPr>
              <w:t>ss</w:t>
            </w:r>
            <w:proofErr w:type="spellEnd"/>
            <w:r w:rsidRPr="00D650B4">
              <w:rPr>
                <w:rFonts w:asciiTheme="minorHAnsi" w:hAnsiTheme="minorHAnsi"/>
                <w:szCs w:val="22"/>
              </w:rPr>
              <w:t xml:space="preserve"> 146A-B apply to students under 18 </w:t>
            </w:r>
          </w:p>
          <w:p w14:paraId="4686E9F8"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 Protection Act 1999 (</w:t>
            </w:r>
            <w:proofErr w:type="spellStart"/>
            <w:r w:rsidRPr="00D650B4">
              <w:rPr>
                <w:rFonts w:asciiTheme="minorHAnsi" w:hAnsiTheme="minorHAnsi"/>
                <w:szCs w:val="22"/>
              </w:rPr>
              <w:t>Qld</w:t>
            </w:r>
            <w:proofErr w:type="spellEnd"/>
            <w:r w:rsidRPr="00D650B4">
              <w:rPr>
                <w:rFonts w:asciiTheme="minorHAnsi" w:hAnsiTheme="minorHAnsi"/>
                <w:szCs w:val="22"/>
              </w:rPr>
              <w:t>) s 8: a child is an individual under 18 years.</w:t>
            </w:r>
          </w:p>
        </w:tc>
        <w:tc>
          <w:tcPr>
            <w:tcW w:w="3544" w:type="dxa"/>
          </w:tcPr>
          <w:p w14:paraId="40CAB66C"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under age 18</w:t>
            </w:r>
          </w:p>
          <w:p w14:paraId="3BC51338" w14:textId="77777777" w:rsidR="00F312E3" w:rsidRPr="00D650B4" w:rsidRDefault="00F312E3" w:rsidP="00FF41B4">
            <w:pPr>
              <w:pStyle w:val="TableText"/>
              <w:spacing w:line="240" w:lineRule="auto"/>
              <w:rPr>
                <w:rFonts w:asciiTheme="minorHAnsi" w:hAnsiTheme="minorHAnsi"/>
                <w:szCs w:val="22"/>
              </w:rPr>
            </w:pPr>
          </w:p>
          <w:p w14:paraId="127F17D9" w14:textId="77777777" w:rsidR="00F312E3" w:rsidRPr="00D650B4" w:rsidRDefault="00F312E3" w:rsidP="00FF41B4">
            <w:pPr>
              <w:pStyle w:val="TableText"/>
              <w:spacing w:line="240" w:lineRule="auto"/>
              <w:rPr>
                <w:rFonts w:asciiTheme="minorHAnsi" w:hAnsiTheme="minorHAnsi"/>
                <w:szCs w:val="22"/>
              </w:rPr>
            </w:pPr>
          </w:p>
        </w:tc>
      </w:tr>
      <w:tr w:rsidR="00F312E3" w:rsidRPr="00D650B4" w14:paraId="79713E57" w14:textId="77777777" w:rsidTr="00D650B4">
        <w:trPr>
          <w:trHeight w:val="179"/>
        </w:trPr>
        <w:tc>
          <w:tcPr>
            <w:tcW w:w="1384" w:type="dxa"/>
          </w:tcPr>
          <w:p w14:paraId="3637D13D"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SA</w:t>
            </w:r>
          </w:p>
        </w:tc>
        <w:tc>
          <w:tcPr>
            <w:tcW w:w="4820" w:type="dxa"/>
          </w:tcPr>
          <w:p w14:paraId="1662E96E"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bCs/>
                <w:color w:val="000000"/>
                <w:szCs w:val="22"/>
              </w:rPr>
              <w:t xml:space="preserve">Children’s Protection Act 1993 (SA) </w:t>
            </w:r>
            <w:r w:rsidRPr="00D650B4">
              <w:rPr>
                <w:rFonts w:asciiTheme="minorHAnsi" w:hAnsiTheme="minorHAnsi"/>
                <w:szCs w:val="22"/>
              </w:rPr>
              <w:t>s 6(1): a ‘child’ is a person under 18 years of age</w:t>
            </w:r>
          </w:p>
        </w:tc>
        <w:tc>
          <w:tcPr>
            <w:tcW w:w="4819" w:type="dxa"/>
          </w:tcPr>
          <w:p w14:paraId="6BA1D363"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bCs/>
                <w:color w:val="000000"/>
                <w:szCs w:val="22"/>
              </w:rPr>
              <w:t xml:space="preserve">Children’s Protection Act 1993 (SA) </w:t>
            </w:r>
            <w:r w:rsidRPr="00D650B4">
              <w:rPr>
                <w:rFonts w:asciiTheme="minorHAnsi" w:hAnsiTheme="minorHAnsi"/>
                <w:szCs w:val="22"/>
              </w:rPr>
              <w:t>s 6(1) at 1 January 2003: a ‘child’ is a person under 18 years of age</w:t>
            </w:r>
          </w:p>
        </w:tc>
        <w:tc>
          <w:tcPr>
            <w:tcW w:w="3544" w:type="dxa"/>
          </w:tcPr>
          <w:p w14:paraId="3A37602C"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under age 18</w:t>
            </w:r>
          </w:p>
        </w:tc>
      </w:tr>
      <w:tr w:rsidR="00F312E3" w:rsidRPr="00D650B4" w14:paraId="32825614" w14:textId="77777777" w:rsidTr="00D650B4">
        <w:tc>
          <w:tcPr>
            <w:tcW w:w="1384" w:type="dxa"/>
          </w:tcPr>
          <w:p w14:paraId="08717EF4"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TAS</w:t>
            </w:r>
          </w:p>
        </w:tc>
        <w:tc>
          <w:tcPr>
            <w:tcW w:w="4820" w:type="dxa"/>
          </w:tcPr>
          <w:p w14:paraId="05200720"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bCs/>
                <w:color w:val="000000"/>
                <w:szCs w:val="22"/>
              </w:rPr>
              <w:t>Children</w:t>
            </w:r>
            <w:r w:rsidRPr="00D650B4">
              <w:rPr>
                <w:rFonts w:asciiTheme="minorHAnsi" w:hAnsiTheme="minorHAnsi"/>
                <w:bCs/>
                <w:szCs w:val="22"/>
              </w:rPr>
              <w:t>, Young Persons and Their Families Act 1997 (</w:t>
            </w:r>
            <w:proofErr w:type="spellStart"/>
            <w:r w:rsidRPr="00D650B4">
              <w:rPr>
                <w:rFonts w:asciiTheme="minorHAnsi" w:hAnsiTheme="minorHAnsi"/>
                <w:bCs/>
                <w:szCs w:val="22"/>
              </w:rPr>
              <w:t>Tas</w:t>
            </w:r>
            <w:proofErr w:type="spellEnd"/>
            <w:r w:rsidRPr="00D650B4">
              <w:rPr>
                <w:rFonts w:asciiTheme="minorHAnsi" w:hAnsiTheme="minorHAnsi"/>
                <w:bCs/>
                <w:szCs w:val="22"/>
              </w:rPr>
              <w:t xml:space="preserve">) </w:t>
            </w:r>
            <w:r w:rsidRPr="00D650B4">
              <w:rPr>
                <w:rFonts w:asciiTheme="minorHAnsi" w:hAnsiTheme="minorHAnsi"/>
                <w:szCs w:val="22"/>
              </w:rPr>
              <w:t>s 3(1): a ‘child’ is a person under 18 years of age</w:t>
            </w:r>
          </w:p>
        </w:tc>
        <w:tc>
          <w:tcPr>
            <w:tcW w:w="4819" w:type="dxa"/>
          </w:tcPr>
          <w:p w14:paraId="38BDF7BE"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bCs/>
                <w:color w:val="000000"/>
                <w:szCs w:val="22"/>
              </w:rPr>
              <w:t>Children</w:t>
            </w:r>
            <w:r w:rsidRPr="00D650B4">
              <w:rPr>
                <w:rFonts w:asciiTheme="minorHAnsi" w:hAnsiTheme="minorHAnsi"/>
                <w:bCs/>
                <w:szCs w:val="22"/>
              </w:rPr>
              <w:t>, Young Persons and Their Families Act 1997 (</w:t>
            </w:r>
            <w:proofErr w:type="spellStart"/>
            <w:r w:rsidRPr="00D650B4">
              <w:rPr>
                <w:rFonts w:asciiTheme="minorHAnsi" w:hAnsiTheme="minorHAnsi"/>
                <w:bCs/>
                <w:szCs w:val="22"/>
              </w:rPr>
              <w:t>Tas</w:t>
            </w:r>
            <w:proofErr w:type="spellEnd"/>
            <w:r w:rsidRPr="00D650B4">
              <w:rPr>
                <w:rFonts w:asciiTheme="minorHAnsi" w:hAnsiTheme="minorHAnsi"/>
                <w:bCs/>
                <w:szCs w:val="22"/>
              </w:rPr>
              <w:t xml:space="preserve">) </w:t>
            </w:r>
            <w:r w:rsidRPr="00D650B4">
              <w:rPr>
                <w:rFonts w:asciiTheme="minorHAnsi" w:hAnsiTheme="minorHAnsi"/>
                <w:szCs w:val="22"/>
              </w:rPr>
              <w:t>s 3(1): a ‘child’ is a person under 18 years of age</w:t>
            </w:r>
          </w:p>
        </w:tc>
        <w:tc>
          <w:tcPr>
            <w:tcW w:w="3544" w:type="dxa"/>
          </w:tcPr>
          <w:p w14:paraId="6AD618CD"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under age 18</w:t>
            </w:r>
          </w:p>
        </w:tc>
      </w:tr>
      <w:tr w:rsidR="00F312E3" w:rsidRPr="00D650B4" w14:paraId="07A48962" w14:textId="77777777" w:rsidTr="00D650B4">
        <w:tc>
          <w:tcPr>
            <w:tcW w:w="1384" w:type="dxa"/>
          </w:tcPr>
          <w:p w14:paraId="4D2CFC6E"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VIC</w:t>
            </w:r>
          </w:p>
        </w:tc>
        <w:tc>
          <w:tcPr>
            <w:tcW w:w="4820" w:type="dxa"/>
          </w:tcPr>
          <w:p w14:paraId="51DCE685"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bCs/>
                <w:szCs w:val="22"/>
              </w:rPr>
              <w:t xml:space="preserve">Children, Youth and Families Act 2005 (Vic) </w:t>
            </w:r>
            <w:r w:rsidRPr="00D650B4">
              <w:rPr>
                <w:rFonts w:asciiTheme="minorHAnsi" w:hAnsiTheme="minorHAnsi"/>
                <w:szCs w:val="22"/>
              </w:rPr>
              <w:t>s 3(1): ‘child’ means a person who is under the age of 17 years</w:t>
            </w:r>
          </w:p>
        </w:tc>
        <w:tc>
          <w:tcPr>
            <w:tcW w:w="4819" w:type="dxa"/>
          </w:tcPr>
          <w:p w14:paraId="22845F00"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and Young Persons Act 1989 (Vic) s 3(1): ‘child’ means a person who is under the age of 17 years</w:t>
            </w:r>
          </w:p>
        </w:tc>
        <w:tc>
          <w:tcPr>
            <w:tcW w:w="3544" w:type="dxa"/>
          </w:tcPr>
          <w:p w14:paraId="4B3D3EF1"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under age 17</w:t>
            </w:r>
          </w:p>
        </w:tc>
      </w:tr>
      <w:tr w:rsidR="00F312E3" w:rsidRPr="00D650B4" w14:paraId="1A9B4B9E" w14:textId="77777777" w:rsidTr="00D650B4">
        <w:tc>
          <w:tcPr>
            <w:tcW w:w="1384" w:type="dxa"/>
          </w:tcPr>
          <w:p w14:paraId="4E37224F"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WA</w:t>
            </w:r>
          </w:p>
        </w:tc>
        <w:tc>
          <w:tcPr>
            <w:tcW w:w="4820" w:type="dxa"/>
          </w:tcPr>
          <w:p w14:paraId="342C02E6"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bCs/>
                <w:szCs w:val="22"/>
              </w:rPr>
              <w:t xml:space="preserve">Children and Community Services Act 2004 (WA) s 3: </w:t>
            </w:r>
            <w:r w:rsidRPr="00D650B4">
              <w:rPr>
                <w:rFonts w:asciiTheme="minorHAnsi" w:hAnsiTheme="minorHAnsi"/>
                <w:szCs w:val="22"/>
              </w:rPr>
              <w:t>a ‘child’ is a person under 18 years of age</w:t>
            </w:r>
          </w:p>
        </w:tc>
        <w:tc>
          <w:tcPr>
            <w:tcW w:w="4819" w:type="dxa"/>
          </w:tcPr>
          <w:p w14:paraId="1777EF00"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bCs/>
                <w:szCs w:val="22"/>
              </w:rPr>
              <w:t xml:space="preserve">Children and Community Services Act 2004 (WA) s 3: </w:t>
            </w:r>
            <w:r w:rsidRPr="00D650B4">
              <w:rPr>
                <w:rFonts w:asciiTheme="minorHAnsi" w:hAnsiTheme="minorHAnsi"/>
                <w:szCs w:val="22"/>
              </w:rPr>
              <w:t>a ‘child’ is a person under 18 years of age</w:t>
            </w:r>
          </w:p>
        </w:tc>
        <w:tc>
          <w:tcPr>
            <w:tcW w:w="3544" w:type="dxa"/>
          </w:tcPr>
          <w:p w14:paraId="6F188460" w14:textId="77777777" w:rsidR="00F312E3" w:rsidRPr="00D650B4" w:rsidRDefault="00F312E3" w:rsidP="00FF41B4">
            <w:pPr>
              <w:pStyle w:val="TableText"/>
              <w:spacing w:line="240" w:lineRule="auto"/>
              <w:rPr>
                <w:rFonts w:asciiTheme="minorHAnsi" w:hAnsiTheme="minorHAnsi"/>
                <w:szCs w:val="22"/>
              </w:rPr>
            </w:pPr>
            <w:r w:rsidRPr="00D650B4">
              <w:rPr>
                <w:rFonts w:asciiTheme="minorHAnsi" w:hAnsiTheme="minorHAnsi"/>
                <w:szCs w:val="22"/>
              </w:rPr>
              <w:t>Children under age 18</w:t>
            </w:r>
          </w:p>
        </w:tc>
      </w:tr>
    </w:tbl>
    <w:p w14:paraId="52B09FE0" w14:textId="77777777" w:rsidR="00F312E3" w:rsidRPr="0052480C" w:rsidRDefault="00F312E3" w:rsidP="00FF41B4">
      <w:pPr>
        <w:spacing w:before="0"/>
        <w:jc w:val="both"/>
        <w:rPr>
          <w:rFonts w:asciiTheme="majorHAnsi" w:hAnsiTheme="majorHAnsi"/>
        </w:rPr>
      </w:pPr>
      <w:r w:rsidRPr="0052480C">
        <w:rPr>
          <w:rFonts w:asciiTheme="majorHAnsi" w:hAnsiTheme="majorHAnsi"/>
        </w:rPr>
        <w:br w:type="page"/>
      </w:r>
    </w:p>
    <w:p w14:paraId="5CF2260C" w14:textId="77777777" w:rsidR="00F312E3" w:rsidRDefault="00F312E3" w:rsidP="00FF41B4">
      <w:pPr>
        <w:pStyle w:val="Heading5"/>
        <w:jc w:val="both"/>
      </w:pPr>
      <w:r w:rsidRPr="0052480C">
        <w:lastRenderedPageBreak/>
        <w:t>Table 1.6: Maximum penalties, and penalty units: Australian States and Territories</w:t>
      </w:r>
    </w:p>
    <w:p w14:paraId="50AA73C0" w14:textId="77777777" w:rsidR="00F312E3" w:rsidRPr="00EB4582" w:rsidRDefault="00F312E3" w:rsidP="00FF41B4">
      <w:pPr>
        <w:jc w:val="both"/>
      </w:pPr>
    </w:p>
    <w:tbl>
      <w:tblPr>
        <w:tblStyle w:val="TableGrid"/>
        <w:tblW w:w="14508" w:type="dxa"/>
        <w:tblLayout w:type="fixed"/>
        <w:tblLook w:val="04A0" w:firstRow="1" w:lastRow="0" w:firstColumn="1" w:lastColumn="0" w:noHBand="0" w:noVBand="1"/>
        <w:tblCaption w:val="Maximum penalties, and penalty units: Australian States and Territories"/>
      </w:tblPr>
      <w:tblGrid>
        <w:gridCol w:w="1242"/>
        <w:gridCol w:w="3686"/>
        <w:gridCol w:w="2380"/>
        <w:gridCol w:w="7200"/>
      </w:tblGrid>
      <w:tr w:rsidR="00F312E3" w:rsidRPr="0052480C" w14:paraId="73C36AC7" w14:textId="77777777" w:rsidTr="00D650B4">
        <w:trPr>
          <w:tblHeader/>
        </w:trPr>
        <w:tc>
          <w:tcPr>
            <w:tcW w:w="1242" w:type="dxa"/>
            <w:shd w:val="clear" w:color="auto" w:fill="D9D9D9" w:themeFill="background1" w:themeFillShade="D9"/>
          </w:tcPr>
          <w:p w14:paraId="36275AFA"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Jurisdiction</w:t>
            </w:r>
          </w:p>
        </w:tc>
        <w:tc>
          <w:tcPr>
            <w:tcW w:w="3686" w:type="dxa"/>
            <w:shd w:val="clear" w:color="auto" w:fill="D9D9D9" w:themeFill="background1" w:themeFillShade="D9"/>
          </w:tcPr>
          <w:p w14:paraId="1ED9F493"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Child protection legislation at 1/1/2003</w:t>
            </w:r>
          </w:p>
        </w:tc>
        <w:tc>
          <w:tcPr>
            <w:tcW w:w="2380" w:type="dxa"/>
            <w:shd w:val="clear" w:color="auto" w:fill="D9D9D9" w:themeFill="background1" w:themeFillShade="D9"/>
          </w:tcPr>
          <w:p w14:paraId="2A887762"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Penalty unit at 1/1/2003</w:t>
            </w:r>
          </w:p>
        </w:tc>
        <w:tc>
          <w:tcPr>
            <w:tcW w:w="7200" w:type="dxa"/>
            <w:shd w:val="clear" w:color="auto" w:fill="D9D9D9" w:themeFill="background1" w:themeFillShade="D9"/>
          </w:tcPr>
          <w:p w14:paraId="5058A51F" w14:textId="77777777" w:rsidR="00F312E3" w:rsidRPr="00D650B4" w:rsidRDefault="00F312E3" w:rsidP="00FF41B4">
            <w:pPr>
              <w:pStyle w:val="TableText"/>
              <w:spacing w:line="240" w:lineRule="auto"/>
              <w:rPr>
                <w:rFonts w:asciiTheme="minorHAnsi" w:hAnsiTheme="minorHAnsi"/>
                <w:b/>
              </w:rPr>
            </w:pPr>
            <w:r w:rsidRPr="00D650B4">
              <w:rPr>
                <w:rFonts w:asciiTheme="minorHAnsi" w:hAnsiTheme="minorHAnsi"/>
                <w:b/>
              </w:rPr>
              <w:t>Changes over time</w:t>
            </w:r>
          </w:p>
        </w:tc>
      </w:tr>
      <w:tr w:rsidR="00F312E3" w:rsidRPr="0052480C" w14:paraId="4A3996FF" w14:textId="77777777" w:rsidTr="00D650B4">
        <w:tc>
          <w:tcPr>
            <w:tcW w:w="1242" w:type="dxa"/>
          </w:tcPr>
          <w:p w14:paraId="2AE4504D"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ACT</w:t>
            </w:r>
          </w:p>
        </w:tc>
        <w:tc>
          <w:tcPr>
            <w:tcW w:w="3686" w:type="dxa"/>
          </w:tcPr>
          <w:p w14:paraId="13E96521" w14:textId="77777777" w:rsidR="00F312E3" w:rsidRPr="00D650B4" w:rsidRDefault="00F312E3" w:rsidP="00FF41B4">
            <w:pPr>
              <w:pStyle w:val="TableText"/>
              <w:spacing w:line="240" w:lineRule="auto"/>
              <w:rPr>
                <w:rFonts w:asciiTheme="minorHAnsi" w:hAnsiTheme="minorHAnsi"/>
              </w:rPr>
            </w:pPr>
            <w:proofErr w:type="gramStart"/>
            <w:r w:rsidRPr="00D650B4">
              <w:rPr>
                <w:rFonts w:asciiTheme="minorHAnsi" w:hAnsiTheme="minorHAnsi"/>
                <w:i/>
              </w:rPr>
              <w:t>Children and Young People Act 1999</w:t>
            </w:r>
            <w:r w:rsidRPr="00D650B4">
              <w:rPr>
                <w:rFonts w:asciiTheme="minorHAnsi" w:hAnsiTheme="minorHAnsi"/>
              </w:rPr>
              <w:t xml:space="preserve"> (ACT) s 159(2) (maximum penalty of </w:t>
            </w:r>
            <w:r w:rsidRPr="00D650B4">
              <w:rPr>
                <w:rFonts w:asciiTheme="minorHAnsi" w:hAnsiTheme="minorHAnsi"/>
                <w:b/>
              </w:rPr>
              <w:t>50 penalty units ($5000), 6 months’ imprisonment, or both).</w:t>
            </w:r>
            <w:proofErr w:type="gramEnd"/>
          </w:p>
        </w:tc>
        <w:tc>
          <w:tcPr>
            <w:tcW w:w="2380" w:type="dxa"/>
          </w:tcPr>
          <w:p w14:paraId="7BD95D94"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$100 (see note in CYP Act)</w:t>
            </w:r>
          </w:p>
        </w:tc>
        <w:tc>
          <w:tcPr>
            <w:tcW w:w="7200" w:type="dxa"/>
          </w:tcPr>
          <w:p w14:paraId="5CE7F89D"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Legislation Act s 133: $110 (am by Legislation (Penalty Units) Amendment Act 2009 No 35) </w:t>
            </w:r>
            <w:proofErr w:type="spellStart"/>
            <w:r w:rsidRPr="00D650B4">
              <w:rPr>
                <w:rFonts w:asciiTheme="minorHAnsi" w:hAnsiTheme="minorHAnsi"/>
              </w:rPr>
              <w:t>comm</w:t>
            </w:r>
            <w:proofErr w:type="spellEnd"/>
            <w:r w:rsidRPr="00D650B4">
              <w:rPr>
                <w:rFonts w:asciiTheme="minorHAnsi" w:hAnsiTheme="minorHAnsi"/>
              </w:rPr>
              <w:t xml:space="preserve"> 21 Oct 2009) so from 21 Oct 2009 to 31 Dec 2012 penalty was 50 penalty units ($5500), 6 months’ imprisonment, or both. (Note: penalty unit now $140 since 23 August 2013, am by Legislation (Penalty Units) Amendment Act 2013)</w:t>
            </w:r>
          </w:p>
        </w:tc>
      </w:tr>
      <w:tr w:rsidR="00F312E3" w:rsidRPr="0052480C" w14:paraId="022A6CD9" w14:textId="77777777" w:rsidTr="00D650B4">
        <w:tc>
          <w:tcPr>
            <w:tcW w:w="1242" w:type="dxa"/>
          </w:tcPr>
          <w:p w14:paraId="1E62870F"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NSW</w:t>
            </w:r>
          </w:p>
        </w:tc>
        <w:tc>
          <w:tcPr>
            <w:tcW w:w="3686" w:type="dxa"/>
          </w:tcPr>
          <w:p w14:paraId="44E41CC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i/>
              </w:rPr>
              <w:t>Children and Young Persons (Care and Protection) Act 1998</w:t>
            </w:r>
            <w:r w:rsidRPr="00D650B4">
              <w:rPr>
                <w:rFonts w:asciiTheme="minorHAnsi" w:hAnsiTheme="minorHAnsi"/>
              </w:rPr>
              <w:t xml:space="preserve"> s 27(2) (maximum penalty of 200 penalty units, hence </w:t>
            </w:r>
            <w:r w:rsidRPr="00D650B4">
              <w:rPr>
                <w:rFonts w:asciiTheme="minorHAnsi" w:hAnsiTheme="minorHAnsi"/>
                <w:b/>
              </w:rPr>
              <w:t>$22,000</w:t>
            </w:r>
            <w:r w:rsidRPr="00D650B4">
              <w:rPr>
                <w:rFonts w:asciiTheme="minorHAnsi" w:hAnsiTheme="minorHAnsi"/>
              </w:rPr>
              <w:t>)</w:t>
            </w:r>
          </w:p>
        </w:tc>
        <w:tc>
          <w:tcPr>
            <w:tcW w:w="2380" w:type="dxa"/>
          </w:tcPr>
          <w:p w14:paraId="7E31897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A penalty unit was </w:t>
            </w:r>
            <w:r w:rsidRPr="00D650B4">
              <w:rPr>
                <w:rFonts w:asciiTheme="minorHAnsi" w:hAnsiTheme="minorHAnsi"/>
                <w:bCs/>
              </w:rPr>
              <w:t xml:space="preserve">$110: </w:t>
            </w:r>
            <w:r w:rsidRPr="00D650B4">
              <w:rPr>
                <w:rFonts w:asciiTheme="minorHAnsi" w:hAnsiTheme="minorHAnsi"/>
                <w:i/>
              </w:rPr>
              <w:t>Crimes (Sentencing Procedure) Act 1999</w:t>
            </w:r>
            <w:r w:rsidRPr="00D650B4">
              <w:rPr>
                <w:rFonts w:asciiTheme="minorHAnsi" w:hAnsiTheme="minorHAnsi"/>
              </w:rPr>
              <w:t xml:space="preserve">  s 17</w:t>
            </w:r>
          </w:p>
        </w:tc>
        <w:tc>
          <w:tcPr>
            <w:tcW w:w="7200" w:type="dxa"/>
          </w:tcPr>
          <w:p w14:paraId="4D744FE9"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NSW penalty unit remains $110 but now no penalty as the penalty was removed from s 27 by the Children Legislation Amendment (Wood Inquiry Recommendations) Act 2009 No 13, Schedule 1.1 [7], </w:t>
            </w:r>
            <w:proofErr w:type="spellStart"/>
            <w:r w:rsidRPr="00D650B4">
              <w:rPr>
                <w:rFonts w:asciiTheme="minorHAnsi" w:hAnsiTheme="minorHAnsi"/>
              </w:rPr>
              <w:t>comm</w:t>
            </w:r>
            <w:proofErr w:type="spellEnd"/>
            <w:r w:rsidRPr="00D650B4">
              <w:rPr>
                <w:rFonts w:asciiTheme="minorHAnsi" w:hAnsiTheme="minorHAnsi"/>
              </w:rPr>
              <w:t xml:space="preserve"> 24 January 2010</w:t>
            </w:r>
          </w:p>
        </w:tc>
      </w:tr>
      <w:tr w:rsidR="00F312E3" w:rsidRPr="0052480C" w14:paraId="757B0BAB" w14:textId="77777777" w:rsidTr="00D650B4">
        <w:tc>
          <w:tcPr>
            <w:tcW w:w="1242" w:type="dxa"/>
          </w:tcPr>
          <w:p w14:paraId="309E7416"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NT</w:t>
            </w:r>
          </w:p>
        </w:tc>
        <w:tc>
          <w:tcPr>
            <w:tcW w:w="3686" w:type="dxa"/>
          </w:tcPr>
          <w:p w14:paraId="49D82CC3"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i/>
              </w:rPr>
              <w:t>Community Welfare Act 1983</w:t>
            </w:r>
            <w:r w:rsidRPr="00D650B4">
              <w:rPr>
                <w:rFonts w:asciiTheme="minorHAnsi" w:hAnsiTheme="minorHAnsi"/>
              </w:rPr>
              <w:t xml:space="preserve"> (NT) s 14(1) (maximum penalty of 200 penalty units, hence </w:t>
            </w:r>
            <w:r w:rsidRPr="00D650B4">
              <w:rPr>
                <w:rFonts w:asciiTheme="minorHAnsi" w:hAnsiTheme="minorHAnsi"/>
                <w:b/>
              </w:rPr>
              <w:t>$22,000</w:t>
            </w:r>
            <w:r w:rsidRPr="00D650B4">
              <w:rPr>
                <w:rFonts w:asciiTheme="minorHAnsi" w:hAnsiTheme="minorHAnsi"/>
              </w:rPr>
              <w:t>)</w:t>
            </w:r>
          </w:p>
        </w:tc>
        <w:tc>
          <w:tcPr>
            <w:tcW w:w="2380" w:type="dxa"/>
          </w:tcPr>
          <w:p w14:paraId="053A0B3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A penalty unit was $110: </w:t>
            </w:r>
            <w:r w:rsidRPr="00D650B4">
              <w:rPr>
                <w:rFonts w:asciiTheme="minorHAnsi" w:hAnsiTheme="minorHAnsi"/>
                <w:bCs/>
                <w:i/>
              </w:rPr>
              <w:t>Penalty Units Act</w:t>
            </w:r>
            <w:r w:rsidRPr="00D650B4">
              <w:rPr>
                <w:rFonts w:asciiTheme="minorHAnsi" w:hAnsiTheme="minorHAnsi"/>
                <w:bCs/>
              </w:rPr>
              <w:t xml:space="preserve"> </w:t>
            </w:r>
            <w:r w:rsidRPr="00D650B4">
              <w:rPr>
                <w:rFonts w:asciiTheme="minorHAnsi" w:hAnsiTheme="minorHAnsi"/>
              </w:rPr>
              <w:t xml:space="preserve">(NT) </w:t>
            </w:r>
            <w:r w:rsidRPr="00D650B4">
              <w:rPr>
                <w:rFonts w:asciiTheme="minorHAnsi" w:hAnsiTheme="minorHAnsi"/>
                <w:bCs/>
              </w:rPr>
              <w:t>s 3(1</w:t>
            </w:r>
            <w:r w:rsidRPr="00D650B4">
              <w:rPr>
                <w:rFonts w:asciiTheme="minorHAnsi" w:hAnsiTheme="minorHAnsi"/>
              </w:rPr>
              <w:t>))</w:t>
            </w:r>
          </w:p>
        </w:tc>
        <w:tc>
          <w:tcPr>
            <w:tcW w:w="7200" w:type="dxa"/>
          </w:tcPr>
          <w:p w14:paraId="1ECDC0D6"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The maximum penalty remains 200 penalty units. The </w:t>
            </w:r>
            <w:r w:rsidRPr="00D650B4">
              <w:rPr>
                <w:rFonts w:asciiTheme="minorHAnsi" w:hAnsiTheme="minorHAnsi"/>
                <w:i/>
              </w:rPr>
              <w:t xml:space="preserve">Penalty Units Act </w:t>
            </w:r>
            <w:r w:rsidRPr="00D650B4">
              <w:rPr>
                <w:rFonts w:asciiTheme="minorHAnsi" w:hAnsiTheme="minorHAnsi"/>
              </w:rPr>
              <w:t xml:space="preserve">s 3 sets the value of a penalty unit as $130, so the maximum penalty is $26,000. </w:t>
            </w:r>
          </w:p>
          <w:p w14:paraId="566B8285"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(Note: </w:t>
            </w:r>
            <w:r w:rsidRPr="00D650B4">
              <w:rPr>
                <w:rFonts w:asciiTheme="minorHAnsi" w:hAnsiTheme="minorHAnsi"/>
                <w:i/>
              </w:rPr>
              <w:t>Community Welfare Amendment Act 2002</w:t>
            </w:r>
            <w:r w:rsidRPr="00D650B4">
              <w:rPr>
                <w:rFonts w:asciiTheme="minorHAnsi" w:hAnsiTheme="minorHAnsi"/>
              </w:rPr>
              <w:t xml:space="preserve"> (Act No. 61; </w:t>
            </w:r>
            <w:proofErr w:type="spellStart"/>
            <w:r w:rsidRPr="00D650B4">
              <w:rPr>
                <w:rFonts w:asciiTheme="minorHAnsi" w:hAnsiTheme="minorHAnsi"/>
              </w:rPr>
              <w:t>comm</w:t>
            </w:r>
            <w:proofErr w:type="spellEnd"/>
            <w:r w:rsidRPr="00D650B4">
              <w:rPr>
                <w:rFonts w:asciiTheme="minorHAnsi" w:hAnsiTheme="minorHAnsi"/>
              </w:rPr>
              <w:t xml:space="preserve"> 9 December 2002) s 10 increased the maximum penalty from $500 to 200 penalty units.</w:t>
            </w:r>
          </w:p>
        </w:tc>
      </w:tr>
      <w:tr w:rsidR="00F312E3" w:rsidRPr="0052480C" w14:paraId="0309D55C" w14:textId="77777777" w:rsidTr="00D650B4">
        <w:tc>
          <w:tcPr>
            <w:tcW w:w="1242" w:type="dxa"/>
          </w:tcPr>
          <w:p w14:paraId="0C7B99C8"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QLD</w:t>
            </w:r>
          </w:p>
        </w:tc>
        <w:tc>
          <w:tcPr>
            <w:tcW w:w="3686" w:type="dxa"/>
          </w:tcPr>
          <w:p w14:paraId="7CC74E77"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i/>
              </w:rPr>
              <w:t>Health Act 1937</w:t>
            </w:r>
            <w:r w:rsidRPr="00D650B4">
              <w:rPr>
                <w:rFonts w:asciiTheme="minorHAnsi" w:hAnsiTheme="minorHAnsi"/>
              </w:rPr>
              <w:t xml:space="preserve"> (</w:t>
            </w:r>
            <w:proofErr w:type="spellStart"/>
            <w:r w:rsidRPr="00D650B4">
              <w:rPr>
                <w:rFonts w:asciiTheme="minorHAnsi" w:hAnsiTheme="minorHAnsi"/>
              </w:rPr>
              <w:t>Qld</w:t>
            </w:r>
            <w:proofErr w:type="spellEnd"/>
            <w:r w:rsidRPr="00D650B4">
              <w:rPr>
                <w:rFonts w:asciiTheme="minorHAnsi" w:hAnsiTheme="minorHAnsi"/>
              </w:rPr>
              <w:t xml:space="preserve">) s 76KE (maximum penalty of 50 penalty units, hence </w:t>
            </w:r>
            <w:r w:rsidRPr="00D650B4">
              <w:rPr>
                <w:rFonts w:asciiTheme="minorHAnsi" w:hAnsiTheme="minorHAnsi"/>
                <w:b/>
              </w:rPr>
              <w:t>$3750</w:t>
            </w:r>
            <w:r w:rsidRPr="00D650B4">
              <w:rPr>
                <w:rFonts w:asciiTheme="minorHAnsi" w:hAnsiTheme="minorHAnsi"/>
              </w:rPr>
              <w:t>)</w:t>
            </w:r>
          </w:p>
        </w:tc>
        <w:tc>
          <w:tcPr>
            <w:tcW w:w="2380" w:type="dxa"/>
          </w:tcPr>
          <w:p w14:paraId="051A3002"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A penalty unit was $75: </w:t>
            </w:r>
            <w:r w:rsidRPr="00D650B4">
              <w:rPr>
                <w:rFonts w:asciiTheme="minorHAnsi" w:hAnsiTheme="minorHAnsi"/>
                <w:i/>
              </w:rPr>
              <w:t>Penalties and Sentences Act 1992</w:t>
            </w:r>
            <w:r w:rsidRPr="00D650B4">
              <w:rPr>
                <w:rFonts w:asciiTheme="minorHAnsi" w:hAnsiTheme="minorHAnsi"/>
              </w:rPr>
              <w:t xml:space="preserve"> (</w:t>
            </w:r>
            <w:proofErr w:type="spellStart"/>
            <w:r w:rsidRPr="00D650B4">
              <w:rPr>
                <w:rFonts w:asciiTheme="minorHAnsi" w:hAnsiTheme="minorHAnsi"/>
              </w:rPr>
              <w:t>Qld</w:t>
            </w:r>
            <w:proofErr w:type="spellEnd"/>
            <w:r w:rsidRPr="00D650B4">
              <w:rPr>
                <w:rFonts w:asciiTheme="minorHAnsi" w:hAnsiTheme="minorHAnsi"/>
              </w:rPr>
              <w:t>) s 5(1)(b))</w:t>
            </w:r>
          </w:p>
        </w:tc>
        <w:tc>
          <w:tcPr>
            <w:tcW w:w="7200" w:type="dxa"/>
          </w:tcPr>
          <w:p w14:paraId="58B06B1B" w14:textId="77777777" w:rsidR="00F312E3" w:rsidRPr="00D650B4" w:rsidRDefault="00F312E3" w:rsidP="00FF41B4">
            <w:pPr>
              <w:pStyle w:val="TableText"/>
              <w:spacing w:line="240" w:lineRule="auto"/>
              <w:rPr>
                <w:rFonts w:asciiTheme="minorHAnsi" w:hAnsiTheme="minorHAnsi"/>
              </w:rPr>
            </w:pPr>
            <w:proofErr w:type="gramStart"/>
            <w:r w:rsidRPr="00D650B4">
              <w:rPr>
                <w:rFonts w:asciiTheme="minorHAnsi" w:hAnsiTheme="minorHAnsi"/>
              </w:rPr>
              <w:t xml:space="preserve">The penalty unit value has changed from 2003-2012 as follows: from 27 Nov 2000: s 5(1)(b): $75 (1999 No 70 s 166 </w:t>
            </w:r>
            <w:proofErr w:type="spellStart"/>
            <w:r w:rsidRPr="00D650B4">
              <w:rPr>
                <w:rFonts w:asciiTheme="minorHAnsi" w:hAnsiTheme="minorHAnsi"/>
              </w:rPr>
              <w:t>sch</w:t>
            </w:r>
            <w:proofErr w:type="spellEnd"/>
            <w:r w:rsidRPr="00D650B4">
              <w:rPr>
                <w:rFonts w:asciiTheme="minorHAnsi" w:hAnsiTheme="minorHAnsi"/>
              </w:rPr>
              <w:t xml:space="preserve"> 1);  from 1 January 2009: s 5(1)(c): $100 (2008 No 66 s 3(2)); </w:t>
            </w:r>
            <w:proofErr w:type="spellStart"/>
            <w:r w:rsidRPr="00D650B4">
              <w:rPr>
                <w:rFonts w:asciiTheme="minorHAnsi" w:hAnsiTheme="minorHAnsi"/>
              </w:rPr>
              <w:t>renumb</w:t>
            </w:r>
            <w:proofErr w:type="spellEnd"/>
            <w:r w:rsidRPr="00D650B4">
              <w:rPr>
                <w:rFonts w:asciiTheme="minorHAnsi" w:hAnsiTheme="minorHAnsi"/>
              </w:rPr>
              <w:t xml:space="preserve"> as s 5(1)(d) by 2011 No 18 s 403; from 21 August 2012: s 5(1)(d): $110 (2012 No 17 s 34).</w:t>
            </w:r>
            <w:proofErr w:type="gramEnd"/>
            <w:r w:rsidRPr="00D650B4">
              <w:rPr>
                <w:rFonts w:asciiTheme="minorHAnsi" w:hAnsiTheme="minorHAnsi"/>
              </w:rPr>
              <w:t xml:space="preserve"> PHA: 50 penalty units ($5500); EGPA: 20 </w:t>
            </w:r>
            <w:proofErr w:type="gramStart"/>
            <w:r w:rsidRPr="00D650B4">
              <w:rPr>
                <w:rFonts w:asciiTheme="minorHAnsi" w:hAnsiTheme="minorHAnsi"/>
              </w:rPr>
              <w:t>pen</w:t>
            </w:r>
            <w:proofErr w:type="gramEnd"/>
            <w:r w:rsidRPr="00D650B4">
              <w:rPr>
                <w:rFonts w:asciiTheme="minorHAnsi" w:hAnsiTheme="minorHAnsi"/>
              </w:rPr>
              <w:t>. units ($2200)</w:t>
            </w:r>
          </w:p>
        </w:tc>
      </w:tr>
      <w:tr w:rsidR="00F312E3" w:rsidRPr="0052480C" w14:paraId="782FEEFE" w14:textId="77777777" w:rsidTr="00D650B4">
        <w:trPr>
          <w:trHeight w:val="495"/>
        </w:trPr>
        <w:tc>
          <w:tcPr>
            <w:tcW w:w="1242" w:type="dxa"/>
          </w:tcPr>
          <w:p w14:paraId="2B4AE923"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SA</w:t>
            </w:r>
          </w:p>
        </w:tc>
        <w:tc>
          <w:tcPr>
            <w:tcW w:w="3686" w:type="dxa"/>
          </w:tcPr>
          <w:p w14:paraId="73DEBED4"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i/>
              </w:rPr>
              <w:t>Children’s Protection Act 1993</w:t>
            </w:r>
            <w:r w:rsidRPr="00D650B4">
              <w:rPr>
                <w:rFonts w:asciiTheme="minorHAnsi" w:hAnsiTheme="minorHAnsi"/>
              </w:rPr>
              <w:t xml:space="preserve"> (SA) s 11(1) (maximum penalty of </w:t>
            </w:r>
            <w:r w:rsidRPr="00D650B4">
              <w:rPr>
                <w:rFonts w:asciiTheme="minorHAnsi" w:hAnsiTheme="minorHAnsi"/>
                <w:b/>
              </w:rPr>
              <w:t>$2500</w:t>
            </w:r>
            <w:r w:rsidRPr="00D650B4">
              <w:rPr>
                <w:rFonts w:asciiTheme="minorHAnsi" w:hAnsiTheme="minorHAnsi"/>
              </w:rPr>
              <w:t>)</w:t>
            </w:r>
          </w:p>
        </w:tc>
        <w:tc>
          <w:tcPr>
            <w:tcW w:w="2380" w:type="dxa"/>
          </w:tcPr>
          <w:p w14:paraId="434BB710" w14:textId="77777777" w:rsidR="00F312E3" w:rsidRPr="00D650B4" w:rsidRDefault="00F312E3" w:rsidP="00FF41B4">
            <w:pPr>
              <w:pStyle w:val="TableText"/>
              <w:spacing w:line="240" w:lineRule="auto"/>
              <w:rPr>
                <w:rFonts w:asciiTheme="minorHAnsi" w:hAnsiTheme="minorHAnsi"/>
              </w:rPr>
            </w:pPr>
            <w:proofErr w:type="spellStart"/>
            <w:r w:rsidRPr="00D650B4">
              <w:rPr>
                <w:rFonts w:asciiTheme="minorHAnsi" w:hAnsiTheme="minorHAnsi"/>
              </w:rPr>
              <w:t>na</w:t>
            </w:r>
            <w:proofErr w:type="spellEnd"/>
          </w:p>
        </w:tc>
        <w:tc>
          <w:tcPr>
            <w:tcW w:w="7200" w:type="dxa"/>
          </w:tcPr>
          <w:p w14:paraId="4ABAB7F4"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Increased to $10,000 by the </w:t>
            </w:r>
            <w:r w:rsidRPr="00D650B4">
              <w:rPr>
                <w:rFonts w:asciiTheme="minorHAnsi" w:hAnsiTheme="minorHAnsi"/>
                <w:i/>
              </w:rPr>
              <w:t>Children’s Protection (Miscellaneous) Amendment Act 2005</w:t>
            </w:r>
            <w:r w:rsidRPr="00D650B4">
              <w:rPr>
                <w:rFonts w:asciiTheme="minorHAnsi" w:hAnsiTheme="minorHAnsi"/>
              </w:rPr>
              <w:t xml:space="preserve"> (SA) (No 76) s 10(1) (</w:t>
            </w:r>
            <w:proofErr w:type="spellStart"/>
            <w:r w:rsidRPr="00D650B4">
              <w:rPr>
                <w:rFonts w:asciiTheme="minorHAnsi" w:hAnsiTheme="minorHAnsi"/>
              </w:rPr>
              <w:t>comm</w:t>
            </w:r>
            <w:proofErr w:type="spellEnd"/>
            <w:r w:rsidRPr="00D650B4">
              <w:rPr>
                <w:rFonts w:asciiTheme="minorHAnsi" w:hAnsiTheme="minorHAnsi"/>
              </w:rPr>
              <w:t xml:space="preserve"> 31/12/2006).</w:t>
            </w:r>
          </w:p>
        </w:tc>
      </w:tr>
      <w:tr w:rsidR="00F312E3" w:rsidRPr="0052480C" w14:paraId="70DB3D32" w14:textId="77777777" w:rsidTr="00D650B4">
        <w:tc>
          <w:tcPr>
            <w:tcW w:w="1242" w:type="dxa"/>
          </w:tcPr>
          <w:p w14:paraId="61F080EE"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TAS</w:t>
            </w:r>
          </w:p>
        </w:tc>
        <w:tc>
          <w:tcPr>
            <w:tcW w:w="3686" w:type="dxa"/>
          </w:tcPr>
          <w:p w14:paraId="628F11A3"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i/>
              </w:rPr>
              <w:t>Children, Young Persons and Their Families Act 1997</w:t>
            </w:r>
            <w:r w:rsidRPr="00D650B4">
              <w:rPr>
                <w:rFonts w:asciiTheme="minorHAnsi" w:hAnsiTheme="minorHAnsi"/>
              </w:rPr>
              <w:t xml:space="preserve"> (</w:t>
            </w:r>
            <w:proofErr w:type="spellStart"/>
            <w:r w:rsidRPr="00D650B4">
              <w:rPr>
                <w:rFonts w:asciiTheme="minorHAnsi" w:hAnsiTheme="minorHAnsi"/>
              </w:rPr>
              <w:t>Tas</w:t>
            </w:r>
            <w:proofErr w:type="spellEnd"/>
            <w:r w:rsidRPr="00D650B4">
              <w:rPr>
                <w:rFonts w:asciiTheme="minorHAnsi" w:hAnsiTheme="minorHAnsi"/>
              </w:rPr>
              <w:t xml:space="preserve">) s 14(2)(b) (maximum penalty of 20 penalty units, hence </w:t>
            </w:r>
            <w:r w:rsidRPr="00D650B4">
              <w:rPr>
                <w:rFonts w:asciiTheme="minorHAnsi" w:hAnsiTheme="minorHAnsi"/>
                <w:b/>
              </w:rPr>
              <w:t>$2000</w:t>
            </w:r>
          </w:p>
        </w:tc>
        <w:tc>
          <w:tcPr>
            <w:tcW w:w="2380" w:type="dxa"/>
          </w:tcPr>
          <w:p w14:paraId="25A478A0"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A penalty unit was $100: </w:t>
            </w:r>
            <w:r w:rsidRPr="00D650B4">
              <w:rPr>
                <w:rFonts w:asciiTheme="minorHAnsi" w:hAnsiTheme="minorHAnsi"/>
                <w:bCs/>
                <w:i/>
              </w:rPr>
              <w:t>Penalty Units and Other Penalties Act 1987</w:t>
            </w:r>
            <w:r w:rsidRPr="00D650B4">
              <w:rPr>
                <w:rFonts w:asciiTheme="minorHAnsi" w:hAnsiTheme="minorHAnsi"/>
                <w:bCs/>
              </w:rPr>
              <w:t xml:space="preserve"> (</w:t>
            </w:r>
            <w:proofErr w:type="spellStart"/>
            <w:r w:rsidRPr="00D650B4">
              <w:rPr>
                <w:rFonts w:asciiTheme="minorHAnsi" w:hAnsiTheme="minorHAnsi"/>
                <w:bCs/>
              </w:rPr>
              <w:t>Tas</w:t>
            </w:r>
            <w:proofErr w:type="spellEnd"/>
            <w:r w:rsidRPr="00D650B4">
              <w:rPr>
                <w:rFonts w:asciiTheme="minorHAnsi" w:hAnsiTheme="minorHAnsi"/>
                <w:bCs/>
              </w:rPr>
              <w:t>) s 4</w:t>
            </w:r>
            <w:r w:rsidRPr="00D650B4">
              <w:rPr>
                <w:rFonts w:asciiTheme="minorHAnsi" w:hAnsiTheme="minorHAnsi"/>
              </w:rPr>
              <w:t>)</w:t>
            </w:r>
          </w:p>
        </w:tc>
        <w:tc>
          <w:tcPr>
            <w:tcW w:w="7200" w:type="dxa"/>
          </w:tcPr>
          <w:p w14:paraId="31B466DF"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Increased to $2400 as penalty unit increased to $120 (</w:t>
            </w:r>
            <w:proofErr w:type="spellStart"/>
            <w:r w:rsidRPr="00D650B4">
              <w:rPr>
                <w:rFonts w:asciiTheme="minorHAnsi" w:hAnsiTheme="minorHAnsi"/>
              </w:rPr>
              <w:t>comm</w:t>
            </w:r>
            <w:proofErr w:type="spellEnd"/>
            <w:r w:rsidRPr="00D650B4">
              <w:rPr>
                <w:rFonts w:asciiTheme="minorHAnsi" w:hAnsiTheme="minorHAnsi"/>
              </w:rPr>
              <w:t xml:space="preserve"> 24 October 2007 – am by Act 37 of 2007)</w:t>
            </w:r>
          </w:p>
        </w:tc>
      </w:tr>
      <w:tr w:rsidR="00F312E3" w:rsidRPr="0052480C" w14:paraId="3C052A44" w14:textId="77777777" w:rsidTr="00D650B4">
        <w:tc>
          <w:tcPr>
            <w:tcW w:w="1242" w:type="dxa"/>
          </w:tcPr>
          <w:p w14:paraId="25C78C3F"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VIC</w:t>
            </w:r>
          </w:p>
        </w:tc>
        <w:tc>
          <w:tcPr>
            <w:tcW w:w="3686" w:type="dxa"/>
          </w:tcPr>
          <w:p w14:paraId="735C01B5"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i/>
              </w:rPr>
              <w:t>Children and Young Persons Act 1989</w:t>
            </w:r>
            <w:r w:rsidRPr="00D650B4">
              <w:rPr>
                <w:rFonts w:asciiTheme="minorHAnsi" w:hAnsiTheme="minorHAnsi"/>
              </w:rPr>
              <w:t xml:space="preserve"> (Vic) s 64(1A) (maximum penalty of 10 penalty units, hence </w:t>
            </w:r>
            <w:r w:rsidRPr="00D650B4">
              <w:rPr>
                <w:rFonts w:asciiTheme="minorHAnsi" w:hAnsiTheme="minorHAnsi"/>
                <w:b/>
              </w:rPr>
              <w:t>$1000</w:t>
            </w:r>
          </w:p>
        </w:tc>
        <w:tc>
          <w:tcPr>
            <w:tcW w:w="2380" w:type="dxa"/>
          </w:tcPr>
          <w:p w14:paraId="2BBA7F21"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 xml:space="preserve">A penalty unit was $100: </w:t>
            </w:r>
            <w:r w:rsidRPr="00D650B4">
              <w:rPr>
                <w:rFonts w:asciiTheme="minorHAnsi" w:hAnsiTheme="minorHAnsi"/>
                <w:bCs/>
                <w:i/>
              </w:rPr>
              <w:t>Sentencing Act 1991</w:t>
            </w:r>
            <w:r w:rsidRPr="00D650B4">
              <w:rPr>
                <w:rFonts w:asciiTheme="minorHAnsi" w:hAnsiTheme="minorHAnsi"/>
                <w:bCs/>
              </w:rPr>
              <w:t xml:space="preserve"> (Vic) s 110</w:t>
            </w:r>
            <w:r w:rsidRPr="00D650B4">
              <w:rPr>
                <w:rFonts w:asciiTheme="minorHAnsi" w:hAnsiTheme="minorHAnsi"/>
              </w:rPr>
              <w:t>;</w:t>
            </w:r>
          </w:p>
          <w:p w14:paraId="2CABF0ED" w14:textId="77777777" w:rsidR="00F312E3" w:rsidRPr="00D650B4" w:rsidRDefault="00F312E3" w:rsidP="00FF41B4">
            <w:pPr>
              <w:pStyle w:val="TableText"/>
              <w:spacing w:line="240" w:lineRule="auto"/>
              <w:rPr>
                <w:rFonts w:asciiTheme="minorHAnsi" w:hAnsiTheme="minorHAnsi"/>
              </w:rPr>
            </w:pPr>
          </w:p>
        </w:tc>
        <w:tc>
          <w:tcPr>
            <w:tcW w:w="7200" w:type="dxa"/>
          </w:tcPr>
          <w:p w14:paraId="5B468911"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cs="Times-Roman"/>
                <w:i/>
              </w:rPr>
              <w:t>Children, Youth and Families Act 2005</w:t>
            </w:r>
            <w:r w:rsidRPr="00D650B4">
              <w:rPr>
                <w:rFonts w:asciiTheme="minorHAnsi" w:hAnsiTheme="minorHAnsi" w:cs="Times-Roman"/>
              </w:rPr>
              <w:t xml:space="preserve"> (Vic), s 184(1) maximum penalty is 10 penalty units. Through </w:t>
            </w:r>
            <w:r w:rsidRPr="00D650B4">
              <w:rPr>
                <w:rFonts w:asciiTheme="minorHAnsi" w:hAnsiTheme="minorHAnsi"/>
                <w:bCs/>
                <w:i/>
              </w:rPr>
              <w:t>Sentencing Act 1991</w:t>
            </w:r>
            <w:r w:rsidRPr="00D650B4">
              <w:rPr>
                <w:rFonts w:asciiTheme="minorHAnsi" w:hAnsiTheme="minorHAnsi"/>
                <w:bCs/>
              </w:rPr>
              <w:t xml:space="preserve"> (Vic), s 110 and </w:t>
            </w:r>
            <w:r w:rsidRPr="00D650B4">
              <w:rPr>
                <w:rFonts w:asciiTheme="minorHAnsi" w:hAnsiTheme="minorHAnsi"/>
                <w:bCs/>
                <w:i/>
              </w:rPr>
              <w:t>Monetary Units Act 2004</w:t>
            </w:r>
            <w:r w:rsidRPr="00D650B4">
              <w:rPr>
                <w:rFonts w:asciiTheme="minorHAnsi" w:hAnsiTheme="minorHAnsi"/>
                <w:bCs/>
              </w:rPr>
              <w:t xml:space="preserve"> (No 10 of 2004), the value of a penalty provision can be indexed and amended. Under the MUA 2004 s 11(1</w:t>
            </w:r>
            <w:proofErr w:type="gramStart"/>
            <w:r w:rsidRPr="00D650B4">
              <w:rPr>
                <w:rFonts w:asciiTheme="minorHAnsi" w:hAnsiTheme="minorHAnsi"/>
                <w:bCs/>
              </w:rPr>
              <w:t>)(</w:t>
            </w:r>
            <w:proofErr w:type="gramEnd"/>
            <w:r w:rsidRPr="00D650B4">
              <w:rPr>
                <w:rFonts w:asciiTheme="minorHAnsi" w:hAnsiTheme="minorHAnsi"/>
                <w:bCs/>
              </w:rPr>
              <w:t xml:space="preserve">b) a penalty unit for the 2012/13 financial year was $140.84. </w:t>
            </w:r>
            <w:proofErr w:type="gramStart"/>
            <w:r w:rsidRPr="00D650B4">
              <w:rPr>
                <w:rFonts w:asciiTheme="minorHAnsi" w:hAnsiTheme="minorHAnsi"/>
                <w:bCs/>
              </w:rPr>
              <w:t>So</w:t>
            </w:r>
            <w:proofErr w:type="gramEnd"/>
            <w:r w:rsidRPr="00D650B4">
              <w:rPr>
                <w:rFonts w:asciiTheme="minorHAnsi" w:hAnsiTheme="minorHAnsi"/>
                <w:bCs/>
              </w:rPr>
              <w:t>, the maximum penalty since 1 July 2012 has been $1408.</w:t>
            </w:r>
          </w:p>
        </w:tc>
      </w:tr>
      <w:tr w:rsidR="00F312E3" w:rsidRPr="0052480C" w14:paraId="26751AA5" w14:textId="77777777" w:rsidTr="00D650B4">
        <w:tc>
          <w:tcPr>
            <w:tcW w:w="1242" w:type="dxa"/>
          </w:tcPr>
          <w:p w14:paraId="2D334B6B"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WA</w:t>
            </w:r>
          </w:p>
        </w:tc>
        <w:tc>
          <w:tcPr>
            <w:tcW w:w="3686" w:type="dxa"/>
          </w:tcPr>
          <w:p w14:paraId="23E1241C"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None</w:t>
            </w:r>
          </w:p>
        </w:tc>
        <w:tc>
          <w:tcPr>
            <w:tcW w:w="2380" w:type="dxa"/>
          </w:tcPr>
          <w:p w14:paraId="0F3310A7"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Not applicable</w:t>
            </w:r>
          </w:p>
        </w:tc>
        <w:tc>
          <w:tcPr>
            <w:tcW w:w="7200" w:type="dxa"/>
          </w:tcPr>
          <w:p w14:paraId="35129F46" w14:textId="77777777" w:rsidR="00F312E3" w:rsidRPr="00D650B4" w:rsidRDefault="00F312E3" w:rsidP="00FF41B4">
            <w:pPr>
              <w:pStyle w:val="TableText"/>
              <w:spacing w:line="240" w:lineRule="auto"/>
              <w:rPr>
                <w:rFonts w:asciiTheme="minorHAnsi" w:hAnsiTheme="minorHAnsi"/>
              </w:rPr>
            </w:pPr>
            <w:r w:rsidRPr="00D650B4">
              <w:rPr>
                <w:rFonts w:asciiTheme="minorHAnsi" w:hAnsiTheme="minorHAnsi"/>
              </w:rPr>
              <w:t>From 1 January 2009: $6000.</w:t>
            </w:r>
          </w:p>
        </w:tc>
      </w:tr>
    </w:tbl>
    <w:p w14:paraId="758BFA17" w14:textId="77777777" w:rsidR="00F312E3" w:rsidRPr="0052480C" w:rsidRDefault="00F312E3" w:rsidP="00FF41B4">
      <w:pPr>
        <w:spacing w:before="0"/>
        <w:jc w:val="both"/>
        <w:rPr>
          <w:rFonts w:asciiTheme="majorHAnsi" w:hAnsiTheme="majorHAnsi"/>
        </w:rPr>
      </w:pPr>
      <w:r w:rsidRPr="0052480C">
        <w:rPr>
          <w:rFonts w:asciiTheme="majorHAnsi" w:hAnsiTheme="majorHAnsi"/>
        </w:rPr>
        <w:br w:type="page"/>
      </w:r>
    </w:p>
    <w:p w14:paraId="16062F81" w14:textId="77777777" w:rsidR="00F312E3" w:rsidRDefault="00F312E3" w:rsidP="00FF41B4">
      <w:pPr>
        <w:pStyle w:val="Heading5"/>
        <w:jc w:val="both"/>
      </w:pPr>
      <w:r w:rsidRPr="0052480C">
        <w:lastRenderedPageBreak/>
        <w:t>Table 1.7: What must be reported – types of abuse and neglect, abuse vs harm, and the extent of harm: Australian States and Territories</w:t>
      </w:r>
    </w:p>
    <w:p w14:paraId="0659381E" w14:textId="77777777" w:rsidR="00F312E3" w:rsidRPr="00EB4582" w:rsidRDefault="00F312E3" w:rsidP="00FF41B4">
      <w:pPr>
        <w:jc w:val="both"/>
      </w:pPr>
    </w:p>
    <w:tbl>
      <w:tblPr>
        <w:tblW w:w="14884" w:type="dxa"/>
        <w:tblInd w:w="-85" w:type="dxa"/>
        <w:tblLayout w:type="fixed"/>
        <w:tblCellMar>
          <w:left w:w="0" w:type="dxa"/>
          <w:right w:w="0" w:type="dxa"/>
        </w:tblCellMar>
        <w:tblLook w:val="0000" w:firstRow="0" w:lastRow="0" w:firstColumn="0" w:lastColumn="0" w:noHBand="0" w:noVBand="0"/>
      </w:tblPr>
      <w:tblGrid>
        <w:gridCol w:w="1402"/>
        <w:gridCol w:w="10364"/>
        <w:gridCol w:w="3118"/>
      </w:tblGrid>
      <w:tr w:rsidR="00F312E3" w:rsidRPr="0052480C" w14:paraId="58B6AF6B" w14:textId="77777777" w:rsidTr="00CD58CD">
        <w:trPr>
          <w:trHeight w:val="279"/>
          <w:tblHeader/>
        </w:trPr>
        <w:tc>
          <w:tcPr>
            <w:tcW w:w="1402"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27CA789E" w14:textId="77777777" w:rsidR="00F312E3" w:rsidRPr="0052480C" w:rsidRDefault="00F312E3" w:rsidP="00FF41B4">
            <w:pPr>
              <w:spacing w:before="0" w:line="240" w:lineRule="auto"/>
              <w:jc w:val="both"/>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1D821533" w14:textId="77777777" w:rsidR="00F312E3" w:rsidRPr="00D650B4" w:rsidRDefault="00F312E3" w:rsidP="00FF41B4">
            <w:pPr>
              <w:spacing w:before="0" w:line="240" w:lineRule="auto"/>
              <w:jc w:val="both"/>
              <w:rPr>
                <w:b/>
              </w:rPr>
            </w:pPr>
            <w:r w:rsidRPr="00D650B4">
              <w:rPr>
                <w:b/>
              </w:rPr>
              <w:t>Legislative reporting provisions - what must be reported - types of abuse and neglect – extent of harm</w:t>
            </w:r>
          </w:p>
        </w:tc>
        <w:tc>
          <w:tcPr>
            <w:tcW w:w="3118"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22740A2A" w14:textId="77777777" w:rsidR="00F312E3" w:rsidRPr="00D650B4" w:rsidRDefault="00F312E3" w:rsidP="00FF41B4">
            <w:pPr>
              <w:spacing w:before="0" w:line="240" w:lineRule="auto"/>
              <w:jc w:val="both"/>
              <w:rPr>
                <w:b/>
              </w:rPr>
            </w:pPr>
            <w:r w:rsidRPr="00D650B4">
              <w:rPr>
                <w:b/>
              </w:rPr>
              <w:t xml:space="preserve">Abuse / harm; significant harm </w:t>
            </w:r>
          </w:p>
        </w:tc>
      </w:tr>
      <w:tr w:rsidR="00F312E3" w:rsidRPr="0052480C" w14:paraId="3C48ED06" w14:textId="77777777" w:rsidTr="00CD58CD">
        <w:trPr>
          <w:trHeight w:val="1283"/>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374849E" w14:textId="77777777" w:rsidR="00F312E3" w:rsidRPr="00D650B4" w:rsidRDefault="00F312E3" w:rsidP="00FF41B4">
            <w:pPr>
              <w:spacing w:before="0" w:line="240" w:lineRule="auto"/>
              <w:jc w:val="both"/>
              <w:rPr>
                <w:b/>
              </w:rPr>
            </w:pPr>
            <w:r w:rsidRPr="00D650B4">
              <w:rPr>
                <w:b/>
              </w:rPr>
              <w:t>ACT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8109F0D" w14:textId="77777777" w:rsidR="00F312E3" w:rsidRPr="00D650B4" w:rsidRDefault="00F312E3" w:rsidP="00FF41B4">
            <w:pPr>
              <w:spacing w:before="0" w:line="240" w:lineRule="auto"/>
              <w:jc w:val="both"/>
            </w:pPr>
            <w:r w:rsidRPr="00D650B4">
              <w:rPr>
                <w:i/>
                <w:iCs/>
              </w:rPr>
              <w:t>Children and Young People Act 2008</w:t>
            </w:r>
            <w:r w:rsidRPr="00D650B4">
              <w:t xml:space="preserve"> (ACT) </w:t>
            </w:r>
          </w:p>
          <w:p w14:paraId="10B2A718" w14:textId="77777777" w:rsidR="00F312E3" w:rsidRPr="00D650B4" w:rsidRDefault="00F312E3" w:rsidP="00FF41B4">
            <w:pPr>
              <w:spacing w:before="0" w:line="240" w:lineRule="auto"/>
              <w:jc w:val="both"/>
            </w:pPr>
            <w:r w:rsidRPr="00D650B4">
              <w:t xml:space="preserve">Section </w:t>
            </w:r>
            <w:r w:rsidRPr="00D650B4">
              <w:rPr>
                <w:b/>
              </w:rPr>
              <w:t>356</w:t>
            </w:r>
            <w:r w:rsidRPr="00D650B4">
              <w:t xml:space="preserve">(1)(c) If the mandated reporter 'believes on reasonable grounds that a child or young person </w:t>
            </w:r>
            <w:r w:rsidRPr="00D650B4">
              <w:rPr>
                <w:b/>
              </w:rPr>
              <w:t>has experienced, or is experiencing</w:t>
            </w:r>
            <w:r w:rsidRPr="00D650B4">
              <w:t xml:space="preserve"> -</w:t>
            </w:r>
          </w:p>
          <w:p w14:paraId="30C0F061" w14:textId="77777777" w:rsidR="00F312E3" w:rsidRPr="00D650B4" w:rsidRDefault="00F312E3" w:rsidP="00FF41B4">
            <w:pPr>
              <w:numPr>
                <w:ilvl w:val="0"/>
                <w:numId w:val="29"/>
              </w:numPr>
              <w:spacing w:before="0" w:line="240" w:lineRule="auto"/>
              <w:jc w:val="both"/>
            </w:pPr>
            <w:r w:rsidRPr="00D650B4">
              <w:rPr>
                <w:b/>
              </w:rPr>
              <w:t>sexual abuse</w:t>
            </w:r>
            <w:r w:rsidRPr="00D650B4">
              <w:t>; or</w:t>
            </w:r>
          </w:p>
          <w:p w14:paraId="74D2769A" w14:textId="77777777" w:rsidR="00F312E3" w:rsidRPr="00D650B4" w:rsidRDefault="00F312E3" w:rsidP="00FF41B4">
            <w:pPr>
              <w:numPr>
                <w:ilvl w:val="0"/>
                <w:numId w:val="29"/>
              </w:numPr>
              <w:spacing w:before="0" w:line="240" w:lineRule="auto"/>
              <w:jc w:val="both"/>
            </w:pPr>
            <w:r w:rsidRPr="00D650B4">
              <w:rPr>
                <w:b/>
              </w:rPr>
              <w:t>non-accidental physical injury</w:t>
            </w:r>
            <w:r w:rsidRPr="00D650B4">
              <w:t>; and</w:t>
            </w:r>
          </w:p>
          <w:p w14:paraId="491CE915" w14:textId="77777777" w:rsidR="00F312E3" w:rsidRPr="00D650B4" w:rsidRDefault="00F312E3" w:rsidP="00FF41B4">
            <w:pPr>
              <w:spacing w:before="0" w:line="240" w:lineRule="auto"/>
              <w:jc w:val="both"/>
            </w:pPr>
            <w:r w:rsidRPr="00D650B4">
              <w:t>the person's reasons for the belief arise from information obtained by the person during the course of, or because of, the person’s work</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5269D46" w14:textId="77777777" w:rsidR="00F312E3" w:rsidRPr="00D650B4" w:rsidRDefault="00F312E3" w:rsidP="00FF41B4">
            <w:pPr>
              <w:spacing w:before="0" w:line="240" w:lineRule="auto"/>
              <w:jc w:val="both"/>
              <w:rPr>
                <w:i/>
              </w:rPr>
            </w:pPr>
            <w:r w:rsidRPr="00D650B4">
              <w:rPr>
                <w:i/>
              </w:rPr>
              <w:t xml:space="preserve">Focus is ‘abuse’ explicitly for sexual abuse, and ‘injury’ as a consequence of abuse </w:t>
            </w:r>
            <w:r w:rsidRPr="00D650B4">
              <w:rPr>
                <w:i/>
                <w:u w:val="single"/>
              </w:rPr>
              <w:t>causing</w:t>
            </w:r>
            <w:r w:rsidRPr="00D650B4">
              <w:rPr>
                <w:i/>
              </w:rPr>
              <w:t xml:space="preserve"> physical injury</w:t>
            </w:r>
          </w:p>
          <w:p w14:paraId="656C6DAE" w14:textId="77777777" w:rsidR="00F312E3" w:rsidRPr="00D650B4" w:rsidRDefault="00F312E3" w:rsidP="00FF41B4">
            <w:pPr>
              <w:spacing w:before="0" w:line="240" w:lineRule="auto"/>
              <w:jc w:val="both"/>
            </w:pPr>
          </w:p>
          <w:p w14:paraId="0BB891BE" w14:textId="77777777" w:rsidR="00F312E3" w:rsidRPr="00D650B4" w:rsidRDefault="00F312E3" w:rsidP="00FF41B4">
            <w:pPr>
              <w:spacing w:before="0" w:line="240" w:lineRule="auto"/>
              <w:jc w:val="both"/>
            </w:pPr>
            <w:r w:rsidRPr="00D650B4">
              <w:t>Sexual abuse (any)</w:t>
            </w:r>
          </w:p>
          <w:p w14:paraId="42BBDE38" w14:textId="77777777" w:rsidR="00F312E3" w:rsidRPr="00D650B4" w:rsidRDefault="00F312E3" w:rsidP="00FF41B4">
            <w:pPr>
              <w:spacing w:before="0" w:line="240" w:lineRule="auto"/>
              <w:jc w:val="both"/>
            </w:pPr>
            <w:r w:rsidRPr="00D650B4">
              <w:t>Non-accidental physical injury (any; no mention of significance)</w:t>
            </w:r>
          </w:p>
        </w:tc>
      </w:tr>
      <w:tr w:rsidR="00F312E3" w:rsidRPr="0052480C" w14:paraId="6460A49A" w14:textId="77777777" w:rsidTr="00CD58CD">
        <w:trPr>
          <w:trHeight w:val="334"/>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4B9E17C" w14:textId="77777777" w:rsidR="00F312E3" w:rsidRPr="00D650B4" w:rsidRDefault="00F312E3" w:rsidP="00FF41B4">
            <w:pPr>
              <w:spacing w:before="0" w:line="240" w:lineRule="auto"/>
              <w:jc w:val="both"/>
              <w:rPr>
                <w:b/>
              </w:rPr>
            </w:pPr>
            <w:r w:rsidRPr="00D650B4">
              <w:rPr>
                <w:b/>
              </w:rPr>
              <w:t>NSW</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A0C37DF" w14:textId="77777777" w:rsidR="00F312E3" w:rsidRPr="00D650B4" w:rsidRDefault="00F312E3" w:rsidP="00FF41B4">
            <w:pPr>
              <w:spacing w:before="0" w:line="240" w:lineRule="auto"/>
              <w:jc w:val="both"/>
            </w:pPr>
            <w:r w:rsidRPr="00D650B4">
              <w:rPr>
                <w:i/>
                <w:iCs/>
              </w:rPr>
              <w:t>Children and Young Persons (Care and Protection) Act 1998</w:t>
            </w:r>
            <w:r w:rsidRPr="00D650B4">
              <w:t xml:space="preserve"> (NSW)</w:t>
            </w:r>
          </w:p>
          <w:p w14:paraId="41C86072" w14:textId="77777777" w:rsidR="00F312E3" w:rsidRPr="00D650B4" w:rsidRDefault="00F312E3" w:rsidP="00FF41B4">
            <w:pPr>
              <w:spacing w:before="0" w:line="240" w:lineRule="auto"/>
              <w:jc w:val="both"/>
            </w:pPr>
            <w:r w:rsidRPr="00D650B4">
              <w:t xml:space="preserve">Section </w:t>
            </w:r>
            <w:r w:rsidRPr="00D650B4">
              <w:rPr>
                <w:b/>
              </w:rPr>
              <w:t>27</w:t>
            </w:r>
            <w:r w:rsidRPr="00D650B4">
              <w:t xml:space="preserve">: If the mandated reporter 'has </w:t>
            </w:r>
            <w:r w:rsidRPr="00D650B4">
              <w:rPr>
                <w:b/>
                <w:i/>
              </w:rPr>
              <w:t>reasonable grounds to suspect that a child is</w:t>
            </w:r>
            <w:r w:rsidRPr="00D650B4">
              <w:t xml:space="preserve"> </w:t>
            </w:r>
            <w:r w:rsidRPr="00D650B4">
              <w:rPr>
                <w:b/>
                <w:i/>
              </w:rPr>
              <w:t>at risk of significant harm</w:t>
            </w:r>
            <w:r w:rsidRPr="00D650B4">
              <w:t>; and those grounds arise during the course of or from the person’s work'</w:t>
            </w:r>
          </w:p>
          <w:p w14:paraId="3F28C7C3" w14:textId="77777777" w:rsidR="00F312E3" w:rsidRPr="00D650B4" w:rsidRDefault="00F312E3" w:rsidP="00FF41B4">
            <w:pPr>
              <w:spacing w:before="0" w:line="240" w:lineRule="auto"/>
              <w:jc w:val="both"/>
            </w:pPr>
            <w:r w:rsidRPr="00D650B4">
              <w:t xml:space="preserve">Section </w:t>
            </w:r>
            <w:r w:rsidRPr="00D650B4">
              <w:rPr>
                <w:b/>
              </w:rPr>
              <w:t>23(1)</w:t>
            </w:r>
            <w:r w:rsidRPr="00D650B4">
              <w:t xml:space="preserve">: A child 'is </w:t>
            </w:r>
            <w:r w:rsidRPr="00D650B4">
              <w:rPr>
                <w:b/>
                <w:i/>
              </w:rPr>
              <w:t>at risk of significant harm</w:t>
            </w:r>
            <w:r w:rsidRPr="00D650B4">
              <w:t xml:space="preserve"> if </w:t>
            </w:r>
            <w:r w:rsidRPr="00D650B4">
              <w:rPr>
                <w:u w:val="single"/>
              </w:rPr>
              <w:t xml:space="preserve">current concerns exist for the safety, welfare or well-being of the child because of the presence, </w:t>
            </w:r>
            <w:r w:rsidRPr="00D650B4">
              <w:rPr>
                <w:b/>
                <w:i/>
                <w:u w:val="single"/>
              </w:rPr>
              <w:t>to a significant extent</w:t>
            </w:r>
            <w:r w:rsidRPr="00D650B4">
              <w:rPr>
                <w:u w:val="single"/>
              </w:rPr>
              <w:t>, of any one or more of the following circumstances</w:t>
            </w:r>
            <w:r w:rsidRPr="00D650B4">
              <w:t>:</w:t>
            </w:r>
          </w:p>
          <w:p w14:paraId="1A844F38" w14:textId="77777777" w:rsidR="00F312E3" w:rsidRPr="00D650B4" w:rsidRDefault="00F312E3" w:rsidP="00FF41B4">
            <w:pPr>
              <w:spacing w:before="0" w:line="240" w:lineRule="auto"/>
              <w:jc w:val="both"/>
            </w:pPr>
            <w:r w:rsidRPr="00D650B4">
              <w:t xml:space="preserve">(a) the child’s or young person’s </w:t>
            </w:r>
            <w:r w:rsidRPr="00D650B4">
              <w:rPr>
                <w:b/>
              </w:rPr>
              <w:t>basic physical or psychological needs</w:t>
            </w:r>
            <w:r w:rsidRPr="00D650B4">
              <w:t xml:space="preserve"> are not being met or are at risk of not being met,</w:t>
            </w:r>
          </w:p>
          <w:p w14:paraId="60DFE6D7" w14:textId="77777777" w:rsidR="00F312E3" w:rsidRPr="00D650B4" w:rsidRDefault="00F312E3" w:rsidP="00FF41B4">
            <w:pPr>
              <w:spacing w:before="0" w:line="240" w:lineRule="auto"/>
              <w:jc w:val="both"/>
            </w:pPr>
            <w:r w:rsidRPr="00D650B4">
              <w:t xml:space="preserve">(b) the parents or other caregivers have not arranged </w:t>
            </w:r>
            <w:r w:rsidRPr="00D650B4">
              <w:rPr>
                <w:b/>
              </w:rPr>
              <w:t>and</w:t>
            </w:r>
            <w:r w:rsidRPr="00D650B4">
              <w:t xml:space="preserve"> are unable or unwilling to arrange for the child or young person to receive necessary </w:t>
            </w:r>
            <w:r w:rsidRPr="00D650B4">
              <w:rPr>
                <w:b/>
              </w:rPr>
              <w:t>medical care</w:t>
            </w:r>
            <w:r w:rsidRPr="00D650B4">
              <w:t>,</w:t>
            </w:r>
          </w:p>
          <w:p w14:paraId="08A7BB99" w14:textId="77777777" w:rsidR="00F312E3" w:rsidRPr="00D650B4" w:rsidRDefault="00F312E3" w:rsidP="00FF41B4">
            <w:pPr>
              <w:spacing w:before="0" w:line="240" w:lineRule="auto"/>
              <w:jc w:val="both"/>
            </w:pPr>
            <w:r w:rsidRPr="00D650B4">
              <w:t xml:space="preserve">(b1) in the case of a child or young person who is required to </w:t>
            </w:r>
            <w:r w:rsidRPr="00D650B4">
              <w:rPr>
                <w:b/>
              </w:rPr>
              <w:t>attend school</w:t>
            </w:r>
            <w:r w:rsidRPr="00D650B4">
              <w:t xml:space="preserve"> in accordance with the Education Act 1990—the parents or other caregivers have not arranged </w:t>
            </w:r>
            <w:r w:rsidRPr="00D650B4">
              <w:rPr>
                <w:b/>
              </w:rPr>
              <w:t>and</w:t>
            </w:r>
            <w:r w:rsidRPr="00D650B4">
              <w:t xml:space="preserve"> are unable or unwilling to arrange for the child or young person to receive an education in accordance with that Act,</w:t>
            </w:r>
          </w:p>
          <w:p w14:paraId="25D488DE" w14:textId="77777777" w:rsidR="00F312E3" w:rsidRPr="00D650B4" w:rsidRDefault="00F312E3" w:rsidP="00FF41B4">
            <w:pPr>
              <w:spacing w:before="0" w:line="240" w:lineRule="auto"/>
              <w:jc w:val="both"/>
            </w:pPr>
            <w:r w:rsidRPr="00D650B4">
              <w:t xml:space="preserve">(c) the child or young person has been, or is at risk of being, </w:t>
            </w:r>
            <w:r w:rsidRPr="00D650B4">
              <w:rPr>
                <w:b/>
              </w:rPr>
              <w:t>physically or sexually abused</w:t>
            </w:r>
            <w:r w:rsidRPr="00D650B4">
              <w:t xml:space="preserve"> or ill-treated,</w:t>
            </w:r>
          </w:p>
          <w:p w14:paraId="65936D89" w14:textId="77777777" w:rsidR="00F312E3" w:rsidRPr="00D650B4" w:rsidRDefault="00F312E3" w:rsidP="00FF41B4">
            <w:pPr>
              <w:spacing w:before="0" w:line="240" w:lineRule="auto"/>
              <w:jc w:val="both"/>
            </w:pPr>
            <w:r w:rsidRPr="00D650B4">
              <w:t xml:space="preserve">(d) the child or young person is living in a household where there have been incidents of </w:t>
            </w:r>
            <w:r w:rsidRPr="00D650B4">
              <w:rPr>
                <w:b/>
              </w:rPr>
              <w:t>domestic violence</w:t>
            </w:r>
            <w:r w:rsidRPr="00D650B4">
              <w:t xml:space="preserve"> and, </w:t>
            </w:r>
            <w:r w:rsidRPr="00D650B4">
              <w:rPr>
                <w:u w:val="single"/>
              </w:rPr>
              <w:t>as a consequence</w:t>
            </w:r>
            <w:r w:rsidRPr="00D650B4">
              <w:t>, the child or young person is at risk of serious physical or psychological harm,</w:t>
            </w:r>
          </w:p>
          <w:p w14:paraId="63DE0625" w14:textId="77777777" w:rsidR="00F312E3" w:rsidRPr="00D650B4" w:rsidRDefault="00F312E3" w:rsidP="00FF41B4">
            <w:pPr>
              <w:spacing w:before="0" w:line="240" w:lineRule="auto"/>
              <w:jc w:val="both"/>
            </w:pPr>
            <w:r w:rsidRPr="00D650B4">
              <w:t xml:space="preserve">(e) a </w:t>
            </w:r>
            <w:r w:rsidRPr="00D650B4">
              <w:rPr>
                <w:b/>
              </w:rPr>
              <w:t xml:space="preserve">parent or other caregiver has behaved </w:t>
            </w:r>
            <w:r w:rsidRPr="00D650B4">
              <w:rPr>
                <w:b/>
                <w:u w:val="single"/>
              </w:rPr>
              <w:t>in such a way</w:t>
            </w:r>
            <w:r w:rsidRPr="00D650B4">
              <w:rPr>
                <w:u w:val="single"/>
              </w:rPr>
              <w:t xml:space="preserve"> towards the child or young person that the child or young person has suffered</w:t>
            </w:r>
            <w:r w:rsidRPr="00D650B4">
              <w:t xml:space="preserve"> or is at risk of suffering </w:t>
            </w:r>
            <w:r w:rsidRPr="00D650B4">
              <w:rPr>
                <w:b/>
              </w:rPr>
              <w:t>serious psychological harm</w:t>
            </w:r>
            <w:r w:rsidRPr="00D650B4">
              <w:t>,</w:t>
            </w:r>
          </w:p>
          <w:p w14:paraId="579EB06D" w14:textId="77777777" w:rsidR="00F312E3" w:rsidRPr="00D650B4" w:rsidRDefault="00F312E3" w:rsidP="00FF41B4">
            <w:pPr>
              <w:spacing w:before="0" w:line="240" w:lineRule="auto"/>
              <w:jc w:val="both"/>
            </w:pPr>
            <w:r w:rsidRPr="00D650B4">
              <w:lastRenderedPageBreak/>
              <w:t>(f) the child was the subject of a pre-natal report under section 25 and the birth mother of the child did not engage successfully with support services to eliminate, or minimise to the lowest level reasonably practical, the risk factors that gave rise to the report.'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DE33084" w14:textId="77777777" w:rsidR="00F312E3" w:rsidRPr="00D650B4" w:rsidRDefault="00F312E3" w:rsidP="00FF41B4">
            <w:pPr>
              <w:spacing w:before="0" w:line="240" w:lineRule="auto"/>
              <w:jc w:val="both"/>
              <w:rPr>
                <w:i/>
              </w:rPr>
            </w:pPr>
            <w:r w:rsidRPr="00D650B4">
              <w:rPr>
                <w:i/>
              </w:rPr>
              <w:lastRenderedPageBreak/>
              <w:t xml:space="preserve">Focus is ‘risk of significant harm’ with subsequent provisions focusing on the abuse </w:t>
            </w:r>
            <w:r w:rsidRPr="00D650B4">
              <w:rPr>
                <w:i/>
                <w:u w:val="single"/>
              </w:rPr>
              <w:t>causing</w:t>
            </w:r>
            <w:r w:rsidRPr="00D650B4">
              <w:rPr>
                <w:i/>
              </w:rPr>
              <w:t xml:space="preserve"> the ‘harm’ specified</w:t>
            </w:r>
          </w:p>
          <w:p w14:paraId="0FC93FE0" w14:textId="77777777" w:rsidR="00F312E3" w:rsidRPr="00D650B4" w:rsidRDefault="00F312E3" w:rsidP="00FF41B4">
            <w:pPr>
              <w:spacing w:before="0" w:line="240" w:lineRule="auto"/>
              <w:jc w:val="both"/>
            </w:pPr>
          </w:p>
          <w:p w14:paraId="36A43B09" w14:textId="77777777" w:rsidR="00F312E3" w:rsidRPr="00D650B4" w:rsidRDefault="00F312E3" w:rsidP="00FF41B4">
            <w:pPr>
              <w:spacing w:before="0" w:line="240" w:lineRule="auto"/>
              <w:jc w:val="both"/>
            </w:pPr>
            <w:r w:rsidRPr="00D650B4">
              <w:t>Neglect (a), (b), (b1)</w:t>
            </w:r>
          </w:p>
          <w:p w14:paraId="557986C2" w14:textId="77777777" w:rsidR="00F312E3" w:rsidRPr="00D650B4" w:rsidRDefault="00F312E3" w:rsidP="00FF41B4">
            <w:pPr>
              <w:spacing w:before="0" w:line="240" w:lineRule="auto"/>
              <w:jc w:val="both"/>
            </w:pPr>
            <w:r w:rsidRPr="00D650B4">
              <w:t>Physical abuse (c)</w:t>
            </w:r>
          </w:p>
          <w:p w14:paraId="3233AD0C" w14:textId="77777777" w:rsidR="00F312E3" w:rsidRPr="00D650B4" w:rsidRDefault="00F312E3" w:rsidP="00FF41B4">
            <w:pPr>
              <w:spacing w:before="0" w:line="240" w:lineRule="auto"/>
              <w:jc w:val="both"/>
            </w:pPr>
            <w:r w:rsidRPr="00D650B4">
              <w:t>Sexual abuse (c)</w:t>
            </w:r>
          </w:p>
          <w:p w14:paraId="038286C5" w14:textId="77777777" w:rsidR="00F312E3" w:rsidRPr="00D650B4" w:rsidRDefault="00F312E3" w:rsidP="00FF41B4">
            <w:pPr>
              <w:spacing w:before="0" w:line="240" w:lineRule="auto"/>
              <w:jc w:val="both"/>
            </w:pPr>
            <w:r w:rsidRPr="00D650B4">
              <w:t>Exposure to domestic violence + risk of serious physical or psychological harm (d)</w:t>
            </w:r>
          </w:p>
          <w:p w14:paraId="4178EC23" w14:textId="77777777" w:rsidR="00F312E3" w:rsidRPr="00D650B4" w:rsidRDefault="00F312E3" w:rsidP="00FF41B4">
            <w:pPr>
              <w:spacing w:before="0" w:line="240" w:lineRule="auto"/>
              <w:jc w:val="both"/>
            </w:pPr>
            <w:r w:rsidRPr="00D650B4">
              <w:t>Psychological/other abuse +  serious psychological harm (e)</w:t>
            </w:r>
          </w:p>
          <w:p w14:paraId="5707D9DF" w14:textId="77777777" w:rsidR="00F312E3" w:rsidRPr="00D650B4" w:rsidRDefault="00F312E3" w:rsidP="00FF41B4">
            <w:pPr>
              <w:spacing w:before="0" w:line="240" w:lineRule="auto"/>
              <w:jc w:val="both"/>
            </w:pPr>
          </w:p>
          <w:p w14:paraId="633E3413" w14:textId="77777777" w:rsidR="00F312E3" w:rsidRPr="00D650B4" w:rsidRDefault="00F312E3" w:rsidP="00FF41B4">
            <w:pPr>
              <w:spacing w:before="0" w:line="240" w:lineRule="auto"/>
              <w:jc w:val="both"/>
            </w:pPr>
            <w:r w:rsidRPr="00D650B4">
              <w:t>Focus on ‘significant harm’ (but complex, convoluted drafting)</w:t>
            </w:r>
          </w:p>
        </w:tc>
      </w:tr>
      <w:tr w:rsidR="00F312E3" w:rsidRPr="0052480C" w14:paraId="55511A80" w14:textId="77777777" w:rsidTr="00CD58CD">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A9790C5" w14:textId="77777777" w:rsidR="00F312E3" w:rsidRPr="00D650B4" w:rsidRDefault="00F312E3" w:rsidP="00FF41B4">
            <w:pPr>
              <w:spacing w:before="0" w:line="240" w:lineRule="auto"/>
              <w:jc w:val="both"/>
              <w:rPr>
                <w:b/>
              </w:rPr>
            </w:pPr>
            <w:r w:rsidRPr="00D650B4">
              <w:rPr>
                <w:b/>
              </w:rPr>
              <w:lastRenderedPageBreak/>
              <w:t>NT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399B3D3" w14:textId="77777777" w:rsidR="00F312E3" w:rsidRPr="00D650B4" w:rsidRDefault="00F312E3" w:rsidP="00FF41B4">
            <w:pPr>
              <w:spacing w:before="0" w:line="240" w:lineRule="auto"/>
              <w:jc w:val="both"/>
            </w:pPr>
            <w:r w:rsidRPr="00D650B4">
              <w:rPr>
                <w:i/>
                <w:iCs/>
              </w:rPr>
              <w:t>Care and Protection of Children Act 2007</w:t>
            </w:r>
            <w:r w:rsidRPr="00D650B4">
              <w:t xml:space="preserve"> (NT)</w:t>
            </w:r>
          </w:p>
          <w:p w14:paraId="4A9492D3" w14:textId="77777777" w:rsidR="00F312E3" w:rsidRPr="00D650B4" w:rsidRDefault="00F312E3" w:rsidP="00FF41B4">
            <w:pPr>
              <w:spacing w:before="0" w:line="240" w:lineRule="auto"/>
              <w:jc w:val="both"/>
            </w:pPr>
            <w:r w:rsidRPr="00D650B4">
              <w:t xml:space="preserve">Section </w:t>
            </w:r>
            <w:r w:rsidRPr="00D650B4">
              <w:rPr>
                <w:b/>
              </w:rPr>
              <w:t>26</w:t>
            </w:r>
            <w:r w:rsidRPr="00D650B4">
              <w:t>(1): A person is guilty of an offence if the person (a) ‘believes, on reasonable grounds, any of the following:</w:t>
            </w:r>
          </w:p>
          <w:p w14:paraId="40D17514" w14:textId="77777777" w:rsidR="00F312E3" w:rsidRPr="00D650B4" w:rsidRDefault="00F312E3" w:rsidP="00FF41B4">
            <w:pPr>
              <w:numPr>
                <w:ilvl w:val="0"/>
                <w:numId w:val="30"/>
              </w:numPr>
              <w:spacing w:before="0" w:line="240" w:lineRule="auto"/>
              <w:jc w:val="both"/>
            </w:pPr>
            <w:r w:rsidRPr="00D650B4">
              <w:t xml:space="preserve">a child has suffered or is likely to suffer </w:t>
            </w:r>
            <w:r w:rsidRPr="00D650B4">
              <w:rPr>
                <w:b/>
              </w:rPr>
              <w:t>harm</w:t>
            </w:r>
            <w:r w:rsidRPr="00D650B4">
              <w:t xml:space="preserve"> or </w:t>
            </w:r>
            <w:r w:rsidRPr="00D650B4">
              <w:rPr>
                <w:b/>
              </w:rPr>
              <w:t>exploitation</w:t>
            </w:r>
            <w:r w:rsidRPr="00D650B4">
              <w:t>;</w:t>
            </w:r>
          </w:p>
          <w:p w14:paraId="3E856498" w14:textId="77777777" w:rsidR="00F312E3" w:rsidRPr="00D650B4" w:rsidRDefault="00F312E3" w:rsidP="00FF41B4">
            <w:pPr>
              <w:numPr>
                <w:ilvl w:val="0"/>
                <w:numId w:val="30"/>
              </w:numPr>
              <w:spacing w:before="0" w:line="240" w:lineRule="auto"/>
              <w:jc w:val="both"/>
            </w:pPr>
            <w:r w:rsidRPr="00D650B4">
              <w:t>a child aged less than 14 years has been or is likely to be a victim of a sexual offence;</w:t>
            </w:r>
          </w:p>
          <w:p w14:paraId="1E70FD61" w14:textId="77777777" w:rsidR="00F312E3" w:rsidRPr="00D650B4" w:rsidRDefault="00F312E3" w:rsidP="00FF41B4">
            <w:pPr>
              <w:numPr>
                <w:ilvl w:val="0"/>
                <w:numId w:val="30"/>
              </w:numPr>
              <w:spacing w:before="0" w:line="240" w:lineRule="auto"/>
              <w:jc w:val="both"/>
            </w:pPr>
            <w:proofErr w:type="gramStart"/>
            <w:r w:rsidRPr="00D650B4">
              <w:t>a</w:t>
            </w:r>
            <w:proofErr w:type="gramEnd"/>
            <w:r w:rsidRPr="00D650B4">
              <w:t xml:space="preserve"> child has been or is likely to be a victim of an offence against section 128 of the Criminal Code’  and does not report it.</w:t>
            </w:r>
          </w:p>
          <w:p w14:paraId="6FB523C3" w14:textId="77777777" w:rsidR="00F312E3" w:rsidRPr="00D650B4" w:rsidRDefault="00F312E3" w:rsidP="00FF41B4">
            <w:pPr>
              <w:spacing w:before="0" w:line="240" w:lineRule="auto"/>
              <w:jc w:val="both"/>
            </w:pPr>
          </w:p>
          <w:p w14:paraId="1329F285" w14:textId="77777777" w:rsidR="00F312E3" w:rsidRPr="00D650B4" w:rsidRDefault="00F312E3" w:rsidP="00FF41B4">
            <w:pPr>
              <w:spacing w:before="0" w:line="240" w:lineRule="auto"/>
              <w:jc w:val="both"/>
            </w:pPr>
            <w:r w:rsidRPr="00D650B4">
              <w:t>Section 26(2): A person is guilty of an offence if the person (a) is a health practitioner or someone prescribed by regulation; and (b) ‘believes, on reasonable grounds,</w:t>
            </w:r>
          </w:p>
          <w:p w14:paraId="4B498366" w14:textId="77777777" w:rsidR="00F312E3" w:rsidRPr="00D650B4" w:rsidRDefault="00F312E3" w:rsidP="00FF41B4">
            <w:pPr>
              <w:numPr>
                <w:ilvl w:val="0"/>
                <w:numId w:val="31"/>
              </w:numPr>
              <w:spacing w:before="0" w:line="240" w:lineRule="auto"/>
              <w:jc w:val="both"/>
            </w:pPr>
            <w:r w:rsidRPr="00D650B4">
              <w:t xml:space="preserve">that a child aged at least 14 years (but less than 16 years) has been or is likely to be a victim of a </w:t>
            </w:r>
            <w:r w:rsidRPr="00D650B4">
              <w:rPr>
                <w:b/>
              </w:rPr>
              <w:t>sexual offence</w:t>
            </w:r>
            <w:r w:rsidRPr="00D650B4">
              <w:t>; and</w:t>
            </w:r>
          </w:p>
          <w:p w14:paraId="5E42CAE7" w14:textId="77777777" w:rsidR="00F312E3" w:rsidRPr="00D650B4" w:rsidRDefault="00F312E3" w:rsidP="00FF41B4">
            <w:pPr>
              <w:numPr>
                <w:ilvl w:val="0"/>
                <w:numId w:val="31"/>
              </w:numPr>
              <w:spacing w:before="0" w:line="240" w:lineRule="auto"/>
              <w:jc w:val="both"/>
            </w:pPr>
            <w:r w:rsidRPr="00D650B4">
              <w:t xml:space="preserve">that the difference in age between the child and alleged sexual offender is more than 2 years; </w:t>
            </w:r>
          </w:p>
          <w:p w14:paraId="436EDA82" w14:textId="77777777" w:rsidR="00F312E3" w:rsidRPr="00D650B4" w:rsidRDefault="00F312E3" w:rsidP="00FF41B4">
            <w:pPr>
              <w:spacing w:before="0" w:line="240" w:lineRule="auto"/>
              <w:jc w:val="both"/>
            </w:pPr>
            <w:proofErr w:type="gramStart"/>
            <w:r w:rsidRPr="00D650B4">
              <w:t>and</w:t>
            </w:r>
            <w:proofErr w:type="gramEnd"/>
            <w:r w:rsidRPr="00D650B4">
              <w:t xml:space="preserve"> does not report it.</w:t>
            </w:r>
          </w:p>
          <w:p w14:paraId="0EC177DC" w14:textId="77777777" w:rsidR="00F312E3" w:rsidRPr="00D650B4" w:rsidRDefault="00F312E3" w:rsidP="00FF41B4">
            <w:pPr>
              <w:spacing w:before="0" w:line="240" w:lineRule="auto"/>
              <w:jc w:val="both"/>
            </w:pPr>
          </w:p>
          <w:p w14:paraId="2F1FE31A" w14:textId="77777777" w:rsidR="00F312E3" w:rsidRPr="00D650B4" w:rsidRDefault="00F312E3" w:rsidP="00FF41B4">
            <w:pPr>
              <w:spacing w:before="0" w:line="240" w:lineRule="auto"/>
              <w:jc w:val="both"/>
            </w:pPr>
            <w:r w:rsidRPr="00D650B4">
              <w:t xml:space="preserve">Section </w:t>
            </w:r>
            <w:r w:rsidRPr="00D650B4">
              <w:rPr>
                <w:b/>
              </w:rPr>
              <w:t>15</w:t>
            </w:r>
            <w:r w:rsidRPr="00D650B4">
              <w:t xml:space="preserve">(1): </w:t>
            </w:r>
            <w:r w:rsidRPr="00D650B4">
              <w:rPr>
                <w:b/>
              </w:rPr>
              <w:t>Harm</w:t>
            </w:r>
            <w:r w:rsidRPr="00D650B4">
              <w:t xml:space="preserve"> to a child is any </w:t>
            </w:r>
            <w:r w:rsidRPr="00D650B4">
              <w:rPr>
                <w:b/>
              </w:rPr>
              <w:t>significant detrimental effect</w:t>
            </w:r>
            <w:r w:rsidRPr="00D650B4">
              <w:t xml:space="preserve"> caused by any act, omission or circumstance on:</w:t>
            </w:r>
          </w:p>
          <w:p w14:paraId="75582E6A" w14:textId="77777777" w:rsidR="00F312E3" w:rsidRPr="00D650B4" w:rsidRDefault="00F312E3" w:rsidP="00FF41B4">
            <w:pPr>
              <w:spacing w:before="0" w:line="240" w:lineRule="auto"/>
              <w:jc w:val="both"/>
            </w:pPr>
            <w:r w:rsidRPr="00D650B4">
              <w:t>(a) the physical, psychological or emotional wellbeing of the child; or</w:t>
            </w:r>
          </w:p>
          <w:p w14:paraId="52F98DC5" w14:textId="77777777" w:rsidR="00F312E3" w:rsidRPr="00D650B4" w:rsidRDefault="00F312E3" w:rsidP="00FF41B4">
            <w:pPr>
              <w:spacing w:before="0" w:line="240" w:lineRule="auto"/>
              <w:jc w:val="both"/>
            </w:pPr>
            <w:r w:rsidRPr="00D650B4">
              <w:t xml:space="preserve">(b) </w:t>
            </w:r>
            <w:proofErr w:type="gramStart"/>
            <w:r w:rsidRPr="00D650B4">
              <w:t>the</w:t>
            </w:r>
            <w:proofErr w:type="gramEnd"/>
            <w:r w:rsidRPr="00D650B4">
              <w:t xml:space="preserve"> physical, psychological or emotional development of the child.</w:t>
            </w:r>
          </w:p>
          <w:p w14:paraId="4AC0A2BF" w14:textId="77777777" w:rsidR="00F312E3" w:rsidRPr="00D650B4" w:rsidRDefault="00F312E3" w:rsidP="00FF41B4">
            <w:pPr>
              <w:spacing w:before="0" w:line="240" w:lineRule="auto"/>
              <w:jc w:val="both"/>
            </w:pPr>
          </w:p>
          <w:p w14:paraId="5B304D9B" w14:textId="77777777" w:rsidR="00F312E3" w:rsidRPr="00D650B4" w:rsidRDefault="00F312E3" w:rsidP="00FF41B4">
            <w:pPr>
              <w:spacing w:before="0" w:line="240" w:lineRule="auto"/>
              <w:jc w:val="both"/>
            </w:pPr>
            <w:r w:rsidRPr="00D650B4">
              <w:t xml:space="preserve">Section 15(2): Without limiting subsection (1), harm can be </w:t>
            </w:r>
            <w:r w:rsidRPr="00D650B4">
              <w:rPr>
                <w:u w:val="single"/>
              </w:rPr>
              <w:t>caused by</w:t>
            </w:r>
            <w:r w:rsidRPr="00D650B4">
              <w:t xml:space="preserve"> the following:</w:t>
            </w:r>
          </w:p>
          <w:p w14:paraId="671E1371" w14:textId="77777777" w:rsidR="00F312E3" w:rsidRPr="00D650B4" w:rsidRDefault="00F312E3" w:rsidP="00FF41B4">
            <w:pPr>
              <w:spacing w:before="0" w:line="240" w:lineRule="auto"/>
              <w:jc w:val="both"/>
            </w:pPr>
            <w:r w:rsidRPr="00D650B4">
              <w:t xml:space="preserve">(a) </w:t>
            </w:r>
            <w:r w:rsidRPr="00D650B4">
              <w:rPr>
                <w:b/>
              </w:rPr>
              <w:t>physical, psychological or emotional</w:t>
            </w:r>
            <w:r w:rsidRPr="00D650B4">
              <w:t xml:space="preserve"> </w:t>
            </w:r>
            <w:r w:rsidRPr="00D650B4">
              <w:rPr>
                <w:b/>
              </w:rPr>
              <w:t>abuse</w:t>
            </w:r>
            <w:r w:rsidRPr="00D650B4">
              <w:t xml:space="preserve"> or neglect of the child;</w:t>
            </w:r>
          </w:p>
          <w:p w14:paraId="07DCB19E" w14:textId="77777777" w:rsidR="00F312E3" w:rsidRPr="00D650B4" w:rsidRDefault="00F312E3" w:rsidP="00FF41B4">
            <w:pPr>
              <w:spacing w:before="0" w:line="240" w:lineRule="auto"/>
              <w:jc w:val="both"/>
            </w:pPr>
            <w:r w:rsidRPr="00D650B4">
              <w:t xml:space="preserve">(b) </w:t>
            </w:r>
            <w:r w:rsidRPr="00D650B4">
              <w:rPr>
                <w:b/>
              </w:rPr>
              <w:t>sexual</w:t>
            </w:r>
            <w:r w:rsidRPr="00D650B4">
              <w:t xml:space="preserve"> </w:t>
            </w:r>
            <w:r w:rsidRPr="00D650B4">
              <w:rPr>
                <w:b/>
              </w:rPr>
              <w:t>abuse</w:t>
            </w:r>
            <w:r w:rsidRPr="00D650B4">
              <w:t xml:space="preserve"> </w:t>
            </w:r>
            <w:r w:rsidRPr="00D650B4">
              <w:rPr>
                <w:b/>
              </w:rPr>
              <w:t>or other exploitation</w:t>
            </w:r>
            <w:r w:rsidRPr="00D650B4">
              <w:t xml:space="preserve"> of the child;</w:t>
            </w:r>
          </w:p>
          <w:p w14:paraId="3896AC87" w14:textId="77777777" w:rsidR="00F312E3" w:rsidRPr="00D650B4" w:rsidRDefault="00F312E3" w:rsidP="00FF41B4">
            <w:pPr>
              <w:spacing w:before="0" w:line="240" w:lineRule="auto"/>
              <w:jc w:val="both"/>
            </w:pPr>
            <w:r w:rsidRPr="00D650B4">
              <w:t xml:space="preserve">(c) </w:t>
            </w:r>
            <w:proofErr w:type="gramStart"/>
            <w:r w:rsidRPr="00D650B4">
              <w:rPr>
                <w:b/>
              </w:rPr>
              <w:t>exposure</w:t>
            </w:r>
            <w:proofErr w:type="gramEnd"/>
            <w:r w:rsidRPr="00D650B4">
              <w:rPr>
                <w:b/>
              </w:rPr>
              <w:t xml:space="preserve"> of the child to physical violence</w:t>
            </w:r>
            <w:r w:rsidRPr="00D650B4">
              <w:t>.</w:t>
            </w:r>
          </w:p>
          <w:p w14:paraId="07657E61" w14:textId="77777777" w:rsidR="00F312E3" w:rsidRPr="00D650B4" w:rsidRDefault="00F312E3" w:rsidP="00FF41B4">
            <w:pPr>
              <w:spacing w:before="0" w:line="240" w:lineRule="auto"/>
              <w:jc w:val="both"/>
              <w:rPr>
                <w:i/>
              </w:rPr>
            </w:pPr>
            <w:r w:rsidRPr="00D650B4">
              <w:rPr>
                <w:i/>
              </w:rPr>
              <w:t>Example: A child witnessing violence between the child's parents at home</w:t>
            </w:r>
          </w:p>
          <w:p w14:paraId="5BADFFB7" w14:textId="77777777" w:rsidR="00F312E3" w:rsidRPr="00D650B4" w:rsidRDefault="00F312E3" w:rsidP="00FF41B4">
            <w:pPr>
              <w:spacing w:before="0" w:line="240" w:lineRule="auto"/>
              <w:jc w:val="both"/>
            </w:pPr>
          </w:p>
          <w:p w14:paraId="3D37FD53" w14:textId="77777777" w:rsidR="00F312E3" w:rsidRPr="00D650B4" w:rsidRDefault="00F312E3" w:rsidP="00FF41B4">
            <w:pPr>
              <w:spacing w:before="0" w:line="240" w:lineRule="auto"/>
              <w:jc w:val="both"/>
            </w:pPr>
            <w:r w:rsidRPr="00D650B4">
              <w:t xml:space="preserve">Section </w:t>
            </w:r>
            <w:r w:rsidRPr="00D650B4">
              <w:rPr>
                <w:b/>
              </w:rPr>
              <w:t>16</w:t>
            </w:r>
            <w:r w:rsidRPr="00D650B4">
              <w:t xml:space="preserve">(1): </w:t>
            </w:r>
            <w:r w:rsidRPr="00D650B4">
              <w:rPr>
                <w:b/>
              </w:rPr>
              <w:t>Exploitation</w:t>
            </w:r>
            <w:r w:rsidRPr="00D650B4">
              <w:t xml:space="preserve"> of a child includes sexual and any other forms of exploitation of the child.  Section </w:t>
            </w:r>
            <w:r w:rsidRPr="00D650B4">
              <w:lastRenderedPageBreak/>
              <w:t>16(2): Without limiting subsection (1), sexual exploitation of a child includes: (a) sexual abuse of the child; and (b) involving the child as a participant or spectator in any of the following: (</w:t>
            </w:r>
            <w:proofErr w:type="spellStart"/>
            <w:r w:rsidRPr="00D650B4">
              <w:t>i</w:t>
            </w:r>
            <w:proofErr w:type="spellEnd"/>
            <w:r w:rsidRPr="00D650B4">
              <w:t>) an act of a sexual nature; (ii) prostitution</w:t>
            </w:r>
            <w:proofErr w:type="gramStart"/>
            <w:r w:rsidRPr="00D650B4">
              <w:t>;</w:t>
            </w:r>
            <w:proofErr w:type="gramEnd"/>
            <w:r w:rsidRPr="00D650B4">
              <w:t xml:space="preserve"> (iii) a pornographic performance.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7FE3DEF" w14:textId="77777777" w:rsidR="00F312E3" w:rsidRPr="00D650B4" w:rsidRDefault="00F312E3" w:rsidP="00FF41B4">
            <w:pPr>
              <w:spacing w:before="0" w:line="240" w:lineRule="auto"/>
              <w:jc w:val="both"/>
              <w:rPr>
                <w:i/>
              </w:rPr>
            </w:pPr>
            <w:r w:rsidRPr="00D650B4">
              <w:rPr>
                <w:i/>
              </w:rPr>
              <w:lastRenderedPageBreak/>
              <w:t xml:space="preserve">Focus is on the child suffering ‘harm’ as a consequence of abuse </w:t>
            </w:r>
            <w:r w:rsidRPr="00D650B4">
              <w:rPr>
                <w:i/>
                <w:u w:val="single"/>
              </w:rPr>
              <w:t>causing</w:t>
            </w:r>
            <w:r w:rsidRPr="00D650B4">
              <w:rPr>
                <w:i/>
              </w:rPr>
              <w:t xml:space="preserve"> the ‘harm’ specified</w:t>
            </w:r>
          </w:p>
          <w:p w14:paraId="5F9AB910" w14:textId="77777777" w:rsidR="00F312E3" w:rsidRPr="00D650B4" w:rsidRDefault="00F312E3" w:rsidP="00FF41B4">
            <w:pPr>
              <w:spacing w:before="0" w:line="240" w:lineRule="auto"/>
              <w:jc w:val="both"/>
            </w:pPr>
          </w:p>
          <w:p w14:paraId="4DBA8057" w14:textId="77777777" w:rsidR="00F312E3" w:rsidRPr="00D650B4" w:rsidRDefault="00F312E3" w:rsidP="00FF41B4">
            <w:pPr>
              <w:spacing w:before="0" w:line="240" w:lineRule="auto"/>
              <w:jc w:val="both"/>
              <w:rPr>
                <w:i/>
              </w:rPr>
            </w:pPr>
            <w:r w:rsidRPr="00D650B4">
              <w:rPr>
                <w:i/>
              </w:rPr>
              <w:t>For sexual abuse, the focus is also explicitly on the child being a victim of ‘exploitation’, which is akin to ‘abuse’</w:t>
            </w:r>
          </w:p>
          <w:p w14:paraId="06DA682B" w14:textId="77777777" w:rsidR="00F312E3" w:rsidRPr="00D650B4" w:rsidRDefault="00F312E3" w:rsidP="00FF41B4">
            <w:pPr>
              <w:spacing w:before="0" w:line="240" w:lineRule="auto"/>
              <w:jc w:val="both"/>
            </w:pPr>
          </w:p>
          <w:p w14:paraId="03DAF5F1" w14:textId="77777777" w:rsidR="00F312E3" w:rsidRPr="00D650B4" w:rsidRDefault="00F312E3" w:rsidP="00FF41B4">
            <w:pPr>
              <w:spacing w:before="0" w:line="240" w:lineRule="auto"/>
              <w:jc w:val="both"/>
            </w:pPr>
            <w:r w:rsidRPr="00D650B4">
              <w:t>Physical abuse</w:t>
            </w:r>
          </w:p>
          <w:p w14:paraId="0219DA7F" w14:textId="77777777" w:rsidR="00F312E3" w:rsidRPr="00D650B4" w:rsidRDefault="00F312E3" w:rsidP="00FF41B4">
            <w:pPr>
              <w:spacing w:before="0" w:line="240" w:lineRule="auto"/>
              <w:jc w:val="both"/>
            </w:pPr>
            <w:r w:rsidRPr="00D650B4">
              <w:t>Sexual abuse</w:t>
            </w:r>
          </w:p>
          <w:p w14:paraId="34DFF99A" w14:textId="77777777" w:rsidR="00F312E3" w:rsidRPr="00D650B4" w:rsidRDefault="00F312E3" w:rsidP="00FF41B4">
            <w:pPr>
              <w:spacing w:before="0" w:line="240" w:lineRule="auto"/>
              <w:jc w:val="both"/>
            </w:pPr>
            <w:r w:rsidRPr="00D650B4">
              <w:t>Emotional abuse</w:t>
            </w:r>
          </w:p>
          <w:p w14:paraId="0F775D05" w14:textId="77777777" w:rsidR="00F312E3" w:rsidRPr="00D650B4" w:rsidRDefault="00F312E3" w:rsidP="00FF41B4">
            <w:pPr>
              <w:spacing w:before="0" w:line="240" w:lineRule="auto"/>
              <w:jc w:val="both"/>
            </w:pPr>
            <w:r w:rsidRPr="00D650B4">
              <w:t>Neglect</w:t>
            </w:r>
          </w:p>
          <w:p w14:paraId="71384BA6" w14:textId="77777777" w:rsidR="00F312E3" w:rsidRPr="00D650B4" w:rsidRDefault="00F312E3" w:rsidP="00FF41B4">
            <w:pPr>
              <w:spacing w:before="0" w:line="240" w:lineRule="auto"/>
              <w:jc w:val="both"/>
            </w:pPr>
            <w:r w:rsidRPr="00D650B4">
              <w:t>Exposure to physical violence (e.g., a child witnessing violence between parents at home)</w:t>
            </w:r>
          </w:p>
          <w:p w14:paraId="17BB2069" w14:textId="77777777" w:rsidR="00F312E3" w:rsidRPr="00D650B4" w:rsidRDefault="00F312E3" w:rsidP="00FF41B4">
            <w:pPr>
              <w:spacing w:before="0" w:line="240" w:lineRule="auto"/>
              <w:jc w:val="both"/>
            </w:pPr>
          </w:p>
          <w:p w14:paraId="00D70E6D" w14:textId="77777777" w:rsidR="00F312E3" w:rsidRPr="00D650B4" w:rsidRDefault="00F312E3" w:rsidP="00FF41B4">
            <w:pPr>
              <w:spacing w:before="0" w:line="240" w:lineRule="auto"/>
              <w:jc w:val="both"/>
            </w:pPr>
            <w:r w:rsidRPr="00D650B4">
              <w:t>Focus on significant harm via ‘significant detrimental effect’ concept</w:t>
            </w:r>
          </w:p>
        </w:tc>
      </w:tr>
      <w:tr w:rsidR="00F312E3" w:rsidRPr="0052480C" w14:paraId="79A77659" w14:textId="77777777" w:rsidTr="00CD58CD">
        <w:trPr>
          <w:trHeight w:val="2191"/>
        </w:trPr>
        <w:tc>
          <w:tcPr>
            <w:tcW w:w="1402" w:type="dxa"/>
            <w:vMerge w:val="restart"/>
            <w:tcBorders>
              <w:top w:val="single" w:sz="6" w:space="0" w:color="000000"/>
              <w:left w:val="single" w:sz="6" w:space="0" w:color="000000"/>
              <w:right w:val="single" w:sz="6" w:space="0" w:color="000000"/>
            </w:tcBorders>
            <w:tcMar>
              <w:top w:w="74" w:type="dxa"/>
              <w:left w:w="57" w:type="dxa"/>
              <w:bottom w:w="74" w:type="dxa"/>
              <w:right w:w="57" w:type="dxa"/>
            </w:tcMar>
          </w:tcPr>
          <w:p w14:paraId="23729577" w14:textId="77777777" w:rsidR="00F312E3" w:rsidRPr="00D650B4" w:rsidRDefault="00F312E3" w:rsidP="00FF41B4">
            <w:pPr>
              <w:spacing w:before="0" w:line="240" w:lineRule="auto"/>
              <w:jc w:val="both"/>
              <w:rPr>
                <w:b/>
              </w:rPr>
            </w:pPr>
            <w:r w:rsidRPr="00D650B4">
              <w:rPr>
                <w:b/>
              </w:rPr>
              <w:lastRenderedPageBreak/>
              <w:t>QLD</w:t>
            </w:r>
          </w:p>
        </w:tc>
        <w:tc>
          <w:tcPr>
            <w:tcW w:w="10364" w:type="dxa"/>
            <w:tcBorders>
              <w:top w:val="single" w:sz="6" w:space="0" w:color="000000"/>
              <w:left w:val="single" w:sz="6" w:space="0" w:color="000000"/>
              <w:bottom w:val="single" w:sz="6" w:space="0" w:color="000000"/>
              <w:right w:val="single" w:sz="6" w:space="0" w:color="000000"/>
            </w:tcBorders>
            <w:tcMar>
              <w:top w:w="74" w:type="dxa"/>
              <w:left w:w="57" w:type="dxa"/>
              <w:bottom w:w="74" w:type="dxa"/>
              <w:right w:w="57" w:type="dxa"/>
            </w:tcMar>
          </w:tcPr>
          <w:p w14:paraId="7DDCC9EC" w14:textId="77777777" w:rsidR="00F312E3" w:rsidRPr="00D650B4" w:rsidRDefault="00F312E3" w:rsidP="00FF41B4">
            <w:pPr>
              <w:spacing w:before="0" w:line="240" w:lineRule="auto"/>
              <w:jc w:val="both"/>
            </w:pPr>
            <w:r w:rsidRPr="00D650B4">
              <w:rPr>
                <w:i/>
                <w:iCs/>
              </w:rPr>
              <w:t>Public Health Act 2005</w:t>
            </w:r>
            <w:r w:rsidRPr="00D650B4">
              <w:t xml:space="preserve"> (Qld)</w:t>
            </w:r>
          </w:p>
          <w:p w14:paraId="1A3B5ED1" w14:textId="77777777" w:rsidR="00F312E3" w:rsidRPr="00D650B4" w:rsidRDefault="00F312E3" w:rsidP="00FF41B4">
            <w:pPr>
              <w:spacing w:before="0" w:line="240" w:lineRule="auto"/>
              <w:jc w:val="both"/>
            </w:pPr>
            <w:r w:rsidRPr="00D650B4">
              <w:t xml:space="preserve">Section </w:t>
            </w:r>
            <w:r w:rsidRPr="00D650B4">
              <w:rPr>
                <w:b/>
              </w:rPr>
              <w:t>191</w:t>
            </w:r>
            <w:r w:rsidRPr="00D650B4">
              <w:t>: A mandated reporter must report ‘</w:t>
            </w:r>
            <w:r w:rsidRPr="00D650B4">
              <w:rPr>
                <w:b/>
              </w:rPr>
              <w:t>the harm or likely harm’</w:t>
            </w:r>
            <w:r w:rsidRPr="00D650B4">
              <w:t xml:space="preserve"> if they ‘become aware, or reasonably suspect, during the practice of his or her profession, that a child has been, is being, or is likely to be, harmed’</w:t>
            </w:r>
          </w:p>
          <w:p w14:paraId="72B149F8" w14:textId="77777777" w:rsidR="00F312E3" w:rsidRPr="00D650B4" w:rsidRDefault="00F312E3" w:rsidP="00FF41B4">
            <w:pPr>
              <w:spacing w:before="0" w:line="240" w:lineRule="auto"/>
              <w:jc w:val="both"/>
            </w:pPr>
          </w:p>
          <w:p w14:paraId="166FAB54" w14:textId="77777777" w:rsidR="00F312E3" w:rsidRPr="00D650B4" w:rsidRDefault="00F312E3" w:rsidP="00FF41B4">
            <w:pPr>
              <w:spacing w:before="0" w:line="240" w:lineRule="auto"/>
              <w:jc w:val="both"/>
            </w:pPr>
            <w:r w:rsidRPr="00D650B4">
              <w:t xml:space="preserve">Section </w:t>
            </w:r>
            <w:r w:rsidRPr="00D650B4">
              <w:rPr>
                <w:b/>
              </w:rPr>
              <w:t>158</w:t>
            </w:r>
            <w:r w:rsidRPr="00D650B4">
              <w:t xml:space="preserve">: </w:t>
            </w:r>
            <w:r w:rsidRPr="00D650B4">
              <w:rPr>
                <w:b/>
              </w:rPr>
              <w:t>Harm</w:t>
            </w:r>
            <w:r w:rsidRPr="00D650B4">
              <w:t xml:space="preserve"> means ‘any </w:t>
            </w:r>
            <w:r w:rsidRPr="00D650B4">
              <w:rPr>
                <w:b/>
              </w:rPr>
              <w:t>detrimental effect</w:t>
            </w:r>
            <w:r w:rsidRPr="00D650B4">
              <w:t xml:space="preserve"> on the child’s physical, psychological or emotional wellbeing—</w:t>
            </w:r>
          </w:p>
          <w:p w14:paraId="550C6F49" w14:textId="77777777" w:rsidR="00F312E3" w:rsidRPr="00D650B4" w:rsidRDefault="00F312E3" w:rsidP="00FF41B4">
            <w:pPr>
              <w:spacing w:before="0" w:line="240" w:lineRule="auto"/>
              <w:jc w:val="both"/>
            </w:pPr>
            <w:r w:rsidRPr="00D650B4">
              <w:t xml:space="preserve">(a) that is of a </w:t>
            </w:r>
            <w:r w:rsidRPr="00D650B4">
              <w:rPr>
                <w:b/>
              </w:rPr>
              <w:t>significant</w:t>
            </w:r>
            <w:r w:rsidRPr="00D650B4">
              <w:t xml:space="preserve"> nature; and</w:t>
            </w:r>
          </w:p>
          <w:p w14:paraId="59161F15" w14:textId="77777777" w:rsidR="00F312E3" w:rsidRPr="00D650B4" w:rsidRDefault="00F312E3" w:rsidP="00FF41B4">
            <w:pPr>
              <w:spacing w:before="0" w:line="240" w:lineRule="auto"/>
              <w:jc w:val="both"/>
            </w:pPr>
            <w:r w:rsidRPr="00D650B4">
              <w:t xml:space="preserve">(b) that has been </w:t>
            </w:r>
            <w:r w:rsidRPr="00D650B4">
              <w:rPr>
                <w:u w:val="single"/>
              </w:rPr>
              <w:t>caused by</w:t>
            </w:r>
            <w:r w:rsidRPr="00D650B4">
              <w:t>—</w:t>
            </w:r>
          </w:p>
          <w:p w14:paraId="40B3411F" w14:textId="77777777" w:rsidR="00F312E3" w:rsidRPr="00D650B4" w:rsidRDefault="00F312E3" w:rsidP="00FF41B4">
            <w:pPr>
              <w:spacing w:before="0" w:line="240" w:lineRule="auto"/>
              <w:jc w:val="both"/>
            </w:pPr>
            <w:r w:rsidRPr="00D650B4">
              <w:t>(</w:t>
            </w:r>
            <w:proofErr w:type="spellStart"/>
            <w:r w:rsidRPr="00D650B4">
              <w:t>i</w:t>
            </w:r>
            <w:proofErr w:type="spellEnd"/>
            <w:r w:rsidRPr="00D650B4">
              <w:t>) physical, psychological or emotional abuse or neglect; or</w:t>
            </w:r>
          </w:p>
          <w:p w14:paraId="37D60998" w14:textId="77777777" w:rsidR="00F312E3" w:rsidRPr="00D650B4" w:rsidRDefault="00F312E3" w:rsidP="00FF41B4">
            <w:pPr>
              <w:spacing w:before="0" w:line="240" w:lineRule="auto"/>
              <w:jc w:val="both"/>
            </w:pPr>
            <w:r w:rsidRPr="00D650B4">
              <w:t xml:space="preserve">(ii) </w:t>
            </w:r>
            <w:proofErr w:type="gramStart"/>
            <w:r w:rsidRPr="00D650B4">
              <w:t>sexual</w:t>
            </w:r>
            <w:proofErr w:type="gramEnd"/>
            <w:r w:rsidRPr="00D650B4">
              <w:t xml:space="preserve"> abuse or exploitation.’</w:t>
            </w:r>
          </w:p>
        </w:tc>
        <w:tc>
          <w:tcPr>
            <w:tcW w:w="3118" w:type="dxa"/>
            <w:tcBorders>
              <w:top w:val="single" w:sz="4" w:space="0" w:color="000000"/>
              <w:left w:val="single" w:sz="6" w:space="0" w:color="000000"/>
              <w:bottom w:val="single" w:sz="4" w:space="0" w:color="000000"/>
              <w:right w:val="single" w:sz="6" w:space="0" w:color="000000"/>
            </w:tcBorders>
          </w:tcPr>
          <w:p w14:paraId="293AE310" w14:textId="77777777" w:rsidR="00F312E3" w:rsidRPr="00D650B4" w:rsidRDefault="00F312E3" w:rsidP="00FF41B4">
            <w:pPr>
              <w:spacing w:before="0" w:line="240" w:lineRule="auto"/>
              <w:jc w:val="both"/>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5325A44B" w14:textId="77777777" w:rsidR="00F312E3" w:rsidRPr="00D650B4" w:rsidRDefault="00F312E3" w:rsidP="00FF41B4">
            <w:pPr>
              <w:spacing w:before="0" w:line="240" w:lineRule="auto"/>
              <w:jc w:val="both"/>
            </w:pPr>
          </w:p>
          <w:p w14:paraId="661CB606" w14:textId="77777777" w:rsidR="00F312E3" w:rsidRPr="00D650B4" w:rsidRDefault="00F312E3" w:rsidP="00FF41B4">
            <w:pPr>
              <w:spacing w:before="0" w:line="240" w:lineRule="auto"/>
              <w:jc w:val="both"/>
            </w:pPr>
            <w:r w:rsidRPr="00D650B4">
              <w:t>Physical abuse</w:t>
            </w:r>
          </w:p>
          <w:p w14:paraId="767FE9C8" w14:textId="77777777" w:rsidR="00F312E3" w:rsidRPr="00D650B4" w:rsidRDefault="00F312E3" w:rsidP="00FF41B4">
            <w:pPr>
              <w:spacing w:before="0" w:line="240" w:lineRule="auto"/>
              <w:jc w:val="both"/>
            </w:pPr>
            <w:r w:rsidRPr="00D650B4">
              <w:t>Psychological abuse</w:t>
            </w:r>
          </w:p>
          <w:p w14:paraId="24388330" w14:textId="77777777" w:rsidR="00F312E3" w:rsidRPr="00D650B4" w:rsidRDefault="00F312E3" w:rsidP="00FF41B4">
            <w:pPr>
              <w:spacing w:before="0" w:line="240" w:lineRule="auto"/>
              <w:jc w:val="both"/>
            </w:pPr>
            <w:r w:rsidRPr="00D650B4">
              <w:t>Emotional abuse</w:t>
            </w:r>
          </w:p>
          <w:p w14:paraId="270D80B6" w14:textId="77777777" w:rsidR="00F312E3" w:rsidRPr="00D650B4" w:rsidRDefault="00F312E3" w:rsidP="00FF41B4">
            <w:pPr>
              <w:spacing w:before="0" w:line="240" w:lineRule="auto"/>
              <w:jc w:val="both"/>
            </w:pPr>
            <w:r w:rsidRPr="00D650B4">
              <w:t>Neglect</w:t>
            </w:r>
          </w:p>
          <w:p w14:paraId="4C0F8967" w14:textId="77777777" w:rsidR="00F312E3" w:rsidRPr="00D650B4" w:rsidRDefault="00F312E3" w:rsidP="00FF41B4">
            <w:pPr>
              <w:spacing w:before="0" w:line="240" w:lineRule="auto"/>
              <w:jc w:val="both"/>
            </w:pPr>
            <w:r w:rsidRPr="00D650B4">
              <w:t>Sexual abuse or exploitation</w:t>
            </w:r>
          </w:p>
          <w:p w14:paraId="0B17129B" w14:textId="77777777" w:rsidR="00F312E3" w:rsidRPr="00D650B4" w:rsidRDefault="00F312E3" w:rsidP="00FF41B4">
            <w:pPr>
              <w:spacing w:before="0" w:line="240" w:lineRule="auto"/>
              <w:jc w:val="both"/>
            </w:pPr>
          </w:p>
          <w:p w14:paraId="0F318427" w14:textId="77777777" w:rsidR="00F312E3" w:rsidRPr="00D650B4" w:rsidRDefault="00F312E3" w:rsidP="00FF41B4">
            <w:pPr>
              <w:spacing w:before="0" w:line="240" w:lineRule="auto"/>
              <w:jc w:val="both"/>
            </w:pPr>
            <w:r w:rsidRPr="00D650B4">
              <w:t>Focus on significant harm via ‘significant detrimental effect’</w:t>
            </w:r>
          </w:p>
        </w:tc>
      </w:tr>
      <w:tr w:rsidR="00F312E3" w:rsidRPr="0052480C" w14:paraId="3530EF37" w14:textId="77777777" w:rsidTr="00CD58CD">
        <w:trPr>
          <w:trHeight w:val="60"/>
        </w:trPr>
        <w:tc>
          <w:tcPr>
            <w:tcW w:w="1402" w:type="dxa"/>
            <w:vMerge/>
            <w:tcBorders>
              <w:left w:val="single" w:sz="6" w:space="0" w:color="000000"/>
              <w:bottom w:val="single" w:sz="4" w:space="0" w:color="000000"/>
              <w:right w:val="single" w:sz="6" w:space="0" w:color="000000"/>
            </w:tcBorders>
            <w:tcMar>
              <w:top w:w="74" w:type="dxa"/>
              <w:left w:w="57" w:type="dxa"/>
              <w:bottom w:w="74" w:type="dxa"/>
              <w:right w:w="57" w:type="dxa"/>
            </w:tcMar>
          </w:tcPr>
          <w:p w14:paraId="28743EA7" w14:textId="77777777" w:rsidR="00F312E3" w:rsidRPr="00D650B4" w:rsidRDefault="00F312E3" w:rsidP="00FF41B4">
            <w:pPr>
              <w:spacing w:before="0" w:line="240" w:lineRule="auto"/>
              <w:jc w:val="both"/>
              <w:rPr>
                <w:b/>
              </w:rPr>
            </w:pP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E944C23" w14:textId="77777777" w:rsidR="00F312E3" w:rsidRPr="00D650B4" w:rsidRDefault="00F312E3" w:rsidP="00FF41B4">
            <w:pPr>
              <w:spacing w:before="0" w:line="240" w:lineRule="auto"/>
              <w:jc w:val="both"/>
            </w:pPr>
            <w:r w:rsidRPr="00D650B4">
              <w:rPr>
                <w:i/>
                <w:iCs/>
              </w:rPr>
              <w:t>Education (General Provisions) Act 2006</w:t>
            </w:r>
            <w:r w:rsidRPr="00D650B4">
              <w:t xml:space="preserve"> (Qld)</w:t>
            </w:r>
          </w:p>
          <w:p w14:paraId="6A39886B" w14:textId="77777777" w:rsidR="00F312E3" w:rsidRPr="00D650B4" w:rsidRDefault="00F312E3" w:rsidP="00FF41B4">
            <w:pPr>
              <w:spacing w:before="0" w:line="240" w:lineRule="auto"/>
              <w:jc w:val="both"/>
            </w:pPr>
            <w:r w:rsidRPr="00D650B4">
              <w:t xml:space="preserve">Section 364 defines ‘sexual abuse’.   </w:t>
            </w:r>
            <w:r w:rsidRPr="00D650B4">
              <w:rPr>
                <w:b/>
              </w:rPr>
              <w:t>Sections 365, 366</w:t>
            </w:r>
            <w:r w:rsidRPr="00D650B4">
              <w:t xml:space="preserve"> (State and non-State schools respectively): ‘if a staff member becomes aware, or reasonably suspects, in the course of the staff member’s employment at the school, that a child attending the school has been sexually abused’</w:t>
            </w:r>
          </w:p>
          <w:p w14:paraId="3C33696E" w14:textId="77777777" w:rsidR="00F312E3" w:rsidRPr="00D650B4" w:rsidRDefault="00F312E3" w:rsidP="00FF41B4">
            <w:pPr>
              <w:spacing w:before="0" w:line="240" w:lineRule="auto"/>
              <w:jc w:val="both"/>
            </w:pPr>
            <w:r w:rsidRPr="00D650B4">
              <w:t xml:space="preserve">Sections </w:t>
            </w:r>
            <w:r w:rsidRPr="00D650B4">
              <w:rPr>
                <w:b/>
              </w:rPr>
              <w:t>365A, 366A</w:t>
            </w:r>
            <w:r w:rsidRPr="00D650B4">
              <w:t xml:space="preserve"> (State and non-State schools respectively): ‘if a staff member becomes aware, or reasonably suspects, in the course of the staff member’s employment at the school, that a child attending the school is likely to be sexually abused’</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B6084C5" w14:textId="77777777" w:rsidR="00F312E3" w:rsidRPr="00D650B4" w:rsidRDefault="00F312E3" w:rsidP="00FF41B4">
            <w:pPr>
              <w:spacing w:before="0" w:line="240" w:lineRule="auto"/>
              <w:jc w:val="both"/>
              <w:rPr>
                <w:i/>
              </w:rPr>
            </w:pPr>
            <w:r w:rsidRPr="00D650B4">
              <w:rPr>
                <w:i/>
              </w:rPr>
              <w:t>Focus is ‘abuse’ explicitly</w:t>
            </w:r>
          </w:p>
          <w:p w14:paraId="60D22AF1" w14:textId="77777777" w:rsidR="00F312E3" w:rsidRPr="00D650B4" w:rsidRDefault="00F312E3" w:rsidP="00FF41B4">
            <w:pPr>
              <w:spacing w:before="0" w:line="240" w:lineRule="auto"/>
              <w:jc w:val="both"/>
            </w:pPr>
          </w:p>
          <w:p w14:paraId="79C65449" w14:textId="77777777" w:rsidR="00F312E3" w:rsidRPr="00D650B4" w:rsidRDefault="00F312E3" w:rsidP="00FF41B4">
            <w:pPr>
              <w:spacing w:before="0" w:line="240" w:lineRule="auto"/>
              <w:jc w:val="both"/>
            </w:pPr>
            <w:r w:rsidRPr="00D650B4">
              <w:t>Sexual abuse only (school staff)</w:t>
            </w:r>
          </w:p>
          <w:p w14:paraId="489C7492" w14:textId="77777777" w:rsidR="00F312E3" w:rsidRPr="00D650B4" w:rsidRDefault="00F312E3" w:rsidP="00FF41B4">
            <w:pPr>
              <w:spacing w:before="0" w:line="240" w:lineRule="auto"/>
              <w:jc w:val="both"/>
            </w:pPr>
          </w:p>
        </w:tc>
      </w:tr>
      <w:tr w:rsidR="00F312E3" w:rsidRPr="0052480C" w14:paraId="1B2AAE59" w14:textId="77777777" w:rsidTr="00CD58CD">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155D338" w14:textId="77777777" w:rsidR="00F312E3" w:rsidRPr="00D650B4" w:rsidRDefault="00F312E3" w:rsidP="00FF41B4">
            <w:pPr>
              <w:spacing w:before="0" w:line="240" w:lineRule="auto"/>
              <w:jc w:val="both"/>
              <w:rPr>
                <w:b/>
              </w:rPr>
            </w:pPr>
            <w:r w:rsidRPr="00D650B4">
              <w:rPr>
                <w:b/>
              </w:rPr>
              <w:t>SA</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494D4B3" w14:textId="77777777" w:rsidR="00F312E3" w:rsidRPr="00D650B4" w:rsidRDefault="00F312E3" w:rsidP="00FF41B4">
            <w:pPr>
              <w:spacing w:before="0" w:line="240" w:lineRule="auto"/>
              <w:jc w:val="both"/>
            </w:pPr>
            <w:r w:rsidRPr="00D650B4">
              <w:rPr>
                <w:i/>
                <w:iCs/>
              </w:rPr>
              <w:t>Children’s Protection Act 1993</w:t>
            </w:r>
            <w:r w:rsidRPr="00D650B4">
              <w:t xml:space="preserve"> (SA)</w:t>
            </w:r>
          </w:p>
          <w:p w14:paraId="1CB0AA33" w14:textId="77777777" w:rsidR="00F312E3" w:rsidRPr="00D650B4" w:rsidRDefault="00F312E3" w:rsidP="00FF41B4">
            <w:pPr>
              <w:spacing w:before="0" w:line="240" w:lineRule="auto"/>
              <w:jc w:val="both"/>
            </w:pPr>
            <w:r w:rsidRPr="00D650B4">
              <w:t xml:space="preserve">Section </w:t>
            </w:r>
            <w:r w:rsidRPr="00D650B4">
              <w:rPr>
                <w:b/>
              </w:rPr>
              <w:t>6</w:t>
            </w:r>
            <w:r w:rsidRPr="00D650B4">
              <w:t>(1): ‘</w:t>
            </w:r>
            <w:r w:rsidRPr="00D650B4">
              <w:rPr>
                <w:b/>
                <w:i/>
              </w:rPr>
              <w:t>abuse or neglect</w:t>
            </w:r>
            <w:r w:rsidRPr="00D650B4">
              <w:t>, in relation to a child, means—</w:t>
            </w:r>
          </w:p>
          <w:p w14:paraId="407E31D5" w14:textId="77777777" w:rsidR="00F312E3" w:rsidRPr="00D650B4" w:rsidRDefault="00F312E3" w:rsidP="00FF41B4">
            <w:pPr>
              <w:spacing w:before="0" w:line="240" w:lineRule="auto"/>
              <w:jc w:val="both"/>
            </w:pPr>
            <w:r w:rsidRPr="00D650B4">
              <w:t>(a) sexual abuse of the child; or</w:t>
            </w:r>
          </w:p>
          <w:p w14:paraId="444A80E9" w14:textId="77777777" w:rsidR="00F312E3" w:rsidRPr="00D650B4" w:rsidRDefault="00F312E3" w:rsidP="00FF41B4">
            <w:pPr>
              <w:spacing w:before="0" w:line="240" w:lineRule="auto"/>
              <w:jc w:val="both"/>
            </w:pPr>
            <w:r w:rsidRPr="00D650B4">
              <w:t xml:space="preserve">(b) physical or emotional abuse of the child, or neglect of the child, </w:t>
            </w:r>
            <w:r w:rsidRPr="00D650B4">
              <w:rPr>
                <w:u w:val="single"/>
              </w:rPr>
              <w:t>to the extent that</w:t>
            </w:r>
            <w:r w:rsidRPr="00D650B4">
              <w:t>—</w:t>
            </w:r>
          </w:p>
          <w:p w14:paraId="79403DE3" w14:textId="77777777" w:rsidR="00F312E3" w:rsidRPr="00D650B4" w:rsidRDefault="00F312E3" w:rsidP="00FF41B4">
            <w:pPr>
              <w:spacing w:before="0" w:line="240" w:lineRule="auto"/>
              <w:jc w:val="both"/>
            </w:pPr>
            <w:r w:rsidRPr="00D650B4">
              <w:t>(</w:t>
            </w:r>
            <w:proofErr w:type="spellStart"/>
            <w:r w:rsidRPr="00D650B4">
              <w:t>i</w:t>
            </w:r>
            <w:proofErr w:type="spellEnd"/>
            <w:r w:rsidRPr="00D650B4">
              <w:t xml:space="preserve">) the child has suffered, or is likely to suffer, physical or psychological </w:t>
            </w:r>
            <w:r w:rsidRPr="00D650B4">
              <w:rPr>
                <w:b/>
              </w:rPr>
              <w:t>injury</w:t>
            </w:r>
            <w:r w:rsidRPr="00D650B4">
              <w:t xml:space="preserve"> </w:t>
            </w:r>
            <w:r w:rsidRPr="00D650B4">
              <w:rPr>
                <w:b/>
                <w:i/>
              </w:rPr>
              <w:t>detrimental to the child's wellbeing</w:t>
            </w:r>
            <w:r w:rsidRPr="00D650B4">
              <w:t>; or</w:t>
            </w:r>
          </w:p>
          <w:p w14:paraId="3093261A" w14:textId="77777777" w:rsidR="00F312E3" w:rsidRPr="00D650B4" w:rsidRDefault="00F312E3" w:rsidP="00FF41B4">
            <w:pPr>
              <w:spacing w:before="0" w:line="240" w:lineRule="auto"/>
              <w:jc w:val="both"/>
            </w:pPr>
            <w:r w:rsidRPr="00D650B4">
              <w:t>(ii) the child's physical or psychological development is in jeopardy</w:t>
            </w:r>
          </w:p>
          <w:p w14:paraId="18297802" w14:textId="77777777" w:rsidR="00F312E3" w:rsidRPr="00D650B4" w:rsidRDefault="00F312E3" w:rsidP="00FF41B4">
            <w:pPr>
              <w:spacing w:before="0" w:line="240" w:lineRule="auto"/>
              <w:jc w:val="both"/>
            </w:pPr>
            <w:r w:rsidRPr="00D650B4">
              <w:lastRenderedPageBreak/>
              <w:t xml:space="preserve">Section </w:t>
            </w:r>
            <w:r w:rsidRPr="00D650B4">
              <w:rPr>
                <w:b/>
              </w:rPr>
              <w:t>10</w:t>
            </w:r>
            <w:r w:rsidRPr="00D650B4">
              <w:t>: ‘</w:t>
            </w:r>
            <w:r w:rsidRPr="00D650B4">
              <w:rPr>
                <w:b/>
                <w:i/>
              </w:rPr>
              <w:t>abuse or neglect</w:t>
            </w:r>
            <w:r w:rsidRPr="00D650B4">
              <w:t>’, in relation to a child, has the same meaning as in section 6(1), but includes a reasonable likelihood, in terms of section 6(2)(b), of the child being killed, injured, abused or neglected by a person with whom the child resides.</w:t>
            </w:r>
          </w:p>
          <w:p w14:paraId="09ED9FEC" w14:textId="77777777" w:rsidR="00F312E3" w:rsidRPr="00D650B4" w:rsidRDefault="00F312E3" w:rsidP="00FF41B4">
            <w:pPr>
              <w:spacing w:before="0" w:line="240" w:lineRule="auto"/>
              <w:jc w:val="both"/>
            </w:pPr>
            <w:r w:rsidRPr="00D650B4">
              <w:t xml:space="preserve">Section </w:t>
            </w:r>
            <w:r w:rsidRPr="00D650B4">
              <w:rPr>
                <w:b/>
              </w:rPr>
              <w:t>11</w:t>
            </w:r>
            <w:r w:rsidRPr="00D650B4">
              <w:t>(1) ‘If (a) a person to whom this section applies suspects on reasonable grounds that a child has been or is being abused or neglected; and (b) the suspicion is formed in the course of the person's work (whether paid or voluntary) or of carrying out official duties’,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C1CE73D" w14:textId="77777777" w:rsidR="00F312E3" w:rsidRPr="00D650B4" w:rsidRDefault="00F312E3" w:rsidP="00FF41B4">
            <w:pPr>
              <w:spacing w:before="0" w:line="240" w:lineRule="auto"/>
              <w:jc w:val="both"/>
              <w:rPr>
                <w:i/>
              </w:rPr>
            </w:pPr>
            <w:r w:rsidRPr="00D650B4">
              <w:rPr>
                <w:i/>
              </w:rPr>
              <w:lastRenderedPageBreak/>
              <w:t xml:space="preserve">Focus is ‘abuse’ explicitly, and as a consequence of being the </w:t>
            </w:r>
            <w:r w:rsidRPr="00D650B4">
              <w:rPr>
                <w:i/>
                <w:u w:val="single"/>
              </w:rPr>
              <w:t>cause</w:t>
            </w:r>
            <w:r w:rsidRPr="00D650B4">
              <w:rPr>
                <w:i/>
              </w:rPr>
              <w:t xml:space="preserve"> of the ‘injury’ specified</w:t>
            </w:r>
          </w:p>
          <w:p w14:paraId="7BE00C70" w14:textId="77777777" w:rsidR="00F312E3" w:rsidRPr="00D650B4" w:rsidRDefault="00F312E3" w:rsidP="00FF41B4">
            <w:pPr>
              <w:spacing w:before="0" w:line="240" w:lineRule="auto"/>
              <w:jc w:val="both"/>
              <w:rPr>
                <w:sz w:val="16"/>
                <w:szCs w:val="16"/>
              </w:rPr>
            </w:pPr>
          </w:p>
          <w:p w14:paraId="5D4A1980" w14:textId="77777777" w:rsidR="00F312E3" w:rsidRPr="00D650B4" w:rsidRDefault="00F312E3" w:rsidP="00FF41B4">
            <w:pPr>
              <w:spacing w:before="0" w:line="240" w:lineRule="auto"/>
              <w:jc w:val="both"/>
            </w:pPr>
            <w:r w:rsidRPr="00D650B4">
              <w:t xml:space="preserve">Sexual abuse </w:t>
            </w:r>
          </w:p>
          <w:p w14:paraId="7EC1243B" w14:textId="77777777" w:rsidR="00F312E3" w:rsidRPr="00D650B4" w:rsidRDefault="00F312E3" w:rsidP="00FF41B4">
            <w:pPr>
              <w:spacing w:before="0" w:line="240" w:lineRule="auto"/>
              <w:jc w:val="both"/>
            </w:pPr>
            <w:r w:rsidRPr="00D650B4">
              <w:t>Physical abuse</w:t>
            </w:r>
          </w:p>
          <w:p w14:paraId="5297D861" w14:textId="77777777" w:rsidR="00F312E3" w:rsidRPr="00D650B4" w:rsidRDefault="00F312E3" w:rsidP="00FF41B4">
            <w:pPr>
              <w:spacing w:before="0" w:line="240" w:lineRule="auto"/>
              <w:jc w:val="both"/>
            </w:pPr>
            <w:r w:rsidRPr="00D650B4">
              <w:t>Emotional abuse</w:t>
            </w:r>
          </w:p>
          <w:p w14:paraId="2654DF46" w14:textId="77777777" w:rsidR="00F312E3" w:rsidRPr="00D650B4" w:rsidRDefault="00F312E3" w:rsidP="00FF41B4">
            <w:pPr>
              <w:spacing w:before="0" w:line="240" w:lineRule="auto"/>
              <w:jc w:val="both"/>
            </w:pPr>
            <w:r w:rsidRPr="00D650B4">
              <w:lastRenderedPageBreak/>
              <w:t>Neglect</w:t>
            </w:r>
          </w:p>
          <w:p w14:paraId="210658B3" w14:textId="77777777" w:rsidR="00F312E3" w:rsidRPr="00D650B4" w:rsidRDefault="00F312E3" w:rsidP="00FF41B4">
            <w:pPr>
              <w:spacing w:before="0" w:line="240" w:lineRule="auto"/>
              <w:jc w:val="both"/>
              <w:rPr>
                <w:sz w:val="16"/>
                <w:szCs w:val="16"/>
              </w:rPr>
            </w:pPr>
          </w:p>
          <w:p w14:paraId="0B857D75" w14:textId="77777777" w:rsidR="00F312E3" w:rsidRPr="00D650B4" w:rsidRDefault="00F312E3" w:rsidP="00FF41B4">
            <w:pPr>
              <w:spacing w:before="0" w:line="240" w:lineRule="auto"/>
              <w:jc w:val="both"/>
            </w:pPr>
            <w:r w:rsidRPr="00D650B4">
              <w:t>Less strong focus on significant harm via ‘detriment to wellbeing’ concept</w:t>
            </w:r>
          </w:p>
        </w:tc>
      </w:tr>
      <w:tr w:rsidR="00F312E3" w:rsidRPr="0052480C" w14:paraId="5D05ADA0" w14:textId="77777777" w:rsidTr="00CD58CD">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F6F52B0" w14:textId="77777777" w:rsidR="00F312E3" w:rsidRPr="00D650B4" w:rsidRDefault="00F312E3" w:rsidP="00FF41B4">
            <w:pPr>
              <w:spacing w:before="0" w:line="240" w:lineRule="auto"/>
              <w:jc w:val="both"/>
              <w:rPr>
                <w:b/>
              </w:rPr>
            </w:pPr>
            <w:r w:rsidRPr="00D650B4">
              <w:rPr>
                <w:b/>
              </w:rPr>
              <w:lastRenderedPageBreak/>
              <w:t>TAS</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CC41947" w14:textId="77777777" w:rsidR="00F312E3" w:rsidRPr="00D650B4" w:rsidRDefault="00F312E3" w:rsidP="00FF41B4">
            <w:pPr>
              <w:spacing w:before="0" w:line="240" w:lineRule="auto"/>
              <w:jc w:val="both"/>
            </w:pPr>
            <w:r w:rsidRPr="00D650B4">
              <w:rPr>
                <w:i/>
                <w:iCs/>
              </w:rPr>
              <w:t>Children, Young Persons and Their Families Act 1997</w:t>
            </w:r>
            <w:r w:rsidRPr="00D650B4">
              <w:t xml:space="preserve"> (</w:t>
            </w:r>
            <w:proofErr w:type="spellStart"/>
            <w:r w:rsidRPr="00D650B4">
              <w:t>Tas</w:t>
            </w:r>
            <w:proofErr w:type="spellEnd"/>
            <w:r w:rsidRPr="00D650B4">
              <w:t>)</w:t>
            </w:r>
          </w:p>
          <w:p w14:paraId="0A0AB5DA" w14:textId="77777777" w:rsidR="00F312E3" w:rsidRPr="00D650B4" w:rsidRDefault="00F312E3" w:rsidP="00FF41B4">
            <w:pPr>
              <w:spacing w:before="0" w:line="240" w:lineRule="auto"/>
              <w:jc w:val="both"/>
            </w:pPr>
            <w:r w:rsidRPr="00D650B4">
              <w:t xml:space="preserve">Section </w:t>
            </w:r>
            <w:r w:rsidRPr="00D650B4">
              <w:rPr>
                <w:b/>
              </w:rPr>
              <w:t>3</w:t>
            </w:r>
            <w:r w:rsidRPr="00D650B4">
              <w:t>(1): ‘</w:t>
            </w:r>
            <w:r w:rsidRPr="00D650B4">
              <w:rPr>
                <w:b/>
                <w:i/>
              </w:rPr>
              <w:t>abuse or neglect</w:t>
            </w:r>
            <w:r w:rsidRPr="00D650B4">
              <w:t xml:space="preserve">’, means </w:t>
            </w:r>
          </w:p>
          <w:p w14:paraId="57EF25D0" w14:textId="77777777" w:rsidR="00F312E3" w:rsidRPr="00D650B4" w:rsidRDefault="00F312E3" w:rsidP="00FF41B4">
            <w:pPr>
              <w:tabs>
                <w:tab w:val="left" w:pos="7418"/>
              </w:tabs>
              <w:spacing w:before="0" w:line="240" w:lineRule="auto"/>
              <w:jc w:val="both"/>
            </w:pPr>
            <w:r w:rsidRPr="00D650B4">
              <w:t>(a) sexual abuse; or</w:t>
            </w:r>
            <w:r w:rsidRPr="00D650B4">
              <w:tab/>
            </w:r>
          </w:p>
          <w:p w14:paraId="0C8A908E" w14:textId="77777777" w:rsidR="00F312E3" w:rsidRPr="00D650B4" w:rsidRDefault="00F312E3" w:rsidP="00FF41B4">
            <w:pPr>
              <w:spacing w:before="0" w:line="240" w:lineRule="auto"/>
              <w:jc w:val="both"/>
            </w:pPr>
            <w:r w:rsidRPr="00D650B4">
              <w:t xml:space="preserve">(b) physical or emotional </w:t>
            </w:r>
            <w:r w:rsidRPr="00D650B4">
              <w:rPr>
                <w:b/>
              </w:rPr>
              <w:t>injury</w:t>
            </w:r>
            <w:r w:rsidRPr="00D650B4">
              <w:t xml:space="preserve"> or other abuse, or neglect, </w:t>
            </w:r>
            <w:r w:rsidRPr="00D650B4">
              <w:rPr>
                <w:u w:val="single"/>
              </w:rPr>
              <w:t>to the extent that</w:t>
            </w:r>
            <w:r w:rsidRPr="00D650B4">
              <w:t>—</w:t>
            </w:r>
          </w:p>
          <w:p w14:paraId="3AD851F5" w14:textId="77777777" w:rsidR="00F312E3" w:rsidRPr="00D650B4" w:rsidRDefault="00F312E3" w:rsidP="00FF41B4">
            <w:pPr>
              <w:spacing w:before="0" w:line="240" w:lineRule="auto"/>
              <w:jc w:val="both"/>
            </w:pPr>
            <w:r w:rsidRPr="00D650B4">
              <w:t>(</w:t>
            </w:r>
            <w:proofErr w:type="spellStart"/>
            <w:r w:rsidRPr="00D650B4">
              <w:t>i</w:t>
            </w:r>
            <w:proofErr w:type="spellEnd"/>
            <w:r w:rsidRPr="00D650B4">
              <w:t xml:space="preserve">) the injured, abused, or neglected person has suffered, or is likely to suffer, physical or psychological </w:t>
            </w:r>
            <w:r w:rsidRPr="00D650B4">
              <w:rPr>
                <w:b/>
              </w:rPr>
              <w:t>harm</w:t>
            </w:r>
            <w:r w:rsidRPr="00D650B4">
              <w:t xml:space="preserve"> </w:t>
            </w:r>
            <w:r w:rsidRPr="00D650B4">
              <w:rPr>
                <w:b/>
                <w:i/>
              </w:rPr>
              <w:t>detrimental to the person’s wellbeing</w:t>
            </w:r>
            <w:r w:rsidRPr="00D650B4">
              <w:t>; or</w:t>
            </w:r>
          </w:p>
          <w:p w14:paraId="17CCEA97" w14:textId="77777777" w:rsidR="00F312E3" w:rsidRPr="00D650B4" w:rsidRDefault="00F312E3" w:rsidP="00FF41B4">
            <w:pPr>
              <w:spacing w:before="0" w:line="240" w:lineRule="auto"/>
              <w:jc w:val="both"/>
            </w:pPr>
            <w:r w:rsidRPr="00D650B4">
              <w:t>(ii) the injured, abused, or neglected person’s physical or psychological development is in jeopardy</w:t>
            </w:r>
          </w:p>
          <w:p w14:paraId="2B505A61" w14:textId="77777777" w:rsidR="00F312E3" w:rsidRPr="00D650B4" w:rsidRDefault="00F312E3" w:rsidP="00FF41B4">
            <w:pPr>
              <w:spacing w:before="0" w:line="240" w:lineRule="auto"/>
              <w:jc w:val="both"/>
            </w:pPr>
          </w:p>
          <w:p w14:paraId="44A80591" w14:textId="77777777" w:rsidR="00F312E3" w:rsidRPr="00D650B4" w:rsidRDefault="00F312E3" w:rsidP="00FF41B4">
            <w:pPr>
              <w:spacing w:before="0" w:line="240" w:lineRule="auto"/>
              <w:jc w:val="both"/>
            </w:pPr>
            <w:r w:rsidRPr="00D650B4">
              <w:t xml:space="preserve">Section </w:t>
            </w:r>
            <w:r w:rsidRPr="00D650B4">
              <w:rPr>
                <w:b/>
              </w:rPr>
              <w:t>14</w:t>
            </w:r>
            <w:r w:rsidRPr="00D650B4">
              <w:t xml:space="preserve">(2) ‘If a prescribed person, in carrying out official duties or in the course of his or her work (whether paid or voluntary), believes, or suspects, on reasonable grounds, or knows – </w:t>
            </w:r>
          </w:p>
          <w:p w14:paraId="7CEA6CB4" w14:textId="77777777" w:rsidR="00F312E3" w:rsidRPr="00D650B4" w:rsidRDefault="00F312E3" w:rsidP="00FF41B4">
            <w:pPr>
              <w:numPr>
                <w:ilvl w:val="0"/>
                <w:numId w:val="32"/>
              </w:numPr>
              <w:spacing w:before="0" w:line="240" w:lineRule="auto"/>
              <w:jc w:val="both"/>
            </w:pPr>
            <w:r w:rsidRPr="00D650B4">
              <w:t>that a child has been or is being abused or neglected or is an affected child within the meaning of the Family Violence Act 2004; or</w:t>
            </w:r>
          </w:p>
          <w:p w14:paraId="48593E36" w14:textId="77777777" w:rsidR="00F312E3" w:rsidRPr="00D650B4" w:rsidRDefault="00F312E3" w:rsidP="00FF41B4">
            <w:pPr>
              <w:numPr>
                <w:ilvl w:val="0"/>
                <w:numId w:val="32"/>
              </w:numPr>
              <w:spacing w:before="0" w:line="240" w:lineRule="auto"/>
              <w:jc w:val="both"/>
            </w:pPr>
            <w:r w:rsidRPr="00D650B4">
              <w:t>that there is a reasonable likelihood of a child being killed or injured or abused or neglected by a person with whom the child resides; or</w:t>
            </w:r>
          </w:p>
          <w:p w14:paraId="22B46B2C" w14:textId="77777777" w:rsidR="00F312E3" w:rsidRPr="00D650B4" w:rsidRDefault="00F312E3" w:rsidP="00FF41B4">
            <w:pPr>
              <w:numPr>
                <w:ilvl w:val="0"/>
                <w:numId w:val="32"/>
              </w:numPr>
              <w:spacing w:before="0" w:line="240" w:lineRule="auto"/>
              <w:jc w:val="both"/>
            </w:pPr>
            <w:r w:rsidRPr="00D650B4">
              <w:t xml:space="preserve"> while a woman is pregnant that there is a reasonable likelihood that after the birth of the child – </w:t>
            </w:r>
          </w:p>
          <w:p w14:paraId="7E802A62" w14:textId="77777777" w:rsidR="00F312E3" w:rsidRPr="00D650B4" w:rsidRDefault="00F312E3" w:rsidP="00FF41B4">
            <w:pPr>
              <w:numPr>
                <w:ilvl w:val="0"/>
                <w:numId w:val="33"/>
              </w:numPr>
              <w:spacing w:before="0" w:line="240" w:lineRule="auto"/>
              <w:jc w:val="both"/>
            </w:pPr>
            <w:r w:rsidRPr="00D650B4">
              <w:t>the child will suffer abuse or neglect, or may be killed by a person with whom the child is likely to reside; or</w:t>
            </w:r>
          </w:p>
          <w:p w14:paraId="15E6E2AC" w14:textId="77777777" w:rsidR="00F312E3" w:rsidRPr="00D650B4" w:rsidRDefault="00F312E3" w:rsidP="00FF41B4">
            <w:pPr>
              <w:numPr>
                <w:ilvl w:val="0"/>
                <w:numId w:val="33"/>
              </w:numPr>
              <w:spacing w:before="0" w:line="240" w:lineRule="auto"/>
              <w:jc w:val="both"/>
            </w:pPr>
            <w:r w:rsidRPr="00D650B4">
              <w:t>the child will require medical treatment or other intervention as a result of the behaviour of the woman, or another person with whom the woman resides or is likely to reside, before the birth of the child’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59297B5" w14:textId="77777777" w:rsidR="00F312E3" w:rsidRPr="00D650B4" w:rsidRDefault="00F312E3" w:rsidP="00FF41B4">
            <w:pPr>
              <w:spacing w:before="0" w:line="240" w:lineRule="auto"/>
              <w:jc w:val="both"/>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73D2CF92" w14:textId="77777777" w:rsidR="00F312E3" w:rsidRPr="00D650B4" w:rsidRDefault="00F312E3" w:rsidP="00FF41B4">
            <w:pPr>
              <w:spacing w:before="0" w:line="240" w:lineRule="auto"/>
              <w:jc w:val="both"/>
            </w:pPr>
          </w:p>
          <w:p w14:paraId="7972058D" w14:textId="77777777" w:rsidR="00F312E3" w:rsidRPr="00D650B4" w:rsidRDefault="00F312E3" w:rsidP="00FF41B4">
            <w:pPr>
              <w:spacing w:before="0" w:line="240" w:lineRule="auto"/>
              <w:jc w:val="both"/>
            </w:pPr>
            <w:r w:rsidRPr="00D650B4">
              <w:t xml:space="preserve">Sexual abuse </w:t>
            </w:r>
          </w:p>
          <w:p w14:paraId="264BF99F" w14:textId="77777777" w:rsidR="00F312E3" w:rsidRPr="00D650B4" w:rsidRDefault="00F312E3" w:rsidP="00FF41B4">
            <w:pPr>
              <w:spacing w:before="0" w:line="240" w:lineRule="auto"/>
              <w:jc w:val="both"/>
            </w:pPr>
            <w:r w:rsidRPr="00D650B4">
              <w:t>Physical injury or abuse</w:t>
            </w:r>
          </w:p>
          <w:p w14:paraId="4BB404EE" w14:textId="77777777" w:rsidR="00F312E3" w:rsidRPr="00D650B4" w:rsidRDefault="00F312E3" w:rsidP="00FF41B4">
            <w:pPr>
              <w:spacing w:before="0" w:line="240" w:lineRule="auto"/>
              <w:jc w:val="both"/>
            </w:pPr>
            <w:r w:rsidRPr="00D650B4">
              <w:t>Emotional injury or abuse</w:t>
            </w:r>
          </w:p>
          <w:p w14:paraId="542DF2D4" w14:textId="77777777" w:rsidR="00F312E3" w:rsidRPr="00D650B4" w:rsidRDefault="00F312E3" w:rsidP="00FF41B4">
            <w:pPr>
              <w:spacing w:before="0" w:line="240" w:lineRule="auto"/>
              <w:jc w:val="both"/>
            </w:pPr>
            <w:r w:rsidRPr="00D650B4">
              <w:t xml:space="preserve">Neglect </w:t>
            </w:r>
          </w:p>
          <w:p w14:paraId="01C99D17" w14:textId="77777777" w:rsidR="00F312E3" w:rsidRPr="00D650B4" w:rsidRDefault="00F312E3" w:rsidP="00FF41B4">
            <w:pPr>
              <w:spacing w:before="0" w:line="240" w:lineRule="auto"/>
              <w:jc w:val="both"/>
            </w:pPr>
            <w:r w:rsidRPr="00D650B4">
              <w:t>Exposure to family violence</w:t>
            </w:r>
          </w:p>
          <w:p w14:paraId="2E9C2850" w14:textId="77777777" w:rsidR="00F312E3" w:rsidRPr="00D650B4" w:rsidRDefault="00F312E3" w:rsidP="00FF41B4">
            <w:pPr>
              <w:spacing w:before="0" w:line="240" w:lineRule="auto"/>
              <w:jc w:val="both"/>
            </w:pPr>
          </w:p>
          <w:p w14:paraId="37C35E4E" w14:textId="77777777" w:rsidR="00F312E3" w:rsidRPr="00D650B4" w:rsidRDefault="00F312E3" w:rsidP="00FF41B4">
            <w:pPr>
              <w:spacing w:before="0" w:line="240" w:lineRule="auto"/>
              <w:jc w:val="both"/>
            </w:pPr>
            <w:r w:rsidRPr="00D650B4">
              <w:t>Less strong focus on significant harm via ‘detriment to wellbeing’ concept</w:t>
            </w:r>
          </w:p>
        </w:tc>
      </w:tr>
      <w:tr w:rsidR="00F312E3" w:rsidRPr="0052480C" w14:paraId="69592ABC" w14:textId="77777777" w:rsidTr="00CD58CD">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DE2C46B" w14:textId="77777777" w:rsidR="00F312E3" w:rsidRPr="00D650B4" w:rsidRDefault="00F312E3" w:rsidP="00FF41B4">
            <w:pPr>
              <w:spacing w:before="0" w:line="240" w:lineRule="auto"/>
              <w:jc w:val="both"/>
              <w:rPr>
                <w:b/>
              </w:rPr>
            </w:pPr>
            <w:r w:rsidRPr="00D650B4">
              <w:rPr>
                <w:b/>
              </w:rPr>
              <w:t>VIC</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F9608EC" w14:textId="77777777" w:rsidR="00F312E3" w:rsidRPr="00D650B4" w:rsidRDefault="00F312E3" w:rsidP="00FF41B4">
            <w:pPr>
              <w:spacing w:before="0" w:line="240" w:lineRule="auto"/>
              <w:jc w:val="both"/>
            </w:pPr>
            <w:r w:rsidRPr="00D650B4">
              <w:rPr>
                <w:i/>
                <w:iCs/>
              </w:rPr>
              <w:t>Children, Youth and Families Act 2005</w:t>
            </w:r>
            <w:r w:rsidRPr="00D650B4">
              <w:t xml:space="preserve"> (Vic)</w:t>
            </w:r>
          </w:p>
          <w:p w14:paraId="79E12D95" w14:textId="77777777" w:rsidR="00F312E3" w:rsidRPr="00D650B4" w:rsidRDefault="00F312E3" w:rsidP="00FF41B4">
            <w:pPr>
              <w:spacing w:before="0" w:line="240" w:lineRule="auto"/>
              <w:jc w:val="both"/>
            </w:pPr>
            <w:proofErr w:type="gramStart"/>
            <w:r w:rsidRPr="00D650B4">
              <w:t xml:space="preserve">Section </w:t>
            </w:r>
            <w:r w:rsidRPr="00D650B4">
              <w:rPr>
                <w:b/>
              </w:rPr>
              <w:t>184</w:t>
            </w:r>
            <w:r w:rsidRPr="00D650B4">
              <w:t xml:space="preserve">(1): ‘A mandatory reporter who, in the course of practising his or her profession or carrying out the duties of his or her office, position or employment as set out in section 182, forms the </w:t>
            </w:r>
            <w:r w:rsidRPr="00D650B4">
              <w:rPr>
                <w:b/>
                <w:i/>
              </w:rPr>
              <w:t xml:space="preserve">belief on reasonable grounds </w:t>
            </w:r>
            <w:r w:rsidRPr="00D650B4">
              <w:rPr>
                <w:i/>
              </w:rPr>
              <w:t>that a</w:t>
            </w:r>
            <w:r w:rsidRPr="00D650B4">
              <w:rPr>
                <w:b/>
                <w:i/>
              </w:rPr>
              <w:t xml:space="preserve"> child is in need of protection on a ground referred to</w:t>
            </w:r>
            <w:r w:rsidRPr="00D650B4">
              <w:t xml:space="preserve"> in section 162(1)(c) or 162(1)(d)’ must report </w:t>
            </w:r>
            <w:r w:rsidRPr="00D650B4">
              <w:lastRenderedPageBreak/>
              <w:t>it.</w:t>
            </w:r>
            <w:proofErr w:type="gramEnd"/>
          </w:p>
          <w:p w14:paraId="4E9EA3E4" w14:textId="77777777" w:rsidR="00F312E3" w:rsidRPr="00D650B4" w:rsidRDefault="00F312E3" w:rsidP="00FF41B4">
            <w:pPr>
              <w:spacing w:before="0" w:line="240" w:lineRule="auto"/>
              <w:jc w:val="both"/>
            </w:pPr>
          </w:p>
          <w:p w14:paraId="370237EC" w14:textId="77777777" w:rsidR="00F312E3" w:rsidRPr="00D650B4" w:rsidRDefault="00F312E3" w:rsidP="00FF41B4">
            <w:pPr>
              <w:spacing w:before="0" w:line="240" w:lineRule="auto"/>
              <w:jc w:val="both"/>
            </w:pPr>
            <w:r w:rsidRPr="00D650B4">
              <w:t xml:space="preserve">Section </w:t>
            </w:r>
            <w:r w:rsidRPr="00D650B4">
              <w:rPr>
                <w:b/>
              </w:rPr>
              <w:t>162</w:t>
            </w:r>
            <w:r w:rsidRPr="00D650B4">
              <w:t xml:space="preserve">(1) ‘For the purposes of this Act a child is </w:t>
            </w:r>
            <w:r w:rsidRPr="00D650B4">
              <w:rPr>
                <w:b/>
                <w:i/>
              </w:rPr>
              <w:t>in need of protection</w:t>
            </w:r>
            <w:r w:rsidRPr="00D650B4">
              <w:t xml:space="preserve"> if any of the following grounds exist - </w:t>
            </w:r>
          </w:p>
          <w:p w14:paraId="6B282742" w14:textId="77777777" w:rsidR="00F312E3" w:rsidRPr="00D650B4" w:rsidRDefault="00F312E3" w:rsidP="00FF41B4">
            <w:pPr>
              <w:spacing w:before="0" w:line="240" w:lineRule="auto"/>
              <w:jc w:val="both"/>
            </w:pPr>
            <w:r w:rsidRPr="00D650B4">
              <w:t xml:space="preserve">(c)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physical injury</w:t>
            </w:r>
            <w:r w:rsidRPr="00D650B4">
              <w:t xml:space="preserve"> </w:t>
            </w:r>
            <w:r w:rsidRPr="00D650B4">
              <w:rPr>
                <w:b/>
                <w:i/>
              </w:rPr>
              <w:t>and</w:t>
            </w:r>
            <w:r w:rsidRPr="00D650B4">
              <w:t xml:space="preserve"> the child's parents have not protected, or</w:t>
            </w:r>
          </w:p>
          <w:p w14:paraId="7E76F699" w14:textId="77777777" w:rsidR="00F312E3" w:rsidRPr="00D650B4" w:rsidRDefault="00F312E3" w:rsidP="00FF41B4">
            <w:pPr>
              <w:spacing w:before="0" w:line="240" w:lineRule="auto"/>
              <w:jc w:val="both"/>
            </w:pPr>
            <w:r w:rsidRPr="00D650B4">
              <w:t>are unlikely to protect, the child from harm of that type;</w:t>
            </w:r>
          </w:p>
          <w:p w14:paraId="34DF53E1" w14:textId="77777777" w:rsidR="00F312E3" w:rsidRPr="00D650B4" w:rsidRDefault="00F312E3" w:rsidP="00FF41B4">
            <w:pPr>
              <w:spacing w:before="0" w:line="240" w:lineRule="auto"/>
              <w:jc w:val="both"/>
            </w:pPr>
            <w:r w:rsidRPr="00D650B4">
              <w:t xml:space="preserve">(d)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sexual abuse</w:t>
            </w:r>
            <w:r w:rsidRPr="00D650B4">
              <w:t xml:space="preserve"> </w:t>
            </w:r>
            <w:r w:rsidRPr="00D650B4">
              <w:rPr>
                <w:b/>
                <w:i/>
              </w:rPr>
              <w:t>and</w:t>
            </w:r>
            <w:r w:rsidRPr="00D650B4">
              <w:t xml:space="preserve"> the child's parents have not protected, or</w:t>
            </w:r>
          </w:p>
          <w:p w14:paraId="76A1A1CC" w14:textId="77777777" w:rsidR="00F312E3" w:rsidRPr="00D650B4" w:rsidRDefault="00F312E3" w:rsidP="00FF41B4">
            <w:pPr>
              <w:spacing w:before="0" w:line="240" w:lineRule="auto"/>
              <w:jc w:val="both"/>
            </w:pPr>
            <w:r w:rsidRPr="00D650B4">
              <w:t>are unlikely to protect, the child from harm of that type;’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1C8FEC1" w14:textId="77777777" w:rsidR="00F312E3" w:rsidRPr="00D650B4" w:rsidRDefault="00F312E3" w:rsidP="00FF41B4">
            <w:pPr>
              <w:spacing w:before="0" w:line="240" w:lineRule="auto"/>
              <w:jc w:val="both"/>
              <w:rPr>
                <w:i/>
              </w:rPr>
            </w:pPr>
            <w:r w:rsidRPr="00D650B4">
              <w:rPr>
                <w:i/>
              </w:rPr>
              <w:lastRenderedPageBreak/>
              <w:t xml:space="preserve">Focus is the child being ‘in need of protection’ due to ‘harm’ as a consequence of injury or abuse being the </w:t>
            </w:r>
            <w:r w:rsidRPr="00D650B4">
              <w:rPr>
                <w:i/>
                <w:u w:val="single"/>
              </w:rPr>
              <w:t>cause</w:t>
            </w:r>
            <w:r w:rsidRPr="00D650B4">
              <w:rPr>
                <w:i/>
              </w:rPr>
              <w:t xml:space="preserve"> of the ‘harm’, </w:t>
            </w:r>
            <w:r w:rsidRPr="00D650B4">
              <w:rPr>
                <w:i/>
              </w:rPr>
              <w:lastRenderedPageBreak/>
              <w:t>plus the absence of a protective parent</w:t>
            </w:r>
          </w:p>
          <w:p w14:paraId="06E1FE78" w14:textId="77777777" w:rsidR="00F312E3" w:rsidRPr="00D650B4" w:rsidRDefault="00F312E3" w:rsidP="00FF41B4">
            <w:pPr>
              <w:spacing w:before="0" w:line="240" w:lineRule="auto"/>
              <w:jc w:val="both"/>
            </w:pPr>
          </w:p>
          <w:p w14:paraId="26EBF898" w14:textId="77777777" w:rsidR="00F312E3" w:rsidRPr="00D650B4" w:rsidRDefault="00F312E3" w:rsidP="00FF41B4">
            <w:pPr>
              <w:spacing w:before="0" w:line="240" w:lineRule="auto"/>
              <w:jc w:val="both"/>
            </w:pPr>
            <w:r w:rsidRPr="00D650B4">
              <w:t>Physical injury</w:t>
            </w:r>
          </w:p>
          <w:p w14:paraId="45AC9F22" w14:textId="77777777" w:rsidR="00F312E3" w:rsidRPr="00D650B4" w:rsidRDefault="00F312E3" w:rsidP="00FF41B4">
            <w:pPr>
              <w:spacing w:before="0" w:line="240" w:lineRule="auto"/>
              <w:jc w:val="both"/>
            </w:pPr>
            <w:r w:rsidRPr="00D650B4">
              <w:t>Sexual abuse</w:t>
            </w:r>
          </w:p>
          <w:p w14:paraId="0A61B2DF" w14:textId="77777777" w:rsidR="00F312E3" w:rsidRPr="00D650B4" w:rsidRDefault="00F312E3" w:rsidP="00FF41B4">
            <w:pPr>
              <w:spacing w:before="0" w:line="240" w:lineRule="auto"/>
              <w:jc w:val="both"/>
            </w:pPr>
          </w:p>
          <w:p w14:paraId="6117CE7B" w14:textId="77777777" w:rsidR="00F312E3" w:rsidRPr="00D650B4" w:rsidRDefault="00F312E3" w:rsidP="00FF41B4">
            <w:pPr>
              <w:spacing w:before="0" w:line="240" w:lineRule="auto"/>
              <w:jc w:val="both"/>
            </w:pPr>
            <w:r w:rsidRPr="00D650B4">
              <w:t>Clear focus on ‘significant harm’</w:t>
            </w:r>
          </w:p>
        </w:tc>
      </w:tr>
      <w:tr w:rsidR="00F312E3" w:rsidRPr="0052480C" w14:paraId="05F27312" w14:textId="77777777" w:rsidTr="00CD58CD">
        <w:trPr>
          <w:trHeight w:val="60"/>
        </w:trPr>
        <w:tc>
          <w:tcPr>
            <w:tcW w:w="1402"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1CC95746" w14:textId="77777777" w:rsidR="00F312E3" w:rsidRPr="00D650B4" w:rsidRDefault="00F312E3" w:rsidP="00FF41B4">
            <w:pPr>
              <w:spacing w:before="0" w:line="240" w:lineRule="auto"/>
              <w:jc w:val="both"/>
              <w:rPr>
                <w:b/>
              </w:rPr>
            </w:pPr>
            <w:r w:rsidRPr="00D650B4">
              <w:rPr>
                <w:b/>
              </w:rPr>
              <w:lastRenderedPageBreak/>
              <w:t>WA</w:t>
            </w:r>
          </w:p>
        </w:tc>
        <w:tc>
          <w:tcPr>
            <w:tcW w:w="10364"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7325DE43" w14:textId="77777777" w:rsidR="00F312E3" w:rsidRPr="00D650B4" w:rsidRDefault="00F312E3" w:rsidP="00FF41B4">
            <w:pPr>
              <w:spacing w:before="0" w:line="240" w:lineRule="auto"/>
              <w:jc w:val="both"/>
            </w:pPr>
            <w:r w:rsidRPr="00D650B4">
              <w:rPr>
                <w:i/>
                <w:iCs/>
              </w:rPr>
              <w:t>Children and Community Services Act 2004</w:t>
            </w:r>
          </w:p>
          <w:p w14:paraId="0ECC9546" w14:textId="77777777" w:rsidR="00F312E3" w:rsidRPr="00D650B4" w:rsidRDefault="00F312E3" w:rsidP="00FF41B4">
            <w:pPr>
              <w:spacing w:before="0" w:line="240" w:lineRule="auto"/>
              <w:jc w:val="both"/>
            </w:pPr>
            <w:r w:rsidRPr="00D650B4">
              <w:t xml:space="preserve">Section 124A defines ‘sexual abuse’.  Section </w:t>
            </w:r>
            <w:r w:rsidRPr="00D650B4">
              <w:rPr>
                <w:b/>
              </w:rPr>
              <w:t>124B</w:t>
            </w:r>
            <w:r w:rsidRPr="00D650B4">
              <w:t>(1) requires a mandated reporter who in the course of their work ‘believes on reasonable grounds that a child (</w:t>
            </w:r>
            <w:proofErr w:type="spellStart"/>
            <w:r w:rsidRPr="00D650B4">
              <w:t>i</w:t>
            </w:r>
            <w:proofErr w:type="spellEnd"/>
            <w:r w:rsidRPr="00D650B4">
              <w:t xml:space="preserve">) has been the subject of sexual abuse that occurred on or after commencement day; or (ii) is the subject of ongoing sexual abuse’ to report it.  </w:t>
            </w:r>
          </w:p>
        </w:tc>
        <w:tc>
          <w:tcPr>
            <w:tcW w:w="3118"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59874551" w14:textId="77777777" w:rsidR="00F312E3" w:rsidRPr="00D650B4" w:rsidRDefault="00F312E3" w:rsidP="00FF41B4">
            <w:pPr>
              <w:spacing w:before="0" w:line="240" w:lineRule="auto"/>
              <w:jc w:val="both"/>
            </w:pPr>
            <w:r w:rsidRPr="00D650B4">
              <w:rPr>
                <w:i/>
              </w:rPr>
              <w:t>Focus is ‘abuse’ explicitly</w:t>
            </w:r>
          </w:p>
          <w:p w14:paraId="357B18AE" w14:textId="77777777" w:rsidR="00F312E3" w:rsidRPr="00D650B4" w:rsidRDefault="00F312E3" w:rsidP="00FF41B4">
            <w:pPr>
              <w:spacing w:before="0" w:line="240" w:lineRule="auto"/>
              <w:jc w:val="both"/>
            </w:pPr>
          </w:p>
          <w:p w14:paraId="4E6EA666" w14:textId="77777777" w:rsidR="00F312E3" w:rsidRPr="00D650B4" w:rsidRDefault="00F312E3" w:rsidP="00FF41B4">
            <w:pPr>
              <w:spacing w:before="0" w:line="240" w:lineRule="auto"/>
              <w:jc w:val="both"/>
            </w:pPr>
            <w:r w:rsidRPr="00D650B4">
              <w:t>Sexual abuse</w:t>
            </w:r>
          </w:p>
        </w:tc>
      </w:tr>
    </w:tbl>
    <w:p w14:paraId="41352F1D" w14:textId="77777777" w:rsidR="00F312E3" w:rsidRPr="0052480C" w:rsidRDefault="00F312E3" w:rsidP="00FF41B4">
      <w:pPr>
        <w:jc w:val="both"/>
        <w:rPr>
          <w:rFonts w:asciiTheme="majorHAnsi" w:hAnsiTheme="majorHAnsi"/>
        </w:rPr>
        <w:sectPr w:rsidR="00F312E3" w:rsidRPr="0052480C" w:rsidSect="00D650B4">
          <w:pgSz w:w="16840" w:h="11900" w:orient="landscape"/>
          <w:pgMar w:top="1134" w:right="1134" w:bottom="1134" w:left="1134" w:header="708" w:footer="708" w:gutter="0"/>
          <w:cols w:space="708"/>
          <w:docGrid w:linePitch="360"/>
        </w:sectPr>
      </w:pPr>
    </w:p>
    <w:p w14:paraId="305D4081" w14:textId="77777777" w:rsidR="00F312E3" w:rsidRPr="0052480C" w:rsidRDefault="00F312E3" w:rsidP="00FF41B4">
      <w:pPr>
        <w:pStyle w:val="Heading4"/>
        <w:jc w:val="both"/>
      </w:pPr>
      <w:bookmarkStart w:id="32" w:name="_Toc400110668"/>
      <w:bookmarkStart w:id="33" w:name="_Toc435457006"/>
      <w:bookmarkStart w:id="34" w:name="_Toc435716756"/>
      <w:r>
        <w:lastRenderedPageBreak/>
        <w:t>1.5.</w:t>
      </w:r>
      <w:r>
        <w:tab/>
      </w:r>
      <w:r w:rsidRPr="0052480C">
        <w:t>Legislative developments for each State and Territory over time: 2003-2012</w:t>
      </w:r>
      <w:bookmarkEnd w:id="32"/>
      <w:bookmarkEnd w:id="33"/>
      <w:bookmarkEnd w:id="34"/>
    </w:p>
    <w:p w14:paraId="04806DF5" w14:textId="77777777" w:rsidR="00F312E3" w:rsidRPr="00D650B4" w:rsidRDefault="00F312E3" w:rsidP="00FF41B4">
      <w:pPr>
        <w:jc w:val="both"/>
      </w:pPr>
      <w:r w:rsidRPr="00D650B4">
        <w:t>In Australia, reporting laws have developed since the 1970s. Each State and Territory has constitutional power to pass legislation about child protection. In the absence of a coordinated national approach, and with States and Territories having different priorities and preferences about child protection and family welfare, each jurisdiction has enacted its own mandatory reporting legislation at different times, in different ways, and with occasional amendments which usually broaden but sometimes narrow the scope of the duty (Mathews &amp; Kenny, 2008).</w:t>
      </w:r>
      <w:r w:rsidRPr="00D650B4">
        <w:rPr>
          <w:rStyle w:val="FootnoteReference"/>
        </w:rPr>
        <w:footnoteReference w:id="14"/>
      </w:r>
      <w:r w:rsidRPr="00D650B4">
        <w:t xml:space="preserve"> </w:t>
      </w:r>
    </w:p>
    <w:p w14:paraId="4E07025B" w14:textId="77777777" w:rsidR="00F312E3" w:rsidRPr="00D650B4" w:rsidRDefault="00F312E3" w:rsidP="00FF41B4">
      <w:pPr>
        <w:jc w:val="both"/>
      </w:pPr>
      <w:r w:rsidRPr="00D650B4">
        <w:t xml:space="preserve">Below, we provide a </w:t>
      </w:r>
      <w:proofErr w:type="gramStart"/>
      <w:r w:rsidRPr="00D650B4">
        <w:t>10 year</w:t>
      </w:r>
      <w:proofErr w:type="gramEnd"/>
      <w:r w:rsidRPr="00D650B4">
        <w:t xml:space="preserve"> historical review and analysis of the development of the mandatory reporting laws in each State and Territory. For each jurisdiction, we describe:</w:t>
      </w:r>
    </w:p>
    <w:p w14:paraId="7DF2394B" w14:textId="77777777" w:rsidR="00F312E3" w:rsidRPr="00D650B4" w:rsidRDefault="00F312E3" w:rsidP="00FF41B4">
      <w:pPr>
        <w:pStyle w:val="ListParagraph"/>
        <w:numPr>
          <w:ilvl w:val="0"/>
          <w:numId w:val="34"/>
        </w:numPr>
        <w:spacing w:before="0"/>
        <w:jc w:val="both"/>
      </w:pPr>
      <w:r w:rsidRPr="00D650B4">
        <w:t xml:space="preserve">the original legislative position at 1 January 2003; </w:t>
      </w:r>
    </w:p>
    <w:p w14:paraId="508CE316" w14:textId="77777777" w:rsidR="00F312E3" w:rsidRPr="00D650B4" w:rsidRDefault="00F312E3" w:rsidP="00FF41B4">
      <w:pPr>
        <w:pStyle w:val="ListParagraph"/>
        <w:numPr>
          <w:ilvl w:val="0"/>
          <w:numId w:val="34"/>
        </w:numPr>
        <w:spacing w:before="0"/>
        <w:jc w:val="both"/>
      </w:pPr>
      <w:r w:rsidRPr="00D650B4">
        <w:t xml:space="preserve">key legislative changes between 1 January 2003 and 31 December 2012, noting the effects these changes may have on reporting practice; </w:t>
      </w:r>
    </w:p>
    <w:p w14:paraId="47F0B21C" w14:textId="77777777" w:rsidR="00F312E3" w:rsidRPr="00D650B4" w:rsidRDefault="00F312E3" w:rsidP="00FF41B4">
      <w:pPr>
        <w:pStyle w:val="ListParagraph"/>
        <w:numPr>
          <w:ilvl w:val="0"/>
          <w:numId w:val="34"/>
        </w:numPr>
        <w:spacing w:before="0"/>
        <w:jc w:val="both"/>
      </w:pPr>
      <w:r w:rsidRPr="00D650B4">
        <w:t>a summary of the position at 31 December 2012; and</w:t>
      </w:r>
    </w:p>
    <w:p w14:paraId="77EDC452" w14:textId="77777777" w:rsidR="00F312E3" w:rsidRPr="00D650B4" w:rsidRDefault="00F312E3" w:rsidP="00FF41B4">
      <w:pPr>
        <w:pStyle w:val="ListParagraph"/>
        <w:numPr>
          <w:ilvl w:val="0"/>
          <w:numId w:val="34"/>
        </w:numPr>
        <w:spacing w:before="0"/>
        <w:jc w:val="both"/>
      </w:pPr>
      <w:proofErr w:type="gramStart"/>
      <w:r w:rsidRPr="00D650B4">
        <w:t>a</w:t>
      </w:r>
      <w:proofErr w:type="gramEnd"/>
      <w:r w:rsidRPr="00D650B4">
        <w:t xml:space="preserve"> summary timeline depicting key changes.</w:t>
      </w:r>
    </w:p>
    <w:p w14:paraId="77916A0F" w14:textId="77777777" w:rsidR="00F312E3" w:rsidRPr="00D650B4" w:rsidRDefault="00F312E3" w:rsidP="00FF41B4">
      <w:pPr>
        <w:jc w:val="both"/>
      </w:pPr>
      <w:r w:rsidRPr="00D650B4">
        <w:t>The findings from this Stage 1 Report will then inform our analysis in Stage 2 of this study. In Stage 2, we will collate and analyse government data about reports and outcomes of reports for each type of child abuse and neglect, by each reporter group, from each State and Territory for the 2003-2012 period. This will indicate within each jurisdiction the influence of different legislative provisions on reporting practice and outcomes. It will also inform an analysis across jurisdictions of the influence of different legislative frameworks on reporting practice and outcomes.</w:t>
      </w:r>
    </w:p>
    <w:p w14:paraId="209EAD6C" w14:textId="77777777" w:rsidR="00F312E3" w:rsidRPr="00D650B4" w:rsidRDefault="00F312E3" w:rsidP="00FF41B4">
      <w:pPr>
        <w:jc w:val="both"/>
      </w:pPr>
      <w:r w:rsidRPr="00D650B4">
        <w:t>The following sections detail legislative developments for each State and Territory over the period 2003-2012:</w:t>
      </w:r>
    </w:p>
    <w:p w14:paraId="026FD856" w14:textId="77777777" w:rsidR="00F312E3" w:rsidRPr="00D650B4" w:rsidRDefault="00F312E3" w:rsidP="00FF41B4">
      <w:pPr>
        <w:pStyle w:val="ListParagraph"/>
        <w:numPr>
          <w:ilvl w:val="0"/>
          <w:numId w:val="35"/>
        </w:numPr>
        <w:spacing w:before="0"/>
        <w:jc w:val="both"/>
      </w:pPr>
      <w:r w:rsidRPr="00D650B4">
        <w:t xml:space="preserve">1.5.1 </w:t>
      </w:r>
      <w:r w:rsidRPr="00D650B4">
        <w:tab/>
        <w:t>Australian Capital Territory</w:t>
      </w:r>
    </w:p>
    <w:p w14:paraId="17CB1564" w14:textId="77777777" w:rsidR="00F312E3" w:rsidRPr="00D650B4" w:rsidRDefault="00F312E3" w:rsidP="00FF41B4">
      <w:pPr>
        <w:pStyle w:val="ListParagraph"/>
        <w:numPr>
          <w:ilvl w:val="0"/>
          <w:numId w:val="35"/>
        </w:numPr>
        <w:spacing w:before="0"/>
        <w:jc w:val="both"/>
      </w:pPr>
      <w:r w:rsidRPr="00D650B4">
        <w:t xml:space="preserve">1.5.2 </w:t>
      </w:r>
      <w:r w:rsidRPr="00D650B4">
        <w:tab/>
        <w:t>New South Wales</w:t>
      </w:r>
    </w:p>
    <w:p w14:paraId="65004F02" w14:textId="77777777" w:rsidR="00F312E3" w:rsidRPr="00D650B4" w:rsidRDefault="00F312E3" w:rsidP="00FF41B4">
      <w:pPr>
        <w:pStyle w:val="ListParagraph"/>
        <w:numPr>
          <w:ilvl w:val="0"/>
          <w:numId w:val="35"/>
        </w:numPr>
        <w:spacing w:before="0"/>
        <w:jc w:val="both"/>
      </w:pPr>
      <w:r w:rsidRPr="00D650B4">
        <w:t xml:space="preserve">1.5.3 </w:t>
      </w:r>
      <w:r w:rsidRPr="00D650B4">
        <w:tab/>
        <w:t>Northern Territory</w:t>
      </w:r>
    </w:p>
    <w:p w14:paraId="57E3DA9D" w14:textId="77777777" w:rsidR="00F312E3" w:rsidRPr="00D650B4" w:rsidRDefault="00F312E3" w:rsidP="00FF41B4">
      <w:pPr>
        <w:pStyle w:val="ListParagraph"/>
        <w:numPr>
          <w:ilvl w:val="0"/>
          <w:numId w:val="35"/>
        </w:numPr>
        <w:spacing w:before="0"/>
        <w:jc w:val="both"/>
      </w:pPr>
      <w:r w:rsidRPr="00D650B4">
        <w:t xml:space="preserve">1.5.4 </w:t>
      </w:r>
      <w:r w:rsidRPr="00D650B4">
        <w:tab/>
        <w:t>Queensland</w:t>
      </w:r>
    </w:p>
    <w:p w14:paraId="5B469F89" w14:textId="77777777" w:rsidR="00F312E3" w:rsidRPr="00D650B4" w:rsidRDefault="00F312E3" w:rsidP="00FF41B4">
      <w:pPr>
        <w:pStyle w:val="ListParagraph"/>
        <w:numPr>
          <w:ilvl w:val="0"/>
          <w:numId w:val="35"/>
        </w:numPr>
        <w:spacing w:before="0"/>
        <w:jc w:val="both"/>
      </w:pPr>
      <w:r w:rsidRPr="00D650B4">
        <w:t xml:space="preserve">1.5.5 </w:t>
      </w:r>
      <w:r w:rsidRPr="00D650B4">
        <w:tab/>
        <w:t>South Australia</w:t>
      </w:r>
    </w:p>
    <w:p w14:paraId="3F633731" w14:textId="77777777" w:rsidR="00F312E3" w:rsidRPr="00D650B4" w:rsidRDefault="00F312E3" w:rsidP="00FF41B4">
      <w:pPr>
        <w:pStyle w:val="ListParagraph"/>
        <w:numPr>
          <w:ilvl w:val="0"/>
          <w:numId w:val="35"/>
        </w:numPr>
        <w:spacing w:before="0"/>
        <w:jc w:val="both"/>
      </w:pPr>
      <w:r w:rsidRPr="00D650B4">
        <w:lastRenderedPageBreak/>
        <w:t xml:space="preserve">1.5.6 </w:t>
      </w:r>
      <w:r w:rsidRPr="00D650B4">
        <w:tab/>
        <w:t>Tasmania</w:t>
      </w:r>
    </w:p>
    <w:p w14:paraId="5C492645" w14:textId="77777777" w:rsidR="00F312E3" w:rsidRPr="00D650B4" w:rsidRDefault="00F312E3" w:rsidP="00FF41B4">
      <w:pPr>
        <w:pStyle w:val="ListParagraph"/>
        <w:numPr>
          <w:ilvl w:val="0"/>
          <w:numId w:val="35"/>
        </w:numPr>
        <w:spacing w:before="0"/>
        <w:jc w:val="both"/>
      </w:pPr>
      <w:r w:rsidRPr="00D650B4">
        <w:t xml:space="preserve">1.5.7 </w:t>
      </w:r>
      <w:r w:rsidRPr="00D650B4">
        <w:tab/>
        <w:t>Victoria</w:t>
      </w:r>
    </w:p>
    <w:p w14:paraId="7D4E0C3D" w14:textId="77777777" w:rsidR="00F312E3" w:rsidRPr="00D650B4" w:rsidRDefault="00F312E3" w:rsidP="00FF41B4">
      <w:pPr>
        <w:pStyle w:val="ListParagraph"/>
        <w:numPr>
          <w:ilvl w:val="0"/>
          <w:numId w:val="35"/>
        </w:numPr>
        <w:spacing w:before="0"/>
        <w:jc w:val="both"/>
      </w:pPr>
      <w:r w:rsidRPr="00D650B4">
        <w:t xml:space="preserve">1.5.8 </w:t>
      </w:r>
      <w:r w:rsidRPr="00D650B4">
        <w:tab/>
        <w:t>Western Australia</w:t>
      </w:r>
    </w:p>
    <w:p w14:paraId="363884EF" w14:textId="77777777" w:rsidR="00F312E3" w:rsidRPr="0052480C" w:rsidRDefault="00F312E3" w:rsidP="00FF41B4">
      <w:pPr>
        <w:pStyle w:val="Heading5"/>
        <w:jc w:val="both"/>
      </w:pPr>
      <w:bookmarkStart w:id="35" w:name="_Toc400110669"/>
      <w:r>
        <w:t>1.5.1.</w:t>
      </w:r>
      <w:r>
        <w:tab/>
      </w:r>
      <w:r w:rsidRPr="0052480C">
        <w:t>Australian Capital Territory</w:t>
      </w:r>
      <w:bookmarkEnd w:id="35"/>
    </w:p>
    <w:p w14:paraId="31509992" w14:textId="62BF3B50" w:rsidR="00F312E3" w:rsidRDefault="00F312E3" w:rsidP="00FF41B4">
      <w:pPr>
        <w:pStyle w:val="Heading6"/>
        <w:jc w:val="both"/>
      </w:pPr>
      <w:r>
        <w:t>1.5.1.1.</w:t>
      </w:r>
      <w:r w:rsidR="00C516AD" w:rsidRPr="0052480C">
        <w:t xml:space="preserve"> </w:t>
      </w:r>
      <w:r w:rsidRPr="0052480C">
        <w:t>Original position at 1 January 2003: Australian Capital Territory</w:t>
      </w:r>
    </w:p>
    <w:p w14:paraId="7C203A38" w14:textId="77777777" w:rsidR="00F312E3" w:rsidRPr="00C516AD" w:rsidRDefault="00F312E3" w:rsidP="00FF41B4">
      <w:pPr>
        <w:pStyle w:val="Heading7"/>
        <w:jc w:val="both"/>
        <w:rPr>
          <w:i w:val="0"/>
        </w:rPr>
      </w:pPr>
      <w:r w:rsidRPr="00C516AD">
        <w:rPr>
          <w:i w:val="0"/>
        </w:rPr>
        <w:t>Children and Young People Act 1999</w:t>
      </w:r>
    </w:p>
    <w:p w14:paraId="7B6681C8" w14:textId="77777777" w:rsidR="00F312E3" w:rsidRPr="00D650B4" w:rsidRDefault="00F312E3" w:rsidP="00FF41B4">
      <w:pPr>
        <w:jc w:val="both"/>
      </w:pPr>
      <w:r w:rsidRPr="00D650B4">
        <w:t xml:space="preserve">In the Australian Capital Territory, the Children and Young People Act 1999 (ACT) s 159(2) imposed a </w:t>
      </w:r>
      <w:proofErr w:type="gramStart"/>
      <w:r w:rsidRPr="00D650B4">
        <w:t>fairly narrow</w:t>
      </w:r>
      <w:proofErr w:type="gramEnd"/>
      <w:r w:rsidRPr="00D650B4">
        <w:t xml:space="preserve"> mandatory reporting duty. Section 159(2) imposed a duty to report reasonable suspicions of past or </w:t>
      </w:r>
      <w:proofErr w:type="gramStart"/>
      <w:r w:rsidRPr="00D650B4">
        <w:t>presently-occurring</w:t>
      </w:r>
      <w:proofErr w:type="gramEnd"/>
      <w:r w:rsidRPr="00D650B4">
        <w:t xml:space="preserve"> sexual abuse or non-accidental physical injury to a child or young person, on selected persons who form that suspicion in the course of their work or voluntary duties. Hence, the duty did not apply to neglect, or emotional abuse. As well, the duty did not apply to risk of future abuse.</w:t>
      </w:r>
    </w:p>
    <w:p w14:paraId="268DD736" w14:textId="77777777" w:rsidR="00F312E3" w:rsidRPr="00D650B4" w:rsidRDefault="00F312E3" w:rsidP="00FF41B4">
      <w:pPr>
        <w:jc w:val="both"/>
      </w:pPr>
      <w:r w:rsidRPr="00D650B4">
        <w:t xml:space="preserve">The duty </w:t>
      </w:r>
      <w:proofErr w:type="gramStart"/>
      <w:r w:rsidRPr="00D650B4">
        <w:t>was imposed</w:t>
      </w:r>
      <w:proofErr w:type="gramEnd"/>
      <w:r w:rsidRPr="00D650B4">
        <w:t xml:space="preserve"> by s 159(1) on a broad range of professionals as follows:</w:t>
      </w:r>
    </w:p>
    <w:p w14:paraId="2A85E858" w14:textId="77777777" w:rsidR="00F312E3" w:rsidRPr="00D650B4" w:rsidRDefault="00F312E3" w:rsidP="00FF41B4">
      <w:pPr>
        <w:pStyle w:val="ListParagraph"/>
        <w:numPr>
          <w:ilvl w:val="0"/>
          <w:numId w:val="36"/>
        </w:numPr>
        <w:spacing w:before="0"/>
        <w:jc w:val="both"/>
      </w:pPr>
      <w:r w:rsidRPr="00D650B4">
        <w:t>doctors</w:t>
      </w:r>
    </w:p>
    <w:p w14:paraId="6E2F3482" w14:textId="77777777" w:rsidR="00F312E3" w:rsidRPr="00D650B4" w:rsidRDefault="00F312E3" w:rsidP="00FF41B4">
      <w:pPr>
        <w:pStyle w:val="ListParagraph"/>
        <w:numPr>
          <w:ilvl w:val="0"/>
          <w:numId w:val="36"/>
        </w:numPr>
        <w:spacing w:before="0"/>
        <w:jc w:val="both"/>
      </w:pPr>
      <w:r w:rsidRPr="00D650B4">
        <w:t>dentists</w:t>
      </w:r>
    </w:p>
    <w:p w14:paraId="23FE5671" w14:textId="77777777" w:rsidR="00F312E3" w:rsidRPr="00D650B4" w:rsidRDefault="00F312E3" w:rsidP="00FF41B4">
      <w:pPr>
        <w:pStyle w:val="ListParagraph"/>
        <w:numPr>
          <w:ilvl w:val="0"/>
          <w:numId w:val="36"/>
        </w:numPr>
        <w:spacing w:before="0"/>
        <w:jc w:val="both"/>
      </w:pPr>
      <w:r w:rsidRPr="00D650B4">
        <w:t>enrolled or registered nurses</w:t>
      </w:r>
    </w:p>
    <w:p w14:paraId="6F46E039" w14:textId="77777777" w:rsidR="00F312E3" w:rsidRPr="00D650B4" w:rsidRDefault="00F312E3" w:rsidP="00FF41B4">
      <w:pPr>
        <w:pStyle w:val="ListParagraph"/>
        <w:numPr>
          <w:ilvl w:val="0"/>
          <w:numId w:val="36"/>
        </w:numPr>
        <w:spacing w:before="0"/>
        <w:jc w:val="both"/>
      </w:pPr>
      <w:r w:rsidRPr="00D650B4">
        <w:t>school teachers</w:t>
      </w:r>
    </w:p>
    <w:p w14:paraId="0D14ED3C" w14:textId="77777777" w:rsidR="00F312E3" w:rsidRPr="00D650B4" w:rsidRDefault="00F312E3" w:rsidP="00FF41B4">
      <w:pPr>
        <w:pStyle w:val="ListParagraph"/>
        <w:numPr>
          <w:ilvl w:val="0"/>
          <w:numId w:val="36"/>
        </w:numPr>
        <w:spacing w:before="0"/>
        <w:jc w:val="both"/>
      </w:pPr>
      <w:r w:rsidRPr="00D650B4">
        <w:t>police officers</w:t>
      </w:r>
    </w:p>
    <w:p w14:paraId="76DDDA74" w14:textId="77777777" w:rsidR="00F312E3" w:rsidRPr="00D650B4" w:rsidRDefault="00F312E3" w:rsidP="00FF41B4">
      <w:pPr>
        <w:pStyle w:val="ListParagraph"/>
        <w:numPr>
          <w:ilvl w:val="0"/>
          <w:numId w:val="36"/>
        </w:numPr>
        <w:spacing w:before="0"/>
        <w:jc w:val="both"/>
      </w:pPr>
      <w:r w:rsidRPr="00D650B4">
        <w:t>school counsellors</w:t>
      </w:r>
    </w:p>
    <w:p w14:paraId="3812952B" w14:textId="77777777" w:rsidR="00F312E3" w:rsidRPr="00D650B4" w:rsidRDefault="00F312E3" w:rsidP="00FF41B4">
      <w:pPr>
        <w:pStyle w:val="ListParagraph"/>
        <w:numPr>
          <w:ilvl w:val="0"/>
          <w:numId w:val="36"/>
        </w:numPr>
        <w:spacing w:before="0"/>
        <w:jc w:val="both"/>
      </w:pPr>
      <w:r w:rsidRPr="00D650B4">
        <w:t>persons caring for children at child care centres</w:t>
      </w:r>
    </w:p>
    <w:p w14:paraId="3BF1645E" w14:textId="77777777" w:rsidR="00F312E3" w:rsidRPr="00D650B4" w:rsidRDefault="00F312E3" w:rsidP="00FF41B4">
      <w:pPr>
        <w:pStyle w:val="ListParagraph"/>
        <w:numPr>
          <w:ilvl w:val="0"/>
          <w:numId w:val="36"/>
        </w:numPr>
        <w:spacing w:before="0"/>
        <w:jc w:val="both"/>
      </w:pPr>
      <w:r w:rsidRPr="00D650B4">
        <w:t>persons coordinating or monitoring the provision of home-based care on behalf of a family day-care scheme licensee</w:t>
      </w:r>
    </w:p>
    <w:p w14:paraId="36A44A82" w14:textId="77777777" w:rsidR="00F312E3" w:rsidRPr="00D650B4" w:rsidRDefault="00F312E3" w:rsidP="00FF41B4">
      <w:pPr>
        <w:pStyle w:val="ListParagraph"/>
        <w:numPr>
          <w:ilvl w:val="0"/>
          <w:numId w:val="36"/>
        </w:numPr>
        <w:spacing w:before="0"/>
        <w:jc w:val="both"/>
      </w:pPr>
      <w:r w:rsidRPr="00D650B4">
        <w:t>public servants who provide services related to the health and welfare of children, young people or families</w:t>
      </w:r>
    </w:p>
    <w:p w14:paraId="57CB2754" w14:textId="77777777" w:rsidR="00F312E3" w:rsidRPr="00D650B4" w:rsidRDefault="00F312E3" w:rsidP="00FF41B4">
      <w:pPr>
        <w:pStyle w:val="ListParagraph"/>
        <w:numPr>
          <w:ilvl w:val="0"/>
          <w:numId w:val="36"/>
        </w:numPr>
        <w:spacing w:before="0"/>
        <w:jc w:val="both"/>
      </w:pPr>
      <w:r w:rsidRPr="00D650B4">
        <w:t>the community advocate</w:t>
      </w:r>
    </w:p>
    <w:p w14:paraId="27B0B402" w14:textId="77777777" w:rsidR="00F312E3" w:rsidRPr="00D650B4" w:rsidRDefault="00F312E3" w:rsidP="00FF41B4">
      <w:pPr>
        <w:pStyle w:val="ListParagraph"/>
        <w:numPr>
          <w:ilvl w:val="0"/>
          <w:numId w:val="36"/>
        </w:numPr>
        <w:spacing w:before="0"/>
        <w:jc w:val="both"/>
      </w:pPr>
      <w:proofErr w:type="gramStart"/>
      <w:r w:rsidRPr="00D650B4">
        <w:t>the</w:t>
      </w:r>
      <w:proofErr w:type="gramEnd"/>
      <w:r w:rsidRPr="00D650B4">
        <w:t xml:space="preserve"> official visitor.</w:t>
      </w:r>
    </w:p>
    <w:p w14:paraId="40F6792F" w14:textId="77777777" w:rsidR="00F312E3" w:rsidRPr="00D650B4" w:rsidRDefault="00F312E3" w:rsidP="00FF41B4">
      <w:pPr>
        <w:jc w:val="both"/>
      </w:pPr>
      <w:r w:rsidRPr="00D650B4">
        <w:t>As in other jurisdictions, voluntary reports could be made of situations outside the mandatory reporting duty (s 158). For mandated reports, immunity was conferred by s 163(1</w:t>
      </w:r>
      <w:proofErr w:type="gramStart"/>
      <w:r w:rsidRPr="00D650B4">
        <w:t>)(</w:t>
      </w:r>
      <w:proofErr w:type="gramEnd"/>
      <w:r w:rsidRPr="00D650B4">
        <w:t xml:space="preserve">a) and (b). Confidentiality </w:t>
      </w:r>
      <w:proofErr w:type="gramStart"/>
      <w:r w:rsidRPr="00D650B4">
        <w:t>was conferred</w:t>
      </w:r>
      <w:proofErr w:type="gramEnd"/>
      <w:r w:rsidRPr="00D650B4">
        <w:t xml:space="preserve"> by </w:t>
      </w:r>
      <w:proofErr w:type="spellStart"/>
      <w:r w:rsidRPr="00D650B4">
        <w:t>ss</w:t>
      </w:r>
      <w:proofErr w:type="spellEnd"/>
      <w:r w:rsidRPr="00D650B4">
        <w:t xml:space="preserve"> 404 and 405. An unusual provision provided a penalty for making a report other than in good faith (s 160). Uniquely in Australia, the Australian Capital Territory penalty provision included the possibility of imprisonment: s 159(2) set a maximum penalty of 50 penalty units (at the time, a penalty unit was $100, hence $5000), 6 months’ imprisonment, or both.</w:t>
      </w:r>
    </w:p>
    <w:p w14:paraId="4A93CC5A" w14:textId="2D7515B3" w:rsidR="00F312E3" w:rsidRPr="0052480C" w:rsidRDefault="00C516AD" w:rsidP="00FF41B4">
      <w:pPr>
        <w:pStyle w:val="Heading6"/>
        <w:jc w:val="both"/>
      </w:pPr>
      <w:r>
        <w:t xml:space="preserve">1.5.1.2. </w:t>
      </w:r>
      <w:r w:rsidR="00F312E3" w:rsidRPr="0052480C">
        <w:t>Key changes, 2003-12: Australian Capital Territory</w:t>
      </w:r>
    </w:p>
    <w:p w14:paraId="3B998964" w14:textId="79C870E5" w:rsidR="00F312E3" w:rsidRDefault="00F312E3" w:rsidP="00FF41B4">
      <w:pPr>
        <w:jc w:val="both"/>
      </w:pPr>
      <w:r w:rsidRPr="0052480C">
        <w:lastRenderedPageBreak/>
        <w:t xml:space="preserve">The </w:t>
      </w:r>
      <w:r w:rsidRPr="0052480C">
        <w:rPr>
          <w:i/>
        </w:rPr>
        <w:t>Children and Young Persons Act 2008</w:t>
      </w:r>
      <w:r w:rsidRPr="0052480C">
        <w:t xml:space="preserve"> replaced the </w:t>
      </w:r>
      <w:r w:rsidRPr="0052480C">
        <w:rPr>
          <w:i/>
        </w:rPr>
        <w:t>Children and Young Persons Act 1999</w:t>
      </w:r>
      <w:r w:rsidRPr="0052480C">
        <w:t>, commencing 27 October 2008. Between 2003 and this date, the only substantive change was to add midwives as a reporter group in 159(1</w:t>
      </w:r>
      <w:proofErr w:type="gramStart"/>
      <w:r w:rsidRPr="0052480C">
        <w:t>)(</w:t>
      </w:r>
      <w:proofErr w:type="gramEnd"/>
      <w:r w:rsidRPr="0052480C">
        <w:t>e). However, several other changes occurred which should be noted.</w:t>
      </w:r>
    </w:p>
    <w:p w14:paraId="0C389879" w14:textId="77777777" w:rsidR="00F312E3" w:rsidRPr="00C516AD" w:rsidRDefault="00F312E3" w:rsidP="00FF41B4">
      <w:pPr>
        <w:pStyle w:val="Heading7"/>
        <w:jc w:val="both"/>
        <w:rPr>
          <w:i w:val="0"/>
        </w:rPr>
      </w:pPr>
      <w:r w:rsidRPr="00C516AD">
        <w:rPr>
          <w:i w:val="0"/>
        </w:rPr>
        <w:t>Midwives added as a reporter group (commencing 18 November 2006)</w:t>
      </w:r>
    </w:p>
    <w:p w14:paraId="723E16F2" w14:textId="77777777" w:rsidR="00F312E3" w:rsidRPr="004F4189" w:rsidRDefault="00F312E3" w:rsidP="00FF41B4">
      <w:pPr>
        <w:jc w:val="both"/>
      </w:pPr>
      <w:r w:rsidRPr="004F4189">
        <w:t xml:space="preserve">This occurred when the </w:t>
      </w:r>
      <w:r w:rsidRPr="004F4189">
        <w:rPr>
          <w:rFonts w:cs="Arial"/>
          <w:i/>
        </w:rPr>
        <w:t xml:space="preserve">Health Legislation Amendment Act 2006 (No 2) </w:t>
      </w:r>
      <w:proofErr w:type="spellStart"/>
      <w:r w:rsidRPr="004F4189">
        <w:rPr>
          <w:rFonts w:cs="Arial"/>
        </w:rPr>
        <w:t>Sch</w:t>
      </w:r>
      <w:proofErr w:type="spellEnd"/>
      <w:r w:rsidRPr="004F4189">
        <w:rPr>
          <w:rFonts w:cs="Arial"/>
        </w:rPr>
        <w:t xml:space="preserve"> 2 Pt 2.2 commenced on 18 November 2006, which renumbered subsections in s 159(1) and added midwives as a reporter group:</w:t>
      </w:r>
      <w:r w:rsidRPr="004F4189">
        <w:t xml:space="preserve"> </w:t>
      </w:r>
    </w:p>
    <w:p w14:paraId="53033C92" w14:textId="3CB3669E" w:rsidR="00F312E3" w:rsidRPr="004F4189" w:rsidRDefault="00F312E3" w:rsidP="00AD2247">
      <w:pPr>
        <w:autoSpaceDE w:val="0"/>
        <w:autoSpaceDN w:val="0"/>
        <w:adjustRightInd w:val="0"/>
        <w:ind w:left="720"/>
      </w:pPr>
      <w:r w:rsidRPr="004F4189">
        <w:rPr>
          <w:rFonts w:cs="Times New Roman"/>
        </w:rPr>
        <w:t>(c)</w:t>
      </w:r>
      <w:r w:rsidR="003214EC">
        <w:rPr>
          <w:rFonts w:cs="Times New Roman"/>
        </w:rPr>
        <w:tab/>
      </w:r>
      <w:r w:rsidRPr="004F4189">
        <w:rPr>
          <w:rFonts w:cs="Times New Roman"/>
        </w:rPr>
        <w:t xml:space="preserve"> </w:t>
      </w:r>
      <w:proofErr w:type="gramStart"/>
      <w:r w:rsidRPr="004F4189">
        <w:rPr>
          <w:rFonts w:cs="Times New Roman"/>
        </w:rPr>
        <w:t>a</w:t>
      </w:r>
      <w:proofErr w:type="gramEnd"/>
      <w:r w:rsidRPr="004F4189">
        <w:rPr>
          <w:rFonts w:cs="Times New Roman"/>
        </w:rPr>
        <w:t xml:space="preserve"> nurse; or</w:t>
      </w:r>
      <w:r w:rsidRPr="004F4189">
        <w:rPr>
          <w:rFonts w:cs="Times New Roman"/>
        </w:rPr>
        <w:br/>
        <w:t xml:space="preserve">(ca) </w:t>
      </w:r>
      <w:r w:rsidR="003214EC">
        <w:rPr>
          <w:rFonts w:cs="Times New Roman"/>
        </w:rPr>
        <w:tab/>
      </w:r>
      <w:r w:rsidRPr="004F4189">
        <w:rPr>
          <w:rFonts w:cs="Times New Roman"/>
        </w:rPr>
        <w:t>an enrolled nurse; or</w:t>
      </w:r>
      <w:r w:rsidRPr="004F4189">
        <w:rPr>
          <w:rFonts w:cs="Times New Roman"/>
        </w:rPr>
        <w:br/>
        <w:t>(</w:t>
      </w:r>
      <w:proofErr w:type="spellStart"/>
      <w:r w:rsidRPr="004F4189">
        <w:rPr>
          <w:rFonts w:cs="Times New Roman"/>
        </w:rPr>
        <w:t>cb</w:t>
      </w:r>
      <w:proofErr w:type="spellEnd"/>
      <w:r w:rsidRPr="004F4189">
        <w:rPr>
          <w:rFonts w:cs="Times New Roman"/>
        </w:rPr>
        <w:t xml:space="preserve">) </w:t>
      </w:r>
      <w:r w:rsidR="003214EC">
        <w:rPr>
          <w:rFonts w:cs="Times New Roman"/>
        </w:rPr>
        <w:tab/>
      </w:r>
      <w:r w:rsidRPr="004F4189">
        <w:rPr>
          <w:rFonts w:cs="Times New Roman"/>
        </w:rPr>
        <w:t>a midwife</w:t>
      </w:r>
    </w:p>
    <w:p w14:paraId="3E379437" w14:textId="77777777" w:rsidR="00F312E3" w:rsidRPr="004F4189" w:rsidRDefault="00F312E3" w:rsidP="00FF41B4">
      <w:pPr>
        <w:jc w:val="both"/>
      </w:pPr>
      <w:r w:rsidRPr="004F4189">
        <w:t xml:space="preserve">This </w:t>
      </w:r>
      <w:proofErr w:type="gramStart"/>
      <w:r w:rsidRPr="004F4189">
        <w:t>may be expected</w:t>
      </w:r>
      <w:proofErr w:type="gramEnd"/>
      <w:r w:rsidRPr="004F4189">
        <w:t xml:space="preserve"> to have produced an increase in reports by this group, but probably only very moderate due to the restricted scope of the reporting duty.</w:t>
      </w:r>
    </w:p>
    <w:p w14:paraId="753DE063" w14:textId="77777777" w:rsidR="00F312E3" w:rsidRPr="00C516AD" w:rsidRDefault="00F312E3" w:rsidP="00FF41B4">
      <w:pPr>
        <w:pStyle w:val="Heading7"/>
        <w:spacing w:after="240"/>
        <w:jc w:val="both"/>
        <w:rPr>
          <w:i w:val="0"/>
        </w:rPr>
      </w:pPr>
      <w:r w:rsidRPr="00C516AD">
        <w:rPr>
          <w:i w:val="0"/>
        </w:rPr>
        <w:t>New exception in 159(3) (commencing 1 August 2006)</w:t>
      </w:r>
    </w:p>
    <w:p w14:paraId="61D63112" w14:textId="77777777" w:rsidR="00F312E3" w:rsidRPr="004F4189" w:rsidRDefault="00F312E3" w:rsidP="00FF41B4">
      <w:pPr>
        <w:jc w:val="both"/>
      </w:pPr>
      <w:r w:rsidRPr="004F4189">
        <w:t xml:space="preserve">Section 159(3) provided an exception for not reporting and </w:t>
      </w:r>
      <w:proofErr w:type="gramStart"/>
      <w:r w:rsidRPr="004F4189">
        <w:t>was inserted</w:t>
      </w:r>
      <w:proofErr w:type="gramEnd"/>
      <w:r w:rsidRPr="004F4189">
        <w:t xml:space="preserve"> by </w:t>
      </w:r>
      <w:r w:rsidRPr="004F4189">
        <w:rPr>
          <w:b/>
          <w:i/>
        </w:rPr>
        <w:t>Children and Young People Amendment Act 2006 (Act 6)</w:t>
      </w:r>
      <w:r w:rsidRPr="004F4189">
        <w:t xml:space="preserve"> s 16, which commenced on 1 August 2006. The exception applied if a reporter had a reasonable belief that someone else has made a report about the same child or young person in relation to the same abuse or neglect</w:t>
      </w:r>
      <w:r w:rsidRPr="004F4189">
        <w:rPr>
          <w:rStyle w:val="FootnoteReference"/>
        </w:rPr>
        <w:footnoteReference w:id="15"/>
      </w:r>
      <w:r w:rsidRPr="004F4189">
        <w:t xml:space="preserve"> and the other person reported the same reasons for their belief as the person has for their belief.</w:t>
      </w:r>
    </w:p>
    <w:p w14:paraId="71256A29" w14:textId="77777777" w:rsidR="00F312E3" w:rsidRPr="004F4189" w:rsidRDefault="00F312E3" w:rsidP="00FF41B4">
      <w:pPr>
        <w:jc w:val="both"/>
      </w:pPr>
      <w:r w:rsidRPr="004F4189">
        <w:t xml:space="preserve">If anything, this </w:t>
      </w:r>
      <w:proofErr w:type="gramStart"/>
      <w:r w:rsidRPr="004F4189">
        <w:t>may be expected</w:t>
      </w:r>
      <w:proofErr w:type="gramEnd"/>
      <w:r w:rsidRPr="004F4189">
        <w:t xml:space="preserve"> to have produced a slight decline in the number of multiple reports about the same child.</w:t>
      </w:r>
    </w:p>
    <w:p w14:paraId="511FFEB1" w14:textId="77777777" w:rsidR="00F312E3" w:rsidRPr="00C516AD" w:rsidRDefault="00F312E3" w:rsidP="00FF41B4">
      <w:pPr>
        <w:pStyle w:val="Heading7"/>
        <w:spacing w:after="240"/>
        <w:jc w:val="both"/>
        <w:rPr>
          <w:i w:val="0"/>
        </w:rPr>
      </w:pPr>
      <w:r w:rsidRPr="00C516AD">
        <w:rPr>
          <w:i w:val="0"/>
        </w:rPr>
        <w:t>Children and Young Persons Act 2008 (commencing 27 October 2008)</w:t>
      </w:r>
    </w:p>
    <w:p w14:paraId="537AAFA8" w14:textId="77777777" w:rsidR="00F312E3" w:rsidRPr="004F4189" w:rsidRDefault="00F312E3" w:rsidP="00FF41B4">
      <w:pPr>
        <w:jc w:val="both"/>
      </w:pPr>
      <w:r w:rsidRPr="004F4189">
        <w:t>The Children and Young Persons Act 2008, which commenced on 27 October 2008, made the following changes:</w:t>
      </w:r>
    </w:p>
    <w:p w14:paraId="24B19454" w14:textId="77777777" w:rsidR="00F312E3" w:rsidRPr="004F4189" w:rsidRDefault="00F312E3" w:rsidP="00FF41B4">
      <w:pPr>
        <w:pStyle w:val="ListParagraph"/>
        <w:numPr>
          <w:ilvl w:val="0"/>
          <w:numId w:val="38"/>
        </w:numPr>
        <w:spacing w:before="0"/>
        <w:ind w:hanging="357"/>
        <w:contextualSpacing w:val="0"/>
        <w:jc w:val="both"/>
      </w:pPr>
      <w:r w:rsidRPr="004F4189">
        <w:t xml:space="preserve">some provisions were renumbered (the key mandated reporting provision, formerly s 159, was renumbered s 356, without changing the scope; the offence provision for a false or misleading </w:t>
      </w:r>
      <w:r w:rsidRPr="004F4189">
        <w:lastRenderedPageBreak/>
        <w:t xml:space="preserve">mandatory report is in s 358; immunity was provided, in s 874; confidentiality was provided, in s 857; the exception in the former s 159(3) was renumbered s 357(1) </w:t>
      </w:r>
      <w:proofErr w:type="spellStart"/>
      <w:r w:rsidRPr="004F4189">
        <w:t>ie</w:t>
      </w:r>
      <w:proofErr w:type="spellEnd"/>
      <w:r w:rsidRPr="004F4189">
        <w:t xml:space="preserve"> where a reporter has a reasonable belief that someone else has made a report about the same child or young person in relation to the same abuse, and the other person reported the same reasons for their belief as the person has for their belief;</w:t>
      </w:r>
    </w:p>
    <w:p w14:paraId="4B941B41" w14:textId="77777777" w:rsidR="00F312E3" w:rsidRPr="004F4189" w:rsidRDefault="00F312E3" w:rsidP="00FF41B4">
      <w:pPr>
        <w:pStyle w:val="ListParagraph"/>
        <w:numPr>
          <w:ilvl w:val="0"/>
          <w:numId w:val="37"/>
        </w:numPr>
        <w:spacing w:before="0"/>
        <w:ind w:hanging="357"/>
        <w:contextualSpacing w:val="0"/>
        <w:jc w:val="both"/>
      </w:pPr>
      <w:r w:rsidRPr="004F4189">
        <w:t>there was a clarification of the scope of some mandated reporter groups (s 356) by stating that:</w:t>
      </w:r>
    </w:p>
    <w:p w14:paraId="0BE6640F" w14:textId="77777777" w:rsidR="00F312E3" w:rsidRPr="004F4189" w:rsidRDefault="00F312E3" w:rsidP="00FF41B4">
      <w:pPr>
        <w:pStyle w:val="ListParagraph"/>
        <w:numPr>
          <w:ilvl w:val="1"/>
          <w:numId w:val="37"/>
        </w:numPr>
        <w:spacing w:before="0"/>
        <w:ind w:hanging="357"/>
        <w:contextualSpacing w:val="0"/>
        <w:jc w:val="both"/>
      </w:pPr>
      <w:r w:rsidRPr="004F4189">
        <w:t>‘teacher’ at a school includes a teacher’s assistant or aide if the person is in paid employment at the school;</w:t>
      </w:r>
    </w:p>
    <w:p w14:paraId="209945F4" w14:textId="77777777" w:rsidR="00F312E3" w:rsidRPr="004F4189" w:rsidRDefault="00F312E3" w:rsidP="00FF41B4">
      <w:pPr>
        <w:pStyle w:val="ListParagraph"/>
        <w:numPr>
          <w:ilvl w:val="1"/>
          <w:numId w:val="37"/>
        </w:numPr>
        <w:spacing w:before="0"/>
        <w:ind w:hanging="357"/>
        <w:contextualSpacing w:val="0"/>
        <w:jc w:val="both"/>
      </w:pPr>
      <w:proofErr w:type="gramStart"/>
      <w:r w:rsidRPr="004F4189">
        <w:t>person</w:t>
      </w:r>
      <w:proofErr w:type="gramEnd"/>
      <w:r w:rsidRPr="004F4189">
        <w:t xml:space="preserve"> caring for a child at a childcare centre includes a childcare assistant or aide caring for a child at the childcare centre if they are in paid employment there (but not volunteers caring for a child).</w:t>
      </w:r>
    </w:p>
    <w:p w14:paraId="331D6574" w14:textId="77777777" w:rsidR="00F312E3" w:rsidRPr="004F4189" w:rsidRDefault="00F312E3" w:rsidP="00FF41B4">
      <w:pPr>
        <w:pStyle w:val="ListParagraph"/>
        <w:numPr>
          <w:ilvl w:val="0"/>
          <w:numId w:val="37"/>
        </w:numPr>
        <w:spacing w:before="0"/>
        <w:ind w:hanging="357"/>
        <w:contextualSpacing w:val="0"/>
        <w:jc w:val="both"/>
        <w:rPr>
          <w:b/>
        </w:rPr>
      </w:pPr>
      <w:r w:rsidRPr="004F4189">
        <w:t>a new exception was added by s 357(2) for not reporting in situations where a reporter had a reasonable belief that physical injury was caused to a child by another child or young person, and a person with parental responsibility for the child is willing and able to protect the child from further injury</w:t>
      </w:r>
    </w:p>
    <w:p w14:paraId="09C9D562" w14:textId="77777777" w:rsidR="00F312E3" w:rsidRPr="004F4189" w:rsidRDefault="00F312E3" w:rsidP="00FF41B4">
      <w:pPr>
        <w:pStyle w:val="ListParagraph"/>
        <w:numPr>
          <w:ilvl w:val="1"/>
          <w:numId w:val="37"/>
        </w:numPr>
        <w:spacing w:before="0"/>
        <w:ind w:hanging="357"/>
        <w:contextualSpacing w:val="0"/>
        <w:jc w:val="both"/>
        <w:rPr>
          <w:b/>
        </w:rPr>
      </w:pPr>
      <w:proofErr w:type="gramStart"/>
      <w:r w:rsidRPr="004F4189">
        <w:t>if</w:t>
      </w:r>
      <w:proofErr w:type="gramEnd"/>
      <w:r w:rsidRPr="004F4189">
        <w:t xml:space="preserve"> this kind of situation was previously being reported (erroneously) then this may be expected to produce a small decline in reports of physical injury.</w:t>
      </w:r>
    </w:p>
    <w:p w14:paraId="1F0BB398" w14:textId="77777777" w:rsidR="00F312E3" w:rsidRPr="00C516AD" w:rsidRDefault="00F312E3" w:rsidP="00FF41B4">
      <w:pPr>
        <w:pStyle w:val="Heading7"/>
        <w:jc w:val="both"/>
        <w:rPr>
          <w:i w:val="0"/>
        </w:rPr>
      </w:pPr>
      <w:r w:rsidRPr="00C516AD">
        <w:rPr>
          <w:i w:val="0"/>
        </w:rPr>
        <w:t>Change in penalty (commencing 21 October 2009)</w:t>
      </w:r>
    </w:p>
    <w:p w14:paraId="1EF5A164" w14:textId="77777777" w:rsidR="00F312E3" w:rsidRPr="004F4189" w:rsidRDefault="00F312E3" w:rsidP="00FF41B4">
      <w:pPr>
        <w:jc w:val="both"/>
      </w:pPr>
      <w:r w:rsidRPr="004F4189">
        <w:t xml:space="preserve">The penalty was unchanged in its form but in </w:t>
      </w:r>
      <w:proofErr w:type="gramStart"/>
      <w:r w:rsidRPr="004F4189">
        <w:t>substance</w:t>
      </w:r>
      <w:proofErr w:type="gramEnd"/>
      <w:r w:rsidRPr="004F4189">
        <w:t xml:space="preserve"> it is higher, due to changes in the definition of a ‘penalty unit’. </w:t>
      </w:r>
      <w:proofErr w:type="gramStart"/>
      <w:r w:rsidRPr="004F4189">
        <w:t>A penalty unit was redefined as $110 in the Legislation Act s 133, by the Legislation (Penalty Units) Amendment Act 2009 (No 35)</w:t>
      </w:r>
      <w:proofErr w:type="gramEnd"/>
      <w:r w:rsidRPr="004F4189">
        <w:t>, so from 21 October 2009 to 31 December 2012 the penalty was 50 penalty units ($5500), 6 months’ imprisonment, or both.</w:t>
      </w:r>
    </w:p>
    <w:p w14:paraId="503D44A1" w14:textId="77777777" w:rsidR="00F312E3" w:rsidRPr="00C516AD" w:rsidRDefault="00F312E3" w:rsidP="00FF41B4">
      <w:pPr>
        <w:pStyle w:val="Heading7"/>
        <w:jc w:val="both"/>
        <w:rPr>
          <w:i w:val="0"/>
        </w:rPr>
      </w:pPr>
      <w:r w:rsidRPr="00C516AD">
        <w:rPr>
          <w:i w:val="0"/>
        </w:rPr>
        <w:t xml:space="preserve"> New reporter group: home education inspectors (commencing 20 September 2010)</w:t>
      </w:r>
    </w:p>
    <w:p w14:paraId="597EC362" w14:textId="77777777" w:rsidR="00F312E3" w:rsidRPr="004F4189" w:rsidRDefault="00F312E3" w:rsidP="00FF41B4">
      <w:pPr>
        <w:jc w:val="both"/>
      </w:pPr>
      <w:r w:rsidRPr="004F4189">
        <w:t xml:space="preserve">An addition was made to the list of mandated reporters in s 356(2)(g) of ‘persons authorized to inspect education programs, materials or other records used for home education of a child or young person’ as a mandated reporter group (inserted by </w:t>
      </w:r>
      <w:r w:rsidRPr="004F4189">
        <w:rPr>
          <w:rFonts w:cs="Arial"/>
        </w:rPr>
        <w:t>Children and Young People Amendment Act 2010 (No 2)</w:t>
      </w:r>
      <w:r w:rsidRPr="004F4189">
        <w:t xml:space="preserve">). Due to the small population of this group of mandated reporters, and the narrow scope of the reporting duty, this change </w:t>
      </w:r>
      <w:proofErr w:type="gramStart"/>
      <w:r w:rsidRPr="004F4189">
        <w:t>may not be expected</w:t>
      </w:r>
      <w:proofErr w:type="gramEnd"/>
      <w:r w:rsidRPr="004F4189">
        <w:t xml:space="preserve"> to cause much difference in reporting practice.</w:t>
      </w:r>
    </w:p>
    <w:p w14:paraId="60F5AC1A" w14:textId="16694E6F" w:rsidR="00F312E3" w:rsidRPr="0052480C" w:rsidRDefault="00F312E3" w:rsidP="00FF41B4">
      <w:pPr>
        <w:pStyle w:val="Heading6"/>
        <w:jc w:val="both"/>
      </w:pPr>
      <w:r>
        <w:t>1.5.1.3.</w:t>
      </w:r>
      <w:r w:rsidR="00C516AD" w:rsidRPr="0052480C">
        <w:t xml:space="preserve"> </w:t>
      </w:r>
      <w:r w:rsidRPr="0052480C">
        <w:t>Current position: Australian Capital Territory</w:t>
      </w:r>
    </w:p>
    <w:p w14:paraId="4BD84C5E" w14:textId="77777777" w:rsidR="00F312E3" w:rsidRPr="004F4189" w:rsidRDefault="00F312E3" w:rsidP="00FF41B4">
      <w:pPr>
        <w:jc w:val="both"/>
      </w:pPr>
      <w:r w:rsidRPr="004F4189">
        <w:t xml:space="preserve">The duty is limited to intentional physical injury and sexual abuse, but </w:t>
      </w:r>
      <w:proofErr w:type="gramStart"/>
      <w:r w:rsidRPr="004F4189">
        <w:t>is applied</w:t>
      </w:r>
      <w:proofErr w:type="gramEnd"/>
      <w:r w:rsidRPr="004F4189">
        <w:t xml:space="preserve"> to a wide range of professionals. A very substantial penalty </w:t>
      </w:r>
      <w:proofErr w:type="gramStart"/>
      <w:r w:rsidRPr="004F4189">
        <w:t>is provided</w:t>
      </w:r>
      <w:proofErr w:type="gramEnd"/>
      <w:r w:rsidRPr="004F4189">
        <w:t xml:space="preserve">, and uniquely in Australia includes the possibility of imprisonment. Provisions indicate situations in which a report is not required. A suspected drafting error in </w:t>
      </w:r>
      <w:r w:rsidRPr="004F4189">
        <w:lastRenderedPageBreak/>
        <w:t xml:space="preserve">these provisions may confuse reporters about whether or not neglect and emotional abuse </w:t>
      </w:r>
      <w:proofErr w:type="gramStart"/>
      <w:r w:rsidRPr="004F4189">
        <w:t>must be reported</w:t>
      </w:r>
      <w:proofErr w:type="gramEnd"/>
      <w:r w:rsidRPr="004F4189">
        <w:t>.</w:t>
      </w:r>
    </w:p>
    <w:p w14:paraId="43F693B5" w14:textId="77777777" w:rsidR="00F312E3" w:rsidRPr="004F4189" w:rsidRDefault="00F312E3" w:rsidP="00FF41B4">
      <w:pPr>
        <w:jc w:val="both"/>
        <w:sectPr w:rsidR="00F312E3" w:rsidRPr="004F4189" w:rsidSect="00D650B4">
          <w:pgSz w:w="11900" w:h="16840"/>
          <w:pgMar w:top="1134" w:right="1134" w:bottom="1134" w:left="1134" w:header="708" w:footer="708" w:gutter="0"/>
          <w:cols w:space="708"/>
          <w:docGrid w:linePitch="360"/>
        </w:sectPr>
      </w:pPr>
    </w:p>
    <w:p w14:paraId="658D4D42" w14:textId="77777777" w:rsidR="00F312E3" w:rsidRDefault="00F312E3" w:rsidP="00FF41B4">
      <w:pPr>
        <w:pStyle w:val="Heading7"/>
        <w:jc w:val="both"/>
      </w:pPr>
      <w:r w:rsidRPr="0052480C">
        <w:lastRenderedPageBreak/>
        <w:t>Figure 1.1: Timeline showing key developments, Australian Capital Territory, 2003-2012</w:t>
      </w:r>
    </w:p>
    <w:p w14:paraId="78D9DA41" w14:textId="77777777" w:rsidR="00F312E3" w:rsidRPr="00E05337" w:rsidRDefault="00F312E3" w:rsidP="00FF41B4">
      <w:pPr>
        <w:jc w:val="both"/>
      </w:pPr>
    </w:p>
    <w:p w14:paraId="2FC60A55" w14:textId="7B4BE631" w:rsidR="00F312E3" w:rsidRPr="0052480C" w:rsidRDefault="00F312E3" w:rsidP="00FF41B4">
      <w:pPr>
        <w:jc w:val="both"/>
        <w:rPr>
          <w:rFonts w:asciiTheme="majorHAnsi" w:hAnsiTheme="majorHAnsi"/>
        </w:rPr>
      </w:pPr>
      <w:r>
        <w:rPr>
          <w:rFonts w:asciiTheme="majorHAnsi" w:hAnsiTheme="majorHAnsi"/>
          <w:noProof/>
          <w:lang w:eastAsia="en-AU"/>
        </w:rPr>
        <w:drawing>
          <wp:inline distT="0" distB="0" distL="0" distR="0" wp14:anchorId="6D7BEC0D" wp14:editId="3AABE7FD">
            <wp:extent cx="9248775" cy="3629025"/>
            <wp:effectExtent l="0" t="0" r="9525" b="9525"/>
            <wp:docPr id="15" name="Picture 1" descr="Shows that in the ACT in 2003 it was mandatory for a large range of reporter groups to report physical and sexual abuse. Midwives were included in 2006 and in 2008 there was clarification that paid teacher aides and child care workers were also mandate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5B872576" w14:textId="77777777" w:rsidR="00F312E3" w:rsidRPr="0052480C" w:rsidRDefault="00F312E3" w:rsidP="00FF41B4">
      <w:pPr>
        <w:jc w:val="both"/>
        <w:rPr>
          <w:rFonts w:asciiTheme="majorHAnsi" w:hAnsiTheme="majorHAnsi"/>
        </w:rPr>
      </w:pPr>
    </w:p>
    <w:p w14:paraId="6AB4FDC0" w14:textId="77777777" w:rsidR="00F312E3" w:rsidRPr="0052480C" w:rsidRDefault="00F312E3" w:rsidP="00FF41B4">
      <w:pPr>
        <w:jc w:val="both"/>
        <w:rPr>
          <w:rFonts w:asciiTheme="majorHAnsi" w:hAnsiTheme="majorHAnsi"/>
        </w:rPr>
      </w:pPr>
    </w:p>
    <w:p w14:paraId="3C779F71" w14:textId="77777777" w:rsidR="00F312E3" w:rsidRPr="0052480C" w:rsidRDefault="00F312E3" w:rsidP="00FF41B4">
      <w:pPr>
        <w:jc w:val="both"/>
        <w:rPr>
          <w:rFonts w:asciiTheme="majorHAnsi" w:hAnsiTheme="majorHAnsi"/>
        </w:rPr>
        <w:sectPr w:rsidR="00F312E3" w:rsidRPr="0052480C" w:rsidSect="00D650B4">
          <w:pgSz w:w="16838" w:h="11906" w:orient="landscape"/>
          <w:pgMar w:top="1134" w:right="1134" w:bottom="1134" w:left="1134" w:header="709" w:footer="709" w:gutter="0"/>
          <w:cols w:space="708"/>
          <w:docGrid w:linePitch="360"/>
        </w:sectPr>
      </w:pPr>
    </w:p>
    <w:p w14:paraId="542C9315" w14:textId="77777777" w:rsidR="00F312E3" w:rsidRPr="0052480C" w:rsidRDefault="00F312E3" w:rsidP="00FF41B4">
      <w:pPr>
        <w:pStyle w:val="Heading5"/>
        <w:jc w:val="both"/>
      </w:pPr>
      <w:bookmarkStart w:id="36" w:name="_Toc400110670"/>
      <w:r>
        <w:lastRenderedPageBreak/>
        <w:t xml:space="preserve">1.5.2. </w:t>
      </w:r>
      <w:r w:rsidRPr="0052480C">
        <w:t>New South Wales</w:t>
      </w:r>
      <w:bookmarkEnd w:id="36"/>
    </w:p>
    <w:p w14:paraId="4D136F16" w14:textId="77777777" w:rsidR="00F312E3" w:rsidRPr="00ED67DB" w:rsidRDefault="00F312E3" w:rsidP="00FF41B4">
      <w:pPr>
        <w:pStyle w:val="Heading6"/>
        <w:jc w:val="both"/>
      </w:pPr>
      <w:r>
        <w:t xml:space="preserve">1.5.2.1. </w:t>
      </w:r>
      <w:r w:rsidRPr="0052480C">
        <w:t>Original position at 1 January 2003: New South Wales</w:t>
      </w:r>
    </w:p>
    <w:p w14:paraId="7D996C64" w14:textId="77777777" w:rsidR="00F312E3" w:rsidRPr="00162ABA" w:rsidRDefault="00F312E3" w:rsidP="00ED7CF8">
      <w:pPr>
        <w:pStyle w:val="Heading7"/>
        <w:spacing w:after="360"/>
        <w:jc w:val="both"/>
        <w:rPr>
          <w:i w:val="0"/>
        </w:rPr>
      </w:pPr>
      <w:r w:rsidRPr="00162ABA">
        <w:rPr>
          <w:i w:val="0"/>
        </w:rPr>
        <w:t>Children and Young Persons (Care and Protection) Act 1998</w:t>
      </w:r>
    </w:p>
    <w:p w14:paraId="0FCC0344" w14:textId="77777777" w:rsidR="00F312E3" w:rsidRPr="004F4189" w:rsidRDefault="00F312E3" w:rsidP="00ED7CF8">
      <w:pPr>
        <w:spacing w:before="0"/>
        <w:jc w:val="both"/>
      </w:pPr>
      <w:r w:rsidRPr="004F4189">
        <w:t xml:space="preserve">At 1 January 2003, in New South Wales the </w:t>
      </w:r>
      <w:r w:rsidRPr="004F4189">
        <w:rPr>
          <w:i/>
        </w:rPr>
        <w:t>Children and Young Persons (Care and Protection) Act 1998</w:t>
      </w:r>
      <w:r w:rsidRPr="004F4189">
        <w:t xml:space="preserve"> (NSW) imposed a broad range of mandatory reporting obligations. Under s 23, the duty applied to a broad range of types of child abuse and neglect. This range of reportable types included exposure to domestic violence, and NSW at the time was the only State to include such a duty. The state of mind activating the duty was ‘reasonable grounds to suspect a child is at risk of harm’. The duty applied to both suspected past/present harm, and to risk of suspected future harm. Under s 27, the duty </w:t>
      </w:r>
      <w:proofErr w:type="gramStart"/>
      <w:r w:rsidRPr="004F4189">
        <w:t>was extended</w:t>
      </w:r>
      <w:proofErr w:type="gramEnd"/>
      <w:r w:rsidRPr="004F4189">
        <w:t xml:space="preserve"> to a broad range of professionals in professions including education, health, welfare and law enforcement who delivered services to children, and to those in management positions in these organisations. The penalty was 200 penalty units, which equated to $22,000. A limiting feature in this legislation compared to most other jurisdictions was that a ‘child’ was defined as a person under 16; </w:t>
      </w:r>
      <w:proofErr w:type="gramStart"/>
      <w:r w:rsidRPr="004F4189">
        <w:t>hence</w:t>
      </w:r>
      <w:proofErr w:type="gramEnd"/>
      <w:r w:rsidRPr="004F4189">
        <w:t xml:space="preserve"> the reporting duty only applied to those aged 15 or under (s 3). Immunity from proceedings was provide by s 29(1</w:t>
      </w:r>
      <w:proofErr w:type="gramStart"/>
      <w:r w:rsidRPr="004F4189">
        <w:t>)(</w:t>
      </w:r>
      <w:proofErr w:type="gramEnd"/>
      <w:r w:rsidRPr="004F4189">
        <w:t>a)-(e). Confidentiality was conferred by s 29(1</w:t>
      </w:r>
      <w:proofErr w:type="gramStart"/>
      <w:r w:rsidRPr="004F4189">
        <w:t>)(</w:t>
      </w:r>
      <w:proofErr w:type="gramEnd"/>
      <w:r w:rsidRPr="004F4189">
        <w:t>f).</w:t>
      </w:r>
    </w:p>
    <w:p w14:paraId="20A5FE1B" w14:textId="77777777" w:rsidR="00F312E3" w:rsidRPr="00E37955" w:rsidRDefault="00F312E3" w:rsidP="00E37955">
      <w:pPr>
        <w:pStyle w:val="Heading7"/>
        <w:spacing w:after="240"/>
        <w:rPr>
          <w:i w:val="0"/>
        </w:rPr>
      </w:pPr>
      <w:r w:rsidRPr="00E37955">
        <w:rPr>
          <w:i w:val="0"/>
        </w:rPr>
        <w:t>An unusually broad range and definition of ‘risk of harm’</w:t>
      </w:r>
    </w:p>
    <w:p w14:paraId="1B121758" w14:textId="77777777" w:rsidR="00F312E3" w:rsidRPr="004F4189" w:rsidRDefault="00F312E3" w:rsidP="00FF41B4">
      <w:pPr>
        <w:jc w:val="both"/>
      </w:pPr>
      <w:r w:rsidRPr="004F4189">
        <w:t xml:space="preserve">For the purpose of the mandatory reporting duty, a child </w:t>
      </w:r>
      <w:proofErr w:type="gramStart"/>
      <w:r w:rsidRPr="004F4189">
        <w:t>was defined</w:t>
      </w:r>
      <w:proofErr w:type="gramEnd"/>
      <w:r w:rsidRPr="004F4189">
        <w:t xml:space="preserve"> as being ‘at risk of harm’ by s 23 ‘if current concerns existed for the safety, welfare or well-being of the child’ because of any of the following circumstances: </w:t>
      </w:r>
    </w:p>
    <w:p w14:paraId="20165407" w14:textId="7E700553" w:rsidR="00F312E3" w:rsidRPr="004F4189" w:rsidRDefault="00F312E3" w:rsidP="001B0227">
      <w:pPr>
        <w:pStyle w:val="ListParagraph"/>
        <w:numPr>
          <w:ilvl w:val="1"/>
          <w:numId w:val="82"/>
        </w:numPr>
        <w:tabs>
          <w:tab w:val="left" w:pos="1350"/>
        </w:tabs>
        <w:ind w:right="95"/>
        <w:jc w:val="both"/>
      </w:pPr>
      <w:r w:rsidRPr="004F4189">
        <w:t>the child’s or young person’s basic physical or psychological needs are not being met or are at risk of not being met,</w:t>
      </w:r>
    </w:p>
    <w:p w14:paraId="13A247D8" w14:textId="4158251C" w:rsidR="00F312E3" w:rsidRPr="004F4189" w:rsidRDefault="00F312E3" w:rsidP="001B0227">
      <w:pPr>
        <w:pStyle w:val="ListParagraph"/>
        <w:numPr>
          <w:ilvl w:val="1"/>
          <w:numId w:val="82"/>
        </w:numPr>
        <w:tabs>
          <w:tab w:val="left" w:pos="1134"/>
        </w:tabs>
        <w:ind w:right="95"/>
        <w:jc w:val="both"/>
      </w:pPr>
      <w:r w:rsidRPr="004F4189">
        <w:t>the parents or other caregivers have not arranged and are unable or unwilling to arrange for the child or young person to receive necessary medical care,</w:t>
      </w:r>
    </w:p>
    <w:p w14:paraId="53AADEE4" w14:textId="153763CE" w:rsidR="00F312E3" w:rsidRPr="004F4189" w:rsidRDefault="00F312E3" w:rsidP="001B0227">
      <w:pPr>
        <w:pStyle w:val="ListParagraph"/>
        <w:numPr>
          <w:ilvl w:val="1"/>
          <w:numId w:val="82"/>
        </w:numPr>
        <w:tabs>
          <w:tab w:val="left" w:pos="1134"/>
        </w:tabs>
        <w:ind w:right="95"/>
        <w:jc w:val="both"/>
      </w:pPr>
      <w:r w:rsidRPr="004F4189">
        <w:t>the child or young person has been, or is at risk of being, physically or sexually abused or ill-treated,</w:t>
      </w:r>
    </w:p>
    <w:p w14:paraId="5D35BE39" w14:textId="3BDD3963" w:rsidR="00F312E3" w:rsidRPr="004F4189" w:rsidRDefault="00F312E3" w:rsidP="001B0227">
      <w:pPr>
        <w:pStyle w:val="ListParagraph"/>
        <w:numPr>
          <w:ilvl w:val="1"/>
          <w:numId w:val="82"/>
        </w:numPr>
        <w:tabs>
          <w:tab w:val="left" w:pos="1134"/>
        </w:tabs>
        <w:ind w:right="95"/>
        <w:jc w:val="both"/>
      </w:pPr>
      <w:r w:rsidRPr="004F4189">
        <w:t>the child or young person is living in a household where there have been incidents of domestic violence and, as a consequence, the child or young person is at risk of serious physical or psychological harm,</w:t>
      </w:r>
    </w:p>
    <w:p w14:paraId="71CF7209" w14:textId="2ACAE4E1" w:rsidR="00F312E3" w:rsidRPr="004F4189" w:rsidRDefault="00F312E3" w:rsidP="001B0227">
      <w:pPr>
        <w:pStyle w:val="ListParagraph"/>
        <w:numPr>
          <w:ilvl w:val="1"/>
          <w:numId w:val="82"/>
        </w:numPr>
        <w:tabs>
          <w:tab w:val="left" w:pos="1134"/>
        </w:tabs>
        <w:ind w:right="95"/>
        <w:jc w:val="both"/>
      </w:pPr>
      <w:proofErr w:type="gramStart"/>
      <w:r w:rsidRPr="004F4189">
        <w:t>a</w:t>
      </w:r>
      <w:proofErr w:type="gramEnd"/>
      <w:r w:rsidRPr="004F4189">
        <w:t xml:space="preserve"> parent or other caregiver has behaved in such a way towards the child or young person that the child or young person has suffered or is at risk of suffering serious psychological harm.</w:t>
      </w:r>
    </w:p>
    <w:p w14:paraId="3E56C199" w14:textId="77777777" w:rsidR="00F312E3" w:rsidRPr="004F4189" w:rsidRDefault="00F312E3" w:rsidP="00FF41B4">
      <w:pPr>
        <w:jc w:val="both"/>
      </w:pPr>
      <w:r w:rsidRPr="004F4189">
        <w:t>The definition in s 23 was broad in three ways:</w:t>
      </w:r>
    </w:p>
    <w:p w14:paraId="214DEE04" w14:textId="77777777" w:rsidR="00F312E3" w:rsidRPr="004F4189" w:rsidRDefault="00F312E3" w:rsidP="00FF41B4">
      <w:pPr>
        <w:pStyle w:val="ListParagraph"/>
        <w:numPr>
          <w:ilvl w:val="0"/>
          <w:numId w:val="39"/>
        </w:numPr>
        <w:spacing w:before="0"/>
        <w:jc w:val="both"/>
      </w:pPr>
      <w:r w:rsidRPr="004F4189">
        <w:lastRenderedPageBreak/>
        <w:t>By predicating the duty with the opening clause ‘if current concerns exist for the safety, welfare or well-being of the child’, the provision was premised on</w:t>
      </w:r>
      <w:r w:rsidRPr="004F4189">
        <w:rPr>
          <w:b/>
        </w:rPr>
        <w:t xml:space="preserve"> </w:t>
      </w:r>
      <w:r w:rsidRPr="004F4189">
        <w:t>broader and more slippery concepts than other jurisdictions’ legislation which imposed clearer limits on reportable cases of, for example, significant physical abuse and neglect;</w:t>
      </w:r>
    </w:p>
    <w:p w14:paraId="45B0C45A" w14:textId="77777777" w:rsidR="00F312E3" w:rsidRPr="004F4189" w:rsidRDefault="00F312E3" w:rsidP="00FF41B4">
      <w:pPr>
        <w:pStyle w:val="ListParagraph"/>
        <w:numPr>
          <w:ilvl w:val="0"/>
          <w:numId w:val="39"/>
        </w:numPr>
        <w:spacing w:before="0"/>
        <w:jc w:val="both"/>
      </w:pPr>
      <w:r w:rsidRPr="004F4189">
        <w:t>By not clearly limiting the reporting duty in all cases to situations of significant harm; for example, with physical abuse, the legislation was drafted as applying where  the child ‘has been, or is at risk of being, physically abused or mistreated’;</w:t>
      </w:r>
    </w:p>
    <w:p w14:paraId="296993AD" w14:textId="05CFDC0C" w:rsidR="00F312E3" w:rsidRPr="004F4189" w:rsidRDefault="00F312E3" w:rsidP="00FF41B4">
      <w:pPr>
        <w:pStyle w:val="ListParagraph"/>
        <w:numPr>
          <w:ilvl w:val="0"/>
          <w:numId w:val="39"/>
        </w:numPr>
        <w:spacing w:before="0"/>
        <w:jc w:val="both"/>
      </w:pPr>
      <w:r w:rsidRPr="004F4189">
        <w:t>By including exposure to domestic violence, albeit technically limiting reportable situations to those situations where the child was at risk of serious physical or psychological harm. It can be noted that this provision may have influenced a likelihood among reporters, especially police officers, to be unable or unwilling to discriminate amongst different domestic violence cases and hence to ‘</w:t>
      </w:r>
      <w:r w:rsidR="00E37955" w:rsidRPr="004F4189">
        <w:t>over report</w:t>
      </w:r>
      <w:r w:rsidRPr="004F4189">
        <w:t>’).</w:t>
      </w:r>
    </w:p>
    <w:p w14:paraId="52532BAA" w14:textId="77777777" w:rsidR="00F312E3" w:rsidRPr="004F4189" w:rsidRDefault="00F312E3" w:rsidP="00FF41B4">
      <w:pPr>
        <w:jc w:val="both"/>
      </w:pPr>
      <w:r w:rsidRPr="004F4189">
        <w:t xml:space="preserve">Therefore, key features of the New South Wales definition </w:t>
      </w:r>
      <w:proofErr w:type="gramStart"/>
      <w:r w:rsidRPr="004F4189">
        <w:t>provision which worked with the reporting duty provision</w:t>
      </w:r>
      <w:proofErr w:type="gramEnd"/>
      <w:r w:rsidRPr="004F4189">
        <w:t xml:space="preserve"> may be expected to have influenced a much higher tendency towards reporting, including the reporting of cases which were of minimal gravity (</w:t>
      </w:r>
      <w:proofErr w:type="spellStart"/>
      <w:r w:rsidRPr="004F4189">
        <w:t>overreporting</w:t>
      </w:r>
      <w:proofErr w:type="spellEnd"/>
      <w:r w:rsidRPr="004F4189">
        <w:t>).</w:t>
      </w:r>
    </w:p>
    <w:p w14:paraId="5BBEEE1A" w14:textId="77777777" w:rsidR="00F312E3" w:rsidRPr="004F4189" w:rsidRDefault="00F312E3" w:rsidP="00FF41B4">
      <w:pPr>
        <w:jc w:val="both"/>
      </w:pPr>
      <w:r w:rsidRPr="004F4189">
        <w:t>The definition combined with the reporting provision in s 27 as follows:</w:t>
      </w:r>
    </w:p>
    <w:p w14:paraId="46C13103" w14:textId="77777777" w:rsidR="00F312E3" w:rsidRPr="00162ABA" w:rsidRDefault="00F312E3" w:rsidP="00FF41B4">
      <w:pPr>
        <w:pStyle w:val="Heading7"/>
        <w:jc w:val="both"/>
        <w:rPr>
          <w:i w:val="0"/>
        </w:rPr>
      </w:pPr>
      <w:r w:rsidRPr="00162ABA">
        <w:rPr>
          <w:i w:val="0"/>
        </w:rPr>
        <w:t>Section 27 Mandatory reporting</w:t>
      </w:r>
    </w:p>
    <w:p w14:paraId="7C822A8F" w14:textId="4761D47B" w:rsidR="00F312E3" w:rsidRPr="004F4189" w:rsidRDefault="00F312E3" w:rsidP="00E37955">
      <w:pPr>
        <w:pStyle w:val="ListParagraph"/>
        <w:numPr>
          <w:ilvl w:val="1"/>
          <w:numId w:val="32"/>
        </w:numPr>
        <w:ind w:hanging="180"/>
        <w:jc w:val="both"/>
      </w:pPr>
      <w:r w:rsidRPr="004F4189">
        <w:t xml:space="preserve">This section applies to: </w:t>
      </w:r>
    </w:p>
    <w:p w14:paraId="28A7B46D" w14:textId="0CF858D5" w:rsidR="00F312E3" w:rsidRPr="004F4189" w:rsidRDefault="00F312E3" w:rsidP="00FF41B4">
      <w:pPr>
        <w:pStyle w:val="ListParagraph"/>
        <w:numPr>
          <w:ilvl w:val="1"/>
          <w:numId w:val="30"/>
        </w:numPr>
        <w:jc w:val="both"/>
      </w:pPr>
      <w:r w:rsidRPr="004F4189">
        <w:t xml:space="preserve">a person who, in the course of his or her professional work or other paid employment delivers health care, welfare, education, children’s services, residential services, or law enforcement, wholly or partly, to children, and </w:t>
      </w:r>
    </w:p>
    <w:p w14:paraId="44C17278" w14:textId="42BB4009" w:rsidR="00F312E3" w:rsidRPr="004F4189" w:rsidRDefault="00F312E3" w:rsidP="00FF41B4">
      <w:pPr>
        <w:pStyle w:val="ListParagraph"/>
        <w:numPr>
          <w:ilvl w:val="1"/>
          <w:numId w:val="30"/>
        </w:numPr>
        <w:jc w:val="both"/>
      </w:pPr>
      <w:r w:rsidRPr="004F4189">
        <w:t xml:space="preserve">a person who holds a management position in an organisation the duties of which include direct responsibility for, or direct supervision of, the provision of health care, welfare, education, children’s services, residential services, or law enforcement, wholly or partly, to children. </w:t>
      </w:r>
    </w:p>
    <w:p w14:paraId="4C513A43" w14:textId="09018584" w:rsidR="00F312E3" w:rsidRPr="004F4189" w:rsidRDefault="00F312E3" w:rsidP="00ED7CF8">
      <w:pPr>
        <w:pStyle w:val="ListParagraph"/>
        <w:numPr>
          <w:ilvl w:val="1"/>
          <w:numId w:val="32"/>
        </w:numPr>
        <w:ind w:hanging="180"/>
        <w:jc w:val="both"/>
      </w:pPr>
      <w:r w:rsidRPr="004F4189">
        <w:t xml:space="preserve">If: </w:t>
      </w:r>
    </w:p>
    <w:p w14:paraId="6334FFEB" w14:textId="48540FB2" w:rsidR="00F312E3" w:rsidRPr="004F4189" w:rsidRDefault="00F312E3" w:rsidP="001B0227">
      <w:pPr>
        <w:pStyle w:val="ListParagraph"/>
        <w:numPr>
          <w:ilvl w:val="0"/>
          <w:numId w:val="53"/>
        </w:numPr>
        <w:jc w:val="both"/>
      </w:pPr>
      <w:r w:rsidRPr="004F4189">
        <w:t xml:space="preserve">a person to whom this section applies has reasonable grounds to suspect that a child is at risk of harm, and </w:t>
      </w:r>
    </w:p>
    <w:p w14:paraId="034AC393" w14:textId="512AE0C5" w:rsidR="00F312E3" w:rsidRPr="004F4189" w:rsidRDefault="00F312E3" w:rsidP="001B0227">
      <w:pPr>
        <w:pStyle w:val="ListParagraph"/>
        <w:numPr>
          <w:ilvl w:val="0"/>
          <w:numId w:val="53"/>
        </w:numPr>
        <w:jc w:val="both"/>
      </w:pPr>
      <w:r w:rsidRPr="004F4189">
        <w:t xml:space="preserve">those grounds arise during the course of or from the person’s work, </w:t>
      </w:r>
    </w:p>
    <w:p w14:paraId="663D92C6" w14:textId="1AD1BD1E" w:rsidR="00F312E3" w:rsidRPr="004F4189" w:rsidRDefault="00B456DC" w:rsidP="00B456DC">
      <w:pPr>
        <w:jc w:val="both"/>
      </w:pPr>
      <w:r w:rsidRPr="004F4189">
        <w:t>The</w:t>
      </w:r>
      <w:r w:rsidR="00F312E3" w:rsidRPr="004F4189">
        <w:t xml:space="preserve"> person must, as soon as practicable, report to the Director-General the name, or a description, of the child and the grounds for suspecting that the child is at risk of harm.</w:t>
      </w:r>
    </w:p>
    <w:p w14:paraId="6334B4DC" w14:textId="77777777" w:rsidR="00F312E3" w:rsidRPr="004F4189" w:rsidRDefault="00F312E3" w:rsidP="00FF41B4">
      <w:pPr>
        <w:jc w:val="both"/>
        <w:rPr>
          <w:b/>
        </w:rPr>
      </w:pPr>
      <w:r w:rsidRPr="004F4189">
        <w:t xml:space="preserve">The penalty in s 27 of $22,000 was also unusually high and </w:t>
      </w:r>
      <w:proofErr w:type="gramStart"/>
      <w:r w:rsidRPr="004F4189">
        <w:t>should also</w:t>
      </w:r>
      <w:proofErr w:type="gramEnd"/>
      <w:r w:rsidRPr="004F4189">
        <w:t xml:space="preserve"> be noted as a factor possibly influencing reporting practice.</w:t>
      </w:r>
    </w:p>
    <w:p w14:paraId="780B4139" w14:textId="38243FB2" w:rsidR="00F312E3" w:rsidRPr="0052480C" w:rsidRDefault="00F312E3" w:rsidP="00FF41B4">
      <w:pPr>
        <w:pStyle w:val="Heading6"/>
        <w:jc w:val="both"/>
      </w:pPr>
      <w:r>
        <w:lastRenderedPageBreak/>
        <w:t xml:space="preserve">1.5.2.2. </w:t>
      </w:r>
      <w:r w:rsidRPr="0052480C">
        <w:t>Key changes, 2003-12: New South Wales</w:t>
      </w:r>
    </w:p>
    <w:p w14:paraId="62D217B9" w14:textId="77777777" w:rsidR="00F312E3" w:rsidRPr="009C3732" w:rsidRDefault="00F312E3" w:rsidP="00162ABA">
      <w:pPr>
        <w:pStyle w:val="Heading7"/>
        <w:spacing w:before="240" w:after="240"/>
        <w:jc w:val="both"/>
        <w:rPr>
          <w:i w:val="0"/>
        </w:rPr>
      </w:pPr>
      <w:r w:rsidRPr="009C3732">
        <w:rPr>
          <w:i w:val="0"/>
        </w:rPr>
        <w:t>A new category of mandated report (commencing 30 March 2007)</w:t>
      </w:r>
    </w:p>
    <w:p w14:paraId="30E50354" w14:textId="77777777" w:rsidR="00F312E3" w:rsidRPr="00FF41B4" w:rsidRDefault="00F312E3" w:rsidP="00FF41B4">
      <w:pPr>
        <w:jc w:val="both"/>
      </w:pPr>
      <w:r w:rsidRPr="00FF41B4">
        <w:t xml:space="preserve">The </w:t>
      </w:r>
      <w:r w:rsidRPr="00FF41B4">
        <w:rPr>
          <w:i/>
        </w:rPr>
        <w:t>Children and Young Persons (Care and Protection) Miscellaneous Amendments Act 2006 No 95</w:t>
      </w:r>
      <w:r w:rsidRPr="00FF41B4">
        <w:t xml:space="preserve"> (</w:t>
      </w:r>
      <w:proofErr w:type="spellStart"/>
      <w:r w:rsidRPr="00FF41B4">
        <w:t>Sch</w:t>
      </w:r>
      <w:proofErr w:type="spellEnd"/>
      <w:r w:rsidRPr="00FF41B4">
        <w:t xml:space="preserve"> 1 [1], commencing 30 March 2007), amended s 23 by adding a new category of mandated report, in s 23(f). Reports were required of situations where a child was the subject of a pre-natal report and ‘the birth mother of the child did not engage successfully with support services to eliminate, or minimize to the lowest level reasonably practical, the risk factors that gave rise to the report’. This is also a broader reporting duty generally not replicated elsewhere.</w:t>
      </w:r>
      <w:r w:rsidRPr="00FF41B4">
        <w:rPr>
          <w:rStyle w:val="FootnoteReference"/>
        </w:rPr>
        <w:footnoteReference w:id="16"/>
      </w:r>
    </w:p>
    <w:p w14:paraId="5CBD6F4D" w14:textId="77777777" w:rsidR="00F312E3" w:rsidRPr="009C3732" w:rsidRDefault="00F312E3" w:rsidP="00FF41B4">
      <w:pPr>
        <w:pStyle w:val="Heading7"/>
        <w:spacing w:after="240"/>
        <w:jc w:val="both"/>
        <w:rPr>
          <w:i w:val="0"/>
        </w:rPr>
      </w:pPr>
      <w:r w:rsidRPr="009C3732">
        <w:rPr>
          <w:i w:val="0"/>
        </w:rPr>
        <w:t>Major changes: the Children Legislat</w:t>
      </w:r>
      <w:r w:rsidRPr="009C3732">
        <w:rPr>
          <w:rStyle w:val="Heading4Char"/>
          <w:rFonts w:asciiTheme="majorHAnsi" w:hAnsiTheme="majorHAnsi"/>
          <w:i w:val="0"/>
          <w:sz w:val="22"/>
        </w:rPr>
        <w:t>i</w:t>
      </w:r>
      <w:r w:rsidRPr="009C3732">
        <w:rPr>
          <w:i w:val="0"/>
        </w:rPr>
        <w:t>on Amendment (Wood Inquiry Recommendations) Act 2009 No 13, Schedule 1.1 (commencing 24 January 2010)</w:t>
      </w:r>
    </w:p>
    <w:p w14:paraId="6A63C93E" w14:textId="77777777" w:rsidR="00F312E3" w:rsidRPr="00FF41B4" w:rsidRDefault="00F312E3" w:rsidP="00FF41B4">
      <w:pPr>
        <w:spacing w:after="240"/>
        <w:jc w:val="both"/>
        <w:rPr>
          <w:sz w:val="20"/>
          <w:szCs w:val="20"/>
        </w:rPr>
      </w:pPr>
      <w:r w:rsidRPr="00FF41B4">
        <w:t xml:space="preserve">After the Wood Inquiry into </w:t>
      </w:r>
      <w:proofErr w:type="gramStart"/>
      <w:r w:rsidRPr="00FF41B4">
        <w:t>child</w:t>
      </w:r>
      <w:proofErr w:type="gramEnd"/>
      <w:r w:rsidRPr="00FF41B4">
        <w:t xml:space="preserve"> protection in New South Wales, four substantial amendments were introduced which affected the concept of harm, a new category of reportable harm, the penalty provision, and reporting mechanisms. </w:t>
      </w:r>
    </w:p>
    <w:p w14:paraId="112C3B6C" w14:textId="77777777" w:rsidR="00F312E3" w:rsidRPr="0052480C" w:rsidRDefault="00F312E3" w:rsidP="00FF41B4">
      <w:pPr>
        <w:pStyle w:val="Heading8"/>
        <w:jc w:val="both"/>
      </w:pPr>
      <w:r w:rsidRPr="0052480C">
        <w:t>Change to concept of harm – ‘significant’ harm (commencing 24 January 2010)</w:t>
      </w:r>
    </w:p>
    <w:p w14:paraId="68F0674A" w14:textId="77777777" w:rsidR="00F312E3" w:rsidRPr="00FF41B4" w:rsidRDefault="00F312E3" w:rsidP="00FF41B4">
      <w:pPr>
        <w:jc w:val="both"/>
      </w:pPr>
      <w:r w:rsidRPr="00FF41B4">
        <w:t xml:space="preserve">The </w:t>
      </w:r>
      <w:r w:rsidRPr="00FF41B4">
        <w:rPr>
          <w:i/>
        </w:rPr>
        <w:t>Children Legislation Amendment (Wood Inquiry Recommendations) Act 2009 No 13</w:t>
      </w:r>
      <w:r w:rsidRPr="00FF41B4">
        <w:t xml:space="preserve"> (hereafter referred to as the Wood legislation)</w:t>
      </w:r>
      <w:r w:rsidRPr="00FF41B4">
        <w:rPr>
          <w:i/>
        </w:rPr>
        <w:t xml:space="preserve"> </w:t>
      </w:r>
      <w:r w:rsidRPr="00FF41B4">
        <w:t>added a qualification of ‘significant harm’ to the reporting duty in s 23 definition of ‘risk of harm’ (</w:t>
      </w:r>
      <w:proofErr w:type="spellStart"/>
      <w:r w:rsidRPr="00FF41B4">
        <w:t>Sch</w:t>
      </w:r>
      <w:proofErr w:type="spellEnd"/>
      <w:r w:rsidRPr="00FF41B4">
        <w:t xml:space="preserve"> 1.1). This limited the class of reportable cases in a clearer manner than had previously existed (</w:t>
      </w:r>
      <w:proofErr w:type="spellStart"/>
      <w:r w:rsidRPr="00FF41B4">
        <w:t>Sch</w:t>
      </w:r>
      <w:proofErr w:type="spellEnd"/>
      <w:r w:rsidRPr="00FF41B4">
        <w:t xml:space="preserve"> 1.1[1] and [2]). This </w:t>
      </w:r>
      <w:proofErr w:type="gramStart"/>
      <w:r w:rsidRPr="00FF41B4">
        <w:t>was achieved</w:t>
      </w:r>
      <w:proofErr w:type="gramEnd"/>
      <w:r w:rsidRPr="00FF41B4">
        <w:t xml:space="preserve"> by:</w:t>
      </w:r>
    </w:p>
    <w:p w14:paraId="69B75F8A" w14:textId="77777777" w:rsidR="00F312E3" w:rsidRPr="00FF41B4" w:rsidRDefault="00F312E3" w:rsidP="00FF41B4">
      <w:pPr>
        <w:pStyle w:val="ListParagraph"/>
        <w:numPr>
          <w:ilvl w:val="0"/>
          <w:numId w:val="40"/>
        </w:numPr>
        <w:spacing w:before="0"/>
        <w:jc w:val="both"/>
      </w:pPr>
      <w:r w:rsidRPr="00FF41B4">
        <w:t>changing the heading (so it reads ‘Section 23 Child or young person at risk of significant harm’);</w:t>
      </w:r>
    </w:p>
    <w:p w14:paraId="3AD93349" w14:textId="77777777" w:rsidR="00F312E3" w:rsidRPr="00FF41B4" w:rsidRDefault="00F312E3" w:rsidP="00FF41B4">
      <w:pPr>
        <w:pStyle w:val="ListParagraph"/>
        <w:numPr>
          <w:ilvl w:val="0"/>
          <w:numId w:val="40"/>
        </w:numPr>
        <w:spacing w:before="0"/>
        <w:jc w:val="both"/>
      </w:pPr>
      <w:r w:rsidRPr="00FF41B4">
        <w:t>adding the word ‘significant’ to s 23(1) (so the sentence reads: ‘a child or young person is at risk of significant harm’ rather than the previous ‘at risk of harm’</w:t>
      </w:r>
    </w:p>
    <w:p w14:paraId="39913E8D" w14:textId="77777777" w:rsidR="00F312E3" w:rsidRPr="00FF41B4" w:rsidRDefault="00F312E3" w:rsidP="00FF41B4">
      <w:pPr>
        <w:pStyle w:val="ListParagraph"/>
        <w:numPr>
          <w:ilvl w:val="0"/>
          <w:numId w:val="40"/>
        </w:numPr>
        <w:spacing w:before="0"/>
        <w:jc w:val="both"/>
      </w:pPr>
      <w:r w:rsidRPr="00FF41B4">
        <w:t>adding the words ‘to a significant extent’ so the sentence reads as follows:</w:t>
      </w:r>
    </w:p>
    <w:p w14:paraId="1419888F" w14:textId="77777777" w:rsidR="00F312E3" w:rsidRPr="00FF41B4" w:rsidRDefault="00F312E3" w:rsidP="00FF41B4">
      <w:pPr>
        <w:ind w:left="360" w:firstLine="360"/>
        <w:jc w:val="both"/>
      </w:pPr>
      <w:proofErr w:type="gramStart"/>
      <w:r w:rsidRPr="00FF41B4">
        <w:t>23</w:t>
      </w:r>
      <w:proofErr w:type="gramEnd"/>
      <w:r w:rsidRPr="00FF41B4">
        <w:t xml:space="preserve"> Child or young person at risk of significant harm</w:t>
      </w:r>
    </w:p>
    <w:p w14:paraId="3298878E" w14:textId="77777777" w:rsidR="00F312E3" w:rsidRPr="00FF41B4" w:rsidRDefault="00F312E3" w:rsidP="00B456DC">
      <w:pPr>
        <w:ind w:left="720" w:right="92"/>
        <w:jc w:val="both"/>
      </w:pPr>
      <w:r w:rsidRPr="00FF41B4">
        <w:lastRenderedPageBreak/>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20950F81" w14:textId="2308726D" w:rsidR="00F312E3" w:rsidRPr="00FF41B4" w:rsidRDefault="00F312E3" w:rsidP="00FF41B4">
      <w:pPr>
        <w:jc w:val="both"/>
      </w:pPr>
      <w:r w:rsidRPr="00FF41B4">
        <w:t>If the previous unqualified concept of harm did in fact influence hypersensitive reporting (</w:t>
      </w:r>
      <w:r w:rsidR="009A097C" w:rsidRPr="00FF41B4">
        <w:t>over reporting</w:t>
      </w:r>
      <w:r w:rsidRPr="00FF41B4">
        <w:t xml:space="preserve">, or the making of clearly unnecessary reports) before this change, then if this change has been conveyed to reporters, it may be expected that there has been a reduction in such practice – </w:t>
      </w:r>
      <w:proofErr w:type="spellStart"/>
      <w:r w:rsidRPr="00FF41B4">
        <w:t>ie</w:t>
      </w:r>
      <w:proofErr w:type="spellEnd"/>
      <w:r w:rsidRPr="00FF41B4">
        <w:t xml:space="preserve"> fewer ‘clearly unnecessary’ reports – especially for exposure to domestic violence and neglect.</w:t>
      </w:r>
    </w:p>
    <w:p w14:paraId="11809531" w14:textId="77777777" w:rsidR="00F312E3" w:rsidRPr="0052480C" w:rsidRDefault="00F312E3" w:rsidP="009A097C">
      <w:pPr>
        <w:pStyle w:val="Heading8"/>
        <w:spacing w:before="240"/>
        <w:jc w:val="both"/>
      </w:pPr>
      <w:r w:rsidRPr="0052480C">
        <w:t>New category of reportable harm: school attendance (commencing 24 January 2010)</w:t>
      </w:r>
    </w:p>
    <w:p w14:paraId="0CE83DAA" w14:textId="77777777" w:rsidR="00F312E3" w:rsidRPr="00FF41B4" w:rsidRDefault="00F312E3" w:rsidP="00FF41B4">
      <w:pPr>
        <w:jc w:val="both"/>
      </w:pPr>
      <w:r w:rsidRPr="00FF41B4">
        <w:t xml:space="preserve">The Wood legislation added a new s 23(b1) which required reports where parents or caregivers have not arranged and are unable or unwilling to arrange for the child to receive an education where they are required to attend school in accordance with the Education Act 1990. </w:t>
      </w:r>
    </w:p>
    <w:p w14:paraId="44925376" w14:textId="77777777" w:rsidR="00F312E3" w:rsidRPr="00FF41B4" w:rsidRDefault="00F312E3" w:rsidP="00FF41B4">
      <w:pPr>
        <w:jc w:val="both"/>
      </w:pPr>
      <w:r w:rsidRPr="00FF41B4">
        <w:t xml:space="preserve">This </w:t>
      </w:r>
      <w:proofErr w:type="gramStart"/>
      <w:r w:rsidRPr="00FF41B4">
        <w:t>may be expected</w:t>
      </w:r>
      <w:proofErr w:type="gramEnd"/>
      <w:r w:rsidRPr="00FF41B4">
        <w:t xml:space="preserve"> to have resulted in an increase in reports under this category (or as a type of neglect).</w:t>
      </w:r>
    </w:p>
    <w:p w14:paraId="3C98B241" w14:textId="77777777" w:rsidR="00F312E3" w:rsidRPr="0052480C" w:rsidRDefault="00F312E3" w:rsidP="009A097C">
      <w:pPr>
        <w:pStyle w:val="Heading8"/>
        <w:spacing w:before="240"/>
        <w:jc w:val="both"/>
      </w:pPr>
      <w:r w:rsidRPr="0052480C">
        <w:t>Major change by removing the penalty from s 27(2) (commencing 24 January 2010)</w:t>
      </w:r>
    </w:p>
    <w:p w14:paraId="48FB4007" w14:textId="4C19914E" w:rsidR="00F312E3" w:rsidRPr="00FF41B4" w:rsidRDefault="00F312E3" w:rsidP="00FF41B4">
      <w:pPr>
        <w:jc w:val="both"/>
      </w:pPr>
      <w:r w:rsidRPr="00FF41B4">
        <w:t xml:space="preserve">At 1 January 2003, the penalty for failure to report </w:t>
      </w:r>
      <w:r w:rsidR="009A097C" w:rsidRPr="00FF41B4">
        <w:t xml:space="preserve">was </w:t>
      </w:r>
      <w:proofErr w:type="gramStart"/>
      <w:r w:rsidR="009A097C" w:rsidRPr="00FF41B4">
        <w:t>maximum</w:t>
      </w:r>
      <w:proofErr w:type="gramEnd"/>
      <w:r w:rsidRPr="00FF41B4">
        <w:t xml:space="preserve"> of 200 penalty units. This equated to $22 000 (see Table 6). In a major change, the Wood legislation removed the penalty</w:t>
      </w:r>
      <w:r w:rsidRPr="00FF41B4">
        <w:rPr>
          <w:b/>
        </w:rPr>
        <w:t xml:space="preserve"> </w:t>
      </w:r>
      <w:r w:rsidRPr="00FF41B4">
        <w:t>from s 27 (Children Legislation Amendment (Wood Inquiry Recommendations) Act 2009 No 13, Schedule 1.1 [7]).</w:t>
      </w:r>
      <w:r w:rsidRPr="00FF41B4">
        <w:rPr>
          <w:rStyle w:val="FootnoteReference"/>
        </w:rPr>
        <w:footnoteReference w:id="17"/>
      </w:r>
      <w:r w:rsidRPr="00FF41B4">
        <w:t xml:space="preserve"> </w:t>
      </w:r>
    </w:p>
    <w:p w14:paraId="69D43344" w14:textId="02110596" w:rsidR="00F312E3" w:rsidRPr="00FF41B4" w:rsidRDefault="00F312E3" w:rsidP="00FF41B4">
      <w:pPr>
        <w:spacing w:after="240"/>
        <w:jc w:val="both"/>
      </w:pPr>
      <w:r w:rsidRPr="00FF41B4">
        <w:t>If the penalty previously had any influence on hypersensitive reporting (</w:t>
      </w:r>
      <w:r w:rsidR="009A097C" w:rsidRPr="00FF41B4">
        <w:t>over reporting</w:t>
      </w:r>
      <w:r w:rsidRPr="00FF41B4">
        <w:t xml:space="preserve">, or the making of clearly unnecessary reports), then if this change has been conveyed to reporters one may expect a reduction in such practice </w:t>
      </w:r>
      <w:proofErr w:type="spellStart"/>
      <w:r w:rsidRPr="00FF41B4">
        <w:t>ie</w:t>
      </w:r>
      <w:proofErr w:type="spellEnd"/>
      <w:r w:rsidRPr="00FF41B4">
        <w:t xml:space="preserve"> fewer ‘clearly unnecessary’ reports.</w:t>
      </w:r>
    </w:p>
    <w:p w14:paraId="0CBFB908" w14:textId="77777777" w:rsidR="00F312E3" w:rsidRPr="0052480C" w:rsidRDefault="00F312E3" w:rsidP="00FF41B4">
      <w:pPr>
        <w:pStyle w:val="Heading8"/>
        <w:jc w:val="both"/>
      </w:pPr>
      <w:r w:rsidRPr="0052480C">
        <w:t>Alternative reporting via s 27A (commencing 24 January 2010)</w:t>
      </w:r>
    </w:p>
    <w:p w14:paraId="322A2F04" w14:textId="77777777" w:rsidR="00F312E3" w:rsidRPr="00FF41B4" w:rsidRDefault="00F312E3" w:rsidP="00FF41B4">
      <w:pPr>
        <w:jc w:val="both"/>
      </w:pPr>
      <w:r w:rsidRPr="00FF41B4">
        <w:t xml:space="preserve">To enable the new focus on differential </w:t>
      </w:r>
      <w:proofErr w:type="gramStart"/>
      <w:r w:rsidRPr="00FF41B4">
        <w:t>response which</w:t>
      </w:r>
      <w:proofErr w:type="gramEnd"/>
      <w:r w:rsidRPr="00FF41B4">
        <w:t xml:space="preserve"> was promoted by the Wood legislation, the amendments also added a new s 27A (</w:t>
      </w:r>
      <w:proofErr w:type="spellStart"/>
      <w:r w:rsidRPr="00FF41B4">
        <w:t>Sch</w:t>
      </w:r>
      <w:proofErr w:type="spellEnd"/>
      <w:r w:rsidRPr="00FF41B4">
        <w:t xml:space="preserve"> 1.1 [8]). This enabled mandated reporters to make a report to the assessment officer of designated agencies who had created such arrangements (Child Well Being Units: </w:t>
      </w:r>
      <w:proofErr w:type="spellStart"/>
      <w:r w:rsidRPr="00FF41B4">
        <w:t>eg</w:t>
      </w:r>
      <w:proofErr w:type="spellEnd"/>
      <w:r w:rsidRPr="00FF41B4">
        <w:t xml:space="preserve"> in health, education, police and juvenile justice) (s </w:t>
      </w:r>
      <w:proofErr w:type="gramStart"/>
      <w:r w:rsidRPr="00FF41B4">
        <w:t>27A(</w:t>
      </w:r>
      <w:proofErr w:type="gramEnd"/>
      <w:r w:rsidRPr="00FF41B4">
        <w:t xml:space="preserve">2)), and this report would meet the mandated reporter’s duty under s 27 (S 27A(6)). </w:t>
      </w:r>
    </w:p>
    <w:p w14:paraId="175A6E65" w14:textId="77777777" w:rsidR="00F312E3" w:rsidRPr="00FF41B4" w:rsidRDefault="00F312E3" w:rsidP="00FF41B4">
      <w:pPr>
        <w:jc w:val="both"/>
      </w:pPr>
      <w:r w:rsidRPr="00FF41B4">
        <w:lastRenderedPageBreak/>
        <w:t xml:space="preserve">After receiving the report, the assessment officer is to assess whether the matter should be reported to the Director-General under s 27 (s </w:t>
      </w:r>
      <w:proofErr w:type="gramStart"/>
      <w:r w:rsidRPr="00FF41B4">
        <w:t>27A(</w:t>
      </w:r>
      <w:proofErr w:type="gramEnd"/>
      <w:r w:rsidRPr="00FF41B4">
        <w:t>3)).</w:t>
      </w:r>
    </w:p>
    <w:p w14:paraId="0349C62D" w14:textId="77777777" w:rsidR="00F312E3" w:rsidRPr="00FF41B4" w:rsidRDefault="00F312E3" w:rsidP="00FF41B4">
      <w:pPr>
        <w:pStyle w:val="ListParagraph"/>
        <w:numPr>
          <w:ilvl w:val="0"/>
          <w:numId w:val="41"/>
        </w:numPr>
        <w:spacing w:before="0"/>
        <w:jc w:val="both"/>
      </w:pPr>
      <w:r w:rsidRPr="00FF41B4">
        <w:rPr>
          <w:b/>
        </w:rPr>
        <w:t>If so</w:t>
      </w:r>
      <w:r w:rsidRPr="00FF41B4">
        <w:t xml:space="preserve">, then the assessment officer or the reporter must report the matter to the Director-General (s </w:t>
      </w:r>
      <w:proofErr w:type="gramStart"/>
      <w:r w:rsidRPr="00FF41B4">
        <w:t>27A(</w:t>
      </w:r>
      <w:proofErr w:type="gramEnd"/>
      <w:r w:rsidRPr="00FF41B4">
        <w:t>4)).</w:t>
      </w:r>
    </w:p>
    <w:p w14:paraId="404469A4" w14:textId="77777777" w:rsidR="00F312E3" w:rsidRPr="00FF41B4" w:rsidRDefault="00F312E3" w:rsidP="00FF41B4">
      <w:pPr>
        <w:pStyle w:val="ListParagraph"/>
        <w:numPr>
          <w:ilvl w:val="0"/>
          <w:numId w:val="41"/>
        </w:numPr>
        <w:spacing w:before="0"/>
        <w:jc w:val="both"/>
      </w:pPr>
      <w:r w:rsidRPr="00FF41B4">
        <w:rPr>
          <w:b/>
        </w:rPr>
        <w:t>If not</w:t>
      </w:r>
      <w:r w:rsidRPr="00FF41B4">
        <w:t xml:space="preserve">, the assessor or the staff member may, if either have concerns for the wellbeing for the child, make such referral or take such action as considered necessary or appropriate (or as is reasonably available) to safeguard or promote the safety, welfare and well-being of the child (s 27A(5)). </w:t>
      </w:r>
    </w:p>
    <w:p w14:paraId="1B958263" w14:textId="77777777" w:rsidR="00F312E3" w:rsidRPr="00FF41B4" w:rsidRDefault="00F312E3" w:rsidP="00FF41B4">
      <w:pPr>
        <w:pStyle w:val="ListParagraph"/>
        <w:numPr>
          <w:ilvl w:val="0"/>
          <w:numId w:val="41"/>
        </w:numPr>
        <w:spacing w:before="0"/>
        <w:jc w:val="both"/>
      </w:pPr>
      <w:r w:rsidRPr="00FF41B4">
        <w:t>Under these arrangements, the normal protections to reporters are provided (s 29(1</w:t>
      </w:r>
      <w:proofErr w:type="gramStart"/>
      <w:r w:rsidRPr="00FF41B4">
        <w:t>)(</w:t>
      </w:r>
      <w:proofErr w:type="gramEnd"/>
      <w:r w:rsidRPr="00FF41B4">
        <w:t>a)-(c) provides immunity; s 29(1)(f) confers confidentiality).</w:t>
      </w:r>
    </w:p>
    <w:p w14:paraId="51B7D739" w14:textId="77777777" w:rsidR="00F312E3" w:rsidRPr="00FF41B4" w:rsidRDefault="00F312E3" w:rsidP="00FF41B4">
      <w:pPr>
        <w:jc w:val="both"/>
      </w:pPr>
      <w:r w:rsidRPr="00FF41B4">
        <w:t xml:space="preserve">This new scheme </w:t>
      </w:r>
      <w:proofErr w:type="gramStart"/>
      <w:r w:rsidRPr="00FF41B4">
        <w:t>may be expected</w:t>
      </w:r>
      <w:proofErr w:type="gramEnd"/>
      <w:r w:rsidRPr="00FF41B4">
        <w:t xml:space="preserve"> to also reduce the number of reports of more minor concerns to the Director-General.</w:t>
      </w:r>
    </w:p>
    <w:p w14:paraId="14C87595" w14:textId="77777777" w:rsidR="00F312E3" w:rsidRPr="0052480C" w:rsidRDefault="00F312E3" w:rsidP="009A097C">
      <w:pPr>
        <w:pStyle w:val="Heading6"/>
        <w:spacing w:before="240" w:after="240"/>
        <w:jc w:val="both"/>
      </w:pPr>
      <w:r>
        <w:t xml:space="preserve">1.5.2.3. </w:t>
      </w:r>
      <w:r w:rsidRPr="0052480C">
        <w:t>Current position: New South Wales</w:t>
      </w:r>
    </w:p>
    <w:p w14:paraId="6953A0BB" w14:textId="77777777" w:rsidR="00F312E3" w:rsidRPr="00FF41B4" w:rsidRDefault="00F312E3" w:rsidP="00FF41B4">
      <w:pPr>
        <w:jc w:val="both"/>
      </w:pPr>
      <w:r w:rsidRPr="00FF41B4">
        <w:t>There have been no further changes after the Wood legislation. Therefore, the current situation, existing since 24 January 2010, is that members of a broad range of professions are required to report current concerns for the safety, welfare or well-being of a child because of the presence, to a significant extent, of (s 23)(1)):</w:t>
      </w:r>
    </w:p>
    <w:p w14:paraId="484A0A56" w14:textId="1BE7F131" w:rsidR="00F312E3" w:rsidRPr="00FF41B4" w:rsidRDefault="00ED7CF8" w:rsidP="00FF41B4">
      <w:pPr>
        <w:pStyle w:val="ListParagraph"/>
        <w:numPr>
          <w:ilvl w:val="0"/>
          <w:numId w:val="42"/>
        </w:numPr>
        <w:spacing w:before="0"/>
        <w:jc w:val="both"/>
      </w:pPr>
      <w:r>
        <w:tab/>
      </w:r>
      <w:r w:rsidR="00F312E3" w:rsidRPr="00FF41B4">
        <w:t xml:space="preserve">the child’s basic physical or psychological needs are not being met or are at risk of not </w:t>
      </w:r>
      <w:r>
        <w:tab/>
      </w:r>
      <w:r w:rsidR="00F312E3" w:rsidRPr="00FF41B4">
        <w:t>being met;</w:t>
      </w:r>
    </w:p>
    <w:p w14:paraId="5B7B6E5D" w14:textId="609A66FF" w:rsidR="00F312E3" w:rsidRPr="00FF41B4" w:rsidRDefault="00ED7CF8" w:rsidP="00FF41B4">
      <w:pPr>
        <w:pStyle w:val="ListParagraph"/>
        <w:numPr>
          <w:ilvl w:val="0"/>
          <w:numId w:val="42"/>
        </w:numPr>
        <w:spacing w:before="0"/>
        <w:jc w:val="both"/>
      </w:pPr>
      <w:r>
        <w:tab/>
      </w:r>
      <w:r w:rsidR="00F312E3" w:rsidRPr="00FF41B4">
        <w:t xml:space="preserve">lack of necessary medical care and the parents’ caregivers are unable or willing to arrange </w:t>
      </w:r>
      <w:r>
        <w:tab/>
      </w:r>
      <w:r w:rsidR="00F312E3" w:rsidRPr="00FF41B4">
        <w:t>it;</w:t>
      </w:r>
    </w:p>
    <w:p w14:paraId="2945DFEC" w14:textId="1E6E3628" w:rsidR="00F312E3" w:rsidRPr="00FF41B4" w:rsidRDefault="00F312E3" w:rsidP="00ED7CF8">
      <w:pPr>
        <w:ind w:left="900"/>
        <w:jc w:val="both"/>
      </w:pPr>
      <w:r w:rsidRPr="00FF41B4">
        <w:t>(b1)</w:t>
      </w:r>
      <w:r w:rsidR="00ED7CF8">
        <w:tab/>
      </w:r>
      <w:r w:rsidRPr="00FF41B4">
        <w:t xml:space="preserve"> lack of education in accordance with the Education Act;</w:t>
      </w:r>
    </w:p>
    <w:p w14:paraId="78AC170E" w14:textId="05205721" w:rsidR="00F312E3" w:rsidRPr="00FF41B4" w:rsidRDefault="00ED7CF8" w:rsidP="00FF41B4">
      <w:pPr>
        <w:pStyle w:val="ListParagraph"/>
        <w:numPr>
          <w:ilvl w:val="0"/>
          <w:numId w:val="42"/>
        </w:numPr>
        <w:spacing w:before="0"/>
        <w:jc w:val="both"/>
      </w:pPr>
      <w:r>
        <w:tab/>
      </w:r>
      <w:r w:rsidR="00F312E3" w:rsidRPr="00FF41B4">
        <w:t>the child has been or is at risk of being physically or sexually abused or ill-treated;</w:t>
      </w:r>
    </w:p>
    <w:p w14:paraId="7CFD685F" w14:textId="5EE4240E" w:rsidR="00F312E3" w:rsidRPr="00FF41B4" w:rsidRDefault="00ED7CF8" w:rsidP="00FF41B4">
      <w:pPr>
        <w:pStyle w:val="ListParagraph"/>
        <w:numPr>
          <w:ilvl w:val="0"/>
          <w:numId w:val="42"/>
        </w:numPr>
        <w:spacing w:before="0"/>
        <w:jc w:val="both"/>
      </w:pPr>
      <w:r>
        <w:tab/>
      </w:r>
      <w:r w:rsidR="00F312E3" w:rsidRPr="00FF41B4">
        <w:t xml:space="preserve">the child is living in a household where there have been incidents of domestic violence and </w:t>
      </w:r>
      <w:r>
        <w:tab/>
      </w:r>
      <w:r w:rsidR="00F312E3" w:rsidRPr="00FF41B4">
        <w:t>as a consequence the child is at risk of serious physical or psychological harm</w:t>
      </w:r>
    </w:p>
    <w:p w14:paraId="209A011F" w14:textId="76D65A62" w:rsidR="00F312E3" w:rsidRPr="00FF41B4" w:rsidRDefault="00ED7CF8" w:rsidP="00FF41B4">
      <w:pPr>
        <w:pStyle w:val="ListParagraph"/>
        <w:numPr>
          <w:ilvl w:val="0"/>
          <w:numId w:val="42"/>
        </w:numPr>
        <w:spacing w:before="0"/>
        <w:jc w:val="both"/>
      </w:pPr>
      <w:r>
        <w:tab/>
      </w:r>
      <w:r w:rsidR="00F312E3" w:rsidRPr="00FF41B4">
        <w:t xml:space="preserve">a parent/caregiver has behaved in such a way towards the child that the child has suffered </w:t>
      </w:r>
      <w:r>
        <w:tab/>
      </w:r>
      <w:r w:rsidR="00F312E3" w:rsidRPr="00FF41B4">
        <w:t>or is at risk of suffering serious psychological harm;</w:t>
      </w:r>
    </w:p>
    <w:p w14:paraId="4F29B86F" w14:textId="48A83AEB" w:rsidR="00F312E3" w:rsidRPr="00FF41B4" w:rsidRDefault="00ED7CF8" w:rsidP="00FF41B4">
      <w:pPr>
        <w:pStyle w:val="ListParagraph"/>
        <w:numPr>
          <w:ilvl w:val="0"/>
          <w:numId w:val="42"/>
        </w:numPr>
        <w:spacing w:before="0"/>
        <w:jc w:val="both"/>
      </w:pPr>
      <w:r>
        <w:tab/>
      </w:r>
      <w:r w:rsidR="00F312E3" w:rsidRPr="00FF41B4">
        <w:t xml:space="preserve">the child was subject of a prenatal report and the birth mother and the mother did not </w:t>
      </w:r>
      <w:r>
        <w:tab/>
      </w:r>
      <w:r w:rsidR="00F312E3" w:rsidRPr="00FF41B4">
        <w:t xml:space="preserve">engage successfully with support services to eliminate, or minimize to the lowest level </w:t>
      </w:r>
      <w:r>
        <w:tab/>
      </w:r>
      <w:r w:rsidR="00F312E3" w:rsidRPr="00FF41B4">
        <w:t>reasonably practical, the risk factors that gave rise to the report’.</w:t>
      </w:r>
    </w:p>
    <w:p w14:paraId="0E9560AE" w14:textId="77777777" w:rsidR="00F312E3" w:rsidRPr="00FF41B4" w:rsidRDefault="00F312E3" w:rsidP="00FF41B4">
      <w:pPr>
        <w:jc w:val="both"/>
      </w:pPr>
      <w:r w:rsidRPr="00FF41B4">
        <w:t>No penalty exists for noncompliance.</w:t>
      </w:r>
    </w:p>
    <w:p w14:paraId="13AAAB56" w14:textId="77777777" w:rsidR="00F312E3" w:rsidRPr="00FF41B4" w:rsidRDefault="00F312E3" w:rsidP="00FF41B4">
      <w:pPr>
        <w:jc w:val="both"/>
        <w:sectPr w:rsidR="00F312E3" w:rsidRPr="00FF41B4" w:rsidSect="00D650B4">
          <w:pgSz w:w="11900" w:h="16840"/>
          <w:pgMar w:top="1134" w:right="1134" w:bottom="1134" w:left="1134" w:header="708" w:footer="708" w:gutter="0"/>
          <w:cols w:space="708"/>
          <w:docGrid w:linePitch="360"/>
        </w:sectPr>
      </w:pPr>
    </w:p>
    <w:p w14:paraId="157BB798" w14:textId="77777777" w:rsidR="00F312E3" w:rsidRPr="0052480C" w:rsidRDefault="00F312E3" w:rsidP="00FF41B4">
      <w:pPr>
        <w:pStyle w:val="Heading7"/>
        <w:jc w:val="both"/>
      </w:pPr>
      <w:r w:rsidRPr="0052480C">
        <w:lastRenderedPageBreak/>
        <w:t>Figure 1.2: Timeline showing key developments, New South Wales,</w:t>
      </w:r>
      <w:r w:rsidRPr="0052480C">
        <w:rPr>
          <w:i w:val="0"/>
        </w:rPr>
        <w:t xml:space="preserve"> </w:t>
      </w:r>
      <w:r w:rsidRPr="0052480C">
        <w:t>2003-2012</w:t>
      </w:r>
    </w:p>
    <w:p w14:paraId="463F0248" w14:textId="77777777" w:rsidR="00F312E3" w:rsidRDefault="00F312E3" w:rsidP="00FF41B4">
      <w:pPr>
        <w:jc w:val="both"/>
        <w:rPr>
          <w:rFonts w:asciiTheme="majorHAnsi" w:hAnsiTheme="majorHAnsi"/>
        </w:rPr>
      </w:pPr>
    </w:p>
    <w:p w14:paraId="7A47699B" w14:textId="77777777" w:rsidR="00F312E3" w:rsidRPr="0052480C" w:rsidRDefault="00F312E3" w:rsidP="00FF41B4">
      <w:pPr>
        <w:jc w:val="both"/>
        <w:rPr>
          <w:rFonts w:asciiTheme="majorHAnsi" w:hAnsiTheme="majorHAnsi"/>
        </w:rPr>
      </w:pPr>
      <w:r>
        <w:rPr>
          <w:rFonts w:asciiTheme="majorHAnsi" w:hAnsiTheme="majorHAnsi"/>
          <w:noProof/>
          <w:lang w:eastAsia="en-AU"/>
        </w:rPr>
        <w:drawing>
          <wp:inline distT="0" distB="0" distL="0" distR="0" wp14:anchorId="2F910628" wp14:editId="6E276D1E">
            <wp:extent cx="9248775" cy="3629025"/>
            <wp:effectExtent l="0" t="0" r="9525" b="9525"/>
            <wp:docPr id="14" name="Picture 2" descr="Shows that in NSW in 2003 it was mandatory for a large range of reporter groups to report physical, sexual and emotional abuse, neglect and domestic violence. In 2007 it became mandatory to report prenatal mothers who do not engage services or respond to reduce risk factor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20AB5D44" w14:textId="77777777" w:rsidR="00F312E3" w:rsidRPr="0052480C" w:rsidRDefault="00F312E3" w:rsidP="00FF41B4">
      <w:pPr>
        <w:jc w:val="both"/>
        <w:rPr>
          <w:rFonts w:asciiTheme="majorHAnsi" w:hAnsiTheme="majorHAnsi"/>
        </w:rPr>
      </w:pPr>
    </w:p>
    <w:p w14:paraId="6925BA37" w14:textId="77777777" w:rsidR="00F312E3" w:rsidRPr="0052480C" w:rsidRDefault="00F312E3" w:rsidP="00FF41B4">
      <w:pPr>
        <w:jc w:val="both"/>
        <w:rPr>
          <w:rFonts w:asciiTheme="majorHAnsi" w:hAnsiTheme="majorHAnsi"/>
        </w:rPr>
        <w:sectPr w:rsidR="00F312E3" w:rsidRPr="0052480C" w:rsidSect="00D650B4">
          <w:pgSz w:w="16838" w:h="11906" w:orient="landscape"/>
          <w:pgMar w:top="1134" w:right="1134" w:bottom="1134" w:left="1134" w:header="709" w:footer="709" w:gutter="0"/>
          <w:cols w:space="708"/>
          <w:docGrid w:linePitch="360"/>
        </w:sectPr>
      </w:pPr>
    </w:p>
    <w:p w14:paraId="6765B8E1" w14:textId="77777777" w:rsidR="00F312E3" w:rsidRPr="0052480C" w:rsidRDefault="00F312E3" w:rsidP="00FF41B4">
      <w:pPr>
        <w:pStyle w:val="Heading5"/>
        <w:jc w:val="both"/>
      </w:pPr>
      <w:bookmarkStart w:id="37" w:name="_Toc400110671"/>
      <w:r>
        <w:lastRenderedPageBreak/>
        <w:t xml:space="preserve">1.5.3. </w:t>
      </w:r>
      <w:r w:rsidRPr="0052480C">
        <w:t>Northern Territory</w:t>
      </w:r>
      <w:bookmarkEnd w:id="37"/>
    </w:p>
    <w:p w14:paraId="447274F7" w14:textId="77777777" w:rsidR="00F312E3" w:rsidRPr="0052480C" w:rsidRDefault="00F312E3" w:rsidP="00ED7CF8">
      <w:pPr>
        <w:pStyle w:val="Heading6"/>
        <w:spacing w:before="240" w:after="240"/>
        <w:jc w:val="both"/>
      </w:pPr>
      <w:r>
        <w:t xml:space="preserve">1.5.3.1 </w:t>
      </w:r>
      <w:r w:rsidRPr="0052480C">
        <w:t>Original position at 1 January 2003: Northern Territory</w:t>
      </w:r>
    </w:p>
    <w:p w14:paraId="75FE10C7" w14:textId="77777777" w:rsidR="00F312E3" w:rsidRPr="009C3732" w:rsidRDefault="00F312E3" w:rsidP="009A097C">
      <w:pPr>
        <w:pStyle w:val="Heading7"/>
        <w:spacing w:before="240" w:after="240"/>
        <w:jc w:val="both"/>
        <w:rPr>
          <w:i w:val="0"/>
        </w:rPr>
      </w:pPr>
      <w:r w:rsidRPr="009C3732">
        <w:rPr>
          <w:i w:val="0"/>
        </w:rPr>
        <w:t>Community Welfare Act 1983</w:t>
      </w:r>
    </w:p>
    <w:p w14:paraId="2ED69576" w14:textId="77777777" w:rsidR="00F312E3" w:rsidRPr="00FF41B4" w:rsidRDefault="00F312E3" w:rsidP="00FF41B4">
      <w:pPr>
        <w:jc w:val="both"/>
      </w:pPr>
      <w:r w:rsidRPr="00FF41B4">
        <w:t xml:space="preserve">At 1 January 2003, the </w:t>
      </w:r>
      <w:r w:rsidRPr="00FF41B4">
        <w:rPr>
          <w:i/>
        </w:rPr>
        <w:t>Community Welfare Act 1983</w:t>
      </w:r>
      <w:r w:rsidRPr="00FF41B4">
        <w:t xml:space="preserve"> (No 76)</w:t>
      </w:r>
      <w:r w:rsidRPr="00FF41B4">
        <w:rPr>
          <w:rStyle w:val="FootnoteReference"/>
        </w:rPr>
        <w:footnoteReference w:id="18"/>
      </w:r>
      <w:r w:rsidRPr="00FF41B4">
        <w:t xml:space="preserve"> contained wide mandatory reporting provisions which, uniquely for Australian jurisdictions, applied to all persons (s 14); a separate provision specifically applied to police officers (s 13).</w:t>
      </w:r>
      <w:r w:rsidRPr="00FF41B4">
        <w:rPr>
          <w:rStyle w:val="FootnoteReference"/>
        </w:rPr>
        <w:footnoteReference w:id="19"/>
      </w:r>
      <w:r w:rsidRPr="00FF41B4">
        <w:t xml:space="preserve"> Section 14 required a person ‘who believes, on reasonable grounds, that a child has suffered or is suffering </w:t>
      </w:r>
      <w:proofErr w:type="gramStart"/>
      <w:r w:rsidRPr="00FF41B4">
        <w:t>maltreatment’  to</w:t>
      </w:r>
      <w:proofErr w:type="gramEnd"/>
      <w:r w:rsidRPr="00FF41B4">
        <w:t xml:space="preserve"> report it. The state of mind activating the duty was belief on reasonable grounds. Section 4(3) defined ‘maltreatment’ to include physical, emotional, psychological and sexual abuse, with a threshold of significance indicated by the concepts of ‘seriousness’, ‘severity’ and other stipulated qualifications regarding the injury caused or likely to be caused; it extended to risk of abuse and neglect to this degree (see below). It also contained a specific reference to female genital mutilation (s 4(3</w:t>
      </w:r>
      <w:proofErr w:type="gramStart"/>
      <w:r w:rsidRPr="00FF41B4">
        <w:t>)(</w:t>
      </w:r>
      <w:proofErr w:type="gramEnd"/>
      <w:r w:rsidRPr="00FF41B4">
        <w:t>e)). Because of the definition of ‘maltreatment in s 4(3), the duty applied to abuse and neglect thought to have already occurred or to be presently occurring, and to situations where there was believed to be a substantial risk of such abuse and neglect. The maximum penalty was 200 penalty units.</w:t>
      </w:r>
      <w:r w:rsidRPr="00FF41B4">
        <w:rPr>
          <w:rStyle w:val="FootnoteReference"/>
        </w:rPr>
        <w:footnoteReference w:id="20"/>
      </w:r>
      <w:r w:rsidRPr="00FF41B4">
        <w:t xml:space="preserve"> Immunity from liability for making a report </w:t>
      </w:r>
      <w:proofErr w:type="gramStart"/>
      <w:r w:rsidRPr="00FF41B4">
        <w:t>was provided</w:t>
      </w:r>
      <w:proofErr w:type="gramEnd"/>
      <w:r w:rsidRPr="00FF41B4">
        <w:t xml:space="preserve"> by s 14(2). Confidentiality </w:t>
      </w:r>
      <w:proofErr w:type="gramStart"/>
      <w:r w:rsidRPr="00FF41B4">
        <w:t>was indirectly protected</w:t>
      </w:r>
      <w:proofErr w:type="gramEnd"/>
      <w:r w:rsidRPr="00FF41B4">
        <w:t xml:space="preserve"> by s 97, although this was not as clear a protection as existed elsewhere.</w:t>
      </w:r>
    </w:p>
    <w:p w14:paraId="79308A62" w14:textId="77777777" w:rsidR="00F312E3" w:rsidRPr="00FF41B4" w:rsidRDefault="00F312E3" w:rsidP="00FF41B4">
      <w:pPr>
        <w:jc w:val="both"/>
      </w:pPr>
      <w:r w:rsidRPr="00FF41B4">
        <w:lastRenderedPageBreak/>
        <w:t>Under the definition in s 4(3) operating from 2003, a child was deemed ‘to have suffered maltreatment where –</w:t>
      </w:r>
    </w:p>
    <w:p w14:paraId="5639CC7C" w14:textId="0C3E867F" w:rsidR="00F312E3" w:rsidRPr="00FF41B4" w:rsidRDefault="00F312E3" w:rsidP="001B0227">
      <w:pPr>
        <w:pStyle w:val="ListParagraph"/>
        <w:numPr>
          <w:ilvl w:val="0"/>
          <w:numId w:val="54"/>
        </w:numPr>
        <w:jc w:val="both"/>
      </w:pPr>
      <w:r w:rsidRPr="00FF41B4">
        <w:t xml:space="preserve">he or she has suffered a physical injury causing temporary or permanent disfigurement or serious pain or has suffered impairment of a bodily function or the normal reserve or flexibility of a bodily function, inflicted or allowed to be inflicted by a parent, guardian or person having the custody of him or her or where there is substantial risk of his suffering such an injury or impairment; </w:t>
      </w:r>
    </w:p>
    <w:p w14:paraId="026686B2" w14:textId="3D7CAC60" w:rsidR="00F312E3" w:rsidRPr="00FF41B4" w:rsidRDefault="00F312E3" w:rsidP="001B0227">
      <w:pPr>
        <w:pStyle w:val="ListParagraph"/>
        <w:numPr>
          <w:ilvl w:val="0"/>
          <w:numId w:val="54"/>
        </w:numPr>
        <w:jc w:val="both"/>
      </w:pPr>
      <w:r w:rsidRPr="00FF41B4">
        <w:t xml:space="preserve">he or she has suffered serious emotional or intellectual impairment evidenced by severe psychological or social malfunctioning measured by the commonly accepted standards of the community to which he or she belongs, because of his or her physical surroundings, nutritional or other deprivation, or the emotional or social environment in which he or she is living or where there is a substantial risk that such surroundings, deprivation or environment will cause such emotional or intellectual impairment; </w:t>
      </w:r>
    </w:p>
    <w:p w14:paraId="3249FF61" w14:textId="2E76F77D" w:rsidR="00F312E3" w:rsidRPr="00FF41B4" w:rsidRDefault="00F312E3" w:rsidP="001B0227">
      <w:pPr>
        <w:pStyle w:val="ListParagraph"/>
        <w:numPr>
          <w:ilvl w:val="0"/>
          <w:numId w:val="54"/>
        </w:numPr>
        <w:jc w:val="both"/>
      </w:pPr>
      <w:r w:rsidRPr="00FF41B4">
        <w:t xml:space="preserve">he or she has suffered serious physical impairment evidenced by severe bodily malfunctioning, because of his or her physical surroundings, nutritional or other deprivation, or the emotional or social environment in which he or she is living or where there is substantial risk that such surroundings, deprivation or environment will cause such impairment; </w:t>
      </w:r>
    </w:p>
    <w:p w14:paraId="5BD7063A" w14:textId="5EE657F9" w:rsidR="00F312E3" w:rsidRPr="00FF41B4" w:rsidRDefault="00F312E3" w:rsidP="001B0227">
      <w:pPr>
        <w:pStyle w:val="ListParagraph"/>
        <w:numPr>
          <w:ilvl w:val="0"/>
          <w:numId w:val="54"/>
        </w:numPr>
        <w:jc w:val="both"/>
      </w:pPr>
      <w:r w:rsidRPr="00FF41B4">
        <w:t xml:space="preserve">he or she has been sexually abused or exploited, or where there is substantial risk of such abuse or exploitation occurring, and his or her parents, guardians or persons having the custody of him or her are unable or unwilling to protect him or her from such abuse or exploitation; or </w:t>
      </w:r>
    </w:p>
    <w:p w14:paraId="55DC52A8" w14:textId="77777777" w:rsidR="00ED7CF8" w:rsidRDefault="00F312E3" w:rsidP="001B0227">
      <w:pPr>
        <w:pStyle w:val="ListParagraph"/>
        <w:numPr>
          <w:ilvl w:val="0"/>
          <w:numId w:val="54"/>
        </w:numPr>
        <w:jc w:val="both"/>
      </w:pPr>
      <w:r w:rsidRPr="00FF41B4">
        <w:t xml:space="preserve">being a female, she – </w:t>
      </w:r>
    </w:p>
    <w:p w14:paraId="61BB7AE4" w14:textId="112AB9EE" w:rsidR="00ED7CF8" w:rsidRDefault="00F312E3" w:rsidP="001B0227">
      <w:pPr>
        <w:pStyle w:val="ListParagraph"/>
        <w:numPr>
          <w:ilvl w:val="1"/>
          <w:numId w:val="83"/>
        </w:numPr>
        <w:jc w:val="both"/>
      </w:pPr>
      <w:r w:rsidRPr="00FF41B4">
        <w:t>has been subjected, or there is substantial risk that she will be subjected, to female genital mutilation, as defined in section 186A of the Criminal Code; or</w:t>
      </w:r>
    </w:p>
    <w:p w14:paraId="6316D5AE" w14:textId="5754B973" w:rsidR="00F312E3" w:rsidRPr="00FF41B4" w:rsidRDefault="00F312E3" w:rsidP="001B0227">
      <w:pPr>
        <w:pStyle w:val="ListParagraph"/>
        <w:numPr>
          <w:ilvl w:val="1"/>
          <w:numId w:val="83"/>
        </w:numPr>
        <w:jc w:val="both"/>
      </w:pPr>
      <w:proofErr w:type="gramStart"/>
      <w:r w:rsidRPr="00FF41B4">
        <w:t>has</w:t>
      </w:r>
      <w:proofErr w:type="gramEnd"/>
      <w:r w:rsidRPr="00FF41B4">
        <w:t xml:space="preserve"> been taken, or there is a substantial risk that she will be taken, from the Territory with the intention of having female genital mutilation performed on her.’</w:t>
      </w:r>
    </w:p>
    <w:p w14:paraId="7E1062A7" w14:textId="77777777" w:rsidR="00F312E3" w:rsidRPr="0052480C" w:rsidRDefault="00F312E3" w:rsidP="00FF41B4">
      <w:pPr>
        <w:pStyle w:val="Heading6"/>
        <w:jc w:val="both"/>
      </w:pPr>
      <w:r>
        <w:t xml:space="preserve">1.5.3.2. </w:t>
      </w:r>
      <w:r w:rsidRPr="0052480C">
        <w:t>Key changes, 2003-12: Northern Territory</w:t>
      </w:r>
    </w:p>
    <w:p w14:paraId="55A596D4" w14:textId="77777777" w:rsidR="00F312E3" w:rsidRPr="00AD2247" w:rsidRDefault="00F312E3" w:rsidP="00FF41B4">
      <w:pPr>
        <w:spacing w:after="240"/>
        <w:jc w:val="both"/>
      </w:pPr>
      <w:proofErr w:type="gramStart"/>
      <w:r w:rsidRPr="00AD2247">
        <w:lastRenderedPageBreak/>
        <w:t xml:space="preserve">The </w:t>
      </w:r>
      <w:r w:rsidRPr="00AD2247">
        <w:rPr>
          <w:i/>
        </w:rPr>
        <w:t>Community Welfare Act 1983</w:t>
      </w:r>
      <w:r w:rsidRPr="00AD2247">
        <w:t xml:space="preserve"> was amended by several Acts</w:t>
      </w:r>
      <w:proofErr w:type="gramEnd"/>
      <w:r w:rsidRPr="00AD2247">
        <w:t xml:space="preserve"> until 2007, but not substantially.</w:t>
      </w:r>
      <w:r w:rsidRPr="00AD2247">
        <w:rPr>
          <w:rStyle w:val="FootnoteReference"/>
        </w:rPr>
        <w:footnoteReference w:id="21"/>
      </w:r>
    </w:p>
    <w:p w14:paraId="4C982E16" w14:textId="77777777" w:rsidR="00F312E3" w:rsidRPr="009C3732" w:rsidRDefault="00F312E3" w:rsidP="009A097C">
      <w:pPr>
        <w:pStyle w:val="Heading7"/>
        <w:spacing w:after="240"/>
        <w:jc w:val="both"/>
        <w:rPr>
          <w:i w:val="0"/>
        </w:rPr>
      </w:pPr>
      <w:r w:rsidRPr="009C3732">
        <w:rPr>
          <w:i w:val="0"/>
        </w:rPr>
        <w:t>Major change from ‘maltreatment’ to ‘harm’ and inclusion of exposure to physical violence (commencing 8 December 2008)</w:t>
      </w:r>
    </w:p>
    <w:p w14:paraId="052CF17D" w14:textId="77777777" w:rsidR="00F312E3" w:rsidRPr="00AD2247" w:rsidRDefault="00F312E3" w:rsidP="00FF41B4">
      <w:pPr>
        <w:jc w:val="both"/>
      </w:pPr>
      <w:r w:rsidRPr="00AD2247">
        <w:t xml:space="preserve">The </w:t>
      </w:r>
      <w:r w:rsidRPr="00AD2247">
        <w:rPr>
          <w:i/>
        </w:rPr>
        <w:t>Care and Protection of Children Act 2007 (Act 37)</w:t>
      </w:r>
      <w:r w:rsidRPr="00AD2247">
        <w:t xml:space="preserve"> received assent on 12 December 2007, and Chapter 2 Part 2.1 (the new mandatory reporting provisions) commenced on 8 December 2008.</w:t>
      </w:r>
      <w:r w:rsidRPr="00AD2247">
        <w:rPr>
          <w:rStyle w:val="FootnoteReference"/>
        </w:rPr>
        <w:footnoteReference w:id="22"/>
      </w:r>
      <w:r w:rsidRPr="00AD2247">
        <w:t xml:space="preserve"> Until then, the MR provisions in the CWA effectively continued. From 8 December 2008, the key provisions in the </w:t>
      </w:r>
      <w:r w:rsidRPr="00AD2247">
        <w:rPr>
          <w:i/>
        </w:rPr>
        <w:t xml:space="preserve">Care and Protection of Children Act 2007 </w:t>
      </w:r>
      <w:r w:rsidRPr="00AD2247">
        <w:t xml:space="preserve">applied, replacing the former </w:t>
      </w:r>
      <w:r w:rsidRPr="00AD2247">
        <w:rPr>
          <w:i/>
        </w:rPr>
        <w:t>Community Welfare Act 1983</w:t>
      </w:r>
      <w:r w:rsidRPr="00AD2247">
        <w:t xml:space="preserve">. </w:t>
      </w:r>
    </w:p>
    <w:p w14:paraId="283906AD" w14:textId="77777777" w:rsidR="00F312E3" w:rsidRPr="00AD2247" w:rsidRDefault="00F312E3" w:rsidP="00FF41B4">
      <w:pPr>
        <w:jc w:val="both"/>
      </w:pPr>
      <w:r w:rsidRPr="00AD2247">
        <w:t xml:space="preserve">These new provisions in the </w:t>
      </w:r>
      <w:r w:rsidRPr="00AD2247">
        <w:rPr>
          <w:i/>
        </w:rPr>
        <w:t xml:space="preserve">Care and Protection of Children Act 2007 </w:t>
      </w:r>
      <w:r w:rsidRPr="00AD2247">
        <w:t>had the following effects:</w:t>
      </w:r>
    </w:p>
    <w:p w14:paraId="2EC1F284" w14:textId="77777777" w:rsidR="00F312E3" w:rsidRPr="00AD2247" w:rsidRDefault="00F312E3" w:rsidP="00FF41B4">
      <w:pPr>
        <w:pStyle w:val="ListParagraph"/>
        <w:numPr>
          <w:ilvl w:val="0"/>
          <w:numId w:val="44"/>
        </w:numPr>
        <w:spacing w:before="0"/>
        <w:jc w:val="both"/>
      </w:pPr>
      <w:r w:rsidRPr="00AD2247">
        <w:t xml:space="preserve">The </w:t>
      </w:r>
      <w:r w:rsidRPr="00AD2247">
        <w:rPr>
          <w:b/>
        </w:rPr>
        <w:t>key change</w:t>
      </w:r>
      <w:r w:rsidRPr="00AD2247">
        <w:t xml:space="preserve"> was replacing the concept of maltreatment with the concept of </w:t>
      </w:r>
      <w:r w:rsidRPr="00AD2247">
        <w:rPr>
          <w:b/>
        </w:rPr>
        <w:t xml:space="preserve">‘harm’, </w:t>
      </w:r>
      <w:r w:rsidRPr="00AD2247">
        <w:t>which was defined very broadly in s 15 (including exposure of a child to domestic violence, provided the harm threshold was reached).</w:t>
      </w:r>
      <w:r w:rsidRPr="00AD2247">
        <w:rPr>
          <w:b/>
        </w:rPr>
        <w:t xml:space="preserve"> </w:t>
      </w:r>
      <w:r w:rsidRPr="00AD2247">
        <w:t xml:space="preserve">‘Harm’ was defined as: </w:t>
      </w:r>
    </w:p>
    <w:p w14:paraId="6181795C" w14:textId="60648301" w:rsidR="00F312E3" w:rsidRPr="00AD2247" w:rsidRDefault="00F312E3" w:rsidP="00CB4993">
      <w:pPr>
        <w:pStyle w:val="ListParagraph"/>
        <w:numPr>
          <w:ilvl w:val="2"/>
          <w:numId w:val="30"/>
        </w:numPr>
        <w:jc w:val="both"/>
      </w:pPr>
      <w:r w:rsidRPr="00AD2247">
        <w:rPr>
          <w:b/>
        </w:rPr>
        <w:t>any significant detrimental effect</w:t>
      </w:r>
      <w:r w:rsidRPr="00AD2247">
        <w:t xml:space="preserve"> caused by any act, omission or circumstance on:</w:t>
      </w:r>
    </w:p>
    <w:p w14:paraId="3F199C3C" w14:textId="4F541E4D" w:rsidR="00F312E3" w:rsidRPr="00AD2247" w:rsidRDefault="00F312E3" w:rsidP="001B0227">
      <w:pPr>
        <w:pStyle w:val="ListParagraph"/>
        <w:numPr>
          <w:ilvl w:val="2"/>
          <w:numId w:val="56"/>
        </w:numPr>
        <w:jc w:val="both"/>
      </w:pPr>
      <w:r w:rsidRPr="00AD2247">
        <w:t xml:space="preserve">the physical, psychological or emotional </w:t>
      </w:r>
      <w:r w:rsidRPr="00AD2247">
        <w:rPr>
          <w:b/>
        </w:rPr>
        <w:t>wellbeing</w:t>
      </w:r>
      <w:r w:rsidRPr="00AD2247">
        <w:t xml:space="preserve"> of the child; or</w:t>
      </w:r>
    </w:p>
    <w:p w14:paraId="548B6D28" w14:textId="33C67758" w:rsidR="00F312E3" w:rsidRPr="00AD2247" w:rsidRDefault="00F312E3" w:rsidP="001B0227">
      <w:pPr>
        <w:pStyle w:val="ListParagraph"/>
        <w:numPr>
          <w:ilvl w:val="2"/>
          <w:numId w:val="56"/>
        </w:numPr>
        <w:jc w:val="both"/>
      </w:pPr>
      <w:proofErr w:type="gramStart"/>
      <w:r w:rsidRPr="00AD2247">
        <w:t>the</w:t>
      </w:r>
      <w:proofErr w:type="gramEnd"/>
      <w:r w:rsidRPr="00AD2247">
        <w:t xml:space="preserve"> physical, psychological or emotional </w:t>
      </w:r>
      <w:r w:rsidRPr="00AD2247">
        <w:rPr>
          <w:b/>
        </w:rPr>
        <w:t>development</w:t>
      </w:r>
      <w:r w:rsidRPr="00AD2247">
        <w:t xml:space="preserve"> of the child.</w:t>
      </w:r>
    </w:p>
    <w:p w14:paraId="03E77CB0" w14:textId="5FDD3585" w:rsidR="00F312E3" w:rsidRPr="00AD2247" w:rsidRDefault="00F312E3" w:rsidP="00CB4993">
      <w:pPr>
        <w:pStyle w:val="ListParagraph"/>
        <w:numPr>
          <w:ilvl w:val="2"/>
          <w:numId w:val="30"/>
        </w:numPr>
        <w:jc w:val="both"/>
      </w:pPr>
      <w:r w:rsidRPr="00AD2247">
        <w:t>Without limiting subsection (1), harm can be caused by the following:</w:t>
      </w:r>
    </w:p>
    <w:p w14:paraId="62A727A7" w14:textId="445B2541" w:rsidR="00F312E3" w:rsidRPr="00AD2247" w:rsidRDefault="00F312E3" w:rsidP="001B0227">
      <w:pPr>
        <w:pStyle w:val="ListParagraph"/>
        <w:numPr>
          <w:ilvl w:val="0"/>
          <w:numId w:val="57"/>
        </w:numPr>
        <w:jc w:val="both"/>
      </w:pPr>
      <w:r w:rsidRPr="00AD2247">
        <w:t>physical, psychological or emotional abuse or neglect of the child;</w:t>
      </w:r>
    </w:p>
    <w:p w14:paraId="41A928F4" w14:textId="4DB213A3" w:rsidR="00F312E3" w:rsidRPr="00AD2247" w:rsidRDefault="00F312E3" w:rsidP="001B0227">
      <w:pPr>
        <w:pStyle w:val="ListParagraph"/>
        <w:numPr>
          <w:ilvl w:val="0"/>
          <w:numId w:val="57"/>
        </w:numPr>
        <w:jc w:val="both"/>
      </w:pPr>
      <w:r w:rsidRPr="00AD2247">
        <w:t>sexual abuse or other exploitation of the child;</w:t>
      </w:r>
    </w:p>
    <w:p w14:paraId="1194F914" w14:textId="43A8255D" w:rsidR="00F312E3" w:rsidRPr="00AD2247" w:rsidRDefault="00F312E3" w:rsidP="001B0227">
      <w:pPr>
        <w:pStyle w:val="ListParagraph"/>
        <w:numPr>
          <w:ilvl w:val="0"/>
          <w:numId w:val="57"/>
        </w:numPr>
        <w:jc w:val="both"/>
      </w:pPr>
      <w:proofErr w:type="gramStart"/>
      <w:r w:rsidRPr="00AD2247">
        <w:rPr>
          <w:b/>
        </w:rPr>
        <w:t>exposure</w:t>
      </w:r>
      <w:proofErr w:type="gramEnd"/>
      <w:r w:rsidRPr="00AD2247">
        <w:rPr>
          <w:b/>
        </w:rPr>
        <w:t xml:space="preserve"> of the child to physical violence</w:t>
      </w:r>
      <w:r w:rsidRPr="00AD2247">
        <w:t>.</w:t>
      </w:r>
    </w:p>
    <w:p w14:paraId="1B241EFA" w14:textId="77777777" w:rsidR="00F312E3" w:rsidRPr="00AD2247" w:rsidRDefault="00F312E3" w:rsidP="00FF41B4">
      <w:pPr>
        <w:pStyle w:val="ListParagraph"/>
        <w:numPr>
          <w:ilvl w:val="0"/>
          <w:numId w:val="44"/>
        </w:numPr>
        <w:spacing w:before="0"/>
        <w:ind w:left="284" w:hanging="284"/>
        <w:jc w:val="both"/>
      </w:pPr>
      <w:proofErr w:type="gramStart"/>
      <w:r w:rsidRPr="00AD2247">
        <w:t xml:space="preserve">Defining </w:t>
      </w:r>
      <w:r w:rsidRPr="00AD2247">
        <w:rPr>
          <w:b/>
        </w:rPr>
        <w:t>‘exploitation’</w:t>
      </w:r>
      <w:r w:rsidRPr="00AD2247">
        <w:t xml:space="preserve"> (s 16) to include sexual and other forms of exploitation of the child.</w:t>
      </w:r>
      <w:proofErr w:type="gramEnd"/>
      <w:r w:rsidRPr="00AD2247">
        <w:t xml:space="preserve"> Section 16(2) non-exhaustively defined sexual exploitation as including (a) sexual abuse; and (b) involving the child as a participant or spectator in (</w:t>
      </w:r>
      <w:proofErr w:type="spellStart"/>
      <w:r w:rsidRPr="00AD2247">
        <w:t>i</w:t>
      </w:r>
      <w:proofErr w:type="spellEnd"/>
      <w:r w:rsidRPr="00AD2247">
        <w:t xml:space="preserve">) </w:t>
      </w:r>
      <w:proofErr w:type="gramStart"/>
      <w:r w:rsidRPr="00AD2247">
        <w:t>An</w:t>
      </w:r>
      <w:proofErr w:type="gramEnd"/>
      <w:r w:rsidRPr="00AD2247">
        <w:t xml:space="preserve"> act of a sexual nature; (ii) Prostitution; or (iii) A pornographic performance.</w:t>
      </w:r>
    </w:p>
    <w:p w14:paraId="53C524D3" w14:textId="77777777" w:rsidR="00F312E3" w:rsidRPr="00AD2247" w:rsidRDefault="00F312E3" w:rsidP="00FF41B4">
      <w:pPr>
        <w:pStyle w:val="ListParagraph"/>
        <w:numPr>
          <w:ilvl w:val="0"/>
          <w:numId w:val="43"/>
        </w:numPr>
        <w:spacing w:before="0"/>
        <w:ind w:left="284" w:hanging="284"/>
        <w:jc w:val="both"/>
      </w:pPr>
      <w:r w:rsidRPr="00AD2247">
        <w:t>Placing the reporting duty in s 26 in the following terms:</w:t>
      </w:r>
    </w:p>
    <w:p w14:paraId="4D22A1D8" w14:textId="2E2E01B4" w:rsidR="00F312E3" w:rsidRPr="00AD2247" w:rsidRDefault="00F312E3" w:rsidP="001B0227">
      <w:pPr>
        <w:pStyle w:val="ListParagraph"/>
        <w:numPr>
          <w:ilvl w:val="1"/>
          <w:numId w:val="57"/>
        </w:numPr>
        <w:jc w:val="both"/>
      </w:pPr>
      <w:r w:rsidRPr="00AD2247">
        <w:t>A person is guilty of an offence if the person:</w:t>
      </w:r>
    </w:p>
    <w:p w14:paraId="44A7CA96" w14:textId="33C832EC" w:rsidR="00F312E3" w:rsidRPr="00AD2247" w:rsidRDefault="00F312E3" w:rsidP="001B0227">
      <w:pPr>
        <w:pStyle w:val="ListParagraph"/>
        <w:numPr>
          <w:ilvl w:val="0"/>
          <w:numId w:val="58"/>
        </w:numPr>
        <w:jc w:val="both"/>
      </w:pPr>
      <w:r w:rsidRPr="00AD2247">
        <w:t>believes, on reasonable grounds, that a child:</w:t>
      </w:r>
    </w:p>
    <w:p w14:paraId="7413C4A4" w14:textId="64D9E4CE" w:rsidR="00F312E3" w:rsidRPr="00AD2247" w:rsidRDefault="00F312E3" w:rsidP="001B0227">
      <w:pPr>
        <w:pStyle w:val="ListParagraph"/>
        <w:numPr>
          <w:ilvl w:val="0"/>
          <w:numId w:val="59"/>
        </w:numPr>
        <w:jc w:val="both"/>
      </w:pPr>
      <w:r w:rsidRPr="00AD2247">
        <w:t>has been or is likely to be a victim of a sexual offence; or</w:t>
      </w:r>
    </w:p>
    <w:p w14:paraId="356BB3DA" w14:textId="044D4B1F" w:rsidR="00F312E3" w:rsidRPr="00AD2247" w:rsidRDefault="00F312E3" w:rsidP="001B0227">
      <w:pPr>
        <w:pStyle w:val="ListParagraph"/>
        <w:numPr>
          <w:ilvl w:val="0"/>
          <w:numId w:val="59"/>
        </w:numPr>
        <w:jc w:val="both"/>
      </w:pPr>
      <w:r w:rsidRPr="00AD2247">
        <w:t>otherwise has suffered or is likely to suffer harm or exploitation; and</w:t>
      </w:r>
    </w:p>
    <w:p w14:paraId="7FDF77CD" w14:textId="3DB8EF4B" w:rsidR="00F312E3" w:rsidRPr="00AD2247" w:rsidRDefault="00F312E3" w:rsidP="001B0227">
      <w:pPr>
        <w:pStyle w:val="ListParagraph"/>
        <w:numPr>
          <w:ilvl w:val="0"/>
          <w:numId w:val="58"/>
        </w:numPr>
        <w:jc w:val="both"/>
      </w:pPr>
      <w:proofErr w:type="gramStart"/>
      <w:r w:rsidRPr="00AD2247">
        <w:lastRenderedPageBreak/>
        <w:t>does</w:t>
      </w:r>
      <w:proofErr w:type="gramEnd"/>
      <w:r w:rsidRPr="00AD2247">
        <w:t xml:space="preserve"> not, as soon as possible after forming that belief, report (orally or in writing) to the CEO or a police officer. </w:t>
      </w:r>
    </w:p>
    <w:p w14:paraId="3B03E9DC" w14:textId="77777777" w:rsidR="00F312E3" w:rsidRPr="00AD2247" w:rsidRDefault="00F312E3" w:rsidP="00FF41B4">
      <w:pPr>
        <w:pStyle w:val="ListParagraph"/>
        <w:numPr>
          <w:ilvl w:val="0"/>
          <w:numId w:val="43"/>
        </w:numPr>
        <w:spacing w:before="0"/>
        <w:ind w:left="284" w:hanging="284"/>
        <w:jc w:val="both"/>
      </w:pPr>
      <w:r w:rsidRPr="00AD2247">
        <w:t xml:space="preserve">Immunity from proceedings </w:t>
      </w:r>
      <w:proofErr w:type="gramStart"/>
      <w:r w:rsidRPr="00AD2247">
        <w:t>was provided</w:t>
      </w:r>
      <w:proofErr w:type="gramEnd"/>
      <w:r w:rsidRPr="00AD2247">
        <w:t xml:space="preserve"> by s 27. Confidentiality </w:t>
      </w:r>
      <w:proofErr w:type="gramStart"/>
      <w:r w:rsidRPr="00AD2247">
        <w:t>was indirectly protected</w:t>
      </w:r>
      <w:proofErr w:type="gramEnd"/>
      <w:r w:rsidRPr="00AD2247">
        <w:t xml:space="preserve"> by s 97, although this was not as clear a protection as existed elsewhere. The maximum penalty was 200 penalty units.</w:t>
      </w:r>
    </w:p>
    <w:p w14:paraId="202F7677" w14:textId="77777777" w:rsidR="00F312E3" w:rsidRPr="00AD2247" w:rsidRDefault="00F312E3" w:rsidP="00FF41B4">
      <w:pPr>
        <w:spacing w:after="240"/>
        <w:jc w:val="both"/>
      </w:pPr>
      <w:r w:rsidRPr="00AD2247">
        <w:t xml:space="preserve">The new concepts and definitions of harm are arguably broader than the previous concept of maltreatment and the definitions of it. This </w:t>
      </w:r>
      <w:proofErr w:type="gramStart"/>
      <w:r w:rsidRPr="00AD2247">
        <w:t>may be expected</w:t>
      </w:r>
      <w:proofErr w:type="gramEnd"/>
      <w:r w:rsidRPr="00AD2247">
        <w:t xml:space="preserve"> to have produced an increase in reports in most categories, and especially for the new category of exposure to physical violence.</w:t>
      </w:r>
    </w:p>
    <w:p w14:paraId="57E06907" w14:textId="77777777" w:rsidR="00F312E3" w:rsidRPr="009C3732" w:rsidRDefault="00F312E3" w:rsidP="00FF41B4">
      <w:pPr>
        <w:pStyle w:val="Heading7"/>
        <w:jc w:val="both"/>
        <w:rPr>
          <w:i w:val="0"/>
        </w:rPr>
      </w:pPr>
      <w:r w:rsidRPr="009C3732">
        <w:rPr>
          <w:i w:val="0"/>
        </w:rPr>
        <w:t>Further significant change regarding sexual abuse reporting (commencing 1 September 2009)</w:t>
      </w:r>
    </w:p>
    <w:p w14:paraId="572A1B6A" w14:textId="77777777" w:rsidR="00F312E3" w:rsidRPr="00AD2247" w:rsidRDefault="00F312E3" w:rsidP="00FF41B4">
      <w:pPr>
        <w:jc w:val="both"/>
      </w:pPr>
      <w:r w:rsidRPr="00AD2247">
        <w:t xml:space="preserve">The </w:t>
      </w:r>
      <w:r w:rsidRPr="00AD2247">
        <w:rPr>
          <w:i/>
        </w:rPr>
        <w:t>Care and Protection of Children Amendment Act 2009 (Act 23)</w:t>
      </w:r>
      <w:r w:rsidRPr="00AD2247">
        <w:t xml:space="preserve"> repealed and substituted s 26. This had the effect </w:t>
      </w:r>
      <w:proofErr w:type="gramStart"/>
      <w:r w:rsidRPr="00AD2247">
        <w:t>of</w:t>
      </w:r>
      <w:proofErr w:type="gramEnd"/>
      <w:r w:rsidRPr="00AD2247">
        <w:t>:</w:t>
      </w:r>
      <w:r w:rsidRPr="00AD2247">
        <w:rPr>
          <w:rStyle w:val="FootnoteReference"/>
        </w:rPr>
        <w:t xml:space="preserve"> </w:t>
      </w:r>
      <w:r w:rsidRPr="00AD2247">
        <w:rPr>
          <w:rStyle w:val="FootnoteReference"/>
        </w:rPr>
        <w:footnoteReference w:id="23"/>
      </w:r>
    </w:p>
    <w:p w14:paraId="056AA49A" w14:textId="77777777" w:rsidR="00F312E3" w:rsidRPr="00AD2247" w:rsidRDefault="00F312E3" w:rsidP="00FF41B4">
      <w:pPr>
        <w:pStyle w:val="ListParagraph"/>
        <w:numPr>
          <w:ilvl w:val="0"/>
          <w:numId w:val="46"/>
        </w:numPr>
        <w:spacing w:before="0"/>
        <w:ind w:left="360"/>
        <w:jc w:val="both"/>
      </w:pPr>
      <w:r w:rsidRPr="00AD2247">
        <w:lastRenderedPageBreak/>
        <w:t>Simplifying but not substantially altering the primary existing reporting duty</w:t>
      </w:r>
    </w:p>
    <w:p w14:paraId="67395B6B" w14:textId="77777777" w:rsidR="00F312E3" w:rsidRPr="00AD2247" w:rsidRDefault="00F312E3" w:rsidP="00FF41B4">
      <w:pPr>
        <w:pStyle w:val="ListParagraph"/>
        <w:numPr>
          <w:ilvl w:val="0"/>
          <w:numId w:val="46"/>
        </w:numPr>
        <w:spacing w:before="0"/>
        <w:ind w:left="360"/>
        <w:jc w:val="both"/>
      </w:pPr>
      <w:r w:rsidRPr="00AD2247">
        <w:t>Adding duties regarding selected sexual abuse scenarios as follows:</w:t>
      </w:r>
    </w:p>
    <w:p w14:paraId="1E750FE9" w14:textId="77777777" w:rsidR="00F312E3" w:rsidRPr="00AD2247" w:rsidRDefault="00F312E3" w:rsidP="00FF41B4">
      <w:pPr>
        <w:pStyle w:val="ListParagraph"/>
        <w:numPr>
          <w:ilvl w:val="0"/>
          <w:numId w:val="45"/>
        </w:numPr>
        <w:spacing w:before="0"/>
        <w:jc w:val="both"/>
      </w:pPr>
      <w:r w:rsidRPr="00AD2247">
        <w:t xml:space="preserve">Adding a secondary reporting duty regarding a belief on reasonable grounds that a child aged </w:t>
      </w:r>
      <w:r w:rsidRPr="00AD2247">
        <w:rPr>
          <w:b/>
        </w:rPr>
        <w:t>less than 14</w:t>
      </w:r>
      <w:r w:rsidRPr="00AD2247">
        <w:t xml:space="preserve"> has been or is likely to be a victim of a sexual offence,</w:t>
      </w:r>
      <w:r w:rsidRPr="00AD2247">
        <w:rPr>
          <w:rStyle w:val="FootnoteReference"/>
        </w:rPr>
        <w:footnoteReference w:id="24"/>
      </w:r>
      <w:r w:rsidRPr="00AD2247">
        <w:t xml:space="preserve"> or an offence against s 128 of the Criminal Code (a child 16-17 years old and under the offender’s special care </w:t>
      </w:r>
      <w:proofErr w:type="spellStart"/>
      <w:r w:rsidRPr="00AD2247">
        <w:t>eg</w:t>
      </w:r>
      <w:proofErr w:type="spellEnd"/>
      <w:r w:rsidRPr="00AD2247">
        <w:t xml:space="preserve"> teacher or step-parent)</w:t>
      </w:r>
    </w:p>
    <w:p w14:paraId="0BF010AD" w14:textId="77777777" w:rsidR="00F312E3" w:rsidRPr="00AD2247" w:rsidRDefault="00F312E3" w:rsidP="00FF41B4">
      <w:pPr>
        <w:pStyle w:val="ListParagraph"/>
        <w:numPr>
          <w:ilvl w:val="0"/>
          <w:numId w:val="45"/>
        </w:numPr>
        <w:spacing w:before="0"/>
        <w:jc w:val="both"/>
        <w:rPr>
          <w:b/>
        </w:rPr>
      </w:pPr>
      <w:r w:rsidRPr="00AD2247">
        <w:t xml:space="preserve">Adding a reporting duty for health practitioners, and others performing work of a kind prescribed by regulation, who believe on reasonable grounds that a child </w:t>
      </w:r>
      <w:r w:rsidRPr="00AD2247">
        <w:rPr>
          <w:b/>
        </w:rPr>
        <w:t xml:space="preserve">aged 14 but less than 16 </w:t>
      </w:r>
      <w:r w:rsidRPr="00AD2247">
        <w:t>has been or is likely to be a victim of a sexual offence and the difference in age between the child and alleged offender is more than 2 years.</w:t>
      </w:r>
    </w:p>
    <w:p w14:paraId="13BC64B6" w14:textId="77777777" w:rsidR="00F312E3" w:rsidRPr="00AD2247" w:rsidRDefault="00F312E3" w:rsidP="00FF41B4">
      <w:pPr>
        <w:jc w:val="both"/>
      </w:pPr>
      <w:r w:rsidRPr="00AD2247">
        <w:t xml:space="preserve">This, together with the context accompanying the legislative change, </w:t>
      </w:r>
      <w:proofErr w:type="gramStart"/>
      <w:r w:rsidRPr="00AD2247">
        <w:t>may be expected</w:t>
      </w:r>
      <w:proofErr w:type="gramEnd"/>
      <w:r w:rsidRPr="00AD2247">
        <w:t xml:space="preserve"> to have produced a significant increase in reports of sexual abuse from September 2009.</w:t>
      </w:r>
    </w:p>
    <w:p w14:paraId="3D7065DF" w14:textId="77777777" w:rsidR="00F312E3" w:rsidRPr="00AD2247" w:rsidRDefault="00F312E3" w:rsidP="00FF41B4">
      <w:pPr>
        <w:jc w:val="both"/>
        <w:sectPr w:rsidR="00F312E3" w:rsidRPr="00AD2247" w:rsidSect="00D650B4">
          <w:pgSz w:w="11900" w:h="16840"/>
          <w:pgMar w:top="1134" w:right="1134" w:bottom="1134" w:left="1134" w:header="708" w:footer="708" w:gutter="0"/>
          <w:cols w:space="708"/>
          <w:docGrid w:linePitch="360"/>
        </w:sectPr>
      </w:pPr>
    </w:p>
    <w:p w14:paraId="1C00E7FE" w14:textId="77777777" w:rsidR="00F312E3" w:rsidRPr="00342FC2" w:rsidRDefault="00F312E3" w:rsidP="00FF41B4">
      <w:pPr>
        <w:pStyle w:val="Heading7"/>
        <w:jc w:val="both"/>
      </w:pPr>
      <w:r w:rsidRPr="00342FC2">
        <w:lastRenderedPageBreak/>
        <w:t>Figure 1.3: Timeline showing key developments, Northern Territory, 2003-2012</w:t>
      </w:r>
    </w:p>
    <w:p w14:paraId="69D0B5CA" w14:textId="77777777" w:rsidR="00F312E3" w:rsidRPr="0052480C" w:rsidRDefault="00F312E3" w:rsidP="00FF41B4">
      <w:pPr>
        <w:jc w:val="both"/>
        <w:rPr>
          <w:rFonts w:asciiTheme="majorHAnsi" w:hAnsiTheme="majorHAnsi"/>
        </w:rPr>
      </w:pPr>
    </w:p>
    <w:p w14:paraId="06DB0145" w14:textId="77777777" w:rsidR="00F312E3" w:rsidRPr="0052480C" w:rsidRDefault="00F312E3" w:rsidP="00FF41B4">
      <w:pPr>
        <w:jc w:val="both"/>
        <w:rPr>
          <w:rFonts w:asciiTheme="majorHAnsi" w:hAnsiTheme="majorHAnsi"/>
        </w:rPr>
      </w:pPr>
      <w:r>
        <w:rPr>
          <w:rFonts w:asciiTheme="majorHAnsi" w:hAnsiTheme="majorHAnsi"/>
          <w:noProof/>
          <w:lang w:eastAsia="en-AU"/>
        </w:rPr>
        <w:drawing>
          <wp:inline distT="0" distB="0" distL="0" distR="0" wp14:anchorId="1E1C010B" wp14:editId="42EF8A79">
            <wp:extent cx="9248775" cy="3629025"/>
            <wp:effectExtent l="0" t="0" r="9525" b="9525"/>
            <wp:docPr id="13" name="Picture 3" descr="Shows that in the Northern Territory since 2003 all citizens have been mandated to report all forms of abuse and neglect. In 2008 this reporting duty was extended by a change from “maltreatment” to harm and inclusion of a duty to report exposure to physical violenc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line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1ACC6359" w14:textId="77777777" w:rsidR="00F312E3" w:rsidRPr="0052480C" w:rsidRDefault="00F312E3" w:rsidP="00FF41B4">
      <w:pPr>
        <w:jc w:val="both"/>
        <w:rPr>
          <w:rFonts w:asciiTheme="majorHAnsi" w:hAnsiTheme="majorHAnsi"/>
        </w:rPr>
        <w:sectPr w:rsidR="00F312E3" w:rsidRPr="0052480C" w:rsidSect="00D650B4">
          <w:pgSz w:w="16838" w:h="11906" w:orient="landscape"/>
          <w:pgMar w:top="1134" w:right="1134" w:bottom="1134" w:left="1134" w:header="709" w:footer="709" w:gutter="0"/>
          <w:cols w:space="708"/>
          <w:docGrid w:linePitch="360"/>
        </w:sectPr>
      </w:pPr>
    </w:p>
    <w:p w14:paraId="2E0C1869" w14:textId="77777777" w:rsidR="00F312E3" w:rsidRPr="0052480C" w:rsidRDefault="00F312E3" w:rsidP="00FF41B4">
      <w:pPr>
        <w:pStyle w:val="Heading5"/>
        <w:jc w:val="both"/>
      </w:pPr>
      <w:bookmarkStart w:id="38" w:name="_Toc400110672"/>
      <w:r>
        <w:lastRenderedPageBreak/>
        <w:t xml:space="preserve">1.5.4. </w:t>
      </w:r>
      <w:r w:rsidRPr="0052480C">
        <w:t>Queensland</w:t>
      </w:r>
      <w:bookmarkEnd w:id="38"/>
      <w:r w:rsidRPr="0052480C">
        <w:t xml:space="preserve"> </w:t>
      </w:r>
    </w:p>
    <w:p w14:paraId="21114E23" w14:textId="77777777" w:rsidR="00F312E3" w:rsidRPr="0052480C" w:rsidRDefault="00F312E3" w:rsidP="00FF41B4">
      <w:pPr>
        <w:pStyle w:val="Heading6"/>
        <w:jc w:val="both"/>
      </w:pPr>
      <w:r>
        <w:t xml:space="preserve">1.5.4.1. </w:t>
      </w:r>
      <w:r w:rsidRPr="0052480C">
        <w:t>Original position at 1 January 2003: Queensland</w:t>
      </w:r>
    </w:p>
    <w:p w14:paraId="2FEF4DF6" w14:textId="77777777" w:rsidR="00F312E3" w:rsidRPr="009C3732" w:rsidRDefault="00F312E3" w:rsidP="00342FC2">
      <w:pPr>
        <w:pStyle w:val="Heading7"/>
        <w:spacing w:before="240" w:after="240"/>
        <w:jc w:val="both"/>
        <w:rPr>
          <w:i w:val="0"/>
        </w:rPr>
      </w:pPr>
      <w:r w:rsidRPr="009C3732">
        <w:rPr>
          <w:i w:val="0"/>
        </w:rPr>
        <w:t>Health Act 1937 (Qld): Original legislation for doctors</w:t>
      </w:r>
    </w:p>
    <w:p w14:paraId="0A8EA785" w14:textId="77777777" w:rsidR="00F312E3" w:rsidRPr="00AD2247" w:rsidRDefault="00F312E3" w:rsidP="00FF41B4">
      <w:pPr>
        <w:jc w:val="both"/>
      </w:pPr>
      <w:r w:rsidRPr="00AD2247">
        <w:t xml:space="preserve">At 1 January 2003, doctors were the only profession in Queensland who had any form of mandatory reporting duty. The duty was in the </w:t>
      </w:r>
      <w:r w:rsidRPr="00AD2247">
        <w:rPr>
          <w:i/>
        </w:rPr>
        <w:t>Health Act 1937</w:t>
      </w:r>
      <w:r w:rsidRPr="00AD2247">
        <w:t xml:space="preserve"> (Qld) </w:t>
      </w:r>
      <w:proofErr w:type="gramStart"/>
      <w:r w:rsidRPr="00AD2247">
        <w:t>s76K(</w:t>
      </w:r>
      <w:proofErr w:type="gramEnd"/>
      <w:r w:rsidRPr="00AD2247">
        <w:t>1). The provision was unlike any other in Australia. The provision required a ‘medical practitioner’ who suspects on reasonable grounds the ‘maltreatment or neglect of a child in such a manner as to subject or be likely to subject the child to unnecessary injury, suffering or danger’ to report within 24 hours to a person authorised under a regulation to be notified.</w:t>
      </w:r>
      <w:r w:rsidRPr="00AD2247">
        <w:rPr>
          <w:rStyle w:val="FootnoteReference"/>
        </w:rPr>
        <w:footnoteReference w:id="25"/>
      </w:r>
      <w:r w:rsidRPr="00AD2247">
        <w:t xml:space="preserve"> Apart from the stated concepts of ‘unnecessary injury, suffering or danger’, the terms ‘maltreatment’ and ‘neglect’ </w:t>
      </w:r>
      <w:proofErr w:type="gramStart"/>
      <w:r w:rsidRPr="00AD2247">
        <w:t>were not defined</w:t>
      </w:r>
      <w:proofErr w:type="gramEnd"/>
      <w:r w:rsidRPr="00AD2247">
        <w:t xml:space="preserve">. The terms ‘unnecessary injury, suffering or danger’ were not otherwise defined. ‘Child’ </w:t>
      </w:r>
      <w:proofErr w:type="gramStart"/>
      <w:r w:rsidRPr="00AD2247">
        <w:t>was defined</w:t>
      </w:r>
      <w:proofErr w:type="gramEnd"/>
      <w:r w:rsidRPr="00AD2247">
        <w:t xml:space="preserve"> as a person under the age of 17 (s 76M). Immunity from proceedings was conferred by </w:t>
      </w:r>
      <w:proofErr w:type="spellStart"/>
      <w:r w:rsidRPr="00AD2247">
        <w:t>ss</w:t>
      </w:r>
      <w:proofErr w:type="spellEnd"/>
      <w:r w:rsidRPr="00AD2247">
        <w:t xml:space="preserve"> </w:t>
      </w:r>
      <w:proofErr w:type="gramStart"/>
      <w:r w:rsidRPr="00AD2247">
        <w:t>76K(</w:t>
      </w:r>
      <w:proofErr w:type="gramEnd"/>
      <w:r w:rsidRPr="00AD2247">
        <w:t xml:space="preserve">6) and (7). Also unusually, there was no penalty for failure to comply. </w:t>
      </w:r>
    </w:p>
    <w:p w14:paraId="1DBD41EE" w14:textId="77777777" w:rsidR="00F312E3" w:rsidRPr="00AD2247" w:rsidRDefault="00F312E3" w:rsidP="00FF41B4">
      <w:pPr>
        <w:spacing w:after="240"/>
        <w:jc w:val="both"/>
      </w:pPr>
      <w:r w:rsidRPr="00AD2247">
        <w:t xml:space="preserve">Due to the broad concepts in this reporting duty, it </w:t>
      </w:r>
      <w:proofErr w:type="gramStart"/>
      <w:r w:rsidRPr="00AD2247">
        <w:t>may be expected</w:t>
      </w:r>
      <w:proofErr w:type="gramEnd"/>
      <w:r w:rsidRPr="00AD2247">
        <w:t xml:space="preserve"> that doctors would be reporting substantial numbers of cases. However, the lack of a penalty may also have influenced a failure to report. </w:t>
      </w:r>
    </w:p>
    <w:p w14:paraId="00970C2D" w14:textId="77777777" w:rsidR="00F312E3" w:rsidRPr="009C3732" w:rsidRDefault="00F312E3" w:rsidP="00AD2247">
      <w:pPr>
        <w:pStyle w:val="Heading7"/>
        <w:spacing w:after="240"/>
        <w:jc w:val="both"/>
        <w:rPr>
          <w:i w:val="0"/>
        </w:rPr>
      </w:pPr>
      <w:r w:rsidRPr="009C3732">
        <w:rPr>
          <w:i w:val="0"/>
        </w:rPr>
        <w:t>No legislation for nurses, teachers, police and other professionals</w:t>
      </w:r>
    </w:p>
    <w:p w14:paraId="3DBABD1D" w14:textId="77777777" w:rsidR="00F312E3" w:rsidRPr="00AD2247" w:rsidRDefault="00F312E3" w:rsidP="00FF41B4">
      <w:pPr>
        <w:jc w:val="both"/>
      </w:pPr>
      <w:r w:rsidRPr="00AD2247">
        <w:t>At 1 January 2003, doctors were the only profession in Queensland under any form of mandatory reporting duty.</w:t>
      </w:r>
    </w:p>
    <w:p w14:paraId="3FF5E62A" w14:textId="77777777" w:rsidR="00F312E3" w:rsidRPr="0052480C" w:rsidRDefault="00F312E3" w:rsidP="00AD2247">
      <w:pPr>
        <w:pStyle w:val="Heading6"/>
        <w:spacing w:after="240"/>
        <w:jc w:val="both"/>
      </w:pPr>
      <w:r>
        <w:t xml:space="preserve">1.5.4.2. </w:t>
      </w:r>
      <w:r w:rsidRPr="0052480C">
        <w:t>Key changes, 2013-12: Queensland</w:t>
      </w:r>
    </w:p>
    <w:p w14:paraId="578BBC63" w14:textId="77777777" w:rsidR="00F312E3" w:rsidRPr="00AD2247" w:rsidRDefault="00F312E3" w:rsidP="00FF41B4">
      <w:pPr>
        <w:spacing w:after="240"/>
        <w:jc w:val="both"/>
      </w:pPr>
      <w:r w:rsidRPr="00AD2247">
        <w:t>The legislation has changed significantly in the period 2003-2012, especially for nurses and teachers. Queensland has now introduced new mandatory reporting legislation for doctors and nurses, for all four forms of child abuse and neglect. There is also mandatory reporting provisions for school staff, although this duty is very limited (applying to sexual abuse only). However, the reporting duties in Queensland are still narrower than most other jurisdictions.</w:t>
      </w:r>
    </w:p>
    <w:p w14:paraId="7DD417F0" w14:textId="77777777" w:rsidR="00342FC2" w:rsidRDefault="00342FC2">
      <w:pPr>
        <w:spacing w:before="0" w:after="200" w:line="276" w:lineRule="auto"/>
        <w:rPr>
          <w:rFonts w:cs="Calibri"/>
          <w:b/>
          <w:iCs/>
          <w:color w:val="000000" w:themeColor="text1"/>
          <w:sz w:val="24"/>
          <w:szCs w:val="24"/>
        </w:rPr>
      </w:pPr>
      <w:r>
        <w:rPr>
          <w:i/>
        </w:rPr>
        <w:br w:type="page"/>
      </w:r>
    </w:p>
    <w:p w14:paraId="26C707B8" w14:textId="4B25A267" w:rsidR="00F312E3" w:rsidRPr="009C3732" w:rsidRDefault="00F312E3" w:rsidP="00342FC2">
      <w:pPr>
        <w:pStyle w:val="Heading7"/>
        <w:spacing w:after="240"/>
        <w:jc w:val="both"/>
        <w:rPr>
          <w:i w:val="0"/>
        </w:rPr>
      </w:pPr>
      <w:r w:rsidRPr="009C3732">
        <w:rPr>
          <w:i w:val="0"/>
        </w:rPr>
        <w:lastRenderedPageBreak/>
        <w:t>Major legislative change for doctors, and applying to nurses – broader duties (commencing 31 August 2005)</w:t>
      </w:r>
    </w:p>
    <w:p w14:paraId="3C7FEAF2" w14:textId="77777777" w:rsidR="00F312E3" w:rsidRPr="00AD2247" w:rsidRDefault="00F312E3" w:rsidP="00FF41B4">
      <w:pPr>
        <w:jc w:val="both"/>
      </w:pPr>
      <w:r w:rsidRPr="00AD2247">
        <w:t xml:space="preserve">The </w:t>
      </w:r>
      <w:r w:rsidRPr="00AD2247">
        <w:rPr>
          <w:i/>
        </w:rPr>
        <w:t>Child Safety Legislation Amendment Act (No. 2) 2004</w:t>
      </w:r>
      <w:r w:rsidRPr="00AD2247">
        <w:t xml:space="preserve"> (No. 36)</w:t>
      </w:r>
      <w:r w:rsidRPr="00AD2247">
        <w:rPr>
          <w:rStyle w:val="FootnoteReference"/>
        </w:rPr>
        <w:footnoteReference w:id="26"/>
      </w:r>
      <w:r w:rsidRPr="00AD2247">
        <w:t xml:space="preserve"> amended the </w:t>
      </w:r>
      <w:r w:rsidRPr="00AD2247">
        <w:rPr>
          <w:i/>
        </w:rPr>
        <w:t>Health Act 1937</w:t>
      </w:r>
      <w:r w:rsidRPr="00AD2247">
        <w:t xml:space="preserve"> to extend doctors’ reporting duties and made the provisions much more specific and detailed.</w:t>
      </w:r>
      <w:r w:rsidRPr="00AD2247">
        <w:rPr>
          <w:rStyle w:val="FootnoteReference"/>
        </w:rPr>
        <w:footnoteReference w:id="27"/>
      </w:r>
      <w:r w:rsidRPr="00AD2247">
        <w:t xml:space="preserve"> In a major development, these provisions </w:t>
      </w:r>
      <w:proofErr w:type="gramStart"/>
      <w:r w:rsidRPr="00AD2247">
        <w:t>were also extended</w:t>
      </w:r>
      <w:proofErr w:type="gramEnd"/>
      <w:r w:rsidRPr="00AD2247">
        <w:t xml:space="preserve"> to nurses. These provisions imposed a wide reporting duty for all four classical forms of child abuse and neglect, provided the suspected harm reached the necessary threshold of ‘significance’. The duty applied to an awareness or reasonable suspicion that abuse/neglect that had already occurred, and to suspected risk of harm. </w:t>
      </w:r>
    </w:p>
    <w:p w14:paraId="12651C3C" w14:textId="77777777" w:rsidR="00F312E3" w:rsidRPr="00AD2247" w:rsidRDefault="00F312E3" w:rsidP="00FF41B4">
      <w:pPr>
        <w:jc w:val="both"/>
      </w:pPr>
      <w:r w:rsidRPr="00AD2247">
        <w:t>The provisions had the following effects:</w:t>
      </w:r>
    </w:p>
    <w:p w14:paraId="4BF8E6DD" w14:textId="77777777" w:rsidR="00F312E3" w:rsidRPr="00AD2247" w:rsidRDefault="00F312E3" w:rsidP="00FF41B4">
      <w:pPr>
        <w:pStyle w:val="ListParagraph"/>
        <w:numPr>
          <w:ilvl w:val="0"/>
          <w:numId w:val="49"/>
        </w:numPr>
        <w:spacing w:before="0"/>
        <w:jc w:val="both"/>
      </w:pPr>
      <w:r w:rsidRPr="00AD2247">
        <w:t xml:space="preserve">Added a new s 76K containing new definitions of ‘child’ (an individual under 18), ‘harm’, ‘professional’ (a doctor or registered nurse) and ‘registered nurse’ (a person registered under the </w:t>
      </w:r>
      <w:r w:rsidRPr="00AD2247">
        <w:rPr>
          <w:i/>
        </w:rPr>
        <w:t>Nursing Act 1992</w:t>
      </w:r>
      <w:r w:rsidRPr="00AD2247">
        <w:t xml:space="preserve"> as a registered nurse) </w:t>
      </w:r>
    </w:p>
    <w:p w14:paraId="26BD878D" w14:textId="77777777" w:rsidR="00F312E3" w:rsidRPr="00AD2247" w:rsidRDefault="00F312E3" w:rsidP="00FF41B4">
      <w:pPr>
        <w:pStyle w:val="ListParagraph"/>
        <w:numPr>
          <w:ilvl w:val="0"/>
          <w:numId w:val="49"/>
        </w:numPr>
        <w:spacing w:before="0"/>
        <w:jc w:val="both"/>
      </w:pPr>
      <w:r w:rsidRPr="00AD2247">
        <w:rPr>
          <w:b/>
        </w:rPr>
        <w:t>‘Harm’</w:t>
      </w:r>
      <w:r w:rsidRPr="00AD2247">
        <w:t xml:space="preserve"> to a child was defined in s 76K as meaning:</w:t>
      </w:r>
    </w:p>
    <w:p w14:paraId="5005E8D7" w14:textId="77777777" w:rsidR="00F312E3" w:rsidRPr="00AD2247" w:rsidRDefault="00F312E3" w:rsidP="00FF41B4">
      <w:pPr>
        <w:pStyle w:val="ListParagraph"/>
        <w:jc w:val="both"/>
        <w:rPr>
          <w:sz w:val="8"/>
          <w:szCs w:val="8"/>
        </w:rPr>
      </w:pPr>
    </w:p>
    <w:p w14:paraId="0DC257ED" w14:textId="77777777" w:rsidR="00F312E3" w:rsidRPr="00AD2247" w:rsidRDefault="00F312E3" w:rsidP="00C5582C">
      <w:pPr>
        <w:pStyle w:val="ListParagraph"/>
        <w:jc w:val="both"/>
      </w:pPr>
      <w:r w:rsidRPr="00AD2247">
        <w:t>‘</w:t>
      </w:r>
      <w:proofErr w:type="gramStart"/>
      <w:r w:rsidRPr="00AD2247">
        <w:t>any</w:t>
      </w:r>
      <w:proofErr w:type="gramEnd"/>
      <w:r w:rsidRPr="00AD2247">
        <w:t xml:space="preserve"> detrimental effect on the child’s physical, psychological or emotional wellbeing (a) that is of a significant nature; and</w:t>
      </w:r>
    </w:p>
    <w:p w14:paraId="73B3CE13" w14:textId="3045B5AE" w:rsidR="00F312E3" w:rsidRPr="00AD2247" w:rsidRDefault="00F312E3" w:rsidP="001B0227">
      <w:pPr>
        <w:pStyle w:val="ListParagraph"/>
        <w:numPr>
          <w:ilvl w:val="0"/>
          <w:numId w:val="65"/>
        </w:numPr>
        <w:jc w:val="both"/>
      </w:pPr>
      <w:r w:rsidRPr="00AD2247">
        <w:t xml:space="preserve">that has been caused by </w:t>
      </w:r>
    </w:p>
    <w:p w14:paraId="53F5AAD5" w14:textId="7D5790E6" w:rsidR="00F312E3" w:rsidRPr="00AD2247" w:rsidRDefault="00F312E3" w:rsidP="001B0227">
      <w:pPr>
        <w:pStyle w:val="ListParagraph"/>
        <w:numPr>
          <w:ilvl w:val="0"/>
          <w:numId w:val="64"/>
        </w:numPr>
        <w:ind w:right="566"/>
        <w:jc w:val="both"/>
      </w:pPr>
      <w:r w:rsidRPr="00AD2247">
        <w:t xml:space="preserve">physical, psychological or emotional abuse or neglect; or </w:t>
      </w:r>
    </w:p>
    <w:p w14:paraId="12A79801" w14:textId="28A70103" w:rsidR="00F312E3" w:rsidRPr="00AD2247" w:rsidRDefault="00F312E3" w:rsidP="001B0227">
      <w:pPr>
        <w:pStyle w:val="ListParagraph"/>
        <w:numPr>
          <w:ilvl w:val="0"/>
          <w:numId w:val="64"/>
        </w:numPr>
        <w:ind w:right="566"/>
        <w:jc w:val="both"/>
      </w:pPr>
      <w:r w:rsidRPr="00AD2247">
        <w:t>sexual abuse or exploitation’</w:t>
      </w:r>
    </w:p>
    <w:p w14:paraId="427F240C" w14:textId="77777777" w:rsidR="00F312E3" w:rsidRPr="00AD2247" w:rsidRDefault="00F312E3" w:rsidP="00FF41B4">
      <w:pPr>
        <w:pStyle w:val="ListParagraph"/>
        <w:jc w:val="both"/>
        <w:rPr>
          <w:sz w:val="8"/>
          <w:szCs w:val="8"/>
        </w:rPr>
      </w:pPr>
    </w:p>
    <w:p w14:paraId="2296B75A" w14:textId="77777777" w:rsidR="00F312E3" w:rsidRPr="00AD2247" w:rsidRDefault="00F312E3" w:rsidP="00FF41B4">
      <w:pPr>
        <w:pStyle w:val="ListParagraph"/>
        <w:numPr>
          <w:ilvl w:val="0"/>
          <w:numId w:val="49"/>
        </w:numPr>
        <w:spacing w:before="0"/>
        <w:jc w:val="both"/>
      </w:pPr>
      <w:r w:rsidRPr="00AD2247">
        <w:t>Section 76KC imposed the reporting duty in the following terms:</w:t>
      </w:r>
    </w:p>
    <w:p w14:paraId="0B04CD1E" w14:textId="77777777" w:rsidR="00F312E3" w:rsidRPr="00AD2247" w:rsidRDefault="00F312E3" w:rsidP="00FF41B4">
      <w:pPr>
        <w:pStyle w:val="ListParagraph"/>
        <w:numPr>
          <w:ilvl w:val="1"/>
          <w:numId w:val="49"/>
        </w:numPr>
        <w:spacing w:before="0"/>
        <w:jc w:val="both"/>
      </w:pPr>
      <w:r w:rsidRPr="00AD2247">
        <w:t>This section applies if—</w:t>
      </w:r>
    </w:p>
    <w:p w14:paraId="523DAE12" w14:textId="77777777" w:rsidR="00F312E3" w:rsidRPr="00AD2247" w:rsidRDefault="00F312E3" w:rsidP="00FF41B4">
      <w:pPr>
        <w:pStyle w:val="ListParagraph"/>
        <w:numPr>
          <w:ilvl w:val="2"/>
          <w:numId w:val="49"/>
        </w:numPr>
        <w:spacing w:before="0"/>
        <w:jc w:val="both"/>
      </w:pPr>
      <w:r w:rsidRPr="00AD2247">
        <w:t>a professional becomes aware, or reasonably suspects, during the practice of his or her profession, that a child</w:t>
      </w:r>
      <w:r w:rsidRPr="00AD2247">
        <w:rPr>
          <w:b/>
        </w:rPr>
        <w:t xml:space="preserve"> has been, is being, or is likely to be, harmed</w:t>
      </w:r>
      <w:r w:rsidRPr="00AD2247">
        <w:t>; and</w:t>
      </w:r>
    </w:p>
    <w:p w14:paraId="234BCEE5" w14:textId="77777777" w:rsidR="00F312E3" w:rsidRPr="00AD2247" w:rsidRDefault="00F312E3" w:rsidP="00FF41B4">
      <w:pPr>
        <w:pStyle w:val="ListParagraph"/>
        <w:numPr>
          <w:ilvl w:val="2"/>
          <w:numId w:val="49"/>
        </w:numPr>
        <w:spacing w:before="0"/>
        <w:jc w:val="both"/>
      </w:pPr>
      <w:proofErr w:type="gramStart"/>
      <w:r w:rsidRPr="00AD2247">
        <w:t>as</w:t>
      </w:r>
      <w:proofErr w:type="gramEnd"/>
      <w:r w:rsidRPr="00AD2247">
        <w:t xml:space="preserve"> far as the professional is aware, no other professional has notified the chief executive (child safety) under this section about the harm or likely harm.</w:t>
      </w:r>
    </w:p>
    <w:p w14:paraId="2E4CDF50" w14:textId="77777777" w:rsidR="00F312E3" w:rsidRPr="00AD2247" w:rsidRDefault="00F312E3" w:rsidP="00FF41B4">
      <w:pPr>
        <w:pStyle w:val="ListParagraph"/>
        <w:numPr>
          <w:ilvl w:val="1"/>
          <w:numId w:val="49"/>
        </w:numPr>
        <w:spacing w:before="0"/>
        <w:jc w:val="both"/>
      </w:pPr>
      <w:r w:rsidRPr="00AD2247">
        <w:lastRenderedPageBreak/>
        <w:t>‘(2) The professional must immediately give notice of the harm or likely harm to the chief executive (child safety</w:t>
      </w:r>
      <w:proofErr w:type="gramStart"/>
      <w:r w:rsidRPr="00AD2247">
        <w:t>)—</w:t>
      </w:r>
      <w:proofErr w:type="gramEnd"/>
      <w:r w:rsidRPr="00AD2247">
        <w:t xml:space="preserve"> orally; or by facsimile, email or similar communication.</w:t>
      </w:r>
    </w:p>
    <w:p w14:paraId="561FDBC6" w14:textId="77777777" w:rsidR="00F312E3" w:rsidRPr="00E97447" w:rsidRDefault="00F312E3" w:rsidP="00FF41B4">
      <w:pPr>
        <w:pStyle w:val="ListParagraph"/>
        <w:numPr>
          <w:ilvl w:val="1"/>
          <w:numId w:val="49"/>
        </w:numPr>
        <w:spacing w:before="0"/>
        <w:jc w:val="both"/>
      </w:pPr>
      <w:r w:rsidRPr="00E97447">
        <w:t xml:space="preserve">(4) To remove any doubt, it </w:t>
      </w:r>
      <w:proofErr w:type="gramStart"/>
      <w:r w:rsidRPr="00E97447">
        <w:t>is declared</w:t>
      </w:r>
      <w:proofErr w:type="gramEnd"/>
      <w:r w:rsidRPr="00E97447">
        <w:t xml:space="preserve"> that a professional may need to seek further information about harm or likely harm to a child before forming a reasonable suspicion about the matter.</w:t>
      </w:r>
    </w:p>
    <w:p w14:paraId="1F3F215C" w14:textId="77777777" w:rsidR="00F312E3" w:rsidRPr="00E97447" w:rsidRDefault="00F312E3" w:rsidP="00FF41B4">
      <w:pPr>
        <w:pStyle w:val="ListParagraph"/>
        <w:numPr>
          <w:ilvl w:val="0"/>
          <w:numId w:val="49"/>
        </w:numPr>
        <w:spacing w:before="0"/>
        <w:jc w:val="both"/>
      </w:pPr>
      <w:r w:rsidRPr="00E97447">
        <w:t xml:space="preserve">Under s 76KD if the notification </w:t>
      </w:r>
      <w:proofErr w:type="gramStart"/>
      <w:r w:rsidRPr="00E97447">
        <w:t>was given</w:t>
      </w:r>
      <w:proofErr w:type="gramEnd"/>
      <w:r w:rsidRPr="00E97447">
        <w:t xml:space="preserve"> other than in writing, then it had to be provided in writing within 7 days.</w:t>
      </w:r>
    </w:p>
    <w:p w14:paraId="53EF8583" w14:textId="77777777" w:rsidR="00F312E3" w:rsidRPr="00E97447" w:rsidRDefault="00F312E3" w:rsidP="00FF41B4">
      <w:pPr>
        <w:pStyle w:val="ListParagraph"/>
        <w:numPr>
          <w:ilvl w:val="0"/>
          <w:numId w:val="49"/>
        </w:numPr>
        <w:spacing w:before="0"/>
        <w:jc w:val="both"/>
      </w:pPr>
      <w:r w:rsidRPr="00E97447">
        <w:t xml:space="preserve">Under s 76KE if the notification required under 76KC or 76KD </w:t>
      </w:r>
      <w:proofErr w:type="gramStart"/>
      <w:r w:rsidRPr="00E97447">
        <w:t>was not given</w:t>
      </w:r>
      <w:proofErr w:type="gramEnd"/>
      <w:r w:rsidRPr="00E97447">
        <w:t>, a maximum penalty was provided of 50 penalty units ($3750).</w:t>
      </w:r>
    </w:p>
    <w:p w14:paraId="26E1CA2F" w14:textId="77777777" w:rsidR="00F312E3" w:rsidRPr="00E97447" w:rsidRDefault="00F312E3" w:rsidP="00FF41B4">
      <w:pPr>
        <w:pStyle w:val="ListParagraph"/>
        <w:numPr>
          <w:ilvl w:val="0"/>
          <w:numId w:val="49"/>
        </w:numPr>
        <w:spacing w:before="0"/>
        <w:jc w:val="both"/>
      </w:pPr>
      <w:r w:rsidRPr="00E97447">
        <w:t xml:space="preserve">Immunity from liability for giving information </w:t>
      </w:r>
      <w:r w:rsidRPr="00E97447">
        <w:rPr>
          <w:b/>
          <w:i/>
        </w:rPr>
        <w:t>to a professional</w:t>
      </w:r>
      <w:r w:rsidRPr="00E97447">
        <w:t xml:space="preserve"> </w:t>
      </w:r>
      <w:proofErr w:type="gramStart"/>
      <w:r w:rsidRPr="00E97447">
        <w:t>was provided</w:t>
      </w:r>
      <w:proofErr w:type="gramEnd"/>
      <w:r w:rsidRPr="00E97447">
        <w:t xml:space="preserve"> by s 76KG.</w:t>
      </w:r>
    </w:p>
    <w:p w14:paraId="3F162D83" w14:textId="77777777" w:rsidR="00F312E3" w:rsidRPr="00E97447" w:rsidRDefault="00F312E3" w:rsidP="00FF41B4">
      <w:pPr>
        <w:pStyle w:val="ListParagraph"/>
        <w:numPr>
          <w:ilvl w:val="0"/>
          <w:numId w:val="49"/>
        </w:numPr>
        <w:spacing w:before="0"/>
        <w:jc w:val="both"/>
      </w:pPr>
      <w:r w:rsidRPr="00E97447">
        <w:t xml:space="preserve">The </w:t>
      </w:r>
      <w:r w:rsidRPr="00E97447">
        <w:rPr>
          <w:i/>
        </w:rPr>
        <w:t>Child Protection Act 1999</w:t>
      </w:r>
      <w:r w:rsidRPr="00E97447">
        <w:t xml:space="preserve"> </w:t>
      </w:r>
      <w:proofErr w:type="spellStart"/>
      <w:r w:rsidRPr="00E97447">
        <w:t>ss</w:t>
      </w:r>
      <w:proofErr w:type="spellEnd"/>
      <w:r w:rsidRPr="00E97447">
        <w:t xml:space="preserve"> 22 and 186 were expressly provided to be relevant to a professional giving a notice or other information under these provisions, by s 76KB(1).</w:t>
      </w:r>
    </w:p>
    <w:p w14:paraId="50DCDC85" w14:textId="77777777" w:rsidR="00F312E3" w:rsidRPr="00E97447" w:rsidRDefault="00F312E3" w:rsidP="00FF41B4">
      <w:pPr>
        <w:pStyle w:val="ListParagraph"/>
        <w:spacing w:after="240"/>
        <w:jc w:val="both"/>
      </w:pPr>
      <w:r w:rsidRPr="00E97447">
        <w:t xml:space="preserve">Confidentiality </w:t>
      </w:r>
      <w:proofErr w:type="gramStart"/>
      <w:r w:rsidRPr="00E97447">
        <w:t>was also provided</w:t>
      </w:r>
      <w:proofErr w:type="gramEnd"/>
      <w:r w:rsidRPr="00E97447">
        <w:t xml:space="preserve"> to notifiers by s 76KH.</w:t>
      </w:r>
    </w:p>
    <w:p w14:paraId="4404C3AA" w14:textId="77777777" w:rsidR="00F312E3" w:rsidRPr="009C3732" w:rsidRDefault="00F312E3" w:rsidP="00342FC2">
      <w:pPr>
        <w:pStyle w:val="Heading7"/>
        <w:spacing w:after="240"/>
        <w:jc w:val="both"/>
        <w:rPr>
          <w:i w:val="0"/>
        </w:rPr>
      </w:pPr>
      <w:r w:rsidRPr="009C3732">
        <w:rPr>
          <w:i w:val="0"/>
        </w:rPr>
        <w:t>Public Health Act 2005</w:t>
      </w:r>
    </w:p>
    <w:p w14:paraId="05D33970" w14:textId="77777777" w:rsidR="00F312E3" w:rsidRPr="00E97447" w:rsidRDefault="00F312E3" w:rsidP="00FF41B4">
      <w:pPr>
        <w:jc w:val="both"/>
      </w:pPr>
      <w:r w:rsidRPr="00E97447">
        <w:t xml:space="preserve">The relevant provisions in the </w:t>
      </w:r>
      <w:r w:rsidRPr="00E97447">
        <w:rPr>
          <w:i/>
        </w:rPr>
        <w:t>Health Act 1937</w:t>
      </w:r>
      <w:r w:rsidRPr="00E97447">
        <w:t xml:space="preserve"> </w:t>
      </w:r>
      <w:proofErr w:type="gramStart"/>
      <w:r w:rsidRPr="00E97447">
        <w:t>were then placed</w:t>
      </w:r>
      <w:proofErr w:type="gramEnd"/>
      <w:r w:rsidRPr="00E97447">
        <w:t xml:space="preserve"> into the </w:t>
      </w:r>
      <w:r w:rsidRPr="00E97447">
        <w:rPr>
          <w:i/>
        </w:rPr>
        <w:t>Public Health Act 2005 (No 48)</w:t>
      </w:r>
      <w:r w:rsidRPr="00E97447">
        <w:t xml:space="preserve"> (Qld), which commenced 1 December 2005.</w:t>
      </w:r>
      <w:r w:rsidRPr="00E97447">
        <w:rPr>
          <w:rStyle w:val="FootnoteReference"/>
        </w:rPr>
        <w:footnoteReference w:id="28"/>
      </w:r>
      <w:r w:rsidRPr="00E97447">
        <w:t xml:space="preserve"> The PHA 2005 (No 48) </w:t>
      </w:r>
      <w:proofErr w:type="spellStart"/>
      <w:r w:rsidRPr="00E97447">
        <w:t>Sch</w:t>
      </w:r>
      <w:proofErr w:type="spellEnd"/>
      <w:r w:rsidRPr="00E97447">
        <w:t xml:space="preserve"> 1 amended the </w:t>
      </w:r>
      <w:r w:rsidRPr="00E97447">
        <w:rPr>
          <w:i/>
        </w:rPr>
        <w:t>Health Act 1937</w:t>
      </w:r>
      <w:r w:rsidRPr="00E97447">
        <w:t xml:space="preserve"> and omitted Part 3, which contained the reporting provisions. Accordingly, since 1 December 2005 the relevant provisions for doctors and nurses have been in the </w:t>
      </w:r>
      <w:r w:rsidRPr="00E97447">
        <w:rPr>
          <w:i/>
        </w:rPr>
        <w:t>Public Health Act 2005</w:t>
      </w:r>
      <w:r w:rsidRPr="00E97447">
        <w:t xml:space="preserve">. The key provisions are in Chapter 5 Part 3. The provisions are unaltered from the original </w:t>
      </w:r>
      <w:r w:rsidRPr="00E97447">
        <w:rPr>
          <w:i/>
        </w:rPr>
        <w:t>Public Health Act 2005</w:t>
      </w:r>
      <w:r w:rsidRPr="00E97447">
        <w:t xml:space="preserve">, but </w:t>
      </w:r>
      <w:proofErr w:type="gramStart"/>
      <w:r w:rsidRPr="00E97447">
        <w:t>are renumbered</w:t>
      </w:r>
      <w:proofErr w:type="gramEnd"/>
      <w:r w:rsidRPr="00E97447">
        <w:t xml:space="preserve">. </w:t>
      </w:r>
    </w:p>
    <w:p w14:paraId="134F27A7" w14:textId="77777777" w:rsidR="00F312E3" w:rsidRPr="00E97447" w:rsidRDefault="00F312E3" w:rsidP="00FF41B4">
      <w:pPr>
        <w:spacing w:after="240"/>
        <w:jc w:val="both"/>
      </w:pPr>
      <w:r w:rsidRPr="00E97447">
        <w:t xml:space="preserve">Section 158 defines relevant terms. Section 191 sets out the duty. The state of mind which activates the duty to report is ‘aware, or reasonably suspects’. The duty applies to awareness or reasonable suspicion </w:t>
      </w:r>
      <w:proofErr w:type="gramStart"/>
      <w:r w:rsidRPr="00E97447">
        <w:t>of past/presently occurring</w:t>
      </w:r>
      <w:proofErr w:type="gramEnd"/>
      <w:r w:rsidRPr="00E97447">
        <w:t xml:space="preserve"> abuse/neglect meeting the definition of significant harm, and extends to suspected likely future abuse/risk of significant harm. The term ‘harm’ is defined in s 158 as ‘any detrimental effect on the child’s physical, psychological or emotional wellbeing (a) that is of a significant nature; and (b) that has been caused by caused by (</w:t>
      </w:r>
      <w:proofErr w:type="spellStart"/>
      <w:r w:rsidRPr="00E97447">
        <w:t>i</w:t>
      </w:r>
      <w:proofErr w:type="spellEnd"/>
      <w:r w:rsidRPr="00E97447">
        <w:t xml:space="preserve">) physical, psychological or emotional abuse or neglect; </w:t>
      </w:r>
      <w:r w:rsidRPr="00E97447">
        <w:lastRenderedPageBreak/>
        <w:t>or (ii) sexual abuse or exploitation’.</w:t>
      </w:r>
      <w:r w:rsidRPr="00E97447">
        <w:rPr>
          <w:rStyle w:val="FootnoteReference"/>
        </w:rPr>
        <w:footnoteReference w:id="29"/>
      </w:r>
      <w:r w:rsidRPr="00E97447">
        <w:t xml:space="preserve"> Section 195 provides protection for giving information to professionals. Section 196 confers confidentiality on notifiers. The </w:t>
      </w:r>
      <w:r w:rsidRPr="00E97447">
        <w:rPr>
          <w:i/>
        </w:rPr>
        <w:t>Child Protection Act 1999</w:t>
      </w:r>
      <w:r w:rsidRPr="00E97447">
        <w:t xml:space="preserve"> </w:t>
      </w:r>
      <w:proofErr w:type="spellStart"/>
      <w:r w:rsidRPr="00E97447">
        <w:t>ss</w:t>
      </w:r>
      <w:proofErr w:type="spellEnd"/>
      <w:r w:rsidRPr="00E97447">
        <w:t xml:space="preserve"> 22 and 186 </w:t>
      </w:r>
      <w:proofErr w:type="gramStart"/>
      <w:r w:rsidRPr="00E97447">
        <w:t>are expressly provided</w:t>
      </w:r>
      <w:proofErr w:type="gramEnd"/>
      <w:r w:rsidRPr="00E97447">
        <w:t xml:space="preserve"> to be relevant to a professional giving a notice or other information under these provisions, by the </w:t>
      </w:r>
      <w:r w:rsidRPr="00E97447">
        <w:rPr>
          <w:i/>
        </w:rPr>
        <w:t>Public Health Act</w:t>
      </w:r>
      <w:r w:rsidRPr="00E97447">
        <w:t xml:space="preserve"> s 186(2). Section 193 is the offence provision (maximum 50 penalty units; which now equates to $</w:t>
      </w:r>
      <w:r w:rsidRPr="00E97447">
        <w:rPr>
          <w:b/>
        </w:rPr>
        <w:t>5500</w:t>
      </w:r>
      <w:r w:rsidRPr="00E97447">
        <w:t>).</w:t>
      </w:r>
    </w:p>
    <w:p w14:paraId="5EB0DA5A" w14:textId="77777777" w:rsidR="00F312E3" w:rsidRPr="009C3732" w:rsidRDefault="00F312E3" w:rsidP="00E97447">
      <w:pPr>
        <w:pStyle w:val="Heading7"/>
        <w:spacing w:after="240"/>
        <w:jc w:val="both"/>
        <w:rPr>
          <w:i w:val="0"/>
        </w:rPr>
      </w:pPr>
      <w:r w:rsidRPr="009C3732">
        <w:rPr>
          <w:i w:val="0"/>
        </w:rPr>
        <w:t>New duty for teachers to report sexual abuse by school staff (commencing 19 April 2004)</w:t>
      </w:r>
    </w:p>
    <w:p w14:paraId="41B5A0BD" w14:textId="77777777" w:rsidR="00F312E3" w:rsidRPr="00E97447" w:rsidRDefault="00F312E3" w:rsidP="00FF41B4">
      <w:pPr>
        <w:jc w:val="both"/>
      </w:pPr>
      <w:r w:rsidRPr="00E97447">
        <w:t xml:space="preserve">From 19 April 2004, teachers were required to report reasonable suspicions of specific circumstances of suspected sexual abuse only. The provisions were introduced into the </w:t>
      </w:r>
      <w:r w:rsidRPr="00E97447">
        <w:rPr>
          <w:i/>
        </w:rPr>
        <w:t>Education (General Provisions) Act 1989</w:t>
      </w:r>
      <w:r w:rsidRPr="00E97447">
        <w:t xml:space="preserve"> (Qld) </w:t>
      </w:r>
      <w:proofErr w:type="spellStart"/>
      <w:r w:rsidRPr="00E97447">
        <w:t>ss</w:t>
      </w:r>
      <w:proofErr w:type="spellEnd"/>
      <w:r w:rsidRPr="00E97447">
        <w:t xml:space="preserve"> 146A-146B (applying to State and non-State schools respectively) by the </w:t>
      </w:r>
      <w:r w:rsidRPr="00E97447">
        <w:rPr>
          <w:i/>
        </w:rPr>
        <w:t>Education and Other Legislation (Student Protection) Amendment Act 2003</w:t>
      </w:r>
      <w:r w:rsidRPr="00E97447">
        <w:t xml:space="preserve"> (Qld) (No 88 of 2003).</w:t>
      </w:r>
      <w:r w:rsidRPr="00E97447">
        <w:rPr>
          <w:rStyle w:val="FootnoteReference"/>
        </w:rPr>
        <w:footnoteReference w:id="30"/>
      </w:r>
      <w:r w:rsidRPr="00E97447">
        <w:t xml:space="preserve"> </w:t>
      </w:r>
    </w:p>
    <w:p w14:paraId="6FE437AB" w14:textId="77777777" w:rsidR="00F312E3" w:rsidRPr="00E97447" w:rsidRDefault="00F312E3" w:rsidP="00FF41B4">
      <w:pPr>
        <w:jc w:val="both"/>
      </w:pPr>
      <w:r w:rsidRPr="00E97447">
        <w:t xml:space="preserve">However, even this restricted duty was limited, as the legislation restricted the duty to cases of suspected sexual abuse </w:t>
      </w:r>
      <w:r w:rsidRPr="00E97447">
        <w:rPr>
          <w:b/>
        </w:rPr>
        <w:t>perpetrated by a school staff member</w:t>
      </w:r>
      <w:r w:rsidRPr="00E97447">
        <w:t>.</w:t>
      </w:r>
      <w:r w:rsidRPr="00E97447">
        <w:rPr>
          <w:rStyle w:val="FootnoteReference"/>
        </w:rPr>
        <w:footnoteReference w:id="31"/>
      </w:r>
      <w:r w:rsidRPr="00E97447">
        <w:t xml:space="preserve"> The duty was also limited to suspected </w:t>
      </w:r>
      <w:r w:rsidRPr="00E97447">
        <w:rPr>
          <w:b/>
        </w:rPr>
        <w:t>past and presently</w:t>
      </w:r>
      <w:r w:rsidRPr="00E97447">
        <w:t xml:space="preserve"> occurring abuse; it did not apply to suspected future cases. </w:t>
      </w:r>
      <w:proofErr w:type="gramStart"/>
      <w:r w:rsidRPr="00E97447">
        <w:t xml:space="preserve">The provisions imposed an obligation </w:t>
      </w:r>
      <w:r w:rsidRPr="00E97447">
        <w:lastRenderedPageBreak/>
        <w:t>on a staff member of a school who ‘becomes aware, or reasonably suspects, that a student under 18 years of age attending the school has been sexually abused by someone else who is an employee of the school’ to immediately give a written report about the abuse or suspected abuse to the school’s principal or the principal’s supervisor.</w:t>
      </w:r>
      <w:proofErr w:type="gramEnd"/>
      <w:r w:rsidRPr="00E97447">
        <w:t xml:space="preserve"> It was made an offence not to give such a report (s </w:t>
      </w:r>
      <w:proofErr w:type="gramStart"/>
      <w:r w:rsidRPr="00E97447">
        <w:t>146A(</w:t>
      </w:r>
      <w:proofErr w:type="gramEnd"/>
      <w:r w:rsidRPr="00E97447">
        <w:t xml:space="preserve">2); s 146B(2): maximum penalty of 20 penalty units ($1500)).  Reporters were granted immunity from civil and criminal liability connected with making the report (s </w:t>
      </w:r>
      <w:proofErr w:type="gramStart"/>
      <w:r w:rsidRPr="00E97447">
        <w:t>146A(</w:t>
      </w:r>
      <w:proofErr w:type="gramEnd"/>
      <w:r w:rsidRPr="00E97447">
        <w:t xml:space="preserve">6) and (7); s 146B(5) and (6)). Confidentiality </w:t>
      </w:r>
      <w:proofErr w:type="gramStart"/>
      <w:r w:rsidRPr="00E97447">
        <w:t>was not expressly conferred</w:t>
      </w:r>
      <w:proofErr w:type="gramEnd"/>
      <w:r w:rsidRPr="00E97447">
        <w:t xml:space="preserve">, and was arguably not conferred by the </w:t>
      </w:r>
      <w:r w:rsidRPr="00E97447">
        <w:rPr>
          <w:i/>
        </w:rPr>
        <w:t>Child Protection Act 1999</w:t>
      </w:r>
      <w:r w:rsidRPr="00E97447">
        <w:t xml:space="preserve"> (Qld) s 186 (see Part 1.5.4.3).</w:t>
      </w:r>
    </w:p>
    <w:p w14:paraId="21388020" w14:textId="77777777" w:rsidR="00F312E3" w:rsidRPr="00E97447" w:rsidRDefault="00F312E3" w:rsidP="00FF41B4">
      <w:pPr>
        <w:jc w:val="both"/>
      </w:pPr>
      <w:r w:rsidRPr="00E97447">
        <w:t xml:space="preserve">Despite the unique limitations of the duty, it is likely that this development would result in a significant increase in reports by teachers of sexual abuse from April 2004. Technically, reports under EGPA </w:t>
      </w:r>
      <w:proofErr w:type="gramStart"/>
      <w:r w:rsidRPr="00E97447">
        <w:t>were meant to be made</w:t>
      </w:r>
      <w:proofErr w:type="gramEnd"/>
      <w:r w:rsidRPr="00E97447">
        <w:t xml:space="preserve"> to police rather than the Department. However, it is possible that some of these reports </w:t>
      </w:r>
      <w:proofErr w:type="gramStart"/>
      <w:r w:rsidRPr="00E97447">
        <w:t>were made</w:t>
      </w:r>
      <w:proofErr w:type="gramEnd"/>
      <w:r w:rsidRPr="00E97447">
        <w:t xml:space="preserve"> to both police and the Department. In addition, it is unlikely that teachers would restrict their reports of sexual abuse to those cases where the suspected perpetrator was a school staff member.</w:t>
      </w:r>
      <w:r w:rsidRPr="00E97447">
        <w:rPr>
          <w:vertAlign w:val="superscript"/>
        </w:rPr>
        <w:footnoteReference w:id="32"/>
      </w:r>
      <w:r w:rsidRPr="00E97447">
        <w:t xml:space="preserve"> It seems reasonable to hypothesise that the new duty, albeit limited, would have produced an increase in reports by teachers to the Department about other cases of suspected sexual abuse; that is, suspected cases beyond those specified in EGPA.</w:t>
      </w:r>
    </w:p>
    <w:p w14:paraId="0F981FC6" w14:textId="77777777" w:rsidR="00F312E3" w:rsidRPr="009C3732" w:rsidRDefault="00F312E3" w:rsidP="00FF41B4">
      <w:pPr>
        <w:pStyle w:val="Heading7"/>
        <w:jc w:val="both"/>
        <w:rPr>
          <w:i w:val="0"/>
        </w:rPr>
      </w:pPr>
      <w:r w:rsidRPr="009C3732">
        <w:rPr>
          <w:i w:val="0"/>
        </w:rPr>
        <w:t>Minor change to name of legislation (commencing 11 August 2006)</w:t>
      </w:r>
    </w:p>
    <w:p w14:paraId="5A07A1BB" w14:textId="77777777" w:rsidR="00F312E3" w:rsidRPr="00E97447" w:rsidRDefault="00F312E3" w:rsidP="00FF41B4">
      <w:pPr>
        <w:spacing w:after="240"/>
        <w:jc w:val="both"/>
      </w:pPr>
      <w:r w:rsidRPr="00E97447">
        <w:t xml:space="preserve">There was no change to this situation until 2006, when the title of legislation changed to the </w:t>
      </w:r>
      <w:r w:rsidRPr="00E97447">
        <w:rPr>
          <w:i/>
        </w:rPr>
        <w:t>Education (General Provisions) Act 2006</w:t>
      </w:r>
      <w:r w:rsidRPr="00E97447">
        <w:t xml:space="preserve"> (No. 39) commencing 11 August 2006. The key provisions were renumbered </w:t>
      </w:r>
      <w:proofErr w:type="spellStart"/>
      <w:r w:rsidRPr="00E97447">
        <w:t>ss</w:t>
      </w:r>
      <w:proofErr w:type="spellEnd"/>
      <w:r w:rsidRPr="00E97447">
        <w:t xml:space="preserve"> 364-366, with no change to their content.</w:t>
      </w:r>
    </w:p>
    <w:p w14:paraId="71D4629D" w14:textId="77777777" w:rsidR="00F312E3" w:rsidRPr="009C3732" w:rsidRDefault="00F312E3" w:rsidP="00FF41B4">
      <w:pPr>
        <w:pStyle w:val="Heading7"/>
        <w:jc w:val="both"/>
        <w:rPr>
          <w:i w:val="0"/>
        </w:rPr>
      </w:pPr>
      <w:r w:rsidRPr="009C3732">
        <w:rPr>
          <w:i w:val="0"/>
        </w:rPr>
        <w:t>Minor change to clarify children who were the object of the legislation’s concern</w:t>
      </w:r>
    </w:p>
    <w:p w14:paraId="7BD81F83" w14:textId="77777777" w:rsidR="00F312E3" w:rsidRPr="00E97447" w:rsidRDefault="00F312E3" w:rsidP="00FF41B4">
      <w:pPr>
        <w:jc w:val="both"/>
      </w:pPr>
      <w:r w:rsidRPr="00E97447">
        <w:t xml:space="preserve">Sections 365 and 366 were amended by the </w:t>
      </w:r>
      <w:r w:rsidRPr="00E97447">
        <w:rPr>
          <w:i/>
        </w:rPr>
        <w:t>Education and Training Legislation Amendment Act 2009</w:t>
      </w:r>
      <w:r w:rsidRPr="00E97447">
        <w:t xml:space="preserve"> (No 40)  to clarify that the duty applied to ‘any of the following’ who the staff member was aware or reasonably suspected had been sexually abused by another person who is an employee of the school – </w:t>
      </w:r>
    </w:p>
    <w:p w14:paraId="2D3DD5CF" w14:textId="77777777" w:rsidR="00F312E3" w:rsidRPr="00E97447" w:rsidRDefault="00F312E3" w:rsidP="00FF41B4">
      <w:pPr>
        <w:pStyle w:val="ListParagraph"/>
        <w:numPr>
          <w:ilvl w:val="0"/>
          <w:numId w:val="48"/>
        </w:numPr>
        <w:spacing w:before="0"/>
        <w:jc w:val="both"/>
      </w:pPr>
      <w:r w:rsidRPr="00E97447">
        <w:t>A student under 18 years attending the school;</w:t>
      </w:r>
    </w:p>
    <w:p w14:paraId="38402B5C" w14:textId="77777777" w:rsidR="00F312E3" w:rsidRPr="00E97447" w:rsidRDefault="00F312E3" w:rsidP="00FF41B4">
      <w:pPr>
        <w:pStyle w:val="ListParagraph"/>
        <w:numPr>
          <w:ilvl w:val="0"/>
          <w:numId w:val="48"/>
        </w:numPr>
        <w:spacing w:before="0"/>
        <w:jc w:val="both"/>
      </w:pPr>
      <w:r w:rsidRPr="00E97447">
        <w:t>A pre-preparatory age child registered in a pre-preparatory learning program at the school;</w:t>
      </w:r>
    </w:p>
    <w:p w14:paraId="10CC3500" w14:textId="77777777" w:rsidR="00F312E3" w:rsidRPr="00E97447" w:rsidRDefault="00F312E3" w:rsidP="00FF41B4">
      <w:pPr>
        <w:pStyle w:val="ListParagraph"/>
        <w:numPr>
          <w:ilvl w:val="0"/>
          <w:numId w:val="48"/>
        </w:numPr>
        <w:spacing w:before="0" w:after="240"/>
        <w:jc w:val="both"/>
      </w:pPr>
      <w:r w:rsidRPr="00E97447">
        <w:t xml:space="preserve">A person with a disability who </w:t>
      </w:r>
      <w:proofErr w:type="gramStart"/>
      <w:r w:rsidRPr="00E97447">
        <w:t>is being provided</w:t>
      </w:r>
      <w:proofErr w:type="gramEnd"/>
      <w:r w:rsidRPr="00E97447">
        <w:t xml:space="preserve"> with special education at the school.</w:t>
      </w:r>
    </w:p>
    <w:p w14:paraId="03F2FA04" w14:textId="77777777" w:rsidR="009219E6" w:rsidRDefault="009219E6">
      <w:pPr>
        <w:spacing w:before="0" w:after="200" w:line="276" w:lineRule="auto"/>
        <w:rPr>
          <w:rFonts w:cs="Calibri"/>
          <w:b/>
          <w:iCs/>
          <w:color w:val="000000" w:themeColor="text1"/>
          <w:sz w:val="24"/>
          <w:szCs w:val="24"/>
        </w:rPr>
      </w:pPr>
      <w:r>
        <w:rPr>
          <w:i/>
        </w:rPr>
        <w:br w:type="page"/>
      </w:r>
    </w:p>
    <w:p w14:paraId="051A0CE8" w14:textId="5A943CF2" w:rsidR="00F312E3" w:rsidRPr="009C3732" w:rsidRDefault="00F312E3" w:rsidP="009219E6">
      <w:pPr>
        <w:pStyle w:val="Heading7"/>
        <w:spacing w:after="240"/>
        <w:jc w:val="both"/>
        <w:rPr>
          <w:i w:val="0"/>
        </w:rPr>
      </w:pPr>
      <w:r w:rsidRPr="009C3732">
        <w:rPr>
          <w:i w:val="0"/>
        </w:rPr>
        <w:lastRenderedPageBreak/>
        <w:t>Major amendment to require reports of all cases of sexual abuse, and likely future sexual abuse (commencing 9 July 2012)</w:t>
      </w:r>
    </w:p>
    <w:p w14:paraId="536DD3D5" w14:textId="77777777" w:rsidR="00F312E3" w:rsidRPr="00E97447" w:rsidRDefault="00F312E3" w:rsidP="00FF41B4">
      <w:pPr>
        <w:jc w:val="both"/>
      </w:pPr>
      <w:r w:rsidRPr="00E97447">
        <w:t xml:space="preserve">Substantial change occurred in 2012. The uniquely restricted position for teachers’ reporting of child sexual </w:t>
      </w:r>
      <w:proofErr w:type="gramStart"/>
      <w:r w:rsidRPr="00E97447">
        <w:t xml:space="preserve">abuse was amended in 2012 by the </w:t>
      </w:r>
      <w:r w:rsidRPr="00E97447">
        <w:rPr>
          <w:i/>
        </w:rPr>
        <w:t>Education and Training Legislation Amendment Act 2011</w:t>
      </w:r>
      <w:r w:rsidRPr="00E97447">
        <w:t xml:space="preserve"> (Qld) (No 39), which commenced on 9 July</w:t>
      </w:r>
      <w:proofErr w:type="gramEnd"/>
      <w:r w:rsidRPr="00E97447">
        <w:t xml:space="preserve"> 2012. The key changes, in Part 3 of the amending Act, were:</w:t>
      </w:r>
    </w:p>
    <w:p w14:paraId="37646B05" w14:textId="77777777" w:rsidR="00F312E3" w:rsidRPr="00E97447" w:rsidRDefault="00F312E3" w:rsidP="00FF41B4">
      <w:pPr>
        <w:pStyle w:val="ListParagraph"/>
        <w:numPr>
          <w:ilvl w:val="0"/>
          <w:numId w:val="47"/>
        </w:numPr>
        <w:spacing w:before="0"/>
        <w:jc w:val="both"/>
      </w:pPr>
      <w:r w:rsidRPr="00E97447">
        <w:t>To define (non-exhaustively) the concept of ‘sexual abuse’;</w:t>
      </w:r>
    </w:p>
    <w:p w14:paraId="226A7416" w14:textId="77777777" w:rsidR="00F312E3" w:rsidRPr="00E97447" w:rsidRDefault="00F312E3" w:rsidP="00FF41B4">
      <w:pPr>
        <w:pStyle w:val="ListParagraph"/>
        <w:numPr>
          <w:ilvl w:val="0"/>
          <w:numId w:val="47"/>
        </w:numPr>
        <w:spacing w:before="0"/>
        <w:jc w:val="both"/>
      </w:pPr>
      <w:r w:rsidRPr="00E97447">
        <w:t>To extend the reporting duty to all suspected cases of sexual abuse, without limiting the class of reportable cases by perpetrator;</w:t>
      </w:r>
    </w:p>
    <w:p w14:paraId="68F43E97" w14:textId="77777777" w:rsidR="00F312E3" w:rsidRPr="00E97447" w:rsidRDefault="00F312E3" w:rsidP="00FF41B4">
      <w:pPr>
        <w:pStyle w:val="ListParagraph"/>
        <w:numPr>
          <w:ilvl w:val="0"/>
          <w:numId w:val="47"/>
        </w:numPr>
        <w:spacing w:before="0"/>
        <w:jc w:val="both"/>
      </w:pPr>
      <w:r w:rsidRPr="00E97447">
        <w:t xml:space="preserve">To extend the reporting duty to suspected ‘likely sexual abuse’ (new </w:t>
      </w:r>
      <w:proofErr w:type="spellStart"/>
      <w:r w:rsidRPr="00E97447">
        <w:t>ss</w:t>
      </w:r>
      <w:proofErr w:type="spellEnd"/>
      <w:r w:rsidRPr="00E97447">
        <w:t xml:space="preserve"> 365A and 366A);</w:t>
      </w:r>
    </w:p>
    <w:p w14:paraId="7D121572" w14:textId="77777777" w:rsidR="00F312E3" w:rsidRPr="00E97447" w:rsidRDefault="00F312E3" w:rsidP="00FF41B4">
      <w:pPr>
        <w:pStyle w:val="ListParagraph"/>
        <w:numPr>
          <w:ilvl w:val="0"/>
          <w:numId w:val="47"/>
        </w:numPr>
        <w:spacing w:before="0"/>
        <w:jc w:val="both"/>
      </w:pPr>
      <w:r w:rsidRPr="00E97447">
        <w:t>To create in State schools a more direct chain of reporting (teacher to principal to police officer (3 steps); previously teacher to principal to CE’s nominee to police (4 steps))</w:t>
      </w:r>
    </w:p>
    <w:p w14:paraId="39CDBA83" w14:textId="77777777" w:rsidR="00F312E3" w:rsidRPr="00E97447" w:rsidRDefault="00F312E3" w:rsidP="00FF41B4">
      <w:pPr>
        <w:pStyle w:val="ListParagraph"/>
        <w:numPr>
          <w:ilvl w:val="0"/>
          <w:numId w:val="47"/>
        </w:numPr>
        <w:spacing w:before="0"/>
        <w:jc w:val="both"/>
      </w:pPr>
      <w:r w:rsidRPr="00E97447">
        <w:t>To enable delegation of the reporting function by a non-State school’s governing body director, both where the governing body has only one director (</w:t>
      </w:r>
      <w:proofErr w:type="spellStart"/>
      <w:r w:rsidRPr="00E97447">
        <w:t>new s</w:t>
      </w:r>
      <w:proofErr w:type="spellEnd"/>
      <w:r w:rsidRPr="00E97447">
        <w:t xml:space="preserve"> </w:t>
      </w:r>
      <w:proofErr w:type="gramStart"/>
      <w:r w:rsidRPr="00E97447">
        <w:t>366B(</w:t>
      </w:r>
      <w:proofErr w:type="gramEnd"/>
      <w:r w:rsidRPr="00E97447">
        <w:t>1) and (2)), and where there are more than one director (</w:t>
      </w:r>
      <w:proofErr w:type="spellStart"/>
      <w:r w:rsidRPr="00E97447">
        <w:t>new s</w:t>
      </w:r>
      <w:proofErr w:type="spellEnd"/>
      <w:r w:rsidRPr="00E97447">
        <w:t xml:space="preserve"> 366B(3) and (4)).</w:t>
      </w:r>
    </w:p>
    <w:p w14:paraId="2479166C" w14:textId="77777777" w:rsidR="00F312E3" w:rsidRPr="0052480C" w:rsidRDefault="00F312E3" w:rsidP="00FF41B4">
      <w:pPr>
        <w:jc w:val="both"/>
        <w:rPr>
          <w:rFonts w:asciiTheme="majorHAnsi" w:hAnsiTheme="majorHAnsi"/>
        </w:rPr>
      </w:pPr>
      <w:r w:rsidRPr="00E97447">
        <w:t xml:space="preserve">It </w:t>
      </w:r>
      <w:proofErr w:type="gramStart"/>
      <w:r w:rsidRPr="00E97447">
        <w:t>can be expected</w:t>
      </w:r>
      <w:proofErr w:type="gramEnd"/>
      <w:r w:rsidRPr="00E97447">
        <w:t xml:space="preserve"> that these changes influenced an increase in reports by teachers of child sexual abuse.</w:t>
      </w:r>
    </w:p>
    <w:p w14:paraId="545DF71D" w14:textId="77777777" w:rsidR="00F312E3" w:rsidRPr="0052480C" w:rsidRDefault="00F312E3" w:rsidP="00E97447">
      <w:pPr>
        <w:pStyle w:val="Heading6"/>
        <w:spacing w:after="240"/>
        <w:jc w:val="both"/>
      </w:pPr>
      <w:r>
        <w:t xml:space="preserve">1.5.4.3. </w:t>
      </w:r>
      <w:r w:rsidRPr="0052480C">
        <w:t xml:space="preserve">Current position: Queensland </w:t>
      </w:r>
    </w:p>
    <w:p w14:paraId="33DDF11F" w14:textId="77777777" w:rsidR="00F312E3" w:rsidRPr="00B57A5C" w:rsidRDefault="00F312E3" w:rsidP="009219E6">
      <w:pPr>
        <w:pStyle w:val="Heading7"/>
        <w:spacing w:after="240"/>
        <w:jc w:val="both"/>
        <w:rPr>
          <w:i w:val="0"/>
        </w:rPr>
      </w:pPr>
      <w:r w:rsidRPr="00B57A5C">
        <w:rPr>
          <w:i w:val="0"/>
        </w:rPr>
        <w:t>Current position for doctors and nurses under the Public Health Act 2005</w:t>
      </w:r>
    </w:p>
    <w:p w14:paraId="64780714" w14:textId="77777777" w:rsidR="00F312E3" w:rsidRPr="00E97447" w:rsidRDefault="00F312E3" w:rsidP="00FF41B4">
      <w:pPr>
        <w:jc w:val="both"/>
      </w:pPr>
      <w:r w:rsidRPr="00E97447">
        <w:t>There have been no further changes since 2005, apart from the value of the penalty due to change in the definition of ‘penalty unit’ (see Table 6).</w:t>
      </w:r>
    </w:p>
    <w:p w14:paraId="6BB47BC8" w14:textId="77777777" w:rsidR="00F312E3" w:rsidRPr="00E97447" w:rsidRDefault="00F312E3" w:rsidP="00FF41B4">
      <w:pPr>
        <w:spacing w:after="240"/>
        <w:jc w:val="both"/>
      </w:pPr>
      <w:r w:rsidRPr="00E97447">
        <w:t xml:space="preserve">In sum, the changes to the </w:t>
      </w:r>
      <w:r w:rsidRPr="00E97447">
        <w:rPr>
          <w:i/>
        </w:rPr>
        <w:t>Public Health Act</w:t>
      </w:r>
      <w:r w:rsidRPr="00E97447">
        <w:t xml:space="preserve"> </w:t>
      </w:r>
      <w:proofErr w:type="gramStart"/>
      <w:r w:rsidRPr="00E97447">
        <w:t>can be expected</w:t>
      </w:r>
      <w:proofErr w:type="gramEnd"/>
      <w:r w:rsidRPr="00E97447">
        <w:t xml:space="preserve"> to have had a major impact on reporting of all forms of abuse and neglect by doctors and nurses since 31 August 2005.</w:t>
      </w:r>
    </w:p>
    <w:p w14:paraId="05FD889E" w14:textId="77777777" w:rsidR="00F312E3" w:rsidRPr="00B57A5C" w:rsidRDefault="00F312E3" w:rsidP="009219E6">
      <w:pPr>
        <w:pStyle w:val="Heading7"/>
        <w:spacing w:after="240"/>
        <w:jc w:val="both"/>
        <w:rPr>
          <w:i w:val="0"/>
        </w:rPr>
      </w:pPr>
      <w:r w:rsidRPr="00B57A5C">
        <w:rPr>
          <w:i w:val="0"/>
        </w:rPr>
        <w:t>Current position for teachers</w:t>
      </w:r>
    </w:p>
    <w:p w14:paraId="6A6ECAAC" w14:textId="77777777" w:rsidR="00F312E3" w:rsidRPr="00E97447" w:rsidRDefault="00F312E3" w:rsidP="00FF41B4">
      <w:pPr>
        <w:jc w:val="both"/>
      </w:pPr>
      <w:r w:rsidRPr="00E97447">
        <w:t>Under the current law, the key provisions are in Chapter 12 Part 10 (</w:t>
      </w:r>
      <w:proofErr w:type="spellStart"/>
      <w:r w:rsidRPr="00E97447">
        <w:t>ss</w:t>
      </w:r>
      <w:proofErr w:type="spellEnd"/>
      <w:r w:rsidRPr="00E97447">
        <w:t xml:space="preserve"> 364-366B). Section 364 defines relevant terms, including ‘employee’ and ‘sexual abuse’. Unlike the other Queensland legislation (PHA), and in contrast to all other Australian jurisdictions except WA, ‘sexual abuse’ is defined in s 364 in extensive conceptual terms which do not include plain explanations of the kinds of acts included – namely:</w:t>
      </w:r>
    </w:p>
    <w:p w14:paraId="376207F2" w14:textId="77777777" w:rsidR="00F312E3" w:rsidRPr="00E97447" w:rsidRDefault="00F312E3" w:rsidP="00FF41B4">
      <w:pPr>
        <w:ind w:left="720"/>
        <w:jc w:val="both"/>
      </w:pPr>
      <w:r w:rsidRPr="00E97447">
        <w:t>‘</w:t>
      </w:r>
      <w:proofErr w:type="gramStart"/>
      <w:r w:rsidRPr="00E97447">
        <w:t>sexual</w:t>
      </w:r>
      <w:proofErr w:type="gramEnd"/>
      <w:r w:rsidRPr="00E97447">
        <w:t xml:space="preserve"> abuse’ includes sexual behaviour involving the relevant person and another person in the following circumstances—</w:t>
      </w:r>
    </w:p>
    <w:p w14:paraId="46D79220" w14:textId="1D183925" w:rsidR="00F312E3" w:rsidRPr="00E97447" w:rsidRDefault="00F312E3" w:rsidP="001B0227">
      <w:pPr>
        <w:pStyle w:val="ListParagraph"/>
        <w:numPr>
          <w:ilvl w:val="1"/>
          <w:numId w:val="66"/>
        </w:numPr>
        <w:jc w:val="both"/>
      </w:pPr>
      <w:r w:rsidRPr="00E97447">
        <w:t>the other person bribes, coerces, exploits, threatens or is violent toward the relevant person;</w:t>
      </w:r>
    </w:p>
    <w:p w14:paraId="570DACD7" w14:textId="0E1E0F93" w:rsidR="00F312E3" w:rsidRPr="00E97447" w:rsidRDefault="00F312E3" w:rsidP="001B0227">
      <w:pPr>
        <w:pStyle w:val="ListParagraph"/>
        <w:numPr>
          <w:ilvl w:val="1"/>
          <w:numId w:val="66"/>
        </w:numPr>
        <w:jc w:val="both"/>
      </w:pPr>
      <w:r w:rsidRPr="00E97447">
        <w:t>the relevant person has less power than the other person;</w:t>
      </w:r>
    </w:p>
    <w:p w14:paraId="42AC9E6E" w14:textId="1574934A" w:rsidR="00F312E3" w:rsidRPr="00E97447" w:rsidRDefault="00F312E3" w:rsidP="001B0227">
      <w:pPr>
        <w:pStyle w:val="ListParagraph"/>
        <w:numPr>
          <w:ilvl w:val="1"/>
          <w:numId w:val="66"/>
        </w:numPr>
        <w:jc w:val="both"/>
      </w:pPr>
      <w:proofErr w:type="gramStart"/>
      <w:r w:rsidRPr="00E97447">
        <w:lastRenderedPageBreak/>
        <w:t>there</w:t>
      </w:r>
      <w:proofErr w:type="gramEnd"/>
      <w:r w:rsidRPr="00E97447">
        <w:t xml:space="preserve"> is a significant disparity between the relevant person and the other person in intellectual capacity or maturity.</w:t>
      </w:r>
    </w:p>
    <w:p w14:paraId="7346B222" w14:textId="77777777" w:rsidR="00F312E3" w:rsidRPr="00E97447" w:rsidRDefault="00F312E3" w:rsidP="00FF41B4">
      <w:pPr>
        <w:jc w:val="both"/>
      </w:pPr>
      <w:r w:rsidRPr="00E97447">
        <w:t xml:space="preserve">Sections 365 and 366 set out the duty to report sexual abuse for staff members of State and non-State schools respectively. This duty applies to suspected cases of sexual abuse that have already occurred, or which are occurring. Sections 365A and 366A set out the duty for staff members of State and non-State schools respectively to report suspected </w:t>
      </w:r>
      <w:r w:rsidRPr="00E97447">
        <w:rPr>
          <w:b/>
          <w:i/>
        </w:rPr>
        <w:t>likely</w:t>
      </w:r>
      <w:r w:rsidRPr="00E97447">
        <w:t xml:space="preserve"> sexual abuse. This duty applies to suspected cases of sexual abuse that have not yet occurred, but which are thought likely to occur (an example is where the suspicion arises by observing the child being groomed for abuse). </w:t>
      </w:r>
    </w:p>
    <w:p w14:paraId="7A2CA9D3" w14:textId="77777777" w:rsidR="00F312E3" w:rsidRPr="00E97447" w:rsidRDefault="00F312E3" w:rsidP="00FF41B4">
      <w:pPr>
        <w:jc w:val="both"/>
      </w:pPr>
      <w:r w:rsidRPr="00E97447">
        <w:t xml:space="preserve">In the case of </w:t>
      </w:r>
      <w:proofErr w:type="spellStart"/>
      <w:r w:rsidRPr="00E97447">
        <w:t>ss</w:t>
      </w:r>
      <w:proofErr w:type="spellEnd"/>
      <w:r w:rsidRPr="00E97447">
        <w:t xml:space="preserve"> 365 and 366, the state of </w:t>
      </w:r>
      <w:proofErr w:type="gramStart"/>
      <w:r w:rsidRPr="00E97447">
        <w:t>mind which activates the duty to report</w:t>
      </w:r>
      <w:proofErr w:type="gramEnd"/>
      <w:r w:rsidRPr="00E97447">
        <w:t xml:space="preserve"> exists when the staff member ‘becomes aware, or reasonably suspects, in the course of the staff member’s employment at the school’. In the case of </w:t>
      </w:r>
      <w:proofErr w:type="spellStart"/>
      <w:r w:rsidRPr="00E97447">
        <w:t>ss</w:t>
      </w:r>
      <w:proofErr w:type="spellEnd"/>
      <w:r w:rsidRPr="00E97447">
        <w:t xml:space="preserve"> 365A and 366A, the state of </w:t>
      </w:r>
      <w:proofErr w:type="gramStart"/>
      <w:r w:rsidRPr="00E97447">
        <w:t>mind which activates the duty to report</w:t>
      </w:r>
      <w:proofErr w:type="gramEnd"/>
      <w:r w:rsidRPr="00E97447">
        <w:t xml:space="preserve"> exists when the staff member ‘reasonably suspects, in the course of the staff member’s employment at the school’. The report must be written, and provided immediately (365(2); </w:t>
      </w:r>
      <w:proofErr w:type="gramStart"/>
      <w:r w:rsidRPr="00E97447">
        <w:t>365A(</w:t>
      </w:r>
      <w:proofErr w:type="gramEnd"/>
      <w:r w:rsidRPr="00E97447">
        <w:t>2); 366(2); 366A(2)). For suspected cases of past and present abuse, a penalty for noncompliance exists of 20 penalty units ($2200).</w:t>
      </w:r>
      <w:r w:rsidRPr="00E97447">
        <w:rPr>
          <w:rStyle w:val="FootnoteReference"/>
        </w:rPr>
        <w:footnoteReference w:id="33"/>
      </w:r>
      <w:r w:rsidRPr="00E97447">
        <w:t xml:space="preserve"> However, no penalty </w:t>
      </w:r>
      <w:proofErr w:type="gramStart"/>
      <w:r w:rsidRPr="00E97447">
        <w:t>is attached</w:t>
      </w:r>
      <w:proofErr w:type="gramEnd"/>
      <w:r w:rsidRPr="00E97447">
        <w:t xml:space="preserve"> to the obligation to report suspected likely abuse.</w:t>
      </w:r>
      <w:r w:rsidRPr="00E97447">
        <w:rPr>
          <w:rStyle w:val="FootnoteReference"/>
        </w:rPr>
        <w:footnoteReference w:id="34"/>
      </w:r>
    </w:p>
    <w:p w14:paraId="1E7BFE03" w14:textId="77777777" w:rsidR="00F312E3" w:rsidRPr="00E97447" w:rsidRDefault="00F312E3" w:rsidP="00FF41B4">
      <w:pPr>
        <w:jc w:val="both"/>
      </w:pPr>
      <w:r w:rsidRPr="00E97447">
        <w:t>Immunity from civil, criminal and administrative proceedings in relation to a report made in good faith is conferred (</w:t>
      </w:r>
      <w:proofErr w:type="spellStart"/>
      <w:r w:rsidRPr="00E97447">
        <w:t>ss</w:t>
      </w:r>
      <w:proofErr w:type="spellEnd"/>
      <w:r w:rsidRPr="00E97447">
        <w:t xml:space="preserve"> 365(6) and (7), </w:t>
      </w:r>
      <w:proofErr w:type="gramStart"/>
      <w:r w:rsidRPr="00E97447">
        <w:t>365A(</w:t>
      </w:r>
      <w:proofErr w:type="gramEnd"/>
      <w:r w:rsidRPr="00E97447">
        <w:t xml:space="preserve">8) and (9), 366(5) and (6), and 366A(7) and (8)). Confidentiality of the reporter’s identity </w:t>
      </w:r>
      <w:proofErr w:type="gramStart"/>
      <w:r w:rsidRPr="00E97447">
        <w:t>is not expressly conferred</w:t>
      </w:r>
      <w:proofErr w:type="gramEnd"/>
      <w:r w:rsidRPr="00E97447">
        <w:t xml:space="preserve"> by EGPA; arguably, it also is not conferred by the </w:t>
      </w:r>
      <w:r w:rsidRPr="00E97447">
        <w:rPr>
          <w:i/>
        </w:rPr>
        <w:t xml:space="preserve">Child </w:t>
      </w:r>
      <w:r w:rsidRPr="00E97447">
        <w:rPr>
          <w:i/>
        </w:rPr>
        <w:lastRenderedPageBreak/>
        <w:t>Protection Act 1999</w:t>
      </w:r>
      <w:r w:rsidRPr="00E97447">
        <w:t xml:space="preserve"> (Qld) s 186, which applies to those who make reports directly to police, the CEO of the Department administering the CPA, or an authorized officer.</w:t>
      </w:r>
      <w:r w:rsidRPr="00E97447">
        <w:rPr>
          <w:vertAlign w:val="superscript"/>
        </w:rPr>
        <w:footnoteReference w:id="35"/>
      </w:r>
    </w:p>
    <w:p w14:paraId="15CC8465" w14:textId="77777777" w:rsidR="00F312E3" w:rsidRPr="00E97447" w:rsidRDefault="00F312E3" w:rsidP="00FF41B4">
      <w:pPr>
        <w:pStyle w:val="Heading7"/>
        <w:jc w:val="both"/>
      </w:pPr>
      <w:r w:rsidRPr="00E97447">
        <w:t xml:space="preserve">Important note </w:t>
      </w:r>
    </w:p>
    <w:p w14:paraId="61FFDF38" w14:textId="77777777" w:rsidR="00F312E3" w:rsidRPr="00E97447" w:rsidRDefault="00F312E3" w:rsidP="00FF41B4">
      <w:pPr>
        <w:jc w:val="both"/>
      </w:pPr>
      <w:r w:rsidRPr="00E97447">
        <w:t xml:space="preserve">In 2014, the </w:t>
      </w:r>
      <w:r w:rsidRPr="00E97447">
        <w:rPr>
          <w:i/>
        </w:rPr>
        <w:t>Child Protection Reform Amendment Act 2014</w:t>
      </w:r>
      <w:r w:rsidRPr="00E97447">
        <w:t xml:space="preserve"> (Qld) </w:t>
      </w:r>
      <w:proofErr w:type="gramStart"/>
      <w:r w:rsidRPr="00E97447">
        <w:t>was passed</w:t>
      </w:r>
      <w:proofErr w:type="gramEnd"/>
      <w:r w:rsidRPr="00E97447">
        <w:t>,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302360F4" w14:textId="77777777" w:rsidR="00F312E3" w:rsidRPr="00E97447" w:rsidRDefault="00F312E3" w:rsidP="00FF41B4">
      <w:pPr>
        <w:jc w:val="both"/>
        <w:sectPr w:rsidR="00F312E3" w:rsidRPr="00E97447" w:rsidSect="00D650B4">
          <w:pgSz w:w="11900" w:h="16840"/>
          <w:pgMar w:top="1134" w:right="1134" w:bottom="1134" w:left="1134" w:header="708" w:footer="708" w:gutter="0"/>
          <w:cols w:space="708"/>
          <w:docGrid w:linePitch="360"/>
        </w:sectPr>
      </w:pPr>
    </w:p>
    <w:p w14:paraId="584B42E9" w14:textId="77777777" w:rsidR="00F312E3" w:rsidRPr="00E65E8E" w:rsidRDefault="00F312E3" w:rsidP="00FF41B4">
      <w:pPr>
        <w:pStyle w:val="Heading7"/>
        <w:jc w:val="both"/>
      </w:pPr>
      <w:r w:rsidRPr="00E65E8E">
        <w:lastRenderedPageBreak/>
        <w:t>Figure 1.4: Timeline showing key developments, Queensland, 2003-2012</w:t>
      </w:r>
    </w:p>
    <w:p w14:paraId="5A52CF6B" w14:textId="77777777" w:rsidR="00F312E3" w:rsidRPr="0052480C" w:rsidRDefault="00F312E3" w:rsidP="00FF41B4">
      <w:pPr>
        <w:jc w:val="both"/>
        <w:rPr>
          <w:rFonts w:asciiTheme="majorHAnsi" w:hAnsiTheme="majorHAnsi"/>
        </w:rPr>
      </w:pPr>
    </w:p>
    <w:p w14:paraId="1E686EBC" w14:textId="29CAE15C" w:rsidR="00F312E3" w:rsidRPr="0052480C" w:rsidRDefault="00F312E3" w:rsidP="00FF41B4">
      <w:pPr>
        <w:jc w:val="both"/>
        <w:rPr>
          <w:rFonts w:asciiTheme="majorHAnsi" w:hAnsiTheme="majorHAnsi"/>
        </w:rPr>
        <w:sectPr w:rsidR="00F312E3" w:rsidRPr="0052480C" w:rsidSect="00D650B4">
          <w:pgSz w:w="16840" w:h="11900" w:orient="landscape"/>
          <w:pgMar w:top="1134" w:right="1134" w:bottom="1134" w:left="1134" w:header="708" w:footer="708" w:gutter="0"/>
          <w:cols w:space="708"/>
          <w:docGrid w:linePitch="360"/>
        </w:sectPr>
      </w:pPr>
      <w:r>
        <w:rPr>
          <w:rFonts w:asciiTheme="majorHAnsi" w:hAnsiTheme="majorHAnsi"/>
          <w:noProof/>
          <w:lang w:eastAsia="en-AU"/>
        </w:rPr>
        <w:drawing>
          <wp:inline distT="0" distB="0" distL="0" distR="0" wp14:anchorId="23BD49AB" wp14:editId="458849B3">
            <wp:extent cx="9248775" cy="3629025"/>
            <wp:effectExtent l="0" t="0" r="9525" b="9525"/>
            <wp:docPr id="5" name="Picture 5" descr="Shows that in Qld in 2003 only doctors were mandated reporters, with no penalty for non-compliance. In 2004 school staff required to report sexual abuse by school employees, and in 2005 nurses became mandated reporters while doctors’ duties were clarified and penalties introduced. In 2012 teachers required to report all forms of sexual abuse and risks of future sexual abuse."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276CE522" w14:textId="77777777" w:rsidR="00F312E3" w:rsidRPr="0052480C" w:rsidRDefault="00F312E3" w:rsidP="00FF41B4">
      <w:pPr>
        <w:pStyle w:val="Heading5"/>
        <w:jc w:val="both"/>
      </w:pPr>
      <w:bookmarkStart w:id="39" w:name="_Toc400110673"/>
      <w:r>
        <w:lastRenderedPageBreak/>
        <w:t xml:space="preserve">1.5.5. </w:t>
      </w:r>
      <w:r w:rsidRPr="0052480C">
        <w:t>South Australia</w:t>
      </w:r>
      <w:bookmarkEnd w:id="39"/>
    </w:p>
    <w:p w14:paraId="179F2418" w14:textId="77777777" w:rsidR="00F312E3" w:rsidRPr="0052480C" w:rsidRDefault="00F312E3" w:rsidP="00E65E8E">
      <w:pPr>
        <w:pStyle w:val="Heading6"/>
        <w:spacing w:after="240"/>
        <w:jc w:val="both"/>
      </w:pPr>
      <w:r>
        <w:t xml:space="preserve">1.5.5.1. </w:t>
      </w:r>
      <w:r w:rsidRPr="0052480C">
        <w:t>Original position at 1 January 2003: South Australia</w:t>
      </w:r>
    </w:p>
    <w:p w14:paraId="4F385EEC" w14:textId="77777777" w:rsidR="00F312E3" w:rsidRPr="00B57A5C" w:rsidRDefault="00F312E3" w:rsidP="00E65E8E">
      <w:pPr>
        <w:pStyle w:val="Heading7"/>
        <w:spacing w:after="240"/>
        <w:jc w:val="both"/>
        <w:rPr>
          <w:i w:val="0"/>
        </w:rPr>
      </w:pPr>
      <w:r w:rsidRPr="00B57A5C">
        <w:rPr>
          <w:i w:val="0"/>
        </w:rPr>
        <w:t>Children’s Protection Act 1993</w:t>
      </w:r>
    </w:p>
    <w:p w14:paraId="409E5209" w14:textId="77777777" w:rsidR="00F312E3" w:rsidRPr="00E97447" w:rsidRDefault="00F312E3" w:rsidP="00FF41B4">
      <w:pPr>
        <w:jc w:val="both"/>
      </w:pPr>
      <w:r w:rsidRPr="00E97447">
        <w:t xml:space="preserve">In South Australia at 1 January 2003, the </w:t>
      </w:r>
      <w:r w:rsidRPr="00E97447">
        <w:rPr>
          <w:i/>
        </w:rPr>
        <w:t>Children’s Protection Act 1993</w:t>
      </w:r>
      <w:r w:rsidRPr="00E97447">
        <w:t xml:space="preserve"> (SA) s 11(1) imposed a broad range of mandatory reporting duties for all four classical forms of abuse and neglect. ‘Abuse or neglect’ </w:t>
      </w:r>
      <w:proofErr w:type="gramStart"/>
      <w:r w:rsidRPr="00E97447">
        <w:t>was defined</w:t>
      </w:r>
      <w:proofErr w:type="gramEnd"/>
      <w:r w:rsidRPr="00E97447">
        <w:t xml:space="preserve"> in s 6(1) to include:</w:t>
      </w:r>
    </w:p>
    <w:p w14:paraId="14BDF5FE" w14:textId="1D18EFC4" w:rsidR="00F312E3" w:rsidRPr="00E97447" w:rsidRDefault="00F312E3" w:rsidP="001B0227">
      <w:pPr>
        <w:pStyle w:val="ListParagraph"/>
        <w:numPr>
          <w:ilvl w:val="1"/>
          <w:numId w:val="64"/>
        </w:numPr>
        <w:ind w:left="1080"/>
        <w:jc w:val="both"/>
      </w:pPr>
      <w:r w:rsidRPr="00E97447">
        <w:t xml:space="preserve">sexual abuse; or </w:t>
      </w:r>
    </w:p>
    <w:p w14:paraId="5692D921" w14:textId="6174DBE4" w:rsidR="00F312E3" w:rsidRPr="00E97447" w:rsidRDefault="00F312E3" w:rsidP="001B0227">
      <w:pPr>
        <w:pStyle w:val="ListParagraph"/>
        <w:numPr>
          <w:ilvl w:val="1"/>
          <w:numId w:val="64"/>
        </w:numPr>
        <w:ind w:left="1080"/>
        <w:jc w:val="both"/>
      </w:pPr>
      <w:r w:rsidRPr="00E97447">
        <w:t>physical or emotional abuse, or neglect, to the extent that:</w:t>
      </w:r>
    </w:p>
    <w:p w14:paraId="5AA0A83E" w14:textId="235CCEF4" w:rsidR="00F312E3" w:rsidRPr="00E97447" w:rsidRDefault="00F312E3" w:rsidP="001B0227">
      <w:pPr>
        <w:pStyle w:val="ListParagraph"/>
        <w:numPr>
          <w:ilvl w:val="0"/>
          <w:numId w:val="67"/>
        </w:numPr>
        <w:ind w:hanging="630"/>
        <w:jc w:val="both"/>
      </w:pPr>
      <w:r w:rsidRPr="00E97447">
        <w:t xml:space="preserve">the child has suffered, or is likely to suffer, physical or psychological injury detrimental to the child’s wellbeing; or </w:t>
      </w:r>
    </w:p>
    <w:p w14:paraId="606349E2" w14:textId="152B2AFD" w:rsidR="00F312E3" w:rsidRPr="00E97447" w:rsidRDefault="00F312E3" w:rsidP="001B0227">
      <w:pPr>
        <w:pStyle w:val="ListParagraph"/>
        <w:numPr>
          <w:ilvl w:val="0"/>
          <w:numId w:val="67"/>
        </w:numPr>
        <w:ind w:hanging="630"/>
        <w:jc w:val="both"/>
      </w:pPr>
      <w:r w:rsidRPr="00E97447">
        <w:t>the child’s physical or psychological development is in jeopardy</w:t>
      </w:r>
    </w:p>
    <w:p w14:paraId="5C164A80" w14:textId="77777777" w:rsidR="00F312E3" w:rsidRPr="00E97447" w:rsidRDefault="00F312E3" w:rsidP="00FF41B4">
      <w:pPr>
        <w:jc w:val="both"/>
      </w:pPr>
      <w:r w:rsidRPr="00E97447">
        <w:t>Therefore, there was a significance threshold for all types of abuse/neglect other than sexual abuse. Section 11(1</w:t>
      </w:r>
      <w:proofErr w:type="gramStart"/>
      <w:r w:rsidRPr="00E97447">
        <w:t>)(</w:t>
      </w:r>
      <w:proofErr w:type="gramEnd"/>
      <w:r w:rsidRPr="00E97447">
        <w:t>a) imposed the reporting duty on a designated person who ‘suspects on reasonable grounds that a child has been or is being abused or neglected’. In addition, s 10 included within the concept of ‘abuse or neglect’ ‘a reasonable likelihood, in terms of s 6(2</w:t>
      </w:r>
      <w:proofErr w:type="gramStart"/>
      <w:r w:rsidRPr="00E97447">
        <w:t>)(</w:t>
      </w:r>
      <w:proofErr w:type="gramEnd"/>
      <w:r w:rsidRPr="00E97447">
        <w:t>b), of the child being killed, injured, abused or neglected by a person with whom the child resides’.</w:t>
      </w:r>
      <w:r w:rsidRPr="00E97447">
        <w:rPr>
          <w:rStyle w:val="FootnoteReference"/>
        </w:rPr>
        <w:footnoteReference w:id="36"/>
      </w:r>
      <w:r w:rsidRPr="00E97447">
        <w:t xml:space="preserve">  Therefore, there was also a qualified duty to report suspected risk of future abuse/neglect.</w:t>
      </w:r>
    </w:p>
    <w:p w14:paraId="5E3503D0" w14:textId="77777777" w:rsidR="00F312E3" w:rsidRPr="00E97447" w:rsidRDefault="00F312E3" w:rsidP="00FF41B4">
      <w:pPr>
        <w:jc w:val="both"/>
      </w:pPr>
      <w:r w:rsidRPr="00E97447">
        <w:t xml:space="preserve">Section 11(1) imposed the duty when the suspicion was formed in the course of the person’s work (whether paid or voluntary) or of carrying out official duties. Immunity </w:t>
      </w:r>
      <w:proofErr w:type="gramStart"/>
      <w:r w:rsidRPr="00E97447">
        <w:t>was conferred</w:t>
      </w:r>
      <w:proofErr w:type="gramEnd"/>
      <w:r w:rsidRPr="00E97447">
        <w:t xml:space="preserve"> by s 12. Confidentiality </w:t>
      </w:r>
      <w:proofErr w:type="gramStart"/>
      <w:r w:rsidRPr="00E97447">
        <w:t>was conferred</w:t>
      </w:r>
      <w:proofErr w:type="gramEnd"/>
      <w:r w:rsidRPr="00E97447">
        <w:t xml:space="preserve"> by s 13. The penalty for noncompliance was $2500. </w:t>
      </w:r>
    </w:p>
    <w:p w14:paraId="32E0314F" w14:textId="77777777" w:rsidR="00F312E3" w:rsidRPr="00E97447" w:rsidRDefault="00F312E3" w:rsidP="00FF41B4">
      <w:pPr>
        <w:jc w:val="both"/>
      </w:pPr>
      <w:r w:rsidRPr="00E97447">
        <w:t>Section 11(2) imposed the duty on a broad range of professionals:</w:t>
      </w:r>
    </w:p>
    <w:p w14:paraId="5DD06902" w14:textId="64F6C335" w:rsidR="00F312E3" w:rsidRPr="00E97447" w:rsidRDefault="00610DE2" w:rsidP="00610DE2">
      <w:pPr>
        <w:spacing w:before="0"/>
        <w:ind w:left="720"/>
        <w:jc w:val="both"/>
      </w:pPr>
      <w:r>
        <w:t>(a)</w:t>
      </w:r>
      <w:r>
        <w:tab/>
      </w:r>
      <w:proofErr w:type="gramStart"/>
      <w:r w:rsidR="00F312E3" w:rsidRPr="00E97447">
        <w:t>medical</w:t>
      </w:r>
      <w:proofErr w:type="gramEnd"/>
      <w:r w:rsidR="00F312E3" w:rsidRPr="00E97447">
        <w:t xml:space="preserve"> practitioners</w:t>
      </w:r>
    </w:p>
    <w:p w14:paraId="1F594C3E" w14:textId="69ABBDD0" w:rsidR="00F312E3" w:rsidRPr="00E97447" w:rsidRDefault="00610DE2" w:rsidP="00610DE2">
      <w:pPr>
        <w:spacing w:before="0"/>
        <w:ind w:left="720"/>
        <w:jc w:val="both"/>
      </w:pPr>
      <w:r>
        <w:t>(</w:t>
      </w:r>
      <w:proofErr w:type="gramStart"/>
      <w:r>
        <w:t>ab</w:t>
      </w:r>
      <w:proofErr w:type="gramEnd"/>
      <w:r>
        <w:t>)</w:t>
      </w:r>
      <w:r>
        <w:tab/>
      </w:r>
      <w:r w:rsidR="00F312E3" w:rsidRPr="00E97447">
        <w:t>pharmacists</w:t>
      </w:r>
    </w:p>
    <w:p w14:paraId="3FCEAA2F" w14:textId="7C9DD489" w:rsidR="00F312E3" w:rsidRPr="00E97447" w:rsidRDefault="00610DE2" w:rsidP="00610DE2">
      <w:pPr>
        <w:spacing w:before="0"/>
        <w:ind w:left="720"/>
        <w:jc w:val="both"/>
      </w:pPr>
      <w:r>
        <w:lastRenderedPageBreak/>
        <w:t>(b)</w:t>
      </w:r>
      <w:r>
        <w:tab/>
      </w:r>
      <w:proofErr w:type="gramStart"/>
      <w:r w:rsidR="00F312E3" w:rsidRPr="00E97447">
        <w:t>registered</w:t>
      </w:r>
      <w:proofErr w:type="gramEnd"/>
      <w:r w:rsidR="00F312E3" w:rsidRPr="00E97447">
        <w:t xml:space="preserve"> or enrolled nurses</w:t>
      </w:r>
    </w:p>
    <w:p w14:paraId="7663A7BC" w14:textId="2F1125AF" w:rsidR="00F312E3" w:rsidRPr="00E97447" w:rsidRDefault="00610DE2" w:rsidP="00610DE2">
      <w:pPr>
        <w:spacing w:before="0"/>
        <w:ind w:left="720"/>
        <w:jc w:val="both"/>
      </w:pPr>
      <w:r>
        <w:t>(c)</w:t>
      </w:r>
      <w:r>
        <w:tab/>
      </w:r>
      <w:proofErr w:type="gramStart"/>
      <w:r w:rsidR="00F312E3" w:rsidRPr="00E97447">
        <w:t>dentists</w:t>
      </w:r>
      <w:proofErr w:type="gramEnd"/>
    </w:p>
    <w:p w14:paraId="6826CF41" w14:textId="3FDF7A13" w:rsidR="00F312E3" w:rsidRPr="00E97447" w:rsidRDefault="00610DE2" w:rsidP="00610DE2">
      <w:pPr>
        <w:spacing w:before="0"/>
        <w:ind w:left="720"/>
        <w:jc w:val="both"/>
      </w:pPr>
      <w:r>
        <w:t>(d)</w:t>
      </w:r>
      <w:r>
        <w:tab/>
      </w:r>
      <w:proofErr w:type="gramStart"/>
      <w:r w:rsidR="00F312E3" w:rsidRPr="00E97447">
        <w:t>psychologists</w:t>
      </w:r>
      <w:proofErr w:type="gramEnd"/>
    </w:p>
    <w:p w14:paraId="33E9E979" w14:textId="0C341FC8" w:rsidR="00F312E3" w:rsidRPr="00E97447" w:rsidRDefault="00610DE2" w:rsidP="00610DE2">
      <w:pPr>
        <w:spacing w:before="0"/>
        <w:ind w:left="720"/>
        <w:jc w:val="both"/>
      </w:pPr>
      <w:r>
        <w:t>(e)</w:t>
      </w:r>
      <w:r>
        <w:tab/>
      </w:r>
      <w:proofErr w:type="gramStart"/>
      <w:r w:rsidR="00F312E3" w:rsidRPr="00E97447">
        <w:t>police</w:t>
      </w:r>
      <w:proofErr w:type="gramEnd"/>
    </w:p>
    <w:p w14:paraId="2FAEA046" w14:textId="46B3FABF" w:rsidR="00F312E3" w:rsidRPr="00E97447" w:rsidRDefault="00610DE2" w:rsidP="00610DE2">
      <w:pPr>
        <w:spacing w:before="0"/>
        <w:ind w:left="720"/>
        <w:jc w:val="both"/>
      </w:pPr>
      <w:r>
        <w:t>(f)</w:t>
      </w:r>
      <w:r>
        <w:tab/>
      </w:r>
      <w:proofErr w:type="gramStart"/>
      <w:r w:rsidR="00F312E3" w:rsidRPr="00E97447">
        <w:t>community</w:t>
      </w:r>
      <w:proofErr w:type="gramEnd"/>
      <w:r w:rsidR="00F312E3" w:rsidRPr="00E97447">
        <w:t xml:space="preserve"> corrections officers</w:t>
      </w:r>
    </w:p>
    <w:p w14:paraId="594764AF" w14:textId="01A748FB" w:rsidR="00F312E3" w:rsidRPr="00E97447" w:rsidRDefault="00610DE2" w:rsidP="00610DE2">
      <w:pPr>
        <w:spacing w:before="0"/>
        <w:ind w:left="720"/>
        <w:jc w:val="both"/>
      </w:pPr>
      <w:r>
        <w:t>(g)</w:t>
      </w:r>
      <w:r>
        <w:tab/>
      </w:r>
      <w:proofErr w:type="gramStart"/>
      <w:r w:rsidR="00F312E3" w:rsidRPr="00E97447">
        <w:t>social</w:t>
      </w:r>
      <w:proofErr w:type="gramEnd"/>
      <w:r w:rsidR="00F312E3" w:rsidRPr="00E97447">
        <w:t xml:space="preserve"> workers</w:t>
      </w:r>
    </w:p>
    <w:p w14:paraId="22EE83D0" w14:textId="09A785A0" w:rsidR="00F312E3" w:rsidRPr="00E97447" w:rsidRDefault="00610DE2" w:rsidP="00610DE2">
      <w:pPr>
        <w:spacing w:before="0"/>
        <w:ind w:left="720"/>
        <w:jc w:val="both"/>
      </w:pPr>
      <w:r>
        <w:t>(h)</w:t>
      </w:r>
      <w:r>
        <w:tab/>
      </w:r>
      <w:proofErr w:type="gramStart"/>
      <w:r w:rsidR="00F312E3" w:rsidRPr="00E97447">
        <w:t>teachers</w:t>
      </w:r>
      <w:proofErr w:type="gramEnd"/>
      <w:r w:rsidR="00F312E3" w:rsidRPr="00E97447">
        <w:t xml:space="preserve"> in any educational institution including a kindergarten</w:t>
      </w:r>
    </w:p>
    <w:p w14:paraId="33438E2B" w14:textId="7ABE06B1" w:rsidR="00F312E3" w:rsidRPr="00E97447" w:rsidRDefault="00610DE2" w:rsidP="00610DE2">
      <w:pPr>
        <w:spacing w:before="0"/>
        <w:ind w:left="720"/>
        <w:jc w:val="both"/>
      </w:pPr>
      <w:r>
        <w:t>(</w:t>
      </w:r>
      <w:proofErr w:type="spellStart"/>
      <w:r>
        <w:t>i</w:t>
      </w:r>
      <w:proofErr w:type="spellEnd"/>
      <w:r>
        <w:t>)</w:t>
      </w:r>
      <w:r>
        <w:tab/>
      </w:r>
      <w:proofErr w:type="gramStart"/>
      <w:r w:rsidR="00F312E3" w:rsidRPr="00E97447">
        <w:t>approved</w:t>
      </w:r>
      <w:proofErr w:type="gramEnd"/>
      <w:r w:rsidR="00F312E3" w:rsidRPr="00E97447">
        <w:t xml:space="preserve"> family day care providers</w:t>
      </w:r>
    </w:p>
    <w:p w14:paraId="39ED0A91" w14:textId="278DA725" w:rsidR="00893FE4" w:rsidRDefault="00610DE2" w:rsidP="00610DE2">
      <w:pPr>
        <w:spacing w:before="0"/>
        <w:ind w:left="720"/>
        <w:jc w:val="both"/>
      </w:pPr>
      <w:r>
        <w:t>(j)</w:t>
      </w:r>
      <w:r>
        <w:tab/>
      </w:r>
      <w:proofErr w:type="gramStart"/>
      <w:r w:rsidR="00F312E3" w:rsidRPr="00E97447">
        <w:t>employees</w:t>
      </w:r>
      <w:proofErr w:type="gramEnd"/>
      <w:r w:rsidR="00F312E3" w:rsidRPr="00E97447">
        <w:t xml:space="preserve"> and volunteers in government departments or local government or non-</w:t>
      </w:r>
      <w:r>
        <w:tab/>
      </w:r>
      <w:r w:rsidR="00F312E3" w:rsidRPr="00E97447">
        <w:t xml:space="preserve">government agencies providing health, welfare, education, child care or residential services </w:t>
      </w:r>
      <w:r>
        <w:tab/>
      </w:r>
      <w:r w:rsidR="00F312E3" w:rsidRPr="00E97447">
        <w:t>wholly or partly for children, whether being a person who</w:t>
      </w:r>
      <w:r w:rsidR="00893FE4">
        <w:t>;</w:t>
      </w:r>
    </w:p>
    <w:p w14:paraId="4440A75C" w14:textId="55E31837" w:rsidR="00893FE4" w:rsidRDefault="00F312E3" w:rsidP="001B0227">
      <w:pPr>
        <w:pStyle w:val="ListParagraph"/>
        <w:numPr>
          <w:ilvl w:val="2"/>
          <w:numId w:val="85"/>
        </w:numPr>
        <w:spacing w:before="0"/>
        <w:ind w:left="2160" w:hanging="720"/>
        <w:jc w:val="both"/>
      </w:pPr>
      <w:r w:rsidRPr="00E97447">
        <w:t xml:space="preserve">is engaged in actual delivery of those services; or </w:t>
      </w:r>
    </w:p>
    <w:p w14:paraId="41B1C5A9" w14:textId="7F614D5C" w:rsidR="00F312E3" w:rsidRPr="00E97447" w:rsidRDefault="00F312E3" w:rsidP="001B0227">
      <w:pPr>
        <w:pStyle w:val="ListParagraph"/>
        <w:numPr>
          <w:ilvl w:val="2"/>
          <w:numId w:val="85"/>
        </w:numPr>
        <w:spacing w:before="0"/>
        <w:ind w:left="2160" w:hanging="720"/>
        <w:jc w:val="both"/>
      </w:pPr>
      <w:proofErr w:type="gramStart"/>
      <w:r w:rsidRPr="00E97447">
        <w:t>holds</w:t>
      </w:r>
      <w:proofErr w:type="gramEnd"/>
      <w:r w:rsidRPr="00E97447">
        <w:t xml:space="preserve"> a management position.</w:t>
      </w:r>
    </w:p>
    <w:p w14:paraId="5BF8CD84" w14:textId="77777777" w:rsidR="00F312E3" w:rsidRPr="0052480C" w:rsidRDefault="00F312E3" w:rsidP="004E1C27">
      <w:pPr>
        <w:pStyle w:val="Heading6"/>
        <w:spacing w:after="240"/>
        <w:jc w:val="both"/>
      </w:pPr>
      <w:r>
        <w:t xml:space="preserve">1.5.5.2. </w:t>
      </w:r>
      <w:r w:rsidRPr="0052480C">
        <w:t>Key changes, 2013-12: South Australia</w:t>
      </w:r>
    </w:p>
    <w:p w14:paraId="72F13B15" w14:textId="77777777" w:rsidR="00F312E3" w:rsidRPr="00E97447" w:rsidRDefault="00F312E3" w:rsidP="00FF41B4">
      <w:pPr>
        <w:spacing w:after="240"/>
        <w:jc w:val="both"/>
      </w:pPr>
      <w:r w:rsidRPr="00E97447">
        <w:t>There have been no substantial, significant changes to the legislation from 2003 to 2012.</w:t>
      </w:r>
      <w:r w:rsidRPr="00E97447">
        <w:rPr>
          <w:rStyle w:val="FootnoteReference"/>
        </w:rPr>
        <w:footnoteReference w:id="37"/>
      </w:r>
      <w:r w:rsidRPr="00E97447">
        <w:t xml:space="preserve"> However, some changes have occurred which may influence reporting practice, especially the addition of new mandated reporter groups.</w:t>
      </w:r>
    </w:p>
    <w:p w14:paraId="2B7497AE" w14:textId="77777777" w:rsidR="00F312E3" w:rsidRPr="0052480C" w:rsidRDefault="00F312E3" w:rsidP="004E1C27">
      <w:pPr>
        <w:pStyle w:val="Heading7"/>
        <w:spacing w:after="240"/>
        <w:jc w:val="both"/>
      </w:pPr>
      <w:r w:rsidRPr="0052480C">
        <w:t>Increased penalty, and new mandated reporters from religious organisations, and sporting or recreational organisations (commencing 31/12/2006)</w:t>
      </w:r>
    </w:p>
    <w:p w14:paraId="32EBBC36" w14:textId="77777777" w:rsidR="00F312E3" w:rsidRPr="00E97447" w:rsidRDefault="00F312E3" w:rsidP="00FF41B4">
      <w:pPr>
        <w:jc w:val="both"/>
      </w:pPr>
      <w:r w:rsidRPr="00E97447">
        <w:t xml:space="preserve">The </w:t>
      </w:r>
      <w:r w:rsidRPr="00E97447">
        <w:rPr>
          <w:i/>
        </w:rPr>
        <w:t>Children’s Protection (Miscellaneous) Amendment Act 2005</w:t>
      </w:r>
      <w:r w:rsidRPr="00E97447">
        <w:t xml:space="preserve"> (SA) (No 76) s 10(1) increased the penalty to $10,000. It may be expected that this may produce more defensive reporting from 2007 onwards, but data analysis will indicate </w:t>
      </w:r>
      <w:proofErr w:type="gramStart"/>
      <w:r w:rsidRPr="00E97447">
        <w:t>whether or not</w:t>
      </w:r>
      <w:proofErr w:type="gramEnd"/>
      <w:r w:rsidRPr="00E97447">
        <w:t xml:space="preserve"> this appears to have occurred.</w:t>
      </w:r>
    </w:p>
    <w:p w14:paraId="18A040D5" w14:textId="77777777" w:rsidR="00F312E3" w:rsidRPr="00E97447" w:rsidRDefault="00F312E3" w:rsidP="00FF41B4">
      <w:pPr>
        <w:jc w:val="both"/>
      </w:pPr>
      <w:r w:rsidRPr="00E97447">
        <w:t xml:space="preserve">The </w:t>
      </w:r>
      <w:r w:rsidRPr="00E97447">
        <w:rPr>
          <w:i/>
        </w:rPr>
        <w:t>Children’s Protection (Miscellaneous) Amendment Act 2005</w:t>
      </w:r>
      <w:r w:rsidRPr="00E97447">
        <w:t xml:space="preserve"> s 10(2) also added new categories of mandated reporters as follows:</w:t>
      </w:r>
    </w:p>
    <w:p w14:paraId="56E3DD5B" w14:textId="77777777" w:rsidR="00F312E3" w:rsidRPr="00E97447" w:rsidRDefault="00F312E3" w:rsidP="001B0227">
      <w:pPr>
        <w:pStyle w:val="ListParagraph"/>
        <w:numPr>
          <w:ilvl w:val="0"/>
          <w:numId w:val="50"/>
        </w:numPr>
        <w:spacing w:before="0"/>
        <w:jc w:val="both"/>
      </w:pPr>
      <w:r w:rsidRPr="00E97447">
        <w:t>(</w:t>
      </w:r>
      <w:proofErr w:type="spellStart"/>
      <w:r w:rsidRPr="00E97447">
        <w:t>ga</w:t>
      </w:r>
      <w:proofErr w:type="spellEnd"/>
      <w:r w:rsidRPr="00E97447">
        <w:t>) a minister of religion;</w:t>
      </w:r>
    </w:p>
    <w:p w14:paraId="7EAFCBD0" w14:textId="77777777" w:rsidR="00F312E3" w:rsidRPr="00E97447" w:rsidRDefault="00F312E3" w:rsidP="001B0227">
      <w:pPr>
        <w:pStyle w:val="ListParagraph"/>
        <w:numPr>
          <w:ilvl w:val="0"/>
          <w:numId w:val="50"/>
        </w:numPr>
        <w:spacing w:before="0"/>
        <w:jc w:val="both"/>
      </w:pPr>
      <w:r w:rsidRPr="00E97447">
        <w:lastRenderedPageBreak/>
        <w:t>(</w:t>
      </w:r>
      <w:proofErr w:type="spellStart"/>
      <w:r w:rsidRPr="00E97447">
        <w:t>gb</w:t>
      </w:r>
      <w:proofErr w:type="spellEnd"/>
      <w:r w:rsidRPr="00E97447">
        <w:t>) a person who is an employee of, or volunteer in, an organization formed for religious or spiritual purposes;</w:t>
      </w:r>
    </w:p>
    <w:p w14:paraId="392AF003" w14:textId="77777777" w:rsidR="00F312E3" w:rsidRPr="00E97447" w:rsidRDefault="00F312E3" w:rsidP="00FF41B4">
      <w:pPr>
        <w:jc w:val="both"/>
      </w:pPr>
      <w:r w:rsidRPr="00E97447">
        <w:t xml:space="preserve">However, a limit </w:t>
      </w:r>
      <w:proofErr w:type="gramStart"/>
      <w:r w:rsidRPr="00E97447">
        <w:t>was placed</w:t>
      </w:r>
      <w:proofErr w:type="gramEnd"/>
      <w:r w:rsidRPr="00E97447">
        <w:t xml:space="preserve"> on clergy’s mandated reporting duty by the 2005 Act s 10(5) inserting a new s 11(4) as follows:</w:t>
      </w:r>
    </w:p>
    <w:p w14:paraId="3F4669E6" w14:textId="77777777" w:rsidR="00F312E3" w:rsidRPr="00E97447" w:rsidRDefault="00F312E3" w:rsidP="00FF41B4">
      <w:pPr>
        <w:pStyle w:val="ListParagraph"/>
        <w:numPr>
          <w:ilvl w:val="0"/>
          <w:numId w:val="2"/>
        </w:numPr>
        <w:spacing w:before="0"/>
        <w:jc w:val="both"/>
      </w:pPr>
      <w:r w:rsidRPr="00E97447">
        <w:t xml:space="preserve">(4) This section </w:t>
      </w:r>
      <w:r w:rsidRPr="00E97447">
        <w:rPr>
          <w:b/>
        </w:rPr>
        <w:t xml:space="preserve">does not </w:t>
      </w:r>
      <w:r w:rsidRPr="00E97447">
        <w:t>require a priest or other minister of religion to divulge information communicated in the course of a confession made in accordance with the rules and usages of the relevant religion.</w:t>
      </w:r>
    </w:p>
    <w:p w14:paraId="0B5968FC" w14:textId="77777777" w:rsidR="00F312E3" w:rsidRPr="00E97447" w:rsidRDefault="00F312E3" w:rsidP="00FF41B4">
      <w:pPr>
        <w:jc w:val="both"/>
      </w:pPr>
      <w:r w:rsidRPr="00E97447">
        <w:t>In addition, s 10(4) added to s 11(2</w:t>
      </w:r>
      <w:proofErr w:type="gramStart"/>
      <w:r w:rsidRPr="00E97447">
        <w:t>)(</w:t>
      </w:r>
      <w:proofErr w:type="gramEnd"/>
      <w:r w:rsidRPr="00E97447">
        <w:t xml:space="preserve">j) </w:t>
      </w:r>
      <w:r w:rsidRPr="00E97447">
        <w:rPr>
          <w:b/>
        </w:rPr>
        <w:t xml:space="preserve">‘sporting or recreational’ </w:t>
      </w:r>
      <w:r w:rsidRPr="00E97447">
        <w:t>organisations</w:t>
      </w:r>
      <w:r w:rsidRPr="00E97447">
        <w:rPr>
          <w:b/>
        </w:rPr>
        <w:t xml:space="preserve"> </w:t>
      </w:r>
      <w:r w:rsidRPr="00E97447">
        <w:t>to the list of services included in the mandatory reporting organisations.</w:t>
      </w:r>
    </w:p>
    <w:p w14:paraId="001D4984" w14:textId="77777777" w:rsidR="00F312E3" w:rsidRPr="00E97447" w:rsidRDefault="00F312E3" w:rsidP="00FF41B4">
      <w:pPr>
        <w:jc w:val="both"/>
      </w:pPr>
      <w:r w:rsidRPr="00E97447">
        <w:t xml:space="preserve">These changes </w:t>
      </w:r>
      <w:proofErr w:type="gramStart"/>
      <w:r w:rsidRPr="00E97447">
        <w:t>may be expected</w:t>
      </w:r>
      <w:proofErr w:type="gramEnd"/>
      <w:r w:rsidRPr="00E97447">
        <w:t xml:space="preserve"> to produce an increase in reports from these groups of professionals.</w:t>
      </w:r>
    </w:p>
    <w:p w14:paraId="7E9A08BE" w14:textId="77777777" w:rsidR="00F312E3" w:rsidRPr="0052480C" w:rsidRDefault="00F312E3" w:rsidP="00B46938">
      <w:pPr>
        <w:pStyle w:val="Heading6"/>
        <w:spacing w:after="240"/>
        <w:jc w:val="both"/>
      </w:pPr>
      <w:r>
        <w:t xml:space="preserve">1.5.5.3. </w:t>
      </w:r>
      <w:r w:rsidRPr="0052480C">
        <w:t>Current position: South Australia</w:t>
      </w:r>
    </w:p>
    <w:p w14:paraId="764E5F47" w14:textId="77777777" w:rsidR="00F312E3" w:rsidRPr="00B46938" w:rsidRDefault="00F312E3" w:rsidP="00FF41B4">
      <w:pPr>
        <w:jc w:val="both"/>
      </w:pPr>
      <w:proofErr w:type="gramStart"/>
      <w:r w:rsidRPr="00B46938">
        <w:t>The duty applies to report reasonable suspicions of all forms of abuse and neglect (but not exposure to domestic violence) with a significance threshold applied to all forms except sexual abuse, requiring the child to have suffered, or to be likely to suffer, physical or psychological injury detrimental to the child’s wellbeing; or to the extent that the child’s physical or psychological development is in jeopardy.</w:t>
      </w:r>
      <w:proofErr w:type="gramEnd"/>
      <w:r w:rsidRPr="00B46938">
        <w:t xml:space="preserve"> The duty </w:t>
      </w:r>
      <w:proofErr w:type="gramStart"/>
      <w:r w:rsidRPr="00B46938">
        <w:t>is applied</w:t>
      </w:r>
      <w:proofErr w:type="gramEnd"/>
      <w:r w:rsidRPr="00B46938">
        <w:t xml:space="preserve"> to a very broad range of persons. There is a somewhat limited duty to report suspected risk of future abuse and neglect. Immunity </w:t>
      </w:r>
      <w:proofErr w:type="gramStart"/>
      <w:r w:rsidRPr="00B46938">
        <w:t>is conferred</w:t>
      </w:r>
      <w:proofErr w:type="gramEnd"/>
      <w:r w:rsidRPr="00B46938">
        <w:t xml:space="preserve"> by s 12. Confidentiality </w:t>
      </w:r>
      <w:proofErr w:type="gramStart"/>
      <w:r w:rsidRPr="00B46938">
        <w:t>is conferred</w:t>
      </w:r>
      <w:proofErr w:type="gramEnd"/>
      <w:r w:rsidRPr="00B46938">
        <w:t xml:space="preserve"> by s 13. The penalty is $10,000.</w:t>
      </w:r>
    </w:p>
    <w:p w14:paraId="37AA1191" w14:textId="77777777" w:rsidR="00F312E3" w:rsidRPr="0052480C" w:rsidRDefault="00F312E3" w:rsidP="00FF41B4">
      <w:pPr>
        <w:jc w:val="both"/>
        <w:rPr>
          <w:rFonts w:asciiTheme="majorHAnsi" w:hAnsiTheme="majorHAnsi"/>
        </w:rPr>
      </w:pPr>
    </w:p>
    <w:p w14:paraId="1270BB60" w14:textId="77777777" w:rsidR="00F312E3" w:rsidRPr="0052480C" w:rsidRDefault="00F312E3" w:rsidP="00FF41B4">
      <w:pPr>
        <w:jc w:val="both"/>
        <w:rPr>
          <w:rFonts w:asciiTheme="majorHAnsi" w:hAnsiTheme="majorHAnsi"/>
        </w:rPr>
        <w:sectPr w:rsidR="00F312E3" w:rsidRPr="0052480C" w:rsidSect="00D650B4">
          <w:pgSz w:w="11900" w:h="16840"/>
          <w:pgMar w:top="1134" w:right="1134" w:bottom="1134" w:left="1134" w:header="708" w:footer="708" w:gutter="0"/>
          <w:cols w:space="708"/>
          <w:docGrid w:linePitch="360"/>
        </w:sectPr>
      </w:pPr>
    </w:p>
    <w:p w14:paraId="09D1013C" w14:textId="77777777" w:rsidR="00F312E3" w:rsidRPr="004E1C27" w:rsidRDefault="00F312E3" w:rsidP="00FF41B4">
      <w:pPr>
        <w:pStyle w:val="Heading7"/>
        <w:jc w:val="both"/>
      </w:pPr>
      <w:r w:rsidRPr="004E1C27">
        <w:lastRenderedPageBreak/>
        <w:t>Figure 1.5: Timeline showing key developments, South Australia, 2003-2012</w:t>
      </w:r>
    </w:p>
    <w:p w14:paraId="3229067B" w14:textId="77777777" w:rsidR="00F312E3" w:rsidRPr="0052480C" w:rsidRDefault="00F312E3" w:rsidP="00FF41B4">
      <w:pPr>
        <w:jc w:val="both"/>
        <w:rPr>
          <w:rFonts w:asciiTheme="majorHAnsi" w:hAnsiTheme="majorHAnsi"/>
        </w:rPr>
      </w:pPr>
    </w:p>
    <w:p w14:paraId="18D29DF5" w14:textId="67344E20" w:rsidR="00F312E3" w:rsidRPr="0052480C" w:rsidRDefault="00F312E3" w:rsidP="00FF41B4">
      <w:pPr>
        <w:jc w:val="both"/>
        <w:rPr>
          <w:rFonts w:asciiTheme="majorHAnsi" w:hAnsiTheme="majorHAnsi"/>
        </w:rPr>
      </w:pPr>
      <w:r>
        <w:rPr>
          <w:rFonts w:asciiTheme="majorHAnsi" w:hAnsiTheme="majorHAnsi"/>
          <w:noProof/>
          <w:lang w:eastAsia="en-AU"/>
        </w:rPr>
        <w:drawing>
          <wp:inline distT="0" distB="0" distL="0" distR="0" wp14:anchorId="7277229E" wp14:editId="603E30D5">
            <wp:extent cx="9248775" cy="2038350"/>
            <wp:effectExtent l="0" t="0" r="9525" b="0"/>
            <wp:docPr id="11" name="Picture 5" descr="Shows that in South Australia in 2003 a large range of reporting groups were mandated to report all forms of abuse. In 2006 ministers of religion and employees and volunteers in religious, sporting and recreational organisations were added and penalties for non-compliance increased to $10,000."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63028157" w14:textId="77777777" w:rsidR="00F312E3" w:rsidRPr="0052480C" w:rsidRDefault="00F312E3" w:rsidP="00FF41B4">
      <w:pPr>
        <w:jc w:val="both"/>
        <w:rPr>
          <w:rFonts w:asciiTheme="majorHAnsi" w:hAnsiTheme="majorHAnsi"/>
        </w:rPr>
      </w:pPr>
    </w:p>
    <w:p w14:paraId="7228CF6D" w14:textId="77777777" w:rsidR="00F312E3" w:rsidRPr="0052480C" w:rsidRDefault="00F312E3" w:rsidP="00FF41B4">
      <w:pPr>
        <w:jc w:val="both"/>
        <w:rPr>
          <w:rFonts w:asciiTheme="majorHAnsi" w:hAnsiTheme="majorHAnsi"/>
        </w:rPr>
      </w:pPr>
    </w:p>
    <w:p w14:paraId="22AA8D39" w14:textId="77777777" w:rsidR="00F312E3" w:rsidRPr="0052480C" w:rsidRDefault="00F312E3" w:rsidP="00FF41B4">
      <w:pPr>
        <w:jc w:val="both"/>
        <w:rPr>
          <w:rFonts w:asciiTheme="majorHAnsi" w:hAnsiTheme="majorHAnsi"/>
        </w:rPr>
        <w:sectPr w:rsidR="00F312E3" w:rsidRPr="0052480C" w:rsidSect="00D650B4">
          <w:pgSz w:w="16840" w:h="11900" w:orient="landscape"/>
          <w:pgMar w:top="1134" w:right="1134" w:bottom="1134" w:left="1134" w:header="708" w:footer="708" w:gutter="0"/>
          <w:cols w:space="708"/>
          <w:docGrid w:linePitch="360"/>
        </w:sectPr>
      </w:pPr>
    </w:p>
    <w:p w14:paraId="03F88AAB" w14:textId="77777777" w:rsidR="00F312E3" w:rsidRPr="0052480C" w:rsidRDefault="00F312E3" w:rsidP="00FF41B4">
      <w:pPr>
        <w:pStyle w:val="Heading5"/>
        <w:jc w:val="both"/>
      </w:pPr>
      <w:bookmarkStart w:id="40" w:name="_Toc400110674"/>
      <w:r>
        <w:lastRenderedPageBreak/>
        <w:t xml:space="preserve">1.5.6. </w:t>
      </w:r>
      <w:r w:rsidRPr="0052480C">
        <w:t>Tasmania</w:t>
      </w:r>
      <w:bookmarkEnd w:id="40"/>
    </w:p>
    <w:p w14:paraId="70EC761E" w14:textId="77777777" w:rsidR="00F312E3" w:rsidRPr="0052480C" w:rsidRDefault="00F312E3" w:rsidP="00FF41B4">
      <w:pPr>
        <w:pStyle w:val="Heading6"/>
        <w:jc w:val="both"/>
      </w:pPr>
      <w:r>
        <w:t xml:space="preserve">1.5.6.1. </w:t>
      </w:r>
      <w:r w:rsidRPr="0052480C">
        <w:t>Original position at 1 January 2003: Tasmania</w:t>
      </w:r>
    </w:p>
    <w:p w14:paraId="3A7C5F59" w14:textId="77777777" w:rsidR="00F312E3" w:rsidRPr="00B46938" w:rsidRDefault="00F312E3" w:rsidP="00FF41B4">
      <w:pPr>
        <w:jc w:val="both"/>
      </w:pPr>
      <w:r w:rsidRPr="00B46938">
        <w:t xml:space="preserve">At 1 January 2003, the </w:t>
      </w:r>
      <w:r w:rsidRPr="00B46938">
        <w:rPr>
          <w:i/>
        </w:rPr>
        <w:t>Children, Young Persons and Their Families Act 1997</w:t>
      </w:r>
      <w:r w:rsidRPr="00B46938">
        <w:t xml:space="preserve"> (</w:t>
      </w:r>
      <w:proofErr w:type="spellStart"/>
      <w:proofErr w:type="gramStart"/>
      <w:r w:rsidRPr="00B46938">
        <w:t>Tas</w:t>
      </w:r>
      <w:proofErr w:type="spellEnd"/>
      <w:proofErr w:type="gramEnd"/>
      <w:r w:rsidRPr="00B46938">
        <w:t>) s 14(2) imposed a broad range of mandatory reporting duties for all four classical forms of child abuse and neglect.</w:t>
      </w:r>
      <w:r w:rsidRPr="00B46938">
        <w:rPr>
          <w:rStyle w:val="FootnoteReference"/>
        </w:rPr>
        <w:footnoteReference w:id="38"/>
      </w:r>
    </w:p>
    <w:p w14:paraId="5062BC50" w14:textId="77777777" w:rsidR="00F312E3" w:rsidRPr="00B46938" w:rsidRDefault="00F312E3" w:rsidP="00FF41B4">
      <w:pPr>
        <w:ind w:left="720"/>
        <w:jc w:val="both"/>
      </w:pPr>
      <w:r w:rsidRPr="00B46938">
        <w:rPr>
          <w:b/>
        </w:rPr>
        <w:t>Section 3(1)</w:t>
      </w:r>
      <w:r w:rsidRPr="00B46938">
        <w:t xml:space="preserve"> defined ‘abuse or neglect’ as meaning:</w:t>
      </w:r>
    </w:p>
    <w:p w14:paraId="76DF20E0" w14:textId="1F4A83D4" w:rsidR="00F312E3" w:rsidRPr="00B46938" w:rsidRDefault="00F312E3" w:rsidP="001B0227">
      <w:pPr>
        <w:pStyle w:val="ListParagraph"/>
        <w:numPr>
          <w:ilvl w:val="1"/>
          <w:numId w:val="59"/>
        </w:numPr>
        <w:jc w:val="both"/>
      </w:pPr>
      <w:r w:rsidRPr="00B46938">
        <w:t xml:space="preserve">sexual abuse; or </w:t>
      </w:r>
    </w:p>
    <w:p w14:paraId="68FD2D14" w14:textId="61AC7D9C" w:rsidR="00F312E3" w:rsidRPr="00B46938" w:rsidRDefault="00F312E3" w:rsidP="001B0227">
      <w:pPr>
        <w:pStyle w:val="ListParagraph"/>
        <w:numPr>
          <w:ilvl w:val="1"/>
          <w:numId w:val="59"/>
        </w:numPr>
        <w:jc w:val="both"/>
      </w:pPr>
      <w:r w:rsidRPr="00B46938">
        <w:t>physical or emotional injury or other abuse, or neglect, to the extent that:</w:t>
      </w:r>
    </w:p>
    <w:p w14:paraId="53B75445" w14:textId="141F2380" w:rsidR="00F312E3" w:rsidRPr="00B46938" w:rsidRDefault="00F312E3" w:rsidP="001B0227">
      <w:pPr>
        <w:pStyle w:val="ListParagraph"/>
        <w:numPr>
          <w:ilvl w:val="1"/>
          <w:numId w:val="65"/>
        </w:numPr>
        <w:jc w:val="both"/>
      </w:pPr>
      <w:r w:rsidRPr="00B46938">
        <w:t xml:space="preserve">the injured, abused or neglected person has suffered, or is likely to suffer, physical or psychological harm detrimental to the person’s wellbeing; or </w:t>
      </w:r>
    </w:p>
    <w:p w14:paraId="3B28CC82" w14:textId="4D37B4D0" w:rsidR="00F312E3" w:rsidRPr="00B46938" w:rsidRDefault="00F312E3" w:rsidP="001B0227">
      <w:pPr>
        <w:pStyle w:val="ListParagraph"/>
        <w:numPr>
          <w:ilvl w:val="1"/>
          <w:numId w:val="65"/>
        </w:numPr>
        <w:jc w:val="both"/>
      </w:pPr>
      <w:proofErr w:type="gramStart"/>
      <w:r w:rsidRPr="00B46938">
        <w:t>the</w:t>
      </w:r>
      <w:proofErr w:type="gramEnd"/>
      <w:r w:rsidRPr="00B46938">
        <w:t xml:space="preserve"> injured, abused or neglected person’s physical or psychological development is in jeopardy.</w:t>
      </w:r>
    </w:p>
    <w:p w14:paraId="273A7138" w14:textId="77777777" w:rsidR="00F312E3" w:rsidRPr="00B46938" w:rsidRDefault="00F312E3" w:rsidP="00FF41B4">
      <w:pPr>
        <w:ind w:left="720"/>
        <w:jc w:val="both"/>
      </w:pPr>
      <w:r w:rsidRPr="00B46938">
        <w:t>Therefore, there was a significance threshold for all types of abuse and neglect other than sexual abuse. This was conceptualised in the same way as the South Australian provision.</w:t>
      </w:r>
    </w:p>
    <w:p w14:paraId="08162A98" w14:textId="77777777" w:rsidR="00F312E3" w:rsidRPr="00B46938" w:rsidRDefault="00F312E3" w:rsidP="00FF41B4">
      <w:pPr>
        <w:jc w:val="both"/>
      </w:pPr>
      <w:r w:rsidRPr="00B46938">
        <w:t xml:space="preserve">Section 14(1) imposed the duty on a very broad range of professionals whether paid or voluntary (see below). Section 14(2) imposed the reporting duty on any of these designated persons who ‘believes, or suspects, on reasonable grounds, or knows, (a) that a child has been or is being abused or neglected; or (b) that there is a reasonable likelihood of a child being killed or abused or neglected by a person with whom the child resides’. Section 14(2) imposed the duty when the suspicion was formed in the course of the person’s work (whether paid or voluntary) or of carrying out official duties. Immunity </w:t>
      </w:r>
      <w:proofErr w:type="gramStart"/>
      <w:r w:rsidRPr="00B46938">
        <w:t>was conferred</w:t>
      </w:r>
      <w:proofErr w:type="gramEnd"/>
      <w:r w:rsidRPr="00B46938">
        <w:t xml:space="preserve"> by s 15.</w:t>
      </w:r>
      <w:r w:rsidRPr="00B46938">
        <w:rPr>
          <w:rStyle w:val="FootnoteReference"/>
        </w:rPr>
        <w:footnoteReference w:id="39"/>
      </w:r>
      <w:r w:rsidRPr="00B46938">
        <w:t xml:space="preserve"> </w:t>
      </w:r>
      <w:proofErr w:type="gramStart"/>
      <w:r w:rsidRPr="00B46938">
        <w:t>Confidentiality was conferred by 16</w:t>
      </w:r>
      <w:proofErr w:type="gramEnd"/>
      <w:r w:rsidRPr="00B46938">
        <w:t>. The penalty for noncompliance was 20 penalty units which at the time equated to $2000 as a penalty unit was $100 (see Appendix; this was increased in 2007 to $120; hence $2400).</w:t>
      </w:r>
    </w:p>
    <w:p w14:paraId="556CB400" w14:textId="77777777" w:rsidR="00F312E3" w:rsidRPr="00B46938" w:rsidRDefault="00F312E3" w:rsidP="00FF41B4">
      <w:pPr>
        <w:ind w:left="720"/>
        <w:jc w:val="both"/>
        <w:rPr>
          <w:b/>
        </w:rPr>
      </w:pPr>
      <w:r w:rsidRPr="00B46938">
        <w:rPr>
          <w:b/>
        </w:rPr>
        <w:t xml:space="preserve">14. Informing of concern about abuse or neglect </w:t>
      </w:r>
    </w:p>
    <w:p w14:paraId="46425956" w14:textId="0B054F50" w:rsidR="00F312E3" w:rsidRPr="00B46938" w:rsidRDefault="00F312E3" w:rsidP="001B0227">
      <w:pPr>
        <w:pStyle w:val="ListParagraph"/>
        <w:numPr>
          <w:ilvl w:val="2"/>
          <w:numId w:val="59"/>
        </w:numPr>
        <w:jc w:val="both"/>
      </w:pPr>
      <w:r w:rsidRPr="00B46938">
        <w:t>In this section, ‘prescribed person’ means –</w:t>
      </w:r>
    </w:p>
    <w:p w14:paraId="7A6A2350" w14:textId="154FF84F" w:rsidR="00F312E3" w:rsidRPr="00B46938" w:rsidRDefault="00F312E3" w:rsidP="001B0227">
      <w:pPr>
        <w:pStyle w:val="ListParagraph"/>
        <w:numPr>
          <w:ilvl w:val="0"/>
          <w:numId w:val="69"/>
        </w:numPr>
        <w:jc w:val="both"/>
      </w:pPr>
      <w:r w:rsidRPr="00B46938">
        <w:t>a registered medical practitioner; and</w:t>
      </w:r>
    </w:p>
    <w:p w14:paraId="54D9A38E" w14:textId="14A9E1A1" w:rsidR="00F312E3" w:rsidRPr="00B46938" w:rsidRDefault="00F312E3" w:rsidP="001B0227">
      <w:pPr>
        <w:pStyle w:val="ListParagraph"/>
        <w:numPr>
          <w:ilvl w:val="0"/>
          <w:numId w:val="69"/>
        </w:numPr>
        <w:jc w:val="both"/>
      </w:pPr>
      <w:r w:rsidRPr="00B46938">
        <w:lastRenderedPageBreak/>
        <w:t>a nurse, within the meaning of the Nursing Act 1995; and</w:t>
      </w:r>
    </w:p>
    <w:p w14:paraId="3C646337" w14:textId="71D9BB25" w:rsidR="00F312E3" w:rsidRPr="00B46938" w:rsidRDefault="00F312E3" w:rsidP="001B0227">
      <w:pPr>
        <w:pStyle w:val="ListParagraph"/>
        <w:numPr>
          <w:ilvl w:val="0"/>
          <w:numId w:val="69"/>
        </w:numPr>
        <w:jc w:val="both"/>
      </w:pPr>
      <w:r w:rsidRPr="00B46938">
        <w:t>a person who is registered as a dentist, dental therapist or dental hygienist under the Dental Practitioners Registration Act 2001; and</w:t>
      </w:r>
    </w:p>
    <w:p w14:paraId="723F0CA5" w14:textId="743D7B56" w:rsidR="00F312E3" w:rsidRPr="00B46938" w:rsidRDefault="00F312E3" w:rsidP="001B0227">
      <w:pPr>
        <w:pStyle w:val="ListParagraph"/>
        <w:numPr>
          <w:ilvl w:val="0"/>
          <w:numId w:val="69"/>
        </w:numPr>
        <w:jc w:val="both"/>
      </w:pPr>
      <w:r w:rsidRPr="00B46938">
        <w:t>a registered psychologist, within the meaning of the Psychologists Registration Act 1976; and</w:t>
      </w:r>
    </w:p>
    <w:p w14:paraId="77D503B5" w14:textId="111C8817" w:rsidR="00F312E3" w:rsidRPr="00B46938" w:rsidRDefault="00F312E3" w:rsidP="001B0227">
      <w:pPr>
        <w:pStyle w:val="ListParagraph"/>
        <w:numPr>
          <w:ilvl w:val="0"/>
          <w:numId w:val="69"/>
        </w:numPr>
        <w:jc w:val="both"/>
      </w:pPr>
      <w:r w:rsidRPr="00B46938">
        <w:t>a police officer; and</w:t>
      </w:r>
    </w:p>
    <w:p w14:paraId="41FC3B01" w14:textId="5510803A" w:rsidR="00F312E3" w:rsidRPr="00B46938" w:rsidRDefault="00F312E3" w:rsidP="001B0227">
      <w:pPr>
        <w:pStyle w:val="ListParagraph"/>
        <w:numPr>
          <w:ilvl w:val="0"/>
          <w:numId w:val="69"/>
        </w:numPr>
        <w:jc w:val="both"/>
      </w:pPr>
      <w:r w:rsidRPr="00B46938">
        <w:t>a departmental employee, within the meaning of the Police Regulation Act 1898; and</w:t>
      </w:r>
    </w:p>
    <w:p w14:paraId="04705FC5" w14:textId="7B7EA4E5" w:rsidR="00F312E3" w:rsidRPr="00B46938" w:rsidRDefault="00F312E3" w:rsidP="001B0227">
      <w:pPr>
        <w:pStyle w:val="ListParagraph"/>
        <w:numPr>
          <w:ilvl w:val="0"/>
          <w:numId w:val="69"/>
        </w:numPr>
        <w:jc w:val="both"/>
      </w:pPr>
      <w:r w:rsidRPr="00B46938">
        <w:t>a probation officer appointed under section 4 of the Probation of Offenders Act 1973; and</w:t>
      </w:r>
    </w:p>
    <w:p w14:paraId="6616CA34" w14:textId="6068D6C2" w:rsidR="00F312E3" w:rsidRPr="00B46938" w:rsidRDefault="00F312E3" w:rsidP="001B0227">
      <w:pPr>
        <w:pStyle w:val="ListParagraph"/>
        <w:numPr>
          <w:ilvl w:val="0"/>
          <w:numId w:val="69"/>
        </w:numPr>
        <w:jc w:val="both"/>
      </w:pPr>
      <w:r w:rsidRPr="00B46938">
        <w:t>a principal and a teacher in any educational institution (including a kindergarten); and</w:t>
      </w:r>
    </w:p>
    <w:p w14:paraId="13580B3A" w14:textId="5D795CC9" w:rsidR="00F312E3" w:rsidRPr="00B46938" w:rsidRDefault="00F312E3" w:rsidP="001B0227">
      <w:pPr>
        <w:pStyle w:val="ListParagraph"/>
        <w:numPr>
          <w:ilvl w:val="0"/>
          <w:numId w:val="69"/>
        </w:numPr>
        <w:jc w:val="both"/>
      </w:pPr>
      <w:r w:rsidRPr="00B46938">
        <w:t>a person who provides child care, or a child care service, for fee or reward; and</w:t>
      </w:r>
    </w:p>
    <w:p w14:paraId="33B37DD9" w14:textId="2FEB8300" w:rsidR="00F312E3" w:rsidRPr="00B46938" w:rsidRDefault="00F312E3" w:rsidP="001B0227">
      <w:pPr>
        <w:pStyle w:val="ListParagraph"/>
        <w:numPr>
          <w:ilvl w:val="0"/>
          <w:numId w:val="69"/>
        </w:numPr>
        <w:jc w:val="both"/>
      </w:pPr>
      <w:r w:rsidRPr="00B46938">
        <w:t>a person concerned in the management of a child care service licensed under Part 6 of the Child Welfare Act 1960; and</w:t>
      </w:r>
    </w:p>
    <w:p w14:paraId="20D442D2" w14:textId="77777777" w:rsidR="004E1C27" w:rsidRDefault="00F312E3" w:rsidP="001B0227">
      <w:pPr>
        <w:pStyle w:val="ListParagraph"/>
        <w:numPr>
          <w:ilvl w:val="0"/>
          <w:numId w:val="69"/>
        </w:numPr>
      </w:pPr>
      <w:r w:rsidRPr="00B46938">
        <w:t>any other person who is employed or engaged as an employee for, of or in, or who is a volunteer in –</w:t>
      </w:r>
    </w:p>
    <w:p w14:paraId="442A28A8" w14:textId="19C02FF8" w:rsidR="004E1C27" w:rsidRDefault="00F312E3" w:rsidP="001B0227">
      <w:pPr>
        <w:pStyle w:val="ListParagraph"/>
        <w:numPr>
          <w:ilvl w:val="0"/>
          <w:numId w:val="70"/>
        </w:numPr>
      </w:pPr>
      <w:r w:rsidRPr="00B46938">
        <w:t xml:space="preserve">a Government Agency that provides health, welfare, education, child care or residential services wholly or partly for children; and </w:t>
      </w:r>
    </w:p>
    <w:p w14:paraId="07EFB624" w14:textId="70077E74" w:rsidR="00F312E3" w:rsidRPr="00B46938" w:rsidRDefault="00F312E3" w:rsidP="001B0227">
      <w:pPr>
        <w:pStyle w:val="ListParagraph"/>
        <w:numPr>
          <w:ilvl w:val="0"/>
          <w:numId w:val="70"/>
        </w:numPr>
      </w:pPr>
      <w:r w:rsidRPr="00B46938">
        <w:t>an organisation that receives any funding from the Crown for the provision of such services; and</w:t>
      </w:r>
    </w:p>
    <w:p w14:paraId="122B416C" w14:textId="4457509A" w:rsidR="00F312E3" w:rsidRPr="00B46938" w:rsidRDefault="00F312E3" w:rsidP="001B0227">
      <w:pPr>
        <w:pStyle w:val="ListParagraph"/>
        <w:numPr>
          <w:ilvl w:val="0"/>
          <w:numId w:val="69"/>
        </w:numPr>
        <w:jc w:val="both"/>
      </w:pPr>
      <w:proofErr w:type="gramStart"/>
      <w:r w:rsidRPr="00B46938">
        <w:t>any</w:t>
      </w:r>
      <w:proofErr w:type="gramEnd"/>
      <w:r w:rsidRPr="00B46938">
        <w:t xml:space="preserve"> other person of a class determined by the Minister by notice in the Gazette to be prescribed persons.</w:t>
      </w:r>
    </w:p>
    <w:p w14:paraId="20798482" w14:textId="2BAE4A3D" w:rsidR="00F312E3" w:rsidRPr="00B46938" w:rsidRDefault="00F312E3" w:rsidP="001B0227">
      <w:pPr>
        <w:pStyle w:val="ListParagraph"/>
        <w:numPr>
          <w:ilvl w:val="1"/>
          <w:numId w:val="57"/>
        </w:numPr>
        <w:jc w:val="both"/>
      </w:pPr>
      <w:r w:rsidRPr="00B46938">
        <w:t>If a prescribed person, in carrying out official duties or in the course of his or her work (whether paid or voluntary), believes, or suspects, on reasonable grounds, or knows –</w:t>
      </w:r>
    </w:p>
    <w:p w14:paraId="70DD3282" w14:textId="2E7CBD31" w:rsidR="00F312E3" w:rsidRPr="00B46938" w:rsidRDefault="00F312E3" w:rsidP="001B0227">
      <w:pPr>
        <w:pStyle w:val="ListParagraph"/>
        <w:numPr>
          <w:ilvl w:val="1"/>
          <w:numId w:val="71"/>
        </w:numPr>
        <w:jc w:val="both"/>
      </w:pPr>
      <w:r w:rsidRPr="00B46938">
        <w:t>that a child has been or is being abused or neglected; or</w:t>
      </w:r>
    </w:p>
    <w:p w14:paraId="70E7A9C6" w14:textId="1A95A276" w:rsidR="00F312E3" w:rsidRPr="00B46938" w:rsidRDefault="00F312E3" w:rsidP="001B0227">
      <w:pPr>
        <w:pStyle w:val="ListParagraph"/>
        <w:numPr>
          <w:ilvl w:val="1"/>
          <w:numId w:val="71"/>
        </w:numPr>
        <w:jc w:val="both"/>
      </w:pPr>
      <w:r w:rsidRPr="00B46938">
        <w:t>that there is a reasonable likelihood of a child being killed or abused or neglected by a person with whom the child resides –</w:t>
      </w:r>
    </w:p>
    <w:p w14:paraId="0268F736" w14:textId="77777777" w:rsidR="00F312E3" w:rsidRPr="00B46938" w:rsidRDefault="00F312E3" w:rsidP="00FF41B4">
      <w:pPr>
        <w:ind w:left="720"/>
        <w:jc w:val="both"/>
      </w:pPr>
      <w:proofErr w:type="gramStart"/>
      <w:r w:rsidRPr="00B46938">
        <w:t>the</w:t>
      </w:r>
      <w:proofErr w:type="gramEnd"/>
      <w:r w:rsidRPr="00B46938">
        <w:t xml:space="preserve"> prescribed person must inform the Secretary of that belief, suspicion or knowledge as soon as practicable after he or she forms the belief or suspicion or gains the knowledge.</w:t>
      </w:r>
    </w:p>
    <w:p w14:paraId="0FE083D9" w14:textId="77777777" w:rsidR="00F312E3" w:rsidRPr="00B46938" w:rsidRDefault="00F312E3" w:rsidP="00FF41B4">
      <w:pPr>
        <w:pStyle w:val="Heading6"/>
        <w:jc w:val="both"/>
      </w:pPr>
      <w:r w:rsidRPr="00B46938">
        <w:t>1.5.6.2 Key changes, 2003-12: Tasmania</w:t>
      </w:r>
    </w:p>
    <w:p w14:paraId="332EDC46" w14:textId="77777777" w:rsidR="00F312E3" w:rsidRPr="00B46938" w:rsidRDefault="00F312E3" w:rsidP="00FF41B4">
      <w:pPr>
        <w:pStyle w:val="Heading7"/>
        <w:jc w:val="both"/>
        <w:rPr>
          <w:i w:val="0"/>
        </w:rPr>
      </w:pPr>
      <w:r w:rsidRPr="00B46938">
        <w:rPr>
          <w:i w:val="0"/>
        </w:rPr>
        <w:t>Minor changes</w:t>
      </w:r>
    </w:p>
    <w:p w14:paraId="27C53C01" w14:textId="77777777" w:rsidR="00F312E3" w:rsidRPr="00B46938" w:rsidRDefault="00F312E3" w:rsidP="00FF41B4">
      <w:pPr>
        <w:spacing w:after="240"/>
        <w:jc w:val="both"/>
      </w:pPr>
      <w:r w:rsidRPr="00B46938">
        <w:t xml:space="preserve">Some features of the Tasmanian context have not changed in this period, such as the definitions in s 3. Other relatively minor changes have occurred. The penalty changed slightly in 2007 from a maximum of $2000 to $2400 (see Table 6). </w:t>
      </w:r>
    </w:p>
    <w:p w14:paraId="549BAC48" w14:textId="77777777" w:rsidR="00F312E3" w:rsidRPr="00B46938" w:rsidRDefault="00F312E3" w:rsidP="00FF41B4">
      <w:pPr>
        <w:pStyle w:val="Heading7"/>
        <w:jc w:val="both"/>
        <w:rPr>
          <w:i w:val="0"/>
        </w:rPr>
      </w:pPr>
      <w:r w:rsidRPr="00B46938">
        <w:rPr>
          <w:i w:val="0"/>
        </w:rPr>
        <w:t>Substantial changes</w:t>
      </w:r>
    </w:p>
    <w:p w14:paraId="732D2FA7" w14:textId="77777777" w:rsidR="00F312E3" w:rsidRPr="00B46938" w:rsidRDefault="00F312E3" w:rsidP="00FF41B4">
      <w:pPr>
        <w:spacing w:after="240"/>
        <w:jc w:val="both"/>
      </w:pPr>
      <w:r w:rsidRPr="00B46938">
        <w:lastRenderedPageBreak/>
        <w:t>However, there have been some more substantial changes. These include the addition of two new types of abuse and neglect which must be reported (new duties to report exposure to domestic violence, and a duty to report prenatally that a child born is reasonably likely to suffer abuse/neglect or to require medical treatment; new reporter groups; and new report destinations.</w:t>
      </w:r>
    </w:p>
    <w:p w14:paraId="278A1048" w14:textId="77777777" w:rsidR="00F312E3" w:rsidRPr="00B46938" w:rsidRDefault="00F312E3" w:rsidP="00FF41B4">
      <w:pPr>
        <w:pStyle w:val="Heading7"/>
        <w:jc w:val="both"/>
        <w:rPr>
          <w:i w:val="0"/>
        </w:rPr>
      </w:pPr>
      <w:r w:rsidRPr="00B46938">
        <w:rPr>
          <w:i w:val="0"/>
        </w:rPr>
        <w:t>New duty to report exposure to family violence (commencing 30 March 2005)</w:t>
      </w:r>
    </w:p>
    <w:p w14:paraId="769F624F" w14:textId="77777777" w:rsidR="00F312E3" w:rsidRPr="00B46938" w:rsidRDefault="00F312E3" w:rsidP="00FF41B4">
      <w:pPr>
        <w:jc w:val="both"/>
      </w:pPr>
      <w:r w:rsidRPr="00B46938">
        <w:t xml:space="preserve">Schedule 2 of the </w:t>
      </w:r>
      <w:r w:rsidRPr="00B46938">
        <w:rPr>
          <w:i/>
        </w:rPr>
        <w:t>Family Violence Act 2004 (No 67)</w:t>
      </w:r>
      <w:r w:rsidRPr="00B46938">
        <w:rPr>
          <w:b/>
        </w:rPr>
        <w:t xml:space="preserve"> </w:t>
      </w:r>
      <w:r w:rsidRPr="00B46938">
        <w:t>inserted the new duty to report a belief or suspicion on reasonable grounds, or knowledge, that a child ‘is an affected child within the meaning of the FVA. This duty was added to s 14(2</w:t>
      </w:r>
      <w:proofErr w:type="gramStart"/>
      <w:r w:rsidRPr="00B46938">
        <w:t>)(</w:t>
      </w:r>
      <w:proofErr w:type="gramEnd"/>
      <w:r w:rsidRPr="00B46938">
        <w:t xml:space="preserve">a). The FVA s 4 defined an ‘affected child’ </w:t>
      </w:r>
      <w:r w:rsidRPr="00B46938">
        <w:rPr>
          <w:b/>
        </w:rPr>
        <w:t>very broadly</w:t>
      </w:r>
      <w:r w:rsidRPr="00B46938">
        <w:t xml:space="preserve"> to mean:</w:t>
      </w:r>
    </w:p>
    <w:p w14:paraId="5B8B6DD4" w14:textId="77777777" w:rsidR="00F312E3" w:rsidRPr="00B46938" w:rsidRDefault="00F312E3" w:rsidP="00FF41B4">
      <w:pPr>
        <w:ind w:left="720"/>
        <w:jc w:val="both"/>
      </w:pPr>
      <w:r w:rsidRPr="00B46938">
        <w:t>‘</w:t>
      </w:r>
      <w:proofErr w:type="gramStart"/>
      <w:r w:rsidRPr="00B46938">
        <w:t>a</w:t>
      </w:r>
      <w:proofErr w:type="gramEnd"/>
      <w:r w:rsidRPr="00B46938">
        <w:t xml:space="preserve"> child whose safety, psychological wellbeing or </w:t>
      </w:r>
      <w:r w:rsidRPr="00B46938">
        <w:rPr>
          <w:u w:val="single"/>
        </w:rPr>
        <w:t>interests</w:t>
      </w:r>
      <w:r w:rsidRPr="00B46938">
        <w:t xml:space="preserve"> are affected or likely to be affected by family violence’. </w:t>
      </w:r>
    </w:p>
    <w:p w14:paraId="0F01450C" w14:textId="77777777" w:rsidR="00F312E3" w:rsidRPr="00B46938" w:rsidRDefault="00F312E3" w:rsidP="00FF41B4">
      <w:pPr>
        <w:jc w:val="both"/>
      </w:pPr>
      <w:r w:rsidRPr="00B46938">
        <w:t xml:space="preserve">The term ‘family violence’ </w:t>
      </w:r>
      <w:proofErr w:type="gramStart"/>
      <w:r w:rsidRPr="00B46938">
        <w:t>was then also defined</w:t>
      </w:r>
      <w:proofErr w:type="gramEnd"/>
      <w:r w:rsidRPr="00B46938">
        <w:t xml:space="preserve"> </w:t>
      </w:r>
      <w:r w:rsidRPr="00B46938">
        <w:rPr>
          <w:b/>
        </w:rPr>
        <w:t>very broadly</w:t>
      </w:r>
      <w:r w:rsidRPr="00B46938">
        <w:t xml:space="preserve"> in the FVA s 7 as –</w:t>
      </w:r>
    </w:p>
    <w:p w14:paraId="3EC28778" w14:textId="68CDE279" w:rsidR="00F312E3" w:rsidRPr="00B46938" w:rsidRDefault="00F312E3" w:rsidP="001B0227">
      <w:pPr>
        <w:pStyle w:val="ListParagraph"/>
        <w:numPr>
          <w:ilvl w:val="1"/>
          <w:numId w:val="69"/>
        </w:numPr>
        <w:jc w:val="both"/>
      </w:pPr>
      <w:r w:rsidRPr="00B46938">
        <w:t>any of the following types of conduct committed by a person, directly or indirectly, against that person's spouse or partner:</w:t>
      </w:r>
    </w:p>
    <w:p w14:paraId="47D3E394" w14:textId="740155E4" w:rsidR="00F312E3" w:rsidRPr="00B46938" w:rsidRDefault="00F312E3" w:rsidP="001B0227">
      <w:pPr>
        <w:pStyle w:val="ListParagraph"/>
        <w:numPr>
          <w:ilvl w:val="0"/>
          <w:numId w:val="72"/>
        </w:numPr>
        <w:jc w:val="both"/>
      </w:pPr>
      <w:r w:rsidRPr="00B46938">
        <w:t xml:space="preserve">assault, including sexual assault; </w:t>
      </w:r>
    </w:p>
    <w:p w14:paraId="26CE8E91" w14:textId="5C274CCD" w:rsidR="00F312E3" w:rsidRPr="00B46938" w:rsidRDefault="00F312E3" w:rsidP="001B0227">
      <w:pPr>
        <w:pStyle w:val="ListParagraph"/>
        <w:numPr>
          <w:ilvl w:val="0"/>
          <w:numId w:val="72"/>
        </w:numPr>
        <w:jc w:val="both"/>
      </w:pPr>
      <w:r w:rsidRPr="00B46938">
        <w:t xml:space="preserve">threats, coercion, intimidation or verbal abuse; </w:t>
      </w:r>
    </w:p>
    <w:p w14:paraId="5D40166F" w14:textId="312E07AB" w:rsidR="00F312E3" w:rsidRPr="00B46938" w:rsidRDefault="00F312E3" w:rsidP="001B0227">
      <w:pPr>
        <w:pStyle w:val="ListParagraph"/>
        <w:numPr>
          <w:ilvl w:val="0"/>
          <w:numId w:val="72"/>
        </w:numPr>
        <w:jc w:val="both"/>
      </w:pPr>
      <w:r w:rsidRPr="00B46938">
        <w:t xml:space="preserve">abduction; </w:t>
      </w:r>
    </w:p>
    <w:p w14:paraId="7EA97E48" w14:textId="393A4461" w:rsidR="00F312E3" w:rsidRPr="00B46938" w:rsidRDefault="00F312E3" w:rsidP="001B0227">
      <w:pPr>
        <w:pStyle w:val="ListParagraph"/>
        <w:numPr>
          <w:ilvl w:val="0"/>
          <w:numId w:val="72"/>
        </w:numPr>
        <w:jc w:val="both"/>
      </w:pPr>
      <w:r w:rsidRPr="00B46938">
        <w:t xml:space="preserve">stalking within the meaning of section 192 of the Criminal Code; </w:t>
      </w:r>
    </w:p>
    <w:p w14:paraId="475E87D1" w14:textId="1660A549" w:rsidR="00F312E3" w:rsidRPr="00B46938" w:rsidRDefault="00F312E3" w:rsidP="001B0227">
      <w:pPr>
        <w:pStyle w:val="ListParagraph"/>
        <w:numPr>
          <w:ilvl w:val="0"/>
          <w:numId w:val="72"/>
        </w:numPr>
        <w:jc w:val="both"/>
      </w:pPr>
      <w:r w:rsidRPr="00B46938">
        <w:t>attempting or threatening to commit conduct referred to in subparagraph (</w:t>
      </w:r>
      <w:proofErr w:type="spellStart"/>
      <w:r w:rsidRPr="00B46938">
        <w:t>i</w:t>
      </w:r>
      <w:proofErr w:type="spellEnd"/>
      <w:r w:rsidRPr="00B46938">
        <w:t>), (ii), (iii) or (iv); or</w:t>
      </w:r>
    </w:p>
    <w:p w14:paraId="108D39EA" w14:textId="62284938" w:rsidR="00F312E3" w:rsidRPr="00B46938" w:rsidRDefault="00F312E3" w:rsidP="001B0227">
      <w:pPr>
        <w:pStyle w:val="ListParagraph"/>
        <w:numPr>
          <w:ilvl w:val="1"/>
          <w:numId w:val="69"/>
        </w:numPr>
        <w:jc w:val="both"/>
      </w:pPr>
      <w:r w:rsidRPr="00B46938">
        <w:t>any of the following:</w:t>
      </w:r>
    </w:p>
    <w:p w14:paraId="14F38972" w14:textId="324F8AD2" w:rsidR="00F312E3" w:rsidRPr="00B46938" w:rsidRDefault="00F312E3" w:rsidP="001B0227">
      <w:pPr>
        <w:pStyle w:val="ListParagraph"/>
        <w:numPr>
          <w:ilvl w:val="0"/>
          <w:numId w:val="73"/>
        </w:numPr>
        <w:jc w:val="both"/>
      </w:pPr>
      <w:r w:rsidRPr="00B46938">
        <w:t xml:space="preserve">economic abuse; </w:t>
      </w:r>
    </w:p>
    <w:p w14:paraId="5DECA02C" w14:textId="26975507" w:rsidR="00F312E3" w:rsidRPr="00B46938" w:rsidRDefault="00F312E3" w:rsidP="001B0227">
      <w:pPr>
        <w:pStyle w:val="ListParagraph"/>
        <w:numPr>
          <w:ilvl w:val="0"/>
          <w:numId w:val="73"/>
        </w:numPr>
        <w:jc w:val="both"/>
      </w:pPr>
      <w:r w:rsidRPr="00B46938">
        <w:t xml:space="preserve">emotional abuse or intimidation; </w:t>
      </w:r>
    </w:p>
    <w:p w14:paraId="59C995F1" w14:textId="22024B08" w:rsidR="00F312E3" w:rsidRPr="00B46938" w:rsidRDefault="00F312E3" w:rsidP="001B0227">
      <w:pPr>
        <w:pStyle w:val="ListParagraph"/>
        <w:numPr>
          <w:ilvl w:val="0"/>
          <w:numId w:val="73"/>
        </w:numPr>
        <w:jc w:val="both"/>
      </w:pPr>
      <w:proofErr w:type="gramStart"/>
      <w:r w:rsidRPr="00B46938">
        <w:t>contravening</w:t>
      </w:r>
      <w:proofErr w:type="gramEnd"/>
      <w:r w:rsidRPr="00B46938">
        <w:t xml:space="preserve"> an external family violence order, an interim FVO, an FVO or a PFVO.</w:t>
      </w:r>
    </w:p>
    <w:p w14:paraId="258A3637" w14:textId="77777777" w:rsidR="00F312E3" w:rsidRPr="00B46938" w:rsidRDefault="00F312E3" w:rsidP="00FF41B4">
      <w:pPr>
        <w:spacing w:after="240"/>
        <w:jc w:val="both"/>
      </w:pPr>
      <w:r w:rsidRPr="00B46938">
        <w:t xml:space="preserve">This new </w:t>
      </w:r>
      <w:proofErr w:type="gramStart"/>
      <w:r w:rsidRPr="00B46938">
        <w:t>duty,</w:t>
      </w:r>
      <w:proofErr w:type="gramEnd"/>
      <w:r w:rsidRPr="00B46938">
        <w:t xml:space="preserve"> and the very wide definitions of ‘affected child’ and ‘family violence’ may reasonably be expected to have caused a substantial increase in reports in this category from 2005 onwards.</w:t>
      </w:r>
    </w:p>
    <w:p w14:paraId="424E9287" w14:textId="77777777" w:rsidR="00F312E3" w:rsidRPr="00B46938" w:rsidRDefault="00F312E3" w:rsidP="00FF41B4">
      <w:pPr>
        <w:pStyle w:val="Heading7"/>
        <w:jc w:val="both"/>
        <w:rPr>
          <w:i w:val="0"/>
        </w:rPr>
      </w:pPr>
      <w:r w:rsidRPr="00B46938">
        <w:rPr>
          <w:i w:val="0"/>
        </w:rPr>
        <w:t>New duty to report prenatally (commencing 1 August 2009)</w:t>
      </w:r>
    </w:p>
    <w:p w14:paraId="5B5827DF" w14:textId="77777777" w:rsidR="00F312E3" w:rsidRPr="00B46938" w:rsidRDefault="00F312E3" w:rsidP="00FF41B4">
      <w:pPr>
        <w:jc w:val="both"/>
      </w:pPr>
      <w:r w:rsidRPr="00B46938">
        <w:t xml:space="preserve">This amendment created another new class of abuse or neglect </w:t>
      </w:r>
      <w:proofErr w:type="gramStart"/>
      <w:r w:rsidRPr="00B46938">
        <w:t>required to be reported</w:t>
      </w:r>
      <w:proofErr w:type="gramEnd"/>
      <w:r w:rsidRPr="00B46938">
        <w:t xml:space="preserve">. The </w:t>
      </w:r>
      <w:r w:rsidRPr="00B46938">
        <w:rPr>
          <w:i/>
        </w:rPr>
        <w:t>Children, Young Persons and Their Families Amendment Act 2009 (No. 22 of 2009)</w:t>
      </w:r>
      <w:r w:rsidRPr="00B46938">
        <w:rPr>
          <w:b/>
        </w:rPr>
        <w:t xml:space="preserve"> </w:t>
      </w:r>
      <w:r w:rsidRPr="00B46938">
        <w:t>s 6</w:t>
      </w:r>
      <w:r w:rsidRPr="00B46938">
        <w:rPr>
          <w:b/>
        </w:rPr>
        <w:t xml:space="preserve"> </w:t>
      </w:r>
      <w:r w:rsidRPr="00B46938">
        <w:t>inserted a new s 14(2)(c) requiring reports by prescribed persons who believe, or suspect, on reasonable grounds, or know -</w:t>
      </w:r>
    </w:p>
    <w:p w14:paraId="5FFE8641" w14:textId="2C0E1469" w:rsidR="00F312E3" w:rsidRPr="00B46938" w:rsidRDefault="00F312E3" w:rsidP="001B0227">
      <w:pPr>
        <w:pStyle w:val="ListParagraph"/>
        <w:numPr>
          <w:ilvl w:val="1"/>
          <w:numId w:val="69"/>
        </w:numPr>
        <w:jc w:val="both"/>
      </w:pPr>
      <w:r w:rsidRPr="00B46938">
        <w:t>while a woman is pregnant, that there is a reasonable likelihood that after the birth of the child–</w:t>
      </w:r>
    </w:p>
    <w:p w14:paraId="42714933" w14:textId="668CF3AB" w:rsidR="00F312E3" w:rsidRPr="00B46938" w:rsidRDefault="00F312E3" w:rsidP="001B0227">
      <w:pPr>
        <w:pStyle w:val="ListParagraph"/>
        <w:numPr>
          <w:ilvl w:val="0"/>
          <w:numId w:val="74"/>
        </w:numPr>
        <w:jc w:val="both"/>
      </w:pPr>
      <w:r w:rsidRPr="00B46938">
        <w:lastRenderedPageBreak/>
        <w:t>the child will suffer abuse or neglect, or may be killed by a person with whom the child is likely to reside; or</w:t>
      </w:r>
    </w:p>
    <w:p w14:paraId="0F11FE59" w14:textId="3E0E31F3" w:rsidR="00F312E3" w:rsidRPr="00B46938" w:rsidRDefault="00F312E3" w:rsidP="001B0227">
      <w:pPr>
        <w:pStyle w:val="ListParagraph"/>
        <w:numPr>
          <w:ilvl w:val="0"/>
          <w:numId w:val="74"/>
        </w:numPr>
        <w:jc w:val="both"/>
      </w:pPr>
      <w:proofErr w:type="gramStart"/>
      <w:r w:rsidRPr="00B46938">
        <w:t>the</w:t>
      </w:r>
      <w:proofErr w:type="gramEnd"/>
      <w:r w:rsidRPr="00B46938">
        <w:t xml:space="preserve"> child will require medical treatment or other intervention as a result of the behaviour of the woman, or another person with whom the woman resides or is likely to reside, </w:t>
      </w:r>
      <w:r w:rsidRPr="005221A4">
        <w:rPr>
          <w:b/>
        </w:rPr>
        <w:t>before</w:t>
      </w:r>
      <w:r w:rsidRPr="00B46938">
        <w:t xml:space="preserve"> the birth of the child.</w:t>
      </w:r>
    </w:p>
    <w:p w14:paraId="4057677C" w14:textId="77777777" w:rsidR="00F312E3" w:rsidRPr="00B46938" w:rsidRDefault="00F312E3" w:rsidP="00FF41B4">
      <w:pPr>
        <w:jc w:val="both"/>
      </w:pPr>
      <w:r w:rsidRPr="00B46938">
        <w:t xml:space="preserve">The first part of the duty aims to protect children from a reasonable likelihood of abuse or neglect or death after birth. The second part of the duty aims to be able to provide medical treatment or other interventions due to prenatal maternal behaviour such as substance abuse, or other prenatal behaviour by the woman or a person with whom the woman lives. </w:t>
      </w:r>
    </w:p>
    <w:p w14:paraId="7429E100" w14:textId="77777777" w:rsidR="00F312E3" w:rsidRPr="00B46938" w:rsidRDefault="00F312E3" w:rsidP="00FF41B4">
      <w:pPr>
        <w:spacing w:after="240"/>
        <w:jc w:val="both"/>
      </w:pPr>
      <w:r w:rsidRPr="00B46938">
        <w:t xml:space="preserve">This </w:t>
      </w:r>
      <w:proofErr w:type="gramStart"/>
      <w:r w:rsidRPr="00B46938">
        <w:t>may reasonably be expected</w:t>
      </w:r>
      <w:proofErr w:type="gramEnd"/>
      <w:r w:rsidRPr="00B46938">
        <w:t xml:space="preserve"> to have caused a substantial increase in reports in this category.</w:t>
      </w:r>
    </w:p>
    <w:p w14:paraId="05A9BEDB" w14:textId="77777777" w:rsidR="00F312E3" w:rsidRPr="00B46938" w:rsidRDefault="00F312E3" w:rsidP="00FF41B4">
      <w:pPr>
        <w:pStyle w:val="Heading7"/>
        <w:jc w:val="both"/>
        <w:rPr>
          <w:i w:val="0"/>
        </w:rPr>
      </w:pPr>
      <w:r w:rsidRPr="00B46938">
        <w:rPr>
          <w:i w:val="0"/>
        </w:rPr>
        <w:t>Reporting to a Community-Based Intake Service (commencing 1 August 2009)</w:t>
      </w:r>
    </w:p>
    <w:p w14:paraId="5C0B82CA" w14:textId="77777777" w:rsidR="00F312E3" w:rsidRPr="00B46938" w:rsidRDefault="00F312E3" w:rsidP="00FF41B4">
      <w:pPr>
        <w:jc w:val="both"/>
      </w:pPr>
      <w:r w:rsidRPr="00B46938">
        <w:t xml:space="preserve">The Children, Young Persons and Their Families Amendment Act 2009 (No. 22 of 2009) s 6 made amendments to s 14(2) concerning the person or agency to </w:t>
      </w:r>
      <w:proofErr w:type="gramStart"/>
      <w:r w:rsidRPr="00B46938">
        <w:t>whom</w:t>
      </w:r>
      <w:proofErr w:type="gramEnd"/>
      <w:r w:rsidRPr="00B46938">
        <w:t xml:space="preserve"> the report must be made. According to these new provisions, reports </w:t>
      </w:r>
      <w:proofErr w:type="gramStart"/>
      <w:r w:rsidRPr="00B46938">
        <w:t>could be made</w:t>
      </w:r>
      <w:proofErr w:type="gramEnd"/>
      <w:r w:rsidRPr="00B46938">
        <w:t xml:space="preserve"> either to the Secretary, or to a Community-Based Intake Service. This change </w:t>
      </w:r>
      <w:proofErr w:type="gramStart"/>
      <w:r w:rsidRPr="00B46938">
        <w:t>was made</w:t>
      </w:r>
      <w:proofErr w:type="gramEnd"/>
      <w:r w:rsidRPr="00B46938">
        <w:t xml:space="preserve"> to facilitate the new emphasis on differential response.</w:t>
      </w:r>
    </w:p>
    <w:p w14:paraId="40A5782B" w14:textId="77777777" w:rsidR="00F312E3" w:rsidRPr="00B46938" w:rsidRDefault="00F312E3" w:rsidP="00FF41B4">
      <w:pPr>
        <w:jc w:val="both"/>
      </w:pPr>
      <w:r w:rsidRPr="00B46938">
        <w:t xml:space="preserve">This </w:t>
      </w:r>
      <w:proofErr w:type="gramStart"/>
      <w:r w:rsidRPr="00B46938">
        <w:t>may reasonably be expected</w:t>
      </w:r>
      <w:proofErr w:type="gramEnd"/>
      <w:r w:rsidRPr="00B46938">
        <w:t xml:space="preserve"> to have caused a substantial decrease in reports to the Secretary, especially for less serious cases, and especially for neglect, emotional abuse, and exposure to family violence.</w:t>
      </w:r>
    </w:p>
    <w:p w14:paraId="26FFDBF8" w14:textId="77777777" w:rsidR="00F312E3" w:rsidRPr="00B46938" w:rsidRDefault="00F312E3" w:rsidP="00E37955">
      <w:pPr>
        <w:pStyle w:val="Heading7"/>
        <w:spacing w:after="240"/>
        <w:jc w:val="both"/>
        <w:rPr>
          <w:i w:val="0"/>
        </w:rPr>
      </w:pPr>
      <w:r w:rsidRPr="00B46938">
        <w:rPr>
          <w:i w:val="0"/>
        </w:rPr>
        <w:t>Addition of midwives as a reporter group (commencing 1 July 2010)</w:t>
      </w:r>
    </w:p>
    <w:p w14:paraId="40A68479" w14:textId="77777777" w:rsidR="00F312E3" w:rsidRPr="00B46938" w:rsidRDefault="00F312E3" w:rsidP="00FF41B4">
      <w:pPr>
        <w:jc w:val="both"/>
      </w:pPr>
      <w:r w:rsidRPr="00B46938">
        <w:t xml:space="preserve">Midwives were added as a new reporter group in 2010, when the </w:t>
      </w:r>
      <w:r w:rsidRPr="00B46938">
        <w:rPr>
          <w:i/>
        </w:rPr>
        <w:t>Health Practitioner Regulation National Law (Tasmania) (Consequential Amendments) Act 2010</w:t>
      </w:r>
      <w:r w:rsidRPr="00B46938">
        <w:t xml:space="preserve"> added a new s 14(1</w:t>
      </w:r>
      <w:proofErr w:type="gramStart"/>
      <w:r w:rsidRPr="00B46938">
        <w:t>)(</w:t>
      </w:r>
      <w:proofErr w:type="spellStart"/>
      <w:proofErr w:type="gramEnd"/>
      <w:r w:rsidRPr="00B46938">
        <w:t>ba</w:t>
      </w:r>
      <w:proofErr w:type="spellEnd"/>
      <w:r w:rsidRPr="00B46938">
        <w:t>).</w:t>
      </w:r>
    </w:p>
    <w:p w14:paraId="4F34E575" w14:textId="77777777" w:rsidR="00F312E3" w:rsidRPr="00B46938" w:rsidRDefault="00F312E3" w:rsidP="00FF41B4">
      <w:pPr>
        <w:jc w:val="both"/>
      </w:pPr>
      <w:r w:rsidRPr="00B46938">
        <w:t xml:space="preserve">This </w:t>
      </w:r>
      <w:proofErr w:type="gramStart"/>
      <w:r w:rsidRPr="00B46938">
        <w:t>may be expected</w:t>
      </w:r>
      <w:proofErr w:type="gramEnd"/>
      <w:r w:rsidRPr="00B46938">
        <w:t xml:space="preserve"> to have had a slight influence on reporting by this group.</w:t>
      </w:r>
    </w:p>
    <w:p w14:paraId="3B5388A1" w14:textId="27E8E4F4" w:rsidR="00F312E3" w:rsidRPr="00B46938" w:rsidRDefault="00F312E3" w:rsidP="00FF41B4">
      <w:pPr>
        <w:pStyle w:val="Heading6"/>
        <w:jc w:val="both"/>
      </w:pPr>
      <w:r w:rsidRPr="00B46938">
        <w:t>1.5.6.3.</w:t>
      </w:r>
      <w:r w:rsidR="005221A4">
        <w:t xml:space="preserve"> </w:t>
      </w:r>
      <w:r w:rsidRPr="00B46938">
        <w:t>Current position: Tasmania</w:t>
      </w:r>
    </w:p>
    <w:p w14:paraId="0EAD5B23" w14:textId="77777777" w:rsidR="00F312E3" w:rsidRDefault="00F312E3" w:rsidP="00FF41B4">
      <w:pPr>
        <w:jc w:val="both"/>
      </w:pPr>
      <w:proofErr w:type="gramStart"/>
      <w:r w:rsidRPr="00B46938">
        <w:t>Section 14.</w:t>
      </w:r>
      <w:proofErr w:type="gramEnd"/>
      <w:r w:rsidRPr="00B46938">
        <w:t xml:space="preserve"> Informing of concern about abuse or neglect </w:t>
      </w:r>
    </w:p>
    <w:p w14:paraId="790F3241" w14:textId="1F081A84" w:rsidR="001C46C8" w:rsidRPr="001C46C8" w:rsidRDefault="001C46C8" w:rsidP="001C46C8">
      <w:pPr>
        <w:spacing w:before="240"/>
        <w:ind w:left="720"/>
        <w:rPr>
          <w:rFonts w:ascii="Calibri" w:eastAsia="MS Mincho" w:hAnsi="Calibri" w:cs="Times New Roman"/>
          <w:lang w:val="en-US"/>
        </w:rPr>
      </w:pPr>
      <w:r w:rsidRPr="001C46C8">
        <w:rPr>
          <w:rFonts w:ascii="Calibri" w:eastAsia="MS Mincho" w:hAnsi="Calibri" w:cs="Times New Roman"/>
          <w:lang w:val="en-US"/>
        </w:rPr>
        <w:t>(1)</w:t>
      </w:r>
      <w:r>
        <w:rPr>
          <w:rFonts w:ascii="Calibri" w:eastAsia="MS Mincho" w:hAnsi="Calibri" w:cs="Times New Roman"/>
          <w:lang w:val="en-US"/>
        </w:rPr>
        <w:tab/>
      </w:r>
      <w:r w:rsidRPr="001C46C8">
        <w:rPr>
          <w:rFonts w:ascii="Calibri" w:eastAsia="MS Mincho" w:hAnsi="Calibri" w:cs="Times New Roman"/>
          <w:lang w:val="en-US"/>
        </w:rPr>
        <w:t xml:space="preserve"> In this section, ‘prescribed person’ means –</w:t>
      </w:r>
    </w:p>
    <w:p w14:paraId="5707E544" w14:textId="42B5A79C"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Pr="001C46C8">
        <w:rPr>
          <w:rFonts w:ascii="Calibri" w:eastAsia="MS Mincho" w:hAnsi="Calibri" w:cs="Times New Roman"/>
          <w:lang w:val="en-US"/>
        </w:rPr>
        <w:t>(a)</w:t>
      </w:r>
      <w:r>
        <w:rPr>
          <w:rFonts w:ascii="Calibri" w:eastAsia="MS Mincho" w:hAnsi="Calibri" w:cs="Times New Roman"/>
          <w:lang w:val="en-US"/>
        </w:rPr>
        <w:tab/>
      </w:r>
      <w:r w:rsidRPr="001C46C8">
        <w:rPr>
          <w:rFonts w:ascii="Calibri" w:eastAsia="MS Mincho" w:hAnsi="Calibri" w:cs="Times New Roman"/>
          <w:lang w:val="en-US"/>
        </w:rPr>
        <w:t xml:space="preserve"> </w:t>
      </w:r>
      <w:proofErr w:type="gramStart"/>
      <w:r w:rsidRPr="001C46C8">
        <w:rPr>
          <w:rFonts w:ascii="Calibri" w:eastAsia="MS Mincho" w:hAnsi="Calibri" w:cs="Times New Roman"/>
          <w:lang w:val="en-US"/>
        </w:rPr>
        <w:t>a</w:t>
      </w:r>
      <w:proofErr w:type="gramEnd"/>
      <w:r w:rsidRPr="001C46C8">
        <w:rPr>
          <w:rFonts w:ascii="Calibri" w:eastAsia="MS Mincho" w:hAnsi="Calibri" w:cs="Times New Roman"/>
          <w:lang w:val="en-US"/>
        </w:rPr>
        <w:t xml:space="preserve"> medical practitioner; and</w:t>
      </w:r>
    </w:p>
    <w:p w14:paraId="64F35311" w14:textId="6CB2023D"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Pr="001C46C8">
        <w:rPr>
          <w:rFonts w:ascii="Calibri" w:eastAsia="MS Mincho" w:hAnsi="Calibri" w:cs="Times New Roman"/>
          <w:lang w:val="en-US"/>
        </w:rPr>
        <w:t xml:space="preserve">(b) </w:t>
      </w:r>
      <w:r>
        <w:rPr>
          <w:rFonts w:ascii="Calibri" w:eastAsia="MS Mincho" w:hAnsi="Calibri" w:cs="Times New Roman"/>
          <w:lang w:val="en-US"/>
        </w:rPr>
        <w:tab/>
      </w:r>
      <w:proofErr w:type="gramStart"/>
      <w:r w:rsidRPr="001C46C8">
        <w:rPr>
          <w:rFonts w:ascii="Calibri" w:eastAsia="MS Mincho" w:hAnsi="Calibri" w:cs="Times New Roman"/>
          <w:lang w:val="en-US"/>
        </w:rPr>
        <w:t>a</w:t>
      </w:r>
      <w:proofErr w:type="gramEnd"/>
      <w:r w:rsidRPr="001C46C8">
        <w:rPr>
          <w:rFonts w:ascii="Calibri" w:eastAsia="MS Mincho" w:hAnsi="Calibri" w:cs="Times New Roman"/>
          <w:lang w:val="en-US"/>
        </w:rPr>
        <w:t xml:space="preserve"> registered nurse or enrolled nurse; </w:t>
      </w:r>
    </w:p>
    <w:p w14:paraId="65C6AC8F" w14:textId="6B727EF0"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Pr="001C46C8">
        <w:rPr>
          <w:rFonts w:ascii="Calibri" w:eastAsia="MS Mincho" w:hAnsi="Calibri" w:cs="Times New Roman"/>
          <w:lang w:val="en-US"/>
        </w:rPr>
        <w:t>(</w:t>
      </w:r>
      <w:proofErr w:type="spellStart"/>
      <w:proofErr w:type="gramStart"/>
      <w:r w:rsidRPr="001C46C8">
        <w:rPr>
          <w:rFonts w:ascii="Calibri" w:eastAsia="MS Mincho" w:hAnsi="Calibri" w:cs="Times New Roman"/>
          <w:lang w:val="en-US"/>
        </w:rPr>
        <w:t>ba</w:t>
      </w:r>
      <w:proofErr w:type="spellEnd"/>
      <w:proofErr w:type="gramEnd"/>
      <w:r w:rsidRPr="001C46C8">
        <w:rPr>
          <w:rFonts w:ascii="Calibri" w:eastAsia="MS Mincho" w:hAnsi="Calibri" w:cs="Times New Roman"/>
          <w:lang w:val="en-US"/>
        </w:rPr>
        <w:t xml:space="preserve">) </w:t>
      </w:r>
      <w:r>
        <w:rPr>
          <w:rFonts w:ascii="Calibri" w:eastAsia="MS Mincho" w:hAnsi="Calibri" w:cs="Times New Roman"/>
          <w:lang w:val="en-US"/>
        </w:rPr>
        <w:tab/>
      </w:r>
      <w:r w:rsidRPr="001C46C8">
        <w:rPr>
          <w:rFonts w:ascii="Calibri" w:eastAsia="MS Mincho" w:hAnsi="Calibri" w:cs="Times New Roman"/>
          <w:lang w:val="en-US"/>
        </w:rPr>
        <w:t>a person registered under the Health Practitioners Regulation National  Law</w:t>
      </w:r>
      <w:r>
        <w:rPr>
          <w:rFonts w:ascii="Calibri" w:eastAsia="MS Mincho" w:hAnsi="Calibri" w:cs="Times New Roman"/>
          <w:lang w:val="en-US"/>
        </w:rPr>
        <w:tab/>
      </w:r>
      <w:r>
        <w:rPr>
          <w:rFonts w:ascii="Calibri" w:eastAsia="MS Mincho" w:hAnsi="Calibri" w:cs="Times New Roman"/>
          <w:lang w:val="en-US"/>
        </w:rPr>
        <w:tab/>
      </w:r>
      <w:r w:rsidR="001C7990">
        <w:rPr>
          <w:rFonts w:ascii="Calibri" w:eastAsia="MS Mincho" w:hAnsi="Calibri" w:cs="Times New Roman"/>
          <w:lang w:val="en-US"/>
        </w:rPr>
        <w:tab/>
      </w:r>
      <w:r w:rsidRPr="001C46C8">
        <w:rPr>
          <w:rFonts w:ascii="Calibri" w:eastAsia="MS Mincho" w:hAnsi="Calibri" w:cs="Times New Roman"/>
          <w:lang w:val="en-US"/>
        </w:rPr>
        <w:t>(Tasmania) in the midwifery profession;</w:t>
      </w:r>
    </w:p>
    <w:p w14:paraId="11D6CDAF" w14:textId="0491EE41" w:rsidR="001C46C8" w:rsidRPr="001C46C8" w:rsidRDefault="001C46C8" w:rsidP="001C7990">
      <w:pPr>
        <w:spacing w:before="240"/>
        <w:ind w:left="1440" w:hanging="630"/>
        <w:rPr>
          <w:rFonts w:ascii="Calibri" w:eastAsia="MS Mincho" w:hAnsi="Calibri" w:cs="Times New Roman"/>
          <w:lang w:val="en-US"/>
        </w:rPr>
      </w:pPr>
      <w:r>
        <w:rPr>
          <w:rFonts w:ascii="Calibri" w:eastAsia="MS Mincho" w:hAnsi="Calibri" w:cs="Times New Roman"/>
          <w:lang w:val="en-US"/>
        </w:rPr>
        <w:lastRenderedPageBreak/>
        <w:tab/>
      </w:r>
      <w:r w:rsidRPr="001C46C8">
        <w:rPr>
          <w:rFonts w:ascii="Calibri" w:eastAsia="MS Mincho" w:hAnsi="Calibri" w:cs="Times New Roman"/>
          <w:lang w:val="en-US"/>
        </w:rPr>
        <w:t xml:space="preserve">(c) </w:t>
      </w:r>
      <w:r>
        <w:rPr>
          <w:rFonts w:ascii="Calibri" w:eastAsia="MS Mincho" w:hAnsi="Calibri" w:cs="Times New Roman"/>
          <w:lang w:val="en-US"/>
        </w:rPr>
        <w:tab/>
      </w:r>
      <w:proofErr w:type="gramStart"/>
      <w:r w:rsidRPr="001C46C8">
        <w:rPr>
          <w:rFonts w:ascii="Calibri" w:eastAsia="MS Mincho" w:hAnsi="Calibri" w:cs="Times New Roman"/>
          <w:lang w:val="en-US"/>
        </w:rPr>
        <w:t>a</w:t>
      </w:r>
      <w:proofErr w:type="gramEnd"/>
      <w:r w:rsidRPr="001C46C8">
        <w:rPr>
          <w:rFonts w:ascii="Calibri" w:eastAsia="MS Mincho" w:hAnsi="Calibri" w:cs="Times New Roman"/>
          <w:lang w:val="en-US"/>
        </w:rPr>
        <w:t xml:space="preserve"> person registered under the Health Practitioners Regulation National  Law</w:t>
      </w:r>
      <w:r>
        <w:rPr>
          <w:rFonts w:ascii="Calibri" w:eastAsia="MS Mincho" w:hAnsi="Calibri" w:cs="Times New Roman"/>
          <w:lang w:val="en-US"/>
        </w:rPr>
        <w:tab/>
      </w:r>
      <w:r w:rsidR="001C7990">
        <w:rPr>
          <w:rFonts w:ascii="Calibri" w:eastAsia="MS Mincho" w:hAnsi="Calibri" w:cs="Times New Roman"/>
          <w:lang w:val="en-US"/>
        </w:rPr>
        <w:tab/>
      </w:r>
      <w:r w:rsidRPr="001C46C8">
        <w:rPr>
          <w:rFonts w:ascii="Calibri" w:eastAsia="MS Mincho" w:hAnsi="Calibri" w:cs="Times New Roman"/>
          <w:lang w:val="en-US"/>
        </w:rPr>
        <w:t>(Tasmania) in the dental profession as a dent</w:t>
      </w:r>
      <w:r w:rsidR="001C7990">
        <w:rPr>
          <w:rFonts w:ascii="Calibri" w:eastAsia="MS Mincho" w:hAnsi="Calibri" w:cs="Times New Roman"/>
          <w:lang w:val="en-US"/>
        </w:rPr>
        <w:t xml:space="preserve">ist, dental therapist or dental </w:t>
      </w:r>
      <w:r w:rsidR="001C7990">
        <w:rPr>
          <w:rFonts w:ascii="Calibri" w:eastAsia="MS Mincho" w:hAnsi="Calibri" w:cs="Times New Roman"/>
          <w:lang w:val="en-US"/>
        </w:rPr>
        <w:tab/>
      </w:r>
      <w:r w:rsidRPr="001C46C8">
        <w:rPr>
          <w:rFonts w:ascii="Calibri" w:eastAsia="MS Mincho" w:hAnsi="Calibri" w:cs="Times New Roman"/>
          <w:lang w:val="en-US"/>
        </w:rPr>
        <w:t>hygienist; and</w:t>
      </w:r>
    </w:p>
    <w:p w14:paraId="789D5CFB" w14:textId="2A308715"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Pr="001C46C8">
        <w:rPr>
          <w:rFonts w:ascii="Calibri" w:eastAsia="MS Mincho" w:hAnsi="Calibri" w:cs="Times New Roman"/>
          <w:lang w:val="en-US"/>
        </w:rPr>
        <w:t>(d)</w:t>
      </w:r>
      <w:r>
        <w:rPr>
          <w:rFonts w:ascii="Calibri" w:eastAsia="MS Mincho" w:hAnsi="Calibri" w:cs="Times New Roman"/>
          <w:lang w:val="en-US"/>
        </w:rPr>
        <w:tab/>
      </w:r>
      <w:r w:rsidRPr="001C46C8">
        <w:rPr>
          <w:rFonts w:ascii="Calibri" w:eastAsia="MS Mincho" w:hAnsi="Calibri" w:cs="Times New Roman"/>
          <w:lang w:val="en-US"/>
        </w:rPr>
        <w:t xml:space="preserve"> </w:t>
      </w:r>
      <w:proofErr w:type="gramStart"/>
      <w:r w:rsidRPr="001C46C8">
        <w:rPr>
          <w:rFonts w:ascii="Calibri" w:eastAsia="MS Mincho" w:hAnsi="Calibri" w:cs="Times New Roman"/>
          <w:lang w:val="en-US"/>
        </w:rPr>
        <w:t>a</w:t>
      </w:r>
      <w:proofErr w:type="gramEnd"/>
      <w:r w:rsidRPr="001C46C8">
        <w:rPr>
          <w:rFonts w:ascii="Calibri" w:eastAsia="MS Mincho" w:hAnsi="Calibri" w:cs="Times New Roman"/>
          <w:lang w:val="en-US"/>
        </w:rPr>
        <w:t xml:space="preserve"> person registered under the Health Practitioners Regulation National  Law</w:t>
      </w:r>
      <w:r>
        <w:rPr>
          <w:rFonts w:ascii="Calibri" w:eastAsia="MS Mincho" w:hAnsi="Calibri" w:cs="Times New Roman"/>
          <w:lang w:val="en-US"/>
        </w:rPr>
        <w:tab/>
      </w:r>
      <w:r>
        <w:rPr>
          <w:rFonts w:ascii="Calibri" w:eastAsia="MS Mincho" w:hAnsi="Calibri" w:cs="Times New Roman"/>
          <w:lang w:val="en-US"/>
        </w:rPr>
        <w:tab/>
      </w:r>
      <w:r w:rsidR="001C7990">
        <w:rPr>
          <w:rFonts w:ascii="Calibri" w:eastAsia="MS Mincho" w:hAnsi="Calibri" w:cs="Times New Roman"/>
          <w:lang w:val="en-US"/>
        </w:rPr>
        <w:tab/>
      </w:r>
      <w:r w:rsidRPr="001C46C8">
        <w:rPr>
          <w:rFonts w:ascii="Calibri" w:eastAsia="MS Mincho" w:hAnsi="Calibri" w:cs="Times New Roman"/>
          <w:lang w:val="en-US"/>
        </w:rPr>
        <w:t>(Tasmania) in the  psychology profession; and</w:t>
      </w:r>
    </w:p>
    <w:p w14:paraId="4805020B" w14:textId="19D3A2A3"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Pr="001C46C8">
        <w:rPr>
          <w:rFonts w:ascii="Calibri" w:eastAsia="MS Mincho" w:hAnsi="Calibri" w:cs="Times New Roman"/>
          <w:lang w:val="en-US"/>
        </w:rPr>
        <w:t xml:space="preserve">(e) </w:t>
      </w:r>
      <w:r>
        <w:rPr>
          <w:rFonts w:ascii="Calibri" w:eastAsia="MS Mincho" w:hAnsi="Calibri" w:cs="Times New Roman"/>
          <w:lang w:val="en-US"/>
        </w:rPr>
        <w:tab/>
      </w:r>
      <w:proofErr w:type="gramStart"/>
      <w:r w:rsidRPr="001C46C8">
        <w:rPr>
          <w:rFonts w:ascii="Calibri" w:eastAsia="MS Mincho" w:hAnsi="Calibri" w:cs="Times New Roman"/>
          <w:lang w:val="en-US"/>
        </w:rPr>
        <w:t>a</w:t>
      </w:r>
      <w:proofErr w:type="gramEnd"/>
      <w:r w:rsidRPr="001C46C8">
        <w:rPr>
          <w:rFonts w:ascii="Calibri" w:eastAsia="MS Mincho" w:hAnsi="Calibri" w:cs="Times New Roman"/>
          <w:lang w:val="en-US"/>
        </w:rPr>
        <w:t xml:space="preserve"> police officer; and</w:t>
      </w:r>
    </w:p>
    <w:p w14:paraId="032C3964" w14:textId="709F27BC"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00E37955">
        <w:rPr>
          <w:rFonts w:ascii="Calibri" w:eastAsia="MS Mincho" w:hAnsi="Calibri" w:cs="Times New Roman"/>
          <w:lang w:val="en-US"/>
        </w:rPr>
        <w:t>(f</w:t>
      </w:r>
      <w:r w:rsidRPr="001C46C8">
        <w:rPr>
          <w:rFonts w:ascii="Calibri" w:eastAsia="MS Mincho" w:hAnsi="Calibri" w:cs="Times New Roman"/>
          <w:lang w:val="en-US"/>
        </w:rPr>
        <w:t xml:space="preserve">) </w:t>
      </w:r>
      <w:r>
        <w:rPr>
          <w:rFonts w:ascii="Calibri" w:eastAsia="MS Mincho" w:hAnsi="Calibri" w:cs="Times New Roman"/>
          <w:lang w:val="en-US"/>
        </w:rPr>
        <w:tab/>
      </w:r>
      <w:proofErr w:type="gramStart"/>
      <w:r w:rsidRPr="001C46C8">
        <w:rPr>
          <w:rFonts w:ascii="Calibri" w:eastAsia="MS Mincho" w:hAnsi="Calibri" w:cs="Times New Roman"/>
          <w:lang w:val="en-US"/>
        </w:rPr>
        <w:t>a</w:t>
      </w:r>
      <w:proofErr w:type="gramEnd"/>
      <w:r w:rsidRPr="001C46C8">
        <w:rPr>
          <w:rFonts w:ascii="Calibri" w:eastAsia="MS Mincho" w:hAnsi="Calibri" w:cs="Times New Roman"/>
          <w:lang w:val="en-US"/>
        </w:rPr>
        <w:t xml:space="preserve"> probation officer appointed under section 5 of the Corrections Act 1997; and</w:t>
      </w:r>
    </w:p>
    <w:p w14:paraId="52A25930" w14:textId="1BC7F664"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00E37955">
        <w:rPr>
          <w:rFonts w:ascii="Calibri" w:eastAsia="MS Mincho" w:hAnsi="Calibri" w:cs="Times New Roman"/>
          <w:lang w:val="en-US"/>
        </w:rPr>
        <w:t>(g</w:t>
      </w:r>
      <w:r w:rsidRPr="001C46C8">
        <w:rPr>
          <w:rFonts w:ascii="Calibri" w:eastAsia="MS Mincho" w:hAnsi="Calibri" w:cs="Times New Roman"/>
          <w:lang w:val="en-US"/>
        </w:rPr>
        <w:t xml:space="preserve">) </w:t>
      </w:r>
      <w:r>
        <w:rPr>
          <w:rFonts w:ascii="Calibri" w:eastAsia="MS Mincho" w:hAnsi="Calibri" w:cs="Times New Roman"/>
          <w:lang w:val="en-US"/>
        </w:rPr>
        <w:tab/>
      </w:r>
      <w:proofErr w:type="gramStart"/>
      <w:r w:rsidRPr="001C46C8">
        <w:rPr>
          <w:rFonts w:ascii="Calibri" w:eastAsia="MS Mincho" w:hAnsi="Calibri" w:cs="Times New Roman"/>
          <w:lang w:val="en-US"/>
        </w:rPr>
        <w:t>a</w:t>
      </w:r>
      <w:proofErr w:type="gramEnd"/>
      <w:r w:rsidRPr="001C46C8">
        <w:rPr>
          <w:rFonts w:ascii="Calibri" w:eastAsia="MS Mincho" w:hAnsi="Calibri" w:cs="Times New Roman"/>
          <w:lang w:val="en-US"/>
        </w:rPr>
        <w:t xml:space="preserve"> principal and a teacher in any educational institution (including a kindergarten); </w:t>
      </w:r>
      <w:r>
        <w:rPr>
          <w:rFonts w:ascii="Calibri" w:eastAsia="MS Mincho" w:hAnsi="Calibri" w:cs="Times New Roman"/>
          <w:lang w:val="en-US"/>
        </w:rPr>
        <w:tab/>
      </w:r>
      <w:r>
        <w:rPr>
          <w:rFonts w:ascii="Calibri" w:eastAsia="MS Mincho" w:hAnsi="Calibri" w:cs="Times New Roman"/>
          <w:lang w:val="en-US"/>
        </w:rPr>
        <w:tab/>
      </w:r>
      <w:r w:rsidRPr="001C46C8">
        <w:rPr>
          <w:rFonts w:ascii="Calibri" w:eastAsia="MS Mincho" w:hAnsi="Calibri" w:cs="Times New Roman"/>
          <w:lang w:val="en-US"/>
        </w:rPr>
        <w:t>and</w:t>
      </w:r>
    </w:p>
    <w:p w14:paraId="3944788E" w14:textId="0AE6889B"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00E37955">
        <w:rPr>
          <w:rFonts w:ascii="Calibri" w:eastAsia="MS Mincho" w:hAnsi="Calibri" w:cs="Times New Roman"/>
          <w:lang w:val="en-US"/>
        </w:rPr>
        <w:t>(h</w:t>
      </w:r>
      <w:r w:rsidRPr="001C46C8">
        <w:rPr>
          <w:rFonts w:ascii="Calibri" w:eastAsia="MS Mincho" w:hAnsi="Calibri" w:cs="Times New Roman"/>
          <w:lang w:val="en-US"/>
        </w:rPr>
        <w:t>)</w:t>
      </w:r>
      <w:r>
        <w:rPr>
          <w:rFonts w:ascii="Calibri" w:eastAsia="MS Mincho" w:hAnsi="Calibri" w:cs="Times New Roman"/>
          <w:lang w:val="en-US"/>
        </w:rPr>
        <w:tab/>
      </w:r>
      <w:proofErr w:type="gramStart"/>
      <w:r w:rsidRPr="001C46C8">
        <w:rPr>
          <w:rFonts w:ascii="Calibri" w:eastAsia="MS Mincho" w:hAnsi="Calibri" w:cs="Times New Roman"/>
          <w:lang w:val="en-US"/>
        </w:rPr>
        <w:t>a</w:t>
      </w:r>
      <w:proofErr w:type="gramEnd"/>
      <w:r w:rsidRPr="001C46C8">
        <w:rPr>
          <w:rFonts w:ascii="Calibri" w:eastAsia="MS Mincho" w:hAnsi="Calibri" w:cs="Times New Roman"/>
          <w:lang w:val="en-US"/>
        </w:rPr>
        <w:t xml:space="preserve"> person who provides child care, or a child care service, for fee or reward; and</w:t>
      </w:r>
    </w:p>
    <w:p w14:paraId="12D1C292" w14:textId="30252CC7"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00E37955">
        <w:rPr>
          <w:rFonts w:ascii="Calibri" w:eastAsia="MS Mincho" w:hAnsi="Calibri" w:cs="Times New Roman"/>
          <w:lang w:val="en-US"/>
        </w:rPr>
        <w:t>(</w:t>
      </w:r>
      <w:proofErr w:type="spellStart"/>
      <w:r w:rsidR="00E37955">
        <w:rPr>
          <w:rFonts w:ascii="Calibri" w:eastAsia="MS Mincho" w:hAnsi="Calibri" w:cs="Times New Roman"/>
          <w:lang w:val="en-US"/>
        </w:rPr>
        <w:t>i</w:t>
      </w:r>
      <w:proofErr w:type="spellEnd"/>
      <w:r w:rsidRPr="001C46C8">
        <w:rPr>
          <w:rFonts w:ascii="Calibri" w:eastAsia="MS Mincho" w:hAnsi="Calibri" w:cs="Times New Roman"/>
          <w:lang w:val="en-US"/>
        </w:rPr>
        <w:t xml:space="preserve">) </w:t>
      </w:r>
      <w:r>
        <w:rPr>
          <w:rFonts w:ascii="Calibri" w:eastAsia="MS Mincho" w:hAnsi="Calibri" w:cs="Times New Roman"/>
          <w:lang w:val="en-US"/>
        </w:rPr>
        <w:tab/>
      </w:r>
      <w:r w:rsidRPr="001C46C8">
        <w:rPr>
          <w:rFonts w:ascii="Calibri" w:eastAsia="MS Mincho" w:hAnsi="Calibri" w:cs="Times New Roman"/>
          <w:lang w:val="en-US"/>
        </w:rPr>
        <w:t>a person concerned in the management of an approved education and care</w:t>
      </w:r>
      <w:r>
        <w:rPr>
          <w:rFonts w:ascii="Calibri" w:eastAsia="MS Mincho" w:hAnsi="Calibri" w:cs="Times New Roman"/>
          <w:lang w:val="en-US"/>
        </w:rPr>
        <w:tab/>
      </w:r>
      <w:r>
        <w:rPr>
          <w:rFonts w:ascii="Calibri" w:eastAsia="MS Mincho" w:hAnsi="Calibri" w:cs="Times New Roman"/>
          <w:lang w:val="en-US"/>
        </w:rPr>
        <w:tab/>
      </w:r>
      <w:r w:rsidR="001C7990">
        <w:rPr>
          <w:rFonts w:ascii="Calibri" w:eastAsia="MS Mincho" w:hAnsi="Calibri" w:cs="Times New Roman"/>
          <w:lang w:val="en-US"/>
        </w:rPr>
        <w:tab/>
      </w:r>
      <w:r w:rsidRPr="001C46C8">
        <w:rPr>
          <w:rFonts w:ascii="Calibri" w:eastAsia="MS Mincho" w:hAnsi="Calibri" w:cs="Times New Roman"/>
          <w:lang w:val="en-US"/>
        </w:rPr>
        <w:t>service, within the meaning of the Education and Care Services National Law</w:t>
      </w:r>
      <w:r>
        <w:rPr>
          <w:rFonts w:ascii="Calibri" w:eastAsia="MS Mincho" w:hAnsi="Calibri" w:cs="Times New Roman"/>
          <w:lang w:val="en-US"/>
        </w:rPr>
        <w:tab/>
      </w:r>
      <w:r>
        <w:rPr>
          <w:rFonts w:ascii="Calibri" w:eastAsia="MS Mincho" w:hAnsi="Calibri" w:cs="Times New Roman"/>
          <w:lang w:val="en-US"/>
        </w:rPr>
        <w:tab/>
      </w:r>
      <w:r w:rsidR="001C7990">
        <w:rPr>
          <w:rFonts w:ascii="Calibri" w:eastAsia="MS Mincho" w:hAnsi="Calibri" w:cs="Times New Roman"/>
          <w:lang w:val="en-US"/>
        </w:rPr>
        <w:tab/>
      </w:r>
      <w:r w:rsidRPr="001C46C8">
        <w:rPr>
          <w:rFonts w:ascii="Calibri" w:eastAsia="MS Mincho" w:hAnsi="Calibri" w:cs="Times New Roman"/>
          <w:lang w:val="en-US"/>
        </w:rPr>
        <w:t>(Tasmania), or a child care service licensed under the Child Care Act 2001); and</w:t>
      </w:r>
    </w:p>
    <w:p w14:paraId="14220C7F" w14:textId="0E4FD910"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00E37955">
        <w:rPr>
          <w:rFonts w:ascii="Calibri" w:eastAsia="MS Mincho" w:hAnsi="Calibri" w:cs="Times New Roman"/>
          <w:lang w:val="en-US"/>
        </w:rPr>
        <w:t>(j</w:t>
      </w:r>
      <w:r w:rsidRPr="001C46C8">
        <w:rPr>
          <w:rFonts w:ascii="Calibri" w:eastAsia="MS Mincho" w:hAnsi="Calibri" w:cs="Times New Roman"/>
          <w:lang w:val="en-US"/>
        </w:rPr>
        <w:t xml:space="preserve">) </w:t>
      </w:r>
      <w:r>
        <w:rPr>
          <w:rFonts w:ascii="Calibri" w:eastAsia="MS Mincho" w:hAnsi="Calibri" w:cs="Times New Roman"/>
          <w:lang w:val="en-US"/>
        </w:rPr>
        <w:tab/>
      </w:r>
      <w:proofErr w:type="gramStart"/>
      <w:r w:rsidRPr="001C46C8">
        <w:rPr>
          <w:rFonts w:ascii="Calibri" w:eastAsia="MS Mincho" w:hAnsi="Calibri" w:cs="Times New Roman"/>
          <w:lang w:val="en-US"/>
        </w:rPr>
        <w:t>any</w:t>
      </w:r>
      <w:proofErr w:type="gramEnd"/>
      <w:r w:rsidRPr="001C46C8">
        <w:rPr>
          <w:rFonts w:ascii="Calibri" w:eastAsia="MS Mincho" w:hAnsi="Calibri" w:cs="Times New Roman"/>
          <w:lang w:val="en-US"/>
        </w:rPr>
        <w:t xml:space="preserve"> other person who is employed or engaged as an employee for, of or in, or who </w:t>
      </w:r>
      <w:r>
        <w:rPr>
          <w:rFonts w:ascii="Calibri" w:eastAsia="MS Mincho" w:hAnsi="Calibri" w:cs="Times New Roman"/>
          <w:lang w:val="en-US"/>
        </w:rPr>
        <w:tab/>
      </w:r>
      <w:r>
        <w:rPr>
          <w:rFonts w:ascii="Calibri" w:eastAsia="MS Mincho" w:hAnsi="Calibri" w:cs="Times New Roman"/>
          <w:lang w:val="en-US"/>
        </w:rPr>
        <w:tab/>
      </w:r>
      <w:r w:rsidRPr="001C46C8">
        <w:rPr>
          <w:rFonts w:ascii="Calibri" w:eastAsia="MS Mincho" w:hAnsi="Calibri" w:cs="Times New Roman"/>
          <w:lang w:val="en-US"/>
        </w:rPr>
        <w:t>is a volunteer in –</w:t>
      </w:r>
    </w:p>
    <w:p w14:paraId="7946131D" w14:textId="30312193" w:rsidR="001C46C8" w:rsidRPr="001C46C8" w:rsidRDefault="001C46C8" w:rsidP="001B0227">
      <w:pPr>
        <w:pStyle w:val="ListParagraph"/>
        <w:numPr>
          <w:ilvl w:val="1"/>
          <w:numId w:val="84"/>
        </w:numPr>
        <w:spacing w:before="240"/>
        <w:rPr>
          <w:rFonts w:ascii="Calibri" w:eastAsia="MS Mincho" w:hAnsi="Calibri" w:cs="Times New Roman"/>
          <w:lang w:val="en-US"/>
        </w:rPr>
      </w:pPr>
      <w:r w:rsidRPr="001C46C8">
        <w:rPr>
          <w:rFonts w:ascii="Calibri" w:eastAsia="MS Mincho" w:hAnsi="Calibri" w:cs="Times New Roman"/>
          <w:lang w:val="en-US"/>
        </w:rPr>
        <w:t>a Government Agency that provides health, welfare, education, child care or residential services wholly or partly for children; and</w:t>
      </w:r>
    </w:p>
    <w:p w14:paraId="10583B78" w14:textId="1F700924" w:rsidR="001C46C8" w:rsidRPr="001C46C8" w:rsidRDefault="001C46C8" w:rsidP="001B0227">
      <w:pPr>
        <w:pStyle w:val="ListParagraph"/>
        <w:numPr>
          <w:ilvl w:val="1"/>
          <w:numId w:val="84"/>
        </w:numPr>
        <w:spacing w:before="240"/>
        <w:rPr>
          <w:rFonts w:ascii="Calibri" w:eastAsia="MS Mincho" w:hAnsi="Calibri" w:cs="Times New Roman"/>
          <w:lang w:val="en-US"/>
        </w:rPr>
      </w:pPr>
      <w:r w:rsidRPr="001C46C8">
        <w:rPr>
          <w:rFonts w:ascii="Calibri" w:eastAsia="MS Mincho" w:hAnsi="Calibri" w:cs="Times New Roman"/>
          <w:lang w:val="en-US"/>
        </w:rPr>
        <w:t>an organisation that receives any funding from the Crown for the provision of such services; and</w:t>
      </w:r>
    </w:p>
    <w:p w14:paraId="70F94926" w14:textId="494AA786" w:rsidR="001C46C8" w:rsidRPr="001C46C8" w:rsidRDefault="001C46C8" w:rsidP="001C46C8">
      <w:pPr>
        <w:spacing w:before="240"/>
        <w:ind w:left="720"/>
        <w:rPr>
          <w:rFonts w:ascii="Calibri" w:eastAsia="MS Mincho" w:hAnsi="Calibri" w:cs="Times New Roman"/>
          <w:lang w:val="en-US"/>
        </w:rPr>
      </w:pPr>
      <w:r>
        <w:rPr>
          <w:rFonts w:ascii="Calibri" w:eastAsia="MS Mincho" w:hAnsi="Calibri" w:cs="Times New Roman"/>
          <w:lang w:val="en-US"/>
        </w:rPr>
        <w:tab/>
      </w:r>
      <w:r w:rsidR="00E37955">
        <w:rPr>
          <w:rFonts w:ascii="Calibri" w:eastAsia="MS Mincho" w:hAnsi="Calibri" w:cs="Times New Roman"/>
          <w:lang w:val="en-US"/>
        </w:rPr>
        <w:t>(k</w:t>
      </w:r>
      <w:r w:rsidRPr="001C46C8">
        <w:rPr>
          <w:rFonts w:ascii="Calibri" w:eastAsia="MS Mincho" w:hAnsi="Calibri" w:cs="Times New Roman"/>
          <w:lang w:val="en-US"/>
        </w:rPr>
        <w:t xml:space="preserve">) </w:t>
      </w:r>
      <w:r>
        <w:rPr>
          <w:rFonts w:ascii="Calibri" w:eastAsia="MS Mincho" w:hAnsi="Calibri" w:cs="Times New Roman"/>
          <w:lang w:val="en-US"/>
        </w:rPr>
        <w:tab/>
      </w:r>
      <w:proofErr w:type="gramStart"/>
      <w:r w:rsidRPr="001C46C8">
        <w:rPr>
          <w:rFonts w:ascii="Calibri" w:eastAsia="MS Mincho" w:hAnsi="Calibri" w:cs="Times New Roman"/>
          <w:lang w:val="en-US"/>
        </w:rPr>
        <w:t>any</w:t>
      </w:r>
      <w:proofErr w:type="gramEnd"/>
      <w:r w:rsidRPr="001C46C8">
        <w:rPr>
          <w:rFonts w:ascii="Calibri" w:eastAsia="MS Mincho" w:hAnsi="Calibri" w:cs="Times New Roman"/>
          <w:lang w:val="en-US"/>
        </w:rPr>
        <w:t xml:space="preserve"> other person of a class determined by the Minister by notice in the Gazette to </w:t>
      </w:r>
      <w:r>
        <w:rPr>
          <w:rFonts w:ascii="Calibri" w:eastAsia="MS Mincho" w:hAnsi="Calibri" w:cs="Times New Roman"/>
          <w:lang w:val="en-US"/>
        </w:rPr>
        <w:tab/>
      </w:r>
      <w:r>
        <w:rPr>
          <w:rFonts w:ascii="Calibri" w:eastAsia="MS Mincho" w:hAnsi="Calibri" w:cs="Times New Roman"/>
          <w:lang w:val="en-US"/>
        </w:rPr>
        <w:tab/>
      </w:r>
      <w:r w:rsidRPr="001C46C8">
        <w:rPr>
          <w:rFonts w:ascii="Calibri" w:eastAsia="MS Mincho" w:hAnsi="Calibri" w:cs="Times New Roman"/>
          <w:lang w:val="en-US"/>
        </w:rPr>
        <w:t>be prescribed persons.</w:t>
      </w:r>
    </w:p>
    <w:p w14:paraId="0344ED56" w14:textId="77777777" w:rsidR="00F312E3" w:rsidRPr="00B46938" w:rsidRDefault="00F312E3" w:rsidP="00FF41B4">
      <w:pPr>
        <w:jc w:val="both"/>
      </w:pPr>
      <w:r w:rsidRPr="00B46938">
        <w:rPr>
          <w:b/>
        </w:rPr>
        <w:t>Section 14(2)</w:t>
      </w:r>
      <w:r w:rsidRPr="00B46938">
        <w:t xml:space="preserve"> If a prescribed person, in carrying out official duties or in the course of his or her work (whether paid or voluntary), believes, or suspects, on reasonable grounds, or knows –</w:t>
      </w:r>
    </w:p>
    <w:p w14:paraId="06519CC4" w14:textId="2BFB0DEF" w:rsidR="00F312E3" w:rsidRPr="00B46938" w:rsidRDefault="00F312E3" w:rsidP="001B0227">
      <w:pPr>
        <w:pStyle w:val="ListParagraph"/>
        <w:numPr>
          <w:ilvl w:val="0"/>
          <w:numId w:val="76"/>
        </w:numPr>
        <w:jc w:val="both"/>
      </w:pPr>
      <w:r w:rsidRPr="00B46938">
        <w:t>that a child has been or is being abused or neglected or is an affected child within the meaning of the Family Violence Act 2004; or</w:t>
      </w:r>
    </w:p>
    <w:p w14:paraId="03F7B83E" w14:textId="2823EBE3" w:rsidR="00F312E3" w:rsidRPr="00B46938" w:rsidRDefault="00F312E3" w:rsidP="001B0227">
      <w:pPr>
        <w:pStyle w:val="ListParagraph"/>
        <w:numPr>
          <w:ilvl w:val="0"/>
          <w:numId w:val="76"/>
        </w:numPr>
        <w:jc w:val="both"/>
      </w:pPr>
      <w:r w:rsidRPr="00B46938">
        <w:t>that there is a reasonable likelihood of a child being killed or abused or neglected by a person with whom the child resides; or</w:t>
      </w:r>
    </w:p>
    <w:p w14:paraId="5163CCFF" w14:textId="64D624DF" w:rsidR="00F312E3" w:rsidRPr="00B46938" w:rsidRDefault="00F312E3" w:rsidP="001B0227">
      <w:pPr>
        <w:pStyle w:val="ListParagraph"/>
        <w:numPr>
          <w:ilvl w:val="0"/>
          <w:numId w:val="76"/>
        </w:numPr>
        <w:jc w:val="both"/>
      </w:pPr>
      <w:r w:rsidRPr="00B46938">
        <w:t>while a woman is pregnant, that there is a reasonable likelihood that after the birth of the child–</w:t>
      </w:r>
    </w:p>
    <w:p w14:paraId="7CBC4334" w14:textId="00F854DA" w:rsidR="00F312E3" w:rsidRPr="00B46938" w:rsidRDefault="00F312E3" w:rsidP="001B0227">
      <w:pPr>
        <w:pStyle w:val="ListParagraph"/>
        <w:numPr>
          <w:ilvl w:val="1"/>
          <w:numId w:val="76"/>
        </w:numPr>
        <w:jc w:val="both"/>
      </w:pPr>
      <w:r w:rsidRPr="00B46938">
        <w:lastRenderedPageBreak/>
        <w:t>the child  will suffer abuse or neglect, or may be killed by a person with whom the child is likely to reside; or</w:t>
      </w:r>
    </w:p>
    <w:p w14:paraId="5D6B22C4" w14:textId="3462B859" w:rsidR="00F312E3" w:rsidRPr="00B46938" w:rsidRDefault="00F312E3" w:rsidP="001B0227">
      <w:pPr>
        <w:pStyle w:val="ListParagraph"/>
        <w:numPr>
          <w:ilvl w:val="1"/>
          <w:numId w:val="76"/>
        </w:numPr>
        <w:jc w:val="both"/>
      </w:pPr>
      <w:r w:rsidRPr="00B46938">
        <w:t xml:space="preserve">the child will require medical treatment or other intervention as a result of the behaviour of the woman, or another person with whom the woman resides or is likely to reside, before the birth of the child, </w:t>
      </w:r>
    </w:p>
    <w:p w14:paraId="7221A339" w14:textId="77777777" w:rsidR="00F312E3" w:rsidRPr="00B46938" w:rsidRDefault="00F312E3" w:rsidP="00645ED4">
      <w:pPr>
        <w:tabs>
          <w:tab w:val="left" w:pos="450"/>
        </w:tabs>
        <w:jc w:val="both"/>
      </w:pPr>
      <w:proofErr w:type="gramStart"/>
      <w:r w:rsidRPr="00B46938">
        <w:t>the</w:t>
      </w:r>
      <w:proofErr w:type="gramEnd"/>
      <w:r w:rsidRPr="00B46938">
        <w:t xml:space="preserve"> prescribed person must inform the Secretary or a Community-Based Intake Service of that belief, suspicion or knowledge as soon as practicable after he or she forms the belief or suspicion or gains the knowledge.</w:t>
      </w:r>
    </w:p>
    <w:p w14:paraId="0F7FC2BD" w14:textId="77777777" w:rsidR="00F312E3" w:rsidRPr="00B46938" w:rsidRDefault="00F312E3" w:rsidP="00645ED4">
      <w:pPr>
        <w:tabs>
          <w:tab w:val="left" w:pos="450"/>
        </w:tabs>
        <w:jc w:val="both"/>
        <w:sectPr w:rsidR="00F312E3" w:rsidRPr="00B46938" w:rsidSect="00D650B4">
          <w:pgSz w:w="11900" w:h="16840"/>
          <w:pgMar w:top="1134" w:right="1134" w:bottom="1134" w:left="1134" w:header="708" w:footer="708" w:gutter="0"/>
          <w:cols w:space="708"/>
          <w:docGrid w:linePitch="360"/>
        </w:sectPr>
      </w:pPr>
    </w:p>
    <w:p w14:paraId="335E780B" w14:textId="77777777" w:rsidR="00F312E3" w:rsidRPr="00BA5DD6" w:rsidRDefault="00F312E3" w:rsidP="00FF41B4">
      <w:pPr>
        <w:pStyle w:val="Heading7"/>
        <w:jc w:val="both"/>
      </w:pPr>
      <w:r w:rsidRPr="00BA5DD6">
        <w:lastRenderedPageBreak/>
        <w:t>Figure 1.6: Timeline showing key developments, Tasmania, 2003-2012</w:t>
      </w:r>
    </w:p>
    <w:p w14:paraId="4A301E5B" w14:textId="77777777" w:rsidR="00F312E3" w:rsidRPr="0052480C" w:rsidRDefault="00F312E3" w:rsidP="00FF41B4">
      <w:pPr>
        <w:jc w:val="both"/>
        <w:rPr>
          <w:rFonts w:asciiTheme="majorHAnsi" w:hAnsiTheme="majorHAnsi"/>
        </w:rPr>
      </w:pPr>
    </w:p>
    <w:p w14:paraId="07C83E64" w14:textId="1D338CB6" w:rsidR="00F312E3" w:rsidRPr="0052480C" w:rsidRDefault="00F312E3" w:rsidP="00FF41B4">
      <w:pPr>
        <w:jc w:val="both"/>
        <w:rPr>
          <w:rFonts w:asciiTheme="majorHAnsi" w:hAnsiTheme="majorHAnsi"/>
        </w:rPr>
      </w:pPr>
      <w:r>
        <w:rPr>
          <w:rFonts w:asciiTheme="majorHAnsi" w:hAnsiTheme="majorHAnsi"/>
          <w:noProof/>
          <w:lang w:eastAsia="en-AU"/>
        </w:rPr>
        <w:drawing>
          <wp:inline distT="0" distB="0" distL="0" distR="0" wp14:anchorId="1692811E" wp14:editId="55868F54">
            <wp:extent cx="9248775" cy="3629025"/>
            <wp:effectExtent l="0" t="0" r="9525" b="9525"/>
            <wp:docPr id="16" name="Picture 16" descr="Shows in Tasmania in 2003 a large range of reporter groups were mandated to report all forms of abuse. Exposure to family violence added in 2005 and prenatal risk in 2009."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lin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280E246C" w14:textId="77777777" w:rsidR="00F312E3" w:rsidRPr="0052480C" w:rsidRDefault="00F312E3" w:rsidP="00FF41B4">
      <w:pPr>
        <w:jc w:val="both"/>
        <w:rPr>
          <w:rFonts w:asciiTheme="majorHAnsi" w:hAnsiTheme="majorHAnsi"/>
        </w:rPr>
      </w:pPr>
    </w:p>
    <w:p w14:paraId="41980F83" w14:textId="77777777" w:rsidR="00F312E3" w:rsidRPr="0052480C" w:rsidRDefault="00F312E3" w:rsidP="00FF41B4">
      <w:pPr>
        <w:jc w:val="both"/>
        <w:rPr>
          <w:rFonts w:asciiTheme="majorHAnsi" w:hAnsiTheme="majorHAnsi"/>
        </w:rPr>
      </w:pPr>
    </w:p>
    <w:p w14:paraId="0197EAFC" w14:textId="77777777" w:rsidR="00F312E3" w:rsidRPr="0052480C" w:rsidRDefault="00F312E3" w:rsidP="00FF41B4">
      <w:pPr>
        <w:jc w:val="both"/>
        <w:rPr>
          <w:rFonts w:asciiTheme="majorHAnsi" w:hAnsiTheme="majorHAnsi"/>
        </w:rPr>
        <w:sectPr w:rsidR="00F312E3" w:rsidRPr="0052480C" w:rsidSect="00D650B4">
          <w:pgSz w:w="16840" w:h="11900" w:orient="landscape"/>
          <w:pgMar w:top="1134" w:right="1134" w:bottom="1134" w:left="1134" w:header="708" w:footer="708" w:gutter="0"/>
          <w:cols w:space="708"/>
          <w:docGrid w:linePitch="360"/>
        </w:sectPr>
      </w:pPr>
    </w:p>
    <w:p w14:paraId="3C1E8995" w14:textId="77777777" w:rsidR="00F312E3" w:rsidRPr="00B46938" w:rsidRDefault="00F312E3" w:rsidP="00FF41B4">
      <w:pPr>
        <w:pStyle w:val="Heading5"/>
        <w:jc w:val="both"/>
        <w:rPr>
          <w:rFonts w:asciiTheme="minorHAnsi" w:hAnsiTheme="minorHAnsi"/>
        </w:rPr>
      </w:pPr>
      <w:bookmarkStart w:id="41" w:name="_Toc400110675"/>
      <w:r w:rsidRPr="00B46938">
        <w:rPr>
          <w:rFonts w:asciiTheme="minorHAnsi" w:hAnsiTheme="minorHAnsi"/>
        </w:rPr>
        <w:lastRenderedPageBreak/>
        <w:t>1.5.7. Victoria</w:t>
      </w:r>
      <w:bookmarkEnd w:id="41"/>
    </w:p>
    <w:p w14:paraId="7A90F045" w14:textId="77777777" w:rsidR="00F312E3" w:rsidRPr="00B46938" w:rsidRDefault="00F312E3" w:rsidP="00FF41B4">
      <w:pPr>
        <w:pStyle w:val="Heading6"/>
        <w:jc w:val="both"/>
      </w:pPr>
      <w:r w:rsidRPr="00B46938">
        <w:t>1.5.7.1. Original position at 1 January 2003: Victoria</w:t>
      </w:r>
    </w:p>
    <w:p w14:paraId="255E75E3" w14:textId="77777777" w:rsidR="00F312E3" w:rsidRPr="00B46938" w:rsidRDefault="00F312E3" w:rsidP="00BA5DD6">
      <w:pPr>
        <w:pStyle w:val="Heading7"/>
        <w:spacing w:before="240" w:after="240"/>
        <w:jc w:val="both"/>
        <w:rPr>
          <w:i w:val="0"/>
        </w:rPr>
      </w:pPr>
      <w:r w:rsidRPr="00B46938">
        <w:rPr>
          <w:i w:val="0"/>
        </w:rPr>
        <w:t>Children and Young Persons Act 1989</w:t>
      </w:r>
    </w:p>
    <w:p w14:paraId="33DD51D1" w14:textId="77777777" w:rsidR="00F312E3" w:rsidRPr="00B46938" w:rsidRDefault="00F312E3" w:rsidP="00FF41B4">
      <w:pPr>
        <w:jc w:val="both"/>
      </w:pPr>
      <w:proofErr w:type="gramStart"/>
      <w:r w:rsidRPr="00B46938">
        <w:t xml:space="preserve">At 1 January 2003, the </w:t>
      </w:r>
      <w:r w:rsidRPr="00B46938">
        <w:rPr>
          <w:i/>
        </w:rPr>
        <w:t>Children and Young Persons Act 1989</w:t>
      </w:r>
      <w:r w:rsidRPr="00B46938">
        <w:t xml:space="preserve"> (Vic) s 64(1A) imposed an obligation to report a ‘belief on reasonable grounds that a child is in need of care and protection on a ground referred to in paragraph (c) or (d) of section 63’ as soon as practicable after forming the belief, </w:t>
      </w:r>
      <w:r w:rsidRPr="00B46938">
        <w:rPr>
          <w:i/>
        </w:rPr>
        <w:t>and</w:t>
      </w:r>
      <w:r w:rsidRPr="00B46938">
        <w:t xml:space="preserve"> after each occasion on which he or she becomes aware of any further reasonable grounds for the belief.</w:t>
      </w:r>
      <w:proofErr w:type="gramEnd"/>
      <w:r w:rsidRPr="00B46938">
        <w:t xml:space="preserve"> The penalty was 10 penalty units.</w:t>
      </w:r>
    </w:p>
    <w:p w14:paraId="4C989C49" w14:textId="77777777" w:rsidR="00F312E3" w:rsidRPr="00B46938" w:rsidRDefault="00F312E3" w:rsidP="00FF41B4">
      <w:pPr>
        <w:jc w:val="both"/>
      </w:pPr>
      <w:r w:rsidRPr="00B46938">
        <w:t xml:space="preserve">Section 63 set out grounds on which a child </w:t>
      </w:r>
      <w:proofErr w:type="gramStart"/>
      <w:r w:rsidRPr="00B46938">
        <w:t>would be defined</w:t>
      </w:r>
      <w:proofErr w:type="gramEnd"/>
      <w:r w:rsidRPr="00B46938">
        <w:t xml:space="preserve"> as being ‘in need of protection’. Section 63(c) and (d) stated (our emphasis):</w:t>
      </w:r>
    </w:p>
    <w:p w14:paraId="2F96A3A0" w14:textId="488C94DF" w:rsidR="00F312E3" w:rsidRPr="00B46938" w:rsidRDefault="00F312E3" w:rsidP="001B0227">
      <w:pPr>
        <w:pStyle w:val="ListParagraph"/>
        <w:numPr>
          <w:ilvl w:val="0"/>
          <w:numId w:val="77"/>
        </w:numPr>
        <w:jc w:val="both"/>
      </w:pPr>
      <w:r w:rsidRPr="00B46938">
        <w:t xml:space="preserve">the child has suffered, or is likely to suffer, significant harm as a result of </w:t>
      </w:r>
      <w:r w:rsidRPr="00BA5DD6">
        <w:rPr>
          <w:b/>
        </w:rPr>
        <w:t>physical injury</w:t>
      </w:r>
      <w:r w:rsidR="00BA5DD6">
        <w:t xml:space="preserve"> </w:t>
      </w:r>
      <w:r w:rsidRPr="00BA5DD6">
        <w:rPr>
          <w:b/>
        </w:rPr>
        <w:t>and</w:t>
      </w:r>
      <w:r w:rsidRPr="00B46938">
        <w:t xml:space="preserve"> the child's parents have not protected, or are unlikely to protect, the child from harm of that type;</w:t>
      </w:r>
    </w:p>
    <w:p w14:paraId="411010F5" w14:textId="7D61AE49" w:rsidR="00F312E3" w:rsidRPr="00B46938" w:rsidRDefault="00F312E3" w:rsidP="001B0227">
      <w:pPr>
        <w:pStyle w:val="ListParagraph"/>
        <w:numPr>
          <w:ilvl w:val="0"/>
          <w:numId w:val="77"/>
        </w:numPr>
        <w:jc w:val="both"/>
      </w:pPr>
      <w:r w:rsidRPr="00B46938">
        <w:t xml:space="preserve">the child has suffered, or is likely to suffer, significant harm as a result of </w:t>
      </w:r>
      <w:r w:rsidRPr="00BA5DD6">
        <w:rPr>
          <w:b/>
        </w:rPr>
        <w:t>sexual abuse</w:t>
      </w:r>
      <w:r w:rsidRPr="00B46938">
        <w:t xml:space="preserve"> </w:t>
      </w:r>
      <w:r w:rsidRPr="00BA5DD6">
        <w:rPr>
          <w:b/>
        </w:rPr>
        <w:t>and</w:t>
      </w:r>
      <w:r w:rsidRPr="00B46938">
        <w:t xml:space="preserve"> the child's parents have not protected, or are unlikely to protect, the child from harm of that type;</w:t>
      </w:r>
    </w:p>
    <w:p w14:paraId="20676D0F" w14:textId="77777777" w:rsidR="00F312E3" w:rsidRPr="00B46938" w:rsidRDefault="00F312E3" w:rsidP="00FF41B4">
      <w:pPr>
        <w:jc w:val="both"/>
      </w:pPr>
      <w:r w:rsidRPr="00B46938">
        <w:t xml:space="preserve">Therefore, the duty was limited to two categories of abuse: physical ‘injury’ and sexual abuse. This made </w:t>
      </w:r>
      <w:proofErr w:type="gramStart"/>
      <w:r w:rsidRPr="00B46938">
        <w:t>Victoria’s</w:t>
      </w:r>
      <w:proofErr w:type="gramEnd"/>
      <w:r w:rsidRPr="00B46938">
        <w:t xml:space="preserve"> reporting duty much narrower than existed in most other jurisdictions. This </w:t>
      </w:r>
      <w:proofErr w:type="gramStart"/>
      <w:r w:rsidRPr="00B46938">
        <w:t>could be expected</w:t>
      </w:r>
      <w:proofErr w:type="gramEnd"/>
      <w:r w:rsidRPr="00B46938">
        <w:t xml:space="preserve"> to produce a much lower number of reports.</w:t>
      </w:r>
      <w:r w:rsidRPr="00B46938">
        <w:rPr>
          <w:rStyle w:val="FootnoteReference"/>
        </w:rPr>
        <w:footnoteReference w:id="40"/>
      </w:r>
      <w:r w:rsidRPr="00B46938">
        <w:t xml:space="preserve"> </w:t>
      </w:r>
    </w:p>
    <w:p w14:paraId="3ACF9B10" w14:textId="77777777" w:rsidR="00F312E3" w:rsidRPr="00B46938" w:rsidRDefault="00F312E3" w:rsidP="00FF41B4">
      <w:pPr>
        <w:spacing w:after="240"/>
        <w:jc w:val="both"/>
      </w:pPr>
      <w:r w:rsidRPr="00B46938">
        <w:t xml:space="preserve">In addition, the duty imposed a threshold of significance of harm, which, uniquely, even applied to sexual abuse. In practice, this </w:t>
      </w:r>
      <w:proofErr w:type="gramStart"/>
      <w:r w:rsidRPr="00B46938">
        <w:t>would not be expected</w:t>
      </w:r>
      <w:proofErr w:type="gramEnd"/>
      <w:r w:rsidRPr="00B46938">
        <w:t xml:space="preserve"> to reduce reports of sexual abuse, but would have the reasonable intention to limit reports of physical abuse to sufficiently serious cases.</w:t>
      </w:r>
    </w:p>
    <w:p w14:paraId="497C7AA5" w14:textId="77777777" w:rsidR="00F312E3" w:rsidRPr="00B46938" w:rsidRDefault="00F312E3" w:rsidP="00BA5DD6">
      <w:pPr>
        <w:pStyle w:val="Heading7"/>
        <w:spacing w:after="240"/>
        <w:jc w:val="both"/>
        <w:rPr>
          <w:i w:val="0"/>
        </w:rPr>
      </w:pPr>
      <w:r w:rsidRPr="00B46938">
        <w:rPr>
          <w:i w:val="0"/>
        </w:rPr>
        <w:t>Victoria’s parental protection clause: unique Australian provision</w:t>
      </w:r>
    </w:p>
    <w:p w14:paraId="4779F0DF" w14:textId="77777777" w:rsidR="00F312E3" w:rsidRPr="00B46938" w:rsidRDefault="00F312E3" w:rsidP="00FF41B4">
      <w:pPr>
        <w:jc w:val="both"/>
      </w:pPr>
      <w:r w:rsidRPr="00B46938">
        <w:t xml:space="preserve">Further, Victoria is the only jurisdiction which has as part of its mandatory reporting provision a clause further limiting the duty to cases in which not only is the harm/abuse condition met, but the reporter must believe ‘the child's parents have not protected, or are unlikely to protect, the child from harm of that type’. This clause, in the mandatory reporting context, seems redundant as if the harm or abuse has already </w:t>
      </w:r>
      <w:r w:rsidRPr="00B46938">
        <w:lastRenderedPageBreak/>
        <w:t xml:space="preserve">happened, then clearly the child’s parents did not protect the child from that harm or abuse. Arguably, this element of Victoria’s provision is unsatisfactory. </w:t>
      </w:r>
      <w:proofErr w:type="gramStart"/>
      <w:r w:rsidRPr="00B46938">
        <w:t>The different conceptual nature of Victoria’s provisions seems to stem from these provision being grounded in situations where a child can be defined as being ‘in need of protection’ – and hence being able to be subject to formal court orders relating to child protection - rather than a true mandatory reporting provision, which is aimed merely at a preliminary identification by designated professionals of cases of abuse/harm, for the related subsequent purpose of government agencies assessing the child’s situation and what, if anything, needs to be done to help the child, and the family, including but not limited to the making of child protection orders.</w:t>
      </w:r>
      <w:proofErr w:type="gramEnd"/>
      <w:r w:rsidRPr="00B46938">
        <w:t xml:space="preserve"> The two types of provisions are therefore conceptually different: the mandatory reporting provision focuses on the identification of the child who has suffered abuse or harm. It differs from the ‘in need of protection’ </w:t>
      </w:r>
      <w:proofErr w:type="gramStart"/>
      <w:r w:rsidRPr="00B46938">
        <w:t>provision which focuses on the condition required to warrant government agency intervention</w:t>
      </w:r>
      <w:proofErr w:type="gramEnd"/>
      <w:r w:rsidRPr="00B46938">
        <w:t xml:space="preserve"> and hence the justifiable scope of State intervention. The ‘able parent’ assessment for mandated reporters is arguably not appropriate in a mandatory reporting provision. Not only does it possess a different conceptual nature; it is asking more of a mandatory reporter than is reasonably possible (at least in many cases), and is beyond their reasonable capacity, skill and appropriate professional role. In no other jurisdiction is the mandated reporter expected to undertake such an assessment.</w:t>
      </w:r>
    </w:p>
    <w:p w14:paraId="2C1A6830" w14:textId="77777777" w:rsidR="00F312E3" w:rsidRPr="00B46938" w:rsidRDefault="00F312E3" w:rsidP="00FF41B4">
      <w:pPr>
        <w:jc w:val="both"/>
      </w:pPr>
      <w:r w:rsidRPr="00B46938">
        <w:t>It is unlikely that in practice, reporters would be making such assessments at all, or even if they were, to conclude that a seriously physically or sexually abused child had in fact been protected by their parents from harm or would be in future.</w:t>
      </w:r>
      <w:r w:rsidRPr="00B46938">
        <w:rPr>
          <w:rStyle w:val="FootnoteReference"/>
        </w:rPr>
        <w:footnoteReference w:id="41"/>
      </w:r>
      <w:r w:rsidRPr="00B46938">
        <w:t xml:space="preserve"> Accordingly, it is not likely that this qualification would reduce the </w:t>
      </w:r>
      <w:r w:rsidRPr="00B46938">
        <w:lastRenderedPageBreak/>
        <w:t>number of reports. Nevertheless, data analysis may indicate whether this unique qualification appears to affect reporting practice.</w:t>
      </w:r>
    </w:p>
    <w:p w14:paraId="0C1BD6BA" w14:textId="77777777" w:rsidR="00F312E3" w:rsidRPr="00B46938" w:rsidRDefault="00F312E3" w:rsidP="00FF41B4">
      <w:pPr>
        <w:jc w:val="both"/>
      </w:pPr>
      <w:r w:rsidRPr="00B46938">
        <w:t xml:space="preserve">Confidentiality </w:t>
      </w:r>
      <w:proofErr w:type="gramStart"/>
      <w:r w:rsidRPr="00B46938">
        <w:t>was conferred</w:t>
      </w:r>
      <w:proofErr w:type="gramEnd"/>
      <w:r w:rsidRPr="00B46938">
        <w:t xml:space="preserve"> by s 64(4). Immunity was conferred by s 64(3</w:t>
      </w:r>
      <w:proofErr w:type="gramStart"/>
      <w:r w:rsidRPr="00B46938">
        <w:t>)(</w:t>
      </w:r>
      <w:proofErr w:type="gramEnd"/>
      <w:r w:rsidRPr="00B46938">
        <w:t>a) (professional ethics) and (b) (other liability).</w:t>
      </w:r>
    </w:p>
    <w:p w14:paraId="23095685" w14:textId="77777777" w:rsidR="00F312E3" w:rsidRPr="00B46938" w:rsidRDefault="00F312E3" w:rsidP="00FF41B4">
      <w:pPr>
        <w:jc w:val="both"/>
      </w:pPr>
      <w:r w:rsidRPr="00B46938">
        <w:t xml:space="preserve">The obligation </w:t>
      </w:r>
      <w:proofErr w:type="gramStart"/>
      <w:r w:rsidRPr="00B46938">
        <w:t>was imposed</w:t>
      </w:r>
      <w:proofErr w:type="gramEnd"/>
      <w:r w:rsidRPr="00B46938">
        <w:t xml:space="preserve"> on a </w:t>
      </w:r>
      <w:r w:rsidRPr="00B46938">
        <w:rPr>
          <w:b/>
        </w:rPr>
        <w:t xml:space="preserve">wide range of professionals, as follows: </w:t>
      </w:r>
      <w:r w:rsidRPr="00B46938">
        <w:t xml:space="preserve">(note that seven of the 14 subsections were operational at 1 January 2003; three had commenced on 4 November 1993; four commenced on 18 July 1994; seven </w:t>
      </w:r>
      <w:r w:rsidRPr="00B46938">
        <w:rPr>
          <w:b/>
        </w:rPr>
        <w:t>others had not commenced at 1 January 2003</w:t>
      </w:r>
      <w:r w:rsidRPr="00B46938">
        <w:t>).</w:t>
      </w:r>
      <w:r w:rsidRPr="00B46938">
        <w:rPr>
          <w:rStyle w:val="FootnoteReference"/>
        </w:rPr>
        <w:footnoteReference w:id="42"/>
      </w:r>
    </w:p>
    <w:p w14:paraId="3686A6F4" w14:textId="77777777" w:rsidR="006A6AF0" w:rsidRDefault="00F312E3" w:rsidP="006A6AF0">
      <w:pPr>
        <w:jc w:val="both"/>
      </w:pPr>
      <w:r w:rsidRPr="00B46938">
        <w:t>Section 64(1C): Sub-section (1A) [the duty to report] applies to a person referred to in any of the following paragraphs</w:t>
      </w:r>
      <w:r w:rsidR="006A6AF0">
        <w:t xml:space="preserve"> on and from the relevant date—</w:t>
      </w:r>
    </w:p>
    <w:p w14:paraId="7C1D4F2E" w14:textId="04D5AE00" w:rsidR="006A6AF0" w:rsidRDefault="00F312E3" w:rsidP="006A6AF0">
      <w:pPr>
        <w:ind w:firstLine="720"/>
        <w:jc w:val="both"/>
      </w:pPr>
      <w:r w:rsidRPr="00B46938">
        <w:t xml:space="preserve">(a) </w:t>
      </w:r>
      <w:r w:rsidR="00443C96">
        <w:tab/>
      </w:r>
      <w:proofErr w:type="gramStart"/>
      <w:r w:rsidRPr="00B46938">
        <w:t>a</w:t>
      </w:r>
      <w:proofErr w:type="gramEnd"/>
      <w:r w:rsidRPr="00B46938">
        <w:t xml:space="preserve"> registered medical practitioner within the meaning of</w:t>
      </w:r>
      <w:r w:rsidR="006A6AF0">
        <w:t xml:space="preserve"> the Medical Practice Act 1994;</w:t>
      </w:r>
    </w:p>
    <w:p w14:paraId="3F100213" w14:textId="1480EC53" w:rsidR="006A6AF0" w:rsidRDefault="00F312E3" w:rsidP="006A6AF0">
      <w:pPr>
        <w:ind w:firstLine="720"/>
        <w:jc w:val="both"/>
      </w:pPr>
      <w:r w:rsidRPr="00B46938">
        <w:t>(b)</w:t>
      </w:r>
      <w:r w:rsidR="00443C96">
        <w:tab/>
      </w:r>
      <w:r w:rsidRPr="00B46938">
        <w:t xml:space="preserve"> </w:t>
      </w:r>
      <w:proofErr w:type="gramStart"/>
      <w:r w:rsidRPr="00B46938">
        <w:t>a</w:t>
      </w:r>
      <w:proofErr w:type="gramEnd"/>
      <w:r w:rsidRPr="00B46938">
        <w:t xml:space="preserve"> registered psychologist within the meaning of the Psychologists Registr</w:t>
      </w:r>
      <w:r w:rsidR="006A6AF0">
        <w:t>ation Act 2000;</w:t>
      </w:r>
    </w:p>
    <w:p w14:paraId="75542041" w14:textId="30F6FA14" w:rsidR="006A6AF0" w:rsidRDefault="00F312E3" w:rsidP="006A6AF0">
      <w:pPr>
        <w:ind w:firstLine="720"/>
        <w:jc w:val="both"/>
      </w:pPr>
      <w:r w:rsidRPr="00B46938">
        <w:t xml:space="preserve">(c) </w:t>
      </w:r>
      <w:r w:rsidR="00443C96">
        <w:tab/>
      </w:r>
      <w:proofErr w:type="gramStart"/>
      <w:r w:rsidRPr="00B46938">
        <w:t>a</w:t>
      </w:r>
      <w:proofErr w:type="gramEnd"/>
      <w:r w:rsidRPr="00B46938">
        <w:t xml:space="preserve"> person registered under the Nurses Act 1993;</w:t>
      </w:r>
      <w:r w:rsidR="00BA5DD6">
        <w:tab/>
      </w:r>
    </w:p>
    <w:p w14:paraId="21AED81F" w14:textId="6E43A164" w:rsidR="006A6AF0" w:rsidRDefault="00F312E3" w:rsidP="006A6AF0">
      <w:pPr>
        <w:ind w:firstLine="720"/>
        <w:jc w:val="both"/>
      </w:pPr>
      <w:r w:rsidRPr="00B46938">
        <w:t xml:space="preserve">(d) </w:t>
      </w:r>
      <w:r w:rsidR="00443C96">
        <w:tab/>
      </w:r>
      <w:r w:rsidRPr="00B46938">
        <w:t xml:space="preserve">a person registered as a teacher under Part III of the Education Act 1958 or permitted to </w:t>
      </w:r>
      <w:r w:rsidR="00443C96">
        <w:tab/>
      </w:r>
      <w:r w:rsidR="00443C96">
        <w:tab/>
      </w:r>
      <w:r w:rsidRPr="00B46938">
        <w:t>teach under that Part (including by virtue of sect</w:t>
      </w:r>
      <w:r w:rsidR="006A6AF0">
        <w:t>ion 44(4) and (5) of that Act);</w:t>
      </w:r>
    </w:p>
    <w:p w14:paraId="5437878D" w14:textId="4A558934" w:rsidR="006A6AF0" w:rsidRDefault="00F312E3" w:rsidP="006A6AF0">
      <w:pPr>
        <w:ind w:firstLine="720"/>
        <w:jc w:val="both"/>
      </w:pPr>
      <w:r w:rsidRPr="00B46938">
        <w:t>(</w:t>
      </w:r>
      <w:proofErr w:type="gramStart"/>
      <w:r w:rsidRPr="00B46938">
        <w:t>da</w:t>
      </w:r>
      <w:proofErr w:type="gramEnd"/>
      <w:r w:rsidRPr="00B46938">
        <w:t xml:space="preserve">) </w:t>
      </w:r>
      <w:r w:rsidR="00443C96">
        <w:tab/>
      </w:r>
      <w:r w:rsidRPr="00B46938">
        <w:t xml:space="preserve">a person appointed to an office in the teaching service under the Teaching Service Act 1981 </w:t>
      </w:r>
      <w:r w:rsidR="00443C96">
        <w:tab/>
      </w:r>
      <w:r w:rsidR="00443C96">
        <w:tab/>
      </w:r>
      <w:r w:rsidRPr="00B46938">
        <w:t>or employed under Div</w:t>
      </w:r>
      <w:r w:rsidR="006A6AF0">
        <w:t>ision 4 of Part II of that Act;</w:t>
      </w:r>
    </w:p>
    <w:p w14:paraId="2607639C" w14:textId="4E7D6250" w:rsidR="006A6AF0" w:rsidRDefault="00F312E3" w:rsidP="006A6AF0">
      <w:pPr>
        <w:ind w:firstLine="720"/>
        <w:jc w:val="both"/>
      </w:pPr>
      <w:r w:rsidRPr="00B46938">
        <w:t>(</w:t>
      </w:r>
      <w:proofErr w:type="spellStart"/>
      <w:proofErr w:type="gramStart"/>
      <w:r w:rsidRPr="00B46938">
        <w:t>db</w:t>
      </w:r>
      <w:proofErr w:type="spellEnd"/>
      <w:proofErr w:type="gramEnd"/>
      <w:r w:rsidRPr="00B46938">
        <w:t xml:space="preserve">) </w:t>
      </w:r>
      <w:r w:rsidR="00443C96">
        <w:tab/>
      </w:r>
      <w:r w:rsidRPr="00B46938">
        <w:t>a person employed under section 15B(1)(a</w:t>
      </w:r>
      <w:r w:rsidR="006A6AF0">
        <w:t>)(</w:t>
      </w:r>
      <w:proofErr w:type="spellStart"/>
      <w:r w:rsidR="006A6AF0">
        <w:t>i</w:t>
      </w:r>
      <w:proofErr w:type="spellEnd"/>
      <w:r w:rsidR="006A6AF0">
        <w:t>) of the Education Act 1958;</w:t>
      </w:r>
    </w:p>
    <w:p w14:paraId="274B4F2E" w14:textId="3B316969" w:rsidR="006A6AF0" w:rsidRDefault="006A6AF0" w:rsidP="006A6AF0">
      <w:pPr>
        <w:ind w:firstLine="720"/>
        <w:jc w:val="both"/>
      </w:pPr>
      <w:r>
        <w:t xml:space="preserve">(e) </w:t>
      </w:r>
      <w:r w:rsidR="00443C96">
        <w:tab/>
      </w:r>
      <w:proofErr w:type="gramStart"/>
      <w:r w:rsidR="00F312E3" w:rsidRPr="00B46938">
        <w:t>the</w:t>
      </w:r>
      <w:proofErr w:type="gramEnd"/>
      <w:r w:rsidR="00F312E3" w:rsidRPr="00B46938">
        <w:t xml:space="preserve"> head teacher or principal of a State school with</w:t>
      </w:r>
      <w:r>
        <w:t>in the meaning of the Education</w:t>
      </w:r>
    </w:p>
    <w:p w14:paraId="55D9792E" w14:textId="77777777" w:rsidR="006A6AF0" w:rsidRDefault="00F312E3" w:rsidP="00AD1BBF">
      <w:pPr>
        <w:spacing w:before="240" w:after="240"/>
        <w:ind w:firstLine="720"/>
      </w:pPr>
      <w:r w:rsidRPr="00B46938">
        <w:t>Act 1958 or of a school registered under Part III of that Act</w:t>
      </w:r>
      <w:proofErr w:type="gramStart"/>
      <w:r w:rsidRPr="00B46938">
        <w:t>;</w:t>
      </w:r>
      <w:proofErr w:type="gramEnd"/>
    </w:p>
    <w:p w14:paraId="690A385F" w14:textId="71A5AC85" w:rsidR="00F312E3" w:rsidRPr="00B46938" w:rsidRDefault="00F312E3" w:rsidP="006A6AF0">
      <w:pPr>
        <w:ind w:firstLine="720"/>
      </w:pPr>
      <w:r w:rsidRPr="00B46938">
        <w:lastRenderedPageBreak/>
        <w:t xml:space="preserve">(f) </w:t>
      </w:r>
      <w:r w:rsidR="00443C96">
        <w:tab/>
      </w:r>
      <w:proofErr w:type="gramStart"/>
      <w:r w:rsidRPr="00B46938">
        <w:t>the</w:t>
      </w:r>
      <w:proofErr w:type="gramEnd"/>
      <w:r w:rsidRPr="00B46938">
        <w:t xml:space="preserve"> proprietor of, or a person with a postsecondary qualification in the care, education</w:t>
      </w:r>
    </w:p>
    <w:p w14:paraId="48218714" w14:textId="7BD8602D" w:rsidR="00F312E3" w:rsidRPr="00B46938" w:rsidRDefault="00443C96" w:rsidP="006A6AF0">
      <w:pPr>
        <w:ind w:left="360" w:firstLine="360"/>
        <w:jc w:val="both"/>
      </w:pPr>
      <w:r>
        <w:tab/>
      </w:r>
      <w:proofErr w:type="gramStart"/>
      <w:r w:rsidR="00F312E3" w:rsidRPr="00B46938">
        <w:t>or</w:t>
      </w:r>
      <w:proofErr w:type="gramEnd"/>
      <w:r w:rsidR="00F312E3" w:rsidRPr="00B46938">
        <w:t xml:space="preserve"> minding of children who is employed by, a children's service to which the Children's</w:t>
      </w:r>
    </w:p>
    <w:p w14:paraId="4947D9B0" w14:textId="36EE93E9" w:rsidR="00F312E3" w:rsidRPr="00B46938" w:rsidRDefault="00443C96" w:rsidP="006A6AF0">
      <w:pPr>
        <w:ind w:left="360" w:firstLine="360"/>
        <w:jc w:val="both"/>
      </w:pPr>
      <w:r>
        <w:tab/>
      </w:r>
      <w:r w:rsidR="00F312E3" w:rsidRPr="00B46938">
        <w:t>Services Act 1996 applies or a person nominated under section 16(2</w:t>
      </w:r>
      <w:proofErr w:type="gramStart"/>
      <w:r w:rsidR="00F312E3" w:rsidRPr="00B46938">
        <w:t>)(</w:t>
      </w:r>
      <w:proofErr w:type="gramEnd"/>
      <w:r w:rsidR="00F312E3" w:rsidRPr="00B46938">
        <w:t>b)(iii) of that Act;</w:t>
      </w:r>
    </w:p>
    <w:p w14:paraId="64772374" w14:textId="036445FB" w:rsidR="00F312E3" w:rsidRPr="00B46938" w:rsidRDefault="00F312E3" w:rsidP="006A6AF0">
      <w:pPr>
        <w:ind w:left="360" w:firstLine="360"/>
        <w:jc w:val="both"/>
      </w:pPr>
      <w:r w:rsidRPr="00B46938">
        <w:t>(g)</w:t>
      </w:r>
      <w:r w:rsidR="00443C96">
        <w:tab/>
      </w:r>
      <w:proofErr w:type="gramStart"/>
      <w:r w:rsidRPr="00B46938">
        <w:t>a</w:t>
      </w:r>
      <w:proofErr w:type="gramEnd"/>
      <w:r w:rsidRPr="00B46938">
        <w:t xml:space="preserve"> person with a post-secondary qualification in youth, social or welfare work who works</w:t>
      </w:r>
    </w:p>
    <w:p w14:paraId="49981645" w14:textId="2817C0FE" w:rsidR="00F312E3" w:rsidRPr="00B46938" w:rsidRDefault="00443C96" w:rsidP="006A6AF0">
      <w:pPr>
        <w:ind w:left="360" w:firstLine="360"/>
        <w:jc w:val="both"/>
      </w:pPr>
      <w:r>
        <w:tab/>
      </w:r>
      <w:proofErr w:type="gramStart"/>
      <w:r w:rsidR="00F312E3" w:rsidRPr="00B46938">
        <w:t>in</w:t>
      </w:r>
      <w:proofErr w:type="gramEnd"/>
      <w:r w:rsidR="00F312E3" w:rsidRPr="00B46938">
        <w:t xml:space="preserve"> the health, education or community or welfare services field and who is not referred to </w:t>
      </w:r>
      <w:r>
        <w:tab/>
      </w:r>
      <w:r>
        <w:tab/>
      </w:r>
      <w:r w:rsidR="00F312E3" w:rsidRPr="00B46938">
        <w:t>in paragraph (h);</w:t>
      </w:r>
    </w:p>
    <w:p w14:paraId="6A9B3BF1" w14:textId="4970A8BB" w:rsidR="00F312E3" w:rsidRPr="00B46938" w:rsidRDefault="00F312E3" w:rsidP="006A6AF0">
      <w:pPr>
        <w:ind w:left="720"/>
        <w:jc w:val="both"/>
      </w:pPr>
      <w:r w:rsidRPr="00B46938">
        <w:t xml:space="preserve">(h) </w:t>
      </w:r>
      <w:r w:rsidR="00443C96">
        <w:tab/>
      </w:r>
      <w:proofErr w:type="gramStart"/>
      <w:r w:rsidRPr="00B46938">
        <w:t>a</w:t>
      </w:r>
      <w:proofErr w:type="gramEnd"/>
      <w:r w:rsidRPr="00B46938">
        <w:t xml:space="preserve"> person employed under Part 3 of the Public Sector Management and Employment Act </w:t>
      </w:r>
      <w:r w:rsidR="00443C96">
        <w:tab/>
      </w:r>
      <w:r w:rsidRPr="00B46938">
        <w:t>1998 to perform the duties of a youth and child welfare worker;</w:t>
      </w:r>
    </w:p>
    <w:p w14:paraId="60577573" w14:textId="0205F1D1" w:rsidR="00F312E3" w:rsidRPr="00B46938" w:rsidRDefault="00F312E3" w:rsidP="006A6AF0">
      <w:pPr>
        <w:ind w:left="360" w:firstLine="360"/>
        <w:jc w:val="both"/>
      </w:pPr>
      <w:r w:rsidRPr="00B46938">
        <w:t>(</w:t>
      </w:r>
      <w:proofErr w:type="spellStart"/>
      <w:r w:rsidRPr="00B46938">
        <w:t>i</w:t>
      </w:r>
      <w:proofErr w:type="spellEnd"/>
      <w:r w:rsidRPr="00B46938">
        <w:t xml:space="preserve">) </w:t>
      </w:r>
      <w:r w:rsidR="00443C96">
        <w:tab/>
      </w:r>
      <w:proofErr w:type="gramStart"/>
      <w:r w:rsidRPr="00B46938">
        <w:t>a</w:t>
      </w:r>
      <w:proofErr w:type="gramEnd"/>
      <w:r w:rsidRPr="00B46938">
        <w:t xml:space="preserve"> member of the police force;</w:t>
      </w:r>
    </w:p>
    <w:p w14:paraId="1641A202" w14:textId="391A9746" w:rsidR="00F312E3" w:rsidRPr="00B46938" w:rsidRDefault="00F312E3" w:rsidP="006A6AF0">
      <w:pPr>
        <w:ind w:left="360" w:firstLine="360"/>
        <w:jc w:val="both"/>
      </w:pPr>
      <w:r w:rsidRPr="00B46938">
        <w:t xml:space="preserve">(j) </w:t>
      </w:r>
      <w:r w:rsidR="00443C96">
        <w:tab/>
      </w:r>
      <w:proofErr w:type="gramStart"/>
      <w:r w:rsidRPr="00B46938">
        <w:t>a</w:t>
      </w:r>
      <w:proofErr w:type="gramEnd"/>
      <w:r w:rsidRPr="00B46938">
        <w:t xml:space="preserve"> probation officer;</w:t>
      </w:r>
    </w:p>
    <w:p w14:paraId="6EF0E969" w14:textId="4C2A22B0" w:rsidR="00F312E3" w:rsidRPr="00B46938" w:rsidRDefault="00F312E3" w:rsidP="006A6AF0">
      <w:pPr>
        <w:ind w:left="360" w:firstLine="360"/>
        <w:jc w:val="both"/>
      </w:pPr>
      <w:r w:rsidRPr="00B46938">
        <w:t xml:space="preserve">(k) </w:t>
      </w:r>
      <w:r w:rsidR="00443C96">
        <w:tab/>
      </w:r>
      <w:proofErr w:type="gramStart"/>
      <w:r w:rsidRPr="00B46938">
        <w:t>a</w:t>
      </w:r>
      <w:proofErr w:type="gramEnd"/>
      <w:r w:rsidRPr="00B46938">
        <w:t xml:space="preserve"> youth parole officer;</w:t>
      </w:r>
    </w:p>
    <w:p w14:paraId="2B375450" w14:textId="078184A5" w:rsidR="00F312E3" w:rsidRPr="00B46938" w:rsidRDefault="00F312E3" w:rsidP="006A6AF0">
      <w:pPr>
        <w:ind w:left="360" w:firstLine="360"/>
        <w:jc w:val="both"/>
      </w:pPr>
      <w:r w:rsidRPr="00B46938">
        <w:t xml:space="preserve">(l) </w:t>
      </w:r>
      <w:r w:rsidR="00443C96">
        <w:tab/>
      </w:r>
      <w:proofErr w:type="gramStart"/>
      <w:r w:rsidRPr="00B46938">
        <w:t>a</w:t>
      </w:r>
      <w:proofErr w:type="gramEnd"/>
      <w:r w:rsidRPr="00B46938">
        <w:t xml:space="preserve"> member of a prescribed class of persons.</w:t>
      </w:r>
    </w:p>
    <w:p w14:paraId="04AA3B96" w14:textId="77777777" w:rsidR="00F312E3" w:rsidRPr="00B46938" w:rsidRDefault="00F312E3" w:rsidP="00FF41B4">
      <w:pPr>
        <w:jc w:val="both"/>
      </w:pPr>
      <w:r w:rsidRPr="00B46938">
        <w:t xml:space="preserve">Some of these categories </w:t>
      </w:r>
      <w:proofErr w:type="gramStart"/>
      <w:r w:rsidRPr="00B46938">
        <w:t>had been proclaimed</w:t>
      </w:r>
      <w:proofErr w:type="gramEnd"/>
      <w:r w:rsidRPr="00B46938">
        <w:t>, and so the following groups (essentially, doctors, nurses, police, teachers and principals) were mandated reporters at 1 January 2003:</w:t>
      </w:r>
    </w:p>
    <w:p w14:paraId="11BC97A7" w14:textId="77777777" w:rsidR="00F312E3" w:rsidRPr="00B46938" w:rsidRDefault="00F312E3" w:rsidP="00443C96">
      <w:pPr>
        <w:jc w:val="both"/>
      </w:pPr>
      <w:r w:rsidRPr="00B46938">
        <w:t xml:space="preserve">These groups </w:t>
      </w:r>
      <w:proofErr w:type="gramStart"/>
      <w:r w:rsidRPr="00B46938">
        <w:t>had been proclaimed</w:t>
      </w:r>
      <w:proofErr w:type="gramEnd"/>
      <w:r w:rsidRPr="00B46938">
        <w:t xml:space="preserve"> effective 4 November 1993:</w:t>
      </w:r>
    </w:p>
    <w:p w14:paraId="0B1290F4" w14:textId="0ECA6518" w:rsidR="00F312E3" w:rsidRPr="00B46938" w:rsidRDefault="00443C96" w:rsidP="001B0227">
      <w:pPr>
        <w:pStyle w:val="ListParagraph"/>
        <w:numPr>
          <w:ilvl w:val="0"/>
          <w:numId w:val="51"/>
        </w:numPr>
        <w:spacing w:before="0"/>
        <w:ind w:left="1080"/>
        <w:jc w:val="both"/>
      </w:pPr>
      <w:r>
        <w:tab/>
      </w:r>
      <w:r w:rsidR="00F312E3" w:rsidRPr="00B46938">
        <w:t>a registered medical practitioner within the meaning of the Medical Practice Act 1994;</w:t>
      </w:r>
    </w:p>
    <w:p w14:paraId="624F855B" w14:textId="0594F136" w:rsidR="00F312E3" w:rsidRPr="00B46938" w:rsidRDefault="00F312E3" w:rsidP="00FF41B4">
      <w:pPr>
        <w:ind w:left="360" w:firstLine="360"/>
        <w:jc w:val="both"/>
      </w:pPr>
      <w:r w:rsidRPr="00B46938">
        <w:t xml:space="preserve">(c) </w:t>
      </w:r>
      <w:r w:rsidR="00443C96">
        <w:tab/>
      </w:r>
      <w:proofErr w:type="gramStart"/>
      <w:r w:rsidRPr="00B46938">
        <w:t>a</w:t>
      </w:r>
      <w:proofErr w:type="gramEnd"/>
      <w:r w:rsidRPr="00B46938">
        <w:t xml:space="preserve"> person registered under the Nurses Act 1993;</w:t>
      </w:r>
    </w:p>
    <w:p w14:paraId="1FBBCE0D" w14:textId="3DF64D87" w:rsidR="00F312E3" w:rsidRPr="00B46938" w:rsidRDefault="00F312E3" w:rsidP="00FF41B4">
      <w:pPr>
        <w:ind w:left="720"/>
        <w:jc w:val="both"/>
      </w:pPr>
      <w:r w:rsidRPr="00B46938">
        <w:t>(</w:t>
      </w:r>
      <w:proofErr w:type="spellStart"/>
      <w:r w:rsidRPr="00B46938">
        <w:t>i</w:t>
      </w:r>
      <w:proofErr w:type="spellEnd"/>
      <w:r w:rsidRPr="00B46938">
        <w:t xml:space="preserve">) </w:t>
      </w:r>
      <w:r w:rsidR="00443C96">
        <w:tab/>
      </w:r>
      <w:proofErr w:type="gramStart"/>
      <w:r w:rsidRPr="00B46938">
        <w:t>a</w:t>
      </w:r>
      <w:proofErr w:type="gramEnd"/>
      <w:r w:rsidRPr="00B46938">
        <w:t xml:space="preserve"> member of the police force;</w:t>
      </w:r>
    </w:p>
    <w:p w14:paraId="02DC81F9" w14:textId="77777777" w:rsidR="00F312E3" w:rsidRPr="00B46938" w:rsidRDefault="00F312E3" w:rsidP="006A6AF0">
      <w:pPr>
        <w:jc w:val="both"/>
      </w:pPr>
      <w:r w:rsidRPr="00B46938">
        <w:t xml:space="preserve">These groups </w:t>
      </w:r>
      <w:proofErr w:type="gramStart"/>
      <w:r w:rsidRPr="00B46938">
        <w:t>had been proclaimed</w:t>
      </w:r>
      <w:proofErr w:type="gramEnd"/>
      <w:r w:rsidRPr="00B46938">
        <w:t xml:space="preserve"> effective 18 July 1994:</w:t>
      </w:r>
    </w:p>
    <w:p w14:paraId="6072D83D" w14:textId="7712AC85" w:rsidR="00F312E3" w:rsidRPr="00B46938" w:rsidRDefault="00F312E3" w:rsidP="00FF41B4">
      <w:pPr>
        <w:ind w:left="720"/>
        <w:jc w:val="both"/>
      </w:pPr>
      <w:r w:rsidRPr="00B46938">
        <w:t xml:space="preserve">(d) </w:t>
      </w:r>
      <w:r w:rsidR="00443C96">
        <w:tab/>
      </w:r>
      <w:r w:rsidRPr="00B46938">
        <w:t xml:space="preserve">a person registered as a teacher under Part III of the Education Act 1958 or permitted to </w:t>
      </w:r>
      <w:r w:rsidR="00443C96">
        <w:tab/>
      </w:r>
      <w:r w:rsidRPr="00B46938">
        <w:t>teach under that Part (including by virtue of section 44(4) and (5) of that Act);</w:t>
      </w:r>
    </w:p>
    <w:p w14:paraId="30DE9180" w14:textId="70F6E5C1" w:rsidR="00F312E3" w:rsidRPr="00B46938" w:rsidRDefault="00F312E3" w:rsidP="00FF41B4">
      <w:pPr>
        <w:ind w:left="720"/>
        <w:jc w:val="both"/>
      </w:pPr>
      <w:r w:rsidRPr="00B46938">
        <w:t>(</w:t>
      </w:r>
      <w:proofErr w:type="gramStart"/>
      <w:r w:rsidRPr="00B46938">
        <w:t>da</w:t>
      </w:r>
      <w:proofErr w:type="gramEnd"/>
      <w:r w:rsidRPr="00B46938">
        <w:t xml:space="preserve">) </w:t>
      </w:r>
      <w:r w:rsidR="00443C96">
        <w:tab/>
      </w:r>
      <w:r w:rsidRPr="00B46938">
        <w:t xml:space="preserve">a person appointed to an office in the teaching service under the Teaching Service Act 1981 </w:t>
      </w:r>
      <w:r w:rsidR="00443C96">
        <w:tab/>
      </w:r>
      <w:r w:rsidRPr="00B46938">
        <w:t>or employed under Division 4 of Part II of that Act;</w:t>
      </w:r>
      <w:r w:rsidRPr="00B46938">
        <w:rPr>
          <w:rStyle w:val="FootnoteReference"/>
        </w:rPr>
        <w:footnoteReference w:id="43"/>
      </w:r>
    </w:p>
    <w:p w14:paraId="6580B736" w14:textId="4AD91659" w:rsidR="00F312E3" w:rsidRPr="00B46938" w:rsidRDefault="00F312E3" w:rsidP="00FF41B4">
      <w:pPr>
        <w:ind w:left="720"/>
        <w:jc w:val="both"/>
      </w:pPr>
      <w:r w:rsidRPr="00B46938">
        <w:t>(</w:t>
      </w:r>
      <w:proofErr w:type="spellStart"/>
      <w:proofErr w:type="gramStart"/>
      <w:r w:rsidRPr="00B46938">
        <w:t>db</w:t>
      </w:r>
      <w:proofErr w:type="spellEnd"/>
      <w:proofErr w:type="gramEnd"/>
      <w:r w:rsidRPr="00B46938">
        <w:t xml:space="preserve">) </w:t>
      </w:r>
      <w:r w:rsidR="00443C96">
        <w:tab/>
      </w:r>
      <w:r w:rsidRPr="00B46938">
        <w:t>a person employed under section 15B(1)(a)(</w:t>
      </w:r>
      <w:proofErr w:type="spellStart"/>
      <w:r w:rsidRPr="00B46938">
        <w:t>i</w:t>
      </w:r>
      <w:proofErr w:type="spellEnd"/>
      <w:r w:rsidRPr="00B46938">
        <w:t>) of the Education Act 1958;</w:t>
      </w:r>
      <w:r w:rsidRPr="00B46938">
        <w:rPr>
          <w:rStyle w:val="FootnoteReference"/>
        </w:rPr>
        <w:footnoteReference w:id="44"/>
      </w:r>
    </w:p>
    <w:p w14:paraId="518D8073" w14:textId="38756A0D" w:rsidR="00F312E3" w:rsidRPr="00B46938" w:rsidRDefault="00F312E3" w:rsidP="001C7990">
      <w:pPr>
        <w:spacing w:before="0"/>
        <w:ind w:left="720"/>
        <w:jc w:val="both"/>
      </w:pPr>
      <w:r w:rsidRPr="00B46938">
        <w:lastRenderedPageBreak/>
        <w:t xml:space="preserve">(e) </w:t>
      </w:r>
      <w:r w:rsidR="00443C96">
        <w:tab/>
      </w:r>
      <w:proofErr w:type="gramStart"/>
      <w:r w:rsidRPr="00B46938">
        <w:t>the</w:t>
      </w:r>
      <w:proofErr w:type="gramEnd"/>
      <w:r w:rsidRPr="00B46938">
        <w:t xml:space="preserve"> head teacher or principal of a State school within the meaning of the Education</w:t>
      </w:r>
      <w:r w:rsidR="00443C96">
        <w:tab/>
      </w:r>
      <w:r w:rsidRPr="00B46938">
        <w:t>Act 1958 or of a school registered under Part III of that Act;</w:t>
      </w:r>
    </w:p>
    <w:p w14:paraId="3C85935E" w14:textId="77777777" w:rsidR="00F312E3" w:rsidRPr="00B46938" w:rsidRDefault="00F312E3" w:rsidP="00FF41B4">
      <w:pPr>
        <w:jc w:val="both"/>
      </w:pPr>
      <w:r w:rsidRPr="00B46938">
        <w:t xml:space="preserve">However, several of these categories </w:t>
      </w:r>
      <w:proofErr w:type="gramStart"/>
      <w:r w:rsidRPr="00B46938">
        <w:t>had not been proclaimed</w:t>
      </w:r>
      <w:proofErr w:type="gramEnd"/>
      <w:r w:rsidRPr="00B46938">
        <w:t xml:space="preserve"> and so the following groups were </w:t>
      </w:r>
      <w:r w:rsidRPr="00B46938">
        <w:rPr>
          <w:b/>
        </w:rPr>
        <w:t>not</w:t>
      </w:r>
      <w:r w:rsidRPr="00B46938">
        <w:t xml:space="preserve"> mandated reporters at 1 January 2003:</w:t>
      </w:r>
    </w:p>
    <w:p w14:paraId="6B7363F3" w14:textId="7919328F" w:rsidR="00F312E3" w:rsidRPr="00B46938" w:rsidRDefault="006A6AF0" w:rsidP="006A6AF0">
      <w:pPr>
        <w:spacing w:before="0"/>
        <w:ind w:left="360" w:firstLine="360"/>
        <w:jc w:val="both"/>
      </w:pPr>
      <w:r>
        <w:t>(b)</w:t>
      </w:r>
      <w:r w:rsidR="00443C96">
        <w:tab/>
      </w:r>
      <w:proofErr w:type="gramStart"/>
      <w:r w:rsidR="00F312E3" w:rsidRPr="00B46938">
        <w:t>a</w:t>
      </w:r>
      <w:proofErr w:type="gramEnd"/>
      <w:r w:rsidR="00F312E3" w:rsidRPr="00B46938">
        <w:t xml:space="preserve"> registered psychologist within the meaning of the Psychologists Registration Act 2000;</w:t>
      </w:r>
    </w:p>
    <w:p w14:paraId="44CE4335" w14:textId="56B58711" w:rsidR="00F312E3" w:rsidRPr="00B46938" w:rsidRDefault="00F312E3" w:rsidP="006A6AF0">
      <w:pPr>
        <w:ind w:left="360" w:firstLine="360"/>
        <w:jc w:val="both"/>
      </w:pPr>
      <w:r w:rsidRPr="00B46938">
        <w:t xml:space="preserve">(j) </w:t>
      </w:r>
      <w:r w:rsidR="00443C96">
        <w:tab/>
      </w:r>
      <w:proofErr w:type="gramStart"/>
      <w:r w:rsidRPr="00B46938">
        <w:t>a</w:t>
      </w:r>
      <w:proofErr w:type="gramEnd"/>
      <w:r w:rsidRPr="00B46938">
        <w:t xml:space="preserve"> probation officer;</w:t>
      </w:r>
    </w:p>
    <w:p w14:paraId="37F531AE" w14:textId="0D0B7F68" w:rsidR="00F312E3" w:rsidRPr="00B46938" w:rsidRDefault="00F312E3" w:rsidP="006A6AF0">
      <w:pPr>
        <w:ind w:left="360" w:firstLine="360"/>
        <w:jc w:val="both"/>
      </w:pPr>
      <w:r w:rsidRPr="00B46938">
        <w:t>(f)</w:t>
      </w:r>
      <w:r w:rsidR="00443C96">
        <w:tab/>
      </w:r>
      <w:r w:rsidRPr="00B46938">
        <w:t xml:space="preserve"> </w:t>
      </w:r>
      <w:proofErr w:type="gramStart"/>
      <w:r w:rsidRPr="00B46938">
        <w:t>the</w:t>
      </w:r>
      <w:proofErr w:type="gramEnd"/>
      <w:r w:rsidRPr="00B46938">
        <w:t xml:space="preserve"> proprietor of, or a person with a postsecondary qualification in the care, education</w:t>
      </w:r>
    </w:p>
    <w:p w14:paraId="547FA97D" w14:textId="0D235F4C" w:rsidR="00F312E3" w:rsidRPr="00B46938" w:rsidRDefault="00443C96" w:rsidP="006A6AF0">
      <w:pPr>
        <w:ind w:left="360" w:firstLine="360"/>
        <w:jc w:val="both"/>
      </w:pPr>
      <w:r>
        <w:tab/>
      </w:r>
      <w:proofErr w:type="gramStart"/>
      <w:r w:rsidR="00F312E3" w:rsidRPr="00B46938">
        <w:t>or</w:t>
      </w:r>
      <w:proofErr w:type="gramEnd"/>
      <w:r w:rsidR="00F312E3" w:rsidRPr="00B46938">
        <w:t xml:space="preserve"> minding of children who is employed by, a children's service to which the Children's</w:t>
      </w:r>
    </w:p>
    <w:p w14:paraId="409612FA" w14:textId="210BA806" w:rsidR="00F312E3" w:rsidRPr="00B46938" w:rsidRDefault="00443C96" w:rsidP="006A6AF0">
      <w:pPr>
        <w:ind w:left="720"/>
        <w:jc w:val="both"/>
      </w:pPr>
      <w:r>
        <w:tab/>
      </w:r>
      <w:r w:rsidR="00F312E3" w:rsidRPr="00B46938">
        <w:t>Services Act 1996 applies or a person nominated under section 16(2</w:t>
      </w:r>
      <w:proofErr w:type="gramStart"/>
      <w:r w:rsidR="00F312E3" w:rsidRPr="00B46938">
        <w:t>)(</w:t>
      </w:r>
      <w:proofErr w:type="gramEnd"/>
      <w:r w:rsidR="00F312E3" w:rsidRPr="00B46938">
        <w:t>b)(iii) of that Act;</w:t>
      </w:r>
    </w:p>
    <w:p w14:paraId="61DBC90A" w14:textId="62A63C56" w:rsidR="00F312E3" w:rsidRPr="00B46938" w:rsidRDefault="00F312E3" w:rsidP="00443C96">
      <w:pPr>
        <w:ind w:left="360" w:firstLine="360"/>
        <w:jc w:val="both"/>
      </w:pPr>
      <w:r w:rsidRPr="00B46938">
        <w:t>(g)</w:t>
      </w:r>
      <w:r w:rsidR="00443C96">
        <w:tab/>
      </w:r>
      <w:r w:rsidRPr="00B46938">
        <w:t>a person with a post-secondary qualification in youth, social or welfare work who</w:t>
      </w:r>
      <w:r w:rsidR="00443C96">
        <w:tab/>
      </w:r>
      <w:r w:rsidR="00443C96">
        <w:tab/>
      </w:r>
      <w:r w:rsidR="001C7990">
        <w:tab/>
      </w:r>
      <w:r w:rsidRPr="00B46938">
        <w:t>works</w:t>
      </w:r>
      <w:r w:rsidR="00443C96">
        <w:t xml:space="preserve"> </w:t>
      </w:r>
      <w:r w:rsidRPr="00B46938">
        <w:t>in the health, education or community or welfare services field and who is not</w:t>
      </w:r>
      <w:r w:rsidR="00443C96">
        <w:tab/>
      </w:r>
      <w:r w:rsidR="00443C96">
        <w:tab/>
      </w:r>
      <w:r w:rsidR="001C7990">
        <w:tab/>
      </w:r>
      <w:r w:rsidRPr="00B46938">
        <w:t>referred to in paragraph (h);</w:t>
      </w:r>
    </w:p>
    <w:p w14:paraId="47BC81C3" w14:textId="3CE90705" w:rsidR="00F312E3" w:rsidRPr="00B46938" w:rsidRDefault="00F312E3" w:rsidP="00443C96">
      <w:pPr>
        <w:ind w:left="720"/>
        <w:jc w:val="both"/>
      </w:pPr>
      <w:r w:rsidRPr="00B46938">
        <w:t xml:space="preserve">(h) </w:t>
      </w:r>
      <w:r w:rsidR="00443C96">
        <w:tab/>
      </w:r>
      <w:r w:rsidRPr="00B46938">
        <w:t>a person employed under Part 3 of the Public Sector Management and</w:t>
      </w:r>
      <w:r w:rsidR="00443C96">
        <w:tab/>
      </w:r>
      <w:r w:rsidR="00443C96">
        <w:tab/>
      </w:r>
      <w:r w:rsidRPr="00B46938">
        <w:t>Employment Act 1998 to perform the duties of a youth and child welfare worker;</w:t>
      </w:r>
    </w:p>
    <w:p w14:paraId="25CAFCB8" w14:textId="7A60EE8C" w:rsidR="00F312E3" w:rsidRPr="00B46938" w:rsidRDefault="00F312E3" w:rsidP="00443C96">
      <w:pPr>
        <w:ind w:firstLine="720"/>
        <w:jc w:val="both"/>
      </w:pPr>
      <w:r w:rsidRPr="00B46938">
        <w:t xml:space="preserve">(k) </w:t>
      </w:r>
      <w:r w:rsidR="00443C96">
        <w:tab/>
      </w:r>
      <w:proofErr w:type="gramStart"/>
      <w:r w:rsidRPr="00B46938">
        <w:t>a</w:t>
      </w:r>
      <w:proofErr w:type="gramEnd"/>
      <w:r w:rsidRPr="00B46938">
        <w:t xml:space="preserve"> youth parole officer.</w:t>
      </w:r>
    </w:p>
    <w:p w14:paraId="774DE161" w14:textId="77777777" w:rsidR="00F312E3" w:rsidRPr="00B46938" w:rsidRDefault="00F312E3" w:rsidP="00FF41B4">
      <w:pPr>
        <w:pStyle w:val="Heading6"/>
        <w:jc w:val="both"/>
      </w:pPr>
      <w:r w:rsidRPr="00B46938">
        <w:t>1.5.7.2. Key changes, 2013-12: Victoria</w:t>
      </w:r>
    </w:p>
    <w:p w14:paraId="01CC2B78" w14:textId="77777777" w:rsidR="00F312E3" w:rsidRPr="00B46938" w:rsidRDefault="00F312E3" w:rsidP="00FF41B4">
      <w:pPr>
        <w:pStyle w:val="Heading7"/>
        <w:jc w:val="both"/>
        <w:rPr>
          <w:i w:val="0"/>
        </w:rPr>
      </w:pPr>
      <w:r w:rsidRPr="00B46938">
        <w:rPr>
          <w:i w:val="0"/>
        </w:rPr>
        <w:t>Children, Youth and Families Act 2005 (relevant provisions commenced 23 April 2007)</w:t>
      </w:r>
    </w:p>
    <w:p w14:paraId="10AC5D5C" w14:textId="77777777" w:rsidR="00F312E3" w:rsidRPr="00B46938" w:rsidRDefault="00F312E3" w:rsidP="00FF41B4">
      <w:pPr>
        <w:jc w:val="both"/>
      </w:pPr>
      <w:r w:rsidRPr="00B46938">
        <w:t xml:space="preserve">The </w:t>
      </w:r>
      <w:r w:rsidRPr="00B46938">
        <w:rPr>
          <w:i/>
        </w:rPr>
        <w:t>Children and Young Persons Act 1989</w:t>
      </w:r>
      <w:r w:rsidRPr="00B46938">
        <w:t xml:space="preserve"> (No. 56 of 1989) was repealed on 23 April 2007 by s 601 of the </w:t>
      </w:r>
      <w:r w:rsidRPr="00B46938">
        <w:rPr>
          <w:i/>
        </w:rPr>
        <w:t>Children, Youth and Families Act 2005</w:t>
      </w:r>
      <w:r w:rsidRPr="00B46938">
        <w:t xml:space="preserve">, No. 96/2005. The CYFA 2005 incorporated the mandatory reporting provisions in Chapter 4 (Children in need of protection) and Part 4.4 (Reporting) (s 162, 182 </w:t>
      </w:r>
      <w:proofErr w:type="spellStart"/>
      <w:r w:rsidRPr="00B46938">
        <w:t>ff</w:t>
      </w:r>
      <w:proofErr w:type="spellEnd"/>
      <w:r w:rsidRPr="00B46938">
        <w:t>).</w:t>
      </w:r>
    </w:p>
    <w:p w14:paraId="3F863FD5" w14:textId="77777777" w:rsidR="00F312E3" w:rsidRPr="00B46938" w:rsidRDefault="00F312E3" w:rsidP="00FF41B4">
      <w:pPr>
        <w:jc w:val="both"/>
      </w:pPr>
      <w:r w:rsidRPr="00B46938">
        <w:lastRenderedPageBreak/>
        <w:t>The new legislation made no substantive changes to mandatory reporting provisions.</w:t>
      </w:r>
      <w:r w:rsidRPr="00B46938">
        <w:rPr>
          <w:rStyle w:val="FootnoteReference"/>
        </w:rPr>
        <w:footnoteReference w:id="45"/>
      </w:r>
      <w:r w:rsidRPr="00B46938">
        <w:t xml:space="preserve"> There was no change to the types of abuse that must be reported (provisions renumbered – now s 162(1</w:t>
      </w:r>
      <w:proofErr w:type="gramStart"/>
      <w:r w:rsidRPr="00B46938">
        <w:t>)(</w:t>
      </w:r>
      <w:proofErr w:type="gramEnd"/>
      <w:r w:rsidRPr="00B46938">
        <w:t>c) and (d) for physical injury and sexual abuse respectively) or the nature of the reporting duty, for example, the state of mind required to activate the reporting duty.</w:t>
      </w:r>
      <w:r w:rsidRPr="00B46938">
        <w:rPr>
          <w:rStyle w:val="FootnoteReference"/>
        </w:rPr>
        <w:footnoteReference w:id="46"/>
      </w:r>
      <w:r w:rsidRPr="00B46938">
        <w:t xml:space="preserve"> The definition of ‘child’ as a person under 17 was not amended (s 3). However, it is significant that s 31 enabled significant concerns regarding a child’s wellbeing to </w:t>
      </w:r>
      <w:proofErr w:type="gramStart"/>
      <w:r w:rsidRPr="00B46938">
        <w:t>be referred</w:t>
      </w:r>
      <w:proofErr w:type="gramEnd"/>
      <w:r w:rsidRPr="00B46938">
        <w:t xml:space="preserve"> to a community-based child and family service. This was an aspect of the differential response mechanism built into the legislation at this time.</w:t>
      </w:r>
      <w:r w:rsidRPr="00B46938">
        <w:rPr>
          <w:rStyle w:val="FootnoteReference"/>
        </w:rPr>
        <w:footnoteReference w:id="47"/>
      </w:r>
    </w:p>
    <w:p w14:paraId="1C4B9BB5" w14:textId="77777777" w:rsidR="00F312E3" w:rsidRPr="00B46938" w:rsidRDefault="00F312E3" w:rsidP="00FF41B4">
      <w:pPr>
        <w:jc w:val="both"/>
      </w:pPr>
      <w:r w:rsidRPr="00B46938">
        <w:lastRenderedPageBreak/>
        <w:t xml:space="preserve">There were no changes to mandated reporter groups as when </w:t>
      </w:r>
      <w:proofErr w:type="gramStart"/>
      <w:r w:rsidRPr="00B46938">
        <w:t>enacted,</w:t>
      </w:r>
      <w:proofErr w:type="gramEnd"/>
      <w:r w:rsidRPr="00B46938">
        <w:t xml:space="preserve"> no further groups were gazetted as mandated reporters. The provisions were renumbered as follows in s 182(1</w:t>
      </w:r>
      <w:proofErr w:type="gramStart"/>
      <w:r w:rsidRPr="00B46938">
        <w:t>)(</w:t>
      </w:r>
      <w:proofErr w:type="gramEnd"/>
      <w:r w:rsidRPr="00B46938">
        <w:t>a)-(l):</w:t>
      </w:r>
      <w:r w:rsidRPr="00B46938">
        <w:rPr>
          <w:rStyle w:val="FootnoteReference"/>
        </w:rPr>
        <w:footnoteReference w:id="48"/>
      </w:r>
    </w:p>
    <w:p w14:paraId="1BA1339E" w14:textId="3E4EC4A3" w:rsidR="00F312E3" w:rsidRPr="00B46938" w:rsidRDefault="00AD1BBF" w:rsidP="001B0227">
      <w:pPr>
        <w:pStyle w:val="ListParagraph"/>
        <w:numPr>
          <w:ilvl w:val="2"/>
          <w:numId w:val="75"/>
        </w:numPr>
        <w:jc w:val="both"/>
      </w:pPr>
      <w:r>
        <w:tab/>
      </w:r>
      <w:r w:rsidR="00F312E3" w:rsidRPr="00B46938">
        <w:t>a registered medical practitioner;</w:t>
      </w:r>
    </w:p>
    <w:p w14:paraId="1245E51B" w14:textId="6EDA86D1" w:rsidR="00F312E3" w:rsidRPr="00B46938" w:rsidRDefault="00AD1BBF" w:rsidP="001B0227">
      <w:pPr>
        <w:pStyle w:val="ListParagraph"/>
        <w:numPr>
          <w:ilvl w:val="2"/>
          <w:numId w:val="75"/>
        </w:numPr>
        <w:jc w:val="both"/>
      </w:pPr>
      <w:r>
        <w:tab/>
      </w:r>
      <w:r w:rsidR="00F312E3" w:rsidRPr="00B46938">
        <w:t>a person registered under the Nurses Act 1993;</w:t>
      </w:r>
    </w:p>
    <w:p w14:paraId="1E72F2D6" w14:textId="62D971C6" w:rsidR="00F312E3" w:rsidRPr="00B46938" w:rsidRDefault="00AD1BBF" w:rsidP="001B0227">
      <w:pPr>
        <w:pStyle w:val="ListParagraph"/>
        <w:numPr>
          <w:ilvl w:val="2"/>
          <w:numId w:val="75"/>
        </w:numPr>
        <w:jc w:val="both"/>
      </w:pPr>
      <w:r>
        <w:tab/>
      </w:r>
      <w:r w:rsidR="00F312E3" w:rsidRPr="00B46938">
        <w:t xml:space="preserve">a person who is registered as a teacher under the Victorian Institute of Teaching Act 2001 </w:t>
      </w:r>
      <w:r>
        <w:tab/>
      </w:r>
      <w:r w:rsidR="00F312E3" w:rsidRPr="00B46938">
        <w:t>or has been granted permission to teach under that Act;</w:t>
      </w:r>
    </w:p>
    <w:p w14:paraId="3ADAADCC" w14:textId="3FDFE5F3" w:rsidR="00F312E3" w:rsidRPr="00B46938" w:rsidRDefault="00AD1BBF" w:rsidP="001B0227">
      <w:pPr>
        <w:pStyle w:val="ListParagraph"/>
        <w:numPr>
          <w:ilvl w:val="2"/>
          <w:numId w:val="75"/>
        </w:numPr>
        <w:jc w:val="both"/>
      </w:pPr>
      <w:r>
        <w:tab/>
      </w:r>
      <w:r w:rsidR="00F312E3" w:rsidRPr="00B46938">
        <w:t xml:space="preserve">the head teacher or principal of a State school within the meaning of the Education Act </w:t>
      </w:r>
      <w:r>
        <w:tab/>
      </w:r>
      <w:r w:rsidR="00F312E3" w:rsidRPr="00B46938">
        <w:t>1958 or of a school registered under Part III of that Act;</w:t>
      </w:r>
    </w:p>
    <w:p w14:paraId="724A2B78" w14:textId="0B85817C" w:rsidR="00F312E3" w:rsidRPr="00B46938" w:rsidRDefault="00AD1BBF" w:rsidP="001B0227">
      <w:pPr>
        <w:pStyle w:val="ListParagraph"/>
        <w:numPr>
          <w:ilvl w:val="2"/>
          <w:numId w:val="75"/>
        </w:numPr>
        <w:jc w:val="both"/>
      </w:pPr>
      <w:r>
        <w:tab/>
      </w:r>
      <w:r w:rsidR="00F312E3" w:rsidRPr="00B46938">
        <w:t>a member of the police force;</w:t>
      </w:r>
    </w:p>
    <w:p w14:paraId="22729BEC" w14:textId="02D2CE27" w:rsidR="00F312E3" w:rsidRPr="00B46938" w:rsidRDefault="00AD1BBF" w:rsidP="001B0227">
      <w:pPr>
        <w:pStyle w:val="ListParagraph"/>
        <w:numPr>
          <w:ilvl w:val="2"/>
          <w:numId w:val="75"/>
        </w:numPr>
        <w:jc w:val="both"/>
      </w:pPr>
      <w:r>
        <w:tab/>
      </w:r>
      <w:r w:rsidR="00F312E3" w:rsidRPr="00B46938">
        <w:t xml:space="preserve">on and from the relevant date, the proprietor of, or a person with a post-secondary </w:t>
      </w:r>
      <w:r>
        <w:tab/>
      </w:r>
      <w:r w:rsidR="00F312E3" w:rsidRPr="00B46938">
        <w:t xml:space="preserve">qualification in the care, education or minding of children who is employed by, a children's </w:t>
      </w:r>
      <w:r>
        <w:tab/>
      </w:r>
      <w:r w:rsidR="00F312E3" w:rsidRPr="00B46938">
        <w:t xml:space="preserve">service to which the Children's Services Act 1996 applies or a person nominated under </w:t>
      </w:r>
      <w:r>
        <w:tab/>
      </w:r>
      <w:r w:rsidR="00F312E3" w:rsidRPr="00B46938">
        <w:t>section 16(2)(b)(iii) of that Act;</w:t>
      </w:r>
    </w:p>
    <w:p w14:paraId="21D473FE" w14:textId="3C6DE663" w:rsidR="00F312E3" w:rsidRPr="00B46938" w:rsidRDefault="00AD1BBF" w:rsidP="001B0227">
      <w:pPr>
        <w:pStyle w:val="ListParagraph"/>
        <w:numPr>
          <w:ilvl w:val="2"/>
          <w:numId w:val="75"/>
        </w:numPr>
        <w:jc w:val="both"/>
      </w:pPr>
      <w:r>
        <w:tab/>
      </w:r>
      <w:r w:rsidR="00F312E3" w:rsidRPr="00B46938">
        <w:t xml:space="preserve">on and from the relevant date, a person with a post-secondary qualification in youth, social </w:t>
      </w:r>
      <w:r>
        <w:tab/>
      </w:r>
      <w:r w:rsidR="00F312E3" w:rsidRPr="00B46938">
        <w:t xml:space="preserve">or welfare work who works in the health, education or community or welfare services field </w:t>
      </w:r>
      <w:r>
        <w:tab/>
      </w:r>
      <w:r w:rsidR="00F312E3" w:rsidRPr="00B46938">
        <w:t>and who is not referred to in paragraph (h);</w:t>
      </w:r>
    </w:p>
    <w:p w14:paraId="6E72A725" w14:textId="3C1E5E1C" w:rsidR="00F312E3" w:rsidRPr="00B46938" w:rsidRDefault="00AD1BBF" w:rsidP="001B0227">
      <w:pPr>
        <w:pStyle w:val="ListParagraph"/>
        <w:numPr>
          <w:ilvl w:val="2"/>
          <w:numId w:val="75"/>
        </w:numPr>
        <w:jc w:val="both"/>
      </w:pPr>
      <w:r>
        <w:tab/>
      </w:r>
      <w:r w:rsidR="00F312E3" w:rsidRPr="00B46938">
        <w:t xml:space="preserve">on and from the relevant date, a person employed under Part 3 of the Public </w:t>
      </w:r>
      <w:r>
        <w:tab/>
      </w:r>
      <w:r w:rsidR="00F312E3" w:rsidRPr="00B46938">
        <w:t>Administration Act 2004 to perform the duties of a youth and child welfare worker;</w:t>
      </w:r>
    </w:p>
    <w:p w14:paraId="3F832868" w14:textId="740D1A8E" w:rsidR="00F312E3" w:rsidRPr="00B46938" w:rsidRDefault="00AD1BBF" w:rsidP="001B0227">
      <w:pPr>
        <w:pStyle w:val="ListParagraph"/>
        <w:numPr>
          <w:ilvl w:val="2"/>
          <w:numId w:val="75"/>
        </w:numPr>
        <w:jc w:val="both"/>
      </w:pPr>
      <w:r>
        <w:tab/>
      </w:r>
      <w:r w:rsidR="00F312E3" w:rsidRPr="00B46938">
        <w:t>on and from the relevant date, a registered psychologist;</w:t>
      </w:r>
    </w:p>
    <w:p w14:paraId="25B20243" w14:textId="35C0B73E" w:rsidR="00F312E3" w:rsidRPr="00B46938" w:rsidRDefault="00AD1BBF" w:rsidP="001B0227">
      <w:pPr>
        <w:pStyle w:val="ListParagraph"/>
        <w:numPr>
          <w:ilvl w:val="2"/>
          <w:numId w:val="75"/>
        </w:numPr>
        <w:jc w:val="both"/>
      </w:pPr>
      <w:r>
        <w:tab/>
      </w:r>
      <w:r w:rsidR="00F312E3" w:rsidRPr="00B46938">
        <w:t>on and from the relevant date, a youth justice officer;</w:t>
      </w:r>
    </w:p>
    <w:p w14:paraId="390D8E12" w14:textId="3D429087" w:rsidR="00F312E3" w:rsidRPr="00B46938" w:rsidRDefault="00AD1BBF" w:rsidP="001B0227">
      <w:pPr>
        <w:pStyle w:val="ListParagraph"/>
        <w:numPr>
          <w:ilvl w:val="2"/>
          <w:numId w:val="75"/>
        </w:numPr>
        <w:jc w:val="both"/>
      </w:pPr>
      <w:r>
        <w:tab/>
      </w:r>
      <w:r w:rsidR="00F312E3" w:rsidRPr="00B46938">
        <w:t>on and from the relevant date, a youth parole officer;</w:t>
      </w:r>
    </w:p>
    <w:p w14:paraId="58101830" w14:textId="3DAF5E10" w:rsidR="00F312E3" w:rsidRPr="00B46938" w:rsidRDefault="00AD1BBF" w:rsidP="001B0227">
      <w:pPr>
        <w:pStyle w:val="ListParagraph"/>
        <w:numPr>
          <w:ilvl w:val="2"/>
          <w:numId w:val="75"/>
        </w:numPr>
        <w:jc w:val="both"/>
      </w:pPr>
      <w:r>
        <w:tab/>
      </w:r>
      <w:proofErr w:type="gramStart"/>
      <w:r w:rsidR="00F312E3" w:rsidRPr="00B46938">
        <w:t>on</w:t>
      </w:r>
      <w:proofErr w:type="gramEnd"/>
      <w:r w:rsidR="00F312E3" w:rsidRPr="00B46938">
        <w:t xml:space="preserve"> and from the relevant date, a member of a prescribed class of persons.</w:t>
      </w:r>
    </w:p>
    <w:p w14:paraId="7C7CC67F" w14:textId="77777777" w:rsidR="00F312E3" w:rsidRPr="00B46938" w:rsidRDefault="00F312E3" w:rsidP="00FF41B4">
      <w:pPr>
        <w:spacing w:after="240"/>
        <w:jc w:val="both"/>
      </w:pPr>
      <w:proofErr w:type="gramStart"/>
      <w:r w:rsidRPr="00B46938">
        <w:t>Therefore</w:t>
      </w:r>
      <w:proofErr w:type="gramEnd"/>
      <w:r w:rsidRPr="00B46938">
        <w:t xml:space="preserve"> no change in reporting practice can be expected from this new legislative regime.</w:t>
      </w:r>
    </w:p>
    <w:p w14:paraId="59D7E6E7" w14:textId="77777777" w:rsidR="00F312E3" w:rsidRPr="00B46938" w:rsidRDefault="00F312E3" w:rsidP="00FF41B4">
      <w:pPr>
        <w:pStyle w:val="Heading7"/>
        <w:jc w:val="both"/>
        <w:rPr>
          <w:i w:val="0"/>
        </w:rPr>
      </w:pPr>
      <w:r w:rsidRPr="00B46938">
        <w:rPr>
          <w:i w:val="0"/>
        </w:rPr>
        <w:t>How harm may be constituted (commenced 23 April 2007)</w:t>
      </w:r>
    </w:p>
    <w:p w14:paraId="4AC213FE" w14:textId="77777777" w:rsidR="00F312E3" w:rsidRPr="00B46938" w:rsidRDefault="00F312E3" w:rsidP="00FF41B4">
      <w:pPr>
        <w:jc w:val="both"/>
      </w:pPr>
      <w:proofErr w:type="gramStart"/>
      <w:r w:rsidRPr="00B46938">
        <w:t>A new s 162(2) was inserted by Children, Youth and Families (Consequential and Other Amendments) Act 2006 (No. 48/2006) to clarify that</w:t>
      </w:r>
      <w:proofErr w:type="gramEnd"/>
      <w:r w:rsidRPr="00B46938">
        <w:t>:</w:t>
      </w:r>
    </w:p>
    <w:p w14:paraId="1285DC94" w14:textId="77777777" w:rsidR="00F312E3" w:rsidRPr="00B46938" w:rsidRDefault="00F312E3" w:rsidP="006C7504">
      <w:pPr>
        <w:ind w:left="720" w:right="722"/>
        <w:jc w:val="both"/>
      </w:pPr>
      <w:r w:rsidRPr="00B46938">
        <w:lastRenderedPageBreak/>
        <w:t>‘For the purposes of subsections (1</w:t>
      </w:r>
      <w:proofErr w:type="gramStart"/>
      <w:r w:rsidRPr="00B46938">
        <w:t>)(</w:t>
      </w:r>
      <w:proofErr w:type="gramEnd"/>
      <w:r w:rsidRPr="00B46938">
        <w:t>c) to (1)(f), the harm may be constituted by a single act, omission or circumstance or accumulate through a series of acts, omissions or circumstances.’</w:t>
      </w:r>
    </w:p>
    <w:p w14:paraId="346BE36C" w14:textId="77777777" w:rsidR="00F312E3" w:rsidRPr="00B46938" w:rsidRDefault="00F312E3" w:rsidP="00FF41B4">
      <w:pPr>
        <w:spacing w:after="240"/>
        <w:jc w:val="both"/>
      </w:pPr>
      <w:r w:rsidRPr="00B46938">
        <w:t xml:space="preserve">It </w:t>
      </w:r>
      <w:proofErr w:type="gramStart"/>
      <w:r w:rsidRPr="00B46938">
        <w:t>may be expected</w:t>
      </w:r>
      <w:proofErr w:type="gramEnd"/>
      <w:r w:rsidRPr="00B46938">
        <w:t xml:space="preserve"> that this provision clarified the circumstances in which harm can be caused, while not having a direct influence on the number of reports.</w:t>
      </w:r>
    </w:p>
    <w:p w14:paraId="2A006EEB" w14:textId="77777777" w:rsidR="00F312E3" w:rsidRPr="00B46938" w:rsidRDefault="00F312E3" w:rsidP="00FF41B4">
      <w:pPr>
        <w:pStyle w:val="Heading7"/>
        <w:jc w:val="both"/>
        <w:rPr>
          <w:i w:val="0"/>
        </w:rPr>
      </w:pPr>
      <w:r w:rsidRPr="00B46938">
        <w:rPr>
          <w:i w:val="0"/>
        </w:rPr>
        <w:t>Addition of midwives as a new mandated reporter group (commencing 1 July 2010)</w:t>
      </w:r>
    </w:p>
    <w:p w14:paraId="6DABE830" w14:textId="77777777" w:rsidR="00F312E3" w:rsidRPr="00B46938" w:rsidRDefault="00F312E3" w:rsidP="00FF41B4">
      <w:pPr>
        <w:autoSpaceDE w:val="0"/>
        <w:autoSpaceDN w:val="0"/>
        <w:adjustRightInd w:val="0"/>
        <w:jc w:val="both"/>
        <w:rPr>
          <w:rFonts w:cs="TimesNewRomanPS-BoldMT"/>
          <w:bCs/>
        </w:rPr>
      </w:pPr>
      <w:r w:rsidRPr="00B46938">
        <w:rPr>
          <w:rFonts w:cs="TimesNewRomanPS-BoldMT"/>
          <w:bCs/>
        </w:rPr>
        <w:t xml:space="preserve">Several statutes have made </w:t>
      </w:r>
      <w:r w:rsidRPr="00B46938">
        <w:t>insubstantial amendments to incorporate changes to professional regulatory mechanisms and definitions.</w:t>
      </w:r>
      <w:r w:rsidRPr="00B46938">
        <w:rPr>
          <w:rStyle w:val="FootnoteReference"/>
        </w:rPr>
        <w:footnoteReference w:id="49"/>
      </w:r>
      <w:r w:rsidRPr="00B46938">
        <w:t xml:space="preserve"> </w:t>
      </w:r>
      <w:r w:rsidRPr="00B46938">
        <w:rPr>
          <w:rFonts w:cs="TimesNewRomanPS-BoldMT"/>
          <w:bCs/>
        </w:rPr>
        <w:t xml:space="preserve">However, the </w:t>
      </w:r>
      <w:r w:rsidRPr="00B46938">
        <w:rPr>
          <w:rFonts w:cs="TimesNewRomanPS-BoldMT"/>
          <w:bCs/>
          <w:i/>
        </w:rPr>
        <w:t>Statute Law Amendment (National Health Practitioner Regulation) Act 2010 (No. 13 of 2010)</w:t>
      </w:r>
      <w:r w:rsidRPr="00B46938">
        <w:rPr>
          <w:rFonts w:cs="TimesNewRomanPS-BoldMT"/>
          <w:bCs/>
        </w:rPr>
        <w:t xml:space="preserve">, in amending the definition of ‘nurse’ to add midwives, clearly adds midwives to the list of mandated reporter groups. This Act made several insubstantial amendments to </w:t>
      </w:r>
      <w:r w:rsidRPr="00B46938">
        <w:rPr>
          <w:rFonts w:cs="TimesNewRomanPS-BoldMT"/>
          <w:bCs/>
        </w:rPr>
        <w:lastRenderedPageBreak/>
        <w:t>definitions.</w:t>
      </w:r>
      <w:r w:rsidRPr="00B46938">
        <w:rPr>
          <w:rStyle w:val="FootnoteReference"/>
          <w:rFonts w:cs="TimesNewRomanPS-BoldMT"/>
          <w:bCs/>
        </w:rPr>
        <w:footnoteReference w:id="50"/>
      </w:r>
      <w:r w:rsidRPr="00B46938">
        <w:rPr>
          <w:rFonts w:cs="TimesNewRomanPS-BoldMT"/>
          <w:bCs/>
        </w:rPr>
        <w:t xml:space="preserve"> The more significant amendment was in Schedule item 12, which inserted a definition of ‘midwife’</w:t>
      </w:r>
      <w:r w:rsidRPr="00B46938">
        <w:rPr>
          <w:rStyle w:val="FootnoteReference"/>
          <w:rFonts w:cs="TimesNewRomanPS-BoldMT"/>
          <w:bCs/>
        </w:rPr>
        <w:footnoteReference w:id="51"/>
      </w:r>
      <w:r w:rsidRPr="00B46938">
        <w:rPr>
          <w:rFonts w:cs="TimesNewRomanPS-BoldMT"/>
          <w:bCs/>
        </w:rPr>
        <w:t xml:space="preserve"> and added midwives to s 182 as a mandated reporter group as a subset of nurses.</w:t>
      </w:r>
    </w:p>
    <w:p w14:paraId="76F769D4" w14:textId="77777777" w:rsidR="00F312E3" w:rsidRPr="00B46938" w:rsidRDefault="00F312E3" w:rsidP="00FF41B4">
      <w:pPr>
        <w:ind w:left="360"/>
        <w:jc w:val="both"/>
      </w:pPr>
      <w:r w:rsidRPr="00B46938">
        <w:t>12.4 For section 182(1</w:t>
      </w:r>
      <w:proofErr w:type="gramStart"/>
      <w:r w:rsidRPr="00B46938">
        <w:t>)(</w:t>
      </w:r>
      <w:proofErr w:type="gramEnd"/>
      <w:r w:rsidRPr="00B46938">
        <w:t>b) substitute—</w:t>
      </w:r>
    </w:p>
    <w:p w14:paraId="0CA3D58B" w14:textId="41F1CCC3" w:rsidR="00F312E3" w:rsidRPr="00B46938" w:rsidRDefault="00F312E3" w:rsidP="00FF41B4">
      <w:pPr>
        <w:ind w:left="720"/>
        <w:jc w:val="both"/>
      </w:pPr>
      <w:r w:rsidRPr="00B46938">
        <w:t xml:space="preserve">"(b) </w:t>
      </w:r>
      <w:r w:rsidR="00D3002C">
        <w:tab/>
      </w:r>
      <w:proofErr w:type="gramStart"/>
      <w:r w:rsidRPr="00B46938">
        <w:t>a</w:t>
      </w:r>
      <w:proofErr w:type="gramEnd"/>
      <w:r w:rsidRPr="00B46938">
        <w:t xml:space="preserve"> nurse;</w:t>
      </w:r>
    </w:p>
    <w:p w14:paraId="0443DBCA" w14:textId="2FA226BD" w:rsidR="00F312E3" w:rsidRPr="00B46938" w:rsidRDefault="00F312E3" w:rsidP="00FF41B4">
      <w:pPr>
        <w:ind w:left="720"/>
        <w:jc w:val="both"/>
      </w:pPr>
      <w:r w:rsidRPr="00B46938">
        <w:t>(</w:t>
      </w:r>
      <w:proofErr w:type="spellStart"/>
      <w:r w:rsidRPr="00B46938">
        <w:t>ba</w:t>
      </w:r>
      <w:proofErr w:type="spellEnd"/>
      <w:r w:rsidRPr="00B46938">
        <w:t>)</w:t>
      </w:r>
      <w:r w:rsidR="00D3002C">
        <w:tab/>
      </w:r>
      <w:r w:rsidRPr="00B46938">
        <w:t>a midwife;</w:t>
      </w:r>
      <w:r w:rsidR="00D3002C" w:rsidRPr="00B46938">
        <w:t>”</w:t>
      </w:r>
    </w:p>
    <w:p w14:paraId="3A5380E4" w14:textId="77777777" w:rsidR="00F312E3" w:rsidRPr="00B46938" w:rsidRDefault="00F312E3" w:rsidP="00FF41B4">
      <w:pPr>
        <w:spacing w:after="240"/>
        <w:jc w:val="both"/>
      </w:pPr>
      <w:r w:rsidRPr="00B46938">
        <w:t>This may be expected to produce a small increase in reports by this group of professionals, perhaps especially about risk of physical injury.</w:t>
      </w:r>
    </w:p>
    <w:p w14:paraId="3084809F" w14:textId="77777777" w:rsidR="00F312E3" w:rsidRPr="00B46938" w:rsidRDefault="00F312E3" w:rsidP="00D3002C">
      <w:pPr>
        <w:pStyle w:val="Heading7"/>
        <w:spacing w:after="240"/>
        <w:jc w:val="both"/>
        <w:rPr>
          <w:i w:val="0"/>
        </w:rPr>
      </w:pPr>
      <w:r w:rsidRPr="00B46938">
        <w:rPr>
          <w:i w:val="0"/>
        </w:rPr>
        <w:t xml:space="preserve">Small change to penalty (commencing </w:t>
      </w:r>
      <w:r w:rsidRPr="00B46938">
        <w:rPr>
          <w:bCs/>
          <w:i w:val="0"/>
        </w:rPr>
        <w:t>1 July 2012)</w:t>
      </w:r>
    </w:p>
    <w:p w14:paraId="66472CC6" w14:textId="77777777" w:rsidR="00F312E3" w:rsidRPr="00B46938" w:rsidRDefault="00F312E3" w:rsidP="00FF41B4">
      <w:pPr>
        <w:jc w:val="both"/>
      </w:pPr>
      <w:r w:rsidRPr="00B46938">
        <w:rPr>
          <w:rFonts w:cs="Times-Roman"/>
        </w:rPr>
        <w:t xml:space="preserve">In addition (see Table 6), since 1 July 2012, the penalty has been moderately raised through the combined operation of the </w:t>
      </w:r>
      <w:r w:rsidRPr="00B46938">
        <w:rPr>
          <w:bCs/>
          <w:i/>
        </w:rPr>
        <w:t>Sentencing Act 1991</w:t>
      </w:r>
      <w:r w:rsidRPr="00B46938">
        <w:rPr>
          <w:bCs/>
        </w:rPr>
        <w:t xml:space="preserve"> (Vic), s 110 and the </w:t>
      </w:r>
      <w:r w:rsidRPr="00B46938">
        <w:rPr>
          <w:bCs/>
          <w:i/>
        </w:rPr>
        <w:t>Monetary Units Act 2004</w:t>
      </w:r>
      <w:r w:rsidRPr="00B46938">
        <w:rPr>
          <w:bCs/>
        </w:rPr>
        <w:t xml:space="preserve"> s 11(1</w:t>
      </w:r>
      <w:proofErr w:type="gramStart"/>
      <w:r w:rsidRPr="00B46938">
        <w:rPr>
          <w:bCs/>
        </w:rPr>
        <w:t>)(</w:t>
      </w:r>
      <w:proofErr w:type="gramEnd"/>
      <w:r w:rsidRPr="00B46938">
        <w:rPr>
          <w:bCs/>
        </w:rPr>
        <w:t xml:space="preserve">b). The value of a penalty unit for the 2012/13 financial year was $140.84. </w:t>
      </w:r>
      <w:proofErr w:type="gramStart"/>
      <w:r w:rsidRPr="00B46938">
        <w:rPr>
          <w:bCs/>
        </w:rPr>
        <w:t>So</w:t>
      </w:r>
      <w:proofErr w:type="gramEnd"/>
      <w:r w:rsidRPr="00B46938">
        <w:rPr>
          <w:bCs/>
        </w:rPr>
        <w:t>, the maximum penalty since 1 July 2012 has been $1408. However, it is doubtful whether this increase (if reporters are even aware of it) has influenced reporting behaviour.</w:t>
      </w:r>
    </w:p>
    <w:p w14:paraId="538DA00A" w14:textId="77777777" w:rsidR="00F312E3" w:rsidRPr="00B46938" w:rsidRDefault="00F312E3" w:rsidP="00D3002C">
      <w:pPr>
        <w:pStyle w:val="Heading6"/>
        <w:spacing w:after="240"/>
        <w:jc w:val="both"/>
      </w:pPr>
      <w:r w:rsidRPr="00B46938">
        <w:t>1.5.7.3. Current position: Victoria</w:t>
      </w:r>
    </w:p>
    <w:p w14:paraId="7B417FFD" w14:textId="77777777" w:rsidR="00F312E3" w:rsidRPr="00B46938" w:rsidRDefault="00F312E3" w:rsidP="00FF41B4">
      <w:pPr>
        <w:jc w:val="both"/>
      </w:pPr>
      <w:r w:rsidRPr="00B46938">
        <w:t xml:space="preserve">There has been no substantial change to reporter groups apart from adding midwives to the existing doctors, nurses, police, teachers and principals, or expansion of the types of abuse and </w:t>
      </w:r>
      <w:proofErr w:type="gramStart"/>
      <w:r w:rsidRPr="00B46938">
        <w:t>neglect which</w:t>
      </w:r>
      <w:proofErr w:type="gramEnd"/>
      <w:r w:rsidRPr="00B46938">
        <w:t xml:space="preserve"> must be reported (still limited to physical injury and sexual abuse).</w:t>
      </w:r>
    </w:p>
    <w:p w14:paraId="1AD7FD61" w14:textId="77777777" w:rsidR="00F312E3" w:rsidRPr="00B46938" w:rsidRDefault="00F312E3" w:rsidP="00FF41B4">
      <w:pPr>
        <w:pStyle w:val="Heading6"/>
        <w:jc w:val="both"/>
      </w:pPr>
      <w:r w:rsidRPr="00B46938">
        <w:t>1.5.7.4. A note on the scope of s 162(1</w:t>
      </w:r>
      <w:proofErr w:type="gramStart"/>
      <w:r w:rsidRPr="00B46938">
        <w:t>)(</w:t>
      </w:r>
      <w:proofErr w:type="gramEnd"/>
      <w:r w:rsidRPr="00B46938">
        <w:t>c) in Victoria</w:t>
      </w:r>
    </w:p>
    <w:p w14:paraId="6B203E70" w14:textId="77777777" w:rsidR="00F312E3" w:rsidRPr="00B46938" w:rsidRDefault="00F312E3" w:rsidP="00FF41B4">
      <w:pPr>
        <w:jc w:val="both"/>
      </w:pPr>
      <w:r w:rsidRPr="00B46938">
        <w:lastRenderedPageBreak/>
        <w:t xml:space="preserve">An issue arises as to whether the mandatory reporting duty in subsection (c) applies only to physical injury caused by </w:t>
      </w:r>
      <w:r w:rsidRPr="00B46938">
        <w:rPr>
          <w:i/>
        </w:rPr>
        <w:t>physical abuse</w:t>
      </w:r>
      <w:r w:rsidRPr="00B46938">
        <w:t xml:space="preserve">, or also to physical ‘injury’ caused by </w:t>
      </w:r>
      <w:r w:rsidRPr="00B46938">
        <w:rPr>
          <w:i/>
        </w:rPr>
        <w:t>neglect</w:t>
      </w:r>
      <w:r w:rsidRPr="00B46938">
        <w:t xml:space="preserve">. </w:t>
      </w:r>
    </w:p>
    <w:p w14:paraId="4F084479" w14:textId="77777777" w:rsidR="00F312E3" w:rsidRPr="00B46938" w:rsidRDefault="00F312E3" w:rsidP="00FF41B4">
      <w:pPr>
        <w:jc w:val="both"/>
      </w:pPr>
      <w:proofErr w:type="gramStart"/>
      <w:r w:rsidRPr="00B46938">
        <w:t>This is a complex question to which there may not be a clear and indisputable answer</w:t>
      </w:r>
      <w:proofErr w:type="gramEnd"/>
      <w:r w:rsidRPr="00B46938">
        <w:t xml:space="preserve">. The provisions are somewhat ambiguous, and key terms (including, most critically, ‘physical injury’, but also ‘physical development’, ‘health’ and ‘basic care’) </w:t>
      </w:r>
      <w:proofErr w:type="gramStart"/>
      <w:r w:rsidRPr="00B46938">
        <w:t>are not defined</w:t>
      </w:r>
      <w:proofErr w:type="gramEnd"/>
      <w:r w:rsidRPr="00B46938">
        <w:t xml:space="preserve"> by the Act or by case law. Some contrasting insights </w:t>
      </w:r>
      <w:proofErr w:type="gramStart"/>
      <w:r w:rsidRPr="00B46938">
        <w:t>are indicated</w:t>
      </w:r>
      <w:proofErr w:type="gramEnd"/>
      <w:r w:rsidRPr="00B46938">
        <w:t xml:space="preserve"> here. It is ultimately a question of statutory interpretation whether the ‘physical injury’ reporting requirement in (c) applies to any cases of child neglect, and if so, to which cases. </w:t>
      </w:r>
    </w:p>
    <w:p w14:paraId="0B37C47B" w14:textId="77777777" w:rsidR="00F312E3" w:rsidRPr="00B46938" w:rsidRDefault="00F312E3" w:rsidP="00FF41B4">
      <w:pPr>
        <w:jc w:val="both"/>
      </w:pPr>
      <w:r w:rsidRPr="00B46938">
        <w:t>To contextualise the discussion, the subsections regarding physical injury and neglectful circumstances respectively read as follows (in the original 1989 Act s 63(c) and (f), which are unchanged in the 2005 Act s 162(1</w:t>
      </w:r>
      <w:proofErr w:type="gramStart"/>
      <w:r w:rsidRPr="00B46938">
        <w:t>)(</w:t>
      </w:r>
      <w:proofErr w:type="gramEnd"/>
      <w:r w:rsidRPr="00B46938">
        <w:t>c) and (f)):</w:t>
      </w:r>
    </w:p>
    <w:p w14:paraId="75795316" w14:textId="77777777" w:rsidR="00F312E3" w:rsidRPr="00B46938" w:rsidRDefault="00F312E3" w:rsidP="00FF41B4">
      <w:pPr>
        <w:jc w:val="both"/>
      </w:pPr>
      <w:r w:rsidRPr="00B46938">
        <w:t>‘A child is in need of protection if any of the following grounds exist - …</w:t>
      </w:r>
    </w:p>
    <w:p w14:paraId="4A7559DE" w14:textId="77777777" w:rsidR="00F312E3" w:rsidRPr="00B46938" w:rsidRDefault="00F312E3" w:rsidP="00FF41B4">
      <w:pPr>
        <w:jc w:val="both"/>
      </w:pPr>
      <w:r w:rsidRPr="00B46938">
        <w:t xml:space="preserve">(c) </w:t>
      </w:r>
      <w:proofErr w:type="gramStart"/>
      <w:r w:rsidRPr="00B46938">
        <w:t>the</w:t>
      </w:r>
      <w:proofErr w:type="gramEnd"/>
      <w:r w:rsidRPr="00B46938">
        <w:t xml:space="preserve"> child has suffered, or is likely to suffer, significant harm as a result of </w:t>
      </w:r>
      <w:r w:rsidRPr="00B46938">
        <w:rPr>
          <w:i/>
        </w:rPr>
        <w:t>physical injury</w:t>
      </w:r>
      <w:r w:rsidRPr="00B46938">
        <w:rPr>
          <w:b/>
        </w:rPr>
        <w:t xml:space="preserve"> </w:t>
      </w:r>
      <w:r w:rsidRPr="00B46938">
        <w:t>and the child's parents have not protected, or are unlikely to protect, the child from harm of that type;</w:t>
      </w:r>
    </w:p>
    <w:p w14:paraId="130582A0" w14:textId="77777777" w:rsidR="00F312E3" w:rsidRPr="00B46938" w:rsidRDefault="00F312E3" w:rsidP="00FF41B4">
      <w:pPr>
        <w:jc w:val="both"/>
      </w:pPr>
      <w:r w:rsidRPr="00B46938">
        <w:t xml:space="preserve">(f) the child's </w:t>
      </w:r>
      <w:r w:rsidRPr="00B46938">
        <w:rPr>
          <w:i/>
        </w:rPr>
        <w:t>physical development or health</w:t>
      </w:r>
      <w:r w:rsidRPr="00B46938">
        <w:t xml:space="preserve"> has been, or is likely to be, significantly harmed and the child's parents have not provided, arranged or allowed the provision of, or are unlikely to provide, arrange or allow the provision of, </w:t>
      </w:r>
      <w:r w:rsidRPr="00B46938">
        <w:rPr>
          <w:i/>
        </w:rPr>
        <w:t>basic care</w:t>
      </w:r>
      <w:r w:rsidRPr="00B46938">
        <w:t xml:space="preserve"> </w:t>
      </w:r>
      <w:r w:rsidRPr="00B46938">
        <w:rPr>
          <w:i/>
        </w:rPr>
        <w:t>or effective medical, surgical or other remedial care</w:t>
      </w:r>
      <w:r w:rsidRPr="00B46938">
        <w:t>.’</w:t>
      </w:r>
    </w:p>
    <w:p w14:paraId="5570F9F5" w14:textId="77777777" w:rsidR="00F312E3" w:rsidRPr="00B46938" w:rsidRDefault="00F312E3" w:rsidP="00FF41B4">
      <w:pPr>
        <w:spacing w:after="240"/>
        <w:jc w:val="both"/>
      </w:pPr>
      <w:r w:rsidRPr="00B46938">
        <w:t>(</w:t>
      </w:r>
      <w:proofErr w:type="gramStart"/>
      <w:r w:rsidRPr="00B46938">
        <w:t>author’s</w:t>
      </w:r>
      <w:proofErr w:type="gramEnd"/>
      <w:r w:rsidRPr="00B46938">
        <w:t xml:space="preserve"> emphasis).</w:t>
      </w:r>
    </w:p>
    <w:p w14:paraId="6A3210EE" w14:textId="77777777" w:rsidR="00F312E3" w:rsidRPr="00B46938" w:rsidRDefault="00F312E3" w:rsidP="00FF41B4">
      <w:pPr>
        <w:pStyle w:val="Heading7"/>
        <w:jc w:val="both"/>
        <w:rPr>
          <w:i w:val="0"/>
        </w:rPr>
      </w:pPr>
      <w:r w:rsidRPr="00B46938">
        <w:rPr>
          <w:i w:val="0"/>
        </w:rPr>
        <w:t>‘Physical injury’ is not confined to injury caused by physical abuse – it may include some situations of neglect, so that some instances of neglect fall within the mandatory reporting provisions</w:t>
      </w:r>
    </w:p>
    <w:p w14:paraId="1DC06E01" w14:textId="77777777" w:rsidR="00F312E3" w:rsidRPr="00B46938" w:rsidRDefault="00F312E3" w:rsidP="00FF41B4">
      <w:pPr>
        <w:jc w:val="both"/>
      </w:pPr>
      <w:r w:rsidRPr="00B46938">
        <w:t xml:space="preserve">While it would be unusual to do so, and would arguably be poor </w:t>
      </w:r>
      <w:proofErr w:type="gramStart"/>
      <w:r w:rsidRPr="00B46938">
        <w:t>drafting which</w:t>
      </w:r>
      <w:proofErr w:type="gramEnd"/>
      <w:r w:rsidRPr="00B46938">
        <w:t xml:space="preserve"> needs to be remedied, it is arguable that some instances of ‘physical injury’ caused by neglect could also be embraced by subsection (c) which deals generally with physical injury. This argument is supported by the fact that subsection (c) uses the term ‘physical injury’ rather than ‘physical abuse’, and by a claim that this term seems logically capable of applying to cases of ‘physical injury’ caused by neglect where the child is suffering, or is likely to suffer, significant harm as a result of that ‘physical injury’. This argument would conclude, for example, that a child suffering ‘physical injury’ from life-threatening malnutrition, or from failure to receive necessary medical care, would activate the reporting duty in (c). </w:t>
      </w:r>
    </w:p>
    <w:p w14:paraId="7A48D348" w14:textId="77777777" w:rsidR="00F312E3" w:rsidRPr="00B46938" w:rsidRDefault="00F312E3" w:rsidP="00FF41B4">
      <w:pPr>
        <w:spacing w:after="240"/>
        <w:jc w:val="both"/>
      </w:pPr>
      <w:r w:rsidRPr="00B46938">
        <w:t>However, as well as requiring a multiple characterisation of the consequence of the neglect as ‘physical injury’ under (c) in addition to the harm to ‘physical development or health’ as specified in subsection (f), this claim is not as strong as the alternative view.</w:t>
      </w:r>
    </w:p>
    <w:p w14:paraId="56DE76D4" w14:textId="77777777" w:rsidR="00F312E3" w:rsidRPr="00B46938" w:rsidRDefault="00F312E3" w:rsidP="00FF41B4">
      <w:pPr>
        <w:pStyle w:val="Heading7"/>
        <w:jc w:val="both"/>
        <w:rPr>
          <w:i w:val="0"/>
        </w:rPr>
      </w:pPr>
      <w:r w:rsidRPr="00B46938">
        <w:rPr>
          <w:i w:val="0"/>
        </w:rPr>
        <w:t>Physical injury is confined to injury caused by physical abuse</w:t>
      </w:r>
    </w:p>
    <w:p w14:paraId="2F817EA7" w14:textId="77777777" w:rsidR="00F312E3" w:rsidRPr="00B46938" w:rsidRDefault="00F312E3" w:rsidP="00FF41B4">
      <w:pPr>
        <w:jc w:val="both"/>
      </w:pPr>
      <w:r w:rsidRPr="00B46938">
        <w:lastRenderedPageBreak/>
        <w:t xml:space="preserve">On the alternative view, the term ‘physical injury’ is properly confined to physical abuse, meaning that neglect is never required to be reported under the mandatory reporting provisions, no matter what resulting physical harm may be caused to the child. This conclusion </w:t>
      </w:r>
      <w:proofErr w:type="gramStart"/>
      <w:r w:rsidRPr="00B46938">
        <w:t>is arguably warranted</w:t>
      </w:r>
      <w:proofErr w:type="gramEnd"/>
      <w:r w:rsidRPr="00B46938">
        <w:t xml:space="preserve"> due to several factors.</w:t>
      </w:r>
    </w:p>
    <w:p w14:paraId="15E4AC21" w14:textId="77777777" w:rsidR="00F312E3" w:rsidRPr="00B46938" w:rsidRDefault="00F312E3" w:rsidP="00FF41B4">
      <w:pPr>
        <w:jc w:val="both"/>
      </w:pPr>
      <w:r w:rsidRPr="00B46938">
        <w:t>First, it is consistent with the legislative scheme normally adopted in child protection statutes, which is to specify which of the four classical forms of abuse and neglect (and any other categories of harm selected as objects of concern by Parliament) must be reported, and under what conditions (usually stating what extent of harm must be present). On this schematic basis, ‘physical injury’ equates with physical abuse and is dealt with in (c); sexual abuse is clearly designated in the next subsection (d); emotional or psychological harm is then dealt with in (e); and neglectful circumstances are addressed in (f). Since it is clearly stated that only grounds (c) and (d) are the subject of mandatory reporting, neglect would seem to be never mandated, regardless of the extent of harm, and nor would emotional abuse.</w:t>
      </w:r>
    </w:p>
    <w:p w14:paraId="00AC3134" w14:textId="77777777" w:rsidR="00F312E3" w:rsidRPr="00B46938" w:rsidRDefault="00F312E3" w:rsidP="00FF41B4">
      <w:pPr>
        <w:jc w:val="both"/>
      </w:pPr>
      <w:r w:rsidRPr="00B46938">
        <w:t xml:space="preserve">Second, this conclusion </w:t>
      </w:r>
      <w:proofErr w:type="gramStart"/>
      <w:r w:rsidRPr="00B46938">
        <w:t>is indicated</w:t>
      </w:r>
      <w:proofErr w:type="gramEnd"/>
      <w:r w:rsidRPr="00B46938">
        <w:t xml:space="preserve"> by approaches to statutory interpretation and common law rules about the construction of statutes. The starting point in statutory interpretation is to determine and give effect to the intention of Parliament as indicated by the language in the statute, and to use accepted rules of statutory interpretation, both legislative and common law, to do so (</w:t>
      </w:r>
      <w:r w:rsidRPr="00B46938">
        <w:rPr>
          <w:i/>
        </w:rPr>
        <w:t>Project Blue Sky Inc v Australian Broadcasting Authority</w:t>
      </w:r>
      <w:r w:rsidRPr="00B46938">
        <w:t xml:space="preserve"> (1998) 194 CLR 355). Applying rules of construction involves identifying the statutory purpose, which can appear from express statements in the statute, by inference from its terms, and by reference to extrinsic materials (</w:t>
      </w:r>
      <w:proofErr w:type="spellStart"/>
      <w:r w:rsidRPr="00B46938">
        <w:rPr>
          <w:i/>
        </w:rPr>
        <w:t>Lacey</w:t>
      </w:r>
      <w:proofErr w:type="spellEnd"/>
      <w:r w:rsidRPr="00B46938">
        <w:rPr>
          <w:i/>
        </w:rPr>
        <w:t xml:space="preserve"> v Attorney-General (Qld)</w:t>
      </w:r>
      <w:r w:rsidRPr="00B46938">
        <w:t xml:space="preserve"> (2011) 242 CLR 573). Interpretation Acts in every State require an interpretation giving effect to the statute’s purpose (see </w:t>
      </w:r>
      <w:proofErr w:type="spellStart"/>
      <w:r w:rsidRPr="00B46938">
        <w:t>eg</w:t>
      </w:r>
      <w:proofErr w:type="spellEnd"/>
      <w:r w:rsidRPr="00B46938">
        <w:t xml:space="preserve"> </w:t>
      </w:r>
      <w:r w:rsidRPr="00B46938">
        <w:rPr>
          <w:i/>
        </w:rPr>
        <w:t>Interpretation of Legislation Act 1984</w:t>
      </w:r>
      <w:r w:rsidRPr="00B46938">
        <w:t xml:space="preserve"> (Vic) s 35(a); </w:t>
      </w:r>
      <w:r w:rsidRPr="00B46938">
        <w:rPr>
          <w:i/>
        </w:rPr>
        <w:t xml:space="preserve">Mills v </w:t>
      </w:r>
      <w:proofErr w:type="spellStart"/>
      <w:r w:rsidRPr="00B46938">
        <w:rPr>
          <w:i/>
        </w:rPr>
        <w:t>Meeking</w:t>
      </w:r>
      <w:proofErr w:type="spellEnd"/>
      <w:r w:rsidRPr="00B46938">
        <w:t xml:space="preserve"> (1990) 169 CLR 214). </w:t>
      </w:r>
      <w:proofErr w:type="gramStart"/>
      <w:r w:rsidRPr="00B46938">
        <w:t xml:space="preserve">Other general common law rules include that the Act must be read as a whole (that is, the words of a statute must be read in their context and not in isolation: </w:t>
      </w:r>
      <w:r w:rsidRPr="00B46938">
        <w:rPr>
          <w:i/>
        </w:rPr>
        <w:t xml:space="preserve">K &amp; S Lake City Freighters Pty Ltd v Gordon and </w:t>
      </w:r>
      <w:proofErr w:type="spellStart"/>
      <w:r w:rsidRPr="00B46938">
        <w:rPr>
          <w:i/>
        </w:rPr>
        <w:t>Gotch</w:t>
      </w:r>
      <w:proofErr w:type="spellEnd"/>
      <w:r w:rsidRPr="00B46938">
        <w:rPr>
          <w:i/>
        </w:rPr>
        <w:t xml:space="preserve"> Ltd</w:t>
      </w:r>
      <w:r w:rsidRPr="00B46938">
        <w:t xml:space="preserve"> (1985) 60 ALR 509; with ‘context’ including the mischief the statute was intended to remedy: </w:t>
      </w:r>
      <w:r w:rsidRPr="00B46938">
        <w:rPr>
          <w:i/>
        </w:rPr>
        <w:t>CIC Insurance Ltd v Bankstown Football Club Ltd</w:t>
      </w:r>
      <w:r w:rsidRPr="00B46938">
        <w:t xml:space="preserve"> (1997) 141 ALR 618 – this embodies the syntactical presumption of </w:t>
      </w:r>
      <w:proofErr w:type="spellStart"/>
      <w:r w:rsidRPr="00B46938">
        <w:t>noscitur</w:t>
      </w:r>
      <w:proofErr w:type="spellEnd"/>
      <w:r w:rsidRPr="00B46938">
        <w:t xml:space="preserve"> a </w:t>
      </w:r>
      <w:proofErr w:type="spellStart"/>
      <w:r w:rsidRPr="00B46938">
        <w:t>sociis</w:t>
      </w:r>
      <w:proofErr w:type="spellEnd"/>
      <w:r w:rsidRPr="00B46938">
        <w:t xml:space="preserve"> (the meaning of a word or phrase is to be derived from its context).</w:t>
      </w:r>
      <w:proofErr w:type="gramEnd"/>
      <w:r w:rsidRPr="00B46938">
        <w:t xml:space="preserve"> </w:t>
      </w:r>
      <w:proofErr w:type="gramStart"/>
      <w:r w:rsidRPr="00B46938">
        <w:t xml:space="preserve">In this situation, reading the section as a whole and in combination with the duty to notify in s 64 and 184 respectively, it appears that within the scheme of six different kinds of maltreatment or exigency, physical </w:t>
      </w:r>
      <w:r w:rsidRPr="00B46938">
        <w:rPr>
          <w:i/>
        </w:rPr>
        <w:t>injury</w:t>
      </w:r>
      <w:r w:rsidRPr="00B46938">
        <w:t xml:space="preserve"> in (c) is clearly distinguishable from harm caused by neglect in (f), even if the neglect-related harm is to the child’s physical </w:t>
      </w:r>
      <w:r w:rsidRPr="00B46938">
        <w:rPr>
          <w:i/>
        </w:rPr>
        <w:t>development or</w:t>
      </w:r>
      <w:r w:rsidRPr="00B46938">
        <w:t xml:space="preserve"> </w:t>
      </w:r>
      <w:r w:rsidRPr="00B46938">
        <w:rPr>
          <w:i/>
        </w:rPr>
        <w:t>health</w:t>
      </w:r>
      <w:r w:rsidRPr="00B46938">
        <w:t>.</w:t>
      </w:r>
      <w:proofErr w:type="gramEnd"/>
    </w:p>
    <w:p w14:paraId="68E848BE" w14:textId="77777777" w:rsidR="00F312E3" w:rsidRPr="00B46938" w:rsidRDefault="00F312E3" w:rsidP="00FF41B4">
      <w:pPr>
        <w:jc w:val="both"/>
      </w:pPr>
      <w:r w:rsidRPr="00B46938">
        <w:t xml:space="preserve">Third, this conclusion is supported by the extrinsic materials including Parliamentary proceedings (which may be consulted to resolve ambiguity: </w:t>
      </w:r>
      <w:r w:rsidRPr="00B46938">
        <w:rPr>
          <w:i/>
        </w:rPr>
        <w:t>Interpretation of Legislation Act 1984</w:t>
      </w:r>
      <w:r w:rsidRPr="00B46938">
        <w:t xml:space="preserve"> (Vic) s 35(b</w:t>
      </w:r>
      <w:proofErr w:type="gramStart"/>
      <w:r w:rsidRPr="00B46938">
        <w:t>)(</w:t>
      </w:r>
      <w:proofErr w:type="gramEnd"/>
      <w:r w:rsidRPr="00B46938">
        <w:t xml:space="preserve">ii)). The second reading speech (Mr John, Minister for Community Services, Legislative Assembly, 21 April 1993, p 1005 </w:t>
      </w:r>
      <w:proofErr w:type="spellStart"/>
      <w:r w:rsidRPr="00B46938">
        <w:t>ff</w:t>
      </w:r>
      <w:proofErr w:type="spellEnd"/>
      <w:r w:rsidRPr="00B46938">
        <w:t xml:space="preserve">) explains the purpose of the provisions as being to require reports of sexual abuse and severe physical </w:t>
      </w:r>
      <w:r w:rsidRPr="00B46938">
        <w:lastRenderedPageBreak/>
        <w:t>abuse, and makes no mention of emotional abuse or neglect. For example, the Minister states that (author’s emphasis):</w:t>
      </w:r>
    </w:p>
    <w:p w14:paraId="323B8B59" w14:textId="77777777" w:rsidR="00F312E3" w:rsidRPr="00B46938" w:rsidRDefault="00F312E3" w:rsidP="00822ACA">
      <w:pPr>
        <w:ind w:left="720" w:right="812"/>
        <w:jc w:val="both"/>
        <w:rPr>
          <w:u w:val="single"/>
        </w:rPr>
      </w:pPr>
      <w:r w:rsidRPr="00B46938">
        <w:t xml:space="preserve">‘the provisions are ‘considered necessary in view of the extremely low reporting rates of child </w:t>
      </w:r>
      <w:r w:rsidRPr="00B46938">
        <w:rPr>
          <w:i/>
        </w:rPr>
        <w:t>sexual abuse</w:t>
      </w:r>
      <w:r w:rsidRPr="00B46938">
        <w:t xml:space="preserve"> and to a lesser extent child </w:t>
      </w:r>
      <w:r w:rsidRPr="00B46938">
        <w:rPr>
          <w:i/>
        </w:rPr>
        <w:t>physical abuse</w:t>
      </w:r>
      <w:r w:rsidRPr="00B46938">
        <w:t xml:space="preserve"> in this State in comparison with other States which have mandatory reporting. … Although in recent years Victoria has coped well with overall increases in child abuse reporting rates comparable to the situations in other States, these reports have largely centred on </w:t>
      </w:r>
      <w:r w:rsidRPr="00B46938">
        <w:rPr>
          <w:i/>
        </w:rPr>
        <w:t>emotional abuse and neglect</w:t>
      </w:r>
      <w:r w:rsidRPr="00B46938">
        <w:t xml:space="preserve"> concerns. By contrast, </w:t>
      </w:r>
      <w:r w:rsidRPr="00B46938">
        <w:rPr>
          <w:i/>
        </w:rPr>
        <w:t>sexual abuse</w:t>
      </w:r>
      <w:r w:rsidRPr="00B46938">
        <w:t xml:space="preserve"> reports, and to a lesser extent </w:t>
      </w:r>
      <w:r w:rsidRPr="00B46938">
        <w:rPr>
          <w:i/>
        </w:rPr>
        <w:t>physical abuse</w:t>
      </w:r>
      <w:r w:rsidRPr="00B46938">
        <w:t xml:space="preserve"> reports, have not increased under the present voluntary reporting system at the same rate as they have in other States that have mandatory reporting. As sexual abuse is a hidden problem and is therefore hard to detect, a legal requirement to report such abuse is essential. Indeed the purpose of the proposed amendment is to uncover hidden but serious abuse and to underline </w:t>
      </w:r>
      <w:r w:rsidRPr="00B46938">
        <w:rPr>
          <w:i/>
        </w:rPr>
        <w:t>the criminal nature of sexual abuse and severe physical abuse</w:t>
      </w:r>
      <w:r w:rsidRPr="00B46938">
        <w:t>.’</w:t>
      </w:r>
      <w:r w:rsidRPr="00B46938">
        <w:rPr>
          <w:u w:val="single"/>
        </w:rPr>
        <w:t xml:space="preserve"> </w:t>
      </w:r>
    </w:p>
    <w:p w14:paraId="315DB0F8" w14:textId="77777777" w:rsidR="00F312E3" w:rsidRPr="00B46938" w:rsidRDefault="00F312E3" w:rsidP="00FF41B4">
      <w:pPr>
        <w:jc w:val="both"/>
      </w:pPr>
      <w:r w:rsidRPr="00B46938">
        <w:t>Other statements in Parliament repeatedly refer to ‘physical abuse’ and ‘physical abuse and sexual abuse’ when referring to the new provisions, their impetus, and their purpose: see for example Mrs Garbutt, Legislative Assembly, 29 April 1993, p 1384.</w:t>
      </w:r>
    </w:p>
    <w:p w14:paraId="725AF98D" w14:textId="77777777" w:rsidR="00F312E3" w:rsidRPr="00B46938" w:rsidRDefault="00F312E3" w:rsidP="00FF41B4">
      <w:pPr>
        <w:jc w:val="both"/>
      </w:pPr>
      <w:r w:rsidRPr="00B46938">
        <w:t xml:space="preserve">Fourth, this conclusion </w:t>
      </w:r>
      <w:proofErr w:type="gramStart"/>
      <w:r w:rsidRPr="00B46938">
        <w:t>is suggested</w:t>
      </w:r>
      <w:proofErr w:type="gramEnd"/>
      <w:r w:rsidRPr="00B46938">
        <w:t xml:space="preserve"> by the nature of neglect, as distinct from abuse. As indicated by the terminology in (f), neglect occurs when ‘basic care’ or effective medical care’ is not provided, and if it reaches a sufficient extent, such neglect may harm the child’s ‘physical development or health’. This conception of neglect by omission is consistent with that adopted in the general body of literature on child maltreatment. ‘Neglect’ is usually taken to mean a failure to provide the basic necessities of life, or to provide adequate care to meet a child’s basic needs such as nutrition, clothing, shelter, supervision, medical care, education and emotional nourishment (</w:t>
      </w:r>
      <w:proofErr w:type="spellStart"/>
      <w:r w:rsidRPr="00B46938">
        <w:t>Dubowitz</w:t>
      </w:r>
      <w:proofErr w:type="spellEnd"/>
      <w:r w:rsidRPr="00B46938">
        <w:t xml:space="preserve">, Back, Starr, &amp; </w:t>
      </w:r>
      <w:proofErr w:type="spellStart"/>
      <w:r w:rsidRPr="00B46938">
        <w:t>Zuravin</w:t>
      </w:r>
      <w:proofErr w:type="spellEnd"/>
      <w:r w:rsidRPr="00B46938">
        <w:t xml:space="preserve">, 1993). On this view, the harms caused by neglect – even including cases such as the life-threatening malnutrition situation, and the lack of medical treatment example - are not properly termed ‘physical injuries’ such as those caused by acts of abuse. Rather, the harms caused by neglect </w:t>
      </w:r>
      <w:proofErr w:type="gramStart"/>
      <w:r w:rsidRPr="00B46938">
        <w:t>are occasioned</w:t>
      </w:r>
      <w:proofErr w:type="gramEnd"/>
      <w:r w:rsidRPr="00B46938">
        <w:t xml:space="preserve"> through the absence of sufficient conditions for health and development. To the extent that they produce consequences to physical health and wellbeing, they are not so much </w:t>
      </w:r>
      <w:r w:rsidRPr="00B46938">
        <w:rPr>
          <w:i/>
        </w:rPr>
        <w:t>injuries</w:t>
      </w:r>
      <w:r w:rsidRPr="00B46938">
        <w:t xml:space="preserve"> as physical </w:t>
      </w:r>
      <w:proofErr w:type="gramStart"/>
      <w:r w:rsidRPr="00B46938">
        <w:rPr>
          <w:i/>
        </w:rPr>
        <w:t>conditions</w:t>
      </w:r>
      <w:r w:rsidRPr="00B46938">
        <w:t xml:space="preserve"> which</w:t>
      </w:r>
      <w:proofErr w:type="gramEnd"/>
      <w:r w:rsidRPr="00B46938">
        <w:t xml:space="preserve"> affect the child’s physical development or health (such as malnutrition, and the lack of receipt of required medical attention). That is, the neglect has not caused an </w:t>
      </w:r>
      <w:r w:rsidRPr="00B46938">
        <w:rPr>
          <w:i/>
        </w:rPr>
        <w:t>injury</w:t>
      </w:r>
      <w:r w:rsidRPr="00B46938">
        <w:t xml:space="preserve">, in the same way that physical abuse causes a fracture. </w:t>
      </w:r>
      <w:proofErr w:type="gramStart"/>
      <w:r w:rsidRPr="00B46938">
        <w:t xml:space="preserve">It is doubtful whether malnutrition, or failure to receive medical care, are properly called ‘physical injuries’; a malnourished child would not normally be described as ‘injured’ but as suffering from a condition of malnourishment caused by neglect which either has harmed or is likely to harm development or health; </w:t>
      </w:r>
      <w:r w:rsidRPr="00B46938">
        <w:lastRenderedPageBreak/>
        <w:t>similarly, a child who requires medical treatment for a severe infection and who has not received it would not be described as having been physically injured by such neglect, but as having been neglected with a consequent impact on their physical development or health.</w:t>
      </w:r>
      <w:proofErr w:type="gramEnd"/>
      <w:r w:rsidRPr="00B46938">
        <w:t xml:space="preserve"> If this interpretation is correct, these situations would fall within subsection (f) and they would not need to </w:t>
      </w:r>
      <w:proofErr w:type="gramStart"/>
      <w:r w:rsidRPr="00B46938">
        <w:t>be reported</w:t>
      </w:r>
      <w:proofErr w:type="gramEnd"/>
      <w:r w:rsidRPr="00B46938">
        <w:t xml:space="preserve"> under subsection (c). </w:t>
      </w:r>
    </w:p>
    <w:p w14:paraId="27247FCC" w14:textId="77777777" w:rsidR="00F312E3" w:rsidRPr="0052480C" w:rsidRDefault="00F312E3" w:rsidP="00FF41B4">
      <w:pPr>
        <w:jc w:val="both"/>
        <w:rPr>
          <w:rFonts w:asciiTheme="majorHAnsi" w:hAnsiTheme="majorHAnsi"/>
        </w:rPr>
      </w:pPr>
    </w:p>
    <w:p w14:paraId="3E478C67" w14:textId="77777777" w:rsidR="00F312E3" w:rsidRPr="0052480C" w:rsidRDefault="00F312E3" w:rsidP="00FF41B4">
      <w:pPr>
        <w:jc w:val="both"/>
        <w:rPr>
          <w:rFonts w:asciiTheme="majorHAnsi" w:hAnsiTheme="majorHAnsi"/>
        </w:rPr>
        <w:sectPr w:rsidR="00F312E3" w:rsidRPr="0052480C" w:rsidSect="00D650B4">
          <w:pgSz w:w="11900" w:h="16840"/>
          <w:pgMar w:top="1134" w:right="1134" w:bottom="1134" w:left="1134" w:header="708" w:footer="708" w:gutter="0"/>
          <w:cols w:space="708"/>
          <w:docGrid w:linePitch="360"/>
        </w:sectPr>
      </w:pPr>
    </w:p>
    <w:p w14:paraId="59E21658" w14:textId="77777777" w:rsidR="00F312E3" w:rsidRPr="0052480C" w:rsidRDefault="00F312E3" w:rsidP="00FF41B4">
      <w:pPr>
        <w:pStyle w:val="Heading6"/>
        <w:jc w:val="both"/>
      </w:pPr>
      <w:r w:rsidRPr="0052480C">
        <w:lastRenderedPageBreak/>
        <w:t>Figure 1.7: Timeline showing key developments, Victoria, 2003-2012</w:t>
      </w:r>
    </w:p>
    <w:p w14:paraId="51802062" w14:textId="77777777" w:rsidR="00F312E3" w:rsidRPr="0052480C" w:rsidRDefault="00F312E3" w:rsidP="00FF41B4">
      <w:pPr>
        <w:jc w:val="both"/>
        <w:rPr>
          <w:rFonts w:asciiTheme="majorHAnsi" w:hAnsiTheme="majorHAnsi"/>
        </w:rPr>
      </w:pPr>
    </w:p>
    <w:p w14:paraId="3B673774" w14:textId="77777777" w:rsidR="00F312E3" w:rsidRPr="0052480C" w:rsidRDefault="00F312E3" w:rsidP="00FF41B4">
      <w:pPr>
        <w:jc w:val="both"/>
        <w:rPr>
          <w:rFonts w:asciiTheme="majorHAnsi" w:hAnsiTheme="majorHAnsi"/>
        </w:rPr>
      </w:pPr>
    </w:p>
    <w:p w14:paraId="01C72D8B" w14:textId="77777777" w:rsidR="00F312E3" w:rsidRPr="0052480C" w:rsidRDefault="00F312E3" w:rsidP="00FF41B4">
      <w:pPr>
        <w:jc w:val="both"/>
        <w:rPr>
          <w:rFonts w:asciiTheme="majorHAnsi" w:hAnsiTheme="majorHAnsi"/>
        </w:rPr>
        <w:sectPr w:rsidR="00F312E3" w:rsidRPr="0052480C" w:rsidSect="00D650B4">
          <w:pgSz w:w="16840" w:h="11900" w:orient="landscape"/>
          <w:pgMar w:top="1134" w:right="1134" w:bottom="1134" w:left="1134" w:header="708" w:footer="708" w:gutter="0"/>
          <w:cols w:space="708"/>
          <w:docGrid w:linePitch="360"/>
        </w:sectPr>
      </w:pPr>
      <w:r>
        <w:rPr>
          <w:rFonts w:asciiTheme="majorHAnsi" w:hAnsiTheme="majorHAnsi"/>
          <w:noProof/>
          <w:lang w:eastAsia="en-AU"/>
        </w:rPr>
        <w:drawing>
          <wp:inline distT="0" distB="0" distL="0" distR="0" wp14:anchorId="209A3593" wp14:editId="6EDD675F">
            <wp:extent cx="9248775" cy="2028825"/>
            <wp:effectExtent l="0" t="0" r="9525" b="9525"/>
            <wp:docPr id="17" name="Picture 17" descr="Shows that in Victoria in 2003 there was a moderate range of reporter groups mandated to report physical and sexual abuse. From 2007 significant concerns about a child’s wellbeing could be referred to a child and family service, while midwives were added as a mandated reporter group in 2010."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48775" cy="2028825"/>
                    </a:xfrm>
                    <a:prstGeom prst="rect">
                      <a:avLst/>
                    </a:prstGeom>
                    <a:noFill/>
                    <a:ln>
                      <a:noFill/>
                    </a:ln>
                  </pic:spPr>
                </pic:pic>
              </a:graphicData>
            </a:graphic>
          </wp:inline>
        </w:drawing>
      </w:r>
    </w:p>
    <w:p w14:paraId="512ADD26" w14:textId="77777777" w:rsidR="00F312E3" w:rsidRPr="00B46938" w:rsidRDefault="00F312E3" w:rsidP="00FF41B4">
      <w:pPr>
        <w:pStyle w:val="Heading5"/>
        <w:jc w:val="both"/>
        <w:rPr>
          <w:rFonts w:asciiTheme="minorHAnsi" w:hAnsiTheme="minorHAnsi"/>
        </w:rPr>
      </w:pPr>
      <w:bookmarkStart w:id="42" w:name="_Toc400110676"/>
      <w:r w:rsidRPr="00B46938">
        <w:rPr>
          <w:rFonts w:asciiTheme="minorHAnsi" w:hAnsiTheme="minorHAnsi"/>
        </w:rPr>
        <w:lastRenderedPageBreak/>
        <w:t>1.5.8. Western Australia</w:t>
      </w:r>
      <w:bookmarkEnd w:id="42"/>
    </w:p>
    <w:p w14:paraId="7472E8B9" w14:textId="77777777" w:rsidR="00F312E3" w:rsidRPr="00B46938" w:rsidRDefault="00F312E3" w:rsidP="00FF41B4">
      <w:pPr>
        <w:pStyle w:val="Heading6"/>
        <w:jc w:val="both"/>
      </w:pPr>
      <w:r w:rsidRPr="00B46938">
        <w:t>1.5.8.1. Original position at 1 January 2003: Western Australia</w:t>
      </w:r>
    </w:p>
    <w:p w14:paraId="775703F4" w14:textId="77777777" w:rsidR="00F312E3" w:rsidRPr="00B46938" w:rsidRDefault="00F312E3" w:rsidP="00FF41B4">
      <w:pPr>
        <w:jc w:val="both"/>
        <w:rPr>
          <w:b/>
        </w:rPr>
      </w:pPr>
      <w:r w:rsidRPr="00B46938">
        <w:t xml:space="preserve">Western Australia did not have any form of mandatory reporting legislation until 1 January 2009, when the duties described below </w:t>
      </w:r>
      <w:proofErr w:type="gramStart"/>
      <w:r w:rsidRPr="00B46938">
        <w:t>were introduced</w:t>
      </w:r>
      <w:proofErr w:type="gramEnd"/>
      <w:r w:rsidRPr="00B46938">
        <w:t>.</w:t>
      </w:r>
    </w:p>
    <w:p w14:paraId="603FA67E" w14:textId="77777777" w:rsidR="00F312E3" w:rsidRPr="00B46938" w:rsidRDefault="00F312E3" w:rsidP="00FF41B4">
      <w:pPr>
        <w:pStyle w:val="Heading6"/>
        <w:jc w:val="both"/>
      </w:pPr>
      <w:r w:rsidRPr="00B46938">
        <w:t>1.5.8.2. Key changes, 2003-12: Western Australia</w:t>
      </w:r>
    </w:p>
    <w:p w14:paraId="04E31D8C" w14:textId="77777777" w:rsidR="00F312E3" w:rsidRPr="00B46938" w:rsidRDefault="00F312E3" w:rsidP="00FF41B4">
      <w:pPr>
        <w:pStyle w:val="Heading7"/>
        <w:jc w:val="both"/>
        <w:rPr>
          <w:i w:val="0"/>
        </w:rPr>
      </w:pPr>
      <w:r w:rsidRPr="00B46938">
        <w:rPr>
          <w:i w:val="0"/>
        </w:rPr>
        <w:t>New mandatory reporting legislation for child sexual abuse only: Children and Community Services Amendment (Reporting Sexual Abuse of Children) Act 2008 (commencing 1 January 2009)</w:t>
      </w:r>
    </w:p>
    <w:p w14:paraId="17F13B4F" w14:textId="77777777" w:rsidR="00F312E3" w:rsidRPr="00B46938" w:rsidRDefault="00F312E3" w:rsidP="00FF41B4">
      <w:pPr>
        <w:jc w:val="both"/>
      </w:pPr>
      <w:r w:rsidRPr="00B46938">
        <w:t xml:space="preserve">Western Australia introduced mandatory reporting legislation for child sexual abuse only, with the </w:t>
      </w:r>
      <w:r w:rsidRPr="00B46938">
        <w:rPr>
          <w:i/>
        </w:rPr>
        <w:t>Children and Community Services Amendment (Reporting Sexual Abuse of Children) Act 2008</w:t>
      </w:r>
      <w:r w:rsidRPr="00B46938">
        <w:t xml:space="preserve"> (WA) (No 26 of 2008) commencing on 1 January 2009, inserting provisions into the </w:t>
      </w:r>
      <w:r w:rsidRPr="00B46938">
        <w:rPr>
          <w:i/>
        </w:rPr>
        <w:t>Children and Community Services Act 2004</w:t>
      </w:r>
      <w:r w:rsidRPr="00B46938">
        <w:t xml:space="preserve"> (WA). Hence, from 2003-1 January 2009, there was no mandatory reporting legislation in WA. From 1 January 2009, there has been mandatory reporting, but of very limited scope.</w:t>
      </w:r>
    </w:p>
    <w:p w14:paraId="1C7D0910" w14:textId="77777777" w:rsidR="00F312E3" w:rsidRPr="00B46938" w:rsidRDefault="00F312E3" w:rsidP="00FF41B4">
      <w:pPr>
        <w:jc w:val="both"/>
      </w:pPr>
      <w:r w:rsidRPr="00B46938">
        <w:t>The legislation only applies to child sexual abuse. The key provisions are in Division 9A (</w:t>
      </w:r>
      <w:proofErr w:type="spellStart"/>
      <w:r w:rsidRPr="00B46938">
        <w:t>ss</w:t>
      </w:r>
      <w:proofErr w:type="spellEnd"/>
      <w:r w:rsidRPr="00B46938">
        <w:t xml:space="preserve"> 124A-124H). Section 124A defines relevant terms. Section </w:t>
      </w:r>
      <w:proofErr w:type="gramStart"/>
      <w:r w:rsidRPr="00B46938">
        <w:t>124B(</w:t>
      </w:r>
      <w:proofErr w:type="gramEnd"/>
      <w:r w:rsidRPr="00B46938">
        <w:t xml:space="preserve">1) sets out the duty. The key reporter groups were doctors, nurses, midwives, police officers, and teachers (which included members of the teaching staff of a community kindergarten). The state of </w:t>
      </w:r>
      <w:proofErr w:type="gramStart"/>
      <w:r w:rsidRPr="00B46938">
        <w:t>mind which activates the duty to report</w:t>
      </w:r>
      <w:proofErr w:type="gramEnd"/>
      <w:r w:rsidRPr="00B46938">
        <w:t xml:space="preserve"> is ‘belief on reasonable grounds’. The duty applies to a reasonable belief </w:t>
      </w:r>
      <w:proofErr w:type="gramStart"/>
      <w:r w:rsidRPr="00B46938">
        <w:t>of past/presently occurring</w:t>
      </w:r>
      <w:proofErr w:type="gramEnd"/>
      <w:r w:rsidRPr="00B46938">
        <w:t xml:space="preserve"> sexual abuse (not extending to suspected future abuse). In addition, unlike other jurisdictions except Queensland, the term ‘child sexual abuse’ is defined, albeit non-exhaustively.</w:t>
      </w:r>
      <w:r w:rsidRPr="00B46938">
        <w:rPr>
          <w:rStyle w:val="FootnoteReference"/>
        </w:rPr>
        <w:footnoteReference w:id="52"/>
      </w:r>
      <w:r w:rsidRPr="00B46938">
        <w:t xml:space="preserve"> The penalty for failure to report is $6000. </w:t>
      </w:r>
    </w:p>
    <w:p w14:paraId="03D1699B" w14:textId="77777777" w:rsidR="00F312E3" w:rsidRPr="00B46938" w:rsidRDefault="00F312E3" w:rsidP="00FF41B4">
      <w:pPr>
        <w:jc w:val="both"/>
      </w:pPr>
      <w:r w:rsidRPr="00B46938">
        <w:t xml:space="preserve">The report may be written or oral but if oral the reporter must make a written report as soon as practicable (s 124C) with a penalty of $3000. Reports must be made to the CEO, a person approved by the CEO, or a member of a class of persons approved by the CEO (s </w:t>
      </w:r>
      <w:proofErr w:type="gramStart"/>
      <w:r w:rsidRPr="00B46938">
        <w:t>124B(</w:t>
      </w:r>
      <w:proofErr w:type="gramEnd"/>
      <w:r w:rsidRPr="00B46938">
        <w:t xml:space="preserve">2)). Reports must contain certain details (s 124C). The CEO must give copies of reports to the police (124D). Confidentiality of the reporter’s identity </w:t>
      </w:r>
      <w:proofErr w:type="gramStart"/>
      <w:r w:rsidRPr="00B46938">
        <w:t>is conferred</w:t>
      </w:r>
      <w:proofErr w:type="gramEnd"/>
      <w:r w:rsidRPr="00B46938">
        <w:t xml:space="preserve"> by s 124F, with a penalty of $24,000 and imprisonment for 2 years; there are specified exemptions. Immunity from civil, criminal and administrative proceedings in relation to a report made in good faith is conferred (s 129).</w:t>
      </w:r>
    </w:p>
    <w:p w14:paraId="3E92AC77" w14:textId="26F17B4D" w:rsidR="00F312E3" w:rsidRPr="00B46938" w:rsidRDefault="00F312E3" w:rsidP="00822ACA">
      <w:pPr>
        <w:jc w:val="both"/>
        <w:rPr>
          <w:b/>
          <w:i/>
        </w:rPr>
      </w:pPr>
      <w:r w:rsidRPr="00B46938">
        <w:lastRenderedPageBreak/>
        <w:t xml:space="preserve">The legislation </w:t>
      </w:r>
      <w:proofErr w:type="gramStart"/>
      <w:r w:rsidRPr="00B46938">
        <w:t>has been amended</w:t>
      </w:r>
      <w:proofErr w:type="gramEnd"/>
      <w:r w:rsidRPr="00B46938">
        <w:t xml:space="preserve"> since commencement, but generally only incidentally to specify the provision of further information in reports made, and to harmonise the provisions with new legislation concerning professional registration.</w:t>
      </w:r>
      <w:r w:rsidRPr="00B46938">
        <w:rPr>
          <w:rStyle w:val="FootnoteReference"/>
        </w:rPr>
        <w:footnoteReference w:id="53"/>
      </w:r>
      <w:r w:rsidRPr="00B46938">
        <w:t xml:space="preserve"> </w:t>
      </w:r>
    </w:p>
    <w:p w14:paraId="1BEF31AA" w14:textId="77777777" w:rsidR="00F312E3" w:rsidRPr="00B46938" w:rsidRDefault="00F312E3" w:rsidP="00FF41B4">
      <w:pPr>
        <w:pStyle w:val="Heading7"/>
        <w:jc w:val="both"/>
        <w:rPr>
          <w:i w:val="0"/>
        </w:rPr>
      </w:pPr>
      <w:r w:rsidRPr="00B46938">
        <w:rPr>
          <w:i w:val="0"/>
        </w:rPr>
        <w:t xml:space="preserve">A note on the definition of ‘teacher’: the original 2008 definition </w:t>
      </w:r>
    </w:p>
    <w:p w14:paraId="425117D5" w14:textId="77777777" w:rsidR="00F312E3" w:rsidRPr="00B46938" w:rsidRDefault="00F312E3" w:rsidP="00FF41B4">
      <w:pPr>
        <w:jc w:val="both"/>
      </w:pPr>
      <w:r w:rsidRPr="00B46938">
        <w:t xml:space="preserve">In the </w:t>
      </w:r>
      <w:r w:rsidRPr="00B46938">
        <w:rPr>
          <w:i/>
        </w:rPr>
        <w:t>Children and Community Services Amendment (Reporting Sexual Abuse of Children) Act 2008</w:t>
      </w:r>
      <w:r w:rsidRPr="00B46938">
        <w:t xml:space="preserve">, doctors, nurses, police, midwives and teachers </w:t>
      </w:r>
      <w:proofErr w:type="gramStart"/>
      <w:r w:rsidRPr="00B46938">
        <w:t>were designated</w:t>
      </w:r>
      <w:proofErr w:type="gramEnd"/>
      <w:r w:rsidRPr="00B46938">
        <w:t xml:space="preserve"> as mandated reporters. The legislation defined ‘teacher’ as (s 5):</w:t>
      </w:r>
    </w:p>
    <w:p w14:paraId="3C0C0E63" w14:textId="36D66F3C" w:rsidR="00F312E3" w:rsidRPr="00B46938" w:rsidRDefault="00F312E3" w:rsidP="001B0227">
      <w:pPr>
        <w:pStyle w:val="ListParagraph"/>
        <w:numPr>
          <w:ilvl w:val="1"/>
          <w:numId w:val="70"/>
        </w:numPr>
        <w:jc w:val="both"/>
      </w:pPr>
      <w:r w:rsidRPr="00B46938">
        <w:t xml:space="preserve">a person who, under the </w:t>
      </w:r>
      <w:r w:rsidRPr="00822ACA">
        <w:rPr>
          <w:i/>
        </w:rPr>
        <w:t>Western Australian College of Teaching Act 2004</w:t>
      </w:r>
      <w:r w:rsidRPr="00B46938">
        <w:t xml:space="preserve">, is </w:t>
      </w:r>
      <w:r w:rsidRPr="00822ACA">
        <w:rPr>
          <w:b/>
        </w:rPr>
        <w:t>registered</w:t>
      </w:r>
      <w:r w:rsidRPr="00B46938">
        <w:t>, provisionally registered or has a limited authority to teach; or</w:t>
      </w:r>
    </w:p>
    <w:p w14:paraId="3590B4CC" w14:textId="1D1395B6" w:rsidR="00F312E3" w:rsidRPr="00B46938" w:rsidRDefault="00F312E3" w:rsidP="001B0227">
      <w:pPr>
        <w:pStyle w:val="ListParagraph"/>
        <w:numPr>
          <w:ilvl w:val="1"/>
          <w:numId w:val="70"/>
        </w:numPr>
        <w:jc w:val="both"/>
      </w:pPr>
      <w:r w:rsidRPr="00B46938">
        <w:t xml:space="preserve">a person who is appointed under the </w:t>
      </w:r>
      <w:r w:rsidRPr="00822ACA">
        <w:rPr>
          <w:i/>
        </w:rPr>
        <w:t>School Education Act 1999</w:t>
      </w:r>
      <w:r w:rsidRPr="00B46938">
        <w:t xml:space="preserve"> s 236(2) as a</w:t>
      </w:r>
    </w:p>
    <w:p w14:paraId="0B74BEDE" w14:textId="77777777" w:rsidR="00F312E3" w:rsidRPr="00B46938" w:rsidRDefault="00F312E3" w:rsidP="001B0227">
      <w:pPr>
        <w:pStyle w:val="ListParagraph"/>
        <w:numPr>
          <w:ilvl w:val="0"/>
          <w:numId w:val="78"/>
        </w:numPr>
        <w:ind w:left="1530" w:hanging="450"/>
        <w:jc w:val="both"/>
      </w:pPr>
      <w:r w:rsidRPr="00B46938">
        <w:t xml:space="preserve">member of the teaching staff of a </w:t>
      </w:r>
      <w:r w:rsidRPr="00822ACA">
        <w:rPr>
          <w:b/>
        </w:rPr>
        <w:t>community kindergarten</w:t>
      </w:r>
      <w:r w:rsidRPr="00B46938">
        <w:t>; or</w:t>
      </w:r>
    </w:p>
    <w:p w14:paraId="18CB0C70" w14:textId="645C5650" w:rsidR="00F312E3" w:rsidRPr="00B46938" w:rsidRDefault="00F312E3" w:rsidP="001B0227">
      <w:pPr>
        <w:pStyle w:val="ListParagraph"/>
        <w:numPr>
          <w:ilvl w:val="1"/>
          <w:numId w:val="70"/>
        </w:numPr>
        <w:jc w:val="both"/>
      </w:pPr>
      <w:r w:rsidRPr="00B46938">
        <w:t>a person who provides instruction in a course that is —</w:t>
      </w:r>
    </w:p>
    <w:p w14:paraId="55AE60A0" w14:textId="77777777" w:rsidR="007747F8" w:rsidRDefault="00F312E3" w:rsidP="001B0227">
      <w:pPr>
        <w:pStyle w:val="ListParagraph"/>
        <w:numPr>
          <w:ilvl w:val="1"/>
          <w:numId w:val="80"/>
        </w:numPr>
        <w:ind w:hanging="465"/>
      </w:pPr>
      <w:r w:rsidRPr="00B46938">
        <w:t xml:space="preserve">mentioned in the </w:t>
      </w:r>
      <w:r w:rsidRPr="00822ACA">
        <w:rPr>
          <w:i/>
        </w:rPr>
        <w:t>School Education Act 1999</w:t>
      </w:r>
      <w:r w:rsidRPr="00B46938">
        <w:t xml:space="preserve"> s 11B(1)(a), (b) or (e); and</w:t>
      </w:r>
    </w:p>
    <w:p w14:paraId="2B3CB51E" w14:textId="1DBDAE92" w:rsidR="00F312E3" w:rsidRPr="00B46938" w:rsidRDefault="00F312E3" w:rsidP="001B0227">
      <w:pPr>
        <w:pStyle w:val="ListParagraph"/>
        <w:numPr>
          <w:ilvl w:val="1"/>
          <w:numId w:val="80"/>
        </w:numPr>
        <w:ind w:left="1530" w:hanging="465"/>
        <w:jc w:val="both"/>
      </w:pPr>
      <w:r w:rsidRPr="00B46938">
        <w:t>prescribed for the purposes of this definition;</w:t>
      </w:r>
      <w:r w:rsidRPr="00B46938">
        <w:rPr>
          <w:rStyle w:val="FootnoteReference"/>
        </w:rPr>
        <w:footnoteReference w:id="54"/>
      </w:r>
      <w:r w:rsidRPr="00B46938">
        <w:t xml:space="preserve"> or</w:t>
      </w:r>
    </w:p>
    <w:p w14:paraId="52FD08F4" w14:textId="4F471F42" w:rsidR="00F312E3" w:rsidRPr="00B46938" w:rsidRDefault="00F312E3" w:rsidP="001B0227">
      <w:pPr>
        <w:pStyle w:val="ListParagraph"/>
        <w:numPr>
          <w:ilvl w:val="1"/>
          <w:numId w:val="70"/>
        </w:numPr>
        <w:jc w:val="both"/>
      </w:pPr>
      <w:r w:rsidRPr="00B46938">
        <w:t>a person who instructs or supervises a student who is participating in an activity that is—</w:t>
      </w:r>
    </w:p>
    <w:p w14:paraId="7EC60F01" w14:textId="77777777" w:rsidR="007747F8" w:rsidRDefault="00F312E3" w:rsidP="001B0227">
      <w:pPr>
        <w:pStyle w:val="ListParagraph"/>
        <w:numPr>
          <w:ilvl w:val="1"/>
          <w:numId w:val="79"/>
        </w:numPr>
        <w:ind w:left="1530" w:hanging="450"/>
      </w:pPr>
      <w:r w:rsidRPr="00B46938">
        <w:t xml:space="preserve">part of an educational programme of a school under an arrangement mentioned in the </w:t>
      </w:r>
      <w:r w:rsidRPr="00822ACA">
        <w:rPr>
          <w:i/>
        </w:rPr>
        <w:t>School Education Act 1999</w:t>
      </w:r>
      <w:r w:rsidRPr="00B46938">
        <w:t xml:space="preserve"> s 24(1); and</w:t>
      </w:r>
    </w:p>
    <w:p w14:paraId="41F4A3C3" w14:textId="0F3AA02A" w:rsidR="00F312E3" w:rsidRPr="00B46938" w:rsidRDefault="00F312E3" w:rsidP="001B0227">
      <w:pPr>
        <w:pStyle w:val="ListParagraph"/>
        <w:numPr>
          <w:ilvl w:val="1"/>
          <w:numId w:val="79"/>
        </w:numPr>
        <w:ind w:left="1530" w:hanging="450"/>
        <w:jc w:val="both"/>
      </w:pPr>
      <w:r w:rsidRPr="00B46938">
        <w:t>prescribed for the purposes of this definition;</w:t>
      </w:r>
      <w:r w:rsidRPr="00B46938">
        <w:rPr>
          <w:rStyle w:val="FootnoteReference"/>
        </w:rPr>
        <w:footnoteReference w:id="55"/>
      </w:r>
      <w:r w:rsidRPr="00B46938">
        <w:t xml:space="preserve"> or</w:t>
      </w:r>
    </w:p>
    <w:p w14:paraId="613B36DF" w14:textId="18003123" w:rsidR="00F312E3" w:rsidRPr="00B46938" w:rsidRDefault="00F312E3" w:rsidP="001B0227">
      <w:pPr>
        <w:pStyle w:val="ListParagraph"/>
        <w:numPr>
          <w:ilvl w:val="1"/>
          <w:numId w:val="70"/>
        </w:numPr>
        <w:jc w:val="both"/>
      </w:pPr>
      <w:proofErr w:type="gramStart"/>
      <w:r w:rsidRPr="00B46938">
        <w:t>a</w:t>
      </w:r>
      <w:proofErr w:type="gramEnd"/>
      <w:r w:rsidRPr="00B46938">
        <w:t xml:space="preserve"> person employed by the chief executive officer as defined in the Young Offenders Act 1994 s 3 to teach detainees at a detention centre.</w:t>
      </w:r>
    </w:p>
    <w:p w14:paraId="37B4EA58" w14:textId="77777777" w:rsidR="00F312E3" w:rsidRPr="00B46938" w:rsidRDefault="00F312E3" w:rsidP="00FF41B4">
      <w:pPr>
        <w:jc w:val="both"/>
      </w:pPr>
      <w:r w:rsidRPr="00B46938">
        <w:lastRenderedPageBreak/>
        <w:t xml:space="preserve">Therefore, mandated reporters among the teaching profession included registered teachers, those appointed as teaching staff at community kindergartens, instructors in vocational education programs and home schooling programmes, and those who teach in youth detention centres. However, under the original legislation, employees of </w:t>
      </w:r>
      <w:proofErr w:type="gramStart"/>
      <w:r w:rsidRPr="00B46938">
        <w:t>child care</w:t>
      </w:r>
      <w:proofErr w:type="gramEnd"/>
      <w:r w:rsidRPr="00B46938">
        <w:t xml:space="preserve"> services who do not teach at that centre were not (and still are not) mandated reporters.</w:t>
      </w:r>
      <w:r w:rsidRPr="00B46938">
        <w:rPr>
          <w:rStyle w:val="FootnoteReference"/>
        </w:rPr>
        <w:footnoteReference w:id="56"/>
      </w:r>
      <w:r w:rsidRPr="00B46938">
        <w:t xml:space="preserve"> </w:t>
      </w:r>
    </w:p>
    <w:p w14:paraId="328F09F0" w14:textId="77777777" w:rsidR="00F312E3" w:rsidRPr="00B46938" w:rsidRDefault="00F312E3" w:rsidP="00FF41B4">
      <w:pPr>
        <w:jc w:val="both"/>
      </w:pPr>
      <w:r w:rsidRPr="00B46938">
        <w:t xml:space="preserve">Arguably, the original definition would have included as mandated reporters those who were registered teachers working in </w:t>
      </w:r>
      <w:proofErr w:type="gramStart"/>
      <w:r w:rsidRPr="00B46938">
        <w:t>child care</w:t>
      </w:r>
      <w:proofErr w:type="gramEnd"/>
      <w:r w:rsidRPr="00B46938">
        <w:t xml:space="preserve"> centres. However, at the time, the Act did not expressly include childcare teachers as mandated reporters, and ambiguity arose because the WACTA regulates teaching in schools, rather than </w:t>
      </w:r>
      <w:proofErr w:type="gramStart"/>
      <w:r w:rsidRPr="00B46938">
        <w:t>child care</w:t>
      </w:r>
      <w:proofErr w:type="gramEnd"/>
      <w:r w:rsidRPr="00B46938">
        <w:t xml:space="preserve"> centres. Amendment in 2012 removed any doubt: t</w:t>
      </w:r>
      <w:r w:rsidRPr="00B46938">
        <w:rPr>
          <w:b/>
        </w:rPr>
        <w:t xml:space="preserve">hose who teach in </w:t>
      </w:r>
      <w:proofErr w:type="gramStart"/>
      <w:r w:rsidRPr="00B46938">
        <w:rPr>
          <w:b/>
        </w:rPr>
        <w:t>child care</w:t>
      </w:r>
      <w:proofErr w:type="gramEnd"/>
      <w:r w:rsidRPr="00B46938">
        <w:rPr>
          <w:b/>
        </w:rPr>
        <w:t xml:space="preserve"> services are now clearly included as mandated reporters. </w:t>
      </w:r>
      <w:r w:rsidRPr="00B46938">
        <w:t xml:space="preserve">Since 2012, there is no doubt that all those who teach in an ‘educational venue’ must be registered and so fall within the CCSA definition of ‘teacher’; since child care centres are now defined as educational venues (see below), and are mandated reporters in that capacity. However, in the </w:t>
      </w:r>
      <w:proofErr w:type="gramStart"/>
      <w:r w:rsidRPr="00B46938">
        <w:t>child care</w:t>
      </w:r>
      <w:proofErr w:type="gramEnd"/>
      <w:r w:rsidRPr="00B46938">
        <w:t xml:space="preserve"> context, those who simply </w:t>
      </w:r>
      <w:r w:rsidRPr="00B46938">
        <w:rPr>
          <w:b/>
          <w:i/>
        </w:rPr>
        <w:t>provide care</w:t>
      </w:r>
      <w:r w:rsidRPr="00B46938">
        <w:t xml:space="preserve"> to children are not ‘teachers’ and so are not mandated reporters.</w:t>
      </w:r>
    </w:p>
    <w:p w14:paraId="347CF91B" w14:textId="77777777" w:rsidR="00F312E3" w:rsidRPr="00B46938" w:rsidRDefault="00F312E3" w:rsidP="00FF41B4">
      <w:pPr>
        <w:pStyle w:val="Heading7"/>
        <w:jc w:val="both"/>
        <w:rPr>
          <w:i w:val="0"/>
        </w:rPr>
      </w:pPr>
      <w:r w:rsidRPr="00B46938">
        <w:rPr>
          <w:i w:val="0"/>
        </w:rPr>
        <w:t>Change in the definition of ‘teacher’ (commencing 7 December 2012)</w:t>
      </w:r>
    </w:p>
    <w:p w14:paraId="396D4E23" w14:textId="77777777" w:rsidR="00F312E3" w:rsidRPr="00B46938" w:rsidRDefault="00F312E3" w:rsidP="00FF41B4">
      <w:pPr>
        <w:jc w:val="both"/>
      </w:pPr>
      <w:r w:rsidRPr="00B46938">
        <w:t xml:space="preserve">Provisions were enacted in the CCSA by the </w:t>
      </w:r>
      <w:r w:rsidRPr="00B46938">
        <w:rPr>
          <w:i/>
        </w:rPr>
        <w:t>Teacher Registration Act 2012</w:t>
      </w:r>
      <w:r w:rsidRPr="00B46938">
        <w:t xml:space="preserve"> that </w:t>
      </w:r>
      <w:proofErr w:type="gramStart"/>
      <w:r w:rsidRPr="00B46938">
        <w:t>clarify</w:t>
      </w:r>
      <w:proofErr w:type="gramEnd"/>
      <w:r w:rsidRPr="00B46938">
        <w:t xml:space="preserve"> which persons registered as teachers are mandated reporters. The </w:t>
      </w:r>
      <w:r w:rsidRPr="00B46938">
        <w:rPr>
          <w:i/>
        </w:rPr>
        <w:t>Teacher Registration Act 2012</w:t>
      </w:r>
      <w:r w:rsidRPr="00B46938">
        <w:t xml:space="preserve"> (No 16 of 2012) amended the definition of ‘teacher’ to </w:t>
      </w:r>
      <w:r w:rsidRPr="00B46938">
        <w:rPr>
          <w:b/>
        </w:rPr>
        <w:t>remove</w:t>
      </w:r>
      <w:r w:rsidRPr="00B46938">
        <w:t xml:space="preserve"> the original </w:t>
      </w:r>
      <w:proofErr w:type="spellStart"/>
      <w:r w:rsidRPr="00B46938">
        <w:t>ss</w:t>
      </w:r>
      <w:proofErr w:type="spellEnd"/>
      <w:r w:rsidRPr="00B46938">
        <w:t xml:space="preserve"> (b) which included “a person who is appointed under the School Education Act 1999 s 236(2) as a member of the teaching staff of a community kindergarten”. However, the relevant provisions in the </w:t>
      </w:r>
      <w:r w:rsidRPr="00B46938">
        <w:rPr>
          <w:i/>
        </w:rPr>
        <w:t>Teacher Registration Act</w:t>
      </w:r>
      <w:r w:rsidRPr="00B46938">
        <w:t xml:space="preserve"> (see </w:t>
      </w:r>
      <w:proofErr w:type="spellStart"/>
      <w:r w:rsidRPr="00B46938">
        <w:t>ss</w:t>
      </w:r>
      <w:proofErr w:type="spellEnd"/>
      <w:r w:rsidRPr="00B46938">
        <w:t xml:space="preserve"> 4, 6, 7 discussed below) clearly still include </w:t>
      </w:r>
      <w:r w:rsidRPr="00B46938">
        <w:rPr>
          <w:b/>
        </w:rPr>
        <w:t>kindergarten teachers</w:t>
      </w:r>
      <w:r w:rsidRPr="00B46938">
        <w:t xml:space="preserve"> (</w:t>
      </w:r>
      <w:r w:rsidRPr="00B46938">
        <w:rPr>
          <w:b/>
        </w:rPr>
        <w:t xml:space="preserve">and </w:t>
      </w:r>
      <w:proofErr w:type="gramStart"/>
      <w:r w:rsidRPr="00B46938">
        <w:rPr>
          <w:b/>
        </w:rPr>
        <w:t>child care</w:t>
      </w:r>
      <w:proofErr w:type="gramEnd"/>
      <w:r w:rsidRPr="00B46938">
        <w:rPr>
          <w:b/>
        </w:rPr>
        <w:t xml:space="preserve"> teachers</w:t>
      </w:r>
      <w:r w:rsidRPr="00B46938">
        <w:t>), all of whom must be registered to teach in educational venues. Hence, these classes of teachers are still mandated reporters.</w:t>
      </w:r>
    </w:p>
    <w:p w14:paraId="315B5993" w14:textId="77777777" w:rsidR="00F312E3" w:rsidRPr="00B46938" w:rsidRDefault="00F312E3" w:rsidP="00FF41B4">
      <w:pPr>
        <w:pStyle w:val="Heading7"/>
        <w:jc w:val="both"/>
      </w:pPr>
      <w:r w:rsidRPr="00B46938">
        <w:t>2012 amendment of ‘teacher’</w:t>
      </w:r>
    </w:p>
    <w:p w14:paraId="18883379" w14:textId="77777777" w:rsidR="00F312E3" w:rsidRPr="00B46938" w:rsidRDefault="00F312E3" w:rsidP="00FF41B4">
      <w:pPr>
        <w:jc w:val="both"/>
      </w:pPr>
      <w:r w:rsidRPr="00B46938">
        <w:t xml:space="preserve">In </w:t>
      </w:r>
      <w:proofErr w:type="gramStart"/>
      <w:r w:rsidRPr="00B46938">
        <w:t>2012</w:t>
      </w:r>
      <w:proofErr w:type="gramEnd"/>
      <w:r w:rsidRPr="00B46938">
        <w:t xml:space="preserve"> the </w:t>
      </w:r>
      <w:r w:rsidRPr="00B46938">
        <w:rPr>
          <w:i/>
        </w:rPr>
        <w:t>Teacher Registration Act 2012</w:t>
      </w:r>
      <w:r w:rsidRPr="00B46938">
        <w:t xml:space="preserve"> amended the CCSA 2004 s 124A definition of ‘teacher’ by deleting paragraphs (a) and (b), which stated:</w:t>
      </w:r>
    </w:p>
    <w:p w14:paraId="3C2B5EFB" w14:textId="77777777" w:rsidR="00F312E3" w:rsidRPr="00B46938" w:rsidRDefault="00F312E3" w:rsidP="00FF41B4">
      <w:pPr>
        <w:ind w:left="720"/>
        <w:jc w:val="both"/>
      </w:pPr>
      <w:r w:rsidRPr="00B46938">
        <w:lastRenderedPageBreak/>
        <w:t>‘</w:t>
      </w:r>
      <w:proofErr w:type="gramStart"/>
      <w:r w:rsidRPr="00B46938">
        <w:t>teacher</w:t>
      </w:r>
      <w:proofErr w:type="gramEnd"/>
      <w:r w:rsidRPr="00B46938">
        <w:t>’ means -</w:t>
      </w:r>
    </w:p>
    <w:p w14:paraId="66E79B99" w14:textId="0C6E343C" w:rsidR="00F312E3" w:rsidRPr="00B46938" w:rsidRDefault="00F312E3" w:rsidP="001B0227">
      <w:pPr>
        <w:pStyle w:val="ListParagraph"/>
        <w:numPr>
          <w:ilvl w:val="1"/>
          <w:numId w:val="72"/>
        </w:numPr>
        <w:jc w:val="both"/>
      </w:pPr>
      <w:r w:rsidRPr="00B46938">
        <w:t xml:space="preserve">a person who, under the </w:t>
      </w:r>
      <w:r w:rsidRPr="008555D9">
        <w:rPr>
          <w:i/>
        </w:rPr>
        <w:t>Western Australian College of Teaching Act</w:t>
      </w:r>
      <w:r w:rsidRPr="00B46938">
        <w:t xml:space="preserve"> </w:t>
      </w:r>
      <w:r w:rsidRPr="008555D9">
        <w:rPr>
          <w:i/>
        </w:rPr>
        <w:t>2004</w:t>
      </w:r>
      <w:r w:rsidRPr="00B46938">
        <w:t xml:space="preserve">, is </w:t>
      </w:r>
      <w:r w:rsidRPr="008555D9">
        <w:rPr>
          <w:b/>
        </w:rPr>
        <w:t>registered</w:t>
      </w:r>
      <w:r w:rsidRPr="00B46938">
        <w:t xml:space="preserve">, provisionally registered or has a limited authority to </w:t>
      </w:r>
      <w:r w:rsidRPr="008555D9">
        <w:rPr>
          <w:b/>
        </w:rPr>
        <w:t>teach</w:t>
      </w:r>
      <w:r w:rsidRPr="00B46938">
        <w:t>; or</w:t>
      </w:r>
    </w:p>
    <w:p w14:paraId="5E49234F" w14:textId="3201E165" w:rsidR="00F312E3" w:rsidRPr="00B46938" w:rsidRDefault="00F312E3" w:rsidP="001B0227">
      <w:pPr>
        <w:pStyle w:val="ListParagraph"/>
        <w:numPr>
          <w:ilvl w:val="1"/>
          <w:numId w:val="72"/>
        </w:numPr>
        <w:jc w:val="both"/>
      </w:pPr>
      <w:r w:rsidRPr="00B46938">
        <w:t xml:space="preserve">a person who is appointed under the </w:t>
      </w:r>
      <w:r w:rsidRPr="008555D9">
        <w:rPr>
          <w:i/>
        </w:rPr>
        <w:t>School Education Act 1999</w:t>
      </w:r>
      <w:r w:rsidRPr="00B46938">
        <w:t xml:space="preserve"> s 236(2) as a member of the teaching staff of a </w:t>
      </w:r>
      <w:r w:rsidRPr="008555D9">
        <w:rPr>
          <w:b/>
        </w:rPr>
        <w:t>community kindergarten</w:t>
      </w:r>
      <w:r w:rsidRPr="00B46938">
        <w:t xml:space="preserve">; </w:t>
      </w:r>
    </w:p>
    <w:p w14:paraId="36DC68AA" w14:textId="77777777" w:rsidR="00F312E3" w:rsidRPr="00B46938" w:rsidRDefault="00F312E3" w:rsidP="00FF41B4">
      <w:pPr>
        <w:jc w:val="both"/>
      </w:pPr>
      <w:proofErr w:type="gramStart"/>
      <w:r w:rsidRPr="00B46938">
        <w:t>and</w:t>
      </w:r>
      <w:proofErr w:type="gramEnd"/>
      <w:r w:rsidRPr="00B46938">
        <w:t xml:space="preserve"> inserting a new paragraph (a) so that a ‘teacher’ is defined as:</w:t>
      </w:r>
    </w:p>
    <w:p w14:paraId="40A808DD" w14:textId="77777777" w:rsidR="00F312E3" w:rsidRPr="00B46938" w:rsidRDefault="00F312E3" w:rsidP="00FF41B4">
      <w:pPr>
        <w:ind w:firstLine="720"/>
        <w:jc w:val="both"/>
      </w:pPr>
      <w:proofErr w:type="gramStart"/>
      <w:r w:rsidRPr="00B46938">
        <w:rPr>
          <w:b/>
        </w:rPr>
        <w:t>a</w:t>
      </w:r>
      <w:proofErr w:type="gramEnd"/>
      <w:r w:rsidRPr="00B46938">
        <w:rPr>
          <w:b/>
        </w:rPr>
        <w:t xml:space="preserve"> person who is registered under the </w:t>
      </w:r>
      <w:r w:rsidRPr="00B46938">
        <w:rPr>
          <w:b/>
          <w:i/>
        </w:rPr>
        <w:t>Teacher Registration Act 2012</w:t>
      </w:r>
      <w:r w:rsidRPr="00B46938">
        <w:t>.</w:t>
      </w:r>
    </w:p>
    <w:p w14:paraId="0968EE97" w14:textId="77777777" w:rsidR="00F312E3" w:rsidRPr="00B46938" w:rsidRDefault="00F312E3" w:rsidP="00FF41B4">
      <w:pPr>
        <w:jc w:val="both"/>
      </w:pPr>
      <w:r w:rsidRPr="00B46938">
        <w:t xml:space="preserve">This had the effect that any person who </w:t>
      </w:r>
      <w:r w:rsidRPr="00B46938">
        <w:rPr>
          <w:b/>
        </w:rPr>
        <w:t>‘teaches’</w:t>
      </w:r>
      <w:r w:rsidRPr="00B46938">
        <w:t xml:space="preserve"> at a school, kindergarten, child care centre, detention centre or any place prescribed as an </w:t>
      </w:r>
      <w:r w:rsidRPr="00B46938">
        <w:rPr>
          <w:b/>
        </w:rPr>
        <w:t>educational venue</w:t>
      </w:r>
      <w:r w:rsidRPr="00B46938">
        <w:t>, is a mandated reporter.</w:t>
      </w:r>
      <w:r w:rsidRPr="00B46938">
        <w:rPr>
          <w:rStyle w:val="FootnoteReference"/>
        </w:rPr>
        <w:footnoteReference w:id="57"/>
      </w:r>
    </w:p>
    <w:p w14:paraId="1995C457" w14:textId="77777777" w:rsidR="00F312E3" w:rsidRPr="00B46938" w:rsidRDefault="00F312E3" w:rsidP="00FF41B4">
      <w:pPr>
        <w:jc w:val="both"/>
      </w:pPr>
      <w:r w:rsidRPr="00B46938">
        <w:t>This is because under the TRA 2012 s 6, it is an offence to ‘</w:t>
      </w:r>
      <w:r w:rsidRPr="00B46938">
        <w:rPr>
          <w:b/>
        </w:rPr>
        <w:t>teach</w:t>
      </w:r>
      <w:r w:rsidRPr="00B46938">
        <w:t xml:space="preserve"> in an </w:t>
      </w:r>
      <w:r w:rsidRPr="00B46938">
        <w:rPr>
          <w:b/>
        </w:rPr>
        <w:t>educational venue</w:t>
      </w:r>
      <w:r w:rsidRPr="00B46938">
        <w:t xml:space="preserve"> unless the person is a registered teacher’.</w:t>
      </w:r>
      <w:r w:rsidRPr="00B46938">
        <w:rPr>
          <w:rStyle w:val="FootnoteReference"/>
        </w:rPr>
        <w:footnoteReference w:id="58"/>
      </w:r>
      <w:r w:rsidRPr="00B46938">
        <w:t xml:space="preserve"> Those who had to be ‘registered teachers’ </w:t>
      </w:r>
      <w:r w:rsidRPr="00B46938">
        <w:rPr>
          <w:b/>
        </w:rPr>
        <w:t>include</w:t>
      </w:r>
      <w:r w:rsidRPr="00B46938">
        <w:t xml:space="preserve"> those who </w:t>
      </w:r>
      <w:r w:rsidRPr="00B46938">
        <w:rPr>
          <w:b/>
        </w:rPr>
        <w:t>‘teach’</w:t>
      </w:r>
      <w:r w:rsidRPr="00B46938">
        <w:t xml:space="preserve"> at child care </w:t>
      </w:r>
      <w:r w:rsidRPr="00B46938">
        <w:lastRenderedPageBreak/>
        <w:t xml:space="preserve">centres (but does not include those who simply </w:t>
      </w:r>
      <w:r w:rsidRPr="00B46938">
        <w:rPr>
          <w:b/>
          <w:i/>
        </w:rPr>
        <w:t>provide care</w:t>
      </w:r>
      <w:r w:rsidRPr="00B46938">
        <w:t xml:space="preserve"> at a child care centre). This is because of the definitions of ‘teach’, ‘educational venue’ and ‘educational programme’.</w:t>
      </w:r>
      <w:r w:rsidRPr="00B46938">
        <w:rPr>
          <w:rStyle w:val="FootnoteReference"/>
        </w:rPr>
        <w:footnoteReference w:id="59"/>
      </w:r>
      <w:r w:rsidRPr="00B46938">
        <w:t xml:space="preserve"> </w:t>
      </w:r>
    </w:p>
    <w:p w14:paraId="2199FAE6" w14:textId="77777777" w:rsidR="00F312E3" w:rsidRPr="00B46938" w:rsidRDefault="00F312E3" w:rsidP="00FF41B4">
      <w:pPr>
        <w:jc w:val="both"/>
      </w:pPr>
      <w:r w:rsidRPr="00B46938">
        <w:t xml:space="preserve">In sum, this means that among the teaching profession, mandated reporters in Western Australia are those who </w:t>
      </w:r>
      <w:proofErr w:type="gramStart"/>
      <w:r w:rsidRPr="00B46938">
        <w:t>are registered</w:t>
      </w:r>
      <w:proofErr w:type="gramEnd"/>
      <w:r w:rsidRPr="00B46938">
        <w:t xml:space="preserve"> under the </w:t>
      </w:r>
      <w:r w:rsidRPr="00B46938">
        <w:rPr>
          <w:i/>
        </w:rPr>
        <w:t>Teacher Registration Act 2012</w:t>
      </w:r>
      <w:r w:rsidRPr="00B46938">
        <w:t xml:space="preserve"> and whose duties include delivery of an educational programme in an educational venue. Those who provide care at </w:t>
      </w:r>
      <w:proofErr w:type="gramStart"/>
      <w:r w:rsidRPr="00B46938">
        <w:t>child care</w:t>
      </w:r>
      <w:proofErr w:type="gramEnd"/>
      <w:r w:rsidRPr="00B46938">
        <w:t xml:space="preserve"> centres but who do not teach at that centre will not be mandated; nor will teacher’s aides, teacher’s assistants, and student teachers.</w:t>
      </w:r>
    </w:p>
    <w:p w14:paraId="2B3B135C" w14:textId="77777777" w:rsidR="00F312E3" w:rsidRPr="00B46938" w:rsidRDefault="00F312E3" w:rsidP="00FF41B4">
      <w:pPr>
        <w:pStyle w:val="Heading6"/>
        <w:jc w:val="both"/>
      </w:pPr>
      <w:r w:rsidRPr="00B46938">
        <w:t>1.5.8.3. Current position: Western Australia</w:t>
      </w:r>
    </w:p>
    <w:p w14:paraId="1462870B" w14:textId="77777777" w:rsidR="00F312E3" w:rsidRPr="00B46938" w:rsidRDefault="00F312E3" w:rsidP="00FF41B4">
      <w:pPr>
        <w:jc w:val="both"/>
      </w:pPr>
      <w:r w:rsidRPr="00B46938">
        <w:t xml:space="preserve">The duty is limited to sexual abuse, and </w:t>
      </w:r>
      <w:proofErr w:type="gramStart"/>
      <w:r w:rsidRPr="00B46938">
        <w:t>is applied</w:t>
      </w:r>
      <w:proofErr w:type="gramEnd"/>
      <w:r w:rsidRPr="00B46938">
        <w:t xml:space="preserve"> to a relatively small range of professionals. The duty is also limited by its temporal scope; it applies only to situations of past or </w:t>
      </w:r>
      <w:proofErr w:type="gramStart"/>
      <w:r w:rsidRPr="00B46938">
        <w:t>currently-occurring</w:t>
      </w:r>
      <w:proofErr w:type="gramEnd"/>
      <w:r w:rsidRPr="00B46938">
        <w:t xml:space="preserve"> sexual abuse, and does not include a requirement to report situations in which a child is believed to be likely to suffer sexual abuse.</w:t>
      </w:r>
    </w:p>
    <w:p w14:paraId="22E36393" w14:textId="77777777" w:rsidR="00F312E3" w:rsidRPr="00B46938" w:rsidRDefault="00F312E3" w:rsidP="00FF41B4">
      <w:pPr>
        <w:jc w:val="both"/>
        <w:sectPr w:rsidR="00F312E3" w:rsidRPr="00B46938" w:rsidSect="00D650B4">
          <w:pgSz w:w="11900" w:h="16840"/>
          <w:pgMar w:top="1134" w:right="1134" w:bottom="1134" w:left="1134" w:header="708" w:footer="708" w:gutter="0"/>
          <w:cols w:space="708"/>
          <w:docGrid w:linePitch="360"/>
        </w:sectPr>
      </w:pPr>
    </w:p>
    <w:p w14:paraId="086FC92F" w14:textId="77777777" w:rsidR="00F312E3" w:rsidRPr="0052480C" w:rsidRDefault="00F312E3" w:rsidP="00FF41B4">
      <w:pPr>
        <w:pStyle w:val="Heading6"/>
        <w:jc w:val="both"/>
      </w:pPr>
      <w:r w:rsidRPr="0052480C">
        <w:lastRenderedPageBreak/>
        <w:t>Figure 1.8: Timeline showing key developments, Western Australia, 2003-2012</w:t>
      </w:r>
    </w:p>
    <w:p w14:paraId="4385CE31" w14:textId="77777777" w:rsidR="00F312E3" w:rsidRPr="0052480C" w:rsidRDefault="00F312E3" w:rsidP="00FF41B4">
      <w:pPr>
        <w:jc w:val="both"/>
        <w:rPr>
          <w:rFonts w:asciiTheme="majorHAnsi" w:hAnsiTheme="majorHAnsi"/>
        </w:rPr>
      </w:pPr>
      <w:r>
        <w:rPr>
          <w:rFonts w:asciiTheme="majorHAnsi" w:hAnsiTheme="majorHAnsi"/>
        </w:rPr>
        <w:br/>
      </w:r>
    </w:p>
    <w:p w14:paraId="7F43F787" w14:textId="77777777" w:rsidR="00F312E3" w:rsidRPr="0052480C" w:rsidRDefault="00F312E3" w:rsidP="00FF41B4">
      <w:pPr>
        <w:jc w:val="both"/>
        <w:rPr>
          <w:rFonts w:asciiTheme="majorHAnsi" w:hAnsiTheme="majorHAnsi"/>
        </w:rPr>
        <w:sectPr w:rsidR="00F312E3" w:rsidRPr="0052480C" w:rsidSect="00D650B4">
          <w:pgSz w:w="16840" w:h="11900" w:orient="landscape"/>
          <w:pgMar w:top="1134" w:right="1134" w:bottom="1134" w:left="1134" w:header="708" w:footer="708" w:gutter="0"/>
          <w:cols w:space="708"/>
          <w:docGrid w:linePitch="360"/>
        </w:sectPr>
      </w:pPr>
      <w:r>
        <w:rPr>
          <w:rFonts w:asciiTheme="majorHAnsi" w:hAnsiTheme="majorHAnsi"/>
          <w:noProof/>
          <w:lang w:eastAsia="en-AU"/>
        </w:rPr>
        <w:drawing>
          <wp:inline distT="0" distB="0" distL="0" distR="0" wp14:anchorId="1BF014AA" wp14:editId="49976843">
            <wp:extent cx="9248775" cy="2038350"/>
            <wp:effectExtent l="0" t="0" r="9525" b="0"/>
            <wp:docPr id="18" name="Picture 8" descr="Shows that in Western Australia in 2003 there was no mandatory reporting legislation. In 2009 reporting of sexual abuse was introduced for moderate range of reporter groups and in 2012 this was extended to teachers in child care centre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6FEFE791" w14:textId="277B63F2" w:rsidR="00EA47A8" w:rsidRDefault="00EA47A8" w:rsidP="00B15586">
      <w:pPr>
        <w:pStyle w:val="Heading2"/>
        <w:rPr>
          <w:b w:val="0"/>
          <w:color w:val="365F91" w:themeColor="accent1" w:themeShade="BF"/>
          <w:szCs w:val="80"/>
        </w:rPr>
      </w:pPr>
      <w:r w:rsidRPr="00EA47A8">
        <w:lastRenderedPageBreak/>
        <w:t>Stage 2</w:t>
      </w:r>
      <w:r w:rsidR="001803FF">
        <w:t xml:space="preserve">: </w:t>
      </w:r>
      <w:r w:rsidR="00030EC2">
        <w:br/>
      </w:r>
      <w:r w:rsidRPr="00EA47A8">
        <w:t>Data &amp; Analysis</w:t>
      </w:r>
    </w:p>
    <w:p w14:paraId="404DD52D" w14:textId="77777777" w:rsidR="00FF2D54" w:rsidRDefault="00FF2D54" w:rsidP="00B15586">
      <w:pPr>
        <w:jc w:val="center"/>
        <w:rPr>
          <w:b/>
          <w:color w:val="365F91" w:themeColor="accent1" w:themeShade="BF"/>
          <w:sz w:val="80"/>
          <w:szCs w:val="80"/>
        </w:rPr>
        <w:sectPr w:rsidR="00FF2D54" w:rsidSect="00FF2D54">
          <w:footerReference w:type="default" r:id="rId28"/>
          <w:headerReference w:type="first" r:id="rId29"/>
          <w:pgSz w:w="11906" w:h="16838"/>
          <w:pgMar w:top="1138" w:right="1138" w:bottom="850" w:left="1411" w:header="706" w:footer="706" w:gutter="0"/>
          <w:cols w:space="708"/>
          <w:vAlign w:val="center"/>
          <w:docGrid w:linePitch="360"/>
        </w:sectPr>
      </w:pPr>
    </w:p>
    <w:p w14:paraId="11AF1FAF" w14:textId="1FF785E0" w:rsidR="00231357" w:rsidRPr="00231357" w:rsidRDefault="003A194E" w:rsidP="00B871BE">
      <w:pPr>
        <w:pStyle w:val="Heading3"/>
        <w:pBdr>
          <w:bottom w:val="single" w:sz="8" w:space="1" w:color="365F91"/>
        </w:pBdr>
      </w:pPr>
      <w:bookmarkStart w:id="43" w:name="_Toc435716757"/>
      <w:bookmarkStart w:id="44" w:name="_Toc382206689"/>
      <w:r>
        <w:lastRenderedPageBreak/>
        <w:t>Stage 2: Data and Analyses (Victoria)</w:t>
      </w:r>
      <w:bookmarkEnd w:id="43"/>
      <w:r>
        <w:t xml:space="preserve"> </w:t>
      </w:r>
    </w:p>
    <w:p w14:paraId="065F35C0" w14:textId="77777777" w:rsidR="003B6B0B" w:rsidRDefault="003B6B0B" w:rsidP="00D833F6">
      <w:pPr>
        <w:pStyle w:val="Heading4"/>
        <w:spacing w:before="480" w:line="360" w:lineRule="auto"/>
      </w:pPr>
      <w:bookmarkStart w:id="45" w:name="_Toc435716758"/>
      <w:bookmarkEnd w:id="44"/>
      <w:r>
        <w:t>Introduction, definitions, and notes</w:t>
      </w:r>
      <w:bookmarkEnd w:id="45"/>
    </w:p>
    <w:p w14:paraId="4758DD9F" w14:textId="6AF20AF4" w:rsidR="003B4635" w:rsidRPr="00E95EAD" w:rsidRDefault="003B4635" w:rsidP="00D833F6">
      <w:r w:rsidRPr="00E95EAD">
        <w:t xml:space="preserve">In Stage 2, we present data and analysis regarding the reporting over time, and each year, of different types of child abuse and neglect, by each major reporter group. We also conduct some analyses by combining the reporting practice of mandated reporter groups (both before and after commencement of the reporting laws). </w:t>
      </w:r>
    </w:p>
    <w:p w14:paraId="373B09C9" w14:textId="79B8BE4C" w:rsidR="003B4635" w:rsidRPr="00E95EAD" w:rsidRDefault="003B4635" w:rsidP="00D833F6">
      <w:r w:rsidRPr="00E95EAD">
        <w:t xml:space="preserve">Extensive analyses </w:t>
      </w:r>
      <w:proofErr w:type="gramStart"/>
      <w:r w:rsidRPr="00E95EAD">
        <w:t>were conducted</w:t>
      </w:r>
      <w:proofErr w:type="gramEnd"/>
      <w:r w:rsidRPr="00E95EAD">
        <w:t>, generating a broad range of tabular presentations of various aspects of reporting and report outcomes</w:t>
      </w:r>
      <w:r w:rsidR="00D833F6">
        <w:t>. The table on p.</w:t>
      </w:r>
      <w:r w:rsidRPr="00E95EAD">
        <w:t>7</w:t>
      </w:r>
      <w:r w:rsidR="001F26E5">
        <w:t>3</w:t>
      </w:r>
      <w:r w:rsidRPr="00E95EAD">
        <w:t xml:space="preserve"> entitled </w:t>
      </w:r>
      <w:r w:rsidRPr="00E95EAD">
        <w:rPr>
          <w:i/>
          <w:iCs/>
        </w:rPr>
        <w:t>Key data findings and interpretations</w:t>
      </w:r>
      <w:r w:rsidRPr="00E95EAD">
        <w:t xml:space="preserve"> presents a condensed summary of key overall trends and our interpretations of these trends. The </w:t>
      </w:r>
      <w:r w:rsidRPr="00E95EAD">
        <w:rPr>
          <w:i/>
          <w:iCs/>
        </w:rPr>
        <w:t>Executive Summary</w:t>
      </w:r>
      <w:r w:rsidRPr="00E95EAD">
        <w:t xml:space="preserve"> provides a further refined summary of key trends.</w:t>
      </w:r>
    </w:p>
    <w:p w14:paraId="3D4876E8" w14:textId="7739975E" w:rsidR="003417CD" w:rsidRDefault="003B4635" w:rsidP="00D833F6">
      <w:r w:rsidRPr="00E95EAD">
        <w:t>As explained in the description of the research project and its approach (</w:t>
      </w:r>
      <w:r w:rsidRPr="00B345D3">
        <w:rPr>
          <w:b/>
        </w:rPr>
        <w:t>Appendix 1</w:t>
      </w:r>
      <w:r w:rsidRPr="00E95EAD">
        <w:t xml:space="preserve">), these data relate only to </w:t>
      </w:r>
      <w:r w:rsidRPr="00E95EAD">
        <w:rPr>
          <w:b/>
        </w:rPr>
        <w:t>reports by mandated and non-mandated reporters of suspected child abuse and neglect</w:t>
      </w:r>
      <w:r w:rsidRPr="00E95EAD">
        <w:t xml:space="preserve">. Accordingly, the data do </w:t>
      </w:r>
      <w:r w:rsidRPr="00E95EAD">
        <w:rPr>
          <w:b/>
        </w:rPr>
        <w:t>not</w:t>
      </w:r>
      <w:r w:rsidRPr="00E95EAD">
        <w:t xml:space="preserve"> relate to reports of general child welfare (child concern reports), although mandated reporters do make such reports. In addition, the data on reports relate to the primary form of abuse or neglect that is the subject of the report; in any given case, a substantiated report may relate to a different type of abuse or neglect than the primary form of maltreatment reported.</w:t>
      </w:r>
    </w:p>
    <w:p w14:paraId="6EF32282" w14:textId="7770E9EE" w:rsidR="003B4635" w:rsidRPr="00A27DD4" w:rsidRDefault="003417CD" w:rsidP="00D833F6">
      <w:pPr>
        <w:rPr>
          <w:lang w:val="en-US"/>
        </w:rPr>
      </w:pPr>
      <w:r w:rsidRPr="003417CD">
        <w:rPr>
          <w:b/>
          <w:lang w:val="en-US"/>
        </w:rPr>
        <w:t xml:space="preserve">Definitions and practices in </w:t>
      </w:r>
      <w:r>
        <w:rPr>
          <w:b/>
          <w:lang w:val="en-US"/>
        </w:rPr>
        <w:t>Victoria</w:t>
      </w:r>
      <w:r w:rsidRPr="003417CD">
        <w:rPr>
          <w:b/>
          <w:lang w:val="en-US"/>
        </w:rPr>
        <w:t xml:space="preserve"> affect the counts of notifications and investigations</w:t>
      </w:r>
      <w:r w:rsidRPr="003417CD">
        <w:rPr>
          <w:lang w:val="en-US"/>
        </w:rPr>
        <w:t xml:space="preserve">. Significantly, in the case of </w:t>
      </w:r>
      <w:r>
        <w:rPr>
          <w:lang w:val="en-US"/>
        </w:rPr>
        <w:t>Victoria</w:t>
      </w:r>
      <w:r w:rsidRPr="003417CD">
        <w:rPr>
          <w:lang w:val="en-US"/>
        </w:rPr>
        <w:t xml:space="preserve">, a qualification </w:t>
      </w:r>
      <w:proofErr w:type="gramStart"/>
      <w:r w:rsidRPr="003417CD">
        <w:rPr>
          <w:lang w:val="en-US"/>
        </w:rPr>
        <w:t>must be made</w:t>
      </w:r>
      <w:proofErr w:type="gramEnd"/>
      <w:r w:rsidRPr="003417CD">
        <w:rPr>
          <w:lang w:val="en-US"/>
        </w:rPr>
        <w:t xml:space="preserve"> in relation to this previous point. As indicated in Appendix 1, </w:t>
      </w:r>
      <w:r>
        <w:rPr>
          <w:lang w:val="en-US"/>
        </w:rPr>
        <w:t>Victoria</w:t>
      </w:r>
      <w:r w:rsidRPr="003417CD">
        <w:rPr>
          <w:lang w:val="en-US"/>
        </w:rPr>
        <w:t xml:space="preserve"> uses a </w:t>
      </w:r>
      <w:r w:rsidRPr="003417CD">
        <w:rPr>
          <w:b/>
          <w:i/>
          <w:lang w:val="en-US"/>
        </w:rPr>
        <w:t>caller-defined protocol</w:t>
      </w:r>
      <w:r w:rsidRPr="003417CD">
        <w:rPr>
          <w:b/>
          <w:lang w:val="en-US"/>
        </w:rPr>
        <w:t xml:space="preserve"> </w:t>
      </w:r>
      <w:r w:rsidRPr="003417CD">
        <w:rPr>
          <w:lang w:val="en-US"/>
        </w:rPr>
        <w:t>when receiving intakes</w:t>
      </w:r>
      <w:r>
        <w:rPr>
          <w:lang w:val="en-US"/>
        </w:rPr>
        <w:t xml:space="preserve"> (although it may be somewhat more rigorous than that used in the ACT and Tasmania)</w:t>
      </w:r>
      <w:r w:rsidRPr="003417CD">
        <w:rPr>
          <w:lang w:val="en-US"/>
        </w:rPr>
        <w:t xml:space="preserve">. Essentially, this means that all concerns referred to the child protection agency </w:t>
      </w:r>
      <w:proofErr w:type="gramStart"/>
      <w:r w:rsidRPr="003417CD">
        <w:rPr>
          <w:lang w:val="en-US"/>
        </w:rPr>
        <w:t>are initially classed</w:t>
      </w:r>
      <w:proofErr w:type="gramEnd"/>
      <w:r w:rsidRPr="003417CD">
        <w:rPr>
          <w:lang w:val="en-US"/>
        </w:rPr>
        <w:t xml:space="preserve"> as a ‘notification’ of suspected child abuse and neglect, and not only those related to suspected maltreatment. This will have the effect of inflating the number of notifications in </w:t>
      </w:r>
      <w:r>
        <w:rPr>
          <w:lang w:val="en-US"/>
        </w:rPr>
        <w:t>Victoria</w:t>
      </w:r>
      <w:r w:rsidRPr="003417CD">
        <w:rPr>
          <w:lang w:val="en-US"/>
        </w:rPr>
        <w:t xml:space="preserve">. The agency then determines whether an investigation is required. Because this decision whether or not to investigate </w:t>
      </w:r>
      <w:proofErr w:type="gramStart"/>
      <w:r w:rsidRPr="003417CD">
        <w:rPr>
          <w:lang w:val="en-US"/>
        </w:rPr>
        <w:t>is taken</w:t>
      </w:r>
      <w:proofErr w:type="gramEnd"/>
      <w:r w:rsidRPr="003417CD">
        <w:rPr>
          <w:lang w:val="en-US"/>
        </w:rPr>
        <w:t xml:space="preserve"> on this wider class of intakes, the ‘investigation rate’ in </w:t>
      </w:r>
      <w:r>
        <w:rPr>
          <w:lang w:val="en-US"/>
        </w:rPr>
        <w:t>Victoria</w:t>
      </w:r>
      <w:r w:rsidRPr="003417CD">
        <w:rPr>
          <w:lang w:val="en-US"/>
        </w:rPr>
        <w:t xml:space="preserve"> may appear low.</w:t>
      </w:r>
    </w:p>
    <w:p w14:paraId="056AE94A" w14:textId="764184A4" w:rsidR="00B33D0A" w:rsidRPr="00B33D0A" w:rsidRDefault="003B4635" w:rsidP="00D833F6">
      <w:pPr>
        <w:spacing w:after="240"/>
        <w:rPr>
          <w:lang w:val="en-US"/>
        </w:rPr>
      </w:pPr>
      <w:r w:rsidRPr="00E95EAD">
        <w:rPr>
          <w:b/>
        </w:rPr>
        <w:t>A further note on nomenclature</w:t>
      </w:r>
      <w:r w:rsidRPr="00E95EAD">
        <w:t xml:space="preserve">: State and Territory legislation about mandatory reporting normally use the terms ‘reporting’ and ‘report’ to denote key concepts and actions in this domain. Government data systems often use the term ‘notification’ to characterize a report of child abuse or neglect, to distinguish such a report from one that is simply a general contact to the agency about a child’s general welfare unrelated to maltreatment. This research project is about reporting of child abuse and neglect. For simplicity, and because this project is driven by an exploration of legislative mandatory reporting </w:t>
      </w:r>
      <w:r w:rsidRPr="00E95EAD">
        <w:lastRenderedPageBreak/>
        <w:t xml:space="preserve">duties regarding child abuse and neglect in practice, our analyses use the term ‘report’ to describe a report made to the Department about suspected child abuse or neglect which is classed by the government agency as a ‘notification’. See further </w:t>
      </w:r>
      <w:r w:rsidRPr="00B345D3">
        <w:rPr>
          <w:b/>
        </w:rPr>
        <w:t>Appendix 1</w:t>
      </w:r>
      <w:r>
        <w:t>, including Table 1</w:t>
      </w:r>
      <w:r w:rsidR="00B33D0A">
        <w:rPr>
          <w:lang w:val="en-US"/>
        </w:rPr>
        <w:t>.</w:t>
      </w:r>
      <w:r w:rsidR="00D833F6" w:rsidRPr="00B33D0A">
        <w:rPr>
          <w:lang w:val="en-US"/>
        </w:rPr>
        <w:t xml:space="preserve"> </w:t>
      </w:r>
    </w:p>
    <w:p w14:paraId="0D9DAA92" w14:textId="77777777" w:rsidR="009F7F43" w:rsidRPr="009F7F43" w:rsidRDefault="009F7F43" w:rsidP="00D833F6">
      <w:pPr>
        <w:pStyle w:val="Heading4"/>
        <w:spacing w:before="120" w:line="360" w:lineRule="auto"/>
      </w:pPr>
      <w:bookmarkStart w:id="46" w:name="_Toc435716759"/>
      <w:r w:rsidRPr="009F7F43">
        <w:t>Key legislative changes and hypotheses</w:t>
      </w:r>
      <w:r w:rsidR="00D3590E">
        <w:t>: Victoria</w:t>
      </w:r>
      <w:bookmarkEnd w:id="46"/>
    </w:p>
    <w:p w14:paraId="04F22345" w14:textId="41CB482C" w:rsidR="005D61DD" w:rsidRPr="00D833F6" w:rsidRDefault="005D61DD" w:rsidP="00D833F6">
      <w:pPr>
        <w:rPr>
          <w:rStyle w:val="ParagraphChar"/>
          <w:i/>
        </w:rPr>
      </w:pPr>
      <w:r w:rsidRPr="00D833F6">
        <w:rPr>
          <w:b/>
        </w:rPr>
        <w:t>1 January 2003</w:t>
      </w:r>
      <w:r w:rsidR="003417CD" w:rsidRPr="00D833F6">
        <w:rPr>
          <w:b/>
        </w:rPr>
        <w:t>:</w:t>
      </w:r>
      <w:r w:rsidR="003417CD" w:rsidRPr="00D833F6">
        <w:t xml:space="preserve"> </w:t>
      </w:r>
      <w:r w:rsidRPr="00D833F6">
        <w:rPr>
          <w:rStyle w:val="ParagraphChar"/>
        </w:rPr>
        <w:t xml:space="preserve">Duty imposed on police, teachers, doctors, </w:t>
      </w:r>
      <w:proofErr w:type="gramStart"/>
      <w:r w:rsidRPr="00D833F6">
        <w:rPr>
          <w:rStyle w:val="ParagraphChar"/>
        </w:rPr>
        <w:t>nurses</w:t>
      </w:r>
      <w:proofErr w:type="gramEnd"/>
      <w:r w:rsidRPr="00D833F6">
        <w:rPr>
          <w:rStyle w:val="ParagraphChar"/>
        </w:rPr>
        <w:t>; applies to physical and sexual abuse where also lack of a protective parent.</w:t>
      </w:r>
    </w:p>
    <w:p w14:paraId="23BA77A1" w14:textId="345F104B" w:rsidR="009F7F43" w:rsidRPr="00D833F6" w:rsidRDefault="005D61DD" w:rsidP="00D833F6">
      <w:pPr>
        <w:rPr>
          <w:rFonts w:ascii="Calibri" w:eastAsiaTheme="majorEastAsia" w:hAnsi="Calibri" w:cstheme="majorBidi"/>
          <w:color w:val="000000" w:themeColor="text1"/>
        </w:rPr>
      </w:pPr>
      <w:r w:rsidRPr="00D833F6">
        <w:rPr>
          <w:rStyle w:val="Heading9Char"/>
          <w:i w:val="0"/>
          <w:szCs w:val="22"/>
        </w:rPr>
        <w:t>23 April 2007</w:t>
      </w:r>
      <w:r w:rsidR="003417CD" w:rsidRPr="00D833F6">
        <w:rPr>
          <w:i/>
        </w:rPr>
        <w:t>:</w:t>
      </w:r>
      <w:r w:rsidR="003417CD" w:rsidRPr="00D833F6">
        <w:t xml:space="preserve"> </w:t>
      </w:r>
      <w:r w:rsidRPr="00D833F6">
        <w:rPr>
          <w:rStyle w:val="ParagraphChar"/>
        </w:rPr>
        <w:t xml:space="preserve">CYFA 2005 s 31 enables significant concerns for a child’s wellbeing to </w:t>
      </w:r>
      <w:proofErr w:type="gramStart"/>
      <w:r w:rsidRPr="00D833F6">
        <w:rPr>
          <w:rStyle w:val="ParagraphChar"/>
        </w:rPr>
        <w:t>be made</w:t>
      </w:r>
      <w:proofErr w:type="gramEnd"/>
      <w:r w:rsidRPr="00D833F6">
        <w:rPr>
          <w:rStyle w:val="ParagraphChar"/>
        </w:rPr>
        <w:t xml:space="preserve"> to a community-based child and family service (</w:t>
      </w:r>
      <w:proofErr w:type="spellStart"/>
      <w:r w:rsidRPr="00D833F6">
        <w:rPr>
          <w:rStyle w:val="ParagraphChar"/>
        </w:rPr>
        <w:t>ChildFIRST</w:t>
      </w:r>
      <w:proofErr w:type="spellEnd"/>
      <w:r w:rsidRPr="00D833F6">
        <w:rPr>
          <w:rStyle w:val="ParagraphChar"/>
        </w:rPr>
        <w:t>).</w:t>
      </w:r>
      <w:r w:rsidR="00D833F6">
        <w:rPr>
          <w:rStyle w:val="ParagraphChar"/>
        </w:rPr>
        <w:br/>
      </w:r>
      <w:r w:rsidR="00D833F6">
        <w:rPr>
          <w:rStyle w:val="ParagraphChar"/>
        </w:rPr>
        <w:br/>
      </w:r>
      <w:proofErr w:type="gramStart"/>
      <w:r w:rsidR="003B4635" w:rsidRPr="00D833F6">
        <w:rPr>
          <w:rStyle w:val="ParagraphChar"/>
          <w:b/>
        </w:rPr>
        <w:t>Hypothesi</w:t>
      </w:r>
      <w:r w:rsidR="009F7F43" w:rsidRPr="00D833F6">
        <w:rPr>
          <w:rStyle w:val="ParagraphChar"/>
          <w:b/>
        </w:rPr>
        <w:t>s</w:t>
      </w:r>
      <w:r w:rsidR="003B4635" w:rsidRPr="00D833F6">
        <w:rPr>
          <w:rStyle w:val="ParagraphChar"/>
          <w:b/>
        </w:rPr>
        <w:t>:</w:t>
      </w:r>
      <w:r w:rsidR="003B4635" w:rsidRPr="00D833F6">
        <w:rPr>
          <w:rStyle w:val="ParagraphChar"/>
        </w:rPr>
        <w:t xml:space="preserve"> </w:t>
      </w:r>
      <w:r w:rsidR="009F7F43" w:rsidRPr="00D833F6">
        <w:rPr>
          <w:rStyle w:val="ParagraphChar"/>
        </w:rPr>
        <w:t xml:space="preserve">Substantial decrease in reports to Department especially of </w:t>
      </w:r>
      <w:r w:rsidR="00D2721A" w:rsidRPr="00D833F6">
        <w:rPr>
          <w:rStyle w:val="ParagraphChar"/>
        </w:rPr>
        <w:t>emotional abuse</w:t>
      </w:r>
      <w:r w:rsidR="009F7F43" w:rsidRPr="00D833F6">
        <w:rPr>
          <w:rStyle w:val="ParagraphChar"/>
        </w:rPr>
        <w:t xml:space="preserve"> and neglect.</w:t>
      </w:r>
      <w:proofErr w:type="gramEnd"/>
    </w:p>
    <w:p w14:paraId="73B03727" w14:textId="77777777" w:rsidR="00F2449C" w:rsidRDefault="00F2449C" w:rsidP="00D833F6">
      <w:pPr>
        <w:pStyle w:val="Heading4"/>
        <w:spacing w:line="360" w:lineRule="auto"/>
      </w:pPr>
      <w:bookmarkStart w:id="47" w:name="_Toc435716760"/>
      <w:r w:rsidRPr="009F7F43">
        <w:t>Definitions and notes</w:t>
      </w:r>
      <w:r w:rsidR="00124CB2">
        <w:t>: Victoria</w:t>
      </w:r>
      <w:bookmarkEnd w:id="47"/>
    </w:p>
    <w:p w14:paraId="4A40C3A3" w14:textId="4F0FCBEA" w:rsidR="00CB08E2" w:rsidRPr="003B4635" w:rsidRDefault="00F2449C" w:rsidP="00D833F6">
      <w:pPr>
        <w:pStyle w:val="Paragraph"/>
      </w:pPr>
      <w:r w:rsidRPr="003B4635">
        <w:t>T</w:t>
      </w:r>
      <w:r w:rsidR="00CB08E2" w:rsidRPr="003B4635">
        <w:t>he Department of Human Services, Victoria changed its recording system for child abuse notifications</w:t>
      </w:r>
      <w:r w:rsidRPr="003B4635">
        <w:t xml:space="preserve"> with the </w:t>
      </w:r>
      <w:r w:rsidR="00CB08E2" w:rsidRPr="003B4635">
        <w:t xml:space="preserve">system changed from CASIS to CRISP regionally between April 2006 and June 2008.  From June 2008 CRISP became the </w:t>
      </w:r>
      <w:proofErr w:type="gramStart"/>
      <w:r w:rsidR="00CB08E2" w:rsidRPr="003B4635">
        <w:t>state-wide</w:t>
      </w:r>
      <w:proofErr w:type="gramEnd"/>
      <w:r w:rsidR="00CB08E2" w:rsidRPr="003B4635">
        <w:t xml:space="preserve"> operating system</w:t>
      </w:r>
      <w:r w:rsidRPr="003B4635">
        <w:t>.</w:t>
      </w:r>
    </w:p>
    <w:p w14:paraId="319E106B" w14:textId="41DF5F87" w:rsidR="00863C61" w:rsidRPr="003B4635" w:rsidRDefault="00936009" w:rsidP="00D833F6">
      <w:pPr>
        <w:pStyle w:val="Paragraph"/>
      </w:pPr>
      <w:r w:rsidRPr="00936009">
        <w:rPr>
          <w:lang w:val="en-US"/>
        </w:rPr>
        <w:t>The data has been analysed using the following data categories and or definitions as used or provided by the Department</w:t>
      </w:r>
      <w:r w:rsidR="00863C61" w:rsidRPr="003B4635">
        <w:t>:</w:t>
      </w:r>
    </w:p>
    <w:p w14:paraId="17E8A84C" w14:textId="23154B6D" w:rsidR="00863C61" w:rsidRPr="003B4635" w:rsidRDefault="00863C61" w:rsidP="00D833F6">
      <w:pPr>
        <w:pStyle w:val="Paragraph"/>
      </w:pPr>
      <w:r w:rsidRPr="00F367FF">
        <w:rPr>
          <w:rStyle w:val="Heading6Char"/>
        </w:rPr>
        <w:t>Medical practitioners:</w:t>
      </w:r>
      <w:r w:rsidR="008252EF" w:rsidRPr="003B4635">
        <w:t xml:space="preserve"> In Victoria, medical practitioners include </w:t>
      </w:r>
      <w:r w:rsidR="00EA7BFE" w:rsidRPr="003B4635">
        <w:t>doctors, hospital doctors, paediatricians, forensic medical officers</w:t>
      </w:r>
      <w:r w:rsidR="00896C40" w:rsidRPr="003B4635">
        <w:t xml:space="preserve">, </w:t>
      </w:r>
      <w:r w:rsidR="00896C40" w:rsidRPr="003417CD">
        <w:t xml:space="preserve">and any person who is a registered medical practitioner under the </w:t>
      </w:r>
      <w:r w:rsidR="00896C40" w:rsidRPr="003417CD">
        <w:rPr>
          <w:i/>
        </w:rPr>
        <w:t>Medical Practice Act 1994</w:t>
      </w:r>
      <w:r w:rsidR="00EA7BFE" w:rsidRPr="003417CD">
        <w:t>.</w:t>
      </w:r>
      <w:r w:rsidR="00F2449C" w:rsidRPr="003417CD">
        <w:t xml:space="preserve">  </w:t>
      </w:r>
      <w:r w:rsidR="003417CD" w:rsidRPr="003417CD">
        <w:t>The c</w:t>
      </w:r>
      <w:r w:rsidR="00F2449C" w:rsidRPr="003417CD">
        <w:t>ategor</w:t>
      </w:r>
      <w:r w:rsidR="003417CD" w:rsidRPr="003417CD">
        <w:t>ies</w:t>
      </w:r>
      <w:r w:rsidR="003417CD">
        <w:t xml:space="preserve"> of</w:t>
      </w:r>
      <w:r w:rsidR="003417CD" w:rsidRPr="003417CD">
        <w:t xml:space="preserve"> ‘</w:t>
      </w:r>
      <w:r w:rsidR="00F2449C" w:rsidRPr="003417CD">
        <w:t>doctor</w:t>
      </w:r>
      <w:r w:rsidR="003417CD" w:rsidRPr="003417CD">
        <w:t>’</w:t>
      </w:r>
      <w:r w:rsidR="00F2449C" w:rsidRPr="003417CD">
        <w:t xml:space="preserve">; </w:t>
      </w:r>
      <w:r w:rsidR="003417CD" w:rsidRPr="003417CD">
        <w:t>‘</w:t>
      </w:r>
      <w:r w:rsidR="00F2449C" w:rsidRPr="003417CD">
        <w:t>doctor – FMO</w:t>
      </w:r>
      <w:r w:rsidR="003417CD" w:rsidRPr="003417CD">
        <w:t>’</w:t>
      </w:r>
      <w:r w:rsidR="00F2449C" w:rsidRPr="003417CD">
        <w:t xml:space="preserve">; </w:t>
      </w:r>
      <w:r w:rsidR="003417CD" w:rsidRPr="003417CD">
        <w:t>‘</w:t>
      </w:r>
      <w:r w:rsidR="00F2449C" w:rsidRPr="003417CD">
        <w:t>hospital doctor</w:t>
      </w:r>
      <w:r w:rsidR="003417CD" w:rsidRPr="003417CD">
        <w:t>’</w:t>
      </w:r>
      <w:r w:rsidR="00F2449C" w:rsidRPr="003417CD">
        <w:t xml:space="preserve">; and </w:t>
      </w:r>
      <w:r w:rsidR="003417CD" w:rsidRPr="003417CD">
        <w:t>‘</w:t>
      </w:r>
      <w:r w:rsidR="00F2449C" w:rsidRPr="003417CD">
        <w:t>paediatrician</w:t>
      </w:r>
      <w:r w:rsidR="003417CD" w:rsidRPr="003417CD">
        <w:t xml:space="preserve">’ </w:t>
      </w:r>
      <w:proofErr w:type="gramStart"/>
      <w:r w:rsidR="003417CD" w:rsidRPr="003417CD">
        <w:t>were used</w:t>
      </w:r>
      <w:proofErr w:type="gramEnd"/>
      <w:r w:rsidR="003417CD" w:rsidRPr="003417CD">
        <w:t xml:space="preserve"> as the data sources for this group of reporters</w:t>
      </w:r>
      <w:r w:rsidR="00F2449C" w:rsidRPr="003417CD">
        <w:t>.</w:t>
      </w:r>
    </w:p>
    <w:p w14:paraId="0243B6F8" w14:textId="7F485BC5" w:rsidR="003417CD" w:rsidRPr="003B4635" w:rsidRDefault="00863C61" w:rsidP="00D833F6">
      <w:pPr>
        <w:pStyle w:val="Paragraph"/>
      </w:pPr>
      <w:r w:rsidRPr="00D833F6">
        <w:rPr>
          <w:rStyle w:val="Heading6Char"/>
        </w:rPr>
        <w:t>Nurses:</w:t>
      </w:r>
      <w:r w:rsidR="008252EF" w:rsidRPr="003B4635">
        <w:t xml:space="preserve">  In Victoria, </w:t>
      </w:r>
      <w:r w:rsidR="00292277">
        <w:t>‘</w:t>
      </w:r>
      <w:r w:rsidR="008252EF" w:rsidRPr="003B4635">
        <w:t>nurses</w:t>
      </w:r>
      <w:r w:rsidR="00292277">
        <w:t>’</w:t>
      </w:r>
      <w:r w:rsidR="008252EF" w:rsidRPr="003B4635">
        <w:t xml:space="preserve"> </w:t>
      </w:r>
      <w:r w:rsidR="00EA7BFE" w:rsidRPr="003B4635">
        <w:t>include nurses, community health nurse</w:t>
      </w:r>
      <w:r w:rsidR="003417CD">
        <w:t>s</w:t>
      </w:r>
      <w:r w:rsidR="00EA7BFE" w:rsidRPr="003B4635">
        <w:t>, hospital nurse</w:t>
      </w:r>
      <w:r w:rsidR="003417CD">
        <w:t>s</w:t>
      </w:r>
      <w:r w:rsidR="00EA7BFE" w:rsidRPr="003B4635">
        <w:t>, maternal and child health nurses, mental health nurses, psychiatric nurses, and any</w:t>
      </w:r>
      <w:r w:rsidR="00896C40" w:rsidRPr="003B4635">
        <w:t xml:space="preserve"> other person </w:t>
      </w:r>
      <w:r w:rsidR="00EA7BFE" w:rsidRPr="003B4635">
        <w:t>working in any other role registered to practice nursing.</w:t>
      </w:r>
      <w:r w:rsidR="00F2449C" w:rsidRPr="003B4635">
        <w:t xml:space="preserve">  </w:t>
      </w:r>
      <w:r w:rsidR="003417CD" w:rsidRPr="003417CD">
        <w:t>The categories</w:t>
      </w:r>
      <w:r w:rsidR="003417CD">
        <w:t xml:space="preserve"> of</w:t>
      </w:r>
      <w:r w:rsidR="00F2449C" w:rsidRPr="003B4635">
        <w:t xml:space="preserve"> </w:t>
      </w:r>
      <w:r w:rsidR="003417CD">
        <w:t>‘</w:t>
      </w:r>
      <w:r w:rsidR="00F2449C" w:rsidRPr="003B4635">
        <w:t>community health nurse</w:t>
      </w:r>
      <w:r w:rsidR="003417CD">
        <w:t>’</w:t>
      </w:r>
      <w:r w:rsidR="00F2449C" w:rsidRPr="003B4635">
        <w:t xml:space="preserve">; </w:t>
      </w:r>
      <w:r w:rsidR="003417CD">
        <w:t>‘</w:t>
      </w:r>
      <w:r w:rsidR="00F2449C" w:rsidRPr="003B4635">
        <w:t>hospital nurse</w:t>
      </w:r>
      <w:r w:rsidR="003417CD">
        <w:t>’</w:t>
      </w:r>
      <w:r w:rsidR="00F2449C" w:rsidRPr="003B4635">
        <w:t xml:space="preserve">; </w:t>
      </w:r>
      <w:r w:rsidR="003417CD">
        <w:t>‘</w:t>
      </w:r>
      <w:r w:rsidR="00F2449C" w:rsidRPr="003B4635">
        <w:t>maternal and child health nurse</w:t>
      </w:r>
      <w:r w:rsidR="003417CD">
        <w:t>’</w:t>
      </w:r>
      <w:r w:rsidR="00F2449C" w:rsidRPr="003B4635">
        <w:t xml:space="preserve">; </w:t>
      </w:r>
      <w:r w:rsidR="003417CD">
        <w:t>‘</w:t>
      </w:r>
      <w:r w:rsidR="00F2449C" w:rsidRPr="003B4635">
        <w:t>nurse</w:t>
      </w:r>
      <w:r w:rsidR="003417CD">
        <w:t>’</w:t>
      </w:r>
      <w:r w:rsidR="00F2449C" w:rsidRPr="003B4635">
        <w:t xml:space="preserve">; and </w:t>
      </w:r>
      <w:r w:rsidR="003417CD">
        <w:t>‘</w:t>
      </w:r>
      <w:r w:rsidR="00F2449C" w:rsidRPr="003B4635">
        <w:t>psychiatric nurse</w:t>
      </w:r>
      <w:r w:rsidR="003417CD">
        <w:t xml:space="preserve">’ </w:t>
      </w:r>
      <w:r w:rsidR="003417CD" w:rsidRPr="003417CD">
        <w:t>were used as the data sources for this group of reporters.</w:t>
      </w:r>
    </w:p>
    <w:p w14:paraId="6B07BCF8" w14:textId="3AA64478" w:rsidR="00863C61" w:rsidRPr="003B4635" w:rsidRDefault="00863C61" w:rsidP="00D833F6">
      <w:pPr>
        <w:pStyle w:val="Paragraph"/>
      </w:pPr>
      <w:r w:rsidRPr="00F367FF">
        <w:rPr>
          <w:rStyle w:val="Heading6Char"/>
        </w:rPr>
        <w:t>Police:</w:t>
      </w:r>
      <w:r w:rsidRPr="003B4635">
        <w:t xml:space="preserve"> </w:t>
      </w:r>
      <w:r w:rsidR="003417CD" w:rsidRPr="003417CD">
        <w:t>The categories</w:t>
      </w:r>
      <w:r w:rsidR="003417CD">
        <w:t xml:space="preserve"> of</w:t>
      </w:r>
      <w:r w:rsidR="003417CD" w:rsidRPr="003B4635">
        <w:t xml:space="preserve"> </w:t>
      </w:r>
      <w:r w:rsidR="003417CD">
        <w:t>‘</w:t>
      </w:r>
      <w:r w:rsidR="00F2449C" w:rsidRPr="003B4635">
        <w:t>police</w:t>
      </w:r>
      <w:r w:rsidR="003417CD">
        <w:t>’</w:t>
      </w:r>
      <w:r w:rsidR="00F2449C" w:rsidRPr="003B4635">
        <w:t xml:space="preserve">; </w:t>
      </w:r>
      <w:r w:rsidR="003417CD">
        <w:t>‘</w:t>
      </w:r>
      <w:r w:rsidR="00F2449C" w:rsidRPr="003B4635">
        <w:t>police – ANCOR</w:t>
      </w:r>
      <w:r w:rsidR="003417CD">
        <w:t>’</w:t>
      </w:r>
      <w:r w:rsidR="00F2449C" w:rsidRPr="003B4635">
        <w:t xml:space="preserve">; </w:t>
      </w:r>
      <w:r w:rsidR="003417CD">
        <w:t>‘</w:t>
      </w:r>
      <w:r w:rsidR="00F2449C" w:rsidRPr="003B4635">
        <w:t>police – child exploitation unit</w:t>
      </w:r>
      <w:r w:rsidR="003417CD">
        <w:t>’</w:t>
      </w:r>
      <w:r w:rsidR="00F2449C" w:rsidRPr="003B4635">
        <w:t xml:space="preserve">; </w:t>
      </w:r>
      <w:r w:rsidR="003417CD">
        <w:t>‘</w:t>
      </w:r>
      <w:r w:rsidR="00F2449C" w:rsidRPr="003B4635">
        <w:t>police – CIU</w:t>
      </w:r>
      <w:r w:rsidR="003417CD">
        <w:t>’</w:t>
      </w:r>
      <w:r w:rsidR="00F2449C" w:rsidRPr="003B4635">
        <w:t xml:space="preserve">; </w:t>
      </w:r>
      <w:r w:rsidR="003417CD">
        <w:t>‘</w:t>
      </w:r>
      <w:r w:rsidR="00F2449C" w:rsidRPr="003B4635">
        <w:t>police – family violence</w:t>
      </w:r>
      <w:r w:rsidR="003417CD">
        <w:t>’</w:t>
      </w:r>
      <w:r w:rsidR="00F2449C" w:rsidRPr="003B4635">
        <w:t xml:space="preserve">; and </w:t>
      </w:r>
      <w:r w:rsidR="003417CD">
        <w:t>‘</w:t>
      </w:r>
      <w:r w:rsidR="00F2449C" w:rsidRPr="003B4635">
        <w:t>police – SOCAU</w:t>
      </w:r>
      <w:r w:rsidR="003417CD">
        <w:t xml:space="preserve">’ </w:t>
      </w:r>
      <w:r w:rsidR="00532D00" w:rsidRPr="003417CD">
        <w:t>were used as the data sources for this group of reporters</w:t>
      </w:r>
      <w:r w:rsidR="00F2449C" w:rsidRPr="003B4635">
        <w:t>.</w:t>
      </w:r>
    </w:p>
    <w:p w14:paraId="22E95CF9" w14:textId="64BB35E4" w:rsidR="00863C61" w:rsidRPr="003B4635" w:rsidRDefault="00AC4C50" w:rsidP="00D833F6">
      <w:pPr>
        <w:pStyle w:val="Paragraph"/>
      </w:pPr>
      <w:r w:rsidRPr="00F367FF">
        <w:rPr>
          <w:rStyle w:val="Heading6Char"/>
        </w:rPr>
        <w:t>School personnel</w:t>
      </w:r>
      <w:r w:rsidR="00532D00" w:rsidRPr="00F367FF">
        <w:rPr>
          <w:rStyle w:val="Heading6Char"/>
        </w:rPr>
        <w:t>:</w:t>
      </w:r>
      <w:r w:rsidR="008252EF" w:rsidRPr="003B4635">
        <w:t xml:space="preserve"> In Victoria, </w:t>
      </w:r>
      <w:r w:rsidR="00292277">
        <w:t>‘</w:t>
      </w:r>
      <w:r w:rsidRPr="003B4635">
        <w:t>school personnel</w:t>
      </w:r>
      <w:r w:rsidR="00292277">
        <w:t>’</w:t>
      </w:r>
      <w:r w:rsidR="00532D00">
        <w:t xml:space="preserve"> include</w:t>
      </w:r>
      <w:r w:rsidR="00896C40" w:rsidRPr="003B4635">
        <w:t xml:space="preserve"> specialist teachers, pre-school teachers, vice/deputy principals, teacher’s aides, and any other person working in any other role registered to </w:t>
      </w:r>
      <w:r w:rsidR="00896C40" w:rsidRPr="003B4635">
        <w:lastRenderedPageBreak/>
        <w:t>teach.</w:t>
      </w:r>
      <w:r w:rsidR="00F2449C" w:rsidRPr="003B4635">
        <w:t xml:space="preserve"> </w:t>
      </w:r>
      <w:r w:rsidR="00532D00" w:rsidRPr="003417CD">
        <w:t>The categories</w:t>
      </w:r>
      <w:r w:rsidR="00532D00">
        <w:t xml:space="preserve"> of</w:t>
      </w:r>
      <w:r w:rsidR="00F2449C" w:rsidRPr="003B4635">
        <w:t xml:space="preserve"> </w:t>
      </w:r>
      <w:r w:rsidR="00532D00">
        <w:t>‘</w:t>
      </w:r>
      <w:r w:rsidR="00F2449C" w:rsidRPr="003B4635">
        <w:t>pre-school teacher</w:t>
      </w:r>
      <w:r w:rsidR="00532D00">
        <w:t>’</w:t>
      </w:r>
      <w:r w:rsidR="00F2449C" w:rsidRPr="003B4635">
        <w:t xml:space="preserve">; </w:t>
      </w:r>
      <w:r w:rsidR="00532D00">
        <w:t>‘</w:t>
      </w:r>
      <w:r w:rsidR="00F2449C" w:rsidRPr="003B4635">
        <w:t>principal</w:t>
      </w:r>
      <w:r w:rsidR="00532D00">
        <w:t>’</w:t>
      </w:r>
      <w:r w:rsidR="00F2449C" w:rsidRPr="003B4635">
        <w:t xml:space="preserve">; </w:t>
      </w:r>
      <w:r w:rsidR="00532D00">
        <w:t>‘</w:t>
      </w:r>
      <w:r w:rsidR="00F2449C" w:rsidRPr="003B4635">
        <w:t>teacher’s aide</w:t>
      </w:r>
      <w:r w:rsidR="00532D00">
        <w:t>’</w:t>
      </w:r>
      <w:r w:rsidR="00F2449C" w:rsidRPr="003B4635">
        <w:t xml:space="preserve">; </w:t>
      </w:r>
      <w:r w:rsidR="00532D00">
        <w:t>‘</w:t>
      </w:r>
      <w:r w:rsidR="00F2449C" w:rsidRPr="003B4635">
        <w:t>teacher</w:t>
      </w:r>
      <w:r w:rsidR="00532D00">
        <w:t>’</w:t>
      </w:r>
      <w:r w:rsidR="00F2449C" w:rsidRPr="003B4635">
        <w:t xml:space="preserve">; </w:t>
      </w:r>
      <w:r w:rsidR="00532D00">
        <w:t>‘</w:t>
      </w:r>
      <w:r w:rsidR="00F2449C" w:rsidRPr="003B4635">
        <w:t>vice principal/deputy</w:t>
      </w:r>
      <w:r w:rsidR="00532D00">
        <w:t>’</w:t>
      </w:r>
      <w:r w:rsidR="00F2449C" w:rsidRPr="003B4635">
        <w:t xml:space="preserve">; and </w:t>
      </w:r>
      <w:r w:rsidR="00532D00">
        <w:t>‘</w:t>
      </w:r>
      <w:r w:rsidR="00F2449C" w:rsidRPr="003B4635">
        <w:t>specialist teacher</w:t>
      </w:r>
      <w:r w:rsidR="00532D00">
        <w:t xml:space="preserve">’ </w:t>
      </w:r>
      <w:r w:rsidR="00532D00" w:rsidRPr="003417CD">
        <w:t>were used as the data sources for this group of reporters</w:t>
      </w:r>
      <w:r w:rsidR="00F2449C" w:rsidRPr="003B4635">
        <w:t>.</w:t>
      </w:r>
    </w:p>
    <w:p w14:paraId="6DA07F11" w14:textId="51FB9243" w:rsidR="00F90B81" w:rsidRPr="003B4635" w:rsidRDefault="00F90B81" w:rsidP="00D833F6">
      <w:pPr>
        <w:pStyle w:val="Paragraph"/>
      </w:pPr>
      <w:proofErr w:type="gramStart"/>
      <w:r w:rsidRPr="00F367FF">
        <w:rPr>
          <w:rStyle w:val="Heading6Char"/>
        </w:rPr>
        <w:t>Psychiatrists</w:t>
      </w:r>
      <w:r w:rsidR="00863C61" w:rsidRPr="00F367FF">
        <w:rPr>
          <w:rStyle w:val="Heading6Char"/>
        </w:rPr>
        <w:t>:</w:t>
      </w:r>
      <w:r w:rsidR="00863C61" w:rsidRPr="003B4635">
        <w:t xml:space="preserve"> </w:t>
      </w:r>
      <w:r w:rsidR="00532D00" w:rsidRPr="003417CD">
        <w:t>The categor</w:t>
      </w:r>
      <w:r w:rsidR="00292277">
        <w:t>y</w:t>
      </w:r>
      <w:r w:rsidR="00532D00">
        <w:t xml:space="preserve"> of</w:t>
      </w:r>
      <w:r w:rsidR="00532D00" w:rsidRPr="003B4635">
        <w:t xml:space="preserve"> </w:t>
      </w:r>
      <w:r w:rsidR="00532D00">
        <w:t>‘</w:t>
      </w:r>
      <w:r w:rsidR="00F2449C" w:rsidRPr="003B4635">
        <w:t>psychiatrists</w:t>
      </w:r>
      <w:r w:rsidR="00532D00">
        <w:t>’</w:t>
      </w:r>
      <w:r w:rsidR="00F2449C" w:rsidRPr="003B4635">
        <w:t xml:space="preserve"> </w:t>
      </w:r>
      <w:r w:rsidR="00532D00">
        <w:t xml:space="preserve">was </w:t>
      </w:r>
      <w:r w:rsidR="00532D00" w:rsidRPr="003417CD">
        <w:t>used as the data source for this group of reporters</w:t>
      </w:r>
      <w:r w:rsidR="00F2449C" w:rsidRPr="003B4635">
        <w:t>.</w:t>
      </w:r>
      <w:proofErr w:type="gramEnd"/>
    </w:p>
    <w:p w14:paraId="326AF2AD" w14:textId="5F96A1DF" w:rsidR="00870BE6" w:rsidRDefault="00F2449C" w:rsidP="00D833F6">
      <w:pPr>
        <w:pStyle w:val="Paragraph"/>
      </w:pPr>
      <w:r w:rsidRPr="00F367FF">
        <w:rPr>
          <w:rStyle w:val="Heading6Char"/>
        </w:rPr>
        <w:t>Major mandated reporter groups combined</w:t>
      </w:r>
      <w:r w:rsidR="00863C61" w:rsidRPr="003B4635">
        <w:t xml:space="preserve">: </w:t>
      </w:r>
      <w:r w:rsidR="00870BE6" w:rsidRPr="00870BE6">
        <w:rPr>
          <w:lang w:val="en-US"/>
        </w:rPr>
        <w:t xml:space="preserve">For the purpose of this research study, and to provide meaningful findings about the proportional contribution to reporting made collectively by the major occupational reporter groups for the </w:t>
      </w:r>
      <w:r w:rsidR="00870BE6">
        <w:rPr>
          <w:lang w:val="en-US"/>
        </w:rPr>
        <w:t>Victorian</w:t>
      </w:r>
      <w:r w:rsidR="00870BE6" w:rsidRPr="00870BE6">
        <w:rPr>
          <w:lang w:val="en-US"/>
        </w:rPr>
        <w:t xml:space="preserve"> government, we conducted some analyses by combining the reporting practice of the major mandated reporter groups. In doing this, we adopted a similar approach to that used for other jurisdictions (see Appendix 1 Research Approach). Accordingly, for </w:t>
      </w:r>
      <w:r w:rsidR="00870BE6">
        <w:rPr>
          <w:lang w:val="en-US"/>
        </w:rPr>
        <w:t>Victoria</w:t>
      </w:r>
      <w:r w:rsidR="00870BE6" w:rsidRPr="00870BE6">
        <w:rPr>
          <w:lang w:val="en-US"/>
        </w:rPr>
        <w:t xml:space="preserve">, the groups </w:t>
      </w:r>
      <w:r w:rsidR="00870BE6">
        <w:rPr>
          <w:lang w:val="en-US"/>
        </w:rPr>
        <w:t>identified</w:t>
      </w:r>
      <w:r w:rsidR="00870BE6" w:rsidRPr="00870BE6">
        <w:rPr>
          <w:lang w:val="en-US"/>
        </w:rPr>
        <w:t xml:space="preserve"> above - medical practitioners</w:t>
      </w:r>
      <w:r w:rsidR="00532D00">
        <w:rPr>
          <w:lang w:val="en-US"/>
        </w:rPr>
        <w:t xml:space="preserve"> (including psychiatrists)</w:t>
      </w:r>
      <w:r w:rsidR="00870BE6" w:rsidRPr="00870BE6">
        <w:rPr>
          <w:lang w:val="en-US"/>
        </w:rPr>
        <w:t>, nurses, police,</w:t>
      </w:r>
      <w:r w:rsidR="00870BE6">
        <w:rPr>
          <w:lang w:val="en-US"/>
        </w:rPr>
        <w:t xml:space="preserve"> and</w:t>
      </w:r>
      <w:r w:rsidR="00870BE6" w:rsidRPr="00870BE6">
        <w:rPr>
          <w:lang w:val="en-US"/>
        </w:rPr>
        <w:t xml:space="preserve"> school personnel - </w:t>
      </w:r>
      <w:proofErr w:type="gramStart"/>
      <w:r w:rsidR="00870BE6" w:rsidRPr="00870BE6">
        <w:rPr>
          <w:lang w:val="en-US"/>
        </w:rPr>
        <w:t>were combined</w:t>
      </w:r>
      <w:proofErr w:type="gramEnd"/>
      <w:r w:rsidR="00870BE6" w:rsidRPr="00870BE6">
        <w:rPr>
          <w:lang w:val="en-US"/>
        </w:rPr>
        <w:t xml:space="preserve"> for some analyses to represent the category of ‘major mandated reporter groups combined’.</w:t>
      </w:r>
    </w:p>
    <w:p w14:paraId="41379B5F" w14:textId="5CA19D70" w:rsidR="00F90B81" w:rsidRPr="003B4635" w:rsidRDefault="00870BE6" w:rsidP="00D833F6">
      <w:pPr>
        <w:pStyle w:val="Paragraph"/>
      </w:pPr>
      <w:r>
        <w:t>Note that i</w:t>
      </w:r>
      <w:r w:rsidR="008252EF" w:rsidRPr="003B4635">
        <w:t xml:space="preserve">n Victoria, midwives </w:t>
      </w:r>
      <w:r w:rsidR="00F90B81" w:rsidRPr="003B4635">
        <w:t xml:space="preserve">have been mandated to report child abuse since </w:t>
      </w:r>
      <w:r w:rsidR="00AC4C50" w:rsidRPr="003B4635">
        <w:t>2010;</w:t>
      </w:r>
      <w:r w:rsidR="008252EF" w:rsidRPr="003B4635">
        <w:t xml:space="preserve"> </w:t>
      </w:r>
      <w:proofErr w:type="gramStart"/>
      <w:r w:rsidR="008252EF" w:rsidRPr="003B4635">
        <w:t>however</w:t>
      </w:r>
      <w:proofErr w:type="gramEnd"/>
      <w:r w:rsidR="00F90B81" w:rsidRPr="003B4635">
        <w:t xml:space="preserve"> their reporting practices have not been captured </w:t>
      </w:r>
      <w:r w:rsidR="00F2449C" w:rsidRPr="003B4635">
        <w:t>as</w:t>
      </w:r>
      <w:r w:rsidR="00F90B81" w:rsidRPr="003B4635">
        <w:t xml:space="preserve"> a distinct category and </w:t>
      </w:r>
      <w:r w:rsidR="00F2449C" w:rsidRPr="003B4635">
        <w:t>have not been</w:t>
      </w:r>
      <w:r w:rsidR="00F90B81" w:rsidRPr="003B4635">
        <w:t xml:space="preserve"> included as mandated reporters in th</w:t>
      </w:r>
      <w:r w:rsidR="00F2449C" w:rsidRPr="003B4635">
        <w:t>e</w:t>
      </w:r>
      <w:r w:rsidR="00F90B81" w:rsidRPr="003B4635">
        <w:t xml:space="preserve"> analys</w:t>
      </w:r>
      <w:r w:rsidR="00F2449C" w:rsidRPr="003B4635">
        <w:t>e</w:t>
      </w:r>
      <w:r w:rsidR="00F90B81" w:rsidRPr="003B4635">
        <w:t>s.  The reporting practices of the above five groups have been recorded individually and are combined in th</w:t>
      </w:r>
      <w:r w:rsidR="00F2449C" w:rsidRPr="003B4635">
        <w:t>e</w:t>
      </w:r>
      <w:r w:rsidR="00F90B81" w:rsidRPr="003B4635">
        <w:t xml:space="preserve"> analys</w:t>
      </w:r>
      <w:r w:rsidR="00F2449C" w:rsidRPr="003B4635">
        <w:t>e</w:t>
      </w:r>
      <w:r w:rsidR="00F90B81" w:rsidRPr="003B4635">
        <w:t xml:space="preserve">s to represent the </w:t>
      </w:r>
      <w:r w:rsidR="00F2449C" w:rsidRPr="003B4635">
        <w:t xml:space="preserve">major </w:t>
      </w:r>
      <w:r w:rsidR="00F90B81" w:rsidRPr="003B4635">
        <w:t>mandated reporters for Victoria for the cross-jurisdictional analysis.</w:t>
      </w:r>
    </w:p>
    <w:p w14:paraId="0D507072" w14:textId="7614CFB8" w:rsidR="00863C61" w:rsidRPr="003B4635" w:rsidRDefault="00F2449C" w:rsidP="00D833F6">
      <w:pPr>
        <w:pStyle w:val="Paragraph"/>
      </w:pPr>
      <w:r w:rsidRPr="00F367FF">
        <w:rPr>
          <w:rStyle w:val="Heading6Char"/>
        </w:rPr>
        <w:t>Other reporter groups combined</w:t>
      </w:r>
      <w:r w:rsidR="00863C61" w:rsidRPr="00F367FF">
        <w:rPr>
          <w:rStyle w:val="Heading6Char"/>
        </w:rPr>
        <w:t>:</w:t>
      </w:r>
      <w:r w:rsidR="00863C61" w:rsidRPr="003B4635">
        <w:t xml:space="preserve"> This category comprises </w:t>
      </w:r>
      <w:r w:rsidR="00F90B81" w:rsidRPr="003B4635">
        <w:t xml:space="preserve">all </w:t>
      </w:r>
      <w:r w:rsidR="00863C61" w:rsidRPr="003B4635">
        <w:t>reporting groups other than the</w:t>
      </w:r>
      <w:r w:rsidR="00F90B81" w:rsidRPr="003B4635">
        <w:t xml:space="preserve"> </w:t>
      </w:r>
      <w:r w:rsidR="00863C61" w:rsidRPr="003B4635">
        <w:t xml:space="preserve">groups identified above. </w:t>
      </w:r>
    </w:p>
    <w:p w14:paraId="61F66C3A" w14:textId="2D47EBD9" w:rsidR="00863C61" w:rsidRPr="003B4635" w:rsidRDefault="00863C61" w:rsidP="00D833F6">
      <w:pPr>
        <w:pStyle w:val="Paragraph"/>
      </w:pPr>
      <w:proofErr w:type="gramStart"/>
      <w:r w:rsidRPr="00F367FF">
        <w:rPr>
          <w:rStyle w:val="Heading6Char"/>
        </w:rPr>
        <w:t>Not investigated</w:t>
      </w:r>
      <w:r w:rsidRPr="003B4635">
        <w:t xml:space="preserve">: </w:t>
      </w:r>
      <w:r w:rsidR="008252EF" w:rsidRPr="003B4635">
        <w:t xml:space="preserve">No </w:t>
      </w:r>
      <w:r w:rsidR="00870BE6">
        <w:t xml:space="preserve">specific </w:t>
      </w:r>
      <w:r w:rsidR="008252EF" w:rsidRPr="003B4635">
        <w:t>definition provided.</w:t>
      </w:r>
      <w:proofErr w:type="gramEnd"/>
      <w:r w:rsidR="008252EF" w:rsidRPr="003B4635">
        <w:t xml:space="preserve">  </w:t>
      </w:r>
      <w:proofErr w:type="gramStart"/>
      <w:r w:rsidR="008252EF" w:rsidRPr="003B4635">
        <w:t>Taken to be</w:t>
      </w:r>
      <w:r w:rsidR="00F90B81" w:rsidRPr="003B4635">
        <w:t xml:space="preserve"> a</w:t>
      </w:r>
      <w:r w:rsidRPr="003B4635">
        <w:t xml:space="preserve">ll reports not investigated by the Department of </w:t>
      </w:r>
      <w:r w:rsidR="00F90B81" w:rsidRPr="003B4635">
        <w:t>Human Services, Victoria.</w:t>
      </w:r>
      <w:proofErr w:type="gramEnd"/>
    </w:p>
    <w:p w14:paraId="45A2CA5B" w14:textId="207B5396" w:rsidR="008252EF" w:rsidRPr="003B4635" w:rsidRDefault="00863C61" w:rsidP="00D833F6">
      <w:pPr>
        <w:pStyle w:val="Paragraph"/>
      </w:pPr>
      <w:proofErr w:type="gramStart"/>
      <w:r w:rsidRPr="00F367FF">
        <w:rPr>
          <w:rStyle w:val="Heading6Char"/>
        </w:rPr>
        <w:t>Investigated</w:t>
      </w:r>
      <w:r w:rsidRPr="003B4635">
        <w:t xml:space="preserve">: </w:t>
      </w:r>
      <w:r w:rsidR="008252EF" w:rsidRPr="003B4635">
        <w:t xml:space="preserve">No </w:t>
      </w:r>
      <w:r w:rsidR="00870BE6">
        <w:t xml:space="preserve">specific </w:t>
      </w:r>
      <w:r w:rsidR="008252EF" w:rsidRPr="003B4635">
        <w:t>definition provided.</w:t>
      </w:r>
      <w:proofErr w:type="gramEnd"/>
      <w:r w:rsidR="008252EF" w:rsidRPr="003B4635">
        <w:t xml:space="preserve">  </w:t>
      </w:r>
      <w:proofErr w:type="gramStart"/>
      <w:r w:rsidR="008252EF" w:rsidRPr="003B4635">
        <w:t>Taken to be all reports investigated by the Department of Human Services, Victoria.</w:t>
      </w:r>
      <w:proofErr w:type="gramEnd"/>
    </w:p>
    <w:p w14:paraId="74FAC5C8" w14:textId="59FF4A49" w:rsidR="00F90B81" w:rsidRDefault="00863C61" w:rsidP="00D833F6">
      <w:pPr>
        <w:pStyle w:val="Paragraph"/>
      </w:pPr>
      <w:r w:rsidRPr="00F367FF">
        <w:rPr>
          <w:rStyle w:val="Heading6Char"/>
        </w:rPr>
        <w:t>Substantiated:</w:t>
      </w:r>
      <w:r w:rsidRPr="003B4635">
        <w:t xml:space="preserve"> </w:t>
      </w:r>
      <w:r w:rsidR="008252EF" w:rsidRPr="003B4635">
        <w:t xml:space="preserve">No </w:t>
      </w:r>
      <w:r w:rsidR="00870BE6">
        <w:t xml:space="preserve">specific </w:t>
      </w:r>
      <w:r w:rsidR="008252EF" w:rsidRPr="003B4635">
        <w:t xml:space="preserve">definition provided.  </w:t>
      </w:r>
      <w:r w:rsidR="00FE38D0" w:rsidRPr="00FE38D0">
        <w:rPr>
          <w:lang w:val="en-US"/>
        </w:rPr>
        <w:t xml:space="preserve">Taken to be all notifications investigated by the Department and found to have sufficient evidence that a child </w:t>
      </w:r>
      <w:proofErr w:type="gramStart"/>
      <w:r w:rsidR="00FE38D0" w:rsidRPr="00FE38D0">
        <w:rPr>
          <w:lang w:val="en-US"/>
        </w:rPr>
        <w:t>had been abused</w:t>
      </w:r>
      <w:proofErr w:type="gramEnd"/>
      <w:r w:rsidR="00FE38D0" w:rsidRPr="00FE38D0">
        <w:rPr>
          <w:lang w:val="en-US"/>
        </w:rPr>
        <w:t>, or was at risk of being abused, and represented by data coded as ‘substantiated’</w:t>
      </w:r>
      <w:r w:rsidR="008252EF" w:rsidRPr="003B4635">
        <w:t>.</w:t>
      </w:r>
      <w:r w:rsidR="00343B39">
        <w:t xml:space="preserve"> </w:t>
      </w:r>
      <w:proofErr w:type="gramStart"/>
      <w:r w:rsidRPr="00F367FF">
        <w:rPr>
          <w:rStyle w:val="Heading6Char"/>
        </w:rPr>
        <w:t>Not substantiated</w:t>
      </w:r>
      <w:r w:rsidRPr="003B4635">
        <w:t xml:space="preserve">: </w:t>
      </w:r>
      <w:r w:rsidR="008252EF" w:rsidRPr="003B4635">
        <w:t xml:space="preserve">No </w:t>
      </w:r>
      <w:r w:rsidR="00870BE6">
        <w:t xml:space="preserve">specific </w:t>
      </w:r>
      <w:r w:rsidR="008252EF" w:rsidRPr="003B4635">
        <w:t>definition provided.</w:t>
      </w:r>
      <w:proofErr w:type="gramEnd"/>
      <w:r w:rsidR="008252EF" w:rsidRPr="003B4635">
        <w:t xml:space="preserve">  </w:t>
      </w:r>
      <w:r w:rsidR="00FE38D0" w:rsidRPr="00FE38D0">
        <w:rPr>
          <w:lang w:val="en-US"/>
        </w:rPr>
        <w:t xml:space="preserve">Taken to be all notifications investigated by the Department and </w:t>
      </w:r>
      <w:r w:rsidR="00FE38D0">
        <w:rPr>
          <w:lang w:val="en-US"/>
        </w:rPr>
        <w:t xml:space="preserve">not </w:t>
      </w:r>
      <w:r w:rsidR="00FE38D0" w:rsidRPr="00FE38D0">
        <w:rPr>
          <w:lang w:val="en-US"/>
        </w:rPr>
        <w:t xml:space="preserve">found to have sufficient evidence that a child </w:t>
      </w:r>
      <w:proofErr w:type="gramStart"/>
      <w:r w:rsidR="00FE38D0" w:rsidRPr="00FE38D0">
        <w:rPr>
          <w:lang w:val="en-US"/>
        </w:rPr>
        <w:t>had been abused</w:t>
      </w:r>
      <w:proofErr w:type="gramEnd"/>
      <w:r w:rsidR="00FE38D0" w:rsidRPr="00FE38D0">
        <w:rPr>
          <w:lang w:val="en-US"/>
        </w:rPr>
        <w:t>, or was at risk of being abused, and represented by data coded as ‘investigated – substantiated’</w:t>
      </w:r>
      <w:r w:rsidR="008252EF" w:rsidRPr="003B4635">
        <w:t>.</w:t>
      </w:r>
    </w:p>
    <w:p w14:paraId="53828F7A" w14:textId="4BE610D0" w:rsidR="00F90B81" w:rsidRPr="003B4635" w:rsidRDefault="00863C61" w:rsidP="00D833F6">
      <w:pPr>
        <w:pStyle w:val="Paragraph"/>
      </w:pPr>
      <w:r w:rsidRPr="00F367FF">
        <w:rPr>
          <w:rStyle w:val="Heading6Char"/>
        </w:rPr>
        <w:t>Emotional abuse:</w:t>
      </w:r>
      <w:r w:rsidRPr="003B4635">
        <w:t xml:space="preserve"> </w:t>
      </w:r>
      <w:r w:rsidR="008252EF" w:rsidRPr="003B4635">
        <w:t xml:space="preserve">No </w:t>
      </w:r>
      <w:r w:rsidR="00FE38D0">
        <w:t xml:space="preserve">specific </w:t>
      </w:r>
      <w:r w:rsidR="008252EF" w:rsidRPr="003B4635">
        <w:t xml:space="preserve">definition provided. </w:t>
      </w:r>
      <w:r w:rsidR="00FE38D0" w:rsidRPr="00FE38D0">
        <w:rPr>
          <w:lang w:val="en-US"/>
        </w:rPr>
        <w:t xml:space="preserve">Normally refers to acts by caregivers causing the child to suffer significant emotional deprivation or trauma (see </w:t>
      </w:r>
      <w:proofErr w:type="spellStart"/>
      <w:r w:rsidR="00FE38D0" w:rsidRPr="00FE38D0">
        <w:rPr>
          <w:lang w:val="en-US"/>
        </w:rPr>
        <w:t>eg</w:t>
      </w:r>
      <w:proofErr w:type="spellEnd"/>
      <w:r w:rsidR="00FE38D0" w:rsidRPr="00FE38D0">
        <w:rPr>
          <w:lang w:val="en-US"/>
        </w:rPr>
        <w:t xml:space="preserve"> the definitions in the Australian Institute of Health and Welfare’s </w:t>
      </w:r>
      <w:r w:rsidR="00FE38D0" w:rsidRPr="00FE38D0">
        <w:rPr>
          <w:i/>
          <w:lang w:val="en-US"/>
        </w:rPr>
        <w:t>Child protection Australia</w:t>
      </w:r>
      <w:r w:rsidR="00FE38D0" w:rsidRPr="00FE38D0">
        <w:rPr>
          <w:lang w:val="en-US"/>
        </w:rPr>
        <w:t xml:space="preserve"> annual report).</w:t>
      </w:r>
      <w:r w:rsidR="00551537">
        <w:rPr>
          <w:lang w:val="en-US"/>
        </w:rPr>
        <w:t xml:space="preserve"> </w:t>
      </w:r>
      <w:r w:rsidR="006B34DF" w:rsidRPr="006B34DF">
        <w:t>In Victoria, f</w:t>
      </w:r>
      <w:r w:rsidR="00551537" w:rsidRPr="006B34DF">
        <w:t>amily</w:t>
      </w:r>
      <w:r w:rsidR="00D833F6">
        <w:t xml:space="preserve"> violence </w:t>
      </w:r>
      <w:r w:rsidR="00551537" w:rsidRPr="00551537">
        <w:lastRenderedPageBreak/>
        <w:t>notifications</w:t>
      </w:r>
      <w:r w:rsidR="00551537" w:rsidRPr="003B4635">
        <w:t xml:space="preserve"> </w:t>
      </w:r>
      <w:proofErr w:type="gramStart"/>
      <w:r w:rsidR="00551537" w:rsidRPr="003B4635">
        <w:t xml:space="preserve">are </w:t>
      </w:r>
      <w:r w:rsidR="00551537">
        <w:t>typically recorded</w:t>
      </w:r>
      <w:proofErr w:type="gramEnd"/>
      <w:r w:rsidR="00551537">
        <w:t xml:space="preserve"> as emotional abuse, but are </w:t>
      </w:r>
      <w:r w:rsidR="00551537" w:rsidRPr="003B4635">
        <w:t xml:space="preserve">recorded </w:t>
      </w:r>
      <w:r w:rsidR="00551537">
        <w:t>under the maltreatment</w:t>
      </w:r>
      <w:r w:rsidR="00551537" w:rsidRPr="003B4635">
        <w:t xml:space="preserve"> categor</w:t>
      </w:r>
      <w:r w:rsidR="00551537">
        <w:t xml:space="preserve">y most applicable to the </w:t>
      </w:r>
      <w:r w:rsidR="00551537" w:rsidRPr="003B4635">
        <w:t xml:space="preserve">harm </w:t>
      </w:r>
      <w:r w:rsidR="00551537">
        <w:t>involved in the relevant</w:t>
      </w:r>
      <w:r w:rsidR="00551537" w:rsidRPr="003B4635">
        <w:t xml:space="preserve"> </w:t>
      </w:r>
      <w:r w:rsidR="00551537">
        <w:t>circumstances.</w:t>
      </w:r>
    </w:p>
    <w:p w14:paraId="52C7250B" w14:textId="481D44B6" w:rsidR="00F90B81" w:rsidRPr="003B4635" w:rsidRDefault="00863C61" w:rsidP="00D833F6">
      <w:pPr>
        <w:pStyle w:val="Paragraph"/>
      </w:pPr>
      <w:r w:rsidRPr="00F367FF">
        <w:rPr>
          <w:rStyle w:val="Heading6Char"/>
        </w:rPr>
        <w:t>Neglect:</w:t>
      </w:r>
      <w:r w:rsidRPr="003B4635">
        <w:t xml:space="preserve"> </w:t>
      </w:r>
      <w:r w:rsidR="008252EF" w:rsidRPr="003B4635">
        <w:t xml:space="preserve">No </w:t>
      </w:r>
      <w:r w:rsidR="00FE38D0">
        <w:t xml:space="preserve">specific </w:t>
      </w:r>
      <w:r w:rsidR="008252EF" w:rsidRPr="003B4635">
        <w:t xml:space="preserve">definition provided. </w:t>
      </w:r>
      <w:r w:rsidR="00FE38D0" w:rsidRPr="00FE38D0">
        <w:rPr>
          <w:lang w:val="en-US"/>
        </w:rPr>
        <w:t>Normally refers to caregivers failing to provide minimum conditions necessary for the child’s health and physical and emotional development, involving the necessary level of harm</w:t>
      </w:r>
      <w:r w:rsidR="00FE38D0">
        <w:rPr>
          <w:lang w:val="en-US"/>
        </w:rPr>
        <w:t>.</w:t>
      </w:r>
    </w:p>
    <w:p w14:paraId="3CE4FC26" w14:textId="701A9D9B" w:rsidR="00F90B81" w:rsidRPr="003B4635" w:rsidRDefault="00863C61" w:rsidP="00D833F6">
      <w:pPr>
        <w:pStyle w:val="Paragraph"/>
      </w:pPr>
      <w:r w:rsidRPr="00F367FF">
        <w:rPr>
          <w:rStyle w:val="Heading6Char"/>
        </w:rPr>
        <w:t>Physical abuse</w:t>
      </w:r>
      <w:r w:rsidRPr="003B4635">
        <w:t>:</w:t>
      </w:r>
      <w:r w:rsidR="00F90B81" w:rsidRPr="003B4635">
        <w:t xml:space="preserve"> </w:t>
      </w:r>
      <w:r w:rsidR="008252EF" w:rsidRPr="003B4635">
        <w:t xml:space="preserve">No </w:t>
      </w:r>
      <w:r w:rsidR="00FE38D0">
        <w:t xml:space="preserve">specific </w:t>
      </w:r>
      <w:r w:rsidR="008252EF" w:rsidRPr="003B4635">
        <w:t xml:space="preserve">definition provided. </w:t>
      </w:r>
      <w:r w:rsidR="00FE38D0" w:rsidRPr="00FE38D0">
        <w:rPr>
          <w:lang w:val="en-US"/>
        </w:rPr>
        <w:t>Normally refers to caregivers inflicting intentional physical harm on the child involving the necessary level of harm, beyond lawful corporal punishment</w:t>
      </w:r>
      <w:r w:rsidR="00FE38D0">
        <w:rPr>
          <w:lang w:val="en-US"/>
        </w:rPr>
        <w:t>.</w:t>
      </w:r>
    </w:p>
    <w:p w14:paraId="1B00C228" w14:textId="4F724114" w:rsidR="00D833F6" w:rsidRDefault="00863C61" w:rsidP="00D833F6">
      <w:pPr>
        <w:pStyle w:val="Paragraph"/>
        <w:sectPr w:rsidR="00D833F6" w:rsidSect="00D833F6">
          <w:pgSz w:w="11906" w:h="16838" w:code="9"/>
          <w:pgMar w:top="1138" w:right="1138" w:bottom="850" w:left="1411" w:header="706" w:footer="706" w:gutter="0"/>
          <w:cols w:space="708"/>
          <w:docGrid w:linePitch="360"/>
        </w:sectPr>
      </w:pPr>
      <w:r w:rsidRPr="00F367FF">
        <w:rPr>
          <w:rStyle w:val="Heading6Char"/>
        </w:rPr>
        <w:t>Sexual abuse:</w:t>
      </w:r>
      <w:r w:rsidRPr="003B4635">
        <w:t xml:space="preserve"> </w:t>
      </w:r>
      <w:r w:rsidR="008252EF" w:rsidRPr="003B4635">
        <w:t xml:space="preserve">No </w:t>
      </w:r>
      <w:r w:rsidR="00FE38D0">
        <w:t>specific definition provided</w:t>
      </w:r>
      <w:r w:rsidR="00241358" w:rsidRPr="003B4635">
        <w:t>.</w:t>
      </w:r>
      <w:r w:rsidR="00FE38D0">
        <w:t xml:space="preserve"> </w:t>
      </w:r>
      <w:r w:rsidR="00FE38D0" w:rsidRPr="00FE38D0">
        <w:rPr>
          <w:lang w:val="en-US"/>
        </w:rPr>
        <w:t>Normally refers to the involvement of a child who cannot give true consent in sexual activity with an adult or a more powerful person, for the other person's sexual gratification or gain</w:t>
      </w:r>
      <w:r w:rsidR="00D833F6">
        <w:rPr>
          <w:lang w:val="en-US"/>
        </w:rPr>
        <w:t>.</w:t>
      </w:r>
    </w:p>
    <w:p w14:paraId="19F189FF" w14:textId="630EEEA3" w:rsidR="00EE4C47" w:rsidRDefault="00D3590E" w:rsidP="00B15586">
      <w:pPr>
        <w:pStyle w:val="Heading4"/>
      </w:pPr>
      <w:bookmarkStart w:id="48" w:name="_Toc435716761"/>
      <w:r>
        <w:lastRenderedPageBreak/>
        <w:t>K</w:t>
      </w:r>
      <w:r w:rsidR="00D24445">
        <w:t>ey</w:t>
      </w:r>
      <w:r w:rsidR="00EE4C47" w:rsidRPr="00D24445">
        <w:t xml:space="preserve"> data </w:t>
      </w:r>
      <w:r w:rsidR="00D24445" w:rsidRPr="00D24445">
        <w:t xml:space="preserve">findings </w:t>
      </w:r>
      <w:r w:rsidR="00EE4C47" w:rsidRPr="00D24445">
        <w:t xml:space="preserve">and </w:t>
      </w:r>
      <w:r w:rsidR="00D24445" w:rsidRPr="00D24445">
        <w:t>interpretations</w:t>
      </w:r>
      <w:r>
        <w:t>: Victoria</w:t>
      </w:r>
      <w:bookmarkEnd w:id="48"/>
    </w:p>
    <w:p w14:paraId="67221F66" w14:textId="77777777" w:rsidR="00EF1EB9" w:rsidRPr="006B7AB3" w:rsidRDefault="00EF1EB9" w:rsidP="00EF1EB9">
      <w:pPr>
        <w:pStyle w:val="Heading5"/>
      </w:pPr>
      <w:r w:rsidRPr="006B7AB3">
        <w:t>Key legislative changes and hypotheses</w:t>
      </w:r>
    </w:p>
    <w:p w14:paraId="231B825E" w14:textId="77777777" w:rsidR="00EF1EB9" w:rsidRDefault="00EF1EB9" w:rsidP="0053134B"/>
    <w:p w14:paraId="716522B7" w14:textId="1E2CE7A1" w:rsidR="00EF1EB9" w:rsidRDefault="00EF1EB9" w:rsidP="00EF1EB9">
      <w:pPr>
        <w:jc w:val="both"/>
      </w:pPr>
      <w:r w:rsidRPr="00E747EE">
        <w:rPr>
          <w:b/>
        </w:rPr>
        <w:t>At 1 January 2003:</w:t>
      </w:r>
      <w:r>
        <w:t xml:space="preserve"> Duty imposed on police, teachers, doctors, nurses; applies to physical and sexual abuse where also lack of a protective parent – HYPOTHESISE lower numbers of reports of N, </w:t>
      </w:r>
      <w:r w:rsidRPr="00E747EE">
        <w:rPr>
          <w:b/>
        </w:rPr>
        <w:t>EA</w:t>
      </w:r>
      <w:r>
        <w:t xml:space="preserve"> than other jurisdictions.</w:t>
      </w:r>
      <w:r>
        <w:tab/>
      </w:r>
    </w:p>
    <w:p w14:paraId="4D9431BE" w14:textId="469E1E28" w:rsidR="00EF1EB9" w:rsidRPr="001F26E5" w:rsidRDefault="00EF1EB9" w:rsidP="00EF1EB9">
      <w:pPr>
        <w:jc w:val="both"/>
      </w:pPr>
      <w:r w:rsidRPr="00E747EE">
        <w:rPr>
          <w:b/>
        </w:rPr>
        <w:t>23 April 2007:</w:t>
      </w:r>
      <w:r>
        <w:t xml:space="preserve"> CYFA 2005 s 31 enables significant concerns for a child’s wellbeing to </w:t>
      </w:r>
      <w:proofErr w:type="gramStart"/>
      <w:r>
        <w:t>be made</w:t>
      </w:r>
      <w:proofErr w:type="gramEnd"/>
      <w:r>
        <w:t xml:space="preserve"> to a community-based child and family service (</w:t>
      </w:r>
      <w:proofErr w:type="spellStart"/>
      <w:r>
        <w:t>ChildFIRST</w:t>
      </w:r>
      <w:proofErr w:type="spellEnd"/>
      <w:r>
        <w:t xml:space="preserve"> </w:t>
      </w:r>
      <w:proofErr w:type="spellStart"/>
      <w:r>
        <w:t>ie</w:t>
      </w:r>
      <w:proofErr w:type="spellEnd"/>
      <w:r>
        <w:t xml:space="preserve"> Child and Family Information, Referral and Support Teams) </w:t>
      </w:r>
      <w:proofErr w:type="spellStart"/>
      <w:r>
        <w:t>ie</w:t>
      </w:r>
      <w:proofErr w:type="spellEnd"/>
      <w:r>
        <w:t xml:space="preserve"> differential response (DR) – HYPOTHESISE Substantial </w:t>
      </w:r>
      <w:r w:rsidRPr="00E747EE">
        <w:rPr>
          <w:b/>
        </w:rPr>
        <w:t>decrease</w:t>
      </w:r>
      <w:r>
        <w:t xml:space="preserve"> in reports to Dept especially of </w:t>
      </w:r>
      <w:r w:rsidRPr="00E747EE">
        <w:rPr>
          <w:b/>
        </w:rPr>
        <w:t>EA, neglect</w:t>
      </w:r>
    </w:p>
    <w:p w14:paraId="7E5C9680" w14:textId="2E9C8B70" w:rsidR="00EF1EB9" w:rsidRPr="00A27DD4" w:rsidRDefault="00EF1EB9" w:rsidP="00EF1EB9">
      <w:pPr>
        <w:jc w:val="both"/>
        <w:rPr>
          <w:i/>
        </w:rPr>
      </w:pPr>
      <w:r w:rsidRPr="00453D55">
        <w:rPr>
          <w:i/>
        </w:rPr>
        <w:t>NB also</w:t>
      </w:r>
      <w:r>
        <w:rPr>
          <w:i/>
        </w:rPr>
        <w:t xml:space="preserve"> major known contextual factors: </w:t>
      </w:r>
      <w:r w:rsidRPr="00453D55">
        <w:rPr>
          <w:i/>
        </w:rPr>
        <w:t xml:space="preserve"> </w:t>
      </w:r>
      <w:r>
        <w:rPr>
          <w:i/>
        </w:rPr>
        <w:t xml:space="preserve">stable policy and practice context in Victoria until 2007, embedded over significant prior period; caller-defined protocol (CDP) although more rigorous than in other jurisdictions; </w:t>
      </w:r>
      <w:r w:rsidRPr="00453D55">
        <w:rPr>
          <w:i/>
        </w:rPr>
        <w:t>Ombudsman’s Report 2009</w:t>
      </w:r>
      <w:r>
        <w:rPr>
          <w:i/>
        </w:rPr>
        <w:t xml:space="preserve"> (OR)</w:t>
      </w:r>
      <w:r w:rsidRPr="00453D55">
        <w:rPr>
          <w:i/>
        </w:rPr>
        <w:t xml:space="preserve">; more staff; </w:t>
      </w:r>
      <w:r>
        <w:rPr>
          <w:i/>
        </w:rPr>
        <w:t xml:space="preserve">change of </w:t>
      </w:r>
      <w:proofErr w:type="spellStart"/>
      <w:r>
        <w:rPr>
          <w:i/>
        </w:rPr>
        <w:t>govt</w:t>
      </w:r>
      <w:proofErr w:type="spellEnd"/>
      <w:r>
        <w:rPr>
          <w:i/>
        </w:rPr>
        <w:t>; police standard operating procedure (SOP) re EDV.</w:t>
      </w:r>
    </w:p>
    <w:p w14:paraId="4106BA57" w14:textId="56EAB7A5" w:rsidR="00EF1EB9" w:rsidRDefault="00EF1EB9" w:rsidP="00EF1EB9">
      <w:pPr>
        <w:jc w:val="both"/>
      </w:pPr>
      <w:r w:rsidRPr="00C71CFC">
        <w:rPr>
          <w:b/>
        </w:rPr>
        <w:t>Note on the 2007 data</w:t>
      </w:r>
      <w:r w:rsidRPr="00C71CFC">
        <w:t>:</w:t>
      </w:r>
      <w:r>
        <w:t xml:space="preserve"> in some instances, for example in exploring trends in reports of emotional abuse, we used the 2007 data as a base from which to measure trends through 2012, partly because April 2007 was the date of the key legislative and systemic change in Victoria. During the feedback process, Departmental representatives commented that 2007 is an uncharacteristic year to use as the base for such purposes as numbers of reports of emotional abuse were lower in 2007 than both prior and subsequent years, due to the transition between CASIS and CRIS recording systems during the 2006-08 period. To an extent, we accept this comment as it is true that the 2007 report figures (at least for emotional abuse) are lower than both prior and subsequent years, and some caution may need to be used in drawing conclusions about the precise extent of the trend post-2007 in emotional abuse reports. </w:t>
      </w:r>
      <w:proofErr w:type="gramStart"/>
      <w:r>
        <w:t>However, for the purposes of this report, we have left unaltered our original discussion on this point as: (1) the data recorded for 2007 nevertheless reflects the numbers actually recorded; (2) even if the ‘true’ 2007 figures for reports of emotional abuse were on a linear path between 2006 and 2008, the trend from 2007-12 in reporting of emotional abuse would still be very strong, albeit not quite as strong as that identified in our analysis.</w:t>
      </w:r>
      <w:proofErr w:type="gramEnd"/>
    </w:p>
    <w:p w14:paraId="05941D18" w14:textId="77777777" w:rsidR="00EF1EB9" w:rsidRDefault="00EF1EB9">
      <w:pPr>
        <w:spacing w:after="200" w:line="276" w:lineRule="auto"/>
      </w:pPr>
      <w:r>
        <w:br w:type="page"/>
      </w:r>
    </w:p>
    <w:p w14:paraId="2A7D1A43" w14:textId="77777777" w:rsidR="0053134B" w:rsidRPr="0053134B" w:rsidRDefault="0053134B" w:rsidP="0053134B"/>
    <w:tbl>
      <w:tblPr>
        <w:tblStyle w:val="TableGrid"/>
        <w:tblW w:w="0" w:type="auto"/>
        <w:tblLook w:val="04A0" w:firstRow="1" w:lastRow="0" w:firstColumn="1" w:lastColumn="0" w:noHBand="0" w:noVBand="1"/>
        <w:tblCaption w:val="GLOBAL TRENDS 2003-2012"/>
      </w:tblPr>
      <w:tblGrid>
        <w:gridCol w:w="1316"/>
        <w:gridCol w:w="2610"/>
        <w:gridCol w:w="3127"/>
        <w:gridCol w:w="2495"/>
      </w:tblGrid>
      <w:tr w:rsidR="00D24445" w:rsidRPr="00E747EE" w14:paraId="16BA3DF6" w14:textId="77777777" w:rsidTr="005410C7">
        <w:trPr>
          <w:tblHeader/>
        </w:trPr>
        <w:tc>
          <w:tcPr>
            <w:tcW w:w="9548" w:type="dxa"/>
            <w:gridSpan w:val="4"/>
            <w:shd w:val="clear" w:color="auto" w:fill="D9D9D9" w:themeFill="background1" w:themeFillShade="D9"/>
          </w:tcPr>
          <w:p w14:paraId="1D245AC0" w14:textId="77777777" w:rsidR="00D24445" w:rsidRPr="006B7AB3" w:rsidRDefault="00D24445" w:rsidP="00CE2FDF">
            <w:pPr>
              <w:spacing w:before="0" w:line="276" w:lineRule="auto"/>
              <w:rPr>
                <w:b/>
              </w:rPr>
            </w:pPr>
            <w:r w:rsidRPr="006B7AB3">
              <w:rPr>
                <w:b/>
                <w:sz w:val="28"/>
              </w:rPr>
              <w:t>GLOBAL TRENDS 2003-2012</w:t>
            </w:r>
          </w:p>
        </w:tc>
      </w:tr>
      <w:tr w:rsidR="00E747EE" w:rsidRPr="00E747EE" w14:paraId="7230609B" w14:textId="77777777" w:rsidTr="005410C7">
        <w:trPr>
          <w:tblHeader/>
        </w:trPr>
        <w:tc>
          <w:tcPr>
            <w:tcW w:w="1316" w:type="dxa"/>
            <w:shd w:val="clear" w:color="auto" w:fill="BFBFBF" w:themeFill="background1" w:themeFillShade="BF"/>
          </w:tcPr>
          <w:p w14:paraId="01E7C16A" w14:textId="77777777" w:rsidR="00E747EE" w:rsidRPr="006B7AB3" w:rsidRDefault="00E747EE" w:rsidP="00CE2FDF">
            <w:pPr>
              <w:spacing w:before="0" w:line="276" w:lineRule="auto"/>
              <w:rPr>
                <w:b/>
              </w:rPr>
            </w:pPr>
            <w:r w:rsidRPr="006B7AB3">
              <w:rPr>
                <w:b/>
              </w:rPr>
              <w:t>Table</w:t>
            </w:r>
          </w:p>
        </w:tc>
        <w:tc>
          <w:tcPr>
            <w:tcW w:w="2610" w:type="dxa"/>
            <w:shd w:val="clear" w:color="auto" w:fill="BFBFBF" w:themeFill="background1" w:themeFillShade="BF"/>
          </w:tcPr>
          <w:p w14:paraId="32F3B814" w14:textId="77777777" w:rsidR="00E747EE" w:rsidRPr="00E747EE" w:rsidRDefault="00E747EE" w:rsidP="00CE2FDF">
            <w:pPr>
              <w:spacing w:before="0" w:line="276" w:lineRule="auto"/>
              <w:rPr>
                <w:b/>
              </w:rPr>
            </w:pPr>
            <w:r w:rsidRPr="00E747EE">
              <w:rPr>
                <w:b/>
              </w:rPr>
              <w:t>Subject</w:t>
            </w:r>
          </w:p>
        </w:tc>
        <w:tc>
          <w:tcPr>
            <w:tcW w:w="3127" w:type="dxa"/>
            <w:shd w:val="clear" w:color="auto" w:fill="BFBFBF" w:themeFill="background1" w:themeFillShade="BF"/>
          </w:tcPr>
          <w:p w14:paraId="4AE9B66D" w14:textId="77777777" w:rsidR="00E747EE" w:rsidRPr="00E747EE" w:rsidRDefault="00E747EE" w:rsidP="00CE2FDF">
            <w:pPr>
              <w:spacing w:before="0" w:line="276" w:lineRule="auto"/>
              <w:rPr>
                <w:b/>
              </w:rPr>
            </w:pPr>
            <w:r w:rsidRPr="00E747EE">
              <w:rPr>
                <w:b/>
              </w:rPr>
              <w:t>Key findings</w:t>
            </w:r>
          </w:p>
        </w:tc>
        <w:tc>
          <w:tcPr>
            <w:tcW w:w="2495" w:type="dxa"/>
            <w:shd w:val="clear" w:color="auto" w:fill="BFBFBF" w:themeFill="background1" w:themeFillShade="BF"/>
          </w:tcPr>
          <w:p w14:paraId="0308584E" w14:textId="77777777" w:rsidR="00E747EE" w:rsidRPr="00E747EE" w:rsidRDefault="00E747EE" w:rsidP="00CE2FDF">
            <w:pPr>
              <w:spacing w:before="0" w:line="276" w:lineRule="auto"/>
              <w:rPr>
                <w:b/>
              </w:rPr>
            </w:pPr>
            <w:r w:rsidRPr="00E747EE">
              <w:rPr>
                <w:b/>
              </w:rPr>
              <w:t>Interpretation</w:t>
            </w:r>
          </w:p>
        </w:tc>
      </w:tr>
      <w:tr w:rsidR="00D24445" w:rsidRPr="00BE7DE5" w14:paraId="26402912" w14:textId="77777777" w:rsidTr="00E747EE">
        <w:tc>
          <w:tcPr>
            <w:tcW w:w="1316" w:type="dxa"/>
          </w:tcPr>
          <w:p w14:paraId="44F703F6" w14:textId="77777777" w:rsidR="00D24445" w:rsidRPr="006B7AB3" w:rsidRDefault="00D24445" w:rsidP="00CE2FDF">
            <w:pPr>
              <w:spacing w:before="0" w:line="276" w:lineRule="auto"/>
              <w:rPr>
                <w:b/>
                <w:sz w:val="20"/>
              </w:rPr>
            </w:pPr>
            <w:r w:rsidRPr="006B7AB3">
              <w:rPr>
                <w:b/>
                <w:sz w:val="20"/>
              </w:rPr>
              <w:t>1.2</w:t>
            </w:r>
          </w:p>
        </w:tc>
        <w:tc>
          <w:tcPr>
            <w:tcW w:w="2610" w:type="dxa"/>
          </w:tcPr>
          <w:p w14:paraId="535FC344" w14:textId="77777777" w:rsidR="00D24445" w:rsidRPr="00BE7DE5" w:rsidRDefault="00D24445" w:rsidP="00CE2FDF">
            <w:pPr>
              <w:spacing w:before="0" w:line="276" w:lineRule="auto"/>
              <w:rPr>
                <w:sz w:val="20"/>
              </w:rPr>
            </w:pPr>
            <w:r w:rsidRPr="00BE7DE5">
              <w:rPr>
                <w:sz w:val="20"/>
              </w:rPr>
              <w:t>Number of reports by year, by abuse type, with percentage change</w:t>
            </w:r>
            <w:r w:rsidR="006B7AB3">
              <w:rPr>
                <w:sz w:val="20"/>
              </w:rPr>
              <w:t xml:space="preserve"> (all reporter groups combined).</w:t>
            </w:r>
          </w:p>
        </w:tc>
        <w:tc>
          <w:tcPr>
            <w:tcW w:w="3127" w:type="dxa"/>
          </w:tcPr>
          <w:p w14:paraId="05AD3174" w14:textId="674E74E8" w:rsidR="00D24445" w:rsidRDefault="00D24445" w:rsidP="00CE2FDF">
            <w:pPr>
              <w:spacing w:before="0" w:line="276" w:lineRule="auto"/>
              <w:rPr>
                <w:sz w:val="20"/>
              </w:rPr>
            </w:pPr>
            <w:r w:rsidRPr="000A44CF">
              <w:rPr>
                <w:sz w:val="20"/>
              </w:rPr>
              <w:t xml:space="preserve">Report numbers </w:t>
            </w:r>
            <w:r>
              <w:rPr>
                <w:sz w:val="20"/>
              </w:rPr>
              <w:t xml:space="preserve">are </w:t>
            </w:r>
            <w:r w:rsidRPr="000A44CF">
              <w:rPr>
                <w:sz w:val="20"/>
              </w:rPr>
              <w:t>very stable until 2007</w:t>
            </w:r>
            <w:r>
              <w:rPr>
                <w:sz w:val="20"/>
              </w:rPr>
              <w:t>,</w:t>
            </w:r>
            <w:r w:rsidRPr="000A44CF">
              <w:rPr>
                <w:sz w:val="20"/>
              </w:rPr>
              <w:t xml:space="preserve"> with </w:t>
            </w:r>
            <w:r>
              <w:rPr>
                <w:sz w:val="20"/>
              </w:rPr>
              <w:t>some</w:t>
            </w:r>
            <w:r w:rsidR="006B7AB3">
              <w:rPr>
                <w:sz w:val="20"/>
              </w:rPr>
              <w:t xml:space="preserve"> increases 2007 to 2009.</w:t>
            </w:r>
          </w:p>
          <w:p w14:paraId="4EE82718" w14:textId="47E7CA4A" w:rsidR="00D24445" w:rsidRDefault="00D24445" w:rsidP="00CE2FDF">
            <w:pPr>
              <w:spacing w:before="0" w:line="276" w:lineRule="auto"/>
              <w:rPr>
                <w:sz w:val="20"/>
              </w:rPr>
            </w:pPr>
            <w:r w:rsidRPr="000A44CF">
              <w:rPr>
                <w:sz w:val="20"/>
              </w:rPr>
              <w:t>Large increases from 2009 onwards, in a sustained pattern through 2012</w:t>
            </w:r>
            <w:r w:rsidR="006B7AB3">
              <w:rPr>
                <w:sz w:val="20"/>
              </w:rPr>
              <w:t>.</w:t>
            </w:r>
          </w:p>
          <w:p w14:paraId="536CA4DF" w14:textId="224842D7" w:rsidR="00D24445" w:rsidRDefault="00D24445" w:rsidP="00CE2FDF">
            <w:pPr>
              <w:spacing w:before="0" w:line="276" w:lineRule="auto"/>
              <w:rPr>
                <w:sz w:val="20"/>
              </w:rPr>
            </w:pPr>
            <w:r>
              <w:rPr>
                <w:sz w:val="20"/>
              </w:rPr>
              <w:t xml:space="preserve">However, the increases are in </w:t>
            </w:r>
            <w:r w:rsidRPr="006B7AB3">
              <w:rPr>
                <w:b/>
                <w:sz w:val="20"/>
              </w:rPr>
              <w:t>EA</w:t>
            </w:r>
            <w:r>
              <w:rPr>
                <w:sz w:val="20"/>
              </w:rPr>
              <w:t xml:space="preserve"> (especially; quadrupled from 10,680 in 2007 to 41,480 in 2012) and </w:t>
            </w:r>
            <w:r w:rsidRPr="006B7AB3">
              <w:rPr>
                <w:b/>
                <w:sz w:val="20"/>
              </w:rPr>
              <w:t>SA</w:t>
            </w:r>
            <w:r>
              <w:rPr>
                <w:sz w:val="20"/>
              </w:rPr>
              <w:t xml:space="preserve">, not </w:t>
            </w:r>
            <w:r w:rsidRPr="006B7AB3">
              <w:rPr>
                <w:b/>
                <w:sz w:val="20"/>
              </w:rPr>
              <w:t>PA</w:t>
            </w:r>
            <w:r w:rsidR="006B7AB3">
              <w:rPr>
                <w:sz w:val="20"/>
              </w:rPr>
              <w:t>.</w:t>
            </w:r>
          </w:p>
          <w:p w14:paraId="69BA1D45" w14:textId="2867644F" w:rsidR="00D24445" w:rsidRPr="000A44CF" w:rsidRDefault="00D24445" w:rsidP="00CE2FDF">
            <w:pPr>
              <w:spacing w:before="0" w:line="276" w:lineRule="auto"/>
              <w:rPr>
                <w:sz w:val="20"/>
              </w:rPr>
            </w:pPr>
            <w:r w:rsidRPr="006B7AB3">
              <w:rPr>
                <w:b/>
                <w:sz w:val="20"/>
              </w:rPr>
              <w:t>N</w:t>
            </w:r>
            <w:r>
              <w:rPr>
                <w:sz w:val="20"/>
              </w:rPr>
              <w:t xml:space="preserve"> reports have decreased substantial</w:t>
            </w:r>
            <w:r w:rsidR="00615C3D">
              <w:rPr>
                <w:sz w:val="20"/>
              </w:rPr>
              <w:t>ly since 2007 (14,778 to 4902).</w:t>
            </w:r>
          </w:p>
        </w:tc>
        <w:tc>
          <w:tcPr>
            <w:tcW w:w="2495" w:type="dxa"/>
          </w:tcPr>
          <w:p w14:paraId="76DA6AAD" w14:textId="41074B91" w:rsidR="00D24445" w:rsidRDefault="00D24445" w:rsidP="00CE2FDF">
            <w:pPr>
              <w:spacing w:before="0" w:line="276" w:lineRule="auto"/>
              <w:rPr>
                <w:sz w:val="20"/>
              </w:rPr>
            </w:pPr>
            <w:r>
              <w:rPr>
                <w:sz w:val="20"/>
              </w:rPr>
              <w:t xml:space="preserve">2007 DR does not appear to have affected reporting practice for </w:t>
            </w:r>
            <w:r w:rsidRPr="00F14B45">
              <w:rPr>
                <w:sz w:val="20"/>
              </w:rPr>
              <w:t>EA</w:t>
            </w:r>
            <w:r w:rsidR="00615C3D">
              <w:rPr>
                <w:sz w:val="20"/>
              </w:rPr>
              <w:t>, although it may have for N.</w:t>
            </w:r>
          </w:p>
          <w:p w14:paraId="343B5FB1" w14:textId="77777777" w:rsidR="00D24445" w:rsidRDefault="00D24445" w:rsidP="00CE2FDF">
            <w:pPr>
              <w:spacing w:before="0" w:line="276" w:lineRule="auto"/>
              <w:rPr>
                <w:sz w:val="20"/>
              </w:rPr>
            </w:pPr>
            <w:proofErr w:type="gramStart"/>
            <w:r w:rsidRPr="006B7AB3">
              <w:rPr>
                <w:b/>
                <w:sz w:val="20"/>
              </w:rPr>
              <w:t>Very substantial increase in EA reports;</w:t>
            </w:r>
            <w:r>
              <w:rPr>
                <w:sz w:val="20"/>
              </w:rPr>
              <w:t xml:space="preserve"> </w:t>
            </w:r>
            <w:r w:rsidRPr="00F14B45">
              <w:rPr>
                <w:sz w:val="20"/>
              </w:rPr>
              <w:t>EA</w:t>
            </w:r>
            <w:r>
              <w:rPr>
                <w:sz w:val="20"/>
              </w:rPr>
              <w:t xml:space="preserve"> increase almost solely responsible for overall report increase since 2007.</w:t>
            </w:r>
            <w:proofErr w:type="gramEnd"/>
            <w:r>
              <w:rPr>
                <w:sz w:val="20"/>
              </w:rPr>
              <w:t xml:space="preserve"> Possibly influenced by OR, police OP.</w:t>
            </w:r>
          </w:p>
          <w:p w14:paraId="06D14B3D" w14:textId="4515EC82" w:rsidR="001F15E1" w:rsidRPr="00BE7DE5" w:rsidRDefault="00D24445" w:rsidP="00CE2FDF">
            <w:pPr>
              <w:spacing w:before="0" w:line="276" w:lineRule="auto"/>
              <w:rPr>
                <w:sz w:val="20"/>
              </w:rPr>
            </w:pPr>
            <w:r w:rsidRPr="006B7AB3">
              <w:rPr>
                <w:b/>
                <w:sz w:val="20"/>
              </w:rPr>
              <w:t>Very substantial N decrease</w:t>
            </w:r>
            <w:r>
              <w:rPr>
                <w:sz w:val="20"/>
              </w:rPr>
              <w:t xml:space="preserve"> most likely reflects rollout of </w:t>
            </w:r>
            <w:proofErr w:type="spellStart"/>
            <w:r>
              <w:rPr>
                <w:sz w:val="20"/>
              </w:rPr>
              <w:t>ChildFIRST</w:t>
            </w:r>
            <w:proofErr w:type="spellEnd"/>
            <w:r>
              <w:rPr>
                <w:sz w:val="20"/>
              </w:rPr>
              <w:t xml:space="preserve"> and Integrated Family Services (previously known as Family Support Innovation P</w:t>
            </w:r>
            <w:r w:rsidR="00615C3D">
              <w:rPr>
                <w:sz w:val="20"/>
              </w:rPr>
              <w:t>rojects).</w:t>
            </w:r>
          </w:p>
        </w:tc>
      </w:tr>
      <w:tr w:rsidR="00D24445" w:rsidRPr="00BE7DE5" w14:paraId="51BE80DC" w14:textId="77777777" w:rsidTr="00E747EE">
        <w:tc>
          <w:tcPr>
            <w:tcW w:w="1316" w:type="dxa"/>
          </w:tcPr>
          <w:p w14:paraId="06745D14" w14:textId="77777777" w:rsidR="00D24445" w:rsidRPr="006B7AB3" w:rsidRDefault="00D24445" w:rsidP="00CE2FDF">
            <w:pPr>
              <w:spacing w:before="0" w:line="276" w:lineRule="auto"/>
              <w:rPr>
                <w:b/>
                <w:sz w:val="20"/>
              </w:rPr>
            </w:pPr>
            <w:r w:rsidRPr="006B7AB3">
              <w:rPr>
                <w:b/>
                <w:sz w:val="20"/>
              </w:rPr>
              <w:t>1.3</w:t>
            </w:r>
          </w:p>
        </w:tc>
        <w:tc>
          <w:tcPr>
            <w:tcW w:w="2610" w:type="dxa"/>
          </w:tcPr>
          <w:p w14:paraId="39236AF5" w14:textId="77777777" w:rsidR="00D24445" w:rsidRPr="00BE7DE5" w:rsidRDefault="00D24445" w:rsidP="00CE2FDF">
            <w:pPr>
              <w:spacing w:before="0" w:line="276" w:lineRule="auto"/>
              <w:rPr>
                <w:sz w:val="20"/>
              </w:rPr>
            </w:pPr>
            <w:r w:rsidRPr="00BE7DE5">
              <w:rPr>
                <w:sz w:val="20"/>
              </w:rPr>
              <w:t>Number of reports by abuse type, and outcome of reports</w:t>
            </w:r>
            <w:r w:rsidR="006B7AB3">
              <w:rPr>
                <w:sz w:val="20"/>
              </w:rPr>
              <w:t xml:space="preserve"> (all reporter groups combined).</w:t>
            </w:r>
          </w:p>
        </w:tc>
        <w:tc>
          <w:tcPr>
            <w:tcW w:w="3127" w:type="dxa"/>
            <w:shd w:val="clear" w:color="auto" w:fill="auto"/>
          </w:tcPr>
          <w:p w14:paraId="1ECB16AB" w14:textId="77777777" w:rsidR="00D24445" w:rsidRDefault="00D24445" w:rsidP="00CE2FDF">
            <w:pPr>
              <w:spacing w:before="0" w:line="276" w:lineRule="auto"/>
              <w:rPr>
                <w:sz w:val="20"/>
              </w:rPr>
            </w:pPr>
            <w:r w:rsidRPr="000A44CF">
              <w:rPr>
                <w:sz w:val="20"/>
              </w:rPr>
              <w:t xml:space="preserve">Less than half of all reports </w:t>
            </w:r>
            <w:proofErr w:type="gramStart"/>
            <w:r w:rsidRPr="000A44CF">
              <w:rPr>
                <w:sz w:val="20"/>
              </w:rPr>
              <w:t>were investigated</w:t>
            </w:r>
            <w:proofErr w:type="gramEnd"/>
            <w:r w:rsidRPr="000A44CF">
              <w:rPr>
                <w:sz w:val="20"/>
              </w:rPr>
              <w:t xml:space="preserve"> (128,317/325,803)</w:t>
            </w:r>
            <w:r>
              <w:rPr>
                <w:sz w:val="20"/>
              </w:rPr>
              <w:t xml:space="preserve">. </w:t>
            </w:r>
          </w:p>
          <w:p w14:paraId="7031538B" w14:textId="77777777" w:rsidR="00D24445" w:rsidRPr="000A44CF" w:rsidRDefault="00D24445" w:rsidP="00CE2FDF">
            <w:pPr>
              <w:spacing w:before="0" w:line="276" w:lineRule="auto"/>
              <w:rPr>
                <w:sz w:val="20"/>
              </w:rPr>
            </w:pPr>
            <w:r w:rsidRPr="006B7AB3">
              <w:rPr>
                <w:b/>
                <w:sz w:val="20"/>
              </w:rPr>
              <w:t>EA</w:t>
            </w:r>
            <w:r>
              <w:rPr>
                <w:sz w:val="20"/>
              </w:rPr>
              <w:t xml:space="preserve"> reports were substantially less likely to </w:t>
            </w:r>
            <w:proofErr w:type="gramStart"/>
            <w:r>
              <w:rPr>
                <w:sz w:val="20"/>
              </w:rPr>
              <w:t>be investigated</w:t>
            </w:r>
            <w:proofErr w:type="gramEnd"/>
            <w:r>
              <w:rPr>
                <w:sz w:val="20"/>
              </w:rPr>
              <w:t>.</w:t>
            </w:r>
          </w:p>
          <w:p w14:paraId="2F5EE8E5" w14:textId="77777777" w:rsidR="00D24445" w:rsidRPr="00797A62" w:rsidRDefault="00D24445" w:rsidP="00CE2FDF">
            <w:pPr>
              <w:spacing w:before="0" w:line="276" w:lineRule="auto"/>
              <w:rPr>
                <w:sz w:val="20"/>
                <w:highlight w:val="yellow"/>
              </w:rPr>
            </w:pPr>
            <w:r w:rsidRPr="000A44CF">
              <w:rPr>
                <w:sz w:val="20"/>
              </w:rPr>
              <w:t>Of all investigations, over 60% were substantiated (78,069/128,317)</w:t>
            </w:r>
            <w:r w:rsidR="001F15E1">
              <w:rPr>
                <w:sz w:val="20"/>
              </w:rPr>
              <w:t>.</w:t>
            </w:r>
          </w:p>
        </w:tc>
        <w:tc>
          <w:tcPr>
            <w:tcW w:w="2495" w:type="dxa"/>
          </w:tcPr>
          <w:p w14:paraId="67195428" w14:textId="77777777" w:rsidR="00D24445" w:rsidRPr="00BE7DE5" w:rsidRDefault="00D24445" w:rsidP="00CE2FDF">
            <w:pPr>
              <w:spacing w:before="0" w:line="276" w:lineRule="auto"/>
              <w:rPr>
                <w:sz w:val="20"/>
              </w:rPr>
            </w:pPr>
            <w:r>
              <w:rPr>
                <w:sz w:val="20"/>
              </w:rPr>
              <w:t>Very high SR for investigated reports</w:t>
            </w:r>
          </w:p>
        </w:tc>
      </w:tr>
      <w:tr w:rsidR="00D24445" w:rsidRPr="00BE7DE5" w14:paraId="6B732BB6" w14:textId="77777777" w:rsidTr="00E747EE">
        <w:tc>
          <w:tcPr>
            <w:tcW w:w="1316" w:type="dxa"/>
          </w:tcPr>
          <w:p w14:paraId="14625B34" w14:textId="77777777" w:rsidR="00D24445" w:rsidRPr="006B7AB3" w:rsidRDefault="00D24445" w:rsidP="00CE2FDF">
            <w:pPr>
              <w:spacing w:before="0" w:line="276" w:lineRule="auto"/>
              <w:rPr>
                <w:b/>
                <w:sz w:val="20"/>
              </w:rPr>
            </w:pPr>
            <w:r w:rsidRPr="006B7AB3">
              <w:rPr>
                <w:b/>
                <w:sz w:val="20"/>
              </w:rPr>
              <w:t>1.4</w:t>
            </w:r>
          </w:p>
        </w:tc>
        <w:tc>
          <w:tcPr>
            <w:tcW w:w="2610" w:type="dxa"/>
          </w:tcPr>
          <w:p w14:paraId="1C51A738" w14:textId="77777777" w:rsidR="00D24445" w:rsidRDefault="00D24445" w:rsidP="00CE2FDF">
            <w:pPr>
              <w:spacing w:before="0" w:line="276" w:lineRule="auto"/>
              <w:rPr>
                <w:sz w:val="20"/>
              </w:rPr>
            </w:pPr>
            <w:r w:rsidRPr="00BE7DE5">
              <w:rPr>
                <w:sz w:val="20"/>
              </w:rPr>
              <w:t>Number of reports by abuse type, and outcome of reports, as a percentage of all reports</w:t>
            </w:r>
            <w:r w:rsidR="001F15E1">
              <w:rPr>
                <w:sz w:val="20"/>
              </w:rPr>
              <w:t xml:space="preserve"> (all reporter groups combined.</w:t>
            </w:r>
          </w:p>
          <w:p w14:paraId="0388D435" w14:textId="77777777" w:rsidR="001F15E1" w:rsidRPr="00BE7DE5" w:rsidRDefault="001F15E1" w:rsidP="00CE2FDF">
            <w:pPr>
              <w:spacing w:before="0" w:line="276" w:lineRule="auto"/>
              <w:rPr>
                <w:sz w:val="20"/>
              </w:rPr>
            </w:pPr>
          </w:p>
        </w:tc>
        <w:tc>
          <w:tcPr>
            <w:tcW w:w="3127" w:type="dxa"/>
          </w:tcPr>
          <w:p w14:paraId="3341A5F5" w14:textId="77777777" w:rsidR="00D24445" w:rsidRPr="00BD158F" w:rsidRDefault="00D24445" w:rsidP="00CE2FDF">
            <w:pPr>
              <w:spacing w:before="0" w:line="276" w:lineRule="auto"/>
              <w:rPr>
                <w:sz w:val="20"/>
              </w:rPr>
            </w:pPr>
            <w:r w:rsidRPr="006B7AB3">
              <w:rPr>
                <w:b/>
                <w:sz w:val="20"/>
              </w:rPr>
              <w:t>EA, N</w:t>
            </w:r>
            <w:r w:rsidRPr="00BD158F">
              <w:rPr>
                <w:sz w:val="20"/>
              </w:rPr>
              <w:t xml:space="preserve"> significantly less likely to be investigated</w:t>
            </w:r>
          </w:p>
          <w:p w14:paraId="78888463" w14:textId="77777777" w:rsidR="00D24445" w:rsidRDefault="00D24445" w:rsidP="00CE2FDF">
            <w:pPr>
              <w:spacing w:before="0" w:line="276" w:lineRule="auto"/>
              <w:rPr>
                <w:sz w:val="20"/>
                <w:highlight w:val="yellow"/>
              </w:rPr>
            </w:pPr>
          </w:p>
          <w:p w14:paraId="284BC8BF" w14:textId="77777777" w:rsidR="00D24445" w:rsidRPr="00797A62" w:rsidRDefault="00D24445" w:rsidP="00CE2FDF">
            <w:pPr>
              <w:spacing w:before="0" w:line="276" w:lineRule="auto"/>
              <w:rPr>
                <w:sz w:val="20"/>
                <w:highlight w:val="yellow"/>
              </w:rPr>
            </w:pPr>
          </w:p>
        </w:tc>
        <w:tc>
          <w:tcPr>
            <w:tcW w:w="2495" w:type="dxa"/>
          </w:tcPr>
          <w:p w14:paraId="7E6107BF" w14:textId="77777777" w:rsidR="00D24445" w:rsidRPr="00BE7DE5" w:rsidRDefault="00D24445" w:rsidP="00CE2FDF">
            <w:pPr>
              <w:spacing w:before="0" w:line="276" w:lineRule="auto"/>
              <w:rPr>
                <w:sz w:val="20"/>
              </w:rPr>
            </w:pPr>
            <w:r>
              <w:rPr>
                <w:sz w:val="20"/>
              </w:rPr>
              <w:t>Normal pattern reflects nature of reports</w:t>
            </w:r>
          </w:p>
        </w:tc>
      </w:tr>
      <w:tr w:rsidR="00D24445" w:rsidRPr="00BE7DE5" w14:paraId="5E52D1E7" w14:textId="77777777" w:rsidTr="00E747EE">
        <w:tc>
          <w:tcPr>
            <w:tcW w:w="1316" w:type="dxa"/>
          </w:tcPr>
          <w:p w14:paraId="3C60D2BD" w14:textId="77777777" w:rsidR="00D24445" w:rsidRPr="006B7AB3" w:rsidRDefault="00D24445" w:rsidP="00CE2FDF">
            <w:pPr>
              <w:spacing w:before="0" w:line="276" w:lineRule="auto"/>
              <w:rPr>
                <w:b/>
                <w:sz w:val="20"/>
              </w:rPr>
            </w:pPr>
            <w:r w:rsidRPr="006B7AB3">
              <w:rPr>
                <w:b/>
                <w:sz w:val="20"/>
              </w:rPr>
              <w:t>1.5</w:t>
            </w:r>
          </w:p>
        </w:tc>
        <w:tc>
          <w:tcPr>
            <w:tcW w:w="2610" w:type="dxa"/>
          </w:tcPr>
          <w:p w14:paraId="69816C9B" w14:textId="77777777" w:rsidR="00D24445" w:rsidRPr="00BE7DE5" w:rsidRDefault="00D24445" w:rsidP="00CE2FDF">
            <w:pPr>
              <w:spacing w:before="0" w:line="276" w:lineRule="auto"/>
              <w:rPr>
                <w:sz w:val="20"/>
              </w:rPr>
            </w:pPr>
            <w:r w:rsidRPr="00BE7DE5">
              <w:rPr>
                <w:sz w:val="20"/>
              </w:rPr>
              <w:t xml:space="preserve">Number of reports by abuse type, as a percentage of all reports, by year (all reporter groups combined) </w:t>
            </w:r>
          </w:p>
        </w:tc>
        <w:tc>
          <w:tcPr>
            <w:tcW w:w="3127" w:type="dxa"/>
          </w:tcPr>
          <w:p w14:paraId="25306F3F" w14:textId="77777777" w:rsidR="00D24445" w:rsidRDefault="00D24445" w:rsidP="00CE2FDF">
            <w:pPr>
              <w:spacing w:before="0" w:line="276" w:lineRule="auto"/>
              <w:rPr>
                <w:sz w:val="20"/>
              </w:rPr>
            </w:pPr>
            <w:proofErr w:type="gramStart"/>
            <w:r w:rsidRPr="00CD04A9">
              <w:rPr>
                <w:b/>
                <w:sz w:val="20"/>
              </w:rPr>
              <w:t>EA:</w:t>
            </w:r>
            <w:r w:rsidRPr="00BD158F">
              <w:rPr>
                <w:sz w:val="20"/>
              </w:rPr>
              <w:t xml:space="preserve"> </w:t>
            </w:r>
            <w:r>
              <w:rPr>
                <w:sz w:val="20"/>
              </w:rPr>
              <w:t>substantial</w:t>
            </w:r>
            <w:r w:rsidRPr="00BD158F">
              <w:rPr>
                <w:sz w:val="20"/>
              </w:rPr>
              <w:t xml:space="preserve"> increase over time in number of reports, and proportion of all reports (31% to 60%). 197,827 reports over decade.</w:t>
            </w:r>
            <w:proofErr w:type="gramEnd"/>
            <w:r w:rsidRPr="00BD158F">
              <w:rPr>
                <w:sz w:val="20"/>
              </w:rPr>
              <w:t xml:space="preserve"> </w:t>
            </w:r>
          </w:p>
          <w:p w14:paraId="7EC4807D" w14:textId="7FB87580" w:rsidR="00D24445" w:rsidRDefault="00D24445" w:rsidP="00CE2FDF">
            <w:pPr>
              <w:spacing w:before="0" w:line="276" w:lineRule="auto"/>
              <w:rPr>
                <w:sz w:val="20"/>
              </w:rPr>
            </w:pPr>
            <w:r w:rsidRPr="00CD04A9">
              <w:rPr>
                <w:b/>
                <w:sz w:val="20"/>
              </w:rPr>
              <w:t>EA</w:t>
            </w:r>
            <w:r w:rsidR="00CD04A9">
              <w:rPr>
                <w:b/>
                <w:sz w:val="20"/>
              </w:rPr>
              <w:t>:</w:t>
            </w:r>
            <w:r>
              <w:rPr>
                <w:sz w:val="20"/>
              </w:rPr>
              <w:t xml:space="preserve"> c</w:t>
            </w:r>
            <w:r w:rsidRPr="00BD158F">
              <w:rPr>
                <w:sz w:val="20"/>
              </w:rPr>
              <w:t xml:space="preserve">urrently by far the most frequently reported type, followed by </w:t>
            </w:r>
            <w:r w:rsidRPr="00F14B45">
              <w:rPr>
                <w:sz w:val="20"/>
              </w:rPr>
              <w:t>PA</w:t>
            </w:r>
            <w:r w:rsidRPr="00BD158F">
              <w:rPr>
                <w:sz w:val="20"/>
              </w:rPr>
              <w:t xml:space="preserve"> (21%), </w:t>
            </w:r>
            <w:r w:rsidRPr="00F14B45">
              <w:rPr>
                <w:sz w:val="20"/>
              </w:rPr>
              <w:t>SA</w:t>
            </w:r>
            <w:r w:rsidR="00615C3D">
              <w:rPr>
                <w:sz w:val="20"/>
              </w:rPr>
              <w:t xml:space="preserve"> (10%) and N (7%).</w:t>
            </w:r>
          </w:p>
          <w:p w14:paraId="438C9D6F" w14:textId="7C716EB0" w:rsidR="00D24445" w:rsidRDefault="00D24445" w:rsidP="00CE2FDF">
            <w:pPr>
              <w:spacing w:before="0" w:line="276" w:lineRule="auto"/>
              <w:rPr>
                <w:sz w:val="20"/>
              </w:rPr>
            </w:pPr>
            <w:proofErr w:type="gramStart"/>
            <w:r w:rsidRPr="00CD04A9">
              <w:rPr>
                <w:b/>
                <w:sz w:val="20"/>
              </w:rPr>
              <w:t>N:</w:t>
            </w:r>
            <w:r w:rsidRPr="00BD158F">
              <w:rPr>
                <w:sz w:val="20"/>
              </w:rPr>
              <w:t xml:space="preserve"> </w:t>
            </w:r>
            <w:r>
              <w:rPr>
                <w:sz w:val="20"/>
              </w:rPr>
              <w:t>substantial</w:t>
            </w:r>
            <w:r w:rsidRPr="00BD158F">
              <w:rPr>
                <w:sz w:val="20"/>
              </w:rPr>
              <w:t xml:space="preserve"> decrease over time in number of reports especially after 2007.</w:t>
            </w:r>
            <w:proofErr w:type="gramEnd"/>
            <w:r w:rsidRPr="00BD158F">
              <w:rPr>
                <w:sz w:val="20"/>
              </w:rPr>
              <w:t xml:space="preserve"> </w:t>
            </w:r>
            <w:r>
              <w:rPr>
                <w:sz w:val="20"/>
              </w:rPr>
              <w:t>Large</w:t>
            </w:r>
            <w:r w:rsidRPr="00BD158F">
              <w:rPr>
                <w:sz w:val="20"/>
              </w:rPr>
              <w:t xml:space="preserve"> reduction in proportion of all reports (32% to 7%). Currently the </w:t>
            </w:r>
            <w:r w:rsidR="00615C3D">
              <w:rPr>
                <w:sz w:val="20"/>
              </w:rPr>
              <w:t>least frequently reported type.</w:t>
            </w:r>
          </w:p>
          <w:p w14:paraId="53C333EF" w14:textId="26B05312" w:rsidR="00D24445" w:rsidRDefault="00D24445" w:rsidP="00CE2FDF">
            <w:pPr>
              <w:spacing w:before="0" w:line="276" w:lineRule="auto"/>
              <w:rPr>
                <w:sz w:val="20"/>
              </w:rPr>
            </w:pPr>
            <w:r w:rsidRPr="00CD04A9">
              <w:rPr>
                <w:b/>
                <w:sz w:val="20"/>
              </w:rPr>
              <w:t>PA:</w:t>
            </w:r>
            <w:r w:rsidRPr="00BD158F">
              <w:rPr>
                <w:sz w:val="20"/>
              </w:rPr>
              <w:t xml:space="preserve"> reports have increased slightly (9048 to 14,919).</w:t>
            </w:r>
            <w:r>
              <w:rPr>
                <w:sz w:val="20"/>
              </w:rPr>
              <w:t xml:space="preserve"> </w:t>
            </w:r>
            <w:proofErr w:type="gramStart"/>
            <w:r>
              <w:rPr>
                <w:sz w:val="20"/>
              </w:rPr>
              <w:t>S</w:t>
            </w:r>
            <w:r w:rsidRPr="00BD158F">
              <w:rPr>
                <w:sz w:val="20"/>
              </w:rPr>
              <w:t xml:space="preserve">table over time </w:t>
            </w:r>
            <w:r>
              <w:rPr>
                <w:sz w:val="20"/>
              </w:rPr>
              <w:lastRenderedPageBreak/>
              <w:t>as a</w:t>
            </w:r>
            <w:r w:rsidRPr="00BD158F">
              <w:rPr>
                <w:sz w:val="20"/>
              </w:rPr>
              <w:t xml:space="preserve"> proportion of all reports (24% to 21</w:t>
            </w:r>
            <w:r>
              <w:rPr>
                <w:sz w:val="20"/>
              </w:rPr>
              <w:t>%).</w:t>
            </w:r>
            <w:proofErr w:type="gramEnd"/>
          </w:p>
          <w:p w14:paraId="25419E2E" w14:textId="556F9A34" w:rsidR="001F15E1" w:rsidRPr="00BD158F" w:rsidRDefault="00D24445" w:rsidP="00CE2FDF">
            <w:pPr>
              <w:spacing w:before="0" w:line="276" w:lineRule="auto"/>
              <w:rPr>
                <w:sz w:val="20"/>
              </w:rPr>
            </w:pPr>
            <w:r w:rsidRPr="00CD04A9">
              <w:rPr>
                <w:b/>
                <w:sz w:val="20"/>
              </w:rPr>
              <w:t>SA:</w:t>
            </w:r>
            <w:r w:rsidRPr="00BD158F">
              <w:rPr>
                <w:sz w:val="20"/>
              </w:rPr>
              <w:t xml:space="preserve"> reports have increased slightly (4441 to 7347).</w:t>
            </w:r>
            <w:r>
              <w:rPr>
                <w:sz w:val="20"/>
              </w:rPr>
              <w:t xml:space="preserve"> </w:t>
            </w:r>
            <w:proofErr w:type="gramStart"/>
            <w:r>
              <w:rPr>
                <w:sz w:val="20"/>
              </w:rPr>
              <w:t>S</w:t>
            </w:r>
            <w:r w:rsidRPr="00BD158F">
              <w:rPr>
                <w:sz w:val="20"/>
              </w:rPr>
              <w:t xml:space="preserve">table over time </w:t>
            </w:r>
            <w:r>
              <w:rPr>
                <w:sz w:val="20"/>
              </w:rPr>
              <w:t>as a</w:t>
            </w:r>
            <w:r w:rsidRPr="00BD158F">
              <w:rPr>
                <w:sz w:val="20"/>
              </w:rPr>
              <w:t xml:space="preserve"> proportion of all reports (12% to 10%).</w:t>
            </w:r>
            <w:proofErr w:type="gramEnd"/>
          </w:p>
        </w:tc>
        <w:tc>
          <w:tcPr>
            <w:tcW w:w="2495" w:type="dxa"/>
          </w:tcPr>
          <w:p w14:paraId="615E0528" w14:textId="77777777" w:rsidR="00D24445" w:rsidRDefault="00D24445" w:rsidP="00CE2FDF">
            <w:pPr>
              <w:spacing w:before="0" w:line="276" w:lineRule="auto"/>
              <w:rPr>
                <w:sz w:val="20"/>
              </w:rPr>
            </w:pPr>
            <w:r w:rsidRPr="00CD04A9">
              <w:rPr>
                <w:b/>
                <w:sz w:val="20"/>
              </w:rPr>
              <w:lastRenderedPageBreak/>
              <w:t>EA</w:t>
            </w:r>
            <w:r>
              <w:rPr>
                <w:sz w:val="20"/>
              </w:rPr>
              <w:t xml:space="preserve"> increase the most notable trend; DR does not appear to have affected reporting destination. DV reports the likely source of increased reports.</w:t>
            </w:r>
          </w:p>
          <w:p w14:paraId="6EF8B415" w14:textId="77777777" w:rsidR="00D24445" w:rsidRDefault="00D24445" w:rsidP="00CE2FDF">
            <w:pPr>
              <w:spacing w:before="0" w:line="276" w:lineRule="auto"/>
              <w:rPr>
                <w:sz w:val="20"/>
              </w:rPr>
            </w:pPr>
          </w:p>
          <w:p w14:paraId="562180B0" w14:textId="77777777" w:rsidR="00D24445" w:rsidRPr="00BE7DE5" w:rsidRDefault="00D24445" w:rsidP="00CE2FDF">
            <w:pPr>
              <w:spacing w:before="0" w:line="276" w:lineRule="auto"/>
              <w:rPr>
                <w:sz w:val="20"/>
              </w:rPr>
            </w:pPr>
            <w:r w:rsidRPr="00CD04A9">
              <w:rPr>
                <w:b/>
                <w:sz w:val="20"/>
              </w:rPr>
              <w:t>N</w:t>
            </w:r>
            <w:r>
              <w:rPr>
                <w:sz w:val="20"/>
              </w:rPr>
              <w:t xml:space="preserve"> being the least frequently reported type differs markedly from other jurisdictions; likely reflects nature of MR duty and DR approach.</w:t>
            </w:r>
          </w:p>
        </w:tc>
      </w:tr>
      <w:tr w:rsidR="00D24445" w:rsidRPr="00BE7DE5" w14:paraId="725F22A5" w14:textId="77777777" w:rsidTr="00E747EE">
        <w:tc>
          <w:tcPr>
            <w:tcW w:w="1316" w:type="dxa"/>
          </w:tcPr>
          <w:p w14:paraId="2A4B6F53" w14:textId="77777777" w:rsidR="00D24445" w:rsidRPr="006B7AB3" w:rsidRDefault="00D24445" w:rsidP="00CE2FDF">
            <w:pPr>
              <w:spacing w:before="0" w:line="276" w:lineRule="auto"/>
              <w:rPr>
                <w:b/>
                <w:sz w:val="20"/>
              </w:rPr>
            </w:pPr>
            <w:r w:rsidRPr="006B7AB3">
              <w:rPr>
                <w:b/>
                <w:sz w:val="20"/>
              </w:rPr>
              <w:lastRenderedPageBreak/>
              <w:t>1.8</w:t>
            </w:r>
          </w:p>
        </w:tc>
        <w:tc>
          <w:tcPr>
            <w:tcW w:w="2610" w:type="dxa"/>
          </w:tcPr>
          <w:p w14:paraId="2AFA85EA" w14:textId="77777777" w:rsidR="00D24445" w:rsidRPr="00BE7DE5" w:rsidRDefault="00D24445" w:rsidP="00CE2FDF">
            <w:pPr>
              <w:spacing w:before="0" w:line="276" w:lineRule="auto"/>
              <w:rPr>
                <w:sz w:val="20"/>
              </w:rPr>
            </w:pPr>
            <w:r w:rsidRPr="00BE7DE5">
              <w:rPr>
                <w:sz w:val="20"/>
              </w:rPr>
              <w:t xml:space="preserve">Number of reports by all major reporter groups combined, compared with other reporter groups combined, with percentage change </w:t>
            </w:r>
          </w:p>
        </w:tc>
        <w:tc>
          <w:tcPr>
            <w:tcW w:w="3127" w:type="dxa"/>
          </w:tcPr>
          <w:p w14:paraId="67F035C7" w14:textId="77777777" w:rsidR="00D24445" w:rsidRDefault="00D24445" w:rsidP="00CE2FDF">
            <w:pPr>
              <w:spacing w:before="0" w:line="276" w:lineRule="auto"/>
              <w:rPr>
                <w:sz w:val="20"/>
              </w:rPr>
            </w:pPr>
            <w:r w:rsidRPr="007807CB">
              <w:rPr>
                <w:sz w:val="20"/>
              </w:rPr>
              <w:t xml:space="preserve">Reports by major reporter groups have increased overall from 2003 to 2012, especially since 2009. </w:t>
            </w:r>
          </w:p>
          <w:p w14:paraId="4D423E1C" w14:textId="5FEB05C5" w:rsidR="00D24445" w:rsidRPr="007807CB" w:rsidRDefault="00D24445" w:rsidP="00CE2FDF">
            <w:pPr>
              <w:spacing w:before="0" w:line="276" w:lineRule="auto"/>
              <w:rPr>
                <w:sz w:val="20"/>
              </w:rPr>
            </w:pPr>
            <w:r w:rsidRPr="007807CB">
              <w:rPr>
                <w:sz w:val="20"/>
              </w:rPr>
              <w:t>Reports by other reporte</w:t>
            </w:r>
            <w:r w:rsidR="00615C3D">
              <w:rPr>
                <w:sz w:val="20"/>
              </w:rPr>
              <w:t>r groups have increased by 37%.</w:t>
            </w:r>
          </w:p>
          <w:p w14:paraId="01558E6B" w14:textId="77777777" w:rsidR="00D24445" w:rsidRDefault="00D24445" w:rsidP="00CE2FDF">
            <w:pPr>
              <w:spacing w:before="0" w:line="276" w:lineRule="auto"/>
              <w:rPr>
                <w:sz w:val="20"/>
              </w:rPr>
            </w:pPr>
            <w:r w:rsidRPr="007807CB">
              <w:rPr>
                <w:sz w:val="20"/>
              </w:rPr>
              <w:t xml:space="preserve">Numerically, reports by major reporter groups in 2003 were half those made by other reporter groups. </w:t>
            </w:r>
          </w:p>
          <w:p w14:paraId="60D98D7A" w14:textId="5649405D" w:rsidR="001F15E1" w:rsidRPr="007807CB" w:rsidRDefault="00D24445" w:rsidP="00CE2FDF">
            <w:pPr>
              <w:spacing w:before="0" w:line="276" w:lineRule="auto"/>
              <w:rPr>
                <w:sz w:val="20"/>
              </w:rPr>
            </w:pPr>
            <w:r w:rsidRPr="007807CB">
              <w:rPr>
                <w:sz w:val="20"/>
              </w:rPr>
              <w:t xml:space="preserve">This proportion has steadily shifted and by </w:t>
            </w:r>
            <w:proofErr w:type="gramStart"/>
            <w:r w:rsidRPr="007807CB">
              <w:rPr>
                <w:sz w:val="20"/>
              </w:rPr>
              <w:t>2012</w:t>
            </w:r>
            <w:proofErr w:type="gramEnd"/>
            <w:r w:rsidRPr="007807CB">
              <w:rPr>
                <w:sz w:val="20"/>
              </w:rPr>
              <w:t xml:space="preserve"> reports by major reporter groups had for the first time outnumbered those by other reporter groups.</w:t>
            </w:r>
          </w:p>
        </w:tc>
        <w:tc>
          <w:tcPr>
            <w:tcW w:w="2495" w:type="dxa"/>
          </w:tcPr>
          <w:p w14:paraId="15156F65" w14:textId="77777777" w:rsidR="00D24445" w:rsidRPr="00BE7DE5" w:rsidRDefault="00D24445" w:rsidP="00CE2FDF">
            <w:pPr>
              <w:spacing w:before="0" w:line="276" w:lineRule="auto"/>
              <w:rPr>
                <w:sz w:val="20"/>
              </w:rPr>
            </w:pPr>
            <w:r>
              <w:rPr>
                <w:sz w:val="20"/>
              </w:rPr>
              <w:t xml:space="preserve">Bearing in mind the narrow MR duty, </w:t>
            </w:r>
            <w:proofErr w:type="spellStart"/>
            <w:r>
              <w:rPr>
                <w:sz w:val="20"/>
              </w:rPr>
              <w:t>nonmandated</w:t>
            </w:r>
            <w:proofErr w:type="spellEnd"/>
            <w:r>
              <w:rPr>
                <w:sz w:val="20"/>
              </w:rPr>
              <w:t xml:space="preserve"> reporters make far more reports than mandated </w:t>
            </w:r>
            <w:proofErr w:type="gramStart"/>
            <w:r>
              <w:rPr>
                <w:sz w:val="20"/>
              </w:rPr>
              <w:t>reporters</w:t>
            </w:r>
            <w:proofErr w:type="gramEnd"/>
            <w:r>
              <w:rPr>
                <w:sz w:val="20"/>
              </w:rPr>
              <w:t>.</w:t>
            </w:r>
          </w:p>
        </w:tc>
      </w:tr>
      <w:tr w:rsidR="00D24445" w:rsidRPr="00BE7DE5" w14:paraId="599015F0" w14:textId="77777777" w:rsidTr="00E747EE">
        <w:tc>
          <w:tcPr>
            <w:tcW w:w="1316" w:type="dxa"/>
          </w:tcPr>
          <w:p w14:paraId="46C1138B" w14:textId="77777777" w:rsidR="00D24445" w:rsidRPr="006B7AB3" w:rsidRDefault="00D24445" w:rsidP="00CE2FDF">
            <w:pPr>
              <w:spacing w:before="0" w:line="276" w:lineRule="auto"/>
              <w:rPr>
                <w:b/>
                <w:sz w:val="20"/>
              </w:rPr>
            </w:pPr>
            <w:r w:rsidRPr="006B7AB3">
              <w:rPr>
                <w:b/>
                <w:sz w:val="20"/>
              </w:rPr>
              <w:t>1.10</w:t>
            </w:r>
          </w:p>
        </w:tc>
        <w:tc>
          <w:tcPr>
            <w:tcW w:w="2610" w:type="dxa"/>
          </w:tcPr>
          <w:p w14:paraId="3DB73FAC" w14:textId="53EC1E8F" w:rsidR="001F15E1" w:rsidRPr="00BE7DE5" w:rsidRDefault="00D24445" w:rsidP="00CE2FDF">
            <w:pPr>
              <w:spacing w:before="0" w:line="276" w:lineRule="auto"/>
              <w:rPr>
                <w:sz w:val="20"/>
              </w:rPr>
            </w:pPr>
            <w:r w:rsidRPr="00BE7DE5">
              <w:rPr>
                <w:sz w:val="20"/>
              </w:rPr>
              <w:t xml:space="preserve">Number of reports by all major reporter groups combined, compared with other reporter groups combined, by outcome of reports, as a percentage of all reports </w:t>
            </w:r>
          </w:p>
        </w:tc>
        <w:tc>
          <w:tcPr>
            <w:tcW w:w="3127" w:type="dxa"/>
          </w:tcPr>
          <w:p w14:paraId="3A1270BE" w14:textId="77777777" w:rsidR="00D24445" w:rsidRDefault="00D24445" w:rsidP="00CE2FDF">
            <w:pPr>
              <w:spacing w:before="0" w:line="276" w:lineRule="auto"/>
              <w:rPr>
                <w:sz w:val="20"/>
              </w:rPr>
            </w:pPr>
            <w:r w:rsidRPr="007807CB">
              <w:rPr>
                <w:sz w:val="20"/>
              </w:rPr>
              <w:t>Over the decade</w:t>
            </w:r>
            <w:r>
              <w:rPr>
                <w:sz w:val="20"/>
              </w:rPr>
              <w:t>:</w:t>
            </w:r>
          </w:p>
          <w:p w14:paraId="707BF8E5" w14:textId="77777777" w:rsidR="00D24445" w:rsidRPr="00FD7154" w:rsidRDefault="00D24445" w:rsidP="00CE2FDF">
            <w:pPr>
              <w:pStyle w:val="ListParagraph"/>
              <w:numPr>
                <w:ilvl w:val="0"/>
                <w:numId w:val="2"/>
              </w:numPr>
              <w:spacing w:before="0" w:line="276" w:lineRule="auto"/>
              <w:rPr>
                <w:sz w:val="20"/>
                <w:szCs w:val="20"/>
              </w:rPr>
            </w:pPr>
            <w:r w:rsidRPr="00FD7154">
              <w:rPr>
                <w:sz w:val="20"/>
                <w:szCs w:val="20"/>
              </w:rPr>
              <w:t>36,888 substantiated re</w:t>
            </w:r>
            <w:r w:rsidR="00CD04A9" w:rsidRPr="00FD7154">
              <w:rPr>
                <w:sz w:val="20"/>
                <w:szCs w:val="20"/>
              </w:rPr>
              <w:t>ports by major reporter groups;</w:t>
            </w:r>
          </w:p>
          <w:p w14:paraId="5E9DF202" w14:textId="7E99234C" w:rsidR="00D24445" w:rsidRPr="00615C3D" w:rsidRDefault="00D24445" w:rsidP="00CE2FDF">
            <w:pPr>
              <w:pStyle w:val="ListParagraph"/>
              <w:numPr>
                <w:ilvl w:val="0"/>
                <w:numId w:val="2"/>
              </w:numPr>
              <w:spacing w:before="0" w:line="276" w:lineRule="auto"/>
            </w:pPr>
            <w:proofErr w:type="gramStart"/>
            <w:r w:rsidRPr="00FD7154">
              <w:rPr>
                <w:sz w:val="20"/>
                <w:szCs w:val="20"/>
              </w:rPr>
              <w:t>41,180</w:t>
            </w:r>
            <w:proofErr w:type="gramEnd"/>
            <w:r w:rsidRPr="00FD7154">
              <w:rPr>
                <w:sz w:val="20"/>
                <w:szCs w:val="20"/>
              </w:rPr>
              <w:t xml:space="preserve"> by other reporter groups.</w:t>
            </w:r>
          </w:p>
        </w:tc>
        <w:tc>
          <w:tcPr>
            <w:tcW w:w="2495" w:type="dxa"/>
          </w:tcPr>
          <w:p w14:paraId="6C5A26D1" w14:textId="77777777" w:rsidR="00D24445" w:rsidRPr="00BE7DE5" w:rsidRDefault="00D24445" w:rsidP="00CE2FDF">
            <w:pPr>
              <w:spacing w:before="0" w:line="276" w:lineRule="auto"/>
              <w:rPr>
                <w:sz w:val="20"/>
              </w:rPr>
            </w:pPr>
            <w:r>
              <w:rPr>
                <w:sz w:val="20"/>
              </w:rPr>
              <w:t>Reflects narrow MR law in Victoria</w:t>
            </w:r>
          </w:p>
        </w:tc>
      </w:tr>
      <w:tr w:rsidR="00D24445" w:rsidRPr="00BE7DE5" w14:paraId="6786295E" w14:textId="77777777" w:rsidTr="00E747EE">
        <w:tc>
          <w:tcPr>
            <w:tcW w:w="1316" w:type="dxa"/>
          </w:tcPr>
          <w:p w14:paraId="07A67554" w14:textId="77777777" w:rsidR="00D24445" w:rsidRPr="006B7AB3" w:rsidRDefault="00D24445" w:rsidP="00CE2FDF">
            <w:pPr>
              <w:spacing w:before="0" w:line="276" w:lineRule="auto"/>
              <w:rPr>
                <w:b/>
                <w:sz w:val="20"/>
              </w:rPr>
            </w:pPr>
            <w:r w:rsidRPr="006B7AB3">
              <w:rPr>
                <w:b/>
                <w:sz w:val="20"/>
              </w:rPr>
              <w:t>1.12</w:t>
            </w:r>
          </w:p>
        </w:tc>
        <w:tc>
          <w:tcPr>
            <w:tcW w:w="2610" w:type="dxa"/>
          </w:tcPr>
          <w:p w14:paraId="17EFC287" w14:textId="77777777" w:rsidR="00D24445" w:rsidRPr="00BE7DE5" w:rsidRDefault="00D24445" w:rsidP="00CE2FDF">
            <w:pPr>
              <w:spacing w:before="0" w:line="276" w:lineRule="auto"/>
              <w:rPr>
                <w:sz w:val="20"/>
              </w:rPr>
            </w:pPr>
            <w:r w:rsidRPr="00BE7DE5">
              <w:rPr>
                <w:sz w:val="20"/>
              </w:rPr>
              <w:t xml:space="preserve">Number of reports by reporter group, and outcome of reports, as a percentage of all reports (all reports over 10 year period combined, all abuse types combined) </w:t>
            </w:r>
          </w:p>
        </w:tc>
        <w:tc>
          <w:tcPr>
            <w:tcW w:w="3127" w:type="dxa"/>
          </w:tcPr>
          <w:p w14:paraId="6665B6A8" w14:textId="245D28D8" w:rsidR="001F15E1" w:rsidRPr="007807CB" w:rsidRDefault="00D24445" w:rsidP="00CE2FDF">
            <w:pPr>
              <w:spacing w:before="0" w:line="276" w:lineRule="auto"/>
              <w:rPr>
                <w:sz w:val="20"/>
              </w:rPr>
            </w:pPr>
            <w:r w:rsidRPr="007807CB">
              <w:rPr>
                <w:sz w:val="20"/>
              </w:rPr>
              <w:t>Reports by police accounted for 20,694 substantiated reports (the highest proportion of any group), followed by school personnel (9,611) and doctors and nurses combined (6210).</w:t>
            </w:r>
          </w:p>
        </w:tc>
        <w:tc>
          <w:tcPr>
            <w:tcW w:w="2495" w:type="dxa"/>
          </w:tcPr>
          <w:p w14:paraId="671D3BA5" w14:textId="77777777" w:rsidR="00D24445" w:rsidRPr="00BE7DE5" w:rsidRDefault="00D24445" w:rsidP="00CE2FDF">
            <w:pPr>
              <w:spacing w:before="0" w:line="276" w:lineRule="auto"/>
              <w:rPr>
                <w:sz w:val="20"/>
              </w:rPr>
            </w:pPr>
            <w:r>
              <w:rPr>
                <w:sz w:val="20"/>
              </w:rPr>
              <w:t xml:space="preserve">Police contribution to </w:t>
            </w:r>
            <w:proofErr w:type="spellStart"/>
            <w:r>
              <w:rPr>
                <w:sz w:val="20"/>
              </w:rPr>
              <w:t>casefinding</w:t>
            </w:r>
            <w:proofErr w:type="spellEnd"/>
            <w:r>
              <w:rPr>
                <w:sz w:val="20"/>
              </w:rPr>
              <w:t xml:space="preserve"> mirrors pattern in other jurisdictions</w:t>
            </w:r>
          </w:p>
        </w:tc>
      </w:tr>
      <w:tr w:rsidR="00D24445" w:rsidRPr="00BE7DE5" w14:paraId="1DA68EEE" w14:textId="77777777" w:rsidTr="00E747EE">
        <w:tc>
          <w:tcPr>
            <w:tcW w:w="1316" w:type="dxa"/>
          </w:tcPr>
          <w:p w14:paraId="20EDE1BA" w14:textId="77777777" w:rsidR="00D24445" w:rsidRPr="006B7AB3" w:rsidRDefault="00D24445" w:rsidP="00CE2FDF">
            <w:pPr>
              <w:spacing w:before="0" w:line="276" w:lineRule="auto"/>
              <w:rPr>
                <w:b/>
                <w:sz w:val="20"/>
              </w:rPr>
            </w:pPr>
            <w:r w:rsidRPr="006B7AB3">
              <w:rPr>
                <w:b/>
                <w:sz w:val="20"/>
              </w:rPr>
              <w:t>1.16</w:t>
            </w:r>
          </w:p>
        </w:tc>
        <w:tc>
          <w:tcPr>
            <w:tcW w:w="2610" w:type="dxa"/>
          </w:tcPr>
          <w:p w14:paraId="60F96998" w14:textId="77777777" w:rsidR="00D24445" w:rsidRPr="00BE7DE5" w:rsidRDefault="00D24445" w:rsidP="00CE2FDF">
            <w:pPr>
              <w:spacing w:before="0" w:line="276" w:lineRule="auto"/>
              <w:rPr>
                <w:sz w:val="20"/>
              </w:rPr>
            </w:pPr>
            <w:r w:rsidRPr="00BE7DE5">
              <w:rPr>
                <w:sz w:val="20"/>
              </w:rPr>
              <w:t xml:space="preserve">Number of reports by year, by reporter group, by abuse type, with percentage change </w:t>
            </w:r>
          </w:p>
        </w:tc>
        <w:tc>
          <w:tcPr>
            <w:tcW w:w="3127" w:type="dxa"/>
          </w:tcPr>
          <w:p w14:paraId="5B54E1EE" w14:textId="77777777" w:rsidR="00D24445" w:rsidRDefault="00D24445" w:rsidP="00CE2FDF">
            <w:pPr>
              <w:spacing w:before="0" w:line="276" w:lineRule="auto"/>
              <w:rPr>
                <w:sz w:val="20"/>
              </w:rPr>
            </w:pPr>
            <w:r w:rsidRPr="00810F25">
              <w:rPr>
                <w:sz w:val="20"/>
              </w:rPr>
              <w:t xml:space="preserve">Substantial increase since 2007 in reports of </w:t>
            </w:r>
            <w:r w:rsidRPr="00CD04A9">
              <w:rPr>
                <w:b/>
                <w:sz w:val="20"/>
              </w:rPr>
              <w:t>EA</w:t>
            </w:r>
            <w:r w:rsidRPr="00810F25">
              <w:rPr>
                <w:sz w:val="20"/>
              </w:rPr>
              <w:t xml:space="preserve"> by</w:t>
            </w:r>
            <w:r>
              <w:rPr>
                <w:sz w:val="20"/>
              </w:rPr>
              <w:t>:</w:t>
            </w:r>
          </w:p>
          <w:p w14:paraId="626C4F03" w14:textId="77777777" w:rsidR="00D24445" w:rsidRPr="00CD04A9" w:rsidRDefault="00D24445" w:rsidP="00CE2FDF">
            <w:pPr>
              <w:pStyle w:val="ListParagraph"/>
              <w:numPr>
                <w:ilvl w:val="0"/>
                <w:numId w:val="10"/>
              </w:numPr>
              <w:spacing w:before="0" w:line="276" w:lineRule="auto"/>
              <w:rPr>
                <w:sz w:val="20"/>
              </w:rPr>
            </w:pPr>
            <w:r w:rsidRPr="00CD04A9">
              <w:rPr>
                <w:sz w:val="20"/>
              </w:rPr>
              <w:t>police (2581 to 14,139)</w:t>
            </w:r>
          </w:p>
          <w:p w14:paraId="702000FA" w14:textId="77777777" w:rsidR="00D24445" w:rsidRPr="00CD04A9" w:rsidRDefault="00D24445" w:rsidP="00CE2FDF">
            <w:pPr>
              <w:pStyle w:val="ListParagraph"/>
              <w:numPr>
                <w:ilvl w:val="0"/>
                <w:numId w:val="10"/>
              </w:numPr>
              <w:spacing w:before="0" w:line="276" w:lineRule="auto"/>
              <w:rPr>
                <w:sz w:val="20"/>
              </w:rPr>
            </w:pPr>
            <w:r w:rsidRPr="00CD04A9">
              <w:rPr>
                <w:sz w:val="20"/>
              </w:rPr>
              <w:t xml:space="preserve">teachers (911 to 4919) </w:t>
            </w:r>
          </w:p>
          <w:p w14:paraId="1F52FF36" w14:textId="74B916C6" w:rsidR="00D24445" w:rsidRPr="00615C3D" w:rsidRDefault="00D24445" w:rsidP="00CE2FDF">
            <w:pPr>
              <w:pStyle w:val="ListParagraph"/>
              <w:numPr>
                <w:ilvl w:val="0"/>
                <w:numId w:val="10"/>
              </w:numPr>
              <w:spacing w:before="0" w:line="276" w:lineRule="auto"/>
              <w:rPr>
                <w:sz w:val="20"/>
              </w:rPr>
            </w:pPr>
            <w:proofErr w:type="gramStart"/>
            <w:r w:rsidRPr="00CD04A9">
              <w:rPr>
                <w:sz w:val="20"/>
              </w:rPr>
              <w:t>other</w:t>
            </w:r>
            <w:proofErr w:type="gramEnd"/>
            <w:r w:rsidRPr="00CD04A9">
              <w:rPr>
                <w:sz w:val="20"/>
              </w:rPr>
              <w:t xml:space="preserve"> reporters (6678 to</w:t>
            </w:r>
            <w:r w:rsidR="00FD7154">
              <w:rPr>
                <w:sz w:val="20"/>
              </w:rPr>
              <w:t xml:space="preserve"> 20,636).</w:t>
            </w:r>
          </w:p>
          <w:p w14:paraId="4E158E16" w14:textId="77777777" w:rsidR="00D24445" w:rsidRDefault="00D24445" w:rsidP="00CE2FDF">
            <w:pPr>
              <w:spacing w:before="0" w:line="276" w:lineRule="auto"/>
              <w:rPr>
                <w:sz w:val="20"/>
              </w:rPr>
            </w:pPr>
            <w:r w:rsidRPr="00810F25">
              <w:rPr>
                <w:sz w:val="20"/>
              </w:rPr>
              <w:t xml:space="preserve">Substantial decrease since 2007 in reports of </w:t>
            </w:r>
            <w:r w:rsidRPr="00CD04A9">
              <w:rPr>
                <w:b/>
                <w:sz w:val="20"/>
              </w:rPr>
              <w:t>N</w:t>
            </w:r>
            <w:r w:rsidRPr="00810F25">
              <w:rPr>
                <w:sz w:val="20"/>
              </w:rPr>
              <w:t xml:space="preserve"> by</w:t>
            </w:r>
            <w:r>
              <w:rPr>
                <w:sz w:val="20"/>
              </w:rPr>
              <w:t>:</w:t>
            </w:r>
          </w:p>
          <w:p w14:paraId="2BF8C92C" w14:textId="77777777" w:rsidR="00D24445" w:rsidRPr="00615C3D" w:rsidRDefault="00D24445" w:rsidP="001876C9">
            <w:pPr>
              <w:pStyle w:val="ListParagraph"/>
              <w:numPr>
                <w:ilvl w:val="0"/>
                <w:numId w:val="22"/>
              </w:numPr>
              <w:spacing w:before="0" w:line="276" w:lineRule="auto"/>
              <w:rPr>
                <w:sz w:val="20"/>
              </w:rPr>
            </w:pPr>
            <w:r w:rsidRPr="00615C3D">
              <w:rPr>
                <w:sz w:val="20"/>
              </w:rPr>
              <w:t>police (2432 to 621)</w:t>
            </w:r>
          </w:p>
          <w:p w14:paraId="024A5509" w14:textId="77777777" w:rsidR="00D24445" w:rsidRPr="00615C3D" w:rsidRDefault="00D24445" w:rsidP="001876C9">
            <w:pPr>
              <w:pStyle w:val="ListParagraph"/>
              <w:numPr>
                <w:ilvl w:val="0"/>
                <w:numId w:val="22"/>
              </w:numPr>
              <w:spacing w:before="0" w:line="276" w:lineRule="auto"/>
              <w:rPr>
                <w:sz w:val="20"/>
              </w:rPr>
            </w:pPr>
            <w:r w:rsidRPr="00615C3D">
              <w:rPr>
                <w:sz w:val="20"/>
              </w:rPr>
              <w:t xml:space="preserve">teachers (1346 to 534) </w:t>
            </w:r>
          </w:p>
          <w:p w14:paraId="1C6612DC" w14:textId="048DC1F6" w:rsidR="00D24445" w:rsidRPr="00615C3D" w:rsidRDefault="00D24445" w:rsidP="001876C9">
            <w:pPr>
              <w:pStyle w:val="ListParagraph"/>
              <w:numPr>
                <w:ilvl w:val="0"/>
                <w:numId w:val="22"/>
              </w:numPr>
              <w:spacing w:before="0" w:line="276" w:lineRule="auto"/>
              <w:rPr>
                <w:sz w:val="20"/>
              </w:rPr>
            </w:pPr>
            <w:proofErr w:type="gramStart"/>
            <w:r w:rsidRPr="00615C3D">
              <w:rPr>
                <w:sz w:val="20"/>
              </w:rPr>
              <w:t>other</w:t>
            </w:r>
            <w:proofErr w:type="gramEnd"/>
            <w:r w:rsidRPr="00615C3D">
              <w:rPr>
                <w:sz w:val="20"/>
              </w:rPr>
              <w:t xml:space="preserve"> reporters (10,005 to 3210</w:t>
            </w:r>
            <w:r w:rsidR="00615C3D" w:rsidRPr="00615C3D">
              <w:rPr>
                <w:sz w:val="20"/>
              </w:rPr>
              <w:t xml:space="preserve">). </w:t>
            </w:r>
          </w:p>
          <w:p w14:paraId="56E822B6" w14:textId="109491F0" w:rsidR="00D24445" w:rsidRPr="00810F25" w:rsidRDefault="00D24445" w:rsidP="00CE2FDF">
            <w:pPr>
              <w:spacing w:before="0" w:line="276" w:lineRule="auto"/>
              <w:rPr>
                <w:sz w:val="20"/>
              </w:rPr>
            </w:pPr>
            <w:r w:rsidRPr="00810F25">
              <w:rPr>
                <w:sz w:val="20"/>
              </w:rPr>
              <w:t xml:space="preserve">Increase since 2007 in reports of </w:t>
            </w:r>
            <w:r w:rsidRPr="00CD04A9">
              <w:rPr>
                <w:b/>
                <w:sz w:val="20"/>
              </w:rPr>
              <w:lastRenderedPageBreak/>
              <w:t>PA</w:t>
            </w:r>
            <w:r w:rsidR="00615C3D">
              <w:rPr>
                <w:sz w:val="20"/>
              </w:rPr>
              <w:t xml:space="preserve"> by police, teachers.</w:t>
            </w:r>
          </w:p>
          <w:p w14:paraId="67850BA4" w14:textId="208E3CD0" w:rsidR="001F15E1" w:rsidRPr="00810F25" w:rsidRDefault="00D24445" w:rsidP="00CE2FDF">
            <w:pPr>
              <w:spacing w:before="0" w:line="276" w:lineRule="auto"/>
              <w:rPr>
                <w:sz w:val="20"/>
              </w:rPr>
            </w:pPr>
            <w:r w:rsidRPr="00810F25">
              <w:rPr>
                <w:sz w:val="20"/>
              </w:rPr>
              <w:t xml:space="preserve">Increase since 2007 in reports of </w:t>
            </w:r>
            <w:r w:rsidRPr="00CD04A9">
              <w:rPr>
                <w:b/>
                <w:sz w:val="20"/>
              </w:rPr>
              <w:t>SA</w:t>
            </w:r>
            <w:r w:rsidRPr="00810F25">
              <w:rPr>
                <w:sz w:val="20"/>
              </w:rPr>
              <w:t xml:space="preserve"> especially by police, but also by teachers and other reporters.</w:t>
            </w:r>
          </w:p>
        </w:tc>
        <w:tc>
          <w:tcPr>
            <w:tcW w:w="2495" w:type="dxa"/>
          </w:tcPr>
          <w:p w14:paraId="761C830B" w14:textId="4B6468F1" w:rsidR="00D24445" w:rsidRDefault="00D24445" w:rsidP="00CE2FDF">
            <w:pPr>
              <w:spacing w:before="0" w:line="276" w:lineRule="auto"/>
              <w:rPr>
                <w:sz w:val="20"/>
              </w:rPr>
            </w:pPr>
            <w:r w:rsidRPr="00CD04A9">
              <w:rPr>
                <w:b/>
                <w:sz w:val="20"/>
              </w:rPr>
              <w:lastRenderedPageBreak/>
              <w:t xml:space="preserve">EA </w:t>
            </w:r>
            <w:r>
              <w:rPr>
                <w:sz w:val="20"/>
              </w:rPr>
              <w:t xml:space="preserve">report increase since 2007 DR suggests messages to reporters about reporting of </w:t>
            </w:r>
            <w:r w:rsidRPr="00CD04A9">
              <w:rPr>
                <w:b/>
                <w:sz w:val="20"/>
              </w:rPr>
              <w:t>EA</w:t>
            </w:r>
            <w:r>
              <w:rPr>
                <w:sz w:val="20"/>
              </w:rPr>
              <w:t xml:space="preserve"> generally, and to which agency, have </w:t>
            </w:r>
            <w:r w:rsidRPr="00810F25">
              <w:rPr>
                <w:i/>
                <w:sz w:val="20"/>
              </w:rPr>
              <w:t>not</w:t>
            </w:r>
            <w:r>
              <w:rPr>
                <w:sz w:val="20"/>
              </w:rPr>
              <w:t xml:space="preserve"> had the desired effect, for police, teachers, and the public). </w:t>
            </w:r>
            <w:proofErr w:type="gramStart"/>
            <w:r w:rsidR="00266088">
              <w:rPr>
                <w:sz w:val="20"/>
              </w:rPr>
              <w:t>Also possibly influenced by CDP.</w:t>
            </w:r>
            <w:proofErr w:type="gramEnd"/>
            <w:r w:rsidR="00266088">
              <w:rPr>
                <w:sz w:val="20"/>
              </w:rPr>
              <w:t xml:space="preserve"> </w:t>
            </w:r>
            <w:r>
              <w:rPr>
                <w:sz w:val="20"/>
              </w:rPr>
              <w:t>This is remediable.</w:t>
            </w:r>
          </w:p>
          <w:p w14:paraId="3EDC2F7D" w14:textId="77777777" w:rsidR="00D24445" w:rsidRDefault="00D24445" w:rsidP="00CE2FDF">
            <w:pPr>
              <w:spacing w:before="0" w:line="276" w:lineRule="auto"/>
              <w:rPr>
                <w:sz w:val="20"/>
              </w:rPr>
            </w:pPr>
          </w:p>
          <w:p w14:paraId="201696DE" w14:textId="77777777" w:rsidR="00D24445" w:rsidRPr="00BE7DE5" w:rsidRDefault="00D24445" w:rsidP="00CE2FDF">
            <w:pPr>
              <w:spacing w:before="0" w:line="276" w:lineRule="auto"/>
              <w:rPr>
                <w:sz w:val="20"/>
              </w:rPr>
            </w:pPr>
            <w:r w:rsidRPr="00CD04A9">
              <w:rPr>
                <w:b/>
                <w:sz w:val="20"/>
              </w:rPr>
              <w:t xml:space="preserve">N </w:t>
            </w:r>
            <w:r>
              <w:rPr>
                <w:sz w:val="20"/>
              </w:rPr>
              <w:t xml:space="preserve">report decline since 2007 DR suggests messages to </w:t>
            </w:r>
            <w:r>
              <w:rPr>
                <w:sz w:val="20"/>
              </w:rPr>
              <w:lastRenderedPageBreak/>
              <w:t xml:space="preserve">reporters about reporting of N generally, and to which agency, </w:t>
            </w:r>
            <w:r w:rsidRPr="00810F25">
              <w:rPr>
                <w:i/>
                <w:sz w:val="20"/>
              </w:rPr>
              <w:t>have</w:t>
            </w:r>
            <w:r>
              <w:rPr>
                <w:sz w:val="20"/>
              </w:rPr>
              <w:t xml:space="preserve"> had the desired effect, for police, teachers, and the public.</w:t>
            </w:r>
          </w:p>
        </w:tc>
      </w:tr>
    </w:tbl>
    <w:p w14:paraId="127B3542" w14:textId="77777777" w:rsidR="005410C7" w:rsidRDefault="005410C7"/>
    <w:tbl>
      <w:tblPr>
        <w:tblStyle w:val="TableGrid"/>
        <w:tblW w:w="0" w:type="auto"/>
        <w:tblLook w:val="04A0" w:firstRow="1" w:lastRow="0" w:firstColumn="1" w:lastColumn="0" w:noHBand="0" w:noVBand="1"/>
        <w:tblCaption w:val="REPORTS BY TYPE OF ABUSE/NEGLECT 2003-2012"/>
      </w:tblPr>
      <w:tblGrid>
        <w:gridCol w:w="1316"/>
        <w:gridCol w:w="2610"/>
        <w:gridCol w:w="3127"/>
        <w:gridCol w:w="2495"/>
      </w:tblGrid>
      <w:tr w:rsidR="00D24445" w:rsidRPr="00E747EE" w14:paraId="59A7D5CF" w14:textId="77777777" w:rsidTr="005410C7">
        <w:trPr>
          <w:tblHeader/>
        </w:trPr>
        <w:tc>
          <w:tcPr>
            <w:tcW w:w="9548" w:type="dxa"/>
            <w:gridSpan w:val="4"/>
            <w:shd w:val="clear" w:color="auto" w:fill="D9D9D9" w:themeFill="background1" w:themeFillShade="D9"/>
          </w:tcPr>
          <w:p w14:paraId="19C5F07E" w14:textId="77777777" w:rsidR="00D24445" w:rsidRPr="006B7AB3" w:rsidRDefault="00D24445" w:rsidP="00CE2FDF">
            <w:pPr>
              <w:spacing w:before="0" w:line="276" w:lineRule="auto"/>
              <w:rPr>
                <w:b/>
              </w:rPr>
            </w:pPr>
            <w:r w:rsidRPr="006B7AB3">
              <w:rPr>
                <w:b/>
                <w:sz w:val="28"/>
              </w:rPr>
              <w:t>REPORTS BY TYPE OF ABUSE/NEGLECT 2003-2012</w:t>
            </w:r>
          </w:p>
        </w:tc>
      </w:tr>
      <w:tr w:rsidR="00E747EE" w:rsidRPr="00E747EE" w14:paraId="64505393" w14:textId="77777777" w:rsidTr="005410C7">
        <w:trPr>
          <w:tblHeader/>
        </w:trPr>
        <w:tc>
          <w:tcPr>
            <w:tcW w:w="1316" w:type="dxa"/>
            <w:shd w:val="clear" w:color="auto" w:fill="BFBFBF" w:themeFill="background1" w:themeFillShade="BF"/>
          </w:tcPr>
          <w:p w14:paraId="16C23D58" w14:textId="77777777" w:rsidR="00E747EE" w:rsidRPr="006B7AB3" w:rsidRDefault="00E747EE" w:rsidP="00CE2FDF">
            <w:pPr>
              <w:spacing w:before="0" w:line="276" w:lineRule="auto"/>
              <w:rPr>
                <w:b/>
              </w:rPr>
            </w:pPr>
            <w:r w:rsidRPr="006B7AB3">
              <w:rPr>
                <w:b/>
              </w:rPr>
              <w:t>Table</w:t>
            </w:r>
          </w:p>
        </w:tc>
        <w:tc>
          <w:tcPr>
            <w:tcW w:w="2610" w:type="dxa"/>
            <w:shd w:val="clear" w:color="auto" w:fill="BFBFBF" w:themeFill="background1" w:themeFillShade="BF"/>
          </w:tcPr>
          <w:p w14:paraId="34B815F6" w14:textId="77777777" w:rsidR="00E747EE" w:rsidRPr="00E747EE" w:rsidRDefault="00E747EE" w:rsidP="00CE2FDF">
            <w:pPr>
              <w:spacing w:before="0" w:line="276" w:lineRule="auto"/>
              <w:rPr>
                <w:b/>
              </w:rPr>
            </w:pPr>
            <w:r w:rsidRPr="00E747EE">
              <w:rPr>
                <w:b/>
              </w:rPr>
              <w:t>Subject</w:t>
            </w:r>
          </w:p>
        </w:tc>
        <w:tc>
          <w:tcPr>
            <w:tcW w:w="3127" w:type="dxa"/>
            <w:shd w:val="clear" w:color="auto" w:fill="BFBFBF" w:themeFill="background1" w:themeFillShade="BF"/>
          </w:tcPr>
          <w:p w14:paraId="152F52AA" w14:textId="77777777" w:rsidR="00E747EE" w:rsidRPr="00E747EE" w:rsidRDefault="00E747EE" w:rsidP="00CE2FDF">
            <w:pPr>
              <w:spacing w:before="0" w:line="276" w:lineRule="auto"/>
              <w:rPr>
                <w:b/>
              </w:rPr>
            </w:pPr>
            <w:r w:rsidRPr="00E747EE">
              <w:rPr>
                <w:b/>
              </w:rPr>
              <w:t>Key findings</w:t>
            </w:r>
          </w:p>
        </w:tc>
        <w:tc>
          <w:tcPr>
            <w:tcW w:w="2495" w:type="dxa"/>
            <w:shd w:val="clear" w:color="auto" w:fill="BFBFBF" w:themeFill="background1" w:themeFillShade="BF"/>
          </w:tcPr>
          <w:p w14:paraId="5383047F" w14:textId="77777777" w:rsidR="00E747EE" w:rsidRPr="00E747EE" w:rsidRDefault="00E747EE" w:rsidP="00CE2FDF">
            <w:pPr>
              <w:spacing w:before="0" w:line="276" w:lineRule="auto"/>
              <w:rPr>
                <w:b/>
              </w:rPr>
            </w:pPr>
            <w:r w:rsidRPr="00E747EE">
              <w:rPr>
                <w:b/>
              </w:rPr>
              <w:t>Interpretation</w:t>
            </w:r>
          </w:p>
        </w:tc>
      </w:tr>
      <w:tr w:rsidR="00D24445" w:rsidRPr="00BE7DE5" w14:paraId="198BF2AA" w14:textId="77777777" w:rsidTr="00E747EE">
        <w:tc>
          <w:tcPr>
            <w:tcW w:w="1316" w:type="dxa"/>
          </w:tcPr>
          <w:p w14:paraId="78A32DA1" w14:textId="77777777" w:rsidR="00D24445" w:rsidRPr="006B7AB3" w:rsidRDefault="00D24445" w:rsidP="00CE2FDF">
            <w:pPr>
              <w:spacing w:before="0" w:line="276" w:lineRule="auto"/>
              <w:rPr>
                <w:b/>
                <w:sz w:val="20"/>
              </w:rPr>
            </w:pPr>
            <w:r w:rsidRPr="006B7AB3">
              <w:rPr>
                <w:b/>
                <w:sz w:val="20"/>
              </w:rPr>
              <w:t>1.18</w:t>
            </w:r>
          </w:p>
        </w:tc>
        <w:tc>
          <w:tcPr>
            <w:tcW w:w="2610" w:type="dxa"/>
          </w:tcPr>
          <w:p w14:paraId="271A63AA" w14:textId="77777777" w:rsidR="00D24445" w:rsidRPr="00BE7DE5" w:rsidRDefault="00D24445" w:rsidP="00CE2FDF">
            <w:pPr>
              <w:spacing w:before="0" w:line="276" w:lineRule="auto"/>
              <w:rPr>
                <w:sz w:val="20"/>
              </w:rPr>
            </w:pPr>
            <w:proofErr w:type="gramStart"/>
            <w:r w:rsidRPr="00BE7DE5">
              <w:rPr>
                <w:sz w:val="20"/>
              </w:rPr>
              <w:t xml:space="preserve">Number of reports of </w:t>
            </w:r>
            <w:r w:rsidRPr="00203121">
              <w:rPr>
                <w:sz w:val="20"/>
              </w:rPr>
              <w:t>emotional abuse</w:t>
            </w:r>
            <w:r w:rsidRPr="00BE7DE5">
              <w:rPr>
                <w:sz w:val="20"/>
              </w:rPr>
              <w:t xml:space="preserve"> by year, by reporte</w:t>
            </w:r>
            <w:r w:rsidR="00CD04A9">
              <w:rPr>
                <w:sz w:val="20"/>
              </w:rPr>
              <w:t>r group, with percentage change.</w:t>
            </w:r>
            <w:proofErr w:type="gramEnd"/>
          </w:p>
        </w:tc>
        <w:tc>
          <w:tcPr>
            <w:tcW w:w="3127" w:type="dxa"/>
          </w:tcPr>
          <w:p w14:paraId="3A6E3312" w14:textId="77777777" w:rsidR="00D24445" w:rsidRDefault="00D24445" w:rsidP="00CE2FDF">
            <w:pPr>
              <w:spacing w:before="0" w:line="276" w:lineRule="auto"/>
              <w:rPr>
                <w:sz w:val="20"/>
              </w:rPr>
            </w:pPr>
            <w:r w:rsidRPr="005F7BC5">
              <w:rPr>
                <w:sz w:val="20"/>
              </w:rPr>
              <w:t xml:space="preserve">Substantial increase </w:t>
            </w:r>
            <w:r>
              <w:rPr>
                <w:sz w:val="20"/>
              </w:rPr>
              <w:t>from 2007 to 2012</w:t>
            </w:r>
            <w:r w:rsidRPr="00DD272C">
              <w:rPr>
                <w:sz w:val="20"/>
              </w:rPr>
              <w:t xml:space="preserve"> </w:t>
            </w:r>
            <w:r w:rsidRPr="005F7BC5">
              <w:rPr>
                <w:sz w:val="20"/>
              </w:rPr>
              <w:t xml:space="preserve">in reports of </w:t>
            </w:r>
            <w:r w:rsidRPr="00CD04A9">
              <w:rPr>
                <w:b/>
                <w:sz w:val="20"/>
              </w:rPr>
              <w:t>EA</w:t>
            </w:r>
            <w:r w:rsidRPr="005F7BC5">
              <w:rPr>
                <w:sz w:val="20"/>
              </w:rPr>
              <w:t xml:space="preserve"> by</w:t>
            </w:r>
            <w:r>
              <w:rPr>
                <w:sz w:val="20"/>
              </w:rPr>
              <w:t>:</w:t>
            </w:r>
          </w:p>
          <w:p w14:paraId="30AA09DD" w14:textId="77777777" w:rsidR="00D24445" w:rsidRPr="00CD04A9" w:rsidRDefault="00D24445" w:rsidP="00CE2FDF">
            <w:pPr>
              <w:pStyle w:val="ListParagraph"/>
              <w:numPr>
                <w:ilvl w:val="0"/>
                <w:numId w:val="11"/>
              </w:numPr>
              <w:spacing w:before="0" w:line="276" w:lineRule="auto"/>
              <w:rPr>
                <w:sz w:val="20"/>
              </w:rPr>
            </w:pPr>
            <w:r w:rsidRPr="00CD04A9">
              <w:rPr>
                <w:sz w:val="20"/>
              </w:rPr>
              <w:t>police (2581 to 14,139)</w:t>
            </w:r>
          </w:p>
          <w:p w14:paraId="06493257" w14:textId="77777777" w:rsidR="00D24445" w:rsidRPr="00CD04A9" w:rsidRDefault="00D24445" w:rsidP="00CE2FDF">
            <w:pPr>
              <w:pStyle w:val="ListParagraph"/>
              <w:numPr>
                <w:ilvl w:val="0"/>
                <w:numId w:val="11"/>
              </w:numPr>
              <w:spacing w:before="0" w:line="276" w:lineRule="auto"/>
              <w:rPr>
                <w:sz w:val="20"/>
              </w:rPr>
            </w:pPr>
            <w:r w:rsidRPr="00CD04A9">
              <w:rPr>
                <w:sz w:val="20"/>
              </w:rPr>
              <w:t>teachers (911 to 4919)</w:t>
            </w:r>
          </w:p>
          <w:p w14:paraId="411CD8EC" w14:textId="77777777" w:rsidR="00D24445" w:rsidRPr="00CD04A9" w:rsidRDefault="00D24445" w:rsidP="00CE2FDF">
            <w:pPr>
              <w:pStyle w:val="ListParagraph"/>
              <w:numPr>
                <w:ilvl w:val="0"/>
                <w:numId w:val="11"/>
              </w:numPr>
              <w:spacing w:before="0" w:line="276" w:lineRule="auto"/>
              <w:rPr>
                <w:sz w:val="20"/>
              </w:rPr>
            </w:pPr>
            <w:r w:rsidRPr="00CD04A9">
              <w:rPr>
                <w:sz w:val="20"/>
              </w:rPr>
              <w:t xml:space="preserve">nurses (329 to 1214) </w:t>
            </w:r>
          </w:p>
          <w:p w14:paraId="0ABA9ABF" w14:textId="77777777" w:rsidR="00D24445" w:rsidRPr="00CD04A9" w:rsidRDefault="00D24445" w:rsidP="00CE2FDF">
            <w:pPr>
              <w:pStyle w:val="ListParagraph"/>
              <w:numPr>
                <w:ilvl w:val="0"/>
                <w:numId w:val="11"/>
              </w:numPr>
              <w:spacing w:before="0" w:line="276" w:lineRule="auto"/>
              <w:rPr>
                <w:sz w:val="20"/>
              </w:rPr>
            </w:pPr>
            <w:proofErr w:type="gramStart"/>
            <w:r w:rsidRPr="00CD04A9">
              <w:rPr>
                <w:sz w:val="20"/>
              </w:rPr>
              <w:t>other</w:t>
            </w:r>
            <w:proofErr w:type="gramEnd"/>
            <w:r w:rsidRPr="00CD04A9">
              <w:rPr>
                <w:sz w:val="20"/>
              </w:rPr>
              <w:t xml:space="preserve"> reporters (6678 to 20,636).</w:t>
            </w:r>
          </w:p>
        </w:tc>
        <w:tc>
          <w:tcPr>
            <w:tcW w:w="2495" w:type="dxa"/>
          </w:tcPr>
          <w:p w14:paraId="33CF5007" w14:textId="77777777" w:rsidR="00D24445" w:rsidRPr="00CD04A9" w:rsidRDefault="00D24445" w:rsidP="00CE2FDF">
            <w:pPr>
              <w:spacing w:before="0" w:line="276" w:lineRule="auto"/>
              <w:rPr>
                <w:b/>
                <w:sz w:val="20"/>
              </w:rPr>
            </w:pPr>
            <w:proofErr w:type="gramStart"/>
            <w:r w:rsidRPr="00CD04A9">
              <w:rPr>
                <w:b/>
                <w:sz w:val="20"/>
              </w:rPr>
              <w:t>Very substantial incr</w:t>
            </w:r>
            <w:r w:rsidR="00CD04A9">
              <w:rPr>
                <w:b/>
                <w:sz w:val="20"/>
              </w:rPr>
              <w:t>ease in EA reporting since 2007.</w:t>
            </w:r>
            <w:proofErr w:type="gramEnd"/>
          </w:p>
          <w:p w14:paraId="6A47691A" w14:textId="0BBFA99E" w:rsidR="00D24445" w:rsidRDefault="00D24445" w:rsidP="00CE2FDF">
            <w:pPr>
              <w:spacing w:before="0" w:line="276" w:lineRule="auto"/>
              <w:rPr>
                <w:sz w:val="20"/>
              </w:rPr>
            </w:pPr>
            <w:r w:rsidRPr="00203121">
              <w:rPr>
                <w:sz w:val="20"/>
              </w:rPr>
              <w:t>Reports by police and teachers have increased by a factor of 5</w:t>
            </w:r>
            <w:r>
              <w:rPr>
                <w:sz w:val="20"/>
              </w:rPr>
              <w:t>; nurses by a factor of 4; other reporters by a factor of 3.</w:t>
            </w:r>
          </w:p>
          <w:p w14:paraId="6EFDCC1A" w14:textId="52DAD2C3" w:rsidR="00D24445" w:rsidRPr="00BE7DE5" w:rsidRDefault="00D24445" w:rsidP="00CE2FDF">
            <w:pPr>
              <w:spacing w:before="0" w:line="276" w:lineRule="auto"/>
              <w:rPr>
                <w:sz w:val="20"/>
              </w:rPr>
            </w:pPr>
            <w:r w:rsidRPr="00CD04A9">
              <w:rPr>
                <w:b/>
                <w:sz w:val="20"/>
              </w:rPr>
              <w:t>EA</w:t>
            </w:r>
            <w:r>
              <w:rPr>
                <w:sz w:val="20"/>
              </w:rPr>
              <w:t xml:space="preserve"> report increase since 2007 DR suggests messages to reporters about reporting of </w:t>
            </w:r>
            <w:r w:rsidRPr="00CD04A9">
              <w:rPr>
                <w:b/>
                <w:sz w:val="20"/>
              </w:rPr>
              <w:t>EA</w:t>
            </w:r>
            <w:r>
              <w:rPr>
                <w:sz w:val="20"/>
              </w:rPr>
              <w:t xml:space="preserve"> generally, and to which agency, have </w:t>
            </w:r>
            <w:r w:rsidRPr="00810F25">
              <w:rPr>
                <w:i/>
                <w:sz w:val="20"/>
              </w:rPr>
              <w:t>not</w:t>
            </w:r>
            <w:r>
              <w:rPr>
                <w:sz w:val="20"/>
              </w:rPr>
              <w:t xml:space="preserve"> had the desired effect, for police, teachers, nurses and the public). This is remediable. Also indicates police OP influential, but not the sole factor as report increases </w:t>
            </w:r>
            <w:r w:rsidR="00CD04A9">
              <w:rPr>
                <w:sz w:val="20"/>
              </w:rPr>
              <w:t>evident across multiple groups.</w:t>
            </w:r>
            <w:r w:rsidR="00E7796C">
              <w:rPr>
                <w:sz w:val="20"/>
              </w:rPr>
              <w:t xml:space="preserve"> </w:t>
            </w:r>
            <w:proofErr w:type="gramStart"/>
            <w:r w:rsidR="00E7796C">
              <w:rPr>
                <w:sz w:val="20"/>
              </w:rPr>
              <w:t>Also possible influence of CDP.</w:t>
            </w:r>
            <w:proofErr w:type="gramEnd"/>
          </w:p>
        </w:tc>
      </w:tr>
      <w:tr w:rsidR="00D24445" w:rsidRPr="00BE7DE5" w14:paraId="3841D3E5" w14:textId="77777777" w:rsidTr="00E747EE">
        <w:tc>
          <w:tcPr>
            <w:tcW w:w="1316" w:type="dxa"/>
          </w:tcPr>
          <w:p w14:paraId="28E928EB" w14:textId="77777777" w:rsidR="00D24445" w:rsidRPr="006B7AB3" w:rsidRDefault="00D24445" w:rsidP="00CE2FDF">
            <w:pPr>
              <w:spacing w:before="0" w:line="276" w:lineRule="auto"/>
              <w:rPr>
                <w:b/>
                <w:sz w:val="20"/>
              </w:rPr>
            </w:pPr>
            <w:r w:rsidRPr="006B7AB3">
              <w:rPr>
                <w:b/>
                <w:sz w:val="20"/>
              </w:rPr>
              <w:t>1.19</w:t>
            </w:r>
          </w:p>
        </w:tc>
        <w:tc>
          <w:tcPr>
            <w:tcW w:w="2610" w:type="dxa"/>
          </w:tcPr>
          <w:p w14:paraId="13D38BF3" w14:textId="77777777" w:rsidR="00D24445" w:rsidRPr="00BE7DE5" w:rsidRDefault="00D24445" w:rsidP="00CE2FDF">
            <w:pPr>
              <w:spacing w:before="0" w:line="276" w:lineRule="auto"/>
              <w:rPr>
                <w:sz w:val="20"/>
              </w:rPr>
            </w:pPr>
            <w:proofErr w:type="gramStart"/>
            <w:r w:rsidRPr="00BE7DE5">
              <w:rPr>
                <w:sz w:val="20"/>
              </w:rPr>
              <w:t xml:space="preserve">Number of reports of </w:t>
            </w:r>
            <w:r w:rsidRPr="00CD04A9">
              <w:rPr>
                <w:b/>
                <w:sz w:val="20"/>
              </w:rPr>
              <w:t>neglect</w:t>
            </w:r>
            <w:r w:rsidRPr="00BE7DE5">
              <w:rPr>
                <w:sz w:val="20"/>
              </w:rPr>
              <w:t xml:space="preserve"> by year, by reporte</w:t>
            </w:r>
            <w:r w:rsidR="00CD04A9">
              <w:rPr>
                <w:sz w:val="20"/>
              </w:rPr>
              <w:t>r group, with percentage change.</w:t>
            </w:r>
            <w:proofErr w:type="gramEnd"/>
          </w:p>
        </w:tc>
        <w:tc>
          <w:tcPr>
            <w:tcW w:w="3127" w:type="dxa"/>
          </w:tcPr>
          <w:p w14:paraId="35ACB52E" w14:textId="77777777" w:rsidR="00D24445" w:rsidRPr="002F2A4F" w:rsidRDefault="00D24445" w:rsidP="00CE2FDF">
            <w:pPr>
              <w:spacing w:before="0" w:line="276" w:lineRule="auto"/>
              <w:rPr>
                <w:sz w:val="20"/>
              </w:rPr>
            </w:pPr>
            <w:r w:rsidRPr="002F2A4F">
              <w:rPr>
                <w:sz w:val="20"/>
              </w:rPr>
              <w:t xml:space="preserve">Substantial decrease from 2007 to 2012 in reports of </w:t>
            </w:r>
            <w:r w:rsidRPr="00FD7154">
              <w:rPr>
                <w:b/>
                <w:sz w:val="20"/>
              </w:rPr>
              <w:t>N</w:t>
            </w:r>
            <w:r w:rsidRPr="002F2A4F">
              <w:rPr>
                <w:sz w:val="20"/>
              </w:rPr>
              <w:t xml:space="preserve"> by:</w:t>
            </w:r>
          </w:p>
          <w:p w14:paraId="3DAF7FA0" w14:textId="77777777" w:rsidR="00D24445" w:rsidRPr="00CD04A9" w:rsidRDefault="00D24445" w:rsidP="00CE2FDF">
            <w:pPr>
              <w:pStyle w:val="ListParagraph"/>
              <w:numPr>
                <w:ilvl w:val="0"/>
                <w:numId w:val="12"/>
              </w:numPr>
              <w:spacing w:before="0" w:line="276" w:lineRule="auto"/>
              <w:rPr>
                <w:sz w:val="20"/>
              </w:rPr>
            </w:pPr>
            <w:r w:rsidRPr="00CD04A9">
              <w:rPr>
                <w:sz w:val="20"/>
              </w:rPr>
              <w:t xml:space="preserve">police (2432 to 621) </w:t>
            </w:r>
          </w:p>
          <w:p w14:paraId="10BFF5C5" w14:textId="77777777" w:rsidR="00D24445" w:rsidRPr="00CD04A9" w:rsidRDefault="00D24445" w:rsidP="00CE2FDF">
            <w:pPr>
              <w:pStyle w:val="ListParagraph"/>
              <w:numPr>
                <w:ilvl w:val="0"/>
                <w:numId w:val="12"/>
              </w:numPr>
              <w:spacing w:before="0" w:line="276" w:lineRule="auto"/>
              <w:rPr>
                <w:sz w:val="20"/>
              </w:rPr>
            </w:pPr>
            <w:r w:rsidRPr="00CD04A9">
              <w:rPr>
                <w:sz w:val="20"/>
              </w:rPr>
              <w:t xml:space="preserve">teachers (1346 to 534) </w:t>
            </w:r>
          </w:p>
          <w:p w14:paraId="2F443579" w14:textId="0500B1CD" w:rsidR="00D24445" w:rsidRPr="00CD04A9" w:rsidRDefault="00D24445" w:rsidP="00CE2FDF">
            <w:pPr>
              <w:pStyle w:val="ListParagraph"/>
              <w:numPr>
                <w:ilvl w:val="0"/>
                <w:numId w:val="12"/>
              </w:numPr>
              <w:spacing w:before="0" w:line="276" w:lineRule="auto"/>
              <w:rPr>
                <w:sz w:val="20"/>
              </w:rPr>
            </w:pPr>
            <w:proofErr w:type="gramStart"/>
            <w:r w:rsidRPr="00CD04A9">
              <w:rPr>
                <w:sz w:val="20"/>
              </w:rPr>
              <w:t>o</w:t>
            </w:r>
            <w:r w:rsidR="00615C3D">
              <w:rPr>
                <w:sz w:val="20"/>
              </w:rPr>
              <w:t>ther</w:t>
            </w:r>
            <w:proofErr w:type="gramEnd"/>
            <w:r w:rsidR="00615C3D">
              <w:rPr>
                <w:sz w:val="20"/>
              </w:rPr>
              <w:t xml:space="preserve"> reporters (10,005 to 3210).</w:t>
            </w:r>
          </w:p>
        </w:tc>
        <w:tc>
          <w:tcPr>
            <w:tcW w:w="2495" w:type="dxa"/>
          </w:tcPr>
          <w:p w14:paraId="0FAE032F" w14:textId="011F6EF2" w:rsidR="00D24445" w:rsidRDefault="00D24445" w:rsidP="00CE2FDF">
            <w:pPr>
              <w:spacing w:before="0" w:line="276" w:lineRule="auto"/>
              <w:rPr>
                <w:sz w:val="20"/>
              </w:rPr>
            </w:pPr>
            <w:proofErr w:type="gramStart"/>
            <w:r w:rsidRPr="00CD04A9">
              <w:rPr>
                <w:b/>
                <w:sz w:val="20"/>
              </w:rPr>
              <w:t>Very substantial decrease in N reporting since 2007,</w:t>
            </w:r>
            <w:r>
              <w:rPr>
                <w:sz w:val="20"/>
              </w:rPr>
              <w:t xml:space="preserve"> especially by police, teachers, a</w:t>
            </w:r>
            <w:r w:rsidR="00615C3D">
              <w:rPr>
                <w:sz w:val="20"/>
              </w:rPr>
              <w:t>nd other reporters.</w:t>
            </w:r>
            <w:proofErr w:type="gramEnd"/>
          </w:p>
          <w:p w14:paraId="64EECD2B" w14:textId="6A9DAE0A" w:rsidR="00D24445" w:rsidRPr="00BE7DE5" w:rsidRDefault="00D24445" w:rsidP="00CE2FDF">
            <w:pPr>
              <w:spacing w:before="0" w:line="276" w:lineRule="auto"/>
              <w:rPr>
                <w:sz w:val="20"/>
              </w:rPr>
            </w:pPr>
            <w:r>
              <w:rPr>
                <w:sz w:val="20"/>
              </w:rPr>
              <w:t>Indicates greater sensitisation to DR after 2007 changes introduc</w:t>
            </w:r>
            <w:r w:rsidR="00615C3D">
              <w:rPr>
                <w:sz w:val="20"/>
              </w:rPr>
              <w:t>ed; also reflects narrow MR law</w:t>
            </w:r>
          </w:p>
        </w:tc>
      </w:tr>
      <w:tr w:rsidR="00D24445" w:rsidRPr="00BE7DE5" w14:paraId="78789255" w14:textId="77777777" w:rsidTr="00E747EE">
        <w:tc>
          <w:tcPr>
            <w:tcW w:w="1316" w:type="dxa"/>
          </w:tcPr>
          <w:p w14:paraId="506AD9E6" w14:textId="77777777" w:rsidR="00D24445" w:rsidRPr="006B7AB3" w:rsidRDefault="00D24445" w:rsidP="00CE2FDF">
            <w:pPr>
              <w:spacing w:before="0" w:line="276" w:lineRule="auto"/>
              <w:rPr>
                <w:b/>
                <w:sz w:val="20"/>
              </w:rPr>
            </w:pPr>
            <w:r w:rsidRPr="006B7AB3">
              <w:rPr>
                <w:b/>
                <w:sz w:val="20"/>
              </w:rPr>
              <w:t>1.20</w:t>
            </w:r>
          </w:p>
        </w:tc>
        <w:tc>
          <w:tcPr>
            <w:tcW w:w="2610" w:type="dxa"/>
          </w:tcPr>
          <w:p w14:paraId="2E362100" w14:textId="77777777" w:rsidR="00D24445" w:rsidRPr="00BE7DE5" w:rsidRDefault="00D24445" w:rsidP="00CE2FDF">
            <w:pPr>
              <w:spacing w:before="0" w:line="276" w:lineRule="auto"/>
              <w:rPr>
                <w:sz w:val="20"/>
              </w:rPr>
            </w:pPr>
            <w:r w:rsidRPr="00BE7DE5">
              <w:rPr>
                <w:sz w:val="20"/>
              </w:rPr>
              <w:t xml:space="preserve">Number of reports of </w:t>
            </w:r>
            <w:r w:rsidRPr="00CD04A9">
              <w:rPr>
                <w:b/>
                <w:sz w:val="20"/>
              </w:rPr>
              <w:t>physical abuse</w:t>
            </w:r>
            <w:r w:rsidRPr="00BE7DE5">
              <w:rPr>
                <w:sz w:val="20"/>
              </w:rPr>
              <w:t xml:space="preserve"> by year, by reporter group, with percentage change </w:t>
            </w:r>
          </w:p>
        </w:tc>
        <w:tc>
          <w:tcPr>
            <w:tcW w:w="3127" w:type="dxa"/>
          </w:tcPr>
          <w:p w14:paraId="6D9CCBAC" w14:textId="77777777" w:rsidR="00D24445" w:rsidRPr="002F2A4F" w:rsidRDefault="00D24445" w:rsidP="00CE2FDF">
            <w:pPr>
              <w:spacing w:before="0" w:line="276" w:lineRule="auto"/>
              <w:rPr>
                <w:sz w:val="20"/>
              </w:rPr>
            </w:pPr>
            <w:r w:rsidRPr="002F2A4F">
              <w:rPr>
                <w:sz w:val="20"/>
              </w:rPr>
              <w:t>Increase in reports from 2007 to 2012 by:</w:t>
            </w:r>
          </w:p>
          <w:p w14:paraId="333E7B0C" w14:textId="77777777" w:rsidR="00D24445" w:rsidRPr="00CD04A9" w:rsidRDefault="00D24445" w:rsidP="00CE2FDF">
            <w:pPr>
              <w:pStyle w:val="ListParagraph"/>
              <w:numPr>
                <w:ilvl w:val="0"/>
                <w:numId w:val="13"/>
              </w:numPr>
              <w:spacing w:before="0" w:line="276" w:lineRule="auto"/>
              <w:rPr>
                <w:sz w:val="20"/>
              </w:rPr>
            </w:pPr>
            <w:r w:rsidRPr="00CD04A9">
              <w:rPr>
                <w:sz w:val="20"/>
              </w:rPr>
              <w:t xml:space="preserve">police (1919 to 3452) </w:t>
            </w:r>
          </w:p>
          <w:p w14:paraId="3DE29775" w14:textId="0EDBFFC5" w:rsidR="00FD7154" w:rsidRPr="00615C3D" w:rsidRDefault="00D24445" w:rsidP="00CE2FDF">
            <w:pPr>
              <w:pStyle w:val="ListParagraph"/>
              <w:numPr>
                <w:ilvl w:val="0"/>
                <w:numId w:val="13"/>
              </w:numPr>
              <w:spacing w:before="0" w:line="276" w:lineRule="auto"/>
              <w:rPr>
                <w:sz w:val="20"/>
              </w:rPr>
            </w:pPr>
            <w:proofErr w:type="gramStart"/>
            <w:r w:rsidRPr="00CD04A9">
              <w:rPr>
                <w:sz w:val="20"/>
              </w:rPr>
              <w:t>teachers</w:t>
            </w:r>
            <w:proofErr w:type="gramEnd"/>
            <w:r w:rsidRPr="00CD04A9">
              <w:rPr>
                <w:sz w:val="20"/>
              </w:rPr>
              <w:t xml:space="preserve"> (1739 to 3963).</w:t>
            </w:r>
          </w:p>
          <w:p w14:paraId="38D94523" w14:textId="77777777" w:rsidR="00FD7154" w:rsidRDefault="00D24445" w:rsidP="00CE2FDF">
            <w:pPr>
              <w:spacing w:before="0" w:line="276" w:lineRule="auto"/>
              <w:rPr>
                <w:sz w:val="20"/>
              </w:rPr>
            </w:pPr>
            <w:r w:rsidRPr="00FD7154">
              <w:rPr>
                <w:sz w:val="20"/>
              </w:rPr>
              <w:t>Stable numbers of reports from</w:t>
            </w:r>
            <w:r w:rsidR="00FD7154">
              <w:rPr>
                <w:sz w:val="20"/>
              </w:rPr>
              <w:t xml:space="preserve"> 2007-2012 by:</w:t>
            </w:r>
          </w:p>
          <w:p w14:paraId="023E1D32" w14:textId="77777777" w:rsidR="00D24445" w:rsidRPr="00FD7154" w:rsidRDefault="00D24445" w:rsidP="00CE2FDF">
            <w:pPr>
              <w:pStyle w:val="ListParagraph"/>
              <w:numPr>
                <w:ilvl w:val="0"/>
                <w:numId w:val="16"/>
              </w:numPr>
              <w:spacing w:before="0" w:line="276" w:lineRule="auto"/>
              <w:rPr>
                <w:sz w:val="20"/>
              </w:rPr>
            </w:pPr>
            <w:proofErr w:type="gramStart"/>
            <w:r w:rsidRPr="00FD7154">
              <w:rPr>
                <w:sz w:val="20"/>
              </w:rPr>
              <w:t>other</w:t>
            </w:r>
            <w:proofErr w:type="gramEnd"/>
            <w:r w:rsidRPr="00FD7154">
              <w:rPr>
                <w:sz w:val="20"/>
              </w:rPr>
              <w:t xml:space="preserve"> reporters over the </w:t>
            </w:r>
            <w:r w:rsidRPr="00FD7154">
              <w:rPr>
                <w:sz w:val="20"/>
              </w:rPr>
              <w:lastRenderedPageBreak/>
              <w:t>decade (5692 to 6627).</w:t>
            </w:r>
          </w:p>
        </w:tc>
        <w:tc>
          <w:tcPr>
            <w:tcW w:w="2495" w:type="dxa"/>
          </w:tcPr>
          <w:p w14:paraId="30E0C369" w14:textId="18433C5B" w:rsidR="00D24445" w:rsidRDefault="00D24445" w:rsidP="00CE2FDF">
            <w:pPr>
              <w:spacing w:before="0" w:line="276" w:lineRule="auto"/>
              <w:rPr>
                <w:sz w:val="20"/>
              </w:rPr>
            </w:pPr>
            <w:r>
              <w:rPr>
                <w:sz w:val="20"/>
              </w:rPr>
              <w:lastRenderedPageBreak/>
              <w:t xml:space="preserve">Smaller but still significant increase in reports of </w:t>
            </w:r>
            <w:r w:rsidRPr="00CD04A9">
              <w:rPr>
                <w:b/>
                <w:sz w:val="20"/>
              </w:rPr>
              <w:t>PA</w:t>
            </w:r>
            <w:r>
              <w:rPr>
                <w:sz w:val="20"/>
              </w:rPr>
              <w:t xml:space="preserve"> by police, and especially by teachers; perhaps indicates greater sensitisati</w:t>
            </w:r>
            <w:r w:rsidR="00615C3D">
              <w:rPr>
                <w:sz w:val="20"/>
              </w:rPr>
              <w:t>on after DR changes introduced.</w:t>
            </w:r>
          </w:p>
          <w:p w14:paraId="7E540609" w14:textId="52755D75" w:rsidR="00D24445" w:rsidRPr="00BE7DE5" w:rsidRDefault="00D24445" w:rsidP="00CE2FDF">
            <w:pPr>
              <w:spacing w:before="0" w:line="276" w:lineRule="auto"/>
              <w:rPr>
                <w:sz w:val="20"/>
              </w:rPr>
            </w:pPr>
            <w:proofErr w:type="gramStart"/>
            <w:r>
              <w:rPr>
                <w:sz w:val="20"/>
              </w:rPr>
              <w:t xml:space="preserve">Different, stable pattern </w:t>
            </w:r>
            <w:r>
              <w:rPr>
                <w:sz w:val="20"/>
              </w:rPr>
              <w:lastRenderedPageBreak/>
              <w:t>over time</w:t>
            </w:r>
            <w:r w:rsidR="00615C3D">
              <w:rPr>
                <w:sz w:val="20"/>
              </w:rPr>
              <w:t xml:space="preserve"> of reports by other reporters.</w:t>
            </w:r>
            <w:proofErr w:type="gramEnd"/>
          </w:p>
        </w:tc>
      </w:tr>
      <w:tr w:rsidR="00D24445" w:rsidRPr="00BE7DE5" w14:paraId="77F9EE51" w14:textId="77777777" w:rsidTr="00E747EE">
        <w:tc>
          <w:tcPr>
            <w:tcW w:w="1316" w:type="dxa"/>
          </w:tcPr>
          <w:p w14:paraId="4492CBE0" w14:textId="77777777" w:rsidR="00D24445" w:rsidRPr="006B7AB3" w:rsidRDefault="00D24445" w:rsidP="00CE2FDF">
            <w:pPr>
              <w:spacing w:before="0" w:line="276" w:lineRule="auto"/>
              <w:rPr>
                <w:b/>
                <w:sz w:val="20"/>
              </w:rPr>
            </w:pPr>
            <w:r w:rsidRPr="006B7AB3">
              <w:rPr>
                <w:b/>
                <w:sz w:val="20"/>
              </w:rPr>
              <w:lastRenderedPageBreak/>
              <w:t>1.21</w:t>
            </w:r>
          </w:p>
        </w:tc>
        <w:tc>
          <w:tcPr>
            <w:tcW w:w="2610" w:type="dxa"/>
          </w:tcPr>
          <w:p w14:paraId="4EA43A19" w14:textId="77777777" w:rsidR="00D24445" w:rsidRPr="00BE7DE5" w:rsidRDefault="00D24445" w:rsidP="00CE2FDF">
            <w:pPr>
              <w:spacing w:before="0" w:line="276" w:lineRule="auto"/>
              <w:rPr>
                <w:sz w:val="20"/>
              </w:rPr>
            </w:pPr>
            <w:r w:rsidRPr="00BE7DE5">
              <w:rPr>
                <w:sz w:val="20"/>
              </w:rPr>
              <w:t xml:space="preserve">Number of reports of </w:t>
            </w:r>
            <w:r w:rsidRPr="00CD04A9">
              <w:rPr>
                <w:b/>
                <w:sz w:val="20"/>
              </w:rPr>
              <w:t>sexual abuse</w:t>
            </w:r>
            <w:r w:rsidRPr="00BE7DE5">
              <w:rPr>
                <w:sz w:val="20"/>
              </w:rPr>
              <w:t xml:space="preserve"> by year, by reporter group, with percentage change </w:t>
            </w:r>
          </w:p>
        </w:tc>
        <w:tc>
          <w:tcPr>
            <w:tcW w:w="3127" w:type="dxa"/>
          </w:tcPr>
          <w:p w14:paraId="0D55B63D" w14:textId="77777777" w:rsidR="00D24445" w:rsidRDefault="00D24445" w:rsidP="00CE2FDF">
            <w:pPr>
              <w:spacing w:before="0" w:line="276" w:lineRule="auto"/>
              <w:rPr>
                <w:sz w:val="20"/>
              </w:rPr>
            </w:pPr>
            <w:r>
              <w:rPr>
                <w:sz w:val="20"/>
              </w:rPr>
              <w:t>Substantial i</w:t>
            </w:r>
            <w:r w:rsidRPr="00DD272C">
              <w:rPr>
                <w:sz w:val="20"/>
              </w:rPr>
              <w:t xml:space="preserve">ncrease in reports </w:t>
            </w:r>
            <w:r>
              <w:rPr>
                <w:sz w:val="20"/>
              </w:rPr>
              <w:t>from 2007 to 2012</w:t>
            </w:r>
            <w:r w:rsidRPr="00DD272C">
              <w:rPr>
                <w:sz w:val="20"/>
              </w:rPr>
              <w:t xml:space="preserve"> by</w:t>
            </w:r>
            <w:r>
              <w:rPr>
                <w:sz w:val="20"/>
              </w:rPr>
              <w:t>:</w:t>
            </w:r>
          </w:p>
          <w:p w14:paraId="2C3CFDE1" w14:textId="77777777" w:rsidR="00D24445" w:rsidRPr="00CD04A9" w:rsidRDefault="00D24445" w:rsidP="00CE2FDF">
            <w:pPr>
              <w:pStyle w:val="ListParagraph"/>
              <w:numPr>
                <w:ilvl w:val="0"/>
                <w:numId w:val="14"/>
              </w:numPr>
              <w:spacing w:before="0" w:line="276" w:lineRule="auto"/>
              <w:rPr>
                <w:sz w:val="20"/>
              </w:rPr>
            </w:pPr>
            <w:r w:rsidRPr="00CD04A9">
              <w:rPr>
                <w:sz w:val="20"/>
              </w:rPr>
              <w:t>police (698 to 2780)</w:t>
            </w:r>
          </w:p>
          <w:p w14:paraId="3AE471A9" w14:textId="77777777" w:rsidR="00D24445" w:rsidRPr="00CD04A9" w:rsidRDefault="00D24445" w:rsidP="00CE2FDF">
            <w:pPr>
              <w:pStyle w:val="ListParagraph"/>
              <w:numPr>
                <w:ilvl w:val="0"/>
                <w:numId w:val="14"/>
              </w:numPr>
              <w:spacing w:before="0" w:line="276" w:lineRule="auto"/>
              <w:rPr>
                <w:sz w:val="20"/>
              </w:rPr>
            </w:pPr>
            <w:r w:rsidRPr="00CD04A9">
              <w:rPr>
                <w:sz w:val="20"/>
              </w:rPr>
              <w:t xml:space="preserve">teachers (420 to 1001) </w:t>
            </w:r>
          </w:p>
          <w:p w14:paraId="68E940D3" w14:textId="77777777" w:rsidR="00D24445" w:rsidRPr="00CD04A9" w:rsidRDefault="00D24445" w:rsidP="00CE2FDF">
            <w:pPr>
              <w:pStyle w:val="ListParagraph"/>
              <w:numPr>
                <w:ilvl w:val="0"/>
                <w:numId w:val="14"/>
              </w:numPr>
              <w:spacing w:before="0" w:line="276" w:lineRule="auto"/>
              <w:rPr>
                <w:sz w:val="20"/>
              </w:rPr>
            </w:pPr>
            <w:proofErr w:type="gramStart"/>
            <w:r w:rsidRPr="00CD04A9">
              <w:rPr>
                <w:sz w:val="20"/>
              </w:rPr>
              <w:t>the</w:t>
            </w:r>
            <w:proofErr w:type="gramEnd"/>
            <w:r w:rsidRPr="00CD04A9">
              <w:rPr>
                <w:sz w:val="20"/>
              </w:rPr>
              <w:t xml:space="preserve"> public (1799 to 3231).</w:t>
            </w:r>
          </w:p>
          <w:p w14:paraId="6BE9F85C" w14:textId="3CEC32BF" w:rsidR="00D24445" w:rsidRPr="00615C3D" w:rsidRDefault="00D24445" w:rsidP="00CE2FDF">
            <w:pPr>
              <w:spacing w:before="0" w:line="276" w:lineRule="auto"/>
              <w:rPr>
                <w:sz w:val="20"/>
              </w:rPr>
            </w:pPr>
            <w:proofErr w:type="gramStart"/>
            <w:r>
              <w:rPr>
                <w:sz w:val="20"/>
              </w:rPr>
              <w:t>I</w:t>
            </w:r>
            <w:r w:rsidRPr="00DD272C">
              <w:rPr>
                <w:sz w:val="20"/>
              </w:rPr>
              <w:t xml:space="preserve">ncrease </w:t>
            </w:r>
            <w:r>
              <w:rPr>
                <w:sz w:val="20"/>
              </w:rPr>
              <w:t>especially notable from 2009 through 2012</w:t>
            </w:r>
            <w:r w:rsidR="00615C3D">
              <w:rPr>
                <w:sz w:val="20"/>
              </w:rPr>
              <w:t>.</w:t>
            </w:r>
            <w:proofErr w:type="gramEnd"/>
          </w:p>
        </w:tc>
        <w:tc>
          <w:tcPr>
            <w:tcW w:w="2495" w:type="dxa"/>
          </w:tcPr>
          <w:p w14:paraId="69F50627" w14:textId="25A7B7AD" w:rsidR="00D24445" w:rsidRPr="00BE7DE5" w:rsidRDefault="00D24445" w:rsidP="00CE2FDF">
            <w:pPr>
              <w:spacing w:before="0" w:line="276" w:lineRule="auto"/>
              <w:rPr>
                <w:sz w:val="20"/>
              </w:rPr>
            </w:pPr>
            <w:r>
              <w:rPr>
                <w:sz w:val="20"/>
              </w:rPr>
              <w:t>Substantial increase from 2009, especially by police and teachers, but also the public, suggests greater sensitisation afte</w:t>
            </w:r>
            <w:r w:rsidR="00615C3D">
              <w:rPr>
                <w:sz w:val="20"/>
              </w:rPr>
              <w:t>r Ombudsman’s report.</w:t>
            </w:r>
          </w:p>
        </w:tc>
      </w:tr>
    </w:tbl>
    <w:p w14:paraId="1BB6DE26" w14:textId="77777777" w:rsidR="005410C7" w:rsidRDefault="005410C7"/>
    <w:tbl>
      <w:tblPr>
        <w:tblStyle w:val="TableGrid"/>
        <w:tblW w:w="0" w:type="auto"/>
        <w:tblLook w:val="04A0" w:firstRow="1" w:lastRow="0" w:firstColumn="1" w:lastColumn="0" w:noHBand="0" w:noVBand="1"/>
        <w:tblCaption w:val="REPORTS BY REPORTER GROUPS 2003-2012"/>
      </w:tblPr>
      <w:tblGrid>
        <w:gridCol w:w="1316"/>
        <w:gridCol w:w="2610"/>
        <w:gridCol w:w="3127"/>
        <w:gridCol w:w="2495"/>
      </w:tblGrid>
      <w:tr w:rsidR="00D24445" w:rsidRPr="00E747EE" w14:paraId="756DE9A2" w14:textId="77777777" w:rsidTr="005410C7">
        <w:trPr>
          <w:tblHeader/>
        </w:trPr>
        <w:tc>
          <w:tcPr>
            <w:tcW w:w="9548" w:type="dxa"/>
            <w:gridSpan w:val="4"/>
            <w:shd w:val="clear" w:color="auto" w:fill="D9D9D9" w:themeFill="background1" w:themeFillShade="D9"/>
          </w:tcPr>
          <w:p w14:paraId="4A3885B2" w14:textId="77777777" w:rsidR="00D24445" w:rsidRPr="005410C7" w:rsidRDefault="00D24445" w:rsidP="00CE2FDF">
            <w:pPr>
              <w:pStyle w:val="Tableheading"/>
              <w:spacing w:before="0" w:line="276" w:lineRule="auto"/>
            </w:pPr>
            <w:r w:rsidRPr="005410C7">
              <w:t>REPORTS BY REPORTER GROUPS 2003-2012</w:t>
            </w:r>
          </w:p>
        </w:tc>
      </w:tr>
      <w:tr w:rsidR="00E747EE" w:rsidRPr="00E747EE" w14:paraId="69A872C9" w14:textId="77777777" w:rsidTr="005410C7">
        <w:trPr>
          <w:tblHeader/>
        </w:trPr>
        <w:tc>
          <w:tcPr>
            <w:tcW w:w="1316" w:type="dxa"/>
            <w:shd w:val="clear" w:color="auto" w:fill="BFBFBF" w:themeFill="background1" w:themeFillShade="BF"/>
          </w:tcPr>
          <w:p w14:paraId="14A8E23E" w14:textId="77777777" w:rsidR="00E747EE" w:rsidRPr="006B7AB3" w:rsidRDefault="00E747EE" w:rsidP="00CE2FDF">
            <w:pPr>
              <w:spacing w:before="0" w:line="276" w:lineRule="auto"/>
              <w:rPr>
                <w:b/>
              </w:rPr>
            </w:pPr>
            <w:r w:rsidRPr="006B7AB3">
              <w:rPr>
                <w:b/>
              </w:rPr>
              <w:t>Table</w:t>
            </w:r>
          </w:p>
        </w:tc>
        <w:tc>
          <w:tcPr>
            <w:tcW w:w="2610" w:type="dxa"/>
            <w:shd w:val="clear" w:color="auto" w:fill="BFBFBF" w:themeFill="background1" w:themeFillShade="BF"/>
          </w:tcPr>
          <w:p w14:paraId="2DFC17B3" w14:textId="77777777" w:rsidR="00E747EE" w:rsidRPr="00E747EE" w:rsidRDefault="00E747EE" w:rsidP="00CE2FDF">
            <w:pPr>
              <w:spacing w:before="0" w:line="276" w:lineRule="auto"/>
              <w:rPr>
                <w:b/>
              </w:rPr>
            </w:pPr>
            <w:r w:rsidRPr="00E747EE">
              <w:rPr>
                <w:b/>
              </w:rPr>
              <w:t>Subject</w:t>
            </w:r>
          </w:p>
        </w:tc>
        <w:tc>
          <w:tcPr>
            <w:tcW w:w="3127" w:type="dxa"/>
            <w:shd w:val="clear" w:color="auto" w:fill="BFBFBF" w:themeFill="background1" w:themeFillShade="BF"/>
          </w:tcPr>
          <w:p w14:paraId="3B260A31" w14:textId="77777777" w:rsidR="00E747EE" w:rsidRPr="00E747EE" w:rsidRDefault="00E747EE" w:rsidP="00CE2FDF">
            <w:pPr>
              <w:spacing w:before="0" w:line="276" w:lineRule="auto"/>
              <w:rPr>
                <w:b/>
              </w:rPr>
            </w:pPr>
            <w:r w:rsidRPr="00E747EE">
              <w:rPr>
                <w:b/>
              </w:rPr>
              <w:t>Key findings</w:t>
            </w:r>
          </w:p>
        </w:tc>
        <w:tc>
          <w:tcPr>
            <w:tcW w:w="2495" w:type="dxa"/>
            <w:shd w:val="clear" w:color="auto" w:fill="BFBFBF" w:themeFill="background1" w:themeFillShade="BF"/>
          </w:tcPr>
          <w:p w14:paraId="3D61BD50" w14:textId="77777777" w:rsidR="00E747EE" w:rsidRPr="00E747EE" w:rsidRDefault="00E747EE" w:rsidP="00CE2FDF">
            <w:pPr>
              <w:spacing w:before="0" w:line="276" w:lineRule="auto"/>
              <w:rPr>
                <w:b/>
              </w:rPr>
            </w:pPr>
            <w:r w:rsidRPr="00E747EE">
              <w:rPr>
                <w:b/>
              </w:rPr>
              <w:t>Interpretation</w:t>
            </w:r>
          </w:p>
        </w:tc>
      </w:tr>
      <w:tr w:rsidR="00D24445" w:rsidRPr="00BE7DE5" w14:paraId="00EBEC8C" w14:textId="77777777" w:rsidTr="00E747EE">
        <w:tc>
          <w:tcPr>
            <w:tcW w:w="1316" w:type="dxa"/>
          </w:tcPr>
          <w:p w14:paraId="7E488938" w14:textId="77777777" w:rsidR="00D24445" w:rsidRPr="006B7AB3" w:rsidRDefault="00D24445" w:rsidP="00CE2FDF">
            <w:pPr>
              <w:spacing w:before="0" w:line="276" w:lineRule="auto"/>
              <w:rPr>
                <w:b/>
                <w:sz w:val="20"/>
              </w:rPr>
            </w:pPr>
            <w:r w:rsidRPr="006B7AB3">
              <w:rPr>
                <w:b/>
                <w:sz w:val="20"/>
              </w:rPr>
              <w:t>1.26.1</w:t>
            </w:r>
          </w:p>
        </w:tc>
        <w:tc>
          <w:tcPr>
            <w:tcW w:w="2610" w:type="dxa"/>
          </w:tcPr>
          <w:p w14:paraId="3FC52161" w14:textId="77777777" w:rsidR="00D24445" w:rsidRPr="00BE7DE5" w:rsidRDefault="00D24445" w:rsidP="00CE2FDF">
            <w:pPr>
              <w:spacing w:before="0" w:line="276" w:lineRule="auto"/>
              <w:rPr>
                <w:sz w:val="20"/>
              </w:rPr>
            </w:pPr>
            <w:r w:rsidRPr="00BE7DE5">
              <w:rPr>
                <w:sz w:val="20"/>
              </w:rPr>
              <w:t xml:space="preserve">Reports by major reporter groups combined, by year, by abuse type (number and percentage) </w:t>
            </w:r>
          </w:p>
        </w:tc>
        <w:tc>
          <w:tcPr>
            <w:tcW w:w="3127" w:type="dxa"/>
          </w:tcPr>
          <w:p w14:paraId="3ECD3175" w14:textId="2E3E25AA" w:rsidR="00D24445" w:rsidRDefault="00D24445" w:rsidP="00CE2FDF">
            <w:pPr>
              <w:spacing w:before="0" w:line="276" w:lineRule="auto"/>
              <w:rPr>
                <w:sz w:val="20"/>
              </w:rPr>
            </w:pPr>
            <w:r w:rsidRPr="00A87AB2">
              <w:rPr>
                <w:sz w:val="20"/>
              </w:rPr>
              <w:t xml:space="preserve">Substantial increase in reports of </w:t>
            </w:r>
            <w:r w:rsidRPr="00CD04A9">
              <w:rPr>
                <w:b/>
                <w:sz w:val="20"/>
              </w:rPr>
              <w:t xml:space="preserve">EA </w:t>
            </w:r>
            <w:r>
              <w:rPr>
                <w:sz w:val="20"/>
              </w:rPr>
              <w:t>(</w:t>
            </w:r>
            <w:r w:rsidRPr="00A87AB2">
              <w:rPr>
                <w:sz w:val="20"/>
              </w:rPr>
              <w:t>4490 to 20,844</w:t>
            </w:r>
            <w:r>
              <w:rPr>
                <w:sz w:val="20"/>
              </w:rPr>
              <w:t>)</w:t>
            </w:r>
            <w:r w:rsidRPr="00A87AB2">
              <w:rPr>
                <w:sz w:val="20"/>
              </w:rPr>
              <w:t>, and as proportion of all reports (35% to 59%)</w:t>
            </w:r>
            <w:proofErr w:type="gramStart"/>
            <w:r w:rsidRPr="00A87AB2">
              <w:rPr>
                <w:sz w:val="20"/>
              </w:rPr>
              <w:t>;</w:t>
            </w:r>
            <w:proofErr w:type="gramEnd"/>
            <w:r w:rsidRPr="00A87AB2">
              <w:rPr>
                <w:sz w:val="20"/>
              </w:rPr>
              <w:t xml:space="preserve"> </w:t>
            </w:r>
          </w:p>
          <w:p w14:paraId="4F9F7B2E" w14:textId="2137BEFB" w:rsidR="00D24445" w:rsidRDefault="00D24445" w:rsidP="00CE2FDF">
            <w:pPr>
              <w:spacing w:before="0" w:line="276" w:lineRule="auto"/>
              <w:rPr>
                <w:sz w:val="20"/>
              </w:rPr>
            </w:pPr>
            <w:r>
              <w:rPr>
                <w:sz w:val="20"/>
              </w:rPr>
              <w:t>D</w:t>
            </w:r>
            <w:r w:rsidRPr="00A87AB2">
              <w:rPr>
                <w:sz w:val="20"/>
              </w:rPr>
              <w:t xml:space="preserve">ecrease in reports of </w:t>
            </w:r>
            <w:r w:rsidRPr="00CD04A9">
              <w:rPr>
                <w:b/>
                <w:sz w:val="20"/>
              </w:rPr>
              <w:t xml:space="preserve">N </w:t>
            </w:r>
            <w:r w:rsidRPr="00A87AB2">
              <w:rPr>
                <w:sz w:val="20"/>
              </w:rPr>
              <w:t>(3276 to 1692) and decline in proportion of all reports (25% to 5%);</w:t>
            </w:r>
          </w:p>
          <w:p w14:paraId="66888BE4" w14:textId="72A65CF3" w:rsidR="00D24445" w:rsidRDefault="00D24445" w:rsidP="00CE2FDF">
            <w:pPr>
              <w:spacing w:before="0" w:line="276" w:lineRule="auto"/>
              <w:rPr>
                <w:sz w:val="20"/>
              </w:rPr>
            </w:pPr>
            <w:r>
              <w:rPr>
                <w:sz w:val="20"/>
              </w:rPr>
              <w:t>I</w:t>
            </w:r>
            <w:r w:rsidRPr="00A87AB2">
              <w:rPr>
                <w:sz w:val="20"/>
              </w:rPr>
              <w:t xml:space="preserve">ncrease in reports of </w:t>
            </w:r>
            <w:r w:rsidRPr="00CD04A9">
              <w:rPr>
                <w:b/>
                <w:sz w:val="20"/>
              </w:rPr>
              <w:t>PA</w:t>
            </w:r>
            <w:r w:rsidRPr="00A87AB2">
              <w:rPr>
                <w:sz w:val="20"/>
              </w:rPr>
              <w:t xml:space="preserve"> (3356 to 8292) but decline as proportion of all reports (26% to 24%); </w:t>
            </w:r>
          </w:p>
          <w:p w14:paraId="0055875C" w14:textId="7348D833" w:rsidR="00D24445" w:rsidRPr="00A87AB2" w:rsidRDefault="00D24445" w:rsidP="00CE2FDF">
            <w:pPr>
              <w:spacing w:before="0" w:line="276" w:lineRule="auto"/>
              <w:rPr>
                <w:sz w:val="20"/>
              </w:rPr>
            </w:pPr>
            <w:r>
              <w:rPr>
                <w:sz w:val="20"/>
              </w:rPr>
              <w:t>I</w:t>
            </w:r>
            <w:r w:rsidRPr="00A87AB2">
              <w:rPr>
                <w:sz w:val="20"/>
              </w:rPr>
              <w:t xml:space="preserve">ncrease in reports of </w:t>
            </w:r>
            <w:r w:rsidRPr="00CD04A9">
              <w:rPr>
                <w:b/>
                <w:sz w:val="20"/>
              </w:rPr>
              <w:t>SA</w:t>
            </w:r>
            <w:r w:rsidRPr="00A87AB2">
              <w:rPr>
                <w:sz w:val="20"/>
              </w:rPr>
              <w:t xml:space="preserve"> (1578 to 4116) but stable as proportion of all reports (12%).</w:t>
            </w:r>
          </w:p>
        </w:tc>
        <w:tc>
          <w:tcPr>
            <w:tcW w:w="2495" w:type="dxa"/>
          </w:tcPr>
          <w:p w14:paraId="3A451497" w14:textId="77777777" w:rsidR="00D24445" w:rsidRDefault="00D24445" w:rsidP="00CE2FDF">
            <w:pPr>
              <w:spacing w:before="0" w:line="276" w:lineRule="auto"/>
              <w:rPr>
                <w:sz w:val="20"/>
              </w:rPr>
            </w:pPr>
            <w:r w:rsidRPr="00CD04A9">
              <w:rPr>
                <w:b/>
                <w:sz w:val="20"/>
              </w:rPr>
              <w:t>EA</w:t>
            </w:r>
            <w:r>
              <w:rPr>
                <w:sz w:val="20"/>
              </w:rPr>
              <w:t xml:space="preserve"> by far the highest proportion of reports by ‘mandated reporter groups’ even though it is not a mandated category of reports</w:t>
            </w:r>
            <w:r w:rsidR="00E7796C">
              <w:rPr>
                <w:sz w:val="20"/>
              </w:rPr>
              <w:t>.</w:t>
            </w:r>
          </w:p>
          <w:p w14:paraId="6C3679CF" w14:textId="1B648FA6" w:rsidR="00E7796C" w:rsidRPr="00BE7DE5" w:rsidRDefault="00E7796C" w:rsidP="00CE2FDF">
            <w:pPr>
              <w:spacing w:before="0" w:line="276" w:lineRule="auto"/>
              <w:rPr>
                <w:sz w:val="20"/>
              </w:rPr>
            </w:pPr>
            <w:r>
              <w:rPr>
                <w:sz w:val="20"/>
              </w:rPr>
              <w:t>Possible influence of CDP</w:t>
            </w:r>
          </w:p>
        </w:tc>
      </w:tr>
      <w:tr w:rsidR="00D24445" w:rsidRPr="00BE7DE5" w14:paraId="6B6EF0A2" w14:textId="77777777" w:rsidTr="00E747EE">
        <w:tc>
          <w:tcPr>
            <w:tcW w:w="1316" w:type="dxa"/>
          </w:tcPr>
          <w:p w14:paraId="75DE5966" w14:textId="0733B076" w:rsidR="00D24445" w:rsidRPr="006B7AB3" w:rsidRDefault="00D24445" w:rsidP="00CE2FDF">
            <w:pPr>
              <w:spacing w:before="0" w:line="276" w:lineRule="auto"/>
              <w:rPr>
                <w:b/>
                <w:sz w:val="20"/>
              </w:rPr>
            </w:pPr>
            <w:r w:rsidRPr="006B7AB3">
              <w:rPr>
                <w:b/>
                <w:sz w:val="20"/>
              </w:rPr>
              <w:t>1.26.2</w:t>
            </w:r>
          </w:p>
        </w:tc>
        <w:tc>
          <w:tcPr>
            <w:tcW w:w="2610" w:type="dxa"/>
          </w:tcPr>
          <w:p w14:paraId="6E189424" w14:textId="77777777" w:rsidR="00D24445" w:rsidRPr="00BE7DE5" w:rsidRDefault="00D24445" w:rsidP="00CE2FDF">
            <w:pPr>
              <w:spacing w:before="0" w:line="276" w:lineRule="auto"/>
              <w:rPr>
                <w:sz w:val="20"/>
              </w:rPr>
            </w:pPr>
            <w:r w:rsidRPr="00BE7DE5">
              <w:rPr>
                <w:sz w:val="20"/>
              </w:rPr>
              <w:t xml:space="preserve">Reports by major reporter groups combined, by year, by outcome of reports (number and percentage) </w:t>
            </w:r>
          </w:p>
        </w:tc>
        <w:tc>
          <w:tcPr>
            <w:tcW w:w="3127" w:type="dxa"/>
          </w:tcPr>
          <w:p w14:paraId="2BD65D9D" w14:textId="4C9B1B88" w:rsidR="00D24445" w:rsidRDefault="00D24445" w:rsidP="00CE2FDF">
            <w:pPr>
              <w:spacing w:before="0" w:line="276" w:lineRule="auto"/>
              <w:rPr>
                <w:sz w:val="20"/>
              </w:rPr>
            </w:pPr>
            <w:r w:rsidRPr="00A87AB2">
              <w:rPr>
                <w:sz w:val="20"/>
              </w:rPr>
              <w:t>Substantiation numbers have increased (3212 to 5536) while percentage has declined overall due to investigations having increased (4897 to 9167).</w:t>
            </w:r>
          </w:p>
          <w:p w14:paraId="6EB726E1" w14:textId="31F56C52" w:rsidR="00D24445" w:rsidRPr="00615C3D" w:rsidRDefault="00D24445" w:rsidP="00CE2FDF">
            <w:pPr>
              <w:spacing w:before="0" w:line="276" w:lineRule="auto"/>
              <w:rPr>
                <w:sz w:val="20"/>
              </w:rPr>
            </w:pPr>
            <w:proofErr w:type="gramStart"/>
            <w:r>
              <w:rPr>
                <w:sz w:val="20"/>
              </w:rPr>
              <w:t>Over the decade, 36,888 substantia</w:t>
            </w:r>
            <w:r w:rsidR="00615C3D">
              <w:rPr>
                <w:sz w:val="20"/>
              </w:rPr>
              <w:t>tions of 57,944 investigations.</w:t>
            </w:r>
            <w:proofErr w:type="gramEnd"/>
          </w:p>
        </w:tc>
        <w:tc>
          <w:tcPr>
            <w:tcW w:w="2495" w:type="dxa"/>
          </w:tcPr>
          <w:p w14:paraId="035B86C5" w14:textId="77777777" w:rsidR="00D24445" w:rsidRDefault="00D24445" w:rsidP="00CE2FDF">
            <w:pPr>
              <w:spacing w:before="0" w:line="276" w:lineRule="auto"/>
              <w:rPr>
                <w:sz w:val="20"/>
              </w:rPr>
            </w:pPr>
            <w:r>
              <w:rPr>
                <w:sz w:val="20"/>
              </w:rPr>
              <w:t>Higher substantiations likely reflect higher investigation numbers.</w:t>
            </w:r>
          </w:p>
          <w:p w14:paraId="694DDEF3" w14:textId="77777777" w:rsidR="00D24445" w:rsidRPr="00BE7DE5" w:rsidRDefault="00D24445" w:rsidP="00CE2FDF">
            <w:pPr>
              <w:spacing w:before="0" w:line="276" w:lineRule="auto"/>
              <w:rPr>
                <w:sz w:val="20"/>
              </w:rPr>
            </w:pPr>
            <w:r>
              <w:rPr>
                <w:sz w:val="20"/>
              </w:rPr>
              <w:t>Strong SR of investigated cases</w:t>
            </w:r>
          </w:p>
        </w:tc>
      </w:tr>
      <w:tr w:rsidR="00D24445" w:rsidRPr="00BE7DE5" w14:paraId="714203E0" w14:textId="77777777" w:rsidTr="00E747EE">
        <w:tc>
          <w:tcPr>
            <w:tcW w:w="1316" w:type="dxa"/>
          </w:tcPr>
          <w:p w14:paraId="1A126752" w14:textId="77777777" w:rsidR="00D24445" w:rsidRPr="006B7AB3" w:rsidRDefault="00D24445" w:rsidP="00CE2FDF">
            <w:pPr>
              <w:spacing w:before="0" w:line="276" w:lineRule="auto"/>
              <w:rPr>
                <w:b/>
                <w:sz w:val="20"/>
              </w:rPr>
            </w:pPr>
            <w:r w:rsidRPr="006B7AB3">
              <w:rPr>
                <w:b/>
                <w:sz w:val="20"/>
              </w:rPr>
              <w:t>1.26.3</w:t>
            </w:r>
          </w:p>
        </w:tc>
        <w:tc>
          <w:tcPr>
            <w:tcW w:w="2610" w:type="dxa"/>
          </w:tcPr>
          <w:p w14:paraId="4F1280FE" w14:textId="77777777" w:rsidR="00D24445" w:rsidRPr="00BE7DE5" w:rsidRDefault="00D24445" w:rsidP="00CE2FDF">
            <w:pPr>
              <w:spacing w:before="0" w:line="276" w:lineRule="auto"/>
              <w:rPr>
                <w:sz w:val="20"/>
              </w:rPr>
            </w:pPr>
            <w:r w:rsidRPr="00BE7DE5">
              <w:rPr>
                <w:sz w:val="20"/>
              </w:rPr>
              <w:t xml:space="preserve">Reports by other reporter groups combined, by year, by abuse type (number and percentage) </w:t>
            </w:r>
          </w:p>
        </w:tc>
        <w:tc>
          <w:tcPr>
            <w:tcW w:w="3127" w:type="dxa"/>
          </w:tcPr>
          <w:p w14:paraId="47C31E2F" w14:textId="07552AD6" w:rsidR="00D24445" w:rsidRDefault="00D24445" w:rsidP="00CE2FDF">
            <w:pPr>
              <w:spacing w:before="0" w:line="276" w:lineRule="auto"/>
              <w:rPr>
                <w:sz w:val="20"/>
              </w:rPr>
            </w:pPr>
            <w:r w:rsidRPr="00A87AB2">
              <w:rPr>
                <w:sz w:val="20"/>
              </w:rPr>
              <w:t xml:space="preserve">Substantial increase in reports of </w:t>
            </w:r>
            <w:r w:rsidRPr="00CD04A9">
              <w:rPr>
                <w:b/>
                <w:sz w:val="20"/>
              </w:rPr>
              <w:t>EA</w:t>
            </w:r>
            <w:r w:rsidRPr="00A87AB2">
              <w:rPr>
                <w:sz w:val="20"/>
              </w:rPr>
              <w:t xml:space="preserve"> </w:t>
            </w:r>
            <w:r>
              <w:rPr>
                <w:sz w:val="20"/>
              </w:rPr>
              <w:t xml:space="preserve">(7259 </w:t>
            </w:r>
            <w:r w:rsidRPr="00A87AB2">
              <w:rPr>
                <w:sz w:val="20"/>
              </w:rPr>
              <w:t xml:space="preserve">to </w:t>
            </w:r>
            <w:r>
              <w:rPr>
                <w:sz w:val="20"/>
              </w:rPr>
              <w:t>2</w:t>
            </w:r>
            <w:r w:rsidRPr="00A87AB2">
              <w:rPr>
                <w:sz w:val="20"/>
              </w:rPr>
              <w:t>0,</w:t>
            </w:r>
            <w:r>
              <w:rPr>
                <w:sz w:val="20"/>
              </w:rPr>
              <w:t>636)</w:t>
            </w:r>
            <w:r w:rsidRPr="00A87AB2">
              <w:rPr>
                <w:sz w:val="20"/>
              </w:rPr>
              <w:t>, and as proportion of all reports (</w:t>
            </w:r>
            <w:r>
              <w:rPr>
                <w:sz w:val="20"/>
              </w:rPr>
              <w:t>29</w:t>
            </w:r>
            <w:r w:rsidRPr="00A87AB2">
              <w:rPr>
                <w:sz w:val="20"/>
              </w:rPr>
              <w:t xml:space="preserve">% to </w:t>
            </w:r>
            <w:r>
              <w:rPr>
                <w:sz w:val="20"/>
              </w:rPr>
              <w:t>61</w:t>
            </w:r>
            <w:r w:rsidR="00FD7154">
              <w:rPr>
                <w:sz w:val="20"/>
              </w:rPr>
              <w:t>%)</w:t>
            </w:r>
            <w:proofErr w:type="gramStart"/>
            <w:r w:rsidR="00FD7154">
              <w:rPr>
                <w:sz w:val="20"/>
              </w:rPr>
              <w:t>;</w:t>
            </w:r>
            <w:proofErr w:type="gramEnd"/>
          </w:p>
          <w:p w14:paraId="2C2469FC" w14:textId="5D8306ED" w:rsidR="00D24445" w:rsidRDefault="00D24445" w:rsidP="00CE2FDF">
            <w:pPr>
              <w:spacing w:before="0" w:line="276" w:lineRule="auto"/>
              <w:rPr>
                <w:sz w:val="20"/>
              </w:rPr>
            </w:pPr>
            <w:r>
              <w:rPr>
                <w:sz w:val="20"/>
              </w:rPr>
              <w:t>D</w:t>
            </w:r>
            <w:r w:rsidRPr="00A87AB2">
              <w:rPr>
                <w:sz w:val="20"/>
              </w:rPr>
              <w:t xml:space="preserve">ecrease in reports of </w:t>
            </w:r>
            <w:r w:rsidRPr="00CD04A9">
              <w:rPr>
                <w:b/>
                <w:sz w:val="20"/>
              </w:rPr>
              <w:t>N</w:t>
            </w:r>
            <w:r w:rsidRPr="00A87AB2">
              <w:rPr>
                <w:sz w:val="20"/>
              </w:rPr>
              <w:t xml:space="preserve"> (</w:t>
            </w:r>
            <w:r>
              <w:rPr>
                <w:sz w:val="20"/>
              </w:rPr>
              <w:t>8753</w:t>
            </w:r>
            <w:r w:rsidRPr="00A87AB2">
              <w:rPr>
                <w:sz w:val="20"/>
              </w:rPr>
              <w:t xml:space="preserve"> to </w:t>
            </w:r>
            <w:r>
              <w:rPr>
                <w:sz w:val="20"/>
              </w:rPr>
              <w:t>3210</w:t>
            </w:r>
            <w:r w:rsidRPr="00A87AB2">
              <w:rPr>
                <w:sz w:val="20"/>
              </w:rPr>
              <w:t>) and decline in proportion of all reports (</w:t>
            </w:r>
            <w:r>
              <w:rPr>
                <w:sz w:val="20"/>
              </w:rPr>
              <w:t>3</w:t>
            </w:r>
            <w:r w:rsidRPr="00A87AB2">
              <w:rPr>
                <w:sz w:val="20"/>
              </w:rPr>
              <w:t xml:space="preserve">5% to </w:t>
            </w:r>
            <w:r>
              <w:rPr>
                <w:sz w:val="20"/>
              </w:rPr>
              <w:t>9</w:t>
            </w:r>
            <w:r w:rsidR="00FD7154">
              <w:rPr>
                <w:sz w:val="20"/>
              </w:rPr>
              <w:t>%);</w:t>
            </w:r>
          </w:p>
          <w:p w14:paraId="5D6A29DB" w14:textId="06AD9D8C" w:rsidR="00D24445" w:rsidRDefault="00D24445" w:rsidP="00CE2FDF">
            <w:pPr>
              <w:spacing w:before="0" w:line="276" w:lineRule="auto"/>
              <w:rPr>
                <w:sz w:val="20"/>
              </w:rPr>
            </w:pPr>
            <w:r>
              <w:rPr>
                <w:sz w:val="20"/>
              </w:rPr>
              <w:t>Stable</w:t>
            </w:r>
            <w:r w:rsidRPr="00A87AB2">
              <w:rPr>
                <w:sz w:val="20"/>
              </w:rPr>
              <w:t xml:space="preserve"> reports of </w:t>
            </w:r>
            <w:r w:rsidRPr="00CD04A9">
              <w:rPr>
                <w:b/>
                <w:sz w:val="20"/>
              </w:rPr>
              <w:t>PA</w:t>
            </w:r>
            <w:r w:rsidRPr="00A87AB2">
              <w:rPr>
                <w:sz w:val="20"/>
              </w:rPr>
              <w:t xml:space="preserve"> (</w:t>
            </w:r>
            <w:r>
              <w:rPr>
                <w:sz w:val="20"/>
              </w:rPr>
              <w:t>5692</w:t>
            </w:r>
            <w:r w:rsidRPr="00A87AB2">
              <w:rPr>
                <w:sz w:val="20"/>
              </w:rPr>
              <w:t xml:space="preserve"> to </w:t>
            </w:r>
            <w:r>
              <w:rPr>
                <w:sz w:val="20"/>
              </w:rPr>
              <w:t>6627</w:t>
            </w:r>
            <w:r w:rsidRPr="00A87AB2">
              <w:rPr>
                <w:sz w:val="20"/>
              </w:rPr>
              <w:t xml:space="preserve">) </w:t>
            </w:r>
            <w:r>
              <w:rPr>
                <w:sz w:val="20"/>
              </w:rPr>
              <w:t>and stable</w:t>
            </w:r>
            <w:r w:rsidRPr="00A87AB2">
              <w:rPr>
                <w:sz w:val="20"/>
              </w:rPr>
              <w:t xml:space="preserve"> proportion of all reports (2</w:t>
            </w:r>
            <w:r>
              <w:rPr>
                <w:sz w:val="20"/>
              </w:rPr>
              <w:t>3</w:t>
            </w:r>
            <w:r w:rsidRPr="00A87AB2">
              <w:rPr>
                <w:sz w:val="20"/>
              </w:rPr>
              <w:t>% to 2</w:t>
            </w:r>
            <w:r>
              <w:rPr>
                <w:sz w:val="20"/>
              </w:rPr>
              <w:t>0</w:t>
            </w:r>
            <w:r w:rsidR="00FD7154">
              <w:rPr>
                <w:sz w:val="20"/>
              </w:rPr>
              <w:t>%)</w:t>
            </w:r>
            <w:proofErr w:type="gramStart"/>
            <w:r w:rsidR="00FD7154">
              <w:rPr>
                <w:sz w:val="20"/>
              </w:rPr>
              <w:t>;</w:t>
            </w:r>
            <w:proofErr w:type="gramEnd"/>
          </w:p>
          <w:p w14:paraId="13FBF07A" w14:textId="2AC216F0" w:rsidR="00D24445" w:rsidRPr="00A87AB2" w:rsidRDefault="00D24445" w:rsidP="00CE2FDF">
            <w:pPr>
              <w:spacing w:before="0" w:line="276" w:lineRule="auto"/>
              <w:rPr>
                <w:sz w:val="20"/>
              </w:rPr>
            </w:pPr>
            <w:proofErr w:type="gramStart"/>
            <w:r>
              <w:rPr>
                <w:sz w:val="20"/>
              </w:rPr>
              <w:t>Stable</w:t>
            </w:r>
            <w:r w:rsidRPr="00A87AB2">
              <w:rPr>
                <w:sz w:val="20"/>
              </w:rPr>
              <w:t xml:space="preserve"> reports of </w:t>
            </w:r>
            <w:r w:rsidRPr="00CD04A9">
              <w:rPr>
                <w:b/>
                <w:sz w:val="20"/>
              </w:rPr>
              <w:t xml:space="preserve">SA </w:t>
            </w:r>
            <w:r w:rsidRPr="00A87AB2">
              <w:rPr>
                <w:sz w:val="20"/>
              </w:rPr>
              <w:t>(</w:t>
            </w:r>
            <w:r>
              <w:rPr>
                <w:sz w:val="20"/>
              </w:rPr>
              <w:t>2863</w:t>
            </w:r>
            <w:r w:rsidRPr="00A87AB2">
              <w:rPr>
                <w:sz w:val="20"/>
              </w:rPr>
              <w:t xml:space="preserve"> to </w:t>
            </w:r>
            <w:r>
              <w:rPr>
                <w:sz w:val="20"/>
              </w:rPr>
              <w:t>3231</w:t>
            </w:r>
            <w:r w:rsidRPr="00A87AB2">
              <w:rPr>
                <w:sz w:val="20"/>
              </w:rPr>
              <w:t xml:space="preserve">) </w:t>
            </w:r>
            <w:r>
              <w:rPr>
                <w:sz w:val="20"/>
              </w:rPr>
              <w:t>and</w:t>
            </w:r>
            <w:r w:rsidRPr="00A87AB2">
              <w:rPr>
                <w:sz w:val="20"/>
              </w:rPr>
              <w:t xml:space="preserve"> as proportion of all reports </w:t>
            </w:r>
            <w:r w:rsidRPr="00A87AB2">
              <w:rPr>
                <w:sz w:val="20"/>
              </w:rPr>
              <w:lastRenderedPageBreak/>
              <w:t>(12%</w:t>
            </w:r>
            <w:r>
              <w:rPr>
                <w:sz w:val="20"/>
              </w:rPr>
              <w:t xml:space="preserve"> to 10%</w:t>
            </w:r>
            <w:r w:rsidRPr="00A87AB2">
              <w:rPr>
                <w:sz w:val="20"/>
              </w:rPr>
              <w:t>).</w:t>
            </w:r>
            <w:proofErr w:type="gramEnd"/>
          </w:p>
        </w:tc>
        <w:tc>
          <w:tcPr>
            <w:tcW w:w="2495" w:type="dxa"/>
          </w:tcPr>
          <w:p w14:paraId="50B956C1" w14:textId="071AD09F" w:rsidR="00D24445" w:rsidRPr="00BE7DE5" w:rsidRDefault="00D24445" w:rsidP="00CE2FDF">
            <w:pPr>
              <w:spacing w:before="0" w:line="276" w:lineRule="auto"/>
              <w:rPr>
                <w:sz w:val="20"/>
              </w:rPr>
            </w:pPr>
            <w:r>
              <w:rPr>
                <w:sz w:val="20"/>
              </w:rPr>
              <w:lastRenderedPageBreak/>
              <w:t xml:space="preserve">Reports of </w:t>
            </w:r>
            <w:r w:rsidRPr="00CD04A9">
              <w:rPr>
                <w:b/>
                <w:sz w:val="20"/>
              </w:rPr>
              <w:t>EA</w:t>
            </w:r>
            <w:r>
              <w:rPr>
                <w:sz w:val="20"/>
              </w:rPr>
              <w:t xml:space="preserve"> by </w:t>
            </w:r>
            <w:proofErr w:type="spellStart"/>
            <w:r>
              <w:rPr>
                <w:sz w:val="20"/>
              </w:rPr>
              <w:t>nonmandated</w:t>
            </w:r>
            <w:proofErr w:type="spellEnd"/>
            <w:r>
              <w:rPr>
                <w:sz w:val="20"/>
              </w:rPr>
              <w:t xml:space="preserve"> reporter groups have almost tripled, suggesting awareness of DV</w:t>
            </w:r>
            <w:r w:rsidR="00266088">
              <w:rPr>
                <w:sz w:val="20"/>
              </w:rPr>
              <w:t>, and p</w:t>
            </w:r>
            <w:r w:rsidR="00615C3D">
              <w:rPr>
                <w:sz w:val="20"/>
              </w:rPr>
              <w:t>ossible influence of CDP</w:t>
            </w:r>
          </w:p>
        </w:tc>
      </w:tr>
      <w:tr w:rsidR="00D24445" w:rsidRPr="00BE7DE5" w14:paraId="308112B5" w14:textId="77777777" w:rsidTr="00E747EE">
        <w:tc>
          <w:tcPr>
            <w:tcW w:w="1316" w:type="dxa"/>
          </w:tcPr>
          <w:p w14:paraId="0C9B9972" w14:textId="292B190C" w:rsidR="00D24445" w:rsidRPr="006B7AB3" w:rsidRDefault="00D24445" w:rsidP="00CE2FDF">
            <w:pPr>
              <w:spacing w:before="0" w:line="276" w:lineRule="auto"/>
              <w:rPr>
                <w:b/>
                <w:sz w:val="20"/>
              </w:rPr>
            </w:pPr>
            <w:r w:rsidRPr="006B7AB3">
              <w:rPr>
                <w:b/>
                <w:sz w:val="20"/>
              </w:rPr>
              <w:lastRenderedPageBreak/>
              <w:t>1.26.4</w:t>
            </w:r>
          </w:p>
        </w:tc>
        <w:tc>
          <w:tcPr>
            <w:tcW w:w="2610" w:type="dxa"/>
          </w:tcPr>
          <w:p w14:paraId="485A61A3" w14:textId="77777777" w:rsidR="00D24445" w:rsidRPr="00BE7DE5" w:rsidRDefault="00D24445" w:rsidP="00CE2FDF">
            <w:pPr>
              <w:spacing w:before="0" w:line="276" w:lineRule="auto"/>
              <w:rPr>
                <w:sz w:val="20"/>
              </w:rPr>
            </w:pPr>
            <w:r w:rsidRPr="00BE7DE5">
              <w:rPr>
                <w:sz w:val="20"/>
              </w:rPr>
              <w:t xml:space="preserve">Reports by other reporter groups combined, by year, by outcome of reports (number and percentage) </w:t>
            </w:r>
          </w:p>
        </w:tc>
        <w:tc>
          <w:tcPr>
            <w:tcW w:w="3127" w:type="dxa"/>
          </w:tcPr>
          <w:p w14:paraId="66F6476C" w14:textId="72F6D159" w:rsidR="00D24445" w:rsidRDefault="00D24445" w:rsidP="00CE2FDF">
            <w:pPr>
              <w:spacing w:before="0" w:line="276" w:lineRule="auto"/>
              <w:rPr>
                <w:sz w:val="20"/>
              </w:rPr>
            </w:pPr>
            <w:r w:rsidRPr="00A87AB2">
              <w:rPr>
                <w:sz w:val="20"/>
              </w:rPr>
              <w:t xml:space="preserve">Substantiation numbers have </w:t>
            </w:r>
            <w:r>
              <w:rPr>
                <w:sz w:val="20"/>
              </w:rPr>
              <w:t>remained stable</w:t>
            </w:r>
            <w:r w:rsidRPr="00A87AB2">
              <w:rPr>
                <w:sz w:val="20"/>
              </w:rPr>
              <w:t xml:space="preserve"> (</w:t>
            </w:r>
            <w:r>
              <w:rPr>
                <w:sz w:val="20"/>
              </w:rPr>
              <w:t>4199</w:t>
            </w:r>
            <w:r w:rsidRPr="00A87AB2">
              <w:rPr>
                <w:sz w:val="20"/>
              </w:rPr>
              <w:t xml:space="preserve"> to </w:t>
            </w:r>
            <w:r>
              <w:rPr>
                <w:sz w:val="20"/>
              </w:rPr>
              <w:t>4662</w:t>
            </w:r>
            <w:r w:rsidRPr="00A87AB2">
              <w:rPr>
                <w:sz w:val="20"/>
              </w:rPr>
              <w:t xml:space="preserve">) </w:t>
            </w:r>
            <w:r>
              <w:rPr>
                <w:sz w:val="20"/>
              </w:rPr>
              <w:t>and</w:t>
            </w:r>
            <w:r w:rsidRPr="00A87AB2">
              <w:rPr>
                <w:sz w:val="20"/>
              </w:rPr>
              <w:t xml:space="preserve"> investigations hav</w:t>
            </w:r>
            <w:r>
              <w:rPr>
                <w:sz w:val="20"/>
              </w:rPr>
              <w:t>e remained stable</w:t>
            </w:r>
            <w:r w:rsidRPr="00A87AB2">
              <w:rPr>
                <w:sz w:val="20"/>
              </w:rPr>
              <w:t xml:space="preserve"> (</w:t>
            </w:r>
            <w:r>
              <w:rPr>
                <w:sz w:val="20"/>
              </w:rPr>
              <w:t>7571</w:t>
            </w:r>
            <w:r w:rsidRPr="00A87AB2">
              <w:rPr>
                <w:sz w:val="20"/>
              </w:rPr>
              <w:t xml:space="preserve"> to </w:t>
            </w:r>
            <w:r>
              <w:rPr>
                <w:sz w:val="20"/>
              </w:rPr>
              <w:t>7893</w:t>
            </w:r>
            <w:r w:rsidRPr="00A87AB2">
              <w:rPr>
                <w:sz w:val="20"/>
              </w:rPr>
              <w:t>).</w:t>
            </w:r>
          </w:p>
          <w:p w14:paraId="67CBC249" w14:textId="4435170E" w:rsidR="00D24445" w:rsidRPr="00615C3D" w:rsidRDefault="00D24445" w:rsidP="00CE2FDF">
            <w:pPr>
              <w:spacing w:before="0" w:line="276" w:lineRule="auto"/>
              <w:rPr>
                <w:sz w:val="20"/>
              </w:rPr>
            </w:pPr>
            <w:proofErr w:type="gramStart"/>
            <w:r>
              <w:rPr>
                <w:sz w:val="20"/>
              </w:rPr>
              <w:t>Over the decade, 41,480 substantiations of 70,372 investigations</w:t>
            </w:r>
            <w:r w:rsidR="00615C3D">
              <w:rPr>
                <w:sz w:val="20"/>
              </w:rPr>
              <w:t>.</w:t>
            </w:r>
            <w:proofErr w:type="gramEnd"/>
          </w:p>
        </w:tc>
        <w:tc>
          <w:tcPr>
            <w:tcW w:w="2495" w:type="dxa"/>
          </w:tcPr>
          <w:p w14:paraId="2A70FB3C" w14:textId="113FB9C0" w:rsidR="00D24445" w:rsidRDefault="00D24445" w:rsidP="00CE2FDF">
            <w:pPr>
              <w:spacing w:before="0" w:line="276" w:lineRule="auto"/>
              <w:rPr>
                <w:sz w:val="20"/>
              </w:rPr>
            </w:pPr>
            <w:r>
              <w:rPr>
                <w:sz w:val="20"/>
              </w:rPr>
              <w:t>Stable substantiations over time may reflect less exp</w:t>
            </w:r>
            <w:r w:rsidR="00615C3D">
              <w:rPr>
                <w:sz w:val="20"/>
              </w:rPr>
              <w:t xml:space="preserve">ertise </w:t>
            </w:r>
            <w:proofErr w:type="gramStart"/>
            <w:r w:rsidR="00615C3D">
              <w:rPr>
                <w:sz w:val="20"/>
              </w:rPr>
              <w:t>than mandated reporters</w:t>
            </w:r>
            <w:proofErr w:type="gramEnd"/>
            <w:r w:rsidR="00615C3D">
              <w:rPr>
                <w:sz w:val="20"/>
              </w:rPr>
              <w:t>.</w:t>
            </w:r>
          </w:p>
          <w:p w14:paraId="4B630344" w14:textId="77777777" w:rsidR="00D24445" w:rsidRPr="00BE7DE5" w:rsidRDefault="00D24445" w:rsidP="00CE2FDF">
            <w:pPr>
              <w:spacing w:before="0" w:line="276" w:lineRule="auto"/>
              <w:rPr>
                <w:sz w:val="20"/>
              </w:rPr>
            </w:pPr>
            <w:r>
              <w:rPr>
                <w:sz w:val="20"/>
              </w:rPr>
              <w:t>Weaker SR of investigated cases than mandated reporters</w:t>
            </w:r>
          </w:p>
        </w:tc>
      </w:tr>
      <w:tr w:rsidR="00D24445" w:rsidRPr="00BE7DE5" w14:paraId="7778F872" w14:textId="77777777" w:rsidTr="00E747EE">
        <w:tc>
          <w:tcPr>
            <w:tcW w:w="1316" w:type="dxa"/>
          </w:tcPr>
          <w:p w14:paraId="62B77CC6" w14:textId="77777777" w:rsidR="00D24445" w:rsidRPr="006B7AB3" w:rsidRDefault="00D24445" w:rsidP="00CE2FDF">
            <w:pPr>
              <w:spacing w:before="0" w:line="276" w:lineRule="auto"/>
              <w:rPr>
                <w:b/>
                <w:sz w:val="20"/>
              </w:rPr>
            </w:pPr>
            <w:r w:rsidRPr="006B7AB3">
              <w:rPr>
                <w:b/>
                <w:sz w:val="20"/>
              </w:rPr>
              <w:t>1.26.9</w:t>
            </w:r>
          </w:p>
        </w:tc>
        <w:tc>
          <w:tcPr>
            <w:tcW w:w="2610" w:type="dxa"/>
          </w:tcPr>
          <w:p w14:paraId="343A9BA9" w14:textId="77777777" w:rsidR="00D24445" w:rsidRPr="00BE7DE5" w:rsidRDefault="00D24445" w:rsidP="00CE2FDF">
            <w:pPr>
              <w:spacing w:before="0" w:line="276" w:lineRule="auto"/>
              <w:rPr>
                <w:sz w:val="20"/>
              </w:rPr>
            </w:pPr>
            <w:r w:rsidRPr="00BE7DE5">
              <w:rPr>
                <w:sz w:val="20"/>
              </w:rPr>
              <w:t xml:space="preserve">Reports by police, by year, by abuse type (number and percentage) </w:t>
            </w:r>
          </w:p>
        </w:tc>
        <w:tc>
          <w:tcPr>
            <w:tcW w:w="3127" w:type="dxa"/>
          </w:tcPr>
          <w:p w14:paraId="0CB90B1F" w14:textId="54C5A515" w:rsidR="00C83FB3" w:rsidRDefault="00D24445" w:rsidP="00CE2FDF">
            <w:pPr>
              <w:spacing w:before="0" w:line="276" w:lineRule="auto"/>
              <w:rPr>
                <w:sz w:val="20"/>
              </w:rPr>
            </w:pPr>
            <w:r w:rsidRPr="00B6151B">
              <w:rPr>
                <w:sz w:val="20"/>
              </w:rPr>
              <w:t xml:space="preserve">Substantial increase in </w:t>
            </w:r>
            <w:r w:rsidRPr="00CD04A9">
              <w:rPr>
                <w:b/>
                <w:sz w:val="20"/>
              </w:rPr>
              <w:t>EA</w:t>
            </w:r>
            <w:r w:rsidRPr="00B6151B">
              <w:rPr>
                <w:sz w:val="20"/>
              </w:rPr>
              <w:t xml:space="preserve"> since 2007 (2581 to 14,139) and </w:t>
            </w:r>
            <w:r w:rsidRPr="00CD04A9">
              <w:rPr>
                <w:b/>
                <w:sz w:val="20"/>
              </w:rPr>
              <w:t>EA</w:t>
            </w:r>
            <w:r w:rsidRPr="00B6151B">
              <w:rPr>
                <w:sz w:val="20"/>
              </w:rPr>
              <w:t xml:space="preserve"> now accounts for </w:t>
            </w:r>
            <w:r w:rsidRPr="00CD04A9">
              <w:rPr>
                <w:b/>
                <w:sz w:val="20"/>
              </w:rPr>
              <w:t>67%</w:t>
            </w:r>
            <w:r w:rsidRPr="00B6151B">
              <w:rPr>
                <w:sz w:val="20"/>
              </w:rPr>
              <w:t xml:space="preserve"> of </w:t>
            </w:r>
            <w:r>
              <w:rPr>
                <w:sz w:val="20"/>
              </w:rPr>
              <w:t xml:space="preserve">all </w:t>
            </w:r>
            <w:r w:rsidR="00C83FB3">
              <w:rPr>
                <w:sz w:val="20"/>
              </w:rPr>
              <w:t>police reports.</w:t>
            </w:r>
          </w:p>
          <w:p w14:paraId="52DAA03D" w14:textId="3D5B0885" w:rsidR="00C83FB3" w:rsidRDefault="00D24445" w:rsidP="00CE2FDF">
            <w:pPr>
              <w:spacing w:before="0" w:line="276" w:lineRule="auto"/>
              <w:rPr>
                <w:sz w:val="20"/>
              </w:rPr>
            </w:pPr>
            <w:r w:rsidRPr="00B6151B">
              <w:rPr>
                <w:sz w:val="20"/>
              </w:rPr>
              <w:t>Substantial decline</w:t>
            </w:r>
            <w:r>
              <w:rPr>
                <w:sz w:val="20"/>
              </w:rPr>
              <w:t xml:space="preserve"> </w:t>
            </w:r>
            <w:r w:rsidRPr="00B6151B">
              <w:rPr>
                <w:sz w:val="20"/>
              </w:rPr>
              <w:t xml:space="preserve">since 2007 in </w:t>
            </w:r>
            <w:r w:rsidRPr="00CD04A9">
              <w:rPr>
                <w:b/>
                <w:sz w:val="20"/>
              </w:rPr>
              <w:t>N</w:t>
            </w:r>
            <w:r w:rsidR="00C83FB3">
              <w:rPr>
                <w:sz w:val="20"/>
              </w:rPr>
              <w:t xml:space="preserve"> reports (2432 to 621).</w:t>
            </w:r>
          </w:p>
          <w:p w14:paraId="0A0768E0" w14:textId="2D96B9FF" w:rsidR="00C83FB3" w:rsidRDefault="00D24445" w:rsidP="00CE2FDF">
            <w:pPr>
              <w:spacing w:before="0" w:line="276" w:lineRule="auto"/>
              <w:rPr>
                <w:sz w:val="20"/>
              </w:rPr>
            </w:pPr>
            <w:r w:rsidRPr="00B6151B">
              <w:rPr>
                <w:sz w:val="20"/>
              </w:rPr>
              <w:t xml:space="preserve">Increase since 2007 in </w:t>
            </w:r>
            <w:r w:rsidRPr="00CD04A9">
              <w:rPr>
                <w:b/>
                <w:sz w:val="20"/>
              </w:rPr>
              <w:t>PA</w:t>
            </w:r>
            <w:r w:rsidR="00615C3D">
              <w:rPr>
                <w:sz w:val="20"/>
              </w:rPr>
              <w:t xml:space="preserve"> (1919 to 3452).</w:t>
            </w:r>
          </w:p>
          <w:p w14:paraId="4A4226A2" w14:textId="0A6A3F09" w:rsidR="00D24445" w:rsidRPr="00B6151B" w:rsidRDefault="00D24445" w:rsidP="00CE2FDF">
            <w:pPr>
              <w:spacing w:before="0" w:line="276" w:lineRule="auto"/>
              <w:rPr>
                <w:sz w:val="20"/>
              </w:rPr>
            </w:pPr>
            <w:r w:rsidRPr="00B6151B">
              <w:rPr>
                <w:sz w:val="20"/>
              </w:rPr>
              <w:t xml:space="preserve">Increase since 2007 in </w:t>
            </w:r>
            <w:r w:rsidRPr="00CD04A9">
              <w:rPr>
                <w:b/>
                <w:sz w:val="20"/>
              </w:rPr>
              <w:t xml:space="preserve">SA </w:t>
            </w:r>
            <w:r w:rsidRPr="00B6151B">
              <w:rPr>
                <w:sz w:val="20"/>
              </w:rPr>
              <w:t>(698 to 2780).</w:t>
            </w:r>
          </w:p>
        </w:tc>
        <w:tc>
          <w:tcPr>
            <w:tcW w:w="2495" w:type="dxa"/>
          </w:tcPr>
          <w:p w14:paraId="66B7A50F" w14:textId="77777777" w:rsidR="00D24445" w:rsidRDefault="00D24445" w:rsidP="00CE2FDF">
            <w:pPr>
              <w:spacing w:before="0" w:line="276" w:lineRule="auto"/>
              <w:rPr>
                <w:sz w:val="20"/>
              </w:rPr>
            </w:pPr>
            <w:proofErr w:type="gramStart"/>
            <w:r w:rsidRPr="00CD04A9">
              <w:rPr>
                <w:b/>
                <w:sz w:val="20"/>
              </w:rPr>
              <w:t>EA</w:t>
            </w:r>
            <w:r>
              <w:rPr>
                <w:sz w:val="20"/>
              </w:rPr>
              <w:t xml:space="preserve"> reporting practice likely due to police OP re domestic violence.</w:t>
            </w:r>
            <w:proofErr w:type="gramEnd"/>
            <w:r>
              <w:rPr>
                <w:sz w:val="20"/>
              </w:rPr>
              <w:t xml:space="preserve"> This may require remedial attention especially regarding reporting practice and destination.</w:t>
            </w:r>
          </w:p>
          <w:p w14:paraId="66D0E89F" w14:textId="2E441694" w:rsidR="00E7796C" w:rsidRPr="00BE7DE5" w:rsidRDefault="00E7796C" w:rsidP="00CE2FDF">
            <w:pPr>
              <w:spacing w:before="0" w:line="276" w:lineRule="auto"/>
              <w:rPr>
                <w:sz w:val="20"/>
              </w:rPr>
            </w:pPr>
            <w:r>
              <w:rPr>
                <w:sz w:val="20"/>
              </w:rPr>
              <w:t>Possible influence of CDP</w:t>
            </w:r>
          </w:p>
        </w:tc>
      </w:tr>
      <w:tr w:rsidR="00D24445" w:rsidRPr="00BE7DE5" w14:paraId="72F11496" w14:textId="77777777" w:rsidTr="00E747EE">
        <w:tc>
          <w:tcPr>
            <w:tcW w:w="1316" w:type="dxa"/>
          </w:tcPr>
          <w:p w14:paraId="76E021B3" w14:textId="77777777" w:rsidR="00D24445" w:rsidRPr="006B7AB3" w:rsidRDefault="00D24445" w:rsidP="00CE2FDF">
            <w:pPr>
              <w:spacing w:before="0" w:line="276" w:lineRule="auto"/>
              <w:rPr>
                <w:b/>
                <w:sz w:val="20"/>
              </w:rPr>
            </w:pPr>
            <w:r w:rsidRPr="006B7AB3">
              <w:rPr>
                <w:b/>
                <w:sz w:val="20"/>
              </w:rPr>
              <w:t>1.26.10</w:t>
            </w:r>
          </w:p>
        </w:tc>
        <w:tc>
          <w:tcPr>
            <w:tcW w:w="2610" w:type="dxa"/>
          </w:tcPr>
          <w:p w14:paraId="0F79CCA3" w14:textId="77777777" w:rsidR="00D24445" w:rsidRPr="00BE7DE5" w:rsidRDefault="00D24445" w:rsidP="00CE2FDF">
            <w:pPr>
              <w:spacing w:before="0" w:line="276" w:lineRule="auto"/>
              <w:rPr>
                <w:sz w:val="20"/>
              </w:rPr>
            </w:pPr>
            <w:r w:rsidRPr="00BE7DE5">
              <w:rPr>
                <w:sz w:val="20"/>
              </w:rPr>
              <w:t xml:space="preserve">Reports by police, by year, by outcome of reports (number and percentage) </w:t>
            </w:r>
          </w:p>
        </w:tc>
        <w:tc>
          <w:tcPr>
            <w:tcW w:w="3127" w:type="dxa"/>
          </w:tcPr>
          <w:p w14:paraId="41089F51" w14:textId="2900F61E" w:rsidR="00AB1DA6" w:rsidRDefault="00D24445" w:rsidP="00CE2FDF">
            <w:pPr>
              <w:spacing w:before="0" w:line="276" w:lineRule="auto"/>
              <w:rPr>
                <w:sz w:val="20"/>
              </w:rPr>
            </w:pPr>
            <w:r w:rsidRPr="00B6151B">
              <w:rPr>
                <w:sz w:val="20"/>
              </w:rPr>
              <w:t>Substantiation percentage is stable overall</w:t>
            </w:r>
            <w:r w:rsidR="00AB1DA6">
              <w:rPr>
                <w:sz w:val="20"/>
              </w:rPr>
              <w:t xml:space="preserve"> (66% of investigated reports).</w:t>
            </w:r>
          </w:p>
          <w:p w14:paraId="02D4C4EA" w14:textId="77777777" w:rsidR="00D24445" w:rsidRDefault="00D24445" w:rsidP="00CE2FDF">
            <w:pPr>
              <w:spacing w:before="0" w:line="276" w:lineRule="auto"/>
              <w:rPr>
                <w:sz w:val="20"/>
              </w:rPr>
            </w:pPr>
            <w:r w:rsidRPr="00B6151B">
              <w:rPr>
                <w:sz w:val="20"/>
              </w:rPr>
              <w:t xml:space="preserve">Since 2007, increase in investigations (2436 to 5092) and </w:t>
            </w:r>
            <w:r>
              <w:rPr>
                <w:sz w:val="20"/>
              </w:rPr>
              <w:t>substantiations (1789 to 3231).</w:t>
            </w:r>
          </w:p>
          <w:p w14:paraId="3792FA5C" w14:textId="77777777" w:rsidR="00AB1DA6" w:rsidRDefault="00AB1DA6" w:rsidP="00CE2FDF">
            <w:pPr>
              <w:spacing w:before="0" w:line="276" w:lineRule="auto"/>
              <w:rPr>
                <w:sz w:val="20"/>
              </w:rPr>
            </w:pPr>
          </w:p>
          <w:p w14:paraId="0F11A082" w14:textId="24EE9911" w:rsidR="00D24445" w:rsidRPr="00B6151B" w:rsidRDefault="00D24445" w:rsidP="00CE2FDF">
            <w:pPr>
              <w:spacing w:before="0" w:line="276" w:lineRule="auto"/>
              <w:rPr>
                <w:sz w:val="20"/>
              </w:rPr>
            </w:pPr>
            <w:r w:rsidRPr="00B6151B">
              <w:rPr>
                <w:sz w:val="20"/>
              </w:rPr>
              <w:t>Since 2007, a threefold increase in reports not investigated (5194 to 15,900).</w:t>
            </w:r>
          </w:p>
        </w:tc>
        <w:tc>
          <w:tcPr>
            <w:tcW w:w="2495" w:type="dxa"/>
          </w:tcPr>
          <w:p w14:paraId="32474364" w14:textId="02296459" w:rsidR="00D24445" w:rsidRPr="00BE7DE5" w:rsidRDefault="00D24445" w:rsidP="00CE2FDF">
            <w:pPr>
              <w:spacing w:before="0" w:line="276" w:lineRule="auto"/>
              <w:rPr>
                <w:sz w:val="20"/>
              </w:rPr>
            </w:pPr>
            <w:r>
              <w:rPr>
                <w:sz w:val="20"/>
              </w:rPr>
              <w:t xml:space="preserve">Strong SR where report </w:t>
            </w:r>
            <w:proofErr w:type="gramStart"/>
            <w:r>
              <w:rPr>
                <w:sz w:val="20"/>
              </w:rPr>
              <w:t>is investigated</w:t>
            </w:r>
            <w:proofErr w:type="gramEnd"/>
            <w:r>
              <w:rPr>
                <w:sz w:val="20"/>
              </w:rPr>
              <w:t xml:space="preserve">. Increase in reports not investigated likely due to </w:t>
            </w:r>
            <w:r w:rsidRPr="00F14B45">
              <w:rPr>
                <w:sz w:val="20"/>
              </w:rPr>
              <w:t>EA</w:t>
            </w:r>
            <w:r>
              <w:rPr>
                <w:sz w:val="20"/>
              </w:rPr>
              <w:t xml:space="preserve"> reports</w:t>
            </w:r>
            <w:r w:rsidR="00266088">
              <w:rPr>
                <w:sz w:val="20"/>
              </w:rPr>
              <w:t>, CDP</w:t>
            </w:r>
            <w:r>
              <w:rPr>
                <w:sz w:val="20"/>
              </w:rPr>
              <w:t>.</w:t>
            </w:r>
          </w:p>
        </w:tc>
      </w:tr>
      <w:tr w:rsidR="00D24445" w:rsidRPr="00BE7DE5" w14:paraId="4C31E4DC" w14:textId="77777777" w:rsidTr="00E747EE">
        <w:tc>
          <w:tcPr>
            <w:tcW w:w="1316" w:type="dxa"/>
          </w:tcPr>
          <w:p w14:paraId="25AFC6B7" w14:textId="77777777" w:rsidR="00D24445" w:rsidRPr="006B7AB3" w:rsidRDefault="00D24445" w:rsidP="00CE2FDF">
            <w:pPr>
              <w:spacing w:before="0" w:line="276" w:lineRule="auto"/>
              <w:rPr>
                <w:b/>
                <w:sz w:val="20"/>
              </w:rPr>
            </w:pPr>
            <w:r w:rsidRPr="006B7AB3">
              <w:rPr>
                <w:b/>
                <w:sz w:val="20"/>
              </w:rPr>
              <w:t>1.26.11</w:t>
            </w:r>
          </w:p>
        </w:tc>
        <w:tc>
          <w:tcPr>
            <w:tcW w:w="2610" w:type="dxa"/>
          </w:tcPr>
          <w:p w14:paraId="636716A5" w14:textId="77777777" w:rsidR="00D24445" w:rsidRPr="00BE7DE5" w:rsidRDefault="00D24445" w:rsidP="00CE2FDF">
            <w:pPr>
              <w:spacing w:before="0" w:line="276" w:lineRule="auto"/>
              <w:rPr>
                <w:sz w:val="20"/>
              </w:rPr>
            </w:pPr>
            <w:r w:rsidRPr="00BE7DE5">
              <w:rPr>
                <w:sz w:val="20"/>
              </w:rPr>
              <w:t xml:space="preserve">Reports by school personnel, by year, by abuse type (number and percentage) </w:t>
            </w:r>
          </w:p>
        </w:tc>
        <w:tc>
          <w:tcPr>
            <w:tcW w:w="3127" w:type="dxa"/>
          </w:tcPr>
          <w:p w14:paraId="04DCB2AE" w14:textId="77777777" w:rsidR="00D24445" w:rsidRDefault="00D24445" w:rsidP="00CE2FDF">
            <w:pPr>
              <w:spacing w:before="0" w:line="276" w:lineRule="auto"/>
              <w:rPr>
                <w:sz w:val="20"/>
              </w:rPr>
            </w:pPr>
            <w:r w:rsidRPr="00B6151B">
              <w:rPr>
                <w:sz w:val="20"/>
              </w:rPr>
              <w:t xml:space="preserve">Substantial increase in </w:t>
            </w:r>
            <w:r w:rsidRPr="00FD7154">
              <w:rPr>
                <w:b/>
                <w:sz w:val="20"/>
              </w:rPr>
              <w:t>EA</w:t>
            </w:r>
            <w:r w:rsidRPr="00B6151B">
              <w:rPr>
                <w:sz w:val="20"/>
              </w:rPr>
              <w:t xml:space="preserve"> since 2007 (911 to 4919) and </w:t>
            </w:r>
            <w:r w:rsidRPr="00FD7154">
              <w:rPr>
                <w:b/>
                <w:sz w:val="20"/>
              </w:rPr>
              <w:t xml:space="preserve">EA </w:t>
            </w:r>
            <w:r w:rsidRPr="00B6151B">
              <w:rPr>
                <w:sz w:val="20"/>
              </w:rPr>
              <w:t xml:space="preserve">now accounts for 47% of all reports. </w:t>
            </w:r>
          </w:p>
          <w:p w14:paraId="459B40E8" w14:textId="7072F58B" w:rsidR="00AB1DA6" w:rsidRDefault="00D24445" w:rsidP="00CE2FDF">
            <w:pPr>
              <w:spacing w:before="0" w:line="276" w:lineRule="auto"/>
              <w:rPr>
                <w:sz w:val="20"/>
              </w:rPr>
            </w:pPr>
            <w:proofErr w:type="gramStart"/>
            <w:r w:rsidRPr="00B6151B">
              <w:rPr>
                <w:sz w:val="20"/>
              </w:rPr>
              <w:t xml:space="preserve">Decline in </w:t>
            </w:r>
            <w:r w:rsidRPr="00FD7154">
              <w:rPr>
                <w:b/>
                <w:sz w:val="20"/>
              </w:rPr>
              <w:t>N</w:t>
            </w:r>
            <w:r w:rsidR="00AB1DA6">
              <w:rPr>
                <w:sz w:val="20"/>
              </w:rPr>
              <w:t xml:space="preserve"> reports.</w:t>
            </w:r>
            <w:proofErr w:type="gramEnd"/>
          </w:p>
          <w:p w14:paraId="11E01DF9" w14:textId="0542C392" w:rsidR="00AB1DA6" w:rsidRDefault="00D24445" w:rsidP="00CE2FDF">
            <w:pPr>
              <w:spacing w:before="0" w:line="276" w:lineRule="auto"/>
              <w:rPr>
                <w:sz w:val="20"/>
              </w:rPr>
            </w:pPr>
            <w:r w:rsidRPr="00B6151B">
              <w:rPr>
                <w:sz w:val="20"/>
              </w:rPr>
              <w:t xml:space="preserve">Increase in </w:t>
            </w:r>
            <w:r w:rsidRPr="00FD7154">
              <w:rPr>
                <w:b/>
                <w:sz w:val="20"/>
              </w:rPr>
              <w:t>PA</w:t>
            </w:r>
            <w:r w:rsidRPr="00B6151B">
              <w:rPr>
                <w:sz w:val="20"/>
              </w:rPr>
              <w:t xml:space="preserve"> reports since 2007 (1739 to 3963) but stable as </w:t>
            </w:r>
            <w:r>
              <w:rPr>
                <w:sz w:val="20"/>
              </w:rPr>
              <w:t xml:space="preserve">a </w:t>
            </w:r>
            <w:r w:rsidRPr="00B6151B">
              <w:rPr>
                <w:sz w:val="20"/>
              </w:rPr>
              <w:t>proport</w:t>
            </w:r>
            <w:r w:rsidR="00AB1DA6">
              <w:rPr>
                <w:sz w:val="20"/>
              </w:rPr>
              <w:t>ion of teachers’ reports (38%).</w:t>
            </w:r>
          </w:p>
          <w:p w14:paraId="09530854" w14:textId="6D556512" w:rsidR="00D24445" w:rsidRPr="00B6151B" w:rsidRDefault="00D24445" w:rsidP="00CE2FDF">
            <w:pPr>
              <w:spacing w:before="0" w:line="276" w:lineRule="auto"/>
              <w:rPr>
                <w:sz w:val="20"/>
              </w:rPr>
            </w:pPr>
            <w:r w:rsidRPr="00B6151B">
              <w:rPr>
                <w:sz w:val="20"/>
              </w:rPr>
              <w:t xml:space="preserve">Increase in </w:t>
            </w:r>
            <w:r w:rsidRPr="00FD7154">
              <w:rPr>
                <w:b/>
                <w:sz w:val="20"/>
              </w:rPr>
              <w:t>SA</w:t>
            </w:r>
            <w:r w:rsidRPr="00B6151B">
              <w:rPr>
                <w:sz w:val="20"/>
              </w:rPr>
              <w:t xml:space="preserve"> reports since 2007 (420 to 1001) but stable as </w:t>
            </w:r>
            <w:r>
              <w:rPr>
                <w:sz w:val="20"/>
              </w:rPr>
              <w:t xml:space="preserve">a </w:t>
            </w:r>
            <w:r w:rsidRPr="00B6151B">
              <w:rPr>
                <w:sz w:val="20"/>
              </w:rPr>
              <w:t>proportion of teachers’ reports (10%).</w:t>
            </w:r>
          </w:p>
        </w:tc>
        <w:tc>
          <w:tcPr>
            <w:tcW w:w="2495" w:type="dxa"/>
          </w:tcPr>
          <w:p w14:paraId="517337D6" w14:textId="77777777" w:rsidR="00D24445" w:rsidRPr="00BE7DE5" w:rsidRDefault="00D24445" w:rsidP="00CE2FDF">
            <w:pPr>
              <w:spacing w:before="0" w:line="276" w:lineRule="auto"/>
              <w:rPr>
                <w:sz w:val="20"/>
              </w:rPr>
            </w:pPr>
            <w:proofErr w:type="gramStart"/>
            <w:r w:rsidRPr="00FD7154">
              <w:rPr>
                <w:b/>
                <w:sz w:val="20"/>
              </w:rPr>
              <w:t>EA</w:t>
            </w:r>
            <w:r>
              <w:rPr>
                <w:sz w:val="20"/>
              </w:rPr>
              <w:t xml:space="preserve"> reporting practice likely due to increased awareness of domestic violence.</w:t>
            </w:r>
            <w:proofErr w:type="gramEnd"/>
            <w:r>
              <w:rPr>
                <w:sz w:val="20"/>
              </w:rPr>
              <w:t xml:space="preserve"> This may require remedial attention especially regarding reporting practice and destination</w:t>
            </w:r>
          </w:p>
        </w:tc>
      </w:tr>
      <w:tr w:rsidR="00D24445" w:rsidRPr="00BE7DE5" w14:paraId="60D54DE2" w14:textId="77777777" w:rsidTr="00E747EE">
        <w:tc>
          <w:tcPr>
            <w:tcW w:w="1316" w:type="dxa"/>
          </w:tcPr>
          <w:p w14:paraId="312596C7" w14:textId="77777777" w:rsidR="00D24445" w:rsidRPr="006B7AB3" w:rsidRDefault="00D24445" w:rsidP="00CE2FDF">
            <w:pPr>
              <w:spacing w:before="0" w:line="276" w:lineRule="auto"/>
              <w:rPr>
                <w:b/>
                <w:sz w:val="20"/>
              </w:rPr>
            </w:pPr>
            <w:r w:rsidRPr="006B7AB3">
              <w:rPr>
                <w:b/>
                <w:sz w:val="20"/>
              </w:rPr>
              <w:t>1.26.12</w:t>
            </w:r>
          </w:p>
        </w:tc>
        <w:tc>
          <w:tcPr>
            <w:tcW w:w="2610" w:type="dxa"/>
          </w:tcPr>
          <w:p w14:paraId="0A161561" w14:textId="41EECF5D" w:rsidR="00D24445" w:rsidRPr="00BE7DE5" w:rsidRDefault="00D24445" w:rsidP="00CE2FDF">
            <w:pPr>
              <w:spacing w:before="0" w:line="276" w:lineRule="auto"/>
              <w:rPr>
                <w:sz w:val="20"/>
              </w:rPr>
            </w:pPr>
            <w:r w:rsidRPr="00BE7DE5">
              <w:rPr>
                <w:sz w:val="20"/>
              </w:rPr>
              <w:t>Reports by school personnel, by year, by outcome of reports (number and percent</w:t>
            </w:r>
            <w:r w:rsidR="001F26E5">
              <w:rPr>
                <w:sz w:val="20"/>
              </w:rPr>
              <w:t>age)</w:t>
            </w:r>
          </w:p>
        </w:tc>
        <w:tc>
          <w:tcPr>
            <w:tcW w:w="3127" w:type="dxa"/>
          </w:tcPr>
          <w:p w14:paraId="658427DA" w14:textId="001343C0" w:rsidR="001F15E1" w:rsidRDefault="00D24445" w:rsidP="00CE2FDF">
            <w:pPr>
              <w:spacing w:before="0" w:line="276" w:lineRule="auto"/>
              <w:rPr>
                <w:sz w:val="20"/>
              </w:rPr>
            </w:pPr>
            <w:r w:rsidRPr="00CB5271">
              <w:rPr>
                <w:sz w:val="20"/>
              </w:rPr>
              <w:t>Substantiation percentage stable overall (5</w:t>
            </w:r>
            <w:r w:rsidR="001F15E1">
              <w:rPr>
                <w:sz w:val="20"/>
              </w:rPr>
              <w:t>0-60% of investigated reports).</w:t>
            </w:r>
          </w:p>
          <w:p w14:paraId="2097593F" w14:textId="670083BD" w:rsidR="001F15E1" w:rsidRDefault="00D24445" w:rsidP="00CE2FDF">
            <w:pPr>
              <w:spacing w:before="0" w:line="276" w:lineRule="auto"/>
              <w:rPr>
                <w:sz w:val="20"/>
              </w:rPr>
            </w:pPr>
            <w:r w:rsidRPr="00B6151B">
              <w:rPr>
                <w:sz w:val="20"/>
              </w:rPr>
              <w:t>Since 2007, increase in investigations (</w:t>
            </w:r>
            <w:r>
              <w:rPr>
                <w:sz w:val="20"/>
              </w:rPr>
              <w:t>1263</w:t>
            </w:r>
            <w:r w:rsidRPr="00B6151B">
              <w:rPr>
                <w:sz w:val="20"/>
              </w:rPr>
              <w:t xml:space="preserve"> to </w:t>
            </w:r>
            <w:r>
              <w:rPr>
                <w:sz w:val="20"/>
              </w:rPr>
              <w:t>2840</w:t>
            </w:r>
            <w:r w:rsidRPr="00B6151B">
              <w:rPr>
                <w:sz w:val="20"/>
              </w:rPr>
              <w:t>) and substantiations (</w:t>
            </w:r>
            <w:r>
              <w:rPr>
                <w:sz w:val="20"/>
              </w:rPr>
              <w:t>751</w:t>
            </w:r>
            <w:r w:rsidRPr="00B6151B">
              <w:rPr>
                <w:sz w:val="20"/>
              </w:rPr>
              <w:t xml:space="preserve"> to </w:t>
            </w:r>
            <w:r w:rsidR="00615C3D">
              <w:rPr>
                <w:sz w:val="20"/>
              </w:rPr>
              <w:t>1515).</w:t>
            </w:r>
          </w:p>
          <w:p w14:paraId="786EDAC7" w14:textId="53DF6470" w:rsidR="00D24445" w:rsidRPr="00797A62" w:rsidRDefault="00D24445" w:rsidP="00CE2FDF">
            <w:pPr>
              <w:spacing w:before="0" w:line="276" w:lineRule="auto"/>
              <w:rPr>
                <w:sz w:val="20"/>
                <w:highlight w:val="yellow"/>
              </w:rPr>
            </w:pPr>
            <w:r w:rsidRPr="00B6151B">
              <w:rPr>
                <w:sz w:val="20"/>
              </w:rPr>
              <w:lastRenderedPageBreak/>
              <w:t xml:space="preserve">Since 2007, a </w:t>
            </w:r>
            <w:r>
              <w:rPr>
                <w:sz w:val="20"/>
              </w:rPr>
              <w:t>twofold</w:t>
            </w:r>
            <w:r w:rsidRPr="00B6151B">
              <w:rPr>
                <w:sz w:val="20"/>
              </w:rPr>
              <w:t xml:space="preserve"> increase in reports not investigated (</w:t>
            </w:r>
            <w:r>
              <w:rPr>
                <w:sz w:val="20"/>
              </w:rPr>
              <w:t>3153</w:t>
            </w:r>
            <w:r w:rsidRPr="00B6151B">
              <w:rPr>
                <w:sz w:val="20"/>
              </w:rPr>
              <w:t xml:space="preserve"> to </w:t>
            </w:r>
            <w:r>
              <w:rPr>
                <w:sz w:val="20"/>
              </w:rPr>
              <w:t>7577</w:t>
            </w:r>
            <w:r w:rsidRPr="00B6151B">
              <w:rPr>
                <w:sz w:val="20"/>
              </w:rPr>
              <w:t>).</w:t>
            </w:r>
          </w:p>
        </w:tc>
        <w:tc>
          <w:tcPr>
            <w:tcW w:w="2495" w:type="dxa"/>
          </w:tcPr>
          <w:p w14:paraId="4FCC047F" w14:textId="07C3EB60" w:rsidR="00D24445" w:rsidRPr="00BE7DE5" w:rsidRDefault="00D24445" w:rsidP="00CE2FDF">
            <w:pPr>
              <w:spacing w:before="0" w:line="276" w:lineRule="auto"/>
              <w:rPr>
                <w:sz w:val="20"/>
              </w:rPr>
            </w:pPr>
            <w:r>
              <w:rPr>
                <w:sz w:val="20"/>
              </w:rPr>
              <w:lastRenderedPageBreak/>
              <w:t xml:space="preserve">Strong SR where report </w:t>
            </w:r>
            <w:proofErr w:type="gramStart"/>
            <w:r>
              <w:rPr>
                <w:sz w:val="20"/>
              </w:rPr>
              <w:t>is investigated</w:t>
            </w:r>
            <w:proofErr w:type="gramEnd"/>
            <w:r>
              <w:rPr>
                <w:sz w:val="20"/>
              </w:rPr>
              <w:t xml:space="preserve">. Increase in reports not investigated likely due to </w:t>
            </w:r>
            <w:r w:rsidRPr="00FD7154">
              <w:rPr>
                <w:b/>
                <w:sz w:val="20"/>
              </w:rPr>
              <w:t>EA</w:t>
            </w:r>
            <w:r>
              <w:rPr>
                <w:sz w:val="20"/>
              </w:rPr>
              <w:t xml:space="preserve"> reports</w:t>
            </w:r>
            <w:r w:rsidR="00266088">
              <w:rPr>
                <w:sz w:val="20"/>
              </w:rPr>
              <w:t>, and CDP</w:t>
            </w:r>
            <w:r>
              <w:rPr>
                <w:sz w:val="20"/>
              </w:rPr>
              <w:t>.</w:t>
            </w:r>
          </w:p>
        </w:tc>
      </w:tr>
    </w:tbl>
    <w:p w14:paraId="517521FC" w14:textId="77777777" w:rsidR="005410C7" w:rsidRDefault="005410C7"/>
    <w:tbl>
      <w:tblPr>
        <w:tblStyle w:val="TableGrid"/>
        <w:tblW w:w="0" w:type="auto"/>
        <w:tblLook w:val="04A0" w:firstRow="1" w:lastRow="0" w:firstColumn="1" w:lastColumn="0" w:noHBand="0" w:noVBand="1"/>
        <w:tblCaption w:val="DETAILED YEARLY ANALYSIS 2003-2012"/>
      </w:tblPr>
      <w:tblGrid>
        <w:gridCol w:w="1316"/>
        <w:gridCol w:w="2610"/>
        <w:gridCol w:w="3127"/>
        <w:gridCol w:w="2495"/>
      </w:tblGrid>
      <w:tr w:rsidR="00D24445" w:rsidRPr="00E747EE" w14:paraId="165F63A9" w14:textId="77777777" w:rsidTr="005410C7">
        <w:trPr>
          <w:tblHeader/>
        </w:trPr>
        <w:tc>
          <w:tcPr>
            <w:tcW w:w="9548" w:type="dxa"/>
            <w:gridSpan w:val="4"/>
            <w:shd w:val="clear" w:color="auto" w:fill="D9D9D9" w:themeFill="background1" w:themeFillShade="D9"/>
          </w:tcPr>
          <w:p w14:paraId="5F9FF3F8" w14:textId="77777777" w:rsidR="00D24445" w:rsidRPr="006B7AB3" w:rsidRDefault="00D24445" w:rsidP="00CE2FDF">
            <w:pPr>
              <w:pStyle w:val="Tableheading"/>
              <w:spacing w:before="0" w:line="276" w:lineRule="auto"/>
            </w:pPr>
            <w:r w:rsidRPr="006B7AB3">
              <w:t>DETAILED YEARLY ANALYSIS 2003-2012</w:t>
            </w:r>
          </w:p>
        </w:tc>
      </w:tr>
      <w:tr w:rsidR="00E747EE" w:rsidRPr="00E747EE" w14:paraId="7FE5D734" w14:textId="77777777" w:rsidTr="005410C7">
        <w:trPr>
          <w:tblHeader/>
        </w:trPr>
        <w:tc>
          <w:tcPr>
            <w:tcW w:w="1316" w:type="dxa"/>
            <w:shd w:val="clear" w:color="auto" w:fill="BFBFBF" w:themeFill="background1" w:themeFillShade="BF"/>
          </w:tcPr>
          <w:p w14:paraId="647F19D1" w14:textId="77777777" w:rsidR="00E747EE" w:rsidRPr="006B7AB3" w:rsidRDefault="00E747EE" w:rsidP="00CE2FDF">
            <w:pPr>
              <w:spacing w:before="0" w:line="276" w:lineRule="auto"/>
              <w:rPr>
                <w:b/>
              </w:rPr>
            </w:pPr>
            <w:r w:rsidRPr="006B7AB3">
              <w:rPr>
                <w:b/>
              </w:rPr>
              <w:t>Table</w:t>
            </w:r>
          </w:p>
        </w:tc>
        <w:tc>
          <w:tcPr>
            <w:tcW w:w="2610" w:type="dxa"/>
            <w:shd w:val="clear" w:color="auto" w:fill="BFBFBF" w:themeFill="background1" w:themeFillShade="BF"/>
          </w:tcPr>
          <w:p w14:paraId="7B0E5571" w14:textId="77777777" w:rsidR="00E747EE" w:rsidRPr="00E747EE" w:rsidRDefault="00E747EE" w:rsidP="00CE2FDF">
            <w:pPr>
              <w:spacing w:before="0" w:line="276" w:lineRule="auto"/>
              <w:rPr>
                <w:b/>
              </w:rPr>
            </w:pPr>
            <w:r w:rsidRPr="00E747EE">
              <w:rPr>
                <w:b/>
              </w:rPr>
              <w:t>Subject</w:t>
            </w:r>
          </w:p>
        </w:tc>
        <w:tc>
          <w:tcPr>
            <w:tcW w:w="3127" w:type="dxa"/>
            <w:shd w:val="clear" w:color="auto" w:fill="BFBFBF" w:themeFill="background1" w:themeFillShade="BF"/>
          </w:tcPr>
          <w:p w14:paraId="6FF0CD2E" w14:textId="77777777" w:rsidR="00E747EE" w:rsidRPr="00E747EE" w:rsidRDefault="00E747EE" w:rsidP="00CE2FDF">
            <w:pPr>
              <w:spacing w:before="0" w:line="276" w:lineRule="auto"/>
              <w:rPr>
                <w:b/>
              </w:rPr>
            </w:pPr>
            <w:r w:rsidRPr="00E747EE">
              <w:rPr>
                <w:b/>
              </w:rPr>
              <w:t>Key findings</w:t>
            </w:r>
          </w:p>
        </w:tc>
        <w:tc>
          <w:tcPr>
            <w:tcW w:w="2495" w:type="dxa"/>
            <w:shd w:val="clear" w:color="auto" w:fill="BFBFBF" w:themeFill="background1" w:themeFillShade="BF"/>
          </w:tcPr>
          <w:p w14:paraId="03FC44BE" w14:textId="77777777" w:rsidR="00E747EE" w:rsidRPr="00E747EE" w:rsidRDefault="00E747EE" w:rsidP="00CE2FDF">
            <w:pPr>
              <w:spacing w:before="0" w:line="276" w:lineRule="auto"/>
              <w:rPr>
                <w:b/>
              </w:rPr>
            </w:pPr>
            <w:r w:rsidRPr="00E747EE">
              <w:rPr>
                <w:b/>
              </w:rPr>
              <w:t>Interpretation</w:t>
            </w:r>
          </w:p>
        </w:tc>
      </w:tr>
      <w:tr w:rsidR="00D24445" w:rsidRPr="00BE7DE5" w14:paraId="20ACFDF2" w14:textId="77777777" w:rsidTr="00E747EE">
        <w:tc>
          <w:tcPr>
            <w:tcW w:w="1316" w:type="dxa"/>
          </w:tcPr>
          <w:p w14:paraId="2F7DF036" w14:textId="77777777" w:rsidR="00D24445" w:rsidRPr="006B7AB3" w:rsidRDefault="00D24445" w:rsidP="00CE2FDF">
            <w:pPr>
              <w:spacing w:before="0" w:line="276" w:lineRule="auto"/>
              <w:rPr>
                <w:b/>
                <w:sz w:val="20"/>
              </w:rPr>
            </w:pPr>
            <w:r w:rsidRPr="006B7AB3">
              <w:rPr>
                <w:b/>
                <w:sz w:val="20"/>
              </w:rPr>
              <w:t>2.6.1</w:t>
            </w:r>
          </w:p>
        </w:tc>
        <w:tc>
          <w:tcPr>
            <w:tcW w:w="2610" w:type="dxa"/>
          </w:tcPr>
          <w:p w14:paraId="0D750716" w14:textId="77777777" w:rsidR="00D24445" w:rsidRPr="00BE7DE5" w:rsidRDefault="00D24445" w:rsidP="00CE2FDF">
            <w:pPr>
              <w:spacing w:before="0" w:line="276" w:lineRule="auto"/>
              <w:rPr>
                <w:sz w:val="20"/>
              </w:rPr>
            </w:pPr>
            <w:r w:rsidRPr="00BE7DE5">
              <w:rPr>
                <w:sz w:val="20"/>
              </w:rPr>
              <w:t>Number of reports by major reporter groups combined, b</w:t>
            </w:r>
            <w:r w:rsidR="001F15E1">
              <w:rPr>
                <w:sz w:val="20"/>
              </w:rPr>
              <w:t>y year, abuse type, and outcome.</w:t>
            </w:r>
          </w:p>
        </w:tc>
        <w:tc>
          <w:tcPr>
            <w:tcW w:w="3127" w:type="dxa"/>
          </w:tcPr>
          <w:p w14:paraId="5D9D84B2" w14:textId="77777777" w:rsidR="00D24445" w:rsidRPr="00A44237" w:rsidRDefault="00D24445" w:rsidP="00CE2FDF">
            <w:pPr>
              <w:spacing w:before="0" w:line="276" w:lineRule="auto"/>
              <w:rPr>
                <w:sz w:val="20"/>
              </w:rPr>
            </w:pPr>
            <w:r w:rsidRPr="00A44237">
              <w:rPr>
                <w:sz w:val="20"/>
              </w:rPr>
              <w:t>Reports generally stable from 2003 to 2006 for all types, but major changes from 2007 to 2012:</w:t>
            </w:r>
          </w:p>
          <w:p w14:paraId="7EF89938" w14:textId="77777777" w:rsidR="00D24445" w:rsidRPr="00FD7154" w:rsidRDefault="00D24445" w:rsidP="00CE2FDF">
            <w:pPr>
              <w:pStyle w:val="ListParagraph"/>
              <w:numPr>
                <w:ilvl w:val="0"/>
                <w:numId w:val="15"/>
              </w:numPr>
              <w:spacing w:before="0" w:line="276" w:lineRule="auto"/>
              <w:rPr>
                <w:sz w:val="20"/>
              </w:rPr>
            </w:pPr>
            <w:r w:rsidRPr="00FD7154">
              <w:rPr>
                <w:b/>
                <w:sz w:val="20"/>
              </w:rPr>
              <w:t>EA</w:t>
            </w:r>
            <w:r w:rsidRPr="00FD7154">
              <w:rPr>
                <w:sz w:val="20"/>
              </w:rPr>
              <w:t xml:space="preserve"> reports increased fivefold from 2007 to 2012 (4002 to 20,844);</w:t>
            </w:r>
          </w:p>
          <w:p w14:paraId="221B0383" w14:textId="77777777" w:rsidR="00D24445" w:rsidRPr="00FD7154" w:rsidRDefault="00D24445" w:rsidP="00CE2FDF">
            <w:pPr>
              <w:pStyle w:val="ListParagraph"/>
              <w:numPr>
                <w:ilvl w:val="0"/>
                <w:numId w:val="15"/>
              </w:numPr>
              <w:spacing w:before="0" w:line="276" w:lineRule="auto"/>
              <w:rPr>
                <w:sz w:val="20"/>
              </w:rPr>
            </w:pPr>
            <w:r w:rsidRPr="00FD7154">
              <w:rPr>
                <w:b/>
                <w:sz w:val="20"/>
              </w:rPr>
              <w:t>N</w:t>
            </w:r>
            <w:r w:rsidRPr="00FD7154">
              <w:rPr>
                <w:sz w:val="20"/>
              </w:rPr>
              <w:t xml:space="preserve"> reports declined from 2007 to 2012 (4773 to 1692);</w:t>
            </w:r>
          </w:p>
          <w:p w14:paraId="01629056" w14:textId="77777777" w:rsidR="00D24445" w:rsidRPr="00FD7154" w:rsidRDefault="00D24445" w:rsidP="00CE2FDF">
            <w:pPr>
              <w:pStyle w:val="ListParagraph"/>
              <w:numPr>
                <w:ilvl w:val="0"/>
                <w:numId w:val="15"/>
              </w:numPr>
              <w:spacing w:before="0" w:line="276" w:lineRule="auto"/>
              <w:rPr>
                <w:sz w:val="20"/>
              </w:rPr>
            </w:pPr>
            <w:r w:rsidRPr="00FD7154">
              <w:rPr>
                <w:b/>
                <w:sz w:val="20"/>
              </w:rPr>
              <w:t>PA</w:t>
            </w:r>
            <w:r w:rsidRPr="00FD7154">
              <w:rPr>
                <w:sz w:val="20"/>
              </w:rPr>
              <w:t xml:space="preserve"> reports almost doubled from 2007 to 2012 (4316 to 8292);</w:t>
            </w:r>
          </w:p>
          <w:p w14:paraId="08B3264F" w14:textId="67B36211" w:rsidR="00D24445" w:rsidRPr="00615C3D" w:rsidRDefault="00D24445" w:rsidP="00CE2FDF">
            <w:pPr>
              <w:pStyle w:val="ListParagraph"/>
              <w:numPr>
                <w:ilvl w:val="0"/>
                <w:numId w:val="15"/>
              </w:numPr>
              <w:spacing w:before="0" w:line="276" w:lineRule="auto"/>
              <w:rPr>
                <w:sz w:val="20"/>
              </w:rPr>
            </w:pPr>
            <w:r w:rsidRPr="00FD7154">
              <w:rPr>
                <w:b/>
                <w:sz w:val="20"/>
              </w:rPr>
              <w:t>SA</w:t>
            </w:r>
            <w:r w:rsidRPr="00FD7154">
              <w:rPr>
                <w:sz w:val="20"/>
              </w:rPr>
              <w:t xml:space="preserve"> reports tripled from 2007 to 2012 (1314 to 4116).</w:t>
            </w:r>
          </w:p>
          <w:p w14:paraId="5BD14D89" w14:textId="77777777" w:rsidR="00D24445" w:rsidRPr="00797A62" w:rsidRDefault="00D24445" w:rsidP="00CE2FDF">
            <w:pPr>
              <w:spacing w:before="0" w:line="276" w:lineRule="auto"/>
              <w:rPr>
                <w:sz w:val="20"/>
                <w:highlight w:val="yellow"/>
              </w:rPr>
            </w:pPr>
            <w:r w:rsidRPr="00A44237">
              <w:rPr>
                <w:sz w:val="20"/>
              </w:rPr>
              <w:t xml:space="preserve">Substantiations increased </w:t>
            </w:r>
            <w:r>
              <w:rPr>
                <w:sz w:val="20"/>
              </w:rPr>
              <w:t>substantia</w:t>
            </w:r>
            <w:r w:rsidRPr="00A44237">
              <w:rPr>
                <w:sz w:val="20"/>
              </w:rPr>
              <w:t xml:space="preserve">lly from 2007 to 2012, for </w:t>
            </w:r>
            <w:r w:rsidRPr="00FD7154">
              <w:rPr>
                <w:b/>
                <w:sz w:val="20"/>
              </w:rPr>
              <w:t>EA</w:t>
            </w:r>
            <w:r w:rsidRPr="00A44237">
              <w:rPr>
                <w:sz w:val="20"/>
              </w:rPr>
              <w:t xml:space="preserve"> (861 to 2241); doubled for </w:t>
            </w:r>
            <w:r w:rsidRPr="00FD7154">
              <w:rPr>
                <w:b/>
                <w:sz w:val="20"/>
              </w:rPr>
              <w:t>PA</w:t>
            </w:r>
            <w:r w:rsidRPr="00A44237">
              <w:rPr>
                <w:sz w:val="20"/>
              </w:rPr>
              <w:t xml:space="preserve"> from 2006 to 2012 (1022 to 2099), and nearly tripled for </w:t>
            </w:r>
            <w:r w:rsidRPr="00F14B45">
              <w:rPr>
                <w:sz w:val="20"/>
              </w:rPr>
              <w:t>SA</w:t>
            </w:r>
            <w:r w:rsidRPr="00A44237">
              <w:rPr>
                <w:sz w:val="20"/>
              </w:rPr>
              <w:t xml:space="preserve"> from 2007 to 2012 (298 to 863)</w:t>
            </w:r>
            <w:proofErr w:type="gramStart"/>
            <w:r w:rsidRPr="00A44237">
              <w:rPr>
                <w:sz w:val="20"/>
              </w:rPr>
              <w:t>;</w:t>
            </w:r>
            <w:proofErr w:type="gramEnd"/>
            <w:r w:rsidRPr="00A44237">
              <w:rPr>
                <w:sz w:val="20"/>
              </w:rPr>
              <w:t xml:space="preserve"> but declined for N (466 to 333).</w:t>
            </w:r>
          </w:p>
        </w:tc>
        <w:tc>
          <w:tcPr>
            <w:tcW w:w="2495" w:type="dxa"/>
          </w:tcPr>
          <w:p w14:paraId="7AD044BA" w14:textId="19CAE585" w:rsidR="001F15E1" w:rsidRDefault="00D24445" w:rsidP="00CE2FDF">
            <w:pPr>
              <w:spacing w:before="0" w:line="276" w:lineRule="auto"/>
              <w:rPr>
                <w:sz w:val="20"/>
              </w:rPr>
            </w:pPr>
            <w:r w:rsidRPr="00FD7154">
              <w:rPr>
                <w:b/>
                <w:sz w:val="20"/>
              </w:rPr>
              <w:t>EA</w:t>
            </w:r>
            <w:r>
              <w:rPr>
                <w:sz w:val="20"/>
              </w:rPr>
              <w:t xml:space="preserve"> increase is the outlier result, especially since it </w:t>
            </w:r>
            <w:proofErr w:type="gramStart"/>
            <w:r>
              <w:rPr>
                <w:sz w:val="20"/>
              </w:rPr>
              <w:t>is not requir</w:t>
            </w:r>
            <w:r w:rsidR="001F15E1">
              <w:rPr>
                <w:sz w:val="20"/>
              </w:rPr>
              <w:t>ed to be reported</w:t>
            </w:r>
            <w:proofErr w:type="gramEnd"/>
            <w:r w:rsidR="001F15E1">
              <w:rPr>
                <w:sz w:val="20"/>
              </w:rPr>
              <w:t xml:space="preserve"> under MR law.</w:t>
            </w:r>
          </w:p>
          <w:p w14:paraId="22E99FB0" w14:textId="77777777" w:rsidR="00D24445" w:rsidRDefault="00D24445" w:rsidP="00CE2FDF">
            <w:pPr>
              <w:spacing w:before="0" w:line="276" w:lineRule="auto"/>
              <w:rPr>
                <w:sz w:val="20"/>
              </w:rPr>
            </w:pPr>
            <w:proofErr w:type="gramStart"/>
            <w:r w:rsidRPr="00FD7154">
              <w:rPr>
                <w:b/>
                <w:sz w:val="20"/>
              </w:rPr>
              <w:t>N</w:t>
            </w:r>
            <w:r>
              <w:rPr>
                <w:sz w:val="20"/>
              </w:rPr>
              <w:t xml:space="preserve"> decline also notable and likely due to DR since 2007.</w:t>
            </w:r>
            <w:proofErr w:type="gramEnd"/>
          </w:p>
          <w:p w14:paraId="50053C1A" w14:textId="17D3DC76" w:rsidR="001F15E1" w:rsidRDefault="00D24445" w:rsidP="00CE2FDF">
            <w:pPr>
              <w:spacing w:before="0" w:line="276" w:lineRule="auto"/>
              <w:rPr>
                <w:sz w:val="20"/>
              </w:rPr>
            </w:pPr>
            <w:r>
              <w:rPr>
                <w:sz w:val="20"/>
              </w:rPr>
              <w:t xml:space="preserve">Increase in </w:t>
            </w:r>
            <w:r w:rsidRPr="00FD7154">
              <w:rPr>
                <w:b/>
                <w:sz w:val="20"/>
              </w:rPr>
              <w:t>PA</w:t>
            </w:r>
            <w:r>
              <w:rPr>
                <w:sz w:val="20"/>
              </w:rPr>
              <w:t xml:space="preserve"> and </w:t>
            </w:r>
            <w:r w:rsidRPr="00FD7154">
              <w:rPr>
                <w:b/>
                <w:sz w:val="20"/>
              </w:rPr>
              <w:t>SA</w:t>
            </w:r>
            <w:r>
              <w:rPr>
                <w:sz w:val="20"/>
              </w:rPr>
              <w:t xml:space="preserve"> </w:t>
            </w:r>
            <w:proofErr w:type="gramStart"/>
            <w:r>
              <w:rPr>
                <w:sz w:val="20"/>
              </w:rPr>
              <w:t>suggest</w:t>
            </w:r>
            <w:proofErr w:type="gramEnd"/>
            <w:r>
              <w:rPr>
                <w:sz w:val="20"/>
              </w:rPr>
              <w:t xml:space="preserve"> impact of OR, heightened awareness.</w:t>
            </w:r>
            <w:r w:rsidR="00FF2D54">
              <w:rPr>
                <w:sz w:val="20"/>
              </w:rPr>
              <w:t xml:space="preserve"> </w:t>
            </w:r>
          </w:p>
          <w:p w14:paraId="6367D03F" w14:textId="36C6D3E7" w:rsidR="00D24445" w:rsidRPr="00BE7DE5" w:rsidRDefault="00D24445" w:rsidP="00CE2FDF">
            <w:pPr>
              <w:spacing w:before="0" w:line="276" w:lineRule="auto"/>
              <w:rPr>
                <w:sz w:val="20"/>
              </w:rPr>
            </w:pPr>
            <w:r>
              <w:rPr>
                <w:sz w:val="20"/>
              </w:rPr>
              <w:t xml:space="preserve">Higher substantiations of </w:t>
            </w:r>
            <w:r w:rsidRPr="00FD7154">
              <w:rPr>
                <w:b/>
                <w:sz w:val="20"/>
              </w:rPr>
              <w:t>PA</w:t>
            </w:r>
            <w:r>
              <w:rPr>
                <w:sz w:val="20"/>
              </w:rPr>
              <w:t xml:space="preserve"> and </w:t>
            </w:r>
            <w:r w:rsidRPr="00FD7154">
              <w:rPr>
                <w:b/>
                <w:sz w:val="20"/>
              </w:rPr>
              <w:t>SA</w:t>
            </w:r>
            <w:r>
              <w:rPr>
                <w:sz w:val="20"/>
              </w:rPr>
              <w:t xml:space="preserve"> reflect strong results and suggest good practices. Those for </w:t>
            </w:r>
            <w:r w:rsidRPr="00FD7154">
              <w:rPr>
                <w:b/>
                <w:sz w:val="20"/>
              </w:rPr>
              <w:t>EA</w:t>
            </w:r>
            <w:r>
              <w:rPr>
                <w:sz w:val="20"/>
              </w:rPr>
              <w:t xml:space="preserve"> reflect higher numbers of reports. Decline for </w:t>
            </w:r>
            <w:r w:rsidRPr="00FD7154">
              <w:rPr>
                <w:b/>
                <w:sz w:val="20"/>
              </w:rPr>
              <w:t xml:space="preserve">N </w:t>
            </w:r>
            <w:r w:rsidR="00615C3D">
              <w:rPr>
                <w:sz w:val="20"/>
              </w:rPr>
              <w:t>likely reflects DR mechanism.</w:t>
            </w:r>
          </w:p>
        </w:tc>
      </w:tr>
      <w:tr w:rsidR="00D24445" w:rsidRPr="00BE7DE5" w14:paraId="45937C22" w14:textId="77777777" w:rsidTr="00E747EE">
        <w:tc>
          <w:tcPr>
            <w:tcW w:w="1316" w:type="dxa"/>
          </w:tcPr>
          <w:p w14:paraId="2796E676" w14:textId="77777777" w:rsidR="00D24445" w:rsidRPr="006B7AB3" w:rsidRDefault="00D24445" w:rsidP="00CE2FDF">
            <w:pPr>
              <w:spacing w:before="0" w:line="276" w:lineRule="auto"/>
              <w:rPr>
                <w:b/>
                <w:sz w:val="20"/>
              </w:rPr>
            </w:pPr>
            <w:r w:rsidRPr="006B7AB3">
              <w:rPr>
                <w:b/>
                <w:sz w:val="20"/>
              </w:rPr>
              <w:t>2.6.2</w:t>
            </w:r>
          </w:p>
        </w:tc>
        <w:tc>
          <w:tcPr>
            <w:tcW w:w="2610" w:type="dxa"/>
          </w:tcPr>
          <w:p w14:paraId="63140386" w14:textId="77777777" w:rsidR="00D24445" w:rsidRPr="00BE7DE5" w:rsidRDefault="00D24445" w:rsidP="00CE2FDF">
            <w:pPr>
              <w:spacing w:before="0" w:line="276" w:lineRule="auto"/>
              <w:rPr>
                <w:sz w:val="20"/>
              </w:rPr>
            </w:pPr>
            <w:r w:rsidRPr="00BE7DE5">
              <w:rPr>
                <w:sz w:val="20"/>
              </w:rPr>
              <w:t>Number of reports by other reporter groups combined, b</w:t>
            </w:r>
            <w:r w:rsidR="001F15E1">
              <w:rPr>
                <w:sz w:val="20"/>
              </w:rPr>
              <w:t>y year, abuse type, and outcome.</w:t>
            </w:r>
          </w:p>
        </w:tc>
        <w:tc>
          <w:tcPr>
            <w:tcW w:w="3127" w:type="dxa"/>
          </w:tcPr>
          <w:p w14:paraId="11D81089" w14:textId="77777777" w:rsidR="00D24445" w:rsidRPr="0082315A" w:rsidRDefault="00D24445" w:rsidP="00CE2FDF">
            <w:pPr>
              <w:spacing w:before="0" w:line="276" w:lineRule="auto"/>
              <w:rPr>
                <w:sz w:val="20"/>
              </w:rPr>
            </w:pPr>
            <w:r w:rsidRPr="0082315A">
              <w:rPr>
                <w:sz w:val="20"/>
              </w:rPr>
              <w:t>Reports generally stable from 2003 to 2006 for all types, but major changes from 2007 to 2012:</w:t>
            </w:r>
          </w:p>
          <w:p w14:paraId="28FF1DFB" w14:textId="77777777" w:rsidR="00D24445" w:rsidRPr="001F15E1" w:rsidRDefault="00D24445" w:rsidP="00CE2FDF">
            <w:pPr>
              <w:pStyle w:val="ListParagraph"/>
              <w:numPr>
                <w:ilvl w:val="0"/>
                <w:numId w:val="17"/>
              </w:numPr>
              <w:spacing w:before="0" w:line="276" w:lineRule="auto"/>
              <w:rPr>
                <w:sz w:val="20"/>
              </w:rPr>
            </w:pPr>
            <w:r w:rsidRPr="001F15E1">
              <w:rPr>
                <w:b/>
                <w:sz w:val="20"/>
              </w:rPr>
              <w:t>EA</w:t>
            </w:r>
            <w:r w:rsidRPr="001F15E1">
              <w:rPr>
                <w:sz w:val="20"/>
              </w:rPr>
              <w:t xml:space="preserve"> reports tripled from 2007 to 2012 (6678 to 20,636);</w:t>
            </w:r>
          </w:p>
          <w:p w14:paraId="5E2DE13A" w14:textId="77777777" w:rsidR="00D24445" w:rsidRPr="001F15E1" w:rsidRDefault="00D24445" w:rsidP="00CE2FDF">
            <w:pPr>
              <w:pStyle w:val="ListParagraph"/>
              <w:numPr>
                <w:ilvl w:val="0"/>
                <w:numId w:val="17"/>
              </w:numPr>
              <w:spacing w:before="0" w:line="276" w:lineRule="auto"/>
              <w:rPr>
                <w:sz w:val="20"/>
              </w:rPr>
            </w:pPr>
            <w:r w:rsidRPr="001F15E1">
              <w:rPr>
                <w:b/>
                <w:sz w:val="20"/>
              </w:rPr>
              <w:t>N</w:t>
            </w:r>
            <w:r w:rsidRPr="001F15E1">
              <w:rPr>
                <w:sz w:val="20"/>
              </w:rPr>
              <w:t xml:space="preserve"> reports declined substantially from 2007 to 2012 (10,005 to 3210);</w:t>
            </w:r>
          </w:p>
          <w:p w14:paraId="21264D02" w14:textId="77777777" w:rsidR="00D24445" w:rsidRPr="001F15E1" w:rsidRDefault="00D24445" w:rsidP="00CE2FDF">
            <w:pPr>
              <w:pStyle w:val="ListParagraph"/>
              <w:numPr>
                <w:ilvl w:val="0"/>
                <w:numId w:val="17"/>
              </w:numPr>
              <w:spacing w:before="0" w:line="276" w:lineRule="auto"/>
              <w:rPr>
                <w:sz w:val="20"/>
              </w:rPr>
            </w:pPr>
            <w:r w:rsidRPr="001F15E1">
              <w:rPr>
                <w:b/>
                <w:sz w:val="20"/>
              </w:rPr>
              <w:t>PA</w:t>
            </w:r>
            <w:r w:rsidRPr="001F15E1">
              <w:rPr>
                <w:sz w:val="20"/>
              </w:rPr>
              <w:t xml:space="preserve"> reports stable from 2007 to 2012 (5887 to 6627);</w:t>
            </w:r>
          </w:p>
          <w:p w14:paraId="1E852862" w14:textId="26836578" w:rsidR="00D24445" w:rsidRPr="00615C3D" w:rsidRDefault="00D24445" w:rsidP="00CE2FDF">
            <w:pPr>
              <w:pStyle w:val="ListParagraph"/>
              <w:numPr>
                <w:ilvl w:val="0"/>
                <w:numId w:val="17"/>
              </w:numPr>
              <w:spacing w:before="0" w:line="276" w:lineRule="auto"/>
              <w:rPr>
                <w:sz w:val="20"/>
              </w:rPr>
            </w:pPr>
            <w:r w:rsidRPr="001F15E1">
              <w:rPr>
                <w:b/>
                <w:sz w:val="20"/>
              </w:rPr>
              <w:t>SA</w:t>
            </w:r>
            <w:r w:rsidRPr="001F15E1">
              <w:rPr>
                <w:sz w:val="20"/>
              </w:rPr>
              <w:t xml:space="preserve"> reports stable over decade (2863 to 3231).</w:t>
            </w:r>
          </w:p>
          <w:p w14:paraId="756AF8F0" w14:textId="77777777" w:rsidR="00D24445" w:rsidRDefault="00D24445" w:rsidP="00CE2FDF">
            <w:pPr>
              <w:spacing w:before="0" w:line="276" w:lineRule="auto"/>
              <w:rPr>
                <w:sz w:val="20"/>
              </w:rPr>
            </w:pPr>
            <w:r w:rsidRPr="0082315A">
              <w:rPr>
                <w:sz w:val="20"/>
              </w:rPr>
              <w:t xml:space="preserve">Substantiations of </w:t>
            </w:r>
            <w:r w:rsidRPr="001F15E1">
              <w:rPr>
                <w:b/>
                <w:sz w:val="20"/>
              </w:rPr>
              <w:t>EA</w:t>
            </w:r>
            <w:r w:rsidRPr="0082315A">
              <w:rPr>
                <w:sz w:val="20"/>
              </w:rPr>
              <w:t xml:space="preserve"> doubled from 2007 to 2012 (1194 to 2376); halved from 2006 to 2012 for </w:t>
            </w:r>
            <w:r w:rsidRPr="001F15E1">
              <w:rPr>
                <w:b/>
                <w:sz w:val="20"/>
              </w:rPr>
              <w:t>N</w:t>
            </w:r>
            <w:r w:rsidRPr="0082315A">
              <w:rPr>
                <w:sz w:val="20"/>
              </w:rPr>
              <w:t xml:space="preserve"> (1168 to 550), and have been stable for </w:t>
            </w:r>
            <w:r w:rsidRPr="001F15E1">
              <w:rPr>
                <w:b/>
                <w:sz w:val="20"/>
              </w:rPr>
              <w:t>PA</w:t>
            </w:r>
            <w:r w:rsidRPr="0082315A">
              <w:rPr>
                <w:sz w:val="20"/>
              </w:rPr>
              <w:t xml:space="preserve"> over the decade (1122 to 1136)</w:t>
            </w:r>
            <w:proofErr w:type="gramStart"/>
            <w:r w:rsidRPr="0082315A">
              <w:rPr>
                <w:sz w:val="20"/>
              </w:rPr>
              <w:t>;</w:t>
            </w:r>
            <w:proofErr w:type="gramEnd"/>
            <w:r w:rsidRPr="0082315A">
              <w:rPr>
                <w:sz w:val="20"/>
              </w:rPr>
              <w:t xml:space="preserve"> and relatively stable for </w:t>
            </w:r>
            <w:r w:rsidRPr="001F15E1">
              <w:rPr>
                <w:b/>
                <w:sz w:val="20"/>
              </w:rPr>
              <w:t>SA</w:t>
            </w:r>
            <w:r w:rsidRPr="0082315A">
              <w:rPr>
                <w:sz w:val="20"/>
              </w:rPr>
              <w:t xml:space="preserve"> in 2003-2010 with an </w:t>
            </w:r>
            <w:r w:rsidRPr="0082315A">
              <w:rPr>
                <w:sz w:val="20"/>
              </w:rPr>
              <w:lastRenderedPageBreak/>
              <w:t>increase in 2011 and 2012.</w:t>
            </w:r>
          </w:p>
          <w:p w14:paraId="23DCF804" w14:textId="77777777" w:rsidR="00D24445" w:rsidRPr="00797A62" w:rsidRDefault="00D24445" w:rsidP="00CE2FDF">
            <w:pPr>
              <w:spacing w:before="0" w:line="276" w:lineRule="auto"/>
              <w:rPr>
                <w:sz w:val="20"/>
                <w:highlight w:val="yellow"/>
              </w:rPr>
            </w:pPr>
          </w:p>
        </w:tc>
        <w:tc>
          <w:tcPr>
            <w:tcW w:w="2495" w:type="dxa"/>
          </w:tcPr>
          <w:p w14:paraId="3C904860" w14:textId="04BC2355" w:rsidR="001F15E1" w:rsidRDefault="00D24445" w:rsidP="00CE2FDF">
            <w:pPr>
              <w:spacing w:before="0" w:line="276" w:lineRule="auto"/>
              <w:rPr>
                <w:sz w:val="20"/>
              </w:rPr>
            </w:pPr>
            <w:r w:rsidRPr="001F15E1">
              <w:rPr>
                <w:b/>
                <w:sz w:val="20"/>
              </w:rPr>
              <w:lastRenderedPageBreak/>
              <w:t>EA</w:t>
            </w:r>
            <w:r>
              <w:rPr>
                <w:sz w:val="20"/>
              </w:rPr>
              <w:t xml:space="preserve"> increase reflects public awareness of DV and concern for children.</w:t>
            </w:r>
          </w:p>
          <w:p w14:paraId="46CAB028" w14:textId="73C32886" w:rsidR="00D24445" w:rsidRDefault="00D24445" w:rsidP="00CE2FDF">
            <w:pPr>
              <w:spacing w:before="0" w:line="276" w:lineRule="auto"/>
              <w:rPr>
                <w:sz w:val="20"/>
              </w:rPr>
            </w:pPr>
            <w:r w:rsidRPr="001F15E1">
              <w:rPr>
                <w:b/>
                <w:sz w:val="20"/>
              </w:rPr>
              <w:t>N</w:t>
            </w:r>
            <w:r>
              <w:rPr>
                <w:sz w:val="20"/>
              </w:rPr>
              <w:t xml:space="preserve"> decline sugg</w:t>
            </w:r>
            <w:r w:rsidR="00615C3D">
              <w:rPr>
                <w:sz w:val="20"/>
              </w:rPr>
              <w:t>ests messages on DR successful.</w:t>
            </w:r>
          </w:p>
          <w:p w14:paraId="68D4C4EC" w14:textId="77777777" w:rsidR="00D24445" w:rsidRPr="00BE7DE5" w:rsidRDefault="00D24445" w:rsidP="00CE2FDF">
            <w:pPr>
              <w:spacing w:before="0" w:line="276" w:lineRule="auto"/>
              <w:rPr>
                <w:sz w:val="20"/>
              </w:rPr>
            </w:pPr>
            <w:r>
              <w:rPr>
                <w:sz w:val="20"/>
              </w:rPr>
              <w:t xml:space="preserve">Stable reports and substantiations of </w:t>
            </w:r>
            <w:r w:rsidRPr="001F15E1">
              <w:rPr>
                <w:b/>
                <w:sz w:val="20"/>
              </w:rPr>
              <w:t>PA</w:t>
            </w:r>
            <w:r>
              <w:rPr>
                <w:sz w:val="20"/>
              </w:rPr>
              <w:t xml:space="preserve"> and </w:t>
            </w:r>
            <w:r w:rsidRPr="001F15E1">
              <w:rPr>
                <w:b/>
                <w:sz w:val="20"/>
              </w:rPr>
              <w:t>SA</w:t>
            </w:r>
            <w:r>
              <w:rPr>
                <w:sz w:val="20"/>
              </w:rPr>
              <w:t xml:space="preserve"> show other reporter groups’ awareness of and reporting of these kinds of maltreatment differs from mandated reporters.</w:t>
            </w:r>
          </w:p>
        </w:tc>
      </w:tr>
      <w:tr w:rsidR="00D24445" w:rsidRPr="00BE7DE5" w14:paraId="064022A1" w14:textId="77777777" w:rsidTr="00E747EE">
        <w:tc>
          <w:tcPr>
            <w:tcW w:w="1316" w:type="dxa"/>
          </w:tcPr>
          <w:p w14:paraId="460DFB7E" w14:textId="77777777" w:rsidR="00D24445" w:rsidRPr="006B7AB3" w:rsidRDefault="00D24445" w:rsidP="00CE2FDF">
            <w:pPr>
              <w:spacing w:before="0" w:line="276" w:lineRule="auto"/>
              <w:rPr>
                <w:b/>
                <w:sz w:val="20"/>
              </w:rPr>
            </w:pPr>
            <w:r w:rsidRPr="006B7AB3">
              <w:rPr>
                <w:b/>
                <w:sz w:val="20"/>
              </w:rPr>
              <w:lastRenderedPageBreak/>
              <w:t>2.6.5</w:t>
            </w:r>
          </w:p>
        </w:tc>
        <w:tc>
          <w:tcPr>
            <w:tcW w:w="2610" w:type="dxa"/>
          </w:tcPr>
          <w:p w14:paraId="2175F421" w14:textId="77777777" w:rsidR="00D24445" w:rsidRPr="00BE7DE5" w:rsidRDefault="00D24445" w:rsidP="00CE2FDF">
            <w:pPr>
              <w:spacing w:before="0" w:line="276" w:lineRule="auto"/>
              <w:rPr>
                <w:sz w:val="20"/>
              </w:rPr>
            </w:pPr>
            <w:proofErr w:type="gramStart"/>
            <w:r w:rsidRPr="00BE7DE5">
              <w:rPr>
                <w:sz w:val="20"/>
              </w:rPr>
              <w:t>Number of reports by police, b</w:t>
            </w:r>
            <w:r w:rsidR="001F15E1">
              <w:rPr>
                <w:sz w:val="20"/>
              </w:rPr>
              <w:t>y year, abuse type, and outcome.</w:t>
            </w:r>
            <w:proofErr w:type="gramEnd"/>
          </w:p>
        </w:tc>
        <w:tc>
          <w:tcPr>
            <w:tcW w:w="3127" w:type="dxa"/>
          </w:tcPr>
          <w:p w14:paraId="7AB13341" w14:textId="6610A3DE" w:rsidR="001F15E1" w:rsidRDefault="00D24445" w:rsidP="00CE2FDF">
            <w:pPr>
              <w:spacing w:before="0" w:line="276" w:lineRule="auto"/>
              <w:rPr>
                <w:sz w:val="20"/>
              </w:rPr>
            </w:pPr>
            <w:r w:rsidRPr="009B5E12">
              <w:rPr>
                <w:sz w:val="20"/>
              </w:rPr>
              <w:t>Stable reports for each type 2003 to 2006.</w:t>
            </w:r>
          </w:p>
          <w:p w14:paraId="06E8DBD1" w14:textId="5C3428A6" w:rsidR="00D24445" w:rsidRDefault="00D24445" w:rsidP="00CE2FDF">
            <w:pPr>
              <w:spacing w:before="0" w:line="276" w:lineRule="auto"/>
              <w:rPr>
                <w:sz w:val="20"/>
              </w:rPr>
            </w:pPr>
            <w:proofErr w:type="gramStart"/>
            <w:r w:rsidRPr="009B5E12">
              <w:rPr>
                <w:sz w:val="20"/>
              </w:rPr>
              <w:t xml:space="preserve">In 2007, substantial decline in </w:t>
            </w:r>
            <w:r w:rsidRPr="001F15E1">
              <w:rPr>
                <w:b/>
                <w:sz w:val="20"/>
              </w:rPr>
              <w:t>EA</w:t>
            </w:r>
            <w:r w:rsidRPr="009B5E12">
              <w:rPr>
                <w:sz w:val="20"/>
              </w:rPr>
              <w:t xml:space="preserve"> but increase in </w:t>
            </w:r>
            <w:r w:rsidRPr="001F15E1">
              <w:rPr>
                <w:b/>
                <w:sz w:val="20"/>
              </w:rPr>
              <w:t>N, PA</w:t>
            </w:r>
            <w:r w:rsidR="00615C3D">
              <w:rPr>
                <w:sz w:val="20"/>
              </w:rPr>
              <w:t>.</w:t>
            </w:r>
            <w:proofErr w:type="gramEnd"/>
          </w:p>
          <w:p w14:paraId="2E45856B" w14:textId="77777777" w:rsidR="00D24445" w:rsidRDefault="00D24445" w:rsidP="00CE2FDF">
            <w:pPr>
              <w:spacing w:before="0" w:line="276" w:lineRule="auto"/>
              <w:rPr>
                <w:sz w:val="20"/>
              </w:rPr>
            </w:pPr>
            <w:r w:rsidRPr="009B5E12">
              <w:rPr>
                <w:sz w:val="20"/>
              </w:rPr>
              <w:t>Since 2007, substantial and sustained increase</w:t>
            </w:r>
            <w:r>
              <w:rPr>
                <w:sz w:val="20"/>
              </w:rPr>
              <w:t>s</w:t>
            </w:r>
            <w:r w:rsidRPr="009B5E12">
              <w:rPr>
                <w:sz w:val="20"/>
              </w:rPr>
              <w:t xml:space="preserve"> in</w:t>
            </w:r>
            <w:r>
              <w:rPr>
                <w:sz w:val="20"/>
              </w:rPr>
              <w:t>:</w:t>
            </w:r>
          </w:p>
          <w:p w14:paraId="3C1C1EF5" w14:textId="77777777" w:rsidR="00D24445" w:rsidRPr="001F15E1" w:rsidRDefault="00D24445" w:rsidP="00CE2FDF">
            <w:pPr>
              <w:pStyle w:val="ListParagraph"/>
              <w:numPr>
                <w:ilvl w:val="0"/>
                <w:numId w:val="18"/>
              </w:numPr>
              <w:spacing w:before="0" w:line="276" w:lineRule="auto"/>
              <w:rPr>
                <w:sz w:val="20"/>
              </w:rPr>
            </w:pPr>
            <w:r w:rsidRPr="001F15E1">
              <w:rPr>
                <w:b/>
                <w:sz w:val="20"/>
              </w:rPr>
              <w:t>EA</w:t>
            </w:r>
            <w:r w:rsidRPr="001F15E1">
              <w:rPr>
                <w:sz w:val="20"/>
              </w:rPr>
              <w:t xml:space="preserve"> (2581 to 14,139) </w:t>
            </w:r>
          </w:p>
          <w:p w14:paraId="1DDC629D" w14:textId="77777777" w:rsidR="00D24445" w:rsidRPr="001F15E1" w:rsidRDefault="00D24445" w:rsidP="00CE2FDF">
            <w:pPr>
              <w:pStyle w:val="ListParagraph"/>
              <w:numPr>
                <w:ilvl w:val="0"/>
                <w:numId w:val="18"/>
              </w:numPr>
              <w:spacing w:before="0" w:line="276" w:lineRule="auto"/>
              <w:rPr>
                <w:sz w:val="20"/>
              </w:rPr>
            </w:pPr>
            <w:r w:rsidRPr="001F15E1">
              <w:rPr>
                <w:b/>
                <w:sz w:val="20"/>
              </w:rPr>
              <w:t>SA</w:t>
            </w:r>
            <w:r w:rsidRPr="001F15E1">
              <w:rPr>
                <w:sz w:val="20"/>
              </w:rPr>
              <w:t xml:space="preserve"> (698 to 2780) </w:t>
            </w:r>
          </w:p>
          <w:p w14:paraId="2ABFF10F" w14:textId="77777777" w:rsidR="00D24445" w:rsidRPr="001F15E1" w:rsidRDefault="00D24445" w:rsidP="00CE2FDF">
            <w:pPr>
              <w:pStyle w:val="ListParagraph"/>
              <w:numPr>
                <w:ilvl w:val="0"/>
                <w:numId w:val="18"/>
              </w:numPr>
              <w:spacing w:before="0" w:line="276" w:lineRule="auto"/>
              <w:rPr>
                <w:sz w:val="20"/>
              </w:rPr>
            </w:pPr>
            <w:r w:rsidRPr="001F15E1">
              <w:rPr>
                <w:b/>
                <w:sz w:val="20"/>
              </w:rPr>
              <w:t>PA</w:t>
            </w:r>
            <w:r w:rsidRPr="001F15E1">
              <w:rPr>
                <w:sz w:val="20"/>
              </w:rPr>
              <w:t xml:space="preserve"> (1919 to 3452)</w:t>
            </w:r>
          </w:p>
          <w:p w14:paraId="41DFB712" w14:textId="297D966C" w:rsidR="00D24445" w:rsidRPr="00615C3D" w:rsidRDefault="00D24445" w:rsidP="00CE2FDF">
            <w:pPr>
              <w:pStyle w:val="ListParagraph"/>
              <w:numPr>
                <w:ilvl w:val="0"/>
                <w:numId w:val="18"/>
              </w:numPr>
              <w:spacing w:before="0" w:line="276" w:lineRule="auto"/>
              <w:rPr>
                <w:sz w:val="20"/>
              </w:rPr>
            </w:pPr>
            <w:proofErr w:type="gramStart"/>
            <w:r w:rsidRPr="001F15E1">
              <w:rPr>
                <w:sz w:val="20"/>
              </w:rPr>
              <w:t>but</w:t>
            </w:r>
            <w:proofErr w:type="gramEnd"/>
            <w:r w:rsidRPr="001F15E1">
              <w:rPr>
                <w:sz w:val="20"/>
              </w:rPr>
              <w:t xml:space="preserve"> a substantial </w:t>
            </w:r>
            <w:r w:rsidRPr="001F15E1">
              <w:rPr>
                <w:b/>
                <w:sz w:val="20"/>
              </w:rPr>
              <w:t>decline in</w:t>
            </w:r>
            <w:r w:rsidRPr="001F15E1">
              <w:rPr>
                <w:sz w:val="20"/>
              </w:rPr>
              <w:t xml:space="preserve"> </w:t>
            </w:r>
            <w:r w:rsidRPr="001F15E1">
              <w:rPr>
                <w:b/>
                <w:sz w:val="20"/>
              </w:rPr>
              <w:t>N</w:t>
            </w:r>
            <w:r w:rsidRPr="001F15E1">
              <w:rPr>
                <w:sz w:val="20"/>
              </w:rPr>
              <w:t xml:space="preserve"> (2432 to 621).</w:t>
            </w:r>
          </w:p>
          <w:p w14:paraId="2CB20A3C" w14:textId="52007025" w:rsidR="001F15E1" w:rsidRDefault="00D24445" w:rsidP="00CE2FDF">
            <w:pPr>
              <w:spacing w:before="0" w:line="276" w:lineRule="auto"/>
              <w:rPr>
                <w:sz w:val="20"/>
              </w:rPr>
            </w:pPr>
            <w:r w:rsidRPr="009B5E12">
              <w:rPr>
                <w:sz w:val="20"/>
              </w:rPr>
              <w:t xml:space="preserve">Substantiation rate of those </w:t>
            </w:r>
            <w:r w:rsidRPr="001F15E1">
              <w:rPr>
                <w:b/>
                <w:sz w:val="20"/>
              </w:rPr>
              <w:t>EA</w:t>
            </w:r>
            <w:r w:rsidRPr="009B5E12">
              <w:rPr>
                <w:sz w:val="20"/>
              </w:rPr>
              <w:t xml:space="preserve"> reports that </w:t>
            </w:r>
            <w:proofErr w:type="gramStart"/>
            <w:r w:rsidRPr="009B5E12">
              <w:rPr>
                <w:sz w:val="20"/>
              </w:rPr>
              <w:t>are investigated</w:t>
            </w:r>
            <w:proofErr w:type="gramEnd"/>
            <w:r w:rsidRPr="009B5E12">
              <w:rPr>
                <w:sz w:val="20"/>
              </w:rPr>
              <w:t xml:space="preserve"> is stable, but 85% of all </w:t>
            </w:r>
            <w:r w:rsidRPr="001F15E1">
              <w:rPr>
                <w:b/>
                <w:sz w:val="20"/>
              </w:rPr>
              <w:t>EA</w:t>
            </w:r>
            <w:r w:rsidR="001F15E1">
              <w:rPr>
                <w:sz w:val="20"/>
              </w:rPr>
              <w:t xml:space="preserve"> reports are not investigated.</w:t>
            </w:r>
          </w:p>
          <w:p w14:paraId="2F2A33E3" w14:textId="75DB1D25" w:rsidR="001F15E1" w:rsidRPr="0086254F" w:rsidRDefault="00D24445" w:rsidP="00CE2FDF">
            <w:pPr>
              <w:spacing w:before="0" w:line="276" w:lineRule="auto"/>
              <w:rPr>
                <w:sz w:val="20"/>
              </w:rPr>
            </w:pPr>
            <w:r w:rsidRPr="009B5E12">
              <w:rPr>
                <w:sz w:val="20"/>
              </w:rPr>
              <w:t xml:space="preserve">Similar pattern for </w:t>
            </w:r>
            <w:r w:rsidRPr="001F15E1">
              <w:rPr>
                <w:b/>
                <w:sz w:val="20"/>
              </w:rPr>
              <w:t>PA</w:t>
            </w:r>
            <w:r w:rsidRPr="009B5E12">
              <w:rPr>
                <w:sz w:val="20"/>
              </w:rPr>
              <w:t xml:space="preserve"> with 60% of reports not </w:t>
            </w:r>
            <w:r w:rsidRPr="0086254F">
              <w:rPr>
                <w:sz w:val="20"/>
              </w:rPr>
              <w:t>investigated but 70% of investigat</w:t>
            </w:r>
            <w:r w:rsidR="001F15E1">
              <w:rPr>
                <w:sz w:val="20"/>
              </w:rPr>
              <w:t xml:space="preserve">ed reports </w:t>
            </w:r>
            <w:proofErr w:type="gramStart"/>
            <w:r w:rsidR="001F15E1">
              <w:rPr>
                <w:sz w:val="20"/>
              </w:rPr>
              <w:t>being substantiated</w:t>
            </w:r>
            <w:proofErr w:type="gramEnd"/>
            <w:r w:rsidR="001F15E1">
              <w:rPr>
                <w:sz w:val="20"/>
              </w:rPr>
              <w:t>.</w:t>
            </w:r>
          </w:p>
          <w:p w14:paraId="2CCAF3C9" w14:textId="2127D900" w:rsidR="00D24445" w:rsidRPr="00615C3D" w:rsidRDefault="00D24445" w:rsidP="00CE2FDF">
            <w:pPr>
              <w:spacing w:before="0" w:line="276" w:lineRule="auto"/>
              <w:rPr>
                <w:sz w:val="20"/>
              </w:rPr>
            </w:pPr>
            <w:r w:rsidRPr="0086254F">
              <w:rPr>
                <w:sz w:val="20"/>
              </w:rPr>
              <w:t xml:space="preserve">Substantiations of </w:t>
            </w:r>
            <w:r w:rsidRPr="001F15E1">
              <w:rPr>
                <w:b/>
                <w:sz w:val="20"/>
              </w:rPr>
              <w:t>SA</w:t>
            </w:r>
            <w:r w:rsidRPr="0086254F">
              <w:rPr>
                <w:sz w:val="20"/>
              </w:rPr>
              <w:t xml:space="preserve"> reports have increased </w:t>
            </w:r>
            <w:r w:rsidR="00F036F7">
              <w:rPr>
                <w:sz w:val="20"/>
              </w:rPr>
              <w:t>substantial</w:t>
            </w:r>
            <w:r w:rsidR="00F036F7" w:rsidRPr="0086254F">
              <w:rPr>
                <w:sz w:val="20"/>
              </w:rPr>
              <w:t>ly</w:t>
            </w:r>
            <w:r w:rsidR="00615C3D">
              <w:rPr>
                <w:sz w:val="20"/>
              </w:rPr>
              <w:t xml:space="preserve"> since 2007 (193 to 689).</w:t>
            </w:r>
          </w:p>
        </w:tc>
        <w:tc>
          <w:tcPr>
            <w:tcW w:w="2495" w:type="dxa"/>
          </w:tcPr>
          <w:p w14:paraId="00F731C7" w14:textId="77777777" w:rsidR="00D24445" w:rsidRDefault="00D24445" w:rsidP="00CE2FDF">
            <w:pPr>
              <w:spacing w:before="0" w:line="276" w:lineRule="auto"/>
              <w:rPr>
                <w:sz w:val="20"/>
              </w:rPr>
            </w:pPr>
            <w:r w:rsidRPr="001F15E1">
              <w:rPr>
                <w:b/>
                <w:sz w:val="20"/>
              </w:rPr>
              <w:t>EA</w:t>
            </w:r>
            <w:r>
              <w:rPr>
                <w:sz w:val="20"/>
              </w:rPr>
              <w:t xml:space="preserve"> increase reflects DV, police OP and perhaps not aware of DR or not confident in DR for </w:t>
            </w:r>
            <w:r w:rsidRPr="001F15E1">
              <w:rPr>
                <w:b/>
                <w:sz w:val="20"/>
              </w:rPr>
              <w:t>EA</w:t>
            </w:r>
            <w:r>
              <w:rPr>
                <w:sz w:val="20"/>
              </w:rPr>
              <w:t>.</w:t>
            </w:r>
          </w:p>
          <w:p w14:paraId="19429551" w14:textId="529BB78F" w:rsidR="00D24445" w:rsidRDefault="00D24445" w:rsidP="00CE2FDF">
            <w:pPr>
              <w:spacing w:before="0" w:line="276" w:lineRule="auto"/>
              <w:rPr>
                <w:sz w:val="20"/>
              </w:rPr>
            </w:pPr>
            <w:proofErr w:type="gramStart"/>
            <w:r>
              <w:rPr>
                <w:sz w:val="20"/>
              </w:rPr>
              <w:t>Fairly strong</w:t>
            </w:r>
            <w:proofErr w:type="gramEnd"/>
            <w:r>
              <w:rPr>
                <w:sz w:val="20"/>
              </w:rPr>
              <w:t xml:space="preserve"> increase in </w:t>
            </w:r>
            <w:r w:rsidRPr="001F15E1">
              <w:rPr>
                <w:b/>
                <w:sz w:val="20"/>
              </w:rPr>
              <w:t>PA</w:t>
            </w:r>
            <w:r>
              <w:rPr>
                <w:sz w:val="20"/>
              </w:rPr>
              <w:t xml:space="preserve">, </w:t>
            </w:r>
            <w:r w:rsidRPr="001F15E1">
              <w:rPr>
                <w:b/>
                <w:sz w:val="20"/>
              </w:rPr>
              <w:t>SA</w:t>
            </w:r>
            <w:r>
              <w:rPr>
                <w:sz w:val="20"/>
              </w:rPr>
              <w:t xml:space="preserve"> reports suggests strong awareness of reporting duty.</w:t>
            </w:r>
            <w:r w:rsidR="00E7796C">
              <w:rPr>
                <w:sz w:val="20"/>
              </w:rPr>
              <w:t xml:space="preserve"> </w:t>
            </w:r>
            <w:proofErr w:type="gramStart"/>
            <w:r w:rsidR="00E7796C">
              <w:rPr>
                <w:sz w:val="20"/>
              </w:rPr>
              <w:t>Possible influence of CDP.</w:t>
            </w:r>
            <w:proofErr w:type="gramEnd"/>
            <w:r>
              <w:rPr>
                <w:sz w:val="20"/>
              </w:rPr>
              <w:t xml:space="preserve"> </w:t>
            </w:r>
            <w:r w:rsidRPr="001F15E1">
              <w:rPr>
                <w:b/>
                <w:sz w:val="20"/>
              </w:rPr>
              <w:t>N</w:t>
            </w:r>
            <w:r>
              <w:rPr>
                <w:sz w:val="20"/>
              </w:rPr>
              <w:t xml:space="preserve"> decline sugges</w:t>
            </w:r>
            <w:r w:rsidR="00615C3D">
              <w:rPr>
                <w:sz w:val="20"/>
              </w:rPr>
              <w:t>ts awareness of DR for neglect.</w:t>
            </w:r>
          </w:p>
          <w:p w14:paraId="2A66FE7F" w14:textId="77777777" w:rsidR="00D24445" w:rsidRDefault="00D24445" w:rsidP="00CE2FDF">
            <w:pPr>
              <w:spacing w:before="0" w:line="276" w:lineRule="auto"/>
              <w:rPr>
                <w:sz w:val="20"/>
              </w:rPr>
            </w:pPr>
            <w:r>
              <w:rPr>
                <w:sz w:val="20"/>
              </w:rPr>
              <w:t xml:space="preserve">Strong SR for those reports that </w:t>
            </w:r>
            <w:proofErr w:type="gramStart"/>
            <w:r>
              <w:rPr>
                <w:sz w:val="20"/>
              </w:rPr>
              <w:t>are investigated</w:t>
            </w:r>
            <w:proofErr w:type="gramEnd"/>
            <w:r>
              <w:rPr>
                <w:sz w:val="20"/>
              </w:rPr>
              <w:t xml:space="preserve">. </w:t>
            </w:r>
          </w:p>
          <w:p w14:paraId="4C3E1F35" w14:textId="77777777" w:rsidR="00D24445" w:rsidRPr="00BE7DE5" w:rsidRDefault="00D24445" w:rsidP="00CE2FDF">
            <w:pPr>
              <w:spacing w:before="0" w:line="276" w:lineRule="auto"/>
              <w:rPr>
                <w:sz w:val="20"/>
              </w:rPr>
            </w:pPr>
            <w:proofErr w:type="gramStart"/>
            <w:r>
              <w:rPr>
                <w:sz w:val="20"/>
              </w:rPr>
              <w:t xml:space="preserve">Notable increase in substantiations of </w:t>
            </w:r>
            <w:r w:rsidRPr="001F15E1">
              <w:rPr>
                <w:b/>
                <w:sz w:val="20"/>
              </w:rPr>
              <w:t>SA</w:t>
            </w:r>
            <w:r>
              <w:rPr>
                <w:sz w:val="20"/>
              </w:rPr>
              <w:t xml:space="preserve"> reports.</w:t>
            </w:r>
            <w:proofErr w:type="gramEnd"/>
          </w:p>
        </w:tc>
      </w:tr>
      <w:tr w:rsidR="00D24445" w:rsidRPr="00BE7DE5" w14:paraId="15B05495" w14:textId="77777777" w:rsidTr="00E747EE">
        <w:tc>
          <w:tcPr>
            <w:tcW w:w="1316" w:type="dxa"/>
          </w:tcPr>
          <w:p w14:paraId="657D1CF4" w14:textId="77777777" w:rsidR="00D24445" w:rsidRPr="006B7AB3" w:rsidRDefault="00D24445" w:rsidP="00CE2FDF">
            <w:pPr>
              <w:spacing w:before="0" w:line="276" w:lineRule="auto"/>
              <w:rPr>
                <w:b/>
                <w:sz w:val="20"/>
              </w:rPr>
            </w:pPr>
            <w:r w:rsidRPr="006B7AB3">
              <w:rPr>
                <w:b/>
                <w:sz w:val="20"/>
              </w:rPr>
              <w:t>2.6.6</w:t>
            </w:r>
          </w:p>
        </w:tc>
        <w:tc>
          <w:tcPr>
            <w:tcW w:w="2610" w:type="dxa"/>
          </w:tcPr>
          <w:p w14:paraId="0BCCABC3" w14:textId="77777777" w:rsidR="00D24445" w:rsidRPr="00BE7DE5" w:rsidRDefault="00D24445" w:rsidP="00CE2FDF">
            <w:pPr>
              <w:spacing w:before="0" w:line="276" w:lineRule="auto"/>
              <w:rPr>
                <w:sz w:val="20"/>
              </w:rPr>
            </w:pPr>
            <w:r w:rsidRPr="00BE7DE5">
              <w:rPr>
                <w:sz w:val="20"/>
              </w:rPr>
              <w:t xml:space="preserve">Number of reports by school personnel, by year, abuse type, and outcome </w:t>
            </w:r>
          </w:p>
        </w:tc>
        <w:tc>
          <w:tcPr>
            <w:tcW w:w="3127" w:type="dxa"/>
          </w:tcPr>
          <w:p w14:paraId="45E619A0" w14:textId="77777777" w:rsidR="00D24445" w:rsidRPr="009B5E12" w:rsidRDefault="00D24445" w:rsidP="00CE2FDF">
            <w:pPr>
              <w:spacing w:before="0" w:line="276" w:lineRule="auto"/>
              <w:rPr>
                <w:sz w:val="20"/>
              </w:rPr>
            </w:pPr>
            <w:r w:rsidRPr="009B5E12">
              <w:rPr>
                <w:sz w:val="20"/>
              </w:rPr>
              <w:t>Stable reports for each type 2003 to 2006.</w:t>
            </w:r>
          </w:p>
          <w:p w14:paraId="2771FB66" w14:textId="77777777" w:rsidR="00D24445" w:rsidRPr="001F15E1" w:rsidRDefault="00D24445" w:rsidP="00CE2FDF">
            <w:pPr>
              <w:pStyle w:val="ListParagraph"/>
              <w:numPr>
                <w:ilvl w:val="0"/>
                <w:numId w:val="19"/>
              </w:numPr>
              <w:spacing w:before="0" w:line="276" w:lineRule="auto"/>
              <w:rPr>
                <w:sz w:val="20"/>
              </w:rPr>
            </w:pPr>
            <w:r w:rsidRPr="001F15E1">
              <w:rPr>
                <w:sz w:val="20"/>
              </w:rPr>
              <w:t xml:space="preserve">In 2008, substantial increase in </w:t>
            </w:r>
            <w:r w:rsidRPr="001F15E1">
              <w:rPr>
                <w:b/>
                <w:sz w:val="20"/>
              </w:rPr>
              <w:t>EA</w:t>
            </w:r>
            <w:r w:rsidRPr="001F15E1">
              <w:rPr>
                <w:sz w:val="20"/>
              </w:rPr>
              <w:t>, followed by sustained increase to 2012.</w:t>
            </w:r>
          </w:p>
          <w:p w14:paraId="5AC63D96" w14:textId="77777777" w:rsidR="00D24445" w:rsidRPr="001F15E1" w:rsidRDefault="00D24445" w:rsidP="00CE2FDF">
            <w:pPr>
              <w:pStyle w:val="ListParagraph"/>
              <w:numPr>
                <w:ilvl w:val="0"/>
                <w:numId w:val="19"/>
              </w:numPr>
              <w:spacing w:before="0" w:line="276" w:lineRule="auto"/>
              <w:rPr>
                <w:sz w:val="20"/>
              </w:rPr>
            </w:pPr>
            <w:r w:rsidRPr="001F15E1">
              <w:rPr>
                <w:sz w:val="20"/>
              </w:rPr>
              <w:t xml:space="preserve">In 2007, substantial increase in </w:t>
            </w:r>
            <w:r w:rsidRPr="001F15E1">
              <w:rPr>
                <w:b/>
                <w:sz w:val="20"/>
              </w:rPr>
              <w:t>N</w:t>
            </w:r>
            <w:r w:rsidRPr="001F15E1">
              <w:rPr>
                <w:sz w:val="20"/>
              </w:rPr>
              <w:t>, followed by sustained decline to 2012.</w:t>
            </w:r>
          </w:p>
          <w:p w14:paraId="5C51D24E" w14:textId="46652A8A" w:rsidR="00D24445" w:rsidRPr="00615C3D" w:rsidRDefault="00D24445" w:rsidP="00CE2FDF">
            <w:pPr>
              <w:pStyle w:val="ListParagraph"/>
              <w:numPr>
                <w:ilvl w:val="0"/>
                <w:numId w:val="19"/>
              </w:numPr>
              <w:spacing w:before="0" w:line="276" w:lineRule="auto"/>
              <w:rPr>
                <w:sz w:val="20"/>
              </w:rPr>
            </w:pPr>
            <w:proofErr w:type="gramStart"/>
            <w:r w:rsidRPr="001F15E1">
              <w:rPr>
                <w:sz w:val="20"/>
              </w:rPr>
              <w:t xml:space="preserve">Since 2007, substantial and sustained increase in </w:t>
            </w:r>
            <w:r w:rsidRPr="001F15E1">
              <w:rPr>
                <w:b/>
                <w:sz w:val="20"/>
              </w:rPr>
              <w:t>PA</w:t>
            </w:r>
            <w:r w:rsidRPr="001F15E1">
              <w:rPr>
                <w:sz w:val="20"/>
              </w:rPr>
              <w:t xml:space="preserve"> (1739 to 3963) and SA (420 to 1001).</w:t>
            </w:r>
            <w:proofErr w:type="gramEnd"/>
          </w:p>
          <w:p w14:paraId="2A0C67A9" w14:textId="72BF5E31" w:rsidR="001F15E1" w:rsidRDefault="00D24445" w:rsidP="00CE2FDF">
            <w:pPr>
              <w:spacing w:before="0" w:line="276" w:lineRule="auto"/>
              <w:rPr>
                <w:sz w:val="20"/>
              </w:rPr>
            </w:pPr>
            <w:r w:rsidRPr="009B5E12">
              <w:rPr>
                <w:sz w:val="20"/>
              </w:rPr>
              <w:t xml:space="preserve">Substantiation rate of those </w:t>
            </w:r>
            <w:r w:rsidRPr="001F15E1">
              <w:rPr>
                <w:b/>
                <w:sz w:val="20"/>
              </w:rPr>
              <w:t xml:space="preserve">EA </w:t>
            </w:r>
            <w:r w:rsidRPr="009B5E12">
              <w:rPr>
                <w:sz w:val="20"/>
              </w:rPr>
              <w:t xml:space="preserve">reports that </w:t>
            </w:r>
            <w:proofErr w:type="gramStart"/>
            <w:r w:rsidRPr="009B5E12">
              <w:rPr>
                <w:sz w:val="20"/>
              </w:rPr>
              <w:t>are investigated</w:t>
            </w:r>
            <w:proofErr w:type="gramEnd"/>
            <w:r w:rsidRPr="009B5E12">
              <w:rPr>
                <w:sz w:val="20"/>
              </w:rPr>
              <w:t xml:space="preserve"> is stable, but 85% of all </w:t>
            </w:r>
            <w:r w:rsidRPr="001F15E1">
              <w:rPr>
                <w:b/>
                <w:sz w:val="20"/>
              </w:rPr>
              <w:t>EA</w:t>
            </w:r>
            <w:r w:rsidR="001F15E1">
              <w:rPr>
                <w:sz w:val="20"/>
              </w:rPr>
              <w:t xml:space="preserve"> reports are not investigated.</w:t>
            </w:r>
          </w:p>
          <w:p w14:paraId="272DAA30" w14:textId="328D84E6" w:rsidR="001F15E1" w:rsidRDefault="00D24445" w:rsidP="00CE2FDF">
            <w:pPr>
              <w:spacing w:before="0" w:line="276" w:lineRule="auto"/>
              <w:rPr>
                <w:sz w:val="20"/>
              </w:rPr>
            </w:pPr>
            <w:r w:rsidRPr="009B5E12">
              <w:rPr>
                <w:sz w:val="20"/>
              </w:rPr>
              <w:t xml:space="preserve">Similar pattern for </w:t>
            </w:r>
            <w:r w:rsidRPr="001F15E1">
              <w:rPr>
                <w:b/>
                <w:sz w:val="20"/>
              </w:rPr>
              <w:t>PA</w:t>
            </w:r>
            <w:r w:rsidRPr="009B5E12">
              <w:rPr>
                <w:sz w:val="20"/>
              </w:rPr>
              <w:t xml:space="preserve"> with 6</w:t>
            </w:r>
            <w:r>
              <w:rPr>
                <w:sz w:val="20"/>
              </w:rPr>
              <w:t>5</w:t>
            </w:r>
            <w:r w:rsidRPr="009B5E12">
              <w:rPr>
                <w:sz w:val="20"/>
              </w:rPr>
              <w:t>% o</w:t>
            </w:r>
            <w:r>
              <w:rPr>
                <w:sz w:val="20"/>
              </w:rPr>
              <w:t>f reports not investigated but 6</w:t>
            </w:r>
            <w:r w:rsidRPr="009B5E12">
              <w:rPr>
                <w:sz w:val="20"/>
              </w:rPr>
              <w:t>0% of investigat</w:t>
            </w:r>
            <w:r w:rsidR="001F15E1">
              <w:rPr>
                <w:sz w:val="20"/>
              </w:rPr>
              <w:t xml:space="preserve">ed reports </w:t>
            </w:r>
            <w:proofErr w:type="gramStart"/>
            <w:r w:rsidR="001F15E1">
              <w:rPr>
                <w:sz w:val="20"/>
              </w:rPr>
              <w:t>being substantiated</w:t>
            </w:r>
            <w:proofErr w:type="gramEnd"/>
            <w:r w:rsidR="001F15E1">
              <w:rPr>
                <w:sz w:val="20"/>
              </w:rPr>
              <w:t>.</w:t>
            </w:r>
          </w:p>
          <w:p w14:paraId="36058084" w14:textId="26032679" w:rsidR="00D24445" w:rsidRPr="00615C3D" w:rsidRDefault="00D24445" w:rsidP="00CE2FDF">
            <w:pPr>
              <w:spacing w:before="0" w:line="276" w:lineRule="auto"/>
              <w:rPr>
                <w:sz w:val="20"/>
              </w:rPr>
            </w:pPr>
            <w:r w:rsidRPr="009B5E12">
              <w:rPr>
                <w:sz w:val="20"/>
              </w:rPr>
              <w:t xml:space="preserve">Substantiations of </w:t>
            </w:r>
            <w:r w:rsidRPr="001F15E1">
              <w:rPr>
                <w:b/>
                <w:sz w:val="20"/>
              </w:rPr>
              <w:t xml:space="preserve">SA </w:t>
            </w:r>
            <w:r w:rsidRPr="009B5E12">
              <w:rPr>
                <w:sz w:val="20"/>
              </w:rPr>
              <w:t>reports have increased</w:t>
            </w:r>
            <w:r w:rsidR="00615C3D">
              <w:rPr>
                <w:sz w:val="20"/>
              </w:rPr>
              <w:t xml:space="preserve"> over time.</w:t>
            </w:r>
          </w:p>
        </w:tc>
        <w:tc>
          <w:tcPr>
            <w:tcW w:w="2495" w:type="dxa"/>
          </w:tcPr>
          <w:p w14:paraId="0C2010F0" w14:textId="77777777" w:rsidR="00D24445" w:rsidRDefault="00D24445" w:rsidP="00CE2FDF">
            <w:pPr>
              <w:spacing w:before="0" w:line="276" w:lineRule="auto"/>
              <w:rPr>
                <w:sz w:val="20"/>
              </w:rPr>
            </w:pPr>
            <w:r w:rsidRPr="001F15E1">
              <w:rPr>
                <w:b/>
                <w:sz w:val="20"/>
              </w:rPr>
              <w:t>EA</w:t>
            </w:r>
            <w:r>
              <w:rPr>
                <w:sz w:val="20"/>
              </w:rPr>
              <w:t xml:space="preserve"> increase reflects DV, and perhaps not aware of DR or not confident in DR for </w:t>
            </w:r>
            <w:r w:rsidRPr="001F15E1">
              <w:rPr>
                <w:b/>
                <w:sz w:val="20"/>
              </w:rPr>
              <w:t>EA</w:t>
            </w:r>
            <w:r>
              <w:rPr>
                <w:sz w:val="20"/>
              </w:rPr>
              <w:t>.</w:t>
            </w:r>
          </w:p>
          <w:p w14:paraId="5593E2DC" w14:textId="321DC3D4" w:rsidR="001F15E1" w:rsidRDefault="00D24445" w:rsidP="00CE2FDF">
            <w:pPr>
              <w:spacing w:before="0" w:line="276" w:lineRule="auto"/>
              <w:rPr>
                <w:sz w:val="20"/>
              </w:rPr>
            </w:pPr>
            <w:r>
              <w:rPr>
                <w:sz w:val="20"/>
              </w:rPr>
              <w:t xml:space="preserve">Strong increase in </w:t>
            </w:r>
            <w:r w:rsidRPr="001F15E1">
              <w:rPr>
                <w:b/>
                <w:sz w:val="20"/>
              </w:rPr>
              <w:t>PA, SA</w:t>
            </w:r>
            <w:r>
              <w:rPr>
                <w:sz w:val="20"/>
              </w:rPr>
              <w:t xml:space="preserve"> reports suggests stro</w:t>
            </w:r>
            <w:r w:rsidR="001F15E1">
              <w:rPr>
                <w:sz w:val="20"/>
              </w:rPr>
              <w:t>ng awareness of reporting duty.</w:t>
            </w:r>
            <w:r w:rsidR="00E7796C">
              <w:rPr>
                <w:sz w:val="20"/>
              </w:rPr>
              <w:t xml:space="preserve"> Possible influence of CDP</w:t>
            </w:r>
          </w:p>
          <w:p w14:paraId="110583FE" w14:textId="688E0B57" w:rsidR="00D24445" w:rsidRDefault="00D24445" w:rsidP="00CE2FDF">
            <w:pPr>
              <w:spacing w:before="0" w:line="276" w:lineRule="auto"/>
              <w:rPr>
                <w:sz w:val="20"/>
              </w:rPr>
            </w:pPr>
            <w:r w:rsidRPr="001F15E1">
              <w:rPr>
                <w:b/>
                <w:sz w:val="20"/>
              </w:rPr>
              <w:t xml:space="preserve">N </w:t>
            </w:r>
            <w:r>
              <w:rPr>
                <w:sz w:val="20"/>
              </w:rPr>
              <w:t>decline sugges</w:t>
            </w:r>
            <w:r w:rsidR="00615C3D">
              <w:rPr>
                <w:sz w:val="20"/>
              </w:rPr>
              <w:t>ts awareness of DR for neglect.</w:t>
            </w:r>
          </w:p>
          <w:p w14:paraId="32B99C5C" w14:textId="7B0465B9" w:rsidR="00D24445" w:rsidRPr="00BE7DE5" w:rsidRDefault="00D24445" w:rsidP="00CE2FDF">
            <w:pPr>
              <w:spacing w:before="0" w:line="276" w:lineRule="auto"/>
              <w:rPr>
                <w:sz w:val="20"/>
              </w:rPr>
            </w:pPr>
            <w:r>
              <w:rPr>
                <w:sz w:val="20"/>
              </w:rPr>
              <w:t xml:space="preserve">Strong SR for those reports that </w:t>
            </w:r>
            <w:proofErr w:type="gramStart"/>
            <w:r>
              <w:rPr>
                <w:sz w:val="20"/>
              </w:rPr>
              <w:t>a</w:t>
            </w:r>
            <w:r w:rsidR="00615C3D">
              <w:rPr>
                <w:sz w:val="20"/>
              </w:rPr>
              <w:t>re investigated</w:t>
            </w:r>
            <w:proofErr w:type="gramEnd"/>
            <w:r w:rsidR="00615C3D">
              <w:rPr>
                <w:sz w:val="20"/>
              </w:rPr>
              <w:t xml:space="preserve">. </w:t>
            </w:r>
          </w:p>
        </w:tc>
      </w:tr>
    </w:tbl>
    <w:p w14:paraId="15A593A5" w14:textId="77777777" w:rsidR="005410C7" w:rsidRDefault="005410C7"/>
    <w:tbl>
      <w:tblPr>
        <w:tblStyle w:val="TableGrid"/>
        <w:tblW w:w="0" w:type="auto"/>
        <w:tblLook w:val="04A0" w:firstRow="1" w:lastRow="0" w:firstColumn="1" w:lastColumn="0" w:noHBand="0" w:noVBand="1"/>
        <w:tblCaption w:val="DISTINCT CHILDREN IN REPORTS 2003-2012"/>
      </w:tblPr>
      <w:tblGrid>
        <w:gridCol w:w="1316"/>
        <w:gridCol w:w="2610"/>
        <w:gridCol w:w="3127"/>
        <w:gridCol w:w="2495"/>
      </w:tblGrid>
      <w:tr w:rsidR="00D24445" w:rsidRPr="00E747EE" w14:paraId="0F4B9DB8" w14:textId="77777777" w:rsidTr="005410C7">
        <w:trPr>
          <w:tblHeader/>
        </w:trPr>
        <w:tc>
          <w:tcPr>
            <w:tcW w:w="9548" w:type="dxa"/>
            <w:gridSpan w:val="4"/>
            <w:shd w:val="clear" w:color="auto" w:fill="D9D9D9" w:themeFill="background1" w:themeFillShade="D9"/>
          </w:tcPr>
          <w:p w14:paraId="28A9A5D5" w14:textId="77777777" w:rsidR="00D24445" w:rsidRPr="006B7AB3" w:rsidRDefault="00D24445" w:rsidP="00CE2FDF">
            <w:pPr>
              <w:pStyle w:val="Tableheading"/>
              <w:spacing w:before="0" w:line="276" w:lineRule="auto"/>
            </w:pPr>
            <w:r w:rsidRPr="006B7AB3">
              <w:lastRenderedPageBreak/>
              <w:t>DISTINCT CHILDREN IN REPORTS 2003-2012</w:t>
            </w:r>
          </w:p>
        </w:tc>
      </w:tr>
      <w:tr w:rsidR="00E747EE" w:rsidRPr="00E747EE" w14:paraId="37B83050" w14:textId="77777777" w:rsidTr="005410C7">
        <w:trPr>
          <w:tblHeader/>
        </w:trPr>
        <w:tc>
          <w:tcPr>
            <w:tcW w:w="1316" w:type="dxa"/>
            <w:shd w:val="clear" w:color="auto" w:fill="BFBFBF" w:themeFill="background1" w:themeFillShade="BF"/>
          </w:tcPr>
          <w:p w14:paraId="62EE5E4E" w14:textId="77777777" w:rsidR="00E747EE" w:rsidRPr="006B7AB3" w:rsidRDefault="00E747EE" w:rsidP="00CE2FDF">
            <w:pPr>
              <w:spacing w:before="0" w:line="276" w:lineRule="auto"/>
              <w:rPr>
                <w:b/>
              </w:rPr>
            </w:pPr>
            <w:r w:rsidRPr="006B7AB3">
              <w:rPr>
                <w:b/>
              </w:rPr>
              <w:t>Table</w:t>
            </w:r>
          </w:p>
        </w:tc>
        <w:tc>
          <w:tcPr>
            <w:tcW w:w="2610" w:type="dxa"/>
            <w:shd w:val="clear" w:color="auto" w:fill="BFBFBF" w:themeFill="background1" w:themeFillShade="BF"/>
          </w:tcPr>
          <w:p w14:paraId="6DA4B498" w14:textId="77777777" w:rsidR="00E747EE" w:rsidRPr="00E747EE" w:rsidRDefault="00E747EE" w:rsidP="00CE2FDF">
            <w:pPr>
              <w:spacing w:before="0" w:line="276" w:lineRule="auto"/>
              <w:rPr>
                <w:b/>
              </w:rPr>
            </w:pPr>
            <w:r w:rsidRPr="00E747EE">
              <w:rPr>
                <w:b/>
              </w:rPr>
              <w:t>Subject</w:t>
            </w:r>
          </w:p>
        </w:tc>
        <w:tc>
          <w:tcPr>
            <w:tcW w:w="3127" w:type="dxa"/>
            <w:shd w:val="clear" w:color="auto" w:fill="BFBFBF" w:themeFill="background1" w:themeFillShade="BF"/>
          </w:tcPr>
          <w:p w14:paraId="62B11863" w14:textId="77777777" w:rsidR="00E747EE" w:rsidRPr="00E747EE" w:rsidRDefault="00E747EE" w:rsidP="00CE2FDF">
            <w:pPr>
              <w:spacing w:before="0" w:line="276" w:lineRule="auto"/>
              <w:rPr>
                <w:b/>
              </w:rPr>
            </w:pPr>
            <w:r w:rsidRPr="00E747EE">
              <w:rPr>
                <w:b/>
              </w:rPr>
              <w:t>Key findings</w:t>
            </w:r>
          </w:p>
        </w:tc>
        <w:tc>
          <w:tcPr>
            <w:tcW w:w="2495" w:type="dxa"/>
            <w:shd w:val="clear" w:color="auto" w:fill="BFBFBF" w:themeFill="background1" w:themeFillShade="BF"/>
          </w:tcPr>
          <w:p w14:paraId="3F0180D5" w14:textId="77777777" w:rsidR="00E747EE" w:rsidRPr="00E747EE" w:rsidRDefault="00E747EE" w:rsidP="00CE2FDF">
            <w:pPr>
              <w:spacing w:before="0" w:line="276" w:lineRule="auto"/>
              <w:rPr>
                <w:b/>
              </w:rPr>
            </w:pPr>
            <w:r w:rsidRPr="00E747EE">
              <w:rPr>
                <w:b/>
              </w:rPr>
              <w:t>Interpretation</w:t>
            </w:r>
          </w:p>
        </w:tc>
      </w:tr>
      <w:tr w:rsidR="00D24445" w:rsidRPr="00BE7DE5" w14:paraId="130D8862" w14:textId="77777777" w:rsidTr="00E747EE">
        <w:tc>
          <w:tcPr>
            <w:tcW w:w="1316" w:type="dxa"/>
          </w:tcPr>
          <w:p w14:paraId="30224B19" w14:textId="77777777" w:rsidR="00D24445" w:rsidRPr="006B7AB3" w:rsidRDefault="00D24445" w:rsidP="00CE2FDF">
            <w:pPr>
              <w:spacing w:before="0" w:line="276" w:lineRule="auto"/>
              <w:rPr>
                <w:b/>
                <w:sz w:val="20"/>
              </w:rPr>
            </w:pPr>
            <w:r w:rsidRPr="006B7AB3">
              <w:rPr>
                <w:b/>
                <w:sz w:val="20"/>
              </w:rPr>
              <w:t>3.1</w:t>
            </w:r>
          </w:p>
        </w:tc>
        <w:tc>
          <w:tcPr>
            <w:tcW w:w="2610" w:type="dxa"/>
          </w:tcPr>
          <w:p w14:paraId="2EA7D659" w14:textId="77777777" w:rsidR="00D24445" w:rsidRPr="00BE7DE5" w:rsidRDefault="00D24445" w:rsidP="00CE2FDF">
            <w:pPr>
              <w:spacing w:before="0" w:line="276" w:lineRule="auto"/>
              <w:rPr>
                <w:sz w:val="20"/>
              </w:rPr>
            </w:pPr>
            <w:r w:rsidRPr="00BE7DE5">
              <w:rPr>
                <w:sz w:val="20"/>
              </w:rPr>
              <w:t xml:space="preserve">Number of reports for each child who was the subject of a report, over the decade </w:t>
            </w:r>
          </w:p>
        </w:tc>
        <w:tc>
          <w:tcPr>
            <w:tcW w:w="3127" w:type="dxa"/>
          </w:tcPr>
          <w:p w14:paraId="77D6ED1E" w14:textId="77777777" w:rsidR="00D24445" w:rsidRDefault="00D24445" w:rsidP="00CE2FDF">
            <w:pPr>
              <w:spacing w:before="0" w:line="276" w:lineRule="auto"/>
              <w:rPr>
                <w:sz w:val="20"/>
              </w:rPr>
            </w:pPr>
            <w:proofErr w:type="gramStart"/>
            <w:r>
              <w:rPr>
                <w:sz w:val="20"/>
              </w:rPr>
              <w:t>454,120 reports involving 201,389 children.</w:t>
            </w:r>
            <w:proofErr w:type="gramEnd"/>
            <w:r>
              <w:rPr>
                <w:sz w:val="20"/>
              </w:rPr>
              <w:t xml:space="preserve"> 55% of children in reports </w:t>
            </w:r>
            <w:proofErr w:type="gramStart"/>
            <w:r>
              <w:rPr>
                <w:sz w:val="20"/>
              </w:rPr>
              <w:t>were only reported</w:t>
            </w:r>
            <w:proofErr w:type="gramEnd"/>
            <w:r>
              <w:rPr>
                <w:sz w:val="20"/>
              </w:rPr>
              <w:t xml:space="preserve"> once and 19% were reported twice. </w:t>
            </w:r>
          </w:p>
          <w:p w14:paraId="0B53A178" w14:textId="77777777" w:rsidR="00D24445" w:rsidRPr="00BE7DE5" w:rsidRDefault="00D24445" w:rsidP="00CE2FDF">
            <w:pPr>
              <w:spacing w:before="0" w:line="276" w:lineRule="auto"/>
              <w:rPr>
                <w:sz w:val="20"/>
              </w:rPr>
            </w:pPr>
            <w:r>
              <w:rPr>
                <w:sz w:val="20"/>
              </w:rPr>
              <w:t>40% of all reports related to children reported once or twice.</w:t>
            </w:r>
          </w:p>
        </w:tc>
        <w:tc>
          <w:tcPr>
            <w:tcW w:w="2495" w:type="dxa"/>
          </w:tcPr>
          <w:p w14:paraId="4789DF9F" w14:textId="054E7A40" w:rsidR="00D24445" w:rsidRDefault="00D24445" w:rsidP="00CE2FDF">
            <w:pPr>
              <w:spacing w:before="0" w:line="276" w:lineRule="auto"/>
              <w:rPr>
                <w:sz w:val="20"/>
              </w:rPr>
            </w:pPr>
            <w:r>
              <w:rPr>
                <w:sz w:val="20"/>
              </w:rPr>
              <w:t xml:space="preserve">74% of all children in reports </w:t>
            </w:r>
            <w:proofErr w:type="gramStart"/>
            <w:r>
              <w:rPr>
                <w:sz w:val="20"/>
              </w:rPr>
              <w:t>were reported</w:t>
            </w:r>
            <w:proofErr w:type="gramEnd"/>
            <w:r>
              <w:rPr>
                <w:sz w:val="20"/>
              </w:rPr>
              <w:t xml:space="preserve"> once or twice. 26% of children in reports were reported three or more times.</w:t>
            </w:r>
          </w:p>
          <w:p w14:paraId="3E8F1B0D" w14:textId="77777777" w:rsidR="00D24445" w:rsidRPr="00BE7DE5" w:rsidRDefault="00D24445" w:rsidP="00CE2FDF">
            <w:pPr>
              <w:spacing w:before="0" w:line="276" w:lineRule="auto"/>
              <w:rPr>
                <w:sz w:val="20"/>
              </w:rPr>
            </w:pPr>
            <w:r>
              <w:rPr>
                <w:sz w:val="20"/>
              </w:rPr>
              <w:t>60% of all reports concern children who are reported three or more times, suggesting a relatively small group of children are subject to chronic maltreatment and may not be receiving sufficient service provision</w:t>
            </w:r>
          </w:p>
        </w:tc>
      </w:tr>
    </w:tbl>
    <w:p w14:paraId="114A0A69" w14:textId="77777777" w:rsidR="00615C3D" w:rsidRDefault="00615C3D" w:rsidP="002418F8">
      <w:pPr>
        <w:spacing w:after="200" w:line="276" w:lineRule="auto"/>
        <w:rPr>
          <w:b/>
          <w:color w:val="365F91" w:themeColor="accent1" w:themeShade="BF"/>
          <w:sz w:val="56"/>
          <w:szCs w:val="56"/>
        </w:rPr>
        <w:sectPr w:rsidR="00615C3D" w:rsidSect="00986FAF">
          <w:pgSz w:w="11906" w:h="16838"/>
          <w:pgMar w:top="1138" w:right="1138" w:bottom="850" w:left="1411" w:header="706" w:footer="706" w:gutter="0"/>
          <w:cols w:space="708"/>
          <w:vAlign w:val="center"/>
          <w:docGrid w:linePitch="360"/>
        </w:sectPr>
      </w:pPr>
    </w:p>
    <w:p w14:paraId="58B937E9" w14:textId="5B615ED4" w:rsidR="00883671" w:rsidRPr="00BC058E" w:rsidRDefault="00883671" w:rsidP="00B15586">
      <w:pPr>
        <w:pStyle w:val="Heading2"/>
      </w:pPr>
      <w:r w:rsidRPr="00BC058E">
        <w:lastRenderedPageBreak/>
        <w:t>Stage 2</w:t>
      </w:r>
      <w:r w:rsidR="0085669B">
        <w:br/>
      </w:r>
      <w:r w:rsidRPr="00BC058E">
        <w:t xml:space="preserve">Part </w:t>
      </w:r>
      <w:r>
        <w:t>1</w:t>
      </w:r>
      <w:r w:rsidRPr="00BC058E">
        <w:t xml:space="preserve">: </w:t>
      </w:r>
      <w:r>
        <w:t>Ten</w:t>
      </w:r>
      <w:r w:rsidRPr="00BC058E">
        <w:t xml:space="preserve"> year analysis</w:t>
      </w:r>
    </w:p>
    <w:p w14:paraId="0F5DEDBF" w14:textId="77777777" w:rsidR="00CE64AE" w:rsidRDefault="00CE64AE" w:rsidP="00B15586">
      <w:pPr>
        <w:spacing w:after="200" w:line="276" w:lineRule="auto"/>
        <w:jc w:val="center"/>
        <w:rPr>
          <w:b/>
          <w:color w:val="365F91" w:themeColor="accent1" w:themeShade="BF"/>
          <w:sz w:val="56"/>
          <w:szCs w:val="56"/>
        </w:rPr>
        <w:sectPr w:rsidR="00CE64AE" w:rsidSect="00CE64AE">
          <w:pgSz w:w="11906" w:h="16838"/>
          <w:pgMar w:top="1138" w:right="1138" w:bottom="850" w:left="1411" w:header="706" w:footer="706" w:gutter="0"/>
          <w:cols w:space="708"/>
          <w:vAlign w:val="center"/>
          <w:docGrid w:linePitch="360"/>
        </w:sectPr>
      </w:pPr>
    </w:p>
    <w:p w14:paraId="25B06A99" w14:textId="6E1A95A5" w:rsidR="005D61DD" w:rsidRDefault="003A194E" w:rsidP="00B42672">
      <w:pPr>
        <w:pStyle w:val="Heading3"/>
        <w:pBdr>
          <w:bottom w:val="single" w:sz="8" w:space="1" w:color="365F91"/>
        </w:pBdr>
        <w:ind w:right="-58"/>
      </w:pPr>
      <w:bookmarkStart w:id="49" w:name="_Toc435716763"/>
      <w:r>
        <w:lastRenderedPageBreak/>
        <w:t>Stage 2 Part 1: Ten Year Analysis</w:t>
      </w:r>
      <w:bookmarkEnd w:id="49"/>
      <w:r>
        <w:t xml:space="preserve"> </w:t>
      </w:r>
    </w:p>
    <w:p w14:paraId="3218380B" w14:textId="77777777" w:rsidR="00D2721A" w:rsidRPr="00B42672" w:rsidRDefault="00EA19F3" w:rsidP="00B42672">
      <w:pPr>
        <w:pStyle w:val="Heading4"/>
      </w:pPr>
      <w:bookmarkStart w:id="50" w:name="_Toc435716764"/>
      <w:r w:rsidRPr="00B42672">
        <w:t>Part 1</w:t>
      </w:r>
      <w:r w:rsidR="00254CDB" w:rsidRPr="00B42672">
        <w:t xml:space="preserve">A: </w:t>
      </w:r>
      <w:r w:rsidRPr="00B42672">
        <w:t>Ten year analyses of numbers and outcome of reports</w:t>
      </w:r>
      <w:bookmarkEnd w:id="50"/>
    </w:p>
    <w:p w14:paraId="0B40F629" w14:textId="0B2AD272" w:rsidR="00B42672" w:rsidRPr="00D2721A" w:rsidRDefault="00D2721A" w:rsidP="000648B3">
      <w:pPr>
        <w:pStyle w:val="Paragraph"/>
        <w:ind w:right="-58"/>
        <w:rPr>
          <w:lang w:val="en-US"/>
        </w:rPr>
      </w:pPr>
      <w:r w:rsidRPr="00D2721A">
        <w:rPr>
          <w:lang w:val="en-US"/>
        </w:rPr>
        <w:t>In Stage 2, we present data and analysis regarding the reporting over time, and each year, of different types of child abuse and neglect, by each major reporter group. We also conduct some analyses by combining the reporting practi</w:t>
      </w:r>
      <w:r>
        <w:rPr>
          <w:lang w:val="en-US"/>
        </w:rPr>
        <w:t>ce of mandated reporter groups</w:t>
      </w:r>
      <w:r w:rsidRPr="00D2721A">
        <w:rPr>
          <w:lang w:val="en-US"/>
        </w:rPr>
        <w:t>.</w:t>
      </w:r>
    </w:p>
    <w:p w14:paraId="148A3FB6" w14:textId="23AA83E7" w:rsidR="00D2721A" w:rsidRDefault="00D2721A" w:rsidP="000648B3">
      <w:pPr>
        <w:pStyle w:val="Paragraph"/>
        <w:ind w:right="-58"/>
        <w:rPr>
          <w:lang w:val="en-US"/>
        </w:rPr>
      </w:pPr>
      <w:r w:rsidRPr="00D2721A">
        <w:rPr>
          <w:lang w:val="en-US"/>
        </w:rPr>
        <w:t xml:space="preserve">Extensive analyses </w:t>
      </w:r>
      <w:proofErr w:type="gramStart"/>
      <w:r w:rsidRPr="00D2721A">
        <w:rPr>
          <w:lang w:val="en-US"/>
        </w:rPr>
        <w:t>were conducted</w:t>
      </w:r>
      <w:proofErr w:type="gramEnd"/>
      <w:r w:rsidRPr="00D2721A">
        <w:rPr>
          <w:lang w:val="en-US"/>
        </w:rPr>
        <w:t xml:space="preserve">, generating a broad range of tabular presentations of various aspects of reporting and report outcomes (see Stage 2 guide to </w:t>
      </w:r>
      <w:r>
        <w:rPr>
          <w:lang w:val="en-US"/>
        </w:rPr>
        <w:t>tables, p 8</w:t>
      </w:r>
      <w:r w:rsidR="006478AD">
        <w:rPr>
          <w:lang w:val="en-US"/>
        </w:rPr>
        <w:t>2</w:t>
      </w:r>
      <w:r>
        <w:rPr>
          <w:lang w:val="en-US"/>
        </w:rPr>
        <w:t>). The table on p 7</w:t>
      </w:r>
      <w:r w:rsidR="001F26E5">
        <w:rPr>
          <w:lang w:val="en-US"/>
        </w:rPr>
        <w:t>3</w:t>
      </w:r>
      <w:r w:rsidRPr="00D2721A">
        <w:rPr>
          <w:lang w:val="en-US"/>
        </w:rPr>
        <w:t xml:space="preserve"> entitled </w:t>
      </w:r>
      <w:r w:rsidRPr="00D2721A">
        <w:rPr>
          <w:i/>
          <w:iCs/>
          <w:lang w:val="en-US"/>
        </w:rPr>
        <w:t>Key data findings and interpretations</w:t>
      </w:r>
      <w:r w:rsidRPr="00D2721A">
        <w:rPr>
          <w:lang w:val="en-US"/>
        </w:rPr>
        <w:t xml:space="preserve"> presents a condensed summary of key overall trends and our interpretations of these trends. The </w:t>
      </w:r>
      <w:r w:rsidRPr="00D2721A">
        <w:rPr>
          <w:i/>
          <w:iCs/>
          <w:lang w:val="en-US"/>
        </w:rPr>
        <w:t>Executive Summary</w:t>
      </w:r>
      <w:r w:rsidRPr="00D2721A">
        <w:rPr>
          <w:lang w:val="en-US"/>
        </w:rPr>
        <w:t xml:space="preserve"> provides a further refined summary of key trends.</w:t>
      </w:r>
    </w:p>
    <w:p w14:paraId="765648BF" w14:textId="2E30883C" w:rsidR="00B42672" w:rsidRDefault="00D2721A" w:rsidP="000648B3">
      <w:pPr>
        <w:pStyle w:val="Paragraph"/>
        <w:ind w:right="-58"/>
        <w:sectPr w:rsidR="00B42672" w:rsidSect="00B42672">
          <w:pgSz w:w="11906" w:h="16838"/>
          <w:pgMar w:top="1138" w:right="1106" w:bottom="1138" w:left="1138" w:header="706" w:footer="288" w:gutter="0"/>
          <w:cols w:space="708"/>
          <w:docGrid w:linePitch="360"/>
        </w:sectPr>
      </w:pPr>
      <w:r>
        <w:t>The tables and line graphs in this first section provide a broad overview of the decade from 1</w:t>
      </w:r>
      <w:r w:rsidRPr="00902E46">
        <w:rPr>
          <w:vertAlign w:val="superscript"/>
        </w:rPr>
        <w:t>st</w:t>
      </w:r>
      <w:r>
        <w:t xml:space="preserve"> January 2003 to 31</w:t>
      </w:r>
      <w:r w:rsidRPr="00902E46">
        <w:rPr>
          <w:vertAlign w:val="superscript"/>
        </w:rPr>
        <w:t>st</w:t>
      </w:r>
      <w:r>
        <w:t xml:space="preserve"> December 2012.</w:t>
      </w:r>
      <w:bookmarkStart w:id="51" w:name="_Toc382206692"/>
      <w:bookmarkStart w:id="52" w:name="_GoBack"/>
      <w:bookmarkEnd w:id="52"/>
    </w:p>
    <w:p w14:paraId="00D117C0" w14:textId="77777777" w:rsidR="00B42672" w:rsidRPr="00B42672" w:rsidRDefault="00B42672" w:rsidP="00B42672"/>
    <w:p w14:paraId="2F3B7ACE" w14:textId="0B598BFA" w:rsidR="00B42672" w:rsidRPr="00B42672" w:rsidRDefault="00863988" w:rsidP="00863988">
      <w:pPr>
        <w:pStyle w:val="Figureheading"/>
      </w:pPr>
      <w:r>
        <w:t>1.1</w:t>
      </w:r>
      <w:r>
        <w:tab/>
      </w:r>
      <w:r w:rsidR="005D61DD" w:rsidRPr="003C129B">
        <w:t>Number</w:t>
      </w:r>
      <w:r w:rsidR="005D61DD">
        <w:t xml:space="preserve"> of reports</w:t>
      </w:r>
      <w:r w:rsidR="005D61DD" w:rsidRPr="00275DF4">
        <w:t xml:space="preserve"> by year, all abuse types combined, </w:t>
      </w:r>
      <w:r w:rsidR="005D61DD">
        <w:t>with percentage change</w:t>
      </w:r>
      <w:r w:rsidR="005D61DD" w:rsidRPr="00275DF4">
        <w:t xml:space="preserve"> (all reporter groups combined)</w:t>
      </w:r>
      <w:bookmarkEnd w:id="51"/>
    </w:p>
    <w:tbl>
      <w:tblPr>
        <w:tblStyle w:val="LightShading-Accent12"/>
        <w:tblW w:w="14850" w:type="dxa"/>
        <w:tblBorders>
          <w:top w:val="single" w:sz="4" w:space="0" w:color="auto"/>
          <w:left w:val="single" w:sz="4" w:space="0" w:color="auto"/>
          <w:bottom w:val="single" w:sz="4" w:space="0" w:color="auto"/>
          <w:right w:val="single" w:sz="4" w:space="0" w:color="auto"/>
          <w:insideH w:val="single" w:sz="8" w:space="0" w:color="4F81BD" w:themeColor="accent1"/>
        </w:tblBorders>
        <w:tblLayout w:type="fixed"/>
        <w:tblLook w:val="04A0" w:firstRow="1" w:lastRow="0" w:firstColumn="1" w:lastColumn="0" w:noHBand="0" w:noVBand="1"/>
        <w:tblCaption w:val="Number of reports by year, all abuse types combined, with percentage change (all reporter groups combined)"/>
      </w:tblPr>
      <w:tblGrid>
        <w:gridCol w:w="1237"/>
        <w:gridCol w:w="1238"/>
        <w:gridCol w:w="1237"/>
        <w:gridCol w:w="1238"/>
        <w:gridCol w:w="1237"/>
        <w:gridCol w:w="1238"/>
        <w:gridCol w:w="1237"/>
        <w:gridCol w:w="1238"/>
        <w:gridCol w:w="1237"/>
        <w:gridCol w:w="1238"/>
        <w:gridCol w:w="1237"/>
        <w:gridCol w:w="1238"/>
      </w:tblGrid>
      <w:tr w:rsidR="006360A3" w:rsidRPr="00C84E96" w14:paraId="37AED845" w14:textId="77777777" w:rsidTr="001143BB">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1237" w:type="dxa"/>
            <w:tcBorders>
              <w:top w:val="single" w:sz="4" w:space="0" w:color="auto"/>
              <w:left w:val="single" w:sz="4" w:space="0" w:color="auto"/>
              <w:bottom w:val="single" w:sz="4" w:space="0" w:color="auto"/>
            </w:tcBorders>
            <w:shd w:val="clear" w:color="auto" w:fill="8DB3E2" w:themeFill="text2" w:themeFillTint="66"/>
            <w:vAlign w:val="center"/>
            <w:hideMark/>
          </w:tcPr>
          <w:p w14:paraId="674CCB69" w14:textId="77777777" w:rsidR="00A45FDA" w:rsidRPr="00C84E96" w:rsidRDefault="00A45FDA" w:rsidP="00CE2FDF">
            <w:pPr>
              <w:spacing w:before="0" w:line="276" w:lineRule="auto"/>
              <w:jc w:val="right"/>
              <w:rPr>
                <w:color w:val="auto"/>
                <w:lang w:eastAsia="en-AU"/>
              </w:rPr>
            </w:pPr>
            <w:r w:rsidRPr="00C84E96">
              <w:rPr>
                <w:color w:val="auto"/>
                <w:lang w:eastAsia="en-AU"/>
              </w:rPr>
              <w:t>2003</w:t>
            </w:r>
          </w:p>
        </w:tc>
        <w:tc>
          <w:tcPr>
            <w:tcW w:w="1238" w:type="dxa"/>
            <w:tcBorders>
              <w:top w:val="single" w:sz="4" w:space="0" w:color="auto"/>
              <w:bottom w:val="single" w:sz="4" w:space="0" w:color="auto"/>
            </w:tcBorders>
            <w:shd w:val="clear" w:color="auto" w:fill="8DB3E2" w:themeFill="text2" w:themeFillTint="66"/>
            <w:vAlign w:val="center"/>
            <w:hideMark/>
          </w:tcPr>
          <w:p w14:paraId="0824798D"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2004</w:t>
            </w:r>
          </w:p>
        </w:tc>
        <w:tc>
          <w:tcPr>
            <w:tcW w:w="1237" w:type="dxa"/>
            <w:tcBorders>
              <w:top w:val="single" w:sz="4" w:space="0" w:color="auto"/>
              <w:bottom w:val="single" w:sz="4" w:space="0" w:color="auto"/>
            </w:tcBorders>
            <w:shd w:val="clear" w:color="auto" w:fill="8DB3E2" w:themeFill="text2" w:themeFillTint="66"/>
            <w:vAlign w:val="center"/>
            <w:hideMark/>
          </w:tcPr>
          <w:p w14:paraId="7A57DA1B"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2005</w:t>
            </w:r>
          </w:p>
        </w:tc>
        <w:tc>
          <w:tcPr>
            <w:tcW w:w="1238" w:type="dxa"/>
            <w:tcBorders>
              <w:top w:val="single" w:sz="4" w:space="0" w:color="auto"/>
              <w:bottom w:val="single" w:sz="4" w:space="0" w:color="auto"/>
            </w:tcBorders>
            <w:shd w:val="clear" w:color="auto" w:fill="8DB3E2" w:themeFill="text2" w:themeFillTint="66"/>
            <w:vAlign w:val="center"/>
            <w:hideMark/>
          </w:tcPr>
          <w:p w14:paraId="17572D61"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2006</w:t>
            </w:r>
          </w:p>
        </w:tc>
        <w:tc>
          <w:tcPr>
            <w:tcW w:w="1237" w:type="dxa"/>
            <w:tcBorders>
              <w:top w:val="single" w:sz="4" w:space="0" w:color="auto"/>
              <w:bottom w:val="single" w:sz="4" w:space="0" w:color="auto"/>
            </w:tcBorders>
            <w:shd w:val="clear" w:color="auto" w:fill="8DB3E2" w:themeFill="text2" w:themeFillTint="66"/>
            <w:vAlign w:val="center"/>
            <w:hideMark/>
          </w:tcPr>
          <w:p w14:paraId="0674A78D"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2007</w:t>
            </w:r>
          </w:p>
        </w:tc>
        <w:tc>
          <w:tcPr>
            <w:tcW w:w="1238" w:type="dxa"/>
            <w:tcBorders>
              <w:top w:val="single" w:sz="4" w:space="0" w:color="auto"/>
              <w:bottom w:val="single" w:sz="4" w:space="0" w:color="auto"/>
            </w:tcBorders>
            <w:shd w:val="clear" w:color="auto" w:fill="8DB3E2" w:themeFill="text2" w:themeFillTint="66"/>
            <w:vAlign w:val="center"/>
            <w:hideMark/>
          </w:tcPr>
          <w:p w14:paraId="444C805F"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2008</w:t>
            </w:r>
          </w:p>
        </w:tc>
        <w:tc>
          <w:tcPr>
            <w:tcW w:w="1237" w:type="dxa"/>
            <w:tcBorders>
              <w:top w:val="single" w:sz="4" w:space="0" w:color="auto"/>
              <w:bottom w:val="single" w:sz="4" w:space="0" w:color="auto"/>
            </w:tcBorders>
            <w:shd w:val="clear" w:color="auto" w:fill="8DB3E2" w:themeFill="text2" w:themeFillTint="66"/>
            <w:vAlign w:val="center"/>
            <w:hideMark/>
          </w:tcPr>
          <w:p w14:paraId="45E5A689"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2009</w:t>
            </w:r>
          </w:p>
        </w:tc>
        <w:tc>
          <w:tcPr>
            <w:tcW w:w="1238" w:type="dxa"/>
            <w:tcBorders>
              <w:top w:val="single" w:sz="4" w:space="0" w:color="auto"/>
              <w:bottom w:val="single" w:sz="4" w:space="0" w:color="auto"/>
            </w:tcBorders>
            <w:shd w:val="clear" w:color="auto" w:fill="8DB3E2" w:themeFill="text2" w:themeFillTint="66"/>
            <w:vAlign w:val="center"/>
            <w:hideMark/>
          </w:tcPr>
          <w:p w14:paraId="1632B070"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2010</w:t>
            </w:r>
          </w:p>
        </w:tc>
        <w:tc>
          <w:tcPr>
            <w:tcW w:w="1237" w:type="dxa"/>
            <w:tcBorders>
              <w:top w:val="single" w:sz="4" w:space="0" w:color="auto"/>
              <w:bottom w:val="single" w:sz="4" w:space="0" w:color="auto"/>
            </w:tcBorders>
            <w:shd w:val="clear" w:color="auto" w:fill="8DB3E2" w:themeFill="text2" w:themeFillTint="66"/>
            <w:vAlign w:val="center"/>
            <w:hideMark/>
          </w:tcPr>
          <w:p w14:paraId="31A763EC"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2011</w:t>
            </w:r>
          </w:p>
        </w:tc>
        <w:tc>
          <w:tcPr>
            <w:tcW w:w="1238" w:type="dxa"/>
            <w:tcBorders>
              <w:top w:val="single" w:sz="4" w:space="0" w:color="auto"/>
              <w:bottom w:val="single" w:sz="4" w:space="0" w:color="auto"/>
              <w:right w:val="single" w:sz="4" w:space="0" w:color="auto"/>
            </w:tcBorders>
            <w:shd w:val="clear" w:color="auto" w:fill="8DB3E2" w:themeFill="text2" w:themeFillTint="66"/>
            <w:vAlign w:val="center"/>
            <w:hideMark/>
          </w:tcPr>
          <w:p w14:paraId="7DB12727"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2012</w:t>
            </w:r>
          </w:p>
        </w:tc>
        <w:tc>
          <w:tcPr>
            <w:tcW w:w="123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037FBE1" w14:textId="77777777" w:rsidR="00A45FDA" w:rsidRPr="00C84E96" w:rsidRDefault="00A45FDA"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Total</w:t>
            </w:r>
          </w:p>
        </w:tc>
        <w:tc>
          <w:tcPr>
            <w:tcW w:w="12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C6B231" w14:textId="77777777" w:rsidR="00A45FDA" w:rsidRPr="00C84E96" w:rsidRDefault="00AC4C50"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Pr>
                <w:color w:val="auto"/>
                <w:lang w:eastAsia="en-AU"/>
              </w:rPr>
              <w:t>% change</w:t>
            </w:r>
          </w:p>
        </w:tc>
      </w:tr>
      <w:tr w:rsidR="006360A3" w:rsidRPr="00C84E96" w14:paraId="31513F6C" w14:textId="77777777" w:rsidTr="006360A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37" w:type="dxa"/>
            <w:tcBorders>
              <w:top w:val="single" w:sz="4" w:space="0" w:color="auto"/>
              <w:left w:val="none" w:sz="0" w:space="0" w:color="auto"/>
              <w:right w:val="none" w:sz="0" w:space="0" w:color="auto"/>
            </w:tcBorders>
            <w:vAlign w:val="center"/>
            <w:hideMark/>
          </w:tcPr>
          <w:p w14:paraId="49AB9A12" w14:textId="77777777" w:rsidR="00A03DC9" w:rsidRPr="00C84E96" w:rsidRDefault="00A03DC9" w:rsidP="00CE2FDF">
            <w:pPr>
              <w:spacing w:before="0" w:line="276" w:lineRule="auto"/>
              <w:jc w:val="right"/>
              <w:rPr>
                <w:color w:val="auto"/>
                <w:lang w:eastAsia="en-AU"/>
              </w:rPr>
            </w:pPr>
            <w:r w:rsidRPr="00C84E96">
              <w:rPr>
                <w:color w:val="auto"/>
                <w:lang w:eastAsia="en-AU"/>
              </w:rPr>
              <w:t>37</w:t>
            </w:r>
            <w:r w:rsidR="00C002A6" w:rsidRPr="00C84E96">
              <w:rPr>
                <w:color w:val="auto"/>
                <w:lang w:eastAsia="en-AU"/>
              </w:rPr>
              <w:t>,</w:t>
            </w:r>
            <w:r w:rsidRPr="00C84E96">
              <w:rPr>
                <w:color w:val="auto"/>
                <w:lang w:eastAsia="en-AU"/>
              </w:rPr>
              <w:t>267</w:t>
            </w:r>
          </w:p>
        </w:tc>
        <w:tc>
          <w:tcPr>
            <w:tcW w:w="1238" w:type="dxa"/>
            <w:tcBorders>
              <w:top w:val="single" w:sz="4" w:space="0" w:color="auto"/>
              <w:left w:val="none" w:sz="0" w:space="0" w:color="auto"/>
              <w:right w:val="none" w:sz="0" w:space="0" w:color="auto"/>
            </w:tcBorders>
            <w:vAlign w:val="center"/>
            <w:hideMark/>
          </w:tcPr>
          <w:p w14:paraId="5742778F"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37</w:t>
            </w:r>
            <w:r w:rsidR="00C002A6" w:rsidRPr="00C84E96">
              <w:rPr>
                <w:color w:val="auto"/>
                <w:lang w:eastAsia="en-AU"/>
              </w:rPr>
              <w:t>,</w:t>
            </w:r>
            <w:r w:rsidRPr="00C84E96">
              <w:rPr>
                <w:color w:val="auto"/>
                <w:lang w:eastAsia="en-AU"/>
              </w:rPr>
              <w:t>649</w:t>
            </w:r>
          </w:p>
        </w:tc>
        <w:tc>
          <w:tcPr>
            <w:tcW w:w="1237" w:type="dxa"/>
            <w:tcBorders>
              <w:top w:val="single" w:sz="4" w:space="0" w:color="auto"/>
              <w:left w:val="none" w:sz="0" w:space="0" w:color="auto"/>
              <w:right w:val="none" w:sz="0" w:space="0" w:color="auto"/>
            </w:tcBorders>
            <w:vAlign w:val="center"/>
            <w:hideMark/>
          </w:tcPr>
          <w:p w14:paraId="2BF18CAE"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36</w:t>
            </w:r>
            <w:r w:rsidR="00C002A6" w:rsidRPr="00C84E96">
              <w:rPr>
                <w:b/>
                <w:color w:val="auto"/>
                <w:lang w:eastAsia="en-AU"/>
              </w:rPr>
              <w:t>,</w:t>
            </w:r>
            <w:r w:rsidRPr="00C84E96">
              <w:rPr>
                <w:b/>
                <w:color w:val="auto"/>
                <w:lang w:eastAsia="en-AU"/>
              </w:rPr>
              <w:t>657</w:t>
            </w:r>
          </w:p>
        </w:tc>
        <w:tc>
          <w:tcPr>
            <w:tcW w:w="1238" w:type="dxa"/>
            <w:tcBorders>
              <w:top w:val="single" w:sz="4" w:space="0" w:color="auto"/>
              <w:left w:val="none" w:sz="0" w:space="0" w:color="auto"/>
              <w:right w:val="none" w:sz="0" w:space="0" w:color="auto"/>
            </w:tcBorders>
            <w:vAlign w:val="center"/>
            <w:hideMark/>
          </w:tcPr>
          <w:p w14:paraId="6CAEBFFB"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37</w:t>
            </w:r>
            <w:r w:rsidR="00C002A6" w:rsidRPr="00C84E96">
              <w:rPr>
                <w:color w:val="auto"/>
                <w:lang w:eastAsia="en-AU"/>
              </w:rPr>
              <w:t>,</w:t>
            </w:r>
            <w:r w:rsidRPr="00C84E96">
              <w:rPr>
                <w:color w:val="auto"/>
                <w:lang w:eastAsia="en-AU"/>
              </w:rPr>
              <w:t>693</w:t>
            </w:r>
          </w:p>
        </w:tc>
        <w:tc>
          <w:tcPr>
            <w:tcW w:w="1237" w:type="dxa"/>
            <w:tcBorders>
              <w:top w:val="single" w:sz="4" w:space="0" w:color="auto"/>
              <w:left w:val="none" w:sz="0" w:space="0" w:color="auto"/>
              <w:right w:val="none" w:sz="0" w:space="0" w:color="auto"/>
            </w:tcBorders>
            <w:vAlign w:val="center"/>
            <w:hideMark/>
          </w:tcPr>
          <w:p w14:paraId="0707F90C"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38</w:t>
            </w:r>
            <w:r w:rsidR="00C002A6" w:rsidRPr="00C84E96">
              <w:rPr>
                <w:b/>
                <w:color w:val="auto"/>
                <w:lang w:eastAsia="en-AU"/>
              </w:rPr>
              <w:t>,</w:t>
            </w:r>
            <w:r w:rsidRPr="00C84E96">
              <w:rPr>
                <w:b/>
                <w:color w:val="auto"/>
                <w:lang w:eastAsia="en-AU"/>
              </w:rPr>
              <w:t>774</w:t>
            </w:r>
          </w:p>
        </w:tc>
        <w:tc>
          <w:tcPr>
            <w:tcW w:w="1238" w:type="dxa"/>
            <w:tcBorders>
              <w:top w:val="single" w:sz="4" w:space="0" w:color="auto"/>
              <w:left w:val="none" w:sz="0" w:space="0" w:color="auto"/>
              <w:right w:val="none" w:sz="0" w:space="0" w:color="auto"/>
            </w:tcBorders>
            <w:vAlign w:val="center"/>
            <w:hideMark/>
          </w:tcPr>
          <w:p w14:paraId="57E9F462"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41</w:t>
            </w:r>
            <w:r w:rsidR="00C002A6" w:rsidRPr="00C84E96">
              <w:rPr>
                <w:color w:val="auto"/>
                <w:lang w:eastAsia="en-AU"/>
              </w:rPr>
              <w:t>,</w:t>
            </w:r>
            <w:r w:rsidRPr="00C84E96">
              <w:rPr>
                <w:color w:val="auto"/>
                <w:lang w:eastAsia="en-AU"/>
              </w:rPr>
              <w:t>695</w:t>
            </w:r>
          </w:p>
        </w:tc>
        <w:tc>
          <w:tcPr>
            <w:tcW w:w="1237" w:type="dxa"/>
            <w:tcBorders>
              <w:top w:val="single" w:sz="4" w:space="0" w:color="auto"/>
              <w:left w:val="none" w:sz="0" w:space="0" w:color="auto"/>
              <w:right w:val="none" w:sz="0" w:space="0" w:color="auto"/>
            </w:tcBorders>
            <w:vAlign w:val="center"/>
            <w:hideMark/>
          </w:tcPr>
          <w:p w14:paraId="45514831"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44</w:t>
            </w:r>
            <w:r w:rsidR="00C002A6" w:rsidRPr="00C84E96">
              <w:rPr>
                <w:b/>
                <w:color w:val="auto"/>
                <w:lang w:eastAsia="en-AU"/>
              </w:rPr>
              <w:t>,</w:t>
            </w:r>
            <w:r w:rsidRPr="00C84E96">
              <w:rPr>
                <w:b/>
                <w:color w:val="auto"/>
                <w:lang w:eastAsia="en-AU"/>
              </w:rPr>
              <w:t>770</w:t>
            </w:r>
          </w:p>
        </w:tc>
        <w:tc>
          <w:tcPr>
            <w:tcW w:w="1238" w:type="dxa"/>
            <w:tcBorders>
              <w:top w:val="single" w:sz="4" w:space="0" w:color="auto"/>
              <w:left w:val="none" w:sz="0" w:space="0" w:color="auto"/>
              <w:right w:val="none" w:sz="0" w:space="0" w:color="auto"/>
            </w:tcBorders>
            <w:vAlign w:val="center"/>
            <w:hideMark/>
          </w:tcPr>
          <w:p w14:paraId="5A4B4B8D"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52</w:t>
            </w:r>
            <w:r w:rsidR="00C002A6" w:rsidRPr="00C84E96">
              <w:rPr>
                <w:color w:val="auto"/>
                <w:lang w:eastAsia="en-AU"/>
              </w:rPr>
              <w:t>,</w:t>
            </w:r>
            <w:r w:rsidRPr="00C84E96">
              <w:rPr>
                <w:color w:val="auto"/>
                <w:lang w:eastAsia="en-AU"/>
              </w:rPr>
              <w:t>035</w:t>
            </w:r>
          </w:p>
        </w:tc>
        <w:tc>
          <w:tcPr>
            <w:tcW w:w="1237" w:type="dxa"/>
            <w:tcBorders>
              <w:top w:val="single" w:sz="4" w:space="0" w:color="auto"/>
              <w:left w:val="none" w:sz="0" w:space="0" w:color="auto"/>
              <w:right w:val="none" w:sz="0" w:space="0" w:color="auto"/>
            </w:tcBorders>
            <w:vAlign w:val="center"/>
            <w:hideMark/>
          </w:tcPr>
          <w:p w14:paraId="159E5291"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58</w:t>
            </w:r>
            <w:r w:rsidR="00C002A6" w:rsidRPr="00C84E96">
              <w:rPr>
                <w:b/>
                <w:color w:val="auto"/>
                <w:lang w:eastAsia="en-AU"/>
              </w:rPr>
              <w:t>,</w:t>
            </w:r>
            <w:r w:rsidRPr="00C84E96">
              <w:rPr>
                <w:b/>
                <w:color w:val="auto"/>
                <w:lang w:eastAsia="en-AU"/>
              </w:rPr>
              <w:t>932</w:t>
            </w:r>
          </w:p>
        </w:tc>
        <w:tc>
          <w:tcPr>
            <w:tcW w:w="1238" w:type="dxa"/>
            <w:tcBorders>
              <w:top w:val="single" w:sz="4" w:space="0" w:color="auto"/>
              <w:left w:val="none" w:sz="0" w:space="0" w:color="auto"/>
              <w:right w:val="single" w:sz="4" w:space="0" w:color="auto"/>
            </w:tcBorders>
            <w:vAlign w:val="center"/>
            <w:hideMark/>
          </w:tcPr>
          <w:p w14:paraId="75D23F31"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68</w:t>
            </w:r>
            <w:r w:rsidR="00C002A6" w:rsidRPr="00C84E96">
              <w:rPr>
                <w:color w:val="auto"/>
                <w:lang w:eastAsia="en-AU"/>
              </w:rPr>
              <w:t>,</w:t>
            </w:r>
            <w:r w:rsidRPr="00C84E96">
              <w:rPr>
                <w:color w:val="auto"/>
                <w:lang w:eastAsia="en-AU"/>
              </w:rPr>
              <w:t>648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CF35B0"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454</w:t>
            </w:r>
            <w:r w:rsidR="00C002A6" w:rsidRPr="00C84E96">
              <w:rPr>
                <w:b/>
                <w:color w:val="auto"/>
                <w:lang w:eastAsia="en-AU"/>
              </w:rPr>
              <w:t>,</w:t>
            </w:r>
            <w:r w:rsidRPr="00C84E96">
              <w:rPr>
                <w:b/>
                <w:color w:val="auto"/>
                <w:lang w:eastAsia="en-AU"/>
              </w:rPr>
              <w:t>120</w:t>
            </w:r>
          </w:p>
        </w:tc>
        <w:tc>
          <w:tcPr>
            <w:tcW w:w="1238" w:type="dxa"/>
            <w:tcBorders>
              <w:top w:val="single" w:sz="4" w:space="0" w:color="auto"/>
              <w:left w:val="single" w:sz="4" w:space="0" w:color="auto"/>
              <w:bottom w:val="single" w:sz="4" w:space="0" w:color="auto"/>
              <w:right w:val="none" w:sz="0" w:space="0" w:color="auto"/>
            </w:tcBorders>
            <w:vAlign w:val="center"/>
          </w:tcPr>
          <w:p w14:paraId="314B5038"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84%</w:t>
            </w:r>
          </w:p>
        </w:tc>
      </w:tr>
    </w:tbl>
    <w:p w14:paraId="14FAEC3A" w14:textId="77777777" w:rsidR="003C129B" w:rsidRPr="00967BD7" w:rsidRDefault="003C129B" w:rsidP="00B15586"/>
    <w:p w14:paraId="79452650" w14:textId="77777777" w:rsidR="00BA154E" w:rsidRDefault="00BA154E" w:rsidP="00B15586"/>
    <w:p w14:paraId="6CDBC292" w14:textId="77777777" w:rsidR="00967BD7" w:rsidRDefault="00967BD7" w:rsidP="00B15586">
      <w:pPr>
        <w:spacing w:after="200" w:line="276" w:lineRule="auto"/>
      </w:pPr>
      <w:r>
        <w:br w:type="page"/>
      </w:r>
    </w:p>
    <w:p w14:paraId="0A21DA09" w14:textId="2A0D082D" w:rsidR="00A04FA2" w:rsidRPr="00A04FA2" w:rsidRDefault="00863988" w:rsidP="00863988">
      <w:pPr>
        <w:pStyle w:val="Figureheading"/>
        <w:pBdr>
          <w:bottom w:val="single" w:sz="8" w:space="4" w:color="1F497D" w:themeColor="text2"/>
        </w:pBdr>
      </w:pPr>
      <w:bookmarkStart w:id="53" w:name="_Toc382206693"/>
      <w:r>
        <w:lastRenderedPageBreak/>
        <w:t>1.2</w:t>
      </w:r>
      <w:r>
        <w:tab/>
      </w:r>
      <w:r w:rsidR="005D61DD" w:rsidRPr="001D7CE7">
        <w:t xml:space="preserve">Number of reports by year, by abuse type, with percentage </w:t>
      </w:r>
      <w:proofErr w:type="gramStart"/>
      <w:r w:rsidR="005D61DD" w:rsidRPr="001D7CE7">
        <w:t>change</w:t>
      </w:r>
      <w:proofErr w:type="gramEnd"/>
      <w:r w:rsidR="005D61DD" w:rsidRPr="001D7CE7">
        <w:t xml:space="preserve"> (all reporter groups combined)</w:t>
      </w:r>
      <w:bookmarkEnd w:id="53"/>
    </w:p>
    <w:tbl>
      <w:tblPr>
        <w:tblStyle w:val="LightShading-Accent12"/>
        <w:tblW w:w="14850" w:type="dxa"/>
        <w:tblLayout w:type="fixed"/>
        <w:tblLook w:val="04A0" w:firstRow="1" w:lastRow="0" w:firstColumn="1" w:lastColumn="0" w:noHBand="0" w:noVBand="1"/>
        <w:tblCaption w:val="Number of reports by year, by abuse type, with percentage change (all reporter groups combined)"/>
      </w:tblPr>
      <w:tblGrid>
        <w:gridCol w:w="1638"/>
        <w:gridCol w:w="990"/>
        <w:gridCol w:w="1080"/>
        <w:gridCol w:w="1080"/>
        <w:gridCol w:w="1170"/>
        <w:gridCol w:w="1080"/>
        <w:gridCol w:w="1170"/>
        <w:gridCol w:w="1080"/>
        <w:gridCol w:w="1026"/>
        <w:gridCol w:w="1134"/>
        <w:gridCol w:w="1134"/>
        <w:gridCol w:w="1134"/>
        <w:gridCol w:w="1134"/>
      </w:tblGrid>
      <w:tr w:rsidR="006360A3" w:rsidRPr="00A03DC9" w14:paraId="63E8A910" w14:textId="77777777" w:rsidTr="00F2009E">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74F3DE5" w14:textId="77777777" w:rsidR="00A03DC9" w:rsidRPr="00472921" w:rsidRDefault="00A03DC9" w:rsidP="00CE2FDF">
            <w:pPr>
              <w:spacing w:before="0" w:line="276" w:lineRule="auto"/>
              <w:rPr>
                <w:color w:val="auto"/>
                <w:lang w:eastAsia="en-AU"/>
              </w:rPr>
            </w:pPr>
          </w:p>
        </w:tc>
        <w:tc>
          <w:tcPr>
            <w:tcW w:w="990" w:type="dxa"/>
            <w:tcBorders>
              <w:top w:val="single" w:sz="4" w:space="0" w:color="auto"/>
              <w:left w:val="single" w:sz="4" w:space="0" w:color="auto"/>
              <w:bottom w:val="single" w:sz="4" w:space="0" w:color="auto"/>
            </w:tcBorders>
            <w:shd w:val="clear" w:color="auto" w:fill="8DB3E2" w:themeFill="text2" w:themeFillTint="66"/>
            <w:noWrap/>
            <w:vAlign w:val="center"/>
            <w:hideMark/>
          </w:tcPr>
          <w:p w14:paraId="5606462B"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2003</w:t>
            </w:r>
          </w:p>
        </w:tc>
        <w:tc>
          <w:tcPr>
            <w:tcW w:w="1080" w:type="dxa"/>
            <w:tcBorders>
              <w:top w:val="single" w:sz="4" w:space="0" w:color="auto"/>
              <w:bottom w:val="single" w:sz="4" w:space="0" w:color="auto"/>
            </w:tcBorders>
            <w:shd w:val="clear" w:color="auto" w:fill="8DB3E2" w:themeFill="text2" w:themeFillTint="66"/>
            <w:noWrap/>
            <w:vAlign w:val="center"/>
            <w:hideMark/>
          </w:tcPr>
          <w:p w14:paraId="49BEC081"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2004</w:t>
            </w:r>
          </w:p>
        </w:tc>
        <w:tc>
          <w:tcPr>
            <w:tcW w:w="1080" w:type="dxa"/>
            <w:tcBorders>
              <w:top w:val="single" w:sz="4" w:space="0" w:color="auto"/>
              <w:bottom w:val="single" w:sz="4" w:space="0" w:color="auto"/>
            </w:tcBorders>
            <w:shd w:val="clear" w:color="auto" w:fill="8DB3E2" w:themeFill="text2" w:themeFillTint="66"/>
            <w:noWrap/>
            <w:vAlign w:val="center"/>
            <w:hideMark/>
          </w:tcPr>
          <w:p w14:paraId="35EBE962"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2005</w:t>
            </w:r>
          </w:p>
        </w:tc>
        <w:tc>
          <w:tcPr>
            <w:tcW w:w="1170" w:type="dxa"/>
            <w:tcBorders>
              <w:top w:val="single" w:sz="4" w:space="0" w:color="auto"/>
              <w:bottom w:val="single" w:sz="4" w:space="0" w:color="auto"/>
            </w:tcBorders>
            <w:shd w:val="clear" w:color="auto" w:fill="8DB3E2" w:themeFill="text2" w:themeFillTint="66"/>
            <w:noWrap/>
            <w:vAlign w:val="center"/>
            <w:hideMark/>
          </w:tcPr>
          <w:p w14:paraId="36652A3F"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2006</w:t>
            </w:r>
          </w:p>
        </w:tc>
        <w:tc>
          <w:tcPr>
            <w:tcW w:w="1080" w:type="dxa"/>
            <w:tcBorders>
              <w:top w:val="single" w:sz="4" w:space="0" w:color="auto"/>
              <w:bottom w:val="single" w:sz="4" w:space="0" w:color="auto"/>
            </w:tcBorders>
            <w:shd w:val="clear" w:color="auto" w:fill="8DB3E2" w:themeFill="text2" w:themeFillTint="66"/>
            <w:noWrap/>
            <w:vAlign w:val="center"/>
            <w:hideMark/>
          </w:tcPr>
          <w:p w14:paraId="62127DF7"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2007</w:t>
            </w:r>
          </w:p>
        </w:tc>
        <w:tc>
          <w:tcPr>
            <w:tcW w:w="1170" w:type="dxa"/>
            <w:tcBorders>
              <w:top w:val="single" w:sz="4" w:space="0" w:color="auto"/>
              <w:bottom w:val="single" w:sz="4" w:space="0" w:color="auto"/>
            </w:tcBorders>
            <w:shd w:val="clear" w:color="auto" w:fill="8DB3E2" w:themeFill="text2" w:themeFillTint="66"/>
            <w:noWrap/>
            <w:vAlign w:val="center"/>
            <w:hideMark/>
          </w:tcPr>
          <w:p w14:paraId="7A7746B7"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2008</w:t>
            </w:r>
          </w:p>
        </w:tc>
        <w:tc>
          <w:tcPr>
            <w:tcW w:w="1080" w:type="dxa"/>
            <w:tcBorders>
              <w:top w:val="single" w:sz="4" w:space="0" w:color="auto"/>
              <w:bottom w:val="single" w:sz="4" w:space="0" w:color="auto"/>
            </w:tcBorders>
            <w:shd w:val="clear" w:color="auto" w:fill="8DB3E2" w:themeFill="text2" w:themeFillTint="66"/>
            <w:noWrap/>
            <w:vAlign w:val="center"/>
            <w:hideMark/>
          </w:tcPr>
          <w:p w14:paraId="4CE0E074"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2009</w:t>
            </w:r>
          </w:p>
        </w:tc>
        <w:tc>
          <w:tcPr>
            <w:tcW w:w="1026" w:type="dxa"/>
            <w:tcBorders>
              <w:top w:val="single" w:sz="4" w:space="0" w:color="auto"/>
              <w:bottom w:val="single" w:sz="4" w:space="0" w:color="auto"/>
            </w:tcBorders>
            <w:shd w:val="clear" w:color="auto" w:fill="8DB3E2" w:themeFill="text2" w:themeFillTint="66"/>
            <w:noWrap/>
            <w:vAlign w:val="center"/>
            <w:hideMark/>
          </w:tcPr>
          <w:p w14:paraId="6A0F9349"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2010</w:t>
            </w:r>
          </w:p>
        </w:tc>
        <w:tc>
          <w:tcPr>
            <w:tcW w:w="1134" w:type="dxa"/>
            <w:tcBorders>
              <w:top w:val="single" w:sz="4" w:space="0" w:color="auto"/>
              <w:bottom w:val="single" w:sz="4" w:space="0" w:color="auto"/>
            </w:tcBorders>
            <w:shd w:val="clear" w:color="auto" w:fill="8DB3E2" w:themeFill="text2" w:themeFillTint="66"/>
            <w:noWrap/>
            <w:vAlign w:val="center"/>
            <w:hideMark/>
          </w:tcPr>
          <w:p w14:paraId="72924CDB"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2011</w:t>
            </w:r>
          </w:p>
        </w:tc>
        <w:tc>
          <w:tcPr>
            <w:tcW w:w="1134" w:type="dxa"/>
            <w:tcBorders>
              <w:top w:val="single" w:sz="4" w:space="0" w:color="auto"/>
              <w:bottom w:val="single" w:sz="4" w:space="0" w:color="auto"/>
              <w:right w:val="single" w:sz="4" w:space="0" w:color="auto"/>
            </w:tcBorders>
            <w:shd w:val="clear" w:color="auto" w:fill="8DB3E2" w:themeFill="text2" w:themeFillTint="66"/>
            <w:noWrap/>
            <w:vAlign w:val="center"/>
            <w:hideMark/>
          </w:tcPr>
          <w:p w14:paraId="719B58A1"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2012</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FA4080E" w14:textId="77777777" w:rsidR="00A03DC9" w:rsidRPr="00C84E96" w:rsidRDefault="00A03DC9"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Totals:</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2D5ECC3" w14:textId="77777777" w:rsidR="00A03DC9" w:rsidRPr="00C84E96" w:rsidRDefault="00AC4C50"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color w:val="auto"/>
                <w:lang w:eastAsia="en-AU"/>
              </w:rPr>
            </w:pPr>
            <w:r>
              <w:rPr>
                <w:color w:val="auto"/>
                <w:lang w:eastAsia="en-AU"/>
              </w:rPr>
              <w:t>% change</w:t>
            </w:r>
          </w:p>
        </w:tc>
      </w:tr>
      <w:tr w:rsidR="006360A3" w:rsidRPr="00A03DC9" w14:paraId="5A80E611" w14:textId="77777777" w:rsidTr="00F2009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6FAABBCE" w14:textId="77777777" w:rsidR="00A03DC9" w:rsidRPr="00472921" w:rsidRDefault="00A03DC9" w:rsidP="00CE2FDF">
            <w:pPr>
              <w:spacing w:before="0" w:line="276" w:lineRule="auto"/>
              <w:rPr>
                <w:color w:val="auto"/>
                <w:lang w:eastAsia="en-AU"/>
              </w:rPr>
            </w:pPr>
            <w:r w:rsidRPr="00472921">
              <w:rPr>
                <w:color w:val="auto"/>
                <w:lang w:eastAsia="en-AU"/>
              </w:rPr>
              <w:t>Emotional abuse</w:t>
            </w:r>
          </w:p>
        </w:tc>
        <w:tc>
          <w:tcPr>
            <w:tcW w:w="990" w:type="dxa"/>
            <w:tcBorders>
              <w:top w:val="single" w:sz="4" w:space="0" w:color="auto"/>
              <w:left w:val="single" w:sz="4" w:space="0" w:color="auto"/>
            </w:tcBorders>
            <w:shd w:val="clear" w:color="auto" w:fill="DBE5F1" w:themeFill="accent1" w:themeFillTint="33"/>
            <w:noWrap/>
            <w:vAlign w:val="center"/>
            <w:hideMark/>
          </w:tcPr>
          <w:p w14:paraId="03F3BB63"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11</w:t>
            </w:r>
            <w:r w:rsidR="00C002A6" w:rsidRPr="00C84E96">
              <w:rPr>
                <w:color w:val="auto"/>
                <w:lang w:eastAsia="en-AU"/>
              </w:rPr>
              <w:t>,</w:t>
            </w:r>
            <w:r w:rsidRPr="00C84E96">
              <w:rPr>
                <w:color w:val="auto"/>
                <w:lang w:eastAsia="en-AU"/>
              </w:rPr>
              <w:t>749</w:t>
            </w:r>
          </w:p>
        </w:tc>
        <w:tc>
          <w:tcPr>
            <w:tcW w:w="1080" w:type="dxa"/>
            <w:tcBorders>
              <w:top w:val="single" w:sz="4" w:space="0" w:color="auto"/>
            </w:tcBorders>
            <w:shd w:val="clear" w:color="auto" w:fill="DBE5F1" w:themeFill="accent1" w:themeFillTint="33"/>
            <w:noWrap/>
            <w:vAlign w:val="center"/>
            <w:hideMark/>
          </w:tcPr>
          <w:p w14:paraId="386867A8"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11</w:t>
            </w:r>
            <w:r w:rsidR="00C002A6" w:rsidRPr="00C84E96">
              <w:rPr>
                <w:b/>
                <w:color w:val="auto"/>
                <w:lang w:eastAsia="en-AU"/>
              </w:rPr>
              <w:t>,</w:t>
            </w:r>
            <w:r w:rsidRPr="00C84E96">
              <w:rPr>
                <w:b/>
                <w:color w:val="auto"/>
                <w:lang w:eastAsia="en-AU"/>
              </w:rPr>
              <w:t>618</w:t>
            </w:r>
          </w:p>
        </w:tc>
        <w:tc>
          <w:tcPr>
            <w:tcW w:w="1080" w:type="dxa"/>
            <w:tcBorders>
              <w:top w:val="single" w:sz="4" w:space="0" w:color="auto"/>
            </w:tcBorders>
            <w:shd w:val="clear" w:color="auto" w:fill="DBE5F1" w:themeFill="accent1" w:themeFillTint="33"/>
            <w:noWrap/>
            <w:vAlign w:val="center"/>
            <w:hideMark/>
          </w:tcPr>
          <w:p w14:paraId="185D75B2"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11</w:t>
            </w:r>
            <w:r w:rsidR="00C002A6" w:rsidRPr="00C84E96">
              <w:rPr>
                <w:color w:val="auto"/>
                <w:lang w:eastAsia="en-AU"/>
              </w:rPr>
              <w:t>,</w:t>
            </w:r>
            <w:r w:rsidRPr="00C84E96">
              <w:rPr>
                <w:color w:val="auto"/>
                <w:lang w:eastAsia="en-AU"/>
              </w:rPr>
              <w:t>905</w:t>
            </w:r>
          </w:p>
        </w:tc>
        <w:tc>
          <w:tcPr>
            <w:tcW w:w="1170" w:type="dxa"/>
            <w:tcBorders>
              <w:top w:val="single" w:sz="4" w:space="0" w:color="auto"/>
            </w:tcBorders>
            <w:shd w:val="clear" w:color="auto" w:fill="DBE5F1" w:themeFill="accent1" w:themeFillTint="33"/>
            <w:noWrap/>
            <w:vAlign w:val="center"/>
            <w:hideMark/>
          </w:tcPr>
          <w:p w14:paraId="5478E316"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13</w:t>
            </w:r>
            <w:r w:rsidR="00C002A6" w:rsidRPr="00C84E96">
              <w:rPr>
                <w:b/>
                <w:color w:val="auto"/>
                <w:lang w:eastAsia="en-AU"/>
              </w:rPr>
              <w:t>,</w:t>
            </w:r>
            <w:r w:rsidRPr="00C84E96">
              <w:rPr>
                <w:b/>
                <w:color w:val="auto"/>
                <w:lang w:eastAsia="en-AU"/>
              </w:rPr>
              <w:t>212</w:t>
            </w:r>
          </w:p>
        </w:tc>
        <w:tc>
          <w:tcPr>
            <w:tcW w:w="1080" w:type="dxa"/>
            <w:tcBorders>
              <w:top w:val="single" w:sz="4" w:space="0" w:color="auto"/>
            </w:tcBorders>
            <w:shd w:val="clear" w:color="auto" w:fill="DBE5F1" w:themeFill="accent1" w:themeFillTint="33"/>
            <w:noWrap/>
            <w:vAlign w:val="center"/>
            <w:hideMark/>
          </w:tcPr>
          <w:p w14:paraId="3CACB063"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10</w:t>
            </w:r>
            <w:r w:rsidR="00C002A6" w:rsidRPr="00C84E96">
              <w:rPr>
                <w:color w:val="auto"/>
                <w:lang w:eastAsia="en-AU"/>
              </w:rPr>
              <w:t>,</w:t>
            </w:r>
            <w:r w:rsidRPr="00C84E96">
              <w:rPr>
                <w:color w:val="auto"/>
                <w:lang w:eastAsia="en-AU"/>
              </w:rPr>
              <w:t>680</w:t>
            </w:r>
          </w:p>
        </w:tc>
        <w:tc>
          <w:tcPr>
            <w:tcW w:w="1170" w:type="dxa"/>
            <w:tcBorders>
              <w:top w:val="single" w:sz="4" w:space="0" w:color="auto"/>
            </w:tcBorders>
            <w:shd w:val="clear" w:color="auto" w:fill="DBE5F1" w:themeFill="accent1" w:themeFillTint="33"/>
            <w:noWrap/>
            <w:vAlign w:val="center"/>
            <w:hideMark/>
          </w:tcPr>
          <w:p w14:paraId="47F7A74C"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16</w:t>
            </w:r>
            <w:r w:rsidR="00C002A6" w:rsidRPr="00C84E96">
              <w:rPr>
                <w:b/>
                <w:color w:val="auto"/>
                <w:lang w:eastAsia="en-AU"/>
              </w:rPr>
              <w:t>,</w:t>
            </w:r>
            <w:r w:rsidRPr="00C84E96">
              <w:rPr>
                <w:b/>
                <w:color w:val="auto"/>
                <w:lang w:eastAsia="en-AU"/>
              </w:rPr>
              <w:t>081</w:t>
            </w:r>
          </w:p>
        </w:tc>
        <w:tc>
          <w:tcPr>
            <w:tcW w:w="1080" w:type="dxa"/>
            <w:tcBorders>
              <w:top w:val="single" w:sz="4" w:space="0" w:color="auto"/>
            </w:tcBorders>
            <w:shd w:val="clear" w:color="auto" w:fill="DBE5F1" w:themeFill="accent1" w:themeFillTint="33"/>
            <w:noWrap/>
            <w:vAlign w:val="center"/>
            <w:hideMark/>
          </w:tcPr>
          <w:p w14:paraId="02D9E694"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21</w:t>
            </w:r>
            <w:r w:rsidR="00C002A6" w:rsidRPr="00C84E96">
              <w:rPr>
                <w:color w:val="auto"/>
                <w:lang w:eastAsia="en-AU"/>
              </w:rPr>
              <w:t>,</w:t>
            </w:r>
            <w:r w:rsidRPr="00C84E96">
              <w:rPr>
                <w:color w:val="auto"/>
                <w:lang w:eastAsia="en-AU"/>
              </w:rPr>
              <w:t>759</w:t>
            </w:r>
          </w:p>
        </w:tc>
        <w:tc>
          <w:tcPr>
            <w:tcW w:w="1026" w:type="dxa"/>
            <w:tcBorders>
              <w:top w:val="single" w:sz="4" w:space="0" w:color="auto"/>
            </w:tcBorders>
            <w:shd w:val="clear" w:color="auto" w:fill="DBE5F1" w:themeFill="accent1" w:themeFillTint="33"/>
            <w:noWrap/>
            <w:vAlign w:val="center"/>
            <w:hideMark/>
          </w:tcPr>
          <w:p w14:paraId="7C6F78AE"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26</w:t>
            </w:r>
            <w:r w:rsidR="00C002A6" w:rsidRPr="00C84E96">
              <w:rPr>
                <w:b/>
                <w:color w:val="auto"/>
                <w:lang w:eastAsia="en-AU"/>
              </w:rPr>
              <w:t>,</w:t>
            </w:r>
            <w:r w:rsidRPr="00C84E96">
              <w:rPr>
                <w:b/>
                <w:color w:val="auto"/>
                <w:lang w:eastAsia="en-AU"/>
              </w:rPr>
              <w:t>340</w:t>
            </w:r>
          </w:p>
        </w:tc>
        <w:tc>
          <w:tcPr>
            <w:tcW w:w="1134" w:type="dxa"/>
            <w:tcBorders>
              <w:top w:val="single" w:sz="4" w:space="0" w:color="auto"/>
            </w:tcBorders>
            <w:shd w:val="clear" w:color="auto" w:fill="DBE5F1" w:themeFill="accent1" w:themeFillTint="33"/>
            <w:noWrap/>
            <w:vAlign w:val="center"/>
            <w:hideMark/>
          </w:tcPr>
          <w:p w14:paraId="5B759EE7"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33</w:t>
            </w:r>
            <w:r w:rsidR="00C002A6" w:rsidRPr="00C84E96">
              <w:rPr>
                <w:color w:val="auto"/>
                <w:lang w:eastAsia="en-AU"/>
              </w:rPr>
              <w:t>,</w:t>
            </w:r>
            <w:r w:rsidRPr="00C84E96">
              <w:rPr>
                <w:color w:val="auto"/>
                <w:lang w:eastAsia="en-AU"/>
              </w:rPr>
              <w:t>003</w:t>
            </w:r>
          </w:p>
        </w:tc>
        <w:tc>
          <w:tcPr>
            <w:tcW w:w="1134" w:type="dxa"/>
            <w:tcBorders>
              <w:top w:val="single" w:sz="4" w:space="0" w:color="auto"/>
              <w:right w:val="single" w:sz="4" w:space="0" w:color="auto"/>
            </w:tcBorders>
            <w:shd w:val="clear" w:color="auto" w:fill="DBE5F1" w:themeFill="accent1" w:themeFillTint="33"/>
            <w:noWrap/>
            <w:vAlign w:val="center"/>
            <w:hideMark/>
          </w:tcPr>
          <w:p w14:paraId="4A5DDFDB"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41</w:t>
            </w:r>
            <w:r w:rsidR="00C002A6" w:rsidRPr="00C84E96">
              <w:rPr>
                <w:b/>
                <w:color w:val="auto"/>
                <w:lang w:eastAsia="en-AU"/>
              </w:rPr>
              <w:t>,</w:t>
            </w:r>
            <w:r w:rsidRPr="00C84E96">
              <w:rPr>
                <w:b/>
                <w:color w:val="auto"/>
                <w:lang w:eastAsia="en-AU"/>
              </w:rPr>
              <w:t>480</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0E61A988"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197</w:t>
            </w:r>
            <w:r w:rsidR="00C002A6" w:rsidRPr="00C84E96">
              <w:rPr>
                <w:b/>
                <w:color w:val="auto"/>
                <w:lang w:eastAsia="en-AU"/>
              </w:rPr>
              <w:t>,</w:t>
            </w:r>
            <w:r w:rsidRPr="00C84E96">
              <w:rPr>
                <w:b/>
                <w:color w:val="auto"/>
                <w:lang w:eastAsia="en-AU"/>
              </w:rPr>
              <w:t>827</w:t>
            </w:r>
          </w:p>
        </w:tc>
        <w:tc>
          <w:tcPr>
            <w:tcW w:w="1134" w:type="dxa"/>
            <w:tcBorders>
              <w:top w:val="single" w:sz="4" w:space="0" w:color="auto"/>
              <w:left w:val="single" w:sz="4" w:space="0" w:color="auto"/>
              <w:right w:val="single" w:sz="4" w:space="0" w:color="auto"/>
            </w:tcBorders>
            <w:shd w:val="clear" w:color="auto" w:fill="DBE5F1" w:themeFill="accent1" w:themeFillTint="33"/>
            <w:vAlign w:val="center"/>
          </w:tcPr>
          <w:p w14:paraId="53B17922"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253%</w:t>
            </w:r>
          </w:p>
        </w:tc>
      </w:tr>
      <w:tr w:rsidR="00A03DC9" w:rsidRPr="00A03DC9" w14:paraId="412FF05E" w14:textId="77777777" w:rsidTr="00F2009E">
        <w:trPr>
          <w:trHeight w:val="264"/>
        </w:trPr>
        <w:tc>
          <w:tcPr>
            <w:cnfStyle w:val="001000000000" w:firstRow="0" w:lastRow="0" w:firstColumn="1" w:lastColumn="0" w:oddVBand="0" w:evenVBand="0" w:oddHBand="0" w:evenHBand="0" w:firstRowFirstColumn="0" w:firstRowLastColumn="0" w:lastRowFirstColumn="0" w:lastRowLastColumn="0"/>
            <w:tcW w:w="1638" w:type="dxa"/>
            <w:tcBorders>
              <w:left w:val="single" w:sz="4" w:space="0" w:color="auto"/>
              <w:right w:val="single" w:sz="4" w:space="0" w:color="auto"/>
            </w:tcBorders>
            <w:noWrap/>
            <w:vAlign w:val="center"/>
            <w:hideMark/>
          </w:tcPr>
          <w:p w14:paraId="1E06F66A" w14:textId="77777777" w:rsidR="00A03DC9" w:rsidRPr="00472921" w:rsidRDefault="00A03DC9" w:rsidP="00CE2FDF">
            <w:pPr>
              <w:spacing w:before="0" w:line="276" w:lineRule="auto"/>
              <w:rPr>
                <w:color w:val="auto"/>
                <w:lang w:eastAsia="en-AU"/>
              </w:rPr>
            </w:pPr>
            <w:r w:rsidRPr="00472921">
              <w:rPr>
                <w:color w:val="auto"/>
                <w:lang w:eastAsia="en-AU"/>
              </w:rPr>
              <w:t>Neglect</w:t>
            </w:r>
          </w:p>
        </w:tc>
        <w:tc>
          <w:tcPr>
            <w:tcW w:w="990" w:type="dxa"/>
            <w:tcBorders>
              <w:left w:val="single" w:sz="4" w:space="0" w:color="auto"/>
            </w:tcBorders>
            <w:noWrap/>
            <w:vAlign w:val="center"/>
            <w:hideMark/>
          </w:tcPr>
          <w:p w14:paraId="0C280AFD"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12</w:t>
            </w:r>
            <w:r w:rsidR="00C002A6" w:rsidRPr="00C84E96">
              <w:rPr>
                <w:color w:val="auto"/>
                <w:lang w:eastAsia="en-AU"/>
              </w:rPr>
              <w:t>,</w:t>
            </w:r>
            <w:r w:rsidRPr="00C84E96">
              <w:rPr>
                <w:color w:val="auto"/>
                <w:lang w:eastAsia="en-AU"/>
              </w:rPr>
              <w:t>029</w:t>
            </w:r>
          </w:p>
        </w:tc>
        <w:tc>
          <w:tcPr>
            <w:tcW w:w="1080" w:type="dxa"/>
            <w:noWrap/>
            <w:vAlign w:val="center"/>
            <w:hideMark/>
          </w:tcPr>
          <w:p w14:paraId="773A5483"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11</w:t>
            </w:r>
            <w:r w:rsidR="00C002A6" w:rsidRPr="00C84E96">
              <w:rPr>
                <w:b/>
                <w:color w:val="auto"/>
                <w:lang w:eastAsia="en-AU"/>
              </w:rPr>
              <w:t>,</w:t>
            </w:r>
            <w:r w:rsidRPr="00C84E96">
              <w:rPr>
                <w:b/>
                <w:color w:val="auto"/>
                <w:lang w:eastAsia="en-AU"/>
              </w:rPr>
              <w:t>702</w:t>
            </w:r>
          </w:p>
        </w:tc>
        <w:tc>
          <w:tcPr>
            <w:tcW w:w="1080" w:type="dxa"/>
            <w:noWrap/>
            <w:vAlign w:val="center"/>
            <w:hideMark/>
          </w:tcPr>
          <w:p w14:paraId="13C9262B"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11</w:t>
            </w:r>
            <w:r w:rsidR="00C002A6" w:rsidRPr="00C84E96">
              <w:rPr>
                <w:color w:val="auto"/>
                <w:lang w:eastAsia="en-AU"/>
              </w:rPr>
              <w:t>,</w:t>
            </w:r>
            <w:r w:rsidRPr="00C84E96">
              <w:rPr>
                <w:color w:val="auto"/>
                <w:lang w:eastAsia="en-AU"/>
              </w:rPr>
              <w:t>295</w:t>
            </w:r>
          </w:p>
        </w:tc>
        <w:tc>
          <w:tcPr>
            <w:tcW w:w="1170" w:type="dxa"/>
            <w:noWrap/>
            <w:vAlign w:val="center"/>
            <w:hideMark/>
          </w:tcPr>
          <w:p w14:paraId="26CA0DC6"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9</w:t>
            </w:r>
            <w:r w:rsidR="00C002A6" w:rsidRPr="00C84E96">
              <w:rPr>
                <w:b/>
                <w:color w:val="auto"/>
                <w:lang w:eastAsia="en-AU"/>
              </w:rPr>
              <w:t>,</w:t>
            </w:r>
            <w:r w:rsidRPr="00C84E96">
              <w:rPr>
                <w:b/>
                <w:color w:val="auto"/>
                <w:lang w:eastAsia="en-AU"/>
              </w:rPr>
              <w:t>625</w:t>
            </w:r>
          </w:p>
        </w:tc>
        <w:tc>
          <w:tcPr>
            <w:tcW w:w="1080" w:type="dxa"/>
            <w:noWrap/>
            <w:vAlign w:val="center"/>
            <w:hideMark/>
          </w:tcPr>
          <w:p w14:paraId="307F29B7"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14</w:t>
            </w:r>
            <w:r w:rsidR="00C002A6" w:rsidRPr="00C84E96">
              <w:rPr>
                <w:color w:val="auto"/>
                <w:lang w:eastAsia="en-AU"/>
              </w:rPr>
              <w:t>,</w:t>
            </w:r>
            <w:r w:rsidRPr="00C84E96">
              <w:rPr>
                <w:color w:val="auto"/>
                <w:lang w:eastAsia="en-AU"/>
              </w:rPr>
              <w:t>778</w:t>
            </w:r>
          </w:p>
        </w:tc>
        <w:tc>
          <w:tcPr>
            <w:tcW w:w="1170" w:type="dxa"/>
            <w:noWrap/>
            <w:vAlign w:val="center"/>
            <w:hideMark/>
          </w:tcPr>
          <w:p w14:paraId="19702195"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8</w:t>
            </w:r>
            <w:r w:rsidR="00C002A6" w:rsidRPr="00C84E96">
              <w:rPr>
                <w:b/>
                <w:color w:val="auto"/>
                <w:lang w:eastAsia="en-AU"/>
              </w:rPr>
              <w:t>,</w:t>
            </w:r>
            <w:r w:rsidRPr="00C84E96">
              <w:rPr>
                <w:b/>
                <w:color w:val="auto"/>
                <w:lang w:eastAsia="en-AU"/>
              </w:rPr>
              <w:t>601</w:t>
            </w:r>
          </w:p>
        </w:tc>
        <w:tc>
          <w:tcPr>
            <w:tcW w:w="1080" w:type="dxa"/>
            <w:noWrap/>
            <w:vAlign w:val="center"/>
            <w:hideMark/>
          </w:tcPr>
          <w:p w14:paraId="7DC50B45"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4</w:t>
            </w:r>
            <w:r w:rsidR="00C002A6" w:rsidRPr="00C84E96">
              <w:rPr>
                <w:color w:val="auto"/>
                <w:lang w:eastAsia="en-AU"/>
              </w:rPr>
              <w:t>,</w:t>
            </w:r>
            <w:r w:rsidRPr="00C84E96">
              <w:rPr>
                <w:color w:val="auto"/>
                <w:lang w:eastAsia="en-AU"/>
              </w:rPr>
              <w:t>057</w:t>
            </w:r>
          </w:p>
        </w:tc>
        <w:tc>
          <w:tcPr>
            <w:tcW w:w="1026" w:type="dxa"/>
            <w:noWrap/>
            <w:vAlign w:val="center"/>
            <w:hideMark/>
          </w:tcPr>
          <w:p w14:paraId="0B4E5479"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4</w:t>
            </w:r>
            <w:r w:rsidR="00C002A6" w:rsidRPr="00C84E96">
              <w:rPr>
                <w:b/>
                <w:color w:val="auto"/>
                <w:lang w:eastAsia="en-AU"/>
              </w:rPr>
              <w:t>,</w:t>
            </w:r>
            <w:r w:rsidRPr="00C84E96">
              <w:rPr>
                <w:b/>
                <w:color w:val="auto"/>
                <w:lang w:eastAsia="en-AU"/>
              </w:rPr>
              <w:t>775</w:t>
            </w:r>
          </w:p>
        </w:tc>
        <w:tc>
          <w:tcPr>
            <w:tcW w:w="1134" w:type="dxa"/>
            <w:noWrap/>
            <w:vAlign w:val="center"/>
            <w:hideMark/>
          </w:tcPr>
          <w:p w14:paraId="570B69EA"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5</w:t>
            </w:r>
            <w:r w:rsidR="00C002A6" w:rsidRPr="00C84E96">
              <w:rPr>
                <w:color w:val="auto"/>
                <w:lang w:eastAsia="en-AU"/>
              </w:rPr>
              <w:t>,</w:t>
            </w:r>
            <w:r w:rsidRPr="00C84E96">
              <w:rPr>
                <w:color w:val="auto"/>
                <w:lang w:eastAsia="en-AU"/>
              </w:rPr>
              <w:t>675</w:t>
            </w:r>
          </w:p>
        </w:tc>
        <w:tc>
          <w:tcPr>
            <w:tcW w:w="1134" w:type="dxa"/>
            <w:tcBorders>
              <w:right w:val="single" w:sz="4" w:space="0" w:color="auto"/>
            </w:tcBorders>
            <w:noWrap/>
            <w:vAlign w:val="center"/>
            <w:hideMark/>
          </w:tcPr>
          <w:p w14:paraId="6BEB2C8B"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4</w:t>
            </w:r>
            <w:r w:rsidR="00C002A6" w:rsidRPr="00C84E96">
              <w:rPr>
                <w:b/>
                <w:color w:val="auto"/>
                <w:lang w:eastAsia="en-AU"/>
              </w:rPr>
              <w:t>,</w:t>
            </w:r>
            <w:r w:rsidRPr="00C84E96">
              <w:rPr>
                <w:b/>
                <w:color w:val="auto"/>
                <w:lang w:eastAsia="en-AU"/>
              </w:rPr>
              <w:t>902</w:t>
            </w:r>
          </w:p>
        </w:tc>
        <w:tc>
          <w:tcPr>
            <w:tcW w:w="1134" w:type="dxa"/>
            <w:tcBorders>
              <w:left w:val="single" w:sz="4" w:space="0" w:color="auto"/>
              <w:right w:val="single" w:sz="4" w:space="0" w:color="auto"/>
            </w:tcBorders>
            <w:noWrap/>
            <w:vAlign w:val="center"/>
            <w:hideMark/>
          </w:tcPr>
          <w:p w14:paraId="3818B7F9"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87</w:t>
            </w:r>
            <w:r w:rsidR="00C002A6" w:rsidRPr="00C84E96">
              <w:rPr>
                <w:b/>
                <w:color w:val="auto"/>
                <w:lang w:eastAsia="en-AU"/>
              </w:rPr>
              <w:t>,</w:t>
            </w:r>
            <w:r w:rsidRPr="00C84E96">
              <w:rPr>
                <w:b/>
                <w:color w:val="auto"/>
                <w:lang w:eastAsia="en-AU"/>
              </w:rPr>
              <w:t>439</w:t>
            </w:r>
          </w:p>
        </w:tc>
        <w:tc>
          <w:tcPr>
            <w:tcW w:w="1134" w:type="dxa"/>
            <w:tcBorders>
              <w:left w:val="single" w:sz="4" w:space="0" w:color="auto"/>
              <w:right w:val="single" w:sz="4" w:space="0" w:color="auto"/>
            </w:tcBorders>
            <w:vAlign w:val="center"/>
          </w:tcPr>
          <w:p w14:paraId="27569F74"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-59%</w:t>
            </w:r>
          </w:p>
        </w:tc>
      </w:tr>
      <w:tr w:rsidR="006360A3" w:rsidRPr="00A03DC9" w14:paraId="04A5DBF4" w14:textId="77777777" w:rsidTr="00F2009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38" w:type="dxa"/>
            <w:tcBorders>
              <w:left w:val="single" w:sz="4" w:space="0" w:color="auto"/>
              <w:bottom w:val="nil"/>
              <w:right w:val="single" w:sz="4" w:space="0" w:color="auto"/>
            </w:tcBorders>
            <w:shd w:val="clear" w:color="auto" w:fill="DBE5F1" w:themeFill="accent1" w:themeFillTint="33"/>
            <w:noWrap/>
            <w:vAlign w:val="center"/>
            <w:hideMark/>
          </w:tcPr>
          <w:p w14:paraId="67252E12" w14:textId="77777777" w:rsidR="00A03DC9" w:rsidRPr="00472921" w:rsidRDefault="00A03DC9" w:rsidP="00CE2FDF">
            <w:pPr>
              <w:spacing w:before="0" w:line="276" w:lineRule="auto"/>
              <w:rPr>
                <w:color w:val="auto"/>
                <w:lang w:eastAsia="en-AU"/>
              </w:rPr>
            </w:pPr>
            <w:r w:rsidRPr="00472921">
              <w:rPr>
                <w:color w:val="auto"/>
                <w:lang w:eastAsia="en-AU"/>
              </w:rPr>
              <w:t>Physical abuse</w:t>
            </w:r>
          </w:p>
        </w:tc>
        <w:tc>
          <w:tcPr>
            <w:tcW w:w="990" w:type="dxa"/>
            <w:tcBorders>
              <w:left w:val="single" w:sz="4" w:space="0" w:color="auto"/>
              <w:bottom w:val="nil"/>
            </w:tcBorders>
            <w:shd w:val="clear" w:color="auto" w:fill="DBE5F1" w:themeFill="accent1" w:themeFillTint="33"/>
            <w:noWrap/>
            <w:vAlign w:val="center"/>
            <w:hideMark/>
          </w:tcPr>
          <w:p w14:paraId="18656645"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9</w:t>
            </w:r>
            <w:r w:rsidR="00C002A6" w:rsidRPr="00C84E96">
              <w:rPr>
                <w:color w:val="auto"/>
                <w:lang w:eastAsia="en-AU"/>
              </w:rPr>
              <w:t>,</w:t>
            </w:r>
            <w:r w:rsidRPr="00C84E96">
              <w:rPr>
                <w:color w:val="auto"/>
                <w:lang w:eastAsia="en-AU"/>
              </w:rPr>
              <w:t>048</w:t>
            </w:r>
          </w:p>
        </w:tc>
        <w:tc>
          <w:tcPr>
            <w:tcW w:w="1080" w:type="dxa"/>
            <w:tcBorders>
              <w:bottom w:val="nil"/>
            </w:tcBorders>
            <w:shd w:val="clear" w:color="auto" w:fill="DBE5F1" w:themeFill="accent1" w:themeFillTint="33"/>
            <w:noWrap/>
            <w:vAlign w:val="center"/>
            <w:hideMark/>
          </w:tcPr>
          <w:p w14:paraId="051136F8"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9</w:t>
            </w:r>
            <w:r w:rsidR="00C002A6" w:rsidRPr="00C84E96">
              <w:rPr>
                <w:b/>
                <w:color w:val="auto"/>
                <w:lang w:eastAsia="en-AU"/>
              </w:rPr>
              <w:t>,</w:t>
            </w:r>
            <w:r w:rsidRPr="00C84E96">
              <w:rPr>
                <w:b/>
                <w:color w:val="auto"/>
                <w:lang w:eastAsia="en-AU"/>
              </w:rPr>
              <w:t>697</w:t>
            </w:r>
          </w:p>
        </w:tc>
        <w:tc>
          <w:tcPr>
            <w:tcW w:w="1080" w:type="dxa"/>
            <w:tcBorders>
              <w:bottom w:val="nil"/>
            </w:tcBorders>
            <w:shd w:val="clear" w:color="auto" w:fill="DBE5F1" w:themeFill="accent1" w:themeFillTint="33"/>
            <w:noWrap/>
            <w:vAlign w:val="center"/>
            <w:hideMark/>
          </w:tcPr>
          <w:p w14:paraId="007669AA"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8</w:t>
            </w:r>
            <w:r w:rsidR="00C002A6" w:rsidRPr="00C84E96">
              <w:rPr>
                <w:color w:val="auto"/>
                <w:lang w:eastAsia="en-AU"/>
              </w:rPr>
              <w:t>,</w:t>
            </w:r>
            <w:r w:rsidRPr="00C84E96">
              <w:rPr>
                <w:color w:val="auto"/>
                <w:lang w:eastAsia="en-AU"/>
              </w:rPr>
              <w:t>930</w:t>
            </w:r>
          </w:p>
        </w:tc>
        <w:tc>
          <w:tcPr>
            <w:tcW w:w="1170" w:type="dxa"/>
            <w:tcBorders>
              <w:bottom w:val="nil"/>
            </w:tcBorders>
            <w:shd w:val="clear" w:color="auto" w:fill="DBE5F1" w:themeFill="accent1" w:themeFillTint="33"/>
            <w:noWrap/>
            <w:vAlign w:val="center"/>
            <w:hideMark/>
          </w:tcPr>
          <w:p w14:paraId="59C0609E"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10</w:t>
            </w:r>
            <w:r w:rsidR="00C002A6" w:rsidRPr="00C84E96">
              <w:rPr>
                <w:b/>
                <w:color w:val="auto"/>
                <w:lang w:eastAsia="en-AU"/>
              </w:rPr>
              <w:t>,</w:t>
            </w:r>
            <w:r w:rsidRPr="00C84E96">
              <w:rPr>
                <w:b/>
                <w:color w:val="auto"/>
                <w:lang w:eastAsia="en-AU"/>
              </w:rPr>
              <w:t>382</w:t>
            </w:r>
          </w:p>
        </w:tc>
        <w:tc>
          <w:tcPr>
            <w:tcW w:w="1080" w:type="dxa"/>
            <w:tcBorders>
              <w:bottom w:val="nil"/>
            </w:tcBorders>
            <w:shd w:val="clear" w:color="auto" w:fill="DBE5F1" w:themeFill="accent1" w:themeFillTint="33"/>
            <w:noWrap/>
            <w:vAlign w:val="center"/>
            <w:hideMark/>
          </w:tcPr>
          <w:p w14:paraId="444780A4"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10</w:t>
            </w:r>
            <w:r w:rsidR="00C002A6" w:rsidRPr="00C84E96">
              <w:rPr>
                <w:color w:val="auto"/>
                <w:lang w:eastAsia="en-AU"/>
              </w:rPr>
              <w:t>,</w:t>
            </w:r>
            <w:r w:rsidRPr="00C84E96">
              <w:rPr>
                <w:color w:val="auto"/>
                <w:lang w:eastAsia="en-AU"/>
              </w:rPr>
              <w:t>203</w:t>
            </w:r>
          </w:p>
        </w:tc>
        <w:tc>
          <w:tcPr>
            <w:tcW w:w="1170" w:type="dxa"/>
            <w:tcBorders>
              <w:bottom w:val="nil"/>
            </w:tcBorders>
            <w:shd w:val="clear" w:color="auto" w:fill="DBE5F1" w:themeFill="accent1" w:themeFillTint="33"/>
            <w:noWrap/>
            <w:vAlign w:val="center"/>
            <w:hideMark/>
          </w:tcPr>
          <w:p w14:paraId="061EE075"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12</w:t>
            </w:r>
            <w:r w:rsidR="00C002A6" w:rsidRPr="00C84E96">
              <w:rPr>
                <w:b/>
                <w:color w:val="auto"/>
                <w:lang w:eastAsia="en-AU"/>
              </w:rPr>
              <w:t>,</w:t>
            </w:r>
            <w:r w:rsidRPr="00C84E96">
              <w:rPr>
                <w:b/>
                <w:color w:val="auto"/>
                <w:lang w:eastAsia="en-AU"/>
              </w:rPr>
              <w:t>887</w:t>
            </w:r>
          </w:p>
        </w:tc>
        <w:tc>
          <w:tcPr>
            <w:tcW w:w="1080" w:type="dxa"/>
            <w:tcBorders>
              <w:bottom w:val="nil"/>
            </w:tcBorders>
            <w:shd w:val="clear" w:color="auto" w:fill="DBE5F1" w:themeFill="accent1" w:themeFillTint="33"/>
            <w:noWrap/>
            <w:vAlign w:val="center"/>
            <w:hideMark/>
          </w:tcPr>
          <w:p w14:paraId="6995A9EA"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14</w:t>
            </w:r>
            <w:r w:rsidR="00C002A6" w:rsidRPr="00C84E96">
              <w:rPr>
                <w:color w:val="auto"/>
                <w:lang w:eastAsia="en-AU"/>
              </w:rPr>
              <w:t>,</w:t>
            </w:r>
            <w:r w:rsidRPr="00C84E96">
              <w:rPr>
                <w:color w:val="auto"/>
                <w:lang w:eastAsia="en-AU"/>
              </w:rPr>
              <w:t>781</w:t>
            </w:r>
          </w:p>
        </w:tc>
        <w:tc>
          <w:tcPr>
            <w:tcW w:w="1026" w:type="dxa"/>
            <w:tcBorders>
              <w:bottom w:val="nil"/>
            </w:tcBorders>
            <w:shd w:val="clear" w:color="auto" w:fill="DBE5F1" w:themeFill="accent1" w:themeFillTint="33"/>
            <w:noWrap/>
            <w:vAlign w:val="center"/>
            <w:hideMark/>
          </w:tcPr>
          <w:p w14:paraId="2DA465CD"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15</w:t>
            </w:r>
            <w:r w:rsidR="00C002A6" w:rsidRPr="00C84E96">
              <w:rPr>
                <w:b/>
                <w:color w:val="auto"/>
                <w:lang w:eastAsia="en-AU"/>
              </w:rPr>
              <w:t>,</w:t>
            </w:r>
            <w:r w:rsidRPr="00C84E96">
              <w:rPr>
                <w:b/>
                <w:color w:val="auto"/>
                <w:lang w:eastAsia="en-AU"/>
              </w:rPr>
              <w:t>050</w:t>
            </w:r>
          </w:p>
        </w:tc>
        <w:tc>
          <w:tcPr>
            <w:tcW w:w="1134" w:type="dxa"/>
            <w:tcBorders>
              <w:bottom w:val="nil"/>
            </w:tcBorders>
            <w:shd w:val="clear" w:color="auto" w:fill="DBE5F1" w:themeFill="accent1" w:themeFillTint="33"/>
            <w:noWrap/>
            <w:vAlign w:val="center"/>
            <w:hideMark/>
          </w:tcPr>
          <w:p w14:paraId="16E2439D"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13</w:t>
            </w:r>
            <w:r w:rsidR="00C002A6" w:rsidRPr="00C84E96">
              <w:rPr>
                <w:color w:val="auto"/>
                <w:lang w:eastAsia="en-AU"/>
              </w:rPr>
              <w:t>,</w:t>
            </w:r>
            <w:r w:rsidRPr="00C84E96">
              <w:rPr>
                <w:color w:val="auto"/>
                <w:lang w:eastAsia="en-AU"/>
              </w:rPr>
              <w:t>989</w:t>
            </w:r>
          </w:p>
        </w:tc>
        <w:tc>
          <w:tcPr>
            <w:tcW w:w="1134" w:type="dxa"/>
            <w:tcBorders>
              <w:bottom w:val="nil"/>
              <w:right w:val="single" w:sz="4" w:space="0" w:color="auto"/>
            </w:tcBorders>
            <w:shd w:val="clear" w:color="auto" w:fill="DBE5F1" w:themeFill="accent1" w:themeFillTint="33"/>
            <w:noWrap/>
            <w:vAlign w:val="center"/>
            <w:hideMark/>
          </w:tcPr>
          <w:p w14:paraId="0148A539"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14</w:t>
            </w:r>
            <w:r w:rsidR="00C002A6" w:rsidRPr="00C84E96">
              <w:rPr>
                <w:b/>
                <w:color w:val="auto"/>
                <w:lang w:eastAsia="en-AU"/>
              </w:rPr>
              <w:t>,</w:t>
            </w:r>
            <w:r w:rsidRPr="00C84E96">
              <w:rPr>
                <w:b/>
                <w:color w:val="auto"/>
                <w:lang w:eastAsia="en-AU"/>
              </w:rPr>
              <w:t>919</w:t>
            </w:r>
          </w:p>
        </w:tc>
        <w:tc>
          <w:tcPr>
            <w:tcW w:w="1134" w:type="dxa"/>
            <w:tcBorders>
              <w:left w:val="single" w:sz="4" w:space="0" w:color="auto"/>
              <w:bottom w:val="nil"/>
              <w:right w:val="single" w:sz="4" w:space="0" w:color="auto"/>
            </w:tcBorders>
            <w:shd w:val="clear" w:color="auto" w:fill="DBE5F1" w:themeFill="accent1" w:themeFillTint="33"/>
            <w:noWrap/>
            <w:vAlign w:val="center"/>
            <w:hideMark/>
          </w:tcPr>
          <w:p w14:paraId="5AF71E3F"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119</w:t>
            </w:r>
            <w:r w:rsidR="00C002A6" w:rsidRPr="00C84E96">
              <w:rPr>
                <w:b/>
                <w:color w:val="auto"/>
                <w:lang w:eastAsia="en-AU"/>
              </w:rPr>
              <w:t>,</w:t>
            </w:r>
            <w:r w:rsidRPr="00C84E96">
              <w:rPr>
                <w:b/>
                <w:color w:val="auto"/>
                <w:lang w:eastAsia="en-AU"/>
              </w:rPr>
              <w:t>886</w:t>
            </w:r>
          </w:p>
        </w:tc>
        <w:tc>
          <w:tcPr>
            <w:tcW w:w="1134" w:type="dxa"/>
            <w:tcBorders>
              <w:left w:val="single" w:sz="4" w:space="0" w:color="auto"/>
              <w:bottom w:val="nil"/>
              <w:right w:val="single" w:sz="4" w:space="0" w:color="auto"/>
            </w:tcBorders>
            <w:shd w:val="clear" w:color="auto" w:fill="DBE5F1" w:themeFill="accent1" w:themeFillTint="33"/>
            <w:vAlign w:val="center"/>
          </w:tcPr>
          <w:p w14:paraId="55504CF9"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C84E96">
              <w:rPr>
                <w:color w:val="auto"/>
                <w:lang w:eastAsia="en-AU"/>
              </w:rPr>
              <w:t>65%</w:t>
            </w:r>
          </w:p>
        </w:tc>
      </w:tr>
      <w:tr w:rsidR="00A03DC9" w:rsidRPr="00A03DC9" w14:paraId="609F6F87" w14:textId="77777777" w:rsidTr="00F2009E">
        <w:trPr>
          <w:trHeight w:val="264"/>
        </w:trPr>
        <w:tc>
          <w:tcPr>
            <w:cnfStyle w:val="001000000000" w:firstRow="0" w:lastRow="0" w:firstColumn="1" w:lastColumn="0" w:oddVBand="0" w:evenVBand="0" w:oddHBand="0" w:evenHBand="0" w:firstRowFirstColumn="0" w:firstRowLastColumn="0" w:lastRowFirstColumn="0" w:lastRowLastColumn="0"/>
            <w:tcW w:w="1638" w:type="dxa"/>
            <w:tcBorders>
              <w:top w:val="nil"/>
              <w:left w:val="single" w:sz="4" w:space="0" w:color="auto"/>
              <w:bottom w:val="single" w:sz="4" w:space="0" w:color="auto"/>
              <w:right w:val="single" w:sz="4" w:space="0" w:color="auto"/>
            </w:tcBorders>
            <w:noWrap/>
            <w:vAlign w:val="center"/>
            <w:hideMark/>
          </w:tcPr>
          <w:p w14:paraId="69F3DDE7" w14:textId="77777777" w:rsidR="00A03DC9" w:rsidRPr="00472921" w:rsidRDefault="00A03DC9" w:rsidP="00CE2FDF">
            <w:pPr>
              <w:spacing w:before="0" w:line="276" w:lineRule="auto"/>
              <w:rPr>
                <w:color w:val="auto"/>
                <w:lang w:eastAsia="en-AU"/>
              </w:rPr>
            </w:pPr>
            <w:r w:rsidRPr="00472921">
              <w:rPr>
                <w:color w:val="auto"/>
                <w:lang w:eastAsia="en-AU"/>
              </w:rPr>
              <w:t>Sexual abuse</w:t>
            </w:r>
          </w:p>
        </w:tc>
        <w:tc>
          <w:tcPr>
            <w:tcW w:w="990" w:type="dxa"/>
            <w:tcBorders>
              <w:top w:val="nil"/>
              <w:left w:val="single" w:sz="4" w:space="0" w:color="auto"/>
              <w:bottom w:val="single" w:sz="4" w:space="0" w:color="auto"/>
            </w:tcBorders>
            <w:noWrap/>
            <w:vAlign w:val="center"/>
            <w:hideMark/>
          </w:tcPr>
          <w:p w14:paraId="4B94E4F2"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4</w:t>
            </w:r>
            <w:r w:rsidR="00C002A6" w:rsidRPr="00C84E96">
              <w:rPr>
                <w:color w:val="auto"/>
                <w:lang w:eastAsia="en-AU"/>
              </w:rPr>
              <w:t>,</w:t>
            </w:r>
            <w:r w:rsidRPr="00C84E96">
              <w:rPr>
                <w:color w:val="auto"/>
                <w:lang w:eastAsia="en-AU"/>
              </w:rPr>
              <w:t>441</w:t>
            </w:r>
          </w:p>
        </w:tc>
        <w:tc>
          <w:tcPr>
            <w:tcW w:w="1080" w:type="dxa"/>
            <w:tcBorders>
              <w:top w:val="nil"/>
              <w:bottom w:val="single" w:sz="4" w:space="0" w:color="auto"/>
            </w:tcBorders>
            <w:noWrap/>
            <w:vAlign w:val="center"/>
            <w:hideMark/>
          </w:tcPr>
          <w:p w14:paraId="2A2005B0"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4</w:t>
            </w:r>
            <w:r w:rsidR="00C002A6" w:rsidRPr="00C84E96">
              <w:rPr>
                <w:b/>
                <w:color w:val="auto"/>
                <w:lang w:eastAsia="en-AU"/>
              </w:rPr>
              <w:t>,</w:t>
            </w:r>
            <w:r w:rsidRPr="00C84E96">
              <w:rPr>
                <w:b/>
                <w:color w:val="auto"/>
                <w:lang w:eastAsia="en-AU"/>
              </w:rPr>
              <w:t>632</w:t>
            </w:r>
          </w:p>
        </w:tc>
        <w:tc>
          <w:tcPr>
            <w:tcW w:w="1080" w:type="dxa"/>
            <w:tcBorders>
              <w:top w:val="nil"/>
              <w:bottom w:val="single" w:sz="4" w:space="0" w:color="auto"/>
            </w:tcBorders>
            <w:noWrap/>
            <w:vAlign w:val="center"/>
            <w:hideMark/>
          </w:tcPr>
          <w:p w14:paraId="2986E863"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4</w:t>
            </w:r>
            <w:r w:rsidR="00C002A6" w:rsidRPr="00C84E96">
              <w:rPr>
                <w:color w:val="auto"/>
                <w:lang w:eastAsia="en-AU"/>
              </w:rPr>
              <w:t>,</w:t>
            </w:r>
            <w:r w:rsidRPr="00C84E96">
              <w:rPr>
                <w:color w:val="auto"/>
                <w:lang w:eastAsia="en-AU"/>
              </w:rPr>
              <w:t>527</w:t>
            </w:r>
          </w:p>
        </w:tc>
        <w:tc>
          <w:tcPr>
            <w:tcW w:w="1170" w:type="dxa"/>
            <w:tcBorders>
              <w:top w:val="nil"/>
              <w:bottom w:val="single" w:sz="4" w:space="0" w:color="auto"/>
            </w:tcBorders>
            <w:noWrap/>
            <w:vAlign w:val="center"/>
            <w:hideMark/>
          </w:tcPr>
          <w:p w14:paraId="378DE154"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4</w:t>
            </w:r>
            <w:r w:rsidR="00C002A6" w:rsidRPr="00C84E96">
              <w:rPr>
                <w:b/>
                <w:color w:val="auto"/>
                <w:lang w:eastAsia="en-AU"/>
              </w:rPr>
              <w:t>,</w:t>
            </w:r>
            <w:r w:rsidRPr="00C84E96">
              <w:rPr>
                <w:b/>
                <w:color w:val="auto"/>
                <w:lang w:eastAsia="en-AU"/>
              </w:rPr>
              <w:t>474</w:t>
            </w:r>
          </w:p>
        </w:tc>
        <w:tc>
          <w:tcPr>
            <w:tcW w:w="1080" w:type="dxa"/>
            <w:tcBorders>
              <w:top w:val="nil"/>
              <w:bottom w:val="single" w:sz="4" w:space="0" w:color="auto"/>
            </w:tcBorders>
            <w:noWrap/>
            <w:vAlign w:val="center"/>
            <w:hideMark/>
          </w:tcPr>
          <w:p w14:paraId="590A124E"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3</w:t>
            </w:r>
            <w:r w:rsidR="00C002A6" w:rsidRPr="00C84E96">
              <w:rPr>
                <w:color w:val="auto"/>
                <w:lang w:eastAsia="en-AU"/>
              </w:rPr>
              <w:t>,</w:t>
            </w:r>
            <w:r w:rsidRPr="00C84E96">
              <w:rPr>
                <w:color w:val="auto"/>
                <w:lang w:eastAsia="en-AU"/>
              </w:rPr>
              <w:t>113</w:t>
            </w:r>
          </w:p>
        </w:tc>
        <w:tc>
          <w:tcPr>
            <w:tcW w:w="1170" w:type="dxa"/>
            <w:tcBorders>
              <w:top w:val="nil"/>
              <w:bottom w:val="single" w:sz="4" w:space="0" w:color="auto"/>
            </w:tcBorders>
            <w:noWrap/>
            <w:vAlign w:val="center"/>
            <w:hideMark/>
          </w:tcPr>
          <w:p w14:paraId="726D1C6A"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4</w:t>
            </w:r>
            <w:r w:rsidR="00C002A6" w:rsidRPr="00C84E96">
              <w:rPr>
                <w:b/>
                <w:color w:val="auto"/>
                <w:lang w:eastAsia="en-AU"/>
              </w:rPr>
              <w:t>,</w:t>
            </w:r>
            <w:r w:rsidRPr="00C84E96">
              <w:rPr>
                <w:b/>
                <w:color w:val="auto"/>
                <w:lang w:eastAsia="en-AU"/>
              </w:rPr>
              <w:t>126</w:t>
            </w:r>
          </w:p>
        </w:tc>
        <w:tc>
          <w:tcPr>
            <w:tcW w:w="1080" w:type="dxa"/>
            <w:tcBorders>
              <w:top w:val="nil"/>
              <w:bottom w:val="single" w:sz="4" w:space="0" w:color="auto"/>
            </w:tcBorders>
            <w:noWrap/>
            <w:vAlign w:val="center"/>
            <w:hideMark/>
          </w:tcPr>
          <w:p w14:paraId="5EE805CB"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4</w:t>
            </w:r>
            <w:r w:rsidR="00C002A6" w:rsidRPr="00C84E96">
              <w:rPr>
                <w:color w:val="auto"/>
                <w:lang w:eastAsia="en-AU"/>
              </w:rPr>
              <w:t>,</w:t>
            </w:r>
            <w:r w:rsidRPr="00C84E96">
              <w:rPr>
                <w:color w:val="auto"/>
                <w:lang w:eastAsia="en-AU"/>
              </w:rPr>
              <w:t>173</w:t>
            </w:r>
          </w:p>
        </w:tc>
        <w:tc>
          <w:tcPr>
            <w:tcW w:w="1026" w:type="dxa"/>
            <w:tcBorders>
              <w:top w:val="nil"/>
              <w:bottom w:val="single" w:sz="4" w:space="0" w:color="auto"/>
            </w:tcBorders>
            <w:noWrap/>
            <w:vAlign w:val="center"/>
            <w:hideMark/>
          </w:tcPr>
          <w:p w14:paraId="06331D2F"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5</w:t>
            </w:r>
            <w:r w:rsidR="00C002A6" w:rsidRPr="00C84E96">
              <w:rPr>
                <w:b/>
                <w:color w:val="auto"/>
                <w:lang w:eastAsia="en-AU"/>
              </w:rPr>
              <w:t>,</w:t>
            </w:r>
            <w:r w:rsidRPr="00C84E96">
              <w:rPr>
                <w:b/>
                <w:color w:val="auto"/>
                <w:lang w:eastAsia="en-AU"/>
              </w:rPr>
              <w:t>870</w:t>
            </w:r>
          </w:p>
        </w:tc>
        <w:tc>
          <w:tcPr>
            <w:tcW w:w="1134" w:type="dxa"/>
            <w:tcBorders>
              <w:top w:val="nil"/>
              <w:bottom w:val="single" w:sz="4" w:space="0" w:color="auto"/>
            </w:tcBorders>
            <w:noWrap/>
            <w:vAlign w:val="center"/>
            <w:hideMark/>
          </w:tcPr>
          <w:p w14:paraId="71F33EC8"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6</w:t>
            </w:r>
            <w:r w:rsidR="00C002A6" w:rsidRPr="00C84E96">
              <w:rPr>
                <w:color w:val="auto"/>
                <w:lang w:eastAsia="en-AU"/>
              </w:rPr>
              <w:t>,</w:t>
            </w:r>
            <w:r w:rsidRPr="00C84E96">
              <w:rPr>
                <w:color w:val="auto"/>
                <w:lang w:eastAsia="en-AU"/>
              </w:rPr>
              <w:t>265</w:t>
            </w:r>
          </w:p>
        </w:tc>
        <w:tc>
          <w:tcPr>
            <w:tcW w:w="1134" w:type="dxa"/>
            <w:tcBorders>
              <w:top w:val="nil"/>
              <w:bottom w:val="single" w:sz="4" w:space="0" w:color="auto"/>
              <w:right w:val="single" w:sz="4" w:space="0" w:color="auto"/>
            </w:tcBorders>
            <w:noWrap/>
            <w:vAlign w:val="center"/>
            <w:hideMark/>
          </w:tcPr>
          <w:p w14:paraId="1BBC6D07"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7</w:t>
            </w:r>
            <w:r w:rsidR="00C002A6" w:rsidRPr="00C84E96">
              <w:rPr>
                <w:b/>
                <w:color w:val="auto"/>
                <w:lang w:eastAsia="en-AU"/>
              </w:rPr>
              <w:t>,</w:t>
            </w:r>
            <w:r w:rsidRPr="00C84E96">
              <w:rPr>
                <w:b/>
                <w:color w:val="auto"/>
                <w:lang w:eastAsia="en-AU"/>
              </w:rPr>
              <w:t>347</w:t>
            </w:r>
          </w:p>
        </w:tc>
        <w:tc>
          <w:tcPr>
            <w:tcW w:w="1134" w:type="dxa"/>
            <w:tcBorders>
              <w:top w:val="nil"/>
              <w:left w:val="single" w:sz="4" w:space="0" w:color="auto"/>
              <w:bottom w:val="single" w:sz="4" w:space="0" w:color="auto"/>
              <w:right w:val="single" w:sz="4" w:space="0" w:color="auto"/>
            </w:tcBorders>
            <w:noWrap/>
            <w:vAlign w:val="center"/>
            <w:hideMark/>
          </w:tcPr>
          <w:p w14:paraId="26AF6E73"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lang w:eastAsia="en-AU"/>
              </w:rPr>
            </w:pPr>
            <w:r w:rsidRPr="00C84E96">
              <w:rPr>
                <w:b/>
                <w:color w:val="auto"/>
                <w:lang w:eastAsia="en-AU"/>
              </w:rPr>
              <w:t>48</w:t>
            </w:r>
            <w:r w:rsidR="00C002A6" w:rsidRPr="00C84E96">
              <w:rPr>
                <w:b/>
                <w:color w:val="auto"/>
                <w:lang w:eastAsia="en-AU"/>
              </w:rPr>
              <w:t>,</w:t>
            </w:r>
            <w:r w:rsidRPr="00C84E96">
              <w:rPr>
                <w:b/>
                <w:color w:val="auto"/>
                <w:lang w:eastAsia="en-AU"/>
              </w:rPr>
              <w:t>968</w:t>
            </w:r>
          </w:p>
        </w:tc>
        <w:tc>
          <w:tcPr>
            <w:tcW w:w="1134" w:type="dxa"/>
            <w:tcBorders>
              <w:top w:val="nil"/>
              <w:left w:val="single" w:sz="4" w:space="0" w:color="auto"/>
              <w:bottom w:val="single" w:sz="4" w:space="0" w:color="auto"/>
              <w:right w:val="single" w:sz="4" w:space="0" w:color="auto"/>
            </w:tcBorders>
            <w:vAlign w:val="center"/>
          </w:tcPr>
          <w:p w14:paraId="332D0181" w14:textId="77777777" w:rsidR="00A03DC9" w:rsidRPr="00C84E96" w:rsidRDefault="00A03DC9"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C84E96">
              <w:rPr>
                <w:color w:val="auto"/>
                <w:lang w:eastAsia="en-AU"/>
              </w:rPr>
              <w:t>65%</w:t>
            </w:r>
          </w:p>
        </w:tc>
      </w:tr>
      <w:tr w:rsidR="00A03DC9" w:rsidRPr="00A03DC9" w14:paraId="4AA69FA9" w14:textId="77777777" w:rsidTr="00F2009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left w:val="single" w:sz="4" w:space="0" w:color="auto"/>
              <w:bottom w:val="single" w:sz="4" w:space="0" w:color="auto"/>
              <w:right w:val="single" w:sz="4" w:space="0" w:color="auto"/>
            </w:tcBorders>
            <w:noWrap/>
            <w:vAlign w:val="center"/>
            <w:hideMark/>
          </w:tcPr>
          <w:p w14:paraId="5F867AB0" w14:textId="77777777" w:rsidR="00A03DC9" w:rsidRPr="00472921" w:rsidRDefault="00A03DC9" w:rsidP="00CE2FDF">
            <w:pPr>
              <w:spacing w:before="0" w:line="276" w:lineRule="auto"/>
              <w:rPr>
                <w:color w:val="auto"/>
                <w:lang w:eastAsia="en-AU"/>
              </w:rPr>
            </w:pPr>
            <w:r w:rsidRPr="00472921">
              <w:rPr>
                <w:color w:val="auto"/>
                <w:lang w:eastAsia="en-AU"/>
              </w:rPr>
              <w:t>Totals:</w:t>
            </w:r>
          </w:p>
        </w:tc>
        <w:tc>
          <w:tcPr>
            <w:tcW w:w="990" w:type="dxa"/>
            <w:tcBorders>
              <w:top w:val="single" w:sz="4" w:space="0" w:color="auto"/>
              <w:left w:val="single" w:sz="4" w:space="0" w:color="auto"/>
              <w:bottom w:val="single" w:sz="4" w:space="0" w:color="auto"/>
            </w:tcBorders>
            <w:noWrap/>
            <w:vAlign w:val="center"/>
            <w:hideMark/>
          </w:tcPr>
          <w:p w14:paraId="451D9A50"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37</w:t>
            </w:r>
            <w:r w:rsidR="00C002A6" w:rsidRPr="00C84E96">
              <w:rPr>
                <w:b/>
                <w:color w:val="auto"/>
                <w:lang w:eastAsia="en-AU"/>
              </w:rPr>
              <w:t>,</w:t>
            </w:r>
            <w:r w:rsidRPr="00C84E96">
              <w:rPr>
                <w:b/>
                <w:color w:val="auto"/>
                <w:lang w:eastAsia="en-AU"/>
              </w:rPr>
              <w:t>267</w:t>
            </w:r>
          </w:p>
        </w:tc>
        <w:tc>
          <w:tcPr>
            <w:tcW w:w="1080" w:type="dxa"/>
            <w:tcBorders>
              <w:top w:val="single" w:sz="4" w:space="0" w:color="auto"/>
              <w:bottom w:val="single" w:sz="4" w:space="0" w:color="auto"/>
            </w:tcBorders>
            <w:noWrap/>
            <w:vAlign w:val="center"/>
            <w:hideMark/>
          </w:tcPr>
          <w:p w14:paraId="1BB5C9E1"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37</w:t>
            </w:r>
            <w:r w:rsidR="00C002A6" w:rsidRPr="00C84E96">
              <w:rPr>
                <w:b/>
                <w:color w:val="auto"/>
                <w:lang w:eastAsia="en-AU"/>
              </w:rPr>
              <w:t>,</w:t>
            </w:r>
            <w:r w:rsidRPr="00C84E96">
              <w:rPr>
                <w:b/>
                <w:color w:val="auto"/>
                <w:lang w:eastAsia="en-AU"/>
              </w:rPr>
              <w:t>649</w:t>
            </w:r>
          </w:p>
        </w:tc>
        <w:tc>
          <w:tcPr>
            <w:tcW w:w="1080" w:type="dxa"/>
            <w:tcBorders>
              <w:top w:val="single" w:sz="4" w:space="0" w:color="auto"/>
              <w:bottom w:val="single" w:sz="4" w:space="0" w:color="auto"/>
            </w:tcBorders>
            <w:noWrap/>
            <w:vAlign w:val="center"/>
            <w:hideMark/>
          </w:tcPr>
          <w:p w14:paraId="280E75E9"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36</w:t>
            </w:r>
            <w:r w:rsidR="00C002A6" w:rsidRPr="00C84E96">
              <w:rPr>
                <w:b/>
                <w:color w:val="auto"/>
                <w:lang w:eastAsia="en-AU"/>
              </w:rPr>
              <w:t>,</w:t>
            </w:r>
            <w:r w:rsidRPr="00C84E96">
              <w:rPr>
                <w:b/>
                <w:color w:val="auto"/>
                <w:lang w:eastAsia="en-AU"/>
              </w:rPr>
              <w:t>657</w:t>
            </w:r>
          </w:p>
        </w:tc>
        <w:tc>
          <w:tcPr>
            <w:tcW w:w="1170" w:type="dxa"/>
            <w:tcBorders>
              <w:top w:val="single" w:sz="4" w:space="0" w:color="auto"/>
              <w:bottom w:val="single" w:sz="4" w:space="0" w:color="auto"/>
            </w:tcBorders>
            <w:noWrap/>
            <w:vAlign w:val="center"/>
            <w:hideMark/>
          </w:tcPr>
          <w:p w14:paraId="4DCE35D3"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37</w:t>
            </w:r>
            <w:r w:rsidR="00C002A6" w:rsidRPr="00C84E96">
              <w:rPr>
                <w:b/>
                <w:color w:val="auto"/>
                <w:lang w:eastAsia="en-AU"/>
              </w:rPr>
              <w:t>,</w:t>
            </w:r>
            <w:r w:rsidRPr="00C84E96">
              <w:rPr>
                <w:b/>
                <w:color w:val="auto"/>
                <w:lang w:eastAsia="en-AU"/>
              </w:rPr>
              <w:t>693</w:t>
            </w:r>
          </w:p>
        </w:tc>
        <w:tc>
          <w:tcPr>
            <w:tcW w:w="1080" w:type="dxa"/>
            <w:tcBorders>
              <w:top w:val="single" w:sz="4" w:space="0" w:color="auto"/>
              <w:bottom w:val="single" w:sz="4" w:space="0" w:color="auto"/>
            </w:tcBorders>
            <w:noWrap/>
            <w:vAlign w:val="center"/>
            <w:hideMark/>
          </w:tcPr>
          <w:p w14:paraId="7AF3B2BF"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38</w:t>
            </w:r>
            <w:r w:rsidR="00C002A6" w:rsidRPr="00C84E96">
              <w:rPr>
                <w:b/>
                <w:color w:val="auto"/>
                <w:lang w:eastAsia="en-AU"/>
              </w:rPr>
              <w:t>,</w:t>
            </w:r>
            <w:r w:rsidRPr="00C84E96">
              <w:rPr>
                <w:b/>
                <w:color w:val="auto"/>
                <w:lang w:eastAsia="en-AU"/>
              </w:rPr>
              <w:t>774</w:t>
            </w:r>
          </w:p>
        </w:tc>
        <w:tc>
          <w:tcPr>
            <w:tcW w:w="1170" w:type="dxa"/>
            <w:tcBorders>
              <w:top w:val="single" w:sz="4" w:space="0" w:color="auto"/>
              <w:bottom w:val="single" w:sz="4" w:space="0" w:color="auto"/>
            </w:tcBorders>
            <w:noWrap/>
            <w:vAlign w:val="center"/>
            <w:hideMark/>
          </w:tcPr>
          <w:p w14:paraId="721D3415"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41</w:t>
            </w:r>
            <w:r w:rsidR="00C002A6" w:rsidRPr="00C84E96">
              <w:rPr>
                <w:b/>
                <w:color w:val="auto"/>
                <w:lang w:eastAsia="en-AU"/>
              </w:rPr>
              <w:t>,</w:t>
            </w:r>
            <w:r w:rsidRPr="00C84E96">
              <w:rPr>
                <w:b/>
                <w:color w:val="auto"/>
                <w:lang w:eastAsia="en-AU"/>
              </w:rPr>
              <w:t>695</w:t>
            </w:r>
          </w:p>
        </w:tc>
        <w:tc>
          <w:tcPr>
            <w:tcW w:w="1080" w:type="dxa"/>
            <w:tcBorders>
              <w:top w:val="single" w:sz="4" w:space="0" w:color="auto"/>
              <w:bottom w:val="single" w:sz="4" w:space="0" w:color="auto"/>
            </w:tcBorders>
            <w:noWrap/>
            <w:vAlign w:val="center"/>
            <w:hideMark/>
          </w:tcPr>
          <w:p w14:paraId="6563FCA4"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44</w:t>
            </w:r>
            <w:r w:rsidR="00C002A6" w:rsidRPr="00C84E96">
              <w:rPr>
                <w:b/>
                <w:color w:val="auto"/>
                <w:lang w:eastAsia="en-AU"/>
              </w:rPr>
              <w:t>,</w:t>
            </w:r>
            <w:r w:rsidRPr="00C84E96">
              <w:rPr>
                <w:b/>
                <w:color w:val="auto"/>
                <w:lang w:eastAsia="en-AU"/>
              </w:rPr>
              <w:t>770</w:t>
            </w:r>
          </w:p>
        </w:tc>
        <w:tc>
          <w:tcPr>
            <w:tcW w:w="1026" w:type="dxa"/>
            <w:tcBorders>
              <w:top w:val="single" w:sz="4" w:space="0" w:color="auto"/>
              <w:bottom w:val="single" w:sz="4" w:space="0" w:color="auto"/>
            </w:tcBorders>
            <w:noWrap/>
            <w:vAlign w:val="center"/>
            <w:hideMark/>
          </w:tcPr>
          <w:p w14:paraId="47E018E3"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52</w:t>
            </w:r>
            <w:r w:rsidR="00C002A6" w:rsidRPr="00C84E96">
              <w:rPr>
                <w:b/>
                <w:color w:val="auto"/>
                <w:lang w:eastAsia="en-AU"/>
              </w:rPr>
              <w:t>,</w:t>
            </w:r>
            <w:r w:rsidRPr="00C84E96">
              <w:rPr>
                <w:b/>
                <w:color w:val="auto"/>
                <w:lang w:eastAsia="en-AU"/>
              </w:rPr>
              <w:t>035</w:t>
            </w:r>
          </w:p>
        </w:tc>
        <w:tc>
          <w:tcPr>
            <w:tcW w:w="1134" w:type="dxa"/>
            <w:tcBorders>
              <w:top w:val="single" w:sz="4" w:space="0" w:color="auto"/>
              <w:bottom w:val="single" w:sz="4" w:space="0" w:color="auto"/>
            </w:tcBorders>
            <w:noWrap/>
            <w:vAlign w:val="center"/>
            <w:hideMark/>
          </w:tcPr>
          <w:p w14:paraId="7B279939"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58</w:t>
            </w:r>
            <w:r w:rsidR="00C002A6" w:rsidRPr="00C84E96">
              <w:rPr>
                <w:b/>
                <w:color w:val="auto"/>
                <w:lang w:eastAsia="en-AU"/>
              </w:rPr>
              <w:t>,</w:t>
            </w:r>
            <w:r w:rsidRPr="00C84E96">
              <w:rPr>
                <w:b/>
                <w:color w:val="auto"/>
                <w:lang w:eastAsia="en-AU"/>
              </w:rPr>
              <w:t>932</w:t>
            </w:r>
          </w:p>
        </w:tc>
        <w:tc>
          <w:tcPr>
            <w:tcW w:w="1134" w:type="dxa"/>
            <w:tcBorders>
              <w:top w:val="single" w:sz="4" w:space="0" w:color="auto"/>
              <w:bottom w:val="single" w:sz="4" w:space="0" w:color="auto"/>
              <w:right w:val="single" w:sz="4" w:space="0" w:color="auto"/>
            </w:tcBorders>
            <w:noWrap/>
            <w:vAlign w:val="center"/>
            <w:hideMark/>
          </w:tcPr>
          <w:p w14:paraId="392E1AF7"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68</w:t>
            </w:r>
            <w:r w:rsidR="00C002A6" w:rsidRPr="00C84E96">
              <w:rPr>
                <w:b/>
                <w:color w:val="auto"/>
                <w:lang w:eastAsia="en-AU"/>
              </w:rPr>
              <w:t>,</w:t>
            </w:r>
            <w:r w:rsidRPr="00C84E96">
              <w:rPr>
                <w:b/>
                <w:color w:val="auto"/>
                <w:lang w:eastAsia="en-AU"/>
              </w:rPr>
              <w:t>648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8CD47ED"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454</w:t>
            </w:r>
            <w:r w:rsidR="00C002A6" w:rsidRPr="00C84E96">
              <w:rPr>
                <w:b/>
                <w:color w:val="auto"/>
                <w:lang w:eastAsia="en-AU"/>
              </w:rPr>
              <w:t>,</w:t>
            </w:r>
            <w:r w:rsidRPr="00C84E96">
              <w:rPr>
                <w:b/>
                <w:color w:val="auto"/>
                <w:lang w:eastAsia="en-AU"/>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364D32E7" w14:textId="77777777" w:rsidR="00A03DC9" w:rsidRPr="00C84E96" w:rsidRDefault="00A03DC9"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lang w:eastAsia="en-AU"/>
              </w:rPr>
            </w:pPr>
            <w:r w:rsidRPr="00C84E96">
              <w:rPr>
                <w:b/>
                <w:color w:val="auto"/>
                <w:lang w:eastAsia="en-AU"/>
              </w:rPr>
              <w:t>84%</w:t>
            </w:r>
          </w:p>
        </w:tc>
      </w:tr>
    </w:tbl>
    <w:p w14:paraId="085B2ECA" w14:textId="4DA4B4A4" w:rsidR="005D61DD" w:rsidRPr="00474D52" w:rsidRDefault="005D61DD" w:rsidP="005E613E">
      <w:pPr>
        <w:pStyle w:val="Heading6"/>
        <w:spacing w:before="240" w:after="240"/>
      </w:pPr>
      <w:bookmarkStart w:id="54" w:name="_Toc382206694"/>
      <w:r w:rsidRPr="00474D52">
        <w:t>Line graph for table 1.2</w:t>
      </w:r>
      <w:bookmarkEnd w:id="54"/>
      <w:r w:rsidRPr="00474D52">
        <w:t>: Number of reports by year, by abuse type (all reporter groups combined)</w:t>
      </w:r>
    </w:p>
    <w:p w14:paraId="2D1EBD9F" w14:textId="77777777" w:rsidR="00A03DC9" w:rsidRDefault="00A03DC9" w:rsidP="00B15586">
      <w:pPr>
        <w:keepNext/>
      </w:pPr>
      <w:r w:rsidRPr="00A03DC9">
        <w:rPr>
          <w:noProof/>
          <w:lang w:eastAsia="en-AU"/>
        </w:rPr>
        <w:drawing>
          <wp:inline distT="0" distB="0" distL="0" distR="0" wp14:anchorId="423EA580" wp14:editId="2150E5E1">
            <wp:extent cx="9267825" cy="2381250"/>
            <wp:effectExtent l="0" t="0" r="9525" b="0"/>
            <wp:docPr id="3" name="Chart 3" descr="Shows over the decade emotional abuse was the dominant abuse type, followed by physical abuse, neglect and sexual abuse. " title="Line graph for tabl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5D461F" w14:textId="77777777" w:rsidR="00863C61" w:rsidRDefault="00863C61" w:rsidP="00B15586">
      <w:pPr>
        <w:spacing w:after="200" w:line="276" w:lineRule="auto"/>
        <w:rPr>
          <w:rFonts w:asciiTheme="majorHAnsi" w:eastAsiaTheme="majorEastAsia" w:hAnsiTheme="majorHAnsi" w:cstheme="majorBidi"/>
          <w:b/>
          <w:bCs/>
          <w:color w:val="17365D" w:themeColor="text2" w:themeShade="BF"/>
          <w:sz w:val="26"/>
          <w:szCs w:val="26"/>
        </w:rPr>
      </w:pPr>
      <w:r>
        <w:br w:type="page"/>
      </w:r>
    </w:p>
    <w:p w14:paraId="5A417D74" w14:textId="50FF7E3D" w:rsidR="00A04FA2" w:rsidRPr="003277F2" w:rsidRDefault="00863988" w:rsidP="00863988">
      <w:pPr>
        <w:pStyle w:val="Figureheading"/>
      </w:pPr>
      <w:bookmarkStart w:id="55" w:name="_Toc382206695"/>
      <w:r>
        <w:lastRenderedPageBreak/>
        <w:t>1.3</w:t>
      </w:r>
      <w:r>
        <w:tab/>
      </w:r>
      <w:r w:rsidR="005D61DD" w:rsidRPr="003277F2">
        <w:t>Number of reports, by abuse type, and outcome of reports (all reporter groups combined)</w:t>
      </w:r>
      <w:bookmarkEnd w:id="55"/>
    </w:p>
    <w:tbl>
      <w:tblPr>
        <w:tblStyle w:val="LightShading-Accent12"/>
        <w:tblW w:w="14850" w:type="dxa"/>
        <w:tblLook w:val="04A0" w:firstRow="1" w:lastRow="0" w:firstColumn="1" w:lastColumn="0" w:noHBand="0" w:noVBand="1"/>
        <w:tblCaption w:val="Number of reports, by abuse type, and outcome of reports (all reporter groups combined)"/>
      </w:tblPr>
      <w:tblGrid>
        <w:gridCol w:w="2286"/>
        <w:gridCol w:w="2512"/>
        <w:gridCol w:w="2513"/>
        <w:gridCol w:w="2513"/>
        <w:gridCol w:w="2513"/>
        <w:gridCol w:w="2513"/>
      </w:tblGrid>
      <w:tr w:rsidR="000E61DB" w:rsidRPr="00F76920" w14:paraId="2A84AFC1" w14:textId="77777777" w:rsidTr="00F2009E">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228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9703DD8" w14:textId="77777777" w:rsidR="000E61DB" w:rsidRPr="00F76920" w:rsidRDefault="000E61DB" w:rsidP="00CE2FDF">
            <w:pPr>
              <w:spacing w:before="0" w:line="240" w:lineRule="auto"/>
              <w:rPr>
                <w:color w:val="auto"/>
              </w:rPr>
            </w:pPr>
          </w:p>
        </w:tc>
        <w:tc>
          <w:tcPr>
            <w:tcW w:w="2512" w:type="dxa"/>
            <w:tcBorders>
              <w:top w:val="single" w:sz="4" w:space="0" w:color="auto"/>
              <w:left w:val="single" w:sz="4" w:space="0" w:color="auto"/>
              <w:bottom w:val="single" w:sz="4" w:space="0" w:color="auto"/>
            </w:tcBorders>
            <w:shd w:val="clear" w:color="auto" w:fill="8DB3E2" w:themeFill="text2" w:themeFillTint="66"/>
            <w:vAlign w:val="center"/>
            <w:hideMark/>
          </w:tcPr>
          <w:p w14:paraId="52015000" w14:textId="77777777" w:rsidR="000E61DB" w:rsidRPr="00F76920" w:rsidRDefault="000E61DB" w:rsidP="00CE2FDF">
            <w:pPr>
              <w:spacing w:before="0"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F76920">
              <w:rPr>
                <w:color w:val="auto"/>
              </w:rPr>
              <w:t>Not investigated</w:t>
            </w:r>
          </w:p>
        </w:tc>
        <w:tc>
          <w:tcPr>
            <w:tcW w:w="2513" w:type="dxa"/>
            <w:tcBorders>
              <w:top w:val="single" w:sz="4" w:space="0" w:color="auto"/>
              <w:bottom w:val="single" w:sz="4" w:space="0" w:color="auto"/>
            </w:tcBorders>
            <w:shd w:val="clear" w:color="auto" w:fill="8DB3E2" w:themeFill="text2" w:themeFillTint="66"/>
            <w:vAlign w:val="center"/>
          </w:tcPr>
          <w:p w14:paraId="1766E340" w14:textId="77777777" w:rsidR="000E61DB" w:rsidRPr="00F76920" w:rsidRDefault="000E61DB" w:rsidP="00CE2FDF">
            <w:pPr>
              <w:spacing w:before="0"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F76920">
              <w:rPr>
                <w:color w:val="auto"/>
              </w:rPr>
              <w:t>Investigated</w:t>
            </w:r>
          </w:p>
        </w:tc>
        <w:tc>
          <w:tcPr>
            <w:tcW w:w="2513" w:type="dxa"/>
            <w:tcBorders>
              <w:top w:val="single" w:sz="4" w:space="0" w:color="auto"/>
              <w:bottom w:val="single" w:sz="4" w:space="0" w:color="auto"/>
            </w:tcBorders>
            <w:shd w:val="clear" w:color="auto" w:fill="8DB3E2" w:themeFill="text2" w:themeFillTint="66"/>
            <w:vAlign w:val="center"/>
            <w:hideMark/>
          </w:tcPr>
          <w:p w14:paraId="6128BA28" w14:textId="77777777" w:rsidR="000E61DB" w:rsidRPr="00F76920" w:rsidRDefault="000E61DB" w:rsidP="00CE2FDF">
            <w:pPr>
              <w:spacing w:before="0"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F76920">
              <w:rPr>
                <w:color w:val="auto"/>
              </w:rPr>
              <w:t>Substantiated</w:t>
            </w:r>
          </w:p>
        </w:tc>
        <w:tc>
          <w:tcPr>
            <w:tcW w:w="2513" w:type="dxa"/>
            <w:tcBorders>
              <w:top w:val="single" w:sz="4" w:space="0" w:color="auto"/>
              <w:bottom w:val="single" w:sz="4" w:space="0" w:color="auto"/>
              <w:right w:val="single" w:sz="4" w:space="0" w:color="auto"/>
            </w:tcBorders>
            <w:shd w:val="clear" w:color="auto" w:fill="8DB3E2" w:themeFill="text2" w:themeFillTint="66"/>
            <w:vAlign w:val="center"/>
            <w:hideMark/>
          </w:tcPr>
          <w:p w14:paraId="727A7B4D" w14:textId="77777777" w:rsidR="000E61DB" w:rsidRPr="00F76920" w:rsidRDefault="000E61DB" w:rsidP="00CE2FDF">
            <w:pPr>
              <w:spacing w:before="0"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F76920">
              <w:rPr>
                <w:color w:val="auto"/>
              </w:rPr>
              <w:t>Not substantiated</w:t>
            </w:r>
          </w:p>
        </w:tc>
        <w:tc>
          <w:tcPr>
            <w:tcW w:w="25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FD932F4" w14:textId="77777777" w:rsidR="000E61DB" w:rsidRPr="00F76920" w:rsidRDefault="000E61DB" w:rsidP="00CE2FDF">
            <w:pPr>
              <w:spacing w:before="0"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F76920">
              <w:rPr>
                <w:color w:val="auto"/>
              </w:rPr>
              <w:t>Total reports</w:t>
            </w:r>
          </w:p>
        </w:tc>
      </w:tr>
      <w:tr w:rsidR="000E61DB" w:rsidRPr="00F76920" w14:paraId="6B71F03F" w14:textId="77777777" w:rsidTr="00F2009E">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86" w:type="dxa"/>
            <w:tcBorders>
              <w:top w:val="single" w:sz="4" w:space="0" w:color="auto"/>
              <w:left w:val="single" w:sz="4" w:space="0" w:color="auto"/>
              <w:right w:val="single" w:sz="4" w:space="0" w:color="auto"/>
            </w:tcBorders>
            <w:vAlign w:val="center"/>
            <w:hideMark/>
          </w:tcPr>
          <w:p w14:paraId="3F575548" w14:textId="77777777" w:rsidR="000E61DB" w:rsidRPr="00F76920" w:rsidRDefault="000E61DB" w:rsidP="00CE2FDF">
            <w:pPr>
              <w:spacing w:before="0" w:line="240" w:lineRule="auto"/>
              <w:rPr>
                <w:color w:val="auto"/>
              </w:rPr>
            </w:pPr>
            <w:r w:rsidRPr="00F76920">
              <w:rPr>
                <w:color w:val="auto"/>
              </w:rPr>
              <w:t>Emotional</w:t>
            </w:r>
            <w:r>
              <w:rPr>
                <w:color w:val="auto"/>
              </w:rPr>
              <w:t xml:space="preserve"> abuse</w:t>
            </w:r>
          </w:p>
        </w:tc>
        <w:tc>
          <w:tcPr>
            <w:tcW w:w="2512" w:type="dxa"/>
            <w:tcBorders>
              <w:top w:val="single" w:sz="4" w:space="0" w:color="auto"/>
              <w:left w:val="single" w:sz="4" w:space="0" w:color="auto"/>
            </w:tcBorders>
            <w:vAlign w:val="center"/>
            <w:hideMark/>
          </w:tcPr>
          <w:p w14:paraId="146F80A7"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F76920">
              <w:rPr>
                <w:color w:val="auto"/>
              </w:rPr>
              <w:t>153,9</w:t>
            </w:r>
            <w:r w:rsidR="00991FBD">
              <w:rPr>
                <w:color w:val="auto"/>
              </w:rPr>
              <w:t>30</w:t>
            </w:r>
          </w:p>
        </w:tc>
        <w:tc>
          <w:tcPr>
            <w:tcW w:w="2513" w:type="dxa"/>
            <w:tcBorders>
              <w:top w:val="single" w:sz="4" w:space="0" w:color="auto"/>
            </w:tcBorders>
            <w:vAlign w:val="center"/>
          </w:tcPr>
          <w:p w14:paraId="14A743D0"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F76920">
              <w:rPr>
                <w:color w:val="auto"/>
              </w:rPr>
              <w:t>43,89</w:t>
            </w:r>
            <w:r w:rsidR="00991FBD">
              <w:rPr>
                <w:color w:val="auto"/>
              </w:rPr>
              <w:t>7</w:t>
            </w:r>
          </w:p>
        </w:tc>
        <w:tc>
          <w:tcPr>
            <w:tcW w:w="2513" w:type="dxa"/>
            <w:tcBorders>
              <w:top w:val="single" w:sz="4" w:space="0" w:color="auto"/>
            </w:tcBorders>
            <w:vAlign w:val="center"/>
            <w:hideMark/>
          </w:tcPr>
          <w:p w14:paraId="6FE13E6D"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F76920">
              <w:rPr>
                <w:color w:val="auto"/>
              </w:rPr>
              <w:t>29,10</w:t>
            </w:r>
            <w:r w:rsidR="00991FBD">
              <w:rPr>
                <w:color w:val="auto"/>
              </w:rPr>
              <w:t>6</w:t>
            </w:r>
          </w:p>
        </w:tc>
        <w:tc>
          <w:tcPr>
            <w:tcW w:w="2513" w:type="dxa"/>
            <w:tcBorders>
              <w:top w:val="single" w:sz="4" w:space="0" w:color="auto"/>
              <w:right w:val="single" w:sz="4" w:space="0" w:color="auto"/>
            </w:tcBorders>
            <w:vAlign w:val="center"/>
            <w:hideMark/>
          </w:tcPr>
          <w:p w14:paraId="2F24E0D2"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F76920">
              <w:rPr>
                <w:color w:val="auto"/>
              </w:rPr>
              <w:t>14,791</w:t>
            </w:r>
          </w:p>
        </w:tc>
        <w:tc>
          <w:tcPr>
            <w:tcW w:w="2513" w:type="dxa"/>
            <w:tcBorders>
              <w:top w:val="single" w:sz="4" w:space="0" w:color="auto"/>
              <w:left w:val="single" w:sz="4" w:space="0" w:color="auto"/>
              <w:right w:val="single" w:sz="4" w:space="0" w:color="auto"/>
            </w:tcBorders>
            <w:vAlign w:val="center"/>
          </w:tcPr>
          <w:p w14:paraId="34D1B0A1" w14:textId="77777777" w:rsidR="000E61DB" w:rsidRPr="00C84E96"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4E96">
              <w:rPr>
                <w:b/>
                <w:color w:val="auto"/>
              </w:rPr>
              <w:t>197,827</w:t>
            </w:r>
          </w:p>
        </w:tc>
      </w:tr>
      <w:tr w:rsidR="000E61DB" w:rsidRPr="00F76920" w14:paraId="61DAB1F1" w14:textId="77777777" w:rsidTr="00F2009E">
        <w:trPr>
          <w:trHeight w:val="509"/>
        </w:trPr>
        <w:tc>
          <w:tcPr>
            <w:cnfStyle w:val="001000000000" w:firstRow="0" w:lastRow="0" w:firstColumn="1" w:lastColumn="0" w:oddVBand="0" w:evenVBand="0" w:oddHBand="0" w:evenHBand="0" w:firstRowFirstColumn="0" w:firstRowLastColumn="0" w:lastRowFirstColumn="0" w:lastRowLastColumn="0"/>
            <w:tcW w:w="2286" w:type="dxa"/>
            <w:tcBorders>
              <w:left w:val="single" w:sz="4" w:space="0" w:color="auto"/>
              <w:right w:val="single" w:sz="4" w:space="0" w:color="auto"/>
            </w:tcBorders>
            <w:vAlign w:val="center"/>
            <w:hideMark/>
          </w:tcPr>
          <w:p w14:paraId="0D1A7FF9" w14:textId="77777777" w:rsidR="000E61DB" w:rsidRPr="00F76920" w:rsidRDefault="000E61DB" w:rsidP="00CE2FDF">
            <w:pPr>
              <w:spacing w:before="0" w:line="240" w:lineRule="auto"/>
              <w:rPr>
                <w:color w:val="auto"/>
              </w:rPr>
            </w:pPr>
            <w:r w:rsidRPr="00F76920">
              <w:rPr>
                <w:color w:val="auto"/>
              </w:rPr>
              <w:t>Neglect</w:t>
            </w:r>
          </w:p>
        </w:tc>
        <w:tc>
          <w:tcPr>
            <w:tcW w:w="2512" w:type="dxa"/>
            <w:tcBorders>
              <w:left w:val="single" w:sz="4" w:space="0" w:color="auto"/>
            </w:tcBorders>
            <w:vAlign w:val="center"/>
            <w:hideMark/>
          </w:tcPr>
          <w:p w14:paraId="4CAC3A44" w14:textId="77777777" w:rsidR="000E61DB" w:rsidRPr="00F76920"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F76920">
              <w:rPr>
                <w:color w:val="auto"/>
              </w:rPr>
              <w:t>66,414</w:t>
            </w:r>
          </w:p>
        </w:tc>
        <w:tc>
          <w:tcPr>
            <w:tcW w:w="2513" w:type="dxa"/>
            <w:vAlign w:val="center"/>
          </w:tcPr>
          <w:p w14:paraId="06440F22" w14:textId="77777777" w:rsidR="000E61DB" w:rsidRPr="00F76920"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F76920">
              <w:rPr>
                <w:color w:val="auto"/>
              </w:rPr>
              <w:t>21,025</w:t>
            </w:r>
          </w:p>
        </w:tc>
        <w:tc>
          <w:tcPr>
            <w:tcW w:w="2513" w:type="dxa"/>
            <w:vAlign w:val="center"/>
            <w:hideMark/>
          </w:tcPr>
          <w:p w14:paraId="7C054950" w14:textId="77777777" w:rsidR="000E61DB" w:rsidRPr="00F76920"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F76920">
              <w:rPr>
                <w:color w:val="auto"/>
              </w:rPr>
              <w:t>13,314</w:t>
            </w:r>
          </w:p>
        </w:tc>
        <w:tc>
          <w:tcPr>
            <w:tcW w:w="2513" w:type="dxa"/>
            <w:tcBorders>
              <w:right w:val="single" w:sz="4" w:space="0" w:color="auto"/>
            </w:tcBorders>
            <w:vAlign w:val="center"/>
            <w:hideMark/>
          </w:tcPr>
          <w:p w14:paraId="71DA8A94" w14:textId="77777777" w:rsidR="000E61DB" w:rsidRPr="00F76920"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F76920">
              <w:rPr>
                <w:color w:val="auto"/>
              </w:rPr>
              <w:t>7,711</w:t>
            </w:r>
          </w:p>
        </w:tc>
        <w:tc>
          <w:tcPr>
            <w:tcW w:w="2513" w:type="dxa"/>
            <w:tcBorders>
              <w:left w:val="single" w:sz="4" w:space="0" w:color="auto"/>
              <w:right w:val="single" w:sz="4" w:space="0" w:color="auto"/>
            </w:tcBorders>
            <w:vAlign w:val="center"/>
          </w:tcPr>
          <w:p w14:paraId="68034E2B" w14:textId="77777777" w:rsidR="000E61DB" w:rsidRPr="00C84E96"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C84E96">
              <w:rPr>
                <w:b/>
                <w:color w:val="auto"/>
              </w:rPr>
              <w:t>87,439</w:t>
            </w:r>
          </w:p>
        </w:tc>
      </w:tr>
      <w:tr w:rsidR="000E61DB" w:rsidRPr="00F76920" w14:paraId="6971DB35" w14:textId="77777777" w:rsidTr="00F2009E">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86" w:type="dxa"/>
            <w:tcBorders>
              <w:left w:val="single" w:sz="4" w:space="0" w:color="auto"/>
              <w:bottom w:val="nil"/>
              <w:right w:val="single" w:sz="4" w:space="0" w:color="auto"/>
            </w:tcBorders>
            <w:vAlign w:val="center"/>
            <w:hideMark/>
          </w:tcPr>
          <w:p w14:paraId="1DE96117" w14:textId="77777777" w:rsidR="000E61DB" w:rsidRPr="00F76920" w:rsidRDefault="000E61DB" w:rsidP="00CE2FDF">
            <w:pPr>
              <w:spacing w:before="0" w:line="240" w:lineRule="auto"/>
              <w:rPr>
                <w:color w:val="auto"/>
              </w:rPr>
            </w:pPr>
            <w:r w:rsidRPr="00F76920">
              <w:rPr>
                <w:color w:val="auto"/>
              </w:rPr>
              <w:t>Physical</w:t>
            </w:r>
            <w:r>
              <w:rPr>
                <w:color w:val="auto"/>
              </w:rPr>
              <w:t xml:space="preserve"> abuse</w:t>
            </w:r>
          </w:p>
        </w:tc>
        <w:tc>
          <w:tcPr>
            <w:tcW w:w="2512" w:type="dxa"/>
            <w:tcBorders>
              <w:left w:val="single" w:sz="4" w:space="0" w:color="auto"/>
              <w:bottom w:val="nil"/>
            </w:tcBorders>
            <w:vAlign w:val="center"/>
            <w:hideMark/>
          </w:tcPr>
          <w:p w14:paraId="1D3E7078"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F76920">
              <w:rPr>
                <w:color w:val="auto"/>
              </w:rPr>
              <w:t>76,670</w:t>
            </w:r>
          </w:p>
        </w:tc>
        <w:tc>
          <w:tcPr>
            <w:tcW w:w="2513" w:type="dxa"/>
            <w:tcBorders>
              <w:bottom w:val="nil"/>
            </w:tcBorders>
            <w:vAlign w:val="center"/>
          </w:tcPr>
          <w:p w14:paraId="7F6D7F83"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F76920">
              <w:rPr>
                <w:color w:val="auto"/>
              </w:rPr>
              <w:t>43,216</w:t>
            </w:r>
          </w:p>
        </w:tc>
        <w:tc>
          <w:tcPr>
            <w:tcW w:w="2513" w:type="dxa"/>
            <w:tcBorders>
              <w:bottom w:val="nil"/>
            </w:tcBorders>
            <w:vAlign w:val="center"/>
            <w:hideMark/>
          </w:tcPr>
          <w:p w14:paraId="26C1AF37"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F76920">
              <w:rPr>
                <w:color w:val="auto"/>
              </w:rPr>
              <w:t>26,735</w:t>
            </w:r>
          </w:p>
        </w:tc>
        <w:tc>
          <w:tcPr>
            <w:tcW w:w="2513" w:type="dxa"/>
            <w:tcBorders>
              <w:bottom w:val="nil"/>
              <w:right w:val="single" w:sz="4" w:space="0" w:color="auto"/>
            </w:tcBorders>
            <w:vAlign w:val="center"/>
            <w:hideMark/>
          </w:tcPr>
          <w:p w14:paraId="6F6B96BC"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F76920">
              <w:rPr>
                <w:color w:val="auto"/>
              </w:rPr>
              <w:t>16,481</w:t>
            </w:r>
          </w:p>
        </w:tc>
        <w:tc>
          <w:tcPr>
            <w:tcW w:w="2513" w:type="dxa"/>
            <w:tcBorders>
              <w:left w:val="single" w:sz="4" w:space="0" w:color="auto"/>
              <w:bottom w:val="nil"/>
              <w:right w:val="single" w:sz="4" w:space="0" w:color="auto"/>
            </w:tcBorders>
            <w:vAlign w:val="center"/>
          </w:tcPr>
          <w:p w14:paraId="0D82AEA0" w14:textId="77777777" w:rsidR="000E61DB" w:rsidRPr="00C84E96"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C84E96">
              <w:rPr>
                <w:b/>
                <w:color w:val="auto"/>
              </w:rPr>
              <w:t>119,886</w:t>
            </w:r>
          </w:p>
        </w:tc>
      </w:tr>
      <w:tr w:rsidR="000E61DB" w:rsidRPr="00F76920" w14:paraId="45A8B7A7" w14:textId="77777777" w:rsidTr="00F2009E">
        <w:trPr>
          <w:trHeight w:val="509"/>
        </w:trPr>
        <w:tc>
          <w:tcPr>
            <w:cnfStyle w:val="001000000000" w:firstRow="0" w:lastRow="0" w:firstColumn="1" w:lastColumn="0" w:oddVBand="0" w:evenVBand="0" w:oddHBand="0" w:evenHBand="0" w:firstRowFirstColumn="0" w:firstRowLastColumn="0" w:lastRowFirstColumn="0" w:lastRowLastColumn="0"/>
            <w:tcW w:w="2286" w:type="dxa"/>
            <w:tcBorders>
              <w:top w:val="nil"/>
              <w:left w:val="single" w:sz="4" w:space="0" w:color="auto"/>
              <w:bottom w:val="single" w:sz="4" w:space="0" w:color="auto"/>
              <w:right w:val="single" w:sz="4" w:space="0" w:color="auto"/>
            </w:tcBorders>
            <w:vAlign w:val="center"/>
            <w:hideMark/>
          </w:tcPr>
          <w:p w14:paraId="4FF36B1A" w14:textId="77777777" w:rsidR="000E61DB" w:rsidRPr="00F76920" w:rsidRDefault="000E61DB" w:rsidP="00CE2FDF">
            <w:pPr>
              <w:spacing w:before="0" w:line="240" w:lineRule="auto"/>
              <w:rPr>
                <w:color w:val="auto"/>
              </w:rPr>
            </w:pPr>
            <w:r w:rsidRPr="00F76920">
              <w:rPr>
                <w:color w:val="auto"/>
              </w:rPr>
              <w:t>Sexual</w:t>
            </w:r>
            <w:r>
              <w:rPr>
                <w:color w:val="auto"/>
              </w:rPr>
              <w:t xml:space="preserve"> abuse</w:t>
            </w:r>
          </w:p>
        </w:tc>
        <w:tc>
          <w:tcPr>
            <w:tcW w:w="2512" w:type="dxa"/>
            <w:tcBorders>
              <w:top w:val="nil"/>
              <w:left w:val="single" w:sz="4" w:space="0" w:color="auto"/>
              <w:bottom w:val="single" w:sz="4" w:space="0" w:color="auto"/>
            </w:tcBorders>
            <w:vAlign w:val="center"/>
            <w:hideMark/>
          </w:tcPr>
          <w:p w14:paraId="48609F09" w14:textId="77777777" w:rsidR="000E61DB" w:rsidRPr="00F76920"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F76920">
              <w:rPr>
                <w:color w:val="auto"/>
              </w:rPr>
              <w:t>28,790</w:t>
            </w:r>
          </w:p>
        </w:tc>
        <w:tc>
          <w:tcPr>
            <w:tcW w:w="2513" w:type="dxa"/>
            <w:tcBorders>
              <w:top w:val="nil"/>
              <w:bottom w:val="single" w:sz="4" w:space="0" w:color="auto"/>
            </w:tcBorders>
            <w:vAlign w:val="center"/>
          </w:tcPr>
          <w:p w14:paraId="3DC1E6E6" w14:textId="77777777" w:rsidR="000E61DB" w:rsidRPr="00F76920"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F76920">
              <w:rPr>
                <w:color w:val="auto"/>
              </w:rPr>
              <w:t>20,178</w:t>
            </w:r>
          </w:p>
        </w:tc>
        <w:tc>
          <w:tcPr>
            <w:tcW w:w="2513" w:type="dxa"/>
            <w:tcBorders>
              <w:top w:val="nil"/>
              <w:bottom w:val="single" w:sz="4" w:space="0" w:color="auto"/>
            </w:tcBorders>
            <w:vAlign w:val="center"/>
            <w:hideMark/>
          </w:tcPr>
          <w:p w14:paraId="52C3DC19" w14:textId="77777777" w:rsidR="000E61DB" w:rsidRPr="00F76920"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F76920">
              <w:rPr>
                <w:color w:val="auto"/>
              </w:rPr>
              <w:t>8,913</w:t>
            </w:r>
          </w:p>
        </w:tc>
        <w:tc>
          <w:tcPr>
            <w:tcW w:w="2513" w:type="dxa"/>
            <w:tcBorders>
              <w:top w:val="nil"/>
              <w:bottom w:val="single" w:sz="4" w:space="0" w:color="auto"/>
              <w:right w:val="single" w:sz="4" w:space="0" w:color="auto"/>
            </w:tcBorders>
            <w:vAlign w:val="center"/>
            <w:hideMark/>
          </w:tcPr>
          <w:p w14:paraId="3EDF7D0E" w14:textId="77777777" w:rsidR="000E61DB" w:rsidRPr="00F76920"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F76920">
              <w:rPr>
                <w:color w:val="auto"/>
              </w:rPr>
              <w:t>11,265</w:t>
            </w:r>
          </w:p>
        </w:tc>
        <w:tc>
          <w:tcPr>
            <w:tcW w:w="2513" w:type="dxa"/>
            <w:tcBorders>
              <w:top w:val="nil"/>
              <w:left w:val="single" w:sz="4" w:space="0" w:color="auto"/>
              <w:bottom w:val="single" w:sz="4" w:space="0" w:color="auto"/>
              <w:right w:val="single" w:sz="4" w:space="0" w:color="auto"/>
            </w:tcBorders>
            <w:vAlign w:val="center"/>
          </w:tcPr>
          <w:p w14:paraId="1ECD50FD" w14:textId="77777777" w:rsidR="000E61DB" w:rsidRPr="00C84E96" w:rsidRDefault="000E61DB" w:rsidP="00CE2FDF">
            <w:pPr>
              <w:spacing w:before="0" w:line="240"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C84E96">
              <w:rPr>
                <w:b/>
                <w:color w:val="auto"/>
              </w:rPr>
              <w:t>48,968</w:t>
            </w:r>
          </w:p>
        </w:tc>
      </w:tr>
      <w:tr w:rsidR="000E61DB" w:rsidRPr="00F76920" w14:paraId="636D2CBA" w14:textId="77777777" w:rsidTr="00F2009E">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286" w:type="dxa"/>
            <w:tcBorders>
              <w:top w:val="single" w:sz="4" w:space="0" w:color="auto"/>
              <w:left w:val="single" w:sz="4" w:space="0" w:color="auto"/>
              <w:bottom w:val="single" w:sz="4" w:space="0" w:color="auto"/>
              <w:right w:val="single" w:sz="4" w:space="0" w:color="auto"/>
            </w:tcBorders>
            <w:vAlign w:val="center"/>
            <w:hideMark/>
          </w:tcPr>
          <w:p w14:paraId="749A4EEB" w14:textId="77777777" w:rsidR="000E61DB" w:rsidRPr="00F76920" w:rsidRDefault="000E61DB" w:rsidP="00CE2FDF">
            <w:pPr>
              <w:spacing w:before="0" w:line="240" w:lineRule="auto"/>
              <w:rPr>
                <w:color w:val="auto"/>
              </w:rPr>
            </w:pPr>
            <w:r w:rsidRPr="00F76920">
              <w:rPr>
                <w:color w:val="auto"/>
              </w:rPr>
              <w:t>Totals:</w:t>
            </w:r>
          </w:p>
        </w:tc>
        <w:tc>
          <w:tcPr>
            <w:tcW w:w="2512" w:type="dxa"/>
            <w:tcBorders>
              <w:top w:val="single" w:sz="4" w:space="0" w:color="auto"/>
              <w:left w:val="single" w:sz="4" w:space="0" w:color="auto"/>
              <w:bottom w:val="single" w:sz="4" w:space="0" w:color="auto"/>
            </w:tcBorders>
            <w:vAlign w:val="center"/>
            <w:hideMark/>
          </w:tcPr>
          <w:p w14:paraId="5ED271A0" w14:textId="77777777" w:rsidR="000E61DB" w:rsidRPr="00F76920" w:rsidRDefault="00982808"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F76920">
              <w:rPr>
                <w:b/>
              </w:rPr>
              <w:fldChar w:fldCharType="begin"/>
            </w:r>
            <w:r w:rsidR="000E61DB" w:rsidRPr="00F76920">
              <w:rPr>
                <w:b/>
                <w:color w:val="auto"/>
              </w:rPr>
              <w:instrText xml:space="preserve"> =SUM(ABOVE) </w:instrText>
            </w:r>
            <w:r w:rsidRPr="00F76920">
              <w:rPr>
                <w:b/>
              </w:rPr>
              <w:fldChar w:fldCharType="separate"/>
            </w:r>
            <w:r w:rsidR="000E61DB" w:rsidRPr="00F76920">
              <w:rPr>
                <w:b/>
                <w:noProof/>
                <w:color w:val="auto"/>
              </w:rPr>
              <w:t>325,80</w:t>
            </w:r>
            <w:r w:rsidR="00991FBD">
              <w:rPr>
                <w:b/>
                <w:noProof/>
                <w:color w:val="auto"/>
              </w:rPr>
              <w:t>4</w:t>
            </w:r>
            <w:r w:rsidRPr="00F76920">
              <w:rPr>
                <w:b/>
              </w:rPr>
              <w:fldChar w:fldCharType="end"/>
            </w:r>
          </w:p>
        </w:tc>
        <w:tc>
          <w:tcPr>
            <w:tcW w:w="2513" w:type="dxa"/>
            <w:tcBorders>
              <w:top w:val="single" w:sz="4" w:space="0" w:color="auto"/>
              <w:bottom w:val="single" w:sz="4" w:space="0" w:color="auto"/>
            </w:tcBorders>
            <w:vAlign w:val="center"/>
          </w:tcPr>
          <w:p w14:paraId="4A5DE276"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F76920">
              <w:rPr>
                <w:b/>
                <w:color w:val="auto"/>
              </w:rPr>
              <w:t>128,31</w:t>
            </w:r>
            <w:r w:rsidR="00991FBD">
              <w:rPr>
                <w:b/>
                <w:color w:val="auto"/>
              </w:rPr>
              <w:t>6</w:t>
            </w:r>
          </w:p>
        </w:tc>
        <w:tc>
          <w:tcPr>
            <w:tcW w:w="2513" w:type="dxa"/>
            <w:tcBorders>
              <w:top w:val="single" w:sz="4" w:space="0" w:color="auto"/>
              <w:bottom w:val="single" w:sz="4" w:space="0" w:color="auto"/>
            </w:tcBorders>
            <w:vAlign w:val="center"/>
            <w:hideMark/>
          </w:tcPr>
          <w:p w14:paraId="0EC5B2D2"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F76920">
              <w:rPr>
                <w:b/>
                <w:color w:val="auto"/>
              </w:rPr>
              <w:t>78,06</w:t>
            </w:r>
            <w:r w:rsidR="00991FBD">
              <w:rPr>
                <w:b/>
                <w:color w:val="auto"/>
              </w:rPr>
              <w:t>8</w:t>
            </w:r>
          </w:p>
        </w:tc>
        <w:tc>
          <w:tcPr>
            <w:tcW w:w="2513" w:type="dxa"/>
            <w:tcBorders>
              <w:top w:val="single" w:sz="4" w:space="0" w:color="auto"/>
              <w:bottom w:val="single" w:sz="4" w:space="0" w:color="auto"/>
              <w:right w:val="single" w:sz="4" w:space="0" w:color="auto"/>
            </w:tcBorders>
            <w:vAlign w:val="center"/>
            <w:hideMark/>
          </w:tcPr>
          <w:p w14:paraId="5169CF9F" w14:textId="77777777" w:rsidR="000E61DB" w:rsidRPr="00F76920" w:rsidRDefault="000E61DB"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F76920">
              <w:rPr>
                <w:b/>
                <w:color w:val="auto"/>
              </w:rPr>
              <w:t>50,248</w:t>
            </w:r>
          </w:p>
        </w:tc>
        <w:tc>
          <w:tcPr>
            <w:tcW w:w="2513" w:type="dxa"/>
            <w:tcBorders>
              <w:top w:val="single" w:sz="4" w:space="0" w:color="auto"/>
              <w:left w:val="single" w:sz="4" w:space="0" w:color="auto"/>
              <w:bottom w:val="single" w:sz="4" w:space="0" w:color="auto"/>
              <w:right w:val="single" w:sz="4" w:space="0" w:color="auto"/>
            </w:tcBorders>
            <w:vAlign w:val="center"/>
          </w:tcPr>
          <w:p w14:paraId="634EDC7A" w14:textId="77777777" w:rsidR="000E61DB" w:rsidRPr="00F76920" w:rsidRDefault="00982808" w:rsidP="00CE2FDF">
            <w:pPr>
              <w:spacing w:before="0" w:line="240"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F76920">
              <w:rPr>
                <w:b/>
              </w:rPr>
              <w:fldChar w:fldCharType="begin"/>
            </w:r>
            <w:r w:rsidR="000E61DB" w:rsidRPr="00F76920">
              <w:rPr>
                <w:b/>
                <w:color w:val="auto"/>
              </w:rPr>
              <w:instrText xml:space="preserve"> =SUM(ABOVE) </w:instrText>
            </w:r>
            <w:r w:rsidRPr="00F76920">
              <w:rPr>
                <w:b/>
              </w:rPr>
              <w:fldChar w:fldCharType="separate"/>
            </w:r>
            <w:r w:rsidR="000E61DB" w:rsidRPr="00F76920">
              <w:rPr>
                <w:b/>
                <w:noProof/>
                <w:color w:val="auto"/>
              </w:rPr>
              <w:t>454,120</w:t>
            </w:r>
            <w:r w:rsidRPr="00F76920">
              <w:rPr>
                <w:b/>
              </w:rPr>
              <w:fldChar w:fldCharType="end"/>
            </w:r>
          </w:p>
        </w:tc>
      </w:tr>
    </w:tbl>
    <w:p w14:paraId="53C95D34" w14:textId="77777777" w:rsidR="005D61DD" w:rsidRPr="00474D52" w:rsidRDefault="005D61DD" w:rsidP="005E613E">
      <w:pPr>
        <w:pStyle w:val="Heading6"/>
        <w:spacing w:before="240" w:after="240"/>
      </w:pPr>
      <w:r w:rsidRPr="00474D52">
        <w:t>Line graph for table 1.3: Number of reports, by abuse type, and outcome of reports (all reporter groups combined)</w:t>
      </w:r>
    </w:p>
    <w:p w14:paraId="6F097B97" w14:textId="77777777" w:rsidR="00863C61" w:rsidRDefault="000E61DB" w:rsidP="00B15586">
      <w:pPr>
        <w:keepNext/>
      </w:pPr>
      <w:r w:rsidRPr="000E61DB">
        <w:rPr>
          <w:noProof/>
          <w:lang w:eastAsia="en-AU"/>
        </w:rPr>
        <w:drawing>
          <wp:inline distT="0" distB="0" distL="0" distR="0" wp14:anchorId="13DC3C91" wp14:editId="08AEE523">
            <wp:extent cx="9305925" cy="2447925"/>
            <wp:effectExtent l="0" t="0" r="9525" b="9525"/>
            <wp:docPr id="12" name="Chart 2" descr="Shows less than half of all abuse reports investigated, but more than half of those investigated were substantiated." title="Line graph for tabl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63C61">
        <w:br w:type="page"/>
      </w:r>
    </w:p>
    <w:p w14:paraId="2086DCF4" w14:textId="2A5BA403" w:rsidR="00A04FA2" w:rsidRPr="00A04FA2" w:rsidRDefault="00863988" w:rsidP="00863988">
      <w:pPr>
        <w:pStyle w:val="Figureheading"/>
        <w:ind w:left="720" w:hanging="720"/>
      </w:pPr>
      <w:bookmarkStart w:id="56" w:name="_Toc382206697"/>
      <w:r>
        <w:lastRenderedPageBreak/>
        <w:t>1.4</w:t>
      </w:r>
      <w:r>
        <w:tab/>
      </w:r>
      <w:r w:rsidR="005D61DD" w:rsidRPr="00A04FA2">
        <w:t>Number of reports by abuse type, and outcome of reports, as a percentage of all reports (all reporter groups combined)</w:t>
      </w:r>
      <w:bookmarkEnd w:id="56"/>
    </w:p>
    <w:tbl>
      <w:tblPr>
        <w:tblStyle w:val="LightShading-Accent12"/>
        <w:tblW w:w="14850" w:type="dxa"/>
        <w:tblLook w:val="04A0" w:firstRow="1" w:lastRow="0" w:firstColumn="1" w:lastColumn="0" w:noHBand="0" w:noVBand="1"/>
        <w:tblCaption w:val="Number of reports by abuse type, and outcome of reports, as a percentage of all reports (all reporter groups combined)"/>
      </w:tblPr>
      <w:tblGrid>
        <w:gridCol w:w="2828"/>
        <w:gridCol w:w="2828"/>
        <w:gridCol w:w="2829"/>
        <w:gridCol w:w="2828"/>
        <w:gridCol w:w="3537"/>
      </w:tblGrid>
      <w:tr w:rsidR="000E61DB" w:rsidRPr="00F76920" w14:paraId="24138652" w14:textId="77777777" w:rsidTr="001143BB">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000" w:firstRow="0" w:lastRow="0" w:firstColumn="1" w:lastColumn="0" w:oddVBand="0" w:evenVBand="0" w:oddHBand="0" w:evenHBand="0" w:firstRowFirstColumn="0" w:firstRowLastColumn="0" w:lastRowFirstColumn="0" w:lastRowLastColumn="0"/>
            <w:tcW w:w="282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0A6498C" w14:textId="77777777" w:rsidR="000E61DB" w:rsidRPr="00F76920" w:rsidRDefault="000E61DB" w:rsidP="00CE2FDF">
            <w:pPr>
              <w:spacing w:before="0" w:line="240" w:lineRule="auto"/>
              <w:rPr>
                <w:color w:val="auto"/>
              </w:rPr>
            </w:pPr>
          </w:p>
        </w:tc>
        <w:tc>
          <w:tcPr>
            <w:tcW w:w="2828" w:type="dxa"/>
            <w:tcBorders>
              <w:top w:val="single" w:sz="4" w:space="0" w:color="auto"/>
              <w:left w:val="single" w:sz="4" w:space="0" w:color="auto"/>
              <w:bottom w:val="single" w:sz="4" w:space="0" w:color="auto"/>
            </w:tcBorders>
            <w:shd w:val="clear" w:color="auto" w:fill="8DB3E2" w:themeFill="text2" w:themeFillTint="66"/>
            <w:vAlign w:val="center"/>
            <w:hideMark/>
          </w:tcPr>
          <w:p w14:paraId="76604DA2" w14:textId="77777777" w:rsidR="000E61DB" w:rsidRPr="00F76920" w:rsidRDefault="000E61DB" w:rsidP="00CE2FDF">
            <w:p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76920">
              <w:rPr>
                <w:color w:val="auto"/>
              </w:rPr>
              <w:t>Not investigated</w:t>
            </w:r>
          </w:p>
        </w:tc>
        <w:tc>
          <w:tcPr>
            <w:tcW w:w="2829" w:type="dxa"/>
            <w:tcBorders>
              <w:top w:val="single" w:sz="4" w:space="0" w:color="auto"/>
              <w:bottom w:val="single" w:sz="4" w:space="0" w:color="auto"/>
            </w:tcBorders>
            <w:shd w:val="clear" w:color="auto" w:fill="8DB3E2" w:themeFill="text2" w:themeFillTint="66"/>
            <w:vAlign w:val="center"/>
          </w:tcPr>
          <w:p w14:paraId="678F2E85" w14:textId="77777777" w:rsidR="000E61DB" w:rsidRPr="00F76920" w:rsidRDefault="000E61DB" w:rsidP="00CE2FDF">
            <w:p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76920">
              <w:rPr>
                <w:color w:val="auto"/>
              </w:rPr>
              <w:t>Investigated</w:t>
            </w:r>
          </w:p>
        </w:tc>
        <w:tc>
          <w:tcPr>
            <w:tcW w:w="2828" w:type="dxa"/>
            <w:tcBorders>
              <w:top w:val="single" w:sz="4" w:space="0" w:color="auto"/>
              <w:bottom w:val="single" w:sz="4" w:space="0" w:color="auto"/>
            </w:tcBorders>
            <w:shd w:val="clear" w:color="auto" w:fill="8DB3E2" w:themeFill="text2" w:themeFillTint="66"/>
            <w:vAlign w:val="center"/>
            <w:hideMark/>
          </w:tcPr>
          <w:p w14:paraId="7AF88917" w14:textId="77777777" w:rsidR="000E61DB" w:rsidRPr="00F76920" w:rsidRDefault="000E61DB" w:rsidP="00CE2FDF">
            <w:p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76920">
              <w:rPr>
                <w:color w:val="auto"/>
              </w:rPr>
              <w:t>Substantiated</w:t>
            </w:r>
          </w:p>
        </w:tc>
        <w:tc>
          <w:tcPr>
            <w:tcW w:w="3537" w:type="dxa"/>
            <w:tcBorders>
              <w:top w:val="single" w:sz="4" w:space="0" w:color="auto"/>
              <w:bottom w:val="single" w:sz="4" w:space="0" w:color="auto"/>
              <w:right w:val="single" w:sz="4" w:space="0" w:color="auto"/>
            </w:tcBorders>
            <w:shd w:val="clear" w:color="auto" w:fill="8DB3E2" w:themeFill="text2" w:themeFillTint="66"/>
            <w:vAlign w:val="center"/>
            <w:hideMark/>
          </w:tcPr>
          <w:p w14:paraId="2BB04353" w14:textId="77777777" w:rsidR="000E61DB" w:rsidRPr="00F76920" w:rsidRDefault="000E61DB" w:rsidP="00CE2FDF">
            <w:p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76920">
              <w:rPr>
                <w:color w:val="auto"/>
              </w:rPr>
              <w:t>Not substantiated</w:t>
            </w:r>
          </w:p>
        </w:tc>
      </w:tr>
      <w:tr w:rsidR="000E61DB" w:rsidRPr="00F76920" w14:paraId="07A6EA11" w14:textId="77777777" w:rsidTr="006360A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28" w:type="dxa"/>
            <w:tcBorders>
              <w:top w:val="single" w:sz="4" w:space="0" w:color="auto"/>
              <w:left w:val="single" w:sz="4" w:space="0" w:color="auto"/>
              <w:right w:val="single" w:sz="4" w:space="0" w:color="auto"/>
            </w:tcBorders>
            <w:vAlign w:val="center"/>
            <w:hideMark/>
          </w:tcPr>
          <w:p w14:paraId="1C14AFFD" w14:textId="77777777" w:rsidR="000E61DB" w:rsidRPr="00F76920" w:rsidRDefault="000E61DB" w:rsidP="00CE2FDF">
            <w:pPr>
              <w:spacing w:before="0" w:line="240" w:lineRule="auto"/>
              <w:rPr>
                <w:color w:val="auto"/>
              </w:rPr>
            </w:pPr>
            <w:r w:rsidRPr="00F76920">
              <w:rPr>
                <w:color w:val="auto"/>
              </w:rPr>
              <w:t>Emotional</w:t>
            </w:r>
            <w:r>
              <w:rPr>
                <w:color w:val="auto"/>
              </w:rPr>
              <w:t xml:space="preserve"> abuse</w:t>
            </w:r>
          </w:p>
        </w:tc>
        <w:tc>
          <w:tcPr>
            <w:tcW w:w="2828" w:type="dxa"/>
            <w:tcBorders>
              <w:top w:val="single" w:sz="4" w:space="0" w:color="auto"/>
              <w:left w:val="single" w:sz="4" w:space="0" w:color="auto"/>
            </w:tcBorders>
            <w:vAlign w:val="center"/>
            <w:hideMark/>
          </w:tcPr>
          <w:p w14:paraId="60B0393A" w14:textId="77777777" w:rsidR="000E61DB" w:rsidRPr="00F76920" w:rsidRDefault="000E61DB" w:rsidP="00CE2FDF">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78%</w:t>
            </w:r>
          </w:p>
        </w:tc>
        <w:tc>
          <w:tcPr>
            <w:tcW w:w="2829" w:type="dxa"/>
            <w:tcBorders>
              <w:top w:val="single" w:sz="4" w:space="0" w:color="auto"/>
            </w:tcBorders>
            <w:vAlign w:val="center"/>
          </w:tcPr>
          <w:p w14:paraId="63904860" w14:textId="77777777" w:rsidR="000E61DB" w:rsidRPr="00F76920" w:rsidRDefault="000E61DB" w:rsidP="00CE2FDF">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22%</w:t>
            </w:r>
          </w:p>
        </w:tc>
        <w:tc>
          <w:tcPr>
            <w:tcW w:w="2828" w:type="dxa"/>
            <w:tcBorders>
              <w:top w:val="single" w:sz="4" w:space="0" w:color="auto"/>
            </w:tcBorders>
            <w:vAlign w:val="center"/>
            <w:hideMark/>
          </w:tcPr>
          <w:p w14:paraId="313570B4" w14:textId="77777777" w:rsidR="000E61DB" w:rsidRPr="00F76920" w:rsidRDefault="000E61DB" w:rsidP="00CE2FDF">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c>
          <w:tcPr>
            <w:tcW w:w="3537" w:type="dxa"/>
            <w:tcBorders>
              <w:top w:val="single" w:sz="4" w:space="0" w:color="auto"/>
              <w:right w:val="single" w:sz="4" w:space="0" w:color="auto"/>
            </w:tcBorders>
            <w:vAlign w:val="center"/>
            <w:hideMark/>
          </w:tcPr>
          <w:p w14:paraId="6A317D75" w14:textId="77777777" w:rsidR="000E61DB" w:rsidRPr="00F76920" w:rsidRDefault="000E61DB" w:rsidP="00CE2FDF">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7%</w:t>
            </w:r>
          </w:p>
        </w:tc>
      </w:tr>
      <w:tr w:rsidR="000E61DB" w:rsidRPr="00F76920" w14:paraId="5448232A" w14:textId="77777777" w:rsidTr="006360A3">
        <w:trPr>
          <w:trHeight w:val="330"/>
        </w:trPr>
        <w:tc>
          <w:tcPr>
            <w:cnfStyle w:val="001000000000" w:firstRow="0" w:lastRow="0" w:firstColumn="1" w:lastColumn="0" w:oddVBand="0" w:evenVBand="0" w:oddHBand="0" w:evenHBand="0" w:firstRowFirstColumn="0" w:firstRowLastColumn="0" w:lastRowFirstColumn="0" w:lastRowLastColumn="0"/>
            <w:tcW w:w="2828" w:type="dxa"/>
            <w:tcBorders>
              <w:left w:val="single" w:sz="4" w:space="0" w:color="auto"/>
              <w:right w:val="single" w:sz="4" w:space="0" w:color="auto"/>
            </w:tcBorders>
            <w:vAlign w:val="center"/>
            <w:hideMark/>
          </w:tcPr>
          <w:p w14:paraId="296E4B9E" w14:textId="77777777" w:rsidR="000E61DB" w:rsidRPr="00F76920" w:rsidRDefault="000E61DB" w:rsidP="00CE2FDF">
            <w:pPr>
              <w:spacing w:before="0" w:line="240" w:lineRule="auto"/>
              <w:rPr>
                <w:color w:val="auto"/>
              </w:rPr>
            </w:pPr>
            <w:r w:rsidRPr="00F76920">
              <w:rPr>
                <w:color w:val="auto"/>
              </w:rPr>
              <w:t>Neglect</w:t>
            </w:r>
          </w:p>
        </w:tc>
        <w:tc>
          <w:tcPr>
            <w:tcW w:w="2828" w:type="dxa"/>
            <w:tcBorders>
              <w:left w:val="single" w:sz="4" w:space="0" w:color="auto"/>
            </w:tcBorders>
            <w:vAlign w:val="center"/>
            <w:hideMark/>
          </w:tcPr>
          <w:p w14:paraId="0757C425" w14:textId="77777777" w:rsidR="000E61DB" w:rsidRPr="00F76920" w:rsidRDefault="000E61DB" w:rsidP="00CE2FDF">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76%</w:t>
            </w:r>
          </w:p>
        </w:tc>
        <w:tc>
          <w:tcPr>
            <w:tcW w:w="2829" w:type="dxa"/>
            <w:vAlign w:val="center"/>
          </w:tcPr>
          <w:p w14:paraId="4D0C6774" w14:textId="77777777" w:rsidR="000E61DB" w:rsidRPr="00F76920" w:rsidRDefault="000E61DB" w:rsidP="00CE2FDF">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c>
          <w:tcPr>
            <w:tcW w:w="2828" w:type="dxa"/>
            <w:vAlign w:val="center"/>
            <w:hideMark/>
          </w:tcPr>
          <w:p w14:paraId="6FE9A6D4" w14:textId="77777777" w:rsidR="000E61DB" w:rsidRPr="00F76920" w:rsidRDefault="000E61DB" w:rsidP="00CE2FDF">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3537" w:type="dxa"/>
            <w:tcBorders>
              <w:right w:val="single" w:sz="4" w:space="0" w:color="auto"/>
            </w:tcBorders>
            <w:vAlign w:val="center"/>
            <w:hideMark/>
          </w:tcPr>
          <w:p w14:paraId="71B1FD1D" w14:textId="77777777" w:rsidR="000E61DB" w:rsidRPr="00F76920" w:rsidRDefault="000E61DB" w:rsidP="00CE2FDF">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9%</w:t>
            </w:r>
          </w:p>
        </w:tc>
      </w:tr>
      <w:tr w:rsidR="000E61DB" w:rsidRPr="00F76920" w14:paraId="0568A800" w14:textId="77777777" w:rsidTr="006360A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28" w:type="dxa"/>
            <w:tcBorders>
              <w:left w:val="single" w:sz="4" w:space="0" w:color="auto"/>
              <w:right w:val="single" w:sz="4" w:space="0" w:color="auto"/>
            </w:tcBorders>
            <w:vAlign w:val="center"/>
            <w:hideMark/>
          </w:tcPr>
          <w:p w14:paraId="6E79F62B" w14:textId="77777777" w:rsidR="000E61DB" w:rsidRPr="00F76920" w:rsidRDefault="000E61DB" w:rsidP="00CE2FDF">
            <w:pPr>
              <w:spacing w:before="0" w:line="240" w:lineRule="auto"/>
              <w:rPr>
                <w:color w:val="auto"/>
              </w:rPr>
            </w:pPr>
            <w:r w:rsidRPr="00F76920">
              <w:rPr>
                <w:color w:val="auto"/>
              </w:rPr>
              <w:t>Physical</w:t>
            </w:r>
            <w:r>
              <w:rPr>
                <w:color w:val="auto"/>
              </w:rPr>
              <w:t xml:space="preserve"> abuse</w:t>
            </w:r>
          </w:p>
        </w:tc>
        <w:tc>
          <w:tcPr>
            <w:tcW w:w="2828" w:type="dxa"/>
            <w:tcBorders>
              <w:left w:val="single" w:sz="4" w:space="0" w:color="auto"/>
            </w:tcBorders>
            <w:vAlign w:val="center"/>
            <w:hideMark/>
          </w:tcPr>
          <w:p w14:paraId="57E5CFBF" w14:textId="77777777" w:rsidR="000E61DB" w:rsidRPr="00F76920" w:rsidRDefault="000E61DB" w:rsidP="00CE2FDF">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64%</w:t>
            </w:r>
          </w:p>
        </w:tc>
        <w:tc>
          <w:tcPr>
            <w:tcW w:w="2829" w:type="dxa"/>
            <w:vAlign w:val="center"/>
          </w:tcPr>
          <w:p w14:paraId="265FC39B" w14:textId="77777777" w:rsidR="000E61DB" w:rsidRPr="00F76920" w:rsidRDefault="000E61DB" w:rsidP="00CE2FDF">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36%</w:t>
            </w:r>
          </w:p>
        </w:tc>
        <w:tc>
          <w:tcPr>
            <w:tcW w:w="2828" w:type="dxa"/>
            <w:vAlign w:val="center"/>
            <w:hideMark/>
          </w:tcPr>
          <w:p w14:paraId="42DFD665" w14:textId="77777777" w:rsidR="000E61DB" w:rsidRPr="00F76920" w:rsidRDefault="000E61DB" w:rsidP="00CE2FDF">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22%</w:t>
            </w:r>
          </w:p>
        </w:tc>
        <w:tc>
          <w:tcPr>
            <w:tcW w:w="3537" w:type="dxa"/>
            <w:tcBorders>
              <w:right w:val="single" w:sz="4" w:space="0" w:color="auto"/>
            </w:tcBorders>
            <w:vAlign w:val="center"/>
            <w:hideMark/>
          </w:tcPr>
          <w:p w14:paraId="2030A64D" w14:textId="77777777" w:rsidR="000E61DB" w:rsidRPr="00F76920" w:rsidRDefault="000E61DB" w:rsidP="00CE2FDF">
            <w:pPr>
              <w:spacing w:before="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14%</w:t>
            </w:r>
          </w:p>
        </w:tc>
      </w:tr>
      <w:tr w:rsidR="000E61DB" w:rsidRPr="00F76920" w14:paraId="68F71152" w14:textId="77777777" w:rsidTr="006360A3">
        <w:trPr>
          <w:trHeight w:val="330"/>
        </w:trPr>
        <w:tc>
          <w:tcPr>
            <w:cnfStyle w:val="001000000000" w:firstRow="0" w:lastRow="0" w:firstColumn="1" w:lastColumn="0" w:oddVBand="0" w:evenVBand="0" w:oddHBand="0" w:evenHBand="0" w:firstRowFirstColumn="0" w:firstRowLastColumn="0" w:lastRowFirstColumn="0" w:lastRowLastColumn="0"/>
            <w:tcW w:w="2828" w:type="dxa"/>
            <w:tcBorders>
              <w:left w:val="single" w:sz="4" w:space="0" w:color="auto"/>
              <w:bottom w:val="single" w:sz="4" w:space="0" w:color="auto"/>
              <w:right w:val="single" w:sz="4" w:space="0" w:color="auto"/>
            </w:tcBorders>
            <w:vAlign w:val="center"/>
            <w:hideMark/>
          </w:tcPr>
          <w:p w14:paraId="1B01BB2E" w14:textId="77777777" w:rsidR="000E61DB" w:rsidRPr="00F76920" w:rsidRDefault="000E61DB" w:rsidP="00CE2FDF">
            <w:pPr>
              <w:spacing w:before="0" w:line="240" w:lineRule="auto"/>
              <w:rPr>
                <w:color w:val="auto"/>
              </w:rPr>
            </w:pPr>
            <w:r w:rsidRPr="00F76920">
              <w:rPr>
                <w:color w:val="auto"/>
              </w:rPr>
              <w:t>Sexual</w:t>
            </w:r>
            <w:r>
              <w:rPr>
                <w:color w:val="auto"/>
              </w:rPr>
              <w:t xml:space="preserve"> abuse</w:t>
            </w:r>
          </w:p>
        </w:tc>
        <w:tc>
          <w:tcPr>
            <w:tcW w:w="2828" w:type="dxa"/>
            <w:tcBorders>
              <w:left w:val="single" w:sz="4" w:space="0" w:color="auto"/>
              <w:bottom w:val="single" w:sz="4" w:space="0" w:color="auto"/>
            </w:tcBorders>
            <w:vAlign w:val="center"/>
            <w:hideMark/>
          </w:tcPr>
          <w:p w14:paraId="2C768983" w14:textId="77777777" w:rsidR="000E61DB" w:rsidRPr="00F76920" w:rsidRDefault="000E61DB" w:rsidP="00CE2FDF">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59%</w:t>
            </w:r>
          </w:p>
        </w:tc>
        <w:tc>
          <w:tcPr>
            <w:tcW w:w="2829" w:type="dxa"/>
            <w:tcBorders>
              <w:bottom w:val="single" w:sz="4" w:space="0" w:color="auto"/>
            </w:tcBorders>
            <w:vAlign w:val="center"/>
          </w:tcPr>
          <w:p w14:paraId="5A862A19" w14:textId="77777777" w:rsidR="000E61DB" w:rsidRPr="00F76920" w:rsidRDefault="000E61DB" w:rsidP="00CE2FDF">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2828" w:type="dxa"/>
            <w:tcBorders>
              <w:bottom w:val="single" w:sz="4" w:space="0" w:color="auto"/>
            </w:tcBorders>
            <w:vAlign w:val="center"/>
            <w:hideMark/>
          </w:tcPr>
          <w:p w14:paraId="6809F42B" w14:textId="77777777" w:rsidR="000E61DB" w:rsidRPr="00F76920" w:rsidRDefault="000E61DB" w:rsidP="00CE2FDF">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18%</w:t>
            </w:r>
          </w:p>
        </w:tc>
        <w:tc>
          <w:tcPr>
            <w:tcW w:w="3537" w:type="dxa"/>
            <w:tcBorders>
              <w:bottom w:val="single" w:sz="4" w:space="0" w:color="auto"/>
              <w:right w:val="single" w:sz="4" w:space="0" w:color="auto"/>
            </w:tcBorders>
            <w:vAlign w:val="center"/>
            <w:hideMark/>
          </w:tcPr>
          <w:p w14:paraId="60E915D2" w14:textId="77777777" w:rsidR="000E61DB" w:rsidRPr="00F76920" w:rsidRDefault="000E61DB" w:rsidP="00CE2FDF">
            <w:pPr>
              <w:spacing w:before="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bl>
    <w:p w14:paraId="34B080B9" w14:textId="77777777" w:rsidR="003C129B" w:rsidRPr="00F76920" w:rsidRDefault="003C129B" w:rsidP="00B15586"/>
    <w:p w14:paraId="6A401797" w14:textId="18AFDD56" w:rsidR="00A04FA2" w:rsidRPr="00A04FA2" w:rsidRDefault="00863988" w:rsidP="00863988">
      <w:pPr>
        <w:pStyle w:val="Figureheading"/>
      </w:pPr>
      <w:bookmarkStart w:id="57" w:name="_Toc382206698"/>
      <w:r>
        <w:t>1.5</w:t>
      </w:r>
      <w:r>
        <w:tab/>
      </w:r>
      <w:r w:rsidR="005D61DD" w:rsidRPr="00A152D9">
        <w:t>Number of reports by abuse type, as a percentage of all reports by year (all reporter groups combined)</w:t>
      </w:r>
      <w:bookmarkEnd w:id="57"/>
    </w:p>
    <w:tbl>
      <w:tblPr>
        <w:tblW w:w="14850" w:type="dxa"/>
        <w:tblLayout w:type="fixed"/>
        <w:tblLook w:val="04A0" w:firstRow="1" w:lastRow="0" w:firstColumn="1" w:lastColumn="0" w:noHBand="0" w:noVBand="1"/>
      </w:tblPr>
      <w:tblGrid>
        <w:gridCol w:w="1008"/>
        <w:gridCol w:w="2070"/>
        <w:gridCol w:w="1170"/>
        <w:gridCol w:w="1530"/>
        <w:gridCol w:w="1260"/>
        <w:gridCol w:w="2070"/>
        <w:gridCol w:w="1260"/>
        <w:gridCol w:w="1800"/>
        <w:gridCol w:w="1440"/>
        <w:gridCol w:w="1242"/>
      </w:tblGrid>
      <w:tr w:rsidR="00C002A6" w:rsidRPr="00C002A6" w14:paraId="07443F59" w14:textId="77777777" w:rsidTr="00F2009E">
        <w:trPr>
          <w:trHeight w:val="557"/>
          <w:tblHeader/>
        </w:trPr>
        <w:tc>
          <w:tcPr>
            <w:tcW w:w="100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9961D59" w14:textId="77777777" w:rsidR="00C002A6" w:rsidRPr="00C002A6" w:rsidRDefault="00C002A6" w:rsidP="00CE2FDF">
            <w:pPr>
              <w:keepNext/>
              <w:spacing w:before="0" w:line="240" w:lineRule="auto"/>
              <w:rPr>
                <w:b/>
              </w:rPr>
            </w:pPr>
          </w:p>
        </w:tc>
        <w:tc>
          <w:tcPr>
            <w:tcW w:w="2070" w:type="dxa"/>
            <w:tcBorders>
              <w:top w:val="single" w:sz="4" w:space="0" w:color="auto"/>
              <w:left w:val="single" w:sz="4" w:space="0" w:color="auto"/>
              <w:bottom w:val="single" w:sz="4" w:space="0" w:color="auto"/>
            </w:tcBorders>
            <w:shd w:val="clear" w:color="auto" w:fill="95B3D7" w:themeFill="accent1" w:themeFillTint="99"/>
            <w:vAlign w:val="center"/>
            <w:hideMark/>
          </w:tcPr>
          <w:p w14:paraId="7EF099FF" w14:textId="77777777" w:rsidR="00C002A6" w:rsidRPr="00C002A6" w:rsidRDefault="00C002A6" w:rsidP="00CE2FDF">
            <w:pPr>
              <w:keepNext/>
              <w:spacing w:before="0" w:line="240" w:lineRule="auto"/>
              <w:jc w:val="right"/>
              <w:rPr>
                <w:b/>
              </w:rPr>
            </w:pPr>
            <w:r w:rsidRPr="00C002A6">
              <w:rPr>
                <w:b/>
              </w:rPr>
              <w:t>Emotional</w:t>
            </w:r>
            <w:r w:rsidR="00C61365">
              <w:rPr>
                <w:b/>
              </w:rPr>
              <w:t xml:space="preserve"> abuse</w:t>
            </w:r>
          </w:p>
        </w:tc>
        <w:tc>
          <w:tcPr>
            <w:tcW w:w="1170" w:type="dxa"/>
            <w:tcBorders>
              <w:top w:val="single" w:sz="4" w:space="0" w:color="auto"/>
              <w:bottom w:val="single" w:sz="4" w:space="0" w:color="auto"/>
              <w:right w:val="single" w:sz="4" w:space="0" w:color="auto"/>
            </w:tcBorders>
            <w:shd w:val="clear" w:color="auto" w:fill="95B3D7" w:themeFill="accent1" w:themeFillTint="99"/>
            <w:vAlign w:val="center"/>
          </w:tcPr>
          <w:p w14:paraId="6F50D474" w14:textId="77777777" w:rsidR="00C002A6" w:rsidRPr="00C002A6" w:rsidRDefault="00C002A6" w:rsidP="00CE2FDF">
            <w:pPr>
              <w:keepNext/>
              <w:spacing w:before="0" w:line="240" w:lineRule="auto"/>
              <w:jc w:val="center"/>
              <w:rPr>
                <w:b/>
              </w:rPr>
            </w:pPr>
            <w:r w:rsidRPr="00C002A6">
              <w:rPr>
                <w:b/>
              </w:rPr>
              <w:t>%</w:t>
            </w:r>
          </w:p>
        </w:tc>
        <w:tc>
          <w:tcPr>
            <w:tcW w:w="1530" w:type="dxa"/>
            <w:tcBorders>
              <w:top w:val="single" w:sz="4" w:space="0" w:color="auto"/>
              <w:left w:val="single" w:sz="4" w:space="0" w:color="auto"/>
              <w:bottom w:val="single" w:sz="4" w:space="0" w:color="auto"/>
            </w:tcBorders>
            <w:shd w:val="clear" w:color="auto" w:fill="95B3D7" w:themeFill="accent1" w:themeFillTint="99"/>
            <w:vAlign w:val="center"/>
            <w:hideMark/>
          </w:tcPr>
          <w:p w14:paraId="0AF35A0F" w14:textId="77777777" w:rsidR="00C002A6" w:rsidRPr="00C002A6" w:rsidRDefault="00C002A6" w:rsidP="00CE2FDF">
            <w:pPr>
              <w:keepNext/>
              <w:spacing w:before="0" w:line="240" w:lineRule="auto"/>
              <w:jc w:val="right"/>
              <w:rPr>
                <w:b/>
              </w:rPr>
            </w:pPr>
            <w:r w:rsidRPr="00C002A6">
              <w:rPr>
                <w:b/>
              </w:rPr>
              <w:t>Neglect</w:t>
            </w:r>
          </w:p>
        </w:tc>
        <w:tc>
          <w:tcPr>
            <w:tcW w:w="1260" w:type="dxa"/>
            <w:tcBorders>
              <w:top w:val="single" w:sz="4" w:space="0" w:color="auto"/>
              <w:bottom w:val="single" w:sz="4" w:space="0" w:color="auto"/>
              <w:right w:val="single" w:sz="4" w:space="0" w:color="auto"/>
            </w:tcBorders>
            <w:shd w:val="clear" w:color="auto" w:fill="95B3D7" w:themeFill="accent1" w:themeFillTint="99"/>
            <w:vAlign w:val="center"/>
          </w:tcPr>
          <w:p w14:paraId="34D2A4ED" w14:textId="77777777" w:rsidR="00C002A6" w:rsidRPr="00C002A6" w:rsidRDefault="00C002A6" w:rsidP="00CE2FDF">
            <w:pPr>
              <w:keepNext/>
              <w:spacing w:before="0" w:line="240" w:lineRule="auto"/>
              <w:jc w:val="center"/>
              <w:rPr>
                <w:b/>
              </w:rPr>
            </w:pPr>
            <w:r w:rsidRPr="00C002A6">
              <w:rPr>
                <w:b/>
              </w:rPr>
              <w:t>%</w:t>
            </w:r>
          </w:p>
        </w:tc>
        <w:tc>
          <w:tcPr>
            <w:tcW w:w="2070" w:type="dxa"/>
            <w:tcBorders>
              <w:top w:val="single" w:sz="4" w:space="0" w:color="auto"/>
              <w:left w:val="single" w:sz="4" w:space="0" w:color="auto"/>
              <w:bottom w:val="single" w:sz="4" w:space="0" w:color="auto"/>
            </w:tcBorders>
            <w:shd w:val="clear" w:color="auto" w:fill="95B3D7" w:themeFill="accent1" w:themeFillTint="99"/>
            <w:vAlign w:val="center"/>
            <w:hideMark/>
          </w:tcPr>
          <w:p w14:paraId="100DE9C6" w14:textId="77777777" w:rsidR="00C002A6" w:rsidRPr="00C002A6" w:rsidRDefault="00C002A6" w:rsidP="00CE2FDF">
            <w:pPr>
              <w:keepNext/>
              <w:spacing w:before="0" w:line="240" w:lineRule="auto"/>
              <w:jc w:val="right"/>
              <w:rPr>
                <w:b/>
              </w:rPr>
            </w:pPr>
            <w:r w:rsidRPr="00C002A6">
              <w:rPr>
                <w:b/>
              </w:rPr>
              <w:t>Physical</w:t>
            </w:r>
            <w:r w:rsidR="008C7F17">
              <w:rPr>
                <w:b/>
              </w:rPr>
              <w:t xml:space="preserve"> abuse</w:t>
            </w:r>
          </w:p>
        </w:tc>
        <w:tc>
          <w:tcPr>
            <w:tcW w:w="1260" w:type="dxa"/>
            <w:tcBorders>
              <w:top w:val="single" w:sz="4" w:space="0" w:color="auto"/>
              <w:bottom w:val="single" w:sz="4" w:space="0" w:color="auto"/>
              <w:right w:val="single" w:sz="4" w:space="0" w:color="auto"/>
            </w:tcBorders>
            <w:shd w:val="clear" w:color="auto" w:fill="95B3D7" w:themeFill="accent1" w:themeFillTint="99"/>
            <w:vAlign w:val="center"/>
          </w:tcPr>
          <w:p w14:paraId="00CE03F6" w14:textId="77777777" w:rsidR="00C002A6" w:rsidRPr="00C002A6" w:rsidRDefault="00C002A6" w:rsidP="00CE2FDF">
            <w:pPr>
              <w:keepNext/>
              <w:spacing w:before="0" w:line="240" w:lineRule="auto"/>
              <w:jc w:val="center"/>
              <w:rPr>
                <w:b/>
              </w:rPr>
            </w:pPr>
            <w:r w:rsidRPr="00C002A6">
              <w:rPr>
                <w:b/>
              </w:rPr>
              <w:t>%</w:t>
            </w:r>
          </w:p>
        </w:tc>
        <w:tc>
          <w:tcPr>
            <w:tcW w:w="1800" w:type="dxa"/>
            <w:tcBorders>
              <w:top w:val="single" w:sz="4" w:space="0" w:color="auto"/>
              <w:left w:val="single" w:sz="4" w:space="0" w:color="auto"/>
              <w:bottom w:val="single" w:sz="4" w:space="0" w:color="auto"/>
            </w:tcBorders>
            <w:shd w:val="clear" w:color="auto" w:fill="95B3D7" w:themeFill="accent1" w:themeFillTint="99"/>
            <w:vAlign w:val="center"/>
            <w:hideMark/>
          </w:tcPr>
          <w:p w14:paraId="7A7A9C3A" w14:textId="77777777" w:rsidR="00C002A6" w:rsidRPr="00C002A6" w:rsidRDefault="00C002A6" w:rsidP="00CE2FDF">
            <w:pPr>
              <w:keepNext/>
              <w:spacing w:before="0" w:line="240" w:lineRule="auto"/>
              <w:jc w:val="right"/>
              <w:rPr>
                <w:b/>
              </w:rPr>
            </w:pPr>
            <w:r w:rsidRPr="00C002A6">
              <w:rPr>
                <w:b/>
              </w:rPr>
              <w:t>Sexual</w:t>
            </w:r>
            <w:r w:rsidR="008C7F17">
              <w:rPr>
                <w:b/>
              </w:rPr>
              <w:t xml:space="preserve"> abuse</w:t>
            </w:r>
          </w:p>
        </w:tc>
        <w:tc>
          <w:tcPr>
            <w:tcW w:w="1440" w:type="dxa"/>
            <w:tcBorders>
              <w:top w:val="single" w:sz="4" w:space="0" w:color="auto"/>
              <w:bottom w:val="single" w:sz="4" w:space="0" w:color="auto"/>
              <w:right w:val="single" w:sz="4" w:space="0" w:color="auto"/>
            </w:tcBorders>
            <w:shd w:val="clear" w:color="auto" w:fill="95B3D7" w:themeFill="accent1" w:themeFillTint="99"/>
            <w:vAlign w:val="center"/>
          </w:tcPr>
          <w:p w14:paraId="4CC84F30" w14:textId="77777777" w:rsidR="00C002A6" w:rsidRPr="00C002A6" w:rsidRDefault="00C002A6" w:rsidP="00CE2FDF">
            <w:pPr>
              <w:keepNext/>
              <w:spacing w:before="0" w:line="240" w:lineRule="auto"/>
              <w:jc w:val="center"/>
              <w:rPr>
                <w:b/>
              </w:rPr>
            </w:pPr>
            <w:r w:rsidRPr="00C002A6">
              <w:rPr>
                <w:b/>
              </w:rPr>
              <w:t>%</w:t>
            </w:r>
          </w:p>
        </w:tc>
        <w:tc>
          <w:tcPr>
            <w:tcW w:w="124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B92BC07" w14:textId="77777777" w:rsidR="00C002A6" w:rsidRPr="00C002A6" w:rsidRDefault="00C002A6" w:rsidP="00CE2FDF">
            <w:pPr>
              <w:keepNext/>
              <w:spacing w:before="0" w:line="240" w:lineRule="auto"/>
              <w:jc w:val="right"/>
              <w:rPr>
                <w:b/>
              </w:rPr>
            </w:pPr>
            <w:r w:rsidRPr="00C002A6">
              <w:rPr>
                <w:b/>
              </w:rPr>
              <w:t>Totals</w:t>
            </w:r>
            <w:r w:rsidR="008C7F17">
              <w:rPr>
                <w:b/>
              </w:rPr>
              <w:t>:</w:t>
            </w:r>
          </w:p>
        </w:tc>
      </w:tr>
      <w:tr w:rsidR="00C002A6" w:rsidRPr="002E1D48" w14:paraId="2ECC7567" w14:textId="77777777" w:rsidTr="00F2009E">
        <w:trPr>
          <w:trHeight w:val="276"/>
        </w:trPr>
        <w:tc>
          <w:tcPr>
            <w:tcW w:w="1008" w:type="dxa"/>
            <w:tcBorders>
              <w:top w:val="single" w:sz="4" w:space="0" w:color="auto"/>
              <w:left w:val="single" w:sz="4" w:space="0" w:color="auto"/>
              <w:right w:val="single" w:sz="4" w:space="0" w:color="auto"/>
            </w:tcBorders>
            <w:noWrap/>
            <w:vAlign w:val="center"/>
            <w:hideMark/>
          </w:tcPr>
          <w:p w14:paraId="603EF4E6" w14:textId="77777777" w:rsidR="00C002A6" w:rsidRPr="00C002A6" w:rsidRDefault="00C002A6" w:rsidP="00CE2FDF">
            <w:pPr>
              <w:keepNext/>
              <w:spacing w:before="0" w:line="240" w:lineRule="auto"/>
              <w:rPr>
                <w:b/>
              </w:rPr>
            </w:pPr>
            <w:r w:rsidRPr="00C002A6">
              <w:rPr>
                <w:b/>
              </w:rPr>
              <w:t>2003</w:t>
            </w:r>
          </w:p>
        </w:tc>
        <w:tc>
          <w:tcPr>
            <w:tcW w:w="2070" w:type="dxa"/>
            <w:tcBorders>
              <w:top w:val="single" w:sz="4" w:space="0" w:color="auto"/>
              <w:left w:val="single" w:sz="4" w:space="0" w:color="auto"/>
            </w:tcBorders>
            <w:noWrap/>
            <w:vAlign w:val="center"/>
            <w:hideMark/>
          </w:tcPr>
          <w:p w14:paraId="6A4604E7" w14:textId="77777777" w:rsidR="00C002A6" w:rsidRPr="002E1D48" w:rsidRDefault="00C002A6" w:rsidP="00CE2FDF">
            <w:pPr>
              <w:keepNext/>
              <w:spacing w:before="0" w:line="240" w:lineRule="auto"/>
              <w:jc w:val="right"/>
            </w:pPr>
            <w:r w:rsidRPr="002E1D48">
              <w:t>11</w:t>
            </w:r>
            <w:r w:rsidR="008E470D">
              <w:t>,</w:t>
            </w:r>
            <w:r w:rsidRPr="002E1D48">
              <w:t>749</w:t>
            </w:r>
          </w:p>
        </w:tc>
        <w:tc>
          <w:tcPr>
            <w:tcW w:w="1170" w:type="dxa"/>
            <w:tcBorders>
              <w:top w:val="single" w:sz="4" w:space="0" w:color="auto"/>
              <w:right w:val="single" w:sz="4" w:space="0" w:color="auto"/>
            </w:tcBorders>
            <w:vAlign w:val="center"/>
          </w:tcPr>
          <w:p w14:paraId="1B36FA98" w14:textId="77777777" w:rsidR="00C002A6" w:rsidRPr="002E1D48" w:rsidRDefault="00C002A6" w:rsidP="00CE2FDF">
            <w:pPr>
              <w:keepNext/>
              <w:spacing w:before="0" w:line="240" w:lineRule="auto"/>
              <w:jc w:val="center"/>
            </w:pPr>
            <w:r w:rsidRPr="002E1D48">
              <w:t>(31.5%)</w:t>
            </w:r>
          </w:p>
        </w:tc>
        <w:tc>
          <w:tcPr>
            <w:tcW w:w="1530" w:type="dxa"/>
            <w:tcBorders>
              <w:top w:val="single" w:sz="4" w:space="0" w:color="auto"/>
              <w:left w:val="single" w:sz="4" w:space="0" w:color="auto"/>
            </w:tcBorders>
            <w:noWrap/>
            <w:vAlign w:val="center"/>
            <w:hideMark/>
          </w:tcPr>
          <w:p w14:paraId="2738698B" w14:textId="77777777" w:rsidR="00C002A6" w:rsidRPr="002E1D48" w:rsidRDefault="00C002A6" w:rsidP="00CE2FDF">
            <w:pPr>
              <w:keepNext/>
              <w:spacing w:before="0" w:line="240" w:lineRule="auto"/>
              <w:jc w:val="right"/>
            </w:pPr>
            <w:r w:rsidRPr="002E1D48">
              <w:t>12</w:t>
            </w:r>
            <w:r w:rsidR="008E470D">
              <w:t>,</w:t>
            </w:r>
            <w:r w:rsidRPr="002E1D48">
              <w:t>029</w:t>
            </w:r>
          </w:p>
        </w:tc>
        <w:tc>
          <w:tcPr>
            <w:tcW w:w="1260" w:type="dxa"/>
            <w:tcBorders>
              <w:top w:val="single" w:sz="4" w:space="0" w:color="auto"/>
              <w:right w:val="single" w:sz="4" w:space="0" w:color="auto"/>
            </w:tcBorders>
            <w:vAlign w:val="center"/>
          </w:tcPr>
          <w:p w14:paraId="3A35C88C" w14:textId="77777777" w:rsidR="00C002A6" w:rsidRPr="002E1D48" w:rsidRDefault="00C002A6" w:rsidP="00CE2FDF">
            <w:pPr>
              <w:keepNext/>
              <w:spacing w:before="0" w:line="240" w:lineRule="auto"/>
              <w:jc w:val="center"/>
            </w:pPr>
            <w:r w:rsidRPr="002E1D48">
              <w:t>(32.3%)</w:t>
            </w:r>
          </w:p>
        </w:tc>
        <w:tc>
          <w:tcPr>
            <w:tcW w:w="2070" w:type="dxa"/>
            <w:tcBorders>
              <w:top w:val="single" w:sz="4" w:space="0" w:color="auto"/>
              <w:left w:val="single" w:sz="4" w:space="0" w:color="auto"/>
            </w:tcBorders>
            <w:noWrap/>
            <w:vAlign w:val="center"/>
            <w:hideMark/>
          </w:tcPr>
          <w:p w14:paraId="3C5B6E8A" w14:textId="77777777" w:rsidR="00C002A6" w:rsidRPr="002E1D48" w:rsidRDefault="00C002A6" w:rsidP="00CE2FDF">
            <w:pPr>
              <w:keepNext/>
              <w:spacing w:before="0" w:line="240" w:lineRule="auto"/>
              <w:jc w:val="right"/>
            </w:pPr>
            <w:r w:rsidRPr="002E1D48">
              <w:t>9</w:t>
            </w:r>
            <w:r w:rsidR="008E470D">
              <w:t>,</w:t>
            </w:r>
            <w:r w:rsidRPr="002E1D48">
              <w:t>048</w:t>
            </w:r>
          </w:p>
        </w:tc>
        <w:tc>
          <w:tcPr>
            <w:tcW w:w="1260" w:type="dxa"/>
            <w:tcBorders>
              <w:top w:val="single" w:sz="4" w:space="0" w:color="auto"/>
              <w:right w:val="single" w:sz="4" w:space="0" w:color="auto"/>
            </w:tcBorders>
            <w:vAlign w:val="center"/>
          </w:tcPr>
          <w:p w14:paraId="1AAC6925" w14:textId="77777777" w:rsidR="00C002A6" w:rsidRPr="002E1D48" w:rsidRDefault="00C002A6" w:rsidP="00CE2FDF">
            <w:pPr>
              <w:keepNext/>
              <w:spacing w:before="0" w:line="240" w:lineRule="auto"/>
              <w:jc w:val="center"/>
            </w:pPr>
            <w:r w:rsidRPr="002E1D48">
              <w:t>(24.3%)</w:t>
            </w:r>
          </w:p>
        </w:tc>
        <w:tc>
          <w:tcPr>
            <w:tcW w:w="1800" w:type="dxa"/>
            <w:tcBorders>
              <w:top w:val="single" w:sz="4" w:space="0" w:color="auto"/>
              <w:left w:val="single" w:sz="4" w:space="0" w:color="auto"/>
            </w:tcBorders>
            <w:noWrap/>
            <w:vAlign w:val="center"/>
            <w:hideMark/>
          </w:tcPr>
          <w:p w14:paraId="634A6F14" w14:textId="77777777" w:rsidR="00C002A6" w:rsidRPr="002E1D48" w:rsidRDefault="00C002A6" w:rsidP="00CE2FDF">
            <w:pPr>
              <w:keepNext/>
              <w:spacing w:before="0" w:line="240" w:lineRule="auto"/>
              <w:jc w:val="right"/>
            </w:pPr>
            <w:r w:rsidRPr="002E1D48">
              <w:t>4</w:t>
            </w:r>
            <w:r w:rsidR="008E470D">
              <w:t>,</w:t>
            </w:r>
            <w:r w:rsidRPr="002E1D48">
              <w:t>441</w:t>
            </w:r>
          </w:p>
        </w:tc>
        <w:tc>
          <w:tcPr>
            <w:tcW w:w="1440" w:type="dxa"/>
            <w:tcBorders>
              <w:top w:val="single" w:sz="4" w:space="0" w:color="auto"/>
              <w:right w:val="single" w:sz="4" w:space="0" w:color="auto"/>
            </w:tcBorders>
            <w:vAlign w:val="center"/>
          </w:tcPr>
          <w:p w14:paraId="39944CC6" w14:textId="77777777" w:rsidR="00C002A6" w:rsidRPr="002E1D48" w:rsidRDefault="00C002A6" w:rsidP="00CE2FDF">
            <w:pPr>
              <w:keepNext/>
              <w:spacing w:before="0" w:line="240" w:lineRule="auto"/>
              <w:jc w:val="center"/>
            </w:pPr>
            <w:r w:rsidRPr="002E1D48">
              <w:t>(11.9%)</w:t>
            </w:r>
          </w:p>
        </w:tc>
        <w:tc>
          <w:tcPr>
            <w:tcW w:w="1242" w:type="dxa"/>
            <w:tcBorders>
              <w:top w:val="single" w:sz="4" w:space="0" w:color="auto"/>
              <w:left w:val="single" w:sz="4" w:space="0" w:color="auto"/>
              <w:right w:val="single" w:sz="4" w:space="0" w:color="auto"/>
            </w:tcBorders>
            <w:noWrap/>
            <w:vAlign w:val="center"/>
            <w:hideMark/>
          </w:tcPr>
          <w:p w14:paraId="09522119" w14:textId="77777777" w:rsidR="00C002A6" w:rsidRPr="00C84E96" w:rsidRDefault="00C002A6" w:rsidP="00CE2FDF">
            <w:pPr>
              <w:keepNext/>
              <w:spacing w:before="0" w:line="240" w:lineRule="auto"/>
              <w:jc w:val="right"/>
              <w:rPr>
                <w:b/>
              </w:rPr>
            </w:pPr>
            <w:r w:rsidRPr="00C84E96">
              <w:rPr>
                <w:b/>
              </w:rPr>
              <w:t>37</w:t>
            </w:r>
            <w:r w:rsidR="008E470D" w:rsidRPr="00C84E96">
              <w:rPr>
                <w:b/>
              </w:rPr>
              <w:t>,</w:t>
            </w:r>
            <w:r w:rsidRPr="00C84E96">
              <w:rPr>
                <w:b/>
              </w:rPr>
              <w:t>267</w:t>
            </w:r>
          </w:p>
        </w:tc>
      </w:tr>
      <w:tr w:rsidR="00C002A6" w:rsidRPr="002E1D48" w14:paraId="17A2CC91" w14:textId="77777777" w:rsidTr="00F2009E">
        <w:trPr>
          <w:trHeight w:val="276"/>
        </w:trPr>
        <w:tc>
          <w:tcPr>
            <w:tcW w:w="1008" w:type="dxa"/>
            <w:tcBorders>
              <w:left w:val="single" w:sz="4" w:space="0" w:color="auto"/>
              <w:right w:val="single" w:sz="4" w:space="0" w:color="auto"/>
            </w:tcBorders>
            <w:shd w:val="clear" w:color="auto" w:fill="DBE5F1" w:themeFill="accent1" w:themeFillTint="33"/>
            <w:noWrap/>
            <w:vAlign w:val="center"/>
            <w:hideMark/>
          </w:tcPr>
          <w:p w14:paraId="74C0C888" w14:textId="77777777" w:rsidR="00C002A6" w:rsidRPr="00C002A6" w:rsidRDefault="00C002A6" w:rsidP="00CE2FDF">
            <w:pPr>
              <w:spacing w:before="0" w:line="240" w:lineRule="auto"/>
              <w:rPr>
                <w:b/>
              </w:rPr>
            </w:pPr>
            <w:r w:rsidRPr="00C002A6">
              <w:rPr>
                <w:b/>
              </w:rPr>
              <w:t>2004</w:t>
            </w:r>
          </w:p>
        </w:tc>
        <w:tc>
          <w:tcPr>
            <w:tcW w:w="2070" w:type="dxa"/>
            <w:tcBorders>
              <w:left w:val="single" w:sz="4" w:space="0" w:color="auto"/>
            </w:tcBorders>
            <w:shd w:val="clear" w:color="auto" w:fill="DBE5F1" w:themeFill="accent1" w:themeFillTint="33"/>
            <w:noWrap/>
            <w:vAlign w:val="center"/>
            <w:hideMark/>
          </w:tcPr>
          <w:p w14:paraId="22D9FAA0" w14:textId="77777777" w:rsidR="00C002A6" w:rsidRPr="002E1D48" w:rsidRDefault="00C002A6" w:rsidP="00CE2FDF">
            <w:pPr>
              <w:spacing w:before="0" w:line="240" w:lineRule="auto"/>
              <w:jc w:val="right"/>
            </w:pPr>
            <w:r w:rsidRPr="002E1D48">
              <w:t>11</w:t>
            </w:r>
            <w:r w:rsidR="008E470D">
              <w:t>,</w:t>
            </w:r>
            <w:r w:rsidRPr="002E1D48">
              <w:t>618</w:t>
            </w:r>
          </w:p>
        </w:tc>
        <w:tc>
          <w:tcPr>
            <w:tcW w:w="1170" w:type="dxa"/>
            <w:tcBorders>
              <w:right w:val="single" w:sz="4" w:space="0" w:color="auto"/>
            </w:tcBorders>
            <w:shd w:val="clear" w:color="auto" w:fill="DBE5F1" w:themeFill="accent1" w:themeFillTint="33"/>
            <w:vAlign w:val="center"/>
          </w:tcPr>
          <w:p w14:paraId="1F709149" w14:textId="77777777" w:rsidR="00C002A6" w:rsidRPr="002E1D48" w:rsidRDefault="00C002A6" w:rsidP="00CE2FDF">
            <w:pPr>
              <w:spacing w:before="0" w:line="240" w:lineRule="auto"/>
              <w:jc w:val="center"/>
            </w:pPr>
            <w:r w:rsidRPr="002E1D48">
              <w:t>(30.9%)</w:t>
            </w:r>
          </w:p>
        </w:tc>
        <w:tc>
          <w:tcPr>
            <w:tcW w:w="1530" w:type="dxa"/>
            <w:tcBorders>
              <w:left w:val="single" w:sz="4" w:space="0" w:color="auto"/>
            </w:tcBorders>
            <w:shd w:val="clear" w:color="auto" w:fill="DBE5F1" w:themeFill="accent1" w:themeFillTint="33"/>
            <w:noWrap/>
            <w:vAlign w:val="center"/>
            <w:hideMark/>
          </w:tcPr>
          <w:p w14:paraId="3C826A19" w14:textId="77777777" w:rsidR="00C002A6" w:rsidRPr="002E1D48" w:rsidRDefault="00C002A6" w:rsidP="00CE2FDF">
            <w:pPr>
              <w:spacing w:before="0" w:line="240" w:lineRule="auto"/>
              <w:jc w:val="right"/>
            </w:pPr>
            <w:r w:rsidRPr="002E1D48">
              <w:t>11</w:t>
            </w:r>
            <w:r w:rsidR="008E470D">
              <w:t>,</w:t>
            </w:r>
            <w:r w:rsidRPr="002E1D48">
              <w:t>702</w:t>
            </w:r>
          </w:p>
        </w:tc>
        <w:tc>
          <w:tcPr>
            <w:tcW w:w="1260" w:type="dxa"/>
            <w:tcBorders>
              <w:right w:val="single" w:sz="4" w:space="0" w:color="auto"/>
            </w:tcBorders>
            <w:shd w:val="clear" w:color="auto" w:fill="DBE5F1" w:themeFill="accent1" w:themeFillTint="33"/>
            <w:vAlign w:val="center"/>
          </w:tcPr>
          <w:p w14:paraId="722D0CFB" w14:textId="77777777" w:rsidR="00C002A6" w:rsidRPr="002E1D48" w:rsidRDefault="00C002A6" w:rsidP="00CE2FDF">
            <w:pPr>
              <w:spacing w:before="0" w:line="240" w:lineRule="auto"/>
              <w:jc w:val="center"/>
            </w:pPr>
            <w:r w:rsidRPr="002E1D48">
              <w:t>(31.1%)</w:t>
            </w:r>
          </w:p>
        </w:tc>
        <w:tc>
          <w:tcPr>
            <w:tcW w:w="2070" w:type="dxa"/>
            <w:tcBorders>
              <w:left w:val="single" w:sz="4" w:space="0" w:color="auto"/>
            </w:tcBorders>
            <w:shd w:val="clear" w:color="auto" w:fill="DBE5F1" w:themeFill="accent1" w:themeFillTint="33"/>
            <w:noWrap/>
            <w:vAlign w:val="center"/>
            <w:hideMark/>
          </w:tcPr>
          <w:p w14:paraId="4557F976" w14:textId="77777777" w:rsidR="00C002A6" w:rsidRPr="002E1D48" w:rsidRDefault="00C002A6" w:rsidP="00CE2FDF">
            <w:pPr>
              <w:spacing w:before="0" w:line="240" w:lineRule="auto"/>
              <w:jc w:val="right"/>
            </w:pPr>
            <w:r w:rsidRPr="002E1D48">
              <w:t>9</w:t>
            </w:r>
            <w:r w:rsidR="008E470D">
              <w:t>,</w:t>
            </w:r>
            <w:r w:rsidRPr="002E1D48">
              <w:t>697</w:t>
            </w:r>
          </w:p>
        </w:tc>
        <w:tc>
          <w:tcPr>
            <w:tcW w:w="1260" w:type="dxa"/>
            <w:tcBorders>
              <w:right w:val="single" w:sz="4" w:space="0" w:color="auto"/>
            </w:tcBorders>
            <w:shd w:val="clear" w:color="auto" w:fill="DBE5F1" w:themeFill="accent1" w:themeFillTint="33"/>
            <w:vAlign w:val="center"/>
          </w:tcPr>
          <w:p w14:paraId="5B09FC82" w14:textId="77777777" w:rsidR="00C002A6" w:rsidRPr="002E1D48" w:rsidRDefault="00C002A6" w:rsidP="00CE2FDF">
            <w:pPr>
              <w:spacing w:before="0" w:line="240" w:lineRule="auto"/>
              <w:jc w:val="center"/>
            </w:pPr>
            <w:r w:rsidRPr="002E1D48">
              <w:t>(25.8%)</w:t>
            </w:r>
          </w:p>
        </w:tc>
        <w:tc>
          <w:tcPr>
            <w:tcW w:w="1800" w:type="dxa"/>
            <w:tcBorders>
              <w:left w:val="single" w:sz="4" w:space="0" w:color="auto"/>
            </w:tcBorders>
            <w:shd w:val="clear" w:color="auto" w:fill="DBE5F1" w:themeFill="accent1" w:themeFillTint="33"/>
            <w:noWrap/>
            <w:vAlign w:val="center"/>
            <w:hideMark/>
          </w:tcPr>
          <w:p w14:paraId="2928DC7F" w14:textId="77777777" w:rsidR="00C002A6" w:rsidRPr="002E1D48" w:rsidRDefault="00C002A6" w:rsidP="00CE2FDF">
            <w:pPr>
              <w:spacing w:before="0" w:line="240" w:lineRule="auto"/>
              <w:jc w:val="right"/>
            </w:pPr>
            <w:r w:rsidRPr="002E1D48">
              <w:t>4</w:t>
            </w:r>
            <w:r w:rsidR="008E470D">
              <w:t>,</w:t>
            </w:r>
            <w:r w:rsidRPr="002E1D48">
              <w:t>632</w:t>
            </w:r>
          </w:p>
        </w:tc>
        <w:tc>
          <w:tcPr>
            <w:tcW w:w="1440" w:type="dxa"/>
            <w:tcBorders>
              <w:right w:val="single" w:sz="4" w:space="0" w:color="auto"/>
            </w:tcBorders>
            <w:shd w:val="clear" w:color="auto" w:fill="DBE5F1" w:themeFill="accent1" w:themeFillTint="33"/>
            <w:vAlign w:val="center"/>
          </w:tcPr>
          <w:p w14:paraId="1F9FC2BD" w14:textId="77777777" w:rsidR="00C002A6" w:rsidRPr="002E1D48" w:rsidRDefault="00C002A6" w:rsidP="00CE2FDF">
            <w:pPr>
              <w:spacing w:before="0" w:line="240" w:lineRule="auto"/>
              <w:jc w:val="center"/>
            </w:pPr>
            <w:r w:rsidRPr="002E1D48">
              <w:t>(12.3%)</w:t>
            </w:r>
          </w:p>
        </w:tc>
        <w:tc>
          <w:tcPr>
            <w:tcW w:w="1242" w:type="dxa"/>
            <w:tcBorders>
              <w:left w:val="single" w:sz="4" w:space="0" w:color="auto"/>
              <w:right w:val="single" w:sz="4" w:space="0" w:color="auto"/>
            </w:tcBorders>
            <w:shd w:val="clear" w:color="auto" w:fill="DBE5F1" w:themeFill="accent1" w:themeFillTint="33"/>
            <w:noWrap/>
            <w:vAlign w:val="center"/>
            <w:hideMark/>
          </w:tcPr>
          <w:p w14:paraId="4EFE94E4" w14:textId="77777777" w:rsidR="00C002A6" w:rsidRPr="00C84E96" w:rsidRDefault="00C002A6" w:rsidP="00CE2FDF">
            <w:pPr>
              <w:spacing w:before="0" w:line="240" w:lineRule="auto"/>
              <w:jc w:val="right"/>
              <w:rPr>
                <w:b/>
              </w:rPr>
            </w:pPr>
            <w:r w:rsidRPr="00C84E96">
              <w:rPr>
                <w:b/>
              </w:rPr>
              <w:t>37</w:t>
            </w:r>
            <w:r w:rsidR="008E470D" w:rsidRPr="00C84E96">
              <w:rPr>
                <w:b/>
              </w:rPr>
              <w:t>,</w:t>
            </w:r>
            <w:r w:rsidRPr="00C84E96">
              <w:rPr>
                <w:b/>
              </w:rPr>
              <w:t>649</w:t>
            </w:r>
          </w:p>
        </w:tc>
      </w:tr>
      <w:tr w:rsidR="00C002A6" w:rsidRPr="002E1D48" w14:paraId="4689C374" w14:textId="77777777" w:rsidTr="00F2009E">
        <w:trPr>
          <w:trHeight w:val="276"/>
        </w:trPr>
        <w:tc>
          <w:tcPr>
            <w:tcW w:w="1008" w:type="dxa"/>
            <w:tcBorders>
              <w:left w:val="single" w:sz="4" w:space="0" w:color="auto"/>
              <w:right w:val="single" w:sz="4" w:space="0" w:color="auto"/>
            </w:tcBorders>
            <w:noWrap/>
            <w:vAlign w:val="center"/>
            <w:hideMark/>
          </w:tcPr>
          <w:p w14:paraId="5B8E9311" w14:textId="77777777" w:rsidR="00C002A6" w:rsidRPr="00C002A6" w:rsidRDefault="00C002A6" w:rsidP="00CE2FDF">
            <w:pPr>
              <w:spacing w:before="0" w:line="240" w:lineRule="auto"/>
              <w:rPr>
                <w:b/>
              </w:rPr>
            </w:pPr>
            <w:r w:rsidRPr="00C002A6">
              <w:rPr>
                <w:b/>
              </w:rPr>
              <w:t>2005</w:t>
            </w:r>
          </w:p>
        </w:tc>
        <w:tc>
          <w:tcPr>
            <w:tcW w:w="2070" w:type="dxa"/>
            <w:tcBorders>
              <w:left w:val="single" w:sz="4" w:space="0" w:color="auto"/>
            </w:tcBorders>
            <w:noWrap/>
            <w:vAlign w:val="center"/>
            <w:hideMark/>
          </w:tcPr>
          <w:p w14:paraId="07ACDC74" w14:textId="77777777" w:rsidR="00C002A6" w:rsidRPr="002E1D48" w:rsidRDefault="00C002A6" w:rsidP="00CE2FDF">
            <w:pPr>
              <w:spacing w:before="0" w:line="240" w:lineRule="auto"/>
              <w:jc w:val="right"/>
            </w:pPr>
            <w:r w:rsidRPr="002E1D48">
              <w:t>11</w:t>
            </w:r>
            <w:r w:rsidR="008E470D">
              <w:t>,</w:t>
            </w:r>
            <w:r w:rsidRPr="002E1D48">
              <w:t>905</w:t>
            </w:r>
          </w:p>
        </w:tc>
        <w:tc>
          <w:tcPr>
            <w:tcW w:w="1170" w:type="dxa"/>
            <w:tcBorders>
              <w:right w:val="single" w:sz="4" w:space="0" w:color="auto"/>
            </w:tcBorders>
            <w:vAlign w:val="center"/>
          </w:tcPr>
          <w:p w14:paraId="0D92097D" w14:textId="77777777" w:rsidR="00C002A6" w:rsidRPr="002E1D48" w:rsidRDefault="00C002A6" w:rsidP="00CE2FDF">
            <w:pPr>
              <w:spacing w:before="0" w:line="240" w:lineRule="auto"/>
              <w:jc w:val="center"/>
            </w:pPr>
            <w:r w:rsidRPr="002E1D48">
              <w:t>(32.5%)</w:t>
            </w:r>
          </w:p>
        </w:tc>
        <w:tc>
          <w:tcPr>
            <w:tcW w:w="1530" w:type="dxa"/>
            <w:tcBorders>
              <w:left w:val="single" w:sz="4" w:space="0" w:color="auto"/>
            </w:tcBorders>
            <w:noWrap/>
            <w:vAlign w:val="center"/>
            <w:hideMark/>
          </w:tcPr>
          <w:p w14:paraId="3682AE7E" w14:textId="77777777" w:rsidR="00C002A6" w:rsidRPr="002E1D48" w:rsidRDefault="00C002A6" w:rsidP="00CE2FDF">
            <w:pPr>
              <w:spacing w:before="0" w:line="240" w:lineRule="auto"/>
              <w:jc w:val="right"/>
            </w:pPr>
            <w:r w:rsidRPr="002E1D48">
              <w:t>11</w:t>
            </w:r>
            <w:r w:rsidR="008E470D">
              <w:t>,</w:t>
            </w:r>
            <w:r w:rsidRPr="002E1D48">
              <w:t>295</w:t>
            </w:r>
          </w:p>
        </w:tc>
        <w:tc>
          <w:tcPr>
            <w:tcW w:w="1260" w:type="dxa"/>
            <w:tcBorders>
              <w:right w:val="single" w:sz="4" w:space="0" w:color="auto"/>
            </w:tcBorders>
            <w:vAlign w:val="center"/>
          </w:tcPr>
          <w:p w14:paraId="4E6CE673" w14:textId="77777777" w:rsidR="00C002A6" w:rsidRPr="002E1D48" w:rsidRDefault="00C002A6" w:rsidP="00CE2FDF">
            <w:pPr>
              <w:spacing w:before="0" w:line="240" w:lineRule="auto"/>
              <w:jc w:val="center"/>
            </w:pPr>
            <w:r w:rsidRPr="002E1D48">
              <w:t>(30.8%)</w:t>
            </w:r>
          </w:p>
        </w:tc>
        <w:tc>
          <w:tcPr>
            <w:tcW w:w="2070" w:type="dxa"/>
            <w:tcBorders>
              <w:left w:val="single" w:sz="4" w:space="0" w:color="auto"/>
            </w:tcBorders>
            <w:noWrap/>
            <w:vAlign w:val="center"/>
            <w:hideMark/>
          </w:tcPr>
          <w:p w14:paraId="42D198FA" w14:textId="77777777" w:rsidR="00C002A6" w:rsidRPr="002E1D48" w:rsidRDefault="00C002A6" w:rsidP="00CE2FDF">
            <w:pPr>
              <w:spacing w:before="0" w:line="240" w:lineRule="auto"/>
              <w:jc w:val="right"/>
            </w:pPr>
            <w:r w:rsidRPr="002E1D48">
              <w:t>8</w:t>
            </w:r>
            <w:r w:rsidR="008E470D">
              <w:t>,</w:t>
            </w:r>
            <w:r w:rsidRPr="002E1D48">
              <w:t>930</w:t>
            </w:r>
          </w:p>
        </w:tc>
        <w:tc>
          <w:tcPr>
            <w:tcW w:w="1260" w:type="dxa"/>
            <w:tcBorders>
              <w:right w:val="single" w:sz="4" w:space="0" w:color="auto"/>
            </w:tcBorders>
            <w:vAlign w:val="center"/>
          </w:tcPr>
          <w:p w14:paraId="7DE6886E" w14:textId="77777777" w:rsidR="00C002A6" w:rsidRPr="002E1D48" w:rsidRDefault="00C002A6" w:rsidP="00CE2FDF">
            <w:pPr>
              <w:spacing w:before="0" w:line="240" w:lineRule="auto"/>
              <w:jc w:val="center"/>
            </w:pPr>
            <w:r w:rsidRPr="002E1D48">
              <w:t>(24.4%)</w:t>
            </w:r>
          </w:p>
        </w:tc>
        <w:tc>
          <w:tcPr>
            <w:tcW w:w="1800" w:type="dxa"/>
            <w:tcBorders>
              <w:left w:val="single" w:sz="4" w:space="0" w:color="auto"/>
            </w:tcBorders>
            <w:noWrap/>
            <w:vAlign w:val="center"/>
            <w:hideMark/>
          </w:tcPr>
          <w:p w14:paraId="100CED75" w14:textId="77777777" w:rsidR="00C002A6" w:rsidRPr="002E1D48" w:rsidRDefault="00C002A6" w:rsidP="00CE2FDF">
            <w:pPr>
              <w:spacing w:before="0" w:line="240" w:lineRule="auto"/>
              <w:jc w:val="right"/>
            </w:pPr>
            <w:r w:rsidRPr="002E1D48">
              <w:t>4</w:t>
            </w:r>
            <w:r w:rsidR="008E470D">
              <w:t>,</w:t>
            </w:r>
            <w:r w:rsidRPr="002E1D48">
              <w:t>527</w:t>
            </w:r>
          </w:p>
        </w:tc>
        <w:tc>
          <w:tcPr>
            <w:tcW w:w="1440" w:type="dxa"/>
            <w:tcBorders>
              <w:right w:val="single" w:sz="4" w:space="0" w:color="auto"/>
            </w:tcBorders>
            <w:vAlign w:val="center"/>
          </w:tcPr>
          <w:p w14:paraId="5AFE60F8" w14:textId="77777777" w:rsidR="00C002A6" w:rsidRPr="002E1D48" w:rsidRDefault="00C002A6" w:rsidP="00CE2FDF">
            <w:pPr>
              <w:spacing w:before="0" w:line="240" w:lineRule="auto"/>
              <w:jc w:val="center"/>
            </w:pPr>
            <w:r w:rsidRPr="002E1D48">
              <w:t>(12.3%)</w:t>
            </w:r>
          </w:p>
        </w:tc>
        <w:tc>
          <w:tcPr>
            <w:tcW w:w="1242" w:type="dxa"/>
            <w:tcBorders>
              <w:left w:val="single" w:sz="4" w:space="0" w:color="auto"/>
              <w:right w:val="single" w:sz="4" w:space="0" w:color="auto"/>
            </w:tcBorders>
            <w:noWrap/>
            <w:vAlign w:val="center"/>
            <w:hideMark/>
          </w:tcPr>
          <w:p w14:paraId="6BDADE29" w14:textId="77777777" w:rsidR="00C002A6" w:rsidRPr="00C84E96" w:rsidRDefault="00C002A6" w:rsidP="00CE2FDF">
            <w:pPr>
              <w:spacing w:before="0" w:line="240" w:lineRule="auto"/>
              <w:jc w:val="right"/>
              <w:rPr>
                <w:b/>
              </w:rPr>
            </w:pPr>
            <w:r w:rsidRPr="00C84E96">
              <w:rPr>
                <w:b/>
              </w:rPr>
              <w:t>36</w:t>
            </w:r>
            <w:r w:rsidR="008E470D" w:rsidRPr="00C84E96">
              <w:rPr>
                <w:b/>
              </w:rPr>
              <w:t>,</w:t>
            </w:r>
            <w:r w:rsidRPr="00C84E96">
              <w:rPr>
                <w:b/>
              </w:rPr>
              <w:t>657</w:t>
            </w:r>
          </w:p>
        </w:tc>
      </w:tr>
      <w:tr w:rsidR="00C002A6" w:rsidRPr="002E1D48" w14:paraId="2313EB9C" w14:textId="77777777" w:rsidTr="00F2009E">
        <w:trPr>
          <w:trHeight w:val="276"/>
        </w:trPr>
        <w:tc>
          <w:tcPr>
            <w:tcW w:w="1008" w:type="dxa"/>
            <w:tcBorders>
              <w:left w:val="single" w:sz="4" w:space="0" w:color="auto"/>
              <w:right w:val="single" w:sz="4" w:space="0" w:color="auto"/>
            </w:tcBorders>
            <w:shd w:val="clear" w:color="auto" w:fill="DBE5F1" w:themeFill="accent1" w:themeFillTint="33"/>
            <w:noWrap/>
            <w:vAlign w:val="center"/>
            <w:hideMark/>
          </w:tcPr>
          <w:p w14:paraId="2E1C1D05" w14:textId="77777777" w:rsidR="00C002A6" w:rsidRPr="00C002A6" w:rsidRDefault="00C002A6" w:rsidP="00CE2FDF">
            <w:pPr>
              <w:spacing w:before="0" w:line="240" w:lineRule="auto"/>
              <w:rPr>
                <w:b/>
              </w:rPr>
            </w:pPr>
            <w:r w:rsidRPr="00C002A6">
              <w:rPr>
                <w:b/>
              </w:rPr>
              <w:t>2006</w:t>
            </w:r>
          </w:p>
        </w:tc>
        <w:tc>
          <w:tcPr>
            <w:tcW w:w="2070" w:type="dxa"/>
            <w:tcBorders>
              <w:left w:val="single" w:sz="4" w:space="0" w:color="auto"/>
            </w:tcBorders>
            <w:shd w:val="clear" w:color="auto" w:fill="DBE5F1" w:themeFill="accent1" w:themeFillTint="33"/>
            <w:noWrap/>
            <w:vAlign w:val="center"/>
            <w:hideMark/>
          </w:tcPr>
          <w:p w14:paraId="07922788" w14:textId="77777777" w:rsidR="00C002A6" w:rsidRPr="002E1D48" w:rsidRDefault="00C002A6" w:rsidP="00CE2FDF">
            <w:pPr>
              <w:spacing w:before="0" w:line="240" w:lineRule="auto"/>
              <w:jc w:val="right"/>
            </w:pPr>
            <w:r w:rsidRPr="002E1D48">
              <w:t>13</w:t>
            </w:r>
            <w:r w:rsidR="008E470D">
              <w:t>,</w:t>
            </w:r>
            <w:r w:rsidRPr="002E1D48">
              <w:t>212</w:t>
            </w:r>
          </w:p>
        </w:tc>
        <w:tc>
          <w:tcPr>
            <w:tcW w:w="1170" w:type="dxa"/>
            <w:tcBorders>
              <w:right w:val="single" w:sz="4" w:space="0" w:color="auto"/>
            </w:tcBorders>
            <w:shd w:val="clear" w:color="auto" w:fill="DBE5F1" w:themeFill="accent1" w:themeFillTint="33"/>
            <w:vAlign w:val="center"/>
          </w:tcPr>
          <w:p w14:paraId="0D03304D" w14:textId="77777777" w:rsidR="00C002A6" w:rsidRPr="002E1D48" w:rsidRDefault="00C002A6" w:rsidP="00CE2FDF">
            <w:pPr>
              <w:spacing w:before="0" w:line="240" w:lineRule="auto"/>
              <w:jc w:val="center"/>
            </w:pPr>
            <w:r w:rsidRPr="002E1D48">
              <w:t>(35.1%)</w:t>
            </w:r>
          </w:p>
        </w:tc>
        <w:tc>
          <w:tcPr>
            <w:tcW w:w="1530" w:type="dxa"/>
            <w:tcBorders>
              <w:left w:val="single" w:sz="4" w:space="0" w:color="auto"/>
            </w:tcBorders>
            <w:shd w:val="clear" w:color="auto" w:fill="DBE5F1" w:themeFill="accent1" w:themeFillTint="33"/>
            <w:noWrap/>
            <w:vAlign w:val="center"/>
            <w:hideMark/>
          </w:tcPr>
          <w:p w14:paraId="4E60ADAC" w14:textId="77777777" w:rsidR="00C002A6" w:rsidRPr="002E1D48" w:rsidRDefault="00C002A6" w:rsidP="00CE2FDF">
            <w:pPr>
              <w:spacing w:before="0" w:line="240" w:lineRule="auto"/>
              <w:jc w:val="right"/>
            </w:pPr>
            <w:r w:rsidRPr="002E1D48">
              <w:t>9</w:t>
            </w:r>
            <w:r w:rsidR="008E470D">
              <w:t>,</w:t>
            </w:r>
            <w:r w:rsidRPr="002E1D48">
              <w:t>625</w:t>
            </w:r>
          </w:p>
        </w:tc>
        <w:tc>
          <w:tcPr>
            <w:tcW w:w="1260" w:type="dxa"/>
            <w:tcBorders>
              <w:right w:val="single" w:sz="4" w:space="0" w:color="auto"/>
            </w:tcBorders>
            <w:shd w:val="clear" w:color="auto" w:fill="DBE5F1" w:themeFill="accent1" w:themeFillTint="33"/>
            <w:vAlign w:val="center"/>
          </w:tcPr>
          <w:p w14:paraId="6DF3860F" w14:textId="77777777" w:rsidR="00C002A6" w:rsidRPr="002E1D48" w:rsidRDefault="00C002A6" w:rsidP="00CE2FDF">
            <w:pPr>
              <w:spacing w:before="0" w:line="240" w:lineRule="auto"/>
              <w:jc w:val="center"/>
            </w:pPr>
            <w:r w:rsidRPr="002E1D48">
              <w:t>(25.5%)</w:t>
            </w:r>
          </w:p>
        </w:tc>
        <w:tc>
          <w:tcPr>
            <w:tcW w:w="2070" w:type="dxa"/>
            <w:tcBorders>
              <w:left w:val="single" w:sz="4" w:space="0" w:color="auto"/>
            </w:tcBorders>
            <w:shd w:val="clear" w:color="auto" w:fill="DBE5F1" w:themeFill="accent1" w:themeFillTint="33"/>
            <w:noWrap/>
            <w:vAlign w:val="center"/>
            <w:hideMark/>
          </w:tcPr>
          <w:p w14:paraId="326AE0D7" w14:textId="77777777" w:rsidR="00C002A6" w:rsidRPr="002E1D48" w:rsidRDefault="00C002A6" w:rsidP="00CE2FDF">
            <w:pPr>
              <w:spacing w:before="0" w:line="240" w:lineRule="auto"/>
              <w:jc w:val="right"/>
            </w:pPr>
            <w:r w:rsidRPr="002E1D48">
              <w:t>10</w:t>
            </w:r>
            <w:r w:rsidR="008E470D">
              <w:t>,</w:t>
            </w:r>
            <w:r w:rsidRPr="002E1D48">
              <w:t>382</w:t>
            </w:r>
          </w:p>
        </w:tc>
        <w:tc>
          <w:tcPr>
            <w:tcW w:w="1260" w:type="dxa"/>
            <w:tcBorders>
              <w:right w:val="single" w:sz="4" w:space="0" w:color="auto"/>
            </w:tcBorders>
            <w:shd w:val="clear" w:color="auto" w:fill="DBE5F1" w:themeFill="accent1" w:themeFillTint="33"/>
            <w:vAlign w:val="center"/>
          </w:tcPr>
          <w:p w14:paraId="49406774" w14:textId="77777777" w:rsidR="00C002A6" w:rsidRPr="002E1D48" w:rsidRDefault="00C002A6" w:rsidP="00CE2FDF">
            <w:pPr>
              <w:spacing w:before="0" w:line="240" w:lineRule="auto"/>
              <w:jc w:val="center"/>
            </w:pPr>
            <w:r w:rsidRPr="002E1D48">
              <w:t>(27.5%)</w:t>
            </w:r>
          </w:p>
        </w:tc>
        <w:tc>
          <w:tcPr>
            <w:tcW w:w="1800" w:type="dxa"/>
            <w:tcBorders>
              <w:left w:val="single" w:sz="4" w:space="0" w:color="auto"/>
            </w:tcBorders>
            <w:shd w:val="clear" w:color="auto" w:fill="DBE5F1" w:themeFill="accent1" w:themeFillTint="33"/>
            <w:noWrap/>
            <w:vAlign w:val="center"/>
            <w:hideMark/>
          </w:tcPr>
          <w:p w14:paraId="46CDB4B1" w14:textId="77777777" w:rsidR="00C002A6" w:rsidRPr="002E1D48" w:rsidRDefault="00C002A6" w:rsidP="00CE2FDF">
            <w:pPr>
              <w:spacing w:before="0" w:line="240" w:lineRule="auto"/>
              <w:jc w:val="right"/>
            </w:pPr>
            <w:r w:rsidRPr="002E1D48">
              <w:t>4</w:t>
            </w:r>
            <w:r w:rsidR="008E470D">
              <w:t>,</w:t>
            </w:r>
            <w:r w:rsidRPr="002E1D48">
              <w:t>474</w:t>
            </w:r>
          </w:p>
        </w:tc>
        <w:tc>
          <w:tcPr>
            <w:tcW w:w="1440" w:type="dxa"/>
            <w:tcBorders>
              <w:right w:val="single" w:sz="4" w:space="0" w:color="auto"/>
            </w:tcBorders>
            <w:shd w:val="clear" w:color="auto" w:fill="DBE5F1" w:themeFill="accent1" w:themeFillTint="33"/>
            <w:vAlign w:val="center"/>
          </w:tcPr>
          <w:p w14:paraId="5C99C530" w14:textId="77777777" w:rsidR="00C002A6" w:rsidRPr="002E1D48" w:rsidRDefault="00C002A6" w:rsidP="00CE2FDF">
            <w:pPr>
              <w:spacing w:before="0" w:line="240" w:lineRule="auto"/>
              <w:jc w:val="center"/>
            </w:pPr>
            <w:r w:rsidRPr="002E1D48">
              <w:t>(11.9%)</w:t>
            </w:r>
          </w:p>
        </w:tc>
        <w:tc>
          <w:tcPr>
            <w:tcW w:w="1242" w:type="dxa"/>
            <w:tcBorders>
              <w:left w:val="single" w:sz="4" w:space="0" w:color="auto"/>
              <w:right w:val="single" w:sz="4" w:space="0" w:color="auto"/>
            </w:tcBorders>
            <w:shd w:val="clear" w:color="auto" w:fill="DBE5F1" w:themeFill="accent1" w:themeFillTint="33"/>
            <w:noWrap/>
            <w:vAlign w:val="center"/>
            <w:hideMark/>
          </w:tcPr>
          <w:p w14:paraId="122EA8F1" w14:textId="77777777" w:rsidR="00C002A6" w:rsidRPr="00C84E96" w:rsidRDefault="00C002A6" w:rsidP="00CE2FDF">
            <w:pPr>
              <w:spacing w:before="0" w:line="240" w:lineRule="auto"/>
              <w:jc w:val="right"/>
              <w:rPr>
                <w:b/>
              </w:rPr>
            </w:pPr>
            <w:r w:rsidRPr="00C84E96">
              <w:rPr>
                <w:b/>
              </w:rPr>
              <w:t>37</w:t>
            </w:r>
            <w:r w:rsidR="008E470D" w:rsidRPr="00C84E96">
              <w:rPr>
                <w:b/>
              </w:rPr>
              <w:t>,</w:t>
            </w:r>
            <w:r w:rsidRPr="00C84E96">
              <w:rPr>
                <w:b/>
              </w:rPr>
              <w:t>693</w:t>
            </w:r>
          </w:p>
        </w:tc>
      </w:tr>
      <w:tr w:rsidR="00C002A6" w:rsidRPr="002E1D48" w14:paraId="37E2101B" w14:textId="77777777" w:rsidTr="00F2009E">
        <w:trPr>
          <w:trHeight w:val="276"/>
        </w:trPr>
        <w:tc>
          <w:tcPr>
            <w:tcW w:w="1008" w:type="dxa"/>
            <w:tcBorders>
              <w:left w:val="single" w:sz="4" w:space="0" w:color="auto"/>
              <w:right w:val="single" w:sz="4" w:space="0" w:color="auto"/>
            </w:tcBorders>
            <w:noWrap/>
            <w:vAlign w:val="center"/>
            <w:hideMark/>
          </w:tcPr>
          <w:p w14:paraId="4E429324" w14:textId="77777777" w:rsidR="00C002A6" w:rsidRPr="00C002A6" w:rsidRDefault="00C002A6" w:rsidP="00CE2FDF">
            <w:pPr>
              <w:spacing w:before="0" w:line="240" w:lineRule="auto"/>
              <w:rPr>
                <w:b/>
              </w:rPr>
            </w:pPr>
            <w:r w:rsidRPr="00C002A6">
              <w:rPr>
                <w:b/>
              </w:rPr>
              <w:t>2007</w:t>
            </w:r>
          </w:p>
        </w:tc>
        <w:tc>
          <w:tcPr>
            <w:tcW w:w="2070" w:type="dxa"/>
            <w:tcBorders>
              <w:left w:val="single" w:sz="4" w:space="0" w:color="auto"/>
            </w:tcBorders>
            <w:noWrap/>
            <w:vAlign w:val="center"/>
            <w:hideMark/>
          </w:tcPr>
          <w:p w14:paraId="6B13B341" w14:textId="77777777" w:rsidR="00C002A6" w:rsidRPr="002E1D48" w:rsidRDefault="00C002A6" w:rsidP="00CE2FDF">
            <w:pPr>
              <w:spacing w:before="0" w:line="240" w:lineRule="auto"/>
              <w:jc w:val="right"/>
            </w:pPr>
            <w:r w:rsidRPr="002E1D48">
              <w:t>10</w:t>
            </w:r>
            <w:r w:rsidR="008E470D">
              <w:t>,</w:t>
            </w:r>
            <w:r w:rsidRPr="002E1D48">
              <w:t>680</w:t>
            </w:r>
          </w:p>
        </w:tc>
        <w:tc>
          <w:tcPr>
            <w:tcW w:w="1170" w:type="dxa"/>
            <w:tcBorders>
              <w:right w:val="single" w:sz="4" w:space="0" w:color="auto"/>
            </w:tcBorders>
            <w:vAlign w:val="center"/>
          </w:tcPr>
          <w:p w14:paraId="6DD0A305" w14:textId="77777777" w:rsidR="00C002A6" w:rsidRPr="002E1D48" w:rsidRDefault="00C002A6" w:rsidP="00CE2FDF">
            <w:pPr>
              <w:spacing w:before="0" w:line="240" w:lineRule="auto"/>
              <w:jc w:val="center"/>
            </w:pPr>
            <w:r w:rsidRPr="002E1D48">
              <w:t>(27.5%)</w:t>
            </w:r>
          </w:p>
        </w:tc>
        <w:tc>
          <w:tcPr>
            <w:tcW w:w="1530" w:type="dxa"/>
            <w:tcBorders>
              <w:left w:val="single" w:sz="4" w:space="0" w:color="auto"/>
            </w:tcBorders>
            <w:noWrap/>
            <w:vAlign w:val="center"/>
            <w:hideMark/>
          </w:tcPr>
          <w:p w14:paraId="780AF1EC" w14:textId="77777777" w:rsidR="00C002A6" w:rsidRPr="002E1D48" w:rsidRDefault="00C002A6" w:rsidP="00CE2FDF">
            <w:pPr>
              <w:spacing w:before="0" w:line="240" w:lineRule="auto"/>
              <w:jc w:val="right"/>
            </w:pPr>
            <w:r w:rsidRPr="002E1D48">
              <w:t>14</w:t>
            </w:r>
            <w:r w:rsidR="008E470D">
              <w:t>,</w:t>
            </w:r>
            <w:r w:rsidRPr="002E1D48">
              <w:t>778</w:t>
            </w:r>
          </w:p>
        </w:tc>
        <w:tc>
          <w:tcPr>
            <w:tcW w:w="1260" w:type="dxa"/>
            <w:tcBorders>
              <w:right w:val="single" w:sz="4" w:space="0" w:color="auto"/>
            </w:tcBorders>
            <w:vAlign w:val="center"/>
          </w:tcPr>
          <w:p w14:paraId="56EFD55B" w14:textId="77777777" w:rsidR="00C002A6" w:rsidRPr="002E1D48" w:rsidRDefault="00C002A6" w:rsidP="00CE2FDF">
            <w:pPr>
              <w:spacing w:before="0" w:line="240" w:lineRule="auto"/>
              <w:jc w:val="center"/>
            </w:pPr>
            <w:r w:rsidRPr="002E1D48">
              <w:t>(38.1%)</w:t>
            </w:r>
          </w:p>
        </w:tc>
        <w:tc>
          <w:tcPr>
            <w:tcW w:w="2070" w:type="dxa"/>
            <w:tcBorders>
              <w:left w:val="single" w:sz="4" w:space="0" w:color="auto"/>
            </w:tcBorders>
            <w:noWrap/>
            <w:vAlign w:val="center"/>
            <w:hideMark/>
          </w:tcPr>
          <w:p w14:paraId="49D8F02E" w14:textId="77777777" w:rsidR="00C002A6" w:rsidRPr="002E1D48" w:rsidRDefault="00C002A6" w:rsidP="00CE2FDF">
            <w:pPr>
              <w:spacing w:before="0" w:line="240" w:lineRule="auto"/>
              <w:jc w:val="right"/>
            </w:pPr>
            <w:r w:rsidRPr="002E1D48">
              <w:t>10</w:t>
            </w:r>
            <w:r w:rsidR="008E470D">
              <w:t>,</w:t>
            </w:r>
            <w:r w:rsidRPr="002E1D48">
              <w:t>203</w:t>
            </w:r>
          </w:p>
        </w:tc>
        <w:tc>
          <w:tcPr>
            <w:tcW w:w="1260" w:type="dxa"/>
            <w:tcBorders>
              <w:right w:val="single" w:sz="4" w:space="0" w:color="auto"/>
            </w:tcBorders>
            <w:vAlign w:val="center"/>
          </w:tcPr>
          <w:p w14:paraId="2282F2AC" w14:textId="77777777" w:rsidR="00C002A6" w:rsidRPr="002E1D48" w:rsidRDefault="00C002A6" w:rsidP="00CE2FDF">
            <w:pPr>
              <w:spacing w:before="0" w:line="240" w:lineRule="auto"/>
              <w:jc w:val="center"/>
            </w:pPr>
            <w:r w:rsidRPr="002E1D48">
              <w:t>(26.3%)</w:t>
            </w:r>
          </w:p>
        </w:tc>
        <w:tc>
          <w:tcPr>
            <w:tcW w:w="1800" w:type="dxa"/>
            <w:tcBorders>
              <w:left w:val="single" w:sz="4" w:space="0" w:color="auto"/>
            </w:tcBorders>
            <w:noWrap/>
            <w:vAlign w:val="center"/>
            <w:hideMark/>
          </w:tcPr>
          <w:p w14:paraId="14A481C9" w14:textId="77777777" w:rsidR="00C002A6" w:rsidRPr="002E1D48" w:rsidRDefault="00C002A6" w:rsidP="00CE2FDF">
            <w:pPr>
              <w:spacing w:before="0" w:line="240" w:lineRule="auto"/>
              <w:jc w:val="right"/>
            </w:pPr>
            <w:r w:rsidRPr="002E1D48">
              <w:t>3</w:t>
            </w:r>
            <w:r w:rsidR="008E470D">
              <w:t>,</w:t>
            </w:r>
            <w:r w:rsidRPr="002E1D48">
              <w:t>113</w:t>
            </w:r>
          </w:p>
        </w:tc>
        <w:tc>
          <w:tcPr>
            <w:tcW w:w="1440" w:type="dxa"/>
            <w:tcBorders>
              <w:right w:val="single" w:sz="4" w:space="0" w:color="auto"/>
            </w:tcBorders>
            <w:vAlign w:val="center"/>
          </w:tcPr>
          <w:p w14:paraId="0613B292" w14:textId="77777777" w:rsidR="00C002A6" w:rsidRPr="002E1D48" w:rsidRDefault="00C002A6" w:rsidP="00CE2FDF">
            <w:pPr>
              <w:spacing w:before="0" w:line="240" w:lineRule="auto"/>
              <w:jc w:val="center"/>
            </w:pPr>
            <w:r w:rsidRPr="002E1D48">
              <w:t>(8%)</w:t>
            </w:r>
          </w:p>
        </w:tc>
        <w:tc>
          <w:tcPr>
            <w:tcW w:w="1242" w:type="dxa"/>
            <w:tcBorders>
              <w:left w:val="single" w:sz="4" w:space="0" w:color="auto"/>
              <w:right w:val="single" w:sz="4" w:space="0" w:color="auto"/>
            </w:tcBorders>
            <w:noWrap/>
            <w:vAlign w:val="center"/>
            <w:hideMark/>
          </w:tcPr>
          <w:p w14:paraId="3CB64782" w14:textId="77777777" w:rsidR="00C002A6" w:rsidRPr="00C84E96" w:rsidRDefault="00C002A6" w:rsidP="00CE2FDF">
            <w:pPr>
              <w:spacing w:before="0" w:line="240" w:lineRule="auto"/>
              <w:jc w:val="right"/>
              <w:rPr>
                <w:b/>
              </w:rPr>
            </w:pPr>
            <w:r w:rsidRPr="00C84E96">
              <w:rPr>
                <w:b/>
              </w:rPr>
              <w:t>38</w:t>
            </w:r>
            <w:r w:rsidR="008E470D" w:rsidRPr="00C84E96">
              <w:rPr>
                <w:b/>
              </w:rPr>
              <w:t>,</w:t>
            </w:r>
            <w:r w:rsidRPr="00C84E96">
              <w:rPr>
                <w:b/>
              </w:rPr>
              <w:t>774</w:t>
            </w:r>
          </w:p>
        </w:tc>
      </w:tr>
      <w:tr w:rsidR="00C002A6" w:rsidRPr="002E1D48" w14:paraId="0701C03C" w14:textId="77777777" w:rsidTr="00F2009E">
        <w:trPr>
          <w:trHeight w:val="276"/>
        </w:trPr>
        <w:tc>
          <w:tcPr>
            <w:tcW w:w="1008" w:type="dxa"/>
            <w:tcBorders>
              <w:left w:val="single" w:sz="4" w:space="0" w:color="auto"/>
              <w:right w:val="single" w:sz="4" w:space="0" w:color="auto"/>
            </w:tcBorders>
            <w:shd w:val="clear" w:color="auto" w:fill="DBE5F1" w:themeFill="accent1" w:themeFillTint="33"/>
            <w:noWrap/>
            <w:vAlign w:val="center"/>
            <w:hideMark/>
          </w:tcPr>
          <w:p w14:paraId="7690B964" w14:textId="77777777" w:rsidR="00C002A6" w:rsidRPr="00C002A6" w:rsidRDefault="00C002A6" w:rsidP="00CE2FDF">
            <w:pPr>
              <w:spacing w:before="0" w:line="240" w:lineRule="auto"/>
              <w:rPr>
                <w:b/>
              </w:rPr>
            </w:pPr>
            <w:r w:rsidRPr="00C002A6">
              <w:rPr>
                <w:b/>
              </w:rPr>
              <w:t>2008</w:t>
            </w:r>
          </w:p>
        </w:tc>
        <w:tc>
          <w:tcPr>
            <w:tcW w:w="2070" w:type="dxa"/>
            <w:tcBorders>
              <w:left w:val="single" w:sz="4" w:space="0" w:color="auto"/>
            </w:tcBorders>
            <w:shd w:val="clear" w:color="auto" w:fill="DBE5F1" w:themeFill="accent1" w:themeFillTint="33"/>
            <w:noWrap/>
            <w:vAlign w:val="center"/>
            <w:hideMark/>
          </w:tcPr>
          <w:p w14:paraId="29252C83" w14:textId="77777777" w:rsidR="00C002A6" w:rsidRPr="002E1D48" w:rsidRDefault="00C002A6" w:rsidP="00CE2FDF">
            <w:pPr>
              <w:spacing w:before="0" w:line="240" w:lineRule="auto"/>
              <w:jc w:val="right"/>
            </w:pPr>
            <w:r w:rsidRPr="002E1D48">
              <w:t>16</w:t>
            </w:r>
            <w:r w:rsidR="008E470D">
              <w:t>,</w:t>
            </w:r>
            <w:r w:rsidRPr="002E1D48">
              <w:t>081</w:t>
            </w:r>
          </w:p>
        </w:tc>
        <w:tc>
          <w:tcPr>
            <w:tcW w:w="1170" w:type="dxa"/>
            <w:tcBorders>
              <w:right w:val="single" w:sz="4" w:space="0" w:color="auto"/>
            </w:tcBorders>
            <w:shd w:val="clear" w:color="auto" w:fill="DBE5F1" w:themeFill="accent1" w:themeFillTint="33"/>
            <w:vAlign w:val="center"/>
          </w:tcPr>
          <w:p w14:paraId="122968BF" w14:textId="77777777" w:rsidR="00C002A6" w:rsidRPr="002E1D48" w:rsidRDefault="00C002A6" w:rsidP="00CE2FDF">
            <w:pPr>
              <w:spacing w:before="0" w:line="240" w:lineRule="auto"/>
              <w:jc w:val="center"/>
            </w:pPr>
            <w:r w:rsidRPr="002E1D48">
              <w:t>(38.6%)</w:t>
            </w:r>
          </w:p>
        </w:tc>
        <w:tc>
          <w:tcPr>
            <w:tcW w:w="1530" w:type="dxa"/>
            <w:tcBorders>
              <w:left w:val="single" w:sz="4" w:space="0" w:color="auto"/>
            </w:tcBorders>
            <w:shd w:val="clear" w:color="auto" w:fill="DBE5F1" w:themeFill="accent1" w:themeFillTint="33"/>
            <w:noWrap/>
            <w:vAlign w:val="center"/>
            <w:hideMark/>
          </w:tcPr>
          <w:p w14:paraId="59A421FB" w14:textId="77777777" w:rsidR="00C002A6" w:rsidRPr="002E1D48" w:rsidRDefault="00C002A6" w:rsidP="00CE2FDF">
            <w:pPr>
              <w:spacing w:before="0" w:line="240" w:lineRule="auto"/>
              <w:jc w:val="right"/>
            </w:pPr>
            <w:r w:rsidRPr="002E1D48">
              <w:t>8</w:t>
            </w:r>
            <w:r w:rsidR="008E470D">
              <w:t>,</w:t>
            </w:r>
            <w:r w:rsidRPr="002E1D48">
              <w:t>601</w:t>
            </w:r>
          </w:p>
        </w:tc>
        <w:tc>
          <w:tcPr>
            <w:tcW w:w="1260" w:type="dxa"/>
            <w:tcBorders>
              <w:right w:val="single" w:sz="4" w:space="0" w:color="auto"/>
            </w:tcBorders>
            <w:shd w:val="clear" w:color="auto" w:fill="DBE5F1" w:themeFill="accent1" w:themeFillTint="33"/>
            <w:vAlign w:val="center"/>
          </w:tcPr>
          <w:p w14:paraId="08B875AD" w14:textId="77777777" w:rsidR="00C002A6" w:rsidRPr="002E1D48" w:rsidRDefault="00C002A6" w:rsidP="00CE2FDF">
            <w:pPr>
              <w:spacing w:before="0" w:line="240" w:lineRule="auto"/>
              <w:jc w:val="center"/>
            </w:pPr>
            <w:r w:rsidRPr="002E1D48">
              <w:t>(20.6%)</w:t>
            </w:r>
          </w:p>
        </w:tc>
        <w:tc>
          <w:tcPr>
            <w:tcW w:w="2070" w:type="dxa"/>
            <w:tcBorders>
              <w:left w:val="single" w:sz="4" w:space="0" w:color="auto"/>
            </w:tcBorders>
            <w:shd w:val="clear" w:color="auto" w:fill="DBE5F1" w:themeFill="accent1" w:themeFillTint="33"/>
            <w:noWrap/>
            <w:vAlign w:val="center"/>
            <w:hideMark/>
          </w:tcPr>
          <w:p w14:paraId="27871902" w14:textId="77777777" w:rsidR="00C002A6" w:rsidRPr="002E1D48" w:rsidRDefault="00C002A6" w:rsidP="00CE2FDF">
            <w:pPr>
              <w:spacing w:before="0" w:line="240" w:lineRule="auto"/>
              <w:jc w:val="right"/>
            </w:pPr>
            <w:r w:rsidRPr="002E1D48">
              <w:t>12</w:t>
            </w:r>
            <w:r w:rsidR="008E470D">
              <w:t>,</w:t>
            </w:r>
            <w:r w:rsidRPr="002E1D48">
              <w:t>887</w:t>
            </w:r>
          </w:p>
        </w:tc>
        <w:tc>
          <w:tcPr>
            <w:tcW w:w="1260" w:type="dxa"/>
            <w:tcBorders>
              <w:right w:val="single" w:sz="4" w:space="0" w:color="auto"/>
            </w:tcBorders>
            <w:shd w:val="clear" w:color="auto" w:fill="DBE5F1" w:themeFill="accent1" w:themeFillTint="33"/>
            <w:vAlign w:val="center"/>
          </w:tcPr>
          <w:p w14:paraId="04D72D2F" w14:textId="77777777" w:rsidR="00C002A6" w:rsidRPr="002E1D48" w:rsidRDefault="00C002A6" w:rsidP="00CE2FDF">
            <w:pPr>
              <w:spacing w:before="0" w:line="240" w:lineRule="auto"/>
              <w:jc w:val="center"/>
            </w:pPr>
            <w:r w:rsidRPr="002E1D48">
              <w:t>(30.9%)</w:t>
            </w:r>
          </w:p>
        </w:tc>
        <w:tc>
          <w:tcPr>
            <w:tcW w:w="1800" w:type="dxa"/>
            <w:tcBorders>
              <w:left w:val="single" w:sz="4" w:space="0" w:color="auto"/>
            </w:tcBorders>
            <w:shd w:val="clear" w:color="auto" w:fill="DBE5F1" w:themeFill="accent1" w:themeFillTint="33"/>
            <w:noWrap/>
            <w:vAlign w:val="center"/>
            <w:hideMark/>
          </w:tcPr>
          <w:p w14:paraId="4DED142D" w14:textId="77777777" w:rsidR="00C002A6" w:rsidRPr="002E1D48" w:rsidRDefault="00C002A6" w:rsidP="00CE2FDF">
            <w:pPr>
              <w:spacing w:before="0" w:line="240" w:lineRule="auto"/>
              <w:jc w:val="right"/>
            </w:pPr>
            <w:r w:rsidRPr="002E1D48">
              <w:t>4</w:t>
            </w:r>
            <w:r w:rsidR="008E470D">
              <w:t>,</w:t>
            </w:r>
            <w:r w:rsidRPr="002E1D48">
              <w:t>126</w:t>
            </w:r>
          </w:p>
        </w:tc>
        <w:tc>
          <w:tcPr>
            <w:tcW w:w="1440" w:type="dxa"/>
            <w:tcBorders>
              <w:right w:val="single" w:sz="4" w:space="0" w:color="auto"/>
            </w:tcBorders>
            <w:shd w:val="clear" w:color="auto" w:fill="DBE5F1" w:themeFill="accent1" w:themeFillTint="33"/>
            <w:vAlign w:val="center"/>
          </w:tcPr>
          <w:p w14:paraId="1B2BF3B7" w14:textId="77777777" w:rsidR="00C002A6" w:rsidRPr="002E1D48" w:rsidRDefault="00C002A6" w:rsidP="00CE2FDF">
            <w:pPr>
              <w:spacing w:before="0" w:line="240" w:lineRule="auto"/>
              <w:jc w:val="center"/>
            </w:pPr>
            <w:r w:rsidRPr="002E1D48">
              <w:t>(9.9%)</w:t>
            </w:r>
          </w:p>
        </w:tc>
        <w:tc>
          <w:tcPr>
            <w:tcW w:w="1242" w:type="dxa"/>
            <w:tcBorders>
              <w:left w:val="single" w:sz="4" w:space="0" w:color="auto"/>
              <w:right w:val="single" w:sz="4" w:space="0" w:color="auto"/>
            </w:tcBorders>
            <w:shd w:val="clear" w:color="auto" w:fill="DBE5F1" w:themeFill="accent1" w:themeFillTint="33"/>
            <w:noWrap/>
            <w:vAlign w:val="center"/>
            <w:hideMark/>
          </w:tcPr>
          <w:p w14:paraId="00318681" w14:textId="77777777" w:rsidR="00C002A6" w:rsidRPr="00C84E96" w:rsidRDefault="00C002A6" w:rsidP="00CE2FDF">
            <w:pPr>
              <w:spacing w:before="0" w:line="240" w:lineRule="auto"/>
              <w:jc w:val="right"/>
              <w:rPr>
                <w:b/>
              </w:rPr>
            </w:pPr>
            <w:r w:rsidRPr="00C84E96">
              <w:rPr>
                <w:b/>
              </w:rPr>
              <w:t>41</w:t>
            </w:r>
            <w:r w:rsidR="008E470D" w:rsidRPr="00C84E96">
              <w:rPr>
                <w:b/>
              </w:rPr>
              <w:t>,</w:t>
            </w:r>
            <w:r w:rsidRPr="00C84E96">
              <w:rPr>
                <w:b/>
              </w:rPr>
              <w:t>695</w:t>
            </w:r>
          </w:p>
        </w:tc>
      </w:tr>
      <w:tr w:rsidR="00C002A6" w:rsidRPr="002E1D48" w14:paraId="6DC253EB" w14:textId="77777777" w:rsidTr="00F2009E">
        <w:trPr>
          <w:trHeight w:val="276"/>
        </w:trPr>
        <w:tc>
          <w:tcPr>
            <w:tcW w:w="1008" w:type="dxa"/>
            <w:tcBorders>
              <w:left w:val="single" w:sz="4" w:space="0" w:color="auto"/>
              <w:right w:val="single" w:sz="4" w:space="0" w:color="auto"/>
            </w:tcBorders>
            <w:noWrap/>
            <w:vAlign w:val="center"/>
            <w:hideMark/>
          </w:tcPr>
          <w:p w14:paraId="69386835" w14:textId="77777777" w:rsidR="00C002A6" w:rsidRPr="00C002A6" w:rsidRDefault="00C002A6" w:rsidP="00CE2FDF">
            <w:pPr>
              <w:spacing w:before="0" w:line="240" w:lineRule="auto"/>
              <w:rPr>
                <w:b/>
              </w:rPr>
            </w:pPr>
            <w:r w:rsidRPr="00C002A6">
              <w:rPr>
                <w:b/>
              </w:rPr>
              <w:t>2009</w:t>
            </w:r>
          </w:p>
        </w:tc>
        <w:tc>
          <w:tcPr>
            <w:tcW w:w="2070" w:type="dxa"/>
            <w:tcBorders>
              <w:left w:val="single" w:sz="4" w:space="0" w:color="auto"/>
            </w:tcBorders>
            <w:noWrap/>
            <w:vAlign w:val="center"/>
            <w:hideMark/>
          </w:tcPr>
          <w:p w14:paraId="34029A21" w14:textId="77777777" w:rsidR="00C002A6" w:rsidRPr="002E1D48" w:rsidRDefault="00C002A6" w:rsidP="00CE2FDF">
            <w:pPr>
              <w:spacing w:before="0" w:line="240" w:lineRule="auto"/>
              <w:jc w:val="right"/>
            </w:pPr>
            <w:r w:rsidRPr="002E1D48">
              <w:t>21</w:t>
            </w:r>
            <w:r w:rsidR="008E470D">
              <w:t>,</w:t>
            </w:r>
            <w:r w:rsidRPr="002E1D48">
              <w:t>759</w:t>
            </w:r>
          </w:p>
        </w:tc>
        <w:tc>
          <w:tcPr>
            <w:tcW w:w="1170" w:type="dxa"/>
            <w:tcBorders>
              <w:right w:val="single" w:sz="4" w:space="0" w:color="auto"/>
            </w:tcBorders>
            <w:vAlign w:val="center"/>
          </w:tcPr>
          <w:p w14:paraId="62DFA938" w14:textId="77777777" w:rsidR="00C002A6" w:rsidRPr="002E1D48" w:rsidRDefault="00C002A6" w:rsidP="00CE2FDF">
            <w:pPr>
              <w:spacing w:before="0" w:line="240" w:lineRule="auto"/>
              <w:jc w:val="center"/>
            </w:pPr>
            <w:r w:rsidRPr="002E1D48">
              <w:t>(48.6%)</w:t>
            </w:r>
          </w:p>
        </w:tc>
        <w:tc>
          <w:tcPr>
            <w:tcW w:w="1530" w:type="dxa"/>
            <w:tcBorders>
              <w:left w:val="single" w:sz="4" w:space="0" w:color="auto"/>
            </w:tcBorders>
            <w:noWrap/>
            <w:vAlign w:val="center"/>
            <w:hideMark/>
          </w:tcPr>
          <w:p w14:paraId="396BC341" w14:textId="77777777" w:rsidR="00C002A6" w:rsidRPr="002E1D48" w:rsidRDefault="00C002A6" w:rsidP="00CE2FDF">
            <w:pPr>
              <w:spacing w:before="0" w:line="240" w:lineRule="auto"/>
              <w:jc w:val="right"/>
            </w:pPr>
            <w:r w:rsidRPr="002E1D48">
              <w:t>4</w:t>
            </w:r>
            <w:r w:rsidR="008E470D">
              <w:t>,</w:t>
            </w:r>
            <w:r w:rsidRPr="002E1D48">
              <w:t>057</w:t>
            </w:r>
          </w:p>
        </w:tc>
        <w:tc>
          <w:tcPr>
            <w:tcW w:w="1260" w:type="dxa"/>
            <w:tcBorders>
              <w:right w:val="single" w:sz="4" w:space="0" w:color="auto"/>
            </w:tcBorders>
            <w:vAlign w:val="center"/>
          </w:tcPr>
          <w:p w14:paraId="762E5C64" w14:textId="77777777" w:rsidR="00C002A6" w:rsidRPr="002E1D48" w:rsidRDefault="00C002A6" w:rsidP="00CE2FDF">
            <w:pPr>
              <w:spacing w:before="0" w:line="240" w:lineRule="auto"/>
              <w:jc w:val="center"/>
            </w:pPr>
            <w:r w:rsidRPr="002E1D48">
              <w:t>(9.1%)</w:t>
            </w:r>
          </w:p>
        </w:tc>
        <w:tc>
          <w:tcPr>
            <w:tcW w:w="2070" w:type="dxa"/>
            <w:tcBorders>
              <w:left w:val="single" w:sz="4" w:space="0" w:color="auto"/>
            </w:tcBorders>
            <w:noWrap/>
            <w:vAlign w:val="center"/>
            <w:hideMark/>
          </w:tcPr>
          <w:p w14:paraId="6B9B68FA" w14:textId="77777777" w:rsidR="00C002A6" w:rsidRPr="002E1D48" w:rsidRDefault="00C002A6" w:rsidP="00CE2FDF">
            <w:pPr>
              <w:spacing w:before="0" w:line="240" w:lineRule="auto"/>
              <w:jc w:val="right"/>
            </w:pPr>
            <w:r w:rsidRPr="002E1D48">
              <w:t>14</w:t>
            </w:r>
            <w:r w:rsidR="008E470D">
              <w:t>,</w:t>
            </w:r>
            <w:r w:rsidRPr="002E1D48">
              <w:t>781</w:t>
            </w:r>
          </w:p>
        </w:tc>
        <w:tc>
          <w:tcPr>
            <w:tcW w:w="1260" w:type="dxa"/>
            <w:tcBorders>
              <w:right w:val="single" w:sz="4" w:space="0" w:color="auto"/>
            </w:tcBorders>
            <w:vAlign w:val="center"/>
          </w:tcPr>
          <w:p w14:paraId="44173A61" w14:textId="77777777" w:rsidR="00C002A6" w:rsidRPr="002E1D48" w:rsidRDefault="00C002A6" w:rsidP="00CE2FDF">
            <w:pPr>
              <w:spacing w:before="0" w:line="240" w:lineRule="auto"/>
              <w:jc w:val="center"/>
            </w:pPr>
            <w:r w:rsidRPr="002E1D48">
              <w:t>(33%)</w:t>
            </w:r>
          </w:p>
        </w:tc>
        <w:tc>
          <w:tcPr>
            <w:tcW w:w="1800" w:type="dxa"/>
            <w:tcBorders>
              <w:left w:val="single" w:sz="4" w:space="0" w:color="auto"/>
            </w:tcBorders>
            <w:noWrap/>
            <w:vAlign w:val="center"/>
            <w:hideMark/>
          </w:tcPr>
          <w:p w14:paraId="4A2762F2" w14:textId="77777777" w:rsidR="00C002A6" w:rsidRPr="002E1D48" w:rsidRDefault="00C002A6" w:rsidP="00CE2FDF">
            <w:pPr>
              <w:spacing w:before="0" w:line="240" w:lineRule="auto"/>
              <w:jc w:val="right"/>
            </w:pPr>
            <w:r w:rsidRPr="002E1D48">
              <w:t>4</w:t>
            </w:r>
            <w:r w:rsidR="008E470D">
              <w:t>,</w:t>
            </w:r>
            <w:r w:rsidRPr="002E1D48">
              <w:t>173</w:t>
            </w:r>
          </w:p>
        </w:tc>
        <w:tc>
          <w:tcPr>
            <w:tcW w:w="1440" w:type="dxa"/>
            <w:tcBorders>
              <w:right w:val="single" w:sz="4" w:space="0" w:color="auto"/>
            </w:tcBorders>
            <w:vAlign w:val="center"/>
          </w:tcPr>
          <w:p w14:paraId="640BB13C" w14:textId="77777777" w:rsidR="00C002A6" w:rsidRPr="002E1D48" w:rsidRDefault="00C002A6" w:rsidP="00CE2FDF">
            <w:pPr>
              <w:spacing w:before="0" w:line="240" w:lineRule="auto"/>
              <w:jc w:val="center"/>
            </w:pPr>
            <w:r w:rsidRPr="002E1D48">
              <w:t>(9.3%)</w:t>
            </w:r>
          </w:p>
        </w:tc>
        <w:tc>
          <w:tcPr>
            <w:tcW w:w="1242" w:type="dxa"/>
            <w:tcBorders>
              <w:left w:val="single" w:sz="4" w:space="0" w:color="auto"/>
              <w:right w:val="single" w:sz="4" w:space="0" w:color="auto"/>
            </w:tcBorders>
            <w:noWrap/>
            <w:vAlign w:val="center"/>
            <w:hideMark/>
          </w:tcPr>
          <w:p w14:paraId="2F9B240A" w14:textId="77777777" w:rsidR="00C002A6" w:rsidRPr="00C84E96" w:rsidRDefault="00C002A6" w:rsidP="00CE2FDF">
            <w:pPr>
              <w:spacing w:before="0" w:line="240" w:lineRule="auto"/>
              <w:jc w:val="right"/>
              <w:rPr>
                <w:b/>
              </w:rPr>
            </w:pPr>
            <w:r w:rsidRPr="00C84E96">
              <w:rPr>
                <w:b/>
              </w:rPr>
              <w:t>44</w:t>
            </w:r>
            <w:r w:rsidR="008E470D" w:rsidRPr="00C84E96">
              <w:rPr>
                <w:b/>
              </w:rPr>
              <w:t>,</w:t>
            </w:r>
            <w:r w:rsidRPr="00C84E96">
              <w:rPr>
                <w:b/>
              </w:rPr>
              <w:t>770</w:t>
            </w:r>
          </w:p>
        </w:tc>
      </w:tr>
      <w:tr w:rsidR="00C002A6" w:rsidRPr="002E1D48" w14:paraId="6F5923A4" w14:textId="77777777" w:rsidTr="00F2009E">
        <w:trPr>
          <w:trHeight w:val="276"/>
        </w:trPr>
        <w:tc>
          <w:tcPr>
            <w:tcW w:w="1008" w:type="dxa"/>
            <w:tcBorders>
              <w:left w:val="single" w:sz="4" w:space="0" w:color="auto"/>
              <w:right w:val="single" w:sz="4" w:space="0" w:color="auto"/>
            </w:tcBorders>
            <w:shd w:val="clear" w:color="auto" w:fill="DBE5F1" w:themeFill="accent1" w:themeFillTint="33"/>
            <w:noWrap/>
            <w:vAlign w:val="center"/>
            <w:hideMark/>
          </w:tcPr>
          <w:p w14:paraId="531A58BA" w14:textId="77777777" w:rsidR="00C002A6" w:rsidRPr="00C002A6" w:rsidRDefault="00C002A6" w:rsidP="00CE2FDF">
            <w:pPr>
              <w:spacing w:before="0" w:line="240" w:lineRule="auto"/>
              <w:rPr>
                <w:b/>
              </w:rPr>
            </w:pPr>
            <w:r w:rsidRPr="00C002A6">
              <w:rPr>
                <w:b/>
              </w:rPr>
              <w:t>2010</w:t>
            </w:r>
          </w:p>
        </w:tc>
        <w:tc>
          <w:tcPr>
            <w:tcW w:w="2070" w:type="dxa"/>
            <w:tcBorders>
              <w:left w:val="single" w:sz="4" w:space="0" w:color="auto"/>
            </w:tcBorders>
            <w:shd w:val="clear" w:color="auto" w:fill="DBE5F1" w:themeFill="accent1" w:themeFillTint="33"/>
            <w:noWrap/>
            <w:vAlign w:val="center"/>
            <w:hideMark/>
          </w:tcPr>
          <w:p w14:paraId="34CAC93D" w14:textId="77777777" w:rsidR="00C002A6" w:rsidRPr="002E1D48" w:rsidRDefault="00C002A6" w:rsidP="00CE2FDF">
            <w:pPr>
              <w:spacing w:before="0" w:line="240" w:lineRule="auto"/>
              <w:jc w:val="right"/>
            </w:pPr>
            <w:r w:rsidRPr="002E1D48">
              <w:t>26</w:t>
            </w:r>
            <w:r w:rsidR="008E470D">
              <w:t>,</w:t>
            </w:r>
            <w:r w:rsidRPr="002E1D48">
              <w:t>340</w:t>
            </w:r>
          </w:p>
        </w:tc>
        <w:tc>
          <w:tcPr>
            <w:tcW w:w="1170" w:type="dxa"/>
            <w:tcBorders>
              <w:right w:val="single" w:sz="4" w:space="0" w:color="auto"/>
            </w:tcBorders>
            <w:shd w:val="clear" w:color="auto" w:fill="DBE5F1" w:themeFill="accent1" w:themeFillTint="33"/>
            <w:vAlign w:val="center"/>
          </w:tcPr>
          <w:p w14:paraId="6296F1B0" w14:textId="77777777" w:rsidR="00C002A6" w:rsidRPr="002E1D48" w:rsidRDefault="00C002A6" w:rsidP="00CE2FDF">
            <w:pPr>
              <w:spacing w:before="0" w:line="240" w:lineRule="auto"/>
              <w:jc w:val="center"/>
            </w:pPr>
            <w:r w:rsidRPr="002E1D48">
              <w:t>(50.6%)</w:t>
            </w:r>
          </w:p>
        </w:tc>
        <w:tc>
          <w:tcPr>
            <w:tcW w:w="1530" w:type="dxa"/>
            <w:tcBorders>
              <w:left w:val="single" w:sz="4" w:space="0" w:color="auto"/>
            </w:tcBorders>
            <w:shd w:val="clear" w:color="auto" w:fill="DBE5F1" w:themeFill="accent1" w:themeFillTint="33"/>
            <w:noWrap/>
            <w:vAlign w:val="center"/>
            <w:hideMark/>
          </w:tcPr>
          <w:p w14:paraId="53C2E68C" w14:textId="77777777" w:rsidR="00C002A6" w:rsidRPr="002E1D48" w:rsidRDefault="00C002A6" w:rsidP="00CE2FDF">
            <w:pPr>
              <w:spacing w:before="0" w:line="240" w:lineRule="auto"/>
              <w:jc w:val="right"/>
            </w:pPr>
            <w:r w:rsidRPr="002E1D48">
              <w:t>4</w:t>
            </w:r>
            <w:r w:rsidR="008E470D">
              <w:t>,</w:t>
            </w:r>
            <w:r w:rsidRPr="002E1D48">
              <w:t>775</w:t>
            </w:r>
          </w:p>
        </w:tc>
        <w:tc>
          <w:tcPr>
            <w:tcW w:w="1260" w:type="dxa"/>
            <w:tcBorders>
              <w:right w:val="single" w:sz="4" w:space="0" w:color="auto"/>
            </w:tcBorders>
            <w:shd w:val="clear" w:color="auto" w:fill="DBE5F1" w:themeFill="accent1" w:themeFillTint="33"/>
            <w:vAlign w:val="center"/>
          </w:tcPr>
          <w:p w14:paraId="77135B21" w14:textId="77777777" w:rsidR="00C002A6" w:rsidRPr="002E1D48" w:rsidRDefault="00C002A6" w:rsidP="00CE2FDF">
            <w:pPr>
              <w:spacing w:before="0" w:line="240" w:lineRule="auto"/>
              <w:jc w:val="center"/>
            </w:pPr>
            <w:r w:rsidRPr="002E1D48">
              <w:t>(9.2%)</w:t>
            </w:r>
          </w:p>
        </w:tc>
        <w:tc>
          <w:tcPr>
            <w:tcW w:w="2070" w:type="dxa"/>
            <w:tcBorders>
              <w:left w:val="single" w:sz="4" w:space="0" w:color="auto"/>
            </w:tcBorders>
            <w:shd w:val="clear" w:color="auto" w:fill="DBE5F1" w:themeFill="accent1" w:themeFillTint="33"/>
            <w:noWrap/>
            <w:vAlign w:val="center"/>
            <w:hideMark/>
          </w:tcPr>
          <w:p w14:paraId="3C9BEBC3" w14:textId="77777777" w:rsidR="00C002A6" w:rsidRPr="002E1D48" w:rsidRDefault="00C002A6" w:rsidP="00CE2FDF">
            <w:pPr>
              <w:spacing w:before="0" w:line="240" w:lineRule="auto"/>
              <w:jc w:val="right"/>
            </w:pPr>
            <w:r w:rsidRPr="002E1D48">
              <w:t>15</w:t>
            </w:r>
            <w:r w:rsidR="008E470D">
              <w:t>,</w:t>
            </w:r>
            <w:r w:rsidRPr="002E1D48">
              <w:t>050</w:t>
            </w:r>
          </w:p>
        </w:tc>
        <w:tc>
          <w:tcPr>
            <w:tcW w:w="1260" w:type="dxa"/>
            <w:tcBorders>
              <w:right w:val="single" w:sz="4" w:space="0" w:color="auto"/>
            </w:tcBorders>
            <w:shd w:val="clear" w:color="auto" w:fill="DBE5F1" w:themeFill="accent1" w:themeFillTint="33"/>
            <w:vAlign w:val="center"/>
          </w:tcPr>
          <w:p w14:paraId="44B06B89" w14:textId="77777777" w:rsidR="00C002A6" w:rsidRPr="002E1D48" w:rsidRDefault="00C002A6" w:rsidP="00CE2FDF">
            <w:pPr>
              <w:spacing w:before="0" w:line="240" w:lineRule="auto"/>
              <w:jc w:val="center"/>
            </w:pPr>
            <w:r w:rsidRPr="002E1D48">
              <w:t>(28.9%)</w:t>
            </w:r>
          </w:p>
        </w:tc>
        <w:tc>
          <w:tcPr>
            <w:tcW w:w="1800" w:type="dxa"/>
            <w:tcBorders>
              <w:left w:val="single" w:sz="4" w:space="0" w:color="auto"/>
            </w:tcBorders>
            <w:shd w:val="clear" w:color="auto" w:fill="DBE5F1" w:themeFill="accent1" w:themeFillTint="33"/>
            <w:noWrap/>
            <w:vAlign w:val="center"/>
            <w:hideMark/>
          </w:tcPr>
          <w:p w14:paraId="3F1A3C7D" w14:textId="77777777" w:rsidR="00C002A6" w:rsidRPr="002E1D48" w:rsidRDefault="00C002A6" w:rsidP="00CE2FDF">
            <w:pPr>
              <w:spacing w:before="0" w:line="240" w:lineRule="auto"/>
              <w:jc w:val="right"/>
            </w:pPr>
            <w:r w:rsidRPr="002E1D48">
              <w:t>5</w:t>
            </w:r>
            <w:r w:rsidR="008E470D">
              <w:t>,</w:t>
            </w:r>
            <w:r w:rsidRPr="002E1D48">
              <w:t>870</w:t>
            </w:r>
          </w:p>
        </w:tc>
        <w:tc>
          <w:tcPr>
            <w:tcW w:w="1440" w:type="dxa"/>
            <w:tcBorders>
              <w:right w:val="single" w:sz="4" w:space="0" w:color="auto"/>
            </w:tcBorders>
            <w:shd w:val="clear" w:color="auto" w:fill="DBE5F1" w:themeFill="accent1" w:themeFillTint="33"/>
            <w:vAlign w:val="center"/>
          </w:tcPr>
          <w:p w14:paraId="6C8F5974" w14:textId="77777777" w:rsidR="00C002A6" w:rsidRPr="002E1D48" w:rsidRDefault="00C002A6" w:rsidP="00CE2FDF">
            <w:pPr>
              <w:spacing w:before="0" w:line="240" w:lineRule="auto"/>
              <w:jc w:val="center"/>
            </w:pPr>
            <w:r w:rsidRPr="002E1D48">
              <w:t>(11.3%)</w:t>
            </w:r>
          </w:p>
        </w:tc>
        <w:tc>
          <w:tcPr>
            <w:tcW w:w="1242" w:type="dxa"/>
            <w:tcBorders>
              <w:left w:val="single" w:sz="4" w:space="0" w:color="auto"/>
              <w:right w:val="single" w:sz="4" w:space="0" w:color="auto"/>
            </w:tcBorders>
            <w:shd w:val="clear" w:color="auto" w:fill="DBE5F1" w:themeFill="accent1" w:themeFillTint="33"/>
            <w:noWrap/>
            <w:vAlign w:val="center"/>
            <w:hideMark/>
          </w:tcPr>
          <w:p w14:paraId="5267B35F" w14:textId="77777777" w:rsidR="00C002A6" w:rsidRPr="00C84E96" w:rsidRDefault="00C002A6" w:rsidP="00CE2FDF">
            <w:pPr>
              <w:spacing w:before="0" w:line="240" w:lineRule="auto"/>
              <w:jc w:val="right"/>
              <w:rPr>
                <w:b/>
              </w:rPr>
            </w:pPr>
            <w:r w:rsidRPr="00C84E96">
              <w:rPr>
                <w:b/>
              </w:rPr>
              <w:t>52</w:t>
            </w:r>
            <w:r w:rsidR="008E470D" w:rsidRPr="00C84E96">
              <w:rPr>
                <w:b/>
              </w:rPr>
              <w:t>,</w:t>
            </w:r>
            <w:r w:rsidRPr="00C84E96">
              <w:rPr>
                <w:b/>
              </w:rPr>
              <w:t>035</w:t>
            </w:r>
          </w:p>
        </w:tc>
      </w:tr>
      <w:tr w:rsidR="00C002A6" w:rsidRPr="002E1D48" w14:paraId="2E543E55" w14:textId="77777777" w:rsidTr="00F2009E">
        <w:trPr>
          <w:trHeight w:val="276"/>
        </w:trPr>
        <w:tc>
          <w:tcPr>
            <w:tcW w:w="1008" w:type="dxa"/>
            <w:tcBorders>
              <w:left w:val="single" w:sz="4" w:space="0" w:color="auto"/>
              <w:right w:val="single" w:sz="4" w:space="0" w:color="auto"/>
            </w:tcBorders>
            <w:noWrap/>
            <w:vAlign w:val="center"/>
            <w:hideMark/>
          </w:tcPr>
          <w:p w14:paraId="49B94C81" w14:textId="77777777" w:rsidR="00C002A6" w:rsidRPr="00C002A6" w:rsidRDefault="00C002A6" w:rsidP="00CE2FDF">
            <w:pPr>
              <w:spacing w:before="0" w:line="240" w:lineRule="auto"/>
              <w:rPr>
                <w:b/>
              </w:rPr>
            </w:pPr>
            <w:r w:rsidRPr="00C002A6">
              <w:rPr>
                <w:b/>
              </w:rPr>
              <w:t>2011</w:t>
            </w:r>
          </w:p>
        </w:tc>
        <w:tc>
          <w:tcPr>
            <w:tcW w:w="2070" w:type="dxa"/>
            <w:tcBorders>
              <w:left w:val="single" w:sz="4" w:space="0" w:color="auto"/>
            </w:tcBorders>
            <w:noWrap/>
            <w:vAlign w:val="center"/>
            <w:hideMark/>
          </w:tcPr>
          <w:p w14:paraId="64B8C980" w14:textId="77777777" w:rsidR="00C002A6" w:rsidRPr="002E1D48" w:rsidRDefault="00C002A6" w:rsidP="00CE2FDF">
            <w:pPr>
              <w:spacing w:before="0" w:line="240" w:lineRule="auto"/>
              <w:jc w:val="right"/>
            </w:pPr>
            <w:r w:rsidRPr="002E1D48">
              <w:t>33</w:t>
            </w:r>
            <w:r w:rsidR="008E470D">
              <w:t>,</w:t>
            </w:r>
            <w:r w:rsidRPr="002E1D48">
              <w:t>003</w:t>
            </w:r>
          </w:p>
        </w:tc>
        <w:tc>
          <w:tcPr>
            <w:tcW w:w="1170" w:type="dxa"/>
            <w:tcBorders>
              <w:right w:val="single" w:sz="4" w:space="0" w:color="auto"/>
            </w:tcBorders>
            <w:vAlign w:val="center"/>
          </w:tcPr>
          <w:p w14:paraId="20172F22" w14:textId="77777777" w:rsidR="00C002A6" w:rsidRPr="002E1D48" w:rsidRDefault="00C002A6" w:rsidP="00CE2FDF">
            <w:pPr>
              <w:spacing w:before="0" w:line="240" w:lineRule="auto"/>
              <w:jc w:val="center"/>
            </w:pPr>
            <w:r w:rsidRPr="002E1D48">
              <w:t>(56%)</w:t>
            </w:r>
          </w:p>
        </w:tc>
        <w:tc>
          <w:tcPr>
            <w:tcW w:w="1530" w:type="dxa"/>
            <w:tcBorders>
              <w:left w:val="single" w:sz="4" w:space="0" w:color="auto"/>
            </w:tcBorders>
            <w:noWrap/>
            <w:vAlign w:val="center"/>
            <w:hideMark/>
          </w:tcPr>
          <w:p w14:paraId="3477F9F4" w14:textId="77777777" w:rsidR="00C002A6" w:rsidRPr="002E1D48" w:rsidRDefault="00C002A6" w:rsidP="00CE2FDF">
            <w:pPr>
              <w:spacing w:before="0" w:line="240" w:lineRule="auto"/>
              <w:jc w:val="right"/>
            </w:pPr>
            <w:r w:rsidRPr="002E1D48">
              <w:t>5</w:t>
            </w:r>
            <w:r w:rsidR="008E470D">
              <w:t>,</w:t>
            </w:r>
            <w:r w:rsidRPr="002E1D48">
              <w:t>675</w:t>
            </w:r>
          </w:p>
        </w:tc>
        <w:tc>
          <w:tcPr>
            <w:tcW w:w="1260" w:type="dxa"/>
            <w:tcBorders>
              <w:right w:val="single" w:sz="4" w:space="0" w:color="auto"/>
            </w:tcBorders>
            <w:vAlign w:val="center"/>
          </w:tcPr>
          <w:p w14:paraId="79BCCDDE" w14:textId="77777777" w:rsidR="00C002A6" w:rsidRPr="002E1D48" w:rsidRDefault="00C002A6" w:rsidP="00CE2FDF">
            <w:pPr>
              <w:spacing w:before="0" w:line="240" w:lineRule="auto"/>
              <w:jc w:val="center"/>
            </w:pPr>
            <w:r w:rsidRPr="002E1D48">
              <w:t>(9.6%)</w:t>
            </w:r>
          </w:p>
        </w:tc>
        <w:tc>
          <w:tcPr>
            <w:tcW w:w="2070" w:type="dxa"/>
            <w:tcBorders>
              <w:left w:val="single" w:sz="4" w:space="0" w:color="auto"/>
            </w:tcBorders>
            <w:noWrap/>
            <w:vAlign w:val="center"/>
            <w:hideMark/>
          </w:tcPr>
          <w:p w14:paraId="5B32C1BF" w14:textId="77777777" w:rsidR="00C002A6" w:rsidRPr="002E1D48" w:rsidRDefault="00C002A6" w:rsidP="00CE2FDF">
            <w:pPr>
              <w:spacing w:before="0" w:line="240" w:lineRule="auto"/>
              <w:jc w:val="right"/>
            </w:pPr>
            <w:r w:rsidRPr="002E1D48">
              <w:t>13</w:t>
            </w:r>
            <w:r w:rsidR="008E470D">
              <w:t>,</w:t>
            </w:r>
            <w:r w:rsidRPr="002E1D48">
              <w:t>989</w:t>
            </w:r>
          </w:p>
        </w:tc>
        <w:tc>
          <w:tcPr>
            <w:tcW w:w="1260" w:type="dxa"/>
            <w:tcBorders>
              <w:right w:val="single" w:sz="4" w:space="0" w:color="auto"/>
            </w:tcBorders>
            <w:vAlign w:val="center"/>
          </w:tcPr>
          <w:p w14:paraId="453F9F38" w14:textId="77777777" w:rsidR="00C002A6" w:rsidRPr="002E1D48" w:rsidRDefault="00C002A6" w:rsidP="00CE2FDF">
            <w:pPr>
              <w:spacing w:before="0" w:line="240" w:lineRule="auto"/>
              <w:jc w:val="center"/>
            </w:pPr>
            <w:r w:rsidRPr="002E1D48">
              <w:t>(23.7%)</w:t>
            </w:r>
          </w:p>
        </w:tc>
        <w:tc>
          <w:tcPr>
            <w:tcW w:w="1800" w:type="dxa"/>
            <w:tcBorders>
              <w:left w:val="single" w:sz="4" w:space="0" w:color="auto"/>
            </w:tcBorders>
            <w:noWrap/>
            <w:vAlign w:val="center"/>
            <w:hideMark/>
          </w:tcPr>
          <w:p w14:paraId="34CBF139" w14:textId="77777777" w:rsidR="00C002A6" w:rsidRPr="002E1D48" w:rsidRDefault="00C002A6" w:rsidP="00CE2FDF">
            <w:pPr>
              <w:spacing w:before="0" w:line="240" w:lineRule="auto"/>
              <w:jc w:val="right"/>
            </w:pPr>
            <w:r w:rsidRPr="002E1D48">
              <w:t>6</w:t>
            </w:r>
            <w:r w:rsidR="008E470D">
              <w:t>,</w:t>
            </w:r>
            <w:r w:rsidRPr="002E1D48">
              <w:t>265</w:t>
            </w:r>
          </w:p>
        </w:tc>
        <w:tc>
          <w:tcPr>
            <w:tcW w:w="1440" w:type="dxa"/>
            <w:tcBorders>
              <w:right w:val="single" w:sz="4" w:space="0" w:color="auto"/>
            </w:tcBorders>
            <w:vAlign w:val="center"/>
          </w:tcPr>
          <w:p w14:paraId="0EF1F54C" w14:textId="77777777" w:rsidR="00C002A6" w:rsidRPr="002E1D48" w:rsidRDefault="00C002A6" w:rsidP="00CE2FDF">
            <w:pPr>
              <w:spacing w:before="0" w:line="240" w:lineRule="auto"/>
              <w:jc w:val="center"/>
            </w:pPr>
            <w:r w:rsidRPr="002E1D48">
              <w:t>(10.6%)</w:t>
            </w:r>
          </w:p>
        </w:tc>
        <w:tc>
          <w:tcPr>
            <w:tcW w:w="1242" w:type="dxa"/>
            <w:tcBorders>
              <w:left w:val="single" w:sz="4" w:space="0" w:color="auto"/>
              <w:right w:val="single" w:sz="4" w:space="0" w:color="auto"/>
            </w:tcBorders>
            <w:noWrap/>
            <w:vAlign w:val="center"/>
            <w:hideMark/>
          </w:tcPr>
          <w:p w14:paraId="735C1310" w14:textId="77777777" w:rsidR="00C002A6" w:rsidRPr="00C84E96" w:rsidRDefault="00C002A6" w:rsidP="00CE2FDF">
            <w:pPr>
              <w:spacing w:before="0" w:line="240" w:lineRule="auto"/>
              <w:jc w:val="right"/>
              <w:rPr>
                <w:b/>
              </w:rPr>
            </w:pPr>
            <w:r w:rsidRPr="00C84E96">
              <w:rPr>
                <w:b/>
              </w:rPr>
              <w:t>58</w:t>
            </w:r>
            <w:r w:rsidR="008E470D" w:rsidRPr="00C84E96">
              <w:rPr>
                <w:b/>
              </w:rPr>
              <w:t>,</w:t>
            </w:r>
            <w:r w:rsidRPr="00C84E96">
              <w:rPr>
                <w:b/>
              </w:rPr>
              <w:t>932</w:t>
            </w:r>
          </w:p>
        </w:tc>
      </w:tr>
      <w:tr w:rsidR="00C002A6" w:rsidRPr="002E1D48" w14:paraId="14EF33A0" w14:textId="77777777" w:rsidTr="00F2009E">
        <w:trPr>
          <w:trHeight w:val="276"/>
        </w:trPr>
        <w:tc>
          <w:tcPr>
            <w:tcW w:w="1008"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70E7FD8C" w14:textId="77777777" w:rsidR="00C002A6" w:rsidRPr="00C002A6" w:rsidRDefault="00C002A6" w:rsidP="00CE2FDF">
            <w:pPr>
              <w:spacing w:before="0" w:line="240" w:lineRule="auto"/>
              <w:rPr>
                <w:b/>
              </w:rPr>
            </w:pPr>
            <w:r w:rsidRPr="00C002A6">
              <w:rPr>
                <w:b/>
              </w:rPr>
              <w:t>2012</w:t>
            </w:r>
          </w:p>
        </w:tc>
        <w:tc>
          <w:tcPr>
            <w:tcW w:w="2070" w:type="dxa"/>
            <w:tcBorders>
              <w:left w:val="single" w:sz="4" w:space="0" w:color="auto"/>
              <w:bottom w:val="single" w:sz="4" w:space="0" w:color="auto"/>
            </w:tcBorders>
            <w:shd w:val="clear" w:color="auto" w:fill="DBE5F1" w:themeFill="accent1" w:themeFillTint="33"/>
            <w:noWrap/>
            <w:vAlign w:val="center"/>
            <w:hideMark/>
          </w:tcPr>
          <w:p w14:paraId="0EF6C652" w14:textId="77777777" w:rsidR="00C002A6" w:rsidRPr="002E1D48" w:rsidRDefault="00C002A6" w:rsidP="00CE2FDF">
            <w:pPr>
              <w:spacing w:before="0" w:line="240" w:lineRule="auto"/>
              <w:jc w:val="right"/>
            </w:pPr>
            <w:r w:rsidRPr="002E1D48">
              <w:t>41</w:t>
            </w:r>
            <w:r w:rsidR="008E470D">
              <w:t>,</w:t>
            </w:r>
            <w:r w:rsidRPr="002E1D48">
              <w:t>480</w:t>
            </w:r>
          </w:p>
        </w:tc>
        <w:tc>
          <w:tcPr>
            <w:tcW w:w="1170" w:type="dxa"/>
            <w:tcBorders>
              <w:bottom w:val="single" w:sz="4" w:space="0" w:color="auto"/>
              <w:right w:val="single" w:sz="4" w:space="0" w:color="auto"/>
            </w:tcBorders>
            <w:shd w:val="clear" w:color="auto" w:fill="DBE5F1" w:themeFill="accent1" w:themeFillTint="33"/>
            <w:vAlign w:val="center"/>
          </w:tcPr>
          <w:p w14:paraId="2C22DEFA" w14:textId="77777777" w:rsidR="00C002A6" w:rsidRPr="002E1D48" w:rsidRDefault="00C002A6" w:rsidP="00CE2FDF">
            <w:pPr>
              <w:spacing w:before="0" w:line="240" w:lineRule="auto"/>
              <w:jc w:val="center"/>
            </w:pPr>
            <w:r w:rsidRPr="002E1D48">
              <w:t>(60.4%)</w:t>
            </w:r>
          </w:p>
        </w:tc>
        <w:tc>
          <w:tcPr>
            <w:tcW w:w="1530" w:type="dxa"/>
            <w:tcBorders>
              <w:left w:val="single" w:sz="4" w:space="0" w:color="auto"/>
              <w:bottom w:val="single" w:sz="4" w:space="0" w:color="auto"/>
            </w:tcBorders>
            <w:shd w:val="clear" w:color="auto" w:fill="DBE5F1" w:themeFill="accent1" w:themeFillTint="33"/>
            <w:noWrap/>
            <w:vAlign w:val="center"/>
            <w:hideMark/>
          </w:tcPr>
          <w:p w14:paraId="50D0F695" w14:textId="77777777" w:rsidR="00C002A6" w:rsidRPr="002E1D48" w:rsidRDefault="00C002A6" w:rsidP="00CE2FDF">
            <w:pPr>
              <w:spacing w:before="0" w:line="240" w:lineRule="auto"/>
              <w:jc w:val="right"/>
            </w:pPr>
            <w:r w:rsidRPr="002E1D48">
              <w:t>4</w:t>
            </w:r>
            <w:r w:rsidR="008E470D">
              <w:t>,</w:t>
            </w:r>
            <w:r w:rsidRPr="002E1D48">
              <w:t>902</w:t>
            </w:r>
          </w:p>
        </w:tc>
        <w:tc>
          <w:tcPr>
            <w:tcW w:w="1260" w:type="dxa"/>
            <w:tcBorders>
              <w:bottom w:val="single" w:sz="4" w:space="0" w:color="auto"/>
              <w:right w:val="single" w:sz="4" w:space="0" w:color="auto"/>
            </w:tcBorders>
            <w:shd w:val="clear" w:color="auto" w:fill="DBE5F1" w:themeFill="accent1" w:themeFillTint="33"/>
            <w:vAlign w:val="center"/>
          </w:tcPr>
          <w:p w14:paraId="7B90A331" w14:textId="77777777" w:rsidR="00C002A6" w:rsidRPr="002E1D48" w:rsidRDefault="00C002A6" w:rsidP="00CE2FDF">
            <w:pPr>
              <w:spacing w:before="0" w:line="240" w:lineRule="auto"/>
              <w:jc w:val="center"/>
            </w:pPr>
            <w:r w:rsidRPr="002E1D48">
              <w:t>(7.1%)</w:t>
            </w:r>
          </w:p>
        </w:tc>
        <w:tc>
          <w:tcPr>
            <w:tcW w:w="2070" w:type="dxa"/>
            <w:tcBorders>
              <w:left w:val="single" w:sz="4" w:space="0" w:color="auto"/>
              <w:bottom w:val="single" w:sz="4" w:space="0" w:color="auto"/>
            </w:tcBorders>
            <w:shd w:val="clear" w:color="auto" w:fill="DBE5F1" w:themeFill="accent1" w:themeFillTint="33"/>
            <w:noWrap/>
            <w:vAlign w:val="center"/>
            <w:hideMark/>
          </w:tcPr>
          <w:p w14:paraId="76D192AC" w14:textId="77777777" w:rsidR="00C002A6" w:rsidRPr="002E1D48" w:rsidRDefault="00C002A6" w:rsidP="00CE2FDF">
            <w:pPr>
              <w:spacing w:before="0" w:line="240" w:lineRule="auto"/>
              <w:jc w:val="right"/>
            </w:pPr>
            <w:r w:rsidRPr="002E1D48">
              <w:t>14</w:t>
            </w:r>
            <w:r w:rsidR="008E470D">
              <w:t>,</w:t>
            </w:r>
            <w:r w:rsidRPr="002E1D48">
              <w:t>919</w:t>
            </w:r>
          </w:p>
        </w:tc>
        <w:tc>
          <w:tcPr>
            <w:tcW w:w="1260" w:type="dxa"/>
            <w:tcBorders>
              <w:bottom w:val="single" w:sz="4" w:space="0" w:color="auto"/>
              <w:right w:val="single" w:sz="4" w:space="0" w:color="auto"/>
            </w:tcBorders>
            <w:shd w:val="clear" w:color="auto" w:fill="DBE5F1" w:themeFill="accent1" w:themeFillTint="33"/>
            <w:vAlign w:val="center"/>
          </w:tcPr>
          <w:p w14:paraId="60F4C4B2" w14:textId="77777777" w:rsidR="00C002A6" w:rsidRPr="002E1D48" w:rsidRDefault="00C002A6" w:rsidP="00CE2FDF">
            <w:pPr>
              <w:spacing w:before="0" w:line="240" w:lineRule="auto"/>
              <w:jc w:val="center"/>
            </w:pPr>
            <w:r w:rsidRPr="002E1D48">
              <w:t>(21.7%)</w:t>
            </w:r>
          </w:p>
        </w:tc>
        <w:tc>
          <w:tcPr>
            <w:tcW w:w="1800" w:type="dxa"/>
            <w:tcBorders>
              <w:left w:val="single" w:sz="4" w:space="0" w:color="auto"/>
              <w:bottom w:val="single" w:sz="4" w:space="0" w:color="auto"/>
            </w:tcBorders>
            <w:shd w:val="clear" w:color="auto" w:fill="DBE5F1" w:themeFill="accent1" w:themeFillTint="33"/>
            <w:noWrap/>
            <w:vAlign w:val="center"/>
            <w:hideMark/>
          </w:tcPr>
          <w:p w14:paraId="292AD661" w14:textId="77777777" w:rsidR="00C002A6" w:rsidRPr="002E1D48" w:rsidRDefault="00C002A6" w:rsidP="00CE2FDF">
            <w:pPr>
              <w:spacing w:before="0" w:line="240" w:lineRule="auto"/>
              <w:jc w:val="right"/>
            </w:pPr>
            <w:r w:rsidRPr="002E1D48">
              <w:t>7</w:t>
            </w:r>
            <w:r w:rsidR="008E470D">
              <w:t>,</w:t>
            </w:r>
            <w:r w:rsidRPr="002E1D48">
              <w:t>347</w:t>
            </w:r>
          </w:p>
        </w:tc>
        <w:tc>
          <w:tcPr>
            <w:tcW w:w="1440" w:type="dxa"/>
            <w:tcBorders>
              <w:bottom w:val="single" w:sz="4" w:space="0" w:color="auto"/>
              <w:right w:val="single" w:sz="4" w:space="0" w:color="auto"/>
            </w:tcBorders>
            <w:shd w:val="clear" w:color="auto" w:fill="DBE5F1" w:themeFill="accent1" w:themeFillTint="33"/>
            <w:vAlign w:val="center"/>
          </w:tcPr>
          <w:p w14:paraId="6B6F086C" w14:textId="77777777" w:rsidR="00C002A6" w:rsidRPr="002E1D48" w:rsidRDefault="00C002A6" w:rsidP="00CE2FDF">
            <w:pPr>
              <w:spacing w:before="0" w:line="240" w:lineRule="auto"/>
              <w:jc w:val="center"/>
            </w:pPr>
            <w:r w:rsidRPr="002E1D48">
              <w:t>(10.7%)</w:t>
            </w:r>
          </w:p>
        </w:tc>
        <w:tc>
          <w:tcPr>
            <w:tcW w:w="1242"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1DA3187D" w14:textId="77777777" w:rsidR="00C002A6" w:rsidRPr="00C84E96" w:rsidRDefault="00C002A6" w:rsidP="00CE2FDF">
            <w:pPr>
              <w:spacing w:before="0" w:line="240" w:lineRule="auto"/>
              <w:jc w:val="right"/>
              <w:rPr>
                <w:b/>
              </w:rPr>
            </w:pPr>
            <w:r w:rsidRPr="00C84E96">
              <w:rPr>
                <w:b/>
              </w:rPr>
              <w:t>68</w:t>
            </w:r>
            <w:r w:rsidR="008E470D" w:rsidRPr="00C84E96">
              <w:rPr>
                <w:b/>
              </w:rPr>
              <w:t>,</w:t>
            </w:r>
            <w:r w:rsidRPr="00C84E96">
              <w:rPr>
                <w:b/>
              </w:rPr>
              <w:t>648</w:t>
            </w:r>
          </w:p>
        </w:tc>
      </w:tr>
      <w:tr w:rsidR="00C002A6" w:rsidRPr="00C002A6" w14:paraId="5CC14D6B" w14:textId="77777777" w:rsidTr="00F2009E">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79C4E27" w14:textId="77777777" w:rsidR="00C002A6" w:rsidRPr="00C002A6" w:rsidRDefault="00C002A6" w:rsidP="00CE2FDF">
            <w:pPr>
              <w:spacing w:before="0" w:line="240" w:lineRule="auto"/>
              <w:rPr>
                <w:b/>
              </w:rPr>
            </w:pPr>
            <w:r w:rsidRPr="00C002A6">
              <w:rPr>
                <w:b/>
              </w:rPr>
              <w:t>Totals:</w:t>
            </w:r>
          </w:p>
        </w:tc>
        <w:tc>
          <w:tcPr>
            <w:tcW w:w="2070"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026EFD85" w14:textId="77777777" w:rsidR="00C002A6" w:rsidRPr="00C002A6" w:rsidRDefault="00C002A6" w:rsidP="00CE2FDF">
            <w:pPr>
              <w:spacing w:before="0" w:line="240" w:lineRule="auto"/>
              <w:jc w:val="right"/>
              <w:rPr>
                <w:b/>
              </w:rPr>
            </w:pPr>
            <w:r w:rsidRPr="00C002A6">
              <w:rPr>
                <w:b/>
              </w:rPr>
              <w:t>197</w:t>
            </w:r>
            <w:r w:rsidR="008E470D">
              <w:rPr>
                <w:b/>
              </w:rPr>
              <w:t>,</w:t>
            </w:r>
            <w:r w:rsidRPr="00C002A6">
              <w:rPr>
                <w:b/>
              </w:rPr>
              <w:t>827</w:t>
            </w:r>
          </w:p>
        </w:tc>
        <w:tc>
          <w:tcPr>
            <w:tcW w:w="1170" w:type="dxa"/>
            <w:tcBorders>
              <w:top w:val="single" w:sz="4" w:space="0" w:color="auto"/>
              <w:bottom w:val="single" w:sz="4" w:space="0" w:color="auto"/>
              <w:right w:val="single" w:sz="4" w:space="0" w:color="auto"/>
            </w:tcBorders>
            <w:shd w:val="clear" w:color="auto" w:fill="B8CCE4" w:themeFill="accent1" w:themeFillTint="66"/>
            <w:vAlign w:val="center"/>
          </w:tcPr>
          <w:p w14:paraId="77009880" w14:textId="77777777" w:rsidR="00C002A6" w:rsidRPr="00C002A6" w:rsidRDefault="00C002A6" w:rsidP="00CE2FDF">
            <w:pPr>
              <w:spacing w:before="0" w:line="240" w:lineRule="auto"/>
              <w:jc w:val="center"/>
              <w:rPr>
                <w:b/>
              </w:rPr>
            </w:pPr>
            <w:r w:rsidRPr="00C002A6">
              <w:rPr>
                <w:b/>
              </w:rPr>
              <w:t>(43.6%)</w:t>
            </w:r>
          </w:p>
        </w:tc>
        <w:tc>
          <w:tcPr>
            <w:tcW w:w="1530"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6CE767C0" w14:textId="77777777" w:rsidR="00C002A6" w:rsidRPr="00C002A6" w:rsidRDefault="00C002A6" w:rsidP="00CE2FDF">
            <w:pPr>
              <w:spacing w:before="0" w:line="240" w:lineRule="auto"/>
              <w:jc w:val="right"/>
              <w:rPr>
                <w:b/>
              </w:rPr>
            </w:pPr>
            <w:r w:rsidRPr="00C002A6">
              <w:rPr>
                <w:b/>
              </w:rPr>
              <w:t>87</w:t>
            </w:r>
            <w:r w:rsidR="008E470D">
              <w:rPr>
                <w:b/>
              </w:rPr>
              <w:t>,</w:t>
            </w:r>
            <w:r w:rsidRPr="00C002A6">
              <w:rPr>
                <w:b/>
              </w:rPr>
              <w:t>439</w:t>
            </w:r>
          </w:p>
        </w:tc>
        <w:tc>
          <w:tcPr>
            <w:tcW w:w="1260" w:type="dxa"/>
            <w:tcBorders>
              <w:top w:val="single" w:sz="4" w:space="0" w:color="auto"/>
              <w:bottom w:val="single" w:sz="4" w:space="0" w:color="auto"/>
              <w:right w:val="single" w:sz="4" w:space="0" w:color="auto"/>
            </w:tcBorders>
            <w:shd w:val="clear" w:color="auto" w:fill="B8CCE4" w:themeFill="accent1" w:themeFillTint="66"/>
            <w:vAlign w:val="center"/>
          </w:tcPr>
          <w:p w14:paraId="04842E42" w14:textId="77777777" w:rsidR="00C002A6" w:rsidRPr="00C002A6" w:rsidRDefault="00C002A6" w:rsidP="00CE2FDF">
            <w:pPr>
              <w:spacing w:before="0" w:line="240" w:lineRule="auto"/>
              <w:jc w:val="center"/>
              <w:rPr>
                <w:b/>
              </w:rPr>
            </w:pPr>
            <w:r w:rsidRPr="00C002A6">
              <w:rPr>
                <w:b/>
              </w:rPr>
              <w:t>(19.3%)</w:t>
            </w:r>
          </w:p>
        </w:tc>
        <w:tc>
          <w:tcPr>
            <w:tcW w:w="2070"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5DEF570B" w14:textId="77777777" w:rsidR="00C002A6" w:rsidRPr="00C002A6" w:rsidRDefault="00C002A6" w:rsidP="00CE2FDF">
            <w:pPr>
              <w:spacing w:before="0" w:line="240" w:lineRule="auto"/>
              <w:jc w:val="right"/>
              <w:rPr>
                <w:b/>
              </w:rPr>
            </w:pPr>
            <w:r w:rsidRPr="00C002A6">
              <w:rPr>
                <w:b/>
              </w:rPr>
              <w:t>119</w:t>
            </w:r>
            <w:r w:rsidR="008E470D">
              <w:rPr>
                <w:b/>
              </w:rPr>
              <w:t>,</w:t>
            </w:r>
            <w:r w:rsidRPr="00C002A6">
              <w:rPr>
                <w:b/>
              </w:rPr>
              <w:t>886</w:t>
            </w:r>
          </w:p>
        </w:tc>
        <w:tc>
          <w:tcPr>
            <w:tcW w:w="1260" w:type="dxa"/>
            <w:tcBorders>
              <w:top w:val="single" w:sz="4" w:space="0" w:color="auto"/>
              <w:bottom w:val="single" w:sz="4" w:space="0" w:color="auto"/>
              <w:right w:val="single" w:sz="4" w:space="0" w:color="auto"/>
            </w:tcBorders>
            <w:shd w:val="clear" w:color="auto" w:fill="B8CCE4" w:themeFill="accent1" w:themeFillTint="66"/>
            <w:vAlign w:val="center"/>
          </w:tcPr>
          <w:p w14:paraId="41EB1C42" w14:textId="77777777" w:rsidR="00C002A6" w:rsidRPr="00C002A6" w:rsidRDefault="00C002A6" w:rsidP="00CE2FDF">
            <w:pPr>
              <w:spacing w:before="0" w:line="240" w:lineRule="auto"/>
              <w:jc w:val="center"/>
              <w:rPr>
                <w:b/>
              </w:rPr>
            </w:pPr>
            <w:r w:rsidRPr="00C002A6">
              <w:rPr>
                <w:b/>
              </w:rPr>
              <w:t>(26.4%)</w:t>
            </w:r>
          </w:p>
        </w:tc>
        <w:tc>
          <w:tcPr>
            <w:tcW w:w="1800"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73A7F2F4" w14:textId="77777777" w:rsidR="00C002A6" w:rsidRPr="00C002A6" w:rsidRDefault="00C002A6" w:rsidP="00CE2FDF">
            <w:pPr>
              <w:spacing w:before="0" w:line="240" w:lineRule="auto"/>
              <w:jc w:val="right"/>
              <w:rPr>
                <w:b/>
              </w:rPr>
            </w:pPr>
            <w:r w:rsidRPr="00C002A6">
              <w:rPr>
                <w:b/>
              </w:rPr>
              <w:t>48</w:t>
            </w:r>
            <w:r w:rsidR="008E470D">
              <w:rPr>
                <w:b/>
              </w:rPr>
              <w:t>,</w:t>
            </w:r>
            <w:r w:rsidRPr="00C002A6">
              <w:rPr>
                <w:b/>
              </w:rPr>
              <w:t>968</w:t>
            </w:r>
          </w:p>
        </w:tc>
        <w:tc>
          <w:tcPr>
            <w:tcW w:w="1440" w:type="dxa"/>
            <w:tcBorders>
              <w:top w:val="single" w:sz="4" w:space="0" w:color="auto"/>
              <w:bottom w:val="single" w:sz="4" w:space="0" w:color="auto"/>
              <w:right w:val="single" w:sz="4" w:space="0" w:color="auto"/>
            </w:tcBorders>
            <w:shd w:val="clear" w:color="auto" w:fill="B8CCE4" w:themeFill="accent1" w:themeFillTint="66"/>
            <w:vAlign w:val="center"/>
          </w:tcPr>
          <w:p w14:paraId="0D2078D3" w14:textId="77777777" w:rsidR="00C002A6" w:rsidRPr="00C002A6" w:rsidRDefault="00C002A6" w:rsidP="00CE2FDF">
            <w:pPr>
              <w:spacing w:before="0" w:line="240" w:lineRule="auto"/>
              <w:jc w:val="center"/>
              <w:rPr>
                <w:b/>
              </w:rPr>
            </w:pPr>
            <w:r w:rsidRPr="00C002A6">
              <w:rPr>
                <w:b/>
              </w:rPr>
              <w:t>(10.8%)</w:t>
            </w:r>
          </w:p>
        </w:tc>
        <w:tc>
          <w:tcPr>
            <w:tcW w:w="124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1C7E5A2" w14:textId="77777777" w:rsidR="00C002A6" w:rsidRPr="00C002A6" w:rsidRDefault="00C002A6" w:rsidP="00CE2FDF">
            <w:pPr>
              <w:spacing w:before="0" w:line="240" w:lineRule="auto"/>
              <w:jc w:val="right"/>
              <w:rPr>
                <w:b/>
              </w:rPr>
            </w:pPr>
            <w:r w:rsidRPr="00C002A6">
              <w:rPr>
                <w:b/>
              </w:rPr>
              <w:t>454</w:t>
            </w:r>
            <w:r w:rsidR="008E470D">
              <w:rPr>
                <w:b/>
              </w:rPr>
              <w:t>,</w:t>
            </w:r>
            <w:r w:rsidRPr="00C002A6">
              <w:rPr>
                <w:b/>
              </w:rPr>
              <w:t>120</w:t>
            </w:r>
          </w:p>
        </w:tc>
      </w:tr>
    </w:tbl>
    <w:p w14:paraId="7EC3EC57" w14:textId="77777777" w:rsidR="00863C61" w:rsidRDefault="00863C61" w:rsidP="00B15586">
      <w:pPr>
        <w:spacing w:after="200" w:line="276" w:lineRule="auto"/>
      </w:pPr>
      <w:r>
        <w:br w:type="page"/>
      </w:r>
    </w:p>
    <w:p w14:paraId="3D4ECA14" w14:textId="2DCAEDD8" w:rsidR="005D61DD" w:rsidRDefault="00863988" w:rsidP="00863988">
      <w:pPr>
        <w:pStyle w:val="Figureheading"/>
        <w:ind w:left="720" w:hanging="720"/>
      </w:pPr>
      <w:bookmarkStart w:id="58" w:name="_Toc382206699"/>
      <w:r>
        <w:lastRenderedPageBreak/>
        <w:t>1.6</w:t>
      </w:r>
      <w:r>
        <w:tab/>
      </w:r>
      <w:r w:rsidR="005D61DD">
        <w:t>Number of reports by year, all abuse types combined,</w:t>
      </w:r>
      <w:r w:rsidR="005D61DD" w:rsidRPr="00856FCC">
        <w:t xml:space="preserve"> </w:t>
      </w:r>
      <w:r w:rsidR="005D61DD">
        <w:t>by outcome of reports, with percentage change (all reporter groups combined)</w:t>
      </w:r>
      <w:bookmarkEnd w:id="58"/>
    </w:p>
    <w:tbl>
      <w:tblPr>
        <w:tblW w:w="14754" w:type="dxa"/>
        <w:tblInd w:w="9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2"/>
        <w:gridCol w:w="1198"/>
        <w:gridCol w:w="1051"/>
        <w:gridCol w:w="1051"/>
        <w:gridCol w:w="1052"/>
        <w:gridCol w:w="1051"/>
        <w:gridCol w:w="1051"/>
        <w:gridCol w:w="1051"/>
        <w:gridCol w:w="1052"/>
        <w:gridCol w:w="1051"/>
        <w:gridCol w:w="1051"/>
        <w:gridCol w:w="951"/>
        <w:gridCol w:w="1152"/>
      </w:tblGrid>
      <w:tr w:rsidR="008E470D" w:rsidRPr="008E470D" w14:paraId="7EF9C568" w14:textId="77777777" w:rsidTr="00F2009E">
        <w:trPr>
          <w:trHeight w:val="20"/>
        </w:trPr>
        <w:tc>
          <w:tcPr>
            <w:tcW w:w="1992" w:type="dxa"/>
            <w:tcBorders>
              <w:top w:val="single" w:sz="4" w:space="0" w:color="auto"/>
              <w:bottom w:val="single" w:sz="4" w:space="0" w:color="auto"/>
              <w:right w:val="single" w:sz="4" w:space="0" w:color="auto"/>
            </w:tcBorders>
            <w:shd w:val="clear" w:color="000000" w:fill="95B3D7"/>
            <w:vAlign w:val="center"/>
            <w:hideMark/>
          </w:tcPr>
          <w:p w14:paraId="12AB4081" w14:textId="77777777" w:rsidR="008E470D" w:rsidRPr="008E470D" w:rsidRDefault="008E470D" w:rsidP="00CE2FDF">
            <w:pPr>
              <w:spacing w:before="0" w:after="60" w:line="276" w:lineRule="auto"/>
              <w:rPr>
                <w:rFonts w:ascii="Calibri" w:eastAsia="Times New Roman" w:hAnsi="Calibri" w:cs="Arial"/>
                <w:b/>
                <w:bCs/>
                <w:color w:val="000000"/>
                <w:lang w:eastAsia="en-AU"/>
              </w:rPr>
            </w:pPr>
          </w:p>
        </w:tc>
        <w:tc>
          <w:tcPr>
            <w:tcW w:w="1198" w:type="dxa"/>
            <w:tcBorders>
              <w:top w:val="single" w:sz="4" w:space="0" w:color="auto"/>
              <w:left w:val="single" w:sz="4" w:space="0" w:color="auto"/>
              <w:bottom w:val="single" w:sz="4" w:space="0" w:color="auto"/>
            </w:tcBorders>
            <w:shd w:val="clear" w:color="000000" w:fill="95B3D7"/>
            <w:vAlign w:val="center"/>
            <w:hideMark/>
          </w:tcPr>
          <w:p w14:paraId="4ED6432B"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2003</w:t>
            </w:r>
          </w:p>
        </w:tc>
        <w:tc>
          <w:tcPr>
            <w:tcW w:w="1051" w:type="dxa"/>
            <w:tcBorders>
              <w:top w:val="single" w:sz="4" w:space="0" w:color="auto"/>
              <w:bottom w:val="single" w:sz="4" w:space="0" w:color="auto"/>
            </w:tcBorders>
            <w:shd w:val="clear" w:color="000000" w:fill="95B3D7"/>
            <w:vAlign w:val="center"/>
            <w:hideMark/>
          </w:tcPr>
          <w:p w14:paraId="0CDBAC34"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2004</w:t>
            </w:r>
          </w:p>
        </w:tc>
        <w:tc>
          <w:tcPr>
            <w:tcW w:w="1051" w:type="dxa"/>
            <w:tcBorders>
              <w:top w:val="single" w:sz="4" w:space="0" w:color="auto"/>
              <w:bottom w:val="single" w:sz="4" w:space="0" w:color="auto"/>
            </w:tcBorders>
            <w:shd w:val="clear" w:color="000000" w:fill="95B3D7"/>
            <w:vAlign w:val="center"/>
            <w:hideMark/>
          </w:tcPr>
          <w:p w14:paraId="626A09BA"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2005</w:t>
            </w:r>
          </w:p>
        </w:tc>
        <w:tc>
          <w:tcPr>
            <w:tcW w:w="1052" w:type="dxa"/>
            <w:tcBorders>
              <w:top w:val="single" w:sz="4" w:space="0" w:color="auto"/>
              <w:bottom w:val="single" w:sz="4" w:space="0" w:color="auto"/>
            </w:tcBorders>
            <w:shd w:val="clear" w:color="000000" w:fill="95B3D7"/>
            <w:vAlign w:val="center"/>
            <w:hideMark/>
          </w:tcPr>
          <w:p w14:paraId="1903FF50"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2006</w:t>
            </w:r>
          </w:p>
        </w:tc>
        <w:tc>
          <w:tcPr>
            <w:tcW w:w="1051" w:type="dxa"/>
            <w:tcBorders>
              <w:top w:val="single" w:sz="4" w:space="0" w:color="auto"/>
              <w:bottom w:val="single" w:sz="4" w:space="0" w:color="auto"/>
            </w:tcBorders>
            <w:shd w:val="clear" w:color="000000" w:fill="95B3D7"/>
            <w:vAlign w:val="center"/>
            <w:hideMark/>
          </w:tcPr>
          <w:p w14:paraId="49665244"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2007</w:t>
            </w:r>
          </w:p>
        </w:tc>
        <w:tc>
          <w:tcPr>
            <w:tcW w:w="1051" w:type="dxa"/>
            <w:tcBorders>
              <w:top w:val="single" w:sz="4" w:space="0" w:color="auto"/>
              <w:bottom w:val="single" w:sz="4" w:space="0" w:color="auto"/>
            </w:tcBorders>
            <w:shd w:val="clear" w:color="000000" w:fill="95B3D7"/>
            <w:vAlign w:val="center"/>
            <w:hideMark/>
          </w:tcPr>
          <w:p w14:paraId="756EC900"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2008</w:t>
            </w:r>
          </w:p>
        </w:tc>
        <w:tc>
          <w:tcPr>
            <w:tcW w:w="1051" w:type="dxa"/>
            <w:tcBorders>
              <w:top w:val="single" w:sz="4" w:space="0" w:color="auto"/>
              <w:bottom w:val="single" w:sz="4" w:space="0" w:color="auto"/>
            </w:tcBorders>
            <w:shd w:val="clear" w:color="000000" w:fill="95B3D7"/>
            <w:vAlign w:val="center"/>
            <w:hideMark/>
          </w:tcPr>
          <w:p w14:paraId="3621FE16"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2009</w:t>
            </w:r>
          </w:p>
        </w:tc>
        <w:tc>
          <w:tcPr>
            <w:tcW w:w="1052" w:type="dxa"/>
            <w:tcBorders>
              <w:top w:val="single" w:sz="4" w:space="0" w:color="auto"/>
              <w:bottom w:val="single" w:sz="4" w:space="0" w:color="auto"/>
            </w:tcBorders>
            <w:shd w:val="clear" w:color="000000" w:fill="95B3D7"/>
            <w:vAlign w:val="center"/>
            <w:hideMark/>
          </w:tcPr>
          <w:p w14:paraId="511D59D9"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2010</w:t>
            </w:r>
          </w:p>
        </w:tc>
        <w:tc>
          <w:tcPr>
            <w:tcW w:w="1051" w:type="dxa"/>
            <w:tcBorders>
              <w:top w:val="single" w:sz="4" w:space="0" w:color="auto"/>
              <w:bottom w:val="single" w:sz="4" w:space="0" w:color="auto"/>
            </w:tcBorders>
            <w:shd w:val="clear" w:color="000000" w:fill="95B3D7"/>
            <w:vAlign w:val="center"/>
            <w:hideMark/>
          </w:tcPr>
          <w:p w14:paraId="6E0CBB16"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2011</w:t>
            </w:r>
          </w:p>
        </w:tc>
        <w:tc>
          <w:tcPr>
            <w:tcW w:w="1051" w:type="dxa"/>
            <w:tcBorders>
              <w:top w:val="single" w:sz="4" w:space="0" w:color="auto"/>
              <w:bottom w:val="single" w:sz="4" w:space="0" w:color="auto"/>
              <w:right w:val="single" w:sz="4" w:space="0" w:color="auto"/>
            </w:tcBorders>
            <w:shd w:val="clear" w:color="000000" w:fill="95B3D7"/>
            <w:vAlign w:val="center"/>
            <w:hideMark/>
          </w:tcPr>
          <w:p w14:paraId="7972325A"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2012</w:t>
            </w:r>
          </w:p>
        </w:tc>
        <w:tc>
          <w:tcPr>
            <w:tcW w:w="951"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2D028E2C" w14:textId="77777777" w:rsidR="008E470D" w:rsidRPr="008E470D" w:rsidRDefault="008E470D" w:rsidP="00CE2FDF">
            <w:pPr>
              <w:spacing w:before="0" w:after="60" w:line="276" w:lineRule="auto"/>
              <w:jc w:val="right"/>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Totals</w:t>
            </w:r>
          </w:p>
        </w:tc>
        <w:tc>
          <w:tcPr>
            <w:tcW w:w="1152" w:type="dxa"/>
            <w:tcBorders>
              <w:top w:val="single" w:sz="4" w:space="0" w:color="auto"/>
              <w:left w:val="single" w:sz="4" w:space="0" w:color="auto"/>
              <w:bottom w:val="single" w:sz="4" w:space="0" w:color="auto"/>
            </w:tcBorders>
            <w:shd w:val="clear" w:color="000000" w:fill="95B3D7"/>
            <w:vAlign w:val="center"/>
          </w:tcPr>
          <w:p w14:paraId="561501FA" w14:textId="77777777" w:rsidR="008E470D" w:rsidRPr="008E470D" w:rsidRDefault="00AC4C50" w:rsidP="00CE2FDF">
            <w:pPr>
              <w:spacing w:before="0" w:after="60" w:line="276" w:lineRule="auto"/>
              <w:jc w:val="right"/>
              <w:rPr>
                <w:rFonts w:ascii="Calibri" w:eastAsia="Times New Roman" w:hAnsi="Calibri" w:cs="Arial"/>
                <w:b/>
                <w:bCs/>
                <w:color w:val="000000"/>
                <w:lang w:eastAsia="en-AU"/>
              </w:rPr>
            </w:pPr>
            <w:r>
              <w:rPr>
                <w:rFonts w:ascii="Calibri" w:eastAsia="Times New Roman" w:hAnsi="Calibri" w:cs="Arial"/>
                <w:b/>
                <w:bCs/>
                <w:color w:val="000000"/>
                <w:lang w:eastAsia="en-AU"/>
              </w:rPr>
              <w:t>% change</w:t>
            </w:r>
          </w:p>
        </w:tc>
      </w:tr>
      <w:tr w:rsidR="008E470D" w:rsidRPr="008E470D" w14:paraId="0F0B9657" w14:textId="77777777" w:rsidTr="00F2009E">
        <w:trPr>
          <w:trHeight w:val="20"/>
        </w:trPr>
        <w:tc>
          <w:tcPr>
            <w:tcW w:w="1992" w:type="dxa"/>
            <w:tcBorders>
              <w:top w:val="single" w:sz="4" w:space="0" w:color="auto"/>
              <w:right w:val="single" w:sz="4" w:space="0" w:color="auto"/>
            </w:tcBorders>
            <w:shd w:val="clear" w:color="auto" w:fill="auto"/>
            <w:hideMark/>
          </w:tcPr>
          <w:p w14:paraId="4F173512" w14:textId="77777777" w:rsidR="008E470D" w:rsidRPr="008E470D" w:rsidRDefault="008E470D" w:rsidP="00CE2FDF">
            <w:pPr>
              <w:spacing w:before="0" w:after="60" w:line="276" w:lineRule="auto"/>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Not investigated</w:t>
            </w:r>
          </w:p>
        </w:tc>
        <w:tc>
          <w:tcPr>
            <w:tcW w:w="1198" w:type="dxa"/>
            <w:tcBorders>
              <w:top w:val="single" w:sz="4" w:space="0" w:color="auto"/>
              <w:left w:val="single" w:sz="4" w:space="0" w:color="auto"/>
            </w:tcBorders>
            <w:shd w:val="clear" w:color="auto" w:fill="auto"/>
            <w:vAlign w:val="center"/>
            <w:hideMark/>
          </w:tcPr>
          <w:p w14:paraId="485BCAFB"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24</w:t>
            </w:r>
            <w:r>
              <w:rPr>
                <w:rFonts w:ascii="Calibri" w:eastAsia="Times New Roman" w:hAnsi="Calibri" w:cs="Arial"/>
                <w:color w:val="000000"/>
                <w:lang w:eastAsia="en-AU"/>
              </w:rPr>
              <w:t>,</w:t>
            </w:r>
            <w:r w:rsidRPr="008E470D">
              <w:rPr>
                <w:rFonts w:ascii="Calibri" w:eastAsia="Times New Roman" w:hAnsi="Calibri" w:cs="Arial"/>
                <w:color w:val="000000"/>
                <w:lang w:eastAsia="en-AU"/>
              </w:rPr>
              <w:t>799</w:t>
            </w:r>
          </w:p>
        </w:tc>
        <w:tc>
          <w:tcPr>
            <w:tcW w:w="1051" w:type="dxa"/>
            <w:tcBorders>
              <w:top w:val="single" w:sz="4" w:space="0" w:color="auto"/>
            </w:tcBorders>
            <w:shd w:val="clear" w:color="auto" w:fill="auto"/>
            <w:vAlign w:val="center"/>
            <w:hideMark/>
          </w:tcPr>
          <w:p w14:paraId="0486D80D"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25</w:t>
            </w:r>
            <w:r>
              <w:rPr>
                <w:rFonts w:ascii="Calibri" w:eastAsia="Times New Roman" w:hAnsi="Calibri" w:cs="Arial"/>
                <w:color w:val="000000"/>
                <w:lang w:eastAsia="en-AU"/>
              </w:rPr>
              <w:t>,</w:t>
            </w:r>
            <w:r w:rsidRPr="008E470D">
              <w:rPr>
                <w:rFonts w:ascii="Calibri" w:eastAsia="Times New Roman" w:hAnsi="Calibri" w:cs="Arial"/>
                <w:color w:val="000000"/>
                <w:lang w:eastAsia="en-AU"/>
              </w:rPr>
              <w:t>242</w:t>
            </w:r>
          </w:p>
        </w:tc>
        <w:tc>
          <w:tcPr>
            <w:tcW w:w="1051" w:type="dxa"/>
            <w:tcBorders>
              <w:top w:val="single" w:sz="4" w:space="0" w:color="auto"/>
            </w:tcBorders>
            <w:shd w:val="clear" w:color="auto" w:fill="auto"/>
            <w:vAlign w:val="center"/>
            <w:hideMark/>
          </w:tcPr>
          <w:p w14:paraId="441B2E88"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25</w:t>
            </w:r>
            <w:r>
              <w:rPr>
                <w:rFonts w:ascii="Calibri" w:eastAsia="Times New Roman" w:hAnsi="Calibri" w:cs="Arial"/>
                <w:color w:val="000000"/>
                <w:lang w:eastAsia="en-AU"/>
              </w:rPr>
              <w:t>,</w:t>
            </w:r>
            <w:r w:rsidRPr="008E470D">
              <w:rPr>
                <w:rFonts w:ascii="Calibri" w:eastAsia="Times New Roman" w:hAnsi="Calibri" w:cs="Arial"/>
                <w:color w:val="000000"/>
                <w:lang w:eastAsia="en-AU"/>
              </w:rPr>
              <w:t>317</w:t>
            </w:r>
          </w:p>
        </w:tc>
        <w:tc>
          <w:tcPr>
            <w:tcW w:w="1052" w:type="dxa"/>
            <w:tcBorders>
              <w:top w:val="single" w:sz="4" w:space="0" w:color="auto"/>
            </w:tcBorders>
            <w:shd w:val="clear" w:color="auto" w:fill="auto"/>
            <w:vAlign w:val="center"/>
            <w:hideMark/>
          </w:tcPr>
          <w:p w14:paraId="61D50001"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26</w:t>
            </w:r>
            <w:r>
              <w:rPr>
                <w:rFonts w:ascii="Calibri" w:eastAsia="Times New Roman" w:hAnsi="Calibri" w:cs="Arial"/>
                <w:color w:val="000000"/>
                <w:lang w:eastAsia="en-AU"/>
              </w:rPr>
              <w:t>,</w:t>
            </w:r>
            <w:r w:rsidRPr="008E470D">
              <w:rPr>
                <w:rFonts w:ascii="Calibri" w:eastAsia="Times New Roman" w:hAnsi="Calibri" w:cs="Arial"/>
                <w:color w:val="000000"/>
                <w:lang w:eastAsia="en-AU"/>
              </w:rPr>
              <w:t>176</w:t>
            </w:r>
          </w:p>
        </w:tc>
        <w:tc>
          <w:tcPr>
            <w:tcW w:w="1051" w:type="dxa"/>
            <w:tcBorders>
              <w:top w:val="single" w:sz="4" w:space="0" w:color="auto"/>
            </w:tcBorders>
            <w:shd w:val="clear" w:color="auto" w:fill="auto"/>
            <w:vAlign w:val="center"/>
            <w:hideMark/>
          </w:tcPr>
          <w:p w14:paraId="436E1615"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27</w:t>
            </w:r>
            <w:r>
              <w:rPr>
                <w:rFonts w:ascii="Calibri" w:eastAsia="Times New Roman" w:hAnsi="Calibri" w:cs="Arial"/>
                <w:color w:val="000000"/>
                <w:lang w:eastAsia="en-AU"/>
              </w:rPr>
              <w:t>,</w:t>
            </w:r>
            <w:r w:rsidRPr="008E470D">
              <w:rPr>
                <w:rFonts w:ascii="Calibri" w:eastAsia="Times New Roman" w:hAnsi="Calibri" w:cs="Arial"/>
                <w:color w:val="000000"/>
                <w:lang w:eastAsia="en-AU"/>
              </w:rPr>
              <w:t>638</w:t>
            </w:r>
          </w:p>
        </w:tc>
        <w:tc>
          <w:tcPr>
            <w:tcW w:w="1051" w:type="dxa"/>
            <w:tcBorders>
              <w:top w:val="single" w:sz="4" w:space="0" w:color="auto"/>
            </w:tcBorders>
            <w:shd w:val="clear" w:color="auto" w:fill="auto"/>
            <w:vAlign w:val="center"/>
            <w:hideMark/>
          </w:tcPr>
          <w:p w14:paraId="7151F6CC"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30</w:t>
            </w:r>
            <w:r>
              <w:rPr>
                <w:rFonts w:ascii="Calibri" w:eastAsia="Times New Roman" w:hAnsi="Calibri" w:cs="Arial"/>
                <w:color w:val="000000"/>
                <w:lang w:eastAsia="en-AU"/>
              </w:rPr>
              <w:t>,</w:t>
            </w:r>
            <w:r w:rsidRPr="008E470D">
              <w:rPr>
                <w:rFonts w:ascii="Calibri" w:eastAsia="Times New Roman" w:hAnsi="Calibri" w:cs="Arial"/>
                <w:color w:val="000000"/>
                <w:lang w:eastAsia="en-AU"/>
              </w:rPr>
              <w:t>229</w:t>
            </w:r>
          </w:p>
        </w:tc>
        <w:tc>
          <w:tcPr>
            <w:tcW w:w="1051" w:type="dxa"/>
            <w:tcBorders>
              <w:top w:val="single" w:sz="4" w:space="0" w:color="auto"/>
            </w:tcBorders>
            <w:shd w:val="clear" w:color="auto" w:fill="auto"/>
            <w:vAlign w:val="center"/>
            <w:hideMark/>
          </w:tcPr>
          <w:p w14:paraId="7075E1C6"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33</w:t>
            </w:r>
            <w:r>
              <w:rPr>
                <w:rFonts w:ascii="Calibri" w:eastAsia="Times New Roman" w:hAnsi="Calibri" w:cs="Arial"/>
                <w:color w:val="000000"/>
                <w:lang w:eastAsia="en-AU"/>
              </w:rPr>
              <w:t>,</w:t>
            </w:r>
            <w:r w:rsidRPr="008E470D">
              <w:rPr>
                <w:rFonts w:ascii="Calibri" w:eastAsia="Times New Roman" w:hAnsi="Calibri" w:cs="Arial"/>
                <w:color w:val="000000"/>
                <w:lang w:eastAsia="en-AU"/>
              </w:rPr>
              <w:t>101</w:t>
            </w:r>
          </w:p>
        </w:tc>
        <w:tc>
          <w:tcPr>
            <w:tcW w:w="1052" w:type="dxa"/>
            <w:tcBorders>
              <w:top w:val="single" w:sz="4" w:space="0" w:color="auto"/>
            </w:tcBorders>
            <w:shd w:val="clear" w:color="auto" w:fill="auto"/>
            <w:vAlign w:val="center"/>
            <w:hideMark/>
          </w:tcPr>
          <w:p w14:paraId="756357E5"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37</w:t>
            </w:r>
            <w:r>
              <w:rPr>
                <w:rFonts w:ascii="Calibri" w:eastAsia="Times New Roman" w:hAnsi="Calibri" w:cs="Arial"/>
                <w:color w:val="000000"/>
                <w:lang w:eastAsia="en-AU"/>
              </w:rPr>
              <w:t>,</w:t>
            </w:r>
            <w:r w:rsidRPr="008E470D">
              <w:rPr>
                <w:rFonts w:ascii="Calibri" w:eastAsia="Times New Roman" w:hAnsi="Calibri" w:cs="Arial"/>
                <w:color w:val="000000"/>
                <w:lang w:eastAsia="en-AU"/>
              </w:rPr>
              <w:t>775</w:t>
            </w:r>
          </w:p>
        </w:tc>
        <w:tc>
          <w:tcPr>
            <w:tcW w:w="1051" w:type="dxa"/>
            <w:tcBorders>
              <w:top w:val="single" w:sz="4" w:space="0" w:color="auto"/>
            </w:tcBorders>
            <w:shd w:val="clear" w:color="auto" w:fill="auto"/>
            <w:vAlign w:val="center"/>
            <w:hideMark/>
          </w:tcPr>
          <w:p w14:paraId="7F2FECD7"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43</w:t>
            </w:r>
            <w:r>
              <w:rPr>
                <w:rFonts w:ascii="Calibri" w:eastAsia="Times New Roman" w:hAnsi="Calibri" w:cs="Arial"/>
                <w:color w:val="000000"/>
                <w:lang w:eastAsia="en-AU"/>
              </w:rPr>
              <w:t>,</w:t>
            </w:r>
            <w:r w:rsidRPr="008E470D">
              <w:rPr>
                <w:rFonts w:ascii="Calibri" w:eastAsia="Times New Roman" w:hAnsi="Calibri" w:cs="Arial"/>
                <w:color w:val="000000"/>
                <w:lang w:eastAsia="en-AU"/>
              </w:rPr>
              <w:t>939</w:t>
            </w:r>
          </w:p>
        </w:tc>
        <w:tc>
          <w:tcPr>
            <w:tcW w:w="1051" w:type="dxa"/>
            <w:tcBorders>
              <w:top w:val="single" w:sz="4" w:space="0" w:color="auto"/>
              <w:right w:val="single" w:sz="4" w:space="0" w:color="auto"/>
            </w:tcBorders>
            <w:shd w:val="clear" w:color="auto" w:fill="auto"/>
            <w:vAlign w:val="center"/>
            <w:hideMark/>
          </w:tcPr>
          <w:p w14:paraId="6C9DEFA9"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51</w:t>
            </w:r>
            <w:r>
              <w:rPr>
                <w:rFonts w:ascii="Calibri" w:eastAsia="Times New Roman" w:hAnsi="Calibri" w:cs="Arial"/>
                <w:color w:val="000000"/>
                <w:lang w:eastAsia="en-AU"/>
              </w:rPr>
              <w:t>,</w:t>
            </w:r>
            <w:r w:rsidRPr="008E470D">
              <w:rPr>
                <w:rFonts w:ascii="Calibri" w:eastAsia="Times New Roman" w:hAnsi="Calibri" w:cs="Arial"/>
                <w:color w:val="000000"/>
                <w:lang w:eastAsia="en-AU"/>
              </w:rPr>
              <w:t>588</w:t>
            </w:r>
          </w:p>
        </w:tc>
        <w:tc>
          <w:tcPr>
            <w:tcW w:w="951" w:type="dxa"/>
            <w:tcBorders>
              <w:top w:val="single" w:sz="4" w:space="0" w:color="auto"/>
              <w:left w:val="single" w:sz="4" w:space="0" w:color="auto"/>
              <w:right w:val="single" w:sz="4" w:space="0" w:color="auto"/>
            </w:tcBorders>
            <w:shd w:val="clear" w:color="auto" w:fill="auto"/>
            <w:vAlign w:val="center"/>
            <w:hideMark/>
          </w:tcPr>
          <w:p w14:paraId="02001478" w14:textId="77777777" w:rsidR="008E470D" w:rsidRPr="008E470D" w:rsidRDefault="008E470D" w:rsidP="00CE2FDF">
            <w:pPr>
              <w:spacing w:before="0" w:after="60" w:line="276" w:lineRule="auto"/>
              <w:jc w:val="right"/>
              <w:rPr>
                <w:rFonts w:ascii="Calibri" w:eastAsia="Times New Roman" w:hAnsi="Calibri" w:cs="Arial"/>
                <w:b/>
                <w:color w:val="000000"/>
                <w:lang w:eastAsia="en-AU"/>
              </w:rPr>
            </w:pPr>
            <w:r w:rsidRPr="008E470D">
              <w:rPr>
                <w:rFonts w:ascii="Calibri" w:eastAsia="Times New Roman" w:hAnsi="Calibri" w:cs="Arial"/>
                <w:b/>
                <w:color w:val="000000"/>
                <w:lang w:eastAsia="en-AU"/>
              </w:rPr>
              <w:t>325,804</w:t>
            </w:r>
          </w:p>
        </w:tc>
        <w:tc>
          <w:tcPr>
            <w:tcW w:w="1152" w:type="dxa"/>
            <w:tcBorders>
              <w:top w:val="single" w:sz="4" w:space="0" w:color="auto"/>
              <w:left w:val="single" w:sz="4" w:space="0" w:color="auto"/>
            </w:tcBorders>
            <w:vAlign w:val="center"/>
          </w:tcPr>
          <w:p w14:paraId="581DECA0"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Pr>
                <w:rFonts w:ascii="Calibri" w:eastAsia="Times New Roman" w:hAnsi="Calibri" w:cs="Arial"/>
                <w:color w:val="000000"/>
                <w:lang w:eastAsia="en-AU"/>
              </w:rPr>
              <w:t>108%</w:t>
            </w:r>
          </w:p>
        </w:tc>
      </w:tr>
      <w:tr w:rsidR="008E470D" w:rsidRPr="008E470D" w14:paraId="5907B0F2" w14:textId="77777777" w:rsidTr="00F2009E">
        <w:trPr>
          <w:trHeight w:val="20"/>
        </w:trPr>
        <w:tc>
          <w:tcPr>
            <w:tcW w:w="1992" w:type="dxa"/>
            <w:tcBorders>
              <w:right w:val="single" w:sz="4" w:space="0" w:color="auto"/>
            </w:tcBorders>
            <w:shd w:val="clear" w:color="auto" w:fill="DBE5F1" w:themeFill="accent1" w:themeFillTint="33"/>
            <w:hideMark/>
          </w:tcPr>
          <w:p w14:paraId="4A93346A" w14:textId="77777777" w:rsidR="008E470D" w:rsidRPr="008E470D" w:rsidRDefault="008E470D" w:rsidP="00CE2FDF">
            <w:pPr>
              <w:spacing w:before="0" w:after="60" w:line="276" w:lineRule="auto"/>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Investigated</w:t>
            </w:r>
          </w:p>
        </w:tc>
        <w:tc>
          <w:tcPr>
            <w:tcW w:w="1198" w:type="dxa"/>
            <w:tcBorders>
              <w:left w:val="single" w:sz="4" w:space="0" w:color="auto"/>
            </w:tcBorders>
            <w:shd w:val="clear" w:color="auto" w:fill="DBE5F1" w:themeFill="accent1" w:themeFillTint="33"/>
            <w:vAlign w:val="center"/>
            <w:hideMark/>
          </w:tcPr>
          <w:p w14:paraId="0C4E91D0"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12</w:t>
            </w:r>
            <w:r>
              <w:rPr>
                <w:rFonts w:ascii="Calibri" w:eastAsia="Times New Roman" w:hAnsi="Calibri" w:cs="Arial"/>
                <w:color w:val="000000"/>
                <w:lang w:eastAsia="en-AU"/>
              </w:rPr>
              <w:t>,</w:t>
            </w:r>
            <w:r w:rsidRPr="008E470D">
              <w:rPr>
                <w:rFonts w:ascii="Calibri" w:eastAsia="Times New Roman" w:hAnsi="Calibri" w:cs="Arial"/>
                <w:color w:val="000000"/>
                <w:lang w:eastAsia="en-AU"/>
              </w:rPr>
              <w:t>468</w:t>
            </w:r>
          </w:p>
        </w:tc>
        <w:tc>
          <w:tcPr>
            <w:tcW w:w="1051" w:type="dxa"/>
            <w:shd w:val="clear" w:color="auto" w:fill="DBE5F1" w:themeFill="accent1" w:themeFillTint="33"/>
            <w:vAlign w:val="center"/>
            <w:hideMark/>
          </w:tcPr>
          <w:p w14:paraId="3D3CA118"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12</w:t>
            </w:r>
            <w:r>
              <w:rPr>
                <w:rFonts w:ascii="Calibri" w:eastAsia="Times New Roman" w:hAnsi="Calibri" w:cs="Arial"/>
                <w:color w:val="000000"/>
                <w:lang w:eastAsia="en-AU"/>
              </w:rPr>
              <w:t>,</w:t>
            </w:r>
            <w:r w:rsidRPr="008E470D">
              <w:rPr>
                <w:rFonts w:ascii="Calibri" w:eastAsia="Times New Roman" w:hAnsi="Calibri" w:cs="Arial"/>
                <w:color w:val="000000"/>
                <w:lang w:eastAsia="en-AU"/>
              </w:rPr>
              <w:t>407</w:t>
            </w:r>
          </w:p>
        </w:tc>
        <w:tc>
          <w:tcPr>
            <w:tcW w:w="1051" w:type="dxa"/>
            <w:shd w:val="clear" w:color="auto" w:fill="DBE5F1" w:themeFill="accent1" w:themeFillTint="33"/>
            <w:vAlign w:val="center"/>
            <w:hideMark/>
          </w:tcPr>
          <w:p w14:paraId="59FCE8F6"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11</w:t>
            </w:r>
            <w:r>
              <w:rPr>
                <w:rFonts w:ascii="Calibri" w:eastAsia="Times New Roman" w:hAnsi="Calibri" w:cs="Arial"/>
                <w:color w:val="000000"/>
                <w:lang w:eastAsia="en-AU"/>
              </w:rPr>
              <w:t>,</w:t>
            </w:r>
            <w:r w:rsidRPr="008E470D">
              <w:rPr>
                <w:rFonts w:ascii="Calibri" w:eastAsia="Times New Roman" w:hAnsi="Calibri" w:cs="Arial"/>
                <w:color w:val="000000"/>
                <w:lang w:eastAsia="en-AU"/>
              </w:rPr>
              <w:t>340</w:t>
            </w:r>
          </w:p>
        </w:tc>
        <w:tc>
          <w:tcPr>
            <w:tcW w:w="1052" w:type="dxa"/>
            <w:shd w:val="clear" w:color="auto" w:fill="DBE5F1" w:themeFill="accent1" w:themeFillTint="33"/>
            <w:vAlign w:val="center"/>
            <w:hideMark/>
          </w:tcPr>
          <w:p w14:paraId="56821E00"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11</w:t>
            </w:r>
            <w:r>
              <w:rPr>
                <w:rFonts w:ascii="Calibri" w:eastAsia="Times New Roman" w:hAnsi="Calibri" w:cs="Arial"/>
                <w:color w:val="000000"/>
                <w:lang w:eastAsia="en-AU"/>
              </w:rPr>
              <w:t>,</w:t>
            </w:r>
            <w:r w:rsidRPr="008E470D">
              <w:rPr>
                <w:rFonts w:ascii="Calibri" w:eastAsia="Times New Roman" w:hAnsi="Calibri" w:cs="Arial"/>
                <w:color w:val="000000"/>
                <w:lang w:eastAsia="en-AU"/>
              </w:rPr>
              <w:t>517</w:t>
            </w:r>
          </w:p>
        </w:tc>
        <w:tc>
          <w:tcPr>
            <w:tcW w:w="1051" w:type="dxa"/>
            <w:shd w:val="clear" w:color="auto" w:fill="DBE5F1" w:themeFill="accent1" w:themeFillTint="33"/>
            <w:vAlign w:val="center"/>
            <w:hideMark/>
          </w:tcPr>
          <w:p w14:paraId="58C5D0C6"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11</w:t>
            </w:r>
            <w:r>
              <w:rPr>
                <w:rFonts w:ascii="Calibri" w:eastAsia="Times New Roman" w:hAnsi="Calibri" w:cs="Arial"/>
                <w:color w:val="000000"/>
                <w:lang w:eastAsia="en-AU"/>
              </w:rPr>
              <w:t>,</w:t>
            </w:r>
            <w:r w:rsidRPr="008E470D">
              <w:rPr>
                <w:rFonts w:ascii="Calibri" w:eastAsia="Times New Roman" w:hAnsi="Calibri" w:cs="Arial"/>
                <w:color w:val="000000"/>
                <w:lang w:eastAsia="en-AU"/>
              </w:rPr>
              <w:t>136</w:t>
            </w:r>
          </w:p>
        </w:tc>
        <w:tc>
          <w:tcPr>
            <w:tcW w:w="1051" w:type="dxa"/>
            <w:shd w:val="clear" w:color="auto" w:fill="DBE5F1" w:themeFill="accent1" w:themeFillTint="33"/>
            <w:vAlign w:val="center"/>
            <w:hideMark/>
          </w:tcPr>
          <w:p w14:paraId="37E70F8D"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11</w:t>
            </w:r>
            <w:r>
              <w:rPr>
                <w:rFonts w:ascii="Calibri" w:eastAsia="Times New Roman" w:hAnsi="Calibri" w:cs="Arial"/>
                <w:color w:val="000000"/>
                <w:lang w:eastAsia="en-AU"/>
              </w:rPr>
              <w:t>,</w:t>
            </w:r>
            <w:r w:rsidRPr="008E470D">
              <w:rPr>
                <w:rFonts w:ascii="Calibri" w:eastAsia="Times New Roman" w:hAnsi="Calibri" w:cs="Arial"/>
                <w:color w:val="000000"/>
                <w:lang w:eastAsia="en-AU"/>
              </w:rPr>
              <w:t>466</w:t>
            </w:r>
          </w:p>
        </w:tc>
        <w:tc>
          <w:tcPr>
            <w:tcW w:w="1051" w:type="dxa"/>
            <w:shd w:val="clear" w:color="auto" w:fill="DBE5F1" w:themeFill="accent1" w:themeFillTint="33"/>
            <w:vAlign w:val="center"/>
            <w:hideMark/>
          </w:tcPr>
          <w:p w14:paraId="364C62F9"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11</w:t>
            </w:r>
            <w:r>
              <w:rPr>
                <w:rFonts w:ascii="Calibri" w:eastAsia="Times New Roman" w:hAnsi="Calibri" w:cs="Arial"/>
                <w:color w:val="000000"/>
                <w:lang w:eastAsia="en-AU"/>
              </w:rPr>
              <w:t>,</w:t>
            </w:r>
            <w:r w:rsidRPr="008E470D">
              <w:rPr>
                <w:rFonts w:ascii="Calibri" w:eastAsia="Times New Roman" w:hAnsi="Calibri" w:cs="Arial"/>
                <w:color w:val="000000"/>
                <w:lang w:eastAsia="en-AU"/>
              </w:rPr>
              <w:t>669</w:t>
            </w:r>
          </w:p>
        </w:tc>
        <w:tc>
          <w:tcPr>
            <w:tcW w:w="1052" w:type="dxa"/>
            <w:shd w:val="clear" w:color="auto" w:fill="DBE5F1" w:themeFill="accent1" w:themeFillTint="33"/>
            <w:vAlign w:val="center"/>
            <w:hideMark/>
          </w:tcPr>
          <w:p w14:paraId="2B7DC0A0"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14</w:t>
            </w:r>
            <w:r>
              <w:rPr>
                <w:rFonts w:ascii="Calibri" w:eastAsia="Times New Roman" w:hAnsi="Calibri" w:cs="Arial"/>
                <w:color w:val="000000"/>
                <w:lang w:eastAsia="en-AU"/>
              </w:rPr>
              <w:t>,</w:t>
            </w:r>
            <w:r w:rsidRPr="008E470D">
              <w:rPr>
                <w:rFonts w:ascii="Calibri" w:eastAsia="Times New Roman" w:hAnsi="Calibri" w:cs="Arial"/>
                <w:color w:val="000000"/>
                <w:lang w:eastAsia="en-AU"/>
              </w:rPr>
              <w:t>260</w:t>
            </w:r>
          </w:p>
        </w:tc>
        <w:tc>
          <w:tcPr>
            <w:tcW w:w="1051" w:type="dxa"/>
            <w:shd w:val="clear" w:color="auto" w:fill="DBE5F1" w:themeFill="accent1" w:themeFillTint="33"/>
            <w:vAlign w:val="center"/>
            <w:hideMark/>
          </w:tcPr>
          <w:p w14:paraId="12538F9F"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14</w:t>
            </w:r>
            <w:r>
              <w:rPr>
                <w:rFonts w:ascii="Calibri" w:eastAsia="Times New Roman" w:hAnsi="Calibri" w:cs="Arial"/>
                <w:color w:val="000000"/>
                <w:lang w:eastAsia="en-AU"/>
              </w:rPr>
              <w:t>,</w:t>
            </w:r>
            <w:r w:rsidRPr="008E470D">
              <w:rPr>
                <w:rFonts w:ascii="Calibri" w:eastAsia="Times New Roman" w:hAnsi="Calibri" w:cs="Arial"/>
                <w:color w:val="000000"/>
                <w:lang w:eastAsia="en-AU"/>
              </w:rPr>
              <w:t>993</w:t>
            </w:r>
          </w:p>
        </w:tc>
        <w:tc>
          <w:tcPr>
            <w:tcW w:w="1051" w:type="dxa"/>
            <w:tcBorders>
              <w:right w:val="single" w:sz="4" w:space="0" w:color="auto"/>
            </w:tcBorders>
            <w:shd w:val="clear" w:color="auto" w:fill="DBE5F1" w:themeFill="accent1" w:themeFillTint="33"/>
            <w:vAlign w:val="center"/>
            <w:hideMark/>
          </w:tcPr>
          <w:p w14:paraId="2AB983E8"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17</w:t>
            </w:r>
            <w:r>
              <w:rPr>
                <w:rFonts w:ascii="Calibri" w:eastAsia="Times New Roman" w:hAnsi="Calibri" w:cs="Arial"/>
                <w:color w:val="000000"/>
                <w:lang w:eastAsia="en-AU"/>
              </w:rPr>
              <w:t>,</w:t>
            </w:r>
            <w:r w:rsidRPr="008E470D">
              <w:rPr>
                <w:rFonts w:ascii="Calibri" w:eastAsia="Times New Roman" w:hAnsi="Calibri" w:cs="Arial"/>
                <w:color w:val="000000"/>
                <w:lang w:eastAsia="en-AU"/>
              </w:rPr>
              <w:t>060</w:t>
            </w:r>
          </w:p>
        </w:tc>
        <w:tc>
          <w:tcPr>
            <w:tcW w:w="951" w:type="dxa"/>
            <w:tcBorders>
              <w:left w:val="single" w:sz="4" w:space="0" w:color="auto"/>
              <w:right w:val="single" w:sz="4" w:space="0" w:color="auto"/>
            </w:tcBorders>
            <w:shd w:val="clear" w:color="auto" w:fill="DBE5F1" w:themeFill="accent1" w:themeFillTint="33"/>
            <w:vAlign w:val="center"/>
            <w:hideMark/>
          </w:tcPr>
          <w:p w14:paraId="2A061727" w14:textId="77777777" w:rsidR="008E470D" w:rsidRPr="008E470D" w:rsidRDefault="008E470D" w:rsidP="00CE2FDF">
            <w:pPr>
              <w:spacing w:before="0" w:after="60" w:line="276" w:lineRule="auto"/>
              <w:jc w:val="right"/>
              <w:rPr>
                <w:rFonts w:ascii="Calibri" w:eastAsia="Times New Roman" w:hAnsi="Calibri" w:cs="Arial"/>
                <w:b/>
                <w:color w:val="000000"/>
                <w:lang w:eastAsia="en-AU"/>
              </w:rPr>
            </w:pPr>
            <w:r w:rsidRPr="008E470D">
              <w:rPr>
                <w:rFonts w:ascii="Calibri" w:eastAsia="Times New Roman" w:hAnsi="Calibri" w:cs="Arial"/>
                <w:b/>
                <w:color w:val="000000"/>
                <w:lang w:eastAsia="en-AU"/>
              </w:rPr>
              <w:t>128,316</w:t>
            </w:r>
          </w:p>
        </w:tc>
        <w:tc>
          <w:tcPr>
            <w:tcW w:w="1152" w:type="dxa"/>
            <w:tcBorders>
              <w:left w:val="single" w:sz="4" w:space="0" w:color="auto"/>
            </w:tcBorders>
            <w:shd w:val="clear" w:color="auto" w:fill="DBE5F1" w:themeFill="accent1" w:themeFillTint="33"/>
            <w:vAlign w:val="center"/>
          </w:tcPr>
          <w:p w14:paraId="46B2EBAA"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Pr>
                <w:rFonts w:ascii="Calibri" w:eastAsia="Times New Roman" w:hAnsi="Calibri" w:cs="Arial"/>
                <w:color w:val="000000"/>
                <w:lang w:eastAsia="en-AU"/>
              </w:rPr>
              <w:t>37%</w:t>
            </w:r>
          </w:p>
        </w:tc>
      </w:tr>
      <w:tr w:rsidR="008E470D" w:rsidRPr="008E470D" w14:paraId="604B0DFD" w14:textId="77777777" w:rsidTr="00F2009E">
        <w:trPr>
          <w:trHeight w:val="20"/>
        </w:trPr>
        <w:tc>
          <w:tcPr>
            <w:tcW w:w="1992" w:type="dxa"/>
            <w:tcBorders>
              <w:bottom w:val="nil"/>
              <w:right w:val="single" w:sz="4" w:space="0" w:color="auto"/>
            </w:tcBorders>
            <w:shd w:val="clear" w:color="auto" w:fill="auto"/>
            <w:hideMark/>
          </w:tcPr>
          <w:p w14:paraId="171C2C1A" w14:textId="77777777" w:rsidR="008E470D" w:rsidRPr="008E470D" w:rsidRDefault="008E470D" w:rsidP="00CE2FDF">
            <w:pPr>
              <w:spacing w:before="0" w:after="60" w:line="276" w:lineRule="auto"/>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Substantiated</w:t>
            </w:r>
          </w:p>
        </w:tc>
        <w:tc>
          <w:tcPr>
            <w:tcW w:w="1198" w:type="dxa"/>
            <w:tcBorders>
              <w:left w:val="single" w:sz="4" w:space="0" w:color="auto"/>
              <w:bottom w:val="nil"/>
            </w:tcBorders>
            <w:shd w:val="clear" w:color="auto" w:fill="auto"/>
            <w:vAlign w:val="center"/>
            <w:hideMark/>
          </w:tcPr>
          <w:p w14:paraId="2ED4A269"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7</w:t>
            </w:r>
            <w:r>
              <w:rPr>
                <w:rFonts w:ascii="Calibri" w:eastAsia="Times New Roman" w:hAnsi="Calibri" w:cs="Arial"/>
                <w:color w:val="000000"/>
                <w:lang w:eastAsia="en-AU"/>
              </w:rPr>
              <w:t>,</w:t>
            </w:r>
            <w:r w:rsidRPr="008E470D">
              <w:rPr>
                <w:rFonts w:ascii="Calibri" w:eastAsia="Times New Roman" w:hAnsi="Calibri" w:cs="Arial"/>
                <w:color w:val="000000"/>
                <w:lang w:eastAsia="en-AU"/>
              </w:rPr>
              <w:t>411</w:t>
            </w:r>
          </w:p>
        </w:tc>
        <w:tc>
          <w:tcPr>
            <w:tcW w:w="1051" w:type="dxa"/>
            <w:tcBorders>
              <w:bottom w:val="nil"/>
            </w:tcBorders>
            <w:shd w:val="clear" w:color="auto" w:fill="auto"/>
            <w:vAlign w:val="center"/>
            <w:hideMark/>
          </w:tcPr>
          <w:p w14:paraId="2E675C21"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7</w:t>
            </w:r>
            <w:r>
              <w:rPr>
                <w:rFonts w:ascii="Calibri" w:eastAsia="Times New Roman" w:hAnsi="Calibri" w:cs="Arial"/>
                <w:color w:val="000000"/>
                <w:lang w:eastAsia="en-AU"/>
              </w:rPr>
              <w:t>,</w:t>
            </w:r>
            <w:r w:rsidRPr="008E470D">
              <w:rPr>
                <w:rFonts w:ascii="Calibri" w:eastAsia="Times New Roman" w:hAnsi="Calibri" w:cs="Arial"/>
                <w:color w:val="000000"/>
                <w:lang w:eastAsia="en-AU"/>
              </w:rPr>
              <w:t>912</w:t>
            </w:r>
          </w:p>
        </w:tc>
        <w:tc>
          <w:tcPr>
            <w:tcW w:w="1051" w:type="dxa"/>
            <w:tcBorders>
              <w:bottom w:val="nil"/>
            </w:tcBorders>
            <w:shd w:val="clear" w:color="auto" w:fill="auto"/>
            <w:vAlign w:val="center"/>
            <w:hideMark/>
          </w:tcPr>
          <w:p w14:paraId="4E462A7D"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7</w:t>
            </w:r>
            <w:r>
              <w:rPr>
                <w:rFonts w:ascii="Calibri" w:eastAsia="Times New Roman" w:hAnsi="Calibri" w:cs="Arial"/>
                <w:color w:val="000000"/>
                <w:lang w:eastAsia="en-AU"/>
              </w:rPr>
              <w:t>,</w:t>
            </w:r>
            <w:r w:rsidRPr="008E470D">
              <w:rPr>
                <w:rFonts w:ascii="Calibri" w:eastAsia="Times New Roman" w:hAnsi="Calibri" w:cs="Arial"/>
                <w:color w:val="000000"/>
                <w:lang w:eastAsia="en-AU"/>
              </w:rPr>
              <w:t>504</w:t>
            </w:r>
          </w:p>
        </w:tc>
        <w:tc>
          <w:tcPr>
            <w:tcW w:w="1052" w:type="dxa"/>
            <w:tcBorders>
              <w:bottom w:val="nil"/>
            </w:tcBorders>
            <w:shd w:val="clear" w:color="auto" w:fill="auto"/>
            <w:vAlign w:val="center"/>
            <w:hideMark/>
          </w:tcPr>
          <w:p w14:paraId="74D8E8B4"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7</w:t>
            </w:r>
            <w:r>
              <w:rPr>
                <w:rFonts w:ascii="Calibri" w:eastAsia="Times New Roman" w:hAnsi="Calibri" w:cs="Arial"/>
                <w:color w:val="000000"/>
                <w:lang w:eastAsia="en-AU"/>
              </w:rPr>
              <w:t>,</w:t>
            </w:r>
            <w:r w:rsidRPr="008E470D">
              <w:rPr>
                <w:rFonts w:ascii="Calibri" w:eastAsia="Times New Roman" w:hAnsi="Calibri" w:cs="Arial"/>
                <w:color w:val="000000"/>
                <w:lang w:eastAsia="en-AU"/>
              </w:rPr>
              <w:t>488</w:t>
            </w:r>
          </w:p>
        </w:tc>
        <w:tc>
          <w:tcPr>
            <w:tcW w:w="1051" w:type="dxa"/>
            <w:tcBorders>
              <w:bottom w:val="nil"/>
            </w:tcBorders>
            <w:shd w:val="clear" w:color="auto" w:fill="auto"/>
            <w:vAlign w:val="center"/>
            <w:hideMark/>
          </w:tcPr>
          <w:p w14:paraId="406445CA"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7</w:t>
            </w:r>
            <w:r>
              <w:rPr>
                <w:rFonts w:ascii="Calibri" w:eastAsia="Times New Roman" w:hAnsi="Calibri" w:cs="Arial"/>
                <w:color w:val="000000"/>
                <w:lang w:eastAsia="en-AU"/>
              </w:rPr>
              <w:t>,</w:t>
            </w:r>
            <w:r w:rsidRPr="008E470D">
              <w:rPr>
                <w:rFonts w:ascii="Calibri" w:eastAsia="Times New Roman" w:hAnsi="Calibri" w:cs="Arial"/>
                <w:color w:val="000000"/>
                <w:lang w:eastAsia="en-AU"/>
              </w:rPr>
              <w:t>132</w:t>
            </w:r>
          </w:p>
        </w:tc>
        <w:tc>
          <w:tcPr>
            <w:tcW w:w="1051" w:type="dxa"/>
            <w:tcBorders>
              <w:bottom w:val="nil"/>
            </w:tcBorders>
            <w:shd w:val="clear" w:color="auto" w:fill="auto"/>
            <w:vAlign w:val="center"/>
            <w:hideMark/>
          </w:tcPr>
          <w:p w14:paraId="61D62EB9"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7</w:t>
            </w:r>
            <w:r>
              <w:rPr>
                <w:rFonts w:ascii="Calibri" w:eastAsia="Times New Roman" w:hAnsi="Calibri" w:cs="Arial"/>
                <w:color w:val="000000"/>
                <w:lang w:eastAsia="en-AU"/>
              </w:rPr>
              <w:t>,</w:t>
            </w:r>
            <w:r w:rsidRPr="008E470D">
              <w:rPr>
                <w:rFonts w:ascii="Calibri" w:eastAsia="Times New Roman" w:hAnsi="Calibri" w:cs="Arial"/>
                <w:color w:val="000000"/>
                <w:lang w:eastAsia="en-AU"/>
              </w:rPr>
              <w:t>019</w:t>
            </w:r>
          </w:p>
        </w:tc>
        <w:tc>
          <w:tcPr>
            <w:tcW w:w="1051" w:type="dxa"/>
            <w:tcBorders>
              <w:bottom w:val="nil"/>
            </w:tcBorders>
            <w:shd w:val="clear" w:color="auto" w:fill="auto"/>
            <w:vAlign w:val="center"/>
            <w:hideMark/>
          </w:tcPr>
          <w:p w14:paraId="70CB4EF6"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6</w:t>
            </w:r>
            <w:r>
              <w:rPr>
                <w:rFonts w:ascii="Calibri" w:eastAsia="Times New Roman" w:hAnsi="Calibri" w:cs="Arial"/>
                <w:color w:val="000000"/>
                <w:lang w:eastAsia="en-AU"/>
              </w:rPr>
              <w:t>,</w:t>
            </w:r>
            <w:r w:rsidRPr="008E470D">
              <w:rPr>
                <w:rFonts w:ascii="Calibri" w:eastAsia="Times New Roman" w:hAnsi="Calibri" w:cs="Arial"/>
                <w:color w:val="000000"/>
                <w:lang w:eastAsia="en-AU"/>
              </w:rPr>
              <w:t>782</w:t>
            </w:r>
          </w:p>
        </w:tc>
        <w:tc>
          <w:tcPr>
            <w:tcW w:w="1052" w:type="dxa"/>
            <w:tcBorders>
              <w:bottom w:val="nil"/>
            </w:tcBorders>
            <w:shd w:val="clear" w:color="auto" w:fill="auto"/>
            <w:vAlign w:val="center"/>
            <w:hideMark/>
          </w:tcPr>
          <w:p w14:paraId="42A138D1"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7</w:t>
            </w:r>
            <w:r>
              <w:rPr>
                <w:rFonts w:ascii="Calibri" w:eastAsia="Times New Roman" w:hAnsi="Calibri" w:cs="Arial"/>
                <w:color w:val="000000"/>
                <w:lang w:eastAsia="en-AU"/>
              </w:rPr>
              <w:t>,</w:t>
            </w:r>
            <w:r w:rsidRPr="008E470D">
              <w:rPr>
                <w:rFonts w:ascii="Calibri" w:eastAsia="Times New Roman" w:hAnsi="Calibri" w:cs="Arial"/>
                <w:color w:val="000000"/>
                <w:lang w:eastAsia="en-AU"/>
              </w:rPr>
              <w:t>686</w:t>
            </w:r>
          </w:p>
        </w:tc>
        <w:tc>
          <w:tcPr>
            <w:tcW w:w="1051" w:type="dxa"/>
            <w:tcBorders>
              <w:bottom w:val="nil"/>
            </w:tcBorders>
            <w:shd w:val="clear" w:color="auto" w:fill="auto"/>
            <w:vAlign w:val="center"/>
            <w:hideMark/>
          </w:tcPr>
          <w:p w14:paraId="3E0D70BC"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8</w:t>
            </w:r>
            <w:r>
              <w:rPr>
                <w:rFonts w:ascii="Calibri" w:eastAsia="Times New Roman" w:hAnsi="Calibri" w:cs="Arial"/>
                <w:color w:val="000000"/>
                <w:lang w:eastAsia="en-AU"/>
              </w:rPr>
              <w:t>,</w:t>
            </w:r>
            <w:r w:rsidRPr="008E470D">
              <w:rPr>
                <w:rFonts w:ascii="Calibri" w:eastAsia="Times New Roman" w:hAnsi="Calibri" w:cs="Arial"/>
                <w:color w:val="000000"/>
                <w:lang w:eastAsia="en-AU"/>
              </w:rPr>
              <w:t>936</w:t>
            </w:r>
          </w:p>
        </w:tc>
        <w:tc>
          <w:tcPr>
            <w:tcW w:w="1051" w:type="dxa"/>
            <w:tcBorders>
              <w:bottom w:val="nil"/>
              <w:right w:val="single" w:sz="4" w:space="0" w:color="auto"/>
            </w:tcBorders>
            <w:shd w:val="clear" w:color="auto" w:fill="auto"/>
            <w:vAlign w:val="center"/>
            <w:hideMark/>
          </w:tcPr>
          <w:p w14:paraId="24AAA8BA"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10</w:t>
            </w:r>
            <w:r>
              <w:rPr>
                <w:rFonts w:ascii="Calibri" w:eastAsia="Times New Roman" w:hAnsi="Calibri" w:cs="Arial"/>
                <w:color w:val="000000"/>
                <w:lang w:eastAsia="en-AU"/>
              </w:rPr>
              <w:t>,</w:t>
            </w:r>
            <w:r w:rsidRPr="008E470D">
              <w:rPr>
                <w:rFonts w:ascii="Calibri" w:eastAsia="Times New Roman" w:hAnsi="Calibri" w:cs="Arial"/>
                <w:color w:val="000000"/>
                <w:lang w:eastAsia="en-AU"/>
              </w:rPr>
              <w:t>198</w:t>
            </w:r>
          </w:p>
        </w:tc>
        <w:tc>
          <w:tcPr>
            <w:tcW w:w="951" w:type="dxa"/>
            <w:tcBorders>
              <w:left w:val="single" w:sz="4" w:space="0" w:color="auto"/>
              <w:bottom w:val="nil"/>
              <w:right w:val="single" w:sz="4" w:space="0" w:color="auto"/>
            </w:tcBorders>
            <w:shd w:val="clear" w:color="auto" w:fill="auto"/>
            <w:vAlign w:val="center"/>
            <w:hideMark/>
          </w:tcPr>
          <w:p w14:paraId="4217A589" w14:textId="77777777" w:rsidR="008E470D" w:rsidRPr="008E470D" w:rsidRDefault="008E470D" w:rsidP="00CE2FDF">
            <w:pPr>
              <w:spacing w:before="0" w:after="60" w:line="276" w:lineRule="auto"/>
              <w:jc w:val="right"/>
              <w:rPr>
                <w:rFonts w:ascii="Calibri" w:eastAsia="Times New Roman" w:hAnsi="Calibri" w:cs="Arial"/>
                <w:b/>
                <w:color w:val="000000"/>
                <w:lang w:eastAsia="en-AU"/>
              </w:rPr>
            </w:pPr>
            <w:r w:rsidRPr="008E470D">
              <w:rPr>
                <w:rFonts w:ascii="Calibri" w:eastAsia="Times New Roman" w:hAnsi="Calibri" w:cs="Arial"/>
                <w:b/>
                <w:color w:val="000000"/>
                <w:lang w:eastAsia="en-AU"/>
              </w:rPr>
              <w:t>78,068</w:t>
            </w:r>
          </w:p>
        </w:tc>
        <w:tc>
          <w:tcPr>
            <w:tcW w:w="1152" w:type="dxa"/>
            <w:tcBorders>
              <w:left w:val="single" w:sz="4" w:space="0" w:color="auto"/>
              <w:bottom w:val="nil"/>
            </w:tcBorders>
            <w:vAlign w:val="center"/>
          </w:tcPr>
          <w:p w14:paraId="20365AEE"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Pr>
                <w:rFonts w:ascii="Calibri" w:eastAsia="Times New Roman" w:hAnsi="Calibri" w:cs="Arial"/>
                <w:color w:val="000000"/>
                <w:lang w:eastAsia="en-AU"/>
              </w:rPr>
              <w:t>38%</w:t>
            </w:r>
          </w:p>
        </w:tc>
      </w:tr>
      <w:tr w:rsidR="008E470D" w:rsidRPr="008E470D" w14:paraId="69977DA8" w14:textId="77777777" w:rsidTr="00F2009E">
        <w:trPr>
          <w:trHeight w:val="20"/>
        </w:trPr>
        <w:tc>
          <w:tcPr>
            <w:tcW w:w="1992" w:type="dxa"/>
            <w:tcBorders>
              <w:top w:val="nil"/>
              <w:bottom w:val="single" w:sz="4" w:space="0" w:color="auto"/>
              <w:right w:val="single" w:sz="4" w:space="0" w:color="auto"/>
            </w:tcBorders>
            <w:shd w:val="clear" w:color="auto" w:fill="DBE5F1" w:themeFill="accent1" w:themeFillTint="33"/>
            <w:hideMark/>
          </w:tcPr>
          <w:p w14:paraId="3A647F39" w14:textId="77777777" w:rsidR="008E470D" w:rsidRPr="008E470D" w:rsidRDefault="008E470D" w:rsidP="00CE2FDF">
            <w:pPr>
              <w:spacing w:before="0" w:after="60" w:line="276" w:lineRule="auto"/>
              <w:rPr>
                <w:rFonts w:ascii="Calibri" w:eastAsia="Times New Roman" w:hAnsi="Calibri" w:cs="Arial"/>
                <w:b/>
                <w:bCs/>
                <w:color w:val="000000"/>
                <w:lang w:eastAsia="en-AU"/>
              </w:rPr>
            </w:pPr>
            <w:r w:rsidRPr="008E470D">
              <w:rPr>
                <w:rFonts w:ascii="Calibri" w:eastAsia="Times New Roman" w:hAnsi="Calibri" w:cs="Arial"/>
                <w:b/>
                <w:bCs/>
                <w:color w:val="000000"/>
                <w:lang w:eastAsia="en-AU"/>
              </w:rPr>
              <w:t>Not substantiated</w:t>
            </w:r>
          </w:p>
        </w:tc>
        <w:tc>
          <w:tcPr>
            <w:tcW w:w="1198" w:type="dxa"/>
            <w:tcBorders>
              <w:top w:val="nil"/>
              <w:left w:val="single" w:sz="4" w:space="0" w:color="auto"/>
              <w:bottom w:val="single" w:sz="4" w:space="0" w:color="auto"/>
            </w:tcBorders>
            <w:shd w:val="clear" w:color="auto" w:fill="DBE5F1" w:themeFill="accent1" w:themeFillTint="33"/>
            <w:vAlign w:val="center"/>
            <w:hideMark/>
          </w:tcPr>
          <w:p w14:paraId="3C717F28"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5</w:t>
            </w:r>
            <w:r>
              <w:rPr>
                <w:rFonts w:ascii="Calibri" w:eastAsia="Times New Roman" w:hAnsi="Calibri" w:cs="Arial"/>
                <w:color w:val="000000"/>
                <w:lang w:eastAsia="en-AU"/>
              </w:rPr>
              <w:t>,</w:t>
            </w:r>
            <w:r w:rsidRPr="008E470D">
              <w:rPr>
                <w:rFonts w:ascii="Calibri" w:eastAsia="Times New Roman" w:hAnsi="Calibri" w:cs="Arial"/>
                <w:color w:val="000000"/>
                <w:lang w:eastAsia="en-AU"/>
              </w:rPr>
              <w:t>057</w:t>
            </w:r>
          </w:p>
        </w:tc>
        <w:tc>
          <w:tcPr>
            <w:tcW w:w="1051" w:type="dxa"/>
            <w:tcBorders>
              <w:top w:val="nil"/>
              <w:bottom w:val="single" w:sz="4" w:space="0" w:color="auto"/>
            </w:tcBorders>
            <w:shd w:val="clear" w:color="auto" w:fill="DBE5F1" w:themeFill="accent1" w:themeFillTint="33"/>
            <w:vAlign w:val="center"/>
            <w:hideMark/>
          </w:tcPr>
          <w:p w14:paraId="6927E603"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4</w:t>
            </w:r>
            <w:r>
              <w:rPr>
                <w:rFonts w:ascii="Calibri" w:eastAsia="Times New Roman" w:hAnsi="Calibri" w:cs="Arial"/>
                <w:color w:val="000000"/>
                <w:lang w:eastAsia="en-AU"/>
              </w:rPr>
              <w:t>,</w:t>
            </w:r>
            <w:r w:rsidRPr="008E470D">
              <w:rPr>
                <w:rFonts w:ascii="Calibri" w:eastAsia="Times New Roman" w:hAnsi="Calibri" w:cs="Arial"/>
                <w:color w:val="000000"/>
                <w:lang w:eastAsia="en-AU"/>
              </w:rPr>
              <w:t>495</w:t>
            </w:r>
          </w:p>
        </w:tc>
        <w:tc>
          <w:tcPr>
            <w:tcW w:w="1051" w:type="dxa"/>
            <w:tcBorders>
              <w:top w:val="nil"/>
              <w:bottom w:val="single" w:sz="4" w:space="0" w:color="auto"/>
            </w:tcBorders>
            <w:shd w:val="clear" w:color="auto" w:fill="DBE5F1" w:themeFill="accent1" w:themeFillTint="33"/>
            <w:vAlign w:val="center"/>
            <w:hideMark/>
          </w:tcPr>
          <w:p w14:paraId="3AB0020B"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3</w:t>
            </w:r>
            <w:r>
              <w:rPr>
                <w:rFonts w:ascii="Calibri" w:eastAsia="Times New Roman" w:hAnsi="Calibri" w:cs="Arial"/>
                <w:color w:val="000000"/>
                <w:lang w:eastAsia="en-AU"/>
              </w:rPr>
              <w:t>,</w:t>
            </w:r>
            <w:r w:rsidRPr="008E470D">
              <w:rPr>
                <w:rFonts w:ascii="Calibri" w:eastAsia="Times New Roman" w:hAnsi="Calibri" w:cs="Arial"/>
                <w:color w:val="000000"/>
                <w:lang w:eastAsia="en-AU"/>
              </w:rPr>
              <w:t>836</w:t>
            </w:r>
          </w:p>
        </w:tc>
        <w:tc>
          <w:tcPr>
            <w:tcW w:w="1052" w:type="dxa"/>
            <w:tcBorders>
              <w:top w:val="nil"/>
              <w:bottom w:val="single" w:sz="4" w:space="0" w:color="auto"/>
            </w:tcBorders>
            <w:shd w:val="clear" w:color="auto" w:fill="DBE5F1" w:themeFill="accent1" w:themeFillTint="33"/>
            <w:vAlign w:val="center"/>
            <w:hideMark/>
          </w:tcPr>
          <w:p w14:paraId="0D4B2AA1"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4</w:t>
            </w:r>
            <w:r>
              <w:rPr>
                <w:rFonts w:ascii="Calibri" w:eastAsia="Times New Roman" w:hAnsi="Calibri" w:cs="Arial"/>
                <w:color w:val="000000"/>
                <w:lang w:eastAsia="en-AU"/>
              </w:rPr>
              <w:t>,</w:t>
            </w:r>
            <w:r w:rsidRPr="008E470D">
              <w:rPr>
                <w:rFonts w:ascii="Calibri" w:eastAsia="Times New Roman" w:hAnsi="Calibri" w:cs="Arial"/>
                <w:color w:val="000000"/>
                <w:lang w:eastAsia="en-AU"/>
              </w:rPr>
              <w:t>029</w:t>
            </w:r>
          </w:p>
        </w:tc>
        <w:tc>
          <w:tcPr>
            <w:tcW w:w="1051" w:type="dxa"/>
            <w:tcBorders>
              <w:top w:val="nil"/>
              <w:bottom w:val="single" w:sz="4" w:space="0" w:color="auto"/>
            </w:tcBorders>
            <w:shd w:val="clear" w:color="auto" w:fill="DBE5F1" w:themeFill="accent1" w:themeFillTint="33"/>
            <w:vAlign w:val="center"/>
            <w:hideMark/>
          </w:tcPr>
          <w:p w14:paraId="17AF12AC"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4</w:t>
            </w:r>
            <w:r>
              <w:rPr>
                <w:rFonts w:ascii="Calibri" w:eastAsia="Times New Roman" w:hAnsi="Calibri" w:cs="Arial"/>
                <w:color w:val="000000"/>
                <w:lang w:eastAsia="en-AU"/>
              </w:rPr>
              <w:t>,</w:t>
            </w:r>
            <w:r w:rsidRPr="008E470D">
              <w:rPr>
                <w:rFonts w:ascii="Calibri" w:eastAsia="Times New Roman" w:hAnsi="Calibri" w:cs="Arial"/>
                <w:color w:val="000000"/>
                <w:lang w:eastAsia="en-AU"/>
              </w:rPr>
              <w:t>004</w:t>
            </w:r>
          </w:p>
        </w:tc>
        <w:tc>
          <w:tcPr>
            <w:tcW w:w="1051" w:type="dxa"/>
            <w:tcBorders>
              <w:top w:val="nil"/>
              <w:bottom w:val="single" w:sz="4" w:space="0" w:color="auto"/>
            </w:tcBorders>
            <w:shd w:val="clear" w:color="auto" w:fill="DBE5F1" w:themeFill="accent1" w:themeFillTint="33"/>
            <w:vAlign w:val="center"/>
            <w:hideMark/>
          </w:tcPr>
          <w:p w14:paraId="326BFC18"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4</w:t>
            </w:r>
            <w:r>
              <w:rPr>
                <w:rFonts w:ascii="Calibri" w:eastAsia="Times New Roman" w:hAnsi="Calibri" w:cs="Arial"/>
                <w:color w:val="000000"/>
                <w:lang w:eastAsia="en-AU"/>
              </w:rPr>
              <w:t>,</w:t>
            </w:r>
            <w:r w:rsidRPr="008E470D">
              <w:rPr>
                <w:rFonts w:ascii="Calibri" w:eastAsia="Times New Roman" w:hAnsi="Calibri" w:cs="Arial"/>
                <w:color w:val="000000"/>
                <w:lang w:eastAsia="en-AU"/>
              </w:rPr>
              <w:t>447</w:t>
            </w:r>
          </w:p>
        </w:tc>
        <w:tc>
          <w:tcPr>
            <w:tcW w:w="1051" w:type="dxa"/>
            <w:tcBorders>
              <w:top w:val="nil"/>
              <w:bottom w:val="single" w:sz="4" w:space="0" w:color="auto"/>
            </w:tcBorders>
            <w:shd w:val="clear" w:color="auto" w:fill="DBE5F1" w:themeFill="accent1" w:themeFillTint="33"/>
            <w:vAlign w:val="center"/>
            <w:hideMark/>
          </w:tcPr>
          <w:p w14:paraId="73B2F39E"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4</w:t>
            </w:r>
            <w:r>
              <w:rPr>
                <w:rFonts w:ascii="Calibri" w:eastAsia="Times New Roman" w:hAnsi="Calibri" w:cs="Arial"/>
                <w:color w:val="000000"/>
                <w:lang w:eastAsia="en-AU"/>
              </w:rPr>
              <w:t>,</w:t>
            </w:r>
            <w:r w:rsidRPr="008E470D">
              <w:rPr>
                <w:rFonts w:ascii="Calibri" w:eastAsia="Times New Roman" w:hAnsi="Calibri" w:cs="Arial"/>
                <w:color w:val="000000"/>
                <w:lang w:eastAsia="en-AU"/>
              </w:rPr>
              <w:t>887</w:t>
            </w:r>
          </w:p>
        </w:tc>
        <w:tc>
          <w:tcPr>
            <w:tcW w:w="1052" w:type="dxa"/>
            <w:tcBorders>
              <w:top w:val="nil"/>
              <w:bottom w:val="single" w:sz="4" w:space="0" w:color="auto"/>
            </w:tcBorders>
            <w:shd w:val="clear" w:color="auto" w:fill="DBE5F1" w:themeFill="accent1" w:themeFillTint="33"/>
            <w:vAlign w:val="center"/>
            <w:hideMark/>
          </w:tcPr>
          <w:p w14:paraId="3338D881"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6</w:t>
            </w:r>
            <w:r>
              <w:rPr>
                <w:rFonts w:ascii="Calibri" w:eastAsia="Times New Roman" w:hAnsi="Calibri" w:cs="Arial"/>
                <w:color w:val="000000"/>
                <w:lang w:eastAsia="en-AU"/>
              </w:rPr>
              <w:t>,</w:t>
            </w:r>
            <w:r w:rsidRPr="008E470D">
              <w:rPr>
                <w:rFonts w:ascii="Calibri" w:eastAsia="Times New Roman" w:hAnsi="Calibri" w:cs="Arial"/>
                <w:color w:val="000000"/>
                <w:lang w:eastAsia="en-AU"/>
              </w:rPr>
              <w:t>574</w:t>
            </w:r>
          </w:p>
        </w:tc>
        <w:tc>
          <w:tcPr>
            <w:tcW w:w="1051" w:type="dxa"/>
            <w:tcBorders>
              <w:top w:val="nil"/>
              <w:bottom w:val="single" w:sz="4" w:space="0" w:color="auto"/>
            </w:tcBorders>
            <w:shd w:val="clear" w:color="auto" w:fill="DBE5F1" w:themeFill="accent1" w:themeFillTint="33"/>
            <w:vAlign w:val="center"/>
            <w:hideMark/>
          </w:tcPr>
          <w:p w14:paraId="26D69A1E"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6</w:t>
            </w:r>
            <w:r>
              <w:rPr>
                <w:rFonts w:ascii="Calibri" w:eastAsia="Times New Roman" w:hAnsi="Calibri" w:cs="Arial"/>
                <w:color w:val="000000"/>
                <w:lang w:eastAsia="en-AU"/>
              </w:rPr>
              <w:t>,</w:t>
            </w:r>
            <w:r w:rsidRPr="008E470D">
              <w:rPr>
                <w:rFonts w:ascii="Calibri" w:eastAsia="Times New Roman" w:hAnsi="Calibri" w:cs="Arial"/>
                <w:color w:val="000000"/>
                <w:lang w:eastAsia="en-AU"/>
              </w:rPr>
              <w:t>057</w:t>
            </w:r>
          </w:p>
        </w:tc>
        <w:tc>
          <w:tcPr>
            <w:tcW w:w="1051" w:type="dxa"/>
            <w:tcBorders>
              <w:top w:val="nil"/>
              <w:bottom w:val="single" w:sz="4" w:space="0" w:color="auto"/>
              <w:right w:val="single" w:sz="4" w:space="0" w:color="auto"/>
            </w:tcBorders>
            <w:shd w:val="clear" w:color="auto" w:fill="DBE5F1" w:themeFill="accent1" w:themeFillTint="33"/>
            <w:vAlign w:val="center"/>
            <w:hideMark/>
          </w:tcPr>
          <w:p w14:paraId="11E32ECB"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sidRPr="008E470D">
              <w:rPr>
                <w:rFonts w:ascii="Calibri" w:eastAsia="Times New Roman" w:hAnsi="Calibri" w:cs="Arial"/>
                <w:color w:val="000000"/>
                <w:lang w:eastAsia="en-AU"/>
              </w:rPr>
              <w:t>6</w:t>
            </w:r>
            <w:r>
              <w:rPr>
                <w:rFonts w:ascii="Calibri" w:eastAsia="Times New Roman" w:hAnsi="Calibri" w:cs="Arial"/>
                <w:color w:val="000000"/>
                <w:lang w:eastAsia="en-AU"/>
              </w:rPr>
              <w:t>,</w:t>
            </w:r>
            <w:r w:rsidRPr="008E470D">
              <w:rPr>
                <w:rFonts w:ascii="Calibri" w:eastAsia="Times New Roman" w:hAnsi="Calibri" w:cs="Arial"/>
                <w:color w:val="000000"/>
                <w:lang w:eastAsia="en-AU"/>
              </w:rPr>
              <w:t>862</w:t>
            </w:r>
          </w:p>
        </w:tc>
        <w:tc>
          <w:tcPr>
            <w:tcW w:w="951"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386D692" w14:textId="77777777" w:rsidR="008E470D" w:rsidRPr="008E470D" w:rsidRDefault="008E470D" w:rsidP="00CE2FDF">
            <w:pPr>
              <w:spacing w:before="0" w:after="60" w:line="276" w:lineRule="auto"/>
              <w:jc w:val="right"/>
              <w:rPr>
                <w:rFonts w:ascii="Calibri" w:eastAsia="Times New Roman" w:hAnsi="Calibri" w:cs="Arial"/>
                <w:b/>
                <w:color w:val="000000"/>
                <w:lang w:eastAsia="en-AU"/>
              </w:rPr>
            </w:pPr>
            <w:r w:rsidRPr="008E470D">
              <w:rPr>
                <w:rFonts w:ascii="Calibri" w:eastAsia="Times New Roman" w:hAnsi="Calibri" w:cs="Arial"/>
                <w:b/>
                <w:color w:val="000000"/>
                <w:lang w:eastAsia="en-AU"/>
              </w:rPr>
              <w:t>50,248</w:t>
            </w:r>
          </w:p>
        </w:tc>
        <w:tc>
          <w:tcPr>
            <w:tcW w:w="1152" w:type="dxa"/>
            <w:tcBorders>
              <w:top w:val="nil"/>
              <w:left w:val="single" w:sz="4" w:space="0" w:color="auto"/>
              <w:bottom w:val="single" w:sz="4" w:space="0" w:color="auto"/>
            </w:tcBorders>
            <w:shd w:val="clear" w:color="auto" w:fill="DBE5F1" w:themeFill="accent1" w:themeFillTint="33"/>
            <w:vAlign w:val="center"/>
          </w:tcPr>
          <w:p w14:paraId="76E27B0C" w14:textId="77777777" w:rsidR="008E470D" w:rsidRPr="008E470D" w:rsidRDefault="008E470D" w:rsidP="00CE2FDF">
            <w:pPr>
              <w:spacing w:before="0" w:after="60" w:line="276" w:lineRule="auto"/>
              <w:jc w:val="right"/>
              <w:rPr>
                <w:rFonts w:ascii="Calibri" w:eastAsia="Times New Roman" w:hAnsi="Calibri" w:cs="Arial"/>
                <w:color w:val="000000"/>
                <w:lang w:eastAsia="en-AU"/>
              </w:rPr>
            </w:pPr>
            <w:r>
              <w:rPr>
                <w:rFonts w:ascii="Calibri" w:eastAsia="Times New Roman" w:hAnsi="Calibri" w:cs="Arial"/>
                <w:color w:val="000000"/>
                <w:lang w:eastAsia="en-AU"/>
              </w:rPr>
              <w:t>36%</w:t>
            </w:r>
          </w:p>
        </w:tc>
      </w:tr>
      <w:tr w:rsidR="008E470D" w:rsidRPr="008E470D" w14:paraId="6031F228" w14:textId="77777777" w:rsidTr="00F2009E">
        <w:trPr>
          <w:trHeight w:val="20"/>
        </w:trPr>
        <w:tc>
          <w:tcPr>
            <w:tcW w:w="1992" w:type="dxa"/>
            <w:tcBorders>
              <w:top w:val="single" w:sz="4" w:space="0" w:color="auto"/>
              <w:right w:val="single" w:sz="4" w:space="0" w:color="auto"/>
            </w:tcBorders>
            <w:shd w:val="clear" w:color="auto" w:fill="95B3D7" w:themeFill="accent1" w:themeFillTint="99"/>
          </w:tcPr>
          <w:p w14:paraId="73BC916F" w14:textId="77777777" w:rsidR="008E470D" w:rsidRPr="008E470D" w:rsidRDefault="008E470D" w:rsidP="00CE2FDF">
            <w:pPr>
              <w:spacing w:before="0" w:after="60" w:line="276" w:lineRule="auto"/>
              <w:rPr>
                <w:rFonts w:ascii="Calibri" w:eastAsia="Times New Roman" w:hAnsi="Calibri" w:cs="Arial"/>
                <w:b/>
                <w:bCs/>
                <w:lang w:eastAsia="en-AU"/>
              </w:rPr>
            </w:pPr>
            <w:r w:rsidRPr="008E470D">
              <w:rPr>
                <w:rFonts w:ascii="Calibri" w:eastAsia="Times New Roman" w:hAnsi="Calibri" w:cs="Arial"/>
                <w:b/>
                <w:bCs/>
                <w:lang w:eastAsia="en-AU"/>
              </w:rPr>
              <w:t>Totals:</w:t>
            </w:r>
          </w:p>
        </w:tc>
        <w:tc>
          <w:tcPr>
            <w:tcW w:w="1198" w:type="dxa"/>
            <w:tcBorders>
              <w:top w:val="single" w:sz="4" w:space="0" w:color="auto"/>
              <w:left w:val="single" w:sz="4" w:space="0" w:color="auto"/>
              <w:bottom w:val="single" w:sz="4" w:space="0" w:color="auto"/>
            </w:tcBorders>
            <w:shd w:val="clear" w:color="auto" w:fill="95B3D7" w:themeFill="accent1" w:themeFillTint="99"/>
          </w:tcPr>
          <w:p w14:paraId="242455BF"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37</w:t>
            </w:r>
            <w:r>
              <w:rPr>
                <w:rFonts w:ascii="Calibri" w:hAnsi="Calibri" w:cs="Arial"/>
                <w:b/>
              </w:rPr>
              <w:t>,</w:t>
            </w:r>
            <w:r w:rsidRPr="008E470D">
              <w:rPr>
                <w:rFonts w:ascii="Calibri" w:hAnsi="Calibri" w:cs="Arial"/>
                <w:b/>
              </w:rPr>
              <w:t>267</w:t>
            </w:r>
          </w:p>
        </w:tc>
        <w:tc>
          <w:tcPr>
            <w:tcW w:w="1051" w:type="dxa"/>
            <w:tcBorders>
              <w:top w:val="single" w:sz="4" w:space="0" w:color="auto"/>
            </w:tcBorders>
            <w:shd w:val="clear" w:color="auto" w:fill="95B3D7" w:themeFill="accent1" w:themeFillTint="99"/>
          </w:tcPr>
          <w:p w14:paraId="20FA5522"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37</w:t>
            </w:r>
            <w:r>
              <w:rPr>
                <w:rFonts w:ascii="Calibri" w:hAnsi="Calibri" w:cs="Arial"/>
                <w:b/>
              </w:rPr>
              <w:t>,</w:t>
            </w:r>
            <w:r w:rsidRPr="008E470D">
              <w:rPr>
                <w:rFonts w:ascii="Calibri" w:hAnsi="Calibri" w:cs="Arial"/>
                <w:b/>
              </w:rPr>
              <w:t>649</w:t>
            </w:r>
          </w:p>
        </w:tc>
        <w:tc>
          <w:tcPr>
            <w:tcW w:w="1051" w:type="dxa"/>
            <w:tcBorders>
              <w:top w:val="single" w:sz="4" w:space="0" w:color="auto"/>
            </w:tcBorders>
            <w:shd w:val="clear" w:color="auto" w:fill="95B3D7" w:themeFill="accent1" w:themeFillTint="99"/>
          </w:tcPr>
          <w:p w14:paraId="3EA0BD89"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36</w:t>
            </w:r>
            <w:r>
              <w:rPr>
                <w:rFonts w:ascii="Calibri" w:hAnsi="Calibri" w:cs="Arial"/>
                <w:b/>
              </w:rPr>
              <w:t>,</w:t>
            </w:r>
            <w:r w:rsidRPr="008E470D">
              <w:rPr>
                <w:rFonts w:ascii="Calibri" w:hAnsi="Calibri" w:cs="Arial"/>
                <w:b/>
              </w:rPr>
              <w:t>657</w:t>
            </w:r>
          </w:p>
        </w:tc>
        <w:tc>
          <w:tcPr>
            <w:tcW w:w="1052" w:type="dxa"/>
            <w:tcBorders>
              <w:top w:val="single" w:sz="4" w:space="0" w:color="auto"/>
            </w:tcBorders>
            <w:shd w:val="clear" w:color="auto" w:fill="95B3D7" w:themeFill="accent1" w:themeFillTint="99"/>
          </w:tcPr>
          <w:p w14:paraId="379415D9"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37</w:t>
            </w:r>
            <w:r>
              <w:rPr>
                <w:rFonts w:ascii="Calibri" w:hAnsi="Calibri" w:cs="Arial"/>
                <w:b/>
              </w:rPr>
              <w:t>,</w:t>
            </w:r>
            <w:r w:rsidRPr="008E470D">
              <w:rPr>
                <w:rFonts w:ascii="Calibri" w:hAnsi="Calibri" w:cs="Arial"/>
                <w:b/>
              </w:rPr>
              <w:t>693</w:t>
            </w:r>
          </w:p>
        </w:tc>
        <w:tc>
          <w:tcPr>
            <w:tcW w:w="1051" w:type="dxa"/>
            <w:tcBorders>
              <w:top w:val="single" w:sz="4" w:space="0" w:color="auto"/>
            </w:tcBorders>
            <w:shd w:val="clear" w:color="auto" w:fill="95B3D7" w:themeFill="accent1" w:themeFillTint="99"/>
          </w:tcPr>
          <w:p w14:paraId="471700F2"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38</w:t>
            </w:r>
            <w:r>
              <w:rPr>
                <w:rFonts w:ascii="Calibri" w:hAnsi="Calibri" w:cs="Arial"/>
                <w:b/>
              </w:rPr>
              <w:t>,</w:t>
            </w:r>
            <w:r w:rsidRPr="008E470D">
              <w:rPr>
                <w:rFonts w:ascii="Calibri" w:hAnsi="Calibri" w:cs="Arial"/>
                <w:b/>
              </w:rPr>
              <w:t>774</w:t>
            </w:r>
          </w:p>
        </w:tc>
        <w:tc>
          <w:tcPr>
            <w:tcW w:w="1051" w:type="dxa"/>
            <w:tcBorders>
              <w:top w:val="single" w:sz="4" w:space="0" w:color="auto"/>
            </w:tcBorders>
            <w:shd w:val="clear" w:color="auto" w:fill="95B3D7" w:themeFill="accent1" w:themeFillTint="99"/>
          </w:tcPr>
          <w:p w14:paraId="588C18F5"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41</w:t>
            </w:r>
            <w:r>
              <w:rPr>
                <w:rFonts w:ascii="Calibri" w:hAnsi="Calibri" w:cs="Arial"/>
                <w:b/>
              </w:rPr>
              <w:t>,</w:t>
            </w:r>
            <w:r w:rsidRPr="008E470D">
              <w:rPr>
                <w:rFonts w:ascii="Calibri" w:hAnsi="Calibri" w:cs="Arial"/>
                <w:b/>
              </w:rPr>
              <w:t>695</w:t>
            </w:r>
          </w:p>
        </w:tc>
        <w:tc>
          <w:tcPr>
            <w:tcW w:w="1051" w:type="dxa"/>
            <w:tcBorders>
              <w:top w:val="single" w:sz="4" w:space="0" w:color="auto"/>
            </w:tcBorders>
            <w:shd w:val="clear" w:color="auto" w:fill="95B3D7" w:themeFill="accent1" w:themeFillTint="99"/>
          </w:tcPr>
          <w:p w14:paraId="11A64F11"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44</w:t>
            </w:r>
            <w:r>
              <w:rPr>
                <w:rFonts w:ascii="Calibri" w:hAnsi="Calibri" w:cs="Arial"/>
                <w:b/>
              </w:rPr>
              <w:t>,</w:t>
            </w:r>
            <w:r w:rsidRPr="008E470D">
              <w:rPr>
                <w:rFonts w:ascii="Calibri" w:hAnsi="Calibri" w:cs="Arial"/>
                <w:b/>
              </w:rPr>
              <w:t>770</w:t>
            </w:r>
          </w:p>
        </w:tc>
        <w:tc>
          <w:tcPr>
            <w:tcW w:w="1052" w:type="dxa"/>
            <w:tcBorders>
              <w:top w:val="single" w:sz="4" w:space="0" w:color="auto"/>
            </w:tcBorders>
            <w:shd w:val="clear" w:color="auto" w:fill="95B3D7" w:themeFill="accent1" w:themeFillTint="99"/>
          </w:tcPr>
          <w:p w14:paraId="3433ED68"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52</w:t>
            </w:r>
            <w:r>
              <w:rPr>
                <w:rFonts w:ascii="Calibri" w:hAnsi="Calibri" w:cs="Arial"/>
                <w:b/>
              </w:rPr>
              <w:t>,</w:t>
            </w:r>
            <w:r w:rsidRPr="008E470D">
              <w:rPr>
                <w:rFonts w:ascii="Calibri" w:hAnsi="Calibri" w:cs="Arial"/>
                <w:b/>
              </w:rPr>
              <w:t>035</w:t>
            </w:r>
          </w:p>
        </w:tc>
        <w:tc>
          <w:tcPr>
            <w:tcW w:w="1051" w:type="dxa"/>
            <w:tcBorders>
              <w:top w:val="single" w:sz="4" w:space="0" w:color="auto"/>
            </w:tcBorders>
            <w:shd w:val="clear" w:color="auto" w:fill="95B3D7" w:themeFill="accent1" w:themeFillTint="99"/>
          </w:tcPr>
          <w:p w14:paraId="47278B64"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58</w:t>
            </w:r>
            <w:r>
              <w:rPr>
                <w:rFonts w:ascii="Calibri" w:hAnsi="Calibri" w:cs="Arial"/>
                <w:b/>
              </w:rPr>
              <w:t>,</w:t>
            </w:r>
            <w:r w:rsidRPr="008E470D">
              <w:rPr>
                <w:rFonts w:ascii="Calibri" w:hAnsi="Calibri" w:cs="Arial"/>
                <w:b/>
              </w:rPr>
              <w:t>932</w:t>
            </w:r>
          </w:p>
        </w:tc>
        <w:tc>
          <w:tcPr>
            <w:tcW w:w="1051" w:type="dxa"/>
            <w:tcBorders>
              <w:top w:val="single" w:sz="4" w:space="0" w:color="auto"/>
              <w:right w:val="single" w:sz="4" w:space="0" w:color="auto"/>
            </w:tcBorders>
            <w:shd w:val="clear" w:color="auto" w:fill="95B3D7" w:themeFill="accent1" w:themeFillTint="99"/>
          </w:tcPr>
          <w:p w14:paraId="531B68A6" w14:textId="77777777" w:rsidR="008E470D" w:rsidRPr="008E470D" w:rsidRDefault="008E470D" w:rsidP="00CE2FDF">
            <w:pPr>
              <w:spacing w:before="0" w:after="60" w:line="276" w:lineRule="auto"/>
              <w:jc w:val="right"/>
              <w:rPr>
                <w:rFonts w:ascii="Calibri" w:hAnsi="Calibri" w:cs="Arial"/>
                <w:b/>
              </w:rPr>
            </w:pPr>
            <w:r w:rsidRPr="008E470D">
              <w:rPr>
                <w:rFonts w:ascii="Calibri" w:hAnsi="Calibri" w:cs="Arial"/>
                <w:b/>
              </w:rPr>
              <w:t>68</w:t>
            </w:r>
            <w:r>
              <w:rPr>
                <w:rFonts w:ascii="Calibri" w:hAnsi="Calibri" w:cs="Arial"/>
                <w:b/>
              </w:rPr>
              <w:t>,</w:t>
            </w:r>
            <w:r w:rsidRPr="008E470D">
              <w:rPr>
                <w:rFonts w:ascii="Calibri" w:hAnsi="Calibri" w:cs="Arial"/>
                <w:b/>
              </w:rPr>
              <w:t>648</w:t>
            </w:r>
          </w:p>
        </w:tc>
        <w:tc>
          <w:tcPr>
            <w:tcW w:w="9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D8A82AB" w14:textId="77777777" w:rsidR="008E470D" w:rsidRPr="008E470D" w:rsidRDefault="008E470D" w:rsidP="00CE2FDF">
            <w:pPr>
              <w:spacing w:before="0" w:after="60" w:line="276" w:lineRule="auto"/>
              <w:jc w:val="right"/>
              <w:rPr>
                <w:rFonts w:ascii="Calibri" w:eastAsia="Times New Roman" w:hAnsi="Calibri" w:cs="Arial"/>
                <w:b/>
                <w:lang w:eastAsia="en-AU"/>
              </w:rPr>
            </w:pPr>
            <w:r w:rsidRPr="008E470D">
              <w:rPr>
                <w:rFonts w:ascii="Calibri" w:eastAsia="Times New Roman" w:hAnsi="Calibri" w:cs="Arial"/>
                <w:b/>
                <w:lang w:eastAsia="en-AU"/>
              </w:rPr>
              <w:t>454</w:t>
            </w:r>
            <w:r>
              <w:rPr>
                <w:rFonts w:ascii="Calibri" w:eastAsia="Times New Roman" w:hAnsi="Calibri" w:cs="Arial"/>
                <w:b/>
                <w:lang w:eastAsia="en-AU"/>
              </w:rPr>
              <w:t>,</w:t>
            </w:r>
            <w:r w:rsidRPr="008E470D">
              <w:rPr>
                <w:rFonts w:ascii="Calibri" w:eastAsia="Times New Roman" w:hAnsi="Calibri" w:cs="Arial"/>
                <w:b/>
                <w:lang w:eastAsia="en-AU"/>
              </w:rPr>
              <w:t>120</w:t>
            </w:r>
          </w:p>
        </w:tc>
        <w:tc>
          <w:tcPr>
            <w:tcW w:w="1152" w:type="dxa"/>
            <w:tcBorders>
              <w:top w:val="single" w:sz="4" w:space="0" w:color="auto"/>
              <w:left w:val="single" w:sz="4" w:space="0" w:color="auto"/>
              <w:bottom w:val="single" w:sz="4" w:space="0" w:color="auto"/>
            </w:tcBorders>
            <w:shd w:val="clear" w:color="auto" w:fill="95B3D7" w:themeFill="accent1" w:themeFillTint="99"/>
            <w:vAlign w:val="center"/>
          </w:tcPr>
          <w:p w14:paraId="25C3B636" w14:textId="77777777" w:rsidR="008E470D" w:rsidRPr="008E470D" w:rsidRDefault="008E470D" w:rsidP="00CE2FDF">
            <w:pPr>
              <w:spacing w:before="0" w:after="60" w:line="276" w:lineRule="auto"/>
              <w:jc w:val="right"/>
              <w:rPr>
                <w:rFonts w:ascii="Calibri" w:eastAsia="Times New Roman" w:hAnsi="Calibri" w:cs="Arial"/>
                <w:b/>
                <w:lang w:eastAsia="en-AU"/>
              </w:rPr>
            </w:pPr>
            <w:r>
              <w:rPr>
                <w:rFonts w:ascii="Calibri" w:eastAsia="Times New Roman" w:hAnsi="Calibri" w:cs="Arial"/>
                <w:b/>
                <w:lang w:eastAsia="en-AU"/>
              </w:rPr>
              <w:t>84%</w:t>
            </w:r>
          </w:p>
        </w:tc>
      </w:tr>
    </w:tbl>
    <w:p w14:paraId="031B71C2" w14:textId="77777777" w:rsidR="005D61DD" w:rsidRPr="00474D52" w:rsidRDefault="005D61DD" w:rsidP="005E613E">
      <w:pPr>
        <w:pStyle w:val="Heading6"/>
        <w:spacing w:before="240" w:after="240"/>
      </w:pPr>
      <w:r w:rsidRPr="00474D52">
        <w:t>Line graph for table 1.6: Number of reports by year, all abuse types combined, by outcome of reports (all reporter groups combined)</w:t>
      </w:r>
    </w:p>
    <w:p w14:paraId="4EE7CEAE" w14:textId="77777777" w:rsidR="00863C61" w:rsidRDefault="00BF4B1F" w:rsidP="00B15586">
      <w:pPr>
        <w:keepNext/>
      </w:pPr>
      <w:r w:rsidRPr="00BF4B1F">
        <w:rPr>
          <w:noProof/>
          <w:lang w:eastAsia="en-AU"/>
        </w:rPr>
        <w:drawing>
          <wp:inline distT="0" distB="0" distL="0" distR="0" wp14:anchorId="083F2EE9" wp14:editId="1EFEFE93">
            <wp:extent cx="9324975" cy="3000375"/>
            <wp:effectExtent l="0" t="0" r="9525" b="9525"/>
            <wp:docPr id="4" name="Chart 4" descr="Shows over 10 years the percentage of reports not investigated increased in all abuse types, particularly in physical abuse. " title="Line graph for tabl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63C61">
        <w:br w:type="page"/>
      </w:r>
    </w:p>
    <w:p w14:paraId="2DF0D3B0" w14:textId="701DAA3D" w:rsidR="005D61DD" w:rsidRDefault="00863988" w:rsidP="00863988">
      <w:pPr>
        <w:pStyle w:val="Figureheading"/>
        <w:ind w:left="720" w:hanging="720"/>
      </w:pPr>
      <w:bookmarkStart w:id="59" w:name="_Toc382206701"/>
      <w:r>
        <w:lastRenderedPageBreak/>
        <w:t>1.7</w:t>
      </w:r>
      <w:r>
        <w:tab/>
      </w:r>
      <w:r w:rsidR="005D61DD">
        <w:t>Number of reports by year, by outcome of reports,</w:t>
      </w:r>
      <w:r w:rsidR="005D61DD" w:rsidRPr="00275DF4">
        <w:t xml:space="preserve"> </w:t>
      </w:r>
      <w:r w:rsidR="005D61DD">
        <w:t>all abuse types combined,</w:t>
      </w:r>
      <w:r w:rsidR="005D61DD" w:rsidRPr="00856FCC">
        <w:t xml:space="preserve"> </w:t>
      </w:r>
      <w:r w:rsidR="005D61DD">
        <w:t>as a percentage of all reports by year (all reporter groups combined)</w:t>
      </w:r>
      <w:bookmarkEnd w:id="59"/>
    </w:p>
    <w:tbl>
      <w:tblPr>
        <w:tblW w:w="14850" w:type="dxa"/>
        <w:tblLayout w:type="fixed"/>
        <w:tblLook w:val="04A0" w:firstRow="1" w:lastRow="0" w:firstColumn="1" w:lastColumn="0" w:noHBand="0" w:noVBand="1"/>
      </w:tblPr>
      <w:tblGrid>
        <w:gridCol w:w="918"/>
        <w:gridCol w:w="1836"/>
        <w:gridCol w:w="1512"/>
        <w:gridCol w:w="1512"/>
        <w:gridCol w:w="1512"/>
        <w:gridCol w:w="1512"/>
        <w:gridCol w:w="936"/>
        <w:gridCol w:w="2088"/>
        <w:gridCol w:w="1512"/>
        <w:gridCol w:w="1512"/>
      </w:tblGrid>
      <w:tr w:rsidR="004C0858" w:rsidRPr="004C0858" w14:paraId="4D54CC7E" w14:textId="77777777" w:rsidTr="00F2009E">
        <w:trPr>
          <w:trHeight w:val="828"/>
        </w:trPr>
        <w:tc>
          <w:tcPr>
            <w:tcW w:w="91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AF5D5B1" w14:textId="77777777" w:rsidR="004C0858" w:rsidRPr="004C0858" w:rsidRDefault="004C0858" w:rsidP="00CE2FDF">
            <w:pPr>
              <w:keepNext/>
              <w:tabs>
                <w:tab w:val="left" w:pos="1134"/>
              </w:tabs>
              <w:spacing w:before="0" w:line="276" w:lineRule="auto"/>
              <w:rPr>
                <w:rFonts w:ascii="Calibri" w:hAnsi="Calibri" w:cs="Arial"/>
                <w:b/>
                <w:bCs/>
                <w:color w:val="000000"/>
              </w:rPr>
            </w:pPr>
          </w:p>
        </w:tc>
        <w:tc>
          <w:tcPr>
            <w:tcW w:w="1836" w:type="dxa"/>
            <w:tcBorders>
              <w:top w:val="single" w:sz="4" w:space="0" w:color="auto"/>
              <w:left w:val="single" w:sz="4" w:space="0" w:color="auto"/>
              <w:bottom w:val="single" w:sz="4" w:space="0" w:color="auto"/>
            </w:tcBorders>
            <w:shd w:val="clear" w:color="auto" w:fill="8DB3E2" w:themeFill="text2" w:themeFillTint="66"/>
            <w:vAlign w:val="center"/>
            <w:hideMark/>
          </w:tcPr>
          <w:p w14:paraId="1413971C" w14:textId="77777777" w:rsidR="004C0858" w:rsidRPr="004C0858" w:rsidRDefault="004C0858"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Not investigated</w:t>
            </w:r>
          </w:p>
        </w:tc>
        <w:tc>
          <w:tcPr>
            <w:tcW w:w="1512" w:type="dxa"/>
            <w:tcBorders>
              <w:top w:val="single" w:sz="4" w:space="0" w:color="auto"/>
              <w:bottom w:val="single" w:sz="4" w:space="0" w:color="auto"/>
              <w:right w:val="single" w:sz="4" w:space="0" w:color="auto"/>
            </w:tcBorders>
            <w:shd w:val="clear" w:color="auto" w:fill="8DB3E2" w:themeFill="text2" w:themeFillTint="66"/>
            <w:vAlign w:val="center"/>
          </w:tcPr>
          <w:p w14:paraId="4E98BC4D" w14:textId="77777777" w:rsidR="004C0858" w:rsidRPr="004C0858" w:rsidRDefault="004C0858"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w:t>
            </w:r>
          </w:p>
        </w:tc>
        <w:tc>
          <w:tcPr>
            <w:tcW w:w="1512" w:type="dxa"/>
            <w:tcBorders>
              <w:top w:val="single" w:sz="4" w:space="0" w:color="auto"/>
              <w:bottom w:val="single" w:sz="4" w:space="0" w:color="auto"/>
            </w:tcBorders>
            <w:shd w:val="clear" w:color="auto" w:fill="8DB3E2" w:themeFill="text2" w:themeFillTint="66"/>
            <w:vAlign w:val="center"/>
          </w:tcPr>
          <w:p w14:paraId="547CB97A" w14:textId="77777777" w:rsidR="004C0858" w:rsidRPr="004C0858" w:rsidRDefault="004C0858"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 xml:space="preserve">Investigated </w:t>
            </w:r>
          </w:p>
        </w:tc>
        <w:tc>
          <w:tcPr>
            <w:tcW w:w="1512" w:type="dxa"/>
            <w:tcBorders>
              <w:top w:val="single" w:sz="4" w:space="0" w:color="auto"/>
              <w:bottom w:val="single" w:sz="4" w:space="0" w:color="auto"/>
            </w:tcBorders>
            <w:shd w:val="clear" w:color="auto" w:fill="8DB3E2" w:themeFill="text2" w:themeFillTint="66"/>
            <w:vAlign w:val="center"/>
          </w:tcPr>
          <w:p w14:paraId="4FE45F8D" w14:textId="77777777" w:rsidR="004C0858" w:rsidRPr="004C0858" w:rsidRDefault="004C0858"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w:t>
            </w:r>
          </w:p>
        </w:tc>
        <w:tc>
          <w:tcPr>
            <w:tcW w:w="1512" w:type="dxa"/>
            <w:tcBorders>
              <w:top w:val="single" w:sz="4" w:space="0" w:color="auto"/>
              <w:left w:val="single" w:sz="4" w:space="0" w:color="auto"/>
              <w:bottom w:val="single" w:sz="4" w:space="0" w:color="auto"/>
            </w:tcBorders>
            <w:shd w:val="clear" w:color="auto" w:fill="8DB3E2" w:themeFill="text2" w:themeFillTint="66"/>
            <w:vAlign w:val="center"/>
            <w:hideMark/>
          </w:tcPr>
          <w:p w14:paraId="07328316" w14:textId="77777777" w:rsidR="004C0858" w:rsidRPr="004C0858" w:rsidRDefault="004C0858"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Substantiated</w:t>
            </w:r>
          </w:p>
        </w:tc>
        <w:tc>
          <w:tcPr>
            <w:tcW w:w="936" w:type="dxa"/>
            <w:tcBorders>
              <w:top w:val="single" w:sz="4" w:space="0" w:color="auto"/>
              <w:bottom w:val="single" w:sz="4" w:space="0" w:color="auto"/>
              <w:right w:val="single" w:sz="4" w:space="0" w:color="auto"/>
            </w:tcBorders>
            <w:shd w:val="clear" w:color="auto" w:fill="8DB3E2" w:themeFill="text2" w:themeFillTint="66"/>
            <w:vAlign w:val="center"/>
          </w:tcPr>
          <w:p w14:paraId="37DB94D2" w14:textId="77777777" w:rsidR="004C0858" w:rsidRPr="004C0858" w:rsidRDefault="004C0858"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w:t>
            </w:r>
          </w:p>
        </w:tc>
        <w:tc>
          <w:tcPr>
            <w:tcW w:w="2088" w:type="dxa"/>
            <w:tcBorders>
              <w:top w:val="single" w:sz="4" w:space="0" w:color="auto"/>
              <w:left w:val="single" w:sz="4" w:space="0" w:color="auto"/>
              <w:bottom w:val="single" w:sz="4" w:space="0" w:color="auto"/>
            </w:tcBorders>
            <w:shd w:val="clear" w:color="auto" w:fill="8DB3E2" w:themeFill="text2" w:themeFillTint="66"/>
            <w:vAlign w:val="center"/>
            <w:hideMark/>
          </w:tcPr>
          <w:p w14:paraId="7DE90E1B" w14:textId="77777777" w:rsidR="004C0858" w:rsidRPr="004C0858" w:rsidRDefault="004C0858"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Not substantiated</w:t>
            </w:r>
          </w:p>
        </w:tc>
        <w:tc>
          <w:tcPr>
            <w:tcW w:w="1512" w:type="dxa"/>
            <w:tcBorders>
              <w:top w:val="single" w:sz="4" w:space="0" w:color="auto"/>
              <w:bottom w:val="single" w:sz="4" w:space="0" w:color="auto"/>
              <w:right w:val="single" w:sz="4" w:space="0" w:color="auto"/>
            </w:tcBorders>
            <w:shd w:val="clear" w:color="auto" w:fill="8DB3E2" w:themeFill="text2" w:themeFillTint="66"/>
            <w:vAlign w:val="center"/>
          </w:tcPr>
          <w:p w14:paraId="70CF2F7F" w14:textId="77777777" w:rsidR="004C0858" w:rsidRPr="004C0858" w:rsidRDefault="004C0858" w:rsidP="00CE2FDF">
            <w:pPr>
              <w:keepNext/>
              <w:tabs>
                <w:tab w:val="left" w:pos="1134"/>
              </w:tabs>
              <w:spacing w:before="0" w:line="276" w:lineRule="auto"/>
              <w:jc w:val="center"/>
              <w:rPr>
                <w:rFonts w:ascii="Calibri" w:hAnsi="Calibri" w:cs="Arial"/>
                <w:b/>
                <w:bCs/>
                <w:color w:val="000000"/>
              </w:rPr>
            </w:pPr>
            <w:r w:rsidRPr="004C0858">
              <w:rPr>
                <w:rFonts w:ascii="Calibri" w:hAnsi="Calibri" w:cs="Arial"/>
                <w:b/>
                <w:bCs/>
                <w:color w:val="000000"/>
              </w:rPr>
              <w:t>%</w:t>
            </w:r>
          </w:p>
        </w:tc>
        <w:tc>
          <w:tcPr>
            <w:tcW w:w="151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75E078F" w14:textId="77777777" w:rsidR="004C0858" w:rsidRPr="004C0858" w:rsidRDefault="004C0858"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Totals</w:t>
            </w:r>
          </w:p>
        </w:tc>
      </w:tr>
      <w:tr w:rsidR="004C0858" w:rsidRPr="002E1D48" w14:paraId="2D3C63CA" w14:textId="77777777" w:rsidTr="00F2009E">
        <w:trPr>
          <w:trHeight w:val="276"/>
        </w:trPr>
        <w:tc>
          <w:tcPr>
            <w:tcW w:w="918" w:type="dxa"/>
            <w:tcBorders>
              <w:top w:val="single" w:sz="4" w:space="0" w:color="auto"/>
              <w:left w:val="single" w:sz="4" w:space="0" w:color="auto"/>
              <w:right w:val="single" w:sz="4" w:space="0" w:color="auto"/>
            </w:tcBorders>
            <w:noWrap/>
            <w:vAlign w:val="center"/>
            <w:hideMark/>
          </w:tcPr>
          <w:p w14:paraId="4935EBEB" w14:textId="77777777" w:rsidR="004C0858" w:rsidRPr="004C0858" w:rsidRDefault="004C0858" w:rsidP="00CE2FDF">
            <w:pPr>
              <w:keepNext/>
              <w:tabs>
                <w:tab w:val="left" w:pos="1134"/>
              </w:tabs>
              <w:spacing w:before="0" w:after="60" w:line="276" w:lineRule="auto"/>
              <w:rPr>
                <w:rFonts w:cs="Arial"/>
                <w:b/>
                <w:bCs/>
                <w:color w:val="000000"/>
              </w:rPr>
            </w:pPr>
            <w:r w:rsidRPr="004C0858">
              <w:rPr>
                <w:rFonts w:cs="Arial"/>
                <w:b/>
                <w:bCs/>
                <w:color w:val="000000"/>
              </w:rPr>
              <w:t>2003</w:t>
            </w:r>
          </w:p>
        </w:tc>
        <w:tc>
          <w:tcPr>
            <w:tcW w:w="1836" w:type="dxa"/>
            <w:tcBorders>
              <w:top w:val="single" w:sz="4" w:space="0" w:color="auto"/>
              <w:left w:val="single" w:sz="4" w:space="0" w:color="auto"/>
            </w:tcBorders>
            <w:noWrap/>
            <w:vAlign w:val="center"/>
            <w:hideMark/>
          </w:tcPr>
          <w:p w14:paraId="34A870A9"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24</w:t>
            </w:r>
            <w:r>
              <w:rPr>
                <w:rFonts w:cs="Arial"/>
              </w:rPr>
              <w:t>,</w:t>
            </w:r>
            <w:r w:rsidRPr="002E1D48">
              <w:rPr>
                <w:rFonts w:cs="Arial"/>
              </w:rPr>
              <w:t>799</w:t>
            </w:r>
          </w:p>
        </w:tc>
        <w:tc>
          <w:tcPr>
            <w:tcW w:w="1512" w:type="dxa"/>
            <w:tcBorders>
              <w:top w:val="single" w:sz="4" w:space="0" w:color="auto"/>
              <w:right w:val="single" w:sz="4" w:space="0" w:color="auto"/>
            </w:tcBorders>
            <w:vAlign w:val="center"/>
          </w:tcPr>
          <w:p w14:paraId="3CF6D883" w14:textId="77777777" w:rsidR="004C0858" w:rsidRPr="002E1D48" w:rsidRDefault="004C0858" w:rsidP="00CE2FDF">
            <w:pPr>
              <w:keepNext/>
              <w:tabs>
                <w:tab w:val="left" w:pos="1134"/>
              </w:tabs>
              <w:spacing w:before="0" w:after="60" w:line="276" w:lineRule="auto"/>
              <w:jc w:val="right"/>
              <w:rPr>
                <w:rFonts w:cs="Arial"/>
                <w:color w:val="000000"/>
              </w:rPr>
            </w:pPr>
            <w:r w:rsidRPr="002E1D48">
              <w:rPr>
                <w:rFonts w:cs="Arial"/>
                <w:color w:val="000000"/>
              </w:rPr>
              <w:t>(66.5%)</w:t>
            </w:r>
          </w:p>
        </w:tc>
        <w:tc>
          <w:tcPr>
            <w:tcW w:w="1512" w:type="dxa"/>
            <w:tcBorders>
              <w:top w:val="single" w:sz="4" w:space="0" w:color="auto"/>
            </w:tcBorders>
            <w:vAlign w:val="center"/>
          </w:tcPr>
          <w:p w14:paraId="64DD009D"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12</w:t>
            </w:r>
            <w:r>
              <w:rPr>
                <w:rFonts w:cs="Arial"/>
              </w:rPr>
              <w:t>,</w:t>
            </w:r>
            <w:r w:rsidRPr="002E1D48">
              <w:rPr>
                <w:rFonts w:cs="Arial"/>
              </w:rPr>
              <w:t>468</w:t>
            </w:r>
          </w:p>
        </w:tc>
        <w:tc>
          <w:tcPr>
            <w:tcW w:w="1512" w:type="dxa"/>
            <w:tcBorders>
              <w:top w:val="single" w:sz="4" w:space="0" w:color="auto"/>
            </w:tcBorders>
            <w:vAlign w:val="center"/>
          </w:tcPr>
          <w:p w14:paraId="0D6D7DE0" w14:textId="77777777" w:rsidR="004C0858" w:rsidRPr="002E1D48" w:rsidRDefault="004C0858" w:rsidP="00CE2FDF">
            <w:pPr>
              <w:keepNext/>
              <w:tabs>
                <w:tab w:val="left" w:pos="1134"/>
              </w:tabs>
              <w:spacing w:before="0" w:after="60" w:line="276" w:lineRule="auto"/>
              <w:jc w:val="right"/>
              <w:rPr>
                <w:rFonts w:cs="Arial"/>
                <w:color w:val="000000"/>
              </w:rPr>
            </w:pPr>
            <w:r w:rsidRPr="002E1D48">
              <w:rPr>
                <w:rFonts w:cs="Arial"/>
                <w:color w:val="000000"/>
              </w:rPr>
              <w:t>(33.5%)</w:t>
            </w:r>
          </w:p>
        </w:tc>
        <w:tc>
          <w:tcPr>
            <w:tcW w:w="1512" w:type="dxa"/>
            <w:tcBorders>
              <w:top w:val="single" w:sz="4" w:space="0" w:color="auto"/>
              <w:left w:val="single" w:sz="4" w:space="0" w:color="auto"/>
            </w:tcBorders>
            <w:noWrap/>
            <w:vAlign w:val="center"/>
            <w:hideMark/>
          </w:tcPr>
          <w:p w14:paraId="3C82B100"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7</w:t>
            </w:r>
            <w:r>
              <w:rPr>
                <w:rFonts w:cs="Arial"/>
              </w:rPr>
              <w:t>,</w:t>
            </w:r>
            <w:r w:rsidRPr="002E1D48">
              <w:rPr>
                <w:rFonts w:cs="Arial"/>
              </w:rPr>
              <w:t>411</w:t>
            </w:r>
          </w:p>
        </w:tc>
        <w:tc>
          <w:tcPr>
            <w:tcW w:w="936" w:type="dxa"/>
            <w:tcBorders>
              <w:top w:val="single" w:sz="4" w:space="0" w:color="auto"/>
              <w:right w:val="single" w:sz="4" w:space="0" w:color="auto"/>
            </w:tcBorders>
            <w:vAlign w:val="center"/>
          </w:tcPr>
          <w:p w14:paraId="7CCD106F" w14:textId="77777777" w:rsidR="004C0858" w:rsidRPr="002E1D48" w:rsidRDefault="004C0858" w:rsidP="00CE2FDF">
            <w:pPr>
              <w:keepNext/>
              <w:tabs>
                <w:tab w:val="left" w:pos="1134"/>
              </w:tabs>
              <w:spacing w:before="0" w:after="60" w:line="276" w:lineRule="auto"/>
              <w:jc w:val="right"/>
              <w:rPr>
                <w:rFonts w:cs="Arial"/>
                <w:color w:val="000000"/>
              </w:rPr>
            </w:pPr>
            <w:r w:rsidRPr="002E1D48">
              <w:rPr>
                <w:rFonts w:cs="Arial"/>
                <w:color w:val="000000"/>
              </w:rPr>
              <w:t>(19.9%)</w:t>
            </w:r>
          </w:p>
        </w:tc>
        <w:tc>
          <w:tcPr>
            <w:tcW w:w="2088" w:type="dxa"/>
            <w:tcBorders>
              <w:top w:val="single" w:sz="4" w:space="0" w:color="auto"/>
              <w:left w:val="single" w:sz="4" w:space="0" w:color="auto"/>
            </w:tcBorders>
            <w:noWrap/>
            <w:vAlign w:val="center"/>
            <w:hideMark/>
          </w:tcPr>
          <w:p w14:paraId="61FC5E72"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5</w:t>
            </w:r>
            <w:r>
              <w:rPr>
                <w:rFonts w:cs="Arial"/>
              </w:rPr>
              <w:t>,</w:t>
            </w:r>
            <w:r w:rsidRPr="002E1D48">
              <w:rPr>
                <w:rFonts w:cs="Arial"/>
              </w:rPr>
              <w:t>057</w:t>
            </w:r>
          </w:p>
        </w:tc>
        <w:tc>
          <w:tcPr>
            <w:tcW w:w="1512" w:type="dxa"/>
            <w:tcBorders>
              <w:top w:val="single" w:sz="4" w:space="0" w:color="auto"/>
              <w:right w:val="single" w:sz="4" w:space="0" w:color="auto"/>
            </w:tcBorders>
            <w:vAlign w:val="center"/>
          </w:tcPr>
          <w:p w14:paraId="29C01973" w14:textId="77777777" w:rsidR="004C0858" w:rsidRPr="004C0858" w:rsidRDefault="004C0858" w:rsidP="00CE2FDF">
            <w:pPr>
              <w:keepNext/>
              <w:tabs>
                <w:tab w:val="left" w:pos="1134"/>
              </w:tabs>
              <w:spacing w:before="0" w:after="60" w:line="276" w:lineRule="auto"/>
              <w:jc w:val="right"/>
              <w:rPr>
                <w:rFonts w:cs="Arial"/>
              </w:rPr>
            </w:pPr>
            <w:r w:rsidRPr="004C0858">
              <w:rPr>
                <w:rFonts w:cs="Arial"/>
              </w:rPr>
              <w:t>(</w:t>
            </w:r>
            <w:r>
              <w:rPr>
                <w:rFonts w:cs="Arial"/>
              </w:rPr>
              <w:t>13.6</w:t>
            </w:r>
            <w:r w:rsidRPr="004C0858">
              <w:rPr>
                <w:rFonts w:cs="Arial"/>
              </w:rPr>
              <w:t>%)</w:t>
            </w:r>
          </w:p>
        </w:tc>
        <w:tc>
          <w:tcPr>
            <w:tcW w:w="1512" w:type="dxa"/>
            <w:tcBorders>
              <w:top w:val="single" w:sz="4" w:space="0" w:color="auto"/>
              <w:left w:val="single" w:sz="4" w:space="0" w:color="auto"/>
              <w:right w:val="single" w:sz="4" w:space="0" w:color="auto"/>
            </w:tcBorders>
            <w:noWrap/>
            <w:vAlign w:val="center"/>
            <w:hideMark/>
          </w:tcPr>
          <w:p w14:paraId="499D290B" w14:textId="77777777" w:rsidR="004C0858" w:rsidRPr="004C0858" w:rsidRDefault="004C0858" w:rsidP="00CE2FDF">
            <w:pPr>
              <w:keepNext/>
              <w:tabs>
                <w:tab w:val="left" w:pos="1134"/>
              </w:tabs>
              <w:spacing w:before="0" w:after="60" w:line="276" w:lineRule="auto"/>
              <w:jc w:val="right"/>
              <w:rPr>
                <w:rFonts w:cs="Arial"/>
                <w:b/>
              </w:rPr>
            </w:pPr>
            <w:r w:rsidRPr="004C0858">
              <w:rPr>
                <w:rFonts w:cs="Arial"/>
                <w:b/>
              </w:rPr>
              <w:t>37</w:t>
            </w:r>
            <w:r w:rsidR="0045276E">
              <w:rPr>
                <w:rFonts w:cs="Arial"/>
                <w:b/>
              </w:rPr>
              <w:t>,</w:t>
            </w:r>
            <w:r w:rsidRPr="004C0858">
              <w:rPr>
                <w:rFonts w:cs="Arial"/>
                <w:b/>
              </w:rPr>
              <w:t>267</w:t>
            </w:r>
          </w:p>
        </w:tc>
      </w:tr>
      <w:tr w:rsidR="004C0858" w:rsidRPr="002E1D48" w14:paraId="67732EF1" w14:textId="77777777" w:rsidTr="00F2009E">
        <w:trPr>
          <w:trHeight w:val="276"/>
        </w:trPr>
        <w:tc>
          <w:tcPr>
            <w:tcW w:w="918" w:type="dxa"/>
            <w:tcBorders>
              <w:left w:val="single" w:sz="4" w:space="0" w:color="auto"/>
              <w:right w:val="single" w:sz="4" w:space="0" w:color="auto"/>
            </w:tcBorders>
            <w:shd w:val="clear" w:color="auto" w:fill="DBE5F1" w:themeFill="accent1" w:themeFillTint="33"/>
            <w:noWrap/>
            <w:vAlign w:val="center"/>
            <w:hideMark/>
          </w:tcPr>
          <w:p w14:paraId="00CCF93B" w14:textId="77777777" w:rsidR="004C0858" w:rsidRPr="004C0858" w:rsidRDefault="004C0858" w:rsidP="00CE2FDF">
            <w:pPr>
              <w:keepNext/>
              <w:tabs>
                <w:tab w:val="left" w:pos="1134"/>
              </w:tabs>
              <w:spacing w:before="0" w:after="60" w:line="276" w:lineRule="auto"/>
              <w:rPr>
                <w:rFonts w:cs="Arial"/>
                <w:b/>
                <w:bCs/>
                <w:color w:val="000000"/>
              </w:rPr>
            </w:pPr>
            <w:r w:rsidRPr="004C0858">
              <w:rPr>
                <w:rFonts w:cs="Arial"/>
                <w:b/>
                <w:bCs/>
                <w:color w:val="000000"/>
              </w:rPr>
              <w:t>2004</w:t>
            </w:r>
          </w:p>
        </w:tc>
        <w:tc>
          <w:tcPr>
            <w:tcW w:w="1836" w:type="dxa"/>
            <w:tcBorders>
              <w:left w:val="single" w:sz="4" w:space="0" w:color="auto"/>
            </w:tcBorders>
            <w:shd w:val="clear" w:color="auto" w:fill="DBE5F1" w:themeFill="accent1" w:themeFillTint="33"/>
            <w:noWrap/>
            <w:vAlign w:val="center"/>
            <w:hideMark/>
          </w:tcPr>
          <w:p w14:paraId="5281EC6D"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25</w:t>
            </w:r>
            <w:r>
              <w:rPr>
                <w:rFonts w:cs="Arial"/>
              </w:rPr>
              <w:t>,</w:t>
            </w:r>
            <w:r w:rsidRPr="002E1D48">
              <w:rPr>
                <w:rFonts w:cs="Arial"/>
              </w:rPr>
              <w:t>242</w:t>
            </w:r>
          </w:p>
        </w:tc>
        <w:tc>
          <w:tcPr>
            <w:tcW w:w="1512" w:type="dxa"/>
            <w:tcBorders>
              <w:right w:val="single" w:sz="4" w:space="0" w:color="auto"/>
            </w:tcBorders>
            <w:shd w:val="clear" w:color="auto" w:fill="DBE5F1" w:themeFill="accent1" w:themeFillTint="33"/>
            <w:vAlign w:val="center"/>
          </w:tcPr>
          <w:p w14:paraId="5D5800F1" w14:textId="77777777" w:rsidR="004C0858" w:rsidRPr="002E1D48" w:rsidRDefault="004C0858" w:rsidP="00CE2FDF">
            <w:pPr>
              <w:keepNext/>
              <w:tabs>
                <w:tab w:val="left" w:pos="1134"/>
              </w:tabs>
              <w:spacing w:before="0" w:after="60" w:line="276" w:lineRule="auto"/>
              <w:jc w:val="right"/>
              <w:rPr>
                <w:rFonts w:cs="Arial"/>
                <w:color w:val="000000"/>
              </w:rPr>
            </w:pPr>
            <w:r w:rsidRPr="002E1D48">
              <w:rPr>
                <w:rFonts w:cs="Arial"/>
                <w:color w:val="000000"/>
              </w:rPr>
              <w:t>(67%)</w:t>
            </w:r>
          </w:p>
        </w:tc>
        <w:tc>
          <w:tcPr>
            <w:tcW w:w="1512" w:type="dxa"/>
            <w:tcBorders>
              <w:right w:val="nil"/>
            </w:tcBorders>
            <w:shd w:val="clear" w:color="auto" w:fill="DBE5F1" w:themeFill="accent1" w:themeFillTint="33"/>
            <w:vAlign w:val="center"/>
          </w:tcPr>
          <w:p w14:paraId="1428FFB6"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12</w:t>
            </w:r>
            <w:r>
              <w:rPr>
                <w:rFonts w:cs="Arial"/>
              </w:rPr>
              <w:t>,</w:t>
            </w:r>
            <w:r w:rsidRPr="002E1D48">
              <w:rPr>
                <w:rFonts w:cs="Arial"/>
              </w:rPr>
              <w:t>407</w:t>
            </w:r>
          </w:p>
        </w:tc>
        <w:tc>
          <w:tcPr>
            <w:tcW w:w="1512" w:type="dxa"/>
            <w:tcBorders>
              <w:left w:val="nil"/>
            </w:tcBorders>
            <w:shd w:val="clear" w:color="auto" w:fill="DBE5F1" w:themeFill="accent1" w:themeFillTint="33"/>
            <w:vAlign w:val="center"/>
          </w:tcPr>
          <w:p w14:paraId="03E69AA6" w14:textId="77777777" w:rsidR="004C0858" w:rsidRPr="002E1D48" w:rsidRDefault="004C0858" w:rsidP="00CE2FDF">
            <w:pPr>
              <w:keepNext/>
              <w:tabs>
                <w:tab w:val="left" w:pos="1134"/>
              </w:tabs>
              <w:spacing w:before="0" w:after="60" w:line="276" w:lineRule="auto"/>
              <w:jc w:val="right"/>
              <w:rPr>
                <w:rFonts w:cs="Arial"/>
                <w:color w:val="000000"/>
              </w:rPr>
            </w:pPr>
            <w:r w:rsidRPr="002E1D48">
              <w:rPr>
                <w:rFonts w:cs="Arial"/>
                <w:color w:val="000000"/>
              </w:rPr>
              <w:t>(33%)</w:t>
            </w:r>
          </w:p>
        </w:tc>
        <w:tc>
          <w:tcPr>
            <w:tcW w:w="1512" w:type="dxa"/>
            <w:tcBorders>
              <w:left w:val="single" w:sz="4" w:space="0" w:color="auto"/>
            </w:tcBorders>
            <w:shd w:val="clear" w:color="auto" w:fill="DBE5F1" w:themeFill="accent1" w:themeFillTint="33"/>
            <w:noWrap/>
            <w:vAlign w:val="center"/>
            <w:hideMark/>
          </w:tcPr>
          <w:p w14:paraId="40C78841"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7</w:t>
            </w:r>
            <w:r>
              <w:rPr>
                <w:rFonts w:cs="Arial"/>
              </w:rPr>
              <w:t>,</w:t>
            </w:r>
            <w:r w:rsidRPr="002E1D48">
              <w:rPr>
                <w:rFonts w:cs="Arial"/>
              </w:rPr>
              <w:t>912</w:t>
            </w:r>
          </w:p>
        </w:tc>
        <w:tc>
          <w:tcPr>
            <w:tcW w:w="936" w:type="dxa"/>
            <w:tcBorders>
              <w:right w:val="single" w:sz="4" w:space="0" w:color="auto"/>
            </w:tcBorders>
            <w:shd w:val="clear" w:color="auto" w:fill="DBE5F1" w:themeFill="accent1" w:themeFillTint="33"/>
            <w:vAlign w:val="center"/>
          </w:tcPr>
          <w:p w14:paraId="41C2F710" w14:textId="77777777" w:rsidR="004C0858" w:rsidRPr="002E1D48" w:rsidRDefault="004C0858" w:rsidP="00CE2FDF">
            <w:pPr>
              <w:keepNext/>
              <w:tabs>
                <w:tab w:val="left" w:pos="1134"/>
              </w:tabs>
              <w:spacing w:before="0" w:after="60" w:line="276" w:lineRule="auto"/>
              <w:jc w:val="right"/>
              <w:rPr>
                <w:rFonts w:cs="Arial"/>
                <w:color w:val="000000"/>
              </w:rPr>
            </w:pPr>
            <w:r w:rsidRPr="002E1D48">
              <w:rPr>
                <w:rFonts w:cs="Arial"/>
                <w:color w:val="000000"/>
              </w:rPr>
              <w:t>(21%)</w:t>
            </w:r>
          </w:p>
        </w:tc>
        <w:tc>
          <w:tcPr>
            <w:tcW w:w="2088" w:type="dxa"/>
            <w:tcBorders>
              <w:left w:val="single" w:sz="4" w:space="0" w:color="auto"/>
            </w:tcBorders>
            <w:shd w:val="clear" w:color="auto" w:fill="DBE5F1" w:themeFill="accent1" w:themeFillTint="33"/>
            <w:noWrap/>
            <w:vAlign w:val="center"/>
            <w:hideMark/>
          </w:tcPr>
          <w:p w14:paraId="6F8CE54B"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4</w:t>
            </w:r>
            <w:r>
              <w:rPr>
                <w:rFonts w:cs="Arial"/>
              </w:rPr>
              <w:t>,</w:t>
            </w:r>
            <w:r w:rsidRPr="002E1D48">
              <w:rPr>
                <w:rFonts w:cs="Arial"/>
              </w:rPr>
              <w:t>495</w:t>
            </w:r>
          </w:p>
        </w:tc>
        <w:tc>
          <w:tcPr>
            <w:tcW w:w="1512" w:type="dxa"/>
            <w:tcBorders>
              <w:right w:val="single" w:sz="4" w:space="0" w:color="auto"/>
            </w:tcBorders>
            <w:shd w:val="clear" w:color="auto" w:fill="DBE5F1" w:themeFill="accent1" w:themeFillTint="33"/>
            <w:vAlign w:val="center"/>
          </w:tcPr>
          <w:p w14:paraId="0B456F34" w14:textId="77777777" w:rsidR="004C0858" w:rsidRPr="004C0858" w:rsidRDefault="004C0858" w:rsidP="00CE2FDF">
            <w:pPr>
              <w:keepNext/>
              <w:tabs>
                <w:tab w:val="left" w:pos="1134"/>
              </w:tabs>
              <w:spacing w:before="0" w:after="60" w:line="276" w:lineRule="auto"/>
              <w:jc w:val="right"/>
              <w:rPr>
                <w:rFonts w:cs="Arial"/>
              </w:rPr>
            </w:pPr>
            <w:r w:rsidRPr="004C0858">
              <w:rPr>
                <w:rFonts w:cs="Arial"/>
              </w:rPr>
              <w:t>(</w:t>
            </w:r>
            <w:r>
              <w:rPr>
                <w:rFonts w:cs="Arial"/>
              </w:rPr>
              <w:t>11.9</w:t>
            </w:r>
            <w:r w:rsidRPr="004C0858">
              <w:rPr>
                <w:rFonts w:cs="Arial"/>
              </w:rPr>
              <w:t>%)</w:t>
            </w:r>
          </w:p>
        </w:tc>
        <w:tc>
          <w:tcPr>
            <w:tcW w:w="1512" w:type="dxa"/>
            <w:tcBorders>
              <w:left w:val="single" w:sz="4" w:space="0" w:color="auto"/>
              <w:right w:val="single" w:sz="4" w:space="0" w:color="auto"/>
            </w:tcBorders>
            <w:shd w:val="clear" w:color="auto" w:fill="DBE5F1" w:themeFill="accent1" w:themeFillTint="33"/>
            <w:noWrap/>
            <w:vAlign w:val="center"/>
            <w:hideMark/>
          </w:tcPr>
          <w:p w14:paraId="01C7C23C" w14:textId="77777777" w:rsidR="004C0858" w:rsidRPr="004C0858" w:rsidRDefault="004C0858" w:rsidP="00CE2FDF">
            <w:pPr>
              <w:keepNext/>
              <w:tabs>
                <w:tab w:val="left" w:pos="1134"/>
              </w:tabs>
              <w:spacing w:before="0" w:after="60" w:line="276" w:lineRule="auto"/>
              <w:jc w:val="right"/>
              <w:rPr>
                <w:rFonts w:cs="Arial"/>
                <w:b/>
              </w:rPr>
            </w:pPr>
            <w:r w:rsidRPr="004C0858">
              <w:rPr>
                <w:rFonts w:cs="Arial"/>
                <w:b/>
              </w:rPr>
              <w:t>37</w:t>
            </w:r>
            <w:r w:rsidR="0045276E">
              <w:rPr>
                <w:rFonts w:cs="Arial"/>
                <w:b/>
              </w:rPr>
              <w:t>,</w:t>
            </w:r>
            <w:r w:rsidRPr="004C0858">
              <w:rPr>
                <w:rFonts w:cs="Arial"/>
                <w:b/>
              </w:rPr>
              <w:t>649</w:t>
            </w:r>
          </w:p>
        </w:tc>
      </w:tr>
      <w:tr w:rsidR="004C0858" w:rsidRPr="002E1D48" w14:paraId="09648CFE" w14:textId="77777777" w:rsidTr="00F2009E">
        <w:trPr>
          <w:trHeight w:val="276"/>
        </w:trPr>
        <w:tc>
          <w:tcPr>
            <w:tcW w:w="918" w:type="dxa"/>
            <w:tcBorders>
              <w:left w:val="single" w:sz="4" w:space="0" w:color="auto"/>
              <w:right w:val="single" w:sz="4" w:space="0" w:color="auto"/>
            </w:tcBorders>
            <w:noWrap/>
            <w:vAlign w:val="center"/>
            <w:hideMark/>
          </w:tcPr>
          <w:p w14:paraId="48DCC7C4" w14:textId="77777777" w:rsidR="004C0858" w:rsidRPr="004C0858" w:rsidRDefault="004C0858" w:rsidP="00CE2FDF">
            <w:pPr>
              <w:keepNext/>
              <w:tabs>
                <w:tab w:val="left" w:pos="1134"/>
              </w:tabs>
              <w:spacing w:before="0" w:after="60" w:line="276" w:lineRule="auto"/>
              <w:rPr>
                <w:rFonts w:cs="Arial"/>
                <w:b/>
                <w:bCs/>
                <w:color w:val="000000"/>
              </w:rPr>
            </w:pPr>
            <w:r w:rsidRPr="004C0858">
              <w:rPr>
                <w:rFonts w:cs="Arial"/>
                <w:b/>
                <w:bCs/>
                <w:color w:val="000000"/>
              </w:rPr>
              <w:t>2005</w:t>
            </w:r>
          </w:p>
        </w:tc>
        <w:tc>
          <w:tcPr>
            <w:tcW w:w="1836" w:type="dxa"/>
            <w:tcBorders>
              <w:left w:val="single" w:sz="4" w:space="0" w:color="auto"/>
            </w:tcBorders>
            <w:noWrap/>
            <w:vAlign w:val="center"/>
            <w:hideMark/>
          </w:tcPr>
          <w:p w14:paraId="58E8907B"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25</w:t>
            </w:r>
            <w:r>
              <w:rPr>
                <w:rFonts w:cs="Arial"/>
              </w:rPr>
              <w:t>,</w:t>
            </w:r>
            <w:r w:rsidRPr="002E1D48">
              <w:rPr>
                <w:rFonts w:cs="Arial"/>
              </w:rPr>
              <w:t>317</w:t>
            </w:r>
          </w:p>
        </w:tc>
        <w:tc>
          <w:tcPr>
            <w:tcW w:w="1512" w:type="dxa"/>
            <w:tcBorders>
              <w:right w:val="single" w:sz="4" w:space="0" w:color="auto"/>
            </w:tcBorders>
            <w:vAlign w:val="center"/>
          </w:tcPr>
          <w:p w14:paraId="6CFB9633" w14:textId="77777777" w:rsidR="004C0858" w:rsidRPr="002E1D48" w:rsidRDefault="004C0858" w:rsidP="00CE2FDF">
            <w:pPr>
              <w:keepNext/>
              <w:tabs>
                <w:tab w:val="left" w:pos="1134"/>
              </w:tabs>
              <w:spacing w:before="0" w:after="60" w:line="276" w:lineRule="auto"/>
              <w:jc w:val="right"/>
              <w:rPr>
                <w:rFonts w:cs="Arial"/>
                <w:color w:val="000000"/>
              </w:rPr>
            </w:pPr>
            <w:r w:rsidRPr="002E1D48">
              <w:rPr>
                <w:rFonts w:cs="Arial"/>
                <w:color w:val="000000"/>
              </w:rPr>
              <w:t>(69.1%)</w:t>
            </w:r>
          </w:p>
        </w:tc>
        <w:tc>
          <w:tcPr>
            <w:tcW w:w="1512" w:type="dxa"/>
            <w:vAlign w:val="center"/>
          </w:tcPr>
          <w:p w14:paraId="0ABE025D"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11</w:t>
            </w:r>
            <w:r>
              <w:rPr>
                <w:rFonts w:cs="Arial"/>
              </w:rPr>
              <w:t>,</w:t>
            </w:r>
            <w:r w:rsidRPr="002E1D48">
              <w:rPr>
                <w:rFonts w:cs="Arial"/>
              </w:rPr>
              <w:t>340</w:t>
            </w:r>
          </w:p>
        </w:tc>
        <w:tc>
          <w:tcPr>
            <w:tcW w:w="1512" w:type="dxa"/>
            <w:vAlign w:val="center"/>
          </w:tcPr>
          <w:p w14:paraId="366D698D" w14:textId="77777777" w:rsidR="004C0858" w:rsidRPr="002E1D48" w:rsidRDefault="004C0858" w:rsidP="00CE2FDF">
            <w:pPr>
              <w:keepNext/>
              <w:tabs>
                <w:tab w:val="left" w:pos="1134"/>
              </w:tabs>
              <w:spacing w:before="0" w:after="60" w:line="276" w:lineRule="auto"/>
              <w:jc w:val="right"/>
              <w:rPr>
                <w:rFonts w:cs="Arial"/>
                <w:color w:val="000000"/>
              </w:rPr>
            </w:pPr>
            <w:r w:rsidRPr="002E1D48">
              <w:rPr>
                <w:rFonts w:cs="Arial"/>
                <w:color w:val="000000"/>
              </w:rPr>
              <w:t>(30.9%)</w:t>
            </w:r>
          </w:p>
        </w:tc>
        <w:tc>
          <w:tcPr>
            <w:tcW w:w="1512" w:type="dxa"/>
            <w:tcBorders>
              <w:left w:val="single" w:sz="4" w:space="0" w:color="auto"/>
            </w:tcBorders>
            <w:noWrap/>
            <w:vAlign w:val="center"/>
            <w:hideMark/>
          </w:tcPr>
          <w:p w14:paraId="1E770FCE"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7</w:t>
            </w:r>
            <w:r>
              <w:rPr>
                <w:rFonts w:cs="Arial"/>
              </w:rPr>
              <w:t>,</w:t>
            </w:r>
            <w:r w:rsidRPr="002E1D48">
              <w:rPr>
                <w:rFonts w:cs="Arial"/>
              </w:rPr>
              <w:t>504</w:t>
            </w:r>
          </w:p>
        </w:tc>
        <w:tc>
          <w:tcPr>
            <w:tcW w:w="936" w:type="dxa"/>
            <w:tcBorders>
              <w:right w:val="single" w:sz="4" w:space="0" w:color="auto"/>
            </w:tcBorders>
            <w:vAlign w:val="center"/>
          </w:tcPr>
          <w:p w14:paraId="58A6138C" w14:textId="77777777" w:rsidR="004C0858" w:rsidRPr="002E1D48" w:rsidRDefault="004C0858" w:rsidP="00CE2FDF">
            <w:pPr>
              <w:keepNext/>
              <w:tabs>
                <w:tab w:val="left" w:pos="1134"/>
              </w:tabs>
              <w:spacing w:before="0" w:after="60" w:line="276" w:lineRule="auto"/>
              <w:jc w:val="right"/>
              <w:rPr>
                <w:rFonts w:cs="Arial"/>
                <w:color w:val="000000"/>
              </w:rPr>
            </w:pPr>
            <w:r w:rsidRPr="002E1D48">
              <w:rPr>
                <w:rFonts w:cs="Arial"/>
                <w:color w:val="000000"/>
              </w:rPr>
              <w:t>(20.5%)</w:t>
            </w:r>
          </w:p>
        </w:tc>
        <w:tc>
          <w:tcPr>
            <w:tcW w:w="2088" w:type="dxa"/>
            <w:tcBorders>
              <w:left w:val="single" w:sz="4" w:space="0" w:color="auto"/>
            </w:tcBorders>
            <w:noWrap/>
            <w:vAlign w:val="center"/>
            <w:hideMark/>
          </w:tcPr>
          <w:p w14:paraId="7648C729" w14:textId="77777777" w:rsidR="004C0858" w:rsidRPr="002E1D48" w:rsidRDefault="004C0858" w:rsidP="00CE2FDF">
            <w:pPr>
              <w:keepNext/>
              <w:tabs>
                <w:tab w:val="left" w:pos="1134"/>
              </w:tabs>
              <w:spacing w:before="0" w:after="60" w:line="276" w:lineRule="auto"/>
              <w:jc w:val="right"/>
              <w:rPr>
                <w:rFonts w:cs="Arial"/>
              </w:rPr>
            </w:pPr>
            <w:r w:rsidRPr="002E1D48">
              <w:rPr>
                <w:rFonts w:cs="Arial"/>
              </w:rPr>
              <w:t>3</w:t>
            </w:r>
            <w:r>
              <w:rPr>
                <w:rFonts w:cs="Arial"/>
              </w:rPr>
              <w:t>,</w:t>
            </w:r>
            <w:r w:rsidRPr="002E1D48">
              <w:rPr>
                <w:rFonts w:cs="Arial"/>
              </w:rPr>
              <w:t>836</w:t>
            </w:r>
          </w:p>
        </w:tc>
        <w:tc>
          <w:tcPr>
            <w:tcW w:w="1512" w:type="dxa"/>
            <w:tcBorders>
              <w:right w:val="single" w:sz="4" w:space="0" w:color="auto"/>
            </w:tcBorders>
            <w:vAlign w:val="center"/>
          </w:tcPr>
          <w:p w14:paraId="610D5FE9" w14:textId="77777777" w:rsidR="004C0858" w:rsidRPr="004C0858" w:rsidRDefault="004C0858" w:rsidP="00CE2FDF">
            <w:pPr>
              <w:keepNext/>
              <w:tabs>
                <w:tab w:val="left" w:pos="1134"/>
              </w:tabs>
              <w:spacing w:before="0" w:after="60" w:line="276" w:lineRule="auto"/>
              <w:jc w:val="right"/>
              <w:rPr>
                <w:rFonts w:cs="Arial"/>
              </w:rPr>
            </w:pPr>
            <w:r w:rsidRPr="004C0858">
              <w:rPr>
                <w:rFonts w:cs="Arial"/>
              </w:rPr>
              <w:t>(</w:t>
            </w:r>
            <w:r>
              <w:rPr>
                <w:rFonts w:cs="Arial"/>
              </w:rPr>
              <w:t>10.5</w:t>
            </w:r>
            <w:r w:rsidRPr="004C0858">
              <w:rPr>
                <w:rFonts w:cs="Arial"/>
              </w:rPr>
              <w:t>%)</w:t>
            </w:r>
          </w:p>
        </w:tc>
        <w:tc>
          <w:tcPr>
            <w:tcW w:w="1512" w:type="dxa"/>
            <w:tcBorders>
              <w:left w:val="single" w:sz="4" w:space="0" w:color="auto"/>
              <w:right w:val="single" w:sz="4" w:space="0" w:color="auto"/>
            </w:tcBorders>
            <w:noWrap/>
            <w:vAlign w:val="center"/>
            <w:hideMark/>
          </w:tcPr>
          <w:p w14:paraId="59255CC3" w14:textId="77777777" w:rsidR="004C0858" w:rsidRPr="004C0858" w:rsidRDefault="004C0858" w:rsidP="00CE2FDF">
            <w:pPr>
              <w:keepNext/>
              <w:tabs>
                <w:tab w:val="left" w:pos="1134"/>
              </w:tabs>
              <w:spacing w:before="0" w:after="60" w:line="276" w:lineRule="auto"/>
              <w:jc w:val="right"/>
              <w:rPr>
                <w:rFonts w:cs="Arial"/>
                <w:b/>
              </w:rPr>
            </w:pPr>
            <w:r w:rsidRPr="004C0858">
              <w:rPr>
                <w:rFonts w:cs="Arial"/>
                <w:b/>
              </w:rPr>
              <w:t>36</w:t>
            </w:r>
            <w:r w:rsidR="0045276E">
              <w:rPr>
                <w:rFonts w:cs="Arial"/>
                <w:b/>
              </w:rPr>
              <w:t>,</w:t>
            </w:r>
            <w:r w:rsidRPr="004C0858">
              <w:rPr>
                <w:rFonts w:cs="Arial"/>
                <w:b/>
              </w:rPr>
              <w:t>657</w:t>
            </w:r>
          </w:p>
        </w:tc>
      </w:tr>
      <w:tr w:rsidR="004C0858" w:rsidRPr="002E1D48" w14:paraId="3ACB77F8" w14:textId="77777777" w:rsidTr="00F2009E">
        <w:trPr>
          <w:trHeight w:val="276"/>
        </w:trPr>
        <w:tc>
          <w:tcPr>
            <w:tcW w:w="918" w:type="dxa"/>
            <w:tcBorders>
              <w:left w:val="single" w:sz="4" w:space="0" w:color="auto"/>
              <w:right w:val="single" w:sz="4" w:space="0" w:color="auto"/>
            </w:tcBorders>
            <w:shd w:val="clear" w:color="auto" w:fill="DBE5F1" w:themeFill="accent1" w:themeFillTint="33"/>
            <w:noWrap/>
            <w:vAlign w:val="center"/>
            <w:hideMark/>
          </w:tcPr>
          <w:p w14:paraId="7181B22E" w14:textId="77777777" w:rsidR="004C0858" w:rsidRPr="004C0858" w:rsidRDefault="004C0858" w:rsidP="00CE2FDF">
            <w:pPr>
              <w:tabs>
                <w:tab w:val="left" w:pos="1134"/>
              </w:tabs>
              <w:spacing w:before="0" w:after="60" w:line="276" w:lineRule="auto"/>
              <w:rPr>
                <w:rFonts w:cs="Arial"/>
                <w:b/>
                <w:bCs/>
                <w:color w:val="000000"/>
              </w:rPr>
            </w:pPr>
            <w:r w:rsidRPr="004C0858">
              <w:rPr>
                <w:rFonts w:cs="Arial"/>
                <w:b/>
                <w:bCs/>
                <w:color w:val="000000"/>
              </w:rPr>
              <w:t>2006</w:t>
            </w:r>
          </w:p>
        </w:tc>
        <w:tc>
          <w:tcPr>
            <w:tcW w:w="1836" w:type="dxa"/>
            <w:tcBorders>
              <w:left w:val="single" w:sz="4" w:space="0" w:color="auto"/>
            </w:tcBorders>
            <w:shd w:val="clear" w:color="auto" w:fill="DBE5F1" w:themeFill="accent1" w:themeFillTint="33"/>
            <w:noWrap/>
            <w:vAlign w:val="center"/>
            <w:hideMark/>
          </w:tcPr>
          <w:p w14:paraId="179D7A9C" w14:textId="77777777" w:rsidR="004C0858" w:rsidRPr="002E1D48" w:rsidRDefault="004C0858" w:rsidP="00CE2FDF">
            <w:pPr>
              <w:tabs>
                <w:tab w:val="left" w:pos="1134"/>
              </w:tabs>
              <w:spacing w:before="0" w:after="60" w:line="276" w:lineRule="auto"/>
              <w:jc w:val="right"/>
              <w:rPr>
                <w:rFonts w:cs="Arial"/>
              </w:rPr>
            </w:pPr>
            <w:r w:rsidRPr="002E1D48">
              <w:rPr>
                <w:rFonts w:cs="Arial"/>
              </w:rPr>
              <w:t>26</w:t>
            </w:r>
            <w:r>
              <w:rPr>
                <w:rFonts w:cs="Arial"/>
              </w:rPr>
              <w:t>,</w:t>
            </w:r>
            <w:r w:rsidRPr="002E1D48">
              <w:rPr>
                <w:rFonts w:cs="Arial"/>
              </w:rPr>
              <w:t>176</w:t>
            </w:r>
          </w:p>
        </w:tc>
        <w:tc>
          <w:tcPr>
            <w:tcW w:w="1512" w:type="dxa"/>
            <w:tcBorders>
              <w:right w:val="single" w:sz="4" w:space="0" w:color="auto"/>
            </w:tcBorders>
            <w:shd w:val="clear" w:color="auto" w:fill="DBE5F1" w:themeFill="accent1" w:themeFillTint="33"/>
            <w:vAlign w:val="center"/>
          </w:tcPr>
          <w:p w14:paraId="0F757BBB"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(69.4%)</w:t>
            </w:r>
          </w:p>
        </w:tc>
        <w:tc>
          <w:tcPr>
            <w:tcW w:w="1512" w:type="dxa"/>
            <w:tcBorders>
              <w:right w:val="nil"/>
            </w:tcBorders>
            <w:shd w:val="clear" w:color="auto" w:fill="DBE5F1" w:themeFill="accent1" w:themeFillTint="33"/>
            <w:vAlign w:val="center"/>
          </w:tcPr>
          <w:p w14:paraId="29186C3B" w14:textId="77777777" w:rsidR="004C0858" w:rsidRPr="002E1D48" w:rsidRDefault="004C0858" w:rsidP="00CE2FDF">
            <w:pPr>
              <w:tabs>
                <w:tab w:val="left" w:pos="1134"/>
              </w:tabs>
              <w:spacing w:before="0" w:after="60" w:line="276" w:lineRule="auto"/>
              <w:jc w:val="right"/>
              <w:rPr>
                <w:rFonts w:cs="Arial"/>
              </w:rPr>
            </w:pPr>
            <w:r w:rsidRPr="002E1D48">
              <w:rPr>
                <w:rFonts w:cs="Arial"/>
              </w:rPr>
              <w:t>11</w:t>
            </w:r>
            <w:r>
              <w:rPr>
                <w:rFonts w:cs="Arial"/>
              </w:rPr>
              <w:t>,</w:t>
            </w:r>
            <w:r w:rsidRPr="002E1D48">
              <w:rPr>
                <w:rFonts w:cs="Arial"/>
              </w:rPr>
              <w:t>517</w:t>
            </w:r>
          </w:p>
        </w:tc>
        <w:tc>
          <w:tcPr>
            <w:tcW w:w="1512" w:type="dxa"/>
            <w:tcBorders>
              <w:left w:val="nil"/>
            </w:tcBorders>
            <w:shd w:val="clear" w:color="auto" w:fill="DBE5F1" w:themeFill="accent1" w:themeFillTint="33"/>
            <w:vAlign w:val="center"/>
          </w:tcPr>
          <w:p w14:paraId="28FCEF39"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(30.6%)</w:t>
            </w:r>
          </w:p>
        </w:tc>
        <w:tc>
          <w:tcPr>
            <w:tcW w:w="1512" w:type="dxa"/>
            <w:tcBorders>
              <w:left w:val="single" w:sz="4" w:space="0" w:color="auto"/>
            </w:tcBorders>
            <w:shd w:val="clear" w:color="auto" w:fill="DBE5F1" w:themeFill="accent1" w:themeFillTint="33"/>
            <w:noWrap/>
            <w:vAlign w:val="center"/>
            <w:hideMark/>
          </w:tcPr>
          <w:p w14:paraId="0A7224BE" w14:textId="77777777" w:rsidR="004C0858" w:rsidRPr="002E1D48" w:rsidRDefault="004C0858" w:rsidP="00CE2FDF">
            <w:pPr>
              <w:tabs>
                <w:tab w:val="left" w:pos="1134"/>
              </w:tabs>
              <w:spacing w:before="0" w:after="60" w:line="276" w:lineRule="auto"/>
              <w:jc w:val="right"/>
              <w:rPr>
                <w:rFonts w:cs="Arial"/>
              </w:rPr>
            </w:pPr>
            <w:r w:rsidRPr="002E1D48">
              <w:rPr>
                <w:rFonts w:cs="Arial"/>
              </w:rPr>
              <w:t>7</w:t>
            </w:r>
            <w:r>
              <w:rPr>
                <w:rFonts w:cs="Arial"/>
              </w:rPr>
              <w:t>,</w:t>
            </w:r>
            <w:r w:rsidRPr="002E1D48">
              <w:rPr>
                <w:rFonts w:cs="Arial"/>
              </w:rPr>
              <w:t>488</w:t>
            </w:r>
          </w:p>
        </w:tc>
        <w:tc>
          <w:tcPr>
            <w:tcW w:w="936" w:type="dxa"/>
            <w:tcBorders>
              <w:right w:val="single" w:sz="4" w:space="0" w:color="auto"/>
            </w:tcBorders>
            <w:shd w:val="clear" w:color="auto" w:fill="DBE5F1" w:themeFill="accent1" w:themeFillTint="33"/>
            <w:vAlign w:val="center"/>
          </w:tcPr>
          <w:p w14:paraId="57F847FE"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(19.9%)</w:t>
            </w:r>
          </w:p>
        </w:tc>
        <w:tc>
          <w:tcPr>
            <w:tcW w:w="2088" w:type="dxa"/>
            <w:tcBorders>
              <w:left w:val="single" w:sz="4" w:space="0" w:color="auto"/>
            </w:tcBorders>
            <w:shd w:val="clear" w:color="auto" w:fill="DBE5F1" w:themeFill="accent1" w:themeFillTint="33"/>
            <w:noWrap/>
            <w:vAlign w:val="center"/>
            <w:hideMark/>
          </w:tcPr>
          <w:p w14:paraId="6AEEB33D" w14:textId="77777777" w:rsidR="004C0858" w:rsidRPr="002E1D48" w:rsidRDefault="004C0858" w:rsidP="00CE2FDF">
            <w:pPr>
              <w:tabs>
                <w:tab w:val="left" w:pos="1134"/>
              </w:tabs>
              <w:spacing w:before="0" w:after="60" w:line="276" w:lineRule="auto"/>
              <w:jc w:val="right"/>
              <w:rPr>
                <w:rFonts w:cs="Arial"/>
              </w:rPr>
            </w:pPr>
            <w:r w:rsidRPr="002E1D48">
              <w:rPr>
                <w:rFonts w:cs="Arial"/>
              </w:rPr>
              <w:t>4</w:t>
            </w:r>
            <w:r>
              <w:rPr>
                <w:rFonts w:cs="Arial"/>
              </w:rPr>
              <w:t>,</w:t>
            </w:r>
            <w:r w:rsidRPr="002E1D48">
              <w:rPr>
                <w:rFonts w:cs="Arial"/>
              </w:rPr>
              <w:t>029</w:t>
            </w:r>
          </w:p>
        </w:tc>
        <w:tc>
          <w:tcPr>
            <w:tcW w:w="1512" w:type="dxa"/>
            <w:tcBorders>
              <w:right w:val="single" w:sz="4" w:space="0" w:color="auto"/>
            </w:tcBorders>
            <w:shd w:val="clear" w:color="auto" w:fill="DBE5F1" w:themeFill="accent1" w:themeFillTint="33"/>
            <w:vAlign w:val="center"/>
          </w:tcPr>
          <w:p w14:paraId="625F0E70" w14:textId="77777777" w:rsidR="004C0858" w:rsidRPr="004C0858" w:rsidRDefault="004C0858" w:rsidP="00CE2FDF">
            <w:pPr>
              <w:tabs>
                <w:tab w:val="left" w:pos="1134"/>
              </w:tabs>
              <w:spacing w:before="0" w:after="60" w:line="276" w:lineRule="auto"/>
              <w:jc w:val="right"/>
              <w:rPr>
                <w:rFonts w:cs="Arial"/>
              </w:rPr>
            </w:pPr>
            <w:r w:rsidRPr="004C0858">
              <w:rPr>
                <w:rFonts w:cs="Arial"/>
              </w:rPr>
              <w:t>(</w:t>
            </w:r>
            <w:r>
              <w:rPr>
                <w:rFonts w:cs="Arial"/>
              </w:rPr>
              <w:t>10.7</w:t>
            </w:r>
            <w:r w:rsidRPr="004C0858">
              <w:rPr>
                <w:rFonts w:cs="Arial"/>
              </w:rPr>
              <w:t>%)</w:t>
            </w:r>
          </w:p>
        </w:tc>
        <w:tc>
          <w:tcPr>
            <w:tcW w:w="1512" w:type="dxa"/>
            <w:tcBorders>
              <w:left w:val="single" w:sz="4" w:space="0" w:color="auto"/>
              <w:right w:val="single" w:sz="4" w:space="0" w:color="auto"/>
            </w:tcBorders>
            <w:shd w:val="clear" w:color="auto" w:fill="DBE5F1" w:themeFill="accent1" w:themeFillTint="33"/>
            <w:noWrap/>
            <w:vAlign w:val="center"/>
            <w:hideMark/>
          </w:tcPr>
          <w:p w14:paraId="73B9D273" w14:textId="77777777" w:rsidR="004C0858" w:rsidRPr="004C0858" w:rsidRDefault="004C0858" w:rsidP="00CE2FDF">
            <w:pPr>
              <w:tabs>
                <w:tab w:val="left" w:pos="1134"/>
              </w:tabs>
              <w:spacing w:before="0" w:after="60" w:line="276" w:lineRule="auto"/>
              <w:jc w:val="right"/>
              <w:rPr>
                <w:rFonts w:cs="Arial"/>
                <w:b/>
              </w:rPr>
            </w:pPr>
            <w:r w:rsidRPr="004C0858">
              <w:rPr>
                <w:rFonts w:cs="Arial"/>
                <w:b/>
              </w:rPr>
              <w:t>37</w:t>
            </w:r>
            <w:r w:rsidR="0045276E">
              <w:rPr>
                <w:rFonts w:cs="Arial"/>
                <w:b/>
              </w:rPr>
              <w:t>,</w:t>
            </w:r>
            <w:r w:rsidRPr="004C0858">
              <w:rPr>
                <w:rFonts w:cs="Arial"/>
                <w:b/>
              </w:rPr>
              <w:t>693</w:t>
            </w:r>
          </w:p>
        </w:tc>
      </w:tr>
      <w:tr w:rsidR="004C0858" w:rsidRPr="002E1D48" w14:paraId="0522DE9D" w14:textId="77777777" w:rsidTr="00F2009E">
        <w:trPr>
          <w:trHeight w:val="276"/>
        </w:trPr>
        <w:tc>
          <w:tcPr>
            <w:tcW w:w="918" w:type="dxa"/>
            <w:tcBorders>
              <w:left w:val="single" w:sz="4" w:space="0" w:color="auto"/>
              <w:right w:val="single" w:sz="4" w:space="0" w:color="auto"/>
            </w:tcBorders>
            <w:noWrap/>
            <w:vAlign w:val="center"/>
            <w:hideMark/>
          </w:tcPr>
          <w:p w14:paraId="2AC6380A" w14:textId="77777777" w:rsidR="004C0858" w:rsidRPr="004C0858" w:rsidRDefault="004C0858" w:rsidP="00CE2FDF">
            <w:pPr>
              <w:tabs>
                <w:tab w:val="left" w:pos="1134"/>
              </w:tabs>
              <w:spacing w:before="0" w:after="60" w:line="276" w:lineRule="auto"/>
              <w:rPr>
                <w:rFonts w:cs="Arial"/>
                <w:b/>
                <w:bCs/>
                <w:color w:val="000000"/>
              </w:rPr>
            </w:pPr>
            <w:r w:rsidRPr="004C0858">
              <w:rPr>
                <w:rFonts w:cs="Arial"/>
                <w:b/>
                <w:bCs/>
                <w:color w:val="000000"/>
              </w:rPr>
              <w:t>2007</w:t>
            </w:r>
          </w:p>
        </w:tc>
        <w:tc>
          <w:tcPr>
            <w:tcW w:w="1836" w:type="dxa"/>
            <w:tcBorders>
              <w:left w:val="single" w:sz="4" w:space="0" w:color="auto"/>
            </w:tcBorders>
            <w:noWrap/>
            <w:vAlign w:val="center"/>
            <w:hideMark/>
          </w:tcPr>
          <w:p w14:paraId="1160B466" w14:textId="77777777" w:rsidR="004C0858" w:rsidRPr="002E1D48" w:rsidRDefault="004C0858" w:rsidP="00CE2FDF">
            <w:pPr>
              <w:tabs>
                <w:tab w:val="left" w:pos="1134"/>
              </w:tabs>
              <w:spacing w:before="0" w:after="60" w:line="276" w:lineRule="auto"/>
              <w:jc w:val="right"/>
              <w:rPr>
                <w:rFonts w:cs="Arial"/>
              </w:rPr>
            </w:pPr>
            <w:r w:rsidRPr="002E1D48">
              <w:rPr>
                <w:rFonts w:cs="Arial"/>
              </w:rPr>
              <w:t>27</w:t>
            </w:r>
            <w:r>
              <w:rPr>
                <w:rFonts w:cs="Arial"/>
              </w:rPr>
              <w:t>,</w:t>
            </w:r>
            <w:r w:rsidRPr="002E1D48">
              <w:rPr>
                <w:rFonts w:cs="Arial"/>
              </w:rPr>
              <w:t>638</w:t>
            </w:r>
          </w:p>
        </w:tc>
        <w:tc>
          <w:tcPr>
            <w:tcW w:w="1512" w:type="dxa"/>
            <w:tcBorders>
              <w:right w:val="single" w:sz="4" w:space="0" w:color="auto"/>
            </w:tcBorders>
            <w:vAlign w:val="center"/>
          </w:tcPr>
          <w:p w14:paraId="45F55B96"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(71.3%)</w:t>
            </w:r>
          </w:p>
        </w:tc>
        <w:tc>
          <w:tcPr>
            <w:tcW w:w="1512" w:type="dxa"/>
            <w:vAlign w:val="center"/>
          </w:tcPr>
          <w:p w14:paraId="70C75B9C" w14:textId="77777777" w:rsidR="004C0858" w:rsidRPr="002E1D48" w:rsidRDefault="004C0858" w:rsidP="00CE2FDF">
            <w:pPr>
              <w:tabs>
                <w:tab w:val="left" w:pos="1134"/>
              </w:tabs>
              <w:spacing w:before="0" w:after="60" w:line="276" w:lineRule="auto"/>
              <w:jc w:val="right"/>
              <w:rPr>
                <w:rFonts w:cs="Arial"/>
              </w:rPr>
            </w:pPr>
            <w:r w:rsidRPr="002E1D48">
              <w:rPr>
                <w:rFonts w:cs="Arial"/>
              </w:rPr>
              <w:t>11</w:t>
            </w:r>
            <w:r>
              <w:rPr>
                <w:rFonts w:cs="Arial"/>
              </w:rPr>
              <w:t>,</w:t>
            </w:r>
            <w:r w:rsidRPr="002E1D48">
              <w:rPr>
                <w:rFonts w:cs="Arial"/>
              </w:rPr>
              <w:t>136</w:t>
            </w:r>
          </w:p>
        </w:tc>
        <w:tc>
          <w:tcPr>
            <w:tcW w:w="1512" w:type="dxa"/>
            <w:vAlign w:val="center"/>
          </w:tcPr>
          <w:p w14:paraId="2B1272DF"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(28.7%)</w:t>
            </w:r>
          </w:p>
        </w:tc>
        <w:tc>
          <w:tcPr>
            <w:tcW w:w="1512" w:type="dxa"/>
            <w:tcBorders>
              <w:left w:val="single" w:sz="4" w:space="0" w:color="auto"/>
            </w:tcBorders>
            <w:noWrap/>
            <w:vAlign w:val="center"/>
            <w:hideMark/>
          </w:tcPr>
          <w:p w14:paraId="7DCDB0F2" w14:textId="77777777" w:rsidR="004C0858" w:rsidRPr="002E1D48" w:rsidRDefault="004C0858" w:rsidP="00CE2FDF">
            <w:pPr>
              <w:tabs>
                <w:tab w:val="left" w:pos="1134"/>
              </w:tabs>
              <w:spacing w:before="0" w:after="60" w:line="276" w:lineRule="auto"/>
              <w:jc w:val="right"/>
              <w:rPr>
                <w:rFonts w:cs="Arial"/>
              </w:rPr>
            </w:pPr>
            <w:r w:rsidRPr="002E1D48">
              <w:rPr>
                <w:rFonts w:cs="Arial"/>
              </w:rPr>
              <w:t>7</w:t>
            </w:r>
            <w:r>
              <w:rPr>
                <w:rFonts w:cs="Arial"/>
              </w:rPr>
              <w:t>,</w:t>
            </w:r>
            <w:r w:rsidRPr="002E1D48">
              <w:rPr>
                <w:rFonts w:cs="Arial"/>
              </w:rPr>
              <w:t>132</w:t>
            </w:r>
          </w:p>
        </w:tc>
        <w:tc>
          <w:tcPr>
            <w:tcW w:w="936" w:type="dxa"/>
            <w:tcBorders>
              <w:right w:val="single" w:sz="4" w:space="0" w:color="auto"/>
            </w:tcBorders>
            <w:vAlign w:val="center"/>
          </w:tcPr>
          <w:p w14:paraId="570A2F3F"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(18.4%)</w:t>
            </w:r>
          </w:p>
        </w:tc>
        <w:tc>
          <w:tcPr>
            <w:tcW w:w="2088" w:type="dxa"/>
            <w:tcBorders>
              <w:left w:val="single" w:sz="4" w:space="0" w:color="auto"/>
            </w:tcBorders>
            <w:noWrap/>
            <w:vAlign w:val="center"/>
            <w:hideMark/>
          </w:tcPr>
          <w:p w14:paraId="3CC35D20" w14:textId="77777777" w:rsidR="004C0858" w:rsidRPr="002E1D48" w:rsidRDefault="004C0858" w:rsidP="00CE2FDF">
            <w:pPr>
              <w:tabs>
                <w:tab w:val="left" w:pos="1134"/>
              </w:tabs>
              <w:spacing w:before="0" w:after="60" w:line="276" w:lineRule="auto"/>
              <w:jc w:val="right"/>
              <w:rPr>
                <w:rFonts w:cs="Arial"/>
              </w:rPr>
            </w:pPr>
            <w:r w:rsidRPr="002E1D48">
              <w:rPr>
                <w:rFonts w:cs="Arial"/>
              </w:rPr>
              <w:t>4</w:t>
            </w:r>
            <w:r>
              <w:rPr>
                <w:rFonts w:cs="Arial"/>
              </w:rPr>
              <w:t>,</w:t>
            </w:r>
            <w:r w:rsidRPr="002E1D48">
              <w:rPr>
                <w:rFonts w:cs="Arial"/>
              </w:rPr>
              <w:t>004</w:t>
            </w:r>
          </w:p>
        </w:tc>
        <w:tc>
          <w:tcPr>
            <w:tcW w:w="1512" w:type="dxa"/>
            <w:tcBorders>
              <w:right w:val="single" w:sz="4" w:space="0" w:color="auto"/>
            </w:tcBorders>
            <w:vAlign w:val="center"/>
          </w:tcPr>
          <w:p w14:paraId="2DD87B47" w14:textId="77777777" w:rsidR="004C0858" w:rsidRPr="004C0858" w:rsidRDefault="004C0858" w:rsidP="00CE2FDF">
            <w:pPr>
              <w:tabs>
                <w:tab w:val="left" w:pos="1134"/>
              </w:tabs>
              <w:spacing w:before="0" w:after="60" w:line="276" w:lineRule="auto"/>
              <w:jc w:val="right"/>
              <w:rPr>
                <w:rFonts w:cs="Arial"/>
              </w:rPr>
            </w:pPr>
            <w:r w:rsidRPr="004C0858">
              <w:rPr>
                <w:rFonts w:cs="Arial"/>
              </w:rPr>
              <w:t>(</w:t>
            </w:r>
            <w:r>
              <w:rPr>
                <w:rFonts w:cs="Arial"/>
              </w:rPr>
              <w:t>10.3</w:t>
            </w:r>
            <w:r w:rsidRPr="004C0858">
              <w:rPr>
                <w:rFonts w:cs="Arial"/>
              </w:rPr>
              <w:t>%)</w:t>
            </w:r>
          </w:p>
        </w:tc>
        <w:tc>
          <w:tcPr>
            <w:tcW w:w="1512" w:type="dxa"/>
            <w:tcBorders>
              <w:left w:val="single" w:sz="4" w:space="0" w:color="auto"/>
              <w:right w:val="single" w:sz="4" w:space="0" w:color="auto"/>
            </w:tcBorders>
            <w:noWrap/>
            <w:vAlign w:val="center"/>
            <w:hideMark/>
          </w:tcPr>
          <w:p w14:paraId="64FE26C9" w14:textId="77777777" w:rsidR="004C0858" w:rsidRPr="004C0858" w:rsidRDefault="004C0858" w:rsidP="00CE2FDF">
            <w:pPr>
              <w:tabs>
                <w:tab w:val="left" w:pos="1134"/>
              </w:tabs>
              <w:spacing w:before="0" w:after="60" w:line="276" w:lineRule="auto"/>
              <w:jc w:val="right"/>
              <w:rPr>
                <w:rFonts w:cs="Arial"/>
                <w:b/>
              </w:rPr>
            </w:pPr>
            <w:r w:rsidRPr="004C0858">
              <w:rPr>
                <w:rFonts w:cs="Arial"/>
                <w:b/>
              </w:rPr>
              <w:t>38</w:t>
            </w:r>
            <w:r w:rsidR="0045276E">
              <w:rPr>
                <w:rFonts w:cs="Arial"/>
                <w:b/>
              </w:rPr>
              <w:t>,</w:t>
            </w:r>
            <w:r w:rsidRPr="004C0858">
              <w:rPr>
                <w:rFonts w:cs="Arial"/>
                <w:b/>
              </w:rPr>
              <w:t>774</w:t>
            </w:r>
          </w:p>
        </w:tc>
      </w:tr>
      <w:tr w:rsidR="004C0858" w:rsidRPr="002E1D48" w14:paraId="6029FA1B" w14:textId="77777777" w:rsidTr="00F2009E">
        <w:trPr>
          <w:trHeight w:val="276"/>
        </w:trPr>
        <w:tc>
          <w:tcPr>
            <w:tcW w:w="918" w:type="dxa"/>
            <w:tcBorders>
              <w:left w:val="single" w:sz="4" w:space="0" w:color="auto"/>
              <w:right w:val="single" w:sz="4" w:space="0" w:color="auto"/>
            </w:tcBorders>
            <w:shd w:val="clear" w:color="auto" w:fill="DBE5F1" w:themeFill="accent1" w:themeFillTint="33"/>
            <w:noWrap/>
            <w:vAlign w:val="center"/>
            <w:hideMark/>
          </w:tcPr>
          <w:p w14:paraId="25C2EE99" w14:textId="77777777" w:rsidR="004C0858" w:rsidRPr="004C0858" w:rsidRDefault="004C0858" w:rsidP="00CE2FDF">
            <w:pPr>
              <w:tabs>
                <w:tab w:val="left" w:pos="1134"/>
              </w:tabs>
              <w:spacing w:before="0" w:after="60" w:line="276" w:lineRule="auto"/>
              <w:rPr>
                <w:rFonts w:cs="Arial"/>
                <w:b/>
                <w:bCs/>
                <w:color w:val="000000"/>
              </w:rPr>
            </w:pPr>
            <w:r w:rsidRPr="004C0858">
              <w:rPr>
                <w:rFonts w:cs="Arial"/>
                <w:b/>
                <w:bCs/>
                <w:color w:val="000000"/>
              </w:rPr>
              <w:t>2008</w:t>
            </w:r>
          </w:p>
        </w:tc>
        <w:tc>
          <w:tcPr>
            <w:tcW w:w="1836" w:type="dxa"/>
            <w:tcBorders>
              <w:left w:val="single" w:sz="4" w:space="0" w:color="auto"/>
            </w:tcBorders>
            <w:shd w:val="clear" w:color="auto" w:fill="DBE5F1" w:themeFill="accent1" w:themeFillTint="33"/>
            <w:noWrap/>
            <w:vAlign w:val="center"/>
            <w:hideMark/>
          </w:tcPr>
          <w:p w14:paraId="42483AF3" w14:textId="77777777" w:rsidR="004C0858" w:rsidRPr="002E1D48" w:rsidRDefault="004C0858" w:rsidP="00CE2FDF">
            <w:pPr>
              <w:tabs>
                <w:tab w:val="left" w:pos="1134"/>
              </w:tabs>
              <w:spacing w:before="0" w:after="60" w:line="276" w:lineRule="auto"/>
              <w:jc w:val="right"/>
              <w:rPr>
                <w:rFonts w:cs="Arial"/>
              </w:rPr>
            </w:pPr>
            <w:r w:rsidRPr="002E1D48">
              <w:rPr>
                <w:rFonts w:cs="Arial"/>
              </w:rPr>
              <w:t>30</w:t>
            </w:r>
            <w:r>
              <w:rPr>
                <w:rFonts w:cs="Arial"/>
              </w:rPr>
              <w:t>,</w:t>
            </w:r>
            <w:r w:rsidRPr="002E1D48">
              <w:rPr>
                <w:rFonts w:cs="Arial"/>
              </w:rPr>
              <w:t>229</w:t>
            </w:r>
          </w:p>
        </w:tc>
        <w:tc>
          <w:tcPr>
            <w:tcW w:w="1512" w:type="dxa"/>
            <w:tcBorders>
              <w:right w:val="single" w:sz="4" w:space="0" w:color="auto"/>
            </w:tcBorders>
            <w:shd w:val="clear" w:color="auto" w:fill="DBE5F1" w:themeFill="accent1" w:themeFillTint="33"/>
            <w:vAlign w:val="center"/>
          </w:tcPr>
          <w:p w14:paraId="680A4E2C"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(72.5%)</w:t>
            </w:r>
          </w:p>
        </w:tc>
        <w:tc>
          <w:tcPr>
            <w:tcW w:w="1512" w:type="dxa"/>
            <w:tcBorders>
              <w:right w:val="nil"/>
            </w:tcBorders>
            <w:shd w:val="clear" w:color="auto" w:fill="DBE5F1" w:themeFill="accent1" w:themeFillTint="33"/>
            <w:vAlign w:val="center"/>
          </w:tcPr>
          <w:p w14:paraId="6E65DC47" w14:textId="77777777" w:rsidR="004C0858" w:rsidRPr="002E1D48" w:rsidRDefault="004C0858" w:rsidP="00CE2FDF">
            <w:pPr>
              <w:tabs>
                <w:tab w:val="left" w:pos="1134"/>
              </w:tabs>
              <w:spacing w:before="0" w:after="60" w:line="276" w:lineRule="auto"/>
              <w:jc w:val="right"/>
              <w:rPr>
                <w:rFonts w:cs="Arial"/>
              </w:rPr>
            </w:pPr>
            <w:r w:rsidRPr="002E1D48">
              <w:rPr>
                <w:rFonts w:cs="Arial"/>
              </w:rPr>
              <w:t>11</w:t>
            </w:r>
            <w:r>
              <w:rPr>
                <w:rFonts w:cs="Arial"/>
              </w:rPr>
              <w:t>,</w:t>
            </w:r>
            <w:r w:rsidRPr="002E1D48">
              <w:rPr>
                <w:rFonts w:cs="Arial"/>
              </w:rPr>
              <w:t>466</w:t>
            </w:r>
          </w:p>
        </w:tc>
        <w:tc>
          <w:tcPr>
            <w:tcW w:w="1512" w:type="dxa"/>
            <w:tcBorders>
              <w:left w:val="nil"/>
            </w:tcBorders>
            <w:shd w:val="clear" w:color="auto" w:fill="DBE5F1" w:themeFill="accent1" w:themeFillTint="33"/>
            <w:vAlign w:val="center"/>
          </w:tcPr>
          <w:p w14:paraId="54C07804"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(27.5%)</w:t>
            </w:r>
          </w:p>
        </w:tc>
        <w:tc>
          <w:tcPr>
            <w:tcW w:w="1512" w:type="dxa"/>
            <w:tcBorders>
              <w:left w:val="single" w:sz="4" w:space="0" w:color="auto"/>
            </w:tcBorders>
            <w:shd w:val="clear" w:color="auto" w:fill="DBE5F1" w:themeFill="accent1" w:themeFillTint="33"/>
            <w:noWrap/>
            <w:vAlign w:val="center"/>
            <w:hideMark/>
          </w:tcPr>
          <w:p w14:paraId="76C924C4" w14:textId="77777777" w:rsidR="004C0858" w:rsidRPr="002E1D48" w:rsidRDefault="004C0858" w:rsidP="00CE2FDF">
            <w:pPr>
              <w:tabs>
                <w:tab w:val="left" w:pos="1134"/>
              </w:tabs>
              <w:spacing w:before="0" w:after="60" w:line="276" w:lineRule="auto"/>
              <w:jc w:val="right"/>
              <w:rPr>
                <w:rFonts w:cs="Arial"/>
              </w:rPr>
            </w:pPr>
            <w:r w:rsidRPr="002E1D48">
              <w:rPr>
                <w:rFonts w:cs="Arial"/>
              </w:rPr>
              <w:t>7</w:t>
            </w:r>
            <w:r>
              <w:rPr>
                <w:rFonts w:cs="Arial"/>
              </w:rPr>
              <w:t>,</w:t>
            </w:r>
            <w:r w:rsidRPr="002E1D48">
              <w:rPr>
                <w:rFonts w:cs="Arial"/>
              </w:rPr>
              <w:t>019</w:t>
            </w:r>
          </w:p>
        </w:tc>
        <w:tc>
          <w:tcPr>
            <w:tcW w:w="936" w:type="dxa"/>
            <w:tcBorders>
              <w:right w:val="single" w:sz="4" w:space="0" w:color="auto"/>
            </w:tcBorders>
            <w:shd w:val="clear" w:color="auto" w:fill="DBE5F1" w:themeFill="accent1" w:themeFillTint="33"/>
            <w:vAlign w:val="center"/>
          </w:tcPr>
          <w:p w14:paraId="1D9461F3"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(16.8%)</w:t>
            </w:r>
          </w:p>
        </w:tc>
        <w:tc>
          <w:tcPr>
            <w:tcW w:w="2088" w:type="dxa"/>
            <w:tcBorders>
              <w:left w:val="single" w:sz="4" w:space="0" w:color="auto"/>
            </w:tcBorders>
            <w:shd w:val="clear" w:color="auto" w:fill="DBE5F1" w:themeFill="accent1" w:themeFillTint="33"/>
            <w:noWrap/>
            <w:vAlign w:val="center"/>
            <w:hideMark/>
          </w:tcPr>
          <w:p w14:paraId="607E6CBC" w14:textId="77777777" w:rsidR="004C0858" w:rsidRPr="002E1D48" w:rsidRDefault="004C0858" w:rsidP="00CE2FDF">
            <w:pPr>
              <w:tabs>
                <w:tab w:val="left" w:pos="1134"/>
              </w:tabs>
              <w:spacing w:before="0" w:after="60" w:line="276" w:lineRule="auto"/>
              <w:jc w:val="right"/>
              <w:rPr>
                <w:rFonts w:cs="Arial"/>
              </w:rPr>
            </w:pPr>
            <w:r w:rsidRPr="002E1D48">
              <w:rPr>
                <w:rFonts w:cs="Arial"/>
              </w:rPr>
              <w:t>4</w:t>
            </w:r>
            <w:r>
              <w:rPr>
                <w:rFonts w:cs="Arial"/>
              </w:rPr>
              <w:t>,</w:t>
            </w:r>
            <w:r w:rsidRPr="002E1D48">
              <w:rPr>
                <w:rFonts w:cs="Arial"/>
              </w:rPr>
              <w:t>447</w:t>
            </w:r>
          </w:p>
        </w:tc>
        <w:tc>
          <w:tcPr>
            <w:tcW w:w="1512" w:type="dxa"/>
            <w:tcBorders>
              <w:right w:val="single" w:sz="4" w:space="0" w:color="auto"/>
            </w:tcBorders>
            <w:shd w:val="clear" w:color="auto" w:fill="DBE5F1" w:themeFill="accent1" w:themeFillTint="33"/>
            <w:vAlign w:val="center"/>
          </w:tcPr>
          <w:p w14:paraId="6D1E50BF" w14:textId="77777777" w:rsidR="004C0858" w:rsidRPr="004C0858" w:rsidRDefault="004C0858" w:rsidP="00CE2FDF">
            <w:pPr>
              <w:tabs>
                <w:tab w:val="left" w:pos="1134"/>
              </w:tabs>
              <w:spacing w:before="0" w:after="60" w:line="276" w:lineRule="auto"/>
              <w:jc w:val="right"/>
              <w:rPr>
                <w:rFonts w:cs="Arial"/>
              </w:rPr>
            </w:pPr>
            <w:r w:rsidRPr="004C0858">
              <w:rPr>
                <w:rFonts w:cs="Arial"/>
              </w:rPr>
              <w:t>(</w:t>
            </w:r>
            <w:r>
              <w:rPr>
                <w:rFonts w:cs="Arial"/>
              </w:rPr>
              <w:t>10.7</w:t>
            </w:r>
            <w:r w:rsidRPr="004C0858">
              <w:rPr>
                <w:rFonts w:cs="Arial"/>
              </w:rPr>
              <w:t>%)</w:t>
            </w:r>
          </w:p>
        </w:tc>
        <w:tc>
          <w:tcPr>
            <w:tcW w:w="1512" w:type="dxa"/>
            <w:tcBorders>
              <w:left w:val="single" w:sz="4" w:space="0" w:color="auto"/>
              <w:right w:val="single" w:sz="4" w:space="0" w:color="auto"/>
            </w:tcBorders>
            <w:shd w:val="clear" w:color="auto" w:fill="DBE5F1" w:themeFill="accent1" w:themeFillTint="33"/>
            <w:noWrap/>
            <w:vAlign w:val="center"/>
            <w:hideMark/>
          </w:tcPr>
          <w:p w14:paraId="3F0C912B" w14:textId="77777777" w:rsidR="004C0858" w:rsidRPr="004C0858" w:rsidRDefault="004C0858" w:rsidP="00CE2FDF">
            <w:pPr>
              <w:tabs>
                <w:tab w:val="left" w:pos="1134"/>
              </w:tabs>
              <w:spacing w:before="0" w:after="60" w:line="276" w:lineRule="auto"/>
              <w:jc w:val="right"/>
              <w:rPr>
                <w:rFonts w:cs="Arial"/>
                <w:b/>
              </w:rPr>
            </w:pPr>
            <w:r w:rsidRPr="004C0858">
              <w:rPr>
                <w:rFonts w:cs="Arial"/>
                <w:b/>
              </w:rPr>
              <w:t>41</w:t>
            </w:r>
            <w:r w:rsidR="0045276E">
              <w:rPr>
                <w:rFonts w:cs="Arial"/>
                <w:b/>
              </w:rPr>
              <w:t>,</w:t>
            </w:r>
            <w:r w:rsidRPr="004C0858">
              <w:rPr>
                <w:rFonts w:cs="Arial"/>
                <w:b/>
              </w:rPr>
              <w:t>695</w:t>
            </w:r>
          </w:p>
        </w:tc>
      </w:tr>
      <w:tr w:rsidR="004C0858" w:rsidRPr="002E1D48" w14:paraId="4B777B0B" w14:textId="77777777" w:rsidTr="00F2009E">
        <w:trPr>
          <w:trHeight w:val="276"/>
        </w:trPr>
        <w:tc>
          <w:tcPr>
            <w:tcW w:w="918" w:type="dxa"/>
            <w:tcBorders>
              <w:left w:val="single" w:sz="4" w:space="0" w:color="auto"/>
              <w:right w:val="single" w:sz="4" w:space="0" w:color="auto"/>
            </w:tcBorders>
            <w:noWrap/>
            <w:vAlign w:val="center"/>
            <w:hideMark/>
          </w:tcPr>
          <w:p w14:paraId="456CD5B2" w14:textId="77777777" w:rsidR="004C0858" w:rsidRPr="004C0858" w:rsidRDefault="004C0858" w:rsidP="00CE2FDF">
            <w:pPr>
              <w:tabs>
                <w:tab w:val="left" w:pos="1134"/>
              </w:tabs>
              <w:spacing w:before="0" w:after="60" w:line="276" w:lineRule="auto"/>
              <w:rPr>
                <w:rFonts w:cs="Arial"/>
                <w:b/>
                <w:bCs/>
                <w:color w:val="000000"/>
              </w:rPr>
            </w:pPr>
            <w:r w:rsidRPr="004C0858">
              <w:rPr>
                <w:rFonts w:cs="Arial"/>
                <w:b/>
                <w:bCs/>
                <w:color w:val="000000"/>
              </w:rPr>
              <w:t>2009</w:t>
            </w:r>
          </w:p>
        </w:tc>
        <w:tc>
          <w:tcPr>
            <w:tcW w:w="1836" w:type="dxa"/>
            <w:tcBorders>
              <w:left w:val="single" w:sz="4" w:space="0" w:color="auto"/>
            </w:tcBorders>
            <w:noWrap/>
            <w:vAlign w:val="center"/>
            <w:hideMark/>
          </w:tcPr>
          <w:p w14:paraId="7B4ED91D" w14:textId="77777777" w:rsidR="004C0858" w:rsidRPr="002E1D48" w:rsidRDefault="004C0858" w:rsidP="00CE2FDF">
            <w:pPr>
              <w:tabs>
                <w:tab w:val="left" w:pos="1134"/>
              </w:tabs>
              <w:spacing w:before="0" w:after="60" w:line="276" w:lineRule="auto"/>
              <w:jc w:val="right"/>
              <w:rPr>
                <w:rFonts w:cs="Arial"/>
              </w:rPr>
            </w:pPr>
            <w:r w:rsidRPr="002E1D48">
              <w:rPr>
                <w:rFonts w:cs="Arial"/>
              </w:rPr>
              <w:t>33</w:t>
            </w:r>
            <w:r>
              <w:rPr>
                <w:rFonts w:cs="Arial"/>
              </w:rPr>
              <w:t>,</w:t>
            </w:r>
            <w:r w:rsidRPr="002E1D48">
              <w:rPr>
                <w:rFonts w:cs="Arial"/>
              </w:rPr>
              <w:t>101</w:t>
            </w:r>
          </w:p>
        </w:tc>
        <w:tc>
          <w:tcPr>
            <w:tcW w:w="1512" w:type="dxa"/>
            <w:tcBorders>
              <w:right w:val="single" w:sz="4" w:space="0" w:color="auto"/>
            </w:tcBorders>
            <w:vAlign w:val="center"/>
          </w:tcPr>
          <w:p w14:paraId="1AEC2A5E"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(73.9%)</w:t>
            </w:r>
          </w:p>
        </w:tc>
        <w:tc>
          <w:tcPr>
            <w:tcW w:w="1512" w:type="dxa"/>
            <w:vAlign w:val="center"/>
          </w:tcPr>
          <w:p w14:paraId="7122234D" w14:textId="77777777" w:rsidR="004C0858" w:rsidRPr="002E1D48" w:rsidRDefault="004C0858" w:rsidP="00CE2FDF">
            <w:pPr>
              <w:tabs>
                <w:tab w:val="left" w:pos="1134"/>
              </w:tabs>
              <w:spacing w:before="0" w:after="60" w:line="276" w:lineRule="auto"/>
              <w:jc w:val="right"/>
              <w:rPr>
                <w:rFonts w:cs="Arial"/>
              </w:rPr>
            </w:pPr>
            <w:r w:rsidRPr="002E1D48">
              <w:rPr>
                <w:rFonts w:cs="Arial"/>
              </w:rPr>
              <w:t>11</w:t>
            </w:r>
            <w:r>
              <w:rPr>
                <w:rFonts w:cs="Arial"/>
              </w:rPr>
              <w:t>,</w:t>
            </w:r>
            <w:r w:rsidRPr="002E1D48">
              <w:rPr>
                <w:rFonts w:cs="Arial"/>
              </w:rPr>
              <w:t>669</w:t>
            </w:r>
          </w:p>
        </w:tc>
        <w:tc>
          <w:tcPr>
            <w:tcW w:w="1512" w:type="dxa"/>
            <w:vAlign w:val="center"/>
          </w:tcPr>
          <w:p w14:paraId="45B121EE"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(26.1%)</w:t>
            </w:r>
          </w:p>
        </w:tc>
        <w:tc>
          <w:tcPr>
            <w:tcW w:w="1512" w:type="dxa"/>
            <w:tcBorders>
              <w:left w:val="single" w:sz="4" w:space="0" w:color="auto"/>
            </w:tcBorders>
            <w:noWrap/>
            <w:vAlign w:val="center"/>
            <w:hideMark/>
          </w:tcPr>
          <w:p w14:paraId="376F8319" w14:textId="77777777" w:rsidR="004C0858" w:rsidRPr="002E1D48" w:rsidRDefault="004C0858" w:rsidP="00CE2FDF">
            <w:pPr>
              <w:tabs>
                <w:tab w:val="left" w:pos="1134"/>
              </w:tabs>
              <w:spacing w:before="0" w:after="60" w:line="276" w:lineRule="auto"/>
              <w:jc w:val="right"/>
              <w:rPr>
                <w:rFonts w:cs="Arial"/>
              </w:rPr>
            </w:pPr>
            <w:r w:rsidRPr="002E1D48">
              <w:rPr>
                <w:rFonts w:cs="Arial"/>
              </w:rPr>
              <w:t>6</w:t>
            </w:r>
            <w:r>
              <w:rPr>
                <w:rFonts w:cs="Arial"/>
              </w:rPr>
              <w:t>,</w:t>
            </w:r>
            <w:r w:rsidRPr="002E1D48">
              <w:rPr>
                <w:rFonts w:cs="Arial"/>
              </w:rPr>
              <w:t>782</w:t>
            </w:r>
          </w:p>
        </w:tc>
        <w:tc>
          <w:tcPr>
            <w:tcW w:w="936" w:type="dxa"/>
            <w:tcBorders>
              <w:right w:val="single" w:sz="4" w:space="0" w:color="auto"/>
            </w:tcBorders>
            <w:vAlign w:val="center"/>
          </w:tcPr>
          <w:p w14:paraId="4C05358A"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(15.1%)</w:t>
            </w:r>
          </w:p>
        </w:tc>
        <w:tc>
          <w:tcPr>
            <w:tcW w:w="2088" w:type="dxa"/>
            <w:tcBorders>
              <w:left w:val="single" w:sz="4" w:space="0" w:color="auto"/>
            </w:tcBorders>
            <w:noWrap/>
            <w:vAlign w:val="center"/>
            <w:hideMark/>
          </w:tcPr>
          <w:p w14:paraId="7EE3D8B4" w14:textId="77777777" w:rsidR="004C0858" w:rsidRPr="002E1D48" w:rsidRDefault="004C0858" w:rsidP="00CE2FDF">
            <w:pPr>
              <w:tabs>
                <w:tab w:val="left" w:pos="1134"/>
              </w:tabs>
              <w:spacing w:before="0" w:after="60" w:line="276" w:lineRule="auto"/>
              <w:jc w:val="right"/>
              <w:rPr>
                <w:rFonts w:cs="Arial"/>
              </w:rPr>
            </w:pPr>
            <w:r w:rsidRPr="002E1D48">
              <w:rPr>
                <w:rFonts w:cs="Arial"/>
              </w:rPr>
              <w:t>4</w:t>
            </w:r>
            <w:r>
              <w:rPr>
                <w:rFonts w:cs="Arial"/>
              </w:rPr>
              <w:t>,</w:t>
            </w:r>
            <w:r w:rsidRPr="002E1D48">
              <w:rPr>
                <w:rFonts w:cs="Arial"/>
              </w:rPr>
              <w:t>887</w:t>
            </w:r>
          </w:p>
        </w:tc>
        <w:tc>
          <w:tcPr>
            <w:tcW w:w="1512" w:type="dxa"/>
            <w:tcBorders>
              <w:right w:val="single" w:sz="4" w:space="0" w:color="auto"/>
            </w:tcBorders>
            <w:vAlign w:val="center"/>
          </w:tcPr>
          <w:p w14:paraId="05FD6EF9" w14:textId="77777777" w:rsidR="004C0858" w:rsidRPr="004C0858" w:rsidRDefault="004C0858" w:rsidP="00CE2FDF">
            <w:pPr>
              <w:tabs>
                <w:tab w:val="left" w:pos="1134"/>
              </w:tabs>
              <w:spacing w:before="0" w:after="60" w:line="276" w:lineRule="auto"/>
              <w:jc w:val="right"/>
              <w:rPr>
                <w:rFonts w:cs="Arial"/>
              </w:rPr>
            </w:pPr>
            <w:r w:rsidRPr="004C0858">
              <w:rPr>
                <w:rFonts w:cs="Arial"/>
              </w:rPr>
              <w:t>(</w:t>
            </w:r>
            <w:r>
              <w:rPr>
                <w:rFonts w:cs="Arial"/>
              </w:rPr>
              <w:t>10.9</w:t>
            </w:r>
            <w:r w:rsidRPr="004C0858">
              <w:rPr>
                <w:rFonts w:cs="Arial"/>
              </w:rPr>
              <w:t>%)</w:t>
            </w:r>
          </w:p>
        </w:tc>
        <w:tc>
          <w:tcPr>
            <w:tcW w:w="1512" w:type="dxa"/>
            <w:tcBorders>
              <w:left w:val="single" w:sz="4" w:space="0" w:color="auto"/>
              <w:right w:val="single" w:sz="4" w:space="0" w:color="auto"/>
            </w:tcBorders>
            <w:noWrap/>
            <w:vAlign w:val="center"/>
            <w:hideMark/>
          </w:tcPr>
          <w:p w14:paraId="66970A6A" w14:textId="77777777" w:rsidR="004C0858" w:rsidRPr="004C0858" w:rsidRDefault="004C0858" w:rsidP="00CE2FDF">
            <w:pPr>
              <w:tabs>
                <w:tab w:val="left" w:pos="1134"/>
              </w:tabs>
              <w:spacing w:before="0" w:after="60" w:line="276" w:lineRule="auto"/>
              <w:jc w:val="right"/>
              <w:rPr>
                <w:rFonts w:cs="Arial"/>
                <w:b/>
              </w:rPr>
            </w:pPr>
            <w:r w:rsidRPr="004C0858">
              <w:rPr>
                <w:rFonts w:cs="Arial"/>
                <w:b/>
              </w:rPr>
              <w:t>44</w:t>
            </w:r>
            <w:r w:rsidR="0045276E">
              <w:rPr>
                <w:rFonts w:cs="Arial"/>
                <w:b/>
              </w:rPr>
              <w:t>,</w:t>
            </w:r>
            <w:r w:rsidRPr="004C0858">
              <w:rPr>
                <w:rFonts w:cs="Arial"/>
                <w:b/>
              </w:rPr>
              <w:t>770</w:t>
            </w:r>
          </w:p>
        </w:tc>
      </w:tr>
      <w:tr w:rsidR="004C0858" w:rsidRPr="002E1D48" w14:paraId="6EF25817" w14:textId="77777777" w:rsidTr="00F2009E">
        <w:trPr>
          <w:trHeight w:val="276"/>
        </w:trPr>
        <w:tc>
          <w:tcPr>
            <w:tcW w:w="918" w:type="dxa"/>
            <w:tcBorders>
              <w:left w:val="single" w:sz="4" w:space="0" w:color="auto"/>
              <w:right w:val="single" w:sz="4" w:space="0" w:color="auto"/>
            </w:tcBorders>
            <w:shd w:val="clear" w:color="auto" w:fill="DBE5F1" w:themeFill="accent1" w:themeFillTint="33"/>
            <w:noWrap/>
            <w:vAlign w:val="center"/>
            <w:hideMark/>
          </w:tcPr>
          <w:p w14:paraId="41B83C79" w14:textId="77777777" w:rsidR="004C0858" w:rsidRPr="004C0858" w:rsidRDefault="004C0858" w:rsidP="00CE2FDF">
            <w:pPr>
              <w:tabs>
                <w:tab w:val="left" w:pos="1134"/>
              </w:tabs>
              <w:spacing w:before="0" w:after="60" w:line="276" w:lineRule="auto"/>
              <w:rPr>
                <w:rFonts w:cs="Arial"/>
                <w:b/>
                <w:bCs/>
                <w:color w:val="000000"/>
              </w:rPr>
            </w:pPr>
            <w:r w:rsidRPr="004C0858">
              <w:rPr>
                <w:rFonts w:cs="Arial"/>
                <w:b/>
                <w:bCs/>
                <w:color w:val="000000"/>
              </w:rPr>
              <w:t>2010</w:t>
            </w:r>
          </w:p>
        </w:tc>
        <w:tc>
          <w:tcPr>
            <w:tcW w:w="1836" w:type="dxa"/>
            <w:tcBorders>
              <w:left w:val="single" w:sz="4" w:space="0" w:color="auto"/>
            </w:tcBorders>
            <w:shd w:val="clear" w:color="auto" w:fill="DBE5F1" w:themeFill="accent1" w:themeFillTint="33"/>
            <w:noWrap/>
            <w:vAlign w:val="center"/>
            <w:hideMark/>
          </w:tcPr>
          <w:p w14:paraId="53F4C1E0" w14:textId="77777777" w:rsidR="004C0858" w:rsidRPr="002E1D48" w:rsidRDefault="004C0858" w:rsidP="00CE2FDF">
            <w:pPr>
              <w:tabs>
                <w:tab w:val="left" w:pos="1134"/>
              </w:tabs>
              <w:spacing w:before="0" w:after="60" w:line="276" w:lineRule="auto"/>
              <w:jc w:val="right"/>
              <w:rPr>
                <w:rFonts w:cs="Arial"/>
              </w:rPr>
            </w:pPr>
            <w:r w:rsidRPr="002E1D48">
              <w:rPr>
                <w:rFonts w:cs="Arial"/>
              </w:rPr>
              <w:t>37</w:t>
            </w:r>
            <w:r>
              <w:rPr>
                <w:rFonts w:cs="Arial"/>
              </w:rPr>
              <w:t>,</w:t>
            </w:r>
            <w:r w:rsidRPr="002E1D48">
              <w:rPr>
                <w:rFonts w:cs="Arial"/>
              </w:rPr>
              <w:t>775</w:t>
            </w:r>
          </w:p>
        </w:tc>
        <w:tc>
          <w:tcPr>
            <w:tcW w:w="1512" w:type="dxa"/>
            <w:tcBorders>
              <w:right w:val="single" w:sz="4" w:space="0" w:color="auto"/>
            </w:tcBorders>
            <w:shd w:val="clear" w:color="auto" w:fill="DBE5F1" w:themeFill="accent1" w:themeFillTint="33"/>
            <w:vAlign w:val="center"/>
          </w:tcPr>
          <w:p w14:paraId="6FBE98FF"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(72.6%)</w:t>
            </w:r>
          </w:p>
        </w:tc>
        <w:tc>
          <w:tcPr>
            <w:tcW w:w="1512" w:type="dxa"/>
            <w:tcBorders>
              <w:right w:val="nil"/>
            </w:tcBorders>
            <w:shd w:val="clear" w:color="auto" w:fill="DBE5F1" w:themeFill="accent1" w:themeFillTint="33"/>
            <w:vAlign w:val="center"/>
          </w:tcPr>
          <w:p w14:paraId="7E005AAE" w14:textId="77777777" w:rsidR="004C0858" w:rsidRPr="002E1D48" w:rsidRDefault="004C0858" w:rsidP="00CE2FDF">
            <w:pPr>
              <w:tabs>
                <w:tab w:val="left" w:pos="1134"/>
              </w:tabs>
              <w:spacing w:before="0" w:after="60" w:line="276" w:lineRule="auto"/>
              <w:jc w:val="right"/>
              <w:rPr>
                <w:rFonts w:cs="Arial"/>
              </w:rPr>
            </w:pPr>
            <w:r w:rsidRPr="002E1D48">
              <w:rPr>
                <w:rFonts w:cs="Arial"/>
              </w:rPr>
              <w:t>14</w:t>
            </w:r>
            <w:r>
              <w:rPr>
                <w:rFonts w:cs="Arial"/>
              </w:rPr>
              <w:t>,</w:t>
            </w:r>
            <w:r w:rsidRPr="002E1D48">
              <w:rPr>
                <w:rFonts w:cs="Arial"/>
              </w:rPr>
              <w:t>260</w:t>
            </w:r>
          </w:p>
        </w:tc>
        <w:tc>
          <w:tcPr>
            <w:tcW w:w="1512" w:type="dxa"/>
            <w:tcBorders>
              <w:left w:val="nil"/>
            </w:tcBorders>
            <w:shd w:val="clear" w:color="auto" w:fill="DBE5F1" w:themeFill="accent1" w:themeFillTint="33"/>
            <w:vAlign w:val="center"/>
          </w:tcPr>
          <w:p w14:paraId="6EA3C2B7"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(27.4%)</w:t>
            </w:r>
          </w:p>
        </w:tc>
        <w:tc>
          <w:tcPr>
            <w:tcW w:w="1512" w:type="dxa"/>
            <w:tcBorders>
              <w:left w:val="single" w:sz="4" w:space="0" w:color="auto"/>
            </w:tcBorders>
            <w:shd w:val="clear" w:color="auto" w:fill="DBE5F1" w:themeFill="accent1" w:themeFillTint="33"/>
            <w:noWrap/>
            <w:vAlign w:val="center"/>
            <w:hideMark/>
          </w:tcPr>
          <w:p w14:paraId="1B71C9EA" w14:textId="77777777" w:rsidR="004C0858" w:rsidRPr="002E1D48" w:rsidRDefault="004C0858" w:rsidP="00CE2FDF">
            <w:pPr>
              <w:tabs>
                <w:tab w:val="left" w:pos="1134"/>
              </w:tabs>
              <w:spacing w:before="0" w:after="60" w:line="276" w:lineRule="auto"/>
              <w:jc w:val="right"/>
              <w:rPr>
                <w:rFonts w:cs="Arial"/>
              </w:rPr>
            </w:pPr>
            <w:r w:rsidRPr="002E1D48">
              <w:rPr>
                <w:rFonts w:cs="Arial"/>
              </w:rPr>
              <w:t>7</w:t>
            </w:r>
            <w:r>
              <w:rPr>
                <w:rFonts w:cs="Arial"/>
              </w:rPr>
              <w:t>,</w:t>
            </w:r>
            <w:r w:rsidRPr="002E1D48">
              <w:rPr>
                <w:rFonts w:cs="Arial"/>
              </w:rPr>
              <w:t>686</w:t>
            </w:r>
          </w:p>
        </w:tc>
        <w:tc>
          <w:tcPr>
            <w:tcW w:w="936" w:type="dxa"/>
            <w:tcBorders>
              <w:right w:val="single" w:sz="4" w:space="0" w:color="auto"/>
            </w:tcBorders>
            <w:shd w:val="clear" w:color="auto" w:fill="DBE5F1" w:themeFill="accent1" w:themeFillTint="33"/>
            <w:vAlign w:val="center"/>
          </w:tcPr>
          <w:p w14:paraId="775BCAFB"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(14.8%)</w:t>
            </w:r>
          </w:p>
        </w:tc>
        <w:tc>
          <w:tcPr>
            <w:tcW w:w="2088" w:type="dxa"/>
            <w:tcBorders>
              <w:left w:val="single" w:sz="4" w:space="0" w:color="auto"/>
            </w:tcBorders>
            <w:shd w:val="clear" w:color="auto" w:fill="DBE5F1" w:themeFill="accent1" w:themeFillTint="33"/>
            <w:noWrap/>
            <w:vAlign w:val="center"/>
            <w:hideMark/>
          </w:tcPr>
          <w:p w14:paraId="1786E923" w14:textId="77777777" w:rsidR="004C0858" w:rsidRPr="002E1D48" w:rsidRDefault="004C0858" w:rsidP="00CE2FDF">
            <w:pPr>
              <w:tabs>
                <w:tab w:val="left" w:pos="1134"/>
              </w:tabs>
              <w:spacing w:before="0" w:after="60" w:line="276" w:lineRule="auto"/>
              <w:jc w:val="right"/>
              <w:rPr>
                <w:rFonts w:cs="Arial"/>
              </w:rPr>
            </w:pPr>
            <w:r w:rsidRPr="002E1D48">
              <w:rPr>
                <w:rFonts w:cs="Arial"/>
              </w:rPr>
              <w:t>6</w:t>
            </w:r>
            <w:r>
              <w:rPr>
                <w:rFonts w:cs="Arial"/>
              </w:rPr>
              <w:t>,</w:t>
            </w:r>
            <w:r w:rsidRPr="002E1D48">
              <w:rPr>
                <w:rFonts w:cs="Arial"/>
              </w:rPr>
              <w:t>574</w:t>
            </w:r>
          </w:p>
        </w:tc>
        <w:tc>
          <w:tcPr>
            <w:tcW w:w="1512" w:type="dxa"/>
            <w:tcBorders>
              <w:right w:val="single" w:sz="4" w:space="0" w:color="auto"/>
            </w:tcBorders>
            <w:shd w:val="clear" w:color="auto" w:fill="DBE5F1" w:themeFill="accent1" w:themeFillTint="33"/>
            <w:vAlign w:val="center"/>
          </w:tcPr>
          <w:p w14:paraId="2DAA9133" w14:textId="77777777" w:rsidR="004C0858" w:rsidRPr="004C0858" w:rsidRDefault="004C0858" w:rsidP="00CE2FDF">
            <w:pPr>
              <w:tabs>
                <w:tab w:val="left" w:pos="1134"/>
              </w:tabs>
              <w:spacing w:before="0" w:after="60" w:line="276" w:lineRule="auto"/>
              <w:jc w:val="right"/>
              <w:rPr>
                <w:rFonts w:cs="Arial"/>
              </w:rPr>
            </w:pPr>
            <w:r w:rsidRPr="004C0858">
              <w:rPr>
                <w:rFonts w:cs="Arial"/>
              </w:rPr>
              <w:t>(</w:t>
            </w:r>
            <w:r>
              <w:rPr>
                <w:rFonts w:cs="Arial"/>
              </w:rPr>
              <w:t>12.6</w:t>
            </w:r>
            <w:r w:rsidRPr="004C0858">
              <w:rPr>
                <w:rFonts w:cs="Arial"/>
              </w:rPr>
              <w:t>%)</w:t>
            </w:r>
          </w:p>
        </w:tc>
        <w:tc>
          <w:tcPr>
            <w:tcW w:w="1512" w:type="dxa"/>
            <w:tcBorders>
              <w:left w:val="single" w:sz="4" w:space="0" w:color="auto"/>
              <w:right w:val="single" w:sz="4" w:space="0" w:color="auto"/>
            </w:tcBorders>
            <w:shd w:val="clear" w:color="auto" w:fill="DBE5F1" w:themeFill="accent1" w:themeFillTint="33"/>
            <w:noWrap/>
            <w:vAlign w:val="center"/>
            <w:hideMark/>
          </w:tcPr>
          <w:p w14:paraId="03910ED3" w14:textId="77777777" w:rsidR="004C0858" w:rsidRPr="004C0858" w:rsidRDefault="004C0858" w:rsidP="00CE2FDF">
            <w:pPr>
              <w:tabs>
                <w:tab w:val="left" w:pos="1134"/>
              </w:tabs>
              <w:spacing w:before="0" w:after="60" w:line="276" w:lineRule="auto"/>
              <w:jc w:val="right"/>
              <w:rPr>
                <w:rFonts w:cs="Arial"/>
                <w:b/>
              </w:rPr>
            </w:pPr>
            <w:r w:rsidRPr="004C0858">
              <w:rPr>
                <w:rFonts w:cs="Arial"/>
                <w:b/>
              </w:rPr>
              <w:t>52</w:t>
            </w:r>
            <w:r w:rsidR="0045276E">
              <w:rPr>
                <w:rFonts w:cs="Arial"/>
                <w:b/>
              </w:rPr>
              <w:t>,</w:t>
            </w:r>
            <w:r w:rsidRPr="004C0858">
              <w:rPr>
                <w:rFonts w:cs="Arial"/>
                <w:b/>
              </w:rPr>
              <w:t>035</w:t>
            </w:r>
          </w:p>
        </w:tc>
      </w:tr>
      <w:tr w:rsidR="004C0858" w:rsidRPr="002E1D48" w14:paraId="49D7D995" w14:textId="77777777" w:rsidTr="00F2009E">
        <w:trPr>
          <w:trHeight w:val="276"/>
        </w:trPr>
        <w:tc>
          <w:tcPr>
            <w:tcW w:w="918" w:type="dxa"/>
            <w:tcBorders>
              <w:left w:val="single" w:sz="4" w:space="0" w:color="auto"/>
              <w:right w:val="single" w:sz="4" w:space="0" w:color="auto"/>
            </w:tcBorders>
            <w:noWrap/>
            <w:vAlign w:val="center"/>
            <w:hideMark/>
          </w:tcPr>
          <w:p w14:paraId="622A6756" w14:textId="77777777" w:rsidR="004C0858" w:rsidRPr="004C0858" w:rsidRDefault="004C0858" w:rsidP="00CE2FDF">
            <w:pPr>
              <w:tabs>
                <w:tab w:val="left" w:pos="1134"/>
              </w:tabs>
              <w:spacing w:before="0" w:after="60" w:line="276" w:lineRule="auto"/>
              <w:rPr>
                <w:rFonts w:cs="Arial"/>
                <w:b/>
                <w:bCs/>
                <w:color w:val="000000"/>
              </w:rPr>
            </w:pPr>
            <w:r w:rsidRPr="004C0858">
              <w:rPr>
                <w:rFonts w:cs="Arial"/>
                <w:b/>
                <w:bCs/>
                <w:color w:val="000000"/>
              </w:rPr>
              <w:t>2011</w:t>
            </w:r>
          </w:p>
        </w:tc>
        <w:tc>
          <w:tcPr>
            <w:tcW w:w="1836" w:type="dxa"/>
            <w:tcBorders>
              <w:left w:val="single" w:sz="4" w:space="0" w:color="auto"/>
            </w:tcBorders>
            <w:noWrap/>
            <w:vAlign w:val="center"/>
            <w:hideMark/>
          </w:tcPr>
          <w:p w14:paraId="0FCB272F" w14:textId="77777777" w:rsidR="004C0858" w:rsidRPr="002E1D48" w:rsidRDefault="004C0858" w:rsidP="00CE2FDF">
            <w:pPr>
              <w:tabs>
                <w:tab w:val="left" w:pos="1134"/>
              </w:tabs>
              <w:spacing w:before="0" w:after="60" w:line="276" w:lineRule="auto"/>
              <w:jc w:val="right"/>
              <w:rPr>
                <w:rFonts w:cs="Arial"/>
              </w:rPr>
            </w:pPr>
            <w:r w:rsidRPr="002E1D48">
              <w:rPr>
                <w:rFonts w:cs="Arial"/>
              </w:rPr>
              <w:t>43</w:t>
            </w:r>
            <w:r>
              <w:rPr>
                <w:rFonts w:cs="Arial"/>
              </w:rPr>
              <w:t>,</w:t>
            </w:r>
            <w:r w:rsidRPr="002E1D48">
              <w:rPr>
                <w:rFonts w:cs="Arial"/>
              </w:rPr>
              <w:t>939</w:t>
            </w:r>
          </w:p>
        </w:tc>
        <w:tc>
          <w:tcPr>
            <w:tcW w:w="1512" w:type="dxa"/>
            <w:tcBorders>
              <w:right w:val="single" w:sz="4" w:space="0" w:color="auto"/>
            </w:tcBorders>
            <w:vAlign w:val="center"/>
          </w:tcPr>
          <w:p w14:paraId="7FAB00D9"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(74.6%)</w:t>
            </w:r>
          </w:p>
        </w:tc>
        <w:tc>
          <w:tcPr>
            <w:tcW w:w="1512" w:type="dxa"/>
            <w:vAlign w:val="center"/>
          </w:tcPr>
          <w:p w14:paraId="5E4C8FAC" w14:textId="77777777" w:rsidR="004C0858" w:rsidRPr="002E1D48" w:rsidRDefault="004C0858" w:rsidP="00CE2FDF">
            <w:pPr>
              <w:tabs>
                <w:tab w:val="left" w:pos="1134"/>
              </w:tabs>
              <w:spacing w:before="0" w:after="60" w:line="276" w:lineRule="auto"/>
              <w:jc w:val="right"/>
              <w:rPr>
                <w:rFonts w:cs="Arial"/>
              </w:rPr>
            </w:pPr>
            <w:r w:rsidRPr="002E1D48">
              <w:rPr>
                <w:rFonts w:cs="Arial"/>
              </w:rPr>
              <w:t>14</w:t>
            </w:r>
            <w:r>
              <w:rPr>
                <w:rFonts w:cs="Arial"/>
              </w:rPr>
              <w:t>,</w:t>
            </w:r>
            <w:r w:rsidRPr="002E1D48">
              <w:rPr>
                <w:rFonts w:cs="Arial"/>
              </w:rPr>
              <w:t>993</w:t>
            </w:r>
          </w:p>
        </w:tc>
        <w:tc>
          <w:tcPr>
            <w:tcW w:w="1512" w:type="dxa"/>
            <w:vAlign w:val="center"/>
          </w:tcPr>
          <w:p w14:paraId="3A30A9A7"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(25.4%)</w:t>
            </w:r>
          </w:p>
        </w:tc>
        <w:tc>
          <w:tcPr>
            <w:tcW w:w="1512" w:type="dxa"/>
            <w:tcBorders>
              <w:left w:val="single" w:sz="4" w:space="0" w:color="auto"/>
            </w:tcBorders>
            <w:noWrap/>
            <w:vAlign w:val="center"/>
            <w:hideMark/>
          </w:tcPr>
          <w:p w14:paraId="77E94248" w14:textId="77777777" w:rsidR="004C0858" w:rsidRPr="002E1D48" w:rsidRDefault="004C0858" w:rsidP="00CE2FDF">
            <w:pPr>
              <w:tabs>
                <w:tab w:val="left" w:pos="1134"/>
              </w:tabs>
              <w:spacing w:before="0" w:after="60" w:line="276" w:lineRule="auto"/>
              <w:jc w:val="right"/>
              <w:rPr>
                <w:rFonts w:cs="Arial"/>
              </w:rPr>
            </w:pPr>
            <w:r w:rsidRPr="002E1D48">
              <w:rPr>
                <w:rFonts w:cs="Arial"/>
              </w:rPr>
              <w:t>8</w:t>
            </w:r>
            <w:r>
              <w:rPr>
                <w:rFonts w:cs="Arial"/>
              </w:rPr>
              <w:t>,</w:t>
            </w:r>
            <w:r w:rsidRPr="002E1D48">
              <w:rPr>
                <w:rFonts w:cs="Arial"/>
              </w:rPr>
              <w:t>936</w:t>
            </w:r>
          </w:p>
        </w:tc>
        <w:tc>
          <w:tcPr>
            <w:tcW w:w="936" w:type="dxa"/>
            <w:tcBorders>
              <w:right w:val="single" w:sz="4" w:space="0" w:color="auto"/>
            </w:tcBorders>
            <w:vAlign w:val="center"/>
          </w:tcPr>
          <w:p w14:paraId="4AA0C376"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(15.2%)</w:t>
            </w:r>
          </w:p>
        </w:tc>
        <w:tc>
          <w:tcPr>
            <w:tcW w:w="2088" w:type="dxa"/>
            <w:tcBorders>
              <w:left w:val="single" w:sz="4" w:space="0" w:color="auto"/>
            </w:tcBorders>
            <w:noWrap/>
            <w:vAlign w:val="center"/>
            <w:hideMark/>
          </w:tcPr>
          <w:p w14:paraId="147750B9" w14:textId="77777777" w:rsidR="004C0858" w:rsidRPr="002E1D48" w:rsidRDefault="004C0858" w:rsidP="00CE2FDF">
            <w:pPr>
              <w:tabs>
                <w:tab w:val="left" w:pos="1134"/>
              </w:tabs>
              <w:spacing w:before="0" w:after="60" w:line="276" w:lineRule="auto"/>
              <w:jc w:val="right"/>
              <w:rPr>
                <w:rFonts w:cs="Arial"/>
              </w:rPr>
            </w:pPr>
            <w:r w:rsidRPr="002E1D48">
              <w:rPr>
                <w:rFonts w:cs="Arial"/>
              </w:rPr>
              <w:t>6</w:t>
            </w:r>
            <w:r>
              <w:rPr>
                <w:rFonts w:cs="Arial"/>
              </w:rPr>
              <w:t>,</w:t>
            </w:r>
            <w:r w:rsidRPr="002E1D48">
              <w:rPr>
                <w:rFonts w:cs="Arial"/>
              </w:rPr>
              <w:t>057</w:t>
            </w:r>
          </w:p>
        </w:tc>
        <w:tc>
          <w:tcPr>
            <w:tcW w:w="1512" w:type="dxa"/>
            <w:tcBorders>
              <w:right w:val="single" w:sz="4" w:space="0" w:color="auto"/>
            </w:tcBorders>
            <w:vAlign w:val="center"/>
          </w:tcPr>
          <w:p w14:paraId="40608E4B" w14:textId="77777777" w:rsidR="004C0858" w:rsidRPr="004C0858" w:rsidRDefault="004C0858" w:rsidP="00CE2FDF">
            <w:pPr>
              <w:tabs>
                <w:tab w:val="left" w:pos="1134"/>
              </w:tabs>
              <w:spacing w:before="0" w:after="60" w:line="276" w:lineRule="auto"/>
              <w:jc w:val="right"/>
              <w:rPr>
                <w:rFonts w:cs="Arial"/>
              </w:rPr>
            </w:pPr>
            <w:r w:rsidRPr="004C0858">
              <w:rPr>
                <w:rFonts w:cs="Arial"/>
              </w:rPr>
              <w:t>(</w:t>
            </w:r>
            <w:r>
              <w:rPr>
                <w:rFonts w:cs="Arial"/>
              </w:rPr>
              <w:t>10.3</w:t>
            </w:r>
            <w:r w:rsidRPr="004C0858">
              <w:rPr>
                <w:rFonts w:cs="Arial"/>
              </w:rPr>
              <w:t>%)</w:t>
            </w:r>
          </w:p>
        </w:tc>
        <w:tc>
          <w:tcPr>
            <w:tcW w:w="1512" w:type="dxa"/>
            <w:tcBorders>
              <w:left w:val="single" w:sz="4" w:space="0" w:color="auto"/>
              <w:right w:val="single" w:sz="4" w:space="0" w:color="auto"/>
            </w:tcBorders>
            <w:noWrap/>
            <w:vAlign w:val="center"/>
            <w:hideMark/>
          </w:tcPr>
          <w:p w14:paraId="533F98DB" w14:textId="77777777" w:rsidR="004C0858" w:rsidRPr="004C0858" w:rsidRDefault="004C0858" w:rsidP="00CE2FDF">
            <w:pPr>
              <w:tabs>
                <w:tab w:val="left" w:pos="1134"/>
              </w:tabs>
              <w:spacing w:before="0" w:after="60" w:line="276" w:lineRule="auto"/>
              <w:jc w:val="right"/>
              <w:rPr>
                <w:rFonts w:cs="Arial"/>
                <w:b/>
              </w:rPr>
            </w:pPr>
            <w:r w:rsidRPr="004C0858">
              <w:rPr>
                <w:rFonts w:cs="Arial"/>
                <w:b/>
              </w:rPr>
              <w:t>58</w:t>
            </w:r>
            <w:r w:rsidR="0045276E">
              <w:rPr>
                <w:rFonts w:cs="Arial"/>
                <w:b/>
              </w:rPr>
              <w:t>,</w:t>
            </w:r>
            <w:r w:rsidRPr="004C0858">
              <w:rPr>
                <w:rFonts w:cs="Arial"/>
                <w:b/>
              </w:rPr>
              <w:t>932</w:t>
            </w:r>
          </w:p>
        </w:tc>
      </w:tr>
      <w:tr w:rsidR="004C0858" w:rsidRPr="002E1D48" w14:paraId="65C1BF34" w14:textId="77777777" w:rsidTr="00F2009E">
        <w:trPr>
          <w:trHeight w:val="276"/>
        </w:trPr>
        <w:tc>
          <w:tcPr>
            <w:tcW w:w="918"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78C302AA" w14:textId="77777777" w:rsidR="004C0858" w:rsidRPr="004C0858" w:rsidRDefault="004C0858" w:rsidP="00CE2FDF">
            <w:pPr>
              <w:tabs>
                <w:tab w:val="left" w:pos="1134"/>
              </w:tabs>
              <w:spacing w:before="0" w:after="60" w:line="276" w:lineRule="auto"/>
              <w:rPr>
                <w:rFonts w:cs="Arial"/>
                <w:b/>
                <w:bCs/>
                <w:color w:val="000000"/>
              </w:rPr>
            </w:pPr>
            <w:r w:rsidRPr="004C0858">
              <w:rPr>
                <w:rFonts w:cs="Arial"/>
                <w:b/>
                <w:bCs/>
                <w:color w:val="000000"/>
              </w:rPr>
              <w:t>2012</w:t>
            </w:r>
          </w:p>
        </w:tc>
        <w:tc>
          <w:tcPr>
            <w:tcW w:w="1836" w:type="dxa"/>
            <w:tcBorders>
              <w:left w:val="single" w:sz="4" w:space="0" w:color="auto"/>
              <w:bottom w:val="single" w:sz="4" w:space="0" w:color="auto"/>
            </w:tcBorders>
            <w:shd w:val="clear" w:color="auto" w:fill="DBE5F1" w:themeFill="accent1" w:themeFillTint="33"/>
            <w:noWrap/>
            <w:vAlign w:val="center"/>
            <w:hideMark/>
          </w:tcPr>
          <w:p w14:paraId="6C4A3648" w14:textId="77777777" w:rsidR="004C0858" w:rsidRPr="002E1D48" w:rsidRDefault="004C0858" w:rsidP="00CE2FDF">
            <w:pPr>
              <w:tabs>
                <w:tab w:val="left" w:pos="1134"/>
              </w:tabs>
              <w:spacing w:before="0" w:after="60" w:line="276" w:lineRule="auto"/>
              <w:jc w:val="right"/>
              <w:rPr>
                <w:rFonts w:cs="Arial"/>
              </w:rPr>
            </w:pPr>
            <w:r w:rsidRPr="002E1D48">
              <w:rPr>
                <w:rFonts w:cs="Arial"/>
              </w:rPr>
              <w:t>51</w:t>
            </w:r>
            <w:r>
              <w:rPr>
                <w:rFonts w:cs="Arial"/>
              </w:rPr>
              <w:t>,</w:t>
            </w:r>
            <w:r w:rsidRPr="002E1D48">
              <w:rPr>
                <w:rFonts w:cs="Arial"/>
              </w:rPr>
              <w:t>588</w:t>
            </w:r>
          </w:p>
        </w:tc>
        <w:tc>
          <w:tcPr>
            <w:tcW w:w="1512" w:type="dxa"/>
            <w:tcBorders>
              <w:bottom w:val="single" w:sz="4" w:space="0" w:color="auto"/>
              <w:right w:val="single" w:sz="4" w:space="0" w:color="auto"/>
            </w:tcBorders>
            <w:shd w:val="clear" w:color="auto" w:fill="DBE5F1" w:themeFill="accent1" w:themeFillTint="33"/>
            <w:vAlign w:val="center"/>
          </w:tcPr>
          <w:p w14:paraId="7611522D"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(75.1%)</w:t>
            </w:r>
          </w:p>
        </w:tc>
        <w:tc>
          <w:tcPr>
            <w:tcW w:w="1512" w:type="dxa"/>
            <w:tcBorders>
              <w:bottom w:val="single" w:sz="4" w:space="0" w:color="auto"/>
              <w:right w:val="nil"/>
            </w:tcBorders>
            <w:shd w:val="clear" w:color="auto" w:fill="DBE5F1" w:themeFill="accent1" w:themeFillTint="33"/>
            <w:vAlign w:val="center"/>
          </w:tcPr>
          <w:p w14:paraId="118A8974" w14:textId="77777777" w:rsidR="004C0858" w:rsidRPr="002E1D48" w:rsidRDefault="004C0858" w:rsidP="00CE2FDF">
            <w:pPr>
              <w:tabs>
                <w:tab w:val="left" w:pos="1134"/>
              </w:tabs>
              <w:spacing w:before="0" w:after="60" w:line="276" w:lineRule="auto"/>
              <w:jc w:val="right"/>
              <w:rPr>
                <w:rFonts w:cs="Arial"/>
              </w:rPr>
            </w:pPr>
            <w:r w:rsidRPr="002E1D48">
              <w:rPr>
                <w:rFonts w:cs="Arial"/>
              </w:rPr>
              <w:t>17</w:t>
            </w:r>
            <w:r>
              <w:rPr>
                <w:rFonts w:cs="Arial"/>
              </w:rPr>
              <w:t>,</w:t>
            </w:r>
            <w:r w:rsidRPr="002E1D48">
              <w:rPr>
                <w:rFonts w:cs="Arial"/>
              </w:rPr>
              <w:t>060</w:t>
            </w:r>
          </w:p>
        </w:tc>
        <w:tc>
          <w:tcPr>
            <w:tcW w:w="1512" w:type="dxa"/>
            <w:tcBorders>
              <w:left w:val="nil"/>
              <w:bottom w:val="single" w:sz="4" w:space="0" w:color="auto"/>
            </w:tcBorders>
            <w:shd w:val="clear" w:color="auto" w:fill="DBE5F1" w:themeFill="accent1" w:themeFillTint="33"/>
            <w:vAlign w:val="center"/>
          </w:tcPr>
          <w:p w14:paraId="0AC7D96C"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(24.9%)</w:t>
            </w:r>
          </w:p>
        </w:tc>
        <w:tc>
          <w:tcPr>
            <w:tcW w:w="1512" w:type="dxa"/>
            <w:tcBorders>
              <w:left w:val="single" w:sz="4" w:space="0" w:color="auto"/>
              <w:bottom w:val="single" w:sz="4" w:space="0" w:color="auto"/>
            </w:tcBorders>
            <w:shd w:val="clear" w:color="auto" w:fill="DBE5F1" w:themeFill="accent1" w:themeFillTint="33"/>
            <w:noWrap/>
            <w:vAlign w:val="center"/>
            <w:hideMark/>
          </w:tcPr>
          <w:p w14:paraId="2FECB324" w14:textId="77777777" w:rsidR="004C0858" w:rsidRPr="002E1D48" w:rsidRDefault="004C0858" w:rsidP="00CE2FDF">
            <w:pPr>
              <w:tabs>
                <w:tab w:val="left" w:pos="1134"/>
              </w:tabs>
              <w:spacing w:before="0" w:after="60" w:line="276" w:lineRule="auto"/>
              <w:jc w:val="right"/>
              <w:rPr>
                <w:rFonts w:cs="Arial"/>
              </w:rPr>
            </w:pPr>
            <w:r w:rsidRPr="002E1D48">
              <w:rPr>
                <w:rFonts w:cs="Arial"/>
              </w:rPr>
              <w:t>10</w:t>
            </w:r>
            <w:r>
              <w:rPr>
                <w:rFonts w:cs="Arial"/>
              </w:rPr>
              <w:t>,</w:t>
            </w:r>
            <w:r w:rsidRPr="002E1D48">
              <w:rPr>
                <w:rFonts w:cs="Arial"/>
              </w:rPr>
              <w:t>198</w:t>
            </w:r>
          </w:p>
        </w:tc>
        <w:tc>
          <w:tcPr>
            <w:tcW w:w="936" w:type="dxa"/>
            <w:tcBorders>
              <w:bottom w:val="single" w:sz="4" w:space="0" w:color="auto"/>
              <w:right w:val="single" w:sz="4" w:space="0" w:color="auto"/>
            </w:tcBorders>
            <w:shd w:val="clear" w:color="auto" w:fill="DBE5F1" w:themeFill="accent1" w:themeFillTint="33"/>
            <w:vAlign w:val="center"/>
          </w:tcPr>
          <w:p w14:paraId="26A13AAE" w14:textId="77777777" w:rsidR="004C0858" w:rsidRPr="002E1D48" w:rsidRDefault="004C0858" w:rsidP="00CE2FDF">
            <w:pPr>
              <w:tabs>
                <w:tab w:val="left" w:pos="1134"/>
              </w:tabs>
              <w:spacing w:before="0" w:after="60" w:line="276" w:lineRule="auto"/>
              <w:jc w:val="right"/>
              <w:rPr>
                <w:rFonts w:cs="Arial"/>
                <w:color w:val="000000"/>
              </w:rPr>
            </w:pPr>
            <w:r w:rsidRPr="002E1D48">
              <w:rPr>
                <w:rFonts w:cs="Arial"/>
                <w:color w:val="000000"/>
              </w:rPr>
              <w:t>(14.9%)</w:t>
            </w:r>
          </w:p>
        </w:tc>
        <w:tc>
          <w:tcPr>
            <w:tcW w:w="2088" w:type="dxa"/>
            <w:tcBorders>
              <w:left w:val="single" w:sz="4" w:space="0" w:color="auto"/>
              <w:bottom w:val="single" w:sz="4" w:space="0" w:color="auto"/>
            </w:tcBorders>
            <w:shd w:val="clear" w:color="auto" w:fill="DBE5F1" w:themeFill="accent1" w:themeFillTint="33"/>
            <w:noWrap/>
            <w:vAlign w:val="center"/>
            <w:hideMark/>
          </w:tcPr>
          <w:p w14:paraId="1254ED72" w14:textId="77777777" w:rsidR="004C0858" w:rsidRPr="002E1D48" w:rsidRDefault="004C0858" w:rsidP="00CE2FDF">
            <w:pPr>
              <w:tabs>
                <w:tab w:val="left" w:pos="1134"/>
              </w:tabs>
              <w:spacing w:before="0" w:after="60" w:line="276" w:lineRule="auto"/>
              <w:jc w:val="right"/>
              <w:rPr>
                <w:rFonts w:cs="Arial"/>
              </w:rPr>
            </w:pPr>
            <w:r w:rsidRPr="002E1D48">
              <w:rPr>
                <w:rFonts w:cs="Arial"/>
              </w:rPr>
              <w:t>6</w:t>
            </w:r>
            <w:r>
              <w:rPr>
                <w:rFonts w:cs="Arial"/>
              </w:rPr>
              <w:t>,</w:t>
            </w:r>
            <w:r w:rsidRPr="002E1D48">
              <w:rPr>
                <w:rFonts w:cs="Arial"/>
              </w:rPr>
              <w:t>862</w:t>
            </w:r>
          </w:p>
        </w:tc>
        <w:tc>
          <w:tcPr>
            <w:tcW w:w="1512" w:type="dxa"/>
            <w:tcBorders>
              <w:bottom w:val="single" w:sz="4" w:space="0" w:color="auto"/>
              <w:right w:val="single" w:sz="4" w:space="0" w:color="auto"/>
            </w:tcBorders>
            <w:shd w:val="clear" w:color="auto" w:fill="DBE5F1" w:themeFill="accent1" w:themeFillTint="33"/>
            <w:vAlign w:val="center"/>
          </w:tcPr>
          <w:p w14:paraId="5F25E5C9" w14:textId="77777777" w:rsidR="004C0858" w:rsidRPr="004C0858" w:rsidRDefault="004C0858" w:rsidP="00CE2FDF">
            <w:pPr>
              <w:tabs>
                <w:tab w:val="left" w:pos="1134"/>
              </w:tabs>
              <w:spacing w:before="0" w:after="60" w:line="276" w:lineRule="auto"/>
              <w:jc w:val="right"/>
              <w:rPr>
                <w:rFonts w:cs="Arial"/>
              </w:rPr>
            </w:pPr>
            <w:r w:rsidRPr="004C0858">
              <w:rPr>
                <w:rFonts w:cs="Arial"/>
              </w:rPr>
              <w:t>(</w:t>
            </w:r>
            <w:r w:rsidR="001E489A">
              <w:rPr>
                <w:rFonts w:cs="Arial"/>
              </w:rPr>
              <w:t>10.0</w:t>
            </w:r>
            <w:r w:rsidRPr="004C0858">
              <w:rPr>
                <w:rFonts w:cs="Arial"/>
              </w:rPr>
              <w:t>%)</w:t>
            </w:r>
          </w:p>
        </w:tc>
        <w:tc>
          <w:tcPr>
            <w:tcW w:w="1512"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4BED32C6" w14:textId="77777777" w:rsidR="004C0858" w:rsidRPr="004C0858" w:rsidRDefault="004C0858" w:rsidP="00CE2FDF">
            <w:pPr>
              <w:tabs>
                <w:tab w:val="left" w:pos="1134"/>
              </w:tabs>
              <w:spacing w:before="0" w:after="60" w:line="276" w:lineRule="auto"/>
              <w:jc w:val="right"/>
              <w:rPr>
                <w:rFonts w:cs="Arial"/>
                <w:b/>
              </w:rPr>
            </w:pPr>
            <w:r w:rsidRPr="004C0858">
              <w:rPr>
                <w:rFonts w:cs="Arial"/>
                <w:b/>
              </w:rPr>
              <w:t>68</w:t>
            </w:r>
            <w:r w:rsidR="0045276E">
              <w:rPr>
                <w:rFonts w:cs="Arial"/>
                <w:b/>
              </w:rPr>
              <w:t>,</w:t>
            </w:r>
            <w:r w:rsidRPr="004C0858">
              <w:rPr>
                <w:rFonts w:cs="Arial"/>
                <w:b/>
              </w:rPr>
              <w:t>648</w:t>
            </w:r>
          </w:p>
        </w:tc>
      </w:tr>
      <w:tr w:rsidR="004C0858" w:rsidRPr="001E489A" w14:paraId="7EF292C4" w14:textId="77777777" w:rsidTr="00F2009E">
        <w:trPr>
          <w:trHeight w:val="276"/>
        </w:trPr>
        <w:tc>
          <w:tcPr>
            <w:tcW w:w="9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4D10F99" w14:textId="77777777" w:rsidR="004C0858" w:rsidRPr="001E489A" w:rsidRDefault="004C0858" w:rsidP="00CE2FDF">
            <w:pPr>
              <w:tabs>
                <w:tab w:val="left" w:pos="1134"/>
              </w:tabs>
              <w:spacing w:before="0" w:after="60" w:line="276" w:lineRule="auto"/>
              <w:rPr>
                <w:rFonts w:cs="Arial"/>
                <w:b/>
                <w:bCs/>
                <w:color w:val="000000"/>
              </w:rPr>
            </w:pPr>
            <w:r w:rsidRPr="001E489A">
              <w:rPr>
                <w:rFonts w:cs="Arial"/>
                <w:b/>
                <w:bCs/>
                <w:color w:val="000000"/>
              </w:rPr>
              <w:t>Totals:</w:t>
            </w:r>
          </w:p>
        </w:tc>
        <w:tc>
          <w:tcPr>
            <w:tcW w:w="1836"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73503506" w14:textId="77777777" w:rsidR="004C0858" w:rsidRPr="001E489A" w:rsidRDefault="004C0858" w:rsidP="00CE2FDF">
            <w:pPr>
              <w:tabs>
                <w:tab w:val="left" w:pos="1134"/>
              </w:tabs>
              <w:spacing w:before="0" w:after="60" w:line="276" w:lineRule="auto"/>
              <w:jc w:val="right"/>
              <w:rPr>
                <w:rFonts w:cs="Arial"/>
                <w:b/>
              </w:rPr>
            </w:pPr>
            <w:r w:rsidRPr="001E489A">
              <w:rPr>
                <w:rFonts w:cs="Arial"/>
                <w:b/>
              </w:rPr>
              <w:t>325,804</w:t>
            </w:r>
          </w:p>
        </w:tc>
        <w:tc>
          <w:tcPr>
            <w:tcW w:w="1512" w:type="dxa"/>
            <w:tcBorders>
              <w:top w:val="single" w:sz="4" w:space="0" w:color="auto"/>
              <w:bottom w:val="single" w:sz="4" w:space="0" w:color="auto"/>
              <w:right w:val="single" w:sz="4" w:space="0" w:color="auto"/>
            </w:tcBorders>
            <w:shd w:val="clear" w:color="auto" w:fill="95B3D7" w:themeFill="accent1" w:themeFillTint="99"/>
            <w:vAlign w:val="center"/>
          </w:tcPr>
          <w:p w14:paraId="670F1C37" w14:textId="77777777" w:rsidR="004C0858" w:rsidRPr="001E489A" w:rsidRDefault="004C0858" w:rsidP="00CE2FDF">
            <w:pPr>
              <w:tabs>
                <w:tab w:val="left" w:pos="1134"/>
              </w:tabs>
              <w:spacing w:before="0" w:after="60" w:line="276" w:lineRule="auto"/>
              <w:jc w:val="right"/>
              <w:rPr>
                <w:rFonts w:cs="Arial"/>
                <w:b/>
              </w:rPr>
            </w:pPr>
            <w:r w:rsidRPr="001E489A">
              <w:rPr>
                <w:rFonts w:cs="Arial"/>
                <w:b/>
                <w:color w:val="000000"/>
              </w:rPr>
              <w:t>(71.7%)</w:t>
            </w:r>
          </w:p>
        </w:tc>
        <w:tc>
          <w:tcPr>
            <w:tcW w:w="1512" w:type="dxa"/>
            <w:tcBorders>
              <w:top w:val="single" w:sz="4" w:space="0" w:color="auto"/>
              <w:bottom w:val="single" w:sz="4" w:space="0" w:color="auto"/>
            </w:tcBorders>
            <w:shd w:val="clear" w:color="auto" w:fill="95B3D7" w:themeFill="accent1" w:themeFillTint="99"/>
            <w:vAlign w:val="center"/>
          </w:tcPr>
          <w:p w14:paraId="49BA5FB1" w14:textId="77777777" w:rsidR="004C0858" w:rsidRPr="001E489A" w:rsidRDefault="004C0858" w:rsidP="00CE2FDF">
            <w:pPr>
              <w:tabs>
                <w:tab w:val="left" w:pos="1134"/>
              </w:tabs>
              <w:spacing w:before="0" w:after="60" w:line="276" w:lineRule="auto"/>
              <w:jc w:val="right"/>
              <w:rPr>
                <w:rFonts w:cs="Arial"/>
                <w:b/>
              </w:rPr>
            </w:pPr>
            <w:r w:rsidRPr="001E489A">
              <w:rPr>
                <w:rFonts w:cs="Arial"/>
                <w:b/>
              </w:rPr>
              <w:t>128,316</w:t>
            </w:r>
          </w:p>
        </w:tc>
        <w:tc>
          <w:tcPr>
            <w:tcW w:w="1512" w:type="dxa"/>
            <w:tcBorders>
              <w:top w:val="single" w:sz="4" w:space="0" w:color="auto"/>
              <w:bottom w:val="single" w:sz="4" w:space="0" w:color="auto"/>
            </w:tcBorders>
            <w:shd w:val="clear" w:color="auto" w:fill="95B3D7" w:themeFill="accent1" w:themeFillTint="99"/>
            <w:vAlign w:val="center"/>
          </w:tcPr>
          <w:p w14:paraId="0DF5F0DB" w14:textId="77777777" w:rsidR="004C0858" w:rsidRPr="001E489A" w:rsidRDefault="004C0858" w:rsidP="00CE2FDF">
            <w:pPr>
              <w:tabs>
                <w:tab w:val="left" w:pos="1134"/>
              </w:tabs>
              <w:spacing w:before="0" w:after="60" w:line="276" w:lineRule="auto"/>
              <w:jc w:val="right"/>
              <w:rPr>
                <w:rFonts w:cs="Arial"/>
                <w:b/>
              </w:rPr>
            </w:pPr>
            <w:r w:rsidRPr="001E489A">
              <w:rPr>
                <w:rFonts w:cs="Arial"/>
                <w:b/>
                <w:color w:val="000000"/>
              </w:rPr>
              <w:t>(28.3%)</w:t>
            </w:r>
          </w:p>
        </w:tc>
        <w:tc>
          <w:tcPr>
            <w:tcW w:w="1512"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2F25B616" w14:textId="77777777" w:rsidR="004C0858" w:rsidRPr="001E489A" w:rsidRDefault="004C0858" w:rsidP="00CE2FDF">
            <w:pPr>
              <w:tabs>
                <w:tab w:val="left" w:pos="1134"/>
              </w:tabs>
              <w:spacing w:before="0" w:after="60" w:line="276" w:lineRule="auto"/>
              <w:jc w:val="right"/>
              <w:rPr>
                <w:rFonts w:cs="Arial"/>
                <w:b/>
              </w:rPr>
            </w:pPr>
            <w:r w:rsidRPr="001E489A">
              <w:rPr>
                <w:rFonts w:cs="Arial"/>
                <w:b/>
              </w:rPr>
              <w:t>78,068</w:t>
            </w:r>
          </w:p>
        </w:tc>
        <w:tc>
          <w:tcPr>
            <w:tcW w:w="936" w:type="dxa"/>
            <w:tcBorders>
              <w:top w:val="single" w:sz="4" w:space="0" w:color="auto"/>
              <w:bottom w:val="single" w:sz="4" w:space="0" w:color="auto"/>
              <w:right w:val="single" w:sz="4" w:space="0" w:color="auto"/>
            </w:tcBorders>
            <w:shd w:val="clear" w:color="auto" w:fill="95B3D7" w:themeFill="accent1" w:themeFillTint="99"/>
            <w:vAlign w:val="center"/>
          </w:tcPr>
          <w:p w14:paraId="54C72A21" w14:textId="77777777" w:rsidR="004C0858" w:rsidRPr="001E489A" w:rsidRDefault="004C0858" w:rsidP="00CE2FDF">
            <w:pPr>
              <w:tabs>
                <w:tab w:val="left" w:pos="1134"/>
              </w:tabs>
              <w:spacing w:before="0" w:after="60" w:line="276" w:lineRule="auto"/>
              <w:jc w:val="right"/>
              <w:rPr>
                <w:rFonts w:cs="Arial"/>
                <w:b/>
              </w:rPr>
            </w:pPr>
            <w:r w:rsidRPr="001E489A">
              <w:rPr>
                <w:rFonts w:cs="Arial"/>
                <w:b/>
                <w:color w:val="000000"/>
              </w:rPr>
              <w:t>(17.2%)</w:t>
            </w:r>
          </w:p>
        </w:tc>
        <w:tc>
          <w:tcPr>
            <w:tcW w:w="2088"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77A82068" w14:textId="77777777" w:rsidR="004C0858" w:rsidRPr="001E489A" w:rsidRDefault="004C0858" w:rsidP="00CE2FDF">
            <w:pPr>
              <w:tabs>
                <w:tab w:val="left" w:pos="1134"/>
              </w:tabs>
              <w:spacing w:before="0" w:after="60" w:line="276" w:lineRule="auto"/>
              <w:jc w:val="right"/>
              <w:rPr>
                <w:rFonts w:cs="Arial"/>
                <w:b/>
              </w:rPr>
            </w:pPr>
            <w:r w:rsidRPr="001E489A">
              <w:rPr>
                <w:rFonts w:cs="Arial"/>
                <w:b/>
              </w:rPr>
              <w:t>50,248</w:t>
            </w:r>
          </w:p>
        </w:tc>
        <w:tc>
          <w:tcPr>
            <w:tcW w:w="1512" w:type="dxa"/>
            <w:tcBorders>
              <w:top w:val="single" w:sz="4" w:space="0" w:color="auto"/>
              <w:bottom w:val="single" w:sz="4" w:space="0" w:color="auto"/>
              <w:right w:val="single" w:sz="4" w:space="0" w:color="auto"/>
            </w:tcBorders>
            <w:shd w:val="clear" w:color="auto" w:fill="95B3D7" w:themeFill="accent1" w:themeFillTint="99"/>
            <w:vAlign w:val="center"/>
          </w:tcPr>
          <w:p w14:paraId="07F02F9E" w14:textId="77777777" w:rsidR="004C0858" w:rsidRPr="001E489A" w:rsidRDefault="004C0858" w:rsidP="00CE2FDF">
            <w:pPr>
              <w:tabs>
                <w:tab w:val="left" w:pos="1134"/>
              </w:tabs>
              <w:spacing w:before="0" w:after="60" w:line="276" w:lineRule="auto"/>
              <w:jc w:val="right"/>
              <w:rPr>
                <w:rFonts w:cs="Arial"/>
                <w:b/>
              </w:rPr>
            </w:pPr>
            <w:r w:rsidRPr="001E489A">
              <w:rPr>
                <w:rFonts w:cs="Arial"/>
                <w:b/>
              </w:rPr>
              <w:t>(</w:t>
            </w:r>
            <w:r w:rsidR="001E489A" w:rsidRPr="001E489A">
              <w:rPr>
                <w:rFonts w:cs="Arial"/>
                <w:b/>
              </w:rPr>
              <w:t>11.1</w:t>
            </w:r>
            <w:r w:rsidRPr="001E489A">
              <w:rPr>
                <w:rFonts w:cs="Arial"/>
                <w:b/>
              </w:rPr>
              <w:t>%)</w:t>
            </w:r>
          </w:p>
        </w:tc>
        <w:tc>
          <w:tcPr>
            <w:tcW w:w="151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45F815D" w14:textId="77777777" w:rsidR="004C0858" w:rsidRPr="001E489A" w:rsidRDefault="004C0858" w:rsidP="00CE2FDF">
            <w:pPr>
              <w:tabs>
                <w:tab w:val="left" w:pos="1134"/>
              </w:tabs>
              <w:spacing w:before="0" w:after="60" w:line="276" w:lineRule="auto"/>
              <w:jc w:val="right"/>
              <w:rPr>
                <w:rFonts w:cs="Arial"/>
                <w:b/>
              </w:rPr>
            </w:pPr>
            <w:r w:rsidRPr="001E489A">
              <w:rPr>
                <w:rFonts w:cs="Arial"/>
                <w:b/>
              </w:rPr>
              <w:t>454</w:t>
            </w:r>
            <w:r w:rsidR="0045276E">
              <w:rPr>
                <w:rFonts w:cs="Arial"/>
                <w:b/>
              </w:rPr>
              <w:t>,</w:t>
            </w:r>
            <w:r w:rsidRPr="001E489A">
              <w:rPr>
                <w:rFonts w:cs="Arial"/>
                <w:b/>
              </w:rPr>
              <w:t>120</w:t>
            </w:r>
          </w:p>
        </w:tc>
      </w:tr>
    </w:tbl>
    <w:p w14:paraId="3AF55C12" w14:textId="77777777" w:rsidR="00863C61" w:rsidRDefault="00863C61" w:rsidP="00B15586"/>
    <w:p w14:paraId="71D9E38C" w14:textId="77777777" w:rsidR="003C129B" w:rsidRDefault="003C129B" w:rsidP="00B15586">
      <w:pPr>
        <w:spacing w:after="200" w:line="276" w:lineRule="auto"/>
        <w:rPr>
          <w:rFonts w:eastAsiaTheme="majorEastAsia" w:cstheme="majorBidi"/>
          <w:b/>
          <w:bCs/>
          <w:iCs/>
          <w:color w:val="1F497D" w:themeColor="text2"/>
          <w:spacing w:val="5"/>
          <w:kern w:val="28"/>
          <w:sz w:val="36"/>
          <w:szCs w:val="26"/>
        </w:rPr>
      </w:pPr>
      <w:r>
        <w:br w:type="page"/>
      </w:r>
    </w:p>
    <w:p w14:paraId="4EFB56DD" w14:textId="3D18D1FC" w:rsidR="002F6188" w:rsidRDefault="00863988" w:rsidP="00863988">
      <w:pPr>
        <w:pStyle w:val="Figureheading"/>
        <w:ind w:left="720" w:hanging="720"/>
      </w:pPr>
      <w:r>
        <w:lastRenderedPageBreak/>
        <w:t>1.8</w:t>
      </w:r>
      <w:r>
        <w:tab/>
      </w:r>
      <w:r w:rsidR="002F6188">
        <w:t>Number of reports by all major mandated reporter groups combined, compared with other reporter groups c</w:t>
      </w:r>
      <w:r w:rsidR="00036E0C">
        <w:t>ombined, with percentage change</w:t>
      </w:r>
    </w:p>
    <w:tbl>
      <w:tblPr>
        <w:tblW w:w="1475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51"/>
        <w:gridCol w:w="1051"/>
        <w:gridCol w:w="1051"/>
        <w:gridCol w:w="1052"/>
        <w:gridCol w:w="1051"/>
        <w:gridCol w:w="1051"/>
        <w:gridCol w:w="1051"/>
        <w:gridCol w:w="1052"/>
        <w:gridCol w:w="1051"/>
        <w:gridCol w:w="1051"/>
        <w:gridCol w:w="951"/>
        <w:gridCol w:w="1152"/>
      </w:tblGrid>
      <w:tr w:rsidR="00DB41AA" w:rsidRPr="00D43464" w14:paraId="2D59D699" w14:textId="77777777" w:rsidTr="00F2009E">
        <w:trPr>
          <w:trHeight w:val="20"/>
        </w:trPr>
        <w:tc>
          <w:tcPr>
            <w:tcW w:w="2139" w:type="dxa"/>
            <w:shd w:val="clear" w:color="000000" w:fill="95B3D7"/>
            <w:vAlign w:val="center"/>
            <w:hideMark/>
          </w:tcPr>
          <w:p w14:paraId="1B40306F" w14:textId="77777777" w:rsidR="00DB41AA" w:rsidRPr="00D43464" w:rsidRDefault="00DB41AA" w:rsidP="00CE2FDF">
            <w:pPr>
              <w:spacing w:before="0" w:after="60" w:line="276" w:lineRule="auto"/>
              <w:rPr>
                <w:rFonts w:eastAsia="Times New Roman" w:cs="Arial"/>
                <w:b/>
                <w:bCs/>
                <w:lang w:eastAsia="en-AU"/>
              </w:rPr>
            </w:pPr>
          </w:p>
        </w:tc>
        <w:tc>
          <w:tcPr>
            <w:tcW w:w="1051" w:type="dxa"/>
            <w:shd w:val="clear" w:color="000000" w:fill="95B3D7"/>
            <w:vAlign w:val="center"/>
            <w:hideMark/>
          </w:tcPr>
          <w:p w14:paraId="088EC521"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2003</w:t>
            </w:r>
          </w:p>
        </w:tc>
        <w:tc>
          <w:tcPr>
            <w:tcW w:w="1051" w:type="dxa"/>
            <w:shd w:val="clear" w:color="000000" w:fill="95B3D7"/>
            <w:vAlign w:val="center"/>
            <w:hideMark/>
          </w:tcPr>
          <w:p w14:paraId="682D3C4E"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2004</w:t>
            </w:r>
          </w:p>
        </w:tc>
        <w:tc>
          <w:tcPr>
            <w:tcW w:w="1051" w:type="dxa"/>
            <w:shd w:val="clear" w:color="000000" w:fill="95B3D7"/>
            <w:vAlign w:val="center"/>
            <w:hideMark/>
          </w:tcPr>
          <w:p w14:paraId="2A6F7AD1"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2005</w:t>
            </w:r>
          </w:p>
        </w:tc>
        <w:tc>
          <w:tcPr>
            <w:tcW w:w="1052" w:type="dxa"/>
            <w:shd w:val="clear" w:color="000000" w:fill="95B3D7"/>
            <w:vAlign w:val="center"/>
            <w:hideMark/>
          </w:tcPr>
          <w:p w14:paraId="11C76EC8"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2006</w:t>
            </w:r>
          </w:p>
        </w:tc>
        <w:tc>
          <w:tcPr>
            <w:tcW w:w="1051" w:type="dxa"/>
            <w:shd w:val="clear" w:color="000000" w:fill="95B3D7"/>
            <w:vAlign w:val="center"/>
            <w:hideMark/>
          </w:tcPr>
          <w:p w14:paraId="2AF1B3BE"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2007</w:t>
            </w:r>
          </w:p>
        </w:tc>
        <w:tc>
          <w:tcPr>
            <w:tcW w:w="1051" w:type="dxa"/>
            <w:shd w:val="clear" w:color="000000" w:fill="95B3D7"/>
            <w:vAlign w:val="center"/>
            <w:hideMark/>
          </w:tcPr>
          <w:p w14:paraId="158945A2"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2008</w:t>
            </w:r>
          </w:p>
        </w:tc>
        <w:tc>
          <w:tcPr>
            <w:tcW w:w="1051" w:type="dxa"/>
            <w:shd w:val="clear" w:color="000000" w:fill="95B3D7"/>
            <w:vAlign w:val="center"/>
            <w:hideMark/>
          </w:tcPr>
          <w:p w14:paraId="4E4127E0"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2009</w:t>
            </w:r>
          </w:p>
        </w:tc>
        <w:tc>
          <w:tcPr>
            <w:tcW w:w="1052" w:type="dxa"/>
            <w:shd w:val="clear" w:color="000000" w:fill="95B3D7"/>
            <w:vAlign w:val="center"/>
            <w:hideMark/>
          </w:tcPr>
          <w:p w14:paraId="34A395EA"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2010</w:t>
            </w:r>
          </w:p>
        </w:tc>
        <w:tc>
          <w:tcPr>
            <w:tcW w:w="1051" w:type="dxa"/>
            <w:shd w:val="clear" w:color="000000" w:fill="95B3D7"/>
            <w:vAlign w:val="center"/>
            <w:hideMark/>
          </w:tcPr>
          <w:p w14:paraId="02BB0E2C"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2011</w:t>
            </w:r>
          </w:p>
        </w:tc>
        <w:tc>
          <w:tcPr>
            <w:tcW w:w="1051" w:type="dxa"/>
            <w:shd w:val="clear" w:color="000000" w:fill="95B3D7"/>
            <w:vAlign w:val="center"/>
            <w:hideMark/>
          </w:tcPr>
          <w:p w14:paraId="5D1B717E"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2012</w:t>
            </w:r>
          </w:p>
        </w:tc>
        <w:tc>
          <w:tcPr>
            <w:tcW w:w="951" w:type="dxa"/>
            <w:shd w:val="clear" w:color="000000" w:fill="95B3D7"/>
            <w:vAlign w:val="center"/>
            <w:hideMark/>
          </w:tcPr>
          <w:p w14:paraId="00DDE1DF" w14:textId="77777777" w:rsidR="00DB41AA" w:rsidRPr="00D43464" w:rsidRDefault="00DB41AA" w:rsidP="00CE2FDF">
            <w:pPr>
              <w:spacing w:before="0" w:after="60" w:line="276" w:lineRule="auto"/>
              <w:jc w:val="right"/>
              <w:rPr>
                <w:rFonts w:eastAsia="Times New Roman" w:cs="Arial"/>
                <w:b/>
                <w:bCs/>
                <w:lang w:eastAsia="en-AU"/>
              </w:rPr>
            </w:pPr>
            <w:r w:rsidRPr="00D43464">
              <w:rPr>
                <w:rFonts w:eastAsia="Times New Roman" w:cs="Arial"/>
                <w:b/>
                <w:bCs/>
                <w:lang w:eastAsia="en-AU"/>
              </w:rPr>
              <w:t>Totals</w:t>
            </w:r>
          </w:p>
        </w:tc>
        <w:tc>
          <w:tcPr>
            <w:tcW w:w="1152" w:type="dxa"/>
            <w:shd w:val="clear" w:color="000000" w:fill="95B3D7"/>
            <w:vAlign w:val="center"/>
          </w:tcPr>
          <w:p w14:paraId="5B2ECC20" w14:textId="77777777" w:rsidR="00DB41AA" w:rsidRPr="00D43464" w:rsidRDefault="00AC4C50" w:rsidP="00CE2FDF">
            <w:pPr>
              <w:spacing w:before="0" w:after="60" w:line="276" w:lineRule="auto"/>
              <w:jc w:val="right"/>
              <w:rPr>
                <w:rFonts w:eastAsia="Times New Roman" w:cs="Arial"/>
                <w:b/>
                <w:bCs/>
                <w:lang w:eastAsia="en-AU"/>
              </w:rPr>
            </w:pPr>
            <w:r>
              <w:rPr>
                <w:rFonts w:eastAsia="Times New Roman" w:cs="Arial"/>
                <w:b/>
                <w:bCs/>
                <w:lang w:eastAsia="en-AU"/>
              </w:rPr>
              <w:t>% change</w:t>
            </w:r>
          </w:p>
        </w:tc>
      </w:tr>
      <w:tr w:rsidR="002F6188" w:rsidRPr="00D43464" w14:paraId="658AF4AD" w14:textId="77777777" w:rsidTr="00F2009E">
        <w:trPr>
          <w:trHeight w:val="20"/>
        </w:trPr>
        <w:tc>
          <w:tcPr>
            <w:tcW w:w="2139" w:type="dxa"/>
            <w:shd w:val="clear" w:color="auto" w:fill="auto"/>
            <w:hideMark/>
          </w:tcPr>
          <w:p w14:paraId="6A8A6AE5"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Major mandated reporter groups combined</w:t>
            </w:r>
          </w:p>
        </w:tc>
        <w:tc>
          <w:tcPr>
            <w:tcW w:w="1051" w:type="dxa"/>
            <w:shd w:val="clear" w:color="auto" w:fill="auto"/>
            <w:vAlign w:val="center"/>
            <w:hideMark/>
          </w:tcPr>
          <w:p w14:paraId="5B33BFB0"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12</w:t>
            </w:r>
            <w:r>
              <w:rPr>
                <w:rFonts w:eastAsia="Times New Roman" w:cs="Arial"/>
                <w:lang w:eastAsia="en-AU"/>
              </w:rPr>
              <w:t>,</w:t>
            </w:r>
            <w:r w:rsidRPr="00D43464">
              <w:rPr>
                <w:rFonts w:eastAsia="Times New Roman" w:cs="Arial"/>
                <w:lang w:eastAsia="en-AU"/>
              </w:rPr>
              <w:t>700</w:t>
            </w:r>
          </w:p>
        </w:tc>
        <w:tc>
          <w:tcPr>
            <w:tcW w:w="1051" w:type="dxa"/>
            <w:shd w:val="clear" w:color="auto" w:fill="auto"/>
            <w:vAlign w:val="center"/>
            <w:hideMark/>
          </w:tcPr>
          <w:p w14:paraId="6B4D9D60"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12</w:t>
            </w:r>
            <w:r>
              <w:rPr>
                <w:rFonts w:eastAsia="Times New Roman" w:cs="Arial"/>
                <w:lang w:eastAsia="en-AU"/>
              </w:rPr>
              <w:t>,</w:t>
            </w:r>
            <w:r w:rsidRPr="00D43464">
              <w:rPr>
                <w:rFonts w:eastAsia="Times New Roman" w:cs="Arial"/>
                <w:lang w:eastAsia="en-AU"/>
              </w:rPr>
              <w:t>616</w:t>
            </w:r>
          </w:p>
        </w:tc>
        <w:tc>
          <w:tcPr>
            <w:tcW w:w="1051" w:type="dxa"/>
            <w:shd w:val="clear" w:color="auto" w:fill="auto"/>
            <w:vAlign w:val="center"/>
            <w:hideMark/>
          </w:tcPr>
          <w:p w14:paraId="1B9B4EEF"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12</w:t>
            </w:r>
            <w:r>
              <w:rPr>
                <w:rFonts w:eastAsia="Times New Roman" w:cs="Arial"/>
                <w:lang w:eastAsia="en-AU"/>
              </w:rPr>
              <w:t>,</w:t>
            </w:r>
            <w:r w:rsidRPr="00D43464">
              <w:rPr>
                <w:rFonts w:eastAsia="Times New Roman" w:cs="Arial"/>
                <w:lang w:eastAsia="en-AU"/>
              </w:rPr>
              <w:t>948</w:t>
            </w:r>
          </w:p>
        </w:tc>
        <w:tc>
          <w:tcPr>
            <w:tcW w:w="1052" w:type="dxa"/>
            <w:shd w:val="clear" w:color="auto" w:fill="auto"/>
            <w:vAlign w:val="center"/>
            <w:hideMark/>
          </w:tcPr>
          <w:p w14:paraId="302FDF65"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13</w:t>
            </w:r>
            <w:r>
              <w:rPr>
                <w:rFonts w:eastAsia="Times New Roman" w:cs="Arial"/>
                <w:lang w:eastAsia="en-AU"/>
              </w:rPr>
              <w:t>,</w:t>
            </w:r>
            <w:r w:rsidRPr="00D43464">
              <w:rPr>
                <w:rFonts w:eastAsia="Times New Roman" w:cs="Arial"/>
                <w:lang w:eastAsia="en-AU"/>
              </w:rPr>
              <w:t>756</w:t>
            </w:r>
          </w:p>
        </w:tc>
        <w:tc>
          <w:tcPr>
            <w:tcW w:w="1051" w:type="dxa"/>
            <w:shd w:val="clear" w:color="auto" w:fill="auto"/>
            <w:vAlign w:val="center"/>
            <w:hideMark/>
          </w:tcPr>
          <w:p w14:paraId="379A04DA"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14</w:t>
            </w:r>
            <w:r>
              <w:rPr>
                <w:rFonts w:eastAsia="Times New Roman" w:cs="Arial"/>
                <w:lang w:eastAsia="en-AU"/>
              </w:rPr>
              <w:t>,</w:t>
            </w:r>
            <w:r w:rsidRPr="00D43464">
              <w:rPr>
                <w:rFonts w:eastAsia="Times New Roman" w:cs="Arial"/>
                <w:lang w:eastAsia="en-AU"/>
              </w:rPr>
              <w:t>405</w:t>
            </w:r>
          </w:p>
        </w:tc>
        <w:tc>
          <w:tcPr>
            <w:tcW w:w="1051" w:type="dxa"/>
            <w:shd w:val="clear" w:color="auto" w:fill="auto"/>
            <w:vAlign w:val="center"/>
            <w:hideMark/>
          </w:tcPr>
          <w:p w14:paraId="2AB8ECE6"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16</w:t>
            </w:r>
            <w:r>
              <w:rPr>
                <w:rFonts w:eastAsia="Times New Roman" w:cs="Arial"/>
                <w:lang w:eastAsia="en-AU"/>
              </w:rPr>
              <w:t>,</w:t>
            </w:r>
            <w:r w:rsidRPr="00D43464">
              <w:rPr>
                <w:rFonts w:eastAsia="Times New Roman" w:cs="Arial"/>
                <w:lang w:eastAsia="en-AU"/>
              </w:rPr>
              <w:t>918</w:t>
            </w:r>
          </w:p>
        </w:tc>
        <w:tc>
          <w:tcPr>
            <w:tcW w:w="1051" w:type="dxa"/>
            <w:shd w:val="clear" w:color="auto" w:fill="auto"/>
            <w:vAlign w:val="center"/>
            <w:hideMark/>
          </w:tcPr>
          <w:p w14:paraId="1364F4E5"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19</w:t>
            </w:r>
            <w:r>
              <w:rPr>
                <w:rFonts w:eastAsia="Times New Roman" w:cs="Arial"/>
                <w:lang w:eastAsia="en-AU"/>
              </w:rPr>
              <w:t>,</w:t>
            </w:r>
            <w:r w:rsidRPr="00D43464">
              <w:rPr>
                <w:rFonts w:eastAsia="Times New Roman" w:cs="Arial"/>
                <w:lang w:eastAsia="en-AU"/>
              </w:rPr>
              <w:t>503</w:t>
            </w:r>
          </w:p>
        </w:tc>
        <w:tc>
          <w:tcPr>
            <w:tcW w:w="1052" w:type="dxa"/>
            <w:shd w:val="clear" w:color="auto" w:fill="auto"/>
            <w:vAlign w:val="center"/>
            <w:hideMark/>
          </w:tcPr>
          <w:p w14:paraId="2313B7A8"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24</w:t>
            </w:r>
            <w:r>
              <w:rPr>
                <w:rFonts w:eastAsia="Times New Roman" w:cs="Arial"/>
                <w:lang w:eastAsia="en-AU"/>
              </w:rPr>
              <w:t>,</w:t>
            </w:r>
            <w:r w:rsidRPr="00D43464">
              <w:rPr>
                <w:rFonts w:eastAsia="Times New Roman" w:cs="Arial"/>
                <w:lang w:eastAsia="en-AU"/>
              </w:rPr>
              <w:t>759</w:t>
            </w:r>
          </w:p>
        </w:tc>
        <w:tc>
          <w:tcPr>
            <w:tcW w:w="1051" w:type="dxa"/>
            <w:shd w:val="clear" w:color="auto" w:fill="auto"/>
            <w:vAlign w:val="center"/>
            <w:hideMark/>
          </w:tcPr>
          <w:p w14:paraId="46795FED"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27</w:t>
            </w:r>
            <w:r>
              <w:rPr>
                <w:rFonts w:eastAsia="Times New Roman" w:cs="Arial"/>
                <w:lang w:eastAsia="en-AU"/>
              </w:rPr>
              <w:t>,</w:t>
            </w:r>
            <w:r w:rsidRPr="00D43464">
              <w:rPr>
                <w:rFonts w:eastAsia="Times New Roman" w:cs="Arial"/>
                <w:lang w:eastAsia="en-AU"/>
              </w:rPr>
              <w:t>879</w:t>
            </w:r>
          </w:p>
        </w:tc>
        <w:tc>
          <w:tcPr>
            <w:tcW w:w="1051" w:type="dxa"/>
            <w:shd w:val="clear" w:color="auto" w:fill="auto"/>
            <w:vAlign w:val="center"/>
            <w:hideMark/>
          </w:tcPr>
          <w:p w14:paraId="3961F445"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34</w:t>
            </w:r>
            <w:r>
              <w:rPr>
                <w:rFonts w:eastAsia="Times New Roman" w:cs="Arial"/>
                <w:lang w:eastAsia="en-AU"/>
              </w:rPr>
              <w:t>,</w:t>
            </w:r>
            <w:r w:rsidRPr="00D43464">
              <w:rPr>
                <w:rFonts w:eastAsia="Times New Roman" w:cs="Arial"/>
                <w:lang w:eastAsia="en-AU"/>
              </w:rPr>
              <w:t>944</w:t>
            </w:r>
          </w:p>
        </w:tc>
        <w:tc>
          <w:tcPr>
            <w:tcW w:w="951" w:type="dxa"/>
            <w:shd w:val="clear" w:color="auto" w:fill="DBE5F1" w:themeFill="accent1" w:themeFillTint="33"/>
            <w:vAlign w:val="center"/>
            <w:hideMark/>
          </w:tcPr>
          <w:p w14:paraId="7DE4C77D" w14:textId="77777777" w:rsidR="002F6188" w:rsidRPr="00D43464" w:rsidRDefault="002F6188" w:rsidP="00CE2FDF">
            <w:pPr>
              <w:spacing w:before="0" w:line="276" w:lineRule="auto"/>
              <w:jc w:val="right"/>
              <w:rPr>
                <w:rFonts w:cs="Arial"/>
                <w:b/>
              </w:rPr>
            </w:pPr>
            <w:r w:rsidRPr="00D43464">
              <w:rPr>
                <w:rFonts w:cs="Arial"/>
                <w:b/>
              </w:rPr>
              <w:t>190</w:t>
            </w:r>
            <w:r>
              <w:rPr>
                <w:rFonts w:cs="Arial"/>
                <w:b/>
              </w:rPr>
              <w:t>,</w:t>
            </w:r>
            <w:r w:rsidRPr="00D43464">
              <w:rPr>
                <w:rFonts w:cs="Arial"/>
                <w:b/>
              </w:rPr>
              <w:t>428</w:t>
            </w:r>
          </w:p>
        </w:tc>
        <w:tc>
          <w:tcPr>
            <w:tcW w:w="1152" w:type="dxa"/>
            <w:shd w:val="clear" w:color="auto" w:fill="DBE5F1" w:themeFill="accent1" w:themeFillTint="33"/>
            <w:vAlign w:val="center"/>
          </w:tcPr>
          <w:p w14:paraId="4CC6111A"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175%</w:t>
            </w:r>
          </w:p>
        </w:tc>
      </w:tr>
      <w:tr w:rsidR="002F6188" w:rsidRPr="00D43464" w14:paraId="07831CC7" w14:textId="77777777" w:rsidTr="00F2009E">
        <w:trPr>
          <w:trHeight w:val="20"/>
        </w:trPr>
        <w:tc>
          <w:tcPr>
            <w:tcW w:w="2139" w:type="dxa"/>
            <w:shd w:val="clear" w:color="auto" w:fill="auto"/>
            <w:hideMark/>
          </w:tcPr>
          <w:p w14:paraId="1ED96FB6"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Other reporter groups combined</w:t>
            </w:r>
          </w:p>
        </w:tc>
        <w:tc>
          <w:tcPr>
            <w:tcW w:w="1051" w:type="dxa"/>
            <w:shd w:val="clear" w:color="auto" w:fill="auto"/>
            <w:vAlign w:val="center"/>
            <w:hideMark/>
          </w:tcPr>
          <w:p w14:paraId="169F4AF3"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24</w:t>
            </w:r>
            <w:r>
              <w:rPr>
                <w:rFonts w:eastAsia="Times New Roman" w:cs="Arial"/>
                <w:lang w:eastAsia="en-AU"/>
              </w:rPr>
              <w:t>,</w:t>
            </w:r>
            <w:r w:rsidRPr="00D43464">
              <w:rPr>
                <w:rFonts w:eastAsia="Times New Roman" w:cs="Arial"/>
                <w:lang w:eastAsia="en-AU"/>
              </w:rPr>
              <w:t>567</w:t>
            </w:r>
          </w:p>
        </w:tc>
        <w:tc>
          <w:tcPr>
            <w:tcW w:w="1051" w:type="dxa"/>
            <w:shd w:val="clear" w:color="auto" w:fill="auto"/>
            <w:vAlign w:val="center"/>
            <w:hideMark/>
          </w:tcPr>
          <w:p w14:paraId="780AF7BC"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25</w:t>
            </w:r>
            <w:r>
              <w:rPr>
                <w:rFonts w:eastAsia="Times New Roman" w:cs="Arial"/>
                <w:lang w:eastAsia="en-AU"/>
              </w:rPr>
              <w:t>,</w:t>
            </w:r>
            <w:r w:rsidRPr="00D43464">
              <w:rPr>
                <w:rFonts w:eastAsia="Times New Roman" w:cs="Arial"/>
                <w:lang w:eastAsia="en-AU"/>
              </w:rPr>
              <w:t>033</w:t>
            </w:r>
          </w:p>
        </w:tc>
        <w:tc>
          <w:tcPr>
            <w:tcW w:w="1051" w:type="dxa"/>
            <w:shd w:val="clear" w:color="auto" w:fill="auto"/>
            <w:vAlign w:val="center"/>
            <w:hideMark/>
          </w:tcPr>
          <w:p w14:paraId="57CECE9F"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23</w:t>
            </w:r>
            <w:r>
              <w:rPr>
                <w:rFonts w:eastAsia="Times New Roman" w:cs="Arial"/>
                <w:lang w:eastAsia="en-AU"/>
              </w:rPr>
              <w:t>,</w:t>
            </w:r>
            <w:r w:rsidRPr="00D43464">
              <w:rPr>
                <w:rFonts w:eastAsia="Times New Roman" w:cs="Arial"/>
                <w:lang w:eastAsia="en-AU"/>
              </w:rPr>
              <w:t>709</w:t>
            </w:r>
          </w:p>
        </w:tc>
        <w:tc>
          <w:tcPr>
            <w:tcW w:w="1052" w:type="dxa"/>
            <w:shd w:val="clear" w:color="auto" w:fill="auto"/>
            <w:vAlign w:val="center"/>
            <w:hideMark/>
          </w:tcPr>
          <w:p w14:paraId="33D9962F"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23</w:t>
            </w:r>
            <w:r>
              <w:rPr>
                <w:rFonts w:eastAsia="Times New Roman" w:cs="Arial"/>
                <w:lang w:eastAsia="en-AU"/>
              </w:rPr>
              <w:t>,</w:t>
            </w:r>
            <w:r w:rsidRPr="00D43464">
              <w:rPr>
                <w:rFonts w:eastAsia="Times New Roman" w:cs="Arial"/>
                <w:lang w:eastAsia="en-AU"/>
              </w:rPr>
              <w:t>937</w:t>
            </w:r>
          </w:p>
        </w:tc>
        <w:tc>
          <w:tcPr>
            <w:tcW w:w="1051" w:type="dxa"/>
            <w:shd w:val="clear" w:color="auto" w:fill="auto"/>
            <w:vAlign w:val="center"/>
            <w:hideMark/>
          </w:tcPr>
          <w:p w14:paraId="3D635C8B"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24</w:t>
            </w:r>
            <w:r>
              <w:rPr>
                <w:rFonts w:eastAsia="Times New Roman" w:cs="Arial"/>
                <w:lang w:eastAsia="en-AU"/>
              </w:rPr>
              <w:t>,</w:t>
            </w:r>
            <w:r w:rsidRPr="00D43464">
              <w:rPr>
                <w:rFonts w:eastAsia="Times New Roman" w:cs="Arial"/>
                <w:lang w:eastAsia="en-AU"/>
              </w:rPr>
              <w:t>369</w:t>
            </w:r>
          </w:p>
        </w:tc>
        <w:tc>
          <w:tcPr>
            <w:tcW w:w="1051" w:type="dxa"/>
            <w:shd w:val="clear" w:color="auto" w:fill="auto"/>
            <w:vAlign w:val="center"/>
            <w:hideMark/>
          </w:tcPr>
          <w:p w14:paraId="27E227AD"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24</w:t>
            </w:r>
            <w:r>
              <w:rPr>
                <w:rFonts w:eastAsia="Times New Roman" w:cs="Arial"/>
                <w:lang w:eastAsia="en-AU"/>
              </w:rPr>
              <w:t>,</w:t>
            </w:r>
            <w:r w:rsidRPr="00D43464">
              <w:rPr>
                <w:rFonts w:eastAsia="Times New Roman" w:cs="Arial"/>
                <w:lang w:eastAsia="en-AU"/>
              </w:rPr>
              <w:t>777</w:t>
            </w:r>
          </w:p>
        </w:tc>
        <w:tc>
          <w:tcPr>
            <w:tcW w:w="1051" w:type="dxa"/>
            <w:shd w:val="clear" w:color="auto" w:fill="auto"/>
            <w:vAlign w:val="center"/>
            <w:hideMark/>
          </w:tcPr>
          <w:p w14:paraId="2A18CFE5"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25</w:t>
            </w:r>
            <w:r>
              <w:rPr>
                <w:rFonts w:eastAsia="Times New Roman" w:cs="Arial"/>
                <w:lang w:eastAsia="en-AU"/>
              </w:rPr>
              <w:t>,</w:t>
            </w:r>
            <w:r w:rsidRPr="00D43464">
              <w:rPr>
                <w:rFonts w:eastAsia="Times New Roman" w:cs="Arial"/>
                <w:lang w:eastAsia="en-AU"/>
              </w:rPr>
              <w:t>267</w:t>
            </w:r>
          </w:p>
        </w:tc>
        <w:tc>
          <w:tcPr>
            <w:tcW w:w="1052" w:type="dxa"/>
            <w:shd w:val="clear" w:color="auto" w:fill="auto"/>
            <w:vAlign w:val="center"/>
            <w:hideMark/>
          </w:tcPr>
          <w:p w14:paraId="14EC58F0"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27</w:t>
            </w:r>
            <w:r>
              <w:rPr>
                <w:rFonts w:eastAsia="Times New Roman" w:cs="Arial"/>
                <w:lang w:eastAsia="en-AU"/>
              </w:rPr>
              <w:t>,</w:t>
            </w:r>
            <w:r w:rsidRPr="00D43464">
              <w:rPr>
                <w:rFonts w:eastAsia="Times New Roman" w:cs="Arial"/>
                <w:lang w:eastAsia="en-AU"/>
              </w:rPr>
              <w:t>276</w:t>
            </w:r>
          </w:p>
        </w:tc>
        <w:tc>
          <w:tcPr>
            <w:tcW w:w="1051" w:type="dxa"/>
            <w:shd w:val="clear" w:color="auto" w:fill="auto"/>
            <w:vAlign w:val="center"/>
            <w:hideMark/>
          </w:tcPr>
          <w:p w14:paraId="4A1CB35F"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31</w:t>
            </w:r>
            <w:r>
              <w:rPr>
                <w:rFonts w:eastAsia="Times New Roman" w:cs="Arial"/>
                <w:lang w:eastAsia="en-AU"/>
              </w:rPr>
              <w:t>,</w:t>
            </w:r>
            <w:r w:rsidRPr="00D43464">
              <w:rPr>
                <w:rFonts w:eastAsia="Times New Roman" w:cs="Arial"/>
                <w:lang w:eastAsia="en-AU"/>
              </w:rPr>
              <w:t>053</w:t>
            </w:r>
          </w:p>
        </w:tc>
        <w:tc>
          <w:tcPr>
            <w:tcW w:w="1051" w:type="dxa"/>
            <w:shd w:val="clear" w:color="auto" w:fill="auto"/>
            <w:vAlign w:val="center"/>
            <w:hideMark/>
          </w:tcPr>
          <w:p w14:paraId="4A1A2897" w14:textId="77777777" w:rsidR="002F6188" w:rsidRPr="00D43464" w:rsidRDefault="002F6188" w:rsidP="00CE2FDF">
            <w:pPr>
              <w:spacing w:before="0" w:after="60" w:line="276" w:lineRule="auto"/>
              <w:jc w:val="right"/>
              <w:rPr>
                <w:rFonts w:eastAsia="Times New Roman" w:cs="Arial"/>
                <w:lang w:eastAsia="en-AU"/>
              </w:rPr>
            </w:pPr>
            <w:r w:rsidRPr="00D43464">
              <w:rPr>
                <w:rFonts w:eastAsia="Times New Roman" w:cs="Arial"/>
                <w:lang w:eastAsia="en-AU"/>
              </w:rPr>
              <w:t>33</w:t>
            </w:r>
            <w:r>
              <w:rPr>
                <w:rFonts w:eastAsia="Times New Roman" w:cs="Arial"/>
                <w:lang w:eastAsia="en-AU"/>
              </w:rPr>
              <w:t>,</w:t>
            </w:r>
            <w:r w:rsidRPr="00D43464">
              <w:rPr>
                <w:rFonts w:eastAsia="Times New Roman" w:cs="Arial"/>
                <w:lang w:eastAsia="en-AU"/>
              </w:rPr>
              <w:t>704</w:t>
            </w:r>
          </w:p>
        </w:tc>
        <w:tc>
          <w:tcPr>
            <w:tcW w:w="951" w:type="dxa"/>
            <w:shd w:val="clear" w:color="auto" w:fill="DBE5F1" w:themeFill="accent1" w:themeFillTint="33"/>
            <w:vAlign w:val="center"/>
            <w:hideMark/>
          </w:tcPr>
          <w:p w14:paraId="689403F7" w14:textId="77777777" w:rsidR="002F6188" w:rsidRPr="00D43464" w:rsidRDefault="002F6188" w:rsidP="00CE2FDF">
            <w:pPr>
              <w:spacing w:before="0" w:line="276" w:lineRule="auto"/>
              <w:jc w:val="right"/>
              <w:rPr>
                <w:rFonts w:cs="Arial"/>
                <w:b/>
              </w:rPr>
            </w:pPr>
            <w:r w:rsidRPr="00D43464">
              <w:rPr>
                <w:rFonts w:cs="Arial"/>
                <w:b/>
              </w:rPr>
              <w:t>263</w:t>
            </w:r>
            <w:r>
              <w:rPr>
                <w:rFonts w:cs="Arial"/>
                <w:b/>
              </w:rPr>
              <w:t>,</w:t>
            </w:r>
            <w:r w:rsidRPr="00D43464">
              <w:rPr>
                <w:rFonts w:cs="Arial"/>
                <w:b/>
              </w:rPr>
              <w:t>692</w:t>
            </w:r>
          </w:p>
        </w:tc>
        <w:tc>
          <w:tcPr>
            <w:tcW w:w="1152" w:type="dxa"/>
            <w:shd w:val="clear" w:color="auto" w:fill="DBE5F1" w:themeFill="accent1" w:themeFillTint="33"/>
            <w:vAlign w:val="center"/>
          </w:tcPr>
          <w:p w14:paraId="11691624"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37%</w:t>
            </w:r>
          </w:p>
        </w:tc>
      </w:tr>
      <w:tr w:rsidR="00D43464" w:rsidRPr="00D43464" w14:paraId="752DC656" w14:textId="77777777" w:rsidTr="00F2009E">
        <w:trPr>
          <w:trHeight w:val="20"/>
        </w:trPr>
        <w:tc>
          <w:tcPr>
            <w:tcW w:w="2139" w:type="dxa"/>
            <w:shd w:val="clear" w:color="auto" w:fill="95B3D7" w:themeFill="accent1" w:themeFillTint="99"/>
          </w:tcPr>
          <w:p w14:paraId="4BF3AC86" w14:textId="77777777" w:rsidR="00D43464" w:rsidRPr="00D43464" w:rsidRDefault="00D43464" w:rsidP="00CE2FDF">
            <w:pPr>
              <w:spacing w:before="0" w:after="60" w:line="276" w:lineRule="auto"/>
              <w:rPr>
                <w:rFonts w:eastAsia="Times New Roman" w:cs="Arial"/>
                <w:b/>
                <w:bCs/>
                <w:lang w:eastAsia="en-AU"/>
              </w:rPr>
            </w:pPr>
            <w:r w:rsidRPr="00D43464">
              <w:rPr>
                <w:rFonts w:eastAsia="Times New Roman" w:cs="Arial"/>
                <w:b/>
                <w:bCs/>
                <w:lang w:eastAsia="en-AU"/>
              </w:rPr>
              <w:t>Totals</w:t>
            </w:r>
          </w:p>
        </w:tc>
        <w:tc>
          <w:tcPr>
            <w:tcW w:w="1051" w:type="dxa"/>
            <w:shd w:val="clear" w:color="auto" w:fill="95B3D7" w:themeFill="accent1" w:themeFillTint="99"/>
            <w:vAlign w:val="center"/>
          </w:tcPr>
          <w:p w14:paraId="5E2E6D4A" w14:textId="77777777" w:rsidR="00D43464" w:rsidRPr="00D43464" w:rsidRDefault="00D43464" w:rsidP="00CE2FDF">
            <w:pPr>
              <w:spacing w:before="0" w:line="276" w:lineRule="auto"/>
              <w:jc w:val="right"/>
              <w:rPr>
                <w:rFonts w:cs="Arial"/>
                <w:b/>
                <w:bCs/>
              </w:rPr>
            </w:pPr>
            <w:r w:rsidRPr="00D43464">
              <w:rPr>
                <w:rFonts w:cs="Arial"/>
                <w:b/>
                <w:bCs/>
              </w:rPr>
              <w:t>37,267</w:t>
            </w:r>
          </w:p>
        </w:tc>
        <w:tc>
          <w:tcPr>
            <w:tcW w:w="1051" w:type="dxa"/>
            <w:shd w:val="clear" w:color="auto" w:fill="95B3D7" w:themeFill="accent1" w:themeFillTint="99"/>
            <w:vAlign w:val="center"/>
          </w:tcPr>
          <w:p w14:paraId="36239D34" w14:textId="77777777" w:rsidR="00D43464" w:rsidRPr="00D43464" w:rsidRDefault="00D43464" w:rsidP="00CE2FDF">
            <w:pPr>
              <w:spacing w:before="0" w:line="276" w:lineRule="auto"/>
              <w:jc w:val="right"/>
              <w:rPr>
                <w:rFonts w:cs="Arial"/>
                <w:b/>
                <w:bCs/>
              </w:rPr>
            </w:pPr>
            <w:r w:rsidRPr="00D43464">
              <w:rPr>
                <w:rFonts w:cs="Arial"/>
                <w:b/>
                <w:bCs/>
              </w:rPr>
              <w:t>37,649</w:t>
            </w:r>
          </w:p>
        </w:tc>
        <w:tc>
          <w:tcPr>
            <w:tcW w:w="1051" w:type="dxa"/>
            <w:shd w:val="clear" w:color="auto" w:fill="95B3D7" w:themeFill="accent1" w:themeFillTint="99"/>
            <w:vAlign w:val="center"/>
          </w:tcPr>
          <w:p w14:paraId="0F52AE42" w14:textId="77777777" w:rsidR="00D43464" w:rsidRPr="00D43464" w:rsidRDefault="00D43464" w:rsidP="00CE2FDF">
            <w:pPr>
              <w:spacing w:before="0" w:line="276" w:lineRule="auto"/>
              <w:jc w:val="right"/>
              <w:rPr>
                <w:rFonts w:cs="Arial"/>
                <w:b/>
              </w:rPr>
            </w:pPr>
            <w:r w:rsidRPr="00D43464">
              <w:rPr>
                <w:rFonts w:cs="Arial"/>
                <w:b/>
                <w:bCs/>
              </w:rPr>
              <w:t>36,657</w:t>
            </w:r>
          </w:p>
        </w:tc>
        <w:tc>
          <w:tcPr>
            <w:tcW w:w="1052" w:type="dxa"/>
            <w:shd w:val="clear" w:color="auto" w:fill="95B3D7" w:themeFill="accent1" w:themeFillTint="99"/>
            <w:vAlign w:val="center"/>
          </w:tcPr>
          <w:p w14:paraId="71F3CFB3" w14:textId="77777777" w:rsidR="00D43464" w:rsidRPr="00D43464" w:rsidRDefault="00D43464" w:rsidP="00CE2FDF">
            <w:pPr>
              <w:spacing w:before="0" w:line="276" w:lineRule="auto"/>
              <w:jc w:val="right"/>
              <w:rPr>
                <w:rFonts w:cs="Arial"/>
                <w:b/>
                <w:bCs/>
              </w:rPr>
            </w:pPr>
            <w:r w:rsidRPr="00D43464">
              <w:rPr>
                <w:rFonts w:cs="Arial"/>
                <w:b/>
                <w:bCs/>
              </w:rPr>
              <w:t>37,693</w:t>
            </w:r>
          </w:p>
        </w:tc>
        <w:tc>
          <w:tcPr>
            <w:tcW w:w="1051" w:type="dxa"/>
            <w:shd w:val="clear" w:color="auto" w:fill="95B3D7" w:themeFill="accent1" w:themeFillTint="99"/>
            <w:vAlign w:val="center"/>
          </w:tcPr>
          <w:p w14:paraId="3173E8EF" w14:textId="77777777" w:rsidR="00D43464" w:rsidRPr="00D43464" w:rsidRDefault="00D43464" w:rsidP="00CE2FDF">
            <w:pPr>
              <w:spacing w:before="0" w:line="276" w:lineRule="auto"/>
              <w:jc w:val="right"/>
              <w:rPr>
                <w:rFonts w:cs="Arial"/>
                <w:b/>
              </w:rPr>
            </w:pPr>
            <w:r w:rsidRPr="00D43464">
              <w:rPr>
                <w:rFonts w:cs="Arial"/>
                <w:b/>
                <w:bCs/>
              </w:rPr>
              <w:t>38,774</w:t>
            </w:r>
          </w:p>
        </w:tc>
        <w:tc>
          <w:tcPr>
            <w:tcW w:w="1051" w:type="dxa"/>
            <w:shd w:val="clear" w:color="auto" w:fill="95B3D7" w:themeFill="accent1" w:themeFillTint="99"/>
            <w:vAlign w:val="center"/>
          </w:tcPr>
          <w:p w14:paraId="46BBE9AC" w14:textId="77777777" w:rsidR="00D43464" w:rsidRPr="00D43464" w:rsidRDefault="00D43464" w:rsidP="00CE2FDF">
            <w:pPr>
              <w:spacing w:before="0" w:line="276" w:lineRule="auto"/>
              <w:jc w:val="right"/>
              <w:rPr>
                <w:rFonts w:cs="Arial"/>
                <w:b/>
                <w:bCs/>
              </w:rPr>
            </w:pPr>
            <w:r w:rsidRPr="00D43464">
              <w:rPr>
                <w:rFonts w:cs="Arial"/>
                <w:b/>
                <w:bCs/>
              </w:rPr>
              <w:t>41,695</w:t>
            </w:r>
          </w:p>
        </w:tc>
        <w:tc>
          <w:tcPr>
            <w:tcW w:w="1051" w:type="dxa"/>
            <w:shd w:val="clear" w:color="auto" w:fill="95B3D7" w:themeFill="accent1" w:themeFillTint="99"/>
            <w:vAlign w:val="center"/>
          </w:tcPr>
          <w:p w14:paraId="320044F3" w14:textId="77777777" w:rsidR="00D43464" w:rsidRPr="00D43464" w:rsidRDefault="00D43464" w:rsidP="00CE2FDF">
            <w:pPr>
              <w:spacing w:before="0" w:line="276" w:lineRule="auto"/>
              <w:jc w:val="right"/>
              <w:rPr>
                <w:rFonts w:cs="Arial"/>
                <w:b/>
              </w:rPr>
            </w:pPr>
            <w:r w:rsidRPr="00D43464">
              <w:rPr>
                <w:rFonts w:cs="Arial"/>
                <w:b/>
                <w:bCs/>
              </w:rPr>
              <w:t>44,770</w:t>
            </w:r>
          </w:p>
        </w:tc>
        <w:tc>
          <w:tcPr>
            <w:tcW w:w="1052" w:type="dxa"/>
            <w:shd w:val="clear" w:color="auto" w:fill="95B3D7" w:themeFill="accent1" w:themeFillTint="99"/>
            <w:vAlign w:val="center"/>
          </w:tcPr>
          <w:p w14:paraId="4F61F378" w14:textId="77777777" w:rsidR="00D43464" w:rsidRPr="00D43464" w:rsidRDefault="00D43464" w:rsidP="00CE2FDF">
            <w:pPr>
              <w:spacing w:before="0" w:line="276" w:lineRule="auto"/>
              <w:jc w:val="right"/>
              <w:rPr>
                <w:rFonts w:cs="Arial"/>
                <w:b/>
                <w:bCs/>
              </w:rPr>
            </w:pPr>
            <w:r w:rsidRPr="00D43464">
              <w:rPr>
                <w:rFonts w:cs="Arial"/>
                <w:b/>
                <w:bCs/>
              </w:rPr>
              <w:t>52,035</w:t>
            </w:r>
          </w:p>
        </w:tc>
        <w:tc>
          <w:tcPr>
            <w:tcW w:w="1051" w:type="dxa"/>
            <w:shd w:val="clear" w:color="auto" w:fill="95B3D7" w:themeFill="accent1" w:themeFillTint="99"/>
            <w:vAlign w:val="center"/>
          </w:tcPr>
          <w:p w14:paraId="7BC63096" w14:textId="77777777" w:rsidR="00D43464" w:rsidRPr="00D43464" w:rsidRDefault="00D43464" w:rsidP="00CE2FDF">
            <w:pPr>
              <w:spacing w:before="0" w:line="276" w:lineRule="auto"/>
              <w:jc w:val="right"/>
              <w:rPr>
                <w:rFonts w:cs="Arial"/>
                <w:b/>
              </w:rPr>
            </w:pPr>
            <w:r w:rsidRPr="00D43464">
              <w:rPr>
                <w:rFonts w:cs="Arial"/>
                <w:b/>
                <w:bCs/>
              </w:rPr>
              <w:t>58,932</w:t>
            </w:r>
          </w:p>
        </w:tc>
        <w:tc>
          <w:tcPr>
            <w:tcW w:w="1051" w:type="dxa"/>
            <w:shd w:val="clear" w:color="auto" w:fill="95B3D7" w:themeFill="accent1" w:themeFillTint="99"/>
            <w:vAlign w:val="center"/>
          </w:tcPr>
          <w:p w14:paraId="7D42DD34" w14:textId="77777777" w:rsidR="00D43464" w:rsidRPr="00D43464" w:rsidRDefault="00D43464" w:rsidP="00CE2FDF">
            <w:pPr>
              <w:spacing w:before="0" w:line="276" w:lineRule="auto"/>
              <w:jc w:val="right"/>
              <w:rPr>
                <w:rFonts w:cs="Arial"/>
                <w:b/>
                <w:bCs/>
              </w:rPr>
            </w:pPr>
            <w:r w:rsidRPr="00D43464">
              <w:rPr>
                <w:rFonts w:cs="Arial"/>
                <w:b/>
                <w:bCs/>
              </w:rPr>
              <w:t>68,648</w:t>
            </w:r>
          </w:p>
        </w:tc>
        <w:tc>
          <w:tcPr>
            <w:tcW w:w="951" w:type="dxa"/>
            <w:shd w:val="clear" w:color="auto" w:fill="95B3D7" w:themeFill="accent1" w:themeFillTint="99"/>
            <w:vAlign w:val="center"/>
          </w:tcPr>
          <w:p w14:paraId="092D17B1" w14:textId="77777777" w:rsidR="00D43464" w:rsidRPr="00D43464" w:rsidRDefault="00D43464" w:rsidP="00CE2FDF">
            <w:pPr>
              <w:spacing w:before="0" w:line="276" w:lineRule="auto"/>
              <w:jc w:val="right"/>
              <w:rPr>
                <w:rFonts w:cs="Arial"/>
                <w:b/>
              </w:rPr>
            </w:pPr>
            <w:r w:rsidRPr="00D43464">
              <w:rPr>
                <w:rFonts w:cs="Arial"/>
                <w:b/>
              </w:rPr>
              <w:t>454,120</w:t>
            </w:r>
          </w:p>
        </w:tc>
        <w:tc>
          <w:tcPr>
            <w:tcW w:w="1152" w:type="dxa"/>
            <w:shd w:val="clear" w:color="auto" w:fill="95B3D7" w:themeFill="accent1" w:themeFillTint="99"/>
            <w:vAlign w:val="center"/>
          </w:tcPr>
          <w:p w14:paraId="21F2A843" w14:textId="77777777" w:rsidR="00D43464" w:rsidRPr="00D43464" w:rsidRDefault="00D43464" w:rsidP="00CE2FDF">
            <w:pPr>
              <w:spacing w:before="0" w:after="60" w:line="276" w:lineRule="auto"/>
              <w:jc w:val="right"/>
              <w:rPr>
                <w:rFonts w:eastAsia="Times New Roman" w:cs="Arial"/>
                <w:b/>
                <w:lang w:eastAsia="en-AU"/>
              </w:rPr>
            </w:pPr>
            <w:r>
              <w:rPr>
                <w:rFonts w:eastAsia="Times New Roman" w:cs="Arial"/>
                <w:b/>
                <w:lang w:eastAsia="en-AU"/>
              </w:rPr>
              <w:t>84%</w:t>
            </w:r>
          </w:p>
        </w:tc>
      </w:tr>
    </w:tbl>
    <w:p w14:paraId="29F949AD" w14:textId="60C09834" w:rsidR="00A152D9" w:rsidRPr="00474D52" w:rsidRDefault="003E1200" w:rsidP="005E613E">
      <w:pPr>
        <w:pStyle w:val="Heading6"/>
        <w:spacing w:before="240" w:after="240"/>
      </w:pPr>
      <w:r w:rsidRPr="00474D52">
        <w:t>Line graph for table 1.8: Number of reports by all major mandated reporter groups combined, compared with other reporter groups combined</w:t>
      </w:r>
    </w:p>
    <w:p w14:paraId="0C9912AD" w14:textId="77777777" w:rsidR="00BA154E" w:rsidRDefault="002F6188" w:rsidP="00B15586">
      <w:r>
        <w:rPr>
          <w:noProof/>
          <w:lang w:eastAsia="en-AU"/>
        </w:rPr>
        <w:drawing>
          <wp:inline distT="0" distB="0" distL="0" distR="0" wp14:anchorId="7ECD41A1" wp14:editId="6606ADF6">
            <wp:extent cx="9324975" cy="2867025"/>
            <wp:effectExtent l="0" t="0" r="9525" b="9525"/>
            <wp:docPr id="38" name="Chart 38" descr="Shows reports by major mandated groups combined overtook other reporter groups in 2012 after lagging well behind over decade." title="Line graph for tabl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189250" w14:textId="61557568" w:rsidR="002F6188" w:rsidRDefault="00BA154E" w:rsidP="00CE2FDF">
      <w:pPr>
        <w:pStyle w:val="Figureheading"/>
        <w:ind w:left="810" w:hanging="810"/>
      </w:pPr>
      <w:r>
        <w:lastRenderedPageBreak/>
        <w:t xml:space="preserve"> </w:t>
      </w:r>
      <w:r w:rsidR="00863988">
        <w:t>1.9</w:t>
      </w:r>
      <w:r w:rsidR="00863988">
        <w:tab/>
      </w:r>
      <w:r w:rsidR="002F6188">
        <w:t>Number of reports by all major mandated reporter groups combined, compared with other reporter groups combined, as a percentage of all reports</w:t>
      </w:r>
    </w:p>
    <w:tbl>
      <w:tblPr>
        <w:tblW w:w="1475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146"/>
        <w:gridCol w:w="1147"/>
        <w:gridCol w:w="1147"/>
        <w:gridCol w:w="1147"/>
        <w:gridCol w:w="1147"/>
        <w:gridCol w:w="1146"/>
        <w:gridCol w:w="1147"/>
        <w:gridCol w:w="1147"/>
        <w:gridCol w:w="1147"/>
        <w:gridCol w:w="1147"/>
        <w:gridCol w:w="1147"/>
      </w:tblGrid>
      <w:tr w:rsidR="00662D1E" w:rsidRPr="00D43464" w14:paraId="247AFBFF" w14:textId="77777777" w:rsidTr="00C84E96">
        <w:trPr>
          <w:trHeight w:val="20"/>
        </w:trPr>
        <w:tc>
          <w:tcPr>
            <w:tcW w:w="2139" w:type="dxa"/>
            <w:shd w:val="clear" w:color="000000" w:fill="95B3D7"/>
            <w:vAlign w:val="center"/>
            <w:hideMark/>
          </w:tcPr>
          <w:p w14:paraId="54B1BB49" w14:textId="77777777" w:rsidR="00662D1E" w:rsidRPr="00D43464" w:rsidRDefault="00662D1E" w:rsidP="00CE2FDF">
            <w:pPr>
              <w:keepNext/>
              <w:spacing w:before="0" w:after="60" w:line="276" w:lineRule="auto"/>
              <w:rPr>
                <w:rFonts w:eastAsia="Times New Roman" w:cs="Arial"/>
                <w:b/>
                <w:bCs/>
                <w:lang w:eastAsia="en-AU"/>
              </w:rPr>
            </w:pPr>
          </w:p>
        </w:tc>
        <w:tc>
          <w:tcPr>
            <w:tcW w:w="1146" w:type="dxa"/>
            <w:shd w:val="clear" w:color="000000" w:fill="95B3D7"/>
            <w:vAlign w:val="center"/>
            <w:hideMark/>
          </w:tcPr>
          <w:p w14:paraId="416AD083"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2003</w:t>
            </w:r>
          </w:p>
        </w:tc>
        <w:tc>
          <w:tcPr>
            <w:tcW w:w="1147" w:type="dxa"/>
            <w:shd w:val="clear" w:color="000000" w:fill="95B3D7"/>
            <w:vAlign w:val="center"/>
            <w:hideMark/>
          </w:tcPr>
          <w:p w14:paraId="39CE0822"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2004</w:t>
            </w:r>
          </w:p>
        </w:tc>
        <w:tc>
          <w:tcPr>
            <w:tcW w:w="1147" w:type="dxa"/>
            <w:shd w:val="clear" w:color="000000" w:fill="95B3D7"/>
            <w:vAlign w:val="center"/>
            <w:hideMark/>
          </w:tcPr>
          <w:p w14:paraId="301AD253"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2005</w:t>
            </w:r>
          </w:p>
        </w:tc>
        <w:tc>
          <w:tcPr>
            <w:tcW w:w="1147" w:type="dxa"/>
            <w:shd w:val="clear" w:color="000000" w:fill="95B3D7"/>
            <w:vAlign w:val="center"/>
            <w:hideMark/>
          </w:tcPr>
          <w:p w14:paraId="1003890E"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2006</w:t>
            </w:r>
          </w:p>
        </w:tc>
        <w:tc>
          <w:tcPr>
            <w:tcW w:w="1147" w:type="dxa"/>
            <w:shd w:val="clear" w:color="000000" w:fill="95B3D7"/>
            <w:vAlign w:val="center"/>
            <w:hideMark/>
          </w:tcPr>
          <w:p w14:paraId="72AD9BD3"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2007</w:t>
            </w:r>
          </w:p>
        </w:tc>
        <w:tc>
          <w:tcPr>
            <w:tcW w:w="1146" w:type="dxa"/>
            <w:shd w:val="clear" w:color="000000" w:fill="95B3D7"/>
            <w:vAlign w:val="center"/>
            <w:hideMark/>
          </w:tcPr>
          <w:p w14:paraId="093FE145"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2008</w:t>
            </w:r>
          </w:p>
        </w:tc>
        <w:tc>
          <w:tcPr>
            <w:tcW w:w="1147" w:type="dxa"/>
            <w:shd w:val="clear" w:color="000000" w:fill="95B3D7"/>
            <w:vAlign w:val="center"/>
            <w:hideMark/>
          </w:tcPr>
          <w:p w14:paraId="72B1D208"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2009</w:t>
            </w:r>
          </w:p>
        </w:tc>
        <w:tc>
          <w:tcPr>
            <w:tcW w:w="1147" w:type="dxa"/>
            <w:shd w:val="clear" w:color="000000" w:fill="95B3D7"/>
            <w:vAlign w:val="center"/>
            <w:hideMark/>
          </w:tcPr>
          <w:p w14:paraId="2AD35F10"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2010</w:t>
            </w:r>
          </w:p>
        </w:tc>
        <w:tc>
          <w:tcPr>
            <w:tcW w:w="1147" w:type="dxa"/>
            <w:shd w:val="clear" w:color="000000" w:fill="95B3D7"/>
            <w:vAlign w:val="center"/>
            <w:hideMark/>
          </w:tcPr>
          <w:p w14:paraId="09F2C0DB"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2011</w:t>
            </w:r>
          </w:p>
        </w:tc>
        <w:tc>
          <w:tcPr>
            <w:tcW w:w="1147" w:type="dxa"/>
            <w:shd w:val="clear" w:color="000000" w:fill="95B3D7"/>
            <w:vAlign w:val="center"/>
            <w:hideMark/>
          </w:tcPr>
          <w:p w14:paraId="40DD5572"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2012</w:t>
            </w:r>
          </w:p>
        </w:tc>
        <w:tc>
          <w:tcPr>
            <w:tcW w:w="1147" w:type="dxa"/>
            <w:shd w:val="clear" w:color="000000" w:fill="95B3D7"/>
            <w:vAlign w:val="center"/>
            <w:hideMark/>
          </w:tcPr>
          <w:p w14:paraId="0623BF9F" w14:textId="77777777" w:rsidR="00662D1E" w:rsidRPr="00D43464" w:rsidRDefault="00662D1E" w:rsidP="00CE2FDF">
            <w:pPr>
              <w:keepNext/>
              <w:spacing w:before="0" w:after="60" w:line="276" w:lineRule="auto"/>
              <w:jc w:val="right"/>
              <w:rPr>
                <w:rFonts w:eastAsia="Times New Roman" w:cs="Arial"/>
                <w:b/>
                <w:bCs/>
                <w:lang w:eastAsia="en-AU"/>
              </w:rPr>
            </w:pPr>
            <w:r w:rsidRPr="00D43464">
              <w:rPr>
                <w:rFonts w:eastAsia="Times New Roman" w:cs="Arial"/>
                <w:b/>
                <w:bCs/>
                <w:lang w:eastAsia="en-AU"/>
              </w:rPr>
              <w:t>Totals</w:t>
            </w:r>
          </w:p>
        </w:tc>
      </w:tr>
      <w:tr w:rsidR="002F6188" w:rsidRPr="00D43464" w14:paraId="26EA9CAD" w14:textId="77777777" w:rsidTr="00C84E96">
        <w:trPr>
          <w:trHeight w:val="20"/>
        </w:trPr>
        <w:tc>
          <w:tcPr>
            <w:tcW w:w="2139" w:type="dxa"/>
            <w:shd w:val="clear" w:color="auto" w:fill="auto"/>
            <w:hideMark/>
          </w:tcPr>
          <w:p w14:paraId="1D22392F"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Major mandated reporter groups combined</w:t>
            </w:r>
          </w:p>
        </w:tc>
        <w:tc>
          <w:tcPr>
            <w:tcW w:w="1146" w:type="dxa"/>
            <w:shd w:val="clear" w:color="auto" w:fill="auto"/>
            <w:vAlign w:val="center"/>
            <w:hideMark/>
          </w:tcPr>
          <w:p w14:paraId="44F887DB"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34%</w:t>
            </w:r>
          </w:p>
        </w:tc>
        <w:tc>
          <w:tcPr>
            <w:tcW w:w="1147" w:type="dxa"/>
            <w:shd w:val="clear" w:color="auto" w:fill="auto"/>
            <w:vAlign w:val="center"/>
            <w:hideMark/>
          </w:tcPr>
          <w:p w14:paraId="0D80B6DA"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34%</w:t>
            </w:r>
          </w:p>
        </w:tc>
        <w:tc>
          <w:tcPr>
            <w:tcW w:w="1147" w:type="dxa"/>
            <w:shd w:val="clear" w:color="auto" w:fill="auto"/>
            <w:vAlign w:val="center"/>
            <w:hideMark/>
          </w:tcPr>
          <w:p w14:paraId="1DF377F4"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35%</w:t>
            </w:r>
          </w:p>
        </w:tc>
        <w:tc>
          <w:tcPr>
            <w:tcW w:w="1147" w:type="dxa"/>
            <w:shd w:val="clear" w:color="auto" w:fill="auto"/>
            <w:vAlign w:val="center"/>
            <w:hideMark/>
          </w:tcPr>
          <w:p w14:paraId="204D8C4E"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36%</w:t>
            </w:r>
          </w:p>
        </w:tc>
        <w:tc>
          <w:tcPr>
            <w:tcW w:w="1147" w:type="dxa"/>
            <w:shd w:val="clear" w:color="auto" w:fill="auto"/>
            <w:vAlign w:val="center"/>
            <w:hideMark/>
          </w:tcPr>
          <w:p w14:paraId="5A0C5CCF"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37%</w:t>
            </w:r>
          </w:p>
        </w:tc>
        <w:tc>
          <w:tcPr>
            <w:tcW w:w="1146" w:type="dxa"/>
            <w:shd w:val="clear" w:color="auto" w:fill="auto"/>
            <w:vAlign w:val="center"/>
            <w:hideMark/>
          </w:tcPr>
          <w:p w14:paraId="27514E30"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41%</w:t>
            </w:r>
          </w:p>
        </w:tc>
        <w:tc>
          <w:tcPr>
            <w:tcW w:w="1147" w:type="dxa"/>
            <w:shd w:val="clear" w:color="auto" w:fill="auto"/>
            <w:vAlign w:val="center"/>
            <w:hideMark/>
          </w:tcPr>
          <w:p w14:paraId="75314ADF"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44%</w:t>
            </w:r>
          </w:p>
        </w:tc>
        <w:tc>
          <w:tcPr>
            <w:tcW w:w="1147" w:type="dxa"/>
            <w:shd w:val="clear" w:color="auto" w:fill="auto"/>
            <w:vAlign w:val="center"/>
            <w:hideMark/>
          </w:tcPr>
          <w:p w14:paraId="7F123921"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48%</w:t>
            </w:r>
          </w:p>
        </w:tc>
        <w:tc>
          <w:tcPr>
            <w:tcW w:w="1147" w:type="dxa"/>
            <w:shd w:val="clear" w:color="auto" w:fill="auto"/>
            <w:vAlign w:val="center"/>
            <w:hideMark/>
          </w:tcPr>
          <w:p w14:paraId="7926AB62"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47%</w:t>
            </w:r>
          </w:p>
        </w:tc>
        <w:tc>
          <w:tcPr>
            <w:tcW w:w="1147" w:type="dxa"/>
            <w:shd w:val="clear" w:color="auto" w:fill="auto"/>
            <w:vAlign w:val="center"/>
            <w:hideMark/>
          </w:tcPr>
          <w:p w14:paraId="5B89CD4E" w14:textId="77777777" w:rsidR="002F6188" w:rsidRPr="00D43464" w:rsidRDefault="002F6188" w:rsidP="00CE2FDF">
            <w:pPr>
              <w:keepNext/>
              <w:spacing w:before="0" w:after="60" w:line="276" w:lineRule="auto"/>
              <w:jc w:val="right"/>
              <w:rPr>
                <w:rFonts w:eastAsia="Times New Roman" w:cs="Arial"/>
                <w:lang w:eastAsia="en-AU"/>
              </w:rPr>
            </w:pPr>
            <w:r>
              <w:rPr>
                <w:rFonts w:eastAsia="Times New Roman" w:cs="Arial"/>
                <w:lang w:eastAsia="en-AU"/>
              </w:rPr>
              <w:t>51%</w:t>
            </w:r>
          </w:p>
        </w:tc>
        <w:tc>
          <w:tcPr>
            <w:tcW w:w="1147" w:type="dxa"/>
            <w:shd w:val="clear" w:color="auto" w:fill="DBE5F1" w:themeFill="accent1" w:themeFillTint="33"/>
            <w:vAlign w:val="center"/>
            <w:hideMark/>
          </w:tcPr>
          <w:p w14:paraId="5096092B" w14:textId="77777777" w:rsidR="002F6188" w:rsidRPr="00D43464" w:rsidRDefault="002F6188" w:rsidP="00CE2FDF">
            <w:pPr>
              <w:keepNext/>
              <w:spacing w:before="0" w:line="276" w:lineRule="auto"/>
              <w:jc w:val="right"/>
              <w:rPr>
                <w:rFonts w:cs="Arial"/>
                <w:b/>
              </w:rPr>
            </w:pPr>
            <w:r>
              <w:rPr>
                <w:rFonts w:cs="Arial"/>
                <w:b/>
              </w:rPr>
              <w:t>42%</w:t>
            </w:r>
          </w:p>
        </w:tc>
      </w:tr>
      <w:tr w:rsidR="002F6188" w:rsidRPr="00D43464" w14:paraId="4C9A0742" w14:textId="77777777" w:rsidTr="00C84E96">
        <w:trPr>
          <w:trHeight w:val="20"/>
        </w:trPr>
        <w:tc>
          <w:tcPr>
            <w:tcW w:w="2139" w:type="dxa"/>
            <w:shd w:val="clear" w:color="auto" w:fill="auto"/>
            <w:hideMark/>
          </w:tcPr>
          <w:p w14:paraId="11895B76"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Other reporter groups combined</w:t>
            </w:r>
          </w:p>
        </w:tc>
        <w:tc>
          <w:tcPr>
            <w:tcW w:w="1146" w:type="dxa"/>
            <w:shd w:val="clear" w:color="auto" w:fill="auto"/>
            <w:vAlign w:val="center"/>
            <w:hideMark/>
          </w:tcPr>
          <w:p w14:paraId="5D8683B3"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66%</w:t>
            </w:r>
          </w:p>
        </w:tc>
        <w:tc>
          <w:tcPr>
            <w:tcW w:w="1147" w:type="dxa"/>
            <w:shd w:val="clear" w:color="auto" w:fill="auto"/>
            <w:vAlign w:val="center"/>
            <w:hideMark/>
          </w:tcPr>
          <w:p w14:paraId="0C774EF6"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66%</w:t>
            </w:r>
          </w:p>
        </w:tc>
        <w:tc>
          <w:tcPr>
            <w:tcW w:w="1147" w:type="dxa"/>
            <w:shd w:val="clear" w:color="auto" w:fill="auto"/>
            <w:vAlign w:val="center"/>
            <w:hideMark/>
          </w:tcPr>
          <w:p w14:paraId="581CDA2E"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65%</w:t>
            </w:r>
          </w:p>
        </w:tc>
        <w:tc>
          <w:tcPr>
            <w:tcW w:w="1147" w:type="dxa"/>
            <w:shd w:val="clear" w:color="auto" w:fill="auto"/>
            <w:vAlign w:val="center"/>
            <w:hideMark/>
          </w:tcPr>
          <w:p w14:paraId="65EAF3FF"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64%</w:t>
            </w:r>
          </w:p>
        </w:tc>
        <w:tc>
          <w:tcPr>
            <w:tcW w:w="1147" w:type="dxa"/>
            <w:shd w:val="clear" w:color="auto" w:fill="auto"/>
            <w:vAlign w:val="center"/>
            <w:hideMark/>
          </w:tcPr>
          <w:p w14:paraId="019F5CF3"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63%</w:t>
            </w:r>
          </w:p>
        </w:tc>
        <w:tc>
          <w:tcPr>
            <w:tcW w:w="1146" w:type="dxa"/>
            <w:shd w:val="clear" w:color="auto" w:fill="auto"/>
            <w:vAlign w:val="center"/>
            <w:hideMark/>
          </w:tcPr>
          <w:p w14:paraId="59BD8B8D"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59%</w:t>
            </w:r>
          </w:p>
        </w:tc>
        <w:tc>
          <w:tcPr>
            <w:tcW w:w="1147" w:type="dxa"/>
            <w:shd w:val="clear" w:color="auto" w:fill="auto"/>
            <w:vAlign w:val="center"/>
            <w:hideMark/>
          </w:tcPr>
          <w:p w14:paraId="579F7FAE"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56%</w:t>
            </w:r>
          </w:p>
        </w:tc>
        <w:tc>
          <w:tcPr>
            <w:tcW w:w="1147" w:type="dxa"/>
            <w:shd w:val="clear" w:color="auto" w:fill="auto"/>
            <w:vAlign w:val="center"/>
            <w:hideMark/>
          </w:tcPr>
          <w:p w14:paraId="1CF22B40"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52%</w:t>
            </w:r>
          </w:p>
        </w:tc>
        <w:tc>
          <w:tcPr>
            <w:tcW w:w="1147" w:type="dxa"/>
            <w:shd w:val="clear" w:color="auto" w:fill="auto"/>
            <w:vAlign w:val="center"/>
            <w:hideMark/>
          </w:tcPr>
          <w:p w14:paraId="11720574"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53%</w:t>
            </w:r>
          </w:p>
        </w:tc>
        <w:tc>
          <w:tcPr>
            <w:tcW w:w="1147" w:type="dxa"/>
            <w:shd w:val="clear" w:color="auto" w:fill="auto"/>
            <w:vAlign w:val="center"/>
            <w:hideMark/>
          </w:tcPr>
          <w:p w14:paraId="5E47E664" w14:textId="77777777" w:rsidR="002F6188" w:rsidRPr="00D43464" w:rsidRDefault="002F6188" w:rsidP="00CE2FDF">
            <w:pPr>
              <w:spacing w:before="0" w:after="60" w:line="276" w:lineRule="auto"/>
              <w:jc w:val="right"/>
              <w:rPr>
                <w:rFonts w:eastAsia="Times New Roman" w:cs="Arial"/>
                <w:lang w:eastAsia="en-AU"/>
              </w:rPr>
            </w:pPr>
            <w:r>
              <w:rPr>
                <w:rFonts w:eastAsia="Times New Roman" w:cs="Arial"/>
                <w:lang w:eastAsia="en-AU"/>
              </w:rPr>
              <w:t>49%</w:t>
            </w:r>
          </w:p>
        </w:tc>
        <w:tc>
          <w:tcPr>
            <w:tcW w:w="1147" w:type="dxa"/>
            <w:shd w:val="clear" w:color="auto" w:fill="DBE5F1" w:themeFill="accent1" w:themeFillTint="33"/>
            <w:vAlign w:val="center"/>
            <w:hideMark/>
          </w:tcPr>
          <w:p w14:paraId="075E6D76" w14:textId="77777777" w:rsidR="002F6188" w:rsidRPr="00D43464" w:rsidRDefault="002F6188" w:rsidP="00CE2FDF">
            <w:pPr>
              <w:spacing w:before="0" w:line="276" w:lineRule="auto"/>
              <w:jc w:val="right"/>
              <w:rPr>
                <w:rFonts w:cs="Arial"/>
                <w:b/>
              </w:rPr>
            </w:pPr>
            <w:r>
              <w:rPr>
                <w:rFonts w:cs="Arial"/>
                <w:b/>
              </w:rPr>
              <w:t>58%</w:t>
            </w:r>
          </w:p>
        </w:tc>
      </w:tr>
    </w:tbl>
    <w:p w14:paraId="4C153C14" w14:textId="77777777" w:rsidR="00662D1E" w:rsidRDefault="00662D1E" w:rsidP="00B15586"/>
    <w:p w14:paraId="65AEA195" w14:textId="77777777" w:rsidR="00C84E96" w:rsidRDefault="00C84E96" w:rsidP="00B15586"/>
    <w:p w14:paraId="7779B48E" w14:textId="36097281" w:rsidR="005D61DD" w:rsidRDefault="00863988" w:rsidP="00863988">
      <w:pPr>
        <w:pStyle w:val="Figureheading"/>
        <w:ind w:left="720" w:hanging="720"/>
      </w:pPr>
      <w:bookmarkStart w:id="60" w:name="_Toc382206705"/>
      <w:r>
        <w:t>1.10</w:t>
      </w:r>
      <w:r>
        <w:tab/>
      </w:r>
      <w:r w:rsidR="005D61DD">
        <w:t>Number of reports by all major mandated reporter groups combined, compared with other reporter groups combined, by outcome of reports, as a percentage of all reports</w:t>
      </w:r>
      <w:bookmarkEnd w:id="60"/>
    </w:p>
    <w:tbl>
      <w:tblPr>
        <w:tblW w:w="14850" w:type="dxa"/>
        <w:tblLayout w:type="fixed"/>
        <w:tblLook w:val="04A0" w:firstRow="1" w:lastRow="0" w:firstColumn="1" w:lastColumn="0" w:noHBand="0" w:noVBand="1"/>
      </w:tblPr>
      <w:tblGrid>
        <w:gridCol w:w="2313"/>
        <w:gridCol w:w="1393"/>
        <w:gridCol w:w="1393"/>
        <w:gridCol w:w="1393"/>
        <w:gridCol w:w="1393"/>
        <w:gridCol w:w="1579"/>
        <w:gridCol w:w="1207"/>
        <w:gridCol w:w="1628"/>
        <w:gridCol w:w="1158"/>
        <w:gridCol w:w="1393"/>
      </w:tblGrid>
      <w:tr w:rsidR="00913BC3" w:rsidRPr="004C0858" w14:paraId="31E4222D" w14:textId="77777777" w:rsidTr="00CE2FDF">
        <w:trPr>
          <w:trHeight w:val="828"/>
        </w:trPr>
        <w:tc>
          <w:tcPr>
            <w:tcW w:w="23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310AD37" w14:textId="77777777" w:rsidR="00913BC3" w:rsidRPr="004C0858" w:rsidRDefault="00913BC3" w:rsidP="00CE2FDF">
            <w:pPr>
              <w:keepNext/>
              <w:tabs>
                <w:tab w:val="left" w:pos="1134"/>
              </w:tabs>
              <w:spacing w:before="0" w:line="276" w:lineRule="auto"/>
              <w:rPr>
                <w:rFonts w:ascii="Calibri" w:hAnsi="Calibri" w:cs="Arial"/>
                <w:b/>
                <w:bCs/>
                <w:color w:val="000000"/>
              </w:rPr>
            </w:pPr>
          </w:p>
        </w:tc>
        <w:tc>
          <w:tcPr>
            <w:tcW w:w="1393" w:type="dxa"/>
            <w:tcBorders>
              <w:top w:val="single" w:sz="4" w:space="0" w:color="auto"/>
              <w:left w:val="single" w:sz="4" w:space="0" w:color="auto"/>
              <w:bottom w:val="single" w:sz="4" w:space="0" w:color="auto"/>
            </w:tcBorders>
            <w:shd w:val="clear" w:color="auto" w:fill="8DB3E2" w:themeFill="text2" w:themeFillTint="66"/>
            <w:vAlign w:val="center"/>
            <w:hideMark/>
          </w:tcPr>
          <w:p w14:paraId="01D1D3C0" w14:textId="77777777" w:rsidR="00913BC3" w:rsidRPr="004C0858" w:rsidRDefault="00913BC3"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Not investigated</w:t>
            </w:r>
          </w:p>
        </w:tc>
        <w:tc>
          <w:tcPr>
            <w:tcW w:w="1393" w:type="dxa"/>
            <w:tcBorders>
              <w:top w:val="single" w:sz="4" w:space="0" w:color="auto"/>
              <w:bottom w:val="single" w:sz="4" w:space="0" w:color="auto"/>
              <w:right w:val="single" w:sz="4" w:space="0" w:color="auto"/>
            </w:tcBorders>
            <w:shd w:val="clear" w:color="auto" w:fill="8DB3E2" w:themeFill="text2" w:themeFillTint="66"/>
            <w:vAlign w:val="center"/>
          </w:tcPr>
          <w:p w14:paraId="69B52C23" w14:textId="77777777" w:rsidR="00913BC3" w:rsidRPr="004C0858" w:rsidRDefault="00913BC3"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w:t>
            </w:r>
          </w:p>
        </w:tc>
        <w:tc>
          <w:tcPr>
            <w:tcW w:w="1393" w:type="dxa"/>
            <w:tcBorders>
              <w:top w:val="single" w:sz="4" w:space="0" w:color="auto"/>
              <w:bottom w:val="single" w:sz="4" w:space="0" w:color="auto"/>
            </w:tcBorders>
            <w:shd w:val="clear" w:color="auto" w:fill="8DB3E2" w:themeFill="text2" w:themeFillTint="66"/>
            <w:vAlign w:val="center"/>
          </w:tcPr>
          <w:p w14:paraId="666B2E2E" w14:textId="77777777" w:rsidR="00913BC3" w:rsidRPr="004C0858" w:rsidRDefault="00913BC3"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 xml:space="preserve">Investigated </w:t>
            </w:r>
          </w:p>
        </w:tc>
        <w:tc>
          <w:tcPr>
            <w:tcW w:w="1393" w:type="dxa"/>
            <w:tcBorders>
              <w:top w:val="single" w:sz="4" w:space="0" w:color="auto"/>
              <w:bottom w:val="single" w:sz="4" w:space="0" w:color="auto"/>
            </w:tcBorders>
            <w:shd w:val="clear" w:color="auto" w:fill="8DB3E2" w:themeFill="text2" w:themeFillTint="66"/>
            <w:vAlign w:val="center"/>
          </w:tcPr>
          <w:p w14:paraId="38D78808" w14:textId="77777777" w:rsidR="00913BC3" w:rsidRPr="004C0858" w:rsidRDefault="00913BC3"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w:t>
            </w:r>
          </w:p>
        </w:tc>
        <w:tc>
          <w:tcPr>
            <w:tcW w:w="1579" w:type="dxa"/>
            <w:tcBorders>
              <w:top w:val="single" w:sz="4" w:space="0" w:color="auto"/>
              <w:left w:val="single" w:sz="4" w:space="0" w:color="auto"/>
              <w:bottom w:val="single" w:sz="4" w:space="0" w:color="auto"/>
            </w:tcBorders>
            <w:shd w:val="clear" w:color="auto" w:fill="8DB3E2" w:themeFill="text2" w:themeFillTint="66"/>
            <w:vAlign w:val="center"/>
            <w:hideMark/>
          </w:tcPr>
          <w:p w14:paraId="3F8A7545" w14:textId="77777777" w:rsidR="00913BC3" w:rsidRPr="004C0858" w:rsidRDefault="00913BC3"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Substantiated</w:t>
            </w:r>
          </w:p>
        </w:tc>
        <w:tc>
          <w:tcPr>
            <w:tcW w:w="1207" w:type="dxa"/>
            <w:tcBorders>
              <w:top w:val="single" w:sz="4" w:space="0" w:color="auto"/>
              <w:bottom w:val="single" w:sz="4" w:space="0" w:color="auto"/>
              <w:right w:val="single" w:sz="4" w:space="0" w:color="auto"/>
            </w:tcBorders>
            <w:shd w:val="clear" w:color="auto" w:fill="8DB3E2" w:themeFill="text2" w:themeFillTint="66"/>
            <w:vAlign w:val="center"/>
          </w:tcPr>
          <w:p w14:paraId="3DC1B427" w14:textId="77777777" w:rsidR="00913BC3" w:rsidRPr="004C0858" w:rsidRDefault="00913BC3"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w:t>
            </w:r>
          </w:p>
        </w:tc>
        <w:tc>
          <w:tcPr>
            <w:tcW w:w="1628" w:type="dxa"/>
            <w:tcBorders>
              <w:top w:val="single" w:sz="4" w:space="0" w:color="auto"/>
              <w:left w:val="single" w:sz="4" w:space="0" w:color="auto"/>
              <w:bottom w:val="single" w:sz="4" w:space="0" w:color="auto"/>
            </w:tcBorders>
            <w:shd w:val="clear" w:color="auto" w:fill="8DB3E2" w:themeFill="text2" w:themeFillTint="66"/>
            <w:vAlign w:val="center"/>
            <w:hideMark/>
          </w:tcPr>
          <w:p w14:paraId="4B291F13" w14:textId="77777777" w:rsidR="00913BC3" w:rsidRPr="004C0858" w:rsidRDefault="00913BC3"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Not substantiated</w:t>
            </w:r>
          </w:p>
        </w:tc>
        <w:tc>
          <w:tcPr>
            <w:tcW w:w="1158" w:type="dxa"/>
            <w:tcBorders>
              <w:top w:val="single" w:sz="4" w:space="0" w:color="auto"/>
              <w:bottom w:val="single" w:sz="4" w:space="0" w:color="auto"/>
              <w:right w:val="single" w:sz="4" w:space="0" w:color="auto"/>
            </w:tcBorders>
            <w:shd w:val="clear" w:color="auto" w:fill="8DB3E2" w:themeFill="text2" w:themeFillTint="66"/>
            <w:vAlign w:val="center"/>
          </w:tcPr>
          <w:p w14:paraId="0399ECC1" w14:textId="77777777" w:rsidR="00913BC3" w:rsidRPr="004C0858" w:rsidRDefault="00913BC3"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w:t>
            </w:r>
          </w:p>
        </w:tc>
        <w:tc>
          <w:tcPr>
            <w:tcW w:w="139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31C5B37" w14:textId="77777777" w:rsidR="00913BC3" w:rsidRPr="004C0858" w:rsidRDefault="00913BC3" w:rsidP="00CE2FDF">
            <w:pPr>
              <w:keepNext/>
              <w:tabs>
                <w:tab w:val="left" w:pos="1134"/>
              </w:tabs>
              <w:spacing w:before="0" w:line="276" w:lineRule="auto"/>
              <w:jc w:val="right"/>
              <w:rPr>
                <w:rFonts w:ascii="Calibri" w:hAnsi="Calibri" w:cs="Arial"/>
                <w:b/>
                <w:bCs/>
                <w:color w:val="000000"/>
              </w:rPr>
            </w:pPr>
            <w:r w:rsidRPr="004C0858">
              <w:rPr>
                <w:rFonts w:ascii="Calibri" w:hAnsi="Calibri" w:cs="Arial"/>
                <w:b/>
                <w:bCs/>
                <w:color w:val="000000"/>
              </w:rPr>
              <w:t>Totals</w:t>
            </w:r>
          </w:p>
        </w:tc>
      </w:tr>
      <w:tr w:rsidR="002F6188" w:rsidRPr="002E1D48" w14:paraId="0E43B409" w14:textId="77777777" w:rsidTr="00CE2FDF">
        <w:trPr>
          <w:trHeight w:val="276"/>
        </w:trPr>
        <w:tc>
          <w:tcPr>
            <w:tcW w:w="2313" w:type="dxa"/>
            <w:tcBorders>
              <w:top w:val="single" w:sz="4" w:space="0" w:color="auto"/>
              <w:left w:val="single" w:sz="4" w:space="0" w:color="auto"/>
              <w:right w:val="single" w:sz="4" w:space="0" w:color="auto"/>
            </w:tcBorders>
            <w:shd w:val="clear" w:color="auto" w:fill="auto"/>
            <w:noWrap/>
            <w:hideMark/>
          </w:tcPr>
          <w:p w14:paraId="17FFDFFB"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Major mandated reporter groups combined</w:t>
            </w:r>
          </w:p>
        </w:tc>
        <w:tc>
          <w:tcPr>
            <w:tcW w:w="1393" w:type="dxa"/>
            <w:tcBorders>
              <w:top w:val="single" w:sz="4" w:space="0" w:color="auto"/>
              <w:left w:val="single" w:sz="4" w:space="0" w:color="auto"/>
            </w:tcBorders>
            <w:shd w:val="clear" w:color="auto" w:fill="auto"/>
            <w:noWrap/>
            <w:hideMark/>
          </w:tcPr>
          <w:p w14:paraId="4E406C89" w14:textId="77777777" w:rsidR="002F6188" w:rsidRPr="002E1D48" w:rsidRDefault="002F6188" w:rsidP="00CE2FDF">
            <w:pPr>
              <w:tabs>
                <w:tab w:val="left" w:pos="1134"/>
              </w:tabs>
              <w:spacing w:before="0" w:line="276" w:lineRule="auto"/>
              <w:jc w:val="right"/>
              <w:rPr>
                <w:rFonts w:cs="Arial"/>
              </w:rPr>
            </w:pPr>
            <w:r>
              <w:rPr>
                <w:rFonts w:cs="Arial"/>
              </w:rPr>
              <w:t>132,484</w:t>
            </w:r>
          </w:p>
        </w:tc>
        <w:tc>
          <w:tcPr>
            <w:tcW w:w="1393" w:type="dxa"/>
            <w:tcBorders>
              <w:top w:val="single" w:sz="4" w:space="0" w:color="auto"/>
              <w:right w:val="single" w:sz="4" w:space="0" w:color="auto"/>
            </w:tcBorders>
            <w:shd w:val="clear" w:color="auto" w:fill="auto"/>
          </w:tcPr>
          <w:p w14:paraId="1890A122" w14:textId="77777777" w:rsidR="002F6188" w:rsidRPr="002E1D48" w:rsidRDefault="002F6188" w:rsidP="00CE2FDF">
            <w:pPr>
              <w:tabs>
                <w:tab w:val="left" w:pos="1134"/>
              </w:tabs>
              <w:spacing w:before="0" w:line="276" w:lineRule="auto"/>
              <w:jc w:val="right"/>
              <w:rPr>
                <w:rFonts w:cs="Arial"/>
                <w:color w:val="000000"/>
              </w:rPr>
            </w:pPr>
            <w:r>
              <w:rPr>
                <w:rFonts w:cs="Arial"/>
                <w:color w:val="000000"/>
              </w:rPr>
              <w:t>29%</w:t>
            </w:r>
          </w:p>
        </w:tc>
        <w:tc>
          <w:tcPr>
            <w:tcW w:w="1393" w:type="dxa"/>
            <w:tcBorders>
              <w:top w:val="single" w:sz="4" w:space="0" w:color="auto"/>
            </w:tcBorders>
            <w:shd w:val="clear" w:color="auto" w:fill="auto"/>
          </w:tcPr>
          <w:p w14:paraId="7F825543" w14:textId="77777777" w:rsidR="002F6188" w:rsidRPr="002E1D48" w:rsidRDefault="002F6188" w:rsidP="00CE2FDF">
            <w:pPr>
              <w:tabs>
                <w:tab w:val="left" w:pos="1134"/>
              </w:tabs>
              <w:spacing w:before="0" w:line="276" w:lineRule="auto"/>
              <w:jc w:val="right"/>
              <w:rPr>
                <w:rFonts w:cs="Arial"/>
              </w:rPr>
            </w:pPr>
            <w:r>
              <w:rPr>
                <w:rFonts w:cs="Arial"/>
              </w:rPr>
              <w:t>57,944</w:t>
            </w:r>
          </w:p>
        </w:tc>
        <w:tc>
          <w:tcPr>
            <w:tcW w:w="1393" w:type="dxa"/>
            <w:tcBorders>
              <w:top w:val="single" w:sz="4" w:space="0" w:color="auto"/>
            </w:tcBorders>
            <w:shd w:val="clear" w:color="auto" w:fill="auto"/>
          </w:tcPr>
          <w:p w14:paraId="460DE938" w14:textId="77777777" w:rsidR="002F6188" w:rsidRPr="002E1D48" w:rsidRDefault="002F6188" w:rsidP="00CE2FDF">
            <w:pPr>
              <w:tabs>
                <w:tab w:val="left" w:pos="1134"/>
              </w:tabs>
              <w:spacing w:before="0" w:line="276" w:lineRule="auto"/>
              <w:jc w:val="right"/>
              <w:rPr>
                <w:rFonts w:cs="Arial"/>
                <w:color w:val="000000"/>
              </w:rPr>
            </w:pPr>
            <w:r>
              <w:rPr>
                <w:rFonts w:cs="Arial"/>
                <w:color w:val="000000"/>
              </w:rPr>
              <w:t>13%</w:t>
            </w:r>
          </w:p>
        </w:tc>
        <w:tc>
          <w:tcPr>
            <w:tcW w:w="1579" w:type="dxa"/>
            <w:tcBorders>
              <w:top w:val="single" w:sz="4" w:space="0" w:color="auto"/>
              <w:left w:val="single" w:sz="4" w:space="0" w:color="auto"/>
            </w:tcBorders>
            <w:shd w:val="clear" w:color="auto" w:fill="auto"/>
            <w:noWrap/>
            <w:hideMark/>
          </w:tcPr>
          <w:p w14:paraId="1EB8E92E" w14:textId="77777777" w:rsidR="002F6188" w:rsidRPr="002E1D48" w:rsidRDefault="002F6188" w:rsidP="00CE2FDF">
            <w:pPr>
              <w:tabs>
                <w:tab w:val="left" w:pos="1134"/>
              </w:tabs>
              <w:spacing w:before="0" w:line="276" w:lineRule="auto"/>
              <w:jc w:val="right"/>
              <w:rPr>
                <w:rFonts w:cs="Arial"/>
              </w:rPr>
            </w:pPr>
            <w:r>
              <w:rPr>
                <w:rFonts w:cs="Arial"/>
              </w:rPr>
              <w:t>36,888</w:t>
            </w:r>
          </w:p>
        </w:tc>
        <w:tc>
          <w:tcPr>
            <w:tcW w:w="1207" w:type="dxa"/>
            <w:tcBorders>
              <w:top w:val="single" w:sz="4" w:space="0" w:color="auto"/>
              <w:right w:val="single" w:sz="4" w:space="0" w:color="auto"/>
            </w:tcBorders>
            <w:shd w:val="clear" w:color="auto" w:fill="auto"/>
          </w:tcPr>
          <w:p w14:paraId="36D64967" w14:textId="77777777" w:rsidR="002F6188" w:rsidRPr="002E1D48" w:rsidRDefault="002F6188" w:rsidP="00CE2FDF">
            <w:pPr>
              <w:tabs>
                <w:tab w:val="left" w:pos="1134"/>
              </w:tabs>
              <w:spacing w:before="0" w:line="276" w:lineRule="auto"/>
              <w:jc w:val="right"/>
              <w:rPr>
                <w:rFonts w:cs="Arial"/>
                <w:color w:val="000000"/>
              </w:rPr>
            </w:pPr>
            <w:r>
              <w:rPr>
                <w:rFonts w:cs="Arial"/>
                <w:color w:val="000000"/>
              </w:rPr>
              <w:t>8%</w:t>
            </w:r>
          </w:p>
        </w:tc>
        <w:tc>
          <w:tcPr>
            <w:tcW w:w="1628" w:type="dxa"/>
            <w:tcBorders>
              <w:top w:val="single" w:sz="4" w:space="0" w:color="auto"/>
              <w:left w:val="single" w:sz="4" w:space="0" w:color="auto"/>
            </w:tcBorders>
            <w:shd w:val="clear" w:color="auto" w:fill="auto"/>
            <w:noWrap/>
            <w:hideMark/>
          </w:tcPr>
          <w:p w14:paraId="55CAB707" w14:textId="77777777" w:rsidR="002F6188" w:rsidRPr="002E1D48" w:rsidRDefault="002F6188" w:rsidP="00CE2FDF">
            <w:pPr>
              <w:tabs>
                <w:tab w:val="left" w:pos="1134"/>
              </w:tabs>
              <w:spacing w:before="0" w:line="276" w:lineRule="auto"/>
              <w:jc w:val="right"/>
              <w:rPr>
                <w:rFonts w:cs="Arial"/>
              </w:rPr>
            </w:pPr>
            <w:r>
              <w:rPr>
                <w:rFonts w:cs="Arial"/>
              </w:rPr>
              <w:t>21,056</w:t>
            </w:r>
          </w:p>
        </w:tc>
        <w:tc>
          <w:tcPr>
            <w:tcW w:w="1158" w:type="dxa"/>
            <w:tcBorders>
              <w:top w:val="single" w:sz="4" w:space="0" w:color="auto"/>
              <w:right w:val="single" w:sz="4" w:space="0" w:color="auto"/>
            </w:tcBorders>
            <w:shd w:val="clear" w:color="auto" w:fill="auto"/>
          </w:tcPr>
          <w:p w14:paraId="5CDC73BD" w14:textId="77777777" w:rsidR="002F6188" w:rsidRPr="004C0858" w:rsidRDefault="002F6188" w:rsidP="00CE2FDF">
            <w:pPr>
              <w:tabs>
                <w:tab w:val="left" w:pos="1134"/>
              </w:tabs>
              <w:spacing w:before="0" w:line="276" w:lineRule="auto"/>
              <w:jc w:val="right"/>
              <w:rPr>
                <w:rFonts w:cs="Arial"/>
              </w:rPr>
            </w:pPr>
            <w:r>
              <w:rPr>
                <w:rFonts w:cs="Arial"/>
              </w:rPr>
              <w:t>5%</w:t>
            </w:r>
          </w:p>
        </w:tc>
        <w:tc>
          <w:tcPr>
            <w:tcW w:w="1393" w:type="dxa"/>
            <w:tcBorders>
              <w:top w:val="single" w:sz="4" w:space="0" w:color="auto"/>
              <w:left w:val="single" w:sz="4" w:space="0" w:color="auto"/>
              <w:right w:val="single" w:sz="4" w:space="0" w:color="auto"/>
            </w:tcBorders>
            <w:shd w:val="clear" w:color="auto" w:fill="auto"/>
            <w:noWrap/>
            <w:hideMark/>
          </w:tcPr>
          <w:p w14:paraId="1050FE98" w14:textId="77777777" w:rsidR="002F6188" w:rsidRPr="004C0858" w:rsidRDefault="002F6188" w:rsidP="00CE2FDF">
            <w:pPr>
              <w:tabs>
                <w:tab w:val="left" w:pos="1134"/>
              </w:tabs>
              <w:spacing w:before="0" w:line="276" w:lineRule="auto"/>
              <w:jc w:val="right"/>
              <w:rPr>
                <w:rFonts w:cs="Arial"/>
                <w:b/>
              </w:rPr>
            </w:pPr>
            <w:r>
              <w:rPr>
                <w:rFonts w:cs="Arial"/>
                <w:b/>
              </w:rPr>
              <w:t>190,428</w:t>
            </w:r>
          </w:p>
        </w:tc>
      </w:tr>
      <w:tr w:rsidR="002F6188" w:rsidRPr="002E1D48" w14:paraId="652E0D7D" w14:textId="77777777" w:rsidTr="00CE2FDF">
        <w:trPr>
          <w:trHeight w:val="276"/>
        </w:trPr>
        <w:tc>
          <w:tcPr>
            <w:tcW w:w="2313" w:type="dxa"/>
            <w:tcBorders>
              <w:left w:val="single" w:sz="4" w:space="0" w:color="auto"/>
              <w:bottom w:val="single" w:sz="4" w:space="0" w:color="auto"/>
              <w:right w:val="single" w:sz="4" w:space="0" w:color="auto"/>
            </w:tcBorders>
            <w:shd w:val="clear" w:color="auto" w:fill="auto"/>
            <w:noWrap/>
            <w:hideMark/>
          </w:tcPr>
          <w:p w14:paraId="565E7431"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Other reporter groups combined</w:t>
            </w:r>
          </w:p>
        </w:tc>
        <w:tc>
          <w:tcPr>
            <w:tcW w:w="1393" w:type="dxa"/>
            <w:tcBorders>
              <w:left w:val="single" w:sz="4" w:space="0" w:color="auto"/>
              <w:bottom w:val="single" w:sz="4" w:space="0" w:color="auto"/>
            </w:tcBorders>
            <w:shd w:val="clear" w:color="auto" w:fill="auto"/>
            <w:noWrap/>
            <w:hideMark/>
          </w:tcPr>
          <w:p w14:paraId="009C5B1D" w14:textId="77777777" w:rsidR="002F6188" w:rsidRPr="002E1D48" w:rsidRDefault="002F6188" w:rsidP="00CE2FDF">
            <w:pPr>
              <w:tabs>
                <w:tab w:val="left" w:pos="1134"/>
              </w:tabs>
              <w:spacing w:before="0" w:line="276" w:lineRule="auto"/>
              <w:jc w:val="right"/>
              <w:rPr>
                <w:rFonts w:cs="Arial"/>
              </w:rPr>
            </w:pPr>
            <w:r>
              <w:rPr>
                <w:rFonts w:cs="Arial"/>
              </w:rPr>
              <w:t>193,320</w:t>
            </w:r>
          </w:p>
        </w:tc>
        <w:tc>
          <w:tcPr>
            <w:tcW w:w="1393" w:type="dxa"/>
            <w:tcBorders>
              <w:bottom w:val="single" w:sz="4" w:space="0" w:color="auto"/>
              <w:right w:val="single" w:sz="4" w:space="0" w:color="auto"/>
            </w:tcBorders>
            <w:shd w:val="clear" w:color="auto" w:fill="auto"/>
          </w:tcPr>
          <w:p w14:paraId="09601CD0" w14:textId="77777777" w:rsidR="002F6188" w:rsidRPr="002E1D48" w:rsidRDefault="002F6188" w:rsidP="00CE2FDF">
            <w:pPr>
              <w:tabs>
                <w:tab w:val="left" w:pos="1134"/>
              </w:tabs>
              <w:spacing w:before="0" w:line="276" w:lineRule="auto"/>
              <w:jc w:val="right"/>
              <w:rPr>
                <w:rFonts w:cs="Arial"/>
                <w:color w:val="000000"/>
              </w:rPr>
            </w:pPr>
            <w:r>
              <w:rPr>
                <w:rFonts w:cs="Arial"/>
                <w:color w:val="000000"/>
              </w:rPr>
              <w:t>43%</w:t>
            </w:r>
          </w:p>
        </w:tc>
        <w:tc>
          <w:tcPr>
            <w:tcW w:w="1393" w:type="dxa"/>
            <w:tcBorders>
              <w:bottom w:val="single" w:sz="4" w:space="0" w:color="auto"/>
              <w:right w:val="nil"/>
            </w:tcBorders>
            <w:shd w:val="clear" w:color="auto" w:fill="auto"/>
          </w:tcPr>
          <w:p w14:paraId="473E10A9" w14:textId="77777777" w:rsidR="002F6188" w:rsidRPr="002E1D48" w:rsidRDefault="002F6188" w:rsidP="00CE2FDF">
            <w:pPr>
              <w:tabs>
                <w:tab w:val="left" w:pos="1134"/>
              </w:tabs>
              <w:spacing w:before="0" w:line="276" w:lineRule="auto"/>
              <w:jc w:val="right"/>
              <w:rPr>
                <w:rFonts w:cs="Arial"/>
              </w:rPr>
            </w:pPr>
            <w:r>
              <w:rPr>
                <w:rFonts w:cs="Arial"/>
              </w:rPr>
              <w:t>70,372</w:t>
            </w:r>
          </w:p>
        </w:tc>
        <w:tc>
          <w:tcPr>
            <w:tcW w:w="1393" w:type="dxa"/>
            <w:tcBorders>
              <w:left w:val="nil"/>
              <w:bottom w:val="single" w:sz="4" w:space="0" w:color="auto"/>
            </w:tcBorders>
            <w:shd w:val="clear" w:color="auto" w:fill="auto"/>
          </w:tcPr>
          <w:p w14:paraId="3311F21C" w14:textId="77777777" w:rsidR="002F6188" w:rsidRPr="002E1D48" w:rsidRDefault="002F6188" w:rsidP="00CE2FDF">
            <w:pPr>
              <w:tabs>
                <w:tab w:val="left" w:pos="1134"/>
              </w:tabs>
              <w:spacing w:before="0" w:line="276" w:lineRule="auto"/>
              <w:jc w:val="right"/>
              <w:rPr>
                <w:rFonts w:cs="Arial"/>
                <w:color w:val="000000"/>
              </w:rPr>
            </w:pPr>
            <w:r>
              <w:rPr>
                <w:rFonts w:cs="Arial"/>
                <w:color w:val="000000"/>
              </w:rPr>
              <w:t>15%</w:t>
            </w:r>
          </w:p>
        </w:tc>
        <w:tc>
          <w:tcPr>
            <w:tcW w:w="1579" w:type="dxa"/>
            <w:tcBorders>
              <w:left w:val="single" w:sz="4" w:space="0" w:color="auto"/>
              <w:bottom w:val="single" w:sz="4" w:space="0" w:color="auto"/>
            </w:tcBorders>
            <w:shd w:val="clear" w:color="auto" w:fill="auto"/>
            <w:noWrap/>
            <w:hideMark/>
          </w:tcPr>
          <w:p w14:paraId="5281DBB6" w14:textId="77777777" w:rsidR="002F6188" w:rsidRPr="002E1D48" w:rsidRDefault="002F6188" w:rsidP="00CE2FDF">
            <w:pPr>
              <w:tabs>
                <w:tab w:val="left" w:pos="1134"/>
              </w:tabs>
              <w:spacing w:before="0" w:line="276" w:lineRule="auto"/>
              <w:jc w:val="right"/>
              <w:rPr>
                <w:rFonts w:cs="Arial"/>
              </w:rPr>
            </w:pPr>
            <w:r>
              <w:rPr>
                <w:rFonts w:cs="Arial"/>
              </w:rPr>
              <w:t>41,180</w:t>
            </w:r>
          </w:p>
        </w:tc>
        <w:tc>
          <w:tcPr>
            <w:tcW w:w="1207" w:type="dxa"/>
            <w:tcBorders>
              <w:bottom w:val="single" w:sz="4" w:space="0" w:color="auto"/>
              <w:right w:val="single" w:sz="4" w:space="0" w:color="auto"/>
            </w:tcBorders>
            <w:shd w:val="clear" w:color="auto" w:fill="auto"/>
          </w:tcPr>
          <w:p w14:paraId="5AD6B027" w14:textId="77777777" w:rsidR="002F6188" w:rsidRPr="002E1D48" w:rsidRDefault="002F6188" w:rsidP="00CE2FDF">
            <w:pPr>
              <w:tabs>
                <w:tab w:val="left" w:pos="1134"/>
              </w:tabs>
              <w:spacing w:before="0" w:line="276" w:lineRule="auto"/>
              <w:jc w:val="right"/>
              <w:rPr>
                <w:rFonts w:cs="Arial"/>
                <w:color w:val="000000"/>
              </w:rPr>
            </w:pPr>
            <w:r>
              <w:rPr>
                <w:rFonts w:cs="Arial"/>
                <w:color w:val="000000"/>
              </w:rPr>
              <w:t>9%</w:t>
            </w:r>
          </w:p>
        </w:tc>
        <w:tc>
          <w:tcPr>
            <w:tcW w:w="1628" w:type="dxa"/>
            <w:tcBorders>
              <w:left w:val="single" w:sz="4" w:space="0" w:color="auto"/>
              <w:bottom w:val="single" w:sz="4" w:space="0" w:color="auto"/>
            </w:tcBorders>
            <w:shd w:val="clear" w:color="auto" w:fill="auto"/>
            <w:noWrap/>
            <w:hideMark/>
          </w:tcPr>
          <w:p w14:paraId="7930BC9A" w14:textId="77777777" w:rsidR="002F6188" w:rsidRPr="002E1D48" w:rsidRDefault="002F6188" w:rsidP="00CE2FDF">
            <w:pPr>
              <w:tabs>
                <w:tab w:val="left" w:pos="1134"/>
              </w:tabs>
              <w:spacing w:before="0" w:line="276" w:lineRule="auto"/>
              <w:jc w:val="right"/>
              <w:rPr>
                <w:rFonts w:cs="Arial"/>
              </w:rPr>
            </w:pPr>
            <w:r>
              <w:rPr>
                <w:rFonts w:cs="Arial"/>
              </w:rPr>
              <w:t>29,192</w:t>
            </w:r>
          </w:p>
        </w:tc>
        <w:tc>
          <w:tcPr>
            <w:tcW w:w="1158" w:type="dxa"/>
            <w:tcBorders>
              <w:bottom w:val="single" w:sz="4" w:space="0" w:color="auto"/>
              <w:right w:val="single" w:sz="4" w:space="0" w:color="auto"/>
            </w:tcBorders>
            <w:shd w:val="clear" w:color="auto" w:fill="auto"/>
          </w:tcPr>
          <w:p w14:paraId="5DC06A7C" w14:textId="77777777" w:rsidR="002F6188" w:rsidRPr="004C0858" w:rsidRDefault="002F6188" w:rsidP="00CE2FDF">
            <w:pPr>
              <w:tabs>
                <w:tab w:val="left" w:pos="1134"/>
              </w:tabs>
              <w:spacing w:before="0" w:line="276" w:lineRule="auto"/>
              <w:jc w:val="right"/>
              <w:rPr>
                <w:rFonts w:cs="Arial"/>
              </w:rPr>
            </w:pPr>
            <w:r>
              <w:rPr>
                <w:rFonts w:cs="Arial"/>
              </w:rPr>
              <w:t>6%</w:t>
            </w:r>
          </w:p>
        </w:tc>
        <w:tc>
          <w:tcPr>
            <w:tcW w:w="1393" w:type="dxa"/>
            <w:tcBorders>
              <w:left w:val="single" w:sz="4" w:space="0" w:color="auto"/>
              <w:bottom w:val="single" w:sz="4" w:space="0" w:color="auto"/>
              <w:right w:val="single" w:sz="4" w:space="0" w:color="auto"/>
            </w:tcBorders>
            <w:shd w:val="clear" w:color="auto" w:fill="auto"/>
            <w:noWrap/>
            <w:hideMark/>
          </w:tcPr>
          <w:p w14:paraId="39C211B5" w14:textId="77777777" w:rsidR="002F6188" w:rsidRPr="004C0858" w:rsidRDefault="002F6188" w:rsidP="00CE2FDF">
            <w:pPr>
              <w:tabs>
                <w:tab w:val="left" w:pos="1134"/>
              </w:tabs>
              <w:spacing w:before="0" w:line="276" w:lineRule="auto"/>
              <w:jc w:val="right"/>
              <w:rPr>
                <w:rFonts w:cs="Arial"/>
                <w:b/>
              </w:rPr>
            </w:pPr>
            <w:r>
              <w:rPr>
                <w:rFonts w:cs="Arial"/>
                <w:b/>
              </w:rPr>
              <w:t>263,692</w:t>
            </w:r>
          </w:p>
        </w:tc>
      </w:tr>
      <w:tr w:rsidR="00913BC3" w:rsidRPr="002E1D48" w14:paraId="46437731" w14:textId="77777777" w:rsidTr="00CE2FDF">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2C87237" w14:textId="77777777" w:rsidR="00913BC3" w:rsidRPr="004C0858" w:rsidRDefault="00913BC3" w:rsidP="00CE2FDF">
            <w:pPr>
              <w:tabs>
                <w:tab w:val="left" w:pos="1134"/>
              </w:tabs>
              <w:spacing w:before="0" w:line="276" w:lineRule="auto"/>
              <w:rPr>
                <w:rFonts w:cs="Arial"/>
                <w:b/>
                <w:bCs/>
                <w:color w:val="000000"/>
              </w:rPr>
            </w:pPr>
            <w:r>
              <w:rPr>
                <w:rFonts w:cs="Arial"/>
                <w:b/>
                <w:bCs/>
                <w:color w:val="000000"/>
              </w:rPr>
              <w:t>Totals:</w:t>
            </w:r>
          </w:p>
        </w:tc>
        <w:tc>
          <w:tcPr>
            <w:tcW w:w="1393" w:type="dxa"/>
            <w:tcBorders>
              <w:top w:val="single" w:sz="4" w:space="0" w:color="auto"/>
              <w:left w:val="single" w:sz="4" w:space="0" w:color="auto"/>
              <w:bottom w:val="single" w:sz="4" w:space="0" w:color="auto"/>
            </w:tcBorders>
            <w:shd w:val="clear" w:color="auto" w:fill="B8CCE4" w:themeFill="accent1" w:themeFillTint="66"/>
            <w:noWrap/>
            <w:hideMark/>
          </w:tcPr>
          <w:p w14:paraId="4ED280D8" w14:textId="77777777" w:rsidR="00913BC3" w:rsidRPr="00913BC3" w:rsidRDefault="00913BC3" w:rsidP="00CE2FDF">
            <w:pPr>
              <w:tabs>
                <w:tab w:val="left" w:pos="1134"/>
              </w:tabs>
              <w:spacing w:before="0" w:line="276" w:lineRule="auto"/>
              <w:jc w:val="right"/>
              <w:rPr>
                <w:rFonts w:cs="Arial"/>
                <w:b/>
              </w:rPr>
            </w:pPr>
            <w:r w:rsidRPr="00913BC3">
              <w:rPr>
                <w:rFonts w:cs="Arial"/>
                <w:b/>
              </w:rPr>
              <w:t>325,804</w:t>
            </w:r>
          </w:p>
        </w:tc>
        <w:tc>
          <w:tcPr>
            <w:tcW w:w="1393" w:type="dxa"/>
            <w:tcBorders>
              <w:top w:val="single" w:sz="4" w:space="0" w:color="auto"/>
              <w:bottom w:val="single" w:sz="4" w:space="0" w:color="auto"/>
              <w:right w:val="single" w:sz="4" w:space="0" w:color="auto"/>
            </w:tcBorders>
            <w:shd w:val="clear" w:color="auto" w:fill="B8CCE4" w:themeFill="accent1" w:themeFillTint="66"/>
          </w:tcPr>
          <w:p w14:paraId="7CA5C8A4" w14:textId="77777777" w:rsidR="00913BC3" w:rsidRPr="00913BC3" w:rsidRDefault="00913BC3" w:rsidP="00CE2FDF">
            <w:pPr>
              <w:tabs>
                <w:tab w:val="left" w:pos="1134"/>
              </w:tabs>
              <w:spacing w:before="0" w:line="276" w:lineRule="auto"/>
              <w:jc w:val="right"/>
              <w:rPr>
                <w:rFonts w:cs="Arial"/>
                <w:b/>
                <w:color w:val="000000"/>
              </w:rPr>
            </w:pPr>
            <w:r w:rsidRPr="00913BC3">
              <w:rPr>
                <w:rFonts w:cs="Arial"/>
                <w:b/>
                <w:color w:val="000000"/>
              </w:rPr>
              <w:t>72%</w:t>
            </w:r>
          </w:p>
        </w:tc>
        <w:tc>
          <w:tcPr>
            <w:tcW w:w="1393" w:type="dxa"/>
            <w:tcBorders>
              <w:top w:val="single" w:sz="4" w:space="0" w:color="auto"/>
              <w:bottom w:val="single" w:sz="4" w:space="0" w:color="auto"/>
            </w:tcBorders>
            <w:shd w:val="clear" w:color="auto" w:fill="B8CCE4" w:themeFill="accent1" w:themeFillTint="66"/>
          </w:tcPr>
          <w:p w14:paraId="7F0F242D" w14:textId="77777777" w:rsidR="00913BC3" w:rsidRPr="00913BC3" w:rsidRDefault="00913BC3" w:rsidP="00CE2FDF">
            <w:pPr>
              <w:tabs>
                <w:tab w:val="left" w:pos="1134"/>
              </w:tabs>
              <w:spacing w:before="0" w:line="276" w:lineRule="auto"/>
              <w:jc w:val="right"/>
              <w:rPr>
                <w:rFonts w:cs="Arial"/>
                <w:b/>
              </w:rPr>
            </w:pPr>
            <w:r w:rsidRPr="00913BC3">
              <w:rPr>
                <w:rFonts w:cs="Arial"/>
                <w:b/>
              </w:rPr>
              <w:t>128,316</w:t>
            </w:r>
          </w:p>
        </w:tc>
        <w:tc>
          <w:tcPr>
            <w:tcW w:w="1393" w:type="dxa"/>
            <w:tcBorders>
              <w:top w:val="single" w:sz="4" w:space="0" w:color="auto"/>
              <w:bottom w:val="single" w:sz="4" w:space="0" w:color="auto"/>
            </w:tcBorders>
            <w:shd w:val="clear" w:color="auto" w:fill="B8CCE4" w:themeFill="accent1" w:themeFillTint="66"/>
          </w:tcPr>
          <w:p w14:paraId="02EBC212" w14:textId="77777777" w:rsidR="00913BC3" w:rsidRPr="00913BC3" w:rsidRDefault="00913BC3" w:rsidP="00CE2FDF">
            <w:pPr>
              <w:tabs>
                <w:tab w:val="left" w:pos="1134"/>
              </w:tabs>
              <w:spacing w:before="0" w:line="276" w:lineRule="auto"/>
              <w:jc w:val="right"/>
              <w:rPr>
                <w:rFonts w:cs="Arial"/>
                <w:b/>
                <w:color w:val="000000"/>
              </w:rPr>
            </w:pPr>
            <w:r w:rsidRPr="00913BC3">
              <w:rPr>
                <w:rFonts w:cs="Arial"/>
                <w:b/>
                <w:color w:val="000000"/>
              </w:rPr>
              <w:t>28%</w:t>
            </w:r>
          </w:p>
        </w:tc>
        <w:tc>
          <w:tcPr>
            <w:tcW w:w="1579" w:type="dxa"/>
            <w:tcBorders>
              <w:top w:val="single" w:sz="4" w:space="0" w:color="auto"/>
              <w:left w:val="single" w:sz="4" w:space="0" w:color="auto"/>
              <w:bottom w:val="single" w:sz="4" w:space="0" w:color="auto"/>
            </w:tcBorders>
            <w:shd w:val="clear" w:color="auto" w:fill="B8CCE4" w:themeFill="accent1" w:themeFillTint="66"/>
            <w:noWrap/>
            <w:hideMark/>
          </w:tcPr>
          <w:p w14:paraId="2980D96C" w14:textId="77777777" w:rsidR="00913BC3" w:rsidRPr="00913BC3" w:rsidRDefault="00913BC3" w:rsidP="00CE2FDF">
            <w:pPr>
              <w:tabs>
                <w:tab w:val="left" w:pos="1134"/>
              </w:tabs>
              <w:spacing w:before="0" w:line="276" w:lineRule="auto"/>
              <w:jc w:val="right"/>
              <w:rPr>
                <w:rFonts w:cs="Arial"/>
                <w:b/>
              </w:rPr>
            </w:pPr>
            <w:r w:rsidRPr="00913BC3">
              <w:rPr>
                <w:rFonts w:cs="Arial"/>
                <w:b/>
              </w:rPr>
              <w:t>78,068</w:t>
            </w:r>
          </w:p>
        </w:tc>
        <w:tc>
          <w:tcPr>
            <w:tcW w:w="1207" w:type="dxa"/>
            <w:tcBorders>
              <w:top w:val="single" w:sz="4" w:space="0" w:color="auto"/>
              <w:bottom w:val="single" w:sz="4" w:space="0" w:color="auto"/>
              <w:right w:val="single" w:sz="4" w:space="0" w:color="auto"/>
            </w:tcBorders>
            <w:shd w:val="clear" w:color="auto" w:fill="B8CCE4" w:themeFill="accent1" w:themeFillTint="66"/>
          </w:tcPr>
          <w:p w14:paraId="4F21D682" w14:textId="77777777" w:rsidR="00913BC3" w:rsidRPr="00913BC3" w:rsidRDefault="00913BC3" w:rsidP="00CE2FDF">
            <w:pPr>
              <w:tabs>
                <w:tab w:val="left" w:pos="1134"/>
              </w:tabs>
              <w:spacing w:before="0" w:line="276" w:lineRule="auto"/>
              <w:jc w:val="right"/>
              <w:rPr>
                <w:rFonts w:cs="Arial"/>
                <w:b/>
                <w:color w:val="000000"/>
              </w:rPr>
            </w:pPr>
            <w:r w:rsidRPr="00913BC3">
              <w:rPr>
                <w:rFonts w:cs="Arial"/>
                <w:b/>
                <w:color w:val="000000"/>
              </w:rPr>
              <w:t>17%</w:t>
            </w:r>
          </w:p>
        </w:tc>
        <w:tc>
          <w:tcPr>
            <w:tcW w:w="1628" w:type="dxa"/>
            <w:tcBorders>
              <w:top w:val="single" w:sz="4" w:space="0" w:color="auto"/>
              <w:left w:val="single" w:sz="4" w:space="0" w:color="auto"/>
              <w:bottom w:val="single" w:sz="4" w:space="0" w:color="auto"/>
            </w:tcBorders>
            <w:shd w:val="clear" w:color="auto" w:fill="B8CCE4" w:themeFill="accent1" w:themeFillTint="66"/>
            <w:noWrap/>
            <w:hideMark/>
          </w:tcPr>
          <w:p w14:paraId="602F14A3" w14:textId="77777777" w:rsidR="00913BC3" w:rsidRPr="00913BC3" w:rsidRDefault="00913BC3" w:rsidP="00CE2FDF">
            <w:pPr>
              <w:tabs>
                <w:tab w:val="left" w:pos="1134"/>
              </w:tabs>
              <w:spacing w:before="0" w:line="276" w:lineRule="auto"/>
              <w:jc w:val="right"/>
              <w:rPr>
                <w:rFonts w:cs="Arial"/>
                <w:b/>
              </w:rPr>
            </w:pPr>
            <w:r w:rsidRPr="00913BC3">
              <w:rPr>
                <w:rFonts w:cs="Arial"/>
                <w:b/>
              </w:rPr>
              <w:t>50,248</w:t>
            </w:r>
          </w:p>
        </w:tc>
        <w:tc>
          <w:tcPr>
            <w:tcW w:w="1158" w:type="dxa"/>
            <w:tcBorders>
              <w:top w:val="single" w:sz="4" w:space="0" w:color="auto"/>
              <w:bottom w:val="single" w:sz="4" w:space="0" w:color="auto"/>
              <w:right w:val="single" w:sz="4" w:space="0" w:color="auto"/>
            </w:tcBorders>
            <w:shd w:val="clear" w:color="auto" w:fill="B8CCE4" w:themeFill="accent1" w:themeFillTint="66"/>
          </w:tcPr>
          <w:p w14:paraId="0937A223" w14:textId="77777777" w:rsidR="00913BC3" w:rsidRPr="00913BC3" w:rsidRDefault="00913BC3" w:rsidP="00CE2FDF">
            <w:pPr>
              <w:tabs>
                <w:tab w:val="left" w:pos="1134"/>
              </w:tabs>
              <w:spacing w:before="0" w:line="276" w:lineRule="auto"/>
              <w:jc w:val="right"/>
              <w:rPr>
                <w:rFonts w:cs="Arial"/>
                <w:b/>
              </w:rPr>
            </w:pPr>
            <w:r w:rsidRPr="00913BC3">
              <w:rPr>
                <w:rFonts w:cs="Arial"/>
                <w:b/>
              </w:rPr>
              <w:t>11%</w:t>
            </w:r>
          </w:p>
        </w:tc>
        <w:tc>
          <w:tcPr>
            <w:tcW w:w="139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3653C1ED" w14:textId="77777777" w:rsidR="00913BC3" w:rsidRPr="004C0858" w:rsidRDefault="00913BC3" w:rsidP="00CE2FDF">
            <w:pPr>
              <w:tabs>
                <w:tab w:val="left" w:pos="1134"/>
              </w:tabs>
              <w:spacing w:before="0" w:line="276" w:lineRule="auto"/>
              <w:jc w:val="right"/>
              <w:rPr>
                <w:rFonts w:cs="Arial"/>
                <w:b/>
              </w:rPr>
            </w:pPr>
            <w:r>
              <w:rPr>
                <w:rFonts w:cs="Arial"/>
                <w:b/>
              </w:rPr>
              <w:t>454,120</w:t>
            </w:r>
          </w:p>
        </w:tc>
      </w:tr>
    </w:tbl>
    <w:p w14:paraId="31E294C8" w14:textId="21CA2CE2" w:rsidR="005D61DD" w:rsidRPr="000E314C" w:rsidRDefault="00863988" w:rsidP="00863988">
      <w:pPr>
        <w:pStyle w:val="Figureheading"/>
        <w:ind w:left="720" w:hanging="720"/>
      </w:pPr>
      <w:bookmarkStart w:id="61" w:name="_Toc382206706"/>
      <w:r>
        <w:lastRenderedPageBreak/>
        <w:t>1.11</w:t>
      </w:r>
      <w:r>
        <w:tab/>
      </w:r>
      <w:r w:rsidR="005D61DD" w:rsidRPr="000E314C">
        <w:t>Number of reports by all major mandated reporter groups combined, compared with other reporter groups combined, by abuse type, as a percentage of all reports</w:t>
      </w:r>
      <w:bookmarkEnd w:id="61"/>
    </w:p>
    <w:tbl>
      <w:tblPr>
        <w:tblW w:w="14850" w:type="dxa"/>
        <w:tblLayout w:type="fixed"/>
        <w:tblLook w:val="04A0" w:firstRow="1" w:lastRow="0" w:firstColumn="1" w:lastColumn="0" w:noHBand="0" w:noVBand="1"/>
      </w:tblPr>
      <w:tblGrid>
        <w:gridCol w:w="2376"/>
        <w:gridCol w:w="1386"/>
        <w:gridCol w:w="1386"/>
        <w:gridCol w:w="1386"/>
        <w:gridCol w:w="1386"/>
        <w:gridCol w:w="1386"/>
        <w:gridCol w:w="1386"/>
        <w:gridCol w:w="1386"/>
        <w:gridCol w:w="1386"/>
        <w:gridCol w:w="1386"/>
      </w:tblGrid>
      <w:tr w:rsidR="00913BC3" w:rsidRPr="00C002A6" w14:paraId="2BBF9217" w14:textId="77777777" w:rsidTr="00C84E96">
        <w:trPr>
          <w:trHeight w:val="828"/>
        </w:trPr>
        <w:tc>
          <w:tcPr>
            <w:tcW w:w="23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C727826" w14:textId="77777777" w:rsidR="00913BC3" w:rsidRPr="00C002A6" w:rsidRDefault="00913BC3" w:rsidP="00CE2FDF">
            <w:pPr>
              <w:keepNext/>
              <w:spacing w:before="0" w:line="276" w:lineRule="auto"/>
              <w:jc w:val="right"/>
              <w:rPr>
                <w:b/>
              </w:rPr>
            </w:pPr>
          </w:p>
        </w:tc>
        <w:tc>
          <w:tcPr>
            <w:tcW w:w="1386" w:type="dxa"/>
            <w:tcBorders>
              <w:top w:val="single" w:sz="4" w:space="0" w:color="auto"/>
              <w:left w:val="single" w:sz="4" w:space="0" w:color="auto"/>
              <w:bottom w:val="single" w:sz="4" w:space="0" w:color="auto"/>
            </w:tcBorders>
            <w:shd w:val="clear" w:color="auto" w:fill="95B3D7" w:themeFill="accent1" w:themeFillTint="99"/>
            <w:vAlign w:val="center"/>
            <w:hideMark/>
          </w:tcPr>
          <w:p w14:paraId="2E782C30" w14:textId="77777777" w:rsidR="00913BC3" w:rsidRPr="00C002A6" w:rsidRDefault="00913BC3" w:rsidP="00CE2FDF">
            <w:pPr>
              <w:keepNext/>
              <w:spacing w:before="0" w:line="276" w:lineRule="auto"/>
              <w:jc w:val="right"/>
              <w:rPr>
                <w:b/>
              </w:rPr>
            </w:pPr>
            <w:r w:rsidRPr="00C002A6">
              <w:rPr>
                <w:b/>
              </w:rPr>
              <w:t>Emotional</w:t>
            </w:r>
            <w:r>
              <w:rPr>
                <w:b/>
              </w:rPr>
              <w:t xml:space="preserve"> abuse</w:t>
            </w:r>
          </w:p>
        </w:tc>
        <w:tc>
          <w:tcPr>
            <w:tcW w:w="1386" w:type="dxa"/>
            <w:tcBorders>
              <w:top w:val="single" w:sz="4" w:space="0" w:color="auto"/>
              <w:bottom w:val="single" w:sz="4" w:space="0" w:color="auto"/>
              <w:right w:val="single" w:sz="4" w:space="0" w:color="auto"/>
            </w:tcBorders>
            <w:shd w:val="clear" w:color="auto" w:fill="95B3D7" w:themeFill="accent1" w:themeFillTint="99"/>
            <w:vAlign w:val="center"/>
          </w:tcPr>
          <w:p w14:paraId="5343F3DF" w14:textId="77777777" w:rsidR="00913BC3" w:rsidRPr="00C002A6" w:rsidRDefault="00913BC3" w:rsidP="00CE2FDF">
            <w:pPr>
              <w:keepNext/>
              <w:spacing w:before="0" w:line="276" w:lineRule="auto"/>
              <w:jc w:val="right"/>
              <w:rPr>
                <w:b/>
              </w:rPr>
            </w:pPr>
            <w:r w:rsidRPr="00C002A6">
              <w:rPr>
                <w:b/>
              </w:rPr>
              <w:t>%</w:t>
            </w:r>
          </w:p>
        </w:tc>
        <w:tc>
          <w:tcPr>
            <w:tcW w:w="1386" w:type="dxa"/>
            <w:tcBorders>
              <w:top w:val="single" w:sz="4" w:space="0" w:color="auto"/>
              <w:left w:val="single" w:sz="4" w:space="0" w:color="auto"/>
              <w:bottom w:val="single" w:sz="4" w:space="0" w:color="auto"/>
            </w:tcBorders>
            <w:shd w:val="clear" w:color="auto" w:fill="95B3D7" w:themeFill="accent1" w:themeFillTint="99"/>
            <w:vAlign w:val="center"/>
            <w:hideMark/>
          </w:tcPr>
          <w:p w14:paraId="70EF81F5" w14:textId="77777777" w:rsidR="00913BC3" w:rsidRPr="00C002A6" w:rsidRDefault="00913BC3" w:rsidP="00CE2FDF">
            <w:pPr>
              <w:keepNext/>
              <w:spacing w:before="0" w:line="276" w:lineRule="auto"/>
              <w:jc w:val="right"/>
              <w:rPr>
                <w:b/>
              </w:rPr>
            </w:pPr>
            <w:r w:rsidRPr="00C002A6">
              <w:rPr>
                <w:b/>
              </w:rPr>
              <w:t>Neglect</w:t>
            </w:r>
          </w:p>
        </w:tc>
        <w:tc>
          <w:tcPr>
            <w:tcW w:w="1386" w:type="dxa"/>
            <w:tcBorders>
              <w:top w:val="single" w:sz="4" w:space="0" w:color="auto"/>
              <w:bottom w:val="single" w:sz="4" w:space="0" w:color="auto"/>
              <w:right w:val="single" w:sz="4" w:space="0" w:color="auto"/>
            </w:tcBorders>
            <w:shd w:val="clear" w:color="auto" w:fill="95B3D7" w:themeFill="accent1" w:themeFillTint="99"/>
            <w:vAlign w:val="center"/>
          </w:tcPr>
          <w:p w14:paraId="2F598CF1" w14:textId="77777777" w:rsidR="00913BC3" w:rsidRPr="00C002A6" w:rsidRDefault="00913BC3" w:rsidP="00CE2FDF">
            <w:pPr>
              <w:keepNext/>
              <w:spacing w:before="0" w:line="276" w:lineRule="auto"/>
              <w:jc w:val="right"/>
              <w:rPr>
                <w:b/>
              </w:rPr>
            </w:pPr>
            <w:r w:rsidRPr="00C002A6">
              <w:rPr>
                <w:b/>
              </w:rPr>
              <w:t>%</w:t>
            </w:r>
          </w:p>
        </w:tc>
        <w:tc>
          <w:tcPr>
            <w:tcW w:w="1386" w:type="dxa"/>
            <w:tcBorders>
              <w:top w:val="single" w:sz="4" w:space="0" w:color="auto"/>
              <w:left w:val="single" w:sz="4" w:space="0" w:color="auto"/>
              <w:bottom w:val="single" w:sz="4" w:space="0" w:color="auto"/>
            </w:tcBorders>
            <w:shd w:val="clear" w:color="auto" w:fill="95B3D7" w:themeFill="accent1" w:themeFillTint="99"/>
            <w:vAlign w:val="center"/>
            <w:hideMark/>
          </w:tcPr>
          <w:p w14:paraId="1980B39F" w14:textId="77777777" w:rsidR="00913BC3" w:rsidRPr="00C002A6" w:rsidRDefault="00913BC3" w:rsidP="00CE2FDF">
            <w:pPr>
              <w:keepNext/>
              <w:spacing w:before="0" w:line="276" w:lineRule="auto"/>
              <w:jc w:val="right"/>
              <w:rPr>
                <w:b/>
              </w:rPr>
            </w:pPr>
            <w:r w:rsidRPr="00C002A6">
              <w:rPr>
                <w:b/>
              </w:rPr>
              <w:t>Physical</w:t>
            </w:r>
            <w:r>
              <w:rPr>
                <w:b/>
              </w:rPr>
              <w:t xml:space="preserve"> abuse</w:t>
            </w:r>
          </w:p>
        </w:tc>
        <w:tc>
          <w:tcPr>
            <w:tcW w:w="1386" w:type="dxa"/>
            <w:tcBorders>
              <w:top w:val="single" w:sz="4" w:space="0" w:color="auto"/>
              <w:bottom w:val="single" w:sz="4" w:space="0" w:color="auto"/>
              <w:right w:val="single" w:sz="4" w:space="0" w:color="auto"/>
            </w:tcBorders>
            <w:shd w:val="clear" w:color="auto" w:fill="95B3D7" w:themeFill="accent1" w:themeFillTint="99"/>
            <w:vAlign w:val="center"/>
          </w:tcPr>
          <w:p w14:paraId="7977ABD5" w14:textId="77777777" w:rsidR="00913BC3" w:rsidRPr="00C002A6" w:rsidRDefault="00913BC3" w:rsidP="00CE2FDF">
            <w:pPr>
              <w:keepNext/>
              <w:spacing w:before="0" w:line="276" w:lineRule="auto"/>
              <w:jc w:val="right"/>
              <w:rPr>
                <w:b/>
              </w:rPr>
            </w:pPr>
            <w:r w:rsidRPr="00C002A6">
              <w:rPr>
                <w:b/>
              </w:rPr>
              <w:t>%</w:t>
            </w:r>
          </w:p>
        </w:tc>
        <w:tc>
          <w:tcPr>
            <w:tcW w:w="1386" w:type="dxa"/>
            <w:tcBorders>
              <w:top w:val="single" w:sz="4" w:space="0" w:color="auto"/>
              <w:left w:val="single" w:sz="4" w:space="0" w:color="auto"/>
              <w:bottom w:val="single" w:sz="4" w:space="0" w:color="auto"/>
            </w:tcBorders>
            <w:shd w:val="clear" w:color="auto" w:fill="95B3D7" w:themeFill="accent1" w:themeFillTint="99"/>
            <w:vAlign w:val="center"/>
            <w:hideMark/>
          </w:tcPr>
          <w:p w14:paraId="7F07F8BF" w14:textId="77777777" w:rsidR="00913BC3" w:rsidRPr="00C002A6" w:rsidRDefault="00913BC3" w:rsidP="00CE2FDF">
            <w:pPr>
              <w:keepNext/>
              <w:spacing w:before="0" w:line="276" w:lineRule="auto"/>
              <w:jc w:val="right"/>
              <w:rPr>
                <w:b/>
              </w:rPr>
            </w:pPr>
            <w:r w:rsidRPr="00C002A6">
              <w:rPr>
                <w:b/>
              </w:rPr>
              <w:t>Sexual</w:t>
            </w:r>
            <w:r>
              <w:rPr>
                <w:b/>
              </w:rPr>
              <w:t xml:space="preserve"> abuse</w:t>
            </w:r>
          </w:p>
        </w:tc>
        <w:tc>
          <w:tcPr>
            <w:tcW w:w="1386" w:type="dxa"/>
            <w:tcBorders>
              <w:top w:val="single" w:sz="4" w:space="0" w:color="auto"/>
              <w:bottom w:val="single" w:sz="4" w:space="0" w:color="auto"/>
              <w:right w:val="single" w:sz="4" w:space="0" w:color="auto"/>
            </w:tcBorders>
            <w:shd w:val="clear" w:color="auto" w:fill="95B3D7" w:themeFill="accent1" w:themeFillTint="99"/>
            <w:vAlign w:val="center"/>
          </w:tcPr>
          <w:p w14:paraId="6FDEA6A7" w14:textId="77777777" w:rsidR="00913BC3" w:rsidRPr="00C002A6" w:rsidRDefault="00913BC3" w:rsidP="00CE2FDF">
            <w:pPr>
              <w:keepNext/>
              <w:spacing w:before="0" w:line="276" w:lineRule="auto"/>
              <w:jc w:val="right"/>
              <w:rPr>
                <w:b/>
              </w:rPr>
            </w:pPr>
            <w:r w:rsidRPr="00C002A6">
              <w:rPr>
                <w:b/>
              </w:rPr>
              <w:t>%</w:t>
            </w:r>
          </w:p>
        </w:tc>
        <w:tc>
          <w:tcPr>
            <w:tcW w:w="138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BAC4AD4" w14:textId="77777777" w:rsidR="00913BC3" w:rsidRPr="00C002A6" w:rsidRDefault="00913BC3" w:rsidP="00CE2FDF">
            <w:pPr>
              <w:keepNext/>
              <w:spacing w:before="0" w:line="276" w:lineRule="auto"/>
              <w:jc w:val="right"/>
              <w:rPr>
                <w:b/>
              </w:rPr>
            </w:pPr>
            <w:r w:rsidRPr="00C002A6">
              <w:rPr>
                <w:b/>
              </w:rPr>
              <w:t>Totals</w:t>
            </w:r>
            <w:r>
              <w:rPr>
                <w:b/>
              </w:rPr>
              <w:t>:</w:t>
            </w:r>
          </w:p>
        </w:tc>
      </w:tr>
      <w:tr w:rsidR="002F6188" w:rsidRPr="002E1D48" w14:paraId="74179DF4" w14:textId="77777777" w:rsidTr="00B349CA">
        <w:trPr>
          <w:trHeight w:val="276"/>
        </w:trPr>
        <w:tc>
          <w:tcPr>
            <w:tcW w:w="2376" w:type="dxa"/>
            <w:tcBorders>
              <w:top w:val="single" w:sz="4" w:space="0" w:color="auto"/>
              <w:left w:val="single" w:sz="4" w:space="0" w:color="auto"/>
              <w:right w:val="single" w:sz="4" w:space="0" w:color="auto"/>
            </w:tcBorders>
            <w:noWrap/>
            <w:hideMark/>
          </w:tcPr>
          <w:p w14:paraId="6F54457C"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Major mandated reporter groups combined</w:t>
            </w:r>
          </w:p>
        </w:tc>
        <w:tc>
          <w:tcPr>
            <w:tcW w:w="1386" w:type="dxa"/>
            <w:tcBorders>
              <w:top w:val="single" w:sz="4" w:space="0" w:color="auto"/>
              <w:left w:val="single" w:sz="4" w:space="0" w:color="auto"/>
            </w:tcBorders>
            <w:noWrap/>
            <w:vAlign w:val="center"/>
            <w:hideMark/>
          </w:tcPr>
          <w:p w14:paraId="0EFA8AAE" w14:textId="77777777" w:rsidR="002F6188" w:rsidRPr="002E1D48" w:rsidRDefault="002F6188" w:rsidP="00CE2FDF">
            <w:pPr>
              <w:keepNext/>
              <w:spacing w:before="0" w:line="276" w:lineRule="auto"/>
              <w:jc w:val="right"/>
            </w:pPr>
            <w:r>
              <w:t>88,265</w:t>
            </w:r>
          </w:p>
        </w:tc>
        <w:tc>
          <w:tcPr>
            <w:tcW w:w="1386" w:type="dxa"/>
            <w:tcBorders>
              <w:top w:val="single" w:sz="4" w:space="0" w:color="auto"/>
              <w:right w:val="single" w:sz="4" w:space="0" w:color="auto"/>
            </w:tcBorders>
            <w:vAlign w:val="center"/>
          </w:tcPr>
          <w:p w14:paraId="3CA6E697" w14:textId="77777777" w:rsidR="002F6188" w:rsidRPr="002E1D48" w:rsidRDefault="002F6188" w:rsidP="00CE2FDF">
            <w:pPr>
              <w:keepNext/>
              <w:spacing w:before="0" w:line="276" w:lineRule="auto"/>
              <w:jc w:val="right"/>
            </w:pPr>
            <w:r>
              <w:t>19%</w:t>
            </w:r>
          </w:p>
        </w:tc>
        <w:tc>
          <w:tcPr>
            <w:tcW w:w="1386" w:type="dxa"/>
            <w:tcBorders>
              <w:top w:val="single" w:sz="4" w:space="0" w:color="auto"/>
              <w:left w:val="single" w:sz="4" w:space="0" w:color="auto"/>
            </w:tcBorders>
            <w:noWrap/>
            <w:vAlign w:val="center"/>
            <w:hideMark/>
          </w:tcPr>
          <w:p w14:paraId="69E8FD3A" w14:textId="77777777" w:rsidR="002F6188" w:rsidRPr="002E1D48" w:rsidRDefault="002F6188" w:rsidP="00CE2FDF">
            <w:pPr>
              <w:keepNext/>
              <w:spacing w:before="0" w:line="276" w:lineRule="auto"/>
              <w:jc w:val="right"/>
            </w:pPr>
            <w:r>
              <w:t>26,156</w:t>
            </w:r>
          </w:p>
        </w:tc>
        <w:tc>
          <w:tcPr>
            <w:tcW w:w="1386" w:type="dxa"/>
            <w:tcBorders>
              <w:top w:val="single" w:sz="4" w:space="0" w:color="auto"/>
              <w:right w:val="single" w:sz="4" w:space="0" w:color="auto"/>
            </w:tcBorders>
            <w:vAlign w:val="center"/>
          </w:tcPr>
          <w:p w14:paraId="2A479A20" w14:textId="77777777" w:rsidR="002F6188" w:rsidRPr="002E1D48" w:rsidRDefault="002F6188" w:rsidP="00CE2FDF">
            <w:pPr>
              <w:keepNext/>
              <w:spacing w:before="0" w:line="276" w:lineRule="auto"/>
              <w:jc w:val="right"/>
            </w:pPr>
            <w:r>
              <w:t>6%</w:t>
            </w:r>
          </w:p>
        </w:tc>
        <w:tc>
          <w:tcPr>
            <w:tcW w:w="1386" w:type="dxa"/>
            <w:tcBorders>
              <w:top w:val="single" w:sz="4" w:space="0" w:color="auto"/>
              <w:left w:val="single" w:sz="4" w:space="0" w:color="auto"/>
            </w:tcBorders>
            <w:noWrap/>
            <w:vAlign w:val="center"/>
            <w:hideMark/>
          </w:tcPr>
          <w:p w14:paraId="17F0815D" w14:textId="77777777" w:rsidR="002F6188" w:rsidRPr="002E1D48" w:rsidRDefault="002F6188" w:rsidP="00CE2FDF">
            <w:pPr>
              <w:keepNext/>
              <w:spacing w:before="0" w:line="276" w:lineRule="auto"/>
              <w:jc w:val="right"/>
            </w:pPr>
            <w:r>
              <w:t>54,366</w:t>
            </w:r>
          </w:p>
        </w:tc>
        <w:tc>
          <w:tcPr>
            <w:tcW w:w="1386" w:type="dxa"/>
            <w:tcBorders>
              <w:top w:val="single" w:sz="4" w:space="0" w:color="auto"/>
              <w:right w:val="single" w:sz="4" w:space="0" w:color="auto"/>
            </w:tcBorders>
            <w:vAlign w:val="center"/>
          </w:tcPr>
          <w:p w14:paraId="009F880F" w14:textId="77777777" w:rsidR="002F6188" w:rsidRPr="002E1D48" w:rsidRDefault="002F6188" w:rsidP="00CE2FDF">
            <w:pPr>
              <w:keepNext/>
              <w:spacing w:before="0" w:line="276" w:lineRule="auto"/>
              <w:jc w:val="right"/>
            </w:pPr>
            <w:r>
              <w:t>12%</w:t>
            </w:r>
          </w:p>
        </w:tc>
        <w:tc>
          <w:tcPr>
            <w:tcW w:w="1386" w:type="dxa"/>
            <w:tcBorders>
              <w:top w:val="single" w:sz="4" w:space="0" w:color="auto"/>
              <w:left w:val="single" w:sz="4" w:space="0" w:color="auto"/>
            </w:tcBorders>
            <w:noWrap/>
            <w:vAlign w:val="center"/>
            <w:hideMark/>
          </w:tcPr>
          <w:p w14:paraId="03334E91" w14:textId="77777777" w:rsidR="002F6188" w:rsidRPr="002E1D48" w:rsidRDefault="002F6188" w:rsidP="00CE2FDF">
            <w:pPr>
              <w:keepNext/>
              <w:spacing w:before="0" w:line="276" w:lineRule="auto"/>
              <w:jc w:val="right"/>
            </w:pPr>
            <w:r>
              <w:t>21,641</w:t>
            </w:r>
          </w:p>
        </w:tc>
        <w:tc>
          <w:tcPr>
            <w:tcW w:w="1386" w:type="dxa"/>
            <w:tcBorders>
              <w:top w:val="single" w:sz="4" w:space="0" w:color="auto"/>
              <w:right w:val="single" w:sz="4" w:space="0" w:color="auto"/>
            </w:tcBorders>
            <w:vAlign w:val="center"/>
          </w:tcPr>
          <w:p w14:paraId="6259BD1C" w14:textId="77777777" w:rsidR="002F6188" w:rsidRPr="002E1D48" w:rsidRDefault="002F6188" w:rsidP="00CE2FDF">
            <w:pPr>
              <w:keepNext/>
              <w:spacing w:before="0" w:line="276" w:lineRule="auto"/>
              <w:jc w:val="right"/>
            </w:pPr>
            <w:r>
              <w:t>5%</w:t>
            </w:r>
          </w:p>
        </w:tc>
        <w:tc>
          <w:tcPr>
            <w:tcW w:w="1386" w:type="dxa"/>
            <w:tcBorders>
              <w:top w:val="single" w:sz="4" w:space="0" w:color="auto"/>
              <w:left w:val="single" w:sz="4" w:space="0" w:color="auto"/>
              <w:right w:val="single" w:sz="4" w:space="0" w:color="auto"/>
            </w:tcBorders>
            <w:noWrap/>
            <w:vAlign w:val="center"/>
            <w:hideMark/>
          </w:tcPr>
          <w:p w14:paraId="27B8B57F" w14:textId="77777777" w:rsidR="002F6188" w:rsidRPr="004C0858" w:rsidRDefault="002F6188" w:rsidP="00CE2FDF">
            <w:pPr>
              <w:tabs>
                <w:tab w:val="left" w:pos="1134"/>
              </w:tabs>
              <w:spacing w:before="0" w:line="276" w:lineRule="auto"/>
              <w:jc w:val="right"/>
              <w:rPr>
                <w:rFonts w:cs="Arial"/>
                <w:b/>
              </w:rPr>
            </w:pPr>
            <w:r>
              <w:rPr>
                <w:rFonts w:cs="Arial"/>
                <w:b/>
              </w:rPr>
              <w:t>190,428</w:t>
            </w:r>
          </w:p>
        </w:tc>
      </w:tr>
      <w:tr w:rsidR="002F6188" w:rsidRPr="002E1D48" w14:paraId="518113B4" w14:textId="77777777" w:rsidTr="00B349CA">
        <w:trPr>
          <w:trHeight w:val="276"/>
        </w:trPr>
        <w:tc>
          <w:tcPr>
            <w:tcW w:w="2376" w:type="dxa"/>
            <w:tcBorders>
              <w:left w:val="single" w:sz="4" w:space="0" w:color="auto"/>
              <w:bottom w:val="single" w:sz="4" w:space="0" w:color="auto"/>
              <w:right w:val="single" w:sz="4" w:space="0" w:color="auto"/>
            </w:tcBorders>
            <w:shd w:val="clear" w:color="auto" w:fill="auto"/>
            <w:noWrap/>
            <w:hideMark/>
          </w:tcPr>
          <w:p w14:paraId="49138B28"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Other reporter groups combined</w:t>
            </w:r>
          </w:p>
        </w:tc>
        <w:tc>
          <w:tcPr>
            <w:tcW w:w="1386" w:type="dxa"/>
            <w:tcBorders>
              <w:left w:val="single" w:sz="4" w:space="0" w:color="auto"/>
              <w:bottom w:val="single" w:sz="4" w:space="0" w:color="auto"/>
            </w:tcBorders>
            <w:shd w:val="clear" w:color="auto" w:fill="auto"/>
            <w:noWrap/>
            <w:vAlign w:val="center"/>
            <w:hideMark/>
          </w:tcPr>
          <w:p w14:paraId="0DCE5E91" w14:textId="77777777" w:rsidR="002F6188" w:rsidRPr="002E1D48" w:rsidRDefault="002F6188" w:rsidP="00CE2FDF">
            <w:pPr>
              <w:spacing w:before="0" w:line="276" w:lineRule="auto"/>
              <w:jc w:val="right"/>
            </w:pPr>
            <w:r>
              <w:t>109,562</w:t>
            </w:r>
          </w:p>
        </w:tc>
        <w:tc>
          <w:tcPr>
            <w:tcW w:w="1386" w:type="dxa"/>
            <w:tcBorders>
              <w:bottom w:val="single" w:sz="4" w:space="0" w:color="auto"/>
              <w:right w:val="single" w:sz="4" w:space="0" w:color="auto"/>
            </w:tcBorders>
            <w:shd w:val="clear" w:color="auto" w:fill="auto"/>
            <w:vAlign w:val="center"/>
          </w:tcPr>
          <w:p w14:paraId="410E9CC5" w14:textId="77777777" w:rsidR="002F6188" w:rsidRPr="002E1D48" w:rsidRDefault="002F6188" w:rsidP="00CE2FDF">
            <w:pPr>
              <w:spacing w:before="0" w:line="276" w:lineRule="auto"/>
              <w:jc w:val="right"/>
            </w:pPr>
            <w:r>
              <w:t>24%</w:t>
            </w:r>
          </w:p>
        </w:tc>
        <w:tc>
          <w:tcPr>
            <w:tcW w:w="1386" w:type="dxa"/>
            <w:tcBorders>
              <w:left w:val="single" w:sz="4" w:space="0" w:color="auto"/>
              <w:bottom w:val="single" w:sz="4" w:space="0" w:color="auto"/>
            </w:tcBorders>
            <w:shd w:val="clear" w:color="auto" w:fill="auto"/>
            <w:noWrap/>
            <w:vAlign w:val="center"/>
            <w:hideMark/>
          </w:tcPr>
          <w:p w14:paraId="68A0FEF7" w14:textId="77777777" w:rsidR="002F6188" w:rsidRPr="002E1D48" w:rsidRDefault="002F6188" w:rsidP="00CE2FDF">
            <w:pPr>
              <w:spacing w:before="0" w:line="276" w:lineRule="auto"/>
              <w:jc w:val="right"/>
            </w:pPr>
            <w:r>
              <w:t>61,283</w:t>
            </w:r>
          </w:p>
        </w:tc>
        <w:tc>
          <w:tcPr>
            <w:tcW w:w="1386" w:type="dxa"/>
            <w:tcBorders>
              <w:bottom w:val="single" w:sz="4" w:space="0" w:color="auto"/>
              <w:right w:val="single" w:sz="4" w:space="0" w:color="auto"/>
            </w:tcBorders>
            <w:shd w:val="clear" w:color="auto" w:fill="auto"/>
            <w:vAlign w:val="center"/>
          </w:tcPr>
          <w:p w14:paraId="03623BED" w14:textId="77777777" w:rsidR="002F6188" w:rsidRPr="002E1D48" w:rsidRDefault="002F6188" w:rsidP="00CE2FDF">
            <w:pPr>
              <w:spacing w:before="0" w:line="276" w:lineRule="auto"/>
              <w:jc w:val="right"/>
            </w:pPr>
            <w:r>
              <w:t>13%</w:t>
            </w:r>
          </w:p>
        </w:tc>
        <w:tc>
          <w:tcPr>
            <w:tcW w:w="1386" w:type="dxa"/>
            <w:tcBorders>
              <w:left w:val="single" w:sz="4" w:space="0" w:color="auto"/>
              <w:bottom w:val="single" w:sz="4" w:space="0" w:color="auto"/>
            </w:tcBorders>
            <w:shd w:val="clear" w:color="auto" w:fill="auto"/>
            <w:noWrap/>
            <w:vAlign w:val="center"/>
            <w:hideMark/>
          </w:tcPr>
          <w:p w14:paraId="6AA19FAD" w14:textId="77777777" w:rsidR="002F6188" w:rsidRPr="002E1D48" w:rsidRDefault="002F6188" w:rsidP="00CE2FDF">
            <w:pPr>
              <w:spacing w:before="0" w:line="276" w:lineRule="auto"/>
              <w:jc w:val="right"/>
            </w:pPr>
            <w:r>
              <w:t>65,520</w:t>
            </w:r>
          </w:p>
        </w:tc>
        <w:tc>
          <w:tcPr>
            <w:tcW w:w="1386" w:type="dxa"/>
            <w:tcBorders>
              <w:bottom w:val="single" w:sz="4" w:space="0" w:color="auto"/>
              <w:right w:val="single" w:sz="4" w:space="0" w:color="auto"/>
            </w:tcBorders>
            <w:shd w:val="clear" w:color="auto" w:fill="auto"/>
            <w:vAlign w:val="center"/>
          </w:tcPr>
          <w:p w14:paraId="5577B2F9" w14:textId="77777777" w:rsidR="002F6188" w:rsidRPr="002E1D48" w:rsidRDefault="002F6188" w:rsidP="00CE2FDF">
            <w:pPr>
              <w:spacing w:before="0" w:line="276" w:lineRule="auto"/>
              <w:jc w:val="right"/>
            </w:pPr>
            <w:r>
              <w:t>14%</w:t>
            </w:r>
          </w:p>
        </w:tc>
        <w:tc>
          <w:tcPr>
            <w:tcW w:w="1386" w:type="dxa"/>
            <w:tcBorders>
              <w:left w:val="single" w:sz="4" w:space="0" w:color="auto"/>
              <w:bottom w:val="single" w:sz="4" w:space="0" w:color="auto"/>
            </w:tcBorders>
            <w:shd w:val="clear" w:color="auto" w:fill="auto"/>
            <w:noWrap/>
            <w:vAlign w:val="center"/>
            <w:hideMark/>
          </w:tcPr>
          <w:p w14:paraId="6C19CF59" w14:textId="77777777" w:rsidR="002F6188" w:rsidRPr="002E1D48" w:rsidRDefault="002F6188" w:rsidP="00CE2FDF">
            <w:pPr>
              <w:spacing w:before="0" w:line="276" w:lineRule="auto"/>
              <w:jc w:val="right"/>
            </w:pPr>
            <w:r>
              <w:t>27,327</w:t>
            </w:r>
          </w:p>
        </w:tc>
        <w:tc>
          <w:tcPr>
            <w:tcW w:w="1386" w:type="dxa"/>
            <w:tcBorders>
              <w:bottom w:val="single" w:sz="4" w:space="0" w:color="auto"/>
              <w:right w:val="single" w:sz="4" w:space="0" w:color="auto"/>
            </w:tcBorders>
            <w:shd w:val="clear" w:color="auto" w:fill="auto"/>
            <w:vAlign w:val="center"/>
          </w:tcPr>
          <w:p w14:paraId="353481D1" w14:textId="77777777" w:rsidR="002F6188" w:rsidRPr="002E1D48" w:rsidRDefault="002F6188" w:rsidP="00CE2FDF">
            <w:pPr>
              <w:spacing w:before="0" w:line="276" w:lineRule="auto"/>
              <w:jc w:val="right"/>
            </w:pPr>
            <w:r>
              <w:t>6%</w:t>
            </w:r>
          </w:p>
        </w:tc>
        <w:tc>
          <w:tcPr>
            <w:tcW w:w="1386" w:type="dxa"/>
            <w:tcBorders>
              <w:left w:val="single" w:sz="4" w:space="0" w:color="auto"/>
              <w:bottom w:val="single" w:sz="4" w:space="0" w:color="auto"/>
              <w:right w:val="single" w:sz="4" w:space="0" w:color="auto"/>
            </w:tcBorders>
            <w:shd w:val="clear" w:color="auto" w:fill="auto"/>
            <w:noWrap/>
            <w:vAlign w:val="center"/>
            <w:hideMark/>
          </w:tcPr>
          <w:p w14:paraId="3A650BC3" w14:textId="77777777" w:rsidR="002F6188" w:rsidRPr="004C0858" w:rsidRDefault="002F6188" w:rsidP="00CE2FDF">
            <w:pPr>
              <w:tabs>
                <w:tab w:val="left" w:pos="1134"/>
              </w:tabs>
              <w:spacing w:before="0" w:line="276" w:lineRule="auto"/>
              <w:jc w:val="right"/>
              <w:rPr>
                <w:rFonts w:cs="Arial"/>
                <w:b/>
              </w:rPr>
            </w:pPr>
            <w:r>
              <w:rPr>
                <w:rFonts w:cs="Arial"/>
                <w:b/>
              </w:rPr>
              <w:t>263,692</w:t>
            </w:r>
          </w:p>
        </w:tc>
      </w:tr>
      <w:tr w:rsidR="00916595" w:rsidRPr="002E1D48" w14:paraId="113E92DA" w14:textId="77777777" w:rsidTr="00C84E96">
        <w:trPr>
          <w:trHeight w:val="276"/>
        </w:trPr>
        <w:tc>
          <w:tcPr>
            <w:tcW w:w="23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FDDAE64" w14:textId="77777777" w:rsidR="00916595" w:rsidRPr="00C002A6" w:rsidRDefault="00916595" w:rsidP="00CE2FDF">
            <w:pPr>
              <w:spacing w:before="0" w:line="276" w:lineRule="auto"/>
              <w:rPr>
                <w:b/>
              </w:rPr>
            </w:pPr>
          </w:p>
        </w:tc>
        <w:tc>
          <w:tcPr>
            <w:tcW w:w="1386"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56780F8A" w14:textId="77777777" w:rsidR="00916595" w:rsidRPr="002E1D48" w:rsidRDefault="00916595" w:rsidP="00CE2FDF">
            <w:pPr>
              <w:spacing w:before="0" w:line="276" w:lineRule="auto"/>
              <w:jc w:val="right"/>
            </w:pPr>
            <w:r>
              <w:t>197,827</w:t>
            </w:r>
          </w:p>
        </w:tc>
        <w:tc>
          <w:tcPr>
            <w:tcW w:w="1386" w:type="dxa"/>
            <w:tcBorders>
              <w:top w:val="single" w:sz="4" w:space="0" w:color="auto"/>
              <w:bottom w:val="single" w:sz="4" w:space="0" w:color="auto"/>
              <w:right w:val="single" w:sz="4" w:space="0" w:color="auto"/>
            </w:tcBorders>
            <w:shd w:val="clear" w:color="auto" w:fill="B8CCE4" w:themeFill="accent1" w:themeFillTint="66"/>
            <w:vAlign w:val="center"/>
          </w:tcPr>
          <w:p w14:paraId="56F8F979" w14:textId="77777777" w:rsidR="00916595" w:rsidRPr="002E1D48" w:rsidRDefault="00916595" w:rsidP="00CE2FDF">
            <w:pPr>
              <w:spacing w:before="0" w:line="276" w:lineRule="auto"/>
              <w:jc w:val="right"/>
            </w:pPr>
            <w:r>
              <w:t>43%</w:t>
            </w:r>
          </w:p>
        </w:tc>
        <w:tc>
          <w:tcPr>
            <w:tcW w:w="1386"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288776B8" w14:textId="77777777" w:rsidR="00916595" w:rsidRPr="002E1D48" w:rsidRDefault="00916595" w:rsidP="00CE2FDF">
            <w:pPr>
              <w:spacing w:before="0" w:line="276" w:lineRule="auto"/>
              <w:jc w:val="right"/>
            </w:pPr>
            <w:r>
              <w:t>87,439</w:t>
            </w:r>
          </w:p>
        </w:tc>
        <w:tc>
          <w:tcPr>
            <w:tcW w:w="1386" w:type="dxa"/>
            <w:tcBorders>
              <w:top w:val="single" w:sz="4" w:space="0" w:color="auto"/>
              <w:bottom w:val="single" w:sz="4" w:space="0" w:color="auto"/>
              <w:right w:val="single" w:sz="4" w:space="0" w:color="auto"/>
            </w:tcBorders>
            <w:shd w:val="clear" w:color="auto" w:fill="B8CCE4" w:themeFill="accent1" w:themeFillTint="66"/>
            <w:vAlign w:val="center"/>
          </w:tcPr>
          <w:p w14:paraId="6FE22990" w14:textId="77777777" w:rsidR="00916595" w:rsidRPr="002E1D48" w:rsidRDefault="00916595" w:rsidP="00CE2FDF">
            <w:pPr>
              <w:spacing w:before="0" w:line="276" w:lineRule="auto"/>
              <w:jc w:val="right"/>
            </w:pPr>
            <w:r>
              <w:t>19%</w:t>
            </w:r>
          </w:p>
        </w:tc>
        <w:tc>
          <w:tcPr>
            <w:tcW w:w="1386"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52616668" w14:textId="77777777" w:rsidR="00916595" w:rsidRPr="002E1D48" w:rsidRDefault="00916595" w:rsidP="00CE2FDF">
            <w:pPr>
              <w:spacing w:before="0" w:line="276" w:lineRule="auto"/>
              <w:jc w:val="right"/>
            </w:pPr>
            <w:r>
              <w:t>119,886</w:t>
            </w:r>
          </w:p>
        </w:tc>
        <w:tc>
          <w:tcPr>
            <w:tcW w:w="1386" w:type="dxa"/>
            <w:tcBorders>
              <w:top w:val="single" w:sz="4" w:space="0" w:color="auto"/>
              <w:bottom w:val="single" w:sz="4" w:space="0" w:color="auto"/>
              <w:right w:val="single" w:sz="4" w:space="0" w:color="auto"/>
            </w:tcBorders>
            <w:shd w:val="clear" w:color="auto" w:fill="B8CCE4" w:themeFill="accent1" w:themeFillTint="66"/>
            <w:vAlign w:val="center"/>
          </w:tcPr>
          <w:p w14:paraId="7DA28F9A" w14:textId="77777777" w:rsidR="00916595" w:rsidRPr="002E1D48" w:rsidRDefault="00916595" w:rsidP="00CE2FDF">
            <w:pPr>
              <w:spacing w:before="0" w:line="276" w:lineRule="auto"/>
              <w:jc w:val="right"/>
            </w:pPr>
            <w:r>
              <w:t>26%</w:t>
            </w:r>
          </w:p>
        </w:tc>
        <w:tc>
          <w:tcPr>
            <w:tcW w:w="1386"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606BEF65" w14:textId="77777777" w:rsidR="00916595" w:rsidRPr="002E1D48" w:rsidRDefault="00916595" w:rsidP="00CE2FDF">
            <w:pPr>
              <w:spacing w:before="0" w:line="276" w:lineRule="auto"/>
              <w:jc w:val="right"/>
            </w:pPr>
            <w:r>
              <w:t>48,968</w:t>
            </w:r>
          </w:p>
        </w:tc>
        <w:tc>
          <w:tcPr>
            <w:tcW w:w="1386" w:type="dxa"/>
            <w:tcBorders>
              <w:top w:val="single" w:sz="4" w:space="0" w:color="auto"/>
              <w:bottom w:val="single" w:sz="4" w:space="0" w:color="auto"/>
              <w:right w:val="single" w:sz="4" w:space="0" w:color="auto"/>
            </w:tcBorders>
            <w:shd w:val="clear" w:color="auto" w:fill="B8CCE4" w:themeFill="accent1" w:themeFillTint="66"/>
            <w:vAlign w:val="center"/>
          </w:tcPr>
          <w:p w14:paraId="27CBD7A0" w14:textId="77777777" w:rsidR="00916595" w:rsidRPr="002E1D48" w:rsidRDefault="00916595" w:rsidP="00CE2FDF">
            <w:pPr>
              <w:spacing w:before="0" w:line="276" w:lineRule="auto"/>
              <w:jc w:val="right"/>
            </w:pPr>
            <w:r>
              <w:t>11%</w:t>
            </w:r>
          </w:p>
        </w:tc>
        <w:tc>
          <w:tcPr>
            <w:tcW w:w="138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21BD81C" w14:textId="77777777" w:rsidR="00916595" w:rsidRPr="004C0858" w:rsidRDefault="00916595" w:rsidP="00CE2FDF">
            <w:pPr>
              <w:tabs>
                <w:tab w:val="left" w:pos="1134"/>
              </w:tabs>
              <w:spacing w:before="0" w:line="276" w:lineRule="auto"/>
              <w:jc w:val="right"/>
              <w:rPr>
                <w:rFonts w:cs="Arial"/>
                <w:b/>
              </w:rPr>
            </w:pPr>
            <w:r>
              <w:rPr>
                <w:rFonts w:cs="Arial"/>
                <w:b/>
              </w:rPr>
              <w:t>454,120</w:t>
            </w:r>
          </w:p>
        </w:tc>
      </w:tr>
    </w:tbl>
    <w:p w14:paraId="28945F28" w14:textId="77777777" w:rsidR="00C84E96" w:rsidRDefault="00C84E96" w:rsidP="00B15586"/>
    <w:p w14:paraId="4C0C1A00" w14:textId="77777777" w:rsidR="00181ABA" w:rsidRDefault="00181ABA" w:rsidP="00181ABA">
      <w:pPr>
        <w:ind w:firstLine="720"/>
        <w:sectPr w:rsidR="00181ABA" w:rsidSect="00BA154E">
          <w:pgSz w:w="16838" w:h="11906" w:orient="landscape"/>
          <w:pgMar w:top="1134" w:right="1134" w:bottom="284" w:left="1134" w:header="709" w:footer="283" w:gutter="0"/>
          <w:cols w:space="708"/>
          <w:docGrid w:linePitch="360"/>
        </w:sectPr>
      </w:pPr>
    </w:p>
    <w:p w14:paraId="03072FCF" w14:textId="6428A2A1" w:rsidR="005D61DD" w:rsidRPr="006360A3" w:rsidRDefault="00863988" w:rsidP="00863988">
      <w:pPr>
        <w:pStyle w:val="Figureheading"/>
        <w:ind w:left="720" w:hanging="720"/>
      </w:pPr>
      <w:bookmarkStart w:id="62" w:name="_Toc382206707"/>
      <w:r>
        <w:lastRenderedPageBreak/>
        <w:t>1.12</w:t>
      </w:r>
      <w:r>
        <w:tab/>
      </w:r>
      <w:r w:rsidR="005D61DD" w:rsidRPr="006360A3">
        <w:t>Number of reports by reporter group, and outcome of reports, as a percentage of all reports (all reports over 10 year period combined, all abuse types combined)</w:t>
      </w:r>
      <w:bookmarkEnd w:id="62"/>
    </w:p>
    <w:tbl>
      <w:tblPr>
        <w:tblW w:w="14850" w:type="dxa"/>
        <w:tblLayout w:type="fixed"/>
        <w:tblLook w:val="04A0" w:firstRow="1" w:lastRow="0" w:firstColumn="1" w:lastColumn="0" w:noHBand="0" w:noVBand="1"/>
      </w:tblPr>
      <w:tblGrid>
        <w:gridCol w:w="2313"/>
        <w:gridCol w:w="1623"/>
        <w:gridCol w:w="1015"/>
        <w:gridCol w:w="1536"/>
        <w:gridCol w:w="1102"/>
        <w:gridCol w:w="1591"/>
        <w:gridCol w:w="1047"/>
        <w:gridCol w:w="1505"/>
        <w:gridCol w:w="1134"/>
        <w:gridCol w:w="1984"/>
      </w:tblGrid>
      <w:tr w:rsidR="00BB5AC9" w:rsidRPr="00BB5AC9" w14:paraId="1383FB3E" w14:textId="77777777" w:rsidTr="00C84E96">
        <w:trPr>
          <w:trHeight w:val="828"/>
        </w:trPr>
        <w:tc>
          <w:tcPr>
            <w:tcW w:w="23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5C1DD35" w14:textId="77777777" w:rsidR="00BB5AC9" w:rsidRPr="00BB5AC9" w:rsidRDefault="00BB5AC9" w:rsidP="00CE2FDF">
            <w:pPr>
              <w:tabs>
                <w:tab w:val="left" w:pos="1134"/>
              </w:tabs>
              <w:spacing w:before="0" w:line="276" w:lineRule="auto"/>
              <w:rPr>
                <w:rFonts w:cs="Arial"/>
                <w:b/>
                <w:bCs/>
                <w:color w:val="000000"/>
              </w:rPr>
            </w:pPr>
          </w:p>
        </w:tc>
        <w:tc>
          <w:tcPr>
            <w:tcW w:w="1623" w:type="dxa"/>
            <w:tcBorders>
              <w:top w:val="single" w:sz="4" w:space="0" w:color="auto"/>
              <w:left w:val="single" w:sz="4" w:space="0" w:color="auto"/>
              <w:bottom w:val="single" w:sz="4" w:space="0" w:color="auto"/>
            </w:tcBorders>
            <w:shd w:val="clear" w:color="auto" w:fill="8DB3E2" w:themeFill="text2" w:themeFillTint="66"/>
            <w:vAlign w:val="center"/>
            <w:hideMark/>
          </w:tcPr>
          <w:p w14:paraId="39501F43" w14:textId="77777777" w:rsidR="00BB5AC9" w:rsidRPr="00BB5AC9" w:rsidRDefault="00BB5AC9" w:rsidP="00CE2FDF">
            <w:pPr>
              <w:tabs>
                <w:tab w:val="left" w:pos="1134"/>
              </w:tabs>
              <w:spacing w:before="0" w:line="276" w:lineRule="auto"/>
              <w:jc w:val="right"/>
              <w:rPr>
                <w:rFonts w:cs="Arial"/>
                <w:b/>
                <w:bCs/>
                <w:color w:val="000000"/>
              </w:rPr>
            </w:pPr>
            <w:r w:rsidRPr="00BB5AC9">
              <w:rPr>
                <w:rFonts w:cs="Arial"/>
                <w:b/>
                <w:bCs/>
                <w:color w:val="000000"/>
              </w:rPr>
              <w:t>Not investigated</w:t>
            </w:r>
          </w:p>
        </w:tc>
        <w:tc>
          <w:tcPr>
            <w:tcW w:w="1015" w:type="dxa"/>
            <w:tcBorders>
              <w:top w:val="single" w:sz="4" w:space="0" w:color="auto"/>
              <w:bottom w:val="single" w:sz="4" w:space="0" w:color="auto"/>
              <w:right w:val="single" w:sz="4" w:space="0" w:color="auto"/>
            </w:tcBorders>
            <w:shd w:val="clear" w:color="auto" w:fill="8DB3E2" w:themeFill="text2" w:themeFillTint="66"/>
            <w:vAlign w:val="center"/>
          </w:tcPr>
          <w:p w14:paraId="51CC1220" w14:textId="77777777" w:rsidR="00BB5AC9" w:rsidRPr="00BB5AC9" w:rsidRDefault="00BB5AC9" w:rsidP="00CE2FDF">
            <w:pPr>
              <w:tabs>
                <w:tab w:val="left" w:pos="1134"/>
              </w:tabs>
              <w:spacing w:before="0" w:line="276" w:lineRule="auto"/>
              <w:jc w:val="right"/>
              <w:rPr>
                <w:rFonts w:cs="Arial"/>
                <w:b/>
                <w:bCs/>
                <w:color w:val="000000"/>
              </w:rPr>
            </w:pPr>
            <w:r w:rsidRPr="00BB5AC9">
              <w:rPr>
                <w:rFonts w:cs="Arial"/>
                <w:b/>
                <w:bCs/>
                <w:color w:val="000000"/>
              </w:rPr>
              <w:t>%</w:t>
            </w:r>
          </w:p>
        </w:tc>
        <w:tc>
          <w:tcPr>
            <w:tcW w:w="1536" w:type="dxa"/>
            <w:tcBorders>
              <w:top w:val="single" w:sz="4" w:space="0" w:color="auto"/>
              <w:bottom w:val="single" w:sz="4" w:space="0" w:color="auto"/>
            </w:tcBorders>
            <w:shd w:val="clear" w:color="auto" w:fill="8DB3E2" w:themeFill="text2" w:themeFillTint="66"/>
            <w:vAlign w:val="center"/>
          </w:tcPr>
          <w:p w14:paraId="1CE025BA" w14:textId="77777777" w:rsidR="00BB5AC9" w:rsidRPr="00BB5AC9" w:rsidRDefault="00BB5AC9" w:rsidP="00CE2FDF">
            <w:pPr>
              <w:tabs>
                <w:tab w:val="left" w:pos="1134"/>
              </w:tabs>
              <w:spacing w:before="0" w:line="276" w:lineRule="auto"/>
              <w:jc w:val="right"/>
              <w:rPr>
                <w:rFonts w:cs="Arial"/>
                <w:b/>
                <w:bCs/>
                <w:color w:val="000000"/>
              </w:rPr>
            </w:pPr>
            <w:r w:rsidRPr="00BB5AC9">
              <w:rPr>
                <w:rFonts w:cs="Arial"/>
                <w:b/>
                <w:bCs/>
                <w:color w:val="000000"/>
              </w:rPr>
              <w:t xml:space="preserve">Investigated </w:t>
            </w:r>
          </w:p>
        </w:tc>
        <w:tc>
          <w:tcPr>
            <w:tcW w:w="1102" w:type="dxa"/>
            <w:tcBorders>
              <w:top w:val="single" w:sz="4" w:space="0" w:color="auto"/>
              <w:bottom w:val="single" w:sz="4" w:space="0" w:color="auto"/>
            </w:tcBorders>
            <w:shd w:val="clear" w:color="auto" w:fill="8DB3E2" w:themeFill="text2" w:themeFillTint="66"/>
            <w:vAlign w:val="center"/>
          </w:tcPr>
          <w:p w14:paraId="5E140AB7" w14:textId="77777777" w:rsidR="00BB5AC9" w:rsidRPr="00BB5AC9" w:rsidRDefault="00BB5AC9" w:rsidP="00CE2FDF">
            <w:pPr>
              <w:tabs>
                <w:tab w:val="left" w:pos="1134"/>
              </w:tabs>
              <w:spacing w:before="0" w:line="276" w:lineRule="auto"/>
              <w:jc w:val="right"/>
              <w:rPr>
                <w:rFonts w:cs="Arial"/>
                <w:b/>
                <w:bCs/>
                <w:color w:val="000000"/>
              </w:rPr>
            </w:pPr>
            <w:r w:rsidRPr="00BB5AC9">
              <w:rPr>
                <w:rFonts w:cs="Arial"/>
                <w:b/>
                <w:bCs/>
                <w:color w:val="000000"/>
              </w:rPr>
              <w:t>%</w:t>
            </w:r>
          </w:p>
        </w:tc>
        <w:tc>
          <w:tcPr>
            <w:tcW w:w="1591" w:type="dxa"/>
            <w:tcBorders>
              <w:top w:val="single" w:sz="4" w:space="0" w:color="auto"/>
              <w:left w:val="single" w:sz="4" w:space="0" w:color="auto"/>
              <w:bottom w:val="single" w:sz="4" w:space="0" w:color="auto"/>
            </w:tcBorders>
            <w:shd w:val="clear" w:color="auto" w:fill="8DB3E2" w:themeFill="text2" w:themeFillTint="66"/>
            <w:vAlign w:val="center"/>
            <w:hideMark/>
          </w:tcPr>
          <w:p w14:paraId="41EBE685" w14:textId="77777777" w:rsidR="00BB5AC9" w:rsidRPr="00BB5AC9" w:rsidRDefault="00BB5AC9" w:rsidP="00CE2FDF">
            <w:pPr>
              <w:tabs>
                <w:tab w:val="left" w:pos="1134"/>
              </w:tabs>
              <w:spacing w:before="0" w:line="276" w:lineRule="auto"/>
              <w:jc w:val="right"/>
              <w:rPr>
                <w:rFonts w:cs="Arial"/>
                <w:b/>
                <w:bCs/>
                <w:color w:val="000000"/>
              </w:rPr>
            </w:pPr>
            <w:r w:rsidRPr="00BB5AC9">
              <w:rPr>
                <w:rFonts w:cs="Arial"/>
                <w:b/>
                <w:bCs/>
                <w:color w:val="000000"/>
              </w:rPr>
              <w:t>Substantiated</w:t>
            </w:r>
          </w:p>
        </w:tc>
        <w:tc>
          <w:tcPr>
            <w:tcW w:w="1047" w:type="dxa"/>
            <w:tcBorders>
              <w:top w:val="single" w:sz="4" w:space="0" w:color="auto"/>
              <w:bottom w:val="single" w:sz="4" w:space="0" w:color="auto"/>
              <w:right w:val="single" w:sz="4" w:space="0" w:color="auto"/>
            </w:tcBorders>
            <w:shd w:val="clear" w:color="auto" w:fill="8DB3E2" w:themeFill="text2" w:themeFillTint="66"/>
            <w:vAlign w:val="center"/>
          </w:tcPr>
          <w:p w14:paraId="11F76691" w14:textId="77777777" w:rsidR="00BB5AC9" w:rsidRPr="00BB5AC9" w:rsidRDefault="00BB5AC9" w:rsidP="00CE2FDF">
            <w:pPr>
              <w:tabs>
                <w:tab w:val="left" w:pos="1134"/>
              </w:tabs>
              <w:spacing w:before="0" w:line="276" w:lineRule="auto"/>
              <w:jc w:val="right"/>
              <w:rPr>
                <w:rFonts w:cs="Arial"/>
                <w:b/>
                <w:bCs/>
                <w:color w:val="000000"/>
              </w:rPr>
            </w:pPr>
            <w:r w:rsidRPr="00BB5AC9">
              <w:rPr>
                <w:rFonts w:cs="Arial"/>
                <w:b/>
                <w:bCs/>
                <w:color w:val="000000"/>
              </w:rPr>
              <w:t>%</w:t>
            </w:r>
          </w:p>
        </w:tc>
        <w:tc>
          <w:tcPr>
            <w:tcW w:w="1505" w:type="dxa"/>
            <w:tcBorders>
              <w:top w:val="single" w:sz="4" w:space="0" w:color="auto"/>
              <w:left w:val="single" w:sz="4" w:space="0" w:color="auto"/>
              <w:bottom w:val="single" w:sz="4" w:space="0" w:color="auto"/>
            </w:tcBorders>
            <w:shd w:val="clear" w:color="auto" w:fill="8DB3E2" w:themeFill="text2" w:themeFillTint="66"/>
            <w:vAlign w:val="center"/>
            <w:hideMark/>
          </w:tcPr>
          <w:p w14:paraId="5B2691E1" w14:textId="77777777" w:rsidR="00BB5AC9" w:rsidRPr="00BB5AC9" w:rsidRDefault="00BB5AC9" w:rsidP="00CE2FDF">
            <w:pPr>
              <w:tabs>
                <w:tab w:val="left" w:pos="1134"/>
              </w:tabs>
              <w:spacing w:before="0" w:line="276" w:lineRule="auto"/>
              <w:jc w:val="right"/>
              <w:rPr>
                <w:rFonts w:cs="Arial"/>
                <w:b/>
                <w:bCs/>
                <w:color w:val="000000"/>
              </w:rPr>
            </w:pPr>
            <w:r w:rsidRPr="00BB5AC9">
              <w:rPr>
                <w:rFonts w:cs="Arial"/>
                <w:b/>
                <w:bCs/>
                <w:color w:val="000000"/>
              </w:rPr>
              <w:t>Not substantiated</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71B75055" w14:textId="77777777" w:rsidR="00BB5AC9" w:rsidRPr="00BB5AC9" w:rsidRDefault="00BB5AC9" w:rsidP="00CE2FDF">
            <w:pPr>
              <w:tabs>
                <w:tab w:val="left" w:pos="1134"/>
              </w:tabs>
              <w:spacing w:before="0" w:line="276" w:lineRule="auto"/>
              <w:jc w:val="right"/>
              <w:rPr>
                <w:rFonts w:cs="Arial"/>
                <w:b/>
                <w:bCs/>
                <w:color w:val="000000"/>
              </w:rPr>
            </w:pPr>
            <w:r w:rsidRPr="00BB5AC9">
              <w:rPr>
                <w:rFonts w:cs="Arial"/>
                <w:b/>
                <w:bCs/>
                <w:color w:val="000000"/>
              </w:rPr>
              <w:t>%</w:t>
            </w:r>
          </w:p>
        </w:tc>
        <w:tc>
          <w:tcPr>
            <w:tcW w:w="198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091C6CA" w14:textId="77777777" w:rsidR="00BB5AC9" w:rsidRPr="00BB5AC9" w:rsidRDefault="00BB5AC9" w:rsidP="00CE2FDF">
            <w:pPr>
              <w:tabs>
                <w:tab w:val="left" w:pos="1134"/>
              </w:tabs>
              <w:spacing w:before="0" w:line="276" w:lineRule="auto"/>
              <w:jc w:val="right"/>
              <w:rPr>
                <w:rFonts w:cs="Arial"/>
                <w:b/>
                <w:bCs/>
                <w:color w:val="000000"/>
              </w:rPr>
            </w:pPr>
            <w:r w:rsidRPr="00BB5AC9">
              <w:rPr>
                <w:rFonts w:cs="Arial"/>
                <w:b/>
                <w:bCs/>
                <w:color w:val="000000"/>
              </w:rPr>
              <w:t>Totals</w:t>
            </w:r>
          </w:p>
        </w:tc>
      </w:tr>
      <w:tr w:rsidR="00EB374E" w:rsidRPr="00BB5AC9" w14:paraId="3C4302D0" w14:textId="77777777" w:rsidTr="00C84E96">
        <w:trPr>
          <w:trHeight w:val="276"/>
        </w:trPr>
        <w:tc>
          <w:tcPr>
            <w:tcW w:w="2313" w:type="dxa"/>
            <w:tcBorders>
              <w:top w:val="single" w:sz="4" w:space="0" w:color="auto"/>
              <w:left w:val="single" w:sz="4" w:space="0" w:color="auto"/>
              <w:right w:val="single" w:sz="4" w:space="0" w:color="auto"/>
            </w:tcBorders>
            <w:shd w:val="clear" w:color="auto" w:fill="auto"/>
            <w:noWrap/>
            <w:vAlign w:val="bottom"/>
            <w:hideMark/>
          </w:tcPr>
          <w:p w14:paraId="494A346B" w14:textId="77777777" w:rsidR="00EB374E" w:rsidRPr="00BB5AC9" w:rsidRDefault="00EB374E" w:rsidP="00CE2FDF">
            <w:pPr>
              <w:spacing w:before="0" w:line="276" w:lineRule="auto"/>
              <w:rPr>
                <w:rFonts w:cs="Arial"/>
                <w:b/>
                <w:color w:val="000000"/>
              </w:rPr>
            </w:pPr>
            <w:r w:rsidRPr="00BB5AC9">
              <w:rPr>
                <w:rFonts w:cs="Arial"/>
                <w:b/>
                <w:color w:val="000000"/>
              </w:rPr>
              <w:t>Doctors</w:t>
            </w:r>
          </w:p>
        </w:tc>
        <w:tc>
          <w:tcPr>
            <w:tcW w:w="1623" w:type="dxa"/>
            <w:tcBorders>
              <w:top w:val="single" w:sz="4" w:space="0" w:color="auto"/>
              <w:left w:val="single" w:sz="4" w:space="0" w:color="auto"/>
            </w:tcBorders>
            <w:shd w:val="clear" w:color="auto" w:fill="auto"/>
            <w:noWrap/>
            <w:vAlign w:val="center"/>
            <w:hideMark/>
          </w:tcPr>
          <w:p w14:paraId="3EC9BDDE" w14:textId="77777777" w:rsidR="00EB374E" w:rsidRPr="00BB5AC9" w:rsidRDefault="00EB374E" w:rsidP="00CE2FDF">
            <w:pPr>
              <w:spacing w:before="0" w:line="276" w:lineRule="auto"/>
              <w:jc w:val="right"/>
              <w:rPr>
                <w:rFonts w:cs="Arial"/>
                <w:bCs/>
                <w:color w:val="000000"/>
              </w:rPr>
            </w:pPr>
            <w:r w:rsidRPr="00BB5AC9">
              <w:rPr>
                <w:rFonts w:cs="Arial"/>
                <w:bCs/>
                <w:color w:val="000000"/>
              </w:rPr>
              <w:t>6</w:t>
            </w:r>
            <w:r>
              <w:rPr>
                <w:rFonts w:cs="Arial"/>
                <w:bCs/>
                <w:color w:val="000000"/>
              </w:rPr>
              <w:t>,</w:t>
            </w:r>
            <w:r w:rsidRPr="00BB5AC9">
              <w:rPr>
                <w:rFonts w:cs="Arial"/>
                <w:bCs/>
                <w:color w:val="000000"/>
              </w:rPr>
              <w:t>545</w:t>
            </w:r>
          </w:p>
        </w:tc>
        <w:tc>
          <w:tcPr>
            <w:tcW w:w="1015" w:type="dxa"/>
            <w:tcBorders>
              <w:top w:val="single" w:sz="4" w:space="0" w:color="auto"/>
              <w:right w:val="single" w:sz="4" w:space="0" w:color="auto"/>
            </w:tcBorders>
            <w:shd w:val="clear" w:color="auto" w:fill="auto"/>
            <w:vAlign w:val="center"/>
          </w:tcPr>
          <w:p w14:paraId="5C85D50C" w14:textId="77777777" w:rsidR="00EB374E" w:rsidRPr="00BB5AC9" w:rsidRDefault="00EB374E" w:rsidP="00CE2FDF">
            <w:pPr>
              <w:spacing w:before="0" w:line="276" w:lineRule="auto"/>
              <w:jc w:val="right"/>
              <w:rPr>
                <w:rFonts w:cs="Arial"/>
                <w:bCs/>
                <w:color w:val="000000"/>
              </w:rPr>
            </w:pPr>
            <w:r>
              <w:rPr>
                <w:rFonts w:cs="Arial"/>
                <w:bCs/>
                <w:color w:val="000000"/>
              </w:rPr>
              <w:t>1.4%</w:t>
            </w:r>
          </w:p>
        </w:tc>
        <w:tc>
          <w:tcPr>
            <w:tcW w:w="1536" w:type="dxa"/>
            <w:tcBorders>
              <w:top w:val="single" w:sz="4" w:space="0" w:color="auto"/>
            </w:tcBorders>
            <w:shd w:val="clear" w:color="auto" w:fill="auto"/>
            <w:vAlign w:val="center"/>
          </w:tcPr>
          <w:p w14:paraId="154B20AD" w14:textId="77777777" w:rsidR="00EB374E" w:rsidRPr="00BB5AC9" w:rsidRDefault="00EB374E" w:rsidP="00CE2FDF">
            <w:pPr>
              <w:spacing w:before="0" w:line="276" w:lineRule="auto"/>
              <w:jc w:val="right"/>
              <w:rPr>
                <w:rFonts w:cs="Arial"/>
                <w:bCs/>
                <w:color w:val="000000"/>
              </w:rPr>
            </w:pPr>
            <w:r w:rsidRPr="00BB5AC9">
              <w:rPr>
                <w:rFonts w:cs="Arial"/>
                <w:bCs/>
                <w:color w:val="000000"/>
              </w:rPr>
              <w:t>3</w:t>
            </w:r>
            <w:r>
              <w:rPr>
                <w:rFonts w:cs="Arial"/>
                <w:bCs/>
                <w:color w:val="000000"/>
              </w:rPr>
              <w:t>,</w:t>
            </w:r>
            <w:r w:rsidR="00CA3AB7">
              <w:rPr>
                <w:rFonts w:cs="Arial"/>
                <w:bCs/>
                <w:color w:val="000000"/>
              </w:rPr>
              <w:t>6</w:t>
            </w:r>
            <w:r w:rsidRPr="00BB5AC9">
              <w:rPr>
                <w:rFonts w:cs="Arial"/>
                <w:bCs/>
                <w:color w:val="000000"/>
              </w:rPr>
              <w:t>57</w:t>
            </w:r>
          </w:p>
        </w:tc>
        <w:tc>
          <w:tcPr>
            <w:tcW w:w="1102" w:type="dxa"/>
            <w:tcBorders>
              <w:top w:val="single" w:sz="4" w:space="0" w:color="auto"/>
            </w:tcBorders>
            <w:shd w:val="clear" w:color="auto" w:fill="auto"/>
            <w:vAlign w:val="center"/>
          </w:tcPr>
          <w:p w14:paraId="7E31553A" w14:textId="77777777" w:rsidR="00EB374E" w:rsidRPr="00BB5AC9" w:rsidRDefault="00EB374E" w:rsidP="00CE2FDF">
            <w:pPr>
              <w:spacing w:before="0" w:line="276" w:lineRule="auto"/>
              <w:jc w:val="right"/>
              <w:rPr>
                <w:rFonts w:cs="Arial"/>
                <w:bCs/>
                <w:color w:val="000000"/>
              </w:rPr>
            </w:pPr>
            <w:r>
              <w:rPr>
                <w:rFonts w:cs="Arial"/>
                <w:bCs/>
                <w:color w:val="000000"/>
              </w:rPr>
              <w:t>0.8%</w:t>
            </w:r>
          </w:p>
        </w:tc>
        <w:tc>
          <w:tcPr>
            <w:tcW w:w="1591" w:type="dxa"/>
            <w:tcBorders>
              <w:top w:val="single" w:sz="4" w:space="0" w:color="auto"/>
              <w:left w:val="single" w:sz="4" w:space="0" w:color="auto"/>
            </w:tcBorders>
            <w:shd w:val="clear" w:color="auto" w:fill="auto"/>
            <w:noWrap/>
            <w:vAlign w:val="center"/>
            <w:hideMark/>
          </w:tcPr>
          <w:p w14:paraId="459F7DBE" w14:textId="77777777" w:rsidR="00EB374E" w:rsidRPr="00BB5AC9" w:rsidRDefault="00EB374E" w:rsidP="00CE2FDF">
            <w:pPr>
              <w:spacing w:before="0" w:line="276" w:lineRule="auto"/>
              <w:jc w:val="right"/>
              <w:rPr>
                <w:rFonts w:cs="Arial"/>
                <w:bCs/>
                <w:color w:val="000000"/>
              </w:rPr>
            </w:pPr>
            <w:r w:rsidRPr="00BB5AC9">
              <w:rPr>
                <w:rFonts w:cs="Arial"/>
                <w:bCs/>
                <w:color w:val="000000"/>
              </w:rPr>
              <w:t>2</w:t>
            </w:r>
            <w:r>
              <w:rPr>
                <w:rFonts w:cs="Arial"/>
                <w:bCs/>
                <w:color w:val="000000"/>
              </w:rPr>
              <w:t>,</w:t>
            </w:r>
            <w:r w:rsidRPr="00BB5AC9">
              <w:rPr>
                <w:rFonts w:cs="Arial"/>
                <w:bCs/>
                <w:color w:val="000000"/>
              </w:rPr>
              <w:t>169</w:t>
            </w:r>
          </w:p>
        </w:tc>
        <w:tc>
          <w:tcPr>
            <w:tcW w:w="1047" w:type="dxa"/>
            <w:tcBorders>
              <w:top w:val="single" w:sz="4" w:space="0" w:color="auto"/>
              <w:right w:val="single" w:sz="4" w:space="0" w:color="auto"/>
            </w:tcBorders>
            <w:shd w:val="clear" w:color="auto" w:fill="auto"/>
            <w:vAlign w:val="center"/>
          </w:tcPr>
          <w:p w14:paraId="12A7BC9D" w14:textId="77777777" w:rsidR="00EB374E" w:rsidRPr="00BB5AC9" w:rsidRDefault="00EB374E" w:rsidP="00CE2FDF">
            <w:pPr>
              <w:spacing w:before="0" w:line="276" w:lineRule="auto"/>
              <w:jc w:val="right"/>
              <w:rPr>
                <w:rFonts w:cs="Arial"/>
                <w:bCs/>
                <w:color w:val="000000"/>
              </w:rPr>
            </w:pPr>
            <w:r>
              <w:rPr>
                <w:rFonts w:cs="Arial"/>
                <w:bCs/>
                <w:color w:val="000000"/>
              </w:rPr>
              <w:t>0.5%</w:t>
            </w:r>
          </w:p>
        </w:tc>
        <w:tc>
          <w:tcPr>
            <w:tcW w:w="1505" w:type="dxa"/>
            <w:tcBorders>
              <w:top w:val="single" w:sz="4" w:space="0" w:color="auto"/>
              <w:left w:val="single" w:sz="4" w:space="0" w:color="auto"/>
            </w:tcBorders>
            <w:shd w:val="clear" w:color="auto" w:fill="auto"/>
            <w:noWrap/>
            <w:vAlign w:val="center"/>
            <w:hideMark/>
          </w:tcPr>
          <w:p w14:paraId="47FB9DAA" w14:textId="77777777" w:rsidR="00EB374E" w:rsidRPr="00BB5AC9" w:rsidRDefault="00EB374E" w:rsidP="00CE2FDF">
            <w:pPr>
              <w:spacing w:before="0" w:line="276" w:lineRule="auto"/>
              <w:jc w:val="right"/>
              <w:rPr>
                <w:rFonts w:cs="Arial"/>
                <w:bCs/>
                <w:color w:val="000000"/>
              </w:rPr>
            </w:pPr>
            <w:r w:rsidRPr="00BB5AC9">
              <w:rPr>
                <w:rFonts w:cs="Arial"/>
                <w:bCs/>
                <w:color w:val="000000"/>
              </w:rPr>
              <w:t>1</w:t>
            </w:r>
            <w:r>
              <w:rPr>
                <w:rFonts w:cs="Arial"/>
                <w:bCs/>
                <w:color w:val="000000"/>
              </w:rPr>
              <w:t>,</w:t>
            </w:r>
            <w:r w:rsidRPr="00BB5AC9">
              <w:rPr>
                <w:rFonts w:cs="Arial"/>
                <w:bCs/>
                <w:color w:val="000000"/>
              </w:rPr>
              <w:t>388</w:t>
            </w:r>
          </w:p>
        </w:tc>
        <w:tc>
          <w:tcPr>
            <w:tcW w:w="1134" w:type="dxa"/>
            <w:tcBorders>
              <w:top w:val="single" w:sz="4" w:space="0" w:color="auto"/>
              <w:right w:val="single" w:sz="4" w:space="0" w:color="auto"/>
            </w:tcBorders>
            <w:shd w:val="clear" w:color="auto" w:fill="auto"/>
            <w:vAlign w:val="center"/>
          </w:tcPr>
          <w:p w14:paraId="1ADC594D" w14:textId="77777777" w:rsidR="00EB374E" w:rsidRPr="00BB5AC9" w:rsidRDefault="00EB374E" w:rsidP="00CE2FDF">
            <w:pPr>
              <w:spacing w:before="0" w:line="276" w:lineRule="auto"/>
              <w:jc w:val="right"/>
              <w:rPr>
                <w:rFonts w:cs="Arial"/>
                <w:bCs/>
                <w:color w:val="000000"/>
              </w:rPr>
            </w:pPr>
            <w:r>
              <w:rPr>
                <w:rFonts w:cs="Arial"/>
                <w:bCs/>
                <w:color w:val="000000"/>
              </w:rPr>
              <w:t>0.3%</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125AB0F3" w14:textId="77777777" w:rsidR="00EB374E" w:rsidRPr="00BB5AC9" w:rsidRDefault="00EB374E" w:rsidP="00CE2FDF">
            <w:pPr>
              <w:spacing w:before="0" w:line="276" w:lineRule="auto"/>
              <w:jc w:val="right"/>
              <w:rPr>
                <w:rFonts w:cs="Arial"/>
                <w:b/>
                <w:bCs/>
                <w:color w:val="000000"/>
              </w:rPr>
            </w:pPr>
            <w:r w:rsidRPr="00BB5AC9">
              <w:rPr>
                <w:rFonts w:cs="Arial"/>
                <w:b/>
                <w:bCs/>
                <w:color w:val="000000"/>
              </w:rPr>
              <w:t>10</w:t>
            </w:r>
            <w:r>
              <w:rPr>
                <w:rFonts w:cs="Arial"/>
                <w:b/>
                <w:bCs/>
                <w:color w:val="000000"/>
              </w:rPr>
              <w:t>,</w:t>
            </w:r>
            <w:r w:rsidRPr="00BB5AC9">
              <w:rPr>
                <w:rFonts w:cs="Arial"/>
                <w:b/>
                <w:bCs/>
                <w:color w:val="000000"/>
              </w:rPr>
              <w:t>102</w:t>
            </w:r>
          </w:p>
        </w:tc>
      </w:tr>
      <w:tr w:rsidR="00EB374E" w:rsidRPr="00BB5AC9" w14:paraId="7316CC5F" w14:textId="77777777" w:rsidTr="00C84E96">
        <w:trPr>
          <w:trHeight w:val="276"/>
        </w:trPr>
        <w:tc>
          <w:tcPr>
            <w:tcW w:w="2313"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71CFC9AA" w14:textId="77777777" w:rsidR="00EB374E" w:rsidRPr="00BB5AC9" w:rsidRDefault="00EB374E" w:rsidP="00CE2FDF">
            <w:pPr>
              <w:spacing w:before="0" w:line="276" w:lineRule="auto"/>
              <w:rPr>
                <w:rFonts w:cs="Arial"/>
                <w:b/>
                <w:color w:val="000000"/>
              </w:rPr>
            </w:pPr>
            <w:r w:rsidRPr="00BB5AC9">
              <w:rPr>
                <w:rFonts w:cs="Arial"/>
                <w:b/>
                <w:color w:val="000000"/>
              </w:rPr>
              <w:t>Nurses</w:t>
            </w:r>
          </w:p>
        </w:tc>
        <w:tc>
          <w:tcPr>
            <w:tcW w:w="1623" w:type="dxa"/>
            <w:tcBorders>
              <w:top w:val="single" w:sz="4" w:space="0" w:color="auto"/>
              <w:left w:val="single" w:sz="4" w:space="0" w:color="auto"/>
            </w:tcBorders>
            <w:shd w:val="clear" w:color="auto" w:fill="DBE5F1" w:themeFill="accent1" w:themeFillTint="33"/>
            <w:noWrap/>
            <w:vAlign w:val="center"/>
            <w:hideMark/>
          </w:tcPr>
          <w:p w14:paraId="4B78725F" w14:textId="77777777" w:rsidR="00EB374E" w:rsidRPr="00BB5AC9" w:rsidRDefault="00EB374E" w:rsidP="00CE2FDF">
            <w:pPr>
              <w:spacing w:before="0" w:line="276" w:lineRule="auto"/>
              <w:jc w:val="right"/>
              <w:rPr>
                <w:rFonts w:cs="Arial"/>
                <w:bCs/>
                <w:color w:val="000000"/>
              </w:rPr>
            </w:pPr>
            <w:r w:rsidRPr="00BB5AC9">
              <w:rPr>
                <w:rFonts w:cs="Arial"/>
                <w:bCs/>
                <w:color w:val="000000"/>
              </w:rPr>
              <w:t>8</w:t>
            </w:r>
            <w:r>
              <w:rPr>
                <w:rFonts w:cs="Arial"/>
                <w:bCs/>
                <w:color w:val="000000"/>
              </w:rPr>
              <w:t>,</w:t>
            </w:r>
            <w:r w:rsidRPr="00BB5AC9">
              <w:rPr>
                <w:rFonts w:cs="Arial"/>
                <w:bCs/>
                <w:color w:val="000000"/>
              </w:rPr>
              <w:t>933</w:t>
            </w:r>
          </w:p>
        </w:tc>
        <w:tc>
          <w:tcPr>
            <w:tcW w:w="1015" w:type="dxa"/>
            <w:tcBorders>
              <w:top w:val="single" w:sz="4" w:space="0" w:color="auto"/>
              <w:right w:val="single" w:sz="4" w:space="0" w:color="auto"/>
            </w:tcBorders>
            <w:shd w:val="clear" w:color="auto" w:fill="DBE5F1" w:themeFill="accent1" w:themeFillTint="33"/>
            <w:vAlign w:val="center"/>
          </w:tcPr>
          <w:p w14:paraId="66C88AD7" w14:textId="77777777" w:rsidR="00EB374E" w:rsidRPr="00BB5AC9" w:rsidRDefault="00EB374E" w:rsidP="00CE2FDF">
            <w:pPr>
              <w:spacing w:before="0" w:line="276" w:lineRule="auto"/>
              <w:jc w:val="right"/>
              <w:rPr>
                <w:rFonts w:cs="Arial"/>
                <w:bCs/>
                <w:color w:val="000000"/>
              </w:rPr>
            </w:pPr>
            <w:r>
              <w:rPr>
                <w:rFonts w:cs="Arial"/>
                <w:bCs/>
                <w:color w:val="000000"/>
              </w:rPr>
              <w:t>2.0%</w:t>
            </w:r>
          </w:p>
        </w:tc>
        <w:tc>
          <w:tcPr>
            <w:tcW w:w="1536" w:type="dxa"/>
            <w:tcBorders>
              <w:top w:val="single" w:sz="4" w:space="0" w:color="auto"/>
            </w:tcBorders>
            <w:shd w:val="clear" w:color="auto" w:fill="DBE5F1" w:themeFill="accent1" w:themeFillTint="33"/>
            <w:vAlign w:val="center"/>
          </w:tcPr>
          <w:p w14:paraId="36833C43" w14:textId="77777777" w:rsidR="00EB374E" w:rsidRPr="00BB5AC9" w:rsidRDefault="00EB374E" w:rsidP="00CE2FDF">
            <w:pPr>
              <w:spacing w:before="0" w:line="276" w:lineRule="auto"/>
              <w:jc w:val="right"/>
              <w:rPr>
                <w:rFonts w:cs="Arial"/>
                <w:bCs/>
                <w:color w:val="000000"/>
              </w:rPr>
            </w:pPr>
            <w:r w:rsidRPr="00BB5AC9">
              <w:rPr>
                <w:rFonts w:cs="Arial"/>
                <w:bCs/>
                <w:color w:val="000000"/>
              </w:rPr>
              <w:t>6</w:t>
            </w:r>
            <w:r>
              <w:rPr>
                <w:rFonts w:cs="Arial"/>
                <w:bCs/>
                <w:color w:val="000000"/>
              </w:rPr>
              <w:t>,</w:t>
            </w:r>
            <w:r w:rsidRPr="00BB5AC9">
              <w:rPr>
                <w:rFonts w:cs="Arial"/>
                <w:bCs/>
                <w:color w:val="000000"/>
              </w:rPr>
              <w:t>112</w:t>
            </w:r>
          </w:p>
        </w:tc>
        <w:tc>
          <w:tcPr>
            <w:tcW w:w="1102" w:type="dxa"/>
            <w:tcBorders>
              <w:top w:val="single" w:sz="4" w:space="0" w:color="auto"/>
            </w:tcBorders>
            <w:shd w:val="clear" w:color="auto" w:fill="DBE5F1" w:themeFill="accent1" w:themeFillTint="33"/>
            <w:vAlign w:val="center"/>
          </w:tcPr>
          <w:p w14:paraId="63ABAE3B" w14:textId="77777777" w:rsidR="00EB374E" w:rsidRPr="00BB5AC9" w:rsidRDefault="00EB374E" w:rsidP="00CE2FDF">
            <w:pPr>
              <w:spacing w:before="0" w:line="276" w:lineRule="auto"/>
              <w:jc w:val="right"/>
              <w:rPr>
                <w:rFonts w:cs="Arial"/>
                <w:bCs/>
                <w:color w:val="000000"/>
              </w:rPr>
            </w:pPr>
            <w:r>
              <w:rPr>
                <w:rFonts w:cs="Arial"/>
                <w:bCs/>
                <w:color w:val="000000"/>
              </w:rPr>
              <w:t>1.3%</w:t>
            </w:r>
          </w:p>
        </w:tc>
        <w:tc>
          <w:tcPr>
            <w:tcW w:w="1591" w:type="dxa"/>
            <w:tcBorders>
              <w:top w:val="single" w:sz="4" w:space="0" w:color="auto"/>
              <w:left w:val="single" w:sz="4" w:space="0" w:color="auto"/>
            </w:tcBorders>
            <w:shd w:val="clear" w:color="auto" w:fill="DBE5F1" w:themeFill="accent1" w:themeFillTint="33"/>
            <w:noWrap/>
            <w:vAlign w:val="center"/>
            <w:hideMark/>
          </w:tcPr>
          <w:p w14:paraId="4C47E9BF" w14:textId="77777777" w:rsidR="00EB374E" w:rsidRPr="00BB5AC9" w:rsidRDefault="00EB374E" w:rsidP="00CE2FDF">
            <w:pPr>
              <w:spacing w:before="0" w:line="276" w:lineRule="auto"/>
              <w:jc w:val="right"/>
              <w:rPr>
                <w:rFonts w:cs="Arial"/>
                <w:bCs/>
                <w:color w:val="000000"/>
              </w:rPr>
            </w:pPr>
            <w:r w:rsidRPr="00BB5AC9">
              <w:rPr>
                <w:rFonts w:cs="Arial"/>
                <w:bCs/>
                <w:color w:val="000000"/>
              </w:rPr>
              <w:t>4</w:t>
            </w:r>
            <w:r>
              <w:rPr>
                <w:rFonts w:cs="Arial"/>
                <w:bCs/>
                <w:color w:val="000000"/>
              </w:rPr>
              <w:t>,</w:t>
            </w:r>
            <w:r w:rsidRPr="00BB5AC9">
              <w:rPr>
                <w:rFonts w:cs="Arial"/>
                <w:bCs/>
                <w:color w:val="000000"/>
              </w:rPr>
              <w:t>041</w:t>
            </w:r>
          </w:p>
        </w:tc>
        <w:tc>
          <w:tcPr>
            <w:tcW w:w="1047" w:type="dxa"/>
            <w:tcBorders>
              <w:top w:val="single" w:sz="4" w:space="0" w:color="auto"/>
              <w:right w:val="single" w:sz="4" w:space="0" w:color="auto"/>
            </w:tcBorders>
            <w:shd w:val="clear" w:color="auto" w:fill="DBE5F1" w:themeFill="accent1" w:themeFillTint="33"/>
            <w:vAlign w:val="center"/>
          </w:tcPr>
          <w:p w14:paraId="7DDF15D5" w14:textId="77777777" w:rsidR="00EB374E" w:rsidRPr="00BB5AC9" w:rsidRDefault="00EB374E" w:rsidP="00CE2FDF">
            <w:pPr>
              <w:spacing w:before="0" w:line="276" w:lineRule="auto"/>
              <w:jc w:val="right"/>
              <w:rPr>
                <w:rFonts w:cs="Arial"/>
                <w:bCs/>
                <w:color w:val="000000"/>
              </w:rPr>
            </w:pPr>
            <w:r>
              <w:rPr>
                <w:rFonts w:cs="Arial"/>
                <w:bCs/>
                <w:color w:val="000000"/>
              </w:rPr>
              <w:t>0.9%</w:t>
            </w:r>
          </w:p>
        </w:tc>
        <w:tc>
          <w:tcPr>
            <w:tcW w:w="1505" w:type="dxa"/>
            <w:tcBorders>
              <w:top w:val="single" w:sz="4" w:space="0" w:color="auto"/>
              <w:left w:val="single" w:sz="4" w:space="0" w:color="auto"/>
            </w:tcBorders>
            <w:shd w:val="clear" w:color="auto" w:fill="DBE5F1" w:themeFill="accent1" w:themeFillTint="33"/>
            <w:noWrap/>
            <w:vAlign w:val="center"/>
            <w:hideMark/>
          </w:tcPr>
          <w:p w14:paraId="72557739" w14:textId="77777777" w:rsidR="00EB374E" w:rsidRPr="00BB5AC9" w:rsidRDefault="00EB374E" w:rsidP="00CE2FDF">
            <w:pPr>
              <w:spacing w:before="0" w:line="276" w:lineRule="auto"/>
              <w:jc w:val="right"/>
              <w:rPr>
                <w:rFonts w:cs="Arial"/>
                <w:bCs/>
                <w:color w:val="000000"/>
              </w:rPr>
            </w:pPr>
            <w:r w:rsidRPr="00BB5AC9">
              <w:rPr>
                <w:rFonts w:cs="Arial"/>
                <w:bCs/>
                <w:color w:val="000000"/>
              </w:rPr>
              <w:t>2</w:t>
            </w:r>
            <w:r>
              <w:rPr>
                <w:rFonts w:cs="Arial"/>
                <w:bCs/>
                <w:color w:val="000000"/>
              </w:rPr>
              <w:t>,</w:t>
            </w:r>
            <w:r w:rsidRPr="00BB5AC9">
              <w:rPr>
                <w:rFonts w:cs="Arial"/>
                <w:bCs/>
                <w:color w:val="000000"/>
              </w:rPr>
              <w:t>071</w:t>
            </w:r>
          </w:p>
        </w:tc>
        <w:tc>
          <w:tcPr>
            <w:tcW w:w="1134" w:type="dxa"/>
            <w:tcBorders>
              <w:top w:val="single" w:sz="4" w:space="0" w:color="auto"/>
              <w:right w:val="single" w:sz="4" w:space="0" w:color="auto"/>
            </w:tcBorders>
            <w:shd w:val="clear" w:color="auto" w:fill="DBE5F1" w:themeFill="accent1" w:themeFillTint="33"/>
            <w:vAlign w:val="center"/>
          </w:tcPr>
          <w:p w14:paraId="53CBC6CF" w14:textId="77777777" w:rsidR="00EB374E" w:rsidRPr="00BB5AC9" w:rsidRDefault="00EB374E" w:rsidP="00CE2FDF">
            <w:pPr>
              <w:spacing w:before="0" w:line="276" w:lineRule="auto"/>
              <w:jc w:val="right"/>
              <w:rPr>
                <w:rFonts w:cs="Arial"/>
                <w:bCs/>
                <w:color w:val="000000"/>
              </w:rPr>
            </w:pPr>
            <w:r>
              <w:rPr>
                <w:rFonts w:cs="Arial"/>
                <w:bCs/>
                <w:color w:val="000000"/>
              </w:rPr>
              <w:t>0.5%</w:t>
            </w:r>
          </w:p>
        </w:tc>
        <w:tc>
          <w:tcPr>
            <w:tcW w:w="1984"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4B96CBD7" w14:textId="77777777" w:rsidR="00EB374E" w:rsidRPr="00BB5AC9" w:rsidRDefault="00EB374E" w:rsidP="00CE2FDF">
            <w:pPr>
              <w:spacing w:before="0" w:line="276" w:lineRule="auto"/>
              <w:jc w:val="right"/>
              <w:rPr>
                <w:rFonts w:cs="Arial"/>
                <w:b/>
                <w:bCs/>
                <w:color w:val="000000"/>
              </w:rPr>
            </w:pPr>
            <w:r w:rsidRPr="00BB5AC9">
              <w:rPr>
                <w:rFonts w:cs="Arial"/>
                <w:b/>
                <w:bCs/>
                <w:color w:val="000000"/>
              </w:rPr>
              <w:t>15</w:t>
            </w:r>
            <w:r>
              <w:rPr>
                <w:rFonts w:cs="Arial"/>
                <w:b/>
                <w:bCs/>
                <w:color w:val="000000"/>
              </w:rPr>
              <w:t>,</w:t>
            </w:r>
            <w:r w:rsidRPr="00BB5AC9">
              <w:rPr>
                <w:rFonts w:cs="Arial"/>
                <w:b/>
                <w:bCs/>
                <w:color w:val="000000"/>
              </w:rPr>
              <w:t>045</w:t>
            </w:r>
          </w:p>
        </w:tc>
      </w:tr>
      <w:tr w:rsidR="00EB374E" w:rsidRPr="00BB5AC9" w14:paraId="0BD47258" w14:textId="77777777" w:rsidTr="00C84E96">
        <w:trPr>
          <w:trHeight w:val="276"/>
        </w:trPr>
        <w:tc>
          <w:tcPr>
            <w:tcW w:w="2313" w:type="dxa"/>
            <w:tcBorders>
              <w:top w:val="single" w:sz="4" w:space="0" w:color="auto"/>
              <w:left w:val="single" w:sz="4" w:space="0" w:color="auto"/>
              <w:right w:val="single" w:sz="4" w:space="0" w:color="auto"/>
            </w:tcBorders>
            <w:shd w:val="clear" w:color="auto" w:fill="auto"/>
            <w:noWrap/>
            <w:vAlign w:val="bottom"/>
            <w:hideMark/>
          </w:tcPr>
          <w:p w14:paraId="4CAB4D79" w14:textId="77777777" w:rsidR="00EB374E" w:rsidRPr="00BB5AC9" w:rsidRDefault="00EB374E" w:rsidP="00CE2FDF">
            <w:pPr>
              <w:spacing w:before="0" w:line="276" w:lineRule="auto"/>
              <w:rPr>
                <w:rFonts w:cs="Arial"/>
                <w:b/>
                <w:color w:val="000000"/>
              </w:rPr>
            </w:pPr>
            <w:r w:rsidRPr="00BB5AC9">
              <w:rPr>
                <w:rFonts w:cs="Arial"/>
                <w:b/>
                <w:color w:val="000000"/>
              </w:rPr>
              <w:t>Police</w:t>
            </w:r>
          </w:p>
        </w:tc>
        <w:tc>
          <w:tcPr>
            <w:tcW w:w="1623" w:type="dxa"/>
            <w:tcBorders>
              <w:top w:val="single" w:sz="4" w:space="0" w:color="auto"/>
              <w:left w:val="single" w:sz="4" w:space="0" w:color="auto"/>
            </w:tcBorders>
            <w:shd w:val="clear" w:color="auto" w:fill="auto"/>
            <w:noWrap/>
            <w:vAlign w:val="center"/>
            <w:hideMark/>
          </w:tcPr>
          <w:p w14:paraId="62C809A0" w14:textId="77777777" w:rsidR="00EB374E" w:rsidRPr="00BB5AC9" w:rsidRDefault="00EB374E" w:rsidP="00CE2FDF">
            <w:pPr>
              <w:spacing w:before="0" w:line="276" w:lineRule="auto"/>
              <w:jc w:val="right"/>
              <w:rPr>
                <w:rFonts w:cs="Arial"/>
                <w:bCs/>
                <w:color w:val="000000"/>
              </w:rPr>
            </w:pPr>
            <w:r w:rsidRPr="00BB5AC9">
              <w:rPr>
                <w:rFonts w:cs="Arial"/>
                <w:bCs/>
                <w:color w:val="000000"/>
              </w:rPr>
              <w:t>74</w:t>
            </w:r>
            <w:r>
              <w:rPr>
                <w:rFonts w:cs="Arial"/>
                <w:bCs/>
                <w:color w:val="000000"/>
              </w:rPr>
              <w:t>,</w:t>
            </w:r>
            <w:r w:rsidRPr="00BB5AC9">
              <w:rPr>
                <w:rFonts w:cs="Arial"/>
                <w:bCs/>
                <w:color w:val="000000"/>
              </w:rPr>
              <w:t>314</w:t>
            </w:r>
          </w:p>
        </w:tc>
        <w:tc>
          <w:tcPr>
            <w:tcW w:w="1015" w:type="dxa"/>
            <w:tcBorders>
              <w:top w:val="single" w:sz="4" w:space="0" w:color="auto"/>
              <w:right w:val="single" w:sz="4" w:space="0" w:color="auto"/>
            </w:tcBorders>
            <w:shd w:val="clear" w:color="auto" w:fill="auto"/>
            <w:vAlign w:val="center"/>
          </w:tcPr>
          <w:p w14:paraId="2F2623D4" w14:textId="77777777" w:rsidR="00EB374E" w:rsidRPr="00BB5AC9" w:rsidRDefault="00EB374E" w:rsidP="00CE2FDF">
            <w:pPr>
              <w:spacing w:before="0" w:line="276" w:lineRule="auto"/>
              <w:jc w:val="right"/>
              <w:rPr>
                <w:rFonts w:cs="Arial"/>
                <w:bCs/>
                <w:color w:val="000000"/>
              </w:rPr>
            </w:pPr>
            <w:r>
              <w:rPr>
                <w:rFonts w:cs="Arial"/>
                <w:bCs/>
                <w:color w:val="000000"/>
              </w:rPr>
              <w:t>16.4%</w:t>
            </w:r>
          </w:p>
        </w:tc>
        <w:tc>
          <w:tcPr>
            <w:tcW w:w="1536" w:type="dxa"/>
            <w:tcBorders>
              <w:top w:val="single" w:sz="4" w:space="0" w:color="auto"/>
            </w:tcBorders>
            <w:shd w:val="clear" w:color="auto" w:fill="auto"/>
            <w:vAlign w:val="center"/>
          </w:tcPr>
          <w:p w14:paraId="65395AA6" w14:textId="77777777" w:rsidR="00EB374E" w:rsidRPr="00BB5AC9" w:rsidRDefault="00EB374E" w:rsidP="00CE2FDF">
            <w:pPr>
              <w:spacing w:before="0" w:line="276" w:lineRule="auto"/>
              <w:jc w:val="right"/>
              <w:rPr>
                <w:rFonts w:cs="Arial"/>
                <w:bCs/>
                <w:color w:val="000000"/>
              </w:rPr>
            </w:pPr>
            <w:r w:rsidRPr="00BB5AC9">
              <w:rPr>
                <w:rFonts w:cs="Arial"/>
                <w:bCs/>
                <w:color w:val="000000"/>
              </w:rPr>
              <w:t>30</w:t>
            </w:r>
            <w:r>
              <w:rPr>
                <w:rFonts w:cs="Arial"/>
                <w:bCs/>
                <w:color w:val="000000"/>
              </w:rPr>
              <w:t>,</w:t>
            </w:r>
            <w:r w:rsidRPr="00BB5AC9">
              <w:rPr>
                <w:rFonts w:cs="Arial"/>
                <w:bCs/>
                <w:color w:val="000000"/>
              </w:rPr>
              <w:t>545</w:t>
            </w:r>
          </w:p>
        </w:tc>
        <w:tc>
          <w:tcPr>
            <w:tcW w:w="1102" w:type="dxa"/>
            <w:tcBorders>
              <w:top w:val="single" w:sz="4" w:space="0" w:color="auto"/>
            </w:tcBorders>
            <w:shd w:val="clear" w:color="auto" w:fill="auto"/>
            <w:vAlign w:val="center"/>
          </w:tcPr>
          <w:p w14:paraId="64577BF4" w14:textId="77777777" w:rsidR="00EB374E" w:rsidRPr="00BB5AC9" w:rsidRDefault="00EB374E" w:rsidP="00CE2FDF">
            <w:pPr>
              <w:spacing w:before="0" w:line="276" w:lineRule="auto"/>
              <w:jc w:val="right"/>
              <w:rPr>
                <w:rFonts w:cs="Arial"/>
                <w:bCs/>
                <w:color w:val="000000"/>
              </w:rPr>
            </w:pPr>
            <w:r>
              <w:rPr>
                <w:rFonts w:cs="Arial"/>
                <w:bCs/>
                <w:color w:val="000000"/>
              </w:rPr>
              <w:t>6.7%</w:t>
            </w:r>
          </w:p>
        </w:tc>
        <w:tc>
          <w:tcPr>
            <w:tcW w:w="1591" w:type="dxa"/>
            <w:tcBorders>
              <w:top w:val="single" w:sz="4" w:space="0" w:color="auto"/>
              <w:left w:val="single" w:sz="4" w:space="0" w:color="auto"/>
            </w:tcBorders>
            <w:shd w:val="clear" w:color="auto" w:fill="auto"/>
            <w:noWrap/>
            <w:vAlign w:val="center"/>
            <w:hideMark/>
          </w:tcPr>
          <w:p w14:paraId="0B3B1DD4" w14:textId="77777777" w:rsidR="00EB374E" w:rsidRPr="00BB5AC9" w:rsidRDefault="00EB374E" w:rsidP="00CE2FDF">
            <w:pPr>
              <w:spacing w:before="0" w:line="276" w:lineRule="auto"/>
              <w:jc w:val="right"/>
              <w:rPr>
                <w:rFonts w:cs="Arial"/>
                <w:bCs/>
                <w:color w:val="000000"/>
              </w:rPr>
            </w:pPr>
            <w:r w:rsidRPr="00BB5AC9">
              <w:rPr>
                <w:rFonts w:cs="Arial"/>
                <w:bCs/>
                <w:color w:val="000000"/>
              </w:rPr>
              <w:t>20</w:t>
            </w:r>
            <w:r>
              <w:rPr>
                <w:rFonts w:cs="Arial"/>
                <w:bCs/>
                <w:color w:val="000000"/>
              </w:rPr>
              <w:t>,</w:t>
            </w:r>
            <w:r w:rsidRPr="00BB5AC9">
              <w:rPr>
                <w:rFonts w:cs="Arial"/>
                <w:bCs/>
                <w:color w:val="000000"/>
              </w:rPr>
              <w:t>694</w:t>
            </w:r>
          </w:p>
        </w:tc>
        <w:tc>
          <w:tcPr>
            <w:tcW w:w="1047" w:type="dxa"/>
            <w:tcBorders>
              <w:top w:val="single" w:sz="4" w:space="0" w:color="auto"/>
              <w:right w:val="single" w:sz="4" w:space="0" w:color="auto"/>
            </w:tcBorders>
            <w:shd w:val="clear" w:color="auto" w:fill="auto"/>
            <w:vAlign w:val="center"/>
          </w:tcPr>
          <w:p w14:paraId="75F40DDA" w14:textId="77777777" w:rsidR="00EB374E" w:rsidRPr="00BB5AC9" w:rsidRDefault="00EB374E" w:rsidP="00CE2FDF">
            <w:pPr>
              <w:spacing w:before="0" w:line="276" w:lineRule="auto"/>
              <w:jc w:val="right"/>
              <w:rPr>
                <w:rFonts w:cs="Arial"/>
                <w:bCs/>
                <w:color w:val="000000"/>
              </w:rPr>
            </w:pPr>
            <w:r>
              <w:rPr>
                <w:rFonts w:cs="Arial"/>
                <w:bCs/>
                <w:color w:val="000000"/>
              </w:rPr>
              <w:t>4.6%</w:t>
            </w:r>
          </w:p>
        </w:tc>
        <w:tc>
          <w:tcPr>
            <w:tcW w:w="1505" w:type="dxa"/>
            <w:tcBorders>
              <w:top w:val="single" w:sz="4" w:space="0" w:color="auto"/>
              <w:left w:val="single" w:sz="4" w:space="0" w:color="auto"/>
            </w:tcBorders>
            <w:shd w:val="clear" w:color="auto" w:fill="auto"/>
            <w:noWrap/>
            <w:vAlign w:val="center"/>
            <w:hideMark/>
          </w:tcPr>
          <w:p w14:paraId="2EC45B1C" w14:textId="77777777" w:rsidR="00EB374E" w:rsidRPr="00BB5AC9" w:rsidRDefault="00EB374E" w:rsidP="00CE2FDF">
            <w:pPr>
              <w:spacing w:before="0" w:line="276" w:lineRule="auto"/>
              <w:jc w:val="right"/>
              <w:rPr>
                <w:rFonts w:cs="Arial"/>
                <w:bCs/>
                <w:color w:val="000000"/>
              </w:rPr>
            </w:pPr>
            <w:r w:rsidRPr="00BB5AC9">
              <w:rPr>
                <w:rFonts w:cs="Arial"/>
                <w:bCs/>
                <w:color w:val="000000"/>
              </w:rPr>
              <w:t>9</w:t>
            </w:r>
            <w:r>
              <w:rPr>
                <w:rFonts w:cs="Arial"/>
                <w:bCs/>
                <w:color w:val="000000"/>
              </w:rPr>
              <w:t>,</w:t>
            </w:r>
            <w:r w:rsidRPr="00BB5AC9">
              <w:rPr>
                <w:rFonts w:cs="Arial"/>
                <w:bCs/>
                <w:color w:val="000000"/>
              </w:rPr>
              <w:t>851</w:t>
            </w:r>
          </w:p>
        </w:tc>
        <w:tc>
          <w:tcPr>
            <w:tcW w:w="1134" w:type="dxa"/>
            <w:tcBorders>
              <w:top w:val="single" w:sz="4" w:space="0" w:color="auto"/>
              <w:right w:val="single" w:sz="4" w:space="0" w:color="auto"/>
            </w:tcBorders>
            <w:shd w:val="clear" w:color="auto" w:fill="auto"/>
            <w:vAlign w:val="center"/>
          </w:tcPr>
          <w:p w14:paraId="3DE7FED7" w14:textId="77777777" w:rsidR="00EB374E" w:rsidRPr="00BB5AC9" w:rsidRDefault="00EB374E" w:rsidP="00CE2FDF">
            <w:pPr>
              <w:spacing w:before="0" w:line="276" w:lineRule="auto"/>
              <w:jc w:val="right"/>
              <w:rPr>
                <w:rFonts w:cs="Arial"/>
                <w:bCs/>
                <w:color w:val="000000"/>
              </w:rPr>
            </w:pPr>
            <w:r>
              <w:rPr>
                <w:rFonts w:cs="Arial"/>
                <w:bCs/>
                <w:color w:val="000000"/>
              </w:rPr>
              <w:t>2.2%</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08284464" w14:textId="77777777" w:rsidR="00EB374E" w:rsidRPr="00BB5AC9" w:rsidRDefault="00EB374E" w:rsidP="00CE2FDF">
            <w:pPr>
              <w:spacing w:before="0" w:line="276" w:lineRule="auto"/>
              <w:jc w:val="right"/>
              <w:rPr>
                <w:rFonts w:cs="Arial"/>
                <w:b/>
                <w:bCs/>
                <w:color w:val="000000"/>
              </w:rPr>
            </w:pPr>
            <w:r w:rsidRPr="00BB5AC9">
              <w:rPr>
                <w:rFonts w:cs="Arial"/>
                <w:b/>
                <w:bCs/>
                <w:color w:val="000000"/>
              </w:rPr>
              <w:t>104</w:t>
            </w:r>
            <w:r>
              <w:rPr>
                <w:rFonts w:cs="Arial"/>
                <w:b/>
                <w:bCs/>
                <w:color w:val="000000"/>
              </w:rPr>
              <w:t>,</w:t>
            </w:r>
            <w:r w:rsidRPr="00BB5AC9">
              <w:rPr>
                <w:rFonts w:cs="Arial"/>
                <w:b/>
                <w:bCs/>
                <w:color w:val="000000"/>
              </w:rPr>
              <w:t>859</w:t>
            </w:r>
          </w:p>
        </w:tc>
      </w:tr>
      <w:tr w:rsidR="00EB374E" w:rsidRPr="00BB5AC9" w14:paraId="7FB5E234" w14:textId="77777777" w:rsidTr="00C84E96">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0334E6A" w14:textId="77777777" w:rsidR="00EB374E" w:rsidRPr="00BB5AC9" w:rsidRDefault="00AC4C50" w:rsidP="00CE2FDF">
            <w:pPr>
              <w:spacing w:before="0" w:line="276" w:lineRule="auto"/>
              <w:rPr>
                <w:rFonts w:cs="Arial"/>
                <w:b/>
                <w:color w:val="000000"/>
              </w:rPr>
            </w:pPr>
            <w:r>
              <w:rPr>
                <w:rFonts w:cs="Arial"/>
                <w:b/>
                <w:color w:val="000000"/>
              </w:rPr>
              <w:t>School personnel</w:t>
            </w:r>
          </w:p>
        </w:tc>
        <w:tc>
          <w:tcPr>
            <w:tcW w:w="1623"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7B543E67" w14:textId="77777777" w:rsidR="00EB374E" w:rsidRPr="00BB5AC9" w:rsidRDefault="00EB374E" w:rsidP="00CE2FDF">
            <w:pPr>
              <w:spacing w:before="0" w:line="276" w:lineRule="auto"/>
              <w:jc w:val="right"/>
              <w:rPr>
                <w:rFonts w:cs="Arial"/>
                <w:bCs/>
                <w:color w:val="000000"/>
              </w:rPr>
            </w:pPr>
            <w:r w:rsidRPr="00BB5AC9">
              <w:rPr>
                <w:rFonts w:cs="Arial"/>
                <w:bCs/>
                <w:color w:val="000000"/>
              </w:rPr>
              <w:t>41</w:t>
            </w:r>
            <w:r>
              <w:rPr>
                <w:rFonts w:cs="Arial"/>
                <w:bCs/>
                <w:color w:val="000000"/>
              </w:rPr>
              <w:t>,</w:t>
            </w:r>
            <w:r w:rsidRPr="00BB5AC9">
              <w:rPr>
                <w:rFonts w:cs="Arial"/>
                <w:bCs/>
                <w:color w:val="000000"/>
              </w:rPr>
              <w:t>470</w:t>
            </w:r>
          </w:p>
        </w:tc>
        <w:tc>
          <w:tcPr>
            <w:tcW w:w="1015" w:type="dxa"/>
            <w:tcBorders>
              <w:top w:val="single" w:sz="4" w:space="0" w:color="auto"/>
              <w:bottom w:val="single" w:sz="4" w:space="0" w:color="auto"/>
              <w:right w:val="single" w:sz="4" w:space="0" w:color="auto"/>
            </w:tcBorders>
            <w:shd w:val="clear" w:color="auto" w:fill="DBE5F1" w:themeFill="accent1" w:themeFillTint="33"/>
            <w:vAlign w:val="center"/>
          </w:tcPr>
          <w:p w14:paraId="69EAE608" w14:textId="77777777" w:rsidR="00EB374E" w:rsidRPr="00BB5AC9" w:rsidRDefault="00EB374E" w:rsidP="00CE2FDF">
            <w:pPr>
              <w:spacing w:before="0" w:line="276" w:lineRule="auto"/>
              <w:jc w:val="right"/>
              <w:rPr>
                <w:rFonts w:cs="Arial"/>
                <w:bCs/>
                <w:color w:val="000000"/>
              </w:rPr>
            </w:pPr>
            <w:r>
              <w:rPr>
                <w:rFonts w:cs="Arial"/>
                <w:bCs/>
                <w:color w:val="000000"/>
              </w:rPr>
              <w:t>9.1%</w:t>
            </w:r>
          </w:p>
        </w:tc>
        <w:tc>
          <w:tcPr>
            <w:tcW w:w="1536" w:type="dxa"/>
            <w:tcBorders>
              <w:top w:val="single" w:sz="4" w:space="0" w:color="auto"/>
              <w:bottom w:val="single" w:sz="4" w:space="0" w:color="auto"/>
            </w:tcBorders>
            <w:shd w:val="clear" w:color="auto" w:fill="DBE5F1" w:themeFill="accent1" w:themeFillTint="33"/>
            <w:vAlign w:val="center"/>
          </w:tcPr>
          <w:p w14:paraId="7387C168" w14:textId="77777777" w:rsidR="00EB374E" w:rsidRPr="00BB5AC9" w:rsidRDefault="00EB374E" w:rsidP="00CE2FDF">
            <w:pPr>
              <w:spacing w:before="0" w:line="276" w:lineRule="auto"/>
              <w:jc w:val="right"/>
              <w:rPr>
                <w:rFonts w:cs="Arial"/>
                <w:bCs/>
                <w:color w:val="000000"/>
              </w:rPr>
            </w:pPr>
            <w:r w:rsidRPr="00BB5AC9">
              <w:rPr>
                <w:rFonts w:cs="Arial"/>
                <w:bCs/>
                <w:color w:val="000000"/>
              </w:rPr>
              <w:t>17</w:t>
            </w:r>
            <w:r>
              <w:rPr>
                <w:rFonts w:cs="Arial"/>
                <w:bCs/>
                <w:color w:val="000000"/>
              </w:rPr>
              <w:t>,</w:t>
            </w:r>
            <w:r w:rsidRPr="00BB5AC9">
              <w:rPr>
                <w:rFonts w:cs="Arial"/>
                <w:bCs/>
                <w:color w:val="000000"/>
              </w:rPr>
              <w:t>168</w:t>
            </w:r>
          </w:p>
        </w:tc>
        <w:tc>
          <w:tcPr>
            <w:tcW w:w="1102" w:type="dxa"/>
            <w:tcBorders>
              <w:top w:val="single" w:sz="4" w:space="0" w:color="auto"/>
              <w:bottom w:val="single" w:sz="4" w:space="0" w:color="auto"/>
            </w:tcBorders>
            <w:shd w:val="clear" w:color="auto" w:fill="DBE5F1" w:themeFill="accent1" w:themeFillTint="33"/>
            <w:vAlign w:val="center"/>
          </w:tcPr>
          <w:p w14:paraId="3A13A054" w14:textId="77777777" w:rsidR="00EB374E" w:rsidRPr="00BB5AC9" w:rsidRDefault="00EB374E" w:rsidP="00CE2FDF">
            <w:pPr>
              <w:spacing w:before="0" w:line="276" w:lineRule="auto"/>
              <w:jc w:val="right"/>
              <w:rPr>
                <w:rFonts w:cs="Arial"/>
                <w:bCs/>
                <w:color w:val="000000"/>
              </w:rPr>
            </w:pPr>
            <w:r>
              <w:rPr>
                <w:rFonts w:cs="Arial"/>
                <w:bCs/>
                <w:color w:val="000000"/>
              </w:rPr>
              <w:t>3.8%</w:t>
            </w:r>
          </w:p>
        </w:tc>
        <w:tc>
          <w:tcPr>
            <w:tcW w:w="1591"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1DFA7F93" w14:textId="77777777" w:rsidR="00EB374E" w:rsidRPr="00BB5AC9" w:rsidRDefault="00EB374E" w:rsidP="00CE2FDF">
            <w:pPr>
              <w:spacing w:before="0" w:line="276" w:lineRule="auto"/>
              <w:jc w:val="right"/>
              <w:rPr>
                <w:rFonts w:cs="Arial"/>
                <w:bCs/>
                <w:color w:val="000000"/>
              </w:rPr>
            </w:pPr>
            <w:r w:rsidRPr="00BB5AC9">
              <w:rPr>
                <w:rFonts w:cs="Arial"/>
                <w:bCs/>
                <w:color w:val="000000"/>
              </w:rPr>
              <w:t>9</w:t>
            </w:r>
            <w:r>
              <w:rPr>
                <w:rFonts w:cs="Arial"/>
                <w:bCs/>
                <w:color w:val="000000"/>
              </w:rPr>
              <w:t>,</w:t>
            </w:r>
            <w:r w:rsidRPr="00BB5AC9">
              <w:rPr>
                <w:rFonts w:cs="Arial"/>
                <w:bCs/>
                <w:color w:val="000000"/>
              </w:rPr>
              <w:t>611</w:t>
            </w:r>
          </w:p>
        </w:tc>
        <w:tc>
          <w:tcPr>
            <w:tcW w:w="1047" w:type="dxa"/>
            <w:tcBorders>
              <w:top w:val="single" w:sz="4" w:space="0" w:color="auto"/>
              <w:bottom w:val="single" w:sz="4" w:space="0" w:color="auto"/>
              <w:right w:val="single" w:sz="4" w:space="0" w:color="auto"/>
            </w:tcBorders>
            <w:shd w:val="clear" w:color="auto" w:fill="DBE5F1" w:themeFill="accent1" w:themeFillTint="33"/>
            <w:vAlign w:val="center"/>
          </w:tcPr>
          <w:p w14:paraId="2DFCE1B3" w14:textId="77777777" w:rsidR="00EB374E" w:rsidRPr="00BB5AC9" w:rsidRDefault="00EB374E" w:rsidP="00CE2FDF">
            <w:pPr>
              <w:spacing w:before="0" w:line="276" w:lineRule="auto"/>
              <w:jc w:val="right"/>
              <w:rPr>
                <w:rFonts w:cs="Arial"/>
                <w:bCs/>
                <w:color w:val="000000"/>
              </w:rPr>
            </w:pPr>
            <w:r>
              <w:rPr>
                <w:rFonts w:cs="Arial"/>
                <w:bCs/>
                <w:color w:val="000000"/>
              </w:rPr>
              <w:t>2.1%</w:t>
            </w:r>
          </w:p>
        </w:tc>
        <w:tc>
          <w:tcPr>
            <w:tcW w:w="1505"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596B6BD0" w14:textId="77777777" w:rsidR="00EB374E" w:rsidRPr="00BB5AC9" w:rsidRDefault="00EB374E" w:rsidP="00CE2FDF">
            <w:pPr>
              <w:spacing w:before="0" w:line="276" w:lineRule="auto"/>
              <w:jc w:val="right"/>
              <w:rPr>
                <w:rFonts w:cs="Arial"/>
                <w:bCs/>
                <w:color w:val="000000"/>
              </w:rPr>
            </w:pPr>
            <w:r w:rsidRPr="00BB5AC9">
              <w:rPr>
                <w:rFonts w:cs="Arial"/>
                <w:bCs/>
                <w:color w:val="000000"/>
              </w:rPr>
              <w:t>7</w:t>
            </w:r>
            <w:r>
              <w:rPr>
                <w:rFonts w:cs="Arial"/>
                <w:bCs/>
                <w:color w:val="000000"/>
              </w:rPr>
              <w:t>,</w:t>
            </w:r>
            <w:r w:rsidRPr="00BB5AC9">
              <w:rPr>
                <w:rFonts w:cs="Arial"/>
                <w:bCs/>
                <w:color w:val="000000"/>
              </w:rPr>
              <w:t>557</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0913F7F6" w14:textId="77777777" w:rsidR="00EB374E" w:rsidRPr="00BB5AC9" w:rsidRDefault="00EB374E" w:rsidP="00CE2FDF">
            <w:pPr>
              <w:spacing w:before="0" w:line="276" w:lineRule="auto"/>
              <w:jc w:val="right"/>
              <w:rPr>
                <w:rFonts w:cs="Arial"/>
                <w:bCs/>
                <w:color w:val="000000"/>
              </w:rPr>
            </w:pPr>
            <w:r>
              <w:rPr>
                <w:rFonts w:cs="Arial"/>
                <w:bCs/>
                <w:color w:val="000000"/>
              </w:rPr>
              <w:t>1.7%</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E1C5356" w14:textId="77777777" w:rsidR="00EB374E" w:rsidRPr="00BB5AC9" w:rsidRDefault="00EB374E" w:rsidP="00CE2FDF">
            <w:pPr>
              <w:spacing w:before="0" w:line="276" w:lineRule="auto"/>
              <w:jc w:val="right"/>
              <w:rPr>
                <w:rFonts w:cs="Arial"/>
                <w:b/>
                <w:bCs/>
                <w:color w:val="000000"/>
              </w:rPr>
            </w:pPr>
            <w:r w:rsidRPr="00BB5AC9">
              <w:rPr>
                <w:rFonts w:cs="Arial"/>
                <w:b/>
                <w:bCs/>
                <w:color w:val="000000"/>
              </w:rPr>
              <w:t>58</w:t>
            </w:r>
            <w:r>
              <w:rPr>
                <w:rFonts w:cs="Arial"/>
                <w:b/>
                <w:bCs/>
                <w:color w:val="000000"/>
              </w:rPr>
              <w:t>,</w:t>
            </w:r>
            <w:r w:rsidRPr="00BB5AC9">
              <w:rPr>
                <w:rFonts w:cs="Arial"/>
                <w:b/>
                <w:bCs/>
                <w:color w:val="000000"/>
              </w:rPr>
              <w:t>638</w:t>
            </w:r>
          </w:p>
        </w:tc>
      </w:tr>
      <w:tr w:rsidR="001635B1" w:rsidRPr="00BB5AC9" w14:paraId="35A36A99" w14:textId="77777777" w:rsidTr="00407ACB">
        <w:trPr>
          <w:trHeight w:val="467"/>
        </w:trPr>
        <w:tc>
          <w:tcPr>
            <w:tcW w:w="2313" w:type="dxa"/>
            <w:tcBorders>
              <w:top w:val="single" w:sz="4" w:space="0" w:color="auto"/>
              <w:left w:val="single" w:sz="4" w:space="0" w:color="auto"/>
              <w:right w:val="single" w:sz="4" w:space="0" w:color="auto"/>
            </w:tcBorders>
            <w:shd w:val="clear" w:color="auto" w:fill="auto"/>
            <w:noWrap/>
            <w:vAlign w:val="bottom"/>
            <w:hideMark/>
          </w:tcPr>
          <w:p w14:paraId="7FB3EE88" w14:textId="77777777" w:rsidR="001635B1" w:rsidRPr="00BB5AC9" w:rsidRDefault="001635B1" w:rsidP="00CE2FDF">
            <w:pPr>
              <w:spacing w:before="0" w:line="276" w:lineRule="auto"/>
              <w:rPr>
                <w:rFonts w:cs="Arial"/>
                <w:b/>
                <w:color w:val="000000"/>
              </w:rPr>
            </w:pPr>
            <w:r w:rsidRPr="00BB5AC9">
              <w:rPr>
                <w:rFonts w:cs="Arial"/>
                <w:b/>
                <w:color w:val="000000"/>
              </w:rPr>
              <w:t>Psychiatrists</w:t>
            </w:r>
          </w:p>
        </w:tc>
        <w:tc>
          <w:tcPr>
            <w:tcW w:w="1623" w:type="dxa"/>
            <w:tcBorders>
              <w:top w:val="single" w:sz="4" w:space="0" w:color="auto"/>
              <w:left w:val="single" w:sz="4" w:space="0" w:color="auto"/>
            </w:tcBorders>
            <w:shd w:val="clear" w:color="auto" w:fill="auto"/>
            <w:noWrap/>
            <w:vAlign w:val="center"/>
            <w:hideMark/>
          </w:tcPr>
          <w:p w14:paraId="34D2CB2C" w14:textId="77777777" w:rsidR="001635B1" w:rsidRPr="00BB5AC9" w:rsidRDefault="001635B1" w:rsidP="00CE2FDF">
            <w:pPr>
              <w:spacing w:before="0" w:line="276" w:lineRule="auto"/>
              <w:jc w:val="right"/>
              <w:rPr>
                <w:rFonts w:cs="Arial"/>
                <w:bCs/>
                <w:color w:val="000000"/>
              </w:rPr>
            </w:pPr>
            <w:r w:rsidRPr="00BB5AC9">
              <w:rPr>
                <w:rFonts w:cs="Arial"/>
                <w:bCs/>
                <w:color w:val="000000"/>
              </w:rPr>
              <w:t>1</w:t>
            </w:r>
            <w:r>
              <w:rPr>
                <w:rFonts w:cs="Arial"/>
                <w:bCs/>
                <w:color w:val="000000"/>
              </w:rPr>
              <w:t>,</w:t>
            </w:r>
            <w:r w:rsidRPr="00BB5AC9">
              <w:rPr>
                <w:rFonts w:cs="Arial"/>
                <w:bCs/>
                <w:color w:val="000000"/>
              </w:rPr>
              <w:t>222</w:t>
            </w:r>
          </w:p>
        </w:tc>
        <w:tc>
          <w:tcPr>
            <w:tcW w:w="1015" w:type="dxa"/>
            <w:tcBorders>
              <w:top w:val="single" w:sz="4" w:space="0" w:color="auto"/>
              <w:right w:val="single" w:sz="4" w:space="0" w:color="auto"/>
            </w:tcBorders>
            <w:shd w:val="clear" w:color="auto" w:fill="auto"/>
            <w:vAlign w:val="center"/>
          </w:tcPr>
          <w:p w14:paraId="15C922E4" w14:textId="77777777" w:rsidR="001635B1" w:rsidRPr="00BB5AC9" w:rsidRDefault="001635B1" w:rsidP="00CE2FDF">
            <w:pPr>
              <w:spacing w:before="0" w:line="276" w:lineRule="auto"/>
              <w:jc w:val="right"/>
              <w:rPr>
                <w:rFonts w:cs="Arial"/>
                <w:bCs/>
                <w:color w:val="000000"/>
              </w:rPr>
            </w:pPr>
            <w:r>
              <w:rPr>
                <w:rFonts w:cs="Arial"/>
                <w:bCs/>
                <w:color w:val="000000"/>
              </w:rPr>
              <w:t>0.3%</w:t>
            </w:r>
          </w:p>
        </w:tc>
        <w:tc>
          <w:tcPr>
            <w:tcW w:w="1536" w:type="dxa"/>
            <w:tcBorders>
              <w:top w:val="single" w:sz="4" w:space="0" w:color="auto"/>
            </w:tcBorders>
            <w:shd w:val="clear" w:color="auto" w:fill="auto"/>
            <w:vAlign w:val="center"/>
          </w:tcPr>
          <w:p w14:paraId="604C3861" w14:textId="77777777" w:rsidR="001635B1" w:rsidRPr="00BB5AC9" w:rsidRDefault="001635B1" w:rsidP="00CE2FDF">
            <w:pPr>
              <w:spacing w:before="0" w:line="276" w:lineRule="auto"/>
              <w:jc w:val="right"/>
              <w:rPr>
                <w:rFonts w:cs="Arial"/>
                <w:bCs/>
                <w:color w:val="000000"/>
              </w:rPr>
            </w:pPr>
            <w:r w:rsidRPr="00BB5AC9">
              <w:rPr>
                <w:rFonts w:cs="Arial"/>
                <w:bCs/>
                <w:color w:val="000000"/>
              </w:rPr>
              <w:t>562</w:t>
            </w:r>
          </w:p>
        </w:tc>
        <w:tc>
          <w:tcPr>
            <w:tcW w:w="1102" w:type="dxa"/>
            <w:tcBorders>
              <w:top w:val="single" w:sz="4" w:space="0" w:color="auto"/>
            </w:tcBorders>
            <w:shd w:val="clear" w:color="auto" w:fill="auto"/>
            <w:vAlign w:val="center"/>
          </w:tcPr>
          <w:p w14:paraId="671BB9E0" w14:textId="77777777" w:rsidR="001635B1" w:rsidRPr="00BB5AC9" w:rsidRDefault="001635B1" w:rsidP="00CE2FDF">
            <w:pPr>
              <w:spacing w:before="0" w:line="276" w:lineRule="auto"/>
              <w:jc w:val="right"/>
              <w:rPr>
                <w:rFonts w:cs="Arial"/>
                <w:bCs/>
                <w:color w:val="000000"/>
              </w:rPr>
            </w:pPr>
            <w:r>
              <w:rPr>
                <w:rFonts w:cs="Arial"/>
                <w:bCs/>
                <w:color w:val="000000"/>
              </w:rPr>
              <w:t>0.1%</w:t>
            </w:r>
          </w:p>
        </w:tc>
        <w:tc>
          <w:tcPr>
            <w:tcW w:w="1591" w:type="dxa"/>
            <w:tcBorders>
              <w:top w:val="single" w:sz="4" w:space="0" w:color="auto"/>
              <w:left w:val="single" w:sz="4" w:space="0" w:color="auto"/>
            </w:tcBorders>
            <w:shd w:val="clear" w:color="auto" w:fill="auto"/>
            <w:noWrap/>
            <w:vAlign w:val="center"/>
            <w:hideMark/>
          </w:tcPr>
          <w:p w14:paraId="2DB6C202" w14:textId="77777777" w:rsidR="001635B1" w:rsidRPr="00BB5AC9" w:rsidRDefault="001635B1" w:rsidP="00CE2FDF">
            <w:pPr>
              <w:spacing w:before="0" w:line="276" w:lineRule="auto"/>
              <w:jc w:val="right"/>
              <w:rPr>
                <w:rFonts w:cs="Arial"/>
                <w:bCs/>
                <w:color w:val="000000"/>
              </w:rPr>
            </w:pPr>
            <w:r w:rsidRPr="00BB5AC9">
              <w:rPr>
                <w:rFonts w:cs="Arial"/>
                <w:bCs/>
                <w:color w:val="000000"/>
              </w:rPr>
              <w:t>373</w:t>
            </w:r>
          </w:p>
        </w:tc>
        <w:tc>
          <w:tcPr>
            <w:tcW w:w="1047" w:type="dxa"/>
            <w:tcBorders>
              <w:top w:val="single" w:sz="4" w:space="0" w:color="auto"/>
              <w:right w:val="single" w:sz="4" w:space="0" w:color="auto"/>
            </w:tcBorders>
            <w:shd w:val="clear" w:color="auto" w:fill="auto"/>
            <w:vAlign w:val="center"/>
          </w:tcPr>
          <w:p w14:paraId="573D9553" w14:textId="77777777" w:rsidR="001635B1" w:rsidRPr="00BB5AC9" w:rsidRDefault="001635B1" w:rsidP="00CE2FDF">
            <w:pPr>
              <w:spacing w:before="0" w:line="276" w:lineRule="auto"/>
              <w:jc w:val="right"/>
              <w:rPr>
                <w:rFonts w:cs="Arial"/>
                <w:bCs/>
                <w:color w:val="000000"/>
              </w:rPr>
            </w:pPr>
            <w:r>
              <w:rPr>
                <w:rFonts w:cs="Arial"/>
                <w:bCs/>
                <w:color w:val="000000"/>
              </w:rPr>
              <w:t>0.08%</w:t>
            </w:r>
          </w:p>
        </w:tc>
        <w:tc>
          <w:tcPr>
            <w:tcW w:w="1505" w:type="dxa"/>
            <w:tcBorders>
              <w:top w:val="single" w:sz="4" w:space="0" w:color="auto"/>
              <w:left w:val="single" w:sz="4" w:space="0" w:color="auto"/>
            </w:tcBorders>
            <w:shd w:val="clear" w:color="auto" w:fill="auto"/>
            <w:noWrap/>
            <w:vAlign w:val="center"/>
            <w:hideMark/>
          </w:tcPr>
          <w:p w14:paraId="70967FBE" w14:textId="77777777" w:rsidR="001635B1" w:rsidRPr="00BB5AC9" w:rsidRDefault="001635B1" w:rsidP="00CE2FDF">
            <w:pPr>
              <w:spacing w:before="0" w:line="276" w:lineRule="auto"/>
              <w:jc w:val="right"/>
              <w:rPr>
                <w:rFonts w:cs="Arial"/>
                <w:bCs/>
                <w:color w:val="000000"/>
              </w:rPr>
            </w:pPr>
            <w:r w:rsidRPr="00BB5AC9">
              <w:rPr>
                <w:rFonts w:cs="Arial"/>
                <w:bCs/>
                <w:color w:val="000000"/>
              </w:rPr>
              <w:t>189</w:t>
            </w:r>
          </w:p>
        </w:tc>
        <w:tc>
          <w:tcPr>
            <w:tcW w:w="1134" w:type="dxa"/>
            <w:tcBorders>
              <w:top w:val="single" w:sz="4" w:space="0" w:color="auto"/>
              <w:right w:val="single" w:sz="4" w:space="0" w:color="auto"/>
            </w:tcBorders>
            <w:shd w:val="clear" w:color="auto" w:fill="auto"/>
            <w:vAlign w:val="center"/>
          </w:tcPr>
          <w:p w14:paraId="58AFA01F" w14:textId="77777777" w:rsidR="001635B1" w:rsidRPr="00BB5AC9" w:rsidRDefault="001635B1" w:rsidP="00CE2FDF">
            <w:pPr>
              <w:spacing w:before="0" w:line="276" w:lineRule="auto"/>
              <w:jc w:val="right"/>
              <w:rPr>
                <w:rFonts w:cs="Arial"/>
                <w:bCs/>
                <w:color w:val="000000"/>
              </w:rPr>
            </w:pPr>
            <w:r>
              <w:rPr>
                <w:rFonts w:cs="Arial"/>
                <w:bCs/>
                <w:color w:val="000000"/>
              </w:rPr>
              <w:t>0.04%</w:t>
            </w:r>
          </w:p>
        </w:tc>
        <w:tc>
          <w:tcPr>
            <w:tcW w:w="1984" w:type="dxa"/>
            <w:tcBorders>
              <w:top w:val="single" w:sz="4" w:space="0" w:color="auto"/>
              <w:left w:val="single" w:sz="4" w:space="0" w:color="auto"/>
              <w:right w:val="single" w:sz="4" w:space="0" w:color="auto"/>
            </w:tcBorders>
            <w:shd w:val="clear" w:color="auto" w:fill="auto"/>
            <w:noWrap/>
            <w:vAlign w:val="center"/>
            <w:hideMark/>
          </w:tcPr>
          <w:p w14:paraId="649EA817" w14:textId="77777777" w:rsidR="001635B1" w:rsidRPr="00BB5AC9" w:rsidRDefault="001635B1" w:rsidP="00CE2FDF">
            <w:pPr>
              <w:spacing w:before="0" w:line="276" w:lineRule="auto"/>
              <w:jc w:val="right"/>
              <w:rPr>
                <w:rFonts w:cs="Arial"/>
                <w:b/>
                <w:bCs/>
                <w:color w:val="000000"/>
              </w:rPr>
            </w:pPr>
            <w:r w:rsidRPr="00BB5AC9">
              <w:rPr>
                <w:rFonts w:cs="Arial"/>
                <w:b/>
                <w:bCs/>
                <w:color w:val="000000"/>
              </w:rPr>
              <w:t>1</w:t>
            </w:r>
            <w:r>
              <w:rPr>
                <w:rFonts w:cs="Arial"/>
                <w:b/>
                <w:bCs/>
                <w:color w:val="000000"/>
              </w:rPr>
              <w:t>,</w:t>
            </w:r>
            <w:r w:rsidRPr="00BB5AC9">
              <w:rPr>
                <w:rFonts w:cs="Arial"/>
                <w:b/>
                <w:bCs/>
                <w:color w:val="000000"/>
              </w:rPr>
              <w:t>784</w:t>
            </w:r>
          </w:p>
        </w:tc>
      </w:tr>
      <w:tr w:rsidR="002F6188" w:rsidRPr="00BB5AC9" w14:paraId="0932088A" w14:textId="77777777" w:rsidTr="00B349CA">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593D4D2B"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Major mandated reporter groups combined</w:t>
            </w:r>
          </w:p>
        </w:tc>
        <w:tc>
          <w:tcPr>
            <w:tcW w:w="1623"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1FC63F71" w14:textId="77777777" w:rsidR="002F6188" w:rsidRPr="00BB5AC9" w:rsidRDefault="002F6188" w:rsidP="00CE2FDF">
            <w:pPr>
              <w:tabs>
                <w:tab w:val="left" w:pos="1134"/>
              </w:tabs>
              <w:spacing w:before="0" w:line="276" w:lineRule="auto"/>
              <w:jc w:val="right"/>
              <w:rPr>
                <w:rFonts w:cs="Arial"/>
              </w:rPr>
            </w:pPr>
            <w:r w:rsidRPr="00BB5AC9">
              <w:rPr>
                <w:rFonts w:cs="Arial"/>
              </w:rPr>
              <w:t>132,484</w:t>
            </w:r>
          </w:p>
        </w:tc>
        <w:tc>
          <w:tcPr>
            <w:tcW w:w="1015" w:type="dxa"/>
            <w:tcBorders>
              <w:top w:val="single" w:sz="4" w:space="0" w:color="auto"/>
              <w:bottom w:val="single" w:sz="4" w:space="0" w:color="auto"/>
              <w:right w:val="single" w:sz="4" w:space="0" w:color="auto"/>
            </w:tcBorders>
            <w:shd w:val="clear" w:color="auto" w:fill="DBE5F1" w:themeFill="accent1" w:themeFillTint="33"/>
            <w:vAlign w:val="center"/>
          </w:tcPr>
          <w:p w14:paraId="137C9D35" w14:textId="77777777" w:rsidR="002F6188" w:rsidRPr="00BB5AC9" w:rsidRDefault="002F6188" w:rsidP="00CE2FDF">
            <w:pPr>
              <w:tabs>
                <w:tab w:val="left" w:pos="1134"/>
              </w:tabs>
              <w:spacing w:before="0" w:line="276" w:lineRule="auto"/>
              <w:jc w:val="right"/>
              <w:rPr>
                <w:rFonts w:cs="Arial"/>
                <w:color w:val="000000"/>
              </w:rPr>
            </w:pPr>
            <w:r w:rsidRPr="00BB5AC9">
              <w:rPr>
                <w:rFonts w:cs="Arial"/>
                <w:color w:val="000000"/>
              </w:rPr>
              <w:t>29</w:t>
            </w:r>
            <w:r>
              <w:rPr>
                <w:rFonts w:cs="Arial"/>
                <w:color w:val="000000"/>
              </w:rPr>
              <w:t>.2</w:t>
            </w:r>
            <w:r w:rsidRPr="00BB5AC9">
              <w:rPr>
                <w:rFonts w:cs="Arial"/>
                <w:color w:val="000000"/>
              </w:rPr>
              <w:t>%</w:t>
            </w:r>
          </w:p>
        </w:tc>
        <w:tc>
          <w:tcPr>
            <w:tcW w:w="1536" w:type="dxa"/>
            <w:tcBorders>
              <w:top w:val="single" w:sz="4" w:space="0" w:color="auto"/>
              <w:bottom w:val="single" w:sz="4" w:space="0" w:color="auto"/>
            </w:tcBorders>
            <w:shd w:val="clear" w:color="auto" w:fill="DBE5F1" w:themeFill="accent1" w:themeFillTint="33"/>
            <w:vAlign w:val="center"/>
          </w:tcPr>
          <w:p w14:paraId="2EA7B4D9" w14:textId="77777777" w:rsidR="002F6188" w:rsidRPr="00BB5AC9" w:rsidRDefault="002F6188" w:rsidP="00CE2FDF">
            <w:pPr>
              <w:tabs>
                <w:tab w:val="left" w:pos="1134"/>
              </w:tabs>
              <w:spacing w:before="0" w:line="276" w:lineRule="auto"/>
              <w:jc w:val="right"/>
              <w:rPr>
                <w:rFonts w:cs="Arial"/>
              </w:rPr>
            </w:pPr>
            <w:r w:rsidRPr="00BB5AC9">
              <w:rPr>
                <w:rFonts w:cs="Arial"/>
              </w:rPr>
              <w:t>57,944</w:t>
            </w:r>
          </w:p>
        </w:tc>
        <w:tc>
          <w:tcPr>
            <w:tcW w:w="1102" w:type="dxa"/>
            <w:tcBorders>
              <w:top w:val="single" w:sz="4" w:space="0" w:color="auto"/>
              <w:bottom w:val="single" w:sz="4" w:space="0" w:color="auto"/>
            </w:tcBorders>
            <w:shd w:val="clear" w:color="auto" w:fill="DBE5F1" w:themeFill="accent1" w:themeFillTint="33"/>
            <w:vAlign w:val="center"/>
          </w:tcPr>
          <w:p w14:paraId="72D1C451" w14:textId="77777777" w:rsidR="002F6188" w:rsidRPr="00BB5AC9" w:rsidRDefault="002F6188" w:rsidP="00CE2FDF">
            <w:pPr>
              <w:tabs>
                <w:tab w:val="left" w:pos="1134"/>
              </w:tabs>
              <w:spacing w:before="0" w:line="276" w:lineRule="auto"/>
              <w:jc w:val="right"/>
              <w:rPr>
                <w:rFonts w:cs="Arial"/>
                <w:color w:val="000000"/>
              </w:rPr>
            </w:pPr>
            <w:r>
              <w:rPr>
                <w:rFonts w:cs="Arial"/>
                <w:color w:val="000000"/>
              </w:rPr>
              <w:t>12.8</w:t>
            </w:r>
            <w:r w:rsidRPr="00BB5AC9">
              <w:rPr>
                <w:rFonts w:cs="Arial"/>
                <w:color w:val="000000"/>
              </w:rPr>
              <w:t>%</w:t>
            </w:r>
          </w:p>
        </w:tc>
        <w:tc>
          <w:tcPr>
            <w:tcW w:w="1591"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74654F4F" w14:textId="77777777" w:rsidR="002F6188" w:rsidRPr="00BB5AC9" w:rsidRDefault="002F6188" w:rsidP="00CE2FDF">
            <w:pPr>
              <w:tabs>
                <w:tab w:val="left" w:pos="1134"/>
              </w:tabs>
              <w:spacing w:before="0" w:line="276" w:lineRule="auto"/>
              <w:jc w:val="right"/>
              <w:rPr>
                <w:rFonts w:cs="Arial"/>
              </w:rPr>
            </w:pPr>
            <w:r w:rsidRPr="00BB5AC9">
              <w:rPr>
                <w:rFonts w:cs="Arial"/>
              </w:rPr>
              <w:t>36,888</w:t>
            </w:r>
          </w:p>
        </w:tc>
        <w:tc>
          <w:tcPr>
            <w:tcW w:w="1047" w:type="dxa"/>
            <w:tcBorders>
              <w:top w:val="single" w:sz="4" w:space="0" w:color="auto"/>
              <w:bottom w:val="single" w:sz="4" w:space="0" w:color="auto"/>
              <w:right w:val="single" w:sz="4" w:space="0" w:color="auto"/>
            </w:tcBorders>
            <w:shd w:val="clear" w:color="auto" w:fill="DBE5F1" w:themeFill="accent1" w:themeFillTint="33"/>
            <w:vAlign w:val="center"/>
          </w:tcPr>
          <w:p w14:paraId="6DA07B83" w14:textId="77777777" w:rsidR="002F6188" w:rsidRPr="00BB5AC9" w:rsidRDefault="002F6188" w:rsidP="00CE2FDF">
            <w:pPr>
              <w:tabs>
                <w:tab w:val="left" w:pos="1134"/>
              </w:tabs>
              <w:spacing w:before="0" w:line="276" w:lineRule="auto"/>
              <w:jc w:val="right"/>
              <w:rPr>
                <w:rFonts w:cs="Arial"/>
                <w:color w:val="000000"/>
              </w:rPr>
            </w:pPr>
            <w:r w:rsidRPr="00BB5AC9">
              <w:rPr>
                <w:rFonts w:cs="Arial"/>
                <w:color w:val="000000"/>
              </w:rPr>
              <w:t>8</w:t>
            </w:r>
            <w:r>
              <w:rPr>
                <w:rFonts w:cs="Arial"/>
                <w:color w:val="000000"/>
              </w:rPr>
              <w:t>.1</w:t>
            </w:r>
            <w:r w:rsidRPr="00BB5AC9">
              <w:rPr>
                <w:rFonts w:cs="Arial"/>
                <w:color w:val="000000"/>
              </w:rPr>
              <w:t>%</w:t>
            </w:r>
          </w:p>
        </w:tc>
        <w:tc>
          <w:tcPr>
            <w:tcW w:w="1505"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40AF4D7F" w14:textId="77777777" w:rsidR="002F6188" w:rsidRPr="00BB5AC9" w:rsidRDefault="002F6188" w:rsidP="00CE2FDF">
            <w:pPr>
              <w:tabs>
                <w:tab w:val="left" w:pos="1134"/>
              </w:tabs>
              <w:spacing w:before="0" w:line="276" w:lineRule="auto"/>
              <w:jc w:val="right"/>
              <w:rPr>
                <w:rFonts w:cs="Arial"/>
              </w:rPr>
            </w:pPr>
            <w:r w:rsidRPr="00BB5AC9">
              <w:rPr>
                <w:rFonts w:cs="Arial"/>
              </w:rPr>
              <w:t>21,056</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203CD32F" w14:textId="77777777" w:rsidR="002F6188" w:rsidRPr="00BB5AC9" w:rsidRDefault="002F6188" w:rsidP="00CE2FDF">
            <w:pPr>
              <w:tabs>
                <w:tab w:val="left" w:pos="1134"/>
              </w:tabs>
              <w:spacing w:before="0" w:line="276" w:lineRule="auto"/>
              <w:jc w:val="right"/>
              <w:rPr>
                <w:rFonts w:cs="Arial"/>
              </w:rPr>
            </w:pPr>
            <w:r>
              <w:rPr>
                <w:rFonts w:cs="Arial"/>
              </w:rPr>
              <w:t>4.6</w:t>
            </w:r>
            <w:r w:rsidRPr="00BB5AC9">
              <w:rPr>
                <w:rFonts w:cs="Arial"/>
              </w:rPr>
              <w:t>%</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87E87F1" w14:textId="77777777" w:rsidR="002F6188" w:rsidRPr="00BB5AC9" w:rsidRDefault="002F6188" w:rsidP="00CE2FDF">
            <w:pPr>
              <w:tabs>
                <w:tab w:val="left" w:pos="1134"/>
              </w:tabs>
              <w:spacing w:before="0" w:line="276" w:lineRule="auto"/>
              <w:jc w:val="right"/>
              <w:rPr>
                <w:rFonts w:cs="Arial"/>
                <w:b/>
              </w:rPr>
            </w:pPr>
            <w:r w:rsidRPr="00BB5AC9">
              <w:rPr>
                <w:rFonts w:cs="Arial"/>
                <w:b/>
              </w:rPr>
              <w:t>190,428</w:t>
            </w:r>
          </w:p>
        </w:tc>
      </w:tr>
      <w:tr w:rsidR="002F6188" w:rsidRPr="00BB5AC9" w14:paraId="2A3CE3D3" w14:textId="77777777" w:rsidTr="00B349CA">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auto"/>
            <w:noWrap/>
            <w:hideMark/>
          </w:tcPr>
          <w:p w14:paraId="5F7E3D65" w14:textId="77777777" w:rsidR="002F6188" w:rsidRPr="004F362A" w:rsidRDefault="002F6188" w:rsidP="00CE2FDF">
            <w:pPr>
              <w:spacing w:before="0" w:after="60" w:line="276" w:lineRule="auto"/>
              <w:rPr>
                <w:rFonts w:eastAsia="Times New Roman" w:cs="Arial"/>
                <w:b/>
                <w:bCs/>
                <w:lang w:eastAsia="en-AU"/>
              </w:rPr>
            </w:pPr>
            <w:r w:rsidRPr="004F362A">
              <w:rPr>
                <w:rFonts w:eastAsia="Times New Roman" w:cs="Arial"/>
                <w:b/>
                <w:bCs/>
                <w:lang w:eastAsia="en-AU"/>
              </w:rPr>
              <w:t>Other reporter groups combined</w:t>
            </w:r>
          </w:p>
        </w:tc>
        <w:tc>
          <w:tcPr>
            <w:tcW w:w="1623" w:type="dxa"/>
            <w:tcBorders>
              <w:top w:val="single" w:sz="4" w:space="0" w:color="auto"/>
              <w:left w:val="single" w:sz="4" w:space="0" w:color="auto"/>
              <w:bottom w:val="single" w:sz="4" w:space="0" w:color="auto"/>
            </w:tcBorders>
            <w:shd w:val="clear" w:color="auto" w:fill="auto"/>
            <w:noWrap/>
            <w:vAlign w:val="center"/>
            <w:hideMark/>
          </w:tcPr>
          <w:p w14:paraId="09062C6D" w14:textId="77777777" w:rsidR="002F6188" w:rsidRPr="00BB5AC9" w:rsidRDefault="002F6188" w:rsidP="00CE2FDF">
            <w:pPr>
              <w:tabs>
                <w:tab w:val="left" w:pos="1134"/>
              </w:tabs>
              <w:spacing w:before="0" w:line="276" w:lineRule="auto"/>
              <w:jc w:val="right"/>
              <w:rPr>
                <w:rFonts w:cs="Arial"/>
              </w:rPr>
            </w:pPr>
            <w:r w:rsidRPr="00BB5AC9">
              <w:rPr>
                <w:rFonts w:cs="Arial"/>
              </w:rPr>
              <w:t>193,320</w:t>
            </w:r>
          </w:p>
        </w:tc>
        <w:tc>
          <w:tcPr>
            <w:tcW w:w="1015" w:type="dxa"/>
            <w:tcBorders>
              <w:top w:val="single" w:sz="4" w:space="0" w:color="auto"/>
              <w:bottom w:val="single" w:sz="4" w:space="0" w:color="auto"/>
              <w:right w:val="single" w:sz="4" w:space="0" w:color="auto"/>
            </w:tcBorders>
            <w:shd w:val="clear" w:color="auto" w:fill="auto"/>
            <w:vAlign w:val="center"/>
          </w:tcPr>
          <w:p w14:paraId="4CE3182E" w14:textId="77777777" w:rsidR="002F6188" w:rsidRPr="00BB5AC9" w:rsidRDefault="002F6188" w:rsidP="00CE2FDF">
            <w:pPr>
              <w:tabs>
                <w:tab w:val="left" w:pos="1134"/>
              </w:tabs>
              <w:spacing w:before="0" w:line="276" w:lineRule="auto"/>
              <w:jc w:val="right"/>
              <w:rPr>
                <w:rFonts w:cs="Arial"/>
                <w:color w:val="000000"/>
              </w:rPr>
            </w:pPr>
            <w:r>
              <w:rPr>
                <w:rFonts w:cs="Arial"/>
                <w:color w:val="000000"/>
              </w:rPr>
              <w:t>42.6</w:t>
            </w:r>
            <w:r w:rsidRPr="00BB5AC9">
              <w:rPr>
                <w:rFonts w:cs="Arial"/>
                <w:color w:val="000000"/>
              </w:rPr>
              <w:t>%</w:t>
            </w:r>
          </w:p>
        </w:tc>
        <w:tc>
          <w:tcPr>
            <w:tcW w:w="1536" w:type="dxa"/>
            <w:tcBorders>
              <w:top w:val="single" w:sz="4" w:space="0" w:color="auto"/>
              <w:bottom w:val="single" w:sz="4" w:space="0" w:color="auto"/>
              <w:right w:val="nil"/>
            </w:tcBorders>
            <w:shd w:val="clear" w:color="auto" w:fill="auto"/>
            <w:vAlign w:val="center"/>
          </w:tcPr>
          <w:p w14:paraId="3F237A99" w14:textId="77777777" w:rsidR="002F6188" w:rsidRPr="00BB5AC9" w:rsidRDefault="002F6188" w:rsidP="00CE2FDF">
            <w:pPr>
              <w:tabs>
                <w:tab w:val="left" w:pos="1134"/>
              </w:tabs>
              <w:spacing w:before="0" w:line="276" w:lineRule="auto"/>
              <w:jc w:val="right"/>
              <w:rPr>
                <w:rFonts w:cs="Arial"/>
              </w:rPr>
            </w:pPr>
            <w:r w:rsidRPr="00BB5AC9">
              <w:rPr>
                <w:rFonts w:cs="Arial"/>
              </w:rPr>
              <w:t>70,372</w:t>
            </w:r>
          </w:p>
        </w:tc>
        <w:tc>
          <w:tcPr>
            <w:tcW w:w="1102" w:type="dxa"/>
            <w:tcBorders>
              <w:top w:val="single" w:sz="4" w:space="0" w:color="auto"/>
              <w:left w:val="nil"/>
              <w:bottom w:val="single" w:sz="4" w:space="0" w:color="auto"/>
            </w:tcBorders>
            <w:shd w:val="clear" w:color="auto" w:fill="auto"/>
            <w:vAlign w:val="center"/>
          </w:tcPr>
          <w:p w14:paraId="4F2309E9" w14:textId="77777777" w:rsidR="002F6188" w:rsidRPr="00BB5AC9" w:rsidRDefault="002F6188" w:rsidP="00CE2FDF">
            <w:pPr>
              <w:tabs>
                <w:tab w:val="left" w:pos="1134"/>
              </w:tabs>
              <w:spacing w:before="0" w:line="276" w:lineRule="auto"/>
              <w:jc w:val="right"/>
              <w:rPr>
                <w:rFonts w:cs="Arial"/>
                <w:color w:val="000000"/>
              </w:rPr>
            </w:pPr>
            <w:r w:rsidRPr="00BB5AC9">
              <w:rPr>
                <w:rFonts w:cs="Arial"/>
                <w:color w:val="000000"/>
              </w:rPr>
              <w:t>15</w:t>
            </w:r>
            <w:r>
              <w:rPr>
                <w:rFonts w:cs="Arial"/>
                <w:color w:val="000000"/>
              </w:rPr>
              <w:t>.5</w:t>
            </w:r>
            <w:r w:rsidRPr="00BB5AC9">
              <w:rPr>
                <w:rFonts w:cs="Arial"/>
                <w:color w:val="000000"/>
              </w:rPr>
              <w:t>%</w:t>
            </w:r>
          </w:p>
        </w:tc>
        <w:tc>
          <w:tcPr>
            <w:tcW w:w="1591" w:type="dxa"/>
            <w:tcBorders>
              <w:top w:val="single" w:sz="4" w:space="0" w:color="auto"/>
              <w:left w:val="single" w:sz="4" w:space="0" w:color="auto"/>
              <w:bottom w:val="single" w:sz="4" w:space="0" w:color="auto"/>
            </w:tcBorders>
            <w:shd w:val="clear" w:color="auto" w:fill="auto"/>
            <w:noWrap/>
            <w:vAlign w:val="center"/>
            <w:hideMark/>
          </w:tcPr>
          <w:p w14:paraId="0E4010AE" w14:textId="77777777" w:rsidR="002F6188" w:rsidRPr="00BB5AC9" w:rsidRDefault="002F6188" w:rsidP="00CE2FDF">
            <w:pPr>
              <w:tabs>
                <w:tab w:val="left" w:pos="1134"/>
              </w:tabs>
              <w:spacing w:before="0" w:line="276" w:lineRule="auto"/>
              <w:jc w:val="right"/>
              <w:rPr>
                <w:rFonts w:cs="Arial"/>
              </w:rPr>
            </w:pPr>
            <w:r w:rsidRPr="00BB5AC9">
              <w:rPr>
                <w:rFonts w:cs="Arial"/>
              </w:rPr>
              <w:t>41,180</w:t>
            </w:r>
          </w:p>
        </w:tc>
        <w:tc>
          <w:tcPr>
            <w:tcW w:w="1047" w:type="dxa"/>
            <w:tcBorders>
              <w:top w:val="single" w:sz="4" w:space="0" w:color="auto"/>
              <w:bottom w:val="single" w:sz="4" w:space="0" w:color="auto"/>
              <w:right w:val="single" w:sz="4" w:space="0" w:color="auto"/>
            </w:tcBorders>
            <w:shd w:val="clear" w:color="auto" w:fill="auto"/>
            <w:vAlign w:val="center"/>
          </w:tcPr>
          <w:p w14:paraId="4ACC9F4E" w14:textId="77777777" w:rsidR="002F6188" w:rsidRPr="00BB5AC9" w:rsidRDefault="002F6188" w:rsidP="00CE2FDF">
            <w:pPr>
              <w:tabs>
                <w:tab w:val="left" w:pos="1134"/>
              </w:tabs>
              <w:spacing w:before="0" w:line="276" w:lineRule="auto"/>
              <w:jc w:val="right"/>
              <w:rPr>
                <w:rFonts w:cs="Arial"/>
                <w:color w:val="000000"/>
              </w:rPr>
            </w:pPr>
            <w:r w:rsidRPr="00BB5AC9">
              <w:rPr>
                <w:rFonts w:cs="Arial"/>
                <w:color w:val="000000"/>
              </w:rPr>
              <w:t>9</w:t>
            </w:r>
            <w:r>
              <w:rPr>
                <w:rFonts w:cs="Arial"/>
                <w:color w:val="000000"/>
              </w:rPr>
              <w:t>.1</w:t>
            </w:r>
            <w:r w:rsidRPr="00BB5AC9">
              <w:rPr>
                <w:rFonts w:cs="Arial"/>
                <w:color w:val="000000"/>
              </w:rPr>
              <w:t>%</w:t>
            </w:r>
          </w:p>
        </w:tc>
        <w:tc>
          <w:tcPr>
            <w:tcW w:w="1505" w:type="dxa"/>
            <w:tcBorders>
              <w:top w:val="single" w:sz="4" w:space="0" w:color="auto"/>
              <w:left w:val="single" w:sz="4" w:space="0" w:color="auto"/>
              <w:bottom w:val="single" w:sz="4" w:space="0" w:color="auto"/>
            </w:tcBorders>
            <w:shd w:val="clear" w:color="auto" w:fill="auto"/>
            <w:noWrap/>
            <w:vAlign w:val="center"/>
            <w:hideMark/>
          </w:tcPr>
          <w:p w14:paraId="270840BD" w14:textId="77777777" w:rsidR="002F6188" w:rsidRPr="00BB5AC9" w:rsidRDefault="002F6188" w:rsidP="00CE2FDF">
            <w:pPr>
              <w:tabs>
                <w:tab w:val="left" w:pos="1134"/>
              </w:tabs>
              <w:spacing w:before="0" w:line="276" w:lineRule="auto"/>
              <w:jc w:val="right"/>
              <w:rPr>
                <w:rFonts w:cs="Arial"/>
              </w:rPr>
            </w:pPr>
            <w:r w:rsidRPr="00BB5AC9">
              <w:rPr>
                <w:rFonts w:cs="Arial"/>
              </w:rPr>
              <w:t>29,192</w:t>
            </w:r>
          </w:p>
        </w:tc>
        <w:tc>
          <w:tcPr>
            <w:tcW w:w="1134" w:type="dxa"/>
            <w:tcBorders>
              <w:top w:val="single" w:sz="4" w:space="0" w:color="auto"/>
              <w:bottom w:val="single" w:sz="4" w:space="0" w:color="auto"/>
              <w:right w:val="single" w:sz="4" w:space="0" w:color="auto"/>
            </w:tcBorders>
            <w:shd w:val="clear" w:color="auto" w:fill="auto"/>
            <w:vAlign w:val="center"/>
          </w:tcPr>
          <w:p w14:paraId="02A85E7E" w14:textId="77777777" w:rsidR="002F6188" w:rsidRPr="00BB5AC9" w:rsidRDefault="002F6188" w:rsidP="00CE2FDF">
            <w:pPr>
              <w:tabs>
                <w:tab w:val="left" w:pos="1134"/>
              </w:tabs>
              <w:spacing w:before="0" w:line="276" w:lineRule="auto"/>
              <w:jc w:val="right"/>
              <w:rPr>
                <w:rFonts w:cs="Arial"/>
              </w:rPr>
            </w:pPr>
            <w:r w:rsidRPr="00BB5AC9">
              <w:rPr>
                <w:rFonts w:cs="Arial"/>
              </w:rPr>
              <w:t>6</w:t>
            </w:r>
            <w:r>
              <w:rPr>
                <w:rFonts w:cs="Arial"/>
              </w:rPr>
              <w:t>.4</w:t>
            </w:r>
            <w:r w:rsidRPr="00BB5AC9">
              <w:rPr>
                <w:rFonts w:cs="Arial"/>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DB45C" w14:textId="77777777" w:rsidR="002F6188" w:rsidRPr="00BB5AC9" w:rsidRDefault="002F6188" w:rsidP="00CE2FDF">
            <w:pPr>
              <w:tabs>
                <w:tab w:val="left" w:pos="1134"/>
              </w:tabs>
              <w:spacing w:before="0" w:line="276" w:lineRule="auto"/>
              <w:jc w:val="right"/>
              <w:rPr>
                <w:rFonts w:cs="Arial"/>
                <w:b/>
              </w:rPr>
            </w:pPr>
            <w:r w:rsidRPr="00BB5AC9">
              <w:rPr>
                <w:rFonts w:cs="Arial"/>
                <w:b/>
              </w:rPr>
              <w:t>263,692</w:t>
            </w:r>
          </w:p>
        </w:tc>
      </w:tr>
      <w:tr w:rsidR="00BB5AC9" w:rsidRPr="00BB5AC9" w14:paraId="071A86BF" w14:textId="77777777" w:rsidTr="00C84E96">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CFCDB2F" w14:textId="77777777" w:rsidR="00BB5AC9" w:rsidRPr="00BB5AC9" w:rsidRDefault="00BB5AC9" w:rsidP="00CE2FDF">
            <w:pPr>
              <w:tabs>
                <w:tab w:val="left" w:pos="1134"/>
              </w:tabs>
              <w:spacing w:before="0" w:line="276" w:lineRule="auto"/>
              <w:rPr>
                <w:rFonts w:cs="Arial"/>
                <w:b/>
                <w:bCs/>
                <w:color w:val="000000"/>
              </w:rPr>
            </w:pPr>
            <w:r w:rsidRPr="00BB5AC9">
              <w:rPr>
                <w:rFonts w:cs="Arial"/>
                <w:b/>
                <w:bCs/>
                <w:color w:val="000000"/>
              </w:rPr>
              <w:t>Totals:</w:t>
            </w:r>
          </w:p>
        </w:tc>
        <w:tc>
          <w:tcPr>
            <w:tcW w:w="1623"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0B71897F" w14:textId="77777777" w:rsidR="00BB5AC9" w:rsidRPr="00BB5AC9" w:rsidRDefault="00BB5AC9" w:rsidP="00CE2FDF">
            <w:pPr>
              <w:tabs>
                <w:tab w:val="left" w:pos="1134"/>
              </w:tabs>
              <w:spacing w:before="0" w:line="276" w:lineRule="auto"/>
              <w:jc w:val="right"/>
              <w:rPr>
                <w:rFonts w:cs="Arial"/>
                <w:b/>
              </w:rPr>
            </w:pPr>
            <w:r w:rsidRPr="00BB5AC9">
              <w:rPr>
                <w:rFonts w:cs="Arial"/>
                <w:b/>
              </w:rPr>
              <w:t>325,804</w:t>
            </w:r>
          </w:p>
        </w:tc>
        <w:tc>
          <w:tcPr>
            <w:tcW w:w="1015" w:type="dxa"/>
            <w:tcBorders>
              <w:top w:val="single" w:sz="4" w:space="0" w:color="auto"/>
              <w:bottom w:val="single" w:sz="4" w:space="0" w:color="auto"/>
              <w:right w:val="single" w:sz="4" w:space="0" w:color="auto"/>
            </w:tcBorders>
            <w:shd w:val="clear" w:color="auto" w:fill="B8CCE4" w:themeFill="accent1" w:themeFillTint="66"/>
            <w:vAlign w:val="center"/>
          </w:tcPr>
          <w:p w14:paraId="1DB48483" w14:textId="77777777" w:rsidR="00BB5AC9" w:rsidRPr="00BB5AC9" w:rsidRDefault="00EB374E" w:rsidP="00CE2FDF">
            <w:pPr>
              <w:tabs>
                <w:tab w:val="left" w:pos="1134"/>
              </w:tabs>
              <w:spacing w:before="0" w:line="276" w:lineRule="auto"/>
              <w:jc w:val="right"/>
              <w:rPr>
                <w:rFonts w:cs="Arial"/>
                <w:b/>
                <w:color w:val="000000"/>
              </w:rPr>
            </w:pPr>
            <w:r>
              <w:rPr>
                <w:rFonts w:cs="Arial"/>
                <w:b/>
                <w:color w:val="000000"/>
              </w:rPr>
              <w:t>71.7</w:t>
            </w:r>
            <w:r w:rsidR="00BB5AC9" w:rsidRPr="00BB5AC9">
              <w:rPr>
                <w:rFonts w:cs="Arial"/>
                <w:b/>
                <w:color w:val="000000"/>
              </w:rPr>
              <w:t>%</w:t>
            </w:r>
          </w:p>
        </w:tc>
        <w:tc>
          <w:tcPr>
            <w:tcW w:w="1536" w:type="dxa"/>
            <w:tcBorders>
              <w:top w:val="single" w:sz="4" w:space="0" w:color="auto"/>
              <w:bottom w:val="single" w:sz="4" w:space="0" w:color="auto"/>
            </w:tcBorders>
            <w:shd w:val="clear" w:color="auto" w:fill="B8CCE4" w:themeFill="accent1" w:themeFillTint="66"/>
            <w:vAlign w:val="center"/>
          </w:tcPr>
          <w:p w14:paraId="314C51FC" w14:textId="77777777" w:rsidR="00BB5AC9" w:rsidRPr="00BB5AC9" w:rsidRDefault="00BB5AC9" w:rsidP="00CE2FDF">
            <w:pPr>
              <w:tabs>
                <w:tab w:val="left" w:pos="1134"/>
              </w:tabs>
              <w:spacing w:before="0" w:line="276" w:lineRule="auto"/>
              <w:jc w:val="right"/>
              <w:rPr>
                <w:rFonts w:cs="Arial"/>
                <w:b/>
              </w:rPr>
            </w:pPr>
            <w:r w:rsidRPr="00BB5AC9">
              <w:rPr>
                <w:rFonts w:cs="Arial"/>
                <w:b/>
              </w:rPr>
              <w:t>128,316</w:t>
            </w:r>
          </w:p>
        </w:tc>
        <w:tc>
          <w:tcPr>
            <w:tcW w:w="1102" w:type="dxa"/>
            <w:tcBorders>
              <w:top w:val="single" w:sz="4" w:space="0" w:color="auto"/>
              <w:bottom w:val="single" w:sz="4" w:space="0" w:color="auto"/>
            </w:tcBorders>
            <w:shd w:val="clear" w:color="auto" w:fill="B8CCE4" w:themeFill="accent1" w:themeFillTint="66"/>
            <w:vAlign w:val="center"/>
          </w:tcPr>
          <w:p w14:paraId="57F1F375" w14:textId="77777777" w:rsidR="00BB5AC9" w:rsidRPr="00BB5AC9" w:rsidRDefault="00BB5AC9" w:rsidP="00CE2FDF">
            <w:pPr>
              <w:tabs>
                <w:tab w:val="left" w:pos="1134"/>
              </w:tabs>
              <w:spacing w:before="0" w:line="276" w:lineRule="auto"/>
              <w:jc w:val="right"/>
              <w:rPr>
                <w:rFonts w:cs="Arial"/>
                <w:b/>
                <w:color w:val="000000"/>
              </w:rPr>
            </w:pPr>
            <w:r w:rsidRPr="00BB5AC9">
              <w:rPr>
                <w:rFonts w:cs="Arial"/>
                <w:b/>
                <w:color w:val="000000"/>
              </w:rPr>
              <w:t>28</w:t>
            </w:r>
            <w:r w:rsidR="00EB374E">
              <w:rPr>
                <w:rFonts w:cs="Arial"/>
                <w:b/>
                <w:color w:val="000000"/>
              </w:rPr>
              <w:t>.3</w:t>
            </w:r>
            <w:r w:rsidRPr="00BB5AC9">
              <w:rPr>
                <w:rFonts w:cs="Arial"/>
                <w:b/>
                <w:color w:val="000000"/>
              </w:rPr>
              <w:t>%</w:t>
            </w:r>
          </w:p>
        </w:tc>
        <w:tc>
          <w:tcPr>
            <w:tcW w:w="1591"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7815B135" w14:textId="77777777" w:rsidR="00BB5AC9" w:rsidRPr="00BB5AC9" w:rsidRDefault="00BB5AC9" w:rsidP="00CE2FDF">
            <w:pPr>
              <w:tabs>
                <w:tab w:val="left" w:pos="1134"/>
              </w:tabs>
              <w:spacing w:before="0" w:line="276" w:lineRule="auto"/>
              <w:jc w:val="right"/>
              <w:rPr>
                <w:rFonts w:cs="Arial"/>
                <w:b/>
              </w:rPr>
            </w:pPr>
            <w:r w:rsidRPr="00BB5AC9">
              <w:rPr>
                <w:rFonts w:cs="Arial"/>
                <w:b/>
              </w:rPr>
              <w:t>78,068</w:t>
            </w:r>
          </w:p>
        </w:tc>
        <w:tc>
          <w:tcPr>
            <w:tcW w:w="1047" w:type="dxa"/>
            <w:tcBorders>
              <w:top w:val="single" w:sz="4" w:space="0" w:color="auto"/>
              <w:bottom w:val="single" w:sz="4" w:space="0" w:color="auto"/>
              <w:right w:val="single" w:sz="4" w:space="0" w:color="auto"/>
            </w:tcBorders>
            <w:shd w:val="clear" w:color="auto" w:fill="B8CCE4" w:themeFill="accent1" w:themeFillTint="66"/>
            <w:vAlign w:val="center"/>
          </w:tcPr>
          <w:p w14:paraId="733C390F" w14:textId="77777777" w:rsidR="00BB5AC9" w:rsidRPr="00BB5AC9" w:rsidRDefault="00BB5AC9" w:rsidP="00CE2FDF">
            <w:pPr>
              <w:tabs>
                <w:tab w:val="left" w:pos="1134"/>
              </w:tabs>
              <w:spacing w:before="0" w:line="276" w:lineRule="auto"/>
              <w:jc w:val="right"/>
              <w:rPr>
                <w:rFonts w:cs="Arial"/>
                <w:b/>
                <w:color w:val="000000"/>
              </w:rPr>
            </w:pPr>
            <w:r w:rsidRPr="00BB5AC9">
              <w:rPr>
                <w:rFonts w:cs="Arial"/>
                <w:b/>
                <w:color w:val="000000"/>
              </w:rPr>
              <w:t>17</w:t>
            </w:r>
            <w:r w:rsidR="00EB374E">
              <w:rPr>
                <w:rFonts w:cs="Arial"/>
                <w:b/>
                <w:color w:val="000000"/>
              </w:rPr>
              <w:t>.2</w:t>
            </w:r>
            <w:r w:rsidRPr="00BB5AC9">
              <w:rPr>
                <w:rFonts w:cs="Arial"/>
                <w:b/>
                <w:color w:val="000000"/>
              </w:rPr>
              <w:t>%</w:t>
            </w:r>
          </w:p>
        </w:tc>
        <w:tc>
          <w:tcPr>
            <w:tcW w:w="1505"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6865E98F" w14:textId="77777777" w:rsidR="00BB5AC9" w:rsidRPr="00BB5AC9" w:rsidRDefault="00BB5AC9" w:rsidP="00CE2FDF">
            <w:pPr>
              <w:tabs>
                <w:tab w:val="left" w:pos="1134"/>
              </w:tabs>
              <w:spacing w:before="0" w:line="276" w:lineRule="auto"/>
              <w:jc w:val="right"/>
              <w:rPr>
                <w:rFonts w:cs="Arial"/>
                <w:b/>
              </w:rPr>
            </w:pPr>
            <w:r w:rsidRPr="00BB5AC9">
              <w:rPr>
                <w:rFonts w:cs="Arial"/>
                <w:b/>
              </w:rPr>
              <w:t>50,248</w:t>
            </w:r>
          </w:p>
        </w:tc>
        <w:tc>
          <w:tcPr>
            <w:tcW w:w="1134" w:type="dxa"/>
            <w:tcBorders>
              <w:top w:val="single" w:sz="4" w:space="0" w:color="auto"/>
              <w:bottom w:val="single" w:sz="4" w:space="0" w:color="auto"/>
              <w:right w:val="single" w:sz="4" w:space="0" w:color="auto"/>
            </w:tcBorders>
            <w:shd w:val="clear" w:color="auto" w:fill="B8CCE4" w:themeFill="accent1" w:themeFillTint="66"/>
            <w:vAlign w:val="center"/>
          </w:tcPr>
          <w:p w14:paraId="28BE0F8F" w14:textId="77777777" w:rsidR="00BB5AC9" w:rsidRPr="00BB5AC9" w:rsidRDefault="00BB5AC9" w:rsidP="00CE2FDF">
            <w:pPr>
              <w:tabs>
                <w:tab w:val="left" w:pos="1134"/>
              </w:tabs>
              <w:spacing w:before="0" w:line="276" w:lineRule="auto"/>
              <w:jc w:val="right"/>
              <w:rPr>
                <w:rFonts w:cs="Arial"/>
                <w:b/>
              </w:rPr>
            </w:pPr>
            <w:r w:rsidRPr="00BB5AC9">
              <w:rPr>
                <w:rFonts w:cs="Arial"/>
                <w:b/>
              </w:rPr>
              <w:t>11</w:t>
            </w:r>
            <w:r w:rsidR="00EB374E">
              <w:rPr>
                <w:rFonts w:cs="Arial"/>
                <w:b/>
              </w:rPr>
              <w:t>.1</w:t>
            </w:r>
            <w:r w:rsidRPr="00BB5AC9">
              <w:rPr>
                <w:rFonts w:cs="Arial"/>
                <w:b/>
              </w:rPr>
              <w:t>%</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E67970D" w14:textId="77777777" w:rsidR="00BB5AC9" w:rsidRPr="00BB5AC9" w:rsidRDefault="00BB5AC9" w:rsidP="00CE2FDF">
            <w:pPr>
              <w:tabs>
                <w:tab w:val="left" w:pos="1134"/>
              </w:tabs>
              <w:spacing w:before="0" w:line="276" w:lineRule="auto"/>
              <w:jc w:val="right"/>
              <w:rPr>
                <w:rFonts w:cs="Arial"/>
                <w:b/>
              </w:rPr>
            </w:pPr>
            <w:r w:rsidRPr="00BB5AC9">
              <w:rPr>
                <w:rFonts w:cs="Arial"/>
                <w:b/>
              </w:rPr>
              <w:t>454,120</w:t>
            </w:r>
          </w:p>
        </w:tc>
      </w:tr>
    </w:tbl>
    <w:p w14:paraId="1FB009A2" w14:textId="77777777" w:rsidR="00BA154E" w:rsidRDefault="00BA154E" w:rsidP="00B15586">
      <w:pPr>
        <w:spacing w:after="200" w:line="276" w:lineRule="auto"/>
        <w:rPr>
          <w:rFonts w:eastAsiaTheme="majorEastAsia" w:cstheme="majorBidi"/>
          <w:b/>
          <w:bCs/>
          <w:iCs/>
          <w:color w:val="17365D" w:themeColor="text2" w:themeShade="BF"/>
          <w:spacing w:val="5"/>
          <w:kern w:val="28"/>
          <w:sz w:val="28"/>
          <w:szCs w:val="26"/>
        </w:rPr>
      </w:pPr>
      <w:r>
        <w:br w:type="page"/>
      </w:r>
    </w:p>
    <w:p w14:paraId="3F6E40D4" w14:textId="7A759623" w:rsidR="006C6B06" w:rsidRDefault="00863988" w:rsidP="00863988">
      <w:pPr>
        <w:pStyle w:val="Figureheading"/>
      </w:pPr>
      <w:r>
        <w:lastRenderedPageBreak/>
        <w:t>1.13</w:t>
      </w:r>
      <w:r>
        <w:tab/>
      </w:r>
      <w:r w:rsidR="006C6B06" w:rsidRPr="00191D69">
        <w:t xml:space="preserve">Number of reports by reporter group, by abuse type, as a percentage of all reports (all reports over </w:t>
      </w:r>
      <w:r w:rsidR="006C6B06">
        <w:t>decade</w:t>
      </w:r>
      <w:r w:rsidR="006C6B06" w:rsidRPr="00191D69">
        <w:t xml:space="preserve"> combined)</w:t>
      </w:r>
    </w:p>
    <w:tbl>
      <w:tblPr>
        <w:tblW w:w="14142" w:type="dxa"/>
        <w:tblLayout w:type="fixed"/>
        <w:tblLook w:val="04A0" w:firstRow="1" w:lastRow="0" w:firstColumn="1" w:lastColumn="0" w:noHBand="0" w:noVBand="1"/>
      </w:tblPr>
      <w:tblGrid>
        <w:gridCol w:w="2088"/>
        <w:gridCol w:w="1617"/>
        <w:gridCol w:w="1329"/>
        <w:gridCol w:w="1329"/>
        <w:gridCol w:w="1329"/>
        <w:gridCol w:w="1329"/>
        <w:gridCol w:w="1329"/>
        <w:gridCol w:w="1329"/>
        <w:gridCol w:w="1329"/>
        <w:gridCol w:w="1134"/>
      </w:tblGrid>
      <w:tr w:rsidR="00BB5AC9" w:rsidRPr="00BB5AC9" w14:paraId="36E51094" w14:textId="77777777" w:rsidTr="00407ACB">
        <w:trPr>
          <w:trHeight w:val="494"/>
        </w:trPr>
        <w:tc>
          <w:tcPr>
            <w:tcW w:w="208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3B9C89B" w14:textId="77777777" w:rsidR="00BB5AC9" w:rsidRPr="00BB5AC9" w:rsidRDefault="00BB5AC9" w:rsidP="00CE2FDF">
            <w:pPr>
              <w:keepNext/>
              <w:spacing w:before="0" w:line="240" w:lineRule="auto"/>
              <w:rPr>
                <w:b/>
              </w:rPr>
            </w:pPr>
          </w:p>
        </w:tc>
        <w:tc>
          <w:tcPr>
            <w:tcW w:w="1617" w:type="dxa"/>
            <w:tcBorders>
              <w:top w:val="single" w:sz="4" w:space="0" w:color="auto"/>
              <w:left w:val="single" w:sz="4" w:space="0" w:color="auto"/>
              <w:bottom w:val="single" w:sz="4" w:space="0" w:color="auto"/>
            </w:tcBorders>
            <w:shd w:val="clear" w:color="auto" w:fill="95B3D7" w:themeFill="accent1" w:themeFillTint="99"/>
            <w:vAlign w:val="center"/>
            <w:hideMark/>
          </w:tcPr>
          <w:p w14:paraId="09518FA5" w14:textId="77777777" w:rsidR="00BB5AC9" w:rsidRPr="00BB5AC9" w:rsidRDefault="00BB5AC9" w:rsidP="00CE2FDF">
            <w:pPr>
              <w:keepNext/>
              <w:spacing w:before="0" w:line="240" w:lineRule="auto"/>
              <w:jc w:val="right"/>
              <w:rPr>
                <w:b/>
              </w:rPr>
            </w:pPr>
            <w:r w:rsidRPr="00BB5AC9">
              <w:rPr>
                <w:b/>
              </w:rPr>
              <w:t>Emotional abuse</w:t>
            </w:r>
          </w:p>
        </w:tc>
        <w:tc>
          <w:tcPr>
            <w:tcW w:w="1329" w:type="dxa"/>
            <w:tcBorders>
              <w:top w:val="single" w:sz="4" w:space="0" w:color="auto"/>
              <w:bottom w:val="single" w:sz="4" w:space="0" w:color="auto"/>
              <w:right w:val="single" w:sz="4" w:space="0" w:color="auto"/>
            </w:tcBorders>
            <w:shd w:val="clear" w:color="auto" w:fill="95B3D7" w:themeFill="accent1" w:themeFillTint="99"/>
            <w:vAlign w:val="center"/>
          </w:tcPr>
          <w:p w14:paraId="19005C4C" w14:textId="77777777" w:rsidR="00BB5AC9" w:rsidRPr="00BB5AC9" w:rsidRDefault="00BB5AC9" w:rsidP="00CE2FDF">
            <w:pPr>
              <w:keepNext/>
              <w:spacing w:before="0" w:line="240" w:lineRule="auto"/>
              <w:jc w:val="right"/>
              <w:rPr>
                <w:b/>
              </w:rPr>
            </w:pPr>
            <w:r w:rsidRPr="00BB5AC9">
              <w:rPr>
                <w:b/>
              </w:rPr>
              <w:t>%</w:t>
            </w:r>
          </w:p>
        </w:tc>
        <w:tc>
          <w:tcPr>
            <w:tcW w:w="1329" w:type="dxa"/>
            <w:tcBorders>
              <w:top w:val="single" w:sz="4" w:space="0" w:color="auto"/>
              <w:left w:val="single" w:sz="4" w:space="0" w:color="auto"/>
              <w:bottom w:val="single" w:sz="4" w:space="0" w:color="auto"/>
            </w:tcBorders>
            <w:shd w:val="clear" w:color="auto" w:fill="95B3D7" w:themeFill="accent1" w:themeFillTint="99"/>
            <w:vAlign w:val="center"/>
            <w:hideMark/>
          </w:tcPr>
          <w:p w14:paraId="3DE1A1A8" w14:textId="77777777" w:rsidR="00BB5AC9" w:rsidRPr="00BB5AC9" w:rsidRDefault="00BB5AC9" w:rsidP="00CE2FDF">
            <w:pPr>
              <w:keepNext/>
              <w:spacing w:before="0" w:line="240" w:lineRule="auto"/>
              <w:jc w:val="right"/>
              <w:rPr>
                <w:b/>
              </w:rPr>
            </w:pPr>
            <w:r w:rsidRPr="00BB5AC9">
              <w:rPr>
                <w:b/>
              </w:rPr>
              <w:t>Neglect</w:t>
            </w:r>
          </w:p>
        </w:tc>
        <w:tc>
          <w:tcPr>
            <w:tcW w:w="1329" w:type="dxa"/>
            <w:tcBorders>
              <w:top w:val="single" w:sz="4" w:space="0" w:color="auto"/>
              <w:bottom w:val="single" w:sz="4" w:space="0" w:color="auto"/>
              <w:right w:val="single" w:sz="4" w:space="0" w:color="auto"/>
            </w:tcBorders>
            <w:shd w:val="clear" w:color="auto" w:fill="95B3D7" w:themeFill="accent1" w:themeFillTint="99"/>
            <w:vAlign w:val="center"/>
          </w:tcPr>
          <w:p w14:paraId="14037FE7" w14:textId="77777777" w:rsidR="00BB5AC9" w:rsidRPr="00BB5AC9" w:rsidRDefault="00BB5AC9" w:rsidP="00CE2FDF">
            <w:pPr>
              <w:keepNext/>
              <w:spacing w:before="0" w:line="240" w:lineRule="auto"/>
              <w:jc w:val="right"/>
              <w:rPr>
                <w:b/>
              </w:rPr>
            </w:pPr>
            <w:r w:rsidRPr="00BB5AC9">
              <w:rPr>
                <w:b/>
              </w:rPr>
              <w:t>%</w:t>
            </w:r>
          </w:p>
        </w:tc>
        <w:tc>
          <w:tcPr>
            <w:tcW w:w="1329" w:type="dxa"/>
            <w:tcBorders>
              <w:top w:val="single" w:sz="4" w:space="0" w:color="auto"/>
              <w:left w:val="single" w:sz="4" w:space="0" w:color="auto"/>
              <w:bottom w:val="single" w:sz="4" w:space="0" w:color="auto"/>
            </w:tcBorders>
            <w:shd w:val="clear" w:color="auto" w:fill="95B3D7" w:themeFill="accent1" w:themeFillTint="99"/>
            <w:vAlign w:val="center"/>
            <w:hideMark/>
          </w:tcPr>
          <w:p w14:paraId="654E7A89" w14:textId="77777777" w:rsidR="00BB5AC9" w:rsidRPr="00BB5AC9" w:rsidRDefault="00BB5AC9" w:rsidP="00CE2FDF">
            <w:pPr>
              <w:keepNext/>
              <w:spacing w:before="0" w:line="240" w:lineRule="auto"/>
              <w:jc w:val="right"/>
              <w:rPr>
                <w:b/>
              </w:rPr>
            </w:pPr>
            <w:r w:rsidRPr="00BB5AC9">
              <w:rPr>
                <w:b/>
              </w:rPr>
              <w:t>Physical abuse</w:t>
            </w:r>
          </w:p>
        </w:tc>
        <w:tc>
          <w:tcPr>
            <w:tcW w:w="1329" w:type="dxa"/>
            <w:tcBorders>
              <w:top w:val="single" w:sz="4" w:space="0" w:color="auto"/>
              <w:bottom w:val="single" w:sz="4" w:space="0" w:color="auto"/>
              <w:right w:val="single" w:sz="4" w:space="0" w:color="auto"/>
            </w:tcBorders>
            <w:shd w:val="clear" w:color="auto" w:fill="95B3D7" w:themeFill="accent1" w:themeFillTint="99"/>
            <w:vAlign w:val="center"/>
          </w:tcPr>
          <w:p w14:paraId="0EBFCDC3" w14:textId="77777777" w:rsidR="00BB5AC9" w:rsidRPr="00BB5AC9" w:rsidRDefault="00BB5AC9" w:rsidP="00CE2FDF">
            <w:pPr>
              <w:keepNext/>
              <w:spacing w:before="0" w:line="240" w:lineRule="auto"/>
              <w:jc w:val="right"/>
              <w:rPr>
                <w:b/>
              </w:rPr>
            </w:pPr>
            <w:r w:rsidRPr="00BB5AC9">
              <w:rPr>
                <w:b/>
              </w:rPr>
              <w:t>%</w:t>
            </w:r>
          </w:p>
        </w:tc>
        <w:tc>
          <w:tcPr>
            <w:tcW w:w="1329" w:type="dxa"/>
            <w:tcBorders>
              <w:top w:val="single" w:sz="4" w:space="0" w:color="auto"/>
              <w:left w:val="single" w:sz="4" w:space="0" w:color="auto"/>
              <w:bottom w:val="single" w:sz="4" w:space="0" w:color="auto"/>
            </w:tcBorders>
            <w:shd w:val="clear" w:color="auto" w:fill="95B3D7" w:themeFill="accent1" w:themeFillTint="99"/>
            <w:vAlign w:val="center"/>
            <w:hideMark/>
          </w:tcPr>
          <w:p w14:paraId="6F456C35" w14:textId="77777777" w:rsidR="00BB5AC9" w:rsidRPr="00BB5AC9" w:rsidRDefault="00BB5AC9" w:rsidP="00CE2FDF">
            <w:pPr>
              <w:keepNext/>
              <w:spacing w:before="0" w:line="240" w:lineRule="auto"/>
              <w:jc w:val="right"/>
              <w:rPr>
                <w:b/>
              </w:rPr>
            </w:pPr>
            <w:r w:rsidRPr="00BB5AC9">
              <w:rPr>
                <w:b/>
              </w:rPr>
              <w:t>Sexual abuse</w:t>
            </w:r>
          </w:p>
        </w:tc>
        <w:tc>
          <w:tcPr>
            <w:tcW w:w="1329" w:type="dxa"/>
            <w:tcBorders>
              <w:top w:val="single" w:sz="4" w:space="0" w:color="auto"/>
              <w:bottom w:val="single" w:sz="4" w:space="0" w:color="auto"/>
              <w:right w:val="single" w:sz="4" w:space="0" w:color="auto"/>
            </w:tcBorders>
            <w:shd w:val="clear" w:color="auto" w:fill="95B3D7" w:themeFill="accent1" w:themeFillTint="99"/>
            <w:vAlign w:val="center"/>
          </w:tcPr>
          <w:p w14:paraId="55551A33" w14:textId="77777777" w:rsidR="00BB5AC9" w:rsidRPr="00BB5AC9" w:rsidRDefault="00BB5AC9" w:rsidP="00CE2FDF">
            <w:pPr>
              <w:keepNext/>
              <w:spacing w:before="0" w:line="240" w:lineRule="auto"/>
              <w:jc w:val="right"/>
              <w:rPr>
                <w:b/>
              </w:rPr>
            </w:pPr>
            <w:r w:rsidRPr="00BB5AC9">
              <w:rPr>
                <w:b/>
              </w:rPr>
              <w:t>%</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CDAF490" w14:textId="77777777" w:rsidR="00BB5AC9" w:rsidRPr="00BB5AC9" w:rsidRDefault="00BB5AC9" w:rsidP="00CE2FDF">
            <w:pPr>
              <w:keepNext/>
              <w:spacing w:before="0" w:line="240" w:lineRule="auto"/>
              <w:jc w:val="right"/>
              <w:rPr>
                <w:b/>
              </w:rPr>
            </w:pPr>
            <w:r w:rsidRPr="00BB5AC9">
              <w:rPr>
                <w:b/>
              </w:rPr>
              <w:t>Totals:</w:t>
            </w:r>
          </w:p>
        </w:tc>
      </w:tr>
      <w:tr w:rsidR="00EB374E" w:rsidRPr="00BB5AC9" w14:paraId="28BDFC54" w14:textId="77777777" w:rsidTr="00407ACB">
        <w:trPr>
          <w:trHeight w:val="276"/>
        </w:trPr>
        <w:tc>
          <w:tcPr>
            <w:tcW w:w="2088" w:type="dxa"/>
            <w:tcBorders>
              <w:top w:val="single" w:sz="4" w:space="0" w:color="auto"/>
              <w:left w:val="single" w:sz="4" w:space="0" w:color="auto"/>
              <w:right w:val="single" w:sz="4" w:space="0" w:color="auto"/>
            </w:tcBorders>
            <w:noWrap/>
            <w:vAlign w:val="bottom"/>
            <w:hideMark/>
          </w:tcPr>
          <w:p w14:paraId="0CB9D68F" w14:textId="77777777" w:rsidR="00EB374E" w:rsidRPr="00BB5AC9" w:rsidRDefault="00EB374E" w:rsidP="00CE2FDF">
            <w:pPr>
              <w:spacing w:before="0" w:line="240" w:lineRule="auto"/>
              <w:rPr>
                <w:rFonts w:cs="Arial"/>
                <w:b/>
                <w:color w:val="000000"/>
              </w:rPr>
            </w:pPr>
            <w:r w:rsidRPr="00BB5AC9">
              <w:rPr>
                <w:rFonts w:cs="Arial"/>
                <w:b/>
                <w:color w:val="000000"/>
              </w:rPr>
              <w:t>Doctors</w:t>
            </w:r>
          </w:p>
        </w:tc>
        <w:tc>
          <w:tcPr>
            <w:tcW w:w="1617" w:type="dxa"/>
            <w:tcBorders>
              <w:top w:val="single" w:sz="4" w:space="0" w:color="auto"/>
              <w:left w:val="single" w:sz="4" w:space="0" w:color="auto"/>
            </w:tcBorders>
            <w:noWrap/>
            <w:vAlign w:val="center"/>
            <w:hideMark/>
          </w:tcPr>
          <w:p w14:paraId="5068E8CA" w14:textId="77777777" w:rsidR="00EB374E" w:rsidRPr="00BB5AC9" w:rsidRDefault="00EB374E" w:rsidP="00CE2FDF">
            <w:pPr>
              <w:spacing w:before="0" w:line="240" w:lineRule="auto"/>
              <w:jc w:val="right"/>
              <w:rPr>
                <w:rFonts w:cs="Arial"/>
                <w:bCs/>
                <w:color w:val="000000"/>
              </w:rPr>
            </w:pPr>
            <w:r w:rsidRPr="00BB5AC9">
              <w:rPr>
                <w:rFonts w:cs="Arial"/>
                <w:bCs/>
                <w:color w:val="000000"/>
              </w:rPr>
              <w:t>2</w:t>
            </w:r>
            <w:r>
              <w:rPr>
                <w:rFonts w:cs="Arial"/>
                <w:bCs/>
                <w:color w:val="000000"/>
              </w:rPr>
              <w:t>,</w:t>
            </w:r>
            <w:r w:rsidRPr="00BB5AC9">
              <w:rPr>
                <w:rFonts w:cs="Arial"/>
                <w:bCs/>
                <w:color w:val="000000"/>
              </w:rPr>
              <w:t>653</w:t>
            </w:r>
          </w:p>
        </w:tc>
        <w:tc>
          <w:tcPr>
            <w:tcW w:w="1329" w:type="dxa"/>
            <w:tcBorders>
              <w:top w:val="single" w:sz="4" w:space="0" w:color="auto"/>
              <w:right w:val="single" w:sz="4" w:space="0" w:color="auto"/>
            </w:tcBorders>
            <w:vAlign w:val="center"/>
          </w:tcPr>
          <w:p w14:paraId="63B77A1A" w14:textId="77777777" w:rsidR="00EB374E" w:rsidRPr="00BB5AC9" w:rsidRDefault="00EB374E" w:rsidP="00CE2FDF">
            <w:pPr>
              <w:spacing w:before="0" w:line="240" w:lineRule="auto"/>
              <w:jc w:val="right"/>
              <w:rPr>
                <w:rFonts w:cs="Arial"/>
                <w:bCs/>
                <w:color w:val="000000"/>
              </w:rPr>
            </w:pPr>
            <w:r>
              <w:rPr>
                <w:rFonts w:cs="Arial"/>
                <w:bCs/>
                <w:color w:val="000000"/>
              </w:rPr>
              <w:t>0.6%</w:t>
            </w:r>
          </w:p>
        </w:tc>
        <w:tc>
          <w:tcPr>
            <w:tcW w:w="1329" w:type="dxa"/>
            <w:tcBorders>
              <w:top w:val="single" w:sz="4" w:space="0" w:color="auto"/>
              <w:left w:val="single" w:sz="4" w:space="0" w:color="auto"/>
            </w:tcBorders>
            <w:noWrap/>
            <w:vAlign w:val="center"/>
            <w:hideMark/>
          </w:tcPr>
          <w:p w14:paraId="10D426CB" w14:textId="77777777" w:rsidR="00EB374E" w:rsidRPr="00BB5AC9" w:rsidRDefault="00EB374E" w:rsidP="00CE2FDF">
            <w:pPr>
              <w:spacing w:before="0" w:line="240" w:lineRule="auto"/>
              <w:jc w:val="right"/>
              <w:rPr>
                <w:rFonts w:cs="Arial"/>
                <w:bCs/>
                <w:color w:val="000000"/>
              </w:rPr>
            </w:pPr>
            <w:r w:rsidRPr="00BB5AC9">
              <w:rPr>
                <w:rFonts w:cs="Arial"/>
                <w:bCs/>
                <w:color w:val="000000"/>
              </w:rPr>
              <w:t>1</w:t>
            </w:r>
            <w:r>
              <w:rPr>
                <w:rFonts w:cs="Arial"/>
                <w:bCs/>
                <w:color w:val="000000"/>
              </w:rPr>
              <w:t>,</w:t>
            </w:r>
            <w:r w:rsidRPr="00BB5AC9">
              <w:rPr>
                <w:rFonts w:cs="Arial"/>
                <w:bCs/>
                <w:color w:val="000000"/>
              </w:rPr>
              <w:t>879</w:t>
            </w:r>
          </w:p>
        </w:tc>
        <w:tc>
          <w:tcPr>
            <w:tcW w:w="1329" w:type="dxa"/>
            <w:tcBorders>
              <w:top w:val="single" w:sz="4" w:space="0" w:color="auto"/>
              <w:right w:val="single" w:sz="4" w:space="0" w:color="auto"/>
            </w:tcBorders>
            <w:vAlign w:val="center"/>
          </w:tcPr>
          <w:p w14:paraId="35E0EA13" w14:textId="77777777" w:rsidR="00EB374E" w:rsidRPr="00BB5AC9" w:rsidRDefault="00EB374E" w:rsidP="00CE2FDF">
            <w:pPr>
              <w:spacing w:before="0" w:line="240" w:lineRule="auto"/>
              <w:jc w:val="right"/>
              <w:rPr>
                <w:rFonts w:cs="Arial"/>
                <w:bCs/>
                <w:color w:val="000000"/>
              </w:rPr>
            </w:pPr>
            <w:r>
              <w:rPr>
                <w:rFonts w:cs="Arial"/>
                <w:bCs/>
                <w:color w:val="000000"/>
              </w:rPr>
              <w:t>0.4%</w:t>
            </w:r>
          </w:p>
        </w:tc>
        <w:tc>
          <w:tcPr>
            <w:tcW w:w="1329" w:type="dxa"/>
            <w:tcBorders>
              <w:top w:val="single" w:sz="4" w:space="0" w:color="auto"/>
              <w:left w:val="single" w:sz="4" w:space="0" w:color="auto"/>
            </w:tcBorders>
            <w:noWrap/>
            <w:vAlign w:val="center"/>
            <w:hideMark/>
          </w:tcPr>
          <w:p w14:paraId="1080BAD0" w14:textId="77777777" w:rsidR="00EB374E" w:rsidRPr="00BB5AC9" w:rsidRDefault="00EB374E" w:rsidP="00CE2FDF">
            <w:pPr>
              <w:spacing w:before="0" w:line="240" w:lineRule="auto"/>
              <w:jc w:val="right"/>
              <w:rPr>
                <w:rFonts w:cs="Arial"/>
                <w:bCs/>
                <w:color w:val="000000"/>
              </w:rPr>
            </w:pPr>
            <w:r w:rsidRPr="00BB5AC9">
              <w:rPr>
                <w:rFonts w:cs="Arial"/>
                <w:bCs/>
                <w:color w:val="000000"/>
              </w:rPr>
              <w:t>3</w:t>
            </w:r>
            <w:r>
              <w:rPr>
                <w:rFonts w:cs="Arial"/>
                <w:bCs/>
                <w:color w:val="000000"/>
              </w:rPr>
              <w:t>,</w:t>
            </w:r>
            <w:r w:rsidRPr="00BB5AC9">
              <w:rPr>
                <w:rFonts w:cs="Arial"/>
                <w:bCs/>
                <w:color w:val="000000"/>
              </w:rPr>
              <w:t>642</w:t>
            </w:r>
          </w:p>
        </w:tc>
        <w:tc>
          <w:tcPr>
            <w:tcW w:w="1329" w:type="dxa"/>
            <w:tcBorders>
              <w:top w:val="single" w:sz="4" w:space="0" w:color="auto"/>
              <w:right w:val="single" w:sz="4" w:space="0" w:color="auto"/>
            </w:tcBorders>
            <w:vAlign w:val="center"/>
          </w:tcPr>
          <w:p w14:paraId="358B8439" w14:textId="77777777" w:rsidR="00EB374E" w:rsidRPr="00BB5AC9" w:rsidRDefault="00547FC5" w:rsidP="00CE2FDF">
            <w:pPr>
              <w:spacing w:before="0" w:line="240" w:lineRule="auto"/>
              <w:jc w:val="right"/>
              <w:rPr>
                <w:rFonts w:cs="Arial"/>
                <w:bCs/>
                <w:color w:val="000000"/>
              </w:rPr>
            </w:pPr>
            <w:r>
              <w:rPr>
                <w:rFonts w:cs="Arial"/>
                <w:bCs/>
                <w:color w:val="000000"/>
              </w:rPr>
              <w:t>0.8</w:t>
            </w:r>
            <w:r w:rsidR="00EB374E">
              <w:rPr>
                <w:rFonts w:cs="Arial"/>
                <w:bCs/>
                <w:color w:val="000000"/>
              </w:rPr>
              <w:t>%</w:t>
            </w:r>
          </w:p>
        </w:tc>
        <w:tc>
          <w:tcPr>
            <w:tcW w:w="1329" w:type="dxa"/>
            <w:tcBorders>
              <w:top w:val="single" w:sz="4" w:space="0" w:color="auto"/>
              <w:left w:val="single" w:sz="4" w:space="0" w:color="auto"/>
            </w:tcBorders>
            <w:noWrap/>
            <w:vAlign w:val="center"/>
            <w:hideMark/>
          </w:tcPr>
          <w:p w14:paraId="445C3D33" w14:textId="77777777" w:rsidR="00EB374E" w:rsidRPr="00BB5AC9" w:rsidRDefault="00EB374E" w:rsidP="00CE2FDF">
            <w:pPr>
              <w:spacing w:before="0" w:line="240" w:lineRule="auto"/>
              <w:jc w:val="right"/>
              <w:rPr>
                <w:rFonts w:cs="Arial"/>
                <w:bCs/>
                <w:color w:val="000000"/>
              </w:rPr>
            </w:pPr>
            <w:r w:rsidRPr="00BB5AC9">
              <w:rPr>
                <w:rFonts w:cs="Arial"/>
                <w:bCs/>
                <w:color w:val="000000"/>
              </w:rPr>
              <w:t>1</w:t>
            </w:r>
            <w:r>
              <w:rPr>
                <w:rFonts w:cs="Arial"/>
                <w:bCs/>
                <w:color w:val="000000"/>
              </w:rPr>
              <w:t>,</w:t>
            </w:r>
            <w:r w:rsidRPr="00BB5AC9">
              <w:rPr>
                <w:rFonts w:cs="Arial"/>
                <w:bCs/>
                <w:color w:val="000000"/>
              </w:rPr>
              <w:t>928</w:t>
            </w:r>
          </w:p>
        </w:tc>
        <w:tc>
          <w:tcPr>
            <w:tcW w:w="1329" w:type="dxa"/>
            <w:tcBorders>
              <w:top w:val="single" w:sz="4" w:space="0" w:color="auto"/>
              <w:right w:val="single" w:sz="4" w:space="0" w:color="auto"/>
            </w:tcBorders>
            <w:vAlign w:val="center"/>
          </w:tcPr>
          <w:p w14:paraId="21A493BD" w14:textId="77777777" w:rsidR="00EB374E" w:rsidRPr="00BB5AC9" w:rsidRDefault="00547FC5" w:rsidP="00CE2FDF">
            <w:pPr>
              <w:spacing w:before="0" w:line="240" w:lineRule="auto"/>
              <w:jc w:val="right"/>
              <w:rPr>
                <w:rFonts w:cs="Arial"/>
                <w:bCs/>
                <w:color w:val="000000"/>
              </w:rPr>
            </w:pPr>
            <w:r>
              <w:rPr>
                <w:rFonts w:cs="Arial"/>
                <w:bCs/>
                <w:color w:val="000000"/>
              </w:rPr>
              <w:t>0.4</w:t>
            </w:r>
            <w:r w:rsidR="00EB374E">
              <w:rPr>
                <w:rFonts w:cs="Arial"/>
                <w:bCs/>
                <w:color w:val="000000"/>
              </w:rPr>
              <w:t>%</w:t>
            </w:r>
          </w:p>
        </w:tc>
        <w:tc>
          <w:tcPr>
            <w:tcW w:w="1134" w:type="dxa"/>
            <w:tcBorders>
              <w:top w:val="single" w:sz="4" w:space="0" w:color="auto"/>
              <w:left w:val="single" w:sz="4" w:space="0" w:color="auto"/>
              <w:right w:val="single" w:sz="4" w:space="0" w:color="auto"/>
            </w:tcBorders>
            <w:noWrap/>
            <w:vAlign w:val="center"/>
            <w:hideMark/>
          </w:tcPr>
          <w:p w14:paraId="41C474B4" w14:textId="77777777" w:rsidR="00EB374E" w:rsidRPr="00BB5AC9" w:rsidRDefault="00EB374E" w:rsidP="00CE2FDF">
            <w:pPr>
              <w:spacing w:before="0" w:line="240" w:lineRule="auto"/>
              <w:jc w:val="right"/>
              <w:rPr>
                <w:rFonts w:cs="Arial"/>
                <w:b/>
                <w:bCs/>
                <w:color w:val="000000"/>
              </w:rPr>
            </w:pPr>
            <w:r w:rsidRPr="00BB5AC9">
              <w:rPr>
                <w:rFonts w:cs="Arial"/>
                <w:b/>
                <w:bCs/>
                <w:color w:val="000000"/>
              </w:rPr>
              <w:t>10</w:t>
            </w:r>
            <w:r>
              <w:rPr>
                <w:rFonts w:cs="Arial"/>
                <w:b/>
                <w:bCs/>
                <w:color w:val="000000"/>
              </w:rPr>
              <w:t>,</w:t>
            </w:r>
            <w:r w:rsidRPr="00BB5AC9">
              <w:rPr>
                <w:rFonts w:cs="Arial"/>
                <w:b/>
                <w:bCs/>
                <w:color w:val="000000"/>
              </w:rPr>
              <w:t>102</w:t>
            </w:r>
          </w:p>
        </w:tc>
      </w:tr>
      <w:tr w:rsidR="00EB374E" w:rsidRPr="00BB5AC9" w14:paraId="2BCA999C" w14:textId="77777777" w:rsidTr="00407ACB">
        <w:trPr>
          <w:trHeight w:val="276"/>
        </w:trPr>
        <w:tc>
          <w:tcPr>
            <w:tcW w:w="2088"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1B85DB50" w14:textId="77777777" w:rsidR="00EB374E" w:rsidRPr="00BB5AC9" w:rsidRDefault="00EB374E" w:rsidP="00CE2FDF">
            <w:pPr>
              <w:spacing w:before="0" w:line="240" w:lineRule="auto"/>
              <w:rPr>
                <w:rFonts w:cs="Arial"/>
                <w:b/>
                <w:color w:val="000000"/>
              </w:rPr>
            </w:pPr>
            <w:r w:rsidRPr="00BB5AC9">
              <w:rPr>
                <w:rFonts w:cs="Arial"/>
                <w:b/>
                <w:color w:val="000000"/>
              </w:rPr>
              <w:t>Nurses</w:t>
            </w:r>
          </w:p>
        </w:tc>
        <w:tc>
          <w:tcPr>
            <w:tcW w:w="1617" w:type="dxa"/>
            <w:tcBorders>
              <w:top w:val="single" w:sz="4" w:space="0" w:color="auto"/>
              <w:left w:val="single" w:sz="4" w:space="0" w:color="auto"/>
            </w:tcBorders>
            <w:shd w:val="clear" w:color="auto" w:fill="DBE5F1" w:themeFill="accent1" w:themeFillTint="33"/>
            <w:noWrap/>
            <w:vAlign w:val="center"/>
            <w:hideMark/>
          </w:tcPr>
          <w:p w14:paraId="793B59C3" w14:textId="77777777" w:rsidR="00EB374E" w:rsidRPr="00BB5AC9" w:rsidRDefault="00EB374E" w:rsidP="00CE2FDF">
            <w:pPr>
              <w:spacing w:before="0" w:line="240" w:lineRule="auto"/>
              <w:jc w:val="right"/>
              <w:rPr>
                <w:rFonts w:cs="Arial"/>
                <w:bCs/>
                <w:color w:val="000000"/>
              </w:rPr>
            </w:pPr>
            <w:r w:rsidRPr="00BB5AC9">
              <w:rPr>
                <w:rFonts w:cs="Arial"/>
                <w:bCs/>
                <w:color w:val="000000"/>
              </w:rPr>
              <w:t>6</w:t>
            </w:r>
            <w:r>
              <w:rPr>
                <w:rFonts w:cs="Arial"/>
                <w:bCs/>
                <w:color w:val="000000"/>
              </w:rPr>
              <w:t>,</w:t>
            </w:r>
            <w:r w:rsidRPr="00BB5AC9">
              <w:rPr>
                <w:rFonts w:cs="Arial"/>
                <w:bCs/>
                <w:color w:val="000000"/>
              </w:rPr>
              <w:t>822</w:t>
            </w:r>
          </w:p>
        </w:tc>
        <w:tc>
          <w:tcPr>
            <w:tcW w:w="1329" w:type="dxa"/>
            <w:tcBorders>
              <w:top w:val="single" w:sz="4" w:space="0" w:color="auto"/>
              <w:right w:val="single" w:sz="4" w:space="0" w:color="auto"/>
            </w:tcBorders>
            <w:shd w:val="clear" w:color="auto" w:fill="DBE5F1" w:themeFill="accent1" w:themeFillTint="33"/>
            <w:vAlign w:val="center"/>
          </w:tcPr>
          <w:p w14:paraId="74EF758A" w14:textId="77777777" w:rsidR="00EB374E" w:rsidRPr="00BB5AC9" w:rsidRDefault="00EB374E" w:rsidP="00CE2FDF">
            <w:pPr>
              <w:spacing w:before="0" w:line="240" w:lineRule="auto"/>
              <w:jc w:val="right"/>
              <w:rPr>
                <w:rFonts w:cs="Arial"/>
                <w:bCs/>
                <w:color w:val="000000"/>
              </w:rPr>
            </w:pPr>
            <w:r>
              <w:rPr>
                <w:rFonts w:cs="Arial"/>
                <w:bCs/>
                <w:color w:val="000000"/>
              </w:rPr>
              <w:t>1.5%</w:t>
            </w:r>
          </w:p>
        </w:tc>
        <w:tc>
          <w:tcPr>
            <w:tcW w:w="1329" w:type="dxa"/>
            <w:tcBorders>
              <w:top w:val="single" w:sz="4" w:space="0" w:color="auto"/>
              <w:left w:val="single" w:sz="4" w:space="0" w:color="auto"/>
            </w:tcBorders>
            <w:shd w:val="clear" w:color="auto" w:fill="DBE5F1" w:themeFill="accent1" w:themeFillTint="33"/>
            <w:noWrap/>
            <w:vAlign w:val="center"/>
            <w:hideMark/>
          </w:tcPr>
          <w:p w14:paraId="217D17F6" w14:textId="77777777" w:rsidR="00EB374E" w:rsidRPr="00BB5AC9" w:rsidRDefault="00EB374E" w:rsidP="00CE2FDF">
            <w:pPr>
              <w:spacing w:before="0" w:line="240" w:lineRule="auto"/>
              <w:jc w:val="right"/>
              <w:rPr>
                <w:rFonts w:cs="Arial"/>
                <w:bCs/>
                <w:color w:val="000000"/>
              </w:rPr>
            </w:pPr>
            <w:r w:rsidRPr="00BB5AC9">
              <w:rPr>
                <w:rFonts w:cs="Arial"/>
                <w:bCs/>
                <w:color w:val="000000"/>
              </w:rPr>
              <w:t>3</w:t>
            </w:r>
            <w:r>
              <w:rPr>
                <w:rFonts w:cs="Arial"/>
                <w:bCs/>
                <w:color w:val="000000"/>
              </w:rPr>
              <w:t>,</w:t>
            </w:r>
            <w:r w:rsidRPr="00BB5AC9">
              <w:rPr>
                <w:rFonts w:cs="Arial"/>
                <w:bCs/>
                <w:color w:val="000000"/>
              </w:rPr>
              <w:t>880</w:t>
            </w:r>
          </w:p>
        </w:tc>
        <w:tc>
          <w:tcPr>
            <w:tcW w:w="1329" w:type="dxa"/>
            <w:tcBorders>
              <w:top w:val="single" w:sz="4" w:space="0" w:color="auto"/>
              <w:right w:val="single" w:sz="4" w:space="0" w:color="auto"/>
            </w:tcBorders>
            <w:shd w:val="clear" w:color="auto" w:fill="DBE5F1" w:themeFill="accent1" w:themeFillTint="33"/>
            <w:vAlign w:val="center"/>
          </w:tcPr>
          <w:p w14:paraId="570CF056" w14:textId="77777777" w:rsidR="00EB374E" w:rsidRPr="00BB5AC9" w:rsidRDefault="00EB374E" w:rsidP="00CE2FDF">
            <w:pPr>
              <w:spacing w:before="0" w:line="240" w:lineRule="auto"/>
              <w:jc w:val="right"/>
              <w:rPr>
                <w:rFonts w:cs="Arial"/>
                <w:bCs/>
                <w:color w:val="000000"/>
              </w:rPr>
            </w:pPr>
            <w:r>
              <w:rPr>
                <w:rFonts w:cs="Arial"/>
                <w:bCs/>
                <w:color w:val="000000"/>
              </w:rPr>
              <w:t>0.9%</w:t>
            </w:r>
          </w:p>
        </w:tc>
        <w:tc>
          <w:tcPr>
            <w:tcW w:w="1329" w:type="dxa"/>
            <w:tcBorders>
              <w:top w:val="single" w:sz="4" w:space="0" w:color="auto"/>
              <w:left w:val="single" w:sz="4" w:space="0" w:color="auto"/>
            </w:tcBorders>
            <w:shd w:val="clear" w:color="auto" w:fill="DBE5F1" w:themeFill="accent1" w:themeFillTint="33"/>
            <w:noWrap/>
            <w:vAlign w:val="center"/>
            <w:hideMark/>
          </w:tcPr>
          <w:p w14:paraId="266D0762" w14:textId="77777777" w:rsidR="00EB374E" w:rsidRPr="00BB5AC9" w:rsidRDefault="00EB374E" w:rsidP="00CE2FDF">
            <w:pPr>
              <w:spacing w:before="0" w:line="240" w:lineRule="auto"/>
              <w:jc w:val="right"/>
              <w:rPr>
                <w:rFonts w:cs="Arial"/>
                <w:bCs/>
                <w:color w:val="000000"/>
              </w:rPr>
            </w:pPr>
            <w:r w:rsidRPr="00BB5AC9">
              <w:rPr>
                <w:rFonts w:cs="Arial"/>
                <w:bCs/>
                <w:color w:val="000000"/>
              </w:rPr>
              <w:t>3</w:t>
            </w:r>
            <w:r>
              <w:rPr>
                <w:rFonts w:cs="Arial"/>
                <w:bCs/>
                <w:color w:val="000000"/>
              </w:rPr>
              <w:t>,</w:t>
            </w:r>
            <w:r w:rsidRPr="00BB5AC9">
              <w:rPr>
                <w:rFonts w:cs="Arial"/>
                <w:bCs/>
                <w:color w:val="000000"/>
              </w:rPr>
              <w:t>620</w:t>
            </w:r>
          </w:p>
        </w:tc>
        <w:tc>
          <w:tcPr>
            <w:tcW w:w="1329" w:type="dxa"/>
            <w:tcBorders>
              <w:top w:val="single" w:sz="4" w:space="0" w:color="auto"/>
              <w:right w:val="single" w:sz="4" w:space="0" w:color="auto"/>
            </w:tcBorders>
            <w:shd w:val="clear" w:color="auto" w:fill="DBE5F1" w:themeFill="accent1" w:themeFillTint="33"/>
            <w:vAlign w:val="center"/>
          </w:tcPr>
          <w:p w14:paraId="3FC102E8" w14:textId="77777777" w:rsidR="00EB374E" w:rsidRPr="00BB5AC9" w:rsidRDefault="00547FC5" w:rsidP="00CE2FDF">
            <w:pPr>
              <w:spacing w:before="0" w:line="240" w:lineRule="auto"/>
              <w:jc w:val="right"/>
              <w:rPr>
                <w:rFonts w:cs="Arial"/>
                <w:bCs/>
                <w:color w:val="000000"/>
              </w:rPr>
            </w:pPr>
            <w:r>
              <w:rPr>
                <w:rFonts w:cs="Arial"/>
                <w:bCs/>
                <w:color w:val="000000"/>
              </w:rPr>
              <w:t>0.8</w:t>
            </w:r>
            <w:r w:rsidR="00EB374E">
              <w:rPr>
                <w:rFonts w:cs="Arial"/>
                <w:bCs/>
                <w:color w:val="000000"/>
              </w:rPr>
              <w:t>%</w:t>
            </w:r>
          </w:p>
        </w:tc>
        <w:tc>
          <w:tcPr>
            <w:tcW w:w="1329" w:type="dxa"/>
            <w:tcBorders>
              <w:top w:val="single" w:sz="4" w:space="0" w:color="auto"/>
              <w:left w:val="single" w:sz="4" w:space="0" w:color="auto"/>
            </w:tcBorders>
            <w:shd w:val="clear" w:color="auto" w:fill="DBE5F1" w:themeFill="accent1" w:themeFillTint="33"/>
            <w:noWrap/>
            <w:vAlign w:val="center"/>
            <w:hideMark/>
          </w:tcPr>
          <w:p w14:paraId="6A9962FC" w14:textId="77777777" w:rsidR="00EB374E" w:rsidRPr="00BB5AC9" w:rsidRDefault="00EB374E" w:rsidP="00CE2FDF">
            <w:pPr>
              <w:spacing w:before="0" w:line="240" w:lineRule="auto"/>
              <w:jc w:val="right"/>
              <w:rPr>
                <w:rFonts w:cs="Arial"/>
                <w:bCs/>
                <w:color w:val="000000"/>
              </w:rPr>
            </w:pPr>
            <w:r w:rsidRPr="00BB5AC9">
              <w:rPr>
                <w:rFonts w:cs="Arial"/>
                <w:bCs/>
                <w:color w:val="000000"/>
              </w:rPr>
              <w:t>723</w:t>
            </w:r>
          </w:p>
        </w:tc>
        <w:tc>
          <w:tcPr>
            <w:tcW w:w="1329" w:type="dxa"/>
            <w:tcBorders>
              <w:top w:val="single" w:sz="4" w:space="0" w:color="auto"/>
              <w:right w:val="single" w:sz="4" w:space="0" w:color="auto"/>
            </w:tcBorders>
            <w:shd w:val="clear" w:color="auto" w:fill="DBE5F1" w:themeFill="accent1" w:themeFillTint="33"/>
            <w:vAlign w:val="center"/>
          </w:tcPr>
          <w:p w14:paraId="19773C2F" w14:textId="77777777" w:rsidR="00EB374E" w:rsidRPr="00BB5AC9" w:rsidRDefault="00547FC5" w:rsidP="00CE2FDF">
            <w:pPr>
              <w:spacing w:before="0" w:line="240" w:lineRule="auto"/>
              <w:jc w:val="right"/>
              <w:rPr>
                <w:rFonts w:cs="Arial"/>
                <w:bCs/>
                <w:color w:val="000000"/>
              </w:rPr>
            </w:pPr>
            <w:r>
              <w:rPr>
                <w:rFonts w:cs="Arial"/>
                <w:bCs/>
                <w:color w:val="000000"/>
              </w:rPr>
              <w:t>0.2</w:t>
            </w:r>
            <w:r w:rsidR="00EB374E">
              <w:rPr>
                <w:rFonts w:cs="Arial"/>
                <w:bCs/>
                <w:color w:val="000000"/>
              </w:rPr>
              <w:t>%</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0E4C9A5D" w14:textId="77777777" w:rsidR="00EB374E" w:rsidRPr="00BB5AC9" w:rsidRDefault="00EB374E" w:rsidP="00CE2FDF">
            <w:pPr>
              <w:spacing w:before="0" w:line="240" w:lineRule="auto"/>
              <w:jc w:val="right"/>
              <w:rPr>
                <w:rFonts w:cs="Arial"/>
                <w:b/>
                <w:bCs/>
                <w:color w:val="000000"/>
              </w:rPr>
            </w:pPr>
            <w:r w:rsidRPr="00BB5AC9">
              <w:rPr>
                <w:rFonts w:cs="Arial"/>
                <w:b/>
                <w:bCs/>
                <w:color w:val="000000"/>
              </w:rPr>
              <w:t>15</w:t>
            </w:r>
            <w:r>
              <w:rPr>
                <w:rFonts w:cs="Arial"/>
                <w:b/>
                <w:bCs/>
                <w:color w:val="000000"/>
              </w:rPr>
              <w:t>,</w:t>
            </w:r>
            <w:r w:rsidRPr="00BB5AC9">
              <w:rPr>
                <w:rFonts w:cs="Arial"/>
                <w:b/>
                <w:bCs/>
                <w:color w:val="000000"/>
              </w:rPr>
              <w:t>045</w:t>
            </w:r>
          </w:p>
        </w:tc>
      </w:tr>
      <w:tr w:rsidR="00EB374E" w:rsidRPr="00BB5AC9" w14:paraId="5F36FB18" w14:textId="77777777" w:rsidTr="00407ACB">
        <w:trPr>
          <w:trHeight w:val="276"/>
        </w:trPr>
        <w:tc>
          <w:tcPr>
            <w:tcW w:w="2088" w:type="dxa"/>
            <w:tcBorders>
              <w:top w:val="single" w:sz="4" w:space="0" w:color="auto"/>
              <w:left w:val="single" w:sz="4" w:space="0" w:color="auto"/>
              <w:right w:val="single" w:sz="4" w:space="0" w:color="auto"/>
            </w:tcBorders>
            <w:noWrap/>
            <w:vAlign w:val="bottom"/>
            <w:hideMark/>
          </w:tcPr>
          <w:p w14:paraId="1673B583" w14:textId="77777777" w:rsidR="00EB374E" w:rsidRPr="00BB5AC9" w:rsidRDefault="00EB374E" w:rsidP="00CE2FDF">
            <w:pPr>
              <w:spacing w:before="0" w:line="240" w:lineRule="auto"/>
              <w:rPr>
                <w:rFonts w:cs="Arial"/>
                <w:b/>
                <w:color w:val="000000"/>
              </w:rPr>
            </w:pPr>
            <w:r w:rsidRPr="00BB5AC9">
              <w:rPr>
                <w:rFonts w:cs="Arial"/>
                <w:b/>
                <w:color w:val="000000"/>
              </w:rPr>
              <w:t>Police</w:t>
            </w:r>
          </w:p>
        </w:tc>
        <w:tc>
          <w:tcPr>
            <w:tcW w:w="1617" w:type="dxa"/>
            <w:tcBorders>
              <w:top w:val="single" w:sz="4" w:space="0" w:color="auto"/>
              <w:left w:val="single" w:sz="4" w:space="0" w:color="auto"/>
            </w:tcBorders>
            <w:noWrap/>
            <w:vAlign w:val="center"/>
            <w:hideMark/>
          </w:tcPr>
          <w:p w14:paraId="70073323" w14:textId="77777777" w:rsidR="00EB374E" w:rsidRPr="00BB5AC9" w:rsidRDefault="00EB374E" w:rsidP="00CE2FDF">
            <w:pPr>
              <w:spacing w:before="0" w:line="240" w:lineRule="auto"/>
              <w:jc w:val="right"/>
              <w:rPr>
                <w:rFonts w:cs="Arial"/>
                <w:bCs/>
                <w:color w:val="000000"/>
              </w:rPr>
            </w:pPr>
            <w:r w:rsidRPr="00BB5AC9">
              <w:rPr>
                <w:rFonts w:cs="Arial"/>
                <w:bCs/>
                <w:color w:val="000000"/>
              </w:rPr>
              <w:t>58</w:t>
            </w:r>
            <w:r>
              <w:rPr>
                <w:rFonts w:cs="Arial"/>
                <w:bCs/>
                <w:color w:val="000000"/>
              </w:rPr>
              <w:t>,</w:t>
            </w:r>
            <w:r w:rsidRPr="00BB5AC9">
              <w:rPr>
                <w:rFonts w:cs="Arial"/>
                <w:bCs/>
                <w:color w:val="000000"/>
              </w:rPr>
              <w:t>120</w:t>
            </w:r>
          </w:p>
        </w:tc>
        <w:tc>
          <w:tcPr>
            <w:tcW w:w="1329" w:type="dxa"/>
            <w:tcBorders>
              <w:top w:val="single" w:sz="4" w:space="0" w:color="auto"/>
              <w:right w:val="single" w:sz="4" w:space="0" w:color="auto"/>
            </w:tcBorders>
            <w:vAlign w:val="center"/>
          </w:tcPr>
          <w:p w14:paraId="5F41A9AB" w14:textId="77777777" w:rsidR="00EB374E" w:rsidRPr="00BB5AC9" w:rsidRDefault="00EB374E" w:rsidP="00CE2FDF">
            <w:pPr>
              <w:spacing w:before="0" w:line="240" w:lineRule="auto"/>
              <w:jc w:val="right"/>
              <w:rPr>
                <w:rFonts w:cs="Arial"/>
                <w:bCs/>
                <w:color w:val="000000"/>
              </w:rPr>
            </w:pPr>
            <w:r>
              <w:rPr>
                <w:rFonts w:cs="Arial"/>
                <w:bCs/>
                <w:color w:val="000000"/>
              </w:rPr>
              <w:t>12.8%</w:t>
            </w:r>
          </w:p>
        </w:tc>
        <w:tc>
          <w:tcPr>
            <w:tcW w:w="1329" w:type="dxa"/>
            <w:tcBorders>
              <w:top w:val="single" w:sz="4" w:space="0" w:color="auto"/>
              <w:left w:val="single" w:sz="4" w:space="0" w:color="auto"/>
            </w:tcBorders>
            <w:noWrap/>
            <w:vAlign w:val="center"/>
            <w:hideMark/>
          </w:tcPr>
          <w:p w14:paraId="7516EAF2" w14:textId="77777777" w:rsidR="00EB374E" w:rsidRPr="00BB5AC9" w:rsidRDefault="00EB374E" w:rsidP="00CE2FDF">
            <w:pPr>
              <w:spacing w:before="0" w:line="240" w:lineRule="auto"/>
              <w:jc w:val="right"/>
              <w:rPr>
                <w:rFonts w:cs="Arial"/>
                <w:bCs/>
                <w:color w:val="000000"/>
              </w:rPr>
            </w:pPr>
            <w:r w:rsidRPr="00BB5AC9">
              <w:rPr>
                <w:rFonts w:cs="Arial"/>
                <w:bCs/>
                <w:color w:val="000000"/>
              </w:rPr>
              <w:t>12</w:t>
            </w:r>
            <w:r>
              <w:rPr>
                <w:rFonts w:cs="Arial"/>
                <w:bCs/>
                <w:color w:val="000000"/>
              </w:rPr>
              <w:t>,</w:t>
            </w:r>
            <w:r w:rsidRPr="00BB5AC9">
              <w:rPr>
                <w:rFonts w:cs="Arial"/>
                <w:bCs/>
                <w:color w:val="000000"/>
              </w:rPr>
              <w:t>485</w:t>
            </w:r>
          </w:p>
        </w:tc>
        <w:tc>
          <w:tcPr>
            <w:tcW w:w="1329" w:type="dxa"/>
            <w:tcBorders>
              <w:top w:val="single" w:sz="4" w:space="0" w:color="auto"/>
              <w:right w:val="single" w:sz="4" w:space="0" w:color="auto"/>
            </w:tcBorders>
            <w:vAlign w:val="center"/>
          </w:tcPr>
          <w:p w14:paraId="0B40405A" w14:textId="77777777" w:rsidR="00EB374E" w:rsidRPr="00BB5AC9" w:rsidRDefault="00EB374E" w:rsidP="00CE2FDF">
            <w:pPr>
              <w:spacing w:before="0" w:line="240" w:lineRule="auto"/>
              <w:jc w:val="right"/>
              <w:rPr>
                <w:rFonts w:cs="Arial"/>
                <w:bCs/>
                <w:color w:val="000000"/>
              </w:rPr>
            </w:pPr>
            <w:r>
              <w:rPr>
                <w:rFonts w:cs="Arial"/>
                <w:bCs/>
                <w:color w:val="000000"/>
              </w:rPr>
              <w:t>2.7%</w:t>
            </w:r>
          </w:p>
        </w:tc>
        <w:tc>
          <w:tcPr>
            <w:tcW w:w="1329" w:type="dxa"/>
            <w:tcBorders>
              <w:top w:val="single" w:sz="4" w:space="0" w:color="auto"/>
              <w:left w:val="single" w:sz="4" w:space="0" w:color="auto"/>
            </w:tcBorders>
            <w:noWrap/>
            <w:vAlign w:val="center"/>
            <w:hideMark/>
          </w:tcPr>
          <w:p w14:paraId="3AF168AE" w14:textId="77777777" w:rsidR="00EB374E" w:rsidRPr="00BB5AC9" w:rsidRDefault="00EB374E" w:rsidP="00CE2FDF">
            <w:pPr>
              <w:spacing w:before="0" w:line="240" w:lineRule="auto"/>
              <w:jc w:val="right"/>
              <w:rPr>
                <w:rFonts w:cs="Arial"/>
                <w:bCs/>
                <w:color w:val="000000"/>
              </w:rPr>
            </w:pPr>
            <w:r w:rsidRPr="00BB5AC9">
              <w:rPr>
                <w:rFonts w:cs="Arial"/>
                <w:bCs/>
                <w:color w:val="000000"/>
              </w:rPr>
              <w:t>21</w:t>
            </w:r>
            <w:r>
              <w:rPr>
                <w:rFonts w:cs="Arial"/>
                <w:bCs/>
                <w:color w:val="000000"/>
              </w:rPr>
              <w:t>,</w:t>
            </w:r>
            <w:r w:rsidRPr="00BB5AC9">
              <w:rPr>
                <w:rFonts w:cs="Arial"/>
                <w:bCs/>
                <w:color w:val="000000"/>
              </w:rPr>
              <w:t>830</w:t>
            </w:r>
          </w:p>
        </w:tc>
        <w:tc>
          <w:tcPr>
            <w:tcW w:w="1329" w:type="dxa"/>
            <w:tcBorders>
              <w:top w:val="single" w:sz="4" w:space="0" w:color="auto"/>
              <w:right w:val="single" w:sz="4" w:space="0" w:color="auto"/>
            </w:tcBorders>
            <w:vAlign w:val="center"/>
          </w:tcPr>
          <w:p w14:paraId="5A49A696" w14:textId="77777777" w:rsidR="00EB374E" w:rsidRPr="00BB5AC9" w:rsidRDefault="00547FC5" w:rsidP="00CE2FDF">
            <w:pPr>
              <w:spacing w:before="0" w:line="240" w:lineRule="auto"/>
              <w:jc w:val="right"/>
              <w:rPr>
                <w:rFonts w:cs="Arial"/>
                <w:bCs/>
                <w:color w:val="000000"/>
              </w:rPr>
            </w:pPr>
            <w:r>
              <w:rPr>
                <w:rFonts w:cs="Arial"/>
                <w:bCs/>
                <w:color w:val="000000"/>
              </w:rPr>
              <w:t>4.8</w:t>
            </w:r>
            <w:r w:rsidR="00EB374E">
              <w:rPr>
                <w:rFonts w:cs="Arial"/>
                <w:bCs/>
                <w:color w:val="000000"/>
              </w:rPr>
              <w:t>%</w:t>
            </w:r>
          </w:p>
        </w:tc>
        <w:tc>
          <w:tcPr>
            <w:tcW w:w="1329" w:type="dxa"/>
            <w:tcBorders>
              <w:top w:val="single" w:sz="4" w:space="0" w:color="auto"/>
              <w:left w:val="single" w:sz="4" w:space="0" w:color="auto"/>
            </w:tcBorders>
            <w:noWrap/>
            <w:vAlign w:val="center"/>
            <w:hideMark/>
          </w:tcPr>
          <w:p w14:paraId="5688BE5A" w14:textId="77777777" w:rsidR="00EB374E" w:rsidRPr="00BB5AC9" w:rsidRDefault="00EB374E" w:rsidP="00CE2FDF">
            <w:pPr>
              <w:spacing w:before="0" w:line="240" w:lineRule="auto"/>
              <w:jc w:val="right"/>
              <w:rPr>
                <w:rFonts w:cs="Arial"/>
                <w:bCs/>
                <w:color w:val="000000"/>
              </w:rPr>
            </w:pPr>
            <w:r w:rsidRPr="00BB5AC9">
              <w:rPr>
                <w:rFonts w:cs="Arial"/>
                <w:bCs/>
                <w:color w:val="000000"/>
              </w:rPr>
              <w:t>12</w:t>
            </w:r>
            <w:r>
              <w:rPr>
                <w:rFonts w:cs="Arial"/>
                <w:bCs/>
                <w:color w:val="000000"/>
              </w:rPr>
              <w:t>,</w:t>
            </w:r>
            <w:r w:rsidRPr="00BB5AC9">
              <w:rPr>
                <w:rFonts w:cs="Arial"/>
                <w:bCs/>
                <w:color w:val="000000"/>
              </w:rPr>
              <w:t>424</w:t>
            </w:r>
          </w:p>
        </w:tc>
        <w:tc>
          <w:tcPr>
            <w:tcW w:w="1329" w:type="dxa"/>
            <w:tcBorders>
              <w:top w:val="single" w:sz="4" w:space="0" w:color="auto"/>
              <w:right w:val="single" w:sz="4" w:space="0" w:color="auto"/>
            </w:tcBorders>
            <w:vAlign w:val="center"/>
          </w:tcPr>
          <w:p w14:paraId="56FB782F" w14:textId="77777777" w:rsidR="00EB374E" w:rsidRPr="00BB5AC9" w:rsidRDefault="00547FC5" w:rsidP="00CE2FDF">
            <w:pPr>
              <w:spacing w:before="0" w:line="240" w:lineRule="auto"/>
              <w:jc w:val="right"/>
              <w:rPr>
                <w:rFonts w:cs="Arial"/>
                <w:bCs/>
                <w:color w:val="000000"/>
              </w:rPr>
            </w:pPr>
            <w:r>
              <w:rPr>
                <w:rFonts w:cs="Arial"/>
                <w:bCs/>
                <w:color w:val="000000"/>
              </w:rPr>
              <w:t>2.7</w:t>
            </w:r>
            <w:r w:rsidR="00EB374E">
              <w:rPr>
                <w:rFonts w:cs="Arial"/>
                <w:bCs/>
                <w:color w:val="000000"/>
              </w:rPr>
              <w:t>%</w:t>
            </w:r>
          </w:p>
        </w:tc>
        <w:tc>
          <w:tcPr>
            <w:tcW w:w="1134" w:type="dxa"/>
            <w:tcBorders>
              <w:top w:val="single" w:sz="4" w:space="0" w:color="auto"/>
              <w:left w:val="single" w:sz="4" w:space="0" w:color="auto"/>
              <w:right w:val="single" w:sz="4" w:space="0" w:color="auto"/>
            </w:tcBorders>
            <w:noWrap/>
            <w:vAlign w:val="center"/>
            <w:hideMark/>
          </w:tcPr>
          <w:p w14:paraId="083E75B9" w14:textId="77777777" w:rsidR="00EB374E" w:rsidRPr="00BB5AC9" w:rsidRDefault="00EB374E" w:rsidP="00CE2FDF">
            <w:pPr>
              <w:spacing w:before="0" w:line="240" w:lineRule="auto"/>
              <w:jc w:val="right"/>
              <w:rPr>
                <w:rFonts w:cs="Arial"/>
                <w:b/>
                <w:bCs/>
                <w:color w:val="000000"/>
              </w:rPr>
            </w:pPr>
            <w:r w:rsidRPr="00BB5AC9">
              <w:rPr>
                <w:rFonts w:cs="Arial"/>
                <w:b/>
                <w:bCs/>
                <w:color w:val="000000"/>
              </w:rPr>
              <w:t>104</w:t>
            </w:r>
            <w:r>
              <w:rPr>
                <w:rFonts w:cs="Arial"/>
                <w:b/>
                <w:bCs/>
                <w:color w:val="000000"/>
              </w:rPr>
              <w:t>,</w:t>
            </w:r>
            <w:r w:rsidRPr="00BB5AC9">
              <w:rPr>
                <w:rFonts w:cs="Arial"/>
                <w:b/>
                <w:bCs/>
                <w:color w:val="000000"/>
              </w:rPr>
              <w:t>859</w:t>
            </w:r>
          </w:p>
        </w:tc>
      </w:tr>
      <w:tr w:rsidR="00EB374E" w:rsidRPr="00BB5AC9" w14:paraId="15DE3388" w14:textId="77777777" w:rsidTr="00407ACB">
        <w:trPr>
          <w:trHeight w:val="276"/>
        </w:trPr>
        <w:tc>
          <w:tcPr>
            <w:tcW w:w="2088"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5B4BAD18" w14:textId="77777777" w:rsidR="00EB374E" w:rsidRPr="00BB5AC9" w:rsidRDefault="00AC4C50" w:rsidP="00CE2FDF">
            <w:pPr>
              <w:spacing w:before="0" w:line="240" w:lineRule="auto"/>
              <w:rPr>
                <w:rFonts w:cs="Arial"/>
                <w:b/>
                <w:color w:val="000000"/>
              </w:rPr>
            </w:pPr>
            <w:r>
              <w:rPr>
                <w:rFonts w:cs="Arial"/>
                <w:b/>
                <w:color w:val="000000"/>
              </w:rPr>
              <w:t>School personnel</w:t>
            </w:r>
          </w:p>
        </w:tc>
        <w:tc>
          <w:tcPr>
            <w:tcW w:w="1617" w:type="dxa"/>
            <w:tcBorders>
              <w:top w:val="single" w:sz="4" w:space="0" w:color="auto"/>
              <w:left w:val="single" w:sz="4" w:space="0" w:color="auto"/>
            </w:tcBorders>
            <w:shd w:val="clear" w:color="auto" w:fill="DBE5F1" w:themeFill="accent1" w:themeFillTint="33"/>
            <w:noWrap/>
            <w:vAlign w:val="center"/>
            <w:hideMark/>
          </w:tcPr>
          <w:p w14:paraId="013C68B6" w14:textId="77777777" w:rsidR="00EB374E" w:rsidRPr="00BB5AC9" w:rsidRDefault="00EB374E" w:rsidP="00CE2FDF">
            <w:pPr>
              <w:spacing w:before="0" w:line="240" w:lineRule="auto"/>
              <w:jc w:val="right"/>
              <w:rPr>
                <w:rFonts w:cs="Arial"/>
                <w:bCs/>
                <w:color w:val="000000"/>
              </w:rPr>
            </w:pPr>
            <w:r w:rsidRPr="00BB5AC9">
              <w:rPr>
                <w:rFonts w:cs="Arial"/>
                <w:bCs/>
                <w:color w:val="000000"/>
              </w:rPr>
              <w:t>19</w:t>
            </w:r>
            <w:r>
              <w:rPr>
                <w:rFonts w:cs="Arial"/>
                <w:bCs/>
                <w:color w:val="000000"/>
              </w:rPr>
              <w:t>,</w:t>
            </w:r>
            <w:r w:rsidRPr="00BB5AC9">
              <w:rPr>
                <w:rFonts w:cs="Arial"/>
                <w:bCs/>
                <w:color w:val="000000"/>
              </w:rPr>
              <w:t>817</w:t>
            </w:r>
          </w:p>
        </w:tc>
        <w:tc>
          <w:tcPr>
            <w:tcW w:w="1329" w:type="dxa"/>
            <w:tcBorders>
              <w:top w:val="single" w:sz="4" w:space="0" w:color="auto"/>
              <w:right w:val="single" w:sz="4" w:space="0" w:color="auto"/>
            </w:tcBorders>
            <w:shd w:val="clear" w:color="auto" w:fill="DBE5F1" w:themeFill="accent1" w:themeFillTint="33"/>
            <w:vAlign w:val="center"/>
          </w:tcPr>
          <w:p w14:paraId="0589AC51" w14:textId="77777777" w:rsidR="00EB374E" w:rsidRPr="00BB5AC9" w:rsidRDefault="00EB374E" w:rsidP="00CE2FDF">
            <w:pPr>
              <w:spacing w:before="0" w:line="240" w:lineRule="auto"/>
              <w:jc w:val="right"/>
              <w:rPr>
                <w:rFonts w:cs="Arial"/>
                <w:bCs/>
                <w:color w:val="000000"/>
              </w:rPr>
            </w:pPr>
            <w:r>
              <w:rPr>
                <w:rFonts w:cs="Arial"/>
                <w:bCs/>
                <w:color w:val="000000"/>
              </w:rPr>
              <w:t>4.4%</w:t>
            </w:r>
          </w:p>
        </w:tc>
        <w:tc>
          <w:tcPr>
            <w:tcW w:w="1329" w:type="dxa"/>
            <w:tcBorders>
              <w:top w:val="single" w:sz="4" w:space="0" w:color="auto"/>
              <w:left w:val="single" w:sz="4" w:space="0" w:color="auto"/>
            </w:tcBorders>
            <w:shd w:val="clear" w:color="auto" w:fill="DBE5F1" w:themeFill="accent1" w:themeFillTint="33"/>
            <w:noWrap/>
            <w:vAlign w:val="center"/>
            <w:hideMark/>
          </w:tcPr>
          <w:p w14:paraId="0DA45AA0" w14:textId="77777777" w:rsidR="00EB374E" w:rsidRPr="00BB5AC9" w:rsidRDefault="00EB374E" w:rsidP="00CE2FDF">
            <w:pPr>
              <w:spacing w:before="0" w:line="240" w:lineRule="auto"/>
              <w:jc w:val="right"/>
              <w:rPr>
                <w:rFonts w:cs="Arial"/>
                <w:bCs/>
                <w:color w:val="000000"/>
              </w:rPr>
            </w:pPr>
            <w:r w:rsidRPr="00BB5AC9">
              <w:rPr>
                <w:rFonts w:cs="Arial"/>
                <w:bCs/>
                <w:color w:val="000000"/>
              </w:rPr>
              <w:t>7</w:t>
            </w:r>
            <w:r>
              <w:rPr>
                <w:rFonts w:cs="Arial"/>
                <w:bCs/>
                <w:color w:val="000000"/>
              </w:rPr>
              <w:t>,</w:t>
            </w:r>
            <w:r w:rsidRPr="00BB5AC9">
              <w:rPr>
                <w:rFonts w:cs="Arial"/>
                <w:bCs/>
                <w:color w:val="000000"/>
              </w:rPr>
              <w:t>666</w:t>
            </w:r>
          </w:p>
        </w:tc>
        <w:tc>
          <w:tcPr>
            <w:tcW w:w="1329" w:type="dxa"/>
            <w:tcBorders>
              <w:top w:val="single" w:sz="4" w:space="0" w:color="auto"/>
              <w:right w:val="single" w:sz="4" w:space="0" w:color="auto"/>
            </w:tcBorders>
            <w:shd w:val="clear" w:color="auto" w:fill="DBE5F1" w:themeFill="accent1" w:themeFillTint="33"/>
            <w:vAlign w:val="center"/>
          </w:tcPr>
          <w:p w14:paraId="753557C3" w14:textId="77777777" w:rsidR="00EB374E" w:rsidRPr="00BB5AC9" w:rsidRDefault="00547FC5" w:rsidP="00CE2FDF">
            <w:pPr>
              <w:spacing w:before="0" w:line="240" w:lineRule="auto"/>
              <w:jc w:val="right"/>
              <w:rPr>
                <w:rFonts w:cs="Arial"/>
                <w:bCs/>
                <w:color w:val="000000"/>
              </w:rPr>
            </w:pPr>
            <w:r>
              <w:rPr>
                <w:rFonts w:cs="Arial"/>
                <w:bCs/>
                <w:color w:val="000000"/>
              </w:rPr>
              <w:t>0.2</w:t>
            </w:r>
            <w:r w:rsidR="00EB374E">
              <w:rPr>
                <w:rFonts w:cs="Arial"/>
                <w:bCs/>
                <w:color w:val="000000"/>
              </w:rPr>
              <w:t>%</w:t>
            </w:r>
          </w:p>
        </w:tc>
        <w:tc>
          <w:tcPr>
            <w:tcW w:w="1329" w:type="dxa"/>
            <w:tcBorders>
              <w:top w:val="single" w:sz="4" w:space="0" w:color="auto"/>
              <w:left w:val="single" w:sz="4" w:space="0" w:color="auto"/>
            </w:tcBorders>
            <w:shd w:val="clear" w:color="auto" w:fill="DBE5F1" w:themeFill="accent1" w:themeFillTint="33"/>
            <w:noWrap/>
            <w:vAlign w:val="center"/>
            <w:hideMark/>
          </w:tcPr>
          <w:p w14:paraId="1A74D826" w14:textId="77777777" w:rsidR="00EB374E" w:rsidRPr="00BB5AC9" w:rsidRDefault="00EB374E" w:rsidP="00CE2FDF">
            <w:pPr>
              <w:spacing w:before="0" w:line="240" w:lineRule="auto"/>
              <w:jc w:val="right"/>
              <w:rPr>
                <w:rFonts w:cs="Arial"/>
                <w:bCs/>
                <w:color w:val="000000"/>
              </w:rPr>
            </w:pPr>
            <w:r w:rsidRPr="00BB5AC9">
              <w:rPr>
                <w:rFonts w:cs="Arial"/>
                <w:bCs/>
                <w:color w:val="000000"/>
              </w:rPr>
              <w:t>24</w:t>
            </w:r>
            <w:r>
              <w:rPr>
                <w:rFonts w:cs="Arial"/>
                <w:bCs/>
                <w:color w:val="000000"/>
              </w:rPr>
              <w:t>,</w:t>
            </w:r>
            <w:r w:rsidRPr="00BB5AC9">
              <w:rPr>
                <w:rFonts w:cs="Arial"/>
                <w:bCs/>
                <w:color w:val="000000"/>
              </w:rPr>
              <w:t>778</w:t>
            </w:r>
          </w:p>
        </w:tc>
        <w:tc>
          <w:tcPr>
            <w:tcW w:w="1329" w:type="dxa"/>
            <w:tcBorders>
              <w:top w:val="single" w:sz="4" w:space="0" w:color="auto"/>
              <w:right w:val="single" w:sz="4" w:space="0" w:color="auto"/>
            </w:tcBorders>
            <w:shd w:val="clear" w:color="auto" w:fill="DBE5F1" w:themeFill="accent1" w:themeFillTint="33"/>
            <w:vAlign w:val="center"/>
          </w:tcPr>
          <w:p w14:paraId="0F94DCAF" w14:textId="77777777" w:rsidR="00EB374E" w:rsidRPr="00BB5AC9" w:rsidRDefault="00547FC5" w:rsidP="00CE2FDF">
            <w:pPr>
              <w:spacing w:before="0" w:line="240" w:lineRule="auto"/>
              <w:jc w:val="right"/>
              <w:rPr>
                <w:rFonts w:cs="Arial"/>
                <w:bCs/>
                <w:color w:val="000000"/>
              </w:rPr>
            </w:pPr>
            <w:r>
              <w:rPr>
                <w:rFonts w:cs="Arial"/>
                <w:bCs/>
                <w:color w:val="000000"/>
              </w:rPr>
              <w:t>5.5</w:t>
            </w:r>
            <w:r w:rsidR="00EB374E">
              <w:rPr>
                <w:rFonts w:cs="Arial"/>
                <w:bCs/>
                <w:color w:val="000000"/>
              </w:rPr>
              <w:t>%</w:t>
            </w:r>
          </w:p>
        </w:tc>
        <w:tc>
          <w:tcPr>
            <w:tcW w:w="1329" w:type="dxa"/>
            <w:tcBorders>
              <w:top w:val="single" w:sz="4" w:space="0" w:color="auto"/>
              <w:left w:val="single" w:sz="4" w:space="0" w:color="auto"/>
            </w:tcBorders>
            <w:shd w:val="clear" w:color="auto" w:fill="DBE5F1" w:themeFill="accent1" w:themeFillTint="33"/>
            <w:noWrap/>
            <w:vAlign w:val="center"/>
            <w:hideMark/>
          </w:tcPr>
          <w:p w14:paraId="5CE2E5DC" w14:textId="77777777" w:rsidR="00EB374E" w:rsidRPr="00BB5AC9" w:rsidRDefault="00EB374E" w:rsidP="00CE2FDF">
            <w:pPr>
              <w:spacing w:before="0" w:line="240" w:lineRule="auto"/>
              <w:jc w:val="right"/>
              <w:rPr>
                <w:rFonts w:cs="Arial"/>
                <w:bCs/>
                <w:color w:val="000000"/>
              </w:rPr>
            </w:pPr>
            <w:r w:rsidRPr="00BB5AC9">
              <w:rPr>
                <w:rFonts w:cs="Arial"/>
                <w:bCs/>
                <w:color w:val="000000"/>
              </w:rPr>
              <w:t>6</w:t>
            </w:r>
            <w:r>
              <w:rPr>
                <w:rFonts w:cs="Arial"/>
                <w:bCs/>
                <w:color w:val="000000"/>
              </w:rPr>
              <w:t>,</w:t>
            </w:r>
            <w:r w:rsidRPr="00BB5AC9">
              <w:rPr>
                <w:rFonts w:cs="Arial"/>
                <w:bCs/>
                <w:color w:val="000000"/>
              </w:rPr>
              <w:t>377</w:t>
            </w:r>
          </w:p>
        </w:tc>
        <w:tc>
          <w:tcPr>
            <w:tcW w:w="1329" w:type="dxa"/>
            <w:tcBorders>
              <w:top w:val="single" w:sz="4" w:space="0" w:color="auto"/>
              <w:right w:val="single" w:sz="4" w:space="0" w:color="auto"/>
            </w:tcBorders>
            <w:shd w:val="clear" w:color="auto" w:fill="DBE5F1" w:themeFill="accent1" w:themeFillTint="33"/>
            <w:vAlign w:val="center"/>
          </w:tcPr>
          <w:p w14:paraId="07992349" w14:textId="77777777" w:rsidR="00EB374E" w:rsidRPr="00BB5AC9" w:rsidRDefault="00547FC5" w:rsidP="00CE2FDF">
            <w:pPr>
              <w:spacing w:before="0" w:line="240" w:lineRule="auto"/>
              <w:jc w:val="right"/>
              <w:rPr>
                <w:rFonts w:cs="Arial"/>
                <w:bCs/>
                <w:color w:val="000000"/>
              </w:rPr>
            </w:pPr>
            <w:r>
              <w:rPr>
                <w:rFonts w:cs="Arial"/>
                <w:bCs/>
                <w:color w:val="000000"/>
              </w:rPr>
              <w:t>1.4</w:t>
            </w:r>
            <w:r w:rsidR="00EB374E">
              <w:rPr>
                <w:rFonts w:cs="Arial"/>
                <w:bCs/>
                <w:color w:val="000000"/>
              </w:rPr>
              <w:t>%</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18EB4C63" w14:textId="77777777" w:rsidR="00EB374E" w:rsidRPr="00BB5AC9" w:rsidRDefault="00EB374E" w:rsidP="00CE2FDF">
            <w:pPr>
              <w:spacing w:before="0" w:line="240" w:lineRule="auto"/>
              <w:jc w:val="right"/>
              <w:rPr>
                <w:rFonts w:cs="Arial"/>
                <w:b/>
                <w:bCs/>
                <w:color w:val="000000"/>
              </w:rPr>
            </w:pPr>
            <w:r w:rsidRPr="00BB5AC9">
              <w:rPr>
                <w:rFonts w:cs="Arial"/>
                <w:b/>
                <w:bCs/>
                <w:color w:val="000000"/>
              </w:rPr>
              <w:t>58</w:t>
            </w:r>
            <w:r>
              <w:rPr>
                <w:rFonts w:cs="Arial"/>
                <w:b/>
                <w:bCs/>
                <w:color w:val="000000"/>
              </w:rPr>
              <w:t>,</w:t>
            </w:r>
            <w:r w:rsidRPr="00BB5AC9">
              <w:rPr>
                <w:rFonts w:cs="Arial"/>
                <w:b/>
                <w:bCs/>
                <w:color w:val="000000"/>
              </w:rPr>
              <w:t>638</w:t>
            </w:r>
          </w:p>
        </w:tc>
      </w:tr>
      <w:tr w:rsidR="001635B1" w:rsidRPr="00BB5AC9" w14:paraId="044F4768" w14:textId="77777777" w:rsidTr="00407ACB">
        <w:trPr>
          <w:trHeight w:val="276"/>
        </w:trPr>
        <w:tc>
          <w:tcPr>
            <w:tcW w:w="2088" w:type="dxa"/>
            <w:tcBorders>
              <w:top w:val="single" w:sz="4" w:space="0" w:color="auto"/>
              <w:left w:val="single" w:sz="4" w:space="0" w:color="auto"/>
              <w:right w:val="single" w:sz="4" w:space="0" w:color="auto"/>
            </w:tcBorders>
            <w:noWrap/>
            <w:vAlign w:val="bottom"/>
            <w:hideMark/>
          </w:tcPr>
          <w:p w14:paraId="086B996A" w14:textId="77777777" w:rsidR="001635B1" w:rsidRPr="00BB5AC9" w:rsidRDefault="001635B1" w:rsidP="00CE2FDF">
            <w:pPr>
              <w:spacing w:before="0" w:line="240" w:lineRule="auto"/>
              <w:rPr>
                <w:rFonts w:cs="Arial"/>
                <w:b/>
                <w:color w:val="000000"/>
              </w:rPr>
            </w:pPr>
            <w:r w:rsidRPr="00BB5AC9">
              <w:rPr>
                <w:rFonts w:cs="Arial"/>
                <w:b/>
                <w:color w:val="000000"/>
              </w:rPr>
              <w:t>Psychiatrists</w:t>
            </w:r>
          </w:p>
        </w:tc>
        <w:tc>
          <w:tcPr>
            <w:tcW w:w="1617" w:type="dxa"/>
            <w:tcBorders>
              <w:top w:val="single" w:sz="4" w:space="0" w:color="auto"/>
              <w:left w:val="single" w:sz="4" w:space="0" w:color="auto"/>
            </w:tcBorders>
            <w:noWrap/>
            <w:vAlign w:val="center"/>
            <w:hideMark/>
          </w:tcPr>
          <w:p w14:paraId="22E9230B" w14:textId="77777777" w:rsidR="001635B1" w:rsidRPr="00BB5AC9" w:rsidRDefault="001635B1" w:rsidP="00CE2FDF">
            <w:pPr>
              <w:spacing w:before="0" w:line="240" w:lineRule="auto"/>
              <w:jc w:val="right"/>
              <w:rPr>
                <w:rFonts w:cs="Arial"/>
                <w:bCs/>
                <w:color w:val="000000"/>
              </w:rPr>
            </w:pPr>
            <w:r w:rsidRPr="00BB5AC9">
              <w:rPr>
                <w:rFonts w:cs="Arial"/>
                <w:bCs/>
                <w:color w:val="000000"/>
              </w:rPr>
              <w:t>853</w:t>
            </w:r>
          </w:p>
        </w:tc>
        <w:tc>
          <w:tcPr>
            <w:tcW w:w="1329" w:type="dxa"/>
            <w:tcBorders>
              <w:top w:val="single" w:sz="4" w:space="0" w:color="auto"/>
              <w:right w:val="single" w:sz="4" w:space="0" w:color="auto"/>
            </w:tcBorders>
            <w:vAlign w:val="center"/>
          </w:tcPr>
          <w:p w14:paraId="64F224ED" w14:textId="77777777" w:rsidR="001635B1" w:rsidRPr="00BB5AC9" w:rsidRDefault="001635B1" w:rsidP="00CE2FDF">
            <w:pPr>
              <w:spacing w:before="0" w:line="240" w:lineRule="auto"/>
              <w:jc w:val="right"/>
              <w:rPr>
                <w:rFonts w:cs="Arial"/>
                <w:bCs/>
                <w:color w:val="000000"/>
              </w:rPr>
            </w:pPr>
            <w:r>
              <w:rPr>
                <w:rFonts w:cs="Arial"/>
                <w:bCs/>
                <w:color w:val="000000"/>
              </w:rPr>
              <w:t>0.2%</w:t>
            </w:r>
          </w:p>
        </w:tc>
        <w:tc>
          <w:tcPr>
            <w:tcW w:w="1329" w:type="dxa"/>
            <w:tcBorders>
              <w:top w:val="single" w:sz="4" w:space="0" w:color="auto"/>
              <w:left w:val="single" w:sz="4" w:space="0" w:color="auto"/>
            </w:tcBorders>
            <w:noWrap/>
            <w:vAlign w:val="center"/>
            <w:hideMark/>
          </w:tcPr>
          <w:p w14:paraId="387F8053" w14:textId="77777777" w:rsidR="001635B1" w:rsidRPr="00BB5AC9" w:rsidRDefault="001635B1" w:rsidP="00CE2FDF">
            <w:pPr>
              <w:spacing w:before="0" w:line="240" w:lineRule="auto"/>
              <w:jc w:val="right"/>
              <w:rPr>
                <w:rFonts w:cs="Arial"/>
                <w:bCs/>
                <w:color w:val="000000"/>
              </w:rPr>
            </w:pPr>
            <w:r w:rsidRPr="00BB5AC9">
              <w:rPr>
                <w:rFonts w:cs="Arial"/>
                <w:bCs/>
                <w:color w:val="000000"/>
              </w:rPr>
              <w:t>246</w:t>
            </w:r>
          </w:p>
        </w:tc>
        <w:tc>
          <w:tcPr>
            <w:tcW w:w="1329" w:type="dxa"/>
            <w:tcBorders>
              <w:top w:val="single" w:sz="4" w:space="0" w:color="auto"/>
              <w:right w:val="single" w:sz="4" w:space="0" w:color="auto"/>
            </w:tcBorders>
            <w:vAlign w:val="center"/>
          </w:tcPr>
          <w:p w14:paraId="0E6ABD08" w14:textId="77777777" w:rsidR="001635B1" w:rsidRPr="00BB5AC9" w:rsidRDefault="001635B1" w:rsidP="00CE2FDF">
            <w:pPr>
              <w:spacing w:before="0" w:line="240" w:lineRule="auto"/>
              <w:jc w:val="right"/>
              <w:rPr>
                <w:rFonts w:cs="Arial"/>
                <w:bCs/>
                <w:color w:val="000000"/>
              </w:rPr>
            </w:pPr>
            <w:r>
              <w:rPr>
                <w:rFonts w:cs="Arial"/>
                <w:bCs/>
                <w:color w:val="000000"/>
              </w:rPr>
              <w:t>0.05%</w:t>
            </w:r>
          </w:p>
        </w:tc>
        <w:tc>
          <w:tcPr>
            <w:tcW w:w="1329" w:type="dxa"/>
            <w:tcBorders>
              <w:top w:val="single" w:sz="4" w:space="0" w:color="auto"/>
              <w:left w:val="single" w:sz="4" w:space="0" w:color="auto"/>
            </w:tcBorders>
            <w:noWrap/>
            <w:vAlign w:val="center"/>
            <w:hideMark/>
          </w:tcPr>
          <w:p w14:paraId="2FE29D52" w14:textId="77777777" w:rsidR="001635B1" w:rsidRPr="00BB5AC9" w:rsidRDefault="001635B1" w:rsidP="00CE2FDF">
            <w:pPr>
              <w:spacing w:before="0" w:line="240" w:lineRule="auto"/>
              <w:jc w:val="right"/>
              <w:rPr>
                <w:rFonts w:cs="Arial"/>
                <w:bCs/>
                <w:color w:val="000000"/>
              </w:rPr>
            </w:pPr>
            <w:r w:rsidRPr="00BB5AC9">
              <w:rPr>
                <w:rFonts w:cs="Arial"/>
                <w:bCs/>
                <w:color w:val="000000"/>
              </w:rPr>
              <w:t>496</w:t>
            </w:r>
          </w:p>
        </w:tc>
        <w:tc>
          <w:tcPr>
            <w:tcW w:w="1329" w:type="dxa"/>
            <w:tcBorders>
              <w:top w:val="single" w:sz="4" w:space="0" w:color="auto"/>
              <w:right w:val="single" w:sz="4" w:space="0" w:color="auto"/>
            </w:tcBorders>
            <w:vAlign w:val="center"/>
          </w:tcPr>
          <w:p w14:paraId="23BA1C39" w14:textId="77777777" w:rsidR="001635B1" w:rsidRPr="00BB5AC9" w:rsidRDefault="001635B1" w:rsidP="00CE2FDF">
            <w:pPr>
              <w:spacing w:before="0" w:line="240" w:lineRule="auto"/>
              <w:jc w:val="right"/>
              <w:rPr>
                <w:rFonts w:cs="Arial"/>
                <w:bCs/>
                <w:color w:val="000000"/>
              </w:rPr>
            </w:pPr>
            <w:r>
              <w:rPr>
                <w:rFonts w:cs="Arial"/>
                <w:bCs/>
                <w:color w:val="000000"/>
              </w:rPr>
              <w:t>0.1%</w:t>
            </w:r>
          </w:p>
        </w:tc>
        <w:tc>
          <w:tcPr>
            <w:tcW w:w="1329" w:type="dxa"/>
            <w:tcBorders>
              <w:top w:val="single" w:sz="4" w:space="0" w:color="auto"/>
              <w:left w:val="single" w:sz="4" w:space="0" w:color="auto"/>
            </w:tcBorders>
            <w:noWrap/>
            <w:vAlign w:val="center"/>
            <w:hideMark/>
          </w:tcPr>
          <w:p w14:paraId="35D96A7C" w14:textId="77777777" w:rsidR="001635B1" w:rsidRPr="00BB5AC9" w:rsidRDefault="001635B1" w:rsidP="00CE2FDF">
            <w:pPr>
              <w:spacing w:before="0" w:line="240" w:lineRule="auto"/>
              <w:jc w:val="right"/>
              <w:rPr>
                <w:rFonts w:cs="Arial"/>
                <w:bCs/>
                <w:color w:val="000000"/>
              </w:rPr>
            </w:pPr>
            <w:r w:rsidRPr="00BB5AC9">
              <w:rPr>
                <w:rFonts w:cs="Arial"/>
                <w:bCs/>
                <w:color w:val="000000"/>
              </w:rPr>
              <w:t>189</w:t>
            </w:r>
          </w:p>
        </w:tc>
        <w:tc>
          <w:tcPr>
            <w:tcW w:w="1329" w:type="dxa"/>
            <w:tcBorders>
              <w:top w:val="single" w:sz="4" w:space="0" w:color="auto"/>
              <w:right w:val="single" w:sz="4" w:space="0" w:color="auto"/>
            </w:tcBorders>
            <w:vAlign w:val="center"/>
          </w:tcPr>
          <w:p w14:paraId="70D6DE3A" w14:textId="77777777" w:rsidR="001635B1" w:rsidRPr="00BB5AC9" w:rsidRDefault="001635B1" w:rsidP="00CE2FDF">
            <w:pPr>
              <w:spacing w:before="0" w:line="240" w:lineRule="auto"/>
              <w:jc w:val="right"/>
              <w:rPr>
                <w:rFonts w:cs="Arial"/>
                <w:bCs/>
                <w:color w:val="000000"/>
              </w:rPr>
            </w:pPr>
            <w:r>
              <w:rPr>
                <w:rFonts w:cs="Arial"/>
                <w:bCs/>
                <w:color w:val="000000"/>
              </w:rPr>
              <w:t>0.04%</w:t>
            </w:r>
          </w:p>
        </w:tc>
        <w:tc>
          <w:tcPr>
            <w:tcW w:w="1134" w:type="dxa"/>
            <w:tcBorders>
              <w:top w:val="single" w:sz="4" w:space="0" w:color="auto"/>
              <w:left w:val="single" w:sz="4" w:space="0" w:color="auto"/>
              <w:right w:val="single" w:sz="4" w:space="0" w:color="auto"/>
            </w:tcBorders>
            <w:noWrap/>
            <w:vAlign w:val="center"/>
            <w:hideMark/>
          </w:tcPr>
          <w:p w14:paraId="7E184656" w14:textId="77777777" w:rsidR="001635B1" w:rsidRPr="00BB5AC9" w:rsidRDefault="001635B1" w:rsidP="00CE2FDF">
            <w:pPr>
              <w:spacing w:before="0" w:line="240" w:lineRule="auto"/>
              <w:jc w:val="right"/>
              <w:rPr>
                <w:rFonts w:cs="Arial"/>
                <w:b/>
                <w:bCs/>
                <w:color w:val="000000"/>
              </w:rPr>
            </w:pPr>
            <w:r w:rsidRPr="00BB5AC9">
              <w:rPr>
                <w:rFonts w:cs="Arial"/>
                <w:b/>
                <w:bCs/>
                <w:color w:val="000000"/>
              </w:rPr>
              <w:t>1</w:t>
            </w:r>
            <w:r>
              <w:rPr>
                <w:rFonts w:cs="Arial"/>
                <w:b/>
                <w:bCs/>
                <w:color w:val="000000"/>
              </w:rPr>
              <w:t>,</w:t>
            </w:r>
            <w:r w:rsidRPr="00BB5AC9">
              <w:rPr>
                <w:rFonts w:cs="Arial"/>
                <w:b/>
                <w:bCs/>
                <w:color w:val="000000"/>
              </w:rPr>
              <w:t>784</w:t>
            </w:r>
          </w:p>
        </w:tc>
      </w:tr>
      <w:tr w:rsidR="006C6B06" w:rsidRPr="00BB5AC9" w14:paraId="25633752" w14:textId="77777777" w:rsidTr="00407ACB">
        <w:trPr>
          <w:trHeight w:val="276"/>
        </w:trPr>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073257D" w14:textId="77777777" w:rsidR="006C6B06" w:rsidRPr="00364A76" w:rsidRDefault="006C6B06" w:rsidP="00CE2FDF">
            <w:pPr>
              <w:tabs>
                <w:tab w:val="left" w:pos="1134"/>
              </w:tabs>
              <w:spacing w:before="0" w:line="240" w:lineRule="auto"/>
              <w:rPr>
                <w:rFonts w:cs="Arial"/>
                <w:b/>
                <w:bCs/>
                <w:color w:val="000000"/>
              </w:rPr>
            </w:pPr>
            <w:r w:rsidRPr="00364A76">
              <w:rPr>
                <w:rFonts w:cs="Arial"/>
                <w:b/>
                <w:bCs/>
                <w:color w:val="000000"/>
              </w:rPr>
              <w:t>Major mandated reporter groups combined</w:t>
            </w:r>
          </w:p>
        </w:tc>
        <w:tc>
          <w:tcPr>
            <w:tcW w:w="1617"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0C721BE8" w14:textId="77777777" w:rsidR="006C6B06" w:rsidRPr="00BB5AC9" w:rsidRDefault="006C6B06" w:rsidP="00CE2FDF">
            <w:pPr>
              <w:keepNext/>
              <w:spacing w:before="0" w:line="240" w:lineRule="auto"/>
              <w:jc w:val="right"/>
            </w:pPr>
            <w:r w:rsidRPr="00BB5AC9">
              <w:t>88,265</w:t>
            </w:r>
          </w:p>
        </w:tc>
        <w:tc>
          <w:tcPr>
            <w:tcW w:w="1329" w:type="dxa"/>
            <w:tcBorders>
              <w:top w:val="single" w:sz="4" w:space="0" w:color="auto"/>
              <w:bottom w:val="single" w:sz="4" w:space="0" w:color="auto"/>
              <w:right w:val="single" w:sz="4" w:space="0" w:color="auto"/>
            </w:tcBorders>
            <w:shd w:val="clear" w:color="auto" w:fill="DBE5F1" w:themeFill="accent1" w:themeFillTint="33"/>
            <w:vAlign w:val="center"/>
          </w:tcPr>
          <w:p w14:paraId="10A5518D" w14:textId="77777777" w:rsidR="006C6B06" w:rsidRPr="00BB5AC9" w:rsidRDefault="006C6B06" w:rsidP="00CE2FDF">
            <w:pPr>
              <w:keepNext/>
              <w:spacing w:before="0" w:line="240" w:lineRule="auto"/>
              <w:jc w:val="right"/>
            </w:pPr>
            <w:r w:rsidRPr="00BB5AC9">
              <w:t>19</w:t>
            </w:r>
            <w:r>
              <w:t>.4</w:t>
            </w:r>
            <w:r w:rsidRPr="00BB5AC9">
              <w:t>%</w:t>
            </w:r>
          </w:p>
        </w:tc>
        <w:tc>
          <w:tcPr>
            <w:tcW w:w="1329"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31363F87" w14:textId="77777777" w:rsidR="006C6B06" w:rsidRPr="00BB5AC9" w:rsidRDefault="006C6B06" w:rsidP="00CE2FDF">
            <w:pPr>
              <w:keepNext/>
              <w:spacing w:before="0" w:line="240" w:lineRule="auto"/>
              <w:jc w:val="right"/>
            </w:pPr>
            <w:r w:rsidRPr="00BB5AC9">
              <w:t>26,156</w:t>
            </w:r>
          </w:p>
        </w:tc>
        <w:tc>
          <w:tcPr>
            <w:tcW w:w="1329" w:type="dxa"/>
            <w:tcBorders>
              <w:top w:val="single" w:sz="4" w:space="0" w:color="auto"/>
              <w:bottom w:val="single" w:sz="4" w:space="0" w:color="auto"/>
              <w:right w:val="single" w:sz="4" w:space="0" w:color="auto"/>
            </w:tcBorders>
            <w:shd w:val="clear" w:color="auto" w:fill="DBE5F1" w:themeFill="accent1" w:themeFillTint="33"/>
            <w:vAlign w:val="center"/>
          </w:tcPr>
          <w:p w14:paraId="092FE574" w14:textId="77777777" w:rsidR="006C6B06" w:rsidRPr="00BB5AC9" w:rsidRDefault="006C6B06" w:rsidP="00CE2FDF">
            <w:pPr>
              <w:keepNext/>
              <w:spacing w:before="0" w:line="240" w:lineRule="auto"/>
              <w:jc w:val="right"/>
            </w:pPr>
            <w:r>
              <w:t>5.8</w:t>
            </w:r>
            <w:r w:rsidRPr="00BB5AC9">
              <w:t>%</w:t>
            </w:r>
          </w:p>
        </w:tc>
        <w:tc>
          <w:tcPr>
            <w:tcW w:w="1329"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0D824A97" w14:textId="77777777" w:rsidR="006C6B06" w:rsidRPr="00BB5AC9" w:rsidRDefault="006C6B06" w:rsidP="00CE2FDF">
            <w:pPr>
              <w:keepNext/>
              <w:spacing w:before="0" w:line="240" w:lineRule="auto"/>
              <w:jc w:val="right"/>
            </w:pPr>
            <w:r w:rsidRPr="00BB5AC9">
              <w:t>54,366</w:t>
            </w:r>
          </w:p>
        </w:tc>
        <w:tc>
          <w:tcPr>
            <w:tcW w:w="1329" w:type="dxa"/>
            <w:tcBorders>
              <w:top w:val="single" w:sz="4" w:space="0" w:color="auto"/>
              <w:bottom w:val="single" w:sz="4" w:space="0" w:color="auto"/>
              <w:right w:val="single" w:sz="4" w:space="0" w:color="auto"/>
            </w:tcBorders>
            <w:shd w:val="clear" w:color="auto" w:fill="DBE5F1" w:themeFill="accent1" w:themeFillTint="33"/>
            <w:vAlign w:val="center"/>
          </w:tcPr>
          <w:p w14:paraId="5A744637" w14:textId="77777777" w:rsidR="006C6B06" w:rsidRPr="00BB5AC9" w:rsidRDefault="006C6B06" w:rsidP="00CE2FDF">
            <w:pPr>
              <w:keepNext/>
              <w:spacing w:before="0" w:line="240" w:lineRule="auto"/>
              <w:jc w:val="right"/>
            </w:pPr>
            <w:r w:rsidRPr="00BB5AC9">
              <w:t>12</w:t>
            </w:r>
            <w:r>
              <w:t>.0</w:t>
            </w:r>
            <w:r w:rsidRPr="00BB5AC9">
              <w:t>%</w:t>
            </w:r>
          </w:p>
        </w:tc>
        <w:tc>
          <w:tcPr>
            <w:tcW w:w="1329" w:type="dxa"/>
            <w:tcBorders>
              <w:top w:val="single" w:sz="4" w:space="0" w:color="auto"/>
              <w:left w:val="single" w:sz="4" w:space="0" w:color="auto"/>
              <w:bottom w:val="single" w:sz="4" w:space="0" w:color="auto"/>
            </w:tcBorders>
            <w:shd w:val="clear" w:color="auto" w:fill="DBE5F1" w:themeFill="accent1" w:themeFillTint="33"/>
            <w:noWrap/>
            <w:vAlign w:val="center"/>
            <w:hideMark/>
          </w:tcPr>
          <w:p w14:paraId="39B69122" w14:textId="77777777" w:rsidR="006C6B06" w:rsidRPr="00BB5AC9" w:rsidRDefault="006C6B06" w:rsidP="00CE2FDF">
            <w:pPr>
              <w:keepNext/>
              <w:spacing w:before="0" w:line="240" w:lineRule="auto"/>
              <w:jc w:val="right"/>
            </w:pPr>
            <w:r w:rsidRPr="00BB5AC9">
              <w:t>21,641</w:t>
            </w:r>
          </w:p>
        </w:tc>
        <w:tc>
          <w:tcPr>
            <w:tcW w:w="1329" w:type="dxa"/>
            <w:tcBorders>
              <w:top w:val="single" w:sz="4" w:space="0" w:color="auto"/>
              <w:bottom w:val="single" w:sz="4" w:space="0" w:color="auto"/>
              <w:right w:val="single" w:sz="4" w:space="0" w:color="auto"/>
            </w:tcBorders>
            <w:shd w:val="clear" w:color="auto" w:fill="DBE5F1" w:themeFill="accent1" w:themeFillTint="33"/>
            <w:vAlign w:val="center"/>
          </w:tcPr>
          <w:p w14:paraId="2BEAA76F" w14:textId="77777777" w:rsidR="006C6B06" w:rsidRPr="00BB5AC9" w:rsidRDefault="006C6B06" w:rsidP="00CE2FDF">
            <w:pPr>
              <w:keepNext/>
              <w:spacing w:before="0" w:line="240" w:lineRule="auto"/>
              <w:jc w:val="right"/>
            </w:pPr>
            <w:r>
              <w:t>4.8</w:t>
            </w:r>
            <w:r w:rsidRPr="00BB5AC9">
              <w:t>%</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4261E3F" w14:textId="77777777" w:rsidR="006C6B06" w:rsidRPr="00BB5AC9" w:rsidRDefault="006C6B06" w:rsidP="00CE2FDF">
            <w:pPr>
              <w:tabs>
                <w:tab w:val="left" w:pos="1134"/>
              </w:tabs>
              <w:spacing w:before="0" w:line="240" w:lineRule="auto"/>
              <w:jc w:val="right"/>
              <w:rPr>
                <w:rFonts w:cs="Arial"/>
                <w:b/>
              </w:rPr>
            </w:pPr>
            <w:r w:rsidRPr="00BB5AC9">
              <w:rPr>
                <w:rFonts w:cs="Arial"/>
                <w:b/>
              </w:rPr>
              <w:t>190,428</w:t>
            </w:r>
          </w:p>
        </w:tc>
      </w:tr>
      <w:tr w:rsidR="006C6B06" w:rsidRPr="00BB5AC9" w14:paraId="682A49EA" w14:textId="77777777" w:rsidTr="00407ACB">
        <w:trPr>
          <w:trHeight w:val="276"/>
        </w:trPr>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E15DC" w14:textId="77777777" w:rsidR="006C6B06" w:rsidRPr="00364A76" w:rsidRDefault="006C6B06" w:rsidP="00CE2FDF">
            <w:pPr>
              <w:tabs>
                <w:tab w:val="left" w:pos="1134"/>
              </w:tabs>
              <w:spacing w:before="0" w:line="240" w:lineRule="auto"/>
              <w:rPr>
                <w:rFonts w:cs="Arial"/>
                <w:b/>
                <w:bCs/>
                <w:color w:val="000000"/>
              </w:rPr>
            </w:pPr>
            <w:r w:rsidRPr="00364A76">
              <w:rPr>
                <w:rFonts w:cs="Arial"/>
                <w:b/>
                <w:bCs/>
                <w:color w:val="000000"/>
              </w:rPr>
              <w:t>Other reporter groups combined</w:t>
            </w:r>
          </w:p>
        </w:tc>
        <w:tc>
          <w:tcPr>
            <w:tcW w:w="1617" w:type="dxa"/>
            <w:tcBorders>
              <w:top w:val="single" w:sz="4" w:space="0" w:color="auto"/>
              <w:left w:val="single" w:sz="4" w:space="0" w:color="auto"/>
              <w:bottom w:val="single" w:sz="4" w:space="0" w:color="auto"/>
            </w:tcBorders>
            <w:shd w:val="clear" w:color="auto" w:fill="auto"/>
            <w:noWrap/>
            <w:vAlign w:val="center"/>
            <w:hideMark/>
          </w:tcPr>
          <w:p w14:paraId="50A9874A" w14:textId="77777777" w:rsidR="006C6B06" w:rsidRPr="00BB5AC9" w:rsidRDefault="006C6B06" w:rsidP="00CE2FDF">
            <w:pPr>
              <w:spacing w:before="0" w:line="240" w:lineRule="auto"/>
              <w:jc w:val="right"/>
            </w:pPr>
            <w:r w:rsidRPr="00BB5AC9">
              <w:t>109,562</w:t>
            </w:r>
          </w:p>
        </w:tc>
        <w:tc>
          <w:tcPr>
            <w:tcW w:w="1329" w:type="dxa"/>
            <w:tcBorders>
              <w:top w:val="single" w:sz="4" w:space="0" w:color="auto"/>
              <w:bottom w:val="single" w:sz="4" w:space="0" w:color="auto"/>
              <w:right w:val="single" w:sz="4" w:space="0" w:color="auto"/>
            </w:tcBorders>
            <w:shd w:val="clear" w:color="auto" w:fill="auto"/>
            <w:vAlign w:val="center"/>
          </w:tcPr>
          <w:p w14:paraId="12B81114" w14:textId="77777777" w:rsidR="006C6B06" w:rsidRPr="00BB5AC9" w:rsidRDefault="006C6B06" w:rsidP="00CE2FDF">
            <w:pPr>
              <w:spacing w:before="0" w:line="240" w:lineRule="auto"/>
              <w:jc w:val="right"/>
            </w:pPr>
            <w:r w:rsidRPr="00BB5AC9">
              <w:t>24</w:t>
            </w:r>
            <w:r>
              <w:t>.1</w:t>
            </w:r>
            <w:r w:rsidRPr="00BB5AC9">
              <w:t>%</w:t>
            </w:r>
          </w:p>
        </w:tc>
        <w:tc>
          <w:tcPr>
            <w:tcW w:w="1329" w:type="dxa"/>
            <w:tcBorders>
              <w:top w:val="single" w:sz="4" w:space="0" w:color="auto"/>
              <w:left w:val="single" w:sz="4" w:space="0" w:color="auto"/>
              <w:bottom w:val="single" w:sz="4" w:space="0" w:color="auto"/>
            </w:tcBorders>
            <w:shd w:val="clear" w:color="auto" w:fill="auto"/>
            <w:noWrap/>
            <w:vAlign w:val="center"/>
            <w:hideMark/>
          </w:tcPr>
          <w:p w14:paraId="3A73F506" w14:textId="77777777" w:rsidR="006C6B06" w:rsidRPr="00BB5AC9" w:rsidRDefault="006C6B06" w:rsidP="00CE2FDF">
            <w:pPr>
              <w:spacing w:before="0" w:line="240" w:lineRule="auto"/>
              <w:jc w:val="right"/>
            </w:pPr>
            <w:r w:rsidRPr="00BB5AC9">
              <w:t>61,283</w:t>
            </w:r>
          </w:p>
        </w:tc>
        <w:tc>
          <w:tcPr>
            <w:tcW w:w="1329" w:type="dxa"/>
            <w:tcBorders>
              <w:top w:val="single" w:sz="4" w:space="0" w:color="auto"/>
              <w:bottom w:val="single" w:sz="4" w:space="0" w:color="auto"/>
              <w:right w:val="single" w:sz="4" w:space="0" w:color="auto"/>
            </w:tcBorders>
            <w:shd w:val="clear" w:color="auto" w:fill="auto"/>
            <w:vAlign w:val="center"/>
          </w:tcPr>
          <w:p w14:paraId="0D8BA8F8" w14:textId="77777777" w:rsidR="006C6B06" w:rsidRPr="00BB5AC9" w:rsidRDefault="006C6B06" w:rsidP="00CE2FDF">
            <w:pPr>
              <w:spacing w:before="0" w:line="240" w:lineRule="auto"/>
              <w:jc w:val="right"/>
            </w:pPr>
            <w:r w:rsidRPr="00BB5AC9">
              <w:t>13</w:t>
            </w:r>
            <w:r>
              <w:t>.5</w:t>
            </w:r>
            <w:r w:rsidRPr="00BB5AC9">
              <w:t>%</w:t>
            </w:r>
          </w:p>
        </w:tc>
        <w:tc>
          <w:tcPr>
            <w:tcW w:w="1329" w:type="dxa"/>
            <w:tcBorders>
              <w:top w:val="single" w:sz="4" w:space="0" w:color="auto"/>
              <w:left w:val="single" w:sz="4" w:space="0" w:color="auto"/>
              <w:bottom w:val="single" w:sz="4" w:space="0" w:color="auto"/>
            </w:tcBorders>
            <w:shd w:val="clear" w:color="auto" w:fill="auto"/>
            <w:noWrap/>
            <w:vAlign w:val="center"/>
            <w:hideMark/>
          </w:tcPr>
          <w:p w14:paraId="41DDF801" w14:textId="77777777" w:rsidR="006C6B06" w:rsidRPr="00BB5AC9" w:rsidRDefault="006C6B06" w:rsidP="00CE2FDF">
            <w:pPr>
              <w:spacing w:before="0" w:line="240" w:lineRule="auto"/>
              <w:jc w:val="right"/>
            </w:pPr>
            <w:r w:rsidRPr="00BB5AC9">
              <w:t>65,520</w:t>
            </w:r>
          </w:p>
        </w:tc>
        <w:tc>
          <w:tcPr>
            <w:tcW w:w="1329" w:type="dxa"/>
            <w:tcBorders>
              <w:top w:val="single" w:sz="4" w:space="0" w:color="auto"/>
              <w:bottom w:val="single" w:sz="4" w:space="0" w:color="auto"/>
              <w:right w:val="single" w:sz="4" w:space="0" w:color="auto"/>
            </w:tcBorders>
            <w:shd w:val="clear" w:color="auto" w:fill="auto"/>
            <w:vAlign w:val="center"/>
          </w:tcPr>
          <w:p w14:paraId="7B8003E5" w14:textId="77777777" w:rsidR="006C6B06" w:rsidRPr="00BB5AC9" w:rsidRDefault="006C6B06" w:rsidP="00CE2FDF">
            <w:pPr>
              <w:spacing w:before="0" w:line="240" w:lineRule="auto"/>
              <w:jc w:val="right"/>
            </w:pPr>
            <w:r w:rsidRPr="00BB5AC9">
              <w:t>14</w:t>
            </w:r>
            <w:r>
              <w:t>.4</w:t>
            </w:r>
            <w:r w:rsidRPr="00BB5AC9">
              <w:t>%</w:t>
            </w:r>
          </w:p>
        </w:tc>
        <w:tc>
          <w:tcPr>
            <w:tcW w:w="1329" w:type="dxa"/>
            <w:tcBorders>
              <w:top w:val="single" w:sz="4" w:space="0" w:color="auto"/>
              <w:left w:val="single" w:sz="4" w:space="0" w:color="auto"/>
              <w:bottom w:val="single" w:sz="4" w:space="0" w:color="auto"/>
            </w:tcBorders>
            <w:shd w:val="clear" w:color="auto" w:fill="auto"/>
            <w:noWrap/>
            <w:vAlign w:val="center"/>
            <w:hideMark/>
          </w:tcPr>
          <w:p w14:paraId="7922579B" w14:textId="77777777" w:rsidR="006C6B06" w:rsidRPr="00BB5AC9" w:rsidRDefault="006C6B06" w:rsidP="00CE2FDF">
            <w:pPr>
              <w:spacing w:before="0" w:line="240" w:lineRule="auto"/>
              <w:jc w:val="right"/>
            </w:pPr>
            <w:r w:rsidRPr="00BB5AC9">
              <w:t>27,327</w:t>
            </w:r>
          </w:p>
        </w:tc>
        <w:tc>
          <w:tcPr>
            <w:tcW w:w="1329" w:type="dxa"/>
            <w:tcBorders>
              <w:top w:val="single" w:sz="4" w:space="0" w:color="auto"/>
              <w:bottom w:val="single" w:sz="4" w:space="0" w:color="auto"/>
              <w:right w:val="single" w:sz="4" w:space="0" w:color="auto"/>
            </w:tcBorders>
            <w:shd w:val="clear" w:color="auto" w:fill="auto"/>
            <w:vAlign w:val="center"/>
          </w:tcPr>
          <w:p w14:paraId="3587D968" w14:textId="77777777" w:rsidR="006C6B06" w:rsidRPr="00BB5AC9" w:rsidRDefault="006C6B06" w:rsidP="00CE2FDF">
            <w:pPr>
              <w:spacing w:before="0" w:line="240" w:lineRule="auto"/>
              <w:jc w:val="right"/>
            </w:pPr>
            <w:r w:rsidRPr="00BB5AC9">
              <w:t>6</w:t>
            </w:r>
            <w:r>
              <w:t>.0</w:t>
            </w:r>
            <w:r w:rsidRPr="00BB5AC9">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4D9D" w14:textId="77777777" w:rsidR="006C6B06" w:rsidRPr="00BB5AC9" w:rsidRDefault="006C6B06" w:rsidP="00CE2FDF">
            <w:pPr>
              <w:tabs>
                <w:tab w:val="left" w:pos="1134"/>
              </w:tabs>
              <w:spacing w:before="0" w:line="240" w:lineRule="auto"/>
              <w:jc w:val="right"/>
              <w:rPr>
                <w:rFonts w:cs="Arial"/>
                <w:b/>
              </w:rPr>
            </w:pPr>
            <w:r w:rsidRPr="00BB5AC9">
              <w:rPr>
                <w:rFonts w:cs="Arial"/>
                <w:b/>
              </w:rPr>
              <w:t>263,692</w:t>
            </w:r>
          </w:p>
        </w:tc>
      </w:tr>
      <w:tr w:rsidR="00BB5AC9" w:rsidRPr="00BB5AC9" w14:paraId="060D8827" w14:textId="77777777" w:rsidTr="00407ACB">
        <w:trPr>
          <w:trHeight w:val="276"/>
        </w:trPr>
        <w:tc>
          <w:tcPr>
            <w:tcW w:w="208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9627398" w14:textId="77777777" w:rsidR="00BB5AC9" w:rsidRPr="00BB5AC9" w:rsidRDefault="00EB374E" w:rsidP="00CE2FDF">
            <w:pPr>
              <w:spacing w:before="0" w:line="240" w:lineRule="auto"/>
              <w:rPr>
                <w:b/>
              </w:rPr>
            </w:pPr>
            <w:r>
              <w:rPr>
                <w:b/>
              </w:rPr>
              <w:t>Totals:</w:t>
            </w:r>
          </w:p>
        </w:tc>
        <w:tc>
          <w:tcPr>
            <w:tcW w:w="1617"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10F9630A" w14:textId="77777777" w:rsidR="00BB5AC9" w:rsidRPr="00EB374E" w:rsidRDefault="00BB5AC9" w:rsidP="00CE2FDF">
            <w:pPr>
              <w:spacing w:before="0" w:line="240" w:lineRule="auto"/>
              <w:jc w:val="right"/>
              <w:rPr>
                <w:b/>
              </w:rPr>
            </w:pPr>
            <w:r w:rsidRPr="00EB374E">
              <w:rPr>
                <w:b/>
              </w:rPr>
              <w:t>197,827</w:t>
            </w:r>
          </w:p>
        </w:tc>
        <w:tc>
          <w:tcPr>
            <w:tcW w:w="1329" w:type="dxa"/>
            <w:tcBorders>
              <w:top w:val="single" w:sz="4" w:space="0" w:color="auto"/>
              <w:bottom w:val="single" w:sz="4" w:space="0" w:color="auto"/>
              <w:right w:val="single" w:sz="4" w:space="0" w:color="auto"/>
            </w:tcBorders>
            <w:shd w:val="clear" w:color="auto" w:fill="B8CCE4" w:themeFill="accent1" w:themeFillTint="66"/>
            <w:vAlign w:val="center"/>
          </w:tcPr>
          <w:p w14:paraId="4A5941C9" w14:textId="77777777" w:rsidR="00BB5AC9" w:rsidRPr="00EB374E" w:rsidRDefault="00BB5AC9" w:rsidP="00CE2FDF">
            <w:pPr>
              <w:spacing w:before="0" w:line="240" w:lineRule="auto"/>
              <w:jc w:val="right"/>
              <w:rPr>
                <w:b/>
              </w:rPr>
            </w:pPr>
            <w:r w:rsidRPr="00EB374E">
              <w:rPr>
                <w:b/>
              </w:rPr>
              <w:t>43</w:t>
            </w:r>
            <w:r w:rsidR="00EB374E">
              <w:rPr>
                <w:b/>
              </w:rPr>
              <w:t>6</w:t>
            </w:r>
            <w:r w:rsidRPr="00EB374E">
              <w:rPr>
                <w:b/>
              </w:rPr>
              <w:t>%</w:t>
            </w:r>
          </w:p>
        </w:tc>
        <w:tc>
          <w:tcPr>
            <w:tcW w:w="1329"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5D3D9CFA" w14:textId="77777777" w:rsidR="00BB5AC9" w:rsidRPr="00EB374E" w:rsidRDefault="00BB5AC9" w:rsidP="00CE2FDF">
            <w:pPr>
              <w:spacing w:before="0" w:line="240" w:lineRule="auto"/>
              <w:jc w:val="right"/>
              <w:rPr>
                <w:b/>
              </w:rPr>
            </w:pPr>
            <w:r w:rsidRPr="00EB374E">
              <w:rPr>
                <w:b/>
              </w:rPr>
              <w:t>87,439</w:t>
            </w:r>
          </w:p>
        </w:tc>
        <w:tc>
          <w:tcPr>
            <w:tcW w:w="1329" w:type="dxa"/>
            <w:tcBorders>
              <w:top w:val="single" w:sz="4" w:space="0" w:color="auto"/>
              <w:bottom w:val="single" w:sz="4" w:space="0" w:color="auto"/>
              <w:right w:val="single" w:sz="4" w:space="0" w:color="auto"/>
            </w:tcBorders>
            <w:shd w:val="clear" w:color="auto" w:fill="B8CCE4" w:themeFill="accent1" w:themeFillTint="66"/>
            <w:vAlign w:val="center"/>
          </w:tcPr>
          <w:p w14:paraId="1FBBFE4F" w14:textId="77777777" w:rsidR="00BB5AC9" w:rsidRPr="00EB374E" w:rsidRDefault="00BB5AC9" w:rsidP="00CE2FDF">
            <w:pPr>
              <w:spacing w:before="0" w:line="240" w:lineRule="auto"/>
              <w:jc w:val="right"/>
              <w:rPr>
                <w:b/>
              </w:rPr>
            </w:pPr>
            <w:r w:rsidRPr="00EB374E">
              <w:rPr>
                <w:b/>
              </w:rPr>
              <w:t>19</w:t>
            </w:r>
            <w:r w:rsidR="00547FC5">
              <w:rPr>
                <w:b/>
              </w:rPr>
              <w:t>.3</w:t>
            </w:r>
            <w:r w:rsidRPr="00EB374E">
              <w:rPr>
                <w:b/>
              </w:rPr>
              <w:t>%</w:t>
            </w:r>
          </w:p>
        </w:tc>
        <w:tc>
          <w:tcPr>
            <w:tcW w:w="1329"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0A17EE3A" w14:textId="77777777" w:rsidR="00BB5AC9" w:rsidRPr="00EB374E" w:rsidRDefault="00BB5AC9" w:rsidP="00CE2FDF">
            <w:pPr>
              <w:spacing w:before="0" w:line="240" w:lineRule="auto"/>
              <w:jc w:val="right"/>
              <w:rPr>
                <w:b/>
              </w:rPr>
            </w:pPr>
            <w:r w:rsidRPr="00EB374E">
              <w:rPr>
                <w:b/>
              </w:rPr>
              <w:t>119,886</w:t>
            </w:r>
          </w:p>
        </w:tc>
        <w:tc>
          <w:tcPr>
            <w:tcW w:w="1329" w:type="dxa"/>
            <w:tcBorders>
              <w:top w:val="single" w:sz="4" w:space="0" w:color="auto"/>
              <w:bottom w:val="single" w:sz="4" w:space="0" w:color="auto"/>
              <w:right w:val="single" w:sz="4" w:space="0" w:color="auto"/>
            </w:tcBorders>
            <w:shd w:val="clear" w:color="auto" w:fill="B8CCE4" w:themeFill="accent1" w:themeFillTint="66"/>
            <w:vAlign w:val="center"/>
          </w:tcPr>
          <w:p w14:paraId="531ACC29" w14:textId="77777777" w:rsidR="00BB5AC9" w:rsidRPr="00EB374E" w:rsidRDefault="00BB5AC9" w:rsidP="00CE2FDF">
            <w:pPr>
              <w:spacing w:before="0" w:line="240" w:lineRule="auto"/>
              <w:jc w:val="right"/>
              <w:rPr>
                <w:b/>
              </w:rPr>
            </w:pPr>
            <w:r w:rsidRPr="00EB374E">
              <w:rPr>
                <w:b/>
              </w:rPr>
              <w:t>26</w:t>
            </w:r>
            <w:r w:rsidR="00547FC5">
              <w:rPr>
                <w:b/>
              </w:rPr>
              <w:t>.4</w:t>
            </w:r>
            <w:r w:rsidRPr="00EB374E">
              <w:rPr>
                <w:b/>
              </w:rPr>
              <w:t>%</w:t>
            </w:r>
          </w:p>
        </w:tc>
        <w:tc>
          <w:tcPr>
            <w:tcW w:w="1329" w:type="dxa"/>
            <w:tcBorders>
              <w:top w:val="single" w:sz="4" w:space="0" w:color="auto"/>
              <w:left w:val="single" w:sz="4" w:space="0" w:color="auto"/>
              <w:bottom w:val="single" w:sz="4" w:space="0" w:color="auto"/>
            </w:tcBorders>
            <w:shd w:val="clear" w:color="auto" w:fill="B8CCE4" w:themeFill="accent1" w:themeFillTint="66"/>
            <w:noWrap/>
            <w:vAlign w:val="center"/>
            <w:hideMark/>
          </w:tcPr>
          <w:p w14:paraId="4617175D" w14:textId="77777777" w:rsidR="00BB5AC9" w:rsidRPr="00EB374E" w:rsidRDefault="00BB5AC9" w:rsidP="00CE2FDF">
            <w:pPr>
              <w:spacing w:before="0" w:line="240" w:lineRule="auto"/>
              <w:jc w:val="right"/>
              <w:rPr>
                <w:b/>
              </w:rPr>
            </w:pPr>
            <w:r w:rsidRPr="00EB374E">
              <w:rPr>
                <w:b/>
              </w:rPr>
              <w:t>48,968</w:t>
            </w:r>
          </w:p>
        </w:tc>
        <w:tc>
          <w:tcPr>
            <w:tcW w:w="1329" w:type="dxa"/>
            <w:tcBorders>
              <w:top w:val="single" w:sz="4" w:space="0" w:color="auto"/>
              <w:bottom w:val="single" w:sz="4" w:space="0" w:color="auto"/>
              <w:right w:val="single" w:sz="4" w:space="0" w:color="auto"/>
            </w:tcBorders>
            <w:shd w:val="clear" w:color="auto" w:fill="B8CCE4" w:themeFill="accent1" w:themeFillTint="66"/>
            <w:vAlign w:val="center"/>
          </w:tcPr>
          <w:p w14:paraId="7EE815C9" w14:textId="77777777" w:rsidR="00BB5AC9" w:rsidRPr="00EB374E" w:rsidRDefault="00547FC5" w:rsidP="00CE2FDF">
            <w:pPr>
              <w:spacing w:before="0" w:line="240" w:lineRule="auto"/>
              <w:jc w:val="right"/>
              <w:rPr>
                <w:b/>
              </w:rPr>
            </w:pPr>
            <w:r>
              <w:rPr>
                <w:b/>
              </w:rPr>
              <w:t>10.8</w:t>
            </w:r>
            <w:r w:rsidR="00BB5AC9" w:rsidRPr="00EB374E">
              <w:rPr>
                <w:b/>
              </w:rPr>
              <w:t>%</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898B968" w14:textId="77777777" w:rsidR="00BB5AC9" w:rsidRPr="00BB5AC9" w:rsidRDefault="00BB5AC9" w:rsidP="00CE2FDF">
            <w:pPr>
              <w:tabs>
                <w:tab w:val="left" w:pos="1134"/>
              </w:tabs>
              <w:spacing w:before="0" w:line="240" w:lineRule="auto"/>
              <w:jc w:val="right"/>
              <w:rPr>
                <w:rFonts w:cs="Arial"/>
                <w:b/>
              </w:rPr>
            </w:pPr>
            <w:r w:rsidRPr="00BB5AC9">
              <w:rPr>
                <w:rFonts w:cs="Arial"/>
                <w:b/>
              </w:rPr>
              <w:t>454,120</w:t>
            </w:r>
          </w:p>
        </w:tc>
      </w:tr>
    </w:tbl>
    <w:p w14:paraId="5AD39DA7" w14:textId="77777777" w:rsidR="006C6B06" w:rsidRPr="00474D52" w:rsidRDefault="006C6B06" w:rsidP="00474D52">
      <w:pPr>
        <w:pStyle w:val="Heading6"/>
        <w:spacing w:before="240" w:after="240"/>
      </w:pPr>
      <w:r w:rsidRPr="00474D52">
        <w:t>Line graph for table 1.13: Number of reports by reporter group, by abuse type, as a percentage of all reports (all reports over decade combined)</w:t>
      </w:r>
    </w:p>
    <w:p w14:paraId="0353FD4B" w14:textId="77777777" w:rsidR="00BA154E" w:rsidRDefault="006C6B06" w:rsidP="00B15586">
      <w:pPr>
        <w:keepNext/>
      </w:pPr>
      <w:r>
        <w:rPr>
          <w:noProof/>
          <w:lang w:eastAsia="en-AU"/>
        </w:rPr>
        <w:drawing>
          <wp:inline distT="0" distB="0" distL="0" distR="0" wp14:anchorId="10808CF3" wp14:editId="10B835A2">
            <wp:extent cx="8953500" cy="2047875"/>
            <wp:effectExtent l="0" t="0" r="0" b="9525"/>
            <wp:docPr id="37" name="Chart 37" descr="Shows police, schools, doctors and nurses as major sources of reports on neglect, sexual, emotional and physical abuse." title="Line graph for table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28CFC2" w14:textId="77777777" w:rsidR="00C84E96" w:rsidRDefault="00C84E96" w:rsidP="00B15586">
      <w:pPr>
        <w:keepNext/>
      </w:pPr>
      <w:r>
        <w:br w:type="page"/>
      </w:r>
    </w:p>
    <w:p w14:paraId="60B71114" w14:textId="17F5BB14" w:rsidR="005D61DD" w:rsidRPr="00181ABA" w:rsidRDefault="00863988" w:rsidP="00181ABA">
      <w:pPr>
        <w:pStyle w:val="Figureheading"/>
      </w:pPr>
      <w:bookmarkStart w:id="63" w:name="_Toc382206710"/>
      <w:r w:rsidRPr="00181ABA">
        <w:lastRenderedPageBreak/>
        <w:t>1.14</w:t>
      </w:r>
      <w:r w:rsidRPr="00181ABA">
        <w:tab/>
      </w:r>
      <w:r w:rsidR="005D61DD" w:rsidRPr="00181ABA">
        <w:t>Percentage c</w:t>
      </w:r>
      <w:r w:rsidR="005D61DD" w:rsidRPr="00181ABA">
        <w:rPr>
          <w:rStyle w:val="Heading7Char"/>
          <w:rFonts w:cstheme="majorBidi"/>
          <w:b/>
          <w:i w:val="0"/>
          <w:iCs w:val="0"/>
          <w:color w:val="17365D"/>
          <w:sz w:val="28"/>
          <w:szCs w:val="22"/>
        </w:rPr>
        <w:t>h</w:t>
      </w:r>
      <w:r w:rsidR="005D61DD" w:rsidRPr="00181ABA">
        <w:t xml:space="preserve">anges for reporter group, by abuse type (all reports over </w:t>
      </w:r>
      <w:proofErr w:type="gramStart"/>
      <w:r w:rsidR="005D61DD" w:rsidRPr="00181ABA">
        <w:t>10 year</w:t>
      </w:r>
      <w:proofErr w:type="gramEnd"/>
      <w:r w:rsidR="005D61DD" w:rsidRPr="00181ABA">
        <w:t xml:space="preserve"> period combined)</w:t>
      </w:r>
      <w:bookmarkEnd w:id="63"/>
    </w:p>
    <w:tbl>
      <w:tblPr>
        <w:tblStyle w:val="LightShading-Accent11"/>
        <w:tblW w:w="148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Percentage changes for reporter group, by abuse type (all reports over 10 year period combined)"/>
      </w:tblPr>
      <w:tblGrid>
        <w:gridCol w:w="1732"/>
        <w:gridCol w:w="1874"/>
        <w:gridCol w:w="1874"/>
        <w:gridCol w:w="1874"/>
        <w:gridCol w:w="1874"/>
        <w:gridCol w:w="1874"/>
        <w:gridCol w:w="1874"/>
        <w:gridCol w:w="1874"/>
      </w:tblGrid>
      <w:tr w:rsidR="001635B1" w:rsidRPr="00901477" w14:paraId="0C3442EE" w14:textId="77777777" w:rsidTr="00F2009E">
        <w:trPr>
          <w:cnfStyle w:val="100000000000" w:firstRow="1" w:lastRow="0" w:firstColumn="0" w:lastColumn="0" w:oddVBand="0" w:evenVBand="0" w:oddHBand="0" w:evenHBand="0" w:firstRowFirstColumn="0" w:firstRowLastColumn="0" w:lastRowFirstColumn="0" w:lastRowLastColumn="0"/>
          <w:trHeight w:val="854"/>
          <w:tblHeader/>
        </w:trPr>
        <w:tc>
          <w:tcPr>
            <w:cnfStyle w:val="001000000000" w:firstRow="0" w:lastRow="0" w:firstColumn="1" w:lastColumn="0" w:oddVBand="0" w:evenVBand="0" w:oddHBand="0" w:evenHBand="0" w:firstRowFirstColumn="0" w:firstRowLastColumn="0" w:lastRowFirstColumn="0" w:lastRowLastColumn="0"/>
            <w:tcW w:w="1732"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6A1727AC" w14:textId="77777777" w:rsidR="001635B1" w:rsidRPr="00901477" w:rsidRDefault="001635B1" w:rsidP="00CE2FDF">
            <w:pPr>
              <w:spacing w:before="0" w:after="60" w:line="276" w:lineRule="auto"/>
              <w:rPr>
                <w:color w:val="auto"/>
              </w:rPr>
            </w:pPr>
          </w:p>
        </w:tc>
        <w:tc>
          <w:tcPr>
            <w:tcW w:w="1874"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1559D18C" w14:textId="77777777" w:rsidR="001635B1" w:rsidRPr="00901477" w:rsidRDefault="004A3ADA" w:rsidP="00CE2FDF">
            <w:pPr>
              <w:spacing w:before="0" w:after="60" w:line="276" w:lineRule="auto"/>
              <w:jc w:val="right"/>
              <w:cnfStyle w:val="100000000000" w:firstRow="1" w:lastRow="0" w:firstColumn="0" w:lastColumn="0" w:oddVBand="0" w:evenVBand="0" w:oddHBand="0" w:evenHBand="0" w:firstRowFirstColumn="0" w:firstRowLastColumn="0" w:lastRowFirstColumn="0" w:lastRowLastColumn="0"/>
              <w:rPr>
                <w:color w:val="auto"/>
              </w:rPr>
            </w:pPr>
            <w:r>
              <w:rPr>
                <w:color w:val="auto"/>
              </w:rPr>
              <w:t>Other reporter groups combined</w:t>
            </w:r>
          </w:p>
        </w:tc>
        <w:tc>
          <w:tcPr>
            <w:tcW w:w="1874"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31C89617" w14:textId="77777777" w:rsidR="001635B1" w:rsidRPr="00901477" w:rsidRDefault="004A3ADA" w:rsidP="00CE2FDF">
            <w:pPr>
              <w:spacing w:before="0" w:after="60" w:line="276" w:lineRule="auto"/>
              <w:jc w:val="right"/>
              <w:cnfStyle w:val="100000000000" w:firstRow="1" w:lastRow="0" w:firstColumn="0" w:lastColumn="0" w:oddVBand="0" w:evenVBand="0" w:oddHBand="0" w:evenHBand="0" w:firstRowFirstColumn="0" w:firstRowLastColumn="0" w:lastRowFirstColumn="0" w:lastRowLastColumn="0"/>
              <w:rPr>
                <w:color w:val="auto"/>
              </w:rPr>
            </w:pPr>
            <w:r>
              <w:rPr>
                <w:color w:val="auto"/>
              </w:rPr>
              <w:t>Major mandated reporter groups combined</w:t>
            </w:r>
          </w:p>
        </w:tc>
        <w:tc>
          <w:tcPr>
            <w:tcW w:w="1874"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7732CCF7" w14:textId="77777777" w:rsidR="001635B1" w:rsidRPr="00901477" w:rsidRDefault="001635B1" w:rsidP="00CE2FDF">
            <w:pPr>
              <w:spacing w:before="0" w:after="60" w:line="276" w:lineRule="auto"/>
              <w:jc w:val="right"/>
              <w:cnfStyle w:val="100000000000" w:firstRow="1" w:lastRow="0" w:firstColumn="0" w:lastColumn="0" w:oddVBand="0" w:evenVBand="0" w:oddHBand="0" w:evenHBand="0" w:firstRowFirstColumn="0" w:firstRowLastColumn="0" w:lastRowFirstColumn="0" w:lastRowLastColumn="0"/>
              <w:rPr>
                <w:color w:val="auto"/>
              </w:rPr>
            </w:pPr>
            <w:r w:rsidRPr="00901477">
              <w:rPr>
                <w:color w:val="auto"/>
              </w:rPr>
              <w:t>Doctors</w:t>
            </w:r>
          </w:p>
        </w:tc>
        <w:tc>
          <w:tcPr>
            <w:tcW w:w="1874"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72EE0D0C" w14:textId="77777777" w:rsidR="001635B1" w:rsidRPr="00901477" w:rsidRDefault="001635B1" w:rsidP="00CE2FDF">
            <w:pPr>
              <w:spacing w:before="0" w:after="60" w:line="276" w:lineRule="auto"/>
              <w:jc w:val="right"/>
              <w:cnfStyle w:val="100000000000" w:firstRow="1" w:lastRow="0" w:firstColumn="0" w:lastColumn="0" w:oddVBand="0" w:evenVBand="0" w:oddHBand="0" w:evenHBand="0" w:firstRowFirstColumn="0" w:firstRowLastColumn="0" w:lastRowFirstColumn="0" w:lastRowLastColumn="0"/>
              <w:rPr>
                <w:color w:val="auto"/>
              </w:rPr>
            </w:pPr>
            <w:r w:rsidRPr="00901477">
              <w:rPr>
                <w:color w:val="auto"/>
              </w:rPr>
              <w:t>Nurses</w:t>
            </w:r>
          </w:p>
        </w:tc>
        <w:tc>
          <w:tcPr>
            <w:tcW w:w="1874"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3177862A" w14:textId="77777777" w:rsidR="001635B1" w:rsidRPr="00901477" w:rsidRDefault="001635B1" w:rsidP="00CE2FDF">
            <w:pPr>
              <w:spacing w:before="0" w:after="60" w:line="276" w:lineRule="auto"/>
              <w:jc w:val="right"/>
              <w:cnfStyle w:val="100000000000" w:firstRow="1" w:lastRow="0" w:firstColumn="0" w:lastColumn="0" w:oddVBand="0" w:evenVBand="0" w:oddHBand="0" w:evenHBand="0" w:firstRowFirstColumn="0" w:firstRowLastColumn="0" w:lastRowFirstColumn="0" w:lastRowLastColumn="0"/>
              <w:rPr>
                <w:color w:val="auto"/>
              </w:rPr>
            </w:pPr>
            <w:r w:rsidRPr="00901477">
              <w:rPr>
                <w:color w:val="auto"/>
              </w:rPr>
              <w:t>Police</w:t>
            </w:r>
          </w:p>
        </w:tc>
        <w:tc>
          <w:tcPr>
            <w:tcW w:w="1874"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5162B606" w14:textId="77777777" w:rsidR="001635B1" w:rsidRPr="00901477" w:rsidRDefault="00AC4C50" w:rsidP="00CE2FDF">
            <w:pPr>
              <w:spacing w:before="0" w:after="60" w:line="276" w:lineRule="auto"/>
              <w:jc w:val="right"/>
              <w:cnfStyle w:val="100000000000" w:firstRow="1" w:lastRow="0" w:firstColumn="0" w:lastColumn="0" w:oddVBand="0" w:evenVBand="0" w:oddHBand="0" w:evenHBand="0" w:firstRowFirstColumn="0" w:firstRowLastColumn="0" w:lastRowFirstColumn="0" w:lastRowLastColumn="0"/>
              <w:rPr>
                <w:color w:val="auto"/>
              </w:rPr>
            </w:pPr>
            <w:r>
              <w:rPr>
                <w:color w:val="auto"/>
              </w:rPr>
              <w:t>School personnel</w:t>
            </w:r>
          </w:p>
        </w:tc>
        <w:tc>
          <w:tcPr>
            <w:tcW w:w="1874"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14:paraId="52EDE9EE" w14:textId="77777777" w:rsidR="001635B1" w:rsidRPr="00901477" w:rsidRDefault="001635B1" w:rsidP="00CE2FDF">
            <w:pPr>
              <w:spacing w:before="0" w:after="60" w:line="276" w:lineRule="auto"/>
              <w:jc w:val="right"/>
              <w:cnfStyle w:val="100000000000" w:firstRow="1" w:lastRow="0" w:firstColumn="0" w:lastColumn="0" w:oddVBand="0" w:evenVBand="0" w:oddHBand="0" w:evenHBand="0" w:firstRowFirstColumn="0" w:firstRowLastColumn="0" w:lastRowFirstColumn="0" w:lastRowLastColumn="0"/>
              <w:rPr>
                <w:color w:val="auto"/>
              </w:rPr>
            </w:pPr>
            <w:r w:rsidRPr="00901477">
              <w:rPr>
                <w:color w:val="auto"/>
              </w:rPr>
              <w:t>Psychiatrists</w:t>
            </w:r>
          </w:p>
        </w:tc>
      </w:tr>
      <w:tr w:rsidR="001635B1" w:rsidRPr="00901477" w14:paraId="68D4219A" w14:textId="77777777" w:rsidTr="00C8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vAlign w:val="center"/>
          </w:tcPr>
          <w:p w14:paraId="4BF8546A" w14:textId="77777777" w:rsidR="001635B1" w:rsidRPr="00F76920" w:rsidRDefault="001635B1" w:rsidP="00CE2FDF">
            <w:pPr>
              <w:spacing w:before="0" w:line="276" w:lineRule="auto"/>
              <w:rPr>
                <w:color w:val="auto"/>
              </w:rPr>
            </w:pPr>
            <w:r w:rsidRPr="00F76920">
              <w:rPr>
                <w:color w:val="auto"/>
              </w:rPr>
              <w:t>Emotional</w:t>
            </w:r>
            <w:r>
              <w:rPr>
                <w:color w:val="auto"/>
              </w:rPr>
              <w:t xml:space="preserve"> abuse</w:t>
            </w:r>
          </w:p>
        </w:tc>
        <w:tc>
          <w:tcPr>
            <w:tcW w:w="1874" w:type="dxa"/>
            <w:tcBorders>
              <w:left w:val="none" w:sz="0" w:space="0" w:color="auto"/>
              <w:right w:val="none" w:sz="0" w:space="0" w:color="auto"/>
            </w:tcBorders>
            <w:vAlign w:val="center"/>
          </w:tcPr>
          <w:p w14:paraId="10CB49F1"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184.28%</w:t>
            </w:r>
          </w:p>
        </w:tc>
        <w:tc>
          <w:tcPr>
            <w:tcW w:w="1874" w:type="dxa"/>
            <w:tcBorders>
              <w:left w:val="none" w:sz="0" w:space="0" w:color="auto"/>
              <w:right w:val="none" w:sz="0" w:space="0" w:color="auto"/>
            </w:tcBorders>
            <w:vAlign w:val="center"/>
          </w:tcPr>
          <w:p w14:paraId="61E05773"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364.23%</w:t>
            </w:r>
          </w:p>
        </w:tc>
        <w:tc>
          <w:tcPr>
            <w:tcW w:w="1874" w:type="dxa"/>
            <w:tcBorders>
              <w:left w:val="none" w:sz="0" w:space="0" w:color="auto"/>
              <w:right w:val="none" w:sz="0" w:space="0" w:color="auto"/>
            </w:tcBorders>
            <w:vAlign w:val="center"/>
          </w:tcPr>
          <w:p w14:paraId="7687B9C1"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118.36%</w:t>
            </w:r>
          </w:p>
        </w:tc>
        <w:tc>
          <w:tcPr>
            <w:tcW w:w="1874" w:type="dxa"/>
            <w:tcBorders>
              <w:left w:val="none" w:sz="0" w:space="0" w:color="auto"/>
              <w:right w:val="none" w:sz="0" w:space="0" w:color="auto"/>
            </w:tcBorders>
            <w:vAlign w:val="center"/>
          </w:tcPr>
          <w:p w14:paraId="4FEE1F4B"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112.61%</w:t>
            </w:r>
          </w:p>
        </w:tc>
        <w:tc>
          <w:tcPr>
            <w:tcW w:w="1874" w:type="dxa"/>
            <w:tcBorders>
              <w:left w:val="none" w:sz="0" w:space="0" w:color="auto"/>
              <w:right w:val="none" w:sz="0" w:space="0" w:color="auto"/>
            </w:tcBorders>
            <w:vAlign w:val="center"/>
          </w:tcPr>
          <w:p w14:paraId="7D335596"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405.33%</w:t>
            </w:r>
          </w:p>
        </w:tc>
        <w:tc>
          <w:tcPr>
            <w:tcW w:w="1874" w:type="dxa"/>
            <w:tcBorders>
              <w:left w:val="none" w:sz="0" w:space="0" w:color="auto"/>
              <w:right w:val="none" w:sz="0" w:space="0" w:color="auto"/>
            </w:tcBorders>
            <w:vAlign w:val="center"/>
          </w:tcPr>
          <w:p w14:paraId="3567576D"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486.29%</w:t>
            </w:r>
          </w:p>
        </w:tc>
        <w:tc>
          <w:tcPr>
            <w:tcW w:w="1874" w:type="dxa"/>
            <w:tcBorders>
              <w:left w:val="none" w:sz="0" w:space="0" w:color="auto"/>
              <w:right w:val="none" w:sz="0" w:space="0" w:color="auto"/>
            </w:tcBorders>
            <w:vAlign w:val="center"/>
          </w:tcPr>
          <w:p w14:paraId="5891B4DB"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60%</w:t>
            </w:r>
          </w:p>
        </w:tc>
      </w:tr>
      <w:tr w:rsidR="001635B1" w:rsidRPr="00901477" w14:paraId="7AC47D70" w14:textId="77777777" w:rsidTr="00C84E96">
        <w:tc>
          <w:tcPr>
            <w:cnfStyle w:val="001000000000" w:firstRow="0" w:lastRow="0" w:firstColumn="1" w:lastColumn="0" w:oddVBand="0" w:evenVBand="0" w:oddHBand="0" w:evenHBand="0" w:firstRowFirstColumn="0" w:firstRowLastColumn="0" w:lastRowFirstColumn="0" w:lastRowLastColumn="0"/>
            <w:tcW w:w="1732" w:type="dxa"/>
            <w:vAlign w:val="center"/>
          </w:tcPr>
          <w:p w14:paraId="2D1A0E4D" w14:textId="77777777" w:rsidR="001635B1" w:rsidRPr="00F76920" w:rsidRDefault="001635B1" w:rsidP="00CE2FDF">
            <w:pPr>
              <w:spacing w:before="0" w:line="276" w:lineRule="auto"/>
              <w:rPr>
                <w:color w:val="auto"/>
              </w:rPr>
            </w:pPr>
            <w:r w:rsidRPr="00F76920">
              <w:rPr>
                <w:color w:val="auto"/>
              </w:rPr>
              <w:t>Neglect</w:t>
            </w:r>
          </w:p>
        </w:tc>
        <w:tc>
          <w:tcPr>
            <w:tcW w:w="1874" w:type="dxa"/>
            <w:vAlign w:val="center"/>
          </w:tcPr>
          <w:p w14:paraId="5BA37564"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-63.33%</w:t>
            </w:r>
          </w:p>
        </w:tc>
        <w:tc>
          <w:tcPr>
            <w:tcW w:w="1874" w:type="dxa"/>
            <w:vAlign w:val="center"/>
          </w:tcPr>
          <w:p w14:paraId="28DB59DE"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-48.35%</w:t>
            </w:r>
          </w:p>
        </w:tc>
        <w:tc>
          <w:tcPr>
            <w:tcW w:w="1874" w:type="dxa"/>
            <w:vAlign w:val="center"/>
          </w:tcPr>
          <w:p w14:paraId="021359A4"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-26.24%</w:t>
            </w:r>
          </w:p>
        </w:tc>
        <w:tc>
          <w:tcPr>
            <w:tcW w:w="1874" w:type="dxa"/>
            <w:vAlign w:val="center"/>
          </w:tcPr>
          <w:p w14:paraId="3B62A0B3"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-18.87%</w:t>
            </w:r>
          </w:p>
        </w:tc>
        <w:tc>
          <w:tcPr>
            <w:tcW w:w="1874" w:type="dxa"/>
            <w:vAlign w:val="center"/>
          </w:tcPr>
          <w:p w14:paraId="51BBCEBE"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-64.17%</w:t>
            </w:r>
          </w:p>
        </w:tc>
        <w:tc>
          <w:tcPr>
            <w:tcW w:w="1874" w:type="dxa"/>
            <w:vAlign w:val="center"/>
          </w:tcPr>
          <w:p w14:paraId="2CF72617"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-37.69%</w:t>
            </w:r>
          </w:p>
        </w:tc>
        <w:tc>
          <w:tcPr>
            <w:tcW w:w="1874" w:type="dxa"/>
            <w:vAlign w:val="center"/>
          </w:tcPr>
          <w:p w14:paraId="207D1CBF"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-39.13%</w:t>
            </w:r>
          </w:p>
        </w:tc>
      </w:tr>
      <w:tr w:rsidR="001635B1" w:rsidRPr="00901477" w14:paraId="4202D5D8" w14:textId="77777777" w:rsidTr="00C8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vAlign w:val="center"/>
          </w:tcPr>
          <w:p w14:paraId="5F0D186A" w14:textId="77777777" w:rsidR="001635B1" w:rsidRPr="00F76920" w:rsidRDefault="001635B1" w:rsidP="00CE2FDF">
            <w:pPr>
              <w:spacing w:before="0" w:line="276" w:lineRule="auto"/>
              <w:rPr>
                <w:color w:val="auto"/>
              </w:rPr>
            </w:pPr>
            <w:r w:rsidRPr="00F76920">
              <w:rPr>
                <w:color w:val="auto"/>
              </w:rPr>
              <w:t>Physical</w:t>
            </w:r>
            <w:r>
              <w:rPr>
                <w:color w:val="auto"/>
              </w:rPr>
              <w:t xml:space="preserve"> abuse</w:t>
            </w:r>
          </w:p>
        </w:tc>
        <w:tc>
          <w:tcPr>
            <w:tcW w:w="1874" w:type="dxa"/>
            <w:tcBorders>
              <w:left w:val="none" w:sz="0" w:space="0" w:color="auto"/>
              <w:right w:val="none" w:sz="0" w:space="0" w:color="auto"/>
            </w:tcBorders>
            <w:vAlign w:val="center"/>
          </w:tcPr>
          <w:p w14:paraId="146E758C"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16.43%</w:t>
            </w:r>
          </w:p>
        </w:tc>
        <w:tc>
          <w:tcPr>
            <w:tcW w:w="1874" w:type="dxa"/>
            <w:tcBorders>
              <w:left w:val="none" w:sz="0" w:space="0" w:color="auto"/>
              <w:right w:val="none" w:sz="0" w:space="0" w:color="auto"/>
            </w:tcBorders>
            <w:vAlign w:val="center"/>
          </w:tcPr>
          <w:p w14:paraId="6CA049EF"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147.08%</w:t>
            </w:r>
          </w:p>
        </w:tc>
        <w:tc>
          <w:tcPr>
            <w:tcW w:w="1874" w:type="dxa"/>
            <w:tcBorders>
              <w:left w:val="none" w:sz="0" w:space="0" w:color="auto"/>
              <w:right w:val="none" w:sz="0" w:space="0" w:color="auto"/>
            </w:tcBorders>
            <w:vAlign w:val="center"/>
          </w:tcPr>
          <w:p w14:paraId="5C413A00"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11.78%</w:t>
            </w:r>
          </w:p>
        </w:tc>
        <w:tc>
          <w:tcPr>
            <w:tcW w:w="1874" w:type="dxa"/>
            <w:tcBorders>
              <w:left w:val="none" w:sz="0" w:space="0" w:color="auto"/>
              <w:right w:val="none" w:sz="0" w:space="0" w:color="auto"/>
            </w:tcBorders>
            <w:vAlign w:val="center"/>
          </w:tcPr>
          <w:p w14:paraId="4D5B0CA8"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62.12%</w:t>
            </w:r>
          </w:p>
        </w:tc>
        <w:tc>
          <w:tcPr>
            <w:tcW w:w="1874" w:type="dxa"/>
            <w:tcBorders>
              <w:left w:val="none" w:sz="0" w:space="0" w:color="auto"/>
              <w:right w:val="none" w:sz="0" w:space="0" w:color="auto"/>
            </w:tcBorders>
            <w:vAlign w:val="center"/>
          </w:tcPr>
          <w:p w14:paraId="39017022"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198.36%</w:t>
            </w:r>
          </w:p>
        </w:tc>
        <w:tc>
          <w:tcPr>
            <w:tcW w:w="1874" w:type="dxa"/>
            <w:tcBorders>
              <w:left w:val="none" w:sz="0" w:space="0" w:color="auto"/>
              <w:right w:val="none" w:sz="0" w:space="0" w:color="auto"/>
            </w:tcBorders>
            <w:vAlign w:val="center"/>
          </w:tcPr>
          <w:p w14:paraId="07379FCC"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159.02%</w:t>
            </w:r>
          </w:p>
        </w:tc>
        <w:tc>
          <w:tcPr>
            <w:tcW w:w="1874" w:type="dxa"/>
            <w:tcBorders>
              <w:left w:val="none" w:sz="0" w:space="0" w:color="auto"/>
              <w:right w:val="none" w:sz="0" w:space="0" w:color="auto"/>
            </w:tcBorders>
            <w:vAlign w:val="center"/>
          </w:tcPr>
          <w:p w14:paraId="7BFA079C" w14:textId="77777777" w:rsidR="001635B1" w:rsidRPr="00901477" w:rsidRDefault="001635B1"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color w:val="auto"/>
                <w:lang w:eastAsia="en-AU"/>
              </w:rPr>
            </w:pPr>
            <w:r w:rsidRPr="00901477">
              <w:rPr>
                <w:color w:val="auto"/>
                <w:lang w:eastAsia="en-AU"/>
              </w:rPr>
              <w:t>-4.35%</w:t>
            </w:r>
          </w:p>
        </w:tc>
      </w:tr>
      <w:tr w:rsidR="001635B1" w:rsidRPr="00901477" w14:paraId="07E28D9A" w14:textId="77777777" w:rsidTr="00C84E96">
        <w:tc>
          <w:tcPr>
            <w:cnfStyle w:val="001000000000" w:firstRow="0" w:lastRow="0" w:firstColumn="1" w:lastColumn="0" w:oddVBand="0" w:evenVBand="0" w:oddHBand="0" w:evenHBand="0" w:firstRowFirstColumn="0" w:firstRowLastColumn="0" w:lastRowFirstColumn="0" w:lastRowLastColumn="0"/>
            <w:tcW w:w="1732" w:type="dxa"/>
            <w:vAlign w:val="center"/>
          </w:tcPr>
          <w:p w14:paraId="01D2A826" w14:textId="77777777" w:rsidR="001635B1" w:rsidRPr="00F76920" w:rsidRDefault="001635B1" w:rsidP="00CE2FDF">
            <w:pPr>
              <w:spacing w:before="0" w:line="276" w:lineRule="auto"/>
              <w:rPr>
                <w:color w:val="auto"/>
              </w:rPr>
            </w:pPr>
            <w:r w:rsidRPr="00F76920">
              <w:rPr>
                <w:color w:val="auto"/>
              </w:rPr>
              <w:t>Sexual</w:t>
            </w:r>
            <w:r>
              <w:rPr>
                <w:color w:val="auto"/>
              </w:rPr>
              <w:t xml:space="preserve"> abuse</w:t>
            </w:r>
          </w:p>
        </w:tc>
        <w:tc>
          <w:tcPr>
            <w:tcW w:w="1874" w:type="dxa"/>
            <w:vAlign w:val="center"/>
          </w:tcPr>
          <w:p w14:paraId="098963C5"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12.85%</w:t>
            </w:r>
          </w:p>
        </w:tc>
        <w:tc>
          <w:tcPr>
            <w:tcW w:w="1874" w:type="dxa"/>
            <w:vAlign w:val="center"/>
          </w:tcPr>
          <w:p w14:paraId="76C52540"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160.84%</w:t>
            </w:r>
          </w:p>
        </w:tc>
        <w:tc>
          <w:tcPr>
            <w:tcW w:w="1874" w:type="dxa"/>
            <w:vAlign w:val="center"/>
          </w:tcPr>
          <w:p w14:paraId="0433114A"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2.7%</w:t>
            </w:r>
          </w:p>
        </w:tc>
        <w:tc>
          <w:tcPr>
            <w:tcW w:w="1874" w:type="dxa"/>
            <w:vAlign w:val="center"/>
          </w:tcPr>
          <w:p w14:paraId="362AF09E"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30.88%</w:t>
            </w:r>
          </w:p>
        </w:tc>
        <w:tc>
          <w:tcPr>
            <w:tcW w:w="1874" w:type="dxa"/>
            <w:vAlign w:val="center"/>
          </w:tcPr>
          <w:p w14:paraId="285DA1BC"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235.75%</w:t>
            </w:r>
          </w:p>
        </w:tc>
        <w:tc>
          <w:tcPr>
            <w:tcW w:w="1874" w:type="dxa"/>
            <w:vAlign w:val="center"/>
          </w:tcPr>
          <w:p w14:paraId="2B1275F3"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132.25%</w:t>
            </w:r>
          </w:p>
        </w:tc>
        <w:tc>
          <w:tcPr>
            <w:tcW w:w="1874" w:type="dxa"/>
            <w:vAlign w:val="center"/>
          </w:tcPr>
          <w:p w14:paraId="7E43BE25" w14:textId="77777777" w:rsidR="001635B1" w:rsidRPr="00901477" w:rsidRDefault="001635B1"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color w:val="auto"/>
                <w:lang w:eastAsia="en-AU"/>
              </w:rPr>
            </w:pPr>
            <w:r w:rsidRPr="00901477">
              <w:rPr>
                <w:color w:val="auto"/>
                <w:lang w:eastAsia="en-AU"/>
              </w:rPr>
              <w:t>37.93%</w:t>
            </w:r>
          </w:p>
        </w:tc>
      </w:tr>
    </w:tbl>
    <w:p w14:paraId="028F7AC5" w14:textId="77777777" w:rsidR="005D61DD" w:rsidRPr="00474D52" w:rsidRDefault="005D61DD" w:rsidP="005E613E">
      <w:pPr>
        <w:pStyle w:val="Heading6"/>
        <w:spacing w:before="240" w:after="240"/>
      </w:pPr>
      <w:bookmarkStart w:id="64" w:name="_Toc382206711"/>
      <w:r w:rsidRPr="00474D52">
        <w:t>Line graph for table 1.14: Percentage changes for reporter group, by abuse type (all reports over 10 year period combined)</w:t>
      </w:r>
      <w:bookmarkEnd w:id="64"/>
    </w:p>
    <w:p w14:paraId="55657BC1" w14:textId="77777777" w:rsidR="00863C61" w:rsidRDefault="004A3ADA" w:rsidP="00B15586">
      <w:pPr>
        <w:keepNext/>
      </w:pPr>
      <w:r>
        <w:rPr>
          <w:noProof/>
          <w:lang w:eastAsia="en-AU"/>
        </w:rPr>
        <w:drawing>
          <wp:inline distT="0" distB="0" distL="0" distR="0" wp14:anchorId="307D64A1" wp14:editId="7D9388DB">
            <wp:extent cx="9279890" cy="2743200"/>
            <wp:effectExtent l="0" t="0" r="16510" b="0"/>
            <wp:docPr id="1" name="Chart 1" descr="Shows reports of neglect by all reporter groups fell compared to increases for emotional, physical and sexual abuse." title="Line graph for table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863C61">
        <w:br w:type="page"/>
      </w:r>
    </w:p>
    <w:p w14:paraId="3149910E" w14:textId="4916AF87" w:rsidR="005D61DD" w:rsidRDefault="00863988" w:rsidP="00863988">
      <w:pPr>
        <w:pStyle w:val="Figureheading"/>
      </w:pPr>
      <w:bookmarkStart w:id="65" w:name="_Toc382206712"/>
      <w:r>
        <w:lastRenderedPageBreak/>
        <w:t>1.15</w:t>
      </w:r>
      <w:r>
        <w:tab/>
      </w:r>
      <w:r w:rsidR="005D61DD">
        <w:t xml:space="preserve">Number of reports by year, by reporter group, with percentage </w:t>
      </w:r>
      <w:proofErr w:type="gramStart"/>
      <w:r w:rsidR="005D61DD">
        <w:t>change</w:t>
      </w:r>
      <w:proofErr w:type="gramEnd"/>
      <w:r w:rsidR="005D61DD">
        <w:t xml:space="preserve"> (all abuse types combined)</w:t>
      </w:r>
      <w:bookmarkEnd w:id="65"/>
    </w:p>
    <w:tbl>
      <w:tblPr>
        <w:tblW w:w="140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080"/>
        <w:gridCol w:w="990"/>
        <w:gridCol w:w="990"/>
        <w:gridCol w:w="900"/>
        <w:gridCol w:w="990"/>
        <w:gridCol w:w="900"/>
        <w:gridCol w:w="990"/>
        <w:gridCol w:w="1080"/>
        <w:gridCol w:w="982"/>
        <w:gridCol w:w="1081"/>
        <w:gridCol w:w="1080"/>
        <w:gridCol w:w="1081"/>
      </w:tblGrid>
      <w:tr w:rsidR="00F2009E" w:rsidRPr="0080244C" w14:paraId="0CFB1213" w14:textId="77777777" w:rsidTr="00407ACB">
        <w:trPr>
          <w:trHeight w:val="134"/>
        </w:trPr>
        <w:tc>
          <w:tcPr>
            <w:tcW w:w="1902" w:type="dxa"/>
            <w:tcBorders>
              <w:bottom w:val="single" w:sz="4" w:space="0" w:color="auto"/>
            </w:tcBorders>
            <w:shd w:val="clear" w:color="000000" w:fill="95B3D7"/>
            <w:vAlign w:val="center"/>
            <w:hideMark/>
          </w:tcPr>
          <w:p w14:paraId="6E4E8CD1" w14:textId="77777777" w:rsidR="005D61DD" w:rsidRPr="0080244C" w:rsidRDefault="005D61DD" w:rsidP="00F2009E">
            <w:pPr>
              <w:spacing w:before="0" w:line="240" w:lineRule="auto"/>
              <w:rPr>
                <w:rFonts w:eastAsia="Times New Roman" w:cs="Arial"/>
                <w:b/>
                <w:bCs/>
                <w:lang w:eastAsia="en-AU"/>
              </w:rPr>
            </w:pPr>
          </w:p>
        </w:tc>
        <w:tc>
          <w:tcPr>
            <w:tcW w:w="1080" w:type="dxa"/>
            <w:tcBorders>
              <w:bottom w:val="single" w:sz="4" w:space="0" w:color="auto"/>
            </w:tcBorders>
            <w:shd w:val="clear" w:color="000000" w:fill="95B3D7"/>
            <w:vAlign w:val="center"/>
            <w:hideMark/>
          </w:tcPr>
          <w:p w14:paraId="567D19BF"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2003</w:t>
            </w:r>
          </w:p>
        </w:tc>
        <w:tc>
          <w:tcPr>
            <w:tcW w:w="990" w:type="dxa"/>
            <w:tcBorders>
              <w:bottom w:val="single" w:sz="4" w:space="0" w:color="auto"/>
            </w:tcBorders>
            <w:shd w:val="clear" w:color="000000" w:fill="95B3D7"/>
            <w:vAlign w:val="center"/>
            <w:hideMark/>
          </w:tcPr>
          <w:p w14:paraId="18519CEA"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2004</w:t>
            </w:r>
          </w:p>
        </w:tc>
        <w:tc>
          <w:tcPr>
            <w:tcW w:w="990" w:type="dxa"/>
            <w:tcBorders>
              <w:bottom w:val="single" w:sz="4" w:space="0" w:color="auto"/>
            </w:tcBorders>
            <w:shd w:val="clear" w:color="000000" w:fill="95B3D7"/>
            <w:vAlign w:val="center"/>
            <w:hideMark/>
          </w:tcPr>
          <w:p w14:paraId="0DFD7F66"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2005</w:t>
            </w:r>
          </w:p>
        </w:tc>
        <w:tc>
          <w:tcPr>
            <w:tcW w:w="900" w:type="dxa"/>
            <w:tcBorders>
              <w:bottom w:val="single" w:sz="4" w:space="0" w:color="auto"/>
            </w:tcBorders>
            <w:shd w:val="clear" w:color="000000" w:fill="95B3D7"/>
            <w:vAlign w:val="center"/>
            <w:hideMark/>
          </w:tcPr>
          <w:p w14:paraId="510D1CFB"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2006</w:t>
            </w:r>
          </w:p>
        </w:tc>
        <w:tc>
          <w:tcPr>
            <w:tcW w:w="990" w:type="dxa"/>
            <w:tcBorders>
              <w:bottom w:val="single" w:sz="4" w:space="0" w:color="auto"/>
            </w:tcBorders>
            <w:shd w:val="clear" w:color="000000" w:fill="95B3D7"/>
            <w:vAlign w:val="center"/>
            <w:hideMark/>
          </w:tcPr>
          <w:p w14:paraId="7F1DBA79"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2007</w:t>
            </w:r>
          </w:p>
        </w:tc>
        <w:tc>
          <w:tcPr>
            <w:tcW w:w="900" w:type="dxa"/>
            <w:tcBorders>
              <w:bottom w:val="single" w:sz="4" w:space="0" w:color="auto"/>
            </w:tcBorders>
            <w:shd w:val="clear" w:color="000000" w:fill="95B3D7"/>
            <w:vAlign w:val="center"/>
            <w:hideMark/>
          </w:tcPr>
          <w:p w14:paraId="3287A660"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2008</w:t>
            </w:r>
          </w:p>
        </w:tc>
        <w:tc>
          <w:tcPr>
            <w:tcW w:w="990" w:type="dxa"/>
            <w:tcBorders>
              <w:bottom w:val="single" w:sz="4" w:space="0" w:color="auto"/>
            </w:tcBorders>
            <w:shd w:val="clear" w:color="000000" w:fill="95B3D7"/>
            <w:vAlign w:val="center"/>
            <w:hideMark/>
          </w:tcPr>
          <w:p w14:paraId="19067271"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2009</w:t>
            </w:r>
          </w:p>
        </w:tc>
        <w:tc>
          <w:tcPr>
            <w:tcW w:w="1080" w:type="dxa"/>
            <w:tcBorders>
              <w:bottom w:val="single" w:sz="4" w:space="0" w:color="auto"/>
            </w:tcBorders>
            <w:shd w:val="clear" w:color="000000" w:fill="95B3D7"/>
            <w:vAlign w:val="center"/>
            <w:hideMark/>
          </w:tcPr>
          <w:p w14:paraId="27610A0E"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2010</w:t>
            </w:r>
          </w:p>
        </w:tc>
        <w:tc>
          <w:tcPr>
            <w:tcW w:w="982" w:type="dxa"/>
            <w:tcBorders>
              <w:bottom w:val="single" w:sz="4" w:space="0" w:color="auto"/>
            </w:tcBorders>
            <w:shd w:val="clear" w:color="000000" w:fill="95B3D7"/>
            <w:vAlign w:val="center"/>
            <w:hideMark/>
          </w:tcPr>
          <w:p w14:paraId="50CB8CFB"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2011</w:t>
            </w:r>
          </w:p>
        </w:tc>
        <w:tc>
          <w:tcPr>
            <w:tcW w:w="1081" w:type="dxa"/>
            <w:tcBorders>
              <w:bottom w:val="single" w:sz="4" w:space="0" w:color="auto"/>
            </w:tcBorders>
            <w:shd w:val="clear" w:color="000000" w:fill="95B3D7"/>
            <w:vAlign w:val="center"/>
            <w:hideMark/>
          </w:tcPr>
          <w:p w14:paraId="2BEC677B"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2012</w:t>
            </w:r>
          </w:p>
        </w:tc>
        <w:tc>
          <w:tcPr>
            <w:tcW w:w="1080" w:type="dxa"/>
            <w:tcBorders>
              <w:bottom w:val="single" w:sz="4" w:space="0" w:color="auto"/>
            </w:tcBorders>
            <w:shd w:val="clear" w:color="000000" w:fill="95B3D7"/>
            <w:vAlign w:val="center"/>
            <w:hideMark/>
          </w:tcPr>
          <w:p w14:paraId="274A9B8C" w14:textId="77777777" w:rsidR="005D61DD" w:rsidRPr="0080244C" w:rsidRDefault="005D61DD" w:rsidP="00F2009E">
            <w:pPr>
              <w:spacing w:before="0" w:line="240" w:lineRule="auto"/>
              <w:jc w:val="right"/>
              <w:rPr>
                <w:rFonts w:eastAsia="Times New Roman" w:cs="Arial"/>
                <w:b/>
                <w:bCs/>
                <w:lang w:eastAsia="en-AU"/>
              </w:rPr>
            </w:pPr>
            <w:r w:rsidRPr="0080244C">
              <w:rPr>
                <w:rFonts w:eastAsia="Times New Roman" w:cs="Arial"/>
                <w:b/>
                <w:bCs/>
                <w:lang w:eastAsia="en-AU"/>
              </w:rPr>
              <w:t>Totals</w:t>
            </w:r>
          </w:p>
        </w:tc>
        <w:tc>
          <w:tcPr>
            <w:tcW w:w="1081" w:type="dxa"/>
            <w:tcBorders>
              <w:bottom w:val="single" w:sz="4" w:space="0" w:color="auto"/>
            </w:tcBorders>
            <w:shd w:val="clear" w:color="000000" w:fill="95B3D7"/>
            <w:vAlign w:val="center"/>
          </w:tcPr>
          <w:p w14:paraId="743E16BC" w14:textId="77777777" w:rsidR="005D61DD" w:rsidRPr="0080244C" w:rsidRDefault="005D61DD" w:rsidP="00F2009E">
            <w:pPr>
              <w:spacing w:before="0" w:line="240" w:lineRule="auto"/>
              <w:jc w:val="right"/>
              <w:rPr>
                <w:rFonts w:eastAsia="Times New Roman" w:cs="Arial"/>
                <w:b/>
                <w:bCs/>
                <w:lang w:eastAsia="en-AU"/>
              </w:rPr>
            </w:pPr>
            <w:r>
              <w:rPr>
                <w:rFonts w:eastAsia="Times New Roman" w:cs="Arial"/>
                <w:b/>
                <w:bCs/>
                <w:lang w:eastAsia="en-AU"/>
              </w:rPr>
              <w:t>% change</w:t>
            </w:r>
          </w:p>
        </w:tc>
      </w:tr>
      <w:tr w:rsidR="00F2009E" w:rsidRPr="0080244C" w14:paraId="2C2542B1" w14:textId="77777777" w:rsidTr="00407ACB">
        <w:trPr>
          <w:trHeight w:val="386"/>
        </w:trPr>
        <w:tc>
          <w:tcPr>
            <w:tcW w:w="1902" w:type="dxa"/>
            <w:tcBorders>
              <w:bottom w:val="nil"/>
              <w:right w:val="single" w:sz="4" w:space="0" w:color="auto"/>
            </w:tcBorders>
            <w:shd w:val="clear" w:color="auto" w:fill="auto"/>
            <w:vAlign w:val="center"/>
            <w:hideMark/>
          </w:tcPr>
          <w:p w14:paraId="16F12C69" w14:textId="77777777" w:rsidR="005D61DD" w:rsidRPr="0080244C" w:rsidRDefault="005D61DD" w:rsidP="00F2009E">
            <w:pPr>
              <w:spacing w:before="0" w:line="240" w:lineRule="auto"/>
              <w:rPr>
                <w:rFonts w:eastAsia="Times New Roman" w:cs="Arial"/>
                <w:b/>
                <w:bCs/>
                <w:lang w:eastAsia="en-AU"/>
              </w:rPr>
            </w:pPr>
            <w:r w:rsidRPr="0080244C">
              <w:rPr>
                <w:rFonts w:eastAsia="Times New Roman" w:cs="Arial"/>
                <w:b/>
                <w:bCs/>
                <w:lang w:eastAsia="en-AU"/>
              </w:rPr>
              <w:t>Doctors</w:t>
            </w:r>
          </w:p>
        </w:tc>
        <w:tc>
          <w:tcPr>
            <w:tcW w:w="1080" w:type="dxa"/>
            <w:tcBorders>
              <w:left w:val="single" w:sz="4" w:space="0" w:color="auto"/>
              <w:bottom w:val="nil"/>
              <w:right w:val="single" w:sz="4" w:space="0" w:color="auto"/>
            </w:tcBorders>
            <w:shd w:val="clear" w:color="auto" w:fill="auto"/>
            <w:vAlign w:val="center"/>
            <w:hideMark/>
          </w:tcPr>
          <w:p w14:paraId="3D4172E4"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013</w:t>
            </w:r>
          </w:p>
        </w:tc>
        <w:tc>
          <w:tcPr>
            <w:tcW w:w="990" w:type="dxa"/>
            <w:tcBorders>
              <w:left w:val="single" w:sz="4" w:space="0" w:color="auto"/>
              <w:bottom w:val="nil"/>
              <w:right w:val="single" w:sz="4" w:space="0" w:color="auto"/>
            </w:tcBorders>
            <w:shd w:val="clear" w:color="auto" w:fill="auto"/>
            <w:vAlign w:val="center"/>
            <w:hideMark/>
          </w:tcPr>
          <w:p w14:paraId="12E157E4" w14:textId="77777777" w:rsidR="005D61DD" w:rsidRPr="0080244C" w:rsidRDefault="005D61DD" w:rsidP="00F2009E">
            <w:pPr>
              <w:spacing w:before="0" w:line="240" w:lineRule="auto"/>
              <w:jc w:val="right"/>
              <w:rPr>
                <w:rFonts w:cs="Arial"/>
                <w:color w:val="000000"/>
              </w:rPr>
            </w:pPr>
            <w:r w:rsidRPr="0080244C">
              <w:rPr>
                <w:rFonts w:cs="Arial"/>
                <w:color w:val="000000"/>
              </w:rPr>
              <w:t>917</w:t>
            </w:r>
          </w:p>
        </w:tc>
        <w:tc>
          <w:tcPr>
            <w:tcW w:w="990" w:type="dxa"/>
            <w:tcBorders>
              <w:left w:val="single" w:sz="4" w:space="0" w:color="auto"/>
              <w:bottom w:val="nil"/>
              <w:right w:val="single" w:sz="4" w:space="0" w:color="auto"/>
            </w:tcBorders>
            <w:shd w:val="clear" w:color="auto" w:fill="auto"/>
            <w:vAlign w:val="center"/>
            <w:hideMark/>
          </w:tcPr>
          <w:p w14:paraId="69F58F1B" w14:textId="77777777" w:rsidR="005D61DD" w:rsidRPr="0080244C" w:rsidRDefault="005D61DD" w:rsidP="00F2009E">
            <w:pPr>
              <w:spacing w:before="0" w:line="240" w:lineRule="auto"/>
              <w:jc w:val="right"/>
              <w:rPr>
                <w:rFonts w:cs="Arial"/>
                <w:color w:val="000000"/>
              </w:rPr>
            </w:pPr>
            <w:r w:rsidRPr="0080244C">
              <w:rPr>
                <w:rFonts w:cs="Arial"/>
                <w:color w:val="000000"/>
              </w:rPr>
              <w:t>881</w:t>
            </w:r>
          </w:p>
        </w:tc>
        <w:tc>
          <w:tcPr>
            <w:tcW w:w="900" w:type="dxa"/>
            <w:tcBorders>
              <w:left w:val="single" w:sz="4" w:space="0" w:color="auto"/>
              <w:bottom w:val="nil"/>
              <w:right w:val="single" w:sz="4" w:space="0" w:color="auto"/>
            </w:tcBorders>
            <w:shd w:val="clear" w:color="auto" w:fill="auto"/>
            <w:vAlign w:val="center"/>
            <w:hideMark/>
          </w:tcPr>
          <w:p w14:paraId="0C7FF161" w14:textId="77777777" w:rsidR="005D61DD" w:rsidRPr="0080244C" w:rsidRDefault="005D61DD" w:rsidP="00F2009E">
            <w:pPr>
              <w:spacing w:before="0" w:line="240" w:lineRule="auto"/>
              <w:jc w:val="right"/>
              <w:rPr>
                <w:rFonts w:cs="Arial"/>
                <w:color w:val="000000"/>
              </w:rPr>
            </w:pPr>
            <w:r w:rsidRPr="0080244C">
              <w:rPr>
                <w:rFonts w:cs="Arial"/>
                <w:color w:val="000000"/>
              </w:rPr>
              <w:t>867</w:t>
            </w:r>
          </w:p>
        </w:tc>
        <w:tc>
          <w:tcPr>
            <w:tcW w:w="990" w:type="dxa"/>
            <w:tcBorders>
              <w:left w:val="single" w:sz="4" w:space="0" w:color="auto"/>
              <w:bottom w:val="nil"/>
              <w:right w:val="single" w:sz="4" w:space="0" w:color="auto"/>
            </w:tcBorders>
            <w:shd w:val="clear" w:color="auto" w:fill="auto"/>
            <w:vAlign w:val="center"/>
            <w:hideMark/>
          </w:tcPr>
          <w:p w14:paraId="235BBF4D" w14:textId="77777777" w:rsidR="005D61DD" w:rsidRPr="0080244C" w:rsidRDefault="005D61DD" w:rsidP="00F2009E">
            <w:pPr>
              <w:spacing w:before="0" w:line="240" w:lineRule="auto"/>
              <w:jc w:val="right"/>
              <w:rPr>
                <w:rFonts w:cs="Arial"/>
                <w:color w:val="000000"/>
              </w:rPr>
            </w:pPr>
            <w:r w:rsidRPr="0080244C">
              <w:rPr>
                <w:rFonts w:cs="Arial"/>
                <w:color w:val="000000"/>
              </w:rPr>
              <w:t>846</w:t>
            </w:r>
          </w:p>
        </w:tc>
        <w:tc>
          <w:tcPr>
            <w:tcW w:w="900" w:type="dxa"/>
            <w:tcBorders>
              <w:left w:val="single" w:sz="4" w:space="0" w:color="auto"/>
              <w:bottom w:val="nil"/>
              <w:right w:val="single" w:sz="4" w:space="0" w:color="auto"/>
            </w:tcBorders>
            <w:shd w:val="clear" w:color="auto" w:fill="auto"/>
            <w:vAlign w:val="center"/>
            <w:hideMark/>
          </w:tcPr>
          <w:p w14:paraId="11C6B522" w14:textId="77777777" w:rsidR="005D61DD" w:rsidRPr="0080244C" w:rsidRDefault="005D61DD" w:rsidP="00F2009E">
            <w:pPr>
              <w:spacing w:before="0" w:line="240" w:lineRule="auto"/>
              <w:jc w:val="right"/>
              <w:rPr>
                <w:rFonts w:cs="Arial"/>
                <w:color w:val="000000"/>
              </w:rPr>
            </w:pPr>
            <w:r w:rsidRPr="0080244C">
              <w:rPr>
                <w:rFonts w:cs="Arial"/>
                <w:color w:val="000000"/>
              </w:rPr>
              <w:t>965</w:t>
            </w:r>
          </w:p>
        </w:tc>
        <w:tc>
          <w:tcPr>
            <w:tcW w:w="990" w:type="dxa"/>
            <w:tcBorders>
              <w:left w:val="single" w:sz="4" w:space="0" w:color="auto"/>
              <w:bottom w:val="nil"/>
              <w:right w:val="single" w:sz="4" w:space="0" w:color="auto"/>
            </w:tcBorders>
            <w:shd w:val="clear" w:color="auto" w:fill="auto"/>
            <w:vAlign w:val="center"/>
            <w:hideMark/>
          </w:tcPr>
          <w:p w14:paraId="0F1F89C2"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068</w:t>
            </w:r>
          </w:p>
        </w:tc>
        <w:tc>
          <w:tcPr>
            <w:tcW w:w="1080" w:type="dxa"/>
            <w:tcBorders>
              <w:left w:val="single" w:sz="4" w:space="0" w:color="auto"/>
              <w:bottom w:val="nil"/>
              <w:right w:val="single" w:sz="4" w:space="0" w:color="auto"/>
            </w:tcBorders>
            <w:shd w:val="clear" w:color="auto" w:fill="auto"/>
            <w:vAlign w:val="center"/>
            <w:hideMark/>
          </w:tcPr>
          <w:p w14:paraId="47F497FD"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105</w:t>
            </w:r>
          </w:p>
        </w:tc>
        <w:tc>
          <w:tcPr>
            <w:tcW w:w="982" w:type="dxa"/>
            <w:tcBorders>
              <w:left w:val="single" w:sz="4" w:space="0" w:color="auto"/>
              <w:bottom w:val="nil"/>
              <w:right w:val="single" w:sz="4" w:space="0" w:color="auto"/>
            </w:tcBorders>
            <w:shd w:val="clear" w:color="auto" w:fill="auto"/>
            <w:vAlign w:val="center"/>
            <w:hideMark/>
          </w:tcPr>
          <w:p w14:paraId="0D77ADD0"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184</w:t>
            </w:r>
          </w:p>
        </w:tc>
        <w:tc>
          <w:tcPr>
            <w:tcW w:w="1081" w:type="dxa"/>
            <w:tcBorders>
              <w:left w:val="single" w:sz="4" w:space="0" w:color="auto"/>
              <w:bottom w:val="nil"/>
              <w:right w:val="single" w:sz="4" w:space="0" w:color="auto"/>
            </w:tcBorders>
            <w:shd w:val="clear" w:color="auto" w:fill="auto"/>
            <w:vAlign w:val="center"/>
            <w:hideMark/>
          </w:tcPr>
          <w:p w14:paraId="4353C36D"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256</w:t>
            </w:r>
          </w:p>
        </w:tc>
        <w:tc>
          <w:tcPr>
            <w:tcW w:w="1080" w:type="dxa"/>
            <w:tcBorders>
              <w:left w:val="single" w:sz="4" w:space="0" w:color="auto"/>
              <w:bottom w:val="nil"/>
              <w:right w:val="single" w:sz="4" w:space="0" w:color="auto"/>
            </w:tcBorders>
            <w:shd w:val="clear" w:color="auto" w:fill="auto"/>
            <w:vAlign w:val="center"/>
            <w:hideMark/>
          </w:tcPr>
          <w:p w14:paraId="7F7D15A5" w14:textId="77777777" w:rsidR="005D61DD" w:rsidRPr="00025A73" w:rsidRDefault="005D61DD" w:rsidP="00F2009E">
            <w:pPr>
              <w:spacing w:before="0" w:line="240" w:lineRule="auto"/>
              <w:jc w:val="right"/>
              <w:rPr>
                <w:rFonts w:cs="Arial"/>
                <w:b/>
                <w:color w:val="000000"/>
              </w:rPr>
            </w:pPr>
            <w:r w:rsidRPr="00025A73">
              <w:rPr>
                <w:rFonts w:cs="Arial"/>
                <w:b/>
                <w:color w:val="000000"/>
              </w:rPr>
              <w:t>10</w:t>
            </w:r>
            <w:r>
              <w:rPr>
                <w:rFonts w:cs="Arial"/>
                <w:b/>
                <w:color w:val="000000"/>
              </w:rPr>
              <w:t>,</w:t>
            </w:r>
            <w:r w:rsidRPr="00025A73">
              <w:rPr>
                <w:rFonts w:cs="Arial"/>
                <w:b/>
                <w:color w:val="000000"/>
              </w:rPr>
              <w:t>102</w:t>
            </w:r>
          </w:p>
        </w:tc>
        <w:tc>
          <w:tcPr>
            <w:tcW w:w="1081" w:type="dxa"/>
            <w:tcBorders>
              <w:left w:val="single" w:sz="4" w:space="0" w:color="auto"/>
              <w:bottom w:val="nil"/>
            </w:tcBorders>
            <w:shd w:val="clear" w:color="auto" w:fill="auto"/>
            <w:vAlign w:val="center"/>
          </w:tcPr>
          <w:p w14:paraId="7CB44E1A" w14:textId="77777777" w:rsidR="005D61DD" w:rsidRPr="0080244C" w:rsidRDefault="005D61DD" w:rsidP="00F2009E">
            <w:pPr>
              <w:spacing w:before="0" w:line="240" w:lineRule="auto"/>
              <w:jc w:val="right"/>
              <w:rPr>
                <w:rFonts w:eastAsia="Times New Roman" w:cs="Arial"/>
                <w:lang w:eastAsia="en-AU"/>
              </w:rPr>
            </w:pPr>
            <w:r>
              <w:rPr>
                <w:rFonts w:eastAsia="Times New Roman" w:cs="Arial"/>
                <w:lang w:eastAsia="en-AU"/>
              </w:rPr>
              <w:t>24%</w:t>
            </w:r>
          </w:p>
        </w:tc>
      </w:tr>
      <w:tr w:rsidR="00F2009E" w:rsidRPr="0080244C" w14:paraId="3D166626" w14:textId="77777777" w:rsidTr="00407ACB">
        <w:trPr>
          <w:trHeight w:val="369"/>
        </w:trPr>
        <w:tc>
          <w:tcPr>
            <w:tcW w:w="1902" w:type="dxa"/>
            <w:tcBorders>
              <w:top w:val="nil"/>
              <w:bottom w:val="nil"/>
              <w:right w:val="single" w:sz="4" w:space="0" w:color="auto"/>
            </w:tcBorders>
            <w:shd w:val="clear" w:color="auto" w:fill="DBE5F1" w:themeFill="accent1" w:themeFillTint="33"/>
            <w:vAlign w:val="center"/>
            <w:hideMark/>
          </w:tcPr>
          <w:p w14:paraId="2C7C54E5" w14:textId="77777777" w:rsidR="005D61DD" w:rsidRPr="0080244C" w:rsidRDefault="005D61DD" w:rsidP="00F2009E">
            <w:pPr>
              <w:spacing w:before="0" w:line="240" w:lineRule="auto"/>
              <w:rPr>
                <w:rFonts w:eastAsia="Times New Roman" w:cs="Arial"/>
                <w:b/>
                <w:bCs/>
                <w:lang w:eastAsia="en-AU"/>
              </w:rPr>
            </w:pPr>
            <w:r w:rsidRPr="0080244C">
              <w:rPr>
                <w:rFonts w:eastAsia="Times New Roman" w:cs="Arial"/>
                <w:b/>
                <w:bCs/>
                <w:lang w:eastAsia="en-AU"/>
              </w:rPr>
              <w:t>Nurses</w:t>
            </w:r>
          </w:p>
        </w:tc>
        <w:tc>
          <w:tcPr>
            <w:tcW w:w="1080" w:type="dxa"/>
            <w:tcBorders>
              <w:top w:val="nil"/>
              <w:left w:val="single" w:sz="4" w:space="0" w:color="auto"/>
              <w:bottom w:val="nil"/>
              <w:right w:val="single" w:sz="4" w:space="0" w:color="auto"/>
            </w:tcBorders>
            <w:shd w:val="clear" w:color="auto" w:fill="DBE5F1" w:themeFill="accent1" w:themeFillTint="33"/>
            <w:vAlign w:val="center"/>
            <w:hideMark/>
          </w:tcPr>
          <w:p w14:paraId="38D1B1CE"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364</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5F9EF2CB"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390</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6FD5301B"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356</w:t>
            </w:r>
          </w:p>
        </w:tc>
        <w:tc>
          <w:tcPr>
            <w:tcW w:w="900" w:type="dxa"/>
            <w:tcBorders>
              <w:top w:val="nil"/>
              <w:left w:val="single" w:sz="4" w:space="0" w:color="auto"/>
              <w:bottom w:val="nil"/>
              <w:right w:val="single" w:sz="4" w:space="0" w:color="auto"/>
            </w:tcBorders>
            <w:shd w:val="clear" w:color="auto" w:fill="DBE5F1" w:themeFill="accent1" w:themeFillTint="33"/>
            <w:vAlign w:val="center"/>
            <w:hideMark/>
          </w:tcPr>
          <w:p w14:paraId="60A37E42"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390</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7B2F8CF4"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372</w:t>
            </w:r>
          </w:p>
        </w:tc>
        <w:tc>
          <w:tcPr>
            <w:tcW w:w="900" w:type="dxa"/>
            <w:tcBorders>
              <w:top w:val="nil"/>
              <w:left w:val="single" w:sz="4" w:space="0" w:color="auto"/>
              <w:bottom w:val="nil"/>
              <w:right w:val="single" w:sz="4" w:space="0" w:color="auto"/>
            </w:tcBorders>
            <w:shd w:val="clear" w:color="auto" w:fill="DBE5F1" w:themeFill="accent1" w:themeFillTint="33"/>
            <w:vAlign w:val="center"/>
            <w:hideMark/>
          </w:tcPr>
          <w:p w14:paraId="6A3F6AD1"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438</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1DF1CFA3"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259</w:t>
            </w:r>
          </w:p>
        </w:tc>
        <w:tc>
          <w:tcPr>
            <w:tcW w:w="1080" w:type="dxa"/>
            <w:tcBorders>
              <w:top w:val="nil"/>
              <w:left w:val="single" w:sz="4" w:space="0" w:color="auto"/>
              <w:bottom w:val="nil"/>
              <w:right w:val="single" w:sz="4" w:space="0" w:color="auto"/>
            </w:tcBorders>
            <w:shd w:val="clear" w:color="auto" w:fill="DBE5F1" w:themeFill="accent1" w:themeFillTint="33"/>
            <w:vAlign w:val="center"/>
            <w:hideMark/>
          </w:tcPr>
          <w:p w14:paraId="60B74F6B"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608</w:t>
            </w:r>
          </w:p>
        </w:tc>
        <w:tc>
          <w:tcPr>
            <w:tcW w:w="982" w:type="dxa"/>
            <w:tcBorders>
              <w:top w:val="nil"/>
              <w:left w:val="single" w:sz="4" w:space="0" w:color="auto"/>
              <w:bottom w:val="nil"/>
              <w:right w:val="single" w:sz="4" w:space="0" w:color="auto"/>
            </w:tcBorders>
            <w:shd w:val="clear" w:color="auto" w:fill="DBE5F1" w:themeFill="accent1" w:themeFillTint="33"/>
            <w:vAlign w:val="center"/>
            <w:hideMark/>
          </w:tcPr>
          <w:p w14:paraId="736EA657" w14:textId="77777777" w:rsidR="005D61DD" w:rsidRPr="0080244C" w:rsidRDefault="005D61DD" w:rsidP="00F2009E">
            <w:pPr>
              <w:spacing w:before="0" w:line="240" w:lineRule="auto"/>
              <w:jc w:val="right"/>
              <w:rPr>
                <w:rFonts w:cs="Arial"/>
                <w:color w:val="000000"/>
              </w:rPr>
            </w:pPr>
            <w:r w:rsidRPr="0080244C">
              <w:rPr>
                <w:rFonts w:cs="Arial"/>
                <w:color w:val="000000"/>
              </w:rPr>
              <w:t>1</w:t>
            </w:r>
            <w:r>
              <w:rPr>
                <w:rFonts w:cs="Arial"/>
                <w:color w:val="000000"/>
              </w:rPr>
              <w:t>,</w:t>
            </w:r>
            <w:r w:rsidRPr="0080244C">
              <w:rPr>
                <w:rFonts w:cs="Arial"/>
                <w:color w:val="000000"/>
              </w:rPr>
              <w:t>763</w:t>
            </w:r>
          </w:p>
        </w:tc>
        <w:tc>
          <w:tcPr>
            <w:tcW w:w="1081" w:type="dxa"/>
            <w:tcBorders>
              <w:top w:val="nil"/>
              <w:left w:val="single" w:sz="4" w:space="0" w:color="auto"/>
              <w:bottom w:val="nil"/>
              <w:right w:val="single" w:sz="4" w:space="0" w:color="auto"/>
            </w:tcBorders>
            <w:shd w:val="clear" w:color="auto" w:fill="DBE5F1" w:themeFill="accent1" w:themeFillTint="33"/>
            <w:vAlign w:val="center"/>
            <w:hideMark/>
          </w:tcPr>
          <w:p w14:paraId="76F05C13" w14:textId="77777777" w:rsidR="005D61DD" w:rsidRPr="0080244C" w:rsidRDefault="005D61DD" w:rsidP="00F2009E">
            <w:pPr>
              <w:spacing w:before="0" w:line="240" w:lineRule="auto"/>
              <w:jc w:val="right"/>
              <w:rPr>
                <w:rFonts w:cs="Arial"/>
                <w:color w:val="000000"/>
              </w:rPr>
            </w:pPr>
            <w:r w:rsidRPr="0080244C">
              <w:rPr>
                <w:rFonts w:cs="Arial"/>
                <w:color w:val="000000"/>
              </w:rPr>
              <w:t>2</w:t>
            </w:r>
            <w:r>
              <w:rPr>
                <w:rFonts w:cs="Arial"/>
                <w:color w:val="000000"/>
              </w:rPr>
              <w:t>,</w:t>
            </w:r>
            <w:r w:rsidRPr="0080244C">
              <w:rPr>
                <w:rFonts w:cs="Arial"/>
                <w:color w:val="000000"/>
              </w:rPr>
              <w:t>105</w:t>
            </w:r>
          </w:p>
        </w:tc>
        <w:tc>
          <w:tcPr>
            <w:tcW w:w="1080" w:type="dxa"/>
            <w:tcBorders>
              <w:top w:val="nil"/>
              <w:left w:val="single" w:sz="4" w:space="0" w:color="auto"/>
              <w:bottom w:val="nil"/>
              <w:right w:val="single" w:sz="4" w:space="0" w:color="auto"/>
            </w:tcBorders>
            <w:shd w:val="clear" w:color="auto" w:fill="DBE5F1" w:themeFill="accent1" w:themeFillTint="33"/>
            <w:vAlign w:val="center"/>
            <w:hideMark/>
          </w:tcPr>
          <w:p w14:paraId="7E094A7F" w14:textId="77777777" w:rsidR="005D61DD" w:rsidRPr="00025A73" w:rsidRDefault="005D61DD" w:rsidP="00F2009E">
            <w:pPr>
              <w:spacing w:before="0" w:line="240" w:lineRule="auto"/>
              <w:jc w:val="right"/>
              <w:rPr>
                <w:rFonts w:cs="Arial"/>
                <w:b/>
                <w:color w:val="000000"/>
              </w:rPr>
            </w:pPr>
            <w:r w:rsidRPr="00025A73">
              <w:rPr>
                <w:rFonts w:cs="Arial"/>
                <w:b/>
                <w:color w:val="000000"/>
              </w:rPr>
              <w:t>15</w:t>
            </w:r>
            <w:r>
              <w:rPr>
                <w:rFonts w:cs="Arial"/>
                <w:b/>
                <w:color w:val="000000"/>
              </w:rPr>
              <w:t>,</w:t>
            </w:r>
            <w:r w:rsidRPr="00025A73">
              <w:rPr>
                <w:rFonts w:cs="Arial"/>
                <w:b/>
                <w:color w:val="000000"/>
              </w:rPr>
              <w:t>045</w:t>
            </w:r>
          </w:p>
        </w:tc>
        <w:tc>
          <w:tcPr>
            <w:tcW w:w="1081" w:type="dxa"/>
            <w:tcBorders>
              <w:top w:val="nil"/>
              <w:left w:val="single" w:sz="4" w:space="0" w:color="auto"/>
              <w:bottom w:val="nil"/>
            </w:tcBorders>
            <w:shd w:val="clear" w:color="auto" w:fill="DBE5F1" w:themeFill="accent1" w:themeFillTint="33"/>
            <w:vAlign w:val="center"/>
          </w:tcPr>
          <w:p w14:paraId="457BE53E" w14:textId="77777777" w:rsidR="005D61DD" w:rsidRPr="0080244C" w:rsidRDefault="005D61DD" w:rsidP="00F2009E">
            <w:pPr>
              <w:spacing w:before="0" w:line="240" w:lineRule="auto"/>
              <w:jc w:val="right"/>
              <w:rPr>
                <w:rFonts w:eastAsia="Times New Roman" w:cs="Arial"/>
                <w:lang w:eastAsia="en-AU"/>
              </w:rPr>
            </w:pPr>
            <w:r>
              <w:rPr>
                <w:rFonts w:eastAsia="Times New Roman" w:cs="Arial"/>
                <w:lang w:eastAsia="en-AU"/>
              </w:rPr>
              <w:t>54%</w:t>
            </w:r>
          </w:p>
        </w:tc>
      </w:tr>
      <w:tr w:rsidR="00F2009E" w:rsidRPr="0080244C" w14:paraId="3B1002D2" w14:textId="77777777" w:rsidTr="00407ACB">
        <w:trPr>
          <w:trHeight w:val="351"/>
        </w:trPr>
        <w:tc>
          <w:tcPr>
            <w:tcW w:w="1902" w:type="dxa"/>
            <w:tcBorders>
              <w:top w:val="nil"/>
              <w:bottom w:val="nil"/>
              <w:right w:val="single" w:sz="4" w:space="0" w:color="auto"/>
            </w:tcBorders>
            <w:shd w:val="clear" w:color="auto" w:fill="auto"/>
            <w:vAlign w:val="center"/>
            <w:hideMark/>
          </w:tcPr>
          <w:p w14:paraId="1F59857E" w14:textId="77777777" w:rsidR="005D61DD" w:rsidRPr="0080244C" w:rsidRDefault="005D61DD" w:rsidP="00F2009E">
            <w:pPr>
              <w:spacing w:before="0" w:line="240" w:lineRule="auto"/>
              <w:rPr>
                <w:rFonts w:eastAsia="Times New Roman" w:cs="Arial"/>
                <w:b/>
                <w:bCs/>
                <w:lang w:eastAsia="en-AU"/>
              </w:rPr>
            </w:pPr>
            <w:r w:rsidRPr="0080244C">
              <w:rPr>
                <w:rFonts w:eastAsia="Times New Roman" w:cs="Arial"/>
                <w:b/>
                <w:bCs/>
                <w:lang w:eastAsia="en-AU"/>
              </w:rPr>
              <w:t>Police</w:t>
            </w:r>
          </w:p>
        </w:tc>
        <w:tc>
          <w:tcPr>
            <w:tcW w:w="1080" w:type="dxa"/>
            <w:tcBorders>
              <w:top w:val="nil"/>
              <w:left w:val="single" w:sz="4" w:space="0" w:color="auto"/>
              <w:bottom w:val="nil"/>
              <w:right w:val="single" w:sz="4" w:space="0" w:color="auto"/>
            </w:tcBorders>
            <w:shd w:val="clear" w:color="auto" w:fill="auto"/>
            <w:vAlign w:val="center"/>
            <w:hideMark/>
          </w:tcPr>
          <w:p w14:paraId="4862E367" w14:textId="77777777" w:rsidR="005D61DD" w:rsidRPr="0080244C" w:rsidRDefault="005D61DD" w:rsidP="00F2009E">
            <w:pPr>
              <w:spacing w:before="0" w:line="240" w:lineRule="auto"/>
              <w:jc w:val="right"/>
              <w:rPr>
                <w:rFonts w:cs="Arial"/>
                <w:color w:val="000000"/>
              </w:rPr>
            </w:pPr>
            <w:r w:rsidRPr="0080244C">
              <w:rPr>
                <w:rFonts w:cs="Arial"/>
                <w:color w:val="000000"/>
              </w:rPr>
              <w:t>6</w:t>
            </w:r>
            <w:r>
              <w:rPr>
                <w:rFonts w:cs="Arial"/>
                <w:color w:val="000000"/>
              </w:rPr>
              <w:t>,</w:t>
            </w:r>
            <w:r w:rsidRPr="0080244C">
              <w:rPr>
                <w:rFonts w:cs="Arial"/>
                <w:color w:val="000000"/>
              </w:rPr>
              <w:t>516</w:t>
            </w:r>
          </w:p>
        </w:tc>
        <w:tc>
          <w:tcPr>
            <w:tcW w:w="990" w:type="dxa"/>
            <w:tcBorders>
              <w:top w:val="nil"/>
              <w:left w:val="single" w:sz="4" w:space="0" w:color="auto"/>
              <w:bottom w:val="nil"/>
              <w:right w:val="single" w:sz="4" w:space="0" w:color="auto"/>
            </w:tcBorders>
            <w:shd w:val="clear" w:color="auto" w:fill="auto"/>
            <w:vAlign w:val="center"/>
            <w:hideMark/>
          </w:tcPr>
          <w:p w14:paraId="14BABBD7" w14:textId="77777777" w:rsidR="005D61DD" w:rsidRPr="0080244C" w:rsidRDefault="005D61DD" w:rsidP="00F2009E">
            <w:pPr>
              <w:spacing w:before="0" w:line="240" w:lineRule="auto"/>
              <w:jc w:val="right"/>
              <w:rPr>
                <w:rFonts w:cs="Arial"/>
                <w:color w:val="000000"/>
              </w:rPr>
            </w:pPr>
            <w:r w:rsidRPr="0080244C">
              <w:rPr>
                <w:rFonts w:cs="Arial"/>
                <w:color w:val="000000"/>
              </w:rPr>
              <w:t>6</w:t>
            </w:r>
            <w:r>
              <w:rPr>
                <w:rFonts w:cs="Arial"/>
                <w:color w:val="000000"/>
              </w:rPr>
              <w:t>,</w:t>
            </w:r>
            <w:r w:rsidRPr="0080244C">
              <w:rPr>
                <w:rFonts w:cs="Arial"/>
                <w:color w:val="000000"/>
              </w:rPr>
              <w:t>503</w:t>
            </w:r>
          </w:p>
        </w:tc>
        <w:tc>
          <w:tcPr>
            <w:tcW w:w="990" w:type="dxa"/>
            <w:tcBorders>
              <w:top w:val="nil"/>
              <w:left w:val="single" w:sz="4" w:space="0" w:color="auto"/>
              <w:bottom w:val="nil"/>
              <w:right w:val="single" w:sz="4" w:space="0" w:color="auto"/>
            </w:tcBorders>
            <w:shd w:val="clear" w:color="auto" w:fill="auto"/>
            <w:vAlign w:val="center"/>
            <w:hideMark/>
          </w:tcPr>
          <w:p w14:paraId="5AC4DD47" w14:textId="77777777" w:rsidR="005D61DD" w:rsidRPr="0080244C" w:rsidRDefault="005D61DD" w:rsidP="00F2009E">
            <w:pPr>
              <w:spacing w:before="0" w:line="240" w:lineRule="auto"/>
              <w:jc w:val="right"/>
              <w:rPr>
                <w:rFonts w:cs="Arial"/>
                <w:color w:val="000000"/>
              </w:rPr>
            </w:pPr>
            <w:r w:rsidRPr="0080244C">
              <w:rPr>
                <w:rFonts w:cs="Arial"/>
                <w:color w:val="000000"/>
              </w:rPr>
              <w:t>7</w:t>
            </w:r>
            <w:r>
              <w:rPr>
                <w:rFonts w:cs="Arial"/>
                <w:color w:val="000000"/>
              </w:rPr>
              <w:t>,</w:t>
            </w:r>
            <w:r w:rsidRPr="0080244C">
              <w:rPr>
                <w:rFonts w:cs="Arial"/>
                <w:color w:val="000000"/>
              </w:rPr>
              <w:t>044</w:t>
            </w:r>
          </w:p>
        </w:tc>
        <w:tc>
          <w:tcPr>
            <w:tcW w:w="900" w:type="dxa"/>
            <w:tcBorders>
              <w:top w:val="nil"/>
              <w:left w:val="single" w:sz="4" w:space="0" w:color="auto"/>
              <w:bottom w:val="nil"/>
              <w:right w:val="single" w:sz="4" w:space="0" w:color="auto"/>
            </w:tcBorders>
            <w:shd w:val="clear" w:color="auto" w:fill="auto"/>
            <w:vAlign w:val="center"/>
            <w:hideMark/>
          </w:tcPr>
          <w:p w14:paraId="4D69D325" w14:textId="77777777" w:rsidR="005D61DD" w:rsidRPr="0080244C" w:rsidRDefault="005D61DD" w:rsidP="00F2009E">
            <w:pPr>
              <w:spacing w:before="0" w:line="240" w:lineRule="auto"/>
              <w:jc w:val="right"/>
              <w:rPr>
                <w:rFonts w:cs="Arial"/>
                <w:color w:val="000000"/>
              </w:rPr>
            </w:pPr>
            <w:r w:rsidRPr="0080244C">
              <w:rPr>
                <w:rFonts w:cs="Arial"/>
                <w:color w:val="000000"/>
              </w:rPr>
              <w:t>7</w:t>
            </w:r>
            <w:r>
              <w:rPr>
                <w:rFonts w:cs="Arial"/>
                <w:color w:val="000000"/>
              </w:rPr>
              <w:t>,</w:t>
            </w:r>
            <w:r w:rsidRPr="0080244C">
              <w:rPr>
                <w:rFonts w:cs="Arial"/>
                <w:color w:val="000000"/>
              </w:rPr>
              <w:t>391</w:t>
            </w:r>
          </w:p>
        </w:tc>
        <w:tc>
          <w:tcPr>
            <w:tcW w:w="990" w:type="dxa"/>
            <w:tcBorders>
              <w:top w:val="nil"/>
              <w:left w:val="single" w:sz="4" w:space="0" w:color="auto"/>
              <w:bottom w:val="nil"/>
              <w:right w:val="single" w:sz="4" w:space="0" w:color="auto"/>
            </w:tcBorders>
            <w:shd w:val="clear" w:color="auto" w:fill="auto"/>
            <w:vAlign w:val="center"/>
            <w:hideMark/>
          </w:tcPr>
          <w:p w14:paraId="6FD610EC" w14:textId="77777777" w:rsidR="005D61DD" w:rsidRPr="0080244C" w:rsidRDefault="005D61DD" w:rsidP="00F2009E">
            <w:pPr>
              <w:spacing w:before="0" w:line="240" w:lineRule="auto"/>
              <w:jc w:val="right"/>
              <w:rPr>
                <w:rFonts w:cs="Arial"/>
                <w:color w:val="000000"/>
              </w:rPr>
            </w:pPr>
            <w:r w:rsidRPr="0080244C">
              <w:rPr>
                <w:rFonts w:cs="Arial"/>
                <w:color w:val="000000"/>
              </w:rPr>
              <w:t>7</w:t>
            </w:r>
            <w:r>
              <w:rPr>
                <w:rFonts w:cs="Arial"/>
                <w:color w:val="000000"/>
              </w:rPr>
              <w:t>,</w:t>
            </w:r>
            <w:r w:rsidRPr="0080244C">
              <w:rPr>
                <w:rFonts w:cs="Arial"/>
                <w:color w:val="000000"/>
              </w:rPr>
              <w:t>630</w:t>
            </w:r>
          </w:p>
        </w:tc>
        <w:tc>
          <w:tcPr>
            <w:tcW w:w="900" w:type="dxa"/>
            <w:tcBorders>
              <w:top w:val="nil"/>
              <w:left w:val="single" w:sz="4" w:space="0" w:color="auto"/>
              <w:bottom w:val="nil"/>
              <w:right w:val="single" w:sz="4" w:space="0" w:color="auto"/>
            </w:tcBorders>
            <w:shd w:val="clear" w:color="auto" w:fill="auto"/>
            <w:vAlign w:val="center"/>
            <w:hideMark/>
          </w:tcPr>
          <w:p w14:paraId="02542FD0" w14:textId="77777777" w:rsidR="005D61DD" w:rsidRPr="0080244C" w:rsidRDefault="005D61DD" w:rsidP="00F2009E">
            <w:pPr>
              <w:spacing w:before="0" w:line="240" w:lineRule="auto"/>
              <w:jc w:val="right"/>
              <w:rPr>
                <w:rFonts w:cs="Arial"/>
                <w:color w:val="000000"/>
              </w:rPr>
            </w:pPr>
            <w:r w:rsidRPr="0080244C">
              <w:rPr>
                <w:rFonts w:cs="Arial"/>
                <w:color w:val="000000"/>
              </w:rPr>
              <w:t>8</w:t>
            </w:r>
            <w:r>
              <w:rPr>
                <w:rFonts w:cs="Arial"/>
                <w:color w:val="000000"/>
              </w:rPr>
              <w:t>,</w:t>
            </w:r>
            <w:r w:rsidRPr="0080244C">
              <w:rPr>
                <w:rFonts w:cs="Arial"/>
                <w:color w:val="000000"/>
              </w:rPr>
              <w:t>442</w:t>
            </w:r>
          </w:p>
        </w:tc>
        <w:tc>
          <w:tcPr>
            <w:tcW w:w="990" w:type="dxa"/>
            <w:tcBorders>
              <w:top w:val="nil"/>
              <w:left w:val="single" w:sz="4" w:space="0" w:color="auto"/>
              <w:bottom w:val="nil"/>
              <w:right w:val="single" w:sz="4" w:space="0" w:color="auto"/>
            </w:tcBorders>
            <w:shd w:val="clear" w:color="auto" w:fill="auto"/>
            <w:vAlign w:val="center"/>
            <w:hideMark/>
          </w:tcPr>
          <w:p w14:paraId="72BAFEA0" w14:textId="77777777" w:rsidR="005D61DD" w:rsidRPr="0080244C" w:rsidRDefault="005D61DD" w:rsidP="00F2009E">
            <w:pPr>
              <w:spacing w:before="0" w:line="240" w:lineRule="auto"/>
              <w:jc w:val="right"/>
              <w:rPr>
                <w:rFonts w:cs="Arial"/>
                <w:color w:val="000000"/>
              </w:rPr>
            </w:pPr>
            <w:r w:rsidRPr="0080244C">
              <w:rPr>
                <w:rFonts w:cs="Arial"/>
                <w:color w:val="000000"/>
              </w:rPr>
              <w:t>10</w:t>
            </w:r>
            <w:r>
              <w:rPr>
                <w:rFonts w:cs="Arial"/>
                <w:color w:val="000000"/>
              </w:rPr>
              <w:t>,</w:t>
            </w:r>
            <w:r w:rsidRPr="0080244C">
              <w:rPr>
                <w:rFonts w:cs="Arial"/>
                <w:color w:val="000000"/>
              </w:rPr>
              <w:t>203</w:t>
            </w:r>
          </w:p>
        </w:tc>
        <w:tc>
          <w:tcPr>
            <w:tcW w:w="1080" w:type="dxa"/>
            <w:tcBorders>
              <w:top w:val="nil"/>
              <w:left w:val="single" w:sz="4" w:space="0" w:color="auto"/>
              <w:bottom w:val="nil"/>
              <w:right w:val="single" w:sz="4" w:space="0" w:color="auto"/>
            </w:tcBorders>
            <w:shd w:val="clear" w:color="auto" w:fill="auto"/>
            <w:vAlign w:val="center"/>
            <w:hideMark/>
          </w:tcPr>
          <w:p w14:paraId="0AC72595" w14:textId="77777777" w:rsidR="005D61DD" w:rsidRPr="0080244C" w:rsidRDefault="005D61DD" w:rsidP="00F2009E">
            <w:pPr>
              <w:spacing w:before="0" w:line="240" w:lineRule="auto"/>
              <w:jc w:val="right"/>
              <w:rPr>
                <w:rFonts w:cs="Arial"/>
                <w:color w:val="000000"/>
              </w:rPr>
            </w:pPr>
            <w:r w:rsidRPr="0080244C">
              <w:rPr>
                <w:rFonts w:cs="Arial"/>
                <w:color w:val="000000"/>
              </w:rPr>
              <w:t>14</w:t>
            </w:r>
            <w:r>
              <w:rPr>
                <w:rFonts w:cs="Arial"/>
                <w:color w:val="000000"/>
              </w:rPr>
              <w:t>,</w:t>
            </w:r>
            <w:r w:rsidRPr="0080244C">
              <w:rPr>
                <w:rFonts w:cs="Arial"/>
                <w:color w:val="000000"/>
              </w:rPr>
              <w:t>344</w:t>
            </w:r>
          </w:p>
        </w:tc>
        <w:tc>
          <w:tcPr>
            <w:tcW w:w="982" w:type="dxa"/>
            <w:tcBorders>
              <w:top w:val="nil"/>
              <w:left w:val="single" w:sz="4" w:space="0" w:color="auto"/>
              <w:bottom w:val="nil"/>
              <w:right w:val="single" w:sz="4" w:space="0" w:color="auto"/>
            </w:tcBorders>
            <w:shd w:val="clear" w:color="auto" w:fill="auto"/>
            <w:vAlign w:val="center"/>
            <w:hideMark/>
          </w:tcPr>
          <w:p w14:paraId="14F98D70" w14:textId="77777777" w:rsidR="005D61DD" w:rsidRPr="0080244C" w:rsidRDefault="005D61DD" w:rsidP="00F2009E">
            <w:pPr>
              <w:spacing w:before="0" w:line="240" w:lineRule="auto"/>
              <w:jc w:val="right"/>
              <w:rPr>
                <w:rFonts w:cs="Arial"/>
                <w:color w:val="000000"/>
              </w:rPr>
            </w:pPr>
            <w:r w:rsidRPr="0080244C">
              <w:rPr>
                <w:rFonts w:cs="Arial"/>
                <w:color w:val="000000"/>
              </w:rPr>
              <w:t>15</w:t>
            </w:r>
            <w:r>
              <w:rPr>
                <w:rFonts w:cs="Arial"/>
                <w:color w:val="000000"/>
              </w:rPr>
              <w:t>,</w:t>
            </w:r>
            <w:r w:rsidRPr="0080244C">
              <w:rPr>
                <w:rFonts w:cs="Arial"/>
                <w:color w:val="000000"/>
              </w:rPr>
              <w:t>794</w:t>
            </w:r>
          </w:p>
        </w:tc>
        <w:tc>
          <w:tcPr>
            <w:tcW w:w="1081" w:type="dxa"/>
            <w:tcBorders>
              <w:top w:val="nil"/>
              <w:left w:val="single" w:sz="4" w:space="0" w:color="auto"/>
              <w:bottom w:val="nil"/>
              <w:right w:val="single" w:sz="4" w:space="0" w:color="auto"/>
            </w:tcBorders>
            <w:shd w:val="clear" w:color="auto" w:fill="auto"/>
            <w:vAlign w:val="center"/>
            <w:hideMark/>
          </w:tcPr>
          <w:p w14:paraId="44B3C007" w14:textId="77777777" w:rsidR="005D61DD" w:rsidRPr="0080244C" w:rsidRDefault="005D61DD" w:rsidP="00F2009E">
            <w:pPr>
              <w:spacing w:before="0" w:line="240" w:lineRule="auto"/>
              <w:jc w:val="right"/>
              <w:rPr>
                <w:rFonts w:cs="Arial"/>
                <w:color w:val="000000"/>
              </w:rPr>
            </w:pPr>
            <w:r w:rsidRPr="0080244C">
              <w:rPr>
                <w:rFonts w:cs="Arial"/>
                <w:color w:val="000000"/>
              </w:rPr>
              <w:t>20</w:t>
            </w:r>
            <w:r>
              <w:rPr>
                <w:rFonts w:cs="Arial"/>
                <w:color w:val="000000"/>
              </w:rPr>
              <w:t>,</w:t>
            </w:r>
            <w:r w:rsidRPr="0080244C">
              <w:rPr>
                <w:rFonts w:cs="Arial"/>
                <w:color w:val="000000"/>
              </w:rPr>
              <w:t>992</w:t>
            </w:r>
          </w:p>
        </w:tc>
        <w:tc>
          <w:tcPr>
            <w:tcW w:w="1080" w:type="dxa"/>
            <w:tcBorders>
              <w:top w:val="nil"/>
              <w:left w:val="single" w:sz="4" w:space="0" w:color="auto"/>
              <w:bottom w:val="nil"/>
              <w:right w:val="single" w:sz="4" w:space="0" w:color="auto"/>
            </w:tcBorders>
            <w:shd w:val="clear" w:color="auto" w:fill="auto"/>
            <w:vAlign w:val="center"/>
            <w:hideMark/>
          </w:tcPr>
          <w:p w14:paraId="3EDAAB2E" w14:textId="77777777" w:rsidR="005D61DD" w:rsidRPr="00025A73" w:rsidRDefault="005D61DD" w:rsidP="00F2009E">
            <w:pPr>
              <w:spacing w:before="0" w:line="240" w:lineRule="auto"/>
              <w:jc w:val="right"/>
              <w:rPr>
                <w:rFonts w:cs="Arial"/>
                <w:b/>
                <w:color w:val="000000"/>
              </w:rPr>
            </w:pPr>
            <w:r w:rsidRPr="00025A73">
              <w:rPr>
                <w:rFonts w:cs="Arial"/>
                <w:b/>
                <w:color w:val="000000"/>
              </w:rPr>
              <w:t>104</w:t>
            </w:r>
            <w:r>
              <w:rPr>
                <w:rFonts w:cs="Arial"/>
                <w:b/>
                <w:color w:val="000000"/>
              </w:rPr>
              <w:t>,</w:t>
            </w:r>
            <w:r w:rsidRPr="00025A73">
              <w:rPr>
                <w:rFonts w:cs="Arial"/>
                <w:b/>
                <w:color w:val="000000"/>
              </w:rPr>
              <w:t>859</w:t>
            </w:r>
          </w:p>
        </w:tc>
        <w:tc>
          <w:tcPr>
            <w:tcW w:w="1081" w:type="dxa"/>
            <w:tcBorders>
              <w:top w:val="nil"/>
              <w:left w:val="single" w:sz="4" w:space="0" w:color="auto"/>
              <w:bottom w:val="nil"/>
            </w:tcBorders>
            <w:shd w:val="clear" w:color="auto" w:fill="auto"/>
            <w:vAlign w:val="center"/>
          </w:tcPr>
          <w:p w14:paraId="65E5C6FF" w14:textId="77777777" w:rsidR="005D61DD" w:rsidRPr="0080244C" w:rsidRDefault="005D61DD" w:rsidP="00F2009E">
            <w:pPr>
              <w:spacing w:before="0" w:line="240" w:lineRule="auto"/>
              <w:jc w:val="right"/>
              <w:rPr>
                <w:rFonts w:eastAsia="Times New Roman" w:cs="Arial"/>
                <w:lang w:eastAsia="en-AU"/>
              </w:rPr>
            </w:pPr>
            <w:r>
              <w:rPr>
                <w:rFonts w:eastAsia="Times New Roman" w:cs="Arial"/>
                <w:lang w:eastAsia="en-AU"/>
              </w:rPr>
              <w:t>222%</w:t>
            </w:r>
          </w:p>
        </w:tc>
      </w:tr>
      <w:tr w:rsidR="00F2009E" w:rsidRPr="0080244C" w14:paraId="632B5F94" w14:textId="77777777" w:rsidTr="00407ACB">
        <w:trPr>
          <w:trHeight w:val="369"/>
        </w:trPr>
        <w:tc>
          <w:tcPr>
            <w:tcW w:w="1902" w:type="dxa"/>
            <w:tcBorders>
              <w:top w:val="nil"/>
              <w:bottom w:val="nil"/>
              <w:right w:val="single" w:sz="4" w:space="0" w:color="auto"/>
            </w:tcBorders>
            <w:shd w:val="clear" w:color="auto" w:fill="DBE5F1" w:themeFill="accent1" w:themeFillTint="33"/>
            <w:vAlign w:val="center"/>
            <w:hideMark/>
          </w:tcPr>
          <w:p w14:paraId="7049187D" w14:textId="77777777" w:rsidR="005D61DD" w:rsidRPr="0080244C" w:rsidRDefault="005D61DD" w:rsidP="00F2009E">
            <w:pPr>
              <w:spacing w:before="0" w:line="240" w:lineRule="auto"/>
              <w:rPr>
                <w:rFonts w:eastAsia="Times New Roman" w:cs="Arial"/>
                <w:b/>
                <w:bCs/>
                <w:lang w:eastAsia="en-AU"/>
              </w:rPr>
            </w:pPr>
            <w:r>
              <w:rPr>
                <w:rFonts w:eastAsia="Times New Roman" w:cs="Arial"/>
                <w:b/>
                <w:bCs/>
                <w:lang w:eastAsia="en-AU"/>
              </w:rPr>
              <w:t>School personnel</w:t>
            </w:r>
          </w:p>
        </w:tc>
        <w:tc>
          <w:tcPr>
            <w:tcW w:w="1080" w:type="dxa"/>
            <w:tcBorders>
              <w:top w:val="nil"/>
              <w:left w:val="single" w:sz="4" w:space="0" w:color="auto"/>
              <w:bottom w:val="nil"/>
              <w:right w:val="single" w:sz="4" w:space="0" w:color="auto"/>
            </w:tcBorders>
            <w:shd w:val="clear" w:color="auto" w:fill="DBE5F1" w:themeFill="accent1" w:themeFillTint="33"/>
            <w:vAlign w:val="center"/>
            <w:hideMark/>
          </w:tcPr>
          <w:p w14:paraId="3F3D6A52" w14:textId="77777777" w:rsidR="005D61DD" w:rsidRPr="0080244C" w:rsidRDefault="005D61DD" w:rsidP="00F2009E">
            <w:pPr>
              <w:spacing w:before="0" w:line="240" w:lineRule="auto"/>
              <w:jc w:val="right"/>
              <w:rPr>
                <w:rFonts w:cs="Arial"/>
                <w:color w:val="000000"/>
              </w:rPr>
            </w:pPr>
            <w:r w:rsidRPr="0080244C">
              <w:rPr>
                <w:rFonts w:cs="Arial"/>
                <w:color w:val="000000"/>
              </w:rPr>
              <w:t>3</w:t>
            </w:r>
            <w:r>
              <w:rPr>
                <w:rFonts w:cs="Arial"/>
                <w:color w:val="000000"/>
              </w:rPr>
              <w:t>,</w:t>
            </w:r>
            <w:r w:rsidRPr="0080244C">
              <w:rPr>
                <w:rFonts w:cs="Arial"/>
                <w:color w:val="000000"/>
              </w:rPr>
              <w:t>657</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3224AFD2" w14:textId="77777777" w:rsidR="005D61DD" w:rsidRPr="0080244C" w:rsidRDefault="005D61DD" w:rsidP="00F2009E">
            <w:pPr>
              <w:spacing w:before="0" w:line="240" w:lineRule="auto"/>
              <w:jc w:val="right"/>
              <w:rPr>
                <w:rFonts w:cs="Arial"/>
                <w:color w:val="000000"/>
              </w:rPr>
            </w:pPr>
            <w:r w:rsidRPr="0080244C">
              <w:rPr>
                <w:rFonts w:cs="Arial"/>
                <w:color w:val="000000"/>
              </w:rPr>
              <w:t>3</w:t>
            </w:r>
            <w:r>
              <w:rPr>
                <w:rFonts w:cs="Arial"/>
                <w:color w:val="000000"/>
              </w:rPr>
              <w:t>,</w:t>
            </w:r>
            <w:r w:rsidRPr="0080244C">
              <w:rPr>
                <w:rFonts w:cs="Arial"/>
                <w:color w:val="000000"/>
              </w:rPr>
              <w:t>587</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4479D192" w14:textId="77777777" w:rsidR="005D61DD" w:rsidRPr="0080244C" w:rsidRDefault="005D61DD" w:rsidP="00F2009E">
            <w:pPr>
              <w:spacing w:before="0" w:line="240" w:lineRule="auto"/>
              <w:jc w:val="right"/>
              <w:rPr>
                <w:rFonts w:cs="Arial"/>
                <w:color w:val="000000"/>
              </w:rPr>
            </w:pPr>
            <w:r w:rsidRPr="0080244C">
              <w:rPr>
                <w:rFonts w:cs="Arial"/>
                <w:color w:val="000000"/>
              </w:rPr>
              <w:t>3</w:t>
            </w:r>
            <w:r>
              <w:rPr>
                <w:rFonts w:cs="Arial"/>
                <w:color w:val="000000"/>
              </w:rPr>
              <w:t>,</w:t>
            </w:r>
            <w:r w:rsidRPr="0080244C">
              <w:rPr>
                <w:rFonts w:cs="Arial"/>
                <w:color w:val="000000"/>
              </w:rPr>
              <w:t>532</w:t>
            </w:r>
          </w:p>
        </w:tc>
        <w:tc>
          <w:tcPr>
            <w:tcW w:w="900" w:type="dxa"/>
            <w:tcBorders>
              <w:top w:val="nil"/>
              <w:left w:val="single" w:sz="4" w:space="0" w:color="auto"/>
              <w:bottom w:val="nil"/>
              <w:right w:val="single" w:sz="4" w:space="0" w:color="auto"/>
            </w:tcBorders>
            <w:shd w:val="clear" w:color="auto" w:fill="DBE5F1" w:themeFill="accent1" w:themeFillTint="33"/>
            <w:vAlign w:val="center"/>
            <w:hideMark/>
          </w:tcPr>
          <w:p w14:paraId="1069B66B" w14:textId="77777777" w:rsidR="005D61DD" w:rsidRPr="0080244C" w:rsidRDefault="005D61DD" w:rsidP="00F2009E">
            <w:pPr>
              <w:spacing w:before="0" w:line="240" w:lineRule="auto"/>
              <w:jc w:val="right"/>
              <w:rPr>
                <w:rFonts w:cs="Arial"/>
                <w:color w:val="000000"/>
              </w:rPr>
            </w:pPr>
            <w:r w:rsidRPr="0080244C">
              <w:rPr>
                <w:rFonts w:cs="Arial"/>
                <w:color w:val="000000"/>
              </w:rPr>
              <w:t>3</w:t>
            </w:r>
            <w:r>
              <w:rPr>
                <w:rFonts w:cs="Arial"/>
                <w:color w:val="000000"/>
              </w:rPr>
              <w:t>,</w:t>
            </w:r>
            <w:r w:rsidRPr="0080244C">
              <w:rPr>
                <w:rFonts w:cs="Arial"/>
                <w:color w:val="000000"/>
              </w:rPr>
              <w:t>913</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4287DB52" w14:textId="77777777" w:rsidR="005D61DD" w:rsidRPr="0080244C" w:rsidRDefault="005D61DD" w:rsidP="00F2009E">
            <w:pPr>
              <w:spacing w:before="0" w:line="240" w:lineRule="auto"/>
              <w:jc w:val="right"/>
              <w:rPr>
                <w:rFonts w:cs="Arial"/>
                <w:color w:val="000000"/>
              </w:rPr>
            </w:pPr>
            <w:r w:rsidRPr="0080244C">
              <w:rPr>
                <w:rFonts w:cs="Arial"/>
                <w:color w:val="000000"/>
              </w:rPr>
              <w:t>4</w:t>
            </w:r>
            <w:r>
              <w:rPr>
                <w:rFonts w:cs="Arial"/>
                <w:color w:val="000000"/>
              </w:rPr>
              <w:t>,</w:t>
            </w:r>
            <w:r w:rsidRPr="0080244C">
              <w:rPr>
                <w:rFonts w:cs="Arial"/>
                <w:color w:val="000000"/>
              </w:rPr>
              <w:t>416</w:t>
            </w:r>
          </w:p>
        </w:tc>
        <w:tc>
          <w:tcPr>
            <w:tcW w:w="900" w:type="dxa"/>
            <w:tcBorders>
              <w:top w:val="nil"/>
              <w:left w:val="single" w:sz="4" w:space="0" w:color="auto"/>
              <w:bottom w:val="nil"/>
              <w:right w:val="single" w:sz="4" w:space="0" w:color="auto"/>
            </w:tcBorders>
            <w:shd w:val="clear" w:color="auto" w:fill="DBE5F1" w:themeFill="accent1" w:themeFillTint="33"/>
            <w:vAlign w:val="center"/>
            <w:hideMark/>
          </w:tcPr>
          <w:p w14:paraId="70F5B852" w14:textId="77777777" w:rsidR="005D61DD" w:rsidRPr="0080244C" w:rsidRDefault="005D61DD" w:rsidP="00F2009E">
            <w:pPr>
              <w:spacing w:before="0" w:line="240" w:lineRule="auto"/>
              <w:jc w:val="right"/>
              <w:rPr>
                <w:rFonts w:cs="Arial"/>
                <w:color w:val="000000"/>
              </w:rPr>
            </w:pPr>
            <w:r w:rsidRPr="0080244C">
              <w:rPr>
                <w:rFonts w:cs="Arial"/>
                <w:color w:val="000000"/>
              </w:rPr>
              <w:t>5</w:t>
            </w:r>
            <w:r>
              <w:rPr>
                <w:rFonts w:cs="Arial"/>
                <w:color w:val="000000"/>
              </w:rPr>
              <w:t>,</w:t>
            </w:r>
            <w:r w:rsidRPr="0080244C">
              <w:rPr>
                <w:rFonts w:cs="Arial"/>
                <w:color w:val="000000"/>
              </w:rPr>
              <w:t>900</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1DAD1255" w14:textId="77777777" w:rsidR="005D61DD" w:rsidRPr="0080244C" w:rsidRDefault="005D61DD" w:rsidP="00F2009E">
            <w:pPr>
              <w:spacing w:before="0" w:line="240" w:lineRule="auto"/>
              <w:jc w:val="right"/>
              <w:rPr>
                <w:rFonts w:cs="Arial"/>
                <w:color w:val="000000"/>
              </w:rPr>
            </w:pPr>
            <w:r w:rsidRPr="0080244C">
              <w:rPr>
                <w:rFonts w:cs="Arial"/>
                <w:color w:val="000000"/>
              </w:rPr>
              <w:t>6</w:t>
            </w:r>
            <w:r>
              <w:rPr>
                <w:rFonts w:cs="Arial"/>
                <w:color w:val="000000"/>
              </w:rPr>
              <w:t>,</w:t>
            </w:r>
            <w:r w:rsidRPr="0080244C">
              <w:rPr>
                <w:rFonts w:cs="Arial"/>
                <w:color w:val="000000"/>
              </w:rPr>
              <w:t>775</w:t>
            </w:r>
          </w:p>
        </w:tc>
        <w:tc>
          <w:tcPr>
            <w:tcW w:w="1080" w:type="dxa"/>
            <w:tcBorders>
              <w:top w:val="nil"/>
              <w:left w:val="single" w:sz="4" w:space="0" w:color="auto"/>
              <w:bottom w:val="nil"/>
              <w:right w:val="single" w:sz="4" w:space="0" w:color="auto"/>
            </w:tcBorders>
            <w:shd w:val="clear" w:color="auto" w:fill="DBE5F1" w:themeFill="accent1" w:themeFillTint="33"/>
            <w:vAlign w:val="center"/>
            <w:hideMark/>
          </w:tcPr>
          <w:p w14:paraId="13A51A21" w14:textId="77777777" w:rsidR="005D61DD" w:rsidRPr="0080244C" w:rsidRDefault="005D61DD" w:rsidP="00F2009E">
            <w:pPr>
              <w:spacing w:before="0" w:line="240" w:lineRule="auto"/>
              <w:jc w:val="right"/>
              <w:rPr>
                <w:rFonts w:cs="Arial"/>
                <w:color w:val="000000"/>
              </w:rPr>
            </w:pPr>
            <w:r w:rsidRPr="0080244C">
              <w:rPr>
                <w:rFonts w:cs="Arial"/>
                <w:color w:val="000000"/>
              </w:rPr>
              <w:t>7</w:t>
            </w:r>
            <w:r>
              <w:rPr>
                <w:rFonts w:cs="Arial"/>
                <w:color w:val="000000"/>
              </w:rPr>
              <w:t>,</w:t>
            </w:r>
            <w:r w:rsidRPr="0080244C">
              <w:rPr>
                <w:rFonts w:cs="Arial"/>
                <w:color w:val="000000"/>
              </w:rPr>
              <w:t>501</w:t>
            </w:r>
          </w:p>
        </w:tc>
        <w:tc>
          <w:tcPr>
            <w:tcW w:w="982" w:type="dxa"/>
            <w:tcBorders>
              <w:top w:val="nil"/>
              <w:left w:val="single" w:sz="4" w:space="0" w:color="auto"/>
              <w:bottom w:val="nil"/>
              <w:right w:val="single" w:sz="4" w:space="0" w:color="auto"/>
            </w:tcBorders>
            <w:shd w:val="clear" w:color="auto" w:fill="DBE5F1" w:themeFill="accent1" w:themeFillTint="33"/>
            <w:vAlign w:val="center"/>
            <w:hideMark/>
          </w:tcPr>
          <w:p w14:paraId="3FE80FE6" w14:textId="77777777" w:rsidR="005D61DD" w:rsidRPr="0080244C" w:rsidRDefault="005D61DD" w:rsidP="00F2009E">
            <w:pPr>
              <w:spacing w:before="0" w:line="240" w:lineRule="auto"/>
              <w:jc w:val="right"/>
              <w:rPr>
                <w:rFonts w:cs="Arial"/>
                <w:color w:val="000000"/>
              </w:rPr>
            </w:pPr>
            <w:r w:rsidRPr="0080244C">
              <w:rPr>
                <w:rFonts w:cs="Arial"/>
                <w:color w:val="000000"/>
              </w:rPr>
              <w:t>8</w:t>
            </w:r>
            <w:r>
              <w:rPr>
                <w:rFonts w:cs="Arial"/>
                <w:color w:val="000000"/>
              </w:rPr>
              <w:t>,</w:t>
            </w:r>
            <w:r w:rsidRPr="0080244C">
              <w:rPr>
                <w:rFonts w:cs="Arial"/>
                <w:color w:val="000000"/>
              </w:rPr>
              <w:t>940</w:t>
            </w:r>
          </w:p>
        </w:tc>
        <w:tc>
          <w:tcPr>
            <w:tcW w:w="1081" w:type="dxa"/>
            <w:tcBorders>
              <w:top w:val="nil"/>
              <w:left w:val="single" w:sz="4" w:space="0" w:color="auto"/>
              <w:bottom w:val="nil"/>
              <w:right w:val="single" w:sz="4" w:space="0" w:color="auto"/>
            </w:tcBorders>
            <w:shd w:val="clear" w:color="auto" w:fill="DBE5F1" w:themeFill="accent1" w:themeFillTint="33"/>
            <w:vAlign w:val="center"/>
            <w:hideMark/>
          </w:tcPr>
          <w:p w14:paraId="44B6AEF7" w14:textId="77777777" w:rsidR="005D61DD" w:rsidRPr="0080244C" w:rsidRDefault="005D61DD" w:rsidP="00F2009E">
            <w:pPr>
              <w:spacing w:before="0" w:line="240" w:lineRule="auto"/>
              <w:jc w:val="right"/>
              <w:rPr>
                <w:rFonts w:cs="Arial"/>
                <w:color w:val="000000"/>
              </w:rPr>
            </w:pPr>
            <w:r w:rsidRPr="0080244C">
              <w:rPr>
                <w:rFonts w:cs="Arial"/>
                <w:color w:val="000000"/>
              </w:rPr>
              <w:t>10</w:t>
            </w:r>
            <w:r>
              <w:rPr>
                <w:rFonts w:cs="Arial"/>
                <w:color w:val="000000"/>
              </w:rPr>
              <w:t>,</w:t>
            </w:r>
            <w:r w:rsidRPr="0080244C">
              <w:rPr>
                <w:rFonts w:cs="Arial"/>
                <w:color w:val="000000"/>
              </w:rPr>
              <w:t>417</w:t>
            </w:r>
          </w:p>
        </w:tc>
        <w:tc>
          <w:tcPr>
            <w:tcW w:w="1080" w:type="dxa"/>
            <w:tcBorders>
              <w:top w:val="nil"/>
              <w:left w:val="single" w:sz="4" w:space="0" w:color="auto"/>
              <w:bottom w:val="nil"/>
              <w:right w:val="single" w:sz="4" w:space="0" w:color="auto"/>
            </w:tcBorders>
            <w:shd w:val="clear" w:color="auto" w:fill="DBE5F1" w:themeFill="accent1" w:themeFillTint="33"/>
            <w:vAlign w:val="center"/>
            <w:hideMark/>
          </w:tcPr>
          <w:p w14:paraId="2F630D5A" w14:textId="77777777" w:rsidR="005D61DD" w:rsidRPr="00025A73" w:rsidRDefault="005D61DD" w:rsidP="00F2009E">
            <w:pPr>
              <w:spacing w:before="0" w:line="240" w:lineRule="auto"/>
              <w:jc w:val="right"/>
              <w:rPr>
                <w:rFonts w:cs="Arial"/>
                <w:b/>
                <w:color w:val="000000"/>
              </w:rPr>
            </w:pPr>
            <w:r w:rsidRPr="00025A73">
              <w:rPr>
                <w:rFonts w:cs="Arial"/>
                <w:b/>
                <w:color w:val="000000"/>
              </w:rPr>
              <w:t>58</w:t>
            </w:r>
            <w:r>
              <w:rPr>
                <w:rFonts w:cs="Arial"/>
                <w:b/>
                <w:color w:val="000000"/>
              </w:rPr>
              <w:t>,</w:t>
            </w:r>
            <w:r w:rsidRPr="00025A73">
              <w:rPr>
                <w:rFonts w:cs="Arial"/>
                <w:b/>
                <w:color w:val="000000"/>
              </w:rPr>
              <w:t>638</w:t>
            </w:r>
          </w:p>
        </w:tc>
        <w:tc>
          <w:tcPr>
            <w:tcW w:w="1081" w:type="dxa"/>
            <w:tcBorders>
              <w:top w:val="nil"/>
              <w:left w:val="single" w:sz="4" w:space="0" w:color="auto"/>
              <w:bottom w:val="nil"/>
            </w:tcBorders>
            <w:shd w:val="clear" w:color="auto" w:fill="DBE5F1" w:themeFill="accent1" w:themeFillTint="33"/>
            <w:vAlign w:val="center"/>
          </w:tcPr>
          <w:p w14:paraId="06040473" w14:textId="77777777" w:rsidR="005D61DD" w:rsidRPr="0080244C" w:rsidRDefault="005D61DD" w:rsidP="00F2009E">
            <w:pPr>
              <w:spacing w:before="0" w:line="240" w:lineRule="auto"/>
              <w:jc w:val="right"/>
              <w:rPr>
                <w:rFonts w:eastAsia="Times New Roman" w:cs="Arial"/>
                <w:lang w:eastAsia="en-AU"/>
              </w:rPr>
            </w:pPr>
            <w:r>
              <w:rPr>
                <w:rFonts w:eastAsia="Times New Roman" w:cs="Arial"/>
                <w:lang w:eastAsia="en-AU"/>
              </w:rPr>
              <w:t>185%</w:t>
            </w:r>
          </w:p>
        </w:tc>
      </w:tr>
      <w:tr w:rsidR="00F2009E" w:rsidRPr="0080244C" w14:paraId="0101BA43" w14:textId="77777777" w:rsidTr="00407ACB">
        <w:trPr>
          <w:trHeight w:val="351"/>
        </w:trPr>
        <w:tc>
          <w:tcPr>
            <w:tcW w:w="1902" w:type="dxa"/>
            <w:tcBorders>
              <w:top w:val="nil"/>
              <w:bottom w:val="nil"/>
              <w:right w:val="single" w:sz="4" w:space="0" w:color="auto"/>
            </w:tcBorders>
            <w:shd w:val="clear" w:color="auto" w:fill="auto"/>
            <w:vAlign w:val="center"/>
            <w:hideMark/>
          </w:tcPr>
          <w:p w14:paraId="11FEACA0" w14:textId="77777777" w:rsidR="005D61DD" w:rsidRPr="0080244C" w:rsidRDefault="005D61DD" w:rsidP="00F2009E">
            <w:pPr>
              <w:spacing w:before="0" w:line="240" w:lineRule="auto"/>
              <w:rPr>
                <w:rFonts w:eastAsia="Times New Roman" w:cs="Arial"/>
                <w:b/>
                <w:bCs/>
                <w:lang w:eastAsia="en-AU"/>
              </w:rPr>
            </w:pPr>
            <w:r w:rsidRPr="0080244C">
              <w:rPr>
                <w:rFonts w:eastAsia="Times New Roman" w:cs="Arial"/>
                <w:b/>
                <w:bCs/>
                <w:lang w:eastAsia="en-AU"/>
              </w:rPr>
              <w:t>Psychiatrists</w:t>
            </w:r>
          </w:p>
        </w:tc>
        <w:tc>
          <w:tcPr>
            <w:tcW w:w="1080" w:type="dxa"/>
            <w:tcBorders>
              <w:top w:val="nil"/>
              <w:left w:val="single" w:sz="4" w:space="0" w:color="auto"/>
              <w:bottom w:val="nil"/>
              <w:right w:val="single" w:sz="4" w:space="0" w:color="auto"/>
            </w:tcBorders>
            <w:shd w:val="clear" w:color="auto" w:fill="auto"/>
            <w:vAlign w:val="center"/>
            <w:hideMark/>
          </w:tcPr>
          <w:p w14:paraId="72313344" w14:textId="77777777" w:rsidR="005D61DD" w:rsidRPr="0080244C" w:rsidRDefault="005D61DD" w:rsidP="00F2009E">
            <w:pPr>
              <w:spacing w:before="0" w:line="240" w:lineRule="auto"/>
              <w:jc w:val="right"/>
              <w:rPr>
                <w:rFonts w:cs="Arial"/>
                <w:color w:val="000000"/>
              </w:rPr>
            </w:pPr>
            <w:r w:rsidRPr="0080244C">
              <w:rPr>
                <w:rFonts w:cs="Arial"/>
                <w:color w:val="000000"/>
              </w:rPr>
              <w:t>150</w:t>
            </w:r>
          </w:p>
        </w:tc>
        <w:tc>
          <w:tcPr>
            <w:tcW w:w="990" w:type="dxa"/>
            <w:tcBorders>
              <w:top w:val="nil"/>
              <w:left w:val="single" w:sz="4" w:space="0" w:color="auto"/>
              <w:bottom w:val="nil"/>
              <w:right w:val="single" w:sz="4" w:space="0" w:color="auto"/>
            </w:tcBorders>
            <w:shd w:val="clear" w:color="auto" w:fill="auto"/>
            <w:vAlign w:val="center"/>
            <w:hideMark/>
          </w:tcPr>
          <w:p w14:paraId="648899EF" w14:textId="77777777" w:rsidR="005D61DD" w:rsidRPr="0080244C" w:rsidRDefault="005D61DD" w:rsidP="00F2009E">
            <w:pPr>
              <w:spacing w:before="0" w:line="240" w:lineRule="auto"/>
              <w:jc w:val="right"/>
              <w:rPr>
                <w:rFonts w:cs="Arial"/>
                <w:color w:val="000000"/>
              </w:rPr>
            </w:pPr>
            <w:r w:rsidRPr="0080244C">
              <w:rPr>
                <w:rFonts w:cs="Arial"/>
                <w:color w:val="000000"/>
              </w:rPr>
              <w:t>219</w:t>
            </w:r>
          </w:p>
        </w:tc>
        <w:tc>
          <w:tcPr>
            <w:tcW w:w="990" w:type="dxa"/>
            <w:tcBorders>
              <w:top w:val="nil"/>
              <w:left w:val="single" w:sz="4" w:space="0" w:color="auto"/>
              <w:bottom w:val="nil"/>
              <w:right w:val="single" w:sz="4" w:space="0" w:color="auto"/>
            </w:tcBorders>
            <w:shd w:val="clear" w:color="auto" w:fill="auto"/>
            <w:vAlign w:val="center"/>
            <w:hideMark/>
          </w:tcPr>
          <w:p w14:paraId="678644C2" w14:textId="77777777" w:rsidR="005D61DD" w:rsidRPr="0080244C" w:rsidRDefault="005D61DD" w:rsidP="00F2009E">
            <w:pPr>
              <w:spacing w:before="0" w:line="240" w:lineRule="auto"/>
              <w:jc w:val="right"/>
              <w:rPr>
                <w:rFonts w:cs="Arial"/>
                <w:color w:val="000000"/>
              </w:rPr>
            </w:pPr>
            <w:r w:rsidRPr="0080244C">
              <w:rPr>
                <w:rFonts w:cs="Arial"/>
                <w:color w:val="000000"/>
              </w:rPr>
              <w:t>135</w:t>
            </w:r>
          </w:p>
        </w:tc>
        <w:tc>
          <w:tcPr>
            <w:tcW w:w="900" w:type="dxa"/>
            <w:tcBorders>
              <w:top w:val="nil"/>
              <w:left w:val="single" w:sz="4" w:space="0" w:color="auto"/>
              <w:bottom w:val="nil"/>
              <w:right w:val="single" w:sz="4" w:space="0" w:color="auto"/>
            </w:tcBorders>
            <w:shd w:val="clear" w:color="auto" w:fill="auto"/>
            <w:vAlign w:val="center"/>
            <w:hideMark/>
          </w:tcPr>
          <w:p w14:paraId="2508A5A3" w14:textId="77777777" w:rsidR="005D61DD" w:rsidRPr="0080244C" w:rsidRDefault="005D61DD" w:rsidP="00F2009E">
            <w:pPr>
              <w:spacing w:before="0" w:line="240" w:lineRule="auto"/>
              <w:jc w:val="right"/>
              <w:rPr>
                <w:rFonts w:cs="Arial"/>
                <w:color w:val="000000"/>
              </w:rPr>
            </w:pPr>
            <w:r w:rsidRPr="0080244C">
              <w:rPr>
                <w:rFonts w:cs="Arial"/>
                <w:color w:val="000000"/>
              </w:rPr>
              <w:t>195</w:t>
            </w:r>
          </w:p>
        </w:tc>
        <w:tc>
          <w:tcPr>
            <w:tcW w:w="990" w:type="dxa"/>
            <w:tcBorders>
              <w:top w:val="nil"/>
              <w:left w:val="single" w:sz="4" w:space="0" w:color="auto"/>
              <w:bottom w:val="nil"/>
              <w:right w:val="single" w:sz="4" w:space="0" w:color="auto"/>
            </w:tcBorders>
            <w:shd w:val="clear" w:color="auto" w:fill="auto"/>
            <w:vAlign w:val="center"/>
            <w:hideMark/>
          </w:tcPr>
          <w:p w14:paraId="57C72BEA" w14:textId="77777777" w:rsidR="005D61DD" w:rsidRPr="0080244C" w:rsidRDefault="005D61DD" w:rsidP="00F2009E">
            <w:pPr>
              <w:spacing w:before="0" w:line="240" w:lineRule="auto"/>
              <w:jc w:val="right"/>
              <w:rPr>
                <w:rFonts w:cs="Arial"/>
                <w:color w:val="000000"/>
              </w:rPr>
            </w:pPr>
            <w:r w:rsidRPr="0080244C">
              <w:rPr>
                <w:rFonts w:cs="Arial"/>
                <w:color w:val="000000"/>
              </w:rPr>
              <w:t>141</w:t>
            </w:r>
          </w:p>
        </w:tc>
        <w:tc>
          <w:tcPr>
            <w:tcW w:w="900" w:type="dxa"/>
            <w:tcBorders>
              <w:top w:val="nil"/>
              <w:left w:val="single" w:sz="4" w:space="0" w:color="auto"/>
              <w:bottom w:val="nil"/>
              <w:right w:val="single" w:sz="4" w:space="0" w:color="auto"/>
            </w:tcBorders>
            <w:shd w:val="clear" w:color="auto" w:fill="auto"/>
            <w:vAlign w:val="center"/>
            <w:hideMark/>
          </w:tcPr>
          <w:p w14:paraId="0EEC97B6" w14:textId="77777777" w:rsidR="005D61DD" w:rsidRPr="0080244C" w:rsidRDefault="005D61DD" w:rsidP="00F2009E">
            <w:pPr>
              <w:spacing w:before="0" w:line="240" w:lineRule="auto"/>
              <w:jc w:val="right"/>
              <w:rPr>
                <w:rFonts w:cs="Arial"/>
                <w:color w:val="000000"/>
              </w:rPr>
            </w:pPr>
            <w:r w:rsidRPr="0080244C">
              <w:rPr>
                <w:rFonts w:cs="Arial"/>
                <w:color w:val="000000"/>
              </w:rPr>
              <w:t>173</w:t>
            </w:r>
          </w:p>
        </w:tc>
        <w:tc>
          <w:tcPr>
            <w:tcW w:w="990" w:type="dxa"/>
            <w:tcBorders>
              <w:top w:val="nil"/>
              <w:left w:val="single" w:sz="4" w:space="0" w:color="auto"/>
              <w:bottom w:val="nil"/>
              <w:right w:val="single" w:sz="4" w:space="0" w:color="auto"/>
            </w:tcBorders>
            <w:shd w:val="clear" w:color="auto" w:fill="auto"/>
            <w:vAlign w:val="center"/>
            <w:hideMark/>
          </w:tcPr>
          <w:p w14:paraId="2584E395" w14:textId="77777777" w:rsidR="005D61DD" w:rsidRPr="0080244C" w:rsidRDefault="005D61DD" w:rsidP="00F2009E">
            <w:pPr>
              <w:spacing w:before="0" w:line="240" w:lineRule="auto"/>
              <w:jc w:val="right"/>
              <w:rPr>
                <w:rFonts w:cs="Arial"/>
                <w:color w:val="000000"/>
              </w:rPr>
            </w:pPr>
            <w:r w:rsidRPr="0080244C">
              <w:rPr>
                <w:rFonts w:cs="Arial"/>
                <w:color w:val="000000"/>
              </w:rPr>
              <w:t>198</w:t>
            </w:r>
          </w:p>
        </w:tc>
        <w:tc>
          <w:tcPr>
            <w:tcW w:w="1080" w:type="dxa"/>
            <w:tcBorders>
              <w:top w:val="nil"/>
              <w:left w:val="single" w:sz="4" w:space="0" w:color="auto"/>
              <w:bottom w:val="nil"/>
              <w:right w:val="single" w:sz="4" w:space="0" w:color="auto"/>
            </w:tcBorders>
            <w:shd w:val="clear" w:color="auto" w:fill="auto"/>
            <w:vAlign w:val="center"/>
            <w:hideMark/>
          </w:tcPr>
          <w:p w14:paraId="761B8306" w14:textId="77777777" w:rsidR="005D61DD" w:rsidRPr="0080244C" w:rsidRDefault="005D61DD" w:rsidP="00F2009E">
            <w:pPr>
              <w:spacing w:before="0" w:line="240" w:lineRule="auto"/>
              <w:jc w:val="right"/>
              <w:rPr>
                <w:rFonts w:cs="Arial"/>
                <w:color w:val="000000"/>
              </w:rPr>
            </w:pPr>
            <w:r w:rsidRPr="0080244C">
              <w:rPr>
                <w:rFonts w:cs="Arial"/>
                <w:color w:val="000000"/>
              </w:rPr>
              <w:t>201</w:t>
            </w:r>
          </w:p>
        </w:tc>
        <w:tc>
          <w:tcPr>
            <w:tcW w:w="982" w:type="dxa"/>
            <w:tcBorders>
              <w:top w:val="nil"/>
              <w:left w:val="single" w:sz="4" w:space="0" w:color="auto"/>
              <w:bottom w:val="nil"/>
              <w:right w:val="single" w:sz="4" w:space="0" w:color="auto"/>
            </w:tcBorders>
            <w:shd w:val="clear" w:color="auto" w:fill="auto"/>
            <w:vAlign w:val="center"/>
            <w:hideMark/>
          </w:tcPr>
          <w:p w14:paraId="187E6A5A" w14:textId="77777777" w:rsidR="005D61DD" w:rsidRPr="0080244C" w:rsidRDefault="005D61DD" w:rsidP="00F2009E">
            <w:pPr>
              <w:spacing w:before="0" w:line="240" w:lineRule="auto"/>
              <w:jc w:val="right"/>
              <w:rPr>
                <w:rFonts w:cs="Arial"/>
                <w:color w:val="000000"/>
              </w:rPr>
            </w:pPr>
            <w:r w:rsidRPr="0080244C">
              <w:rPr>
                <w:rFonts w:cs="Arial"/>
                <w:color w:val="000000"/>
              </w:rPr>
              <w:t>198</w:t>
            </w:r>
          </w:p>
        </w:tc>
        <w:tc>
          <w:tcPr>
            <w:tcW w:w="1081" w:type="dxa"/>
            <w:tcBorders>
              <w:top w:val="nil"/>
              <w:left w:val="single" w:sz="4" w:space="0" w:color="auto"/>
              <w:bottom w:val="nil"/>
              <w:right w:val="single" w:sz="4" w:space="0" w:color="auto"/>
            </w:tcBorders>
            <w:shd w:val="clear" w:color="auto" w:fill="auto"/>
            <w:vAlign w:val="center"/>
            <w:hideMark/>
          </w:tcPr>
          <w:p w14:paraId="44C2CB32" w14:textId="77777777" w:rsidR="005D61DD" w:rsidRPr="0080244C" w:rsidRDefault="005D61DD" w:rsidP="00F2009E">
            <w:pPr>
              <w:spacing w:before="0" w:line="240" w:lineRule="auto"/>
              <w:jc w:val="right"/>
              <w:rPr>
                <w:rFonts w:cs="Arial"/>
                <w:color w:val="000000"/>
              </w:rPr>
            </w:pPr>
            <w:r w:rsidRPr="0080244C">
              <w:rPr>
                <w:rFonts w:cs="Arial"/>
                <w:color w:val="000000"/>
              </w:rPr>
              <w:t>174</w:t>
            </w:r>
          </w:p>
        </w:tc>
        <w:tc>
          <w:tcPr>
            <w:tcW w:w="1080" w:type="dxa"/>
            <w:tcBorders>
              <w:top w:val="nil"/>
              <w:left w:val="single" w:sz="4" w:space="0" w:color="auto"/>
              <w:bottom w:val="nil"/>
              <w:right w:val="single" w:sz="4" w:space="0" w:color="auto"/>
            </w:tcBorders>
            <w:shd w:val="clear" w:color="auto" w:fill="auto"/>
            <w:vAlign w:val="center"/>
            <w:hideMark/>
          </w:tcPr>
          <w:p w14:paraId="7FFA2875" w14:textId="77777777" w:rsidR="005D61DD" w:rsidRPr="00025A73" w:rsidRDefault="005D61DD" w:rsidP="00F2009E">
            <w:pPr>
              <w:spacing w:before="0" w:line="240" w:lineRule="auto"/>
              <w:jc w:val="right"/>
              <w:rPr>
                <w:rFonts w:cs="Arial"/>
                <w:b/>
                <w:color w:val="000000"/>
              </w:rPr>
            </w:pPr>
            <w:r w:rsidRPr="00025A73">
              <w:rPr>
                <w:rFonts w:cs="Arial"/>
                <w:b/>
                <w:color w:val="000000"/>
              </w:rPr>
              <w:t>1</w:t>
            </w:r>
            <w:r>
              <w:rPr>
                <w:rFonts w:cs="Arial"/>
                <w:b/>
                <w:color w:val="000000"/>
              </w:rPr>
              <w:t>,</w:t>
            </w:r>
            <w:r w:rsidRPr="00025A73">
              <w:rPr>
                <w:rFonts w:cs="Arial"/>
                <w:b/>
                <w:color w:val="000000"/>
              </w:rPr>
              <w:t>784</w:t>
            </w:r>
          </w:p>
        </w:tc>
        <w:tc>
          <w:tcPr>
            <w:tcW w:w="1081" w:type="dxa"/>
            <w:tcBorders>
              <w:top w:val="nil"/>
              <w:left w:val="single" w:sz="4" w:space="0" w:color="auto"/>
              <w:bottom w:val="nil"/>
            </w:tcBorders>
            <w:shd w:val="clear" w:color="auto" w:fill="auto"/>
            <w:vAlign w:val="center"/>
          </w:tcPr>
          <w:p w14:paraId="3AEF14E7" w14:textId="77777777" w:rsidR="005D61DD" w:rsidRPr="0080244C" w:rsidRDefault="005D61DD" w:rsidP="00F2009E">
            <w:pPr>
              <w:spacing w:before="0" w:line="240" w:lineRule="auto"/>
              <w:jc w:val="right"/>
              <w:rPr>
                <w:rFonts w:eastAsia="Times New Roman" w:cs="Arial"/>
                <w:lang w:eastAsia="en-AU"/>
              </w:rPr>
            </w:pPr>
            <w:r>
              <w:rPr>
                <w:rFonts w:eastAsia="Times New Roman" w:cs="Arial"/>
                <w:lang w:eastAsia="en-AU"/>
              </w:rPr>
              <w:t>16%</w:t>
            </w:r>
          </w:p>
        </w:tc>
      </w:tr>
      <w:tr w:rsidR="00F2009E" w:rsidRPr="0080244C" w14:paraId="68684952" w14:textId="77777777" w:rsidTr="00407ACB">
        <w:trPr>
          <w:trHeight w:val="806"/>
        </w:trPr>
        <w:tc>
          <w:tcPr>
            <w:tcW w:w="1902" w:type="dxa"/>
            <w:tcBorders>
              <w:top w:val="nil"/>
              <w:bottom w:val="nil"/>
              <w:right w:val="single" w:sz="4" w:space="0" w:color="auto"/>
            </w:tcBorders>
            <w:shd w:val="clear" w:color="auto" w:fill="DBE5F1" w:themeFill="accent1" w:themeFillTint="33"/>
            <w:vAlign w:val="center"/>
            <w:hideMark/>
          </w:tcPr>
          <w:p w14:paraId="3A5355BC" w14:textId="77777777" w:rsidR="005D61DD" w:rsidRPr="008539EC" w:rsidRDefault="005D61DD" w:rsidP="00F2009E">
            <w:pPr>
              <w:spacing w:before="0" w:line="240" w:lineRule="auto"/>
              <w:rPr>
                <w:b/>
              </w:rPr>
            </w:pPr>
            <w:r w:rsidRPr="008539EC">
              <w:rPr>
                <w:b/>
              </w:rPr>
              <w:t>Major mandated reporter groups combined</w:t>
            </w:r>
          </w:p>
        </w:tc>
        <w:tc>
          <w:tcPr>
            <w:tcW w:w="1080" w:type="dxa"/>
            <w:tcBorders>
              <w:top w:val="nil"/>
              <w:left w:val="single" w:sz="4" w:space="0" w:color="auto"/>
              <w:bottom w:val="nil"/>
              <w:right w:val="single" w:sz="4" w:space="0" w:color="auto"/>
            </w:tcBorders>
            <w:shd w:val="clear" w:color="auto" w:fill="DBE5F1" w:themeFill="accent1" w:themeFillTint="33"/>
            <w:vAlign w:val="center"/>
            <w:hideMark/>
          </w:tcPr>
          <w:p w14:paraId="2A0CEC62"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12,700</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4CD53DCC"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12,616</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2BB09EEA"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12,948</w:t>
            </w:r>
          </w:p>
        </w:tc>
        <w:tc>
          <w:tcPr>
            <w:tcW w:w="900" w:type="dxa"/>
            <w:tcBorders>
              <w:top w:val="nil"/>
              <w:left w:val="single" w:sz="4" w:space="0" w:color="auto"/>
              <w:bottom w:val="nil"/>
              <w:right w:val="single" w:sz="4" w:space="0" w:color="auto"/>
            </w:tcBorders>
            <w:shd w:val="clear" w:color="auto" w:fill="DBE5F1" w:themeFill="accent1" w:themeFillTint="33"/>
            <w:vAlign w:val="center"/>
            <w:hideMark/>
          </w:tcPr>
          <w:p w14:paraId="31CD4EC0"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13,756</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2C52EA20"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14,405</w:t>
            </w:r>
          </w:p>
        </w:tc>
        <w:tc>
          <w:tcPr>
            <w:tcW w:w="900" w:type="dxa"/>
            <w:tcBorders>
              <w:top w:val="nil"/>
              <w:left w:val="single" w:sz="4" w:space="0" w:color="auto"/>
              <w:bottom w:val="nil"/>
              <w:right w:val="single" w:sz="4" w:space="0" w:color="auto"/>
            </w:tcBorders>
            <w:shd w:val="clear" w:color="auto" w:fill="DBE5F1" w:themeFill="accent1" w:themeFillTint="33"/>
            <w:vAlign w:val="center"/>
            <w:hideMark/>
          </w:tcPr>
          <w:p w14:paraId="03ECA751"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16,918</w:t>
            </w:r>
          </w:p>
        </w:tc>
        <w:tc>
          <w:tcPr>
            <w:tcW w:w="990" w:type="dxa"/>
            <w:tcBorders>
              <w:top w:val="nil"/>
              <w:left w:val="single" w:sz="4" w:space="0" w:color="auto"/>
              <w:bottom w:val="nil"/>
              <w:right w:val="single" w:sz="4" w:space="0" w:color="auto"/>
            </w:tcBorders>
            <w:shd w:val="clear" w:color="auto" w:fill="DBE5F1" w:themeFill="accent1" w:themeFillTint="33"/>
            <w:vAlign w:val="center"/>
            <w:hideMark/>
          </w:tcPr>
          <w:p w14:paraId="28DB922A"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19,503</w:t>
            </w:r>
          </w:p>
        </w:tc>
        <w:tc>
          <w:tcPr>
            <w:tcW w:w="1080" w:type="dxa"/>
            <w:tcBorders>
              <w:top w:val="nil"/>
              <w:left w:val="single" w:sz="4" w:space="0" w:color="auto"/>
              <w:bottom w:val="nil"/>
              <w:right w:val="single" w:sz="4" w:space="0" w:color="auto"/>
            </w:tcBorders>
            <w:shd w:val="clear" w:color="auto" w:fill="DBE5F1" w:themeFill="accent1" w:themeFillTint="33"/>
            <w:vAlign w:val="center"/>
            <w:hideMark/>
          </w:tcPr>
          <w:p w14:paraId="0A831088"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24,759</w:t>
            </w:r>
          </w:p>
        </w:tc>
        <w:tc>
          <w:tcPr>
            <w:tcW w:w="982" w:type="dxa"/>
            <w:tcBorders>
              <w:top w:val="nil"/>
              <w:left w:val="single" w:sz="4" w:space="0" w:color="auto"/>
              <w:bottom w:val="nil"/>
              <w:right w:val="single" w:sz="4" w:space="0" w:color="auto"/>
            </w:tcBorders>
            <w:shd w:val="clear" w:color="auto" w:fill="DBE5F1" w:themeFill="accent1" w:themeFillTint="33"/>
            <w:vAlign w:val="center"/>
            <w:hideMark/>
          </w:tcPr>
          <w:p w14:paraId="611DD884"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27,879</w:t>
            </w:r>
          </w:p>
        </w:tc>
        <w:tc>
          <w:tcPr>
            <w:tcW w:w="1081" w:type="dxa"/>
            <w:tcBorders>
              <w:top w:val="nil"/>
              <w:left w:val="single" w:sz="4" w:space="0" w:color="auto"/>
              <w:bottom w:val="nil"/>
              <w:right w:val="single" w:sz="4" w:space="0" w:color="auto"/>
            </w:tcBorders>
            <w:shd w:val="clear" w:color="auto" w:fill="DBE5F1" w:themeFill="accent1" w:themeFillTint="33"/>
            <w:vAlign w:val="center"/>
            <w:hideMark/>
          </w:tcPr>
          <w:p w14:paraId="5108391D"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34,944</w:t>
            </w:r>
          </w:p>
        </w:tc>
        <w:tc>
          <w:tcPr>
            <w:tcW w:w="1080" w:type="dxa"/>
            <w:tcBorders>
              <w:top w:val="nil"/>
              <w:left w:val="single" w:sz="4" w:space="0" w:color="auto"/>
              <w:bottom w:val="nil"/>
              <w:right w:val="single" w:sz="4" w:space="0" w:color="auto"/>
            </w:tcBorders>
            <w:shd w:val="clear" w:color="auto" w:fill="DBE5F1" w:themeFill="accent1" w:themeFillTint="33"/>
            <w:vAlign w:val="center"/>
            <w:hideMark/>
          </w:tcPr>
          <w:p w14:paraId="4383DC5C" w14:textId="77777777" w:rsidR="005D61DD" w:rsidRPr="0080244C" w:rsidRDefault="005D61DD" w:rsidP="00F2009E">
            <w:pPr>
              <w:spacing w:before="0" w:line="240" w:lineRule="auto"/>
              <w:jc w:val="right"/>
              <w:rPr>
                <w:rFonts w:cs="Arial"/>
                <w:b/>
              </w:rPr>
            </w:pPr>
            <w:r w:rsidRPr="0080244C">
              <w:rPr>
                <w:rFonts w:cs="Arial"/>
                <w:b/>
              </w:rPr>
              <w:t>190,428</w:t>
            </w:r>
          </w:p>
        </w:tc>
        <w:tc>
          <w:tcPr>
            <w:tcW w:w="1081" w:type="dxa"/>
            <w:tcBorders>
              <w:top w:val="nil"/>
              <w:left w:val="single" w:sz="4" w:space="0" w:color="auto"/>
              <w:bottom w:val="nil"/>
            </w:tcBorders>
            <w:shd w:val="clear" w:color="auto" w:fill="DBE5F1" w:themeFill="accent1" w:themeFillTint="33"/>
            <w:vAlign w:val="center"/>
          </w:tcPr>
          <w:p w14:paraId="34A9928F"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175%</w:t>
            </w:r>
          </w:p>
        </w:tc>
      </w:tr>
      <w:tr w:rsidR="00F2009E" w:rsidRPr="0080244C" w14:paraId="04AE5833" w14:textId="77777777" w:rsidTr="00407ACB">
        <w:trPr>
          <w:trHeight w:val="549"/>
        </w:trPr>
        <w:tc>
          <w:tcPr>
            <w:tcW w:w="1902" w:type="dxa"/>
            <w:tcBorders>
              <w:top w:val="nil"/>
              <w:right w:val="single" w:sz="4" w:space="0" w:color="auto"/>
            </w:tcBorders>
            <w:shd w:val="clear" w:color="auto" w:fill="auto"/>
            <w:vAlign w:val="center"/>
            <w:hideMark/>
          </w:tcPr>
          <w:p w14:paraId="03D1B2AC" w14:textId="77777777" w:rsidR="005D61DD" w:rsidRPr="008539EC" w:rsidRDefault="005D61DD" w:rsidP="00F2009E">
            <w:pPr>
              <w:spacing w:before="0" w:line="240" w:lineRule="auto"/>
              <w:rPr>
                <w:b/>
              </w:rPr>
            </w:pPr>
            <w:r w:rsidRPr="008539EC">
              <w:rPr>
                <w:b/>
              </w:rPr>
              <w:t>Other reporter groups</w:t>
            </w:r>
          </w:p>
        </w:tc>
        <w:tc>
          <w:tcPr>
            <w:tcW w:w="1080" w:type="dxa"/>
            <w:tcBorders>
              <w:top w:val="nil"/>
              <w:left w:val="single" w:sz="4" w:space="0" w:color="auto"/>
              <w:right w:val="single" w:sz="4" w:space="0" w:color="auto"/>
            </w:tcBorders>
            <w:shd w:val="clear" w:color="auto" w:fill="auto"/>
            <w:vAlign w:val="center"/>
            <w:hideMark/>
          </w:tcPr>
          <w:p w14:paraId="1EC028D5"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24,567</w:t>
            </w:r>
          </w:p>
        </w:tc>
        <w:tc>
          <w:tcPr>
            <w:tcW w:w="990" w:type="dxa"/>
            <w:tcBorders>
              <w:top w:val="nil"/>
              <w:left w:val="single" w:sz="4" w:space="0" w:color="auto"/>
              <w:right w:val="single" w:sz="4" w:space="0" w:color="auto"/>
            </w:tcBorders>
            <w:shd w:val="clear" w:color="auto" w:fill="auto"/>
            <w:vAlign w:val="center"/>
            <w:hideMark/>
          </w:tcPr>
          <w:p w14:paraId="4CEB3DA2"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25,033</w:t>
            </w:r>
          </w:p>
        </w:tc>
        <w:tc>
          <w:tcPr>
            <w:tcW w:w="990" w:type="dxa"/>
            <w:tcBorders>
              <w:top w:val="nil"/>
              <w:left w:val="single" w:sz="4" w:space="0" w:color="auto"/>
              <w:right w:val="single" w:sz="4" w:space="0" w:color="auto"/>
            </w:tcBorders>
            <w:shd w:val="clear" w:color="auto" w:fill="auto"/>
            <w:vAlign w:val="center"/>
            <w:hideMark/>
          </w:tcPr>
          <w:p w14:paraId="77A849EA"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23,709</w:t>
            </w:r>
          </w:p>
        </w:tc>
        <w:tc>
          <w:tcPr>
            <w:tcW w:w="900" w:type="dxa"/>
            <w:tcBorders>
              <w:top w:val="nil"/>
              <w:left w:val="single" w:sz="4" w:space="0" w:color="auto"/>
              <w:right w:val="single" w:sz="4" w:space="0" w:color="auto"/>
            </w:tcBorders>
            <w:shd w:val="clear" w:color="auto" w:fill="auto"/>
            <w:vAlign w:val="center"/>
            <w:hideMark/>
          </w:tcPr>
          <w:p w14:paraId="0E287C97"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23,937</w:t>
            </w:r>
          </w:p>
        </w:tc>
        <w:tc>
          <w:tcPr>
            <w:tcW w:w="990" w:type="dxa"/>
            <w:tcBorders>
              <w:top w:val="nil"/>
              <w:left w:val="single" w:sz="4" w:space="0" w:color="auto"/>
              <w:right w:val="single" w:sz="4" w:space="0" w:color="auto"/>
            </w:tcBorders>
            <w:shd w:val="clear" w:color="auto" w:fill="auto"/>
            <w:vAlign w:val="center"/>
            <w:hideMark/>
          </w:tcPr>
          <w:p w14:paraId="42405398"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24,369</w:t>
            </w:r>
          </w:p>
        </w:tc>
        <w:tc>
          <w:tcPr>
            <w:tcW w:w="900" w:type="dxa"/>
            <w:tcBorders>
              <w:top w:val="nil"/>
              <w:left w:val="single" w:sz="4" w:space="0" w:color="auto"/>
              <w:right w:val="single" w:sz="4" w:space="0" w:color="auto"/>
            </w:tcBorders>
            <w:shd w:val="clear" w:color="auto" w:fill="auto"/>
            <w:vAlign w:val="center"/>
            <w:hideMark/>
          </w:tcPr>
          <w:p w14:paraId="38D3C489"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24,777</w:t>
            </w:r>
          </w:p>
        </w:tc>
        <w:tc>
          <w:tcPr>
            <w:tcW w:w="990" w:type="dxa"/>
            <w:tcBorders>
              <w:top w:val="nil"/>
              <w:left w:val="single" w:sz="4" w:space="0" w:color="auto"/>
              <w:right w:val="single" w:sz="4" w:space="0" w:color="auto"/>
            </w:tcBorders>
            <w:shd w:val="clear" w:color="auto" w:fill="auto"/>
            <w:vAlign w:val="center"/>
            <w:hideMark/>
          </w:tcPr>
          <w:p w14:paraId="2F279F33"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25,267</w:t>
            </w:r>
          </w:p>
        </w:tc>
        <w:tc>
          <w:tcPr>
            <w:tcW w:w="1080" w:type="dxa"/>
            <w:tcBorders>
              <w:top w:val="nil"/>
              <w:left w:val="single" w:sz="4" w:space="0" w:color="auto"/>
              <w:right w:val="single" w:sz="4" w:space="0" w:color="auto"/>
            </w:tcBorders>
            <w:shd w:val="clear" w:color="auto" w:fill="auto"/>
            <w:vAlign w:val="center"/>
            <w:hideMark/>
          </w:tcPr>
          <w:p w14:paraId="1E1342CB"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27,276</w:t>
            </w:r>
          </w:p>
        </w:tc>
        <w:tc>
          <w:tcPr>
            <w:tcW w:w="982" w:type="dxa"/>
            <w:tcBorders>
              <w:top w:val="nil"/>
              <w:left w:val="single" w:sz="4" w:space="0" w:color="auto"/>
              <w:right w:val="single" w:sz="4" w:space="0" w:color="auto"/>
            </w:tcBorders>
            <w:shd w:val="clear" w:color="auto" w:fill="auto"/>
            <w:vAlign w:val="center"/>
            <w:hideMark/>
          </w:tcPr>
          <w:p w14:paraId="63F6225C"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31,053</w:t>
            </w:r>
          </w:p>
        </w:tc>
        <w:tc>
          <w:tcPr>
            <w:tcW w:w="1081" w:type="dxa"/>
            <w:tcBorders>
              <w:top w:val="nil"/>
              <w:left w:val="single" w:sz="4" w:space="0" w:color="auto"/>
              <w:right w:val="single" w:sz="4" w:space="0" w:color="auto"/>
            </w:tcBorders>
            <w:shd w:val="clear" w:color="auto" w:fill="auto"/>
            <w:vAlign w:val="center"/>
            <w:hideMark/>
          </w:tcPr>
          <w:p w14:paraId="74912199"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33,704</w:t>
            </w:r>
          </w:p>
        </w:tc>
        <w:tc>
          <w:tcPr>
            <w:tcW w:w="1080" w:type="dxa"/>
            <w:tcBorders>
              <w:top w:val="nil"/>
              <w:left w:val="single" w:sz="4" w:space="0" w:color="auto"/>
              <w:right w:val="single" w:sz="4" w:space="0" w:color="auto"/>
            </w:tcBorders>
            <w:shd w:val="clear" w:color="auto" w:fill="auto"/>
            <w:vAlign w:val="center"/>
            <w:hideMark/>
          </w:tcPr>
          <w:p w14:paraId="7EC2E649" w14:textId="77777777" w:rsidR="005D61DD" w:rsidRPr="0080244C" w:rsidRDefault="005D61DD" w:rsidP="00F2009E">
            <w:pPr>
              <w:spacing w:before="0" w:line="240" w:lineRule="auto"/>
              <w:jc w:val="right"/>
              <w:rPr>
                <w:rFonts w:cs="Arial"/>
                <w:b/>
              </w:rPr>
            </w:pPr>
            <w:r w:rsidRPr="0080244C">
              <w:rPr>
                <w:rFonts w:cs="Arial"/>
                <w:b/>
              </w:rPr>
              <w:t>263,692</w:t>
            </w:r>
          </w:p>
        </w:tc>
        <w:tc>
          <w:tcPr>
            <w:tcW w:w="1081" w:type="dxa"/>
            <w:tcBorders>
              <w:top w:val="nil"/>
              <w:left w:val="single" w:sz="4" w:space="0" w:color="auto"/>
            </w:tcBorders>
            <w:shd w:val="clear" w:color="auto" w:fill="auto"/>
            <w:vAlign w:val="center"/>
          </w:tcPr>
          <w:p w14:paraId="16097A87" w14:textId="77777777" w:rsidR="005D61DD" w:rsidRPr="0080244C" w:rsidRDefault="005D61DD" w:rsidP="00F2009E">
            <w:pPr>
              <w:spacing w:before="0" w:line="240" w:lineRule="auto"/>
              <w:jc w:val="right"/>
              <w:rPr>
                <w:rFonts w:eastAsia="Times New Roman" w:cs="Arial"/>
                <w:lang w:eastAsia="en-AU"/>
              </w:rPr>
            </w:pPr>
            <w:r w:rsidRPr="0080244C">
              <w:rPr>
                <w:rFonts w:eastAsia="Times New Roman" w:cs="Arial"/>
                <w:lang w:eastAsia="en-AU"/>
              </w:rPr>
              <w:t>37%</w:t>
            </w:r>
          </w:p>
        </w:tc>
      </w:tr>
      <w:tr w:rsidR="00F2009E" w:rsidRPr="0080244C" w14:paraId="4D532A19" w14:textId="77777777" w:rsidTr="00407ACB">
        <w:trPr>
          <w:trHeight w:val="287"/>
        </w:trPr>
        <w:tc>
          <w:tcPr>
            <w:tcW w:w="1902" w:type="dxa"/>
            <w:shd w:val="clear" w:color="auto" w:fill="95B3D7" w:themeFill="accent1" w:themeFillTint="99"/>
            <w:vAlign w:val="center"/>
          </w:tcPr>
          <w:p w14:paraId="2F7A571F" w14:textId="77777777" w:rsidR="005D61DD" w:rsidRPr="0080244C" w:rsidRDefault="005D61DD" w:rsidP="00F2009E">
            <w:pPr>
              <w:spacing w:before="0" w:line="240" w:lineRule="auto"/>
              <w:rPr>
                <w:rFonts w:eastAsia="Times New Roman" w:cs="Arial"/>
                <w:b/>
                <w:bCs/>
                <w:lang w:eastAsia="en-AU"/>
              </w:rPr>
            </w:pPr>
            <w:r w:rsidRPr="0080244C">
              <w:rPr>
                <w:rFonts w:eastAsia="Times New Roman" w:cs="Arial"/>
                <w:b/>
                <w:bCs/>
                <w:lang w:eastAsia="en-AU"/>
              </w:rPr>
              <w:t>Totals</w:t>
            </w:r>
          </w:p>
        </w:tc>
        <w:tc>
          <w:tcPr>
            <w:tcW w:w="1080" w:type="dxa"/>
            <w:shd w:val="clear" w:color="auto" w:fill="95B3D7" w:themeFill="accent1" w:themeFillTint="99"/>
            <w:vAlign w:val="center"/>
          </w:tcPr>
          <w:p w14:paraId="036D1BC1" w14:textId="77777777" w:rsidR="005D61DD" w:rsidRPr="0080244C" w:rsidRDefault="005D61DD" w:rsidP="00F2009E">
            <w:pPr>
              <w:spacing w:before="0" w:line="240" w:lineRule="auto"/>
              <w:jc w:val="right"/>
              <w:rPr>
                <w:rFonts w:cs="Arial"/>
                <w:b/>
                <w:bCs/>
              </w:rPr>
            </w:pPr>
            <w:r w:rsidRPr="0080244C">
              <w:rPr>
                <w:rFonts w:cs="Arial"/>
                <w:b/>
                <w:bCs/>
              </w:rPr>
              <w:t>37,267</w:t>
            </w:r>
          </w:p>
        </w:tc>
        <w:tc>
          <w:tcPr>
            <w:tcW w:w="990" w:type="dxa"/>
            <w:shd w:val="clear" w:color="auto" w:fill="95B3D7" w:themeFill="accent1" w:themeFillTint="99"/>
            <w:vAlign w:val="center"/>
          </w:tcPr>
          <w:p w14:paraId="0BCE6647" w14:textId="77777777" w:rsidR="005D61DD" w:rsidRPr="0080244C" w:rsidRDefault="005D61DD" w:rsidP="00F2009E">
            <w:pPr>
              <w:spacing w:before="0" w:line="240" w:lineRule="auto"/>
              <w:jc w:val="right"/>
              <w:rPr>
                <w:rFonts w:cs="Arial"/>
                <w:b/>
                <w:bCs/>
              </w:rPr>
            </w:pPr>
            <w:r w:rsidRPr="0080244C">
              <w:rPr>
                <w:rFonts w:cs="Arial"/>
                <w:b/>
                <w:bCs/>
              </w:rPr>
              <w:t>37,649</w:t>
            </w:r>
          </w:p>
        </w:tc>
        <w:tc>
          <w:tcPr>
            <w:tcW w:w="990" w:type="dxa"/>
            <w:shd w:val="clear" w:color="auto" w:fill="95B3D7" w:themeFill="accent1" w:themeFillTint="99"/>
            <w:vAlign w:val="center"/>
          </w:tcPr>
          <w:p w14:paraId="083656E3" w14:textId="77777777" w:rsidR="005D61DD" w:rsidRPr="0080244C" w:rsidRDefault="005D61DD" w:rsidP="00F2009E">
            <w:pPr>
              <w:spacing w:before="0" w:line="240" w:lineRule="auto"/>
              <w:jc w:val="right"/>
              <w:rPr>
                <w:rFonts w:cs="Arial"/>
                <w:b/>
              </w:rPr>
            </w:pPr>
            <w:r w:rsidRPr="0080244C">
              <w:rPr>
                <w:rFonts w:cs="Arial"/>
                <w:b/>
                <w:bCs/>
              </w:rPr>
              <w:t>36,657</w:t>
            </w:r>
          </w:p>
        </w:tc>
        <w:tc>
          <w:tcPr>
            <w:tcW w:w="900" w:type="dxa"/>
            <w:shd w:val="clear" w:color="auto" w:fill="95B3D7" w:themeFill="accent1" w:themeFillTint="99"/>
            <w:vAlign w:val="center"/>
          </w:tcPr>
          <w:p w14:paraId="27AFF292" w14:textId="77777777" w:rsidR="005D61DD" w:rsidRPr="0080244C" w:rsidRDefault="005D61DD" w:rsidP="00F2009E">
            <w:pPr>
              <w:spacing w:before="0" w:line="240" w:lineRule="auto"/>
              <w:jc w:val="right"/>
              <w:rPr>
                <w:rFonts w:cs="Arial"/>
                <w:b/>
                <w:bCs/>
              </w:rPr>
            </w:pPr>
            <w:r w:rsidRPr="0080244C">
              <w:rPr>
                <w:rFonts w:cs="Arial"/>
                <w:b/>
                <w:bCs/>
              </w:rPr>
              <w:t>37,693</w:t>
            </w:r>
          </w:p>
        </w:tc>
        <w:tc>
          <w:tcPr>
            <w:tcW w:w="990" w:type="dxa"/>
            <w:shd w:val="clear" w:color="auto" w:fill="95B3D7" w:themeFill="accent1" w:themeFillTint="99"/>
            <w:vAlign w:val="center"/>
          </w:tcPr>
          <w:p w14:paraId="23F9960B" w14:textId="77777777" w:rsidR="005D61DD" w:rsidRPr="0080244C" w:rsidRDefault="005D61DD" w:rsidP="00F2009E">
            <w:pPr>
              <w:spacing w:before="0" w:line="240" w:lineRule="auto"/>
              <w:jc w:val="right"/>
              <w:rPr>
                <w:rFonts w:cs="Arial"/>
                <w:b/>
              </w:rPr>
            </w:pPr>
            <w:r w:rsidRPr="0080244C">
              <w:rPr>
                <w:rFonts w:cs="Arial"/>
                <w:b/>
                <w:bCs/>
              </w:rPr>
              <w:t>38,774</w:t>
            </w:r>
          </w:p>
        </w:tc>
        <w:tc>
          <w:tcPr>
            <w:tcW w:w="900" w:type="dxa"/>
            <w:shd w:val="clear" w:color="auto" w:fill="95B3D7" w:themeFill="accent1" w:themeFillTint="99"/>
            <w:vAlign w:val="center"/>
          </w:tcPr>
          <w:p w14:paraId="38FDF704" w14:textId="77777777" w:rsidR="005D61DD" w:rsidRPr="0080244C" w:rsidRDefault="005D61DD" w:rsidP="00F2009E">
            <w:pPr>
              <w:spacing w:before="0" w:line="240" w:lineRule="auto"/>
              <w:jc w:val="right"/>
              <w:rPr>
                <w:rFonts w:cs="Arial"/>
                <w:b/>
                <w:bCs/>
              </w:rPr>
            </w:pPr>
            <w:r w:rsidRPr="0080244C">
              <w:rPr>
                <w:rFonts w:cs="Arial"/>
                <w:b/>
                <w:bCs/>
              </w:rPr>
              <w:t>41,695</w:t>
            </w:r>
          </w:p>
        </w:tc>
        <w:tc>
          <w:tcPr>
            <w:tcW w:w="990" w:type="dxa"/>
            <w:shd w:val="clear" w:color="auto" w:fill="95B3D7" w:themeFill="accent1" w:themeFillTint="99"/>
            <w:vAlign w:val="center"/>
          </w:tcPr>
          <w:p w14:paraId="01FA3830" w14:textId="77777777" w:rsidR="005D61DD" w:rsidRPr="0080244C" w:rsidRDefault="005D61DD" w:rsidP="00F2009E">
            <w:pPr>
              <w:spacing w:before="0" w:line="240" w:lineRule="auto"/>
              <w:jc w:val="right"/>
              <w:rPr>
                <w:rFonts w:cs="Arial"/>
                <w:b/>
              </w:rPr>
            </w:pPr>
            <w:r w:rsidRPr="0080244C">
              <w:rPr>
                <w:rFonts w:cs="Arial"/>
                <w:b/>
                <w:bCs/>
              </w:rPr>
              <w:t>44,770</w:t>
            </w:r>
          </w:p>
        </w:tc>
        <w:tc>
          <w:tcPr>
            <w:tcW w:w="1080" w:type="dxa"/>
            <w:shd w:val="clear" w:color="auto" w:fill="95B3D7" w:themeFill="accent1" w:themeFillTint="99"/>
            <w:vAlign w:val="center"/>
          </w:tcPr>
          <w:p w14:paraId="774A33D8" w14:textId="77777777" w:rsidR="005D61DD" w:rsidRPr="0080244C" w:rsidRDefault="005D61DD" w:rsidP="00F2009E">
            <w:pPr>
              <w:spacing w:before="0" w:line="240" w:lineRule="auto"/>
              <w:jc w:val="right"/>
              <w:rPr>
                <w:rFonts w:cs="Arial"/>
                <w:b/>
                <w:bCs/>
              </w:rPr>
            </w:pPr>
            <w:r w:rsidRPr="0080244C">
              <w:rPr>
                <w:rFonts w:cs="Arial"/>
                <w:b/>
                <w:bCs/>
              </w:rPr>
              <w:t>52,035</w:t>
            </w:r>
          </w:p>
        </w:tc>
        <w:tc>
          <w:tcPr>
            <w:tcW w:w="982" w:type="dxa"/>
            <w:shd w:val="clear" w:color="auto" w:fill="95B3D7" w:themeFill="accent1" w:themeFillTint="99"/>
            <w:vAlign w:val="center"/>
          </w:tcPr>
          <w:p w14:paraId="74B3DE54" w14:textId="77777777" w:rsidR="005D61DD" w:rsidRPr="0080244C" w:rsidRDefault="005D61DD" w:rsidP="00F2009E">
            <w:pPr>
              <w:spacing w:before="0" w:line="240" w:lineRule="auto"/>
              <w:jc w:val="right"/>
              <w:rPr>
                <w:rFonts w:cs="Arial"/>
                <w:b/>
              </w:rPr>
            </w:pPr>
            <w:r w:rsidRPr="0080244C">
              <w:rPr>
                <w:rFonts w:cs="Arial"/>
                <w:b/>
                <w:bCs/>
              </w:rPr>
              <w:t>58,932</w:t>
            </w:r>
          </w:p>
        </w:tc>
        <w:tc>
          <w:tcPr>
            <w:tcW w:w="1081" w:type="dxa"/>
            <w:shd w:val="clear" w:color="auto" w:fill="95B3D7" w:themeFill="accent1" w:themeFillTint="99"/>
            <w:vAlign w:val="center"/>
          </w:tcPr>
          <w:p w14:paraId="33652CD6" w14:textId="77777777" w:rsidR="005D61DD" w:rsidRPr="0080244C" w:rsidRDefault="005D61DD" w:rsidP="00F2009E">
            <w:pPr>
              <w:spacing w:before="0" w:line="240" w:lineRule="auto"/>
              <w:jc w:val="right"/>
              <w:rPr>
                <w:rFonts w:cs="Arial"/>
                <w:b/>
                <w:bCs/>
              </w:rPr>
            </w:pPr>
            <w:r w:rsidRPr="0080244C">
              <w:rPr>
                <w:rFonts w:cs="Arial"/>
                <w:b/>
                <w:bCs/>
              </w:rPr>
              <w:t>68,648</w:t>
            </w:r>
          </w:p>
        </w:tc>
        <w:tc>
          <w:tcPr>
            <w:tcW w:w="1080" w:type="dxa"/>
            <w:shd w:val="clear" w:color="auto" w:fill="95B3D7" w:themeFill="accent1" w:themeFillTint="99"/>
            <w:vAlign w:val="center"/>
          </w:tcPr>
          <w:p w14:paraId="4B75CC02" w14:textId="77777777" w:rsidR="005D61DD" w:rsidRPr="0080244C" w:rsidRDefault="005D61DD" w:rsidP="00F2009E">
            <w:pPr>
              <w:spacing w:before="0" w:line="240" w:lineRule="auto"/>
              <w:jc w:val="right"/>
              <w:rPr>
                <w:rFonts w:cs="Arial"/>
                <w:b/>
              </w:rPr>
            </w:pPr>
            <w:r w:rsidRPr="0080244C">
              <w:rPr>
                <w:rFonts w:cs="Arial"/>
                <w:b/>
              </w:rPr>
              <w:t>454,120</w:t>
            </w:r>
          </w:p>
        </w:tc>
        <w:tc>
          <w:tcPr>
            <w:tcW w:w="1081" w:type="dxa"/>
            <w:shd w:val="clear" w:color="auto" w:fill="95B3D7" w:themeFill="accent1" w:themeFillTint="99"/>
            <w:vAlign w:val="center"/>
          </w:tcPr>
          <w:p w14:paraId="01204066" w14:textId="77777777" w:rsidR="005D61DD" w:rsidRPr="0080244C" w:rsidRDefault="005D61DD" w:rsidP="00F2009E">
            <w:pPr>
              <w:spacing w:before="0" w:line="240" w:lineRule="auto"/>
              <w:jc w:val="right"/>
              <w:rPr>
                <w:rFonts w:eastAsia="Times New Roman" w:cs="Arial"/>
                <w:b/>
                <w:lang w:eastAsia="en-AU"/>
              </w:rPr>
            </w:pPr>
            <w:r w:rsidRPr="0080244C">
              <w:rPr>
                <w:rFonts w:eastAsia="Times New Roman" w:cs="Arial"/>
                <w:b/>
                <w:lang w:eastAsia="en-AU"/>
              </w:rPr>
              <w:t>84%</w:t>
            </w:r>
          </w:p>
        </w:tc>
      </w:tr>
    </w:tbl>
    <w:p w14:paraId="7A926496" w14:textId="77777777" w:rsidR="005D61DD" w:rsidRPr="00F2009E" w:rsidRDefault="005D61DD" w:rsidP="005E613E">
      <w:pPr>
        <w:pStyle w:val="Heading6"/>
        <w:spacing w:before="240" w:after="240"/>
        <w:rPr>
          <w:i/>
        </w:rPr>
      </w:pPr>
      <w:bookmarkStart w:id="66" w:name="_Toc382206713"/>
      <w:r w:rsidRPr="00F2009E">
        <w:rPr>
          <w:i/>
        </w:rPr>
        <w:t>Line graph for table 1.15: Number of reports by year, by reporter group (all abuse types combined)</w:t>
      </w:r>
      <w:bookmarkEnd w:id="66"/>
    </w:p>
    <w:p w14:paraId="5D29C63A" w14:textId="77777777" w:rsidR="00572B55" w:rsidRPr="00572B55" w:rsidRDefault="006360A3" w:rsidP="00B15586">
      <w:pPr>
        <w:keepNext/>
      </w:pPr>
      <w:r>
        <w:rPr>
          <w:noProof/>
          <w:lang w:eastAsia="en-AU"/>
        </w:rPr>
        <w:drawing>
          <wp:inline distT="0" distB="0" distL="0" distR="0" wp14:anchorId="59C759D8" wp14:editId="5AE40454">
            <wp:extent cx="8905875" cy="2076450"/>
            <wp:effectExtent l="0" t="0" r="9525" b="0"/>
            <wp:docPr id="6" name="Chart 6" descr="Shows abuse reports by major mandated reporter groups in Victoria passed other reporter groups in 2012." title="Line graph for table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A6831A" w14:textId="77777777" w:rsidR="005D61DD" w:rsidRDefault="005D61DD" w:rsidP="00B15586">
      <w:pPr>
        <w:spacing w:after="200" w:line="276" w:lineRule="auto"/>
        <w:rPr>
          <w:rFonts w:asciiTheme="majorHAnsi" w:eastAsiaTheme="majorEastAsia" w:hAnsiTheme="majorHAnsi" w:cstheme="majorBidi"/>
          <w:b/>
          <w:bCs/>
          <w:color w:val="17365D" w:themeColor="text2" w:themeShade="BF"/>
          <w:sz w:val="26"/>
          <w:szCs w:val="26"/>
        </w:rPr>
      </w:pPr>
      <w:r>
        <w:br w:type="page"/>
      </w:r>
    </w:p>
    <w:p w14:paraId="5D0042BA" w14:textId="3BF45949" w:rsidR="005D61DD" w:rsidRDefault="00863988" w:rsidP="00863988">
      <w:pPr>
        <w:pStyle w:val="Figureheading"/>
      </w:pPr>
      <w:r>
        <w:lastRenderedPageBreak/>
        <w:t>1.15.1</w:t>
      </w:r>
      <w:r>
        <w:tab/>
      </w:r>
      <w:r>
        <w:tab/>
      </w:r>
      <w:r w:rsidR="005D61DD">
        <w:t>Number of reports (and percentage of all reports made), by year, by reporter group (all abuse types combined)</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052"/>
        <w:gridCol w:w="1052"/>
        <w:gridCol w:w="1052"/>
        <w:gridCol w:w="1052"/>
        <w:gridCol w:w="1052"/>
        <w:gridCol w:w="1053"/>
        <w:gridCol w:w="1052"/>
        <w:gridCol w:w="1052"/>
        <w:gridCol w:w="1052"/>
        <w:gridCol w:w="1052"/>
        <w:gridCol w:w="1053"/>
        <w:gridCol w:w="1184"/>
      </w:tblGrid>
      <w:tr w:rsidR="005D61DD" w:rsidRPr="00901477" w14:paraId="7D5F62A4" w14:textId="77777777" w:rsidTr="00F2009E">
        <w:trPr>
          <w:trHeight w:val="552"/>
        </w:trPr>
        <w:tc>
          <w:tcPr>
            <w:tcW w:w="1951" w:type="dxa"/>
            <w:shd w:val="clear" w:color="auto" w:fill="95B3D7" w:themeFill="accent1" w:themeFillTint="99"/>
            <w:vAlign w:val="center"/>
            <w:hideMark/>
          </w:tcPr>
          <w:p w14:paraId="6E0CC1F1" w14:textId="77777777" w:rsidR="005D61DD" w:rsidRPr="00901477" w:rsidRDefault="005D61DD" w:rsidP="00F2009E">
            <w:pPr>
              <w:spacing w:before="0" w:after="60" w:line="240" w:lineRule="auto"/>
              <w:rPr>
                <w:b/>
              </w:rPr>
            </w:pPr>
          </w:p>
        </w:tc>
        <w:tc>
          <w:tcPr>
            <w:tcW w:w="1052" w:type="dxa"/>
            <w:shd w:val="clear" w:color="auto" w:fill="95B3D7" w:themeFill="accent1" w:themeFillTint="99"/>
            <w:vAlign w:val="center"/>
            <w:hideMark/>
          </w:tcPr>
          <w:p w14:paraId="7A793BB9" w14:textId="77777777" w:rsidR="005D61DD" w:rsidRPr="00901477" w:rsidRDefault="005D61DD" w:rsidP="00F2009E">
            <w:pPr>
              <w:spacing w:before="0" w:after="60" w:line="240" w:lineRule="auto"/>
              <w:jc w:val="center"/>
              <w:rPr>
                <w:b/>
              </w:rPr>
            </w:pPr>
            <w:r w:rsidRPr="00901477">
              <w:rPr>
                <w:b/>
              </w:rPr>
              <w:t>2003</w:t>
            </w:r>
          </w:p>
        </w:tc>
        <w:tc>
          <w:tcPr>
            <w:tcW w:w="1052" w:type="dxa"/>
            <w:shd w:val="clear" w:color="auto" w:fill="95B3D7" w:themeFill="accent1" w:themeFillTint="99"/>
            <w:vAlign w:val="center"/>
            <w:hideMark/>
          </w:tcPr>
          <w:p w14:paraId="17F52E1B" w14:textId="77777777" w:rsidR="005D61DD" w:rsidRPr="00901477" w:rsidRDefault="005D61DD" w:rsidP="00F2009E">
            <w:pPr>
              <w:spacing w:before="0" w:after="60" w:line="240" w:lineRule="auto"/>
              <w:jc w:val="center"/>
              <w:rPr>
                <w:b/>
              </w:rPr>
            </w:pPr>
            <w:r w:rsidRPr="00901477">
              <w:rPr>
                <w:b/>
              </w:rPr>
              <w:t>2004</w:t>
            </w:r>
          </w:p>
        </w:tc>
        <w:tc>
          <w:tcPr>
            <w:tcW w:w="1052" w:type="dxa"/>
            <w:shd w:val="clear" w:color="auto" w:fill="95B3D7" w:themeFill="accent1" w:themeFillTint="99"/>
            <w:vAlign w:val="center"/>
            <w:hideMark/>
          </w:tcPr>
          <w:p w14:paraId="33F68C10" w14:textId="77777777" w:rsidR="005D61DD" w:rsidRPr="00901477" w:rsidRDefault="005D61DD" w:rsidP="00F2009E">
            <w:pPr>
              <w:spacing w:before="0" w:after="60" w:line="240" w:lineRule="auto"/>
              <w:jc w:val="center"/>
              <w:rPr>
                <w:b/>
              </w:rPr>
            </w:pPr>
            <w:r w:rsidRPr="00901477">
              <w:rPr>
                <w:b/>
              </w:rPr>
              <w:t>2005</w:t>
            </w:r>
          </w:p>
        </w:tc>
        <w:tc>
          <w:tcPr>
            <w:tcW w:w="1052" w:type="dxa"/>
            <w:shd w:val="clear" w:color="auto" w:fill="95B3D7" w:themeFill="accent1" w:themeFillTint="99"/>
            <w:vAlign w:val="center"/>
            <w:hideMark/>
          </w:tcPr>
          <w:p w14:paraId="14681BE1" w14:textId="77777777" w:rsidR="005D61DD" w:rsidRPr="00901477" w:rsidRDefault="005D61DD" w:rsidP="00F2009E">
            <w:pPr>
              <w:spacing w:before="0" w:after="60" w:line="240" w:lineRule="auto"/>
              <w:jc w:val="center"/>
              <w:rPr>
                <w:b/>
              </w:rPr>
            </w:pPr>
            <w:r w:rsidRPr="00901477">
              <w:rPr>
                <w:b/>
              </w:rPr>
              <w:t>2006</w:t>
            </w:r>
          </w:p>
        </w:tc>
        <w:tc>
          <w:tcPr>
            <w:tcW w:w="1052" w:type="dxa"/>
            <w:shd w:val="clear" w:color="auto" w:fill="95B3D7" w:themeFill="accent1" w:themeFillTint="99"/>
            <w:vAlign w:val="center"/>
            <w:hideMark/>
          </w:tcPr>
          <w:p w14:paraId="790246F3" w14:textId="77777777" w:rsidR="005D61DD" w:rsidRPr="00901477" w:rsidRDefault="005D61DD" w:rsidP="00F2009E">
            <w:pPr>
              <w:spacing w:before="0" w:after="60" w:line="240" w:lineRule="auto"/>
              <w:jc w:val="center"/>
              <w:rPr>
                <w:b/>
              </w:rPr>
            </w:pPr>
            <w:r w:rsidRPr="00901477">
              <w:rPr>
                <w:b/>
              </w:rPr>
              <w:t>2007</w:t>
            </w:r>
          </w:p>
        </w:tc>
        <w:tc>
          <w:tcPr>
            <w:tcW w:w="1053" w:type="dxa"/>
            <w:shd w:val="clear" w:color="auto" w:fill="95B3D7" w:themeFill="accent1" w:themeFillTint="99"/>
            <w:vAlign w:val="center"/>
            <w:hideMark/>
          </w:tcPr>
          <w:p w14:paraId="6768CBAA" w14:textId="77777777" w:rsidR="005D61DD" w:rsidRPr="00901477" w:rsidRDefault="005D61DD" w:rsidP="00F2009E">
            <w:pPr>
              <w:spacing w:before="0" w:after="60" w:line="240" w:lineRule="auto"/>
              <w:jc w:val="center"/>
              <w:rPr>
                <w:b/>
              </w:rPr>
            </w:pPr>
            <w:r w:rsidRPr="00901477">
              <w:rPr>
                <w:b/>
              </w:rPr>
              <w:t>2008</w:t>
            </w:r>
          </w:p>
        </w:tc>
        <w:tc>
          <w:tcPr>
            <w:tcW w:w="1052" w:type="dxa"/>
            <w:shd w:val="clear" w:color="auto" w:fill="95B3D7" w:themeFill="accent1" w:themeFillTint="99"/>
            <w:vAlign w:val="center"/>
            <w:hideMark/>
          </w:tcPr>
          <w:p w14:paraId="3A5A2E79" w14:textId="77777777" w:rsidR="005D61DD" w:rsidRPr="00901477" w:rsidRDefault="005D61DD" w:rsidP="00F2009E">
            <w:pPr>
              <w:spacing w:before="0" w:after="60" w:line="240" w:lineRule="auto"/>
              <w:jc w:val="center"/>
              <w:rPr>
                <w:b/>
              </w:rPr>
            </w:pPr>
            <w:r w:rsidRPr="00901477">
              <w:rPr>
                <w:b/>
              </w:rPr>
              <w:t>2009</w:t>
            </w:r>
          </w:p>
        </w:tc>
        <w:tc>
          <w:tcPr>
            <w:tcW w:w="1052" w:type="dxa"/>
            <w:shd w:val="clear" w:color="auto" w:fill="95B3D7" w:themeFill="accent1" w:themeFillTint="99"/>
            <w:vAlign w:val="center"/>
            <w:hideMark/>
          </w:tcPr>
          <w:p w14:paraId="30B59925" w14:textId="77777777" w:rsidR="005D61DD" w:rsidRPr="00901477" w:rsidRDefault="005D61DD" w:rsidP="00F2009E">
            <w:pPr>
              <w:spacing w:before="0" w:after="60" w:line="240" w:lineRule="auto"/>
              <w:jc w:val="center"/>
              <w:rPr>
                <w:b/>
              </w:rPr>
            </w:pPr>
            <w:r w:rsidRPr="00901477">
              <w:rPr>
                <w:b/>
              </w:rPr>
              <w:t>2010</w:t>
            </w:r>
          </w:p>
        </w:tc>
        <w:tc>
          <w:tcPr>
            <w:tcW w:w="1052" w:type="dxa"/>
            <w:shd w:val="clear" w:color="auto" w:fill="95B3D7" w:themeFill="accent1" w:themeFillTint="99"/>
            <w:vAlign w:val="center"/>
            <w:hideMark/>
          </w:tcPr>
          <w:p w14:paraId="41C0FB54" w14:textId="77777777" w:rsidR="005D61DD" w:rsidRPr="00901477" w:rsidRDefault="005D61DD" w:rsidP="00F2009E">
            <w:pPr>
              <w:spacing w:before="0" w:after="60" w:line="240" w:lineRule="auto"/>
              <w:jc w:val="center"/>
              <w:rPr>
                <w:b/>
              </w:rPr>
            </w:pPr>
            <w:r w:rsidRPr="00901477">
              <w:rPr>
                <w:b/>
              </w:rPr>
              <w:t>2011</w:t>
            </w:r>
          </w:p>
        </w:tc>
        <w:tc>
          <w:tcPr>
            <w:tcW w:w="1052" w:type="dxa"/>
            <w:shd w:val="clear" w:color="auto" w:fill="95B3D7" w:themeFill="accent1" w:themeFillTint="99"/>
            <w:vAlign w:val="center"/>
            <w:hideMark/>
          </w:tcPr>
          <w:p w14:paraId="2376AC05" w14:textId="77777777" w:rsidR="005D61DD" w:rsidRPr="00901477" w:rsidRDefault="005D61DD" w:rsidP="00F2009E">
            <w:pPr>
              <w:spacing w:before="0" w:after="60" w:line="240" w:lineRule="auto"/>
              <w:jc w:val="center"/>
              <w:rPr>
                <w:b/>
              </w:rPr>
            </w:pPr>
            <w:r w:rsidRPr="00901477">
              <w:rPr>
                <w:b/>
              </w:rPr>
              <w:t>2012</w:t>
            </w:r>
          </w:p>
        </w:tc>
        <w:tc>
          <w:tcPr>
            <w:tcW w:w="1053" w:type="dxa"/>
            <w:shd w:val="clear" w:color="auto" w:fill="95B3D7" w:themeFill="accent1" w:themeFillTint="99"/>
            <w:vAlign w:val="center"/>
            <w:hideMark/>
          </w:tcPr>
          <w:p w14:paraId="1AB201E1" w14:textId="77777777" w:rsidR="005D61DD" w:rsidRPr="00901477" w:rsidRDefault="005D61DD" w:rsidP="00F2009E">
            <w:pPr>
              <w:spacing w:before="0" w:after="60" w:line="240" w:lineRule="auto"/>
              <w:jc w:val="center"/>
              <w:rPr>
                <w:b/>
              </w:rPr>
            </w:pPr>
            <w:r w:rsidRPr="00901477">
              <w:rPr>
                <w:b/>
              </w:rPr>
              <w:t>Totals</w:t>
            </w:r>
          </w:p>
        </w:tc>
        <w:tc>
          <w:tcPr>
            <w:tcW w:w="1184" w:type="dxa"/>
            <w:shd w:val="clear" w:color="auto" w:fill="95B3D7" w:themeFill="accent1" w:themeFillTint="99"/>
            <w:noWrap/>
            <w:vAlign w:val="center"/>
            <w:hideMark/>
          </w:tcPr>
          <w:p w14:paraId="39FEC1D9" w14:textId="77777777" w:rsidR="005D61DD" w:rsidRPr="00901477" w:rsidRDefault="005D61DD" w:rsidP="00F2009E">
            <w:pPr>
              <w:spacing w:before="0" w:after="60" w:line="240" w:lineRule="auto"/>
              <w:jc w:val="center"/>
              <w:rPr>
                <w:b/>
              </w:rPr>
            </w:pPr>
            <w:r>
              <w:rPr>
                <w:b/>
              </w:rPr>
              <w:t>% change</w:t>
            </w:r>
          </w:p>
        </w:tc>
      </w:tr>
      <w:tr w:rsidR="005D61DD" w:rsidRPr="00383A85" w14:paraId="2D26C69D" w14:textId="77777777" w:rsidTr="00F2009E">
        <w:trPr>
          <w:trHeight w:val="276"/>
        </w:trPr>
        <w:tc>
          <w:tcPr>
            <w:tcW w:w="1951" w:type="dxa"/>
            <w:vMerge w:val="restart"/>
            <w:vAlign w:val="center"/>
            <w:hideMark/>
          </w:tcPr>
          <w:p w14:paraId="4F58325A" w14:textId="77777777" w:rsidR="005D61DD" w:rsidRPr="00901477" w:rsidRDefault="005D61DD" w:rsidP="00F2009E">
            <w:pPr>
              <w:spacing w:before="0" w:after="60" w:line="240" w:lineRule="auto"/>
              <w:rPr>
                <w:b/>
              </w:rPr>
            </w:pPr>
            <w:r w:rsidRPr="00901477">
              <w:rPr>
                <w:b/>
              </w:rPr>
              <w:t>Doctors</w:t>
            </w:r>
          </w:p>
        </w:tc>
        <w:tc>
          <w:tcPr>
            <w:tcW w:w="1052" w:type="dxa"/>
            <w:vAlign w:val="center"/>
            <w:hideMark/>
          </w:tcPr>
          <w:p w14:paraId="05907B71" w14:textId="77777777" w:rsidR="005D61DD" w:rsidRPr="00383A85" w:rsidRDefault="005D61DD" w:rsidP="00F2009E">
            <w:pPr>
              <w:spacing w:before="0" w:after="60" w:line="240" w:lineRule="auto"/>
              <w:jc w:val="center"/>
            </w:pPr>
            <w:r w:rsidRPr="00383A85">
              <w:t>1,013</w:t>
            </w:r>
          </w:p>
        </w:tc>
        <w:tc>
          <w:tcPr>
            <w:tcW w:w="1052" w:type="dxa"/>
            <w:vAlign w:val="center"/>
            <w:hideMark/>
          </w:tcPr>
          <w:p w14:paraId="12DC623D" w14:textId="77777777" w:rsidR="005D61DD" w:rsidRPr="00572B55" w:rsidRDefault="005D61DD" w:rsidP="00F2009E">
            <w:pPr>
              <w:spacing w:before="0" w:after="60" w:line="240" w:lineRule="auto"/>
              <w:jc w:val="center"/>
            </w:pPr>
            <w:r w:rsidRPr="00572B55">
              <w:t>917</w:t>
            </w:r>
          </w:p>
        </w:tc>
        <w:tc>
          <w:tcPr>
            <w:tcW w:w="1052" w:type="dxa"/>
            <w:vAlign w:val="center"/>
            <w:hideMark/>
          </w:tcPr>
          <w:p w14:paraId="2BB17CE0" w14:textId="77777777" w:rsidR="005D61DD" w:rsidRPr="00383A85" w:rsidRDefault="005D61DD" w:rsidP="00F2009E">
            <w:pPr>
              <w:spacing w:before="0" w:after="60" w:line="240" w:lineRule="auto"/>
              <w:jc w:val="center"/>
            </w:pPr>
            <w:r w:rsidRPr="00383A85">
              <w:t>881</w:t>
            </w:r>
          </w:p>
        </w:tc>
        <w:tc>
          <w:tcPr>
            <w:tcW w:w="1052" w:type="dxa"/>
            <w:vAlign w:val="center"/>
            <w:hideMark/>
          </w:tcPr>
          <w:p w14:paraId="5310787D" w14:textId="77777777" w:rsidR="005D61DD" w:rsidRPr="00572B55" w:rsidRDefault="005D61DD" w:rsidP="00F2009E">
            <w:pPr>
              <w:spacing w:before="0" w:after="60" w:line="240" w:lineRule="auto"/>
              <w:jc w:val="center"/>
            </w:pPr>
            <w:r w:rsidRPr="00572B55">
              <w:t>867</w:t>
            </w:r>
          </w:p>
        </w:tc>
        <w:tc>
          <w:tcPr>
            <w:tcW w:w="1052" w:type="dxa"/>
            <w:vAlign w:val="center"/>
            <w:hideMark/>
          </w:tcPr>
          <w:p w14:paraId="39EB2874" w14:textId="77777777" w:rsidR="005D61DD" w:rsidRPr="00383A85" w:rsidRDefault="005D61DD" w:rsidP="00F2009E">
            <w:pPr>
              <w:spacing w:before="0" w:after="60" w:line="240" w:lineRule="auto"/>
              <w:jc w:val="center"/>
            </w:pPr>
            <w:r w:rsidRPr="00383A85">
              <w:t>846</w:t>
            </w:r>
          </w:p>
        </w:tc>
        <w:tc>
          <w:tcPr>
            <w:tcW w:w="1053" w:type="dxa"/>
            <w:vAlign w:val="center"/>
            <w:hideMark/>
          </w:tcPr>
          <w:p w14:paraId="0D7BCA34" w14:textId="77777777" w:rsidR="005D61DD" w:rsidRPr="00572B55" w:rsidRDefault="005D61DD" w:rsidP="00F2009E">
            <w:pPr>
              <w:spacing w:before="0" w:after="60" w:line="240" w:lineRule="auto"/>
              <w:jc w:val="center"/>
            </w:pPr>
            <w:r w:rsidRPr="00572B55">
              <w:t>965</w:t>
            </w:r>
          </w:p>
        </w:tc>
        <w:tc>
          <w:tcPr>
            <w:tcW w:w="1052" w:type="dxa"/>
            <w:vAlign w:val="center"/>
            <w:hideMark/>
          </w:tcPr>
          <w:p w14:paraId="6108DB1F" w14:textId="77777777" w:rsidR="005D61DD" w:rsidRPr="00383A85" w:rsidRDefault="005D61DD" w:rsidP="00F2009E">
            <w:pPr>
              <w:spacing w:before="0" w:after="60" w:line="240" w:lineRule="auto"/>
              <w:jc w:val="center"/>
            </w:pPr>
            <w:r w:rsidRPr="00383A85">
              <w:t>1,068</w:t>
            </w:r>
          </w:p>
        </w:tc>
        <w:tc>
          <w:tcPr>
            <w:tcW w:w="1052" w:type="dxa"/>
            <w:vAlign w:val="center"/>
            <w:hideMark/>
          </w:tcPr>
          <w:p w14:paraId="2BCB10E0" w14:textId="77777777" w:rsidR="005D61DD" w:rsidRPr="00572B55" w:rsidRDefault="005D61DD" w:rsidP="00F2009E">
            <w:pPr>
              <w:spacing w:before="0" w:after="60" w:line="240" w:lineRule="auto"/>
              <w:jc w:val="center"/>
            </w:pPr>
            <w:r w:rsidRPr="00572B55">
              <w:t>1,105</w:t>
            </w:r>
          </w:p>
        </w:tc>
        <w:tc>
          <w:tcPr>
            <w:tcW w:w="1052" w:type="dxa"/>
            <w:vAlign w:val="center"/>
            <w:hideMark/>
          </w:tcPr>
          <w:p w14:paraId="28532855" w14:textId="77777777" w:rsidR="005D61DD" w:rsidRPr="00383A85" w:rsidRDefault="005D61DD" w:rsidP="00F2009E">
            <w:pPr>
              <w:spacing w:before="0" w:after="60" w:line="240" w:lineRule="auto"/>
              <w:jc w:val="center"/>
            </w:pPr>
            <w:r w:rsidRPr="00383A85">
              <w:t>1,184</w:t>
            </w:r>
          </w:p>
        </w:tc>
        <w:tc>
          <w:tcPr>
            <w:tcW w:w="1052" w:type="dxa"/>
            <w:vAlign w:val="center"/>
            <w:hideMark/>
          </w:tcPr>
          <w:p w14:paraId="193F1F3F" w14:textId="77777777" w:rsidR="005D61DD" w:rsidRPr="00572B55" w:rsidRDefault="005D61DD" w:rsidP="00F2009E">
            <w:pPr>
              <w:spacing w:before="0" w:after="60" w:line="240" w:lineRule="auto"/>
              <w:jc w:val="center"/>
            </w:pPr>
            <w:r w:rsidRPr="00572B55">
              <w:t>1,256</w:t>
            </w:r>
          </w:p>
        </w:tc>
        <w:tc>
          <w:tcPr>
            <w:tcW w:w="1053" w:type="dxa"/>
            <w:vAlign w:val="center"/>
            <w:hideMark/>
          </w:tcPr>
          <w:p w14:paraId="259E699D" w14:textId="77777777" w:rsidR="005D61DD" w:rsidRPr="00901477" w:rsidRDefault="005D61DD" w:rsidP="00F2009E">
            <w:pPr>
              <w:spacing w:before="0" w:after="60" w:line="240" w:lineRule="auto"/>
              <w:jc w:val="center"/>
              <w:rPr>
                <w:b/>
              </w:rPr>
            </w:pPr>
            <w:r w:rsidRPr="00901477">
              <w:rPr>
                <w:b/>
              </w:rPr>
              <w:t>10,102</w:t>
            </w:r>
          </w:p>
        </w:tc>
        <w:tc>
          <w:tcPr>
            <w:tcW w:w="1184" w:type="dxa"/>
            <w:noWrap/>
            <w:vAlign w:val="center"/>
            <w:hideMark/>
          </w:tcPr>
          <w:p w14:paraId="49466894" w14:textId="77777777" w:rsidR="005D61DD" w:rsidRPr="00572B55" w:rsidRDefault="005D61DD" w:rsidP="00F2009E">
            <w:pPr>
              <w:spacing w:before="0" w:after="60" w:line="240" w:lineRule="auto"/>
              <w:jc w:val="center"/>
            </w:pPr>
            <w:r w:rsidRPr="00572B55">
              <w:t>24%</w:t>
            </w:r>
          </w:p>
        </w:tc>
      </w:tr>
      <w:tr w:rsidR="005D61DD" w:rsidRPr="00383A85" w14:paraId="39DB62E2" w14:textId="77777777" w:rsidTr="00F2009E">
        <w:trPr>
          <w:trHeight w:val="276"/>
        </w:trPr>
        <w:tc>
          <w:tcPr>
            <w:tcW w:w="1951" w:type="dxa"/>
            <w:vMerge/>
            <w:vAlign w:val="center"/>
            <w:hideMark/>
          </w:tcPr>
          <w:p w14:paraId="439E4E80" w14:textId="77777777" w:rsidR="005D61DD" w:rsidRPr="00901477" w:rsidRDefault="005D61DD" w:rsidP="00F2009E">
            <w:pPr>
              <w:spacing w:before="0" w:after="60" w:line="240" w:lineRule="auto"/>
              <w:rPr>
                <w:b/>
              </w:rPr>
            </w:pPr>
          </w:p>
        </w:tc>
        <w:tc>
          <w:tcPr>
            <w:tcW w:w="1052" w:type="dxa"/>
            <w:vAlign w:val="center"/>
            <w:hideMark/>
          </w:tcPr>
          <w:p w14:paraId="2B3659B2" w14:textId="77777777" w:rsidR="005D61DD" w:rsidRPr="00383A85" w:rsidRDefault="005D61DD" w:rsidP="00F2009E">
            <w:pPr>
              <w:spacing w:before="0" w:after="60" w:line="240" w:lineRule="auto"/>
              <w:jc w:val="center"/>
            </w:pPr>
            <w:r w:rsidRPr="00383A85">
              <w:t>2.7%</w:t>
            </w:r>
          </w:p>
        </w:tc>
        <w:tc>
          <w:tcPr>
            <w:tcW w:w="1052" w:type="dxa"/>
            <w:vAlign w:val="center"/>
            <w:hideMark/>
          </w:tcPr>
          <w:p w14:paraId="5F1BC94B" w14:textId="77777777" w:rsidR="005D61DD" w:rsidRPr="00572B55" w:rsidRDefault="005D61DD" w:rsidP="00F2009E">
            <w:pPr>
              <w:spacing w:before="0" w:after="60" w:line="240" w:lineRule="auto"/>
              <w:jc w:val="center"/>
            </w:pPr>
            <w:r w:rsidRPr="00572B55">
              <w:t>2.4%</w:t>
            </w:r>
          </w:p>
        </w:tc>
        <w:tc>
          <w:tcPr>
            <w:tcW w:w="1052" w:type="dxa"/>
            <w:vAlign w:val="center"/>
            <w:hideMark/>
          </w:tcPr>
          <w:p w14:paraId="480634F6" w14:textId="77777777" w:rsidR="005D61DD" w:rsidRPr="00383A85" w:rsidRDefault="005D61DD" w:rsidP="00F2009E">
            <w:pPr>
              <w:spacing w:before="0" w:after="60" w:line="240" w:lineRule="auto"/>
              <w:jc w:val="center"/>
            </w:pPr>
            <w:r w:rsidRPr="00383A85">
              <w:t>2.4%</w:t>
            </w:r>
          </w:p>
        </w:tc>
        <w:tc>
          <w:tcPr>
            <w:tcW w:w="1052" w:type="dxa"/>
            <w:vAlign w:val="center"/>
            <w:hideMark/>
          </w:tcPr>
          <w:p w14:paraId="312A9EBB" w14:textId="77777777" w:rsidR="005D61DD" w:rsidRPr="00572B55" w:rsidRDefault="005D61DD" w:rsidP="00F2009E">
            <w:pPr>
              <w:spacing w:before="0" w:after="60" w:line="240" w:lineRule="auto"/>
              <w:jc w:val="center"/>
            </w:pPr>
            <w:r w:rsidRPr="00572B55">
              <w:t>2.3%</w:t>
            </w:r>
          </w:p>
        </w:tc>
        <w:tc>
          <w:tcPr>
            <w:tcW w:w="1052" w:type="dxa"/>
            <w:vAlign w:val="center"/>
            <w:hideMark/>
          </w:tcPr>
          <w:p w14:paraId="4B182BD9" w14:textId="77777777" w:rsidR="005D61DD" w:rsidRPr="00383A85" w:rsidRDefault="005D61DD" w:rsidP="00F2009E">
            <w:pPr>
              <w:spacing w:before="0" w:after="60" w:line="240" w:lineRule="auto"/>
              <w:jc w:val="center"/>
            </w:pPr>
            <w:r w:rsidRPr="00383A85">
              <w:t>2.2%</w:t>
            </w:r>
          </w:p>
        </w:tc>
        <w:tc>
          <w:tcPr>
            <w:tcW w:w="1053" w:type="dxa"/>
            <w:vAlign w:val="center"/>
            <w:hideMark/>
          </w:tcPr>
          <w:p w14:paraId="7956FB58" w14:textId="77777777" w:rsidR="005D61DD" w:rsidRPr="00572B55" w:rsidRDefault="005D61DD" w:rsidP="00F2009E">
            <w:pPr>
              <w:spacing w:before="0" w:after="60" w:line="240" w:lineRule="auto"/>
              <w:jc w:val="center"/>
            </w:pPr>
            <w:r w:rsidRPr="00572B55">
              <w:t>2.3%</w:t>
            </w:r>
          </w:p>
        </w:tc>
        <w:tc>
          <w:tcPr>
            <w:tcW w:w="1052" w:type="dxa"/>
            <w:vAlign w:val="center"/>
            <w:hideMark/>
          </w:tcPr>
          <w:p w14:paraId="18F5652B" w14:textId="77777777" w:rsidR="005D61DD" w:rsidRPr="00383A85" w:rsidRDefault="005D61DD" w:rsidP="00F2009E">
            <w:pPr>
              <w:spacing w:before="0" w:after="60" w:line="240" w:lineRule="auto"/>
              <w:jc w:val="center"/>
            </w:pPr>
            <w:r w:rsidRPr="00383A85">
              <w:t>2.4%</w:t>
            </w:r>
          </w:p>
        </w:tc>
        <w:tc>
          <w:tcPr>
            <w:tcW w:w="1052" w:type="dxa"/>
            <w:vAlign w:val="center"/>
            <w:hideMark/>
          </w:tcPr>
          <w:p w14:paraId="1936E263" w14:textId="77777777" w:rsidR="005D61DD" w:rsidRPr="00572B55" w:rsidRDefault="005D61DD" w:rsidP="00F2009E">
            <w:pPr>
              <w:spacing w:before="0" w:after="60" w:line="240" w:lineRule="auto"/>
              <w:jc w:val="center"/>
            </w:pPr>
            <w:r w:rsidRPr="00572B55">
              <w:t>2.1%</w:t>
            </w:r>
          </w:p>
        </w:tc>
        <w:tc>
          <w:tcPr>
            <w:tcW w:w="1052" w:type="dxa"/>
            <w:vAlign w:val="center"/>
            <w:hideMark/>
          </w:tcPr>
          <w:p w14:paraId="6997B98B" w14:textId="77777777" w:rsidR="005D61DD" w:rsidRPr="00383A85" w:rsidRDefault="005D61DD" w:rsidP="00F2009E">
            <w:pPr>
              <w:spacing w:before="0" w:after="60" w:line="240" w:lineRule="auto"/>
              <w:jc w:val="center"/>
            </w:pPr>
            <w:r w:rsidRPr="00383A85">
              <w:t>2.0%</w:t>
            </w:r>
          </w:p>
        </w:tc>
        <w:tc>
          <w:tcPr>
            <w:tcW w:w="1052" w:type="dxa"/>
            <w:vAlign w:val="center"/>
            <w:hideMark/>
          </w:tcPr>
          <w:p w14:paraId="7CB5F191" w14:textId="77777777" w:rsidR="005D61DD" w:rsidRPr="00572B55" w:rsidRDefault="005D61DD" w:rsidP="00F2009E">
            <w:pPr>
              <w:spacing w:before="0" w:after="60" w:line="240" w:lineRule="auto"/>
              <w:jc w:val="center"/>
            </w:pPr>
            <w:r w:rsidRPr="00572B55">
              <w:t>1.8%</w:t>
            </w:r>
          </w:p>
        </w:tc>
        <w:tc>
          <w:tcPr>
            <w:tcW w:w="1053" w:type="dxa"/>
            <w:vAlign w:val="center"/>
            <w:hideMark/>
          </w:tcPr>
          <w:p w14:paraId="6B015357" w14:textId="77777777" w:rsidR="005D61DD" w:rsidRPr="00901477" w:rsidRDefault="005D61DD" w:rsidP="00F2009E">
            <w:pPr>
              <w:spacing w:before="0" w:after="60" w:line="240" w:lineRule="auto"/>
              <w:jc w:val="center"/>
              <w:rPr>
                <w:b/>
              </w:rPr>
            </w:pPr>
            <w:r w:rsidRPr="00901477">
              <w:rPr>
                <w:b/>
              </w:rPr>
              <w:t>2.2%</w:t>
            </w:r>
          </w:p>
        </w:tc>
        <w:tc>
          <w:tcPr>
            <w:tcW w:w="1184" w:type="dxa"/>
            <w:noWrap/>
            <w:vAlign w:val="center"/>
            <w:hideMark/>
          </w:tcPr>
          <w:p w14:paraId="2CE720A0" w14:textId="77777777" w:rsidR="005D61DD" w:rsidRPr="00572B55" w:rsidRDefault="005D61DD" w:rsidP="00F2009E">
            <w:pPr>
              <w:spacing w:before="0" w:after="60" w:line="240" w:lineRule="auto"/>
              <w:jc w:val="center"/>
            </w:pPr>
          </w:p>
        </w:tc>
      </w:tr>
      <w:tr w:rsidR="005D61DD" w:rsidRPr="00383A85" w14:paraId="4825ABA7" w14:textId="77777777" w:rsidTr="00F2009E">
        <w:trPr>
          <w:trHeight w:val="276"/>
        </w:trPr>
        <w:tc>
          <w:tcPr>
            <w:tcW w:w="1951" w:type="dxa"/>
            <w:vMerge w:val="restart"/>
            <w:shd w:val="clear" w:color="auto" w:fill="DBE5F1" w:themeFill="accent1" w:themeFillTint="33"/>
            <w:vAlign w:val="center"/>
            <w:hideMark/>
          </w:tcPr>
          <w:p w14:paraId="306D39E4" w14:textId="77777777" w:rsidR="005D61DD" w:rsidRPr="00901477" w:rsidRDefault="005D61DD" w:rsidP="00F2009E">
            <w:pPr>
              <w:spacing w:before="0" w:after="60" w:line="240" w:lineRule="auto"/>
              <w:rPr>
                <w:b/>
              </w:rPr>
            </w:pPr>
            <w:r w:rsidRPr="00901477">
              <w:rPr>
                <w:b/>
              </w:rPr>
              <w:t>Nurses</w:t>
            </w:r>
          </w:p>
        </w:tc>
        <w:tc>
          <w:tcPr>
            <w:tcW w:w="1052" w:type="dxa"/>
            <w:shd w:val="clear" w:color="auto" w:fill="DBE5F1" w:themeFill="accent1" w:themeFillTint="33"/>
            <w:vAlign w:val="center"/>
            <w:hideMark/>
          </w:tcPr>
          <w:p w14:paraId="6952A5BC" w14:textId="77777777" w:rsidR="005D61DD" w:rsidRPr="00383A85" w:rsidRDefault="005D61DD" w:rsidP="00F2009E">
            <w:pPr>
              <w:spacing w:before="0" w:after="60" w:line="240" w:lineRule="auto"/>
              <w:jc w:val="center"/>
            </w:pPr>
            <w:r w:rsidRPr="00383A85">
              <w:t>1,364</w:t>
            </w:r>
          </w:p>
        </w:tc>
        <w:tc>
          <w:tcPr>
            <w:tcW w:w="1052" w:type="dxa"/>
            <w:shd w:val="clear" w:color="auto" w:fill="DBE5F1" w:themeFill="accent1" w:themeFillTint="33"/>
            <w:vAlign w:val="center"/>
            <w:hideMark/>
          </w:tcPr>
          <w:p w14:paraId="22AD0932" w14:textId="77777777" w:rsidR="005D61DD" w:rsidRPr="00572B55" w:rsidRDefault="005D61DD" w:rsidP="00F2009E">
            <w:pPr>
              <w:spacing w:before="0" w:after="60" w:line="240" w:lineRule="auto"/>
              <w:jc w:val="center"/>
            </w:pPr>
            <w:r w:rsidRPr="00572B55">
              <w:t>1,390</w:t>
            </w:r>
          </w:p>
        </w:tc>
        <w:tc>
          <w:tcPr>
            <w:tcW w:w="1052" w:type="dxa"/>
            <w:shd w:val="clear" w:color="auto" w:fill="DBE5F1" w:themeFill="accent1" w:themeFillTint="33"/>
            <w:vAlign w:val="center"/>
            <w:hideMark/>
          </w:tcPr>
          <w:p w14:paraId="63468C38" w14:textId="77777777" w:rsidR="005D61DD" w:rsidRPr="00383A85" w:rsidRDefault="005D61DD" w:rsidP="00F2009E">
            <w:pPr>
              <w:spacing w:before="0" w:after="60" w:line="240" w:lineRule="auto"/>
              <w:jc w:val="center"/>
            </w:pPr>
            <w:r w:rsidRPr="00383A85">
              <w:t>1,356</w:t>
            </w:r>
          </w:p>
        </w:tc>
        <w:tc>
          <w:tcPr>
            <w:tcW w:w="1052" w:type="dxa"/>
            <w:shd w:val="clear" w:color="auto" w:fill="DBE5F1" w:themeFill="accent1" w:themeFillTint="33"/>
            <w:vAlign w:val="center"/>
            <w:hideMark/>
          </w:tcPr>
          <w:p w14:paraId="247E1E02" w14:textId="77777777" w:rsidR="005D61DD" w:rsidRPr="00572B55" w:rsidRDefault="005D61DD" w:rsidP="00F2009E">
            <w:pPr>
              <w:spacing w:before="0" w:after="60" w:line="240" w:lineRule="auto"/>
              <w:jc w:val="center"/>
            </w:pPr>
            <w:r w:rsidRPr="00572B55">
              <w:t>1,390</w:t>
            </w:r>
          </w:p>
        </w:tc>
        <w:tc>
          <w:tcPr>
            <w:tcW w:w="1052" w:type="dxa"/>
            <w:shd w:val="clear" w:color="auto" w:fill="DBE5F1" w:themeFill="accent1" w:themeFillTint="33"/>
            <w:vAlign w:val="center"/>
            <w:hideMark/>
          </w:tcPr>
          <w:p w14:paraId="1551E827" w14:textId="77777777" w:rsidR="005D61DD" w:rsidRPr="00383A85" w:rsidRDefault="005D61DD" w:rsidP="00F2009E">
            <w:pPr>
              <w:spacing w:before="0" w:after="60" w:line="240" w:lineRule="auto"/>
              <w:jc w:val="center"/>
            </w:pPr>
            <w:r w:rsidRPr="00383A85">
              <w:t>1,372</w:t>
            </w:r>
          </w:p>
        </w:tc>
        <w:tc>
          <w:tcPr>
            <w:tcW w:w="1053" w:type="dxa"/>
            <w:shd w:val="clear" w:color="auto" w:fill="DBE5F1" w:themeFill="accent1" w:themeFillTint="33"/>
            <w:vAlign w:val="center"/>
            <w:hideMark/>
          </w:tcPr>
          <w:p w14:paraId="0243E734" w14:textId="77777777" w:rsidR="005D61DD" w:rsidRPr="00572B55" w:rsidRDefault="005D61DD" w:rsidP="00F2009E">
            <w:pPr>
              <w:spacing w:before="0" w:after="60" w:line="240" w:lineRule="auto"/>
              <w:jc w:val="center"/>
            </w:pPr>
            <w:r w:rsidRPr="00572B55">
              <w:t>1,438</w:t>
            </w:r>
          </w:p>
        </w:tc>
        <w:tc>
          <w:tcPr>
            <w:tcW w:w="1052" w:type="dxa"/>
            <w:shd w:val="clear" w:color="auto" w:fill="DBE5F1" w:themeFill="accent1" w:themeFillTint="33"/>
            <w:vAlign w:val="center"/>
            <w:hideMark/>
          </w:tcPr>
          <w:p w14:paraId="020970DD" w14:textId="77777777" w:rsidR="005D61DD" w:rsidRPr="00383A85" w:rsidRDefault="005D61DD" w:rsidP="00F2009E">
            <w:pPr>
              <w:spacing w:before="0" w:after="60" w:line="240" w:lineRule="auto"/>
              <w:jc w:val="center"/>
            </w:pPr>
            <w:r w:rsidRPr="00383A85">
              <w:t>1,259</w:t>
            </w:r>
          </w:p>
        </w:tc>
        <w:tc>
          <w:tcPr>
            <w:tcW w:w="1052" w:type="dxa"/>
            <w:shd w:val="clear" w:color="auto" w:fill="DBE5F1" w:themeFill="accent1" w:themeFillTint="33"/>
            <w:vAlign w:val="center"/>
            <w:hideMark/>
          </w:tcPr>
          <w:p w14:paraId="3F3B7FE4" w14:textId="77777777" w:rsidR="005D61DD" w:rsidRPr="00572B55" w:rsidRDefault="005D61DD" w:rsidP="00F2009E">
            <w:pPr>
              <w:spacing w:before="0" w:after="60" w:line="240" w:lineRule="auto"/>
              <w:jc w:val="center"/>
            </w:pPr>
            <w:r w:rsidRPr="00572B55">
              <w:t>1,608</w:t>
            </w:r>
          </w:p>
        </w:tc>
        <w:tc>
          <w:tcPr>
            <w:tcW w:w="1052" w:type="dxa"/>
            <w:shd w:val="clear" w:color="auto" w:fill="DBE5F1" w:themeFill="accent1" w:themeFillTint="33"/>
            <w:vAlign w:val="center"/>
            <w:hideMark/>
          </w:tcPr>
          <w:p w14:paraId="68A621BE" w14:textId="77777777" w:rsidR="005D61DD" w:rsidRPr="00383A85" w:rsidRDefault="005D61DD" w:rsidP="00F2009E">
            <w:pPr>
              <w:spacing w:before="0" w:after="60" w:line="240" w:lineRule="auto"/>
              <w:jc w:val="center"/>
            </w:pPr>
            <w:r w:rsidRPr="00383A85">
              <w:t>1,763</w:t>
            </w:r>
          </w:p>
        </w:tc>
        <w:tc>
          <w:tcPr>
            <w:tcW w:w="1052" w:type="dxa"/>
            <w:shd w:val="clear" w:color="auto" w:fill="DBE5F1" w:themeFill="accent1" w:themeFillTint="33"/>
            <w:vAlign w:val="center"/>
            <w:hideMark/>
          </w:tcPr>
          <w:p w14:paraId="48695901" w14:textId="77777777" w:rsidR="005D61DD" w:rsidRPr="00572B55" w:rsidRDefault="005D61DD" w:rsidP="00F2009E">
            <w:pPr>
              <w:spacing w:before="0" w:after="60" w:line="240" w:lineRule="auto"/>
              <w:jc w:val="center"/>
            </w:pPr>
            <w:r w:rsidRPr="00572B55">
              <w:t>2,105</w:t>
            </w:r>
          </w:p>
        </w:tc>
        <w:tc>
          <w:tcPr>
            <w:tcW w:w="1053" w:type="dxa"/>
            <w:shd w:val="clear" w:color="auto" w:fill="DBE5F1" w:themeFill="accent1" w:themeFillTint="33"/>
            <w:vAlign w:val="center"/>
            <w:hideMark/>
          </w:tcPr>
          <w:p w14:paraId="0C88532F" w14:textId="77777777" w:rsidR="005D61DD" w:rsidRPr="00901477" w:rsidRDefault="005D61DD" w:rsidP="00F2009E">
            <w:pPr>
              <w:spacing w:before="0" w:after="60" w:line="240" w:lineRule="auto"/>
              <w:jc w:val="center"/>
              <w:rPr>
                <w:b/>
              </w:rPr>
            </w:pPr>
            <w:r w:rsidRPr="00901477">
              <w:rPr>
                <w:b/>
              </w:rPr>
              <w:t>15,045</w:t>
            </w:r>
          </w:p>
        </w:tc>
        <w:tc>
          <w:tcPr>
            <w:tcW w:w="1184" w:type="dxa"/>
            <w:shd w:val="clear" w:color="auto" w:fill="DBE5F1" w:themeFill="accent1" w:themeFillTint="33"/>
            <w:noWrap/>
            <w:vAlign w:val="center"/>
            <w:hideMark/>
          </w:tcPr>
          <w:p w14:paraId="64EBE10D" w14:textId="77777777" w:rsidR="005D61DD" w:rsidRPr="00572B55" w:rsidRDefault="005D61DD" w:rsidP="00F2009E">
            <w:pPr>
              <w:spacing w:before="0" w:after="60" w:line="240" w:lineRule="auto"/>
              <w:jc w:val="center"/>
            </w:pPr>
            <w:r w:rsidRPr="00572B55">
              <w:t>54%</w:t>
            </w:r>
          </w:p>
        </w:tc>
      </w:tr>
      <w:tr w:rsidR="005D61DD" w:rsidRPr="00383A85" w14:paraId="63084B32" w14:textId="77777777" w:rsidTr="00F2009E">
        <w:trPr>
          <w:trHeight w:val="276"/>
        </w:trPr>
        <w:tc>
          <w:tcPr>
            <w:tcW w:w="1951" w:type="dxa"/>
            <w:vMerge/>
            <w:shd w:val="clear" w:color="auto" w:fill="DBE5F1" w:themeFill="accent1" w:themeFillTint="33"/>
            <w:vAlign w:val="center"/>
            <w:hideMark/>
          </w:tcPr>
          <w:p w14:paraId="68371024" w14:textId="77777777" w:rsidR="005D61DD" w:rsidRPr="00901477" w:rsidRDefault="005D61DD" w:rsidP="00F2009E">
            <w:pPr>
              <w:spacing w:before="0" w:after="60" w:line="240" w:lineRule="auto"/>
              <w:rPr>
                <w:b/>
              </w:rPr>
            </w:pPr>
          </w:p>
        </w:tc>
        <w:tc>
          <w:tcPr>
            <w:tcW w:w="1052" w:type="dxa"/>
            <w:shd w:val="clear" w:color="auto" w:fill="DBE5F1" w:themeFill="accent1" w:themeFillTint="33"/>
            <w:vAlign w:val="center"/>
            <w:hideMark/>
          </w:tcPr>
          <w:p w14:paraId="23731331" w14:textId="77777777" w:rsidR="005D61DD" w:rsidRPr="00383A85" w:rsidRDefault="005D61DD" w:rsidP="00F2009E">
            <w:pPr>
              <w:spacing w:before="0" w:after="60" w:line="240" w:lineRule="auto"/>
              <w:jc w:val="center"/>
            </w:pPr>
            <w:r w:rsidRPr="00383A85">
              <w:t>3.7%</w:t>
            </w:r>
          </w:p>
        </w:tc>
        <w:tc>
          <w:tcPr>
            <w:tcW w:w="1052" w:type="dxa"/>
            <w:shd w:val="clear" w:color="auto" w:fill="DBE5F1" w:themeFill="accent1" w:themeFillTint="33"/>
            <w:vAlign w:val="center"/>
            <w:hideMark/>
          </w:tcPr>
          <w:p w14:paraId="10B3F7AD" w14:textId="77777777" w:rsidR="005D61DD" w:rsidRPr="00572B55" w:rsidRDefault="005D61DD" w:rsidP="00F2009E">
            <w:pPr>
              <w:spacing w:before="0" w:after="60" w:line="240" w:lineRule="auto"/>
              <w:jc w:val="center"/>
            </w:pPr>
            <w:r w:rsidRPr="00572B55">
              <w:t>3.7%</w:t>
            </w:r>
          </w:p>
        </w:tc>
        <w:tc>
          <w:tcPr>
            <w:tcW w:w="1052" w:type="dxa"/>
            <w:shd w:val="clear" w:color="auto" w:fill="DBE5F1" w:themeFill="accent1" w:themeFillTint="33"/>
            <w:vAlign w:val="center"/>
            <w:hideMark/>
          </w:tcPr>
          <w:p w14:paraId="63315627" w14:textId="77777777" w:rsidR="005D61DD" w:rsidRPr="00383A85" w:rsidRDefault="005D61DD" w:rsidP="00F2009E">
            <w:pPr>
              <w:spacing w:before="0" w:after="60" w:line="240" w:lineRule="auto"/>
              <w:jc w:val="center"/>
            </w:pPr>
            <w:r w:rsidRPr="00383A85">
              <w:t>3.7%</w:t>
            </w:r>
          </w:p>
        </w:tc>
        <w:tc>
          <w:tcPr>
            <w:tcW w:w="1052" w:type="dxa"/>
            <w:shd w:val="clear" w:color="auto" w:fill="DBE5F1" w:themeFill="accent1" w:themeFillTint="33"/>
            <w:vAlign w:val="center"/>
            <w:hideMark/>
          </w:tcPr>
          <w:p w14:paraId="76C2F9BF" w14:textId="77777777" w:rsidR="005D61DD" w:rsidRPr="00572B55" w:rsidRDefault="005D61DD" w:rsidP="00F2009E">
            <w:pPr>
              <w:spacing w:before="0" w:after="60" w:line="240" w:lineRule="auto"/>
              <w:jc w:val="center"/>
            </w:pPr>
            <w:r w:rsidRPr="00572B55">
              <w:t>3.7%</w:t>
            </w:r>
          </w:p>
        </w:tc>
        <w:tc>
          <w:tcPr>
            <w:tcW w:w="1052" w:type="dxa"/>
            <w:shd w:val="clear" w:color="auto" w:fill="DBE5F1" w:themeFill="accent1" w:themeFillTint="33"/>
            <w:vAlign w:val="center"/>
            <w:hideMark/>
          </w:tcPr>
          <w:p w14:paraId="30F3FD96" w14:textId="77777777" w:rsidR="005D61DD" w:rsidRPr="00383A85" w:rsidRDefault="005D61DD" w:rsidP="00F2009E">
            <w:pPr>
              <w:spacing w:before="0" w:after="60" w:line="240" w:lineRule="auto"/>
              <w:jc w:val="center"/>
            </w:pPr>
            <w:r w:rsidRPr="00383A85">
              <w:t>3.5%</w:t>
            </w:r>
          </w:p>
        </w:tc>
        <w:tc>
          <w:tcPr>
            <w:tcW w:w="1053" w:type="dxa"/>
            <w:shd w:val="clear" w:color="auto" w:fill="DBE5F1" w:themeFill="accent1" w:themeFillTint="33"/>
            <w:vAlign w:val="center"/>
            <w:hideMark/>
          </w:tcPr>
          <w:p w14:paraId="1B543E3C" w14:textId="77777777" w:rsidR="005D61DD" w:rsidRPr="00572B55" w:rsidRDefault="005D61DD" w:rsidP="00F2009E">
            <w:pPr>
              <w:spacing w:before="0" w:after="60" w:line="240" w:lineRule="auto"/>
              <w:jc w:val="center"/>
            </w:pPr>
            <w:r w:rsidRPr="00572B55">
              <w:t>3.4%</w:t>
            </w:r>
          </w:p>
        </w:tc>
        <w:tc>
          <w:tcPr>
            <w:tcW w:w="1052" w:type="dxa"/>
            <w:shd w:val="clear" w:color="auto" w:fill="DBE5F1" w:themeFill="accent1" w:themeFillTint="33"/>
            <w:vAlign w:val="center"/>
            <w:hideMark/>
          </w:tcPr>
          <w:p w14:paraId="09E43601" w14:textId="77777777" w:rsidR="005D61DD" w:rsidRPr="00383A85" w:rsidRDefault="005D61DD" w:rsidP="00F2009E">
            <w:pPr>
              <w:spacing w:before="0" w:after="60" w:line="240" w:lineRule="auto"/>
              <w:jc w:val="center"/>
            </w:pPr>
            <w:r w:rsidRPr="00383A85">
              <w:t>2.8%</w:t>
            </w:r>
          </w:p>
        </w:tc>
        <w:tc>
          <w:tcPr>
            <w:tcW w:w="1052" w:type="dxa"/>
            <w:shd w:val="clear" w:color="auto" w:fill="DBE5F1" w:themeFill="accent1" w:themeFillTint="33"/>
            <w:vAlign w:val="center"/>
            <w:hideMark/>
          </w:tcPr>
          <w:p w14:paraId="12F86C4E" w14:textId="77777777" w:rsidR="005D61DD" w:rsidRPr="00572B55" w:rsidRDefault="005D61DD" w:rsidP="00F2009E">
            <w:pPr>
              <w:spacing w:before="0" w:after="60" w:line="240" w:lineRule="auto"/>
              <w:jc w:val="center"/>
            </w:pPr>
            <w:r w:rsidRPr="00572B55">
              <w:t>3.1%</w:t>
            </w:r>
          </w:p>
        </w:tc>
        <w:tc>
          <w:tcPr>
            <w:tcW w:w="1052" w:type="dxa"/>
            <w:shd w:val="clear" w:color="auto" w:fill="DBE5F1" w:themeFill="accent1" w:themeFillTint="33"/>
            <w:vAlign w:val="center"/>
            <w:hideMark/>
          </w:tcPr>
          <w:p w14:paraId="5F5F98B1" w14:textId="77777777" w:rsidR="005D61DD" w:rsidRPr="00383A85" w:rsidRDefault="005D61DD" w:rsidP="00F2009E">
            <w:pPr>
              <w:spacing w:before="0" w:after="60" w:line="240" w:lineRule="auto"/>
              <w:jc w:val="center"/>
            </w:pPr>
            <w:r w:rsidRPr="00383A85">
              <w:t>3.0%</w:t>
            </w:r>
          </w:p>
        </w:tc>
        <w:tc>
          <w:tcPr>
            <w:tcW w:w="1052" w:type="dxa"/>
            <w:shd w:val="clear" w:color="auto" w:fill="DBE5F1" w:themeFill="accent1" w:themeFillTint="33"/>
            <w:vAlign w:val="center"/>
            <w:hideMark/>
          </w:tcPr>
          <w:p w14:paraId="7171AC85" w14:textId="77777777" w:rsidR="005D61DD" w:rsidRPr="00572B55" w:rsidRDefault="005D61DD" w:rsidP="00F2009E">
            <w:pPr>
              <w:spacing w:before="0" w:after="60" w:line="240" w:lineRule="auto"/>
              <w:jc w:val="center"/>
            </w:pPr>
            <w:r w:rsidRPr="00572B55">
              <w:t>3.1%</w:t>
            </w:r>
          </w:p>
        </w:tc>
        <w:tc>
          <w:tcPr>
            <w:tcW w:w="1053" w:type="dxa"/>
            <w:shd w:val="clear" w:color="auto" w:fill="DBE5F1" w:themeFill="accent1" w:themeFillTint="33"/>
            <w:vAlign w:val="center"/>
            <w:hideMark/>
          </w:tcPr>
          <w:p w14:paraId="30F44B93" w14:textId="77777777" w:rsidR="005D61DD" w:rsidRPr="00901477" w:rsidRDefault="005D61DD" w:rsidP="00F2009E">
            <w:pPr>
              <w:spacing w:before="0" w:after="60" w:line="240" w:lineRule="auto"/>
              <w:jc w:val="center"/>
              <w:rPr>
                <w:b/>
              </w:rPr>
            </w:pPr>
            <w:r w:rsidRPr="00901477">
              <w:rPr>
                <w:b/>
              </w:rPr>
              <w:t>3.3%</w:t>
            </w:r>
          </w:p>
        </w:tc>
        <w:tc>
          <w:tcPr>
            <w:tcW w:w="1184" w:type="dxa"/>
            <w:shd w:val="clear" w:color="auto" w:fill="DBE5F1" w:themeFill="accent1" w:themeFillTint="33"/>
            <w:noWrap/>
            <w:vAlign w:val="center"/>
            <w:hideMark/>
          </w:tcPr>
          <w:p w14:paraId="2704178D" w14:textId="77777777" w:rsidR="005D61DD" w:rsidRPr="00572B55" w:rsidRDefault="005D61DD" w:rsidP="00F2009E">
            <w:pPr>
              <w:spacing w:before="0" w:after="60" w:line="240" w:lineRule="auto"/>
              <w:jc w:val="center"/>
            </w:pPr>
          </w:p>
        </w:tc>
      </w:tr>
      <w:tr w:rsidR="005D61DD" w:rsidRPr="00383A85" w14:paraId="5383ABC6" w14:textId="77777777" w:rsidTr="00F2009E">
        <w:trPr>
          <w:trHeight w:val="276"/>
        </w:trPr>
        <w:tc>
          <w:tcPr>
            <w:tcW w:w="1951" w:type="dxa"/>
            <w:vMerge w:val="restart"/>
            <w:vAlign w:val="center"/>
            <w:hideMark/>
          </w:tcPr>
          <w:p w14:paraId="5039A83C" w14:textId="77777777" w:rsidR="005D61DD" w:rsidRPr="00901477" w:rsidRDefault="005D61DD" w:rsidP="00F2009E">
            <w:pPr>
              <w:spacing w:before="0" w:after="60" w:line="240" w:lineRule="auto"/>
              <w:rPr>
                <w:b/>
              </w:rPr>
            </w:pPr>
            <w:r w:rsidRPr="00901477">
              <w:rPr>
                <w:b/>
              </w:rPr>
              <w:t>Police</w:t>
            </w:r>
          </w:p>
        </w:tc>
        <w:tc>
          <w:tcPr>
            <w:tcW w:w="1052" w:type="dxa"/>
            <w:vAlign w:val="center"/>
            <w:hideMark/>
          </w:tcPr>
          <w:p w14:paraId="4EF7F54A" w14:textId="77777777" w:rsidR="005D61DD" w:rsidRPr="00383A85" w:rsidRDefault="005D61DD" w:rsidP="00F2009E">
            <w:pPr>
              <w:spacing w:before="0" w:after="60" w:line="240" w:lineRule="auto"/>
              <w:jc w:val="center"/>
            </w:pPr>
            <w:r w:rsidRPr="00383A85">
              <w:t>6,516</w:t>
            </w:r>
          </w:p>
        </w:tc>
        <w:tc>
          <w:tcPr>
            <w:tcW w:w="1052" w:type="dxa"/>
            <w:vAlign w:val="center"/>
            <w:hideMark/>
          </w:tcPr>
          <w:p w14:paraId="1989FC84" w14:textId="77777777" w:rsidR="005D61DD" w:rsidRPr="00572B55" w:rsidRDefault="005D61DD" w:rsidP="00F2009E">
            <w:pPr>
              <w:spacing w:before="0" w:after="60" w:line="240" w:lineRule="auto"/>
              <w:jc w:val="center"/>
            </w:pPr>
            <w:r w:rsidRPr="00572B55">
              <w:t>6,503</w:t>
            </w:r>
          </w:p>
        </w:tc>
        <w:tc>
          <w:tcPr>
            <w:tcW w:w="1052" w:type="dxa"/>
            <w:vAlign w:val="center"/>
            <w:hideMark/>
          </w:tcPr>
          <w:p w14:paraId="5DA90541" w14:textId="77777777" w:rsidR="005D61DD" w:rsidRPr="00383A85" w:rsidRDefault="005D61DD" w:rsidP="00F2009E">
            <w:pPr>
              <w:spacing w:before="0" w:after="60" w:line="240" w:lineRule="auto"/>
              <w:jc w:val="center"/>
            </w:pPr>
            <w:r w:rsidRPr="00383A85">
              <w:t>7,044</w:t>
            </w:r>
          </w:p>
        </w:tc>
        <w:tc>
          <w:tcPr>
            <w:tcW w:w="1052" w:type="dxa"/>
            <w:vAlign w:val="center"/>
            <w:hideMark/>
          </w:tcPr>
          <w:p w14:paraId="383B7C62" w14:textId="77777777" w:rsidR="005D61DD" w:rsidRPr="00572B55" w:rsidRDefault="005D61DD" w:rsidP="00F2009E">
            <w:pPr>
              <w:spacing w:before="0" w:after="60" w:line="240" w:lineRule="auto"/>
              <w:jc w:val="center"/>
            </w:pPr>
            <w:r w:rsidRPr="00572B55">
              <w:t>7,391</w:t>
            </w:r>
          </w:p>
        </w:tc>
        <w:tc>
          <w:tcPr>
            <w:tcW w:w="1052" w:type="dxa"/>
            <w:vAlign w:val="center"/>
            <w:hideMark/>
          </w:tcPr>
          <w:p w14:paraId="5D1F9969" w14:textId="77777777" w:rsidR="005D61DD" w:rsidRPr="00383A85" w:rsidRDefault="005D61DD" w:rsidP="00F2009E">
            <w:pPr>
              <w:spacing w:before="0" w:after="60" w:line="240" w:lineRule="auto"/>
              <w:jc w:val="center"/>
            </w:pPr>
            <w:r w:rsidRPr="00383A85">
              <w:t>7,630</w:t>
            </w:r>
          </w:p>
        </w:tc>
        <w:tc>
          <w:tcPr>
            <w:tcW w:w="1053" w:type="dxa"/>
            <w:vAlign w:val="center"/>
            <w:hideMark/>
          </w:tcPr>
          <w:p w14:paraId="204D3ADF" w14:textId="77777777" w:rsidR="005D61DD" w:rsidRPr="00572B55" w:rsidRDefault="005D61DD" w:rsidP="00F2009E">
            <w:pPr>
              <w:spacing w:before="0" w:after="60" w:line="240" w:lineRule="auto"/>
              <w:jc w:val="center"/>
            </w:pPr>
            <w:r w:rsidRPr="00572B55">
              <w:t>8,442</w:t>
            </w:r>
          </w:p>
        </w:tc>
        <w:tc>
          <w:tcPr>
            <w:tcW w:w="1052" w:type="dxa"/>
            <w:vAlign w:val="center"/>
            <w:hideMark/>
          </w:tcPr>
          <w:p w14:paraId="4DD83BCD" w14:textId="77777777" w:rsidR="005D61DD" w:rsidRPr="00383A85" w:rsidRDefault="005D61DD" w:rsidP="00F2009E">
            <w:pPr>
              <w:spacing w:before="0" w:after="60" w:line="240" w:lineRule="auto"/>
              <w:jc w:val="center"/>
            </w:pPr>
            <w:r w:rsidRPr="00383A85">
              <w:t>10,203</w:t>
            </w:r>
          </w:p>
        </w:tc>
        <w:tc>
          <w:tcPr>
            <w:tcW w:w="1052" w:type="dxa"/>
            <w:vAlign w:val="center"/>
            <w:hideMark/>
          </w:tcPr>
          <w:p w14:paraId="7B7B098D" w14:textId="77777777" w:rsidR="005D61DD" w:rsidRPr="00572B55" w:rsidRDefault="005D61DD" w:rsidP="00F2009E">
            <w:pPr>
              <w:spacing w:before="0" w:after="60" w:line="240" w:lineRule="auto"/>
              <w:jc w:val="center"/>
            </w:pPr>
            <w:r w:rsidRPr="00572B55">
              <w:t>14,344</w:t>
            </w:r>
          </w:p>
        </w:tc>
        <w:tc>
          <w:tcPr>
            <w:tcW w:w="1052" w:type="dxa"/>
            <w:vAlign w:val="center"/>
            <w:hideMark/>
          </w:tcPr>
          <w:p w14:paraId="3A2A5D82" w14:textId="77777777" w:rsidR="005D61DD" w:rsidRPr="00383A85" w:rsidRDefault="005D61DD" w:rsidP="00F2009E">
            <w:pPr>
              <w:spacing w:before="0" w:after="60" w:line="240" w:lineRule="auto"/>
              <w:jc w:val="center"/>
            </w:pPr>
            <w:r w:rsidRPr="00383A85">
              <w:t>15,794</w:t>
            </w:r>
          </w:p>
        </w:tc>
        <w:tc>
          <w:tcPr>
            <w:tcW w:w="1052" w:type="dxa"/>
            <w:vAlign w:val="center"/>
            <w:hideMark/>
          </w:tcPr>
          <w:p w14:paraId="065224AA" w14:textId="77777777" w:rsidR="005D61DD" w:rsidRPr="00572B55" w:rsidRDefault="005D61DD" w:rsidP="00F2009E">
            <w:pPr>
              <w:spacing w:before="0" w:after="60" w:line="240" w:lineRule="auto"/>
              <w:jc w:val="center"/>
            </w:pPr>
            <w:r w:rsidRPr="00572B55">
              <w:t>20,992</w:t>
            </w:r>
          </w:p>
        </w:tc>
        <w:tc>
          <w:tcPr>
            <w:tcW w:w="1053" w:type="dxa"/>
            <w:vAlign w:val="center"/>
            <w:hideMark/>
          </w:tcPr>
          <w:p w14:paraId="18553878" w14:textId="77777777" w:rsidR="005D61DD" w:rsidRPr="00901477" w:rsidRDefault="005D61DD" w:rsidP="00F2009E">
            <w:pPr>
              <w:spacing w:before="0" w:after="60" w:line="240" w:lineRule="auto"/>
              <w:jc w:val="center"/>
              <w:rPr>
                <w:b/>
              </w:rPr>
            </w:pPr>
            <w:r w:rsidRPr="00901477">
              <w:rPr>
                <w:b/>
              </w:rPr>
              <w:t>104,859</w:t>
            </w:r>
          </w:p>
        </w:tc>
        <w:tc>
          <w:tcPr>
            <w:tcW w:w="1184" w:type="dxa"/>
            <w:noWrap/>
            <w:vAlign w:val="center"/>
            <w:hideMark/>
          </w:tcPr>
          <w:p w14:paraId="18641B9A" w14:textId="77777777" w:rsidR="005D61DD" w:rsidRPr="00572B55" w:rsidRDefault="005D61DD" w:rsidP="00F2009E">
            <w:pPr>
              <w:spacing w:before="0" w:after="60" w:line="240" w:lineRule="auto"/>
              <w:jc w:val="center"/>
            </w:pPr>
            <w:r w:rsidRPr="00572B55">
              <w:t>222%</w:t>
            </w:r>
          </w:p>
        </w:tc>
      </w:tr>
      <w:tr w:rsidR="005D61DD" w:rsidRPr="00383A85" w14:paraId="2BF7EDF9" w14:textId="77777777" w:rsidTr="00F2009E">
        <w:trPr>
          <w:trHeight w:val="276"/>
        </w:trPr>
        <w:tc>
          <w:tcPr>
            <w:tcW w:w="1951" w:type="dxa"/>
            <w:vMerge/>
            <w:vAlign w:val="center"/>
            <w:hideMark/>
          </w:tcPr>
          <w:p w14:paraId="7D61BA0B" w14:textId="77777777" w:rsidR="005D61DD" w:rsidRPr="00901477" w:rsidRDefault="005D61DD" w:rsidP="00F2009E">
            <w:pPr>
              <w:spacing w:before="0" w:after="60" w:line="240" w:lineRule="auto"/>
              <w:rPr>
                <w:b/>
              </w:rPr>
            </w:pPr>
          </w:p>
        </w:tc>
        <w:tc>
          <w:tcPr>
            <w:tcW w:w="1052" w:type="dxa"/>
            <w:vAlign w:val="center"/>
            <w:hideMark/>
          </w:tcPr>
          <w:p w14:paraId="292B4683" w14:textId="77777777" w:rsidR="005D61DD" w:rsidRPr="00383A85" w:rsidRDefault="005D61DD" w:rsidP="00F2009E">
            <w:pPr>
              <w:spacing w:before="0" w:after="60" w:line="240" w:lineRule="auto"/>
              <w:jc w:val="center"/>
            </w:pPr>
            <w:r w:rsidRPr="00383A85">
              <w:t>17.5%</w:t>
            </w:r>
          </w:p>
        </w:tc>
        <w:tc>
          <w:tcPr>
            <w:tcW w:w="1052" w:type="dxa"/>
            <w:vAlign w:val="center"/>
            <w:hideMark/>
          </w:tcPr>
          <w:p w14:paraId="7C3CD5A5" w14:textId="77777777" w:rsidR="005D61DD" w:rsidRPr="00572B55" w:rsidRDefault="005D61DD" w:rsidP="00F2009E">
            <w:pPr>
              <w:spacing w:before="0" w:after="60" w:line="240" w:lineRule="auto"/>
              <w:jc w:val="center"/>
            </w:pPr>
            <w:r w:rsidRPr="00572B55">
              <w:t>17.3%</w:t>
            </w:r>
          </w:p>
        </w:tc>
        <w:tc>
          <w:tcPr>
            <w:tcW w:w="1052" w:type="dxa"/>
            <w:vAlign w:val="center"/>
            <w:hideMark/>
          </w:tcPr>
          <w:p w14:paraId="44DD14C6" w14:textId="77777777" w:rsidR="005D61DD" w:rsidRPr="00383A85" w:rsidRDefault="005D61DD" w:rsidP="00F2009E">
            <w:pPr>
              <w:spacing w:before="0" w:after="60" w:line="240" w:lineRule="auto"/>
              <w:jc w:val="center"/>
            </w:pPr>
            <w:r w:rsidRPr="00383A85">
              <w:t>19.2%</w:t>
            </w:r>
          </w:p>
        </w:tc>
        <w:tc>
          <w:tcPr>
            <w:tcW w:w="1052" w:type="dxa"/>
            <w:vAlign w:val="center"/>
            <w:hideMark/>
          </w:tcPr>
          <w:p w14:paraId="7072D741" w14:textId="77777777" w:rsidR="005D61DD" w:rsidRPr="00572B55" w:rsidRDefault="005D61DD" w:rsidP="00F2009E">
            <w:pPr>
              <w:spacing w:before="0" w:after="60" w:line="240" w:lineRule="auto"/>
              <w:jc w:val="center"/>
            </w:pPr>
            <w:r w:rsidRPr="00572B55">
              <w:t>19.6%</w:t>
            </w:r>
          </w:p>
        </w:tc>
        <w:tc>
          <w:tcPr>
            <w:tcW w:w="1052" w:type="dxa"/>
            <w:vAlign w:val="center"/>
            <w:hideMark/>
          </w:tcPr>
          <w:p w14:paraId="00B8C4F7" w14:textId="77777777" w:rsidR="005D61DD" w:rsidRPr="00383A85" w:rsidRDefault="005D61DD" w:rsidP="00F2009E">
            <w:pPr>
              <w:spacing w:before="0" w:after="60" w:line="240" w:lineRule="auto"/>
              <w:jc w:val="center"/>
            </w:pPr>
            <w:r w:rsidRPr="00383A85">
              <w:t>19.7%</w:t>
            </w:r>
          </w:p>
        </w:tc>
        <w:tc>
          <w:tcPr>
            <w:tcW w:w="1053" w:type="dxa"/>
            <w:vAlign w:val="center"/>
            <w:hideMark/>
          </w:tcPr>
          <w:p w14:paraId="4B68DE05" w14:textId="77777777" w:rsidR="005D61DD" w:rsidRPr="00572B55" w:rsidRDefault="005D61DD" w:rsidP="00F2009E">
            <w:pPr>
              <w:spacing w:before="0" w:after="60" w:line="240" w:lineRule="auto"/>
              <w:jc w:val="center"/>
            </w:pPr>
            <w:r w:rsidRPr="00572B55">
              <w:t>20.2%</w:t>
            </w:r>
          </w:p>
        </w:tc>
        <w:tc>
          <w:tcPr>
            <w:tcW w:w="1052" w:type="dxa"/>
            <w:vAlign w:val="center"/>
            <w:hideMark/>
          </w:tcPr>
          <w:p w14:paraId="111A38B1" w14:textId="77777777" w:rsidR="005D61DD" w:rsidRPr="00383A85" w:rsidRDefault="005D61DD" w:rsidP="00F2009E">
            <w:pPr>
              <w:spacing w:before="0" w:after="60" w:line="240" w:lineRule="auto"/>
              <w:jc w:val="center"/>
            </w:pPr>
            <w:r w:rsidRPr="00383A85">
              <w:t>22.8%</w:t>
            </w:r>
          </w:p>
        </w:tc>
        <w:tc>
          <w:tcPr>
            <w:tcW w:w="1052" w:type="dxa"/>
            <w:vAlign w:val="center"/>
            <w:hideMark/>
          </w:tcPr>
          <w:p w14:paraId="35FD9932" w14:textId="77777777" w:rsidR="005D61DD" w:rsidRPr="00572B55" w:rsidRDefault="005D61DD" w:rsidP="00F2009E">
            <w:pPr>
              <w:spacing w:before="0" w:after="60" w:line="240" w:lineRule="auto"/>
              <w:jc w:val="center"/>
            </w:pPr>
            <w:r w:rsidRPr="00572B55">
              <w:t>27.6%</w:t>
            </w:r>
          </w:p>
        </w:tc>
        <w:tc>
          <w:tcPr>
            <w:tcW w:w="1052" w:type="dxa"/>
            <w:vAlign w:val="center"/>
            <w:hideMark/>
          </w:tcPr>
          <w:p w14:paraId="5CEAE429" w14:textId="77777777" w:rsidR="005D61DD" w:rsidRPr="00383A85" w:rsidRDefault="005D61DD" w:rsidP="00F2009E">
            <w:pPr>
              <w:spacing w:before="0" w:after="60" w:line="240" w:lineRule="auto"/>
              <w:jc w:val="center"/>
            </w:pPr>
            <w:r w:rsidRPr="00383A85">
              <w:t>26.8%</w:t>
            </w:r>
          </w:p>
        </w:tc>
        <w:tc>
          <w:tcPr>
            <w:tcW w:w="1052" w:type="dxa"/>
            <w:vAlign w:val="center"/>
            <w:hideMark/>
          </w:tcPr>
          <w:p w14:paraId="3A3FE04C" w14:textId="77777777" w:rsidR="005D61DD" w:rsidRPr="00572B55" w:rsidRDefault="005D61DD" w:rsidP="00F2009E">
            <w:pPr>
              <w:spacing w:before="0" w:after="60" w:line="240" w:lineRule="auto"/>
              <w:jc w:val="center"/>
            </w:pPr>
            <w:r w:rsidRPr="00572B55">
              <w:t>30.6%</w:t>
            </w:r>
          </w:p>
        </w:tc>
        <w:tc>
          <w:tcPr>
            <w:tcW w:w="1053" w:type="dxa"/>
            <w:vAlign w:val="center"/>
            <w:hideMark/>
          </w:tcPr>
          <w:p w14:paraId="3F8C9090" w14:textId="77777777" w:rsidR="005D61DD" w:rsidRPr="00901477" w:rsidRDefault="005D61DD" w:rsidP="00F2009E">
            <w:pPr>
              <w:spacing w:before="0" w:after="60" w:line="240" w:lineRule="auto"/>
              <w:jc w:val="center"/>
              <w:rPr>
                <w:b/>
              </w:rPr>
            </w:pPr>
            <w:r w:rsidRPr="00901477">
              <w:rPr>
                <w:b/>
              </w:rPr>
              <w:t>23.1%</w:t>
            </w:r>
          </w:p>
        </w:tc>
        <w:tc>
          <w:tcPr>
            <w:tcW w:w="1184" w:type="dxa"/>
            <w:noWrap/>
            <w:vAlign w:val="center"/>
            <w:hideMark/>
          </w:tcPr>
          <w:p w14:paraId="0E92ACB2" w14:textId="77777777" w:rsidR="005D61DD" w:rsidRPr="00572B55" w:rsidRDefault="005D61DD" w:rsidP="00F2009E">
            <w:pPr>
              <w:spacing w:before="0" w:after="60" w:line="240" w:lineRule="auto"/>
              <w:jc w:val="center"/>
            </w:pPr>
          </w:p>
        </w:tc>
      </w:tr>
      <w:tr w:rsidR="005D61DD" w:rsidRPr="00383A85" w14:paraId="2914629F" w14:textId="77777777" w:rsidTr="00F2009E">
        <w:trPr>
          <w:trHeight w:val="276"/>
        </w:trPr>
        <w:tc>
          <w:tcPr>
            <w:tcW w:w="1951" w:type="dxa"/>
            <w:vMerge w:val="restart"/>
            <w:shd w:val="clear" w:color="auto" w:fill="DBE5F1" w:themeFill="accent1" w:themeFillTint="33"/>
            <w:vAlign w:val="center"/>
            <w:hideMark/>
          </w:tcPr>
          <w:p w14:paraId="617143F8" w14:textId="77777777" w:rsidR="005D61DD" w:rsidRPr="00901477" w:rsidRDefault="005D61DD" w:rsidP="00F2009E">
            <w:pPr>
              <w:spacing w:before="0" w:after="60" w:line="240" w:lineRule="auto"/>
              <w:rPr>
                <w:b/>
              </w:rPr>
            </w:pPr>
            <w:r>
              <w:rPr>
                <w:b/>
              </w:rPr>
              <w:t>School personnel</w:t>
            </w:r>
          </w:p>
        </w:tc>
        <w:tc>
          <w:tcPr>
            <w:tcW w:w="1052" w:type="dxa"/>
            <w:shd w:val="clear" w:color="auto" w:fill="DBE5F1" w:themeFill="accent1" w:themeFillTint="33"/>
            <w:vAlign w:val="center"/>
            <w:hideMark/>
          </w:tcPr>
          <w:p w14:paraId="51496B1E" w14:textId="77777777" w:rsidR="005D61DD" w:rsidRPr="00383A85" w:rsidRDefault="005D61DD" w:rsidP="00F2009E">
            <w:pPr>
              <w:spacing w:before="0" w:after="60" w:line="240" w:lineRule="auto"/>
              <w:jc w:val="center"/>
            </w:pPr>
            <w:r w:rsidRPr="00383A85">
              <w:t>3,657</w:t>
            </w:r>
          </w:p>
        </w:tc>
        <w:tc>
          <w:tcPr>
            <w:tcW w:w="1052" w:type="dxa"/>
            <w:shd w:val="clear" w:color="auto" w:fill="DBE5F1" w:themeFill="accent1" w:themeFillTint="33"/>
            <w:vAlign w:val="center"/>
            <w:hideMark/>
          </w:tcPr>
          <w:p w14:paraId="089F3891" w14:textId="77777777" w:rsidR="005D61DD" w:rsidRPr="00572B55" w:rsidRDefault="005D61DD" w:rsidP="00F2009E">
            <w:pPr>
              <w:spacing w:before="0" w:after="60" w:line="240" w:lineRule="auto"/>
              <w:jc w:val="center"/>
            </w:pPr>
            <w:r w:rsidRPr="00572B55">
              <w:t>3,587</w:t>
            </w:r>
          </w:p>
        </w:tc>
        <w:tc>
          <w:tcPr>
            <w:tcW w:w="1052" w:type="dxa"/>
            <w:shd w:val="clear" w:color="auto" w:fill="DBE5F1" w:themeFill="accent1" w:themeFillTint="33"/>
            <w:vAlign w:val="center"/>
            <w:hideMark/>
          </w:tcPr>
          <w:p w14:paraId="5F49BDE8" w14:textId="77777777" w:rsidR="005D61DD" w:rsidRPr="00383A85" w:rsidRDefault="005D61DD" w:rsidP="00F2009E">
            <w:pPr>
              <w:spacing w:before="0" w:after="60" w:line="240" w:lineRule="auto"/>
              <w:jc w:val="center"/>
            </w:pPr>
            <w:r w:rsidRPr="00383A85">
              <w:t>3,532</w:t>
            </w:r>
          </w:p>
        </w:tc>
        <w:tc>
          <w:tcPr>
            <w:tcW w:w="1052" w:type="dxa"/>
            <w:shd w:val="clear" w:color="auto" w:fill="DBE5F1" w:themeFill="accent1" w:themeFillTint="33"/>
            <w:vAlign w:val="center"/>
            <w:hideMark/>
          </w:tcPr>
          <w:p w14:paraId="2B076611" w14:textId="77777777" w:rsidR="005D61DD" w:rsidRPr="00572B55" w:rsidRDefault="005D61DD" w:rsidP="00F2009E">
            <w:pPr>
              <w:spacing w:before="0" w:after="60" w:line="240" w:lineRule="auto"/>
              <w:jc w:val="center"/>
            </w:pPr>
            <w:r w:rsidRPr="00572B55">
              <w:t>3,913</w:t>
            </w:r>
          </w:p>
        </w:tc>
        <w:tc>
          <w:tcPr>
            <w:tcW w:w="1052" w:type="dxa"/>
            <w:shd w:val="clear" w:color="auto" w:fill="DBE5F1" w:themeFill="accent1" w:themeFillTint="33"/>
            <w:vAlign w:val="center"/>
            <w:hideMark/>
          </w:tcPr>
          <w:p w14:paraId="55E36C85" w14:textId="77777777" w:rsidR="005D61DD" w:rsidRPr="00383A85" w:rsidRDefault="005D61DD" w:rsidP="00F2009E">
            <w:pPr>
              <w:spacing w:before="0" w:after="60" w:line="240" w:lineRule="auto"/>
              <w:jc w:val="center"/>
            </w:pPr>
            <w:r w:rsidRPr="00383A85">
              <w:t>4,416</w:t>
            </w:r>
          </w:p>
        </w:tc>
        <w:tc>
          <w:tcPr>
            <w:tcW w:w="1053" w:type="dxa"/>
            <w:shd w:val="clear" w:color="auto" w:fill="DBE5F1" w:themeFill="accent1" w:themeFillTint="33"/>
            <w:vAlign w:val="center"/>
            <w:hideMark/>
          </w:tcPr>
          <w:p w14:paraId="10C71C10" w14:textId="77777777" w:rsidR="005D61DD" w:rsidRPr="00572B55" w:rsidRDefault="005D61DD" w:rsidP="00F2009E">
            <w:pPr>
              <w:spacing w:before="0" w:after="60" w:line="240" w:lineRule="auto"/>
              <w:jc w:val="center"/>
            </w:pPr>
            <w:r w:rsidRPr="00572B55">
              <w:t>5,900</w:t>
            </w:r>
          </w:p>
        </w:tc>
        <w:tc>
          <w:tcPr>
            <w:tcW w:w="1052" w:type="dxa"/>
            <w:shd w:val="clear" w:color="auto" w:fill="DBE5F1" w:themeFill="accent1" w:themeFillTint="33"/>
            <w:vAlign w:val="center"/>
            <w:hideMark/>
          </w:tcPr>
          <w:p w14:paraId="418C3AF3" w14:textId="77777777" w:rsidR="005D61DD" w:rsidRPr="00383A85" w:rsidRDefault="005D61DD" w:rsidP="00F2009E">
            <w:pPr>
              <w:spacing w:before="0" w:after="60" w:line="240" w:lineRule="auto"/>
              <w:jc w:val="center"/>
            </w:pPr>
            <w:r w:rsidRPr="00383A85">
              <w:t>6,775</w:t>
            </w:r>
          </w:p>
        </w:tc>
        <w:tc>
          <w:tcPr>
            <w:tcW w:w="1052" w:type="dxa"/>
            <w:shd w:val="clear" w:color="auto" w:fill="DBE5F1" w:themeFill="accent1" w:themeFillTint="33"/>
            <w:vAlign w:val="center"/>
            <w:hideMark/>
          </w:tcPr>
          <w:p w14:paraId="3BBE4B67" w14:textId="77777777" w:rsidR="005D61DD" w:rsidRPr="00572B55" w:rsidRDefault="005D61DD" w:rsidP="00F2009E">
            <w:pPr>
              <w:spacing w:before="0" w:after="60" w:line="240" w:lineRule="auto"/>
              <w:jc w:val="center"/>
            </w:pPr>
            <w:r w:rsidRPr="00572B55">
              <w:t>7,501</w:t>
            </w:r>
          </w:p>
        </w:tc>
        <w:tc>
          <w:tcPr>
            <w:tcW w:w="1052" w:type="dxa"/>
            <w:shd w:val="clear" w:color="auto" w:fill="DBE5F1" w:themeFill="accent1" w:themeFillTint="33"/>
            <w:vAlign w:val="center"/>
            <w:hideMark/>
          </w:tcPr>
          <w:p w14:paraId="0E5F8111" w14:textId="77777777" w:rsidR="005D61DD" w:rsidRPr="00383A85" w:rsidRDefault="005D61DD" w:rsidP="00F2009E">
            <w:pPr>
              <w:spacing w:before="0" w:after="60" w:line="240" w:lineRule="auto"/>
              <w:jc w:val="center"/>
            </w:pPr>
            <w:r w:rsidRPr="00383A85">
              <w:t>8,940</w:t>
            </w:r>
          </w:p>
        </w:tc>
        <w:tc>
          <w:tcPr>
            <w:tcW w:w="1052" w:type="dxa"/>
            <w:shd w:val="clear" w:color="auto" w:fill="DBE5F1" w:themeFill="accent1" w:themeFillTint="33"/>
            <w:vAlign w:val="center"/>
            <w:hideMark/>
          </w:tcPr>
          <w:p w14:paraId="00E72A11" w14:textId="77777777" w:rsidR="005D61DD" w:rsidRPr="00572B55" w:rsidRDefault="005D61DD" w:rsidP="00F2009E">
            <w:pPr>
              <w:spacing w:before="0" w:after="60" w:line="240" w:lineRule="auto"/>
              <w:jc w:val="center"/>
            </w:pPr>
            <w:r w:rsidRPr="00572B55">
              <w:t>10,417</w:t>
            </w:r>
          </w:p>
        </w:tc>
        <w:tc>
          <w:tcPr>
            <w:tcW w:w="1053" w:type="dxa"/>
            <w:shd w:val="clear" w:color="auto" w:fill="DBE5F1" w:themeFill="accent1" w:themeFillTint="33"/>
            <w:vAlign w:val="center"/>
            <w:hideMark/>
          </w:tcPr>
          <w:p w14:paraId="3F458D31" w14:textId="77777777" w:rsidR="005D61DD" w:rsidRPr="00901477" w:rsidRDefault="005D61DD" w:rsidP="00F2009E">
            <w:pPr>
              <w:spacing w:before="0" w:after="60" w:line="240" w:lineRule="auto"/>
              <w:jc w:val="center"/>
              <w:rPr>
                <w:b/>
              </w:rPr>
            </w:pPr>
            <w:r w:rsidRPr="00901477">
              <w:rPr>
                <w:b/>
              </w:rPr>
              <w:t>58,638</w:t>
            </w:r>
          </w:p>
        </w:tc>
        <w:tc>
          <w:tcPr>
            <w:tcW w:w="1184" w:type="dxa"/>
            <w:shd w:val="clear" w:color="auto" w:fill="DBE5F1" w:themeFill="accent1" w:themeFillTint="33"/>
            <w:noWrap/>
            <w:vAlign w:val="center"/>
            <w:hideMark/>
          </w:tcPr>
          <w:p w14:paraId="6A46616C" w14:textId="77777777" w:rsidR="005D61DD" w:rsidRPr="00572B55" w:rsidRDefault="005D61DD" w:rsidP="00F2009E">
            <w:pPr>
              <w:spacing w:before="0" w:after="60" w:line="240" w:lineRule="auto"/>
              <w:jc w:val="center"/>
            </w:pPr>
            <w:r w:rsidRPr="00572B55">
              <w:t>184%</w:t>
            </w:r>
          </w:p>
        </w:tc>
      </w:tr>
      <w:tr w:rsidR="005D61DD" w:rsidRPr="00383A85" w14:paraId="16105479" w14:textId="77777777" w:rsidTr="00F2009E">
        <w:trPr>
          <w:trHeight w:val="370"/>
        </w:trPr>
        <w:tc>
          <w:tcPr>
            <w:tcW w:w="1951" w:type="dxa"/>
            <w:vMerge/>
            <w:shd w:val="clear" w:color="auto" w:fill="DBE5F1" w:themeFill="accent1" w:themeFillTint="33"/>
            <w:vAlign w:val="center"/>
            <w:hideMark/>
          </w:tcPr>
          <w:p w14:paraId="0E18474E" w14:textId="77777777" w:rsidR="005D61DD" w:rsidRPr="00901477" w:rsidRDefault="005D61DD" w:rsidP="00F2009E">
            <w:pPr>
              <w:spacing w:before="0" w:after="60" w:line="240" w:lineRule="auto"/>
              <w:rPr>
                <w:b/>
              </w:rPr>
            </w:pPr>
          </w:p>
        </w:tc>
        <w:tc>
          <w:tcPr>
            <w:tcW w:w="1052" w:type="dxa"/>
            <w:shd w:val="clear" w:color="auto" w:fill="DBE5F1" w:themeFill="accent1" w:themeFillTint="33"/>
            <w:vAlign w:val="center"/>
            <w:hideMark/>
          </w:tcPr>
          <w:p w14:paraId="54743122" w14:textId="77777777" w:rsidR="005D61DD" w:rsidRPr="00383A85" w:rsidRDefault="005D61DD" w:rsidP="00F2009E">
            <w:pPr>
              <w:spacing w:before="0" w:after="60" w:line="240" w:lineRule="auto"/>
              <w:jc w:val="center"/>
            </w:pPr>
            <w:r w:rsidRPr="00383A85">
              <w:t>9.8%</w:t>
            </w:r>
          </w:p>
        </w:tc>
        <w:tc>
          <w:tcPr>
            <w:tcW w:w="1052" w:type="dxa"/>
            <w:shd w:val="clear" w:color="auto" w:fill="DBE5F1" w:themeFill="accent1" w:themeFillTint="33"/>
            <w:vAlign w:val="center"/>
            <w:hideMark/>
          </w:tcPr>
          <w:p w14:paraId="088DCF3B" w14:textId="77777777" w:rsidR="005D61DD" w:rsidRPr="00572B55" w:rsidRDefault="005D61DD" w:rsidP="00F2009E">
            <w:pPr>
              <w:spacing w:before="0" w:after="60" w:line="240" w:lineRule="auto"/>
              <w:jc w:val="center"/>
            </w:pPr>
            <w:r w:rsidRPr="00572B55">
              <w:t>9.5%</w:t>
            </w:r>
          </w:p>
        </w:tc>
        <w:tc>
          <w:tcPr>
            <w:tcW w:w="1052" w:type="dxa"/>
            <w:shd w:val="clear" w:color="auto" w:fill="DBE5F1" w:themeFill="accent1" w:themeFillTint="33"/>
            <w:vAlign w:val="center"/>
            <w:hideMark/>
          </w:tcPr>
          <w:p w14:paraId="4353B0CC" w14:textId="77777777" w:rsidR="005D61DD" w:rsidRPr="00383A85" w:rsidRDefault="005D61DD" w:rsidP="00F2009E">
            <w:pPr>
              <w:spacing w:before="0" w:after="60" w:line="240" w:lineRule="auto"/>
              <w:jc w:val="center"/>
            </w:pPr>
            <w:r w:rsidRPr="00383A85">
              <w:t>9.6%</w:t>
            </w:r>
          </w:p>
        </w:tc>
        <w:tc>
          <w:tcPr>
            <w:tcW w:w="1052" w:type="dxa"/>
            <w:shd w:val="clear" w:color="auto" w:fill="DBE5F1" w:themeFill="accent1" w:themeFillTint="33"/>
            <w:vAlign w:val="center"/>
            <w:hideMark/>
          </w:tcPr>
          <w:p w14:paraId="7CB25BF2" w14:textId="77777777" w:rsidR="005D61DD" w:rsidRPr="00572B55" w:rsidRDefault="005D61DD" w:rsidP="00F2009E">
            <w:pPr>
              <w:spacing w:before="0" w:after="60" w:line="240" w:lineRule="auto"/>
              <w:jc w:val="center"/>
            </w:pPr>
            <w:r w:rsidRPr="00572B55">
              <w:t>10.4%</w:t>
            </w:r>
          </w:p>
        </w:tc>
        <w:tc>
          <w:tcPr>
            <w:tcW w:w="1052" w:type="dxa"/>
            <w:shd w:val="clear" w:color="auto" w:fill="DBE5F1" w:themeFill="accent1" w:themeFillTint="33"/>
            <w:vAlign w:val="center"/>
            <w:hideMark/>
          </w:tcPr>
          <w:p w14:paraId="617E4AF3" w14:textId="77777777" w:rsidR="005D61DD" w:rsidRPr="00383A85" w:rsidRDefault="005D61DD" w:rsidP="00F2009E">
            <w:pPr>
              <w:spacing w:before="0" w:after="60" w:line="240" w:lineRule="auto"/>
              <w:jc w:val="center"/>
            </w:pPr>
            <w:r w:rsidRPr="00383A85">
              <w:t>11.4%</w:t>
            </w:r>
          </w:p>
        </w:tc>
        <w:tc>
          <w:tcPr>
            <w:tcW w:w="1053" w:type="dxa"/>
            <w:shd w:val="clear" w:color="auto" w:fill="DBE5F1" w:themeFill="accent1" w:themeFillTint="33"/>
            <w:vAlign w:val="center"/>
            <w:hideMark/>
          </w:tcPr>
          <w:p w14:paraId="450E25D1" w14:textId="77777777" w:rsidR="005D61DD" w:rsidRPr="00572B55" w:rsidRDefault="005D61DD" w:rsidP="00F2009E">
            <w:pPr>
              <w:spacing w:before="0" w:after="60" w:line="240" w:lineRule="auto"/>
              <w:jc w:val="center"/>
            </w:pPr>
            <w:r w:rsidRPr="00572B55">
              <w:t>14.2%</w:t>
            </w:r>
          </w:p>
        </w:tc>
        <w:tc>
          <w:tcPr>
            <w:tcW w:w="1052" w:type="dxa"/>
            <w:shd w:val="clear" w:color="auto" w:fill="DBE5F1" w:themeFill="accent1" w:themeFillTint="33"/>
            <w:vAlign w:val="center"/>
            <w:hideMark/>
          </w:tcPr>
          <w:p w14:paraId="4ACD9F16" w14:textId="77777777" w:rsidR="005D61DD" w:rsidRPr="00383A85" w:rsidRDefault="005D61DD" w:rsidP="00F2009E">
            <w:pPr>
              <w:spacing w:before="0" w:after="60" w:line="240" w:lineRule="auto"/>
              <w:jc w:val="center"/>
            </w:pPr>
            <w:r w:rsidRPr="00383A85">
              <w:t>15.1%</w:t>
            </w:r>
          </w:p>
        </w:tc>
        <w:tc>
          <w:tcPr>
            <w:tcW w:w="1052" w:type="dxa"/>
            <w:shd w:val="clear" w:color="auto" w:fill="DBE5F1" w:themeFill="accent1" w:themeFillTint="33"/>
            <w:vAlign w:val="center"/>
            <w:hideMark/>
          </w:tcPr>
          <w:p w14:paraId="4D5CF8DE" w14:textId="77777777" w:rsidR="005D61DD" w:rsidRPr="00572B55" w:rsidRDefault="005D61DD" w:rsidP="00F2009E">
            <w:pPr>
              <w:spacing w:before="0" w:after="60" w:line="240" w:lineRule="auto"/>
              <w:jc w:val="center"/>
            </w:pPr>
            <w:r w:rsidRPr="00572B55">
              <w:t>14.4%</w:t>
            </w:r>
          </w:p>
        </w:tc>
        <w:tc>
          <w:tcPr>
            <w:tcW w:w="1052" w:type="dxa"/>
            <w:shd w:val="clear" w:color="auto" w:fill="DBE5F1" w:themeFill="accent1" w:themeFillTint="33"/>
            <w:vAlign w:val="center"/>
            <w:hideMark/>
          </w:tcPr>
          <w:p w14:paraId="02C42961" w14:textId="77777777" w:rsidR="005D61DD" w:rsidRPr="00383A85" w:rsidRDefault="005D61DD" w:rsidP="00F2009E">
            <w:pPr>
              <w:spacing w:before="0" w:after="60" w:line="240" w:lineRule="auto"/>
              <w:jc w:val="center"/>
            </w:pPr>
            <w:r w:rsidRPr="00383A85">
              <w:t>15.2%</w:t>
            </w:r>
          </w:p>
        </w:tc>
        <w:tc>
          <w:tcPr>
            <w:tcW w:w="1052" w:type="dxa"/>
            <w:shd w:val="clear" w:color="auto" w:fill="DBE5F1" w:themeFill="accent1" w:themeFillTint="33"/>
            <w:vAlign w:val="center"/>
            <w:hideMark/>
          </w:tcPr>
          <w:p w14:paraId="3A7421B7" w14:textId="77777777" w:rsidR="005D61DD" w:rsidRPr="00572B55" w:rsidRDefault="005D61DD" w:rsidP="00F2009E">
            <w:pPr>
              <w:spacing w:before="0" w:after="60" w:line="240" w:lineRule="auto"/>
              <w:jc w:val="center"/>
            </w:pPr>
            <w:r w:rsidRPr="00572B55">
              <w:t>15.2%</w:t>
            </w:r>
          </w:p>
        </w:tc>
        <w:tc>
          <w:tcPr>
            <w:tcW w:w="1053" w:type="dxa"/>
            <w:shd w:val="clear" w:color="auto" w:fill="DBE5F1" w:themeFill="accent1" w:themeFillTint="33"/>
            <w:vAlign w:val="center"/>
            <w:hideMark/>
          </w:tcPr>
          <w:p w14:paraId="143E3B28" w14:textId="77777777" w:rsidR="005D61DD" w:rsidRPr="00901477" w:rsidRDefault="005D61DD" w:rsidP="00F2009E">
            <w:pPr>
              <w:spacing w:before="0" w:after="60" w:line="240" w:lineRule="auto"/>
              <w:jc w:val="center"/>
              <w:rPr>
                <w:b/>
              </w:rPr>
            </w:pPr>
            <w:r w:rsidRPr="00901477">
              <w:rPr>
                <w:b/>
              </w:rPr>
              <w:t>12.9%</w:t>
            </w:r>
          </w:p>
        </w:tc>
        <w:tc>
          <w:tcPr>
            <w:tcW w:w="1184" w:type="dxa"/>
            <w:shd w:val="clear" w:color="auto" w:fill="DBE5F1" w:themeFill="accent1" w:themeFillTint="33"/>
            <w:noWrap/>
            <w:vAlign w:val="center"/>
            <w:hideMark/>
          </w:tcPr>
          <w:p w14:paraId="32703790" w14:textId="77777777" w:rsidR="005D61DD" w:rsidRPr="00572B55" w:rsidRDefault="005D61DD" w:rsidP="00F2009E">
            <w:pPr>
              <w:spacing w:before="0" w:after="60" w:line="240" w:lineRule="auto"/>
              <w:jc w:val="center"/>
            </w:pPr>
          </w:p>
        </w:tc>
      </w:tr>
      <w:tr w:rsidR="005D61DD" w:rsidRPr="00383A85" w14:paraId="3DC5A221" w14:textId="77777777" w:rsidTr="00F2009E">
        <w:trPr>
          <w:trHeight w:val="276"/>
        </w:trPr>
        <w:tc>
          <w:tcPr>
            <w:tcW w:w="1951" w:type="dxa"/>
            <w:vMerge w:val="restart"/>
            <w:shd w:val="clear" w:color="auto" w:fill="auto"/>
            <w:vAlign w:val="center"/>
            <w:hideMark/>
          </w:tcPr>
          <w:p w14:paraId="0B85728A" w14:textId="77777777" w:rsidR="005D61DD" w:rsidRPr="00901477" w:rsidRDefault="005D61DD" w:rsidP="00F2009E">
            <w:pPr>
              <w:spacing w:before="0" w:after="60" w:line="240" w:lineRule="auto"/>
              <w:rPr>
                <w:b/>
              </w:rPr>
            </w:pPr>
            <w:r w:rsidRPr="00901477">
              <w:rPr>
                <w:b/>
              </w:rPr>
              <w:t>Psychiatrists</w:t>
            </w:r>
          </w:p>
        </w:tc>
        <w:tc>
          <w:tcPr>
            <w:tcW w:w="1052" w:type="dxa"/>
            <w:shd w:val="clear" w:color="auto" w:fill="auto"/>
            <w:vAlign w:val="center"/>
            <w:hideMark/>
          </w:tcPr>
          <w:p w14:paraId="1987BDAD" w14:textId="77777777" w:rsidR="005D61DD" w:rsidRPr="00383A85" w:rsidRDefault="005D61DD" w:rsidP="00F2009E">
            <w:pPr>
              <w:spacing w:before="0" w:after="60" w:line="240" w:lineRule="auto"/>
              <w:jc w:val="center"/>
            </w:pPr>
            <w:r w:rsidRPr="00383A85">
              <w:t>150</w:t>
            </w:r>
          </w:p>
        </w:tc>
        <w:tc>
          <w:tcPr>
            <w:tcW w:w="1052" w:type="dxa"/>
            <w:shd w:val="clear" w:color="auto" w:fill="auto"/>
            <w:vAlign w:val="center"/>
            <w:hideMark/>
          </w:tcPr>
          <w:p w14:paraId="07844967" w14:textId="77777777" w:rsidR="005D61DD" w:rsidRPr="00572B55" w:rsidRDefault="005D61DD" w:rsidP="00F2009E">
            <w:pPr>
              <w:spacing w:before="0" w:after="60" w:line="240" w:lineRule="auto"/>
              <w:jc w:val="center"/>
            </w:pPr>
            <w:r w:rsidRPr="00572B55">
              <w:t>219</w:t>
            </w:r>
          </w:p>
        </w:tc>
        <w:tc>
          <w:tcPr>
            <w:tcW w:w="1052" w:type="dxa"/>
            <w:shd w:val="clear" w:color="auto" w:fill="auto"/>
            <w:vAlign w:val="center"/>
            <w:hideMark/>
          </w:tcPr>
          <w:p w14:paraId="7900A6B1" w14:textId="77777777" w:rsidR="005D61DD" w:rsidRPr="00383A85" w:rsidRDefault="005D61DD" w:rsidP="00F2009E">
            <w:pPr>
              <w:spacing w:before="0" w:after="60" w:line="240" w:lineRule="auto"/>
              <w:jc w:val="center"/>
            </w:pPr>
            <w:r w:rsidRPr="00383A85">
              <w:t>135</w:t>
            </w:r>
          </w:p>
        </w:tc>
        <w:tc>
          <w:tcPr>
            <w:tcW w:w="1052" w:type="dxa"/>
            <w:shd w:val="clear" w:color="auto" w:fill="auto"/>
            <w:vAlign w:val="center"/>
            <w:hideMark/>
          </w:tcPr>
          <w:p w14:paraId="2907CFEF" w14:textId="77777777" w:rsidR="005D61DD" w:rsidRPr="00572B55" w:rsidRDefault="005D61DD" w:rsidP="00F2009E">
            <w:pPr>
              <w:spacing w:before="0" w:after="60" w:line="240" w:lineRule="auto"/>
              <w:jc w:val="center"/>
            </w:pPr>
            <w:r w:rsidRPr="00572B55">
              <w:t>195</w:t>
            </w:r>
          </w:p>
        </w:tc>
        <w:tc>
          <w:tcPr>
            <w:tcW w:w="1052" w:type="dxa"/>
            <w:shd w:val="clear" w:color="auto" w:fill="auto"/>
            <w:vAlign w:val="center"/>
            <w:hideMark/>
          </w:tcPr>
          <w:p w14:paraId="2BC0D293" w14:textId="77777777" w:rsidR="005D61DD" w:rsidRPr="00383A85" w:rsidRDefault="005D61DD" w:rsidP="00F2009E">
            <w:pPr>
              <w:spacing w:before="0" w:after="60" w:line="240" w:lineRule="auto"/>
              <w:jc w:val="center"/>
            </w:pPr>
            <w:r w:rsidRPr="00383A85">
              <w:t>141</w:t>
            </w:r>
          </w:p>
        </w:tc>
        <w:tc>
          <w:tcPr>
            <w:tcW w:w="1053" w:type="dxa"/>
            <w:shd w:val="clear" w:color="auto" w:fill="auto"/>
            <w:vAlign w:val="center"/>
            <w:hideMark/>
          </w:tcPr>
          <w:p w14:paraId="1F5B2792" w14:textId="77777777" w:rsidR="005D61DD" w:rsidRPr="00572B55" w:rsidRDefault="005D61DD" w:rsidP="00F2009E">
            <w:pPr>
              <w:spacing w:before="0" w:after="60" w:line="240" w:lineRule="auto"/>
              <w:jc w:val="center"/>
            </w:pPr>
            <w:r w:rsidRPr="00572B55">
              <w:t>173</w:t>
            </w:r>
          </w:p>
        </w:tc>
        <w:tc>
          <w:tcPr>
            <w:tcW w:w="1052" w:type="dxa"/>
            <w:shd w:val="clear" w:color="auto" w:fill="auto"/>
            <w:vAlign w:val="center"/>
            <w:hideMark/>
          </w:tcPr>
          <w:p w14:paraId="0709E189" w14:textId="77777777" w:rsidR="005D61DD" w:rsidRPr="00383A85" w:rsidRDefault="005D61DD" w:rsidP="00F2009E">
            <w:pPr>
              <w:spacing w:before="0" w:after="60" w:line="240" w:lineRule="auto"/>
              <w:jc w:val="center"/>
            </w:pPr>
            <w:r w:rsidRPr="00383A85">
              <w:t>198</w:t>
            </w:r>
          </w:p>
        </w:tc>
        <w:tc>
          <w:tcPr>
            <w:tcW w:w="1052" w:type="dxa"/>
            <w:shd w:val="clear" w:color="auto" w:fill="auto"/>
            <w:vAlign w:val="center"/>
            <w:hideMark/>
          </w:tcPr>
          <w:p w14:paraId="211E01EA" w14:textId="77777777" w:rsidR="005D61DD" w:rsidRPr="00572B55" w:rsidRDefault="005D61DD" w:rsidP="00F2009E">
            <w:pPr>
              <w:spacing w:before="0" w:after="60" w:line="240" w:lineRule="auto"/>
              <w:jc w:val="center"/>
            </w:pPr>
            <w:r w:rsidRPr="00572B55">
              <w:t>201</w:t>
            </w:r>
          </w:p>
        </w:tc>
        <w:tc>
          <w:tcPr>
            <w:tcW w:w="1052" w:type="dxa"/>
            <w:shd w:val="clear" w:color="auto" w:fill="auto"/>
            <w:vAlign w:val="center"/>
            <w:hideMark/>
          </w:tcPr>
          <w:p w14:paraId="173C29E1" w14:textId="77777777" w:rsidR="005D61DD" w:rsidRPr="00383A85" w:rsidRDefault="005D61DD" w:rsidP="00F2009E">
            <w:pPr>
              <w:spacing w:before="0" w:after="60" w:line="240" w:lineRule="auto"/>
              <w:jc w:val="center"/>
            </w:pPr>
            <w:r w:rsidRPr="00383A85">
              <w:t>198</w:t>
            </w:r>
          </w:p>
        </w:tc>
        <w:tc>
          <w:tcPr>
            <w:tcW w:w="1052" w:type="dxa"/>
            <w:shd w:val="clear" w:color="auto" w:fill="auto"/>
            <w:vAlign w:val="center"/>
            <w:hideMark/>
          </w:tcPr>
          <w:p w14:paraId="7A1F553B" w14:textId="77777777" w:rsidR="005D61DD" w:rsidRPr="00572B55" w:rsidRDefault="005D61DD" w:rsidP="00F2009E">
            <w:pPr>
              <w:spacing w:before="0" w:after="60" w:line="240" w:lineRule="auto"/>
              <w:jc w:val="center"/>
            </w:pPr>
            <w:r w:rsidRPr="00572B55">
              <w:t>174</w:t>
            </w:r>
          </w:p>
        </w:tc>
        <w:tc>
          <w:tcPr>
            <w:tcW w:w="1053" w:type="dxa"/>
            <w:shd w:val="clear" w:color="auto" w:fill="auto"/>
            <w:vAlign w:val="center"/>
            <w:hideMark/>
          </w:tcPr>
          <w:p w14:paraId="1F15B6FD" w14:textId="77777777" w:rsidR="005D61DD" w:rsidRPr="00901477" w:rsidRDefault="005D61DD" w:rsidP="00F2009E">
            <w:pPr>
              <w:spacing w:before="0" w:after="60" w:line="240" w:lineRule="auto"/>
              <w:jc w:val="center"/>
              <w:rPr>
                <w:b/>
              </w:rPr>
            </w:pPr>
            <w:r w:rsidRPr="00901477">
              <w:rPr>
                <w:b/>
              </w:rPr>
              <w:t>1,784</w:t>
            </w:r>
          </w:p>
        </w:tc>
        <w:tc>
          <w:tcPr>
            <w:tcW w:w="1184" w:type="dxa"/>
            <w:shd w:val="clear" w:color="auto" w:fill="auto"/>
            <w:noWrap/>
            <w:vAlign w:val="center"/>
            <w:hideMark/>
          </w:tcPr>
          <w:p w14:paraId="1F19D9CF" w14:textId="77777777" w:rsidR="005D61DD" w:rsidRPr="00572B55" w:rsidRDefault="005D61DD" w:rsidP="00F2009E">
            <w:pPr>
              <w:spacing w:before="0" w:after="60" w:line="240" w:lineRule="auto"/>
              <w:jc w:val="center"/>
            </w:pPr>
            <w:r w:rsidRPr="00572B55">
              <w:t>16%</w:t>
            </w:r>
          </w:p>
        </w:tc>
      </w:tr>
      <w:tr w:rsidR="005D61DD" w:rsidRPr="00383A85" w14:paraId="0748F12B" w14:textId="77777777" w:rsidTr="00F2009E">
        <w:trPr>
          <w:trHeight w:val="276"/>
        </w:trPr>
        <w:tc>
          <w:tcPr>
            <w:tcW w:w="1951" w:type="dxa"/>
            <w:vMerge/>
            <w:shd w:val="clear" w:color="auto" w:fill="auto"/>
            <w:vAlign w:val="center"/>
            <w:hideMark/>
          </w:tcPr>
          <w:p w14:paraId="61E9B436" w14:textId="77777777" w:rsidR="005D61DD" w:rsidRPr="00901477" w:rsidRDefault="005D61DD" w:rsidP="00F2009E">
            <w:pPr>
              <w:spacing w:before="0" w:after="60" w:line="240" w:lineRule="auto"/>
              <w:rPr>
                <w:b/>
              </w:rPr>
            </w:pPr>
          </w:p>
        </w:tc>
        <w:tc>
          <w:tcPr>
            <w:tcW w:w="1052" w:type="dxa"/>
            <w:shd w:val="clear" w:color="auto" w:fill="auto"/>
            <w:vAlign w:val="center"/>
            <w:hideMark/>
          </w:tcPr>
          <w:p w14:paraId="5DB36EDB" w14:textId="77777777" w:rsidR="005D61DD" w:rsidRPr="00383A85" w:rsidRDefault="005D61DD" w:rsidP="00F2009E">
            <w:pPr>
              <w:spacing w:before="0" w:after="60" w:line="240" w:lineRule="auto"/>
              <w:jc w:val="center"/>
            </w:pPr>
            <w:r w:rsidRPr="00383A85">
              <w:t>0.4%</w:t>
            </w:r>
          </w:p>
        </w:tc>
        <w:tc>
          <w:tcPr>
            <w:tcW w:w="1052" w:type="dxa"/>
            <w:shd w:val="clear" w:color="auto" w:fill="auto"/>
            <w:vAlign w:val="center"/>
            <w:hideMark/>
          </w:tcPr>
          <w:p w14:paraId="47B0AF56" w14:textId="77777777" w:rsidR="005D61DD" w:rsidRPr="00572B55" w:rsidRDefault="005D61DD" w:rsidP="00F2009E">
            <w:pPr>
              <w:spacing w:before="0" w:after="60" w:line="240" w:lineRule="auto"/>
              <w:jc w:val="center"/>
            </w:pPr>
            <w:r w:rsidRPr="00572B55">
              <w:t>0.6%</w:t>
            </w:r>
          </w:p>
        </w:tc>
        <w:tc>
          <w:tcPr>
            <w:tcW w:w="1052" w:type="dxa"/>
            <w:shd w:val="clear" w:color="auto" w:fill="auto"/>
            <w:vAlign w:val="center"/>
            <w:hideMark/>
          </w:tcPr>
          <w:p w14:paraId="60433FAC" w14:textId="77777777" w:rsidR="005D61DD" w:rsidRPr="00383A85" w:rsidRDefault="005D61DD" w:rsidP="00F2009E">
            <w:pPr>
              <w:spacing w:before="0" w:after="60" w:line="240" w:lineRule="auto"/>
              <w:jc w:val="center"/>
            </w:pPr>
            <w:r w:rsidRPr="00383A85">
              <w:t>0.4%</w:t>
            </w:r>
          </w:p>
        </w:tc>
        <w:tc>
          <w:tcPr>
            <w:tcW w:w="1052" w:type="dxa"/>
            <w:shd w:val="clear" w:color="auto" w:fill="auto"/>
            <w:vAlign w:val="center"/>
            <w:hideMark/>
          </w:tcPr>
          <w:p w14:paraId="0EEE83A0" w14:textId="77777777" w:rsidR="005D61DD" w:rsidRPr="00572B55" w:rsidRDefault="005D61DD" w:rsidP="00F2009E">
            <w:pPr>
              <w:spacing w:before="0" w:after="60" w:line="240" w:lineRule="auto"/>
              <w:jc w:val="center"/>
            </w:pPr>
            <w:r w:rsidRPr="00572B55">
              <w:t>0.5%</w:t>
            </w:r>
          </w:p>
        </w:tc>
        <w:tc>
          <w:tcPr>
            <w:tcW w:w="1052" w:type="dxa"/>
            <w:shd w:val="clear" w:color="auto" w:fill="auto"/>
            <w:vAlign w:val="center"/>
            <w:hideMark/>
          </w:tcPr>
          <w:p w14:paraId="6F3C584E" w14:textId="77777777" w:rsidR="005D61DD" w:rsidRPr="00383A85" w:rsidRDefault="005D61DD" w:rsidP="00F2009E">
            <w:pPr>
              <w:spacing w:before="0" w:after="60" w:line="240" w:lineRule="auto"/>
              <w:jc w:val="center"/>
            </w:pPr>
            <w:r w:rsidRPr="00383A85">
              <w:t>0.4%</w:t>
            </w:r>
          </w:p>
        </w:tc>
        <w:tc>
          <w:tcPr>
            <w:tcW w:w="1053" w:type="dxa"/>
            <w:shd w:val="clear" w:color="auto" w:fill="auto"/>
            <w:vAlign w:val="center"/>
            <w:hideMark/>
          </w:tcPr>
          <w:p w14:paraId="7914979A" w14:textId="77777777" w:rsidR="005D61DD" w:rsidRPr="00572B55" w:rsidRDefault="005D61DD" w:rsidP="00F2009E">
            <w:pPr>
              <w:spacing w:before="0" w:after="60" w:line="240" w:lineRule="auto"/>
              <w:jc w:val="center"/>
            </w:pPr>
            <w:r w:rsidRPr="00572B55">
              <w:t>0.4%</w:t>
            </w:r>
          </w:p>
        </w:tc>
        <w:tc>
          <w:tcPr>
            <w:tcW w:w="1052" w:type="dxa"/>
            <w:shd w:val="clear" w:color="auto" w:fill="auto"/>
            <w:vAlign w:val="center"/>
            <w:hideMark/>
          </w:tcPr>
          <w:p w14:paraId="2608E51C" w14:textId="77777777" w:rsidR="005D61DD" w:rsidRPr="00383A85" w:rsidRDefault="005D61DD" w:rsidP="00F2009E">
            <w:pPr>
              <w:spacing w:before="0" w:after="60" w:line="240" w:lineRule="auto"/>
              <w:jc w:val="center"/>
            </w:pPr>
            <w:r w:rsidRPr="00383A85">
              <w:t>0.4%</w:t>
            </w:r>
          </w:p>
        </w:tc>
        <w:tc>
          <w:tcPr>
            <w:tcW w:w="1052" w:type="dxa"/>
            <w:shd w:val="clear" w:color="auto" w:fill="auto"/>
            <w:vAlign w:val="center"/>
            <w:hideMark/>
          </w:tcPr>
          <w:p w14:paraId="3E4A27E2" w14:textId="77777777" w:rsidR="005D61DD" w:rsidRPr="00572B55" w:rsidRDefault="005D61DD" w:rsidP="00F2009E">
            <w:pPr>
              <w:spacing w:before="0" w:after="60" w:line="240" w:lineRule="auto"/>
              <w:jc w:val="center"/>
            </w:pPr>
            <w:r w:rsidRPr="00572B55">
              <w:t>0.4%</w:t>
            </w:r>
          </w:p>
        </w:tc>
        <w:tc>
          <w:tcPr>
            <w:tcW w:w="1052" w:type="dxa"/>
            <w:shd w:val="clear" w:color="auto" w:fill="auto"/>
            <w:vAlign w:val="center"/>
            <w:hideMark/>
          </w:tcPr>
          <w:p w14:paraId="3DE8D23B" w14:textId="77777777" w:rsidR="005D61DD" w:rsidRPr="00383A85" w:rsidRDefault="005D61DD" w:rsidP="00F2009E">
            <w:pPr>
              <w:spacing w:before="0" w:after="60" w:line="240" w:lineRule="auto"/>
              <w:jc w:val="center"/>
            </w:pPr>
            <w:r w:rsidRPr="00383A85">
              <w:t>0.3%</w:t>
            </w:r>
          </w:p>
        </w:tc>
        <w:tc>
          <w:tcPr>
            <w:tcW w:w="1052" w:type="dxa"/>
            <w:shd w:val="clear" w:color="auto" w:fill="auto"/>
            <w:vAlign w:val="center"/>
            <w:hideMark/>
          </w:tcPr>
          <w:p w14:paraId="27D60610" w14:textId="77777777" w:rsidR="005D61DD" w:rsidRPr="00572B55" w:rsidRDefault="005D61DD" w:rsidP="00F2009E">
            <w:pPr>
              <w:spacing w:before="0" w:after="60" w:line="240" w:lineRule="auto"/>
              <w:jc w:val="center"/>
            </w:pPr>
            <w:r w:rsidRPr="00572B55">
              <w:t>0.2%</w:t>
            </w:r>
          </w:p>
        </w:tc>
        <w:tc>
          <w:tcPr>
            <w:tcW w:w="1053" w:type="dxa"/>
            <w:shd w:val="clear" w:color="auto" w:fill="auto"/>
            <w:vAlign w:val="center"/>
            <w:hideMark/>
          </w:tcPr>
          <w:p w14:paraId="58B36B7A" w14:textId="77777777" w:rsidR="005D61DD" w:rsidRPr="00901477" w:rsidRDefault="005D61DD" w:rsidP="00F2009E">
            <w:pPr>
              <w:spacing w:before="0" w:after="60" w:line="240" w:lineRule="auto"/>
              <w:jc w:val="center"/>
              <w:rPr>
                <w:b/>
              </w:rPr>
            </w:pPr>
            <w:r w:rsidRPr="00901477">
              <w:rPr>
                <w:b/>
              </w:rPr>
              <w:t>0.4%</w:t>
            </w:r>
          </w:p>
        </w:tc>
        <w:tc>
          <w:tcPr>
            <w:tcW w:w="1184" w:type="dxa"/>
            <w:shd w:val="clear" w:color="auto" w:fill="auto"/>
            <w:noWrap/>
            <w:vAlign w:val="center"/>
            <w:hideMark/>
          </w:tcPr>
          <w:p w14:paraId="762F1516" w14:textId="77777777" w:rsidR="005D61DD" w:rsidRPr="00572B55" w:rsidRDefault="005D61DD" w:rsidP="00F2009E">
            <w:pPr>
              <w:spacing w:before="0" w:after="60" w:line="240" w:lineRule="auto"/>
              <w:jc w:val="center"/>
            </w:pPr>
          </w:p>
        </w:tc>
      </w:tr>
      <w:tr w:rsidR="005D61DD" w:rsidRPr="00383A85" w14:paraId="59D30649" w14:textId="77777777" w:rsidTr="00F2009E">
        <w:trPr>
          <w:trHeight w:val="540"/>
        </w:trPr>
        <w:tc>
          <w:tcPr>
            <w:tcW w:w="1951" w:type="dxa"/>
            <w:vMerge w:val="restart"/>
            <w:shd w:val="clear" w:color="auto" w:fill="DBE5F1" w:themeFill="accent1" w:themeFillTint="33"/>
            <w:vAlign w:val="center"/>
            <w:hideMark/>
          </w:tcPr>
          <w:p w14:paraId="1458C1FC" w14:textId="77777777" w:rsidR="005D61DD" w:rsidRPr="008539EC" w:rsidRDefault="005D61DD" w:rsidP="00F2009E">
            <w:pPr>
              <w:spacing w:before="0" w:line="240" w:lineRule="auto"/>
              <w:rPr>
                <w:b/>
              </w:rPr>
            </w:pPr>
            <w:r w:rsidRPr="008539EC">
              <w:rPr>
                <w:b/>
              </w:rPr>
              <w:t>Major mandated reporter groups combined</w:t>
            </w:r>
          </w:p>
        </w:tc>
        <w:tc>
          <w:tcPr>
            <w:tcW w:w="1052" w:type="dxa"/>
            <w:shd w:val="clear" w:color="auto" w:fill="DBE5F1" w:themeFill="accent1" w:themeFillTint="33"/>
            <w:vAlign w:val="center"/>
            <w:hideMark/>
          </w:tcPr>
          <w:p w14:paraId="2C169F57" w14:textId="77777777" w:rsidR="005D61DD" w:rsidRPr="00383A85" w:rsidRDefault="005D61DD" w:rsidP="00F2009E">
            <w:pPr>
              <w:spacing w:before="0" w:after="60" w:line="240" w:lineRule="auto"/>
              <w:jc w:val="center"/>
            </w:pPr>
            <w:r w:rsidRPr="00383A85">
              <w:t>12,700</w:t>
            </w:r>
          </w:p>
        </w:tc>
        <w:tc>
          <w:tcPr>
            <w:tcW w:w="1052" w:type="dxa"/>
            <w:shd w:val="clear" w:color="auto" w:fill="DBE5F1" w:themeFill="accent1" w:themeFillTint="33"/>
            <w:vAlign w:val="center"/>
            <w:hideMark/>
          </w:tcPr>
          <w:p w14:paraId="7AEB8852" w14:textId="77777777" w:rsidR="005D61DD" w:rsidRPr="00572B55" w:rsidRDefault="005D61DD" w:rsidP="00F2009E">
            <w:pPr>
              <w:spacing w:before="0" w:after="60" w:line="240" w:lineRule="auto"/>
              <w:jc w:val="center"/>
            </w:pPr>
            <w:r w:rsidRPr="00572B55">
              <w:t>12,616</w:t>
            </w:r>
          </w:p>
        </w:tc>
        <w:tc>
          <w:tcPr>
            <w:tcW w:w="1052" w:type="dxa"/>
            <w:shd w:val="clear" w:color="auto" w:fill="DBE5F1" w:themeFill="accent1" w:themeFillTint="33"/>
            <w:vAlign w:val="center"/>
            <w:hideMark/>
          </w:tcPr>
          <w:p w14:paraId="38D9A913" w14:textId="77777777" w:rsidR="005D61DD" w:rsidRPr="00383A85" w:rsidRDefault="005D61DD" w:rsidP="00F2009E">
            <w:pPr>
              <w:spacing w:before="0" w:after="60" w:line="240" w:lineRule="auto"/>
              <w:jc w:val="center"/>
            </w:pPr>
            <w:r w:rsidRPr="00383A85">
              <w:t>12,948</w:t>
            </w:r>
          </w:p>
        </w:tc>
        <w:tc>
          <w:tcPr>
            <w:tcW w:w="1052" w:type="dxa"/>
            <w:shd w:val="clear" w:color="auto" w:fill="DBE5F1" w:themeFill="accent1" w:themeFillTint="33"/>
            <w:vAlign w:val="center"/>
            <w:hideMark/>
          </w:tcPr>
          <w:p w14:paraId="11381E57" w14:textId="77777777" w:rsidR="005D61DD" w:rsidRPr="00572B55" w:rsidRDefault="005D61DD" w:rsidP="00F2009E">
            <w:pPr>
              <w:spacing w:before="0" w:after="60" w:line="240" w:lineRule="auto"/>
              <w:jc w:val="center"/>
            </w:pPr>
            <w:r w:rsidRPr="00572B55">
              <w:t>13,756</w:t>
            </w:r>
          </w:p>
        </w:tc>
        <w:tc>
          <w:tcPr>
            <w:tcW w:w="1052" w:type="dxa"/>
            <w:shd w:val="clear" w:color="auto" w:fill="DBE5F1" w:themeFill="accent1" w:themeFillTint="33"/>
            <w:vAlign w:val="center"/>
            <w:hideMark/>
          </w:tcPr>
          <w:p w14:paraId="30F09A51" w14:textId="77777777" w:rsidR="005D61DD" w:rsidRPr="00383A85" w:rsidRDefault="005D61DD" w:rsidP="00F2009E">
            <w:pPr>
              <w:spacing w:before="0" w:after="60" w:line="240" w:lineRule="auto"/>
              <w:jc w:val="center"/>
            </w:pPr>
            <w:r w:rsidRPr="00383A85">
              <w:t>14,405</w:t>
            </w:r>
          </w:p>
        </w:tc>
        <w:tc>
          <w:tcPr>
            <w:tcW w:w="1053" w:type="dxa"/>
            <w:shd w:val="clear" w:color="auto" w:fill="DBE5F1" w:themeFill="accent1" w:themeFillTint="33"/>
            <w:vAlign w:val="center"/>
            <w:hideMark/>
          </w:tcPr>
          <w:p w14:paraId="195CDD6F" w14:textId="77777777" w:rsidR="005D61DD" w:rsidRPr="00572B55" w:rsidRDefault="005D61DD" w:rsidP="00F2009E">
            <w:pPr>
              <w:spacing w:before="0" w:after="60" w:line="240" w:lineRule="auto"/>
              <w:jc w:val="center"/>
            </w:pPr>
            <w:r w:rsidRPr="00572B55">
              <w:t>16,918</w:t>
            </w:r>
          </w:p>
        </w:tc>
        <w:tc>
          <w:tcPr>
            <w:tcW w:w="1052" w:type="dxa"/>
            <w:shd w:val="clear" w:color="auto" w:fill="DBE5F1" w:themeFill="accent1" w:themeFillTint="33"/>
            <w:vAlign w:val="center"/>
            <w:hideMark/>
          </w:tcPr>
          <w:p w14:paraId="1AA7B428" w14:textId="77777777" w:rsidR="005D61DD" w:rsidRPr="00383A85" w:rsidRDefault="005D61DD" w:rsidP="00F2009E">
            <w:pPr>
              <w:spacing w:before="0" w:after="60" w:line="240" w:lineRule="auto"/>
              <w:jc w:val="center"/>
            </w:pPr>
            <w:r w:rsidRPr="00383A85">
              <w:t>19,503</w:t>
            </w:r>
          </w:p>
        </w:tc>
        <w:tc>
          <w:tcPr>
            <w:tcW w:w="1052" w:type="dxa"/>
            <w:shd w:val="clear" w:color="auto" w:fill="DBE5F1" w:themeFill="accent1" w:themeFillTint="33"/>
            <w:vAlign w:val="center"/>
            <w:hideMark/>
          </w:tcPr>
          <w:p w14:paraId="2EB72B4A" w14:textId="77777777" w:rsidR="005D61DD" w:rsidRPr="00572B55" w:rsidRDefault="005D61DD" w:rsidP="00F2009E">
            <w:pPr>
              <w:spacing w:before="0" w:after="60" w:line="240" w:lineRule="auto"/>
              <w:jc w:val="center"/>
            </w:pPr>
            <w:r w:rsidRPr="00572B55">
              <w:t>24,759</w:t>
            </w:r>
          </w:p>
        </w:tc>
        <w:tc>
          <w:tcPr>
            <w:tcW w:w="1052" w:type="dxa"/>
            <w:shd w:val="clear" w:color="auto" w:fill="DBE5F1" w:themeFill="accent1" w:themeFillTint="33"/>
            <w:vAlign w:val="center"/>
            <w:hideMark/>
          </w:tcPr>
          <w:p w14:paraId="440477AC" w14:textId="77777777" w:rsidR="005D61DD" w:rsidRPr="00383A85" w:rsidRDefault="005D61DD" w:rsidP="00F2009E">
            <w:pPr>
              <w:spacing w:before="0" w:after="60" w:line="240" w:lineRule="auto"/>
              <w:jc w:val="center"/>
            </w:pPr>
            <w:r w:rsidRPr="00383A85">
              <w:t>27,879</w:t>
            </w:r>
          </w:p>
        </w:tc>
        <w:tc>
          <w:tcPr>
            <w:tcW w:w="1052" w:type="dxa"/>
            <w:shd w:val="clear" w:color="auto" w:fill="DBE5F1" w:themeFill="accent1" w:themeFillTint="33"/>
            <w:vAlign w:val="center"/>
            <w:hideMark/>
          </w:tcPr>
          <w:p w14:paraId="7A6FC764" w14:textId="77777777" w:rsidR="005D61DD" w:rsidRPr="00572B55" w:rsidRDefault="005D61DD" w:rsidP="00F2009E">
            <w:pPr>
              <w:spacing w:before="0" w:after="60" w:line="240" w:lineRule="auto"/>
              <w:jc w:val="center"/>
            </w:pPr>
            <w:r w:rsidRPr="00572B55">
              <w:t>34,944</w:t>
            </w:r>
          </w:p>
        </w:tc>
        <w:tc>
          <w:tcPr>
            <w:tcW w:w="1053" w:type="dxa"/>
            <w:shd w:val="clear" w:color="auto" w:fill="DBE5F1" w:themeFill="accent1" w:themeFillTint="33"/>
            <w:vAlign w:val="center"/>
            <w:hideMark/>
          </w:tcPr>
          <w:p w14:paraId="2D41333A" w14:textId="77777777" w:rsidR="005D61DD" w:rsidRPr="00901477" w:rsidRDefault="005D61DD" w:rsidP="00F2009E">
            <w:pPr>
              <w:spacing w:before="0" w:after="60" w:line="240" w:lineRule="auto"/>
              <w:jc w:val="center"/>
              <w:rPr>
                <w:b/>
              </w:rPr>
            </w:pPr>
            <w:r w:rsidRPr="00901477">
              <w:rPr>
                <w:b/>
              </w:rPr>
              <w:t>190,428</w:t>
            </w:r>
          </w:p>
        </w:tc>
        <w:tc>
          <w:tcPr>
            <w:tcW w:w="1184" w:type="dxa"/>
            <w:shd w:val="clear" w:color="auto" w:fill="DBE5F1" w:themeFill="accent1" w:themeFillTint="33"/>
            <w:noWrap/>
            <w:vAlign w:val="center"/>
            <w:hideMark/>
          </w:tcPr>
          <w:p w14:paraId="39570120" w14:textId="77777777" w:rsidR="005D61DD" w:rsidRPr="00572B55" w:rsidRDefault="005D61DD" w:rsidP="00F2009E">
            <w:pPr>
              <w:spacing w:before="0" w:after="60" w:line="240" w:lineRule="auto"/>
              <w:jc w:val="center"/>
            </w:pPr>
            <w:r w:rsidRPr="00572B55">
              <w:t>184%</w:t>
            </w:r>
          </w:p>
        </w:tc>
      </w:tr>
      <w:tr w:rsidR="005D61DD" w:rsidRPr="00383A85" w14:paraId="3A1D3FC5" w14:textId="77777777" w:rsidTr="00F2009E">
        <w:trPr>
          <w:trHeight w:val="276"/>
        </w:trPr>
        <w:tc>
          <w:tcPr>
            <w:tcW w:w="1951" w:type="dxa"/>
            <w:vMerge/>
            <w:shd w:val="clear" w:color="auto" w:fill="DBE5F1" w:themeFill="accent1" w:themeFillTint="33"/>
            <w:vAlign w:val="center"/>
            <w:hideMark/>
          </w:tcPr>
          <w:p w14:paraId="0FA4FA4F" w14:textId="77777777" w:rsidR="005D61DD" w:rsidRPr="00901477" w:rsidRDefault="005D61DD" w:rsidP="00F2009E">
            <w:pPr>
              <w:spacing w:before="0" w:after="60" w:line="240" w:lineRule="auto"/>
              <w:rPr>
                <w:b/>
              </w:rPr>
            </w:pPr>
          </w:p>
        </w:tc>
        <w:tc>
          <w:tcPr>
            <w:tcW w:w="1052" w:type="dxa"/>
            <w:shd w:val="clear" w:color="auto" w:fill="DBE5F1" w:themeFill="accent1" w:themeFillTint="33"/>
            <w:vAlign w:val="center"/>
            <w:hideMark/>
          </w:tcPr>
          <w:p w14:paraId="47236FBB" w14:textId="77777777" w:rsidR="005D61DD" w:rsidRPr="00383A85" w:rsidRDefault="005D61DD" w:rsidP="00F2009E">
            <w:pPr>
              <w:spacing w:before="0" w:after="60" w:line="240" w:lineRule="auto"/>
              <w:jc w:val="center"/>
            </w:pPr>
            <w:r w:rsidRPr="00383A85">
              <w:t>34.1%</w:t>
            </w:r>
          </w:p>
        </w:tc>
        <w:tc>
          <w:tcPr>
            <w:tcW w:w="1052" w:type="dxa"/>
            <w:shd w:val="clear" w:color="auto" w:fill="DBE5F1" w:themeFill="accent1" w:themeFillTint="33"/>
            <w:vAlign w:val="center"/>
            <w:hideMark/>
          </w:tcPr>
          <w:p w14:paraId="35823A44" w14:textId="77777777" w:rsidR="005D61DD" w:rsidRPr="00572B55" w:rsidRDefault="005D61DD" w:rsidP="00F2009E">
            <w:pPr>
              <w:spacing w:before="0" w:after="60" w:line="240" w:lineRule="auto"/>
              <w:jc w:val="center"/>
            </w:pPr>
            <w:r w:rsidRPr="00572B55">
              <w:t>33.5%</w:t>
            </w:r>
          </w:p>
        </w:tc>
        <w:tc>
          <w:tcPr>
            <w:tcW w:w="1052" w:type="dxa"/>
            <w:shd w:val="clear" w:color="auto" w:fill="DBE5F1" w:themeFill="accent1" w:themeFillTint="33"/>
            <w:vAlign w:val="center"/>
            <w:hideMark/>
          </w:tcPr>
          <w:p w14:paraId="60021AAB" w14:textId="77777777" w:rsidR="005D61DD" w:rsidRPr="00383A85" w:rsidRDefault="005D61DD" w:rsidP="00F2009E">
            <w:pPr>
              <w:spacing w:before="0" w:after="60" w:line="240" w:lineRule="auto"/>
              <w:jc w:val="center"/>
            </w:pPr>
            <w:r w:rsidRPr="00383A85">
              <w:t>35.3%</w:t>
            </w:r>
          </w:p>
        </w:tc>
        <w:tc>
          <w:tcPr>
            <w:tcW w:w="1052" w:type="dxa"/>
            <w:shd w:val="clear" w:color="auto" w:fill="DBE5F1" w:themeFill="accent1" w:themeFillTint="33"/>
            <w:vAlign w:val="center"/>
            <w:hideMark/>
          </w:tcPr>
          <w:p w14:paraId="4BC5F567" w14:textId="77777777" w:rsidR="005D61DD" w:rsidRPr="00572B55" w:rsidRDefault="005D61DD" w:rsidP="00F2009E">
            <w:pPr>
              <w:spacing w:before="0" w:after="60" w:line="240" w:lineRule="auto"/>
              <w:jc w:val="center"/>
            </w:pPr>
            <w:r w:rsidRPr="00572B55">
              <w:t>36.5%</w:t>
            </w:r>
          </w:p>
        </w:tc>
        <w:tc>
          <w:tcPr>
            <w:tcW w:w="1052" w:type="dxa"/>
            <w:shd w:val="clear" w:color="auto" w:fill="DBE5F1" w:themeFill="accent1" w:themeFillTint="33"/>
            <w:vAlign w:val="center"/>
            <w:hideMark/>
          </w:tcPr>
          <w:p w14:paraId="04643DBF" w14:textId="77777777" w:rsidR="005D61DD" w:rsidRPr="00383A85" w:rsidRDefault="005D61DD" w:rsidP="00F2009E">
            <w:pPr>
              <w:spacing w:before="0" w:after="60" w:line="240" w:lineRule="auto"/>
              <w:jc w:val="center"/>
            </w:pPr>
            <w:r w:rsidRPr="00383A85">
              <w:t>37.2%</w:t>
            </w:r>
          </w:p>
        </w:tc>
        <w:tc>
          <w:tcPr>
            <w:tcW w:w="1053" w:type="dxa"/>
            <w:shd w:val="clear" w:color="auto" w:fill="DBE5F1" w:themeFill="accent1" w:themeFillTint="33"/>
            <w:vAlign w:val="center"/>
            <w:hideMark/>
          </w:tcPr>
          <w:p w14:paraId="14A18D40" w14:textId="77777777" w:rsidR="005D61DD" w:rsidRPr="00572B55" w:rsidRDefault="005D61DD" w:rsidP="00F2009E">
            <w:pPr>
              <w:spacing w:before="0" w:after="60" w:line="240" w:lineRule="auto"/>
              <w:jc w:val="center"/>
            </w:pPr>
            <w:r w:rsidRPr="00572B55">
              <w:t>40.6%</w:t>
            </w:r>
          </w:p>
        </w:tc>
        <w:tc>
          <w:tcPr>
            <w:tcW w:w="1052" w:type="dxa"/>
            <w:shd w:val="clear" w:color="auto" w:fill="DBE5F1" w:themeFill="accent1" w:themeFillTint="33"/>
            <w:vAlign w:val="center"/>
            <w:hideMark/>
          </w:tcPr>
          <w:p w14:paraId="14B480F5" w14:textId="77777777" w:rsidR="005D61DD" w:rsidRPr="00383A85" w:rsidRDefault="005D61DD" w:rsidP="00F2009E">
            <w:pPr>
              <w:spacing w:before="0" w:after="60" w:line="240" w:lineRule="auto"/>
              <w:jc w:val="center"/>
            </w:pPr>
            <w:r w:rsidRPr="00383A85">
              <w:t>43.6%</w:t>
            </w:r>
          </w:p>
        </w:tc>
        <w:tc>
          <w:tcPr>
            <w:tcW w:w="1052" w:type="dxa"/>
            <w:shd w:val="clear" w:color="auto" w:fill="DBE5F1" w:themeFill="accent1" w:themeFillTint="33"/>
            <w:vAlign w:val="center"/>
            <w:hideMark/>
          </w:tcPr>
          <w:p w14:paraId="6BC3ED06" w14:textId="77777777" w:rsidR="005D61DD" w:rsidRPr="00572B55" w:rsidRDefault="005D61DD" w:rsidP="00F2009E">
            <w:pPr>
              <w:spacing w:before="0" w:after="60" w:line="240" w:lineRule="auto"/>
              <w:jc w:val="center"/>
            </w:pPr>
            <w:r w:rsidRPr="00572B55">
              <w:t>47.6%</w:t>
            </w:r>
          </w:p>
        </w:tc>
        <w:tc>
          <w:tcPr>
            <w:tcW w:w="1052" w:type="dxa"/>
            <w:shd w:val="clear" w:color="auto" w:fill="DBE5F1" w:themeFill="accent1" w:themeFillTint="33"/>
            <w:vAlign w:val="center"/>
            <w:hideMark/>
          </w:tcPr>
          <w:p w14:paraId="5668FDF5" w14:textId="77777777" w:rsidR="005D61DD" w:rsidRPr="00383A85" w:rsidRDefault="005D61DD" w:rsidP="00F2009E">
            <w:pPr>
              <w:spacing w:before="0" w:after="60" w:line="240" w:lineRule="auto"/>
              <w:jc w:val="center"/>
            </w:pPr>
            <w:r w:rsidRPr="00383A85">
              <w:t>47.3%</w:t>
            </w:r>
          </w:p>
        </w:tc>
        <w:tc>
          <w:tcPr>
            <w:tcW w:w="1052" w:type="dxa"/>
            <w:shd w:val="clear" w:color="auto" w:fill="DBE5F1" w:themeFill="accent1" w:themeFillTint="33"/>
            <w:vAlign w:val="center"/>
            <w:hideMark/>
          </w:tcPr>
          <w:p w14:paraId="14E386BC" w14:textId="77777777" w:rsidR="005D61DD" w:rsidRPr="00572B55" w:rsidRDefault="005D61DD" w:rsidP="00F2009E">
            <w:pPr>
              <w:spacing w:before="0" w:after="60" w:line="240" w:lineRule="auto"/>
              <w:jc w:val="center"/>
            </w:pPr>
            <w:r w:rsidRPr="00572B55">
              <w:t>50.9%</w:t>
            </w:r>
          </w:p>
        </w:tc>
        <w:tc>
          <w:tcPr>
            <w:tcW w:w="1053" w:type="dxa"/>
            <w:shd w:val="clear" w:color="auto" w:fill="DBE5F1" w:themeFill="accent1" w:themeFillTint="33"/>
            <w:vAlign w:val="center"/>
            <w:hideMark/>
          </w:tcPr>
          <w:p w14:paraId="77B48EE5" w14:textId="77777777" w:rsidR="005D61DD" w:rsidRPr="00901477" w:rsidRDefault="005D61DD" w:rsidP="00F2009E">
            <w:pPr>
              <w:spacing w:before="0" w:after="60" w:line="240" w:lineRule="auto"/>
              <w:jc w:val="center"/>
              <w:rPr>
                <w:b/>
              </w:rPr>
            </w:pPr>
            <w:r w:rsidRPr="00901477">
              <w:rPr>
                <w:b/>
              </w:rPr>
              <w:t>41.9%</w:t>
            </w:r>
          </w:p>
        </w:tc>
        <w:tc>
          <w:tcPr>
            <w:tcW w:w="1184" w:type="dxa"/>
            <w:shd w:val="clear" w:color="auto" w:fill="DBE5F1" w:themeFill="accent1" w:themeFillTint="33"/>
            <w:noWrap/>
            <w:vAlign w:val="center"/>
            <w:hideMark/>
          </w:tcPr>
          <w:p w14:paraId="64DAD4A9" w14:textId="77777777" w:rsidR="005D61DD" w:rsidRPr="00572B55" w:rsidRDefault="005D61DD" w:rsidP="00F2009E">
            <w:pPr>
              <w:spacing w:before="0" w:after="60" w:line="240" w:lineRule="auto"/>
              <w:jc w:val="center"/>
            </w:pPr>
          </w:p>
        </w:tc>
      </w:tr>
      <w:tr w:rsidR="005D61DD" w:rsidRPr="00383A85" w14:paraId="544D5C96" w14:textId="77777777" w:rsidTr="00F2009E">
        <w:trPr>
          <w:trHeight w:val="276"/>
        </w:trPr>
        <w:tc>
          <w:tcPr>
            <w:tcW w:w="1951" w:type="dxa"/>
            <w:vMerge w:val="restart"/>
            <w:vAlign w:val="center"/>
            <w:hideMark/>
          </w:tcPr>
          <w:p w14:paraId="0F244362" w14:textId="77777777" w:rsidR="005D61DD" w:rsidRPr="008539EC" w:rsidRDefault="004A3ADA" w:rsidP="00F2009E">
            <w:pPr>
              <w:spacing w:before="0" w:line="240" w:lineRule="auto"/>
              <w:rPr>
                <w:b/>
              </w:rPr>
            </w:pPr>
            <w:r>
              <w:rPr>
                <w:b/>
              </w:rPr>
              <w:t>Other</w:t>
            </w:r>
            <w:r w:rsidR="005D61DD" w:rsidRPr="008539EC">
              <w:rPr>
                <w:b/>
              </w:rPr>
              <w:t xml:space="preserve"> reporter groups combined</w:t>
            </w:r>
          </w:p>
        </w:tc>
        <w:tc>
          <w:tcPr>
            <w:tcW w:w="1052" w:type="dxa"/>
            <w:vAlign w:val="center"/>
            <w:hideMark/>
          </w:tcPr>
          <w:p w14:paraId="7D39BFC5" w14:textId="77777777" w:rsidR="005D61DD" w:rsidRPr="00383A85" w:rsidRDefault="005D61DD" w:rsidP="00F2009E">
            <w:pPr>
              <w:spacing w:before="0" w:after="60" w:line="240" w:lineRule="auto"/>
              <w:jc w:val="center"/>
            </w:pPr>
            <w:r w:rsidRPr="00383A85">
              <w:t>24,567</w:t>
            </w:r>
          </w:p>
        </w:tc>
        <w:tc>
          <w:tcPr>
            <w:tcW w:w="1052" w:type="dxa"/>
            <w:vAlign w:val="center"/>
            <w:hideMark/>
          </w:tcPr>
          <w:p w14:paraId="2B7ED91C" w14:textId="77777777" w:rsidR="005D61DD" w:rsidRPr="00572B55" w:rsidRDefault="005D61DD" w:rsidP="00F2009E">
            <w:pPr>
              <w:spacing w:before="0" w:after="60" w:line="240" w:lineRule="auto"/>
              <w:jc w:val="center"/>
            </w:pPr>
            <w:r w:rsidRPr="00572B55">
              <w:t>25,033</w:t>
            </w:r>
          </w:p>
        </w:tc>
        <w:tc>
          <w:tcPr>
            <w:tcW w:w="1052" w:type="dxa"/>
            <w:vAlign w:val="center"/>
            <w:hideMark/>
          </w:tcPr>
          <w:p w14:paraId="3C5BDA6B" w14:textId="77777777" w:rsidR="005D61DD" w:rsidRPr="00383A85" w:rsidRDefault="005D61DD" w:rsidP="00F2009E">
            <w:pPr>
              <w:spacing w:before="0" w:after="60" w:line="240" w:lineRule="auto"/>
              <w:jc w:val="center"/>
            </w:pPr>
            <w:r w:rsidRPr="00383A85">
              <w:t>23,709</w:t>
            </w:r>
          </w:p>
        </w:tc>
        <w:tc>
          <w:tcPr>
            <w:tcW w:w="1052" w:type="dxa"/>
            <w:vAlign w:val="center"/>
            <w:hideMark/>
          </w:tcPr>
          <w:p w14:paraId="2AD70D25" w14:textId="77777777" w:rsidR="005D61DD" w:rsidRPr="00572B55" w:rsidRDefault="005D61DD" w:rsidP="00F2009E">
            <w:pPr>
              <w:spacing w:before="0" w:after="60" w:line="240" w:lineRule="auto"/>
              <w:jc w:val="center"/>
            </w:pPr>
            <w:r w:rsidRPr="00572B55">
              <w:t>23,937</w:t>
            </w:r>
          </w:p>
        </w:tc>
        <w:tc>
          <w:tcPr>
            <w:tcW w:w="1052" w:type="dxa"/>
            <w:vAlign w:val="center"/>
            <w:hideMark/>
          </w:tcPr>
          <w:p w14:paraId="172008DB" w14:textId="77777777" w:rsidR="005D61DD" w:rsidRPr="00383A85" w:rsidRDefault="005D61DD" w:rsidP="00F2009E">
            <w:pPr>
              <w:spacing w:before="0" w:after="60" w:line="240" w:lineRule="auto"/>
              <w:jc w:val="center"/>
            </w:pPr>
            <w:r w:rsidRPr="00383A85">
              <w:t>24,369</w:t>
            </w:r>
          </w:p>
        </w:tc>
        <w:tc>
          <w:tcPr>
            <w:tcW w:w="1053" w:type="dxa"/>
            <w:vAlign w:val="center"/>
            <w:hideMark/>
          </w:tcPr>
          <w:p w14:paraId="430066D1" w14:textId="77777777" w:rsidR="005D61DD" w:rsidRPr="00572B55" w:rsidRDefault="005D61DD" w:rsidP="00F2009E">
            <w:pPr>
              <w:spacing w:before="0" w:after="60" w:line="240" w:lineRule="auto"/>
              <w:jc w:val="center"/>
            </w:pPr>
            <w:r w:rsidRPr="00572B55">
              <w:t>24,777</w:t>
            </w:r>
          </w:p>
        </w:tc>
        <w:tc>
          <w:tcPr>
            <w:tcW w:w="1052" w:type="dxa"/>
            <w:vAlign w:val="center"/>
            <w:hideMark/>
          </w:tcPr>
          <w:p w14:paraId="01752EAE" w14:textId="77777777" w:rsidR="005D61DD" w:rsidRPr="00383A85" w:rsidRDefault="005D61DD" w:rsidP="00F2009E">
            <w:pPr>
              <w:spacing w:before="0" w:after="60" w:line="240" w:lineRule="auto"/>
              <w:jc w:val="center"/>
            </w:pPr>
            <w:r w:rsidRPr="00383A85">
              <w:t>25,267</w:t>
            </w:r>
          </w:p>
        </w:tc>
        <w:tc>
          <w:tcPr>
            <w:tcW w:w="1052" w:type="dxa"/>
            <w:vAlign w:val="center"/>
            <w:hideMark/>
          </w:tcPr>
          <w:p w14:paraId="078C7905" w14:textId="77777777" w:rsidR="005D61DD" w:rsidRPr="00572B55" w:rsidRDefault="005D61DD" w:rsidP="00F2009E">
            <w:pPr>
              <w:spacing w:before="0" w:after="60" w:line="240" w:lineRule="auto"/>
              <w:jc w:val="center"/>
            </w:pPr>
            <w:r w:rsidRPr="00572B55">
              <w:t>27,276</w:t>
            </w:r>
          </w:p>
        </w:tc>
        <w:tc>
          <w:tcPr>
            <w:tcW w:w="1052" w:type="dxa"/>
            <w:vAlign w:val="center"/>
            <w:hideMark/>
          </w:tcPr>
          <w:p w14:paraId="330B63F3" w14:textId="77777777" w:rsidR="005D61DD" w:rsidRPr="00383A85" w:rsidRDefault="005D61DD" w:rsidP="00F2009E">
            <w:pPr>
              <w:spacing w:before="0" w:after="60" w:line="240" w:lineRule="auto"/>
              <w:jc w:val="center"/>
            </w:pPr>
            <w:r w:rsidRPr="00383A85">
              <w:t>31,053</w:t>
            </w:r>
          </w:p>
        </w:tc>
        <w:tc>
          <w:tcPr>
            <w:tcW w:w="1052" w:type="dxa"/>
            <w:vAlign w:val="center"/>
            <w:hideMark/>
          </w:tcPr>
          <w:p w14:paraId="570629EB" w14:textId="77777777" w:rsidR="005D61DD" w:rsidRPr="00572B55" w:rsidRDefault="005D61DD" w:rsidP="00F2009E">
            <w:pPr>
              <w:spacing w:before="0" w:after="60" w:line="240" w:lineRule="auto"/>
              <w:jc w:val="center"/>
            </w:pPr>
            <w:r w:rsidRPr="00572B55">
              <w:t>33,704</w:t>
            </w:r>
          </w:p>
        </w:tc>
        <w:tc>
          <w:tcPr>
            <w:tcW w:w="1053" w:type="dxa"/>
            <w:vAlign w:val="center"/>
            <w:hideMark/>
          </w:tcPr>
          <w:p w14:paraId="22830D41" w14:textId="77777777" w:rsidR="005D61DD" w:rsidRPr="00901477" w:rsidRDefault="005D61DD" w:rsidP="00F2009E">
            <w:pPr>
              <w:spacing w:before="0" w:after="60" w:line="240" w:lineRule="auto"/>
              <w:jc w:val="center"/>
              <w:rPr>
                <w:b/>
              </w:rPr>
            </w:pPr>
            <w:r w:rsidRPr="00901477">
              <w:rPr>
                <w:b/>
              </w:rPr>
              <w:t>263,692</w:t>
            </w:r>
          </w:p>
        </w:tc>
        <w:tc>
          <w:tcPr>
            <w:tcW w:w="1184" w:type="dxa"/>
            <w:noWrap/>
            <w:vAlign w:val="center"/>
            <w:hideMark/>
          </w:tcPr>
          <w:p w14:paraId="18A02F90" w14:textId="77777777" w:rsidR="005D61DD" w:rsidRPr="00572B55" w:rsidRDefault="005D61DD" w:rsidP="00F2009E">
            <w:pPr>
              <w:spacing w:before="0" w:after="60" w:line="240" w:lineRule="auto"/>
              <w:jc w:val="center"/>
            </w:pPr>
            <w:r w:rsidRPr="00572B55">
              <w:t>37%</w:t>
            </w:r>
          </w:p>
        </w:tc>
      </w:tr>
      <w:tr w:rsidR="005D61DD" w:rsidRPr="00383A85" w14:paraId="501AC950" w14:textId="77777777" w:rsidTr="00F2009E">
        <w:trPr>
          <w:trHeight w:val="276"/>
        </w:trPr>
        <w:tc>
          <w:tcPr>
            <w:tcW w:w="1951" w:type="dxa"/>
            <w:vMerge/>
            <w:noWrap/>
            <w:vAlign w:val="center"/>
            <w:hideMark/>
          </w:tcPr>
          <w:p w14:paraId="36E5C5F4" w14:textId="77777777" w:rsidR="005D61DD" w:rsidRPr="00572B55" w:rsidRDefault="005D61DD" w:rsidP="00F2009E">
            <w:pPr>
              <w:spacing w:before="0" w:after="60" w:line="240" w:lineRule="auto"/>
              <w:jc w:val="center"/>
            </w:pPr>
          </w:p>
        </w:tc>
        <w:tc>
          <w:tcPr>
            <w:tcW w:w="1052" w:type="dxa"/>
            <w:vAlign w:val="center"/>
            <w:hideMark/>
          </w:tcPr>
          <w:p w14:paraId="27E7E4DA" w14:textId="77777777" w:rsidR="005D61DD" w:rsidRPr="00383A85" w:rsidRDefault="005D61DD" w:rsidP="00F2009E">
            <w:pPr>
              <w:spacing w:before="0" w:after="60" w:line="240" w:lineRule="auto"/>
              <w:jc w:val="center"/>
            </w:pPr>
            <w:r w:rsidRPr="00383A85">
              <w:t>65.9%</w:t>
            </w:r>
          </w:p>
        </w:tc>
        <w:tc>
          <w:tcPr>
            <w:tcW w:w="1052" w:type="dxa"/>
            <w:vAlign w:val="center"/>
            <w:hideMark/>
          </w:tcPr>
          <w:p w14:paraId="0643566A" w14:textId="77777777" w:rsidR="005D61DD" w:rsidRPr="00572B55" w:rsidRDefault="005D61DD" w:rsidP="00F2009E">
            <w:pPr>
              <w:spacing w:before="0" w:after="60" w:line="240" w:lineRule="auto"/>
              <w:jc w:val="center"/>
            </w:pPr>
            <w:r w:rsidRPr="00572B55">
              <w:t>66.5%</w:t>
            </w:r>
          </w:p>
        </w:tc>
        <w:tc>
          <w:tcPr>
            <w:tcW w:w="1052" w:type="dxa"/>
            <w:vAlign w:val="center"/>
            <w:hideMark/>
          </w:tcPr>
          <w:p w14:paraId="6056E477" w14:textId="77777777" w:rsidR="005D61DD" w:rsidRPr="00383A85" w:rsidRDefault="005D61DD" w:rsidP="00F2009E">
            <w:pPr>
              <w:spacing w:before="0" w:after="60" w:line="240" w:lineRule="auto"/>
              <w:jc w:val="center"/>
            </w:pPr>
            <w:r w:rsidRPr="00383A85">
              <w:t>64.7%</w:t>
            </w:r>
          </w:p>
        </w:tc>
        <w:tc>
          <w:tcPr>
            <w:tcW w:w="1052" w:type="dxa"/>
            <w:vAlign w:val="center"/>
            <w:hideMark/>
          </w:tcPr>
          <w:p w14:paraId="00879FC5" w14:textId="77777777" w:rsidR="005D61DD" w:rsidRPr="00572B55" w:rsidRDefault="005D61DD" w:rsidP="00F2009E">
            <w:pPr>
              <w:spacing w:before="0" w:after="60" w:line="240" w:lineRule="auto"/>
              <w:jc w:val="center"/>
            </w:pPr>
            <w:r w:rsidRPr="00572B55">
              <w:t>63.5%</w:t>
            </w:r>
          </w:p>
        </w:tc>
        <w:tc>
          <w:tcPr>
            <w:tcW w:w="1052" w:type="dxa"/>
            <w:vAlign w:val="center"/>
            <w:hideMark/>
          </w:tcPr>
          <w:p w14:paraId="6E0909AD" w14:textId="77777777" w:rsidR="005D61DD" w:rsidRPr="00383A85" w:rsidRDefault="005D61DD" w:rsidP="00F2009E">
            <w:pPr>
              <w:spacing w:before="0" w:after="60" w:line="240" w:lineRule="auto"/>
              <w:jc w:val="center"/>
            </w:pPr>
            <w:r w:rsidRPr="00383A85">
              <w:t>62.8%</w:t>
            </w:r>
          </w:p>
        </w:tc>
        <w:tc>
          <w:tcPr>
            <w:tcW w:w="1053" w:type="dxa"/>
            <w:vAlign w:val="center"/>
            <w:hideMark/>
          </w:tcPr>
          <w:p w14:paraId="6BC52C21" w14:textId="77777777" w:rsidR="005D61DD" w:rsidRPr="00572B55" w:rsidRDefault="005D61DD" w:rsidP="00F2009E">
            <w:pPr>
              <w:spacing w:before="0" w:after="60" w:line="240" w:lineRule="auto"/>
              <w:jc w:val="center"/>
            </w:pPr>
            <w:r w:rsidRPr="00572B55">
              <w:t>59.4%</w:t>
            </w:r>
          </w:p>
        </w:tc>
        <w:tc>
          <w:tcPr>
            <w:tcW w:w="1052" w:type="dxa"/>
            <w:vAlign w:val="center"/>
            <w:hideMark/>
          </w:tcPr>
          <w:p w14:paraId="063AE427" w14:textId="77777777" w:rsidR="005D61DD" w:rsidRPr="00383A85" w:rsidRDefault="005D61DD" w:rsidP="00F2009E">
            <w:pPr>
              <w:spacing w:before="0" w:after="60" w:line="240" w:lineRule="auto"/>
              <w:jc w:val="center"/>
            </w:pPr>
            <w:r w:rsidRPr="00383A85">
              <w:t>56.4%</w:t>
            </w:r>
          </w:p>
        </w:tc>
        <w:tc>
          <w:tcPr>
            <w:tcW w:w="1052" w:type="dxa"/>
            <w:vAlign w:val="center"/>
            <w:hideMark/>
          </w:tcPr>
          <w:p w14:paraId="1C4F70E1" w14:textId="77777777" w:rsidR="005D61DD" w:rsidRPr="00572B55" w:rsidRDefault="005D61DD" w:rsidP="00F2009E">
            <w:pPr>
              <w:spacing w:before="0" w:after="60" w:line="240" w:lineRule="auto"/>
              <w:jc w:val="center"/>
            </w:pPr>
            <w:r w:rsidRPr="00572B55">
              <w:t>52.4%</w:t>
            </w:r>
          </w:p>
        </w:tc>
        <w:tc>
          <w:tcPr>
            <w:tcW w:w="1052" w:type="dxa"/>
            <w:vAlign w:val="center"/>
            <w:hideMark/>
          </w:tcPr>
          <w:p w14:paraId="2EAA30DF" w14:textId="77777777" w:rsidR="005D61DD" w:rsidRPr="00383A85" w:rsidRDefault="005D61DD" w:rsidP="00F2009E">
            <w:pPr>
              <w:spacing w:before="0" w:after="60" w:line="240" w:lineRule="auto"/>
              <w:jc w:val="center"/>
            </w:pPr>
            <w:r w:rsidRPr="00383A85">
              <w:t>52.7%</w:t>
            </w:r>
          </w:p>
        </w:tc>
        <w:tc>
          <w:tcPr>
            <w:tcW w:w="1052" w:type="dxa"/>
            <w:noWrap/>
            <w:vAlign w:val="center"/>
            <w:hideMark/>
          </w:tcPr>
          <w:p w14:paraId="52219947" w14:textId="77777777" w:rsidR="005D61DD" w:rsidRPr="00572B55" w:rsidRDefault="005D61DD" w:rsidP="00F2009E">
            <w:pPr>
              <w:spacing w:before="0" w:after="60" w:line="240" w:lineRule="auto"/>
              <w:jc w:val="center"/>
            </w:pPr>
            <w:r w:rsidRPr="00572B55">
              <w:t>49.1%</w:t>
            </w:r>
          </w:p>
        </w:tc>
        <w:tc>
          <w:tcPr>
            <w:tcW w:w="1053" w:type="dxa"/>
            <w:noWrap/>
            <w:vAlign w:val="center"/>
            <w:hideMark/>
          </w:tcPr>
          <w:p w14:paraId="6E021075" w14:textId="77777777" w:rsidR="005D61DD" w:rsidRPr="00901477" w:rsidRDefault="005D61DD" w:rsidP="00F2009E">
            <w:pPr>
              <w:spacing w:before="0" w:after="60" w:line="240" w:lineRule="auto"/>
              <w:jc w:val="center"/>
              <w:rPr>
                <w:b/>
              </w:rPr>
            </w:pPr>
            <w:r w:rsidRPr="00901477">
              <w:rPr>
                <w:b/>
              </w:rPr>
              <w:t>58.1%</w:t>
            </w:r>
          </w:p>
        </w:tc>
        <w:tc>
          <w:tcPr>
            <w:tcW w:w="1184" w:type="dxa"/>
            <w:noWrap/>
            <w:vAlign w:val="center"/>
            <w:hideMark/>
          </w:tcPr>
          <w:p w14:paraId="603E4646" w14:textId="77777777" w:rsidR="005D61DD" w:rsidRPr="00572B55" w:rsidRDefault="005D61DD" w:rsidP="00F2009E">
            <w:pPr>
              <w:spacing w:before="0" w:after="60" w:line="240" w:lineRule="auto"/>
              <w:jc w:val="center"/>
            </w:pPr>
          </w:p>
        </w:tc>
      </w:tr>
      <w:tr w:rsidR="005D61DD" w:rsidRPr="00901477" w14:paraId="3EBC5D3E" w14:textId="77777777" w:rsidTr="00F2009E">
        <w:trPr>
          <w:trHeight w:val="276"/>
        </w:trPr>
        <w:tc>
          <w:tcPr>
            <w:tcW w:w="1951" w:type="dxa"/>
            <w:shd w:val="clear" w:color="auto" w:fill="B8CCE4" w:themeFill="accent1" w:themeFillTint="66"/>
            <w:noWrap/>
            <w:vAlign w:val="center"/>
            <w:hideMark/>
          </w:tcPr>
          <w:p w14:paraId="2EA9F2C2" w14:textId="77777777" w:rsidR="005D61DD" w:rsidRPr="00901477" w:rsidRDefault="005D61DD" w:rsidP="00F2009E">
            <w:pPr>
              <w:spacing w:before="0" w:after="60" w:line="240" w:lineRule="auto"/>
              <w:rPr>
                <w:b/>
              </w:rPr>
            </w:pPr>
            <w:r w:rsidRPr="00901477">
              <w:rPr>
                <w:b/>
              </w:rPr>
              <w:t>Totals:</w:t>
            </w:r>
          </w:p>
        </w:tc>
        <w:tc>
          <w:tcPr>
            <w:tcW w:w="1052" w:type="dxa"/>
            <w:shd w:val="clear" w:color="auto" w:fill="B8CCE4" w:themeFill="accent1" w:themeFillTint="66"/>
            <w:vAlign w:val="center"/>
            <w:hideMark/>
          </w:tcPr>
          <w:p w14:paraId="48D2B725" w14:textId="77777777" w:rsidR="005D61DD" w:rsidRPr="00901477" w:rsidRDefault="005D61DD" w:rsidP="00F2009E">
            <w:pPr>
              <w:spacing w:before="0" w:after="60" w:line="240" w:lineRule="auto"/>
              <w:jc w:val="center"/>
              <w:rPr>
                <w:b/>
              </w:rPr>
            </w:pPr>
            <w:r w:rsidRPr="00901477">
              <w:rPr>
                <w:b/>
              </w:rPr>
              <w:t>37,267</w:t>
            </w:r>
          </w:p>
        </w:tc>
        <w:tc>
          <w:tcPr>
            <w:tcW w:w="1052" w:type="dxa"/>
            <w:shd w:val="clear" w:color="auto" w:fill="B8CCE4" w:themeFill="accent1" w:themeFillTint="66"/>
            <w:vAlign w:val="center"/>
            <w:hideMark/>
          </w:tcPr>
          <w:p w14:paraId="56C8E8E5" w14:textId="77777777" w:rsidR="005D61DD" w:rsidRPr="00901477" w:rsidRDefault="005D61DD" w:rsidP="00F2009E">
            <w:pPr>
              <w:spacing w:before="0" w:after="60" w:line="240" w:lineRule="auto"/>
              <w:jc w:val="center"/>
              <w:rPr>
                <w:b/>
              </w:rPr>
            </w:pPr>
            <w:r w:rsidRPr="00901477">
              <w:rPr>
                <w:b/>
              </w:rPr>
              <w:t>37,649</w:t>
            </w:r>
          </w:p>
        </w:tc>
        <w:tc>
          <w:tcPr>
            <w:tcW w:w="1052" w:type="dxa"/>
            <w:shd w:val="clear" w:color="auto" w:fill="B8CCE4" w:themeFill="accent1" w:themeFillTint="66"/>
            <w:vAlign w:val="center"/>
            <w:hideMark/>
          </w:tcPr>
          <w:p w14:paraId="749B8CF4" w14:textId="77777777" w:rsidR="005D61DD" w:rsidRPr="00901477" w:rsidRDefault="005D61DD" w:rsidP="00F2009E">
            <w:pPr>
              <w:spacing w:before="0" w:after="60" w:line="240" w:lineRule="auto"/>
              <w:jc w:val="center"/>
              <w:rPr>
                <w:b/>
              </w:rPr>
            </w:pPr>
            <w:r w:rsidRPr="00901477">
              <w:rPr>
                <w:b/>
              </w:rPr>
              <w:t>36,657</w:t>
            </w:r>
          </w:p>
        </w:tc>
        <w:tc>
          <w:tcPr>
            <w:tcW w:w="1052" w:type="dxa"/>
            <w:shd w:val="clear" w:color="auto" w:fill="B8CCE4" w:themeFill="accent1" w:themeFillTint="66"/>
            <w:vAlign w:val="center"/>
            <w:hideMark/>
          </w:tcPr>
          <w:p w14:paraId="0E7B5ED6" w14:textId="77777777" w:rsidR="005D61DD" w:rsidRPr="00901477" w:rsidRDefault="005D61DD" w:rsidP="00F2009E">
            <w:pPr>
              <w:spacing w:before="0" w:after="60" w:line="240" w:lineRule="auto"/>
              <w:jc w:val="center"/>
              <w:rPr>
                <w:b/>
              </w:rPr>
            </w:pPr>
            <w:r w:rsidRPr="00901477">
              <w:rPr>
                <w:b/>
              </w:rPr>
              <w:t>37,693</w:t>
            </w:r>
          </w:p>
        </w:tc>
        <w:tc>
          <w:tcPr>
            <w:tcW w:w="1052" w:type="dxa"/>
            <w:shd w:val="clear" w:color="auto" w:fill="B8CCE4" w:themeFill="accent1" w:themeFillTint="66"/>
            <w:vAlign w:val="center"/>
            <w:hideMark/>
          </w:tcPr>
          <w:p w14:paraId="2DF1E453" w14:textId="77777777" w:rsidR="005D61DD" w:rsidRPr="00901477" w:rsidRDefault="005D61DD" w:rsidP="00F2009E">
            <w:pPr>
              <w:spacing w:before="0" w:after="60" w:line="240" w:lineRule="auto"/>
              <w:jc w:val="center"/>
              <w:rPr>
                <w:b/>
              </w:rPr>
            </w:pPr>
            <w:r w:rsidRPr="00901477">
              <w:rPr>
                <w:b/>
              </w:rPr>
              <w:t>38,774</w:t>
            </w:r>
          </w:p>
        </w:tc>
        <w:tc>
          <w:tcPr>
            <w:tcW w:w="1053" w:type="dxa"/>
            <w:shd w:val="clear" w:color="auto" w:fill="B8CCE4" w:themeFill="accent1" w:themeFillTint="66"/>
            <w:vAlign w:val="center"/>
            <w:hideMark/>
          </w:tcPr>
          <w:p w14:paraId="33D120EA" w14:textId="77777777" w:rsidR="005D61DD" w:rsidRPr="00901477" w:rsidRDefault="005D61DD" w:rsidP="00F2009E">
            <w:pPr>
              <w:spacing w:before="0" w:after="60" w:line="240" w:lineRule="auto"/>
              <w:jc w:val="center"/>
              <w:rPr>
                <w:b/>
              </w:rPr>
            </w:pPr>
            <w:r w:rsidRPr="00901477">
              <w:rPr>
                <w:b/>
              </w:rPr>
              <w:t>41,695</w:t>
            </w:r>
          </w:p>
        </w:tc>
        <w:tc>
          <w:tcPr>
            <w:tcW w:w="1052" w:type="dxa"/>
            <w:shd w:val="clear" w:color="auto" w:fill="B8CCE4" w:themeFill="accent1" w:themeFillTint="66"/>
            <w:vAlign w:val="center"/>
            <w:hideMark/>
          </w:tcPr>
          <w:p w14:paraId="78E885E6" w14:textId="77777777" w:rsidR="005D61DD" w:rsidRPr="00901477" w:rsidRDefault="005D61DD" w:rsidP="00F2009E">
            <w:pPr>
              <w:spacing w:before="0" w:after="60" w:line="240" w:lineRule="auto"/>
              <w:jc w:val="center"/>
              <w:rPr>
                <w:b/>
              </w:rPr>
            </w:pPr>
            <w:r w:rsidRPr="00901477">
              <w:rPr>
                <w:b/>
              </w:rPr>
              <w:t>44,770</w:t>
            </w:r>
          </w:p>
        </w:tc>
        <w:tc>
          <w:tcPr>
            <w:tcW w:w="1052" w:type="dxa"/>
            <w:shd w:val="clear" w:color="auto" w:fill="B8CCE4" w:themeFill="accent1" w:themeFillTint="66"/>
            <w:vAlign w:val="center"/>
            <w:hideMark/>
          </w:tcPr>
          <w:p w14:paraId="0B65C10B" w14:textId="77777777" w:rsidR="005D61DD" w:rsidRPr="00901477" w:rsidRDefault="005D61DD" w:rsidP="00F2009E">
            <w:pPr>
              <w:spacing w:before="0" w:after="60" w:line="240" w:lineRule="auto"/>
              <w:jc w:val="center"/>
              <w:rPr>
                <w:b/>
              </w:rPr>
            </w:pPr>
            <w:r w:rsidRPr="00901477">
              <w:rPr>
                <w:b/>
              </w:rPr>
              <w:t>52,035</w:t>
            </w:r>
          </w:p>
        </w:tc>
        <w:tc>
          <w:tcPr>
            <w:tcW w:w="1052" w:type="dxa"/>
            <w:shd w:val="clear" w:color="auto" w:fill="B8CCE4" w:themeFill="accent1" w:themeFillTint="66"/>
            <w:vAlign w:val="center"/>
            <w:hideMark/>
          </w:tcPr>
          <w:p w14:paraId="59AB7978" w14:textId="77777777" w:rsidR="005D61DD" w:rsidRPr="00901477" w:rsidRDefault="005D61DD" w:rsidP="00F2009E">
            <w:pPr>
              <w:spacing w:before="0" w:after="60" w:line="240" w:lineRule="auto"/>
              <w:jc w:val="center"/>
              <w:rPr>
                <w:b/>
              </w:rPr>
            </w:pPr>
            <w:r w:rsidRPr="00901477">
              <w:rPr>
                <w:b/>
              </w:rPr>
              <w:t>58,932</w:t>
            </w:r>
          </w:p>
        </w:tc>
        <w:tc>
          <w:tcPr>
            <w:tcW w:w="1052" w:type="dxa"/>
            <w:shd w:val="clear" w:color="auto" w:fill="B8CCE4" w:themeFill="accent1" w:themeFillTint="66"/>
            <w:noWrap/>
            <w:vAlign w:val="center"/>
            <w:hideMark/>
          </w:tcPr>
          <w:p w14:paraId="225FCC75" w14:textId="77777777" w:rsidR="005D61DD" w:rsidRPr="00901477" w:rsidRDefault="005D61DD" w:rsidP="00F2009E">
            <w:pPr>
              <w:spacing w:before="0" w:after="60" w:line="240" w:lineRule="auto"/>
              <w:jc w:val="center"/>
              <w:rPr>
                <w:b/>
              </w:rPr>
            </w:pPr>
            <w:r w:rsidRPr="00901477">
              <w:rPr>
                <w:b/>
              </w:rPr>
              <w:t>68648</w:t>
            </w:r>
          </w:p>
        </w:tc>
        <w:tc>
          <w:tcPr>
            <w:tcW w:w="1053" w:type="dxa"/>
            <w:shd w:val="clear" w:color="auto" w:fill="B8CCE4" w:themeFill="accent1" w:themeFillTint="66"/>
            <w:noWrap/>
            <w:vAlign w:val="center"/>
            <w:hideMark/>
          </w:tcPr>
          <w:p w14:paraId="50337281" w14:textId="77777777" w:rsidR="005D61DD" w:rsidRPr="00901477" w:rsidRDefault="005D61DD" w:rsidP="00F2009E">
            <w:pPr>
              <w:spacing w:before="0" w:after="60" w:line="240" w:lineRule="auto"/>
              <w:jc w:val="center"/>
              <w:rPr>
                <w:b/>
              </w:rPr>
            </w:pPr>
            <w:r w:rsidRPr="00901477">
              <w:rPr>
                <w:b/>
              </w:rPr>
              <w:t>454,120</w:t>
            </w:r>
          </w:p>
        </w:tc>
        <w:tc>
          <w:tcPr>
            <w:tcW w:w="1184" w:type="dxa"/>
            <w:shd w:val="clear" w:color="auto" w:fill="B8CCE4" w:themeFill="accent1" w:themeFillTint="66"/>
            <w:noWrap/>
            <w:vAlign w:val="center"/>
            <w:hideMark/>
          </w:tcPr>
          <w:p w14:paraId="60BC9C13" w14:textId="77777777" w:rsidR="005D61DD" w:rsidRPr="00901477" w:rsidRDefault="005D61DD" w:rsidP="00F2009E">
            <w:pPr>
              <w:spacing w:before="0" w:after="60" w:line="240" w:lineRule="auto"/>
              <w:jc w:val="center"/>
              <w:rPr>
                <w:b/>
              </w:rPr>
            </w:pPr>
            <w:r w:rsidRPr="00901477">
              <w:rPr>
                <w:b/>
              </w:rPr>
              <w:t>84%</w:t>
            </w:r>
          </w:p>
        </w:tc>
      </w:tr>
    </w:tbl>
    <w:p w14:paraId="7A80933A" w14:textId="77777777" w:rsidR="00F2009E" w:rsidRDefault="00F2009E" w:rsidP="00B15586">
      <w:pPr>
        <w:sectPr w:rsidR="00F2009E" w:rsidSect="00BA154E">
          <w:pgSz w:w="16838" w:h="11906" w:orient="landscape"/>
          <w:pgMar w:top="1134" w:right="1134" w:bottom="284" w:left="1134" w:header="709" w:footer="283" w:gutter="0"/>
          <w:cols w:space="708"/>
          <w:docGrid w:linePitch="360"/>
        </w:sectPr>
      </w:pPr>
    </w:p>
    <w:p w14:paraId="76834141" w14:textId="594CE979" w:rsidR="005D61DD" w:rsidRDefault="00863988" w:rsidP="00863988">
      <w:pPr>
        <w:pStyle w:val="Figureheading"/>
      </w:pPr>
      <w:bookmarkStart w:id="67" w:name="_Toc382206715"/>
      <w:r>
        <w:lastRenderedPageBreak/>
        <w:t>1.16</w:t>
      </w:r>
      <w:r>
        <w:tab/>
      </w:r>
      <w:r w:rsidR="005D61DD">
        <w:t xml:space="preserve">Number of reports by year, by reporter group, by abuse type, </w:t>
      </w:r>
      <w:bookmarkEnd w:id="67"/>
      <w:r w:rsidR="005D61DD">
        <w:t xml:space="preserve">with percentage change </w:t>
      </w:r>
    </w:p>
    <w:tbl>
      <w:tblPr>
        <w:tblW w:w="14757" w:type="dxa"/>
        <w:tblInd w:w="93" w:type="dxa"/>
        <w:tblLayout w:type="fixed"/>
        <w:tblLook w:val="04A0" w:firstRow="1" w:lastRow="0" w:firstColumn="1" w:lastColumn="0" w:noHBand="0" w:noVBand="1"/>
      </w:tblPr>
      <w:tblGrid>
        <w:gridCol w:w="2221"/>
        <w:gridCol w:w="1126"/>
        <w:gridCol w:w="1126"/>
        <w:gridCol w:w="1126"/>
        <w:gridCol w:w="1126"/>
        <w:gridCol w:w="1126"/>
        <w:gridCol w:w="1126"/>
        <w:gridCol w:w="1126"/>
        <w:gridCol w:w="1126"/>
        <w:gridCol w:w="1126"/>
        <w:gridCol w:w="1127"/>
        <w:gridCol w:w="1275"/>
      </w:tblGrid>
      <w:tr w:rsidR="00AD1E2D" w:rsidRPr="005D61DD" w14:paraId="2FAF6B9B" w14:textId="77777777" w:rsidTr="00181ABA">
        <w:trPr>
          <w:trHeight w:val="324"/>
          <w:tblHeader/>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46B4670" w14:textId="77777777" w:rsidR="00AD1E2D" w:rsidRPr="005D61DD" w:rsidRDefault="00AD1E2D" w:rsidP="00CE2FDF">
            <w:pPr>
              <w:spacing w:before="0" w:line="276" w:lineRule="auto"/>
              <w:jc w:val="right"/>
              <w:rPr>
                <w:rFonts w:eastAsia="Times New Roman" w:cs="Arial"/>
                <w:b/>
                <w:bCs/>
                <w:sz w:val="20"/>
                <w:szCs w:val="20"/>
                <w:lang w:eastAsia="en-AU"/>
              </w:rPr>
            </w:pP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279F8D9"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2003</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5C4C8595"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2004</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7EAD7C6B"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2005</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608B0629"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2006</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5078454F"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2007</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3107CF8D"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2008</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13B224A0"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2009</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3433BDC8"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2010</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0046937"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2011</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45285E" w14:textId="77777777" w:rsidR="00AD1E2D" w:rsidRPr="005D61DD" w:rsidRDefault="00AD1E2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2012</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tcPr>
          <w:p w14:paraId="6C2A5944" w14:textId="77777777" w:rsidR="00AD1E2D" w:rsidRPr="005D61DD" w:rsidRDefault="00AC4C50"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 change</w:t>
            </w:r>
          </w:p>
        </w:tc>
      </w:tr>
      <w:tr w:rsidR="00FE57AD" w:rsidRPr="005D61DD" w14:paraId="561394E9" w14:textId="77777777" w:rsidTr="00C84E96">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77BFF458" w14:textId="77777777" w:rsidR="00FE57AD" w:rsidRPr="005D61DD" w:rsidRDefault="00FE57AD" w:rsidP="00CE2FDF">
            <w:pPr>
              <w:spacing w:before="0" w:line="276" w:lineRule="auto"/>
              <w:rPr>
                <w:rFonts w:eastAsia="Times New Roman" w:cs="Arial"/>
                <w:b/>
                <w:sz w:val="20"/>
                <w:szCs w:val="20"/>
                <w:lang w:eastAsia="en-AU"/>
              </w:rPr>
            </w:pPr>
            <w:r w:rsidRPr="005D61DD">
              <w:rPr>
                <w:rFonts w:eastAsia="Times New Roman" w:cs="Arial"/>
                <w:b/>
                <w:sz w:val="20"/>
                <w:szCs w:val="20"/>
                <w:lang w:eastAsia="en-AU"/>
              </w:rPr>
              <w:t>Emotional Abuse</w:t>
            </w:r>
          </w:p>
        </w:tc>
        <w:tc>
          <w:tcPr>
            <w:tcW w:w="1126" w:type="dxa"/>
            <w:tcBorders>
              <w:top w:val="single" w:sz="4" w:space="0" w:color="auto"/>
              <w:left w:val="nil"/>
              <w:bottom w:val="nil"/>
              <w:right w:val="nil"/>
            </w:tcBorders>
            <w:shd w:val="clear" w:color="auto" w:fill="auto"/>
            <w:noWrap/>
            <w:vAlign w:val="bottom"/>
            <w:hideMark/>
          </w:tcPr>
          <w:p w14:paraId="1A0DC869" w14:textId="77777777" w:rsidR="00FE57AD" w:rsidRPr="005D61DD" w:rsidRDefault="00FE57AD" w:rsidP="00CE2FDF">
            <w:pPr>
              <w:spacing w:before="0" w:line="276" w:lineRule="auto"/>
              <w:jc w:val="right"/>
              <w:rPr>
                <w:rFonts w:eastAsia="Times New Roman" w:cs="Arial"/>
                <w:sz w:val="20"/>
                <w:szCs w:val="20"/>
                <w:lang w:eastAsia="en-AU"/>
              </w:rPr>
            </w:pPr>
          </w:p>
        </w:tc>
        <w:tc>
          <w:tcPr>
            <w:tcW w:w="1126" w:type="dxa"/>
            <w:tcBorders>
              <w:top w:val="single" w:sz="4" w:space="0" w:color="auto"/>
              <w:left w:val="nil"/>
              <w:bottom w:val="nil"/>
              <w:right w:val="nil"/>
            </w:tcBorders>
            <w:shd w:val="clear" w:color="auto" w:fill="EAF1DD" w:themeFill="accent3" w:themeFillTint="33"/>
            <w:noWrap/>
            <w:vAlign w:val="bottom"/>
            <w:hideMark/>
          </w:tcPr>
          <w:p w14:paraId="1DCE221D" w14:textId="77777777" w:rsidR="00FE57AD" w:rsidRPr="005D61DD" w:rsidRDefault="00FE57AD" w:rsidP="00CE2FDF">
            <w:pPr>
              <w:spacing w:before="0" w:line="276" w:lineRule="auto"/>
              <w:jc w:val="right"/>
              <w:rPr>
                <w:rFonts w:eastAsia="Times New Roman" w:cs="Arial"/>
                <w:sz w:val="20"/>
                <w:szCs w:val="20"/>
                <w:lang w:eastAsia="en-AU"/>
              </w:rPr>
            </w:pPr>
          </w:p>
        </w:tc>
        <w:tc>
          <w:tcPr>
            <w:tcW w:w="1126" w:type="dxa"/>
            <w:tcBorders>
              <w:top w:val="single" w:sz="4" w:space="0" w:color="auto"/>
              <w:left w:val="nil"/>
              <w:bottom w:val="nil"/>
              <w:right w:val="nil"/>
            </w:tcBorders>
            <w:shd w:val="clear" w:color="auto" w:fill="auto"/>
            <w:noWrap/>
            <w:vAlign w:val="bottom"/>
            <w:hideMark/>
          </w:tcPr>
          <w:p w14:paraId="07FF6E55" w14:textId="77777777" w:rsidR="00FE57AD" w:rsidRPr="005D61DD" w:rsidRDefault="00FE57AD" w:rsidP="00CE2FDF">
            <w:pPr>
              <w:spacing w:before="0" w:line="276" w:lineRule="auto"/>
              <w:jc w:val="right"/>
              <w:rPr>
                <w:rFonts w:eastAsia="Times New Roman" w:cs="Arial"/>
                <w:sz w:val="20"/>
                <w:szCs w:val="20"/>
                <w:lang w:eastAsia="en-AU"/>
              </w:rPr>
            </w:pPr>
          </w:p>
        </w:tc>
        <w:tc>
          <w:tcPr>
            <w:tcW w:w="1126" w:type="dxa"/>
            <w:tcBorders>
              <w:top w:val="single" w:sz="4" w:space="0" w:color="auto"/>
              <w:left w:val="nil"/>
              <w:bottom w:val="nil"/>
              <w:right w:val="nil"/>
            </w:tcBorders>
            <w:shd w:val="clear" w:color="auto" w:fill="EAF1DD" w:themeFill="accent3" w:themeFillTint="33"/>
            <w:noWrap/>
            <w:vAlign w:val="bottom"/>
            <w:hideMark/>
          </w:tcPr>
          <w:p w14:paraId="6D386467" w14:textId="77777777" w:rsidR="00FE57AD" w:rsidRPr="005D61DD" w:rsidRDefault="00FE57AD" w:rsidP="00CE2FDF">
            <w:pPr>
              <w:spacing w:before="0" w:line="276" w:lineRule="auto"/>
              <w:jc w:val="right"/>
              <w:rPr>
                <w:rFonts w:eastAsia="Times New Roman" w:cs="Arial"/>
                <w:sz w:val="20"/>
                <w:szCs w:val="20"/>
                <w:lang w:eastAsia="en-AU"/>
              </w:rPr>
            </w:pPr>
          </w:p>
        </w:tc>
        <w:tc>
          <w:tcPr>
            <w:tcW w:w="1126" w:type="dxa"/>
            <w:tcBorders>
              <w:top w:val="single" w:sz="4" w:space="0" w:color="auto"/>
              <w:left w:val="nil"/>
              <w:bottom w:val="nil"/>
              <w:right w:val="nil"/>
            </w:tcBorders>
            <w:shd w:val="clear" w:color="auto" w:fill="auto"/>
            <w:noWrap/>
            <w:vAlign w:val="bottom"/>
            <w:hideMark/>
          </w:tcPr>
          <w:p w14:paraId="2770C618" w14:textId="77777777" w:rsidR="00FE57AD" w:rsidRPr="005D61DD" w:rsidRDefault="00FE57AD" w:rsidP="00CE2FDF">
            <w:pPr>
              <w:spacing w:before="0" w:line="276" w:lineRule="auto"/>
              <w:jc w:val="right"/>
              <w:rPr>
                <w:rFonts w:eastAsia="Times New Roman" w:cs="Arial"/>
                <w:sz w:val="20"/>
                <w:szCs w:val="20"/>
                <w:lang w:eastAsia="en-AU"/>
              </w:rPr>
            </w:pPr>
          </w:p>
        </w:tc>
        <w:tc>
          <w:tcPr>
            <w:tcW w:w="1126" w:type="dxa"/>
            <w:tcBorders>
              <w:top w:val="single" w:sz="4" w:space="0" w:color="auto"/>
              <w:left w:val="nil"/>
              <w:bottom w:val="nil"/>
              <w:right w:val="nil"/>
            </w:tcBorders>
            <w:shd w:val="clear" w:color="auto" w:fill="EAF1DD" w:themeFill="accent3" w:themeFillTint="33"/>
            <w:noWrap/>
            <w:vAlign w:val="bottom"/>
            <w:hideMark/>
          </w:tcPr>
          <w:p w14:paraId="2C6C582B" w14:textId="77777777" w:rsidR="00FE57AD" w:rsidRPr="005D61DD" w:rsidRDefault="00FE57AD" w:rsidP="00CE2FDF">
            <w:pPr>
              <w:spacing w:before="0" w:line="276" w:lineRule="auto"/>
              <w:jc w:val="right"/>
              <w:rPr>
                <w:rFonts w:eastAsia="Times New Roman" w:cs="Arial"/>
                <w:sz w:val="20"/>
                <w:szCs w:val="20"/>
                <w:lang w:eastAsia="en-AU"/>
              </w:rPr>
            </w:pPr>
          </w:p>
        </w:tc>
        <w:tc>
          <w:tcPr>
            <w:tcW w:w="1126" w:type="dxa"/>
            <w:tcBorders>
              <w:top w:val="single" w:sz="4" w:space="0" w:color="auto"/>
              <w:left w:val="nil"/>
              <w:bottom w:val="nil"/>
              <w:right w:val="nil"/>
            </w:tcBorders>
            <w:shd w:val="clear" w:color="auto" w:fill="auto"/>
            <w:noWrap/>
            <w:vAlign w:val="bottom"/>
            <w:hideMark/>
          </w:tcPr>
          <w:p w14:paraId="537F2E1B" w14:textId="77777777" w:rsidR="00FE57AD" w:rsidRPr="005D61DD" w:rsidRDefault="00FE57AD" w:rsidP="00CE2FDF">
            <w:pPr>
              <w:spacing w:before="0" w:line="276" w:lineRule="auto"/>
              <w:jc w:val="right"/>
              <w:rPr>
                <w:rFonts w:eastAsia="Times New Roman" w:cs="Arial"/>
                <w:sz w:val="20"/>
                <w:szCs w:val="20"/>
                <w:lang w:eastAsia="en-AU"/>
              </w:rPr>
            </w:pPr>
          </w:p>
        </w:tc>
        <w:tc>
          <w:tcPr>
            <w:tcW w:w="1126" w:type="dxa"/>
            <w:tcBorders>
              <w:top w:val="single" w:sz="4" w:space="0" w:color="auto"/>
              <w:left w:val="nil"/>
              <w:bottom w:val="nil"/>
              <w:right w:val="nil"/>
            </w:tcBorders>
            <w:shd w:val="clear" w:color="auto" w:fill="EAF1DD" w:themeFill="accent3" w:themeFillTint="33"/>
            <w:noWrap/>
            <w:vAlign w:val="bottom"/>
            <w:hideMark/>
          </w:tcPr>
          <w:p w14:paraId="51189C65" w14:textId="77777777" w:rsidR="00FE57AD" w:rsidRPr="005D61DD" w:rsidRDefault="00FE57AD" w:rsidP="00CE2FDF">
            <w:pPr>
              <w:spacing w:before="0" w:line="276" w:lineRule="auto"/>
              <w:jc w:val="right"/>
              <w:rPr>
                <w:rFonts w:eastAsia="Times New Roman" w:cs="Arial"/>
                <w:sz w:val="20"/>
                <w:szCs w:val="20"/>
                <w:lang w:eastAsia="en-AU"/>
              </w:rPr>
            </w:pPr>
          </w:p>
        </w:tc>
        <w:tc>
          <w:tcPr>
            <w:tcW w:w="1126" w:type="dxa"/>
            <w:tcBorders>
              <w:top w:val="single" w:sz="4" w:space="0" w:color="auto"/>
              <w:left w:val="nil"/>
              <w:bottom w:val="nil"/>
              <w:right w:val="nil"/>
            </w:tcBorders>
            <w:shd w:val="clear" w:color="auto" w:fill="auto"/>
            <w:noWrap/>
            <w:vAlign w:val="bottom"/>
            <w:hideMark/>
          </w:tcPr>
          <w:p w14:paraId="3834BFAF" w14:textId="77777777" w:rsidR="00FE57AD" w:rsidRPr="005D61DD" w:rsidRDefault="00FE57AD" w:rsidP="00CE2FDF">
            <w:pPr>
              <w:spacing w:before="0" w:line="276" w:lineRule="auto"/>
              <w:jc w:val="right"/>
              <w:rPr>
                <w:rFonts w:eastAsia="Times New Roman" w:cs="Arial"/>
                <w:sz w:val="20"/>
                <w:szCs w:val="20"/>
                <w:lang w:eastAsia="en-AU"/>
              </w:rPr>
            </w:pPr>
          </w:p>
        </w:tc>
        <w:tc>
          <w:tcPr>
            <w:tcW w:w="1127" w:type="dxa"/>
            <w:tcBorders>
              <w:top w:val="single" w:sz="4" w:space="0" w:color="auto"/>
              <w:left w:val="nil"/>
              <w:bottom w:val="nil"/>
              <w:right w:val="single" w:sz="4" w:space="0" w:color="auto"/>
            </w:tcBorders>
            <w:shd w:val="clear" w:color="auto" w:fill="EAF1DD" w:themeFill="accent3" w:themeFillTint="33"/>
            <w:noWrap/>
            <w:vAlign w:val="bottom"/>
            <w:hideMark/>
          </w:tcPr>
          <w:p w14:paraId="5AAA731D" w14:textId="77777777" w:rsidR="00FE57AD" w:rsidRPr="005D61DD" w:rsidRDefault="00FE57AD" w:rsidP="00CE2FDF">
            <w:pPr>
              <w:spacing w:before="0" w:line="276" w:lineRule="auto"/>
              <w:jc w:val="right"/>
              <w:rPr>
                <w:rFonts w:eastAsia="Times New Roman" w:cs="Arial"/>
                <w:sz w:val="20"/>
                <w:szCs w:val="20"/>
                <w:lang w:eastAsia="en-AU"/>
              </w:rPr>
            </w:pPr>
          </w:p>
        </w:tc>
        <w:tc>
          <w:tcPr>
            <w:tcW w:w="1275" w:type="dxa"/>
            <w:tcBorders>
              <w:top w:val="single" w:sz="4" w:space="0" w:color="auto"/>
              <w:left w:val="nil"/>
              <w:bottom w:val="nil"/>
              <w:right w:val="single" w:sz="4" w:space="0" w:color="auto"/>
            </w:tcBorders>
            <w:shd w:val="clear" w:color="auto" w:fill="auto"/>
          </w:tcPr>
          <w:p w14:paraId="580F17DE" w14:textId="77777777" w:rsidR="00FE57AD" w:rsidRPr="005D61DD" w:rsidRDefault="00FE57AD" w:rsidP="00CE2FDF">
            <w:pPr>
              <w:spacing w:before="0" w:line="276" w:lineRule="auto"/>
              <w:jc w:val="right"/>
              <w:rPr>
                <w:rFonts w:eastAsia="Times New Roman" w:cs="Arial"/>
                <w:b/>
                <w:sz w:val="20"/>
                <w:szCs w:val="20"/>
                <w:lang w:eastAsia="en-AU"/>
              </w:rPr>
            </w:pPr>
          </w:p>
        </w:tc>
      </w:tr>
      <w:tr w:rsidR="00A42FBC" w:rsidRPr="005D61DD" w14:paraId="6D3E3247" w14:textId="77777777" w:rsidTr="00A42FBC">
        <w:trPr>
          <w:trHeight w:val="204"/>
        </w:trPr>
        <w:tc>
          <w:tcPr>
            <w:tcW w:w="2221" w:type="dxa"/>
            <w:tcBorders>
              <w:top w:val="nil"/>
              <w:left w:val="single" w:sz="4" w:space="0" w:color="auto"/>
              <w:bottom w:val="nil"/>
              <w:right w:val="nil"/>
            </w:tcBorders>
            <w:shd w:val="clear" w:color="auto" w:fill="EAF1DD" w:themeFill="accent3" w:themeFillTint="33"/>
            <w:noWrap/>
            <w:hideMark/>
          </w:tcPr>
          <w:p w14:paraId="484492C0"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Doctors</w:t>
            </w:r>
          </w:p>
        </w:tc>
        <w:tc>
          <w:tcPr>
            <w:tcW w:w="1126" w:type="dxa"/>
            <w:tcBorders>
              <w:top w:val="nil"/>
              <w:left w:val="nil"/>
              <w:bottom w:val="nil"/>
              <w:right w:val="nil"/>
            </w:tcBorders>
            <w:shd w:val="clear" w:color="auto" w:fill="auto"/>
            <w:noWrap/>
            <w:vAlign w:val="center"/>
          </w:tcPr>
          <w:p w14:paraId="09BE9D0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207</w:t>
            </w:r>
          </w:p>
        </w:tc>
        <w:tc>
          <w:tcPr>
            <w:tcW w:w="1126" w:type="dxa"/>
            <w:tcBorders>
              <w:top w:val="nil"/>
              <w:left w:val="nil"/>
              <w:bottom w:val="nil"/>
              <w:right w:val="nil"/>
            </w:tcBorders>
            <w:shd w:val="clear" w:color="auto" w:fill="EAF1DD" w:themeFill="accent3" w:themeFillTint="33"/>
            <w:noWrap/>
            <w:vAlign w:val="center"/>
          </w:tcPr>
          <w:p w14:paraId="7099ED4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218</w:t>
            </w:r>
          </w:p>
        </w:tc>
        <w:tc>
          <w:tcPr>
            <w:tcW w:w="1126" w:type="dxa"/>
            <w:tcBorders>
              <w:top w:val="nil"/>
              <w:left w:val="nil"/>
              <w:bottom w:val="nil"/>
              <w:right w:val="nil"/>
            </w:tcBorders>
            <w:shd w:val="clear" w:color="auto" w:fill="auto"/>
            <w:noWrap/>
            <w:vAlign w:val="center"/>
          </w:tcPr>
          <w:p w14:paraId="5C2FB1C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225</w:t>
            </w:r>
          </w:p>
        </w:tc>
        <w:tc>
          <w:tcPr>
            <w:tcW w:w="1126" w:type="dxa"/>
            <w:tcBorders>
              <w:top w:val="nil"/>
              <w:left w:val="nil"/>
              <w:bottom w:val="nil"/>
              <w:right w:val="nil"/>
            </w:tcBorders>
            <w:shd w:val="clear" w:color="auto" w:fill="EAF1DD" w:themeFill="accent3" w:themeFillTint="33"/>
            <w:noWrap/>
            <w:vAlign w:val="center"/>
          </w:tcPr>
          <w:p w14:paraId="2CC4E19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207</w:t>
            </w:r>
          </w:p>
        </w:tc>
        <w:tc>
          <w:tcPr>
            <w:tcW w:w="1126" w:type="dxa"/>
            <w:tcBorders>
              <w:top w:val="nil"/>
              <w:left w:val="nil"/>
              <w:bottom w:val="nil"/>
              <w:right w:val="nil"/>
            </w:tcBorders>
            <w:shd w:val="clear" w:color="auto" w:fill="auto"/>
            <w:noWrap/>
            <w:vAlign w:val="center"/>
          </w:tcPr>
          <w:p w14:paraId="180E0DD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143</w:t>
            </w:r>
          </w:p>
        </w:tc>
        <w:tc>
          <w:tcPr>
            <w:tcW w:w="1126" w:type="dxa"/>
            <w:tcBorders>
              <w:top w:val="nil"/>
              <w:left w:val="nil"/>
              <w:bottom w:val="nil"/>
              <w:right w:val="nil"/>
            </w:tcBorders>
            <w:shd w:val="clear" w:color="auto" w:fill="EAF1DD" w:themeFill="accent3" w:themeFillTint="33"/>
            <w:noWrap/>
            <w:vAlign w:val="center"/>
          </w:tcPr>
          <w:p w14:paraId="6E365B6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198</w:t>
            </w:r>
          </w:p>
        </w:tc>
        <w:tc>
          <w:tcPr>
            <w:tcW w:w="1126" w:type="dxa"/>
            <w:tcBorders>
              <w:top w:val="nil"/>
              <w:left w:val="nil"/>
              <w:bottom w:val="nil"/>
              <w:right w:val="nil"/>
            </w:tcBorders>
            <w:shd w:val="clear" w:color="auto" w:fill="auto"/>
            <w:noWrap/>
            <w:vAlign w:val="center"/>
          </w:tcPr>
          <w:p w14:paraId="365D7E3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310</w:t>
            </w:r>
          </w:p>
        </w:tc>
        <w:tc>
          <w:tcPr>
            <w:tcW w:w="1126" w:type="dxa"/>
            <w:tcBorders>
              <w:top w:val="nil"/>
              <w:left w:val="nil"/>
              <w:bottom w:val="nil"/>
              <w:right w:val="nil"/>
            </w:tcBorders>
            <w:shd w:val="clear" w:color="auto" w:fill="EAF1DD" w:themeFill="accent3" w:themeFillTint="33"/>
            <w:noWrap/>
            <w:vAlign w:val="center"/>
          </w:tcPr>
          <w:p w14:paraId="3BC10C3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320</w:t>
            </w:r>
          </w:p>
        </w:tc>
        <w:tc>
          <w:tcPr>
            <w:tcW w:w="1126" w:type="dxa"/>
            <w:tcBorders>
              <w:top w:val="nil"/>
              <w:left w:val="nil"/>
              <w:bottom w:val="nil"/>
              <w:right w:val="nil"/>
            </w:tcBorders>
            <w:shd w:val="clear" w:color="auto" w:fill="auto"/>
            <w:noWrap/>
            <w:vAlign w:val="center"/>
          </w:tcPr>
          <w:p w14:paraId="77FF090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373</w:t>
            </w:r>
          </w:p>
        </w:tc>
        <w:tc>
          <w:tcPr>
            <w:tcW w:w="1127" w:type="dxa"/>
            <w:tcBorders>
              <w:top w:val="nil"/>
              <w:left w:val="nil"/>
              <w:bottom w:val="nil"/>
              <w:right w:val="single" w:sz="4" w:space="0" w:color="auto"/>
            </w:tcBorders>
            <w:shd w:val="clear" w:color="auto" w:fill="EAF1DD" w:themeFill="accent3" w:themeFillTint="33"/>
            <w:noWrap/>
            <w:vAlign w:val="center"/>
          </w:tcPr>
          <w:p w14:paraId="0E092F7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452</w:t>
            </w:r>
          </w:p>
        </w:tc>
        <w:tc>
          <w:tcPr>
            <w:tcW w:w="1275" w:type="dxa"/>
            <w:tcBorders>
              <w:top w:val="nil"/>
              <w:left w:val="nil"/>
              <w:bottom w:val="nil"/>
              <w:right w:val="single" w:sz="4" w:space="0" w:color="auto"/>
            </w:tcBorders>
            <w:shd w:val="clear" w:color="auto" w:fill="auto"/>
            <w:vAlign w:val="center"/>
          </w:tcPr>
          <w:p w14:paraId="116F1325"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118%</w:t>
            </w:r>
          </w:p>
        </w:tc>
      </w:tr>
      <w:tr w:rsidR="00A42FBC" w:rsidRPr="005D61DD" w14:paraId="4A1B91FA" w14:textId="77777777" w:rsidTr="00A42FBC">
        <w:trPr>
          <w:trHeight w:val="204"/>
        </w:trPr>
        <w:tc>
          <w:tcPr>
            <w:tcW w:w="2221" w:type="dxa"/>
            <w:tcBorders>
              <w:top w:val="nil"/>
              <w:left w:val="single" w:sz="4" w:space="0" w:color="auto"/>
              <w:bottom w:val="nil"/>
              <w:right w:val="nil"/>
            </w:tcBorders>
            <w:shd w:val="clear" w:color="auto" w:fill="EAF1DD" w:themeFill="accent3" w:themeFillTint="33"/>
            <w:noWrap/>
            <w:hideMark/>
          </w:tcPr>
          <w:p w14:paraId="061BC4B5"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Nurses</w:t>
            </w:r>
          </w:p>
        </w:tc>
        <w:tc>
          <w:tcPr>
            <w:tcW w:w="1126" w:type="dxa"/>
            <w:tcBorders>
              <w:top w:val="nil"/>
              <w:left w:val="nil"/>
              <w:bottom w:val="nil"/>
              <w:right w:val="nil"/>
            </w:tcBorders>
            <w:shd w:val="clear" w:color="auto" w:fill="auto"/>
            <w:noWrap/>
            <w:vAlign w:val="center"/>
          </w:tcPr>
          <w:p w14:paraId="7256116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571</w:t>
            </w:r>
          </w:p>
        </w:tc>
        <w:tc>
          <w:tcPr>
            <w:tcW w:w="1126" w:type="dxa"/>
            <w:tcBorders>
              <w:top w:val="nil"/>
              <w:left w:val="nil"/>
              <w:bottom w:val="nil"/>
              <w:right w:val="nil"/>
            </w:tcBorders>
            <w:shd w:val="clear" w:color="auto" w:fill="EAF1DD" w:themeFill="accent3" w:themeFillTint="33"/>
            <w:noWrap/>
            <w:vAlign w:val="center"/>
          </w:tcPr>
          <w:p w14:paraId="6AE7228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641</w:t>
            </w:r>
          </w:p>
        </w:tc>
        <w:tc>
          <w:tcPr>
            <w:tcW w:w="1126" w:type="dxa"/>
            <w:tcBorders>
              <w:top w:val="nil"/>
              <w:left w:val="nil"/>
              <w:bottom w:val="nil"/>
              <w:right w:val="nil"/>
            </w:tcBorders>
            <w:shd w:val="clear" w:color="auto" w:fill="auto"/>
            <w:noWrap/>
            <w:vAlign w:val="center"/>
          </w:tcPr>
          <w:p w14:paraId="40240A7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673</w:t>
            </w:r>
          </w:p>
        </w:tc>
        <w:tc>
          <w:tcPr>
            <w:tcW w:w="1126" w:type="dxa"/>
            <w:tcBorders>
              <w:top w:val="nil"/>
              <w:left w:val="nil"/>
              <w:bottom w:val="nil"/>
              <w:right w:val="nil"/>
            </w:tcBorders>
            <w:shd w:val="clear" w:color="auto" w:fill="EAF1DD" w:themeFill="accent3" w:themeFillTint="33"/>
            <w:noWrap/>
            <w:vAlign w:val="center"/>
          </w:tcPr>
          <w:p w14:paraId="41B2D32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698</w:t>
            </w:r>
          </w:p>
        </w:tc>
        <w:tc>
          <w:tcPr>
            <w:tcW w:w="1126" w:type="dxa"/>
            <w:tcBorders>
              <w:top w:val="nil"/>
              <w:left w:val="nil"/>
              <w:bottom w:val="nil"/>
              <w:right w:val="nil"/>
            </w:tcBorders>
            <w:shd w:val="clear" w:color="auto" w:fill="auto"/>
            <w:noWrap/>
            <w:vAlign w:val="center"/>
          </w:tcPr>
          <w:p w14:paraId="045B10B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329</w:t>
            </w:r>
          </w:p>
        </w:tc>
        <w:tc>
          <w:tcPr>
            <w:tcW w:w="1126" w:type="dxa"/>
            <w:tcBorders>
              <w:top w:val="nil"/>
              <w:left w:val="nil"/>
              <w:bottom w:val="nil"/>
              <w:right w:val="nil"/>
            </w:tcBorders>
            <w:shd w:val="clear" w:color="auto" w:fill="EAF1DD" w:themeFill="accent3" w:themeFillTint="33"/>
            <w:noWrap/>
            <w:vAlign w:val="center"/>
          </w:tcPr>
          <w:p w14:paraId="349C903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525</w:t>
            </w:r>
          </w:p>
        </w:tc>
        <w:tc>
          <w:tcPr>
            <w:tcW w:w="1126" w:type="dxa"/>
            <w:tcBorders>
              <w:top w:val="nil"/>
              <w:left w:val="nil"/>
              <w:bottom w:val="nil"/>
              <w:right w:val="nil"/>
            </w:tcBorders>
            <w:shd w:val="clear" w:color="auto" w:fill="auto"/>
            <w:noWrap/>
            <w:vAlign w:val="center"/>
          </w:tcPr>
          <w:p w14:paraId="7554C0F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529</w:t>
            </w:r>
          </w:p>
        </w:tc>
        <w:tc>
          <w:tcPr>
            <w:tcW w:w="1126" w:type="dxa"/>
            <w:tcBorders>
              <w:top w:val="nil"/>
              <w:left w:val="nil"/>
              <w:bottom w:val="nil"/>
              <w:right w:val="nil"/>
            </w:tcBorders>
            <w:shd w:val="clear" w:color="auto" w:fill="EAF1DD" w:themeFill="accent3" w:themeFillTint="33"/>
            <w:noWrap/>
            <w:vAlign w:val="center"/>
          </w:tcPr>
          <w:p w14:paraId="4F7B34F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706</w:t>
            </w:r>
          </w:p>
        </w:tc>
        <w:tc>
          <w:tcPr>
            <w:tcW w:w="1126" w:type="dxa"/>
            <w:tcBorders>
              <w:top w:val="nil"/>
              <w:left w:val="nil"/>
              <w:bottom w:val="nil"/>
              <w:right w:val="nil"/>
            </w:tcBorders>
            <w:shd w:val="clear" w:color="auto" w:fill="auto"/>
            <w:noWrap/>
            <w:vAlign w:val="center"/>
          </w:tcPr>
          <w:p w14:paraId="44ABF05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936</w:t>
            </w:r>
          </w:p>
        </w:tc>
        <w:tc>
          <w:tcPr>
            <w:tcW w:w="1127" w:type="dxa"/>
            <w:tcBorders>
              <w:top w:val="nil"/>
              <w:left w:val="nil"/>
              <w:bottom w:val="nil"/>
              <w:right w:val="single" w:sz="4" w:space="0" w:color="auto"/>
            </w:tcBorders>
            <w:shd w:val="clear" w:color="auto" w:fill="EAF1DD" w:themeFill="accent3" w:themeFillTint="33"/>
            <w:noWrap/>
            <w:vAlign w:val="center"/>
          </w:tcPr>
          <w:p w14:paraId="132F7F0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1,214</w:t>
            </w:r>
          </w:p>
        </w:tc>
        <w:tc>
          <w:tcPr>
            <w:tcW w:w="1275" w:type="dxa"/>
            <w:tcBorders>
              <w:top w:val="nil"/>
              <w:left w:val="nil"/>
              <w:bottom w:val="nil"/>
              <w:right w:val="single" w:sz="4" w:space="0" w:color="auto"/>
            </w:tcBorders>
            <w:shd w:val="clear" w:color="auto" w:fill="auto"/>
            <w:vAlign w:val="center"/>
          </w:tcPr>
          <w:p w14:paraId="20286E48"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113%</w:t>
            </w:r>
          </w:p>
        </w:tc>
      </w:tr>
      <w:tr w:rsidR="00A42FBC" w:rsidRPr="005D61DD" w14:paraId="5C215F1F" w14:textId="77777777" w:rsidTr="00A42FBC">
        <w:trPr>
          <w:trHeight w:val="204"/>
        </w:trPr>
        <w:tc>
          <w:tcPr>
            <w:tcW w:w="2221" w:type="dxa"/>
            <w:tcBorders>
              <w:top w:val="nil"/>
              <w:left w:val="single" w:sz="4" w:space="0" w:color="auto"/>
              <w:bottom w:val="nil"/>
              <w:right w:val="nil"/>
            </w:tcBorders>
            <w:shd w:val="clear" w:color="auto" w:fill="EAF1DD" w:themeFill="accent3" w:themeFillTint="33"/>
            <w:noWrap/>
            <w:hideMark/>
          </w:tcPr>
          <w:p w14:paraId="1EBC0B26"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Police</w:t>
            </w:r>
          </w:p>
        </w:tc>
        <w:tc>
          <w:tcPr>
            <w:tcW w:w="1126" w:type="dxa"/>
            <w:tcBorders>
              <w:top w:val="nil"/>
              <w:left w:val="nil"/>
              <w:bottom w:val="nil"/>
              <w:right w:val="nil"/>
            </w:tcBorders>
            <w:shd w:val="clear" w:color="auto" w:fill="auto"/>
            <w:noWrap/>
            <w:vAlign w:val="center"/>
          </w:tcPr>
          <w:p w14:paraId="2F0476C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2,798</w:t>
            </w:r>
          </w:p>
        </w:tc>
        <w:tc>
          <w:tcPr>
            <w:tcW w:w="1126" w:type="dxa"/>
            <w:tcBorders>
              <w:top w:val="nil"/>
              <w:left w:val="nil"/>
              <w:bottom w:val="nil"/>
              <w:right w:val="nil"/>
            </w:tcBorders>
            <w:shd w:val="clear" w:color="auto" w:fill="EAF1DD" w:themeFill="accent3" w:themeFillTint="33"/>
            <w:noWrap/>
            <w:vAlign w:val="center"/>
          </w:tcPr>
          <w:p w14:paraId="594DEFE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2,858</w:t>
            </w:r>
          </w:p>
        </w:tc>
        <w:tc>
          <w:tcPr>
            <w:tcW w:w="1126" w:type="dxa"/>
            <w:tcBorders>
              <w:top w:val="nil"/>
              <w:left w:val="nil"/>
              <w:bottom w:val="nil"/>
              <w:right w:val="nil"/>
            </w:tcBorders>
            <w:shd w:val="clear" w:color="auto" w:fill="auto"/>
            <w:noWrap/>
            <w:vAlign w:val="center"/>
          </w:tcPr>
          <w:p w14:paraId="1DF89C6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3,319</w:t>
            </w:r>
          </w:p>
        </w:tc>
        <w:tc>
          <w:tcPr>
            <w:tcW w:w="1126" w:type="dxa"/>
            <w:tcBorders>
              <w:top w:val="nil"/>
              <w:left w:val="nil"/>
              <w:bottom w:val="nil"/>
              <w:right w:val="nil"/>
            </w:tcBorders>
            <w:shd w:val="clear" w:color="auto" w:fill="EAF1DD" w:themeFill="accent3" w:themeFillTint="33"/>
            <w:noWrap/>
            <w:vAlign w:val="center"/>
          </w:tcPr>
          <w:p w14:paraId="6594D31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3,695</w:t>
            </w:r>
          </w:p>
        </w:tc>
        <w:tc>
          <w:tcPr>
            <w:tcW w:w="1126" w:type="dxa"/>
            <w:tcBorders>
              <w:top w:val="nil"/>
              <w:left w:val="nil"/>
              <w:bottom w:val="nil"/>
              <w:right w:val="nil"/>
            </w:tcBorders>
            <w:shd w:val="clear" w:color="auto" w:fill="auto"/>
            <w:noWrap/>
            <w:vAlign w:val="center"/>
          </w:tcPr>
          <w:p w14:paraId="1972F1A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2,581</w:t>
            </w:r>
          </w:p>
        </w:tc>
        <w:tc>
          <w:tcPr>
            <w:tcW w:w="1126" w:type="dxa"/>
            <w:tcBorders>
              <w:top w:val="nil"/>
              <w:left w:val="nil"/>
              <w:bottom w:val="nil"/>
              <w:right w:val="nil"/>
            </w:tcBorders>
            <w:shd w:val="clear" w:color="auto" w:fill="EAF1DD" w:themeFill="accent3" w:themeFillTint="33"/>
            <w:noWrap/>
            <w:vAlign w:val="center"/>
          </w:tcPr>
          <w:p w14:paraId="69AC398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3,766</w:t>
            </w:r>
          </w:p>
        </w:tc>
        <w:tc>
          <w:tcPr>
            <w:tcW w:w="1126" w:type="dxa"/>
            <w:tcBorders>
              <w:top w:val="nil"/>
              <w:left w:val="nil"/>
              <w:bottom w:val="nil"/>
              <w:right w:val="nil"/>
            </w:tcBorders>
            <w:shd w:val="clear" w:color="auto" w:fill="auto"/>
            <w:noWrap/>
            <w:vAlign w:val="center"/>
          </w:tcPr>
          <w:p w14:paraId="0F28B96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5,958</w:t>
            </w:r>
          </w:p>
        </w:tc>
        <w:tc>
          <w:tcPr>
            <w:tcW w:w="1126" w:type="dxa"/>
            <w:tcBorders>
              <w:top w:val="nil"/>
              <w:left w:val="nil"/>
              <w:bottom w:val="nil"/>
              <w:right w:val="nil"/>
            </w:tcBorders>
            <w:shd w:val="clear" w:color="auto" w:fill="EAF1DD" w:themeFill="accent3" w:themeFillTint="33"/>
            <w:noWrap/>
            <w:vAlign w:val="center"/>
          </w:tcPr>
          <w:p w14:paraId="285E775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8,556</w:t>
            </w:r>
          </w:p>
        </w:tc>
        <w:tc>
          <w:tcPr>
            <w:tcW w:w="1126" w:type="dxa"/>
            <w:tcBorders>
              <w:top w:val="nil"/>
              <w:left w:val="nil"/>
              <w:bottom w:val="nil"/>
              <w:right w:val="nil"/>
            </w:tcBorders>
            <w:shd w:val="clear" w:color="auto" w:fill="auto"/>
            <w:noWrap/>
            <w:vAlign w:val="center"/>
          </w:tcPr>
          <w:p w14:paraId="4B144DC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10,450</w:t>
            </w:r>
          </w:p>
        </w:tc>
        <w:tc>
          <w:tcPr>
            <w:tcW w:w="1127" w:type="dxa"/>
            <w:tcBorders>
              <w:top w:val="nil"/>
              <w:left w:val="nil"/>
              <w:bottom w:val="nil"/>
              <w:right w:val="single" w:sz="4" w:space="0" w:color="auto"/>
            </w:tcBorders>
            <w:shd w:val="clear" w:color="auto" w:fill="EAF1DD" w:themeFill="accent3" w:themeFillTint="33"/>
            <w:noWrap/>
            <w:vAlign w:val="center"/>
          </w:tcPr>
          <w:p w14:paraId="64F8554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14,139</w:t>
            </w:r>
          </w:p>
        </w:tc>
        <w:tc>
          <w:tcPr>
            <w:tcW w:w="1275" w:type="dxa"/>
            <w:tcBorders>
              <w:top w:val="nil"/>
              <w:left w:val="nil"/>
              <w:bottom w:val="nil"/>
              <w:right w:val="single" w:sz="4" w:space="0" w:color="auto"/>
            </w:tcBorders>
            <w:shd w:val="clear" w:color="auto" w:fill="auto"/>
            <w:vAlign w:val="center"/>
          </w:tcPr>
          <w:p w14:paraId="25EBA4E3"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405%</w:t>
            </w:r>
          </w:p>
        </w:tc>
      </w:tr>
      <w:tr w:rsidR="00A42FBC" w:rsidRPr="005D61DD" w14:paraId="1A283B77" w14:textId="77777777" w:rsidTr="00A42FBC">
        <w:trPr>
          <w:trHeight w:val="204"/>
        </w:trPr>
        <w:tc>
          <w:tcPr>
            <w:tcW w:w="2221" w:type="dxa"/>
            <w:tcBorders>
              <w:top w:val="nil"/>
              <w:left w:val="single" w:sz="4" w:space="0" w:color="auto"/>
              <w:bottom w:val="nil"/>
              <w:right w:val="nil"/>
            </w:tcBorders>
            <w:shd w:val="clear" w:color="auto" w:fill="EAF1DD" w:themeFill="accent3" w:themeFillTint="33"/>
            <w:noWrap/>
            <w:hideMark/>
          </w:tcPr>
          <w:p w14:paraId="074B0D1E"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School personnel</w:t>
            </w:r>
          </w:p>
        </w:tc>
        <w:tc>
          <w:tcPr>
            <w:tcW w:w="1126" w:type="dxa"/>
            <w:tcBorders>
              <w:top w:val="nil"/>
              <w:left w:val="nil"/>
              <w:bottom w:val="nil"/>
              <w:right w:val="nil"/>
            </w:tcBorders>
            <w:shd w:val="clear" w:color="auto" w:fill="auto"/>
            <w:noWrap/>
            <w:vAlign w:val="center"/>
          </w:tcPr>
          <w:p w14:paraId="6542FE1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839</w:t>
            </w:r>
          </w:p>
        </w:tc>
        <w:tc>
          <w:tcPr>
            <w:tcW w:w="1126" w:type="dxa"/>
            <w:tcBorders>
              <w:top w:val="nil"/>
              <w:left w:val="nil"/>
              <w:bottom w:val="nil"/>
              <w:right w:val="nil"/>
            </w:tcBorders>
            <w:shd w:val="clear" w:color="auto" w:fill="EAF1DD" w:themeFill="accent3" w:themeFillTint="33"/>
            <w:noWrap/>
            <w:vAlign w:val="center"/>
          </w:tcPr>
          <w:p w14:paraId="561B333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696</w:t>
            </w:r>
          </w:p>
        </w:tc>
        <w:tc>
          <w:tcPr>
            <w:tcW w:w="1126" w:type="dxa"/>
            <w:tcBorders>
              <w:top w:val="nil"/>
              <w:left w:val="nil"/>
              <w:bottom w:val="nil"/>
              <w:right w:val="nil"/>
            </w:tcBorders>
            <w:shd w:val="clear" w:color="auto" w:fill="auto"/>
            <w:noWrap/>
            <w:vAlign w:val="center"/>
          </w:tcPr>
          <w:p w14:paraId="6C88A3E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791</w:t>
            </w:r>
          </w:p>
        </w:tc>
        <w:tc>
          <w:tcPr>
            <w:tcW w:w="1126" w:type="dxa"/>
            <w:tcBorders>
              <w:top w:val="nil"/>
              <w:left w:val="nil"/>
              <w:bottom w:val="nil"/>
              <w:right w:val="nil"/>
            </w:tcBorders>
            <w:shd w:val="clear" w:color="auto" w:fill="EAF1DD" w:themeFill="accent3" w:themeFillTint="33"/>
            <w:noWrap/>
            <w:vAlign w:val="center"/>
          </w:tcPr>
          <w:p w14:paraId="5105272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922</w:t>
            </w:r>
          </w:p>
        </w:tc>
        <w:tc>
          <w:tcPr>
            <w:tcW w:w="1126" w:type="dxa"/>
            <w:tcBorders>
              <w:top w:val="nil"/>
              <w:left w:val="nil"/>
              <w:bottom w:val="nil"/>
              <w:right w:val="nil"/>
            </w:tcBorders>
            <w:shd w:val="clear" w:color="auto" w:fill="auto"/>
            <w:noWrap/>
            <w:vAlign w:val="center"/>
          </w:tcPr>
          <w:p w14:paraId="4DBC6A79"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911</w:t>
            </w:r>
          </w:p>
        </w:tc>
        <w:tc>
          <w:tcPr>
            <w:tcW w:w="1126" w:type="dxa"/>
            <w:tcBorders>
              <w:top w:val="nil"/>
              <w:left w:val="nil"/>
              <w:bottom w:val="nil"/>
              <w:right w:val="nil"/>
            </w:tcBorders>
            <w:shd w:val="clear" w:color="auto" w:fill="EAF1DD" w:themeFill="accent3" w:themeFillTint="33"/>
            <w:noWrap/>
            <w:vAlign w:val="center"/>
          </w:tcPr>
          <w:p w14:paraId="504D733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1,731</w:t>
            </w:r>
          </w:p>
        </w:tc>
        <w:tc>
          <w:tcPr>
            <w:tcW w:w="1126" w:type="dxa"/>
            <w:tcBorders>
              <w:top w:val="nil"/>
              <w:left w:val="nil"/>
              <w:bottom w:val="nil"/>
              <w:right w:val="nil"/>
            </w:tcBorders>
            <w:shd w:val="clear" w:color="auto" w:fill="auto"/>
            <w:noWrap/>
            <w:vAlign w:val="center"/>
          </w:tcPr>
          <w:p w14:paraId="464A7F0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2,384</w:t>
            </w:r>
          </w:p>
        </w:tc>
        <w:tc>
          <w:tcPr>
            <w:tcW w:w="1126" w:type="dxa"/>
            <w:tcBorders>
              <w:top w:val="nil"/>
              <w:left w:val="nil"/>
              <w:bottom w:val="nil"/>
              <w:right w:val="nil"/>
            </w:tcBorders>
            <w:shd w:val="clear" w:color="auto" w:fill="EAF1DD" w:themeFill="accent3" w:themeFillTint="33"/>
            <w:noWrap/>
            <w:vAlign w:val="center"/>
          </w:tcPr>
          <w:p w14:paraId="32F79B7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2,871</w:t>
            </w:r>
          </w:p>
        </w:tc>
        <w:tc>
          <w:tcPr>
            <w:tcW w:w="1126" w:type="dxa"/>
            <w:tcBorders>
              <w:top w:val="nil"/>
              <w:left w:val="nil"/>
              <w:bottom w:val="nil"/>
              <w:right w:val="nil"/>
            </w:tcBorders>
            <w:shd w:val="clear" w:color="auto" w:fill="auto"/>
            <w:noWrap/>
            <w:vAlign w:val="center"/>
          </w:tcPr>
          <w:p w14:paraId="6013E3F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3,753</w:t>
            </w:r>
          </w:p>
        </w:tc>
        <w:tc>
          <w:tcPr>
            <w:tcW w:w="1127" w:type="dxa"/>
            <w:tcBorders>
              <w:top w:val="nil"/>
              <w:left w:val="nil"/>
              <w:bottom w:val="nil"/>
              <w:right w:val="single" w:sz="4" w:space="0" w:color="auto"/>
            </w:tcBorders>
            <w:shd w:val="clear" w:color="auto" w:fill="EAF1DD" w:themeFill="accent3" w:themeFillTint="33"/>
            <w:noWrap/>
            <w:vAlign w:val="center"/>
          </w:tcPr>
          <w:p w14:paraId="761E773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4,919</w:t>
            </w:r>
          </w:p>
        </w:tc>
        <w:tc>
          <w:tcPr>
            <w:tcW w:w="1275" w:type="dxa"/>
            <w:tcBorders>
              <w:top w:val="nil"/>
              <w:left w:val="nil"/>
              <w:bottom w:val="nil"/>
              <w:right w:val="single" w:sz="4" w:space="0" w:color="auto"/>
            </w:tcBorders>
            <w:shd w:val="clear" w:color="auto" w:fill="auto"/>
            <w:vAlign w:val="center"/>
          </w:tcPr>
          <w:p w14:paraId="09D0610F"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486%</w:t>
            </w:r>
          </w:p>
        </w:tc>
      </w:tr>
      <w:tr w:rsidR="00A42FBC" w:rsidRPr="005D61DD" w14:paraId="4425405C" w14:textId="77777777" w:rsidTr="00A42FBC">
        <w:trPr>
          <w:trHeight w:val="204"/>
        </w:trPr>
        <w:tc>
          <w:tcPr>
            <w:tcW w:w="2221" w:type="dxa"/>
            <w:tcBorders>
              <w:top w:val="nil"/>
              <w:left w:val="single" w:sz="4" w:space="0" w:color="auto"/>
              <w:bottom w:val="nil"/>
              <w:right w:val="nil"/>
            </w:tcBorders>
            <w:shd w:val="clear" w:color="auto" w:fill="EAF1DD" w:themeFill="accent3" w:themeFillTint="33"/>
            <w:noWrap/>
            <w:hideMark/>
          </w:tcPr>
          <w:p w14:paraId="147E14DB"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Psychiatrists</w:t>
            </w:r>
          </w:p>
        </w:tc>
        <w:tc>
          <w:tcPr>
            <w:tcW w:w="1126" w:type="dxa"/>
            <w:tcBorders>
              <w:top w:val="nil"/>
              <w:left w:val="nil"/>
              <w:bottom w:val="nil"/>
              <w:right w:val="nil"/>
            </w:tcBorders>
            <w:shd w:val="clear" w:color="auto" w:fill="auto"/>
            <w:noWrap/>
            <w:vAlign w:val="center"/>
          </w:tcPr>
          <w:p w14:paraId="43F2DA1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75</w:t>
            </w:r>
          </w:p>
        </w:tc>
        <w:tc>
          <w:tcPr>
            <w:tcW w:w="1126" w:type="dxa"/>
            <w:tcBorders>
              <w:top w:val="nil"/>
              <w:left w:val="nil"/>
              <w:bottom w:val="nil"/>
              <w:right w:val="nil"/>
            </w:tcBorders>
            <w:shd w:val="clear" w:color="auto" w:fill="EAF1DD" w:themeFill="accent3" w:themeFillTint="33"/>
            <w:noWrap/>
            <w:vAlign w:val="center"/>
          </w:tcPr>
          <w:p w14:paraId="56A6927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105</w:t>
            </w:r>
          </w:p>
        </w:tc>
        <w:tc>
          <w:tcPr>
            <w:tcW w:w="1126" w:type="dxa"/>
            <w:tcBorders>
              <w:top w:val="nil"/>
              <w:left w:val="nil"/>
              <w:bottom w:val="nil"/>
              <w:right w:val="nil"/>
            </w:tcBorders>
            <w:shd w:val="clear" w:color="auto" w:fill="auto"/>
            <w:noWrap/>
            <w:vAlign w:val="center"/>
          </w:tcPr>
          <w:p w14:paraId="4F4D590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61</w:t>
            </w:r>
          </w:p>
        </w:tc>
        <w:tc>
          <w:tcPr>
            <w:tcW w:w="1126" w:type="dxa"/>
            <w:tcBorders>
              <w:top w:val="nil"/>
              <w:left w:val="nil"/>
              <w:bottom w:val="nil"/>
              <w:right w:val="nil"/>
            </w:tcBorders>
            <w:shd w:val="clear" w:color="auto" w:fill="EAF1DD" w:themeFill="accent3" w:themeFillTint="33"/>
            <w:noWrap/>
            <w:vAlign w:val="center"/>
          </w:tcPr>
          <w:p w14:paraId="655C9F0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77</w:t>
            </w:r>
          </w:p>
        </w:tc>
        <w:tc>
          <w:tcPr>
            <w:tcW w:w="1126" w:type="dxa"/>
            <w:tcBorders>
              <w:top w:val="nil"/>
              <w:left w:val="nil"/>
              <w:bottom w:val="nil"/>
              <w:right w:val="nil"/>
            </w:tcBorders>
            <w:shd w:val="clear" w:color="auto" w:fill="auto"/>
            <w:noWrap/>
            <w:vAlign w:val="center"/>
          </w:tcPr>
          <w:p w14:paraId="2D4CDE2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38</w:t>
            </w:r>
          </w:p>
        </w:tc>
        <w:tc>
          <w:tcPr>
            <w:tcW w:w="1126" w:type="dxa"/>
            <w:tcBorders>
              <w:top w:val="nil"/>
              <w:left w:val="nil"/>
              <w:bottom w:val="nil"/>
              <w:right w:val="nil"/>
            </w:tcBorders>
            <w:shd w:val="clear" w:color="auto" w:fill="EAF1DD" w:themeFill="accent3" w:themeFillTint="33"/>
            <w:noWrap/>
            <w:vAlign w:val="center"/>
          </w:tcPr>
          <w:p w14:paraId="78F4450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70</w:t>
            </w:r>
          </w:p>
        </w:tc>
        <w:tc>
          <w:tcPr>
            <w:tcW w:w="1126" w:type="dxa"/>
            <w:tcBorders>
              <w:top w:val="nil"/>
              <w:left w:val="nil"/>
              <w:bottom w:val="nil"/>
              <w:right w:val="nil"/>
            </w:tcBorders>
            <w:shd w:val="clear" w:color="auto" w:fill="auto"/>
            <w:noWrap/>
            <w:vAlign w:val="center"/>
          </w:tcPr>
          <w:p w14:paraId="4E081D5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90</w:t>
            </w:r>
          </w:p>
        </w:tc>
        <w:tc>
          <w:tcPr>
            <w:tcW w:w="1126" w:type="dxa"/>
            <w:tcBorders>
              <w:top w:val="nil"/>
              <w:left w:val="nil"/>
              <w:bottom w:val="nil"/>
              <w:right w:val="nil"/>
            </w:tcBorders>
            <w:shd w:val="clear" w:color="auto" w:fill="EAF1DD" w:themeFill="accent3" w:themeFillTint="33"/>
            <w:noWrap/>
            <w:vAlign w:val="center"/>
          </w:tcPr>
          <w:p w14:paraId="285A74B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94</w:t>
            </w:r>
          </w:p>
        </w:tc>
        <w:tc>
          <w:tcPr>
            <w:tcW w:w="1126" w:type="dxa"/>
            <w:tcBorders>
              <w:top w:val="nil"/>
              <w:left w:val="nil"/>
              <w:bottom w:val="nil"/>
              <w:right w:val="nil"/>
            </w:tcBorders>
            <w:shd w:val="clear" w:color="auto" w:fill="auto"/>
            <w:noWrap/>
            <w:vAlign w:val="center"/>
          </w:tcPr>
          <w:p w14:paraId="313B54D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123</w:t>
            </w:r>
          </w:p>
        </w:tc>
        <w:tc>
          <w:tcPr>
            <w:tcW w:w="1127" w:type="dxa"/>
            <w:tcBorders>
              <w:top w:val="nil"/>
              <w:left w:val="nil"/>
              <w:bottom w:val="nil"/>
              <w:right w:val="single" w:sz="4" w:space="0" w:color="auto"/>
            </w:tcBorders>
            <w:shd w:val="clear" w:color="auto" w:fill="EAF1DD" w:themeFill="accent3" w:themeFillTint="33"/>
            <w:noWrap/>
            <w:vAlign w:val="center"/>
          </w:tcPr>
          <w:p w14:paraId="4C335C5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120</w:t>
            </w:r>
          </w:p>
        </w:tc>
        <w:tc>
          <w:tcPr>
            <w:tcW w:w="1275" w:type="dxa"/>
            <w:tcBorders>
              <w:top w:val="nil"/>
              <w:left w:val="nil"/>
              <w:bottom w:val="nil"/>
              <w:right w:val="single" w:sz="4" w:space="0" w:color="auto"/>
            </w:tcBorders>
            <w:shd w:val="clear" w:color="auto" w:fill="auto"/>
            <w:vAlign w:val="center"/>
          </w:tcPr>
          <w:p w14:paraId="696AE021"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60%</w:t>
            </w:r>
          </w:p>
        </w:tc>
      </w:tr>
      <w:tr w:rsidR="00A42FBC" w:rsidRPr="005D61DD" w14:paraId="2FE6DE98" w14:textId="77777777" w:rsidTr="00A42FBC">
        <w:trPr>
          <w:trHeight w:val="204"/>
        </w:trPr>
        <w:tc>
          <w:tcPr>
            <w:tcW w:w="2221" w:type="dxa"/>
            <w:tcBorders>
              <w:top w:val="nil"/>
              <w:left w:val="single" w:sz="4" w:space="0" w:color="auto"/>
              <w:bottom w:val="nil"/>
              <w:right w:val="nil"/>
            </w:tcBorders>
            <w:shd w:val="clear" w:color="auto" w:fill="EAF1DD" w:themeFill="accent3" w:themeFillTint="33"/>
            <w:noWrap/>
            <w:hideMark/>
          </w:tcPr>
          <w:p w14:paraId="6422D240"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Major mandated reporter groups combined</w:t>
            </w:r>
          </w:p>
        </w:tc>
        <w:tc>
          <w:tcPr>
            <w:tcW w:w="1126" w:type="dxa"/>
            <w:tcBorders>
              <w:top w:val="nil"/>
              <w:left w:val="nil"/>
              <w:bottom w:val="nil"/>
              <w:right w:val="nil"/>
            </w:tcBorders>
            <w:shd w:val="clear" w:color="auto" w:fill="auto"/>
            <w:noWrap/>
            <w:vAlign w:val="center"/>
          </w:tcPr>
          <w:p w14:paraId="26E8D05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4,490</w:t>
            </w:r>
          </w:p>
        </w:tc>
        <w:tc>
          <w:tcPr>
            <w:tcW w:w="1126" w:type="dxa"/>
            <w:tcBorders>
              <w:top w:val="nil"/>
              <w:left w:val="nil"/>
              <w:bottom w:val="nil"/>
              <w:right w:val="nil"/>
            </w:tcBorders>
            <w:shd w:val="clear" w:color="auto" w:fill="EAF1DD" w:themeFill="accent3" w:themeFillTint="33"/>
            <w:noWrap/>
            <w:vAlign w:val="center"/>
          </w:tcPr>
          <w:p w14:paraId="4C8E8E4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4,518</w:t>
            </w:r>
          </w:p>
        </w:tc>
        <w:tc>
          <w:tcPr>
            <w:tcW w:w="1126" w:type="dxa"/>
            <w:tcBorders>
              <w:top w:val="nil"/>
              <w:left w:val="nil"/>
              <w:bottom w:val="nil"/>
              <w:right w:val="nil"/>
            </w:tcBorders>
            <w:shd w:val="clear" w:color="auto" w:fill="auto"/>
            <w:noWrap/>
            <w:vAlign w:val="center"/>
          </w:tcPr>
          <w:p w14:paraId="13F5E5E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5,069</w:t>
            </w:r>
          </w:p>
        </w:tc>
        <w:tc>
          <w:tcPr>
            <w:tcW w:w="1126" w:type="dxa"/>
            <w:tcBorders>
              <w:top w:val="nil"/>
              <w:left w:val="nil"/>
              <w:bottom w:val="nil"/>
              <w:right w:val="nil"/>
            </w:tcBorders>
            <w:shd w:val="clear" w:color="auto" w:fill="EAF1DD" w:themeFill="accent3" w:themeFillTint="33"/>
            <w:noWrap/>
            <w:vAlign w:val="center"/>
          </w:tcPr>
          <w:p w14:paraId="5B80D4A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5,599</w:t>
            </w:r>
          </w:p>
        </w:tc>
        <w:tc>
          <w:tcPr>
            <w:tcW w:w="1126" w:type="dxa"/>
            <w:tcBorders>
              <w:top w:val="nil"/>
              <w:left w:val="nil"/>
              <w:bottom w:val="nil"/>
              <w:right w:val="nil"/>
            </w:tcBorders>
            <w:shd w:val="clear" w:color="auto" w:fill="auto"/>
            <w:noWrap/>
            <w:vAlign w:val="center"/>
          </w:tcPr>
          <w:p w14:paraId="786A3A4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4,002</w:t>
            </w:r>
          </w:p>
        </w:tc>
        <w:tc>
          <w:tcPr>
            <w:tcW w:w="1126" w:type="dxa"/>
            <w:tcBorders>
              <w:top w:val="nil"/>
              <w:left w:val="nil"/>
              <w:bottom w:val="nil"/>
              <w:right w:val="nil"/>
            </w:tcBorders>
            <w:shd w:val="clear" w:color="auto" w:fill="EAF1DD" w:themeFill="accent3" w:themeFillTint="33"/>
            <w:noWrap/>
            <w:vAlign w:val="center"/>
          </w:tcPr>
          <w:p w14:paraId="1E4A46B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6,290</w:t>
            </w:r>
          </w:p>
        </w:tc>
        <w:tc>
          <w:tcPr>
            <w:tcW w:w="1126" w:type="dxa"/>
            <w:tcBorders>
              <w:top w:val="nil"/>
              <w:left w:val="nil"/>
              <w:bottom w:val="nil"/>
              <w:right w:val="nil"/>
            </w:tcBorders>
            <w:shd w:val="clear" w:color="auto" w:fill="auto"/>
            <w:noWrap/>
            <w:vAlign w:val="center"/>
          </w:tcPr>
          <w:p w14:paraId="2288298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9,271</w:t>
            </w:r>
          </w:p>
        </w:tc>
        <w:tc>
          <w:tcPr>
            <w:tcW w:w="1126" w:type="dxa"/>
            <w:tcBorders>
              <w:top w:val="nil"/>
              <w:left w:val="nil"/>
              <w:bottom w:val="nil"/>
              <w:right w:val="nil"/>
            </w:tcBorders>
            <w:shd w:val="clear" w:color="auto" w:fill="EAF1DD" w:themeFill="accent3" w:themeFillTint="33"/>
            <w:noWrap/>
            <w:vAlign w:val="center"/>
          </w:tcPr>
          <w:p w14:paraId="5CAD353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12,547</w:t>
            </w:r>
          </w:p>
        </w:tc>
        <w:tc>
          <w:tcPr>
            <w:tcW w:w="1126" w:type="dxa"/>
            <w:tcBorders>
              <w:top w:val="nil"/>
              <w:left w:val="nil"/>
              <w:bottom w:val="nil"/>
              <w:right w:val="nil"/>
            </w:tcBorders>
            <w:shd w:val="clear" w:color="auto" w:fill="auto"/>
            <w:noWrap/>
            <w:vAlign w:val="center"/>
          </w:tcPr>
          <w:p w14:paraId="7BDE984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15,635</w:t>
            </w:r>
          </w:p>
        </w:tc>
        <w:tc>
          <w:tcPr>
            <w:tcW w:w="1127" w:type="dxa"/>
            <w:tcBorders>
              <w:top w:val="nil"/>
              <w:left w:val="nil"/>
              <w:bottom w:val="nil"/>
              <w:right w:val="single" w:sz="4" w:space="0" w:color="auto"/>
            </w:tcBorders>
            <w:shd w:val="clear" w:color="auto" w:fill="EAF1DD" w:themeFill="accent3" w:themeFillTint="33"/>
            <w:noWrap/>
            <w:vAlign w:val="center"/>
          </w:tcPr>
          <w:p w14:paraId="2583CE5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20,844</w:t>
            </w:r>
          </w:p>
        </w:tc>
        <w:tc>
          <w:tcPr>
            <w:tcW w:w="1275" w:type="dxa"/>
            <w:tcBorders>
              <w:top w:val="nil"/>
              <w:left w:val="nil"/>
              <w:bottom w:val="nil"/>
              <w:right w:val="single" w:sz="4" w:space="0" w:color="auto"/>
            </w:tcBorders>
            <w:shd w:val="clear" w:color="auto" w:fill="auto"/>
            <w:vAlign w:val="center"/>
          </w:tcPr>
          <w:p w14:paraId="4C8F48C0"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364%</w:t>
            </w:r>
          </w:p>
        </w:tc>
      </w:tr>
      <w:tr w:rsidR="00A42FBC" w:rsidRPr="005D61DD" w14:paraId="783537EC" w14:textId="77777777" w:rsidTr="00A42FBC">
        <w:trPr>
          <w:trHeight w:val="204"/>
        </w:trPr>
        <w:tc>
          <w:tcPr>
            <w:tcW w:w="2221" w:type="dxa"/>
            <w:tcBorders>
              <w:top w:val="nil"/>
              <w:left w:val="single" w:sz="4" w:space="0" w:color="auto"/>
              <w:bottom w:val="nil"/>
              <w:right w:val="nil"/>
            </w:tcBorders>
            <w:shd w:val="clear" w:color="auto" w:fill="EAF1DD" w:themeFill="accent3" w:themeFillTint="33"/>
            <w:noWrap/>
            <w:hideMark/>
          </w:tcPr>
          <w:p w14:paraId="46F635D3"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Other reporter groups combined</w:t>
            </w:r>
          </w:p>
        </w:tc>
        <w:tc>
          <w:tcPr>
            <w:tcW w:w="1126" w:type="dxa"/>
            <w:tcBorders>
              <w:top w:val="nil"/>
              <w:left w:val="nil"/>
              <w:bottom w:val="nil"/>
              <w:right w:val="nil"/>
            </w:tcBorders>
            <w:shd w:val="clear" w:color="auto" w:fill="auto"/>
            <w:noWrap/>
            <w:vAlign w:val="center"/>
          </w:tcPr>
          <w:p w14:paraId="6E7BB9D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7259</w:t>
            </w:r>
          </w:p>
        </w:tc>
        <w:tc>
          <w:tcPr>
            <w:tcW w:w="1126" w:type="dxa"/>
            <w:tcBorders>
              <w:top w:val="nil"/>
              <w:left w:val="nil"/>
              <w:bottom w:val="nil"/>
              <w:right w:val="nil"/>
            </w:tcBorders>
            <w:shd w:val="clear" w:color="auto" w:fill="EAF1DD" w:themeFill="accent3" w:themeFillTint="33"/>
            <w:noWrap/>
            <w:vAlign w:val="center"/>
          </w:tcPr>
          <w:p w14:paraId="1B9647C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7,100</w:t>
            </w:r>
          </w:p>
        </w:tc>
        <w:tc>
          <w:tcPr>
            <w:tcW w:w="1126" w:type="dxa"/>
            <w:tcBorders>
              <w:top w:val="nil"/>
              <w:left w:val="nil"/>
              <w:bottom w:val="nil"/>
              <w:right w:val="nil"/>
            </w:tcBorders>
            <w:shd w:val="clear" w:color="auto" w:fill="auto"/>
            <w:noWrap/>
            <w:vAlign w:val="center"/>
          </w:tcPr>
          <w:p w14:paraId="6F4D485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6,836</w:t>
            </w:r>
          </w:p>
        </w:tc>
        <w:tc>
          <w:tcPr>
            <w:tcW w:w="1126" w:type="dxa"/>
            <w:tcBorders>
              <w:top w:val="nil"/>
              <w:left w:val="nil"/>
              <w:bottom w:val="nil"/>
              <w:right w:val="nil"/>
            </w:tcBorders>
            <w:shd w:val="clear" w:color="auto" w:fill="EAF1DD" w:themeFill="accent3" w:themeFillTint="33"/>
            <w:noWrap/>
            <w:vAlign w:val="center"/>
          </w:tcPr>
          <w:p w14:paraId="02DCBBF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7,613</w:t>
            </w:r>
          </w:p>
        </w:tc>
        <w:tc>
          <w:tcPr>
            <w:tcW w:w="1126" w:type="dxa"/>
            <w:tcBorders>
              <w:top w:val="nil"/>
              <w:left w:val="nil"/>
              <w:bottom w:val="nil"/>
              <w:right w:val="nil"/>
            </w:tcBorders>
            <w:shd w:val="clear" w:color="auto" w:fill="auto"/>
            <w:noWrap/>
            <w:vAlign w:val="center"/>
          </w:tcPr>
          <w:p w14:paraId="69230F7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6,678</w:t>
            </w:r>
          </w:p>
        </w:tc>
        <w:tc>
          <w:tcPr>
            <w:tcW w:w="1126" w:type="dxa"/>
            <w:tcBorders>
              <w:top w:val="nil"/>
              <w:left w:val="nil"/>
              <w:bottom w:val="nil"/>
              <w:right w:val="nil"/>
            </w:tcBorders>
            <w:shd w:val="clear" w:color="auto" w:fill="EAF1DD" w:themeFill="accent3" w:themeFillTint="33"/>
            <w:noWrap/>
            <w:vAlign w:val="center"/>
          </w:tcPr>
          <w:p w14:paraId="0114952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9,791</w:t>
            </w:r>
          </w:p>
        </w:tc>
        <w:tc>
          <w:tcPr>
            <w:tcW w:w="1126" w:type="dxa"/>
            <w:tcBorders>
              <w:top w:val="nil"/>
              <w:left w:val="nil"/>
              <w:bottom w:val="nil"/>
              <w:right w:val="nil"/>
            </w:tcBorders>
            <w:shd w:val="clear" w:color="auto" w:fill="auto"/>
            <w:noWrap/>
            <w:vAlign w:val="center"/>
          </w:tcPr>
          <w:p w14:paraId="0DAA087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12,488</w:t>
            </w:r>
          </w:p>
        </w:tc>
        <w:tc>
          <w:tcPr>
            <w:tcW w:w="1126" w:type="dxa"/>
            <w:tcBorders>
              <w:top w:val="nil"/>
              <w:left w:val="nil"/>
              <w:bottom w:val="nil"/>
              <w:right w:val="nil"/>
            </w:tcBorders>
            <w:shd w:val="clear" w:color="auto" w:fill="EAF1DD" w:themeFill="accent3" w:themeFillTint="33"/>
            <w:noWrap/>
            <w:vAlign w:val="center"/>
          </w:tcPr>
          <w:p w14:paraId="4F1402F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13,793</w:t>
            </w:r>
          </w:p>
        </w:tc>
        <w:tc>
          <w:tcPr>
            <w:tcW w:w="1126" w:type="dxa"/>
            <w:tcBorders>
              <w:top w:val="nil"/>
              <w:left w:val="nil"/>
              <w:bottom w:val="nil"/>
              <w:right w:val="nil"/>
            </w:tcBorders>
            <w:shd w:val="clear" w:color="auto" w:fill="auto"/>
            <w:noWrap/>
            <w:vAlign w:val="center"/>
          </w:tcPr>
          <w:p w14:paraId="4DC2B07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17,368</w:t>
            </w:r>
          </w:p>
        </w:tc>
        <w:tc>
          <w:tcPr>
            <w:tcW w:w="1127" w:type="dxa"/>
            <w:tcBorders>
              <w:top w:val="nil"/>
              <w:left w:val="nil"/>
              <w:bottom w:val="nil"/>
              <w:right w:val="single" w:sz="4" w:space="0" w:color="auto"/>
            </w:tcBorders>
            <w:shd w:val="clear" w:color="auto" w:fill="EAF1DD" w:themeFill="accent3" w:themeFillTint="33"/>
            <w:noWrap/>
            <w:vAlign w:val="center"/>
          </w:tcPr>
          <w:p w14:paraId="40F952A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20,636</w:t>
            </w:r>
          </w:p>
        </w:tc>
        <w:tc>
          <w:tcPr>
            <w:tcW w:w="1275" w:type="dxa"/>
            <w:tcBorders>
              <w:top w:val="nil"/>
              <w:left w:val="nil"/>
              <w:bottom w:val="nil"/>
              <w:right w:val="single" w:sz="4" w:space="0" w:color="auto"/>
            </w:tcBorders>
            <w:shd w:val="clear" w:color="auto" w:fill="auto"/>
            <w:vAlign w:val="center"/>
          </w:tcPr>
          <w:p w14:paraId="37E57138"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184%</w:t>
            </w:r>
          </w:p>
        </w:tc>
      </w:tr>
      <w:tr w:rsidR="00A42FBC" w:rsidRPr="005D61DD" w14:paraId="15CE684E" w14:textId="77777777" w:rsidTr="00A42FBC">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2CAF5CFC" w14:textId="77777777" w:rsidR="00A42FBC" w:rsidRPr="005D61DD" w:rsidRDefault="00A42FBC" w:rsidP="00CE2FDF">
            <w:pPr>
              <w:spacing w:before="0" w:line="276" w:lineRule="auto"/>
              <w:rPr>
                <w:rFonts w:eastAsia="Times New Roman" w:cs="Arial"/>
                <w:b/>
                <w:sz w:val="20"/>
                <w:szCs w:val="20"/>
                <w:lang w:eastAsia="en-AU"/>
              </w:rPr>
            </w:pPr>
            <w:r w:rsidRPr="005D61DD">
              <w:rPr>
                <w:rFonts w:eastAsia="Times New Roman" w:cs="Arial"/>
                <w:b/>
                <w:sz w:val="20"/>
                <w:szCs w:val="20"/>
                <w:lang w:eastAsia="en-AU"/>
              </w:rPr>
              <w:t>Total reports:</w:t>
            </w:r>
          </w:p>
        </w:tc>
        <w:tc>
          <w:tcPr>
            <w:tcW w:w="1126" w:type="dxa"/>
            <w:tcBorders>
              <w:top w:val="nil"/>
              <w:left w:val="nil"/>
              <w:bottom w:val="single" w:sz="4" w:space="0" w:color="auto"/>
              <w:right w:val="nil"/>
            </w:tcBorders>
            <w:shd w:val="clear" w:color="auto" w:fill="auto"/>
            <w:noWrap/>
            <w:vAlign w:val="center"/>
          </w:tcPr>
          <w:p w14:paraId="5E8EF9F3"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11,749</w:t>
            </w:r>
          </w:p>
        </w:tc>
        <w:tc>
          <w:tcPr>
            <w:tcW w:w="1126" w:type="dxa"/>
            <w:tcBorders>
              <w:top w:val="nil"/>
              <w:left w:val="nil"/>
              <w:bottom w:val="single" w:sz="4" w:space="0" w:color="auto"/>
              <w:right w:val="nil"/>
            </w:tcBorders>
            <w:shd w:val="clear" w:color="auto" w:fill="EAF1DD" w:themeFill="accent3" w:themeFillTint="33"/>
            <w:noWrap/>
            <w:vAlign w:val="center"/>
          </w:tcPr>
          <w:p w14:paraId="2E17C747"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11,618</w:t>
            </w:r>
          </w:p>
        </w:tc>
        <w:tc>
          <w:tcPr>
            <w:tcW w:w="1126" w:type="dxa"/>
            <w:tcBorders>
              <w:top w:val="nil"/>
              <w:left w:val="nil"/>
              <w:bottom w:val="single" w:sz="4" w:space="0" w:color="auto"/>
              <w:right w:val="nil"/>
            </w:tcBorders>
            <w:shd w:val="clear" w:color="auto" w:fill="auto"/>
            <w:noWrap/>
            <w:vAlign w:val="center"/>
          </w:tcPr>
          <w:p w14:paraId="6144CD20"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11,905</w:t>
            </w:r>
          </w:p>
        </w:tc>
        <w:tc>
          <w:tcPr>
            <w:tcW w:w="1126" w:type="dxa"/>
            <w:tcBorders>
              <w:top w:val="nil"/>
              <w:left w:val="nil"/>
              <w:bottom w:val="single" w:sz="4" w:space="0" w:color="auto"/>
              <w:right w:val="nil"/>
            </w:tcBorders>
            <w:shd w:val="clear" w:color="auto" w:fill="EAF1DD" w:themeFill="accent3" w:themeFillTint="33"/>
            <w:noWrap/>
            <w:vAlign w:val="center"/>
          </w:tcPr>
          <w:p w14:paraId="277E38C4"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13,212</w:t>
            </w:r>
          </w:p>
        </w:tc>
        <w:tc>
          <w:tcPr>
            <w:tcW w:w="1126" w:type="dxa"/>
            <w:tcBorders>
              <w:top w:val="nil"/>
              <w:left w:val="nil"/>
              <w:bottom w:val="single" w:sz="4" w:space="0" w:color="auto"/>
              <w:right w:val="nil"/>
            </w:tcBorders>
            <w:shd w:val="clear" w:color="auto" w:fill="auto"/>
            <w:noWrap/>
            <w:vAlign w:val="center"/>
          </w:tcPr>
          <w:p w14:paraId="30547F83"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10,680</w:t>
            </w:r>
          </w:p>
        </w:tc>
        <w:tc>
          <w:tcPr>
            <w:tcW w:w="1126" w:type="dxa"/>
            <w:tcBorders>
              <w:top w:val="nil"/>
              <w:left w:val="nil"/>
              <w:bottom w:val="single" w:sz="4" w:space="0" w:color="auto"/>
              <w:right w:val="nil"/>
            </w:tcBorders>
            <w:shd w:val="clear" w:color="auto" w:fill="EAF1DD" w:themeFill="accent3" w:themeFillTint="33"/>
            <w:noWrap/>
            <w:vAlign w:val="center"/>
          </w:tcPr>
          <w:p w14:paraId="34AC82EE"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16,081</w:t>
            </w:r>
          </w:p>
        </w:tc>
        <w:tc>
          <w:tcPr>
            <w:tcW w:w="1126" w:type="dxa"/>
            <w:tcBorders>
              <w:top w:val="nil"/>
              <w:left w:val="nil"/>
              <w:bottom w:val="single" w:sz="4" w:space="0" w:color="auto"/>
              <w:right w:val="nil"/>
            </w:tcBorders>
            <w:shd w:val="clear" w:color="auto" w:fill="auto"/>
            <w:noWrap/>
            <w:vAlign w:val="center"/>
          </w:tcPr>
          <w:p w14:paraId="5927C318"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21,759</w:t>
            </w:r>
          </w:p>
        </w:tc>
        <w:tc>
          <w:tcPr>
            <w:tcW w:w="1126" w:type="dxa"/>
            <w:tcBorders>
              <w:top w:val="nil"/>
              <w:left w:val="nil"/>
              <w:bottom w:val="single" w:sz="4" w:space="0" w:color="auto"/>
              <w:right w:val="nil"/>
            </w:tcBorders>
            <w:shd w:val="clear" w:color="auto" w:fill="EAF1DD" w:themeFill="accent3" w:themeFillTint="33"/>
            <w:noWrap/>
            <w:vAlign w:val="center"/>
          </w:tcPr>
          <w:p w14:paraId="6574595E"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26,340</w:t>
            </w:r>
          </w:p>
        </w:tc>
        <w:tc>
          <w:tcPr>
            <w:tcW w:w="1126" w:type="dxa"/>
            <w:tcBorders>
              <w:top w:val="nil"/>
              <w:left w:val="nil"/>
              <w:bottom w:val="single" w:sz="4" w:space="0" w:color="auto"/>
              <w:right w:val="nil"/>
            </w:tcBorders>
            <w:shd w:val="clear" w:color="auto" w:fill="auto"/>
            <w:noWrap/>
            <w:vAlign w:val="center"/>
          </w:tcPr>
          <w:p w14:paraId="3B954955"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33,003</w:t>
            </w:r>
          </w:p>
        </w:tc>
        <w:tc>
          <w:tcPr>
            <w:tcW w:w="1127" w:type="dxa"/>
            <w:tcBorders>
              <w:top w:val="nil"/>
              <w:left w:val="nil"/>
              <w:bottom w:val="single" w:sz="4" w:space="0" w:color="auto"/>
              <w:right w:val="single" w:sz="4" w:space="0" w:color="auto"/>
            </w:tcBorders>
            <w:shd w:val="clear" w:color="auto" w:fill="EAF1DD" w:themeFill="accent3" w:themeFillTint="33"/>
            <w:noWrap/>
            <w:vAlign w:val="center"/>
          </w:tcPr>
          <w:p w14:paraId="692B2814"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41,480</w:t>
            </w:r>
          </w:p>
        </w:tc>
        <w:tc>
          <w:tcPr>
            <w:tcW w:w="1275" w:type="dxa"/>
            <w:tcBorders>
              <w:top w:val="nil"/>
              <w:left w:val="nil"/>
              <w:bottom w:val="single" w:sz="4" w:space="0" w:color="auto"/>
              <w:right w:val="single" w:sz="4" w:space="0" w:color="auto"/>
            </w:tcBorders>
            <w:shd w:val="clear" w:color="auto" w:fill="auto"/>
            <w:vAlign w:val="center"/>
          </w:tcPr>
          <w:p w14:paraId="37AD7E2D"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253%</w:t>
            </w:r>
          </w:p>
        </w:tc>
      </w:tr>
      <w:tr w:rsidR="00FE57AD" w:rsidRPr="005D61DD" w14:paraId="1983C8B3" w14:textId="77777777" w:rsidTr="00A42FBC">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A8437A7" w14:textId="77777777" w:rsidR="00FE57AD" w:rsidRPr="005D61DD" w:rsidRDefault="00FE57AD" w:rsidP="00CE2FDF">
            <w:pPr>
              <w:spacing w:before="0" w:line="276" w:lineRule="auto"/>
              <w:rPr>
                <w:rFonts w:eastAsia="Times New Roman" w:cs="Arial"/>
                <w:b/>
                <w:sz w:val="20"/>
                <w:szCs w:val="20"/>
                <w:lang w:eastAsia="en-AU"/>
              </w:rPr>
            </w:pPr>
            <w:r w:rsidRPr="005D61DD">
              <w:rPr>
                <w:rFonts w:eastAsia="Times New Roman" w:cs="Arial"/>
                <w:b/>
                <w:sz w:val="20"/>
                <w:szCs w:val="20"/>
                <w:lang w:eastAsia="en-AU"/>
              </w:rPr>
              <w:t>Neglect</w:t>
            </w:r>
          </w:p>
        </w:tc>
        <w:tc>
          <w:tcPr>
            <w:tcW w:w="1126" w:type="dxa"/>
            <w:tcBorders>
              <w:top w:val="nil"/>
              <w:left w:val="nil"/>
              <w:bottom w:val="nil"/>
              <w:right w:val="nil"/>
            </w:tcBorders>
            <w:shd w:val="clear" w:color="auto" w:fill="auto"/>
            <w:noWrap/>
            <w:vAlign w:val="bottom"/>
          </w:tcPr>
          <w:p w14:paraId="2D57C7CD"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DAEEF3" w:themeFill="accent5" w:themeFillTint="33"/>
            <w:noWrap/>
            <w:vAlign w:val="bottom"/>
          </w:tcPr>
          <w:p w14:paraId="1B98DDEA"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tcPr>
          <w:p w14:paraId="528616B3"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DAEEF3" w:themeFill="accent5" w:themeFillTint="33"/>
            <w:noWrap/>
            <w:vAlign w:val="bottom"/>
          </w:tcPr>
          <w:p w14:paraId="7D21AFCF"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tcPr>
          <w:p w14:paraId="10628FCA"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DAEEF3" w:themeFill="accent5" w:themeFillTint="33"/>
            <w:noWrap/>
            <w:vAlign w:val="bottom"/>
          </w:tcPr>
          <w:p w14:paraId="3032E7F7"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tcPr>
          <w:p w14:paraId="2BF9AF52"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DAEEF3" w:themeFill="accent5" w:themeFillTint="33"/>
            <w:noWrap/>
            <w:vAlign w:val="bottom"/>
          </w:tcPr>
          <w:p w14:paraId="24C7A64C"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tcPr>
          <w:p w14:paraId="1A436C5B" w14:textId="77777777" w:rsidR="00FE57AD" w:rsidRPr="005D61DD" w:rsidRDefault="00FE57AD" w:rsidP="00CE2FDF">
            <w:pPr>
              <w:spacing w:before="0" w:line="276" w:lineRule="auto"/>
              <w:jc w:val="right"/>
              <w:rPr>
                <w:rFonts w:eastAsia="Times New Roman" w:cs="Arial"/>
                <w:b/>
                <w:sz w:val="20"/>
                <w:szCs w:val="20"/>
                <w:lang w:eastAsia="en-AU"/>
              </w:rPr>
            </w:pPr>
          </w:p>
        </w:tc>
        <w:tc>
          <w:tcPr>
            <w:tcW w:w="1127" w:type="dxa"/>
            <w:tcBorders>
              <w:top w:val="nil"/>
              <w:left w:val="nil"/>
              <w:bottom w:val="nil"/>
              <w:right w:val="single" w:sz="4" w:space="0" w:color="auto"/>
            </w:tcBorders>
            <w:shd w:val="clear" w:color="auto" w:fill="DAEEF3" w:themeFill="accent5" w:themeFillTint="33"/>
            <w:noWrap/>
            <w:vAlign w:val="bottom"/>
          </w:tcPr>
          <w:p w14:paraId="27A0A21F" w14:textId="77777777" w:rsidR="00FE57AD" w:rsidRPr="005D61DD" w:rsidRDefault="00FE57AD" w:rsidP="00CE2FDF">
            <w:pPr>
              <w:spacing w:before="0" w:line="276" w:lineRule="auto"/>
              <w:jc w:val="right"/>
              <w:rPr>
                <w:rFonts w:eastAsia="Times New Roman" w:cs="Arial"/>
                <w:b/>
                <w:sz w:val="20"/>
                <w:szCs w:val="20"/>
                <w:lang w:eastAsia="en-AU"/>
              </w:rPr>
            </w:pPr>
          </w:p>
        </w:tc>
        <w:tc>
          <w:tcPr>
            <w:tcW w:w="1275" w:type="dxa"/>
            <w:tcBorders>
              <w:top w:val="nil"/>
              <w:left w:val="nil"/>
              <w:bottom w:val="nil"/>
              <w:right w:val="single" w:sz="4" w:space="0" w:color="auto"/>
            </w:tcBorders>
            <w:shd w:val="clear" w:color="auto" w:fill="auto"/>
          </w:tcPr>
          <w:p w14:paraId="5878488A" w14:textId="77777777" w:rsidR="00FE57AD" w:rsidRPr="005D61DD" w:rsidRDefault="00FE57AD" w:rsidP="00CE2FDF">
            <w:pPr>
              <w:spacing w:before="0" w:line="276" w:lineRule="auto"/>
              <w:jc w:val="right"/>
              <w:rPr>
                <w:rFonts w:eastAsia="Times New Roman" w:cs="Arial"/>
                <w:b/>
                <w:sz w:val="20"/>
                <w:szCs w:val="20"/>
                <w:lang w:eastAsia="en-AU"/>
              </w:rPr>
            </w:pPr>
          </w:p>
        </w:tc>
      </w:tr>
      <w:tr w:rsidR="00A42FBC" w:rsidRPr="005D61DD" w14:paraId="27C07BC3" w14:textId="77777777" w:rsidTr="00A42FBC">
        <w:trPr>
          <w:trHeight w:val="204"/>
        </w:trPr>
        <w:tc>
          <w:tcPr>
            <w:tcW w:w="2221" w:type="dxa"/>
            <w:tcBorders>
              <w:top w:val="nil"/>
              <w:left w:val="single" w:sz="4" w:space="0" w:color="auto"/>
              <w:bottom w:val="nil"/>
              <w:right w:val="nil"/>
            </w:tcBorders>
            <w:shd w:val="clear" w:color="auto" w:fill="DAEEF3" w:themeFill="accent5" w:themeFillTint="33"/>
            <w:noWrap/>
            <w:hideMark/>
          </w:tcPr>
          <w:p w14:paraId="6FB74A73"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Doctors</w:t>
            </w:r>
          </w:p>
        </w:tc>
        <w:tc>
          <w:tcPr>
            <w:tcW w:w="1126" w:type="dxa"/>
            <w:tcBorders>
              <w:top w:val="nil"/>
              <w:left w:val="nil"/>
              <w:bottom w:val="nil"/>
              <w:right w:val="nil"/>
            </w:tcBorders>
            <w:shd w:val="clear" w:color="auto" w:fill="auto"/>
            <w:noWrap/>
            <w:vAlign w:val="center"/>
          </w:tcPr>
          <w:p w14:paraId="65B00C4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202</w:t>
            </w:r>
          </w:p>
        </w:tc>
        <w:tc>
          <w:tcPr>
            <w:tcW w:w="1126" w:type="dxa"/>
            <w:tcBorders>
              <w:top w:val="nil"/>
              <w:left w:val="nil"/>
              <w:bottom w:val="nil"/>
              <w:right w:val="nil"/>
            </w:tcBorders>
            <w:shd w:val="clear" w:color="auto" w:fill="DAEEF3" w:themeFill="accent5" w:themeFillTint="33"/>
            <w:noWrap/>
            <w:vAlign w:val="center"/>
          </w:tcPr>
          <w:p w14:paraId="2DD4967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175</w:t>
            </w:r>
          </w:p>
        </w:tc>
        <w:tc>
          <w:tcPr>
            <w:tcW w:w="1126" w:type="dxa"/>
            <w:tcBorders>
              <w:top w:val="nil"/>
              <w:left w:val="nil"/>
              <w:bottom w:val="nil"/>
              <w:right w:val="nil"/>
            </w:tcBorders>
            <w:shd w:val="clear" w:color="auto" w:fill="auto"/>
            <w:noWrap/>
            <w:vAlign w:val="center"/>
          </w:tcPr>
          <w:p w14:paraId="4F9CA79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177</w:t>
            </w:r>
          </w:p>
        </w:tc>
        <w:tc>
          <w:tcPr>
            <w:tcW w:w="1126" w:type="dxa"/>
            <w:tcBorders>
              <w:top w:val="nil"/>
              <w:left w:val="nil"/>
              <w:bottom w:val="nil"/>
              <w:right w:val="nil"/>
            </w:tcBorders>
            <w:shd w:val="clear" w:color="auto" w:fill="DAEEF3" w:themeFill="accent5" w:themeFillTint="33"/>
            <w:noWrap/>
            <w:vAlign w:val="center"/>
          </w:tcPr>
          <w:p w14:paraId="47D7638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173</w:t>
            </w:r>
          </w:p>
        </w:tc>
        <w:tc>
          <w:tcPr>
            <w:tcW w:w="1126" w:type="dxa"/>
            <w:tcBorders>
              <w:top w:val="nil"/>
              <w:left w:val="nil"/>
              <w:bottom w:val="nil"/>
              <w:right w:val="nil"/>
            </w:tcBorders>
            <w:shd w:val="clear" w:color="auto" w:fill="auto"/>
            <w:noWrap/>
            <w:vAlign w:val="center"/>
          </w:tcPr>
          <w:p w14:paraId="2D128AB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320</w:t>
            </w:r>
          </w:p>
        </w:tc>
        <w:tc>
          <w:tcPr>
            <w:tcW w:w="1126" w:type="dxa"/>
            <w:tcBorders>
              <w:top w:val="nil"/>
              <w:left w:val="nil"/>
              <w:bottom w:val="nil"/>
              <w:right w:val="nil"/>
            </w:tcBorders>
            <w:shd w:val="clear" w:color="auto" w:fill="DAEEF3" w:themeFill="accent5" w:themeFillTint="33"/>
            <w:noWrap/>
            <w:vAlign w:val="center"/>
          </w:tcPr>
          <w:p w14:paraId="3B6133D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215</w:t>
            </w:r>
          </w:p>
        </w:tc>
        <w:tc>
          <w:tcPr>
            <w:tcW w:w="1126" w:type="dxa"/>
            <w:tcBorders>
              <w:top w:val="nil"/>
              <w:left w:val="nil"/>
              <w:bottom w:val="nil"/>
              <w:right w:val="nil"/>
            </w:tcBorders>
            <w:shd w:val="clear" w:color="auto" w:fill="auto"/>
            <w:noWrap/>
            <w:vAlign w:val="center"/>
          </w:tcPr>
          <w:p w14:paraId="1B0E043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132</w:t>
            </w:r>
          </w:p>
        </w:tc>
        <w:tc>
          <w:tcPr>
            <w:tcW w:w="1126" w:type="dxa"/>
            <w:tcBorders>
              <w:top w:val="nil"/>
              <w:left w:val="nil"/>
              <w:bottom w:val="nil"/>
              <w:right w:val="nil"/>
            </w:tcBorders>
            <w:shd w:val="clear" w:color="auto" w:fill="DAEEF3" w:themeFill="accent5" w:themeFillTint="33"/>
            <w:noWrap/>
            <w:vAlign w:val="center"/>
          </w:tcPr>
          <w:p w14:paraId="03C46E4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167</w:t>
            </w:r>
          </w:p>
        </w:tc>
        <w:tc>
          <w:tcPr>
            <w:tcW w:w="1126" w:type="dxa"/>
            <w:tcBorders>
              <w:top w:val="nil"/>
              <w:left w:val="nil"/>
              <w:bottom w:val="nil"/>
              <w:right w:val="nil"/>
            </w:tcBorders>
            <w:shd w:val="clear" w:color="auto" w:fill="auto"/>
            <w:noWrap/>
            <w:vAlign w:val="center"/>
          </w:tcPr>
          <w:p w14:paraId="21C83BE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169</w:t>
            </w:r>
          </w:p>
        </w:tc>
        <w:tc>
          <w:tcPr>
            <w:tcW w:w="1127" w:type="dxa"/>
            <w:tcBorders>
              <w:top w:val="nil"/>
              <w:left w:val="nil"/>
              <w:bottom w:val="nil"/>
              <w:right w:val="single" w:sz="4" w:space="0" w:color="auto"/>
            </w:tcBorders>
            <w:shd w:val="clear" w:color="auto" w:fill="DAEEF3" w:themeFill="accent5" w:themeFillTint="33"/>
            <w:noWrap/>
            <w:vAlign w:val="center"/>
          </w:tcPr>
          <w:p w14:paraId="19AF65D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149</w:t>
            </w:r>
          </w:p>
        </w:tc>
        <w:tc>
          <w:tcPr>
            <w:tcW w:w="1275" w:type="dxa"/>
            <w:tcBorders>
              <w:top w:val="nil"/>
              <w:left w:val="nil"/>
              <w:bottom w:val="nil"/>
              <w:right w:val="single" w:sz="4" w:space="0" w:color="auto"/>
            </w:tcBorders>
            <w:shd w:val="clear" w:color="auto" w:fill="auto"/>
            <w:vAlign w:val="center"/>
          </w:tcPr>
          <w:p w14:paraId="78E296CF" w14:textId="77777777" w:rsidR="00A42FBC" w:rsidRPr="00A42FBC" w:rsidRDefault="00A42FBC" w:rsidP="00CE2FDF">
            <w:pPr>
              <w:spacing w:before="0" w:line="276" w:lineRule="auto"/>
              <w:jc w:val="right"/>
              <w:rPr>
                <w:b/>
                <w:bCs/>
                <w:color w:val="000000"/>
                <w:sz w:val="20"/>
                <w:szCs w:val="20"/>
              </w:rPr>
            </w:pPr>
            <w:r w:rsidRPr="00A42FBC">
              <w:rPr>
                <w:rFonts w:cs="Arial"/>
                <w:b/>
                <w:bCs/>
                <w:color w:val="000000"/>
                <w:sz w:val="20"/>
                <w:szCs w:val="20"/>
              </w:rPr>
              <w:t>-26%</w:t>
            </w:r>
          </w:p>
        </w:tc>
      </w:tr>
      <w:tr w:rsidR="00A42FBC" w:rsidRPr="005D61DD" w14:paraId="317E4D37" w14:textId="77777777" w:rsidTr="00A42FBC">
        <w:trPr>
          <w:trHeight w:val="204"/>
        </w:trPr>
        <w:tc>
          <w:tcPr>
            <w:tcW w:w="2221" w:type="dxa"/>
            <w:tcBorders>
              <w:top w:val="nil"/>
              <w:left w:val="single" w:sz="4" w:space="0" w:color="auto"/>
              <w:bottom w:val="nil"/>
              <w:right w:val="nil"/>
            </w:tcBorders>
            <w:shd w:val="clear" w:color="auto" w:fill="DAEEF3" w:themeFill="accent5" w:themeFillTint="33"/>
            <w:noWrap/>
            <w:hideMark/>
          </w:tcPr>
          <w:p w14:paraId="1E58A55C"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Nurses</w:t>
            </w:r>
          </w:p>
        </w:tc>
        <w:tc>
          <w:tcPr>
            <w:tcW w:w="1126" w:type="dxa"/>
            <w:tcBorders>
              <w:top w:val="nil"/>
              <w:left w:val="nil"/>
              <w:bottom w:val="nil"/>
              <w:right w:val="nil"/>
            </w:tcBorders>
            <w:shd w:val="clear" w:color="auto" w:fill="auto"/>
            <w:noWrap/>
            <w:vAlign w:val="center"/>
          </w:tcPr>
          <w:p w14:paraId="49CC72C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461</w:t>
            </w:r>
          </w:p>
        </w:tc>
        <w:tc>
          <w:tcPr>
            <w:tcW w:w="1126" w:type="dxa"/>
            <w:tcBorders>
              <w:top w:val="nil"/>
              <w:left w:val="nil"/>
              <w:bottom w:val="nil"/>
              <w:right w:val="nil"/>
            </w:tcBorders>
            <w:shd w:val="clear" w:color="auto" w:fill="DAEEF3" w:themeFill="accent5" w:themeFillTint="33"/>
            <w:noWrap/>
            <w:vAlign w:val="center"/>
          </w:tcPr>
          <w:p w14:paraId="435BB9D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401</w:t>
            </w:r>
          </w:p>
        </w:tc>
        <w:tc>
          <w:tcPr>
            <w:tcW w:w="1126" w:type="dxa"/>
            <w:tcBorders>
              <w:top w:val="nil"/>
              <w:left w:val="nil"/>
              <w:bottom w:val="nil"/>
              <w:right w:val="nil"/>
            </w:tcBorders>
            <w:shd w:val="clear" w:color="auto" w:fill="auto"/>
            <w:noWrap/>
            <w:vAlign w:val="center"/>
          </w:tcPr>
          <w:p w14:paraId="30F4875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384</w:t>
            </w:r>
          </w:p>
        </w:tc>
        <w:tc>
          <w:tcPr>
            <w:tcW w:w="1126" w:type="dxa"/>
            <w:tcBorders>
              <w:top w:val="nil"/>
              <w:left w:val="nil"/>
              <w:bottom w:val="nil"/>
              <w:right w:val="nil"/>
            </w:tcBorders>
            <w:shd w:val="clear" w:color="auto" w:fill="DAEEF3" w:themeFill="accent5" w:themeFillTint="33"/>
            <w:noWrap/>
            <w:vAlign w:val="center"/>
          </w:tcPr>
          <w:p w14:paraId="2FF96E4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338</w:t>
            </w:r>
          </w:p>
        </w:tc>
        <w:tc>
          <w:tcPr>
            <w:tcW w:w="1126" w:type="dxa"/>
            <w:tcBorders>
              <w:top w:val="nil"/>
              <w:left w:val="nil"/>
              <w:bottom w:val="nil"/>
              <w:right w:val="nil"/>
            </w:tcBorders>
            <w:shd w:val="clear" w:color="auto" w:fill="auto"/>
            <w:noWrap/>
            <w:vAlign w:val="center"/>
          </w:tcPr>
          <w:p w14:paraId="0F08407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623</w:t>
            </w:r>
          </w:p>
        </w:tc>
        <w:tc>
          <w:tcPr>
            <w:tcW w:w="1126" w:type="dxa"/>
            <w:tcBorders>
              <w:top w:val="nil"/>
              <w:left w:val="nil"/>
              <w:bottom w:val="nil"/>
              <w:right w:val="nil"/>
            </w:tcBorders>
            <w:shd w:val="clear" w:color="auto" w:fill="DAEEF3" w:themeFill="accent5" w:themeFillTint="33"/>
            <w:noWrap/>
            <w:vAlign w:val="center"/>
          </w:tcPr>
          <w:p w14:paraId="4A9D97D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403</w:t>
            </w:r>
          </w:p>
        </w:tc>
        <w:tc>
          <w:tcPr>
            <w:tcW w:w="1126" w:type="dxa"/>
            <w:tcBorders>
              <w:top w:val="nil"/>
              <w:left w:val="nil"/>
              <w:bottom w:val="nil"/>
              <w:right w:val="nil"/>
            </w:tcBorders>
            <w:shd w:val="clear" w:color="auto" w:fill="auto"/>
            <w:noWrap/>
            <w:vAlign w:val="center"/>
          </w:tcPr>
          <w:p w14:paraId="1AD76DC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237</w:t>
            </w:r>
          </w:p>
        </w:tc>
        <w:tc>
          <w:tcPr>
            <w:tcW w:w="1126" w:type="dxa"/>
            <w:tcBorders>
              <w:top w:val="nil"/>
              <w:left w:val="nil"/>
              <w:bottom w:val="nil"/>
              <w:right w:val="nil"/>
            </w:tcBorders>
            <w:shd w:val="clear" w:color="auto" w:fill="DAEEF3" w:themeFill="accent5" w:themeFillTint="33"/>
            <w:noWrap/>
            <w:vAlign w:val="center"/>
          </w:tcPr>
          <w:p w14:paraId="559A134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300</w:t>
            </w:r>
          </w:p>
        </w:tc>
        <w:tc>
          <w:tcPr>
            <w:tcW w:w="1126" w:type="dxa"/>
            <w:tcBorders>
              <w:top w:val="nil"/>
              <w:left w:val="nil"/>
              <w:bottom w:val="nil"/>
              <w:right w:val="nil"/>
            </w:tcBorders>
            <w:shd w:val="clear" w:color="auto" w:fill="auto"/>
            <w:noWrap/>
            <w:vAlign w:val="center"/>
          </w:tcPr>
          <w:p w14:paraId="12E24AE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359</w:t>
            </w:r>
          </w:p>
        </w:tc>
        <w:tc>
          <w:tcPr>
            <w:tcW w:w="1127" w:type="dxa"/>
            <w:tcBorders>
              <w:top w:val="nil"/>
              <w:left w:val="nil"/>
              <w:bottom w:val="nil"/>
              <w:right w:val="single" w:sz="4" w:space="0" w:color="auto"/>
            </w:tcBorders>
            <w:shd w:val="clear" w:color="auto" w:fill="DAEEF3" w:themeFill="accent5" w:themeFillTint="33"/>
            <w:noWrap/>
            <w:vAlign w:val="center"/>
          </w:tcPr>
          <w:p w14:paraId="0E6178E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374</w:t>
            </w:r>
          </w:p>
        </w:tc>
        <w:tc>
          <w:tcPr>
            <w:tcW w:w="1275" w:type="dxa"/>
            <w:tcBorders>
              <w:top w:val="nil"/>
              <w:left w:val="nil"/>
              <w:bottom w:val="nil"/>
              <w:right w:val="single" w:sz="4" w:space="0" w:color="auto"/>
            </w:tcBorders>
            <w:shd w:val="clear" w:color="auto" w:fill="auto"/>
            <w:vAlign w:val="center"/>
          </w:tcPr>
          <w:p w14:paraId="4C674992" w14:textId="77777777" w:rsidR="00A42FBC" w:rsidRPr="00A42FBC" w:rsidRDefault="00A42FBC" w:rsidP="00CE2FDF">
            <w:pPr>
              <w:spacing w:before="0" w:line="276" w:lineRule="auto"/>
              <w:jc w:val="right"/>
              <w:rPr>
                <w:b/>
                <w:bCs/>
                <w:color w:val="000000"/>
                <w:sz w:val="20"/>
                <w:szCs w:val="20"/>
              </w:rPr>
            </w:pPr>
            <w:r w:rsidRPr="00A42FBC">
              <w:rPr>
                <w:rFonts w:cs="Arial"/>
                <w:b/>
                <w:bCs/>
                <w:color w:val="000000"/>
                <w:sz w:val="20"/>
                <w:szCs w:val="20"/>
              </w:rPr>
              <w:t>-19%</w:t>
            </w:r>
          </w:p>
        </w:tc>
      </w:tr>
      <w:tr w:rsidR="00A42FBC" w:rsidRPr="005D61DD" w14:paraId="7C045E14" w14:textId="77777777" w:rsidTr="00A42FBC">
        <w:trPr>
          <w:trHeight w:val="204"/>
        </w:trPr>
        <w:tc>
          <w:tcPr>
            <w:tcW w:w="2221" w:type="dxa"/>
            <w:tcBorders>
              <w:top w:val="nil"/>
              <w:left w:val="single" w:sz="4" w:space="0" w:color="auto"/>
              <w:bottom w:val="nil"/>
              <w:right w:val="nil"/>
            </w:tcBorders>
            <w:shd w:val="clear" w:color="auto" w:fill="DAEEF3" w:themeFill="accent5" w:themeFillTint="33"/>
            <w:noWrap/>
            <w:hideMark/>
          </w:tcPr>
          <w:p w14:paraId="55651564"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Police</w:t>
            </w:r>
          </w:p>
        </w:tc>
        <w:tc>
          <w:tcPr>
            <w:tcW w:w="1126" w:type="dxa"/>
            <w:tcBorders>
              <w:top w:val="nil"/>
              <w:left w:val="nil"/>
              <w:bottom w:val="nil"/>
              <w:right w:val="nil"/>
            </w:tcBorders>
            <w:shd w:val="clear" w:color="auto" w:fill="auto"/>
            <w:noWrap/>
            <w:vAlign w:val="center"/>
          </w:tcPr>
          <w:p w14:paraId="21F2721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1,733</w:t>
            </w:r>
          </w:p>
        </w:tc>
        <w:tc>
          <w:tcPr>
            <w:tcW w:w="1126" w:type="dxa"/>
            <w:tcBorders>
              <w:top w:val="nil"/>
              <w:left w:val="nil"/>
              <w:bottom w:val="nil"/>
              <w:right w:val="nil"/>
            </w:tcBorders>
            <w:shd w:val="clear" w:color="auto" w:fill="DAEEF3" w:themeFill="accent5" w:themeFillTint="33"/>
            <w:noWrap/>
            <w:vAlign w:val="center"/>
          </w:tcPr>
          <w:p w14:paraId="6D0F071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1,566</w:t>
            </w:r>
          </w:p>
        </w:tc>
        <w:tc>
          <w:tcPr>
            <w:tcW w:w="1126" w:type="dxa"/>
            <w:tcBorders>
              <w:top w:val="nil"/>
              <w:left w:val="nil"/>
              <w:bottom w:val="nil"/>
              <w:right w:val="nil"/>
            </w:tcBorders>
            <w:shd w:val="clear" w:color="auto" w:fill="auto"/>
            <w:noWrap/>
            <w:vAlign w:val="center"/>
          </w:tcPr>
          <w:p w14:paraId="748FBC1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1,580</w:t>
            </w:r>
          </w:p>
        </w:tc>
        <w:tc>
          <w:tcPr>
            <w:tcW w:w="1126" w:type="dxa"/>
            <w:tcBorders>
              <w:top w:val="nil"/>
              <w:left w:val="nil"/>
              <w:bottom w:val="nil"/>
              <w:right w:val="nil"/>
            </w:tcBorders>
            <w:shd w:val="clear" w:color="auto" w:fill="DAEEF3" w:themeFill="accent5" w:themeFillTint="33"/>
            <w:noWrap/>
            <w:vAlign w:val="center"/>
          </w:tcPr>
          <w:p w14:paraId="492ED9B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1,433</w:t>
            </w:r>
          </w:p>
        </w:tc>
        <w:tc>
          <w:tcPr>
            <w:tcW w:w="1126" w:type="dxa"/>
            <w:tcBorders>
              <w:top w:val="nil"/>
              <w:left w:val="nil"/>
              <w:bottom w:val="nil"/>
              <w:right w:val="nil"/>
            </w:tcBorders>
            <w:shd w:val="clear" w:color="auto" w:fill="auto"/>
            <w:noWrap/>
            <w:vAlign w:val="center"/>
          </w:tcPr>
          <w:p w14:paraId="256390A9"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2,432</w:t>
            </w:r>
          </w:p>
        </w:tc>
        <w:tc>
          <w:tcPr>
            <w:tcW w:w="1126" w:type="dxa"/>
            <w:tcBorders>
              <w:top w:val="nil"/>
              <w:left w:val="nil"/>
              <w:bottom w:val="nil"/>
              <w:right w:val="nil"/>
            </w:tcBorders>
            <w:shd w:val="clear" w:color="auto" w:fill="DAEEF3" w:themeFill="accent5" w:themeFillTint="33"/>
            <w:noWrap/>
            <w:vAlign w:val="center"/>
          </w:tcPr>
          <w:p w14:paraId="77B15FE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1,275</w:t>
            </w:r>
          </w:p>
        </w:tc>
        <w:tc>
          <w:tcPr>
            <w:tcW w:w="1126" w:type="dxa"/>
            <w:tcBorders>
              <w:top w:val="nil"/>
              <w:left w:val="nil"/>
              <w:bottom w:val="nil"/>
              <w:right w:val="nil"/>
            </w:tcBorders>
            <w:shd w:val="clear" w:color="auto" w:fill="auto"/>
            <w:noWrap/>
            <w:vAlign w:val="center"/>
          </w:tcPr>
          <w:p w14:paraId="6ABA4B0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507</w:t>
            </w:r>
          </w:p>
        </w:tc>
        <w:tc>
          <w:tcPr>
            <w:tcW w:w="1126" w:type="dxa"/>
            <w:tcBorders>
              <w:top w:val="nil"/>
              <w:left w:val="nil"/>
              <w:bottom w:val="nil"/>
              <w:right w:val="nil"/>
            </w:tcBorders>
            <w:shd w:val="clear" w:color="auto" w:fill="DAEEF3" w:themeFill="accent5" w:themeFillTint="33"/>
            <w:noWrap/>
            <w:vAlign w:val="center"/>
          </w:tcPr>
          <w:p w14:paraId="07DD71D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588</w:t>
            </w:r>
          </w:p>
        </w:tc>
        <w:tc>
          <w:tcPr>
            <w:tcW w:w="1126" w:type="dxa"/>
            <w:tcBorders>
              <w:top w:val="nil"/>
              <w:left w:val="nil"/>
              <w:bottom w:val="nil"/>
              <w:right w:val="nil"/>
            </w:tcBorders>
            <w:shd w:val="clear" w:color="auto" w:fill="auto"/>
            <w:noWrap/>
            <w:vAlign w:val="center"/>
          </w:tcPr>
          <w:p w14:paraId="5563EE5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750</w:t>
            </w:r>
          </w:p>
        </w:tc>
        <w:tc>
          <w:tcPr>
            <w:tcW w:w="1127" w:type="dxa"/>
            <w:tcBorders>
              <w:top w:val="nil"/>
              <w:left w:val="nil"/>
              <w:bottom w:val="nil"/>
              <w:right w:val="single" w:sz="4" w:space="0" w:color="auto"/>
            </w:tcBorders>
            <w:shd w:val="clear" w:color="auto" w:fill="DAEEF3" w:themeFill="accent5" w:themeFillTint="33"/>
            <w:noWrap/>
            <w:vAlign w:val="center"/>
          </w:tcPr>
          <w:p w14:paraId="75BC294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621</w:t>
            </w:r>
          </w:p>
        </w:tc>
        <w:tc>
          <w:tcPr>
            <w:tcW w:w="1275" w:type="dxa"/>
            <w:tcBorders>
              <w:top w:val="nil"/>
              <w:left w:val="nil"/>
              <w:bottom w:val="nil"/>
              <w:right w:val="single" w:sz="4" w:space="0" w:color="auto"/>
            </w:tcBorders>
            <w:shd w:val="clear" w:color="auto" w:fill="auto"/>
            <w:vAlign w:val="center"/>
          </w:tcPr>
          <w:p w14:paraId="4E891556" w14:textId="77777777" w:rsidR="00A42FBC" w:rsidRPr="00A42FBC" w:rsidRDefault="00A42FBC" w:rsidP="00CE2FDF">
            <w:pPr>
              <w:spacing w:before="0" w:line="276" w:lineRule="auto"/>
              <w:jc w:val="right"/>
              <w:rPr>
                <w:b/>
                <w:bCs/>
                <w:color w:val="000000"/>
                <w:sz w:val="20"/>
                <w:szCs w:val="20"/>
              </w:rPr>
            </w:pPr>
            <w:r w:rsidRPr="00A42FBC">
              <w:rPr>
                <w:rFonts w:cs="Arial"/>
                <w:b/>
                <w:bCs/>
                <w:color w:val="000000"/>
                <w:sz w:val="20"/>
                <w:szCs w:val="20"/>
              </w:rPr>
              <w:t>-64%</w:t>
            </w:r>
          </w:p>
        </w:tc>
      </w:tr>
      <w:tr w:rsidR="00A42FBC" w:rsidRPr="005D61DD" w14:paraId="2983BDF5" w14:textId="77777777" w:rsidTr="00A42FBC">
        <w:trPr>
          <w:trHeight w:val="204"/>
        </w:trPr>
        <w:tc>
          <w:tcPr>
            <w:tcW w:w="2221" w:type="dxa"/>
            <w:tcBorders>
              <w:top w:val="nil"/>
              <w:left w:val="single" w:sz="4" w:space="0" w:color="auto"/>
              <w:bottom w:val="nil"/>
              <w:right w:val="nil"/>
            </w:tcBorders>
            <w:shd w:val="clear" w:color="auto" w:fill="DAEEF3" w:themeFill="accent5" w:themeFillTint="33"/>
            <w:noWrap/>
            <w:hideMark/>
          </w:tcPr>
          <w:p w14:paraId="4E9A1D4D"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School personnel</w:t>
            </w:r>
          </w:p>
        </w:tc>
        <w:tc>
          <w:tcPr>
            <w:tcW w:w="1126" w:type="dxa"/>
            <w:tcBorders>
              <w:top w:val="nil"/>
              <w:left w:val="nil"/>
              <w:bottom w:val="nil"/>
              <w:right w:val="nil"/>
            </w:tcBorders>
            <w:shd w:val="clear" w:color="auto" w:fill="auto"/>
            <w:noWrap/>
            <w:vAlign w:val="center"/>
          </w:tcPr>
          <w:p w14:paraId="0962EC8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857</w:t>
            </w:r>
          </w:p>
        </w:tc>
        <w:tc>
          <w:tcPr>
            <w:tcW w:w="1126" w:type="dxa"/>
            <w:tcBorders>
              <w:top w:val="nil"/>
              <w:left w:val="nil"/>
              <w:bottom w:val="nil"/>
              <w:right w:val="nil"/>
            </w:tcBorders>
            <w:shd w:val="clear" w:color="auto" w:fill="DAEEF3" w:themeFill="accent5" w:themeFillTint="33"/>
            <w:noWrap/>
            <w:vAlign w:val="center"/>
          </w:tcPr>
          <w:p w14:paraId="331839C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883</w:t>
            </w:r>
          </w:p>
        </w:tc>
        <w:tc>
          <w:tcPr>
            <w:tcW w:w="1126" w:type="dxa"/>
            <w:tcBorders>
              <w:top w:val="nil"/>
              <w:left w:val="nil"/>
              <w:bottom w:val="nil"/>
              <w:right w:val="nil"/>
            </w:tcBorders>
            <w:shd w:val="clear" w:color="auto" w:fill="auto"/>
            <w:noWrap/>
            <w:vAlign w:val="center"/>
          </w:tcPr>
          <w:p w14:paraId="436C64A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851</w:t>
            </w:r>
          </w:p>
        </w:tc>
        <w:tc>
          <w:tcPr>
            <w:tcW w:w="1126" w:type="dxa"/>
            <w:tcBorders>
              <w:top w:val="nil"/>
              <w:left w:val="nil"/>
              <w:bottom w:val="nil"/>
              <w:right w:val="nil"/>
            </w:tcBorders>
            <w:shd w:val="clear" w:color="auto" w:fill="DAEEF3" w:themeFill="accent5" w:themeFillTint="33"/>
            <w:noWrap/>
            <w:vAlign w:val="center"/>
          </w:tcPr>
          <w:p w14:paraId="305D1AD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677</w:t>
            </w:r>
          </w:p>
        </w:tc>
        <w:tc>
          <w:tcPr>
            <w:tcW w:w="1126" w:type="dxa"/>
            <w:tcBorders>
              <w:top w:val="nil"/>
              <w:left w:val="nil"/>
              <w:bottom w:val="nil"/>
              <w:right w:val="nil"/>
            </w:tcBorders>
            <w:shd w:val="clear" w:color="auto" w:fill="auto"/>
            <w:noWrap/>
            <w:vAlign w:val="center"/>
          </w:tcPr>
          <w:p w14:paraId="7EDBF70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1,346</w:t>
            </w:r>
          </w:p>
        </w:tc>
        <w:tc>
          <w:tcPr>
            <w:tcW w:w="1126" w:type="dxa"/>
            <w:tcBorders>
              <w:top w:val="nil"/>
              <w:left w:val="nil"/>
              <w:bottom w:val="nil"/>
              <w:right w:val="nil"/>
            </w:tcBorders>
            <w:shd w:val="clear" w:color="auto" w:fill="DAEEF3" w:themeFill="accent5" w:themeFillTint="33"/>
            <w:noWrap/>
            <w:vAlign w:val="center"/>
          </w:tcPr>
          <w:p w14:paraId="57A0E5F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824</w:t>
            </w:r>
          </w:p>
        </w:tc>
        <w:tc>
          <w:tcPr>
            <w:tcW w:w="1126" w:type="dxa"/>
            <w:tcBorders>
              <w:top w:val="nil"/>
              <w:left w:val="nil"/>
              <w:bottom w:val="nil"/>
              <w:right w:val="nil"/>
            </w:tcBorders>
            <w:shd w:val="clear" w:color="auto" w:fill="auto"/>
            <w:noWrap/>
            <w:vAlign w:val="center"/>
          </w:tcPr>
          <w:p w14:paraId="52A2281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534</w:t>
            </w:r>
          </w:p>
        </w:tc>
        <w:tc>
          <w:tcPr>
            <w:tcW w:w="1126" w:type="dxa"/>
            <w:tcBorders>
              <w:top w:val="nil"/>
              <w:left w:val="nil"/>
              <w:bottom w:val="nil"/>
              <w:right w:val="nil"/>
            </w:tcBorders>
            <w:shd w:val="clear" w:color="auto" w:fill="DAEEF3" w:themeFill="accent5" w:themeFillTint="33"/>
            <w:noWrap/>
            <w:vAlign w:val="center"/>
          </w:tcPr>
          <w:p w14:paraId="31E8D68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507</w:t>
            </w:r>
          </w:p>
        </w:tc>
        <w:tc>
          <w:tcPr>
            <w:tcW w:w="1126" w:type="dxa"/>
            <w:tcBorders>
              <w:top w:val="nil"/>
              <w:left w:val="nil"/>
              <w:bottom w:val="nil"/>
              <w:right w:val="nil"/>
            </w:tcBorders>
            <w:shd w:val="clear" w:color="auto" w:fill="auto"/>
            <w:noWrap/>
            <w:vAlign w:val="center"/>
          </w:tcPr>
          <w:p w14:paraId="4C7A6FD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653</w:t>
            </w:r>
          </w:p>
        </w:tc>
        <w:tc>
          <w:tcPr>
            <w:tcW w:w="1127" w:type="dxa"/>
            <w:tcBorders>
              <w:top w:val="nil"/>
              <w:left w:val="nil"/>
              <w:bottom w:val="nil"/>
              <w:right w:val="single" w:sz="4" w:space="0" w:color="auto"/>
            </w:tcBorders>
            <w:shd w:val="clear" w:color="auto" w:fill="DAEEF3" w:themeFill="accent5" w:themeFillTint="33"/>
            <w:noWrap/>
            <w:vAlign w:val="center"/>
          </w:tcPr>
          <w:p w14:paraId="1020E4B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534</w:t>
            </w:r>
          </w:p>
        </w:tc>
        <w:tc>
          <w:tcPr>
            <w:tcW w:w="1275" w:type="dxa"/>
            <w:tcBorders>
              <w:top w:val="nil"/>
              <w:left w:val="nil"/>
              <w:bottom w:val="nil"/>
              <w:right w:val="single" w:sz="4" w:space="0" w:color="auto"/>
            </w:tcBorders>
            <w:shd w:val="clear" w:color="auto" w:fill="auto"/>
            <w:vAlign w:val="center"/>
          </w:tcPr>
          <w:p w14:paraId="58F426DC" w14:textId="77777777" w:rsidR="00A42FBC" w:rsidRPr="00A42FBC" w:rsidRDefault="00A42FBC" w:rsidP="00CE2FDF">
            <w:pPr>
              <w:spacing w:before="0" w:line="276" w:lineRule="auto"/>
              <w:jc w:val="right"/>
              <w:rPr>
                <w:b/>
                <w:bCs/>
                <w:color w:val="000000"/>
                <w:sz w:val="20"/>
                <w:szCs w:val="20"/>
              </w:rPr>
            </w:pPr>
            <w:r w:rsidRPr="00A42FBC">
              <w:rPr>
                <w:rFonts w:cs="Arial"/>
                <w:b/>
                <w:bCs/>
                <w:color w:val="000000"/>
                <w:sz w:val="20"/>
                <w:szCs w:val="20"/>
              </w:rPr>
              <w:t>-38%</w:t>
            </w:r>
          </w:p>
        </w:tc>
      </w:tr>
      <w:tr w:rsidR="00A42FBC" w:rsidRPr="005D61DD" w14:paraId="263911C1" w14:textId="77777777" w:rsidTr="00A42FBC">
        <w:trPr>
          <w:trHeight w:val="204"/>
        </w:trPr>
        <w:tc>
          <w:tcPr>
            <w:tcW w:w="2221" w:type="dxa"/>
            <w:tcBorders>
              <w:top w:val="nil"/>
              <w:left w:val="single" w:sz="4" w:space="0" w:color="auto"/>
              <w:bottom w:val="nil"/>
              <w:right w:val="nil"/>
            </w:tcBorders>
            <w:shd w:val="clear" w:color="auto" w:fill="DAEEF3" w:themeFill="accent5" w:themeFillTint="33"/>
            <w:noWrap/>
            <w:hideMark/>
          </w:tcPr>
          <w:p w14:paraId="3E1B3965"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Psychiatrists</w:t>
            </w:r>
          </w:p>
        </w:tc>
        <w:tc>
          <w:tcPr>
            <w:tcW w:w="1126" w:type="dxa"/>
            <w:tcBorders>
              <w:top w:val="nil"/>
              <w:left w:val="nil"/>
              <w:bottom w:val="nil"/>
              <w:right w:val="nil"/>
            </w:tcBorders>
            <w:shd w:val="clear" w:color="auto" w:fill="auto"/>
            <w:noWrap/>
            <w:vAlign w:val="center"/>
          </w:tcPr>
          <w:p w14:paraId="3575A5E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23</w:t>
            </w:r>
          </w:p>
        </w:tc>
        <w:tc>
          <w:tcPr>
            <w:tcW w:w="1126" w:type="dxa"/>
            <w:tcBorders>
              <w:top w:val="nil"/>
              <w:left w:val="nil"/>
              <w:bottom w:val="nil"/>
              <w:right w:val="nil"/>
            </w:tcBorders>
            <w:shd w:val="clear" w:color="auto" w:fill="DAEEF3" w:themeFill="accent5" w:themeFillTint="33"/>
            <w:noWrap/>
            <w:vAlign w:val="center"/>
          </w:tcPr>
          <w:p w14:paraId="7D6AF41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23</w:t>
            </w:r>
          </w:p>
        </w:tc>
        <w:tc>
          <w:tcPr>
            <w:tcW w:w="1126" w:type="dxa"/>
            <w:tcBorders>
              <w:top w:val="nil"/>
              <w:left w:val="nil"/>
              <w:bottom w:val="nil"/>
              <w:right w:val="nil"/>
            </w:tcBorders>
            <w:shd w:val="clear" w:color="auto" w:fill="auto"/>
            <w:noWrap/>
            <w:vAlign w:val="center"/>
          </w:tcPr>
          <w:p w14:paraId="0B243B9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29</w:t>
            </w:r>
          </w:p>
        </w:tc>
        <w:tc>
          <w:tcPr>
            <w:tcW w:w="1126" w:type="dxa"/>
            <w:tcBorders>
              <w:top w:val="nil"/>
              <w:left w:val="nil"/>
              <w:bottom w:val="nil"/>
              <w:right w:val="nil"/>
            </w:tcBorders>
            <w:shd w:val="clear" w:color="auto" w:fill="DAEEF3" w:themeFill="accent5" w:themeFillTint="33"/>
            <w:noWrap/>
            <w:vAlign w:val="center"/>
          </w:tcPr>
          <w:p w14:paraId="080F63F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27</w:t>
            </w:r>
          </w:p>
        </w:tc>
        <w:tc>
          <w:tcPr>
            <w:tcW w:w="1126" w:type="dxa"/>
            <w:tcBorders>
              <w:top w:val="nil"/>
              <w:left w:val="nil"/>
              <w:bottom w:val="nil"/>
              <w:right w:val="nil"/>
            </w:tcBorders>
            <w:shd w:val="clear" w:color="auto" w:fill="auto"/>
            <w:noWrap/>
            <w:vAlign w:val="center"/>
          </w:tcPr>
          <w:p w14:paraId="517B504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52</w:t>
            </w:r>
          </w:p>
        </w:tc>
        <w:tc>
          <w:tcPr>
            <w:tcW w:w="1126" w:type="dxa"/>
            <w:tcBorders>
              <w:top w:val="nil"/>
              <w:left w:val="nil"/>
              <w:bottom w:val="nil"/>
              <w:right w:val="nil"/>
            </w:tcBorders>
            <w:shd w:val="clear" w:color="auto" w:fill="DAEEF3" w:themeFill="accent5" w:themeFillTint="33"/>
            <w:noWrap/>
            <w:vAlign w:val="center"/>
          </w:tcPr>
          <w:p w14:paraId="02C3813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35</w:t>
            </w:r>
          </w:p>
        </w:tc>
        <w:tc>
          <w:tcPr>
            <w:tcW w:w="1126" w:type="dxa"/>
            <w:tcBorders>
              <w:top w:val="nil"/>
              <w:left w:val="nil"/>
              <w:bottom w:val="nil"/>
              <w:right w:val="nil"/>
            </w:tcBorders>
            <w:shd w:val="clear" w:color="auto" w:fill="auto"/>
            <w:noWrap/>
            <w:vAlign w:val="center"/>
          </w:tcPr>
          <w:p w14:paraId="214026F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14</w:t>
            </w:r>
          </w:p>
        </w:tc>
        <w:tc>
          <w:tcPr>
            <w:tcW w:w="1126" w:type="dxa"/>
            <w:tcBorders>
              <w:top w:val="nil"/>
              <w:left w:val="nil"/>
              <w:bottom w:val="nil"/>
              <w:right w:val="nil"/>
            </w:tcBorders>
            <w:shd w:val="clear" w:color="auto" w:fill="DAEEF3" w:themeFill="accent5" w:themeFillTint="33"/>
            <w:noWrap/>
            <w:vAlign w:val="center"/>
          </w:tcPr>
          <w:p w14:paraId="3524B139"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18</w:t>
            </w:r>
          </w:p>
        </w:tc>
        <w:tc>
          <w:tcPr>
            <w:tcW w:w="1126" w:type="dxa"/>
            <w:tcBorders>
              <w:top w:val="nil"/>
              <w:left w:val="nil"/>
              <w:bottom w:val="nil"/>
              <w:right w:val="nil"/>
            </w:tcBorders>
            <w:shd w:val="clear" w:color="auto" w:fill="auto"/>
            <w:noWrap/>
            <w:vAlign w:val="center"/>
          </w:tcPr>
          <w:p w14:paraId="5BAFA51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11</w:t>
            </w:r>
          </w:p>
        </w:tc>
        <w:tc>
          <w:tcPr>
            <w:tcW w:w="1127" w:type="dxa"/>
            <w:tcBorders>
              <w:top w:val="nil"/>
              <w:left w:val="nil"/>
              <w:bottom w:val="nil"/>
              <w:right w:val="single" w:sz="4" w:space="0" w:color="auto"/>
            </w:tcBorders>
            <w:shd w:val="clear" w:color="auto" w:fill="DAEEF3" w:themeFill="accent5" w:themeFillTint="33"/>
            <w:noWrap/>
            <w:vAlign w:val="center"/>
          </w:tcPr>
          <w:p w14:paraId="7C5DEEF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14</w:t>
            </w:r>
          </w:p>
        </w:tc>
        <w:tc>
          <w:tcPr>
            <w:tcW w:w="1275" w:type="dxa"/>
            <w:tcBorders>
              <w:top w:val="nil"/>
              <w:left w:val="nil"/>
              <w:bottom w:val="nil"/>
              <w:right w:val="single" w:sz="4" w:space="0" w:color="auto"/>
            </w:tcBorders>
            <w:shd w:val="clear" w:color="auto" w:fill="auto"/>
            <w:vAlign w:val="center"/>
          </w:tcPr>
          <w:p w14:paraId="3AA6A5F2" w14:textId="77777777" w:rsidR="00A42FBC" w:rsidRPr="00A42FBC" w:rsidRDefault="00A42FBC" w:rsidP="00CE2FDF">
            <w:pPr>
              <w:spacing w:before="0" w:line="276" w:lineRule="auto"/>
              <w:jc w:val="right"/>
              <w:rPr>
                <w:b/>
                <w:bCs/>
                <w:color w:val="000000"/>
                <w:sz w:val="20"/>
                <w:szCs w:val="20"/>
              </w:rPr>
            </w:pPr>
            <w:r w:rsidRPr="00A42FBC">
              <w:rPr>
                <w:rFonts w:cs="Arial"/>
                <w:b/>
                <w:bCs/>
                <w:color w:val="000000"/>
                <w:sz w:val="20"/>
                <w:szCs w:val="20"/>
              </w:rPr>
              <w:t>-39%</w:t>
            </w:r>
          </w:p>
        </w:tc>
      </w:tr>
      <w:tr w:rsidR="00A42FBC" w:rsidRPr="005D61DD" w14:paraId="2184973C" w14:textId="77777777" w:rsidTr="00A42FBC">
        <w:trPr>
          <w:trHeight w:val="204"/>
        </w:trPr>
        <w:tc>
          <w:tcPr>
            <w:tcW w:w="2221" w:type="dxa"/>
            <w:tcBorders>
              <w:top w:val="nil"/>
              <w:left w:val="single" w:sz="4" w:space="0" w:color="auto"/>
              <w:bottom w:val="nil"/>
              <w:right w:val="nil"/>
            </w:tcBorders>
            <w:shd w:val="clear" w:color="auto" w:fill="DAEEF3" w:themeFill="accent5" w:themeFillTint="33"/>
            <w:noWrap/>
            <w:hideMark/>
          </w:tcPr>
          <w:p w14:paraId="766ACE9C"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Major mandated reporter groups combined</w:t>
            </w:r>
          </w:p>
        </w:tc>
        <w:tc>
          <w:tcPr>
            <w:tcW w:w="1126" w:type="dxa"/>
            <w:tcBorders>
              <w:top w:val="nil"/>
              <w:left w:val="nil"/>
              <w:bottom w:val="nil"/>
              <w:right w:val="nil"/>
            </w:tcBorders>
            <w:shd w:val="clear" w:color="auto" w:fill="auto"/>
            <w:noWrap/>
            <w:vAlign w:val="center"/>
          </w:tcPr>
          <w:p w14:paraId="7A852B0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3,276</w:t>
            </w:r>
          </w:p>
        </w:tc>
        <w:tc>
          <w:tcPr>
            <w:tcW w:w="1126" w:type="dxa"/>
            <w:tcBorders>
              <w:top w:val="nil"/>
              <w:left w:val="nil"/>
              <w:bottom w:val="nil"/>
              <w:right w:val="nil"/>
            </w:tcBorders>
            <w:shd w:val="clear" w:color="auto" w:fill="DAEEF3" w:themeFill="accent5" w:themeFillTint="33"/>
            <w:noWrap/>
            <w:vAlign w:val="center"/>
          </w:tcPr>
          <w:p w14:paraId="61D0D58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3,048</w:t>
            </w:r>
          </w:p>
        </w:tc>
        <w:tc>
          <w:tcPr>
            <w:tcW w:w="1126" w:type="dxa"/>
            <w:tcBorders>
              <w:top w:val="nil"/>
              <w:left w:val="nil"/>
              <w:bottom w:val="nil"/>
              <w:right w:val="nil"/>
            </w:tcBorders>
            <w:shd w:val="clear" w:color="auto" w:fill="auto"/>
            <w:noWrap/>
            <w:vAlign w:val="center"/>
          </w:tcPr>
          <w:p w14:paraId="239D87F9"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3,021</w:t>
            </w:r>
          </w:p>
        </w:tc>
        <w:tc>
          <w:tcPr>
            <w:tcW w:w="1126" w:type="dxa"/>
            <w:tcBorders>
              <w:top w:val="nil"/>
              <w:left w:val="nil"/>
              <w:bottom w:val="nil"/>
              <w:right w:val="nil"/>
            </w:tcBorders>
            <w:shd w:val="clear" w:color="auto" w:fill="DAEEF3" w:themeFill="accent5" w:themeFillTint="33"/>
            <w:noWrap/>
            <w:vAlign w:val="center"/>
          </w:tcPr>
          <w:p w14:paraId="6D7617B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2,648</w:t>
            </w:r>
          </w:p>
        </w:tc>
        <w:tc>
          <w:tcPr>
            <w:tcW w:w="1126" w:type="dxa"/>
            <w:tcBorders>
              <w:top w:val="nil"/>
              <w:left w:val="nil"/>
              <w:bottom w:val="nil"/>
              <w:right w:val="nil"/>
            </w:tcBorders>
            <w:shd w:val="clear" w:color="auto" w:fill="auto"/>
            <w:noWrap/>
            <w:vAlign w:val="center"/>
          </w:tcPr>
          <w:p w14:paraId="6678095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4,773</w:t>
            </w:r>
          </w:p>
        </w:tc>
        <w:tc>
          <w:tcPr>
            <w:tcW w:w="1126" w:type="dxa"/>
            <w:tcBorders>
              <w:top w:val="nil"/>
              <w:left w:val="nil"/>
              <w:bottom w:val="nil"/>
              <w:right w:val="nil"/>
            </w:tcBorders>
            <w:shd w:val="clear" w:color="auto" w:fill="DAEEF3" w:themeFill="accent5" w:themeFillTint="33"/>
            <w:noWrap/>
            <w:vAlign w:val="center"/>
          </w:tcPr>
          <w:p w14:paraId="260C1ED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2,752</w:t>
            </w:r>
          </w:p>
        </w:tc>
        <w:tc>
          <w:tcPr>
            <w:tcW w:w="1126" w:type="dxa"/>
            <w:tcBorders>
              <w:top w:val="nil"/>
              <w:left w:val="nil"/>
              <w:bottom w:val="nil"/>
              <w:right w:val="nil"/>
            </w:tcBorders>
            <w:shd w:val="clear" w:color="auto" w:fill="auto"/>
            <w:noWrap/>
            <w:vAlign w:val="center"/>
          </w:tcPr>
          <w:p w14:paraId="3A06C5D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1,424</w:t>
            </w:r>
          </w:p>
        </w:tc>
        <w:tc>
          <w:tcPr>
            <w:tcW w:w="1126" w:type="dxa"/>
            <w:tcBorders>
              <w:top w:val="nil"/>
              <w:left w:val="nil"/>
              <w:bottom w:val="nil"/>
              <w:right w:val="nil"/>
            </w:tcBorders>
            <w:shd w:val="clear" w:color="auto" w:fill="DAEEF3" w:themeFill="accent5" w:themeFillTint="33"/>
            <w:noWrap/>
            <w:vAlign w:val="center"/>
          </w:tcPr>
          <w:p w14:paraId="30E180E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1,580</w:t>
            </w:r>
          </w:p>
        </w:tc>
        <w:tc>
          <w:tcPr>
            <w:tcW w:w="1126" w:type="dxa"/>
            <w:tcBorders>
              <w:top w:val="nil"/>
              <w:left w:val="nil"/>
              <w:bottom w:val="nil"/>
              <w:right w:val="nil"/>
            </w:tcBorders>
            <w:shd w:val="clear" w:color="auto" w:fill="auto"/>
            <w:noWrap/>
            <w:vAlign w:val="center"/>
          </w:tcPr>
          <w:p w14:paraId="561A308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1,942</w:t>
            </w:r>
          </w:p>
        </w:tc>
        <w:tc>
          <w:tcPr>
            <w:tcW w:w="1127" w:type="dxa"/>
            <w:tcBorders>
              <w:top w:val="nil"/>
              <w:left w:val="nil"/>
              <w:bottom w:val="nil"/>
              <w:right w:val="single" w:sz="4" w:space="0" w:color="auto"/>
            </w:tcBorders>
            <w:shd w:val="clear" w:color="auto" w:fill="DAEEF3" w:themeFill="accent5" w:themeFillTint="33"/>
            <w:noWrap/>
            <w:vAlign w:val="center"/>
          </w:tcPr>
          <w:p w14:paraId="45C4570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1,692</w:t>
            </w:r>
          </w:p>
        </w:tc>
        <w:tc>
          <w:tcPr>
            <w:tcW w:w="1275" w:type="dxa"/>
            <w:tcBorders>
              <w:top w:val="nil"/>
              <w:left w:val="nil"/>
              <w:bottom w:val="nil"/>
              <w:right w:val="single" w:sz="4" w:space="0" w:color="auto"/>
            </w:tcBorders>
            <w:shd w:val="clear" w:color="auto" w:fill="auto"/>
            <w:vAlign w:val="center"/>
          </w:tcPr>
          <w:p w14:paraId="184B72EC" w14:textId="77777777" w:rsidR="00A42FBC" w:rsidRPr="00A42FBC" w:rsidRDefault="00A42FBC" w:rsidP="00CE2FDF">
            <w:pPr>
              <w:spacing w:before="0" w:line="276" w:lineRule="auto"/>
              <w:jc w:val="right"/>
              <w:rPr>
                <w:b/>
                <w:bCs/>
                <w:color w:val="000000"/>
                <w:sz w:val="20"/>
                <w:szCs w:val="20"/>
              </w:rPr>
            </w:pPr>
            <w:r w:rsidRPr="00A42FBC">
              <w:rPr>
                <w:rFonts w:cs="Arial"/>
                <w:b/>
                <w:bCs/>
                <w:color w:val="000000"/>
                <w:sz w:val="20"/>
                <w:szCs w:val="20"/>
              </w:rPr>
              <w:t>-48%</w:t>
            </w:r>
          </w:p>
        </w:tc>
      </w:tr>
      <w:tr w:rsidR="00A42FBC" w:rsidRPr="005D61DD" w14:paraId="6475406B" w14:textId="77777777" w:rsidTr="00A42FBC">
        <w:trPr>
          <w:trHeight w:val="204"/>
        </w:trPr>
        <w:tc>
          <w:tcPr>
            <w:tcW w:w="2221" w:type="dxa"/>
            <w:tcBorders>
              <w:top w:val="nil"/>
              <w:left w:val="single" w:sz="4" w:space="0" w:color="auto"/>
              <w:bottom w:val="nil"/>
              <w:right w:val="nil"/>
            </w:tcBorders>
            <w:shd w:val="clear" w:color="auto" w:fill="DAEEF3" w:themeFill="accent5" w:themeFillTint="33"/>
            <w:noWrap/>
            <w:hideMark/>
          </w:tcPr>
          <w:p w14:paraId="76AAA7EB"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Other reporter groups combined</w:t>
            </w:r>
          </w:p>
        </w:tc>
        <w:tc>
          <w:tcPr>
            <w:tcW w:w="1126" w:type="dxa"/>
            <w:tcBorders>
              <w:top w:val="nil"/>
              <w:left w:val="nil"/>
              <w:bottom w:val="nil"/>
              <w:right w:val="nil"/>
            </w:tcBorders>
            <w:shd w:val="clear" w:color="auto" w:fill="auto"/>
            <w:noWrap/>
            <w:vAlign w:val="center"/>
          </w:tcPr>
          <w:p w14:paraId="0BF8DB6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8,753</w:t>
            </w:r>
          </w:p>
        </w:tc>
        <w:tc>
          <w:tcPr>
            <w:tcW w:w="1126" w:type="dxa"/>
            <w:tcBorders>
              <w:top w:val="nil"/>
              <w:left w:val="nil"/>
              <w:bottom w:val="nil"/>
              <w:right w:val="nil"/>
            </w:tcBorders>
            <w:shd w:val="clear" w:color="auto" w:fill="DAEEF3" w:themeFill="accent5" w:themeFillTint="33"/>
            <w:noWrap/>
            <w:vAlign w:val="center"/>
          </w:tcPr>
          <w:p w14:paraId="6504FF9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8,654</w:t>
            </w:r>
          </w:p>
        </w:tc>
        <w:tc>
          <w:tcPr>
            <w:tcW w:w="1126" w:type="dxa"/>
            <w:tcBorders>
              <w:top w:val="nil"/>
              <w:left w:val="nil"/>
              <w:bottom w:val="nil"/>
              <w:right w:val="nil"/>
            </w:tcBorders>
            <w:shd w:val="clear" w:color="auto" w:fill="auto"/>
            <w:noWrap/>
            <w:vAlign w:val="center"/>
          </w:tcPr>
          <w:p w14:paraId="0BCD23A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8,274</w:t>
            </w:r>
          </w:p>
        </w:tc>
        <w:tc>
          <w:tcPr>
            <w:tcW w:w="1126" w:type="dxa"/>
            <w:tcBorders>
              <w:top w:val="nil"/>
              <w:left w:val="nil"/>
              <w:bottom w:val="nil"/>
              <w:right w:val="nil"/>
            </w:tcBorders>
            <w:shd w:val="clear" w:color="auto" w:fill="DAEEF3" w:themeFill="accent5" w:themeFillTint="33"/>
            <w:noWrap/>
            <w:vAlign w:val="center"/>
          </w:tcPr>
          <w:p w14:paraId="57DDD6E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6,977</w:t>
            </w:r>
          </w:p>
        </w:tc>
        <w:tc>
          <w:tcPr>
            <w:tcW w:w="1126" w:type="dxa"/>
            <w:tcBorders>
              <w:top w:val="nil"/>
              <w:left w:val="nil"/>
              <w:bottom w:val="nil"/>
              <w:right w:val="nil"/>
            </w:tcBorders>
            <w:shd w:val="clear" w:color="auto" w:fill="auto"/>
            <w:noWrap/>
            <w:vAlign w:val="center"/>
          </w:tcPr>
          <w:p w14:paraId="7489FA7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10,005</w:t>
            </w:r>
          </w:p>
        </w:tc>
        <w:tc>
          <w:tcPr>
            <w:tcW w:w="1126" w:type="dxa"/>
            <w:tcBorders>
              <w:top w:val="nil"/>
              <w:left w:val="nil"/>
              <w:bottom w:val="nil"/>
              <w:right w:val="nil"/>
            </w:tcBorders>
            <w:shd w:val="clear" w:color="auto" w:fill="DAEEF3" w:themeFill="accent5" w:themeFillTint="33"/>
            <w:noWrap/>
            <w:vAlign w:val="center"/>
          </w:tcPr>
          <w:p w14:paraId="6C5B6B7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5,849</w:t>
            </w:r>
          </w:p>
        </w:tc>
        <w:tc>
          <w:tcPr>
            <w:tcW w:w="1126" w:type="dxa"/>
            <w:tcBorders>
              <w:top w:val="nil"/>
              <w:left w:val="nil"/>
              <w:bottom w:val="nil"/>
              <w:right w:val="nil"/>
            </w:tcBorders>
            <w:shd w:val="clear" w:color="auto" w:fill="auto"/>
            <w:noWrap/>
            <w:vAlign w:val="center"/>
          </w:tcPr>
          <w:p w14:paraId="0A35CCC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2,633</w:t>
            </w:r>
          </w:p>
        </w:tc>
        <w:tc>
          <w:tcPr>
            <w:tcW w:w="1126" w:type="dxa"/>
            <w:tcBorders>
              <w:top w:val="nil"/>
              <w:left w:val="nil"/>
              <w:bottom w:val="nil"/>
              <w:right w:val="nil"/>
            </w:tcBorders>
            <w:shd w:val="clear" w:color="auto" w:fill="DAEEF3" w:themeFill="accent5" w:themeFillTint="33"/>
            <w:noWrap/>
            <w:vAlign w:val="center"/>
          </w:tcPr>
          <w:p w14:paraId="4CFCE7F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3,195</w:t>
            </w:r>
          </w:p>
        </w:tc>
        <w:tc>
          <w:tcPr>
            <w:tcW w:w="1126" w:type="dxa"/>
            <w:tcBorders>
              <w:top w:val="nil"/>
              <w:left w:val="nil"/>
              <w:bottom w:val="nil"/>
              <w:right w:val="nil"/>
            </w:tcBorders>
            <w:shd w:val="clear" w:color="auto" w:fill="auto"/>
            <w:noWrap/>
            <w:vAlign w:val="center"/>
          </w:tcPr>
          <w:p w14:paraId="1D5B14F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3,733</w:t>
            </w:r>
          </w:p>
        </w:tc>
        <w:tc>
          <w:tcPr>
            <w:tcW w:w="1127" w:type="dxa"/>
            <w:tcBorders>
              <w:top w:val="nil"/>
              <w:left w:val="nil"/>
              <w:bottom w:val="nil"/>
              <w:right w:val="single" w:sz="4" w:space="0" w:color="auto"/>
            </w:tcBorders>
            <w:shd w:val="clear" w:color="auto" w:fill="DAEEF3" w:themeFill="accent5" w:themeFillTint="33"/>
            <w:noWrap/>
            <w:vAlign w:val="center"/>
          </w:tcPr>
          <w:p w14:paraId="4A4030B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3,210</w:t>
            </w:r>
          </w:p>
        </w:tc>
        <w:tc>
          <w:tcPr>
            <w:tcW w:w="1275" w:type="dxa"/>
            <w:tcBorders>
              <w:top w:val="nil"/>
              <w:left w:val="nil"/>
              <w:bottom w:val="nil"/>
              <w:right w:val="single" w:sz="4" w:space="0" w:color="auto"/>
            </w:tcBorders>
            <w:shd w:val="clear" w:color="auto" w:fill="auto"/>
            <w:vAlign w:val="center"/>
          </w:tcPr>
          <w:p w14:paraId="1B995597" w14:textId="77777777" w:rsidR="00A42FBC" w:rsidRPr="00A42FBC" w:rsidRDefault="00A42FBC" w:rsidP="00CE2FDF">
            <w:pPr>
              <w:spacing w:before="0" w:line="276" w:lineRule="auto"/>
              <w:jc w:val="right"/>
              <w:rPr>
                <w:b/>
                <w:bCs/>
                <w:color w:val="000000"/>
                <w:sz w:val="20"/>
                <w:szCs w:val="20"/>
              </w:rPr>
            </w:pPr>
            <w:r w:rsidRPr="00A42FBC">
              <w:rPr>
                <w:rFonts w:cs="Arial"/>
                <w:b/>
                <w:bCs/>
                <w:color w:val="000000"/>
                <w:sz w:val="20"/>
                <w:szCs w:val="20"/>
              </w:rPr>
              <w:t>-63%</w:t>
            </w:r>
          </w:p>
        </w:tc>
      </w:tr>
      <w:tr w:rsidR="00A42FBC" w:rsidRPr="005D61DD" w14:paraId="6ABAC5D1" w14:textId="77777777" w:rsidTr="00A42FBC">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01353C6A" w14:textId="77777777" w:rsidR="00A42FBC" w:rsidRPr="005D61DD" w:rsidRDefault="00A42FBC" w:rsidP="00CE2FDF">
            <w:pPr>
              <w:spacing w:before="0" w:line="276" w:lineRule="auto"/>
              <w:rPr>
                <w:rFonts w:eastAsia="Times New Roman" w:cs="Arial"/>
                <w:b/>
                <w:sz w:val="20"/>
                <w:szCs w:val="20"/>
                <w:lang w:eastAsia="en-AU"/>
              </w:rPr>
            </w:pPr>
            <w:r w:rsidRPr="005D61DD">
              <w:rPr>
                <w:rFonts w:eastAsia="Times New Roman" w:cs="Arial"/>
                <w:b/>
                <w:sz w:val="20"/>
                <w:szCs w:val="20"/>
                <w:lang w:eastAsia="en-AU"/>
              </w:rPr>
              <w:t>Total reports:</w:t>
            </w:r>
          </w:p>
        </w:tc>
        <w:tc>
          <w:tcPr>
            <w:tcW w:w="1126" w:type="dxa"/>
            <w:tcBorders>
              <w:top w:val="nil"/>
              <w:left w:val="nil"/>
              <w:bottom w:val="single" w:sz="4" w:space="0" w:color="auto"/>
              <w:right w:val="nil"/>
            </w:tcBorders>
            <w:shd w:val="clear" w:color="auto" w:fill="auto"/>
            <w:noWrap/>
            <w:vAlign w:val="center"/>
          </w:tcPr>
          <w:p w14:paraId="725B656D"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12,029</w:t>
            </w:r>
          </w:p>
        </w:tc>
        <w:tc>
          <w:tcPr>
            <w:tcW w:w="1126" w:type="dxa"/>
            <w:tcBorders>
              <w:top w:val="nil"/>
              <w:left w:val="nil"/>
              <w:bottom w:val="single" w:sz="4" w:space="0" w:color="auto"/>
              <w:right w:val="nil"/>
            </w:tcBorders>
            <w:shd w:val="clear" w:color="auto" w:fill="DAEEF3" w:themeFill="accent5" w:themeFillTint="33"/>
            <w:noWrap/>
            <w:vAlign w:val="center"/>
          </w:tcPr>
          <w:p w14:paraId="374F0C46"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11,702</w:t>
            </w:r>
          </w:p>
        </w:tc>
        <w:tc>
          <w:tcPr>
            <w:tcW w:w="1126" w:type="dxa"/>
            <w:tcBorders>
              <w:top w:val="nil"/>
              <w:left w:val="nil"/>
              <w:bottom w:val="single" w:sz="4" w:space="0" w:color="auto"/>
              <w:right w:val="nil"/>
            </w:tcBorders>
            <w:shd w:val="clear" w:color="auto" w:fill="auto"/>
            <w:noWrap/>
            <w:vAlign w:val="center"/>
          </w:tcPr>
          <w:p w14:paraId="6E969A3D"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11,295</w:t>
            </w:r>
          </w:p>
        </w:tc>
        <w:tc>
          <w:tcPr>
            <w:tcW w:w="1126" w:type="dxa"/>
            <w:tcBorders>
              <w:top w:val="nil"/>
              <w:left w:val="nil"/>
              <w:bottom w:val="single" w:sz="4" w:space="0" w:color="auto"/>
              <w:right w:val="nil"/>
            </w:tcBorders>
            <w:shd w:val="clear" w:color="auto" w:fill="DAEEF3" w:themeFill="accent5" w:themeFillTint="33"/>
            <w:noWrap/>
            <w:vAlign w:val="center"/>
          </w:tcPr>
          <w:p w14:paraId="22A81AEF"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9,625</w:t>
            </w:r>
          </w:p>
        </w:tc>
        <w:tc>
          <w:tcPr>
            <w:tcW w:w="1126" w:type="dxa"/>
            <w:tcBorders>
              <w:top w:val="nil"/>
              <w:left w:val="nil"/>
              <w:bottom w:val="single" w:sz="4" w:space="0" w:color="auto"/>
              <w:right w:val="nil"/>
            </w:tcBorders>
            <w:shd w:val="clear" w:color="auto" w:fill="auto"/>
            <w:noWrap/>
            <w:vAlign w:val="center"/>
          </w:tcPr>
          <w:p w14:paraId="261E1792"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14,778</w:t>
            </w:r>
          </w:p>
        </w:tc>
        <w:tc>
          <w:tcPr>
            <w:tcW w:w="1126" w:type="dxa"/>
            <w:tcBorders>
              <w:top w:val="nil"/>
              <w:left w:val="nil"/>
              <w:bottom w:val="single" w:sz="4" w:space="0" w:color="auto"/>
              <w:right w:val="nil"/>
            </w:tcBorders>
            <w:shd w:val="clear" w:color="auto" w:fill="DAEEF3" w:themeFill="accent5" w:themeFillTint="33"/>
            <w:noWrap/>
            <w:vAlign w:val="center"/>
          </w:tcPr>
          <w:p w14:paraId="6B7B0039"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8,601</w:t>
            </w:r>
          </w:p>
        </w:tc>
        <w:tc>
          <w:tcPr>
            <w:tcW w:w="1126" w:type="dxa"/>
            <w:tcBorders>
              <w:top w:val="nil"/>
              <w:left w:val="nil"/>
              <w:bottom w:val="single" w:sz="4" w:space="0" w:color="auto"/>
              <w:right w:val="nil"/>
            </w:tcBorders>
            <w:shd w:val="clear" w:color="auto" w:fill="auto"/>
            <w:noWrap/>
            <w:vAlign w:val="center"/>
          </w:tcPr>
          <w:p w14:paraId="68C46FC8"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4,057</w:t>
            </w:r>
          </w:p>
        </w:tc>
        <w:tc>
          <w:tcPr>
            <w:tcW w:w="1126" w:type="dxa"/>
            <w:tcBorders>
              <w:top w:val="nil"/>
              <w:left w:val="nil"/>
              <w:bottom w:val="single" w:sz="4" w:space="0" w:color="auto"/>
              <w:right w:val="nil"/>
            </w:tcBorders>
            <w:shd w:val="clear" w:color="auto" w:fill="DAEEF3" w:themeFill="accent5" w:themeFillTint="33"/>
            <w:noWrap/>
            <w:vAlign w:val="center"/>
          </w:tcPr>
          <w:p w14:paraId="53014D35"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4,775</w:t>
            </w:r>
          </w:p>
        </w:tc>
        <w:tc>
          <w:tcPr>
            <w:tcW w:w="1126" w:type="dxa"/>
            <w:tcBorders>
              <w:top w:val="nil"/>
              <w:left w:val="nil"/>
              <w:bottom w:val="single" w:sz="4" w:space="0" w:color="auto"/>
              <w:right w:val="nil"/>
            </w:tcBorders>
            <w:shd w:val="clear" w:color="auto" w:fill="auto"/>
            <w:noWrap/>
            <w:vAlign w:val="center"/>
          </w:tcPr>
          <w:p w14:paraId="73FBC643"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5,675</w:t>
            </w:r>
          </w:p>
        </w:tc>
        <w:tc>
          <w:tcPr>
            <w:tcW w:w="1127" w:type="dxa"/>
            <w:tcBorders>
              <w:top w:val="nil"/>
              <w:left w:val="nil"/>
              <w:bottom w:val="single" w:sz="4" w:space="0" w:color="auto"/>
              <w:right w:val="single" w:sz="4" w:space="0" w:color="auto"/>
            </w:tcBorders>
            <w:shd w:val="clear" w:color="auto" w:fill="DAEEF3" w:themeFill="accent5" w:themeFillTint="33"/>
            <w:noWrap/>
            <w:vAlign w:val="center"/>
          </w:tcPr>
          <w:p w14:paraId="1CF1FAA5"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4,902</w:t>
            </w:r>
          </w:p>
        </w:tc>
        <w:tc>
          <w:tcPr>
            <w:tcW w:w="1275" w:type="dxa"/>
            <w:tcBorders>
              <w:top w:val="nil"/>
              <w:left w:val="nil"/>
              <w:bottom w:val="single" w:sz="4" w:space="0" w:color="auto"/>
              <w:right w:val="single" w:sz="4" w:space="0" w:color="auto"/>
            </w:tcBorders>
            <w:shd w:val="clear" w:color="auto" w:fill="auto"/>
            <w:vAlign w:val="center"/>
          </w:tcPr>
          <w:p w14:paraId="0A293AA0"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-59%</w:t>
            </w:r>
          </w:p>
        </w:tc>
      </w:tr>
    </w:tbl>
    <w:p w14:paraId="1A43DDE3" w14:textId="77777777" w:rsidR="005D61DD" w:rsidRDefault="005D61DD" w:rsidP="00181ABA">
      <w:pPr>
        <w:spacing w:line="276" w:lineRule="auto"/>
      </w:pPr>
      <w:r>
        <w:br w:type="page"/>
      </w:r>
    </w:p>
    <w:tbl>
      <w:tblPr>
        <w:tblW w:w="14757" w:type="dxa"/>
        <w:tblInd w:w="93" w:type="dxa"/>
        <w:tblLayout w:type="fixed"/>
        <w:tblLook w:val="04A0" w:firstRow="1" w:lastRow="0" w:firstColumn="1" w:lastColumn="0" w:noHBand="0" w:noVBand="1"/>
      </w:tblPr>
      <w:tblGrid>
        <w:gridCol w:w="2221"/>
        <w:gridCol w:w="1126"/>
        <w:gridCol w:w="1126"/>
        <w:gridCol w:w="1126"/>
        <w:gridCol w:w="1126"/>
        <w:gridCol w:w="1126"/>
        <w:gridCol w:w="1126"/>
        <w:gridCol w:w="1126"/>
        <w:gridCol w:w="1126"/>
        <w:gridCol w:w="1126"/>
        <w:gridCol w:w="1127"/>
        <w:gridCol w:w="1275"/>
      </w:tblGrid>
      <w:tr w:rsidR="005D61DD" w:rsidRPr="005D61DD" w14:paraId="3768FA68" w14:textId="77777777" w:rsidTr="00181ABA">
        <w:trPr>
          <w:trHeight w:val="324"/>
          <w:tblHeader/>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38A403B7" w14:textId="77777777" w:rsidR="005D61DD" w:rsidRPr="005D61DD" w:rsidRDefault="005D61DD" w:rsidP="00CE2FDF">
            <w:pPr>
              <w:spacing w:before="0" w:line="276" w:lineRule="auto"/>
              <w:jc w:val="right"/>
              <w:rPr>
                <w:rFonts w:eastAsia="Times New Roman" w:cs="Arial"/>
                <w:b/>
                <w:bCs/>
                <w:sz w:val="20"/>
                <w:szCs w:val="20"/>
                <w:lang w:eastAsia="en-AU"/>
              </w:rPr>
            </w:pP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072F4A71"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2003</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3C47850D"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2004</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1EC81FD0"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2005</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7E792B1A"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2006</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09777BA9"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2007</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47CFB592"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2008</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06757E34"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2009</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64775466"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2010</w:t>
            </w:r>
          </w:p>
        </w:tc>
        <w:tc>
          <w:tcPr>
            <w:tcW w:w="1126" w:type="dxa"/>
            <w:tcBorders>
              <w:top w:val="single" w:sz="4" w:space="0" w:color="auto"/>
              <w:left w:val="nil"/>
              <w:bottom w:val="single" w:sz="4" w:space="0" w:color="auto"/>
              <w:right w:val="nil"/>
            </w:tcBorders>
            <w:shd w:val="clear" w:color="auto" w:fill="D9D9D9" w:themeFill="background1" w:themeFillShade="D9"/>
            <w:noWrap/>
            <w:vAlign w:val="center"/>
            <w:hideMark/>
          </w:tcPr>
          <w:p w14:paraId="50EDC025"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2011</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BF12548"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2012</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tcPr>
          <w:p w14:paraId="7D300CD3" w14:textId="77777777" w:rsidR="005D61DD" w:rsidRPr="005D61DD" w:rsidRDefault="005D61DD" w:rsidP="00CE2FDF">
            <w:pPr>
              <w:spacing w:before="0" w:line="276" w:lineRule="auto"/>
              <w:jc w:val="right"/>
              <w:rPr>
                <w:rFonts w:eastAsia="Times New Roman" w:cs="Arial"/>
                <w:b/>
                <w:bCs/>
                <w:sz w:val="20"/>
                <w:szCs w:val="20"/>
                <w:lang w:eastAsia="en-AU"/>
              </w:rPr>
            </w:pPr>
            <w:r w:rsidRPr="005D61DD">
              <w:rPr>
                <w:rFonts w:eastAsia="Times New Roman" w:cs="Arial"/>
                <w:b/>
                <w:bCs/>
                <w:sz w:val="20"/>
                <w:szCs w:val="20"/>
                <w:lang w:eastAsia="en-AU"/>
              </w:rPr>
              <w:t>% change</w:t>
            </w:r>
          </w:p>
        </w:tc>
      </w:tr>
      <w:tr w:rsidR="00FE57AD" w:rsidRPr="005D61DD" w14:paraId="632C9C82" w14:textId="77777777" w:rsidTr="00C84E96">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15B3615" w14:textId="77777777" w:rsidR="00FE57AD" w:rsidRPr="005D61DD" w:rsidRDefault="00FE57AD" w:rsidP="00CE2FDF">
            <w:pPr>
              <w:keepNext/>
              <w:spacing w:before="0" w:line="276" w:lineRule="auto"/>
              <w:rPr>
                <w:rFonts w:eastAsia="Times New Roman" w:cs="Arial"/>
                <w:b/>
                <w:sz w:val="20"/>
                <w:szCs w:val="20"/>
                <w:lang w:eastAsia="en-AU"/>
              </w:rPr>
            </w:pPr>
            <w:r w:rsidRPr="005D61DD">
              <w:rPr>
                <w:rFonts w:eastAsia="Times New Roman" w:cs="Arial"/>
                <w:b/>
                <w:sz w:val="20"/>
                <w:szCs w:val="20"/>
                <w:lang w:eastAsia="en-AU"/>
              </w:rPr>
              <w:t>Physical Abuse</w:t>
            </w:r>
          </w:p>
        </w:tc>
        <w:tc>
          <w:tcPr>
            <w:tcW w:w="1126" w:type="dxa"/>
            <w:tcBorders>
              <w:top w:val="nil"/>
              <w:left w:val="nil"/>
              <w:bottom w:val="nil"/>
              <w:right w:val="nil"/>
            </w:tcBorders>
            <w:shd w:val="clear" w:color="auto" w:fill="auto"/>
            <w:noWrap/>
            <w:vAlign w:val="bottom"/>
            <w:hideMark/>
          </w:tcPr>
          <w:p w14:paraId="3336965A"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E5DFEC" w:themeFill="accent4" w:themeFillTint="33"/>
            <w:noWrap/>
            <w:vAlign w:val="bottom"/>
            <w:hideMark/>
          </w:tcPr>
          <w:p w14:paraId="5032C28D"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hideMark/>
          </w:tcPr>
          <w:p w14:paraId="465E7C7B"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E5DFEC" w:themeFill="accent4" w:themeFillTint="33"/>
            <w:noWrap/>
            <w:vAlign w:val="bottom"/>
            <w:hideMark/>
          </w:tcPr>
          <w:p w14:paraId="31DA4BAF"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hideMark/>
          </w:tcPr>
          <w:p w14:paraId="1E96399D"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E5DFEC" w:themeFill="accent4" w:themeFillTint="33"/>
            <w:noWrap/>
            <w:vAlign w:val="bottom"/>
            <w:hideMark/>
          </w:tcPr>
          <w:p w14:paraId="042D08FE"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hideMark/>
          </w:tcPr>
          <w:p w14:paraId="4EBE9A4A"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E5DFEC" w:themeFill="accent4" w:themeFillTint="33"/>
            <w:noWrap/>
            <w:vAlign w:val="bottom"/>
            <w:hideMark/>
          </w:tcPr>
          <w:p w14:paraId="0131F48F"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hideMark/>
          </w:tcPr>
          <w:p w14:paraId="747FC619"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127" w:type="dxa"/>
            <w:tcBorders>
              <w:top w:val="nil"/>
              <w:left w:val="nil"/>
              <w:bottom w:val="nil"/>
              <w:right w:val="single" w:sz="4" w:space="0" w:color="auto"/>
            </w:tcBorders>
            <w:shd w:val="clear" w:color="auto" w:fill="E5DFEC" w:themeFill="accent4" w:themeFillTint="33"/>
            <w:noWrap/>
            <w:vAlign w:val="bottom"/>
            <w:hideMark/>
          </w:tcPr>
          <w:p w14:paraId="64DF971B" w14:textId="77777777" w:rsidR="00FE57AD" w:rsidRPr="005D61DD" w:rsidRDefault="00FE57AD" w:rsidP="00CE2FDF">
            <w:pPr>
              <w:keepNext/>
              <w:spacing w:before="0" w:line="276" w:lineRule="auto"/>
              <w:jc w:val="right"/>
              <w:rPr>
                <w:rFonts w:eastAsia="Times New Roman" w:cs="Arial"/>
                <w:b/>
                <w:sz w:val="20"/>
                <w:szCs w:val="20"/>
                <w:lang w:eastAsia="en-AU"/>
              </w:rPr>
            </w:pPr>
          </w:p>
        </w:tc>
        <w:tc>
          <w:tcPr>
            <w:tcW w:w="1275" w:type="dxa"/>
            <w:tcBorders>
              <w:top w:val="nil"/>
              <w:left w:val="nil"/>
              <w:bottom w:val="nil"/>
              <w:right w:val="single" w:sz="4" w:space="0" w:color="auto"/>
            </w:tcBorders>
            <w:shd w:val="clear" w:color="auto" w:fill="auto"/>
          </w:tcPr>
          <w:p w14:paraId="70B4CD15" w14:textId="77777777" w:rsidR="00FE57AD" w:rsidRPr="005D61DD" w:rsidRDefault="00FE57AD" w:rsidP="00CE2FDF">
            <w:pPr>
              <w:keepNext/>
              <w:spacing w:before="0" w:line="276" w:lineRule="auto"/>
              <w:jc w:val="right"/>
              <w:rPr>
                <w:rFonts w:eastAsia="Times New Roman" w:cs="Arial"/>
                <w:b/>
                <w:sz w:val="20"/>
                <w:szCs w:val="20"/>
                <w:lang w:eastAsia="en-AU"/>
              </w:rPr>
            </w:pPr>
          </w:p>
        </w:tc>
      </w:tr>
      <w:tr w:rsidR="00A42FBC" w:rsidRPr="005D61DD" w14:paraId="60F6C33C" w14:textId="77777777" w:rsidTr="00A42FBC">
        <w:trPr>
          <w:trHeight w:val="204"/>
        </w:trPr>
        <w:tc>
          <w:tcPr>
            <w:tcW w:w="2221" w:type="dxa"/>
            <w:tcBorders>
              <w:top w:val="nil"/>
              <w:left w:val="single" w:sz="4" w:space="0" w:color="auto"/>
              <w:bottom w:val="nil"/>
              <w:right w:val="nil"/>
            </w:tcBorders>
            <w:shd w:val="clear" w:color="auto" w:fill="E5DFEC" w:themeFill="accent4" w:themeFillTint="33"/>
            <w:noWrap/>
            <w:hideMark/>
          </w:tcPr>
          <w:p w14:paraId="417D070F" w14:textId="77777777" w:rsidR="00A42FBC" w:rsidRPr="005D61DD" w:rsidRDefault="00A42FBC" w:rsidP="00CE2FDF">
            <w:pPr>
              <w:keepNext/>
              <w:spacing w:before="0" w:line="276" w:lineRule="auto"/>
              <w:rPr>
                <w:rFonts w:eastAsia="Times New Roman" w:cs="Arial"/>
                <w:bCs/>
                <w:sz w:val="20"/>
                <w:szCs w:val="20"/>
                <w:lang w:eastAsia="en-AU"/>
              </w:rPr>
            </w:pPr>
            <w:r w:rsidRPr="005D61DD">
              <w:rPr>
                <w:rFonts w:eastAsia="Times New Roman" w:cs="Arial"/>
                <w:bCs/>
                <w:sz w:val="20"/>
                <w:szCs w:val="20"/>
                <w:lang w:eastAsia="en-AU"/>
              </w:rPr>
              <w:t>Doctors</w:t>
            </w:r>
          </w:p>
        </w:tc>
        <w:tc>
          <w:tcPr>
            <w:tcW w:w="1126" w:type="dxa"/>
            <w:tcBorders>
              <w:top w:val="nil"/>
              <w:left w:val="nil"/>
              <w:bottom w:val="nil"/>
              <w:right w:val="nil"/>
            </w:tcBorders>
            <w:shd w:val="clear" w:color="auto" w:fill="auto"/>
            <w:noWrap/>
            <w:vAlign w:val="center"/>
          </w:tcPr>
          <w:p w14:paraId="7484B080"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382</w:t>
            </w:r>
          </w:p>
        </w:tc>
        <w:tc>
          <w:tcPr>
            <w:tcW w:w="1126" w:type="dxa"/>
            <w:tcBorders>
              <w:top w:val="nil"/>
              <w:left w:val="nil"/>
              <w:bottom w:val="nil"/>
              <w:right w:val="nil"/>
            </w:tcBorders>
            <w:shd w:val="clear" w:color="auto" w:fill="E5DFEC" w:themeFill="accent4" w:themeFillTint="33"/>
            <w:noWrap/>
            <w:vAlign w:val="center"/>
          </w:tcPr>
          <w:p w14:paraId="2174077A"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331</w:t>
            </w:r>
          </w:p>
        </w:tc>
        <w:tc>
          <w:tcPr>
            <w:tcW w:w="1126" w:type="dxa"/>
            <w:tcBorders>
              <w:top w:val="nil"/>
              <w:left w:val="nil"/>
              <w:bottom w:val="nil"/>
              <w:right w:val="nil"/>
            </w:tcBorders>
            <w:shd w:val="clear" w:color="auto" w:fill="auto"/>
            <w:noWrap/>
            <w:vAlign w:val="center"/>
          </w:tcPr>
          <w:p w14:paraId="7B4F993A"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276</w:t>
            </w:r>
          </w:p>
        </w:tc>
        <w:tc>
          <w:tcPr>
            <w:tcW w:w="1126" w:type="dxa"/>
            <w:tcBorders>
              <w:top w:val="nil"/>
              <w:left w:val="nil"/>
              <w:bottom w:val="nil"/>
              <w:right w:val="nil"/>
            </w:tcBorders>
            <w:shd w:val="clear" w:color="auto" w:fill="E5DFEC" w:themeFill="accent4" w:themeFillTint="33"/>
            <w:noWrap/>
            <w:vAlign w:val="center"/>
          </w:tcPr>
          <w:p w14:paraId="37B631F8"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302</w:t>
            </w:r>
          </w:p>
        </w:tc>
        <w:tc>
          <w:tcPr>
            <w:tcW w:w="1126" w:type="dxa"/>
            <w:tcBorders>
              <w:top w:val="nil"/>
              <w:left w:val="nil"/>
              <w:bottom w:val="nil"/>
              <w:right w:val="nil"/>
            </w:tcBorders>
            <w:shd w:val="clear" w:color="auto" w:fill="auto"/>
            <w:noWrap/>
            <w:vAlign w:val="center"/>
          </w:tcPr>
          <w:p w14:paraId="63A7C026"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267</w:t>
            </w:r>
          </w:p>
        </w:tc>
        <w:tc>
          <w:tcPr>
            <w:tcW w:w="1126" w:type="dxa"/>
            <w:tcBorders>
              <w:top w:val="nil"/>
              <w:left w:val="nil"/>
              <w:bottom w:val="nil"/>
              <w:right w:val="nil"/>
            </w:tcBorders>
            <w:shd w:val="clear" w:color="auto" w:fill="E5DFEC" w:themeFill="accent4" w:themeFillTint="33"/>
            <w:noWrap/>
            <w:vAlign w:val="center"/>
          </w:tcPr>
          <w:p w14:paraId="35834F77"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381</w:t>
            </w:r>
          </w:p>
        </w:tc>
        <w:tc>
          <w:tcPr>
            <w:tcW w:w="1126" w:type="dxa"/>
            <w:tcBorders>
              <w:top w:val="nil"/>
              <w:left w:val="nil"/>
              <w:bottom w:val="nil"/>
              <w:right w:val="nil"/>
            </w:tcBorders>
            <w:shd w:val="clear" w:color="auto" w:fill="auto"/>
            <w:noWrap/>
            <w:vAlign w:val="center"/>
          </w:tcPr>
          <w:p w14:paraId="098C6405"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407</w:t>
            </w:r>
          </w:p>
        </w:tc>
        <w:tc>
          <w:tcPr>
            <w:tcW w:w="1126" w:type="dxa"/>
            <w:tcBorders>
              <w:top w:val="nil"/>
              <w:left w:val="nil"/>
              <w:bottom w:val="nil"/>
              <w:right w:val="nil"/>
            </w:tcBorders>
            <w:shd w:val="clear" w:color="auto" w:fill="E5DFEC" w:themeFill="accent4" w:themeFillTint="33"/>
            <w:noWrap/>
            <w:vAlign w:val="center"/>
          </w:tcPr>
          <w:p w14:paraId="69E5DAD9"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427</w:t>
            </w:r>
          </w:p>
        </w:tc>
        <w:tc>
          <w:tcPr>
            <w:tcW w:w="1126" w:type="dxa"/>
            <w:tcBorders>
              <w:top w:val="nil"/>
              <w:left w:val="nil"/>
              <w:bottom w:val="nil"/>
              <w:right w:val="nil"/>
            </w:tcBorders>
            <w:shd w:val="clear" w:color="auto" w:fill="auto"/>
            <w:noWrap/>
            <w:vAlign w:val="center"/>
          </w:tcPr>
          <w:p w14:paraId="3209982A"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442</w:t>
            </w:r>
          </w:p>
        </w:tc>
        <w:tc>
          <w:tcPr>
            <w:tcW w:w="1127" w:type="dxa"/>
            <w:tcBorders>
              <w:top w:val="nil"/>
              <w:left w:val="nil"/>
              <w:bottom w:val="nil"/>
              <w:right w:val="single" w:sz="4" w:space="0" w:color="auto"/>
            </w:tcBorders>
            <w:shd w:val="clear" w:color="auto" w:fill="E5DFEC" w:themeFill="accent4" w:themeFillTint="33"/>
            <w:noWrap/>
            <w:vAlign w:val="center"/>
          </w:tcPr>
          <w:p w14:paraId="351F5B3A"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427</w:t>
            </w:r>
          </w:p>
        </w:tc>
        <w:tc>
          <w:tcPr>
            <w:tcW w:w="1275" w:type="dxa"/>
            <w:tcBorders>
              <w:top w:val="nil"/>
              <w:left w:val="nil"/>
              <w:bottom w:val="nil"/>
              <w:right w:val="single" w:sz="4" w:space="0" w:color="auto"/>
            </w:tcBorders>
            <w:shd w:val="clear" w:color="auto" w:fill="auto"/>
            <w:vAlign w:val="center"/>
          </w:tcPr>
          <w:p w14:paraId="0EFB7CFE"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12%</w:t>
            </w:r>
          </w:p>
        </w:tc>
      </w:tr>
      <w:tr w:rsidR="00A42FBC" w:rsidRPr="005D61DD" w14:paraId="1C20FE8A" w14:textId="77777777" w:rsidTr="00A42FBC">
        <w:trPr>
          <w:trHeight w:val="204"/>
        </w:trPr>
        <w:tc>
          <w:tcPr>
            <w:tcW w:w="2221" w:type="dxa"/>
            <w:tcBorders>
              <w:top w:val="nil"/>
              <w:left w:val="single" w:sz="4" w:space="0" w:color="auto"/>
              <w:bottom w:val="nil"/>
              <w:right w:val="nil"/>
            </w:tcBorders>
            <w:shd w:val="clear" w:color="auto" w:fill="E5DFEC" w:themeFill="accent4" w:themeFillTint="33"/>
            <w:noWrap/>
            <w:hideMark/>
          </w:tcPr>
          <w:p w14:paraId="75ACC004" w14:textId="77777777" w:rsidR="00A42FBC" w:rsidRPr="005D61DD" w:rsidRDefault="00A42FBC" w:rsidP="00CE2FDF">
            <w:pPr>
              <w:keepNext/>
              <w:spacing w:before="0" w:line="276" w:lineRule="auto"/>
              <w:rPr>
                <w:rFonts w:eastAsia="Times New Roman" w:cs="Arial"/>
                <w:bCs/>
                <w:sz w:val="20"/>
                <w:szCs w:val="20"/>
                <w:lang w:eastAsia="en-AU"/>
              </w:rPr>
            </w:pPr>
            <w:r w:rsidRPr="005D61DD">
              <w:rPr>
                <w:rFonts w:eastAsia="Times New Roman" w:cs="Arial"/>
                <w:bCs/>
                <w:sz w:val="20"/>
                <w:szCs w:val="20"/>
                <w:lang w:eastAsia="en-AU"/>
              </w:rPr>
              <w:t>Nurses</w:t>
            </w:r>
          </w:p>
        </w:tc>
        <w:tc>
          <w:tcPr>
            <w:tcW w:w="1126" w:type="dxa"/>
            <w:tcBorders>
              <w:top w:val="nil"/>
              <w:left w:val="nil"/>
              <w:bottom w:val="nil"/>
              <w:right w:val="nil"/>
            </w:tcBorders>
            <w:shd w:val="clear" w:color="auto" w:fill="auto"/>
            <w:noWrap/>
            <w:vAlign w:val="center"/>
          </w:tcPr>
          <w:p w14:paraId="7F4F56E1"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264</w:t>
            </w:r>
          </w:p>
        </w:tc>
        <w:tc>
          <w:tcPr>
            <w:tcW w:w="1126" w:type="dxa"/>
            <w:tcBorders>
              <w:top w:val="nil"/>
              <w:left w:val="nil"/>
              <w:bottom w:val="nil"/>
              <w:right w:val="nil"/>
            </w:tcBorders>
            <w:shd w:val="clear" w:color="auto" w:fill="E5DFEC" w:themeFill="accent4" w:themeFillTint="33"/>
            <w:noWrap/>
            <w:vAlign w:val="center"/>
          </w:tcPr>
          <w:p w14:paraId="21C4F8A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291</w:t>
            </w:r>
          </w:p>
        </w:tc>
        <w:tc>
          <w:tcPr>
            <w:tcW w:w="1126" w:type="dxa"/>
            <w:tcBorders>
              <w:top w:val="nil"/>
              <w:left w:val="nil"/>
              <w:bottom w:val="nil"/>
              <w:right w:val="nil"/>
            </w:tcBorders>
            <w:shd w:val="clear" w:color="auto" w:fill="auto"/>
            <w:noWrap/>
            <w:vAlign w:val="center"/>
          </w:tcPr>
          <w:p w14:paraId="1C836BA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218</w:t>
            </w:r>
          </w:p>
        </w:tc>
        <w:tc>
          <w:tcPr>
            <w:tcW w:w="1126" w:type="dxa"/>
            <w:tcBorders>
              <w:top w:val="nil"/>
              <w:left w:val="nil"/>
              <w:bottom w:val="nil"/>
              <w:right w:val="nil"/>
            </w:tcBorders>
            <w:shd w:val="clear" w:color="auto" w:fill="E5DFEC" w:themeFill="accent4" w:themeFillTint="33"/>
            <w:noWrap/>
            <w:vAlign w:val="center"/>
          </w:tcPr>
          <w:p w14:paraId="78C5580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286</w:t>
            </w:r>
          </w:p>
        </w:tc>
        <w:tc>
          <w:tcPr>
            <w:tcW w:w="1126" w:type="dxa"/>
            <w:tcBorders>
              <w:top w:val="nil"/>
              <w:left w:val="nil"/>
              <w:bottom w:val="nil"/>
              <w:right w:val="nil"/>
            </w:tcBorders>
            <w:shd w:val="clear" w:color="auto" w:fill="auto"/>
            <w:noWrap/>
            <w:vAlign w:val="center"/>
          </w:tcPr>
          <w:p w14:paraId="45CF027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353</w:t>
            </w:r>
          </w:p>
        </w:tc>
        <w:tc>
          <w:tcPr>
            <w:tcW w:w="1126" w:type="dxa"/>
            <w:tcBorders>
              <w:top w:val="nil"/>
              <w:left w:val="nil"/>
              <w:bottom w:val="nil"/>
              <w:right w:val="nil"/>
            </w:tcBorders>
            <w:shd w:val="clear" w:color="auto" w:fill="E5DFEC" w:themeFill="accent4" w:themeFillTint="33"/>
            <w:noWrap/>
            <w:vAlign w:val="center"/>
          </w:tcPr>
          <w:p w14:paraId="319FA90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430</w:t>
            </w:r>
          </w:p>
        </w:tc>
        <w:tc>
          <w:tcPr>
            <w:tcW w:w="1126" w:type="dxa"/>
            <w:tcBorders>
              <w:top w:val="nil"/>
              <w:left w:val="nil"/>
              <w:bottom w:val="nil"/>
              <w:right w:val="nil"/>
            </w:tcBorders>
            <w:shd w:val="clear" w:color="auto" w:fill="auto"/>
            <w:noWrap/>
            <w:vAlign w:val="center"/>
          </w:tcPr>
          <w:p w14:paraId="5523C0F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423</w:t>
            </w:r>
          </w:p>
        </w:tc>
        <w:tc>
          <w:tcPr>
            <w:tcW w:w="1126" w:type="dxa"/>
            <w:tcBorders>
              <w:top w:val="nil"/>
              <w:left w:val="nil"/>
              <w:bottom w:val="nil"/>
              <w:right w:val="nil"/>
            </w:tcBorders>
            <w:shd w:val="clear" w:color="auto" w:fill="E5DFEC" w:themeFill="accent4" w:themeFillTint="33"/>
            <w:noWrap/>
            <w:vAlign w:val="center"/>
          </w:tcPr>
          <w:p w14:paraId="57AF8F2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530</w:t>
            </w:r>
          </w:p>
        </w:tc>
        <w:tc>
          <w:tcPr>
            <w:tcW w:w="1126" w:type="dxa"/>
            <w:tcBorders>
              <w:top w:val="nil"/>
              <w:left w:val="nil"/>
              <w:bottom w:val="nil"/>
              <w:right w:val="nil"/>
            </w:tcBorders>
            <w:shd w:val="clear" w:color="auto" w:fill="auto"/>
            <w:noWrap/>
            <w:vAlign w:val="center"/>
          </w:tcPr>
          <w:p w14:paraId="05131AC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397</w:t>
            </w:r>
          </w:p>
        </w:tc>
        <w:tc>
          <w:tcPr>
            <w:tcW w:w="1127" w:type="dxa"/>
            <w:tcBorders>
              <w:top w:val="nil"/>
              <w:left w:val="nil"/>
              <w:bottom w:val="nil"/>
              <w:right w:val="single" w:sz="4" w:space="0" w:color="auto"/>
            </w:tcBorders>
            <w:shd w:val="clear" w:color="auto" w:fill="E5DFEC" w:themeFill="accent4" w:themeFillTint="33"/>
            <w:noWrap/>
            <w:vAlign w:val="center"/>
          </w:tcPr>
          <w:p w14:paraId="48F69E0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428</w:t>
            </w:r>
          </w:p>
        </w:tc>
        <w:tc>
          <w:tcPr>
            <w:tcW w:w="1275" w:type="dxa"/>
            <w:tcBorders>
              <w:top w:val="nil"/>
              <w:left w:val="nil"/>
              <w:bottom w:val="nil"/>
              <w:right w:val="single" w:sz="4" w:space="0" w:color="auto"/>
            </w:tcBorders>
            <w:shd w:val="clear" w:color="auto" w:fill="auto"/>
            <w:vAlign w:val="center"/>
          </w:tcPr>
          <w:p w14:paraId="38186D2C"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62%</w:t>
            </w:r>
          </w:p>
        </w:tc>
      </w:tr>
      <w:tr w:rsidR="00A42FBC" w:rsidRPr="005D61DD" w14:paraId="03EFA72F" w14:textId="77777777" w:rsidTr="00A42FBC">
        <w:trPr>
          <w:trHeight w:val="204"/>
        </w:trPr>
        <w:tc>
          <w:tcPr>
            <w:tcW w:w="2221" w:type="dxa"/>
            <w:tcBorders>
              <w:top w:val="nil"/>
              <w:left w:val="single" w:sz="4" w:space="0" w:color="auto"/>
              <w:bottom w:val="nil"/>
              <w:right w:val="nil"/>
            </w:tcBorders>
            <w:shd w:val="clear" w:color="auto" w:fill="E5DFEC" w:themeFill="accent4" w:themeFillTint="33"/>
            <w:noWrap/>
            <w:hideMark/>
          </w:tcPr>
          <w:p w14:paraId="38D1A789" w14:textId="77777777" w:rsidR="00A42FBC" w:rsidRPr="005D61DD" w:rsidRDefault="00A42FBC" w:rsidP="00CE2FDF">
            <w:pPr>
              <w:keepNext/>
              <w:spacing w:before="0" w:line="276" w:lineRule="auto"/>
              <w:rPr>
                <w:rFonts w:eastAsia="Times New Roman" w:cs="Arial"/>
                <w:bCs/>
                <w:sz w:val="20"/>
                <w:szCs w:val="20"/>
                <w:lang w:eastAsia="en-AU"/>
              </w:rPr>
            </w:pPr>
            <w:r w:rsidRPr="005D61DD">
              <w:rPr>
                <w:rFonts w:eastAsia="Times New Roman" w:cs="Arial"/>
                <w:bCs/>
                <w:sz w:val="20"/>
                <w:szCs w:val="20"/>
                <w:lang w:eastAsia="en-AU"/>
              </w:rPr>
              <w:t>Police</w:t>
            </w:r>
          </w:p>
        </w:tc>
        <w:tc>
          <w:tcPr>
            <w:tcW w:w="1126" w:type="dxa"/>
            <w:tcBorders>
              <w:top w:val="nil"/>
              <w:left w:val="nil"/>
              <w:bottom w:val="nil"/>
              <w:right w:val="nil"/>
            </w:tcBorders>
            <w:shd w:val="clear" w:color="auto" w:fill="auto"/>
            <w:noWrap/>
            <w:vAlign w:val="center"/>
          </w:tcPr>
          <w:p w14:paraId="5E14FD79"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1,157</w:t>
            </w:r>
          </w:p>
        </w:tc>
        <w:tc>
          <w:tcPr>
            <w:tcW w:w="1126" w:type="dxa"/>
            <w:tcBorders>
              <w:top w:val="nil"/>
              <w:left w:val="nil"/>
              <w:bottom w:val="nil"/>
              <w:right w:val="nil"/>
            </w:tcBorders>
            <w:shd w:val="clear" w:color="auto" w:fill="E5DFEC" w:themeFill="accent4" w:themeFillTint="33"/>
            <w:noWrap/>
            <w:vAlign w:val="center"/>
          </w:tcPr>
          <w:p w14:paraId="664CE87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1,238</w:t>
            </w:r>
          </w:p>
        </w:tc>
        <w:tc>
          <w:tcPr>
            <w:tcW w:w="1126" w:type="dxa"/>
            <w:tcBorders>
              <w:top w:val="nil"/>
              <w:left w:val="nil"/>
              <w:bottom w:val="nil"/>
              <w:right w:val="nil"/>
            </w:tcBorders>
            <w:shd w:val="clear" w:color="auto" w:fill="auto"/>
            <w:noWrap/>
            <w:vAlign w:val="center"/>
          </w:tcPr>
          <w:p w14:paraId="2F7F117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1,209</w:t>
            </w:r>
          </w:p>
        </w:tc>
        <w:tc>
          <w:tcPr>
            <w:tcW w:w="1126" w:type="dxa"/>
            <w:tcBorders>
              <w:top w:val="nil"/>
              <w:left w:val="nil"/>
              <w:bottom w:val="nil"/>
              <w:right w:val="nil"/>
            </w:tcBorders>
            <w:shd w:val="clear" w:color="auto" w:fill="E5DFEC" w:themeFill="accent4" w:themeFillTint="33"/>
            <w:noWrap/>
            <w:vAlign w:val="center"/>
          </w:tcPr>
          <w:p w14:paraId="38CD11B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1,453</w:t>
            </w:r>
          </w:p>
        </w:tc>
        <w:tc>
          <w:tcPr>
            <w:tcW w:w="1126" w:type="dxa"/>
            <w:tcBorders>
              <w:top w:val="nil"/>
              <w:left w:val="nil"/>
              <w:bottom w:val="nil"/>
              <w:right w:val="nil"/>
            </w:tcBorders>
            <w:shd w:val="clear" w:color="auto" w:fill="auto"/>
            <w:noWrap/>
            <w:vAlign w:val="center"/>
          </w:tcPr>
          <w:p w14:paraId="2E2C6D8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1,919</w:t>
            </w:r>
          </w:p>
        </w:tc>
        <w:tc>
          <w:tcPr>
            <w:tcW w:w="1126" w:type="dxa"/>
            <w:tcBorders>
              <w:top w:val="nil"/>
              <w:left w:val="nil"/>
              <w:bottom w:val="nil"/>
              <w:right w:val="nil"/>
            </w:tcBorders>
            <w:shd w:val="clear" w:color="auto" w:fill="E5DFEC" w:themeFill="accent4" w:themeFillTint="33"/>
            <w:noWrap/>
            <w:vAlign w:val="center"/>
          </w:tcPr>
          <w:p w14:paraId="7972665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2,606</w:t>
            </w:r>
          </w:p>
        </w:tc>
        <w:tc>
          <w:tcPr>
            <w:tcW w:w="1126" w:type="dxa"/>
            <w:tcBorders>
              <w:top w:val="nil"/>
              <w:left w:val="nil"/>
              <w:bottom w:val="nil"/>
              <w:right w:val="nil"/>
            </w:tcBorders>
            <w:shd w:val="clear" w:color="auto" w:fill="auto"/>
            <w:noWrap/>
            <w:vAlign w:val="center"/>
          </w:tcPr>
          <w:p w14:paraId="34CC644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2,819</w:t>
            </w:r>
          </w:p>
        </w:tc>
        <w:tc>
          <w:tcPr>
            <w:tcW w:w="1126" w:type="dxa"/>
            <w:tcBorders>
              <w:top w:val="nil"/>
              <w:left w:val="nil"/>
              <w:bottom w:val="nil"/>
              <w:right w:val="nil"/>
            </w:tcBorders>
            <w:shd w:val="clear" w:color="auto" w:fill="E5DFEC" w:themeFill="accent4" w:themeFillTint="33"/>
            <w:noWrap/>
            <w:vAlign w:val="center"/>
          </w:tcPr>
          <w:p w14:paraId="202FE7D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3,154</w:t>
            </w:r>
          </w:p>
        </w:tc>
        <w:tc>
          <w:tcPr>
            <w:tcW w:w="1126" w:type="dxa"/>
            <w:tcBorders>
              <w:top w:val="nil"/>
              <w:left w:val="nil"/>
              <w:bottom w:val="nil"/>
              <w:right w:val="nil"/>
            </w:tcBorders>
            <w:shd w:val="clear" w:color="auto" w:fill="auto"/>
            <w:noWrap/>
            <w:vAlign w:val="center"/>
          </w:tcPr>
          <w:p w14:paraId="68DCDF3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2,823</w:t>
            </w:r>
          </w:p>
        </w:tc>
        <w:tc>
          <w:tcPr>
            <w:tcW w:w="1127" w:type="dxa"/>
            <w:tcBorders>
              <w:top w:val="nil"/>
              <w:left w:val="nil"/>
              <w:bottom w:val="nil"/>
              <w:right w:val="single" w:sz="4" w:space="0" w:color="auto"/>
            </w:tcBorders>
            <w:shd w:val="clear" w:color="auto" w:fill="E5DFEC" w:themeFill="accent4" w:themeFillTint="33"/>
            <w:noWrap/>
            <w:vAlign w:val="center"/>
          </w:tcPr>
          <w:p w14:paraId="7C6D2EB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3,452</w:t>
            </w:r>
          </w:p>
        </w:tc>
        <w:tc>
          <w:tcPr>
            <w:tcW w:w="1275" w:type="dxa"/>
            <w:tcBorders>
              <w:top w:val="nil"/>
              <w:left w:val="nil"/>
              <w:bottom w:val="nil"/>
              <w:right w:val="single" w:sz="4" w:space="0" w:color="auto"/>
            </w:tcBorders>
            <w:shd w:val="clear" w:color="auto" w:fill="auto"/>
            <w:vAlign w:val="center"/>
          </w:tcPr>
          <w:p w14:paraId="03A59FC9"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198%</w:t>
            </w:r>
          </w:p>
        </w:tc>
      </w:tr>
      <w:tr w:rsidR="00A42FBC" w:rsidRPr="005D61DD" w14:paraId="0F66D015" w14:textId="77777777" w:rsidTr="00A42FBC">
        <w:trPr>
          <w:trHeight w:val="204"/>
        </w:trPr>
        <w:tc>
          <w:tcPr>
            <w:tcW w:w="2221" w:type="dxa"/>
            <w:tcBorders>
              <w:top w:val="nil"/>
              <w:left w:val="single" w:sz="4" w:space="0" w:color="auto"/>
              <w:bottom w:val="nil"/>
              <w:right w:val="nil"/>
            </w:tcBorders>
            <w:shd w:val="clear" w:color="auto" w:fill="E5DFEC" w:themeFill="accent4" w:themeFillTint="33"/>
            <w:noWrap/>
            <w:hideMark/>
          </w:tcPr>
          <w:p w14:paraId="1BED5C4A" w14:textId="77777777" w:rsidR="00A42FBC" w:rsidRPr="005D61DD" w:rsidRDefault="00A42FBC" w:rsidP="00CE2FDF">
            <w:pPr>
              <w:keepNext/>
              <w:spacing w:before="0" w:line="276" w:lineRule="auto"/>
              <w:rPr>
                <w:rFonts w:eastAsia="Times New Roman" w:cs="Arial"/>
                <w:bCs/>
                <w:sz w:val="20"/>
                <w:szCs w:val="20"/>
                <w:lang w:eastAsia="en-AU"/>
              </w:rPr>
            </w:pPr>
            <w:r w:rsidRPr="005D61DD">
              <w:rPr>
                <w:rFonts w:eastAsia="Times New Roman" w:cs="Arial"/>
                <w:bCs/>
                <w:sz w:val="20"/>
                <w:szCs w:val="20"/>
                <w:lang w:eastAsia="en-AU"/>
              </w:rPr>
              <w:t>School personnel</w:t>
            </w:r>
          </w:p>
        </w:tc>
        <w:tc>
          <w:tcPr>
            <w:tcW w:w="1126" w:type="dxa"/>
            <w:tcBorders>
              <w:top w:val="nil"/>
              <w:left w:val="nil"/>
              <w:bottom w:val="nil"/>
              <w:right w:val="nil"/>
            </w:tcBorders>
            <w:shd w:val="clear" w:color="auto" w:fill="auto"/>
            <w:noWrap/>
            <w:vAlign w:val="center"/>
          </w:tcPr>
          <w:p w14:paraId="7BFA4EC8"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1,530</w:t>
            </w:r>
          </w:p>
        </w:tc>
        <w:tc>
          <w:tcPr>
            <w:tcW w:w="1126" w:type="dxa"/>
            <w:tcBorders>
              <w:top w:val="nil"/>
              <w:left w:val="nil"/>
              <w:bottom w:val="nil"/>
              <w:right w:val="nil"/>
            </w:tcBorders>
            <w:shd w:val="clear" w:color="auto" w:fill="E5DFEC" w:themeFill="accent4" w:themeFillTint="33"/>
            <w:noWrap/>
            <w:vAlign w:val="center"/>
          </w:tcPr>
          <w:p w14:paraId="4CAD4EE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1,538</w:t>
            </w:r>
          </w:p>
        </w:tc>
        <w:tc>
          <w:tcPr>
            <w:tcW w:w="1126" w:type="dxa"/>
            <w:tcBorders>
              <w:top w:val="nil"/>
              <w:left w:val="nil"/>
              <w:bottom w:val="nil"/>
              <w:right w:val="nil"/>
            </w:tcBorders>
            <w:shd w:val="clear" w:color="auto" w:fill="auto"/>
            <w:noWrap/>
            <w:vAlign w:val="center"/>
          </w:tcPr>
          <w:p w14:paraId="2FB9FF7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1,413</w:t>
            </w:r>
          </w:p>
        </w:tc>
        <w:tc>
          <w:tcPr>
            <w:tcW w:w="1126" w:type="dxa"/>
            <w:tcBorders>
              <w:top w:val="nil"/>
              <w:left w:val="nil"/>
              <w:bottom w:val="nil"/>
              <w:right w:val="nil"/>
            </w:tcBorders>
            <w:shd w:val="clear" w:color="auto" w:fill="E5DFEC" w:themeFill="accent4" w:themeFillTint="33"/>
            <w:noWrap/>
            <w:vAlign w:val="center"/>
          </w:tcPr>
          <w:p w14:paraId="0D8A4D8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1,777</w:t>
            </w:r>
          </w:p>
        </w:tc>
        <w:tc>
          <w:tcPr>
            <w:tcW w:w="1126" w:type="dxa"/>
            <w:tcBorders>
              <w:top w:val="nil"/>
              <w:left w:val="nil"/>
              <w:bottom w:val="nil"/>
              <w:right w:val="nil"/>
            </w:tcBorders>
            <w:shd w:val="clear" w:color="auto" w:fill="auto"/>
            <w:noWrap/>
            <w:vAlign w:val="center"/>
          </w:tcPr>
          <w:p w14:paraId="0DCBF61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1,739</w:t>
            </w:r>
          </w:p>
        </w:tc>
        <w:tc>
          <w:tcPr>
            <w:tcW w:w="1126" w:type="dxa"/>
            <w:tcBorders>
              <w:top w:val="nil"/>
              <w:left w:val="nil"/>
              <w:bottom w:val="nil"/>
              <w:right w:val="nil"/>
            </w:tcBorders>
            <w:shd w:val="clear" w:color="auto" w:fill="E5DFEC" w:themeFill="accent4" w:themeFillTint="33"/>
            <w:noWrap/>
            <w:vAlign w:val="center"/>
          </w:tcPr>
          <w:p w14:paraId="64AD0BA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2,653</w:t>
            </w:r>
          </w:p>
        </w:tc>
        <w:tc>
          <w:tcPr>
            <w:tcW w:w="1126" w:type="dxa"/>
            <w:tcBorders>
              <w:top w:val="nil"/>
              <w:left w:val="nil"/>
              <w:bottom w:val="nil"/>
              <w:right w:val="nil"/>
            </w:tcBorders>
            <w:shd w:val="clear" w:color="auto" w:fill="auto"/>
            <w:noWrap/>
            <w:vAlign w:val="center"/>
          </w:tcPr>
          <w:p w14:paraId="5DA5C99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3,220</w:t>
            </w:r>
          </w:p>
        </w:tc>
        <w:tc>
          <w:tcPr>
            <w:tcW w:w="1126" w:type="dxa"/>
            <w:tcBorders>
              <w:top w:val="nil"/>
              <w:left w:val="nil"/>
              <w:bottom w:val="nil"/>
              <w:right w:val="nil"/>
            </w:tcBorders>
            <w:shd w:val="clear" w:color="auto" w:fill="E5DFEC" w:themeFill="accent4" w:themeFillTint="33"/>
            <w:noWrap/>
            <w:vAlign w:val="center"/>
          </w:tcPr>
          <w:p w14:paraId="3C333BE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3,340</w:t>
            </w:r>
          </w:p>
        </w:tc>
        <w:tc>
          <w:tcPr>
            <w:tcW w:w="1126" w:type="dxa"/>
            <w:tcBorders>
              <w:top w:val="nil"/>
              <w:left w:val="nil"/>
              <w:bottom w:val="nil"/>
              <w:right w:val="nil"/>
            </w:tcBorders>
            <w:shd w:val="clear" w:color="auto" w:fill="auto"/>
            <w:noWrap/>
            <w:vAlign w:val="center"/>
          </w:tcPr>
          <w:p w14:paraId="148D366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3,605</w:t>
            </w:r>
          </w:p>
        </w:tc>
        <w:tc>
          <w:tcPr>
            <w:tcW w:w="1127" w:type="dxa"/>
            <w:tcBorders>
              <w:top w:val="nil"/>
              <w:left w:val="nil"/>
              <w:bottom w:val="nil"/>
              <w:right w:val="single" w:sz="4" w:space="0" w:color="auto"/>
            </w:tcBorders>
            <w:shd w:val="clear" w:color="auto" w:fill="E5DFEC" w:themeFill="accent4" w:themeFillTint="33"/>
            <w:noWrap/>
            <w:vAlign w:val="center"/>
          </w:tcPr>
          <w:p w14:paraId="086BE29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3,963</w:t>
            </w:r>
          </w:p>
        </w:tc>
        <w:tc>
          <w:tcPr>
            <w:tcW w:w="1275" w:type="dxa"/>
            <w:tcBorders>
              <w:top w:val="nil"/>
              <w:left w:val="nil"/>
              <w:bottom w:val="nil"/>
              <w:right w:val="single" w:sz="4" w:space="0" w:color="auto"/>
            </w:tcBorders>
            <w:shd w:val="clear" w:color="auto" w:fill="auto"/>
            <w:vAlign w:val="center"/>
          </w:tcPr>
          <w:p w14:paraId="2DE04293"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159%</w:t>
            </w:r>
          </w:p>
        </w:tc>
      </w:tr>
      <w:tr w:rsidR="00A42FBC" w:rsidRPr="005D61DD" w14:paraId="613B4D9F" w14:textId="77777777" w:rsidTr="00A42FBC">
        <w:trPr>
          <w:trHeight w:val="204"/>
        </w:trPr>
        <w:tc>
          <w:tcPr>
            <w:tcW w:w="2221" w:type="dxa"/>
            <w:tcBorders>
              <w:top w:val="nil"/>
              <w:left w:val="single" w:sz="4" w:space="0" w:color="auto"/>
              <w:bottom w:val="nil"/>
              <w:right w:val="nil"/>
            </w:tcBorders>
            <w:shd w:val="clear" w:color="auto" w:fill="E5DFEC" w:themeFill="accent4" w:themeFillTint="33"/>
            <w:noWrap/>
            <w:hideMark/>
          </w:tcPr>
          <w:p w14:paraId="76495E76"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Psychiatrists</w:t>
            </w:r>
          </w:p>
        </w:tc>
        <w:tc>
          <w:tcPr>
            <w:tcW w:w="1126" w:type="dxa"/>
            <w:tcBorders>
              <w:top w:val="nil"/>
              <w:left w:val="nil"/>
              <w:bottom w:val="nil"/>
              <w:right w:val="nil"/>
            </w:tcBorders>
            <w:shd w:val="clear" w:color="auto" w:fill="auto"/>
            <w:noWrap/>
            <w:vAlign w:val="center"/>
          </w:tcPr>
          <w:p w14:paraId="77B9D4D7"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23</w:t>
            </w:r>
          </w:p>
        </w:tc>
        <w:tc>
          <w:tcPr>
            <w:tcW w:w="1126" w:type="dxa"/>
            <w:tcBorders>
              <w:top w:val="nil"/>
              <w:left w:val="nil"/>
              <w:bottom w:val="nil"/>
              <w:right w:val="nil"/>
            </w:tcBorders>
            <w:shd w:val="clear" w:color="auto" w:fill="E5DFEC" w:themeFill="accent4" w:themeFillTint="33"/>
            <w:noWrap/>
            <w:vAlign w:val="center"/>
          </w:tcPr>
          <w:p w14:paraId="2F27459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68</w:t>
            </w:r>
          </w:p>
        </w:tc>
        <w:tc>
          <w:tcPr>
            <w:tcW w:w="1126" w:type="dxa"/>
            <w:tcBorders>
              <w:top w:val="nil"/>
              <w:left w:val="nil"/>
              <w:bottom w:val="nil"/>
              <w:right w:val="nil"/>
            </w:tcBorders>
            <w:shd w:val="clear" w:color="auto" w:fill="auto"/>
            <w:noWrap/>
            <w:vAlign w:val="center"/>
          </w:tcPr>
          <w:p w14:paraId="10A5E46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27</w:t>
            </w:r>
          </w:p>
        </w:tc>
        <w:tc>
          <w:tcPr>
            <w:tcW w:w="1126" w:type="dxa"/>
            <w:tcBorders>
              <w:top w:val="nil"/>
              <w:left w:val="nil"/>
              <w:bottom w:val="nil"/>
              <w:right w:val="nil"/>
            </w:tcBorders>
            <w:shd w:val="clear" w:color="auto" w:fill="E5DFEC" w:themeFill="accent4" w:themeFillTint="33"/>
            <w:noWrap/>
            <w:vAlign w:val="center"/>
          </w:tcPr>
          <w:p w14:paraId="4738643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67</w:t>
            </w:r>
          </w:p>
        </w:tc>
        <w:tc>
          <w:tcPr>
            <w:tcW w:w="1126" w:type="dxa"/>
            <w:tcBorders>
              <w:top w:val="nil"/>
              <w:left w:val="nil"/>
              <w:bottom w:val="nil"/>
              <w:right w:val="nil"/>
            </w:tcBorders>
            <w:shd w:val="clear" w:color="auto" w:fill="auto"/>
            <w:noWrap/>
            <w:vAlign w:val="center"/>
          </w:tcPr>
          <w:p w14:paraId="5969642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38</w:t>
            </w:r>
          </w:p>
        </w:tc>
        <w:tc>
          <w:tcPr>
            <w:tcW w:w="1126" w:type="dxa"/>
            <w:tcBorders>
              <w:top w:val="nil"/>
              <w:left w:val="nil"/>
              <w:bottom w:val="nil"/>
              <w:right w:val="nil"/>
            </w:tcBorders>
            <w:shd w:val="clear" w:color="auto" w:fill="E5DFEC" w:themeFill="accent4" w:themeFillTint="33"/>
            <w:noWrap/>
            <w:vAlign w:val="center"/>
          </w:tcPr>
          <w:p w14:paraId="3B34F62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57</w:t>
            </w:r>
          </w:p>
        </w:tc>
        <w:tc>
          <w:tcPr>
            <w:tcW w:w="1126" w:type="dxa"/>
            <w:tcBorders>
              <w:top w:val="nil"/>
              <w:left w:val="nil"/>
              <w:bottom w:val="nil"/>
              <w:right w:val="nil"/>
            </w:tcBorders>
            <w:shd w:val="clear" w:color="auto" w:fill="auto"/>
            <w:noWrap/>
            <w:vAlign w:val="center"/>
          </w:tcPr>
          <w:p w14:paraId="79D40DE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77</w:t>
            </w:r>
          </w:p>
        </w:tc>
        <w:tc>
          <w:tcPr>
            <w:tcW w:w="1126" w:type="dxa"/>
            <w:tcBorders>
              <w:top w:val="nil"/>
              <w:left w:val="nil"/>
              <w:bottom w:val="nil"/>
              <w:right w:val="nil"/>
            </w:tcBorders>
            <w:shd w:val="clear" w:color="auto" w:fill="E5DFEC" w:themeFill="accent4" w:themeFillTint="33"/>
            <w:noWrap/>
            <w:vAlign w:val="center"/>
          </w:tcPr>
          <w:p w14:paraId="5726720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68</w:t>
            </w:r>
          </w:p>
        </w:tc>
        <w:tc>
          <w:tcPr>
            <w:tcW w:w="1126" w:type="dxa"/>
            <w:tcBorders>
              <w:top w:val="nil"/>
              <w:left w:val="nil"/>
              <w:bottom w:val="nil"/>
              <w:right w:val="nil"/>
            </w:tcBorders>
            <w:shd w:val="clear" w:color="auto" w:fill="auto"/>
            <w:noWrap/>
            <w:vAlign w:val="center"/>
          </w:tcPr>
          <w:p w14:paraId="78F103A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49</w:t>
            </w:r>
          </w:p>
        </w:tc>
        <w:tc>
          <w:tcPr>
            <w:tcW w:w="1127" w:type="dxa"/>
            <w:tcBorders>
              <w:top w:val="nil"/>
              <w:left w:val="nil"/>
              <w:bottom w:val="nil"/>
              <w:right w:val="single" w:sz="4" w:space="0" w:color="auto"/>
            </w:tcBorders>
            <w:shd w:val="clear" w:color="auto" w:fill="E5DFEC" w:themeFill="accent4" w:themeFillTint="33"/>
            <w:noWrap/>
            <w:vAlign w:val="center"/>
          </w:tcPr>
          <w:p w14:paraId="512615B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22</w:t>
            </w:r>
          </w:p>
        </w:tc>
        <w:tc>
          <w:tcPr>
            <w:tcW w:w="1275" w:type="dxa"/>
            <w:tcBorders>
              <w:top w:val="nil"/>
              <w:left w:val="nil"/>
              <w:bottom w:val="nil"/>
              <w:right w:val="single" w:sz="4" w:space="0" w:color="auto"/>
            </w:tcBorders>
            <w:shd w:val="clear" w:color="auto" w:fill="auto"/>
            <w:vAlign w:val="center"/>
          </w:tcPr>
          <w:p w14:paraId="3D1B73EE"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w:t>
            </w:r>
          </w:p>
        </w:tc>
      </w:tr>
      <w:tr w:rsidR="00A42FBC" w:rsidRPr="005D61DD" w14:paraId="259E7888" w14:textId="77777777" w:rsidTr="00A42FBC">
        <w:trPr>
          <w:trHeight w:val="204"/>
        </w:trPr>
        <w:tc>
          <w:tcPr>
            <w:tcW w:w="2221" w:type="dxa"/>
            <w:tcBorders>
              <w:top w:val="nil"/>
              <w:left w:val="single" w:sz="4" w:space="0" w:color="auto"/>
              <w:bottom w:val="nil"/>
              <w:right w:val="nil"/>
            </w:tcBorders>
            <w:shd w:val="clear" w:color="auto" w:fill="E5DFEC" w:themeFill="accent4" w:themeFillTint="33"/>
            <w:noWrap/>
            <w:hideMark/>
          </w:tcPr>
          <w:p w14:paraId="3B1DB6A3"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Major mandated reporter groups combined</w:t>
            </w:r>
          </w:p>
        </w:tc>
        <w:tc>
          <w:tcPr>
            <w:tcW w:w="1126" w:type="dxa"/>
            <w:tcBorders>
              <w:top w:val="nil"/>
              <w:left w:val="nil"/>
              <w:bottom w:val="nil"/>
              <w:right w:val="nil"/>
            </w:tcBorders>
            <w:shd w:val="clear" w:color="auto" w:fill="auto"/>
            <w:noWrap/>
            <w:vAlign w:val="center"/>
          </w:tcPr>
          <w:p w14:paraId="7DF457F0"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3,356</w:t>
            </w:r>
          </w:p>
        </w:tc>
        <w:tc>
          <w:tcPr>
            <w:tcW w:w="1126" w:type="dxa"/>
            <w:tcBorders>
              <w:top w:val="nil"/>
              <w:left w:val="nil"/>
              <w:bottom w:val="nil"/>
              <w:right w:val="nil"/>
            </w:tcBorders>
            <w:shd w:val="clear" w:color="auto" w:fill="E5DFEC" w:themeFill="accent4" w:themeFillTint="33"/>
            <w:noWrap/>
            <w:vAlign w:val="center"/>
          </w:tcPr>
          <w:p w14:paraId="21DE926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3,466</w:t>
            </w:r>
          </w:p>
        </w:tc>
        <w:tc>
          <w:tcPr>
            <w:tcW w:w="1126" w:type="dxa"/>
            <w:tcBorders>
              <w:top w:val="nil"/>
              <w:left w:val="nil"/>
              <w:bottom w:val="nil"/>
              <w:right w:val="nil"/>
            </w:tcBorders>
            <w:shd w:val="clear" w:color="auto" w:fill="auto"/>
            <w:noWrap/>
            <w:vAlign w:val="center"/>
          </w:tcPr>
          <w:p w14:paraId="72A2D81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3,143</w:t>
            </w:r>
          </w:p>
        </w:tc>
        <w:tc>
          <w:tcPr>
            <w:tcW w:w="1126" w:type="dxa"/>
            <w:tcBorders>
              <w:top w:val="nil"/>
              <w:left w:val="nil"/>
              <w:bottom w:val="nil"/>
              <w:right w:val="nil"/>
            </w:tcBorders>
            <w:shd w:val="clear" w:color="auto" w:fill="E5DFEC" w:themeFill="accent4" w:themeFillTint="33"/>
            <w:noWrap/>
            <w:vAlign w:val="center"/>
          </w:tcPr>
          <w:p w14:paraId="6C48314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3,885</w:t>
            </w:r>
          </w:p>
        </w:tc>
        <w:tc>
          <w:tcPr>
            <w:tcW w:w="1126" w:type="dxa"/>
            <w:tcBorders>
              <w:top w:val="nil"/>
              <w:left w:val="nil"/>
              <w:bottom w:val="nil"/>
              <w:right w:val="nil"/>
            </w:tcBorders>
            <w:shd w:val="clear" w:color="auto" w:fill="auto"/>
            <w:noWrap/>
            <w:vAlign w:val="center"/>
          </w:tcPr>
          <w:p w14:paraId="2896A19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4,316</w:t>
            </w:r>
          </w:p>
        </w:tc>
        <w:tc>
          <w:tcPr>
            <w:tcW w:w="1126" w:type="dxa"/>
            <w:tcBorders>
              <w:top w:val="nil"/>
              <w:left w:val="nil"/>
              <w:bottom w:val="nil"/>
              <w:right w:val="nil"/>
            </w:tcBorders>
            <w:shd w:val="clear" w:color="auto" w:fill="E5DFEC" w:themeFill="accent4" w:themeFillTint="33"/>
            <w:noWrap/>
            <w:vAlign w:val="center"/>
          </w:tcPr>
          <w:p w14:paraId="35C21E5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6,127</w:t>
            </w:r>
          </w:p>
        </w:tc>
        <w:tc>
          <w:tcPr>
            <w:tcW w:w="1126" w:type="dxa"/>
            <w:tcBorders>
              <w:top w:val="nil"/>
              <w:left w:val="nil"/>
              <w:bottom w:val="nil"/>
              <w:right w:val="nil"/>
            </w:tcBorders>
            <w:shd w:val="clear" w:color="auto" w:fill="auto"/>
            <w:noWrap/>
            <w:vAlign w:val="center"/>
          </w:tcPr>
          <w:p w14:paraId="7313769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6,946</w:t>
            </w:r>
          </w:p>
        </w:tc>
        <w:tc>
          <w:tcPr>
            <w:tcW w:w="1126" w:type="dxa"/>
            <w:tcBorders>
              <w:top w:val="nil"/>
              <w:left w:val="nil"/>
              <w:bottom w:val="nil"/>
              <w:right w:val="nil"/>
            </w:tcBorders>
            <w:shd w:val="clear" w:color="auto" w:fill="E5DFEC" w:themeFill="accent4" w:themeFillTint="33"/>
            <w:noWrap/>
            <w:vAlign w:val="center"/>
          </w:tcPr>
          <w:p w14:paraId="4CB9E13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7,519</w:t>
            </w:r>
          </w:p>
        </w:tc>
        <w:tc>
          <w:tcPr>
            <w:tcW w:w="1126" w:type="dxa"/>
            <w:tcBorders>
              <w:top w:val="nil"/>
              <w:left w:val="nil"/>
              <w:bottom w:val="nil"/>
              <w:right w:val="nil"/>
            </w:tcBorders>
            <w:shd w:val="clear" w:color="auto" w:fill="auto"/>
            <w:noWrap/>
            <w:vAlign w:val="center"/>
          </w:tcPr>
          <w:p w14:paraId="1201CAC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7,316</w:t>
            </w:r>
          </w:p>
        </w:tc>
        <w:tc>
          <w:tcPr>
            <w:tcW w:w="1127" w:type="dxa"/>
            <w:tcBorders>
              <w:top w:val="nil"/>
              <w:left w:val="nil"/>
              <w:bottom w:val="nil"/>
              <w:right w:val="single" w:sz="4" w:space="0" w:color="auto"/>
            </w:tcBorders>
            <w:shd w:val="clear" w:color="auto" w:fill="E5DFEC" w:themeFill="accent4" w:themeFillTint="33"/>
            <w:noWrap/>
            <w:vAlign w:val="center"/>
          </w:tcPr>
          <w:p w14:paraId="69CD1F4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8,292</w:t>
            </w:r>
          </w:p>
        </w:tc>
        <w:tc>
          <w:tcPr>
            <w:tcW w:w="1275" w:type="dxa"/>
            <w:tcBorders>
              <w:top w:val="nil"/>
              <w:left w:val="nil"/>
              <w:bottom w:val="nil"/>
              <w:right w:val="single" w:sz="4" w:space="0" w:color="auto"/>
            </w:tcBorders>
            <w:shd w:val="clear" w:color="auto" w:fill="auto"/>
            <w:vAlign w:val="center"/>
          </w:tcPr>
          <w:p w14:paraId="7D364268"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147%</w:t>
            </w:r>
          </w:p>
        </w:tc>
      </w:tr>
      <w:tr w:rsidR="00A42FBC" w:rsidRPr="005D61DD" w14:paraId="005798EF" w14:textId="77777777" w:rsidTr="00A42FBC">
        <w:trPr>
          <w:trHeight w:val="204"/>
        </w:trPr>
        <w:tc>
          <w:tcPr>
            <w:tcW w:w="2221" w:type="dxa"/>
            <w:tcBorders>
              <w:top w:val="nil"/>
              <w:left w:val="single" w:sz="4" w:space="0" w:color="auto"/>
              <w:bottom w:val="nil"/>
              <w:right w:val="nil"/>
            </w:tcBorders>
            <w:shd w:val="clear" w:color="auto" w:fill="E5DFEC" w:themeFill="accent4" w:themeFillTint="33"/>
            <w:noWrap/>
            <w:hideMark/>
          </w:tcPr>
          <w:p w14:paraId="4B82D0D9"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Other reporter groups combined</w:t>
            </w:r>
          </w:p>
        </w:tc>
        <w:tc>
          <w:tcPr>
            <w:tcW w:w="1126" w:type="dxa"/>
            <w:tcBorders>
              <w:top w:val="nil"/>
              <w:left w:val="nil"/>
              <w:bottom w:val="nil"/>
              <w:right w:val="nil"/>
            </w:tcBorders>
            <w:shd w:val="clear" w:color="auto" w:fill="auto"/>
            <w:noWrap/>
            <w:vAlign w:val="center"/>
          </w:tcPr>
          <w:p w14:paraId="7492EDB2"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5,692</w:t>
            </w:r>
          </w:p>
        </w:tc>
        <w:tc>
          <w:tcPr>
            <w:tcW w:w="1126" w:type="dxa"/>
            <w:tcBorders>
              <w:top w:val="nil"/>
              <w:left w:val="nil"/>
              <w:bottom w:val="nil"/>
              <w:right w:val="nil"/>
            </w:tcBorders>
            <w:shd w:val="clear" w:color="auto" w:fill="E5DFEC" w:themeFill="accent4" w:themeFillTint="33"/>
            <w:noWrap/>
            <w:vAlign w:val="center"/>
          </w:tcPr>
          <w:p w14:paraId="43B5AFD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6,231</w:t>
            </w:r>
          </w:p>
        </w:tc>
        <w:tc>
          <w:tcPr>
            <w:tcW w:w="1126" w:type="dxa"/>
            <w:tcBorders>
              <w:top w:val="nil"/>
              <w:left w:val="nil"/>
              <w:bottom w:val="nil"/>
              <w:right w:val="nil"/>
            </w:tcBorders>
            <w:shd w:val="clear" w:color="auto" w:fill="auto"/>
            <w:noWrap/>
            <w:vAlign w:val="center"/>
          </w:tcPr>
          <w:p w14:paraId="2C278D6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5,787</w:t>
            </w:r>
          </w:p>
        </w:tc>
        <w:tc>
          <w:tcPr>
            <w:tcW w:w="1126" w:type="dxa"/>
            <w:tcBorders>
              <w:top w:val="nil"/>
              <w:left w:val="nil"/>
              <w:bottom w:val="nil"/>
              <w:right w:val="nil"/>
            </w:tcBorders>
            <w:shd w:val="clear" w:color="auto" w:fill="E5DFEC" w:themeFill="accent4" w:themeFillTint="33"/>
            <w:noWrap/>
            <w:vAlign w:val="center"/>
          </w:tcPr>
          <w:p w14:paraId="0469123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6,497</w:t>
            </w:r>
          </w:p>
        </w:tc>
        <w:tc>
          <w:tcPr>
            <w:tcW w:w="1126" w:type="dxa"/>
            <w:tcBorders>
              <w:top w:val="nil"/>
              <w:left w:val="nil"/>
              <w:bottom w:val="nil"/>
              <w:right w:val="nil"/>
            </w:tcBorders>
            <w:shd w:val="clear" w:color="auto" w:fill="auto"/>
            <w:noWrap/>
            <w:vAlign w:val="center"/>
          </w:tcPr>
          <w:p w14:paraId="4DEBD73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5,887</w:t>
            </w:r>
          </w:p>
        </w:tc>
        <w:tc>
          <w:tcPr>
            <w:tcW w:w="1126" w:type="dxa"/>
            <w:tcBorders>
              <w:top w:val="nil"/>
              <w:left w:val="nil"/>
              <w:bottom w:val="nil"/>
              <w:right w:val="nil"/>
            </w:tcBorders>
            <w:shd w:val="clear" w:color="auto" w:fill="E5DFEC" w:themeFill="accent4" w:themeFillTint="33"/>
            <w:noWrap/>
            <w:vAlign w:val="center"/>
          </w:tcPr>
          <w:p w14:paraId="6BAC24A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6,760</w:t>
            </w:r>
          </w:p>
        </w:tc>
        <w:tc>
          <w:tcPr>
            <w:tcW w:w="1126" w:type="dxa"/>
            <w:tcBorders>
              <w:top w:val="nil"/>
              <w:left w:val="nil"/>
              <w:bottom w:val="nil"/>
              <w:right w:val="nil"/>
            </w:tcBorders>
            <w:shd w:val="clear" w:color="auto" w:fill="auto"/>
            <w:noWrap/>
            <w:vAlign w:val="center"/>
          </w:tcPr>
          <w:p w14:paraId="46072C6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7,835</w:t>
            </w:r>
          </w:p>
        </w:tc>
        <w:tc>
          <w:tcPr>
            <w:tcW w:w="1126" w:type="dxa"/>
            <w:tcBorders>
              <w:top w:val="nil"/>
              <w:left w:val="nil"/>
              <w:bottom w:val="nil"/>
              <w:right w:val="nil"/>
            </w:tcBorders>
            <w:shd w:val="clear" w:color="auto" w:fill="E5DFEC" w:themeFill="accent4" w:themeFillTint="33"/>
            <w:noWrap/>
            <w:vAlign w:val="center"/>
          </w:tcPr>
          <w:p w14:paraId="1C3F508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7,531</w:t>
            </w:r>
          </w:p>
        </w:tc>
        <w:tc>
          <w:tcPr>
            <w:tcW w:w="1126" w:type="dxa"/>
            <w:tcBorders>
              <w:top w:val="nil"/>
              <w:left w:val="nil"/>
              <w:bottom w:val="nil"/>
              <w:right w:val="nil"/>
            </w:tcBorders>
            <w:shd w:val="clear" w:color="auto" w:fill="auto"/>
            <w:noWrap/>
            <w:vAlign w:val="center"/>
          </w:tcPr>
          <w:p w14:paraId="43FFF34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6,673</w:t>
            </w:r>
          </w:p>
        </w:tc>
        <w:tc>
          <w:tcPr>
            <w:tcW w:w="1127" w:type="dxa"/>
            <w:tcBorders>
              <w:top w:val="nil"/>
              <w:left w:val="nil"/>
              <w:bottom w:val="nil"/>
              <w:right w:val="single" w:sz="4" w:space="0" w:color="auto"/>
            </w:tcBorders>
            <w:shd w:val="clear" w:color="auto" w:fill="E5DFEC" w:themeFill="accent4" w:themeFillTint="33"/>
            <w:noWrap/>
            <w:vAlign w:val="center"/>
          </w:tcPr>
          <w:p w14:paraId="4D23B34B"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6,627</w:t>
            </w:r>
          </w:p>
        </w:tc>
        <w:tc>
          <w:tcPr>
            <w:tcW w:w="1275" w:type="dxa"/>
            <w:tcBorders>
              <w:top w:val="nil"/>
              <w:left w:val="nil"/>
              <w:bottom w:val="nil"/>
              <w:right w:val="single" w:sz="4" w:space="0" w:color="auto"/>
            </w:tcBorders>
            <w:shd w:val="clear" w:color="auto" w:fill="auto"/>
            <w:vAlign w:val="center"/>
          </w:tcPr>
          <w:p w14:paraId="6DA2244D"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16%</w:t>
            </w:r>
          </w:p>
        </w:tc>
      </w:tr>
      <w:tr w:rsidR="00A42FBC" w:rsidRPr="005D61DD" w14:paraId="7068B69D" w14:textId="77777777" w:rsidTr="00A42FBC">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3B92BF26" w14:textId="77777777" w:rsidR="00A42FBC" w:rsidRPr="005D61DD" w:rsidRDefault="00A42FBC" w:rsidP="00CE2FDF">
            <w:pPr>
              <w:spacing w:before="0" w:line="276" w:lineRule="auto"/>
              <w:rPr>
                <w:rFonts w:eastAsia="Times New Roman" w:cs="Arial"/>
                <w:b/>
                <w:sz w:val="20"/>
                <w:szCs w:val="20"/>
                <w:lang w:eastAsia="en-AU"/>
              </w:rPr>
            </w:pPr>
            <w:r w:rsidRPr="005D61DD">
              <w:rPr>
                <w:rFonts w:eastAsia="Times New Roman" w:cs="Arial"/>
                <w:b/>
                <w:sz w:val="20"/>
                <w:szCs w:val="20"/>
                <w:lang w:eastAsia="en-AU"/>
              </w:rPr>
              <w:t>Total reports:</w:t>
            </w:r>
          </w:p>
        </w:tc>
        <w:tc>
          <w:tcPr>
            <w:tcW w:w="1126" w:type="dxa"/>
            <w:tcBorders>
              <w:top w:val="nil"/>
              <w:left w:val="nil"/>
              <w:bottom w:val="single" w:sz="4" w:space="0" w:color="auto"/>
              <w:right w:val="nil"/>
            </w:tcBorders>
            <w:shd w:val="clear" w:color="auto" w:fill="auto"/>
            <w:noWrap/>
            <w:vAlign w:val="center"/>
          </w:tcPr>
          <w:p w14:paraId="07BBE2BC"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9,048</w:t>
            </w:r>
          </w:p>
        </w:tc>
        <w:tc>
          <w:tcPr>
            <w:tcW w:w="1126" w:type="dxa"/>
            <w:tcBorders>
              <w:top w:val="nil"/>
              <w:left w:val="nil"/>
              <w:bottom w:val="single" w:sz="4" w:space="0" w:color="auto"/>
              <w:right w:val="nil"/>
            </w:tcBorders>
            <w:shd w:val="clear" w:color="auto" w:fill="E5DFEC" w:themeFill="accent4" w:themeFillTint="33"/>
            <w:noWrap/>
            <w:vAlign w:val="center"/>
          </w:tcPr>
          <w:p w14:paraId="4DF60490"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9,697</w:t>
            </w:r>
          </w:p>
        </w:tc>
        <w:tc>
          <w:tcPr>
            <w:tcW w:w="1126" w:type="dxa"/>
            <w:tcBorders>
              <w:top w:val="nil"/>
              <w:left w:val="nil"/>
              <w:bottom w:val="single" w:sz="4" w:space="0" w:color="auto"/>
              <w:right w:val="nil"/>
            </w:tcBorders>
            <w:shd w:val="clear" w:color="auto" w:fill="auto"/>
            <w:noWrap/>
            <w:vAlign w:val="center"/>
          </w:tcPr>
          <w:p w14:paraId="7219DFFA"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8,930</w:t>
            </w:r>
          </w:p>
        </w:tc>
        <w:tc>
          <w:tcPr>
            <w:tcW w:w="1126" w:type="dxa"/>
            <w:tcBorders>
              <w:top w:val="nil"/>
              <w:left w:val="nil"/>
              <w:bottom w:val="single" w:sz="4" w:space="0" w:color="auto"/>
              <w:right w:val="nil"/>
            </w:tcBorders>
            <w:shd w:val="clear" w:color="auto" w:fill="E5DFEC" w:themeFill="accent4" w:themeFillTint="33"/>
            <w:noWrap/>
            <w:vAlign w:val="center"/>
          </w:tcPr>
          <w:p w14:paraId="65B26797"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10,382</w:t>
            </w:r>
          </w:p>
        </w:tc>
        <w:tc>
          <w:tcPr>
            <w:tcW w:w="1126" w:type="dxa"/>
            <w:tcBorders>
              <w:top w:val="nil"/>
              <w:left w:val="nil"/>
              <w:bottom w:val="single" w:sz="4" w:space="0" w:color="auto"/>
              <w:right w:val="nil"/>
            </w:tcBorders>
            <w:shd w:val="clear" w:color="auto" w:fill="auto"/>
            <w:noWrap/>
            <w:vAlign w:val="center"/>
          </w:tcPr>
          <w:p w14:paraId="083CE9BF"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10,203</w:t>
            </w:r>
          </w:p>
        </w:tc>
        <w:tc>
          <w:tcPr>
            <w:tcW w:w="1126" w:type="dxa"/>
            <w:tcBorders>
              <w:top w:val="nil"/>
              <w:left w:val="nil"/>
              <w:bottom w:val="single" w:sz="4" w:space="0" w:color="auto"/>
              <w:right w:val="nil"/>
            </w:tcBorders>
            <w:shd w:val="clear" w:color="auto" w:fill="E5DFEC" w:themeFill="accent4" w:themeFillTint="33"/>
            <w:noWrap/>
            <w:vAlign w:val="center"/>
          </w:tcPr>
          <w:p w14:paraId="23DFE85B"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12,887</w:t>
            </w:r>
          </w:p>
        </w:tc>
        <w:tc>
          <w:tcPr>
            <w:tcW w:w="1126" w:type="dxa"/>
            <w:tcBorders>
              <w:top w:val="nil"/>
              <w:left w:val="nil"/>
              <w:bottom w:val="single" w:sz="4" w:space="0" w:color="auto"/>
              <w:right w:val="nil"/>
            </w:tcBorders>
            <w:shd w:val="clear" w:color="auto" w:fill="auto"/>
            <w:noWrap/>
            <w:vAlign w:val="center"/>
          </w:tcPr>
          <w:p w14:paraId="5FE1A5BA"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14,781</w:t>
            </w:r>
          </w:p>
        </w:tc>
        <w:tc>
          <w:tcPr>
            <w:tcW w:w="1126" w:type="dxa"/>
            <w:tcBorders>
              <w:top w:val="nil"/>
              <w:left w:val="nil"/>
              <w:bottom w:val="single" w:sz="4" w:space="0" w:color="auto"/>
              <w:right w:val="nil"/>
            </w:tcBorders>
            <w:shd w:val="clear" w:color="auto" w:fill="E5DFEC" w:themeFill="accent4" w:themeFillTint="33"/>
            <w:noWrap/>
            <w:vAlign w:val="center"/>
          </w:tcPr>
          <w:p w14:paraId="6E9FB306"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15,050</w:t>
            </w:r>
          </w:p>
        </w:tc>
        <w:tc>
          <w:tcPr>
            <w:tcW w:w="1126" w:type="dxa"/>
            <w:tcBorders>
              <w:top w:val="nil"/>
              <w:left w:val="nil"/>
              <w:bottom w:val="single" w:sz="4" w:space="0" w:color="auto"/>
              <w:right w:val="nil"/>
            </w:tcBorders>
            <w:shd w:val="clear" w:color="auto" w:fill="auto"/>
            <w:noWrap/>
            <w:vAlign w:val="center"/>
          </w:tcPr>
          <w:p w14:paraId="7FA3E0F1"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13,989</w:t>
            </w:r>
          </w:p>
        </w:tc>
        <w:tc>
          <w:tcPr>
            <w:tcW w:w="1127" w:type="dxa"/>
            <w:tcBorders>
              <w:top w:val="nil"/>
              <w:left w:val="nil"/>
              <w:bottom w:val="single" w:sz="4" w:space="0" w:color="auto"/>
              <w:right w:val="single" w:sz="4" w:space="0" w:color="auto"/>
            </w:tcBorders>
            <w:shd w:val="clear" w:color="auto" w:fill="E5DFEC" w:themeFill="accent4" w:themeFillTint="33"/>
            <w:noWrap/>
            <w:vAlign w:val="center"/>
          </w:tcPr>
          <w:p w14:paraId="4CF96FD1"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14,919</w:t>
            </w:r>
          </w:p>
        </w:tc>
        <w:tc>
          <w:tcPr>
            <w:tcW w:w="1275" w:type="dxa"/>
            <w:tcBorders>
              <w:top w:val="nil"/>
              <w:left w:val="nil"/>
              <w:bottom w:val="single" w:sz="4" w:space="0" w:color="auto"/>
              <w:right w:val="single" w:sz="4" w:space="0" w:color="auto"/>
            </w:tcBorders>
            <w:shd w:val="clear" w:color="auto" w:fill="auto"/>
            <w:vAlign w:val="center"/>
          </w:tcPr>
          <w:p w14:paraId="18437EEB"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65%</w:t>
            </w:r>
          </w:p>
        </w:tc>
      </w:tr>
      <w:tr w:rsidR="00FE57AD" w:rsidRPr="005D61DD" w14:paraId="1034D048" w14:textId="77777777" w:rsidTr="00A42FBC">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C329C8B" w14:textId="77777777" w:rsidR="00FE57AD" w:rsidRPr="005D61DD" w:rsidRDefault="00FE57AD" w:rsidP="00CE2FDF">
            <w:pPr>
              <w:spacing w:before="0" w:line="276" w:lineRule="auto"/>
              <w:rPr>
                <w:rFonts w:eastAsia="Times New Roman" w:cs="Arial"/>
                <w:b/>
                <w:sz w:val="20"/>
                <w:szCs w:val="20"/>
                <w:lang w:eastAsia="en-AU"/>
              </w:rPr>
            </w:pPr>
            <w:r w:rsidRPr="005D61DD">
              <w:rPr>
                <w:rFonts w:eastAsia="Times New Roman" w:cs="Arial"/>
                <w:b/>
                <w:sz w:val="20"/>
                <w:szCs w:val="20"/>
                <w:lang w:eastAsia="en-AU"/>
              </w:rPr>
              <w:t>Sexual Abuse</w:t>
            </w:r>
          </w:p>
        </w:tc>
        <w:tc>
          <w:tcPr>
            <w:tcW w:w="1126" w:type="dxa"/>
            <w:tcBorders>
              <w:top w:val="nil"/>
              <w:left w:val="nil"/>
              <w:bottom w:val="nil"/>
              <w:right w:val="nil"/>
            </w:tcBorders>
            <w:shd w:val="clear" w:color="auto" w:fill="auto"/>
            <w:noWrap/>
            <w:vAlign w:val="bottom"/>
          </w:tcPr>
          <w:p w14:paraId="3CAC75E9"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F2DBDB" w:themeFill="accent2" w:themeFillTint="33"/>
            <w:noWrap/>
            <w:vAlign w:val="bottom"/>
          </w:tcPr>
          <w:p w14:paraId="3F343766"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tcPr>
          <w:p w14:paraId="513E1008"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F2DBDB" w:themeFill="accent2" w:themeFillTint="33"/>
            <w:noWrap/>
            <w:vAlign w:val="bottom"/>
          </w:tcPr>
          <w:p w14:paraId="54F9E3CA"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tcPr>
          <w:p w14:paraId="11A490E8"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F2DBDB" w:themeFill="accent2" w:themeFillTint="33"/>
            <w:noWrap/>
            <w:vAlign w:val="bottom"/>
          </w:tcPr>
          <w:p w14:paraId="7157C38F"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tcPr>
          <w:p w14:paraId="4EF63664"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F2DBDB" w:themeFill="accent2" w:themeFillTint="33"/>
            <w:noWrap/>
            <w:vAlign w:val="bottom"/>
          </w:tcPr>
          <w:p w14:paraId="56917477"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tcPr>
          <w:p w14:paraId="252DE6C7" w14:textId="77777777" w:rsidR="00FE57AD" w:rsidRPr="005D61DD" w:rsidRDefault="00FE57AD" w:rsidP="00CE2FDF">
            <w:pPr>
              <w:spacing w:before="0" w:line="276" w:lineRule="auto"/>
              <w:jc w:val="right"/>
              <w:rPr>
                <w:rFonts w:eastAsia="Times New Roman" w:cs="Arial"/>
                <w:b/>
                <w:sz w:val="20"/>
                <w:szCs w:val="20"/>
                <w:lang w:eastAsia="en-AU"/>
              </w:rPr>
            </w:pPr>
          </w:p>
        </w:tc>
        <w:tc>
          <w:tcPr>
            <w:tcW w:w="1127" w:type="dxa"/>
            <w:tcBorders>
              <w:top w:val="nil"/>
              <w:left w:val="nil"/>
              <w:bottom w:val="nil"/>
              <w:right w:val="single" w:sz="4" w:space="0" w:color="auto"/>
            </w:tcBorders>
            <w:shd w:val="clear" w:color="auto" w:fill="F2DBDB" w:themeFill="accent2" w:themeFillTint="33"/>
            <w:noWrap/>
            <w:vAlign w:val="bottom"/>
          </w:tcPr>
          <w:p w14:paraId="6CFB2932" w14:textId="77777777" w:rsidR="00FE57AD" w:rsidRPr="005D61DD" w:rsidRDefault="00FE57AD" w:rsidP="00CE2FDF">
            <w:pPr>
              <w:spacing w:before="0" w:line="276" w:lineRule="auto"/>
              <w:jc w:val="right"/>
              <w:rPr>
                <w:rFonts w:eastAsia="Times New Roman" w:cs="Arial"/>
                <w:b/>
                <w:sz w:val="20"/>
                <w:szCs w:val="20"/>
                <w:lang w:eastAsia="en-AU"/>
              </w:rPr>
            </w:pPr>
          </w:p>
        </w:tc>
        <w:tc>
          <w:tcPr>
            <w:tcW w:w="1275" w:type="dxa"/>
            <w:tcBorders>
              <w:top w:val="nil"/>
              <w:left w:val="nil"/>
              <w:bottom w:val="nil"/>
              <w:right w:val="single" w:sz="4" w:space="0" w:color="auto"/>
            </w:tcBorders>
            <w:shd w:val="clear" w:color="auto" w:fill="auto"/>
          </w:tcPr>
          <w:p w14:paraId="7A68593F" w14:textId="77777777" w:rsidR="00FE57AD" w:rsidRPr="005D61DD" w:rsidRDefault="00FE57AD" w:rsidP="00CE2FDF">
            <w:pPr>
              <w:spacing w:before="0" w:line="276" w:lineRule="auto"/>
              <w:jc w:val="right"/>
              <w:rPr>
                <w:rFonts w:eastAsia="Times New Roman" w:cs="Arial"/>
                <w:b/>
                <w:sz w:val="20"/>
                <w:szCs w:val="20"/>
                <w:lang w:eastAsia="en-AU"/>
              </w:rPr>
            </w:pPr>
          </w:p>
        </w:tc>
      </w:tr>
      <w:tr w:rsidR="00A42FBC" w:rsidRPr="005D61DD" w14:paraId="2805FE4F" w14:textId="77777777" w:rsidTr="00A42FBC">
        <w:trPr>
          <w:trHeight w:val="204"/>
        </w:trPr>
        <w:tc>
          <w:tcPr>
            <w:tcW w:w="2221" w:type="dxa"/>
            <w:tcBorders>
              <w:top w:val="nil"/>
              <w:left w:val="single" w:sz="4" w:space="0" w:color="auto"/>
              <w:bottom w:val="nil"/>
              <w:right w:val="nil"/>
            </w:tcBorders>
            <w:shd w:val="clear" w:color="auto" w:fill="F2DBDB" w:themeFill="accent2" w:themeFillTint="33"/>
            <w:noWrap/>
            <w:hideMark/>
          </w:tcPr>
          <w:p w14:paraId="55272083"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Doctors</w:t>
            </w:r>
          </w:p>
        </w:tc>
        <w:tc>
          <w:tcPr>
            <w:tcW w:w="1126" w:type="dxa"/>
            <w:tcBorders>
              <w:top w:val="nil"/>
              <w:left w:val="nil"/>
              <w:bottom w:val="nil"/>
              <w:right w:val="nil"/>
            </w:tcBorders>
            <w:shd w:val="clear" w:color="auto" w:fill="auto"/>
            <w:noWrap/>
            <w:vAlign w:val="center"/>
          </w:tcPr>
          <w:p w14:paraId="591730EF"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222</w:t>
            </w:r>
          </w:p>
        </w:tc>
        <w:tc>
          <w:tcPr>
            <w:tcW w:w="1126" w:type="dxa"/>
            <w:tcBorders>
              <w:top w:val="nil"/>
              <w:left w:val="nil"/>
              <w:bottom w:val="nil"/>
              <w:right w:val="nil"/>
            </w:tcBorders>
            <w:shd w:val="clear" w:color="auto" w:fill="F2DBDB" w:themeFill="accent2" w:themeFillTint="33"/>
            <w:noWrap/>
            <w:vAlign w:val="center"/>
          </w:tcPr>
          <w:p w14:paraId="69BD1784"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193</w:t>
            </w:r>
          </w:p>
        </w:tc>
        <w:tc>
          <w:tcPr>
            <w:tcW w:w="1126" w:type="dxa"/>
            <w:tcBorders>
              <w:top w:val="nil"/>
              <w:left w:val="nil"/>
              <w:bottom w:val="nil"/>
              <w:right w:val="nil"/>
            </w:tcBorders>
            <w:shd w:val="clear" w:color="auto" w:fill="auto"/>
            <w:noWrap/>
            <w:vAlign w:val="center"/>
          </w:tcPr>
          <w:p w14:paraId="163C02DD"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203</w:t>
            </w:r>
          </w:p>
        </w:tc>
        <w:tc>
          <w:tcPr>
            <w:tcW w:w="1126" w:type="dxa"/>
            <w:tcBorders>
              <w:top w:val="nil"/>
              <w:left w:val="nil"/>
              <w:bottom w:val="nil"/>
              <w:right w:val="nil"/>
            </w:tcBorders>
            <w:shd w:val="clear" w:color="auto" w:fill="F2DBDB" w:themeFill="accent2" w:themeFillTint="33"/>
            <w:noWrap/>
            <w:vAlign w:val="center"/>
          </w:tcPr>
          <w:p w14:paraId="17469EF2"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185</w:t>
            </w:r>
          </w:p>
        </w:tc>
        <w:tc>
          <w:tcPr>
            <w:tcW w:w="1126" w:type="dxa"/>
            <w:tcBorders>
              <w:top w:val="nil"/>
              <w:left w:val="nil"/>
              <w:bottom w:val="nil"/>
              <w:right w:val="nil"/>
            </w:tcBorders>
            <w:shd w:val="clear" w:color="auto" w:fill="auto"/>
            <w:noWrap/>
            <w:vAlign w:val="center"/>
          </w:tcPr>
          <w:p w14:paraId="0B4C6868"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116</w:t>
            </w:r>
          </w:p>
        </w:tc>
        <w:tc>
          <w:tcPr>
            <w:tcW w:w="1126" w:type="dxa"/>
            <w:tcBorders>
              <w:top w:val="nil"/>
              <w:left w:val="nil"/>
              <w:bottom w:val="nil"/>
              <w:right w:val="nil"/>
            </w:tcBorders>
            <w:shd w:val="clear" w:color="auto" w:fill="F2DBDB" w:themeFill="accent2" w:themeFillTint="33"/>
            <w:noWrap/>
            <w:vAlign w:val="center"/>
          </w:tcPr>
          <w:p w14:paraId="0D4E23FE"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171</w:t>
            </w:r>
          </w:p>
        </w:tc>
        <w:tc>
          <w:tcPr>
            <w:tcW w:w="1126" w:type="dxa"/>
            <w:tcBorders>
              <w:top w:val="nil"/>
              <w:left w:val="nil"/>
              <w:bottom w:val="nil"/>
              <w:right w:val="nil"/>
            </w:tcBorders>
            <w:shd w:val="clear" w:color="auto" w:fill="auto"/>
            <w:noWrap/>
            <w:vAlign w:val="center"/>
          </w:tcPr>
          <w:p w14:paraId="09C78252"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219</w:t>
            </w:r>
          </w:p>
        </w:tc>
        <w:tc>
          <w:tcPr>
            <w:tcW w:w="1126" w:type="dxa"/>
            <w:tcBorders>
              <w:top w:val="nil"/>
              <w:left w:val="nil"/>
              <w:bottom w:val="nil"/>
              <w:right w:val="nil"/>
            </w:tcBorders>
            <w:shd w:val="clear" w:color="auto" w:fill="F2DBDB" w:themeFill="accent2" w:themeFillTint="33"/>
            <w:noWrap/>
            <w:vAlign w:val="center"/>
          </w:tcPr>
          <w:p w14:paraId="45DF3C5C"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191</w:t>
            </w:r>
          </w:p>
        </w:tc>
        <w:tc>
          <w:tcPr>
            <w:tcW w:w="1126" w:type="dxa"/>
            <w:tcBorders>
              <w:top w:val="nil"/>
              <w:left w:val="nil"/>
              <w:bottom w:val="nil"/>
              <w:right w:val="nil"/>
            </w:tcBorders>
            <w:shd w:val="clear" w:color="auto" w:fill="auto"/>
            <w:noWrap/>
            <w:vAlign w:val="center"/>
          </w:tcPr>
          <w:p w14:paraId="201B7495"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200</w:t>
            </w:r>
          </w:p>
        </w:tc>
        <w:tc>
          <w:tcPr>
            <w:tcW w:w="1127" w:type="dxa"/>
            <w:tcBorders>
              <w:top w:val="nil"/>
              <w:left w:val="nil"/>
              <w:bottom w:val="nil"/>
              <w:right w:val="single" w:sz="4" w:space="0" w:color="auto"/>
            </w:tcBorders>
            <w:shd w:val="clear" w:color="auto" w:fill="F2DBDB" w:themeFill="accent2" w:themeFillTint="33"/>
            <w:noWrap/>
            <w:vAlign w:val="center"/>
          </w:tcPr>
          <w:p w14:paraId="585445D4"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228</w:t>
            </w:r>
          </w:p>
        </w:tc>
        <w:tc>
          <w:tcPr>
            <w:tcW w:w="1275" w:type="dxa"/>
            <w:tcBorders>
              <w:top w:val="nil"/>
              <w:left w:val="nil"/>
              <w:bottom w:val="nil"/>
              <w:right w:val="single" w:sz="4" w:space="0" w:color="auto"/>
            </w:tcBorders>
            <w:shd w:val="clear" w:color="auto" w:fill="auto"/>
            <w:vAlign w:val="center"/>
          </w:tcPr>
          <w:p w14:paraId="3407BDB8"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3%</w:t>
            </w:r>
          </w:p>
        </w:tc>
      </w:tr>
      <w:tr w:rsidR="00A42FBC" w:rsidRPr="005D61DD" w14:paraId="330A352C" w14:textId="77777777" w:rsidTr="00A42FBC">
        <w:trPr>
          <w:trHeight w:val="204"/>
        </w:trPr>
        <w:tc>
          <w:tcPr>
            <w:tcW w:w="2221" w:type="dxa"/>
            <w:tcBorders>
              <w:top w:val="nil"/>
              <w:left w:val="single" w:sz="4" w:space="0" w:color="auto"/>
              <w:bottom w:val="nil"/>
              <w:right w:val="nil"/>
            </w:tcBorders>
            <w:shd w:val="clear" w:color="auto" w:fill="F2DBDB" w:themeFill="accent2" w:themeFillTint="33"/>
            <w:noWrap/>
            <w:hideMark/>
          </w:tcPr>
          <w:p w14:paraId="08F9D499"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Nurses</w:t>
            </w:r>
          </w:p>
        </w:tc>
        <w:tc>
          <w:tcPr>
            <w:tcW w:w="1126" w:type="dxa"/>
            <w:tcBorders>
              <w:top w:val="nil"/>
              <w:left w:val="nil"/>
              <w:bottom w:val="nil"/>
              <w:right w:val="nil"/>
            </w:tcBorders>
            <w:shd w:val="clear" w:color="auto" w:fill="auto"/>
            <w:noWrap/>
            <w:vAlign w:val="center"/>
          </w:tcPr>
          <w:p w14:paraId="735DB863"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68</w:t>
            </w:r>
          </w:p>
        </w:tc>
        <w:tc>
          <w:tcPr>
            <w:tcW w:w="1126" w:type="dxa"/>
            <w:tcBorders>
              <w:top w:val="nil"/>
              <w:left w:val="nil"/>
              <w:bottom w:val="nil"/>
              <w:right w:val="nil"/>
            </w:tcBorders>
            <w:shd w:val="clear" w:color="auto" w:fill="F2DBDB" w:themeFill="accent2" w:themeFillTint="33"/>
            <w:noWrap/>
            <w:vAlign w:val="center"/>
          </w:tcPr>
          <w:p w14:paraId="6D77A0C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57</w:t>
            </w:r>
          </w:p>
        </w:tc>
        <w:tc>
          <w:tcPr>
            <w:tcW w:w="1126" w:type="dxa"/>
            <w:tcBorders>
              <w:top w:val="nil"/>
              <w:left w:val="nil"/>
              <w:bottom w:val="nil"/>
              <w:right w:val="nil"/>
            </w:tcBorders>
            <w:shd w:val="clear" w:color="auto" w:fill="auto"/>
            <w:noWrap/>
            <w:vAlign w:val="center"/>
          </w:tcPr>
          <w:p w14:paraId="215EF07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81</w:t>
            </w:r>
          </w:p>
        </w:tc>
        <w:tc>
          <w:tcPr>
            <w:tcW w:w="1126" w:type="dxa"/>
            <w:tcBorders>
              <w:top w:val="nil"/>
              <w:left w:val="nil"/>
              <w:bottom w:val="nil"/>
              <w:right w:val="nil"/>
            </w:tcBorders>
            <w:shd w:val="clear" w:color="auto" w:fill="F2DBDB" w:themeFill="accent2" w:themeFillTint="33"/>
            <w:noWrap/>
            <w:vAlign w:val="center"/>
          </w:tcPr>
          <w:p w14:paraId="523B014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68</w:t>
            </w:r>
          </w:p>
        </w:tc>
        <w:tc>
          <w:tcPr>
            <w:tcW w:w="1126" w:type="dxa"/>
            <w:tcBorders>
              <w:top w:val="nil"/>
              <w:left w:val="nil"/>
              <w:bottom w:val="nil"/>
              <w:right w:val="nil"/>
            </w:tcBorders>
            <w:shd w:val="clear" w:color="auto" w:fill="auto"/>
            <w:noWrap/>
            <w:vAlign w:val="center"/>
          </w:tcPr>
          <w:p w14:paraId="3CAD060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67</w:t>
            </w:r>
          </w:p>
        </w:tc>
        <w:tc>
          <w:tcPr>
            <w:tcW w:w="1126" w:type="dxa"/>
            <w:tcBorders>
              <w:top w:val="nil"/>
              <w:left w:val="nil"/>
              <w:bottom w:val="nil"/>
              <w:right w:val="nil"/>
            </w:tcBorders>
            <w:shd w:val="clear" w:color="auto" w:fill="F2DBDB" w:themeFill="accent2" w:themeFillTint="33"/>
            <w:noWrap/>
            <w:vAlign w:val="center"/>
          </w:tcPr>
          <w:p w14:paraId="54CC9FA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80</w:t>
            </w:r>
          </w:p>
        </w:tc>
        <w:tc>
          <w:tcPr>
            <w:tcW w:w="1126" w:type="dxa"/>
            <w:tcBorders>
              <w:top w:val="nil"/>
              <w:left w:val="nil"/>
              <w:bottom w:val="nil"/>
              <w:right w:val="nil"/>
            </w:tcBorders>
            <w:shd w:val="clear" w:color="auto" w:fill="auto"/>
            <w:noWrap/>
            <w:vAlign w:val="center"/>
          </w:tcPr>
          <w:p w14:paraId="49154EC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70</w:t>
            </w:r>
          </w:p>
        </w:tc>
        <w:tc>
          <w:tcPr>
            <w:tcW w:w="1126" w:type="dxa"/>
            <w:tcBorders>
              <w:top w:val="nil"/>
              <w:left w:val="nil"/>
              <w:bottom w:val="nil"/>
              <w:right w:val="nil"/>
            </w:tcBorders>
            <w:shd w:val="clear" w:color="auto" w:fill="F2DBDB" w:themeFill="accent2" w:themeFillTint="33"/>
            <w:noWrap/>
            <w:vAlign w:val="center"/>
          </w:tcPr>
          <w:p w14:paraId="517B762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72</w:t>
            </w:r>
          </w:p>
        </w:tc>
        <w:tc>
          <w:tcPr>
            <w:tcW w:w="1126" w:type="dxa"/>
            <w:tcBorders>
              <w:top w:val="nil"/>
              <w:left w:val="nil"/>
              <w:bottom w:val="nil"/>
              <w:right w:val="nil"/>
            </w:tcBorders>
            <w:shd w:val="clear" w:color="auto" w:fill="auto"/>
            <w:noWrap/>
            <w:vAlign w:val="center"/>
          </w:tcPr>
          <w:p w14:paraId="0871159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71</w:t>
            </w:r>
          </w:p>
        </w:tc>
        <w:tc>
          <w:tcPr>
            <w:tcW w:w="1127" w:type="dxa"/>
            <w:tcBorders>
              <w:top w:val="nil"/>
              <w:left w:val="nil"/>
              <w:bottom w:val="nil"/>
              <w:right w:val="single" w:sz="4" w:space="0" w:color="auto"/>
            </w:tcBorders>
            <w:shd w:val="clear" w:color="auto" w:fill="F2DBDB" w:themeFill="accent2" w:themeFillTint="33"/>
            <w:noWrap/>
            <w:vAlign w:val="center"/>
          </w:tcPr>
          <w:p w14:paraId="7556A7C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89</w:t>
            </w:r>
          </w:p>
        </w:tc>
        <w:tc>
          <w:tcPr>
            <w:tcW w:w="1275" w:type="dxa"/>
            <w:tcBorders>
              <w:top w:val="nil"/>
              <w:left w:val="nil"/>
              <w:bottom w:val="nil"/>
              <w:right w:val="single" w:sz="4" w:space="0" w:color="auto"/>
            </w:tcBorders>
            <w:shd w:val="clear" w:color="auto" w:fill="auto"/>
            <w:vAlign w:val="center"/>
          </w:tcPr>
          <w:p w14:paraId="18709B80"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31%</w:t>
            </w:r>
          </w:p>
        </w:tc>
      </w:tr>
      <w:tr w:rsidR="00A42FBC" w:rsidRPr="005D61DD" w14:paraId="33C90920" w14:textId="77777777" w:rsidTr="00A42FBC">
        <w:trPr>
          <w:trHeight w:val="204"/>
        </w:trPr>
        <w:tc>
          <w:tcPr>
            <w:tcW w:w="2221" w:type="dxa"/>
            <w:tcBorders>
              <w:top w:val="nil"/>
              <w:left w:val="single" w:sz="4" w:space="0" w:color="auto"/>
              <w:bottom w:val="nil"/>
              <w:right w:val="nil"/>
            </w:tcBorders>
            <w:shd w:val="clear" w:color="auto" w:fill="F2DBDB" w:themeFill="accent2" w:themeFillTint="33"/>
            <w:noWrap/>
            <w:hideMark/>
          </w:tcPr>
          <w:p w14:paraId="29A6B140"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Police</w:t>
            </w:r>
          </w:p>
        </w:tc>
        <w:tc>
          <w:tcPr>
            <w:tcW w:w="1126" w:type="dxa"/>
            <w:tcBorders>
              <w:top w:val="nil"/>
              <w:left w:val="nil"/>
              <w:bottom w:val="nil"/>
              <w:right w:val="nil"/>
            </w:tcBorders>
            <w:shd w:val="clear" w:color="auto" w:fill="auto"/>
            <w:noWrap/>
            <w:vAlign w:val="center"/>
          </w:tcPr>
          <w:p w14:paraId="7AEABD09"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828</w:t>
            </w:r>
          </w:p>
        </w:tc>
        <w:tc>
          <w:tcPr>
            <w:tcW w:w="1126" w:type="dxa"/>
            <w:tcBorders>
              <w:top w:val="nil"/>
              <w:left w:val="nil"/>
              <w:bottom w:val="nil"/>
              <w:right w:val="nil"/>
            </w:tcBorders>
            <w:shd w:val="clear" w:color="auto" w:fill="F2DBDB" w:themeFill="accent2" w:themeFillTint="33"/>
            <w:noWrap/>
            <w:vAlign w:val="center"/>
          </w:tcPr>
          <w:p w14:paraId="1A630BD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841</w:t>
            </w:r>
          </w:p>
        </w:tc>
        <w:tc>
          <w:tcPr>
            <w:tcW w:w="1126" w:type="dxa"/>
            <w:tcBorders>
              <w:top w:val="nil"/>
              <w:left w:val="nil"/>
              <w:bottom w:val="nil"/>
              <w:right w:val="nil"/>
            </w:tcBorders>
            <w:shd w:val="clear" w:color="auto" w:fill="auto"/>
            <w:noWrap/>
            <w:vAlign w:val="center"/>
          </w:tcPr>
          <w:p w14:paraId="64C9FD7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936</w:t>
            </w:r>
          </w:p>
        </w:tc>
        <w:tc>
          <w:tcPr>
            <w:tcW w:w="1126" w:type="dxa"/>
            <w:tcBorders>
              <w:top w:val="nil"/>
              <w:left w:val="nil"/>
              <w:bottom w:val="nil"/>
              <w:right w:val="nil"/>
            </w:tcBorders>
            <w:shd w:val="clear" w:color="auto" w:fill="F2DBDB" w:themeFill="accent2" w:themeFillTint="33"/>
            <w:noWrap/>
            <w:vAlign w:val="center"/>
          </w:tcPr>
          <w:p w14:paraId="340D873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810</w:t>
            </w:r>
          </w:p>
        </w:tc>
        <w:tc>
          <w:tcPr>
            <w:tcW w:w="1126" w:type="dxa"/>
            <w:tcBorders>
              <w:top w:val="nil"/>
              <w:left w:val="nil"/>
              <w:bottom w:val="nil"/>
              <w:right w:val="nil"/>
            </w:tcBorders>
            <w:shd w:val="clear" w:color="auto" w:fill="auto"/>
            <w:noWrap/>
            <w:vAlign w:val="center"/>
          </w:tcPr>
          <w:p w14:paraId="0608F95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698</w:t>
            </w:r>
          </w:p>
        </w:tc>
        <w:tc>
          <w:tcPr>
            <w:tcW w:w="1126" w:type="dxa"/>
            <w:tcBorders>
              <w:top w:val="nil"/>
              <w:left w:val="nil"/>
              <w:bottom w:val="nil"/>
              <w:right w:val="nil"/>
            </w:tcBorders>
            <w:shd w:val="clear" w:color="auto" w:fill="F2DBDB" w:themeFill="accent2" w:themeFillTint="33"/>
            <w:noWrap/>
            <w:vAlign w:val="center"/>
          </w:tcPr>
          <w:p w14:paraId="21512B9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795</w:t>
            </w:r>
          </w:p>
        </w:tc>
        <w:tc>
          <w:tcPr>
            <w:tcW w:w="1126" w:type="dxa"/>
            <w:tcBorders>
              <w:top w:val="nil"/>
              <w:left w:val="nil"/>
              <w:bottom w:val="nil"/>
              <w:right w:val="nil"/>
            </w:tcBorders>
            <w:shd w:val="clear" w:color="auto" w:fill="auto"/>
            <w:noWrap/>
            <w:vAlign w:val="center"/>
          </w:tcPr>
          <w:p w14:paraId="4202C65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919</w:t>
            </w:r>
          </w:p>
        </w:tc>
        <w:tc>
          <w:tcPr>
            <w:tcW w:w="1126" w:type="dxa"/>
            <w:tcBorders>
              <w:top w:val="nil"/>
              <w:left w:val="nil"/>
              <w:bottom w:val="nil"/>
              <w:right w:val="nil"/>
            </w:tcBorders>
            <w:shd w:val="clear" w:color="auto" w:fill="F2DBDB" w:themeFill="accent2" w:themeFillTint="33"/>
            <w:noWrap/>
            <w:vAlign w:val="center"/>
          </w:tcPr>
          <w:p w14:paraId="7F7F695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2,046</w:t>
            </w:r>
          </w:p>
        </w:tc>
        <w:tc>
          <w:tcPr>
            <w:tcW w:w="1126" w:type="dxa"/>
            <w:tcBorders>
              <w:top w:val="nil"/>
              <w:left w:val="nil"/>
              <w:bottom w:val="nil"/>
              <w:right w:val="nil"/>
            </w:tcBorders>
            <w:shd w:val="clear" w:color="auto" w:fill="auto"/>
            <w:noWrap/>
            <w:vAlign w:val="center"/>
          </w:tcPr>
          <w:p w14:paraId="55FA27B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1,771</w:t>
            </w:r>
          </w:p>
        </w:tc>
        <w:tc>
          <w:tcPr>
            <w:tcW w:w="1127" w:type="dxa"/>
            <w:tcBorders>
              <w:top w:val="nil"/>
              <w:left w:val="nil"/>
              <w:bottom w:val="nil"/>
              <w:right w:val="single" w:sz="4" w:space="0" w:color="auto"/>
            </w:tcBorders>
            <w:shd w:val="clear" w:color="auto" w:fill="F2DBDB" w:themeFill="accent2" w:themeFillTint="33"/>
            <w:noWrap/>
            <w:vAlign w:val="center"/>
          </w:tcPr>
          <w:p w14:paraId="78D29F5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2,780</w:t>
            </w:r>
          </w:p>
        </w:tc>
        <w:tc>
          <w:tcPr>
            <w:tcW w:w="1275" w:type="dxa"/>
            <w:tcBorders>
              <w:top w:val="nil"/>
              <w:left w:val="nil"/>
              <w:bottom w:val="nil"/>
              <w:right w:val="single" w:sz="4" w:space="0" w:color="auto"/>
            </w:tcBorders>
            <w:shd w:val="clear" w:color="auto" w:fill="auto"/>
            <w:vAlign w:val="center"/>
          </w:tcPr>
          <w:p w14:paraId="4337190E"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236%</w:t>
            </w:r>
          </w:p>
        </w:tc>
      </w:tr>
      <w:tr w:rsidR="00A42FBC" w:rsidRPr="005D61DD" w14:paraId="32E6BD39" w14:textId="77777777" w:rsidTr="00A42FBC">
        <w:trPr>
          <w:trHeight w:val="204"/>
        </w:trPr>
        <w:tc>
          <w:tcPr>
            <w:tcW w:w="2221" w:type="dxa"/>
            <w:tcBorders>
              <w:top w:val="nil"/>
              <w:left w:val="single" w:sz="4" w:space="0" w:color="auto"/>
              <w:bottom w:val="nil"/>
              <w:right w:val="nil"/>
            </w:tcBorders>
            <w:shd w:val="clear" w:color="auto" w:fill="F2DBDB" w:themeFill="accent2" w:themeFillTint="33"/>
            <w:noWrap/>
            <w:hideMark/>
          </w:tcPr>
          <w:p w14:paraId="426FDEB3"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School personnel</w:t>
            </w:r>
          </w:p>
        </w:tc>
        <w:tc>
          <w:tcPr>
            <w:tcW w:w="1126" w:type="dxa"/>
            <w:tcBorders>
              <w:top w:val="nil"/>
              <w:left w:val="nil"/>
              <w:bottom w:val="nil"/>
              <w:right w:val="nil"/>
            </w:tcBorders>
            <w:shd w:val="clear" w:color="auto" w:fill="auto"/>
            <w:noWrap/>
            <w:vAlign w:val="center"/>
          </w:tcPr>
          <w:p w14:paraId="58BF5D35"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431</w:t>
            </w:r>
          </w:p>
        </w:tc>
        <w:tc>
          <w:tcPr>
            <w:tcW w:w="1126" w:type="dxa"/>
            <w:tcBorders>
              <w:top w:val="nil"/>
              <w:left w:val="nil"/>
              <w:bottom w:val="nil"/>
              <w:right w:val="nil"/>
            </w:tcBorders>
            <w:shd w:val="clear" w:color="auto" w:fill="F2DBDB" w:themeFill="accent2" w:themeFillTint="33"/>
            <w:noWrap/>
            <w:vAlign w:val="center"/>
          </w:tcPr>
          <w:p w14:paraId="40678E79"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470</w:t>
            </w:r>
          </w:p>
        </w:tc>
        <w:tc>
          <w:tcPr>
            <w:tcW w:w="1126" w:type="dxa"/>
            <w:tcBorders>
              <w:top w:val="nil"/>
              <w:left w:val="nil"/>
              <w:bottom w:val="nil"/>
              <w:right w:val="nil"/>
            </w:tcBorders>
            <w:shd w:val="clear" w:color="auto" w:fill="auto"/>
            <w:noWrap/>
            <w:vAlign w:val="center"/>
          </w:tcPr>
          <w:p w14:paraId="5FD1981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477</w:t>
            </w:r>
          </w:p>
        </w:tc>
        <w:tc>
          <w:tcPr>
            <w:tcW w:w="1126" w:type="dxa"/>
            <w:tcBorders>
              <w:top w:val="nil"/>
              <w:left w:val="nil"/>
              <w:bottom w:val="nil"/>
              <w:right w:val="nil"/>
            </w:tcBorders>
            <w:shd w:val="clear" w:color="auto" w:fill="F2DBDB" w:themeFill="accent2" w:themeFillTint="33"/>
            <w:noWrap/>
            <w:vAlign w:val="center"/>
          </w:tcPr>
          <w:p w14:paraId="06C485E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537</w:t>
            </w:r>
          </w:p>
        </w:tc>
        <w:tc>
          <w:tcPr>
            <w:tcW w:w="1126" w:type="dxa"/>
            <w:tcBorders>
              <w:top w:val="nil"/>
              <w:left w:val="nil"/>
              <w:bottom w:val="nil"/>
              <w:right w:val="nil"/>
            </w:tcBorders>
            <w:shd w:val="clear" w:color="auto" w:fill="auto"/>
            <w:noWrap/>
            <w:vAlign w:val="center"/>
          </w:tcPr>
          <w:p w14:paraId="3C5260DD"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420</w:t>
            </w:r>
          </w:p>
        </w:tc>
        <w:tc>
          <w:tcPr>
            <w:tcW w:w="1126" w:type="dxa"/>
            <w:tcBorders>
              <w:top w:val="nil"/>
              <w:left w:val="nil"/>
              <w:bottom w:val="nil"/>
              <w:right w:val="nil"/>
            </w:tcBorders>
            <w:shd w:val="clear" w:color="auto" w:fill="F2DBDB" w:themeFill="accent2" w:themeFillTint="33"/>
            <w:noWrap/>
            <w:vAlign w:val="center"/>
          </w:tcPr>
          <w:p w14:paraId="3F5AC59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692</w:t>
            </w:r>
          </w:p>
        </w:tc>
        <w:tc>
          <w:tcPr>
            <w:tcW w:w="1126" w:type="dxa"/>
            <w:tcBorders>
              <w:top w:val="nil"/>
              <w:left w:val="nil"/>
              <w:bottom w:val="nil"/>
              <w:right w:val="nil"/>
            </w:tcBorders>
            <w:shd w:val="clear" w:color="auto" w:fill="auto"/>
            <w:noWrap/>
            <w:vAlign w:val="center"/>
          </w:tcPr>
          <w:p w14:paraId="185C153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637</w:t>
            </w:r>
          </w:p>
        </w:tc>
        <w:tc>
          <w:tcPr>
            <w:tcW w:w="1126" w:type="dxa"/>
            <w:tcBorders>
              <w:top w:val="nil"/>
              <w:left w:val="nil"/>
              <w:bottom w:val="nil"/>
              <w:right w:val="nil"/>
            </w:tcBorders>
            <w:shd w:val="clear" w:color="auto" w:fill="F2DBDB" w:themeFill="accent2" w:themeFillTint="33"/>
            <w:noWrap/>
            <w:vAlign w:val="center"/>
          </w:tcPr>
          <w:p w14:paraId="1FA7B302"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783</w:t>
            </w:r>
          </w:p>
        </w:tc>
        <w:tc>
          <w:tcPr>
            <w:tcW w:w="1126" w:type="dxa"/>
            <w:tcBorders>
              <w:top w:val="nil"/>
              <w:left w:val="nil"/>
              <w:bottom w:val="nil"/>
              <w:right w:val="nil"/>
            </w:tcBorders>
            <w:shd w:val="clear" w:color="auto" w:fill="auto"/>
            <w:noWrap/>
            <w:vAlign w:val="center"/>
          </w:tcPr>
          <w:p w14:paraId="7F8B122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929</w:t>
            </w:r>
          </w:p>
        </w:tc>
        <w:tc>
          <w:tcPr>
            <w:tcW w:w="1127" w:type="dxa"/>
            <w:tcBorders>
              <w:top w:val="nil"/>
              <w:left w:val="nil"/>
              <w:bottom w:val="nil"/>
              <w:right w:val="single" w:sz="4" w:space="0" w:color="auto"/>
            </w:tcBorders>
            <w:shd w:val="clear" w:color="auto" w:fill="F2DBDB" w:themeFill="accent2" w:themeFillTint="33"/>
            <w:noWrap/>
            <w:vAlign w:val="center"/>
          </w:tcPr>
          <w:p w14:paraId="1543D4A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1,001</w:t>
            </w:r>
          </w:p>
        </w:tc>
        <w:tc>
          <w:tcPr>
            <w:tcW w:w="1275" w:type="dxa"/>
            <w:tcBorders>
              <w:top w:val="nil"/>
              <w:left w:val="nil"/>
              <w:bottom w:val="nil"/>
              <w:right w:val="single" w:sz="4" w:space="0" w:color="auto"/>
            </w:tcBorders>
            <w:shd w:val="clear" w:color="auto" w:fill="auto"/>
            <w:vAlign w:val="center"/>
          </w:tcPr>
          <w:p w14:paraId="6642FCBD"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132%</w:t>
            </w:r>
          </w:p>
        </w:tc>
      </w:tr>
      <w:tr w:rsidR="00A42FBC" w:rsidRPr="005D61DD" w14:paraId="4CFC8103" w14:textId="77777777" w:rsidTr="00A42FBC">
        <w:trPr>
          <w:trHeight w:val="204"/>
        </w:trPr>
        <w:tc>
          <w:tcPr>
            <w:tcW w:w="2221" w:type="dxa"/>
            <w:tcBorders>
              <w:top w:val="nil"/>
              <w:left w:val="single" w:sz="4" w:space="0" w:color="auto"/>
              <w:bottom w:val="nil"/>
              <w:right w:val="nil"/>
            </w:tcBorders>
            <w:shd w:val="clear" w:color="auto" w:fill="F2DBDB" w:themeFill="accent2" w:themeFillTint="33"/>
            <w:noWrap/>
            <w:hideMark/>
          </w:tcPr>
          <w:p w14:paraId="58F5F006"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Psychiatrists</w:t>
            </w:r>
          </w:p>
        </w:tc>
        <w:tc>
          <w:tcPr>
            <w:tcW w:w="1126" w:type="dxa"/>
            <w:tcBorders>
              <w:top w:val="nil"/>
              <w:left w:val="nil"/>
              <w:bottom w:val="nil"/>
              <w:right w:val="nil"/>
            </w:tcBorders>
            <w:shd w:val="clear" w:color="auto" w:fill="auto"/>
            <w:noWrap/>
            <w:vAlign w:val="center"/>
          </w:tcPr>
          <w:p w14:paraId="6E05F87C"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29</w:t>
            </w:r>
          </w:p>
        </w:tc>
        <w:tc>
          <w:tcPr>
            <w:tcW w:w="1126" w:type="dxa"/>
            <w:tcBorders>
              <w:top w:val="nil"/>
              <w:left w:val="nil"/>
              <w:bottom w:val="nil"/>
              <w:right w:val="nil"/>
            </w:tcBorders>
            <w:shd w:val="clear" w:color="auto" w:fill="F2DBDB" w:themeFill="accent2" w:themeFillTint="33"/>
            <w:noWrap/>
            <w:vAlign w:val="center"/>
          </w:tcPr>
          <w:p w14:paraId="761A92D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23</w:t>
            </w:r>
          </w:p>
        </w:tc>
        <w:tc>
          <w:tcPr>
            <w:tcW w:w="1126" w:type="dxa"/>
            <w:tcBorders>
              <w:top w:val="nil"/>
              <w:left w:val="nil"/>
              <w:bottom w:val="nil"/>
              <w:right w:val="nil"/>
            </w:tcBorders>
            <w:shd w:val="clear" w:color="auto" w:fill="auto"/>
            <w:noWrap/>
            <w:vAlign w:val="center"/>
          </w:tcPr>
          <w:p w14:paraId="74816F8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18</w:t>
            </w:r>
          </w:p>
        </w:tc>
        <w:tc>
          <w:tcPr>
            <w:tcW w:w="1126" w:type="dxa"/>
            <w:tcBorders>
              <w:top w:val="nil"/>
              <w:left w:val="nil"/>
              <w:bottom w:val="nil"/>
              <w:right w:val="nil"/>
            </w:tcBorders>
            <w:shd w:val="clear" w:color="auto" w:fill="F2DBDB" w:themeFill="accent2" w:themeFillTint="33"/>
            <w:noWrap/>
            <w:vAlign w:val="center"/>
          </w:tcPr>
          <w:p w14:paraId="24A01A8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24</w:t>
            </w:r>
          </w:p>
        </w:tc>
        <w:tc>
          <w:tcPr>
            <w:tcW w:w="1126" w:type="dxa"/>
            <w:tcBorders>
              <w:top w:val="nil"/>
              <w:left w:val="nil"/>
              <w:bottom w:val="nil"/>
              <w:right w:val="nil"/>
            </w:tcBorders>
            <w:shd w:val="clear" w:color="auto" w:fill="auto"/>
            <w:noWrap/>
            <w:vAlign w:val="center"/>
          </w:tcPr>
          <w:p w14:paraId="2D27A05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13</w:t>
            </w:r>
          </w:p>
        </w:tc>
        <w:tc>
          <w:tcPr>
            <w:tcW w:w="1126" w:type="dxa"/>
            <w:tcBorders>
              <w:top w:val="nil"/>
              <w:left w:val="nil"/>
              <w:bottom w:val="nil"/>
              <w:right w:val="nil"/>
            </w:tcBorders>
            <w:shd w:val="clear" w:color="auto" w:fill="F2DBDB" w:themeFill="accent2" w:themeFillTint="33"/>
            <w:noWrap/>
            <w:vAlign w:val="center"/>
          </w:tcPr>
          <w:p w14:paraId="643DF80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11</w:t>
            </w:r>
          </w:p>
        </w:tc>
        <w:tc>
          <w:tcPr>
            <w:tcW w:w="1126" w:type="dxa"/>
            <w:tcBorders>
              <w:top w:val="nil"/>
              <w:left w:val="nil"/>
              <w:bottom w:val="nil"/>
              <w:right w:val="nil"/>
            </w:tcBorders>
            <w:shd w:val="clear" w:color="auto" w:fill="auto"/>
            <w:noWrap/>
            <w:vAlign w:val="center"/>
          </w:tcPr>
          <w:p w14:paraId="3860EBA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w:t>
            </w:r>
          </w:p>
        </w:tc>
        <w:tc>
          <w:tcPr>
            <w:tcW w:w="1126" w:type="dxa"/>
            <w:tcBorders>
              <w:top w:val="nil"/>
              <w:left w:val="nil"/>
              <w:bottom w:val="nil"/>
              <w:right w:val="nil"/>
            </w:tcBorders>
            <w:shd w:val="clear" w:color="auto" w:fill="F2DBDB" w:themeFill="accent2" w:themeFillTint="33"/>
            <w:noWrap/>
            <w:vAlign w:val="center"/>
          </w:tcPr>
          <w:p w14:paraId="793D279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21</w:t>
            </w:r>
          </w:p>
        </w:tc>
        <w:tc>
          <w:tcPr>
            <w:tcW w:w="1126" w:type="dxa"/>
            <w:tcBorders>
              <w:top w:val="nil"/>
              <w:left w:val="nil"/>
              <w:bottom w:val="nil"/>
              <w:right w:val="nil"/>
            </w:tcBorders>
            <w:shd w:val="clear" w:color="auto" w:fill="auto"/>
            <w:noWrap/>
            <w:vAlign w:val="center"/>
          </w:tcPr>
          <w:p w14:paraId="3A253927"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15</w:t>
            </w:r>
          </w:p>
        </w:tc>
        <w:tc>
          <w:tcPr>
            <w:tcW w:w="1127" w:type="dxa"/>
            <w:tcBorders>
              <w:top w:val="nil"/>
              <w:left w:val="nil"/>
              <w:bottom w:val="nil"/>
              <w:right w:val="single" w:sz="4" w:space="0" w:color="auto"/>
            </w:tcBorders>
            <w:shd w:val="clear" w:color="auto" w:fill="F2DBDB" w:themeFill="accent2" w:themeFillTint="33"/>
            <w:noWrap/>
            <w:vAlign w:val="center"/>
          </w:tcPr>
          <w:p w14:paraId="410E70E6"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18</w:t>
            </w:r>
          </w:p>
        </w:tc>
        <w:tc>
          <w:tcPr>
            <w:tcW w:w="1275" w:type="dxa"/>
            <w:tcBorders>
              <w:top w:val="nil"/>
              <w:left w:val="nil"/>
              <w:bottom w:val="nil"/>
              <w:right w:val="single" w:sz="4" w:space="0" w:color="auto"/>
            </w:tcBorders>
            <w:shd w:val="clear" w:color="auto" w:fill="auto"/>
            <w:vAlign w:val="center"/>
          </w:tcPr>
          <w:p w14:paraId="620DF853"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-38%</w:t>
            </w:r>
          </w:p>
        </w:tc>
      </w:tr>
      <w:tr w:rsidR="00A42FBC" w:rsidRPr="005D61DD" w14:paraId="0DE124A7" w14:textId="77777777" w:rsidTr="00A42FBC">
        <w:trPr>
          <w:trHeight w:val="204"/>
        </w:trPr>
        <w:tc>
          <w:tcPr>
            <w:tcW w:w="2221" w:type="dxa"/>
            <w:tcBorders>
              <w:top w:val="nil"/>
              <w:left w:val="single" w:sz="4" w:space="0" w:color="auto"/>
              <w:bottom w:val="nil"/>
              <w:right w:val="nil"/>
            </w:tcBorders>
            <w:shd w:val="clear" w:color="auto" w:fill="F2DBDB" w:themeFill="accent2" w:themeFillTint="33"/>
            <w:noWrap/>
            <w:hideMark/>
          </w:tcPr>
          <w:p w14:paraId="0DEE2968"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Major mandated reporter groups combined</w:t>
            </w:r>
          </w:p>
        </w:tc>
        <w:tc>
          <w:tcPr>
            <w:tcW w:w="1126" w:type="dxa"/>
            <w:tcBorders>
              <w:top w:val="nil"/>
              <w:left w:val="nil"/>
              <w:bottom w:val="nil"/>
              <w:right w:val="nil"/>
            </w:tcBorders>
            <w:shd w:val="clear" w:color="auto" w:fill="auto"/>
            <w:noWrap/>
            <w:vAlign w:val="center"/>
          </w:tcPr>
          <w:p w14:paraId="04B7420B"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1,578</w:t>
            </w:r>
          </w:p>
        </w:tc>
        <w:tc>
          <w:tcPr>
            <w:tcW w:w="1126" w:type="dxa"/>
            <w:tcBorders>
              <w:top w:val="nil"/>
              <w:left w:val="nil"/>
              <w:bottom w:val="nil"/>
              <w:right w:val="nil"/>
            </w:tcBorders>
            <w:shd w:val="clear" w:color="auto" w:fill="F2DBDB" w:themeFill="accent2" w:themeFillTint="33"/>
            <w:noWrap/>
            <w:vAlign w:val="center"/>
          </w:tcPr>
          <w:p w14:paraId="056D498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1,584</w:t>
            </w:r>
          </w:p>
        </w:tc>
        <w:tc>
          <w:tcPr>
            <w:tcW w:w="1126" w:type="dxa"/>
            <w:tcBorders>
              <w:top w:val="nil"/>
              <w:left w:val="nil"/>
              <w:bottom w:val="nil"/>
              <w:right w:val="nil"/>
            </w:tcBorders>
            <w:shd w:val="clear" w:color="auto" w:fill="auto"/>
            <w:noWrap/>
            <w:vAlign w:val="center"/>
          </w:tcPr>
          <w:p w14:paraId="4CA9CBD4"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1,715</w:t>
            </w:r>
          </w:p>
        </w:tc>
        <w:tc>
          <w:tcPr>
            <w:tcW w:w="1126" w:type="dxa"/>
            <w:tcBorders>
              <w:top w:val="nil"/>
              <w:left w:val="nil"/>
              <w:bottom w:val="nil"/>
              <w:right w:val="nil"/>
            </w:tcBorders>
            <w:shd w:val="clear" w:color="auto" w:fill="F2DBDB" w:themeFill="accent2" w:themeFillTint="33"/>
            <w:noWrap/>
            <w:vAlign w:val="center"/>
          </w:tcPr>
          <w:p w14:paraId="28FD686C"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1,624</w:t>
            </w:r>
          </w:p>
        </w:tc>
        <w:tc>
          <w:tcPr>
            <w:tcW w:w="1126" w:type="dxa"/>
            <w:tcBorders>
              <w:top w:val="nil"/>
              <w:left w:val="nil"/>
              <w:bottom w:val="nil"/>
              <w:right w:val="nil"/>
            </w:tcBorders>
            <w:shd w:val="clear" w:color="auto" w:fill="auto"/>
            <w:noWrap/>
            <w:vAlign w:val="center"/>
          </w:tcPr>
          <w:p w14:paraId="1C9BB9FF"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1,314</w:t>
            </w:r>
          </w:p>
        </w:tc>
        <w:tc>
          <w:tcPr>
            <w:tcW w:w="1126" w:type="dxa"/>
            <w:tcBorders>
              <w:top w:val="nil"/>
              <w:left w:val="nil"/>
              <w:bottom w:val="nil"/>
              <w:right w:val="nil"/>
            </w:tcBorders>
            <w:shd w:val="clear" w:color="auto" w:fill="F2DBDB" w:themeFill="accent2" w:themeFillTint="33"/>
            <w:noWrap/>
            <w:vAlign w:val="center"/>
          </w:tcPr>
          <w:p w14:paraId="1D3B3F69"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1,749</w:t>
            </w:r>
          </w:p>
        </w:tc>
        <w:tc>
          <w:tcPr>
            <w:tcW w:w="1126" w:type="dxa"/>
            <w:tcBorders>
              <w:top w:val="nil"/>
              <w:left w:val="nil"/>
              <w:bottom w:val="nil"/>
              <w:right w:val="nil"/>
            </w:tcBorders>
            <w:shd w:val="clear" w:color="auto" w:fill="auto"/>
            <w:noWrap/>
            <w:vAlign w:val="center"/>
          </w:tcPr>
          <w:p w14:paraId="04FC5579"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1,862</w:t>
            </w:r>
          </w:p>
        </w:tc>
        <w:tc>
          <w:tcPr>
            <w:tcW w:w="1126" w:type="dxa"/>
            <w:tcBorders>
              <w:top w:val="nil"/>
              <w:left w:val="nil"/>
              <w:bottom w:val="nil"/>
              <w:right w:val="nil"/>
            </w:tcBorders>
            <w:shd w:val="clear" w:color="auto" w:fill="F2DBDB" w:themeFill="accent2" w:themeFillTint="33"/>
            <w:noWrap/>
            <w:vAlign w:val="center"/>
          </w:tcPr>
          <w:p w14:paraId="5F67AA8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3,113</w:t>
            </w:r>
          </w:p>
        </w:tc>
        <w:tc>
          <w:tcPr>
            <w:tcW w:w="1126" w:type="dxa"/>
            <w:tcBorders>
              <w:top w:val="nil"/>
              <w:left w:val="nil"/>
              <w:bottom w:val="nil"/>
              <w:right w:val="nil"/>
            </w:tcBorders>
            <w:shd w:val="clear" w:color="auto" w:fill="auto"/>
            <w:noWrap/>
            <w:vAlign w:val="center"/>
          </w:tcPr>
          <w:p w14:paraId="2705869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2,986</w:t>
            </w:r>
          </w:p>
        </w:tc>
        <w:tc>
          <w:tcPr>
            <w:tcW w:w="1127" w:type="dxa"/>
            <w:tcBorders>
              <w:top w:val="nil"/>
              <w:left w:val="nil"/>
              <w:bottom w:val="nil"/>
              <w:right w:val="single" w:sz="4" w:space="0" w:color="auto"/>
            </w:tcBorders>
            <w:shd w:val="clear" w:color="auto" w:fill="F2DBDB" w:themeFill="accent2" w:themeFillTint="33"/>
            <w:noWrap/>
            <w:vAlign w:val="center"/>
          </w:tcPr>
          <w:p w14:paraId="1A07F86A"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4,116</w:t>
            </w:r>
          </w:p>
        </w:tc>
        <w:tc>
          <w:tcPr>
            <w:tcW w:w="1275" w:type="dxa"/>
            <w:tcBorders>
              <w:top w:val="nil"/>
              <w:left w:val="nil"/>
              <w:bottom w:val="nil"/>
              <w:right w:val="single" w:sz="4" w:space="0" w:color="auto"/>
            </w:tcBorders>
            <w:shd w:val="clear" w:color="auto" w:fill="auto"/>
            <w:vAlign w:val="center"/>
          </w:tcPr>
          <w:p w14:paraId="3ED1B387"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161%</w:t>
            </w:r>
          </w:p>
        </w:tc>
      </w:tr>
      <w:tr w:rsidR="00A42FBC" w:rsidRPr="005D61DD" w14:paraId="1680CF57" w14:textId="77777777" w:rsidTr="00A42FBC">
        <w:trPr>
          <w:trHeight w:val="204"/>
        </w:trPr>
        <w:tc>
          <w:tcPr>
            <w:tcW w:w="2221" w:type="dxa"/>
            <w:tcBorders>
              <w:top w:val="nil"/>
              <w:left w:val="single" w:sz="4" w:space="0" w:color="auto"/>
              <w:bottom w:val="nil"/>
              <w:right w:val="nil"/>
            </w:tcBorders>
            <w:shd w:val="clear" w:color="auto" w:fill="F2DBDB" w:themeFill="accent2" w:themeFillTint="33"/>
            <w:noWrap/>
            <w:hideMark/>
          </w:tcPr>
          <w:p w14:paraId="1147CFA5" w14:textId="77777777" w:rsidR="00A42FBC" w:rsidRPr="005D61DD" w:rsidRDefault="00A42FBC"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Other reporter groups combined</w:t>
            </w:r>
          </w:p>
        </w:tc>
        <w:tc>
          <w:tcPr>
            <w:tcW w:w="1126" w:type="dxa"/>
            <w:tcBorders>
              <w:top w:val="nil"/>
              <w:left w:val="nil"/>
              <w:bottom w:val="nil"/>
              <w:right w:val="nil"/>
            </w:tcBorders>
            <w:shd w:val="clear" w:color="auto" w:fill="auto"/>
            <w:noWrap/>
            <w:vAlign w:val="center"/>
          </w:tcPr>
          <w:p w14:paraId="0AF5B088" w14:textId="77777777" w:rsidR="00A42FBC" w:rsidRPr="00A42FBC" w:rsidRDefault="00A42FBC" w:rsidP="00CE2FDF">
            <w:pPr>
              <w:spacing w:before="0" w:line="276" w:lineRule="auto"/>
              <w:jc w:val="right"/>
              <w:rPr>
                <w:color w:val="000000"/>
                <w:sz w:val="20"/>
                <w:szCs w:val="20"/>
              </w:rPr>
            </w:pPr>
            <w:r w:rsidRPr="00A42FBC">
              <w:rPr>
                <w:rFonts w:cs="Arial"/>
                <w:bCs/>
                <w:color w:val="000000"/>
                <w:sz w:val="20"/>
                <w:szCs w:val="20"/>
              </w:rPr>
              <w:t>2,863</w:t>
            </w:r>
          </w:p>
        </w:tc>
        <w:tc>
          <w:tcPr>
            <w:tcW w:w="1126" w:type="dxa"/>
            <w:tcBorders>
              <w:top w:val="nil"/>
              <w:left w:val="nil"/>
              <w:bottom w:val="nil"/>
              <w:right w:val="nil"/>
            </w:tcBorders>
            <w:shd w:val="clear" w:color="auto" w:fill="F2DBDB" w:themeFill="accent2" w:themeFillTint="33"/>
            <w:noWrap/>
            <w:vAlign w:val="center"/>
          </w:tcPr>
          <w:p w14:paraId="0E81FEB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3,048</w:t>
            </w:r>
          </w:p>
        </w:tc>
        <w:tc>
          <w:tcPr>
            <w:tcW w:w="1126" w:type="dxa"/>
            <w:tcBorders>
              <w:top w:val="nil"/>
              <w:left w:val="nil"/>
              <w:bottom w:val="nil"/>
              <w:right w:val="nil"/>
            </w:tcBorders>
            <w:shd w:val="clear" w:color="auto" w:fill="auto"/>
            <w:noWrap/>
            <w:vAlign w:val="center"/>
          </w:tcPr>
          <w:p w14:paraId="2C166E61"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2,812</w:t>
            </w:r>
          </w:p>
        </w:tc>
        <w:tc>
          <w:tcPr>
            <w:tcW w:w="1126" w:type="dxa"/>
            <w:tcBorders>
              <w:top w:val="nil"/>
              <w:left w:val="nil"/>
              <w:bottom w:val="nil"/>
              <w:right w:val="nil"/>
            </w:tcBorders>
            <w:shd w:val="clear" w:color="auto" w:fill="F2DBDB" w:themeFill="accent2" w:themeFillTint="33"/>
            <w:noWrap/>
            <w:vAlign w:val="center"/>
          </w:tcPr>
          <w:p w14:paraId="7395514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2,850</w:t>
            </w:r>
          </w:p>
        </w:tc>
        <w:tc>
          <w:tcPr>
            <w:tcW w:w="1126" w:type="dxa"/>
            <w:tcBorders>
              <w:top w:val="nil"/>
              <w:left w:val="nil"/>
              <w:bottom w:val="nil"/>
              <w:right w:val="nil"/>
            </w:tcBorders>
            <w:shd w:val="clear" w:color="auto" w:fill="auto"/>
            <w:noWrap/>
            <w:vAlign w:val="center"/>
          </w:tcPr>
          <w:p w14:paraId="425C3363"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1,799</w:t>
            </w:r>
          </w:p>
        </w:tc>
        <w:tc>
          <w:tcPr>
            <w:tcW w:w="1126" w:type="dxa"/>
            <w:tcBorders>
              <w:top w:val="nil"/>
              <w:left w:val="nil"/>
              <w:bottom w:val="nil"/>
              <w:right w:val="nil"/>
            </w:tcBorders>
            <w:shd w:val="clear" w:color="auto" w:fill="F2DBDB" w:themeFill="accent2" w:themeFillTint="33"/>
            <w:noWrap/>
            <w:vAlign w:val="center"/>
          </w:tcPr>
          <w:p w14:paraId="662C3D19"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2,377</w:t>
            </w:r>
          </w:p>
        </w:tc>
        <w:tc>
          <w:tcPr>
            <w:tcW w:w="1126" w:type="dxa"/>
            <w:tcBorders>
              <w:top w:val="nil"/>
              <w:left w:val="nil"/>
              <w:bottom w:val="nil"/>
              <w:right w:val="nil"/>
            </w:tcBorders>
            <w:shd w:val="clear" w:color="auto" w:fill="auto"/>
            <w:noWrap/>
            <w:vAlign w:val="center"/>
          </w:tcPr>
          <w:p w14:paraId="4A30C3A5"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2,311</w:t>
            </w:r>
          </w:p>
        </w:tc>
        <w:tc>
          <w:tcPr>
            <w:tcW w:w="1126" w:type="dxa"/>
            <w:tcBorders>
              <w:top w:val="nil"/>
              <w:left w:val="nil"/>
              <w:bottom w:val="nil"/>
              <w:right w:val="nil"/>
            </w:tcBorders>
            <w:shd w:val="clear" w:color="auto" w:fill="F2DBDB" w:themeFill="accent2" w:themeFillTint="33"/>
            <w:noWrap/>
            <w:vAlign w:val="center"/>
          </w:tcPr>
          <w:p w14:paraId="4BCE696E"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2,757</w:t>
            </w:r>
          </w:p>
        </w:tc>
        <w:tc>
          <w:tcPr>
            <w:tcW w:w="1126" w:type="dxa"/>
            <w:tcBorders>
              <w:top w:val="nil"/>
              <w:left w:val="nil"/>
              <w:bottom w:val="nil"/>
              <w:right w:val="nil"/>
            </w:tcBorders>
            <w:shd w:val="clear" w:color="auto" w:fill="auto"/>
            <w:noWrap/>
            <w:vAlign w:val="center"/>
          </w:tcPr>
          <w:p w14:paraId="48AF8EA8"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3,279</w:t>
            </w:r>
          </w:p>
        </w:tc>
        <w:tc>
          <w:tcPr>
            <w:tcW w:w="1127" w:type="dxa"/>
            <w:tcBorders>
              <w:top w:val="nil"/>
              <w:left w:val="nil"/>
              <w:bottom w:val="nil"/>
              <w:right w:val="single" w:sz="4" w:space="0" w:color="auto"/>
            </w:tcBorders>
            <w:shd w:val="clear" w:color="auto" w:fill="F2DBDB" w:themeFill="accent2" w:themeFillTint="33"/>
            <w:noWrap/>
            <w:vAlign w:val="center"/>
          </w:tcPr>
          <w:p w14:paraId="120099E0" w14:textId="77777777" w:rsidR="00A42FBC" w:rsidRPr="00A42FBC" w:rsidRDefault="00A42FBC" w:rsidP="00CE2FDF">
            <w:pPr>
              <w:spacing w:before="0" w:line="276" w:lineRule="auto"/>
              <w:jc w:val="right"/>
              <w:rPr>
                <w:color w:val="000000"/>
                <w:sz w:val="20"/>
                <w:szCs w:val="20"/>
              </w:rPr>
            </w:pPr>
            <w:r w:rsidRPr="00A42FBC">
              <w:rPr>
                <w:rFonts w:cs="Arial"/>
                <w:color w:val="000000"/>
                <w:sz w:val="20"/>
                <w:szCs w:val="20"/>
              </w:rPr>
              <w:t>3,231</w:t>
            </w:r>
          </w:p>
        </w:tc>
        <w:tc>
          <w:tcPr>
            <w:tcW w:w="1275" w:type="dxa"/>
            <w:tcBorders>
              <w:top w:val="nil"/>
              <w:left w:val="nil"/>
              <w:bottom w:val="nil"/>
              <w:right w:val="single" w:sz="4" w:space="0" w:color="auto"/>
            </w:tcBorders>
            <w:shd w:val="clear" w:color="auto" w:fill="auto"/>
            <w:vAlign w:val="center"/>
          </w:tcPr>
          <w:p w14:paraId="3C1BEDDB"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13%</w:t>
            </w:r>
          </w:p>
        </w:tc>
      </w:tr>
      <w:tr w:rsidR="00A42FBC" w:rsidRPr="005D61DD" w14:paraId="2C6E955F" w14:textId="77777777" w:rsidTr="00A42FBC">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669EFBD8" w14:textId="77777777" w:rsidR="00A42FBC" w:rsidRPr="005D61DD" w:rsidRDefault="00A42FBC" w:rsidP="00CE2FDF">
            <w:pPr>
              <w:spacing w:before="0" w:line="276" w:lineRule="auto"/>
              <w:rPr>
                <w:rFonts w:eastAsia="Times New Roman" w:cs="Arial"/>
                <w:b/>
                <w:sz w:val="20"/>
                <w:szCs w:val="20"/>
                <w:lang w:eastAsia="en-AU"/>
              </w:rPr>
            </w:pPr>
            <w:r w:rsidRPr="005D61DD">
              <w:rPr>
                <w:rFonts w:eastAsia="Times New Roman" w:cs="Arial"/>
                <w:b/>
                <w:sz w:val="20"/>
                <w:szCs w:val="20"/>
                <w:lang w:eastAsia="en-AU"/>
              </w:rPr>
              <w:t>Total reports:</w:t>
            </w:r>
          </w:p>
        </w:tc>
        <w:tc>
          <w:tcPr>
            <w:tcW w:w="1126" w:type="dxa"/>
            <w:tcBorders>
              <w:top w:val="nil"/>
              <w:left w:val="nil"/>
              <w:bottom w:val="single" w:sz="4" w:space="0" w:color="auto"/>
              <w:right w:val="nil"/>
            </w:tcBorders>
            <w:shd w:val="clear" w:color="auto" w:fill="auto"/>
            <w:noWrap/>
            <w:vAlign w:val="center"/>
          </w:tcPr>
          <w:p w14:paraId="7C3072FE"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4,441</w:t>
            </w:r>
          </w:p>
        </w:tc>
        <w:tc>
          <w:tcPr>
            <w:tcW w:w="1126" w:type="dxa"/>
            <w:tcBorders>
              <w:top w:val="nil"/>
              <w:left w:val="nil"/>
              <w:bottom w:val="single" w:sz="4" w:space="0" w:color="auto"/>
              <w:right w:val="nil"/>
            </w:tcBorders>
            <w:shd w:val="clear" w:color="auto" w:fill="F2DBDB" w:themeFill="accent2" w:themeFillTint="33"/>
            <w:noWrap/>
            <w:vAlign w:val="center"/>
          </w:tcPr>
          <w:p w14:paraId="69B87F32"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4,632</w:t>
            </w:r>
          </w:p>
        </w:tc>
        <w:tc>
          <w:tcPr>
            <w:tcW w:w="1126" w:type="dxa"/>
            <w:tcBorders>
              <w:top w:val="nil"/>
              <w:left w:val="nil"/>
              <w:bottom w:val="single" w:sz="4" w:space="0" w:color="auto"/>
              <w:right w:val="nil"/>
            </w:tcBorders>
            <w:shd w:val="clear" w:color="auto" w:fill="auto"/>
            <w:noWrap/>
            <w:vAlign w:val="center"/>
          </w:tcPr>
          <w:p w14:paraId="65F483FE"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4,527</w:t>
            </w:r>
          </w:p>
        </w:tc>
        <w:tc>
          <w:tcPr>
            <w:tcW w:w="1126" w:type="dxa"/>
            <w:tcBorders>
              <w:top w:val="nil"/>
              <w:left w:val="nil"/>
              <w:bottom w:val="single" w:sz="4" w:space="0" w:color="auto"/>
              <w:right w:val="nil"/>
            </w:tcBorders>
            <w:shd w:val="clear" w:color="auto" w:fill="F2DBDB" w:themeFill="accent2" w:themeFillTint="33"/>
            <w:noWrap/>
            <w:vAlign w:val="center"/>
          </w:tcPr>
          <w:p w14:paraId="70789783"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4,474</w:t>
            </w:r>
          </w:p>
        </w:tc>
        <w:tc>
          <w:tcPr>
            <w:tcW w:w="1126" w:type="dxa"/>
            <w:tcBorders>
              <w:top w:val="nil"/>
              <w:left w:val="nil"/>
              <w:bottom w:val="single" w:sz="4" w:space="0" w:color="auto"/>
              <w:right w:val="nil"/>
            </w:tcBorders>
            <w:shd w:val="clear" w:color="auto" w:fill="auto"/>
            <w:noWrap/>
            <w:vAlign w:val="center"/>
          </w:tcPr>
          <w:p w14:paraId="5D598089"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3,113</w:t>
            </w:r>
          </w:p>
        </w:tc>
        <w:tc>
          <w:tcPr>
            <w:tcW w:w="1126" w:type="dxa"/>
            <w:tcBorders>
              <w:top w:val="nil"/>
              <w:left w:val="nil"/>
              <w:bottom w:val="single" w:sz="4" w:space="0" w:color="auto"/>
              <w:right w:val="nil"/>
            </w:tcBorders>
            <w:shd w:val="clear" w:color="auto" w:fill="F2DBDB" w:themeFill="accent2" w:themeFillTint="33"/>
            <w:noWrap/>
            <w:vAlign w:val="center"/>
          </w:tcPr>
          <w:p w14:paraId="4DA50307"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4,126</w:t>
            </w:r>
          </w:p>
        </w:tc>
        <w:tc>
          <w:tcPr>
            <w:tcW w:w="1126" w:type="dxa"/>
            <w:tcBorders>
              <w:top w:val="nil"/>
              <w:left w:val="nil"/>
              <w:bottom w:val="single" w:sz="4" w:space="0" w:color="auto"/>
              <w:right w:val="nil"/>
            </w:tcBorders>
            <w:shd w:val="clear" w:color="auto" w:fill="auto"/>
            <w:noWrap/>
            <w:vAlign w:val="center"/>
          </w:tcPr>
          <w:p w14:paraId="4E71F5AA"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4,173</w:t>
            </w:r>
          </w:p>
        </w:tc>
        <w:tc>
          <w:tcPr>
            <w:tcW w:w="1126" w:type="dxa"/>
            <w:tcBorders>
              <w:top w:val="nil"/>
              <w:left w:val="nil"/>
              <w:bottom w:val="single" w:sz="4" w:space="0" w:color="auto"/>
              <w:right w:val="nil"/>
            </w:tcBorders>
            <w:shd w:val="clear" w:color="auto" w:fill="F2DBDB" w:themeFill="accent2" w:themeFillTint="33"/>
            <w:noWrap/>
            <w:vAlign w:val="center"/>
          </w:tcPr>
          <w:p w14:paraId="04EA5799"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5,870</w:t>
            </w:r>
          </w:p>
        </w:tc>
        <w:tc>
          <w:tcPr>
            <w:tcW w:w="1126" w:type="dxa"/>
            <w:tcBorders>
              <w:top w:val="nil"/>
              <w:left w:val="nil"/>
              <w:bottom w:val="single" w:sz="4" w:space="0" w:color="auto"/>
              <w:right w:val="nil"/>
            </w:tcBorders>
            <w:shd w:val="clear" w:color="auto" w:fill="auto"/>
            <w:noWrap/>
            <w:vAlign w:val="center"/>
          </w:tcPr>
          <w:p w14:paraId="2D2F3E15"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6,265</w:t>
            </w:r>
          </w:p>
        </w:tc>
        <w:tc>
          <w:tcPr>
            <w:tcW w:w="1127" w:type="dxa"/>
            <w:tcBorders>
              <w:top w:val="nil"/>
              <w:left w:val="nil"/>
              <w:bottom w:val="single" w:sz="4" w:space="0" w:color="auto"/>
              <w:right w:val="single" w:sz="4" w:space="0" w:color="auto"/>
            </w:tcBorders>
            <w:shd w:val="clear" w:color="auto" w:fill="F2DBDB" w:themeFill="accent2" w:themeFillTint="33"/>
            <w:noWrap/>
            <w:vAlign w:val="center"/>
          </w:tcPr>
          <w:p w14:paraId="086D79A2"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7,347</w:t>
            </w:r>
          </w:p>
        </w:tc>
        <w:tc>
          <w:tcPr>
            <w:tcW w:w="1275" w:type="dxa"/>
            <w:tcBorders>
              <w:top w:val="nil"/>
              <w:left w:val="nil"/>
              <w:bottom w:val="single" w:sz="4" w:space="0" w:color="auto"/>
              <w:right w:val="single" w:sz="4" w:space="0" w:color="auto"/>
            </w:tcBorders>
            <w:shd w:val="clear" w:color="auto" w:fill="auto"/>
            <w:vAlign w:val="center"/>
          </w:tcPr>
          <w:p w14:paraId="6ADFF2B2" w14:textId="77777777" w:rsidR="00A42FBC" w:rsidRPr="00A42FBC" w:rsidRDefault="00A42FBC" w:rsidP="00CE2FDF">
            <w:pPr>
              <w:spacing w:before="0" w:line="276" w:lineRule="auto"/>
              <w:jc w:val="right"/>
              <w:rPr>
                <w:b/>
                <w:bCs/>
                <w:color w:val="000000"/>
                <w:sz w:val="20"/>
                <w:szCs w:val="20"/>
              </w:rPr>
            </w:pPr>
            <w:r w:rsidRPr="00A42FBC">
              <w:rPr>
                <w:b/>
                <w:bCs/>
                <w:color w:val="000000"/>
                <w:sz w:val="20"/>
                <w:szCs w:val="20"/>
              </w:rPr>
              <w:t>65%</w:t>
            </w:r>
          </w:p>
        </w:tc>
      </w:tr>
    </w:tbl>
    <w:p w14:paraId="296516FC" w14:textId="77777777" w:rsidR="005D61DD" w:rsidRDefault="005D61DD" w:rsidP="00B15586">
      <w:pPr>
        <w:spacing w:after="200" w:line="276" w:lineRule="auto"/>
        <w:rPr>
          <w:rFonts w:asciiTheme="majorHAnsi" w:eastAsiaTheme="majorEastAsia" w:hAnsiTheme="majorHAnsi" w:cstheme="majorBidi"/>
          <w:b/>
          <w:bCs/>
          <w:color w:val="17365D" w:themeColor="text2" w:themeShade="BF"/>
          <w:sz w:val="26"/>
          <w:szCs w:val="26"/>
        </w:rPr>
      </w:pPr>
      <w:r>
        <w:br w:type="page"/>
      </w:r>
    </w:p>
    <w:p w14:paraId="262F813D" w14:textId="4DA0268E" w:rsidR="005D61DD" w:rsidRDefault="00863988" w:rsidP="00863988">
      <w:pPr>
        <w:pStyle w:val="Figureheading"/>
      </w:pPr>
      <w:bookmarkStart w:id="68" w:name="_Toc382206716"/>
      <w:r>
        <w:lastRenderedPageBreak/>
        <w:t>1.17</w:t>
      </w:r>
      <w:r>
        <w:tab/>
      </w:r>
      <w:r w:rsidR="005D61DD">
        <w:t>Number of reports by reporter group, and outcome of reports, with percentage change (all abuse types combined)</w:t>
      </w:r>
      <w:bookmarkEnd w:id="68"/>
    </w:p>
    <w:tbl>
      <w:tblPr>
        <w:tblW w:w="14757" w:type="dxa"/>
        <w:tblInd w:w="93" w:type="dxa"/>
        <w:tblLayout w:type="fixed"/>
        <w:tblLook w:val="04A0" w:firstRow="1" w:lastRow="0" w:firstColumn="1" w:lastColumn="0" w:noHBand="0" w:noVBand="1"/>
      </w:tblPr>
      <w:tblGrid>
        <w:gridCol w:w="2221"/>
        <w:gridCol w:w="1126"/>
        <w:gridCol w:w="1126"/>
        <w:gridCol w:w="1126"/>
        <w:gridCol w:w="1126"/>
        <w:gridCol w:w="1126"/>
        <w:gridCol w:w="1126"/>
        <w:gridCol w:w="1126"/>
        <w:gridCol w:w="1126"/>
        <w:gridCol w:w="1126"/>
        <w:gridCol w:w="1127"/>
        <w:gridCol w:w="1275"/>
      </w:tblGrid>
      <w:tr w:rsidR="00FE57AD" w:rsidRPr="005D61DD" w14:paraId="1B82FD97" w14:textId="77777777" w:rsidTr="00181ABA">
        <w:trPr>
          <w:trHeight w:val="324"/>
          <w:tblHeader/>
        </w:trPr>
        <w:tc>
          <w:tcPr>
            <w:tcW w:w="2221" w:type="dxa"/>
            <w:tcBorders>
              <w:top w:val="single" w:sz="4" w:space="0" w:color="auto"/>
              <w:left w:val="single" w:sz="4" w:space="0" w:color="auto"/>
              <w:bottom w:val="single" w:sz="4" w:space="0" w:color="auto"/>
              <w:right w:val="nil"/>
            </w:tcBorders>
            <w:shd w:val="clear" w:color="auto" w:fill="DDD9C3" w:themeFill="background2" w:themeFillShade="E6"/>
            <w:noWrap/>
            <w:vAlign w:val="center"/>
            <w:hideMark/>
          </w:tcPr>
          <w:p w14:paraId="077DC3C6" w14:textId="77777777" w:rsidR="00AD1E2D" w:rsidRPr="005D61DD" w:rsidRDefault="00AD1E2D" w:rsidP="00CE2FDF">
            <w:pPr>
              <w:spacing w:before="0" w:line="276" w:lineRule="auto"/>
              <w:jc w:val="right"/>
              <w:rPr>
                <w:rFonts w:eastAsia="Times New Roman" w:cs="Arial"/>
                <w:b/>
                <w:bCs/>
                <w:color w:val="000000"/>
                <w:sz w:val="20"/>
                <w:szCs w:val="20"/>
                <w:lang w:eastAsia="en-AU"/>
              </w:rPr>
            </w:pP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ECC48C2"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2003</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E1045C4"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2004</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515163D1"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2005</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3A6F2D41"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2006</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5627F8C5"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2007</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567F7575"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2008</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2C9E5D0"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2009</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4682545F"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2010</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10EBAB70"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2011</w:t>
            </w:r>
          </w:p>
        </w:tc>
        <w:tc>
          <w:tcPr>
            <w:tcW w:w="1127"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C1CA2E2" w14:textId="77777777" w:rsidR="00AD1E2D" w:rsidRPr="005D61DD" w:rsidRDefault="00AD1E2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2012</w:t>
            </w:r>
          </w:p>
        </w:tc>
        <w:tc>
          <w:tcPr>
            <w:tcW w:w="127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31A17E9C" w14:textId="77777777" w:rsidR="00AD1E2D" w:rsidRPr="005D61DD" w:rsidRDefault="00AC4C50"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 change</w:t>
            </w:r>
          </w:p>
        </w:tc>
      </w:tr>
      <w:tr w:rsidR="00AD1E2D" w:rsidRPr="005D61DD" w14:paraId="0B524B07" w14:textId="77777777" w:rsidTr="00C84E96">
        <w:trPr>
          <w:trHeight w:val="204"/>
        </w:trPr>
        <w:tc>
          <w:tcPr>
            <w:tcW w:w="2221" w:type="dxa"/>
            <w:tcBorders>
              <w:top w:val="single" w:sz="4" w:space="0" w:color="auto"/>
              <w:left w:val="single" w:sz="4" w:space="0" w:color="auto"/>
              <w:bottom w:val="nil"/>
              <w:right w:val="nil"/>
            </w:tcBorders>
            <w:shd w:val="clear" w:color="auto" w:fill="DBE5F1" w:themeFill="accent1" w:themeFillTint="33"/>
            <w:noWrap/>
            <w:vAlign w:val="bottom"/>
            <w:hideMark/>
          </w:tcPr>
          <w:p w14:paraId="0B47584F" w14:textId="77777777" w:rsidR="00AD1E2D" w:rsidRPr="005D61DD" w:rsidRDefault="00AD1E2D" w:rsidP="00CE2FDF">
            <w:pPr>
              <w:spacing w:before="0" w:line="276" w:lineRule="auto"/>
              <w:rPr>
                <w:rFonts w:eastAsia="Times New Roman" w:cs="Arial"/>
                <w:b/>
                <w:color w:val="000000"/>
                <w:sz w:val="20"/>
                <w:szCs w:val="20"/>
                <w:lang w:eastAsia="en-AU"/>
              </w:rPr>
            </w:pPr>
            <w:r w:rsidRPr="005D61DD">
              <w:rPr>
                <w:rFonts w:eastAsia="Times New Roman" w:cs="Arial"/>
                <w:b/>
                <w:color w:val="000000"/>
                <w:sz w:val="20"/>
                <w:szCs w:val="20"/>
                <w:lang w:eastAsia="en-AU"/>
              </w:rPr>
              <w:t>Not investigated</w:t>
            </w:r>
          </w:p>
        </w:tc>
        <w:tc>
          <w:tcPr>
            <w:tcW w:w="1126" w:type="dxa"/>
            <w:tcBorders>
              <w:top w:val="single" w:sz="4" w:space="0" w:color="auto"/>
              <w:left w:val="nil"/>
              <w:bottom w:val="nil"/>
              <w:right w:val="nil"/>
            </w:tcBorders>
            <w:shd w:val="clear" w:color="auto" w:fill="auto"/>
            <w:noWrap/>
            <w:vAlign w:val="bottom"/>
            <w:hideMark/>
          </w:tcPr>
          <w:p w14:paraId="4B1388FE"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126" w:type="dxa"/>
            <w:tcBorders>
              <w:top w:val="single" w:sz="4" w:space="0" w:color="auto"/>
              <w:left w:val="nil"/>
              <w:bottom w:val="nil"/>
              <w:right w:val="nil"/>
            </w:tcBorders>
            <w:shd w:val="clear" w:color="auto" w:fill="DBE5F1" w:themeFill="accent1" w:themeFillTint="33"/>
            <w:noWrap/>
            <w:vAlign w:val="bottom"/>
            <w:hideMark/>
          </w:tcPr>
          <w:p w14:paraId="477B5E40"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126" w:type="dxa"/>
            <w:tcBorders>
              <w:top w:val="single" w:sz="4" w:space="0" w:color="auto"/>
              <w:left w:val="nil"/>
              <w:bottom w:val="nil"/>
              <w:right w:val="nil"/>
            </w:tcBorders>
            <w:shd w:val="clear" w:color="auto" w:fill="auto"/>
            <w:noWrap/>
            <w:vAlign w:val="bottom"/>
            <w:hideMark/>
          </w:tcPr>
          <w:p w14:paraId="62DB9F41"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126" w:type="dxa"/>
            <w:tcBorders>
              <w:top w:val="single" w:sz="4" w:space="0" w:color="auto"/>
              <w:left w:val="nil"/>
              <w:bottom w:val="nil"/>
              <w:right w:val="nil"/>
            </w:tcBorders>
            <w:shd w:val="clear" w:color="auto" w:fill="DBE5F1" w:themeFill="accent1" w:themeFillTint="33"/>
            <w:noWrap/>
            <w:vAlign w:val="bottom"/>
            <w:hideMark/>
          </w:tcPr>
          <w:p w14:paraId="1E7970EF"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126" w:type="dxa"/>
            <w:tcBorders>
              <w:top w:val="single" w:sz="4" w:space="0" w:color="auto"/>
              <w:left w:val="nil"/>
              <w:bottom w:val="nil"/>
              <w:right w:val="nil"/>
            </w:tcBorders>
            <w:shd w:val="clear" w:color="auto" w:fill="auto"/>
            <w:noWrap/>
            <w:vAlign w:val="bottom"/>
            <w:hideMark/>
          </w:tcPr>
          <w:p w14:paraId="33EE3F04"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126" w:type="dxa"/>
            <w:tcBorders>
              <w:top w:val="single" w:sz="4" w:space="0" w:color="auto"/>
              <w:left w:val="nil"/>
              <w:bottom w:val="nil"/>
              <w:right w:val="nil"/>
            </w:tcBorders>
            <w:shd w:val="clear" w:color="auto" w:fill="DBE5F1" w:themeFill="accent1" w:themeFillTint="33"/>
            <w:noWrap/>
            <w:vAlign w:val="bottom"/>
            <w:hideMark/>
          </w:tcPr>
          <w:p w14:paraId="55F44D26"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126" w:type="dxa"/>
            <w:tcBorders>
              <w:top w:val="single" w:sz="4" w:space="0" w:color="auto"/>
              <w:left w:val="nil"/>
              <w:bottom w:val="nil"/>
              <w:right w:val="nil"/>
            </w:tcBorders>
            <w:shd w:val="clear" w:color="auto" w:fill="auto"/>
            <w:noWrap/>
            <w:vAlign w:val="bottom"/>
            <w:hideMark/>
          </w:tcPr>
          <w:p w14:paraId="18409CB3"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126" w:type="dxa"/>
            <w:tcBorders>
              <w:top w:val="single" w:sz="4" w:space="0" w:color="auto"/>
              <w:left w:val="nil"/>
              <w:bottom w:val="nil"/>
              <w:right w:val="nil"/>
            </w:tcBorders>
            <w:shd w:val="clear" w:color="auto" w:fill="DBE5F1" w:themeFill="accent1" w:themeFillTint="33"/>
            <w:noWrap/>
            <w:vAlign w:val="bottom"/>
            <w:hideMark/>
          </w:tcPr>
          <w:p w14:paraId="01C8361B"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126" w:type="dxa"/>
            <w:tcBorders>
              <w:top w:val="single" w:sz="4" w:space="0" w:color="auto"/>
              <w:left w:val="nil"/>
              <w:bottom w:val="nil"/>
              <w:right w:val="nil"/>
            </w:tcBorders>
            <w:shd w:val="clear" w:color="auto" w:fill="auto"/>
            <w:noWrap/>
            <w:vAlign w:val="bottom"/>
            <w:hideMark/>
          </w:tcPr>
          <w:p w14:paraId="78D04A53"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127" w:type="dxa"/>
            <w:tcBorders>
              <w:top w:val="single" w:sz="4" w:space="0" w:color="auto"/>
              <w:left w:val="nil"/>
              <w:bottom w:val="nil"/>
              <w:right w:val="single" w:sz="4" w:space="0" w:color="auto"/>
            </w:tcBorders>
            <w:shd w:val="clear" w:color="auto" w:fill="DBE5F1" w:themeFill="accent1" w:themeFillTint="33"/>
            <w:noWrap/>
            <w:vAlign w:val="bottom"/>
            <w:hideMark/>
          </w:tcPr>
          <w:p w14:paraId="69C04BE9" w14:textId="77777777" w:rsidR="00AD1E2D" w:rsidRPr="005D61DD" w:rsidRDefault="00AD1E2D" w:rsidP="00CE2FDF">
            <w:pPr>
              <w:spacing w:before="0" w:line="276" w:lineRule="auto"/>
              <w:jc w:val="right"/>
              <w:rPr>
                <w:rFonts w:eastAsia="Times New Roman" w:cs="Arial"/>
                <w:color w:val="FF0000"/>
                <w:sz w:val="20"/>
                <w:szCs w:val="20"/>
                <w:lang w:eastAsia="en-AU"/>
              </w:rPr>
            </w:pPr>
          </w:p>
        </w:tc>
        <w:tc>
          <w:tcPr>
            <w:tcW w:w="1275" w:type="dxa"/>
            <w:tcBorders>
              <w:top w:val="single" w:sz="4" w:space="0" w:color="auto"/>
              <w:left w:val="nil"/>
              <w:bottom w:val="nil"/>
              <w:right w:val="single" w:sz="4" w:space="0" w:color="auto"/>
            </w:tcBorders>
            <w:shd w:val="clear" w:color="auto" w:fill="auto"/>
          </w:tcPr>
          <w:p w14:paraId="112D20DC" w14:textId="77777777" w:rsidR="00AD1E2D" w:rsidRPr="005D61DD" w:rsidRDefault="00AD1E2D" w:rsidP="00CE2FDF">
            <w:pPr>
              <w:spacing w:before="0" w:line="276" w:lineRule="auto"/>
              <w:jc w:val="right"/>
              <w:rPr>
                <w:rFonts w:eastAsia="Times New Roman" w:cs="Arial"/>
                <w:b/>
                <w:color w:val="FF0000"/>
                <w:sz w:val="20"/>
                <w:szCs w:val="20"/>
                <w:lang w:eastAsia="en-AU"/>
              </w:rPr>
            </w:pPr>
          </w:p>
        </w:tc>
      </w:tr>
      <w:tr w:rsidR="007944E9" w:rsidRPr="005D61DD" w14:paraId="0C2664FC" w14:textId="77777777" w:rsidTr="00C84E96">
        <w:trPr>
          <w:trHeight w:val="204"/>
        </w:trPr>
        <w:tc>
          <w:tcPr>
            <w:tcW w:w="2221" w:type="dxa"/>
            <w:tcBorders>
              <w:top w:val="nil"/>
              <w:left w:val="single" w:sz="4" w:space="0" w:color="auto"/>
              <w:bottom w:val="nil"/>
              <w:right w:val="nil"/>
            </w:tcBorders>
            <w:shd w:val="clear" w:color="auto" w:fill="DBE5F1" w:themeFill="accent1" w:themeFillTint="33"/>
            <w:noWrap/>
            <w:hideMark/>
          </w:tcPr>
          <w:p w14:paraId="6F14FA5F" w14:textId="77777777" w:rsidR="007944E9" w:rsidRPr="005D61DD" w:rsidRDefault="007944E9"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Doctors</w:t>
            </w:r>
          </w:p>
        </w:tc>
        <w:tc>
          <w:tcPr>
            <w:tcW w:w="1126" w:type="dxa"/>
            <w:tcBorders>
              <w:top w:val="nil"/>
              <w:left w:val="nil"/>
              <w:bottom w:val="nil"/>
              <w:right w:val="nil"/>
            </w:tcBorders>
            <w:shd w:val="clear" w:color="auto" w:fill="auto"/>
            <w:noWrap/>
            <w:vAlign w:val="bottom"/>
            <w:hideMark/>
          </w:tcPr>
          <w:p w14:paraId="12D5FC82"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582</w:t>
            </w:r>
          </w:p>
        </w:tc>
        <w:tc>
          <w:tcPr>
            <w:tcW w:w="1126" w:type="dxa"/>
            <w:tcBorders>
              <w:top w:val="nil"/>
              <w:left w:val="nil"/>
              <w:bottom w:val="nil"/>
              <w:right w:val="nil"/>
            </w:tcBorders>
            <w:shd w:val="clear" w:color="auto" w:fill="DBE5F1" w:themeFill="accent1" w:themeFillTint="33"/>
            <w:noWrap/>
            <w:vAlign w:val="bottom"/>
            <w:hideMark/>
          </w:tcPr>
          <w:p w14:paraId="3644D394"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571</w:t>
            </w:r>
          </w:p>
        </w:tc>
        <w:tc>
          <w:tcPr>
            <w:tcW w:w="1126" w:type="dxa"/>
            <w:tcBorders>
              <w:top w:val="nil"/>
              <w:left w:val="nil"/>
              <w:bottom w:val="nil"/>
              <w:right w:val="nil"/>
            </w:tcBorders>
            <w:shd w:val="clear" w:color="auto" w:fill="auto"/>
            <w:noWrap/>
            <w:vAlign w:val="bottom"/>
            <w:hideMark/>
          </w:tcPr>
          <w:p w14:paraId="0975B221"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557</w:t>
            </w:r>
          </w:p>
        </w:tc>
        <w:tc>
          <w:tcPr>
            <w:tcW w:w="1126" w:type="dxa"/>
            <w:tcBorders>
              <w:top w:val="nil"/>
              <w:left w:val="nil"/>
              <w:bottom w:val="nil"/>
              <w:right w:val="nil"/>
            </w:tcBorders>
            <w:shd w:val="clear" w:color="auto" w:fill="DBE5F1" w:themeFill="accent1" w:themeFillTint="33"/>
            <w:noWrap/>
            <w:vAlign w:val="bottom"/>
            <w:hideMark/>
          </w:tcPr>
          <w:p w14:paraId="033F5BE8"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543</w:t>
            </w:r>
          </w:p>
        </w:tc>
        <w:tc>
          <w:tcPr>
            <w:tcW w:w="1126" w:type="dxa"/>
            <w:tcBorders>
              <w:top w:val="nil"/>
              <w:left w:val="nil"/>
              <w:bottom w:val="nil"/>
              <w:right w:val="nil"/>
            </w:tcBorders>
            <w:shd w:val="clear" w:color="auto" w:fill="auto"/>
            <w:noWrap/>
            <w:vAlign w:val="bottom"/>
            <w:hideMark/>
          </w:tcPr>
          <w:p w14:paraId="30B5846F"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539</w:t>
            </w:r>
          </w:p>
        </w:tc>
        <w:tc>
          <w:tcPr>
            <w:tcW w:w="1126" w:type="dxa"/>
            <w:tcBorders>
              <w:top w:val="nil"/>
              <w:left w:val="nil"/>
              <w:bottom w:val="nil"/>
              <w:right w:val="nil"/>
            </w:tcBorders>
            <w:shd w:val="clear" w:color="auto" w:fill="DBE5F1" w:themeFill="accent1" w:themeFillTint="33"/>
            <w:noWrap/>
            <w:vAlign w:val="bottom"/>
            <w:hideMark/>
          </w:tcPr>
          <w:p w14:paraId="3EA67629"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668</w:t>
            </w:r>
          </w:p>
        </w:tc>
        <w:tc>
          <w:tcPr>
            <w:tcW w:w="1126" w:type="dxa"/>
            <w:tcBorders>
              <w:top w:val="nil"/>
              <w:left w:val="nil"/>
              <w:bottom w:val="nil"/>
              <w:right w:val="nil"/>
            </w:tcBorders>
            <w:shd w:val="clear" w:color="auto" w:fill="auto"/>
            <w:noWrap/>
            <w:vAlign w:val="bottom"/>
            <w:hideMark/>
          </w:tcPr>
          <w:p w14:paraId="130FD997"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746</w:t>
            </w:r>
          </w:p>
        </w:tc>
        <w:tc>
          <w:tcPr>
            <w:tcW w:w="1126" w:type="dxa"/>
            <w:tcBorders>
              <w:top w:val="nil"/>
              <w:left w:val="nil"/>
              <w:bottom w:val="nil"/>
              <w:right w:val="nil"/>
            </w:tcBorders>
            <w:shd w:val="clear" w:color="auto" w:fill="DBE5F1" w:themeFill="accent1" w:themeFillTint="33"/>
            <w:noWrap/>
            <w:vAlign w:val="bottom"/>
            <w:hideMark/>
          </w:tcPr>
          <w:p w14:paraId="621B2F66"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728</w:t>
            </w:r>
          </w:p>
        </w:tc>
        <w:tc>
          <w:tcPr>
            <w:tcW w:w="1126" w:type="dxa"/>
            <w:tcBorders>
              <w:top w:val="nil"/>
              <w:left w:val="nil"/>
              <w:bottom w:val="nil"/>
              <w:right w:val="nil"/>
            </w:tcBorders>
            <w:shd w:val="clear" w:color="auto" w:fill="auto"/>
            <w:noWrap/>
            <w:vAlign w:val="bottom"/>
            <w:hideMark/>
          </w:tcPr>
          <w:p w14:paraId="47F64913"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818</w:t>
            </w:r>
          </w:p>
        </w:tc>
        <w:tc>
          <w:tcPr>
            <w:tcW w:w="1127" w:type="dxa"/>
            <w:tcBorders>
              <w:top w:val="nil"/>
              <w:left w:val="nil"/>
              <w:bottom w:val="nil"/>
              <w:right w:val="single" w:sz="4" w:space="0" w:color="auto"/>
            </w:tcBorders>
            <w:shd w:val="clear" w:color="auto" w:fill="DBE5F1" w:themeFill="accent1" w:themeFillTint="33"/>
            <w:noWrap/>
            <w:vAlign w:val="bottom"/>
            <w:hideMark/>
          </w:tcPr>
          <w:p w14:paraId="4E5E42C1"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793</w:t>
            </w:r>
          </w:p>
        </w:tc>
        <w:tc>
          <w:tcPr>
            <w:tcW w:w="1275" w:type="dxa"/>
            <w:tcBorders>
              <w:top w:val="nil"/>
              <w:left w:val="nil"/>
              <w:bottom w:val="nil"/>
              <w:right w:val="single" w:sz="4" w:space="0" w:color="auto"/>
            </w:tcBorders>
            <w:shd w:val="clear" w:color="auto" w:fill="auto"/>
          </w:tcPr>
          <w:p w14:paraId="1133D2B0" w14:textId="77777777" w:rsidR="007944E9" w:rsidRPr="005D61DD" w:rsidRDefault="007944E9"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36%</w:t>
            </w:r>
          </w:p>
        </w:tc>
      </w:tr>
      <w:tr w:rsidR="007944E9" w:rsidRPr="005D61DD" w14:paraId="5C9B7EE8" w14:textId="77777777" w:rsidTr="00C84E96">
        <w:trPr>
          <w:trHeight w:val="204"/>
        </w:trPr>
        <w:tc>
          <w:tcPr>
            <w:tcW w:w="2221" w:type="dxa"/>
            <w:tcBorders>
              <w:top w:val="nil"/>
              <w:left w:val="single" w:sz="4" w:space="0" w:color="auto"/>
              <w:bottom w:val="nil"/>
              <w:right w:val="nil"/>
            </w:tcBorders>
            <w:shd w:val="clear" w:color="auto" w:fill="DBE5F1" w:themeFill="accent1" w:themeFillTint="33"/>
            <w:noWrap/>
            <w:hideMark/>
          </w:tcPr>
          <w:p w14:paraId="37FCD01E" w14:textId="77777777" w:rsidR="007944E9" w:rsidRPr="005D61DD" w:rsidRDefault="007944E9"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Nurses</w:t>
            </w:r>
          </w:p>
        </w:tc>
        <w:tc>
          <w:tcPr>
            <w:tcW w:w="1126" w:type="dxa"/>
            <w:tcBorders>
              <w:top w:val="nil"/>
              <w:left w:val="nil"/>
              <w:bottom w:val="nil"/>
              <w:right w:val="nil"/>
            </w:tcBorders>
            <w:shd w:val="clear" w:color="auto" w:fill="auto"/>
            <w:noWrap/>
            <w:vAlign w:val="bottom"/>
            <w:hideMark/>
          </w:tcPr>
          <w:p w14:paraId="78C8EE0E"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757</w:t>
            </w:r>
          </w:p>
        </w:tc>
        <w:tc>
          <w:tcPr>
            <w:tcW w:w="1126" w:type="dxa"/>
            <w:tcBorders>
              <w:top w:val="nil"/>
              <w:left w:val="nil"/>
              <w:bottom w:val="nil"/>
              <w:right w:val="nil"/>
            </w:tcBorders>
            <w:shd w:val="clear" w:color="auto" w:fill="DBE5F1" w:themeFill="accent1" w:themeFillTint="33"/>
            <w:noWrap/>
            <w:vAlign w:val="bottom"/>
            <w:hideMark/>
          </w:tcPr>
          <w:p w14:paraId="4F618326"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792</w:t>
            </w:r>
          </w:p>
        </w:tc>
        <w:tc>
          <w:tcPr>
            <w:tcW w:w="1126" w:type="dxa"/>
            <w:tcBorders>
              <w:top w:val="nil"/>
              <w:left w:val="nil"/>
              <w:bottom w:val="nil"/>
              <w:right w:val="nil"/>
            </w:tcBorders>
            <w:shd w:val="clear" w:color="auto" w:fill="auto"/>
            <w:noWrap/>
            <w:vAlign w:val="bottom"/>
            <w:hideMark/>
          </w:tcPr>
          <w:p w14:paraId="6AF13094"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747</w:t>
            </w:r>
          </w:p>
        </w:tc>
        <w:tc>
          <w:tcPr>
            <w:tcW w:w="1126" w:type="dxa"/>
            <w:tcBorders>
              <w:top w:val="nil"/>
              <w:left w:val="nil"/>
              <w:bottom w:val="nil"/>
              <w:right w:val="nil"/>
            </w:tcBorders>
            <w:shd w:val="clear" w:color="auto" w:fill="DBE5F1" w:themeFill="accent1" w:themeFillTint="33"/>
            <w:noWrap/>
            <w:vAlign w:val="bottom"/>
            <w:hideMark/>
          </w:tcPr>
          <w:p w14:paraId="41E18D8F"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819</w:t>
            </w:r>
          </w:p>
        </w:tc>
        <w:tc>
          <w:tcPr>
            <w:tcW w:w="1126" w:type="dxa"/>
            <w:tcBorders>
              <w:top w:val="nil"/>
              <w:left w:val="nil"/>
              <w:bottom w:val="nil"/>
              <w:right w:val="nil"/>
            </w:tcBorders>
            <w:shd w:val="clear" w:color="auto" w:fill="auto"/>
            <w:noWrap/>
            <w:vAlign w:val="bottom"/>
            <w:hideMark/>
          </w:tcPr>
          <w:p w14:paraId="05008118"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802</w:t>
            </w:r>
          </w:p>
        </w:tc>
        <w:tc>
          <w:tcPr>
            <w:tcW w:w="1126" w:type="dxa"/>
            <w:tcBorders>
              <w:top w:val="nil"/>
              <w:left w:val="nil"/>
              <w:bottom w:val="nil"/>
              <w:right w:val="nil"/>
            </w:tcBorders>
            <w:shd w:val="clear" w:color="auto" w:fill="DBE5F1" w:themeFill="accent1" w:themeFillTint="33"/>
            <w:noWrap/>
            <w:vAlign w:val="bottom"/>
            <w:hideMark/>
          </w:tcPr>
          <w:p w14:paraId="7F651689"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838</w:t>
            </w:r>
          </w:p>
        </w:tc>
        <w:tc>
          <w:tcPr>
            <w:tcW w:w="1126" w:type="dxa"/>
            <w:tcBorders>
              <w:top w:val="nil"/>
              <w:left w:val="nil"/>
              <w:bottom w:val="nil"/>
              <w:right w:val="nil"/>
            </w:tcBorders>
            <w:shd w:val="clear" w:color="auto" w:fill="auto"/>
            <w:noWrap/>
            <w:vAlign w:val="bottom"/>
            <w:hideMark/>
          </w:tcPr>
          <w:p w14:paraId="641E7509"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744</w:t>
            </w:r>
          </w:p>
        </w:tc>
        <w:tc>
          <w:tcPr>
            <w:tcW w:w="1126" w:type="dxa"/>
            <w:tcBorders>
              <w:top w:val="nil"/>
              <w:left w:val="nil"/>
              <w:bottom w:val="nil"/>
              <w:right w:val="nil"/>
            </w:tcBorders>
            <w:shd w:val="clear" w:color="auto" w:fill="DBE5F1" w:themeFill="accent1" w:themeFillTint="33"/>
            <w:noWrap/>
            <w:vAlign w:val="bottom"/>
            <w:hideMark/>
          </w:tcPr>
          <w:p w14:paraId="7F7CD06E"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968</w:t>
            </w:r>
          </w:p>
        </w:tc>
        <w:tc>
          <w:tcPr>
            <w:tcW w:w="1126" w:type="dxa"/>
            <w:tcBorders>
              <w:top w:val="nil"/>
              <w:left w:val="nil"/>
              <w:bottom w:val="nil"/>
              <w:right w:val="nil"/>
            </w:tcBorders>
            <w:shd w:val="clear" w:color="auto" w:fill="auto"/>
            <w:noWrap/>
            <w:vAlign w:val="bottom"/>
            <w:hideMark/>
          </w:tcPr>
          <w:p w14:paraId="7254F6F5"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1094</w:t>
            </w:r>
          </w:p>
        </w:tc>
        <w:tc>
          <w:tcPr>
            <w:tcW w:w="1127" w:type="dxa"/>
            <w:tcBorders>
              <w:top w:val="nil"/>
              <w:left w:val="nil"/>
              <w:bottom w:val="nil"/>
              <w:right w:val="single" w:sz="4" w:space="0" w:color="auto"/>
            </w:tcBorders>
            <w:shd w:val="clear" w:color="auto" w:fill="DBE5F1" w:themeFill="accent1" w:themeFillTint="33"/>
            <w:noWrap/>
            <w:vAlign w:val="bottom"/>
            <w:hideMark/>
          </w:tcPr>
          <w:p w14:paraId="4092FD87"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1372</w:t>
            </w:r>
          </w:p>
        </w:tc>
        <w:tc>
          <w:tcPr>
            <w:tcW w:w="1275" w:type="dxa"/>
            <w:tcBorders>
              <w:top w:val="nil"/>
              <w:left w:val="nil"/>
              <w:bottom w:val="nil"/>
              <w:right w:val="single" w:sz="4" w:space="0" w:color="auto"/>
            </w:tcBorders>
            <w:shd w:val="clear" w:color="auto" w:fill="auto"/>
          </w:tcPr>
          <w:p w14:paraId="62150CDE" w14:textId="77777777" w:rsidR="007944E9" w:rsidRPr="005D61DD" w:rsidRDefault="007944E9"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81%</w:t>
            </w:r>
          </w:p>
        </w:tc>
      </w:tr>
      <w:tr w:rsidR="007944E9" w:rsidRPr="005D61DD" w14:paraId="0ED7DD82" w14:textId="77777777" w:rsidTr="00C84E96">
        <w:trPr>
          <w:trHeight w:val="204"/>
        </w:trPr>
        <w:tc>
          <w:tcPr>
            <w:tcW w:w="2221" w:type="dxa"/>
            <w:tcBorders>
              <w:top w:val="nil"/>
              <w:left w:val="single" w:sz="4" w:space="0" w:color="auto"/>
              <w:bottom w:val="nil"/>
              <w:right w:val="nil"/>
            </w:tcBorders>
            <w:shd w:val="clear" w:color="auto" w:fill="DBE5F1" w:themeFill="accent1" w:themeFillTint="33"/>
            <w:noWrap/>
            <w:hideMark/>
          </w:tcPr>
          <w:p w14:paraId="54607773" w14:textId="77777777" w:rsidR="007944E9" w:rsidRPr="005D61DD" w:rsidRDefault="007944E9"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Police</w:t>
            </w:r>
          </w:p>
        </w:tc>
        <w:tc>
          <w:tcPr>
            <w:tcW w:w="1126" w:type="dxa"/>
            <w:tcBorders>
              <w:top w:val="nil"/>
              <w:left w:val="nil"/>
              <w:bottom w:val="nil"/>
              <w:right w:val="nil"/>
            </w:tcBorders>
            <w:shd w:val="clear" w:color="auto" w:fill="auto"/>
            <w:noWrap/>
            <w:vAlign w:val="bottom"/>
            <w:hideMark/>
          </w:tcPr>
          <w:p w14:paraId="13D36992"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4053</w:t>
            </w:r>
          </w:p>
        </w:tc>
        <w:tc>
          <w:tcPr>
            <w:tcW w:w="1126" w:type="dxa"/>
            <w:tcBorders>
              <w:top w:val="nil"/>
              <w:left w:val="nil"/>
              <w:bottom w:val="nil"/>
              <w:right w:val="nil"/>
            </w:tcBorders>
            <w:shd w:val="clear" w:color="auto" w:fill="DBE5F1" w:themeFill="accent1" w:themeFillTint="33"/>
            <w:noWrap/>
            <w:vAlign w:val="bottom"/>
            <w:hideMark/>
          </w:tcPr>
          <w:p w14:paraId="3085C402"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3972</w:t>
            </w:r>
          </w:p>
        </w:tc>
        <w:tc>
          <w:tcPr>
            <w:tcW w:w="1126" w:type="dxa"/>
            <w:tcBorders>
              <w:top w:val="nil"/>
              <w:left w:val="nil"/>
              <w:bottom w:val="nil"/>
              <w:right w:val="nil"/>
            </w:tcBorders>
            <w:shd w:val="clear" w:color="auto" w:fill="auto"/>
            <w:noWrap/>
            <w:vAlign w:val="bottom"/>
            <w:hideMark/>
          </w:tcPr>
          <w:p w14:paraId="16BD3C86"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4609</w:t>
            </w:r>
          </w:p>
        </w:tc>
        <w:tc>
          <w:tcPr>
            <w:tcW w:w="1126" w:type="dxa"/>
            <w:tcBorders>
              <w:top w:val="nil"/>
              <w:left w:val="nil"/>
              <w:bottom w:val="nil"/>
              <w:right w:val="nil"/>
            </w:tcBorders>
            <w:shd w:val="clear" w:color="auto" w:fill="DBE5F1" w:themeFill="accent1" w:themeFillTint="33"/>
            <w:noWrap/>
            <w:vAlign w:val="bottom"/>
            <w:hideMark/>
          </w:tcPr>
          <w:p w14:paraId="74C79234"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5013</w:t>
            </w:r>
          </w:p>
        </w:tc>
        <w:tc>
          <w:tcPr>
            <w:tcW w:w="1126" w:type="dxa"/>
            <w:tcBorders>
              <w:top w:val="nil"/>
              <w:left w:val="nil"/>
              <w:bottom w:val="nil"/>
              <w:right w:val="nil"/>
            </w:tcBorders>
            <w:shd w:val="clear" w:color="auto" w:fill="auto"/>
            <w:noWrap/>
            <w:vAlign w:val="bottom"/>
            <w:hideMark/>
          </w:tcPr>
          <w:p w14:paraId="2740D791"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5194</w:t>
            </w:r>
          </w:p>
        </w:tc>
        <w:tc>
          <w:tcPr>
            <w:tcW w:w="1126" w:type="dxa"/>
            <w:tcBorders>
              <w:top w:val="nil"/>
              <w:left w:val="nil"/>
              <w:bottom w:val="nil"/>
              <w:right w:val="nil"/>
            </w:tcBorders>
            <w:shd w:val="clear" w:color="auto" w:fill="DBE5F1" w:themeFill="accent1" w:themeFillTint="33"/>
            <w:noWrap/>
            <w:vAlign w:val="bottom"/>
            <w:hideMark/>
          </w:tcPr>
          <w:p w14:paraId="7D9AA71F"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5942</w:t>
            </w:r>
          </w:p>
        </w:tc>
        <w:tc>
          <w:tcPr>
            <w:tcW w:w="1126" w:type="dxa"/>
            <w:tcBorders>
              <w:top w:val="nil"/>
              <w:left w:val="nil"/>
              <w:bottom w:val="nil"/>
              <w:right w:val="nil"/>
            </w:tcBorders>
            <w:shd w:val="clear" w:color="auto" w:fill="auto"/>
            <w:noWrap/>
            <w:vAlign w:val="bottom"/>
            <w:hideMark/>
          </w:tcPr>
          <w:p w14:paraId="310A3B1C"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7593</w:t>
            </w:r>
          </w:p>
        </w:tc>
        <w:tc>
          <w:tcPr>
            <w:tcW w:w="1126" w:type="dxa"/>
            <w:tcBorders>
              <w:top w:val="nil"/>
              <w:left w:val="nil"/>
              <w:bottom w:val="nil"/>
              <w:right w:val="nil"/>
            </w:tcBorders>
            <w:shd w:val="clear" w:color="auto" w:fill="DBE5F1" w:themeFill="accent1" w:themeFillTint="33"/>
            <w:noWrap/>
            <w:vAlign w:val="bottom"/>
            <w:hideMark/>
          </w:tcPr>
          <w:p w14:paraId="708A7BE8"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10066</w:t>
            </w:r>
          </w:p>
        </w:tc>
        <w:tc>
          <w:tcPr>
            <w:tcW w:w="1126" w:type="dxa"/>
            <w:tcBorders>
              <w:top w:val="nil"/>
              <w:left w:val="nil"/>
              <w:bottom w:val="nil"/>
              <w:right w:val="nil"/>
            </w:tcBorders>
            <w:shd w:val="clear" w:color="auto" w:fill="auto"/>
            <w:noWrap/>
            <w:vAlign w:val="bottom"/>
            <w:hideMark/>
          </w:tcPr>
          <w:p w14:paraId="0BC07237"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11972</w:t>
            </w:r>
          </w:p>
        </w:tc>
        <w:tc>
          <w:tcPr>
            <w:tcW w:w="1127" w:type="dxa"/>
            <w:tcBorders>
              <w:top w:val="nil"/>
              <w:left w:val="nil"/>
              <w:bottom w:val="nil"/>
              <w:right w:val="single" w:sz="4" w:space="0" w:color="auto"/>
            </w:tcBorders>
            <w:shd w:val="clear" w:color="auto" w:fill="DBE5F1" w:themeFill="accent1" w:themeFillTint="33"/>
            <w:noWrap/>
            <w:vAlign w:val="bottom"/>
            <w:hideMark/>
          </w:tcPr>
          <w:p w14:paraId="70EA5010"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15900</w:t>
            </w:r>
          </w:p>
        </w:tc>
        <w:tc>
          <w:tcPr>
            <w:tcW w:w="1275" w:type="dxa"/>
            <w:tcBorders>
              <w:top w:val="nil"/>
              <w:left w:val="nil"/>
              <w:bottom w:val="nil"/>
              <w:right w:val="single" w:sz="4" w:space="0" w:color="auto"/>
            </w:tcBorders>
            <w:shd w:val="clear" w:color="auto" w:fill="auto"/>
          </w:tcPr>
          <w:p w14:paraId="680E7CD5" w14:textId="77777777" w:rsidR="007944E9" w:rsidRPr="005D61DD" w:rsidRDefault="007944E9"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292%</w:t>
            </w:r>
          </w:p>
        </w:tc>
      </w:tr>
      <w:tr w:rsidR="007944E9" w:rsidRPr="005D61DD" w14:paraId="300C431E" w14:textId="77777777" w:rsidTr="00C84E96">
        <w:trPr>
          <w:trHeight w:val="204"/>
        </w:trPr>
        <w:tc>
          <w:tcPr>
            <w:tcW w:w="2221" w:type="dxa"/>
            <w:tcBorders>
              <w:top w:val="nil"/>
              <w:left w:val="single" w:sz="4" w:space="0" w:color="auto"/>
              <w:bottom w:val="nil"/>
              <w:right w:val="nil"/>
            </w:tcBorders>
            <w:shd w:val="clear" w:color="auto" w:fill="DBE5F1" w:themeFill="accent1" w:themeFillTint="33"/>
            <w:noWrap/>
            <w:hideMark/>
          </w:tcPr>
          <w:p w14:paraId="0A598DCF" w14:textId="77777777" w:rsidR="007944E9" w:rsidRPr="005D61DD" w:rsidRDefault="00AC4C50"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School personnel</w:t>
            </w:r>
          </w:p>
        </w:tc>
        <w:tc>
          <w:tcPr>
            <w:tcW w:w="1126" w:type="dxa"/>
            <w:tcBorders>
              <w:top w:val="nil"/>
              <w:left w:val="nil"/>
              <w:bottom w:val="nil"/>
              <w:right w:val="nil"/>
            </w:tcBorders>
            <w:shd w:val="clear" w:color="auto" w:fill="auto"/>
            <w:noWrap/>
            <w:vAlign w:val="bottom"/>
            <w:hideMark/>
          </w:tcPr>
          <w:p w14:paraId="28A1FFEA"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2313</w:t>
            </w:r>
          </w:p>
        </w:tc>
        <w:tc>
          <w:tcPr>
            <w:tcW w:w="1126" w:type="dxa"/>
            <w:tcBorders>
              <w:top w:val="nil"/>
              <w:left w:val="nil"/>
              <w:bottom w:val="nil"/>
              <w:right w:val="nil"/>
            </w:tcBorders>
            <w:shd w:val="clear" w:color="auto" w:fill="DBE5F1" w:themeFill="accent1" w:themeFillTint="33"/>
            <w:noWrap/>
            <w:vAlign w:val="bottom"/>
            <w:hideMark/>
          </w:tcPr>
          <w:p w14:paraId="69E372F2"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2300</w:t>
            </w:r>
          </w:p>
        </w:tc>
        <w:tc>
          <w:tcPr>
            <w:tcW w:w="1126" w:type="dxa"/>
            <w:tcBorders>
              <w:top w:val="nil"/>
              <w:left w:val="nil"/>
              <w:bottom w:val="nil"/>
              <w:right w:val="nil"/>
            </w:tcBorders>
            <w:shd w:val="clear" w:color="auto" w:fill="auto"/>
            <w:noWrap/>
            <w:vAlign w:val="bottom"/>
            <w:hideMark/>
          </w:tcPr>
          <w:p w14:paraId="55BD9DEE"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2394</w:t>
            </w:r>
          </w:p>
        </w:tc>
        <w:tc>
          <w:tcPr>
            <w:tcW w:w="1126" w:type="dxa"/>
            <w:tcBorders>
              <w:top w:val="nil"/>
              <w:left w:val="nil"/>
              <w:bottom w:val="nil"/>
              <w:right w:val="nil"/>
            </w:tcBorders>
            <w:shd w:val="clear" w:color="auto" w:fill="DBE5F1" w:themeFill="accent1" w:themeFillTint="33"/>
            <w:noWrap/>
            <w:vAlign w:val="bottom"/>
            <w:hideMark/>
          </w:tcPr>
          <w:p w14:paraId="6660A281"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2740</w:t>
            </w:r>
          </w:p>
        </w:tc>
        <w:tc>
          <w:tcPr>
            <w:tcW w:w="1126" w:type="dxa"/>
            <w:tcBorders>
              <w:top w:val="nil"/>
              <w:left w:val="nil"/>
              <w:bottom w:val="nil"/>
              <w:right w:val="nil"/>
            </w:tcBorders>
            <w:shd w:val="clear" w:color="auto" w:fill="auto"/>
            <w:noWrap/>
            <w:vAlign w:val="bottom"/>
            <w:hideMark/>
          </w:tcPr>
          <w:p w14:paraId="2447100C"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3153</w:t>
            </w:r>
          </w:p>
        </w:tc>
        <w:tc>
          <w:tcPr>
            <w:tcW w:w="1126" w:type="dxa"/>
            <w:tcBorders>
              <w:top w:val="nil"/>
              <w:left w:val="nil"/>
              <w:bottom w:val="nil"/>
              <w:right w:val="nil"/>
            </w:tcBorders>
            <w:shd w:val="clear" w:color="auto" w:fill="DBE5F1" w:themeFill="accent1" w:themeFillTint="33"/>
            <w:noWrap/>
            <w:vAlign w:val="bottom"/>
            <w:hideMark/>
          </w:tcPr>
          <w:p w14:paraId="553F6663"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4217</w:t>
            </w:r>
          </w:p>
        </w:tc>
        <w:tc>
          <w:tcPr>
            <w:tcW w:w="1126" w:type="dxa"/>
            <w:tcBorders>
              <w:top w:val="nil"/>
              <w:left w:val="nil"/>
              <w:bottom w:val="nil"/>
              <w:right w:val="nil"/>
            </w:tcBorders>
            <w:shd w:val="clear" w:color="auto" w:fill="auto"/>
            <w:noWrap/>
            <w:vAlign w:val="bottom"/>
            <w:hideMark/>
          </w:tcPr>
          <w:p w14:paraId="7C47CF7C"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4824</w:t>
            </w:r>
          </w:p>
        </w:tc>
        <w:tc>
          <w:tcPr>
            <w:tcW w:w="1126" w:type="dxa"/>
            <w:tcBorders>
              <w:top w:val="nil"/>
              <w:left w:val="nil"/>
              <w:bottom w:val="nil"/>
              <w:right w:val="nil"/>
            </w:tcBorders>
            <w:shd w:val="clear" w:color="auto" w:fill="DBE5F1" w:themeFill="accent1" w:themeFillTint="33"/>
            <w:noWrap/>
            <w:vAlign w:val="bottom"/>
            <w:hideMark/>
          </w:tcPr>
          <w:p w14:paraId="69EFBAFC"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5493</w:t>
            </w:r>
          </w:p>
        </w:tc>
        <w:tc>
          <w:tcPr>
            <w:tcW w:w="1126" w:type="dxa"/>
            <w:tcBorders>
              <w:top w:val="nil"/>
              <w:left w:val="nil"/>
              <w:bottom w:val="nil"/>
              <w:right w:val="nil"/>
            </w:tcBorders>
            <w:shd w:val="clear" w:color="auto" w:fill="auto"/>
            <w:noWrap/>
            <w:vAlign w:val="bottom"/>
            <w:hideMark/>
          </w:tcPr>
          <w:p w14:paraId="2CE547F7"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6459</w:t>
            </w:r>
          </w:p>
        </w:tc>
        <w:tc>
          <w:tcPr>
            <w:tcW w:w="1127" w:type="dxa"/>
            <w:tcBorders>
              <w:top w:val="nil"/>
              <w:left w:val="nil"/>
              <w:bottom w:val="nil"/>
              <w:right w:val="single" w:sz="4" w:space="0" w:color="auto"/>
            </w:tcBorders>
            <w:shd w:val="clear" w:color="auto" w:fill="DBE5F1" w:themeFill="accent1" w:themeFillTint="33"/>
            <w:noWrap/>
            <w:vAlign w:val="bottom"/>
            <w:hideMark/>
          </w:tcPr>
          <w:p w14:paraId="73069037"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7577</w:t>
            </w:r>
          </w:p>
        </w:tc>
        <w:tc>
          <w:tcPr>
            <w:tcW w:w="1275" w:type="dxa"/>
            <w:tcBorders>
              <w:top w:val="nil"/>
              <w:left w:val="nil"/>
              <w:bottom w:val="nil"/>
              <w:right w:val="single" w:sz="4" w:space="0" w:color="auto"/>
            </w:tcBorders>
            <w:shd w:val="clear" w:color="auto" w:fill="auto"/>
          </w:tcPr>
          <w:p w14:paraId="5DD784BE" w14:textId="77777777" w:rsidR="007944E9" w:rsidRPr="005D61DD" w:rsidRDefault="007944E9"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228%</w:t>
            </w:r>
          </w:p>
        </w:tc>
      </w:tr>
      <w:tr w:rsidR="001635B1" w:rsidRPr="005D61DD" w14:paraId="06F77665" w14:textId="77777777" w:rsidTr="00C84E96">
        <w:trPr>
          <w:trHeight w:val="204"/>
        </w:trPr>
        <w:tc>
          <w:tcPr>
            <w:tcW w:w="2221" w:type="dxa"/>
            <w:tcBorders>
              <w:top w:val="nil"/>
              <w:left w:val="single" w:sz="4" w:space="0" w:color="auto"/>
              <w:bottom w:val="nil"/>
              <w:right w:val="nil"/>
            </w:tcBorders>
            <w:shd w:val="clear" w:color="auto" w:fill="DBE5F1" w:themeFill="accent1" w:themeFillTint="33"/>
            <w:noWrap/>
            <w:hideMark/>
          </w:tcPr>
          <w:p w14:paraId="6177A46C" w14:textId="77777777" w:rsidR="001635B1" w:rsidRPr="005D61DD" w:rsidRDefault="001635B1"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Psychiatrists</w:t>
            </w:r>
          </w:p>
        </w:tc>
        <w:tc>
          <w:tcPr>
            <w:tcW w:w="1126" w:type="dxa"/>
            <w:tcBorders>
              <w:top w:val="nil"/>
              <w:left w:val="nil"/>
              <w:bottom w:val="nil"/>
              <w:right w:val="nil"/>
            </w:tcBorders>
            <w:shd w:val="clear" w:color="auto" w:fill="auto"/>
            <w:noWrap/>
            <w:vAlign w:val="bottom"/>
            <w:hideMark/>
          </w:tcPr>
          <w:p w14:paraId="45EBAADC"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98</w:t>
            </w:r>
          </w:p>
        </w:tc>
        <w:tc>
          <w:tcPr>
            <w:tcW w:w="1126" w:type="dxa"/>
            <w:tcBorders>
              <w:top w:val="nil"/>
              <w:left w:val="nil"/>
              <w:bottom w:val="nil"/>
              <w:right w:val="nil"/>
            </w:tcBorders>
            <w:shd w:val="clear" w:color="auto" w:fill="DBE5F1" w:themeFill="accent1" w:themeFillTint="33"/>
            <w:noWrap/>
            <w:vAlign w:val="bottom"/>
            <w:hideMark/>
          </w:tcPr>
          <w:p w14:paraId="7D069BC6"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128</w:t>
            </w:r>
          </w:p>
        </w:tc>
        <w:tc>
          <w:tcPr>
            <w:tcW w:w="1126" w:type="dxa"/>
            <w:tcBorders>
              <w:top w:val="nil"/>
              <w:left w:val="nil"/>
              <w:bottom w:val="nil"/>
              <w:right w:val="nil"/>
            </w:tcBorders>
            <w:shd w:val="clear" w:color="auto" w:fill="auto"/>
            <w:noWrap/>
            <w:vAlign w:val="bottom"/>
            <w:hideMark/>
          </w:tcPr>
          <w:p w14:paraId="019303AE"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93</w:t>
            </w:r>
          </w:p>
        </w:tc>
        <w:tc>
          <w:tcPr>
            <w:tcW w:w="1126" w:type="dxa"/>
            <w:tcBorders>
              <w:top w:val="nil"/>
              <w:left w:val="nil"/>
              <w:bottom w:val="nil"/>
              <w:right w:val="nil"/>
            </w:tcBorders>
            <w:shd w:val="clear" w:color="auto" w:fill="DBE5F1" w:themeFill="accent1" w:themeFillTint="33"/>
            <w:noWrap/>
            <w:vAlign w:val="bottom"/>
            <w:hideMark/>
          </w:tcPr>
          <w:p w14:paraId="0000CA5C"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128</w:t>
            </w:r>
          </w:p>
        </w:tc>
        <w:tc>
          <w:tcPr>
            <w:tcW w:w="1126" w:type="dxa"/>
            <w:tcBorders>
              <w:top w:val="nil"/>
              <w:left w:val="nil"/>
              <w:bottom w:val="nil"/>
              <w:right w:val="nil"/>
            </w:tcBorders>
            <w:shd w:val="clear" w:color="auto" w:fill="auto"/>
            <w:noWrap/>
            <w:vAlign w:val="bottom"/>
            <w:hideMark/>
          </w:tcPr>
          <w:p w14:paraId="395FDBFA"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97</w:t>
            </w:r>
          </w:p>
        </w:tc>
        <w:tc>
          <w:tcPr>
            <w:tcW w:w="1126" w:type="dxa"/>
            <w:tcBorders>
              <w:top w:val="nil"/>
              <w:left w:val="nil"/>
              <w:bottom w:val="nil"/>
              <w:right w:val="nil"/>
            </w:tcBorders>
            <w:shd w:val="clear" w:color="auto" w:fill="DBE5F1" w:themeFill="accent1" w:themeFillTint="33"/>
            <w:noWrap/>
            <w:vAlign w:val="bottom"/>
            <w:hideMark/>
          </w:tcPr>
          <w:p w14:paraId="2D86DFC5"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136</w:t>
            </w:r>
          </w:p>
        </w:tc>
        <w:tc>
          <w:tcPr>
            <w:tcW w:w="1126" w:type="dxa"/>
            <w:tcBorders>
              <w:top w:val="nil"/>
              <w:left w:val="nil"/>
              <w:bottom w:val="nil"/>
              <w:right w:val="nil"/>
            </w:tcBorders>
            <w:shd w:val="clear" w:color="auto" w:fill="auto"/>
            <w:noWrap/>
            <w:vAlign w:val="bottom"/>
            <w:hideMark/>
          </w:tcPr>
          <w:p w14:paraId="2A436328"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136</w:t>
            </w:r>
          </w:p>
        </w:tc>
        <w:tc>
          <w:tcPr>
            <w:tcW w:w="1126" w:type="dxa"/>
            <w:tcBorders>
              <w:top w:val="nil"/>
              <w:left w:val="nil"/>
              <w:bottom w:val="nil"/>
              <w:right w:val="nil"/>
            </w:tcBorders>
            <w:shd w:val="clear" w:color="auto" w:fill="DBE5F1" w:themeFill="accent1" w:themeFillTint="33"/>
            <w:noWrap/>
            <w:vAlign w:val="bottom"/>
            <w:hideMark/>
          </w:tcPr>
          <w:p w14:paraId="763FC028"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130</w:t>
            </w:r>
          </w:p>
        </w:tc>
        <w:tc>
          <w:tcPr>
            <w:tcW w:w="1126" w:type="dxa"/>
            <w:tcBorders>
              <w:top w:val="nil"/>
              <w:left w:val="nil"/>
              <w:bottom w:val="nil"/>
              <w:right w:val="nil"/>
            </w:tcBorders>
            <w:shd w:val="clear" w:color="auto" w:fill="auto"/>
            <w:noWrap/>
            <w:vAlign w:val="bottom"/>
            <w:hideMark/>
          </w:tcPr>
          <w:p w14:paraId="06BBBB71"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141</w:t>
            </w:r>
          </w:p>
        </w:tc>
        <w:tc>
          <w:tcPr>
            <w:tcW w:w="1127" w:type="dxa"/>
            <w:tcBorders>
              <w:top w:val="nil"/>
              <w:left w:val="nil"/>
              <w:bottom w:val="nil"/>
              <w:right w:val="single" w:sz="4" w:space="0" w:color="auto"/>
            </w:tcBorders>
            <w:shd w:val="clear" w:color="auto" w:fill="DBE5F1" w:themeFill="accent1" w:themeFillTint="33"/>
            <w:noWrap/>
            <w:vAlign w:val="bottom"/>
            <w:hideMark/>
          </w:tcPr>
          <w:p w14:paraId="6B1289BB"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135</w:t>
            </w:r>
          </w:p>
        </w:tc>
        <w:tc>
          <w:tcPr>
            <w:tcW w:w="1275" w:type="dxa"/>
            <w:tcBorders>
              <w:top w:val="nil"/>
              <w:left w:val="nil"/>
              <w:bottom w:val="nil"/>
              <w:right w:val="single" w:sz="4" w:space="0" w:color="auto"/>
            </w:tcBorders>
            <w:shd w:val="clear" w:color="auto" w:fill="auto"/>
          </w:tcPr>
          <w:p w14:paraId="413AC72A" w14:textId="77777777" w:rsidR="001635B1" w:rsidRPr="005D61DD" w:rsidRDefault="001635B1"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38%</w:t>
            </w:r>
          </w:p>
        </w:tc>
      </w:tr>
      <w:tr w:rsidR="005D61DD" w:rsidRPr="005D61DD" w14:paraId="4CA25DD6" w14:textId="77777777" w:rsidTr="00C84E96">
        <w:trPr>
          <w:trHeight w:val="204"/>
        </w:trPr>
        <w:tc>
          <w:tcPr>
            <w:tcW w:w="2221" w:type="dxa"/>
            <w:tcBorders>
              <w:top w:val="nil"/>
              <w:left w:val="single" w:sz="4" w:space="0" w:color="auto"/>
              <w:bottom w:val="nil"/>
              <w:right w:val="nil"/>
            </w:tcBorders>
            <w:shd w:val="clear" w:color="auto" w:fill="DBE5F1" w:themeFill="accent1" w:themeFillTint="33"/>
            <w:noWrap/>
            <w:hideMark/>
          </w:tcPr>
          <w:p w14:paraId="5E85B5E4" w14:textId="77777777" w:rsidR="005D61DD" w:rsidRPr="005D61DD" w:rsidRDefault="005D61DD"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Major mandated reporter groups combined</w:t>
            </w:r>
          </w:p>
        </w:tc>
        <w:tc>
          <w:tcPr>
            <w:tcW w:w="1126" w:type="dxa"/>
            <w:tcBorders>
              <w:top w:val="nil"/>
              <w:left w:val="nil"/>
              <w:bottom w:val="nil"/>
              <w:right w:val="nil"/>
            </w:tcBorders>
            <w:shd w:val="clear" w:color="auto" w:fill="auto"/>
            <w:noWrap/>
            <w:vAlign w:val="bottom"/>
            <w:hideMark/>
          </w:tcPr>
          <w:p w14:paraId="4A9FC451"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7803</w:t>
            </w:r>
          </w:p>
        </w:tc>
        <w:tc>
          <w:tcPr>
            <w:tcW w:w="1126" w:type="dxa"/>
            <w:tcBorders>
              <w:top w:val="nil"/>
              <w:left w:val="nil"/>
              <w:bottom w:val="nil"/>
              <w:right w:val="nil"/>
            </w:tcBorders>
            <w:shd w:val="clear" w:color="auto" w:fill="DBE5F1" w:themeFill="accent1" w:themeFillTint="33"/>
            <w:noWrap/>
            <w:vAlign w:val="bottom"/>
            <w:hideMark/>
          </w:tcPr>
          <w:p w14:paraId="6E3B451E"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7763</w:t>
            </w:r>
          </w:p>
        </w:tc>
        <w:tc>
          <w:tcPr>
            <w:tcW w:w="1126" w:type="dxa"/>
            <w:tcBorders>
              <w:top w:val="nil"/>
              <w:left w:val="nil"/>
              <w:bottom w:val="nil"/>
              <w:right w:val="nil"/>
            </w:tcBorders>
            <w:shd w:val="clear" w:color="auto" w:fill="auto"/>
            <w:noWrap/>
            <w:vAlign w:val="bottom"/>
            <w:hideMark/>
          </w:tcPr>
          <w:p w14:paraId="72D78D1A"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8400</w:t>
            </w:r>
          </w:p>
        </w:tc>
        <w:tc>
          <w:tcPr>
            <w:tcW w:w="1126" w:type="dxa"/>
            <w:tcBorders>
              <w:top w:val="nil"/>
              <w:left w:val="nil"/>
              <w:bottom w:val="nil"/>
              <w:right w:val="nil"/>
            </w:tcBorders>
            <w:shd w:val="clear" w:color="auto" w:fill="DBE5F1" w:themeFill="accent1" w:themeFillTint="33"/>
            <w:noWrap/>
            <w:vAlign w:val="bottom"/>
            <w:hideMark/>
          </w:tcPr>
          <w:p w14:paraId="524D0C5D"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9243</w:t>
            </w:r>
          </w:p>
        </w:tc>
        <w:tc>
          <w:tcPr>
            <w:tcW w:w="1126" w:type="dxa"/>
            <w:tcBorders>
              <w:top w:val="nil"/>
              <w:left w:val="nil"/>
              <w:bottom w:val="nil"/>
              <w:right w:val="nil"/>
            </w:tcBorders>
            <w:shd w:val="clear" w:color="auto" w:fill="auto"/>
            <w:noWrap/>
            <w:vAlign w:val="bottom"/>
            <w:hideMark/>
          </w:tcPr>
          <w:p w14:paraId="70E0379B"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9785</w:t>
            </w:r>
          </w:p>
        </w:tc>
        <w:tc>
          <w:tcPr>
            <w:tcW w:w="1126" w:type="dxa"/>
            <w:tcBorders>
              <w:top w:val="nil"/>
              <w:left w:val="nil"/>
              <w:bottom w:val="nil"/>
              <w:right w:val="nil"/>
            </w:tcBorders>
            <w:shd w:val="clear" w:color="auto" w:fill="DBE5F1" w:themeFill="accent1" w:themeFillTint="33"/>
            <w:noWrap/>
            <w:vAlign w:val="bottom"/>
            <w:hideMark/>
          </w:tcPr>
          <w:p w14:paraId="64C21DC2"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11801</w:t>
            </w:r>
          </w:p>
        </w:tc>
        <w:tc>
          <w:tcPr>
            <w:tcW w:w="1126" w:type="dxa"/>
            <w:tcBorders>
              <w:top w:val="nil"/>
              <w:left w:val="nil"/>
              <w:bottom w:val="nil"/>
              <w:right w:val="nil"/>
            </w:tcBorders>
            <w:shd w:val="clear" w:color="auto" w:fill="auto"/>
            <w:noWrap/>
            <w:vAlign w:val="bottom"/>
            <w:hideMark/>
          </w:tcPr>
          <w:p w14:paraId="05FC7D69"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14043</w:t>
            </w:r>
          </w:p>
        </w:tc>
        <w:tc>
          <w:tcPr>
            <w:tcW w:w="1126" w:type="dxa"/>
            <w:tcBorders>
              <w:top w:val="nil"/>
              <w:left w:val="nil"/>
              <w:bottom w:val="nil"/>
              <w:right w:val="nil"/>
            </w:tcBorders>
            <w:shd w:val="clear" w:color="auto" w:fill="DBE5F1" w:themeFill="accent1" w:themeFillTint="33"/>
            <w:noWrap/>
            <w:vAlign w:val="bottom"/>
            <w:hideMark/>
          </w:tcPr>
          <w:p w14:paraId="4263E821"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17385</w:t>
            </w:r>
          </w:p>
        </w:tc>
        <w:tc>
          <w:tcPr>
            <w:tcW w:w="1126" w:type="dxa"/>
            <w:tcBorders>
              <w:top w:val="nil"/>
              <w:left w:val="nil"/>
              <w:bottom w:val="nil"/>
              <w:right w:val="nil"/>
            </w:tcBorders>
            <w:shd w:val="clear" w:color="auto" w:fill="auto"/>
            <w:noWrap/>
            <w:vAlign w:val="bottom"/>
            <w:hideMark/>
          </w:tcPr>
          <w:p w14:paraId="0DCD22AB"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20484</w:t>
            </w:r>
          </w:p>
        </w:tc>
        <w:tc>
          <w:tcPr>
            <w:tcW w:w="1127" w:type="dxa"/>
            <w:tcBorders>
              <w:top w:val="nil"/>
              <w:left w:val="nil"/>
              <w:bottom w:val="nil"/>
              <w:right w:val="single" w:sz="4" w:space="0" w:color="auto"/>
            </w:tcBorders>
            <w:shd w:val="clear" w:color="auto" w:fill="DBE5F1" w:themeFill="accent1" w:themeFillTint="33"/>
            <w:noWrap/>
            <w:vAlign w:val="bottom"/>
            <w:hideMark/>
          </w:tcPr>
          <w:p w14:paraId="11B7A416"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25777</w:t>
            </w:r>
          </w:p>
        </w:tc>
        <w:tc>
          <w:tcPr>
            <w:tcW w:w="1275" w:type="dxa"/>
            <w:tcBorders>
              <w:top w:val="nil"/>
              <w:left w:val="nil"/>
              <w:bottom w:val="nil"/>
              <w:right w:val="single" w:sz="4" w:space="0" w:color="auto"/>
            </w:tcBorders>
            <w:shd w:val="clear" w:color="auto" w:fill="auto"/>
          </w:tcPr>
          <w:p w14:paraId="4D1E88AE" w14:textId="77777777" w:rsidR="005D61DD" w:rsidRPr="005D61DD" w:rsidRDefault="005D61DD" w:rsidP="00CE2FDF">
            <w:pPr>
              <w:spacing w:before="0" w:line="276" w:lineRule="auto"/>
              <w:jc w:val="right"/>
              <w:rPr>
                <w:rFonts w:eastAsia="Times New Roman" w:cs="Arial"/>
                <w:b/>
                <w:color w:val="000000"/>
                <w:sz w:val="20"/>
                <w:szCs w:val="20"/>
                <w:lang w:eastAsia="en-AU"/>
              </w:rPr>
            </w:pPr>
          </w:p>
          <w:p w14:paraId="276E46E4" w14:textId="77777777" w:rsidR="005D61DD" w:rsidRPr="005D61DD" w:rsidRDefault="005D61DD"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230%</w:t>
            </w:r>
          </w:p>
        </w:tc>
      </w:tr>
      <w:tr w:rsidR="005D61DD" w:rsidRPr="005D61DD" w14:paraId="03FA7D41" w14:textId="77777777" w:rsidTr="00C84E96">
        <w:trPr>
          <w:trHeight w:val="204"/>
        </w:trPr>
        <w:tc>
          <w:tcPr>
            <w:tcW w:w="2221" w:type="dxa"/>
            <w:tcBorders>
              <w:top w:val="nil"/>
              <w:left w:val="single" w:sz="4" w:space="0" w:color="auto"/>
              <w:bottom w:val="nil"/>
              <w:right w:val="nil"/>
            </w:tcBorders>
            <w:shd w:val="clear" w:color="auto" w:fill="DBE5F1" w:themeFill="accent1" w:themeFillTint="33"/>
            <w:noWrap/>
            <w:hideMark/>
          </w:tcPr>
          <w:p w14:paraId="0BF6BFC0" w14:textId="77777777" w:rsidR="005D61DD" w:rsidRPr="005D61DD" w:rsidRDefault="005D61DD"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Other reporter groups combined</w:t>
            </w:r>
          </w:p>
        </w:tc>
        <w:tc>
          <w:tcPr>
            <w:tcW w:w="1126" w:type="dxa"/>
            <w:tcBorders>
              <w:top w:val="nil"/>
              <w:left w:val="nil"/>
              <w:bottom w:val="nil"/>
              <w:right w:val="nil"/>
            </w:tcBorders>
            <w:shd w:val="clear" w:color="auto" w:fill="auto"/>
            <w:noWrap/>
            <w:vAlign w:val="bottom"/>
            <w:hideMark/>
          </w:tcPr>
          <w:p w14:paraId="1426D689"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16996</w:t>
            </w:r>
          </w:p>
        </w:tc>
        <w:tc>
          <w:tcPr>
            <w:tcW w:w="1126" w:type="dxa"/>
            <w:tcBorders>
              <w:top w:val="nil"/>
              <w:left w:val="nil"/>
              <w:bottom w:val="nil"/>
              <w:right w:val="nil"/>
            </w:tcBorders>
            <w:shd w:val="clear" w:color="auto" w:fill="DBE5F1" w:themeFill="accent1" w:themeFillTint="33"/>
            <w:noWrap/>
            <w:vAlign w:val="bottom"/>
            <w:hideMark/>
          </w:tcPr>
          <w:p w14:paraId="3100F892"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17479</w:t>
            </w:r>
          </w:p>
        </w:tc>
        <w:tc>
          <w:tcPr>
            <w:tcW w:w="1126" w:type="dxa"/>
            <w:tcBorders>
              <w:top w:val="nil"/>
              <w:left w:val="nil"/>
              <w:bottom w:val="nil"/>
              <w:right w:val="nil"/>
            </w:tcBorders>
            <w:shd w:val="clear" w:color="auto" w:fill="auto"/>
            <w:noWrap/>
            <w:vAlign w:val="bottom"/>
            <w:hideMark/>
          </w:tcPr>
          <w:p w14:paraId="0D4CD8BA"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16917</w:t>
            </w:r>
          </w:p>
        </w:tc>
        <w:tc>
          <w:tcPr>
            <w:tcW w:w="1126" w:type="dxa"/>
            <w:tcBorders>
              <w:top w:val="nil"/>
              <w:left w:val="nil"/>
              <w:bottom w:val="nil"/>
              <w:right w:val="nil"/>
            </w:tcBorders>
            <w:shd w:val="clear" w:color="auto" w:fill="DBE5F1" w:themeFill="accent1" w:themeFillTint="33"/>
            <w:noWrap/>
            <w:vAlign w:val="bottom"/>
            <w:hideMark/>
          </w:tcPr>
          <w:p w14:paraId="58230952"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16933</w:t>
            </w:r>
          </w:p>
        </w:tc>
        <w:tc>
          <w:tcPr>
            <w:tcW w:w="1126" w:type="dxa"/>
            <w:tcBorders>
              <w:top w:val="nil"/>
              <w:left w:val="nil"/>
              <w:bottom w:val="nil"/>
              <w:right w:val="nil"/>
            </w:tcBorders>
            <w:shd w:val="clear" w:color="auto" w:fill="auto"/>
            <w:noWrap/>
            <w:vAlign w:val="bottom"/>
            <w:hideMark/>
          </w:tcPr>
          <w:p w14:paraId="53298001"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17853</w:t>
            </w:r>
          </w:p>
        </w:tc>
        <w:tc>
          <w:tcPr>
            <w:tcW w:w="1126" w:type="dxa"/>
            <w:tcBorders>
              <w:top w:val="nil"/>
              <w:left w:val="nil"/>
              <w:bottom w:val="nil"/>
              <w:right w:val="nil"/>
            </w:tcBorders>
            <w:shd w:val="clear" w:color="auto" w:fill="DBE5F1" w:themeFill="accent1" w:themeFillTint="33"/>
            <w:noWrap/>
            <w:vAlign w:val="bottom"/>
            <w:hideMark/>
          </w:tcPr>
          <w:p w14:paraId="7A2091CF"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18428</w:t>
            </w:r>
          </w:p>
        </w:tc>
        <w:tc>
          <w:tcPr>
            <w:tcW w:w="1126" w:type="dxa"/>
            <w:tcBorders>
              <w:top w:val="nil"/>
              <w:left w:val="nil"/>
              <w:bottom w:val="nil"/>
              <w:right w:val="nil"/>
            </w:tcBorders>
            <w:shd w:val="clear" w:color="auto" w:fill="auto"/>
            <w:noWrap/>
            <w:vAlign w:val="bottom"/>
            <w:hideMark/>
          </w:tcPr>
          <w:p w14:paraId="4E869E2C"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19058</w:t>
            </w:r>
          </w:p>
        </w:tc>
        <w:tc>
          <w:tcPr>
            <w:tcW w:w="1126" w:type="dxa"/>
            <w:tcBorders>
              <w:top w:val="nil"/>
              <w:left w:val="nil"/>
              <w:bottom w:val="nil"/>
              <w:right w:val="nil"/>
            </w:tcBorders>
            <w:shd w:val="clear" w:color="auto" w:fill="DBE5F1" w:themeFill="accent1" w:themeFillTint="33"/>
            <w:noWrap/>
            <w:vAlign w:val="bottom"/>
            <w:hideMark/>
          </w:tcPr>
          <w:p w14:paraId="1D6ECE16"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20390</w:t>
            </w:r>
          </w:p>
        </w:tc>
        <w:tc>
          <w:tcPr>
            <w:tcW w:w="1126" w:type="dxa"/>
            <w:tcBorders>
              <w:top w:val="nil"/>
              <w:left w:val="nil"/>
              <w:bottom w:val="nil"/>
              <w:right w:val="nil"/>
            </w:tcBorders>
            <w:shd w:val="clear" w:color="auto" w:fill="auto"/>
            <w:noWrap/>
            <w:vAlign w:val="bottom"/>
            <w:hideMark/>
          </w:tcPr>
          <w:p w14:paraId="3EE4DC23"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23455</w:t>
            </w:r>
          </w:p>
        </w:tc>
        <w:tc>
          <w:tcPr>
            <w:tcW w:w="1127" w:type="dxa"/>
            <w:tcBorders>
              <w:top w:val="nil"/>
              <w:left w:val="nil"/>
              <w:bottom w:val="nil"/>
              <w:right w:val="single" w:sz="4" w:space="0" w:color="auto"/>
            </w:tcBorders>
            <w:shd w:val="clear" w:color="auto" w:fill="DBE5F1" w:themeFill="accent1" w:themeFillTint="33"/>
            <w:noWrap/>
            <w:vAlign w:val="bottom"/>
            <w:hideMark/>
          </w:tcPr>
          <w:p w14:paraId="6CDE02C1"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25811</w:t>
            </w:r>
          </w:p>
        </w:tc>
        <w:tc>
          <w:tcPr>
            <w:tcW w:w="1275" w:type="dxa"/>
            <w:tcBorders>
              <w:top w:val="nil"/>
              <w:left w:val="nil"/>
              <w:bottom w:val="nil"/>
              <w:right w:val="single" w:sz="4" w:space="0" w:color="auto"/>
            </w:tcBorders>
            <w:shd w:val="clear" w:color="auto" w:fill="auto"/>
          </w:tcPr>
          <w:p w14:paraId="1C1C905D" w14:textId="77777777" w:rsidR="005D61DD" w:rsidRPr="005D61DD" w:rsidRDefault="005D61DD" w:rsidP="00CE2FDF">
            <w:pPr>
              <w:spacing w:before="0" w:line="276" w:lineRule="auto"/>
              <w:jc w:val="right"/>
              <w:rPr>
                <w:rFonts w:eastAsia="Times New Roman" w:cs="Arial"/>
                <w:b/>
                <w:color w:val="000000"/>
                <w:sz w:val="20"/>
                <w:szCs w:val="20"/>
                <w:lang w:eastAsia="en-AU"/>
              </w:rPr>
            </w:pPr>
          </w:p>
          <w:p w14:paraId="0EDB0925" w14:textId="77777777" w:rsidR="005D61DD" w:rsidRPr="005D61DD" w:rsidRDefault="005D61DD"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52%</w:t>
            </w:r>
          </w:p>
        </w:tc>
      </w:tr>
      <w:tr w:rsidR="007944E9" w:rsidRPr="005D61DD" w14:paraId="2EB0F880" w14:textId="77777777" w:rsidTr="00C84E96">
        <w:trPr>
          <w:trHeight w:val="204"/>
        </w:trPr>
        <w:tc>
          <w:tcPr>
            <w:tcW w:w="2221" w:type="dxa"/>
            <w:tcBorders>
              <w:top w:val="nil"/>
              <w:left w:val="single" w:sz="4" w:space="0" w:color="auto"/>
              <w:bottom w:val="single" w:sz="4" w:space="0" w:color="auto"/>
              <w:right w:val="nil"/>
            </w:tcBorders>
            <w:shd w:val="clear" w:color="auto" w:fill="DBE5F1" w:themeFill="accent1" w:themeFillTint="33"/>
            <w:noWrap/>
            <w:vAlign w:val="bottom"/>
            <w:hideMark/>
          </w:tcPr>
          <w:p w14:paraId="3BA3CB8E" w14:textId="77777777" w:rsidR="007944E9" w:rsidRPr="005D61DD" w:rsidRDefault="007944E9" w:rsidP="00CE2FDF">
            <w:pPr>
              <w:spacing w:before="0" w:line="276" w:lineRule="auto"/>
              <w:rPr>
                <w:rFonts w:eastAsia="Times New Roman" w:cs="Arial"/>
                <w:b/>
                <w:color w:val="000000"/>
                <w:sz w:val="20"/>
                <w:szCs w:val="20"/>
                <w:lang w:eastAsia="en-AU"/>
              </w:rPr>
            </w:pPr>
            <w:r w:rsidRPr="005D61DD">
              <w:rPr>
                <w:rFonts w:eastAsia="Times New Roman" w:cs="Arial"/>
                <w:b/>
                <w:color w:val="000000"/>
                <w:sz w:val="20"/>
                <w:szCs w:val="20"/>
                <w:lang w:eastAsia="en-AU"/>
              </w:rPr>
              <w:t>Total reports:</w:t>
            </w:r>
          </w:p>
        </w:tc>
        <w:tc>
          <w:tcPr>
            <w:tcW w:w="1126" w:type="dxa"/>
            <w:tcBorders>
              <w:top w:val="nil"/>
              <w:left w:val="nil"/>
              <w:bottom w:val="single" w:sz="4" w:space="0" w:color="auto"/>
              <w:right w:val="nil"/>
            </w:tcBorders>
            <w:shd w:val="clear" w:color="auto" w:fill="auto"/>
            <w:noWrap/>
            <w:vAlign w:val="bottom"/>
            <w:hideMark/>
          </w:tcPr>
          <w:p w14:paraId="15C4CF1F"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24799</w:t>
            </w:r>
          </w:p>
        </w:tc>
        <w:tc>
          <w:tcPr>
            <w:tcW w:w="1126" w:type="dxa"/>
            <w:tcBorders>
              <w:top w:val="nil"/>
              <w:left w:val="nil"/>
              <w:bottom w:val="single" w:sz="4" w:space="0" w:color="auto"/>
              <w:right w:val="nil"/>
            </w:tcBorders>
            <w:shd w:val="clear" w:color="auto" w:fill="DBE5F1" w:themeFill="accent1" w:themeFillTint="33"/>
            <w:noWrap/>
            <w:vAlign w:val="bottom"/>
            <w:hideMark/>
          </w:tcPr>
          <w:p w14:paraId="3A4A8525"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25242</w:t>
            </w:r>
          </w:p>
        </w:tc>
        <w:tc>
          <w:tcPr>
            <w:tcW w:w="1126" w:type="dxa"/>
            <w:tcBorders>
              <w:top w:val="nil"/>
              <w:left w:val="nil"/>
              <w:bottom w:val="single" w:sz="4" w:space="0" w:color="auto"/>
              <w:right w:val="nil"/>
            </w:tcBorders>
            <w:shd w:val="clear" w:color="auto" w:fill="auto"/>
            <w:noWrap/>
            <w:vAlign w:val="bottom"/>
            <w:hideMark/>
          </w:tcPr>
          <w:p w14:paraId="57E2AEB6"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25317</w:t>
            </w:r>
          </w:p>
        </w:tc>
        <w:tc>
          <w:tcPr>
            <w:tcW w:w="1126" w:type="dxa"/>
            <w:tcBorders>
              <w:top w:val="nil"/>
              <w:left w:val="nil"/>
              <w:bottom w:val="single" w:sz="4" w:space="0" w:color="auto"/>
              <w:right w:val="nil"/>
            </w:tcBorders>
            <w:shd w:val="clear" w:color="auto" w:fill="DBE5F1" w:themeFill="accent1" w:themeFillTint="33"/>
            <w:noWrap/>
            <w:vAlign w:val="bottom"/>
            <w:hideMark/>
          </w:tcPr>
          <w:p w14:paraId="2E5566E4"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26176</w:t>
            </w:r>
          </w:p>
        </w:tc>
        <w:tc>
          <w:tcPr>
            <w:tcW w:w="1126" w:type="dxa"/>
            <w:tcBorders>
              <w:top w:val="nil"/>
              <w:left w:val="nil"/>
              <w:bottom w:val="single" w:sz="4" w:space="0" w:color="auto"/>
              <w:right w:val="nil"/>
            </w:tcBorders>
            <w:shd w:val="clear" w:color="auto" w:fill="auto"/>
            <w:noWrap/>
            <w:vAlign w:val="bottom"/>
            <w:hideMark/>
          </w:tcPr>
          <w:p w14:paraId="1D590C73"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27638</w:t>
            </w:r>
          </w:p>
        </w:tc>
        <w:tc>
          <w:tcPr>
            <w:tcW w:w="1126" w:type="dxa"/>
            <w:tcBorders>
              <w:top w:val="nil"/>
              <w:left w:val="nil"/>
              <w:bottom w:val="single" w:sz="4" w:space="0" w:color="auto"/>
              <w:right w:val="nil"/>
            </w:tcBorders>
            <w:shd w:val="clear" w:color="auto" w:fill="DBE5F1" w:themeFill="accent1" w:themeFillTint="33"/>
            <w:noWrap/>
            <w:vAlign w:val="bottom"/>
            <w:hideMark/>
          </w:tcPr>
          <w:p w14:paraId="7C3F6686"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30229</w:t>
            </w:r>
          </w:p>
        </w:tc>
        <w:tc>
          <w:tcPr>
            <w:tcW w:w="1126" w:type="dxa"/>
            <w:tcBorders>
              <w:top w:val="nil"/>
              <w:left w:val="nil"/>
              <w:bottom w:val="single" w:sz="4" w:space="0" w:color="auto"/>
              <w:right w:val="nil"/>
            </w:tcBorders>
            <w:shd w:val="clear" w:color="auto" w:fill="auto"/>
            <w:noWrap/>
            <w:vAlign w:val="bottom"/>
            <w:hideMark/>
          </w:tcPr>
          <w:p w14:paraId="274D1F36"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33101</w:t>
            </w:r>
          </w:p>
        </w:tc>
        <w:tc>
          <w:tcPr>
            <w:tcW w:w="1126" w:type="dxa"/>
            <w:tcBorders>
              <w:top w:val="nil"/>
              <w:left w:val="nil"/>
              <w:bottom w:val="single" w:sz="4" w:space="0" w:color="auto"/>
              <w:right w:val="nil"/>
            </w:tcBorders>
            <w:shd w:val="clear" w:color="auto" w:fill="DBE5F1" w:themeFill="accent1" w:themeFillTint="33"/>
            <w:noWrap/>
            <w:vAlign w:val="bottom"/>
            <w:hideMark/>
          </w:tcPr>
          <w:p w14:paraId="54B33042"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37775</w:t>
            </w:r>
          </w:p>
        </w:tc>
        <w:tc>
          <w:tcPr>
            <w:tcW w:w="1126" w:type="dxa"/>
            <w:tcBorders>
              <w:top w:val="nil"/>
              <w:left w:val="nil"/>
              <w:bottom w:val="single" w:sz="4" w:space="0" w:color="auto"/>
              <w:right w:val="nil"/>
            </w:tcBorders>
            <w:shd w:val="clear" w:color="auto" w:fill="auto"/>
            <w:noWrap/>
            <w:vAlign w:val="bottom"/>
            <w:hideMark/>
          </w:tcPr>
          <w:p w14:paraId="794F456A"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43939</w:t>
            </w:r>
          </w:p>
        </w:tc>
        <w:tc>
          <w:tcPr>
            <w:tcW w:w="1127" w:type="dxa"/>
            <w:tcBorders>
              <w:top w:val="nil"/>
              <w:left w:val="nil"/>
              <w:bottom w:val="single" w:sz="4" w:space="0" w:color="auto"/>
              <w:right w:val="single" w:sz="4" w:space="0" w:color="auto"/>
            </w:tcBorders>
            <w:shd w:val="clear" w:color="auto" w:fill="DBE5F1" w:themeFill="accent1" w:themeFillTint="33"/>
            <w:noWrap/>
            <w:vAlign w:val="bottom"/>
            <w:hideMark/>
          </w:tcPr>
          <w:p w14:paraId="7126F3DB"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51588</w:t>
            </w:r>
          </w:p>
        </w:tc>
        <w:tc>
          <w:tcPr>
            <w:tcW w:w="1275" w:type="dxa"/>
            <w:tcBorders>
              <w:top w:val="nil"/>
              <w:left w:val="nil"/>
              <w:bottom w:val="single" w:sz="4" w:space="0" w:color="auto"/>
              <w:right w:val="single" w:sz="4" w:space="0" w:color="auto"/>
            </w:tcBorders>
            <w:shd w:val="clear" w:color="auto" w:fill="auto"/>
          </w:tcPr>
          <w:p w14:paraId="7E661E9A" w14:textId="77777777" w:rsidR="007944E9" w:rsidRPr="005D61DD" w:rsidRDefault="007944E9"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108%</w:t>
            </w:r>
          </w:p>
        </w:tc>
      </w:tr>
      <w:tr w:rsidR="00FE57AD" w:rsidRPr="005D61DD" w14:paraId="5F2F94E6" w14:textId="77777777" w:rsidTr="00C84E96">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63A1865" w14:textId="77777777" w:rsidR="00AD1E2D" w:rsidRPr="005D61DD" w:rsidRDefault="00AD1E2D" w:rsidP="00CE2FDF">
            <w:pPr>
              <w:spacing w:before="0" w:line="276" w:lineRule="auto"/>
              <w:rPr>
                <w:rFonts w:eastAsia="Times New Roman" w:cs="Arial"/>
                <w:b/>
                <w:color w:val="000000"/>
                <w:sz w:val="20"/>
                <w:szCs w:val="20"/>
                <w:lang w:eastAsia="en-AU"/>
              </w:rPr>
            </w:pPr>
            <w:r w:rsidRPr="005D61DD">
              <w:rPr>
                <w:rFonts w:eastAsia="Times New Roman" w:cs="Arial"/>
                <w:b/>
                <w:color w:val="000000"/>
                <w:sz w:val="20"/>
                <w:szCs w:val="20"/>
                <w:lang w:eastAsia="en-AU"/>
              </w:rPr>
              <w:t>Investigated</w:t>
            </w:r>
          </w:p>
        </w:tc>
        <w:tc>
          <w:tcPr>
            <w:tcW w:w="1126" w:type="dxa"/>
            <w:tcBorders>
              <w:top w:val="nil"/>
              <w:left w:val="nil"/>
              <w:bottom w:val="nil"/>
              <w:right w:val="nil"/>
            </w:tcBorders>
            <w:shd w:val="clear" w:color="auto" w:fill="auto"/>
            <w:noWrap/>
            <w:vAlign w:val="bottom"/>
            <w:hideMark/>
          </w:tcPr>
          <w:p w14:paraId="0DC6C8FD"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F2DBDB" w:themeFill="accent2" w:themeFillTint="33"/>
            <w:noWrap/>
            <w:vAlign w:val="bottom"/>
            <w:hideMark/>
          </w:tcPr>
          <w:p w14:paraId="1E1953C6"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auto"/>
            <w:noWrap/>
            <w:vAlign w:val="bottom"/>
            <w:hideMark/>
          </w:tcPr>
          <w:p w14:paraId="4CAF9FCE"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F2DBDB" w:themeFill="accent2" w:themeFillTint="33"/>
            <w:noWrap/>
            <w:vAlign w:val="bottom"/>
            <w:hideMark/>
          </w:tcPr>
          <w:p w14:paraId="0892899E"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auto"/>
            <w:noWrap/>
            <w:vAlign w:val="bottom"/>
            <w:hideMark/>
          </w:tcPr>
          <w:p w14:paraId="78B61576"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F2DBDB" w:themeFill="accent2" w:themeFillTint="33"/>
            <w:noWrap/>
            <w:vAlign w:val="bottom"/>
            <w:hideMark/>
          </w:tcPr>
          <w:p w14:paraId="7C62505E"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auto"/>
            <w:noWrap/>
            <w:vAlign w:val="bottom"/>
            <w:hideMark/>
          </w:tcPr>
          <w:p w14:paraId="62B213C4"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F2DBDB" w:themeFill="accent2" w:themeFillTint="33"/>
            <w:noWrap/>
            <w:vAlign w:val="bottom"/>
            <w:hideMark/>
          </w:tcPr>
          <w:p w14:paraId="64AD3C83"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auto"/>
            <w:noWrap/>
            <w:vAlign w:val="bottom"/>
            <w:hideMark/>
          </w:tcPr>
          <w:p w14:paraId="64F76686"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7" w:type="dxa"/>
            <w:tcBorders>
              <w:top w:val="nil"/>
              <w:left w:val="nil"/>
              <w:bottom w:val="nil"/>
              <w:right w:val="single" w:sz="4" w:space="0" w:color="auto"/>
            </w:tcBorders>
            <w:shd w:val="clear" w:color="auto" w:fill="F2DBDB" w:themeFill="accent2" w:themeFillTint="33"/>
            <w:noWrap/>
            <w:vAlign w:val="bottom"/>
            <w:hideMark/>
          </w:tcPr>
          <w:p w14:paraId="022502F7"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275" w:type="dxa"/>
            <w:tcBorders>
              <w:top w:val="nil"/>
              <w:left w:val="nil"/>
              <w:bottom w:val="nil"/>
              <w:right w:val="single" w:sz="4" w:space="0" w:color="auto"/>
            </w:tcBorders>
            <w:shd w:val="clear" w:color="auto" w:fill="auto"/>
          </w:tcPr>
          <w:p w14:paraId="60EF80DD" w14:textId="77777777" w:rsidR="00AD1E2D" w:rsidRPr="005D61DD" w:rsidRDefault="00AD1E2D" w:rsidP="00CE2FDF">
            <w:pPr>
              <w:spacing w:before="0" w:line="276" w:lineRule="auto"/>
              <w:jc w:val="right"/>
              <w:rPr>
                <w:rFonts w:eastAsia="Times New Roman" w:cs="Arial"/>
                <w:b/>
                <w:color w:val="FF0000"/>
                <w:sz w:val="20"/>
                <w:szCs w:val="20"/>
                <w:lang w:eastAsia="en-AU"/>
              </w:rPr>
            </w:pPr>
          </w:p>
        </w:tc>
      </w:tr>
      <w:tr w:rsidR="007944E9" w:rsidRPr="005D61DD" w14:paraId="27876A82" w14:textId="77777777" w:rsidTr="00C84E96">
        <w:trPr>
          <w:trHeight w:val="204"/>
        </w:trPr>
        <w:tc>
          <w:tcPr>
            <w:tcW w:w="2221" w:type="dxa"/>
            <w:tcBorders>
              <w:top w:val="nil"/>
              <w:left w:val="single" w:sz="4" w:space="0" w:color="auto"/>
              <w:bottom w:val="nil"/>
              <w:right w:val="nil"/>
            </w:tcBorders>
            <w:shd w:val="clear" w:color="auto" w:fill="F2DBDB" w:themeFill="accent2" w:themeFillTint="33"/>
            <w:noWrap/>
            <w:hideMark/>
          </w:tcPr>
          <w:p w14:paraId="3F701AA4" w14:textId="77777777" w:rsidR="007944E9" w:rsidRPr="005D61DD" w:rsidRDefault="007944E9"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Doctors</w:t>
            </w:r>
          </w:p>
        </w:tc>
        <w:tc>
          <w:tcPr>
            <w:tcW w:w="1126" w:type="dxa"/>
            <w:tcBorders>
              <w:top w:val="nil"/>
              <w:left w:val="nil"/>
              <w:bottom w:val="nil"/>
              <w:right w:val="nil"/>
            </w:tcBorders>
            <w:shd w:val="clear" w:color="auto" w:fill="auto"/>
            <w:noWrap/>
            <w:vAlign w:val="bottom"/>
            <w:hideMark/>
          </w:tcPr>
          <w:p w14:paraId="4ABACC4F"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264</w:t>
            </w:r>
          </w:p>
        </w:tc>
        <w:tc>
          <w:tcPr>
            <w:tcW w:w="1126" w:type="dxa"/>
            <w:tcBorders>
              <w:top w:val="nil"/>
              <w:left w:val="nil"/>
              <w:bottom w:val="nil"/>
              <w:right w:val="nil"/>
            </w:tcBorders>
            <w:shd w:val="clear" w:color="auto" w:fill="F2DBDB" w:themeFill="accent2" w:themeFillTint="33"/>
            <w:noWrap/>
            <w:vAlign w:val="bottom"/>
            <w:hideMark/>
          </w:tcPr>
          <w:p w14:paraId="7B3CDE85"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218</w:t>
            </w:r>
          </w:p>
        </w:tc>
        <w:tc>
          <w:tcPr>
            <w:tcW w:w="1126" w:type="dxa"/>
            <w:tcBorders>
              <w:top w:val="nil"/>
              <w:left w:val="nil"/>
              <w:bottom w:val="nil"/>
              <w:right w:val="nil"/>
            </w:tcBorders>
            <w:shd w:val="clear" w:color="auto" w:fill="auto"/>
            <w:noWrap/>
            <w:vAlign w:val="bottom"/>
            <w:hideMark/>
          </w:tcPr>
          <w:p w14:paraId="69317CC4"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210</w:t>
            </w:r>
          </w:p>
        </w:tc>
        <w:tc>
          <w:tcPr>
            <w:tcW w:w="1126" w:type="dxa"/>
            <w:tcBorders>
              <w:top w:val="nil"/>
              <w:left w:val="nil"/>
              <w:bottom w:val="nil"/>
              <w:right w:val="nil"/>
            </w:tcBorders>
            <w:shd w:val="clear" w:color="auto" w:fill="F2DBDB" w:themeFill="accent2" w:themeFillTint="33"/>
            <w:noWrap/>
            <w:vAlign w:val="bottom"/>
            <w:hideMark/>
          </w:tcPr>
          <w:p w14:paraId="2A8C4D23"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204</w:t>
            </w:r>
          </w:p>
        </w:tc>
        <w:tc>
          <w:tcPr>
            <w:tcW w:w="1126" w:type="dxa"/>
            <w:tcBorders>
              <w:top w:val="nil"/>
              <w:left w:val="nil"/>
              <w:bottom w:val="nil"/>
              <w:right w:val="nil"/>
            </w:tcBorders>
            <w:shd w:val="clear" w:color="auto" w:fill="auto"/>
            <w:noWrap/>
            <w:vAlign w:val="bottom"/>
            <w:hideMark/>
          </w:tcPr>
          <w:p w14:paraId="6377FAB3"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208</w:t>
            </w:r>
          </w:p>
        </w:tc>
        <w:tc>
          <w:tcPr>
            <w:tcW w:w="1126" w:type="dxa"/>
            <w:tcBorders>
              <w:top w:val="nil"/>
              <w:left w:val="nil"/>
              <w:bottom w:val="nil"/>
              <w:right w:val="nil"/>
            </w:tcBorders>
            <w:shd w:val="clear" w:color="auto" w:fill="F2DBDB" w:themeFill="accent2" w:themeFillTint="33"/>
            <w:noWrap/>
            <w:vAlign w:val="bottom"/>
            <w:hideMark/>
          </w:tcPr>
          <w:p w14:paraId="0CD98DB5"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172</w:t>
            </w:r>
          </w:p>
        </w:tc>
        <w:tc>
          <w:tcPr>
            <w:tcW w:w="1126" w:type="dxa"/>
            <w:tcBorders>
              <w:top w:val="nil"/>
              <w:left w:val="nil"/>
              <w:bottom w:val="nil"/>
              <w:right w:val="nil"/>
            </w:tcBorders>
            <w:shd w:val="clear" w:color="auto" w:fill="auto"/>
            <w:noWrap/>
            <w:vAlign w:val="bottom"/>
            <w:hideMark/>
          </w:tcPr>
          <w:p w14:paraId="111E02B8"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188</w:t>
            </w:r>
          </w:p>
        </w:tc>
        <w:tc>
          <w:tcPr>
            <w:tcW w:w="1126" w:type="dxa"/>
            <w:tcBorders>
              <w:top w:val="nil"/>
              <w:left w:val="nil"/>
              <w:bottom w:val="nil"/>
              <w:right w:val="nil"/>
            </w:tcBorders>
            <w:shd w:val="clear" w:color="auto" w:fill="F2DBDB" w:themeFill="accent2" w:themeFillTint="33"/>
            <w:noWrap/>
            <w:vAlign w:val="bottom"/>
            <w:hideMark/>
          </w:tcPr>
          <w:p w14:paraId="475AF588"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201</w:t>
            </w:r>
          </w:p>
        </w:tc>
        <w:tc>
          <w:tcPr>
            <w:tcW w:w="1126" w:type="dxa"/>
            <w:tcBorders>
              <w:top w:val="nil"/>
              <w:left w:val="nil"/>
              <w:bottom w:val="nil"/>
              <w:right w:val="nil"/>
            </w:tcBorders>
            <w:shd w:val="clear" w:color="auto" w:fill="auto"/>
            <w:noWrap/>
            <w:vAlign w:val="bottom"/>
            <w:hideMark/>
          </w:tcPr>
          <w:p w14:paraId="078A2E16"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207</w:t>
            </w:r>
          </w:p>
        </w:tc>
        <w:tc>
          <w:tcPr>
            <w:tcW w:w="1127" w:type="dxa"/>
            <w:tcBorders>
              <w:top w:val="nil"/>
              <w:left w:val="nil"/>
              <w:bottom w:val="nil"/>
              <w:right w:val="single" w:sz="4" w:space="0" w:color="auto"/>
            </w:tcBorders>
            <w:shd w:val="clear" w:color="auto" w:fill="F2DBDB" w:themeFill="accent2" w:themeFillTint="33"/>
            <w:noWrap/>
            <w:vAlign w:val="bottom"/>
            <w:hideMark/>
          </w:tcPr>
          <w:p w14:paraId="5B16C700"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297</w:t>
            </w:r>
          </w:p>
        </w:tc>
        <w:tc>
          <w:tcPr>
            <w:tcW w:w="1275" w:type="dxa"/>
            <w:tcBorders>
              <w:top w:val="nil"/>
              <w:left w:val="nil"/>
              <w:bottom w:val="nil"/>
              <w:right w:val="single" w:sz="4" w:space="0" w:color="auto"/>
            </w:tcBorders>
            <w:shd w:val="clear" w:color="auto" w:fill="auto"/>
          </w:tcPr>
          <w:p w14:paraId="13DD3002" w14:textId="77777777" w:rsidR="007944E9" w:rsidRPr="005D61DD" w:rsidRDefault="007944E9"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13%</w:t>
            </w:r>
          </w:p>
        </w:tc>
      </w:tr>
      <w:tr w:rsidR="007944E9" w:rsidRPr="005D61DD" w14:paraId="60125F28" w14:textId="77777777" w:rsidTr="00C84E96">
        <w:trPr>
          <w:trHeight w:val="204"/>
        </w:trPr>
        <w:tc>
          <w:tcPr>
            <w:tcW w:w="2221" w:type="dxa"/>
            <w:tcBorders>
              <w:top w:val="nil"/>
              <w:left w:val="single" w:sz="4" w:space="0" w:color="auto"/>
              <w:bottom w:val="nil"/>
              <w:right w:val="nil"/>
            </w:tcBorders>
            <w:shd w:val="clear" w:color="auto" w:fill="F2DBDB" w:themeFill="accent2" w:themeFillTint="33"/>
            <w:noWrap/>
            <w:hideMark/>
          </w:tcPr>
          <w:p w14:paraId="110DD665" w14:textId="77777777" w:rsidR="007944E9" w:rsidRPr="005D61DD" w:rsidRDefault="007944E9"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Nurses</w:t>
            </w:r>
          </w:p>
        </w:tc>
        <w:tc>
          <w:tcPr>
            <w:tcW w:w="1126" w:type="dxa"/>
            <w:tcBorders>
              <w:top w:val="nil"/>
              <w:left w:val="nil"/>
              <w:bottom w:val="nil"/>
              <w:right w:val="nil"/>
            </w:tcBorders>
            <w:shd w:val="clear" w:color="auto" w:fill="auto"/>
            <w:noWrap/>
            <w:vAlign w:val="bottom"/>
            <w:hideMark/>
          </w:tcPr>
          <w:p w14:paraId="5AE69A03"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398</w:t>
            </w:r>
          </w:p>
        </w:tc>
        <w:tc>
          <w:tcPr>
            <w:tcW w:w="1126" w:type="dxa"/>
            <w:tcBorders>
              <w:top w:val="nil"/>
              <w:left w:val="nil"/>
              <w:bottom w:val="nil"/>
              <w:right w:val="nil"/>
            </w:tcBorders>
            <w:shd w:val="clear" w:color="auto" w:fill="F2DBDB" w:themeFill="accent2" w:themeFillTint="33"/>
            <w:noWrap/>
            <w:vAlign w:val="bottom"/>
            <w:hideMark/>
          </w:tcPr>
          <w:p w14:paraId="5BAF3D34"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418</w:t>
            </w:r>
          </w:p>
        </w:tc>
        <w:tc>
          <w:tcPr>
            <w:tcW w:w="1126" w:type="dxa"/>
            <w:tcBorders>
              <w:top w:val="nil"/>
              <w:left w:val="nil"/>
              <w:bottom w:val="nil"/>
              <w:right w:val="nil"/>
            </w:tcBorders>
            <w:shd w:val="clear" w:color="auto" w:fill="auto"/>
            <w:noWrap/>
            <w:vAlign w:val="bottom"/>
            <w:hideMark/>
          </w:tcPr>
          <w:p w14:paraId="6CCBE51B"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450</w:t>
            </w:r>
          </w:p>
        </w:tc>
        <w:tc>
          <w:tcPr>
            <w:tcW w:w="1126" w:type="dxa"/>
            <w:tcBorders>
              <w:top w:val="nil"/>
              <w:left w:val="nil"/>
              <w:bottom w:val="nil"/>
              <w:right w:val="nil"/>
            </w:tcBorders>
            <w:shd w:val="clear" w:color="auto" w:fill="F2DBDB" w:themeFill="accent2" w:themeFillTint="33"/>
            <w:noWrap/>
            <w:vAlign w:val="bottom"/>
            <w:hideMark/>
          </w:tcPr>
          <w:p w14:paraId="65212841"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390</w:t>
            </w:r>
          </w:p>
        </w:tc>
        <w:tc>
          <w:tcPr>
            <w:tcW w:w="1126" w:type="dxa"/>
            <w:tcBorders>
              <w:top w:val="nil"/>
              <w:left w:val="nil"/>
              <w:bottom w:val="nil"/>
              <w:right w:val="nil"/>
            </w:tcBorders>
            <w:shd w:val="clear" w:color="auto" w:fill="auto"/>
            <w:noWrap/>
            <w:vAlign w:val="bottom"/>
            <w:hideMark/>
          </w:tcPr>
          <w:p w14:paraId="441231BC"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393</w:t>
            </w:r>
          </w:p>
        </w:tc>
        <w:tc>
          <w:tcPr>
            <w:tcW w:w="1126" w:type="dxa"/>
            <w:tcBorders>
              <w:top w:val="nil"/>
              <w:left w:val="nil"/>
              <w:bottom w:val="nil"/>
              <w:right w:val="nil"/>
            </w:tcBorders>
            <w:shd w:val="clear" w:color="auto" w:fill="F2DBDB" w:themeFill="accent2" w:themeFillTint="33"/>
            <w:noWrap/>
            <w:vAlign w:val="bottom"/>
            <w:hideMark/>
          </w:tcPr>
          <w:p w14:paraId="090AD743"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369</w:t>
            </w:r>
          </w:p>
        </w:tc>
        <w:tc>
          <w:tcPr>
            <w:tcW w:w="1126" w:type="dxa"/>
            <w:tcBorders>
              <w:top w:val="nil"/>
              <w:left w:val="nil"/>
              <w:bottom w:val="nil"/>
              <w:right w:val="nil"/>
            </w:tcBorders>
            <w:shd w:val="clear" w:color="auto" w:fill="auto"/>
            <w:noWrap/>
            <w:vAlign w:val="bottom"/>
            <w:hideMark/>
          </w:tcPr>
          <w:p w14:paraId="7FF0D045"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331</w:t>
            </w:r>
          </w:p>
        </w:tc>
        <w:tc>
          <w:tcPr>
            <w:tcW w:w="1126" w:type="dxa"/>
            <w:tcBorders>
              <w:top w:val="nil"/>
              <w:left w:val="nil"/>
              <w:bottom w:val="nil"/>
              <w:right w:val="nil"/>
            </w:tcBorders>
            <w:shd w:val="clear" w:color="auto" w:fill="F2DBDB" w:themeFill="accent2" w:themeFillTint="33"/>
            <w:noWrap/>
            <w:vAlign w:val="bottom"/>
            <w:hideMark/>
          </w:tcPr>
          <w:p w14:paraId="5472EA57"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371</w:t>
            </w:r>
          </w:p>
        </w:tc>
        <w:tc>
          <w:tcPr>
            <w:tcW w:w="1126" w:type="dxa"/>
            <w:tcBorders>
              <w:top w:val="nil"/>
              <w:left w:val="nil"/>
              <w:bottom w:val="nil"/>
              <w:right w:val="nil"/>
            </w:tcBorders>
            <w:shd w:val="clear" w:color="auto" w:fill="auto"/>
            <w:noWrap/>
            <w:vAlign w:val="bottom"/>
            <w:hideMark/>
          </w:tcPr>
          <w:p w14:paraId="5794EE6F"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451</w:t>
            </w:r>
          </w:p>
        </w:tc>
        <w:tc>
          <w:tcPr>
            <w:tcW w:w="1127" w:type="dxa"/>
            <w:tcBorders>
              <w:top w:val="nil"/>
              <w:left w:val="nil"/>
              <w:bottom w:val="nil"/>
              <w:right w:val="single" w:sz="4" w:space="0" w:color="auto"/>
            </w:tcBorders>
            <w:shd w:val="clear" w:color="auto" w:fill="F2DBDB" w:themeFill="accent2" w:themeFillTint="33"/>
            <w:noWrap/>
            <w:vAlign w:val="bottom"/>
            <w:hideMark/>
          </w:tcPr>
          <w:p w14:paraId="078C0892"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470</w:t>
            </w:r>
          </w:p>
        </w:tc>
        <w:tc>
          <w:tcPr>
            <w:tcW w:w="1275" w:type="dxa"/>
            <w:tcBorders>
              <w:top w:val="nil"/>
              <w:left w:val="nil"/>
              <w:bottom w:val="nil"/>
              <w:right w:val="single" w:sz="4" w:space="0" w:color="auto"/>
            </w:tcBorders>
            <w:shd w:val="clear" w:color="auto" w:fill="auto"/>
          </w:tcPr>
          <w:p w14:paraId="22318043" w14:textId="77777777" w:rsidR="007944E9" w:rsidRPr="005D61DD" w:rsidRDefault="007944E9"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18%</w:t>
            </w:r>
          </w:p>
        </w:tc>
      </w:tr>
      <w:tr w:rsidR="007944E9" w:rsidRPr="005D61DD" w14:paraId="006264C6" w14:textId="77777777" w:rsidTr="00C84E96">
        <w:trPr>
          <w:trHeight w:val="204"/>
        </w:trPr>
        <w:tc>
          <w:tcPr>
            <w:tcW w:w="2221" w:type="dxa"/>
            <w:tcBorders>
              <w:top w:val="nil"/>
              <w:left w:val="single" w:sz="4" w:space="0" w:color="auto"/>
              <w:bottom w:val="nil"/>
              <w:right w:val="nil"/>
            </w:tcBorders>
            <w:shd w:val="clear" w:color="auto" w:fill="F2DBDB" w:themeFill="accent2" w:themeFillTint="33"/>
            <w:noWrap/>
            <w:hideMark/>
          </w:tcPr>
          <w:p w14:paraId="3BD9730C" w14:textId="77777777" w:rsidR="007944E9" w:rsidRPr="005D61DD" w:rsidRDefault="007944E9"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Police</w:t>
            </w:r>
          </w:p>
        </w:tc>
        <w:tc>
          <w:tcPr>
            <w:tcW w:w="1126" w:type="dxa"/>
            <w:tcBorders>
              <w:top w:val="nil"/>
              <w:left w:val="nil"/>
              <w:bottom w:val="nil"/>
              <w:right w:val="nil"/>
            </w:tcBorders>
            <w:shd w:val="clear" w:color="auto" w:fill="auto"/>
            <w:noWrap/>
            <w:vAlign w:val="bottom"/>
            <w:hideMark/>
          </w:tcPr>
          <w:p w14:paraId="201F7452"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1751</w:t>
            </w:r>
          </w:p>
        </w:tc>
        <w:tc>
          <w:tcPr>
            <w:tcW w:w="1126" w:type="dxa"/>
            <w:tcBorders>
              <w:top w:val="nil"/>
              <w:left w:val="nil"/>
              <w:bottom w:val="nil"/>
              <w:right w:val="nil"/>
            </w:tcBorders>
            <w:shd w:val="clear" w:color="auto" w:fill="F2DBDB" w:themeFill="accent2" w:themeFillTint="33"/>
            <w:noWrap/>
            <w:vAlign w:val="bottom"/>
            <w:hideMark/>
          </w:tcPr>
          <w:p w14:paraId="71BE22E9"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1921</w:t>
            </w:r>
          </w:p>
        </w:tc>
        <w:tc>
          <w:tcPr>
            <w:tcW w:w="1126" w:type="dxa"/>
            <w:tcBorders>
              <w:top w:val="nil"/>
              <w:left w:val="nil"/>
              <w:bottom w:val="nil"/>
              <w:right w:val="nil"/>
            </w:tcBorders>
            <w:shd w:val="clear" w:color="auto" w:fill="auto"/>
            <w:noWrap/>
            <w:vAlign w:val="bottom"/>
            <w:hideMark/>
          </w:tcPr>
          <w:p w14:paraId="264E3C88"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1847</w:t>
            </w:r>
          </w:p>
        </w:tc>
        <w:tc>
          <w:tcPr>
            <w:tcW w:w="1126" w:type="dxa"/>
            <w:tcBorders>
              <w:top w:val="nil"/>
              <w:left w:val="nil"/>
              <w:bottom w:val="nil"/>
              <w:right w:val="nil"/>
            </w:tcBorders>
            <w:shd w:val="clear" w:color="auto" w:fill="F2DBDB" w:themeFill="accent2" w:themeFillTint="33"/>
            <w:noWrap/>
            <w:vAlign w:val="bottom"/>
            <w:hideMark/>
          </w:tcPr>
          <w:p w14:paraId="2274F8DC"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1806</w:t>
            </w:r>
          </w:p>
        </w:tc>
        <w:tc>
          <w:tcPr>
            <w:tcW w:w="1126" w:type="dxa"/>
            <w:tcBorders>
              <w:top w:val="nil"/>
              <w:left w:val="nil"/>
              <w:bottom w:val="nil"/>
              <w:right w:val="nil"/>
            </w:tcBorders>
            <w:shd w:val="clear" w:color="auto" w:fill="auto"/>
            <w:noWrap/>
            <w:vAlign w:val="bottom"/>
            <w:hideMark/>
          </w:tcPr>
          <w:p w14:paraId="7C7BE663"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1789</w:t>
            </w:r>
          </w:p>
        </w:tc>
        <w:tc>
          <w:tcPr>
            <w:tcW w:w="1126" w:type="dxa"/>
            <w:tcBorders>
              <w:top w:val="nil"/>
              <w:left w:val="nil"/>
              <w:bottom w:val="nil"/>
              <w:right w:val="nil"/>
            </w:tcBorders>
            <w:shd w:val="clear" w:color="auto" w:fill="F2DBDB" w:themeFill="accent2" w:themeFillTint="33"/>
            <w:noWrap/>
            <w:vAlign w:val="bottom"/>
            <w:hideMark/>
          </w:tcPr>
          <w:p w14:paraId="38425555"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1763</w:t>
            </w:r>
          </w:p>
        </w:tc>
        <w:tc>
          <w:tcPr>
            <w:tcW w:w="1126" w:type="dxa"/>
            <w:tcBorders>
              <w:top w:val="nil"/>
              <w:left w:val="nil"/>
              <w:bottom w:val="nil"/>
              <w:right w:val="nil"/>
            </w:tcBorders>
            <w:shd w:val="clear" w:color="auto" w:fill="auto"/>
            <w:noWrap/>
            <w:vAlign w:val="bottom"/>
            <w:hideMark/>
          </w:tcPr>
          <w:p w14:paraId="63D070F9"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1805</w:t>
            </w:r>
          </w:p>
        </w:tc>
        <w:tc>
          <w:tcPr>
            <w:tcW w:w="1126" w:type="dxa"/>
            <w:tcBorders>
              <w:top w:val="nil"/>
              <w:left w:val="nil"/>
              <w:bottom w:val="nil"/>
              <w:right w:val="nil"/>
            </w:tcBorders>
            <w:shd w:val="clear" w:color="auto" w:fill="F2DBDB" w:themeFill="accent2" w:themeFillTint="33"/>
            <w:noWrap/>
            <w:vAlign w:val="bottom"/>
            <w:hideMark/>
          </w:tcPr>
          <w:p w14:paraId="4E8AEB28"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2325</w:t>
            </w:r>
          </w:p>
        </w:tc>
        <w:tc>
          <w:tcPr>
            <w:tcW w:w="1126" w:type="dxa"/>
            <w:tcBorders>
              <w:top w:val="nil"/>
              <w:left w:val="nil"/>
              <w:bottom w:val="nil"/>
              <w:right w:val="nil"/>
            </w:tcBorders>
            <w:shd w:val="clear" w:color="auto" w:fill="auto"/>
            <w:noWrap/>
            <w:vAlign w:val="bottom"/>
            <w:hideMark/>
          </w:tcPr>
          <w:p w14:paraId="426C2A2F"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2456</w:t>
            </w:r>
          </w:p>
        </w:tc>
        <w:tc>
          <w:tcPr>
            <w:tcW w:w="1127" w:type="dxa"/>
            <w:tcBorders>
              <w:top w:val="nil"/>
              <w:left w:val="nil"/>
              <w:bottom w:val="nil"/>
              <w:right w:val="single" w:sz="4" w:space="0" w:color="auto"/>
            </w:tcBorders>
            <w:shd w:val="clear" w:color="auto" w:fill="F2DBDB" w:themeFill="accent2" w:themeFillTint="33"/>
            <w:noWrap/>
            <w:vAlign w:val="bottom"/>
            <w:hideMark/>
          </w:tcPr>
          <w:p w14:paraId="4A9B1FF2"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3231</w:t>
            </w:r>
          </w:p>
        </w:tc>
        <w:tc>
          <w:tcPr>
            <w:tcW w:w="1275" w:type="dxa"/>
            <w:tcBorders>
              <w:top w:val="nil"/>
              <w:left w:val="nil"/>
              <w:bottom w:val="nil"/>
              <w:right w:val="single" w:sz="4" w:space="0" w:color="auto"/>
            </w:tcBorders>
            <w:shd w:val="clear" w:color="auto" w:fill="auto"/>
          </w:tcPr>
          <w:p w14:paraId="3C255CB5" w14:textId="77777777" w:rsidR="007944E9" w:rsidRPr="005D61DD" w:rsidRDefault="007944E9"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85%</w:t>
            </w:r>
          </w:p>
        </w:tc>
      </w:tr>
      <w:tr w:rsidR="007944E9" w:rsidRPr="005D61DD" w14:paraId="1A9B4D7C" w14:textId="77777777" w:rsidTr="00C84E96">
        <w:trPr>
          <w:trHeight w:val="204"/>
        </w:trPr>
        <w:tc>
          <w:tcPr>
            <w:tcW w:w="2221" w:type="dxa"/>
            <w:tcBorders>
              <w:top w:val="nil"/>
              <w:left w:val="single" w:sz="4" w:space="0" w:color="auto"/>
              <w:bottom w:val="nil"/>
              <w:right w:val="nil"/>
            </w:tcBorders>
            <w:shd w:val="clear" w:color="auto" w:fill="F2DBDB" w:themeFill="accent2" w:themeFillTint="33"/>
            <w:noWrap/>
            <w:hideMark/>
          </w:tcPr>
          <w:p w14:paraId="59C0AB50" w14:textId="77777777" w:rsidR="007944E9" w:rsidRPr="005D61DD" w:rsidRDefault="00AC4C50"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School personnel</w:t>
            </w:r>
          </w:p>
        </w:tc>
        <w:tc>
          <w:tcPr>
            <w:tcW w:w="1126" w:type="dxa"/>
            <w:tcBorders>
              <w:top w:val="nil"/>
              <w:left w:val="nil"/>
              <w:bottom w:val="nil"/>
              <w:right w:val="nil"/>
            </w:tcBorders>
            <w:shd w:val="clear" w:color="auto" w:fill="auto"/>
            <w:noWrap/>
            <w:vAlign w:val="bottom"/>
            <w:hideMark/>
          </w:tcPr>
          <w:p w14:paraId="4F78FC6C"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756</w:t>
            </w:r>
          </w:p>
        </w:tc>
        <w:tc>
          <w:tcPr>
            <w:tcW w:w="1126" w:type="dxa"/>
            <w:tcBorders>
              <w:top w:val="nil"/>
              <w:left w:val="nil"/>
              <w:bottom w:val="nil"/>
              <w:right w:val="nil"/>
            </w:tcBorders>
            <w:shd w:val="clear" w:color="auto" w:fill="F2DBDB" w:themeFill="accent2" w:themeFillTint="33"/>
            <w:noWrap/>
            <w:vAlign w:val="bottom"/>
            <w:hideMark/>
          </w:tcPr>
          <w:p w14:paraId="6F7893B9"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727</w:t>
            </w:r>
          </w:p>
        </w:tc>
        <w:tc>
          <w:tcPr>
            <w:tcW w:w="1126" w:type="dxa"/>
            <w:tcBorders>
              <w:top w:val="nil"/>
              <w:left w:val="nil"/>
              <w:bottom w:val="nil"/>
              <w:right w:val="nil"/>
            </w:tcBorders>
            <w:shd w:val="clear" w:color="auto" w:fill="auto"/>
            <w:noWrap/>
            <w:vAlign w:val="bottom"/>
            <w:hideMark/>
          </w:tcPr>
          <w:p w14:paraId="7FC80DE6"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718</w:t>
            </w:r>
          </w:p>
        </w:tc>
        <w:tc>
          <w:tcPr>
            <w:tcW w:w="1126" w:type="dxa"/>
            <w:tcBorders>
              <w:top w:val="nil"/>
              <w:left w:val="nil"/>
              <w:bottom w:val="nil"/>
              <w:right w:val="nil"/>
            </w:tcBorders>
            <w:shd w:val="clear" w:color="auto" w:fill="F2DBDB" w:themeFill="accent2" w:themeFillTint="33"/>
            <w:noWrap/>
            <w:vAlign w:val="bottom"/>
            <w:hideMark/>
          </w:tcPr>
          <w:p w14:paraId="38CA2DC3"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723</w:t>
            </w:r>
          </w:p>
        </w:tc>
        <w:tc>
          <w:tcPr>
            <w:tcW w:w="1126" w:type="dxa"/>
            <w:tcBorders>
              <w:top w:val="nil"/>
              <w:left w:val="nil"/>
              <w:bottom w:val="nil"/>
              <w:right w:val="nil"/>
            </w:tcBorders>
            <w:shd w:val="clear" w:color="auto" w:fill="auto"/>
            <w:noWrap/>
            <w:vAlign w:val="bottom"/>
            <w:hideMark/>
          </w:tcPr>
          <w:p w14:paraId="3F4A5966"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751</w:t>
            </w:r>
          </w:p>
        </w:tc>
        <w:tc>
          <w:tcPr>
            <w:tcW w:w="1126" w:type="dxa"/>
            <w:tcBorders>
              <w:top w:val="nil"/>
              <w:left w:val="nil"/>
              <w:bottom w:val="nil"/>
              <w:right w:val="nil"/>
            </w:tcBorders>
            <w:shd w:val="clear" w:color="auto" w:fill="F2DBDB" w:themeFill="accent2" w:themeFillTint="33"/>
            <w:noWrap/>
            <w:vAlign w:val="bottom"/>
            <w:hideMark/>
          </w:tcPr>
          <w:p w14:paraId="22546371"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975</w:t>
            </w:r>
          </w:p>
        </w:tc>
        <w:tc>
          <w:tcPr>
            <w:tcW w:w="1126" w:type="dxa"/>
            <w:tcBorders>
              <w:top w:val="nil"/>
              <w:left w:val="nil"/>
              <w:bottom w:val="nil"/>
              <w:right w:val="nil"/>
            </w:tcBorders>
            <w:shd w:val="clear" w:color="auto" w:fill="auto"/>
            <w:noWrap/>
            <w:vAlign w:val="bottom"/>
            <w:hideMark/>
          </w:tcPr>
          <w:p w14:paraId="1A77A12C"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1002</w:t>
            </w:r>
          </w:p>
        </w:tc>
        <w:tc>
          <w:tcPr>
            <w:tcW w:w="1126" w:type="dxa"/>
            <w:tcBorders>
              <w:top w:val="nil"/>
              <w:left w:val="nil"/>
              <w:bottom w:val="nil"/>
              <w:right w:val="nil"/>
            </w:tcBorders>
            <w:shd w:val="clear" w:color="auto" w:fill="F2DBDB" w:themeFill="accent2" w:themeFillTint="33"/>
            <w:noWrap/>
            <w:vAlign w:val="bottom"/>
            <w:hideMark/>
          </w:tcPr>
          <w:p w14:paraId="7A6ED485"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1070</w:t>
            </w:r>
          </w:p>
        </w:tc>
        <w:tc>
          <w:tcPr>
            <w:tcW w:w="1126" w:type="dxa"/>
            <w:tcBorders>
              <w:top w:val="nil"/>
              <w:left w:val="nil"/>
              <w:bottom w:val="nil"/>
              <w:right w:val="nil"/>
            </w:tcBorders>
            <w:shd w:val="clear" w:color="auto" w:fill="auto"/>
            <w:noWrap/>
            <w:vAlign w:val="bottom"/>
            <w:hideMark/>
          </w:tcPr>
          <w:p w14:paraId="08DBF3B9"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1374</w:t>
            </w:r>
          </w:p>
        </w:tc>
        <w:tc>
          <w:tcPr>
            <w:tcW w:w="1127" w:type="dxa"/>
            <w:tcBorders>
              <w:top w:val="nil"/>
              <w:left w:val="nil"/>
              <w:bottom w:val="nil"/>
              <w:right w:val="single" w:sz="4" w:space="0" w:color="auto"/>
            </w:tcBorders>
            <w:shd w:val="clear" w:color="auto" w:fill="F2DBDB" w:themeFill="accent2" w:themeFillTint="33"/>
            <w:noWrap/>
            <w:vAlign w:val="bottom"/>
            <w:hideMark/>
          </w:tcPr>
          <w:p w14:paraId="7921A7FE" w14:textId="77777777" w:rsidR="007944E9" w:rsidRPr="005D61DD" w:rsidRDefault="007944E9" w:rsidP="00CE2FDF">
            <w:pPr>
              <w:spacing w:before="0" w:line="276" w:lineRule="auto"/>
              <w:jc w:val="right"/>
              <w:rPr>
                <w:rFonts w:cs="Arial"/>
                <w:color w:val="000000"/>
                <w:sz w:val="20"/>
                <w:szCs w:val="20"/>
              </w:rPr>
            </w:pPr>
            <w:r w:rsidRPr="005D61DD">
              <w:rPr>
                <w:rFonts w:cs="Arial"/>
                <w:color w:val="000000"/>
                <w:sz w:val="20"/>
                <w:szCs w:val="20"/>
              </w:rPr>
              <w:t>1515</w:t>
            </w:r>
          </w:p>
        </w:tc>
        <w:tc>
          <w:tcPr>
            <w:tcW w:w="1275" w:type="dxa"/>
            <w:tcBorders>
              <w:top w:val="nil"/>
              <w:left w:val="nil"/>
              <w:bottom w:val="nil"/>
              <w:right w:val="single" w:sz="4" w:space="0" w:color="auto"/>
            </w:tcBorders>
            <w:shd w:val="clear" w:color="auto" w:fill="auto"/>
          </w:tcPr>
          <w:p w14:paraId="1B36A66C" w14:textId="77777777" w:rsidR="007944E9" w:rsidRPr="005D61DD" w:rsidRDefault="006455FB"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100</w:t>
            </w:r>
            <w:r w:rsidR="007944E9" w:rsidRPr="005D61DD">
              <w:rPr>
                <w:rFonts w:eastAsia="Times New Roman" w:cs="Arial"/>
                <w:b/>
                <w:color w:val="000000"/>
                <w:sz w:val="20"/>
                <w:szCs w:val="20"/>
                <w:lang w:eastAsia="en-AU"/>
              </w:rPr>
              <w:t>%</w:t>
            </w:r>
          </w:p>
        </w:tc>
      </w:tr>
      <w:tr w:rsidR="001635B1" w:rsidRPr="005D61DD" w14:paraId="65E8AA7A" w14:textId="77777777" w:rsidTr="00C84E96">
        <w:trPr>
          <w:trHeight w:val="204"/>
        </w:trPr>
        <w:tc>
          <w:tcPr>
            <w:tcW w:w="2221" w:type="dxa"/>
            <w:tcBorders>
              <w:top w:val="nil"/>
              <w:left w:val="single" w:sz="4" w:space="0" w:color="auto"/>
              <w:bottom w:val="nil"/>
              <w:right w:val="nil"/>
            </w:tcBorders>
            <w:shd w:val="clear" w:color="auto" w:fill="F2DBDB" w:themeFill="accent2" w:themeFillTint="33"/>
            <w:noWrap/>
            <w:hideMark/>
          </w:tcPr>
          <w:p w14:paraId="52F85621" w14:textId="77777777" w:rsidR="001635B1" w:rsidRPr="005D61DD" w:rsidRDefault="001635B1"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Psychiatrists</w:t>
            </w:r>
          </w:p>
        </w:tc>
        <w:tc>
          <w:tcPr>
            <w:tcW w:w="1126" w:type="dxa"/>
            <w:tcBorders>
              <w:top w:val="nil"/>
              <w:left w:val="nil"/>
              <w:bottom w:val="nil"/>
              <w:right w:val="nil"/>
            </w:tcBorders>
            <w:shd w:val="clear" w:color="auto" w:fill="auto"/>
            <w:noWrap/>
            <w:vAlign w:val="bottom"/>
            <w:hideMark/>
          </w:tcPr>
          <w:p w14:paraId="1C0CFFCA"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43</w:t>
            </w:r>
          </w:p>
        </w:tc>
        <w:tc>
          <w:tcPr>
            <w:tcW w:w="1126" w:type="dxa"/>
            <w:tcBorders>
              <w:top w:val="nil"/>
              <w:left w:val="nil"/>
              <w:bottom w:val="nil"/>
              <w:right w:val="nil"/>
            </w:tcBorders>
            <w:shd w:val="clear" w:color="auto" w:fill="F2DBDB" w:themeFill="accent2" w:themeFillTint="33"/>
            <w:noWrap/>
            <w:vAlign w:val="bottom"/>
            <w:hideMark/>
          </w:tcPr>
          <w:p w14:paraId="39BDAD05"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63</w:t>
            </w:r>
          </w:p>
        </w:tc>
        <w:tc>
          <w:tcPr>
            <w:tcW w:w="1126" w:type="dxa"/>
            <w:tcBorders>
              <w:top w:val="nil"/>
              <w:left w:val="nil"/>
              <w:bottom w:val="nil"/>
              <w:right w:val="nil"/>
            </w:tcBorders>
            <w:shd w:val="clear" w:color="auto" w:fill="auto"/>
            <w:noWrap/>
            <w:vAlign w:val="bottom"/>
            <w:hideMark/>
          </w:tcPr>
          <w:p w14:paraId="3CA35AFB"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29</w:t>
            </w:r>
          </w:p>
        </w:tc>
        <w:tc>
          <w:tcPr>
            <w:tcW w:w="1126" w:type="dxa"/>
            <w:tcBorders>
              <w:top w:val="nil"/>
              <w:left w:val="nil"/>
              <w:bottom w:val="nil"/>
              <w:right w:val="nil"/>
            </w:tcBorders>
            <w:shd w:val="clear" w:color="auto" w:fill="F2DBDB" w:themeFill="accent2" w:themeFillTint="33"/>
            <w:noWrap/>
            <w:vAlign w:val="bottom"/>
            <w:hideMark/>
          </w:tcPr>
          <w:p w14:paraId="61E61191"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40</w:t>
            </w:r>
          </w:p>
        </w:tc>
        <w:tc>
          <w:tcPr>
            <w:tcW w:w="1126" w:type="dxa"/>
            <w:tcBorders>
              <w:top w:val="nil"/>
              <w:left w:val="nil"/>
              <w:bottom w:val="nil"/>
              <w:right w:val="nil"/>
            </w:tcBorders>
            <w:shd w:val="clear" w:color="auto" w:fill="auto"/>
            <w:noWrap/>
            <w:vAlign w:val="bottom"/>
            <w:hideMark/>
          </w:tcPr>
          <w:p w14:paraId="523CE554"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30</w:t>
            </w:r>
          </w:p>
        </w:tc>
        <w:tc>
          <w:tcPr>
            <w:tcW w:w="1126" w:type="dxa"/>
            <w:tcBorders>
              <w:top w:val="nil"/>
              <w:left w:val="nil"/>
              <w:bottom w:val="nil"/>
              <w:right w:val="nil"/>
            </w:tcBorders>
            <w:shd w:val="clear" w:color="auto" w:fill="F2DBDB" w:themeFill="accent2" w:themeFillTint="33"/>
            <w:noWrap/>
            <w:vAlign w:val="bottom"/>
            <w:hideMark/>
          </w:tcPr>
          <w:p w14:paraId="0536B8D0"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27</w:t>
            </w:r>
          </w:p>
        </w:tc>
        <w:tc>
          <w:tcPr>
            <w:tcW w:w="1126" w:type="dxa"/>
            <w:tcBorders>
              <w:top w:val="nil"/>
              <w:left w:val="nil"/>
              <w:bottom w:val="nil"/>
              <w:right w:val="nil"/>
            </w:tcBorders>
            <w:shd w:val="clear" w:color="auto" w:fill="auto"/>
            <w:noWrap/>
            <w:vAlign w:val="bottom"/>
            <w:hideMark/>
          </w:tcPr>
          <w:p w14:paraId="1F5CA941"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38</w:t>
            </w:r>
          </w:p>
        </w:tc>
        <w:tc>
          <w:tcPr>
            <w:tcW w:w="1126" w:type="dxa"/>
            <w:tcBorders>
              <w:top w:val="nil"/>
              <w:left w:val="nil"/>
              <w:bottom w:val="nil"/>
              <w:right w:val="nil"/>
            </w:tcBorders>
            <w:shd w:val="clear" w:color="auto" w:fill="F2DBDB" w:themeFill="accent2" w:themeFillTint="33"/>
            <w:noWrap/>
            <w:vAlign w:val="bottom"/>
            <w:hideMark/>
          </w:tcPr>
          <w:p w14:paraId="40D5E41A"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46</w:t>
            </w:r>
          </w:p>
        </w:tc>
        <w:tc>
          <w:tcPr>
            <w:tcW w:w="1126" w:type="dxa"/>
            <w:tcBorders>
              <w:top w:val="nil"/>
              <w:left w:val="nil"/>
              <w:bottom w:val="nil"/>
              <w:right w:val="nil"/>
            </w:tcBorders>
            <w:shd w:val="clear" w:color="auto" w:fill="auto"/>
            <w:noWrap/>
            <w:vAlign w:val="bottom"/>
            <w:hideMark/>
          </w:tcPr>
          <w:p w14:paraId="689C89D7"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34</w:t>
            </w:r>
          </w:p>
        </w:tc>
        <w:tc>
          <w:tcPr>
            <w:tcW w:w="1127" w:type="dxa"/>
            <w:tcBorders>
              <w:top w:val="nil"/>
              <w:left w:val="nil"/>
              <w:bottom w:val="nil"/>
              <w:right w:val="single" w:sz="4" w:space="0" w:color="auto"/>
            </w:tcBorders>
            <w:shd w:val="clear" w:color="auto" w:fill="F2DBDB" w:themeFill="accent2" w:themeFillTint="33"/>
            <w:noWrap/>
            <w:vAlign w:val="bottom"/>
            <w:hideMark/>
          </w:tcPr>
          <w:p w14:paraId="5860F97C"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23</w:t>
            </w:r>
          </w:p>
        </w:tc>
        <w:tc>
          <w:tcPr>
            <w:tcW w:w="1275" w:type="dxa"/>
            <w:tcBorders>
              <w:top w:val="nil"/>
              <w:left w:val="nil"/>
              <w:bottom w:val="nil"/>
              <w:right w:val="single" w:sz="4" w:space="0" w:color="auto"/>
            </w:tcBorders>
            <w:shd w:val="clear" w:color="auto" w:fill="auto"/>
          </w:tcPr>
          <w:p w14:paraId="1B4FF7F8" w14:textId="77777777" w:rsidR="001635B1" w:rsidRPr="005D61DD" w:rsidRDefault="001635B1"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-47%</w:t>
            </w:r>
          </w:p>
        </w:tc>
      </w:tr>
      <w:tr w:rsidR="005D61DD" w:rsidRPr="005D61DD" w14:paraId="31D47D50" w14:textId="77777777" w:rsidTr="00C84E96">
        <w:trPr>
          <w:trHeight w:val="204"/>
        </w:trPr>
        <w:tc>
          <w:tcPr>
            <w:tcW w:w="2221" w:type="dxa"/>
            <w:tcBorders>
              <w:top w:val="nil"/>
              <w:left w:val="single" w:sz="4" w:space="0" w:color="auto"/>
              <w:bottom w:val="nil"/>
              <w:right w:val="nil"/>
            </w:tcBorders>
            <w:shd w:val="clear" w:color="auto" w:fill="F2DBDB" w:themeFill="accent2" w:themeFillTint="33"/>
            <w:noWrap/>
            <w:hideMark/>
          </w:tcPr>
          <w:p w14:paraId="29E0EBCE" w14:textId="77777777" w:rsidR="005D61DD" w:rsidRPr="005D61DD" w:rsidRDefault="005D61DD"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Major mandated reporter groups combined</w:t>
            </w:r>
          </w:p>
        </w:tc>
        <w:tc>
          <w:tcPr>
            <w:tcW w:w="1126" w:type="dxa"/>
            <w:tcBorders>
              <w:top w:val="nil"/>
              <w:left w:val="nil"/>
              <w:bottom w:val="nil"/>
              <w:right w:val="nil"/>
            </w:tcBorders>
            <w:shd w:val="clear" w:color="auto" w:fill="auto"/>
            <w:noWrap/>
            <w:vAlign w:val="bottom"/>
            <w:hideMark/>
          </w:tcPr>
          <w:p w14:paraId="34C2FD60"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3212</w:t>
            </w:r>
          </w:p>
        </w:tc>
        <w:tc>
          <w:tcPr>
            <w:tcW w:w="1126" w:type="dxa"/>
            <w:tcBorders>
              <w:top w:val="nil"/>
              <w:left w:val="nil"/>
              <w:bottom w:val="nil"/>
              <w:right w:val="nil"/>
            </w:tcBorders>
            <w:shd w:val="clear" w:color="auto" w:fill="F2DBDB" w:themeFill="accent2" w:themeFillTint="33"/>
            <w:noWrap/>
            <w:vAlign w:val="bottom"/>
            <w:hideMark/>
          </w:tcPr>
          <w:p w14:paraId="377F26EA"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3347</w:t>
            </w:r>
          </w:p>
        </w:tc>
        <w:tc>
          <w:tcPr>
            <w:tcW w:w="1126" w:type="dxa"/>
            <w:tcBorders>
              <w:top w:val="nil"/>
              <w:left w:val="nil"/>
              <w:bottom w:val="nil"/>
              <w:right w:val="nil"/>
            </w:tcBorders>
            <w:shd w:val="clear" w:color="auto" w:fill="auto"/>
            <w:noWrap/>
            <w:vAlign w:val="bottom"/>
            <w:hideMark/>
          </w:tcPr>
          <w:p w14:paraId="2404AD16"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3254</w:t>
            </w:r>
          </w:p>
        </w:tc>
        <w:tc>
          <w:tcPr>
            <w:tcW w:w="1126" w:type="dxa"/>
            <w:tcBorders>
              <w:top w:val="nil"/>
              <w:left w:val="nil"/>
              <w:bottom w:val="nil"/>
              <w:right w:val="nil"/>
            </w:tcBorders>
            <w:shd w:val="clear" w:color="auto" w:fill="F2DBDB" w:themeFill="accent2" w:themeFillTint="33"/>
            <w:noWrap/>
            <w:vAlign w:val="bottom"/>
            <w:hideMark/>
          </w:tcPr>
          <w:p w14:paraId="6270E2CE"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3163</w:t>
            </w:r>
          </w:p>
        </w:tc>
        <w:tc>
          <w:tcPr>
            <w:tcW w:w="1126" w:type="dxa"/>
            <w:tcBorders>
              <w:top w:val="nil"/>
              <w:left w:val="nil"/>
              <w:bottom w:val="nil"/>
              <w:right w:val="nil"/>
            </w:tcBorders>
            <w:shd w:val="clear" w:color="auto" w:fill="auto"/>
            <w:noWrap/>
            <w:vAlign w:val="bottom"/>
            <w:hideMark/>
          </w:tcPr>
          <w:p w14:paraId="1FB9F36C"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3171</w:t>
            </w:r>
          </w:p>
        </w:tc>
        <w:tc>
          <w:tcPr>
            <w:tcW w:w="1126" w:type="dxa"/>
            <w:tcBorders>
              <w:top w:val="nil"/>
              <w:left w:val="nil"/>
              <w:bottom w:val="nil"/>
              <w:right w:val="nil"/>
            </w:tcBorders>
            <w:shd w:val="clear" w:color="auto" w:fill="F2DBDB" w:themeFill="accent2" w:themeFillTint="33"/>
            <w:noWrap/>
            <w:vAlign w:val="bottom"/>
            <w:hideMark/>
          </w:tcPr>
          <w:p w14:paraId="3BBC3001"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3306</w:t>
            </w:r>
          </w:p>
        </w:tc>
        <w:tc>
          <w:tcPr>
            <w:tcW w:w="1126" w:type="dxa"/>
            <w:tcBorders>
              <w:top w:val="nil"/>
              <w:left w:val="nil"/>
              <w:bottom w:val="nil"/>
              <w:right w:val="nil"/>
            </w:tcBorders>
            <w:shd w:val="clear" w:color="auto" w:fill="auto"/>
            <w:noWrap/>
            <w:vAlign w:val="bottom"/>
            <w:hideMark/>
          </w:tcPr>
          <w:p w14:paraId="3D8A71ED"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3364</w:t>
            </w:r>
          </w:p>
        </w:tc>
        <w:tc>
          <w:tcPr>
            <w:tcW w:w="1126" w:type="dxa"/>
            <w:tcBorders>
              <w:top w:val="nil"/>
              <w:left w:val="nil"/>
              <w:bottom w:val="nil"/>
              <w:right w:val="nil"/>
            </w:tcBorders>
            <w:shd w:val="clear" w:color="auto" w:fill="F2DBDB" w:themeFill="accent2" w:themeFillTint="33"/>
            <w:noWrap/>
            <w:vAlign w:val="bottom"/>
            <w:hideMark/>
          </w:tcPr>
          <w:p w14:paraId="03416998"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4013</w:t>
            </w:r>
          </w:p>
        </w:tc>
        <w:tc>
          <w:tcPr>
            <w:tcW w:w="1126" w:type="dxa"/>
            <w:tcBorders>
              <w:top w:val="nil"/>
              <w:left w:val="nil"/>
              <w:bottom w:val="nil"/>
              <w:right w:val="nil"/>
            </w:tcBorders>
            <w:shd w:val="clear" w:color="auto" w:fill="auto"/>
            <w:noWrap/>
            <w:vAlign w:val="bottom"/>
            <w:hideMark/>
          </w:tcPr>
          <w:p w14:paraId="7F7C8D2F"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4522</w:t>
            </w:r>
          </w:p>
        </w:tc>
        <w:tc>
          <w:tcPr>
            <w:tcW w:w="1127" w:type="dxa"/>
            <w:tcBorders>
              <w:top w:val="nil"/>
              <w:left w:val="nil"/>
              <w:bottom w:val="nil"/>
              <w:right w:val="single" w:sz="4" w:space="0" w:color="auto"/>
            </w:tcBorders>
            <w:shd w:val="clear" w:color="auto" w:fill="F2DBDB" w:themeFill="accent2" w:themeFillTint="33"/>
            <w:noWrap/>
            <w:vAlign w:val="bottom"/>
            <w:hideMark/>
          </w:tcPr>
          <w:p w14:paraId="68414148"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5536</w:t>
            </w:r>
          </w:p>
        </w:tc>
        <w:tc>
          <w:tcPr>
            <w:tcW w:w="1275" w:type="dxa"/>
            <w:tcBorders>
              <w:top w:val="nil"/>
              <w:left w:val="nil"/>
              <w:bottom w:val="nil"/>
              <w:right w:val="single" w:sz="4" w:space="0" w:color="auto"/>
            </w:tcBorders>
            <w:shd w:val="clear" w:color="auto" w:fill="auto"/>
          </w:tcPr>
          <w:p w14:paraId="2A7245A4" w14:textId="77777777" w:rsidR="005D61DD" w:rsidRPr="005D61DD" w:rsidRDefault="005D61DD" w:rsidP="00CE2FDF">
            <w:pPr>
              <w:spacing w:before="0" w:line="276" w:lineRule="auto"/>
              <w:jc w:val="right"/>
              <w:rPr>
                <w:rFonts w:eastAsia="Times New Roman" w:cs="Arial"/>
                <w:b/>
                <w:color w:val="000000"/>
                <w:sz w:val="20"/>
                <w:szCs w:val="20"/>
                <w:lang w:eastAsia="en-AU"/>
              </w:rPr>
            </w:pPr>
          </w:p>
          <w:p w14:paraId="7CE68049" w14:textId="77777777" w:rsidR="005D61DD" w:rsidRPr="005D61DD" w:rsidRDefault="005D61DD"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72%</w:t>
            </w:r>
          </w:p>
        </w:tc>
      </w:tr>
      <w:tr w:rsidR="005D61DD" w:rsidRPr="005D61DD" w14:paraId="66B0DEBA" w14:textId="77777777" w:rsidTr="00C84E96">
        <w:trPr>
          <w:trHeight w:val="204"/>
        </w:trPr>
        <w:tc>
          <w:tcPr>
            <w:tcW w:w="2221" w:type="dxa"/>
            <w:tcBorders>
              <w:top w:val="nil"/>
              <w:left w:val="single" w:sz="4" w:space="0" w:color="auto"/>
              <w:bottom w:val="nil"/>
              <w:right w:val="nil"/>
            </w:tcBorders>
            <w:shd w:val="clear" w:color="auto" w:fill="F2DBDB" w:themeFill="accent2" w:themeFillTint="33"/>
            <w:noWrap/>
            <w:hideMark/>
          </w:tcPr>
          <w:p w14:paraId="3FD8253A" w14:textId="77777777" w:rsidR="005D61DD" w:rsidRPr="005D61DD" w:rsidRDefault="005D61DD"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Other reporter groups combined</w:t>
            </w:r>
          </w:p>
        </w:tc>
        <w:tc>
          <w:tcPr>
            <w:tcW w:w="1126" w:type="dxa"/>
            <w:tcBorders>
              <w:top w:val="nil"/>
              <w:left w:val="nil"/>
              <w:bottom w:val="nil"/>
              <w:right w:val="nil"/>
            </w:tcBorders>
            <w:shd w:val="clear" w:color="auto" w:fill="auto"/>
            <w:noWrap/>
            <w:vAlign w:val="bottom"/>
            <w:hideMark/>
          </w:tcPr>
          <w:p w14:paraId="621900A1"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4199</w:t>
            </w:r>
          </w:p>
        </w:tc>
        <w:tc>
          <w:tcPr>
            <w:tcW w:w="1126" w:type="dxa"/>
            <w:tcBorders>
              <w:top w:val="nil"/>
              <w:left w:val="nil"/>
              <w:bottom w:val="nil"/>
              <w:right w:val="nil"/>
            </w:tcBorders>
            <w:shd w:val="clear" w:color="auto" w:fill="F2DBDB" w:themeFill="accent2" w:themeFillTint="33"/>
            <w:noWrap/>
            <w:vAlign w:val="bottom"/>
            <w:hideMark/>
          </w:tcPr>
          <w:p w14:paraId="743A032A"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4565</w:t>
            </w:r>
          </w:p>
        </w:tc>
        <w:tc>
          <w:tcPr>
            <w:tcW w:w="1126" w:type="dxa"/>
            <w:tcBorders>
              <w:top w:val="nil"/>
              <w:left w:val="nil"/>
              <w:bottom w:val="nil"/>
              <w:right w:val="nil"/>
            </w:tcBorders>
            <w:shd w:val="clear" w:color="auto" w:fill="auto"/>
            <w:noWrap/>
            <w:vAlign w:val="bottom"/>
            <w:hideMark/>
          </w:tcPr>
          <w:p w14:paraId="70986AED"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4250</w:t>
            </w:r>
          </w:p>
        </w:tc>
        <w:tc>
          <w:tcPr>
            <w:tcW w:w="1126" w:type="dxa"/>
            <w:tcBorders>
              <w:top w:val="nil"/>
              <w:left w:val="nil"/>
              <w:bottom w:val="nil"/>
              <w:right w:val="nil"/>
            </w:tcBorders>
            <w:shd w:val="clear" w:color="auto" w:fill="F2DBDB" w:themeFill="accent2" w:themeFillTint="33"/>
            <w:noWrap/>
            <w:vAlign w:val="bottom"/>
            <w:hideMark/>
          </w:tcPr>
          <w:p w14:paraId="224AEBED"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4325</w:t>
            </w:r>
          </w:p>
        </w:tc>
        <w:tc>
          <w:tcPr>
            <w:tcW w:w="1126" w:type="dxa"/>
            <w:tcBorders>
              <w:top w:val="nil"/>
              <w:left w:val="nil"/>
              <w:bottom w:val="nil"/>
              <w:right w:val="nil"/>
            </w:tcBorders>
            <w:shd w:val="clear" w:color="auto" w:fill="auto"/>
            <w:noWrap/>
            <w:vAlign w:val="bottom"/>
            <w:hideMark/>
          </w:tcPr>
          <w:p w14:paraId="2F49B73E"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3961</w:t>
            </w:r>
          </w:p>
        </w:tc>
        <w:tc>
          <w:tcPr>
            <w:tcW w:w="1126" w:type="dxa"/>
            <w:tcBorders>
              <w:top w:val="nil"/>
              <w:left w:val="nil"/>
              <w:bottom w:val="nil"/>
              <w:right w:val="nil"/>
            </w:tcBorders>
            <w:shd w:val="clear" w:color="auto" w:fill="F2DBDB" w:themeFill="accent2" w:themeFillTint="33"/>
            <w:noWrap/>
            <w:vAlign w:val="bottom"/>
            <w:hideMark/>
          </w:tcPr>
          <w:p w14:paraId="3A079EB0"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3713</w:t>
            </w:r>
          </w:p>
        </w:tc>
        <w:tc>
          <w:tcPr>
            <w:tcW w:w="1126" w:type="dxa"/>
            <w:tcBorders>
              <w:top w:val="nil"/>
              <w:left w:val="nil"/>
              <w:bottom w:val="nil"/>
              <w:right w:val="nil"/>
            </w:tcBorders>
            <w:shd w:val="clear" w:color="auto" w:fill="auto"/>
            <w:noWrap/>
            <w:vAlign w:val="bottom"/>
            <w:hideMark/>
          </w:tcPr>
          <w:p w14:paraId="515FA59F"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3418</w:t>
            </w:r>
          </w:p>
        </w:tc>
        <w:tc>
          <w:tcPr>
            <w:tcW w:w="1126" w:type="dxa"/>
            <w:tcBorders>
              <w:top w:val="nil"/>
              <w:left w:val="nil"/>
              <w:bottom w:val="nil"/>
              <w:right w:val="nil"/>
            </w:tcBorders>
            <w:shd w:val="clear" w:color="auto" w:fill="F2DBDB" w:themeFill="accent2" w:themeFillTint="33"/>
            <w:noWrap/>
            <w:vAlign w:val="bottom"/>
            <w:hideMark/>
          </w:tcPr>
          <w:p w14:paraId="5D619CE0"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3673</w:t>
            </w:r>
          </w:p>
        </w:tc>
        <w:tc>
          <w:tcPr>
            <w:tcW w:w="1126" w:type="dxa"/>
            <w:tcBorders>
              <w:top w:val="nil"/>
              <w:left w:val="nil"/>
              <w:bottom w:val="nil"/>
              <w:right w:val="nil"/>
            </w:tcBorders>
            <w:shd w:val="clear" w:color="auto" w:fill="auto"/>
            <w:noWrap/>
            <w:vAlign w:val="bottom"/>
            <w:hideMark/>
          </w:tcPr>
          <w:p w14:paraId="04CC2E98"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4414</w:t>
            </w:r>
          </w:p>
        </w:tc>
        <w:tc>
          <w:tcPr>
            <w:tcW w:w="1127" w:type="dxa"/>
            <w:tcBorders>
              <w:top w:val="nil"/>
              <w:left w:val="nil"/>
              <w:bottom w:val="nil"/>
              <w:right w:val="single" w:sz="4" w:space="0" w:color="auto"/>
            </w:tcBorders>
            <w:shd w:val="clear" w:color="auto" w:fill="F2DBDB" w:themeFill="accent2" w:themeFillTint="33"/>
            <w:noWrap/>
            <w:vAlign w:val="bottom"/>
            <w:hideMark/>
          </w:tcPr>
          <w:p w14:paraId="2824424E"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4662</w:t>
            </w:r>
          </w:p>
        </w:tc>
        <w:tc>
          <w:tcPr>
            <w:tcW w:w="1275" w:type="dxa"/>
            <w:tcBorders>
              <w:top w:val="nil"/>
              <w:left w:val="nil"/>
              <w:bottom w:val="nil"/>
              <w:right w:val="single" w:sz="4" w:space="0" w:color="auto"/>
            </w:tcBorders>
            <w:shd w:val="clear" w:color="auto" w:fill="auto"/>
          </w:tcPr>
          <w:p w14:paraId="12106FF3" w14:textId="77777777" w:rsidR="005D61DD" w:rsidRPr="005D61DD" w:rsidRDefault="005D61DD" w:rsidP="00CE2FDF">
            <w:pPr>
              <w:spacing w:before="0" w:line="276" w:lineRule="auto"/>
              <w:jc w:val="right"/>
              <w:rPr>
                <w:rFonts w:eastAsia="Times New Roman" w:cs="Arial"/>
                <w:b/>
                <w:color w:val="000000"/>
                <w:sz w:val="20"/>
                <w:szCs w:val="20"/>
                <w:lang w:eastAsia="en-AU"/>
              </w:rPr>
            </w:pPr>
          </w:p>
          <w:p w14:paraId="1BA366F1" w14:textId="77777777" w:rsidR="005D61DD" w:rsidRPr="005D61DD" w:rsidRDefault="005D61DD"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11%</w:t>
            </w:r>
          </w:p>
        </w:tc>
      </w:tr>
      <w:tr w:rsidR="007944E9" w:rsidRPr="005D61DD" w14:paraId="307FC7DD" w14:textId="77777777" w:rsidTr="00C84E96">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2A5D61BC" w14:textId="77777777" w:rsidR="007944E9" w:rsidRPr="005D61DD" w:rsidRDefault="007944E9" w:rsidP="00CE2FDF">
            <w:pPr>
              <w:spacing w:before="0" w:line="276" w:lineRule="auto"/>
              <w:rPr>
                <w:rFonts w:eastAsia="Times New Roman" w:cs="Arial"/>
                <w:b/>
                <w:color w:val="000000"/>
                <w:sz w:val="20"/>
                <w:szCs w:val="20"/>
                <w:lang w:eastAsia="en-AU"/>
              </w:rPr>
            </w:pPr>
            <w:r w:rsidRPr="005D61DD">
              <w:rPr>
                <w:rFonts w:eastAsia="Times New Roman" w:cs="Arial"/>
                <w:b/>
                <w:color w:val="000000"/>
                <w:sz w:val="20"/>
                <w:szCs w:val="20"/>
                <w:lang w:eastAsia="en-AU"/>
              </w:rPr>
              <w:t>Total reports:</w:t>
            </w:r>
          </w:p>
        </w:tc>
        <w:tc>
          <w:tcPr>
            <w:tcW w:w="1126" w:type="dxa"/>
            <w:tcBorders>
              <w:top w:val="nil"/>
              <w:left w:val="nil"/>
              <w:bottom w:val="single" w:sz="4" w:space="0" w:color="auto"/>
              <w:right w:val="nil"/>
            </w:tcBorders>
            <w:shd w:val="clear" w:color="auto" w:fill="auto"/>
            <w:noWrap/>
            <w:vAlign w:val="bottom"/>
            <w:hideMark/>
          </w:tcPr>
          <w:p w14:paraId="5B7B2CCE"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7411</w:t>
            </w:r>
          </w:p>
        </w:tc>
        <w:tc>
          <w:tcPr>
            <w:tcW w:w="1126" w:type="dxa"/>
            <w:tcBorders>
              <w:top w:val="nil"/>
              <w:left w:val="nil"/>
              <w:bottom w:val="single" w:sz="4" w:space="0" w:color="auto"/>
              <w:right w:val="nil"/>
            </w:tcBorders>
            <w:shd w:val="clear" w:color="auto" w:fill="F2DBDB" w:themeFill="accent2" w:themeFillTint="33"/>
            <w:noWrap/>
            <w:vAlign w:val="bottom"/>
            <w:hideMark/>
          </w:tcPr>
          <w:p w14:paraId="1F72CDEE"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7912</w:t>
            </w:r>
          </w:p>
        </w:tc>
        <w:tc>
          <w:tcPr>
            <w:tcW w:w="1126" w:type="dxa"/>
            <w:tcBorders>
              <w:top w:val="nil"/>
              <w:left w:val="nil"/>
              <w:bottom w:val="single" w:sz="4" w:space="0" w:color="auto"/>
              <w:right w:val="nil"/>
            </w:tcBorders>
            <w:shd w:val="clear" w:color="auto" w:fill="auto"/>
            <w:noWrap/>
            <w:vAlign w:val="bottom"/>
            <w:hideMark/>
          </w:tcPr>
          <w:p w14:paraId="1252D6F1"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7504</w:t>
            </w:r>
          </w:p>
        </w:tc>
        <w:tc>
          <w:tcPr>
            <w:tcW w:w="1126" w:type="dxa"/>
            <w:tcBorders>
              <w:top w:val="nil"/>
              <w:left w:val="nil"/>
              <w:bottom w:val="single" w:sz="4" w:space="0" w:color="auto"/>
              <w:right w:val="nil"/>
            </w:tcBorders>
            <w:shd w:val="clear" w:color="auto" w:fill="F2DBDB" w:themeFill="accent2" w:themeFillTint="33"/>
            <w:noWrap/>
            <w:vAlign w:val="bottom"/>
            <w:hideMark/>
          </w:tcPr>
          <w:p w14:paraId="0F0C86DD"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7488</w:t>
            </w:r>
          </w:p>
        </w:tc>
        <w:tc>
          <w:tcPr>
            <w:tcW w:w="1126" w:type="dxa"/>
            <w:tcBorders>
              <w:top w:val="nil"/>
              <w:left w:val="nil"/>
              <w:bottom w:val="single" w:sz="4" w:space="0" w:color="auto"/>
              <w:right w:val="nil"/>
            </w:tcBorders>
            <w:shd w:val="clear" w:color="auto" w:fill="auto"/>
            <w:noWrap/>
            <w:vAlign w:val="bottom"/>
            <w:hideMark/>
          </w:tcPr>
          <w:p w14:paraId="6E9E7F4F"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7132</w:t>
            </w:r>
          </w:p>
        </w:tc>
        <w:tc>
          <w:tcPr>
            <w:tcW w:w="1126" w:type="dxa"/>
            <w:tcBorders>
              <w:top w:val="nil"/>
              <w:left w:val="nil"/>
              <w:bottom w:val="single" w:sz="4" w:space="0" w:color="auto"/>
              <w:right w:val="nil"/>
            </w:tcBorders>
            <w:shd w:val="clear" w:color="auto" w:fill="F2DBDB" w:themeFill="accent2" w:themeFillTint="33"/>
            <w:noWrap/>
            <w:vAlign w:val="bottom"/>
            <w:hideMark/>
          </w:tcPr>
          <w:p w14:paraId="5186EE49"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7019</w:t>
            </w:r>
          </w:p>
        </w:tc>
        <w:tc>
          <w:tcPr>
            <w:tcW w:w="1126" w:type="dxa"/>
            <w:tcBorders>
              <w:top w:val="nil"/>
              <w:left w:val="nil"/>
              <w:bottom w:val="single" w:sz="4" w:space="0" w:color="auto"/>
              <w:right w:val="nil"/>
            </w:tcBorders>
            <w:shd w:val="clear" w:color="auto" w:fill="auto"/>
            <w:noWrap/>
            <w:vAlign w:val="bottom"/>
            <w:hideMark/>
          </w:tcPr>
          <w:p w14:paraId="407058A3"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6782</w:t>
            </w:r>
          </w:p>
        </w:tc>
        <w:tc>
          <w:tcPr>
            <w:tcW w:w="1126" w:type="dxa"/>
            <w:tcBorders>
              <w:top w:val="nil"/>
              <w:left w:val="nil"/>
              <w:bottom w:val="single" w:sz="4" w:space="0" w:color="auto"/>
              <w:right w:val="nil"/>
            </w:tcBorders>
            <w:shd w:val="clear" w:color="auto" w:fill="F2DBDB" w:themeFill="accent2" w:themeFillTint="33"/>
            <w:noWrap/>
            <w:vAlign w:val="bottom"/>
            <w:hideMark/>
          </w:tcPr>
          <w:p w14:paraId="31053132"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7686</w:t>
            </w:r>
          </w:p>
        </w:tc>
        <w:tc>
          <w:tcPr>
            <w:tcW w:w="1126" w:type="dxa"/>
            <w:tcBorders>
              <w:top w:val="nil"/>
              <w:left w:val="nil"/>
              <w:bottom w:val="single" w:sz="4" w:space="0" w:color="auto"/>
              <w:right w:val="nil"/>
            </w:tcBorders>
            <w:shd w:val="clear" w:color="auto" w:fill="auto"/>
            <w:noWrap/>
            <w:vAlign w:val="bottom"/>
            <w:hideMark/>
          </w:tcPr>
          <w:p w14:paraId="2F3D05AF"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8936</w:t>
            </w:r>
          </w:p>
        </w:tc>
        <w:tc>
          <w:tcPr>
            <w:tcW w:w="1127" w:type="dxa"/>
            <w:tcBorders>
              <w:top w:val="nil"/>
              <w:left w:val="nil"/>
              <w:bottom w:val="single" w:sz="4" w:space="0" w:color="auto"/>
              <w:right w:val="single" w:sz="4" w:space="0" w:color="auto"/>
            </w:tcBorders>
            <w:shd w:val="clear" w:color="auto" w:fill="F2DBDB" w:themeFill="accent2" w:themeFillTint="33"/>
            <w:noWrap/>
            <w:vAlign w:val="bottom"/>
            <w:hideMark/>
          </w:tcPr>
          <w:p w14:paraId="530FDF18" w14:textId="77777777" w:rsidR="007944E9" w:rsidRPr="005D61DD" w:rsidRDefault="007944E9" w:rsidP="00CE2FDF">
            <w:pPr>
              <w:spacing w:before="0" w:line="276" w:lineRule="auto"/>
              <w:jc w:val="right"/>
              <w:rPr>
                <w:rFonts w:cs="Arial"/>
                <w:b/>
                <w:color w:val="000000"/>
                <w:sz w:val="20"/>
                <w:szCs w:val="20"/>
              </w:rPr>
            </w:pPr>
            <w:r w:rsidRPr="005D61DD">
              <w:rPr>
                <w:rFonts w:cs="Arial"/>
                <w:b/>
                <w:color w:val="000000"/>
                <w:sz w:val="20"/>
                <w:szCs w:val="20"/>
              </w:rPr>
              <w:t>10198</w:t>
            </w:r>
          </w:p>
        </w:tc>
        <w:tc>
          <w:tcPr>
            <w:tcW w:w="1275" w:type="dxa"/>
            <w:tcBorders>
              <w:top w:val="nil"/>
              <w:left w:val="nil"/>
              <w:bottom w:val="single" w:sz="4" w:space="0" w:color="auto"/>
              <w:right w:val="single" w:sz="4" w:space="0" w:color="auto"/>
            </w:tcBorders>
            <w:shd w:val="clear" w:color="auto" w:fill="auto"/>
          </w:tcPr>
          <w:p w14:paraId="22EE715D" w14:textId="77777777" w:rsidR="007944E9" w:rsidRPr="005D61DD" w:rsidRDefault="006455FB"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38</w:t>
            </w:r>
            <w:r w:rsidR="007944E9" w:rsidRPr="005D61DD">
              <w:rPr>
                <w:rFonts w:eastAsia="Times New Roman" w:cs="Arial"/>
                <w:b/>
                <w:color w:val="000000"/>
                <w:sz w:val="20"/>
                <w:szCs w:val="20"/>
                <w:lang w:eastAsia="en-AU"/>
              </w:rPr>
              <w:t>%</w:t>
            </w:r>
          </w:p>
        </w:tc>
      </w:tr>
    </w:tbl>
    <w:p w14:paraId="199AE23C" w14:textId="77777777" w:rsidR="00F2009E" w:rsidRDefault="00F2009E" w:rsidP="00CE2FDF">
      <w:pPr>
        <w:spacing w:before="0"/>
        <w:sectPr w:rsidR="00F2009E" w:rsidSect="00BA154E">
          <w:pgSz w:w="16838" w:h="11906" w:orient="landscape"/>
          <w:pgMar w:top="1134" w:right="1134" w:bottom="284" w:left="1134" w:header="709" w:footer="283" w:gutter="0"/>
          <w:cols w:space="708"/>
          <w:docGrid w:linePitch="360"/>
        </w:sectPr>
      </w:pPr>
    </w:p>
    <w:p w14:paraId="31234346" w14:textId="7487D247" w:rsidR="005D61DD" w:rsidRDefault="005D61DD" w:rsidP="00CE2FDF">
      <w:pPr>
        <w:spacing w:before="0"/>
      </w:pPr>
    </w:p>
    <w:tbl>
      <w:tblPr>
        <w:tblW w:w="14757" w:type="dxa"/>
        <w:tblInd w:w="93" w:type="dxa"/>
        <w:tblLayout w:type="fixed"/>
        <w:tblLook w:val="04A0" w:firstRow="1" w:lastRow="0" w:firstColumn="1" w:lastColumn="0" w:noHBand="0" w:noVBand="1"/>
      </w:tblPr>
      <w:tblGrid>
        <w:gridCol w:w="2221"/>
        <w:gridCol w:w="1126"/>
        <w:gridCol w:w="1126"/>
        <w:gridCol w:w="1126"/>
        <w:gridCol w:w="1126"/>
        <w:gridCol w:w="1126"/>
        <w:gridCol w:w="1126"/>
        <w:gridCol w:w="1126"/>
        <w:gridCol w:w="1126"/>
        <w:gridCol w:w="1126"/>
        <w:gridCol w:w="1127"/>
        <w:gridCol w:w="1275"/>
      </w:tblGrid>
      <w:tr w:rsidR="005D61DD" w:rsidRPr="005D61DD" w14:paraId="1C4AEE42" w14:textId="77777777" w:rsidTr="00B349CA">
        <w:trPr>
          <w:trHeight w:val="324"/>
        </w:trPr>
        <w:tc>
          <w:tcPr>
            <w:tcW w:w="2221" w:type="dxa"/>
            <w:tcBorders>
              <w:top w:val="single" w:sz="4" w:space="0" w:color="auto"/>
              <w:left w:val="single" w:sz="4" w:space="0" w:color="auto"/>
              <w:bottom w:val="single" w:sz="4" w:space="0" w:color="auto"/>
              <w:right w:val="nil"/>
            </w:tcBorders>
            <w:shd w:val="clear" w:color="auto" w:fill="DDD9C3" w:themeFill="background2" w:themeFillShade="E6"/>
            <w:noWrap/>
            <w:vAlign w:val="center"/>
            <w:hideMark/>
          </w:tcPr>
          <w:p w14:paraId="30D8B40A" w14:textId="77777777" w:rsidR="005D61DD" w:rsidRPr="005D61DD" w:rsidRDefault="005D61DD" w:rsidP="00CE2FDF">
            <w:pPr>
              <w:spacing w:before="0" w:line="276" w:lineRule="auto"/>
              <w:jc w:val="right"/>
              <w:rPr>
                <w:rFonts w:eastAsia="Times New Roman" w:cs="Arial"/>
                <w:b/>
                <w:bCs/>
                <w:color w:val="000000"/>
                <w:sz w:val="20"/>
                <w:szCs w:val="20"/>
                <w:lang w:eastAsia="en-AU"/>
              </w:rPr>
            </w:pP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047FB4C9"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2003</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32472BA2"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2004</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6F61AA8F"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2005</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10D91F72"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2006</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49816AD"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2007</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09AAE8E1"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2008</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7CB4C74B"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2009</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3E4E73FE"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2010</w:t>
            </w:r>
          </w:p>
        </w:tc>
        <w:tc>
          <w:tcPr>
            <w:tcW w:w="1126" w:type="dxa"/>
            <w:tcBorders>
              <w:top w:val="single" w:sz="4" w:space="0" w:color="auto"/>
              <w:left w:val="nil"/>
              <w:bottom w:val="single" w:sz="4" w:space="0" w:color="auto"/>
              <w:right w:val="nil"/>
            </w:tcBorders>
            <w:shd w:val="clear" w:color="auto" w:fill="DDD9C3" w:themeFill="background2" w:themeFillShade="E6"/>
            <w:noWrap/>
            <w:vAlign w:val="center"/>
            <w:hideMark/>
          </w:tcPr>
          <w:p w14:paraId="62C4B8E7"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2011</w:t>
            </w:r>
          </w:p>
        </w:tc>
        <w:tc>
          <w:tcPr>
            <w:tcW w:w="1127"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FF669C2"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2012</w:t>
            </w:r>
          </w:p>
        </w:tc>
        <w:tc>
          <w:tcPr>
            <w:tcW w:w="127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1B440A46" w14:textId="77777777" w:rsidR="005D61DD" w:rsidRPr="005D61DD" w:rsidRDefault="005D61DD" w:rsidP="00CE2FDF">
            <w:pPr>
              <w:spacing w:before="0" w:line="276" w:lineRule="auto"/>
              <w:jc w:val="right"/>
              <w:rPr>
                <w:rFonts w:eastAsia="Times New Roman" w:cs="Arial"/>
                <w:b/>
                <w:bCs/>
                <w:color w:val="000000"/>
                <w:sz w:val="20"/>
                <w:szCs w:val="20"/>
                <w:lang w:eastAsia="en-AU"/>
              </w:rPr>
            </w:pPr>
            <w:r w:rsidRPr="005D61DD">
              <w:rPr>
                <w:rFonts w:eastAsia="Times New Roman" w:cs="Arial"/>
                <w:b/>
                <w:bCs/>
                <w:color w:val="000000"/>
                <w:sz w:val="20"/>
                <w:szCs w:val="20"/>
                <w:lang w:eastAsia="en-AU"/>
              </w:rPr>
              <w:t>% change</w:t>
            </w:r>
          </w:p>
        </w:tc>
      </w:tr>
      <w:tr w:rsidR="00FE57AD" w:rsidRPr="005D61DD" w14:paraId="0266D96C" w14:textId="77777777" w:rsidTr="00C84E96">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1A310C1" w14:textId="77777777" w:rsidR="00AD1E2D" w:rsidRPr="005D61DD" w:rsidRDefault="00AD1E2D" w:rsidP="00CE2FDF">
            <w:pPr>
              <w:spacing w:before="0" w:line="276" w:lineRule="auto"/>
              <w:rPr>
                <w:rFonts w:eastAsia="Times New Roman" w:cs="Arial"/>
                <w:b/>
                <w:color w:val="000000"/>
                <w:sz w:val="20"/>
                <w:szCs w:val="20"/>
                <w:lang w:eastAsia="en-AU"/>
              </w:rPr>
            </w:pPr>
            <w:r w:rsidRPr="005D61DD">
              <w:rPr>
                <w:rFonts w:eastAsia="Times New Roman" w:cs="Arial"/>
                <w:b/>
                <w:color w:val="000000"/>
                <w:sz w:val="20"/>
                <w:szCs w:val="20"/>
                <w:lang w:eastAsia="en-AU"/>
              </w:rPr>
              <w:t>Substantiated</w:t>
            </w:r>
          </w:p>
        </w:tc>
        <w:tc>
          <w:tcPr>
            <w:tcW w:w="1126" w:type="dxa"/>
            <w:tcBorders>
              <w:top w:val="nil"/>
              <w:left w:val="nil"/>
              <w:bottom w:val="nil"/>
              <w:right w:val="nil"/>
            </w:tcBorders>
            <w:shd w:val="clear" w:color="auto" w:fill="auto"/>
            <w:noWrap/>
            <w:vAlign w:val="bottom"/>
            <w:hideMark/>
          </w:tcPr>
          <w:p w14:paraId="67C6671F"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E5DFEC" w:themeFill="accent4" w:themeFillTint="33"/>
            <w:noWrap/>
            <w:vAlign w:val="bottom"/>
            <w:hideMark/>
          </w:tcPr>
          <w:p w14:paraId="416EF424"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auto"/>
            <w:noWrap/>
            <w:vAlign w:val="bottom"/>
            <w:hideMark/>
          </w:tcPr>
          <w:p w14:paraId="5898F340"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E5DFEC" w:themeFill="accent4" w:themeFillTint="33"/>
            <w:noWrap/>
            <w:vAlign w:val="bottom"/>
            <w:hideMark/>
          </w:tcPr>
          <w:p w14:paraId="7EB8C6D9"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auto"/>
            <w:noWrap/>
            <w:vAlign w:val="bottom"/>
            <w:hideMark/>
          </w:tcPr>
          <w:p w14:paraId="11B1628E"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E5DFEC" w:themeFill="accent4" w:themeFillTint="33"/>
            <w:noWrap/>
            <w:vAlign w:val="bottom"/>
            <w:hideMark/>
          </w:tcPr>
          <w:p w14:paraId="5D1E8E77"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auto"/>
            <w:noWrap/>
            <w:vAlign w:val="bottom"/>
            <w:hideMark/>
          </w:tcPr>
          <w:p w14:paraId="784C63DD"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E5DFEC" w:themeFill="accent4" w:themeFillTint="33"/>
            <w:noWrap/>
            <w:vAlign w:val="bottom"/>
            <w:hideMark/>
          </w:tcPr>
          <w:p w14:paraId="25A0000F"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auto"/>
            <w:noWrap/>
            <w:vAlign w:val="bottom"/>
            <w:hideMark/>
          </w:tcPr>
          <w:p w14:paraId="062F1326"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127" w:type="dxa"/>
            <w:tcBorders>
              <w:top w:val="nil"/>
              <w:left w:val="nil"/>
              <w:bottom w:val="nil"/>
              <w:right w:val="single" w:sz="4" w:space="0" w:color="auto"/>
            </w:tcBorders>
            <w:shd w:val="clear" w:color="auto" w:fill="E5DFEC" w:themeFill="accent4" w:themeFillTint="33"/>
            <w:noWrap/>
            <w:vAlign w:val="bottom"/>
            <w:hideMark/>
          </w:tcPr>
          <w:p w14:paraId="56FE4829" w14:textId="77777777" w:rsidR="00AD1E2D" w:rsidRPr="005D61DD" w:rsidRDefault="00AD1E2D" w:rsidP="00CE2FDF">
            <w:pPr>
              <w:spacing w:before="0" w:line="276" w:lineRule="auto"/>
              <w:jc w:val="right"/>
              <w:rPr>
                <w:rFonts w:eastAsia="Times New Roman" w:cs="Arial"/>
                <w:b/>
                <w:color w:val="FF0000"/>
                <w:sz w:val="20"/>
                <w:szCs w:val="20"/>
                <w:lang w:eastAsia="en-AU"/>
              </w:rPr>
            </w:pPr>
          </w:p>
        </w:tc>
        <w:tc>
          <w:tcPr>
            <w:tcW w:w="1275" w:type="dxa"/>
            <w:tcBorders>
              <w:top w:val="nil"/>
              <w:left w:val="nil"/>
              <w:bottom w:val="nil"/>
              <w:right w:val="single" w:sz="4" w:space="0" w:color="auto"/>
            </w:tcBorders>
            <w:shd w:val="clear" w:color="auto" w:fill="auto"/>
          </w:tcPr>
          <w:p w14:paraId="74231EF0" w14:textId="77777777" w:rsidR="00AD1E2D" w:rsidRPr="005D61DD" w:rsidRDefault="00AD1E2D" w:rsidP="00CE2FDF">
            <w:pPr>
              <w:spacing w:before="0" w:line="276" w:lineRule="auto"/>
              <w:jc w:val="right"/>
              <w:rPr>
                <w:rFonts w:eastAsia="Times New Roman" w:cs="Arial"/>
                <w:b/>
                <w:color w:val="FF0000"/>
                <w:sz w:val="20"/>
                <w:szCs w:val="20"/>
                <w:lang w:eastAsia="en-AU"/>
              </w:rPr>
            </w:pPr>
          </w:p>
        </w:tc>
      </w:tr>
      <w:tr w:rsidR="00905F73" w:rsidRPr="005D61DD" w14:paraId="63CF200C" w14:textId="77777777" w:rsidTr="00C84E96">
        <w:trPr>
          <w:trHeight w:val="204"/>
        </w:trPr>
        <w:tc>
          <w:tcPr>
            <w:tcW w:w="2221" w:type="dxa"/>
            <w:tcBorders>
              <w:top w:val="nil"/>
              <w:left w:val="single" w:sz="4" w:space="0" w:color="auto"/>
              <w:bottom w:val="nil"/>
              <w:right w:val="nil"/>
            </w:tcBorders>
            <w:shd w:val="clear" w:color="auto" w:fill="E5DFEC" w:themeFill="accent4" w:themeFillTint="33"/>
            <w:noWrap/>
            <w:hideMark/>
          </w:tcPr>
          <w:p w14:paraId="3EAFBE01" w14:textId="77777777" w:rsidR="00905F73" w:rsidRPr="005D61DD" w:rsidRDefault="00905F73"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Doctors</w:t>
            </w:r>
          </w:p>
        </w:tc>
        <w:tc>
          <w:tcPr>
            <w:tcW w:w="1126" w:type="dxa"/>
            <w:tcBorders>
              <w:top w:val="nil"/>
              <w:left w:val="nil"/>
              <w:bottom w:val="nil"/>
              <w:right w:val="nil"/>
            </w:tcBorders>
            <w:shd w:val="clear" w:color="auto" w:fill="auto"/>
            <w:noWrap/>
            <w:vAlign w:val="bottom"/>
            <w:hideMark/>
          </w:tcPr>
          <w:p w14:paraId="771907ED"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264</w:t>
            </w:r>
          </w:p>
        </w:tc>
        <w:tc>
          <w:tcPr>
            <w:tcW w:w="1126" w:type="dxa"/>
            <w:tcBorders>
              <w:top w:val="nil"/>
              <w:left w:val="nil"/>
              <w:bottom w:val="nil"/>
              <w:right w:val="nil"/>
            </w:tcBorders>
            <w:shd w:val="clear" w:color="auto" w:fill="E5DFEC" w:themeFill="accent4" w:themeFillTint="33"/>
            <w:noWrap/>
            <w:vAlign w:val="bottom"/>
            <w:hideMark/>
          </w:tcPr>
          <w:p w14:paraId="1651FE98"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218</w:t>
            </w:r>
          </w:p>
        </w:tc>
        <w:tc>
          <w:tcPr>
            <w:tcW w:w="1126" w:type="dxa"/>
            <w:tcBorders>
              <w:top w:val="nil"/>
              <w:left w:val="nil"/>
              <w:bottom w:val="nil"/>
              <w:right w:val="nil"/>
            </w:tcBorders>
            <w:shd w:val="clear" w:color="auto" w:fill="auto"/>
            <w:noWrap/>
            <w:vAlign w:val="bottom"/>
            <w:hideMark/>
          </w:tcPr>
          <w:p w14:paraId="62A0CB7B"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210</w:t>
            </w:r>
          </w:p>
        </w:tc>
        <w:tc>
          <w:tcPr>
            <w:tcW w:w="1126" w:type="dxa"/>
            <w:tcBorders>
              <w:top w:val="nil"/>
              <w:left w:val="nil"/>
              <w:bottom w:val="nil"/>
              <w:right w:val="nil"/>
            </w:tcBorders>
            <w:shd w:val="clear" w:color="auto" w:fill="E5DFEC" w:themeFill="accent4" w:themeFillTint="33"/>
            <w:noWrap/>
            <w:vAlign w:val="bottom"/>
            <w:hideMark/>
          </w:tcPr>
          <w:p w14:paraId="4DAB2BB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204</w:t>
            </w:r>
          </w:p>
        </w:tc>
        <w:tc>
          <w:tcPr>
            <w:tcW w:w="1126" w:type="dxa"/>
            <w:tcBorders>
              <w:top w:val="nil"/>
              <w:left w:val="nil"/>
              <w:bottom w:val="nil"/>
              <w:right w:val="nil"/>
            </w:tcBorders>
            <w:shd w:val="clear" w:color="auto" w:fill="auto"/>
            <w:noWrap/>
            <w:vAlign w:val="bottom"/>
            <w:hideMark/>
          </w:tcPr>
          <w:p w14:paraId="3AB8D2E3"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208</w:t>
            </w:r>
          </w:p>
        </w:tc>
        <w:tc>
          <w:tcPr>
            <w:tcW w:w="1126" w:type="dxa"/>
            <w:tcBorders>
              <w:top w:val="nil"/>
              <w:left w:val="nil"/>
              <w:bottom w:val="nil"/>
              <w:right w:val="nil"/>
            </w:tcBorders>
            <w:shd w:val="clear" w:color="auto" w:fill="E5DFEC" w:themeFill="accent4" w:themeFillTint="33"/>
            <w:noWrap/>
            <w:vAlign w:val="bottom"/>
            <w:hideMark/>
          </w:tcPr>
          <w:p w14:paraId="5F7F2C4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172</w:t>
            </w:r>
          </w:p>
        </w:tc>
        <w:tc>
          <w:tcPr>
            <w:tcW w:w="1126" w:type="dxa"/>
            <w:tcBorders>
              <w:top w:val="nil"/>
              <w:left w:val="nil"/>
              <w:bottom w:val="nil"/>
              <w:right w:val="nil"/>
            </w:tcBorders>
            <w:shd w:val="clear" w:color="auto" w:fill="auto"/>
            <w:noWrap/>
            <w:vAlign w:val="bottom"/>
            <w:hideMark/>
          </w:tcPr>
          <w:p w14:paraId="2CD26328"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188</w:t>
            </w:r>
          </w:p>
        </w:tc>
        <w:tc>
          <w:tcPr>
            <w:tcW w:w="1126" w:type="dxa"/>
            <w:tcBorders>
              <w:top w:val="nil"/>
              <w:left w:val="nil"/>
              <w:bottom w:val="nil"/>
              <w:right w:val="nil"/>
            </w:tcBorders>
            <w:shd w:val="clear" w:color="auto" w:fill="E5DFEC" w:themeFill="accent4" w:themeFillTint="33"/>
            <w:noWrap/>
            <w:vAlign w:val="bottom"/>
            <w:hideMark/>
          </w:tcPr>
          <w:p w14:paraId="1E32B453"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201</w:t>
            </w:r>
          </w:p>
        </w:tc>
        <w:tc>
          <w:tcPr>
            <w:tcW w:w="1126" w:type="dxa"/>
            <w:tcBorders>
              <w:top w:val="nil"/>
              <w:left w:val="nil"/>
              <w:bottom w:val="nil"/>
              <w:right w:val="nil"/>
            </w:tcBorders>
            <w:shd w:val="clear" w:color="auto" w:fill="auto"/>
            <w:noWrap/>
            <w:vAlign w:val="bottom"/>
            <w:hideMark/>
          </w:tcPr>
          <w:p w14:paraId="1A3C8FDF"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207</w:t>
            </w:r>
          </w:p>
        </w:tc>
        <w:tc>
          <w:tcPr>
            <w:tcW w:w="1127" w:type="dxa"/>
            <w:tcBorders>
              <w:top w:val="nil"/>
              <w:left w:val="nil"/>
              <w:bottom w:val="nil"/>
              <w:right w:val="single" w:sz="4" w:space="0" w:color="auto"/>
            </w:tcBorders>
            <w:shd w:val="clear" w:color="auto" w:fill="E5DFEC" w:themeFill="accent4" w:themeFillTint="33"/>
            <w:noWrap/>
            <w:vAlign w:val="bottom"/>
            <w:hideMark/>
          </w:tcPr>
          <w:p w14:paraId="20682EF0"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297</w:t>
            </w:r>
          </w:p>
        </w:tc>
        <w:tc>
          <w:tcPr>
            <w:tcW w:w="1275" w:type="dxa"/>
            <w:tcBorders>
              <w:top w:val="nil"/>
              <w:left w:val="nil"/>
              <w:bottom w:val="nil"/>
              <w:right w:val="single" w:sz="4" w:space="0" w:color="auto"/>
            </w:tcBorders>
            <w:shd w:val="clear" w:color="auto" w:fill="auto"/>
          </w:tcPr>
          <w:p w14:paraId="57DD6741"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13</w:t>
            </w:r>
            <w:r w:rsidR="00905F73" w:rsidRPr="005D61DD">
              <w:rPr>
                <w:rFonts w:eastAsia="Times New Roman" w:cs="Arial"/>
                <w:b/>
                <w:color w:val="000000"/>
                <w:sz w:val="20"/>
                <w:szCs w:val="20"/>
                <w:lang w:eastAsia="en-AU"/>
              </w:rPr>
              <w:t>%</w:t>
            </w:r>
          </w:p>
        </w:tc>
      </w:tr>
      <w:tr w:rsidR="00905F73" w:rsidRPr="005D61DD" w14:paraId="530F5BF2" w14:textId="77777777" w:rsidTr="00C84E96">
        <w:trPr>
          <w:trHeight w:val="204"/>
        </w:trPr>
        <w:tc>
          <w:tcPr>
            <w:tcW w:w="2221" w:type="dxa"/>
            <w:tcBorders>
              <w:top w:val="nil"/>
              <w:left w:val="single" w:sz="4" w:space="0" w:color="auto"/>
              <w:bottom w:val="nil"/>
              <w:right w:val="nil"/>
            </w:tcBorders>
            <w:shd w:val="clear" w:color="auto" w:fill="E5DFEC" w:themeFill="accent4" w:themeFillTint="33"/>
            <w:noWrap/>
            <w:hideMark/>
          </w:tcPr>
          <w:p w14:paraId="1C0D5ABB" w14:textId="77777777" w:rsidR="00905F73" w:rsidRPr="005D61DD" w:rsidRDefault="00905F73"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Nurses</w:t>
            </w:r>
          </w:p>
        </w:tc>
        <w:tc>
          <w:tcPr>
            <w:tcW w:w="1126" w:type="dxa"/>
            <w:tcBorders>
              <w:top w:val="nil"/>
              <w:left w:val="nil"/>
              <w:bottom w:val="nil"/>
              <w:right w:val="nil"/>
            </w:tcBorders>
            <w:shd w:val="clear" w:color="auto" w:fill="auto"/>
            <w:noWrap/>
            <w:vAlign w:val="bottom"/>
            <w:hideMark/>
          </w:tcPr>
          <w:p w14:paraId="475E80C4"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398</w:t>
            </w:r>
          </w:p>
        </w:tc>
        <w:tc>
          <w:tcPr>
            <w:tcW w:w="1126" w:type="dxa"/>
            <w:tcBorders>
              <w:top w:val="nil"/>
              <w:left w:val="nil"/>
              <w:bottom w:val="nil"/>
              <w:right w:val="nil"/>
            </w:tcBorders>
            <w:shd w:val="clear" w:color="auto" w:fill="E5DFEC" w:themeFill="accent4" w:themeFillTint="33"/>
            <w:noWrap/>
            <w:vAlign w:val="bottom"/>
            <w:hideMark/>
          </w:tcPr>
          <w:p w14:paraId="0F7EA7F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418</w:t>
            </w:r>
          </w:p>
        </w:tc>
        <w:tc>
          <w:tcPr>
            <w:tcW w:w="1126" w:type="dxa"/>
            <w:tcBorders>
              <w:top w:val="nil"/>
              <w:left w:val="nil"/>
              <w:bottom w:val="nil"/>
              <w:right w:val="nil"/>
            </w:tcBorders>
            <w:shd w:val="clear" w:color="auto" w:fill="auto"/>
            <w:noWrap/>
            <w:vAlign w:val="bottom"/>
            <w:hideMark/>
          </w:tcPr>
          <w:p w14:paraId="08FE4A28"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450</w:t>
            </w:r>
          </w:p>
        </w:tc>
        <w:tc>
          <w:tcPr>
            <w:tcW w:w="1126" w:type="dxa"/>
            <w:tcBorders>
              <w:top w:val="nil"/>
              <w:left w:val="nil"/>
              <w:bottom w:val="nil"/>
              <w:right w:val="nil"/>
            </w:tcBorders>
            <w:shd w:val="clear" w:color="auto" w:fill="E5DFEC" w:themeFill="accent4" w:themeFillTint="33"/>
            <w:noWrap/>
            <w:vAlign w:val="bottom"/>
            <w:hideMark/>
          </w:tcPr>
          <w:p w14:paraId="1E6FA671"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390</w:t>
            </w:r>
          </w:p>
        </w:tc>
        <w:tc>
          <w:tcPr>
            <w:tcW w:w="1126" w:type="dxa"/>
            <w:tcBorders>
              <w:top w:val="nil"/>
              <w:left w:val="nil"/>
              <w:bottom w:val="nil"/>
              <w:right w:val="nil"/>
            </w:tcBorders>
            <w:shd w:val="clear" w:color="auto" w:fill="auto"/>
            <w:noWrap/>
            <w:vAlign w:val="bottom"/>
            <w:hideMark/>
          </w:tcPr>
          <w:p w14:paraId="3C51029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393</w:t>
            </w:r>
          </w:p>
        </w:tc>
        <w:tc>
          <w:tcPr>
            <w:tcW w:w="1126" w:type="dxa"/>
            <w:tcBorders>
              <w:top w:val="nil"/>
              <w:left w:val="nil"/>
              <w:bottom w:val="nil"/>
              <w:right w:val="nil"/>
            </w:tcBorders>
            <w:shd w:val="clear" w:color="auto" w:fill="E5DFEC" w:themeFill="accent4" w:themeFillTint="33"/>
            <w:noWrap/>
            <w:vAlign w:val="bottom"/>
            <w:hideMark/>
          </w:tcPr>
          <w:p w14:paraId="0ADCFD8D"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369</w:t>
            </w:r>
          </w:p>
        </w:tc>
        <w:tc>
          <w:tcPr>
            <w:tcW w:w="1126" w:type="dxa"/>
            <w:tcBorders>
              <w:top w:val="nil"/>
              <w:left w:val="nil"/>
              <w:bottom w:val="nil"/>
              <w:right w:val="nil"/>
            </w:tcBorders>
            <w:shd w:val="clear" w:color="auto" w:fill="auto"/>
            <w:noWrap/>
            <w:vAlign w:val="bottom"/>
            <w:hideMark/>
          </w:tcPr>
          <w:p w14:paraId="5AF7C185"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331</w:t>
            </w:r>
          </w:p>
        </w:tc>
        <w:tc>
          <w:tcPr>
            <w:tcW w:w="1126" w:type="dxa"/>
            <w:tcBorders>
              <w:top w:val="nil"/>
              <w:left w:val="nil"/>
              <w:bottom w:val="nil"/>
              <w:right w:val="nil"/>
            </w:tcBorders>
            <w:shd w:val="clear" w:color="auto" w:fill="E5DFEC" w:themeFill="accent4" w:themeFillTint="33"/>
            <w:noWrap/>
            <w:vAlign w:val="bottom"/>
            <w:hideMark/>
          </w:tcPr>
          <w:p w14:paraId="6DC7E71A"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371</w:t>
            </w:r>
          </w:p>
        </w:tc>
        <w:tc>
          <w:tcPr>
            <w:tcW w:w="1126" w:type="dxa"/>
            <w:tcBorders>
              <w:top w:val="nil"/>
              <w:left w:val="nil"/>
              <w:bottom w:val="nil"/>
              <w:right w:val="nil"/>
            </w:tcBorders>
            <w:shd w:val="clear" w:color="auto" w:fill="auto"/>
            <w:noWrap/>
            <w:vAlign w:val="bottom"/>
            <w:hideMark/>
          </w:tcPr>
          <w:p w14:paraId="28F9BDD8"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451</w:t>
            </w:r>
          </w:p>
        </w:tc>
        <w:tc>
          <w:tcPr>
            <w:tcW w:w="1127" w:type="dxa"/>
            <w:tcBorders>
              <w:top w:val="nil"/>
              <w:left w:val="nil"/>
              <w:bottom w:val="nil"/>
              <w:right w:val="single" w:sz="4" w:space="0" w:color="auto"/>
            </w:tcBorders>
            <w:shd w:val="clear" w:color="auto" w:fill="E5DFEC" w:themeFill="accent4" w:themeFillTint="33"/>
            <w:noWrap/>
            <w:vAlign w:val="bottom"/>
            <w:hideMark/>
          </w:tcPr>
          <w:p w14:paraId="0FF4C271"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470</w:t>
            </w:r>
          </w:p>
        </w:tc>
        <w:tc>
          <w:tcPr>
            <w:tcW w:w="1275" w:type="dxa"/>
            <w:tcBorders>
              <w:top w:val="nil"/>
              <w:left w:val="nil"/>
              <w:bottom w:val="nil"/>
              <w:right w:val="single" w:sz="4" w:space="0" w:color="auto"/>
            </w:tcBorders>
            <w:shd w:val="clear" w:color="auto" w:fill="auto"/>
          </w:tcPr>
          <w:p w14:paraId="3BD41AA7"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18</w:t>
            </w:r>
            <w:r w:rsidR="00905F73" w:rsidRPr="005D61DD">
              <w:rPr>
                <w:rFonts w:eastAsia="Times New Roman" w:cs="Arial"/>
                <w:b/>
                <w:color w:val="000000"/>
                <w:sz w:val="20"/>
                <w:szCs w:val="20"/>
                <w:lang w:eastAsia="en-AU"/>
              </w:rPr>
              <w:t>%</w:t>
            </w:r>
          </w:p>
        </w:tc>
      </w:tr>
      <w:tr w:rsidR="00905F73" w:rsidRPr="005D61DD" w14:paraId="4F362071" w14:textId="77777777" w:rsidTr="00C84E96">
        <w:trPr>
          <w:trHeight w:val="204"/>
        </w:trPr>
        <w:tc>
          <w:tcPr>
            <w:tcW w:w="2221" w:type="dxa"/>
            <w:tcBorders>
              <w:top w:val="nil"/>
              <w:left w:val="single" w:sz="4" w:space="0" w:color="auto"/>
              <w:bottom w:val="nil"/>
              <w:right w:val="nil"/>
            </w:tcBorders>
            <w:shd w:val="clear" w:color="auto" w:fill="E5DFEC" w:themeFill="accent4" w:themeFillTint="33"/>
            <w:noWrap/>
            <w:hideMark/>
          </w:tcPr>
          <w:p w14:paraId="0F47469B" w14:textId="77777777" w:rsidR="00905F73" w:rsidRPr="005D61DD" w:rsidRDefault="00905F73"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Police</w:t>
            </w:r>
          </w:p>
        </w:tc>
        <w:tc>
          <w:tcPr>
            <w:tcW w:w="1126" w:type="dxa"/>
            <w:tcBorders>
              <w:top w:val="nil"/>
              <w:left w:val="nil"/>
              <w:bottom w:val="nil"/>
              <w:right w:val="nil"/>
            </w:tcBorders>
            <w:shd w:val="clear" w:color="auto" w:fill="auto"/>
            <w:noWrap/>
            <w:vAlign w:val="bottom"/>
            <w:hideMark/>
          </w:tcPr>
          <w:p w14:paraId="3C6C6D2B"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1751</w:t>
            </w:r>
          </w:p>
        </w:tc>
        <w:tc>
          <w:tcPr>
            <w:tcW w:w="1126" w:type="dxa"/>
            <w:tcBorders>
              <w:top w:val="nil"/>
              <w:left w:val="nil"/>
              <w:bottom w:val="nil"/>
              <w:right w:val="nil"/>
            </w:tcBorders>
            <w:shd w:val="clear" w:color="auto" w:fill="E5DFEC" w:themeFill="accent4" w:themeFillTint="33"/>
            <w:noWrap/>
            <w:vAlign w:val="bottom"/>
            <w:hideMark/>
          </w:tcPr>
          <w:p w14:paraId="26A4E1B1"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1921</w:t>
            </w:r>
          </w:p>
        </w:tc>
        <w:tc>
          <w:tcPr>
            <w:tcW w:w="1126" w:type="dxa"/>
            <w:tcBorders>
              <w:top w:val="nil"/>
              <w:left w:val="nil"/>
              <w:bottom w:val="nil"/>
              <w:right w:val="nil"/>
            </w:tcBorders>
            <w:shd w:val="clear" w:color="auto" w:fill="auto"/>
            <w:noWrap/>
            <w:vAlign w:val="bottom"/>
            <w:hideMark/>
          </w:tcPr>
          <w:p w14:paraId="1E72F954"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1847</w:t>
            </w:r>
          </w:p>
        </w:tc>
        <w:tc>
          <w:tcPr>
            <w:tcW w:w="1126" w:type="dxa"/>
            <w:tcBorders>
              <w:top w:val="nil"/>
              <w:left w:val="nil"/>
              <w:bottom w:val="nil"/>
              <w:right w:val="nil"/>
            </w:tcBorders>
            <w:shd w:val="clear" w:color="auto" w:fill="E5DFEC" w:themeFill="accent4" w:themeFillTint="33"/>
            <w:noWrap/>
            <w:vAlign w:val="bottom"/>
            <w:hideMark/>
          </w:tcPr>
          <w:p w14:paraId="3BD3BD91"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1806</w:t>
            </w:r>
          </w:p>
        </w:tc>
        <w:tc>
          <w:tcPr>
            <w:tcW w:w="1126" w:type="dxa"/>
            <w:tcBorders>
              <w:top w:val="nil"/>
              <w:left w:val="nil"/>
              <w:bottom w:val="nil"/>
              <w:right w:val="nil"/>
            </w:tcBorders>
            <w:shd w:val="clear" w:color="auto" w:fill="auto"/>
            <w:noWrap/>
            <w:vAlign w:val="bottom"/>
            <w:hideMark/>
          </w:tcPr>
          <w:p w14:paraId="451C4A67"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1789</w:t>
            </w:r>
          </w:p>
        </w:tc>
        <w:tc>
          <w:tcPr>
            <w:tcW w:w="1126" w:type="dxa"/>
            <w:tcBorders>
              <w:top w:val="nil"/>
              <w:left w:val="nil"/>
              <w:bottom w:val="nil"/>
              <w:right w:val="nil"/>
            </w:tcBorders>
            <w:shd w:val="clear" w:color="auto" w:fill="E5DFEC" w:themeFill="accent4" w:themeFillTint="33"/>
            <w:noWrap/>
            <w:vAlign w:val="bottom"/>
            <w:hideMark/>
          </w:tcPr>
          <w:p w14:paraId="695F2C61"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1763</w:t>
            </w:r>
          </w:p>
        </w:tc>
        <w:tc>
          <w:tcPr>
            <w:tcW w:w="1126" w:type="dxa"/>
            <w:tcBorders>
              <w:top w:val="nil"/>
              <w:left w:val="nil"/>
              <w:bottom w:val="nil"/>
              <w:right w:val="nil"/>
            </w:tcBorders>
            <w:shd w:val="clear" w:color="auto" w:fill="auto"/>
            <w:noWrap/>
            <w:vAlign w:val="bottom"/>
            <w:hideMark/>
          </w:tcPr>
          <w:p w14:paraId="033672B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1805</w:t>
            </w:r>
          </w:p>
        </w:tc>
        <w:tc>
          <w:tcPr>
            <w:tcW w:w="1126" w:type="dxa"/>
            <w:tcBorders>
              <w:top w:val="nil"/>
              <w:left w:val="nil"/>
              <w:bottom w:val="nil"/>
              <w:right w:val="nil"/>
            </w:tcBorders>
            <w:shd w:val="clear" w:color="auto" w:fill="E5DFEC" w:themeFill="accent4" w:themeFillTint="33"/>
            <w:noWrap/>
            <w:vAlign w:val="bottom"/>
            <w:hideMark/>
          </w:tcPr>
          <w:p w14:paraId="5ADB720E"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2325</w:t>
            </w:r>
          </w:p>
        </w:tc>
        <w:tc>
          <w:tcPr>
            <w:tcW w:w="1126" w:type="dxa"/>
            <w:tcBorders>
              <w:top w:val="nil"/>
              <w:left w:val="nil"/>
              <w:bottom w:val="nil"/>
              <w:right w:val="nil"/>
            </w:tcBorders>
            <w:shd w:val="clear" w:color="auto" w:fill="auto"/>
            <w:noWrap/>
            <w:vAlign w:val="bottom"/>
            <w:hideMark/>
          </w:tcPr>
          <w:p w14:paraId="2FB356EF"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2456</w:t>
            </w:r>
          </w:p>
        </w:tc>
        <w:tc>
          <w:tcPr>
            <w:tcW w:w="1127" w:type="dxa"/>
            <w:tcBorders>
              <w:top w:val="nil"/>
              <w:left w:val="nil"/>
              <w:bottom w:val="nil"/>
              <w:right w:val="single" w:sz="4" w:space="0" w:color="auto"/>
            </w:tcBorders>
            <w:shd w:val="clear" w:color="auto" w:fill="E5DFEC" w:themeFill="accent4" w:themeFillTint="33"/>
            <w:noWrap/>
            <w:vAlign w:val="bottom"/>
            <w:hideMark/>
          </w:tcPr>
          <w:p w14:paraId="0E1AE31F"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3231</w:t>
            </w:r>
          </w:p>
        </w:tc>
        <w:tc>
          <w:tcPr>
            <w:tcW w:w="1275" w:type="dxa"/>
            <w:tcBorders>
              <w:top w:val="nil"/>
              <w:left w:val="nil"/>
              <w:bottom w:val="nil"/>
              <w:right w:val="single" w:sz="4" w:space="0" w:color="auto"/>
            </w:tcBorders>
            <w:shd w:val="clear" w:color="auto" w:fill="auto"/>
          </w:tcPr>
          <w:p w14:paraId="3887DD00"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85</w:t>
            </w:r>
            <w:r w:rsidR="00905F73" w:rsidRPr="005D61DD">
              <w:rPr>
                <w:rFonts w:eastAsia="Times New Roman" w:cs="Arial"/>
                <w:b/>
                <w:color w:val="000000"/>
                <w:sz w:val="20"/>
                <w:szCs w:val="20"/>
                <w:lang w:eastAsia="en-AU"/>
              </w:rPr>
              <w:t>%</w:t>
            </w:r>
          </w:p>
        </w:tc>
      </w:tr>
      <w:tr w:rsidR="00905F73" w:rsidRPr="005D61DD" w14:paraId="35AA85E1" w14:textId="77777777" w:rsidTr="00C84E96">
        <w:trPr>
          <w:trHeight w:val="204"/>
        </w:trPr>
        <w:tc>
          <w:tcPr>
            <w:tcW w:w="2221" w:type="dxa"/>
            <w:tcBorders>
              <w:top w:val="nil"/>
              <w:left w:val="single" w:sz="4" w:space="0" w:color="auto"/>
              <w:bottom w:val="nil"/>
              <w:right w:val="nil"/>
            </w:tcBorders>
            <w:shd w:val="clear" w:color="auto" w:fill="E5DFEC" w:themeFill="accent4" w:themeFillTint="33"/>
            <w:noWrap/>
            <w:hideMark/>
          </w:tcPr>
          <w:p w14:paraId="6A8767EA" w14:textId="77777777" w:rsidR="00905F73" w:rsidRPr="005D61DD" w:rsidRDefault="00AC4C50"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School personnel</w:t>
            </w:r>
          </w:p>
        </w:tc>
        <w:tc>
          <w:tcPr>
            <w:tcW w:w="1126" w:type="dxa"/>
            <w:tcBorders>
              <w:top w:val="nil"/>
              <w:left w:val="nil"/>
              <w:bottom w:val="nil"/>
              <w:right w:val="nil"/>
            </w:tcBorders>
            <w:shd w:val="clear" w:color="auto" w:fill="auto"/>
            <w:noWrap/>
            <w:vAlign w:val="bottom"/>
            <w:hideMark/>
          </w:tcPr>
          <w:p w14:paraId="67AA662E"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756</w:t>
            </w:r>
          </w:p>
        </w:tc>
        <w:tc>
          <w:tcPr>
            <w:tcW w:w="1126" w:type="dxa"/>
            <w:tcBorders>
              <w:top w:val="nil"/>
              <w:left w:val="nil"/>
              <w:bottom w:val="nil"/>
              <w:right w:val="nil"/>
            </w:tcBorders>
            <w:shd w:val="clear" w:color="auto" w:fill="E5DFEC" w:themeFill="accent4" w:themeFillTint="33"/>
            <w:noWrap/>
            <w:vAlign w:val="bottom"/>
            <w:hideMark/>
          </w:tcPr>
          <w:p w14:paraId="0F1EDB50"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727</w:t>
            </w:r>
          </w:p>
        </w:tc>
        <w:tc>
          <w:tcPr>
            <w:tcW w:w="1126" w:type="dxa"/>
            <w:tcBorders>
              <w:top w:val="nil"/>
              <w:left w:val="nil"/>
              <w:bottom w:val="nil"/>
              <w:right w:val="nil"/>
            </w:tcBorders>
            <w:shd w:val="clear" w:color="auto" w:fill="auto"/>
            <w:noWrap/>
            <w:vAlign w:val="bottom"/>
            <w:hideMark/>
          </w:tcPr>
          <w:p w14:paraId="2DD0556B"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718</w:t>
            </w:r>
          </w:p>
        </w:tc>
        <w:tc>
          <w:tcPr>
            <w:tcW w:w="1126" w:type="dxa"/>
            <w:tcBorders>
              <w:top w:val="nil"/>
              <w:left w:val="nil"/>
              <w:bottom w:val="nil"/>
              <w:right w:val="nil"/>
            </w:tcBorders>
            <w:shd w:val="clear" w:color="auto" w:fill="E5DFEC" w:themeFill="accent4" w:themeFillTint="33"/>
            <w:noWrap/>
            <w:vAlign w:val="bottom"/>
            <w:hideMark/>
          </w:tcPr>
          <w:p w14:paraId="2C69BD0B"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723</w:t>
            </w:r>
          </w:p>
        </w:tc>
        <w:tc>
          <w:tcPr>
            <w:tcW w:w="1126" w:type="dxa"/>
            <w:tcBorders>
              <w:top w:val="nil"/>
              <w:left w:val="nil"/>
              <w:bottom w:val="nil"/>
              <w:right w:val="nil"/>
            </w:tcBorders>
            <w:shd w:val="clear" w:color="auto" w:fill="auto"/>
            <w:noWrap/>
            <w:vAlign w:val="bottom"/>
            <w:hideMark/>
          </w:tcPr>
          <w:p w14:paraId="6F861A4C"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751</w:t>
            </w:r>
          </w:p>
        </w:tc>
        <w:tc>
          <w:tcPr>
            <w:tcW w:w="1126" w:type="dxa"/>
            <w:tcBorders>
              <w:top w:val="nil"/>
              <w:left w:val="nil"/>
              <w:bottom w:val="nil"/>
              <w:right w:val="nil"/>
            </w:tcBorders>
            <w:shd w:val="clear" w:color="auto" w:fill="E5DFEC" w:themeFill="accent4" w:themeFillTint="33"/>
            <w:noWrap/>
            <w:vAlign w:val="bottom"/>
            <w:hideMark/>
          </w:tcPr>
          <w:p w14:paraId="06ABC482"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975</w:t>
            </w:r>
          </w:p>
        </w:tc>
        <w:tc>
          <w:tcPr>
            <w:tcW w:w="1126" w:type="dxa"/>
            <w:tcBorders>
              <w:top w:val="nil"/>
              <w:left w:val="nil"/>
              <w:bottom w:val="nil"/>
              <w:right w:val="nil"/>
            </w:tcBorders>
            <w:shd w:val="clear" w:color="auto" w:fill="auto"/>
            <w:noWrap/>
            <w:vAlign w:val="bottom"/>
            <w:hideMark/>
          </w:tcPr>
          <w:p w14:paraId="069E5C1D"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1002</w:t>
            </w:r>
          </w:p>
        </w:tc>
        <w:tc>
          <w:tcPr>
            <w:tcW w:w="1126" w:type="dxa"/>
            <w:tcBorders>
              <w:top w:val="nil"/>
              <w:left w:val="nil"/>
              <w:bottom w:val="nil"/>
              <w:right w:val="nil"/>
            </w:tcBorders>
            <w:shd w:val="clear" w:color="auto" w:fill="E5DFEC" w:themeFill="accent4" w:themeFillTint="33"/>
            <w:noWrap/>
            <w:vAlign w:val="bottom"/>
            <w:hideMark/>
          </w:tcPr>
          <w:p w14:paraId="04407072"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1070</w:t>
            </w:r>
          </w:p>
        </w:tc>
        <w:tc>
          <w:tcPr>
            <w:tcW w:w="1126" w:type="dxa"/>
            <w:tcBorders>
              <w:top w:val="nil"/>
              <w:left w:val="nil"/>
              <w:bottom w:val="nil"/>
              <w:right w:val="nil"/>
            </w:tcBorders>
            <w:shd w:val="clear" w:color="auto" w:fill="auto"/>
            <w:noWrap/>
            <w:vAlign w:val="bottom"/>
            <w:hideMark/>
          </w:tcPr>
          <w:p w14:paraId="372689D3"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1374</w:t>
            </w:r>
          </w:p>
        </w:tc>
        <w:tc>
          <w:tcPr>
            <w:tcW w:w="1127" w:type="dxa"/>
            <w:tcBorders>
              <w:top w:val="nil"/>
              <w:left w:val="nil"/>
              <w:bottom w:val="nil"/>
              <w:right w:val="single" w:sz="4" w:space="0" w:color="auto"/>
            </w:tcBorders>
            <w:shd w:val="clear" w:color="auto" w:fill="E5DFEC" w:themeFill="accent4" w:themeFillTint="33"/>
            <w:noWrap/>
            <w:vAlign w:val="bottom"/>
            <w:hideMark/>
          </w:tcPr>
          <w:p w14:paraId="5C823745"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1515</w:t>
            </w:r>
          </w:p>
        </w:tc>
        <w:tc>
          <w:tcPr>
            <w:tcW w:w="1275" w:type="dxa"/>
            <w:tcBorders>
              <w:top w:val="nil"/>
              <w:left w:val="nil"/>
              <w:bottom w:val="nil"/>
              <w:right w:val="single" w:sz="4" w:space="0" w:color="auto"/>
            </w:tcBorders>
            <w:shd w:val="clear" w:color="auto" w:fill="auto"/>
          </w:tcPr>
          <w:p w14:paraId="0A8F472F"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100</w:t>
            </w:r>
            <w:r w:rsidR="00905F73" w:rsidRPr="005D61DD">
              <w:rPr>
                <w:rFonts w:eastAsia="Times New Roman" w:cs="Arial"/>
                <w:b/>
                <w:color w:val="000000"/>
                <w:sz w:val="20"/>
                <w:szCs w:val="20"/>
                <w:lang w:eastAsia="en-AU"/>
              </w:rPr>
              <w:t>%</w:t>
            </w:r>
          </w:p>
        </w:tc>
      </w:tr>
      <w:tr w:rsidR="001635B1" w:rsidRPr="005D61DD" w14:paraId="58A8F4EA" w14:textId="77777777" w:rsidTr="00C84E96">
        <w:trPr>
          <w:trHeight w:val="204"/>
        </w:trPr>
        <w:tc>
          <w:tcPr>
            <w:tcW w:w="2221" w:type="dxa"/>
            <w:tcBorders>
              <w:top w:val="nil"/>
              <w:left w:val="single" w:sz="4" w:space="0" w:color="auto"/>
              <w:bottom w:val="nil"/>
              <w:right w:val="nil"/>
            </w:tcBorders>
            <w:shd w:val="clear" w:color="auto" w:fill="E5DFEC" w:themeFill="accent4" w:themeFillTint="33"/>
            <w:noWrap/>
            <w:hideMark/>
          </w:tcPr>
          <w:p w14:paraId="69DEDE3B" w14:textId="77777777" w:rsidR="001635B1" w:rsidRPr="005D61DD" w:rsidRDefault="001635B1"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Psychiatrists</w:t>
            </w:r>
          </w:p>
        </w:tc>
        <w:tc>
          <w:tcPr>
            <w:tcW w:w="1126" w:type="dxa"/>
            <w:tcBorders>
              <w:top w:val="nil"/>
              <w:left w:val="nil"/>
              <w:bottom w:val="nil"/>
              <w:right w:val="nil"/>
            </w:tcBorders>
            <w:shd w:val="clear" w:color="auto" w:fill="auto"/>
            <w:noWrap/>
            <w:vAlign w:val="bottom"/>
            <w:hideMark/>
          </w:tcPr>
          <w:p w14:paraId="260060F1"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43</w:t>
            </w:r>
          </w:p>
        </w:tc>
        <w:tc>
          <w:tcPr>
            <w:tcW w:w="1126" w:type="dxa"/>
            <w:tcBorders>
              <w:top w:val="nil"/>
              <w:left w:val="nil"/>
              <w:bottom w:val="nil"/>
              <w:right w:val="nil"/>
            </w:tcBorders>
            <w:shd w:val="clear" w:color="auto" w:fill="E5DFEC" w:themeFill="accent4" w:themeFillTint="33"/>
            <w:noWrap/>
            <w:vAlign w:val="bottom"/>
            <w:hideMark/>
          </w:tcPr>
          <w:p w14:paraId="7793B96A"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63</w:t>
            </w:r>
          </w:p>
        </w:tc>
        <w:tc>
          <w:tcPr>
            <w:tcW w:w="1126" w:type="dxa"/>
            <w:tcBorders>
              <w:top w:val="nil"/>
              <w:left w:val="nil"/>
              <w:bottom w:val="nil"/>
              <w:right w:val="nil"/>
            </w:tcBorders>
            <w:shd w:val="clear" w:color="auto" w:fill="auto"/>
            <w:noWrap/>
            <w:vAlign w:val="bottom"/>
            <w:hideMark/>
          </w:tcPr>
          <w:p w14:paraId="793D1CBA"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29</w:t>
            </w:r>
          </w:p>
        </w:tc>
        <w:tc>
          <w:tcPr>
            <w:tcW w:w="1126" w:type="dxa"/>
            <w:tcBorders>
              <w:top w:val="nil"/>
              <w:left w:val="nil"/>
              <w:bottom w:val="nil"/>
              <w:right w:val="nil"/>
            </w:tcBorders>
            <w:shd w:val="clear" w:color="auto" w:fill="E5DFEC" w:themeFill="accent4" w:themeFillTint="33"/>
            <w:noWrap/>
            <w:vAlign w:val="bottom"/>
            <w:hideMark/>
          </w:tcPr>
          <w:p w14:paraId="38840A46"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40</w:t>
            </w:r>
          </w:p>
        </w:tc>
        <w:tc>
          <w:tcPr>
            <w:tcW w:w="1126" w:type="dxa"/>
            <w:tcBorders>
              <w:top w:val="nil"/>
              <w:left w:val="nil"/>
              <w:bottom w:val="nil"/>
              <w:right w:val="nil"/>
            </w:tcBorders>
            <w:shd w:val="clear" w:color="auto" w:fill="auto"/>
            <w:noWrap/>
            <w:vAlign w:val="bottom"/>
            <w:hideMark/>
          </w:tcPr>
          <w:p w14:paraId="3C8AFF43"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30</w:t>
            </w:r>
          </w:p>
        </w:tc>
        <w:tc>
          <w:tcPr>
            <w:tcW w:w="1126" w:type="dxa"/>
            <w:tcBorders>
              <w:top w:val="nil"/>
              <w:left w:val="nil"/>
              <w:bottom w:val="nil"/>
              <w:right w:val="nil"/>
            </w:tcBorders>
            <w:shd w:val="clear" w:color="auto" w:fill="E5DFEC" w:themeFill="accent4" w:themeFillTint="33"/>
            <w:noWrap/>
            <w:vAlign w:val="bottom"/>
            <w:hideMark/>
          </w:tcPr>
          <w:p w14:paraId="3B6F9365"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27</w:t>
            </w:r>
          </w:p>
        </w:tc>
        <w:tc>
          <w:tcPr>
            <w:tcW w:w="1126" w:type="dxa"/>
            <w:tcBorders>
              <w:top w:val="nil"/>
              <w:left w:val="nil"/>
              <w:bottom w:val="nil"/>
              <w:right w:val="nil"/>
            </w:tcBorders>
            <w:shd w:val="clear" w:color="auto" w:fill="auto"/>
            <w:noWrap/>
            <w:vAlign w:val="bottom"/>
            <w:hideMark/>
          </w:tcPr>
          <w:p w14:paraId="42764C4E"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38</w:t>
            </w:r>
          </w:p>
        </w:tc>
        <w:tc>
          <w:tcPr>
            <w:tcW w:w="1126" w:type="dxa"/>
            <w:tcBorders>
              <w:top w:val="nil"/>
              <w:left w:val="nil"/>
              <w:bottom w:val="nil"/>
              <w:right w:val="nil"/>
            </w:tcBorders>
            <w:shd w:val="clear" w:color="auto" w:fill="E5DFEC" w:themeFill="accent4" w:themeFillTint="33"/>
            <w:noWrap/>
            <w:vAlign w:val="bottom"/>
            <w:hideMark/>
          </w:tcPr>
          <w:p w14:paraId="4F5A122B"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46</w:t>
            </w:r>
          </w:p>
        </w:tc>
        <w:tc>
          <w:tcPr>
            <w:tcW w:w="1126" w:type="dxa"/>
            <w:tcBorders>
              <w:top w:val="nil"/>
              <w:left w:val="nil"/>
              <w:bottom w:val="nil"/>
              <w:right w:val="nil"/>
            </w:tcBorders>
            <w:shd w:val="clear" w:color="auto" w:fill="auto"/>
            <w:noWrap/>
            <w:vAlign w:val="bottom"/>
            <w:hideMark/>
          </w:tcPr>
          <w:p w14:paraId="4D77E08D"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34</w:t>
            </w:r>
          </w:p>
        </w:tc>
        <w:tc>
          <w:tcPr>
            <w:tcW w:w="1127" w:type="dxa"/>
            <w:tcBorders>
              <w:top w:val="nil"/>
              <w:left w:val="nil"/>
              <w:bottom w:val="nil"/>
              <w:right w:val="single" w:sz="4" w:space="0" w:color="auto"/>
            </w:tcBorders>
            <w:shd w:val="clear" w:color="auto" w:fill="E5DFEC" w:themeFill="accent4" w:themeFillTint="33"/>
            <w:noWrap/>
            <w:vAlign w:val="bottom"/>
            <w:hideMark/>
          </w:tcPr>
          <w:p w14:paraId="0AEE4E67"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23</w:t>
            </w:r>
          </w:p>
        </w:tc>
        <w:tc>
          <w:tcPr>
            <w:tcW w:w="1275" w:type="dxa"/>
            <w:tcBorders>
              <w:top w:val="nil"/>
              <w:left w:val="nil"/>
              <w:bottom w:val="nil"/>
              <w:right w:val="single" w:sz="4" w:space="0" w:color="auto"/>
            </w:tcBorders>
            <w:shd w:val="clear" w:color="auto" w:fill="auto"/>
          </w:tcPr>
          <w:p w14:paraId="73427C56" w14:textId="77777777" w:rsidR="001635B1" w:rsidRPr="005D61DD" w:rsidRDefault="001635B1"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-47%</w:t>
            </w:r>
          </w:p>
        </w:tc>
      </w:tr>
      <w:tr w:rsidR="005D61DD" w:rsidRPr="005D61DD" w14:paraId="54CFD3F4" w14:textId="77777777" w:rsidTr="00C84E96">
        <w:trPr>
          <w:trHeight w:val="204"/>
        </w:trPr>
        <w:tc>
          <w:tcPr>
            <w:tcW w:w="2221" w:type="dxa"/>
            <w:tcBorders>
              <w:top w:val="nil"/>
              <w:left w:val="single" w:sz="4" w:space="0" w:color="auto"/>
              <w:bottom w:val="nil"/>
              <w:right w:val="nil"/>
            </w:tcBorders>
            <w:shd w:val="clear" w:color="auto" w:fill="E5DFEC" w:themeFill="accent4" w:themeFillTint="33"/>
            <w:noWrap/>
            <w:hideMark/>
          </w:tcPr>
          <w:p w14:paraId="64C890A5" w14:textId="77777777" w:rsidR="005D61DD" w:rsidRPr="005D61DD" w:rsidRDefault="005D61DD"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Major mandated reporter groups combined</w:t>
            </w:r>
          </w:p>
        </w:tc>
        <w:tc>
          <w:tcPr>
            <w:tcW w:w="1126" w:type="dxa"/>
            <w:tcBorders>
              <w:top w:val="nil"/>
              <w:left w:val="nil"/>
              <w:bottom w:val="nil"/>
              <w:right w:val="nil"/>
            </w:tcBorders>
            <w:shd w:val="clear" w:color="auto" w:fill="auto"/>
            <w:noWrap/>
            <w:vAlign w:val="bottom"/>
            <w:hideMark/>
          </w:tcPr>
          <w:p w14:paraId="7D61E966"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3212</w:t>
            </w:r>
          </w:p>
        </w:tc>
        <w:tc>
          <w:tcPr>
            <w:tcW w:w="1126" w:type="dxa"/>
            <w:tcBorders>
              <w:top w:val="nil"/>
              <w:left w:val="nil"/>
              <w:bottom w:val="nil"/>
              <w:right w:val="nil"/>
            </w:tcBorders>
            <w:shd w:val="clear" w:color="auto" w:fill="E5DFEC" w:themeFill="accent4" w:themeFillTint="33"/>
            <w:noWrap/>
            <w:vAlign w:val="bottom"/>
            <w:hideMark/>
          </w:tcPr>
          <w:p w14:paraId="3043D7A1"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3347</w:t>
            </w:r>
          </w:p>
        </w:tc>
        <w:tc>
          <w:tcPr>
            <w:tcW w:w="1126" w:type="dxa"/>
            <w:tcBorders>
              <w:top w:val="nil"/>
              <w:left w:val="nil"/>
              <w:bottom w:val="nil"/>
              <w:right w:val="nil"/>
            </w:tcBorders>
            <w:shd w:val="clear" w:color="auto" w:fill="auto"/>
            <w:noWrap/>
            <w:vAlign w:val="bottom"/>
            <w:hideMark/>
          </w:tcPr>
          <w:p w14:paraId="35B412C8"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3254</w:t>
            </w:r>
          </w:p>
        </w:tc>
        <w:tc>
          <w:tcPr>
            <w:tcW w:w="1126" w:type="dxa"/>
            <w:tcBorders>
              <w:top w:val="nil"/>
              <w:left w:val="nil"/>
              <w:bottom w:val="nil"/>
              <w:right w:val="nil"/>
            </w:tcBorders>
            <w:shd w:val="clear" w:color="auto" w:fill="E5DFEC" w:themeFill="accent4" w:themeFillTint="33"/>
            <w:noWrap/>
            <w:vAlign w:val="bottom"/>
            <w:hideMark/>
          </w:tcPr>
          <w:p w14:paraId="58414D95"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3163</w:t>
            </w:r>
          </w:p>
        </w:tc>
        <w:tc>
          <w:tcPr>
            <w:tcW w:w="1126" w:type="dxa"/>
            <w:tcBorders>
              <w:top w:val="nil"/>
              <w:left w:val="nil"/>
              <w:bottom w:val="nil"/>
              <w:right w:val="nil"/>
            </w:tcBorders>
            <w:shd w:val="clear" w:color="auto" w:fill="auto"/>
            <w:noWrap/>
            <w:vAlign w:val="bottom"/>
            <w:hideMark/>
          </w:tcPr>
          <w:p w14:paraId="5C4A3F8B"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3171</w:t>
            </w:r>
          </w:p>
        </w:tc>
        <w:tc>
          <w:tcPr>
            <w:tcW w:w="1126" w:type="dxa"/>
            <w:tcBorders>
              <w:top w:val="nil"/>
              <w:left w:val="nil"/>
              <w:bottom w:val="nil"/>
              <w:right w:val="nil"/>
            </w:tcBorders>
            <w:shd w:val="clear" w:color="auto" w:fill="E5DFEC" w:themeFill="accent4" w:themeFillTint="33"/>
            <w:noWrap/>
            <w:vAlign w:val="bottom"/>
            <w:hideMark/>
          </w:tcPr>
          <w:p w14:paraId="27749F59"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3306</w:t>
            </w:r>
          </w:p>
        </w:tc>
        <w:tc>
          <w:tcPr>
            <w:tcW w:w="1126" w:type="dxa"/>
            <w:tcBorders>
              <w:top w:val="nil"/>
              <w:left w:val="nil"/>
              <w:bottom w:val="nil"/>
              <w:right w:val="nil"/>
            </w:tcBorders>
            <w:shd w:val="clear" w:color="auto" w:fill="auto"/>
            <w:noWrap/>
            <w:vAlign w:val="bottom"/>
            <w:hideMark/>
          </w:tcPr>
          <w:p w14:paraId="4011E9BB"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3364</w:t>
            </w:r>
          </w:p>
        </w:tc>
        <w:tc>
          <w:tcPr>
            <w:tcW w:w="1126" w:type="dxa"/>
            <w:tcBorders>
              <w:top w:val="nil"/>
              <w:left w:val="nil"/>
              <w:bottom w:val="nil"/>
              <w:right w:val="nil"/>
            </w:tcBorders>
            <w:shd w:val="clear" w:color="auto" w:fill="E5DFEC" w:themeFill="accent4" w:themeFillTint="33"/>
            <w:noWrap/>
            <w:vAlign w:val="bottom"/>
            <w:hideMark/>
          </w:tcPr>
          <w:p w14:paraId="0A4080F4"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4013</w:t>
            </w:r>
          </w:p>
        </w:tc>
        <w:tc>
          <w:tcPr>
            <w:tcW w:w="1126" w:type="dxa"/>
            <w:tcBorders>
              <w:top w:val="nil"/>
              <w:left w:val="nil"/>
              <w:bottom w:val="nil"/>
              <w:right w:val="nil"/>
            </w:tcBorders>
            <w:shd w:val="clear" w:color="auto" w:fill="auto"/>
            <w:noWrap/>
            <w:vAlign w:val="bottom"/>
            <w:hideMark/>
          </w:tcPr>
          <w:p w14:paraId="679FD832"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4522</w:t>
            </w:r>
          </w:p>
        </w:tc>
        <w:tc>
          <w:tcPr>
            <w:tcW w:w="1127" w:type="dxa"/>
            <w:tcBorders>
              <w:top w:val="nil"/>
              <w:left w:val="nil"/>
              <w:bottom w:val="nil"/>
              <w:right w:val="single" w:sz="4" w:space="0" w:color="auto"/>
            </w:tcBorders>
            <w:shd w:val="clear" w:color="auto" w:fill="E5DFEC" w:themeFill="accent4" w:themeFillTint="33"/>
            <w:noWrap/>
            <w:vAlign w:val="bottom"/>
            <w:hideMark/>
          </w:tcPr>
          <w:p w14:paraId="7A35E1E8"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5536</w:t>
            </w:r>
          </w:p>
        </w:tc>
        <w:tc>
          <w:tcPr>
            <w:tcW w:w="1275" w:type="dxa"/>
            <w:tcBorders>
              <w:top w:val="nil"/>
              <w:left w:val="nil"/>
              <w:bottom w:val="nil"/>
              <w:right w:val="single" w:sz="4" w:space="0" w:color="auto"/>
            </w:tcBorders>
            <w:shd w:val="clear" w:color="auto" w:fill="auto"/>
          </w:tcPr>
          <w:p w14:paraId="00288921" w14:textId="77777777" w:rsidR="005D61DD" w:rsidRPr="005D61DD" w:rsidRDefault="005D61DD" w:rsidP="00CE2FDF">
            <w:pPr>
              <w:spacing w:before="0" w:line="276" w:lineRule="auto"/>
              <w:jc w:val="right"/>
              <w:rPr>
                <w:rFonts w:eastAsia="Times New Roman" w:cs="Arial"/>
                <w:b/>
                <w:color w:val="000000"/>
                <w:sz w:val="20"/>
                <w:szCs w:val="20"/>
                <w:lang w:eastAsia="en-AU"/>
              </w:rPr>
            </w:pPr>
          </w:p>
          <w:p w14:paraId="2E21769B" w14:textId="77777777" w:rsidR="005D61DD" w:rsidRPr="005D61DD" w:rsidRDefault="005D61DD"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72%</w:t>
            </w:r>
          </w:p>
        </w:tc>
      </w:tr>
      <w:tr w:rsidR="005D61DD" w:rsidRPr="005D61DD" w14:paraId="7E9EE1CF" w14:textId="77777777" w:rsidTr="00C84E96">
        <w:trPr>
          <w:trHeight w:val="204"/>
        </w:trPr>
        <w:tc>
          <w:tcPr>
            <w:tcW w:w="2221" w:type="dxa"/>
            <w:tcBorders>
              <w:top w:val="nil"/>
              <w:left w:val="single" w:sz="4" w:space="0" w:color="auto"/>
              <w:bottom w:val="nil"/>
              <w:right w:val="nil"/>
            </w:tcBorders>
            <w:shd w:val="clear" w:color="auto" w:fill="E5DFEC" w:themeFill="accent4" w:themeFillTint="33"/>
            <w:noWrap/>
            <w:hideMark/>
          </w:tcPr>
          <w:p w14:paraId="44030FFB" w14:textId="77777777" w:rsidR="005D61DD" w:rsidRPr="005D61DD" w:rsidRDefault="005D61DD"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Other reporter groups combined</w:t>
            </w:r>
          </w:p>
        </w:tc>
        <w:tc>
          <w:tcPr>
            <w:tcW w:w="1126" w:type="dxa"/>
            <w:tcBorders>
              <w:top w:val="nil"/>
              <w:left w:val="nil"/>
              <w:bottom w:val="nil"/>
              <w:right w:val="nil"/>
            </w:tcBorders>
            <w:shd w:val="clear" w:color="auto" w:fill="auto"/>
            <w:noWrap/>
            <w:vAlign w:val="bottom"/>
            <w:hideMark/>
          </w:tcPr>
          <w:p w14:paraId="4488EFF1"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4199</w:t>
            </w:r>
          </w:p>
        </w:tc>
        <w:tc>
          <w:tcPr>
            <w:tcW w:w="1126" w:type="dxa"/>
            <w:tcBorders>
              <w:top w:val="nil"/>
              <w:left w:val="nil"/>
              <w:bottom w:val="nil"/>
              <w:right w:val="nil"/>
            </w:tcBorders>
            <w:shd w:val="clear" w:color="auto" w:fill="E5DFEC" w:themeFill="accent4" w:themeFillTint="33"/>
            <w:noWrap/>
            <w:vAlign w:val="bottom"/>
            <w:hideMark/>
          </w:tcPr>
          <w:p w14:paraId="5469CFA2"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4565</w:t>
            </w:r>
          </w:p>
        </w:tc>
        <w:tc>
          <w:tcPr>
            <w:tcW w:w="1126" w:type="dxa"/>
            <w:tcBorders>
              <w:top w:val="nil"/>
              <w:left w:val="nil"/>
              <w:bottom w:val="nil"/>
              <w:right w:val="nil"/>
            </w:tcBorders>
            <w:shd w:val="clear" w:color="auto" w:fill="auto"/>
            <w:noWrap/>
            <w:vAlign w:val="bottom"/>
            <w:hideMark/>
          </w:tcPr>
          <w:p w14:paraId="7A4F66F2"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4250</w:t>
            </w:r>
          </w:p>
        </w:tc>
        <w:tc>
          <w:tcPr>
            <w:tcW w:w="1126" w:type="dxa"/>
            <w:tcBorders>
              <w:top w:val="nil"/>
              <w:left w:val="nil"/>
              <w:bottom w:val="nil"/>
              <w:right w:val="nil"/>
            </w:tcBorders>
            <w:shd w:val="clear" w:color="auto" w:fill="E5DFEC" w:themeFill="accent4" w:themeFillTint="33"/>
            <w:noWrap/>
            <w:vAlign w:val="bottom"/>
            <w:hideMark/>
          </w:tcPr>
          <w:p w14:paraId="532D3DBC"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4325</w:t>
            </w:r>
          </w:p>
        </w:tc>
        <w:tc>
          <w:tcPr>
            <w:tcW w:w="1126" w:type="dxa"/>
            <w:tcBorders>
              <w:top w:val="nil"/>
              <w:left w:val="nil"/>
              <w:bottom w:val="nil"/>
              <w:right w:val="nil"/>
            </w:tcBorders>
            <w:shd w:val="clear" w:color="auto" w:fill="auto"/>
            <w:noWrap/>
            <w:vAlign w:val="bottom"/>
            <w:hideMark/>
          </w:tcPr>
          <w:p w14:paraId="09A63DD3"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3961</w:t>
            </w:r>
          </w:p>
        </w:tc>
        <w:tc>
          <w:tcPr>
            <w:tcW w:w="1126" w:type="dxa"/>
            <w:tcBorders>
              <w:top w:val="nil"/>
              <w:left w:val="nil"/>
              <w:bottom w:val="nil"/>
              <w:right w:val="nil"/>
            </w:tcBorders>
            <w:shd w:val="clear" w:color="auto" w:fill="E5DFEC" w:themeFill="accent4" w:themeFillTint="33"/>
            <w:noWrap/>
            <w:vAlign w:val="bottom"/>
            <w:hideMark/>
          </w:tcPr>
          <w:p w14:paraId="499E8A0A"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3713</w:t>
            </w:r>
          </w:p>
        </w:tc>
        <w:tc>
          <w:tcPr>
            <w:tcW w:w="1126" w:type="dxa"/>
            <w:tcBorders>
              <w:top w:val="nil"/>
              <w:left w:val="nil"/>
              <w:bottom w:val="nil"/>
              <w:right w:val="nil"/>
            </w:tcBorders>
            <w:shd w:val="clear" w:color="auto" w:fill="auto"/>
            <w:noWrap/>
            <w:vAlign w:val="bottom"/>
            <w:hideMark/>
          </w:tcPr>
          <w:p w14:paraId="622278EC"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3418</w:t>
            </w:r>
          </w:p>
        </w:tc>
        <w:tc>
          <w:tcPr>
            <w:tcW w:w="1126" w:type="dxa"/>
            <w:tcBorders>
              <w:top w:val="nil"/>
              <w:left w:val="nil"/>
              <w:bottom w:val="nil"/>
              <w:right w:val="nil"/>
            </w:tcBorders>
            <w:shd w:val="clear" w:color="auto" w:fill="E5DFEC" w:themeFill="accent4" w:themeFillTint="33"/>
            <w:noWrap/>
            <w:vAlign w:val="bottom"/>
            <w:hideMark/>
          </w:tcPr>
          <w:p w14:paraId="5F85E706"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3673</w:t>
            </w:r>
          </w:p>
        </w:tc>
        <w:tc>
          <w:tcPr>
            <w:tcW w:w="1126" w:type="dxa"/>
            <w:tcBorders>
              <w:top w:val="nil"/>
              <w:left w:val="nil"/>
              <w:bottom w:val="nil"/>
              <w:right w:val="nil"/>
            </w:tcBorders>
            <w:shd w:val="clear" w:color="auto" w:fill="auto"/>
            <w:noWrap/>
            <w:vAlign w:val="bottom"/>
            <w:hideMark/>
          </w:tcPr>
          <w:p w14:paraId="2EFCC399"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4414</w:t>
            </w:r>
          </w:p>
        </w:tc>
        <w:tc>
          <w:tcPr>
            <w:tcW w:w="1127" w:type="dxa"/>
            <w:tcBorders>
              <w:top w:val="nil"/>
              <w:left w:val="nil"/>
              <w:bottom w:val="nil"/>
              <w:right w:val="single" w:sz="4" w:space="0" w:color="auto"/>
            </w:tcBorders>
            <w:shd w:val="clear" w:color="auto" w:fill="E5DFEC" w:themeFill="accent4" w:themeFillTint="33"/>
            <w:noWrap/>
            <w:vAlign w:val="bottom"/>
            <w:hideMark/>
          </w:tcPr>
          <w:p w14:paraId="31E88612"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4662</w:t>
            </w:r>
          </w:p>
        </w:tc>
        <w:tc>
          <w:tcPr>
            <w:tcW w:w="1275" w:type="dxa"/>
            <w:tcBorders>
              <w:top w:val="nil"/>
              <w:left w:val="nil"/>
              <w:bottom w:val="nil"/>
              <w:right w:val="single" w:sz="4" w:space="0" w:color="auto"/>
            </w:tcBorders>
            <w:shd w:val="clear" w:color="auto" w:fill="auto"/>
          </w:tcPr>
          <w:p w14:paraId="406C30F0" w14:textId="77777777" w:rsidR="005D61DD" w:rsidRPr="005D61DD" w:rsidRDefault="005D61DD" w:rsidP="00CE2FDF">
            <w:pPr>
              <w:spacing w:before="0" w:line="276" w:lineRule="auto"/>
              <w:jc w:val="right"/>
              <w:rPr>
                <w:rFonts w:eastAsia="Times New Roman" w:cs="Arial"/>
                <w:b/>
                <w:color w:val="000000"/>
                <w:sz w:val="20"/>
                <w:szCs w:val="20"/>
                <w:lang w:eastAsia="en-AU"/>
              </w:rPr>
            </w:pPr>
          </w:p>
          <w:p w14:paraId="119E3D35" w14:textId="77777777" w:rsidR="005D61DD" w:rsidRPr="005D61DD" w:rsidRDefault="005D61DD"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11%</w:t>
            </w:r>
          </w:p>
        </w:tc>
      </w:tr>
      <w:tr w:rsidR="00905F73" w:rsidRPr="005D61DD" w14:paraId="3B21C93E" w14:textId="77777777" w:rsidTr="00C84E96">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3049ADF3" w14:textId="77777777" w:rsidR="00905F73" w:rsidRPr="005D61DD" w:rsidRDefault="00905F73" w:rsidP="00CE2FDF">
            <w:pPr>
              <w:spacing w:before="0" w:line="276" w:lineRule="auto"/>
              <w:rPr>
                <w:rFonts w:eastAsia="Times New Roman" w:cs="Arial"/>
                <w:b/>
                <w:color w:val="000000"/>
                <w:sz w:val="20"/>
                <w:szCs w:val="20"/>
                <w:lang w:eastAsia="en-AU"/>
              </w:rPr>
            </w:pPr>
            <w:r w:rsidRPr="005D61DD">
              <w:rPr>
                <w:rFonts w:eastAsia="Times New Roman" w:cs="Arial"/>
                <w:b/>
                <w:color w:val="000000"/>
                <w:sz w:val="20"/>
                <w:szCs w:val="20"/>
                <w:lang w:eastAsia="en-AU"/>
              </w:rPr>
              <w:t>Total reports:</w:t>
            </w:r>
          </w:p>
        </w:tc>
        <w:tc>
          <w:tcPr>
            <w:tcW w:w="1126" w:type="dxa"/>
            <w:tcBorders>
              <w:top w:val="nil"/>
              <w:left w:val="nil"/>
              <w:bottom w:val="single" w:sz="4" w:space="0" w:color="auto"/>
              <w:right w:val="nil"/>
            </w:tcBorders>
            <w:shd w:val="clear" w:color="auto" w:fill="auto"/>
            <w:noWrap/>
            <w:vAlign w:val="bottom"/>
            <w:hideMark/>
          </w:tcPr>
          <w:p w14:paraId="15A2FE8C"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7411</w:t>
            </w:r>
          </w:p>
        </w:tc>
        <w:tc>
          <w:tcPr>
            <w:tcW w:w="1126" w:type="dxa"/>
            <w:tcBorders>
              <w:top w:val="nil"/>
              <w:left w:val="nil"/>
              <w:bottom w:val="single" w:sz="4" w:space="0" w:color="auto"/>
              <w:right w:val="nil"/>
            </w:tcBorders>
            <w:shd w:val="clear" w:color="auto" w:fill="E5DFEC" w:themeFill="accent4" w:themeFillTint="33"/>
            <w:noWrap/>
            <w:vAlign w:val="bottom"/>
            <w:hideMark/>
          </w:tcPr>
          <w:p w14:paraId="290C0E56"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7912</w:t>
            </w:r>
          </w:p>
        </w:tc>
        <w:tc>
          <w:tcPr>
            <w:tcW w:w="1126" w:type="dxa"/>
            <w:tcBorders>
              <w:top w:val="nil"/>
              <w:left w:val="nil"/>
              <w:bottom w:val="single" w:sz="4" w:space="0" w:color="auto"/>
              <w:right w:val="nil"/>
            </w:tcBorders>
            <w:shd w:val="clear" w:color="auto" w:fill="auto"/>
            <w:noWrap/>
            <w:vAlign w:val="bottom"/>
            <w:hideMark/>
          </w:tcPr>
          <w:p w14:paraId="4E8ECC0A"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7504</w:t>
            </w:r>
          </w:p>
        </w:tc>
        <w:tc>
          <w:tcPr>
            <w:tcW w:w="1126" w:type="dxa"/>
            <w:tcBorders>
              <w:top w:val="nil"/>
              <w:left w:val="nil"/>
              <w:bottom w:val="single" w:sz="4" w:space="0" w:color="auto"/>
              <w:right w:val="nil"/>
            </w:tcBorders>
            <w:shd w:val="clear" w:color="auto" w:fill="E5DFEC" w:themeFill="accent4" w:themeFillTint="33"/>
            <w:noWrap/>
            <w:vAlign w:val="bottom"/>
            <w:hideMark/>
          </w:tcPr>
          <w:p w14:paraId="57366A75"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7488</w:t>
            </w:r>
          </w:p>
        </w:tc>
        <w:tc>
          <w:tcPr>
            <w:tcW w:w="1126" w:type="dxa"/>
            <w:tcBorders>
              <w:top w:val="nil"/>
              <w:left w:val="nil"/>
              <w:bottom w:val="single" w:sz="4" w:space="0" w:color="auto"/>
              <w:right w:val="nil"/>
            </w:tcBorders>
            <w:shd w:val="clear" w:color="auto" w:fill="auto"/>
            <w:noWrap/>
            <w:vAlign w:val="bottom"/>
            <w:hideMark/>
          </w:tcPr>
          <w:p w14:paraId="5D9EE7A3"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7132</w:t>
            </w:r>
          </w:p>
        </w:tc>
        <w:tc>
          <w:tcPr>
            <w:tcW w:w="1126" w:type="dxa"/>
            <w:tcBorders>
              <w:top w:val="nil"/>
              <w:left w:val="nil"/>
              <w:bottom w:val="single" w:sz="4" w:space="0" w:color="auto"/>
              <w:right w:val="nil"/>
            </w:tcBorders>
            <w:shd w:val="clear" w:color="auto" w:fill="E5DFEC" w:themeFill="accent4" w:themeFillTint="33"/>
            <w:noWrap/>
            <w:vAlign w:val="bottom"/>
            <w:hideMark/>
          </w:tcPr>
          <w:p w14:paraId="34294FF4"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7019</w:t>
            </w:r>
          </w:p>
        </w:tc>
        <w:tc>
          <w:tcPr>
            <w:tcW w:w="1126" w:type="dxa"/>
            <w:tcBorders>
              <w:top w:val="nil"/>
              <w:left w:val="nil"/>
              <w:bottom w:val="single" w:sz="4" w:space="0" w:color="auto"/>
              <w:right w:val="nil"/>
            </w:tcBorders>
            <w:shd w:val="clear" w:color="auto" w:fill="auto"/>
            <w:noWrap/>
            <w:vAlign w:val="bottom"/>
            <w:hideMark/>
          </w:tcPr>
          <w:p w14:paraId="2FED0128"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6782</w:t>
            </w:r>
          </w:p>
        </w:tc>
        <w:tc>
          <w:tcPr>
            <w:tcW w:w="1126" w:type="dxa"/>
            <w:tcBorders>
              <w:top w:val="nil"/>
              <w:left w:val="nil"/>
              <w:bottom w:val="single" w:sz="4" w:space="0" w:color="auto"/>
              <w:right w:val="nil"/>
            </w:tcBorders>
            <w:shd w:val="clear" w:color="auto" w:fill="E5DFEC" w:themeFill="accent4" w:themeFillTint="33"/>
            <w:noWrap/>
            <w:vAlign w:val="bottom"/>
            <w:hideMark/>
          </w:tcPr>
          <w:p w14:paraId="32523A3E"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7686</w:t>
            </w:r>
          </w:p>
        </w:tc>
        <w:tc>
          <w:tcPr>
            <w:tcW w:w="1126" w:type="dxa"/>
            <w:tcBorders>
              <w:top w:val="nil"/>
              <w:left w:val="nil"/>
              <w:bottom w:val="single" w:sz="4" w:space="0" w:color="auto"/>
              <w:right w:val="nil"/>
            </w:tcBorders>
            <w:shd w:val="clear" w:color="auto" w:fill="auto"/>
            <w:noWrap/>
            <w:vAlign w:val="bottom"/>
            <w:hideMark/>
          </w:tcPr>
          <w:p w14:paraId="179126C8"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8936</w:t>
            </w:r>
          </w:p>
        </w:tc>
        <w:tc>
          <w:tcPr>
            <w:tcW w:w="1127" w:type="dxa"/>
            <w:tcBorders>
              <w:top w:val="nil"/>
              <w:left w:val="nil"/>
              <w:bottom w:val="single" w:sz="4" w:space="0" w:color="auto"/>
              <w:right w:val="single" w:sz="4" w:space="0" w:color="auto"/>
            </w:tcBorders>
            <w:shd w:val="clear" w:color="auto" w:fill="E5DFEC" w:themeFill="accent4" w:themeFillTint="33"/>
            <w:noWrap/>
            <w:vAlign w:val="bottom"/>
            <w:hideMark/>
          </w:tcPr>
          <w:p w14:paraId="36897A5C"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10198</w:t>
            </w:r>
          </w:p>
        </w:tc>
        <w:tc>
          <w:tcPr>
            <w:tcW w:w="1275" w:type="dxa"/>
            <w:tcBorders>
              <w:top w:val="nil"/>
              <w:left w:val="nil"/>
              <w:bottom w:val="single" w:sz="4" w:space="0" w:color="auto"/>
              <w:right w:val="single" w:sz="4" w:space="0" w:color="auto"/>
            </w:tcBorders>
            <w:shd w:val="clear" w:color="auto" w:fill="auto"/>
          </w:tcPr>
          <w:p w14:paraId="5327DBA2"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38</w:t>
            </w:r>
            <w:r w:rsidR="00905F73" w:rsidRPr="005D61DD">
              <w:rPr>
                <w:rFonts w:eastAsia="Times New Roman" w:cs="Arial"/>
                <w:b/>
                <w:color w:val="000000"/>
                <w:sz w:val="20"/>
                <w:szCs w:val="20"/>
                <w:lang w:eastAsia="en-AU"/>
              </w:rPr>
              <w:t>%</w:t>
            </w:r>
          </w:p>
        </w:tc>
      </w:tr>
      <w:tr w:rsidR="00FE57AD" w:rsidRPr="005D61DD" w14:paraId="09B3FF11" w14:textId="77777777" w:rsidTr="00C84E96">
        <w:trPr>
          <w:trHeight w:val="204"/>
        </w:trPr>
        <w:tc>
          <w:tcPr>
            <w:tcW w:w="2221" w:type="dxa"/>
            <w:tcBorders>
              <w:top w:val="nil"/>
              <w:left w:val="single" w:sz="4" w:space="0" w:color="auto"/>
              <w:bottom w:val="nil"/>
              <w:right w:val="nil"/>
            </w:tcBorders>
            <w:shd w:val="clear" w:color="auto" w:fill="F2F2F2" w:themeFill="background1" w:themeFillShade="F2"/>
            <w:noWrap/>
            <w:vAlign w:val="bottom"/>
            <w:hideMark/>
          </w:tcPr>
          <w:p w14:paraId="1A321EE0" w14:textId="77777777" w:rsidR="00FE57AD" w:rsidRPr="005D61DD" w:rsidRDefault="00FE57AD" w:rsidP="00CE2FDF">
            <w:pPr>
              <w:spacing w:before="0" w:line="276" w:lineRule="auto"/>
              <w:rPr>
                <w:rFonts w:eastAsia="Times New Roman" w:cs="Arial"/>
                <w:b/>
                <w:sz w:val="20"/>
                <w:szCs w:val="20"/>
                <w:lang w:eastAsia="en-AU"/>
              </w:rPr>
            </w:pPr>
            <w:r w:rsidRPr="005D61DD">
              <w:rPr>
                <w:rFonts w:eastAsia="Times New Roman" w:cs="Arial"/>
                <w:b/>
                <w:sz w:val="20"/>
                <w:szCs w:val="20"/>
                <w:lang w:eastAsia="en-AU"/>
              </w:rPr>
              <w:t>Not substantiated</w:t>
            </w:r>
          </w:p>
        </w:tc>
        <w:tc>
          <w:tcPr>
            <w:tcW w:w="1126" w:type="dxa"/>
            <w:tcBorders>
              <w:top w:val="nil"/>
              <w:left w:val="nil"/>
              <w:bottom w:val="nil"/>
              <w:right w:val="nil"/>
            </w:tcBorders>
            <w:shd w:val="clear" w:color="auto" w:fill="auto"/>
            <w:noWrap/>
            <w:vAlign w:val="bottom"/>
            <w:hideMark/>
          </w:tcPr>
          <w:p w14:paraId="0FD73891" w14:textId="77777777" w:rsidR="00FE57AD" w:rsidRPr="005D61DD" w:rsidRDefault="00FE57A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F2F2F2" w:themeFill="background1" w:themeFillShade="F2"/>
            <w:noWrap/>
            <w:vAlign w:val="bottom"/>
            <w:hideMark/>
          </w:tcPr>
          <w:p w14:paraId="4EA1C733"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hideMark/>
          </w:tcPr>
          <w:p w14:paraId="2F63D608" w14:textId="77777777" w:rsidR="00FE57AD" w:rsidRPr="005D61DD" w:rsidRDefault="00FE57A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F2F2F2" w:themeFill="background1" w:themeFillShade="F2"/>
            <w:noWrap/>
            <w:vAlign w:val="bottom"/>
            <w:hideMark/>
          </w:tcPr>
          <w:p w14:paraId="2416B6F7"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hideMark/>
          </w:tcPr>
          <w:p w14:paraId="1675F534" w14:textId="77777777" w:rsidR="00FE57AD" w:rsidRPr="005D61DD" w:rsidRDefault="00FE57A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F2F2F2" w:themeFill="background1" w:themeFillShade="F2"/>
            <w:noWrap/>
            <w:vAlign w:val="bottom"/>
            <w:hideMark/>
          </w:tcPr>
          <w:p w14:paraId="464C8CB4"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hideMark/>
          </w:tcPr>
          <w:p w14:paraId="01BEB3CE" w14:textId="77777777" w:rsidR="00FE57AD" w:rsidRPr="005D61DD" w:rsidRDefault="00FE57AD" w:rsidP="00CE2FDF">
            <w:pPr>
              <w:spacing w:before="0" w:line="276" w:lineRule="auto"/>
              <w:jc w:val="right"/>
              <w:rPr>
                <w:rFonts w:eastAsia="Times New Roman" w:cs="Arial"/>
                <w:b/>
                <w:color w:val="FF0000"/>
                <w:sz w:val="20"/>
                <w:szCs w:val="20"/>
                <w:lang w:eastAsia="en-AU"/>
              </w:rPr>
            </w:pPr>
          </w:p>
        </w:tc>
        <w:tc>
          <w:tcPr>
            <w:tcW w:w="1126" w:type="dxa"/>
            <w:tcBorders>
              <w:top w:val="nil"/>
              <w:left w:val="nil"/>
              <w:bottom w:val="nil"/>
              <w:right w:val="nil"/>
            </w:tcBorders>
            <w:shd w:val="clear" w:color="auto" w:fill="F2F2F2" w:themeFill="background1" w:themeFillShade="F2"/>
            <w:noWrap/>
            <w:vAlign w:val="bottom"/>
            <w:hideMark/>
          </w:tcPr>
          <w:p w14:paraId="0C049438" w14:textId="77777777" w:rsidR="00FE57AD" w:rsidRPr="005D61DD" w:rsidRDefault="00FE57AD" w:rsidP="00CE2FDF">
            <w:pPr>
              <w:spacing w:before="0" w:line="276" w:lineRule="auto"/>
              <w:jc w:val="right"/>
              <w:rPr>
                <w:rFonts w:eastAsia="Times New Roman" w:cs="Arial"/>
                <w:b/>
                <w:sz w:val="20"/>
                <w:szCs w:val="20"/>
                <w:lang w:eastAsia="en-AU"/>
              </w:rPr>
            </w:pPr>
          </w:p>
        </w:tc>
        <w:tc>
          <w:tcPr>
            <w:tcW w:w="1126" w:type="dxa"/>
            <w:tcBorders>
              <w:top w:val="nil"/>
              <w:left w:val="nil"/>
              <w:bottom w:val="nil"/>
              <w:right w:val="nil"/>
            </w:tcBorders>
            <w:shd w:val="clear" w:color="auto" w:fill="auto"/>
            <w:noWrap/>
            <w:vAlign w:val="bottom"/>
            <w:hideMark/>
          </w:tcPr>
          <w:p w14:paraId="26B6EC88" w14:textId="77777777" w:rsidR="00FE57AD" w:rsidRPr="005D61DD" w:rsidRDefault="00FE57AD" w:rsidP="00CE2FDF">
            <w:pPr>
              <w:spacing w:before="0" w:line="276" w:lineRule="auto"/>
              <w:jc w:val="right"/>
              <w:rPr>
                <w:rFonts w:eastAsia="Times New Roman" w:cs="Arial"/>
                <w:b/>
                <w:color w:val="FF0000"/>
                <w:sz w:val="20"/>
                <w:szCs w:val="20"/>
                <w:lang w:eastAsia="en-AU"/>
              </w:rPr>
            </w:pPr>
          </w:p>
        </w:tc>
        <w:tc>
          <w:tcPr>
            <w:tcW w:w="1127" w:type="dxa"/>
            <w:tcBorders>
              <w:top w:val="nil"/>
              <w:left w:val="nil"/>
              <w:bottom w:val="nil"/>
              <w:right w:val="single" w:sz="4" w:space="0" w:color="auto"/>
            </w:tcBorders>
            <w:shd w:val="clear" w:color="auto" w:fill="F2F2F2" w:themeFill="background1" w:themeFillShade="F2"/>
            <w:noWrap/>
            <w:vAlign w:val="bottom"/>
            <w:hideMark/>
          </w:tcPr>
          <w:p w14:paraId="529CF31D" w14:textId="77777777" w:rsidR="00FE57AD" w:rsidRPr="005D61DD" w:rsidRDefault="00FE57AD" w:rsidP="00CE2FDF">
            <w:pPr>
              <w:spacing w:before="0" w:line="276" w:lineRule="auto"/>
              <w:jc w:val="right"/>
              <w:rPr>
                <w:rFonts w:eastAsia="Times New Roman" w:cs="Arial"/>
                <w:b/>
                <w:sz w:val="20"/>
                <w:szCs w:val="20"/>
                <w:lang w:eastAsia="en-AU"/>
              </w:rPr>
            </w:pPr>
          </w:p>
        </w:tc>
        <w:tc>
          <w:tcPr>
            <w:tcW w:w="1275" w:type="dxa"/>
            <w:tcBorders>
              <w:top w:val="nil"/>
              <w:left w:val="nil"/>
              <w:bottom w:val="nil"/>
              <w:right w:val="single" w:sz="4" w:space="0" w:color="auto"/>
            </w:tcBorders>
            <w:shd w:val="clear" w:color="auto" w:fill="auto"/>
          </w:tcPr>
          <w:p w14:paraId="6A2788B2" w14:textId="77777777" w:rsidR="00FE57AD" w:rsidRPr="005D61DD" w:rsidRDefault="00FE57AD" w:rsidP="00CE2FDF">
            <w:pPr>
              <w:spacing w:before="0" w:line="276" w:lineRule="auto"/>
              <w:jc w:val="right"/>
              <w:rPr>
                <w:rFonts w:eastAsia="Times New Roman" w:cs="Arial"/>
                <w:b/>
                <w:color w:val="000000"/>
                <w:sz w:val="20"/>
                <w:szCs w:val="20"/>
                <w:lang w:eastAsia="en-AU"/>
              </w:rPr>
            </w:pPr>
          </w:p>
        </w:tc>
      </w:tr>
      <w:tr w:rsidR="00905F73" w:rsidRPr="005D61DD" w14:paraId="7137FAE5" w14:textId="77777777" w:rsidTr="00C84E96">
        <w:trPr>
          <w:trHeight w:val="204"/>
        </w:trPr>
        <w:tc>
          <w:tcPr>
            <w:tcW w:w="2221" w:type="dxa"/>
            <w:tcBorders>
              <w:top w:val="nil"/>
              <w:left w:val="single" w:sz="4" w:space="0" w:color="auto"/>
              <w:bottom w:val="nil"/>
              <w:right w:val="nil"/>
            </w:tcBorders>
            <w:shd w:val="clear" w:color="auto" w:fill="F2F2F2" w:themeFill="background1" w:themeFillShade="F2"/>
            <w:noWrap/>
            <w:hideMark/>
          </w:tcPr>
          <w:p w14:paraId="594CDFF4" w14:textId="77777777" w:rsidR="00905F73" w:rsidRPr="005D61DD" w:rsidRDefault="00905F73"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Doctors</w:t>
            </w:r>
          </w:p>
        </w:tc>
        <w:tc>
          <w:tcPr>
            <w:tcW w:w="1126" w:type="dxa"/>
            <w:tcBorders>
              <w:top w:val="nil"/>
              <w:left w:val="nil"/>
              <w:bottom w:val="nil"/>
              <w:right w:val="nil"/>
            </w:tcBorders>
            <w:shd w:val="clear" w:color="auto" w:fill="auto"/>
            <w:noWrap/>
            <w:vAlign w:val="bottom"/>
            <w:hideMark/>
          </w:tcPr>
          <w:p w14:paraId="753876FE"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167</w:t>
            </w:r>
          </w:p>
        </w:tc>
        <w:tc>
          <w:tcPr>
            <w:tcW w:w="1126" w:type="dxa"/>
            <w:tcBorders>
              <w:top w:val="nil"/>
              <w:left w:val="nil"/>
              <w:bottom w:val="nil"/>
              <w:right w:val="nil"/>
            </w:tcBorders>
            <w:shd w:val="clear" w:color="auto" w:fill="F2F2F2" w:themeFill="background1" w:themeFillShade="F2"/>
            <w:noWrap/>
            <w:vAlign w:val="bottom"/>
            <w:hideMark/>
          </w:tcPr>
          <w:p w14:paraId="1239E8EF"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128</w:t>
            </w:r>
          </w:p>
        </w:tc>
        <w:tc>
          <w:tcPr>
            <w:tcW w:w="1126" w:type="dxa"/>
            <w:tcBorders>
              <w:top w:val="nil"/>
              <w:left w:val="nil"/>
              <w:bottom w:val="nil"/>
              <w:right w:val="nil"/>
            </w:tcBorders>
            <w:shd w:val="clear" w:color="auto" w:fill="auto"/>
            <w:noWrap/>
            <w:vAlign w:val="bottom"/>
            <w:hideMark/>
          </w:tcPr>
          <w:p w14:paraId="52A9D9A3"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114</w:t>
            </w:r>
          </w:p>
        </w:tc>
        <w:tc>
          <w:tcPr>
            <w:tcW w:w="1126" w:type="dxa"/>
            <w:tcBorders>
              <w:top w:val="nil"/>
              <w:left w:val="nil"/>
              <w:bottom w:val="nil"/>
              <w:right w:val="nil"/>
            </w:tcBorders>
            <w:shd w:val="clear" w:color="auto" w:fill="F2F2F2" w:themeFill="background1" w:themeFillShade="F2"/>
            <w:noWrap/>
            <w:vAlign w:val="bottom"/>
            <w:hideMark/>
          </w:tcPr>
          <w:p w14:paraId="590F20A0"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120</w:t>
            </w:r>
          </w:p>
        </w:tc>
        <w:tc>
          <w:tcPr>
            <w:tcW w:w="1126" w:type="dxa"/>
            <w:tcBorders>
              <w:top w:val="nil"/>
              <w:left w:val="nil"/>
              <w:bottom w:val="nil"/>
              <w:right w:val="nil"/>
            </w:tcBorders>
            <w:shd w:val="clear" w:color="auto" w:fill="auto"/>
            <w:noWrap/>
            <w:vAlign w:val="bottom"/>
            <w:hideMark/>
          </w:tcPr>
          <w:p w14:paraId="34636EDF"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99</w:t>
            </w:r>
          </w:p>
        </w:tc>
        <w:tc>
          <w:tcPr>
            <w:tcW w:w="1126" w:type="dxa"/>
            <w:tcBorders>
              <w:top w:val="nil"/>
              <w:left w:val="nil"/>
              <w:bottom w:val="nil"/>
              <w:right w:val="nil"/>
            </w:tcBorders>
            <w:shd w:val="clear" w:color="auto" w:fill="F2F2F2" w:themeFill="background1" w:themeFillShade="F2"/>
            <w:noWrap/>
            <w:vAlign w:val="bottom"/>
            <w:hideMark/>
          </w:tcPr>
          <w:p w14:paraId="65A12532"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125</w:t>
            </w:r>
          </w:p>
        </w:tc>
        <w:tc>
          <w:tcPr>
            <w:tcW w:w="1126" w:type="dxa"/>
            <w:tcBorders>
              <w:top w:val="nil"/>
              <w:left w:val="nil"/>
              <w:bottom w:val="nil"/>
              <w:right w:val="nil"/>
            </w:tcBorders>
            <w:shd w:val="clear" w:color="auto" w:fill="auto"/>
            <w:noWrap/>
            <w:vAlign w:val="bottom"/>
            <w:hideMark/>
          </w:tcPr>
          <w:p w14:paraId="721CD43D"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134</w:t>
            </w:r>
          </w:p>
        </w:tc>
        <w:tc>
          <w:tcPr>
            <w:tcW w:w="1126" w:type="dxa"/>
            <w:tcBorders>
              <w:top w:val="nil"/>
              <w:left w:val="nil"/>
              <w:bottom w:val="nil"/>
              <w:right w:val="nil"/>
            </w:tcBorders>
            <w:shd w:val="clear" w:color="auto" w:fill="F2F2F2" w:themeFill="background1" w:themeFillShade="F2"/>
            <w:noWrap/>
            <w:vAlign w:val="bottom"/>
            <w:hideMark/>
          </w:tcPr>
          <w:p w14:paraId="570729A3"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176</w:t>
            </w:r>
          </w:p>
        </w:tc>
        <w:tc>
          <w:tcPr>
            <w:tcW w:w="1126" w:type="dxa"/>
            <w:tcBorders>
              <w:top w:val="nil"/>
              <w:left w:val="nil"/>
              <w:bottom w:val="nil"/>
              <w:right w:val="nil"/>
            </w:tcBorders>
            <w:shd w:val="clear" w:color="auto" w:fill="auto"/>
            <w:noWrap/>
            <w:vAlign w:val="bottom"/>
            <w:hideMark/>
          </w:tcPr>
          <w:p w14:paraId="48D52742"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159</w:t>
            </w:r>
          </w:p>
        </w:tc>
        <w:tc>
          <w:tcPr>
            <w:tcW w:w="1127" w:type="dxa"/>
            <w:tcBorders>
              <w:top w:val="nil"/>
              <w:left w:val="nil"/>
              <w:bottom w:val="nil"/>
              <w:right w:val="single" w:sz="4" w:space="0" w:color="auto"/>
            </w:tcBorders>
            <w:shd w:val="clear" w:color="auto" w:fill="F2F2F2" w:themeFill="background1" w:themeFillShade="F2"/>
            <w:noWrap/>
            <w:vAlign w:val="bottom"/>
            <w:hideMark/>
          </w:tcPr>
          <w:p w14:paraId="344FEF09"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166</w:t>
            </w:r>
          </w:p>
        </w:tc>
        <w:tc>
          <w:tcPr>
            <w:tcW w:w="1275" w:type="dxa"/>
            <w:tcBorders>
              <w:top w:val="nil"/>
              <w:left w:val="nil"/>
              <w:bottom w:val="nil"/>
              <w:right w:val="single" w:sz="4" w:space="0" w:color="auto"/>
            </w:tcBorders>
            <w:shd w:val="clear" w:color="auto" w:fill="auto"/>
          </w:tcPr>
          <w:p w14:paraId="799200DC"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w:t>
            </w:r>
            <w:r w:rsidR="00905F73" w:rsidRPr="005D61DD">
              <w:rPr>
                <w:rFonts w:eastAsia="Times New Roman" w:cs="Arial"/>
                <w:b/>
                <w:color w:val="000000"/>
                <w:sz w:val="20"/>
                <w:szCs w:val="20"/>
                <w:lang w:eastAsia="en-AU"/>
              </w:rPr>
              <w:t>%</w:t>
            </w:r>
          </w:p>
        </w:tc>
      </w:tr>
      <w:tr w:rsidR="00905F73" w:rsidRPr="005D61DD" w14:paraId="1FA4B502" w14:textId="77777777" w:rsidTr="00C84E96">
        <w:trPr>
          <w:trHeight w:val="204"/>
        </w:trPr>
        <w:tc>
          <w:tcPr>
            <w:tcW w:w="2221" w:type="dxa"/>
            <w:tcBorders>
              <w:top w:val="nil"/>
              <w:left w:val="single" w:sz="4" w:space="0" w:color="auto"/>
              <w:bottom w:val="nil"/>
              <w:right w:val="nil"/>
            </w:tcBorders>
            <w:shd w:val="clear" w:color="auto" w:fill="F2F2F2" w:themeFill="background1" w:themeFillShade="F2"/>
            <w:noWrap/>
            <w:hideMark/>
          </w:tcPr>
          <w:p w14:paraId="0BA11084" w14:textId="77777777" w:rsidR="00905F73" w:rsidRPr="005D61DD" w:rsidRDefault="00905F73"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Nurses</w:t>
            </w:r>
          </w:p>
        </w:tc>
        <w:tc>
          <w:tcPr>
            <w:tcW w:w="1126" w:type="dxa"/>
            <w:tcBorders>
              <w:top w:val="nil"/>
              <w:left w:val="nil"/>
              <w:bottom w:val="nil"/>
              <w:right w:val="nil"/>
            </w:tcBorders>
            <w:shd w:val="clear" w:color="auto" w:fill="auto"/>
            <w:noWrap/>
            <w:vAlign w:val="bottom"/>
            <w:hideMark/>
          </w:tcPr>
          <w:p w14:paraId="3D034C07"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209</w:t>
            </w:r>
          </w:p>
        </w:tc>
        <w:tc>
          <w:tcPr>
            <w:tcW w:w="1126" w:type="dxa"/>
            <w:tcBorders>
              <w:top w:val="nil"/>
              <w:left w:val="nil"/>
              <w:bottom w:val="nil"/>
              <w:right w:val="nil"/>
            </w:tcBorders>
            <w:shd w:val="clear" w:color="auto" w:fill="F2F2F2" w:themeFill="background1" w:themeFillShade="F2"/>
            <w:noWrap/>
            <w:vAlign w:val="bottom"/>
            <w:hideMark/>
          </w:tcPr>
          <w:p w14:paraId="42888B99"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180</w:t>
            </w:r>
          </w:p>
        </w:tc>
        <w:tc>
          <w:tcPr>
            <w:tcW w:w="1126" w:type="dxa"/>
            <w:tcBorders>
              <w:top w:val="nil"/>
              <w:left w:val="nil"/>
              <w:bottom w:val="nil"/>
              <w:right w:val="nil"/>
            </w:tcBorders>
            <w:shd w:val="clear" w:color="auto" w:fill="auto"/>
            <w:noWrap/>
            <w:vAlign w:val="bottom"/>
            <w:hideMark/>
          </w:tcPr>
          <w:p w14:paraId="0B604B5F"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159</w:t>
            </w:r>
          </w:p>
        </w:tc>
        <w:tc>
          <w:tcPr>
            <w:tcW w:w="1126" w:type="dxa"/>
            <w:tcBorders>
              <w:top w:val="nil"/>
              <w:left w:val="nil"/>
              <w:bottom w:val="nil"/>
              <w:right w:val="nil"/>
            </w:tcBorders>
            <w:shd w:val="clear" w:color="auto" w:fill="F2F2F2" w:themeFill="background1" w:themeFillShade="F2"/>
            <w:noWrap/>
            <w:vAlign w:val="bottom"/>
            <w:hideMark/>
          </w:tcPr>
          <w:p w14:paraId="08382660"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181</w:t>
            </w:r>
          </w:p>
        </w:tc>
        <w:tc>
          <w:tcPr>
            <w:tcW w:w="1126" w:type="dxa"/>
            <w:tcBorders>
              <w:top w:val="nil"/>
              <w:left w:val="nil"/>
              <w:bottom w:val="nil"/>
              <w:right w:val="nil"/>
            </w:tcBorders>
            <w:shd w:val="clear" w:color="auto" w:fill="auto"/>
            <w:noWrap/>
            <w:vAlign w:val="bottom"/>
            <w:hideMark/>
          </w:tcPr>
          <w:p w14:paraId="6D24E074"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177</w:t>
            </w:r>
          </w:p>
        </w:tc>
        <w:tc>
          <w:tcPr>
            <w:tcW w:w="1126" w:type="dxa"/>
            <w:tcBorders>
              <w:top w:val="nil"/>
              <w:left w:val="nil"/>
              <w:bottom w:val="nil"/>
              <w:right w:val="nil"/>
            </w:tcBorders>
            <w:shd w:val="clear" w:color="auto" w:fill="F2F2F2" w:themeFill="background1" w:themeFillShade="F2"/>
            <w:noWrap/>
            <w:vAlign w:val="bottom"/>
            <w:hideMark/>
          </w:tcPr>
          <w:p w14:paraId="3AC3A918"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231</w:t>
            </w:r>
          </w:p>
        </w:tc>
        <w:tc>
          <w:tcPr>
            <w:tcW w:w="1126" w:type="dxa"/>
            <w:tcBorders>
              <w:top w:val="nil"/>
              <w:left w:val="nil"/>
              <w:bottom w:val="nil"/>
              <w:right w:val="nil"/>
            </w:tcBorders>
            <w:shd w:val="clear" w:color="auto" w:fill="auto"/>
            <w:noWrap/>
            <w:vAlign w:val="bottom"/>
            <w:hideMark/>
          </w:tcPr>
          <w:p w14:paraId="7F3AC75F"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184</w:t>
            </w:r>
          </w:p>
        </w:tc>
        <w:tc>
          <w:tcPr>
            <w:tcW w:w="1126" w:type="dxa"/>
            <w:tcBorders>
              <w:top w:val="nil"/>
              <w:left w:val="nil"/>
              <w:bottom w:val="nil"/>
              <w:right w:val="nil"/>
            </w:tcBorders>
            <w:shd w:val="clear" w:color="auto" w:fill="F2F2F2" w:themeFill="background1" w:themeFillShade="F2"/>
            <w:noWrap/>
            <w:vAlign w:val="bottom"/>
            <w:hideMark/>
          </w:tcPr>
          <w:p w14:paraId="0CFF768F"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269</w:t>
            </w:r>
          </w:p>
        </w:tc>
        <w:tc>
          <w:tcPr>
            <w:tcW w:w="1126" w:type="dxa"/>
            <w:tcBorders>
              <w:top w:val="nil"/>
              <w:left w:val="nil"/>
              <w:bottom w:val="nil"/>
              <w:right w:val="nil"/>
            </w:tcBorders>
            <w:shd w:val="clear" w:color="auto" w:fill="auto"/>
            <w:noWrap/>
            <w:vAlign w:val="bottom"/>
            <w:hideMark/>
          </w:tcPr>
          <w:p w14:paraId="3F7406EB"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218</w:t>
            </w:r>
          </w:p>
        </w:tc>
        <w:tc>
          <w:tcPr>
            <w:tcW w:w="1127" w:type="dxa"/>
            <w:tcBorders>
              <w:top w:val="nil"/>
              <w:left w:val="nil"/>
              <w:bottom w:val="nil"/>
              <w:right w:val="single" w:sz="4" w:space="0" w:color="auto"/>
            </w:tcBorders>
            <w:shd w:val="clear" w:color="auto" w:fill="F2F2F2" w:themeFill="background1" w:themeFillShade="F2"/>
            <w:noWrap/>
            <w:vAlign w:val="bottom"/>
            <w:hideMark/>
          </w:tcPr>
          <w:p w14:paraId="613A3D5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263</w:t>
            </w:r>
          </w:p>
        </w:tc>
        <w:tc>
          <w:tcPr>
            <w:tcW w:w="1275" w:type="dxa"/>
            <w:tcBorders>
              <w:top w:val="nil"/>
              <w:left w:val="nil"/>
              <w:bottom w:val="nil"/>
              <w:right w:val="single" w:sz="4" w:space="0" w:color="auto"/>
            </w:tcBorders>
            <w:shd w:val="clear" w:color="auto" w:fill="auto"/>
          </w:tcPr>
          <w:p w14:paraId="124FEF86"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26</w:t>
            </w:r>
            <w:r w:rsidR="00905F73" w:rsidRPr="005D61DD">
              <w:rPr>
                <w:rFonts w:eastAsia="Times New Roman" w:cs="Arial"/>
                <w:b/>
                <w:color w:val="000000"/>
                <w:sz w:val="20"/>
                <w:szCs w:val="20"/>
                <w:lang w:eastAsia="en-AU"/>
              </w:rPr>
              <w:t>%</w:t>
            </w:r>
          </w:p>
        </w:tc>
      </w:tr>
      <w:tr w:rsidR="00905F73" w:rsidRPr="005D61DD" w14:paraId="74A7B3E5" w14:textId="77777777" w:rsidTr="00C84E96">
        <w:trPr>
          <w:trHeight w:val="204"/>
        </w:trPr>
        <w:tc>
          <w:tcPr>
            <w:tcW w:w="2221" w:type="dxa"/>
            <w:tcBorders>
              <w:top w:val="nil"/>
              <w:left w:val="single" w:sz="4" w:space="0" w:color="auto"/>
              <w:bottom w:val="nil"/>
              <w:right w:val="nil"/>
            </w:tcBorders>
            <w:shd w:val="clear" w:color="auto" w:fill="F2F2F2" w:themeFill="background1" w:themeFillShade="F2"/>
            <w:noWrap/>
            <w:hideMark/>
          </w:tcPr>
          <w:p w14:paraId="0CC0D297" w14:textId="77777777" w:rsidR="00905F73" w:rsidRPr="005D61DD" w:rsidRDefault="00905F73"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Police</w:t>
            </w:r>
          </w:p>
        </w:tc>
        <w:tc>
          <w:tcPr>
            <w:tcW w:w="1126" w:type="dxa"/>
            <w:tcBorders>
              <w:top w:val="nil"/>
              <w:left w:val="nil"/>
              <w:bottom w:val="nil"/>
              <w:right w:val="nil"/>
            </w:tcBorders>
            <w:shd w:val="clear" w:color="auto" w:fill="auto"/>
            <w:noWrap/>
            <w:vAlign w:val="bottom"/>
            <w:hideMark/>
          </w:tcPr>
          <w:p w14:paraId="5C5B9B8F"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712</w:t>
            </w:r>
          </w:p>
        </w:tc>
        <w:tc>
          <w:tcPr>
            <w:tcW w:w="1126" w:type="dxa"/>
            <w:tcBorders>
              <w:top w:val="nil"/>
              <w:left w:val="nil"/>
              <w:bottom w:val="nil"/>
              <w:right w:val="nil"/>
            </w:tcBorders>
            <w:shd w:val="clear" w:color="auto" w:fill="F2F2F2" w:themeFill="background1" w:themeFillShade="F2"/>
            <w:noWrap/>
            <w:vAlign w:val="bottom"/>
            <w:hideMark/>
          </w:tcPr>
          <w:p w14:paraId="416B995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610</w:t>
            </w:r>
          </w:p>
        </w:tc>
        <w:tc>
          <w:tcPr>
            <w:tcW w:w="1126" w:type="dxa"/>
            <w:tcBorders>
              <w:top w:val="nil"/>
              <w:left w:val="nil"/>
              <w:bottom w:val="nil"/>
              <w:right w:val="nil"/>
            </w:tcBorders>
            <w:shd w:val="clear" w:color="auto" w:fill="auto"/>
            <w:noWrap/>
            <w:vAlign w:val="bottom"/>
            <w:hideMark/>
          </w:tcPr>
          <w:p w14:paraId="57E650A8"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588</w:t>
            </w:r>
          </w:p>
        </w:tc>
        <w:tc>
          <w:tcPr>
            <w:tcW w:w="1126" w:type="dxa"/>
            <w:tcBorders>
              <w:top w:val="nil"/>
              <w:left w:val="nil"/>
              <w:bottom w:val="nil"/>
              <w:right w:val="nil"/>
            </w:tcBorders>
            <w:shd w:val="clear" w:color="auto" w:fill="F2F2F2" w:themeFill="background1" w:themeFillShade="F2"/>
            <w:noWrap/>
            <w:vAlign w:val="bottom"/>
            <w:hideMark/>
          </w:tcPr>
          <w:p w14:paraId="39B123C2"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572</w:t>
            </w:r>
          </w:p>
        </w:tc>
        <w:tc>
          <w:tcPr>
            <w:tcW w:w="1126" w:type="dxa"/>
            <w:tcBorders>
              <w:top w:val="nil"/>
              <w:left w:val="nil"/>
              <w:bottom w:val="nil"/>
              <w:right w:val="nil"/>
            </w:tcBorders>
            <w:shd w:val="clear" w:color="auto" w:fill="auto"/>
            <w:noWrap/>
            <w:vAlign w:val="bottom"/>
            <w:hideMark/>
          </w:tcPr>
          <w:p w14:paraId="5BB5A470"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647</w:t>
            </w:r>
          </w:p>
        </w:tc>
        <w:tc>
          <w:tcPr>
            <w:tcW w:w="1126" w:type="dxa"/>
            <w:tcBorders>
              <w:top w:val="nil"/>
              <w:left w:val="nil"/>
              <w:bottom w:val="nil"/>
              <w:right w:val="nil"/>
            </w:tcBorders>
            <w:shd w:val="clear" w:color="auto" w:fill="F2F2F2" w:themeFill="background1" w:themeFillShade="F2"/>
            <w:noWrap/>
            <w:vAlign w:val="bottom"/>
            <w:hideMark/>
          </w:tcPr>
          <w:p w14:paraId="62724A28"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737</w:t>
            </w:r>
          </w:p>
        </w:tc>
        <w:tc>
          <w:tcPr>
            <w:tcW w:w="1126" w:type="dxa"/>
            <w:tcBorders>
              <w:top w:val="nil"/>
              <w:left w:val="nil"/>
              <w:bottom w:val="nil"/>
              <w:right w:val="nil"/>
            </w:tcBorders>
            <w:shd w:val="clear" w:color="auto" w:fill="auto"/>
            <w:noWrap/>
            <w:vAlign w:val="bottom"/>
            <w:hideMark/>
          </w:tcPr>
          <w:p w14:paraId="5593C8D5"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805</w:t>
            </w:r>
          </w:p>
        </w:tc>
        <w:tc>
          <w:tcPr>
            <w:tcW w:w="1126" w:type="dxa"/>
            <w:tcBorders>
              <w:top w:val="nil"/>
              <w:left w:val="nil"/>
              <w:bottom w:val="nil"/>
              <w:right w:val="nil"/>
            </w:tcBorders>
            <w:shd w:val="clear" w:color="auto" w:fill="F2F2F2" w:themeFill="background1" w:themeFillShade="F2"/>
            <w:noWrap/>
            <w:vAlign w:val="bottom"/>
            <w:hideMark/>
          </w:tcPr>
          <w:p w14:paraId="218C673A"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1953</w:t>
            </w:r>
          </w:p>
        </w:tc>
        <w:tc>
          <w:tcPr>
            <w:tcW w:w="1126" w:type="dxa"/>
            <w:tcBorders>
              <w:top w:val="nil"/>
              <w:left w:val="nil"/>
              <w:bottom w:val="nil"/>
              <w:right w:val="nil"/>
            </w:tcBorders>
            <w:shd w:val="clear" w:color="auto" w:fill="auto"/>
            <w:noWrap/>
            <w:vAlign w:val="bottom"/>
            <w:hideMark/>
          </w:tcPr>
          <w:p w14:paraId="2260D95D"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1366</w:t>
            </w:r>
          </w:p>
        </w:tc>
        <w:tc>
          <w:tcPr>
            <w:tcW w:w="1127" w:type="dxa"/>
            <w:tcBorders>
              <w:top w:val="nil"/>
              <w:left w:val="nil"/>
              <w:bottom w:val="nil"/>
              <w:right w:val="single" w:sz="4" w:space="0" w:color="auto"/>
            </w:tcBorders>
            <w:shd w:val="clear" w:color="auto" w:fill="F2F2F2" w:themeFill="background1" w:themeFillShade="F2"/>
            <w:noWrap/>
            <w:vAlign w:val="bottom"/>
            <w:hideMark/>
          </w:tcPr>
          <w:p w14:paraId="787F8E9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1861</w:t>
            </w:r>
          </w:p>
        </w:tc>
        <w:tc>
          <w:tcPr>
            <w:tcW w:w="1275" w:type="dxa"/>
            <w:tcBorders>
              <w:top w:val="nil"/>
              <w:left w:val="nil"/>
              <w:bottom w:val="nil"/>
              <w:right w:val="single" w:sz="4" w:space="0" w:color="auto"/>
            </w:tcBorders>
            <w:shd w:val="clear" w:color="auto" w:fill="auto"/>
          </w:tcPr>
          <w:p w14:paraId="508E0D79"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161</w:t>
            </w:r>
            <w:r w:rsidR="00905F73" w:rsidRPr="005D61DD">
              <w:rPr>
                <w:rFonts w:eastAsia="Times New Roman" w:cs="Arial"/>
                <w:b/>
                <w:color w:val="000000"/>
                <w:sz w:val="20"/>
                <w:szCs w:val="20"/>
                <w:lang w:eastAsia="en-AU"/>
              </w:rPr>
              <w:t>%</w:t>
            </w:r>
          </w:p>
        </w:tc>
      </w:tr>
      <w:tr w:rsidR="00905F73" w:rsidRPr="005D61DD" w14:paraId="4C30BD79" w14:textId="77777777" w:rsidTr="00C84E96">
        <w:trPr>
          <w:trHeight w:val="204"/>
        </w:trPr>
        <w:tc>
          <w:tcPr>
            <w:tcW w:w="2221" w:type="dxa"/>
            <w:tcBorders>
              <w:top w:val="nil"/>
              <w:left w:val="single" w:sz="4" w:space="0" w:color="auto"/>
              <w:bottom w:val="nil"/>
              <w:right w:val="nil"/>
            </w:tcBorders>
            <w:shd w:val="clear" w:color="auto" w:fill="F2F2F2" w:themeFill="background1" w:themeFillShade="F2"/>
            <w:noWrap/>
            <w:hideMark/>
          </w:tcPr>
          <w:p w14:paraId="60AD4955" w14:textId="77777777" w:rsidR="00905F73" w:rsidRPr="005D61DD" w:rsidRDefault="00AC4C50"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School personnel</w:t>
            </w:r>
          </w:p>
        </w:tc>
        <w:tc>
          <w:tcPr>
            <w:tcW w:w="1126" w:type="dxa"/>
            <w:tcBorders>
              <w:top w:val="nil"/>
              <w:left w:val="nil"/>
              <w:bottom w:val="nil"/>
              <w:right w:val="nil"/>
            </w:tcBorders>
            <w:shd w:val="clear" w:color="auto" w:fill="auto"/>
            <w:noWrap/>
            <w:vAlign w:val="bottom"/>
            <w:hideMark/>
          </w:tcPr>
          <w:p w14:paraId="72E32681"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588</w:t>
            </w:r>
          </w:p>
        </w:tc>
        <w:tc>
          <w:tcPr>
            <w:tcW w:w="1126" w:type="dxa"/>
            <w:tcBorders>
              <w:top w:val="nil"/>
              <w:left w:val="nil"/>
              <w:bottom w:val="nil"/>
              <w:right w:val="nil"/>
            </w:tcBorders>
            <w:shd w:val="clear" w:color="auto" w:fill="F2F2F2" w:themeFill="background1" w:themeFillShade="F2"/>
            <w:noWrap/>
            <w:vAlign w:val="bottom"/>
            <w:hideMark/>
          </w:tcPr>
          <w:p w14:paraId="0F4920E5"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560</w:t>
            </w:r>
          </w:p>
        </w:tc>
        <w:tc>
          <w:tcPr>
            <w:tcW w:w="1126" w:type="dxa"/>
            <w:tcBorders>
              <w:top w:val="nil"/>
              <w:left w:val="nil"/>
              <w:bottom w:val="nil"/>
              <w:right w:val="nil"/>
            </w:tcBorders>
            <w:shd w:val="clear" w:color="auto" w:fill="auto"/>
            <w:noWrap/>
            <w:vAlign w:val="bottom"/>
            <w:hideMark/>
          </w:tcPr>
          <w:p w14:paraId="037FB8C0"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420</w:t>
            </w:r>
          </w:p>
        </w:tc>
        <w:tc>
          <w:tcPr>
            <w:tcW w:w="1126" w:type="dxa"/>
            <w:tcBorders>
              <w:top w:val="nil"/>
              <w:left w:val="nil"/>
              <w:bottom w:val="nil"/>
              <w:right w:val="nil"/>
            </w:tcBorders>
            <w:shd w:val="clear" w:color="auto" w:fill="F2F2F2" w:themeFill="background1" w:themeFillShade="F2"/>
            <w:noWrap/>
            <w:vAlign w:val="bottom"/>
            <w:hideMark/>
          </w:tcPr>
          <w:p w14:paraId="55DF6322"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450</w:t>
            </w:r>
          </w:p>
        </w:tc>
        <w:tc>
          <w:tcPr>
            <w:tcW w:w="1126" w:type="dxa"/>
            <w:tcBorders>
              <w:top w:val="nil"/>
              <w:left w:val="nil"/>
              <w:bottom w:val="nil"/>
              <w:right w:val="nil"/>
            </w:tcBorders>
            <w:shd w:val="clear" w:color="auto" w:fill="auto"/>
            <w:noWrap/>
            <w:vAlign w:val="bottom"/>
            <w:hideMark/>
          </w:tcPr>
          <w:p w14:paraId="75EAF0D5"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512</w:t>
            </w:r>
          </w:p>
        </w:tc>
        <w:tc>
          <w:tcPr>
            <w:tcW w:w="1126" w:type="dxa"/>
            <w:tcBorders>
              <w:top w:val="nil"/>
              <w:left w:val="nil"/>
              <w:bottom w:val="nil"/>
              <w:right w:val="nil"/>
            </w:tcBorders>
            <w:shd w:val="clear" w:color="auto" w:fill="F2F2F2" w:themeFill="background1" w:themeFillShade="F2"/>
            <w:noWrap/>
            <w:vAlign w:val="bottom"/>
            <w:hideMark/>
          </w:tcPr>
          <w:p w14:paraId="51260148"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708</w:t>
            </w:r>
          </w:p>
        </w:tc>
        <w:tc>
          <w:tcPr>
            <w:tcW w:w="1126" w:type="dxa"/>
            <w:tcBorders>
              <w:top w:val="nil"/>
              <w:left w:val="nil"/>
              <w:bottom w:val="nil"/>
              <w:right w:val="nil"/>
            </w:tcBorders>
            <w:shd w:val="clear" w:color="auto" w:fill="auto"/>
            <w:noWrap/>
            <w:vAlign w:val="bottom"/>
            <w:hideMark/>
          </w:tcPr>
          <w:p w14:paraId="3A0C0232"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949</w:t>
            </w:r>
          </w:p>
        </w:tc>
        <w:tc>
          <w:tcPr>
            <w:tcW w:w="1126" w:type="dxa"/>
            <w:tcBorders>
              <w:top w:val="nil"/>
              <w:left w:val="nil"/>
              <w:bottom w:val="nil"/>
              <w:right w:val="nil"/>
            </w:tcBorders>
            <w:shd w:val="clear" w:color="auto" w:fill="F2F2F2" w:themeFill="background1" w:themeFillShade="F2"/>
            <w:noWrap/>
            <w:vAlign w:val="bottom"/>
            <w:hideMark/>
          </w:tcPr>
          <w:p w14:paraId="79BD063C"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938</w:t>
            </w:r>
          </w:p>
        </w:tc>
        <w:tc>
          <w:tcPr>
            <w:tcW w:w="1126" w:type="dxa"/>
            <w:tcBorders>
              <w:top w:val="nil"/>
              <w:left w:val="nil"/>
              <w:bottom w:val="nil"/>
              <w:right w:val="nil"/>
            </w:tcBorders>
            <w:shd w:val="clear" w:color="auto" w:fill="auto"/>
            <w:noWrap/>
            <w:vAlign w:val="bottom"/>
            <w:hideMark/>
          </w:tcPr>
          <w:p w14:paraId="63A5365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1107</w:t>
            </w:r>
          </w:p>
        </w:tc>
        <w:tc>
          <w:tcPr>
            <w:tcW w:w="1127" w:type="dxa"/>
            <w:tcBorders>
              <w:top w:val="nil"/>
              <w:left w:val="nil"/>
              <w:bottom w:val="nil"/>
              <w:right w:val="single" w:sz="4" w:space="0" w:color="auto"/>
            </w:tcBorders>
            <w:shd w:val="clear" w:color="auto" w:fill="F2F2F2" w:themeFill="background1" w:themeFillShade="F2"/>
            <w:noWrap/>
            <w:vAlign w:val="bottom"/>
            <w:hideMark/>
          </w:tcPr>
          <w:p w14:paraId="54227BE6" w14:textId="77777777" w:rsidR="00905F73" w:rsidRPr="005D61DD" w:rsidRDefault="00905F73" w:rsidP="00CE2FDF">
            <w:pPr>
              <w:spacing w:before="0" w:line="276" w:lineRule="auto"/>
              <w:jc w:val="right"/>
              <w:rPr>
                <w:rFonts w:cs="Arial"/>
                <w:color w:val="000000"/>
                <w:sz w:val="20"/>
                <w:szCs w:val="20"/>
              </w:rPr>
            </w:pPr>
            <w:r w:rsidRPr="005D61DD">
              <w:rPr>
                <w:rFonts w:cs="Arial"/>
                <w:color w:val="000000"/>
                <w:sz w:val="20"/>
                <w:szCs w:val="20"/>
              </w:rPr>
              <w:t>1325</w:t>
            </w:r>
          </w:p>
        </w:tc>
        <w:tc>
          <w:tcPr>
            <w:tcW w:w="1275" w:type="dxa"/>
            <w:tcBorders>
              <w:top w:val="nil"/>
              <w:left w:val="nil"/>
              <w:bottom w:val="nil"/>
              <w:right w:val="single" w:sz="4" w:space="0" w:color="auto"/>
            </w:tcBorders>
            <w:shd w:val="clear" w:color="auto" w:fill="auto"/>
          </w:tcPr>
          <w:p w14:paraId="49F80DA8"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125</w:t>
            </w:r>
            <w:r w:rsidR="00905F73" w:rsidRPr="005D61DD">
              <w:rPr>
                <w:rFonts w:eastAsia="Times New Roman" w:cs="Arial"/>
                <w:b/>
                <w:color w:val="000000"/>
                <w:sz w:val="20"/>
                <w:szCs w:val="20"/>
                <w:lang w:eastAsia="en-AU"/>
              </w:rPr>
              <w:t>%</w:t>
            </w:r>
          </w:p>
        </w:tc>
      </w:tr>
      <w:tr w:rsidR="001635B1" w:rsidRPr="005D61DD" w14:paraId="138E2F6A" w14:textId="77777777" w:rsidTr="00C84E96">
        <w:trPr>
          <w:trHeight w:val="204"/>
        </w:trPr>
        <w:tc>
          <w:tcPr>
            <w:tcW w:w="2221" w:type="dxa"/>
            <w:tcBorders>
              <w:top w:val="nil"/>
              <w:left w:val="single" w:sz="4" w:space="0" w:color="auto"/>
              <w:bottom w:val="nil"/>
              <w:right w:val="nil"/>
            </w:tcBorders>
            <w:shd w:val="clear" w:color="auto" w:fill="F2F2F2" w:themeFill="background1" w:themeFillShade="F2"/>
            <w:noWrap/>
            <w:hideMark/>
          </w:tcPr>
          <w:p w14:paraId="04E1A3D3" w14:textId="77777777" w:rsidR="001635B1" w:rsidRPr="005D61DD" w:rsidRDefault="001635B1"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Psychiatrists</w:t>
            </w:r>
          </w:p>
        </w:tc>
        <w:tc>
          <w:tcPr>
            <w:tcW w:w="1126" w:type="dxa"/>
            <w:tcBorders>
              <w:top w:val="nil"/>
              <w:left w:val="nil"/>
              <w:bottom w:val="nil"/>
              <w:right w:val="nil"/>
            </w:tcBorders>
            <w:shd w:val="clear" w:color="auto" w:fill="auto"/>
            <w:noWrap/>
            <w:vAlign w:val="bottom"/>
            <w:hideMark/>
          </w:tcPr>
          <w:p w14:paraId="5F569976"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9</w:t>
            </w:r>
          </w:p>
        </w:tc>
        <w:tc>
          <w:tcPr>
            <w:tcW w:w="1126" w:type="dxa"/>
            <w:tcBorders>
              <w:top w:val="nil"/>
              <w:left w:val="nil"/>
              <w:bottom w:val="nil"/>
              <w:right w:val="nil"/>
            </w:tcBorders>
            <w:shd w:val="clear" w:color="auto" w:fill="F2F2F2" w:themeFill="background1" w:themeFillShade="F2"/>
            <w:noWrap/>
            <w:vAlign w:val="bottom"/>
            <w:hideMark/>
          </w:tcPr>
          <w:p w14:paraId="184A2C78"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28</w:t>
            </w:r>
          </w:p>
        </w:tc>
        <w:tc>
          <w:tcPr>
            <w:tcW w:w="1126" w:type="dxa"/>
            <w:tcBorders>
              <w:top w:val="nil"/>
              <w:left w:val="nil"/>
              <w:bottom w:val="nil"/>
              <w:right w:val="nil"/>
            </w:tcBorders>
            <w:shd w:val="clear" w:color="auto" w:fill="auto"/>
            <w:noWrap/>
            <w:vAlign w:val="bottom"/>
            <w:hideMark/>
          </w:tcPr>
          <w:p w14:paraId="7098C0F2"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13</w:t>
            </w:r>
          </w:p>
        </w:tc>
        <w:tc>
          <w:tcPr>
            <w:tcW w:w="1126" w:type="dxa"/>
            <w:tcBorders>
              <w:top w:val="nil"/>
              <w:left w:val="nil"/>
              <w:bottom w:val="nil"/>
              <w:right w:val="nil"/>
            </w:tcBorders>
            <w:shd w:val="clear" w:color="auto" w:fill="F2F2F2" w:themeFill="background1" w:themeFillShade="F2"/>
            <w:noWrap/>
            <w:vAlign w:val="bottom"/>
            <w:hideMark/>
          </w:tcPr>
          <w:p w14:paraId="2F2EFD73"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27</w:t>
            </w:r>
          </w:p>
        </w:tc>
        <w:tc>
          <w:tcPr>
            <w:tcW w:w="1126" w:type="dxa"/>
            <w:tcBorders>
              <w:top w:val="nil"/>
              <w:left w:val="nil"/>
              <w:bottom w:val="nil"/>
              <w:right w:val="nil"/>
            </w:tcBorders>
            <w:shd w:val="clear" w:color="auto" w:fill="auto"/>
            <w:noWrap/>
            <w:vAlign w:val="bottom"/>
            <w:hideMark/>
          </w:tcPr>
          <w:p w14:paraId="38BDF03B"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14</w:t>
            </w:r>
          </w:p>
        </w:tc>
        <w:tc>
          <w:tcPr>
            <w:tcW w:w="1126" w:type="dxa"/>
            <w:tcBorders>
              <w:top w:val="nil"/>
              <w:left w:val="nil"/>
              <w:bottom w:val="nil"/>
              <w:right w:val="nil"/>
            </w:tcBorders>
            <w:shd w:val="clear" w:color="auto" w:fill="F2F2F2" w:themeFill="background1" w:themeFillShade="F2"/>
            <w:noWrap/>
            <w:vAlign w:val="bottom"/>
            <w:hideMark/>
          </w:tcPr>
          <w:p w14:paraId="69B5DDE6"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10</w:t>
            </w:r>
          </w:p>
        </w:tc>
        <w:tc>
          <w:tcPr>
            <w:tcW w:w="1126" w:type="dxa"/>
            <w:tcBorders>
              <w:top w:val="nil"/>
              <w:left w:val="nil"/>
              <w:bottom w:val="nil"/>
              <w:right w:val="nil"/>
            </w:tcBorders>
            <w:shd w:val="clear" w:color="auto" w:fill="auto"/>
            <w:noWrap/>
            <w:vAlign w:val="bottom"/>
            <w:hideMark/>
          </w:tcPr>
          <w:p w14:paraId="010EB1ED"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24</w:t>
            </w:r>
          </w:p>
        </w:tc>
        <w:tc>
          <w:tcPr>
            <w:tcW w:w="1126" w:type="dxa"/>
            <w:tcBorders>
              <w:top w:val="nil"/>
              <w:left w:val="nil"/>
              <w:bottom w:val="nil"/>
              <w:right w:val="nil"/>
            </w:tcBorders>
            <w:shd w:val="clear" w:color="auto" w:fill="F2F2F2" w:themeFill="background1" w:themeFillShade="F2"/>
            <w:noWrap/>
            <w:vAlign w:val="bottom"/>
            <w:hideMark/>
          </w:tcPr>
          <w:p w14:paraId="2BCC7DC2"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25</w:t>
            </w:r>
          </w:p>
        </w:tc>
        <w:tc>
          <w:tcPr>
            <w:tcW w:w="1126" w:type="dxa"/>
            <w:tcBorders>
              <w:top w:val="nil"/>
              <w:left w:val="nil"/>
              <w:bottom w:val="nil"/>
              <w:right w:val="nil"/>
            </w:tcBorders>
            <w:shd w:val="clear" w:color="auto" w:fill="auto"/>
            <w:noWrap/>
            <w:vAlign w:val="bottom"/>
            <w:hideMark/>
          </w:tcPr>
          <w:p w14:paraId="5F0138D8"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23</w:t>
            </w:r>
          </w:p>
        </w:tc>
        <w:tc>
          <w:tcPr>
            <w:tcW w:w="1127" w:type="dxa"/>
            <w:tcBorders>
              <w:top w:val="nil"/>
              <w:left w:val="nil"/>
              <w:bottom w:val="nil"/>
              <w:right w:val="single" w:sz="4" w:space="0" w:color="auto"/>
            </w:tcBorders>
            <w:shd w:val="clear" w:color="auto" w:fill="F2F2F2" w:themeFill="background1" w:themeFillShade="F2"/>
            <w:noWrap/>
            <w:vAlign w:val="bottom"/>
            <w:hideMark/>
          </w:tcPr>
          <w:p w14:paraId="4CEE92BE" w14:textId="77777777" w:rsidR="001635B1" w:rsidRPr="005D61DD" w:rsidRDefault="001635B1" w:rsidP="00CE2FDF">
            <w:pPr>
              <w:spacing w:before="0" w:line="276" w:lineRule="auto"/>
              <w:jc w:val="right"/>
              <w:rPr>
                <w:rFonts w:cs="Arial"/>
                <w:color w:val="000000"/>
                <w:sz w:val="20"/>
                <w:szCs w:val="20"/>
              </w:rPr>
            </w:pPr>
            <w:r w:rsidRPr="005D61DD">
              <w:rPr>
                <w:rFonts w:cs="Arial"/>
                <w:color w:val="000000"/>
                <w:sz w:val="20"/>
                <w:szCs w:val="20"/>
              </w:rPr>
              <w:t>16</w:t>
            </w:r>
          </w:p>
        </w:tc>
        <w:tc>
          <w:tcPr>
            <w:tcW w:w="1275" w:type="dxa"/>
            <w:tcBorders>
              <w:top w:val="nil"/>
              <w:left w:val="nil"/>
              <w:bottom w:val="nil"/>
              <w:right w:val="single" w:sz="4" w:space="0" w:color="auto"/>
            </w:tcBorders>
            <w:shd w:val="clear" w:color="auto" w:fill="auto"/>
          </w:tcPr>
          <w:p w14:paraId="77806421" w14:textId="77777777" w:rsidR="001635B1" w:rsidRPr="005D61DD" w:rsidRDefault="001635B1"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78%</w:t>
            </w:r>
          </w:p>
        </w:tc>
      </w:tr>
      <w:tr w:rsidR="005D61DD" w:rsidRPr="005D61DD" w14:paraId="7547BF2F" w14:textId="77777777" w:rsidTr="00C84E96">
        <w:trPr>
          <w:trHeight w:val="204"/>
        </w:trPr>
        <w:tc>
          <w:tcPr>
            <w:tcW w:w="2221" w:type="dxa"/>
            <w:tcBorders>
              <w:top w:val="nil"/>
              <w:left w:val="single" w:sz="4" w:space="0" w:color="auto"/>
              <w:bottom w:val="nil"/>
              <w:right w:val="nil"/>
            </w:tcBorders>
            <w:shd w:val="clear" w:color="auto" w:fill="F2F2F2" w:themeFill="background1" w:themeFillShade="F2"/>
            <w:noWrap/>
            <w:hideMark/>
          </w:tcPr>
          <w:p w14:paraId="50BDBEDD" w14:textId="77777777" w:rsidR="005D61DD" w:rsidRPr="005D61DD" w:rsidRDefault="005D61DD"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Major mandated reporter groups combined</w:t>
            </w:r>
          </w:p>
        </w:tc>
        <w:tc>
          <w:tcPr>
            <w:tcW w:w="1126" w:type="dxa"/>
            <w:tcBorders>
              <w:top w:val="nil"/>
              <w:left w:val="nil"/>
              <w:bottom w:val="nil"/>
              <w:right w:val="nil"/>
            </w:tcBorders>
            <w:shd w:val="clear" w:color="auto" w:fill="auto"/>
            <w:noWrap/>
            <w:vAlign w:val="bottom"/>
            <w:hideMark/>
          </w:tcPr>
          <w:p w14:paraId="1A4FF775"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1685</w:t>
            </w:r>
          </w:p>
        </w:tc>
        <w:tc>
          <w:tcPr>
            <w:tcW w:w="1126" w:type="dxa"/>
            <w:tcBorders>
              <w:top w:val="nil"/>
              <w:left w:val="nil"/>
              <w:bottom w:val="nil"/>
              <w:right w:val="nil"/>
            </w:tcBorders>
            <w:shd w:val="clear" w:color="auto" w:fill="F2F2F2" w:themeFill="background1" w:themeFillShade="F2"/>
            <w:noWrap/>
            <w:vAlign w:val="bottom"/>
            <w:hideMark/>
          </w:tcPr>
          <w:p w14:paraId="08D50ECF"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1506</w:t>
            </w:r>
          </w:p>
        </w:tc>
        <w:tc>
          <w:tcPr>
            <w:tcW w:w="1126" w:type="dxa"/>
            <w:tcBorders>
              <w:top w:val="nil"/>
              <w:left w:val="nil"/>
              <w:bottom w:val="nil"/>
              <w:right w:val="nil"/>
            </w:tcBorders>
            <w:shd w:val="clear" w:color="auto" w:fill="auto"/>
            <w:noWrap/>
            <w:vAlign w:val="bottom"/>
            <w:hideMark/>
          </w:tcPr>
          <w:p w14:paraId="70A5E3BA"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1294</w:t>
            </w:r>
          </w:p>
        </w:tc>
        <w:tc>
          <w:tcPr>
            <w:tcW w:w="1126" w:type="dxa"/>
            <w:tcBorders>
              <w:top w:val="nil"/>
              <w:left w:val="nil"/>
              <w:bottom w:val="nil"/>
              <w:right w:val="nil"/>
            </w:tcBorders>
            <w:shd w:val="clear" w:color="auto" w:fill="F2F2F2" w:themeFill="background1" w:themeFillShade="F2"/>
            <w:noWrap/>
            <w:vAlign w:val="bottom"/>
            <w:hideMark/>
          </w:tcPr>
          <w:p w14:paraId="271E502E"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1350</w:t>
            </w:r>
          </w:p>
        </w:tc>
        <w:tc>
          <w:tcPr>
            <w:tcW w:w="1126" w:type="dxa"/>
            <w:tcBorders>
              <w:top w:val="nil"/>
              <w:left w:val="nil"/>
              <w:bottom w:val="nil"/>
              <w:right w:val="nil"/>
            </w:tcBorders>
            <w:shd w:val="clear" w:color="auto" w:fill="auto"/>
            <w:noWrap/>
            <w:vAlign w:val="bottom"/>
            <w:hideMark/>
          </w:tcPr>
          <w:p w14:paraId="50F6C70E"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1449</w:t>
            </w:r>
          </w:p>
        </w:tc>
        <w:tc>
          <w:tcPr>
            <w:tcW w:w="1126" w:type="dxa"/>
            <w:tcBorders>
              <w:top w:val="nil"/>
              <w:left w:val="nil"/>
              <w:bottom w:val="nil"/>
              <w:right w:val="nil"/>
            </w:tcBorders>
            <w:shd w:val="clear" w:color="auto" w:fill="F2F2F2" w:themeFill="background1" w:themeFillShade="F2"/>
            <w:noWrap/>
            <w:vAlign w:val="bottom"/>
            <w:hideMark/>
          </w:tcPr>
          <w:p w14:paraId="263F55D4"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1811</w:t>
            </w:r>
          </w:p>
        </w:tc>
        <w:tc>
          <w:tcPr>
            <w:tcW w:w="1126" w:type="dxa"/>
            <w:tcBorders>
              <w:top w:val="nil"/>
              <w:left w:val="nil"/>
              <w:bottom w:val="nil"/>
              <w:right w:val="nil"/>
            </w:tcBorders>
            <w:shd w:val="clear" w:color="auto" w:fill="auto"/>
            <w:noWrap/>
            <w:vAlign w:val="bottom"/>
            <w:hideMark/>
          </w:tcPr>
          <w:p w14:paraId="66CC7583"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2096</w:t>
            </w:r>
          </w:p>
        </w:tc>
        <w:tc>
          <w:tcPr>
            <w:tcW w:w="1126" w:type="dxa"/>
            <w:tcBorders>
              <w:top w:val="nil"/>
              <w:left w:val="nil"/>
              <w:bottom w:val="nil"/>
              <w:right w:val="nil"/>
            </w:tcBorders>
            <w:shd w:val="clear" w:color="auto" w:fill="F2F2F2" w:themeFill="background1" w:themeFillShade="F2"/>
            <w:noWrap/>
            <w:vAlign w:val="bottom"/>
            <w:hideMark/>
          </w:tcPr>
          <w:p w14:paraId="4CC51814"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3361</w:t>
            </w:r>
          </w:p>
        </w:tc>
        <w:tc>
          <w:tcPr>
            <w:tcW w:w="1126" w:type="dxa"/>
            <w:tcBorders>
              <w:top w:val="nil"/>
              <w:left w:val="nil"/>
              <w:bottom w:val="nil"/>
              <w:right w:val="nil"/>
            </w:tcBorders>
            <w:shd w:val="clear" w:color="auto" w:fill="auto"/>
            <w:noWrap/>
            <w:vAlign w:val="bottom"/>
            <w:hideMark/>
          </w:tcPr>
          <w:p w14:paraId="403989E9"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2873</w:t>
            </w:r>
          </w:p>
        </w:tc>
        <w:tc>
          <w:tcPr>
            <w:tcW w:w="1127" w:type="dxa"/>
            <w:tcBorders>
              <w:top w:val="nil"/>
              <w:left w:val="nil"/>
              <w:bottom w:val="nil"/>
              <w:right w:val="single" w:sz="4" w:space="0" w:color="auto"/>
            </w:tcBorders>
            <w:shd w:val="clear" w:color="auto" w:fill="F2F2F2" w:themeFill="background1" w:themeFillShade="F2"/>
            <w:noWrap/>
            <w:vAlign w:val="bottom"/>
            <w:hideMark/>
          </w:tcPr>
          <w:p w14:paraId="7A6C96E4"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3631</w:t>
            </w:r>
          </w:p>
        </w:tc>
        <w:tc>
          <w:tcPr>
            <w:tcW w:w="1275" w:type="dxa"/>
            <w:tcBorders>
              <w:top w:val="nil"/>
              <w:left w:val="nil"/>
              <w:bottom w:val="nil"/>
              <w:right w:val="single" w:sz="4" w:space="0" w:color="auto"/>
            </w:tcBorders>
            <w:shd w:val="clear" w:color="auto" w:fill="auto"/>
          </w:tcPr>
          <w:p w14:paraId="32E5B492" w14:textId="77777777" w:rsidR="005D61DD" w:rsidRPr="005D61DD" w:rsidRDefault="005D61DD" w:rsidP="00CE2FDF">
            <w:pPr>
              <w:spacing w:before="0" w:line="276" w:lineRule="auto"/>
              <w:jc w:val="right"/>
              <w:rPr>
                <w:rFonts w:eastAsia="Times New Roman" w:cs="Arial"/>
                <w:b/>
                <w:color w:val="000000"/>
                <w:sz w:val="20"/>
                <w:szCs w:val="20"/>
                <w:lang w:eastAsia="en-AU"/>
              </w:rPr>
            </w:pPr>
          </w:p>
          <w:p w14:paraId="314D15BD" w14:textId="77777777" w:rsidR="005D61DD" w:rsidRPr="005D61DD" w:rsidRDefault="005D61DD"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115%</w:t>
            </w:r>
          </w:p>
        </w:tc>
      </w:tr>
      <w:tr w:rsidR="005D61DD" w:rsidRPr="005D61DD" w14:paraId="48A1042D" w14:textId="77777777" w:rsidTr="00C84E96">
        <w:trPr>
          <w:trHeight w:val="204"/>
        </w:trPr>
        <w:tc>
          <w:tcPr>
            <w:tcW w:w="2221" w:type="dxa"/>
            <w:tcBorders>
              <w:top w:val="nil"/>
              <w:left w:val="single" w:sz="4" w:space="0" w:color="auto"/>
              <w:bottom w:val="nil"/>
              <w:right w:val="nil"/>
            </w:tcBorders>
            <w:shd w:val="clear" w:color="auto" w:fill="F2F2F2" w:themeFill="background1" w:themeFillShade="F2"/>
            <w:noWrap/>
            <w:hideMark/>
          </w:tcPr>
          <w:p w14:paraId="5C7E71DF" w14:textId="77777777" w:rsidR="005D61DD" w:rsidRPr="005D61DD" w:rsidRDefault="005D61DD" w:rsidP="00CE2FDF">
            <w:pPr>
              <w:spacing w:before="0" w:line="276" w:lineRule="auto"/>
              <w:rPr>
                <w:rFonts w:eastAsia="Times New Roman" w:cs="Arial"/>
                <w:bCs/>
                <w:sz w:val="20"/>
                <w:szCs w:val="20"/>
                <w:lang w:eastAsia="en-AU"/>
              </w:rPr>
            </w:pPr>
            <w:r w:rsidRPr="005D61DD">
              <w:rPr>
                <w:rFonts w:eastAsia="Times New Roman" w:cs="Arial"/>
                <w:bCs/>
                <w:sz w:val="20"/>
                <w:szCs w:val="20"/>
                <w:lang w:eastAsia="en-AU"/>
              </w:rPr>
              <w:t>Other reporter groups combined</w:t>
            </w:r>
          </w:p>
        </w:tc>
        <w:tc>
          <w:tcPr>
            <w:tcW w:w="1126" w:type="dxa"/>
            <w:tcBorders>
              <w:top w:val="nil"/>
              <w:left w:val="nil"/>
              <w:bottom w:val="nil"/>
              <w:right w:val="nil"/>
            </w:tcBorders>
            <w:shd w:val="clear" w:color="auto" w:fill="auto"/>
            <w:noWrap/>
            <w:vAlign w:val="bottom"/>
            <w:hideMark/>
          </w:tcPr>
          <w:p w14:paraId="79E36554"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3372</w:t>
            </w:r>
          </w:p>
        </w:tc>
        <w:tc>
          <w:tcPr>
            <w:tcW w:w="1126" w:type="dxa"/>
            <w:tcBorders>
              <w:top w:val="nil"/>
              <w:left w:val="nil"/>
              <w:bottom w:val="nil"/>
              <w:right w:val="nil"/>
            </w:tcBorders>
            <w:shd w:val="clear" w:color="auto" w:fill="F2F2F2" w:themeFill="background1" w:themeFillShade="F2"/>
            <w:noWrap/>
            <w:vAlign w:val="bottom"/>
            <w:hideMark/>
          </w:tcPr>
          <w:p w14:paraId="23B3483F"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2989</w:t>
            </w:r>
          </w:p>
        </w:tc>
        <w:tc>
          <w:tcPr>
            <w:tcW w:w="1126" w:type="dxa"/>
            <w:tcBorders>
              <w:top w:val="nil"/>
              <w:left w:val="nil"/>
              <w:bottom w:val="nil"/>
              <w:right w:val="nil"/>
            </w:tcBorders>
            <w:shd w:val="clear" w:color="auto" w:fill="auto"/>
            <w:noWrap/>
            <w:vAlign w:val="bottom"/>
            <w:hideMark/>
          </w:tcPr>
          <w:p w14:paraId="2FE74EC3"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2542</w:t>
            </w:r>
          </w:p>
        </w:tc>
        <w:tc>
          <w:tcPr>
            <w:tcW w:w="1126" w:type="dxa"/>
            <w:tcBorders>
              <w:top w:val="nil"/>
              <w:left w:val="nil"/>
              <w:bottom w:val="nil"/>
              <w:right w:val="nil"/>
            </w:tcBorders>
            <w:shd w:val="clear" w:color="auto" w:fill="F2F2F2" w:themeFill="background1" w:themeFillShade="F2"/>
            <w:noWrap/>
            <w:vAlign w:val="bottom"/>
            <w:hideMark/>
          </w:tcPr>
          <w:p w14:paraId="57C55951"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2679</w:t>
            </w:r>
          </w:p>
        </w:tc>
        <w:tc>
          <w:tcPr>
            <w:tcW w:w="1126" w:type="dxa"/>
            <w:tcBorders>
              <w:top w:val="nil"/>
              <w:left w:val="nil"/>
              <w:bottom w:val="nil"/>
              <w:right w:val="nil"/>
            </w:tcBorders>
            <w:shd w:val="clear" w:color="auto" w:fill="auto"/>
            <w:noWrap/>
            <w:vAlign w:val="bottom"/>
            <w:hideMark/>
          </w:tcPr>
          <w:p w14:paraId="49006765"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2555</w:t>
            </w:r>
          </w:p>
        </w:tc>
        <w:tc>
          <w:tcPr>
            <w:tcW w:w="1126" w:type="dxa"/>
            <w:tcBorders>
              <w:top w:val="nil"/>
              <w:left w:val="nil"/>
              <w:bottom w:val="nil"/>
              <w:right w:val="nil"/>
            </w:tcBorders>
            <w:shd w:val="clear" w:color="auto" w:fill="F2F2F2" w:themeFill="background1" w:themeFillShade="F2"/>
            <w:noWrap/>
            <w:vAlign w:val="bottom"/>
            <w:hideMark/>
          </w:tcPr>
          <w:p w14:paraId="2F8B67E8"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2636</w:t>
            </w:r>
          </w:p>
        </w:tc>
        <w:tc>
          <w:tcPr>
            <w:tcW w:w="1126" w:type="dxa"/>
            <w:tcBorders>
              <w:top w:val="nil"/>
              <w:left w:val="nil"/>
              <w:bottom w:val="nil"/>
              <w:right w:val="nil"/>
            </w:tcBorders>
            <w:shd w:val="clear" w:color="auto" w:fill="auto"/>
            <w:noWrap/>
            <w:vAlign w:val="bottom"/>
            <w:hideMark/>
          </w:tcPr>
          <w:p w14:paraId="121DFD6F"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2791</w:t>
            </w:r>
          </w:p>
        </w:tc>
        <w:tc>
          <w:tcPr>
            <w:tcW w:w="1126" w:type="dxa"/>
            <w:tcBorders>
              <w:top w:val="nil"/>
              <w:left w:val="nil"/>
              <w:bottom w:val="nil"/>
              <w:right w:val="nil"/>
            </w:tcBorders>
            <w:shd w:val="clear" w:color="auto" w:fill="F2F2F2" w:themeFill="background1" w:themeFillShade="F2"/>
            <w:noWrap/>
            <w:vAlign w:val="bottom"/>
            <w:hideMark/>
          </w:tcPr>
          <w:p w14:paraId="2390501C"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3213</w:t>
            </w:r>
          </w:p>
        </w:tc>
        <w:tc>
          <w:tcPr>
            <w:tcW w:w="1126" w:type="dxa"/>
            <w:tcBorders>
              <w:top w:val="nil"/>
              <w:left w:val="nil"/>
              <w:bottom w:val="nil"/>
              <w:right w:val="nil"/>
            </w:tcBorders>
            <w:shd w:val="clear" w:color="auto" w:fill="auto"/>
            <w:noWrap/>
            <w:vAlign w:val="bottom"/>
            <w:hideMark/>
          </w:tcPr>
          <w:p w14:paraId="725E1244"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3184</w:t>
            </w:r>
          </w:p>
        </w:tc>
        <w:tc>
          <w:tcPr>
            <w:tcW w:w="1127" w:type="dxa"/>
            <w:tcBorders>
              <w:top w:val="nil"/>
              <w:left w:val="nil"/>
              <w:bottom w:val="nil"/>
              <w:right w:val="single" w:sz="4" w:space="0" w:color="auto"/>
            </w:tcBorders>
            <w:shd w:val="clear" w:color="auto" w:fill="F2F2F2" w:themeFill="background1" w:themeFillShade="F2"/>
            <w:noWrap/>
            <w:vAlign w:val="bottom"/>
            <w:hideMark/>
          </w:tcPr>
          <w:p w14:paraId="1DEFC194" w14:textId="77777777" w:rsidR="005D61DD" w:rsidRPr="005D61DD" w:rsidRDefault="005D61DD" w:rsidP="00CE2FDF">
            <w:pPr>
              <w:spacing w:before="0" w:line="276" w:lineRule="auto"/>
              <w:jc w:val="right"/>
              <w:rPr>
                <w:rFonts w:cs="Arial"/>
                <w:color w:val="000000"/>
                <w:sz w:val="20"/>
                <w:szCs w:val="20"/>
              </w:rPr>
            </w:pPr>
            <w:r w:rsidRPr="005D61DD">
              <w:rPr>
                <w:rFonts w:cs="Arial"/>
                <w:color w:val="000000"/>
                <w:sz w:val="20"/>
                <w:szCs w:val="20"/>
              </w:rPr>
              <w:t>3231</w:t>
            </w:r>
          </w:p>
        </w:tc>
        <w:tc>
          <w:tcPr>
            <w:tcW w:w="1275" w:type="dxa"/>
            <w:tcBorders>
              <w:top w:val="nil"/>
              <w:left w:val="nil"/>
              <w:bottom w:val="nil"/>
              <w:right w:val="single" w:sz="4" w:space="0" w:color="auto"/>
            </w:tcBorders>
            <w:shd w:val="clear" w:color="auto" w:fill="auto"/>
          </w:tcPr>
          <w:p w14:paraId="11E1FC72" w14:textId="77777777" w:rsidR="005D61DD" w:rsidRPr="005D61DD" w:rsidRDefault="005D61DD" w:rsidP="00CE2FDF">
            <w:pPr>
              <w:spacing w:before="0" w:line="276" w:lineRule="auto"/>
              <w:jc w:val="right"/>
              <w:rPr>
                <w:rFonts w:eastAsia="Times New Roman" w:cs="Arial"/>
                <w:b/>
                <w:color w:val="000000"/>
                <w:sz w:val="20"/>
                <w:szCs w:val="20"/>
                <w:lang w:eastAsia="en-AU"/>
              </w:rPr>
            </w:pPr>
          </w:p>
          <w:p w14:paraId="259E654D" w14:textId="77777777" w:rsidR="005D61DD" w:rsidRPr="005D61DD" w:rsidRDefault="005D61DD"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4%</w:t>
            </w:r>
          </w:p>
        </w:tc>
      </w:tr>
      <w:tr w:rsidR="00905F73" w:rsidRPr="005D61DD" w14:paraId="67E3B37D" w14:textId="77777777" w:rsidTr="00C84E96">
        <w:trPr>
          <w:trHeight w:val="204"/>
        </w:trPr>
        <w:tc>
          <w:tcPr>
            <w:tcW w:w="2221" w:type="dxa"/>
            <w:tcBorders>
              <w:top w:val="nil"/>
              <w:left w:val="single" w:sz="4" w:space="0" w:color="auto"/>
              <w:bottom w:val="single" w:sz="4" w:space="0" w:color="auto"/>
              <w:right w:val="nil"/>
            </w:tcBorders>
            <w:shd w:val="clear" w:color="auto" w:fill="F2F2F2" w:themeFill="background1" w:themeFillShade="F2"/>
            <w:noWrap/>
            <w:vAlign w:val="bottom"/>
            <w:hideMark/>
          </w:tcPr>
          <w:p w14:paraId="642A1DF1" w14:textId="77777777" w:rsidR="00905F73" w:rsidRPr="005D61DD" w:rsidRDefault="00905F73" w:rsidP="00CE2FDF">
            <w:pPr>
              <w:spacing w:before="0" w:line="276" w:lineRule="auto"/>
              <w:rPr>
                <w:rFonts w:eastAsia="Times New Roman" w:cs="Arial"/>
                <w:b/>
                <w:sz w:val="20"/>
                <w:szCs w:val="20"/>
                <w:lang w:eastAsia="en-AU"/>
              </w:rPr>
            </w:pPr>
            <w:r w:rsidRPr="005D61DD">
              <w:rPr>
                <w:rFonts w:eastAsia="Times New Roman" w:cs="Arial"/>
                <w:b/>
                <w:sz w:val="20"/>
                <w:szCs w:val="20"/>
                <w:lang w:eastAsia="en-AU"/>
              </w:rPr>
              <w:t>Total reports:</w:t>
            </w:r>
          </w:p>
        </w:tc>
        <w:tc>
          <w:tcPr>
            <w:tcW w:w="1126" w:type="dxa"/>
            <w:tcBorders>
              <w:top w:val="nil"/>
              <w:left w:val="nil"/>
              <w:bottom w:val="single" w:sz="4" w:space="0" w:color="auto"/>
              <w:right w:val="nil"/>
            </w:tcBorders>
            <w:shd w:val="clear" w:color="auto" w:fill="auto"/>
            <w:noWrap/>
            <w:vAlign w:val="bottom"/>
            <w:hideMark/>
          </w:tcPr>
          <w:p w14:paraId="3ECBA076"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5057</w:t>
            </w:r>
          </w:p>
        </w:tc>
        <w:tc>
          <w:tcPr>
            <w:tcW w:w="1126" w:type="dxa"/>
            <w:tcBorders>
              <w:top w:val="nil"/>
              <w:left w:val="nil"/>
              <w:bottom w:val="single" w:sz="4" w:space="0" w:color="auto"/>
              <w:right w:val="nil"/>
            </w:tcBorders>
            <w:shd w:val="clear" w:color="auto" w:fill="F2F2F2" w:themeFill="background1" w:themeFillShade="F2"/>
            <w:noWrap/>
            <w:vAlign w:val="bottom"/>
            <w:hideMark/>
          </w:tcPr>
          <w:p w14:paraId="24D796A7"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4495</w:t>
            </w:r>
          </w:p>
        </w:tc>
        <w:tc>
          <w:tcPr>
            <w:tcW w:w="1126" w:type="dxa"/>
            <w:tcBorders>
              <w:top w:val="nil"/>
              <w:left w:val="nil"/>
              <w:bottom w:val="single" w:sz="4" w:space="0" w:color="auto"/>
              <w:right w:val="nil"/>
            </w:tcBorders>
            <w:shd w:val="clear" w:color="auto" w:fill="auto"/>
            <w:noWrap/>
            <w:vAlign w:val="bottom"/>
            <w:hideMark/>
          </w:tcPr>
          <w:p w14:paraId="7DBB3897"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3836</w:t>
            </w:r>
          </w:p>
        </w:tc>
        <w:tc>
          <w:tcPr>
            <w:tcW w:w="1126" w:type="dxa"/>
            <w:tcBorders>
              <w:top w:val="nil"/>
              <w:left w:val="nil"/>
              <w:bottom w:val="single" w:sz="4" w:space="0" w:color="auto"/>
              <w:right w:val="nil"/>
            </w:tcBorders>
            <w:shd w:val="clear" w:color="auto" w:fill="F2F2F2" w:themeFill="background1" w:themeFillShade="F2"/>
            <w:noWrap/>
            <w:vAlign w:val="bottom"/>
            <w:hideMark/>
          </w:tcPr>
          <w:p w14:paraId="1276F457"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4029</w:t>
            </w:r>
          </w:p>
        </w:tc>
        <w:tc>
          <w:tcPr>
            <w:tcW w:w="1126" w:type="dxa"/>
            <w:tcBorders>
              <w:top w:val="nil"/>
              <w:left w:val="nil"/>
              <w:bottom w:val="single" w:sz="4" w:space="0" w:color="auto"/>
              <w:right w:val="nil"/>
            </w:tcBorders>
            <w:shd w:val="clear" w:color="auto" w:fill="auto"/>
            <w:noWrap/>
            <w:vAlign w:val="bottom"/>
            <w:hideMark/>
          </w:tcPr>
          <w:p w14:paraId="78886E44"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4004</w:t>
            </w:r>
          </w:p>
        </w:tc>
        <w:tc>
          <w:tcPr>
            <w:tcW w:w="1126" w:type="dxa"/>
            <w:tcBorders>
              <w:top w:val="nil"/>
              <w:left w:val="nil"/>
              <w:bottom w:val="single" w:sz="4" w:space="0" w:color="auto"/>
              <w:right w:val="nil"/>
            </w:tcBorders>
            <w:shd w:val="clear" w:color="auto" w:fill="F2F2F2" w:themeFill="background1" w:themeFillShade="F2"/>
            <w:noWrap/>
            <w:vAlign w:val="bottom"/>
            <w:hideMark/>
          </w:tcPr>
          <w:p w14:paraId="24FB1D8B"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4447</w:t>
            </w:r>
          </w:p>
        </w:tc>
        <w:tc>
          <w:tcPr>
            <w:tcW w:w="1126" w:type="dxa"/>
            <w:tcBorders>
              <w:top w:val="nil"/>
              <w:left w:val="nil"/>
              <w:bottom w:val="single" w:sz="4" w:space="0" w:color="auto"/>
              <w:right w:val="nil"/>
            </w:tcBorders>
            <w:shd w:val="clear" w:color="auto" w:fill="auto"/>
            <w:noWrap/>
            <w:vAlign w:val="bottom"/>
            <w:hideMark/>
          </w:tcPr>
          <w:p w14:paraId="50A91445"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4887</w:t>
            </w:r>
          </w:p>
        </w:tc>
        <w:tc>
          <w:tcPr>
            <w:tcW w:w="1126" w:type="dxa"/>
            <w:tcBorders>
              <w:top w:val="nil"/>
              <w:left w:val="nil"/>
              <w:bottom w:val="single" w:sz="4" w:space="0" w:color="auto"/>
              <w:right w:val="nil"/>
            </w:tcBorders>
            <w:shd w:val="clear" w:color="auto" w:fill="F2F2F2" w:themeFill="background1" w:themeFillShade="F2"/>
            <w:noWrap/>
            <w:vAlign w:val="bottom"/>
            <w:hideMark/>
          </w:tcPr>
          <w:p w14:paraId="017B6C71"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6574</w:t>
            </w:r>
          </w:p>
        </w:tc>
        <w:tc>
          <w:tcPr>
            <w:tcW w:w="1126" w:type="dxa"/>
            <w:tcBorders>
              <w:top w:val="nil"/>
              <w:left w:val="nil"/>
              <w:bottom w:val="single" w:sz="4" w:space="0" w:color="auto"/>
              <w:right w:val="nil"/>
            </w:tcBorders>
            <w:shd w:val="clear" w:color="auto" w:fill="auto"/>
            <w:noWrap/>
            <w:vAlign w:val="bottom"/>
            <w:hideMark/>
          </w:tcPr>
          <w:p w14:paraId="76FBE890"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6057</w:t>
            </w:r>
          </w:p>
        </w:tc>
        <w:tc>
          <w:tcPr>
            <w:tcW w:w="1127" w:type="dxa"/>
            <w:tcBorders>
              <w:top w:val="nil"/>
              <w:left w:val="nil"/>
              <w:bottom w:val="single" w:sz="4" w:space="0" w:color="auto"/>
              <w:right w:val="single" w:sz="4" w:space="0" w:color="auto"/>
            </w:tcBorders>
            <w:shd w:val="clear" w:color="auto" w:fill="F2F2F2" w:themeFill="background1" w:themeFillShade="F2"/>
            <w:noWrap/>
            <w:vAlign w:val="bottom"/>
            <w:hideMark/>
          </w:tcPr>
          <w:p w14:paraId="3915E163" w14:textId="77777777" w:rsidR="00905F73" w:rsidRPr="005D61DD" w:rsidRDefault="00905F73" w:rsidP="00CE2FDF">
            <w:pPr>
              <w:spacing w:before="0" w:line="276" w:lineRule="auto"/>
              <w:jc w:val="right"/>
              <w:rPr>
                <w:rFonts w:cs="Arial"/>
                <w:b/>
                <w:color w:val="000000"/>
                <w:sz w:val="20"/>
                <w:szCs w:val="20"/>
              </w:rPr>
            </w:pPr>
            <w:r w:rsidRPr="005D61DD">
              <w:rPr>
                <w:rFonts w:cs="Arial"/>
                <w:b/>
                <w:color w:val="000000"/>
                <w:sz w:val="20"/>
                <w:szCs w:val="20"/>
              </w:rPr>
              <w:t>6862</w:t>
            </w:r>
          </w:p>
        </w:tc>
        <w:tc>
          <w:tcPr>
            <w:tcW w:w="1275" w:type="dxa"/>
            <w:tcBorders>
              <w:top w:val="nil"/>
              <w:left w:val="nil"/>
              <w:bottom w:val="single" w:sz="4" w:space="0" w:color="auto"/>
              <w:right w:val="single" w:sz="4" w:space="0" w:color="auto"/>
            </w:tcBorders>
            <w:shd w:val="clear" w:color="auto" w:fill="auto"/>
          </w:tcPr>
          <w:p w14:paraId="177468C3" w14:textId="77777777" w:rsidR="00905F73" w:rsidRPr="005D61DD" w:rsidRDefault="00F91A13" w:rsidP="00CE2FDF">
            <w:pPr>
              <w:spacing w:before="0" w:line="276" w:lineRule="auto"/>
              <w:jc w:val="right"/>
              <w:rPr>
                <w:rFonts w:eastAsia="Times New Roman" w:cs="Arial"/>
                <w:b/>
                <w:color w:val="000000"/>
                <w:sz w:val="20"/>
                <w:szCs w:val="20"/>
                <w:lang w:eastAsia="en-AU"/>
              </w:rPr>
            </w:pPr>
            <w:r w:rsidRPr="005D61DD">
              <w:rPr>
                <w:rFonts w:eastAsia="Times New Roman" w:cs="Arial"/>
                <w:b/>
                <w:color w:val="000000"/>
                <w:sz w:val="20"/>
                <w:szCs w:val="20"/>
                <w:lang w:eastAsia="en-AU"/>
              </w:rPr>
              <w:t>36</w:t>
            </w:r>
            <w:r w:rsidR="00905F73" w:rsidRPr="005D61DD">
              <w:rPr>
                <w:rFonts w:eastAsia="Times New Roman" w:cs="Arial"/>
                <w:b/>
                <w:color w:val="000000"/>
                <w:sz w:val="20"/>
                <w:szCs w:val="20"/>
                <w:lang w:eastAsia="en-AU"/>
              </w:rPr>
              <w:t>%</w:t>
            </w:r>
          </w:p>
        </w:tc>
      </w:tr>
    </w:tbl>
    <w:p w14:paraId="2569BA86" w14:textId="77777777" w:rsidR="00A4766A" w:rsidRPr="00F712D3" w:rsidRDefault="00A4766A" w:rsidP="00B15586"/>
    <w:p w14:paraId="642560AC" w14:textId="77777777" w:rsidR="00F712D3" w:rsidRPr="00F712D3" w:rsidRDefault="00F712D3" w:rsidP="00B15586"/>
    <w:p w14:paraId="08FA96F5" w14:textId="77777777" w:rsidR="00F712D3" w:rsidRDefault="00F712D3" w:rsidP="00B15586">
      <w:pPr>
        <w:spacing w:after="200" w:line="276" w:lineRule="auto"/>
        <w:sectPr w:rsidR="00F712D3" w:rsidSect="00BA154E">
          <w:pgSz w:w="16838" w:h="11906" w:orient="landscape"/>
          <w:pgMar w:top="1134" w:right="1134" w:bottom="284" w:left="1134" w:header="709" w:footer="283" w:gutter="0"/>
          <w:cols w:space="708"/>
          <w:docGrid w:linePitch="360"/>
        </w:sectPr>
      </w:pPr>
    </w:p>
    <w:p w14:paraId="473E8006" w14:textId="77777777" w:rsidR="005D61DD" w:rsidRPr="008539EC" w:rsidRDefault="005D61DD" w:rsidP="00B15586">
      <w:pPr>
        <w:pStyle w:val="Heading4"/>
      </w:pPr>
      <w:bookmarkStart w:id="69" w:name="_Toc382206717"/>
      <w:bookmarkStart w:id="70" w:name="_Toc435716765"/>
      <w:r w:rsidRPr="008539EC">
        <w:lastRenderedPageBreak/>
        <w:t xml:space="preserve">Part </w:t>
      </w:r>
      <w:r>
        <w:t>1</w:t>
      </w:r>
      <w:r w:rsidR="008712CF">
        <w:t>B</w:t>
      </w:r>
      <w:r w:rsidR="00F01A27">
        <w:t xml:space="preserve">: </w:t>
      </w:r>
      <w:r w:rsidR="00971CF3">
        <w:t>Ten year analysis of r</w:t>
      </w:r>
      <w:r w:rsidRPr="008539EC">
        <w:t>eporting of individual abuse types</w:t>
      </w:r>
      <w:bookmarkEnd w:id="69"/>
      <w:bookmarkEnd w:id="70"/>
    </w:p>
    <w:p w14:paraId="43C23275" w14:textId="77777777" w:rsidR="00F40CF8" w:rsidRPr="00F40CF8" w:rsidRDefault="00F40CF8" w:rsidP="006D7758">
      <w:pPr>
        <w:pStyle w:val="Paragraph"/>
        <w:rPr>
          <w:lang w:val="en-US"/>
        </w:rPr>
      </w:pPr>
      <w:r w:rsidRPr="00F40CF8">
        <w:rPr>
          <w:lang w:val="en-US"/>
        </w:rPr>
        <w:t>The following tables and line graphs provide detailed analyses of the reporting practices of the major mandated reporter groups, and other reporter groups, over the decade.  </w:t>
      </w:r>
    </w:p>
    <w:p w14:paraId="0C1688E6" w14:textId="77777777" w:rsidR="00F40CF8" w:rsidRDefault="00F40CF8" w:rsidP="006D7758">
      <w:pPr>
        <w:pStyle w:val="Paragraph"/>
        <w:rPr>
          <w:lang w:val="en-US"/>
        </w:rPr>
      </w:pPr>
      <w:r w:rsidRPr="00F40CF8">
        <w:rPr>
          <w:lang w:val="en-US"/>
        </w:rPr>
        <w:t xml:space="preserve">Tables 1.18 to 1.21 show trends in numbers of reports of each type of abuse and neglect by individual reporter groups. </w:t>
      </w:r>
    </w:p>
    <w:p w14:paraId="56BC7CC7" w14:textId="051BFDC9" w:rsidR="00B94C7A" w:rsidRDefault="00F40CF8" w:rsidP="006D7758">
      <w:pPr>
        <w:pStyle w:val="Paragraph"/>
        <w:sectPr w:rsidR="00B94C7A" w:rsidSect="00B94C7A">
          <w:headerReference w:type="default" r:id="rId37"/>
          <w:footerReference w:type="default" r:id="rId38"/>
          <w:pgSz w:w="11906" w:h="16838"/>
          <w:pgMar w:top="1134" w:right="567" w:bottom="1134" w:left="1134" w:header="709" w:footer="709" w:gutter="0"/>
          <w:cols w:space="708"/>
          <w:docGrid w:linePitch="360"/>
        </w:sectPr>
      </w:pPr>
      <w:r w:rsidRPr="00F40CF8">
        <w:rPr>
          <w:lang w:val="en-US"/>
        </w:rPr>
        <w:t>Tables 1.22 to 1.25 show trends in outcomes of reports of each type of a</w:t>
      </w:r>
      <w:r>
        <w:rPr>
          <w:lang w:val="en-US"/>
        </w:rPr>
        <w:t>buse and neglect</w:t>
      </w:r>
      <w:r w:rsidR="008D34D8">
        <w:t>.</w:t>
      </w:r>
      <w:r w:rsidR="00FF2D54">
        <w:t xml:space="preserve"> </w:t>
      </w:r>
    </w:p>
    <w:p w14:paraId="180BB5BD" w14:textId="13F3E457" w:rsidR="002F6188" w:rsidRDefault="00863988" w:rsidP="00863988">
      <w:pPr>
        <w:pStyle w:val="Figureheading"/>
      </w:pPr>
      <w:r>
        <w:lastRenderedPageBreak/>
        <w:t>1.18</w:t>
      </w:r>
      <w:r>
        <w:tab/>
      </w:r>
      <w:r w:rsidR="002F6188">
        <w:t>Number of reports of emotional abuse by year, by reporter group, with percentage change</w:t>
      </w:r>
    </w:p>
    <w:tbl>
      <w:tblPr>
        <w:tblW w:w="1470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78"/>
        <w:gridCol w:w="840"/>
        <w:gridCol w:w="900"/>
        <w:gridCol w:w="900"/>
        <w:gridCol w:w="990"/>
        <w:gridCol w:w="990"/>
        <w:gridCol w:w="932"/>
        <w:gridCol w:w="1063"/>
        <w:gridCol w:w="1063"/>
        <w:gridCol w:w="1063"/>
        <w:gridCol w:w="1099"/>
        <w:gridCol w:w="1027"/>
        <w:gridCol w:w="1064"/>
      </w:tblGrid>
      <w:tr w:rsidR="00C84E96" w:rsidRPr="00C84E96" w14:paraId="2841CB5B" w14:textId="77777777" w:rsidTr="00407ACB">
        <w:trPr>
          <w:trHeight w:val="204"/>
        </w:trPr>
        <w:tc>
          <w:tcPr>
            <w:tcW w:w="2778" w:type="dxa"/>
            <w:tcBorders>
              <w:top w:val="single" w:sz="4" w:space="0" w:color="auto"/>
              <w:bottom w:val="single" w:sz="4" w:space="0" w:color="auto"/>
              <w:right w:val="single" w:sz="4" w:space="0" w:color="auto"/>
            </w:tcBorders>
            <w:shd w:val="clear" w:color="auto" w:fill="C2D69B" w:themeFill="accent3" w:themeFillTint="99"/>
            <w:noWrap/>
            <w:hideMark/>
          </w:tcPr>
          <w:p w14:paraId="1447C62A" w14:textId="77777777" w:rsidR="00E93B42" w:rsidRPr="00C84E96" w:rsidRDefault="00E93B42" w:rsidP="00F2009E">
            <w:pPr>
              <w:spacing w:before="0" w:after="60" w:line="240" w:lineRule="auto"/>
              <w:rPr>
                <w:rFonts w:eastAsia="Times New Roman" w:cs="Arial"/>
                <w:b/>
                <w:sz w:val="20"/>
                <w:szCs w:val="20"/>
                <w:lang w:eastAsia="en-AU"/>
              </w:rPr>
            </w:pPr>
          </w:p>
        </w:tc>
        <w:tc>
          <w:tcPr>
            <w:tcW w:w="840" w:type="dxa"/>
            <w:tcBorders>
              <w:top w:val="single" w:sz="4" w:space="0" w:color="auto"/>
              <w:left w:val="single" w:sz="4" w:space="0" w:color="auto"/>
              <w:bottom w:val="single" w:sz="4" w:space="0" w:color="auto"/>
            </w:tcBorders>
            <w:shd w:val="clear" w:color="auto" w:fill="C2D69B" w:themeFill="accent3" w:themeFillTint="99"/>
            <w:noWrap/>
            <w:hideMark/>
          </w:tcPr>
          <w:p w14:paraId="2089FD12"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2003</w:t>
            </w:r>
          </w:p>
        </w:tc>
        <w:tc>
          <w:tcPr>
            <w:tcW w:w="900" w:type="dxa"/>
            <w:tcBorders>
              <w:top w:val="single" w:sz="4" w:space="0" w:color="auto"/>
              <w:bottom w:val="single" w:sz="4" w:space="0" w:color="auto"/>
            </w:tcBorders>
            <w:shd w:val="clear" w:color="auto" w:fill="C2D69B" w:themeFill="accent3" w:themeFillTint="99"/>
            <w:noWrap/>
            <w:hideMark/>
          </w:tcPr>
          <w:p w14:paraId="68BE5DC6"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2004</w:t>
            </w:r>
          </w:p>
        </w:tc>
        <w:tc>
          <w:tcPr>
            <w:tcW w:w="900" w:type="dxa"/>
            <w:tcBorders>
              <w:top w:val="single" w:sz="4" w:space="0" w:color="auto"/>
              <w:bottom w:val="single" w:sz="4" w:space="0" w:color="auto"/>
            </w:tcBorders>
            <w:shd w:val="clear" w:color="auto" w:fill="C2D69B" w:themeFill="accent3" w:themeFillTint="99"/>
            <w:noWrap/>
            <w:hideMark/>
          </w:tcPr>
          <w:p w14:paraId="6A2064A5"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2005</w:t>
            </w:r>
          </w:p>
        </w:tc>
        <w:tc>
          <w:tcPr>
            <w:tcW w:w="990" w:type="dxa"/>
            <w:tcBorders>
              <w:top w:val="single" w:sz="4" w:space="0" w:color="auto"/>
              <w:bottom w:val="single" w:sz="4" w:space="0" w:color="auto"/>
            </w:tcBorders>
            <w:shd w:val="clear" w:color="auto" w:fill="C2D69B" w:themeFill="accent3" w:themeFillTint="99"/>
            <w:noWrap/>
            <w:hideMark/>
          </w:tcPr>
          <w:p w14:paraId="77C20779"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2006</w:t>
            </w:r>
          </w:p>
        </w:tc>
        <w:tc>
          <w:tcPr>
            <w:tcW w:w="990" w:type="dxa"/>
            <w:tcBorders>
              <w:top w:val="single" w:sz="4" w:space="0" w:color="auto"/>
              <w:bottom w:val="single" w:sz="4" w:space="0" w:color="auto"/>
            </w:tcBorders>
            <w:shd w:val="clear" w:color="auto" w:fill="C2D69B" w:themeFill="accent3" w:themeFillTint="99"/>
            <w:noWrap/>
            <w:hideMark/>
          </w:tcPr>
          <w:p w14:paraId="69A59E9F"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2007</w:t>
            </w:r>
          </w:p>
        </w:tc>
        <w:tc>
          <w:tcPr>
            <w:tcW w:w="932" w:type="dxa"/>
            <w:tcBorders>
              <w:top w:val="single" w:sz="4" w:space="0" w:color="auto"/>
              <w:bottom w:val="single" w:sz="4" w:space="0" w:color="auto"/>
            </w:tcBorders>
            <w:shd w:val="clear" w:color="auto" w:fill="C2D69B" w:themeFill="accent3" w:themeFillTint="99"/>
            <w:noWrap/>
            <w:hideMark/>
          </w:tcPr>
          <w:p w14:paraId="11C328BC"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2008</w:t>
            </w:r>
          </w:p>
        </w:tc>
        <w:tc>
          <w:tcPr>
            <w:tcW w:w="1063" w:type="dxa"/>
            <w:tcBorders>
              <w:top w:val="single" w:sz="4" w:space="0" w:color="auto"/>
              <w:bottom w:val="single" w:sz="4" w:space="0" w:color="auto"/>
            </w:tcBorders>
            <w:shd w:val="clear" w:color="auto" w:fill="C2D69B" w:themeFill="accent3" w:themeFillTint="99"/>
            <w:noWrap/>
            <w:hideMark/>
          </w:tcPr>
          <w:p w14:paraId="06FE6827"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2009</w:t>
            </w:r>
          </w:p>
        </w:tc>
        <w:tc>
          <w:tcPr>
            <w:tcW w:w="1063" w:type="dxa"/>
            <w:tcBorders>
              <w:top w:val="single" w:sz="4" w:space="0" w:color="auto"/>
              <w:bottom w:val="single" w:sz="4" w:space="0" w:color="auto"/>
            </w:tcBorders>
            <w:shd w:val="clear" w:color="auto" w:fill="C2D69B" w:themeFill="accent3" w:themeFillTint="99"/>
            <w:noWrap/>
            <w:hideMark/>
          </w:tcPr>
          <w:p w14:paraId="68EE47F4"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2010</w:t>
            </w:r>
          </w:p>
        </w:tc>
        <w:tc>
          <w:tcPr>
            <w:tcW w:w="1063" w:type="dxa"/>
            <w:tcBorders>
              <w:top w:val="single" w:sz="4" w:space="0" w:color="auto"/>
              <w:bottom w:val="single" w:sz="4" w:space="0" w:color="auto"/>
            </w:tcBorders>
            <w:shd w:val="clear" w:color="auto" w:fill="C2D69B" w:themeFill="accent3" w:themeFillTint="99"/>
            <w:noWrap/>
            <w:hideMark/>
          </w:tcPr>
          <w:p w14:paraId="184B46CA"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2011</w:t>
            </w:r>
          </w:p>
        </w:tc>
        <w:tc>
          <w:tcPr>
            <w:tcW w:w="1099" w:type="dxa"/>
            <w:tcBorders>
              <w:top w:val="single" w:sz="4" w:space="0" w:color="auto"/>
              <w:bottom w:val="single" w:sz="4" w:space="0" w:color="auto"/>
              <w:right w:val="single" w:sz="4" w:space="0" w:color="auto"/>
            </w:tcBorders>
            <w:shd w:val="clear" w:color="auto" w:fill="C2D69B" w:themeFill="accent3" w:themeFillTint="99"/>
            <w:noWrap/>
            <w:hideMark/>
          </w:tcPr>
          <w:p w14:paraId="1AE7837C"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2012</w:t>
            </w:r>
          </w:p>
        </w:tc>
        <w:tc>
          <w:tcPr>
            <w:tcW w:w="102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ABE631" w14:textId="77777777" w:rsidR="00E93B42" w:rsidRPr="00C84E96" w:rsidRDefault="00E93B42" w:rsidP="00F2009E">
            <w:pPr>
              <w:spacing w:before="0" w:after="60" w:line="240" w:lineRule="auto"/>
              <w:jc w:val="right"/>
              <w:rPr>
                <w:rFonts w:eastAsia="Times New Roman" w:cs="Arial"/>
                <w:b/>
                <w:bCs/>
                <w:sz w:val="20"/>
                <w:szCs w:val="20"/>
                <w:lang w:eastAsia="en-AU"/>
              </w:rPr>
            </w:pPr>
            <w:r w:rsidRPr="00C84E96">
              <w:rPr>
                <w:rFonts w:eastAsia="Times New Roman" w:cs="Arial"/>
                <w:b/>
                <w:bCs/>
                <w:sz w:val="20"/>
                <w:szCs w:val="20"/>
                <w:lang w:eastAsia="en-AU"/>
              </w:rPr>
              <w:t>Totals</w:t>
            </w:r>
          </w:p>
        </w:tc>
        <w:tc>
          <w:tcPr>
            <w:tcW w:w="1064" w:type="dxa"/>
            <w:tcBorders>
              <w:top w:val="single" w:sz="4" w:space="0" w:color="auto"/>
              <w:left w:val="single" w:sz="4" w:space="0" w:color="auto"/>
              <w:bottom w:val="single" w:sz="4" w:space="0" w:color="auto"/>
            </w:tcBorders>
            <w:shd w:val="clear" w:color="auto" w:fill="C2D69B" w:themeFill="accent3" w:themeFillTint="99"/>
          </w:tcPr>
          <w:p w14:paraId="63AABDD7" w14:textId="77777777" w:rsidR="00E93B42" w:rsidRPr="00C84E96" w:rsidRDefault="00AC4C50" w:rsidP="00F2009E">
            <w:pPr>
              <w:spacing w:before="0" w:after="60" w:line="240" w:lineRule="auto"/>
              <w:jc w:val="right"/>
              <w:rPr>
                <w:rFonts w:eastAsia="Times New Roman" w:cs="Arial"/>
                <w:b/>
                <w:bCs/>
                <w:sz w:val="20"/>
                <w:szCs w:val="20"/>
                <w:lang w:eastAsia="en-AU"/>
              </w:rPr>
            </w:pPr>
            <w:r>
              <w:rPr>
                <w:rFonts w:eastAsia="Times New Roman" w:cs="Arial"/>
                <w:b/>
                <w:bCs/>
                <w:sz w:val="20"/>
                <w:szCs w:val="20"/>
                <w:lang w:eastAsia="en-AU"/>
              </w:rPr>
              <w:t>% change</w:t>
            </w:r>
          </w:p>
        </w:tc>
      </w:tr>
      <w:tr w:rsidR="001503DA" w:rsidRPr="00C84E96" w14:paraId="7B74F9A9" w14:textId="77777777" w:rsidTr="00407ACB">
        <w:trPr>
          <w:trHeight w:val="204"/>
        </w:trPr>
        <w:tc>
          <w:tcPr>
            <w:tcW w:w="2778" w:type="dxa"/>
            <w:tcBorders>
              <w:top w:val="single" w:sz="4" w:space="0" w:color="auto"/>
              <w:right w:val="single" w:sz="4" w:space="0" w:color="auto"/>
            </w:tcBorders>
            <w:noWrap/>
            <w:hideMark/>
          </w:tcPr>
          <w:p w14:paraId="7F232B43" w14:textId="77777777" w:rsidR="001503DA" w:rsidRPr="00C84E96" w:rsidRDefault="001503DA" w:rsidP="00F2009E">
            <w:pPr>
              <w:spacing w:before="0" w:after="60" w:line="240" w:lineRule="auto"/>
              <w:rPr>
                <w:rFonts w:eastAsia="Times New Roman" w:cs="Arial"/>
                <w:b/>
                <w:sz w:val="20"/>
                <w:szCs w:val="20"/>
                <w:lang w:eastAsia="en-AU"/>
              </w:rPr>
            </w:pPr>
            <w:r w:rsidRPr="00C84E96">
              <w:rPr>
                <w:rFonts w:eastAsia="Times New Roman" w:cs="Arial"/>
                <w:b/>
                <w:bCs/>
                <w:sz w:val="20"/>
                <w:szCs w:val="20"/>
                <w:lang w:eastAsia="en-AU"/>
              </w:rPr>
              <w:t>Doctors</w:t>
            </w:r>
          </w:p>
        </w:tc>
        <w:tc>
          <w:tcPr>
            <w:tcW w:w="840" w:type="dxa"/>
            <w:tcBorders>
              <w:top w:val="single" w:sz="4" w:space="0" w:color="auto"/>
              <w:left w:val="single" w:sz="4" w:space="0" w:color="auto"/>
            </w:tcBorders>
            <w:noWrap/>
            <w:vAlign w:val="center"/>
          </w:tcPr>
          <w:p w14:paraId="033F94F1"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207</w:t>
            </w:r>
          </w:p>
        </w:tc>
        <w:tc>
          <w:tcPr>
            <w:tcW w:w="900" w:type="dxa"/>
            <w:tcBorders>
              <w:top w:val="single" w:sz="4" w:space="0" w:color="auto"/>
            </w:tcBorders>
            <w:noWrap/>
            <w:vAlign w:val="center"/>
          </w:tcPr>
          <w:p w14:paraId="39418EBC"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218</w:t>
            </w:r>
          </w:p>
        </w:tc>
        <w:tc>
          <w:tcPr>
            <w:tcW w:w="900" w:type="dxa"/>
            <w:tcBorders>
              <w:top w:val="single" w:sz="4" w:space="0" w:color="auto"/>
            </w:tcBorders>
            <w:noWrap/>
            <w:vAlign w:val="center"/>
          </w:tcPr>
          <w:p w14:paraId="230D8A15"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225</w:t>
            </w:r>
          </w:p>
        </w:tc>
        <w:tc>
          <w:tcPr>
            <w:tcW w:w="990" w:type="dxa"/>
            <w:tcBorders>
              <w:top w:val="single" w:sz="4" w:space="0" w:color="auto"/>
            </w:tcBorders>
            <w:noWrap/>
            <w:vAlign w:val="center"/>
          </w:tcPr>
          <w:p w14:paraId="5977128E"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207</w:t>
            </w:r>
          </w:p>
        </w:tc>
        <w:tc>
          <w:tcPr>
            <w:tcW w:w="990" w:type="dxa"/>
            <w:tcBorders>
              <w:top w:val="single" w:sz="4" w:space="0" w:color="auto"/>
            </w:tcBorders>
            <w:noWrap/>
            <w:vAlign w:val="center"/>
          </w:tcPr>
          <w:p w14:paraId="480FC400"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143</w:t>
            </w:r>
          </w:p>
        </w:tc>
        <w:tc>
          <w:tcPr>
            <w:tcW w:w="932" w:type="dxa"/>
            <w:tcBorders>
              <w:top w:val="single" w:sz="4" w:space="0" w:color="auto"/>
            </w:tcBorders>
            <w:noWrap/>
            <w:vAlign w:val="center"/>
          </w:tcPr>
          <w:p w14:paraId="1FDF1BDA"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198</w:t>
            </w:r>
          </w:p>
        </w:tc>
        <w:tc>
          <w:tcPr>
            <w:tcW w:w="1063" w:type="dxa"/>
            <w:tcBorders>
              <w:top w:val="single" w:sz="4" w:space="0" w:color="auto"/>
            </w:tcBorders>
            <w:noWrap/>
            <w:vAlign w:val="center"/>
          </w:tcPr>
          <w:p w14:paraId="4D3C4A98"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310</w:t>
            </w:r>
          </w:p>
        </w:tc>
        <w:tc>
          <w:tcPr>
            <w:tcW w:w="1063" w:type="dxa"/>
            <w:tcBorders>
              <w:top w:val="single" w:sz="4" w:space="0" w:color="auto"/>
            </w:tcBorders>
            <w:noWrap/>
            <w:vAlign w:val="center"/>
          </w:tcPr>
          <w:p w14:paraId="1D067F3D"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320</w:t>
            </w:r>
          </w:p>
        </w:tc>
        <w:tc>
          <w:tcPr>
            <w:tcW w:w="1063" w:type="dxa"/>
            <w:tcBorders>
              <w:top w:val="single" w:sz="4" w:space="0" w:color="auto"/>
            </w:tcBorders>
            <w:noWrap/>
            <w:vAlign w:val="center"/>
          </w:tcPr>
          <w:p w14:paraId="1D4C0EB8"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373</w:t>
            </w:r>
          </w:p>
        </w:tc>
        <w:tc>
          <w:tcPr>
            <w:tcW w:w="1099" w:type="dxa"/>
            <w:tcBorders>
              <w:top w:val="single" w:sz="4" w:space="0" w:color="auto"/>
              <w:right w:val="single" w:sz="4" w:space="0" w:color="auto"/>
            </w:tcBorders>
            <w:noWrap/>
            <w:vAlign w:val="center"/>
          </w:tcPr>
          <w:p w14:paraId="09DD6E3B"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452</w:t>
            </w:r>
          </w:p>
        </w:tc>
        <w:tc>
          <w:tcPr>
            <w:tcW w:w="1027" w:type="dxa"/>
            <w:tcBorders>
              <w:top w:val="single" w:sz="4" w:space="0" w:color="auto"/>
              <w:left w:val="single" w:sz="4" w:space="0" w:color="auto"/>
              <w:right w:val="single" w:sz="4" w:space="0" w:color="auto"/>
            </w:tcBorders>
            <w:vAlign w:val="center"/>
          </w:tcPr>
          <w:p w14:paraId="0EDA888E"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2,653</w:t>
            </w:r>
          </w:p>
        </w:tc>
        <w:tc>
          <w:tcPr>
            <w:tcW w:w="1064" w:type="dxa"/>
            <w:tcBorders>
              <w:top w:val="single" w:sz="4" w:space="0" w:color="auto"/>
              <w:left w:val="single" w:sz="4" w:space="0" w:color="auto"/>
            </w:tcBorders>
            <w:vAlign w:val="center"/>
          </w:tcPr>
          <w:p w14:paraId="70B56F1F"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118%</w:t>
            </w:r>
          </w:p>
        </w:tc>
      </w:tr>
      <w:tr w:rsidR="001503DA" w:rsidRPr="00C84E96" w14:paraId="1A145980" w14:textId="77777777" w:rsidTr="00407ACB">
        <w:trPr>
          <w:trHeight w:val="204"/>
        </w:trPr>
        <w:tc>
          <w:tcPr>
            <w:tcW w:w="2778" w:type="dxa"/>
            <w:tcBorders>
              <w:right w:val="single" w:sz="4" w:space="0" w:color="auto"/>
            </w:tcBorders>
            <w:shd w:val="clear" w:color="auto" w:fill="EAF1DD" w:themeFill="accent3" w:themeFillTint="33"/>
            <w:noWrap/>
            <w:hideMark/>
          </w:tcPr>
          <w:p w14:paraId="519ABCE8" w14:textId="77777777" w:rsidR="001503DA" w:rsidRPr="00C84E96" w:rsidRDefault="001503DA" w:rsidP="00F2009E">
            <w:pPr>
              <w:spacing w:before="0" w:after="60" w:line="240" w:lineRule="auto"/>
              <w:rPr>
                <w:rFonts w:eastAsia="Times New Roman" w:cs="Arial"/>
                <w:b/>
                <w:sz w:val="20"/>
                <w:szCs w:val="20"/>
                <w:lang w:eastAsia="en-AU"/>
              </w:rPr>
            </w:pPr>
            <w:r w:rsidRPr="00C84E96">
              <w:rPr>
                <w:rFonts w:eastAsia="Times New Roman" w:cs="Arial"/>
                <w:b/>
                <w:bCs/>
                <w:sz w:val="20"/>
                <w:szCs w:val="20"/>
                <w:lang w:eastAsia="en-AU"/>
              </w:rPr>
              <w:t>Nurses</w:t>
            </w:r>
            <w:r w:rsidRPr="00C84E96">
              <w:rPr>
                <w:rFonts w:eastAsia="Times New Roman" w:cs="Arial"/>
                <w:b/>
                <w:sz w:val="20"/>
                <w:szCs w:val="20"/>
                <w:lang w:eastAsia="en-AU"/>
              </w:rPr>
              <w:t xml:space="preserve"> </w:t>
            </w:r>
          </w:p>
        </w:tc>
        <w:tc>
          <w:tcPr>
            <w:tcW w:w="840" w:type="dxa"/>
            <w:tcBorders>
              <w:left w:val="single" w:sz="4" w:space="0" w:color="auto"/>
            </w:tcBorders>
            <w:shd w:val="clear" w:color="auto" w:fill="EAF1DD" w:themeFill="accent3" w:themeFillTint="33"/>
            <w:noWrap/>
            <w:vAlign w:val="center"/>
          </w:tcPr>
          <w:p w14:paraId="384DFB81"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571</w:t>
            </w:r>
          </w:p>
        </w:tc>
        <w:tc>
          <w:tcPr>
            <w:tcW w:w="900" w:type="dxa"/>
            <w:shd w:val="clear" w:color="auto" w:fill="EAF1DD" w:themeFill="accent3" w:themeFillTint="33"/>
            <w:noWrap/>
            <w:vAlign w:val="center"/>
          </w:tcPr>
          <w:p w14:paraId="22B65AEF"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641</w:t>
            </w:r>
          </w:p>
        </w:tc>
        <w:tc>
          <w:tcPr>
            <w:tcW w:w="900" w:type="dxa"/>
            <w:shd w:val="clear" w:color="auto" w:fill="EAF1DD" w:themeFill="accent3" w:themeFillTint="33"/>
            <w:noWrap/>
            <w:vAlign w:val="center"/>
          </w:tcPr>
          <w:p w14:paraId="48CB38D9"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673</w:t>
            </w:r>
          </w:p>
        </w:tc>
        <w:tc>
          <w:tcPr>
            <w:tcW w:w="990" w:type="dxa"/>
            <w:shd w:val="clear" w:color="auto" w:fill="EAF1DD" w:themeFill="accent3" w:themeFillTint="33"/>
            <w:noWrap/>
            <w:vAlign w:val="center"/>
          </w:tcPr>
          <w:p w14:paraId="3750B540"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698</w:t>
            </w:r>
          </w:p>
        </w:tc>
        <w:tc>
          <w:tcPr>
            <w:tcW w:w="990" w:type="dxa"/>
            <w:shd w:val="clear" w:color="auto" w:fill="EAF1DD" w:themeFill="accent3" w:themeFillTint="33"/>
            <w:noWrap/>
            <w:vAlign w:val="center"/>
          </w:tcPr>
          <w:p w14:paraId="2E46189D"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329</w:t>
            </w:r>
          </w:p>
        </w:tc>
        <w:tc>
          <w:tcPr>
            <w:tcW w:w="932" w:type="dxa"/>
            <w:shd w:val="clear" w:color="auto" w:fill="EAF1DD" w:themeFill="accent3" w:themeFillTint="33"/>
            <w:noWrap/>
            <w:vAlign w:val="center"/>
          </w:tcPr>
          <w:p w14:paraId="522B19FF"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525</w:t>
            </w:r>
          </w:p>
        </w:tc>
        <w:tc>
          <w:tcPr>
            <w:tcW w:w="1063" w:type="dxa"/>
            <w:shd w:val="clear" w:color="auto" w:fill="EAF1DD" w:themeFill="accent3" w:themeFillTint="33"/>
            <w:noWrap/>
            <w:vAlign w:val="center"/>
          </w:tcPr>
          <w:p w14:paraId="5A91391B"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529</w:t>
            </w:r>
          </w:p>
        </w:tc>
        <w:tc>
          <w:tcPr>
            <w:tcW w:w="1063" w:type="dxa"/>
            <w:shd w:val="clear" w:color="auto" w:fill="EAF1DD" w:themeFill="accent3" w:themeFillTint="33"/>
            <w:noWrap/>
            <w:vAlign w:val="center"/>
          </w:tcPr>
          <w:p w14:paraId="1048A91D"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706</w:t>
            </w:r>
          </w:p>
        </w:tc>
        <w:tc>
          <w:tcPr>
            <w:tcW w:w="1063" w:type="dxa"/>
            <w:shd w:val="clear" w:color="auto" w:fill="EAF1DD" w:themeFill="accent3" w:themeFillTint="33"/>
            <w:noWrap/>
            <w:vAlign w:val="center"/>
          </w:tcPr>
          <w:p w14:paraId="4E8C6B04"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936</w:t>
            </w:r>
          </w:p>
        </w:tc>
        <w:tc>
          <w:tcPr>
            <w:tcW w:w="1099" w:type="dxa"/>
            <w:tcBorders>
              <w:right w:val="single" w:sz="4" w:space="0" w:color="auto"/>
            </w:tcBorders>
            <w:shd w:val="clear" w:color="auto" w:fill="EAF1DD" w:themeFill="accent3" w:themeFillTint="33"/>
            <w:noWrap/>
            <w:vAlign w:val="center"/>
          </w:tcPr>
          <w:p w14:paraId="7BF25C1B"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1,214</w:t>
            </w:r>
          </w:p>
        </w:tc>
        <w:tc>
          <w:tcPr>
            <w:tcW w:w="1027" w:type="dxa"/>
            <w:tcBorders>
              <w:left w:val="single" w:sz="4" w:space="0" w:color="auto"/>
              <w:right w:val="single" w:sz="4" w:space="0" w:color="auto"/>
            </w:tcBorders>
            <w:shd w:val="clear" w:color="auto" w:fill="EAF1DD" w:themeFill="accent3" w:themeFillTint="33"/>
            <w:vAlign w:val="center"/>
          </w:tcPr>
          <w:p w14:paraId="1BC467FB"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6,822</w:t>
            </w:r>
          </w:p>
        </w:tc>
        <w:tc>
          <w:tcPr>
            <w:tcW w:w="1064" w:type="dxa"/>
            <w:tcBorders>
              <w:left w:val="single" w:sz="4" w:space="0" w:color="auto"/>
            </w:tcBorders>
            <w:shd w:val="clear" w:color="auto" w:fill="EAF1DD" w:themeFill="accent3" w:themeFillTint="33"/>
            <w:vAlign w:val="center"/>
          </w:tcPr>
          <w:p w14:paraId="58D5B883"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113%</w:t>
            </w:r>
          </w:p>
        </w:tc>
      </w:tr>
      <w:tr w:rsidR="001503DA" w:rsidRPr="00C84E96" w14:paraId="51F5A5BC" w14:textId="77777777" w:rsidTr="00407ACB">
        <w:trPr>
          <w:trHeight w:val="204"/>
        </w:trPr>
        <w:tc>
          <w:tcPr>
            <w:tcW w:w="2778" w:type="dxa"/>
            <w:tcBorders>
              <w:right w:val="single" w:sz="4" w:space="0" w:color="auto"/>
            </w:tcBorders>
            <w:noWrap/>
            <w:hideMark/>
          </w:tcPr>
          <w:p w14:paraId="19BA4A29" w14:textId="77777777" w:rsidR="001503DA" w:rsidRPr="00C84E96" w:rsidRDefault="001503DA" w:rsidP="00F2009E">
            <w:pPr>
              <w:spacing w:before="0" w:after="60" w:line="240" w:lineRule="auto"/>
              <w:rPr>
                <w:rFonts w:eastAsia="Times New Roman" w:cs="Arial"/>
                <w:b/>
                <w:sz w:val="20"/>
                <w:szCs w:val="20"/>
                <w:lang w:eastAsia="en-AU"/>
              </w:rPr>
            </w:pPr>
            <w:r w:rsidRPr="00C84E96">
              <w:rPr>
                <w:rFonts w:eastAsia="Times New Roman" w:cs="Arial"/>
                <w:b/>
                <w:bCs/>
                <w:sz w:val="20"/>
                <w:szCs w:val="20"/>
                <w:lang w:eastAsia="en-AU"/>
              </w:rPr>
              <w:t>Police</w:t>
            </w:r>
          </w:p>
        </w:tc>
        <w:tc>
          <w:tcPr>
            <w:tcW w:w="840" w:type="dxa"/>
            <w:tcBorders>
              <w:left w:val="single" w:sz="4" w:space="0" w:color="auto"/>
            </w:tcBorders>
            <w:noWrap/>
            <w:vAlign w:val="center"/>
          </w:tcPr>
          <w:p w14:paraId="1ABBC563"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2,798</w:t>
            </w:r>
          </w:p>
        </w:tc>
        <w:tc>
          <w:tcPr>
            <w:tcW w:w="900" w:type="dxa"/>
            <w:noWrap/>
            <w:vAlign w:val="center"/>
          </w:tcPr>
          <w:p w14:paraId="30902D2D"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2,858</w:t>
            </w:r>
          </w:p>
        </w:tc>
        <w:tc>
          <w:tcPr>
            <w:tcW w:w="900" w:type="dxa"/>
            <w:noWrap/>
            <w:vAlign w:val="center"/>
          </w:tcPr>
          <w:p w14:paraId="2621D265"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3,319</w:t>
            </w:r>
          </w:p>
        </w:tc>
        <w:tc>
          <w:tcPr>
            <w:tcW w:w="990" w:type="dxa"/>
            <w:noWrap/>
            <w:vAlign w:val="center"/>
          </w:tcPr>
          <w:p w14:paraId="7A912542"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3,695</w:t>
            </w:r>
          </w:p>
        </w:tc>
        <w:tc>
          <w:tcPr>
            <w:tcW w:w="990" w:type="dxa"/>
            <w:noWrap/>
            <w:vAlign w:val="center"/>
          </w:tcPr>
          <w:p w14:paraId="2D4F5A80"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2,581</w:t>
            </w:r>
          </w:p>
        </w:tc>
        <w:tc>
          <w:tcPr>
            <w:tcW w:w="932" w:type="dxa"/>
            <w:noWrap/>
            <w:vAlign w:val="center"/>
          </w:tcPr>
          <w:p w14:paraId="584FAE59"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3,766</w:t>
            </w:r>
          </w:p>
        </w:tc>
        <w:tc>
          <w:tcPr>
            <w:tcW w:w="1063" w:type="dxa"/>
            <w:noWrap/>
            <w:vAlign w:val="center"/>
          </w:tcPr>
          <w:p w14:paraId="03E081F9"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5,958</w:t>
            </w:r>
          </w:p>
        </w:tc>
        <w:tc>
          <w:tcPr>
            <w:tcW w:w="1063" w:type="dxa"/>
            <w:noWrap/>
            <w:vAlign w:val="center"/>
          </w:tcPr>
          <w:p w14:paraId="56E6E7AD"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8,556</w:t>
            </w:r>
          </w:p>
        </w:tc>
        <w:tc>
          <w:tcPr>
            <w:tcW w:w="1063" w:type="dxa"/>
            <w:noWrap/>
            <w:vAlign w:val="center"/>
          </w:tcPr>
          <w:p w14:paraId="7352B6DB"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10,450</w:t>
            </w:r>
          </w:p>
        </w:tc>
        <w:tc>
          <w:tcPr>
            <w:tcW w:w="1099" w:type="dxa"/>
            <w:tcBorders>
              <w:right w:val="single" w:sz="4" w:space="0" w:color="auto"/>
            </w:tcBorders>
            <w:noWrap/>
            <w:vAlign w:val="center"/>
          </w:tcPr>
          <w:p w14:paraId="473DD5B0"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14,139</w:t>
            </w:r>
          </w:p>
        </w:tc>
        <w:tc>
          <w:tcPr>
            <w:tcW w:w="1027" w:type="dxa"/>
            <w:tcBorders>
              <w:left w:val="single" w:sz="4" w:space="0" w:color="auto"/>
              <w:right w:val="single" w:sz="4" w:space="0" w:color="auto"/>
            </w:tcBorders>
            <w:vAlign w:val="center"/>
          </w:tcPr>
          <w:p w14:paraId="2A3B8A98"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58,120</w:t>
            </w:r>
          </w:p>
        </w:tc>
        <w:tc>
          <w:tcPr>
            <w:tcW w:w="1064" w:type="dxa"/>
            <w:tcBorders>
              <w:left w:val="single" w:sz="4" w:space="0" w:color="auto"/>
            </w:tcBorders>
            <w:vAlign w:val="center"/>
          </w:tcPr>
          <w:p w14:paraId="4940B1E6"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405%</w:t>
            </w:r>
          </w:p>
        </w:tc>
      </w:tr>
      <w:tr w:rsidR="001503DA" w:rsidRPr="00C84E96" w14:paraId="57254242" w14:textId="77777777" w:rsidTr="00407ACB">
        <w:trPr>
          <w:trHeight w:val="204"/>
        </w:trPr>
        <w:tc>
          <w:tcPr>
            <w:tcW w:w="2778" w:type="dxa"/>
            <w:tcBorders>
              <w:right w:val="single" w:sz="4" w:space="0" w:color="auto"/>
            </w:tcBorders>
            <w:shd w:val="clear" w:color="auto" w:fill="EAF1DD" w:themeFill="accent3" w:themeFillTint="33"/>
            <w:noWrap/>
            <w:hideMark/>
          </w:tcPr>
          <w:p w14:paraId="57E40DB0" w14:textId="77777777" w:rsidR="001503DA" w:rsidRPr="00C84E96" w:rsidRDefault="001503DA" w:rsidP="00F2009E">
            <w:pPr>
              <w:spacing w:before="0" w:after="60" w:line="240" w:lineRule="auto"/>
              <w:rPr>
                <w:rFonts w:eastAsia="Times New Roman" w:cs="Arial"/>
                <w:b/>
                <w:sz w:val="20"/>
                <w:szCs w:val="20"/>
                <w:lang w:eastAsia="en-AU"/>
              </w:rPr>
            </w:pPr>
            <w:r>
              <w:rPr>
                <w:rFonts w:eastAsia="Times New Roman" w:cs="Arial"/>
                <w:b/>
                <w:bCs/>
                <w:sz w:val="20"/>
                <w:szCs w:val="20"/>
                <w:lang w:eastAsia="en-AU"/>
              </w:rPr>
              <w:t>School personnel</w:t>
            </w:r>
          </w:p>
        </w:tc>
        <w:tc>
          <w:tcPr>
            <w:tcW w:w="840" w:type="dxa"/>
            <w:tcBorders>
              <w:left w:val="single" w:sz="4" w:space="0" w:color="auto"/>
            </w:tcBorders>
            <w:shd w:val="clear" w:color="auto" w:fill="EAF1DD" w:themeFill="accent3" w:themeFillTint="33"/>
            <w:noWrap/>
            <w:vAlign w:val="center"/>
          </w:tcPr>
          <w:p w14:paraId="62EE0475"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839</w:t>
            </w:r>
          </w:p>
        </w:tc>
        <w:tc>
          <w:tcPr>
            <w:tcW w:w="900" w:type="dxa"/>
            <w:shd w:val="clear" w:color="auto" w:fill="EAF1DD" w:themeFill="accent3" w:themeFillTint="33"/>
            <w:noWrap/>
            <w:vAlign w:val="center"/>
          </w:tcPr>
          <w:p w14:paraId="602DEF71"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696</w:t>
            </w:r>
          </w:p>
        </w:tc>
        <w:tc>
          <w:tcPr>
            <w:tcW w:w="900" w:type="dxa"/>
            <w:shd w:val="clear" w:color="auto" w:fill="EAF1DD" w:themeFill="accent3" w:themeFillTint="33"/>
            <w:noWrap/>
            <w:vAlign w:val="center"/>
          </w:tcPr>
          <w:p w14:paraId="5D47B451"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791</w:t>
            </w:r>
          </w:p>
        </w:tc>
        <w:tc>
          <w:tcPr>
            <w:tcW w:w="990" w:type="dxa"/>
            <w:shd w:val="clear" w:color="auto" w:fill="EAF1DD" w:themeFill="accent3" w:themeFillTint="33"/>
            <w:noWrap/>
            <w:vAlign w:val="center"/>
          </w:tcPr>
          <w:p w14:paraId="22DD6158"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922</w:t>
            </w:r>
          </w:p>
        </w:tc>
        <w:tc>
          <w:tcPr>
            <w:tcW w:w="990" w:type="dxa"/>
            <w:shd w:val="clear" w:color="auto" w:fill="EAF1DD" w:themeFill="accent3" w:themeFillTint="33"/>
            <w:noWrap/>
            <w:vAlign w:val="center"/>
          </w:tcPr>
          <w:p w14:paraId="21EC1F3F"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911</w:t>
            </w:r>
          </w:p>
        </w:tc>
        <w:tc>
          <w:tcPr>
            <w:tcW w:w="932" w:type="dxa"/>
            <w:shd w:val="clear" w:color="auto" w:fill="EAF1DD" w:themeFill="accent3" w:themeFillTint="33"/>
            <w:noWrap/>
            <w:vAlign w:val="center"/>
          </w:tcPr>
          <w:p w14:paraId="7A778927"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1,731</w:t>
            </w:r>
          </w:p>
        </w:tc>
        <w:tc>
          <w:tcPr>
            <w:tcW w:w="1063" w:type="dxa"/>
            <w:shd w:val="clear" w:color="auto" w:fill="EAF1DD" w:themeFill="accent3" w:themeFillTint="33"/>
            <w:noWrap/>
            <w:vAlign w:val="center"/>
          </w:tcPr>
          <w:p w14:paraId="56D59221"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2,384</w:t>
            </w:r>
          </w:p>
        </w:tc>
        <w:tc>
          <w:tcPr>
            <w:tcW w:w="1063" w:type="dxa"/>
            <w:shd w:val="clear" w:color="auto" w:fill="EAF1DD" w:themeFill="accent3" w:themeFillTint="33"/>
            <w:noWrap/>
            <w:vAlign w:val="center"/>
          </w:tcPr>
          <w:p w14:paraId="5A53EAA8"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2,871</w:t>
            </w:r>
          </w:p>
        </w:tc>
        <w:tc>
          <w:tcPr>
            <w:tcW w:w="1063" w:type="dxa"/>
            <w:shd w:val="clear" w:color="auto" w:fill="EAF1DD" w:themeFill="accent3" w:themeFillTint="33"/>
            <w:noWrap/>
            <w:vAlign w:val="center"/>
          </w:tcPr>
          <w:p w14:paraId="605E13BC"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3,753</w:t>
            </w:r>
          </w:p>
        </w:tc>
        <w:tc>
          <w:tcPr>
            <w:tcW w:w="1099" w:type="dxa"/>
            <w:tcBorders>
              <w:right w:val="single" w:sz="4" w:space="0" w:color="auto"/>
            </w:tcBorders>
            <w:shd w:val="clear" w:color="auto" w:fill="EAF1DD" w:themeFill="accent3" w:themeFillTint="33"/>
            <w:noWrap/>
            <w:vAlign w:val="center"/>
          </w:tcPr>
          <w:p w14:paraId="1427F1EF"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4,919</w:t>
            </w:r>
          </w:p>
        </w:tc>
        <w:tc>
          <w:tcPr>
            <w:tcW w:w="1027" w:type="dxa"/>
            <w:tcBorders>
              <w:left w:val="single" w:sz="4" w:space="0" w:color="auto"/>
              <w:right w:val="single" w:sz="4" w:space="0" w:color="auto"/>
            </w:tcBorders>
            <w:shd w:val="clear" w:color="auto" w:fill="EAF1DD" w:themeFill="accent3" w:themeFillTint="33"/>
            <w:vAlign w:val="center"/>
          </w:tcPr>
          <w:p w14:paraId="5B79211C"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19,817</w:t>
            </w:r>
          </w:p>
        </w:tc>
        <w:tc>
          <w:tcPr>
            <w:tcW w:w="1064" w:type="dxa"/>
            <w:tcBorders>
              <w:left w:val="single" w:sz="4" w:space="0" w:color="auto"/>
            </w:tcBorders>
            <w:shd w:val="clear" w:color="auto" w:fill="EAF1DD" w:themeFill="accent3" w:themeFillTint="33"/>
            <w:vAlign w:val="center"/>
          </w:tcPr>
          <w:p w14:paraId="50F80D5B"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486%</w:t>
            </w:r>
          </w:p>
        </w:tc>
      </w:tr>
      <w:tr w:rsidR="001503DA" w:rsidRPr="00C84E96" w14:paraId="6D7F9835" w14:textId="77777777" w:rsidTr="00407ACB">
        <w:trPr>
          <w:trHeight w:val="204"/>
        </w:trPr>
        <w:tc>
          <w:tcPr>
            <w:tcW w:w="2778" w:type="dxa"/>
            <w:tcBorders>
              <w:right w:val="single" w:sz="4" w:space="0" w:color="auto"/>
            </w:tcBorders>
            <w:shd w:val="clear" w:color="auto" w:fill="auto"/>
            <w:noWrap/>
            <w:hideMark/>
          </w:tcPr>
          <w:p w14:paraId="4B6BD4E3" w14:textId="77777777" w:rsidR="001503DA" w:rsidRPr="00C84E96" w:rsidRDefault="001503DA" w:rsidP="00F2009E">
            <w:pPr>
              <w:spacing w:before="0" w:after="60" w:line="240" w:lineRule="auto"/>
              <w:rPr>
                <w:rFonts w:eastAsia="Times New Roman" w:cs="Arial"/>
                <w:b/>
                <w:sz w:val="20"/>
                <w:szCs w:val="20"/>
                <w:lang w:eastAsia="en-AU"/>
              </w:rPr>
            </w:pPr>
            <w:r w:rsidRPr="00C84E96">
              <w:rPr>
                <w:rFonts w:eastAsia="Times New Roman" w:cs="Arial"/>
                <w:b/>
                <w:bCs/>
                <w:sz w:val="20"/>
                <w:szCs w:val="20"/>
                <w:lang w:eastAsia="en-AU"/>
              </w:rPr>
              <w:t>Psychiatrists</w:t>
            </w:r>
          </w:p>
        </w:tc>
        <w:tc>
          <w:tcPr>
            <w:tcW w:w="840" w:type="dxa"/>
            <w:tcBorders>
              <w:left w:val="single" w:sz="4" w:space="0" w:color="auto"/>
            </w:tcBorders>
            <w:shd w:val="clear" w:color="auto" w:fill="auto"/>
            <w:noWrap/>
            <w:vAlign w:val="center"/>
          </w:tcPr>
          <w:p w14:paraId="02D2EC6C"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75</w:t>
            </w:r>
          </w:p>
        </w:tc>
        <w:tc>
          <w:tcPr>
            <w:tcW w:w="900" w:type="dxa"/>
            <w:shd w:val="clear" w:color="auto" w:fill="auto"/>
            <w:noWrap/>
            <w:vAlign w:val="center"/>
          </w:tcPr>
          <w:p w14:paraId="70C4AA8C"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105</w:t>
            </w:r>
          </w:p>
        </w:tc>
        <w:tc>
          <w:tcPr>
            <w:tcW w:w="900" w:type="dxa"/>
            <w:shd w:val="clear" w:color="auto" w:fill="auto"/>
            <w:noWrap/>
            <w:vAlign w:val="center"/>
          </w:tcPr>
          <w:p w14:paraId="43CFA95C"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61</w:t>
            </w:r>
          </w:p>
        </w:tc>
        <w:tc>
          <w:tcPr>
            <w:tcW w:w="990" w:type="dxa"/>
            <w:shd w:val="clear" w:color="auto" w:fill="auto"/>
            <w:noWrap/>
            <w:vAlign w:val="center"/>
          </w:tcPr>
          <w:p w14:paraId="10A0F994"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77</w:t>
            </w:r>
          </w:p>
        </w:tc>
        <w:tc>
          <w:tcPr>
            <w:tcW w:w="990" w:type="dxa"/>
            <w:shd w:val="clear" w:color="auto" w:fill="auto"/>
            <w:noWrap/>
            <w:vAlign w:val="center"/>
          </w:tcPr>
          <w:p w14:paraId="0A935D5D"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38</w:t>
            </w:r>
          </w:p>
        </w:tc>
        <w:tc>
          <w:tcPr>
            <w:tcW w:w="932" w:type="dxa"/>
            <w:shd w:val="clear" w:color="auto" w:fill="auto"/>
            <w:noWrap/>
            <w:vAlign w:val="center"/>
          </w:tcPr>
          <w:p w14:paraId="52716DE9"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70</w:t>
            </w:r>
          </w:p>
        </w:tc>
        <w:tc>
          <w:tcPr>
            <w:tcW w:w="1063" w:type="dxa"/>
            <w:shd w:val="clear" w:color="auto" w:fill="auto"/>
            <w:noWrap/>
            <w:vAlign w:val="center"/>
          </w:tcPr>
          <w:p w14:paraId="6492552A"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90</w:t>
            </w:r>
          </w:p>
        </w:tc>
        <w:tc>
          <w:tcPr>
            <w:tcW w:w="1063" w:type="dxa"/>
            <w:shd w:val="clear" w:color="auto" w:fill="auto"/>
            <w:noWrap/>
            <w:vAlign w:val="center"/>
          </w:tcPr>
          <w:p w14:paraId="5CDA1E13"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94</w:t>
            </w:r>
          </w:p>
        </w:tc>
        <w:tc>
          <w:tcPr>
            <w:tcW w:w="1063" w:type="dxa"/>
            <w:shd w:val="clear" w:color="auto" w:fill="auto"/>
            <w:noWrap/>
            <w:vAlign w:val="center"/>
          </w:tcPr>
          <w:p w14:paraId="36C0955F"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123</w:t>
            </w:r>
          </w:p>
        </w:tc>
        <w:tc>
          <w:tcPr>
            <w:tcW w:w="1099" w:type="dxa"/>
            <w:tcBorders>
              <w:right w:val="single" w:sz="4" w:space="0" w:color="auto"/>
            </w:tcBorders>
            <w:shd w:val="clear" w:color="auto" w:fill="auto"/>
            <w:noWrap/>
            <w:vAlign w:val="center"/>
          </w:tcPr>
          <w:p w14:paraId="152F2885"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120</w:t>
            </w:r>
          </w:p>
        </w:tc>
        <w:tc>
          <w:tcPr>
            <w:tcW w:w="1027" w:type="dxa"/>
            <w:tcBorders>
              <w:left w:val="single" w:sz="4" w:space="0" w:color="auto"/>
              <w:right w:val="single" w:sz="4" w:space="0" w:color="auto"/>
            </w:tcBorders>
            <w:shd w:val="clear" w:color="auto" w:fill="auto"/>
            <w:vAlign w:val="center"/>
          </w:tcPr>
          <w:p w14:paraId="4D3222F9"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853</w:t>
            </w:r>
          </w:p>
        </w:tc>
        <w:tc>
          <w:tcPr>
            <w:tcW w:w="1064" w:type="dxa"/>
            <w:tcBorders>
              <w:left w:val="single" w:sz="4" w:space="0" w:color="auto"/>
            </w:tcBorders>
            <w:shd w:val="clear" w:color="auto" w:fill="auto"/>
            <w:vAlign w:val="center"/>
          </w:tcPr>
          <w:p w14:paraId="17748E30"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60%</w:t>
            </w:r>
          </w:p>
        </w:tc>
      </w:tr>
      <w:tr w:rsidR="001503DA" w:rsidRPr="00C84E96" w14:paraId="1AFECD3D" w14:textId="77777777" w:rsidTr="00407ACB">
        <w:trPr>
          <w:trHeight w:val="204"/>
        </w:trPr>
        <w:tc>
          <w:tcPr>
            <w:tcW w:w="2778" w:type="dxa"/>
            <w:tcBorders>
              <w:bottom w:val="nil"/>
              <w:right w:val="single" w:sz="4" w:space="0" w:color="auto"/>
            </w:tcBorders>
            <w:shd w:val="clear" w:color="auto" w:fill="EAF1DD" w:themeFill="accent3" w:themeFillTint="33"/>
            <w:noWrap/>
            <w:vAlign w:val="center"/>
            <w:hideMark/>
          </w:tcPr>
          <w:p w14:paraId="52FF221D" w14:textId="77777777" w:rsidR="001503DA" w:rsidRPr="00B25795" w:rsidRDefault="001503DA" w:rsidP="00F2009E">
            <w:pPr>
              <w:tabs>
                <w:tab w:val="left" w:pos="1134"/>
              </w:tabs>
              <w:spacing w:before="0" w:line="240" w:lineRule="auto"/>
              <w:rPr>
                <w:rFonts w:ascii="Calibri" w:hAnsi="Calibri" w:cs="Arial"/>
                <w:b/>
                <w:bCs/>
                <w:color w:val="000000"/>
              </w:rPr>
            </w:pPr>
            <w:r w:rsidRPr="00B25795">
              <w:rPr>
                <w:rFonts w:ascii="Calibri" w:hAnsi="Calibri" w:cs="Arial"/>
                <w:b/>
                <w:bCs/>
                <w:color w:val="000000"/>
              </w:rPr>
              <w:t>Major mandated reporter groups combined</w:t>
            </w:r>
          </w:p>
        </w:tc>
        <w:tc>
          <w:tcPr>
            <w:tcW w:w="840" w:type="dxa"/>
            <w:tcBorders>
              <w:left w:val="single" w:sz="4" w:space="0" w:color="auto"/>
              <w:bottom w:val="nil"/>
            </w:tcBorders>
            <w:shd w:val="clear" w:color="auto" w:fill="EAF1DD" w:themeFill="accent3" w:themeFillTint="33"/>
            <w:noWrap/>
            <w:vAlign w:val="center"/>
          </w:tcPr>
          <w:p w14:paraId="20CC8BED"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4,490</w:t>
            </w:r>
          </w:p>
        </w:tc>
        <w:tc>
          <w:tcPr>
            <w:tcW w:w="900" w:type="dxa"/>
            <w:tcBorders>
              <w:bottom w:val="nil"/>
            </w:tcBorders>
            <w:shd w:val="clear" w:color="auto" w:fill="EAF1DD" w:themeFill="accent3" w:themeFillTint="33"/>
            <w:noWrap/>
            <w:vAlign w:val="center"/>
          </w:tcPr>
          <w:p w14:paraId="6220D152"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4,518</w:t>
            </w:r>
          </w:p>
        </w:tc>
        <w:tc>
          <w:tcPr>
            <w:tcW w:w="900" w:type="dxa"/>
            <w:tcBorders>
              <w:bottom w:val="nil"/>
            </w:tcBorders>
            <w:shd w:val="clear" w:color="auto" w:fill="EAF1DD" w:themeFill="accent3" w:themeFillTint="33"/>
            <w:noWrap/>
            <w:vAlign w:val="center"/>
          </w:tcPr>
          <w:p w14:paraId="200B28E8"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5,069</w:t>
            </w:r>
          </w:p>
        </w:tc>
        <w:tc>
          <w:tcPr>
            <w:tcW w:w="990" w:type="dxa"/>
            <w:tcBorders>
              <w:bottom w:val="nil"/>
            </w:tcBorders>
            <w:shd w:val="clear" w:color="auto" w:fill="EAF1DD" w:themeFill="accent3" w:themeFillTint="33"/>
            <w:noWrap/>
            <w:vAlign w:val="center"/>
          </w:tcPr>
          <w:p w14:paraId="672D1842"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5,599</w:t>
            </w:r>
          </w:p>
        </w:tc>
        <w:tc>
          <w:tcPr>
            <w:tcW w:w="990" w:type="dxa"/>
            <w:tcBorders>
              <w:bottom w:val="nil"/>
            </w:tcBorders>
            <w:shd w:val="clear" w:color="auto" w:fill="EAF1DD" w:themeFill="accent3" w:themeFillTint="33"/>
            <w:noWrap/>
            <w:vAlign w:val="center"/>
          </w:tcPr>
          <w:p w14:paraId="48087CDC"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4,002</w:t>
            </w:r>
          </w:p>
        </w:tc>
        <w:tc>
          <w:tcPr>
            <w:tcW w:w="932" w:type="dxa"/>
            <w:tcBorders>
              <w:bottom w:val="nil"/>
            </w:tcBorders>
            <w:shd w:val="clear" w:color="auto" w:fill="EAF1DD" w:themeFill="accent3" w:themeFillTint="33"/>
            <w:noWrap/>
            <w:vAlign w:val="center"/>
          </w:tcPr>
          <w:p w14:paraId="08AAD872"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6,290</w:t>
            </w:r>
          </w:p>
        </w:tc>
        <w:tc>
          <w:tcPr>
            <w:tcW w:w="1063" w:type="dxa"/>
            <w:tcBorders>
              <w:bottom w:val="nil"/>
            </w:tcBorders>
            <w:shd w:val="clear" w:color="auto" w:fill="EAF1DD" w:themeFill="accent3" w:themeFillTint="33"/>
            <w:noWrap/>
            <w:vAlign w:val="center"/>
          </w:tcPr>
          <w:p w14:paraId="1D3E3CB2"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9,271</w:t>
            </w:r>
          </w:p>
        </w:tc>
        <w:tc>
          <w:tcPr>
            <w:tcW w:w="1063" w:type="dxa"/>
            <w:tcBorders>
              <w:bottom w:val="nil"/>
            </w:tcBorders>
            <w:shd w:val="clear" w:color="auto" w:fill="EAF1DD" w:themeFill="accent3" w:themeFillTint="33"/>
            <w:noWrap/>
            <w:vAlign w:val="center"/>
          </w:tcPr>
          <w:p w14:paraId="77AB43BD"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12,547</w:t>
            </w:r>
          </w:p>
        </w:tc>
        <w:tc>
          <w:tcPr>
            <w:tcW w:w="1063" w:type="dxa"/>
            <w:tcBorders>
              <w:bottom w:val="nil"/>
            </w:tcBorders>
            <w:shd w:val="clear" w:color="auto" w:fill="EAF1DD" w:themeFill="accent3" w:themeFillTint="33"/>
            <w:noWrap/>
            <w:vAlign w:val="center"/>
          </w:tcPr>
          <w:p w14:paraId="0052AA04"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15,635</w:t>
            </w:r>
          </w:p>
        </w:tc>
        <w:tc>
          <w:tcPr>
            <w:tcW w:w="1099" w:type="dxa"/>
            <w:tcBorders>
              <w:bottom w:val="nil"/>
              <w:right w:val="single" w:sz="4" w:space="0" w:color="auto"/>
            </w:tcBorders>
            <w:shd w:val="clear" w:color="auto" w:fill="EAF1DD" w:themeFill="accent3" w:themeFillTint="33"/>
            <w:noWrap/>
            <w:vAlign w:val="center"/>
          </w:tcPr>
          <w:p w14:paraId="7E5114C5"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20,844</w:t>
            </w:r>
          </w:p>
        </w:tc>
        <w:tc>
          <w:tcPr>
            <w:tcW w:w="1027" w:type="dxa"/>
            <w:tcBorders>
              <w:left w:val="single" w:sz="4" w:space="0" w:color="auto"/>
              <w:bottom w:val="nil"/>
              <w:right w:val="single" w:sz="4" w:space="0" w:color="auto"/>
            </w:tcBorders>
            <w:shd w:val="clear" w:color="auto" w:fill="EAF1DD" w:themeFill="accent3" w:themeFillTint="33"/>
            <w:vAlign w:val="center"/>
          </w:tcPr>
          <w:p w14:paraId="0796C80D"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88,265</w:t>
            </w:r>
          </w:p>
        </w:tc>
        <w:tc>
          <w:tcPr>
            <w:tcW w:w="1064" w:type="dxa"/>
            <w:tcBorders>
              <w:left w:val="single" w:sz="4" w:space="0" w:color="auto"/>
              <w:bottom w:val="nil"/>
            </w:tcBorders>
            <w:shd w:val="clear" w:color="auto" w:fill="EAF1DD" w:themeFill="accent3" w:themeFillTint="33"/>
            <w:vAlign w:val="center"/>
          </w:tcPr>
          <w:p w14:paraId="3E854D99"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364%</w:t>
            </w:r>
          </w:p>
        </w:tc>
      </w:tr>
      <w:tr w:rsidR="001503DA" w:rsidRPr="00C84E96" w14:paraId="7C0D7827" w14:textId="77777777" w:rsidTr="00407ACB">
        <w:trPr>
          <w:trHeight w:val="204"/>
        </w:trPr>
        <w:tc>
          <w:tcPr>
            <w:tcW w:w="2778" w:type="dxa"/>
            <w:tcBorders>
              <w:top w:val="nil"/>
              <w:bottom w:val="single" w:sz="4" w:space="0" w:color="auto"/>
              <w:right w:val="single" w:sz="4" w:space="0" w:color="auto"/>
            </w:tcBorders>
            <w:noWrap/>
            <w:vAlign w:val="center"/>
            <w:hideMark/>
          </w:tcPr>
          <w:p w14:paraId="3C144ACB" w14:textId="77777777" w:rsidR="001503DA" w:rsidRPr="00B25795" w:rsidRDefault="001503DA" w:rsidP="00F2009E">
            <w:pPr>
              <w:tabs>
                <w:tab w:val="left" w:pos="1134"/>
              </w:tabs>
              <w:spacing w:before="0" w:line="240" w:lineRule="auto"/>
              <w:rPr>
                <w:rFonts w:ascii="Calibri" w:hAnsi="Calibri" w:cs="Arial"/>
                <w:b/>
                <w:bCs/>
                <w:color w:val="000000"/>
              </w:rPr>
            </w:pPr>
            <w:r w:rsidRPr="00B25795">
              <w:rPr>
                <w:rFonts w:ascii="Calibri" w:hAnsi="Calibri" w:cs="Arial"/>
                <w:b/>
                <w:bCs/>
                <w:color w:val="000000"/>
              </w:rPr>
              <w:t>Other reporter groups combined</w:t>
            </w:r>
          </w:p>
        </w:tc>
        <w:tc>
          <w:tcPr>
            <w:tcW w:w="840" w:type="dxa"/>
            <w:tcBorders>
              <w:top w:val="nil"/>
              <w:left w:val="single" w:sz="4" w:space="0" w:color="auto"/>
              <w:bottom w:val="single" w:sz="4" w:space="0" w:color="auto"/>
            </w:tcBorders>
            <w:noWrap/>
            <w:vAlign w:val="center"/>
          </w:tcPr>
          <w:p w14:paraId="718618F9"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7,259</w:t>
            </w:r>
          </w:p>
        </w:tc>
        <w:tc>
          <w:tcPr>
            <w:tcW w:w="900" w:type="dxa"/>
            <w:tcBorders>
              <w:top w:val="nil"/>
              <w:bottom w:val="single" w:sz="4" w:space="0" w:color="auto"/>
            </w:tcBorders>
            <w:noWrap/>
            <w:vAlign w:val="center"/>
          </w:tcPr>
          <w:p w14:paraId="4078F062"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7,100</w:t>
            </w:r>
          </w:p>
        </w:tc>
        <w:tc>
          <w:tcPr>
            <w:tcW w:w="900" w:type="dxa"/>
            <w:tcBorders>
              <w:top w:val="nil"/>
              <w:bottom w:val="single" w:sz="4" w:space="0" w:color="auto"/>
            </w:tcBorders>
            <w:noWrap/>
            <w:vAlign w:val="center"/>
          </w:tcPr>
          <w:p w14:paraId="7AAAB70A"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6,836</w:t>
            </w:r>
          </w:p>
        </w:tc>
        <w:tc>
          <w:tcPr>
            <w:tcW w:w="990" w:type="dxa"/>
            <w:tcBorders>
              <w:top w:val="nil"/>
              <w:bottom w:val="single" w:sz="4" w:space="0" w:color="auto"/>
            </w:tcBorders>
            <w:noWrap/>
            <w:vAlign w:val="center"/>
          </w:tcPr>
          <w:p w14:paraId="023CF9DD"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7,613</w:t>
            </w:r>
          </w:p>
        </w:tc>
        <w:tc>
          <w:tcPr>
            <w:tcW w:w="990" w:type="dxa"/>
            <w:tcBorders>
              <w:top w:val="nil"/>
              <w:bottom w:val="single" w:sz="4" w:space="0" w:color="auto"/>
            </w:tcBorders>
            <w:noWrap/>
            <w:vAlign w:val="center"/>
          </w:tcPr>
          <w:p w14:paraId="784A573E"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6,678</w:t>
            </w:r>
          </w:p>
        </w:tc>
        <w:tc>
          <w:tcPr>
            <w:tcW w:w="932" w:type="dxa"/>
            <w:tcBorders>
              <w:top w:val="nil"/>
              <w:bottom w:val="single" w:sz="4" w:space="0" w:color="auto"/>
            </w:tcBorders>
            <w:noWrap/>
            <w:vAlign w:val="center"/>
          </w:tcPr>
          <w:p w14:paraId="5701DC10"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9,791</w:t>
            </w:r>
          </w:p>
        </w:tc>
        <w:tc>
          <w:tcPr>
            <w:tcW w:w="1063" w:type="dxa"/>
            <w:tcBorders>
              <w:top w:val="nil"/>
              <w:bottom w:val="single" w:sz="4" w:space="0" w:color="auto"/>
            </w:tcBorders>
            <w:noWrap/>
            <w:vAlign w:val="center"/>
          </w:tcPr>
          <w:p w14:paraId="7D642A00"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12,488</w:t>
            </w:r>
          </w:p>
        </w:tc>
        <w:tc>
          <w:tcPr>
            <w:tcW w:w="1063" w:type="dxa"/>
            <w:tcBorders>
              <w:top w:val="nil"/>
              <w:bottom w:val="single" w:sz="4" w:space="0" w:color="auto"/>
            </w:tcBorders>
            <w:noWrap/>
            <w:vAlign w:val="center"/>
          </w:tcPr>
          <w:p w14:paraId="06AC3A30"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13,793</w:t>
            </w:r>
          </w:p>
        </w:tc>
        <w:tc>
          <w:tcPr>
            <w:tcW w:w="1063" w:type="dxa"/>
            <w:tcBorders>
              <w:top w:val="nil"/>
              <w:bottom w:val="single" w:sz="4" w:space="0" w:color="auto"/>
            </w:tcBorders>
            <w:noWrap/>
            <w:vAlign w:val="center"/>
          </w:tcPr>
          <w:p w14:paraId="18410467" w14:textId="77777777" w:rsidR="001503DA" w:rsidRDefault="001503DA" w:rsidP="00F2009E">
            <w:pPr>
              <w:spacing w:before="0" w:line="240" w:lineRule="auto"/>
              <w:jc w:val="right"/>
              <w:rPr>
                <w:rFonts w:ascii="Calibri" w:hAnsi="Calibri"/>
                <w:color w:val="000000"/>
                <w:sz w:val="20"/>
                <w:szCs w:val="20"/>
              </w:rPr>
            </w:pPr>
            <w:r>
              <w:rPr>
                <w:rFonts w:ascii="Calibri" w:hAnsi="Calibri"/>
                <w:color w:val="000000"/>
                <w:sz w:val="20"/>
                <w:szCs w:val="20"/>
              </w:rPr>
              <w:t>17,368</w:t>
            </w:r>
          </w:p>
        </w:tc>
        <w:tc>
          <w:tcPr>
            <w:tcW w:w="1099" w:type="dxa"/>
            <w:tcBorders>
              <w:top w:val="nil"/>
              <w:bottom w:val="single" w:sz="4" w:space="0" w:color="auto"/>
              <w:right w:val="single" w:sz="4" w:space="0" w:color="auto"/>
            </w:tcBorders>
            <w:noWrap/>
            <w:vAlign w:val="center"/>
          </w:tcPr>
          <w:p w14:paraId="1152A967"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20,636</w:t>
            </w:r>
          </w:p>
        </w:tc>
        <w:tc>
          <w:tcPr>
            <w:tcW w:w="1027" w:type="dxa"/>
            <w:tcBorders>
              <w:top w:val="nil"/>
              <w:left w:val="single" w:sz="4" w:space="0" w:color="auto"/>
              <w:bottom w:val="single" w:sz="4" w:space="0" w:color="auto"/>
              <w:right w:val="single" w:sz="4" w:space="0" w:color="auto"/>
            </w:tcBorders>
            <w:vAlign w:val="center"/>
          </w:tcPr>
          <w:p w14:paraId="2B39A0EC"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109,562</w:t>
            </w:r>
          </w:p>
        </w:tc>
        <w:tc>
          <w:tcPr>
            <w:tcW w:w="1064" w:type="dxa"/>
            <w:tcBorders>
              <w:top w:val="nil"/>
              <w:left w:val="single" w:sz="4" w:space="0" w:color="auto"/>
              <w:bottom w:val="single" w:sz="4" w:space="0" w:color="auto"/>
            </w:tcBorders>
            <w:vAlign w:val="center"/>
          </w:tcPr>
          <w:p w14:paraId="5CDF42AB" w14:textId="77777777" w:rsidR="001503DA" w:rsidRDefault="001503DA" w:rsidP="00F2009E">
            <w:pPr>
              <w:spacing w:before="0" w:line="240" w:lineRule="auto"/>
              <w:jc w:val="right"/>
              <w:rPr>
                <w:rFonts w:ascii="Calibri" w:hAnsi="Calibri"/>
                <w:b/>
                <w:bCs/>
                <w:color w:val="000000"/>
                <w:sz w:val="20"/>
                <w:szCs w:val="20"/>
              </w:rPr>
            </w:pPr>
            <w:r>
              <w:rPr>
                <w:rFonts w:ascii="Calibri" w:hAnsi="Calibri"/>
                <w:b/>
                <w:bCs/>
                <w:color w:val="000000"/>
                <w:sz w:val="20"/>
                <w:szCs w:val="20"/>
              </w:rPr>
              <w:t>184%</w:t>
            </w:r>
          </w:p>
        </w:tc>
      </w:tr>
      <w:tr w:rsidR="00A55CFF" w:rsidRPr="00C84E96" w14:paraId="47B54CB3" w14:textId="77777777" w:rsidTr="00407ACB">
        <w:trPr>
          <w:trHeight w:val="204"/>
        </w:trPr>
        <w:tc>
          <w:tcPr>
            <w:tcW w:w="2778" w:type="dxa"/>
            <w:tcBorders>
              <w:top w:val="single" w:sz="4" w:space="0" w:color="auto"/>
              <w:right w:val="single" w:sz="4" w:space="0" w:color="auto"/>
            </w:tcBorders>
            <w:shd w:val="clear" w:color="auto" w:fill="D6E3BC" w:themeFill="accent3" w:themeFillTint="66"/>
            <w:noWrap/>
          </w:tcPr>
          <w:p w14:paraId="2BC76ECC" w14:textId="77777777" w:rsidR="00A55CFF" w:rsidRPr="00C84E96" w:rsidRDefault="00A55CFF" w:rsidP="00F2009E">
            <w:pPr>
              <w:spacing w:before="0" w:after="60" w:line="240" w:lineRule="auto"/>
              <w:rPr>
                <w:rFonts w:eastAsia="Times New Roman" w:cs="Arial"/>
                <w:b/>
                <w:sz w:val="20"/>
                <w:szCs w:val="20"/>
                <w:lang w:eastAsia="en-AU"/>
              </w:rPr>
            </w:pPr>
            <w:r w:rsidRPr="00C84E96">
              <w:rPr>
                <w:rFonts w:eastAsia="Times New Roman" w:cs="Arial"/>
                <w:b/>
                <w:sz w:val="20"/>
                <w:szCs w:val="20"/>
                <w:lang w:eastAsia="en-AU"/>
              </w:rPr>
              <w:t>TOTALS:</w:t>
            </w:r>
          </w:p>
        </w:tc>
        <w:tc>
          <w:tcPr>
            <w:tcW w:w="840" w:type="dxa"/>
            <w:tcBorders>
              <w:top w:val="single" w:sz="4" w:space="0" w:color="auto"/>
              <w:left w:val="single" w:sz="4" w:space="0" w:color="auto"/>
              <w:bottom w:val="single" w:sz="4" w:space="0" w:color="auto"/>
            </w:tcBorders>
            <w:shd w:val="clear" w:color="auto" w:fill="D6E3BC" w:themeFill="accent3" w:themeFillTint="66"/>
            <w:noWrap/>
            <w:vAlign w:val="center"/>
          </w:tcPr>
          <w:p w14:paraId="1CF2610D"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11,749</w:t>
            </w:r>
          </w:p>
        </w:tc>
        <w:tc>
          <w:tcPr>
            <w:tcW w:w="900" w:type="dxa"/>
            <w:tcBorders>
              <w:top w:val="single" w:sz="4" w:space="0" w:color="auto"/>
            </w:tcBorders>
            <w:shd w:val="clear" w:color="auto" w:fill="D6E3BC" w:themeFill="accent3" w:themeFillTint="66"/>
            <w:noWrap/>
            <w:vAlign w:val="center"/>
          </w:tcPr>
          <w:p w14:paraId="1981FA81"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11,618</w:t>
            </w:r>
          </w:p>
        </w:tc>
        <w:tc>
          <w:tcPr>
            <w:tcW w:w="900" w:type="dxa"/>
            <w:tcBorders>
              <w:top w:val="single" w:sz="4" w:space="0" w:color="auto"/>
            </w:tcBorders>
            <w:shd w:val="clear" w:color="auto" w:fill="D6E3BC" w:themeFill="accent3" w:themeFillTint="66"/>
            <w:noWrap/>
            <w:vAlign w:val="center"/>
          </w:tcPr>
          <w:p w14:paraId="2A73E4FB"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11,905</w:t>
            </w:r>
          </w:p>
        </w:tc>
        <w:tc>
          <w:tcPr>
            <w:tcW w:w="990" w:type="dxa"/>
            <w:tcBorders>
              <w:top w:val="single" w:sz="4" w:space="0" w:color="auto"/>
            </w:tcBorders>
            <w:shd w:val="clear" w:color="auto" w:fill="D6E3BC" w:themeFill="accent3" w:themeFillTint="66"/>
            <w:noWrap/>
            <w:vAlign w:val="center"/>
          </w:tcPr>
          <w:p w14:paraId="3B243AEA"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13,212</w:t>
            </w:r>
          </w:p>
        </w:tc>
        <w:tc>
          <w:tcPr>
            <w:tcW w:w="990" w:type="dxa"/>
            <w:tcBorders>
              <w:top w:val="single" w:sz="4" w:space="0" w:color="auto"/>
            </w:tcBorders>
            <w:shd w:val="clear" w:color="auto" w:fill="D6E3BC" w:themeFill="accent3" w:themeFillTint="66"/>
            <w:noWrap/>
            <w:vAlign w:val="center"/>
          </w:tcPr>
          <w:p w14:paraId="77F4F2A7"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10,680</w:t>
            </w:r>
          </w:p>
        </w:tc>
        <w:tc>
          <w:tcPr>
            <w:tcW w:w="932" w:type="dxa"/>
            <w:tcBorders>
              <w:top w:val="single" w:sz="4" w:space="0" w:color="auto"/>
            </w:tcBorders>
            <w:shd w:val="clear" w:color="auto" w:fill="D6E3BC" w:themeFill="accent3" w:themeFillTint="66"/>
            <w:noWrap/>
            <w:vAlign w:val="center"/>
          </w:tcPr>
          <w:p w14:paraId="0B0DF419"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16,081</w:t>
            </w:r>
          </w:p>
        </w:tc>
        <w:tc>
          <w:tcPr>
            <w:tcW w:w="1063" w:type="dxa"/>
            <w:tcBorders>
              <w:top w:val="single" w:sz="4" w:space="0" w:color="auto"/>
            </w:tcBorders>
            <w:shd w:val="clear" w:color="auto" w:fill="D6E3BC" w:themeFill="accent3" w:themeFillTint="66"/>
            <w:noWrap/>
            <w:vAlign w:val="center"/>
          </w:tcPr>
          <w:p w14:paraId="315A0746"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21,759</w:t>
            </w:r>
          </w:p>
        </w:tc>
        <w:tc>
          <w:tcPr>
            <w:tcW w:w="1063" w:type="dxa"/>
            <w:tcBorders>
              <w:top w:val="single" w:sz="4" w:space="0" w:color="auto"/>
            </w:tcBorders>
            <w:shd w:val="clear" w:color="auto" w:fill="D6E3BC" w:themeFill="accent3" w:themeFillTint="66"/>
            <w:noWrap/>
            <w:vAlign w:val="center"/>
          </w:tcPr>
          <w:p w14:paraId="65D5D800"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26,340</w:t>
            </w:r>
          </w:p>
        </w:tc>
        <w:tc>
          <w:tcPr>
            <w:tcW w:w="1063" w:type="dxa"/>
            <w:tcBorders>
              <w:top w:val="single" w:sz="4" w:space="0" w:color="auto"/>
            </w:tcBorders>
            <w:shd w:val="clear" w:color="auto" w:fill="D6E3BC" w:themeFill="accent3" w:themeFillTint="66"/>
            <w:noWrap/>
            <w:vAlign w:val="center"/>
          </w:tcPr>
          <w:p w14:paraId="57CC7474"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33,003</w:t>
            </w:r>
          </w:p>
        </w:tc>
        <w:tc>
          <w:tcPr>
            <w:tcW w:w="1099" w:type="dxa"/>
            <w:tcBorders>
              <w:top w:val="single" w:sz="4" w:space="0" w:color="auto"/>
              <w:right w:val="single" w:sz="4" w:space="0" w:color="auto"/>
            </w:tcBorders>
            <w:shd w:val="clear" w:color="auto" w:fill="D6E3BC" w:themeFill="accent3" w:themeFillTint="66"/>
            <w:noWrap/>
            <w:vAlign w:val="center"/>
          </w:tcPr>
          <w:p w14:paraId="599C7B07"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41,480</w:t>
            </w:r>
          </w:p>
        </w:tc>
        <w:tc>
          <w:tcPr>
            <w:tcW w:w="102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328A32B" w14:textId="77777777" w:rsidR="00A55CFF" w:rsidRDefault="00A55CFF" w:rsidP="00F2009E">
            <w:pPr>
              <w:spacing w:before="0" w:line="240" w:lineRule="auto"/>
              <w:jc w:val="right"/>
              <w:rPr>
                <w:rFonts w:ascii="Calibri" w:hAnsi="Calibri"/>
                <w:b/>
                <w:bCs/>
                <w:sz w:val="20"/>
                <w:szCs w:val="20"/>
              </w:rPr>
            </w:pPr>
            <w:r>
              <w:rPr>
                <w:rFonts w:ascii="Calibri" w:hAnsi="Calibri"/>
                <w:b/>
                <w:bCs/>
                <w:sz w:val="20"/>
                <w:szCs w:val="20"/>
              </w:rPr>
              <w:t>197,827</w:t>
            </w:r>
          </w:p>
        </w:tc>
        <w:tc>
          <w:tcPr>
            <w:tcW w:w="1064" w:type="dxa"/>
            <w:tcBorders>
              <w:top w:val="single" w:sz="4" w:space="0" w:color="auto"/>
              <w:left w:val="single" w:sz="4" w:space="0" w:color="auto"/>
              <w:bottom w:val="single" w:sz="4" w:space="0" w:color="auto"/>
            </w:tcBorders>
            <w:shd w:val="clear" w:color="auto" w:fill="D6E3BC" w:themeFill="accent3" w:themeFillTint="66"/>
            <w:vAlign w:val="center"/>
          </w:tcPr>
          <w:p w14:paraId="29088A7B" w14:textId="77777777" w:rsidR="00A55CFF" w:rsidRDefault="00A55CFF" w:rsidP="00F2009E">
            <w:pPr>
              <w:spacing w:before="0" w:line="240" w:lineRule="auto"/>
              <w:jc w:val="right"/>
              <w:rPr>
                <w:rFonts w:ascii="Calibri" w:hAnsi="Calibri"/>
                <w:b/>
                <w:bCs/>
                <w:color w:val="000000"/>
                <w:sz w:val="20"/>
                <w:szCs w:val="20"/>
              </w:rPr>
            </w:pPr>
            <w:r>
              <w:rPr>
                <w:rFonts w:ascii="Calibri" w:hAnsi="Calibri"/>
                <w:b/>
                <w:bCs/>
                <w:color w:val="000000"/>
                <w:sz w:val="20"/>
                <w:szCs w:val="20"/>
              </w:rPr>
              <w:t>253%</w:t>
            </w:r>
          </w:p>
        </w:tc>
      </w:tr>
    </w:tbl>
    <w:p w14:paraId="19E18CB2" w14:textId="1F99FCDE" w:rsidR="002F6188" w:rsidRPr="00474D52" w:rsidRDefault="002F6188" w:rsidP="005E613E">
      <w:pPr>
        <w:pStyle w:val="Heading6"/>
        <w:spacing w:before="240" w:after="240"/>
      </w:pPr>
      <w:r w:rsidRPr="00474D52">
        <w:t>Line graph for table 1.18: Number of reports of emotional abuse by year, by reporter group</w:t>
      </w:r>
    </w:p>
    <w:p w14:paraId="6BBE4F84" w14:textId="77777777" w:rsidR="00863C61" w:rsidRDefault="002F6188" w:rsidP="00B15586">
      <w:pPr>
        <w:keepNext/>
        <w:rPr>
          <w:rFonts w:asciiTheme="majorHAnsi" w:eastAsiaTheme="majorEastAsia" w:hAnsiTheme="majorHAnsi" w:cstheme="majorBidi"/>
          <w:b/>
          <w:bCs/>
          <w:color w:val="17365D" w:themeColor="text2" w:themeShade="BF"/>
          <w:sz w:val="26"/>
          <w:szCs w:val="26"/>
        </w:rPr>
      </w:pPr>
      <w:r>
        <w:rPr>
          <w:noProof/>
          <w:lang w:eastAsia="en-AU"/>
        </w:rPr>
        <w:drawing>
          <wp:inline distT="0" distB="0" distL="0" distR="0" wp14:anchorId="42F2F728" wp14:editId="135D8BB1">
            <wp:extent cx="9277350" cy="2228850"/>
            <wp:effectExtent l="0" t="0" r="0" b="0"/>
            <wp:docPr id="39" name="Chart 39" descr="Shows reports of emotional abuse from major and other reporter groups and police have increased significantly since 2007." title="Line graph for table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863C61">
        <w:br w:type="page"/>
      </w:r>
    </w:p>
    <w:p w14:paraId="7EFD5B3C" w14:textId="0E8B8D6A" w:rsidR="002F6188" w:rsidRPr="004F362A" w:rsidRDefault="00863988" w:rsidP="00863988">
      <w:pPr>
        <w:pStyle w:val="Figureheading"/>
      </w:pPr>
      <w:r>
        <w:lastRenderedPageBreak/>
        <w:t>1.19</w:t>
      </w:r>
      <w:r>
        <w:tab/>
      </w:r>
      <w:r w:rsidR="002F6188" w:rsidRPr="004F362A">
        <w:t>Number of reports of neglect by year, by reporter group, with percentage change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08"/>
        <w:gridCol w:w="775"/>
        <w:gridCol w:w="775"/>
        <w:gridCol w:w="775"/>
        <w:gridCol w:w="719"/>
        <w:gridCol w:w="829"/>
        <w:gridCol w:w="719"/>
        <w:gridCol w:w="717"/>
        <w:gridCol w:w="719"/>
        <w:gridCol w:w="717"/>
        <w:gridCol w:w="719"/>
        <w:gridCol w:w="775"/>
        <w:gridCol w:w="1078"/>
      </w:tblGrid>
      <w:tr w:rsidR="001503DA" w:rsidRPr="00C84E96" w14:paraId="7A8FED3F" w14:textId="77777777" w:rsidTr="0005473D">
        <w:trPr>
          <w:trHeight w:val="204"/>
        </w:trPr>
        <w:tc>
          <w:tcPr>
            <w:tcW w:w="0" w:type="auto"/>
            <w:tcBorders>
              <w:top w:val="single" w:sz="4" w:space="0" w:color="auto"/>
              <w:bottom w:val="single" w:sz="4" w:space="0" w:color="auto"/>
              <w:right w:val="single" w:sz="4" w:space="0" w:color="auto"/>
            </w:tcBorders>
            <w:shd w:val="clear" w:color="auto" w:fill="92CDDC" w:themeFill="accent5" w:themeFillTint="99"/>
            <w:noWrap/>
            <w:vAlign w:val="center"/>
            <w:hideMark/>
          </w:tcPr>
          <w:p w14:paraId="58A1F65F" w14:textId="77777777" w:rsidR="00134C58" w:rsidRPr="00C84E96" w:rsidRDefault="00134C58" w:rsidP="00CE2FDF">
            <w:pPr>
              <w:spacing w:before="0" w:after="60" w:line="276" w:lineRule="auto"/>
              <w:rPr>
                <w:rFonts w:cs="Arial"/>
                <w:b/>
              </w:rPr>
            </w:pPr>
          </w:p>
        </w:tc>
        <w:tc>
          <w:tcPr>
            <w:tcW w:w="0" w:type="auto"/>
            <w:tcBorders>
              <w:top w:val="single" w:sz="4" w:space="0" w:color="auto"/>
              <w:left w:val="single" w:sz="4" w:space="0" w:color="auto"/>
              <w:bottom w:val="single" w:sz="4" w:space="0" w:color="auto"/>
            </w:tcBorders>
            <w:shd w:val="clear" w:color="auto" w:fill="92CDDC" w:themeFill="accent5" w:themeFillTint="99"/>
            <w:noWrap/>
            <w:vAlign w:val="center"/>
            <w:hideMark/>
          </w:tcPr>
          <w:p w14:paraId="587571CD" w14:textId="77777777" w:rsidR="00134C58" w:rsidRPr="00C84E96" w:rsidRDefault="00134C58" w:rsidP="00CE2FDF">
            <w:pPr>
              <w:spacing w:before="0" w:after="60" w:line="276" w:lineRule="auto"/>
              <w:jc w:val="right"/>
              <w:rPr>
                <w:rFonts w:cs="Arial"/>
                <w:b/>
                <w:bCs/>
              </w:rPr>
            </w:pPr>
            <w:r w:rsidRPr="00C84E96">
              <w:rPr>
                <w:rFonts w:cs="Arial"/>
                <w:b/>
                <w:bCs/>
              </w:rPr>
              <w:t>2003</w:t>
            </w:r>
          </w:p>
        </w:tc>
        <w:tc>
          <w:tcPr>
            <w:tcW w:w="0" w:type="auto"/>
            <w:tcBorders>
              <w:top w:val="single" w:sz="4" w:space="0" w:color="auto"/>
              <w:bottom w:val="single" w:sz="4" w:space="0" w:color="auto"/>
            </w:tcBorders>
            <w:shd w:val="clear" w:color="auto" w:fill="92CDDC" w:themeFill="accent5" w:themeFillTint="99"/>
            <w:noWrap/>
            <w:vAlign w:val="center"/>
            <w:hideMark/>
          </w:tcPr>
          <w:p w14:paraId="2C9BB6C4" w14:textId="77777777" w:rsidR="00134C58" w:rsidRPr="00C84E96" w:rsidRDefault="00134C58" w:rsidP="00CE2FDF">
            <w:pPr>
              <w:spacing w:before="0" w:after="60" w:line="276" w:lineRule="auto"/>
              <w:jc w:val="right"/>
              <w:rPr>
                <w:rFonts w:cs="Arial"/>
                <w:b/>
                <w:bCs/>
              </w:rPr>
            </w:pPr>
            <w:r w:rsidRPr="00C84E96">
              <w:rPr>
                <w:rFonts w:cs="Arial"/>
                <w:b/>
                <w:bCs/>
              </w:rPr>
              <w:t>2004</w:t>
            </w:r>
          </w:p>
        </w:tc>
        <w:tc>
          <w:tcPr>
            <w:tcW w:w="0" w:type="auto"/>
            <w:tcBorders>
              <w:top w:val="single" w:sz="4" w:space="0" w:color="auto"/>
              <w:bottom w:val="single" w:sz="4" w:space="0" w:color="auto"/>
            </w:tcBorders>
            <w:shd w:val="clear" w:color="auto" w:fill="92CDDC" w:themeFill="accent5" w:themeFillTint="99"/>
            <w:noWrap/>
            <w:vAlign w:val="center"/>
            <w:hideMark/>
          </w:tcPr>
          <w:p w14:paraId="6CBF4941" w14:textId="77777777" w:rsidR="00134C58" w:rsidRPr="00C84E96" w:rsidRDefault="00134C58" w:rsidP="00CE2FDF">
            <w:pPr>
              <w:spacing w:before="0" w:after="60" w:line="276" w:lineRule="auto"/>
              <w:jc w:val="right"/>
              <w:rPr>
                <w:rFonts w:cs="Arial"/>
                <w:b/>
                <w:bCs/>
              </w:rPr>
            </w:pPr>
            <w:r w:rsidRPr="00C84E96">
              <w:rPr>
                <w:rFonts w:cs="Arial"/>
                <w:b/>
                <w:bCs/>
              </w:rPr>
              <w:t>2005</w:t>
            </w:r>
          </w:p>
        </w:tc>
        <w:tc>
          <w:tcPr>
            <w:tcW w:w="0" w:type="auto"/>
            <w:tcBorders>
              <w:top w:val="single" w:sz="4" w:space="0" w:color="auto"/>
              <w:bottom w:val="single" w:sz="4" w:space="0" w:color="auto"/>
            </w:tcBorders>
            <w:shd w:val="clear" w:color="auto" w:fill="92CDDC" w:themeFill="accent5" w:themeFillTint="99"/>
            <w:noWrap/>
            <w:vAlign w:val="center"/>
            <w:hideMark/>
          </w:tcPr>
          <w:p w14:paraId="016A2A78" w14:textId="77777777" w:rsidR="00134C58" w:rsidRPr="00C84E96" w:rsidRDefault="00134C58" w:rsidP="00CE2FDF">
            <w:pPr>
              <w:spacing w:before="0" w:after="60" w:line="276" w:lineRule="auto"/>
              <w:jc w:val="right"/>
              <w:rPr>
                <w:rFonts w:cs="Arial"/>
                <w:b/>
                <w:bCs/>
              </w:rPr>
            </w:pPr>
            <w:r w:rsidRPr="00C84E96">
              <w:rPr>
                <w:rFonts w:cs="Arial"/>
                <w:b/>
                <w:bCs/>
              </w:rPr>
              <w:t>2006</w:t>
            </w:r>
          </w:p>
        </w:tc>
        <w:tc>
          <w:tcPr>
            <w:tcW w:w="0" w:type="auto"/>
            <w:tcBorders>
              <w:top w:val="single" w:sz="4" w:space="0" w:color="auto"/>
              <w:bottom w:val="single" w:sz="4" w:space="0" w:color="auto"/>
            </w:tcBorders>
            <w:shd w:val="clear" w:color="auto" w:fill="92CDDC" w:themeFill="accent5" w:themeFillTint="99"/>
            <w:noWrap/>
            <w:vAlign w:val="center"/>
            <w:hideMark/>
          </w:tcPr>
          <w:p w14:paraId="60EBE7C7" w14:textId="77777777" w:rsidR="00134C58" w:rsidRPr="00C84E96" w:rsidRDefault="00134C58" w:rsidP="00CE2FDF">
            <w:pPr>
              <w:spacing w:before="0" w:after="60" w:line="276" w:lineRule="auto"/>
              <w:jc w:val="right"/>
              <w:rPr>
                <w:rFonts w:cs="Arial"/>
                <w:b/>
                <w:bCs/>
              </w:rPr>
            </w:pPr>
            <w:r w:rsidRPr="00C84E96">
              <w:rPr>
                <w:rFonts w:cs="Arial"/>
                <w:b/>
                <w:bCs/>
              </w:rPr>
              <w:t>2007</w:t>
            </w:r>
          </w:p>
        </w:tc>
        <w:tc>
          <w:tcPr>
            <w:tcW w:w="0" w:type="auto"/>
            <w:tcBorders>
              <w:top w:val="single" w:sz="4" w:space="0" w:color="auto"/>
              <w:bottom w:val="single" w:sz="4" w:space="0" w:color="auto"/>
            </w:tcBorders>
            <w:shd w:val="clear" w:color="auto" w:fill="92CDDC" w:themeFill="accent5" w:themeFillTint="99"/>
            <w:noWrap/>
            <w:vAlign w:val="center"/>
            <w:hideMark/>
          </w:tcPr>
          <w:p w14:paraId="5527A13F" w14:textId="77777777" w:rsidR="00134C58" w:rsidRPr="00C84E96" w:rsidRDefault="00134C58" w:rsidP="00CE2FDF">
            <w:pPr>
              <w:spacing w:before="0" w:after="60" w:line="276" w:lineRule="auto"/>
              <w:jc w:val="right"/>
              <w:rPr>
                <w:rFonts w:cs="Arial"/>
                <w:b/>
                <w:bCs/>
              </w:rPr>
            </w:pPr>
            <w:r w:rsidRPr="00C84E96">
              <w:rPr>
                <w:rFonts w:cs="Arial"/>
                <w:b/>
                <w:bCs/>
              </w:rPr>
              <w:t>2008</w:t>
            </w:r>
          </w:p>
        </w:tc>
        <w:tc>
          <w:tcPr>
            <w:tcW w:w="0" w:type="auto"/>
            <w:tcBorders>
              <w:top w:val="single" w:sz="4" w:space="0" w:color="auto"/>
              <w:bottom w:val="single" w:sz="4" w:space="0" w:color="auto"/>
            </w:tcBorders>
            <w:shd w:val="clear" w:color="auto" w:fill="92CDDC" w:themeFill="accent5" w:themeFillTint="99"/>
            <w:noWrap/>
            <w:vAlign w:val="center"/>
            <w:hideMark/>
          </w:tcPr>
          <w:p w14:paraId="6C61DF07" w14:textId="77777777" w:rsidR="00134C58" w:rsidRPr="00C84E96" w:rsidRDefault="00134C58" w:rsidP="00CE2FDF">
            <w:pPr>
              <w:spacing w:before="0" w:after="60" w:line="276" w:lineRule="auto"/>
              <w:jc w:val="right"/>
              <w:rPr>
                <w:rFonts w:cs="Arial"/>
                <w:b/>
                <w:bCs/>
              </w:rPr>
            </w:pPr>
            <w:r w:rsidRPr="00C84E96">
              <w:rPr>
                <w:rFonts w:cs="Arial"/>
                <w:b/>
                <w:bCs/>
              </w:rPr>
              <w:t>2009</w:t>
            </w:r>
          </w:p>
        </w:tc>
        <w:tc>
          <w:tcPr>
            <w:tcW w:w="0" w:type="auto"/>
            <w:tcBorders>
              <w:top w:val="single" w:sz="4" w:space="0" w:color="auto"/>
              <w:bottom w:val="single" w:sz="4" w:space="0" w:color="auto"/>
            </w:tcBorders>
            <w:shd w:val="clear" w:color="auto" w:fill="92CDDC" w:themeFill="accent5" w:themeFillTint="99"/>
            <w:noWrap/>
            <w:vAlign w:val="center"/>
            <w:hideMark/>
          </w:tcPr>
          <w:p w14:paraId="01B5F407" w14:textId="77777777" w:rsidR="00134C58" w:rsidRPr="00C84E96" w:rsidRDefault="00134C58" w:rsidP="00CE2FDF">
            <w:pPr>
              <w:spacing w:before="0" w:after="60" w:line="276" w:lineRule="auto"/>
              <w:jc w:val="right"/>
              <w:rPr>
                <w:rFonts w:cs="Arial"/>
                <w:b/>
                <w:bCs/>
              </w:rPr>
            </w:pPr>
            <w:r w:rsidRPr="00C84E96">
              <w:rPr>
                <w:rFonts w:cs="Arial"/>
                <w:b/>
                <w:bCs/>
              </w:rPr>
              <w:t>2010</w:t>
            </w:r>
          </w:p>
        </w:tc>
        <w:tc>
          <w:tcPr>
            <w:tcW w:w="0" w:type="auto"/>
            <w:tcBorders>
              <w:top w:val="single" w:sz="4" w:space="0" w:color="auto"/>
              <w:bottom w:val="single" w:sz="4" w:space="0" w:color="auto"/>
            </w:tcBorders>
            <w:shd w:val="clear" w:color="auto" w:fill="92CDDC" w:themeFill="accent5" w:themeFillTint="99"/>
            <w:noWrap/>
            <w:vAlign w:val="center"/>
            <w:hideMark/>
          </w:tcPr>
          <w:p w14:paraId="3C5F53FC" w14:textId="77777777" w:rsidR="00134C58" w:rsidRPr="00C84E96" w:rsidRDefault="00134C58" w:rsidP="00CE2FDF">
            <w:pPr>
              <w:spacing w:before="0" w:after="60" w:line="276" w:lineRule="auto"/>
              <w:jc w:val="right"/>
              <w:rPr>
                <w:rFonts w:cs="Arial"/>
                <w:b/>
                <w:bCs/>
              </w:rPr>
            </w:pPr>
            <w:r w:rsidRPr="00C84E96">
              <w:rPr>
                <w:rFonts w:cs="Arial"/>
                <w:b/>
                <w:bCs/>
              </w:rPr>
              <w:t>2011</w:t>
            </w:r>
          </w:p>
        </w:tc>
        <w:tc>
          <w:tcPr>
            <w:tcW w:w="0" w:type="auto"/>
            <w:tcBorders>
              <w:top w:val="single" w:sz="4" w:space="0" w:color="auto"/>
              <w:bottom w:val="single" w:sz="4" w:space="0" w:color="auto"/>
              <w:right w:val="single" w:sz="4" w:space="0" w:color="auto"/>
            </w:tcBorders>
            <w:shd w:val="clear" w:color="auto" w:fill="92CDDC" w:themeFill="accent5" w:themeFillTint="99"/>
            <w:noWrap/>
            <w:vAlign w:val="center"/>
            <w:hideMark/>
          </w:tcPr>
          <w:p w14:paraId="3025C12B" w14:textId="77777777" w:rsidR="00134C58" w:rsidRPr="00C84E96" w:rsidRDefault="00134C58" w:rsidP="00CE2FDF">
            <w:pPr>
              <w:spacing w:before="0" w:after="60" w:line="276" w:lineRule="auto"/>
              <w:jc w:val="right"/>
              <w:rPr>
                <w:rFonts w:cs="Arial"/>
                <w:b/>
                <w:bCs/>
              </w:rPr>
            </w:pPr>
            <w:r w:rsidRPr="00C84E96">
              <w:rPr>
                <w:rFonts w:cs="Arial"/>
                <w:b/>
                <w:bCs/>
              </w:rPr>
              <w:t>2012</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3705834" w14:textId="77777777" w:rsidR="00134C58" w:rsidRPr="00C84E96" w:rsidRDefault="00134C58" w:rsidP="00CE2FDF">
            <w:pPr>
              <w:spacing w:before="0" w:after="60" w:line="276" w:lineRule="auto"/>
              <w:jc w:val="right"/>
              <w:rPr>
                <w:rFonts w:cs="Arial"/>
                <w:b/>
                <w:bCs/>
              </w:rPr>
            </w:pPr>
            <w:r w:rsidRPr="00C84E96">
              <w:rPr>
                <w:rFonts w:cs="Arial"/>
                <w:b/>
                <w:bCs/>
              </w:rPr>
              <w:t>Totals</w:t>
            </w:r>
          </w:p>
        </w:tc>
        <w:tc>
          <w:tcPr>
            <w:tcW w:w="0" w:type="auto"/>
            <w:tcBorders>
              <w:top w:val="single" w:sz="4" w:space="0" w:color="auto"/>
              <w:left w:val="single" w:sz="4" w:space="0" w:color="auto"/>
              <w:bottom w:val="single" w:sz="4" w:space="0" w:color="auto"/>
            </w:tcBorders>
            <w:shd w:val="clear" w:color="auto" w:fill="92CDDC" w:themeFill="accent5" w:themeFillTint="99"/>
            <w:vAlign w:val="center"/>
          </w:tcPr>
          <w:p w14:paraId="77F4849A" w14:textId="77777777" w:rsidR="00134C58" w:rsidRPr="00C84E96" w:rsidRDefault="00AC4C50" w:rsidP="00CE2FDF">
            <w:pPr>
              <w:spacing w:before="0" w:after="60" w:line="276" w:lineRule="auto"/>
              <w:jc w:val="right"/>
              <w:rPr>
                <w:rFonts w:cs="Arial"/>
                <w:b/>
                <w:bCs/>
              </w:rPr>
            </w:pPr>
            <w:r>
              <w:rPr>
                <w:rFonts w:cs="Arial"/>
                <w:b/>
                <w:bCs/>
              </w:rPr>
              <w:t>% change</w:t>
            </w:r>
          </w:p>
        </w:tc>
      </w:tr>
      <w:tr w:rsidR="001503DA" w:rsidRPr="00C84E96" w14:paraId="7B13463E" w14:textId="77777777" w:rsidTr="0005473D">
        <w:trPr>
          <w:trHeight w:val="204"/>
        </w:trPr>
        <w:tc>
          <w:tcPr>
            <w:tcW w:w="0" w:type="auto"/>
            <w:tcBorders>
              <w:top w:val="single" w:sz="4" w:space="0" w:color="auto"/>
              <w:right w:val="single" w:sz="4" w:space="0" w:color="auto"/>
            </w:tcBorders>
            <w:noWrap/>
            <w:hideMark/>
          </w:tcPr>
          <w:p w14:paraId="7E8D79E7" w14:textId="77777777" w:rsidR="001503DA" w:rsidRPr="00C84E96" w:rsidRDefault="001503DA" w:rsidP="00CE2FDF">
            <w:pPr>
              <w:spacing w:before="0" w:after="60" w:line="276" w:lineRule="auto"/>
              <w:rPr>
                <w:rFonts w:cs="Arial"/>
                <w:b/>
              </w:rPr>
            </w:pPr>
            <w:r w:rsidRPr="00C84E96">
              <w:rPr>
                <w:rFonts w:cs="Arial"/>
                <w:b/>
                <w:bCs/>
              </w:rPr>
              <w:t>Doctors</w:t>
            </w:r>
          </w:p>
        </w:tc>
        <w:tc>
          <w:tcPr>
            <w:tcW w:w="0" w:type="auto"/>
            <w:tcBorders>
              <w:top w:val="single" w:sz="4" w:space="0" w:color="auto"/>
              <w:left w:val="single" w:sz="4" w:space="0" w:color="auto"/>
            </w:tcBorders>
            <w:shd w:val="clear" w:color="auto" w:fill="auto"/>
            <w:noWrap/>
            <w:vAlign w:val="center"/>
          </w:tcPr>
          <w:p w14:paraId="148A820A" w14:textId="77777777" w:rsidR="001503DA" w:rsidRPr="001503DA" w:rsidRDefault="001503DA" w:rsidP="00CE2FDF">
            <w:pPr>
              <w:spacing w:before="0" w:line="276" w:lineRule="auto"/>
              <w:jc w:val="right"/>
              <w:rPr>
                <w:rFonts w:ascii="Calibri" w:hAnsi="Calibri"/>
              </w:rPr>
            </w:pPr>
            <w:r w:rsidRPr="001503DA">
              <w:rPr>
                <w:rFonts w:ascii="Calibri" w:hAnsi="Calibri"/>
              </w:rPr>
              <w:t>202</w:t>
            </w:r>
          </w:p>
        </w:tc>
        <w:tc>
          <w:tcPr>
            <w:tcW w:w="0" w:type="auto"/>
            <w:tcBorders>
              <w:top w:val="single" w:sz="4" w:space="0" w:color="auto"/>
            </w:tcBorders>
            <w:shd w:val="clear" w:color="auto" w:fill="auto"/>
            <w:noWrap/>
            <w:vAlign w:val="center"/>
          </w:tcPr>
          <w:p w14:paraId="20AB7B7F"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175</w:t>
            </w:r>
          </w:p>
        </w:tc>
        <w:tc>
          <w:tcPr>
            <w:tcW w:w="0" w:type="auto"/>
            <w:tcBorders>
              <w:top w:val="single" w:sz="4" w:space="0" w:color="auto"/>
            </w:tcBorders>
            <w:shd w:val="clear" w:color="auto" w:fill="auto"/>
            <w:noWrap/>
            <w:vAlign w:val="center"/>
          </w:tcPr>
          <w:p w14:paraId="6DAD8403" w14:textId="77777777" w:rsidR="001503DA" w:rsidRPr="001503DA" w:rsidRDefault="001503DA" w:rsidP="00CE2FDF">
            <w:pPr>
              <w:spacing w:before="0" w:line="276" w:lineRule="auto"/>
              <w:jc w:val="right"/>
              <w:rPr>
                <w:rFonts w:ascii="Calibri" w:hAnsi="Calibri"/>
              </w:rPr>
            </w:pPr>
            <w:r w:rsidRPr="001503DA">
              <w:rPr>
                <w:rFonts w:ascii="Calibri" w:hAnsi="Calibri"/>
              </w:rPr>
              <w:t>177</w:t>
            </w:r>
          </w:p>
        </w:tc>
        <w:tc>
          <w:tcPr>
            <w:tcW w:w="0" w:type="auto"/>
            <w:tcBorders>
              <w:top w:val="single" w:sz="4" w:space="0" w:color="auto"/>
            </w:tcBorders>
            <w:shd w:val="clear" w:color="auto" w:fill="auto"/>
            <w:noWrap/>
            <w:vAlign w:val="center"/>
          </w:tcPr>
          <w:p w14:paraId="34AE4EDE"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173</w:t>
            </w:r>
          </w:p>
        </w:tc>
        <w:tc>
          <w:tcPr>
            <w:tcW w:w="0" w:type="auto"/>
            <w:tcBorders>
              <w:top w:val="single" w:sz="4" w:space="0" w:color="auto"/>
            </w:tcBorders>
            <w:shd w:val="clear" w:color="auto" w:fill="auto"/>
            <w:noWrap/>
            <w:vAlign w:val="center"/>
          </w:tcPr>
          <w:p w14:paraId="1E146428" w14:textId="77777777" w:rsidR="001503DA" w:rsidRPr="001503DA" w:rsidRDefault="001503DA" w:rsidP="00CE2FDF">
            <w:pPr>
              <w:spacing w:before="0" w:line="276" w:lineRule="auto"/>
              <w:jc w:val="right"/>
              <w:rPr>
                <w:rFonts w:ascii="Calibri" w:hAnsi="Calibri"/>
              </w:rPr>
            </w:pPr>
            <w:r w:rsidRPr="001503DA">
              <w:rPr>
                <w:rFonts w:ascii="Calibri" w:hAnsi="Calibri"/>
              </w:rPr>
              <w:t>320</w:t>
            </w:r>
          </w:p>
        </w:tc>
        <w:tc>
          <w:tcPr>
            <w:tcW w:w="0" w:type="auto"/>
            <w:tcBorders>
              <w:top w:val="single" w:sz="4" w:space="0" w:color="auto"/>
            </w:tcBorders>
            <w:shd w:val="clear" w:color="auto" w:fill="auto"/>
            <w:noWrap/>
            <w:vAlign w:val="center"/>
          </w:tcPr>
          <w:p w14:paraId="0F530D47"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215</w:t>
            </w:r>
          </w:p>
        </w:tc>
        <w:tc>
          <w:tcPr>
            <w:tcW w:w="0" w:type="auto"/>
            <w:tcBorders>
              <w:top w:val="single" w:sz="4" w:space="0" w:color="auto"/>
            </w:tcBorders>
            <w:shd w:val="clear" w:color="auto" w:fill="auto"/>
            <w:noWrap/>
            <w:vAlign w:val="center"/>
          </w:tcPr>
          <w:p w14:paraId="00311FDC" w14:textId="77777777" w:rsidR="001503DA" w:rsidRPr="001503DA" w:rsidRDefault="001503DA" w:rsidP="00CE2FDF">
            <w:pPr>
              <w:spacing w:before="0" w:line="276" w:lineRule="auto"/>
              <w:jc w:val="right"/>
              <w:rPr>
                <w:rFonts w:ascii="Calibri" w:hAnsi="Calibri"/>
              </w:rPr>
            </w:pPr>
            <w:r w:rsidRPr="001503DA">
              <w:rPr>
                <w:rFonts w:ascii="Calibri" w:hAnsi="Calibri"/>
              </w:rPr>
              <w:t>132</w:t>
            </w:r>
          </w:p>
        </w:tc>
        <w:tc>
          <w:tcPr>
            <w:tcW w:w="0" w:type="auto"/>
            <w:tcBorders>
              <w:top w:val="single" w:sz="4" w:space="0" w:color="auto"/>
            </w:tcBorders>
            <w:shd w:val="clear" w:color="auto" w:fill="auto"/>
            <w:noWrap/>
            <w:vAlign w:val="center"/>
          </w:tcPr>
          <w:p w14:paraId="779FDDD6"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167</w:t>
            </w:r>
          </w:p>
        </w:tc>
        <w:tc>
          <w:tcPr>
            <w:tcW w:w="0" w:type="auto"/>
            <w:tcBorders>
              <w:top w:val="single" w:sz="4" w:space="0" w:color="auto"/>
            </w:tcBorders>
            <w:shd w:val="clear" w:color="auto" w:fill="auto"/>
            <w:noWrap/>
            <w:vAlign w:val="center"/>
          </w:tcPr>
          <w:p w14:paraId="4B0E4D4F" w14:textId="77777777" w:rsidR="001503DA" w:rsidRPr="001503DA" w:rsidRDefault="001503DA" w:rsidP="00CE2FDF">
            <w:pPr>
              <w:spacing w:before="0" w:line="276" w:lineRule="auto"/>
              <w:jc w:val="right"/>
              <w:rPr>
                <w:rFonts w:ascii="Calibri" w:hAnsi="Calibri"/>
              </w:rPr>
            </w:pPr>
            <w:r w:rsidRPr="001503DA">
              <w:rPr>
                <w:rFonts w:ascii="Calibri" w:hAnsi="Calibri"/>
              </w:rPr>
              <w:t>169</w:t>
            </w:r>
          </w:p>
        </w:tc>
        <w:tc>
          <w:tcPr>
            <w:tcW w:w="0" w:type="auto"/>
            <w:tcBorders>
              <w:top w:val="single" w:sz="4" w:space="0" w:color="auto"/>
              <w:right w:val="single" w:sz="4" w:space="0" w:color="auto"/>
            </w:tcBorders>
            <w:shd w:val="clear" w:color="auto" w:fill="auto"/>
            <w:noWrap/>
            <w:vAlign w:val="center"/>
          </w:tcPr>
          <w:p w14:paraId="7EB8AD95"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149</w:t>
            </w:r>
          </w:p>
        </w:tc>
        <w:tc>
          <w:tcPr>
            <w:tcW w:w="0" w:type="auto"/>
            <w:tcBorders>
              <w:top w:val="single" w:sz="4" w:space="0" w:color="auto"/>
              <w:left w:val="single" w:sz="4" w:space="0" w:color="auto"/>
              <w:right w:val="single" w:sz="4" w:space="0" w:color="auto"/>
            </w:tcBorders>
            <w:shd w:val="clear" w:color="auto" w:fill="auto"/>
            <w:vAlign w:val="center"/>
          </w:tcPr>
          <w:p w14:paraId="0DE81DD3"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1879</w:t>
            </w:r>
          </w:p>
        </w:tc>
        <w:tc>
          <w:tcPr>
            <w:tcW w:w="0" w:type="auto"/>
            <w:tcBorders>
              <w:top w:val="single" w:sz="4" w:space="0" w:color="auto"/>
              <w:left w:val="single" w:sz="4" w:space="0" w:color="auto"/>
            </w:tcBorders>
            <w:shd w:val="clear" w:color="auto" w:fill="auto"/>
            <w:vAlign w:val="center"/>
          </w:tcPr>
          <w:p w14:paraId="1CCCE253"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-26%</w:t>
            </w:r>
          </w:p>
        </w:tc>
      </w:tr>
      <w:tr w:rsidR="001503DA" w:rsidRPr="00C84E96" w14:paraId="54F31B43" w14:textId="77777777" w:rsidTr="0005473D">
        <w:trPr>
          <w:trHeight w:val="204"/>
        </w:trPr>
        <w:tc>
          <w:tcPr>
            <w:tcW w:w="0" w:type="auto"/>
            <w:tcBorders>
              <w:right w:val="single" w:sz="4" w:space="0" w:color="auto"/>
            </w:tcBorders>
            <w:shd w:val="clear" w:color="auto" w:fill="B6DDE8" w:themeFill="accent5" w:themeFillTint="66"/>
            <w:noWrap/>
            <w:hideMark/>
          </w:tcPr>
          <w:p w14:paraId="2D7AAC4A" w14:textId="77777777" w:rsidR="001503DA" w:rsidRPr="00C84E96" w:rsidRDefault="001503DA" w:rsidP="00CE2FDF">
            <w:pPr>
              <w:spacing w:before="0" w:after="60" w:line="276" w:lineRule="auto"/>
              <w:rPr>
                <w:rFonts w:cs="Arial"/>
                <w:b/>
              </w:rPr>
            </w:pPr>
            <w:r w:rsidRPr="00C84E96">
              <w:rPr>
                <w:rFonts w:cs="Arial"/>
                <w:b/>
                <w:bCs/>
              </w:rPr>
              <w:t>Nurses</w:t>
            </w:r>
          </w:p>
        </w:tc>
        <w:tc>
          <w:tcPr>
            <w:tcW w:w="0" w:type="auto"/>
            <w:tcBorders>
              <w:left w:val="single" w:sz="4" w:space="0" w:color="auto"/>
            </w:tcBorders>
            <w:shd w:val="clear" w:color="auto" w:fill="B6DDE8" w:themeFill="accent5" w:themeFillTint="66"/>
            <w:noWrap/>
            <w:vAlign w:val="center"/>
          </w:tcPr>
          <w:p w14:paraId="56305EC9" w14:textId="77777777" w:rsidR="001503DA" w:rsidRPr="001503DA" w:rsidRDefault="001503DA" w:rsidP="00CE2FDF">
            <w:pPr>
              <w:spacing w:before="0" w:line="276" w:lineRule="auto"/>
              <w:jc w:val="right"/>
              <w:rPr>
                <w:rFonts w:ascii="Calibri" w:hAnsi="Calibri"/>
              </w:rPr>
            </w:pPr>
            <w:r w:rsidRPr="001503DA">
              <w:rPr>
                <w:rFonts w:ascii="Calibri" w:hAnsi="Calibri"/>
              </w:rPr>
              <w:t>461</w:t>
            </w:r>
          </w:p>
        </w:tc>
        <w:tc>
          <w:tcPr>
            <w:tcW w:w="0" w:type="auto"/>
            <w:shd w:val="clear" w:color="auto" w:fill="B6DDE8" w:themeFill="accent5" w:themeFillTint="66"/>
            <w:noWrap/>
            <w:vAlign w:val="center"/>
          </w:tcPr>
          <w:p w14:paraId="18B11EF0"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401</w:t>
            </w:r>
          </w:p>
        </w:tc>
        <w:tc>
          <w:tcPr>
            <w:tcW w:w="0" w:type="auto"/>
            <w:shd w:val="clear" w:color="auto" w:fill="B6DDE8" w:themeFill="accent5" w:themeFillTint="66"/>
            <w:noWrap/>
            <w:vAlign w:val="center"/>
          </w:tcPr>
          <w:p w14:paraId="5DFC8F76" w14:textId="77777777" w:rsidR="001503DA" w:rsidRPr="001503DA" w:rsidRDefault="001503DA" w:rsidP="00CE2FDF">
            <w:pPr>
              <w:spacing w:before="0" w:line="276" w:lineRule="auto"/>
              <w:jc w:val="right"/>
              <w:rPr>
                <w:rFonts w:ascii="Calibri" w:hAnsi="Calibri"/>
              </w:rPr>
            </w:pPr>
            <w:r w:rsidRPr="001503DA">
              <w:rPr>
                <w:rFonts w:ascii="Calibri" w:hAnsi="Calibri"/>
              </w:rPr>
              <w:t>384</w:t>
            </w:r>
          </w:p>
        </w:tc>
        <w:tc>
          <w:tcPr>
            <w:tcW w:w="0" w:type="auto"/>
            <w:shd w:val="clear" w:color="auto" w:fill="B6DDE8" w:themeFill="accent5" w:themeFillTint="66"/>
            <w:noWrap/>
            <w:vAlign w:val="center"/>
          </w:tcPr>
          <w:p w14:paraId="3D189D80"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338</w:t>
            </w:r>
          </w:p>
        </w:tc>
        <w:tc>
          <w:tcPr>
            <w:tcW w:w="0" w:type="auto"/>
            <w:shd w:val="clear" w:color="auto" w:fill="B6DDE8" w:themeFill="accent5" w:themeFillTint="66"/>
            <w:noWrap/>
            <w:vAlign w:val="center"/>
          </w:tcPr>
          <w:p w14:paraId="745F0619" w14:textId="77777777" w:rsidR="001503DA" w:rsidRPr="001503DA" w:rsidRDefault="001503DA" w:rsidP="00CE2FDF">
            <w:pPr>
              <w:spacing w:before="0" w:line="276" w:lineRule="auto"/>
              <w:jc w:val="right"/>
              <w:rPr>
                <w:rFonts w:ascii="Calibri" w:hAnsi="Calibri"/>
              </w:rPr>
            </w:pPr>
            <w:r w:rsidRPr="001503DA">
              <w:rPr>
                <w:rFonts w:ascii="Calibri" w:hAnsi="Calibri"/>
              </w:rPr>
              <w:t>623</w:t>
            </w:r>
          </w:p>
        </w:tc>
        <w:tc>
          <w:tcPr>
            <w:tcW w:w="0" w:type="auto"/>
            <w:shd w:val="clear" w:color="auto" w:fill="B6DDE8" w:themeFill="accent5" w:themeFillTint="66"/>
            <w:noWrap/>
            <w:vAlign w:val="center"/>
          </w:tcPr>
          <w:p w14:paraId="7C79DBAC"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403</w:t>
            </w:r>
          </w:p>
        </w:tc>
        <w:tc>
          <w:tcPr>
            <w:tcW w:w="0" w:type="auto"/>
            <w:shd w:val="clear" w:color="auto" w:fill="B6DDE8" w:themeFill="accent5" w:themeFillTint="66"/>
            <w:noWrap/>
            <w:vAlign w:val="center"/>
          </w:tcPr>
          <w:p w14:paraId="69ED5995" w14:textId="77777777" w:rsidR="001503DA" w:rsidRPr="001503DA" w:rsidRDefault="001503DA" w:rsidP="00CE2FDF">
            <w:pPr>
              <w:spacing w:before="0" w:line="276" w:lineRule="auto"/>
              <w:jc w:val="right"/>
              <w:rPr>
                <w:rFonts w:ascii="Calibri" w:hAnsi="Calibri"/>
              </w:rPr>
            </w:pPr>
            <w:r w:rsidRPr="001503DA">
              <w:rPr>
                <w:rFonts w:ascii="Calibri" w:hAnsi="Calibri"/>
              </w:rPr>
              <w:t>237</w:t>
            </w:r>
          </w:p>
        </w:tc>
        <w:tc>
          <w:tcPr>
            <w:tcW w:w="0" w:type="auto"/>
            <w:shd w:val="clear" w:color="auto" w:fill="B6DDE8" w:themeFill="accent5" w:themeFillTint="66"/>
            <w:noWrap/>
            <w:vAlign w:val="center"/>
          </w:tcPr>
          <w:p w14:paraId="51928BF5"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300</w:t>
            </w:r>
          </w:p>
        </w:tc>
        <w:tc>
          <w:tcPr>
            <w:tcW w:w="0" w:type="auto"/>
            <w:shd w:val="clear" w:color="auto" w:fill="B6DDE8" w:themeFill="accent5" w:themeFillTint="66"/>
            <w:noWrap/>
            <w:vAlign w:val="center"/>
          </w:tcPr>
          <w:p w14:paraId="7E10263E" w14:textId="77777777" w:rsidR="001503DA" w:rsidRPr="001503DA" w:rsidRDefault="001503DA" w:rsidP="00CE2FDF">
            <w:pPr>
              <w:spacing w:before="0" w:line="276" w:lineRule="auto"/>
              <w:jc w:val="right"/>
              <w:rPr>
                <w:rFonts w:ascii="Calibri" w:hAnsi="Calibri"/>
              </w:rPr>
            </w:pPr>
            <w:r w:rsidRPr="001503DA">
              <w:rPr>
                <w:rFonts w:ascii="Calibri" w:hAnsi="Calibri"/>
              </w:rPr>
              <w:t>359</w:t>
            </w:r>
          </w:p>
        </w:tc>
        <w:tc>
          <w:tcPr>
            <w:tcW w:w="0" w:type="auto"/>
            <w:tcBorders>
              <w:right w:val="single" w:sz="4" w:space="0" w:color="auto"/>
            </w:tcBorders>
            <w:shd w:val="clear" w:color="auto" w:fill="B6DDE8" w:themeFill="accent5" w:themeFillTint="66"/>
            <w:noWrap/>
            <w:vAlign w:val="center"/>
          </w:tcPr>
          <w:p w14:paraId="4C981C79"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374</w:t>
            </w:r>
          </w:p>
        </w:tc>
        <w:tc>
          <w:tcPr>
            <w:tcW w:w="0" w:type="auto"/>
            <w:tcBorders>
              <w:left w:val="single" w:sz="4" w:space="0" w:color="auto"/>
              <w:right w:val="single" w:sz="4" w:space="0" w:color="auto"/>
            </w:tcBorders>
            <w:shd w:val="clear" w:color="auto" w:fill="B6DDE8" w:themeFill="accent5" w:themeFillTint="66"/>
            <w:vAlign w:val="center"/>
          </w:tcPr>
          <w:p w14:paraId="028922DB"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3880</w:t>
            </w:r>
          </w:p>
        </w:tc>
        <w:tc>
          <w:tcPr>
            <w:tcW w:w="0" w:type="auto"/>
            <w:tcBorders>
              <w:left w:val="single" w:sz="4" w:space="0" w:color="auto"/>
            </w:tcBorders>
            <w:shd w:val="clear" w:color="auto" w:fill="B6DDE8" w:themeFill="accent5" w:themeFillTint="66"/>
            <w:vAlign w:val="center"/>
          </w:tcPr>
          <w:p w14:paraId="620AD751"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-19%</w:t>
            </w:r>
          </w:p>
        </w:tc>
      </w:tr>
      <w:tr w:rsidR="001503DA" w:rsidRPr="00C84E96" w14:paraId="24D49CC0" w14:textId="77777777" w:rsidTr="0005473D">
        <w:trPr>
          <w:trHeight w:val="204"/>
        </w:trPr>
        <w:tc>
          <w:tcPr>
            <w:tcW w:w="0" w:type="auto"/>
            <w:tcBorders>
              <w:right w:val="single" w:sz="4" w:space="0" w:color="auto"/>
            </w:tcBorders>
            <w:noWrap/>
            <w:hideMark/>
          </w:tcPr>
          <w:p w14:paraId="0D69CC35" w14:textId="77777777" w:rsidR="001503DA" w:rsidRPr="00C84E96" w:rsidRDefault="001503DA" w:rsidP="00CE2FDF">
            <w:pPr>
              <w:spacing w:before="0" w:after="60" w:line="276" w:lineRule="auto"/>
              <w:rPr>
                <w:rFonts w:cs="Arial"/>
                <w:b/>
              </w:rPr>
            </w:pPr>
            <w:r w:rsidRPr="00C84E96">
              <w:rPr>
                <w:rFonts w:cs="Arial"/>
                <w:b/>
                <w:bCs/>
              </w:rPr>
              <w:t>Police</w:t>
            </w:r>
          </w:p>
        </w:tc>
        <w:tc>
          <w:tcPr>
            <w:tcW w:w="0" w:type="auto"/>
            <w:tcBorders>
              <w:left w:val="single" w:sz="4" w:space="0" w:color="auto"/>
            </w:tcBorders>
            <w:shd w:val="clear" w:color="auto" w:fill="auto"/>
            <w:noWrap/>
            <w:vAlign w:val="center"/>
          </w:tcPr>
          <w:p w14:paraId="2ECBD230" w14:textId="77777777" w:rsidR="001503DA" w:rsidRPr="001503DA" w:rsidRDefault="001503DA" w:rsidP="00CE2FDF">
            <w:pPr>
              <w:spacing w:before="0" w:line="276" w:lineRule="auto"/>
              <w:jc w:val="right"/>
              <w:rPr>
                <w:rFonts w:ascii="Calibri" w:hAnsi="Calibri"/>
              </w:rPr>
            </w:pPr>
            <w:r w:rsidRPr="001503DA">
              <w:rPr>
                <w:rFonts w:ascii="Calibri" w:hAnsi="Calibri"/>
              </w:rPr>
              <w:t>1,733</w:t>
            </w:r>
          </w:p>
        </w:tc>
        <w:tc>
          <w:tcPr>
            <w:tcW w:w="0" w:type="auto"/>
            <w:shd w:val="clear" w:color="auto" w:fill="auto"/>
            <w:noWrap/>
            <w:vAlign w:val="center"/>
          </w:tcPr>
          <w:p w14:paraId="5C4B5979"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1,566</w:t>
            </w:r>
          </w:p>
        </w:tc>
        <w:tc>
          <w:tcPr>
            <w:tcW w:w="0" w:type="auto"/>
            <w:shd w:val="clear" w:color="auto" w:fill="auto"/>
            <w:noWrap/>
            <w:vAlign w:val="center"/>
          </w:tcPr>
          <w:p w14:paraId="51B44F39" w14:textId="77777777" w:rsidR="001503DA" w:rsidRPr="001503DA" w:rsidRDefault="001503DA" w:rsidP="00CE2FDF">
            <w:pPr>
              <w:spacing w:before="0" w:line="276" w:lineRule="auto"/>
              <w:jc w:val="right"/>
              <w:rPr>
                <w:rFonts w:ascii="Calibri" w:hAnsi="Calibri"/>
              </w:rPr>
            </w:pPr>
            <w:r w:rsidRPr="001503DA">
              <w:rPr>
                <w:rFonts w:ascii="Calibri" w:hAnsi="Calibri"/>
              </w:rPr>
              <w:t>1,580</w:t>
            </w:r>
          </w:p>
        </w:tc>
        <w:tc>
          <w:tcPr>
            <w:tcW w:w="0" w:type="auto"/>
            <w:shd w:val="clear" w:color="auto" w:fill="auto"/>
            <w:noWrap/>
            <w:vAlign w:val="center"/>
          </w:tcPr>
          <w:p w14:paraId="0D501680"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1,433</w:t>
            </w:r>
          </w:p>
        </w:tc>
        <w:tc>
          <w:tcPr>
            <w:tcW w:w="0" w:type="auto"/>
            <w:shd w:val="clear" w:color="auto" w:fill="auto"/>
            <w:noWrap/>
            <w:vAlign w:val="center"/>
          </w:tcPr>
          <w:p w14:paraId="547BE957" w14:textId="77777777" w:rsidR="001503DA" w:rsidRPr="001503DA" w:rsidRDefault="001503DA" w:rsidP="00CE2FDF">
            <w:pPr>
              <w:spacing w:before="0" w:line="276" w:lineRule="auto"/>
              <w:jc w:val="right"/>
              <w:rPr>
                <w:rFonts w:ascii="Calibri" w:hAnsi="Calibri"/>
              </w:rPr>
            </w:pPr>
            <w:r w:rsidRPr="001503DA">
              <w:rPr>
                <w:rFonts w:ascii="Calibri" w:hAnsi="Calibri"/>
              </w:rPr>
              <w:t>2,432</w:t>
            </w:r>
          </w:p>
        </w:tc>
        <w:tc>
          <w:tcPr>
            <w:tcW w:w="0" w:type="auto"/>
            <w:shd w:val="clear" w:color="auto" w:fill="auto"/>
            <w:noWrap/>
            <w:vAlign w:val="center"/>
          </w:tcPr>
          <w:p w14:paraId="30B39B54"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1,275</w:t>
            </w:r>
          </w:p>
        </w:tc>
        <w:tc>
          <w:tcPr>
            <w:tcW w:w="0" w:type="auto"/>
            <w:shd w:val="clear" w:color="auto" w:fill="auto"/>
            <w:noWrap/>
            <w:vAlign w:val="center"/>
          </w:tcPr>
          <w:p w14:paraId="755AAE7E" w14:textId="77777777" w:rsidR="001503DA" w:rsidRPr="001503DA" w:rsidRDefault="001503DA" w:rsidP="00CE2FDF">
            <w:pPr>
              <w:spacing w:before="0" w:line="276" w:lineRule="auto"/>
              <w:jc w:val="right"/>
              <w:rPr>
                <w:rFonts w:ascii="Calibri" w:hAnsi="Calibri"/>
              </w:rPr>
            </w:pPr>
            <w:r w:rsidRPr="001503DA">
              <w:rPr>
                <w:rFonts w:ascii="Calibri" w:hAnsi="Calibri"/>
              </w:rPr>
              <w:t>507</w:t>
            </w:r>
          </w:p>
        </w:tc>
        <w:tc>
          <w:tcPr>
            <w:tcW w:w="0" w:type="auto"/>
            <w:shd w:val="clear" w:color="auto" w:fill="auto"/>
            <w:noWrap/>
            <w:vAlign w:val="center"/>
          </w:tcPr>
          <w:p w14:paraId="32E514D4"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588</w:t>
            </w:r>
          </w:p>
        </w:tc>
        <w:tc>
          <w:tcPr>
            <w:tcW w:w="0" w:type="auto"/>
            <w:shd w:val="clear" w:color="auto" w:fill="auto"/>
            <w:noWrap/>
            <w:vAlign w:val="center"/>
          </w:tcPr>
          <w:p w14:paraId="195CE900" w14:textId="77777777" w:rsidR="001503DA" w:rsidRPr="001503DA" w:rsidRDefault="001503DA" w:rsidP="00CE2FDF">
            <w:pPr>
              <w:spacing w:before="0" w:line="276" w:lineRule="auto"/>
              <w:jc w:val="right"/>
              <w:rPr>
                <w:rFonts w:ascii="Calibri" w:hAnsi="Calibri"/>
              </w:rPr>
            </w:pPr>
            <w:r w:rsidRPr="001503DA">
              <w:rPr>
                <w:rFonts w:ascii="Calibri" w:hAnsi="Calibri"/>
              </w:rPr>
              <w:t>750</w:t>
            </w:r>
          </w:p>
        </w:tc>
        <w:tc>
          <w:tcPr>
            <w:tcW w:w="0" w:type="auto"/>
            <w:tcBorders>
              <w:right w:val="single" w:sz="4" w:space="0" w:color="auto"/>
            </w:tcBorders>
            <w:shd w:val="clear" w:color="auto" w:fill="auto"/>
            <w:noWrap/>
            <w:vAlign w:val="center"/>
          </w:tcPr>
          <w:p w14:paraId="1C6372A1"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621</w:t>
            </w:r>
          </w:p>
        </w:tc>
        <w:tc>
          <w:tcPr>
            <w:tcW w:w="0" w:type="auto"/>
            <w:tcBorders>
              <w:left w:val="single" w:sz="4" w:space="0" w:color="auto"/>
              <w:right w:val="single" w:sz="4" w:space="0" w:color="auto"/>
            </w:tcBorders>
            <w:shd w:val="clear" w:color="auto" w:fill="auto"/>
            <w:vAlign w:val="center"/>
          </w:tcPr>
          <w:p w14:paraId="2E3144DC"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12,485</w:t>
            </w:r>
          </w:p>
        </w:tc>
        <w:tc>
          <w:tcPr>
            <w:tcW w:w="0" w:type="auto"/>
            <w:tcBorders>
              <w:left w:val="single" w:sz="4" w:space="0" w:color="auto"/>
            </w:tcBorders>
            <w:shd w:val="clear" w:color="auto" w:fill="auto"/>
            <w:vAlign w:val="center"/>
          </w:tcPr>
          <w:p w14:paraId="332B7281"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-64%</w:t>
            </w:r>
          </w:p>
        </w:tc>
      </w:tr>
      <w:tr w:rsidR="001503DA" w:rsidRPr="00C84E96" w14:paraId="42505BBC" w14:textId="77777777" w:rsidTr="0005473D">
        <w:trPr>
          <w:trHeight w:val="204"/>
        </w:trPr>
        <w:tc>
          <w:tcPr>
            <w:tcW w:w="0" w:type="auto"/>
            <w:tcBorders>
              <w:right w:val="single" w:sz="4" w:space="0" w:color="auto"/>
            </w:tcBorders>
            <w:shd w:val="clear" w:color="auto" w:fill="B6DDE8" w:themeFill="accent5" w:themeFillTint="66"/>
            <w:noWrap/>
            <w:hideMark/>
          </w:tcPr>
          <w:p w14:paraId="0B8E3C15" w14:textId="77777777" w:rsidR="001503DA" w:rsidRPr="00C84E96" w:rsidRDefault="001503DA" w:rsidP="00CE2FDF">
            <w:pPr>
              <w:spacing w:before="0" w:after="60" w:line="276" w:lineRule="auto"/>
              <w:rPr>
                <w:rFonts w:cs="Arial"/>
                <w:b/>
              </w:rPr>
            </w:pPr>
            <w:r>
              <w:rPr>
                <w:rFonts w:cs="Arial"/>
                <w:b/>
                <w:bCs/>
              </w:rPr>
              <w:t>School personnel</w:t>
            </w:r>
          </w:p>
        </w:tc>
        <w:tc>
          <w:tcPr>
            <w:tcW w:w="0" w:type="auto"/>
            <w:tcBorders>
              <w:left w:val="single" w:sz="4" w:space="0" w:color="auto"/>
            </w:tcBorders>
            <w:shd w:val="clear" w:color="auto" w:fill="B6DDE8" w:themeFill="accent5" w:themeFillTint="66"/>
            <w:noWrap/>
            <w:vAlign w:val="center"/>
          </w:tcPr>
          <w:p w14:paraId="6AA3AC4C" w14:textId="77777777" w:rsidR="001503DA" w:rsidRPr="001503DA" w:rsidRDefault="001503DA" w:rsidP="00CE2FDF">
            <w:pPr>
              <w:spacing w:before="0" w:line="276" w:lineRule="auto"/>
              <w:jc w:val="right"/>
              <w:rPr>
                <w:rFonts w:ascii="Calibri" w:hAnsi="Calibri"/>
              </w:rPr>
            </w:pPr>
            <w:r w:rsidRPr="001503DA">
              <w:rPr>
                <w:rFonts w:ascii="Calibri" w:hAnsi="Calibri"/>
              </w:rPr>
              <w:t>857</w:t>
            </w:r>
          </w:p>
        </w:tc>
        <w:tc>
          <w:tcPr>
            <w:tcW w:w="0" w:type="auto"/>
            <w:shd w:val="clear" w:color="auto" w:fill="B6DDE8" w:themeFill="accent5" w:themeFillTint="66"/>
            <w:noWrap/>
            <w:vAlign w:val="center"/>
          </w:tcPr>
          <w:p w14:paraId="2415C211"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883</w:t>
            </w:r>
          </w:p>
        </w:tc>
        <w:tc>
          <w:tcPr>
            <w:tcW w:w="0" w:type="auto"/>
            <w:shd w:val="clear" w:color="auto" w:fill="B6DDE8" w:themeFill="accent5" w:themeFillTint="66"/>
            <w:noWrap/>
            <w:vAlign w:val="center"/>
          </w:tcPr>
          <w:p w14:paraId="71C2D393" w14:textId="77777777" w:rsidR="001503DA" w:rsidRPr="001503DA" w:rsidRDefault="001503DA" w:rsidP="00CE2FDF">
            <w:pPr>
              <w:spacing w:before="0" w:line="276" w:lineRule="auto"/>
              <w:jc w:val="right"/>
              <w:rPr>
                <w:rFonts w:ascii="Calibri" w:hAnsi="Calibri"/>
              </w:rPr>
            </w:pPr>
            <w:r w:rsidRPr="001503DA">
              <w:rPr>
                <w:rFonts w:ascii="Calibri" w:hAnsi="Calibri"/>
              </w:rPr>
              <w:t>851</w:t>
            </w:r>
          </w:p>
        </w:tc>
        <w:tc>
          <w:tcPr>
            <w:tcW w:w="0" w:type="auto"/>
            <w:shd w:val="clear" w:color="auto" w:fill="B6DDE8" w:themeFill="accent5" w:themeFillTint="66"/>
            <w:noWrap/>
            <w:vAlign w:val="center"/>
          </w:tcPr>
          <w:p w14:paraId="5A3BA097"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677</w:t>
            </w:r>
          </w:p>
        </w:tc>
        <w:tc>
          <w:tcPr>
            <w:tcW w:w="0" w:type="auto"/>
            <w:shd w:val="clear" w:color="auto" w:fill="B6DDE8" w:themeFill="accent5" w:themeFillTint="66"/>
            <w:noWrap/>
            <w:vAlign w:val="center"/>
          </w:tcPr>
          <w:p w14:paraId="3C8CBA2A" w14:textId="77777777" w:rsidR="001503DA" w:rsidRPr="001503DA" w:rsidRDefault="001503DA" w:rsidP="00CE2FDF">
            <w:pPr>
              <w:spacing w:before="0" w:line="276" w:lineRule="auto"/>
              <w:jc w:val="right"/>
              <w:rPr>
                <w:rFonts w:ascii="Calibri" w:hAnsi="Calibri"/>
              </w:rPr>
            </w:pPr>
            <w:r w:rsidRPr="001503DA">
              <w:rPr>
                <w:rFonts w:ascii="Calibri" w:hAnsi="Calibri"/>
              </w:rPr>
              <w:t>1,346</w:t>
            </w:r>
          </w:p>
        </w:tc>
        <w:tc>
          <w:tcPr>
            <w:tcW w:w="0" w:type="auto"/>
            <w:shd w:val="clear" w:color="auto" w:fill="B6DDE8" w:themeFill="accent5" w:themeFillTint="66"/>
            <w:noWrap/>
            <w:vAlign w:val="center"/>
          </w:tcPr>
          <w:p w14:paraId="7DCEBA04"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824</w:t>
            </w:r>
          </w:p>
        </w:tc>
        <w:tc>
          <w:tcPr>
            <w:tcW w:w="0" w:type="auto"/>
            <w:shd w:val="clear" w:color="auto" w:fill="B6DDE8" w:themeFill="accent5" w:themeFillTint="66"/>
            <w:noWrap/>
            <w:vAlign w:val="center"/>
          </w:tcPr>
          <w:p w14:paraId="7EC326B5" w14:textId="77777777" w:rsidR="001503DA" w:rsidRPr="001503DA" w:rsidRDefault="001503DA" w:rsidP="00CE2FDF">
            <w:pPr>
              <w:spacing w:before="0" w:line="276" w:lineRule="auto"/>
              <w:jc w:val="right"/>
              <w:rPr>
                <w:rFonts w:ascii="Calibri" w:hAnsi="Calibri"/>
              </w:rPr>
            </w:pPr>
            <w:r w:rsidRPr="001503DA">
              <w:rPr>
                <w:rFonts w:ascii="Calibri" w:hAnsi="Calibri"/>
              </w:rPr>
              <w:t>534</w:t>
            </w:r>
          </w:p>
        </w:tc>
        <w:tc>
          <w:tcPr>
            <w:tcW w:w="0" w:type="auto"/>
            <w:shd w:val="clear" w:color="auto" w:fill="B6DDE8" w:themeFill="accent5" w:themeFillTint="66"/>
            <w:noWrap/>
            <w:vAlign w:val="center"/>
          </w:tcPr>
          <w:p w14:paraId="1FB0E651"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507</w:t>
            </w:r>
          </w:p>
        </w:tc>
        <w:tc>
          <w:tcPr>
            <w:tcW w:w="0" w:type="auto"/>
            <w:shd w:val="clear" w:color="auto" w:fill="B6DDE8" w:themeFill="accent5" w:themeFillTint="66"/>
            <w:noWrap/>
            <w:vAlign w:val="center"/>
          </w:tcPr>
          <w:p w14:paraId="60806EF1" w14:textId="77777777" w:rsidR="001503DA" w:rsidRPr="001503DA" w:rsidRDefault="001503DA" w:rsidP="00CE2FDF">
            <w:pPr>
              <w:spacing w:before="0" w:line="276" w:lineRule="auto"/>
              <w:jc w:val="right"/>
              <w:rPr>
                <w:rFonts w:ascii="Calibri" w:hAnsi="Calibri"/>
              </w:rPr>
            </w:pPr>
            <w:r w:rsidRPr="001503DA">
              <w:rPr>
                <w:rFonts w:ascii="Calibri" w:hAnsi="Calibri"/>
              </w:rPr>
              <w:t>653</w:t>
            </w:r>
          </w:p>
        </w:tc>
        <w:tc>
          <w:tcPr>
            <w:tcW w:w="0" w:type="auto"/>
            <w:tcBorders>
              <w:right w:val="single" w:sz="4" w:space="0" w:color="auto"/>
            </w:tcBorders>
            <w:shd w:val="clear" w:color="auto" w:fill="B6DDE8" w:themeFill="accent5" w:themeFillTint="66"/>
            <w:noWrap/>
            <w:vAlign w:val="center"/>
          </w:tcPr>
          <w:p w14:paraId="3A2CF243"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534</w:t>
            </w:r>
          </w:p>
        </w:tc>
        <w:tc>
          <w:tcPr>
            <w:tcW w:w="0" w:type="auto"/>
            <w:tcBorders>
              <w:left w:val="single" w:sz="4" w:space="0" w:color="auto"/>
              <w:right w:val="single" w:sz="4" w:space="0" w:color="auto"/>
            </w:tcBorders>
            <w:shd w:val="clear" w:color="auto" w:fill="B6DDE8" w:themeFill="accent5" w:themeFillTint="66"/>
            <w:vAlign w:val="center"/>
          </w:tcPr>
          <w:p w14:paraId="6956BE97"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7666</w:t>
            </w:r>
          </w:p>
        </w:tc>
        <w:tc>
          <w:tcPr>
            <w:tcW w:w="0" w:type="auto"/>
            <w:tcBorders>
              <w:left w:val="single" w:sz="4" w:space="0" w:color="auto"/>
            </w:tcBorders>
            <w:shd w:val="clear" w:color="auto" w:fill="B6DDE8" w:themeFill="accent5" w:themeFillTint="66"/>
            <w:vAlign w:val="center"/>
          </w:tcPr>
          <w:p w14:paraId="3FDAA748"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-38%</w:t>
            </w:r>
          </w:p>
        </w:tc>
      </w:tr>
      <w:tr w:rsidR="001503DA" w:rsidRPr="00C84E96" w14:paraId="614BED7C" w14:textId="77777777" w:rsidTr="0005473D">
        <w:trPr>
          <w:trHeight w:val="204"/>
        </w:trPr>
        <w:tc>
          <w:tcPr>
            <w:tcW w:w="0" w:type="auto"/>
            <w:tcBorders>
              <w:right w:val="single" w:sz="4" w:space="0" w:color="auto"/>
            </w:tcBorders>
            <w:shd w:val="clear" w:color="auto" w:fill="auto"/>
            <w:noWrap/>
            <w:hideMark/>
          </w:tcPr>
          <w:p w14:paraId="1FDC0853" w14:textId="77777777" w:rsidR="001503DA" w:rsidRPr="00C84E96" w:rsidRDefault="001503DA" w:rsidP="00CE2FDF">
            <w:pPr>
              <w:spacing w:before="0" w:after="60" w:line="276" w:lineRule="auto"/>
              <w:rPr>
                <w:rFonts w:cs="Arial"/>
                <w:b/>
              </w:rPr>
            </w:pPr>
            <w:r w:rsidRPr="00C84E96">
              <w:rPr>
                <w:rFonts w:cs="Arial"/>
                <w:b/>
                <w:bCs/>
              </w:rPr>
              <w:t>Psychiatrists</w:t>
            </w:r>
          </w:p>
        </w:tc>
        <w:tc>
          <w:tcPr>
            <w:tcW w:w="0" w:type="auto"/>
            <w:tcBorders>
              <w:left w:val="single" w:sz="4" w:space="0" w:color="auto"/>
            </w:tcBorders>
            <w:shd w:val="clear" w:color="auto" w:fill="auto"/>
            <w:noWrap/>
            <w:vAlign w:val="center"/>
          </w:tcPr>
          <w:p w14:paraId="57382780" w14:textId="77777777" w:rsidR="001503DA" w:rsidRPr="001503DA" w:rsidRDefault="001503DA" w:rsidP="00CE2FDF">
            <w:pPr>
              <w:spacing w:before="0" w:line="276" w:lineRule="auto"/>
              <w:jc w:val="right"/>
              <w:rPr>
                <w:rFonts w:ascii="Calibri" w:hAnsi="Calibri"/>
              </w:rPr>
            </w:pPr>
            <w:r w:rsidRPr="001503DA">
              <w:rPr>
                <w:rFonts w:ascii="Calibri" w:hAnsi="Calibri"/>
              </w:rPr>
              <w:t>23</w:t>
            </w:r>
          </w:p>
        </w:tc>
        <w:tc>
          <w:tcPr>
            <w:tcW w:w="0" w:type="auto"/>
            <w:shd w:val="clear" w:color="auto" w:fill="auto"/>
            <w:noWrap/>
            <w:vAlign w:val="center"/>
          </w:tcPr>
          <w:p w14:paraId="2050410E"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23</w:t>
            </w:r>
          </w:p>
        </w:tc>
        <w:tc>
          <w:tcPr>
            <w:tcW w:w="0" w:type="auto"/>
            <w:shd w:val="clear" w:color="auto" w:fill="auto"/>
            <w:noWrap/>
            <w:vAlign w:val="center"/>
          </w:tcPr>
          <w:p w14:paraId="41DC6A9C" w14:textId="77777777" w:rsidR="001503DA" w:rsidRPr="001503DA" w:rsidRDefault="001503DA" w:rsidP="00CE2FDF">
            <w:pPr>
              <w:spacing w:before="0" w:line="276" w:lineRule="auto"/>
              <w:jc w:val="right"/>
              <w:rPr>
                <w:rFonts w:ascii="Calibri" w:hAnsi="Calibri"/>
              </w:rPr>
            </w:pPr>
            <w:r w:rsidRPr="001503DA">
              <w:rPr>
                <w:rFonts w:ascii="Calibri" w:hAnsi="Calibri"/>
              </w:rPr>
              <w:t>29</w:t>
            </w:r>
          </w:p>
        </w:tc>
        <w:tc>
          <w:tcPr>
            <w:tcW w:w="0" w:type="auto"/>
            <w:shd w:val="clear" w:color="auto" w:fill="auto"/>
            <w:noWrap/>
            <w:vAlign w:val="center"/>
          </w:tcPr>
          <w:p w14:paraId="3FF2C92D"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27</w:t>
            </w:r>
          </w:p>
        </w:tc>
        <w:tc>
          <w:tcPr>
            <w:tcW w:w="0" w:type="auto"/>
            <w:shd w:val="clear" w:color="auto" w:fill="auto"/>
            <w:noWrap/>
            <w:vAlign w:val="center"/>
          </w:tcPr>
          <w:p w14:paraId="601C8967" w14:textId="77777777" w:rsidR="001503DA" w:rsidRPr="001503DA" w:rsidRDefault="001503DA" w:rsidP="00CE2FDF">
            <w:pPr>
              <w:spacing w:before="0" w:line="276" w:lineRule="auto"/>
              <w:jc w:val="right"/>
              <w:rPr>
                <w:rFonts w:ascii="Calibri" w:hAnsi="Calibri"/>
              </w:rPr>
            </w:pPr>
            <w:r w:rsidRPr="001503DA">
              <w:rPr>
                <w:rFonts w:ascii="Calibri" w:hAnsi="Calibri"/>
              </w:rPr>
              <w:t>52</w:t>
            </w:r>
          </w:p>
        </w:tc>
        <w:tc>
          <w:tcPr>
            <w:tcW w:w="0" w:type="auto"/>
            <w:shd w:val="clear" w:color="auto" w:fill="auto"/>
            <w:noWrap/>
            <w:vAlign w:val="center"/>
          </w:tcPr>
          <w:p w14:paraId="41D02E40"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35</w:t>
            </w:r>
          </w:p>
        </w:tc>
        <w:tc>
          <w:tcPr>
            <w:tcW w:w="0" w:type="auto"/>
            <w:shd w:val="clear" w:color="auto" w:fill="auto"/>
            <w:noWrap/>
            <w:vAlign w:val="center"/>
          </w:tcPr>
          <w:p w14:paraId="6A8B346D" w14:textId="77777777" w:rsidR="001503DA" w:rsidRPr="001503DA" w:rsidRDefault="001503DA" w:rsidP="00CE2FDF">
            <w:pPr>
              <w:spacing w:before="0" w:line="276" w:lineRule="auto"/>
              <w:jc w:val="right"/>
              <w:rPr>
                <w:rFonts w:ascii="Calibri" w:hAnsi="Calibri"/>
              </w:rPr>
            </w:pPr>
            <w:r w:rsidRPr="001503DA">
              <w:rPr>
                <w:rFonts w:ascii="Calibri" w:hAnsi="Calibri"/>
              </w:rPr>
              <w:t>14</w:t>
            </w:r>
          </w:p>
        </w:tc>
        <w:tc>
          <w:tcPr>
            <w:tcW w:w="0" w:type="auto"/>
            <w:shd w:val="clear" w:color="auto" w:fill="auto"/>
            <w:noWrap/>
            <w:vAlign w:val="center"/>
          </w:tcPr>
          <w:p w14:paraId="79671801"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18</w:t>
            </w:r>
          </w:p>
        </w:tc>
        <w:tc>
          <w:tcPr>
            <w:tcW w:w="0" w:type="auto"/>
            <w:shd w:val="clear" w:color="auto" w:fill="auto"/>
            <w:noWrap/>
            <w:vAlign w:val="center"/>
          </w:tcPr>
          <w:p w14:paraId="0310D979" w14:textId="77777777" w:rsidR="001503DA" w:rsidRPr="001503DA" w:rsidRDefault="001503DA" w:rsidP="00CE2FDF">
            <w:pPr>
              <w:spacing w:before="0" w:line="276" w:lineRule="auto"/>
              <w:jc w:val="right"/>
              <w:rPr>
                <w:rFonts w:ascii="Calibri" w:hAnsi="Calibri"/>
              </w:rPr>
            </w:pPr>
            <w:r w:rsidRPr="001503DA">
              <w:rPr>
                <w:rFonts w:ascii="Calibri" w:hAnsi="Calibri"/>
              </w:rPr>
              <w:t>11</w:t>
            </w:r>
          </w:p>
        </w:tc>
        <w:tc>
          <w:tcPr>
            <w:tcW w:w="0" w:type="auto"/>
            <w:tcBorders>
              <w:right w:val="single" w:sz="4" w:space="0" w:color="auto"/>
            </w:tcBorders>
            <w:shd w:val="clear" w:color="auto" w:fill="auto"/>
            <w:noWrap/>
            <w:vAlign w:val="center"/>
          </w:tcPr>
          <w:p w14:paraId="3873BB38"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14</w:t>
            </w:r>
          </w:p>
        </w:tc>
        <w:tc>
          <w:tcPr>
            <w:tcW w:w="0" w:type="auto"/>
            <w:tcBorders>
              <w:left w:val="single" w:sz="4" w:space="0" w:color="auto"/>
              <w:right w:val="single" w:sz="4" w:space="0" w:color="auto"/>
            </w:tcBorders>
            <w:shd w:val="clear" w:color="auto" w:fill="auto"/>
            <w:vAlign w:val="center"/>
          </w:tcPr>
          <w:p w14:paraId="4AE21907"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246</w:t>
            </w:r>
          </w:p>
        </w:tc>
        <w:tc>
          <w:tcPr>
            <w:tcW w:w="0" w:type="auto"/>
            <w:tcBorders>
              <w:left w:val="single" w:sz="4" w:space="0" w:color="auto"/>
            </w:tcBorders>
            <w:shd w:val="clear" w:color="auto" w:fill="auto"/>
            <w:vAlign w:val="center"/>
          </w:tcPr>
          <w:p w14:paraId="5EE70F89"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-39%</w:t>
            </w:r>
          </w:p>
        </w:tc>
      </w:tr>
      <w:tr w:rsidR="001503DA" w:rsidRPr="00C84E96" w14:paraId="3F626D64" w14:textId="77777777" w:rsidTr="0005473D">
        <w:trPr>
          <w:trHeight w:val="204"/>
        </w:trPr>
        <w:tc>
          <w:tcPr>
            <w:tcW w:w="0" w:type="auto"/>
            <w:tcBorders>
              <w:bottom w:val="nil"/>
              <w:right w:val="single" w:sz="4" w:space="0" w:color="auto"/>
            </w:tcBorders>
            <w:shd w:val="clear" w:color="auto" w:fill="B6DDE8" w:themeFill="accent5" w:themeFillTint="66"/>
            <w:noWrap/>
            <w:vAlign w:val="center"/>
            <w:hideMark/>
          </w:tcPr>
          <w:p w14:paraId="38E28B69" w14:textId="77777777" w:rsidR="001503DA" w:rsidRPr="00B25795" w:rsidRDefault="001503DA" w:rsidP="00CE2FDF">
            <w:pPr>
              <w:tabs>
                <w:tab w:val="left" w:pos="1134"/>
              </w:tabs>
              <w:spacing w:before="0" w:line="276" w:lineRule="auto"/>
              <w:rPr>
                <w:rFonts w:ascii="Calibri" w:hAnsi="Calibri" w:cs="Arial"/>
                <w:b/>
                <w:bCs/>
                <w:color w:val="000000"/>
              </w:rPr>
            </w:pPr>
            <w:r w:rsidRPr="00B25795">
              <w:rPr>
                <w:rFonts w:ascii="Calibri" w:hAnsi="Calibri" w:cs="Arial"/>
                <w:b/>
                <w:bCs/>
                <w:color w:val="000000"/>
              </w:rPr>
              <w:t>Major mandated reporter groups combined</w:t>
            </w:r>
          </w:p>
        </w:tc>
        <w:tc>
          <w:tcPr>
            <w:tcW w:w="0" w:type="auto"/>
            <w:tcBorders>
              <w:left w:val="single" w:sz="4" w:space="0" w:color="auto"/>
              <w:bottom w:val="nil"/>
            </w:tcBorders>
            <w:shd w:val="clear" w:color="auto" w:fill="B6DDE8" w:themeFill="accent5" w:themeFillTint="66"/>
            <w:noWrap/>
            <w:vAlign w:val="center"/>
          </w:tcPr>
          <w:p w14:paraId="660AFB0E" w14:textId="77777777" w:rsidR="001503DA" w:rsidRPr="001503DA" w:rsidRDefault="001503DA" w:rsidP="00CE2FDF">
            <w:pPr>
              <w:spacing w:before="0" w:line="276" w:lineRule="auto"/>
              <w:jc w:val="right"/>
              <w:rPr>
                <w:rFonts w:ascii="Calibri" w:hAnsi="Calibri"/>
              </w:rPr>
            </w:pPr>
            <w:r w:rsidRPr="001503DA">
              <w:rPr>
                <w:rFonts w:ascii="Calibri" w:hAnsi="Calibri"/>
              </w:rPr>
              <w:t>3,276</w:t>
            </w:r>
          </w:p>
        </w:tc>
        <w:tc>
          <w:tcPr>
            <w:tcW w:w="0" w:type="auto"/>
            <w:tcBorders>
              <w:bottom w:val="nil"/>
            </w:tcBorders>
            <w:shd w:val="clear" w:color="auto" w:fill="B6DDE8" w:themeFill="accent5" w:themeFillTint="66"/>
            <w:noWrap/>
            <w:vAlign w:val="center"/>
          </w:tcPr>
          <w:p w14:paraId="4E4E45F7"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3,048</w:t>
            </w:r>
          </w:p>
        </w:tc>
        <w:tc>
          <w:tcPr>
            <w:tcW w:w="0" w:type="auto"/>
            <w:tcBorders>
              <w:bottom w:val="nil"/>
            </w:tcBorders>
            <w:shd w:val="clear" w:color="auto" w:fill="B6DDE8" w:themeFill="accent5" w:themeFillTint="66"/>
            <w:noWrap/>
            <w:vAlign w:val="center"/>
          </w:tcPr>
          <w:p w14:paraId="2BDEF491" w14:textId="77777777" w:rsidR="001503DA" w:rsidRPr="001503DA" w:rsidRDefault="001503DA" w:rsidP="00CE2FDF">
            <w:pPr>
              <w:spacing w:before="0" w:line="276" w:lineRule="auto"/>
              <w:jc w:val="right"/>
              <w:rPr>
                <w:rFonts w:ascii="Calibri" w:hAnsi="Calibri"/>
              </w:rPr>
            </w:pPr>
            <w:r w:rsidRPr="001503DA">
              <w:rPr>
                <w:rFonts w:ascii="Calibri" w:hAnsi="Calibri"/>
              </w:rPr>
              <w:t>3,021</w:t>
            </w:r>
          </w:p>
        </w:tc>
        <w:tc>
          <w:tcPr>
            <w:tcW w:w="0" w:type="auto"/>
            <w:tcBorders>
              <w:bottom w:val="nil"/>
            </w:tcBorders>
            <w:shd w:val="clear" w:color="auto" w:fill="B6DDE8" w:themeFill="accent5" w:themeFillTint="66"/>
            <w:noWrap/>
            <w:vAlign w:val="center"/>
          </w:tcPr>
          <w:p w14:paraId="23591E5E"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2,648</w:t>
            </w:r>
          </w:p>
        </w:tc>
        <w:tc>
          <w:tcPr>
            <w:tcW w:w="0" w:type="auto"/>
            <w:tcBorders>
              <w:bottom w:val="nil"/>
            </w:tcBorders>
            <w:shd w:val="clear" w:color="auto" w:fill="B6DDE8" w:themeFill="accent5" w:themeFillTint="66"/>
            <w:noWrap/>
            <w:vAlign w:val="center"/>
          </w:tcPr>
          <w:p w14:paraId="2CEEBEC3" w14:textId="77777777" w:rsidR="001503DA" w:rsidRPr="001503DA" w:rsidRDefault="001503DA" w:rsidP="00CE2FDF">
            <w:pPr>
              <w:spacing w:before="0" w:line="276" w:lineRule="auto"/>
              <w:jc w:val="right"/>
              <w:rPr>
                <w:rFonts w:ascii="Calibri" w:hAnsi="Calibri"/>
              </w:rPr>
            </w:pPr>
            <w:r w:rsidRPr="001503DA">
              <w:rPr>
                <w:rFonts w:ascii="Calibri" w:hAnsi="Calibri"/>
              </w:rPr>
              <w:t>4,773</w:t>
            </w:r>
          </w:p>
        </w:tc>
        <w:tc>
          <w:tcPr>
            <w:tcW w:w="0" w:type="auto"/>
            <w:tcBorders>
              <w:bottom w:val="nil"/>
            </w:tcBorders>
            <w:shd w:val="clear" w:color="auto" w:fill="B6DDE8" w:themeFill="accent5" w:themeFillTint="66"/>
            <w:noWrap/>
            <w:vAlign w:val="center"/>
          </w:tcPr>
          <w:p w14:paraId="5E1904AC"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2,752</w:t>
            </w:r>
          </w:p>
        </w:tc>
        <w:tc>
          <w:tcPr>
            <w:tcW w:w="0" w:type="auto"/>
            <w:tcBorders>
              <w:bottom w:val="nil"/>
            </w:tcBorders>
            <w:shd w:val="clear" w:color="auto" w:fill="B6DDE8" w:themeFill="accent5" w:themeFillTint="66"/>
            <w:noWrap/>
            <w:vAlign w:val="center"/>
          </w:tcPr>
          <w:p w14:paraId="00D51F6B" w14:textId="77777777" w:rsidR="001503DA" w:rsidRPr="001503DA" w:rsidRDefault="001503DA" w:rsidP="00CE2FDF">
            <w:pPr>
              <w:spacing w:before="0" w:line="276" w:lineRule="auto"/>
              <w:jc w:val="right"/>
              <w:rPr>
                <w:rFonts w:ascii="Calibri" w:hAnsi="Calibri"/>
              </w:rPr>
            </w:pPr>
            <w:r w:rsidRPr="001503DA">
              <w:rPr>
                <w:rFonts w:ascii="Calibri" w:hAnsi="Calibri"/>
              </w:rPr>
              <w:t>1,424</w:t>
            </w:r>
          </w:p>
        </w:tc>
        <w:tc>
          <w:tcPr>
            <w:tcW w:w="0" w:type="auto"/>
            <w:tcBorders>
              <w:bottom w:val="nil"/>
            </w:tcBorders>
            <w:shd w:val="clear" w:color="auto" w:fill="B6DDE8" w:themeFill="accent5" w:themeFillTint="66"/>
            <w:noWrap/>
            <w:vAlign w:val="center"/>
          </w:tcPr>
          <w:p w14:paraId="0B22F2B0"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1,580</w:t>
            </w:r>
          </w:p>
        </w:tc>
        <w:tc>
          <w:tcPr>
            <w:tcW w:w="0" w:type="auto"/>
            <w:tcBorders>
              <w:bottom w:val="nil"/>
            </w:tcBorders>
            <w:shd w:val="clear" w:color="auto" w:fill="B6DDE8" w:themeFill="accent5" w:themeFillTint="66"/>
            <w:noWrap/>
            <w:vAlign w:val="center"/>
          </w:tcPr>
          <w:p w14:paraId="56C500DC" w14:textId="77777777" w:rsidR="001503DA" w:rsidRPr="001503DA" w:rsidRDefault="001503DA" w:rsidP="00CE2FDF">
            <w:pPr>
              <w:spacing w:before="0" w:line="276" w:lineRule="auto"/>
              <w:jc w:val="right"/>
              <w:rPr>
                <w:rFonts w:ascii="Calibri" w:hAnsi="Calibri"/>
              </w:rPr>
            </w:pPr>
            <w:r w:rsidRPr="001503DA">
              <w:rPr>
                <w:rFonts w:ascii="Calibri" w:hAnsi="Calibri"/>
              </w:rPr>
              <w:t>1,942</w:t>
            </w:r>
          </w:p>
        </w:tc>
        <w:tc>
          <w:tcPr>
            <w:tcW w:w="0" w:type="auto"/>
            <w:tcBorders>
              <w:bottom w:val="nil"/>
              <w:right w:val="single" w:sz="4" w:space="0" w:color="auto"/>
            </w:tcBorders>
            <w:shd w:val="clear" w:color="auto" w:fill="B6DDE8" w:themeFill="accent5" w:themeFillTint="66"/>
            <w:noWrap/>
            <w:vAlign w:val="center"/>
          </w:tcPr>
          <w:p w14:paraId="5EBEE2BB"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1,692</w:t>
            </w:r>
          </w:p>
        </w:tc>
        <w:tc>
          <w:tcPr>
            <w:tcW w:w="0" w:type="auto"/>
            <w:tcBorders>
              <w:left w:val="single" w:sz="4" w:space="0" w:color="auto"/>
              <w:bottom w:val="nil"/>
              <w:right w:val="single" w:sz="4" w:space="0" w:color="auto"/>
            </w:tcBorders>
            <w:shd w:val="clear" w:color="auto" w:fill="B6DDE8" w:themeFill="accent5" w:themeFillTint="66"/>
            <w:vAlign w:val="center"/>
          </w:tcPr>
          <w:p w14:paraId="5C0D0A2E"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26,156</w:t>
            </w:r>
          </w:p>
        </w:tc>
        <w:tc>
          <w:tcPr>
            <w:tcW w:w="0" w:type="auto"/>
            <w:tcBorders>
              <w:left w:val="single" w:sz="4" w:space="0" w:color="auto"/>
              <w:bottom w:val="nil"/>
            </w:tcBorders>
            <w:shd w:val="clear" w:color="auto" w:fill="B6DDE8" w:themeFill="accent5" w:themeFillTint="66"/>
            <w:vAlign w:val="center"/>
          </w:tcPr>
          <w:p w14:paraId="7B4C7647"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-48%</w:t>
            </w:r>
          </w:p>
        </w:tc>
      </w:tr>
      <w:tr w:rsidR="001503DA" w:rsidRPr="00C84E96" w14:paraId="42613F58" w14:textId="77777777" w:rsidTr="0005473D">
        <w:trPr>
          <w:trHeight w:val="204"/>
        </w:trPr>
        <w:tc>
          <w:tcPr>
            <w:tcW w:w="0" w:type="auto"/>
            <w:tcBorders>
              <w:top w:val="nil"/>
              <w:bottom w:val="single" w:sz="4" w:space="0" w:color="auto"/>
              <w:right w:val="single" w:sz="4" w:space="0" w:color="auto"/>
            </w:tcBorders>
            <w:noWrap/>
            <w:vAlign w:val="center"/>
            <w:hideMark/>
          </w:tcPr>
          <w:p w14:paraId="3E0B68E0" w14:textId="77777777" w:rsidR="001503DA" w:rsidRPr="00B25795" w:rsidRDefault="001503DA" w:rsidP="00CE2FDF">
            <w:pPr>
              <w:tabs>
                <w:tab w:val="left" w:pos="1134"/>
              </w:tabs>
              <w:spacing w:before="0" w:line="276" w:lineRule="auto"/>
              <w:rPr>
                <w:rFonts w:ascii="Calibri" w:hAnsi="Calibri" w:cs="Arial"/>
                <w:b/>
                <w:bCs/>
                <w:color w:val="000000"/>
              </w:rPr>
            </w:pPr>
            <w:r w:rsidRPr="00B25795">
              <w:rPr>
                <w:rFonts w:ascii="Calibri" w:hAnsi="Calibri" w:cs="Arial"/>
                <w:b/>
                <w:bCs/>
                <w:color w:val="000000"/>
              </w:rPr>
              <w:t>Other reporter groups combined</w:t>
            </w:r>
          </w:p>
        </w:tc>
        <w:tc>
          <w:tcPr>
            <w:tcW w:w="0" w:type="auto"/>
            <w:tcBorders>
              <w:top w:val="nil"/>
              <w:left w:val="single" w:sz="4" w:space="0" w:color="auto"/>
              <w:bottom w:val="single" w:sz="4" w:space="0" w:color="auto"/>
            </w:tcBorders>
            <w:shd w:val="clear" w:color="auto" w:fill="auto"/>
            <w:noWrap/>
            <w:vAlign w:val="center"/>
          </w:tcPr>
          <w:p w14:paraId="56C32128" w14:textId="77777777" w:rsidR="001503DA" w:rsidRPr="001503DA" w:rsidRDefault="001503DA" w:rsidP="00CE2FDF">
            <w:pPr>
              <w:spacing w:before="0" w:line="276" w:lineRule="auto"/>
              <w:jc w:val="right"/>
              <w:rPr>
                <w:rFonts w:ascii="Calibri" w:hAnsi="Calibri"/>
              </w:rPr>
            </w:pPr>
            <w:r w:rsidRPr="001503DA">
              <w:rPr>
                <w:rFonts w:ascii="Calibri" w:hAnsi="Calibri"/>
              </w:rPr>
              <w:t>8,753</w:t>
            </w:r>
          </w:p>
        </w:tc>
        <w:tc>
          <w:tcPr>
            <w:tcW w:w="0" w:type="auto"/>
            <w:tcBorders>
              <w:top w:val="nil"/>
              <w:bottom w:val="single" w:sz="4" w:space="0" w:color="auto"/>
            </w:tcBorders>
            <w:shd w:val="clear" w:color="auto" w:fill="auto"/>
            <w:noWrap/>
            <w:vAlign w:val="center"/>
          </w:tcPr>
          <w:p w14:paraId="16DBD5D3"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8,654</w:t>
            </w:r>
          </w:p>
        </w:tc>
        <w:tc>
          <w:tcPr>
            <w:tcW w:w="0" w:type="auto"/>
            <w:tcBorders>
              <w:top w:val="nil"/>
              <w:bottom w:val="single" w:sz="4" w:space="0" w:color="auto"/>
            </w:tcBorders>
            <w:shd w:val="clear" w:color="auto" w:fill="auto"/>
            <w:noWrap/>
            <w:vAlign w:val="center"/>
          </w:tcPr>
          <w:p w14:paraId="0AA6AE69" w14:textId="77777777" w:rsidR="001503DA" w:rsidRPr="001503DA" w:rsidRDefault="001503DA" w:rsidP="00CE2FDF">
            <w:pPr>
              <w:spacing w:before="0" w:line="276" w:lineRule="auto"/>
              <w:jc w:val="right"/>
              <w:rPr>
                <w:rFonts w:ascii="Calibri" w:hAnsi="Calibri"/>
              </w:rPr>
            </w:pPr>
            <w:r w:rsidRPr="001503DA">
              <w:rPr>
                <w:rFonts w:ascii="Calibri" w:hAnsi="Calibri"/>
              </w:rPr>
              <w:t>8,274</w:t>
            </w:r>
          </w:p>
        </w:tc>
        <w:tc>
          <w:tcPr>
            <w:tcW w:w="0" w:type="auto"/>
            <w:tcBorders>
              <w:top w:val="nil"/>
              <w:bottom w:val="single" w:sz="4" w:space="0" w:color="auto"/>
            </w:tcBorders>
            <w:shd w:val="clear" w:color="auto" w:fill="auto"/>
            <w:noWrap/>
            <w:vAlign w:val="center"/>
          </w:tcPr>
          <w:p w14:paraId="377DB2CF"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6,977</w:t>
            </w:r>
          </w:p>
        </w:tc>
        <w:tc>
          <w:tcPr>
            <w:tcW w:w="0" w:type="auto"/>
            <w:tcBorders>
              <w:top w:val="nil"/>
              <w:bottom w:val="single" w:sz="4" w:space="0" w:color="auto"/>
            </w:tcBorders>
            <w:shd w:val="clear" w:color="auto" w:fill="auto"/>
            <w:noWrap/>
            <w:vAlign w:val="center"/>
          </w:tcPr>
          <w:p w14:paraId="6C417FAB" w14:textId="77777777" w:rsidR="001503DA" w:rsidRPr="001503DA" w:rsidRDefault="001503DA" w:rsidP="00CE2FDF">
            <w:pPr>
              <w:spacing w:before="0" w:line="276" w:lineRule="auto"/>
              <w:jc w:val="right"/>
              <w:rPr>
                <w:rFonts w:ascii="Calibri" w:hAnsi="Calibri"/>
              </w:rPr>
            </w:pPr>
            <w:r w:rsidRPr="001503DA">
              <w:rPr>
                <w:rFonts w:ascii="Calibri" w:hAnsi="Calibri"/>
              </w:rPr>
              <w:t>10,005</w:t>
            </w:r>
          </w:p>
        </w:tc>
        <w:tc>
          <w:tcPr>
            <w:tcW w:w="0" w:type="auto"/>
            <w:tcBorders>
              <w:top w:val="nil"/>
              <w:bottom w:val="single" w:sz="4" w:space="0" w:color="auto"/>
            </w:tcBorders>
            <w:shd w:val="clear" w:color="auto" w:fill="auto"/>
            <w:noWrap/>
            <w:vAlign w:val="center"/>
          </w:tcPr>
          <w:p w14:paraId="27CBC679"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5,849</w:t>
            </w:r>
          </w:p>
        </w:tc>
        <w:tc>
          <w:tcPr>
            <w:tcW w:w="0" w:type="auto"/>
            <w:tcBorders>
              <w:top w:val="nil"/>
              <w:bottom w:val="single" w:sz="4" w:space="0" w:color="auto"/>
            </w:tcBorders>
            <w:shd w:val="clear" w:color="auto" w:fill="auto"/>
            <w:noWrap/>
            <w:vAlign w:val="center"/>
          </w:tcPr>
          <w:p w14:paraId="4F89D378" w14:textId="77777777" w:rsidR="001503DA" w:rsidRPr="001503DA" w:rsidRDefault="001503DA" w:rsidP="00CE2FDF">
            <w:pPr>
              <w:spacing w:before="0" w:line="276" w:lineRule="auto"/>
              <w:jc w:val="right"/>
              <w:rPr>
                <w:rFonts w:ascii="Calibri" w:hAnsi="Calibri"/>
              </w:rPr>
            </w:pPr>
            <w:r w:rsidRPr="001503DA">
              <w:rPr>
                <w:rFonts w:ascii="Calibri" w:hAnsi="Calibri"/>
              </w:rPr>
              <w:t>2,633</w:t>
            </w:r>
          </w:p>
        </w:tc>
        <w:tc>
          <w:tcPr>
            <w:tcW w:w="0" w:type="auto"/>
            <w:tcBorders>
              <w:top w:val="nil"/>
              <w:bottom w:val="single" w:sz="4" w:space="0" w:color="auto"/>
            </w:tcBorders>
            <w:shd w:val="clear" w:color="auto" w:fill="auto"/>
            <w:noWrap/>
            <w:vAlign w:val="center"/>
          </w:tcPr>
          <w:p w14:paraId="75826F51"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3,195</w:t>
            </w:r>
          </w:p>
        </w:tc>
        <w:tc>
          <w:tcPr>
            <w:tcW w:w="0" w:type="auto"/>
            <w:tcBorders>
              <w:top w:val="nil"/>
              <w:bottom w:val="single" w:sz="4" w:space="0" w:color="auto"/>
            </w:tcBorders>
            <w:shd w:val="clear" w:color="auto" w:fill="auto"/>
            <w:noWrap/>
            <w:vAlign w:val="center"/>
          </w:tcPr>
          <w:p w14:paraId="27F576A1" w14:textId="77777777" w:rsidR="001503DA" w:rsidRPr="001503DA" w:rsidRDefault="001503DA" w:rsidP="00CE2FDF">
            <w:pPr>
              <w:spacing w:before="0" w:line="276" w:lineRule="auto"/>
              <w:jc w:val="right"/>
              <w:rPr>
                <w:rFonts w:ascii="Calibri" w:hAnsi="Calibri"/>
              </w:rPr>
            </w:pPr>
            <w:r w:rsidRPr="001503DA">
              <w:rPr>
                <w:rFonts w:ascii="Calibri" w:hAnsi="Calibri"/>
              </w:rPr>
              <w:t>3,733</w:t>
            </w:r>
          </w:p>
        </w:tc>
        <w:tc>
          <w:tcPr>
            <w:tcW w:w="0" w:type="auto"/>
            <w:tcBorders>
              <w:top w:val="nil"/>
              <w:bottom w:val="single" w:sz="4" w:space="0" w:color="auto"/>
              <w:right w:val="single" w:sz="4" w:space="0" w:color="auto"/>
            </w:tcBorders>
            <w:shd w:val="clear" w:color="auto" w:fill="auto"/>
            <w:noWrap/>
            <w:vAlign w:val="center"/>
          </w:tcPr>
          <w:p w14:paraId="0ED4D03D"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3,210</w:t>
            </w:r>
          </w:p>
        </w:tc>
        <w:tc>
          <w:tcPr>
            <w:tcW w:w="0" w:type="auto"/>
            <w:tcBorders>
              <w:top w:val="nil"/>
              <w:left w:val="single" w:sz="4" w:space="0" w:color="auto"/>
              <w:bottom w:val="single" w:sz="4" w:space="0" w:color="auto"/>
              <w:right w:val="single" w:sz="4" w:space="0" w:color="auto"/>
            </w:tcBorders>
            <w:shd w:val="clear" w:color="auto" w:fill="auto"/>
            <w:vAlign w:val="center"/>
          </w:tcPr>
          <w:p w14:paraId="15456E28"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61,283</w:t>
            </w:r>
          </w:p>
        </w:tc>
        <w:tc>
          <w:tcPr>
            <w:tcW w:w="0" w:type="auto"/>
            <w:tcBorders>
              <w:top w:val="nil"/>
              <w:left w:val="single" w:sz="4" w:space="0" w:color="auto"/>
              <w:bottom w:val="single" w:sz="4" w:space="0" w:color="auto"/>
            </w:tcBorders>
            <w:shd w:val="clear" w:color="auto" w:fill="auto"/>
            <w:vAlign w:val="center"/>
          </w:tcPr>
          <w:p w14:paraId="239FBEA3"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-63%</w:t>
            </w:r>
          </w:p>
        </w:tc>
      </w:tr>
      <w:tr w:rsidR="001503DA" w:rsidRPr="00C84E96" w14:paraId="09A26A5E" w14:textId="77777777" w:rsidTr="0005473D">
        <w:trPr>
          <w:trHeight w:val="204"/>
        </w:trPr>
        <w:tc>
          <w:tcPr>
            <w:tcW w:w="0" w:type="auto"/>
            <w:tcBorders>
              <w:top w:val="single" w:sz="4" w:space="0" w:color="auto"/>
              <w:right w:val="single" w:sz="4" w:space="0" w:color="auto"/>
            </w:tcBorders>
            <w:shd w:val="clear" w:color="auto" w:fill="92CDDC" w:themeFill="accent5" w:themeFillTint="99"/>
            <w:noWrap/>
          </w:tcPr>
          <w:p w14:paraId="27C7DB6D" w14:textId="77777777" w:rsidR="001503DA" w:rsidRPr="00C84E96" w:rsidRDefault="001503DA" w:rsidP="00CE2FDF">
            <w:pPr>
              <w:spacing w:before="0" w:after="60" w:line="276" w:lineRule="auto"/>
              <w:rPr>
                <w:rFonts w:cs="Arial"/>
                <w:b/>
              </w:rPr>
            </w:pPr>
            <w:r w:rsidRPr="00C84E96">
              <w:rPr>
                <w:rFonts w:cs="Arial"/>
                <w:b/>
              </w:rPr>
              <w:t>TOTALS:</w:t>
            </w:r>
          </w:p>
        </w:tc>
        <w:tc>
          <w:tcPr>
            <w:tcW w:w="0" w:type="auto"/>
            <w:tcBorders>
              <w:top w:val="single" w:sz="4" w:space="0" w:color="auto"/>
              <w:left w:val="single" w:sz="4" w:space="0" w:color="auto"/>
              <w:bottom w:val="single" w:sz="4" w:space="0" w:color="auto"/>
            </w:tcBorders>
            <w:shd w:val="clear" w:color="auto" w:fill="92CDDC" w:themeFill="accent5" w:themeFillTint="99"/>
            <w:noWrap/>
            <w:vAlign w:val="center"/>
          </w:tcPr>
          <w:p w14:paraId="3939B0E0"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12,029</w:t>
            </w:r>
          </w:p>
        </w:tc>
        <w:tc>
          <w:tcPr>
            <w:tcW w:w="0" w:type="auto"/>
            <w:tcBorders>
              <w:top w:val="single" w:sz="4" w:space="0" w:color="auto"/>
            </w:tcBorders>
            <w:shd w:val="clear" w:color="auto" w:fill="92CDDC" w:themeFill="accent5" w:themeFillTint="99"/>
            <w:noWrap/>
            <w:vAlign w:val="center"/>
          </w:tcPr>
          <w:p w14:paraId="754357C4"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11,702</w:t>
            </w:r>
          </w:p>
        </w:tc>
        <w:tc>
          <w:tcPr>
            <w:tcW w:w="0" w:type="auto"/>
            <w:tcBorders>
              <w:top w:val="single" w:sz="4" w:space="0" w:color="auto"/>
            </w:tcBorders>
            <w:shd w:val="clear" w:color="auto" w:fill="92CDDC" w:themeFill="accent5" w:themeFillTint="99"/>
            <w:noWrap/>
            <w:vAlign w:val="center"/>
          </w:tcPr>
          <w:p w14:paraId="338AE49A"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11,295</w:t>
            </w:r>
          </w:p>
        </w:tc>
        <w:tc>
          <w:tcPr>
            <w:tcW w:w="0" w:type="auto"/>
            <w:tcBorders>
              <w:top w:val="single" w:sz="4" w:space="0" w:color="auto"/>
            </w:tcBorders>
            <w:shd w:val="clear" w:color="auto" w:fill="92CDDC" w:themeFill="accent5" w:themeFillTint="99"/>
            <w:noWrap/>
            <w:vAlign w:val="center"/>
          </w:tcPr>
          <w:p w14:paraId="7270BF16"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9,625</w:t>
            </w:r>
          </w:p>
        </w:tc>
        <w:tc>
          <w:tcPr>
            <w:tcW w:w="0" w:type="auto"/>
            <w:tcBorders>
              <w:top w:val="single" w:sz="4" w:space="0" w:color="auto"/>
            </w:tcBorders>
            <w:shd w:val="clear" w:color="auto" w:fill="92CDDC" w:themeFill="accent5" w:themeFillTint="99"/>
            <w:noWrap/>
            <w:vAlign w:val="center"/>
          </w:tcPr>
          <w:p w14:paraId="6A5F9258"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14,778</w:t>
            </w:r>
          </w:p>
        </w:tc>
        <w:tc>
          <w:tcPr>
            <w:tcW w:w="0" w:type="auto"/>
            <w:tcBorders>
              <w:top w:val="single" w:sz="4" w:space="0" w:color="auto"/>
            </w:tcBorders>
            <w:shd w:val="clear" w:color="auto" w:fill="92CDDC" w:themeFill="accent5" w:themeFillTint="99"/>
            <w:noWrap/>
            <w:vAlign w:val="center"/>
          </w:tcPr>
          <w:p w14:paraId="6F7E34C6"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8,601</w:t>
            </w:r>
          </w:p>
        </w:tc>
        <w:tc>
          <w:tcPr>
            <w:tcW w:w="0" w:type="auto"/>
            <w:tcBorders>
              <w:top w:val="single" w:sz="4" w:space="0" w:color="auto"/>
            </w:tcBorders>
            <w:shd w:val="clear" w:color="auto" w:fill="92CDDC" w:themeFill="accent5" w:themeFillTint="99"/>
            <w:noWrap/>
            <w:vAlign w:val="center"/>
          </w:tcPr>
          <w:p w14:paraId="57BB84F7"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4,057</w:t>
            </w:r>
          </w:p>
        </w:tc>
        <w:tc>
          <w:tcPr>
            <w:tcW w:w="0" w:type="auto"/>
            <w:tcBorders>
              <w:top w:val="single" w:sz="4" w:space="0" w:color="auto"/>
            </w:tcBorders>
            <w:shd w:val="clear" w:color="auto" w:fill="92CDDC" w:themeFill="accent5" w:themeFillTint="99"/>
            <w:noWrap/>
            <w:vAlign w:val="center"/>
          </w:tcPr>
          <w:p w14:paraId="4FE8ED71"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4,775</w:t>
            </w:r>
          </w:p>
        </w:tc>
        <w:tc>
          <w:tcPr>
            <w:tcW w:w="0" w:type="auto"/>
            <w:tcBorders>
              <w:top w:val="single" w:sz="4" w:space="0" w:color="auto"/>
            </w:tcBorders>
            <w:shd w:val="clear" w:color="auto" w:fill="92CDDC" w:themeFill="accent5" w:themeFillTint="99"/>
            <w:noWrap/>
            <w:vAlign w:val="center"/>
          </w:tcPr>
          <w:p w14:paraId="35E9EF9A"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5,675</w:t>
            </w:r>
          </w:p>
        </w:tc>
        <w:tc>
          <w:tcPr>
            <w:tcW w:w="0" w:type="auto"/>
            <w:tcBorders>
              <w:top w:val="single" w:sz="4" w:space="0" w:color="auto"/>
              <w:right w:val="single" w:sz="4" w:space="0" w:color="auto"/>
            </w:tcBorders>
            <w:shd w:val="clear" w:color="auto" w:fill="92CDDC" w:themeFill="accent5" w:themeFillTint="99"/>
            <w:noWrap/>
            <w:vAlign w:val="center"/>
          </w:tcPr>
          <w:p w14:paraId="6A99C1D5"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4,902</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7ADEEE2" w14:textId="77777777" w:rsidR="001503DA" w:rsidRPr="001503DA" w:rsidRDefault="001503DA" w:rsidP="00CE2FDF">
            <w:pPr>
              <w:spacing w:before="0" w:line="276" w:lineRule="auto"/>
              <w:jc w:val="right"/>
              <w:rPr>
                <w:rFonts w:ascii="Calibri" w:hAnsi="Calibri"/>
                <w:b/>
                <w:bCs/>
                <w:sz w:val="20"/>
                <w:szCs w:val="20"/>
              </w:rPr>
            </w:pPr>
            <w:r w:rsidRPr="001503DA">
              <w:rPr>
                <w:rFonts w:ascii="Calibri" w:hAnsi="Calibri"/>
                <w:b/>
                <w:bCs/>
                <w:sz w:val="20"/>
                <w:szCs w:val="20"/>
              </w:rPr>
              <w:t>87,439</w:t>
            </w:r>
          </w:p>
        </w:tc>
        <w:tc>
          <w:tcPr>
            <w:tcW w:w="0" w:type="auto"/>
            <w:tcBorders>
              <w:top w:val="single" w:sz="4" w:space="0" w:color="auto"/>
              <w:left w:val="single" w:sz="4" w:space="0" w:color="auto"/>
              <w:bottom w:val="single" w:sz="4" w:space="0" w:color="auto"/>
            </w:tcBorders>
            <w:shd w:val="clear" w:color="auto" w:fill="92CDDC" w:themeFill="accent5" w:themeFillTint="99"/>
            <w:vAlign w:val="center"/>
          </w:tcPr>
          <w:p w14:paraId="56B21A29" w14:textId="77777777" w:rsidR="001503DA" w:rsidRPr="001503DA" w:rsidRDefault="001503DA" w:rsidP="00CE2FDF">
            <w:pPr>
              <w:spacing w:before="0" w:line="276" w:lineRule="auto"/>
              <w:jc w:val="right"/>
              <w:rPr>
                <w:rFonts w:ascii="Calibri" w:hAnsi="Calibri"/>
                <w:b/>
                <w:bCs/>
              </w:rPr>
            </w:pPr>
            <w:r w:rsidRPr="001503DA">
              <w:rPr>
                <w:rFonts w:ascii="Calibri" w:hAnsi="Calibri"/>
                <w:b/>
                <w:bCs/>
              </w:rPr>
              <w:t>-5</w:t>
            </w:r>
            <w:r w:rsidR="00A55CFF">
              <w:rPr>
                <w:rFonts w:ascii="Calibri" w:hAnsi="Calibri"/>
                <w:b/>
                <w:bCs/>
              </w:rPr>
              <w:t>9</w:t>
            </w:r>
            <w:r w:rsidRPr="001503DA">
              <w:rPr>
                <w:rFonts w:ascii="Calibri" w:hAnsi="Calibri"/>
                <w:b/>
                <w:bCs/>
              </w:rPr>
              <w:t>%</w:t>
            </w:r>
          </w:p>
        </w:tc>
      </w:tr>
    </w:tbl>
    <w:p w14:paraId="0B252802" w14:textId="2B7C9731" w:rsidR="0005473D" w:rsidRDefault="0005473D" w:rsidP="005E613E">
      <w:pPr>
        <w:pStyle w:val="Heading6"/>
        <w:spacing w:before="240" w:after="240"/>
      </w:pPr>
      <w:r w:rsidRPr="00474D52">
        <w:t>Line graph for table 1.19: Number of reports of neglect by year, by reporter group</w:t>
      </w:r>
    </w:p>
    <w:p w14:paraId="7E7CB3C6" w14:textId="3C82E98F" w:rsidR="002F6188" w:rsidRPr="00474D52" w:rsidRDefault="005E613E" w:rsidP="005E613E">
      <w:pPr>
        <w:pStyle w:val="Heading6"/>
        <w:spacing w:before="240" w:after="240"/>
      </w:pPr>
      <w:r w:rsidRPr="00474D52">
        <w:rPr>
          <w:noProof/>
          <w:lang w:eastAsia="en-AU"/>
        </w:rPr>
        <w:drawing>
          <wp:inline distT="0" distB="0" distL="0" distR="0" wp14:anchorId="10F645BA" wp14:editId="1D3AB132">
            <wp:extent cx="9201150" cy="2324100"/>
            <wp:effectExtent l="0" t="0" r="0" b="0"/>
            <wp:docPr id="40" name="Chart 40" descr="Shows reports of neglect declined significantly by 2012 from a 10-year high in 2007." title="Line graph for table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09AE0A" w14:textId="633002E5" w:rsidR="00245C19" w:rsidRDefault="00245C19" w:rsidP="00B15586">
      <w:r>
        <w:br w:type="page"/>
      </w:r>
    </w:p>
    <w:p w14:paraId="3B6679E5" w14:textId="16F31F14" w:rsidR="002F6188" w:rsidRPr="00BD7D08" w:rsidRDefault="00BC57B6" w:rsidP="00BC57B6">
      <w:pPr>
        <w:pStyle w:val="Figureheading"/>
      </w:pPr>
      <w:r>
        <w:lastRenderedPageBreak/>
        <w:t>1.20</w:t>
      </w:r>
      <w:r>
        <w:tab/>
      </w:r>
      <w:r w:rsidR="002F6188" w:rsidRPr="00BD7D08">
        <w:t>Number of reports of physical abuse by year, by reporter group, with percentage change</w:t>
      </w:r>
    </w:p>
    <w:tbl>
      <w:tblPr>
        <w:tblStyle w:val="LightShading-Accent4"/>
        <w:tblW w:w="0" w:type="auto"/>
        <w:tblLook w:val="04A0" w:firstRow="1" w:lastRow="0" w:firstColumn="1" w:lastColumn="0" w:noHBand="0" w:noVBand="1"/>
        <w:tblCaption w:val="Number of reports of physical abuse by year, by reporter group, with percentage change"/>
      </w:tblPr>
      <w:tblGrid>
        <w:gridCol w:w="4208"/>
        <w:gridCol w:w="719"/>
        <w:gridCol w:w="719"/>
        <w:gridCol w:w="719"/>
        <w:gridCol w:w="831"/>
        <w:gridCol w:w="831"/>
        <w:gridCol w:w="831"/>
        <w:gridCol w:w="831"/>
        <w:gridCol w:w="831"/>
        <w:gridCol w:w="831"/>
        <w:gridCol w:w="831"/>
        <w:gridCol w:w="942"/>
        <w:gridCol w:w="1078"/>
      </w:tblGrid>
      <w:tr w:rsidR="008E707A" w:rsidRPr="008E707A" w14:paraId="0994EBB8" w14:textId="77777777" w:rsidTr="008E707A">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655F0BDF" w14:textId="77777777" w:rsidR="002F6188" w:rsidRPr="008E707A" w:rsidRDefault="002F6188" w:rsidP="00CE2FDF">
            <w:pPr>
              <w:keepNext/>
              <w:spacing w:before="0" w:after="60" w:line="276" w:lineRule="auto"/>
              <w:rPr>
                <w:rFonts w:ascii="Calibri" w:eastAsia="Times New Roman" w:hAnsi="Calibri" w:cs="Arial"/>
                <w:color w:val="auto"/>
                <w:lang w:eastAsia="en-AU"/>
              </w:rPr>
            </w:pPr>
          </w:p>
        </w:tc>
        <w:tc>
          <w:tcPr>
            <w:tcW w:w="0" w:type="auto"/>
            <w:tcBorders>
              <w:top w:val="single" w:sz="4" w:space="0" w:color="auto"/>
              <w:left w:val="single" w:sz="4" w:space="0" w:color="auto"/>
              <w:bottom w:val="single" w:sz="4" w:space="0" w:color="auto"/>
            </w:tcBorders>
            <w:shd w:val="clear" w:color="auto" w:fill="B2A1C7" w:themeFill="accent4" w:themeFillTint="99"/>
            <w:noWrap/>
            <w:vAlign w:val="center"/>
            <w:hideMark/>
          </w:tcPr>
          <w:p w14:paraId="0A57675F"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2003</w:t>
            </w:r>
          </w:p>
        </w:tc>
        <w:tc>
          <w:tcPr>
            <w:tcW w:w="0" w:type="auto"/>
            <w:tcBorders>
              <w:top w:val="single" w:sz="4" w:space="0" w:color="auto"/>
              <w:bottom w:val="single" w:sz="4" w:space="0" w:color="auto"/>
            </w:tcBorders>
            <w:shd w:val="clear" w:color="auto" w:fill="B2A1C7" w:themeFill="accent4" w:themeFillTint="99"/>
            <w:noWrap/>
            <w:vAlign w:val="center"/>
            <w:hideMark/>
          </w:tcPr>
          <w:p w14:paraId="56255691"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2004</w:t>
            </w:r>
          </w:p>
        </w:tc>
        <w:tc>
          <w:tcPr>
            <w:tcW w:w="0" w:type="auto"/>
            <w:tcBorders>
              <w:top w:val="single" w:sz="4" w:space="0" w:color="auto"/>
              <w:bottom w:val="single" w:sz="4" w:space="0" w:color="auto"/>
            </w:tcBorders>
            <w:shd w:val="clear" w:color="auto" w:fill="B2A1C7" w:themeFill="accent4" w:themeFillTint="99"/>
            <w:noWrap/>
            <w:vAlign w:val="center"/>
            <w:hideMark/>
          </w:tcPr>
          <w:p w14:paraId="7176D536"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2005</w:t>
            </w:r>
          </w:p>
        </w:tc>
        <w:tc>
          <w:tcPr>
            <w:tcW w:w="0" w:type="auto"/>
            <w:tcBorders>
              <w:top w:val="single" w:sz="4" w:space="0" w:color="auto"/>
              <w:bottom w:val="single" w:sz="4" w:space="0" w:color="auto"/>
            </w:tcBorders>
            <w:shd w:val="clear" w:color="auto" w:fill="B2A1C7" w:themeFill="accent4" w:themeFillTint="99"/>
            <w:noWrap/>
            <w:vAlign w:val="center"/>
            <w:hideMark/>
          </w:tcPr>
          <w:p w14:paraId="76DE5EF7"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2006</w:t>
            </w:r>
          </w:p>
        </w:tc>
        <w:tc>
          <w:tcPr>
            <w:tcW w:w="0" w:type="auto"/>
            <w:tcBorders>
              <w:top w:val="single" w:sz="4" w:space="0" w:color="auto"/>
              <w:bottom w:val="single" w:sz="4" w:space="0" w:color="auto"/>
            </w:tcBorders>
            <w:shd w:val="clear" w:color="auto" w:fill="B2A1C7" w:themeFill="accent4" w:themeFillTint="99"/>
            <w:noWrap/>
            <w:vAlign w:val="center"/>
            <w:hideMark/>
          </w:tcPr>
          <w:p w14:paraId="4BEE2EBA"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2007</w:t>
            </w:r>
          </w:p>
        </w:tc>
        <w:tc>
          <w:tcPr>
            <w:tcW w:w="0" w:type="auto"/>
            <w:tcBorders>
              <w:top w:val="single" w:sz="4" w:space="0" w:color="auto"/>
              <w:bottom w:val="single" w:sz="4" w:space="0" w:color="auto"/>
            </w:tcBorders>
            <w:shd w:val="clear" w:color="auto" w:fill="B2A1C7" w:themeFill="accent4" w:themeFillTint="99"/>
            <w:noWrap/>
            <w:vAlign w:val="center"/>
            <w:hideMark/>
          </w:tcPr>
          <w:p w14:paraId="0B837F4C"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2008</w:t>
            </w:r>
          </w:p>
        </w:tc>
        <w:tc>
          <w:tcPr>
            <w:tcW w:w="0" w:type="auto"/>
            <w:tcBorders>
              <w:top w:val="single" w:sz="4" w:space="0" w:color="auto"/>
              <w:bottom w:val="single" w:sz="4" w:space="0" w:color="auto"/>
            </w:tcBorders>
            <w:shd w:val="clear" w:color="auto" w:fill="B2A1C7" w:themeFill="accent4" w:themeFillTint="99"/>
            <w:noWrap/>
            <w:vAlign w:val="center"/>
            <w:hideMark/>
          </w:tcPr>
          <w:p w14:paraId="4EB74566"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2009</w:t>
            </w:r>
          </w:p>
        </w:tc>
        <w:tc>
          <w:tcPr>
            <w:tcW w:w="0" w:type="auto"/>
            <w:tcBorders>
              <w:top w:val="single" w:sz="4" w:space="0" w:color="auto"/>
              <w:bottom w:val="single" w:sz="4" w:space="0" w:color="auto"/>
            </w:tcBorders>
            <w:shd w:val="clear" w:color="auto" w:fill="B2A1C7" w:themeFill="accent4" w:themeFillTint="99"/>
            <w:noWrap/>
            <w:vAlign w:val="center"/>
            <w:hideMark/>
          </w:tcPr>
          <w:p w14:paraId="67EE3C22"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2010</w:t>
            </w:r>
          </w:p>
        </w:tc>
        <w:tc>
          <w:tcPr>
            <w:tcW w:w="0" w:type="auto"/>
            <w:tcBorders>
              <w:top w:val="single" w:sz="4" w:space="0" w:color="auto"/>
              <w:bottom w:val="single" w:sz="4" w:space="0" w:color="auto"/>
            </w:tcBorders>
            <w:shd w:val="clear" w:color="auto" w:fill="B2A1C7" w:themeFill="accent4" w:themeFillTint="99"/>
            <w:noWrap/>
            <w:vAlign w:val="center"/>
            <w:hideMark/>
          </w:tcPr>
          <w:p w14:paraId="3985DBA3"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2011</w:t>
            </w:r>
          </w:p>
        </w:tc>
        <w:tc>
          <w:tcPr>
            <w:tcW w:w="0" w:type="auto"/>
            <w:tcBorders>
              <w:top w:val="single" w:sz="4" w:space="0" w:color="auto"/>
              <w:bottom w:val="single" w:sz="4" w:space="0" w:color="auto"/>
              <w:right w:val="single" w:sz="4" w:space="0" w:color="auto"/>
            </w:tcBorders>
            <w:shd w:val="clear" w:color="auto" w:fill="B2A1C7" w:themeFill="accent4" w:themeFillTint="99"/>
            <w:noWrap/>
            <w:vAlign w:val="center"/>
            <w:hideMark/>
          </w:tcPr>
          <w:p w14:paraId="5F47DCA5"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2012</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2E89D60"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lang w:eastAsia="en-AU"/>
              </w:rPr>
            </w:pPr>
            <w:r w:rsidRPr="008E707A">
              <w:rPr>
                <w:rFonts w:ascii="Calibri" w:eastAsia="Times New Roman" w:hAnsi="Calibri" w:cs="Arial"/>
                <w:color w:val="auto"/>
                <w:lang w:eastAsia="en-AU"/>
              </w:rPr>
              <w:t>Totals</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0EA5A3F" w14:textId="77777777" w:rsidR="002F6188" w:rsidRPr="008E707A" w:rsidRDefault="002F6188" w:rsidP="00CE2FDF">
            <w:pPr>
              <w:keepNext/>
              <w:spacing w:before="0" w:after="6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E707A">
              <w:rPr>
                <w:rFonts w:ascii="Calibri" w:eastAsia="Times New Roman" w:hAnsi="Calibri" w:cs="Arial"/>
                <w:bCs w:val="0"/>
                <w:color w:val="auto"/>
                <w:lang w:eastAsia="en-AU"/>
              </w:rPr>
              <w:t>% change</w:t>
            </w:r>
          </w:p>
        </w:tc>
      </w:tr>
      <w:tr w:rsidR="008E707A" w:rsidRPr="008E707A" w14:paraId="53CDC93B" w14:textId="77777777" w:rsidTr="008E707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right w:val="single" w:sz="4" w:space="0" w:color="auto"/>
            </w:tcBorders>
            <w:noWrap/>
            <w:hideMark/>
          </w:tcPr>
          <w:p w14:paraId="3123BA9A" w14:textId="77777777" w:rsidR="001503DA" w:rsidRPr="008E707A" w:rsidRDefault="001503DA" w:rsidP="00CE2FDF">
            <w:pPr>
              <w:keepNext/>
              <w:spacing w:before="0" w:after="60" w:line="276" w:lineRule="auto"/>
              <w:rPr>
                <w:rFonts w:ascii="Calibri" w:eastAsia="Times New Roman" w:hAnsi="Calibri" w:cs="Arial"/>
                <w:color w:val="auto"/>
                <w:lang w:eastAsia="en-AU"/>
              </w:rPr>
            </w:pPr>
            <w:r w:rsidRPr="008E707A">
              <w:rPr>
                <w:rFonts w:ascii="Calibri" w:eastAsia="Times New Roman" w:hAnsi="Calibri" w:cs="Arial"/>
                <w:bCs w:val="0"/>
                <w:color w:val="auto"/>
                <w:lang w:eastAsia="en-AU"/>
              </w:rPr>
              <w:t>Doctors</w:t>
            </w:r>
          </w:p>
        </w:tc>
        <w:tc>
          <w:tcPr>
            <w:tcW w:w="0" w:type="auto"/>
            <w:tcBorders>
              <w:top w:val="single" w:sz="4" w:space="0" w:color="auto"/>
              <w:left w:val="single" w:sz="4" w:space="0" w:color="auto"/>
            </w:tcBorders>
            <w:noWrap/>
            <w:vAlign w:val="center"/>
          </w:tcPr>
          <w:p w14:paraId="42BA67BC"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382</w:t>
            </w:r>
          </w:p>
        </w:tc>
        <w:tc>
          <w:tcPr>
            <w:tcW w:w="0" w:type="auto"/>
            <w:tcBorders>
              <w:top w:val="single" w:sz="4" w:space="0" w:color="auto"/>
            </w:tcBorders>
            <w:noWrap/>
            <w:vAlign w:val="center"/>
          </w:tcPr>
          <w:p w14:paraId="042A5D35"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331</w:t>
            </w:r>
          </w:p>
        </w:tc>
        <w:tc>
          <w:tcPr>
            <w:tcW w:w="0" w:type="auto"/>
            <w:tcBorders>
              <w:top w:val="single" w:sz="4" w:space="0" w:color="auto"/>
            </w:tcBorders>
            <w:noWrap/>
            <w:vAlign w:val="center"/>
          </w:tcPr>
          <w:p w14:paraId="68467FC9"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276</w:t>
            </w:r>
          </w:p>
        </w:tc>
        <w:tc>
          <w:tcPr>
            <w:tcW w:w="0" w:type="auto"/>
            <w:tcBorders>
              <w:top w:val="single" w:sz="4" w:space="0" w:color="auto"/>
            </w:tcBorders>
            <w:noWrap/>
            <w:vAlign w:val="center"/>
          </w:tcPr>
          <w:p w14:paraId="73A1316F"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302</w:t>
            </w:r>
          </w:p>
        </w:tc>
        <w:tc>
          <w:tcPr>
            <w:tcW w:w="0" w:type="auto"/>
            <w:tcBorders>
              <w:top w:val="single" w:sz="4" w:space="0" w:color="auto"/>
            </w:tcBorders>
            <w:noWrap/>
            <w:vAlign w:val="center"/>
          </w:tcPr>
          <w:p w14:paraId="09F2735A"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267</w:t>
            </w:r>
          </w:p>
        </w:tc>
        <w:tc>
          <w:tcPr>
            <w:tcW w:w="0" w:type="auto"/>
            <w:tcBorders>
              <w:top w:val="single" w:sz="4" w:space="0" w:color="auto"/>
            </w:tcBorders>
            <w:noWrap/>
            <w:vAlign w:val="center"/>
          </w:tcPr>
          <w:p w14:paraId="353FF945"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381</w:t>
            </w:r>
          </w:p>
        </w:tc>
        <w:tc>
          <w:tcPr>
            <w:tcW w:w="0" w:type="auto"/>
            <w:tcBorders>
              <w:top w:val="single" w:sz="4" w:space="0" w:color="auto"/>
            </w:tcBorders>
            <w:noWrap/>
            <w:vAlign w:val="center"/>
          </w:tcPr>
          <w:p w14:paraId="724AA108"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407</w:t>
            </w:r>
          </w:p>
        </w:tc>
        <w:tc>
          <w:tcPr>
            <w:tcW w:w="0" w:type="auto"/>
            <w:tcBorders>
              <w:top w:val="single" w:sz="4" w:space="0" w:color="auto"/>
            </w:tcBorders>
            <w:noWrap/>
            <w:vAlign w:val="center"/>
          </w:tcPr>
          <w:p w14:paraId="3410AF5C"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427</w:t>
            </w:r>
          </w:p>
        </w:tc>
        <w:tc>
          <w:tcPr>
            <w:tcW w:w="0" w:type="auto"/>
            <w:tcBorders>
              <w:top w:val="single" w:sz="4" w:space="0" w:color="auto"/>
            </w:tcBorders>
            <w:noWrap/>
            <w:vAlign w:val="center"/>
          </w:tcPr>
          <w:p w14:paraId="7F243535"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442</w:t>
            </w:r>
          </w:p>
        </w:tc>
        <w:tc>
          <w:tcPr>
            <w:tcW w:w="0" w:type="auto"/>
            <w:tcBorders>
              <w:top w:val="single" w:sz="4" w:space="0" w:color="auto"/>
              <w:right w:val="single" w:sz="4" w:space="0" w:color="auto"/>
            </w:tcBorders>
            <w:noWrap/>
            <w:vAlign w:val="center"/>
          </w:tcPr>
          <w:p w14:paraId="2B1A3BD3"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427</w:t>
            </w:r>
          </w:p>
        </w:tc>
        <w:tc>
          <w:tcPr>
            <w:tcW w:w="0" w:type="auto"/>
            <w:tcBorders>
              <w:top w:val="single" w:sz="4" w:space="0" w:color="auto"/>
              <w:left w:val="single" w:sz="4" w:space="0" w:color="auto"/>
              <w:right w:val="single" w:sz="4" w:space="0" w:color="auto"/>
            </w:tcBorders>
            <w:vAlign w:val="center"/>
          </w:tcPr>
          <w:p w14:paraId="2875D403"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3642</w:t>
            </w:r>
          </w:p>
        </w:tc>
        <w:tc>
          <w:tcPr>
            <w:tcW w:w="0" w:type="auto"/>
            <w:tcBorders>
              <w:top w:val="single" w:sz="4" w:space="0" w:color="auto"/>
              <w:left w:val="single" w:sz="4" w:space="0" w:color="auto"/>
              <w:right w:val="single" w:sz="4" w:space="0" w:color="auto"/>
            </w:tcBorders>
            <w:vAlign w:val="center"/>
          </w:tcPr>
          <w:p w14:paraId="4B534012"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12%</w:t>
            </w:r>
          </w:p>
        </w:tc>
      </w:tr>
      <w:tr w:rsidR="001503DA" w:rsidRPr="008E707A" w14:paraId="2ED1EEB1" w14:textId="77777777" w:rsidTr="008E707A">
        <w:trPr>
          <w:trHeight w:val="204"/>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18ADBC58" w14:textId="77777777" w:rsidR="001503DA" w:rsidRPr="008E707A" w:rsidRDefault="001503DA" w:rsidP="00CE2FDF">
            <w:pPr>
              <w:spacing w:before="0" w:after="60" w:line="276" w:lineRule="auto"/>
              <w:rPr>
                <w:rFonts w:ascii="Calibri" w:eastAsia="Times New Roman" w:hAnsi="Calibri" w:cs="Arial"/>
                <w:color w:val="auto"/>
                <w:lang w:eastAsia="en-AU"/>
              </w:rPr>
            </w:pPr>
            <w:r w:rsidRPr="008E707A">
              <w:rPr>
                <w:rFonts w:ascii="Calibri" w:eastAsia="Times New Roman" w:hAnsi="Calibri" w:cs="Arial"/>
                <w:bCs w:val="0"/>
                <w:color w:val="auto"/>
                <w:lang w:eastAsia="en-AU"/>
              </w:rPr>
              <w:t>Nurses</w:t>
            </w:r>
          </w:p>
        </w:tc>
        <w:tc>
          <w:tcPr>
            <w:tcW w:w="0" w:type="auto"/>
            <w:tcBorders>
              <w:left w:val="single" w:sz="4" w:space="0" w:color="auto"/>
            </w:tcBorders>
            <w:noWrap/>
            <w:vAlign w:val="center"/>
          </w:tcPr>
          <w:p w14:paraId="5C1F42A0"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264</w:t>
            </w:r>
          </w:p>
        </w:tc>
        <w:tc>
          <w:tcPr>
            <w:tcW w:w="0" w:type="auto"/>
            <w:noWrap/>
            <w:vAlign w:val="center"/>
          </w:tcPr>
          <w:p w14:paraId="364BD8FB"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291</w:t>
            </w:r>
          </w:p>
        </w:tc>
        <w:tc>
          <w:tcPr>
            <w:tcW w:w="0" w:type="auto"/>
            <w:noWrap/>
            <w:vAlign w:val="center"/>
          </w:tcPr>
          <w:p w14:paraId="16CFDB65"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218</w:t>
            </w:r>
          </w:p>
        </w:tc>
        <w:tc>
          <w:tcPr>
            <w:tcW w:w="0" w:type="auto"/>
            <w:noWrap/>
            <w:vAlign w:val="center"/>
          </w:tcPr>
          <w:p w14:paraId="3F206CBC"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286</w:t>
            </w:r>
          </w:p>
        </w:tc>
        <w:tc>
          <w:tcPr>
            <w:tcW w:w="0" w:type="auto"/>
            <w:noWrap/>
            <w:vAlign w:val="center"/>
          </w:tcPr>
          <w:p w14:paraId="59F8473B"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353</w:t>
            </w:r>
          </w:p>
        </w:tc>
        <w:tc>
          <w:tcPr>
            <w:tcW w:w="0" w:type="auto"/>
            <w:noWrap/>
            <w:vAlign w:val="center"/>
          </w:tcPr>
          <w:p w14:paraId="24D18198"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430</w:t>
            </w:r>
          </w:p>
        </w:tc>
        <w:tc>
          <w:tcPr>
            <w:tcW w:w="0" w:type="auto"/>
            <w:noWrap/>
            <w:vAlign w:val="center"/>
          </w:tcPr>
          <w:p w14:paraId="146571EC"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423</w:t>
            </w:r>
          </w:p>
        </w:tc>
        <w:tc>
          <w:tcPr>
            <w:tcW w:w="0" w:type="auto"/>
            <w:noWrap/>
            <w:vAlign w:val="center"/>
          </w:tcPr>
          <w:p w14:paraId="12D02C13"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530</w:t>
            </w:r>
          </w:p>
        </w:tc>
        <w:tc>
          <w:tcPr>
            <w:tcW w:w="0" w:type="auto"/>
            <w:noWrap/>
            <w:vAlign w:val="center"/>
          </w:tcPr>
          <w:p w14:paraId="5737975D"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397</w:t>
            </w:r>
          </w:p>
        </w:tc>
        <w:tc>
          <w:tcPr>
            <w:tcW w:w="0" w:type="auto"/>
            <w:tcBorders>
              <w:right w:val="single" w:sz="4" w:space="0" w:color="auto"/>
            </w:tcBorders>
            <w:noWrap/>
            <w:vAlign w:val="center"/>
          </w:tcPr>
          <w:p w14:paraId="0AB6A90C"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428</w:t>
            </w:r>
          </w:p>
        </w:tc>
        <w:tc>
          <w:tcPr>
            <w:tcW w:w="0" w:type="auto"/>
            <w:tcBorders>
              <w:left w:val="single" w:sz="4" w:space="0" w:color="auto"/>
              <w:right w:val="single" w:sz="4" w:space="0" w:color="auto"/>
            </w:tcBorders>
            <w:vAlign w:val="center"/>
          </w:tcPr>
          <w:p w14:paraId="1C7FF82B"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3620</w:t>
            </w:r>
          </w:p>
        </w:tc>
        <w:tc>
          <w:tcPr>
            <w:tcW w:w="0" w:type="auto"/>
            <w:tcBorders>
              <w:left w:val="single" w:sz="4" w:space="0" w:color="auto"/>
              <w:right w:val="single" w:sz="4" w:space="0" w:color="auto"/>
            </w:tcBorders>
            <w:vAlign w:val="center"/>
          </w:tcPr>
          <w:p w14:paraId="7460560C"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62%</w:t>
            </w:r>
          </w:p>
        </w:tc>
      </w:tr>
      <w:tr w:rsidR="001503DA" w:rsidRPr="008E707A" w14:paraId="79490BBC" w14:textId="77777777" w:rsidTr="008E707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46BEB82B" w14:textId="77777777" w:rsidR="001503DA" w:rsidRPr="008E707A" w:rsidRDefault="001503DA" w:rsidP="00CE2FDF">
            <w:pPr>
              <w:spacing w:before="0" w:after="60" w:line="276" w:lineRule="auto"/>
              <w:rPr>
                <w:rFonts w:ascii="Calibri" w:eastAsia="Times New Roman" w:hAnsi="Calibri" w:cs="Arial"/>
                <w:color w:val="auto"/>
                <w:lang w:eastAsia="en-AU"/>
              </w:rPr>
            </w:pPr>
            <w:r w:rsidRPr="008E707A">
              <w:rPr>
                <w:rFonts w:ascii="Calibri" w:eastAsia="Times New Roman" w:hAnsi="Calibri" w:cs="Arial"/>
                <w:bCs w:val="0"/>
                <w:color w:val="auto"/>
                <w:lang w:eastAsia="en-AU"/>
              </w:rPr>
              <w:t>Police</w:t>
            </w:r>
          </w:p>
        </w:tc>
        <w:tc>
          <w:tcPr>
            <w:tcW w:w="0" w:type="auto"/>
            <w:tcBorders>
              <w:left w:val="single" w:sz="4" w:space="0" w:color="auto"/>
            </w:tcBorders>
            <w:noWrap/>
            <w:vAlign w:val="center"/>
          </w:tcPr>
          <w:p w14:paraId="1DAC287C"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1,157</w:t>
            </w:r>
          </w:p>
        </w:tc>
        <w:tc>
          <w:tcPr>
            <w:tcW w:w="0" w:type="auto"/>
            <w:noWrap/>
            <w:vAlign w:val="center"/>
          </w:tcPr>
          <w:p w14:paraId="7099CEDF"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1,238</w:t>
            </w:r>
          </w:p>
        </w:tc>
        <w:tc>
          <w:tcPr>
            <w:tcW w:w="0" w:type="auto"/>
            <w:noWrap/>
            <w:vAlign w:val="center"/>
          </w:tcPr>
          <w:p w14:paraId="57A23932"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1,209</w:t>
            </w:r>
          </w:p>
        </w:tc>
        <w:tc>
          <w:tcPr>
            <w:tcW w:w="0" w:type="auto"/>
            <w:noWrap/>
            <w:vAlign w:val="center"/>
          </w:tcPr>
          <w:p w14:paraId="05791A7E"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1,453</w:t>
            </w:r>
          </w:p>
        </w:tc>
        <w:tc>
          <w:tcPr>
            <w:tcW w:w="0" w:type="auto"/>
            <w:noWrap/>
            <w:vAlign w:val="center"/>
          </w:tcPr>
          <w:p w14:paraId="11FA19C2"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1,919</w:t>
            </w:r>
          </w:p>
        </w:tc>
        <w:tc>
          <w:tcPr>
            <w:tcW w:w="0" w:type="auto"/>
            <w:noWrap/>
            <w:vAlign w:val="center"/>
          </w:tcPr>
          <w:p w14:paraId="42BAF3FA"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2,606</w:t>
            </w:r>
          </w:p>
        </w:tc>
        <w:tc>
          <w:tcPr>
            <w:tcW w:w="0" w:type="auto"/>
            <w:noWrap/>
            <w:vAlign w:val="center"/>
          </w:tcPr>
          <w:p w14:paraId="192EA91F"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2,819</w:t>
            </w:r>
          </w:p>
        </w:tc>
        <w:tc>
          <w:tcPr>
            <w:tcW w:w="0" w:type="auto"/>
            <w:noWrap/>
            <w:vAlign w:val="center"/>
          </w:tcPr>
          <w:p w14:paraId="2E1AC1EF"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3,154</w:t>
            </w:r>
          </w:p>
        </w:tc>
        <w:tc>
          <w:tcPr>
            <w:tcW w:w="0" w:type="auto"/>
            <w:noWrap/>
            <w:vAlign w:val="center"/>
          </w:tcPr>
          <w:p w14:paraId="538EC617"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2,823</w:t>
            </w:r>
          </w:p>
        </w:tc>
        <w:tc>
          <w:tcPr>
            <w:tcW w:w="0" w:type="auto"/>
            <w:tcBorders>
              <w:right w:val="single" w:sz="4" w:space="0" w:color="auto"/>
            </w:tcBorders>
            <w:noWrap/>
            <w:vAlign w:val="center"/>
          </w:tcPr>
          <w:p w14:paraId="27523926"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3,452</w:t>
            </w:r>
          </w:p>
        </w:tc>
        <w:tc>
          <w:tcPr>
            <w:tcW w:w="0" w:type="auto"/>
            <w:tcBorders>
              <w:left w:val="single" w:sz="4" w:space="0" w:color="auto"/>
              <w:right w:val="single" w:sz="4" w:space="0" w:color="auto"/>
            </w:tcBorders>
            <w:vAlign w:val="center"/>
          </w:tcPr>
          <w:p w14:paraId="186723A6"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21,830</w:t>
            </w:r>
          </w:p>
        </w:tc>
        <w:tc>
          <w:tcPr>
            <w:tcW w:w="0" w:type="auto"/>
            <w:tcBorders>
              <w:left w:val="single" w:sz="4" w:space="0" w:color="auto"/>
              <w:right w:val="single" w:sz="4" w:space="0" w:color="auto"/>
            </w:tcBorders>
            <w:vAlign w:val="center"/>
          </w:tcPr>
          <w:p w14:paraId="47CF5DAA"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198%</w:t>
            </w:r>
          </w:p>
        </w:tc>
      </w:tr>
      <w:tr w:rsidR="001503DA" w:rsidRPr="008E707A" w14:paraId="702D1375" w14:textId="77777777" w:rsidTr="008E707A">
        <w:trPr>
          <w:trHeight w:val="204"/>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0254285B" w14:textId="77777777" w:rsidR="001503DA" w:rsidRPr="008E707A" w:rsidRDefault="001503DA" w:rsidP="00CE2FDF">
            <w:pPr>
              <w:spacing w:before="0" w:after="60" w:line="276" w:lineRule="auto"/>
              <w:rPr>
                <w:rFonts w:ascii="Calibri" w:eastAsia="Times New Roman" w:hAnsi="Calibri" w:cs="Arial"/>
                <w:color w:val="auto"/>
                <w:lang w:eastAsia="en-AU"/>
              </w:rPr>
            </w:pPr>
            <w:r w:rsidRPr="008E707A">
              <w:rPr>
                <w:rFonts w:ascii="Calibri" w:eastAsia="Times New Roman" w:hAnsi="Calibri" w:cs="Arial"/>
                <w:bCs w:val="0"/>
                <w:color w:val="auto"/>
                <w:lang w:eastAsia="en-AU"/>
              </w:rPr>
              <w:t>School personnel</w:t>
            </w:r>
          </w:p>
        </w:tc>
        <w:tc>
          <w:tcPr>
            <w:tcW w:w="0" w:type="auto"/>
            <w:tcBorders>
              <w:left w:val="single" w:sz="4" w:space="0" w:color="auto"/>
            </w:tcBorders>
            <w:noWrap/>
            <w:vAlign w:val="center"/>
          </w:tcPr>
          <w:p w14:paraId="719CE4AD"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1,530</w:t>
            </w:r>
          </w:p>
        </w:tc>
        <w:tc>
          <w:tcPr>
            <w:tcW w:w="0" w:type="auto"/>
            <w:noWrap/>
            <w:vAlign w:val="center"/>
          </w:tcPr>
          <w:p w14:paraId="2AFDB4D7"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1,538</w:t>
            </w:r>
          </w:p>
        </w:tc>
        <w:tc>
          <w:tcPr>
            <w:tcW w:w="0" w:type="auto"/>
            <w:noWrap/>
            <w:vAlign w:val="center"/>
          </w:tcPr>
          <w:p w14:paraId="620F6D8D"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1,413</w:t>
            </w:r>
          </w:p>
        </w:tc>
        <w:tc>
          <w:tcPr>
            <w:tcW w:w="0" w:type="auto"/>
            <w:noWrap/>
            <w:vAlign w:val="center"/>
          </w:tcPr>
          <w:p w14:paraId="04EAA513"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1,777</w:t>
            </w:r>
          </w:p>
        </w:tc>
        <w:tc>
          <w:tcPr>
            <w:tcW w:w="0" w:type="auto"/>
            <w:noWrap/>
            <w:vAlign w:val="center"/>
          </w:tcPr>
          <w:p w14:paraId="38CB7E21"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1,739</w:t>
            </w:r>
          </w:p>
        </w:tc>
        <w:tc>
          <w:tcPr>
            <w:tcW w:w="0" w:type="auto"/>
            <w:noWrap/>
            <w:vAlign w:val="center"/>
          </w:tcPr>
          <w:p w14:paraId="71B2829D"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2,653</w:t>
            </w:r>
          </w:p>
        </w:tc>
        <w:tc>
          <w:tcPr>
            <w:tcW w:w="0" w:type="auto"/>
            <w:noWrap/>
            <w:vAlign w:val="center"/>
          </w:tcPr>
          <w:p w14:paraId="6849BDF0"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3,220</w:t>
            </w:r>
          </w:p>
        </w:tc>
        <w:tc>
          <w:tcPr>
            <w:tcW w:w="0" w:type="auto"/>
            <w:noWrap/>
            <w:vAlign w:val="center"/>
          </w:tcPr>
          <w:p w14:paraId="70089898"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3,340</w:t>
            </w:r>
          </w:p>
        </w:tc>
        <w:tc>
          <w:tcPr>
            <w:tcW w:w="0" w:type="auto"/>
            <w:noWrap/>
            <w:vAlign w:val="center"/>
          </w:tcPr>
          <w:p w14:paraId="14D2FB74"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3,605</w:t>
            </w:r>
          </w:p>
        </w:tc>
        <w:tc>
          <w:tcPr>
            <w:tcW w:w="0" w:type="auto"/>
            <w:tcBorders>
              <w:right w:val="single" w:sz="4" w:space="0" w:color="auto"/>
            </w:tcBorders>
            <w:noWrap/>
            <w:vAlign w:val="center"/>
          </w:tcPr>
          <w:p w14:paraId="7D054AE8"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3,963</w:t>
            </w:r>
          </w:p>
        </w:tc>
        <w:tc>
          <w:tcPr>
            <w:tcW w:w="0" w:type="auto"/>
            <w:tcBorders>
              <w:left w:val="single" w:sz="4" w:space="0" w:color="auto"/>
              <w:right w:val="single" w:sz="4" w:space="0" w:color="auto"/>
            </w:tcBorders>
            <w:vAlign w:val="center"/>
          </w:tcPr>
          <w:p w14:paraId="4F17A835"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24,778</w:t>
            </w:r>
          </w:p>
        </w:tc>
        <w:tc>
          <w:tcPr>
            <w:tcW w:w="0" w:type="auto"/>
            <w:tcBorders>
              <w:left w:val="single" w:sz="4" w:space="0" w:color="auto"/>
              <w:right w:val="single" w:sz="4" w:space="0" w:color="auto"/>
            </w:tcBorders>
            <w:vAlign w:val="center"/>
          </w:tcPr>
          <w:p w14:paraId="599CD1E5"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159%</w:t>
            </w:r>
          </w:p>
        </w:tc>
      </w:tr>
      <w:tr w:rsidR="001503DA" w:rsidRPr="008E707A" w14:paraId="079504A1" w14:textId="77777777" w:rsidTr="008E707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0C506478" w14:textId="77777777" w:rsidR="001503DA" w:rsidRPr="008E707A" w:rsidRDefault="001503DA" w:rsidP="00CE2FDF">
            <w:pPr>
              <w:spacing w:before="0" w:after="60" w:line="276" w:lineRule="auto"/>
              <w:rPr>
                <w:rFonts w:ascii="Calibri" w:eastAsia="Times New Roman" w:hAnsi="Calibri" w:cs="Arial"/>
                <w:color w:val="auto"/>
                <w:lang w:eastAsia="en-AU"/>
              </w:rPr>
            </w:pPr>
            <w:r w:rsidRPr="008E707A">
              <w:rPr>
                <w:rFonts w:ascii="Calibri" w:eastAsia="Times New Roman" w:hAnsi="Calibri" w:cs="Arial"/>
                <w:bCs w:val="0"/>
                <w:color w:val="auto"/>
                <w:lang w:eastAsia="en-AU"/>
              </w:rPr>
              <w:t>Psychiatrists</w:t>
            </w:r>
          </w:p>
        </w:tc>
        <w:tc>
          <w:tcPr>
            <w:tcW w:w="0" w:type="auto"/>
            <w:tcBorders>
              <w:left w:val="single" w:sz="4" w:space="0" w:color="auto"/>
            </w:tcBorders>
            <w:noWrap/>
            <w:vAlign w:val="center"/>
          </w:tcPr>
          <w:p w14:paraId="032B17E7"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23</w:t>
            </w:r>
          </w:p>
        </w:tc>
        <w:tc>
          <w:tcPr>
            <w:tcW w:w="0" w:type="auto"/>
            <w:noWrap/>
            <w:vAlign w:val="center"/>
          </w:tcPr>
          <w:p w14:paraId="2740B743"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68</w:t>
            </w:r>
          </w:p>
        </w:tc>
        <w:tc>
          <w:tcPr>
            <w:tcW w:w="0" w:type="auto"/>
            <w:noWrap/>
            <w:vAlign w:val="center"/>
          </w:tcPr>
          <w:p w14:paraId="78C33D9C"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27</w:t>
            </w:r>
          </w:p>
        </w:tc>
        <w:tc>
          <w:tcPr>
            <w:tcW w:w="0" w:type="auto"/>
            <w:noWrap/>
            <w:vAlign w:val="center"/>
          </w:tcPr>
          <w:p w14:paraId="751F8A52"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67</w:t>
            </w:r>
          </w:p>
        </w:tc>
        <w:tc>
          <w:tcPr>
            <w:tcW w:w="0" w:type="auto"/>
            <w:noWrap/>
            <w:vAlign w:val="center"/>
          </w:tcPr>
          <w:p w14:paraId="560A6758"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38</w:t>
            </w:r>
          </w:p>
        </w:tc>
        <w:tc>
          <w:tcPr>
            <w:tcW w:w="0" w:type="auto"/>
            <w:noWrap/>
            <w:vAlign w:val="center"/>
          </w:tcPr>
          <w:p w14:paraId="682B8909"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57</w:t>
            </w:r>
          </w:p>
        </w:tc>
        <w:tc>
          <w:tcPr>
            <w:tcW w:w="0" w:type="auto"/>
            <w:noWrap/>
            <w:vAlign w:val="center"/>
          </w:tcPr>
          <w:p w14:paraId="693517F3"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77</w:t>
            </w:r>
          </w:p>
        </w:tc>
        <w:tc>
          <w:tcPr>
            <w:tcW w:w="0" w:type="auto"/>
            <w:noWrap/>
            <w:vAlign w:val="center"/>
          </w:tcPr>
          <w:p w14:paraId="34E4C4E2"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68</w:t>
            </w:r>
          </w:p>
        </w:tc>
        <w:tc>
          <w:tcPr>
            <w:tcW w:w="0" w:type="auto"/>
            <w:noWrap/>
            <w:vAlign w:val="center"/>
          </w:tcPr>
          <w:p w14:paraId="4761D264"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49</w:t>
            </w:r>
          </w:p>
        </w:tc>
        <w:tc>
          <w:tcPr>
            <w:tcW w:w="0" w:type="auto"/>
            <w:tcBorders>
              <w:right w:val="single" w:sz="4" w:space="0" w:color="auto"/>
            </w:tcBorders>
            <w:noWrap/>
            <w:vAlign w:val="center"/>
          </w:tcPr>
          <w:p w14:paraId="0ED11A53"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22</w:t>
            </w:r>
          </w:p>
        </w:tc>
        <w:tc>
          <w:tcPr>
            <w:tcW w:w="0" w:type="auto"/>
            <w:tcBorders>
              <w:left w:val="single" w:sz="4" w:space="0" w:color="auto"/>
              <w:right w:val="single" w:sz="4" w:space="0" w:color="auto"/>
            </w:tcBorders>
            <w:vAlign w:val="center"/>
          </w:tcPr>
          <w:p w14:paraId="06EBAD62"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496</w:t>
            </w:r>
          </w:p>
        </w:tc>
        <w:tc>
          <w:tcPr>
            <w:tcW w:w="0" w:type="auto"/>
            <w:tcBorders>
              <w:left w:val="single" w:sz="4" w:space="0" w:color="auto"/>
              <w:right w:val="single" w:sz="4" w:space="0" w:color="auto"/>
            </w:tcBorders>
            <w:vAlign w:val="center"/>
          </w:tcPr>
          <w:p w14:paraId="1A674A2B"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-4%</w:t>
            </w:r>
          </w:p>
        </w:tc>
      </w:tr>
      <w:tr w:rsidR="001503DA" w:rsidRPr="008E707A" w14:paraId="017C37A3" w14:textId="77777777" w:rsidTr="008E707A">
        <w:trPr>
          <w:trHeight w:val="204"/>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nil"/>
              <w:right w:val="single" w:sz="4" w:space="0" w:color="auto"/>
            </w:tcBorders>
            <w:noWrap/>
            <w:vAlign w:val="center"/>
            <w:hideMark/>
          </w:tcPr>
          <w:p w14:paraId="7ADF4005" w14:textId="77777777" w:rsidR="001503DA" w:rsidRPr="008E707A" w:rsidRDefault="001503DA" w:rsidP="00CE2FDF">
            <w:pPr>
              <w:tabs>
                <w:tab w:val="left" w:pos="1134"/>
              </w:tabs>
              <w:spacing w:before="0" w:line="276" w:lineRule="auto"/>
              <w:rPr>
                <w:rFonts w:ascii="Calibri" w:hAnsi="Calibri" w:cs="Arial"/>
                <w:color w:val="000000"/>
              </w:rPr>
            </w:pPr>
            <w:r w:rsidRPr="008E707A">
              <w:rPr>
                <w:rFonts w:ascii="Calibri" w:hAnsi="Calibri" w:cs="Arial"/>
                <w:color w:val="000000"/>
              </w:rPr>
              <w:t>Major mandated reporter groups combined</w:t>
            </w:r>
          </w:p>
        </w:tc>
        <w:tc>
          <w:tcPr>
            <w:tcW w:w="0" w:type="auto"/>
            <w:tcBorders>
              <w:left w:val="single" w:sz="4" w:space="0" w:color="auto"/>
              <w:bottom w:val="nil"/>
            </w:tcBorders>
            <w:noWrap/>
            <w:vAlign w:val="center"/>
          </w:tcPr>
          <w:p w14:paraId="61A7EE1C"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3,356</w:t>
            </w:r>
          </w:p>
        </w:tc>
        <w:tc>
          <w:tcPr>
            <w:tcW w:w="0" w:type="auto"/>
            <w:tcBorders>
              <w:bottom w:val="nil"/>
            </w:tcBorders>
            <w:noWrap/>
            <w:vAlign w:val="center"/>
          </w:tcPr>
          <w:p w14:paraId="02669067"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3,466</w:t>
            </w:r>
          </w:p>
        </w:tc>
        <w:tc>
          <w:tcPr>
            <w:tcW w:w="0" w:type="auto"/>
            <w:tcBorders>
              <w:bottom w:val="nil"/>
            </w:tcBorders>
            <w:noWrap/>
            <w:vAlign w:val="center"/>
          </w:tcPr>
          <w:p w14:paraId="33BE65EF"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3,143</w:t>
            </w:r>
          </w:p>
        </w:tc>
        <w:tc>
          <w:tcPr>
            <w:tcW w:w="0" w:type="auto"/>
            <w:tcBorders>
              <w:bottom w:val="nil"/>
            </w:tcBorders>
            <w:noWrap/>
            <w:vAlign w:val="center"/>
          </w:tcPr>
          <w:p w14:paraId="2A59433E"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3,885</w:t>
            </w:r>
          </w:p>
        </w:tc>
        <w:tc>
          <w:tcPr>
            <w:tcW w:w="0" w:type="auto"/>
            <w:tcBorders>
              <w:bottom w:val="nil"/>
            </w:tcBorders>
            <w:noWrap/>
            <w:vAlign w:val="center"/>
          </w:tcPr>
          <w:p w14:paraId="3D755B98"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4,316</w:t>
            </w:r>
          </w:p>
        </w:tc>
        <w:tc>
          <w:tcPr>
            <w:tcW w:w="0" w:type="auto"/>
            <w:tcBorders>
              <w:bottom w:val="nil"/>
            </w:tcBorders>
            <w:noWrap/>
            <w:vAlign w:val="center"/>
          </w:tcPr>
          <w:p w14:paraId="5A47A74A"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6,127</w:t>
            </w:r>
          </w:p>
        </w:tc>
        <w:tc>
          <w:tcPr>
            <w:tcW w:w="0" w:type="auto"/>
            <w:tcBorders>
              <w:bottom w:val="nil"/>
            </w:tcBorders>
            <w:noWrap/>
            <w:vAlign w:val="center"/>
          </w:tcPr>
          <w:p w14:paraId="09E9B041"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6,946</w:t>
            </w:r>
          </w:p>
        </w:tc>
        <w:tc>
          <w:tcPr>
            <w:tcW w:w="0" w:type="auto"/>
            <w:tcBorders>
              <w:bottom w:val="nil"/>
            </w:tcBorders>
            <w:noWrap/>
            <w:vAlign w:val="center"/>
          </w:tcPr>
          <w:p w14:paraId="651B7671"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7,519</w:t>
            </w:r>
          </w:p>
        </w:tc>
        <w:tc>
          <w:tcPr>
            <w:tcW w:w="0" w:type="auto"/>
            <w:tcBorders>
              <w:bottom w:val="nil"/>
            </w:tcBorders>
            <w:noWrap/>
            <w:vAlign w:val="center"/>
          </w:tcPr>
          <w:p w14:paraId="699BBC2B"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E707A">
              <w:rPr>
                <w:rFonts w:ascii="Calibri" w:hAnsi="Calibri"/>
                <w:color w:val="auto"/>
              </w:rPr>
              <w:t>7,316</w:t>
            </w:r>
          </w:p>
        </w:tc>
        <w:tc>
          <w:tcPr>
            <w:tcW w:w="0" w:type="auto"/>
            <w:tcBorders>
              <w:bottom w:val="nil"/>
              <w:right w:val="single" w:sz="4" w:space="0" w:color="auto"/>
            </w:tcBorders>
            <w:noWrap/>
            <w:vAlign w:val="center"/>
          </w:tcPr>
          <w:p w14:paraId="168EA5C6"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8,292</w:t>
            </w:r>
          </w:p>
        </w:tc>
        <w:tc>
          <w:tcPr>
            <w:tcW w:w="0" w:type="auto"/>
            <w:tcBorders>
              <w:left w:val="single" w:sz="4" w:space="0" w:color="auto"/>
              <w:bottom w:val="nil"/>
              <w:right w:val="single" w:sz="4" w:space="0" w:color="auto"/>
            </w:tcBorders>
            <w:vAlign w:val="center"/>
          </w:tcPr>
          <w:p w14:paraId="797A62D6"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54,366</w:t>
            </w:r>
          </w:p>
        </w:tc>
        <w:tc>
          <w:tcPr>
            <w:tcW w:w="0" w:type="auto"/>
            <w:tcBorders>
              <w:left w:val="single" w:sz="4" w:space="0" w:color="auto"/>
              <w:bottom w:val="nil"/>
              <w:right w:val="single" w:sz="4" w:space="0" w:color="auto"/>
            </w:tcBorders>
            <w:vAlign w:val="center"/>
          </w:tcPr>
          <w:p w14:paraId="672E97A3"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147%</w:t>
            </w:r>
          </w:p>
        </w:tc>
      </w:tr>
      <w:tr w:rsidR="008E707A" w:rsidRPr="008E707A" w14:paraId="2144A1B6" w14:textId="77777777" w:rsidTr="008E707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noWrap/>
            <w:vAlign w:val="center"/>
            <w:hideMark/>
          </w:tcPr>
          <w:p w14:paraId="156F1F84" w14:textId="77777777" w:rsidR="001503DA" w:rsidRPr="008E707A" w:rsidRDefault="001503DA" w:rsidP="00CE2FDF">
            <w:pPr>
              <w:tabs>
                <w:tab w:val="left" w:pos="1134"/>
              </w:tabs>
              <w:spacing w:before="0" w:line="276" w:lineRule="auto"/>
              <w:rPr>
                <w:rFonts w:ascii="Calibri" w:hAnsi="Calibri" w:cs="Arial"/>
                <w:color w:val="000000"/>
              </w:rPr>
            </w:pPr>
            <w:r w:rsidRPr="008E707A">
              <w:rPr>
                <w:rFonts w:ascii="Calibri" w:hAnsi="Calibri" w:cs="Arial"/>
                <w:color w:val="000000"/>
              </w:rPr>
              <w:t>Other reporter groups combined</w:t>
            </w:r>
          </w:p>
        </w:tc>
        <w:tc>
          <w:tcPr>
            <w:tcW w:w="0" w:type="auto"/>
            <w:tcBorders>
              <w:top w:val="nil"/>
              <w:left w:val="single" w:sz="4" w:space="0" w:color="auto"/>
              <w:bottom w:val="single" w:sz="4" w:space="0" w:color="auto"/>
            </w:tcBorders>
            <w:noWrap/>
            <w:vAlign w:val="center"/>
          </w:tcPr>
          <w:p w14:paraId="6318C060"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5,692</w:t>
            </w:r>
          </w:p>
        </w:tc>
        <w:tc>
          <w:tcPr>
            <w:tcW w:w="0" w:type="auto"/>
            <w:tcBorders>
              <w:top w:val="nil"/>
              <w:bottom w:val="single" w:sz="4" w:space="0" w:color="auto"/>
            </w:tcBorders>
            <w:noWrap/>
            <w:vAlign w:val="center"/>
          </w:tcPr>
          <w:p w14:paraId="47991BC6"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6,231</w:t>
            </w:r>
          </w:p>
        </w:tc>
        <w:tc>
          <w:tcPr>
            <w:tcW w:w="0" w:type="auto"/>
            <w:tcBorders>
              <w:top w:val="nil"/>
              <w:bottom w:val="single" w:sz="4" w:space="0" w:color="auto"/>
            </w:tcBorders>
            <w:noWrap/>
            <w:vAlign w:val="center"/>
          </w:tcPr>
          <w:p w14:paraId="57CB4482"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5,787</w:t>
            </w:r>
          </w:p>
        </w:tc>
        <w:tc>
          <w:tcPr>
            <w:tcW w:w="0" w:type="auto"/>
            <w:tcBorders>
              <w:top w:val="nil"/>
              <w:bottom w:val="single" w:sz="4" w:space="0" w:color="auto"/>
            </w:tcBorders>
            <w:noWrap/>
            <w:vAlign w:val="center"/>
          </w:tcPr>
          <w:p w14:paraId="2C10174E"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6,497</w:t>
            </w:r>
          </w:p>
        </w:tc>
        <w:tc>
          <w:tcPr>
            <w:tcW w:w="0" w:type="auto"/>
            <w:tcBorders>
              <w:top w:val="nil"/>
              <w:bottom w:val="single" w:sz="4" w:space="0" w:color="auto"/>
            </w:tcBorders>
            <w:noWrap/>
            <w:vAlign w:val="center"/>
          </w:tcPr>
          <w:p w14:paraId="005ACA48"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5,887</w:t>
            </w:r>
          </w:p>
        </w:tc>
        <w:tc>
          <w:tcPr>
            <w:tcW w:w="0" w:type="auto"/>
            <w:tcBorders>
              <w:top w:val="nil"/>
              <w:bottom w:val="single" w:sz="4" w:space="0" w:color="auto"/>
            </w:tcBorders>
            <w:noWrap/>
            <w:vAlign w:val="center"/>
          </w:tcPr>
          <w:p w14:paraId="360ECF73"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6,760</w:t>
            </w:r>
          </w:p>
        </w:tc>
        <w:tc>
          <w:tcPr>
            <w:tcW w:w="0" w:type="auto"/>
            <w:tcBorders>
              <w:top w:val="nil"/>
              <w:bottom w:val="single" w:sz="4" w:space="0" w:color="auto"/>
            </w:tcBorders>
            <w:noWrap/>
            <w:vAlign w:val="center"/>
          </w:tcPr>
          <w:p w14:paraId="71393775"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7,835</w:t>
            </w:r>
          </w:p>
        </w:tc>
        <w:tc>
          <w:tcPr>
            <w:tcW w:w="0" w:type="auto"/>
            <w:tcBorders>
              <w:top w:val="nil"/>
              <w:bottom w:val="single" w:sz="4" w:space="0" w:color="auto"/>
            </w:tcBorders>
            <w:noWrap/>
            <w:vAlign w:val="center"/>
          </w:tcPr>
          <w:p w14:paraId="3B117313"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7,531</w:t>
            </w:r>
          </w:p>
        </w:tc>
        <w:tc>
          <w:tcPr>
            <w:tcW w:w="0" w:type="auto"/>
            <w:tcBorders>
              <w:top w:val="nil"/>
              <w:bottom w:val="single" w:sz="4" w:space="0" w:color="auto"/>
            </w:tcBorders>
            <w:noWrap/>
            <w:vAlign w:val="center"/>
          </w:tcPr>
          <w:p w14:paraId="27786536"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8E707A">
              <w:rPr>
                <w:rFonts w:ascii="Calibri" w:hAnsi="Calibri"/>
                <w:color w:val="auto"/>
              </w:rPr>
              <w:t>6,673</w:t>
            </w:r>
          </w:p>
        </w:tc>
        <w:tc>
          <w:tcPr>
            <w:tcW w:w="0" w:type="auto"/>
            <w:tcBorders>
              <w:top w:val="nil"/>
              <w:bottom w:val="single" w:sz="4" w:space="0" w:color="auto"/>
              <w:right w:val="single" w:sz="4" w:space="0" w:color="auto"/>
            </w:tcBorders>
            <w:noWrap/>
            <w:vAlign w:val="center"/>
          </w:tcPr>
          <w:p w14:paraId="50CFA321"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6,627</w:t>
            </w:r>
          </w:p>
        </w:tc>
        <w:tc>
          <w:tcPr>
            <w:tcW w:w="0" w:type="auto"/>
            <w:tcBorders>
              <w:top w:val="nil"/>
              <w:left w:val="single" w:sz="4" w:space="0" w:color="auto"/>
              <w:bottom w:val="single" w:sz="4" w:space="0" w:color="auto"/>
              <w:right w:val="single" w:sz="4" w:space="0" w:color="auto"/>
            </w:tcBorders>
            <w:vAlign w:val="center"/>
          </w:tcPr>
          <w:p w14:paraId="48B21303"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65,520</w:t>
            </w:r>
          </w:p>
        </w:tc>
        <w:tc>
          <w:tcPr>
            <w:tcW w:w="0" w:type="auto"/>
            <w:tcBorders>
              <w:top w:val="nil"/>
              <w:left w:val="single" w:sz="4" w:space="0" w:color="auto"/>
              <w:bottom w:val="single" w:sz="4" w:space="0" w:color="auto"/>
              <w:right w:val="single" w:sz="4" w:space="0" w:color="auto"/>
            </w:tcBorders>
            <w:vAlign w:val="center"/>
          </w:tcPr>
          <w:p w14:paraId="729034C0" w14:textId="77777777" w:rsidR="001503DA" w:rsidRPr="008E707A" w:rsidRDefault="001503DA"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8E707A">
              <w:rPr>
                <w:rFonts w:ascii="Calibri" w:hAnsi="Calibri"/>
                <w:b/>
                <w:bCs/>
                <w:color w:val="auto"/>
              </w:rPr>
              <w:t>16%</w:t>
            </w:r>
          </w:p>
        </w:tc>
      </w:tr>
      <w:tr w:rsidR="008E707A" w:rsidRPr="008E707A" w14:paraId="06891A79" w14:textId="77777777" w:rsidTr="008E707A">
        <w:trPr>
          <w:trHeight w:val="20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noWrap/>
          </w:tcPr>
          <w:p w14:paraId="60FC959D" w14:textId="77777777" w:rsidR="001503DA" w:rsidRPr="008E707A" w:rsidRDefault="001503DA" w:rsidP="00CE2FDF">
            <w:pPr>
              <w:spacing w:before="0" w:after="60" w:line="276" w:lineRule="auto"/>
              <w:rPr>
                <w:rFonts w:ascii="Calibri" w:eastAsia="Times New Roman" w:hAnsi="Calibri" w:cs="Arial"/>
                <w:color w:val="auto"/>
                <w:lang w:eastAsia="en-AU"/>
              </w:rPr>
            </w:pPr>
            <w:r w:rsidRPr="008E707A">
              <w:rPr>
                <w:rFonts w:ascii="Calibri" w:eastAsia="Times New Roman" w:hAnsi="Calibri" w:cs="Arial"/>
                <w:color w:val="auto"/>
                <w:lang w:eastAsia="en-AU"/>
              </w:rPr>
              <w:t>TOTALS:</w:t>
            </w:r>
          </w:p>
        </w:tc>
        <w:tc>
          <w:tcPr>
            <w:tcW w:w="0" w:type="auto"/>
            <w:tcBorders>
              <w:top w:val="single" w:sz="4" w:space="0" w:color="auto"/>
              <w:left w:val="single" w:sz="4" w:space="0" w:color="auto"/>
              <w:bottom w:val="single" w:sz="4" w:space="0" w:color="auto"/>
            </w:tcBorders>
            <w:shd w:val="clear" w:color="auto" w:fill="B2A1C7" w:themeFill="accent4" w:themeFillTint="99"/>
            <w:noWrap/>
            <w:vAlign w:val="center"/>
          </w:tcPr>
          <w:p w14:paraId="55048159"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9,048</w:t>
            </w:r>
          </w:p>
        </w:tc>
        <w:tc>
          <w:tcPr>
            <w:tcW w:w="0" w:type="auto"/>
            <w:tcBorders>
              <w:top w:val="single" w:sz="4" w:space="0" w:color="auto"/>
              <w:bottom w:val="single" w:sz="4" w:space="0" w:color="auto"/>
            </w:tcBorders>
            <w:shd w:val="clear" w:color="auto" w:fill="B2A1C7" w:themeFill="accent4" w:themeFillTint="99"/>
            <w:noWrap/>
            <w:vAlign w:val="center"/>
          </w:tcPr>
          <w:p w14:paraId="28E320F4"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9,697</w:t>
            </w:r>
          </w:p>
        </w:tc>
        <w:tc>
          <w:tcPr>
            <w:tcW w:w="0" w:type="auto"/>
            <w:tcBorders>
              <w:top w:val="single" w:sz="4" w:space="0" w:color="auto"/>
              <w:bottom w:val="single" w:sz="4" w:space="0" w:color="auto"/>
            </w:tcBorders>
            <w:shd w:val="clear" w:color="auto" w:fill="B2A1C7" w:themeFill="accent4" w:themeFillTint="99"/>
            <w:noWrap/>
            <w:vAlign w:val="center"/>
          </w:tcPr>
          <w:p w14:paraId="2C740084"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8,930</w:t>
            </w:r>
          </w:p>
        </w:tc>
        <w:tc>
          <w:tcPr>
            <w:tcW w:w="0" w:type="auto"/>
            <w:tcBorders>
              <w:top w:val="single" w:sz="4" w:space="0" w:color="auto"/>
              <w:bottom w:val="single" w:sz="4" w:space="0" w:color="auto"/>
            </w:tcBorders>
            <w:shd w:val="clear" w:color="auto" w:fill="B2A1C7" w:themeFill="accent4" w:themeFillTint="99"/>
            <w:noWrap/>
            <w:vAlign w:val="center"/>
          </w:tcPr>
          <w:p w14:paraId="7944938D"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10,382</w:t>
            </w:r>
          </w:p>
        </w:tc>
        <w:tc>
          <w:tcPr>
            <w:tcW w:w="0" w:type="auto"/>
            <w:tcBorders>
              <w:top w:val="single" w:sz="4" w:space="0" w:color="auto"/>
              <w:bottom w:val="single" w:sz="4" w:space="0" w:color="auto"/>
            </w:tcBorders>
            <w:shd w:val="clear" w:color="auto" w:fill="B2A1C7" w:themeFill="accent4" w:themeFillTint="99"/>
            <w:noWrap/>
            <w:vAlign w:val="center"/>
          </w:tcPr>
          <w:p w14:paraId="56DD92FD"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10,203</w:t>
            </w:r>
          </w:p>
        </w:tc>
        <w:tc>
          <w:tcPr>
            <w:tcW w:w="0" w:type="auto"/>
            <w:tcBorders>
              <w:top w:val="single" w:sz="4" w:space="0" w:color="auto"/>
              <w:bottom w:val="single" w:sz="4" w:space="0" w:color="auto"/>
            </w:tcBorders>
            <w:shd w:val="clear" w:color="auto" w:fill="B2A1C7" w:themeFill="accent4" w:themeFillTint="99"/>
            <w:noWrap/>
            <w:vAlign w:val="center"/>
          </w:tcPr>
          <w:p w14:paraId="0D5CDD0A"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12,887</w:t>
            </w:r>
          </w:p>
        </w:tc>
        <w:tc>
          <w:tcPr>
            <w:tcW w:w="0" w:type="auto"/>
            <w:tcBorders>
              <w:top w:val="single" w:sz="4" w:space="0" w:color="auto"/>
              <w:bottom w:val="single" w:sz="4" w:space="0" w:color="auto"/>
            </w:tcBorders>
            <w:shd w:val="clear" w:color="auto" w:fill="B2A1C7" w:themeFill="accent4" w:themeFillTint="99"/>
            <w:noWrap/>
            <w:vAlign w:val="center"/>
          </w:tcPr>
          <w:p w14:paraId="3E98760A"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14,781</w:t>
            </w:r>
          </w:p>
        </w:tc>
        <w:tc>
          <w:tcPr>
            <w:tcW w:w="0" w:type="auto"/>
            <w:tcBorders>
              <w:top w:val="single" w:sz="4" w:space="0" w:color="auto"/>
              <w:bottom w:val="single" w:sz="4" w:space="0" w:color="auto"/>
            </w:tcBorders>
            <w:shd w:val="clear" w:color="auto" w:fill="B2A1C7" w:themeFill="accent4" w:themeFillTint="99"/>
            <w:noWrap/>
            <w:vAlign w:val="center"/>
          </w:tcPr>
          <w:p w14:paraId="79F53A51"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15,050</w:t>
            </w:r>
          </w:p>
        </w:tc>
        <w:tc>
          <w:tcPr>
            <w:tcW w:w="0" w:type="auto"/>
            <w:tcBorders>
              <w:top w:val="single" w:sz="4" w:space="0" w:color="auto"/>
              <w:bottom w:val="single" w:sz="4" w:space="0" w:color="auto"/>
            </w:tcBorders>
            <w:shd w:val="clear" w:color="auto" w:fill="B2A1C7" w:themeFill="accent4" w:themeFillTint="99"/>
            <w:noWrap/>
            <w:vAlign w:val="center"/>
          </w:tcPr>
          <w:p w14:paraId="4FCB29B7"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13,989</w:t>
            </w:r>
          </w:p>
        </w:tc>
        <w:tc>
          <w:tcPr>
            <w:tcW w:w="0" w:type="auto"/>
            <w:tcBorders>
              <w:top w:val="single" w:sz="4" w:space="0" w:color="auto"/>
              <w:bottom w:val="single" w:sz="4" w:space="0" w:color="auto"/>
              <w:right w:val="single" w:sz="4" w:space="0" w:color="auto"/>
            </w:tcBorders>
            <w:shd w:val="clear" w:color="auto" w:fill="B2A1C7" w:themeFill="accent4" w:themeFillTint="99"/>
            <w:noWrap/>
            <w:vAlign w:val="center"/>
          </w:tcPr>
          <w:p w14:paraId="400C27B9"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14,919</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2D5CC0AC" w14:textId="77777777" w:rsidR="001503DA" w:rsidRPr="008E707A" w:rsidRDefault="001503DA"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119,886</w:t>
            </w:r>
          </w:p>
        </w:tc>
        <w:tc>
          <w:tcPr>
            <w:tcW w:w="0" w:type="auto"/>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5A583F81" w14:textId="77777777" w:rsidR="001503DA" w:rsidRPr="008E707A" w:rsidRDefault="00A55CFF"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auto"/>
              </w:rPr>
            </w:pPr>
            <w:r w:rsidRPr="008E707A">
              <w:rPr>
                <w:rFonts w:ascii="Calibri" w:hAnsi="Calibri"/>
                <w:b/>
                <w:bCs/>
                <w:color w:val="auto"/>
              </w:rPr>
              <w:t>6</w:t>
            </w:r>
            <w:r w:rsidR="001503DA" w:rsidRPr="008E707A">
              <w:rPr>
                <w:rFonts w:ascii="Calibri" w:hAnsi="Calibri"/>
                <w:b/>
                <w:bCs/>
                <w:color w:val="auto"/>
              </w:rPr>
              <w:t>5%</w:t>
            </w:r>
          </w:p>
        </w:tc>
      </w:tr>
    </w:tbl>
    <w:p w14:paraId="48FFBC69" w14:textId="77777777" w:rsidR="002F6188" w:rsidRPr="00BD7D08" w:rsidRDefault="002F6188" w:rsidP="005E613E">
      <w:pPr>
        <w:pStyle w:val="Heading6"/>
        <w:spacing w:before="240" w:after="240"/>
      </w:pPr>
      <w:r w:rsidRPr="00BD7D08">
        <w:t>Line graph for table 1.20: Number of reports of physical abuse by year, by reporter group</w:t>
      </w:r>
    </w:p>
    <w:p w14:paraId="15EBDBD8" w14:textId="77777777" w:rsidR="002F6188" w:rsidRDefault="002F6188" w:rsidP="00B15586">
      <w:pPr>
        <w:spacing w:after="120"/>
        <w:rPr>
          <w:rFonts w:asciiTheme="majorHAnsi" w:eastAsiaTheme="majorEastAsia" w:hAnsiTheme="majorHAnsi" w:cstheme="majorBidi"/>
          <w:b/>
          <w:bCs/>
          <w:color w:val="17365D" w:themeColor="text2" w:themeShade="BF"/>
          <w:szCs w:val="24"/>
        </w:rPr>
      </w:pPr>
      <w:r>
        <w:rPr>
          <w:noProof/>
          <w:lang w:eastAsia="en-AU"/>
        </w:rPr>
        <w:drawing>
          <wp:inline distT="0" distB="0" distL="0" distR="0" wp14:anchorId="619E50B2" wp14:editId="6A4A86B4">
            <wp:extent cx="9305925" cy="2286000"/>
            <wp:effectExtent l="0" t="0" r="9525" b="0"/>
            <wp:docPr id="45" name="Chart 45" descr="Shows major mandated groups became main source of reports on physical abuse in 2010." title="Line graph for table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br w:type="page"/>
      </w:r>
    </w:p>
    <w:p w14:paraId="145D9CD4" w14:textId="07FBFAC4" w:rsidR="002F6188" w:rsidRDefault="00BC57B6" w:rsidP="00BC57B6">
      <w:pPr>
        <w:pStyle w:val="Figureheading"/>
      </w:pPr>
      <w:r>
        <w:lastRenderedPageBreak/>
        <w:t>1.21</w:t>
      </w:r>
      <w:r>
        <w:tab/>
      </w:r>
      <w:r w:rsidR="002F6188">
        <w:t>Number of reports of sexual abuse by year, by reporter group, with percentage change</w:t>
      </w:r>
    </w:p>
    <w:tbl>
      <w:tblPr>
        <w:tblStyle w:val="LightShading-Accent2"/>
        <w:tblW w:w="14709" w:type="dxa"/>
        <w:tblLayout w:type="fixed"/>
        <w:tblLook w:val="04A0" w:firstRow="1" w:lastRow="0" w:firstColumn="1" w:lastColumn="0" w:noHBand="0" w:noVBand="1"/>
        <w:tblCaption w:val="Number of reports of sexual abuse by year, by reporter group, with percentage change"/>
      </w:tblPr>
      <w:tblGrid>
        <w:gridCol w:w="2628"/>
        <w:gridCol w:w="810"/>
        <w:gridCol w:w="900"/>
        <w:gridCol w:w="847"/>
        <w:gridCol w:w="1031"/>
        <w:gridCol w:w="1031"/>
        <w:gridCol w:w="1031"/>
        <w:gridCol w:w="1031"/>
        <w:gridCol w:w="1031"/>
        <w:gridCol w:w="1031"/>
        <w:gridCol w:w="1031"/>
        <w:gridCol w:w="1031"/>
        <w:gridCol w:w="1276"/>
      </w:tblGrid>
      <w:tr w:rsidR="0079529B" w:rsidRPr="00407ACB" w14:paraId="64824385" w14:textId="77777777" w:rsidTr="00407ACB">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66561CB2" w14:textId="77777777" w:rsidR="002F6188" w:rsidRPr="00407ACB" w:rsidRDefault="002F6188" w:rsidP="00407ACB">
            <w:pPr>
              <w:keepNext/>
              <w:spacing w:before="0" w:after="60" w:line="240" w:lineRule="auto"/>
              <w:rPr>
                <w:rFonts w:eastAsia="Times New Roman" w:cs="Arial"/>
                <w:color w:val="auto"/>
                <w:lang w:eastAsia="en-AU"/>
              </w:rPr>
            </w:pPr>
          </w:p>
        </w:tc>
        <w:tc>
          <w:tcPr>
            <w:tcW w:w="810" w:type="dxa"/>
            <w:tcBorders>
              <w:top w:val="single" w:sz="4" w:space="0" w:color="auto"/>
              <w:left w:val="single" w:sz="4" w:space="0" w:color="auto"/>
              <w:bottom w:val="single" w:sz="4" w:space="0" w:color="auto"/>
            </w:tcBorders>
            <w:shd w:val="clear" w:color="auto" w:fill="D99594" w:themeFill="accent2" w:themeFillTint="99"/>
            <w:noWrap/>
            <w:vAlign w:val="center"/>
            <w:hideMark/>
          </w:tcPr>
          <w:p w14:paraId="1097D4E6"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2003</w:t>
            </w:r>
          </w:p>
        </w:tc>
        <w:tc>
          <w:tcPr>
            <w:tcW w:w="900" w:type="dxa"/>
            <w:tcBorders>
              <w:top w:val="single" w:sz="4" w:space="0" w:color="auto"/>
              <w:bottom w:val="single" w:sz="4" w:space="0" w:color="auto"/>
            </w:tcBorders>
            <w:shd w:val="clear" w:color="auto" w:fill="D99594" w:themeFill="accent2" w:themeFillTint="99"/>
            <w:noWrap/>
            <w:vAlign w:val="center"/>
            <w:hideMark/>
          </w:tcPr>
          <w:p w14:paraId="2BCF352D"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2004</w:t>
            </w:r>
          </w:p>
        </w:tc>
        <w:tc>
          <w:tcPr>
            <w:tcW w:w="847" w:type="dxa"/>
            <w:tcBorders>
              <w:top w:val="single" w:sz="4" w:space="0" w:color="auto"/>
              <w:bottom w:val="single" w:sz="4" w:space="0" w:color="auto"/>
            </w:tcBorders>
            <w:shd w:val="clear" w:color="auto" w:fill="D99594" w:themeFill="accent2" w:themeFillTint="99"/>
            <w:noWrap/>
            <w:vAlign w:val="center"/>
            <w:hideMark/>
          </w:tcPr>
          <w:p w14:paraId="4737CCF9"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2005</w:t>
            </w:r>
          </w:p>
        </w:tc>
        <w:tc>
          <w:tcPr>
            <w:tcW w:w="1031" w:type="dxa"/>
            <w:tcBorders>
              <w:top w:val="single" w:sz="4" w:space="0" w:color="auto"/>
              <w:bottom w:val="single" w:sz="4" w:space="0" w:color="auto"/>
            </w:tcBorders>
            <w:shd w:val="clear" w:color="auto" w:fill="D99594" w:themeFill="accent2" w:themeFillTint="99"/>
            <w:noWrap/>
            <w:vAlign w:val="center"/>
            <w:hideMark/>
          </w:tcPr>
          <w:p w14:paraId="42BF4D31"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2006</w:t>
            </w:r>
          </w:p>
        </w:tc>
        <w:tc>
          <w:tcPr>
            <w:tcW w:w="1031" w:type="dxa"/>
            <w:tcBorders>
              <w:top w:val="single" w:sz="4" w:space="0" w:color="auto"/>
              <w:bottom w:val="single" w:sz="4" w:space="0" w:color="auto"/>
            </w:tcBorders>
            <w:shd w:val="clear" w:color="auto" w:fill="D99594" w:themeFill="accent2" w:themeFillTint="99"/>
            <w:noWrap/>
            <w:vAlign w:val="center"/>
            <w:hideMark/>
          </w:tcPr>
          <w:p w14:paraId="40011762"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2007</w:t>
            </w:r>
          </w:p>
        </w:tc>
        <w:tc>
          <w:tcPr>
            <w:tcW w:w="1031" w:type="dxa"/>
            <w:tcBorders>
              <w:top w:val="single" w:sz="4" w:space="0" w:color="auto"/>
              <w:bottom w:val="single" w:sz="4" w:space="0" w:color="auto"/>
            </w:tcBorders>
            <w:shd w:val="clear" w:color="auto" w:fill="D99594" w:themeFill="accent2" w:themeFillTint="99"/>
            <w:noWrap/>
            <w:vAlign w:val="center"/>
            <w:hideMark/>
          </w:tcPr>
          <w:p w14:paraId="04EAE87E"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2008</w:t>
            </w:r>
          </w:p>
        </w:tc>
        <w:tc>
          <w:tcPr>
            <w:tcW w:w="1031" w:type="dxa"/>
            <w:tcBorders>
              <w:top w:val="single" w:sz="4" w:space="0" w:color="auto"/>
              <w:bottom w:val="single" w:sz="4" w:space="0" w:color="auto"/>
            </w:tcBorders>
            <w:shd w:val="clear" w:color="auto" w:fill="D99594" w:themeFill="accent2" w:themeFillTint="99"/>
            <w:noWrap/>
            <w:vAlign w:val="center"/>
            <w:hideMark/>
          </w:tcPr>
          <w:p w14:paraId="42E5CDBD"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2009</w:t>
            </w:r>
          </w:p>
        </w:tc>
        <w:tc>
          <w:tcPr>
            <w:tcW w:w="1031" w:type="dxa"/>
            <w:tcBorders>
              <w:top w:val="single" w:sz="4" w:space="0" w:color="auto"/>
              <w:bottom w:val="single" w:sz="4" w:space="0" w:color="auto"/>
            </w:tcBorders>
            <w:shd w:val="clear" w:color="auto" w:fill="D99594" w:themeFill="accent2" w:themeFillTint="99"/>
            <w:noWrap/>
            <w:vAlign w:val="center"/>
            <w:hideMark/>
          </w:tcPr>
          <w:p w14:paraId="0512ACB2"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2010</w:t>
            </w:r>
          </w:p>
        </w:tc>
        <w:tc>
          <w:tcPr>
            <w:tcW w:w="1031" w:type="dxa"/>
            <w:tcBorders>
              <w:top w:val="single" w:sz="4" w:space="0" w:color="auto"/>
              <w:bottom w:val="single" w:sz="4" w:space="0" w:color="auto"/>
            </w:tcBorders>
            <w:shd w:val="clear" w:color="auto" w:fill="D99594" w:themeFill="accent2" w:themeFillTint="99"/>
            <w:noWrap/>
            <w:vAlign w:val="center"/>
            <w:hideMark/>
          </w:tcPr>
          <w:p w14:paraId="3877E4C2"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2011</w:t>
            </w:r>
          </w:p>
        </w:tc>
        <w:tc>
          <w:tcPr>
            <w:tcW w:w="1031"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6A8FB3E0"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2012</w:t>
            </w:r>
          </w:p>
        </w:tc>
        <w:tc>
          <w:tcPr>
            <w:tcW w:w="103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25F48A91"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407ACB">
              <w:rPr>
                <w:rFonts w:eastAsia="Times New Roman" w:cs="Arial"/>
                <w:color w:val="auto"/>
                <w:lang w:eastAsia="en-AU"/>
              </w:rPr>
              <w:t>Totals</w:t>
            </w:r>
          </w:p>
        </w:tc>
        <w:tc>
          <w:tcPr>
            <w:tcW w:w="127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3174AF9F" w14:textId="77777777" w:rsidR="002F6188" w:rsidRPr="00407ACB" w:rsidRDefault="002F6188" w:rsidP="00407ACB">
            <w:pPr>
              <w:keepNext/>
              <w:spacing w:before="0" w:after="6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407ACB">
              <w:rPr>
                <w:rFonts w:eastAsia="Times New Roman" w:cs="Arial"/>
                <w:bCs w:val="0"/>
                <w:color w:val="auto"/>
                <w:lang w:eastAsia="en-AU"/>
              </w:rPr>
              <w:t xml:space="preserve"> % change</w:t>
            </w:r>
          </w:p>
        </w:tc>
      </w:tr>
      <w:tr w:rsidR="001503DA" w:rsidRPr="00407ACB" w14:paraId="506CF26B" w14:textId="77777777" w:rsidTr="00407AC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single" w:sz="4" w:space="0" w:color="auto"/>
              <w:right w:val="single" w:sz="4" w:space="0" w:color="auto"/>
            </w:tcBorders>
            <w:noWrap/>
            <w:vAlign w:val="center"/>
            <w:hideMark/>
          </w:tcPr>
          <w:p w14:paraId="74654092" w14:textId="77777777" w:rsidR="001503DA" w:rsidRPr="00407ACB" w:rsidRDefault="001503DA" w:rsidP="00407ACB">
            <w:pPr>
              <w:spacing w:before="0" w:after="60" w:line="240" w:lineRule="auto"/>
              <w:rPr>
                <w:rFonts w:eastAsia="Times New Roman" w:cs="Arial"/>
                <w:color w:val="auto"/>
                <w:lang w:eastAsia="en-AU"/>
              </w:rPr>
            </w:pPr>
            <w:r w:rsidRPr="00407ACB">
              <w:rPr>
                <w:rFonts w:eastAsia="Times New Roman" w:cs="Arial"/>
                <w:bCs w:val="0"/>
                <w:color w:val="auto"/>
                <w:lang w:eastAsia="en-AU"/>
              </w:rPr>
              <w:t>Doctors</w:t>
            </w:r>
          </w:p>
        </w:tc>
        <w:tc>
          <w:tcPr>
            <w:tcW w:w="810" w:type="dxa"/>
            <w:tcBorders>
              <w:top w:val="single" w:sz="4" w:space="0" w:color="auto"/>
              <w:left w:val="single" w:sz="4" w:space="0" w:color="auto"/>
            </w:tcBorders>
            <w:noWrap/>
            <w:vAlign w:val="center"/>
          </w:tcPr>
          <w:p w14:paraId="6B6B1985"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222</w:t>
            </w:r>
          </w:p>
        </w:tc>
        <w:tc>
          <w:tcPr>
            <w:tcW w:w="900" w:type="dxa"/>
            <w:tcBorders>
              <w:top w:val="single" w:sz="4" w:space="0" w:color="auto"/>
            </w:tcBorders>
            <w:noWrap/>
            <w:vAlign w:val="center"/>
          </w:tcPr>
          <w:p w14:paraId="06BF0685"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193</w:t>
            </w:r>
          </w:p>
        </w:tc>
        <w:tc>
          <w:tcPr>
            <w:tcW w:w="847" w:type="dxa"/>
            <w:tcBorders>
              <w:top w:val="single" w:sz="4" w:space="0" w:color="auto"/>
            </w:tcBorders>
            <w:noWrap/>
            <w:vAlign w:val="center"/>
          </w:tcPr>
          <w:p w14:paraId="6969D1E3"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203</w:t>
            </w:r>
          </w:p>
        </w:tc>
        <w:tc>
          <w:tcPr>
            <w:tcW w:w="1031" w:type="dxa"/>
            <w:tcBorders>
              <w:top w:val="single" w:sz="4" w:space="0" w:color="auto"/>
            </w:tcBorders>
            <w:noWrap/>
            <w:vAlign w:val="center"/>
          </w:tcPr>
          <w:p w14:paraId="1BA5ECCD"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185</w:t>
            </w:r>
          </w:p>
        </w:tc>
        <w:tc>
          <w:tcPr>
            <w:tcW w:w="1031" w:type="dxa"/>
            <w:tcBorders>
              <w:top w:val="single" w:sz="4" w:space="0" w:color="auto"/>
            </w:tcBorders>
            <w:noWrap/>
            <w:vAlign w:val="center"/>
          </w:tcPr>
          <w:p w14:paraId="477A2733"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116</w:t>
            </w:r>
          </w:p>
        </w:tc>
        <w:tc>
          <w:tcPr>
            <w:tcW w:w="1031" w:type="dxa"/>
            <w:tcBorders>
              <w:top w:val="single" w:sz="4" w:space="0" w:color="auto"/>
            </w:tcBorders>
            <w:noWrap/>
            <w:vAlign w:val="center"/>
          </w:tcPr>
          <w:p w14:paraId="343EA83E"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171</w:t>
            </w:r>
          </w:p>
        </w:tc>
        <w:tc>
          <w:tcPr>
            <w:tcW w:w="1031" w:type="dxa"/>
            <w:tcBorders>
              <w:top w:val="single" w:sz="4" w:space="0" w:color="auto"/>
            </w:tcBorders>
            <w:noWrap/>
            <w:vAlign w:val="center"/>
          </w:tcPr>
          <w:p w14:paraId="62C92EC2"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219</w:t>
            </w:r>
          </w:p>
        </w:tc>
        <w:tc>
          <w:tcPr>
            <w:tcW w:w="1031" w:type="dxa"/>
            <w:tcBorders>
              <w:top w:val="single" w:sz="4" w:space="0" w:color="auto"/>
            </w:tcBorders>
            <w:noWrap/>
            <w:vAlign w:val="center"/>
          </w:tcPr>
          <w:p w14:paraId="5B13B951"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191</w:t>
            </w:r>
          </w:p>
        </w:tc>
        <w:tc>
          <w:tcPr>
            <w:tcW w:w="1031" w:type="dxa"/>
            <w:tcBorders>
              <w:top w:val="single" w:sz="4" w:space="0" w:color="auto"/>
            </w:tcBorders>
            <w:noWrap/>
            <w:vAlign w:val="center"/>
          </w:tcPr>
          <w:p w14:paraId="1EB94766"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200</w:t>
            </w:r>
          </w:p>
        </w:tc>
        <w:tc>
          <w:tcPr>
            <w:tcW w:w="1031" w:type="dxa"/>
            <w:tcBorders>
              <w:top w:val="single" w:sz="4" w:space="0" w:color="auto"/>
              <w:right w:val="single" w:sz="4" w:space="0" w:color="auto"/>
            </w:tcBorders>
            <w:noWrap/>
            <w:vAlign w:val="center"/>
          </w:tcPr>
          <w:p w14:paraId="44F4C7E8"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228</w:t>
            </w:r>
          </w:p>
        </w:tc>
        <w:tc>
          <w:tcPr>
            <w:tcW w:w="1031" w:type="dxa"/>
            <w:tcBorders>
              <w:top w:val="single" w:sz="4" w:space="0" w:color="auto"/>
              <w:left w:val="single" w:sz="4" w:space="0" w:color="auto"/>
              <w:right w:val="single" w:sz="4" w:space="0" w:color="auto"/>
            </w:tcBorders>
            <w:vAlign w:val="center"/>
          </w:tcPr>
          <w:p w14:paraId="7DA5DD6E"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1928</w:t>
            </w:r>
          </w:p>
        </w:tc>
        <w:tc>
          <w:tcPr>
            <w:tcW w:w="1276" w:type="dxa"/>
            <w:tcBorders>
              <w:top w:val="single" w:sz="4" w:space="0" w:color="auto"/>
              <w:left w:val="single" w:sz="4" w:space="0" w:color="auto"/>
              <w:right w:val="single" w:sz="4" w:space="0" w:color="auto"/>
            </w:tcBorders>
            <w:vAlign w:val="center"/>
          </w:tcPr>
          <w:p w14:paraId="5F2CB01B"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3%</w:t>
            </w:r>
          </w:p>
        </w:tc>
      </w:tr>
      <w:tr w:rsidR="001503DA" w:rsidRPr="00407ACB" w14:paraId="7B923E8E" w14:textId="77777777" w:rsidTr="00407ACB">
        <w:trPr>
          <w:trHeight w:val="204"/>
        </w:trPr>
        <w:tc>
          <w:tcPr>
            <w:cnfStyle w:val="001000000000" w:firstRow="0" w:lastRow="0" w:firstColumn="1" w:lastColumn="0" w:oddVBand="0" w:evenVBand="0" w:oddHBand="0" w:evenHBand="0" w:firstRowFirstColumn="0" w:firstRowLastColumn="0" w:lastRowFirstColumn="0" w:lastRowLastColumn="0"/>
            <w:tcW w:w="2628" w:type="dxa"/>
            <w:tcBorders>
              <w:left w:val="single" w:sz="4" w:space="0" w:color="auto"/>
              <w:right w:val="single" w:sz="4" w:space="0" w:color="auto"/>
            </w:tcBorders>
            <w:noWrap/>
            <w:vAlign w:val="center"/>
            <w:hideMark/>
          </w:tcPr>
          <w:p w14:paraId="7E9CE150" w14:textId="77777777" w:rsidR="001503DA" w:rsidRPr="00407ACB" w:rsidRDefault="001503DA" w:rsidP="00407ACB">
            <w:pPr>
              <w:spacing w:before="0" w:after="60" w:line="240" w:lineRule="auto"/>
              <w:rPr>
                <w:rFonts w:eastAsia="Times New Roman" w:cs="Arial"/>
                <w:color w:val="auto"/>
                <w:lang w:eastAsia="en-AU"/>
              </w:rPr>
            </w:pPr>
            <w:r w:rsidRPr="00407ACB">
              <w:rPr>
                <w:rFonts w:eastAsia="Times New Roman" w:cs="Arial"/>
                <w:bCs w:val="0"/>
                <w:color w:val="auto"/>
                <w:lang w:eastAsia="en-AU"/>
              </w:rPr>
              <w:t>Nurses</w:t>
            </w:r>
          </w:p>
        </w:tc>
        <w:tc>
          <w:tcPr>
            <w:tcW w:w="810" w:type="dxa"/>
            <w:tcBorders>
              <w:left w:val="single" w:sz="4" w:space="0" w:color="auto"/>
            </w:tcBorders>
            <w:noWrap/>
            <w:vAlign w:val="center"/>
          </w:tcPr>
          <w:p w14:paraId="637CB039"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68</w:t>
            </w:r>
          </w:p>
        </w:tc>
        <w:tc>
          <w:tcPr>
            <w:tcW w:w="900" w:type="dxa"/>
            <w:noWrap/>
            <w:vAlign w:val="center"/>
          </w:tcPr>
          <w:p w14:paraId="418165C8"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57</w:t>
            </w:r>
          </w:p>
        </w:tc>
        <w:tc>
          <w:tcPr>
            <w:tcW w:w="847" w:type="dxa"/>
            <w:noWrap/>
            <w:vAlign w:val="center"/>
          </w:tcPr>
          <w:p w14:paraId="1C2A72CA"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81</w:t>
            </w:r>
          </w:p>
        </w:tc>
        <w:tc>
          <w:tcPr>
            <w:tcW w:w="1031" w:type="dxa"/>
            <w:noWrap/>
            <w:vAlign w:val="center"/>
          </w:tcPr>
          <w:p w14:paraId="23826DA6"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68</w:t>
            </w:r>
          </w:p>
        </w:tc>
        <w:tc>
          <w:tcPr>
            <w:tcW w:w="1031" w:type="dxa"/>
            <w:noWrap/>
            <w:vAlign w:val="center"/>
          </w:tcPr>
          <w:p w14:paraId="5DB550F8"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67</w:t>
            </w:r>
          </w:p>
        </w:tc>
        <w:tc>
          <w:tcPr>
            <w:tcW w:w="1031" w:type="dxa"/>
            <w:noWrap/>
            <w:vAlign w:val="center"/>
          </w:tcPr>
          <w:p w14:paraId="0FF027DE"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80</w:t>
            </w:r>
          </w:p>
        </w:tc>
        <w:tc>
          <w:tcPr>
            <w:tcW w:w="1031" w:type="dxa"/>
            <w:noWrap/>
            <w:vAlign w:val="center"/>
          </w:tcPr>
          <w:p w14:paraId="0B362719"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70</w:t>
            </w:r>
          </w:p>
        </w:tc>
        <w:tc>
          <w:tcPr>
            <w:tcW w:w="1031" w:type="dxa"/>
            <w:noWrap/>
            <w:vAlign w:val="center"/>
          </w:tcPr>
          <w:p w14:paraId="3786AD72"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72</w:t>
            </w:r>
          </w:p>
        </w:tc>
        <w:tc>
          <w:tcPr>
            <w:tcW w:w="1031" w:type="dxa"/>
            <w:noWrap/>
            <w:vAlign w:val="center"/>
          </w:tcPr>
          <w:p w14:paraId="44B8AD34"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71</w:t>
            </w:r>
          </w:p>
        </w:tc>
        <w:tc>
          <w:tcPr>
            <w:tcW w:w="1031" w:type="dxa"/>
            <w:tcBorders>
              <w:right w:val="single" w:sz="4" w:space="0" w:color="auto"/>
            </w:tcBorders>
            <w:noWrap/>
            <w:vAlign w:val="center"/>
          </w:tcPr>
          <w:p w14:paraId="7BD985F8"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89</w:t>
            </w:r>
          </w:p>
        </w:tc>
        <w:tc>
          <w:tcPr>
            <w:tcW w:w="1031" w:type="dxa"/>
            <w:tcBorders>
              <w:left w:val="single" w:sz="4" w:space="0" w:color="auto"/>
              <w:right w:val="single" w:sz="4" w:space="0" w:color="auto"/>
            </w:tcBorders>
            <w:vAlign w:val="center"/>
          </w:tcPr>
          <w:p w14:paraId="62F57261"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723</w:t>
            </w:r>
          </w:p>
        </w:tc>
        <w:tc>
          <w:tcPr>
            <w:tcW w:w="1276" w:type="dxa"/>
            <w:tcBorders>
              <w:left w:val="single" w:sz="4" w:space="0" w:color="auto"/>
              <w:right w:val="single" w:sz="4" w:space="0" w:color="auto"/>
            </w:tcBorders>
            <w:vAlign w:val="center"/>
          </w:tcPr>
          <w:p w14:paraId="7D31D3AB"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31%</w:t>
            </w:r>
          </w:p>
        </w:tc>
      </w:tr>
      <w:tr w:rsidR="001503DA" w:rsidRPr="00407ACB" w14:paraId="0842F591" w14:textId="77777777" w:rsidTr="00407AC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628" w:type="dxa"/>
            <w:tcBorders>
              <w:left w:val="single" w:sz="4" w:space="0" w:color="auto"/>
              <w:right w:val="single" w:sz="4" w:space="0" w:color="auto"/>
            </w:tcBorders>
            <w:noWrap/>
            <w:vAlign w:val="center"/>
            <w:hideMark/>
          </w:tcPr>
          <w:p w14:paraId="3476BC1B" w14:textId="77777777" w:rsidR="001503DA" w:rsidRPr="00407ACB" w:rsidRDefault="001503DA" w:rsidP="00407ACB">
            <w:pPr>
              <w:spacing w:before="0" w:after="60" w:line="240" w:lineRule="auto"/>
              <w:rPr>
                <w:rFonts w:eastAsia="Times New Roman" w:cs="Arial"/>
                <w:color w:val="auto"/>
                <w:lang w:eastAsia="en-AU"/>
              </w:rPr>
            </w:pPr>
            <w:r w:rsidRPr="00407ACB">
              <w:rPr>
                <w:rFonts w:eastAsia="Times New Roman" w:cs="Arial"/>
                <w:bCs w:val="0"/>
                <w:color w:val="auto"/>
                <w:lang w:eastAsia="en-AU"/>
              </w:rPr>
              <w:t>Police</w:t>
            </w:r>
          </w:p>
        </w:tc>
        <w:tc>
          <w:tcPr>
            <w:tcW w:w="810" w:type="dxa"/>
            <w:tcBorders>
              <w:left w:val="single" w:sz="4" w:space="0" w:color="auto"/>
            </w:tcBorders>
            <w:noWrap/>
            <w:vAlign w:val="center"/>
          </w:tcPr>
          <w:p w14:paraId="4A1B2EA6"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828</w:t>
            </w:r>
          </w:p>
        </w:tc>
        <w:tc>
          <w:tcPr>
            <w:tcW w:w="900" w:type="dxa"/>
            <w:noWrap/>
            <w:vAlign w:val="center"/>
          </w:tcPr>
          <w:p w14:paraId="0FD98427"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841</w:t>
            </w:r>
          </w:p>
        </w:tc>
        <w:tc>
          <w:tcPr>
            <w:tcW w:w="847" w:type="dxa"/>
            <w:noWrap/>
            <w:vAlign w:val="center"/>
          </w:tcPr>
          <w:p w14:paraId="26AF8A96"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936</w:t>
            </w:r>
          </w:p>
        </w:tc>
        <w:tc>
          <w:tcPr>
            <w:tcW w:w="1031" w:type="dxa"/>
            <w:noWrap/>
            <w:vAlign w:val="center"/>
          </w:tcPr>
          <w:p w14:paraId="37645BBC"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810</w:t>
            </w:r>
          </w:p>
        </w:tc>
        <w:tc>
          <w:tcPr>
            <w:tcW w:w="1031" w:type="dxa"/>
            <w:noWrap/>
            <w:vAlign w:val="center"/>
          </w:tcPr>
          <w:p w14:paraId="201FFA77"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698</w:t>
            </w:r>
          </w:p>
        </w:tc>
        <w:tc>
          <w:tcPr>
            <w:tcW w:w="1031" w:type="dxa"/>
            <w:noWrap/>
            <w:vAlign w:val="center"/>
          </w:tcPr>
          <w:p w14:paraId="05D85F6E"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795</w:t>
            </w:r>
          </w:p>
        </w:tc>
        <w:tc>
          <w:tcPr>
            <w:tcW w:w="1031" w:type="dxa"/>
            <w:noWrap/>
            <w:vAlign w:val="center"/>
          </w:tcPr>
          <w:p w14:paraId="58D1BB47"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919</w:t>
            </w:r>
          </w:p>
        </w:tc>
        <w:tc>
          <w:tcPr>
            <w:tcW w:w="1031" w:type="dxa"/>
            <w:noWrap/>
            <w:vAlign w:val="center"/>
          </w:tcPr>
          <w:p w14:paraId="010A751A"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2,046</w:t>
            </w:r>
          </w:p>
        </w:tc>
        <w:tc>
          <w:tcPr>
            <w:tcW w:w="1031" w:type="dxa"/>
            <w:noWrap/>
            <w:vAlign w:val="center"/>
          </w:tcPr>
          <w:p w14:paraId="093B25EA"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1,771</w:t>
            </w:r>
          </w:p>
        </w:tc>
        <w:tc>
          <w:tcPr>
            <w:tcW w:w="1031" w:type="dxa"/>
            <w:tcBorders>
              <w:right w:val="single" w:sz="4" w:space="0" w:color="auto"/>
            </w:tcBorders>
            <w:noWrap/>
            <w:vAlign w:val="center"/>
          </w:tcPr>
          <w:p w14:paraId="3D2A2FB7"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2,780</w:t>
            </w:r>
          </w:p>
        </w:tc>
        <w:tc>
          <w:tcPr>
            <w:tcW w:w="1031" w:type="dxa"/>
            <w:tcBorders>
              <w:left w:val="single" w:sz="4" w:space="0" w:color="auto"/>
              <w:right w:val="single" w:sz="4" w:space="0" w:color="auto"/>
            </w:tcBorders>
            <w:vAlign w:val="center"/>
          </w:tcPr>
          <w:p w14:paraId="16755D2E"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12,424</w:t>
            </w:r>
          </w:p>
        </w:tc>
        <w:tc>
          <w:tcPr>
            <w:tcW w:w="1276" w:type="dxa"/>
            <w:tcBorders>
              <w:left w:val="single" w:sz="4" w:space="0" w:color="auto"/>
              <w:right w:val="single" w:sz="4" w:space="0" w:color="auto"/>
            </w:tcBorders>
            <w:vAlign w:val="center"/>
          </w:tcPr>
          <w:p w14:paraId="2F8479D7"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236%</w:t>
            </w:r>
          </w:p>
        </w:tc>
      </w:tr>
      <w:tr w:rsidR="001503DA" w:rsidRPr="00407ACB" w14:paraId="6F7D223A" w14:textId="77777777" w:rsidTr="00407ACB">
        <w:trPr>
          <w:trHeight w:val="204"/>
        </w:trPr>
        <w:tc>
          <w:tcPr>
            <w:cnfStyle w:val="001000000000" w:firstRow="0" w:lastRow="0" w:firstColumn="1" w:lastColumn="0" w:oddVBand="0" w:evenVBand="0" w:oddHBand="0" w:evenHBand="0" w:firstRowFirstColumn="0" w:firstRowLastColumn="0" w:lastRowFirstColumn="0" w:lastRowLastColumn="0"/>
            <w:tcW w:w="2628" w:type="dxa"/>
            <w:tcBorders>
              <w:left w:val="single" w:sz="4" w:space="0" w:color="auto"/>
              <w:right w:val="single" w:sz="4" w:space="0" w:color="auto"/>
            </w:tcBorders>
            <w:noWrap/>
            <w:vAlign w:val="center"/>
            <w:hideMark/>
          </w:tcPr>
          <w:p w14:paraId="0BD36198" w14:textId="77777777" w:rsidR="001503DA" w:rsidRPr="00407ACB" w:rsidRDefault="001503DA" w:rsidP="00407ACB">
            <w:pPr>
              <w:spacing w:before="0" w:after="60" w:line="240" w:lineRule="auto"/>
              <w:rPr>
                <w:rFonts w:eastAsia="Times New Roman" w:cs="Arial"/>
                <w:color w:val="auto"/>
                <w:lang w:eastAsia="en-AU"/>
              </w:rPr>
            </w:pPr>
            <w:r w:rsidRPr="00407ACB">
              <w:rPr>
                <w:rFonts w:eastAsia="Times New Roman" w:cs="Arial"/>
                <w:bCs w:val="0"/>
                <w:color w:val="auto"/>
                <w:lang w:eastAsia="en-AU"/>
              </w:rPr>
              <w:t>School personnel</w:t>
            </w:r>
          </w:p>
        </w:tc>
        <w:tc>
          <w:tcPr>
            <w:tcW w:w="810" w:type="dxa"/>
            <w:tcBorders>
              <w:left w:val="single" w:sz="4" w:space="0" w:color="auto"/>
            </w:tcBorders>
            <w:noWrap/>
            <w:vAlign w:val="center"/>
          </w:tcPr>
          <w:p w14:paraId="4753B43F"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431</w:t>
            </w:r>
          </w:p>
        </w:tc>
        <w:tc>
          <w:tcPr>
            <w:tcW w:w="900" w:type="dxa"/>
            <w:noWrap/>
            <w:vAlign w:val="center"/>
          </w:tcPr>
          <w:p w14:paraId="7136BF48"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470</w:t>
            </w:r>
          </w:p>
        </w:tc>
        <w:tc>
          <w:tcPr>
            <w:tcW w:w="847" w:type="dxa"/>
            <w:noWrap/>
            <w:vAlign w:val="center"/>
          </w:tcPr>
          <w:p w14:paraId="5C552AA9"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477</w:t>
            </w:r>
          </w:p>
        </w:tc>
        <w:tc>
          <w:tcPr>
            <w:tcW w:w="1031" w:type="dxa"/>
            <w:noWrap/>
            <w:vAlign w:val="center"/>
          </w:tcPr>
          <w:p w14:paraId="4A5278D3"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537</w:t>
            </w:r>
          </w:p>
        </w:tc>
        <w:tc>
          <w:tcPr>
            <w:tcW w:w="1031" w:type="dxa"/>
            <w:noWrap/>
            <w:vAlign w:val="center"/>
          </w:tcPr>
          <w:p w14:paraId="58F211EA"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420</w:t>
            </w:r>
          </w:p>
        </w:tc>
        <w:tc>
          <w:tcPr>
            <w:tcW w:w="1031" w:type="dxa"/>
            <w:noWrap/>
            <w:vAlign w:val="center"/>
          </w:tcPr>
          <w:p w14:paraId="59A620FD"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692</w:t>
            </w:r>
          </w:p>
        </w:tc>
        <w:tc>
          <w:tcPr>
            <w:tcW w:w="1031" w:type="dxa"/>
            <w:noWrap/>
            <w:vAlign w:val="center"/>
          </w:tcPr>
          <w:p w14:paraId="554C61BA"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637</w:t>
            </w:r>
          </w:p>
        </w:tc>
        <w:tc>
          <w:tcPr>
            <w:tcW w:w="1031" w:type="dxa"/>
            <w:noWrap/>
            <w:vAlign w:val="center"/>
          </w:tcPr>
          <w:p w14:paraId="6E4DF1E9"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783</w:t>
            </w:r>
          </w:p>
        </w:tc>
        <w:tc>
          <w:tcPr>
            <w:tcW w:w="1031" w:type="dxa"/>
            <w:noWrap/>
            <w:vAlign w:val="center"/>
          </w:tcPr>
          <w:p w14:paraId="3F467394"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929</w:t>
            </w:r>
          </w:p>
        </w:tc>
        <w:tc>
          <w:tcPr>
            <w:tcW w:w="1031" w:type="dxa"/>
            <w:tcBorders>
              <w:right w:val="single" w:sz="4" w:space="0" w:color="auto"/>
            </w:tcBorders>
            <w:noWrap/>
            <w:vAlign w:val="center"/>
          </w:tcPr>
          <w:p w14:paraId="0CCCB907"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1,001</w:t>
            </w:r>
          </w:p>
        </w:tc>
        <w:tc>
          <w:tcPr>
            <w:tcW w:w="1031" w:type="dxa"/>
            <w:tcBorders>
              <w:left w:val="single" w:sz="4" w:space="0" w:color="auto"/>
              <w:right w:val="single" w:sz="4" w:space="0" w:color="auto"/>
            </w:tcBorders>
            <w:vAlign w:val="center"/>
          </w:tcPr>
          <w:p w14:paraId="24E3073A"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6,377</w:t>
            </w:r>
          </w:p>
        </w:tc>
        <w:tc>
          <w:tcPr>
            <w:tcW w:w="1276" w:type="dxa"/>
            <w:tcBorders>
              <w:left w:val="single" w:sz="4" w:space="0" w:color="auto"/>
              <w:right w:val="single" w:sz="4" w:space="0" w:color="auto"/>
            </w:tcBorders>
            <w:vAlign w:val="center"/>
          </w:tcPr>
          <w:p w14:paraId="34991310"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132%</w:t>
            </w:r>
          </w:p>
        </w:tc>
      </w:tr>
      <w:tr w:rsidR="001503DA" w:rsidRPr="00407ACB" w14:paraId="7B2C0D65" w14:textId="77777777" w:rsidTr="00407AC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628" w:type="dxa"/>
            <w:tcBorders>
              <w:left w:val="single" w:sz="4" w:space="0" w:color="auto"/>
              <w:right w:val="single" w:sz="4" w:space="0" w:color="auto"/>
            </w:tcBorders>
            <w:noWrap/>
            <w:vAlign w:val="center"/>
            <w:hideMark/>
          </w:tcPr>
          <w:p w14:paraId="2E970DF9" w14:textId="77777777" w:rsidR="001503DA" w:rsidRPr="00407ACB" w:rsidRDefault="001503DA" w:rsidP="00407ACB">
            <w:pPr>
              <w:spacing w:before="0" w:after="60" w:line="240" w:lineRule="auto"/>
              <w:rPr>
                <w:rFonts w:eastAsia="Times New Roman" w:cs="Arial"/>
                <w:color w:val="auto"/>
                <w:lang w:eastAsia="en-AU"/>
              </w:rPr>
            </w:pPr>
            <w:r w:rsidRPr="00407ACB">
              <w:rPr>
                <w:rFonts w:eastAsia="Times New Roman" w:cs="Arial"/>
                <w:bCs w:val="0"/>
                <w:color w:val="auto"/>
                <w:lang w:eastAsia="en-AU"/>
              </w:rPr>
              <w:t>Psychiatrists</w:t>
            </w:r>
          </w:p>
        </w:tc>
        <w:tc>
          <w:tcPr>
            <w:tcW w:w="810" w:type="dxa"/>
            <w:tcBorders>
              <w:left w:val="single" w:sz="4" w:space="0" w:color="auto"/>
            </w:tcBorders>
            <w:noWrap/>
            <w:vAlign w:val="center"/>
          </w:tcPr>
          <w:p w14:paraId="73FFC985"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29</w:t>
            </w:r>
          </w:p>
        </w:tc>
        <w:tc>
          <w:tcPr>
            <w:tcW w:w="900" w:type="dxa"/>
            <w:noWrap/>
            <w:vAlign w:val="center"/>
          </w:tcPr>
          <w:p w14:paraId="36E2D8C5"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23</w:t>
            </w:r>
          </w:p>
        </w:tc>
        <w:tc>
          <w:tcPr>
            <w:tcW w:w="847" w:type="dxa"/>
            <w:noWrap/>
            <w:vAlign w:val="center"/>
          </w:tcPr>
          <w:p w14:paraId="37A2D54F"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18</w:t>
            </w:r>
          </w:p>
        </w:tc>
        <w:tc>
          <w:tcPr>
            <w:tcW w:w="1031" w:type="dxa"/>
            <w:noWrap/>
            <w:vAlign w:val="center"/>
          </w:tcPr>
          <w:p w14:paraId="7CDE0612"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24</w:t>
            </w:r>
          </w:p>
        </w:tc>
        <w:tc>
          <w:tcPr>
            <w:tcW w:w="1031" w:type="dxa"/>
            <w:noWrap/>
            <w:vAlign w:val="center"/>
          </w:tcPr>
          <w:p w14:paraId="6C9BE097"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13</w:t>
            </w:r>
          </w:p>
        </w:tc>
        <w:tc>
          <w:tcPr>
            <w:tcW w:w="1031" w:type="dxa"/>
            <w:noWrap/>
            <w:vAlign w:val="center"/>
          </w:tcPr>
          <w:p w14:paraId="3303EB08"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11</w:t>
            </w:r>
          </w:p>
        </w:tc>
        <w:tc>
          <w:tcPr>
            <w:tcW w:w="1031" w:type="dxa"/>
            <w:noWrap/>
            <w:vAlign w:val="center"/>
          </w:tcPr>
          <w:p w14:paraId="385C5438"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17</w:t>
            </w:r>
          </w:p>
        </w:tc>
        <w:tc>
          <w:tcPr>
            <w:tcW w:w="1031" w:type="dxa"/>
            <w:noWrap/>
            <w:vAlign w:val="center"/>
          </w:tcPr>
          <w:p w14:paraId="4917B8AB"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21</w:t>
            </w:r>
          </w:p>
        </w:tc>
        <w:tc>
          <w:tcPr>
            <w:tcW w:w="1031" w:type="dxa"/>
            <w:noWrap/>
            <w:vAlign w:val="center"/>
          </w:tcPr>
          <w:p w14:paraId="2E14472C"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15</w:t>
            </w:r>
          </w:p>
        </w:tc>
        <w:tc>
          <w:tcPr>
            <w:tcW w:w="1031" w:type="dxa"/>
            <w:tcBorders>
              <w:right w:val="single" w:sz="4" w:space="0" w:color="auto"/>
            </w:tcBorders>
            <w:noWrap/>
            <w:vAlign w:val="center"/>
          </w:tcPr>
          <w:p w14:paraId="5AFB2EA9"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18</w:t>
            </w:r>
          </w:p>
        </w:tc>
        <w:tc>
          <w:tcPr>
            <w:tcW w:w="1031" w:type="dxa"/>
            <w:tcBorders>
              <w:left w:val="single" w:sz="4" w:space="0" w:color="auto"/>
              <w:right w:val="single" w:sz="4" w:space="0" w:color="auto"/>
            </w:tcBorders>
            <w:vAlign w:val="center"/>
          </w:tcPr>
          <w:p w14:paraId="7139F4C4"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189</w:t>
            </w:r>
          </w:p>
        </w:tc>
        <w:tc>
          <w:tcPr>
            <w:tcW w:w="1276" w:type="dxa"/>
            <w:tcBorders>
              <w:left w:val="single" w:sz="4" w:space="0" w:color="auto"/>
              <w:right w:val="single" w:sz="4" w:space="0" w:color="auto"/>
            </w:tcBorders>
            <w:vAlign w:val="center"/>
          </w:tcPr>
          <w:p w14:paraId="576FE835"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-38%</w:t>
            </w:r>
          </w:p>
        </w:tc>
      </w:tr>
      <w:tr w:rsidR="001503DA" w:rsidRPr="00407ACB" w14:paraId="30C35C35" w14:textId="77777777" w:rsidTr="00407ACB">
        <w:trPr>
          <w:trHeight w:val="204"/>
        </w:trPr>
        <w:tc>
          <w:tcPr>
            <w:cnfStyle w:val="001000000000" w:firstRow="0" w:lastRow="0" w:firstColumn="1" w:lastColumn="0" w:oddVBand="0" w:evenVBand="0" w:oddHBand="0" w:evenHBand="0" w:firstRowFirstColumn="0" w:firstRowLastColumn="0" w:lastRowFirstColumn="0" w:lastRowLastColumn="0"/>
            <w:tcW w:w="2628" w:type="dxa"/>
            <w:tcBorders>
              <w:left w:val="single" w:sz="4" w:space="0" w:color="auto"/>
              <w:bottom w:val="nil"/>
              <w:right w:val="single" w:sz="4" w:space="0" w:color="auto"/>
            </w:tcBorders>
            <w:noWrap/>
            <w:vAlign w:val="center"/>
            <w:hideMark/>
          </w:tcPr>
          <w:p w14:paraId="640ADB38" w14:textId="77777777" w:rsidR="001503DA" w:rsidRPr="00407ACB" w:rsidRDefault="001503DA" w:rsidP="00407ACB">
            <w:pPr>
              <w:tabs>
                <w:tab w:val="left" w:pos="1134"/>
              </w:tabs>
              <w:spacing w:before="0" w:line="240" w:lineRule="auto"/>
              <w:rPr>
                <w:rFonts w:cs="Arial"/>
                <w:color w:val="000000"/>
              </w:rPr>
            </w:pPr>
            <w:r w:rsidRPr="00407ACB">
              <w:rPr>
                <w:rFonts w:cs="Arial"/>
                <w:color w:val="000000"/>
              </w:rPr>
              <w:t>Major mandated reporter groups combined</w:t>
            </w:r>
          </w:p>
        </w:tc>
        <w:tc>
          <w:tcPr>
            <w:tcW w:w="810" w:type="dxa"/>
            <w:tcBorders>
              <w:left w:val="single" w:sz="4" w:space="0" w:color="auto"/>
              <w:bottom w:val="nil"/>
            </w:tcBorders>
            <w:noWrap/>
            <w:vAlign w:val="center"/>
          </w:tcPr>
          <w:p w14:paraId="0F88D32E"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1,578</w:t>
            </w:r>
          </w:p>
        </w:tc>
        <w:tc>
          <w:tcPr>
            <w:tcW w:w="900" w:type="dxa"/>
            <w:tcBorders>
              <w:bottom w:val="nil"/>
            </w:tcBorders>
            <w:noWrap/>
            <w:vAlign w:val="center"/>
          </w:tcPr>
          <w:p w14:paraId="0F1A4B67"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1,584</w:t>
            </w:r>
          </w:p>
        </w:tc>
        <w:tc>
          <w:tcPr>
            <w:tcW w:w="847" w:type="dxa"/>
            <w:tcBorders>
              <w:bottom w:val="nil"/>
            </w:tcBorders>
            <w:noWrap/>
            <w:vAlign w:val="center"/>
          </w:tcPr>
          <w:p w14:paraId="7ECB7107"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1,715</w:t>
            </w:r>
          </w:p>
        </w:tc>
        <w:tc>
          <w:tcPr>
            <w:tcW w:w="1031" w:type="dxa"/>
            <w:tcBorders>
              <w:bottom w:val="nil"/>
            </w:tcBorders>
            <w:noWrap/>
            <w:vAlign w:val="center"/>
          </w:tcPr>
          <w:p w14:paraId="5DBC05BD"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1,624</w:t>
            </w:r>
          </w:p>
        </w:tc>
        <w:tc>
          <w:tcPr>
            <w:tcW w:w="1031" w:type="dxa"/>
            <w:tcBorders>
              <w:bottom w:val="nil"/>
            </w:tcBorders>
            <w:noWrap/>
            <w:vAlign w:val="center"/>
          </w:tcPr>
          <w:p w14:paraId="11350897"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1,314</w:t>
            </w:r>
          </w:p>
        </w:tc>
        <w:tc>
          <w:tcPr>
            <w:tcW w:w="1031" w:type="dxa"/>
            <w:tcBorders>
              <w:bottom w:val="nil"/>
            </w:tcBorders>
            <w:noWrap/>
            <w:vAlign w:val="center"/>
          </w:tcPr>
          <w:p w14:paraId="3A975608"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1,749</w:t>
            </w:r>
          </w:p>
        </w:tc>
        <w:tc>
          <w:tcPr>
            <w:tcW w:w="1031" w:type="dxa"/>
            <w:tcBorders>
              <w:bottom w:val="nil"/>
            </w:tcBorders>
            <w:noWrap/>
            <w:vAlign w:val="center"/>
          </w:tcPr>
          <w:p w14:paraId="5ACC4E31"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1,862</w:t>
            </w:r>
          </w:p>
        </w:tc>
        <w:tc>
          <w:tcPr>
            <w:tcW w:w="1031" w:type="dxa"/>
            <w:tcBorders>
              <w:bottom w:val="nil"/>
            </w:tcBorders>
            <w:noWrap/>
            <w:vAlign w:val="center"/>
          </w:tcPr>
          <w:p w14:paraId="6AE08D1B"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3,113</w:t>
            </w:r>
          </w:p>
        </w:tc>
        <w:tc>
          <w:tcPr>
            <w:tcW w:w="1031" w:type="dxa"/>
            <w:tcBorders>
              <w:bottom w:val="nil"/>
            </w:tcBorders>
            <w:noWrap/>
            <w:vAlign w:val="center"/>
          </w:tcPr>
          <w:p w14:paraId="439246CF"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407ACB">
              <w:rPr>
                <w:color w:val="auto"/>
              </w:rPr>
              <w:t>2,986</w:t>
            </w:r>
          </w:p>
        </w:tc>
        <w:tc>
          <w:tcPr>
            <w:tcW w:w="1031" w:type="dxa"/>
            <w:tcBorders>
              <w:bottom w:val="nil"/>
              <w:right w:val="single" w:sz="4" w:space="0" w:color="auto"/>
            </w:tcBorders>
            <w:noWrap/>
            <w:vAlign w:val="center"/>
          </w:tcPr>
          <w:p w14:paraId="5DB352BB"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4,116</w:t>
            </w:r>
          </w:p>
        </w:tc>
        <w:tc>
          <w:tcPr>
            <w:tcW w:w="1031" w:type="dxa"/>
            <w:tcBorders>
              <w:left w:val="single" w:sz="4" w:space="0" w:color="auto"/>
              <w:bottom w:val="nil"/>
              <w:right w:val="single" w:sz="4" w:space="0" w:color="auto"/>
            </w:tcBorders>
            <w:vAlign w:val="center"/>
          </w:tcPr>
          <w:p w14:paraId="4379C07A"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21,641</w:t>
            </w:r>
          </w:p>
        </w:tc>
        <w:tc>
          <w:tcPr>
            <w:tcW w:w="1276" w:type="dxa"/>
            <w:tcBorders>
              <w:left w:val="single" w:sz="4" w:space="0" w:color="auto"/>
              <w:bottom w:val="nil"/>
              <w:right w:val="single" w:sz="4" w:space="0" w:color="auto"/>
            </w:tcBorders>
            <w:vAlign w:val="center"/>
          </w:tcPr>
          <w:p w14:paraId="30D9DB6B"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161%</w:t>
            </w:r>
          </w:p>
        </w:tc>
      </w:tr>
      <w:tr w:rsidR="001503DA" w:rsidRPr="00407ACB" w14:paraId="03DFA896" w14:textId="77777777" w:rsidTr="00407AC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628" w:type="dxa"/>
            <w:tcBorders>
              <w:top w:val="nil"/>
              <w:left w:val="single" w:sz="4" w:space="0" w:color="auto"/>
              <w:bottom w:val="single" w:sz="4" w:space="0" w:color="auto"/>
              <w:right w:val="single" w:sz="4" w:space="0" w:color="auto"/>
            </w:tcBorders>
            <w:noWrap/>
            <w:vAlign w:val="center"/>
            <w:hideMark/>
          </w:tcPr>
          <w:p w14:paraId="51B529E8" w14:textId="77777777" w:rsidR="001503DA" w:rsidRPr="00407ACB" w:rsidRDefault="001503DA" w:rsidP="00407ACB">
            <w:pPr>
              <w:tabs>
                <w:tab w:val="left" w:pos="1134"/>
              </w:tabs>
              <w:spacing w:before="0" w:line="240" w:lineRule="auto"/>
              <w:rPr>
                <w:rFonts w:cs="Arial"/>
                <w:color w:val="000000"/>
              </w:rPr>
            </w:pPr>
            <w:r w:rsidRPr="00407ACB">
              <w:rPr>
                <w:rFonts w:cs="Arial"/>
                <w:color w:val="000000"/>
              </w:rPr>
              <w:t>Other reporter groups combined</w:t>
            </w:r>
          </w:p>
        </w:tc>
        <w:tc>
          <w:tcPr>
            <w:tcW w:w="810" w:type="dxa"/>
            <w:tcBorders>
              <w:top w:val="nil"/>
              <w:left w:val="single" w:sz="4" w:space="0" w:color="auto"/>
              <w:bottom w:val="single" w:sz="4" w:space="0" w:color="auto"/>
            </w:tcBorders>
            <w:noWrap/>
            <w:vAlign w:val="center"/>
          </w:tcPr>
          <w:p w14:paraId="2E157C27"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2,863</w:t>
            </w:r>
          </w:p>
        </w:tc>
        <w:tc>
          <w:tcPr>
            <w:tcW w:w="900" w:type="dxa"/>
            <w:tcBorders>
              <w:top w:val="nil"/>
              <w:bottom w:val="single" w:sz="4" w:space="0" w:color="auto"/>
            </w:tcBorders>
            <w:noWrap/>
            <w:vAlign w:val="center"/>
          </w:tcPr>
          <w:p w14:paraId="0948B9F7"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3,048</w:t>
            </w:r>
          </w:p>
        </w:tc>
        <w:tc>
          <w:tcPr>
            <w:tcW w:w="847" w:type="dxa"/>
            <w:tcBorders>
              <w:top w:val="nil"/>
              <w:bottom w:val="single" w:sz="4" w:space="0" w:color="auto"/>
            </w:tcBorders>
            <w:noWrap/>
            <w:vAlign w:val="center"/>
          </w:tcPr>
          <w:p w14:paraId="4612EB62"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2,812</w:t>
            </w:r>
          </w:p>
        </w:tc>
        <w:tc>
          <w:tcPr>
            <w:tcW w:w="1031" w:type="dxa"/>
            <w:tcBorders>
              <w:top w:val="nil"/>
              <w:bottom w:val="single" w:sz="4" w:space="0" w:color="auto"/>
            </w:tcBorders>
            <w:noWrap/>
            <w:vAlign w:val="center"/>
          </w:tcPr>
          <w:p w14:paraId="5EDCE059"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2,850</w:t>
            </w:r>
          </w:p>
        </w:tc>
        <w:tc>
          <w:tcPr>
            <w:tcW w:w="1031" w:type="dxa"/>
            <w:tcBorders>
              <w:top w:val="nil"/>
              <w:bottom w:val="single" w:sz="4" w:space="0" w:color="auto"/>
            </w:tcBorders>
            <w:noWrap/>
            <w:vAlign w:val="center"/>
          </w:tcPr>
          <w:p w14:paraId="5A9796B0"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1,799</w:t>
            </w:r>
          </w:p>
        </w:tc>
        <w:tc>
          <w:tcPr>
            <w:tcW w:w="1031" w:type="dxa"/>
            <w:tcBorders>
              <w:top w:val="nil"/>
              <w:bottom w:val="single" w:sz="4" w:space="0" w:color="auto"/>
            </w:tcBorders>
            <w:noWrap/>
            <w:vAlign w:val="center"/>
          </w:tcPr>
          <w:p w14:paraId="047CCE69"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2,377</w:t>
            </w:r>
          </w:p>
        </w:tc>
        <w:tc>
          <w:tcPr>
            <w:tcW w:w="1031" w:type="dxa"/>
            <w:tcBorders>
              <w:top w:val="nil"/>
              <w:bottom w:val="single" w:sz="4" w:space="0" w:color="auto"/>
            </w:tcBorders>
            <w:noWrap/>
            <w:vAlign w:val="center"/>
          </w:tcPr>
          <w:p w14:paraId="430737E9"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2,311</w:t>
            </w:r>
          </w:p>
        </w:tc>
        <w:tc>
          <w:tcPr>
            <w:tcW w:w="1031" w:type="dxa"/>
            <w:tcBorders>
              <w:top w:val="nil"/>
              <w:bottom w:val="single" w:sz="4" w:space="0" w:color="auto"/>
            </w:tcBorders>
            <w:noWrap/>
            <w:vAlign w:val="center"/>
          </w:tcPr>
          <w:p w14:paraId="06F8AE1B"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2,757</w:t>
            </w:r>
          </w:p>
        </w:tc>
        <w:tc>
          <w:tcPr>
            <w:tcW w:w="1031" w:type="dxa"/>
            <w:tcBorders>
              <w:top w:val="nil"/>
              <w:bottom w:val="single" w:sz="4" w:space="0" w:color="auto"/>
            </w:tcBorders>
            <w:noWrap/>
            <w:vAlign w:val="center"/>
          </w:tcPr>
          <w:p w14:paraId="0D3BE7BA"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color w:val="auto"/>
              </w:rPr>
            </w:pPr>
            <w:r w:rsidRPr="00407ACB">
              <w:rPr>
                <w:color w:val="auto"/>
              </w:rPr>
              <w:t>3,279</w:t>
            </w:r>
          </w:p>
        </w:tc>
        <w:tc>
          <w:tcPr>
            <w:tcW w:w="1031" w:type="dxa"/>
            <w:tcBorders>
              <w:top w:val="nil"/>
              <w:bottom w:val="single" w:sz="4" w:space="0" w:color="auto"/>
              <w:right w:val="single" w:sz="4" w:space="0" w:color="auto"/>
            </w:tcBorders>
            <w:noWrap/>
            <w:vAlign w:val="center"/>
          </w:tcPr>
          <w:p w14:paraId="4E357A99"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3,231</w:t>
            </w:r>
          </w:p>
        </w:tc>
        <w:tc>
          <w:tcPr>
            <w:tcW w:w="1031" w:type="dxa"/>
            <w:tcBorders>
              <w:top w:val="nil"/>
              <w:left w:val="single" w:sz="4" w:space="0" w:color="auto"/>
              <w:bottom w:val="single" w:sz="4" w:space="0" w:color="auto"/>
              <w:right w:val="single" w:sz="4" w:space="0" w:color="auto"/>
            </w:tcBorders>
            <w:vAlign w:val="center"/>
          </w:tcPr>
          <w:p w14:paraId="74AD29FA"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27,327</w:t>
            </w:r>
          </w:p>
        </w:tc>
        <w:tc>
          <w:tcPr>
            <w:tcW w:w="1276" w:type="dxa"/>
            <w:tcBorders>
              <w:top w:val="nil"/>
              <w:left w:val="single" w:sz="4" w:space="0" w:color="auto"/>
              <w:bottom w:val="single" w:sz="4" w:space="0" w:color="auto"/>
              <w:right w:val="single" w:sz="4" w:space="0" w:color="auto"/>
            </w:tcBorders>
            <w:vAlign w:val="center"/>
          </w:tcPr>
          <w:p w14:paraId="32305954" w14:textId="77777777" w:rsidR="001503DA" w:rsidRPr="00407ACB" w:rsidRDefault="001503DA"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b/>
                <w:bCs/>
                <w:color w:val="auto"/>
              </w:rPr>
            </w:pPr>
            <w:r w:rsidRPr="00407ACB">
              <w:rPr>
                <w:b/>
                <w:bCs/>
                <w:color w:val="auto"/>
              </w:rPr>
              <w:t>13%</w:t>
            </w:r>
          </w:p>
        </w:tc>
      </w:tr>
      <w:tr w:rsidR="001503DA" w:rsidRPr="00407ACB" w14:paraId="479788A7" w14:textId="77777777" w:rsidTr="00407ACB">
        <w:trPr>
          <w:trHeight w:val="204"/>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14:paraId="36533764" w14:textId="77777777" w:rsidR="001503DA" w:rsidRPr="00407ACB" w:rsidRDefault="001503DA" w:rsidP="00407ACB">
            <w:pPr>
              <w:spacing w:before="0" w:after="60" w:line="240" w:lineRule="auto"/>
              <w:rPr>
                <w:rFonts w:eastAsia="Times New Roman" w:cs="Arial"/>
                <w:color w:val="auto"/>
                <w:lang w:eastAsia="en-AU"/>
              </w:rPr>
            </w:pPr>
            <w:r w:rsidRPr="00407ACB">
              <w:rPr>
                <w:rFonts w:eastAsia="Times New Roman" w:cs="Arial"/>
                <w:color w:val="auto"/>
                <w:lang w:eastAsia="en-AU"/>
              </w:rPr>
              <w:t>TOTALS:</w:t>
            </w:r>
          </w:p>
        </w:tc>
        <w:tc>
          <w:tcPr>
            <w:tcW w:w="810" w:type="dxa"/>
            <w:tcBorders>
              <w:top w:val="single" w:sz="4" w:space="0" w:color="auto"/>
              <w:left w:val="single" w:sz="4" w:space="0" w:color="auto"/>
              <w:bottom w:val="single" w:sz="4" w:space="0" w:color="auto"/>
            </w:tcBorders>
            <w:shd w:val="clear" w:color="auto" w:fill="D99594" w:themeFill="accent2" w:themeFillTint="99"/>
            <w:noWrap/>
            <w:vAlign w:val="center"/>
          </w:tcPr>
          <w:p w14:paraId="3180DA4F"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4,441</w:t>
            </w:r>
          </w:p>
        </w:tc>
        <w:tc>
          <w:tcPr>
            <w:tcW w:w="900" w:type="dxa"/>
            <w:tcBorders>
              <w:top w:val="single" w:sz="4" w:space="0" w:color="auto"/>
              <w:bottom w:val="single" w:sz="4" w:space="0" w:color="auto"/>
            </w:tcBorders>
            <w:shd w:val="clear" w:color="auto" w:fill="D99594" w:themeFill="accent2" w:themeFillTint="99"/>
            <w:noWrap/>
            <w:vAlign w:val="center"/>
          </w:tcPr>
          <w:p w14:paraId="3743E084"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4,632</w:t>
            </w:r>
          </w:p>
        </w:tc>
        <w:tc>
          <w:tcPr>
            <w:tcW w:w="847" w:type="dxa"/>
            <w:tcBorders>
              <w:top w:val="single" w:sz="4" w:space="0" w:color="auto"/>
              <w:bottom w:val="single" w:sz="4" w:space="0" w:color="auto"/>
            </w:tcBorders>
            <w:shd w:val="clear" w:color="auto" w:fill="D99594" w:themeFill="accent2" w:themeFillTint="99"/>
            <w:noWrap/>
            <w:vAlign w:val="center"/>
          </w:tcPr>
          <w:p w14:paraId="4208FD4C"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4,527</w:t>
            </w:r>
          </w:p>
        </w:tc>
        <w:tc>
          <w:tcPr>
            <w:tcW w:w="1031" w:type="dxa"/>
            <w:tcBorders>
              <w:top w:val="single" w:sz="4" w:space="0" w:color="auto"/>
              <w:bottom w:val="single" w:sz="4" w:space="0" w:color="auto"/>
            </w:tcBorders>
            <w:shd w:val="clear" w:color="auto" w:fill="D99594" w:themeFill="accent2" w:themeFillTint="99"/>
            <w:noWrap/>
            <w:vAlign w:val="center"/>
          </w:tcPr>
          <w:p w14:paraId="6DEA222D"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4,474</w:t>
            </w:r>
          </w:p>
        </w:tc>
        <w:tc>
          <w:tcPr>
            <w:tcW w:w="1031" w:type="dxa"/>
            <w:tcBorders>
              <w:top w:val="single" w:sz="4" w:space="0" w:color="auto"/>
              <w:bottom w:val="single" w:sz="4" w:space="0" w:color="auto"/>
            </w:tcBorders>
            <w:shd w:val="clear" w:color="auto" w:fill="D99594" w:themeFill="accent2" w:themeFillTint="99"/>
            <w:noWrap/>
            <w:vAlign w:val="center"/>
          </w:tcPr>
          <w:p w14:paraId="4A2E02D2"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3,113</w:t>
            </w:r>
          </w:p>
        </w:tc>
        <w:tc>
          <w:tcPr>
            <w:tcW w:w="1031" w:type="dxa"/>
            <w:tcBorders>
              <w:top w:val="single" w:sz="4" w:space="0" w:color="auto"/>
              <w:bottom w:val="single" w:sz="4" w:space="0" w:color="auto"/>
            </w:tcBorders>
            <w:shd w:val="clear" w:color="auto" w:fill="D99594" w:themeFill="accent2" w:themeFillTint="99"/>
            <w:noWrap/>
            <w:vAlign w:val="center"/>
          </w:tcPr>
          <w:p w14:paraId="622F1079"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4,126</w:t>
            </w:r>
          </w:p>
        </w:tc>
        <w:tc>
          <w:tcPr>
            <w:tcW w:w="1031" w:type="dxa"/>
            <w:tcBorders>
              <w:top w:val="single" w:sz="4" w:space="0" w:color="auto"/>
              <w:bottom w:val="single" w:sz="4" w:space="0" w:color="auto"/>
            </w:tcBorders>
            <w:shd w:val="clear" w:color="auto" w:fill="D99594" w:themeFill="accent2" w:themeFillTint="99"/>
            <w:noWrap/>
            <w:vAlign w:val="center"/>
          </w:tcPr>
          <w:p w14:paraId="4297D829"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4,173</w:t>
            </w:r>
          </w:p>
        </w:tc>
        <w:tc>
          <w:tcPr>
            <w:tcW w:w="1031" w:type="dxa"/>
            <w:tcBorders>
              <w:top w:val="single" w:sz="4" w:space="0" w:color="auto"/>
              <w:bottom w:val="single" w:sz="4" w:space="0" w:color="auto"/>
            </w:tcBorders>
            <w:shd w:val="clear" w:color="auto" w:fill="D99594" w:themeFill="accent2" w:themeFillTint="99"/>
            <w:noWrap/>
            <w:vAlign w:val="center"/>
          </w:tcPr>
          <w:p w14:paraId="564C6D71"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5,870</w:t>
            </w:r>
          </w:p>
        </w:tc>
        <w:tc>
          <w:tcPr>
            <w:tcW w:w="1031" w:type="dxa"/>
            <w:tcBorders>
              <w:top w:val="single" w:sz="4" w:space="0" w:color="auto"/>
              <w:bottom w:val="single" w:sz="4" w:space="0" w:color="auto"/>
            </w:tcBorders>
            <w:shd w:val="clear" w:color="auto" w:fill="D99594" w:themeFill="accent2" w:themeFillTint="99"/>
            <w:noWrap/>
            <w:vAlign w:val="center"/>
          </w:tcPr>
          <w:p w14:paraId="4D0F6C01"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6,265</w:t>
            </w:r>
          </w:p>
        </w:tc>
        <w:tc>
          <w:tcPr>
            <w:tcW w:w="1031" w:type="dxa"/>
            <w:tcBorders>
              <w:top w:val="single" w:sz="4" w:space="0" w:color="auto"/>
              <w:bottom w:val="single" w:sz="4" w:space="0" w:color="auto"/>
              <w:right w:val="single" w:sz="4" w:space="0" w:color="auto"/>
            </w:tcBorders>
            <w:shd w:val="clear" w:color="auto" w:fill="D99594" w:themeFill="accent2" w:themeFillTint="99"/>
            <w:noWrap/>
            <w:vAlign w:val="center"/>
          </w:tcPr>
          <w:p w14:paraId="63AF480A"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7,347</w:t>
            </w:r>
          </w:p>
        </w:tc>
        <w:tc>
          <w:tcPr>
            <w:tcW w:w="103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566B9421"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48,968</w:t>
            </w:r>
          </w:p>
        </w:tc>
        <w:tc>
          <w:tcPr>
            <w:tcW w:w="127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81E906C" w14:textId="77777777" w:rsidR="001503DA" w:rsidRPr="00407ACB" w:rsidRDefault="001503DA"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auto"/>
              </w:rPr>
            </w:pPr>
            <w:r w:rsidRPr="00407ACB">
              <w:rPr>
                <w:b/>
                <w:bCs/>
                <w:color w:val="auto"/>
              </w:rPr>
              <w:t>6</w:t>
            </w:r>
            <w:r w:rsidR="00A55CFF" w:rsidRPr="00407ACB">
              <w:rPr>
                <w:b/>
                <w:bCs/>
                <w:color w:val="auto"/>
              </w:rPr>
              <w:t>5</w:t>
            </w:r>
            <w:r w:rsidRPr="00407ACB">
              <w:rPr>
                <w:b/>
                <w:bCs/>
                <w:color w:val="auto"/>
              </w:rPr>
              <w:t>%</w:t>
            </w:r>
          </w:p>
        </w:tc>
      </w:tr>
    </w:tbl>
    <w:p w14:paraId="030A5DC4" w14:textId="7DFAF995" w:rsidR="002F6188" w:rsidRPr="0006220F" w:rsidRDefault="002F6188" w:rsidP="005E613E">
      <w:pPr>
        <w:pStyle w:val="Heading6"/>
        <w:spacing w:before="240" w:after="240"/>
      </w:pPr>
      <w:r w:rsidRPr="0006220F">
        <w:t>Line graph for table 1.21: Number of reports of sexual abuse by year, by reporter group</w:t>
      </w:r>
      <w:r w:rsidR="00407ACB" w:rsidRPr="0006220F">
        <w:tab/>
      </w:r>
    </w:p>
    <w:p w14:paraId="53399582" w14:textId="77777777" w:rsidR="00245C19" w:rsidRDefault="002F6188" w:rsidP="00B15586">
      <w:r>
        <w:rPr>
          <w:noProof/>
          <w:lang w:eastAsia="en-AU"/>
        </w:rPr>
        <w:drawing>
          <wp:inline distT="0" distB="0" distL="0" distR="0" wp14:anchorId="0D663CE9" wp14:editId="13DC71BE">
            <wp:extent cx="9239250" cy="1905000"/>
            <wp:effectExtent l="0" t="0" r="0" b="0"/>
            <wp:docPr id="46" name="Chart 46" descr="Shows sexual abuse reports increased from 3113 in 2007 to 7347 in 2012, the highest in the decade. " title="Line graph for table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245C19">
        <w:br w:type="page"/>
      </w:r>
    </w:p>
    <w:p w14:paraId="632983ED" w14:textId="68CFE307" w:rsidR="002F6188" w:rsidRDefault="00BC57B6" w:rsidP="00BC57B6">
      <w:pPr>
        <w:pStyle w:val="Figureheading"/>
        <w:ind w:left="720" w:hanging="720"/>
      </w:pPr>
      <w:r>
        <w:lastRenderedPageBreak/>
        <w:t>1.22</w:t>
      </w:r>
      <w:r>
        <w:tab/>
      </w:r>
      <w:r w:rsidR="002F6188">
        <w:t>Number of reports of emotional abuse by year, with outcome of report by number and percentage (all reporter groups combined)</w:t>
      </w:r>
    </w:p>
    <w:tbl>
      <w:tblPr>
        <w:tblStyle w:val="LightShading-Accent3"/>
        <w:tblW w:w="14425" w:type="dxa"/>
        <w:tblLayout w:type="fixed"/>
        <w:tblLook w:val="04A0" w:firstRow="1" w:lastRow="0" w:firstColumn="1" w:lastColumn="0" w:noHBand="0" w:noVBand="1"/>
        <w:tblCaption w:val="Number of reports of emotional abuse by year, with outcome of report by number and percentage (all reporter groups combined)"/>
      </w:tblPr>
      <w:tblGrid>
        <w:gridCol w:w="887"/>
        <w:gridCol w:w="1773"/>
        <w:gridCol w:w="1235"/>
        <w:gridCol w:w="1742"/>
        <w:gridCol w:w="1266"/>
        <w:gridCol w:w="1852"/>
        <w:gridCol w:w="1157"/>
        <w:gridCol w:w="1962"/>
        <w:gridCol w:w="1046"/>
        <w:gridCol w:w="1505"/>
      </w:tblGrid>
      <w:tr w:rsidR="002418F8" w:rsidRPr="00F15FE1" w14:paraId="19D514BA" w14:textId="77777777" w:rsidTr="00407ACB">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AB703EC" w14:textId="77777777" w:rsidR="00A616CD" w:rsidRPr="00F15FE1" w:rsidRDefault="00A616CD" w:rsidP="00407ACB">
            <w:pPr>
              <w:tabs>
                <w:tab w:val="left" w:pos="1134"/>
              </w:tabs>
              <w:spacing w:before="0" w:line="240" w:lineRule="auto"/>
              <w:rPr>
                <w:rFonts w:ascii="Calibri" w:eastAsia="Times New Roman" w:hAnsi="Calibri" w:cs="Arial"/>
                <w:bCs w:val="0"/>
                <w:color w:val="auto"/>
                <w:lang w:eastAsia="en-AU"/>
              </w:rPr>
            </w:pPr>
          </w:p>
        </w:tc>
        <w:tc>
          <w:tcPr>
            <w:tcW w:w="1773" w:type="dxa"/>
            <w:tcBorders>
              <w:top w:val="single" w:sz="4" w:space="0" w:color="auto"/>
              <w:left w:val="single" w:sz="4" w:space="0" w:color="auto"/>
              <w:bottom w:val="single" w:sz="4" w:space="0" w:color="auto"/>
            </w:tcBorders>
            <w:shd w:val="clear" w:color="auto" w:fill="C2D69B" w:themeFill="accent3" w:themeFillTint="99"/>
            <w:vAlign w:val="center"/>
            <w:hideMark/>
          </w:tcPr>
          <w:p w14:paraId="6A1E52FE" w14:textId="77777777" w:rsidR="00A616CD" w:rsidRPr="00F15FE1" w:rsidRDefault="00A616CD"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Not investigated</w:t>
            </w:r>
          </w:p>
        </w:tc>
        <w:tc>
          <w:tcPr>
            <w:tcW w:w="1235" w:type="dxa"/>
            <w:tcBorders>
              <w:top w:val="single" w:sz="4" w:space="0" w:color="auto"/>
              <w:bottom w:val="single" w:sz="4" w:space="0" w:color="auto"/>
              <w:right w:val="single" w:sz="4" w:space="0" w:color="auto"/>
            </w:tcBorders>
            <w:shd w:val="clear" w:color="auto" w:fill="C2D69B" w:themeFill="accent3" w:themeFillTint="99"/>
            <w:vAlign w:val="center"/>
          </w:tcPr>
          <w:p w14:paraId="2862C772" w14:textId="77777777" w:rsidR="00A616CD" w:rsidRPr="00FE3A23" w:rsidRDefault="00A616CD"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1742" w:type="dxa"/>
            <w:tcBorders>
              <w:top w:val="single" w:sz="4" w:space="0" w:color="auto"/>
              <w:bottom w:val="single" w:sz="4" w:space="0" w:color="auto"/>
            </w:tcBorders>
            <w:shd w:val="clear" w:color="auto" w:fill="C2D69B" w:themeFill="accent3" w:themeFillTint="99"/>
            <w:vAlign w:val="center"/>
          </w:tcPr>
          <w:p w14:paraId="708A2CD7" w14:textId="77777777" w:rsidR="00A616CD" w:rsidRPr="00F15FE1" w:rsidRDefault="00A616CD"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Investigated</w:t>
            </w:r>
          </w:p>
        </w:tc>
        <w:tc>
          <w:tcPr>
            <w:tcW w:w="1266" w:type="dxa"/>
            <w:tcBorders>
              <w:top w:val="single" w:sz="4" w:space="0" w:color="auto"/>
              <w:bottom w:val="single" w:sz="4" w:space="0" w:color="auto"/>
            </w:tcBorders>
            <w:shd w:val="clear" w:color="auto" w:fill="C2D69B" w:themeFill="accent3" w:themeFillTint="99"/>
            <w:vAlign w:val="center"/>
          </w:tcPr>
          <w:p w14:paraId="7FE7186E" w14:textId="77777777" w:rsidR="00A616CD" w:rsidRPr="00FE3A23" w:rsidRDefault="00A616CD"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1852" w:type="dxa"/>
            <w:tcBorders>
              <w:top w:val="single" w:sz="4" w:space="0" w:color="auto"/>
              <w:left w:val="single" w:sz="4" w:space="0" w:color="auto"/>
              <w:bottom w:val="single" w:sz="4" w:space="0" w:color="auto"/>
            </w:tcBorders>
            <w:shd w:val="clear" w:color="auto" w:fill="C2D69B" w:themeFill="accent3" w:themeFillTint="99"/>
            <w:vAlign w:val="center"/>
            <w:hideMark/>
          </w:tcPr>
          <w:p w14:paraId="5FA13C8E" w14:textId="77777777" w:rsidR="00A616CD" w:rsidRPr="00F15FE1" w:rsidRDefault="00A616CD"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Substantiated</w:t>
            </w:r>
          </w:p>
        </w:tc>
        <w:tc>
          <w:tcPr>
            <w:tcW w:w="1157" w:type="dxa"/>
            <w:tcBorders>
              <w:top w:val="single" w:sz="4" w:space="0" w:color="auto"/>
              <w:bottom w:val="single" w:sz="4" w:space="0" w:color="auto"/>
              <w:right w:val="single" w:sz="4" w:space="0" w:color="auto"/>
            </w:tcBorders>
            <w:shd w:val="clear" w:color="auto" w:fill="C2D69B" w:themeFill="accent3" w:themeFillTint="99"/>
            <w:vAlign w:val="center"/>
          </w:tcPr>
          <w:p w14:paraId="479CF285" w14:textId="77777777" w:rsidR="00A616CD" w:rsidRPr="00FE3A23" w:rsidRDefault="00A616CD"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1962" w:type="dxa"/>
            <w:tcBorders>
              <w:top w:val="single" w:sz="4" w:space="0" w:color="auto"/>
              <w:left w:val="single" w:sz="4" w:space="0" w:color="auto"/>
              <w:bottom w:val="single" w:sz="4" w:space="0" w:color="auto"/>
            </w:tcBorders>
            <w:shd w:val="clear" w:color="auto" w:fill="C2D69B" w:themeFill="accent3" w:themeFillTint="99"/>
            <w:vAlign w:val="center"/>
            <w:hideMark/>
          </w:tcPr>
          <w:p w14:paraId="6B10B779" w14:textId="77777777" w:rsidR="00A616CD" w:rsidRPr="00F15FE1" w:rsidRDefault="00A616CD"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Not substantiated</w:t>
            </w:r>
          </w:p>
        </w:tc>
        <w:tc>
          <w:tcPr>
            <w:tcW w:w="1046" w:type="dxa"/>
            <w:tcBorders>
              <w:top w:val="single" w:sz="4" w:space="0" w:color="auto"/>
              <w:bottom w:val="single" w:sz="4" w:space="0" w:color="auto"/>
              <w:right w:val="single" w:sz="4" w:space="0" w:color="auto"/>
            </w:tcBorders>
            <w:shd w:val="clear" w:color="auto" w:fill="C2D69B" w:themeFill="accent3" w:themeFillTint="99"/>
            <w:vAlign w:val="center"/>
          </w:tcPr>
          <w:p w14:paraId="7B5B9105" w14:textId="77777777" w:rsidR="00A616CD" w:rsidRPr="00FC5C7E" w:rsidRDefault="00A616CD" w:rsidP="00407ACB">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50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2D75499" w14:textId="77777777" w:rsidR="00A616CD" w:rsidRPr="00F15FE1" w:rsidRDefault="00A616CD"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Total</w:t>
            </w:r>
          </w:p>
        </w:tc>
      </w:tr>
      <w:tr w:rsidR="00F974D5" w:rsidRPr="00CF1D8B" w14:paraId="650ED24E" w14:textId="77777777" w:rsidTr="00F275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right w:val="single" w:sz="4" w:space="0" w:color="auto"/>
            </w:tcBorders>
          </w:tcPr>
          <w:p w14:paraId="1E88DE52"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2003</w:t>
            </w:r>
          </w:p>
        </w:tc>
        <w:tc>
          <w:tcPr>
            <w:tcW w:w="1773" w:type="dxa"/>
            <w:tcBorders>
              <w:top w:val="single" w:sz="4" w:space="0" w:color="auto"/>
              <w:left w:val="single" w:sz="4" w:space="0" w:color="auto"/>
            </w:tcBorders>
            <w:noWrap/>
            <w:hideMark/>
          </w:tcPr>
          <w:p w14:paraId="03C5A37E"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8</w:t>
            </w:r>
            <w:r>
              <w:rPr>
                <w:rFonts w:eastAsia="Times New Roman" w:cs="Arial"/>
                <w:color w:val="auto"/>
                <w:lang w:eastAsia="en-AU"/>
              </w:rPr>
              <w:t>,</w:t>
            </w:r>
            <w:r w:rsidRPr="00CF1D8B">
              <w:rPr>
                <w:rFonts w:eastAsia="Times New Roman" w:cs="Arial"/>
                <w:color w:val="auto"/>
                <w:lang w:eastAsia="en-AU"/>
              </w:rPr>
              <w:t>050</w:t>
            </w:r>
          </w:p>
        </w:tc>
        <w:tc>
          <w:tcPr>
            <w:tcW w:w="1235" w:type="dxa"/>
            <w:tcBorders>
              <w:top w:val="single" w:sz="4" w:space="0" w:color="auto"/>
              <w:right w:val="single" w:sz="4" w:space="0" w:color="auto"/>
            </w:tcBorders>
          </w:tcPr>
          <w:p w14:paraId="501DD8FD"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(68.5%)</w:t>
            </w:r>
          </w:p>
        </w:tc>
        <w:tc>
          <w:tcPr>
            <w:tcW w:w="1742" w:type="dxa"/>
            <w:tcBorders>
              <w:top w:val="single" w:sz="4" w:space="0" w:color="auto"/>
            </w:tcBorders>
          </w:tcPr>
          <w:p w14:paraId="241A2EF0"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3</w:t>
            </w:r>
            <w:r>
              <w:rPr>
                <w:rFonts w:eastAsia="Times New Roman" w:cs="Arial"/>
                <w:color w:val="auto"/>
                <w:lang w:eastAsia="en-AU"/>
              </w:rPr>
              <w:t>,</w:t>
            </w:r>
            <w:r w:rsidRPr="00CF1D8B">
              <w:rPr>
                <w:rFonts w:eastAsia="Times New Roman" w:cs="Arial"/>
                <w:color w:val="auto"/>
                <w:lang w:eastAsia="en-AU"/>
              </w:rPr>
              <w:t>699</w:t>
            </w:r>
          </w:p>
        </w:tc>
        <w:tc>
          <w:tcPr>
            <w:tcW w:w="1266" w:type="dxa"/>
            <w:tcBorders>
              <w:top w:val="single" w:sz="4" w:space="0" w:color="auto"/>
            </w:tcBorders>
          </w:tcPr>
          <w:p w14:paraId="1B877C8A"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(31.5%)</w:t>
            </w:r>
          </w:p>
        </w:tc>
        <w:tc>
          <w:tcPr>
            <w:tcW w:w="1852" w:type="dxa"/>
            <w:tcBorders>
              <w:top w:val="single" w:sz="4" w:space="0" w:color="auto"/>
              <w:left w:val="single" w:sz="4" w:space="0" w:color="auto"/>
            </w:tcBorders>
            <w:noWrap/>
            <w:hideMark/>
          </w:tcPr>
          <w:p w14:paraId="37C17B52"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557</w:t>
            </w:r>
          </w:p>
        </w:tc>
        <w:tc>
          <w:tcPr>
            <w:tcW w:w="1157" w:type="dxa"/>
            <w:tcBorders>
              <w:top w:val="single" w:sz="4" w:space="0" w:color="auto"/>
              <w:right w:val="single" w:sz="4" w:space="0" w:color="auto"/>
            </w:tcBorders>
          </w:tcPr>
          <w:p w14:paraId="14A4D3AE"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(21.8%)</w:t>
            </w:r>
          </w:p>
        </w:tc>
        <w:tc>
          <w:tcPr>
            <w:tcW w:w="1962" w:type="dxa"/>
            <w:tcBorders>
              <w:top w:val="single" w:sz="4" w:space="0" w:color="auto"/>
              <w:left w:val="single" w:sz="4" w:space="0" w:color="auto"/>
            </w:tcBorders>
            <w:noWrap/>
            <w:hideMark/>
          </w:tcPr>
          <w:p w14:paraId="12597A5A"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1</w:t>
            </w:r>
            <w:r>
              <w:rPr>
                <w:rFonts w:eastAsia="Times New Roman" w:cs="Arial"/>
                <w:color w:val="auto"/>
                <w:lang w:eastAsia="en-AU"/>
              </w:rPr>
              <w:t>,</w:t>
            </w:r>
            <w:r w:rsidRPr="00CF1D8B">
              <w:rPr>
                <w:rFonts w:eastAsia="Times New Roman" w:cs="Arial"/>
                <w:color w:val="auto"/>
                <w:lang w:eastAsia="en-AU"/>
              </w:rPr>
              <w:t>142</w:t>
            </w:r>
          </w:p>
        </w:tc>
        <w:tc>
          <w:tcPr>
            <w:tcW w:w="1046" w:type="dxa"/>
            <w:tcBorders>
              <w:top w:val="single" w:sz="4" w:space="0" w:color="auto"/>
              <w:right w:val="single" w:sz="4" w:space="0" w:color="auto"/>
            </w:tcBorders>
            <w:vAlign w:val="bottom"/>
          </w:tcPr>
          <w:p w14:paraId="0DB794C2" w14:textId="77777777" w:rsidR="00F974D5" w:rsidRPr="00F974D5" w:rsidRDefault="00F974D5"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9.72%</w:t>
            </w:r>
            <w:r>
              <w:rPr>
                <w:rFonts w:ascii="Calibri" w:hAnsi="Calibri" w:cs="Arial"/>
                <w:color w:val="auto"/>
              </w:rPr>
              <w:t>)</w:t>
            </w:r>
          </w:p>
        </w:tc>
        <w:tc>
          <w:tcPr>
            <w:tcW w:w="1505" w:type="dxa"/>
            <w:tcBorders>
              <w:top w:val="single" w:sz="4" w:space="0" w:color="auto"/>
              <w:left w:val="single" w:sz="4" w:space="0" w:color="auto"/>
              <w:right w:val="single" w:sz="4" w:space="0" w:color="auto"/>
            </w:tcBorders>
          </w:tcPr>
          <w:p w14:paraId="56D28395"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11</w:t>
            </w:r>
            <w:r>
              <w:rPr>
                <w:rFonts w:eastAsia="Times New Roman" w:cs="Arial"/>
                <w:b/>
                <w:color w:val="auto"/>
                <w:lang w:eastAsia="en-AU"/>
              </w:rPr>
              <w:t>,</w:t>
            </w:r>
            <w:r w:rsidRPr="00A80772">
              <w:rPr>
                <w:rFonts w:eastAsia="Times New Roman" w:cs="Arial"/>
                <w:b/>
                <w:color w:val="auto"/>
                <w:lang w:eastAsia="en-AU"/>
              </w:rPr>
              <w:t>749</w:t>
            </w:r>
          </w:p>
        </w:tc>
      </w:tr>
      <w:tr w:rsidR="00F974D5" w:rsidRPr="00CF1D8B" w14:paraId="240C150A" w14:textId="77777777" w:rsidTr="00F27541">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04A6D8C0"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2004</w:t>
            </w:r>
          </w:p>
        </w:tc>
        <w:tc>
          <w:tcPr>
            <w:tcW w:w="1773" w:type="dxa"/>
            <w:tcBorders>
              <w:left w:val="single" w:sz="4" w:space="0" w:color="auto"/>
            </w:tcBorders>
            <w:noWrap/>
            <w:hideMark/>
          </w:tcPr>
          <w:p w14:paraId="0FD5EC22"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7</w:t>
            </w:r>
            <w:r>
              <w:rPr>
                <w:rFonts w:eastAsia="Times New Roman" w:cs="Arial"/>
                <w:color w:val="auto"/>
                <w:lang w:eastAsia="en-AU"/>
              </w:rPr>
              <w:t>,</w:t>
            </w:r>
            <w:r w:rsidRPr="00CF1D8B">
              <w:rPr>
                <w:rFonts w:eastAsia="Times New Roman" w:cs="Arial"/>
                <w:color w:val="auto"/>
                <w:lang w:eastAsia="en-AU"/>
              </w:rPr>
              <w:t>709</w:t>
            </w:r>
          </w:p>
        </w:tc>
        <w:tc>
          <w:tcPr>
            <w:tcW w:w="1235" w:type="dxa"/>
            <w:tcBorders>
              <w:right w:val="single" w:sz="4" w:space="0" w:color="auto"/>
            </w:tcBorders>
          </w:tcPr>
          <w:p w14:paraId="1CD0988A"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(66.3%)</w:t>
            </w:r>
          </w:p>
        </w:tc>
        <w:tc>
          <w:tcPr>
            <w:tcW w:w="1742" w:type="dxa"/>
            <w:tcBorders>
              <w:right w:val="nil"/>
            </w:tcBorders>
          </w:tcPr>
          <w:p w14:paraId="0978A4DA"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3</w:t>
            </w:r>
            <w:r>
              <w:rPr>
                <w:rFonts w:eastAsia="Times New Roman" w:cs="Arial"/>
                <w:color w:val="auto"/>
                <w:lang w:eastAsia="en-AU"/>
              </w:rPr>
              <w:t>,</w:t>
            </w:r>
            <w:r w:rsidRPr="00CF1D8B">
              <w:rPr>
                <w:rFonts w:eastAsia="Times New Roman" w:cs="Arial"/>
                <w:color w:val="auto"/>
                <w:lang w:eastAsia="en-AU"/>
              </w:rPr>
              <w:t>909</w:t>
            </w:r>
          </w:p>
        </w:tc>
        <w:tc>
          <w:tcPr>
            <w:tcW w:w="1266" w:type="dxa"/>
            <w:tcBorders>
              <w:left w:val="nil"/>
            </w:tcBorders>
          </w:tcPr>
          <w:p w14:paraId="7458F3F1"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(33.6%)</w:t>
            </w:r>
          </w:p>
        </w:tc>
        <w:tc>
          <w:tcPr>
            <w:tcW w:w="1852" w:type="dxa"/>
            <w:tcBorders>
              <w:left w:val="single" w:sz="4" w:space="0" w:color="auto"/>
            </w:tcBorders>
            <w:noWrap/>
            <w:hideMark/>
          </w:tcPr>
          <w:p w14:paraId="13935FF6"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821</w:t>
            </w:r>
          </w:p>
        </w:tc>
        <w:tc>
          <w:tcPr>
            <w:tcW w:w="1157" w:type="dxa"/>
            <w:tcBorders>
              <w:right w:val="single" w:sz="4" w:space="0" w:color="auto"/>
            </w:tcBorders>
          </w:tcPr>
          <w:p w14:paraId="17D51A24"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(24.3%)</w:t>
            </w:r>
          </w:p>
        </w:tc>
        <w:tc>
          <w:tcPr>
            <w:tcW w:w="1962" w:type="dxa"/>
            <w:tcBorders>
              <w:left w:val="single" w:sz="4" w:space="0" w:color="auto"/>
              <w:right w:val="nil"/>
            </w:tcBorders>
            <w:noWrap/>
            <w:hideMark/>
          </w:tcPr>
          <w:p w14:paraId="65588C46"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1</w:t>
            </w:r>
            <w:r>
              <w:rPr>
                <w:rFonts w:eastAsia="Times New Roman" w:cs="Arial"/>
                <w:color w:val="auto"/>
                <w:lang w:eastAsia="en-AU"/>
              </w:rPr>
              <w:t>,</w:t>
            </w:r>
            <w:r w:rsidRPr="00CF1D8B">
              <w:rPr>
                <w:rFonts w:eastAsia="Times New Roman" w:cs="Arial"/>
                <w:color w:val="auto"/>
                <w:lang w:eastAsia="en-AU"/>
              </w:rPr>
              <w:t>088</w:t>
            </w:r>
          </w:p>
        </w:tc>
        <w:tc>
          <w:tcPr>
            <w:tcW w:w="1046" w:type="dxa"/>
            <w:tcBorders>
              <w:left w:val="nil"/>
              <w:right w:val="single" w:sz="4" w:space="0" w:color="auto"/>
            </w:tcBorders>
            <w:vAlign w:val="bottom"/>
          </w:tcPr>
          <w:p w14:paraId="110A5849" w14:textId="77777777" w:rsidR="00F974D5" w:rsidRPr="00F974D5" w:rsidRDefault="00F974D5"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9.36%</w:t>
            </w:r>
            <w:r>
              <w:rPr>
                <w:rFonts w:ascii="Calibri" w:hAnsi="Calibri" w:cs="Arial"/>
                <w:color w:val="auto"/>
              </w:rPr>
              <w:t>)</w:t>
            </w:r>
          </w:p>
        </w:tc>
        <w:tc>
          <w:tcPr>
            <w:tcW w:w="1505" w:type="dxa"/>
            <w:tcBorders>
              <w:left w:val="single" w:sz="4" w:space="0" w:color="auto"/>
              <w:right w:val="single" w:sz="4" w:space="0" w:color="auto"/>
            </w:tcBorders>
          </w:tcPr>
          <w:p w14:paraId="54E9AFDA" w14:textId="77777777" w:rsidR="00F974D5" w:rsidRPr="00A80772"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11</w:t>
            </w:r>
            <w:r>
              <w:rPr>
                <w:rFonts w:eastAsia="Times New Roman" w:cs="Arial"/>
                <w:b/>
                <w:color w:val="auto"/>
                <w:lang w:eastAsia="en-AU"/>
              </w:rPr>
              <w:t>,</w:t>
            </w:r>
            <w:r w:rsidRPr="00A80772">
              <w:rPr>
                <w:rFonts w:eastAsia="Times New Roman" w:cs="Arial"/>
                <w:b/>
                <w:color w:val="auto"/>
                <w:lang w:eastAsia="en-AU"/>
              </w:rPr>
              <w:t>618</w:t>
            </w:r>
          </w:p>
        </w:tc>
      </w:tr>
      <w:tr w:rsidR="00F974D5" w:rsidRPr="00CF1D8B" w14:paraId="069245AF" w14:textId="77777777" w:rsidTr="00F275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7E8FE81C"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2005</w:t>
            </w:r>
          </w:p>
        </w:tc>
        <w:tc>
          <w:tcPr>
            <w:tcW w:w="1773" w:type="dxa"/>
            <w:tcBorders>
              <w:left w:val="single" w:sz="4" w:space="0" w:color="auto"/>
            </w:tcBorders>
            <w:noWrap/>
            <w:hideMark/>
          </w:tcPr>
          <w:p w14:paraId="71C88550"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8</w:t>
            </w:r>
            <w:r>
              <w:rPr>
                <w:rFonts w:eastAsia="Times New Roman" w:cs="Arial"/>
                <w:color w:val="auto"/>
                <w:lang w:eastAsia="en-AU"/>
              </w:rPr>
              <w:t>,</w:t>
            </w:r>
            <w:r w:rsidRPr="00CF1D8B">
              <w:rPr>
                <w:rFonts w:eastAsia="Times New Roman" w:cs="Arial"/>
                <w:color w:val="auto"/>
                <w:lang w:eastAsia="en-AU"/>
              </w:rPr>
              <w:t>383</w:t>
            </w:r>
          </w:p>
        </w:tc>
        <w:tc>
          <w:tcPr>
            <w:tcW w:w="1235" w:type="dxa"/>
            <w:tcBorders>
              <w:right w:val="single" w:sz="4" w:space="0" w:color="auto"/>
            </w:tcBorders>
          </w:tcPr>
          <w:p w14:paraId="34AF33BE"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(70.4%)</w:t>
            </w:r>
          </w:p>
        </w:tc>
        <w:tc>
          <w:tcPr>
            <w:tcW w:w="1742" w:type="dxa"/>
          </w:tcPr>
          <w:p w14:paraId="4060C63B"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3</w:t>
            </w:r>
            <w:r>
              <w:rPr>
                <w:rFonts w:eastAsia="Times New Roman" w:cs="Arial"/>
                <w:color w:val="auto"/>
                <w:lang w:eastAsia="en-AU"/>
              </w:rPr>
              <w:t>,</w:t>
            </w:r>
            <w:r w:rsidRPr="00CF1D8B">
              <w:rPr>
                <w:rFonts w:eastAsia="Times New Roman" w:cs="Arial"/>
                <w:color w:val="auto"/>
                <w:lang w:eastAsia="en-AU"/>
              </w:rPr>
              <w:t>522</w:t>
            </w:r>
          </w:p>
        </w:tc>
        <w:tc>
          <w:tcPr>
            <w:tcW w:w="1266" w:type="dxa"/>
          </w:tcPr>
          <w:p w14:paraId="5BA1A6D7"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(29.6%)</w:t>
            </w:r>
          </w:p>
        </w:tc>
        <w:tc>
          <w:tcPr>
            <w:tcW w:w="1852" w:type="dxa"/>
            <w:tcBorders>
              <w:left w:val="single" w:sz="4" w:space="0" w:color="auto"/>
            </w:tcBorders>
            <w:noWrap/>
            <w:hideMark/>
          </w:tcPr>
          <w:p w14:paraId="638A650A"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608</w:t>
            </w:r>
          </w:p>
        </w:tc>
        <w:tc>
          <w:tcPr>
            <w:tcW w:w="1157" w:type="dxa"/>
            <w:tcBorders>
              <w:right w:val="single" w:sz="4" w:space="0" w:color="auto"/>
            </w:tcBorders>
          </w:tcPr>
          <w:p w14:paraId="4F530FCB"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(21.9%)</w:t>
            </w:r>
          </w:p>
        </w:tc>
        <w:tc>
          <w:tcPr>
            <w:tcW w:w="1962" w:type="dxa"/>
            <w:tcBorders>
              <w:left w:val="single" w:sz="4" w:space="0" w:color="auto"/>
            </w:tcBorders>
            <w:noWrap/>
            <w:hideMark/>
          </w:tcPr>
          <w:p w14:paraId="4091AC72"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914</w:t>
            </w:r>
          </w:p>
        </w:tc>
        <w:tc>
          <w:tcPr>
            <w:tcW w:w="1046" w:type="dxa"/>
            <w:tcBorders>
              <w:right w:val="single" w:sz="4" w:space="0" w:color="auto"/>
            </w:tcBorders>
            <w:vAlign w:val="bottom"/>
          </w:tcPr>
          <w:p w14:paraId="2F91791E" w14:textId="77777777" w:rsidR="00F974D5" w:rsidRPr="00F974D5" w:rsidRDefault="00F974D5"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7.68%</w:t>
            </w:r>
            <w:r>
              <w:rPr>
                <w:rFonts w:ascii="Calibri" w:hAnsi="Calibri" w:cs="Arial"/>
                <w:color w:val="auto"/>
              </w:rPr>
              <w:t>)</w:t>
            </w:r>
          </w:p>
        </w:tc>
        <w:tc>
          <w:tcPr>
            <w:tcW w:w="1505" w:type="dxa"/>
            <w:tcBorders>
              <w:left w:val="single" w:sz="4" w:space="0" w:color="auto"/>
              <w:right w:val="single" w:sz="4" w:space="0" w:color="auto"/>
            </w:tcBorders>
          </w:tcPr>
          <w:p w14:paraId="7AE0365B"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11</w:t>
            </w:r>
            <w:r>
              <w:rPr>
                <w:rFonts w:eastAsia="Times New Roman" w:cs="Arial"/>
                <w:b/>
                <w:color w:val="auto"/>
                <w:lang w:eastAsia="en-AU"/>
              </w:rPr>
              <w:t>,</w:t>
            </w:r>
            <w:r w:rsidRPr="00A80772">
              <w:rPr>
                <w:rFonts w:eastAsia="Times New Roman" w:cs="Arial"/>
                <w:b/>
                <w:color w:val="auto"/>
                <w:lang w:eastAsia="en-AU"/>
              </w:rPr>
              <w:t>905</w:t>
            </w:r>
          </w:p>
        </w:tc>
      </w:tr>
      <w:tr w:rsidR="00F974D5" w:rsidRPr="00CF1D8B" w14:paraId="4076550B" w14:textId="77777777" w:rsidTr="00F27541">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34881188"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2006</w:t>
            </w:r>
          </w:p>
        </w:tc>
        <w:tc>
          <w:tcPr>
            <w:tcW w:w="1773" w:type="dxa"/>
            <w:tcBorders>
              <w:left w:val="single" w:sz="4" w:space="0" w:color="auto"/>
            </w:tcBorders>
            <w:noWrap/>
            <w:hideMark/>
          </w:tcPr>
          <w:p w14:paraId="631568C5"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9</w:t>
            </w:r>
            <w:r>
              <w:rPr>
                <w:rFonts w:eastAsia="Times New Roman" w:cs="Arial"/>
                <w:color w:val="auto"/>
                <w:lang w:eastAsia="en-AU"/>
              </w:rPr>
              <w:t>,</w:t>
            </w:r>
            <w:r w:rsidRPr="00CF1D8B">
              <w:rPr>
                <w:rFonts w:eastAsia="Times New Roman" w:cs="Arial"/>
                <w:color w:val="auto"/>
                <w:lang w:eastAsia="en-AU"/>
              </w:rPr>
              <w:t>422</w:t>
            </w:r>
          </w:p>
        </w:tc>
        <w:tc>
          <w:tcPr>
            <w:tcW w:w="1235" w:type="dxa"/>
            <w:tcBorders>
              <w:right w:val="single" w:sz="4" w:space="0" w:color="auto"/>
            </w:tcBorders>
          </w:tcPr>
          <w:p w14:paraId="476129A7"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(71.3%)</w:t>
            </w:r>
          </w:p>
        </w:tc>
        <w:tc>
          <w:tcPr>
            <w:tcW w:w="1742" w:type="dxa"/>
            <w:tcBorders>
              <w:right w:val="nil"/>
            </w:tcBorders>
          </w:tcPr>
          <w:p w14:paraId="7587CE92"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3</w:t>
            </w:r>
            <w:r>
              <w:rPr>
                <w:rFonts w:eastAsia="Times New Roman" w:cs="Arial"/>
                <w:color w:val="auto"/>
                <w:lang w:eastAsia="en-AU"/>
              </w:rPr>
              <w:t>,</w:t>
            </w:r>
            <w:r w:rsidRPr="00CF1D8B">
              <w:rPr>
                <w:rFonts w:eastAsia="Times New Roman" w:cs="Arial"/>
                <w:color w:val="auto"/>
                <w:lang w:eastAsia="en-AU"/>
              </w:rPr>
              <w:t>790</w:t>
            </w:r>
          </w:p>
        </w:tc>
        <w:tc>
          <w:tcPr>
            <w:tcW w:w="1266" w:type="dxa"/>
            <w:tcBorders>
              <w:left w:val="nil"/>
            </w:tcBorders>
          </w:tcPr>
          <w:p w14:paraId="760CAE3F"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(28.7%)</w:t>
            </w:r>
          </w:p>
        </w:tc>
        <w:tc>
          <w:tcPr>
            <w:tcW w:w="1852" w:type="dxa"/>
            <w:tcBorders>
              <w:left w:val="single" w:sz="4" w:space="0" w:color="auto"/>
            </w:tcBorders>
            <w:noWrap/>
            <w:hideMark/>
          </w:tcPr>
          <w:p w14:paraId="5F85A6CA"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779</w:t>
            </w:r>
          </w:p>
        </w:tc>
        <w:tc>
          <w:tcPr>
            <w:tcW w:w="1157" w:type="dxa"/>
            <w:tcBorders>
              <w:right w:val="single" w:sz="4" w:space="0" w:color="auto"/>
            </w:tcBorders>
          </w:tcPr>
          <w:p w14:paraId="255C6F9F"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(21.0%)</w:t>
            </w:r>
          </w:p>
        </w:tc>
        <w:tc>
          <w:tcPr>
            <w:tcW w:w="1962" w:type="dxa"/>
            <w:tcBorders>
              <w:left w:val="single" w:sz="4" w:space="0" w:color="auto"/>
              <w:right w:val="nil"/>
            </w:tcBorders>
            <w:noWrap/>
            <w:hideMark/>
          </w:tcPr>
          <w:p w14:paraId="6632F13D"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1</w:t>
            </w:r>
            <w:r>
              <w:rPr>
                <w:rFonts w:eastAsia="Times New Roman" w:cs="Arial"/>
                <w:color w:val="auto"/>
                <w:lang w:eastAsia="en-AU"/>
              </w:rPr>
              <w:t>,</w:t>
            </w:r>
            <w:r w:rsidRPr="00CF1D8B">
              <w:rPr>
                <w:rFonts w:eastAsia="Times New Roman" w:cs="Arial"/>
                <w:color w:val="auto"/>
                <w:lang w:eastAsia="en-AU"/>
              </w:rPr>
              <w:t>011</w:t>
            </w:r>
          </w:p>
        </w:tc>
        <w:tc>
          <w:tcPr>
            <w:tcW w:w="1046" w:type="dxa"/>
            <w:tcBorders>
              <w:left w:val="nil"/>
              <w:right w:val="single" w:sz="4" w:space="0" w:color="auto"/>
            </w:tcBorders>
            <w:vAlign w:val="bottom"/>
          </w:tcPr>
          <w:p w14:paraId="4B5DA021" w14:textId="77777777" w:rsidR="00F974D5" w:rsidRPr="00F974D5" w:rsidRDefault="00F974D5"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7.65%</w:t>
            </w:r>
            <w:r>
              <w:rPr>
                <w:rFonts w:ascii="Calibri" w:hAnsi="Calibri" w:cs="Arial"/>
                <w:color w:val="auto"/>
              </w:rPr>
              <w:t>)</w:t>
            </w:r>
          </w:p>
        </w:tc>
        <w:tc>
          <w:tcPr>
            <w:tcW w:w="1505" w:type="dxa"/>
            <w:tcBorders>
              <w:left w:val="single" w:sz="4" w:space="0" w:color="auto"/>
              <w:right w:val="single" w:sz="4" w:space="0" w:color="auto"/>
            </w:tcBorders>
          </w:tcPr>
          <w:p w14:paraId="61D4EC33" w14:textId="77777777" w:rsidR="00F974D5" w:rsidRPr="00A80772"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13</w:t>
            </w:r>
            <w:r>
              <w:rPr>
                <w:rFonts w:eastAsia="Times New Roman" w:cs="Arial"/>
                <w:b/>
                <w:color w:val="auto"/>
                <w:lang w:eastAsia="en-AU"/>
              </w:rPr>
              <w:t>,</w:t>
            </w:r>
            <w:r w:rsidRPr="00A80772">
              <w:rPr>
                <w:rFonts w:eastAsia="Times New Roman" w:cs="Arial"/>
                <w:b/>
                <w:color w:val="auto"/>
                <w:lang w:eastAsia="en-AU"/>
              </w:rPr>
              <w:t>212</w:t>
            </w:r>
          </w:p>
        </w:tc>
      </w:tr>
      <w:tr w:rsidR="00F974D5" w:rsidRPr="00CF1D8B" w14:paraId="60BA71F5" w14:textId="77777777" w:rsidTr="00F275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16A94BC8"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2007</w:t>
            </w:r>
          </w:p>
        </w:tc>
        <w:tc>
          <w:tcPr>
            <w:tcW w:w="1773" w:type="dxa"/>
            <w:tcBorders>
              <w:left w:val="single" w:sz="4" w:space="0" w:color="auto"/>
            </w:tcBorders>
            <w:noWrap/>
            <w:hideMark/>
          </w:tcPr>
          <w:p w14:paraId="77CD07C0"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7</w:t>
            </w:r>
            <w:r>
              <w:rPr>
                <w:rFonts w:eastAsia="Times New Roman" w:cs="Arial"/>
                <w:color w:val="auto"/>
                <w:lang w:eastAsia="en-AU"/>
              </w:rPr>
              <w:t>,</w:t>
            </w:r>
            <w:r w:rsidRPr="00CF1D8B">
              <w:rPr>
                <w:rFonts w:eastAsia="Times New Roman" w:cs="Arial"/>
                <w:color w:val="auto"/>
                <w:lang w:eastAsia="en-AU"/>
              </w:rPr>
              <w:t>582</w:t>
            </w:r>
          </w:p>
        </w:tc>
        <w:tc>
          <w:tcPr>
            <w:tcW w:w="1235" w:type="dxa"/>
            <w:tcBorders>
              <w:right w:val="single" w:sz="4" w:space="0" w:color="auto"/>
            </w:tcBorders>
          </w:tcPr>
          <w:p w14:paraId="0FAF57A0"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(71.0%)</w:t>
            </w:r>
          </w:p>
        </w:tc>
        <w:tc>
          <w:tcPr>
            <w:tcW w:w="1742" w:type="dxa"/>
          </w:tcPr>
          <w:p w14:paraId="54C146CD"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3</w:t>
            </w:r>
            <w:r>
              <w:rPr>
                <w:rFonts w:eastAsia="Times New Roman" w:cs="Arial"/>
                <w:color w:val="auto"/>
                <w:lang w:eastAsia="en-AU"/>
              </w:rPr>
              <w:t>,</w:t>
            </w:r>
            <w:r w:rsidRPr="00CF1D8B">
              <w:rPr>
                <w:rFonts w:eastAsia="Times New Roman" w:cs="Arial"/>
                <w:color w:val="auto"/>
                <w:lang w:eastAsia="en-AU"/>
              </w:rPr>
              <w:t>098</w:t>
            </w:r>
          </w:p>
        </w:tc>
        <w:tc>
          <w:tcPr>
            <w:tcW w:w="1266" w:type="dxa"/>
          </w:tcPr>
          <w:p w14:paraId="15C610B9"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(29.0%)</w:t>
            </w:r>
          </w:p>
        </w:tc>
        <w:tc>
          <w:tcPr>
            <w:tcW w:w="1852" w:type="dxa"/>
            <w:tcBorders>
              <w:left w:val="single" w:sz="4" w:space="0" w:color="auto"/>
            </w:tcBorders>
            <w:noWrap/>
            <w:hideMark/>
          </w:tcPr>
          <w:p w14:paraId="6A7C5269"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055</w:t>
            </w:r>
          </w:p>
        </w:tc>
        <w:tc>
          <w:tcPr>
            <w:tcW w:w="1157" w:type="dxa"/>
            <w:tcBorders>
              <w:right w:val="single" w:sz="4" w:space="0" w:color="auto"/>
            </w:tcBorders>
          </w:tcPr>
          <w:p w14:paraId="3E7271BE"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(19.2%)</w:t>
            </w:r>
          </w:p>
        </w:tc>
        <w:tc>
          <w:tcPr>
            <w:tcW w:w="1962" w:type="dxa"/>
            <w:tcBorders>
              <w:left w:val="single" w:sz="4" w:space="0" w:color="auto"/>
            </w:tcBorders>
            <w:noWrap/>
            <w:hideMark/>
          </w:tcPr>
          <w:p w14:paraId="47825991"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1</w:t>
            </w:r>
            <w:r>
              <w:rPr>
                <w:rFonts w:eastAsia="Times New Roman" w:cs="Arial"/>
                <w:color w:val="auto"/>
                <w:lang w:eastAsia="en-AU"/>
              </w:rPr>
              <w:t>,</w:t>
            </w:r>
            <w:r w:rsidRPr="00CF1D8B">
              <w:rPr>
                <w:rFonts w:eastAsia="Times New Roman" w:cs="Arial"/>
                <w:color w:val="auto"/>
                <w:lang w:eastAsia="en-AU"/>
              </w:rPr>
              <w:t>043</w:t>
            </w:r>
          </w:p>
        </w:tc>
        <w:tc>
          <w:tcPr>
            <w:tcW w:w="1046" w:type="dxa"/>
            <w:tcBorders>
              <w:right w:val="single" w:sz="4" w:space="0" w:color="auto"/>
            </w:tcBorders>
            <w:vAlign w:val="bottom"/>
          </w:tcPr>
          <w:p w14:paraId="6EB2FDD1" w14:textId="77777777" w:rsidR="00F974D5" w:rsidRPr="00F974D5" w:rsidRDefault="00F974D5"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9.77%</w:t>
            </w:r>
            <w:r>
              <w:rPr>
                <w:rFonts w:ascii="Calibri" w:hAnsi="Calibri" w:cs="Arial"/>
                <w:color w:val="auto"/>
              </w:rPr>
              <w:t>)</w:t>
            </w:r>
          </w:p>
        </w:tc>
        <w:tc>
          <w:tcPr>
            <w:tcW w:w="1505" w:type="dxa"/>
            <w:tcBorders>
              <w:left w:val="single" w:sz="4" w:space="0" w:color="auto"/>
              <w:right w:val="single" w:sz="4" w:space="0" w:color="auto"/>
            </w:tcBorders>
          </w:tcPr>
          <w:p w14:paraId="63C03B93"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10</w:t>
            </w:r>
            <w:r>
              <w:rPr>
                <w:rFonts w:eastAsia="Times New Roman" w:cs="Arial"/>
                <w:b/>
                <w:color w:val="auto"/>
                <w:lang w:eastAsia="en-AU"/>
              </w:rPr>
              <w:t>,</w:t>
            </w:r>
            <w:r w:rsidRPr="00A80772">
              <w:rPr>
                <w:rFonts w:eastAsia="Times New Roman" w:cs="Arial"/>
                <w:b/>
                <w:color w:val="auto"/>
                <w:lang w:eastAsia="en-AU"/>
              </w:rPr>
              <w:t>680</w:t>
            </w:r>
          </w:p>
        </w:tc>
      </w:tr>
      <w:tr w:rsidR="00F974D5" w:rsidRPr="00CF1D8B" w14:paraId="019D8CE7" w14:textId="77777777" w:rsidTr="00F27541">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6BB2B1FF"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2008</w:t>
            </w:r>
          </w:p>
        </w:tc>
        <w:tc>
          <w:tcPr>
            <w:tcW w:w="1773" w:type="dxa"/>
            <w:tcBorders>
              <w:left w:val="single" w:sz="4" w:space="0" w:color="auto"/>
            </w:tcBorders>
            <w:noWrap/>
            <w:hideMark/>
          </w:tcPr>
          <w:p w14:paraId="4163765A"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12</w:t>
            </w:r>
            <w:r>
              <w:rPr>
                <w:rFonts w:eastAsia="Times New Roman" w:cs="Arial"/>
                <w:color w:val="auto"/>
                <w:lang w:eastAsia="en-AU"/>
              </w:rPr>
              <w:t>,</w:t>
            </w:r>
            <w:r w:rsidRPr="00CF1D8B">
              <w:rPr>
                <w:rFonts w:eastAsia="Times New Roman" w:cs="Arial"/>
                <w:color w:val="auto"/>
                <w:lang w:eastAsia="en-AU"/>
              </w:rPr>
              <w:t>240</w:t>
            </w:r>
          </w:p>
        </w:tc>
        <w:tc>
          <w:tcPr>
            <w:tcW w:w="1235" w:type="dxa"/>
            <w:tcBorders>
              <w:right w:val="single" w:sz="4" w:space="0" w:color="auto"/>
            </w:tcBorders>
          </w:tcPr>
          <w:p w14:paraId="1FC03822"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(76.1%)</w:t>
            </w:r>
          </w:p>
        </w:tc>
        <w:tc>
          <w:tcPr>
            <w:tcW w:w="1742" w:type="dxa"/>
            <w:tcBorders>
              <w:right w:val="nil"/>
            </w:tcBorders>
          </w:tcPr>
          <w:p w14:paraId="2C36373C"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3</w:t>
            </w:r>
            <w:r>
              <w:rPr>
                <w:rFonts w:eastAsia="Times New Roman" w:cs="Arial"/>
                <w:color w:val="auto"/>
                <w:lang w:eastAsia="en-AU"/>
              </w:rPr>
              <w:t>,</w:t>
            </w:r>
            <w:r w:rsidRPr="00CF1D8B">
              <w:rPr>
                <w:rFonts w:eastAsia="Times New Roman" w:cs="Arial"/>
                <w:color w:val="auto"/>
                <w:lang w:eastAsia="en-AU"/>
              </w:rPr>
              <w:t>841</w:t>
            </w:r>
          </w:p>
        </w:tc>
        <w:tc>
          <w:tcPr>
            <w:tcW w:w="1266" w:type="dxa"/>
            <w:tcBorders>
              <w:left w:val="nil"/>
            </w:tcBorders>
          </w:tcPr>
          <w:p w14:paraId="36F1CC31"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(23.9%)</w:t>
            </w:r>
          </w:p>
        </w:tc>
        <w:tc>
          <w:tcPr>
            <w:tcW w:w="1852" w:type="dxa"/>
            <w:tcBorders>
              <w:left w:val="single" w:sz="4" w:space="0" w:color="auto"/>
            </w:tcBorders>
            <w:noWrap/>
            <w:hideMark/>
          </w:tcPr>
          <w:p w14:paraId="75335401"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351</w:t>
            </w:r>
          </w:p>
        </w:tc>
        <w:tc>
          <w:tcPr>
            <w:tcW w:w="1157" w:type="dxa"/>
            <w:tcBorders>
              <w:right w:val="single" w:sz="4" w:space="0" w:color="auto"/>
            </w:tcBorders>
          </w:tcPr>
          <w:p w14:paraId="4D2AB342"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(14.6%)</w:t>
            </w:r>
          </w:p>
        </w:tc>
        <w:tc>
          <w:tcPr>
            <w:tcW w:w="1962" w:type="dxa"/>
            <w:tcBorders>
              <w:left w:val="single" w:sz="4" w:space="0" w:color="auto"/>
              <w:right w:val="nil"/>
            </w:tcBorders>
            <w:noWrap/>
            <w:hideMark/>
          </w:tcPr>
          <w:p w14:paraId="7A2BBF6B"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1</w:t>
            </w:r>
            <w:r>
              <w:rPr>
                <w:rFonts w:eastAsia="Times New Roman" w:cs="Arial"/>
                <w:color w:val="auto"/>
                <w:lang w:eastAsia="en-AU"/>
              </w:rPr>
              <w:t>,</w:t>
            </w:r>
            <w:r w:rsidRPr="00CF1D8B">
              <w:rPr>
                <w:rFonts w:eastAsia="Times New Roman" w:cs="Arial"/>
                <w:color w:val="auto"/>
                <w:lang w:eastAsia="en-AU"/>
              </w:rPr>
              <w:t>490</w:t>
            </w:r>
          </w:p>
        </w:tc>
        <w:tc>
          <w:tcPr>
            <w:tcW w:w="1046" w:type="dxa"/>
            <w:tcBorders>
              <w:left w:val="nil"/>
              <w:right w:val="single" w:sz="4" w:space="0" w:color="auto"/>
            </w:tcBorders>
            <w:vAlign w:val="bottom"/>
          </w:tcPr>
          <w:p w14:paraId="7B5B60E8" w14:textId="77777777" w:rsidR="00F974D5" w:rsidRPr="00F974D5" w:rsidRDefault="00F974D5"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9.27%</w:t>
            </w:r>
            <w:r>
              <w:rPr>
                <w:rFonts w:ascii="Calibri" w:hAnsi="Calibri" w:cs="Arial"/>
                <w:color w:val="auto"/>
              </w:rPr>
              <w:t>)</w:t>
            </w:r>
          </w:p>
        </w:tc>
        <w:tc>
          <w:tcPr>
            <w:tcW w:w="1505" w:type="dxa"/>
            <w:tcBorders>
              <w:left w:val="single" w:sz="4" w:space="0" w:color="auto"/>
              <w:right w:val="single" w:sz="4" w:space="0" w:color="auto"/>
            </w:tcBorders>
          </w:tcPr>
          <w:p w14:paraId="7BA199FE" w14:textId="77777777" w:rsidR="00F974D5" w:rsidRPr="00A80772"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16</w:t>
            </w:r>
            <w:r>
              <w:rPr>
                <w:rFonts w:eastAsia="Times New Roman" w:cs="Arial"/>
                <w:b/>
                <w:color w:val="auto"/>
                <w:lang w:eastAsia="en-AU"/>
              </w:rPr>
              <w:t>,</w:t>
            </w:r>
            <w:r w:rsidRPr="00A80772">
              <w:rPr>
                <w:rFonts w:eastAsia="Times New Roman" w:cs="Arial"/>
                <w:b/>
                <w:color w:val="auto"/>
                <w:lang w:eastAsia="en-AU"/>
              </w:rPr>
              <w:t>081</w:t>
            </w:r>
          </w:p>
        </w:tc>
      </w:tr>
      <w:tr w:rsidR="00F974D5" w:rsidRPr="00CF1D8B" w14:paraId="40B93026" w14:textId="77777777" w:rsidTr="00F275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1433357D"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2009</w:t>
            </w:r>
          </w:p>
        </w:tc>
        <w:tc>
          <w:tcPr>
            <w:tcW w:w="1773" w:type="dxa"/>
            <w:tcBorders>
              <w:left w:val="single" w:sz="4" w:space="0" w:color="auto"/>
            </w:tcBorders>
            <w:noWrap/>
            <w:hideMark/>
          </w:tcPr>
          <w:p w14:paraId="0B97BF67"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17</w:t>
            </w:r>
            <w:r>
              <w:rPr>
                <w:rFonts w:eastAsia="Times New Roman" w:cs="Arial"/>
                <w:color w:val="auto"/>
                <w:lang w:eastAsia="en-AU"/>
              </w:rPr>
              <w:t>,</w:t>
            </w:r>
            <w:r w:rsidRPr="00CF1D8B">
              <w:rPr>
                <w:rFonts w:eastAsia="Times New Roman" w:cs="Arial"/>
                <w:color w:val="auto"/>
                <w:lang w:eastAsia="en-AU"/>
              </w:rPr>
              <w:t>448</w:t>
            </w:r>
          </w:p>
        </w:tc>
        <w:tc>
          <w:tcPr>
            <w:tcW w:w="1235" w:type="dxa"/>
            <w:tcBorders>
              <w:right w:val="single" w:sz="4" w:space="0" w:color="auto"/>
            </w:tcBorders>
          </w:tcPr>
          <w:p w14:paraId="579679DE"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(80.2%)</w:t>
            </w:r>
          </w:p>
        </w:tc>
        <w:tc>
          <w:tcPr>
            <w:tcW w:w="1742" w:type="dxa"/>
          </w:tcPr>
          <w:p w14:paraId="42CE189F"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4</w:t>
            </w:r>
            <w:r>
              <w:rPr>
                <w:rFonts w:eastAsia="Times New Roman" w:cs="Arial"/>
                <w:color w:val="auto"/>
                <w:lang w:eastAsia="en-AU"/>
              </w:rPr>
              <w:t>,</w:t>
            </w:r>
            <w:r w:rsidRPr="00CF1D8B">
              <w:rPr>
                <w:rFonts w:eastAsia="Times New Roman" w:cs="Arial"/>
                <w:color w:val="auto"/>
                <w:lang w:eastAsia="en-AU"/>
              </w:rPr>
              <w:t>311</w:t>
            </w:r>
          </w:p>
        </w:tc>
        <w:tc>
          <w:tcPr>
            <w:tcW w:w="1266" w:type="dxa"/>
          </w:tcPr>
          <w:p w14:paraId="77935B2F"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(19.8%)</w:t>
            </w:r>
          </w:p>
        </w:tc>
        <w:tc>
          <w:tcPr>
            <w:tcW w:w="1852" w:type="dxa"/>
            <w:tcBorders>
              <w:left w:val="single" w:sz="4" w:space="0" w:color="auto"/>
            </w:tcBorders>
            <w:noWrap/>
            <w:hideMark/>
          </w:tcPr>
          <w:p w14:paraId="6B1E0897"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536</w:t>
            </w:r>
          </w:p>
        </w:tc>
        <w:tc>
          <w:tcPr>
            <w:tcW w:w="1157" w:type="dxa"/>
            <w:tcBorders>
              <w:right w:val="single" w:sz="4" w:space="0" w:color="auto"/>
            </w:tcBorders>
          </w:tcPr>
          <w:p w14:paraId="7A3C860F"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(11.7%)</w:t>
            </w:r>
          </w:p>
        </w:tc>
        <w:tc>
          <w:tcPr>
            <w:tcW w:w="1962" w:type="dxa"/>
            <w:tcBorders>
              <w:left w:val="single" w:sz="4" w:space="0" w:color="auto"/>
            </w:tcBorders>
            <w:noWrap/>
            <w:hideMark/>
          </w:tcPr>
          <w:p w14:paraId="7EEFDB5E"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1</w:t>
            </w:r>
            <w:r>
              <w:rPr>
                <w:rFonts w:eastAsia="Times New Roman" w:cs="Arial"/>
                <w:color w:val="auto"/>
                <w:lang w:eastAsia="en-AU"/>
              </w:rPr>
              <w:t>,</w:t>
            </w:r>
            <w:r w:rsidRPr="00CF1D8B">
              <w:rPr>
                <w:rFonts w:eastAsia="Times New Roman" w:cs="Arial"/>
                <w:color w:val="auto"/>
                <w:lang w:eastAsia="en-AU"/>
              </w:rPr>
              <w:t>775</w:t>
            </w:r>
          </w:p>
        </w:tc>
        <w:tc>
          <w:tcPr>
            <w:tcW w:w="1046" w:type="dxa"/>
            <w:tcBorders>
              <w:right w:val="single" w:sz="4" w:space="0" w:color="auto"/>
            </w:tcBorders>
            <w:vAlign w:val="bottom"/>
          </w:tcPr>
          <w:p w14:paraId="52BF90F8" w14:textId="77777777" w:rsidR="00F974D5" w:rsidRPr="00F974D5" w:rsidRDefault="00F974D5"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8.16%</w:t>
            </w:r>
            <w:r>
              <w:rPr>
                <w:rFonts w:ascii="Calibri" w:hAnsi="Calibri" w:cs="Arial"/>
                <w:color w:val="auto"/>
              </w:rPr>
              <w:t>)</w:t>
            </w:r>
          </w:p>
        </w:tc>
        <w:tc>
          <w:tcPr>
            <w:tcW w:w="1505" w:type="dxa"/>
            <w:tcBorders>
              <w:left w:val="single" w:sz="4" w:space="0" w:color="auto"/>
              <w:right w:val="single" w:sz="4" w:space="0" w:color="auto"/>
            </w:tcBorders>
          </w:tcPr>
          <w:p w14:paraId="1A29629F"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21</w:t>
            </w:r>
            <w:r>
              <w:rPr>
                <w:rFonts w:eastAsia="Times New Roman" w:cs="Arial"/>
                <w:b/>
                <w:color w:val="auto"/>
                <w:lang w:eastAsia="en-AU"/>
              </w:rPr>
              <w:t>,</w:t>
            </w:r>
            <w:r w:rsidRPr="00A80772">
              <w:rPr>
                <w:rFonts w:eastAsia="Times New Roman" w:cs="Arial"/>
                <w:b/>
                <w:color w:val="auto"/>
                <w:lang w:eastAsia="en-AU"/>
              </w:rPr>
              <w:t>759</w:t>
            </w:r>
          </w:p>
        </w:tc>
      </w:tr>
      <w:tr w:rsidR="00F974D5" w:rsidRPr="00CF1D8B" w14:paraId="23929E82" w14:textId="77777777" w:rsidTr="00F27541">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1B78F919"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2010</w:t>
            </w:r>
          </w:p>
        </w:tc>
        <w:tc>
          <w:tcPr>
            <w:tcW w:w="1773" w:type="dxa"/>
            <w:tcBorders>
              <w:left w:val="single" w:sz="4" w:space="0" w:color="auto"/>
            </w:tcBorders>
            <w:noWrap/>
            <w:hideMark/>
          </w:tcPr>
          <w:p w14:paraId="0AF8FF04"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21</w:t>
            </w:r>
            <w:r>
              <w:rPr>
                <w:rFonts w:eastAsia="Times New Roman" w:cs="Arial"/>
                <w:color w:val="auto"/>
                <w:lang w:eastAsia="en-AU"/>
              </w:rPr>
              <w:t>,</w:t>
            </w:r>
            <w:r w:rsidRPr="00CF1D8B">
              <w:rPr>
                <w:rFonts w:eastAsia="Times New Roman" w:cs="Arial"/>
                <w:color w:val="auto"/>
                <w:lang w:eastAsia="en-AU"/>
              </w:rPr>
              <w:t>438</w:t>
            </w:r>
          </w:p>
        </w:tc>
        <w:tc>
          <w:tcPr>
            <w:tcW w:w="1235" w:type="dxa"/>
            <w:tcBorders>
              <w:right w:val="single" w:sz="4" w:space="0" w:color="auto"/>
            </w:tcBorders>
          </w:tcPr>
          <w:p w14:paraId="0D5BE225"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(81.4%)</w:t>
            </w:r>
          </w:p>
        </w:tc>
        <w:tc>
          <w:tcPr>
            <w:tcW w:w="1742" w:type="dxa"/>
            <w:tcBorders>
              <w:right w:val="nil"/>
            </w:tcBorders>
          </w:tcPr>
          <w:p w14:paraId="18FF66EE"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4</w:t>
            </w:r>
            <w:r>
              <w:rPr>
                <w:rFonts w:eastAsia="Times New Roman" w:cs="Arial"/>
                <w:color w:val="auto"/>
                <w:lang w:eastAsia="en-AU"/>
              </w:rPr>
              <w:t>,</w:t>
            </w:r>
            <w:r w:rsidRPr="00CF1D8B">
              <w:rPr>
                <w:rFonts w:eastAsia="Times New Roman" w:cs="Arial"/>
                <w:color w:val="auto"/>
                <w:lang w:eastAsia="en-AU"/>
              </w:rPr>
              <w:t>902</w:t>
            </w:r>
          </w:p>
        </w:tc>
        <w:tc>
          <w:tcPr>
            <w:tcW w:w="1266" w:type="dxa"/>
            <w:tcBorders>
              <w:left w:val="nil"/>
            </w:tcBorders>
          </w:tcPr>
          <w:p w14:paraId="191C88DD"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(18.6%)</w:t>
            </w:r>
          </w:p>
        </w:tc>
        <w:tc>
          <w:tcPr>
            <w:tcW w:w="1852" w:type="dxa"/>
            <w:tcBorders>
              <w:left w:val="single" w:sz="4" w:space="0" w:color="auto"/>
            </w:tcBorders>
            <w:noWrap/>
            <w:hideMark/>
          </w:tcPr>
          <w:p w14:paraId="76BB35F0"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995</w:t>
            </w:r>
          </w:p>
        </w:tc>
        <w:tc>
          <w:tcPr>
            <w:tcW w:w="1157" w:type="dxa"/>
            <w:tcBorders>
              <w:right w:val="single" w:sz="4" w:space="0" w:color="auto"/>
            </w:tcBorders>
          </w:tcPr>
          <w:p w14:paraId="0711261C"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(11.4%)</w:t>
            </w:r>
          </w:p>
        </w:tc>
        <w:tc>
          <w:tcPr>
            <w:tcW w:w="1962" w:type="dxa"/>
            <w:tcBorders>
              <w:left w:val="single" w:sz="4" w:space="0" w:color="auto"/>
              <w:right w:val="nil"/>
            </w:tcBorders>
            <w:noWrap/>
            <w:hideMark/>
          </w:tcPr>
          <w:p w14:paraId="37EFC5A2"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1</w:t>
            </w:r>
            <w:r>
              <w:rPr>
                <w:rFonts w:eastAsia="Times New Roman" w:cs="Arial"/>
                <w:color w:val="auto"/>
                <w:lang w:eastAsia="en-AU"/>
              </w:rPr>
              <w:t>,</w:t>
            </w:r>
            <w:r w:rsidRPr="00CF1D8B">
              <w:rPr>
                <w:rFonts w:eastAsia="Times New Roman" w:cs="Arial"/>
                <w:color w:val="auto"/>
                <w:lang w:eastAsia="en-AU"/>
              </w:rPr>
              <w:t>907</w:t>
            </w:r>
          </w:p>
        </w:tc>
        <w:tc>
          <w:tcPr>
            <w:tcW w:w="1046" w:type="dxa"/>
            <w:tcBorders>
              <w:left w:val="nil"/>
              <w:right w:val="single" w:sz="4" w:space="0" w:color="auto"/>
            </w:tcBorders>
            <w:vAlign w:val="bottom"/>
          </w:tcPr>
          <w:p w14:paraId="047D99F1" w14:textId="77777777" w:rsidR="00F974D5" w:rsidRPr="00F974D5" w:rsidRDefault="00F974D5"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7.24%</w:t>
            </w:r>
            <w:r>
              <w:rPr>
                <w:rFonts w:ascii="Calibri" w:hAnsi="Calibri" w:cs="Arial"/>
                <w:color w:val="auto"/>
              </w:rPr>
              <w:t>)</w:t>
            </w:r>
          </w:p>
        </w:tc>
        <w:tc>
          <w:tcPr>
            <w:tcW w:w="1505" w:type="dxa"/>
            <w:tcBorders>
              <w:left w:val="single" w:sz="4" w:space="0" w:color="auto"/>
              <w:right w:val="single" w:sz="4" w:space="0" w:color="auto"/>
            </w:tcBorders>
          </w:tcPr>
          <w:p w14:paraId="61876DF8" w14:textId="77777777" w:rsidR="00F974D5" w:rsidRPr="00A80772"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26</w:t>
            </w:r>
            <w:r>
              <w:rPr>
                <w:rFonts w:eastAsia="Times New Roman" w:cs="Arial"/>
                <w:b/>
                <w:color w:val="auto"/>
                <w:lang w:eastAsia="en-AU"/>
              </w:rPr>
              <w:t>,</w:t>
            </w:r>
            <w:r w:rsidRPr="00A80772">
              <w:rPr>
                <w:rFonts w:eastAsia="Times New Roman" w:cs="Arial"/>
                <w:b/>
                <w:color w:val="auto"/>
                <w:lang w:eastAsia="en-AU"/>
              </w:rPr>
              <w:t>340</w:t>
            </w:r>
          </w:p>
        </w:tc>
      </w:tr>
      <w:tr w:rsidR="00F974D5" w:rsidRPr="00CF1D8B" w14:paraId="51DD460F" w14:textId="77777777" w:rsidTr="00F275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4AD7ABC8"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2011</w:t>
            </w:r>
          </w:p>
        </w:tc>
        <w:tc>
          <w:tcPr>
            <w:tcW w:w="1773" w:type="dxa"/>
            <w:tcBorders>
              <w:left w:val="single" w:sz="4" w:space="0" w:color="auto"/>
            </w:tcBorders>
            <w:noWrap/>
            <w:hideMark/>
          </w:tcPr>
          <w:p w14:paraId="4EE5E73B"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27</w:t>
            </w:r>
            <w:r>
              <w:rPr>
                <w:rFonts w:eastAsia="Times New Roman" w:cs="Arial"/>
                <w:color w:val="auto"/>
                <w:lang w:eastAsia="en-AU"/>
              </w:rPr>
              <w:t>,</w:t>
            </w:r>
            <w:r w:rsidRPr="00CF1D8B">
              <w:rPr>
                <w:rFonts w:eastAsia="Times New Roman" w:cs="Arial"/>
                <w:color w:val="auto"/>
                <w:lang w:eastAsia="en-AU"/>
              </w:rPr>
              <w:t>208</w:t>
            </w:r>
          </w:p>
        </w:tc>
        <w:tc>
          <w:tcPr>
            <w:tcW w:w="1235" w:type="dxa"/>
            <w:tcBorders>
              <w:right w:val="single" w:sz="4" w:space="0" w:color="auto"/>
            </w:tcBorders>
          </w:tcPr>
          <w:p w14:paraId="64E49886"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(82.4%)</w:t>
            </w:r>
          </w:p>
        </w:tc>
        <w:tc>
          <w:tcPr>
            <w:tcW w:w="1742" w:type="dxa"/>
          </w:tcPr>
          <w:p w14:paraId="30BC4192"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5</w:t>
            </w:r>
            <w:r>
              <w:rPr>
                <w:rFonts w:eastAsia="Times New Roman" w:cs="Arial"/>
                <w:color w:val="auto"/>
                <w:lang w:eastAsia="en-AU"/>
              </w:rPr>
              <w:t>,</w:t>
            </w:r>
            <w:r w:rsidRPr="00CF1D8B">
              <w:rPr>
                <w:rFonts w:eastAsia="Times New Roman" w:cs="Arial"/>
                <w:color w:val="auto"/>
                <w:lang w:eastAsia="en-AU"/>
              </w:rPr>
              <w:t>795</w:t>
            </w:r>
          </w:p>
        </w:tc>
        <w:tc>
          <w:tcPr>
            <w:tcW w:w="1266" w:type="dxa"/>
          </w:tcPr>
          <w:p w14:paraId="412C3F4D"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(17.6%)</w:t>
            </w:r>
          </w:p>
        </w:tc>
        <w:tc>
          <w:tcPr>
            <w:tcW w:w="1852" w:type="dxa"/>
            <w:tcBorders>
              <w:left w:val="single" w:sz="4" w:space="0" w:color="auto"/>
            </w:tcBorders>
            <w:noWrap/>
            <w:hideMark/>
          </w:tcPr>
          <w:p w14:paraId="59854ED4"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3</w:t>
            </w:r>
            <w:r>
              <w:rPr>
                <w:rFonts w:eastAsia="Times New Roman" w:cs="Arial"/>
                <w:color w:val="auto"/>
                <w:lang w:eastAsia="en-AU"/>
              </w:rPr>
              <w:t>,</w:t>
            </w:r>
            <w:r w:rsidRPr="00CF1D8B">
              <w:rPr>
                <w:rFonts w:eastAsia="Times New Roman" w:cs="Arial"/>
                <w:color w:val="auto"/>
                <w:lang w:eastAsia="en-AU"/>
              </w:rPr>
              <w:t>787</w:t>
            </w:r>
          </w:p>
        </w:tc>
        <w:tc>
          <w:tcPr>
            <w:tcW w:w="1157" w:type="dxa"/>
            <w:tcBorders>
              <w:right w:val="single" w:sz="4" w:space="0" w:color="auto"/>
            </w:tcBorders>
          </w:tcPr>
          <w:p w14:paraId="6A2DFD65"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(11.5%)</w:t>
            </w:r>
          </w:p>
        </w:tc>
        <w:tc>
          <w:tcPr>
            <w:tcW w:w="1962" w:type="dxa"/>
            <w:tcBorders>
              <w:left w:val="single" w:sz="4" w:space="0" w:color="auto"/>
            </w:tcBorders>
            <w:noWrap/>
            <w:hideMark/>
          </w:tcPr>
          <w:p w14:paraId="015EF87E" w14:textId="77777777" w:rsidR="00F974D5" w:rsidRPr="00CF1D8B"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008</w:t>
            </w:r>
          </w:p>
        </w:tc>
        <w:tc>
          <w:tcPr>
            <w:tcW w:w="1046" w:type="dxa"/>
            <w:tcBorders>
              <w:right w:val="single" w:sz="4" w:space="0" w:color="auto"/>
            </w:tcBorders>
            <w:vAlign w:val="bottom"/>
          </w:tcPr>
          <w:p w14:paraId="336FA35C" w14:textId="77777777" w:rsidR="00F974D5" w:rsidRPr="00F974D5" w:rsidRDefault="00F974D5"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6.08%</w:t>
            </w:r>
            <w:r>
              <w:rPr>
                <w:rFonts w:ascii="Calibri" w:hAnsi="Calibri" w:cs="Arial"/>
                <w:color w:val="auto"/>
              </w:rPr>
              <w:t>)</w:t>
            </w:r>
          </w:p>
        </w:tc>
        <w:tc>
          <w:tcPr>
            <w:tcW w:w="1505" w:type="dxa"/>
            <w:tcBorders>
              <w:left w:val="single" w:sz="4" w:space="0" w:color="auto"/>
              <w:right w:val="single" w:sz="4" w:space="0" w:color="auto"/>
            </w:tcBorders>
          </w:tcPr>
          <w:p w14:paraId="5CDAD2FE"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33</w:t>
            </w:r>
            <w:r>
              <w:rPr>
                <w:rFonts w:eastAsia="Times New Roman" w:cs="Arial"/>
                <w:b/>
                <w:color w:val="auto"/>
                <w:lang w:eastAsia="en-AU"/>
              </w:rPr>
              <w:t>,</w:t>
            </w:r>
            <w:r w:rsidRPr="00A80772">
              <w:rPr>
                <w:rFonts w:eastAsia="Times New Roman" w:cs="Arial"/>
                <w:b/>
                <w:color w:val="auto"/>
                <w:lang w:eastAsia="en-AU"/>
              </w:rPr>
              <w:t>003</w:t>
            </w:r>
          </w:p>
        </w:tc>
      </w:tr>
      <w:tr w:rsidR="00F974D5" w:rsidRPr="00CF1D8B" w14:paraId="6B1CD287" w14:textId="77777777" w:rsidTr="00F27541">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bottom w:val="single" w:sz="4" w:space="0" w:color="auto"/>
              <w:right w:val="single" w:sz="4" w:space="0" w:color="auto"/>
            </w:tcBorders>
          </w:tcPr>
          <w:p w14:paraId="30D57F46"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2012</w:t>
            </w:r>
          </w:p>
        </w:tc>
        <w:tc>
          <w:tcPr>
            <w:tcW w:w="1773" w:type="dxa"/>
            <w:tcBorders>
              <w:left w:val="single" w:sz="4" w:space="0" w:color="auto"/>
              <w:bottom w:val="single" w:sz="4" w:space="0" w:color="auto"/>
            </w:tcBorders>
            <w:noWrap/>
            <w:hideMark/>
          </w:tcPr>
          <w:p w14:paraId="09806165"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34</w:t>
            </w:r>
            <w:r>
              <w:rPr>
                <w:rFonts w:eastAsia="Times New Roman" w:cs="Arial"/>
                <w:color w:val="auto"/>
                <w:lang w:eastAsia="en-AU"/>
              </w:rPr>
              <w:t>,</w:t>
            </w:r>
            <w:r w:rsidRPr="00CF1D8B">
              <w:rPr>
                <w:rFonts w:eastAsia="Times New Roman" w:cs="Arial"/>
                <w:color w:val="auto"/>
                <w:lang w:eastAsia="en-AU"/>
              </w:rPr>
              <w:t>450</w:t>
            </w:r>
          </w:p>
        </w:tc>
        <w:tc>
          <w:tcPr>
            <w:tcW w:w="1235" w:type="dxa"/>
            <w:tcBorders>
              <w:bottom w:val="single" w:sz="4" w:space="0" w:color="auto"/>
              <w:right w:val="single" w:sz="4" w:space="0" w:color="auto"/>
            </w:tcBorders>
          </w:tcPr>
          <w:p w14:paraId="1D2525AD"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(83.1%)</w:t>
            </w:r>
          </w:p>
        </w:tc>
        <w:tc>
          <w:tcPr>
            <w:tcW w:w="1742" w:type="dxa"/>
            <w:tcBorders>
              <w:bottom w:val="single" w:sz="4" w:space="0" w:color="auto"/>
              <w:right w:val="nil"/>
            </w:tcBorders>
          </w:tcPr>
          <w:p w14:paraId="35232A5A"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7</w:t>
            </w:r>
            <w:r>
              <w:rPr>
                <w:rFonts w:eastAsia="Times New Roman" w:cs="Arial"/>
                <w:color w:val="auto"/>
                <w:lang w:eastAsia="en-AU"/>
              </w:rPr>
              <w:t>,</w:t>
            </w:r>
            <w:r w:rsidRPr="00CF1D8B">
              <w:rPr>
                <w:rFonts w:eastAsia="Times New Roman" w:cs="Arial"/>
                <w:color w:val="auto"/>
                <w:lang w:eastAsia="en-AU"/>
              </w:rPr>
              <w:t>030</w:t>
            </w:r>
          </w:p>
        </w:tc>
        <w:tc>
          <w:tcPr>
            <w:tcW w:w="1266" w:type="dxa"/>
            <w:tcBorders>
              <w:left w:val="nil"/>
              <w:bottom w:val="single" w:sz="4" w:space="0" w:color="auto"/>
            </w:tcBorders>
          </w:tcPr>
          <w:p w14:paraId="211C83A2"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(16.9%)</w:t>
            </w:r>
          </w:p>
        </w:tc>
        <w:tc>
          <w:tcPr>
            <w:tcW w:w="1852" w:type="dxa"/>
            <w:tcBorders>
              <w:left w:val="single" w:sz="4" w:space="0" w:color="auto"/>
              <w:bottom w:val="single" w:sz="4" w:space="0" w:color="auto"/>
            </w:tcBorders>
            <w:noWrap/>
            <w:hideMark/>
          </w:tcPr>
          <w:p w14:paraId="5DF29586"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4</w:t>
            </w:r>
            <w:r>
              <w:rPr>
                <w:rFonts w:eastAsia="Times New Roman" w:cs="Arial"/>
                <w:color w:val="auto"/>
                <w:lang w:eastAsia="en-AU"/>
              </w:rPr>
              <w:t>,</w:t>
            </w:r>
            <w:r w:rsidRPr="00CF1D8B">
              <w:rPr>
                <w:rFonts w:eastAsia="Times New Roman" w:cs="Arial"/>
                <w:color w:val="auto"/>
                <w:lang w:eastAsia="en-AU"/>
              </w:rPr>
              <w:t>617</w:t>
            </w:r>
          </w:p>
        </w:tc>
        <w:tc>
          <w:tcPr>
            <w:tcW w:w="1157" w:type="dxa"/>
            <w:tcBorders>
              <w:bottom w:val="single" w:sz="4" w:space="0" w:color="auto"/>
              <w:right w:val="single" w:sz="4" w:space="0" w:color="auto"/>
            </w:tcBorders>
          </w:tcPr>
          <w:p w14:paraId="3E5F0DF2"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F1D8B">
              <w:rPr>
                <w:rFonts w:eastAsia="Times New Roman" w:cs="Arial"/>
                <w:color w:val="000000"/>
                <w:lang w:eastAsia="en-AU"/>
              </w:rPr>
              <w:t>(11.1%)</w:t>
            </w:r>
          </w:p>
        </w:tc>
        <w:tc>
          <w:tcPr>
            <w:tcW w:w="1962" w:type="dxa"/>
            <w:tcBorders>
              <w:left w:val="single" w:sz="4" w:space="0" w:color="auto"/>
              <w:bottom w:val="single" w:sz="4" w:space="0" w:color="auto"/>
              <w:right w:val="nil"/>
            </w:tcBorders>
            <w:noWrap/>
            <w:hideMark/>
          </w:tcPr>
          <w:p w14:paraId="5FA6D5B4" w14:textId="77777777" w:rsidR="00F974D5" w:rsidRPr="00CF1D8B"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CF1D8B">
              <w:rPr>
                <w:rFonts w:eastAsia="Times New Roman" w:cs="Arial"/>
                <w:color w:val="auto"/>
                <w:lang w:eastAsia="en-AU"/>
              </w:rPr>
              <w:t>2</w:t>
            </w:r>
            <w:r>
              <w:rPr>
                <w:rFonts w:eastAsia="Times New Roman" w:cs="Arial"/>
                <w:color w:val="auto"/>
                <w:lang w:eastAsia="en-AU"/>
              </w:rPr>
              <w:t>,</w:t>
            </w:r>
            <w:r w:rsidRPr="00CF1D8B">
              <w:rPr>
                <w:rFonts w:eastAsia="Times New Roman" w:cs="Arial"/>
                <w:color w:val="auto"/>
                <w:lang w:eastAsia="en-AU"/>
              </w:rPr>
              <w:t>413</w:t>
            </w:r>
          </w:p>
        </w:tc>
        <w:tc>
          <w:tcPr>
            <w:tcW w:w="1046" w:type="dxa"/>
            <w:tcBorders>
              <w:left w:val="nil"/>
              <w:bottom w:val="single" w:sz="4" w:space="0" w:color="auto"/>
              <w:right w:val="single" w:sz="4" w:space="0" w:color="auto"/>
            </w:tcBorders>
            <w:vAlign w:val="bottom"/>
          </w:tcPr>
          <w:p w14:paraId="1E613D99" w14:textId="77777777" w:rsidR="00F974D5" w:rsidRPr="00F974D5" w:rsidRDefault="00F974D5"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5.82%</w:t>
            </w:r>
            <w:r>
              <w:rPr>
                <w:rFonts w:ascii="Calibri" w:hAnsi="Calibri" w:cs="Arial"/>
                <w:color w:val="auto"/>
              </w:rPr>
              <w:t>)</w:t>
            </w:r>
          </w:p>
        </w:tc>
        <w:tc>
          <w:tcPr>
            <w:tcW w:w="1505" w:type="dxa"/>
            <w:tcBorders>
              <w:left w:val="single" w:sz="4" w:space="0" w:color="auto"/>
              <w:bottom w:val="single" w:sz="4" w:space="0" w:color="auto"/>
              <w:right w:val="single" w:sz="4" w:space="0" w:color="auto"/>
            </w:tcBorders>
          </w:tcPr>
          <w:p w14:paraId="1384DCF1" w14:textId="77777777" w:rsidR="00F974D5" w:rsidRPr="00A80772" w:rsidRDefault="00F974D5"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41</w:t>
            </w:r>
            <w:r>
              <w:rPr>
                <w:rFonts w:eastAsia="Times New Roman" w:cs="Arial"/>
                <w:b/>
                <w:color w:val="auto"/>
                <w:lang w:eastAsia="en-AU"/>
              </w:rPr>
              <w:t>,</w:t>
            </w:r>
            <w:r w:rsidRPr="00A80772">
              <w:rPr>
                <w:rFonts w:eastAsia="Times New Roman" w:cs="Arial"/>
                <w:b/>
                <w:color w:val="auto"/>
                <w:lang w:eastAsia="en-AU"/>
              </w:rPr>
              <w:t>480</w:t>
            </w:r>
          </w:p>
        </w:tc>
      </w:tr>
      <w:tr w:rsidR="00F974D5" w:rsidRPr="00CF1D8B" w14:paraId="49F8F0F8" w14:textId="77777777" w:rsidTr="00F275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tcPr>
          <w:p w14:paraId="4BC58219" w14:textId="77777777" w:rsidR="00F974D5" w:rsidRPr="00CF1D8B" w:rsidRDefault="00F974D5" w:rsidP="00407ACB">
            <w:pPr>
              <w:tabs>
                <w:tab w:val="left" w:pos="1134"/>
              </w:tabs>
              <w:spacing w:before="0" w:line="240" w:lineRule="auto"/>
              <w:rPr>
                <w:rFonts w:cs="Arial"/>
                <w:b w:val="0"/>
                <w:bCs w:val="0"/>
                <w:color w:val="auto"/>
              </w:rPr>
            </w:pPr>
            <w:r w:rsidRPr="00CF1D8B">
              <w:rPr>
                <w:rFonts w:cs="Arial"/>
                <w:color w:val="auto"/>
              </w:rPr>
              <w:t>Totals:</w:t>
            </w:r>
          </w:p>
        </w:tc>
        <w:tc>
          <w:tcPr>
            <w:tcW w:w="1773" w:type="dxa"/>
            <w:tcBorders>
              <w:top w:val="single" w:sz="4" w:space="0" w:color="auto"/>
              <w:left w:val="single" w:sz="4" w:space="0" w:color="auto"/>
              <w:bottom w:val="single" w:sz="4" w:space="0" w:color="auto"/>
            </w:tcBorders>
            <w:noWrap/>
            <w:hideMark/>
          </w:tcPr>
          <w:p w14:paraId="731CD910"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153</w:t>
            </w:r>
            <w:r>
              <w:rPr>
                <w:rFonts w:eastAsia="Times New Roman" w:cs="Arial"/>
                <w:b/>
                <w:color w:val="auto"/>
                <w:lang w:eastAsia="en-AU"/>
              </w:rPr>
              <w:t>,</w:t>
            </w:r>
            <w:r w:rsidRPr="00A80772">
              <w:rPr>
                <w:rFonts w:eastAsia="Times New Roman" w:cs="Arial"/>
                <w:b/>
                <w:color w:val="auto"/>
                <w:lang w:eastAsia="en-AU"/>
              </w:rPr>
              <w:t>930</w:t>
            </w:r>
          </w:p>
        </w:tc>
        <w:tc>
          <w:tcPr>
            <w:tcW w:w="1235" w:type="dxa"/>
            <w:tcBorders>
              <w:top w:val="single" w:sz="4" w:space="0" w:color="auto"/>
              <w:bottom w:val="single" w:sz="4" w:space="0" w:color="auto"/>
              <w:right w:val="single" w:sz="4" w:space="0" w:color="auto"/>
            </w:tcBorders>
          </w:tcPr>
          <w:p w14:paraId="34C02ECD"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(77.8%)</w:t>
            </w:r>
          </w:p>
        </w:tc>
        <w:tc>
          <w:tcPr>
            <w:tcW w:w="1742" w:type="dxa"/>
            <w:tcBorders>
              <w:top w:val="single" w:sz="4" w:space="0" w:color="auto"/>
              <w:bottom w:val="single" w:sz="4" w:space="0" w:color="auto"/>
            </w:tcBorders>
          </w:tcPr>
          <w:p w14:paraId="4BD04F34"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43</w:t>
            </w:r>
            <w:r>
              <w:rPr>
                <w:rFonts w:eastAsia="Times New Roman" w:cs="Arial"/>
                <w:b/>
                <w:color w:val="auto"/>
                <w:lang w:eastAsia="en-AU"/>
              </w:rPr>
              <w:t>,</w:t>
            </w:r>
            <w:r w:rsidRPr="00A80772">
              <w:rPr>
                <w:rFonts w:eastAsia="Times New Roman" w:cs="Arial"/>
                <w:b/>
                <w:color w:val="auto"/>
                <w:lang w:eastAsia="en-AU"/>
              </w:rPr>
              <w:t>897</w:t>
            </w:r>
          </w:p>
        </w:tc>
        <w:tc>
          <w:tcPr>
            <w:tcW w:w="1266" w:type="dxa"/>
            <w:tcBorders>
              <w:top w:val="single" w:sz="4" w:space="0" w:color="auto"/>
              <w:bottom w:val="single" w:sz="4" w:space="0" w:color="auto"/>
            </w:tcBorders>
          </w:tcPr>
          <w:p w14:paraId="117B6AD7"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(22.2%)</w:t>
            </w:r>
          </w:p>
        </w:tc>
        <w:tc>
          <w:tcPr>
            <w:tcW w:w="1852" w:type="dxa"/>
            <w:tcBorders>
              <w:top w:val="single" w:sz="4" w:space="0" w:color="auto"/>
              <w:left w:val="single" w:sz="4" w:space="0" w:color="auto"/>
              <w:bottom w:val="single" w:sz="4" w:space="0" w:color="auto"/>
            </w:tcBorders>
            <w:noWrap/>
            <w:hideMark/>
          </w:tcPr>
          <w:p w14:paraId="46BE71A1"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29</w:t>
            </w:r>
            <w:r>
              <w:rPr>
                <w:rFonts w:eastAsia="Times New Roman" w:cs="Arial"/>
                <w:b/>
                <w:color w:val="auto"/>
                <w:lang w:eastAsia="en-AU"/>
              </w:rPr>
              <w:t>,</w:t>
            </w:r>
            <w:r w:rsidRPr="00A80772">
              <w:rPr>
                <w:rFonts w:eastAsia="Times New Roman" w:cs="Arial"/>
                <w:b/>
                <w:color w:val="auto"/>
                <w:lang w:eastAsia="en-AU"/>
              </w:rPr>
              <w:t>106</w:t>
            </w:r>
          </w:p>
        </w:tc>
        <w:tc>
          <w:tcPr>
            <w:tcW w:w="1157" w:type="dxa"/>
            <w:tcBorders>
              <w:top w:val="single" w:sz="4" w:space="0" w:color="auto"/>
              <w:bottom w:val="single" w:sz="4" w:space="0" w:color="auto"/>
              <w:right w:val="single" w:sz="4" w:space="0" w:color="auto"/>
            </w:tcBorders>
          </w:tcPr>
          <w:p w14:paraId="1319F7D2"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(14.7%)</w:t>
            </w:r>
          </w:p>
        </w:tc>
        <w:tc>
          <w:tcPr>
            <w:tcW w:w="1962" w:type="dxa"/>
            <w:tcBorders>
              <w:top w:val="single" w:sz="4" w:space="0" w:color="auto"/>
              <w:left w:val="single" w:sz="4" w:space="0" w:color="auto"/>
              <w:bottom w:val="single" w:sz="4" w:space="0" w:color="auto"/>
            </w:tcBorders>
            <w:noWrap/>
            <w:hideMark/>
          </w:tcPr>
          <w:p w14:paraId="6644EDF5"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14</w:t>
            </w:r>
            <w:r>
              <w:rPr>
                <w:rFonts w:eastAsia="Times New Roman" w:cs="Arial"/>
                <w:b/>
                <w:color w:val="auto"/>
                <w:lang w:eastAsia="en-AU"/>
              </w:rPr>
              <w:t>,</w:t>
            </w:r>
            <w:r w:rsidRPr="00A80772">
              <w:rPr>
                <w:rFonts w:eastAsia="Times New Roman" w:cs="Arial"/>
                <w:b/>
                <w:color w:val="auto"/>
                <w:lang w:eastAsia="en-AU"/>
              </w:rPr>
              <w:t>791</w:t>
            </w:r>
          </w:p>
        </w:tc>
        <w:tc>
          <w:tcPr>
            <w:tcW w:w="1046" w:type="dxa"/>
            <w:tcBorders>
              <w:top w:val="single" w:sz="4" w:space="0" w:color="auto"/>
              <w:bottom w:val="single" w:sz="4" w:space="0" w:color="auto"/>
              <w:right w:val="single" w:sz="4" w:space="0" w:color="auto"/>
            </w:tcBorders>
            <w:vAlign w:val="bottom"/>
          </w:tcPr>
          <w:p w14:paraId="7D69B275" w14:textId="77777777" w:rsidR="00F974D5" w:rsidRPr="00F974D5" w:rsidRDefault="00F974D5"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7.48%</w:t>
            </w:r>
            <w:r>
              <w:rPr>
                <w:rFonts w:ascii="Calibri" w:hAnsi="Calibri" w:cs="Arial"/>
                <w:color w:val="auto"/>
              </w:rPr>
              <w:t>)</w:t>
            </w:r>
          </w:p>
        </w:tc>
        <w:tc>
          <w:tcPr>
            <w:tcW w:w="1505" w:type="dxa"/>
            <w:tcBorders>
              <w:top w:val="single" w:sz="4" w:space="0" w:color="auto"/>
              <w:left w:val="single" w:sz="4" w:space="0" w:color="auto"/>
              <w:bottom w:val="single" w:sz="4" w:space="0" w:color="auto"/>
              <w:right w:val="single" w:sz="4" w:space="0" w:color="auto"/>
            </w:tcBorders>
          </w:tcPr>
          <w:p w14:paraId="5AF02644" w14:textId="77777777" w:rsidR="00F974D5" w:rsidRPr="00A80772" w:rsidRDefault="00F974D5"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197</w:t>
            </w:r>
            <w:r>
              <w:rPr>
                <w:rFonts w:eastAsia="Times New Roman" w:cs="Arial"/>
                <w:b/>
                <w:color w:val="auto"/>
                <w:lang w:eastAsia="en-AU"/>
              </w:rPr>
              <w:t>,</w:t>
            </w:r>
            <w:r w:rsidRPr="00A80772">
              <w:rPr>
                <w:rFonts w:eastAsia="Times New Roman" w:cs="Arial"/>
                <w:b/>
                <w:color w:val="auto"/>
                <w:lang w:eastAsia="en-AU"/>
              </w:rPr>
              <w:t>827</w:t>
            </w:r>
          </w:p>
        </w:tc>
      </w:tr>
    </w:tbl>
    <w:p w14:paraId="5675095E" w14:textId="77777777" w:rsidR="002F6188" w:rsidRPr="0006220F" w:rsidRDefault="002F6188" w:rsidP="005E613E">
      <w:pPr>
        <w:pStyle w:val="Heading6"/>
        <w:spacing w:before="240" w:after="240"/>
      </w:pPr>
      <w:r w:rsidRPr="0006220F">
        <w:t>Line graph for table 1.22: Number of reports of emotional abuse by year, with outcome of report (all reporter groups combined)</w:t>
      </w:r>
    </w:p>
    <w:p w14:paraId="73522757" w14:textId="48DB3680" w:rsidR="00BD7D08" w:rsidRDefault="00A80772" w:rsidP="00407ACB">
      <w:r w:rsidRPr="00A80772">
        <w:rPr>
          <w:noProof/>
          <w:lang w:eastAsia="en-AU"/>
        </w:rPr>
        <w:drawing>
          <wp:inline distT="0" distB="0" distL="0" distR="0" wp14:anchorId="4E607015" wp14:editId="22A63046">
            <wp:extent cx="9029700" cy="2066925"/>
            <wp:effectExtent l="0" t="0" r="0" b="9525"/>
            <wp:docPr id="41" name="Chart 37" descr="Shows 77.8% of 197, 827 emotional abuse reports not investigated over the decade, with highest percentage (83.1%) in 2012." title="Line graph for table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012074" w14:textId="0A457BBB" w:rsidR="002F6188" w:rsidRDefault="00BC57B6" w:rsidP="00407ACB">
      <w:pPr>
        <w:pStyle w:val="Figureheading"/>
        <w:ind w:left="540" w:hanging="540"/>
      </w:pPr>
      <w:r>
        <w:lastRenderedPageBreak/>
        <w:t>1.23</w:t>
      </w:r>
      <w:r>
        <w:tab/>
      </w:r>
      <w:r w:rsidR="002F6188">
        <w:t>Number of reports of neglect by year, with outcome of report by number and percentage (all reporter groups combined)</w:t>
      </w:r>
    </w:p>
    <w:tbl>
      <w:tblPr>
        <w:tblW w:w="14709" w:type="dxa"/>
        <w:tblLayout w:type="fixed"/>
        <w:tblLook w:val="04A0" w:firstRow="1" w:lastRow="0" w:firstColumn="1" w:lastColumn="0" w:noHBand="0" w:noVBand="1"/>
      </w:tblPr>
      <w:tblGrid>
        <w:gridCol w:w="887"/>
        <w:gridCol w:w="1773"/>
        <w:gridCol w:w="1276"/>
        <w:gridCol w:w="1504"/>
        <w:gridCol w:w="1189"/>
        <w:gridCol w:w="1701"/>
        <w:gridCol w:w="1417"/>
        <w:gridCol w:w="1985"/>
        <w:gridCol w:w="1559"/>
        <w:gridCol w:w="1418"/>
      </w:tblGrid>
      <w:tr w:rsidR="00A616CD" w:rsidRPr="00A80772" w14:paraId="76F120BA" w14:textId="77777777" w:rsidTr="006337F8">
        <w:trPr>
          <w:trHeight w:val="276"/>
        </w:trPr>
        <w:tc>
          <w:tcPr>
            <w:tcW w:w="887"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5B46C1FA" w14:textId="77777777" w:rsidR="00A616CD" w:rsidRPr="00A80772" w:rsidRDefault="00A616CD" w:rsidP="00CE2FDF">
            <w:pPr>
              <w:keepNext/>
              <w:tabs>
                <w:tab w:val="left" w:pos="1134"/>
              </w:tabs>
              <w:spacing w:before="0" w:line="276" w:lineRule="auto"/>
              <w:rPr>
                <w:rFonts w:ascii="Calibri" w:hAnsi="Calibri" w:cs="Arial"/>
                <w:b/>
                <w:bCs/>
              </w:rPr>
            </w:pPr>
          </w:p>
        </w:tc>
        <w:tc>
          <w:tcPr>
            <w:tcW w:w="1773" w:type="dxa"/>
            <w:tcBorders>
              <w:top w:val="single" w:sz="4" w:space="0" w:color="auto"/>
              <w:left w:val="single" w:sz="4" w:space="0" w:color="auto"/>
              <w:bottom w:val="single" w:sz="4" w:space="0" w:color="auto"/>
            </w:tcBorders>
            <w:shd w:val="clear" w:color="auto" w:fill="92CDDC" w:themeFill="accent5" w:themeFillTint="99"/>
            <w:vAlign w:val="center"/>
          </w:tcPr>
          <w:p w14:paraId="448C8ABB" w14:textId="77777777" w:rsidR="00A616CD" w:rsidRPr="00A80772" w:rsidRDefault="00A616CD" w:rsidP="00CE2FDF">
            <w:pPr>
              <w:keepNext/>
              <w:tabs>
                <w:tab w:val="left" w:pos="1134"/>
              </w:tabs>
              <w:spacing w:before="0" w:line="276" w:lineRule="auto"/>
              <w:jc w:val="right"/>
              <w:rPr>
                <w:rFonts w:ascii="Calibri" w:hAnsi="Calibri" w:cs="Arial"/>
                <w:b/>
                <w:bCs/>
              </w:rPr>
            </w:pPr>
            <w:r w:rsidRPr="00A80772">
              <w:rPr>
                <w:rFonts w:ascii="Calibri" w:hAnsi="Calibri" w:cs="Arial"/>
                <w:b/>
              </w:rPr>
              <w:t>Not investigated</w:t>
            </w:r>
          </w:p>
        </w:tc>
        <w:tc>
          <w:tcPr>
            <w:tcW w:w="1276" w:type="dxa"/>
            <w:tcBorders>
              <w:top w:val="single" w:sz="4" w:space="0" w:color="auto"/>
              <w:bottom w:val="single" w:sz="4" w:space="0" w:color="auto"/>
              <w:right w:val="single" w:sz="4" w:space="0" w:color="auto"/>
            </w:tcBorders>
            <w:shd w:val="clear" w:color="auto" w:fill="92CDDC" w:themeFill="accent5" w:themeFillTint="99"/>
            <w:vAlign w:val="center"/>
          </w:tcPr>
          <w:p w14:paraId="5EB30BE3" w14:textId="77777777" w:rsidR="00A616CD" w:rsidRPr="00A80772" w:rsidRDefault="00A616CD" w:rsidP="00CE2FDF">
            <w:pPr>
              <w:keepNext/>
              <w:tabs>
                <w:tab w:val="left" w:pos="1134"/>
              </w:tabs>
              <w:spacing w:before="0" w:line="276" w:lineRule="auto"/>
              <w:jc w:val="right"/>
              <w:rPr>
                <w:rFonts w:ascii="Calibri" w:hAnsi="Calibri" w:cs="Arial"/>
                <w:b/>
                <w:bCs/>
                <w:color w:val="000000"/>
              </w:rPr>
            </w:pPr>
            <w:r w:rsidRPr="00A80772">
              <w:rPr>
                <w:rFonts w:ascii="Calibri" w:hAnsi="Calibri" w:cs="Arial"/>
                <w:b/>
                <w:bCs/>
                <w:color w:val="000000"/>
              </w:rPr>
              <w:t>%</w:t>
            </w:r>
          </w:p>
        </w:tc>
        <w:tc>
          <w:tcPr>
            <w:tcW w:w="1504" w:type="dxa"/>
            <w:tcBorders>
              <w:top w:val="single" w:sz="4" w:space="0" w:color="auto"/>
              <w:bottom w:val="single" w:sz="4" w:space="0" w:color="auto"/>
            </w:tcBorders>
            <w:shd w:val="clear" w:color="auto" w:fill="92CDDC" w:themeFill="accent5" w:themeFillTint="99"/>
            <w:vAlign w:val="center"/>
          </w:tcPr>
          <w:p w14:paraId="15DBE925" w14:textId="77777777" w:rsidR="00A616CD" w:rsidRPr="00A80772" w:rsidRDefault="00A616CD" w:rsidP="00CE2FDF">
            <w:pPr>
              <w:keepNext/>
              <w:tabs>
                <w:tab w:val="left" w:pos="1134"/>
              </w:tabs>
              <w:spacing w:before="0" w:line="276" w:lineRule="auto"/>
              <w:jc w:val="right"/>
              <w:rPr>
                <w:rFonts w:ascii="Calibri" w:hAnsi="Calibri" w:cs="Arial"/>
                <w:b/>
                <w:bCs/>
              </w:rPr>
            </w:pPr>
            <w:r w:rsidRPr="00A80772">
              <w:rPr>
                <w:rFonts w:ascii="Calibri" w:hAnsi="Calibri" w:cs="Arial"/>
                <w:b/>
              </w:rPr>
              <w:t>Investigated</w:t>
            </w:r>
          </w:p>
        </w:tc>
        <w:tc>
          <w:tcPr>
            <w:tcW w:w="1189" w:type="dxa"/>
            <w:tcBorders>
              <w:top w:val="single" w:sz="4" w:space="0" w:color="auto"/>
              <w:bottom w:val="single" w:sz="4" w:space="0" w:color="auto"/>
            </w:tcBorders>
            <w:shd w:val="clear" w:color="auto" w:fill="92CDDC" w:themeFill="accent5" w:themeFillTint="99"/>
            <w:vAlign w:val="center"/>
          </w:tcPr>
          <w:p w14:paraId="308BF693" w14:textId="77777777" w:rsidR="00A616CD" w:rsidRPr="00A80772" w:rsidRDefault="00A616CD" w:rsidP="00CE2FDF">
            <w:pPr>
              <w:keepNext/>
              <w:tabs>
                <w:tab w:val="left" w:pos="1134"/>
              </w:tabs>
              <w:spacing w:before="0" w:line="276" w:lineRule="auto"/>
              <w:jc w:val="right"/>
              <w:rPr>
                <w:rFonts w:ascii="Calibri" w:hAnsi="Calibri" w:cs="Arial"/>
                <w:b/>
                <w:bCs/>
                <w:color w:val="000000"/>
              </w:rPr>
            </w:pPr>
            <w:r w:rsidRPr="00A80772">
              <w:rPr>
                <w:rFonts w:ascii="Calibri" w:hAnsi="Calibri" w:cs="Arial"/>
                <w:b/>
                <w:bCs/>
                <w:color w:val="000000"/>
              </w:rPr>
              <w:t>%</w:t>
            </w:r>
          </w:p>
        </w:tc>
        <w:tc>
          <w:tcPr>
            <w:tcW w:w="1701" w:type="dxa"/>
            <w:tcBorders>
              <w:top w:val="single" w:sz="4" w:space="0" w:color="auto"/>
              <w:left w:val="single" w:sz="4" w:space="0" w:color="auto"/>
              <w:bottom w:val="single" w:sz="4" w:space="0" w:color="auto"/>
            </w:tcBorders>
            <w:shd w:val="clear" w:color="auto" w:fill="92CDDC" w:themeFill="accent5" w:themeFillTint="99"/>
            <w:vAlign w:val="center"/>
          </w:tcPr>
          <w:p w14:paraId="047F3FD8" w14:textId="77777777" w:rsidR="00A616CD" w:rsidRPr="00A80772" w:rsidRDefault="00A616CD" w:rsidP="00CE2FDF">
            <w:pPr>
              <w:keepNext/>
              <w:tabs>
                <w:tab w:val="left" w:pos="1134"/>
              </w:tabs>
              <w:spacing w:before="0" w:line="276" w:lineRule="auto"/>
              <w:jc w:val="right"/>
              <w:rPr>
                <w:rFonts w:ascii="Calibri" w:hAnsi="Calibri" w:cs="Arial"/>
                <w:b/>
                <w:bCs/>
              </w:rPr>
            </w:pPr>
            <w:r w:rsidRPr="00A80772">
              <w:rPr>
                <w:rFonts w:ascii="Calibri" w:hAnsi="Calibri" w:cs="Arial"/>
                <w:b/>
              </w:rPr>
              <w:t>Substantiated</w:t>
            </w:r>
          </w:p>
        </w:tc>
        <w:tc>
          <w:tcPr>
            <w:tcW w:w="1417" w:type="dxa"/>
            <w:tcBorders>
              <w:top w:val="single" w:sz="4" w:space="0" w:color="auto"/>
              <w:bottom w:val="single" w:sz="4" w:space="0" w:color="auto"/>
              <w:right w:val="single" w:sz="4" w:space="0" w:color="auto"/>
            </w:tcBorders>
            <w:shd w:val="clear" w:color="auto" w:fill="92CDDC" w:themeFill="accent5" w:themeFillTint="99"/>
            <w:vAlign w:val="center"/>
          </w:tcPr>
          <w:p w14:paraId="20C0FE2A" w14:textId="77777777" w:rsidR="00A616CD" w:rsidRPr="00A80772" w:rsidRDefault="00A616CD" w:rsidP="00CE2FDF">
            <w:pPr>
              <w:keepNext/>
              <w:tabs>
                <w:tab w:val="left" w:pos="1134"/>
              </w:tabs>
              <w:spacing w:before="0" w:line="276" w:lineRule="auto"/>
              <w:jc w:val="right"/>
              <w:rPr>
                <w:rFonts w:ascii="Calibri" w:hAnsi="Calibri" w:cs="Arial"/>
                <w:b/>
                <w:bCs/>
                <w:color w:val="000000"/>
              </w:rPr>
            </w:pPr>
            <w:r w:rsidRPr="00A80772">
              <w:rPr>
                <w:rFonts w:ascii="Calibri" w:hAnsi="Calibri" w:cs="Arial"/>
                <w:b/>
                <w:bCs/>
                <w:color w:val="000000"/>
              </w:rPr>
              <w:t>%</w:t>
            </w:r>
          </w:p>
        </w:tc>
        <w:tc>
          <w:tcPr>
            <w:tcW w:w="1985" w:type="dxa"/>
            <w:tcBorders>
              <w:top w:val="single" w:sz="4" w:space="0" w:color="auto"/>
              <w:bottom w:val="single" w:sz="4" w:space="0" w:color="auto"/>
            </w:tcBorders>
            <w:shd w:val="clear" w:color="auto" w:fill="92CDDC" w:themeFill="accent5" w:themeFillTint="99"/>
            <w:vAlign w:val="center"/>
          </w:tcPr>
          <w:p w14:paraId="26E349AE" w14:textId="77777777" w:rsidR="00A616CD" w:rsidRPr="00FC5C7E" w:rsidRDefault="00A616CD" w:rsidP="00CE2FDF">
            <w:pPr>
              <w:keepNext/>
              <w:tabs>
                <w:tab w:val="left" w:pos="1134"/>
              </w:tabs>
              <w:spacing w:before="0" w:line="276" w:lineRule="auto"/>
              <w:jc w:val="right"/>
              <w:rPr>
                <w:rFonts w:cs="Arial"/>
                <w:b/>
                <w:bCs/>
              </w:rPr>
            </w:pPr>
            <w:r w:rsidRPr="00FC5C7E">
              <w:rPr>
                <w:rFonts w:cs="Arial"/>
                <w:b/>
              </w:rPr>
              <w:t>Not substantiated</w:t>
            </w:r>
          </w:p>
        </w:tc>
        <w:tc>
          <w:tcPr>
            <w:tcW w:w="1559" w:type="dxa"/>
            <w:tcBorders>
              <w:top w:val="single" w:sz="4" w:space="0" w:color="auto"/>
              <w:bottom w:val="single" w:sz="4" w:space="0" w:color="auto"/>
              <w:right w:val="single" w:sz="4" w:space="0" w:color="auto"/>
            </w:tcBorders>
            <w:shd w:val="clear" w:color="auto" w:fill="92CDDC" w:themeFill="accent5" w:themeFillTint="99"/>
            <w:vAlign w:val="center"/>
          </w:tcPr>
          <w:p w14:paraId="788E696E" w14:textId="77777777" w:rsidR="00A616CD" w:rsidRPr="00FC5C7E" w:rsidRDefault="00A616CD" w:rsidP="00CE2FDF">
            <w:pPr>
              <w:keepNext/>
              <w:tabs>
                <w:tab w:val="left" w:pos="1134"/>
              </w:tabs>
              <w:spacing w:before="0" w:line="276" w:lineRule="auto"/>
              <w:jc w:val="right"/>
              <w:rPr>
                <w:rFonts w:cs="Arial"/>
                <w:b/>
                <w:bCs/>
              </w:rPr>
            </w:pPr>
            <w:r w:rsidRPr="00FC5C7E">
              <w:rPr>
                <w:rFonts w:cs="Arial"/>
                <w:b/>
                <w:bCs/>
              </w:rPr>
              <w:t>%</w:t>
            </w:r>
          </w:p>
        </w:tc>
        <w:tc>
          <w:tcPr>
            <w:tcW w:w="141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A6F9D45" w14:textId="77777777" w:rsidR="00A616CD" w:rsidRPr="00A80772" w:rsidRDefault="00A616CD" w:rsidP="00CE2FDF">
            <w:pPr>
              <w:keepNext/>
              <w:tabs>
                <w:tab w:val="left" w:pos="1134"/>
              </w:tabs>
              <w:spacing w:before="0" w:line="276" w:lineRule="auto"/>
              <w:jc w:val="right"/>
              <w:rPr>
                <w:rFonts w:ascii="Calibri" w:hAnsi="Calibri" w:cs="Arial"/>
                <w:b/>
                <w:bCs/>
              </w:rPr>
            </w:pPr>
            <w:r w:rsidRPr="00A80772">
              <w:rPr>
                <w:rFonts w:ascii="Calibri" w:hAnsi="Calibri" w:cs="Arial"/>
                <w:b/>
              </w:rPr>
              <w:t>Total</w:t>
            </w:r>
          </w:p>
        </w:tc>
      </w:tr>
      <w:tr w:rsidR="00F974D5" w:rsidRPr="00CF1D8B" w14:paraId="1C3EC83C" w14:textId="77777777" w:rsidTr="006337F8">
        <w:trPr>
          <w:trHeight w:val="276"/>
        </w:trPr>
        <w:tc>
          <w:tcPr>
            <w:tcW w:w="887" w:type="dxa"/>
            <w:tcBorders>
              <w:top w:val="single" w:sz="4" w:space="0" w:color="auto"/>
              <w:left w:val="single" w:sz="4" w:space="0" w:color="auto"/>
              <w:right w:val="single" w:sz="4" w:space="0" w:color="auto"/>
            </w:tcBorders>
            <w:noWrap/>
            <w:hideMark/>
          </w:tcPr>
          <w:p w14:paraId="1B817669" w14:textId="77777777" w:rsidR="00F974D5" w:rsidRPr="00A80772" w:rsidRDefault="00F974D5" w:rsidP="00CE2FDF">
            <w:pPr>
              <w:keepNext/>
              <w:tabs>
                <w:tab w:val="left" w:pos="1134"/>
              </w:tabs>
              <w:spacing w:before="0" w:line="276" w:lineRule="auto"/>
              <w:rPr>
                <w:rFonts w:cs="Arial"/>
                <w:b/>
                <w:bCs/>
              </w:rPr>
            </w:pPr>
            <w:r w:rsidRPr="00A80772">
              <w:rPr>
                <w:rFonts w:cs="Arial"/>
                <w:b/>
              </w:rPr>
              <w:t>2003</w:t>
            </w:r>
          </w:p>
        </w:tc>
        <w:tc>
          <w:tcPr>
            <w:tcW w:w="1773" w:type="dxa"/>
            <w:tcBorders>
              <w:top w:val="single" w:sz="4" w:space="0" w:color="auto"/>
              <w:left w:val="single" w:sz="4" w:space="0" w:color="auto"/>
            </w:tcBorders>
          </w:tcPr>
          <w:p w14:paraId="50A850EB" w14:textId="77777777" w:rsidR="00F974D5" w:rsidRPr="00CF1D8B" w:rsidRDefault="00F974D5" w:rsidP="00CE2FDF">
            <w:pPr>
              <w:keepNext/>
              <w:tabs>
                <w:tab w:val="left" w:pos="1134"/>
              </w:tabs>
              <w:spacing w:before="0" w:line="276" w:lineRule="auto"/>
              <w:jc w:val="right"/>
              <w:rPr>
                <w:rFonts w:cs="Arial"/>
              </w:rPr>
            </w:pPr>
            <w:r w:rsidRPr="00CF1D8B">
              <w:rPr>
                <w:rFonts w:cs="Arial"/>
              </w:rPr>
              <w:t>8</w:t>
            </w:r>
            <w:r>
              <w:rPr>
                <w:rFonts w:cs="Arial"/>
              </w:rPr>
              <w:t>,</w:t>
            </w:r>
            <w:r w:rsidRPr="00CF1D8B">
              <w:rPr>
                <w:rFonts w:cs="Arial"/>
              </w:rPr>
              <w:t>553</w:t>
            </w:r>
          </w:p>
        </w:tc>
        <w:tc>
          <w:tcPr>
            <w:tcW w:w="1276" w:type="dxa"/>
            <w:tcBorders>
              <w:top w:val="single" w:sz="4" w:space="0" w:color="auto"/>
              <w:right w:val="single" w:sz="4" w:space="0" w:color="auto"/>
            </w:tcBorders>
          </w:tcPr>
          <w:p w14:paraId="643518BE" w14:textId="77777777" w:rsidR="00F974D5" w:rsidRPr="00CF1D8B" w:rsidRDefault="00F974D5" w:rsidP="00CE2FDF">
            <w:pPr>
              <w:keepNext/>
              <w:tabs>
                <w:tab w:val="left" w:pos="1134"/>
              </w:tabs>
              <w:spacing w:before="0" w:line="276" w:lineRule="auto"/>
              <w:jc w:val="right"/>
              <w:rPr>
                <w:rFonts w:cs="Arial"/>
                <w:color w:val="000000"/>
              </w:rPr>
            </w:pPr>
            <w:r w:rsidRPr="00CF1D8B">
              <w:rPr>
                <w:rFonts w:cs="Arial"/>
                <w:color w:val="000000"/>
              </w:rPr>
              <w:t>(71.1%)</w:t>
            </w:r>
          </w:p>
        </w:tc>
        <w:tc>
          <w:tcPr>
            <w:tcW w:w="1504" w:type="dxa"/>
            <w:tcBorders>
              <w:top w:val="single" w:sz="4" w:space="0" w:color="auto"/>
            </w:tcBorders>
          </w:tcPr>
          <w:p w14:paraId="640314E7" w14:textId="77777777" w:rsidR="00F974D5" w:rsidRPr="00CF1D8B" w:rsidRDefault="00F974D5" w:rsidP="00CE2FDF">
            <w:pPr>
              <w:keepNext/>
              <w:tabs>
                <w:tab w:val="left" w:pos="1134"/>
              </w:tabs>
              <w:spacing w:before="0" w:line="276" w:lineRule="auto"/>
              <w:jc w:val="right"/>
              <w:rPr>
                <w:rFonts w:cs="Arial"/>
              </w:rPr>
            </w:pPr>
            <w:r w:rsidRPr="00CF1D8B">
              <w:rPr>
                <w:rFonts w:cs="Arial"/>
              </w:rPr>
              <w:t>3</w:t>
            </w:r>
            <w:r>
              <w:rPr>
                <w:rFonts w:cs="Arial"/>
              </w:rPr>
              <w:t>,</w:t>
            </w:r>
            <w:r w:rsidRPr="00CF1D8B">
              <w:rPr>
                <w:rFonts w:cs="Arial"/>
              </w:rPr>
              <w:t>476</w:t>
            </w:r>
          </w:p>
        </w:tc>
        <w:tc>
          <w:tcPr>
            <w:tcW w:w="1189" w:type="dxa"/>
            <w:tcBorders>
              <w:top w:val="single" w:sz="4" w:space="0" w:color="auto"/>
            </w:tcBorders>
          </w:tcPr>
          <w:p w14:paraId="6545C0A0" w14:textId="77777777" w:rsidR="00F974D5" w:rsidRPr="00CF1D8B" w:rsidRDefault="00F974D5" w:rsidP="00CE2FDF">
            <w:pPr>
              <w:keepNext/>
              <w:tabs>
                <w:tab w:val="left" w:pos="1134"/>
              </w:tabs>
              <w:spacing w:before="0" w:line="276" w:lineRule="auto"/>
              <w:jc w:val="right"/>
              <w:rPr>
                <w:rFonts w:cs="Arial"/>
                <w:color w:val="000000"/>
              </w:rPr>
            </w:pPr>
            <w:r w:rsidRPr="00CF1D8B">
              <w:rPr>
                <w:rFonts w:cs="Arial"/>
                <w:color w:val="000000"/>
              </w:rPr>
              <w:t>(28.9%)</w:t>
            </w:r>
          </w:p>
        </w:tc>
        <w:tc>
          <w:tcPr>
            <w:tcW w:w="1701" w:type="dxa"/>
            <w:tcBorders>
              <w:top w:val="single" w:sz="4" w:space="0" w:color="auto"/>
              <w:left w:val="single" w:sz="4" w:space="0" w:color="auto"/>
            </w:tcBorders>
          </w:tcPr>
          <w:p w14:paraId="3FFBAABE" w14:textId="77777777" w:rsidR="00F974D5" w:rsidRPr="00CF1D8B" w:rsidRDefault="00F974D5" w:rsidP="00CE2FDF">
            <w:pPr>
              <w:keepNext/>
              <w:tabs>
                <w:tab w:val="left" w:pos="1134"/>
              </w:tabs>
              <w:spacing w:before="0" w:line="276" w:lineRule="auto"/>
              <w:jc w:val="right"/>
              <w:rPr>
                <w:rFonts w:cs="Arial"/>
              </w:rPr>
            </w:pPr>
            <w:r w:rsidRPr="00CF1D8B">
              <w:rPr>
                <w:rFonts w:cs="Arial"/>
              </w:rPr>
              <w:t>2</w:t>
            </w:r>
            <w:r>
              <w:rPr>
                <w:rFonts w:cs="Arial"/>
              </w:rPr>
              <w:t>,</w:t>
            </w:r>
            <w:r w:rsidRPr="00CF1D8B">
              <w:rPr>
                <w:rFonts w:cs="Arial"/>
              </w:rPr>
              <w:t>013</w:t>
            </w:r>
          </w:p>
        </w:tc>
        <w:tc>
          <w:tcPr>
            <w:tcW w:w="1417" w:type="dxa"/>
            <w:tcBorders>
              <w:top w:val="single" w:sz="4" w:space="0" w:color="auto"/>
              <w:right w:val="single" w:sz="4" w:space="0" w:color="auto"/>
            </w:tcBorders>
          </w:tcPr>
          <w:p w14:paraId="34D21517" w14:textId="77777777" w:rsidR="00F974D5" w:rsidRPr="00CF1D8B" w:rsidRDefault="00F974D5" w:rsidP="00CE2FDF">
            <w:pPr>
              <w:keepNext/>
              <w:tabs>
                <w:tab w:val="left" w:pos="1134"/>
              </w:tabs>
              <w:spacing w:before="0" w:line="276" w:lineRule="auto"/>
              <w:jc w:val="right"/>
              <w:rPr>
                <w:rFonts w:cs="Arial"/>
                <w:color w:val="000000"/>
              </w:rPr>
            </w:pPr>
            <w:r w:rsidRPr="00CF1D8B">
              <w:rPr>
                <w:rFonts w:cs="Arial"/>
                <w:color w:val="000000"/>
              </w:rPr>
              <w:t>(16.7%)</w:t>
            </w:r>
          </w:p>
        </w:tc>
        <w:tc>
          <w:tcPr>
            <w:tcW w:w="1985" w:type="dxa"/>
            <w:tcBorders>
              <w:top w:val="single" w:sz="4" w:space="0" w:color="auto"/>
            </w:tcBorders>
          </w:tcPr>
          <w:p w14:paraId="7A7FD391" w14:textId="77777777" w:rsidR="00F974D5" w:rsidRPr="00CF1D8B" w:rsidRDefault="00F974D5" w:rsidP="00CE2FDF">
            <w:pPr>
              <w:keepNext/>
              <w:tabs>
                <w:tab w:val="left" w:pos="1134"/>
              </w:tabs>
              <w:spacing w:before="0" w:line="276" w:lineRule="auto"/>
              <w:jc w:val="right"/>
              <w:rPr>
                <w:rFonts w:cs="Arial"/>
              </w:rPr>
            </w:pPr>
            <w:r w:rsidRPr="00CF1D8B">
              <w:rPr>
                <w:rFonts w:cs="Arial"/>
              </w:rPr>
              <w:t>1</w:t>
            </w:r>
            <w:r>
              <w:rPr>
                <w:rFonts w:cs="Arial"/>
              </w:rPr>
              <w:t>,</w:t>
            </w:r>
            <w:r w:rsidRPr="00CF1D8B">
              <w:rPr>
                <w:rFonts w:cs="Arial"/>
              </w:rPr>
              <w:t>463</w:t>
            </w:r>
          </w:p>
        </w:tc>
        <w:tc>
          <w:tcPr>
            <w:tcW w:w="1559" w:type="dxa"/>
            <w:tcBorders>
              <w:top w:val="single" w:sz="4" w:space="0" w:color="auto"/>
              <w:right w:val="single" w:sz="4" w:space="0" w:color="auto"/>
            </w:tcBorders>
            <w:vAlign w:val="bottom"/>
          </w:tcPr>
          <w:p w14:paraId="14E45511"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12.16%</w:t>
            </w:r>
            <w:r>
              <w:rPr>
                <w:rFonts w:ascii="Calibri" w:hAnsi="Calibri" w:cs="Arial"/>
              </w:rPr>
              <w:t>)</w:t>
            </w:r>
          </w:p>
        </w:tc>
        <w:tc>
          <w:tcPr>
            <w:tcW w:w="1418" w:type="dxa"/>
            <w:tcBorders>
              <w:top w:val="single" w:sz="4" w:space="0" w:color="auto"/>
              <w:left w:val="single" w:sz="4" w:space="0" w:color="auto"/>
              <w:right w:val="single" w:sz="4" w:space="0" w:color="auto"/>
            </w:tcBorders>
          </w:tcPr>
          <w:p w14:paraId="16A03C87" w14:textId="77777777" w:rsidR="00F974D5" w:rsidRPr="00A80772" w:rsidRDefault="00F974D5" w:rsidP="00CE2FDF">
            <w:pPr>
              <w:keepNext/>
              <w:tabs>
                <w:tab w:val="left" w:pos="1134"/>
              </w:tabs>
              <w:spacing w:before="0" w:line="276" w:lineRule="auto"/>
              <w:jc w:val="right"/>
              <w:rPr>
                <w:rFonts w:cs="Arial"/>
                <w:b/>
              </w:rPr>
            </w:pPr>
            <w:r w:rsidRPr="00A80772">
              <w:rPr>
                <w:rFonts w:cs="Arial"/>
                <w:b/>
              </w:rPr>
              <w:t>12</w:t>
            </w:r>
            <w:r>
              <w:rPr>
                <w:rFonts w:cs="Arial"/>
                <w:b/>
              </w:rPr>
              <w:t>,</w:t>
            </w:r>
            <w:r w:rsidRPr="00A80772">
              <w:rPr>
                <w:rFonts w:cs="Arial"/>
                <w:b/>
              </w:rPr>
              <w:t>029</w:t>
            </w:r>
          </w:p>
        </w:tc>
      </w:tr>
      <w:tr w:rsidR="00F974D5" w:rsidRPr="00CF1D8B" w14:paraId="619B1881" w14:textId="77777777" w:rsidTr="006337F8">
        <w:trPr>
          <w:trHeight w:val="276"/>
        </w:trPr>
        <w:tc>
          <w:tcPr>
            <w:tcW w:w="887" w:type="dxa"/>
            <w:tcBorders>
              <w:left w:val="single" w:sz="4" w:space="0" w:color="auto"/>
              <w:right w:val="single" w:sz="4" w:space="0" w:color="auto"/>
            </w:tcBorders>
            <w:shd w:val="clear" w:color="auto" w:fill="DAEEF3" w:themeFill="accent5" w:themeFillTint="33"/>
            <w:noWrap/>
            <w:hideMark/>
          </w:tcPr>
          <w:p w14:paraId="2F945A53" w14:textId="77777777" w:rsidR="00F974D5" w:rsidRPr="00A80772" w:rsidRDefault="00F974D5" w:rsidP="00CE2FDF">
            <w:pPr>
              <w:keepNext/>
              <w:tabs>
                <w:tab w:val="left" w:pos="1134"/>
              </w:tabs>
              <w:spacing w:before="0" w:line="276" w:lineRule="auto"/>
              <w:rPr>
                <w:rFonts w:cs="Arial"/>
                <w:b/>
                <w:bCs/>
              </w:rPr>
            </w:pPr>
            <w:r w:rsidRPr="00A80772">
              <w:rPr>
                <w:rFonts w:cs="Arial"/>
                <w:b/>
              </w:rPr>
              <w:t>2004</w:t>
            </w:r>
          </w:p>
        </w:tc>
        <w:tc>
          <w:tcPr>
            <w:tcW w:w="1773" w:type="dxa"/>
            <w:tcBorders>
              <w:left w:val="single" w:sz="4" w:space="0" w:color="auto"/>
            </w:tcBorders>
            <w:shd w:val="clear" w:color="auto" w:fill="DAEEF3" w:themeFill="accent5" w:themeFillTint="33"/>
          </w:tcPr>
          <w:p w14:paraId="6959E24A" w14:textId="77777777" w:rsidR="00F974D5" w:rsidRPr="00CF1D8B" w:rsidRDefault="00F974D5" w:rsidP="00CE2FDF">
            <w:pPr>
              <w:keepNext/>
              <w:tabs>
                <w:tab w:val="left" w:pos="1134"/>
              </w:tabs>
              <w:spacing w:before="0" w:line="276" w:lineRule="auto"/>
              <w:jc w:val="right"/>
              <w:rPr>
                <w:rFonts w:cs="Arial"/>
              </w:rPr>
            </w:pPr>
            <w:r w:rsidRPr="00CF1D8B">
              <w:rPr>
                <w:rFonts w:cs="Arial"/>
              </w:rPr>
              <w:t>8</w:t>
            </w:r>
            <w:r>
              <w:rPr>
                <w:rFonts w:cs="Arial"/>
              </w:rPr>
              <w:t>,</w:t>
            </w:r>
            <w:r w:rsidRPr="00CF1D8B">
              <w:rPr>
                <w:rFonts w:cs="Arial"/>
              </w:rPr>
              <w:t>563</w:t>
            </w:r>
          </w:p>
        </w:tc>
        <w:tc>
          <w:tcPr>
            <w:tcW w:w="1276" w:type="dxa"/>
            <w:tcBorders>
              <w:right w:val="single" w:sz="4" w:space="0" w:color="auto"/>
            </w:tcBorders>
            <w:shd w:val="clear" w:color="auto" w:fill="DAEEF3" w:themeFill="accent5" w:themeFillTint="33"/>
          </w:tcPr>
          <w:p w14:paraId="384B1D4E" w14:textId="77777777" w:rsidR="00F974D5" w:rsidRPr="00CF1D8B" w:rsidRDefault="00F974D5" w:rsidP="00CE2FDF">
            <w:pPr>
              <w:keepNext/>
              <w:tabs>
                <w:tab w:val="left" w:pos="1134"/>
              </w:tabs>
              <w:spacing w:before="0" w:line="276" w:lineRule="auto"/>
              <w:jc w:val="right"/>
              <w:rPr>
                <w:rFonts w:cs="Arial"/>
                <w:color w:val="000000"/>
              </w:rPr>
            </w:pPr>
            <w:r w:rsidRPr="00CF1D8B">
              <w:rPr>
                <w:rFonts w:cs="Arial"/>
                <w:color w:val="000000"/>
              </w:rPr>
              <w:t>(73.2%)</w:t>
            </w:r>
          </w:p>
        </w:tc>
        <w:tc>
          <w:tcPr>
            <w:tcW w:w="1504" w:type="dxa"/>
            <w:tcBorders>
              <w:right w:val="nil"/>
            </w:tcBorders>
            <w:shd w:val="clear" w:color="auto" w:fill="DAEEF3" w:themeFill="accent5" w:themeFillTint="33"/>
          </w:tcPr>
          <w:p w14:paraId="34B00CCF" w14:textId="77777777" w:rsidR="00F974D5" w:rsidRPr="00CF1D8B" w:rsidRDefault="00F974D5" w:rsidP="00CE2FDF">
            <w:pPr>
              <w:keepNext/>
              <w:tabs>
                <w:tab w:val="left" w:pos="1134"/>
              </w:tabs>
              <w:spacing w:before="0" w:line="276" w:lineRule="auto"/>
              <w:jc w:val="right"/>
              <w:rPr>
                <w:rFonts w:cs="Arial"/>
              </w:rPr>
            </w:pPr>
            <w:r w:rsidRPr="00CF1D8B">
              <w:rPr>
                <w:rFonts w:cs="Arial"/>
              </w:rPr>
              <w:t>3</w:t>
            </w:r>
            <w:r>
              <w:rPr>
                <w:rFonts w:cs="Arial"/>
              </w:rPr>
              <w:t>,</w:t>
            </w:r>
            <w:r w:rsidRPr="00CF1D8B">
              <w:rPr>
                <w:rFonts w:cs="Arial"/>
              </w:rPr>
              <w:t>139</w:t>
            </w:r>
          </w:p>
        </w:tc>
        <w:tc>
          <w:tcPr>
            <w:tcW w:w="1189" w:type="dxa"/>
            <w:tcBorders>
              <w:left w:val="nil"/>
            </w:tcBorders>
            <w:shd w:val="clear" w:color="auto" w:fill="DAEEF3" w:themeFill="accent5" w:themeFillTint="33"/>
          </w:tcPr>
          <w:p w14:paraId="60E82203" w14:textId="77777777" w:rsidR="00F974D5" w:rsidRPr="00CF1D8B" w:rsidRDefault="00F974D5" w:rsidP="00CE2FDF">
            <w:pPr>
              <w:keepNext/>
              <w:tabs>
                <w:tab w:val="left" w:pos="1134"/>
              </w:tabs>
              <w:spacing w:before="0" w:line="276" w:lineRule="auto"/>
              <w:jc w:val="right"/>
              <w:rPr>
                <w:rFonts w:cs="Arial"/>
                <w:color w:val="000000"/>
              </w:rPr>
            </w:pPr>
            <w:r w:rsidRPr="00CF1D8B">
              <w:rPr>
                <w:rFonts w:cs="Arial"/>
                <w:color w:val="000000"/>
              </w:rPr>
              <w:t>(26.8%)</w:t>
            </w:r>
          </w:p>
        </w:tc>
        <w:tc>
          <w:tcPr>
            <w:tcW w:w="1701" w:type="dxa"/>
            <w:tcBorders>
              <w:left w:val="single" w:sz="4" w:space="0" w:color="auto"/>
            </w:tcBorders>
            <w:shd w:val="clear" w:color="auto" w:fill="DAEEF3" w:themeFill="accent5" w:themeFillTint="33"/>
          </w:tcPr>
          <w:p w14:paraId="446DAB80" w14:textId="77777777" w:rsidR="00F974D5" w:rsidRPr="00CF1D8B" w:rsidRDefault="00F974D5" w:rsidP="00CE2FDF">
            <w:pPr>
              <w:keepNext/>
              <w:tabs>
                <w:tab w:val="left" w:pos="1134"/>
              </w:tabs>
              <w:spacing w:before="0" w:line="276" w:lineRule="auto"/>
              <w:jc w:val="right"/>
              <w:rPr>
                <w:rFonts w:cs="Arial"/>
              </w:rPr>
            </w:pPr>
            <w:r w:rsidRPr="00CF1D8B">
              <w:rPr>
                <w:rFonts w:cs="Arial"/>
              </w:rPr>
              <w:t>1</w:t>
            </w:r>
            <w:r>
              <w:rPr>
                <w:rFonts w:cs="Arial"/>
              </w:rPr>
              <w:t>,</w:t>
            </w:r>
            <w:r w:rsidRPr="00CF1D8B">
              <w:rPr>
                <w:rFonts w:cs="Arial"/>
              </w:rPr>
              <w:t>966</w:t>
            </w:r>
          </w:p>
        </w:tc>
        <w:tc>
          <w:tcPr>
            <w:tcW w:w="1417" w:type="dxa"/>
            <w:tcBorders>
              <w:right w:val="single" w:sz="4" w:space="0" w:color="auto"/>
            </w:tcBorders>
            <w:shd w:val="clear" w:color="auto" w:fill="DAEEF3" w:themeFill="accent5" w:themeFillTint="33"/>
          </w:tcPr>
          <w:p w14:paraId="3E59223F" w14:textId="77777777" w:rsidR="00F974D5" w:rsidRPr="00CF1D8B" w:rsidRDefault="00F974D5" w:rsidP="00CE2FDF">
            <w:pPr>
              <w:keepNext/>
              <w:tabs>
                <w:tab w:val="left" w:pos="1134"/>
              </w:tabs>
              <w:spacing w:before="0" w:line="276" w:lineRule="auto"/>
              <w:jc w:val="right"/>
              <w:rPr>
                <w:rFonts w:cs="Arial"/>
                <w:color w:val="000000"/>
              </w:rPr>
            </w:pPr>
            <w:r w:rsidRPr="00CF1D8B">
              <w:rPr>
                <w:rFonts w:cs="Arial"/>
                <w:color w:val="000000"/>
              </w:rPr>
              <w:t>(16.8%)</w:t>
            </w:r>
          </w:p>
        </w:tc>
        <w:tc>
          <w:tcPr>
            <w:tcW w:w="1985" w:type="dxa"/>
            <w:shd w:val="clear" w:color="auto" w:fill="DAEEF3" w:themeFill="accent5" w:themeFillTint="33"/>
          </w:tcPr>
          <w:p w14:paraId="7C838F11" w14:textId="77777777" w:rsidR="00F974D5" w:rsidRPr="00CF1D8B" w:rsidRDefault="00F974D5" w:rsidP="00CE2FDF">
            <w:pPr>
              <w:keepNext/>
              <w:tabs>
                <w:tab w:val="left" w:pos="1134"/>
              </w:tabs>
              <w:spacing w:before="0" w:line="276" w:lineRule="auto"/>
              <w:jc w:val="right"/>
              <w:rPr>
                <w:rFonts w:cs="Arial"/>
              </w:rPr>
            </w:pPr>
            <w:r w:rsidRPr="00CF1D8B">
              <w:rPr>
                <w:rFonts w:cs="Arial"/>
              </w:rPr>
              <w:t>1</w:t>
            </w:r>
            <w:r>
              <w:rPr>
                <w:rFonts w:cs="Arial"/>
              </w:rPr>
              <w:t>,</w:t>
            </w:r>
            <w:r w:rsidRPr="00CF1D8B">
              <w:rPr>
                <w:rFonts w:cs="Arial"/>
              </w:rPr>
              <w:t>173</w:t>
            </w:r>
          </w:p>
        </w:tc>
        <w:tc>
          <w:tcPr>
            <w:tcW w:w="1559" w:type="dxa"/>
            <w:tcBorders>
              <w:right w:val="single" w:sz="4" w:space="0" w:color="auto"/>
            </w:tcBorders>
            <w:shd w:val="clear" w:color="auto" w:fill="DAEEF3" w:themeFill="accent5" w:themeFillTint="33"/>
            <w:vAlign w:val="bottom"/>
          </w:tcPr>
          <w:p w14:paraId="5E148A9E"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10.02%</w:t>
            </w:r>
            <w:r>
              <w:rPr>
                <w:rFonts w:ascii="Calibri" w:hAnsi="Calibri" w:cs="Arial"/>
              </w:rPr>
              <w:t>)</w:t>
            </w:r>
          </w:p>
        </w:tc>
        <w:tc>
          <w:tcPr>
            <w:tcW w:w="1418" w:type="dxa"/>
            <w:tcBorders>
              <w:left w:val="single" w:sz="4" w:space="0" w:color="auto"/>
              <w:right w:val="single" w:sz="4" w:space="0" w:color="auto"/>
            </w:tcBorders>
            <w:shd w:val="clear" w:color="auto" w:fill="DAEEF3" w:themeFill="accent5" w:themeFillTint="33"/>
          </w:tcPr>
          <w:p w14:paraId="5516AA96" w14:textId="77777777" w:rsidR="00F974D5" w:rsidRPr="00A80772" w:rsidRDefault="00F974D5" w:rsidP="00CE2FDF">
            <w:pPr>
              <w:keepNext/>
              <w:tabs>
                <w:tab w:val="left" w:pos="1134"/>
              </w:tabs>
              <w:spacing w:before="0" w:line="276" w:lineRule="auto"/>
              <w:jc w:val="right"/>
              <w:rPr>
                <w:rFonts w:cs="Arial"/>
                <w:b/>
              </w:rPr>
            </w:pPr>
            <w:r w:rsidRPr="00A80772">
              <w:rPr>
                <w:rFonts w:cs="Arial"/>
                <w:b/>
              </w:rPr>
              <w:t>11</w:t>
            </w:r>
            <w:r>
              <w:rPr>
                <w:rFonts w:cs="Arial"/>
                <w:b/>
              </w:rPr>
              <w:t>,</w:t>
            </w:r>
            <w:r w:rsidRPr="00A80772">
              <w:rPr>
                <w:rFonts w:cs="Arial"/>
                <w:b/>
              </w:rPr>
              <w:t>702</w:t>
            </w:r>
          </w:p>
        </w:tc>
      </w:tr>
      <w:tr w:rsidR="00F974D5" w:rsidRPr="00CF1D8B" w14:paraId="47F11CCD" w14:textId="77777777" w:rsidTr="006337F8">
        <w:trPr>
          <w:trHeight w:val="276"/>
        </w:trPr>
        <w:tc>
          <w:tcPr>
            <w:tcW w:w="887" w:type="dxa"/>
            <w:tcBorders>
              <w:left w:val="single" w:sz="4" w:space="0" w:color="auto"/>
              <w:right w:val="single" w:sz="4" w:space="0" w:color="auto"/>
            </w:tcBorders>
            <w:noWrap/>
            <w:hideMark/>
          </w:tcPr>
          <w:p w14:paraId="1607E8CE" w14:textId="77777777" w:rsidR="00F974D5" w:rsidRPr="00A80772" w:rsidRDefault="00F974D5" w:rsidP="00CE2FDF">
            <w:pPr>
              <w:keepNext/>
              <w:tabs>
                <w:tab w:val="left" w:pos="1134"/>
              </w:tabs>
              <w:spacing w:before="0" w:line="276" w:lineRule="auto"/>
              <w:rPr>
                <w:rFonts w:cs="Arial"/>
                <w:b/>
                <w:bCs/>
              </w:rPr>
            </w:pPr>
            <w:r w:rsidRPr="00A80772">
              <w:rPr>
                <w:rFonts w:cs="Arial"/>
                <w:b/>
              </w:rPr>
              <w:t>2005</w:t>
            </w:r>
          </w:p>
        </w:tc>
        <w:tc>
          <w:tcPr>
            <w:tcW w:w="1773" w:type="dxa"/>
            <w:tcBorders>
              <w:left w:val="single" w:sz="4" w:space="0" w:color="auto"/>
            </w:tcBorders>
          </w:tcPr>
          <w:p w14:paraId="487AD571" w14:textId="77777777" w:rsidR="00F974D5" w:rsidRPr="00CF1D8B" w:rsidRDefault="00F974D5" w:rsidP="00CE2FDF">
            <w:pPr>
              <w:keepNext/>
              <w:tabs>
                <w:tab w:val="left" w:pos="1134"/>
              </w:tabs>
              <w:spacing w:before="0" w:line="276" w:lineRule="auto"/>
              <w:jc w:val="right"/>
              <w:rPr>
                <w:rFonts w:cs="Arial"/>
              </w:rPr>
            </w:pPr>
            <w:r w:rsidRPr="00CF1D8B">
              <w:rPr>
                <w:rFonts w:cs="Arial"/>
              </w:rPr>
              <w:t>8</w:t>
            </w:r>
            <w:r>
              <w:rPr>
                <w:rFonts w:cs="Arial"/>
              </w:rPr>
              <w:t>,</w:t>
            </w:r>
            <w:r w:rsidRPr="00CF1D8B">
              <w:rPr>
                <w:rFonts w:cs="Arial"/>
              </w:rPr>
              <w:t>320</w:t>
            </w:r>
          </w:p>
        </w:tc>
        <w:tc>
          <w:tcPr>
            <w:tcW w:w="1276" w:type="dxa"/>
            <w:tcBorders>
              <w:right w:val="single" w:sz="4" w:space="0" w:color="auto"/>
            </w:tcBorders>
          </w:tcPr>
          <w:p w14:paraId="2B5B2924" w14:textId="77777777" w:rsidR="00F974D5" w:rsidRPr="00CF1D8B" w:rsidRDefault="00F974D5" w:rsidP="00CE2FDF">
            <w:pPr>
              <w:keepNext/>
              <w:tabs>
                <w:tab w:val="left" w:pos="1134"/>
              </w:tabs>
              <w:spacing w:before="0" w:line="276" w:lineRule="auto"/>
              <w:jc w:val="right"/>
              <w:rPr>
                <w:rFonts w:cs="Arial"/>
                <w:color w:val="000000"/>
              </w:rPr>
            </w:pPr>
            <w:r w:rsidRPr="00CF1D8B">
              <w:rPr>
                <w:rFonts w:cs="Arial"/>
                <w:color w:val="000000"/>
              </w:rPr>
              <w:t>(73.7%)</w:t>
            </w:r>
          </w:p>
        </w:tc>
        <w:tc>
          <w:tcPr>
            <w:tcW w:w="1504" w:type="dxa"/>
          </w:tcPr>
          <w:p w14:paraId="634622CB" w14:textId="77777777" w:rsidR="00F974D5" w:rsidRPr="00CF1D8B" w:rsidRDefault="00F974D5" w:rsidP="00CE2FDF">
            <w:pPr>
              <w:keepNext/>
              <w:tabs>
                <w:tab w:val="left" w:pos="1134"/>
              </w:tabs>
              <w:spacing w:before="0" w:line="276" w:lineRule="auto"/>
              <w:jc w:val="right"/>
              <w:rPr>
                <w:rFonts w:cs="Arial"/>
              </w:rPr>
            </w:pPr>
            <w:r w:rsidRPr="00CF1D8B">
              <w:rPr>
                <w:rFonts w:cs="Arial"/>
              </w:rPr>
              <w:t>2</w:t>
            </w:r>
            <w:r>
              <w:rPr>
                <w:rFonts w:cs="Arial"/>
              </w:rPr>
              <w:t>,</w:t>
            </w:r>
            <w:r w:rsidRPr="00CF1D8B">
              <w:rPr>
                <w:rFonts w:cs="Arial"/>
              </w:rPr>
              <w:t>975</w:t>
            </w:r>
          </w:p>
        </w:tc>
        <w:tc>
          <w:tcPr>
            <w:tcW w:w="1189" w:type="dxa"/>
          </w:tcPr>
          <w:p w14:paraId="14B1A1FC" w14:textId="77777777" w:rsidR="00F974D5" w:rsidRPr="00CF1D8B" w:rsidRDefault="00F974D5" w:rsidP="00CE2FDF">
            <w:pPr>
              <w:keepNext/>
              <w:tabs>
                <w:tab w:val="left" w:pos="1134"/>
              </w:tabs>
              <w:spacing w:before="0" w:line="276" w:lineRule="auto"/>
              <w:jc w:val="right"/>
              <w:rPr>
                <w:rFonts w:cs="Arial"/>
                <w:color w:val="000000"/>
              </w:rPr>
            </w:pPr>
            <w:r w:rsidRPr="00CF1D8B">
              <w:rPr>
                <w:rFonts w:cs="Arial"/>
                <w:color w:val="000000"/>
              </w:rPr>
              <w:t>(26.3%)</w:t>
            </w:r>
          </w:p>
        </w:tc>
        <w:tc>
          <w:tcPr>
            <w:tcW w:w="1701" w:type="dxa"/>
            <w:tcBorders>
              <w:left w:val="single" w:sz="4" w:space="0" w:color="auto"/>
            </w:tcBorders>
          </w:tcPr>
          <w:p w14:paraId="7DA00B06" w14:textId="77777777" w:rsidR="00F974D5" w:rsidRPr="00CF1D8B" w:rsidRDefault="00F974D5" w:rsidP="00CE2FDF">
            <w:pPr>
              <w:keepNext/>
              <w:tabs>
                <w:tab w:val="left" w:pos="1134"/>
              </w:tabs>
              <w:spacing w:before="0" w:line="276" w:lineRule="auto"/>
              <w:jc w:val="right"/>
              <w:rPr>
                <w:rFonts w:cs="Arial"/>
              </w:rPr>
            </w:pPr>
            <w:r w:rsidRPr="00CF1D8B">
              <w:rPr>
                <w:rFonts w:cs="Arial"/>
              </w:rPr>
              <w:t>1</w:t>
            </w:r>
            <w:r>
              <w:rPr>
                <w:rFonts w:cs="Arial"/>
              </w:rPr>
              <w:t>,</w:t>
            </w:r>
            <w:r w:rsidRPr="00CF1D8B">
              <w:rPr>
                <w:rFonts w:cs="Arial"/>
              </w:rPr>
              <w:t>955</w:t>
            </w:r>
          </w:p>
        </w:tc>
        <w:tc>
          <w:tcPr>
            <w:tcW w:w="1417" w:type="dxa"/>
            <w:tcBorders>
              <w:right w:val="single" w:sz="4" w:space="0" w:color="auto"/>
            </w:tcBorders>
          </w:tcPr>
          <w:p w14:paraId="7FD3D425" w14:textId="77777777" w:rsidR="00F974D5" w:rsidRPr="00CF1D8B" w:rsidRDefault="00F974D5" w:rsidP="00CE2FDF">
            <w:pPr>
              <w:keepNext/>
              <w:tabs>
                <w:tab w:val="left" w:pos="1134"/>
              </w:tabs>
              <w:spacing w:before="0" w:line="276" w:lineRule="auto"/>
              <w:jc w:val="right"/>
              <w:rPr>
                <w:rFonts w:cs="Arial"/>
                <w:color w:val="000000"/>
              </w:rPr>
            </w:pPr>
            <w:r w:rsidRPr="00CF1D8B">
              <w:rPr>
                <w:rFonts w:cs="Arial"/>
                <w:color w:val="000000"/>
              </w:rPr>
              <w:t>(17.3%)</w:t>
            </w:r>
          </w:p>
        </w:tc>
        <w:tc>
          <w:tcPr>
            <w:tcW w:w="1985" w:type="dxa"/>
          </w:tcPr>
          <w:p w14:paraId="7C7E9017" w14:textId="77777777" w:rsidR="00F974D5" w:rsidRPr="00CF1D8B" w:rsidRDefault="00F974D5" w:rsidP="00CE2FDF">
            <w:pPr>
              <w:keepNext/>
              <w:tabs>
                <w:tab w:val="left" w:pos="1134"/>
              </w:tabs>
              <w:spacing w:before="0" w:line="276" w:lineRule="auto"/>
              <w:jc w:val="right"/>
              <w:rPr>
                <w:rFonts w:cs="Arial"/>
              </w:rPr>
            </w:pPr>
            <w:r w:rsidRPr="00CF1D8B">
              <w:rPr>
                <w:rFonts w:cs="Arial"/>
              </w:rPr>
              <w:t>1</w:t>
            </w:r>
            <w:r>
              <w:rPr>
                <w:rFonts w:cs="Arial"/>
              </w:rPr>
              <w:t>,</w:t>
            </w:r>
            <w:r w:rsidRPr="00CF1D8B">
              <w:rPr>
                <w:rFonts w:cs="Arial"/>
              </w:rPr>
              <w:t>020</w:t>
            </w:r>
          </w:p>
        </w:tc>
        <w:tc>
          <w:tcPr>
            <w:tcW w:w="1559" w:type="dxa"/>
            <w:tcBorders>
              <w:right w:val="single" w:sz="4" w:space="0" w:color="auto"/>
            </w:tcBorders>
            <w:vAlign w:val="bottom"/>
          </w:tcPr>
          <w:p w14:paraId="1E6ABDEA"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9.03%</w:t>
            </w:r>
            <w:r>
              <w:rPr>
                <w:rFonts w:ascii="Calibri" w:hAnsi="Calibri" w:cs="Arial"/>
              </w:rPr>
              <w:t>)</w:t>
            </w:r>
          </w:p>
        </w:tc>
        <w:tc>
          <w:tcPr>
            <w:tcW w:w="1418" w:type="dxa"/>
            <w:tcBorders>
              <w:left w:val="single" w:sz="4" w:space="0" w:color="auto"/>
              <w:right w:val="single" w:sz="4" w:space="0" w:color="auto"/>
            </w:tcBorders>
          </w:tcPr>
          <w:p w14:paraId="000481B8" w14:textId="77777777" w:rsidR="00F974D5" w:rsidRPr="00A80772" w:rsidRDefault="00F974D5" w:rsidP="00CE2FDF">
            <w:pPr>
              <w:keepNext/>
              <w:tabs>
                <w:tab w:val="left" w:pos="1134"/>
              </w:tabs>
              <w:spacing w:before="0" w:line="276" w:lineRule="auto"/>
              <w:jc w:val="right"/>
              <w:rPr>
                <w:rFonts w:cs="Arial"/>
                <w:b/>
              </w:rPr>
            </w:pPr>
            <w:r w:rsidRPr="00A80772">
              <w:rPr>
                <w:rFonts w:cs="Arial"/>
                <w:b/>
              </w:rPr>
              <w:t>11</w:t>
            </w:r>
            <w:r>
              <w:rPr>
                <w:rFonts w:cs="Arial"/>
                <w:b/>
              </w:rPr>
              <w:t>,</w:t>
            </w:r>
            <w:r w:rsidRPr="00A80772">
              <w:rPr>
                <w:rFonts w:cs="Arial"/>
                <w:b/>
              </w:rPr>
              <w:t>295</w:t>
            </w:r>
          </w:p>
        </w:tc>
      </w:tr>
      <w:tr w:rsidR="00F974D5" w:rsidRPr="00CF1D8B" w14:paraId="496205B4" w14:textId="77777777" w:rsidTr="006337F8">
        <w:trPr>
          <w:trHeight w:val="276"/>
        </w:trPr>
        <w:tc>
          <w:tcPr>
            <w:tcW w:w="887" w:type="dxa"/>
            <w:tcBorders>
              <w:left w:val="single" w:sz="4" w:space="0" w:color="auto"/>
              <w:right w:val="single" w:sz="4" w:space="0" w:color="auto"/>
            </w:tcBorders>
            <w:shd w:val="clear" w:color="auto" w:fill="DAEEF3" w:themeFill="accent5" w:themeFillTint="33"/>
            <w:noWrap/>
            <w:hideMark/>
          </w:tcPr>
          <w:p w14:paraId="07EABDB8" w14:textId="77777777" w:rsidR="00F974D5" w:rsidRPr="00A80772" w:rsidRDefault="00F974D5" w:rsidP="00CE2FDF">
            <w:pPr>
              <w:tabs>
                <w:tab w:val="left" w:pos="1134"/>
              </w:tabs>
              <w:spacing w:before="0" w:line="276" w:lineRule="auto"/>
              <w:rPr>
                <w:rFonts w:cs="Arial"/>
                <w:b/>
                <w:bCs/>
              </w:rPr>
            </w:pPr>
            <w:r w:rsidRPr="00A80772">
              <w:rPr>
                <w:rFonts w:cs="Arial"/>
                <w:b/>
              </w:rPr>
              <w:t>2006</w:t>
            </w:r>
          </w:p>
        </w:tc>
        <w:tc>
          <w:tcPr>
            <w:tcW w:w="1773" w:type="dxa"/>
            <w:tcBorders>
              <w:left w:val="single" w:sz="4" w:space="0" w:color="auto"/>
            </w:tcBorders>
            <w:shd w:val="clear" w:color="auto" w:fill="DAEEF3" w:themeFill="accent5" w:themeFillTint="33"/>
          </w:tcPr>
          <w:p w14:paraId="537CE3A1" w14:textId="77777777" w:rsidR="00F974D5" w:rsidRPr="00CF1D8B" w:rsidRDefault="00F974D5" w:rsidP="00CE2FDF">
            <w:pPr>
              <w:tabs>
                <w:tab w:val="left" w:pos="1134"/>
              </w:tabs>
              <w:spacing w:before="0" w:line="276" w:lineRule="auto"/>
              <w:jc w:val="right"/>
              <w:rPr>
                <w:rFonts w:cs="Arial"/>
              </w:rPr>
            </w:pPr>
            <w:r w:rsidRPr="00CF1D8B">
              <w:rPr>
                <w:rFonts w:cs="Arial"/>
              </w:rPr>
              <w:t>6</w:t>
            </w:r>
            <w:r>
              <w:rPr>
                <w:rFonts w:cs="Arial"/>
              </w:rPr>
              <w:t>,</w:t>
            </w:r>
            <w:r w:rsidRPr="00CF1D8B">
              <w:rPr>
                <w:rFonts w:cs="Arial"/>
              </w:rPr>
              <w:t>992</w:t>
            </w:r>
          </w:p>
        </w:tc>
        <w:tc>
          <w:tcPr>
            <w:tcW w:w="1276" w:type="dxa"/>
            <w:tcBorders>
              <w:right w:val="single" w:sz="4" w:space="0" w:color="auto"/>
            </w:tcBorders>
            <w:shd w:val="clear" w:color="auto" w:fill="DAEEF3" w:themeFill="accent5" w:themeFillTint="33"/>
          </w:tcPr>
          <w:p w14:paraId="793582A2"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(72.6%)</w:t>
            </w:r>
          </w:p>
        </w:tc>
        <w:tc>
          <w:tcPr>
            <w:tcW w:w="1504" w:type="dxa"/>
            <w:tcBorders>
              <w:right w:val="nil"/>
            </w:tcBorders>
            <w:shd w:val="clear" w:color="auto" w:fill="DAEEF3" w:themeFill="accent5" w:themeFillTint="33"/>
          </w:tcPr>
          <w:p w14:paraId="14E17751" w14:textId="77777777" w:rsidR="00F974D5" w:rsidRPr="00CF1D8B" w:rsidRDefault="00F974D5" w:rsidP="00CE2FDF">
            <w:pPr>
              <w:tabs>
                <w:tab w:val="left" w:pos="1134"/>
              </w:tabs>
              <w:spacing w:before="0" w:line="276" w:lineRule="auto"/>
              <w:jc w:val="right"/>
              <w:rPr>
                <w:rFonts w:cs="Arial"/>
              </w:rPr>
            </w:pPr>
            <w:r w:rsidRPr="00CF1D8B">
              <w:rPr>
                <w:rFonts w:cs="Arial"/>
              </w:rPr>
              <w:t>2</w:t>
            </w:r>
            <w:r>
              <w:rPr>
                <w:rFonts w:cs="Arial"/>
              </w:rPr>
              <w:t>,</w:t>
            </w:r>
            <w:r w:rsidRPr="00CF1D8B">
              <w:rPr>
                <w:rFonts w:cs="Arial"/>
              </w:rPr>
              <w:t>633</w:t>
            </w:r>
          </w:p>
        </w:tc>
        <w:tc>
          <w:tcPr>
            <w:tcW w:w="1189" w:type="dxa"/>
            <w:tcBorders>
              <w:left w:val="nil"/>
            </w:tcBorders>
            <w:shd w:val="clear" w:color="auto" w:fill="DAEEF3" w:themeFill="accent5" w:themeFillTint="33"/>
          </w:tcPr>
          <w:p w14:paraId="28AB18A6"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(27.4%)</w:t>
            </w:r>
          </w:p>
        </w:tc>
        <w:tc>
          <w:tcPr>
            <w:tcW w:w="1701" w:type="dxa"/>
            <w:tcBorders>
              <w:left w:val="single" w:sz="4" w:space="0" w:color="auto"/>
            </w:tcBorders>
            <w:shd w:val="clear" w:color="auto" w:fill="DAEEF3" w:themeFill="accent5" w:themeFillTint="33"/>
          </w:tcPr>
          <w:p w14:paraId="46DD50F3" w14:textId="77777777" w:rsidR="00F974D5" w:rsidRPr="00CF1D8B" w:rsidRDefault="00F974D5" w:rsidP="00CE2FDF">
            <w:pPr>
              <w:tabs>
                <w:tab w:val="left" w:pos="1134"/>
              </w:tabs>
              <w:spacing w:before="0" w:line="276" w:lineRule="auto"/>
              <w:jc w:val="right"/>
              <w:rPr>
                <w:rFonts w:cs="Arial"/>
              </w:rPr>
            </w:pPr>
            <w:r w:rsidRPr="00CF1D8B">
              <w:rPr>
                <w:rFonts w:cs="Arial"/>
              </w:rPr>
              <w:t>1</w:t>
            </w:r>
            <w:r>
              <w:rPr>
                <w:rFonts w:cs="Arial"/>
              </w:rPr>
              <w:t>,</w:t>
            </w:r>
            <w:r w:rsidRPr="00CF1D8B">
              <w:rPr>
                <w:rFonts w:cs="Arial"/>
              </w:rPr>
              <w:t>750</w:t>
            </w:r>
          </w:p>
        </w:tc>
        <w:tc>
          <w:tcPr>
            <w:tcW w:w="1417" w:type="dxa"/>
            <w:tcBorders>
              <w:right w:val="single" w:sz="4" w:space="0" w:color="auto"/>
            </w:tcBorders>
            <w:shd w:val="clear" w:color="auto" w:fill="DAEEF3" w:themeFill="accent5" w:themeFillTint="33"/>
          </w:tcPr>
          <w:p w14:paraId="33776068"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(18.2%)</w:t>
            </w:r>
          </w:p>
        </w:tc>
        <w:tc>
          <w:tcPr>
            <w:tcW w:w="1985" w:type="dxa"/>
            <w:shd w:val="clear" w:color="auto" w:fill="DAEEF3" w:themeFill="accent5" w:themeFillTint="33"/>
          </w:tcPr>
          <w:p w14:paraId="05BA3F5D" w14:textId="77777777" w:rsidR="00F974D5" w:rsidRPr="00CF1D8B" w:rsidRDefault="00F974D5" w:rsidP="00CE2FDF">
            <w:pPr>
              <w:tabs>
                <w:tab w:val="left" w:pos="1134"/>
              </w:tabs>
              <w:spacing w:before="0" w:line="276" w:lineRule="auto"/>
              <w:jc w:val="right"/>
              <w:rPr>
                <w:rFonts w:cs="Arial"/>
              </w:rPr>
            </w:pPr>
            <w:r w:rsidRPr="00CF1D8B">
              <w:rPr>
                <w:rFonts w:cs="Arial"/>
              </w:rPr>
              <w:t>883</w:t>
            </w:r>
          </w:p>
        </w:tc>
        <w:tc>
          <w:tcPr>
            <w:tcW w:w="1559" w:type="dxa"/>
            <w:tcBorders>
              <w:right w:val="single" w:sz="4" w:space="0" w:color="auto"/>
            </w:tcBorders>
            <w:shd w:val="clear" w:color="auto" w:fill="DAEEF3" w:themeFill="accent5" w:themeFillTint="33"/>
            <w:vAlign w:val="bottom"/>
          </w:tcPr>
          <w:p w14:paraId="551D947F"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9.17%</w:t>
            </w:r>
            <w:r>
              <w:rPr>
                <w:rFonts w:ascii="Calibri" w:hAnsi="Calibri" w:cs="Arial"/>
              </w:rPr>
              <w:t>)</w:t>
            </w:r>
          </w:p>
        </w:tc>
        <w:tc>
          <w:tcPr>
            <w:tcW w:w="1418" w:type="dxa"/>
            <w:tcBorders>
              <w:left w:val="single" w:sz="4" w:space="0" w:color="auto"/>
              <w:right w:val="single" w:sz="4" w:space="0" w:color="auto"/>
            </w:tcBorders>
            <w:shd w:val="clear" w:color="auto" w:fill="DAEEF3" w:themeFill="accent5" w:themeFillTint="33"/>
          </w:tcPr>
          <w:p w14:paraId="6AD6B170" w14:textId="77777777" w:rsidR="00F974D5" w:rsidRPr="00A80772" w:rsidRDefault="00F974D5" w:rsidP="00CE2FDF">
            <w:pPr>
              <w:tabs>
                <w:tab w:val="left" w:pos="1134"/>
              </w:tabs>
              <w:spacing w:before="0" w:line="276" w:lineRule="auto"/>
              <w:jc w:val="right"/>
              <w:rPr>
                <w:rFonts w:cs="Arial"/>
                <w:b/>
              </w:rPr>
            </w:pPr>
            <w:r w:rsidRPr="00A80772">
              <w:rPr>
                <w:rFonts w:cs="Arial"/>
                <w:b/>
              </w:rPr>
              <w:t>9</w:t>
            </w:r>
            <w:r>
              <w:rPr>
                <w:rFonts w:cs="Arial"/>
                <w:b/>
              </w:rPr>
              <w:t>,</w:t>
            </w:r>
            <w:r w:rsidRPr="00A80772">
              <w:rPr>
                <w:rFonts w:cs="Arial"/>
                <w:b/>
              </w:rPr>
              <w:t>625</w:t>
            </w:r>
          </w:p>
        </w:tc>
      </w:tr>
      <w:tr w:rsidR="00F974D5" w:rsidRPr="00CF1D8B" w14:paraId="6618A8AF" w14:textId="77777777" w:rsidTr="006337F8">
        <w:trPr>
          <w:trHeight w:val="276"/>
        </w:trPr>
        <w:tc>
          <w:tcPr>
            <w:tcW w:w="887" w:type="dxa"/>
            <w:tcBorders>
              <w:left w:val="single" w:sz="4" w:space="0" w:color="auto"/>
              <w:right w:val="single" w:sz="4" w:space="0" w:color="auto"/>
            </w:tcBorders>
            <w:noWrap/>
            <w:hideMark/>
          </w:tcPr>
          <w:p w14:paraId="5081B982" w14:textId="77777777" w:rsidR="00F974D5" w:rsidRPr="00A80772" w:rsidRDefault="00F974D5" w:rsidP="00CE2FDF">
            <w:pPr>
              <w:tabs>
                <w:tab w:val="left" w:pos="1134"/>
              </w:tabs>
              <w:spacing w:before="0" w:line="276" w:lineRule="auto"/>
              <w:rPr>
                <w:rFonts w:cs="Arial"/>
                <w:b/>
                <w:bCs/>
              </w:rPr>
            </w:pPr>
            <w:r w:rsidRPr="00A80772">
              <w:rPr>
                <w:rFonts w:cs="Arial"/>
                <w:b/>
              </w:rPr>
              <w:t>2007</w:t>
            </w:r>
          </w:p>
        </w:tc>
        <w:tc>
          <w:tcPr>
            <w:tcW w:w="1773" w:type="dxa"/>
            <w:tcBorders>
              <w:left w:val="single" w:sz="4" w:space="0" w:color="auto"/>
            </w:tcBorders>
          </w:tcPr>
          <w:p w14:paraId="1BB69861" w14:textId="77777777" w:rsidR="00F974D5" w:rsidRPr="00CF1D8B" w:rsidRDefault="00F974D5" w:rsidP="00CE2FDF">
            <w:pPr>
              <w:tabs>
                <w:tab w:val="left" w:pos="1134"/>
              </w:tabs>
              <w:spacing w:before="0" w:line="276" w:lineRule="auto"/>
              <w:jc w:val="right"/>
              <w:rPr>
                <w:rFonts w:cs="Arial"/>
              </w:rPr>
            </w:pPr>
            <w:r w:rsidRPr="00CF1D8B">
              <w:rPr>
                <w:rFonts w:cs="Arial"/>
              </w:rPr>
              <w:t>13</w:t>
            </w:r>
            <w:r>
              <w:rPr>
                <w:rFonts w:cs="Arial"/>
              </w:rPr>
              <w:t>,</w:t>
            </w:r>
            <w:r w:rsidRPr="00CF1D8B">
              <w:rPr>
                <w:rFonts w:cs="Arial"/>
              </w:rPr>
              <w:t>058</w:t>
            </w:r>
          </w:p>
        </w:tc>
        <w:tc>
          <w:tcPr>
            <w:tcW w:w="1276" w:type="dxa"/>
            <w:tcBorders>
              <w:right w:val="single" w:sz="4" w:space="0" w:color="auto"/>
            </w:tcBorders>
          </w:tcPr>
          <w:p w14:paraId="47008725"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(88.4%)</w:t>
            </w:r>
          </w:p>
        </w:tc>
        <w:tc>
          <w:tcPr>
            <w:tcW w:w="1504" w:type="dxa"/>
          </w:tcPr>
          <w:p w14:paraId="7A4D8256" w14:textId="77777777" w:rsidR="00F974D5" w:rsidRPr="00CF1D8B" w:rsidRDefault="00F974D5" w:rsidP="00CE2FDF">
            <w:pPr>
              <w:tabs>
                <w:tab w:val="left" w:pos="1134"/>
              </w:tabs>
              <w:spacing w:before="0" w:line="276" w:lineRule="auto"/>
              <w:jc w:val="right"/>
              <w:rPr>
                <w:rFonts w:cs="Arial"/>
              </w:rPr>
            </w:pPr>
            <w:r w:rsidRPr="00CF1D8B">
              <w:rPr>
                <w:rFonts w:cs="Arial"/>
              </w:rPr>
              <w:t>1</w:t>
            </w:r>
            <w:r>
              <w:rPr>
                <w:rFonts w:cs="Arial"/>
              </w:rPr>
              <w:t>,</w:t>
            </w:r>
            <w:r w:rsidRPr="00CF1D8B">
              <w:rPr>
                <w:rFonts w:cs="Arial"/>
              </w:rPr>
              <w:t>720</w:t>
            </w:r>
          </w:p>
        </w:tc>
        <w:tc>
          <w:tcPr>
            <w:tcW w:w="1189" w:type="dxa"/>
          </w:tcPr>
          <w:p w14:paraId="0A8E0CAA"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(11.6%)</w:t>
            </w:r>
          </w:p>
        </w:tc>
        <w:tc>
          <w:tcPr>
            <w:tcW w:w="1701" w:type="dxa"/>
            <w:tcBorders>
              <w:left w:val="single" w:sz="4" w:space="0" w:color="auto"/>
            </w:tcBorders>
          </w:tcPr>
          <w:p w14:paraId="06888D22" w14:textId="77777777" w:rsidR="00F974D5" w:rsidRPr="00CF1D8B" w:rsidRDefault="00F974D5" w:rsidP="00CE2FDF">
            <w:pPr>
              <w:tabs>
                <w:tab w:val="left" w:pos="1134"/>
              </w:tabs>
              <w:spacing w:before="0" w:line="276" w:lineRule="auto"/>
              <w:jc w:val="right"/>
              <w:rPr>
                <w:rFonts w:cs="Arial"/>
              </w:rPr>
            </w:pPr>
            <w:r w:rsidRPr="00CF1D8B">
              <w:rPr>
                <w:rFonts w:cs="Arial"/>
              </w:rPr>
              <w:t>1</w:t>
            </w:r>
            <w:r>
              <w:rPr>
                <w:rFonts w:cs="Arial"/>
              </w:rPr>
              <w:t>,</w:t>
            </w:r>
            <w:r w:rsidRPr="00CF1D8B">
              <w:rPr>
                <w:rFonts w:cs="Arial"/>
              </w:rPr>
              <w:t>193</w:t>
            </w:r>
          </w:p>
        </w:tc>
        <w:tc>
          <w:tcPr>
            <w:tcW w:w="1417" w:type="dxa"/>
            <w:tcBorders>
              <w:right w:val="single" w:sz="4" w:space="0" w:color="auto"/>
            </w:tcBorders>
          </w:tcPr>
          <w:p w14:paraId="3F9B0DBE"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(8.1%)</w:t>
            </w:r>
          </w:p>
        </w:tc>
        <w:tc>
          <w:tcPr>
            <w:tcW w:w="1985" w:type="dxa"/>
          </w:tcPr>
          <w:p w14:paraId="3A6B1B4C" w14:textId="77777777" w:rsidR="00F974D5" w:rsidRPr="00CF1D8B" w:rsidRDefault="00F974D5" w:rsidP="00CE2FDF">
            <w:pPr>
              <w:tabs>
                <w:tab w:val="left" w:pos="1134"/>
              </w:tabs>
              <w:spacing w:before="0" w:line="276" w:lineRule="auto"/>
              <w:jc w:val="right"/>
              <w:rPr>
                <w:rFonts w:cs="Arial"/>
              </w:rPr>
            </w:pPr>
            <w:r w:rsidRPr="00CF1D8B">
              <w:rPr>
                <w:rFonts w:cs="Arial"/>
              </w:rPr>
              <w:t>527</w:t>
            </w:r>
          </w:p>
        </w:tc>
        <w:tc>
          <w:tcPr>
            <w:tcW w:w="1559" w:type="dxa"/>
            <w:tcBorders>
              <w:right w:val="single" w:sz="4" w:space="0" w:color="auto"/>
            </w:tcBorders>
            <w:vAlign w:val="bottom"/>
          </w:tcPr>
          <w:p w14:paraId="3A031451"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3.57%</w:t>
            </w:r>
            <w:r>
              <w:rPr>
                <w:rFonts w:ascii="Calibri" w:hAnsi="Calibri" w:cs="Arial"/>
              </w:rPr>
              <w:t>)</w:t>
            </w:r>
          </w:p>
        </w:tc>
        <w:tc>
          <w:tcPr>
            <w:tcW w:w="1418" w:type="dxa"/>
            <w:tcBorders>
              <w:left w:val="single" w:sz="4" w:space="0" w:color="auto"/>
              <w:right w:val="single" w:sz="4" w:space="0" w:color="auto"/>
            </w:tcBorders>
          </w:tcPr>
          <w:p w14:paraId="232F3BDF" w14:textId="77777777" w:rsidR="00F974D5" w:rsidRPr="00A80772" w:rsidRDefault="00F974D5" w:rsidP="00CE2FDF">
            <w:pPr>
              <w:tabs>
                <w:tab w:val="left" w:pos="1134"/>
              </w:tabs>
              <w:spacing w:before="0" w:line="276" w:lineRule="auto"/>
              <w:jc w:val="right"/>
              <w:rPr>
                <w:rFonts w:cs="Arial"/>
                <w:b/>
              </w:rPr>
            </w:pPr>
            <w:r w:rsidRPr="00A80772">
              <w:rPr>
                <w:rFonts w:cs="Arial"/>
                <w:b/>
              </w:rPr>
              <w:t>14</w:t>
            </w:r>
            <w:r>
              <w:rPr>
                <w:rFonts w:cs="Arial"/>
                <w:b/>
              </w:rPr>
              <w:t>,</w:t>
            </w:r>
            <w:r w:rsidRPr="00A80772">
              <w:rPr>
                <w:rFonts w:cs="Arial"/>
                <w:b/>
              </w:rPr>
              <w:t>778</w:t>
            </w:r>
          </w:p>
        </w:tc>
      </w:tr>
      <w:tr w:rsidR="00F974D5" w:rsidRPr="00CF1D8B" w14:paraId="39774FE1" w14:textId="77777777" w:rsidTr="006337F8">
        <w:trPr>
          <w:trHeight w:val="276"/>
        </w:trPr>
        <w:tc>
          <w:tcPr>
            <w:tcW w:w="887" w:type="dxa"/>
            <w:tcBorders>
              <w:left w:val="single" w:sz="4" w:space="0" w:color="auto"/>
              <w:right w:val="single" w:sz="4" w:space="0" w:color="auto"/>
            </w:tcBorders>
            <w:shd w:val="clear" w:color="auto" w:fill="DAEEF3" w:themeFill="accent5" w:themeFillTint="33"/>
            <w:noWrap/>
            <w:hideMark/>
          </w:tcPr>
          <w:p w14:paraId="5B0C3723" w14:textId="77777777" w:rsidR="00F974D5" w:rsidRPr="00A80772" w:rsidRDefault="00F974D5" w:rsidP="00CE2FDF">
            <w:pPr>
              <w:tabs>
                <w:tab w:val="left" w:pos="1134"/>
              </w:tabs>
              <w:spacing w:before="0" w:line="276" w:lineRule="auto"/>
              <w:rPr>
                <w:rFonts w:cs="Arial"/>
                <w:b/>
                <w:bCs/>
              </w:rPr>
            </w:pPr>
            <w:r w:rsidRPr="00A80772">
              <w:rPr>
                <w:rFonts w:cs="Arial"/>
                <w:b/>
              </w:rPr>
              <w:t>2008</w:t>
            </w:r>
          </w:p>
        </w:tc>
        <w:tc>
          <w:tcPr>
            <w:tcW w:w="1773" w:type="dxa"/>
            <w:tcBorders>
              <w:left w:val="single" w:sz="4" w:space="0" w:color="auto"/>
            </w:tcBorders>
            <w:shd w:val="clear" w:color="auto" w:fill="DAEEF3" w:themeFill="accent5" w:themeFillTint="33"/>
          </w:tcPr>
          <w:p w14:paraId="7EAC1353" w14:textId="77777777" w:rsidR="00F974D5" w:rsidRPr="00CF1D8B" w:rsidRDefault="00F974D5" w:rsidP="00CE2FDF">
            <w:pPr>
              <w:tabs>
                <w:tab w:val="left" w:pos="1134"/>
              </w:tabs>
              <w:spacing w:before="0" w:line="276" w:lineRule="auto"/>
              <w:jc w:val="right"/>
              <w:rPr>
                <w:rFonts w:cs="Arial"/>
              </w:rPr>
            </w:pPr>
            <w:r w:rsidRPr="00CF1D8B">
              <w:rPr>
                <w:rFonts w:cs="Arial"/>
              </w:rPr>
              <w:t>7</w:t>
            </w:r>
            <w:r>
              <w:rPr>
                <w:rFonts w:cs="Arial"/>
              </w:rPr>
              <w:t>,</w:t>
            </w:r>
            <w:r w:rsidRPr="00CF1D8B">
              <w:rPr>
                <w:rFonts w:cs="Arial"/>
              </w:rPr>
              <w:t>105</w:t>
            </w:r>
          </w:p>
        </w:tc>
        <w:tc>
          <w:tcPr>
            <w:tcW w:w="1276" w:type="dxa"/>
            <w:tcBorders>
              <w:right w:val="single" w:sz="4" w:space="0" w:color="auto"/>
            </w:tcBorders>
            <w:shd w:val="clear" w:color="auto" w:fill="DAEEF3" w:themeFill="accent5" w:themeFillTint="33"/>
          </w:tcPr>
          <w:p w14:paraId="2A6E60A6"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(82.6%)</w:t>
            </w:r>
          </w:p>
        </w:tc>
        <w:tc>
          <w:tcPr>
            <w:tcW w:w="1504" w:type="dxa"/>
            <w:tcBorders>
              <w:right w:val="nil"/>
            </w:tcBorders>
            <w:shd w:val="clear" w:color="auto" w:fill="DAEEF3" w:themeFill="accent5" w:themeFillTint="33"/>
          </w:tcPr>
          <w:p w14:paraId="677E7FC4" w14:textId="77777777" w:rsidR="00F974D5" w:rsidRPr="00CF1D8B" w:rsidRDefault="00F974D5" w:rsidP="00CE2FDF">
            <w:pPr>
              <w:tabs>
                <w:tab w:val="left" w:pos="1134"/>
              </w:tabs>
              <w:spacing w:before="0" w:line="276" w:lineRule="auto"/>
              <w:jc w:val="right"/>
              <w:rPr>
                <w:rFonts w:cs="Arial"/>
              </w:rPr>
            </w:pPr>
            <w:r w:rsidRPr="00CF1D8B">
              <w:rPr>
                <w:rFonts w:cs="Arial"/>
              </w:rPr>
              <w:t>1</w:t>
            </w:r>
            <w:r>
              <w:rPr>
                <w:rFonts w:cs="Arial"/>
              </w:rPr>
              <w:t>,</w:t>
            </w:r>
            <w:r w:rsidRPr="00CF1D8B">
              <w:rPr>
                <w:rFonts w:cs="Arial"/>
              </w:rPr>
              <w:t>496</w:t>
            </w:r>
          </w:p>
        </w:tc>
        <w:tc>
          <w:tcPr>
            <w:tcW w:w="1189" w:type="dxa"/>
            <w:tcBorders>
              <w:left w:val="nil"/>
            </w:tcBorders>
            <w:shd w:val="clear" w:color="auto" w:fill="DAEEF3" w:themeFill="accent5" w:themeFillTint="33"/>
          </w:tcPr>
          <w:p w14:paraId="7AF87CA2"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(17.4%)</w:t>
            </w:r>
          </w:p>
        </w:tc>
        <w:tc>
          <w:tcPr>
            <w:tcW w:w="1701" w:type="dxa"/>
            <w:tcBorders>
              <w:left w:val="single" w:sz="4" w:space="0" w:color="auto"/>
            </w:tcBorders>
            <w:shd w:val="clear" w:color="auto" w:fill="DAEEF3" w:themeFill="accent5" w:themeFillTint="33"/>
          </w:tcPr>
          <w:p w14:paraId="29D24B6A" w14:textId="77777777" w:rsidR="00F974D5" w:rsidRPr="00CF1D8B" w:rsidRDefault="00F974D5" w:rsidP="00CE2FDF">
            <w:pPr>
              <w:tabs>
                <w:tab w:val="left" w:pos="1134"/>
              </w:tabs>
              <w:spacing w:before="0" w:line="276" w:lineRule="auto"/>
              <w:jc w:val="right"/>
              <w:rPr>
                <w:rFonts w:cs="Arial"/>
              </w:rPr>
            </w:pPr>
            <w:r w:rsidRPr="00CF1D8B">
              <w:rPr>
                <w:rFonts w:cs="Arial"/>
              </w:rPr>
              <w:t>973</w:t>
            </w:r>
          </w:p>
        </w:tc>
        <w:tc>
          <w:tcPr>
            <w:tcW w:w="1417" w:type="dxa"/>
            <w:tcBorders>
              <w:right w:val="single" w:sz="4" w:space="0" w:color="auto"/>
            </w:tcBorders>
            <w:shd w:val="clear" w:color="auto" w:fill="DAEEF3" w:themeFill="accent5" w:themeFillTint="33"/>
          </w:tcPr>
          <w:p w14:paraId="03A3DF07"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(11.3%)</w:t>
            </w:r>
          </w:p>
        </w:tc>
        <w:tc>
          <w:tcPr>
            <w:tcW w:w="1985" w:type="dxa"/>
            <w:shd w:val="clear" w:color="auto" w:fill="DAEEF3" w:themeFill="accent5" w:themeFillTint="33"/>
          </w:tcPr>
          <w:p w14:paraId="40AFC7E4" w14:textId="77777777" w:rsidR="00F974D5" w:rsidRPr="00CF1D8B" w:rsidRDefault="00F974D5" w:rsidP="00CE2FDF">
            <w:pPr>
              <w:tabs>
                <w:tab w:val="left" w:pos="1134"/>
              </w:tabs>
              <w:spacing w:before="0" w:line="276" w:lineRule="auto"/>
              <w:jc w:val="right"/>
              <w:rPr>
                <w:rFonts w:cs="Arial"/>
              </w:rPr>
            </w:pPr>
            <w:r w:rsidRPr="00CF1D8B">
              <w:rPr>
                <w:rFonts w:cs="Arial"/>
              </w:rPr>
              <w:t>523</w:t>
            </w:r>
          </w:p>
        </w:tc>
        <w:tc>
          <w:tcPr>
            <w:tcW w:w="1559" w:type="dxa"/>
            <w:tcBorders>
              <w:right w:val="single" w:sz="4" w:space="0" w:color="auto"/>
            </w:tcBorders>
            <w:shd w:val="clear" w:color="auto" w:fill="DAEEF3" w:themeFill="accent5" w:themeFillTint="33"/>
            <w:vAlign w:val="bottom"/>
          </w:tcPr>
          <w:p w14:paraId="32944015"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6.08%</w:t>
            </w:r>
            <w:r>
              <w:rPr>
                <w:rFonts w:ascii="Calibri" w:hAnsi="Calibri" w:cs="Arial"/>
              </w:rPr>
              <w:t>)</w:t>
            </w:r>
          </w:p>
        </w:tc>
        <w:tc>
          <w:tcPr>
            <w:tcW w:w="1418" w:type="dxa"/>
            <w:tcBorders>
              <w:left w:val="single" w:sz="4" w:space="0" w:color="auto"/>
              <w:right w:val="single" w:sz="4" w:space="0" w:color="auto"/>
            </w:tcBorders>
            <w:shd w:val="clear" w:color="auto" w:fill="DAEEF3" w:themeFill="accent5" w:themeFillTint="33"/>
          </w:tcPr>
          <w:p w14:paraId="7C6B3FB0" w14:textId="77777777" w:rsidR="00F974D5" w:rsidRPr="00A80772" w:rsidRDefault="00F974D5" w:rsidP="00CE2FDF">
            <w:pPr>
              <w:tabs>
                <w:tab w:val="left" w:pos="1134"/>
              </w:tabs>
              <w:spacing w:before="0" w:line="276" w:lineRule="auto"/>
              <w:jc w:val="right"/>
              <w:rPr>
                <w:rFonts w:cs="Arial"/>
                <w:b/>
              </w:rPr>
            </w:pPr>
            <w:r w:rsidRPr="00A80772">
              <w:rPr>
                <w:rFonts w:cs="Arial"/>
                <w:b/>
              </w:rPr>
              <w:t>8</w:t>
            </w:r>
            <w:r>
              <w:rPr>
                <w:rFonts w:cs="Arial"/>
                <w:b/>
              </w:rPr>
              <w:t>,</w:t>
            </w:r>
            <w:r w:rsidRPr="00A80772">
              <w:rPr>
                <w:rFonts w:cs="Arial"/>
                <w:b/>
              </w:rPr>
              <w:t>601</w:t>
            </w:r>
          </w:p>
        </w:tc>
      </w:tr>
      <w:tr w:rsidR="00F974D5" w:rsidRPr="00CF1D8B" w14:paraId="0CDECC80" w14:textId="77777777" w:rsidTr="006337F8">
        <w:trPr>
          <w:trHeight w:val="276"/>
        </w:trPr>
        <w:tc>
          <w:tcPr>
            <w:tcW w:w="887" w:type="dxa"/>
            <w:tcBorders>
              <w:left w:val="single" w:sz="4" w:space="0" w:color="auto"/>
              <w:right w:val="single" w:sz="4" w:space="0" w:color="auto"/>
            </w:tcBorders>
            <w:noWrap/>
            <w:hideMark/>
          </w:tcPr>
          <w:p w14:paraId="314037D7" w14:textId="77777777" w:rsidR="00F974D5" w:rsidRPr="00A80772" w:rsidRDefault="00F974D5" w:rsidP="00CE2FDF">
            <w:pPr>
              <w:tabs>
                <w:tab w:val="left" w:pos="1134"/>
              </w:tabs>
              <w:spacing w:before="0" w:line="276" w:lineRule="auto"/>
              <w:rPr>
                <w:rFonts w:cs="Arial"/>
                <w:b/>
                <w:bCs/>
              </w:rPr>
            </w:pPr>
            <w:r w:rsidRPr="00A80772">
              <w:rPr>
                <w:rFonts w:cs="Arial"/>
                <w:b/>
              </w:rPr>
              <w:t>2009</w:t>
            </w:r>
          </w:p>
        </w:tc>
        <w:tc>
          <w:tcPr>
            <w:tcW w:w="1773" w:type="dxa"/>
            <w:tcBorders>
              <w:left w:val="single" w:sz="4" w:space="0" w:color="auto"/>
            </w:tcBorders>
          </w:tcPr>
          <w:p w14:paraId="07AB096D" w14:textId="77777777" w:rsidR="00F974D5" w:rsidRPr="00CF1D8B" w:rsidRDefault="00F974D5" w:rsidP="00CE2FDF">
            <w:pPr>
              <w:tabs>
                <w:tab w:val="left" w:pos="1134"/>
              </w:tabs>
              <w:spacing w:before="0" w:line="276" w:lineRule="auto"/>
              <w:jc w:val="right"/>
              <w:rPr>
                <w:rFonts w:cs="Arial"/>
              </w:rPr>
            </w:pPr>
            <w:r w:rsidRPr="00CF1D8B">
              <w:rPr>
                <w:rFonts w:cs="Arial"/>
              </w:rPr>
              <w:t>2</w:t>
            </w:r>
            <w:r>
              <w:rPr>
                <w:rFonts w:cs="Arial"/>
              </w:rPr>
              <w:t>,</w:t>
            </w:r>
            <w:r w:rsidRPr="00CF1D8B">
              <w:rPr>
                <w:rFonts w:cs="Arial"/>
              </w:rPr>
              <w:t>870</w:t>
            </w:r>
          </w:p>
        </w:tc>
        <w:tc>
          <w:tcPr>
            <w:tcW w:w="1276" w:type="dxa"/>
            <w:tcBorders>
              <w:right w:val="single" w:sz="4" w:space="0" w:color="auto"/>
            </w:tcBorders>
          </w:tcPr>
          <w:p w14:paraId="479557AA"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(70.7%)</w:t>
            </w:r>
          </w:p>
        </w:tc>
        <w:tc>
          <w:tcPr>
            <w:tcW w:w="1504" w:type="dxa"/>
          </w:tcPr>
          <w:p w14:paraId="4750F005" w14:textId="77777777" w:rsidR="00F974D5" w:rsidRPr="00CF1D8B" w:rsidRDefault="00F974D5" w:rsidP="00CE2FDF">
            <w:pPr>
              <w:tabs>
                <w:tab w:val="left" w:pos="1134"/>
              </w:tabs>
              <w:spacing w:before="0" w:line="276" w:lineRule="auto"/>
              <w:jc w:val="right"/>
              <w:rPr>
                <w:rFonts w:cs="Arial"/>
              </w:rPr>
            </w:pPr>
            <w:r w:rsidRPr="00CF1D8B">
              <w:rPr>
                <w:rFonts w:cs="Arial"/>
              </w:rPr>
              <w:t>1</w:t>
            </w:r>
            <w:r>
              <w:rPr>
                <w:rFonts w:cs="Arial"/>
              </w:rPr>
              <w:t>,</w:t>
            </w:r>
            <w:r w:rsidRPr="00CF1D8B">
              <w:rPr>
                <w:rFonts w:cs="Arial"/>
              </w:rPr>
              <w:t>187</w:t>
            </w:r>
          </w:p>
        </w:tc>
        <w:tc>
          <w:tcPr>
            <w:tcW w:w="1189" w:type="dxa"/>
          </w:tcPr>
          <w:p w14:paraId="0714D2CD"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(29.3%)</w:t>
            </w:r>
          </w:p>
        </w:tc>
        <w:tc>
          <w:tcPr>
            <w:tcW w:w="1701" w:type="dxa"/>
            <w:tcBorders>
              <w:left w:val="single" w:sz="4" w:space="0" w:color="auto"/>
            </w:tcBorders>
          </w:tcPr>
          <w:p w14:paraId="44E7B3ED" w14:textId="77777777" w:rsidR="00F974D5" w:rsidRPr="00CF1D8B" w:rsidRDefault="00F974D5" w:rsidP="00CE2FDF">
            <w:pPr>
              <w:tabs>
                <w:tab w:val="left" w:pos="1134"/>
              </w:tabs>
              <w:spacing w:before="0" w:line="276" w:lineRule="auto"/>
              <w:jc w:val="right"/>
              <w:rPr>
                <w:rFonts w:cs="Arial"/>
              </w:rPr>
            </w:pPr>
            <w:r w:rsidRPr="00CF1D8B">
              <w:rPr>
                <w:rFonts w:cs="Arial"/>
              </w:rPr>
              <w:t>678</w:t>
            </w:r>
          </w:p>
        </w:tc>
        <w:tc>
          <w:tcPr>
            <w:tcW w:w="1417" w:type="dxa"/>
            <w:tcBorders>
              <w:right w:val="single" w:sz="4" w:space="0" w:color="auto"/>
            </w:tcBorders>
          </w:tcPr>
          <w:p w14:paraId="07EE6072"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(16.7%)</w:t>
            </w:r>
          </w:p>
        </w:tc>
        <w:tc>
          <w:tcPr>
            <w:tcW w:w="1985" w:type="dxa"/>
          </w:tcPr>
          <w:p w14:paraId="5EF6A49E" w14:textId="77777777" w:rsidR="00F974D5" w:rsidRPr="00CF1D8B" w:rsidRDefault="00F974D5" w:rsidP="00CE2FDF">
            <w:pPr>
              <w:tabs>
                <w:tab w:val="left" w:pos="1134"/>
              </w:tabs>
              <w:spacing w:before="0" w:line="276" w:lineRule="auto"/>
              <w:jc w:val="right"/>
              <w:rPr>
                <w:rFonts w:cs="Arial"/>
              </w:rPr>
            </w:pPr>
            <w:r w:rsidRPr="00CF1D8B">
              <w:rPr>
                <w:rFonts w:cs="Arial"/>
              </w:rPr>
              <w:t>509</w:t>
            </w:r>
          </w:p>
        </w:tc>
        <w:tc>
          <w:tcPr>
            <w:tcW w:w="1559" w:type="dxa"/>
            <w:tcBorders>
              <w:right w:val="single" w:sz="4" w:space="0" w:color="auto"/>
            </w:tcBorders>
            <w:vAlign w:val="bottom"/>
          </w:tcPr>
          <w:p w14:paraId="37162BDF"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12.55%</w:t>
            </w:r>
            <w:r>
              <w:rPr>
                <w:rFonts w:ascii="Calibri" w:hAnsi="Calibri" w:cs="Arial"/>
              </w:rPr>
              <w:t>)</w:t>
            </w:r>
          </w:p>
        </w:tc>
        <w:tc>
          <w:tcPr>
            <w:tcW w:w="1418" w:type="dxa"/>
            <w:tcBorders>
              <w:left w:val="single" w:sz="4" w:space="0" w:color="auto"/>
              <w:right w:val="single" w:sz="4" w:space="0" w:color="auto"/>
            </w:tcBorders>
          </w:tcPr>
          <w:p w14:paraId="689DE81F" w14:textId="77777777" w:rsidR="00F974D5" w:rsidRPr="00A80772" w:rsidRDefault="00F974D5" w:rsidP="00CE2FDF">
            <w:pPr>
              <w:tabs>
                <w:tab w:val="left" w:pos="1134"/>
              </w:tabs>
              <w:spacing w:before="0" w:line="276" w:lineRule="auto"/>
              <w:jc w:val="right"/>
              <w:rPr>
                <w:rFonts w:cs="Arial"/>
                <w:b/>
              </w:rPr>
            </w:pPr>
            <w:r w:rsidRPr="00A80772">
              <w:rPr>
                <w:rFonts w:cs="Arial"/>
                <w:b/>
              </w:rPr>
              <w:t>4</w:t>
            </w:r>
            <w:r>
              <w:rPr>
                <w:rFonts w:cs="Arial"/>
                <w:b/>
              </w:rPr>
              <w:t>,</w:t>
            </w:r>
            <w:r w:rsidRPr="00A80772">
              <w:rPr>
                <w:rFonts w:cs="Arial"/>
                <w:b/>
              </w:rPr>
              <w:t>057</w:t>
            </w:r>
          </w:p>
        </w:tc>
      </w:tr>
      <w:tr w:rsidR="00F974D5" w:rsidRPr="00CF1D8B" w14:paraId="31D6E104" w14:textId="77777777" w:rsidTr="006337F8">
        <w:trPr>
          <w:trHeight w:val="276"/>
        </w:trPr>
        <w:tc>
          <w:tcPr>
            <w:tcW w:w="887" w:type="dxa"/>
            <w:tcBorders>
              <w:left w:val="single" w:sz="4" w:space="0" w:color="auto"/>
              <w:right w:val="single" w:sz="4" w:space="0" w:color="auto"/>
            </w:tcBorders>
            <w:shd w:val="clear" w:color="auto" w:fill="DAEEF3" w:themeFill="accent5" w:themeFillTint="33"/>
            <w:noWrap/>
            <w:hideMark/>
          </w:tcPr>
          <w:p w14:paraId="5A57F8CE" w14:textId="77777777" w:rsidR="00F974D5" w:rsidRPr="00A80772" w:rsidRDefault="00F974D5" w:rsidP="00CE2FDF">
            <w:pPr>
              <w:tabs>
                <w:tab w:val="left" w:pos="1134"/>
              </w:tabs>
              <w:spacing w:before="0" w:line="276" w:lineRule="auto"/>
              <w:rPr>
                <w:rFonts w:cs="Arial"/>
                <w:b/>
                <w:bCs/>
              </w:rPr>
            </w:pPr>
            <w:r w:rsidRPr="00A80772">
              <w:rPr>
                <w:rFonts w:cs="Arial"/>
                <w:b/>
              </w:rPr>
              <w:t>2010</w:t>
            </w:r>
          </w:p>
        </w:tc>
        <w:tc>
          <w:tcPr>
            <w:tcW w:w="1773" w:type="dxa"/>
            <w:tcBorders>
              <w:left w:val="single" w:sz="4" w:space="0" w:color="auto"/>
            </w:tcBorders>
            <w:shd w:val="clear" w:color="auto" w:fill="DAEEF3" w:themeFill="accent5" w:themeFillTint="33"/>
          </w:tcPr>
          <w:p w14:paraId="7BF0DA6A" w14:textId="77777777" w:rsidR="00F974D5" w:rsidRPr="00CF1D8B" w:rsidRDefault="00F974D5" w:rsidP="00CE2FDF">
            <w:pPr>
              <w:tabs>
                <w:tab w:val="left" w:pos="1134"/>
              </w:tabs>
              <w:spacing w:before="0" w:line="276" w:lineRule="auto"/>
              <w:jc w:val="right"/>
              <w:rPr>
                <w:rFonts w:cs="Arial"/>
              </w:rPr>
            </w:pPr>
            <w:r w:rsidRPr="00CF1D8B">
              <w:rPr>
                <w:rFonts w:cs="Arial"/>
              </w:rPr>
              <w:t>3</w:t>
            </w:r>
            <w:r>
              <w:rPr>
                <w:rFonts w:cs="Arial"/>
              </w:rPr>
              <w:t>,</w:t>
            </w:r>
            <w:r w:rsidRPr="00CF1D8B">
              <w:rPr>
                <w:rFonts w:cs="Arial"/>
              </w:rPr>
              <w:t>375</w:t>
            </w:r>
          </w:p>
        </w:tc>
        <w:tc>
          <w:tcPr>
            <w:tcW w:w="1276" w:type="dxa"/>
            <w:tcBorders>
              <w:right w:val="single" w:sz="4" w:space="0" w:color="auto"/>
            </w:tcBorders>
            <w:shd w:val="clear" w:color="auto" w:fill="DAEEF3" w:themeFill="accent5" w:themeFillTint="33"/>
          </w:tcPr>
          <w:p w14:paraId="61F7FDB5"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(70.7%)</w:t>
            </w:r>
          </w:p>
        </w:tc>
        <w:tc>
          <w:tcPr>
            <w:tcW w:w="1504" w:type="dxa"/>
            <w:tcBorders>
              <w:right w:val="nil"/>
            </w:tcBorders>
            <w:shd w:val="clear" w:color="auto" w:fill="DAEEF3" w:themeFill="accent5" w:themeFillTint="33"/>
          </w:tcPr>
          <w:p w14:paraId="01CCE37F" w14:textId="77777777" w:rsidR="00F974D5" w:rsidRPr="00CF1D8B" w:rsidRDefault="00F974D5" w:rsidP="00CE2FDF">
            <w:pPr>
              <w:tabs>
                <w:tab w:val="left" w:pos="1134"/>
              </w:tabs>
              <w:spacing w:before="0" w:line="276" w:lineRule="auto"/>
              <w:jc w:val="right"/>
              <w:rPr>
                <w:rFonts w:cs="Arial"/>
              </w:rPr>
            </w:pPr>
            <w:r w:rsidRPr="00CF1D8B">
              <w:rPr>
                <w:rFonts w:cs="Arial"/>
              </w:rPr>
              <w:t>1</w:t>
            </w:r>
            <w:r>
              <w:rPr>
                <w:rFonts w:cs="Arial"/>
              </w:rPr>
              <w:t>,</w:t>
            </w:r>
            <w:r w:rsidRPr="00CF1D8B">
              <w:rPr>
                <w:rFonts w:cs="Arial"/>
              </w:rPr>
              <w:t>400</w:t>
            </w:r>
          </w:p>
        </w:tc>
        <w:tc>
          <w:tcPr>
            <w:tcW w:w="1189" w:type="dxa"/>
            <w:tcBorders>
              <w:left w:val="nil"/>
            </w:tcBorders>
            <w:shd w:val="clear" w:color="auto" w:fill="DAEEF3" w:themeFill="accent5" w:themeFillTint="33"/>
          </w:tcPr>
          <w:p w14:paraId="2C403157"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(29.3%)</w:t>
            </w:r>
          </w:p>
        </w:tc>
        <w:tc>
          <w:tcPr>
            <w:tcW w:w="1701" w:type="dxa"/>
            <w:tcBorders>
              <w:left w:val="single" w:sz="4" w:space="0" w:color="auto"/>
            </w:tcBorders>
            <w:shd w:val="clear" w:color="auto" w:fill="DAEEF3" w:themeFill="accent5" w:themeFillTint="33"/>
          </w:tcPr>
          <w:p w14:paraId="35B1A4E9" w14:textId="77777777" w:rsidR="00F974D5" w:rsidRPr="00CF1D8B" w:rsidRDefault="00F974D5" w:rsidP="00CE2FDF">
            <w:pPr>
              <w:tabs>
                <w:tab w:val="left" w:pos="1134"/>
              </w:tabs>
              <w:spacing w:before="0" w:line="276" w:lineRule="auto"/>
              <w:jc w:val="right"/>
              <w:rPr>
                <w:rFonts w:cs="Arial"/>
              </w:rPr>
            </w:pPr>
            <w:r w:rsidRPr="00CF1D8B">
              <w:rPr>
                <w:rFonts w:cs="Arial"/>
              </w:rPr>
              <w:t>839</w:t>
            </w:r>
          </w:p>
        </w:tc>
        <w:tc>
          <w:tcPr>
            <w:tcW w:w="1417" w:type="dxa"/>
            <w:tcBorders>
              <w:right w:val="single" w:sz="4" w:space="0" w:color="auto"/>
            </w:tcBorders>
            <w:shd w:val="clear" w:color="auto" w:fill="DAEEF3" w:themeFill="accent5" w:themeFillTint="33"/>
          </w:tcPr>
          <w:p w14:paraId="7B104200"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(17.6%)</w:t>
            </w:r>
          </w:p>
        </w:tc>
        <w:tc>
          <w:tcPr>
            <w:tcW w:w="1985" w:type="dxa"/>
            <w:shd w:val="clear" w:color="auto" w:fill="DAEEF3" w:themeFill="accent5" w:themeFillTint="33"/>
          </w:tcPr>
          <w:p w14:paraId="39C10584" w14:textId="77777777" w:rsidR="00F974D5" w:rsidRPr="00CF1D8B" w:rsidRDefault="00F974D5" w:rsidP="00CE2FDF">
            <w:pPr>
              <w:tabs>
                <w:tab w:val="left" w:pos="1134"/>
              </w:tabs>
              <w:spacing w:before="0" w:line="276" w:lineRule="auto"/>
              <w:jc w:val="right"/>
              <w:rPr>
                <w:rFonts w:cs="Arial"/>
              </w:rPr>
            </w:pPr>
            <w:r w:rsidRPr="00CF1D8B">
              <w:rPr>
                <w:rFonts w:cs="Arial"/>
              </w:rPr>
              <w:t>561</w:t>
            </w:r>
          </w:p>
        </w:tc>
        <w:tc>
          <w:tcPr>
            <w:tcW w:w="1559" w:type="dxa"/>
            <w:tcBorders>
              <w:right w:val="single" w:sz="4" w:space="0" w:color="auto"/>
            </w:tcBorders>
            <w:shd w:val="clear" w:color="auto" w:fill="DAEEF3" w:themeFill="accent5" w:themeFillTint="33"/>
            <w:vAlign w:val="bottom"/>
          </w:tcPr>
          <w:p w14:paraId="3CFD7B2F"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11.75%</w:t>
            </w:r>
            <w:r>
              <w:rPr>
                <w:rFonts w:ascii="Calibri" w:hAnsi="Calibri" w:cs="Arial"/>
              </w:rPr>
              <w:t>)</w:t>
            </w:r>
          </w:p>
        </w:tc>
        <w:tc>
          <w:tcPr>
            <w:tcW w:w="1418" w:type="dxa"/>
            <w:tcBorders>
              <w:left w:val="single" w:sz="4" w:space="0" w:color="auto"/>
              <w:right w:val="single" w:sz="4" w:space="0" w:color="auto"/>
            </w:tcBorders>
            <w:shd w:val="clear" w:color="auto" w:fill="DAEEF3" w:themeFill="accent5" w:themeFillTint="33"/>
          </w:tcPr>
          <w:p w14:paraId="636B98EE" w14:textId="77777777" w:rsidR="00F974D5" w:rsidRPr="00A80772" w:rsidRDefault="00F974D5" w:rsidP="00CE2FDF">
            <w:pPr>
              <w:tabs>
                <w:tab w:val="left" w:pos="1134"/>
              </w:tabs>
              <w:spacing w:before="0" w:line="276" w:lineRule="auto"/>
              <w:jc w:val="right"/>
              <w:rPr>
                <w:rFonts w:cs="Arial"/>
                <w:b/>
              </w:rPr>
            </w:pPr>
            <w:r w:rsidRPr="00A80772">
              <w:rPr>
                <w:rFonts w:cs="Arial"/>
                <w:b/>
              </w:rPr>
              <w:t>4</w:t>
            </w:r>
            <w:r>
              <w:rPr>
                <w:rFonts w:cs="Arial"/>
                <w:b/>
              </w:rPr>
              <w:t>,</w:t>
            </w:r>
            <w:r w:rsidRPr="00A80772">
              <w:rPr>
                <w:rFonts w:cs="Arial"/>
                <w:b/>
              </w:rPr>
              <w:t>775</w:t>
            </w:r>
          </w:p>
        </w:tc>
      </w:tr>
      <w:tr w:rsidR="00F974D5" w:rsidRPr="00CF1D8B" w14:paraId="135B16F2" w14:textId="77777777" w:rsidTr="006337F8">
        <w:trPr>
          <w:trHeight w:val="276"/>
        </w:trPr>
        <w:tc>
          <w:tcPr>
            <w:tcW w:w="887" w:type="dxa"/>
            <w:tcBorders>
              <w:left w:val="single" w:sz="4" w:space="0" w:color="auto"/>
              <w:right w:val="single" w:sz="4" w:space="0" w:color="auto"/>
            </w:tcBorders>
            <w:noWrap/>
            <w:hideMark/>
          </w:tcPr>
          <w:p w14:paraId="1B832847" w14:textId="77777777" w:rsidR="00F974D5" w:rsidRPr="00A80772" w:rsidRDefault="00F974D5" w:rsidP="00CE2FDF">
            <w:pPr>
              <w:tabs>
                <w:tab w:val="left" w:pos="1134"/>
              </w:tabs>
              <w:spacing w:before="0" w:line="276" w:lineRule="auto"/>
              <w:rPr>
                <w:rFonts w:cs="Arial"/>
                <w:b/>
                <w:bCs/>
              </w:rPr>
            </w:pPr>
            <w:r w:rsidRPr="00A80772">
              <w:rPr>
                <w:rFonts w:cs="Arial"/>
                <w:b/>
              </w:rPr>
              <w:t>2011</w:t>
            </w:r>
          </w:p>
        </w:tc>
        <w:tc>
          <w:tcPr>
            <w:tcW w:w="1773" w:type="dxa"/>
            <w:tcBorders>
              <w:left w:val="single" w:sz="4" w:space="0" w:color="auto"/>
            </w:tcBorders>
          </w:tcPr>
          <w:p w14:paraId="11ACECC2" w14:textId="77777777" w:rsidR="00F974D5" w:rsidRPr="00CF1D8B" w:rsidRDefault="00F974D5" w:rsidP="00CE2FDF">
            <w:pPr>
              <w:tabs>
                <w:tab w:val="left" w:pos="1134"/>
              </w:tabs>
              <w:spacing w:before="0" w:line="276" w:lineRule="auto"/>
              <w:jc w:val="right"/>
              <w:rPr>
                <w:rFonts w:cs="Arial"/>
              </w:rPr>
            </w:pPr>
            <w:r w:rsidRPr="00CF1D8B">
              <w:rPr>
                <w:rFonts w:cs="Arial"/>
              </w:rPr>
              <w:t>4</w:t>
            </w:r>
            <w:r>
              <w:rPr>
                <w:rFonts w:cs="Arial"/>
              </w:rPr>
              <w:t>,</w:t>
            </w:r>
            <w:r w:rsidRPr="00CF1D8B">
              <w:rPr>
                <w:rFonts w:cs="Arial"/>
              </w:rPr>
              <w:t>025</w:t>
            </w:r>
          </w:p>
        </w:tc>
        <w:tc>
          <w:tcPr>
            <w:tcW w:w="1276" w:type="dxa"/>
            <w:tcBorders>
              <w:right w:val="single" w:sz="4" w:space="0" w:color="auto"/>
            </w:tcBorders>
          </w:tcPr>
          <w:p w14:paraId="32039476"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(70.9%)</w:t>
            </w:r>
          </w:p>
        </w:tc>
        <w:tc>
          <w:tcPr>
            <w:tcW w:w="1504" w:type="dxa"/>
          </w:tcPr>
          <w:p w14:paraId="4E633F5E" w14:textId="77777777" w:rsidR="00F974D5" w:rsidRPr="00CF1D8B" w:rsidRDefault="00F974D5" w:rsidP="00CE2FDF">
            <w:pPr>
              <w:tabs>
                <w:tab w:val="left" w:pos="1134"/>
              </w:tabs>
              <w:spacing w:before="0" w:line="276" w:lineRule="auto"/>
              <w:jc w:val="right"/>
              <w:rPr>
                <w:rFonts w:cs="Arial"/>
              </w:rPr>
            </w:pPr>
            <w:r w:rsidRPr="00CF1D8B">
              <w:rPr>
                <w:rFonts w:cs="Arial"/>
              </w:rPr>
              <w:t>1</w:t>
            </w:r>
            <w:r>
              <w:rPr>
                <w:rFonts w:cs="Arial"/>
              </w:rPr>
              <w:t>,</w:t>
            </w:r>
            <w:r w:rsidRPr="00CF1D8B">
              <w:rPr>
                <w:rFonts w:cs="Arial"/>
              </w:rPr>
              <w:t>650</w:t>
            </w:r>
          </w:p>
        </w:tc>
        <w:tc>
          <w:tcPr>
            <w:tcW w:w="1189" w:type="dxa"/>
          </w:tcPr>
          <w:p w14:paraId="5082E472"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(29.1%)</w:t>
            </w:r>
          </w:p>
        </w:tc>
        <w:tc>
          <w:tcPr>
            <w:tcW w:w="1701" w:type="dxa"/>
            <w:tcBorders>
              <w:left w:val="single" w:sz="4" w:space="0" w:color="auto"/>
            </w:tcBorders>
          </w:tcPr>
          <w:p w14:paraId="4882C773" w14:textId="77777777" w:rsidR="00F974D5" w:rsidRPr="00CF1D8B" w:rsidRDefault="00F974D5" w:rsidP="00CE2FDF">
            <w:pPr>
              <w:tabs>
                <w:tab w:val="left" w:pos="1134"/>
              </w:tabs>
              <w:spacing w:before="0" w:line="276" w:lineRule="auto"/>
              <w:jc w:val="right"/>
              <w:rPr>
                <w:rFonts w:cs="Arial"/>
              </w:rPr>
            </w:pPr>
            <w:r w:rsidRPr="00CF1D8B">
              <w:rPr>
                <w:rFonts w:cs="Arial"/>
              </w:rPr>
              <w:t>1</w:t>
            </w:r>
            <w:r>
              <w:rPr>
                <w:rFonts w:cs="Arial"/>
              </w:rPr>
              <w:t>,</w:t>
            </w:r>
            <w:r w:rsidRPr="00CF1D8B">
              <w:rPr>
                <w:rFonts w:cs="Arial"/>
              </w:rPr>
              <w:t>064</w:t>
            </w:r>
          </w:p>
        </w:tc>
        <w:tc>
          <w:tcPr>
            <w:tcW w:w="1417" w:type="dxa"/>
            <w:tcBorders>
              <w:right w:val="single" w:sz="4" w:space="0" w:color="auto"/>
            </w:tcBorders>
          </w:tcPr>
          <w:p w14:paraId="5C2A5F0B"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(18.7%)</w:t>
            </w:r>
          </w:p>
        </w:tc>
        <w:tc>
          <w:tcPr>
            <w:tcW w:w="1985" w:type="dxa"/>
          </w:tcPr>
          <w:p w14:paraId="608D01C9" w14:textId="77777777" w:rsidR="00F974D5" w:rsidRPr="00CF1D8B" w:rsidRDefault="00F974D5" w:rsidP="00CE2FDF">
            <w:pPr>
              <w:tabs>
                <w:tab w:val="left" w:pos="1134"/>
              </w:tabs>
              <w:spacing w:before="0" w:line="276" w:lineRule="auto"/>
              <w:jc w:val="right"/>
              <w:rPr>
                <w:rFonts w:cs="Arial"/>
              </w:rPr>
            </w:pPr>
            <w:r w:rsidRPr="00CF1D8B">
              <w:rPr>
                <w:rFonts w:cs="Arial"/>
              </w:rPr>
              <w:t>586</w:t>
            </w:r>
          </w:p>
        </w:tc>
        <w:tc>
          <w:tcPr>
            <w:tcW w:w="1559" w:type="dxa"/>
            <w:tcBorders>
              <w:right w:val="single" w:sz="4" w:space="0" w:color="auto"/>
            </w:tcBorders>
            <w:vAlign w:val="bottom"/>
          </w:tcPr>
          <w:p w14:paraId="1C8A5F3A"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10.33%</w:t>
            </w:r>
            <w:r>
              <w:rPr>
                <w:rFonts w:ascii="Calibri" w:hAnsi="Calibri" w:cs="Arial"/>
              </w:rPr>
              <w:t>)</w:t>
            </w:r>
          </w:p>
        </w:tc>
        <w:tc>
          <w:tcPr>
            <w:tcW w:w="1418" w:type="dxa"/>
            <w:tcBorders>
              <w:left w:val="single" w:sz="4" w:space="0" w:color="auto"/>
              <w:right w:val="single" w:sz="4" w:space="0" w:color="auto"/>
            </w:tcBorders>
          </w:tcPr>
          <w:p w14:paraId="0373FA6F" w14:textId="77777777" w:rsidR="00F974D5" w:rsidRPr="00A80772" w:rsidRDefault="00F974D5" w:rsidP="00CE2FDF">
            <w:pPr>
              <w:tabs>
                <w:tab w:val="left" w:pos="1134"/>
              </w:tabs>
              <w:spacing w:before="0" w:line="276" w:lineRule="auto"/>
              <w:jc w:val="right"/>
              <w:rPr>
                <w:rFonts w:cs="Arial"/>
                <w:b/>
              </w:rPr>
            </w:pPr>
            <w:r w:rsidRPr="00A80772">
              <w:rPr>
                <w:rFonts w:cs="Arial"/>
                <w:b/>
              </w:rPr>
              <w:t>5</w:t>
            </w:r>
            <w:r>
              <w:rPr>
                <w:rFonts w:cs="Arial"/>
                <w:b/>
              </w:rPr>
              <w:t>,</w:t>
            </w:r>
            <w:r w:rsidRPr="00A80772">
              <w:rPr>
                <w:rFonts w:cs="Arial"/>
                <w:b/>
              </w:rPr>
              <w:t>675</w:t>
            </w:r>
          </w:p>
        </w:tc>
      </w:tr>
      <w:tr w:rsidR="00F974D5" w:rsidRPr="00CF1D8B" w14:paraId="1262132F" w14:textId="77777777" w:rsidTr="006337F8">
        <w:trPr>
          <w:trHeight w:val="276"/>
        </w:trPr>
        <w:tc>
          <w:tcPr>
            <w:tcW w:w="887" w:type="dxa"/>
            <w:tcBorders>
              <w:left w:val="single" w:sz="4" w:space="0" w:color="auto"/>
              <w:bottom w:val="single" w:sz="4" w:space="0" w:color="auto"/>
              <w:right w:val="single" w:sz="4" w:space="0" w:color="auto"/>
            </w:tcBorders>
            <w:shd w:val="clear" w:color="auto" w:fill="DAEEF3" w:themeFill="accent5" w:themeFillTint="33"/>
            <w:noWrap/>
            <w:hideMark/>
          </w:tcPr>
          <w:p w14:paraId="288BF23F" w14:textId="77777777" w:rsidR="00F974D5" w:rsidRPr="00A80772" w:rsidRDefault="00F974D5" w:rsidP="00CE2FDF">
            <w:pPr>
              <w:tabs>
                <w:tab w:val="left" w:pos="1134"/>
              </w:tabs>
              <w:spacing w:before="0" w:line="276" w:lineRule="auto"/>
              <w:rPr>
                <w:rFonts w:cs="Arial"/>
                <w:b/>
                <w:bCs/>
              </w:rPr>
            </w:pPr>
            <w:r w:rsidRPr="00A80772">
              <w:rPr>
                <w:rFonts w:cs="Arial"/>
                <w:b/>
              </w:rPr>
              <w:t>2012</w:t>
            </w:r>
          </w:p>
        </w:tc>
        <w:tc>
          <w:tcPr>
            <w:tcW w:w="1773" w:type="dxa"/>
            <w:tcBorders>
              <w:left w:val="single" w:sz="4" w:space="0" w:color="auto"/>
              <w:bottom w:val="single" w:sz="4" w:space="0" w:color="auto"/>
            </w:tcBorders>
            <w:shd w:val="clear" w:color="auto" w:fill="DAEEF3" w:themeFill="accent5" w:themeFillTint="33"/>
          </w:tcPr>
          <w:p w14:paraId="1BD9146F" w14:textId="77777777" w:rsidR="00F974D5" w:rsidRPr="00CF1D8B" w:rsidRDefault="00F974D5" w:rsidP="00CE2FDF">
            <w:pPr>
              <w:tabs>
                <w:tab w:val="left" w:pos="1134"/>
              </w:tabs>
              <w:spacing w:before="0" w:line="276" w:lineRule="auto"/>
              <w:jc w:val="right"/>
              <w:rPr>
                <w:rFonts w:cs="Arial"/>
              </w:rPr>
            </w:pPr>
            <w:r w:rsidRPr="00CF1D8B">
              <w:rPr>
                <w:rFonts w:cs="Arial"/>
              </w:rPr>
              <w:t>3</w:t>
            </w:r>
            <w:r>
              <w:rPr>
                <w:rFonts w:cs="Arial"/>
              </w:rPr>
              <w:t>,</w:t>
            </w:r>
            <w:r w:rsidRPr="00CF1D8B">
              <w:rPr>
                <w:rFonts w:cs="Arial"/>
              </w:rPr>
              <w:t>553</w:t>
            </w:r>
          </w:p>
        </w:tc>
        <w:tc>
          <w:tcPr>
            <w:tcW w:w="1276" w:type="dxa"/>
            <w:tcBorders>
              <w:bottom w:val="single" w:sz="4" w:space="0" w:color="auto"/>
              <w:right w:val="single" w:sz="4" w:space="0" w:color="auto"/>
            </w:tcBorders>
            <w:shd w:val="clear" w:color="auto" w:fill="DAEEF3" w:themeFill="accent5" w:themeFillTint="33"/>
          </w:tcPr>
          <w:p w14:paraId="71F1ACFB"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(72.5%)</w:t>
            </w:r>
          </w:p>
        </w:tc>
        <w:tc>
          <w:tcPr>
            <w:tcW w:w="1504" w:type="dxa"/>
            <w:tcBorders>
              <w:bottom w:val="single" w:sz="4" w:space="0" w:color="auto"/>
              <w:right w:val="nil"/>
            </w:tcBorders>
            <w:shd w:val="clear" w:color="auto" w:fill="DAEEF3" w:themeFill="accent5" w:themeFillTint="33"/>
          </w:tcPr>
          <w:p w14:paraId="5F85FE09" w14:textId="77777777" w:rsidR="00F974D5" w:rsidRPr="00CF1D8B" w:rsidRDefault="00F974D5" w:rsidP="00CE2FDF">
            <w:pPr>
              <w:tabs>
                <w:tab w:val="left" w:pos="1134"/>
              </w:tabs>
              <w:spacing w:before="0" w:line="276" w:lineRule="auto"/>
              <w:jc w:val="right"/>
              <w:rPr>
                <w:rFonts w:cs="Arial"/>
              </w:rPr>
            </w:pPr>
            <w:r w:rsidRPr="00CF1D8B">
              <w:rPr>
                <w:rFonts w:cs="Arial"/>
              </w:rPr>
              <w:t>1</w:t>
            </w:r>
            <w:r>
              <w:rPr>
                <w:rFonts w:cs="Arial"/>
              </w:rPr>
              <w:t>,</w:t>
            </w:r>
            <w:r w:rsidRPr="00CF1D8B">
              <w:rPr>
                <w:rFonts w:cs="Arial"/>
              </w:rPr>
              <w:t>349</w:t>
            </w:r>
          </w:p>
        </w:tc>
        <w:tc>
          <w:tcPr>
            <w:tcW w:w="1189" w:type="dxa"/>
            <w:tcBorders>
              <w:left w:val="nil"/>
              <w:bottom w:val="single" w:sz="4" w:space="0" w:color="auto"/>
            </w:tcBorders>
            <w:shd w:val="clear" w:color="auto" w:fill="DAEEF3" w:themeFill="accent5" w:themeFillTint="33"/>
          </w:tcPr>
          <w:p w14:paraId="326F8BFE"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(27.5%)</w:t>
            </w:r>
          </w:p>
        </w:tc>
        <w:tc>
          <w:tcPr>
            <w:tcW w:w="1701" w:type="dxa"/>
            <w:tcBorders>
              <w:left w:val="single" w:sz="4" w:space="0" w:color="auto"/>
              <w:bottom w:val="single" w:sz="4" w:space="0" w:color="auto"/>
            </w:tcBorders>
            <w:shd w:val="clear" w:color="auto" w:fill="DAEEF3" w:themeFill="accent5" w:themeFillTint="33"/>
          </w:tcPr>
          <w:p w14:paraId="7C5A5840" w14:textId="77777777" w:rsidR="00F974D5" w:rsidRPr="00CF1D8B" w:rsidRDefault="00F974D5" w:rsidP="00CE2FDF">
            <w:pPr>
              <w:tabs>
                <w:tab w:val="left" w:pos="1134"/>
              </w:tabs>
              <w:spacing w:before="0" w:line="276" w:lineRule="auto"/>
              <w:jc w:val="right"/>
              <w:rPr>
                <w:rFonts w:cs="Arial"/>
              </w:rPr>
            </w:pPr>
            <w:r w:rsidRPr="00CF1D8B">
              <w:rPr>
                <w:rFonts w:cs="Arial"/>
              </w:rPr>
              <w:t>883</w:t>
            </w:r>
          </w:p>
        </w:tc>
        <w:tc>
          <w:tcPr>
            <w:tcW w:w="1417" w:type="dxa"/>
            <w:tcBorders>
              <w:bottom w:val="single" w:sz="4" w:space="0" w:color="auto"/>
              <w:right w:val="single" w:sz="4" w:space="0" w:color="auto"/>
            </w:tcBorders>
            <w:shd w:val="clear" w:color="auto" w:fill="DAEEF3" w:themeFill="accent5" w:themeFillTint="33"/>
          </w:tcPr>
          <w:p w14:paraId="30F88C4E" w14:textId="77777777" w:rsidR="00F974D5" w:rsidRPr="00CF1D8B" w:rsidRDefault="00F974D5" w:rsidP="00CE2FDF">
            <w:pPr>
              <w:tabs>
                <w:tab w:val="left" w:pos="1134"/>
              </w:tabs>
              <w:spacing w:before="0" w:line="276" w:lineRule="auto"/>
              <w:jc w:val="right"/>
              <w:rPr>
                <w:rFonts w:cs="Arial"/>
                <w:color w:val="000000"/>
              </w:rPr>
            </w:pPr>
            <w:r w:rsidRPr="00CF1D8B">
              <w:rPr>
                <w:rFonts w:cs="Arial"/>
                <w:color w:val="000000"/>
              </w:rPr>
              <w:t>(18.0%)</w:t>
            </w:r>
          </w:p>
        </w:tc>
        <w:tc>
          <w:tcPr>
            <w:tcW w:w="1985" w:type="dxa"/>
            <w:tcBorders>
              <w:bottom w:val="single" w:sz="4" w:space="0" w:color="auto"/>
            </w:tcBorders>
            <w:shd w:val="clear" w:color="auto" w:fill="DAEEF3" w:themeFill="accent5" w:themeFillTint="33"/>
          </w:tcPr>
          <w:p w14:paraId="4A2B6C52" w14:textId="77777777" w:rsidR="00F974D5" w:rsidRPr="00CF1D8B" w:rsidRDefault="00F974D5" w:rsidP="00CE2FDF">
            <w:pPr>
              <w:tabs>
                <w:tab w:val="left" w:pos="1134"/>
              </w:tabs>
              <w:spacing w:before="0" w:line="276" w:lineRule="auto"/>
              <w:jc w:val="right"/>
              <w:rPr>
                <w:rFonts w:cs="Arial"/>
              </w:rPr>
            </w:pPr>
            <w:r w:rsidRPr="00CF1D8B">
              <w:rPr>
                <w:rFonts w:cs="Arial"/>
              </w:rPr>
              <w:t>466</w:t>
            </w:r>
          </w:p>
        </w:tc>
        <w:tc>
          <w:tcPr>
            <w:tcW w:w="1559" w:type="dxa"/>
            <w:tcBorders>
              <w:bottom w:val="single" w:sz="4" w:space="0" w:color="auto"/>
              <w:right w:val="single" w:sz="4" w:space="0" w:color="auto"/>
            </w:tcBorders>
            <w:shd w:val="clear" w:color="auto" w:fill="DAEEF3" w:themeFill="accent5" w:themeFillTint="33"/>
            <w:vAlign w:val="bottom"/>
          </w:tcPr>
          <w:p w14:paraId="7EE75369"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9.51%</w:t>
            </w:r>
            <w:r>
              <w:rPr>
                <w:rFonts w:ascii="Calibri" w:hAnsi="Calibri" w:cs="Arial"/>
              </w:rPr>
              <w:t>)</w:t>
            </w:r>
          </w:p>
        </w:tc>
        <w:tc>
          <w:tcPr>
            <w:tcW w:w="1418" w:type="dxa"/>
            <w:tcBorders>
              <w:left w:val="single" w:sz="4" w:space="0" w:color="auto"/>
              <w:bottom w:val="single" w:sz="4" w:space="0" w:color="auto"/>
              <w:right w:val="single" w:sz="4" w:space="0" w:color="auto"/>
            </w:tcBorders>
            <w:shd w:val="clear" w:color="auto" w:fill="DAEEF3" w:themeFill="accent5" w:themeFillTint="33"/>
          </w:tcPr>
          <w:p w14:paraId="0B77EA3E" w14:textId="77777777" w:rsidR="00F974D5" w:rsidRPr="00A80772" w:rsidRDefault="00F974D5" w:rsidP="00CE2FDF">
            <w:pPr>
              <w:tabs>
                <w:tab w:val="left" w:pos="1134"/>
              </w:tabs>
              <w:spacing w:before="0" w:line="276" w:lineRule="auto"/>
              <w:jc w:val="right"/>
              <w:rPr>
                <w:rFonts w:cs="Arial"/>
                <w:b/>
              </w:rPr>
            </w:pPr>
            <w:r w:rsidRPr="00A80772">
              <w:rPr>
                <w:rFonts w:cs="Arial"/>
                <w:b/>
              </w:rPr>
              <w:t>4</w:t>
            </w:r>
            <w:r>
              <w:rPr>
                <w:rFonts w:cs="Arial"/>
                <w:b/>
              </w:rPr>
              <w:t>,</w:t>
            </w:r>
            <w:r w:rsidRPr="00A80772">
              <w:rPr>
                <w:rFonts w:cs="Arial"/>
                <w:b/>
              </w:rPr>
              <w:t>902</w:t>
            </w:r>
          </w:p>
        </w:tc>
      </w:tr>
      <w:tr w:rsidR="00F974D5" w:rsidRPr="00A80772" w14:paraId="2B362493" w14:textId="77777777" w:rsidTr="006337F8">
        <w:trPr>
          <w:trHeight w:val="276"/>
        </w:trPr>
        <w:tc>
          <w:tcPr>
            <w:tcW w:w="88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5786B090" w14:textId="77777777" w:rsidR="00F974D5" w:rsidRPr="00A80772" w:rsidRDefault="00F974D5" w:rsidP="00CE2FDF">
            <w:pPr>
              <w:tabs>
                <w:tab w:val="left" w:pos="1134"/>
              </w:tabs>
              <w:spacing w:before="0" w:line="276" w:lineRule="auto"/>
              <w:rPr>
                <w:rFonts w:cs="Arial"/>
                <w:b/>
                <w:bCs/>
              </w:rPr>
            </w:pPr>
            <w:r w:rsidRPr="00A80772">
              <w:rPr>
                <w:rFonts w:cs="Arial"/>
                <w:b/>
              </w:rPr>
              <w:t>Totals:</w:t>
            </w:r>
          </w:p>
        </w:tc>
        <w:tc>
          <w:tcPr>
            <w:tcW w:w="1773" w:type="dxa"/>
            <w:tcBorders>
              <w:top w:val="single" w:sz="4" w:space="0" w:color="auto"/>
              <w:left w:val="single" w:sz="4" w:space="0" w:color="auto"/>
              <w:bottom w:val="single" w:sz="4" w:space="0" w:color="auto"/>
            </w:tcBorders>
            <w:shd w:val="clear" w:color="auto" w:fill="B6DDE8" w:themeFill="accent5" w:themeFillTint="66"/>
          </w:tcPr>
          <w:p w14:paraId="653070E2" w14:textId="77777777" w:rsidR="00F974D5" w:rsidRPr="00A80772" w:rsidRDefault="00982808" w:rsidP="00CE2FDF">
            <w:pPr>
              <w:tabs>
                <w:tab w:val="left" w:pos="1134"/>
              </w:tabs>
              <w:spacing w:before="0" w:line="276" w:lineRule="auto"/>
              <w:jc w:val="right"/>
              <w:rPr>
                <w:rFonts w:cs="Arial"/>
                <w:b/>
              </w:rPr>
            </w:pPr>
            <w:r w:rsidRPr="00A80772">
              <w:rPr>
                <w:rFonts w:cs="Arial"/>
                <w:b/>
              </w:rPr>
              <w:fldChar w:fldCharType="begin"/>
            </w:r>
            <w:r w:rsidR="00F974D5" w:rsidRPr="00A80772">
              <w:rPr>
                <w:rFonts w:cs="Arial"/>
                <w:b/>
              </w:rPr>
              <w:instrText xml:space="preserve"> =SUM(ABOVE) </w:instrText>
            </w:r>
            <w:r w:rsidRPr="00A80772">
              <w:rPr>
                <w:rFonts w:cs="Arial"/>
                <w:b/>
              </w:rPr>
              <w:fldChar w:fldCharType="separate"/>
            </w:r>
            <w:r w:rsidR="00F974D5" w:rsidRPr="00A80772">
              <w:rPr>
                <w:rFonts w:cs="Arial"/>
                <w:b/>
                <w:noProof/>
              </w:rPr>
              <w:t>66</w:t>
            </w:r>
            <w:r w:rsidR="00F974D5">
              <w:rPr>
                <w:rFonts w:cs="Arial"/>
                <w:b/>
                <w:noProof/>
              </w:rPr>
              <w:t>,</w:t>
            </w:r>
            <w:r w:rsidR="00F974D5" w:rsidRPr="00A80772">
              <w:rPr>
                <w:rFonts w:cs="Arial"/>
                <w:b/>
                <w:noProof/>
              </w:rPr>
              <w:t>414</w:t>
            </w:r>
            <w:r w:rsidRPr="00A80772">
              <w:rPr>
                <w:rFonts w:cs="Arial"/>
                <w:b/>
              </w:rPr>
              <w:fldChar w:fldCharType="end"/>
            </w:r>
          </w:p>
        </w:tc>
        <w:tc>
          <w:tcPr>
            <w:tcW w:w="1276" w:type="dxa"/>
            <w:tcBorders>
              <w:top w:val="single" w:sz="4" w:space="0" w:color="auto"/>
              <w:bottom w:val="single" w:sz="4" w:space="0" w:color="auto"/>
              <w:right w:val="single" w:sz="4" w:space="0" w:color="auto"/>
            </w:tcBorders>
            <w:shd w:val="clear" w:color="auto" w:fill="B6DDE8" w:themeFill="accent5" w:themeFillTint="66"/>
          </w:tcPr>
          <w:p w14:paraId="0E676F83" w14:textId="77777777" w:rsidR="00F974D5" w:rsidRPr="00A80772" w:rsidRDefault="00F974D5" w:rsidP="00CE2FDF">
            <w:pPr>
              <w:tabs>
                <w:tab w:val="left" w:pos="1134"/>
              </w:tabs>
              <w:spacing w:before="0" w:line="276" w:lineRule="auto"/>
              <w:jc w:val="right"/>
              <w:rPr>
                <w:rFonts w:cs="Arial"/>
                <w:b/>
              </w:rPr>
            </w:pPr>
            <w:r w:rsidRPr="00A80772">
              <w:rPr>
                <w:rFonts w:cs="Arial"/>
                <w:b/>
                <w:color w:val="000000"/>
              </w:rPr>
              <w:t>(76.0%)</w:t>
            </w:r>
          </w:p>
        </w:tc>
        <w:tc>
          <w:tcPr>
            <w:tcW w:w="1504" w:type="dxa"/>
            <w:tcBorders>
              <w:top w:val="single" w:sz="4" w:space="0" w:color="auto"/>
              <w:bottom w:val="single" w:sz="4" w:space="0" w:color="auto"/>
            </w:tcBorders>
            <w:shd w:val="clear" w:color="auto" w:fill="B6DDE8" w:themeFill="accent5" w:themeFillTint="66"/>
          </w:tcPr>
          <w:p w14:paraId="312DAD29" w14:textId="77777777" w:rsidR="00F974D5" w:rsidRPr="00A80772" w:rsidRDefault="00982808" w:rsidP="00CE2FDF">
            <w:pPr>
              <w:tabs>
                <w:tab w:val="left" w:pos="1134"/>
              </w:tabs>
              <w:spacing w:before="0" w:line="276" w:lineRule="auto"/>
              <w:jc w:val="right"/>
              <w:rPr>
                <w:rFonts w:cs="Arial"/>
                <w:b/>
              </w:rPr>
            </w:pPr>
            <w:r w:rsidRPr="00A80772">
              <w:rPr>
                <w:rFonts w:cs="Arial"/>
                <w:b/>
              </w:rPr>
              <w:fldChar w:fldCharType="begin"/>
            </w:r>
            <w:r w:rsidR="00F974D5" w:rsidRPr="00A80772">
              <w:rPr>
                <w:rFonts w:cs="Arial"/>
                <w:b/>
              </w:rPr>
              <w:instrText xml:space="preserve"> =SUM(ABOVE) </w:instrText>
            </w:r>
            <w:r w:rsidRPr="00A80772">
              <w:rPr>
                <w:rFonts w:cs="Arial"/>
                <w:b/>
              </w:rPr>
              <w:fldChar w:fldCharType="separate"/>
            </w:r>
            <w:r w:rsidR="00F974D5" w:rsidRPr="00A80772">
              <w:rPr>
                <w:rFonts w:cs="Arial"/>
                <w:b/>
                <w:noProof/>
              </w:rPr>
              <w:t>21</w:t>
            </w:r>
            <w:r w:rsidR="00F974D5">
              <w:rPr>
                <w:rFonts w:cs="Arial"/>
                <w:b/>
                <w:noProof/>
              </w:rPr>
              <w:t>,</w:t>
            </w:r>
            <w:r w:rsidR="00F974D5" w:rsidRPr="00A80772">
              <w:rPr>
                <w:rFonts w:cs="Arial"/>
                <w:b/>
                <w:noProof/>
              </w:rPr>
              <w:t>025</w:t>
            </w:r>
            <w:r w:rsidRPr="00A80772">
              <w:rPr>
                <w:rFonts w:cs="Arial"/>
                <w:b/>
              </w:rPr>
              <w:fldChar w:fldCharType="end"/>
            </w:r>
          </w:p>
        </w:tc>
        <w:tc>
          <w:tcPr>
            <w:tcW w:w="1189" w:type="dxa"/>
            <w:tcBorders>
              <w:top w:val="single" w:sz="4" w:space="0" w:color="auto"/>
              <w:bottom w:val="single" w:sz="4" w:space="0" w:color="auto"/>
            </w:tcBorders>
            <w:shd w:val="clear" w:color="auto" w:fill="B6DDE8" w:themeFill="accent5" w:themeFillTint="66"/>
          </w:tcPr>
          <w:p w14:paraId="4058DD0E" w14:textId="77777777" w:rsidR="00F974D5" w:rsidRPr="00A80772" w:rsidRDefault="00F974D5" w:rsidP="00CE2FDF">
            <w:pPr>
              <w:tabs>
                <w:tab w:val="left" w:pos="1134"/>
              </w:tabs>
              <w:spacing w:before="0" w:line="276" w:lineRule="auto"/>
              <w:jc w:val="right"/>
              <w:rPr>
                <w:rFonts w:cs="Arial"/>
                <w:b/>
              </w:rPr>
            </w:pPr>
            <w:r w:rsidRPr="00A80772">
              <w:rPr>
                <w:rFonts w:cs="Arial"/>
                <w:b/>
                <w:color w:val="000000"/>
              </w:rPr>
              <w:t>(24.0%)</w:t>
            </w:r>
          </w:p>
        </w:tc>
        <w:tc>
          <w:tcPr>
            <w:tcW w:w="1701" w:type="dxa"/>
            <w:tcBorders>
              <w:top w:val="single" w:sz="4" w:space="0" w:color="auto"/>
              <w:left w:val="single" w:sz="4" w:space="0" w:color="auto"/>
              <w:bottom w:val="single" w:sz="4" w:space="0" w:color="auto"/>
            </w:tcBorders>
            <w:shd w:val="clear" w:color="auto" w:fill="B6DDE8" w:themeFill="accent5" w:themeFillTint="66"/>
          </w:tcPr>
          <w:p w14:paraId="2C252FCA" w14:textId="77777777" w:rsidR="00F974D5" w:rsidRPr="00A80772" w:rsidRDefault="00982808" w:rsidP="00CE2FDF">
            <w:pPr>
              <w:tabs>
                <w:tab w:val="left" w:pos="1134"/>
              </w:tabs>
              <w:spacing w:before="0" w:line="276" w:lineRule="auto"/>
              <w:jc w:val="right"/>
              <w:rPr>
                <w:rFonts w:cs="Arial"/>
                <w:b/>
              </w:rPr>
            </w:pPr>
            <w:r w:rsidRPr="00A80772">
              <w:rPr>
                <w:rFonts w:cs="Arial"/>
                <w:b/>
              </w:rPr>
              <w:fldChar w:fldCharType="begin"/>
            </w:r>
            <w:r w:rsidR="00F974D5" w:rsidRPr="00A80772">
              <w:rPr>
                <w:rFonts w:cs="Arial"/>
                <w:b/>
              </w:rPr>
              <w:instrText xml:space="preserve"> =SUM(ABOVE) </w:instrText>
            </w:r>
            <w:r w:rsidRPr="00A80772">
              <w:rPr>
                <w:rFonts w:cs="Arial"/>
                <w:b/>
              </w:rPr>
              <w:fldChar w:fldCharType="separate"/>
            </w:r>
            <w:r w:rsidR="00F974D5" w:rsidRPr="00A80772">
              <w:rPr>
                <w:rFonts w:cs="Arial"/>
                <w:b/>
                <w:noProof/>
              </w:rPr>
              <w:t>13</w:t>
            </w:r>
            <w:r w:rsidR="00F974D5">
              <w:rPr>
                <w:rFonts w:cs="Arial"/>
                <w:b/>
                <w:noProof/>
              </w:rPr>
              <w:t>,</w:t>
            </w:r>
            <w:r w:rsidR="00F974D5" w:rsidRPr="00A80772">
              <w:rPr>
                <w:rFonts w:cs="Arial"/>
                <w:b/>
                <w:noProof/>
              </w:rPr>
              <w:t>314</w:t>
            </w:r>
            <w:r w:rsidRPr="00A80772">
              <w:rPr>
                <w:rFonts w:cs="Arial"/>
                <w:b/>
              </w:rPr>
              <w:fldChar w:fldCharType="end"/>
            </w:r>
          </w:p>
        </w:tc>
        <w:tc>
          <w:tcPr>
            <w:tcW w:w="1417" w:type="dxa"/>
            <w:tcBorders>
              <w:top w:val="single" w:sz="4" w:space="0" w:color="auto"/>
              <w:bottom w:val="single" w:sz="4" w:space="0" w:color="auto"/>
              <w:right w:val="single" w:sz="4" w:space="0" w:color="auto"/>
            </w:tcBorders>
            <w:shd w:val="clear" w:color="auto" w:fill="B6DDE8" w:themeFill="accent5" w:themeFillTint="66"/>
          </w:tcPr>
          <w:p w14:paraId="29A719B9" w14:textId="77777777" w:rsidR="00F974D5" w:rsidRPr="00A80772" w:rsidRDefault="00F974D5" w:rsidP="00CE2FDF">
            <w:pPr>
              <w:tabs>
                <w:tab w:val="left" w:pos="1134"/>
              </w:tabs>
              <w:spacing w:before="0" w:line="276" w:lineRule="auto"/>
              <w:jc w:val="right"/>
              <w:rPr>
                <w:rFonts w:cs="Arial"/>
                <w:b/>
              </w:rPr>
            </w:pPr>
            <w:r w:rsidRPr="00A80772">
              <w:rPr>
                <w:rFonts w:cs="Arial"/>
                <w:b/>
                <w:color w:val="000000"/>
              </w:rPr>
              <w:t>(15.2%)</w:t>
            </w:r>
          </w:p>
        </w:tc>
        <w:tc>
          <w:tcPr>
            <w:tcW w:w="1985" w:type="dxa"/>
            <w:tcBorders>
              <w:top w:val="single" w:sz="4" w:space="0" w:color="auto"/>
              <w:bottom w:val="single" w:sz="4" w:space="0" w:color="auto"/>
            </w:tcBorders>
            <w:shd w:val="clear" w:color="auto" w:fill="B6DDE8" w:themeFill="accent5" w:themeFillTint="66"/>
          </w:tcPr>
          <w:p w14:paraId="0A9290AC" w14:textId="77777777" w:rsidR="00F974D5" w:rsidRPr="00A80772" w:rsidRDefault="00F974D5" w:rsidP="00CE2FDF">
            <w:pPr>
              <w:tabs>
                <w:tab w:val="left" w:pos="1134"/>
              </w:tabs>
              <w:spacing w:before="0" w:line="276" w:lineRule="auto"/>
              <w:jc w:val="right"/>
              <w:rPr>
                <w:rFonts w:cs="Arial"/>
                <w:b/>
              </w:rPr>
            </w:pPr>
            <w:r w:rsidRPr="00A80772">
              <w:rPr>
                <w:rFonts w:cs="Arial"/>
                <w:b/>
              </w:rPr>
              <w:t>7</w:t>
            </w:r>
            <w:r>
              <w:rPr>
                <w:rFonts w:cs="Arial"/>
                <w:b/>
              </w:rPr>
              <w:t>,</w:t>
            </w:r>
            <w:r w:rsidRPr="00A80772">
              <w:rPr>
                <w:rFonts w:cs="Arial"/>
                <w:b/>
              </w:rPr>
              <w:t>711</w:t>
            </w:r>
          </w:p>
        </w:tc>
        <w:tc>
          <w:tcPr>
            <w:tcW w:w="1559" w:type="dxa"/>
            <w:tcBorders>
              <w:top w:val="single" w:sz="4" w:space="0" w:color="auto"/>
              <w:bottom w:val="single" w:sz="4" w:space="0" w:color="auto"/>
              <w:right w:val="single" w:sz="4" w:space="0" w:color="auto"/>
            </w:tcBorders>
            <w:shd w:val="clear" w:color="auto" w:fill="B6DDE8" w:themeFill="accent5" w:themeFillTint="66"/>
            <w:vAlign w:val="bottom"/>
          </w:tcPr>
          <w:p w14:paraId="33C4CE62" w14:textId="77777777" w:rsidR="00F974D5" w:rsidRPr="00F974D5" w:rsidRDefault="00F974D5" w:rsidP="00CE2FDF">
            <w:pPr>
              <w:spacing w:before="0" w:line="276" w:lineRule="auto"/>
              <w:jc w:val="right"/>
              <w:rPr>
                <w:rFonts w:ascii="Calibri" w:hAnsi="Calibri"/>
              </w:rPr>
            </w:pPr>
            <w:r>
              <w:rPr>
                <w:rFonts w:ascii="Calibri" w:hAnsi="Calibri" w:cs="Arial"/>
              </w:rPr>
              <w:t>(</w:t>
            </w:r>
            <w:r w:rsidRPr="00F974D5">
              <w:rPr>
                <w:rFonts w:ascii="Calibri" w:hAnsi="Calibri" w:cs="Arial"/>
              </w:rPr>
              <w:t>8.82%</w:t>
            </w:r>
            <w:r>
              <w:rPr>
                <w:rFonts w:ascii="Calibri" w:hAnsi="Calibri" w:cs="Arial"/>
              </w:rPr>
              <w:t>)</w:t>
            </w: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2E4C69" w14:textId="77777777" w:rsidR="00F974D5" w:rsidRPr="00A80772" w:rsidRDefault="00F974D5" w:rsidP="00CE2FDF">
            <w:pPr>
              <w:tabs>
                <w:tab w:val="left" w:pos="1134"/>
              </w:tabs>
              <w:spacing w:before="0" w:line="276" w:lineRule="auto"/>
              <w:jc w:val="right"/>
              <w:rPr>
                <w:rFonts w:cs="Arial"/>
                <w:b/>
              </w:rPr>
            </w:pPr>
            <w:r w:rsidRPr="00A80772">
              <w:rPr>
                <w:rFonts w:cs="Arial"/>
                <w:b/>
              </w:rPr>
              <w:t>87</w:t>
            </w:r>
            <w:r>
              <w:rPr>
                <w:rFonts w:cs="Arial"/>
                <w:b/>
              </w:rPr>
              <w:t>,</w:t>
            </w:r>
            <w:r w:rsidRPr="00A80772">
              <w:rPr>
                <w:rFonts w:cs="Arial"/>
                <w:b/>
              </w:rPr>
              <w:t>439</w:t>
            </w:r>
          </w:p>
        </w:tc>
      </w:tr>
    </w:tbl>
    <w:p w14:paraId="3B0B2876" w14:textId="361C1667" w:rsidR="002F6188" w:rsidRPr="0006220F" w:rsidRDefault="002F6188" w:rsidP="005E613E">
      <w:pPr>
        <w:pStyle w:val="Heading6"/>
        <w:spacing w:before="240" w:after="240"/>
      </w:pPr>
      <w:r w:rsidRPr="0006220F">
        <w:t>Line graph for table 1.23: Number of reports of neglect by year, with outcome of report (all reporter groups combined)</w:t>
      </w:r>
    </w:p>
    <w:p w14:paraId="39A1013A" w14:textId="77777777" w:rsidR="00245C19" w:rsidRDefault="00A80772" w:rsidP="00B15586">
      <w:r w:rsidRPr="00A80772">
        <w:rPr>
          <w:noProof/>
          <w:lang w:eastAsia="en-AU"/>
        </w:rPr>
        <w:drawing>
          <wp:inline distT="0" distB="0" distL="0" distR="0" wp14:anchorId="1D6F71EA" wp14:editId="57C0C4C5">
            <wp:extent cx="9258300" cy="1943100"/>
            <wp:effectExtent l="0" t="0" r="0" b="0"/>
            <wp:docPr id="42" name="Chart 38" descr="Shows 76% of 87,439 neglect reports not investigated over decade, with highest percentage (88.4%) in 2007." title="Line graph for table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245C19">
        <w:br w:type="page"/>
      </w:r>
    </w:p>
    <w:p w14:paraId="70B8EA61" w14:textId="26A875E6" w:rsidR="002F6188" w:rsidRDefault="00BC57B6" w:rsidP="00BC57B6">
      <w:pPr>
        <w:pStyle w:val="Figureheading"/>
        <w:ind w:left="720" w:hanging="720"/>
      </w:pPr>
      <w:r>
        <w:lastRenderedPageBreak/>
        <w:t>1.24</w:t>
      </w:r>
      <w:r>
        <w:tab/>
      </w:r>
      <w:r w:rsidR="002F6188">
        <w:t>Number of reports of physical abuse by year, with outcome of report by number and percentage (all reporter groups combined)</w:t>
      </w:r>
    </w:p>
    <w:tbl>
      <w:tblPr>
        <w:tblStyle w:val="LightShading-Accent4"/>
        <w:tblW w:w="5000" w:type="pct"/>
        <w:tblLook w:val="04A0" w:firstRow="1" w:lastRow="0" w:firstColumn="1" w:lastColumn="0" w:noHBand="0" w:noVBand="1"/>
        <w:tblCaption w:val="Number of reports of physical abuse by year, with outcome of report by number and percentage (all reporter groups combined)"/>
      </w:tblPr>
      <w:tblGrid>
        <w:gridCol w:w="1028"/>
        <w:gridCol w:w="2144"/>
        <w:gridCol w:w="1124"/>
        <w:gridCol w:w="1665"/>
        <w:gridCol w:w="1124"/>
        <w:gridCol w:w="1848"/>
        <w:gridCol w:w="1124"/>
        <w:gridCol w:w="2310"/>
        <w:gridCol w:w="1251"/>
        <w:gridCol w:w="1168"/>
      </w:tblGrid>
      <w:tr w:rsidR="002418F8" w:rsidRPr="00C85276" w14:paraId="21DEEAE7" w14:textId="77777777" w:rsidTr="008E707A">
        <w:trPr>
          <w:cnfStyle w:val="100000000000" w:firstRow="1" w:lastRow="0" w:firstColumn="0" w:lastColumn="0" w:oddVBand="0" w:evenVBand="0" w:oddHBand="0" w:evenHBand="0" w:firstRowFirstColumn="0" w:firstRowLastColumn="0" w:lastRowFirstColumn="0" w:lastRowLastColumn="0"/>
          <w:trHeight w:val="161"/>
          <w:tblHeader/>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104830E" w14:textId="77777777" w:rsidR="00975EBE" w:rsidRPr="00F15FE1" w:rsidRDefault="00975EBE" w:rsidP="008E707A">
            <w:pPr>
              <w:keepNext/>
              <w:tabs>
                <w:tab w:val="left" w:pos="1134"/>
              </w:tabs>
              <w:spacing w:before="0" w:line="240" w:lineRule="auto"/>
              <w:rPr>
                <w:rFonts w:ascii="Calibri" w:eastAsia="Times New Roman" w:hAnsi="Calibri" w:cs="Arial"/>
                <w:bCs w:val="0"/>
                <w:color w:val="auto"/>
                <w:lang w:eastAsia="en-AU"/>
              </w:rPr>
            </w:pPr>
          </w:p>
        </w:tc>
        <w:tc>
          <w:tcPr>
            <w:tcW w:w="725" w:type="pct"/>
            <w:tcBorders>
              <w:top w:val="single" w:sz="4" w:space="0" w:color="auto"/>
              <w:left w:val="single" w:sz="4" w:space="0" w:color="auto"/>
              <w:bottom w:val="single" w:sz="4" w:space="0" w:color="auto"/>
            </w:tcBorders>
            <w:shd w:val="clear" w:color="auto" w:fill="B2A1C7" w:themeFill="accent4" w:themeFillTint="99"/>
            <w:noWrap/>
            <w:vAlign w:val="center"/>
            <w:hideMark/>
          </w:tcPr>
          <w:p w14:paraId="25244E49"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Not investigated</w:t>
            </w:r>
          </w:p>
        </w:tc>
        <w:tc>
          <w:tcPr>
            <w:tcW w:w="380" w:type="pct"/>
            <w:tcBorders>
              <w:top w:val="single" w:sz="4" w:space="0" w:color="auto"/>
              <w:bottom w:val="single" w:sz="4" w:space="0" w:color="auto"/>
              <w:right w:val="single" w:sz="4" w:space="0" w:color="auto"/>
            </w:tcBorders>
            <w:shd w:val="clear" w:color="auto" w:fill="B2A1C7" w:themeFill="accent4" w:themeFillTint="99"/>
            <w:vAlign w:val="center"/>
          </w:tcPr>
          <w:p w14:paraId="7CDC01B6" w14:textId="77777777" w:rsidR="00975EBE" w:rsidRPr="00FE3A23"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563" w:type="pct"/>
            <w:tcBorders>
              <w:top w:val="single" w:sz="4" w:space="0" w:color="auto"/>
              <w:bottom w:val="single" w:sz="4" w:space="0" w:color="auto"/>
            </w:tcBorders>
            <w:shd w:val="clear" w:color="auto" w:fill="B2A1C7" w:themeFill="accent4" w:themeFillTint="99"/>
            <w:vAlign w:val="center"/>
          </w:tcPr>
          <w:p w14:paraId="1F3A9B7E"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Investigated</w:t>
            </w:r>
          </w:p>
        </w:tc>
        <w:tc>
          <w:tcPr>
            <w:tcW w:w="380" w:type="pct"/>
            <w:tcBorders>
              <w:top w:val="single" w:sz="4" w:space="0" w:color="auto"/>
              <w:bottom w:val="single" w:sz="4" w:space="0" w:color="auto"/>
            </w:tcBorders>
            <w:shd w:val="clear" w:color="auto" w:fill="B2A1C7" w:themeFill="accent4" w:themeFillTint="99"/>
            <w:vAlign w:val="center"/>
          </w:tcPr>
          <w:p w14:paraId="266BF017" w14:textId="77777777" w:rsidR="00975EBE" w:rsidRPr="00FE3A23"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625" w:type="pct"/>
            <w:tcBorders>
              <w:top w:val="single" w:sz="4" w:space="0" w:color="auto"/>
              <w:left w:val="single" w:sz="4" w:space="0" w:color="auto"/>
              <w:bottom w:val="single" w:sz="4" w:space="0" w:color="auto"/>
            </w:tcBorders>
            <w:shd w:val="clear" w:color="auto" w:fill="B2A1C7" w:themeFill="accent4" w:themeFillTint="99"/>
            <w:noWrap/>
            <w:vAlign w:val="center"/>
            <w:hideMark/>
          </w:tcPr>
          <w:p w14:paraId="15E6687E"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Substantiated</w:t>
            </w:r>
          </w:p>
        </w:tc>
        <w:tc>
          <w:tcPr>
            <w:tcW w:w="380" w:type="pct"/>
            <w:tcBorders>
              <w:top w:val="single" w:sz="4" w:space="0" w:color="auto"/>
              <w:bottom w:val="single" w:sz="4" w:space="0" w:color="auto"/>
              <w:right w:val="single" w:sz="4" w:space="0" w:color="auto"/>
            </w:tcBorders>
            <w:shd w:val="clear" w:color="auto" w:fill="B2A1C7" w:themeFill="accent4" w:themeFillTint="99"/>
            <w:vAlign w:val="center"/>
          </w:tcPr>
          <w:p w14:paraId="43435DD9" w14:textId="77777777" w:rsidR="00975EBE" w:rsidRPr="00FE3A23"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781" w:type="pct"/>
            <w:tcBorders>
              <w:top w:val="single" w:sz="4" w:space="0" w:color="auto"/>
              <w:left w:val="single" w:sz="4" w:space="0" w:color="auto"/>
              <w:bottom w:val="single" w:sz="4" w:space="0" w:color="auto"/>
            </w:tcBorders>
            <w:shd w:val="clear" w:color="auto" w:fill="B2A1C7" w:themeFill="accent4" w:themeFillTint="99"/>
            <w:noWrap/>
            <w:vAlign w:val="center"/>
            <w:hideMark/>
          </w:tcPr>
          <w:p w14:paraId="0A7430E4"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Not substantiated</w:t>
            </w:r>
          </w:p>
        </w:tc>
        <w:tc>
          <w:tcPr>
            <w:tcW w:w="423" w:type="pct"/>
            <w:tcBorders>
              <w:top w:val="single" w:sz="4" w:space="0" w:color="auto"/>
              <w:bottom w:val="single" w:sz="4" w:space="0" w:color="auto"/>
              <w:right w:val="single" w:sz="4" w:space="0" w:color="auto"/>
            </w:tcBorders>
            <w:shd w:val="clear" w:color="auto" w:fill="B2A1C7" w:themeFill="accent4" w:themeFillTint="99"/>
            <w:vAlign w:val="center"/>
          </w:tcPr>
          <w:p w14:paraId="26845340" w14:textId="77777777" w:rsidR="00975EBE" w:rsidRPr="00FC5C7E" w:rsidRDefault="00975EBE" w:rsidP="008E707A">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395"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3D7A8F79"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Total</w:t>
            </w:r>
          </w:p>
        </w:tc>
      </w:tr>
      <w:tr w:rsidR="008E707A" w:rsidRPr="005D3A1B" w14:paraId="0754A2FC"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right w:val="single" w:sz="4" w:space="0" w:color="auto"/>
            </w:tcBorders>
          </w:tcPr>
          <w:p w14:paraId="7FE66081" w14:textId="77777777" w:rsidR="00F974D5" w:rsidRPr="005D3A1B" w:rsidRDefault="00F974D5" w:rsidP="008E707A">
            <w:pPr>
              <w:keepNext/>
              <w:tabs>
                <w:tab w:val="left" w:pos="1134"/>
              </w:tabs>
              <w:spacing w:before="0" w:line="240" w:lineRule="auto"/>
              <w:rPr>
                <w:rFonts w:cs="Arial"/>
                <w:b w:val="0"/>
                <w:bCs w:val="0"/>
                <w:color w:val="auto"/>
              </w:rPr>
            </w:pPr>
            <w:r w:rsidRPr="005D3A1B">
              <w:rPr>
                <w:rFonts w:cs="Arial"/>
                <w:color w:val="auto"/>
              </w:rPr>
              <w:t>2003</w:t>
            </w:r>
          </w:p>
        </w:tc>
        <w:tc>
          <w:tcPr>
            <w:tcW w:w="725" w:type="pct"/>
            <w:tcBorders>
              <w:top w:val="single" w:sz="4" w:space="0" w:color="auto"/>
              <w:left w:val="single" w:sz="4" w:space="0" w:color="auto"/>
            </w:tcBorders>
            <w:noWrap/>
            <w:hideMark/>
          </w:tcPr>
          <w:p w14:paraId="441124BB" w14:textId="77777777" w:rsidR="00F974D5" w:rsidRPr="005D3A1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5</w:t>
            </w:r>
            <w:r>
              <w:rPr>
                <w:rFonts w:eastAsia="Times New Roman" w:cs="Arial"/>
                <w:color w:val="auto"/>
                <w:lang w:eastAsia="en-AU"/>
              </w:rPr>
              <w:t>,</w:t>
            </w:r>
            <w:r w:rsidRPr="005D3A1B">
              <w:rPr>
                <w:rFonts w:eastAsia="Times New Roman" w:cs="Arial"/>
                <w:color w:val="auto"/>
                <w:lang w:eastAsia="en-AU"/>
              </w:rPr>
              <w:t>455</w:t>
            </w:r>
          </w:p>
        </w:tc>
        <w:tc>
          <w:tcPr>
            <w:tcW w:w="380" w:type="pct"/>
            <w:tcBorders>
              <w:top w:val="single" w:sz="4" w:space="0" w:color="auto"/>
              <w:right w:val="single" w:sz="4" w:space="0" w:color="auto"/>
            </w:tcBorders>
          </w:tcPr>
          <w:p w14:paraId="60BAFB1D" w14:textId="77777777" w:rsidR="00F974D5" w:rsidRPr="005D3A1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(60.3%)</w:t>
            </w:r>
          </w:p>
        </w:tc>
        <w:tc>
          <w:tcPr>
            <w:tcW w:w="563" w:type="pct"/>
            <w:tcBorders>
              <w:top w:val="single" w:sz="4" w:space="0" w:color="auto"/>
            </w:tcBorders>
          </w:tcPr>
          <w:p w14:paraId="004077EF" w14:textId="77777777" w:rsidR="00F974D5" w:rsidRPr="005D3A1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3</w:t>
            </w:r>
            <w:r>
              <w:rPr>
                <w:rFonts w:eastAsia="Times New Roman" w:cs="Arial"/>
                <w:color w:val="auto"/>
                <w:lang w:eastAsia="en-AU"/>
              </w:rPr>
              <w:t>,</w:t>
            </w:r>
            <w:r w:rsidRPr="005D3A1B">
              <w:rPr>
                <w:rFonts w:eastAsia="Times New Roman" w:cs="Arial"/>
                <w:color w:val="auto"/>
                <w:lang w:eastAsia="en-AU"/>
              </w:rPr>
              <w:t>593</w:t>
            </w:r>
          </w:p>
        </w:tc>
        <w:tc>
          <w:tcPr>
            <w:tcW w:w="380" w:type="pct"/>
            <w:tcBorders>
              <w:top w:val="single" w:sz="4" w:space="0" w:color="auto"/>
            </w:tcBorders>
          </w:tcPr>
          <w:p w14:paraId="4445AA9F" w14:textId="77777777" w:rsidR="00F974D5" w:rsidRPr="005D3A1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(39.7%)</w:t>
            </w:r>
          </w:p>
        </w:tc>
        <w:tc>
          <w:tcPr>
            <w:tcW w:w="625" w:type="pct"/>
            <w:tcBorders>
              <w:top w:val="single" w:sz="4" w:space="0" w:color="auto"/>
              <w:left w:val="single" w:sz="4" w:space="0" w:color="auto"/>
            </w:tcBorders>
            <w:noWrap/>
            <w:hideMark/>
          </w:tcPr>
          <w:p w14:paraId="3FAF6257" w14:textId="77777777" w:rsidR="00F974D5" w:rsidRPr="005D3A1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2</w:t>
            </w:r>
            <w:r>
              <w:rPr>
                <w:rFonts w:eastAsia="Times New Roman" w:cs="Arial"/>
                <w:color w:val="auto"/>
                <w:lang w:eastAsia="en-AU"/>
              </w:rPr>
              <w:t>,</w:t>
            </w:r>
            <w:r w:rsidRPr="005D3A1B">
              <w:rPr>
                <w:rFonts w:eastAsia="Times New Roman" w:cs="Arial"/>
                <w:color w:val="auto"/>
                <w:lang w:eastAsia="en-AU"/>
              </w:rPr>
              <w:t>076</w:t>
            </w:r>
          </w:p>
        </w:tc>
        <w:tc>
          <w:tcPr>
            <w:tcW w:w="380" w:type="pct"/>
            <w:tcBorders>
              <w:top w:val="single" w:sz="4" w:space="0" w:color="auto"/>
              <w:right w:val="single" w:sz="4" w:space="0" w:color="auto"/>
            </w:tcBorders>
          </w:tcPr>
          <w:p w14:paraId="465C7DE5" w14:textId="77777777" w:rsidR="00F974D5" w:rsidRPr="005D3A1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(22.9%)</w:t>
            </w:r>
          </w:p>
        </w:tc>
        <w:tc>
          <w:tcPr>
            <w:tcW w:w="781" w:type="pct"/>
            <w:tcBorders>
              <w:top w:val="single" w:sz="4" w:space="0" w:color="auto"/>
              <w:left w:val="single" w:sz="4" w:space="0" w:color="auto"/>
            </w:tcBorders>
            <w:noWrap/>
            <w:hideMark/>
          </w:tcPr>
          <w:p w14:paraId="65568F4F" w14:textId="77777777" w:rsidR="00F974D5" w:rsidRPr="005D3A1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1</w:t>
            </w:r>
            <w:r>
              <w:rPr>
                <w:rFonts w:eastAsia="Times New Roman" w:cs="Arial"/>
                <w:color w:val="auto"/>
                <w:lang w:eastAsia="en-AU"/>
              </w:rPr>
              <w:t>,</w:t>
            </w:r>
            <w:r w:rsidRPr="005D3A1B">
              <w:rPr>
                <w:rFonts w:eastAsia="Times New Roman" w:cs="Arial"/>
                <w:color w:val="auto"/>
                <w:lang w:eastAsia="en-AU"/>
              </w:rPr>
              <w:t>517</w:t>
            </w:r>
          </w:p>
        </w:tc>
        <w:tc>
          <w:tcPr>
            <w:tcW w:w="423" w:type="pct"/>
            <w:tcBorders>
              <w:top w:val="single" w:sz="4" w:space="0" w:color="auto"/>
              <w:right w:val="single" w:sz="4" w:space="0" w:color="auto"/>
            </w:tcBorders>
            <w:vAlign w:val="bottom"/>
          </w:tcPr>
          <w:p w14:paraId="44C4B0BA"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16.77%</w:t>
            </w:r>
            <w:r>
              <w:rPr>
                <w:rFonts w:ascii="Calibri" w:hAnsi="Calibri" w:cs="Arial"/>
                <w:color w:val="auto"/>
              </w:rPr>
              <w:t>)</w:t>
            </w:r>
          </w:p>
        </w:tc>
        <w:tc>
          <w:tcPr>
            <w:tcW w:w="395" w:type="pct"/>
            <w:tcBorders>
              <w:top w:val="single" w:sz="4" w:space="0" w:color="auto"/>
              <w:left w:val="single" w:sz="4" w:space="0" w:color="auto"/>
              <w:right w:val="single" w:sz="4" w:space="0" w:color="auto"/>
            </w:tcBorders>
          </w:tcPr>
          <w:p w14:paraId="48BCA00B" w14:textId="77777777" w:rsidR="00F974D5" w:rsidRPr="00A80772"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9</w:t>
            </w:r>
            <w:r>
              <w:rPr>
                <w:rFonts w:eastAsia="Times New Roman" w:cs="Arial"/>
                <w:b/>
                <w:color w:val="auto"/>
                <w:lang w:eastAsia="en-AU"/>
              </w:rPr>
              <w:t>,</w:t>
            </w:r>
            <w:r w:rsidRPr="00A80772">
              <w:rPr>
                <w:rFonts w:eastAsia="Times New Roman" w:cs="Arial"/>
                <w:b/>
                <w:color w:val="auto"/>
                <w:lang w:eastAsia="en-AU"/>
              </w:rPr>
              <w:t>048</w:t>
            </w:r>
          </w:p>
        </w:tc>
      </w:tr>
      <w:tr w:rsidR="008E707A" w:rsidRPr="005D3A1B" w14:paraId="2FBB469B"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tcPr>
          <w:p w14:paraId="54FD60FB" w14:textId="77777777" w:rsidR="00F974D5" w:rsidRPr="005D3A1B" w:rsidRDefault="00F974D5" w:rsidP="008E707A">
            <w:pPr>
              <w:tabs>
                <w:tab w:val="left" w:pos="1134"/>
              </w:tabs>
              <w:spacing w:before="0" w:line="240" w:lineRule="auto"/>
              <w:rPr>
                <w:rFonts w:cs="Arial"/>
                <w:b w:val="0"/>
                <w:bCs w:val="0"/>
                <w:color w:val="auto"/>
              </w:rPr>
            </w:pPr>
            <w:r w:rsidRPr="005D3A1B">
              <w:rPr>
                <w:rFonts w:cs="Arial"/>
                <w:color w:val="auto"/>
              </w:rPr>
              <w:t>2004</w:t>
            </w:r>
          </w:p>
        </w:tc>
        <w:tc>
          <w:tcPr>
            <w:tcW w:w="725" w:type="pct"/>
            <w:tcBorders>
              <w:left w:val="single" w:sz="4" w:space="0" w:color="auto"/>
            </w:tcBorders>
            <w:noWrap/>
            <w:hideMark/>
          </w:tcPr>
          <w:p w14:paraId="177E694F"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6</w:t>
            </w:r>
            <w:r>
              <w:rPr>
                <w:rFonts w:eastAsia="Times New Roman" w:cs="Arial"/>
                <w:color w:val="auto"/>
                <w:lang w:eastAsia="en-AU"/>
              </w:rPr>
              <w:t>,</w:t>
            </w:r>
            <w:r w:rsidRPr="005D3A1B">
              <w:rPr>
                <w:rFonts w:eastAsia="Times New Roman" w:cs="Arial"/>
                <w:color w:val="auto"/>
                <w:lang w:eastAsia="en-AU"/>
              </w:rPr>
              <w:t>170</w:t>
            </w:r>
          </w:p>
        </w:tc>
        <w:tc>
          <w:tcPr>
            <w:tcW w:w="380" w:type="pct"/>
            <w:tcBorders>
              <w:right w:val="single" w:sz="4" w:space="0" w:color="auto"/>
            </w:tcBorders>
          </w:tcPr>
          <w:p w14:paraId="679AB34B"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(63.6%)</w:t>
            </w:r>
          </w:p>
        </w:tc>
        <w:tc>
          <w:tcPr>
            <w:tcW w:w="563" w:type="pct"/>
            <w:tcBorders>
              <w:right w:val="nil"/>
            </w:tcBorders>
          </w:tcPr>
          <w:p w14:paraId="34DD3BE8"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3</w:t>
            </w:r>
            <w:r>
              <w:rPr>
                <w:rFonts w:eastAsia="Times New Roman" w:cs="Arial"/>
                <w:color w:val="auto"/>
                <w:lang w:eastAsia="en-AU"/>
              </w:rPr>
              <w:t>,</w:t>
            </w:r>
            <w:r w:rsidRPr="005D3A1B">
              <w:rPr>
                <w:rFonts w:eastAsia="Times New Roman" w:cs="Arial"/>
                <w:color w:val="auto"/>
                <w:lang w:eastAsia="en-AU"/>
              </w:rPr>
              <w:t>527</w:t>
            </w:r>
          </w:p>
        </w:tc>
        <w:tc>
          <w:tcPr>
            <w:tcW w:w="380" w:type="pct"/>
            <w:tcBorders>
              <w:left w:val="nil"/>
            </w:tcBorders>
          </w:tcPr>
          <w:p w14:paraId="26501032"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(36.4%)</w:t>
            </w:r>
          </w:p>
        </w:tc>
        <w:tc>
          <w:tcPr>
            <w:tcW w:w="625" w:type="pct"/>
            <w:tcBorders>
              <w:left w:val="single" w:sz="4" w:space="0" w:color="auto"/>
            </w:tcBorders>
            <w:noWrap/>
            <w:hideMark/>
          </w:tcPr>
          <w:p w14:paraId="688A0AA1"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2</w:t>
            </w:r>
            <w:r>
              <w:rPr>
                <w:rFonts w:eastAsia="Times New Roman" w:cs="Arial"/>
                <w:color w:val="auto"/>
                <w:lang w:eastAsia="en-AU"/>
              </w:rPr>
              <w:t>,</w:t>
            </w:r>
            <w:r w:rsidRPr="005D3A1B">
              <w:rPr>
                <w:rFonts w:eastAsia="Times New Roman" w:cs="Arial"/>
                <w:color w:val="auto"/>
                <w:lang w:eastAsia="en-AU"/>
              </w:rPr>
              <w:t>221</w:t>
            </w:r>
          </w:p>
        </w:tc>
        <w:tc>
          <w:tcPr>
            <w:tcW w:w="380" w:type="pct"/>
            <w:tcBorders>
              <w:right w:val="single" w:sz="4" w:space="0" w:color="auto"/>
            </w:tcBorders>
          </w:tcPr>
          <w:p w14:paraId="12C6B2BC"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(22.9%)</w:t>
            </w:r>
          </w:p>
        </w:tc>
        <w:tc>
          <w:tcPr>
            <w:tcW w:w="781" w:type="pct"/>
            <w:tcBorders>
              <w:left w:val="single" w:sz="4" w:space="0" w:color="auto"/>
              <w:right w:val="nil"/>
            </w:tcBorders>
            <w:noWrap/>
            <w:hideMark/>
          </w:tcPr>
          <w:p w14:paraId="6BC38D84"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1</w:t>
            </w:r>
            <w:r>
              <w:rPr>
                <w:rFonts w:eastAsia="Times New Roman" w:cs="Arial"/>
                <w:color w:val="auto"/>
                <w:lang w:eastAsia="en-AU"/>
              </w:rPr>
              <w:t>,</w:t>
            </w:r>
            <w:r w:rsidRPr="005D3A1B">
              <w:rPr>
                <w:rFonts w:eastAsia="Times New Roman" w:cs="Arial"/>
                <w:color w:val="auto"/>
                <w:lang w:eastAsia="en-AU"/>
              </w:rPr>
              <w:t>306</w:t>
            </w:r>
          </w:p>
        </w:tc>
        <w:tc>
          <w:tcPr>
            <w:tcW w:w="423" w:type="pct"/>
            <w:tcBorders>
              <w:left w:val="nil"/>
              <w:right w:val="single" w:sz="4" w:space="0" w:color="auto"/>
            </w:tcBorders>
            <w:vAlign w:val="bottom"/>
          </w:tcPr>
          <w:p w14:paraId="4818FC23"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13.47%</w:t>
            </w:r>
            <w:r>
              <w:rPr>
                <w:rFonts w:ascii="Calibri" w:hAnsi="Calibri" w:cs="Arial"/>
                <w:color w:val="auto"/>
              </w:rPr>
              <w:t>)</w:t>
            </w:r>
          </w:p>
        </w:tc>
        <w:tc>
          <w:tcPr>
            <w:tcW w:w="395" w:type="pct"/>
            <w:tcBorders>
              <w:left w:val="single" w:sz="4" w:space="0" w:color="auto"/>
              <w:right w:val="single" w:sz="4" w:space="0" w:color="auto"/>
            </w:tcBorders>
          </w:tcPr>
          <w:p w14:paraId="018D95DF"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9</w:t>
            </w:r>
            <w:r>
              <w:rPr>
                <w:rFonts w:eastAsia="Times New Roman" w:cs="Arial"/>
                <w:b/>
                <w:color w:val="auto"/>
                <w:lang w:eastAsia="en-AU"/>
              </w:rPr>
              <w:t>,</w:t>
            </w:r>
            <w:r w:rsidRPr="00A80772">
              <w:rPr>
                <w:rFonts w:eastAsia="Times New Roman" w:cs="Arial"/>
                <w:b/>
                <w:color w:val="auto"/>
                <w:lang w:eastAsia="en-AU"/>
              </w:rPr>
              <w:t>697</w:t>
            </w:r>
          </w:p>
        </w:tc>
      </w:tr>
      <w:tr w:rsidR="008E707A" w:rsidRPr="005D3A1B" w14:paraId="213086E2"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tcPr>
          <w:p w14:paraId="3E9083CC" w14:textId="77777777" w:rsidR="00F974D5" w:rsidRPr="005D3A1B" w:rsidRDefault="00F974D5" w:rsidP="008E707A">
            <w:pPr>
              <w:tabs>
                <w:tab w:val="left" w:pos="1134"/>
              </w:tabs>
              <w:spacing w:before="0" w:line="240" w:lineRule="auto"/>
              <w:rPr>
                <w:rFonts w:cs="Arial"/>
                <w:b w:val="0"/>
                <w:bCs w:val="0"/>
                <w:color w:val="auto"/>
              </w:rPr>
            </w:pPr>
            <w:r w:rsidRPr="005D3A1B">
              <w:rPr>
                <w:rFonts w:cs="Arial"/>
                <w:color w:val="auto"/>
              </w:rPr>
              <w:t>2005</w:t>
            </w:r>
          </w:p>
        </w:tc>
        <w:tc>
          <w:tcPr>
            <w:tcW w:w="725" w:type="pct"/>
            <w:tcBorders>
              <w:left w:val="single" w:sz="4" w:space="0" w:color="auto"/>
            </w:tcBorders>
            <w:noWrap/>
            <w:hideMark/>
          </w:tcPr>
          <w:p w14:paraId="491D0622"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5</w:t>
            </w:r>
            <w:r>
              <w:rPr>
                <w:rFonts w:eastAsia="Times New Roman" w:cs="Arial"/>
                <w:color w:val="auto"/>
                <w:lang w:eastAsia="en-AU"/>
              </w:rPr>
              <w:t>,</w:t>
            </w:r>
            <w:r w:rsidRPr="005D3A1B">
              <w:rPr>
                <w:rFonts w:eastAsia="Times New Roman" w:cs="Arial"/>
                <w:color w:val="auto"/>
                <w:lang w:eastAsia="en-AU"/>
              </w:rPr>
              <w:t>789</w:t>
            </w:r>
          </w:p>
        </w:tc>
        <w:tc>
          <w:tcPr>
            <w:tcW w:w="380" w:type="pct"/>
            <w:tcBorders>
              <w:right w:val="single" w:sz="4" w:space="0" w:color="auto"/>
            </w:tcBorders>
          </w:tcPr>
          <w:p w14:paraId="7981206A"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(64.8%)</w:t>
            </w:r>
          </w:p>
        </w:tc>
        <w:tc>
          <w:tcPr>
            <w:tcW w:w="563" w:type="pct"/>
          </w:tcPr>
          <w:p w14:paraId="69C56915"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3</w:t>
            </w:r>
            <w:r>
              <w:rPr>
                <w:rFonts w:eastAsia="Times New Roman" w:cs="Arial"/>
                <w:color w:val="auto"/>
                <w:lang w:eastAsia="en-AU"/>
              </w:rPr>
              <w:t>,</w:t>
            </w:r>
            <w:r w:rsidRPr="005D3A1B">
              <w:rPr>
                <w:rFonts w:eastAsia="Times New Roman" w:cs="Arial"/>
                <w:color w:val="auto"/>
                <w:lang w:eastAsia="en-AU"/>
              </w:rPr>
              <w:t>141</w:t>
            </w:r>
          </w:p>
        </w:tc>
        <w:tc>
          <w:tcPr>
            <w:tcW w:w="380" w:type="pct"/>
          </w:tcPr>
          <w:p w14:paraId="555D3E18"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(35.2%)</w:t>
            </w:r>
          </w:p>
        </w:tc>
        <w:tc>
          <w:tcPr>
            <w:tcW w:w="625" w:type="pct"/>
            <w:tcBorders>
              <w:left w:val="single" w:sz="4" w:space="0" w:color="auto"/>
            </w:tcBorders>
            <w:noWrap/>
            <w:hideMark/>
          </w:tcPr>
          <w:p w14:paraId="7523F509"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2</w:t>
            </w:r>
            <w:r>
              <w:rPr>
                <w:rFonts w:eastAsia="Times New Roman" w:cs="Arial"/>
                <w:color w:val="auto"/>
                <w:lang w:eastAsia="en-AU"/>
              </w:rPr>
              <w:t>,</w:t>
            </w:r>
            <w:r w:rsidRPr="005D3A1B">
              <w:rPr>
                <w:rFonts w:eastAsia="Times New Roman" w:cs="Arial"/>
                <w:color w:val="auto"/>
                <w:lang w:eastAsia="en-AU"/>
              </w:rPr>
              <w:t>112</w:t>
            </w:r>
          </w:p>
        </w:tc>
        <w:tc>
          <w:tcPr>
            <w:tcW w:w="380" w:type="pct"/>
            <w:tcBorders>
              <w:right w:val="single" w:sz="4" w:space="0" w:color="auto"/>
            </w:tcBorders>
          </w:tcPr>
          <w:p w14:paraId="7F7C3DB2"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(23.7%)</w:t>
            </w:r>
          </w:p>
        </w:tc>
        <w:tc>
          <w:tcPr>
            <w:tcW w:w="781" w:type="pct"/>
            <w:tcBorders>
              <w:left w:val="single" w:sz="4" w:space="0" w:color="auto"/>
            </w:tcBorders>
            <w:noWrap/>
            <w:hideMark/>
          </w:tcPr>
          <w:p w14:paraId="5C57D75D"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1</w:t>
            </w:r>
            <w:r>
              <w:rPr>
                <w:rFonts w:eastAsia="Times New Roman" w:cs="Arial"/>
                <w:color w:val="auto"/>
                <w:lang w:eastAsia="en-AU"/>
              </w:rPr>
              <w:t>,</w:t>
            </w:r>
            <w:r w:rsidRPr="005D3A1B">
              <w:rPr>
                <w:rFonts w:eastAsia="Times New Roman" w:cs="Arial"/>
                <w:color w:val="auto"/>
                <w:lang w:eastAsia="en-AU"/>
              </w:rPr>
              <w:t>029</w:t>
            </w:r>
          </w:p>
        </w:tc>
        <w:tc>
          <w:tcPr>
            <w:tcW w:w="423" w:type="pct"/>
            <w:tcBorders>
              <w:right w:val="single" w:sz="4" w:space="0" w:color="auto"/>
            </w:tcBorders>
            <w:vAlign w:val="bottom"/>
          </w:tcPr>
          <w:p w14:paraId="30EDF4CF"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11.52%</w:t>
            </w:r>
            <w:r>
              <w:rPr>
                <w:rFonts w:ascii="Calibri" w:hAnsi="Calibri" w:cs="Arial"/>
                <w:color w:val="auto"/>
              </w:rPr>
              <w:t>)</w:t>
            </w:r>
          </w:p>
        </w:tc>
        <w:tc>
          <w:tcPr>
            <w:tcW w:w="395" w:type="pct"/>
            <w:tcBorders>
              <w:left w:val="single" w:sz="4" w:space="0" w:color="auto"/>
              <w:right w:val="single" w:sz="4" w:space="0" w:color="auto"/>
            </w:tcBorders>
          </w:tcPr>
          <w:p w14:paraId="33D583DD"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8</w:t>
            </w:r>
            <w:r>
              <w:rPr>
                <w:rFonts w:eastAsia="Times New Roman" w:cs="Arial"/>
                <w:b/>
                <w:color w:val="auto"/>
                <w:lang w:eastAsia="en-AU"/>
              </w:rPr>
              <w:t>,</w:t>
            </w:r>
            <w:r w:rsidRPr="00A80772">
              <w:rPr>
                <w:rFonts w:eastAsia="Times New Roman" w:cs="Arial"/>
                <w:b/>
                <w:color w:val="auto"/>
                <w:lang w:eastAsia="en-AU"/>
              </w:rPr>
              <w:t>930</w:t>
            </w:r>
          </w:p>
        </w:tc>
      </w:tr>
      <w:tr w:rsidR="008E707A" w:rsidRPr="005D3A1B" w14:paraId="11DCE5F6"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tcPr>
          <w:p w14:paraId="5DB35E85" w14:textId="77777777" w:rsidR="00F974D5" w:rsidRPr="005D3A1B" w:rsidRDefault="00F974D5" w:rsidP="008E707A">
            <w:pPr>
              <w:tabs>
                <w:tab w:val="left" w:pos="1134"/>
              </w:tabs>
              <w:spacing w:before="0" w:line="240" w:lineRule="auto"/>
              <w:rPr>
                <w:rFonts w:cs="Arial"/>
                <w:b w:val="0"/>
                <w:bCs w:val="0"/>
                <w:color w:val="auto"/>
              </w:rPr>
            </w:pPr>
            <w:r w:rsidRPr="005D3A1B">
              <w:rPr>
                <w:rFonts w:cs="Arial"/>
                <w:color w:val="auto"/>
              </w:rPr>
              <w:t>2006</w:t>
            </w:r>
          </w:p>
        </w:tc>
        <w:tc>
          <w:tcPr>
            <w:tcW w:w="725" w:type="pct"/>
            <w:tcBorders>
              <w:left w:val="single" w:sz="4" w:space="0" w:color="auto"/>
            </w:tcBorders>
            <w:noWrap/>
            <w:hideMark/>
          </w:tcPr>
          <w:p w14:paraId="453E0D07"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6</w:t>
            </w:r>
            <w:r>
              <w:rPr>
                <w:rFonts w:eastAsia="Times New Roman" w:cs="Arial"/>
                <w:color w:val="auto"/>
                <w:lang w:eastAsia="en-AU"/>
              </w:rPr>
              <w:t>,</w:t>
            </w:r>
            <w:r w:rsidRPr="005D3A1B">
              <w:rPr>
                <w:rFonts w:eastAsia="Times New Roman" w:cs="Arial"/>
                <w:color w:val="auto"/>
                <w:lang w:eastAsia="en-AU"/>
              </w:rPr>
              <w:t>879</w:t>
            </w:r>
          </w:p>
        </w:tc>
        <w:tc>
          <w:tcPr>
            <w:tcW w:w="380" w:type="pct"/>
            <w:tcBorders>
              <w:right w:val="single" w:sz="4" w:space="0" w:color="auto"/>
            </w:tcBorders>
          </w:tcPr>
          <w:p w14:paraId="788690EB"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(66.3%)</w:t>
            </w:r>
          </w:p>
        </w:tc>
        <w:tc>
          <w:tcPr>
            <w:tcW w:w="563" w:type="pct"/>
            <w:tcBorders>
              <w:right w:val="nil"/>
            </w:tcBorders>
          </w:tcPr>
          <w:p w14:paraId="5D727D3B"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3</w:t>
            </w:r>
            <w:r>
              <w:rPr>
                <w:rFonts w:eastAsia="Times New Roman" w:cs="Arial"/>
                <w:color w:val="auto"/>
                <w:lang w:eastAsia="en-AU"/>
              </w:rPr>
              <w:t>,</w:t>
            </w:r>
            <w:r w:rsidRPr="005D3A1B">
              <w:rPr>
                <w:rFonts w:eastAsia="Times New Roman" w:cs="Arial"/>
                <w:color w:val="auto"/>
                <w:lang w:eastAsia="en-AU"/>
              </w:rPr>
              <w:t>503</w:t>
            </w:r>
          </w:p>
        </w:tc>
        <w:tc>
          <w:tcPr>
            <w:tcW w:w="380" w:type="pct"/>
            <w:tcBorders>
              <w:left w:val="nil"/>
            </w:tcBorders>
          </w:tcPr>
          <w:p w14:paraId="0C3B3600"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(33.7%)</w:t>
            </w:r>
          </w:p>
        </w:tc>
        <w:tc>
          <w:tcPr>
            <w:tcW w:w="625" w:type="pct"/>
            <w:tcBorders>
              <w:left w:val="single" w:sz="4" w:space="0" w:color="auto"/>
            </w:tcBorders>
            <w:noWrap/>
            <w:hideMark/>
          </w:tcPr>
          <w:p w14:paraId="56935140"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2</w:t>
            </w:r>
            <w:r>
              <w:rPr>
                <w:rFonts w:eastAsia="Times New Roman" w:cs="Arial"/>
                <w:color w:val="auto"/>
                <w:lang w:eastAsia="en-AU"/>
              </w:rPr>
              <w:t>,</w:t>
            </w:r>
            <w:r w:rsidRPr="005D3A1B">
              <w:rPr>
                <w:rFonts w:eastAsia="Times New Roman" w:cs="Arial"/>
                <w:color w:val="auto"/>
                <w:lang w:eastAsia="en-AU"/>
              </w:rPr>
              <w:t>186</w:t>
            </w:r>
          </w:p>
        </w:tc>
        <w:tc>
          <w:tcPr>
            <w:tcW w:w="380" w:type="pct"/>
            <w:tcBorders>
              <w:right w:val="single" w:sz="4" w:space="0" w:color="auto"/>
            </w:tcBorders>
          </w:tcPr>
          <w:p w14:paraId="6CA0E761"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(21.1%)</w:t>
            </w:r>
          </w:p>
        </w:tc>
        <w:tc>
          <w:tcPr>
            <w:tcW w:w="781" w:type="pct"/>
            <w:tcBorders>
              <w:left w:val="single" w:sz="4" w:space="0" w:color="auto"/>
              <w:right w:val="nil"/>
            </w:tcBorders>
            <w:noWrap/>
            <w:hideMark/>
          </w:tcPr>
          <w:p w14:paraId="73D959FD"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1</w:t>
            </w:r>
            <w:r>
              <w:rPr>
                <w:rFonts w:eastAsia="Times New Roman" w:cs="Arial"/>
                <w:color w:val="auto"/>
                <w:lang w:eastAsia="en-AU"/>
              </w:rPr>
              <w:t>,</w:t>
            </w:r>
            <w:r w:rsidRPr="005D3A1B">
              <w:rPr>
                <w:rFonts w:eastAsia="Times New Roman" w:cs="Arial"/>
                <w:color w:val="auto"/>
                <w:lang w:eastAsia="en-AU"/>
              </w:rPr>
              <w:t>317</w:t>
            </w:r>
          </w:p>
        </w:tc>
        <w:tc>
          <w:tcPr>
            <w:tcW w:w="423" w:type="pct"/>
            <w:tcBorders>
              <w:left w:val="nil"/>
              <w:right w:val="single" w:sz="4" w:space="0" w:color="auto"/>
            </w:tcBorders>
            <w:vAlign w:val="bottom"/>
          </w:tcPr>
          <w:p w14:paraId="745E3286"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12.69</w:t>
            </w:r>
            <w:r>
              <w:rPr>
                <w:rFonts w:ascii="Calibri" w:hAnsi="Calibri" w:cs="Arial"/>
                <w:color w:val="auto"/>
              </w:rPr>
              <w:t>%)</w:t>
            </w:r>
          </w:p>
        </w:tc>
        <w:tc>
          <w:tcPr>
            <w:tcW w:w="395" w:type="pct"/>
            <w:tcBorders>
              <w:left w:val="single" w:sz="4" w:space="0" w:color="auto"/>
              <w:right w:val="single" w:sz="4" w:space="0" w:color="auto"/>
            </w:tcBorders>
          </w:tcPr>
          <w:p w14:paraId="5CC52302"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10</w:t>
            </w:r>
            <w:r>
              <w:rPr>
                <w:rFonts w:eastAsia="Times New Roman" w:cs="Arial"/>
                <w:b/>
                <w:color w:val="auto"/>
                <w:lang w:eastAsia="en-AU"/>
              </w:rPr>
              <w:t>,</w:t>
            </w:r>
            <w:r w:rsidRPr="00A80772">
              <w:rPr>
                <w:rFonts w:eastAsia="Times New Roman" w:cs="Arial"/>
                <w:b/>
                <w:color w:val="auto"/>
                <w:lang w:eastAsia="en-AU"/>
              </w:rPr>
              <w:t>382</w:t>
            </w:r>
          </w:p>
        </w:tc>
      </w:tr>
      <w:tr w:rsidR="008E707A" w:rsidRPr="005D3A1B" w14:paraId="20C11FD8"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tcPr>
          <w:p w14:paraId="626EC6DD" w14:textId="77777777" w:rsidR="00F974D5" w:rsidRPr="005D3A1B" w:rsidRDefault="00F974D5" w:rsidP="008E707A">
            <w:pPr>
              <w:tabs>
                <w:tab w:val="left" w:pos="1134"/>
              </w:tabs>
              <w:spacing w:before="0" w:line="240" w:lineRule="auto"/>
              <w:rPr>
                <w:rFonts w:cs="Arial"/>
                <w:b w:val="0"/>
                <w:bCs w:val="0"/>
                <w:color w:val="auto"/>
              </w:rPr>
            </w:pPr>
            <w:r w:rsidRPr="005D3A1B">
              <w:rPr>
                <w:rFonts w:cs="Arial"/>
                <w:color w:val="auto"/>
              </w:rPr>
              <w:t>2007</w:t>
            </w:r>
          </w:p>
        </w:tc>
        <w:tc>
          <w:tcPr>
            <w:tcW w:w="725" w:type="pct"/>
            <w:tcBorders>
              <w:left w:val="single" w:sz="4" w:space="0" w:color="auto"/>
            </w:tcBorders>
            <w:noWrap/>
            <w:hideMark/>
          </w:tcPr>
          <w:p w14:paraId="4ECFE47A"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5</w:t>
            </w:r>
            <w:r>
              <w:rPr>
                <w:rFonts w:eastAsia="Times New Roman" w:cs="Arial"/>
                <w:color w:val="auto"/>
                <w:lang w:eastAsia="en-AU"/>
              </w:rPr>
              <w:t>,</w:t>
            </w:r>
            <w:r w:rsidRPr="005D3A1B">
              <w:rPr>
                <w:rFonts w:eastAsia="Times New Roman" w:cs="Arial"/>
                <w:color w:val="auto"/>
                <w:lang w:eastAsia="en-AU"/>
              </w:rPr>
              <w:t>330</w:t>
            </w:r>
          </w:p>
        </w:tc>
        <w:tc>
          <w:tcPr>
            <w:tcW w:w="380" w:type="pct"/>
            <w:tcBorders>
              <w:right w:val="single" w:sz="4" w:space="0" w:color="auto"/>
            </w:tcBorders>
          </w:tcPr>
          <w:p w14:paraId="187CEE25"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(52.2%)</w:t>
            </w:r>
          </w:p>
        </w:tc>
        <w:tc>
          <w:tcPr>
            <w:tcW w:w="563" w:type="pct"/>
          </w:tcPr>
          <w:p w14:paraId="0BC8C268"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4</w:t>
            </w:r>
            <w:r>
              <w:rPr>
                <w:rFonts w:eastAsia="Times New Roman" w:cs="Arial"/>
                <w:color w:val="auto"/>
                <w:lang w:eastAsia="en-AU"/>
              </w:rPr>
              <w:t>,</w:t>
            </w:r>
            <w:r w:rsidRPr="005D3A1B">
              <w:rPr>
                <w:rFonts w:eastAsia="Times New Roman" w:cs="Arial"/>
                <w:color w:val="auto"/>
                <w:lang w:eastAsia="en-AU"/>
              </w:rPr>
              <w:t>873</w:t>
            </w:r>
          </w:p>
        </w:tc>
        <w:tc>
          <w:tcPr>
            <w:tcW w:w="380" w:type="pct"/>
          </w:tcPr>
          <w:p w14:paraId="2FD6D5C4"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(47.8%)</w:t>
            </w:r>
          </w:p>
        </w:tc>
        <w:tc>
          <w:tcPr>
            <w:tcW w:w="625" w:type="pct"/>
            <w:tcBorders>
              <w:left w:val="single" w:sz="4" w:space="0" w:color="auto"/>
            </w:tcBorders>
            <w:noWrap/>
            <w:hideMark/>
          </w:tcPr>
          <w:p w14:paraId="5FD38CB4"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3</w:t>
            </w:r>
            <w:r>
              <w:rPr>
                <w:rFonts w:eastAsia="Times New Roman" w:cs="Arial"/>
                <w:color w:val="auto"/>
                <w:lang w:eastAsia="en-AU"/>
              </w:rPr>
              <w:t>,</w:t>
            </w:r>
            <w:r w:rsidRPr="005D3A1B">
              <w:rPr>
                <w:rFonts w:eastAsia="Times New Roman" w:cs="Arial"/>
                <w:color w:val="auto"/>
                <w:lang w:eastAsia="en-AU"/>
              </w:rPr>
              <w:t>213</w:t>
            </w:r>
          </w:p>
        </w:tc>
        <w:tc>
          <w:tcPr>
            <w:tcW w:w="380" w:type="pct"/>
            <w:tcBorders>
              <w:right w:val="single" w:sz="4" w:space="0" w:color="auto"/>
            </w:tcBorders>
          </w:tcPr>
          <w:p w14:paraId="51C9C0B0"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(31.5%)</w:t>
            </w:r>
          </w:p>
        </w:tc>
        <w:tc>
          <w:tcPr>
            <w:tcW w:w="781" w:type="pct"/>
            <w:tcBorders>
              <w:left w:val="single" w:sz="4" w:space="0" w:color="auto"/>
            </w:tcBorders>
            <w:noWrap/>
            <w:hideMark/>
          </w:tcPr>
          <w:p w14:paraId="43F1FDF9"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1</w:t>
            </w:r>
            <w:r>
              <w:rPr>
                <w:rFonts w:eastAsia="Times New Roman" w:cs="Arial"/>
                <w:color w:val="auto"/>
                <w:lang w:eastAsia="en-AU"/>
              </w:rPr>
              <w:t>,</w:t>
            </w:r>
            <w:r w:rsidRPr="005D3A1B">
              <w:rPr>
                <w:rFonts w:eastAsia="Times New Roman" w:cs="Arial"/>
                <w:color w:val="auto"/>
                <w:lang w:eastAsia="en-AU"/>
              </w:rPr>
              <w:t>660</w:t>
            </w:r>
          </w:p>
        </w:tc>
        <w:tc>
          <w:tcPr>
            <w:tcW w:w="423" w:type="pct"/>
            <w:tcBorders>
              <w:right w:val="single" w:sz="4" w:space="0" w:color="auto"/>
            </w:tcBorders>
            <w:vAlign w:val="bottom"/>
          </w:tcPr>
          <w:p w14:paraId="35A911B9"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16.27%</w:t>
            </w:r>
            <w:r>
              <w:rPr>
                <w:rFonts w:ascii="Calibri" w:hAnsi="Calibri" w:cs="Arial"/>
                <w:color w:val="auto"/>
              </w:rPr>
              <w:t>)</w:t>
            </w:r>
          </w:p>
        </w:tc>
        <w:tc>
          <w:tcPr>
            <w:tcW w:w="395" w:type="pct"/>
            <w:tcBorders>
              <w:left w:val="single" w:sz="4" w:space="0" w:color="auto"/>
              <w:right w:val="single" w:sz="4" w:space="0" w:color="auto"/>
            </w:tcBorders>
          </w:tcPr>
          <w:p w14:paraId="3219BF00"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10</w:t>
            </w:r>
            <w:r>
              <w:rPr>
                <w:rFonts w:eastAsia="Times New Roman" w:cs="Arial"/>
                <w:b/>
                <w:color w:val="auto"/>
                <w:lang w:eastAsia="en-AU"/>
              </w:rPr>
              <w:t>,</w:t>
            </w:r>
            <w:r w:rsidRPr="00A80772">
              <w:rPr>
                <w:rFonts w:eastAsia="Times New Roman" w:cs="Arial"/>
                <w:b/>
                <w:color w:val="auto"/>
                <w:lang w:eastAsia="en-AU"/>
              </w:rPr>
              <w:t>203</w:t>
            </w:r>
          </w:p>
        </w:tc>
      </w:tr>
      <w:tr w:rsidR="008E707A" w:rsidRPr="005D3A1B" w14:paraId="13AD5584"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tcPr>
          <w:p w14:paraId="2BEF67D4" w14:textId="77777777" w:rsidR="00F974D5" w:rsidRPr="005D3A1B" w:rsidRDefault="00F974D5" w:rsidP="008E707A">
            <w:pPr>
              <w:tabs>
                <w:tab w:val="left" w:pos="1134"/>
              </w:tabs>
              <w:spacing w:before="0" w:line="240" w:lineRule="auto"/>
              <w:rPr>
                <w:rFonts w:cs="Arial"/>
                <w:b w:val="0"/>
                <w:bCs w:val="0"/>
                <w:color w:val="auto"/>
              </w:rPr>
            </w:pPr>
            <w:r w:rsidRPr="005D3A1B">
              <w:rPr>
                <w:rFonts w:cs="Arial"/>
                <w:color w:val="auto"/>
              </w:rPr>
              <w:t>2008</w:t>
            </w:r>
          </w:p>
        </w:tc>
        <w:tc>
          <w:tcPr>
            <w:tcW w:w="725" w:type="pct"/>
            <w:tcBorders>
              <w:left w:val="single" w:sz="4" w:space="0" w:color="auto"/>
            </w:tcBorders>
            <w:noWrap/>
            <w:hideMark/>
          </w:tcPr>
          <w:p w14:paraId="1A6EF900"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8</w:t>
            </w:r>
            <w:r>
              <w:rPr>
                <w:rFonts w:eastAsia="Times New Roman" w:cs="Arial"/>
                <w:color w:val="auto"/>
                <w:lang w:eastAsia="en-AU"/>
              </w:rPr>
              <w:t>,</w:t>
            </w:r>
            <w:r w:rsidRPr="005D3A1B">
              <w:rPr>
                <w:rFonts w:eastAsia="Times New Roman" w:cs="Arial"/>
                <w:color w:val="auto"/>
                <w:lang w:eastAsia="en-AU"/>
              </w:rPr>
              <w:t>087</w:t>
            </w:r>
          </w:p>
        </w:tc>
        <w:tc>
          <w:tcPr>
            <w:tcW w:w="380" w:type="pct"/>
            <w:tcBorders>
              <w:right w:val="single" w:sz="4" w:space="0" w:color="auto"/>
            </w:tcBorders>
          </w:tcPr>
          <w:p w14:paraId="2E532555"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(62.8%)</w:t>
            </w:r>
          </w:p>
        </w:tc>
        <w:tc>
          <w:tcPr>
            <w:tcW w:w="563" w:type="pct"/>
            <w:tcBorders>
              <w:right w:val="nil"/>
            </w:tcBorders>
          </w:tcPr>
          <w:p w14:paraId="46CBE76C"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4</w:t>
            </w:r>
            <w:r>
              <w:rPr>
                <w:rFonts w:eastAsia="Times New Roman" w:cs="Arial"/>
                <w:color w:val="auto"/>
                <w:lang w:eastAsia="en-AU"/>
              </w:rPr>
              <w:t>,</w:t>
            </w:r>
            <w:r w:rsidRPr="005D3A1B">
              <w:rPr>
                <w:rFonts w:eastAsia="Times New Roman" w:cs="Arial"/>
                <w:color w:val="auto"/>
                <w:lang w:eastAsia="en-AU"/>
              </w:rPr>
              <w:t>800</w:t>
            </w:r>
          </w:p>
        </w:tc>
        <w:tc>
          <w:tcPr>
            <w:tcW w:w="380" w:type="pct"/>
            <w:tcBorders>
              <w:left w:val="nil"/>
            </w:tcBorders>
          </w:tcPr>
          <w:p w14:paraId="177A0742"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(37.2%)</w:t>
            </w:r>
          </w:p>
        </w:tc>
        <w:tc>
          <w:tcPr>
            <w:tcW w:w="625" w:type="pct"/>
            <w:tcBorders>
              <w:left w:val="single" w:sz="4" w:space="0" w:color="auto"/>
            </w:tcBorders>
            <w:noWrap/>
            <w:hideMark/>
          </w:tcPr>
          <w:p w14:paraId="3F752D78"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3</w:t>
            </w:r>
            <w:r>
              <w:rPr>
                <w:rFonts w:eastAsia="Times New Roman" w:cs="Arial"/>
                <w:color w:val="auto"/>
                <w:lang w:eastAsia="en-AU"/>
              </w:rPr>
              <w:t>,</w:t>
            </w:r>
            <w:r w:rsidRPr="005D3A1B">
              <w:rPr>
                <w:rFonts w:eastAsia="Times New Roman" w:cs="Arial"/>
                <w:color w:val="auto"/>
                <w:lang w:eastAsia="en-AU"/>
              </w:rPr>
              <w:t>061</w:t>
            </w:r>
          </w:p>
        </w:tc>
        <w:tc>
          <w:tcPr>
            <w:tcW w:w="380" w:type="pct"/>
            <w:tcBorders>
              <w:right w:val="single" w:sz="4" w:space="0" w:color="auto"/>
            </w:tcBorders>
          </w:tcPr>
          <w:p w14:paraId="0D5E1ACE"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(23.8%)</w:t>
            </w:r>
          </w:p>
        </w:tc>
        <w:tc>
          <w:tcPr>
            <w:tcW w:w="781" w:type="pct"/>
            <w:tcBorders>
              <w:left w:val="single" w:sz="4" w:space="0" w:color="auto"/>
              <w:right w:val="nil"/>
            </w:tcBorders>
            <w:noWrap/>
            <w:hideMark/>
          </w:tcPr>
          <w:p w14:paraId="6E370BE0"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1</w:t>
            </w:r>
            <w:r>
              <w:rPr>
                <w:rFonts w:eastAsia="Times New Roman" w:cs="Arial"/>
                <w:color w:val="auto"/>
                <w:lang w:eastAsia="en-AU"/>
              </w:rPr>
              <w:t>,</w:t>
            </w:r>
            <w:r w:rsidRPr="005D3A1B">
              <w:rPr>
                <w:rFonts w:eastAsia="Times New Roman" w:cs="Arial"/>
                <w:color w:val="auto"/>
                <w:lang w:eastAsia="en-AU"/>
              </w:rPr>
              <w:t>739</w:t>
            </w:r>
          </w:p>
        </w:tc>
        <w:tc>
          <w:tcPr>
            <w:tcW w:w="423" w:type="pct"/>
            <w:tcBorders>
              <w:left w:val="nil"/>
              <w:right w:val="single" w:sz="4" w:space="0" w:color="auto"/>
            </w:tcBorders>
            <w:vAlign w:val="bottom"/>
          </w:tcPr>
          <w:p w14:paraId="50CF95AC"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13.49%</w:t>
            </w:r>
            <w:r>
              <w:rPr>
                <w:rFonts w:ascii="Calibri" w:hAnsi="Calibri" w:cs="Arial"/>
                <w:color w:val="auto"/>
              </w:rPr>
              <w:t>)</w:t>
            </w:r>
          </w:p>
        </w:tc>
        <w:tc>
          <w:tcPr>
            <w:tcW w:w="395" w:type="pct"/>
            <w:tcBorders>
              <w:left w:val="single" w:sz="4" w:space="0" w:color="auto"/>
              <w:right w:val="single" w:sz="4" w:space="0" w:color="auto"/>
            </w:tcBorders>
          </w:tcPr>
          <w:p w14:paraId="46ADC6B8"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12</w:t>
            </w:r>
            <w:r>
              <w:rPr>
                <w:rFonts w:eastAsia="Times New Roman" w:cs="Arial"/>
                <w:b/>
                <w:color w:val="auto"/>
                <w:lang w:eastAsia="en-AU"/>
              </w:rPr>
              <w:t>,</w:t>
            </w:r>
            <w:r w:rsidRPr="00A80772">
              <w:rPr>
                <w:rFonts w:eastAsia="Times New Roman" w:cs="Arial"/>
                <w:b/>
                <w:color w:val="auto"/>
                <w:lang w:eastAsia="en-AU"/>
              </w:rPr>
              <w:t>887</w:t>
            </w:r>
          </w:p>
        </w:tc>
      </w:tr>
      <w:tr w:rsidR="008E707A" w:rsidRPr="005D3A1B" w14:paraId="1F8ED0C1"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tcPr>
          <w:p w14:paraId="7BB6662B" w14:textId="77777777" w:rsidR="00F974D5" w:rsidRPr="005D3A1B" w:rsidRDefault="00F974D5" w:rsidP="008E707A">
            <w:pPr>
              <w:tabs>
                <w:tab w:val="left" w:pos="1134"/>
              </w:tabs>
              <w:spacing w:before="0" w:line="240" w:lineRule="auto"/>
              <w:rPr>
                <w:rFonts w:cs="Arial"/>
                <w:b w:val="0"/>
                <w:bCs w:val="0"/>
                <w:color w:val="auto"/>
              </w:rPr>
            </w:pPr>
            <w:r w:rsidRPr="005D3A1B">
              <w:rPr>
                <w:rFonts w:cs="Arial"/>
                <w:color w:val="auto"/>
              </w:rPr>
              <w:t>2009</w:t>
            </w:r>
          </w:p>
        </w:tc>
        <w:tc>
          <w:tcPr>
            <w:tcW w:w="725" w:type="pct"/>
            <w:tcBorders>
              <w:left w:val="single" w:sz="4" w:space="0" w:color="auto"/>
            </w:tcBorders>
            <w:noWrap/>
            <w:hideMark/>
          </w:tcPr>
          <w:p w14:paraId="1F7A68D3"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9</w:t>
            </w:r>
            <w:r>
              <w:rPr>
                <w:rFonts w:eastAsia="Times New Roman" w:cs="Arial"/>
                <w:color w:val="auto"/>
                <w:lang w:eastAsia="en-AU"/>
              </w:rPr>
              <w:t>,</w:t>
            </w:r>
            <w:r w:rsidRPr="005D3A1B">
              <w:rPr>
                <w:rFonts w:eastAsia="Times New Roman" w:cs="Arial"/>
                <w:color w:val="auto"/>
                <w:lang w:eastAsia="en-AU"/>
              </w:rPr>
              <w:t>912</w:t>
            </w:r>
          </w:p>
        </w:tc>
        <w:tc>
          <w:tcPr>
            <w:tcW w:w="380" w:type="pct"/>
            <w:tcBorders>
              <w:right w:val="single" w:sz="4" w:space="0" w:color="auto"/>
            </w:tcBorders>
          </w:tcPr>
          <w:p w14:paraId="36141B07"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(67.1%)</w:t>
            </w:r>
          </w:p>
        </w:tc>
        <w:tc>
          <w:tcPr>
            <w:tcW w:w="563" w:type="pct"/>
          </w:tcPr>
          <w:p w14:paraId="3C5DB41C"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4</w:t>
            </w:r>
            <w:r>
              <w:rPr>
                <w:rFonts w:eastAsia="Times New Roman" w:cs="Arial"/>
                <w:color w:val="auto"/>
                <w:lang w:eastAsia="en-AU"/>
              </w:rPr>
              <w:t>,</w:t>
            </w:r>
            <w:r w:rsidRPr="005D3A1B">
              <w:rPr>
                <w:rFonts w:eastAsia="Times New Roman" w:cs="Arial"/>
                <w:color w:val="auto"/>
                <w:lang w:eastAsia="en-AU"/>
              </w:rPr>
              <w:t>869</w:t>
            </w:r>
          </w:p>
        </w:tc>
        <w:tc>
          <w:tcPr>
            <w:tcW w:w="380" w:type="pct"/>
          </w:tcPr>
          <w:p w14:paraId="71D36478"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(32.9%)</w:t>
            </w:r>
          </w:p>
        </w:tc>
        <w:tc>
          <w:tcPr>
            <w:tcW w:w="625" w:type="pct"/>
            <w:tcBorders>
              <w:left w:val="single" w:sz="4" w:space="0" w:color="auto"/>
            </w:tcBorders>
            <w:noWrap/>
            <w:hideMark/>
          </w:tcPr>
          <w:p w14:paraId="55C248AD"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2</w:t>
            </w:r>
            <w:r>
              <w:rPr>
                <w:rFonts w:eastAsia="Times New Roman" w:cs="Arial"/>
                <w:color w:val="auto"/>
                <w:lang w:eastAsia="en-AU"/>
              </w:rPr>
              <w:t>,</w:t>
            </w:r>
            <w:r w:rsidRPr="005D3A1B">
              <w:rPr>
                <w:rFonts w:eastAsia="Times New Roman" w:cs="Arial"/>
                <w:color w:val="auto"/>
                <w:lang w:eastAsia="en-AU"/>
              </w:rPr>
              <w:t>913</w:t>
            </w:r>
          </w:p>
        </w:tc>
        <w:tc>
          <w:tcPr>
            <w:tcW w:w="380" w:type="pct"/>
            <w:tcBorders>
              <w:right w:val="single" w:sz="4" w:space="0" w:color="auto"/>
            </w:tcBorders>
          </w:tcPr>
          <w:p w14:paraId="196B0312"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(19.7%)</w:t>
            </w:r>
          </w:p>
        </w:tc>
        <w:tc>
          <w:tcPr>
            <w:tcW w:w="781" w:type="pct"/>
            <w:tcBorders>
              <w:left w:val="single" w:sz="4" w:space="0" w:color="auto"/>
            </w:tcBorders>
            <w:noWrap/>
            <w:hideMark/>
          </w:tcPr>
          <w:p w14:paraId="3961846F"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1</w:t>
            </w:r>
            <w:r>
              <w:rPr>
                <w:rFonts w:eastAsia="Times New Roman" w:cs="Arial"/>
                <w:color w:val="auto"/>
                <w:lang w:eastAsia="en-AU"/>
              </w:rPr>
              <w:t>,</w:t>
            </w:r>
            <w:r w:rsidRPr="005D3A1B">
              <w:rPr>
                <w:rFonts w:eastAsia="Times New Roman" w:cs="Arial"/>
                <w:color w:val="auto"/>
                <w:lang w:eastAsia="en-AU"/>
              </w:rPr>
              <w:t>956</w:t>
            </w:r>
          </w:p>
        </w:tc>
        <w:tc>
          <w:tcPr>
            <w:tcW w:w="423" w:type="pct"/>
            <w:tcBorders>
              <w:right w:val="single" w:sz="4" w:space="0" w:color="auto"/>
            </w:tcBorders>
            <w:vAlign w:val="bottom"/>
          </w:tcPr>
          <w:p w14:paraId="6D226752"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13.23%</w:t>
            </w:r>
            <w:r>
              <w:rPr>
                <w:rFonts w:ascii="Calibri" w:hAnsi="Calibri" w:cs="Arial"/>
                <w:color w:val="auto"/>
              </w:rPr>
              <w:t>)</w:t>
            </w:r>
          </w:p>
        </w:tc>
        <w:tc>
          <w:tcPr>
            <w:tcW w:w="395" w:type="pct"/>
            <w:tcBorders>
              <w:left w:val="single" w:sz="4" w:space="0" w:color="auto"/>
              <w:right w:val="single" w:sz="4" w:space="0" w:color="auto"/>
            </w:tcBorders>
          </w:tcPr>
          <w:p w14:paraId="5BE29C30"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14</w:t>
            </w:r>
            <w:r>
              <w:rPr>
                <w:rFonts w:eastAsia="Times New Roman" w:cs="Arial"/>
                <w:b/>
                <w:color w:val="auto"/>
                <w:lang w:eastAsia="en-AU"/>
              </w:rPr>
              <w:t>,</w:t>
            </w:r>
            <w:r w:rsidRPr="00A80772">
              <w:rPr>
                <w:rFonts w:eastAsia="Times New Roman" w:cs="Arial"/>
                <w:b/>
                <w:color w:val="auto"/>
                <w:lang w:eastAsia="en-AU"/>
              </w:rPr>
              <w:t>781</w:t>
            </w:r>
          </w:p>
        </w:tc>
      </w:tr>
      <w:tr w:rsidR="008E707A" w:rsidRPr="005D3A1B" w14:paraId="4AE4257C"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tcPr>
          <w:p w14:paraId="44EB447E" w14:textId="77777777" w:rsidR="00F974D5" w:rsidRPr="005D3A1B" w:rsidRDefault="00F974D5" w:rsidP="008E707A">
            <w:pPr>
              <w:tabs>
                <w:tab w:val="left" w:pos="1134"/>
              </w:tabs>
              <w:spacing w:before="0" w:line="240" w:lineRule="auto"/>
              <w:rPr>
                <w:rFonts w:cs="Arial"/>
                <w:b w:val="0"/>
                <w:bCs w:val="0"/>
                <w:color w:val="auto"/>
              </w:rPr>
            </w:pPr>
            <w:r w:rsidRPr="005D3A1B">
              <w:rPr>
                <w:rFonts w:cs="Arial"/>
                <w:color w:val="auto"/>
              </w:rPr>
              <w:t>2010</w:t>
            </w:r>
          </w:p>
        </w:tc>
        <w:tc>
          <w:tcPr>
            <w:tcW w:w="725" w:type="pct"/>
            <w:tcBorders>
              <w:left w:val="single" w:sz="4" w:space="0" w:color="auto"/>
            </w:tcBorders>
            <w:noWrap/>
            <w:hideMark/>
          </w:tcPr>
          <w:p w14:paraId="10AF8173"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10</w:t>
            </w:r>
            <w:r>
              <w:rPr>
                <w:rFonts w:eastAsia="Times New Roman" w:cs="Arial"/>
                <w:color w:val="auto"/>
                <w:lang w:eastAsia="en-AU"/>
              </w:rPr>
              <w:t>,</w:t>
            </w:r>
            <w:r w:rsidRPr="005D3A1B">
              <w:rPr>
                <w:rFonts w:eastAsia="Times New Roman" w:cs="Arial"/>
                <w:color w:val="auto"/>
                <w:lang w:eastAsia="en-AU"/>
              </w:rPr>
              <w:t>027</w:t>
            </w:r>
          </w:p>
        </w:tc>
        <w:tc>
          <w:tcPr>
            <w:tcW w:w="380" w:type="pct"/>
            <w:tcBorders>
              <w:right w:val="single" w:sz="4" w:space="0" w:color="auto"/>
            </w:tcBorders>
          </w:tcPr>
          <w:p w14:paraId="3805CCEE"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(66.6%)</w:t>
            </w:r>
          </w:p>
        </w:tc>
        <w:tc>
          <w:tcPr>
            <w:tcW w:w="563" w:type="pct"/>
            <w:tcBorders>
              <w:right w:val="nil"/>
            </w:tcBorders>
          </w:tcPr>
          <w:p w14:paraId="51938A1F"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5</w:t>
            </w:r>
            <w:r>
              <w:rPr>
                <w:rFonts w:eastAsia="Times New Roman" w:cs="Arial"/>
                <w:color w:val="auto"/>
                <w:lang w:eastAsia="en-AU"/>
              </w:rPr>
              <w:t>,</w:t>
            </w:r>
            <w:r w:rsidRPr="005D3A1B">
              <w:rPr>
                <w:rFonts w:eastAsia="Times New Roman" w:cs="Arial"/>
                <w:color w:val="auto"/>
                <w:lang w:eastAsia="en-AU"/>
              </w:rPr>
              <w:t>023</w:t>
            </w:r>
          </w:p>
        </w:tc>
        <w:tc>
          <w:tcPr>
            <w:tcW w:w="380" w:type="pct"/>
            <w:tcBorders>
              <w:left w:val="nil"/>
            </w:tcBorders>
          </w:tcPr>
          <w:p w14:paraId="2426A1ED"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(33.4%)</w:t>
            </w:r>
          </w:p>
        </w:tc>
        <w:tc>
          <w:tcPr>
            <w:tcW w:w="625" w:type="pct"/>
            <w:tcBorders>
              <w:left w:val="single" w:sz="4" w:space="0" w:color="auto"/>
            </w:tcBorders>
            <w:noWrap/>
            <w:hideMark/>
          </w:tcPr>
          <w:p w14:paraId="791ED2B1"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2</w:t>
            </w:r>
            <w:r>
              <w:rPr>
                <w:rFonts w:eastAsia="Times New Roman" w:cs="Arial"/>
                <w:color w:val="auto"/>
                <w:lang w:eastAsia="en-AU"/>
              </w:rPr>
              <w:t>,</w:t>
            </w:r>
            <w:r w:rsidRPr="005D3A1B">
              <w:rPr>
                <w:rFonts w:eastAsia="Times New Roman" w:cs="Arial"/>
                <w:color w:val="auto"/>
                <w:lang w:eastAsia="en-AU"/>
              </w:rPr>
              <w:t>863</w:t>
            </w:r>
          </w:p>
        </w:tc>
        <w:tc>
          <w:tcPr>
            <w:tcW w:w="380" w:type="pct"/>
            <w:tcBorders>
              <w:right w:val="single" w:sz="4" w:space="0" w:color="auto"/>
            </w:tcBorders>
          </w:tcPr>
          <w:p w14:paraId="2E85C916"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(19</w:t>
            </w:r>
            <w:r>
              <w:rPr>
                <w:rFonts w:eastAsia="Times New Roman" w:cs="Arial"/>
                <w:color w:val="000000"/>
                <w:lang w:eastAsia="en-AU"/>
              </w:rPr>
              <w:t>.0</w:t>
            </w:r>
            <w:r w:rsidRPr="005D3A1B">
              <w:rPr>
                <w:rFonts w:eastAsia="Times New Roman" w:cs="Arial"/>
                <w:color w:val="000000"/>
                <w:lang w:eastAsia="en-AU"/>
              </w:rPr>
              <w:t>%)</w:t>
            </w:r>
          </w:p>
        </w:tc>
        <w:tc>
          <w:tcPr>
            <w:tcW w:w="781" w:type="pct"/>
            <w:tcBorders>
              <w:left w:val="single" w:sz="4" w:space="0" w:color="auto"/>
              <w:right w:val="nil"/>
            </w:tcBorders>
            <w:noWrap/>
            <w:hideMark/>
          </w:tcPr>
          <w:p w14:paraId="5D802356"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2</w:t>
            </w:r>
            <w:r>
              <w:rPr>
                <w:rFonts w:eastAsia="Times New Roman" w:cs="Arial"/>
                <w:color w:val="auto"/>
                <w:lang w:eastAsia="en-AU"/>
              </w:rPr>
              <w:t>,</w:t>
            </w:r>
            <w:r w:rsidRPr="005D3A1B">
              <w:rPr>
                <w:rFonts w:eastAsia="Times New Roman" w:cs="Arial"/>
                <w:color w:val="auto"/>
                <w:lang w:eastAsia="en-AU"/>
              </w:rPr>
              <w:t>160</w:t>
            </w:r>
          </w:p>
        </w:tc>
        <w:tc>
          <w:tcPr>
            <w:tcW w:w="423" w:type="pct"/>
            <w:tcBorders>
              <w:left w:val="nil"/>
              <w:right w:val="single" w:sz="4" w:space="0" w:color="auto"/>
            </w:tcBorders>
            <w:vAlign w:val="bottom"/>
          </w:tcPr>
          <w:p w14:paraId="17D88BFC"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14.35%</w:t>
            </w:r>
            <w:r>
              <w:rPr>
                <w:rFonts w:ascii="Calibri" w:hAnsi="Calibri" w:cs="Arial"/>
                <w:color w:val="auto"/>
              </w:rPr>
              <w:t>)</w:t>
            </w:r>
          </w:p>
        </w:tc>
        <w:tc>
          <w:tcPr>
            <w:tcW w:w="395" w:type="pct"/>
            <w:tcBorders>
              <w:left w:val="single" w:sz="4" w:space="0" w:color="auto"/>
              <w:right w:val="single" w:sz="4" w:space="0" w:color="auto"/>
            </w:tcBorders>
          </w:tcPr>
          <w:p w14:paraId="697F120B"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15</w:t>
            </w:r>
            <w:r>
              <w:rPr>
                <w:rFonts w:eastAsia="Times New Roman" w:cs="Arial"/>
                <w:b/>
                <w:color w:val="auto"/>
                <w:lang w:eastAsia="en-AU"/>
              </w:rPr>
              <w:t>,</w:t>
            </w:r>
            <w:r w:rsidRPr="00A80772">
              <w:rPr>
                <w:rFonts w:eastAsia="Times New Roman" w:cs="Arial"/>
                <w:b/>
                <w:color w:val="auto"/>
                <w:lang w:eastAsia="en-AU"/>
              </w:rPr>
              <w:t>050</w:t>
            </w:r>
          </w:p>
        </w:tc>
      </w:tr>
      <w:tr w:rsidR="008E707A" w:rsidRPr="005D3A1B" w14:paraId="3FC7E447"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tcPr>
          <w:p w14:paraId="2D7ED8B2" w14:textId="77777777" w:rsidR="00F974D5" w:rsidRPr="005D3A1B" w:rsidRDefault="00F974D5" w:rsidP="008E707A">
            <w:pPr>
              <w:tabs>
                <w:tab w:val="left" w:pos="1134"/>
              </w:tabs>
              <w:spacing w:before="0" w:line="240" w:lineRule="auto"/>
              <w:rPr>
                <w:rFonts w:cs="Arial"/>
                <w:b w:val="0"/>
                <w:bCs w:val="0"/>
                <w:color w:val="auto"/>
              </w:rPr>
            </w:pPr>
            <w:r w:rsidRPr="005D3A1B">
              <w:rPr>
                <w:rFonts w:cs="Arial"/>
                <w:color w:val="auto"/>
              </w:rPr>
              <w:t>2011</w:t>
            </w:r>
          </w:p>
        </w:tc>
        <w:tc>
          <w:tcPr>
            <w:tcW w:w="725" w:type="pct"/>
            <w:tcBorders>
              <w:left w:val="single" w:sz="4" w:space="0" w:color="auto"/>
            </w:tcBorders>
            <w:noWrap/>
            <w:hideMark/>
          </w:tcPr>
          <w:p w14:paraId="764BE58D"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9</w:t>
            </w:r>
            <w:r>
              <w:rPr>
                <w:rFonts w:eastAsia="Times New Roman" w:cs="Arial"/>
                <w:color w:val="auto"/>
                <w:lang w:eastAsia="en-AU"/>
              </w:rPr>
              <w:t>,</w:t>
            </w:r>
            <w:r w:rsidRPr="005D3A1B">
              <w:rPr>
                <w:rFonts w:eastAsia="Times New Roman" w:cs="Arial"/>
                <w:color w:val="auto"/>
                <w:lang w:eastAsia="en-AU"/>
              </w:rPr>
              <w:t>339</w:t>
            </w:r>
          </w:p>
        </w:tc>
        <w:tc>
          <w:tcPr>
            <w:tcW w:w="380" w:type="pct"/>
            <w:tcBorders>
              <w:right w:val="single" w:sz="4" w:space="0" w:color="auto"/>
            </w:tcBorders>
          </w:tcPr>
          <w:p w14:paraId="58B23799"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(66.8%)</w:t>
            </w:r>
          </w:p>
        </w:tc>
        <w:tc>
          <w:tcPr>
            <w:tcW w:w="563" w:type="pct"/>
          </w:tcPr>
          <w:p w14:paraId="480BDFA5"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4</w:t>
            </w:r>
            <w:r>
              <w:rPr>
                <w:rFonts w:eastAsia="Times New Roman" w:cs="Arial"/>
                <w:color w:val="auto"/>
                <w:lang w:eastAsia="en-AU"/>
              </w:rPr>
              <w:t>,</w:t>
            </w:r>
            <w:r w:rsidRPr="005D3A1B">
              <w:rPr>
                <w:rFonts w:eastAsia="Times New Roman" w:cs="Arial"/>
                <w:color w:val="auto"/>
                <w:lang w:eastAsia="en-AU"/>
              </w:rPr>
              <w:t>650</w:t>
            </w:r>
          </w:p>
        </w:tc>
        <w:tc>
          <w:tcPr>
            <w:tcW w:w="380" w:type="pct"/>
          </w:tcPr>
          <w:p w14:paraId="0A8F8879"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(33.2%)</w:t>
            </w:r>
          </w:p>
        </w:tc>
        <w:tc>
          <w:tcPr>
            <w:tcW w:w="625" w:type="pct"/>
            <w:tcBorders>
              <w:left w:val="single" w:sz="4" w:space="0" w:color="auto"/>
            </w:tcBorders>
            <w:noWrap/>
            <w:hideMark/>
          </w:tcPr>
          <w:p w14:paraId="3F734108"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2</w:t>
            </w:r>
            <w:r>
              <w:rPr>
                <w:rFonts w:eastAsia="Times New Roman" w:cs="Arial"/>
                <w:color w:val="auto"/>
                <w:lang w:eastAsia="en-AU"/>
              </w:rPr>
              <w:t>,</w:t>
            </w:r>
            <w:r w:rsidRPr="005D3A1B">
              <w:rPr>
                <w:rFonts w:eastAsia="Times New Roman" w:cs="Arial"/>
                <w:color w:val="auto"/>
                <w:lang w:eastAsia="en-AU"/>
              </w:rPr>
              <w:t>855</w:t>
            </w:r>
          </w:p>
        </w:tc>
        <w:tc>
          <w:tcPr>
            <w:tcW w:w="380" w:type="pct"/>
            <w:tcBorders>
              <w:right w:val="single" w:sz="4" w:space="0" w:color="auto"/>
            </w:tcBorders>
          </w:tcPr>
          <w:p w14:paraId="439296CA"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(20.4%)</w:t>
            </w:r>
          </w:p>
        </w:tc>
        <w:tc>
          <w:tcPr>
            <w:tcW w:w="781" w:type="pct"/>
            <w:tcBorders>
              <w:left w:val="single" w:sz="4" w:space="0" w:color="auto"/>
            </w:tcBorders>
            <w:noWrap/>
            <w:hideMark/>
          </w:tcPr>
          <w:p w14:paraId="69AF96C7" w14:textId="77777777" w:rsidR="00F974D5" w:rsidRPr="005D3A1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1</w:t>
            </w:r>
            <w:r>
              <w:rPr>
                <w:rFonts w:eastAsia="Times New Roman" w:cs="Arial"/>
                <w:color w:val="auto"/>
                <w:lang w:eastAsia="en-AU"/>
              </w:rPr>
              <w:t>,</w:t>
            </w:r>
            <w:r w:rsidRPr="005D3A1B">
              <w:rPr>
                <w:rFonts w:eastAsia="Times New Roman" w:cs="Arial"/>
                <w:color w:val="auto"/>
                <w:lang w:eastAsia="en-AU"/>
              </w:rPr>
              <w:t>795</w:t>
            </w:r>
          </w:p>
        </w:tc>
        <w:tc>
          <w:tcPr>
            <w:tcW w:w="423" w:type="pct"/>
            <w:tcBorders>
              <w:right w:val="single" w:sz="4" w:space="0" w:color="auto"/>
            </w:tcBorders>
            <w:vAlign w:val="bottom"/>
          </w:tcPr>
          <w:p w14:paraId="10383081"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12.83%</w:t>
            </w:r>
            <w:r>
              <w:rPr>
                <w:rFonts w:ascii="Calibri" w:hAnsi="Calibri" w:cs="Arial"/>
                <w:color w:val="auto"/>
              </w:rPr>
              <w:t>)</w:t>
            </w:r>
          </w:p>
        </w:tc>
        <w:tc>
          <w:tcPr>
            <w:tcW w:w="395" w:type="pct"/>
            <w:tcBorders>
              <w:left w:val="single" w:sz="4" w:space="0" w:color="auto"/>
              <w:right w:val="single" w:sz="4" w:space="0" w:color="auto"/>
            </w:tcBorders>
          </w:tcPr>
          <w:p w14:paraId="56A98108"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13</w:t>
            </w:r>
            <w:r>
              <w:rPr>
                <w:rFonts w:eastAsia="Times New Roman" w:cs="Arial"/>
                <w:b/>
                <w:color w:val="auto"/>
                <w:lang w:eastAsia="en-AU"/>
              </w:rPr>
              <w:t>,</w:t>
            </w:r>
            <w:r w:rsidRPr="00A80772">
              <w:rPr>
                <w:rFonts w:eastAsia="Times New Roman" w:cs="Arial"/>
                <w:b/>
                <w:color w:val="auto"/>
                <w:lang w:eastAsia="en-AU"/>
              </w:rPr>
              <w:t>989</w:t>
            </w:r>
          </w:p>
        </w:tc>
      </w:tr>
      <w:tr w:rsidR="008E707A" w:rsidRPr="005D3A1B" w14:paraId="382797D8"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bottom w:val="single" w:sz="4" w:space="0" w:color="auto"/>
              <w:right w:val="single" w:sz="4" w:space="0" w:color="auto"/>
            </w:tcBorders>
          </w:tcPr>
          <w:p w14:paraId="728D3F7F" w14:textId="77777777" w:rsidR="00F974D5" w:rsidRPr="005D3A1B" w:rsidRDefault="00F974D5" w:rsidP="008E707A">
            <w:pPr>
              <w:tabs>
                <w:tab w:val="left" w:pos="1134"/>
              </w:tabs>
              <w:spacing w:before="0" w:line="240" w:lineRule="auto"/>
              <w:rPr>
                <w:rFonts w:cs="Arial"/>
                <w:b w:val="0"/>
                <w:bCs w:val="0"/>
                <w:color w:val="auto"/>
              </w:rPr>
            </w:pPr>
            <w:r w:rsidRPr="005D3A1B">
              <w:rPr>
                <w:rFonts w:cs="Arial"/>
                <w:color w:val="auto"/>
              </w:rPr>
              <w:t>2012</w:t>
            </w:r>
          </w:p>
        </w:tc>
        <w:tc>
          <w:tcPr>
            <w:tcW w:w="725" w:type="pct"/>
            <w:tcBorders>
              <w:left w:val="single" w:sz="4" w:space="0" w:color="auto"/>
              <w:bottom w:val="single" w:sz="4" w:space="0" w:color="auto"/>
            </w:tcBorders>
            <w:noWrap/>
            <w:hideMark/>
          </w:tcPr>
          <w:p w14:paraId="2FC9E4D2"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9</w:t>
            </w:r>
            <w:r>
              <w:rPr>
                <w:rFonts w:eastAsia="Times New Roman" w:cs="Arial"/>
                <w:color w:val="auto"/>
                <w:lang w:eastAsia="en-AU"/>
              </w:rPr>
              <w:t>,</w:t>
            </w:r>
            <w:r w:rsidRPr="005D3A1B">
              <w:rPr>
                <w:rFonts w:eastAsia="Times New Roman" w:cs="Arial"/>
                <w:color w:val="auto"/>
                <w:lang w:eastAsia="en-AU"/>
              </w:rPr>
              <w:t>682</w:t>
            </w:r>
          </w:p>
        </w:tc>
        <w:tc>
          <w:tcPr>
            <w:tcW w:w="380" w:type="pct"/>
            <w:tcBorders>
              <w:bottom w:val="single" w:sz="4" w:space="0" w:color="auto"/>
              <w:right w:val="single" w:sz="4" w:space="0" w:color="auto"/>
            </w:tcBorders>
          </w:tcPr>
          <w:p w14:paraId="6F5C2587"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(64.9%)</w:t>
            </w:r>
          </w:p>
        </w:tc>
        <w:tc>
          <w:tcPr>
            <w:tcW w:w="563" w:type="pct"/>
            <w:tcBorders>
              <w:bottom w:val="single" w:sz="4" w:space="0" w:color="auto"/>
              <w:right w:val="nil"/>
            </w:tcBorders>
          </w:tcPr>
          <w:p w14:paraId="3D1892B2"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5</w:t>
            </w:r>
            <w:r>
              <w:rPr>
                <w:rFonts w:eastAsia="Times New Roman" w:cs="Arial"/>
                <w:color w:val="auto"/>
                <w:lang w:eastAsia="en-AU"/>
              </w:rPr>
              <w:t>,</w:t>
            </w:r>
            <w:r w:rsidRPr="005D3A1B">
              <w:rPr>
                <w:rFonts w:eastAsia="Times New Roman" w:cs="Arial"/>
                <w:color w:val="auto"/>
                <w:lang w:eastAsia="en-AU"/>
              </w:rPr>
              <w:t>237</w:t>
            </w:r>
          </w:p>
        </w:tc>
        <w:tc>
          <w:tcPr>
            <w:tcW w:w="380" w:type="pct"/>
            <w:tcBorders>
              <w:left w:val="nil"/>
              <w:bottom w:val="single" w:sz="4" w:space="0" w:color="auto"/>
            </w:tcBorders>
          </w:tcPr>
          <w:p w14:paraId="72C08ACE"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(35.1%)</w:t>
            </w:r>
          </w:p>
        </w:tc>
        <w:tc>
          <w:tcPr>
            <w:tcW w:w="625" w:type="pct"/>
            <w:tcBorders>
              <w:left w:val="single" w:sz="4" w:space="0" w:color="auto"/>
              <w:bottom w:val="single" w:sz="4" w:space="0" w:color="auto"/>
            </w:tcBorders>
            <w:noWrap/>
            <w:hideMark/>
          </w:tcPr>
          <w:p w14:paraId="5F9A005D"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3</w:t>
            </w:r>
            <w:r>
              <w:rPr>
                <w:rFonts w:eastAsia="Times New Roman" w:cs="Arial"/>
                <w:color w:val="auto"/>
                <w:lang w:eastAsia="en-AU"/>
              </w:rPr>
              <w:t>,</w:t>
            </w:r>
            <w:r w:rsidRPr="005D3A1B">
              <w:rPr>
                <w:rFonts w:eastAsia="Times New Roman" w:cs="Arial"/>
                <w:color w:val="auto"/>
                <w:lang w:eastAsia="en-AU"/>
              </w:rPr>
              <w:t>235</w:t>
            </w:r>
          </w:p>
        </w:tc>
        <w:tc>
          <w:tcPr>
            <w:tcW w:w="380" w:type="pct"/>
            <w:tcBorders>
              <w:bottom w:val="single" w:sz="4" w:space="0" w:color="auto"/>
              <w:right w:val="single" w:sz="4" w:space="0" w:color="auto"/>
            </w:tcBorders>
          </w:tcPr>
          <w:p w14:paraId="320CCF9F"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5D3A1B">
              <w:rPr>
                <w:rFonts w:eastAsia="Times New Roman" w:cs="Arial"/>
                <w:color w:val="000000"/>
                <w:lang w:eastAsia="en-AU"/>
              </w:rPr>
              <w:t>(21.7%)</w:t>
            </w:r>
          </w:p>
        </w:tc>
        <w:tc>
          <w:tcPr>
            <w:tcW w:w="781" w:type="pct"/>
            <w:tcBorders>
              <w:left w:val="single" w:sz="4" w:space="0" w:color="auto"/>
              <w:bottom w:val="single" w:sz="4" w:space="0" w:color="auto"/>
              <w:right w:val="nil"/>
            </w:tcBorders>
            <w:noWrap/>
            <w:hideMark/>
          </w:tcPr>
          <w:p w14:paraId="3085C674" w14:textId="77777777" w:rsidR="00F974D5" w:rsidRPr="005D3A1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5D3A1B">
              <w:rPr>
                <w:rFonts w:eastAsia="Times New Roman" w:cs="Arial"/>
                <w:color w:val="auto"/>
                <w:lang w:eastAsia="en-AU"/>
              </w:rPr>
              <w:t>2</w:t>
            </w:r>
            <w:r>
              <w:rPr>
                <w:rFonts w:eastAsia="Times New Roman" w:cs="Arial"/>
                <w:color w:val="auto"/>
                <w:lang w:eastAsia="en-AU"/>
              </w:rPr>
              <w:t>,</w:t>
            </w:r>
            <w:r w:rsidRPr="005D3A1B">
              <w:rPr>
                <w:rFonts w:eastAsia="Times New Roman" w:cs="Arial"/>
                <w:color w:val="auto"/>
                <w:lang w:eastAsia="en-AU"/>
              </w:rPr>
              <w:t>002</w:t>
            </w:r>
          </w:p>
        </w:tc>
        <w:tc>
          <w:tcPr>
            <w:tcW w:w="423" w:type="pct"/>
            <w:tcBorders>
              <w:left w:val="nil"/>
              <w:bottom w:val="single" w:sz="4" w:space="0" w:color="auto"/>
              <w:right w:val="single" w:sz="4" w:space="0" w:color="auto"/>
            </w:tcBorders>
            <w:vAlign w:val="bottom"/>
          </w:tcPr>
          <w:p w14:paraId="171B12C1"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13.42%</w:t>
            </w:r>
            <w:r>
              <w:rPr>
                <w:rFonts w:ascii="Calibri" w:hAnsi="Calibri" w:cs="Arial"/>
                <w:color w:val="auto"/>
              </w:rPr>
              <w:t>)</w:t>
            </w:r>
          </w:p>
        </w:tc>
        <w:tc>
          <w:tcPr>
            <w:tcW w:w="395" w:type="pct"/>
            <w:tcBorders>
              <w:left w:val="single" w:sz="4" w:space="0" w:color="auto"/>
              <w:bottom w:val="single" w:sz="4" w:space="0" w:color="auto"/>
              <w:right w:val="single" w:sz="4" w:space="0" w:color="auto"/>
            </w:tcBorders>
          </w:tcPr>
          <w:p w14:paraId="04AB3BF3"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14</w:t>
            </w:r>
            <w:r>
              <w:rPr>
                <w:rFonts w:eastAsia="Times New Roman" w:cs="Arial"/>
                <w:b/>
                <w:color w:val="auto"/>
                <w:lang w:eastAsia="en-AU"/>
              </w:rPr>
              <w:t>,</w:t>
            </w:r>
            <w:r w:rsidRPr="00A80772">
              <w:rPr>
                <w:rFonts w:eastAsia="Times New Roman" w:cs="Arial"/>
                <w:b/>
                <w:color w:val="auto"/>
                <w:lang w:eastAsia="en-AU"/>
              </w:rPr>
              <w:t>919</w:t>
            </w:r>
          </w:p>
        </w:tc>
      </w:tr>
      <w:tr w:rsidR="008E707A" w:rsidRPr="00A80772" w14:paraId="0EC3540A" w14:textId="77777777" w:rsidTr="008E707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right w:val="single" w:sz="4" w:space="0" w:color="auto"/>
            </w:tcBorders>
          </w:tcPr>
          <w:p w14:paraId="61F906A5" w14:textId="77777777" w:rsidR="00F974D5" w:rsidRPr="00A80772" w:rsidRDefault="00F974D5" w:rsidP="008E707A">
            <w:pPr>
              <w:tabs>
                <w:tab w:val="left" w:pos="1134"/>
              </w:tabs>
              <w:spacing w:before="0" w:line="240" w:lineRule="auto"/>
              <w:rPr>
                <w:rFonts w:cs="Arial"/>
                <w:bCs w:val="0"/>
                <w:color w:val="auto"/>
              </w:rPr>
            </w:pPr>
            <w:r w:rsidRPr="00A80772">
              <w:rPr>
                <w:rFonts w:cs="Arial"/>
                <w:color w:val="auto"/>
              </w:rPr>
              <w:t>Totals:</w:t>
            </w:r>
          </w:p>
        </w:tc>
        <w:tc>
          <w:tcPr>
            <w:tcW w:w="725" w:type="pct"/>
            <w:tcBorders>
              <w:top w:val="single" w:sz="4" w:space="0" w:color="auto"/>
              <w:left w:val="single" w:sz="4" w:space="0" w:color="auto"/>
              <w:bottom w:val="single" w:sz="4" w:space="0" w:color="auto"/>
            </w:tcBorders>
            <w:noWrap/>
            <w:hideMark/>
          </w:tcPr>
          <w:p w14:paraId="2980C53B"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76</w:t>
            </w:r>
            <w:r>
              <w:rPr>
                <w:rFonts w:eastAsia="Times New Roman" w:cs="Arial"/>
                <w:b/>
                <w:color w:val="auto"/>
                <w:lang w:eastAsia="en-AU"/>
              </w:rPr>
              <w:t>,</w:t>
            </w:r>
            <w:r w:rsidRPr="00A80772">
              <w:rPr>
                <w:rFonts w:eastAsia="Times New Roman" w:cs="Arial"/>
                <w:b/>
                <w:color w:val="auto"/>
                <w:lang w:eastAsia="en-AU"/>
              </w:rPr>
              <w:t>670</w:t>
            </w:r>
          </w:p>
        </w:tc>
        <w:tc>
          <w:tcPr>
            <w:tcW w:w="380" w:type="pct"/>
            <w:tcBorders>
              <w:top w:val="single" w:sz="4" w:space="0" w:color="auto"/>
              <w:bottom w:val="single" w:sz="4" w:space="0" w:color="auto"/>
              <w:right w:val="single" w:sz="4" w:space="0" w:color="auto"/>
            </w:tcBorders>
          </w:tcPr>
          <w:p w14:paraId="4C1B2161"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(64.0%)</w:t>
            </w:r>
          </w:p>
        </w:tc>
        <w:tc>
          <w:tcPr>
            <w:tcW w:w="563" w:type="pct"/>
            <w:tcBorders>
              <w:top w:val="single" w:sz="4" w:space="0" w:color="auto"/>
              <w:bottom w:val="single" w:sz="4" w:space="0" w:color="auto"/>
            </w:tcBorders>
          </w:tcPr>
          <w:p w14:paraId="47DC61E0"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43</w:t>
            </w:r>
            <w:r>
              <w:rPr>
                <w:rFonts w:eastAsia="Times New Roman" w:cs="Arial"/>
                <w:b/>
                <w:color w:val="auto"/>
                <w:lang w:eastAsia="en-AU"/>
              </w:rPr>
              <w:t>,</w:t>
            </w:r>
            <w:r w:rsidRPr="00A80772">
              <w:rPr>
                <w:rFonts w:eastAsia="Times New Roman" w:cs="Arial"/>
                <w:b/>
                <w:color w:val="auto"/>
                <w:lang w:eastAsia="en-AU"/>
              </w:rPr>
              <w:t>216</w:t>
            </w:r>
          </w:p>
        </w:tc>
        <w:tc>
          <w:tcPr>
            <w:tcW w:w="380" w:type="pct"/>
            <w:tcBorders>
              <w:top w:val="single" w:sz="4" w:space="0" w:color="auto"/>
              <w:bottom w:val="single" w:sz="4" w:space="0" w:color="auto"/>
            </w:tcBorders>
          </w:tcPr>
          <w:p w14:paraId="6CA3ADD5"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(36.0%)</w:t>
            </w:r>
          </w:p>
        </w:tc>
        <w:tc>
          <w:tcPr>
            <w:tcW w:w="625" w:type="pct"/>
            <w:tcBorders>
              <w:top w:val="single" w:sz="4" w:space="0" w:color="auto"/>
              <w:left w:val="single" w:sz="4" w:space="0" w:color="auto"/>
              <w:bottom w:val="single" w:sz="4" w:space="0" w:color="auto"/>
            </w:tcBorders>
            <w:noWrap/>
            <w:hideMark/>
          </w:tcPr>
          <w:p w14:paraId="5E50ADF4"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26</w:t>
            </w:r>
            <w:r>
              <w:rPr>
                <w:rFonts w:eastAsia="Times New Roman" w:cs="Arial"/>
                <w:b/>
                <w:color w:val="auto"/>
                <w:lang w:eastAsia="en-AU"/>
              </w:rPr>
              <w:t>,</w:t>
            </w:r>
            <w:r w:rsidRPr="00A80772">
              <w:rPr>
                <w:rFonts w:eastAsia="Times New Roman" w:cs="Arial"/>
                <w:b/>
                <w:color w:val="auto"/>
                <w:lang w:eastAsia="en-AU"/>
              </w:rPr>
              <w:t>735</w:t>
            </w:r>
          </w:p>
        </w:tc>
        <w:tc>
          <w:tcPr>
            <w:tcW w:w="380" w:type="pct"/>
            <w:tcBorders>
              <w:top w:val="single" w:sz="4" w:space="0" w:color="auto"/>
              <w:bottom w:val="single" w:sz="4" w:space="0" w:color="auto"/>
              <w:right w:val="single" w:sz="4" w:space="0" w:color="auto"/>
            </w:tcBorders>
          </w:tcPr>
          <w:p w14:paraId="582E40EE"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(22.3%)</w:t>
            </w:r>
          </w:p>
        </w:tc>
        <w:tc>
          <w:tcPr>
            <w:tcW w:w="781" w:type="pct"/>
            <w:tcBorders>
              <w:top w:val="single" w:sz="4" w:space="0" w:color="auto"/>
              <w:left w:val="single" w:sz="4" w:space="0" w:color="auto"/>
              <w:bottom w:val="single" w:sz="4" w:space="0" w:color="auto"/>
            </w:tcBorders>
            <w:noWrap/>
            <w:hideMark/>
          </w:tcPr>
          <w:p w14:paraId="017DDBC2"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16</w:t>
            </w:r>
            <w:r>
              <w:rPr>
                <w:rFonts w:eastAsia="Times New Roman" w:cs="Arial"/>
                <w:b/>
                <w:color w:val="auto"/>
                <w:lang w:eastAsia="en-AU"/>
              </w:rPr>
              <w:t>,</w:t>
            </w:r>
            <w:r w:rsidRPr="00A80772">
              <w:rPr>
                <w:rFonts w:eastAsia="Times New Roman" w:cs="Arial"/>
                <w:b/>
                <w:color w:val="auto"/>
                <w:lang w:eastAsia="en-AU"/>
              </w:rPr>
              <w:t>481</w:t>
            </w:r>
          </w:p>
        </w:tc>
        <w:tc>
          <w:tcPr>
            <w:tcW w:w="423" w:type="pct"/>
            <w:tcBorders>
              <w:top w:val="single" w:sz="4" w:space="0" w:color="auto"/>
              <w:bottom w:val="single" w:sz="4" w:space="0" w:color="auto"/>
              <w:right w:val="single" w:sz="4" w:space="0" w:color="auto"/>
            </w:tcBorders>
            <w:vAlign w:val="bottom"/>
          </w:tcPr>
          <w:p w14:paraId="5464472A"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13.75%</w:t>
            </w:r>
            <w:r>
              <w:rPr>
                <w:rFonts w:ascii="Calibri" w:hAnsi="Calibri" w:cs="Arial"/>
                <w:color w:val="auto"/>
              </w:rPr>
              <w:t>)</w:t>
            </w:r>
          </w:p>
        </w:tc>
        <w:tc>
          <w:tcPr>
            <w:tcW w:w="395" w:type="pct"/>
            <w:tcBorders>
              <w:top w:val="single" w:sz="4" w:space="0" w:color="auto"/>
              <w:left w:val="single" w:sz="4" w:space="0" w:color="auto"/>
              <w:bottom w:val="single" w:sz="4" w:space="0" w:color="auto"/>
              <w:right w:val="single" w:sz="4" w:space="0" w:color="auto"/>
            </w:tcBorders>
          </w:tcPr>
          <w:p w14:paraId="260AFE1D"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119</w:t>
            </w:r>
            <w:r>
              <w:rPr>
                <w:rFonts w:eastAsia="Times New Roman" w:cs="Arial"/>
                <w:b/>
                <w:color w:val="auto"/>
                <w:lang w:eastAsia="en-AU"/>
              </w:rPr>
              <w:t>,</w:t>
            </w:r>
            <w:r w:rsidRPr="00A80772">
              <w:rPr>
                <w:rFonts w:eastAsia="Times New Roman" w:cs="Arial"/>
                <w:b/>
                <w:color w:val="auto"/>
                <w:lang w:eastAsia="en-AU"/>
              </w:rPr>
              <w:t>886</w:t>
            </w:r>
          </w:p>
        </w:tc>
      </w:tr>
    </w:tbl>
    <w:p w14:paraId="01665348" w14:textId="77777777" w:rsidR="002F6188" w:rsidRPr="0006220F" w:rsidRDefault="002F6188" w:rsidP="005E613E">
      <w:pPr>
        <w:pStyle w:val="Heading6"/>
        <w:spacing w:before="240" w:after="240"/>
      </w:pPr>
      <w:r w:rsidRPr="0006220F">
        <w:t>Line graph for table 1.24: Number of reports of physical abuse by year, with outcome of report (all reporter groups combined)</w:t>
      </w:r>
    </w:p>
    <w:p w14:paraId="4D95A322" w14:textId="77777777" w:rsidR="00245C19" w:rsidRDefault="00A80772" w:rsidP="00B15586">
      <w:r w:rsidRPr="00A80772">
        <w:rPr>
          <w:noProof/>
          <w:lang w:eastAsia="en-AU"/>
        </w:rPr>
        <w:drawing>
          <wp:inline distT="0" distB="0" distL="0" distR="0" wp14:anchorId="44DD2F73" wp14:editId="250C096F">
            <wp:extent cx="9239250" cy="2171700"/>
            <wp:effectExtent l="0" t="0" r="0" b="0"/>
            <wp:docPr id="43" name="Chart 39" descr="Shows 64% of 119,886 physical abuse reports not investigated over decade, with highest percentage (67.1%) in 2009. " title="Line graph for table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245C19">
        <w:br w:type="page"/>
      </w:r>
    </w:p>
    <w:p w14:paraId="00A02F1E" w14:textId="27BFBE8A" w:rsidR="002F6188" w:rsidRPr="004F362A" w:rsidRDefault="00BC57B6" w:rsidP="00BC57B6">
      <w:pPr>
        <w:pStyle w:val="Figureheading"/>
        <w:ind w:left="720" w:hanging="720"/>
      </w:pPr>
      <w:r>
        <w:lastRenderedPageBreak/>
        <w:t>1.25</w:t>
      </w:r>
      <w:r>
        <w:tab/>
      </w:r>
      <w:r w:rsidR="002F6188" w:rsidRPr="004F362A">
        <w:t>Number of reports of sexual abuse by year, with outcome of report by number and percentage (all reporter groups combined)</w:t>
      </w:r>
    </w:p>
    <w:tbl>
      <w:tblPr>
        <w:tblStyle w:val="LightShading-Accent2"/>
        <w:tblW w:w="5000" w:type="pct"/>
        <w:tblLook w:val="04A0" w:firstRow="1" w:lastRow="0" w:firstColumn="1" w:lastColumn="0" w:noHBand="0" w:noVBand="1"/>
        <w:tblCaption w:val="Number of reports of sexual abuse by year, with outcome of report by number and percentage (all reporter groups combined)"/>
      </w:tblPr>
      <w:tblGrid>
        <w:gridCol w:w="1040"/>
        <w:gridCol w:w="2161"/>
        <w:gridCol w:w="1136"/>
        <w:gridCol w:w="1683"/>
        <w:gridCol w:w="1136"/>
        <w:gridCol w:w="1866"/>
        <w:gridCol w:w="1136"/>
        <w:gridCol w:w="2330"/>
        <w:gridCol w:w="1263"/>
        <w:gridCol w:w="1035"/>
      </w:tblGrid>
      <w:tr w:rsidR="002418F8" w:rsidRPr="00F15FE1" w14:paraId="3C745217" w14:textId="77777777" w:rsidTr="008E707A">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1C3C2FB9" w14:textId="77777777" w:rsidR="00975EBE" w:rsidRPr="00F15FE1" w:rsidRDefault="00975EBE" w:rsidP="008E707A">
            <w:pPr>
              <w:keepNext/>
              <w:tabs>
                <w:tab w:val="left" w:pos="1134"/>
              </w:tabs>
              <w:spacing w:before="0" w:line="240" w:lineRule="auto"/>
              <w:rPr>
                <w:rFonts w:ascii="Calibri" w:eastAsia="Times New Roman" w:hAnsi="Calibri" w:cs="Arial"/>
                <w:bCs w:val="0"/>
                <w:color w:val="auto"/>
                <w:lang w:eastAsia="en-AU"/>
              </w:rPr>
            </w:pPr>
          </w:p>
        </w:tc>
        <w:tc>
          <w:tcPr>
            <w:tcW w:w="731" w:type="pct"/>
            <w:tcBorders>
              <w:top w:val="single" w:sz="4" w:space="0" w:color="auto"/>
              <w:left w:val="single" w:sz="4" w:space="0" w:color="auto"/>
              <w:bottom w:val="single" w:sz="4" w:space="0" w:color="auto"/>
            </w:tcBorders>
            <w:shd w:val="clear" w:color="auto" w:fill="D99594" w:themeFill="accent2" w:themeFillTint="99"/>
            <w:vAlign w:val="center"/>
            <w:hideMark/>
          </w:tcPr>
          <w:p w14:paraId="4BFF8AEC"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Not investigated</w:t>
            </w:r>
          </w:p>
        </w:tc>
        <w:tc>
          <w:tcPr>
            <w:tcW w:w="384" w:type="pct"/>
            <w:tcBorders>
              <w:top w:val="single" w:sz="4" w:space="0" w:color="auto"/>
              <w:bottom w:val="single" w:sz="4" w:space="0" w:color="auto"/>
              <w:right w:val="single" w:sz="4" w:space="0" w:color="auto"/>
            </w:tcBorders>
            <w:shd w:val="clear" w:color="auto" w:fill="D99594" w:themeFill="accent2" w:themeFillTint="99"/>
            <w:vAlign w:val="center"/>
          </w:tcPr>
          <w:p w14:paraId="2581665A" w14:textId="77777777" w:rsidR="00975EBE" w:rsidRPr="00FE3A23"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569" w:type="pct"/>
            <w:tcBorders>
              <w:top w:val="single" w:sz="4" w:space="0" w:color="auto"/>
              <w:bottom w:val="single" w:sz="4" w:space="0" w:color="auto"/>
            </w:tcBorders>
            <w:shd w:val="clear" w:color="auto" w:fill="D99594" w:themeFill="accent2" w:themeFillTint="99"/>
            <w:vAlign w:val="center"/>
          </w:tcPr>
          <w:p w14:paraId="704047FC"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Investigated</w:t>
            </w:r>
          </w:p>
        </w:tc>
        <w:tc>
          <w:tcPr>
            <w:tcW w:w="384" w:type="pct"/>
            <w:tcBorders>
              <w:top w:val="single" w:sz="4" w:space="0" w:color="auto"/>
              <w:bottom w:val="single" w:sz="4" w:space="0" w:color="auto"/>
            </w:tcBorders>
            <w:shd w:val="clear" w:color="auto" w:fill="D99594" w:themeFill="accent2" w:themeFillTint="99"/>
            <w:vAlign w:val="center"/>
          </w:tcPr>
          <w:p w14:paraId="6D167EB6" w14:textId="77777777" w:rsidR="00975EBE" w:rsidRPr="00FE3A23"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631" w:type="pct"/>
            <w:tcBorders>
              <w:top w:val="single" w:sz="4" w:space="0" w:color="auto"/>
              <w:left w:val="single" w:sz="4" w:space="0" w:color="auto"/>
              <w:bottom w:val="single" w:sz="4" w:space="0" w:color="auto"/>
            </w:tcBorders>
            <w:shd w:val="clear" w:color="auto" w:fill="D99594" w:themeFill="accent2" w:themeFillTint="99"/>
            <w:vAlign w:val="center"/>
            <w:hideMark/>
          </w:tcPr>
          <w:p w14:paraId="1308092D"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Substantiated</w:t>
            </w:r>
          </w:p>
        </w:tc>
        <w:tc>
          <w:tcPr>
            <w:tcW w:w="384" w:type="pct"/>
            <w:tcBorders>
              <w:top w:val="single" w:sz="4" w:space="0" w:color="auto"/>
              <w:bottom w:val="single" w:sz="4" w:space="0" w:color="auto"/>
              <w:right w:val="single" w:sz="4" w:space="0" w:color="auto"/>
            </w:tcBorders>
            <w:shd w:val="clear" w:color="auto" w:fill="D99594" w:themeFill="accent2" w:themeFillTint="99"/>
            <w:vAlign w:val="center"/>
          </w:tcPr>
          <w:p w14:paraId="3654BCF8" w14:textId="77777777" w:rsidR="00975EBE" w:rsidRPr="00FE3A23"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788" w:type="pct"/>
            <w:tcBorders>
              <w:top w:val="single" w:sz="4" w:space="0" w:color="auto"/>
              <w:left w:val="single" w:sz="4" w:space="0" w:color="auto"/>
              <w:bottom w:val="single" w:sz="4" w:space="0" w:color="auto"/>
            </w:tcBorders>
            <w:shd w:val="clear" w:color="auto" w:fill="D99594" w:themeFill="accent2" w:themeFillTint="99"/>
            <w:vAlign w:val="center"/>
            <w:hideMark/>
          </w:tcPr>
          <w:p w14:paraId="6BE243B8"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Not substantiated</w:t>
            </w:r>
          </w:p>
        </w:tc>
        <w:tc>
          <w:tcPr>
            <w:tcW w:w="427" w:type="pct"/>
            <w:tcBorders>
              <w:top w:val="single" w:sz="4" w:space="0" w:color="auto"/>
              <w:bottom w:val="single" w:sz="4" w:space="0" w:color="auto"/>
              <w:right w:val="single" w:sz="4" w:space="0" w:color="auto"/>
            </w:tcBorders>
            <w:shd w:val="clear" w:color="auto" w:fill="D99594" w:themeFill="accent2" w:themeFillTint="99"/>
            <w:vAlign w:val="center"/>
          </w:tcPr>
          <w:p w14:paraId="624CCA93" w14:textId="77777777" w:rsidR="00975EBE" w:rsidRPr="00975EBE" w:rsidRDefault="00975EBE" w:rsidP="008E707A">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975EBE">
              <w:rPr>
                <w:rFonts w:eastAsia="Times New Roman" w:cs="Arial"/>
                <w:color w:val="auto"/>
                <w:lang w:eastAsia="en-AU"/>
              </w:rPr>
              <w:t>%</w:t>
            </w:r>
          </w:p>
        </w:tc>
        <w:tc>
          <w:tcPr>
            <w:tcW w:w="35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3704566D" w14:textId="77777777" w:rsidR="00975EBE" w:rsidRPr="00F15FE1" w:rsidRDefault="00975EBE" w:rsidP="008E707A">
            <w:pPr>
              <w:keepNext/>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F15FE1">
              <w:rPr>
                <w:rFonts w:ascii="Calibri" w:eastAsia="Times New Roman" w:hAnsi="Calibri" w:cs="Arial"/>
                <w:color w:val="auto"/>
                <w:lang w:eastAsia="en-AU"/>
              </w:rPr>
              <w:t>Total</w:t>
            </w:r>
          </w:p>
        </w:tc>
      </w:tr>
      <w:tr w:rsidR="008E707A" w:rsidRPr="00051E6B" w14:paraId="698EC3BC"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right w:val="single" w:sz="4" w:space="0" w:color="auto"/>
            </w:tcBorders>
          </w:tcPr>
          <w:p w14:paraId="557E0290" w14:textId="77777777" w:rsidR="00F974D5" w:rsidRPr="00051E6B" w:rsidRDefault="00F974D5" w:rsidP="008E707A">
            <w:pPr>
              <w:keepNext/>
              <w:tabs>
                <w:tab w:val="left" w:pos="1134"/>
              </w:tabs>
              <w:spacing w:before="0" w:line="240" w:lineRule="auto"/>
              <w:rPr>
                <w:rFonts w:cs="Arial"/>
                <w:b w:val="0"/>
                <w:bCs w:val="0"/>
                <w:color w:val="auto"/>
              </w:rPr>
            </w:pPr>
            <w:r w:rsidRPr="00051E6B">
              <w:rPr>
                <w:rFonts w:cs="Arial"/>
                <w:color w:val="auto"/>
              </w:rPr>
              <w:t>2003</w:t>
            </w:r>
          </w:p>
        </w:tc>
        <w:tc>
          <w:tcPr>
            <w:tcW w:w="731" w:type="pct"/>
            <w:tcBorders>
              <w:top w:val="single" w:sz="4" w:space="0" w:color="auto"/>
              <w:left w:val="single" w:sz="4" w:space="0" w:color="auto"/>
            </w:tcBorders>
            <w:noWrap/>
            <w:hideMark/>
          </w:tcPr>
          <w:p w14:paraId="5E352FB8" w14:textId="77777777" w:rsidR="00F974D5" w:rsidRPr="00051E6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2</w:t>
            </w:r>
            <w:r w:rsidR="001759FE">
              <w:rPr>
                <w:rFonts w:eastAsia="Times New Roman" w:cs="Arial"/>
                <w:color w:val="auto"/>
                <w:lang w:eastAsia="en-AU"/>
              </w:rPr>
              <w:t>,</w:t>
            </w:r>
            <w:r w:rsidRPr="00051E6B">
              <w:rPr>
                <w:rFonts w:eastAsia="Times New Roman" w:cs="Arial"/>
                <w:color w:val="auto"/>
                <w:lang w:eastAsia="en-AU"/>
              </w:rPr>
              <w:t>741</w:t>
            </w:r>
          </w:p>
        </w:tc>
        <w:tc>
          <w:tcPr>
            <w:tcW w:w="384" w:type="pct"/>
            <w:tcBorders>
              <w:top w:val="single" w:sz="4" w:space="0" w:color="auto"/>
              <w:right w:val="single" w:sz="4" w:space="0" w:color="auto"/>
            </w:tcBorders>
          </w:tcPr>
          <w:p w14:paraId="397484C7" w14:textId="77777777" w:rsidR="00F974D5" w:rsidRPr="00051E6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(61.7%)</w:t>
            </w:r>
          </w:p>
        </w:tc>
        <w:tc>
          <w:tcPr>
            <w:tcW w:w="569" w:type="pct"/>
            <w:tcBorders>
              <w:top w:val="single" w:sz="4" w:space="0" w:color="auto"/>
            </w:tcBorders>
          </w:tcPr>
          <w:p w14:paraId="4616A574" w14:textId="77777777" w:rsidR="00F974D5" w:rsidRPr="00051E6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700</w:t>
            </w:r>
          </w:p>
        </w:tc>
        <w:tc>
          <w:tcPr>
            <w:tcW w:w="384" w:type="pct"/>
            <w:tcBorders>
              <w:top w:val="single" w:sz="4" w:space="0" w:color="auto"/>
            </w:tcBorders>
          </w:tcPr>
          <w:p w14:paraId="6DD620D7" w14:textId="77777777" w:rsidR="00F974D5" w:rsidRPr="00051E6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(38.3%)</w:t>
            </w:r>
          </w:p>
        </w:tc>
        <w:tc>
          <w:tcPr>
            <w:tcW w:w="631" w:type="pct"/>
            <w:tcBorders>
              <w:top w:val="single" w:sz="4" w:space="0" w:color="auto"/>
              <w:left w:val="single" w:sz="4" w:space="0" w:color="auto"/>
            </w:tcBorders>
            <w:noWrap/>
            <w:hideMark/>
          </w:tcPr>
          <w:p w14:paraId="4AB6BFCE" w14:textId="77777777" w:rsidR="00F974D5" w:rsidRPr="00051E6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765</w:t>
            </w:r>
          </w:p>
        </w:tc>
        <w:tc>
          <w:tcPr>
            <w:tcW w:w="384" w:type="pct"/>
            <w:tcBorders>
              <w:top w:val="single" w:sz="4" w:space="0" w:color="auto"/>
              <w:right w:val="single" w:sz="4" w:space="0" w:color="auto"/>
            </w:tcBorders>
          </w:tcPr>
          <w:p w14:paraId="5FE92AA9" w14:textId="77777777" w:rsidR="00F974D5" w:rsidRPr="00051E6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(17.2%)</w:t>
            </w:r>
          </w:p>
        </w:tc>
        <w:tc>
          <w:tcPr>
            <w:tcW w:w="788" w:type="pct"/>
            <w:tcBorders>
              <w:top w:val="single" w:sz="4" w:space="0" w:color="auto"/>
              <w:left w:val="single" w:sz="4" w:space="0" w:color="auto"/>
            </w:tcBorders>
            <w:noWrap/>
            <w:hideMark/>
          </w:tcPr>
          <w:p w14:paraId="0F1673A8" w14:textId="77777777" w:rsidR="00F974D5" w:rsidRPr="00051E6B"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935</w:t>
            </w:r>
          </w:p>
        </w:tc>
        <w:tc>
          <w:tcPr>
            <w:tcW w:w="427" w:type="pct"/>
            <w:tcBorders>
              <w:top w:val="single" w:sz="4" w:space="0" w:color="auto"/>
              <w:right w:val="single" w:sz="4" w:space="0" w:color="auto"/>
            </w:tcBorders>
            <w:vAlign w:val="bottom"/>
          </w:tcPr>
          <w:p w14:paraId="6B5FBAD6"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21.05%</w:t>
            </w:r>
            <w:r>
              <w:rPr>
                <w:rFonts w:ascii="Calibri" w:hAnsi="Calibri" w:cs="Arial"/>
                <w:color w:val="auto"/>
              </w:rPr>
              <w:t>)</w:t>
            </w:r>
          </w:p>
        </w:tc>
        <w:tc>
          <w:tcPr>
            <w:tcW w:w="352" w:type="pct"/>
            <w:tcBorders>
              <w:top w:val="single" w:sz="4" w:space="0" w:color="auto"/>
              <w:left w:val="single" w:sz="4" w:space="0" w:color="auto"/>
              <w:right w:val="single" w:sz="4" w:space="0" w:color="auto"/>
            </w:tcBorders>
          </w:tcPr>
          <w:p w14:paraId="528F9688" w14:textId="77777777" w:rsidR="00F974D5" w:rsidRPr="00A80772" w:rsidRDefault="00F974D5" w:rsidP="008E707A">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w:t>
            </w:r>
            <w:r w:rsidR="001759FE">
              <w:rPr>
                <w:rFonts w:eastAsia="Times New Roman" w:cs="Arial"/>
                <w:b/>
                <w:color w:val="auto"/>
                <w:lang w:eastAsia="en-AU"/>
              </w:rPr>
              <w:t>,</w:t>
            </w:r>
            <w:r w:rsidRPr="00A80772">
              <w:rPr>
                <w:rFonts w:eastAsia="Times New Roman" w:cs="Arial"/>
                <w:b/>
                <w:color w:val="auto"/>
                <w:lang w:eastAsia="en-AU"/>
              </w:rPr>
              <w:t>441</w:t>
            </w:r>
          </w:p>
        </w:tc>
      </w:tr>
      <w:tr w:rsidR="008E707A" w:rsidRPr="00051E6B" w14:paraId="1E40CEF3"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tcPr>
          <w:p w14:paraId="24F7E574" w14:textId="77777777" w:rsidR="00F974D5" w:rsidRPr="00051E6B" w:rsidRDefault="00F974D5" w:rsidP="008E707A">
            <w:pPr>
              <w:tabs>
                <w:tab w:val="left" w:pos="1134"/>
              </w:tabs>
              <w:spacing w:before="0" w:line="240" w:lineRule="auto"/>
              <w:rPr>
                <w:rFonts w:cs="Arial"/>
                <w:b w:val="0"/>
                <w:bCs w:val="0"/>
                <w:color w:val="auto"/>
              </w:rPr>
            </w:pPr>
            <w:r w:rsidRPr="00051E6B">
              <w:rPr>
                <w:rFonts w:cs="Arial"/>
                <w:color w:val="auto"/>
              </w:rPr>
              <w:t>2004</w:t>
            </w:r>
          </w:p>
        </w:tc>
        <w:tc>
          <w:tcPr>
            <w:tcW w:w="731" w:type="pct"/>
            <w:tcBorders>
              <w:left w:val="single" w:sz="4" w:space="0" w:color="auto"/>
            </w:tcBorders>
            <w:noWrap/>
            <w:hideMark/>
          </w:tcPr>
          <w:p w14:paraId="552A6B08"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2</w:t>
            </w:r>
            <w:r w:rsidR="001759FE">
              <w:rPr>
                <w:rFonts w:eastAsia="Times New Roman" w:cs="Arial"/>
                <w:color w:val="auto"/>
                <w:lang w:eastAsia="en-AU"/>
              </w:rPr>
              <w:t>,</w:t>
            </w:r>
            <w:r w:rsidRPr="00051E6B">
              <w:rPr>
                <w:rFonts w:eastAsia="Times New Roman" w:cs="Arial"/>
                <w:color w:val="auto"/>
                <w:lang w:eastAsia="en-AU"/>
              </w:rPr>
              <w:t>800</w:t>
            </w:r>
          </w:p>
        </w:tc>
        <w:tc>
          <w:tcPr>
            <w:tcW w:w="384" w:type="pct"/>
            <w:tcBorders>
              <w:right w:val="single" w:sz="4" w:space="0" w:color="auto"/>
            </w:tcBorders>
          </w:tcPr>
          <w:p w14:paraId="5758EE38"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(60.4%)</w:t>
            </w:r>
          </w:p>
        </w:tc>
        <w:tc>
          <w:tcPr>
            <w:tcW w:w="569" w:type="pct"/>
            <w:tcBorders>
              <w:right w:val="nil"/>
            </w:tcBorders>
          </w:tcPr>
          <w:p w14:paraId="09B7ABCB"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832</w:t>
            </w:r>
          </w:p>
        </w:tc>
        <w:tc>
          <w:tcPr>
            <w:tcW w:w="384" w:type="pct"/>
            <w:tcBorders>
              <w:left w:val="nil"/>
            </w:tcBorders>
          </w:tcPr>
          <w:p w14:paraId="66464F3B"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(39.6%)</w:t>
            </w:r>
          </w:p>
        </w:tc>
        <w:tc>
          <w:tcPr>
            <w:tcW w:w="631" w:type="pct"/>
            <w:tcBorders>
              <w:left w:val="single" w:sz="4" w:space="0" w:color="auto"/>
            </w:tcBorders>
            <w:noWrap/>
            <w:hideMark/>
          </w:tcPr>
          <w:p w14:paraId="325A6506"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904</w:t>
            </w:r>
          </w:p>
        </w:tc>
        <w:tc>
          <w:tcPr>
            <w:tcW w:w="384" w:type="pct"/>
            <w:tcBorders>
              <w:right w:val="single" w:sz="4" w:space="0" w:color="auto"/>
            </w:tcBorders>
          </w:tcPr>
          <w:p w14:paraId="50E261CF"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(19.5%)</w:t>
            </w:r>
          </w:p>
        </w:tc>
        <w:tc>
          <w:tcPr>
            <w:tcW w:w="788" w:type="pct"/>
            <w:tcBorders>
              <w:left w:val="single" w:sz="4" w:space="0" w:color="auto"/>
              <w:right w:val="nil"/>
            </w:tcBorders>
            <w:noWrap/>
            <w:hideMark/>
          </w:tcPr>
          <w:p w14:paraId="17CF18BF"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928</w:t>
            </w:r>
          </w:p>
        </w:tc>
        <w:tc>
          <w:tcPr>
            <w:tcW w:w="427" w:type="pct"/>
            <w:tcBorders>
              <w:left w:val="nil"/>
              <w:right w:val="single" w:sz="4" w:space="0" w:color="auto"/>
            </w:tcBorders>
            <w:vAlign w:val="bottom"/>
          </w:tcPr>
          <w:p w14:paraId="7EF502FE"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20.03%</w:t>
            </w:r>
            <w:r>
              <w:rPr>
                <w:rFonts w:ascii="Calibri" w:hAnsi="Calibri" w:cs="Arial"/>
                <w:color w:val="auto"/>
              </w:rPr>
              <w:t>)</w:t>
            </w:r>
          </w:p>
        </w:tc>
        <w:tc>
          <w:tcPr>
            <w:tcW w:w="352" w:type="pct"/>
            <w:tcBorders>
              <w:left w:val="single" w:sz="4" w:space="0" w:color="auto"/>
              <w:right w:val="single" w:sz="4" w:space="0" w:color="auto"/>
            </w:tcBorders>
          </w:tcPr>
          <w:p w14:paraId="1880BF8A"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w:t>
            </w:r>
            <w:r w:rsidR="001759FE">
              <w:rPr>
                <w:rFonts w:eastAsia="Times New Roman" w:cs="Arial"/>
                <w:b/>
                <w:color w:val="auto"/>
                <w:lang w:eastAsia="en-AU"/>
              </w:rPr>
              <w:t>,</w:t>
            </w:r>
            <w:r w:rsidRPr="00A80772">
              <w:rPr>
                <w:rFonts w:eastAsia="Times New Roman" w:cs="Arial"/>
                <w:b/>
                <w:color w:val="auto"/>
                <w:lang w:eastAsia="en-AU"/>
              </w:rPr>
              <w:t>632</w:t>
            </w:r>
          </w:p>
        </w:tc>
      </w:tr>
      <w:tr w:rsidR="008E707A" w:rsidRPr="00051E6B" w14:paraId="0D0D67AF"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tcPr>
          <w:p w14:paraId="3750147F" w14:textId="77777777" w:rsidR="00F974D5" w:rsidRPr="00051E6B" w:rsidRDefault="00F974D5" w:rsidP="008E707A">
            <w:pPr>
              <w:tabs>
                <w:tab w:val="left" w:pos="1134"/>
              </w:tabs>
              <w:spacing w:before="0" w:line="240" w:lineRule="auto"/>
              <w:rPr>
                <w:rFonts w:cs="Arial"/>
                <w:b w:val="0"/>
                <w:bCs w:val="0"/>
                <w:color w:val="auto"/>
              </w:rPr>
            </w:pPr>
            <w:r w:rsidRPr="00051E6B">
              <w:rPr>
                <w:rFonts w:cs="Arial"/>
                <w:color w:val="auto"/>
              </w:rPr>
              <w:t>2005</w:t>
            </w:r>
          </w:p>
        </w:tc>
        <w:tc>
          <w:tcPr>
            <w:tcW w:w="731" w:type="pct"/>
            <w:tcBorders>
              <w:left w:val="single" w:sz="4" w:space="0" w:color="auto"/>
            </w:tcBorders>
            <w:noWrap/>
            <w:hideMark/>
          </w:tcPr>
          <w:p w14:paraId="162F2C46"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2</w:t>
            </w:r>
            <w:r w:rsidR="001759FE">
              <w:rPr>
                <w:rFonts w:eastAsia="Times New Roman" w:cs="Arial"/>
                <w:color w:val="auto"/>
                <w:lang w:eastAsia="en-AU"/>
              </w:rPr>
              <w:t>,</w:t>
            </w:r>
            <w:r w:rsidRPr="00051E6B">
              <w:rPr>
                <w:rFonts w:eastAsia="Times New Roman" w:cs="Arial"/>
                <w:color w:val="auto"/>
                <w:lang w:eastAsia="en-AU"/>
              </w:rPr>
              <w:t>825</w:t>
            </w:r>
          </w:p>
        </w:tc>
        <w:tc>
          <w:tcPr>
            <w:tcW w:w="384" w:type="pct"/>
            <w:tcBorders>
              <w:right w:val="single" w:sz="4" w:space="0" w:color="auto"/>
            </w:tcBorders>
          </w:tcPr>
          <w:p w14:paraId="2AC22EA1"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(62.4%)</w:t>
            </w:r>
          </w:p>
        </w:tc>
        <w:tc>
          <w:tcPr>
            <w:tcW w:w="569" w:type="pct"/>
          </w:tcPr>
          <w:p w14:paraId="7683AEFA"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702</w:t>
            </w:r>
          </w:p>
        </w:tc>
        <w:tc>
          <w:tcPr>
            <w:tcW w:w="384" w:type="pct"/>
          </w:tcPr>
          <w:p w14:paraId="34DC9A84"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(37.6%)</w:t>
            </w:r>
          </w:p>
        </w:tc>
        <w:tc>
          <w:tcPr>
            <w:tcW w:w="631" w:type="pct"/>
            <w:tcBorders>
              <w:left w:val="single" w:sz="4" w:space="0" w:color="auto"/>
            </w:tcBorders>
            <w:noWrap/>
            <w:hideMark/>
          </w:tcPr>
          <w:p w14:paraId="0E2090CC"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829</w:t>
            </w:r>
          </w:p>
        </w:tc>
        <w:tc>
          <w:tcPr>
            <w:tcW w:w="384" w:type="pct"/>
            <w:tcBorders>
              <w:right w:val="single" w:sz="4" w:space="0" w:color="auto"/>
            </w:tcBorders>
          </w:tcPr>
          <w:p w14:paraId="125FA998"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(18.3%)</w:t>
            </w:r>
          </w:p>
        </w:tc>
        <w:tc>
          <w:tcPr>
            <w:tcW w:w="788" w:type="pct"/>
            <w:tcBorders>
              <w:left w:val="single" w:sz="4" w:space="0" w:color="auto"/>
            </w:tcBorders>
            <w:noWrap/>
            <w:hideMark/>
          </w:tcPr>
          <w:p w14:paraId="7AF9EAA1"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873</w:t>
            </w:r>
          </w:p>
        </w:tc>
        <w:tc>
          <w:tcPr>
            <w:tcW w:w="427" w:type="pct"/>
            <w:tcBorders>
              <w:right w:val="single" w:sz="4" w:space="0" w:color="auto"/>
            </w:tcBorders>
            <w:vAlign w:val="bottom"/>
          </w:tcPr>
          <w:p w14:paraId="60AB2E74"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19.28%</w:t>
            </w:r>
            <w:r>
              <w:rPr>
                <w:rFonts w:ascii="Calibri" w:hAnsi="Calibri" w:cs="Arial"/>
                <w:color w:val="auto"/>
              </w:rPr>
              <w:t>)</w:t>
            </w:r>
          </w:p>
        </w:tc>
        <w:tc>
          <w:tcPr>
            <w:tcW w:w="352" w:type="pct"/>
            <w:tcBorders>
              <w:left w:val="single" w:sz="4" w:space="0" w:color="auto"/>
              <w:right w:val="single" w:sz="4" w:space="0" w:color="auto"/>
            </w:tcBorders>
          </w:tcPr>
          <w:p w14:paraId="2221FDAC"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w:t>
            </w:r>
            <w:r w:rsidR="001759FE">
              <w:rPr>
                <w:rFonts w:eastAsia="Times New Roman" w:cs="Arial"/>
                <w:b/>
                <w:color w:val="auto"/>
                <w:lang w:eastAsia="en-AU"/>
              </w:rPr>
              <w:t>,</w:t>
            </w:r>
            <w:r w:rsidRPr="00A80772">
              <w:rPr>
                <w:rFonts w:eastAsia="Times New Roman" w:cs="Arial"/>
                <w:b/>
                <w:color w:val="auto"/>
                <w:lang w:eastAsia="en-AU"/>
              </w:rPr>
              <w:t>527</w:t>
            </w:r>
          </w:p>
        </w:tc>
      </w:tr>
      <w:tr w:rsidR="008E707A" w:rsidRPr="00051E6B" w14:paraId="2E4F4634"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tcPr>
          <w:p w14:paraId="564F60E4" w14:textId="77777777" w:rsidR="00F974D5" w:rsidRPr="00051E6B" w:rsidRDefault="00F974D5" w:rsidP="008E707A">
            <w:pPr>
              <w:tabs>
                <w:tab w:val="left" w:pos="1134"/>
              </w:tabs>
              <w:spacing w:before="0" w:line="240" w:lineRule="auto"/>
              <w:rPr>
                <w:rFonts w:cs="Arial"/>
                <w:b w:val="0"/>
                <w:bCs w:val="0"/>
                <w:color w:val="auto"/>
              </w:rPr>
            </w:pPr>
            <w:r w:rsidRPr="00051E6B">
              <w:rPr>
                <w:rFonts w:cs="Arial"/>
                <w:color w:val="auto"/>
              </w:rPr>
              <w:t>2006</w:t>
            </w:r>
          </w:p>
        </w:tc>
        <w:tc>
          <w:tcPr>
            <w:tcW w:w="731" w:type="pct"/>
            <w:tcBorders>
              <w:left w:val="single" w:sz="4" w:space="0" w:color="auto"/>
            </w:tcBorders>
            <w:noWrap/>
            <w:hideMark/>
          </w:tcPr>
          <w:p w14:paraId="3E44ED22"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2</w:t>
            </w:r>
            <w:r w:rsidR="001759FE">
              <w:rPr>
                <w:rFonts w:eastAsia="Times New Roman" w:cs="Arial"/>
                <w:color w:val="auto"/>
                <w:lang w:eastAsia="en-AU"/>
              </w:rPr>
              <w:t>,</w:t>
            </w:r>
            <w:r w:rsidRPr="00051E6B">
              <w:rPr>
                <w:rFonts w:eastAsia="Times New Roman" w:cs="Arial"/>
                <w:color w:val="auto"/>
                <w:lang w:eastAsia="en-AU"/>
              </w:rPr>
              <w:t>883</w:t>
            </w:r>
          </w:p>
        </w:tc>
        <w:tc>
          <w:tcPr>
            <w:tcW w:w="384" w:type="pct"/>
            <w:tcBorders>
              <w:right w:val="single" w:sz="4" w:space="0" w:color="auto"/>
            </w:tcBorders>
          </w:tcPr>
          <w:p w14:paraId="754A172D"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(64.4%)</w:t>
            </w:r>
          </w:p>
        </w:tc>
        <w:tc>
          <w:tcPr>
            <w:tcW w:w="569" w:type="pct"/>
            <w:tcBorders>
              <w:right w:val="nil"/>
            </w:tcBorders>
          </w:tcPr>
          <w:p w14:paraId="366813C8"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591</w:t>
            </w:r>
          </w:p>
        </w:tc>
        <w:tc>
          <w:tcPr>
            <w:tcW w:w="384" w:type="pct"/>
            <w:tcBorders>
              <w:left w:val="nil"/>
            </w:tcBorders>
          </w:tcPr>
          <w:p w14:paraId="51CBB200"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(35.6%)</w:t>
            </w:r>
          </w:p>
        </w:tc>
        <w:tc>
          <w:tcPr>
            <w:tcW w:w="631" w:type="pct"/>
            <w:tcBorders>
              <w:left w:val="single" w:sz="4" w:space="0" w:color="auto"/>
            </w:tcBorders>
            <w:noWrap/>
            <w:hideMark/>
          </w:tcPr>
          <w:p w14:paraId="0E789BBF"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773</w:t>
            </w:r>
          </w:p>
        </w:tc>
        <w:tc>
          <w:tcPr>
            <w:tcW w:w="384" w:type="pct"/>
            <w:tcBorders>
              <w:right w:val="single" w:sz="4" w:space="0" w:color="auto"/>
            </w:tcBorders>
          </w:tcPr>
          <w:p w14:paraId="43FB9786"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(17.3%)</w:t>
            </w:r>
          </w:p>
        </w:tc>
        <w:tc>
          <w:tcPr>
            <w:tcW w:w="788" w:type="pct"/>
            <w:tcBorders>
              <w:left w:val="single" w:sz="4" w:space="0" w:color="auto"/>
              <w:right w:val="nil"/>
            </w:tcBorders>
            <w:noWrap/>
            <w:hideMark/>
          </w:tcPr>
          <w:p w14:paraId="25F0BECE"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818</w:t>
            </w:r>
          </w:p>
        </w:tc>
        <w:tc>
          <w:tcPr>
            <w:tcW w:w="427" w:type="pct"/>
            <w:tcBorders>
              <w:left w:val="nil"/>
              <w:right w:val="single" w:sz="4" w:space="0" w:color="auto"/>
            </w:tcBorders>
            <w:vAlign w:val="bottom"/>
          </w:tcPr>
          <w:p w14:paraId="1FD4B77C"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18.28%</w:t>
            </w:r>
            <w:r>
              <w:rPr>
                <w:rFonts w:ascii="Calibri" w:hAnsi="Calibri" w:cs="Arial"/>
                <w:color w:val="auto"/>
              </w:rPr>
              <w:t>)</w:t>
            </w:r>
          </w:p>
        </w:tc>
        <w:tc>
          <w:tcPr>
            <w:tcW w:w="352" w:type="pct"/>
            <w:tcBorders>
              <w:left w:val="single" w:sz="4" w:space="0" w:color="auto"/>
              <w:right w:val="single" w:sz="4" w:space="0" w:color="auto"/>
            </w:tcBorders>
          </w:tcPr>
          <w:p w14:paraId="3E8FD0EF"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w:t>
            </w:r>
            <w:r w:rsidR="001759FE">
              <w:rPr>
                <w:rFonts w:eastAsia="Times New Roman" w:cs="Arial"/>
                <w:b/>
                <w:color w:val="auto"/>
                <w:lang w:eastAsia="en-AU"/>
              </w:rPr>
              <w:t>,</w:t>
            </w:r>
            <w:r w:rsidRPr="00A80772">
              <w:rPr>
                <w:rFonts w:eastAsia="Times New Roman" w:cs="Arial"/>
                <w:b/>
                <w:color w:val="auto"/>
                <w:lang w:eastAsia="en-AU"/>
              </w:rPr>
              <w:t>474</w:t>
            </w:r>
          </w:p>
        </w:tc>
      </w:tr>
      <w:tr w:rsidR="008E707A" w:rsidRPr="00051E6B" w14:paraId="71B4A52E"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tcPr>
          <w:p w14:paraId="32450984" w14:textId="77777777" w:rsidR="00F974D5" w:rsidRPr="00051E6B" w:rsidRDefault="00F974D5" w:rsidP="008E707A">
            <w:pPr>
              <w:tabs>
                <w:tab w:val="left" w:pos="1134"/>
              </w:tabs>
              <w:spacing w:before="0" w:line="240" w:lineRule="auto"/>
              <w:rPr>
                <w:rFonts w:cs="Arial"/>
                <w:b w:val="0"/>
                <w:bCs w:val="0"/>
                <w:color w:val="auto"/>
              </w:rPr>
            </w:pPr>
            <w:r w:rsidRPr="00051E6B">
              <w:rPr>
                <w:rFonts w:cs="Arial"/>
                <w:color w:val="auto"/>
              </w:rPr>
              <w:t>2007</w:t>
            </w:r>
          </w:p>
        </w:tc>
        <w:tc>
          <w:tcPr>
            <w:tcW w:w="731" w:type="pct"/>
            <w:tcBorders>
              <w:left w:val="single" w:sz="4" w:space="0" w:color="auto"/>
            </w:tcBorders>
            <w:noWrap/>
            <w:hideMark/>
          </w:tcPr>
          <w:p w14:paraId="1D8AD184"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668</w:t>
            </w:r>
          </w:p>
        </w:tc>
        <w:tc>
          <w:tcPr>
            <w:tcW w:w="384" w:type="pct"/>
            <w:tcBorders>
              <w:right w:val="single" w:sz="4" w:space="0" w:color="auto"/>
            </w:tcBorders>
          </w:tcPr>
          <w:p w14:paraId="71947025"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(53.6%)</w:t>
            </w:r>
          </w:p>
        </w:tc>
        <w:tc>
          <w:tcPr>
            <w:tcW w:w="569" w:type="pct"/>
          </w:tcPr>
          <w:p w14:paraId="669F284F"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445</w:t>
            </w:r>
          </w:p>
        </w:tc>
        <w:tc>
          <w:tcPr>
            <w:tcW w:w="384" w:type="pct"/>
          </w:tcPr>
          <w:p w14:paraId="02DA5C0F"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(46.4%)</w:t>
            </w:r>
          </w:p>
        </w:tc>
        <w:tc>
          <w:tcPr>
            <w:tcW w:w="631" w:type="pct"/>
            <w:tcBorders>
              <w:left w:val="single" w:sz="4" w:space="0" w:color="auto"/>
            </w:tcBorders>
            <w:noWrap/>
            <w:hideMark/>
          </w:tcPr>
          <w:p w14:paraId="0E0A5A82"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671</w:t>
            </w:r>
          </w:p>
        </w:tc>
        <w:tc>
          <w:tcPr>
            <w:tcW w:w="384" w:type="pct"/>
            <w:tcBorders>
              <w:right w:val="single" w:sz="4" w:space="0" w:color="auto"/>
            </w:tcBorders>
          </w:tcPr>
          <w:p w14:paraId="3E3EE367"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(21.6%)</w:t>
            </w:r>
          </w:p>
        </w:tc>
        <w:tc>
          <w:tcPr>
            <w:tcW w:w="788" w:type="pct"/>
            <w:tcBorders>
              <w:left w:val="single" w:sz="4" w:space="0" w:color="auto"/>
            </w:tcBorders>
            <w:noWrap/>
            <w:hideMark/>
          </w:tcPr>
          <w:p w14:paraId="0DA6BD6A"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774</w:t>
            </w:r>
          </w:p>
        </w:tc>
        <w:tc>
          <w:tcPr>
            <w:tcW w:w="427" w:type="pct"/>
            <w:tcBorders>
              <w:right w:val="single" w:sz="4" w:space="0" w:color="auto"/>
            </w:tcBorders>
            <w:vAlign w:val="bottom"/>
          </w:tcPr>
          <w:p w14:paraId="50BD3A90"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24.86%</w:t>
            </w:r>
            <w:r>
              <w:rPr>
                <w:rFonts w:ascii="Calibri" w:hAnsi="Calibri" w:cs="Arial"/>
                <w:color w:val="auto"/>
              </w:rPr>
              <w:t>)</w:t>
            </w:r>
          </w:p>
        </w:tc>
        <w:tc>
          <w:tcPr>
            <w:tcW w:w="352" w:type="pct"/>
            <w:tcBorders>
              <w:left w:val="single" w:sz="4" w:space="0" w:color="auto"/>
              <w:right w:val="single" w:sz="4" w:space="0" w:color="auto"/>
            </w:tcBorders>
          </w:tcPr>
          <w:p w14:paraId="067C82DA"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3</w:t>
            </w:r>
            <w:r w:rsidR="001759FE">
              <w:rPr>
                <w:rFonts w:eastAsia="Times New Roman" w:cs="Arial"/>
                <w:b/>
                <w:color w:val="auto"/>
                <w:lang w:eastAsia="en-AU"/>
              </w:rPr>
              <w:t>,</w:t>
            </w:r>
            <w:r w:rsidRPr="00A80772">
              <w:rPr>
                <w:rFonts w:eastAsia="Times New Roman" w:cs="Arial"/>
                <w:b/>
                <w:color w:val="auto"/>
                <w:lang w:eastAsia="en-AU"/>
              </w:rPr>
              <w:t>113</w:t>
            </w:r>
          </w:p>
        </w:tc>
      </w:tr>
      <w:tr w:rsidR="008E707A" w:rsidRPr="00051E6B" w14:paraId="0BCCBDCD"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tcPr>
          <w:p w14:paraId="3A31DA8F" w14:textId="77777777" w:rsidR="00F974D5" w:rsidRPr="00051E6B" w:rsidRDefault="00F974D5" w:rsidP="008E707A">
            <w:pPr>
              <w:tabs>
                <w:tab w:val="left" w:pos="1134"/>
              </w:tabs>
              <w:spacing w:before="0" w:line="240" w:lineRule="auto"/>
              <w:rPr>
                <w:rFonts w:cs="Arial"/>
                <w:b w:val="0"/>
                <w:bCs w:val="0"/>
                <w:color w:val="auto"/>
              </w:rPr>
            </w:pPr>
            <w:r w:rsidRPr="00051E6B">
              <w:rPr>
                <w:rFonts w:cs="Arial"/>
                <w:color w:val="auto"/>
              </w:rPr>
              <w:t>2008</w:t>
            </w:r>
          </w:p>
        </w:tc>
        <w:tc>
          <w:tcPr>
            <w:tcW w:w="731" w:type="pct"/>
            <w:tcBorders>
              <w:left w:val="single" w:sz="4" w:space="0" w:color="auto"/>
            </w:tcBorders>
            <w:noWrap/>
            <w:hideMark/>
          </w:tcPr>
          <w:p w14:paraId="259A7BBD"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2</w:t>
            </w:r>
            <w:r w:rsidR="001759FE">
              <w:rPr>
                <w:rFonts w:eastAsia="Times New Roman" w:cs="Arial"/>
                <w:color w:val="auto"/>
                <w:lang w:eastAsia="en-AU"/>
              </w:rPr>
              <w:t>,</w:t>
            </w:r>
            <w:r w:rsidRPr="00051E6B">
              <w:rPr>
                <w:rFonts w:eastAsia="Times New Roman" w:cs="Arial"/>
                <w:color w:val="auto"/>
                <w:lang w:eastAsia="en-AU"/>
              </w:rPr>
              <w:t>797</w:t>
            </w:r>
          </w:p>
        </w:tc>
        <w:tc>
          <w:tcPr>
            <w:tcW w:w="384" w:type="pct"/>
            <w:tcBorders>
              <w:right w:val="single" w:sz="4" w:space="0" w:color="auto"/>
            </w:tcBorders>
          </w:tcPr>
          <w:p w14:paraId="3289C8B1"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(67.8%)</w:t>
            </w:r>
          </w:p>
        </w:tc>
        <w:tc>
          <w:tcPr>
            <w:tcW w:w="569" w:type="pct"/>
            <w:tcBorders>
              <w:right w:val="nil"/>
            </w:tcBorders>
          </w:tcPr>
          <w:p w14:paraId="6AE50FA1"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329</w:t>
            </w:r>
          </w:p>
        </w:tc>
        <w:tc>
          <w:tcPr>
            <w:tcW w:w="384" w:type="pct"/>
            <w:tcBorders>
              <w:left w:val="nil"/>
            </w:tcBorders>
          </w:tcPr>
          <w:p w14:paraId="709591D1"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(32.2%)</w:t>
            </w:r>
          </w:p>
        </w:tc>
        <w:tc>
          <w:tcPr>
            <w:tcW w:w="631" w:type="pct"/>
            <w:tcBorders>
              <w:left w:val="single" w:sz="4" w:space="0" w:color="auto"/>
            </w:tcBorders>
            <w:noWrap/>
            <w:hideMark/>
          </w:tcPr>
          <w:p w14:paraId="3507E25B"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634</w:t>
            </w:r>
          </w:p>
        </w:tc>
        <w:tc>
          <w:tcPr>
            <w:tcW w:w="384" w:type="pct"/>
            <w:tcBorders>
              <w:right w:val="single" w:sz="4" w:space="0" w:color="auto"/>
            </w:tcBorders>
          </w:tcPr>
          <w:p w14:paraId="0A839866"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(15.4%)</w:t>
            </w:r>
          </w:p>
        </w:tc>
        <w:tc>
          <w:tcPr>
            <w:tcW w:w="788" w:type="pct"/>
            <w:tcBorders>
              <w:left w:val="single" w:sz="4" w:space="0" w:color="auto"/>
              <w:right w:val="nil"/>
            </w:tcBorders>
            <w:noWrap/>
            <w:hideMark/>
          </w:tcPr>
          <w:p w14:paraId="757A44A3"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695</w:t>
            </w:r>
          </w:p>
        </w:tc>
        <w:tc>
          <w:tcPr>
            <w:tcW w:w="427" w:type="pct"/>
            <w:tcBorders>
              <w:left w:val="nil"/>
              <w:right w:val="single" w:sz="4" w:space="0" w:color="auto"/>
            </w:tcBorders>
            <w:vAlign w:val="bottom"/>
          </w:tcPr>
          <w:p w14:paraId="6EA81B45"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16.84%</w:t>
            </w:r>
            <w:r>
              <w:rPr>
                <w:rFonts w:ascii="Calibri" w:hAnsi="Calibri" w:cs="Arial"/>
                <w:color w:val="auto"/>
              </w:rPr>
              <w:t>)</w:t>
            </w:r>
          </w:p>
        </w:tc>
        <w:tc>
          <w:tcPr>
            <w:tcW w:w="352" w:type="pct"/>
            <w:tcBorders>
              <w:left w:val="single" w:sz="4" w:space="0" w:color="auto"/>
              <w:right w:val="single" w:sz="4" w:space="0" w:color="auto"/>
            </w:tcBorders>
          </w:tcPr>
          <w:p w14:paraId="422B2239"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w:t>
            </w:r>
            <w:r w:rsidR="001759FE">
              <w:rPr>
                <w:rFonts w:eastAsia="Times New Roman" w:cs="Arial"/>
                <w:b/>
                <w:color w:val="auto"/>
                <w:lang w:eastAsia="en-AU"/>
              </w:rPr>
              <w:t>,</w:t>
            </w:r>
            <w:r w:rsidRPr="00A80772">
              <w:rPr>
                <w:rFonts w:eastAsia="Times New Roman" w:cs="Arial"/>
                <w:b/>
                <w:color w:val="auto"/>
                <w:lang w:eastAsia="en-AU"/>
              </w:rPr>
              <w:t>126</w:t>
            </w:r>
          </w:p>
        </w:tc>
      </w:tr>
      <w:tr w:rsidR="008E707A" w:rsidRPr="00051E6B" w14:paraId="14ECE0E5"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tcPr>
          <w:p w14:paraId="489A13D3" w14:textId="77777777" w:rsidR="00F974D5" w:rsidRPr="00051E6B" w:rsidRDefault="00F974D5" w:rsidP="008E707A">
            <w:pPr>
              <w:tabs>
                <w:tab w:val="left" w:pos="1134"/>
              </w:tabs>
              <w:spacing w:before="0" w:line="240" w:lineRule="auto"/>
              <w:rPr>
                <w:rFonts w:cs="Arial"/>
                <w:b w:val="0"/>
                <w:bCs w:val="0"/>
                <w:color w:val="auto"/>
              </w:rPr>
            </w:pPr>
            <w:r w:rsidRPr="00051E6B">
              <w:rPr>
                <w:rFonts w:cs="Arial"/>
                <w:color w:val="auto"/>
              </w:rPr>
              <w:t>2009</w:t>
            </w:r>
          </w:p>
        </w:tc>
        <w:tc>
          <w:tcPr>
            <w:tcW w:w="731" w:type="pct"/>
            <w:tcBorders>
              <w:left w:val="single" w:sz="4" w:space="0" w:color="auto"/>
            </w:tcBorders>
            <w:noWrap/>
            <w:hideMark/>
          </w:tcPr>
          <w:p w14:paraId="59F761E3"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2</w:t>
            </w:r>
            <w:r w:rsidR="001759FE">
              <w:rPr>
                <w:rFonts w:eastAsia="Times New Roman" w:cs="Arial"/>
                <w:color w:val="auto"/>
                <w:lang w:eastAsia="en-AU"/>
              </w:rPr>
              <w:t>,</w:t>
            </w:r>
            <w:r w:rsidRPr="00051E6B">
              <w:rPr>
                <w:rFonts w:eastAsia="Times New Roman" w:cs="Arial"/>
                <w:color w:val="auto"/>
                <w:lang w:eastAsia="en-AU"/>
              </w:rPr>
              <w:t>871</w:t>
            </w:r>
          </w:p>
        </w:tc>
        <w:tc>
          <w:tcPr>
            <w:tcW w:w="384" w:type="pct"/>
            <w:tcBorders>
              <w:right w:val="single" w:sz="4" w:space="0" w:color="auto"/>
            </w:tcBorders>
          </w:tcPr>
          <w:p w14:paraId="02733250"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(68.8%)</w:t>
            </w:r>
          </w:p>
        </w:tc>
        <w:tc>
          <w:tcPr>
            <w:tcW w:w="569" w:type="pct"/>
          </w:tcPr>
          <w:p w14:paraId="185DC94F"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302</w:t>
            </w:r>
          </w:p>
        </w:tc>
        <w:tc>
          <w:tcPr>
            <w:tcW w:w="384" w:type="pct"/>
          </w:tcPr>
          <w:p w14:paraId="61008F8D"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(31.2%)</w:t>
            </w:r>
          </w:p>
        </w:tc>
        <w:tc>
          <w:tcPr>
            <w:tcW w:w="631" w:type="pct"/>
            <w:tcBorders>
              <w:left w:val="single" w:sz="4" w:space="0" w:color="auto"/>
            </w:tcBorders>
            <w:noWrap/>
            <w:hideMark/>
          </w:tcPr>
          <w:p w14:paraId="6D8FF960"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655</w:t>
            </w:r>
          </w:p>
        </w:tc>
        <w:tc>
          <w:tcPr>
            <w:tcW w:w="384" w:type="pct"/>
            <w:tcBorders>
              <w:right w:val="single" w:sz="4" w:space="0" w:color="auto"/>
            </w:tcBorders>
          </w:tcPr>
          <w:p w14:paraId="475EB9F5"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(15.7%)</w:t>
            </w:r>
          </w:p>
        </w:tc>
        <w:tc>
          <w:tcPr>
            <w:tcW w:w="788" w:type="pct"/>
            <w:tcBorders>
              <w:left w:val="single" w:sz="4" w:space="0" w:color="auto"/>
            </w:tcBorders>
            <w:noWrap/>
            <w:hideMark/>
          </w:tcPr>
          <w:p w14:paraId="1810BD01"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647</w:t>
            </w:r>
          </w:p>
        </w:tc>
        <w:tc>
          <w:tcPr>
            <w:tcW w:w="427" w:type="pct"/>
            <w:tcBorders>
              <w:right w:val="single" w:sz="4" w:space="0" w:color="auto"/>
            </w:tcBorders>
            <w:vAlign w:val="bottom"/>
          </w:tcPr>
          <w:p w14:paraId="552F9066"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15.50%</w:t>
            </w:r>
            <w:r>
              <w:rPr>
                <w:rFonts w:ascii="Calibri" w:hAnsi="Calibri" w:cs="Arial"/>
                <w:color w:val="auto"/>
              </w:rPr>
              <w:t>)</w:t>
            </w:r>
          </w:p>
        </w:tc>
        <w:tc>
          <w:tcPr>
            <w:tcW w:w="352" w:type="pct"/>
            <w:tcBorders>
              <w:left w:val="single" w:sz="4" w:space="0" w:color="auto"/>
              <w:right w:val="single" w:sz="4" w:space="0" w:color="auto"/>
            </w:tcBorders>
          </w:tcPr>
          <w:p w14:paraId="1CC38C5F"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w:t>
            </w:r>
            <w:r w:rsidR="001759FE">
              <w:rPr>
                <w:rFonts w:eastAsia="Times New Roman" w:cs="Arial"/>
                <w:b/>
                <w:color w:val="auto"/>
                <w:lang w:eastAsia="en-AU"/>
              </w:rPr>
              <w:t>,</w:t>
            </w:r>
            <w:r w:rsidRPr="00A80772">
              <w:rPr>
                <w:rFonts w:eastAsia="Times New Roman" w:cs="Arial"/>
                <w:b/>
                <w:color w:val="auto"/>
                <w:lang w:eastAsia="en-AU"/>
              </w:rPr>
              <w:t>173</w:t>
            </w:r>
          </w:p>
        </w:tc>
      </w:tr>
      <w:tr w:rsidR="008E707A" w:rsidRPr="00051E6B" w14:paraId="74859F94"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tcPr>
          <w:p w14:paraId="5E7C7680" w14:textId="77777777" w:rsidR="00F974D5" w:rsidRPr="00051E6B" w:rsidRDefault="00F974D5" w:rsidP="008E707A">
            <w:pPr>
              <w:tabs>
                <w:tab w:val="left" w:pos="1134"/>
              </w:tabs>
              <w:spacing w:before="0" w:line="240" w:lineRule="auto"/>
              <w:rPr>
                <w:rFonts w:cs="Arial"/>
                <w:b w:val="0"/>
                <w:bCs w:val="0"/>
                <w:color w:val="auto"/>
              </w:rPr>
            </w:pPr>
            <w:r w:rsidRPr="00051E6B">
              <w:rPr>
                <w:rFonts w:cs="Arial"/>
                <w:color w:val="auto"/>
              </w:rPr>
              <w:t>2010</w:t>
            </w:r>
          </w:p>
        </w:tc>
        <w:tc>
          <w:tcPr>
            <w:tcW w:w="731" w:type="pct"/>
            <w:tcBorders>
              <w:left w:val="single" w:sz="4" w:space="0" w:color="auto"/>
            </w:tcBorders>
            <w:noWrap/>
            <w:hideMark/>
          </w:tcPr>
          <w:p w14:paraId="67DAE703"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2</w:t>
            </w:r>
            <w:r w:rsidR="001759FE">
              <w:rPr>
                <w:rFonts w:eastAsia="Times New Roman" w:cs="Arial"/>
                <w:color w:val="auto"/>
                <w:lang w:eastAsia="en-AU"/>
              </w:rPr>
              <w:t>,</w:t>
            </w:r>
            <w:r w:rsidRPr="00051E6B">
              <w:rPr>
                <w:rFonts w:eastAsia="Times New Roman" w:cs="Arial"/>
                <w:color w:val="auto"/>
                <w:lang w:eastAsia="en-AU"/>
              </w:rPr>
              <w:t>935</w:t>
            </w:r>
          </w:p>
        </w:tc>
        <w:tc>
          <w:tcPr>
            <w:tcW w:w="384" w:type="pct"/>
            <w:tcBorders>
              <w:right w:val="single" w:sz="4" w:space="0" w:color="auto"/>
            </w:tcBorders>
          </w:tcPr>
          <w:p w14:paraId="53DD481D"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(50</w:t>
            </w:r>
            <w:r>
              <w:rPr>
                <w:rFonts w:eastAsia="Times New Roman" w:cs="Arial"/>
                <w:color w:val="000000"/>
                <w:lang w:eastAsia="en-AU"/>
              </w:rPr>
              <w:t>.0</w:t>
            </w:r>
            <w:r w:rsidRPr="00051E6B">
              <w:rPr>
                <w:rFonts w:eastAsia="Times New Roman" w:cs="Arial"/>
                <w:color w:val="000000"/>
                <w:lang w:eastAsia="en-AU"/>
              </w:rPr>
              <w:t>%)</w:t>
            </w:r>
          </w:p>
        </w:tc>
        <w:tc>
          <w:tcPr>
            <w:tcW w:w="569" w:type="pct"/>
            <w:tcBorders>
              <w:right w:val="nil"/>
            </w:tcBorders>
          </w:tcPr>
          <w:p w14:paraId="6B245B32"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2</w:t>
            </w:r>
            <w:r w:rsidR="001759FE">
              <w:rPr>
                <w:rFonts w:eastAsia="Times New Roman" w:cs="Arial"/>
                <w:color w:val="auto"/>
                <w:lang w:eastAsia="en-AU"/>
              </w:rPr>
              <w:t>,</w:t>
            </w:r>
            <w:r w:rsidRPr="00051E6B">
              <w:rPr>
                <w:rFonts w:eastAsia="Times New Roman" w:cs="Arial"/>
                <w:color w:val="auto"/>
                <w:lang w:eastAsia="en-AU"/>
              </w:rPr>
              <w:t>935</w:t>
            </w:r>
          </w:p>
        </w:tc>
        <w:tc>
          <w:tcPr>
            <w:tcW w:w="384" w:type="pct"/>
            <w:tcBorders>
              <w:left w:val="nil"/>
            </w:tcBorders>
          </w:tcPr>
          <w:p w14:paraId="6CCB851F"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(50</w:t>
            </w:r>
            <w:r>
              <w:rPr>
                <w:rFonts w:eastAsia="Times New Roman" w:cs="Arial"/>
                <w:color w:val="000000"/>
                <w:lang w:eastAsia="en-AU"/>
              </w:rPr>
              <w:t>.0</w:t>
            </w:r>
            <w:r w:rsidRPr="00051E6B">
              <w:rPr>
                <w:rFonts w:eastAsia="Times New Roman" w:cs="Arial"/>
                <w:color w:val="000000"/>
                <w:lang w:eastAsia="en-AU"/>
              </w:rPr>
              <w:t>%)</w:t>
            </w:r>
          </w:p>
        </w:tc>
        <w:tc>
          <w:tcPr>
            <w:tcW w:w="631" w:type="pct"/>
            <w:tcBorders>
              <w:left w:val="single" w:sz="4" w:space="0" w:color="auto"/>
            </w:tcBorders>
            <w:noWrap/>
            <w:hideMark/>
          </w:tcPr>
          <w:p w14:paraId="56BEEF1F"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989</w:t>
            </w:r>
          </w:p>
        </w:tc>
        <w:tc>
          <w:tcPr>
            <w:tcW w:w="384" w:type="pct"/>
            <w:tcBorders>
              <w:right w:val="single" w:sz="4" w:space="0" w:color="auto"/>
            </w:tcBorders>
          </w:tcPr>
          <w:p w14:paraId="75E851A6"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(16.8%)</w:t>
            </w:r>
          </w:p>
        </w:tc>
        <w:tc>
          <w:tcPr>
            <w:tcW w:w="788" w:type="pct"/>
            <w:tcBorders>
              <w:left w:val="single" w:sz="4" w:space="0" w:color="auto"/>
              <w:right w:val="nil"/>
            </w:tcBorders>
            <w:noWrap/>
            <w:hideMark/>
          </w:tcPr>
          <w:p w14:paraId="6C9141E4"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946</w:t>
            </w:r>
          </w:p>
        </w:tc>
        <w:tc>
          <w:tcPr>
            <w:tcW w:w="427" w:type="pct"/>
            <w:tcBorders>
              <w:left w:val="nil"/>
              <w:right w:val="single" w:sz="4" w:space="0" w:color="auto"/>
            </w:tcBorders>
            <w:vAlign w:val="bottom"/>
          </w:tcPr>
          <w:p w14:paraId="1B99B9F2"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33.15%</w:t>
            </w:r>
            <w:r>
              <w:rPr>
                <w:rFonts w:ascii="Calibri" w:hAnsi="Calibri" w:cs="Arial"/>
                <w:color w:val="auto"/>
              </w:rPr>
              <w:t>)</w:t>
            </w:r>
          </w:p>
        </w:tc>
        <w:tc>
          <w:tcPr>
            <w:tcW w:w="352" w:type="pct"/>
            <w:tcBorders>
              <w:left w:val="single" w:sz="4" w:space="0" w:color="auto"/>
              <w:right w:val="single" w:sz="4" w:space="0" w:color="auto"/>
            </w:tcBorders>
          </w:tcPr>
          <w:p w14:paraId="737F44F7"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5</w:t>
            </w:r>
            <w:r w:rsidR="001759FE">
              <w:rPr>
                <w:rFonts w:eastAsia="Times New Roman" w:cs="Arial"/>
                <w:b/>
                <w:color w:val="auto"/>
                <w:lang w:eastAsia="en-AU"/>
              </w:rPr>
              <w:t>,</w:t>
            </w:r>
            <w:r w:rsidRPr="00A80772">
              <w:rPr>
                <w:rFonts w:eastAsia="Times New Roman" w:cs="Arial"/>
                <w:b/>
                <w:color w:val="auto"/>
                <w:lang w:eastAsia="en-AU"/>
              </w:rPr>
              <w:t>870</w:t>
            </w:r>
          </w:p>
        </w:tc>
      </w:tr>
      <w:tr w:rsidR="008E707A" w:rsidRPr="00051E6B" w14:paraId="3A0917EE"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tcPr>
          <w:p w14:paraId="4547E7AD" w14:textId="77777777" w:rsidR="00F974D5" w:rsidRPr="00051E6B" w:rsidRDefault="00F974D5" w:rsidP="008E707A">
            <w:pPr>
              <w:tabs>
                <w:tab w:val="left" w:pos="1134"/>
              </w:tabs>
              <w:spacing w:before="0" w:line="240" w:lineRule="auto"/>
              <w:rPr>
                <w:rFonts w:cs="Arial"/>
                <w:b w:val="0"/>
                <w:bCs w:val="0"/>
                <w:color w:val="auto"/>
              </w:rPr>
            </w:pPr>
            <w:r w:rsidRPr="00051E6B">
              <w:rPr>
                <w:rFonts w:cs="Arial"/>
                <w:color w:val="auto"/>
              </w:rPr>
              <w:t>2011</w:t>
            </w:r>
          </w:p>
        </w:tc>
        <w:tc>
          <w:tcPr>
            <w:tcW w:w="731" w:type="pct"/>
            <w:tcBorders>
              <w:left w:val="single" w:sz="4" w:space="0" w:color="auto"/>
            </w:tcBorders>
            <w:noWrap/>
            <w:hideMark/>
          </w:tcPr>
          <w:p w14:paraId="728FBBE0"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3</w:t>
            </w:r>
            <w:r w:rsidR="001759FE">
              <w:rPr>
                <w:rFonts w:eastAsia="Times New Roman" w:cs="Arial"/>
                <w:color w:val="auto"/>
                <w:lang w:eastAsia="en-AU"/>
              </w:rPr>
              <w:t>,</w:t>
            </w:r>
            <w:r w:rsidRPr="00051E6B">
              <w:rPr>
                <w:rFonts w:eastAsia="Times New Roman" w:cs="Arial"/>
                <w:color w:val="auto"/>
                <w:lang w:eastAsia="en-AU"/>
              </w:rPr>
              <w:t>367</w:t>
            </w:r>
          </w:p>
        </w:tc>
        <w:tc>
          <w:tcPr>
            <w:tcW w:w="384" w:type="pct"/>
            <w:tcBorders>
              <w:right w:val="single" w:sz="4" w:space="0" w:color="auto"/>
            </w:tcBorders>
          </w:tcPr>
          <w:p w14:paraId="0F276D06"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(53.7%)</w:t>
            </w:r>
          </w:p>
        </w:tc>
        <w:tc>
          <w:tcPr>
            <w:tcW w:w="569" w:type="pct"/>
          </w:tcPr>
          <w:p w14:paraId="768E4157"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2</w:t>
            </w:r>
            <w:r w:rsidR="001759FE">
              <w:rPr>
                <w:rFonts w:eastAsia="Times New Roman" w:cs="Arial"/>
                <w:color w:val="auto"/>
                <w:lang w:eastAsia="en-AU"/>
              </w:rPr>
              <w:t>,</w:t>
            </w:r>
            <w:r w:rsidRPr="00051E6B">
              <w:rPr>
                <w:rFonts w:eastAsia="Times New Roman" w:cs="Arial"/>
                <w:color w:val="auto"/>
                <w:lang w:eastAsia="en-AU"/>
              </w:rPr>
              <w:t>898</w:t>
            </w:r>
          </w:p>
        </w:tc>
        <w:tc>
          <w:tcPr>
            <w:tcW w:w="384" w:type="pct"/>
          </w:tcPr>
          <w:p w14:paraId="4A6D8F5B"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(46.3%)</w:t>
            </w:r>
          </w:p>
        </w:tc>
        <w:tc>
          <w:tcPr>
            <w:tcW w:w="631" w:type="pct"/>
            <w:tcBorders>
              <w:left w:val="single" w:sz="4" w:space="0" w:color="auto"/>
            </w:tcBorders>
            <w:noWrap/>
            <w:hideMark/>
          </w:tcPr>
          <w:p w14:paraId="68216D7F"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230</w:t>
            </w:r>
          </w:p>
        </w:tc>
        <w:tc>
          <w:tcPr>
            <w:tcW w:w="384" w:type="pct"/>
            <w:tcBorders>
              <w:right w:val="single" w:sz="4" w:space="0" w:color="auto"/>
            </w:tcBorders>
          </w:tcPr>
          <w:p w14:paraId="6572A05D"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(19.6%)</w:t>
            </w:r>
          </w:p>
        </w:tc>
        <w:tc>
          <w:tcPr>
            <w:tcW w:w="788" w:type="pct"/>
            <w:tcBorders>
              <w:left w:val="single" w:sz="4" w:space="0" w:color="auto"/>
            </w:tcBorders>
            <w:noWrap/>
            <w:hideMark/>
          </w:tcPr>
          <w:p w14:paraId="797EF9F5" w14:textId="77777777" w:rsidR="00F974D5" w:rsidRPr="00051E6B"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668</w:t>
            </w:r>
          </w:p>
        </w:tc>
        <w:tc>
          <w:tcPr>
            <w:tcW w:w="427" w:type="pct"/>
            <w:tcBorders>
              <w:right w:val="single" w:sz="4" w:space="0" w:color="auto"/>
            </w:tcBorders>
            <w:vAlign w:val="bottom"/>
          </w:tcPr>
          <w:p w14:paraId="1748149B"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26.62%</w:t>
            </w:r>
            <w:r>
              <w:rPr>
                <w:rFonts w:ascii="Calibri" w:hAnsi="Calibri" w:cs="Arial"/>
                <w:color w:val="auto"/>
              </w:rPr>
              <w:t>)</w:t>
            </w:r>
          </w:p>
        </w:tc>
        <w:tc>
          <w:tcPr>
            <w:tcW w:w="352" w:type="pct"/>
            <w:tcBorders>
              <w:left w:val="single" w:sz="4" w:space="0" w:color="auto"/>
              <w:right w:val="single" w:sz="4" w:space="0" w:color="auto"/>
            </w:tcBorders>
          </w:tcPr>
          <w:p w14:paraId="434B47AA"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6</w:t>
            </w:r>
            <w:r w:rsidR="001759FE">
              <w:rPr>
                <w:rFonts w:eastAsia="Times New Roman" w:cs="Arial"/>
                <w:b/>
                <w:color w:val="auto"/>
                <w:lang w:eastAsia="en-AU"/>
              </w:rPr>
              <w:t>,</w:t>
            </w:r>
            <w:r w:rsidRPr="00A80772">
              <w:rPr>
                <w:rFonts w:eastAsia="Times New Roman" w:cs="Arial"/>
                <w:b/>
                <w:color w:val="auto"/>
                <w:lang w:eastAsia="en-AU"/>
              </w:rPr>
              <w:t>265</w:t>
            </w:r>
          </w:p>
        </w:tc>
      </w:tr>
      <w:tr w:rsidR="008E707A" w:rsidRPr="00051E6B" w14:paraId="71828539" w14:textId="77777777" w:rsidTr="008E707A">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bottom w:val="single" w:sz="4" w:space="0" w:color="auto"/>
              <w:right w:val="single" w:sz="4" w:space="0" w:color="auto"/>
            </w:tcBorders>
          </w:tcPr>
          <w:p w14:paraId="09E7D0C4" w14:textId="77777777" w:rsidR="00F974D5" w:rsidRPr="00051E6B" w:rsidRDefault="00F974D5" w:rsidP="008E707A">
            <w:pPr>
              <w:tabs>
                <w:tab w:val="left" w:pos="1134"/>
              </w:tabs>
              <w:spacing w:before="0" w:line="240" w:lineRule="auto"/>
              <w:rPr>
                <w:rFonts w:cs="Arial"/>
                <w:b w:val="0"/>
                <w:bCs w:val="0"/>
                <w:color w:val="auto"/>
              </w:rPr>
            </w:pPr>
            <w:r w:rsidRPr="00051E6B">
              <w:rPr>
                <w:rFonts w:cs="Arial"/>
                <w:color w:val="auto"/>
              </w:rPr>
              <w:t>2012</w:t>
            </w:r>
          </w:p>
        </w:tc>
        <w:tc>
          <w:tcPr>
            <w:tcW w:w="731" w:type="pct"/>
            <w:tcBorders>
              <w:left w:val="single" w:sz="4" w:space="0" w:color="auto"/>
              <w:bottom w:val="single" w:sz="4" w:space="0" w:color="auto"/>
            </w:tcBorders>
            <w:noWrap/>
            <w:hideMark/>
          </w:tcPr>
          <w:p w14:paraId="1D40B7BC"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3</w:t>
            </w:r>
            <w:r w:rsidR="001759FE">
              <w:rPr>
                <w:rFonts w:eastAsia="Times New Roman" w:cs="Arial"/>
                <w:color w:val="auto"/>
                <w:lang w:eastAsia="en-AU"/>
              </w:rPr>
              <w:t>,</w:t>
            </w:r>
            <w:r w:rsidRPr="00051E6B">
              <w:rPr>
                <w:rFonts w:eastAsia="Times New Roman" w:cs="Arial"/>
                <w:color w:val="auto"/>
                <w:lang w:eastAsia="en-AU"/>
              </w:rPr>
              <w:t>903</w:t>
            </w:r>
          </w:p>
        </w:tc>
        <w:tc>
          <w:tcPr>
            <w:tcW w:w="384" w:type="pct"/>
            <w:tcBorders>
              <w:bottom w:val="single" w:sz="4" w:space="0" w:color="auto"/>
              <w:right w:val="single" w:sz="4" w:space="0" w:color="auto"/>
            </w:tcBorders>
          </w:tcPr>
          <w:p w14:paraId="56D57A8B"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(53.1%)</w:t>
            </w:r>
          </w:p>
        </w:tc>
        <w:tc>
          <w:tcPr>
            <w:tcW w:w="569" w:type="pct"/>
            <w:tcBorders>
              <w:bottom w:val="single" w:sz="4" w:space="0" w:color="auto"/>
              <w:right w:val="nil"/>
            </w:tcBorders>
          </w:tcPr>
          <w:p w14:paraId="56CAF8C4"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3</w:t>
            </w:r>
            <w:r w:rsidR="001759FE">
              <w:rPr>
                <w:rFonts w:eastAsia="Times New Roman" w:cs="Arial"/>
                <w:color w:val="auto"/>
                <w:lang w:eastAsia="en-AU"/>
              </w:rPr>
              <w:t>,</w:t>
            </w:r>
            <w:r w:rsidRPr="00051E6B">
              <w:rPr>
                <w:rFonts w:eastAsia="Times New Roman" w:cs="Arial"/>
                <w:color w:val="auto"/>
                <w:lang w:eastAsia="en-AU"/>
              </w:rPr>
              <w:t>444</w:t>
            </w:r>
          </w:p>
        </w:tc>
        <w:tc>
          <w:tcPr>
            <w:tcW w:w="384" w:type="pct"/>
            <w:tcBorders>
              <w:left w:val="nil"/>
              <w:bottom w:val="single" w:sz="4" w:space="0" w:color="auto"/>
            </w:tcBorders>
          </w:tcPr>
          <w:p w14:paraId="43B661FA"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(46.9%)</w:t>
            </w:r>
          </w:p>
        </w:tc>
        <w:tc>
          <w:tcPr>
            <w:tcW w:w="631" w:type="pct"/>
            <w:tcBorders>
              <w:left w:val="single" w:sz="4" w:space="0" w:color="auto"/>
              <w:bottom w:val="single" w:sz="4" w:space="0" w:color="auto"/>
            </w:tcBorders>
            <w:noWrap/>
            <w:hideMark/>
          </w:tcPr>
          <w:p w14:paraId="46D98771"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463</w:t>
            </w:r>
          </w:p>
        </w:tc>
        <w:tc>
          <w:tcPr>
            <w:tcW w:w="384" w:type="pct"/>
            <w:tcBorders>
              <w:bottom w:val="single" w:sz="4" w:space="0" w:color="auto"/>
              <w:right w:val="single" w:sz="4" w:space="0" w:color="auto"/>
            </w:tcBorders>
          </w:tcPr>
          <w:p w14:paraId="222DC8CD"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51E6B">
              <w:rPr>
                <w:rFonts w:eastAsia="Times New Roman" w:cs="Arial"/>
                <w:color w:val="000000"/>
                <w:lang w:eastAsia="en-AU"/>
              </w:rPr>
              <w:t>(19.9%)</w:t>
            </w:r>
          </w:p>
        </w:tc>
        <w:tc>
          <w:tcPr>
            <w:tcW w:w="788" w:type="pct"/>
            <w:tcBorders>
              <w:left w:val="single" w:sz="4" w:space="0" w:color="auto"/>
              <w:bottom w:val="single" w:sz="4" w:space="0" w:color="auto"/>
              <w:right w:val="nil"/>
            </w:tcBorders>
            <w:noWrap/>
            <w:hideMark/>
          </w:tcPr>
          <w:p w14:paraId="517D36A4" w14:textId="77777777" w:rsidR="00F974D5" w:rsidRPr="00051E6B"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lang w:eastAsia="en-AU"/>
              </w:rPr>
            </w:pPr>
            <w:r w:rsidRPr="00051E6B">
              <w:rPr>
                <w:rFonts w:eastAsia="Times New Roman" w:cs="Arial"/>
                <w:color w:val="auto"/>
                <w:lang w:eastAsia="en-AU"/>
              </w:rPr>
              <w:t>1</w:t>
            </w:r>
            <w:r w:rsidR="001759FE">
              <w:rPr>
                <w:rFonts w:eastAsia="Times New Roman" w:cs="Arial"/>
                <w:color w:val="auto"/>
                <w:lang w:eastAsia="en-AU"/>
              </w:rPr>
              <w:t>,</w:t>
            </w:r>
            <w:r w:rsidRPr="00051E6B">
              <w:rPr>
                <w:rFonts w:eastAsia="Times New Roman" w:cs="Arial"/>
                <w:color w:val="auto"/>
                <w:lang w:eastAsia="en-AU"/>
              </w:rPr>
              <w:t>981</w:t>
            </w:r>
          </w:p>
        </w:tc>
        <w:tc>
          <w:tcPr>
            <w:tcW w:w="427" w:type="pct"/>
            <w:tcBorders>
              <w:left w:val="nil"/>
              <w:bottom w:val="single" w:sz="4" w:space="0" w:color="auto"/>
              <w:right w:val="single" w:sz="4" w:space="0" w:color="auto"/>
            </w:tcBorders>
            <w:vAlign w:val="bottom"/>
          </w:tcPr>
          <w:p w14:paraId="4BA60712" w14:textId="77777777" w:rsidR="00F974D5" w:rsidRPr="00F974D5" w:rsidRDefault="00F974D5" w:rsidP="008E707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26.96%</w:t>
            </w:r>
            <w:r>
              <w:rPr>
                <w:rFonts w:ascii="Calibri" w:hAnsi="Calibri" w:cs="Arial"/>
                <w:color w:val="auto"/>
              </w:rPr>
              <w:t>)</w:t>
            </w:r>
          </w:p>
        </w:tc>
        <w:tc>
          <w:tcPr>
            <w:tcW w:w="352" w:type="pct"/>
            <w:tcBorders>
              <w:left w:val="single" w:sz="4" w:space="0" w:color="auto"/>
              <w:bottom w:val="single" w:sz="4" w:space="0" w:color="auto"/>
              <w:right w:val="single" w:sz="4" w:space="0" w:color="auto"/>
            </w:tcBorders>
          </w:tcPr>
          <w:p w14:paraId="3B6A210B" w14:textId="77777777" w:rsidR="00F974D5" w:rsidRPr="00A80772" w:rsidRDefault="00F974D5" w:rsidP="008E707A">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7</w:t>
            </w:r>
            <w:r w:rsidR="001759FE">
              <w:rPr>
                <w:rFonts w:eastAsia="Times New Roman" w:cs="Arial"/>
                <w:b/>
                <w:color w:val="auto"/>
                <w:lang w:eastAsia="en-AU"/>
              </w:rPr>
              <w:t>,</w:t>
            </w:r>
            <w:r w:rsidRPr="00A80772">
              <w:rPr>
                <w:rFonts w:eastAsia="Times New Roman" w:cs="Arial"/>
                <w:b/>
                <w:color w:val="auto"/>
                <w:lang w:eastAsia="en-AU"/>
              </w:rPr>
              <w:t>347</w:t>
            </w:r>
          </w:p>
        </w:tc>
      </w:tr>
      <w:tr w:rsidR="008E707A" w:rsidRPr="00A80772" w14:paraId="68408CD7" w14:textId="77777777" w:rsidTr="008E707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bottom w:val="single" w:sz="4" w:space="0" w:color="auto"/>
              <w:right w:val="single" w:sz="4" w:space="0" w:color="auto"/>
            </w:tcBorders>
          </w:tcPr>
          <w:p w14:paraId="373DE0EE" w14:textId="77777777" w:rsidR="00F974D5" w:rsidRPr="00A80772" w:rsidRDefault="00F974D5" w:rsidP="008E707A">
            <w:pPr>
              <w:tabs>
                <w:tab w:val="left" w:pos="1134"/>
              </w:tabs>
              <w:spacing w:before="0" w:line="240" w:lineRule="auto"/>
              <w:rPr>
                <w:rFonts w:cs="Arial"/>
                <w:bCs w:val="0"/>
                <w:color w:val="auto"/>
              </w:rPr>
            </w:pPr>
            <w:r w:rsidRPr="00A80772">
              <w:rPr>
                <w:rFonts w:cs="Arial"/>
                <w:color w:val="auto"/>
              </w:rPr>
              <w:t>Totals:</w:t>
            </w:r>
          </w:p>
        </w:tc>
        <w:tc>
          <w:tcPr>
            <w:tcW w:w="731" w:type="pct"/>
            <w:tcBorders>
              <w:top w:val="single" w:sz="4" w:space="0" w:color="auto"/>
              <w:left w:val="single" w:sz="4" w:space="0" w:color="auto"/>
              <w:bottom w:val="single" w:sz="4" w:space="0" w:color="auto"/>
            </w:tcBorders>
            <w:noWrap/>
            <w:hideMark/>
          </w:tcPr>
          <w:p w14:paraId="5BEAE2CD"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28</w:t>
            </w:r>
            <w:r w:rsidR="001759FE">
              <w:rPr>
                <w:rFonts w:eastAsia="Times New Roman" w:cs="Arial"/>
                <w:b/>
                <w:color w:val="auto"/>
                <w:lang w:eastAsia="en-AU"/>
              </w:rPr>
              <w:t>,</w:t>
            </w:r>
            <w:r w:rsidRPr="00A80772">
              <w:rPr>
                <w:rFonts w:eastAsia="Times New Roman" w:cs="Arial"/>
                <w:b/>
                <w:color w:val="auto"/>
                <w:lang w:eastAsia="en-AU"/>
              </w:rPr>
              <w:t>790</w:t>
            </w:r>
          </w:p>
        </w:tc>
        <w:tc>
          <w:tcPr>
            <w:tcW w:w="384" w:type="pct"/>
            <w:tcBorders>
              <w:top w:val="single" w:sz="4" w:space="0" w:color="auto"/>
              <w:bottom w:val="single" w:sz="4" w:space="0" w:color="auto"/>
              <w:right w:val="single" w:sz="4" w:space="0" w:color="auto"/>
            </w:tcBorders>
          </w:tcPr>
          <w:p w14:paraId="5D0BB23B"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(58.8%)</w:t>
            </w:r>
          </w:p>
        </w:tc>
        <w:tc>
          <w:tcPr>
            <w:tcW w:w="569" w:type="pct"/>
            <w:tcBorders>
              <w:top w:val="single" w:sz="4" w:space="0" w:color="auto"/>
              <w:bottom w:val="single" w:sz="4" w:space="0" w:color="auto"/>
            </w:tcBorders>
          </w:tcPr>
          <w:p w14:paraId="24C16085"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20</w:t>
            </w:r>
            <w:r w:rsidR="001759FE">
              <w:rPr>
                <w:rFonts w:eastAsia="Times New Roman" w:cs="Arial"/>
                <w:b/>
                <w:color w:val="auto"/>
                <w:lang w:eastAsia="en-AU"/>
              </w:rPr>
              <w:t>,</w:t>
            </w:r>
            <w:r w:rsidRPr="00A80772">
              <w:rPr>
                <w:rFonts w:eastAsia="Times New Roman" w:cs="Arial"/>
                <w:b/>
                <w:color w:val="auto"/>
                <w:lang w:eastAsia="en-AU"/>
              </w:rPr>
              <w:t>178</w:t>
            </w:r>
          </w:p>
        </w:tc>
        <w:tc>
          <w:tcPr>
            <w:tcW w:w="384" w:type="pct"/>
            <w:tcBorders>
              <w:top w:val="single" w:sz="4" w:space="0" w:color="auto"/>
              <w:bottom w:val="single" w:sz="4" w:space="0" w:color="auto"/>
            </w:tcBorders>
          </w:tcPr>
          <w:p w14:paraId="29A0950D"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(41.2%)</w:t>
            </w:r>
          </w:p>
        </w:tc>
        <w:tc>
          <w:tcPr>
            <w:tcW w:w="631" w:type="pct"/>
            <w:tcBorders>
              <w:top w:val="single" w:sz="4" w:space="0" w:color="auto"/>
              <w:left w:val="single" w:sz="4" w:space="0" w:color="auto"/>
              <w:bottom w:val="single" w:sz="4" w:space="0" w:color="auto"/>
            </w:tcBorders>
            <w:noWrap/>
            <w:hideMark/>
          </w:tcPr>
          <w:p w14:paraId="1082D92F"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8</w:t>
            </w:r>
            <w:r w:rsidR="001759FE">
              <w:rPr>
                <w:rFonts w:eastAsia="Times New Roman" w:cs="Arial"/>
                <w:b/>
                <w:color w:val="auto"/>
                <w:lang w:eastAsia="en-AU"/>
              </w:rPr>
              <w:t>,</w:t>
            </w:r>
            <w:r w:rsidRPr="00A80772">
              <w:rPr>
                <w:rFonts w:eastAsia="Times New Roman" w:cs="Arial"/>
                <w:b/>
                <w:color w:val="auto"/>
                <w:lang w:eastAsia="en-AU"/>
              </w:rPr>
              <w:t>913</w:t>
            </w:r>
          </w:p>
        </w:tc>
        <w:tc>
          <w:tcPr>
            <w:tcW w:w="384" w:type="pct"/>
            <w:tcBorders>
              <w:top w:val="single" w:sz="4" w:space="0" w:color="auto"/>
              <w:bottom w:val="single" w:sz="4" w:space="0" w:color="auto"/>
              <w:right w:val="single" w:sz="4" w:space="0" w:color="auto"/>
            </w:tcBorders>
          </w:tcPr>
          <w:p w14:paraId="06D2A22A"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A80772">
              <w:rPr>
                <w:rFonts w:eastAsia="Times New Roman" w:cs="Arial"/>
                <w:b/>
                <w:color w:val="000000"/>
                <w:lang w:eastAsia="en-AU"/>
              </w:rPr>
              <w:t>(18.2%)</w:t>
            </w:r>
          </w:p>
        </w:tc>
        <w:tc>
          <w:tcPr>
            <w:tcW w:w="788" w:type="pct"/>
            <w:tcBorders>
              <w:top w:val="single" w:sz="4" w:space="0" w:color="auto"/>
              <w:left w:val="single" w:sz="4" w:space="0" w:color="auto"/>
              <w:bottom w:val="single" w:sz="4" w:space="0" w:color="auto"/>
            </w:tcBorders>
            <w:noWrap/>
            <w:hideMark/>
          </w:tcPr>
          <w:p w14:paraId="59A3E0AD"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11</w:t>
            </w:r>
            <w:r w:rsidR="001759FE">
              <w:rPr>
                <w:rFonts w:eastAsia="Times New Roman" w:cs="Arial"/>
                <w:b/>
                <w:color w:val="auto"/>
                <w:lang w:eastAsia="en-AU"/>
              </w:rPr>
              <w:t>,</w:t>
            </w:r>
            <w:r w:rsidRPr="00A80772">
              <w:rPr>
                <w:rFonts w:eastAsia="Times New Roman" w:cs="Arial"/>
                <w:b/>
                <w:color w:val="auto"/>
                <w:lang w:eastAsia="en-AU"/>
              </w:rPr>
              <w:t>265</w:t>
            </w:r>
          </w:p>
        </w:tc>
        <w:tc>
          <w:tcPr>
            <w:tcW w:w="427" w:type="pct"/>
            <w:tcBorders>
              <w:top w:val="single" w:sz="4" w:space="0" w:color="auto"/>
              <w:bottom w:val="single" w:sz="4" w:space="0" w:color="auto"/>
              <w:right w:val="single" w:sz="4" w:space="0" w:color="auto"/>
            </w:tcBorders>
            <w:vAlign w:val="bottom"/>
          </w:tcPr>
          <w:p w14:paraId="7EEF2842" w14:textId="77777777" w:rsidR="00F974D5" w:rsidRPr="00F974D5" w:rsidRDefault="00F974D5" w:rsidP="008E707A">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s="Arial"/>
                <w:color w:val="auto"/>
              </w:rPr>
              <w:t>(</w:t>
            </w:r>
            <w:r w:rsidRPr="00F974D5">
              <w:rPr>
                <w:rFonts w:ascii="Calibri" w:hAnsi="Calibri" w:cs="Arial"/>
                <w:color w:val="auto"/>
              </w:rPr>
              <w:t>23.00%</w:t>
            </w:r>
            <w:r>
              <w:rPr>
                <w:rFonts w:ascii="Calibri" w:hAnsi="Calibri" w:cs="Arial"/>
                <w:color w:val="auto"/>
              </w:rPr>
              <w:t>)</w:t>
            </w:r>
          </w:p>
        </w:tc>
        <w:tc>
          <w:tcPr>
            <w:tcW w:w="352" w:type="pct"/>
            <w:tcBorders>
              <w:top w:val="single" w:sz="4" w:space="0" w:color="auto"/>
              <w:left w:val="single" w:sz="4" w:space="0" w:color="auto"/>
              <w:bottom w:val="single" w:sz="4" w:space="0" w:color="auto"/>
              <w:right w:val="single" w:sz="4" w:space="0" w:color="auto"/>
            </w:tcBorders>
          </w:tcPr>
          <w:p w14:paraId="37E85CE5" w14:textId="77777777" w:rsidR="00F974D5" w:rsidRPr="00A80772" w:rsidRDefault="00F974D5" w:rsidP="008E707A">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48</w:t>
            </w:r>
            <w:r w:rsidR="001759FE">
              <w:rPr>
                <w:rFonts w:eastAsia="Times New Roman" w:cs="Arial"/>
                <w:b/>
                <w:color w:val="auto"/>
                <w:lang w:eastAsia="en-AU"/>
              </w:rPr>
              <w:t>,</w:t>
            </w:r>
            <w:r w:rsidRPr="00A80772">
              <w:rPr>
                <w:rFonts w:eastAsia="Times New Roman" w:cs="Arial"/>
                <w:b/>
                <w:color w:val="auto"/>
                <w:lang w:eastAsia="en-AU"/>
              </w:rPr>
              <w:t>968</w:t>
            </w:r>
          </w:p>
        </w:tc>
      </w:tr>
    </w:tbl>
    <w:p w14:paraId="219BC907" w14:textId="77777777" w:rsidR="002F6188" w:rsidRPr="0006220F" w:rsidRDefault="002F6188" w:rsidP="005E613E">
      <w:pPr>
        <w:pStyle w:val="Heading6"/>
        <w:spacing w:before="240" w:after="240"/>
      </w:pPr>
      <w:r w:rsidRPr="0006220F">
        <w:t>Line graph for table 1.25: Number of reports of sexual abuse by year, with outcome of report (all reporter groups combined)</w:t>
      </w:r>
    </w:p>
    <w:p w14:paraId="092E1C37" w14:textId="6404BB7F" w:rsidR="00BD7D08" w:rsidRPr="008E707A" w:rsidRDefault="00A80772" w:rsidP="00B15586">
      <w:pPr>
        <w:sectPr w:rsidR="00BD7D08" w:rsidRPr="008E707A" w:rsidSect="007F34BD">
          <w:pgSz w:w="16838" w:h="11906" w:orient="landscape"/>
          <w:pgMar w:top="1134" w:right="1134" w:bottom="567" w:left="1134" w:header="709" w:footer="709" w:gutter="0"/>
          <w:cols w:space="708"/>
          <w:docGrid w:linePitch="360"/>
        </w:sectPr>
      </w:pPr>
      <w:r w:rsidRPr="00A80772">
        <w:rPr>
          <w:noProof/>
          <w:lang w:eastAsia="en-AU"/>
        </w:rPr>
        <w:drawing>
          <wp:inline distT="0" distB="0" distL="0" distR="0" wp14:anchorId="5D1989B6" wp14:editId="3DF69B53">
            <wp:extent cx="9315450" cy="2133600"/>
            <wp:effectExtent l="0" t="0" r="0" b="0"/>
            <wp:docPr id="44" name="Chart 40" descr="Shows 58.8% of 48,968 sexual abuse reports not investigated over the decade with highest percentage (68.8%) in 2009." title="Line graph for table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FCA9569" w14:textId="77777777" w:rsidR="005D61DD" w:rsidRDefault="005D61DD" w:rsidP="00B15586">
      <w:pPr>
        <w:pStyle w:val="Heading4"/>
      </w:pPr>
      <w:bookmarkStart w:id="71" w:name="_Toc382206734"/>
      <w:bookmarkStart w:id="72" w:name="_Toc435716766"/>
      <w:r>
        <w:lastRenderedPageBreak/>
        <w:t xml:space="preserve">Part 1C: </w:t>
      </w:r>
      <w:r w:rsidR="00971CF3">
        <w:t>Ten year analysis of r</w:t>
      </w:r>
      <w:r>
        <w:t>eporting by different reporter groups</w:t>
      </w:r>
      <w:bookmarkEnd w:id="71"/>
      <w:bookmarkEnd w:id="72"/>
    </w:p>
    <w:p w14:paraId="485CCF30" w14:textId="4412CF04" w:rsidR="001759FE" w:rsidRDefault="00F40CF8" w:rsidP="00B15586">
      <w:pPr>
        <w:pStyle w:val="Paragraph"/>
      </w:pPr>
      <w:r w:rsidRPr="00F40CF8">
        <w:rPr>
          <w:lang w:val="en-US"/>
        </w:rPr>
        <w:t>The following tables and line graphs present overviews by year, of the reporting by each reporter group of each type of abuse and neglect, and o</w:t>
      </w:r>
      <w:r>
        <w:rPr>
          <w:lang w:val="en-US"/>
        </w:rPr>
        <w:t>f the outcomes of these reports</w:t>
      </w:r>
      <w:r w:rsidR="00FF2D54">
        <w:t>.</w:t>
      </w:r>
    </w:p>
    <w:p w14:paraId="2B854CAA" w14:textId="77777777" w:rsidR="001759FE" w:rsidRDefault="001759FE" w:rsidP="00B15586"/>
    <w:p w14:paraId="33DAE2A3" w14:textId="77777777" w:rsidR="001759FE" w:rsidRDefault="001759FE" w:rsidP="00B15586">
      <w:pPr>
        <w:sectPr w:rsidR="001759FE" w:rsidSect="001759FE">
          <w:headerReference w:type="default" r:id="rId47"/>
          <w:footerReference w:type="default" r:id="rId48"/>
          <w:pgSz w:w="11906" w:h="16838"/>
          <w:pgMar w:top="1134" w:right="1134" w:bottom="1134" w:left="1440" w:header="709" w:footer="709" w:gutter="0"/>
          <w:cols w:space="708"/>
          <w:docGrid w:linePitch="360"/>
        </w:sectPr>
      </w:pPr>
    </w:p>
    <w:p w14:paraId="6F3548A0" w14:textId="53D4CF08" w:rsidR="005D61DD" w:rsidRDefault="005D61DD" w:rsidP="00DD5A6E">
      <w:pPr>
        <w:pStyle w:val="Figureheading"/>
      </w:pPr>
      <w:bookmarkStart w:id="73" w:name="_Toc382206735"/>
      <w:r w:rsidRPr="00B362E8">
        <w:lastRenderedPageBreak/>
        <w:t>1.2</w:t>
      </w:r>
      <w:r>
        <w:t>6</w:t>
      </w:r>
      <w:r w:rsidRPr="00B362E8">
        <w:t>.1</w:t>
      </w:r>
      <w:r w:rsidRPr="00B362E8">
        <w:tab/>
      </w:r>
      <w:r w:rsidR="00DD5A6E">
        <w:tab/>
      </w:r>
      <w:r>
        <w:t xml:space="preserve">Reports by </w:t>
      </w:r>
      <w:r w:rsidR="004A3C97">
        <w:t>major mandated reporter groups combined</w:t>
      </w:r>
      <w:r>
        <w:t xml:space="preserve">, by </w:t>
      </w:r>
      <w:r w:rsidRPr="00B362E8">
        <w:t>year, by abuse type</w:t>
      </w:r>
      <w:r>
        <w:t xml:space="preserve"> (number and percentage)</w:t>
      </w:r>
      <w:bookmarkEnd w:id="73"/>
    </w:p>
    <w:tbl>
      <w:tblPr>
        <w:tblStyle w:val="LightShading-Accent120"/>
        <w:tblW w:w="0" w:type="auto"/>
        <w:tblLayout w:type="fixed"/>
        <w:tblLook w:val="04A0" w:firstRow="1" w:lastRow="0" w:firstColumn="1" w:lastColumn="0" w:noHBand="0" w:noVBand="1"/>
        <w:tblCaption w:val="Reports by major mandated reporter groups combined, by year, by abuse type (number and percentage)"/>
      </w:tblPr>
      <w:tblGrid>
        <w:gridCol w:w="1468"/>
        <w:gridCol w:w="1970"/>
        <w:gridCol w:w="968"/>
        <w:gridCol w:w="1469"/>
        <w:gridCol w:w="1469"/>
        <w:gridCol w:w="1944"/>
        <w:gridCol w:w="993"/>
        <w:gridCol w:w="1469"/>
        <w:gridCol w:w="1469"/>
        <w:gridCol w:w="1469"/>
      </w:tblGrid>
      <w:tr w:rsidR="002418F8" w:rsidRPr="00984271" w14:paraId="7FE9F6F1" w14:textId="77777777" w:rsidTr="00407AC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A3011EA" w14:textId="77777777" w:rsidR="000D64F0" w:rsidRPr="00984271" w:rsidRDefault="000D64F0" w:rsidP="00407ACB">
            <w:pPr>
              <w:tabs>
                <w:tab w:val="left" w:pos="1134"/>
              </w:tabs>
              <w:spacing w:before="0" w:line="240" w:lineRule="auto"/>
              <w:rPr>
                <w:rFonts w:eastAsia="Times New Roman" w:cs="Arial"/>
                <w:bCs w:val="0"/>
                <w:color w:val="auto"/>
                <w:lang w:eastAsia="en-AU"/>
              </w:rPr>
            </w:pPr>
          </w:p>
        </w:tc>
        <w:tc>
          <w:tcPr>
            <w:tcW w:w="1970" w:type="dxa"/>
            <w:tcBorders>
              <w:top w:val="single" w:sz="4" w:space="0" w:color="auto"/>
              <w:left w:val="single" w:sz="4" w:space="0" w:color="auto"/>
              <w:bottom w:val="single" w:sz="4" w:space="0" w:color="auto"/>
            </w:tcBorders>
            <w:shd w:val="clear" w:color="auto" w:fill="95B3D7" w:themeFill="accent1" w:themeFillTint="99"/>
            <w:vAlign w:val="center"/>
            <w:hideMark/>
          </w:tcPr>
          <w:p w14:paraId="512C3E82" w14:textId="77777777" w:rsidR="000D64F0" w:rsidRPr="00984271" w:rsidRDefault="000D64F0"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984271">
              <w:rPr>
                <w:rFonts w:eastAsia="Times New Roman" w:cs="Arial"/>
                <w:bCs w:val="0"/>
                <w:color w:val="auto"/>
                <w:lang w:eastAsia="en-AU"/>
              </w:rPr>
              <w:t>Emotional</w:t>
            </w:r>
            <w:r w:rsidR="00736DDB">
              <w:rPr>
                <w:rFonts w:eastAsia="Times New Roman" w:cs="Arial"/>
                <w:bCs w:val="0"/>
                <w:color w:val="auto"/>
                <w:lang w:eastAsia="en-AU"/>
              </w:rPr>
              <w:t xml:space="preserve"> abuse</w:t>
            </w:r>
          </w:p>
        </w:tc>
        <w:tc>
          <w:tcPr>
            <w:tcW w:w="968" w:type="dxa"/>
            <w:tcBorders>
              <w:top w:val="single" w:sz="4" w:space="0" w:color="auto"/>
              <w:bottom w:val="single" w:sz="4" w:space="0" w:color="auto"/>
              <w:right w:val="single" w:sz="4" w:space="0" w:color="auto"/>
            </w:tcBorders>
            <w:shd w:val="clear" w:color="auto" w:fill="95B3D7" w:themeFill="accent1" w:themeFillTint="99"/>
            <w:vAlign w:val="center"/>
          </w:tcPr>
          <w:p w14:paraId="2966EEC6" w14:textId="77777777" w:rsidR="000D64F0" w:rsidRPr="00FE3A23" w:rsidRDefault="000D64F0"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1469" w:type="dxa"/>
            <w:tcBorders>
              <w:top w:val="single" w:sz="4" w:space="0" w:color="auto"/>
              <w:left w:val="single" w:sz="4" w:space="0" w:color="auto"/>
              <w:bottom w:val="single" w:sz="4" w:space="0" w:color="auto"/>
            </w:tcBorders>
            <w:shd w:val="clear" w:color="auto" w:fill="95B3D7" w:themeFill="accent1" w:themeFillTint="99"/>
            <w:vAlign w:val="center"/>
            <w:hideMark/>
          </w:tcPr>
          <w:p w14:paraId="6CE2EAD5" w14:textId="77777777" w:rsidR="000D64F0" w:rsidRPr="00984271" w:rsidRDefault="000D64F0"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984271">
              <w:rPr>
                <w:rFonts w:eastAsia="Times New Roman" w:cs="Arial"/>
                <w:bCs w:val="0"/>
                <w:color w:val="auto"/>
                <w:lang w:eastAsia="en-AU"/>
              </w:rPr>
              <w:t>Neglect</w:t>
            </w:r>
          </w:p>
        </w:tc>
        <w:tc>
          <w:tcPr>
            <w:tcW w:w="1469" w:type="dxa"/>
            <w:tcBorders>
              <w:top w:val="single" w:sz="4" w:space="0" w:color="auto"/>
              <w:bottom w:val="single" w:sz="4" w:space="0" w:color="auto"/>
              <w:right w:val="single" w:sz="4" w:space="0" w:color="auto"/>
            </w:tcBorders>
            <w:shd w:val="clear" w:color="auto" w:fill="95B3D7" w:themeFill="accent1" w:themeFillTint="99"/>
            <w:vAlign w:val="center"/>
          </w:tcPr>
          <w:p w14:paraId="5857E377" w14:textId="77777777" w:rsidR="000D64F0" w:rsidRPr="00FE3A23" w:rsidRDefault="000D64F0"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1944" w:type="dxa"/>
            <w:tcBorders>
              <w:top w:val="single" w:sz="4" w:space="0" w:color="auto"/>
              <w:left w:val="single" w:sz="4" w:space="0" w:color="auto"/>
              <w:bottom w:val="single" w:sz="4" w:space="0" w:color="auto"/>
            </w:tcBorders>
            <w:shd w:val="clear" w:color="auto" w:fill="95B3D7" w:themeFill="accent1" w:themeFillTint="99"/>
            <w:vAlign w:val="center"/>
            <w:hideMark/>
          </w:tcPr>
          <w:p w14:paraId="3EBE3043" w14:textId="77777777" w:rsidR="000D64F0" w:rsidRPr="00984271" w:rsidRDefault="000D64F0"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984271">
              <w:rPr>
                <w:rFonts w:eastAsia="Times New Roman" w:cs="Arial"/>
                <w:bCs w:val="0"/>
                <w:color w:val="auto"/>
                <w:lang w:eastAsia="en-AU"/>
              </w:rPr>
              <w:t>Physical</w:t>
            </w:r>
            <w:r w:rsidR="00736DDB">
              <w:rPr>
                <w:rFonts w:eastAsia="Times New Roman" w:cs="Arial"/>
                <w:bCs w:val="0"/>
                <w:color w:val="auto"/>
                <w:lang w:eastAsia="en-AU"/>
              </w:rPr>
              <w:t xml:space="preserve"> abuse</w:t>
            </w:r>
          </w:p>
        </w:tc>
        <w:tc>
          <w:tcPr>
            <w:tcW w:w="993" w:type="dxa"/>
            <w:tcBorders>
              <w:top w:val="single" w:sz="4" w:space="0" w:color="auto"/>
              <w:bottom w:val="single" w:sz="4" w:space="0" w:color="auto"/>
              <w:right w:val="single" w:sz="4" w:space="0" w:color="auto"/>
            </w:tcBorders>
            <w:shd w:val="clear" w:color="auto" w:fill="95B3D7" w:themeFill="accent1" w:themeFillTint="99"/>
            <w:vAlign w:val="center"/>
          </w:tcPr>
          <w:p w14:paraId="214E40A0" w14:textId="77777777" w:rsidR="000D64F0" w:rsidRPr="00FE3A23" w:rsidRDefault="000D64F0"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1469" w:type="dxa"/>
            <w:tcBorders>
              <w:top w:val="single" w:sz="4" w:space="0" w:color="auto"/>
              <w:left w:val="single" w:sz="4" w:space="0" w:color="auto"/>
              <w:bottom w:val="single" w:sz="4" w:space="0" w:color="auto"/>
            </w:tcBorders>
            <w:shd w:val="clear" w:color="auto" w:fill="95B3D7" w:themeFill="accent1" w:themeFillTint="99"/>
            <w:vAlign w:val="center"/>
            <w:hideMark/>
          </w:tcPr>
          <w:p w14:paraId="5211FC23" w14:textId="77777777" w:rsidR="000D64F0" w:rsidRPr="00984271" w:rsidRDefault="000D64F0"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984271">
              <w:rPr>
                <w:rFonts w:eastAsia="Times New Roman" w:cs="Arial"/>
                <w:bCs w:val="0"/>
                <w:color w:val="auto"/>
                <w:lang w:eastAsia="en-AU"/>
              </w:rPr>
              <w:t>Sexual</w:t>
            </w:r>
            <w:r w:rsidR="00736DDB">
              <w:rPr>
                <w:rFonts w:eastAsia="Times New Roman" w:cs="Arial"/>
                <w:bCs w:val="0"/>
                <w:color w:val="auto"/>
                <w:lang w:eastAsia="en-AU"/>
              </w:rPr>
              <w:t xml:space="preserve"> abuse</w:t>
            </w:r>
          </w:p>
        </w:tc>
        <w:tc>
          <w:tcPr>
            <w:tcW w:w="1469" w:type="dxa"/>
            <w:tcBorders>
              <w:top w:val="single" w:sz="4" w:space="0" w:color="auto"/>
              <w:bottom w:val="single" w:sz="4" w:space="0" w:color="auto"/>
              <w:right w:val="single" w:sz="4" w:space="0" w:color="auto"/>
            </w:tcBorders>
            <w:shd w:val="clear" w:color="auto" w:fill="95B3D7" w:themeFill="accent1" w:themeFillTint="99"/>
            <w:vAlign w:val="center"/>
          </w:tcPr>
          <w:p w14:paraId="1702A588" w14:textId="77777777" w:rsidR="000D64F0" w:rsidRPr="00FE3A23" w:rsidRDefault="000D64F0"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146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B950B93" w14:textId="77777777" w:rsidR="000D64F0" w:rsidRPr="00984271" w:rsidRDefault="000D64F0"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984271">
              <w:rPr>
                <w:rFonts w:eastAsia="Times New Roman" w:cs="Arial"/>
                <w:bCs w:val="0"/>
                <w:color w:val="auto"/>
                <w:lang w:eastAsia="en-AU"/>
              </w:rPr>
              <w:t>Total</w:t>
            </w:r>
          </w:p>
        </w:tc>
      </w:tr>
      <w:tr w:rsidR="000D64F0" w:rsidRPr="007714F6" w14:paraId="672581A9" w14:textId="77777777" w:rsidTr="00407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auto"/>
              <w:left w:val="single" w:sz="4" w:space="0" w:color="auto"/>
              <w:right w:val="single" w:sz="4" w:space="0" w:color="auto"/>
            </w:tcBorders>
            <w:noWrap/>
          </w:tcPr>
          <w:p w14:paraId="4DB37502"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2003</w:t>
            </w:r>
          </w:p>
        </w:tc>
        <w:tc>
          <w:tcPr>
            <w:tcW w:w="1970" w:type="dxa"/>
            <w:tcBorders>
              <w:top w:val="single" w:sz="4" w:space="0" w:color="auto"/>
              <w:left w:val="single" w:sz="4" w:space="0" w:color="auto"/>
            </w:tcBorders>
            <w:noWrap/>
            <w:hideMark/>
          </w:tcPr>
          <w:p w14:paraId="789CB87F"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sidR="001759FE">
              <w:rPr>
                <w:rFonts w:eastAsia="Times New Roman" w:cs="Arial"/>
                <w:color w:val="000000"/>
                <w:lang w:eastAsia="en-AU"/>
              </w:rPr>
              <w:t>,</w:t>
            </w:r>
            <w:r w:rsidRPr="007714F6">
              <w:rPr>
                <w:rFonts w:eastAsia="Times New Roman" w:cs="Arial"/>
                <w:color w:val="000000"/>
                <w:lang w:eastAsia="en-AU"/>
              </w:rPr>
              <w:t>490</w:t>
            </w:r>
          </w:p>
        </w:tc>
        <w:tc>
          <w:tcPr>
            <w:tcW w:w="968" w:type="dxa"/>
            <w:tcBorders>
              <w:top w:val="single" w:sz="4" w:space="0" w:color="auto"/>
              <w:right w:val="single" w:sz="4" w:space="0" w:color="auto"/>
            </w:tcBorders>
          </w:tcPr>
          <w:p w14:paraId="2F5EDA1F"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(35.4%)</w:t>
            </w:r>
          </w:p>
        </w:tc>
        <w:tc>
          <w:tcPr>
            <w:tcW w:w="1469" w:type="dxa"/>
            <w:tcBorders>
              <w:top w:val="single" w:sz="4" w:space="0" w:color="auto"/>
              <w:left w:val="single" w:sz="4" w:space="0" w:color="auto"/>
            </w:tcBorders>
            <w:noWrap/>
            <w:hideMark/>
          </w:tcPr>
          <w:p w14:paraId="64E2A602"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sidR="001759FE">
              <w:rPr>
                <w:rFonts w:eastAsia="Times New Roman" w:cs="Arial"/>
                <w:color w:val="000000"/>
                <w:lang w:eastAsia="en-AU"/>
              </w:rPr>
              <w:t>,</w:t>
            </w:r>
            <w:r w:rsidRPr="007714F6">
              <w:rPr>
                <w:rFonts w:eastAsia="Times New Roman" w:cs="Arial"/>
                <w:color w:val="000000"/>
                <w:lang w:eastAsia="en-AU"/>
              </w:rPr>
              <w:t>276</w:t>
            </w:r>
          </w:p>
        </w:tc>
        <w:tc>
          <w:tcPr>
            <w:tcW w:w="1469" w:type="dxa"/>
            <w:tcBorders>
              <w:top w:val="single" w:sz="4" w:space="0" w:color="auto"/>
              <w:right w:val="single" w:sz="4" w:space="0" w:color="auto"/>
            </w:tcBorders>
          </w:tcPr>
          <w:p w14:paraId="66079741"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(25.8%)</w:t>
            </w:r>
          </w:p>
        </w:tc>
        <w:tc>
          <w:tcPr>
            <w:tcW w:w="1944" w:type="dxa"/>
            <w:tcBorders>
              <w:top w:val="single" w:sz="4" w:space="0" w:color="auto"/>
              <w:left w:val="single" w:sz="4" w:space="0" w:color="auto"/>
            </w:tcBorders>
            <w:noWrap/>
            <w:hideMark/>
          </w:tcPr>
          <w:p w14:paraId="4C429478"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sidR="001759FE">
              <w:rPr>
                <w:rFonts w:eastAsia="Times New Roman" w:cs="Arial"/>
                <w:color w:val="000000"/>
                <w:lang w:eastAsia="en-AU"/>
              </w:rPr>
              <w:t>,</w:t>
            </w:r>
            <w:r w:rsidRPr="007714F6">
              <w:rPr>
                <w:rFonts w:eastAsia="Times New Roman" w:cs="Arial"/>
                <w:color w:val="000000"/>
                <w:lang w:eastAsia="en-AU"/>
              </w:rPr>
              <w:t>356</w:t>
            </w:r>
          </w:p>
        </w:tc>
        <w:tc>
          <w:tcPr>
            <w:tcW w:w="993" w:type="dxa"/>
            <w:tcBorders>
              <w:top w:val="single" w:sz="4" w:space="0" w:color="auto"/>
              <w:right w:val="single" w:sz="4" w:space="0" w:color="auto"/>
            </w:tcBorders>
          </w:tcPr>
          <w:p w14:paraId="3146A31A"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(26.4%)</w:t>
            </w:r>
          </w:p>
        </w:tc>
        <w:tc>
          <w:tcPr>
            <w:tcW w:w="1469" w:type="dxa"/>
            <w:tcBorders>
              <w:top w:val="single" w:sz="4" w:space="0" w:color="auto"/>
              <w:left w:val="single" w:sz="4" w:space="0" w:color="auto"/>
            </w:tcBorders>
            <w:noWrap/>
            <w:hideMark/>
          </w:tcPr>
          <w:p w14:paraId="7DEBD84F"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578</w:t>
            </w:r>
          </w:p>
        </w:tc>
        <w:tc>
          <w:tcPr>
            <w:tcW w:w="1469" w:type="dxa"/>
            <w:tcBorders>
              <w:top w:val="single" w:sz="4" w:space="0" w:color="auto"/>
              <w:right w:val="single" w:sz="4" w:space="0" w:color="auto"/>
            </w:tcBorders>
          </w:tcPr>
          <w:p w14:paraId="5BD653EC"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(12.4%)</w:t>
            </w:r>
          </w:p>
        </w:tc>
        <w:tc>
          <w:tcPr>
            <w:tcW w:w="1469" w:type="dxa"/>
            <w:tcBorders>
              <w:top w:val="single" w:sz="4" w:space="0" w:color="auto"/>
              <w:left w:val="single" w:sz="4" w:space="0" w:color="auto"/>
              <w:right w:val="single" w:sz="4" w:space="0" w:color="auto"/>
            </w:tcBorders>
            <w:noWrap/>
            <w:hideMark/>
          </w:tcPr>
          <w:p w14:paraId="485E5D13"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12</w:t>
            </w:r>
            <w:r w:rsidR="001759FE">
              <w:rPr>
                <w:rFonts w:eastAsia="Times New Roman" w:cs="Arial"/>
                <w:b/>
                <w:color w:val="auto"/>
                <w:lang w:eastAsia="en-AU"/>
              </w:rPr>
              <w:t>,</w:t>
            </w:r>
            <w:r w:rsidRPr="007714F6">
              <w:rPr>
                <w:rFonts w:eastAsia="Times New Roman" w:cs="Arial"/>
                <w:b/>
                <w:color w:val="auto"/>
                <w:lang w:eastAsia="en-AU"/>
              </w:rPr>
              <w:t>700</w:t>
            </w:r>
          </w:p>
        </w:tc>
      </w:tr>
      <w:tr w:rsidR="000D64F0" w:rsidRPr="007714F6" w14:paraId="3ED7A7BF" w14:textId="77777777" w:rsidTr="00407ACB">
        <w:trPr>
          <w:trHeight w:val="20"/>
        </w:trPr>
        <w:tc>
          <w:tcPr>
            <w:cnfStyle w:val="001000000000" w:firstRow="0" w:lastRow="0" w:firstColumn="1" w:lastColumn="0" w:oddVBand="0" w:evenVBand="0" w:oddHBand="0" w:evenHBand="0" w:firstRowFirstColumn="0" w:firstRowLastColumn="0" w:lastRowFirstColumn="0" w:lastRowLastColumn="0"/>
            <w:tcW w:w="1468" w:type="dxa"/>
            <w:tcBorders>
              <w:left w:val="single" w:sz="4" w:space="0" w:color="auto"/>
              <w:right w:val="single" w:sz="4" w:space="0" w:color="auto"/>
            </w:tcBorders>
            <w:noWrap/>
          </w:tcPr>
          <w:p w14:paraId="24EC0F7B"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2004</w:t>
            </w:r>
          </w:p>
        </w:tc>
        <w:tc>
          <w:tcPr>
            <w:tcW w:w="1970" w:type="dxa"/>
            <w:tcBorders>
              <w:left w:val="single" w:sz="4" w:space="0" w:color="auto"/>
            </w:tcBorders>
            <w:noWrap/>
            <w:hideMark/>
          </w:tcPr>
          <w:p w14:paraId="0F1AA86B"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sidR="001759FE">
              <w:rPr>
                <w:rFonts w:eastAsia="Times New Roman" w:cs="Arial"/>
                <w:color w:val="000000"/>
                <w:lang w:eastAsia="en-AU"/>
              </w:rPr>
              <w:t>,</w:t>
            </w:r>
            <w:r w:rsidRPr="007714F6">
              <w:rPr>
                <w:rFonts w:eastAsia="Times New Roman" w:cs="Arial"/>
                <w:color w:val="000000"/>
                <w:lang w:eastAsia="en-AU"/>
              </w:rPr>
              <w:t>518</w:t>
            </w:r>
          </w:p>
        </w:tc>
        <w:tc>
          <w:tcPr>
            <w:tcW w:w="968" w:type="dxa"/>
            <w:tcBorders>
              <w:right w:val="single" w:sz="4" w:space="0" w:color="auto"/>
            </w:tcBorders>
          </w:tcPr>
          <w:p w14:paraId="0CBBD655"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(35.8%)</w:t>
            </w:r>
          </w:p>
        </w:tc>
        <w:tc>
          <w:tcPr>
            <w:tcW w:w="1469" w:type="dxa"/>
            <w:tcBorders>
              <w:left w:val="single" w:sz="4" w:space="0" w:color="auto"/>
            </w:tcBorders>
            <w:noWrap/>
            <w:hideMark/>
          </w:tcPr>
          <w:p w14:paraId="1D1A3CF8"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sidR="001759FE">
              <w:rPr>
                <w:rFonts w:eastAsia="Times New Roman" w:cs="Arial"/>
                <w:color w:val="000000"/>
                <w:lang w:eastAsia="en-AU"/>
              </w:rPr>
              <w:t>,</w:t>
            </w:r>
            <w:r w:rsidRPr="007714F6">
              <w:rPr>
                <w:rFonts w:eastAsia="Times New Roman" w:cs="Arial"/>
                <w:color w:val="000000"/>
                <w:lang w:eastAsia="en-AU"/>
              </w:rPr>
              <w:t>048</w:t>
            </w:r>
          </w:p>
        </w:tc>
        <w:tc>
          <w:tcPr>
            <w:tcW w:w="1469" w:type="dxa"/>
            <w:tcBorders>
              <w:right w:val="single" w:sz="4" w:space="0" w:color="auto"/>
            </w:tcBorders>
          </w:tcPr>
          <w:p w14:paraId="12A1B184"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(24.2%)</w:t>
            </w:r>
          </w:p>
        </w:tc>
        <w:tc>
          <w:tcPr>
            <w:tcW w:w="1944" w:type="dxa"/>
            <w:tcBorders>
              <w:left w:val="single" w:sz="4" w:space="0" w:color="auto"/>
            </w:tcBorders>
            <w:noWrap/>
            <w:hideMark/>
          </w:tcPr>
          <w:p w14:paraId="6023CA00"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sidR="001759FE">
              <w:rPr>
                <w:rFonts w:eastAsia="Times New Roman" w:cs="Arial"/>
                <w:color w:val="000000"/>
                <w:lang w:eastAsia="en-AU"/>
              </w:rPr>
              <w:t>,</w:t>
            </w:r>
            <w:r w:rsidRPr="007714F6">
              <w:rPr>
                <w:rFonts w:eastAsia="Times New Roman" w:cs="Arial"/>
                <w:color w:val="000000"/>
                <w:lang w:eastAsia="en-AU"/>
              </w:rPr>
              <w:t>466</w:t>
            </w:r>
          </w:p>
        </w:tc>
        <w:tc>
          <w:tcPr>
            <w:tcW w:w="993" w:type="dxa"/>
            <w:tcBorders>
              <w:right w:val="single" w:sz="4" w:space="0" w:color="auto"/>
            </w:tcBorders>
          </w:tcPr>
          <w:p w14:paraId="580952EA"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(27.5%)</w:t>
            </w:r>
          </w:p>
        </w:tc>
        <w:tc>
          <w:tcPr>
            <w:tcW w:w="1469" w:type="dxa"/>
            <w:tcBorders>
              <w:left w:val="single" w:sz="4" w:space="0" w:color="auto"/>
            </w:tcBorders>
            <w:noWrap/>
            <w:hideMark/>
          </w:tcPr>
          <w:p w14:paraId="78BED0F1"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584</w:t>
            </w:r>
          </w:p>
        </w:tc>
        <w:tc>
          <w:tcPr>
            <w:tcW w:w="1469" w:type="dxa"/>
            <w:tcBorders>
              <w:right w:val="single" w:sz="4" w:space="0" w:color="auto"/>
            </w:tcBorders>
          </w:tcPr>
          <w:p w14:paraId="4B62AA02"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(12.6%)</w:t>
            </w:r>
          </w:p>
        </w:tc>
        <w:tc>
          <w:tcPr>
            <w:tcW w:w="1469" w:type="dxa"/>
            <w:tcBorders>
              <w:left w:val="single" w:sz="4" w:space="0" w:color="auto"/>
              <w:right w:val="single" w:sz="4" w:space="0" w:color="auto"/>
            </w:tcBorders>
            <w:noWrap/>
            <w:hideMark/>
          </w:tcPr>
          <w:p w14:paraId="2320DD54"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12</w:t>
            </w:r>
            <w:r w:rsidR="001759FE">
              <w:rPr>
                <w:rFonts w:eastAsia="Times New Roman" w:cs="Arial"/>
                <w:b/>
                <w:color w:val="auto"/>
                <w:lang w:eastAsia="en-AU"/>
              </w:rPr>
              <w:t>,</w:t>
            </w:r>
            <w:r w:rsidRPr="007714F6">
              <w:rPr>
                <w:rFonts w:eastAsia="Times New Roman" w:cs="Arial"/>
                <w:b/>
                <w:color w:val="auto"/>
                <w:lang w:eastAsia="en-AU"/>
              </w:rPr>
              <w:t>616</w:t>
            </w:r>
          </w:p>
        </w:tc>
      </w:tr>
      <w:tr w:rsidR="000D64F0" w:rsidRPr="007714F6" w14:paraId="2202CEA3" w14:textId="77777777" w:rsidTr="00407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8" w:type="dxa"/>
            <w:tcBorders>
              <w:left w:val="single" w:sz="4" w:space="0" w:color="auto"/>
              <w:right w:val="single" w:sz="4" w:space="0" w:color="auto"/>
            </w:tcBorders>
            <w:noWrap/>
          </w:tcPr>
          <w:p w14:paraId="724B281F"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2005</w:t>
            </w:r>
          </w:p>
        </w:tc>
        <w:tc>
          <w:tcPr>
            <w:tcW w:w="1970" w:type="dxa"/>
            <w:tcBorders>
              <w:left w:val="single" w:sz="4" w:space="0" w:color="auto"/>
            </w:tcBorders>
            <w:noWrap/>
            <w:hideMark/>
          </w:tcPr>
          <w:p w14:paraId="484F1004"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5</w:t>
            </w:r>
            <w:r w:rsidR="001759FE">
              <w:rPr>
                <w:rFonts w:eastAsia="Times New Roman" w:cs="Arial"/>
                <w:color w:val="000000"/>
                <w:lang w:eastAsia="en-AU"/>
              </w:rPr>
              <w:t>,</w:t>
            </w:r>
            <w:r w:rsidRPr="007714F6">
              <w:rPr>
                <w:rFonts w:eastAsia="Times New Roman" w:cs="Arial"/>
                <w:color w:val="000000"/>
                <w:lang w:eastAsia="en-AU"/>
              </w:rPr>
              <w:t>069</w:t>
            </w:r>
          </w:p>
        </w:tc>
        <w:tc>
          <w:tcPr>
            <w:tcW w:w="968" w:type="dxa"/>
            <w:tcBorders>
              <w:right w:val="single" w:sz="4" w:space="0" w:color="auto"/>
            </w:tcBorders>
          </w:tcPr>
          <w:p w14:paraId="1C2652E1"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(39.1%)</w:t>
            </w:r>
          </w:p>
        </w:tc>
        <w:tc>
          <w:tcPr>
            <w:tcW w:w="1469" w:type="dxa"/>
            <w:tcBorders>
              <w:left w:val="single" w:sz="4" w:space="0" w:color="auto"/>
            </w:tcBorders>
            <w:noWrap/>
            <w:hideMark/>
          </w:tcPr>
          <w:p w14:paraId="05464B06"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sidR="001759FE">
              <w:rPr>
                <w:rFonts w:eastAsia="Times New Roman" w:cs="Arial"/>
                <w:color w:val="000000"/>
                <w:lang w:eastAsia="en-AU"/>
              </w:rPr>
              <w:t>,</w:t>
            </w:r>
            <w:r w:rsidRPr="007714F6">
              <w:rPr>
                <w:rFonts w:eastAsia="Times New Roman" w:cs="Arial"/>
                <w:color w:val="000000"/>
                <w:lang w:eastAsia="en-AU"/>
              </w:rPr>
              <w:t>021</w:t>
            </w:r>
          </w:p>
        </w:tc>
        <w:tc>
          <w:tcPr>
            <w:tcW w:w="1469" w:type="dxa"/>
            <w:tcBorders>
              <w:right w:val="single" w:sz="4" w:space="0" w:color="auto"/>
            </w:tcBorders>
          </w:tcPr>
          <w:p w14:paraId="74B8CB04"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(23.3%)</w:t>
            </w:r>
          </w:p>
        </w:tc>
        <w:tc>
          <w:tcPr>
            <w:tcW w:w="1944" w:type="dxa"/>
            <w:tcBorders>
              <w:left w:val="single" w:sz="4" w:space="0" w:color="auto"/>
            </w:tcBorders>
            <w:noWrap/>
            <w:hideMark/>
          </w:tcPr>
          <w:p w14:paraId="70514E3D"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sidR="001759FE">
              <w:rPr>
                <w:rFonts w:eastAsia="Times New Roman" w:cs="Arial"/>
                <w:color w:val="000000"/>
                <w:lang w:eastAsia="en-AU"/>
              </w:rPr>
              <w:t>,</w:t>
            </w:r>
            <w:r w:rsidRPr="007714F6">
              <w:rPr>
                <w:rFonts w:eastAsia="Times New Roman" w:cs="Arial"/>
                <w:color w:val="000000"/>
                <w:lang w:eastAsia="en-AU"/>
              </w:rPr>
              <w:t>143</w:t>
            </w:r>
          </w:p>
        </w:tc>
        <w:tc>
          <w:tcPr>
            <w:tcW w:w="993" w:type="dxa"/>
            <w:tcBorders>
              <w:right w:val="single" w:sz="4" w:space="0" w:color="auto"/>
            </w:tcBorders>
          </w:tcPr>
          <w:p w14:paraId="7A3368AD"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(24.3%)</w:t>
            </w:r>
          </w:p>
        </w:tc>
        <w:tc>
          <w:tcPr>
            <w:tcW w:w="1469" w:type="dxa"/>
            <w:tcBorders>
              <w:left w:val="single" w:sz="4" w:space="0" w:color="auto"/>
            </w:tcBorders>
            <w:noWrap/>
            <w:hideMark/>
          </w:tcPr>
          <w:p w14:paraId="2143B20E"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715</w:t>
            </w:r>
          </w:p>
        </w:tc>
        <w:tc>
          <w:tcPr>
            <w:tcW w:w="1469" w:type="dxa"/>
            <w:tcBorders>
              <w:right w:val="single" w:sz="4" w:space="0" w:color="auto"/>
            </w:tcBorders>
          </w:tcPr>
          <w:p w14:paraId="3D128AA5"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(13.2%)</w:t>
            </w:r>
          </w:p>
        </w:tc>
        <w:tc>
          <w:tcPr>
            <w:tcW w:w="1469" w:type="dxa"/>
            <w:tcBorders>
              <w:left w:val="single" w:sz="4" w:space="0" w:color="auto"/>
              <w:right w:val="single" w:sz="4" w:space="0" w:color="auto"/>
            </w:tcBorders>
            <w:noWrap/>
            <w:hideMark/>
          </w:tcPr>
          <w:p w14:paraId="0B5DA154"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12</w:t>
            </w:r>
            <w:r w:rsidR="001759FE">
              <w:rPr>
                <w:rFonts w:eastAsia="Times New Roman" w:cs="Arial"/>
                <w:b/>
                <w:color w:val="auto"/>
                <w:lang w:eastAsia="en-AU"/>
              </w:rPr>
              <w:t>,</w:t>
            </w:r>
            <w:r w:rsidRPr="007714F6">
              <w:rPr>
                <w:rFonts w:eastAsia="Times New Roman" w:cs="Arial"/>
                <w:b/>
                <w:color w:val="auto"/>
                <w:lang w:eastAsia="en-AU"/>
              </w:rPr>
              <w:t>948</w:t>
            </w:r>
          </w:p>
        </w:tc>
      </w:tr>
      <w:tr w:rsidR="000D64F0" w:rsidRPr="007714F6" w14:paraId="2326F7D8" w14:textId="77777777" w:rsidTr="00407ACB">
        <w:trPr>
          <w:trHeight w:val="20"/>
        </w:trPr>
        <w:tc>
          <w:tcPr>
            <w:cnfStyle w:val="001000000000" w:firstRow="0" w:lastRow="0" w:firstColumn="1" w:lastColumn="0" w:oddVBand="0" w:evenVBand="0" w:oddHBand="0" w:evenHBand="0" w:firstRowFirstColumn="0" w:firstRowLastColumn="0" w:lastRowFirstColumn="0" w:lastRowLastColumn="0"/>
            <w:tcW w:w="1468" w:type="dxa"/>
            <w:tcBorders>
              <w:left w:val="single" w:sz="4" w:space="0" w:color="auto"/>
              <w:right w:val="single" w:sz="4" w:space="0" w:color="auto"/>
            </w:tcBorders>
            <w:noWrap/>
          </w:tcPr>
          <w:p w14:paraId="60BE02C1"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2006</w:t>
            </w:r>
          </w:p>
        </w:tc>
        <w:tc>
          <w:tcPr>
            <w:tcW w:w="1970" w:type="dxa"/>
            <w:tcBorders>
              <w:left w:val="single" w:sz="4" w:space="0" w:color="auto"/>
            </w:tcBorders>
            <w:noWrap/>
            <w:hideMark/>
          </w:tcPr>
          <w:p w14:paraId="747C8126"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5</w:t>
            </w:r>
            <w:r w:rsidR="001759FE">
              <w:rPr>
                <w:rFonts w:eastAsia="Times New Roman" w:cs="Arial"/>
                <w:color w:val="000000"/>
                <w:lang w:eastAsia="en-AU"/>
              </w:rPr>
              <w:t>,</w:t>
            </w:r>
            <w:r w:rsidRPr="007714F6">
              <w:rPr>
                <w:rFonts w:eastAsia="Times New Roman" w:cs="Arial"/>
                <w:color w:val="000000"/>
                <w:lang w:eastAsia="en-AU"/>
              </w:rPr>
              <w:t>599</w:t>
            </w:r>
          </w:p>
        </w:tc>
        <w:tc>
          <w:tcPr>
            <w:tcW w:w="968" w:type="dxa"/>
            <w:tcBorders>
              <w:right w:val="single" w:sz="4" w:space="0" w:color="auto"/>
            </w:tcBorders>
          </w:tcPr>
          <w:p w14:paraId="6773833E"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(40.7%)</w:t>
            </w:r>
          </w:p>
        </w:tc>
        <w:tc>
          <w:tcPr>
            <w:tcW w:w="1469" w:type="dxa"/>
            <w:tcBorders>
              <w:left w:val="single" w:sz="4" w:space="0" w:color="auto"/>
            </w:tcBorders>
            <w:noWrap/>
            <w:hideMark/>
          </w:tcPr>
          <w:p w14:paraId="557EC5DA"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w:t>
            </w:r>
            <w:r w:rsidR="001759FE">
              <w:rPr>
                <w:rFonts w:eastAsia="Times New Roman" w:cs="Arial"/>
                <w:color w:val="000000"/>
                <w:lang w:eastAsia="en-AU"/>
              </w:rPr>
              <w:t>,</w:t>
            </w:r>
            <w:r w:rsidRPr="007714F6">
              <w:rPr>
                <w:rFonts w:eastAsia="Times New Roman" w:cs="Arial"/>
                <w:color w:val="000000"/>
                <w:lang w:eastAsia="en-AU"/>
              </w:rPr>
              <w:t>648</w:t>
            </w:r>
          </w:p>
        </w:tc>
        <w:tc>
          <w:tcPr>
            <w:tcW w:w="1469" w:type="dxa"/>
            <w:tcBorders>
              <w:right w:val="single" w:sz="4" w:space="0" w:color="auto"/>
            </w:tcBorders>
          </w:tcPr>
          <w:p w14:paraId="7B791E59"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(19.2%)</w:t>
            </w:r>
          </w:p>
        </w:tc>
        <w:tc>
          <w:tcPr>
            <w:tcW w:w="1944" w:type="dxa"/>
            <w:tcBorders>
              <w:left w:val="single" w:sz="4" w:space="0" w:color="auto"/>
            </w:tcBorders>
            <w:noWrap/>
            <w:hideMark/>
          </w:tcPr>
          <w:p w14:paraId="708E3A95"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sidR="001759FE">
              <w:rPr>
                <w:rFonts w:eastAsia="Times New Roman" w:cs="Arial"/>
                <w:color w:val="000000"/>
                <w:lang w:eastAsia="en-AU"/>
              </w:rPr>
              <w:t>,</w:t>
            </w:r>
            <w:r w:rsidRPr="007714F6">
              <w:rPr>
                <w:rFonts w:eastAsia="Times New Roman" w:cs="Arial"/>
                <w:color w:val="000000"/>
                <w:lang w:eastAsia="en-AU"/>
              </w:rPr>
              <w:t>885</w:t>
            </w:r>
          </w:p>
        </w:tc>
        <w:tc>
          <w:tcPr>
            <w:tcW w:w="993" w:type="dxa"/>
            <w:tcBorders>
              <w:right w:val="single" w:sz="4" w:space="0" w:color="auto"/>
            </w:tcBorders>
          </w:tcPr>
          <w:p w14:paraId="1B6A68E2"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(28.2%)</w:t>
            </w:r>
          </w:p>
        </w:tc>
        <w:tc>
          <w:tcPr>
            <w:tcW w:w="1469" w:type="dxa"/>
            <w:tcBorders>
              <w:left w:val="single" w:sz="4" w:space="0" w:color="auto"/>
            </w:tcBorders>
            <w:noWrap/>
            <w:hideMark/>
          </w:tcPr>
          <w:p w14:paraId="5C46583A"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624</w:t>
            </w:r>
          </w:p>
        </w:tc>
        <w:tc>
          <w:tcPr>
            <w:tcW w:w="1469" w:type="dxa"/>
            <w:tcBorders>
              <w:right w:val="single" w:sz="4" w:space="0" w:color="auto"/>
            </w:tcBorders>
          </w:tcPr>
          <w:p w14:paraId="11B396C5"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(11.8%)</w:t>
            </w:r>
          </w:p>
        </w:tc>
        <w:tc>
          <w:tcPr>
            <w:tcW w:w="1469" w:type="dxa"/>
            <w:tcBorders>
              <w:left w:val="single" w:sz="4" w:space="0" w:color="auto"/>
              <w:right w:val="single" w:sz="4" w:space="0" w:color="auto"/>
            </w:tcBorders>
            <w:noWrap/>
            <w:hideMark/>
          </w:tcPr>
          <w:p w14:paraId="31ABB40C"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13</w:t>
            </w:r>
            <w:r w:rsidR="001759FE">
              <w:rPr>
                <w:rFonts w:eastAsia="Times New Roman" w:cs="Arial"/>
                <w:b/>
                <w:color w:val="auto"/>
                <w:lang w:eastAsia="en-AU"/>
              </w:rPr>
              <w:t>,</w:t>
            </w:r>
            <w:r w:rsidRPr="007714F6">
              <w:rPr>
                <w:rFonts w:eastAsia="Times New Roman" w:cs="Arial"/>
                <w:b/>
                <w:color w:val="auto"/>
                <w:lang w:eastAsia="en-AU"/>
              </w:rPr>
              <w:t>756</w:t>
            </w:r>
          </w:p>
        </w:tc>
      </w:tr>
      <w:tr w:rsidR="000D64F0" w:rsidRPr="007714F6" w14:paraId="15F42332" w14:textId="77777777" w:rsidTr="00407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8" w:type="dxa"/>
            <w:tcBorders>
              <w:left w:val="single" w:sz="4" w:space="0" w:color="auto"/>
              <w:right w:val="single" w:sz="4" w:space="0" w:color="auto"/>
            </w:tcBorders>
            <w:noWrap/>
          </w:tcPr>
          <w:p w14:paraId="28FED7E3"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2007</w:t>
            </w:r>
          </w:p>
        </w:tc>
        <w:tc>
          <w:tcPr>
            <w:tcW w:w="1970" w:type="dxa"/>
            <w:tcBorders>
              <w:left w:val="single" w:sz="4" w:space="0" w:color="auto"/>
            </w:tcBorders>
            <w:noWrap/>
            <w:hideMark/>
          </w:tcPr>
          <w:p w14:paraId="53ACDEB4"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sidR="001759FE">
              <w:rPr>
                <w:rFonts w:eastAsia="Times New Roman" w:cs="Arial"/>
                <w:color w:val="000000"/>
                <w:lang w:eastAsia="en-AU"/>
              </w:rPr>
              <w:t>,</w:t>
            </w:r>
            <w:r w:rsidRPr="007714F6">
              <w:rPr>
                <w:rFonts w:eastAsia="Times New Roman" w:cs="Arial"/>
                <w:color w:val="000000"/>
                <w:lang w:eastAsia="en-AU"/>
              </w:rPr>
              <w:t>002</w:t>
            </w:r>
          </w:p>
        </w:tc>
        <w:tc>
          <w:tcPr>
            <w:tcW w:w="968" w:type="dxa"/>
            <w:tcBorders>
              <w:right w:val="single" w:sz="4" w:space="0" w:color="auto"/>
            </w:tcBorders>
          </w:tcPr>
          <w:p w14:paraId="29E884EC"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(27.8%)</w:t>
            </w:r>
          </w:p>
        </w:tc>
        <w:tc>
          <w:tcPr>
            <w:tcW w:w="1469" w:type="dxa"/>
            <w:tcBorders>
              <w:left w:val="single" w:sz="4" w:space="0" w:color="auto"/>
            </w:tcBorders>
            <w:noWrap/>
            <w:hideMark/>
          </w:tcPr>
          <w:p w14:paraId="584009EE"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sidR="001759FE">
              <w:rPr>
                <w:rFonts w:eastAsia="Times New Roman" w:cs="Arial"/>
                <w:color w:val="000000"/>
                <w:lang w:eastAsia="en-AU"/>
              </w:rPr>
              <w:t>,</w:t>
            </w:r>
            <w:r w:rsidRPr="007714F6">
              <w:rPr>
                <w:rFonts w:eastAsia="Times New Roman" w:cs="Arial"/>
                <w:color w:val="000000"/>
                <w:lang w:eastAsia="en-AU"/>
              </w:rPr>
              <w:t>773</w:t>
            </w:r>
          </w:p>
        </w:tc>
        <w:tc>
          <w:tcPr>
            <w:tcW w:w="1469" w:type="dxa"/>
            <w:tcBorders>
              <w:right w:val="single" w:sz="4" w:space="0" w:color="auto"/>
            </w:tcBorders>
          </w:tcPr>
          <w:p w14:paraId="2BC9D225"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(33.1%)</w:t>
            </w:r>
          </w:p>
        </w:tc>
        <w:tc>
          <w:tcPr>
            <w:tcW w:w="1944" w:type="dxa"/>
            <w:tcBorders>
              <w:left w:val="single" w:sz="4" w:space="0" w:color="auto"/>
            </w:tcBorders>
            <w:noWrap/>
            <w:hideMark/>
          </w:tcPr>
          <w:p w14:paraId="788F9162"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sidR="001759FE">
              <w:rPr>
                <w:rFonts w:eastAsia="Times New Roman" w:cs="Arial"/>
                <w:color w:val="000000"/>
                <w:lang w:eastAsia="en-AU"/>
              </w:rPr>
              <w:t>,</w:t>
            </w:r>
            <w:r w:rsidRPr="007714F6">
              <w:rPr>
                <w:rFonts w:eastAsia="Times New Roman" w:cs="Arial"/>
                <w:color w:val="000000"/>
                <w:lang w:eastAsia="en-AU"/>
              </w:rPr>
              <w:t>316</w:t>
            </w:r>
          </w:p>
        </w:tc>
        <w:tc>
          <w:tcPr>
            <w:tcW w:w="993" w:type="dxa"/>
            <w:tcBorders>
              <w:right w:val="single" w:sz="4" w:space="0" w:color="auto"/>
            </w:tcBorders>
          </w:tcPr>
          <w:p w14:paraId="36C9426E"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(30%)</w:t>
            </w:r>
          </w:p>
        </w:tc>
        <w:tc>
          <w:tcPr>
            <w:tcW w:w="1469" w:type="dxa"/>
            <w:tcBorders>
              <w:left w:val="single" w:sz="4" w:space="0" w:color="auto"/>
            </w:tcBorders>
            <w:noWrap/>
            <w:hideMark/>
          </w:tcPr>
          <w:p w14:paraId="62064A1B"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314</w:t>
            </w:r>
          </w:p>
        </w:tc>
        <w:tc>
          <w:tcPr>
            <w:tcW w:w="1469" w:type="dxa"/>
            <w:tcBorders>
              <w:right w:val="single" w:sz="4" w:space="0" w:color="auto"/>
            </w:tcBorders>
          </w:tcPr>
          <w:p w14:paraId="2655C6FA"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(9.1%)</w:t>
            </w:r>
          </w:p>
        </w:tc>
        <w:tc>
          <w:tcPr>
            <w:tcW w:w="1469" w:type="dxa"/>
            <w:tcBorders>
              <w:left w:val="single" w:sz="4" w:space="0" w:color="auto"/>
              <w:right w:val="single" w:sz="4" w:space="0" w:color="auto"/>
            </w:tcBorders>
            <w:noWrap/>
            <w:hideMark/>
          </w:tcPr>
          <w:p w14:paraId="43BF1E24"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14</w:t>
            </w:r>
            <w:r w:rsidR="001759FE">
              <w:rPr>
                <w:rFonts w:eastAsia="Times New Roman" w:cs="Arial"/>
                <w:b/>
                <w:color w:val="auto"/>
                <w:lang w:eastAsia="en-AU"/>
              </w:rPr>
              <w:t>,</w:t>
            </w:r>
            <w:r w:rsidRPr="007714F6">
              <w:rPr>
                <w:rFonts w:eastAsia="Times New Roman" w:cs="Arial"/>
                <w:b/>
                <w:color w:val="auto"/>
                <w:lang w:eastAsia="en-AU"/>
              </w:rPr>
              <w:t>405</w:t>
            </w:r>
          </w:p>
        </w:tc>
      </w:tr>
      <w:tr w:rsidR="000D64F0" w:rsidRPr="007714F6" w14:paraId="7DB0DC04" w14:textId="77777777" w:rsidTr="00407ACB">
        <w:trPr>
          <w:trHeight w:val="20"/>
        </w:trPr>
        <w:tc>
          <w:tcPr>
            <w:cnfStyle w:val="001000000000" w:firstRow="0" w:lastRow="0" w:firstColumn="1" w:lastColumn="0" w:oddVBand="0" w:evenVBand="0" w:oddHBand="0" w:evenHBand="0" w:firstRowFirstColumn="0" w:firstRowLastColumn="0" w:lastRowFirstColumn="0" w:lastRowLastColumn="0"/>
            <w:tcW w:w="1468" w:type="dxa"/>
            <w:tcBorders>
              <w:left w:val="single" w:sz="4" w:space="0" w:color="auto"/>
              <w:right w:val="single" w:sz="4" w:space="0" w:color="auto"/>
            </w:tcBorders>
            <w:noWrap/>
          </w:tcPr>
          <w:p w14:paraId="51F70004"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2008</w:t>
            </w:r>
          </w:p>
        </w:tc>
        <w:tc>
          <w:tcPr>
            <w:tcW w:w="1970" w:type="dxa"/>
            <w:tcBorders>
              <w:left w:val="single" w:sz="4" w:space="0" w:color="auto"/>
            </w:tcBorders>
            <w:noWrap/>
            <w:hideMark/>
          </w:tcPr>
          <w:p w14:paraId="0BC884E7"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w:t>
            </w:r>
            <w:r w:rsidR="001759FE">
              <w:rPr>
                <w:rFonts w:eastAsia="Times New Roman" w:cs="Arial"/>
                <w:color w:val="000000"/>
                <w:lang w:eastAsia="en-AU"/>
              </w:rPr>
              <w:t>,</w:t>
            </w:r>
            <w:r w:rsidRPr="007714F6">
              <w:rPr>
                <w:rFonts w:eastAsia="Times New Roman" w:cs="Arial"/>
                <w:color w:val="000000"/>
                <w:lang w:eastAsia="en-AU"/>
              </w:rPr>
              <w:t>290</w:t>
            </w:r>
          </w:p>
        </w:tc>
        <w:tc>
          <w:tcPr>
            <w:tcW w:w="968" w:type="dxa"/>
            <w:tcBorders>
              <w:right w:val="single" w:sz="4" w:space="0" w:color="auto"/>
            </w:tcBorders>
          </w:tcPr>
          <w:p w14:paraId="269F5787"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(37.2%)</w:t>
            </w:r>
          </w:p>
        </w:tc>
        <w:tc>
          <w:tcPr>
            <w:tcW w:w="1469" w:type="dxa"/>
            <w:tcBorders>
              <w:left w:val="single" w:sz="4" w:space="0" w:color="auto"/>
            </w:tcBorders>
            <w:noWrap/>
            <w:hideMark/>
          </w:tcPr>
          <w:p w14:paraId="49EDA611"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w:t>
            </w:r>
            <w:r w:rsidR="001759FE">
              <w:rPr>
                <w:rFonts w:eastAsia="Times New Roman" w:cs="Arial"/>
                <w:color w:val="000000"/>
                <w:lang w:eastAsia="en-AU"/>
              </w:rPr>
              <w:t>,</w:t>
            </w:r>
            <w:r w:rsidRPr="007714F6">
              <w:rPr>
                <w:rFonts w:eastAsia="Times New Roman" w:cs="Arial"/>
                <w:color w:val="000000"/>
                <w:lang w:eastAsia="en-AU"/>
              </w:rPr>
              <w:t>752</w:t>
            </w:r>
          </w:p>
        </w:tc>
        <w:tc>
          <w:tcPr>
            <w:tcW w:w="1469" w:type="dxa"/>
            <w:tcBorders>
              <w:right w:val="single" w:sz="4" w:space="0" w:color="auto"/>
            </w:tcBorders>
          </w:tcPr>
          <w:p w14:paraId="3D08B3B7"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(16.3%)</w:t>
            </w:r>
          </w:p>
        </w:tc>
        <w:tc>
          <w:tcPr>
            <w:tcW w:w="1944" w:type="dxa"/>
            <w:tcBorders>
              <w:left w:val="single" w:sz="4" w:space="0" w:color="auto"/>
            </w:tcBorders>
            <w:noWrap/>
            <w:hideMark/>
          </w:tcPr>
          <w:p w14:paraId="11E34FA5"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w:t>
            </w:r>
            <w:r w:rsidR="001759FE">
              <w:rPr>
                <w:rFonts w:eastAsia="Times New Roman" w:cs="Arial"/>
                <w:color w:val="000000"/>
                <w:lang w:eastAsia="en-AU"/>
              </w:rPr>
              <w:t>,</w:t>
            </w:r>
            <w:r w:rsidRPr="007714F6">
              <w:rPr>
                <w:rFonts w:eastAsia="Times New Roman" w:cs="Arial"/>
                <w:color w:val="000000"/>
                <w:lang w:eastAsia="en-AU"/>
              </w:rPr>
              <w:t>127</w:t>
            </w:r>
          </w:p>
        </w:tc>
        <w:tc>
          <w:tcPr>
            <w:tcW w:w="993" w:type="dxa"/>
            <w:tcBorders>
              <w:right w:val="single" w:sz="4" w:space="0" w:color="auto"/>
            </w:tcBorders>
          </w:tcPr>
          <w:p w14:paraId="58733073"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(36.2%)</w:t>
            </w:r>
          </w:p>
        </w:tc>
        <w:tc>
          <w:tcPr>
            <w:tcW w:w="1469" w:type="dxa"/>
            <w:tcBorders>
              <w:left w:val="single" w:sz="4" w:space="0" w:color="auto"/>
            </w:tcBorders>
            <w:noWrap/>
            <w:hideMark/>
          </w:tcPr>
          <w:p w14:paraId="56169EDE"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749</w:t>
            </w:r>
          </w:p>
        </w:tc>
        <w:tc>
          <w:tcPr>
            <w:tcW w:w="1469" w:type="dxa"/>
            <w:tcBorders>
              <w:right w:val="single" w:sz="4" w:space="0" w:color="auto"/>
            </w:tcBorders>
          </w:tcPr>
          <w:p w14:paraId="3CD9847D"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(10.3%)</w:t>
            </w:r>
          </w:p>
        </w:tc>
        <w:tc>
          <w:tcPr>
            <w:tcW w:w="1469" w:type="dxa"/>
            <w:tcBorders>
              <w:left w:val="single" w:sz="4" w:space="0" w:color="auto"/>
              <w:right w:val="single" w:sz="4" w:space="0" w:color="auto"/>
            </w:tcBorders>
            <w:noWrap/>
            <w:hideMark/>
          </w:tcPr>
          <w:p w14:paraId="7FBC8114"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16</w:t>
            </w:r>
            <w:r w:rsidR="001759FE">
              <w:rPr>
                <w:rFonts w:eastAsia="Times New Roman" w:cs="Arial"/>
                <w:b/>
                <w:color w:val="auto"/>
                <w:lang w:eastAsia="en-AU"/>
              </w:rPr>
              <w:t>,</w:t>
            </w:r>
            <w:r w:rsidRPr="007714F6">
              <w:rPr>
                <w:rFonts w:eastAsia="Times New Roman" w:cs="Arial"/>
                <w:b/>
                <w:color w:val="auto"/>
                <w:lang w:eastAsia="en-AU"/>
              </w:rPr>
              <w:t>918</w:t>
            </w:r>
          </w:p>
        </w:tc>
      </w:tr>
      <w:tr w:rsidR="000D64F0" w:rsidRPr="007714F6" w14:paraId="75EDD645" w14:textId="77777777" w:rsidTr="00407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8" w:type="dxa"/>
            <w:tcBorders>
              <w:left w:val="single" w:sz="4" w:space="0" w:color="auto"/>
              <w:right w:val="single" w:sz="4" w:space="0" w:color="auto"/>
            </w:tcBorders>
            <w:noWrap/>
          </w:tcPr>
          <w:p w14:paraId="04F57A1F"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2009</w:t>
            </w:r>
          </w:p>
        </w:tc>
        <w:tc>
          <w:tcPr>
            <w:tcW w:w="1970" w:type="dxa"/>
            <w:tcBorders>
              <w:left w:val="single" w:sz="4" w:space="0" w:color="auto"/>
            </w:tcBorders>
            <w:noWrap/>
            <w:hideMark/>
          </w:tcPr>
          <w:p w14:paraId="585AA3B1"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9</w:t>
            </w:r>
            <w:r w:rsidR="001759FE">
              <w:rPr>
                <w:rFonts w:eastAsia="Times New Roman" w:cs="Arial"/>
                <w:color w:val="000000"/>
                <w:lang w:eastAsia="en-AU"/>
              </w:rPr>
              <w:t>,</w:t>
            </w:r>
            <w:r w:rsidRPr="007714F6">
              <w:rPr>
                <w:rFonts w:eastAsia="Times New Roman" w:cs="Arial"/>
                <w:color w:val="000000"/>
                <w:lang w:eastAsia="en-AU"/>
              </w:rPr>
              <w:t>271</w:t>
            </w:r>
          </w:p>
        </w:tc>
        <w:tc>
          <w:tcPr>
            <w:tcW w:w="968" w:type="dxa"/>
            <w:tcBorders>
              <w:right w:val="single" w:sz="4" w:space="0" w:color="auto"/>
            </w:tcBorders>
          </w:tcPr>
          <w:p w14:paraId="2846B27E"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(47.5%)</w:t>
            </w:r>
          </w:p>
        </w:tc>
        <w:tc>
          <w:tcPr>
            <w:tcW w:w="1469" w:type="dxa"/>
            <w:tcBorders>
              <w:left w:val="single" w:sz="4" w:space="0" w:color="auto"/>
            </w:tcBorders>
            <w:noWrap/>
            <w:hideMark/>
          </w:tcPr>
          <w:p w14:paraId="3B3A428C"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424</w:t>
            </w:r>
          </w:p>
        </w:tc>
        <w:tc>
          <w:tcPr>
            <w:tcW w:w="1469" w:type="dxa"/>
            <w:tcBorders>
              <w:right w:val="single" w:sz="4" w:space="0" w:color="auto"/>
            </w:tcBorders>
          </w:tcPr>
          <w:p w14:paraId="4517C63B"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(7.3%)</w:t>
            </w:r>
          </w:p>
        </w:tc>
        <w:tc>
          <w:tcPr>
            <w:tcW w:w="1944" w:type="dxa"/>
            <w:tcBorders>
              <w:left w:val="single" w:sz="4" w:space="0" w:color="auto"/>
            </w:tcBorders>
            <w:noWrap/>
            <w:hideMark/>
          </w:tcPr>
          <w:p w14:paraId="3C1CA950"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w:t>
            </w:r>
            <w:r w:rsidR="001759FE">
              <w:rPr>
                <w:rFonts w:eastAsia="Times New Roman" w:cs="Arial"/>
                <w:color w:val="000000"/>
                <w:lang w:eastAsia="en-AU"/>
              </w:rPr>
              <w:t>,</w:t>
            </w:r>
            <w:r w:rsidRPr="007714F6">
              <w:rPr>
                <w:rFonts w:eastAsia="Times New Roman" w:cs="Arial"/>
                <w:color w:val="000000"/>
                <w:lang w:eastAsia="en-AU"/>
              </w:rPr>
              <w:t>946</w:t>
            </w:r>
          </w:p>
        </w:tc>
        <w:tc>
          <w:tcPr>
            <w:tcW w:w="993" w:type="dxa"/>
            <w:tcBorders>
              <w:right w:val="single" w:sz="4" w:space="0" w:color="auto"/>
            </w:tcBorders>
          </w:tcPr>
          <w:p w14:paraId="329840C6"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(35.6%)</w:t>
            </w:r>
          </w:p>
        </w:tc>
        <w:tc>
          <w:tcPr>
            <w:tcW w:w="1469" w:type="dxa"/>
            <w:tcBorders>
              <w:left w:val="single" w:sz="4" w:space="0" w:color="auto"/>
            </w:tcBorders>
            <w:noWrap/>
            <w:hideMark/>
          </w:tcPr>
          <w:p w14:paraId="15F9B630"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862</w:t>
            </w:r>
          </w:p>
        </w:tc>
        <w:tc>
          <w:tcPr>
            <w:tcW w:w="1469" w:type="dxa"/>
            <w:tcBorders>
              <w:right w:val="single" w:sz="4" w:space="0" w:color="auto"/>
            </w:tcBorders>
          </w:tcPr>
          <w:p w14:paraId="27CF0324"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(9.5%)</w:t>
            </w:r>
          </w:p>
        </w:tc>
        <w:tc>
          <w:tcPr>
            <w:tcW w:w="1469" w:type="dxa"/>
            <w:tcBorders>
              <w:left w:val="single" w:sz="4" w:space="0" w:color="auto"/>
              <w:right w:val="single" w:sz="4" w:space="0" w:color="auto"/>
            </w:tcBorders>
            <w:noWrap/>
            <w:hideMark/>
          </w:tcPr>
          <w:p w14:paraId="4BB83C4B"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19</w:t>
            </w:r>
            <w:r w:rsidR="001759FE">
              <w:rPr>
                <w:rFonts w:eastAsia="Times New Roman" w:cs="Arial"/>
                <w:b/>
                <w:color w:val="auto"/>
                <w:lang w:eastAsia="en-AU"/>
              </w:rPr>
              <w:t>,</w:t>
            </w:r>
            <w:r w:rsidRPr="007714F6">
              <w:rPr>
                <w:rFonts w:eastAsia="Times New Roman" w:cs="Arial"/>
                <w:b/>
                <w:color w:val="auto"/>
                <w:lang w:eastAsia="en-AU"/>
              </w:rPr>
              <w:t>503</w:t>
            </w:r>
          </w:p>
        </w:tc>
      </w:tr>
      <w:tr w:rsidR="000D64F0" w:rsidRPr="007714F6" w14:paraId="14C262E9" w14:textId="77777777" w:rsidTr="00407ACB">
        <w:trPr>
          <w:trHeight w:val="20"/>
        </w:trPr>
        <w:tc>
          <w:tcPr>
            <w:cnfStyle w:val="001000000000" w:firstRow="0" w:lastRow="0" w:firstColumn="1" w:lastColumn="0" w:oddVBand="0" w:evenVBand="0" w:oddHBand="0" w:evenHBand="0" w:firstRowFirstColumn="0" w:firstRowLastColumn="0" w:lastRowFirstColumn="0" w:lastRowLastColumn="0"/>
            <w:tcW w:w="1468" w:type="dxa"/>
            <w:tcBorders>
              <w:left w:val="single" w:sz="4" w:space="0" w:color="auto"/>
              <w:right w:val="single" w:sz="4" w:space="0" w:color="auto"/>
            </w:tcBorders>
            <w:noWrap/>
          </w:tcPr>
          <w:p w14:paraId="40420AC7"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2010</w:t>
            </w:r>
          </w:p>
        </w:tc>
        <w:tc>
          <w:tcPr>
            <w:tcW w:w="1970" w:type="dxa"/>
            <w:tcBorders>
              <w:left w:val="single" w:sz="4" w:space="0" w:color="auto"/>
            </w:tcBorders>
            <w:noWrap/>
            <w:hideMark/>
          </w:tcPr>
          <w:p w14:paraId="40A45BEB"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12</w:t>
            </w:r>
            <w:r w:rsidR="001759FE">
              <w:rPr>
                <w:rFonts w:eastAsia="Times New Roman" w:cs="Arial"/>
                <w:color w:val="000000"/>
                <w:lang w:eastAsia="en-AU"/>
              </w:rPr>
              <w:t>,</w:t>
            </w:r>
            <w:r w:rsidRPr="007714F6">
              <w:rPr>
                <w:rFonts w:eastAsia="Times New Roman" w:cs="Arial"/>
                <w:color w:val="000000"/>
                <w:lang w:eastAsia="en-AU"/>
              </w:rPr>
              <w:t>547</w:t>
            </w:r>
          </w:p>
        </w:tc>
        <w:tc>
          <w:tcPr>
            <w:tcW w:w="968" w:type="dxa"/>
            <w:tcBorders>
              <w:right w:val="single" w:sz="4" w:space="0" w:color="auto"/>
            </w:tcBorders>
          </w:tcPr>
          <w:p w14:paraId="7C672839"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(50.7%)</w:t>
            </w:r>
          </w:p>
        </w:tc>
        <w:tc>
          <w:tcPr>
            <w:tcW w:w="1469" w:type="dxa"/>
            <w:tcBorders>
              <w:left w:val="single" w:sz="4" w:space="0" w:color="auto"/>
            </w:tcBorders>
            <w:noWrap/>
            <w:hideMark/>
          </w:tcPr>
          <w:p w14:paraId="1C7F1B74"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580</w:t>
            </w:r>
          </w:p>
        </w:tc>
        <w:tc>
          <w:tcPr>
            <w:tcW w:w="1469" w:type="dxa"/>
            <w:tcBorders>
              <w:right w:val="single" w:sz="4" w:space="0" w:color="auto"/>
            </w:tcBorders>
          </w:tcPr>
          <w:p w14:paraId="534CF7A6"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(6.4%)</w:t>
            </w:r>
          </w:p>
        </w:tc>
        <w:tc>
          <w:tcPr>
            <w:tcW w:w="1944" w:type="dxa"/>
            <w:tcBorders>
              <w:left w:val="single" w:sz="4" w:space="0" w:color="auto"/>
            </w:tcBorders>
            <w:noWrap/>
            <w:hideMark/>
          </w:tcPr>
          <w:p w14:paraId="4AC57239"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w:t>
            </w:r>
            <w:r w:rsidR="001759FE">
              <w:rPr>
                <w:rFonts w:eastAsia="Times New Roman" w:cs="Arial"/>
                <w:color w:val="000000"/>
                <w:lang w:eastAsia="en-AU"/>
              </w:rPr>
              <w:t>,</w:t>
            </w:r>
            <w:r w:rsidRPr="007714F6">
              <w:rPr>
                <w:rFonts w:eastAsia="Times New Roman" w:cs="Arial"/>
                <w:color w:val="000000"/>
                <w:lang w:eastAsia="en-AU"/>
              </w:rPr>
              <w:t>519</w:t>
            </w:r>
          </w:p>
        </w:tc>
        <w:tc>
          <w:tcPr>
            <w:tcW w:w="993" w:type="dxa"/>
            <w:tcBorders>
              <w:right w:val="single" w:sz="4" w:space="0" w:color="auto"/>
            </w:tcBorders>
          </w:tcPr>
          <w:p w14:paraId="13BBC329"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(30.4%)</w:t>
            </w:r>
          </w:p>
        </w:tc>
        <w:tc>
          <w:tcPr>
            <w:tcW w:w="1469" w:type="dxa"/>
            <w:tcBorders>
              <w:left w:val="single" w:sz="4" w:space="0" w:color="auto"/>
            </w:tcBorders>
            <w:noWrap/>
            <w:hideMark/>
          </w:tcPr>
          <w:p w14:paraId="253AB631"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sidR="001759FE">
              <w:rPr>
                <w:rFonts w:eastAsia="Times New Roman" w:cs="Arial"/>
                <w:color w:val="000000"/>
                <w:lang w:eastAsia="en-AU"/>
              </w:rPr>
              <w:t>,</w:t>
            </w:r>
            <w:r w:rsidRPr="007714F6">
              <w:rPr>
                <w:rFonts w:eastAsia="Times New Roman" w:cs="Arial"/>
                <w:color w:val="000000"/>
                <w:lang w:eastAsia="en-AU"/>
              </w:rPr>
              <w:t>113</w:t>
            </w:r>
          </w:p>
        </w:tc>
        <w:tc>
          <w:tcPr>
            <w:tcW w:w="1469" w:type="dxa"/>
            <w:tcBorders>
              <w:right w:val="single" w:sz="4" w:space="0" w:color="auto"/>
            </w:tcBorders>
          </w:tcPr>
          <w:p w14:paraId="586C356A"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(12.6%)</w:t>
            </w:r>
          </w:p>
        </w:tc>
        <w:tc>
          <w:tcPr>
            <w:tcW w:w="1469" w:type="dxa"/>
            <w:tcBorders>
              <w:left w:val="single" w:sz="4" w:space="0" w:color="auto"/>
              <w:right w:val="single" w:sz="4" w:space="0" w:color="auto"/>
            </w:tcBorders>
            <w:noWrap/>
            <w:hideMark/>
          </w:tcPr>
          <w:p w14:paraId="4A4A0584"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24</w:t>
            </w:r>
            <w:r w:rsidR="001759FE">
              <w:rPr>
                <w:rFonts w:eastAsia="Times New Roman" w:cs="Arial"/>
                <w:b/>
                <w:color w:val="auto"/>
                <w:lang w:eastAsia="en-AU"/>
              </w:rPr>
              <w:t>,</w:t>
            </w:r>
            <w:r w:rsidRPr="007714F6">
              <w:rPr>
                <w:rFonts w:eastAsia="Times New Roman" w:cs="Arial"/>
                <w:b/>
                <w:color w:val="auto"/>
                <w:lang w:eastAsia="en-AU"/>
              </w:rPr>
              <w:t>759</w:t>
            </w:r>
          </w:p>
        </w:tc>
      </w:tr>
      <w:tr w:rsidR="000D64F0" w:rsidRPr="007714F6" w14:paraId="57954C98" w14:textId="77777777" w:rsidTr="00407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8" w:type="dxa"/>
            <w:tcBorders>
              <w:left w:val="single" w:sz="4" w:space="0" w:color="auto"/>
              <w:right w:val="single" w:sz="4" w:space="0" w:color="auto"/>
            </w:tcBorders>
            <w:noWrap/>
          </w:tcPr>
          <w:p w14:paraId="005942D7"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2011</w:t>
            </w:r>
          </w:p>
        </w:tc>
        <w:tc>
          <w:tcPr>
            <w:tcW w:w="1970" w:type="dxa"/>
            <w:tcBorders>
              <w:left w:val="single" w:sz="4" w:space="0" w:color="auto"/>
            </w:tcBorders>
            <w:noWrap/>
            <w:hideMark/>
          </w:tcPr>
          <w:p w14:paraId="7B65DC70"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15</w:t>
            </w:r>
            <w:r w:rsidR="001759FE">
              <w:rPr>
                <w:rFonts w:eastAsia="Times New Roman" w:cs="Arial"/>
                <w:color w:val="000000"/>
                <w:lang w:eastAsia="en-AU"/>
              </w:rPr>
              <w:t>,</w:t>
            </w:r>
            <w:r w:rsidRPr="007714F6">
              <w:rPr>
                <w:rFonts w:eastAsia="Times New Roman" w:cs="Arial"/>
                <w:color w:val="000000"/>
                <w:lang w:eastAsia="en-AU"/>
              </w:rPr>
              <w:t>635</w:t>
            </w:r>
          </w:p>
        </w:tc>
        <w:tc>
          <w:tcPr>
            <w:tcW w:w="968" w:type="dxa"/>
            <w:tcBorders>
              <w:right w:val="single" w:sz="4" w:space="0" w:color="auto"/>
            </w:tcBorders>
          </w:tcPr>
          <w:p w14:paraId="0DC6A695"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(56.1%)</w:t>
            </w:r>
          </w:p>
        </w:tc>
        <w:tc>
          <w:tcPr>
            <w:tcW w:w="1469" w:type="dxa"/>
            <w:tcBorders>
              <w:left w:val="single" w:sz="4" w:space="0" w:color="auto"/>
            </w:tcBorders>
            <w:noWrap/>
            <w:hideMark/>
          </w:tcPr>
          <w:p w14:paraId="18F16797"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942</w:t>
            </w:r>
          </w:p>
        </w:tc>
        <w:tc>
          <w:tcPr>
            <w:tcW w:w="1469" w:type="dxa"/>
            <w:tcBorders>
              <w:right w:val="single" w:sz="4" w:space="0" w:color="auto"/>
            </w:tcBorders>
          </w:tcPr>
          <w:p w14:paraId="001FCDF2"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w:t>
            </w:r>
          </w:p>
        </w:tc>
        <w:tc>
          <w:tcPr>
            <w:tcW w:w="1944" w:type="dxa"/>
            <w:tcBorders>
              <w:left w:val="single" w:sz="4" w:space="0" w:color="auto"/>
            </w:tcBorders>
            <w:noWrap/>
            <w:hideMark/>
          </w:tcPr>
          <w:p w14:paraId="5F2C7855"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w:t>
            </w:r>
            <w:r w:rsidR="001759FE">
              <w:rPr>
                <w:rFonts w:eastAsia="Times New Roman" w:cs="Arial"/>
                <w:color w:val="000000"/>
                <w:lang w:eastAsia="en-AU"/>
              </w:rPr>
              <w:t>,</w:t>
            </w:r>
            <w:r w:rsidRPr="007714F6">
              <w:rPr>
                <w:rFonts w:eastAsia="Times New Roman" w:cs="Arial"/>
                <w:color w:val="000000"/>
                <w:lang w:eastAsia="en-AU"/>
              </w:rPr>
              <w:t>316</w:t>
            </w:r>
          </w:p>
        </w:tc>
        <w:tc>
          <w:tcPr>
            <w:tcW w:w="993" w:type="dxa"/>
            <w:tcBorders>
              <w:right w:val="single" w:sz="4" w:space="0" w:color="auto"/>
            </w:tcBorders>
          </w:tcPr>
          <w:p w14:paraId="4811304B"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(26.2%)</w:t>
            </w:r>
          </w:p>
        </w:tc>
        <w:tc>
          <w:tcPr>
            <w:tcW w:w="1469" w:type="dxa"/>
            <w:tcBorders>
              <w:left w:val="single" w:sz="4" w:space="0" w:color="auto"/>
            </w:tcBorders>
            <w:noWrap/>
            <w:hideMark/>
          </w:tcPr>
          <w:p w14:paraId="5676862F"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w:t>
            </w:r>
            <w:r w:rsidR="001759FE">
              <w:rPr>
                <w:rFonts w:eastAsia="Times New Roman" w:cs="Arial"/>
                <w:color w:val="000000"/>
                <w:lang w:eastAsia="en-AU"/>
              </w:rPr>
              <w:t>,</w:t>
            </w:r>
            <w:r w:rsidRPr="007714F6">
              <w:rPr>
                <w:rFonts w:eastAsia="Times New Roman" w:cs="Arial"/>
                <w:color w:val="000000"/>
                <w:lang w:eastAsia="en-AU"/>
              </w:rPr>
              <w:t>986</w:t>
            </w:r>
          </w:p>
        </w:tc>
        <w:tc>
          <w:tcPr>
            <w:tcW w:w="1469" w:type="dxa"/>
            <w:tcBorders>
              <w:right w:val="single" w:sz="4" w:space="0" w:color="auto"/>
            </w:tcBorders>
          </w:tcPr>
          <w:p w14:paraId="1C06AA38"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(10.7%)</w:t>
            </w:r>
          </w:p>
        </w:tc>
        <w:tc>
          <w:tcPr>
            <w:tcW w:w="1469" w:type="dxa"/>
            <w:tcBorders>
              <w:left w:val="single" w:sz="4" w:space="0" w:color="auto"/>
              <w:right w:val="single" w:sz="4" w:space="0" w:color="auto"/>
            </w:tcBorders>
            <w:noWrap/>
            <w:hideMark/>
          </w:tcPr>
          <w:p w14:paraId="46BCE476"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27</w:t>
            </w:r>
            <w:r w:rsidR="001759FE">
              <w:rPr>
                <w:rFonts w:eastAsia="Times New Roman" w:cs="Arial"/>
                <w:b/>
                <w:color w:val="auto"/>
                <w:lang w:eastAsia="en-AU"/>
              </w:rPr>
              <w:t>,</w:t>
            </w:r>
            <w:r w:rsidRPr="007714F6">
              <w:rPr>
                <w:rFonts w:eastAsia="Times New Roman" w:cs="Arial"/>
                <w:b/>
                <w:color w:val="auto"/>
                <w:lang w:eastAsia="en-AU"/>
              </w:rPr>
              <w:t>879</w:t>
            </w:r>
          </w:p>
        </w:tc>
      </w:tr>
      <w:tr w:rsidR="000D64F0" w:rsidRPr="007714F6" w14:paraId="3742641D" w14:textId="77777777" w:rsidTr="00407ACB">
        <w:trPr>
          <w:trHeight w:val="20"/>
        </w:trPr>
        <w:tc>
          <w:tcPr>
            <w:cnfStyle w:val="001000000000" w:firstRow="0" w:lastRow="0" w:firstColumn="1" w:lastColumn="0" w:oddVBand="0" w:evenVBand="0" w:oddHBand="0" w:evenHBand="0" w:firstRowFirstColumn="0" w:firstRowLastColumn="0" w:lastRowFirstColumn="0" w:lastRowLastColumn="0"/>
            <w:tcW w:w="1468" w:type="dxa"/>
            <w:tcBorders>
              <w:left w:val="single" w:sz="4" w:space="0" w:color="auto"/>
              <w:bottom w:val="single" w:sz="4" w:space="0" w:color="auto"/>
              <w:right w:val="single" w:sz="4" w:space="0" w:color="auto"/>
            </w:tcBorders>
            <w:noWrap/>
          </w:tcPr>
          <w:p w14:paraId="15A8593C" w14:textId="77777777" w:rsidR="000D64F0" w:rsidRPr="007714F6" w:rsidRDefault="000D64F0" w:rsidP="00407ACB">
            <w:pPr>
              <w:tabs>
                <w:tab w:val="left" w:pos="1134"/>
              </w:tabs>
              <w:spacing w:before="0" w:line="240" w:lineRule="auto"/>
              <w:rPr>
                <w:rFonts w:eastAsia="Times New Roman" w:cs="Arial"/>
                <w:bCs w:val="0"/>
                <w:color w:val="000000"/>
                <w:lang w:eastAsia="en-AU"/>
              </w:rPr>
            </w:pPr>
            <w:r w:rsidRPr="007714F6">
              <w:rPr>
                <w:rFonts w:eastAsia="Times New Roman" w:cs="Arial"/>
                <w:bCs w:val="0"/>
                <w:color w:val="000000"/>
                <w:lang w:eastAsia="en-AU"/>
              </w:rPr>
              <w:t>2012</w:t>
            </w:r>
          </w:p>
        </w:tc>
        <w:tc>
          <w:tcPr>
            <w:tcW w:w="1970" w:type="dxa"/>
            <w:tcBorders>
              <w:left w:val="single" w:sz="4" w:space="0" w:color="auto"/>
              <w:bottom w:val="single" w:sz="4" w:space="0" w:color="auto"/>
            </w:tcBorders>
            <w:noWrap/>
            <w:hideMark/>
          </w:tcPr>
          <w:p w14:paraId="7674097E"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20</w:t>
            </w:r>
            <w:r w:rsidR="001759FE">
              <w:rPr>
                <w:rFonts w:eastAsia="Times New Roman" w:cs="Arial"/>
                <w:color w:val="000000"/>
                <w:lang w:eastAsia="en-AU"/>
              </w:rPr>
              <w:t>,</w:t>
            </w:r>
            <w:r w:rsidRPr="007714F6">
              <w:rPr>
                <w:rFonts w:eastAsia="Times New Roman" w:cs="Arial"/>
                <w:color w:val="000000"/>
                <w:lang w:eastAsia="en-AU"/>
              </w:rPr>
              <w:t>844</w:t>
            </w:r>
          </w:p>
        </w:tc>
        <w:tc>
          <w:tcPr>
            <w:tcW w:w="968" w:type="dxa"/>
            <w:tcBorders>
              <w:bottom w:val="single" w:sz="4" w:space="0" w:color="auto"/>
              <w:right w:val="single" w:sz="4" w:space="0" w:color="auto"/>
            </w:tcBorders>
          </w:tcPr>
          <w:p w14:paraId="5C9D178A"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(59.6%)</w:t>
            </w:r>
          </w:p>
        </w:tc>
        <w:tc>
          <w:tcPr>
            <w:tcW w:w="1469" w:type="dxa"/>
            <w:tcBorders>
              <w:left w:val="single" w:sz="4" w:space="0" w:color="auto"/>
              <w:bottom w:val="single" w:sz="4" w:space="0" w:color="auto"/>
            </w:tcBorders>
            <w:noWrap/>
            <w:hideMark/>
          </w:tcPr>
          <w:p w14:paraId="119CF136"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sidR="001759FE">
              <w:rPr>
                <w:rFonts w:eastAsia="Times New Roman" w:cs="Arial"/>
                <w:color w:val="000000"/>
                <w:lang w:eastAsia="en-AU"/>
              </w:rPr>
              <w:t>,</w:t>
            </w:r>
            <w:r w:rsidRPr="007714F6">
              <w:rPr>
                <w:rFonts w:eastAsia="Times New Roman" w:cs="Arial"/>
                <w:color w:val="000000"/>
                <w:lang w:eastAsia="en-AU"/>
              </w:rPr>
              <w:t>692</w:t>
            </w:r>
          </w:p>
        </w:tc>
        <w:tc>
          <w:tcPr>
            <w:tcW w:w="1469" w:type="dxa"/>
            <w:tcBorders>
              <w:bottom w:val="single" w:sz="4" w:space="0" w:color="auto"/>
              <w:right w:val="single" w:sz="4" w:space="0" w:color="auto"/>
            </w:tcBorders>
          </w:tcPr>
          <w:p w14:paraId="4CDE638E"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(4.8%)</w:t>
            </w:r>
          </w:p>
        </w:tc>
        <w:tc>
          <w:tcPr>
            <w:tcW w:w="1944" w:type="dxa"/>
            <w:tcBorders>
              <w:left w:val="single" w:sz="4" w:space="0" w:color="auto"/>
              <w:bottom w:val="single" w:sz="4" w:space="0" w:color="auto"/>
            </w:tcBorders>
            <w:noWrap/>
            <w:hideMark/>
          </w:tcPr>
          <w:p w14:paraId="0A9E2E9B"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8</w:t>
            </w:r>
            <w:r w:rsidR="001759FE">
              <w:rPr>
                <w:rFonts w:eastAsia="Times New Roman" w:cs="Arial"/>
                <w:color w:val="000000"/>
                <w:lang w:eastAsia="en-AU"/>
              </w:rPr>
              <w:t>,</w:t>
            </w:r>
            <w:r w:rsidRPr="007714F6">
              <w:rPr>
                <w:rFonts w:eastAsia="Times New Roman" w:cs="Arial"/>
                <w:color w:val="000000"/>
                <w:lang w:eastAsia="en-AU"/>
              </w:rPr>
              <w:t>292</w:t>
            </w:r>
          </w:p>
        </w:tc>
        <w:tc>
          <w:tcPr>
            <w:tcW w:w="993" w:type="dxa"/>
            <w:tcBorders>
              <w:bottom w:val="single" w:sz="4" w:space="0" w:color="auto"/>
              <w:right w:val="single" w:sz="4" w:space="0" w:color="auto"/>
            </w:tcBorders>
          </w:tcPr>
          <w:p w14:paraId="716EB8FD"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(23.7%)</w:t>
            </w:r>
          </w:p>
        </w:tc>
        <w:tc>
          <w:tcPr>
            <w:tcW w:w="1469" w:type="dxa"/>
            <w:tcBorders>
              <w:left w:val="single" w:sz="4" w:space="0" w:color="auto"/>
              <w:bottom w:val="single" w:sz="4" w:space="0" w:color="auto"/>
            </w:tcBorders>
            <w:noWrap/>
            <w:hideMark/>
          </w:tcPr>
          <w:p w14:paraId="3FBBA318"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sidR="001759FE">
              <w:rPr>
                <w:rFonts w:eastAsia="Times New Roman" w:cs="Arial"/>
                <w:color w:val="000000"/>
                <w:lang w:eastAsia="en-AU"/>
              </w:rPr>
              <w:t>,</w:t>
            </w:r>
            <w:r w:rsidRPr="007714F6">
              <w:rPr>
                <w:rFonts w:eastAsia="Times New Roman" w:cs="Arial"/>
                <w:color w:val="000000"/>
                <w:lang w:eastAsia="en-AU"/>
              </w:rPr>
              <w:t>116</w:t>
            </w:r>
          </w:p>
        </w:tc>
        <w:tc>
          <w:tcPr>
            <w:tcW w:w="1469" w:type="dxa"/>
            <w:tcBorders>
              <w:bottom w:val="single" w:sz="4" w:space="0" w:color="auto"/>
              <w:right w:val="single" w:sz="4" w:space="0" w:color="auto"/>
            </w:tcBorders>
          </w:tcPr>
          <w:p w14:paraId="1C6C99D3"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(11.8%)</w:t>
            </w:r>
          </w:p>
        </w:tc>
        <w:tc>
          <w:tcPr>
            <w:tcW w:w="1469" w:type="dxa"/>
            <w:tcBorders>
              <w:left w:val="single" w:sz="4" w:space="0" w:color="auto"/>
              <w:bottom w:val="single" w:sz="4" w:space="0" w:color="auto"/>
              <w:right w:val="single" w:sz="4" w:space="0" w:color="auto"/>
            </w:tcBorders>
            <w:noWrap/>
            <w:hideMark/>
          </w:tcPr>
          <w:p w14:paraId="0D55FFC8" w14:textId="77777777" w:rsidR="000D64F0" w:rsidRPr="007714F6" w:rsidRDefault="000D64F0"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34</w:t>
            </w:r>
            <w:r w:rsidR="001759FE">
              <w:rPr>
                <w:rFonts w:eastAsia="Times New Roman" w:cs="Arial"/>
                <w:b/>
                <w:color w:val="auto"/>
                <w:lang w:eastAsia="en-AU"/>
              </w:rPr>
              <w:t>,</w:t>
            </w:r>
            <w:r w:rsidRPr="007714F6">
              <w:rPr>
                <w:rFonts w:eastAsia="Times New Roman" w:cs="Arial"/>
                <w:b/>
                <w:color w:val="auto"/>
                <w:lang w:eastAsia="en-AU"/>
              </w:rPr>
              <w:t>944</w:t>
            </w:r>
          </w:p>
        </w:tc>
      </w:tr>
      <w:tr w:rsidR="002418F8" w:rsidRPr="007714F6" w14:paraId="553F03FD" w14:textId="77777777" w:rsidTr="00407A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auto"/>
              <w:left w:val="single" w:sz="4" w:space="0" w:color="auto"/>
              <w:bottom w:val="single" w:sz="4" w:space="0" w:color="auto"/>
              <w:right w:val="single" w:sz="4" w:space="0" w:color="auto"/>
            </w:tcBorders>
            <w:noWrap/>
            <w:hideMark/>
          </w:tcPr>
          <w:p w14:paraId="090778D1" w14:textId="77777777" w:rsidR="000D64F0" w:rsidRPr="007714F6" w:rsidRDefault="000D64F0" w:rsidP="00407ACB">
            <w:pPr>
              <w:tabs>
                <w:tab w:val="left" w:pos="1134"/>
              </w:tabs>
              <w:spacing w:before="0" w:line="240" w:lineRule="auto"/>
              <w:rPr>
                <w:rFonts w:eastAsia="Times New Roman" w:cs="Arial"/>
                <w:color w:val="000000"/>
                <w:lang w:eastAsia="en-AU"/>
              </w:rPr>
            </w:pPr>
            <w:r w:rsidRPr="007714F6">
              <w:rPr>
                <w:rFonts w:eastAsia="Times New Roman" w:cs="Arial"/>
                <w:bCs w:val="0"/>
                <w:color w:val="000000"/>
                <w:lang w:eastAsia="en-AU"/>
              </w:rPr>
              <w:t>Totals:</w:t>
            </w:r>
          </w:p>
        </w:tc>
        <w:tc>
          <w:tcPr>
            <w:tcW w:w="1970" w:type="dxa"/>
            <w:tcBorders>
              <w:top w:val="single" w:sz="4" w:space="0" w:color="auto"/>
              <w:left w:val="single" w:sz="4" w:space="0" w:color="auto"/>
              <w:bottom w:val="single" w:sz="4" w:space="0" w:color="auto"/>
            </w:tcBorders>
            <w:noWrap/>
          </w:tcPr>
          <w:p w14:paraId="7EB299F4"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7714F6">
              <w:rPr>
                <w:rFonts w:eastAsia="Times New Roman" w:cs="Arial"/>
                <w:b/>
                <w:color w:val="000000"/>
                <w:lang w:eastAsia="en-AU"/>
              </w:rPr>
              <w:t>88,265</w:t>
            </w:r>
          </w:p>
        </w:tc>
        <w:tc>
          <w:tcPr>
            <w:tcW w:w="968" w:type="dxa"/>
            <w:tcBorders>
              <w:top w:val="single" w:sz="4" w:space="0" w:color="auto"/>
              <w:bottom w:val="single" w:sz="4" w:space="0" w:color="auto"/>
              <w:right w:val="single" w:sz="4" w:space="0" w:color="auto"/>
            </w:tcBorders>
          </w:tcPr>
          <w:p w14:paraId="24C9100A"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714F6">
              <w:rPr>
                <w:rFonts w:eastAsia="Times New Roman" w:cs="Arial"/>
                <w:color w:val="000000"/>
                <w:lang w:eastAsia="en-AU"/>
              </w:rPr>
              <w:t>(46.4%)</w:t>
            </w:r>
          </w:p>
        </w:tc>
        <w:tc>
          <w:tcPr>
            <w:tcW w:w="1469" w:type="dxa"/>
            <w:tcBorders>
              <w:top w:val="single" w:sz="4" w:space="0" w:color="auto"/>
              <w:left w:val="single" w:sz="4" w:space="0" w:color="auto"/>
              <w:bottom w:val="single" w:sz="4" w:space="0" w:color="auto"/>
            </w:tcBorders>
            <w:noWrap/>
          </w:tcPr>
          <w:p w14:paraId="507926C6"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7714F6">
              <w:rPr>
                <w:rFonts w:eastAsia="Times New Roman" w:cs="Arial"/>
                <w:b/>
                <w:color w:val="000000"/>
                <w:lang w:eastAsia="en-AU"/>
              </w:rPr>
              <w:t>26,156</w:t>
            </w:r>
          </w:p>
        </w:tc>
        <w:tc>
          <w:tcPr>
            <w:tcW w:w="1469" w:type="dxa"/>
            <w:tcBorders>
              <w:top w:val="single" w:sz="4" w:space="0" w:color="auto"/>
              <w:bottom w:val="single" w:sz="4" w:space="0" w:color="auto"/>
              <w:right w:val="single" w:sz="4" w:space="0" w:color="auto"/>
            </w:tcBorders>
          </w:tcPr>
          <w:p w14:paraId="52D15D49"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714F6">
              <w:rPr>
                <w:rFonts w:eastAsia="Times New Roman" w:cs="Arial"/>
                <w:color w:val="000000"/>
                <w:lang w:eastAsia="en-AU"/>
              </w:rPr>
              <w:t>(13.7%)</w:t>
            </w:r>
          </w:p>
        </w:tc>
        <w:tc>
          <w:tcPr>
            <w:tcW w:w="1944" w:type="dxa"/>
            <w:tcBorders>
              <w:top w:val="single" w:sz="4" w:space="0" w:color="auto"/>
              <w:left w:val="single" w:sz="4" w:space="0" w:color="auto"/>
              <w:bottom w:val="single" w:sz="4" w:space="0" w:color="auto"/>
            </w:tcBorders>
            <w:noWrap/>
          </w:tcPr>
          <w:p w14:paraId="44F48DD0"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7714F6">
              <w:rPr>
                <w:rFonts w:eastAsia="Times New Roman" w:cs="Arial"/>
                <w:b/>
                <w:color w:val="000000"/>
                <w:lang w:eastAsia="en-AU"/>
              </w:rPr>
              <w:t>54,366</w:t>
            </w:r>
          </w:p>
        </w:tc>
        <w:tc>
          <w:tcPr>
            <w:tcW w:w="993" w:type="dxa"/>
            <w:tcBorders>
              <w:top w:val="single" w:sz="4" w:space="0" w:color="auto"/>
              <w:bottom w:val="single" w:sz="4" w:space="0" w:color="auto"/>
              <w:right w:val="single" w:sz="4" w:space="0" w:color="auto"/>
            </w:tcBorders>
          </w:tcPr>
          <w:p w14:paraId="74F14BA9"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714F6">
              <w:rPr>
                <w:rFonts w:eastAsia="Times New Roman" w:cs="Arial"/>
                <w:color w:val="000000"/>
                <w:lang w:eastAsia="en-AU"/>
              </w:rPr>
              <w:t>(28.5%)</w:t>
            </w:r>
          </w:p>
        </w:tc>
        <w:tc>
          <w:tcPr>
            <w:tcW w:w="1469" w:type="dxa"/>
            <w:tcBorders>
              <w:top w:val="single" w:sz="4" w:space="0" w:color="auto"/>
              <w:left w:val="single" w:sz="4" w:space="0" w:color="auto"/>
              <w:bottom w:val="single" w:sz="4" w:space="0" w:color="auto"/>
            </w:tcBorders>
            <w:noWrap/>
          </w:tcPr>
          <w:p w14:paraId="67F09032"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7714F6">
              <w:rPr>
                <w:rFonts w:eastAsia="Times New Roman" w:cs="Arial"/>
                <w:b/>
                <w:color w:val="000000"/>
                <w:lang w:eastAsia="en-AU"/>
              </w:rPr>
              <w:t>21,641</w:t>
            </w:r>
          </w:p>
        </w:tc>
        <w:tc>
          <w:tcPr>
            <w:tcW w:w="1469" w:type="dxa"/>
            <w:tcBorders>
              <w:top w:val="single" w:sz="4" w:space="0" w:color="auto"/>
              <w:bottom w:val="single" w:sz="4" w:space="0" w:color="auto"/>
              <w:right w:val="single" w:sz="4" w:space="0" w:color="auto"/>
            </w:tcBorders>
          </w:tcPr>
          <w:p w14:paraId="12D8CD78"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714F6">
              <w:rPr>
                <w:rFonts w:eastAsia="Times New Roman" w:cs="Arial"/>
                <w:color w:val="000000"/>
                <w:lang w:eastAsia="en-AU"/>
              </w:rPr>
              <w:t>(11.4%)</w:t>
            </w:r>
          </w:p>
        </w:tc>
        <w:tc>
          <w:tcPr>
            <w:tcW w:w="1469" w:type="dxa"/>
            <w:tcBorders>
              <w:top w:val="single" w:sz="4" w:space="0" w:color="auto"/>
              <w:left w:val="single" w:sz="4" w:space="0" w:color="auto"/>
              <w:bottom w:val="single" w:sz="4" w:space="0" w:color="auto"/>
              <w:right w:val="single" w:sz="4" w:space="0" w:color="auto"/>
            </w:tcBorders>
            <w:noWrap/>
          </w:tcPr>
          <w:p w14:paraId="224F3F60" w14:textId="77777777" w:rsidR="000D64F0" w:rsidRPr="007714F6" w:rsidRDefault="000D64F0"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190,428</w:t>
            </w:r>
          </w:p>
        </w:tc>
      </w:tr>
    </w:tbl>
    <w:p w14:paraId="39928303" w14:textId="77777777" w:rsidR="005D61DD" w:rsidRPr="0006220F" w:rsidRDefault="005D61DD" w:rsidP="005E613E">
      <w:pPr>
        <w:pStyle w:val="Heading6"/>
        <w:spacing w:before="240" w:after="240"/>
      </w:pPr>
      <w:bookmarkStart w:id="74" w:name="_Toc382206736"/>
      <w:r w:rsidRPr="0006220F">
        <w:t xml:space="preserve">Line graph for table 1.26.1: </w:t>
      </w:r>
      <w:bookmarkEnd w:id="74"/>
      <w:r w:rsidRPr="0006220F">
        <w:t xml:space="preserve">Reports by </w:t>
      </w:r>
      <w:r w:rsidR="004A3C97" w:rsidRPr="0006220F">
        <w:t>major mandated reporter groups combined</w:t>
      </w:r>
      <w:r w:rsidRPr="0006220F">
        <w:t xml:space="preserve">, by year, by abuse type </w:t>
      </w:r>
    </w:p>
    <w:p w14:paraId="44B8E73A" w14:textId="77777777" w:rsidR="0080128E" w:rsidRDefault="000D64F0" w:rsidP="00B15586">
      <w:r w:rsidRPr="000D64F0">
        <w:rPr>
          <w:noProof/>
          <w:lang w:eastAsia="en-AU"/>
        </w:rPr>
        <w:drawing>
          <wp:inline distT="0" distB="0" distL="0" distR="0" wp14:anchorId="1B0B7496" wp14:editId="2FF89A57">
            <wp:extent cx="9229725" cy="2266950"/>
            <wp:effectExtent l="0" t="0" r="9525" b="0"/>
            <wp:docPr id="31" name="Chart 27" descr="Shows mandated group reports of emotional abuse increased significantly over decade, while neglect reports declined." title="Line graph for table 1: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80128E">
        <w:br w:type="page"/>
      </w:r>
    </w:p>
    <w:p w14:paraId="048B6D72" w14:textId="723AC642" w:rsidR="005D61DD" w:rsidRPr="00A53FCC" w:rsidRDefault="005D61DD" w:rsidP="00407ACB">
      <w:pPr>
        <w:pStyle w:val="Figureheading"/>
        <w:ind w:left="900" w:hanging="900"/>
      </w:pPr>
      <w:bookmarkStart w:id="75" w:name="_Toc382206737"/>
      <w:r w:rsidRPr="00CF2716">
        <w:lastRenderedPageBreak/>
        <w:t>1.26.2</w:t>
      </w:r>
      <w:r w:rsidRPr="00CF2716">
        <w:tab/>
        <w:t xml:space="preserve">Reports by </w:t>
      </w:r>
      <w:r w:rsidR="004A3C97">
        <w:t>major mandated reporter groups combined</w:t>
      </w:r>
      <w:r w:rsidRPr="00CF2716">
        <w:t>, by year, by outcome of reports (number and percentage)</w:t>
      </w:r>
    </w:p>
    <w:bookmarkEnd w:id="75"/>
    <w:tbl>
      <w:tblPr>
        <w:tblStyle w:val="LightShading-Accent2"/>
        <w:tblW w:w="5000" w:type="pct"/>
        <w:tblLook w:val="04A0" w:firstRow="1" w:lastRow="0" w:firstColumn="1" w:lastColumn="0" w:noHBand="0" w:noVBand="1"/>
        <w:tblCaption w:val="Reports by major mandated reporter groups combined, by year, by outcome of reports (number and percentage)"/>
      </w:tblPr>
      <w:tblGrid>
        <w:gridCol w:w="1028"/>
        <w:gridCol w:w="2144"/>
        <w:gridCol w:w="1124"/>
        <w:gridCol w:w="1665"/>
        <w:gridCol w:w="1124"/>
        <w:gridCol w:w="1848"/>
        <w:gridCol w:w="1124"/>
        <w:gridCol w:w="2310"/>
        <w:gridCol w:w="1251"/>
        <w:gridCol w:w="1168"/>
      </w:tblGrid>
      <w:tr w:rsidR="002418F8" w:rsidRPr="00FC5C7E" w14:paraId="1E39742D" w14:textId="77777777" w:rsidTr="00407ACB">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3F26BED" w14:textId="77777777" w:rsidR="00245C19" w:rsidRPr="00FC5C7E" w:rsidRDefault="00245C19" w:rsidP="00407ACB">
            <w:pPr>
              <w:tabs>
                <w:tab w:val="left" w:pos="1134"/>
              </w:tabs>
              <w:spacing w:before="0" w:line="240" w:lineRule="auto"/>
              <w:rPr>
                <w:rFonts w:eastAsia="Times New Roman" w:cs="Arial"/>
                <w:bCs w:val="0"/>
                <w:color w:val="auto"/>
                <w:lang w:eastAsia="en-AU"/>
              </w:rPr>
            </w:pPr>
          </w:p>
        </w:tc>
        <w:tc>
          <w:tcPr>
            <w:tcW w:w="725" w:type="pct"/>
            <w:tcBorders>
              <w:top w:val="single" w:sz="4" w:space="0" w:color="auto"/>
              <w:left w:val="single" w:sz="4" w:space="0" w:color="auto"/>
              <w:bottom w:val="single" w:sz="4" w:space="0" w:color="auto"/>
            </w:tcBorders>
            <w:shd w:val="clear" w:color="auto" w:fill="95B3D7" w:themeFill="accent1" w:themeFillTint="99"/>
            <w:vAlign w:val="center"/>
            <w:hideMark/>
          </w:tcPr>
          <w:p w14:paraId="3623682C" w14:textId="77777777" w:rsidR="00245C19" w:rsidRPr="00FC5C7E" w:rsidRDefault="00245C19"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investigated</w:t>
            </w:r>
          </w:p>
        </w:tc>
        <w:tc>
          <w:tcPr>
            <w:tcW w:w="380" w:type="pct"/>
            <w:tcBorders>
              <w:top w:val="single" w:sz="4" w:space="0" w:color="auto"/>
              <w:bottom w:val="single" w:sz="4" w:space="0" w:color="auto"/>
              <w:right w:val="single" w:sz="4" w:space="0" w:color="auto"/>
            </w:tcBorders>
            <w:shd w:val="clear" w:color="auto" w:fill="95B3D7" w:themeFill="accent1" w:themeFillTint="99"/>
            <w:vAlign w:val="center"/>
          </w:tcPr>
          <w:p w14:paraId="07602A3E" w14:textId="77777777" w:rsidR="00245C19" w:rsidRPr="00FC5C7E" w:rsidRDefault="00245C19"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563" w:type="pct"/>
            <w:tcBorders>
              <w:top w:val="single" w:sz="4" w:space="0" w:color="auto"/>
              <w:bottom w:val="single" w:sz="4" w:space="0" w:color="auto"/>
            </w:tcBorders>
            <w:shd w:val="clear" w:color="auto" w:fill="95B3D7" w:themeFill="accent1" w:themeFillTint="99"/>
            <w:vAlign w:val="center"/>
          </w:tcPr>
          <w:p w14:paraId="0F41403A" w14:textId="77777777" w:rsidR="00245C19" w:rsidRPr="00FC5C7E" w:rsidRDefault="00245C19"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Investigated</w:t>
            </w:r>
          </w:p>
        </w:tc>
        <w:tc>
          <w:tcPr>
            <w:tcW w:w="380" w:type="pct"/>
            <w:tcBorders>
              <w:top w:val="single" w:sz="4" w:space="0" w:color="auto"/>
              <w:bottom w:val="single" w:sz="4" w:space="0" w:color="auto"/>
            </w:tcBorders>
            <w:shd w:val="clear" w:color="auto" w:fill="95B3D7" w:themeFill="accent1" w:themeFillTint="99"/>
            <w:vAlign w:val="center"/>
          </w:tcPr>
          <w:p w14:paraId="5549B148" w14:textId="77777777" w:rsidR="00245C19" w:rsidRPr="00FC5C7E" w:rsidRDefault="00245C19"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625" w:type="pct"/>
            <w:tcBorders>
              <w:top w:val="single" w:sz="4" w:space="0" w:color="auto"/>
              <w:left w:val="single" w:sz="4" w:space="0" w:color="auto"/>
              <w:bottom w:val="single" w:sz="4" w:space="0" w:color="auto"/>
            </w:tcBorders>
            <w:shd w:val="clear" w:color="auto" w:fill="95B3D7" w:themeFill="accent1" w:themeFillTint="99"/>
            <w:vAlign w:val="center"/>
            <w:hideMark/>
          </w:tcPr>
          <w:p w14:paraId="07230A8D" w14:textId="77777777" w:rsidR="00245C19" w:rsidRPr="00FC5C7E" w:rsidRDefault="00245C19"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Substantiated</w:t>
            </w:r>
          </w:p>
        </w:tc>
        <w:tc>
          <w:tcPr>
            <w:tcW w:w="380" w:type="pct"/>
            <w:tcBorders>
              <w:top w:val="single" w:sz="4" w:space="0" w:color="auto"/>
              <w:bottom w:val="single" w:sz="4" w:space="0" w:color="auto"/>
              <w:right w:val="single" w:sz="4" w:space="0" w:color="auto"/>
            </w:tcBorders>
            <w:shd w:val="clear" w:color="auto" w:fill="95B3D7" w:themeFill="accent1" w:themeFillTint="99"/>
            <w:vAlign w:val="center"/>
          </w:tcPr>
          <w:p w14:paraId="66586C35" w14:textId="77777777" w:rsidR="00245C19" w:rsidRPr="00FC5C7E" w:rsidRDefault="00245C19"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781" w:type="pct"/>
            <w:tcBorders>
              <w:top w:val="single" w:sz="4" w:space="0" w:color="auto"/>
              <w:left w:val="single" w:sz="4" w:space="0" w:color="auto"/>
              <w:bottom w:val="single" w:sz="4" w:space="0" w:color="auto"/>
            </w:tcBorders>
            <w:shd w:val="clear" w:color="auto" w:fill="95B3D7" w:themeFill="accent1" w:themeFillTint="99"/>
            <w:vAlign w:val="center"/>
            <w:hideMark/>
          </w:tcPr>
          <w:p w14:paraId="693C14CD" w14:textId="77777777" w:rsidR="00245C19" w:rsidRPr="00FC5C7E" w:rsidRDefault="00245C19"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substantiated</w:t>
            </w:r>
          </w:p>
        </w:tc>
        <w:tc>
          <w:tcPr>
            <w:tcW w:w="423" w:type="pct"/>
            <w:tcBorders>
              <w:top w:val="single" w:sz="4" w:space="0" w:color="auto"/>
              <w:bottom w:val="single" w:sz="4" w:space="0" w:color="auto"/>
              <w:right w:val="single" w:sz="4" w:space="0" w:color="auto"/>
            </w:tcBorders>
            <w:shd w:val="clear" w:color="auto" w:fill="95B3D7" w:themeFill="accent1" w:themeFillTint="99"/>
            <w:vAlign w:val="center"/>
          </w:tcPr>
          <w:p w14:paraId="40F6FDB9" w14:textId="77777777" w:rsidR="00245C19" w:rsidRPr="00FC5C7E" w:rsidRDefault="00245C19" w:rsidP="00407ACB">
            <w:pPr>
              <w:tabs>
                <w:tab w:val="left" w:pos="1134"/>
              </w:tabs>
              <w:spacing w:before="0" w:line="240" w:lineRule="auto"/>
              <w:ind w:right="-108"/>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39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E7088B5" w14:textId="77777777" w:rsidR="00245C19" w:rsidRPr="00FC5C7E" w:rsidRDefault="00245C19" w:rsidP="00407ACB">
            <w:pPr>
              <w:tabs>
                <w:tab w:val="left" w:pos="1134"/>
              </w:tabs>
              <w:spacing w:before="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Total</w:t>
            </w:r>
          </w:p>
        </w:tc>
      </w:tr>
      <w:tr w:rsidR="002418F8" w:rsidRPr="00FC5C7E" w14:paraId="6C3F7D13"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right w:val="single" w:sz="4" w:space="0" w:color="auto"/>
            </w:tcBorders>
            <w:shd w:val="clear" w:color="auto" w:fill="DBE5F1" w:themeFill="accent1" w:themeFillTint="33"/>
            <w:noWrap/>
          </w:tcPr>
          <w:p w14:paraId="1D2AB5D2"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2003</w:t>
            </w:r>
          </w:p>
        </w:tc>
        <w:tc>
          <w:tcPr>
            <w:tcW w:w="725" w:type="pct"/>
            <w:tcBorders>
              <w:top w:val="single" w:sz="4" w:space="0" w:color="auto"/>
              <w:left w:val="single" w:sz="4" w:space="0" w:color="auto"/>
            </w:tcBorders>
            <w:shd w:val="clear" w:color="auto" w:fill="DBE5F1" w:themeFill="accent1" w:themeFillTint="33"/>
            <w:noWrap/>
            <w:hideMark/>
          </w:tcPr>
          <w:p w14:paraId="0A8DFA1B" w14:textId="77777777" w:rsidR="00EB4A8B" w:rsidRPr="007714F6" w:rsidRDefault="00EB4A8B" w:rsidP="00407ACB">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w:t>
            </w:r>
            <w:r>
              <w:rPr>
                <w:rFonts w:eastAsia="Times New Roman" w:cs="Arial"/>
                <w:color w:val="000000"/>
                <w:lang w:eastAsia="en-AU"/>
              </w:rPr>
              <w:t>,</w:t>
            </w:r>
            <w:r w:rsidRPr="007714F6">
              <w:rPr>
                <w:rFonts w:eastAsia="Times New Roman" w:cs="Arial"/>
                <w:color w:val="000000"/>
                <w:lang w:eastAsia="en-AU"/>
              </w:rPr>
              <w:t>803</w:t>
            </w:r>
          </w:p>
        </w:tc>
        <w:tc>
          <w:tcPr>
            <w:tcW w:w="380" w:type="pct"/>
            <w:tcBorders>
              <w:top w:val="single" w:sz="4" w:space="0" w:color="auto"/>
              <w:right w:val="single" w:sz="4" w:space="0" w:color="auto"/>
            </w:tcBorders>
            <w:shd w:val="clear" w:color="auto" w:fill="DBE5F1" w:themeFill="accent1" w:themeFillTint="33"/>
          </w:tcPr>
          <w:p w14:paraId="03C095DC" w14:textId="77777777" w:rsidR="00EB4A8B" w:rsidRPr="007714F6" w:rsidRDefault="00EB4A8B" w:rsidP="00407ACB">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(61.4%)</w:t>
            </w:r>
          </w:p>
        </w:tc>
        <w:tc>
          <w:tcPr>
            <w:tcW w:w="563" w:type="pct"/>
            <w:tcBorders>
              <w:top w:val="single" w:sz="4" w:space="0" w:color="auto"/>
            </w:tcBorders>
            <w:shd w:val="clear" w:color="auto" w:fill="DBE5F1" w:themeFill="accent1" w:themeFillTint="33"/>
          </w:tcPr>
          <w:p w14:paraId="0E41C74E" w14:textId="77777777" w:rsidR="00EB4A8B" w:rsidRPr="007714F6" w:rsidRDefault="00EB4A8B" w:rsidP="00407ACB">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Pr>
                <w:rFonts w:eastAsia="Times New Roman" w:cs="Arial"/>
                <w:color w:val="000000"/>
                <w:lang w:eastAsia="en-AU"/>
              </w:rPr>
              <w:t>,</w:t>
            </w:r>
            <w:r w:rsidRPr="007714F6">
              <w:rPr>
                <w:rFonts w:eastAsia="Times New Roman" w:cs="Arial"/>
                <w:color w:val="000000"/>
                <w:lang w:eastAsia="en-AU"/>
              </w:rPr>
              <w:t>897</w:t>
            </w:r>
          </w:p>
        </w:tc>
        <w:tc>
          <w:tcPr>
            <w:tcW w:w="380" w:type="pct"/>
            <w:tcBorders>
              <w:top w:val="single" w:sz="4" w:space="0" w:color="auto"/>
            </w:tcBorders>
            <w:shd w:val="clear" w:color="auto" w:fill="DBE5F1" w:themeFill="accent1" w:themeFillTint="33"/>
          </w:tcPr>
          <w:p w14:paraId="0C87BF86" w14:textId="77777777" w:rsidR="00EB4A8B" w:rsidRPr="007714F6" w:rsidRDefault="00EB4A8B" w:rsidP="00407ACB">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(38.6%)</w:t>
            </w:r>
          </w:p>
        </w:tc>
        <w:tc>
          <w:tcPr>
            <w:tcW w:w="625" w:type="pct"/>
            <w:tcBorders>
              <w:top w:val="single" w:sz="4" w:space="0" w:color="auto"/>
              <w:left w:val="single" w:sz="4" w:space="0" w:color="auto"/>
            </w:tcBorders>
            <w:shd w:val="clear" w:color="auto" w:fill="DBE5F1" w:themeFill="accent1" w:themeFillTint="33"/>
            <w:noWrap/>
            <w:hideMark/>
          </w:tcPr>
          <w:p w14:paraId="4ECB3665" w14:textId="77777777" w:rsidR="00EB4A8B" w:rsidRPr="007714F6" w:rsidRDefault="00EB4A8B" w:rsidP="00407ACB">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Pr>
                <w:rFonts w:eastAsia="Times New Roman" w:cs="Arial"/>
                <w:color w:val="000000"/>
                <w:lang w:eastAsia="en-AU"/>
              </w:rPr>
              <w:t>,</w:t>
            </w:r>
            <w:r w:rsidRPr="007714F6">
              <w:rPr>
                <w:rFonts w:eastAsia="Times New Roman" w:cs="Arial"/>
                <w:color w:val="000000"/>
                <w:lang w:eastAsia="en-AU"/>
              </w:rPr>
              <w:t>212</w:t>
            </w:r>
          </w:p>
        </w:tc>
        <w:tc>
          <w:tcPr>
            <w:tcW w:w="380" w:type="pct"/>
            <w:tcBorders>
              <w:top w:val="single" w:sz="4" w:space="0" w:color="auto"/>
              <w:right w:val="single" w:sz="4" w:space="0" w:color="auto"/>
            </w:tcBorders>
            <w:shd w:val="clear" w:color="auto" w:fill="DBE5F1" w:themeFill="accent1" w:themeFillTint="33"/>
          </w:tcPr>
          <w:p w14:paraId="64F29BCD" w14:textId="77777777" w:rsidR="00EB4A8B" w:rsidRPr="007714F6" w:rsidRDefault="00EB4A8B" w:rsidP="00407ACB">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(25.3%)</w:t>
            </w:r>
          </w:p>
        </w:tc>
        <w:tc>
          <w:tcPr>
            <w:tcW w:w="781" w:type="pct"/>
            <w:tcBorders>
              <w:top w:val="single" w:sz="4" w:space="0" w:color="auto"/>
              <w:left w:val="single" w:sz="4" w:space="0" w:color="auto"/>
            </w:tcBorders>
            <w:shd w:val="clear" w:color="auto" w:fill="DBE5F1" w:themeFill="accent1" w:themeFillTint="33"/>
            <w:noWrap/>
            <w:hideMark/>
          </w:tcPr>
          <w:p w14:paraId="4A5002E1" w14:textId="77777777" w:rsidR="00EB4A8B" w:rsidRPr="007714F6" w:rsidRDefault="00EB4A8B" w:rsidP="00407ACB">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Pr>
                <w:rFonts w:eastAsia="Times New Roman" w:cs="Arial"/>
                <w:color w:val="000000"/>
                <w:lang w:eastAsia="en-AU"/>
              </w:rPr>
              <w:t>,</w:t>
            </w:r>
            <w:r w:rsidRPr="007714F6">
              <w:rPr>
                <w:rFonts w:eastAsia="Times New Roman" w:cs="Arial"/>
                <w:color w:val="000000"/>
                <w:lang w:eastAsia="en-AU"/>
              </w:rPr>
              <w:t>685</w:t>
            </w:r>
          </w:p>
        </w:tc>
        <w:tc>
          <w:tcPr>
            <w:tcW w:w="423" w:type="pct"/>
            <w:tcBorders>
              <w:top w:val="single" w:sz="4" w:space="0" w:color="auto"/>
              <w:right w:val="single" w:sz="4" w:space="0" w:color="auto"/>
            </w:tcBorders>
            <w:shd w:val="clear" w:color="auto" w:fill="DBE5F1" w:themeFill="accent1" w:themeFillTint="33"/>
            <w:vAlign w:val="center"/>
          </w:tcPr>
          <w:p w14:paraId="7A8B51CB" w14:textId="77777777" w:rsidR="00EB4A8B" w:rsidRPr="00EB4A8B" w:rsidRDefault="00EB4A8B"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13.27%</w:t>
            </w:r>
            <w:r>
              <w:rPr>
                <w:rFonts w:ascii="Calibri" w:hAnsi="Calibri"/>
                <w:color w:val="auto"/>
              </w:rPr>
              <w:t>)</w:t>
            </w:r>
          </w:p>
        </w:tc>
        <w:tc>
          <w:tcPr>
            <w:tcW w:w="395" w:type="pct"/>
            <w:tcBorders>
              <w:top w:val="single" w:sz="4" w:space="0" w:color="auto"/>
              <w:left w:val="single" w:sz="4" w:space="0" w:color="auto"/>
              <w:right w:val="single" w:sz="4" w:space="0" w:color="auto"/>
            </w:tcBorders>
            <w:shd w:val="clear" w:color="auto" w:fill="DBE5F1" w:themeFill="accent1" w:themeFillTint="33"/>
          </w:tcPr>
          <w:p w14:paraId="4DCDD3B4" w14:textId="77777777" w:rsidR="00EB4A8B" w:rsidRPr="007714F6" w:rsidRDefault="00EB4A8B" w:rsidP="00407ACB">
            <w:pPr>
              <w:keepNext/>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12</w:t>
            </w:r>
            <w:r>
              <w:rPr>
                <w:rFonts w:eastAsia="Times New Roman" w:cs="Arial"/>
                <w:b/>
                <w:color w:val="auto"/>
                <w:lang w:eastAsia="en-AU"/>
              </w:rPr>
              <w:t>,</w:t>
            </w:r>
            <w:r w:rsidRPr="007714F6">
              <w:rPr>
                <w:rFonts w:eastAsia="Times New Roman" w:cs="Arial"/>
                <w:b/>
                <w:color w:val="auto"/>
                <w:lang w:eastAsia="en-AU"/>
              </w:rPr>
              <w:t>700</w:t>
            </w:r>
          </w:p>
        </w:tc>
      </w:tr>
      <w:tr w:rsidR="00EB4A8B" w:rsidRPr="00FC5C7E" w14:paraId="243BE7DE"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5AAE3631"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2004</w:t>
            </w:r>
          </w:p>
        </w:tc>
        <w:tc>
          <w:tcPr>
            <w:tcW w:w="725" w:type="pct"/>
            <w:tcBorders>
              <w:left w:val="single" w:sz="4" w:space="0" w:color="auto"/>
            </w:tcBorders>
            <w:noWrap/>
            <w:hideMark/>
          </w:tcPr>
          <w:p w14:paraId="6861CC0B"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w:t>
            </w:r>
            <w:r>
              <w:rPr>
                <w:rFonts w:eastAsia="Times New Roman" w:cs="Arial"/>
                <w:color w:val="000000"/>
                <w:lang w:eastAsia="en-AU"/>
              </w:rPr>
              <w:t>,</w:t>
            </w:r>
            <w:r w:rsidRPr="007714F6">
              <w:rPr>
                <w:rFonts w:eastAsia="Times New Roman" w:cs="Arial"/>
                <w:color w:val="000000"/>
                <w:lang w:eastAsia="en-AU"/>
              </w:rPr>
              <w:t>763</w:t>
            </w:r>
          </w:p>
        </w:tc>
        <w:tc>
          <w:tcPr>
            <w:tcW w:w="380" w:type="pct"/>
            <w:tcBorders>
              <w:right w:val="single" w:sz="4" w:space="0" w:color="auto"/>
            </w:tcBorders>
          </w:tcPr>
          <w:p w14:paraId="0ADD9E76"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(61.5%)</w:t>
            </w:r>
          </w:p>
        </w:tc>
        <w:tc>
          <w:tcPr>
            <w:tcW w:w="563" w:type="pct"/>
            <w:tcBorders>
              <w:right w:val="nil"/>
            </w:tcBorders>
          </w:tcPr>
          <w:p w14:paraId="7314CDE3"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Pr>
                <w:rFonts w:eastAsia="Times New Roman" w:cs="Arial"/>
                <w:color w:val="000000"/>
                <w:lang w:eastAsia="en-AU"/>
              </w:rPr>
              <w:t>,</w:t>
            </w:r>
            <w:r w:rsidRPr="007714F6">
              <w:rPr>
                <w:rFonts w:eastAsia="Times New Roman" w:cs="Arial"/>
                <w:color w:val="000000"/>
                <w:lang w:eastAsia="en-AU"/>
              </w:rPr>
              <w:t>853</w:t>
            </w:r>
          </w:p>
        </w:tc>
        <w:tc>
          <w:tcPr>
            <w:tcW w:w="380" w:type="pct"/>
            <w:tcBorders>
              <w:left w:val="nil"/>
            </w:tcBorders>
          </w:tcPr>
          <w:p w14:paraId="002B6013"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(38.5%)</w:t>
            </w:r>
          </w:p>
        </w:tc>
        <w:tc>
          <w:tcPr>
            <w:tcW w:w="625" w:type="pct"/>
            <w:tcBorders>
              <w:left w:val="single" w:sz="4" w:space="0" w:color="auto"/>
            </w:tcBorders>
            <w:noWrap/>
            <w:hideMark/>
          </w:tcPr>
          <w:p w14:paraId="1B116DE1"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Pr>
                <w:rFonts w:eastAsia="Times New Roman" w:cs="Arial"/>
                <w:color w:val="000000"/>
                <w:lang w:eastAsia="en-AU"/>
              </w:rPr>
              <w:t>,</w:t>
            </w:r>
            <w:r w:rsidRPr="007714F6">
              <w:rPr>
                <w:rFonts w:eastAsia="Times New Roman" w:cs="Arial"/>
                <w:color w:val="000000"/>
                <w:lang w:eastAsia="en-AU"/>
              </w:rPr>
              <w:t>347</w:t>
            </w:r>
          </w:p>
        </w:tc>
        <w:tc>
          <w:tcPr>
            <w:tcW w:w="380" w:type="pct"/>
            <w:tcBorders>
              <w:right w:val="single" w:sz="4" w:space="0" w:color="auto"/>
            </w:tcBorders>
          </w:tcPr>
          <w:p w14:paraId="06B11454"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(26.5%)</w:t>
            </w:r>
          </w:p>
        </w:tc>
        <w:tc>
          <w:tcPr>
            <w:tcW w:w="781" w:type="pct"/>
            <w:tcBorders>
              <w:left w:val="single" w:sz="4" w:space="0" w:color="auto"/>
              <w:right w:val="nil"/>
            </w:tcBorders>
            <w:noWrap/>
            <w:hideMark/>
          </w:tcPr>
          <w:p w14:paraId="5265963C"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Pr>
                <w:rFonts w:eastAsia="Times New Roman" w:cs="Arial"/>
                <w:color w:val="000000"/>
                <w:lang w:eastAsia="en-AU"/>
              </w:rPr>
              <w:t>,</w:t>
            </w:r>
            <w:r w:rsidRPr="007714F6">
              <w:rPr>
                <w:rFonts w:eastAsia="Times New Roman" w:cs="Arial"/>
                <w:color w:val="000000"/>
                <w:lang w:eastAsia="en-AU"/>
              </w:rPr>
              <w:t>506</w:t>
            </w:r>
          </w:p>
        </w:tc>
        <w:tc>
          <w:tcPr>
            <w:tcW w:w="423" w:type="pct"/>
            <w:tcBorders>
              <w:left w:val="nil"/>
              <w:right w:val="single" w:sz="4" w:space="0" w:color="auto"/>
            </w:tcBorders>
            <w:vAlign w:val="center"/>
          </w:tcPr>
          <w:p w14:paraId="1E414CB9" w14:textId="77777777" w:rsidR="00EB4A8B" w:rsidRPr="00EB4A8B" w:rsidRDefault="00EB4A8B"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11.94%</w:t>
            </w:r>
            <w:r>
              <w:rPr>
                <w:rFonts w:ascii="Calibri" w:hAnsi="Calibri"/>
                <w:color w:val="auto"/>
              </w:rPr>
              <w:t>)</w:t>
            </w:r>
          </w:p>
        </w:tc>
        <w:tc>
          <w:tcPr>
            <w:tcW w:w="395" w:type="pct"/>
            <w:tcBorders>
              <w:left w:val="single" w:sz="4" w:space="0" w:color="auto"/>
              <w:right w:val="single" w:sz="4" w:space="0" w:color="auto"/>
            </w:tcBorders>
          </w:tcPr>
          <w:p w14:paraId="4A290F47"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12</w:t>
            </w:r>
            <w:r>
              <w:rPr>
                <w:rFonts w:eastAsia="Times New Roman" w:cs="Arial"/>
                <w:b/>
                <w:color w:val="auto"/>
                <w:lang w:eastAsia="en-AU"/>
              </w:rPr>
              <w:t>,</w:t>
            </w:r>
            <w:r w:rsidRPr="007714F6">
              <w:rPr>
                <w:rFonts w:eastAsia="Times New Roman" w:cs="Arial"/>
                <w:b/>
                <w:color w:val="auto"/>
                <w:lang w:eastAsia="en-AU"/>
              </w:rPr>
              <w:t>616</w:t>
            </w:r>
          </w:p>
        </w:tc>
      </w:tr>
      <w:tr w:rsidR="00EB4A8B" w:rsidRPr="00FC5C7E" w14:paraId="5B59F697"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293AF7A8"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2005</w:t>
            </w:r>
          </w:p>
        </w:tc>
        <w:tc>
          <w:tcPr>
            <w:tcW w:w="725" w:type="pct"/>
            <w:tcBorders>
              <w:left w:val="single" w:sz="4" w:space="0" w:color="auto"/>
            </w:tcBorders>
            <w:shd w:val="clear" w:color="auto" w:fill="DBE5F1" w:themeFill="accent1" w:themeFillTint="33"/>
            <w:noWrap/>
            <w:hideMark/>
          </w:tcPr>
          <w:p w14:paraId="563BB0DC"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8</w:t>
            </w:r>
            <w:r>
              <w:rPr>
                <w:rFonts w:eastAsia="Times New Roman" w:cs="Arial"/>
                <w:color w:val="000000"/>
                <w:lang w:eastAsia="en-AU"/>
              </w:rPr>
              <w:t>,</w:t>
            </w:r>
            <w:r w:rsidRPr="007714F6">
              <w:rPr>
                <w:rFonts w:eastAsia="Times New Roman" w:cs="Arial"/>
                <w:color w:val="000000"/>
                <w:lang w:eastAsia="en-AU"/>
              </w:rPr>
              <w:t>400</w:t>
            </w:r>
          </w:p>
        </w:tc>
        <w:tc>
          <w:tcPr>
            <w:tcW w:w="380" w:type="pct"/>
            <w:tcBorders>
              <w:right w:val="single" w:sz="4" w:space="0" w:color="auto"/>
            </w:tcBorders>
            <w:shd w:val="clear" w:color="auto" w:fill="DBE5F1" w:themeFill="accent1" w:themeFillTint="33"/>
          </w:tcPr>
          <w:p w14:paraId="4AFCD70A"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(64.9%)</w:t>
            </w:r>
          </w:p>
        </w:tc>
        <w:tc>
          <w:tcPr>
            <w:tcW w:w="563" w:type="pct"/>
            <w:shd w:val="clear" w:color="auto" w:fill="DBE5F1" w:themeFill="accent1" w:themeFillTint="33"/>
          </w:tcPr>
          <w:p w14:paraId="60D282C8"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Pr>
                <w:rFonts w:eastAsia="Times New Roman" w:cs="Arial"/>
                <w:color w:val="000000"/>
                <w:lang w:eastAsia="en-AU"/>
              </w:rPr>
              <w:t>,</w:t>
            </w:r>
            <w:r w:rsidRPr="007714F6">
              <w:rPr>
                <w:rFonts w:eastAsia="Times New Roman" w:cs="Arial"/>
                <w:color w:val="000000"/>
                <w:lang w:eastAsia="en-AU"/>
              </w:rPr>
              <w:t>548</w:t>
            </w:r>
          </w:p>
        </w:tc>
        <w:tc>
          <w:tcPr>
            <w:tcW w:w="380" w:type="pct"/>
            <w:shd w:val="clear" w:color="auto" w:fill="DBE5F1" w:themeFill="accent1" w:themeFillTint="33"/>
          </w:tcPr>
          <w:p w14:paraId="06F01EEE"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(35.1%)</w:t>
            </w:r>
          </w:p>
        </w:tc>
        <w:tc>
          <w:tcPr>
            <w:tcW w:w="625" w:type="pct"/>
            <w:tcBorders>
              <w:left w:val="single" w:sz="4" w:space="0" w:color="auto"/>
            </w:tcBorders>
            <w:shd w:val="clear" w:color="auto" w:fill="DBE5F1" w:themeFill="accent1" w:themeFillTint="33"/>
            <w:noWrap/>
            <w:hideMark/>
          </w:tcPr>
          <w:p w14:paraId="44DF55FF"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Pr>
                <w:rFonts w:eastAsia="Times New Roman" w:cs="Arial"/>
                <w:color w:val="000000"/>
                <w:lang w:eastAsia="en-AU"/>
              </w:rPr>
              <w:t>,</w:t>
            </w:r>
            <w:r w:rsidRPr="007714F6">
              <w:rPr>
                <w:rFonts w:eastAsia="Times New Roman" w:cs="Arial"/>
                <w:color w:val="000000"/>
                <w:lang w:eastAsia="en-AU"/>
              </w:rPr>
              <w:t>254</w:t>
            </w:r>
          </w:p>
        </w:tc>
        <w:tc>
          <w:tcPr>
            <w:tcW w:w="380" w:type="pct"/>
            <w:tcBorders>
              <w:right w:val="single" w:sz="4" w:space="0" w:color="auto"/>
            </w:tcBorders>
            <w:shd w:val="clear" w:color="auto" w:fill="DBE5F1" w:themeFill="accent1" w:themeFillTint="33"/>
          </w:tcPr>
          <w:p w14:paraId="46F2E0B1"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(25.1%)</w:t>
            </w:r>
          </w:p>
        </w:tc>
        <w:tc>
          <w:tcPr>
            <w:tcW w:w="781" w:type="pct"/>
            <w:tcBorders>
              <w:left w:val="single" w:sz="4" w:space="0" w:color="auto"/>
            </w:tcBorders>
            <w:shd w:val="clear" w:color="auto" w:fill="DBE5F1" w:themeFill="accent1" w:themeFillTint="33"/>
            <w:noWrap/>
            <w:hideMark/>
          </w:tcPr>
          <w:p w14:paraId="6EA2C3F5"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Pr>
                <w:rFonts w:eastAsia="Times New Roman" w:cs="Arial"/>
                <w:color w:val="000000"/>
                <w:lang w:eastAsia="en-AU"/>
              </w:rPr>
              <w:t>,</w:t>
            </w:r>
            <w:r w:rsidRPr="007714F6">
              <w:rPr>
                <w:rFonts w:eastAsia="Times New Roman" w:cs="Arial"/>
                <w:color w:val="000000"/>
                <w:lang w:eastAsia="en-AU"/>
              </w:rPr>
              <w:t>294</w:t>
            </w:r>
          </w:p>
        </w:tc>
        <w:tc>
          <w:tcPr>
            <w:tcW w:w="423" w:type="pct"/>
            <w:tcBorders>
              <w:right w:val="single" w:sz="4" w:space="0" w:color="auto"/>
            </w:tcBorders>
            <w:shd w:val="clear" w:color="auto" w:fill="DBE5F1" w:themeFill="accent1" w:themeFillTint="33"/>
            <w:vAlign w:val="center"/>
          </w:tcPr>
          <w:p w14:paraId="75449027" w14:textId="77777777" w:rsidR="00EB4A8B" w:rsidRPr="00EB4A8B" w:rsidRDefault="00EB4A8B"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9.99%</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625B15A3"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12</w:t>
            </w:r>
            <w:r>
              <w:rPr>
                <w:rFonts w:eastAsia="Times New Roman" w:cs="Arial"/>
                <w:b/>
                <w:color w:val="auto"/>
                <w:lang w:eastAsia="en-AU"/>
              </w:rPr>
              <w:t>,</w:t>
            </w:r>
            <w:r w:rsidRPr="007714F6">
              <w:rPr>
                <w:rFonts w:eastAsia="Times New Roman" w:cs="Arial"/>
                <w:b/>
                <w:color w:val="auto"/>
                <w:lang w:eastAsia="en-AU"/>
              </w:rPr>
              <w:t>948</w:t>
            </w:r>
          </w:p>
        </w:tc>
      </w:tr>
      <w:tr w:rsidR="00EB4A8B" w:rsidRPr="00FC5C7E" w14:paraId="0ED5A701"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2555D9AC"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2006</w:t>
            </w:r>
          </w:p>
        </w:tc>
        <w:tc>
          <w:tcPr>
            <w:tcW w:w="725" w:type="pct"/>
            <w:tcBorders>
              <w:left w:val="single" w:sz="4" w:space="0" w:color="auto"/>
            </w:tcBorders>
            <w:noWrap/>
            <w:hideMark/>
          </w:tcPr>
          <w:p w14:paraId="698C54A7"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9</w:t>
            </w:r>
            <w:r>
              <w:rPr>
                <w:rFonts w:eastAsia="Times New Roman" w:cs="Arial"/>
                <w:color w:val="000000"/>
                <w:lang w:eastAsia="en-AU"/>
              </w:rPr>
              <w:t>,</w:t>
            </w:r>
            <w:r w:rsidRPr="007714F6">
              <w:rPr>
                <w:rFonts w:eastAsia="Times New Roman" w:cs="Arial"/>
                <w:color w:val="000000"/>
                <w:lang w:eastAsia="en-AU"/>
              </w:rPr>
              <w:t>243</w:t>
            </w:r>
          </w:p>
        </w:tc>
        <w:tc>
          <w:tcPr>
            <w:tcW w:w="380" w:type="pct"/>
            <w:tcBorders>
              <w:right w:val="single" w:sz="4" w:space="0" w:color="auto"/>
            </w:tcBorders>
          </w:tcPr>
          <w:p w14:paraId="47987B36"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(67.2%)</w:t>
            </w:r>
          </w:p>
        </w:tc>
        <w:tc>
          <w:tcPr>
            <w:tcW w:w="563" w:type="pct"/>
            <w:tcBorders>
              <w:right w:val="nil"/>
            </w:tcBorders>
          </w:tcPr>
          <w:p w14:paraId="3FBB99B7"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Pr>
                <w:rFonts w:eastAsia="Times New Roman" w:cs="Arial"/>
                <w:color w:val="000000"/>
                <w:lang w:eastAsia="en-AU"/>
              </w:rPr>
              <w:t>,</w:t>
            </w:r>
            <w:r w:rsidRPr="007714F6">
              <w:rPr>
                <w:rFonts w:eastAsia="Times New Roman" w:cs="Arial"/>
                <w:color w:val="000000"/>
                <w:lang w:eastAsia="en-AU"/>
              </w:rPr>
              <w:t>513</w:t>
            </w:r>
          </w:p>
        </w:tc>
        <w:tc>
          <w:tcPr>
            <w:tcW w:w="380" w:type="pct"/>
            <w:tcBorders>
              <w:left w:val="nil"/>
            </w:tcBorders>
          </w:tcPr>
          <w:p w14:paraId="1B04C5D1"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(32.8%)</w:t>
            </w:r>
          </w:p>
        </w:tc>
        <w:tc>
          <w:tcPr>
            <w:tcW w:w="625" w:type="pct"/>
            <w:tcBorders>
              <w:left w:val="single" w:sz="4" w:space="0" w:color="auto"/>
            </w:tcBorders>
            <w:noWrap/>
            <w:hideMark/>
          </w:tcPr>
          <w:p w14:paraId="2125AF94"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Pr>
                <w:rFonts w:eastAsia="Times New Roman" w:cs="Arial"/>
                <w:color w:val="000000"/>
                <w:lang w:eastAsia="en-AU"/>
              </w:rPr>
              <w:t>,</w:t>
            </w:r>
            <w:r w:rsidRPr="007714F6">
              <w:rPr>
                <w:rFonts w:eastAsia="Times New Roman" w:cs="Arial"/>
                <w:color w:val="000000"/>
                <w:lang w:eastAsia="en-AU"/>
              </w:rPr>
              <w:t>163</w:t>
            </w:r>
          </w:p>
        </w:tc>
        <w:tc>
          <w:tcPr>
            <w:tcW w:w="380" w:type="pct"/>
            <w:tcBorders>
              <w:right w:val="single" w:sz="4" w:space="0" w:color="auto"/>
            </w:tcBorders>
          </w:tcPr>
          <w:p w14:paraId="3DCD93A3"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(23%)</w:t>
            </w:r>
          </w:p>
        </w:tc>
        <w:tc>
          <w:tcPr>
            <w:tcW w:w="781" w:type="pct"/>
            <w:tcBorders>
              <w:left w:val="single" w:sz="4" w:space="0" w:color="auto"/>
              <w:right w:val="nil"/>
            </w:tcBorders>
            <w:noWrap/>
            <w:hideMark/>
          </w:tcPr>
          <w:p w14:paraId="12A5AA03"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Pr>
                <w:rFonts w:eastAsia="Times New Roman" w:cs="Arial"/>
                <w:color w:val="000000"/>
                <w:lang w:eastAsia="en-AU"/>
              </w:rPr>
              <w:t>,</w:t>
            </w:r>
            <w:r w:rsidRPr="007714F6">
              <w:rPr>
                <w:rFonts w:eastAsia="Times New Roman" w:cs="Arial"/>
                <w:color w:val="000000"/>
                <w:lang w:eastAsia="en-AU"/>
              </w:rPr>
              <w:t>350</w:t>
            </w:r>
          </w:p>
        </w:tc>
        <w:tc>
          <w:tcPr>
            <w:tcW w:w="423" w:type="pct"/>
            <w:tcBorders>
              <w:left w:val="nil"/>
              <w:right w:val="single" w:sz="4" w:space="0" w:color="auto"/>
            </w:tcBorders>
            <w:vAlign w:val="center"/>
          </w:tcPr>
          <w:p w14:paraId="7877E7BD" w14:textId="77777777" w:rsidR="00EB4A8B" w:rsidRPr="00EB4A8B" w:rsidRDefault="00EB4A8B"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9.81%</w:t>
            </w:r>
            <w:r>
              <w:rPr>
                <w:rFonts w:ascii="Calibri" w:hAnsi="Calibri"/>
                <w:color w:val="auto"/>
              </w:rPr>
              <w:t>0</w:t>
            </w:r>
          </w:p>
        </w:tc>
        <w:tc>
          <w:tcPr>
            <w:tcW w:w="395" w:type="pct"/>
            <w:tcBorders>
              <w:left w:val="single" w:sz="4" w:space="0" w:color="auto"/>
              <w:right w:val="single" w:sz="4" w:space="0" w:color="auto"/>
            </w:tcBorders>
          </w:tcPr>
          <w:p w14:paraId="2B0235C6"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13</w:t>
            </w:r>
            <w:r>
              <w:rPr>
                <w:rFonts w:eastAsia="Times New Roman" w:cs="Arial"/>
                <w:b/>
                <w:color w:val="auto"/>
                <w:lang w:eastAsia="en-AU"/>
              </w:rPr>
              <w:t>,</w:t>
            </w:r>
            <w:r w:rsidRPr="007714F6">
              <w:rPr>
                <w:rFonts w:eastAsia="Times New Roman" w:cs="Arial"/>
                <w:b/>
                <w:color w:val="auto"/>
                <w:lang w:eastAsia="en-AU"/>
              </w:rPr>
              <w:t>756</w:t>
            </w:r>
          </w:p>
        </w:tc>
      </w:tr>
      <w:tr w:rsidR="00EB4A8B" w:rsidRPr="00FC5C7E" w14:paraId="1A82B431"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35747C13"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2007</w:t>
            </w:r>
          </w:p>
        </w:tc>
        <w:tc>
          <w:tcPr>
            <w:tcW w:w="725" w:type="pct"/>
            <w:tcBorders>
              <w:left w:val="single" w:sz="4" w:space="0" w:color="auto"/>
            </w:tcBorders>
            <w:shd w:val="clear" w:color="auto" w:fill="DBE5F1" w:themeFill="accent1" w:themeFillTint="33"/>
            <w:noWrap/>
            <w:hideMark/>
          </w:tcPr>
          <w:p w14:paraId="50C8ACE8"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9</w:t>
            </w:r>
            <w:r>
              <w:rPr>
                <w:rFonts w:eastAsia="Times New Roman" w:cs="Arial"/>
                <w:color w:val="000000"/>
                <w:lang w:eastAsia="en-AU"/>
              </w:rPr>
              <w:t>,</w:t>
            </w:r>
            <w:r w:rsidRPr="007714F6">
              <w:rPr>
                <w:rFonts w:eastAsia="Times New Roman" w:cs="Arial"/>
                <w:color w:val="000000"/>
                <w:lang w:eastAsia="en-AU"/>
              </w:rPr>
              <w:t>785</w:t>
            </w:r>
          </w:p>
        </w:tc>
        <w:tc>
          <w:tcPr>
            <w:tcW w:w="380" w:type="pct"/>
            <w:tcBorders>
              <w:right w:val="single" w:sz="4" w:space="0" w:color="auto"/>
            </w:tcBorders>
            <w:shd w:val="clear" w:color="auto" w:fill="DBE5F1" w:themeFill="accent1" w:themeFillTint="33"/>
          </w:tcPr>
          <w:p w14:paraId="3D9E2F7A"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(67.9%)</w:t>
            </w:r>
          </w:p>
        </w:tc>
        <w:tc>
          <w:tcPr>
            <w:tcW w:w="563" w:type="pct"/>
            <w:shd w:val="clear" w:color="auto" w:fill="DBE5F1" w:themeFill="accent1" w:themeFillTint="33"/>
          </w:tcPr>
          <w:p w14:paraId="78902413"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Pr>
                <w:rFonts w:eastAsia="Times New Roman" w:cs="Arial"/>
                <w:color w:val="000000"/>
                <w:lang w:eastAsia="en-AU"/>
              </w:rPr>
              <w:t>,</w:t>
            </w:r>
            <w:r w:rsidRPr="007714F6">
              <w:rPr>
                <w:rFonts w:eastAsia="Times New Roman" w:cs="Arial"/>
                <w:color w:val="000000"/>
                <w:lang w:eastAsia="en-AU"/>
              </w:rPr>
              <w:t>620</w:t>
            </w:r>
          </w:p>
        </w:tc>
        <w:tc>
          <w:tcPr>
            <w:tcW w:w="380" w:type="pct"/>
            <w:shd w:val="clear" w:color="auto" w:fill="DBE5F1" w:themeFill="accent1" w:themeFillTint="33"/>
          </w:tcPr>
          <w:p w14:paraId="4CC4D50D"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(32.1%)</w:t>
            </w:r>
          </w:p>
        </w:tc>
        <w:tc>
          <w:tcPr>
            <w:tcW w:w="625" w:type="pct"/>
            <w:tcBorders>
              <w:left w:val="single" w:sz="4" w:space="0" w:color="auto"/>
            </w:tcBorders>
            <w:shd w:val="clear" w:color="auto" w:fill="DBE5F1" w:themeFill="accent1" w:themeFillTint="33"/>
            <w:noWrap/>
            <w:hideMark/>
          </w:tcPr>
          <w:p w14:paraId="362E4025"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Pr>
                <w:rFonts w:eastAsia="Times New Roman" w:cs="Arial"/>
                <w:color w:val="000000"/>
                <w:lang w:eastAsia="en-AU"/>
              </w:rPr>
              <w:t>,</w:t>
            </w:r>
            <w:r w:rsidRPr="007714F6">
              <w:rPr>
                <w:rFonts w:eastAsia="Times New Roman" w:cs="Arial"/>
                <w:color w:val="000000"/>
                <w:lang w:eastAsia="en-AU"/>
              </w:rPr>
              <w:t>171</w:t>
            </w:r>
          </w:p>
        </w:tc>
        <w:tc>
          <w:tcPr>
            <w:tcW w:w="380" w:type="pct"/>
            <w:tcBorders>
              <w:right w:val="single" w:sz="4" w:space="0" w:color="auto"/>
            </w:tcBorders>
            <w:shd w:val="clear" w:color="auto" w:fill="DBE5F1" w:themeFill="accent1" w:themeFillTint="33"/>
          </w:tcPr>
          <w:p w14:paraId="275F9EEA"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(22%)</w:t>
            </w:r>
          </w:p>
        </w:tc>
        <w:tc>
          <w:tcPr>
            <w:tcW w:w="781" w:type="pct"/>
            <w:tcBorders>
              <w:left w:val="single" w:sz="4" w:space="0" w:color="auto"/>
            </w:tcBorders>
            <w:shd w:val="clear" w:color="auto" w:fill="DBE5F1" w:themeFill="accent1" w:themeFillTint="33"/>
            <w:noWrap/>
            <w:hideMark/>
          </w:tcPr>
          <w:p w14:paraId="1A6037D3"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Pr>
                <w:rFonts w:eastAsia="Times New Roman" w:cs="Arial"/>
                <w:color w:val="000000"/>
                <w:lang w:eastAsia="en-AU"/>
              </w:rPr>
              <w:t>,</w:t>
            </w:r>
            <w:r w:rsidRPr="007714F6">
              <w:rPr>
                <w:rFonts w:eastAsia="Times New Roman" w:cs="Arial"/>
                <w:color w:val="000000"/>
                <w:lang w:eastAsia="en-AU"/>
              </w:rPr>
              <w:t>449</w:t>
            </w:r>
          </w:p>
        </w:tc>
        <w:tc>
          <w:tcPr>
            <w:tcW w:w="423" w:type="pct"/>
            <w:tcBorders>
              <w:right w:val="single" w:sz="4" w:space="0" w:color="auto"/>
            </w:tcBorders>
            <w:shd w:val="clear" w:color="auto" w:fill="DBE5F1" w:themeFill="accent1" w:themeFillTint="33"/>
            <w:vAlign w:val="center"/>
          </w:tcPr>
          <w:p w14:paraId="784A51B2" w14:textId="77777777" w:rsidR="00EB4A8B" w:rsidRPr="00EB4A8B" w:rsidRDefault="00EB4A8B"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10.06%</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562D14C5"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14</w:t>
            </w:r>
            <w:r>
              <w:rPr>
                <w:rFonts w:eastAsia="Times New Roman" w:cs="Arial"/>
                <w:b/>
                <w:color w:val="auto"/>
                <w:lang w:eastAsia="en-AU"/>
              </w:rPr>
              <w:t>,</w:t>
            </w:r>
            <w:r w:rsidRPr="007714F6">
              <w:rPr>
                <w:rFonts w:eastAsia="Times New Roman" w:cs="Arial"/>
                <w:b/>
                <w:color w:val="auto"/>
                <w:lang w:eastAsia="en-AU"/>
              </w:rPr>
              <w:t>405</w:t>
            </w:r>
          </w:p>
        </w:tc>
      </w:tr>
      <w:tr w:rsidR="00EB4A8B" w:rsidRPr="00FC5C7E" w14:paraId="1F5816BC"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2347817C"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2008</w:t>
            </w:r>
          </w:p>
        </w:tc>
        <w:tc>
          <w:tcPr>
            <w:tcW w:w="725" w:type="pct"/>
            <w:tcBorders>
              <w:left w:val="single" w:sz="4" w:space="0" w:color="auto"/>
            </w:tcBorders>
            <w:noWrap/>
            <w:hideMark/>
          </w:tcPr>
          <w:p w14:paraId="093F490B"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11</w:t>
            </w:r>
            <w:r>
              <w:rPr>
                <w:rFonts w:eastAsia="Times New Roman" w:cs="Arial"/>
                <w:color w:val="000000"/>
                <w:lang w:eastAsia="en-AU"/>
              </w:rPr>
              <w:t>,</w:t>
            </w:r>
            <w:r w:rsidRPr="007714F6">
              <w:rPr>
                <w:rFonts w:eastAsia="Times New Roman" w:cs="Arial"/>
                <w:color w:val="000000"/>
                <w:lang w:eastAsia="en-AU"/>
              </w:rPr>
              <w:t>801</w:t>
            </w:r>
          </w:p>
        </w:tc>
        <w:tc>
          <w:tcPr>
            <w:tcW w:w="380" w:type="pct"/>
            <w:tcBorders>
              <w:right w:val="single" w:sz="4" w:space="0" w:color="auto"/>
            </w:tcBorders>
          </w:tcPr>
          <w:p w14:paraId="5BE1DA0D"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(69.8%)</w:t>
            </w:r>
          </w:p>
        </w:tc>
        <w:tc>
          <w:tcPr>
            <w:tcW w:w="563" w:type="pct"/>
            <w:tcBorders>
              <w:right w:val="nil"/>
            </w:tcBorders>
          </w:tcPr>
          <w:p w14:paraId="02770143"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5</w:t>
            </w:r>
            <w:r>
              <w:rPr>
                <w:rFonts w:eastAsia="Times New Roman" w:cs="Arial"/>
                <w:color w:val="000000"/>
                <w:lang w:eastAsia="en-AU"/>
              </w:rPr>
              <w:t>,</w:t>
            </w:r>
            <w:r w:rsidRPr="007714F6">
              <w:rPr>
                <w:rFonts w:eastAsia="Times New Roman" w:cs="Arial"/>
                <w:color w:val="000000"/>
                <w:lang w:eastAsia="en-AU"/>
              </w:rPr>
              <w:t>117</w:t>
            </w:r>
          </w:p>
        </w:tc>
        <w:tc>
          <w:tcPr>
            <w:tcW w:w="380" w:type="pct"/>
            <w:tcBorders>
              <w:left w:val="nil"/>
            </w:tcBorders>
          </w:tcPr>
          <w:p w14:paraId="2A782755"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(30.2%)</w:t>
            </w:r>
          </w:p>
        </w:tc>
        <w:tc>
          <w:tcPr>
            <w:tcW w:w="625" w:type="pct"/>
            <w:tcBorders>
              <w:left w:val="single" w:sz="4" w:space="0" w:color="auto"/>
            </w:tcBorders>
            <w:noWrap/>
            <w:hideMark/>
          </w:tcPr>
          <w:p w14:paraId="5E89A000"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Pr>
                <w:rFonts w:eastAsia="Times New Roman" w:cs="Arial"/>
                <w:color w:val="000000"/>
                <w:lang w:eastAsia="en-AU"/>
              </w:rPr>
              <w:t>,</w:t>
            </w:r>
            <w:r w:rsidRPr="007714F6">
              <w:rPr>
                <w:rFonts w:eastAsia="Times New Roman" w:cs="Arial"/>
                <w:color w:val="000000"/>
                <w:lang w:eastAsia="en-AU"/>
              </w:rPr>
              <w:t>306</w:t>
            </w:r>
          </w:p>
        </w:tc>
        <w:tc>
          <w:tcPr>
            <w:tcW w:w="380" w:type="pct"/>
            <w:tcBorders>
              <w:right w:val="single" w:sz="4" w:space="0" w:color="auto"/>
            </w:tcBorders>
          </w:tcPr>
          <w:p w14:paraId="60CC12B7"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(19.5%)</w:t>
            </w:r>
          </w:p>
        </w:tc>
        <w:tc>
          <w:tcPr>
            <w:tcW w:w="781" w:type="pct"/>
            <w:tcBorders>
              <w:left w:val="single" w:sz="4" w:space="0" w:color="auto"/>
              <w:right w:val="nil"/>
            </w:tcBorders>
            <w:noWrap/>
            <w:hideMark/>
          </w:tcPr>
          <w:p w14:paraId="0FF6D3D8"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w:t>
            </w:r>
            <w:r>
              <w:rPr>
                <w:rFonts w:eastAsia="Times New Roman" w:cs="Arial"/>
                <w:color w:val="000000"/>
                <w:lang w:eastAsia="en-AU"/>
              </w:rPr>
              <w:t>,</w:t>
            </w:r>
            <w:r w:rsidRPr="007714F6">
              <w:rPr>
                <w:rFonts w:eastAsia="Times New Roman" w:cs="Arial"/>
                <w:color w:val="000000"/>
                <w:lang w:eastAsia="en-AU"/>
              </w:rPr>
              <w:t>811</w:t>
            </w:r>
          </w:p>
        </w:tc>
        <w:tc>
          <w:tcPr>
            <w:tcW w:w="423" w:type="pct"/>
            <w:tcBorders>
              <w:left w:val="nil"/>
              <w:right w:val="single" w:sz="4" w:space="0" w:color="auto"/>
            </w:tcBorders>
            <w:vAlign w:val="center"/>
          </w:tcPr>
          <w:p w14:paraId="0B29C563" w14:textId="77777777" w:rsidR="00EB4A8B" w:rsidRPr="00EB4A8B" w:rsidRDefault="00EB4A8B"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10.70%</w:t>
            </w:r>
            <w:r>
              <w:rPr>
                <w:rFonts w:ascii="Calibri" w:hAnsi="Calibri"/>
                <w:color w:val="auto"/>
              </w:rPr>
              <w:t>)</w:t>
            </w:r>
          </w:p>
        </w:tc>
        <w:tc>
          <w:tcPr>
            <w:tcW w:w="395" w:type="pct"/>
            <w:tcBorders>
              <w:left w:val="single" w:sz="4" w:space="0" w:color="auto"/>
              <w:right w:val="single" w:sz="4" w:space="0" w:color="auto"/>
            </w:tcBorders>
          </w:tcPr>
          <w:p w14:paraId="5C86181E"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16</w:t>
            </w:r>
            <w:r>
              <w:rPr>
                <w:rFonts w:eastAsia="Times New Roman" w:cs="Arial"/>
                <w:b/>
                <w:color w:val="auto"/>
                <w:lang w:eastAsia="en-AU"/>
              </w:rPr>
              <w:t>,</w:t>
            </w:r>
            <w:r w:rsidRPr="007714F6">
              <w:rPr>
                <w:rFonts w:eastAsia="Times New Roman" w:cs="Arial"/>
                <w:b/>
                <w:color w:val="auto"/>
                <w:lang w:eastAsia="en-AU"/>
              </w:rPr>
              <w:t>918</w:t>
            </w:r>
          </w:p>
        </w:tc>
      </w:tr>
      <w:tr w:rsidR="00EB4A8B" w:rsidRPr="00FC5C7E" w14:paraId="01239F35"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116CE9FD"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2009</w:t>
            </w:r>
          </w:p>
        </w:tc>
        <w:tc>
          <w:tcPr>
            <w:tcW w:w="725" w:type="pct"/>
            <w:tcBorders>
              <w:left w:val="single" w:sz="4" w:space="0" w:color="auto"/>
            </w:tcBorders>
            <w:shd w:val="clear" w:color="auto" w:fill="DBE5F1" w:themeFill="accent1" w:themeFillTint="33"/>
            <w:noWrap/>
            <w:hideMark/>
          </w:tcPr>
          <w:p w14:paraId="1A595186"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14</w:t>
            </w:r>
            <w:r>
              <w:rPr>
                <w:rFonts w:eastAsia="Times New Roman" w:cs="Arial"/>
                <w:color w:val="000000"/>
                <w:lang w:eastAsia="en-AU"/>
              </w:rPr>
              <w:t>,</w:t>
            </w:r>
            <w:r w:rsidRPr="007714F6">
              <w:rPr>
                <w:rFonts w:eastAsia="Times New Roman" w:cs="Arial"/>
                <w:color w:val="000000"/>
                <w:lang w:eastAsia="en-AU"/>
              </w:rPr>
              <w:t>043</w:t>
            </w:r>
          </w:p>
        </w:tc>
        <w:tc>
          <w:tcPr>
            <w:tcW w:w="380" w:type="pct"/>
            <w:tcBorders>
              <w:right w:val="single" w:sz="4" w:space="0" w:color="auto"/>
            </w:tcBorders>
            <w:shd w:val="clear" w:color="auto" w:fill="DBE5F1" w:themeFill="accent1" w:themeFillTint="33"/>
          </w:tcPr>
          <w:p w14:paraId="6F994783"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(72%)</w:t>
            </w:r>
          </w:p>
        </w:tc>
        <w:tc>
          <w:tcPr>
            <w:tcW w:w="563" w:type="pct"/>
            <w:shd w:val="clear" w:color="auto" w:fill="DBE5F1" w:themeFill="accent1" w:themeFillTint="33"/>
          </w:tcPr>
          <w:p w14:paraId="66595184"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5</w:t>
            </w:r>
            <w:r>
              <w:rPr>
                <w:rFonts w:eastAsia="Times New Roman" w:cs="Arial"/>
                <w:color w:val="000000"/>
                <w:lang w:eastAsia="en-AU"/>
              </w:rPr>
              <w:t>,</w:t>
            </w:r>
            <w:r w:rsidRPr="007714F6">
              <w:rPr>
                <w:rFonts w:eastAsia="Times New Roman" w:cs="Arial"/>
                <w:color w:val="000000"/>
                <w:lang w:eastAsia="en-AU"/>
              </w:rPr>
              <w:t>460</w:t>
            </w:r>
          </w:p>
        </w:tc>
        <w:tc>
          <w:tcPr>
            <w:tcW w:w="380" w:type="pct"/>
            <w:shd w:val="clear" w:color="auto" w:fill="DBE5F1" w:themeFill="accent1" w:themeFillTint="33"/>
          </w:tcPr>
          <w:p w14:paraId="0B992892"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(28%)</w:t>
            </w:r>
          </w:p>
        </w:tc>
        <w:tc>
          <w:tcPr>
            <w:tcW w:w="625" w:type="pct"/>
            <w:tcBorders>
              <w:left w:val="single" w:sz="4" w:space="0" w:color="auto"/>
            </w:tcBorders>
            <w:shd w:val="clear" w:color="auto" w:fill="DBE5F1" w:themeFill="accent1" w:themeFillTint="33"/>
            <w:noWrap/>
            <w:hideMark/>
          </w:tcPr>
          <w:p w14:paraId="0DB626EF"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Pr>
                <w:rFonts w:eastAsia="Times New Roman" w:cs="Arial"/>
                <w:color w:val="000000"/>
                <w:lang w:eastAsia="en-AU"/>
              </w:rPr>
              <w:t>,</w:t>
            </w:r>
            <w:r w:rsidRPr="007714F6">
              <w:rPr>
                <w:rFonts w:eastAsia="Times New Roman" w:cs="Arial"/>
                <w:color w:val="000000"/>
                <w:lang w:eastAsia="en-AU"/>
              </w:rPr>
              <w:t>364</w:t>
            </w:r>
          </w:p>
        </w:tc>
        <w:tc>
          <w:tcPr>
            <w:tcW w:w="380" w:type="pct"/>
            <w:tcBorders>
              <w:right w:val="single" w:sz="4" w:space="0" w:color="auto"/>
            </w:tcBorders>
            <w:shd w:val="clear" w:color="auto" w:fill="DBE5F1" w:themeFill="accent1" w:themeFillTint="33"/>
          </w:tcPr>
          <w:p w14:paraId="200053A7"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(17.2%)</w:t>
            </w:r>
          </w:p>
        </w:tc>
        <w:tc>
          <w:tcPr>
            <w:tcW w:w="781" w:type="pct"/>
            <w:tcBorders>
              <w:left w:val="single" w:sz="4" w:space="0" w:color="auto"/>
            </w:tcBorders>
            <w:shd w:val="clear" w:color="auto" w:fill="DBE5F1" w:themeFill="accent1" w:themeFillTint="33"/>
            <w:noWrap/>
            <w:hideMark/>
          </w:tcPr>
          <w:p w14:paraId="4795E351"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w:t>
            </w:r>
            <w:r>
              <w:rPr>
                <w:rFonts w:eastAsia="Times New Roman" w:cs="Arial"/>
                <w:color w:val="000000"/>
                <w:lang w:eastAsia="en-AU"/>
              </w:rPr>
              <w:t>,</w:t>
            </w:r>
            <w:r w:rsidRPr="007714F6">
              <w:rPr>
                <w:rFonts w:eastAsia="Times New Roman" w:cs="Arial"/>
                <w:color w:val="000000"/>
                <w:lang w:eastAsia="en-AU"/>
              </w:rPr>
              <w:t>096</w:t>
            </w:r>
          </w:p>
        </w:tc>
        <w:tc>
          <w:tcPr>
            <w:tcW w:w="423" w:type="pct"/>
            <w:tcBorders>
              <w:right w:val="single" w:sz="4" w:space="0" w:color="auto"/>
            </w:tcBorders>
            <w:shd w:val="clear" w:color="auto" w:fill="DBE5F1" w:themeFill="accent1" w:themeFillTint="33"/>
            <w:vAlign w:val="center"/>
          </w:tcPr>
          <w:p w14:paraId="5C3E765D" w14:textId="77777777" w:rsidR="00EB4A8B" w:rsidRPr="00EB4A8B" w:rsidRDefault="00EB4A8B"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10.75%</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634FA2C1"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19</w:t>
            </w:r>
            <w:r>
              <w:rPr>
                <w:rFonts w:eastAsia="Times New Roman" w:cs="Arial"/>
                <w:b/>
                <w:color w:val="auto"/>
                <w:lang w:eastAsia="en-AU"/>
              </w:rPr>
              <w:t>,</w:t>
            </w:r>
            <w:r w:rsidRPr="007714F6">
              <w:rPr>
                <w:rFonts w:eastAsia="Times New Roman" w:cs="Arial"/>
                <w:b/>
                <w:color w:val="auto"/>
                <w:lang w:eastAsia="en-AU"/>
              </w:rPr>
              <w:t>503</w:t>
            </w:r>
          </w:p>
        </w:tc>
      </w:tr>
      <w:tr w:rsidR="00EB4A8B" w:rsidRPr="00FC5C7E" w14:paraId="3B6CBA6B"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4E9F669B"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2010</w:t>
            </w:r>
          </w:p>
        </w:tc>
        <w:tc>
          <w:tcPr>
            <w:tcW w:w="725" w:type="pct"/>
            <w:tcBorders>
              <w:left w:val="single" w:sz="4" w:space="0" w:color="auto"/>
            </w:tcBorders>
            <w:noWrap/>
            <w:hideMark/>
          </w:tcPr>
          <w:p w14:paraId="5430248C"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17</w:t>
            </w:r>
            <w:r>
              <w:rPr>
                <w:rFonts w:eastAsia="Times New Roman" w:cs="Arial"/>
                <w:color w:val="000000"/>
                <w:lang w:eastAsia="en-AU"/>
              </w:rPr>
              <w:t>,</w:t>
            </w:r>
            <w:r w:rsidRPr="007714F6">
              <w:rPr>
                <w:rFonts w:eastAsia="Times New Roman" w:cs="Arial"/>
                <w:color w:val="000000"/>
                <w:lang w:eastAsia="en-AU"/>
              </w:rPr>
              <w:t>385</w:t>
            </w:r>
          </w:p>
        </w:tc>
        <w:tc>
          <w:tcPr>
            <w:tcW w:w="380" w:type="pct"/>
            <w:tcBorders>
              <w:right w:val="single" w:sz="4" w:space="0" w:color="auto"/>
            </w:tcBorders>
          </w:tcPr>
          <w:p w14:paraId="55F6E4CD"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(70.2%)</w:t>
            </w:r>
          </w:p>
        </w:tc>
        <w:tc>
          <w:tcPr>
            <w:tcW w:w="563" w:type="pct"/>
            <w:tcBorders>
              <w:right w:val="nil"/>
            </w:tcBorders>
          </w:tcPr>
          <w:p w14:paraId="7BB4736C"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w:t>
            </w:r>
            <w:r>
              <w:rPr>
                <w:rFonts w:eastAsia="Times New Roman" w:cs="Arial"/>
                <w:color w:val="000000"/>
                <w:lang w:eastAsia="en-AU"/>
              </w:rPr>
              <w:t>,</w:t>
            </w:r>
            <w:r w:rsidRPr="007714F6">
              <w:rPr>
                <w:rFonts w:eastAsia="Times New Roman" w:cs="Arial"/>
                <w:color w:val="000000"/>
                <w:lang w:eastAsia="en-AU"/>
              </w:rPr>
              <w:t>374</w:t>
            </w:r>
          </w:p>
        </w:tc>
        <w:tc>
          <w:tcPr>
            <w:tcW w:w="380" w:type="pct"/>
            <w:tcBorders>
              <w:left w:val="nil"/>
            </w:tcBorders>
          </w:tcPr>
          <w:p w14:paraId="54BCE61A"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(29.8%)</w:t>
            </w:r>
          </w:p>
        </w:tc>
        <w:tc>
          <w:tcPr>
            <w:tcW w:w="625" w:type="pct"/>
            <w:tcBorders>
              <w:left w:val="single" w:sz="4" w:space="0" w:color="auto"/>
            </w:tcBorders>
            <w:noWrap/>
            <w:hideMark/>
          </w:tcPr>
          <w:p w14:paraId="6DD454A0"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Pr>
                <w:rFonts w:eastAsia="Times New Roman" w:cs="Arial"/>
                <w:color w:val="000000"/>
                <w:lang w:eastAsia="en-AU"/>
              </w:rPr>
              <w:t>,</w:t>
            </w:r>
            <w:r w:rsidRPr="007714F6">
              <w:rPr>
                <w:rFonts w:eastAsia="Times New Roman" w:cs="Arial"/>
                <w:color w:val="000000"/>
                <w:lang w:eastAsia="en-AU"/>
              </w:rPr>
              <w:t>013</w:t>
            </w:r>
          </w:p>
        </w:tc>
        <w:tc>
          <w:tcPr>
            <w:tcW w:w="380" w:type="pct"/>
            <w:tcBorders>
              <w:right w:val="single" w:sz="4" w:space="0" w:color="auto"/>
            </w:tcBorders>
          </w:tcPr>
          <w:p w14:paraId="05BF6E85"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(16.2%)</w:t>
            </w:r>
          </w:p>
        </w:tc>
        <w:tc>
          <w:tcPr>
            <w:tcW w:w="781" w:type="pct"/>
            <w:tcBorders>
              <w:left w:val="single" w:sz="4" w:space="0" w:color="auto"/>
              <w:right w:val="nil"/>
            </w:tcBorders>
            <w:noWrap/>
            <w:hideMark/>
          </w:tcPr>
          <w:p w14:paraId="1BFFA97A"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Pr>
                <w:rFonts w:eastAsia="Times New Roman" w:cs="Arial"/>
                <w:color w:val="000000"/>
                <w:lang w:eastAsia="en-AU"/>
              </w:rPr>
              <w:t>,</w:t>
            </w:r>
            <w:r w:rsidRPr="007714F6">
              <w:rPr>
                <w:rFonts w:eastAsia="Times New Roman" w:cs="Arial"/>
                <w:color w:val="000000"/>
                <w:lang w:eastAsia="en-AU"/>
              </w:rPr>
              <w:t>361</w:t>
            </w:r>
          </w:p>
        </w:tc>
        <w:tc>
          <w:tcPr>
            <w:tcW w:w="423" w:type="pct"/>
            <w:tcBorders>
              <w:left w:val="nil"/>
              <w:right w:val="single" w:sz="4" w:space="0" w:color="auto"/>
            </w:tcBorders>
            <w:vAlign w:val="center"/>
          </w:tcPr>
          <w:p w14:paraId="3A1579E6" w14:textId="77777777" w:rsidR="00EB4A8B" w:rsidRPr="00EB4A8B" w:rsidRDefault="00EB4A8B"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13.57%</w:t>
            </w:r>
            <w:r>
              <w:rPr>
                <w:rFonts w:ascii="Calibri" w:hAnsi="Calibri"/>
                <w:color w:val="auto"/>
              </w:rPr>
              <w:t>)</w:t>
            </w:r>
          </w:p>
        </w:tc>
        <w:tc>
          <w:tcPr>
            <w:tcW w:w="395" w:type="pct"/>
            <w:tcBorders>
              <w:left w:val="single" w:sz="4" w:space="0" w:color="auto"/>
              <w:right w:val="single" w:sz="4" w:space="0" w:color="auto"/>
            </w:tcBorders>
          </w:tcPr>
          <w:p w14:paraId="64F23875"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24</w:t>
            </w:r>
            <w:r>
              <w:rPr>
                <w:rFonts w:eastAsia="Times New Roman" w:cs="Arial"/>
                <w:b/>
                <w:color w:val="auto"/>
                <w:lang w:eastAsia="en-AU"/>
              </w:rPr>
              <w:t>,</w:t>
            </w:r>
            <w:r w:rsidRPr="007714F6">
              <w:rPr>
                <w:rFonts w:eastAsia="Times New Roman" w:cs="Arial"/>
                <w:b/>
                <w:color w:val="auto"/>
                <w:lang w:eastAsia="en-AU"/>
              </w:rPr>
              <w:t>759</w:t>
            </w:r>
          </w:p>
        </w:tc>
      </w:tr>
      <w:tr w:rsidR="00EB4A8B" w:rsidRPr="00FC5C7E" w14:paraId="1A023690"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55387383"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2011</w:t>
            </w:r>
          </w:p>
        </w:tc>
        <w:tc>
          <w:tcPr>
            <w:tcW w:w="725" w:type="pct"/>
            <w:tcBorders>
              <w:left w:val="single" w:sz="4" w:space="0" w:color="auto"/>
            </w:tcBorders>
            <w:shd w:val="clear" w:color="auto" w:fill="DBE5F1" w:themeFill="accent1" w:themeFillTint="33"/>
            <w:noWrap/>
            <w:hideMark/>
          </w:tcPr>
          <w:p w14:paraId="71B43DDB"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20</w:t>
            </w:r>
            <w:r>
              <w:rPr>
                <w:rFonts w:eastAsia="Times New Roman" w:cs="Arial"/>
                <w:color w:val="000000"/>
                <w:lang w:eastAsia="en-AU"/>
              </w:rPr>
              <w:t>,</w:t>
            </w:r>
            <w:r w:rsidRPr="007714F6">
              <w:rPr>
                <w:rFonts w:eastAsia="Times New Roman" w:cs="Arial"/>
                <w:color w:val="000000"/>
                <w:lang w:eastAsia="en-AU"/>
              </w:rPr>
              <w:t>484</w:t>
            </w:r>
          </w:p>
        </w:tc>
        <w:tc>
          <w:tcPr>
            <w:tcW w:w="380" w:type="pct"/>
            <w:tcBorders>
              <w:right w:val="single" w:sz="4" w:space="0" w:color="auto"/>
            </w:tcBorders>
            <w:shd w:val="clear" w:color="auto" w:fill="DBE5F1" w:themeFill="accent1" w:themeFillTint="33"/>
          </w:tcPr>
          <w:p w14:paraId="2AB5EF86"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(73.5%)</w:t>
            </w:r>
          </w:p>
        </w:tc>
        <w:tc>
          <w:tcPr>
            <w:tcW w:w="563" w:type="pct"/>
            <w:shd w:val="clear" w:color="auto" w:fill="DBE5F1" w:themeFill="accent1" w:themeFillTint="33"/>
          </w:tcPr>
          <w:p w14:paraId="20B2AFFD"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w:t>
            </w:r>
            <w:r>
              <w:rPr>
                <w:rFonts w:eastAsia="Times New Roman" w:cs="Arial"/>
                <w:color w:val="000000"/>
                <w:lang w:eastAsia="en-AU"/>
              </w:rPr>
              <w:t>,</w:t>
            </w:r>
            <w:r w:rsidRPr="007714F6">
              <w:rPr>
                <w:rFonts w:eastAsia="Times New Roman" w:cs="Arial"/>
                <w:color w:val="000000"/>
                <w:lang w:eastAsia="en-AU"/>
              </w:rPr>
              <w:t>395</w:t>
            </w:r>
          </w:p>
        </w:tc>
        <w:tc>
          <w:tcPr>
            <w:tcW w:w="380" w:type="pct"/>
            <w:shd w:val="clear" w:color="auto" w:fill="DBE5F1" w:themeFill="accent1" w:themeFillTint="33"/>
          </w:tcPr>
          <w:p w14:paraId="02163B41"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(26.5%)</w:t>
            </w:r>
          </w:p>
        </w:tc>
        <w:tc>
          <w:tcPr>
            <w:tcW w:w="625" w:type="pct"/>
            <w:tcBorders>
              <w:left w:val="single" w:sz="4" w:space="0" w:color="auto"/>
            </w:tcBorders>
            <w:shd w:val="clear" w:color="auto" w:fill="DBE5F1" w:themeFill="accent1" w:themeFillTint="33"/>
            <w:noWrap/>
            <w:hideMark/>
          </w:tcPr>
          <w:p w14:paraId="29EBE4E3"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4</w:t>
            </w:r>
            <w:r>
              <w:rPr>
                <w:rFonts w:eastAsia="Times New Roman" w:cs="Arial"/>
                <w:color w:val="000000"/>
                <w:lang w:eastAsia="en-AU"/>
              </w:rPr>
              <w:t>,</w:t>
            </w:r>
            <w:r w:rsidRPr="007714F6">
              <w:rPr>
                <w:rFonts w:eastAsia="Times New Roman" w:cs="Arial"/>
                <w:color w:val="000000"/>
                <w:lang w:eastAsia="en-AU"/>
              </w:rPr>
              <w:t>522</w:t>
            </w:r>
          </w:p>
        </w:tc>
        <w:tc>
          <w:tcPr>
            <w:tcW w:w="380" w:type="pct"/>
            <w:tcBorders>
              <w:right w:val="single" w:sz="4" w:space="0" w:color="auto"/>
            </w:tcBorders>
            <w:shd w:val="clear" w:color="auto" w:fill="DBE5F1" w:themeFill="accent1" w:themeFillTint="33"/>
          </w:tcPr>
          <w:p w14:paraId="59B89BC0"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(16.2%)</w:t>
            </w:r>
          </w:p>
        </w:tc>
        <w:tc>
          <w:tcPr>
            <w:tcW w:w="781" w:type="pct"/>
            <w:tcBorders>
              <w:left w:val="single" w:sz="4" w:space="0" w:color="auto"/>
            </w:tcBorders>
            <w:shd w:val="clear" w:color="auto" w:fill="DBE5F1" w:themeFill="accent1" w:themeFillTint="33"/>
            <w:noWrap/>
            <w:hideMark/>
          </w:tcPr>
          <w:p w14:paraId="1A3C09F1"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w:t>
            </w:r>
            <w:r>
              <w:rPr>
                <w:rFonts w:eastAsia="Times New Roman" w:cs="Arial"/>
                <w:color w:val="000000"/>
                <w:lang w:eastAsia="en-AU"/>
              </w:rPr>
              <w:t>,</w:t>
            </w:r>
            <w:r w:rsidRPr="007714F6">
              <w:rPr>
                <w:rFonts w:eastAsia="Times New Roman" w:cs="Arial"/>
                <w:color w:val="000000"/>
                <w:lang w:eastAsia="en-AU"/>
              </w:rPr>
              <w:t>873</w:t>
            </w:r>
          </w:p>
        </w:tc>
        <w:tc>
          <w:tcPr>
            <w:tcW w:w="423" w:type="pct"/>
            <w:tcBorders>
              <w:right w:val="single" w:sz="4" w:space="0" w:color="auto"/>
            </w:tcBorders>
            <w:shd w:val="clear" w:color="auto" w:fill="DBE5F1" w:themeFill="accent1" w:themeFillTint="33"/>
            <w:vAlign w:val="center"/>
          </w:tcPr>
          <w:p w14:paraId="0C561954" w14:textId="77777777" w:rsidR="00EB4A8B" w:rsidRPr="00EB4A8B" w:rsidRDefault="00EB4A8B"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10.31%</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5E165686" w14:textId="77777777" w:rsidR="00EB4A8B" w:rsidRPr="007714F6"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27</w:t>
            </w:r>
            <w:r>
              <w:rPr>
                <w:rFonts w:eastAsia="Times New Roman" w:cs="Arial"/>
                <w:b/>
                <w:color w:val="auto"/>
                <w:lang w:eastAsia="en-AU"/>
              </w:rPr>
              <w:t>,</w:t>
            </w:r>
            <w:r w:rsidRPr="007714F6">
              <w:rPr>
                <w:rFonts w:eastAsia="Times New Roman" w:cs="Arial"/>
                <w:b/>
                <w:color w:val="auto"/>
                <w:lang w:eastAsia="en-AU"/>
              </w:rPr>
              <w:t>879</w:t>
            </w:r>
          </w:p>
        </w:tc>
      </w:tr>
      <w:tr w:rsidR="00EB4A8B" w:rsidRPr="00FC5C7E" w14:paraId="5F234569"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bottom w:val="single" w:sz="4" w:space="0" w:color="auto"/>
              <w:right w:val="single" w:sz="4" w:space="0" w:color="auto"/>
            </w:tcBorders>
            <w:noWrap/>
          </w:tcPr>
          <w:p w14:paraId="61F3EAA8" w14:textId="77777777" w:rsidR="00EB4A8B" w:rsidRPr="00FC5C7E" w:rsidRDefault="00EB4A8B" w:rsidP="00407ACB">
            <w:pPr>
              <w:tabs>
                <w:tab w:val="left" w:pos="1134"/>
              </w:tabs>
              <w:spacing w:before="0" w:line="240" w:lineRule="auto"/>
              <w:rPr>
                <w:rFonts w:eastAsia="Times New Roman" w:cs="Arial"/>
                <w:bCs w:val="0"/>
                <w:color w:val="auto"/>
                <w:lang w:eastAsia="en-AU"/>
              </w:rPr>
            </w:pPr>
            <w:r w:rsidRPr="00FC5C7E">
              <w:rPr>
                <w:rFonts w:eastAsia="Times New Roman" w:cs="Arial"/>
                <w:bCs w:val="0"/>
                <w:color w:val="auto"/>
                <w:lang w:eastAsia="en-AU"/>
              </w:rPr>
              <w:t>2012</w:t>
            </w:r>
          </w:p>
        </w:tc>
        <w:tc>
          <w:tcPr>
            <w:tcW w:w="725" w:type="pct"/>
            <w:tcBorders>
              <w:left w:val="single" w:sz="4" w:space="0" w:color="auto"/>
              <w:bottom w:val="single" w:sz="4" w:space="0" w:color="auto"/>
            </w:tcBorders>
            <w:noWrap/>
            <w:hideMark/>
          </w:tcPr>
          <w:p w14:paraId="657E1FA6"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25</w:t>
            </w:r>
            <w:r>
              <w:rPr>
                <w:rFonts w:eastAsia="Times New Roman" w:cs="Arial"/>
                <w:color w:val="000000"/>
                <w:lang w:eastAsia="en-AU"/>
              </w:rPr>
              <w:t>,</w:t>
            </w:r>
            <w:r w:rsidRPr="007714F6">
              <w:rPr>
                <w:rFonts w:eastAsia="Times New Roman" w:cs="Arial"/>
                <w:color w:val="000000"/>
                <w:lang w:eastAsia="en-AU"/>
              </w:rPr>
              <w:t>777</w:t>
            </w:r>
          </w:p>
        </w:tc>
        <w:tc>
          <w:tcPr>
            <w:tcW w:w="380" w:type="pct"/>
            <w:tcBorders>
              <w:bottom w:val="single" w:sz="4" w:space="0" w:color="auto"/>
              <w:right w:val="single" w:sz="4" w:space="0" w:color="auto"/>
            </w:tcBorders>
          </w:tcPr>
          <w:p w14:paraId="3290FD5F"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(73.8%)</w:t>
            </w:r>
          </w:p>
        </w:tc>
        <w:tc>
          <w:tcPr>
            <w:tcW w:w="563" w:type="pct"/>
            <w:tcBorders>
              <w:bottom w:val="single" w:sz="4" w:space="0" w:color="auto"/>
              <w:right w:val="nil"/>
            </w:tcBorders>
          </w:tcPr>
          <w:p w14:paraId="7F54E5B9"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9</w:t>
            </w:r>
            <w:r>
              <w:rPr>
                <w:rFonts w:eastAsia="Times New Roman" w:cs="Arial"/>
                <w:color w:val="000000"/>
                <w:lang w:eastAsia="en-AU"/>
              </w:rPr>
              <w:t>,</w:t>
            </w:r>
            <w:r w:rsidRPr="007714F6">
              <w:rPr>
                <w:rFonts w:eastAsia="Times New Roman" w:cs="Arial"/>
                <w:color w:val="000000"/>
                <w:lang w:eastAsia="en-AU"/>
              </w:rPr>
              <w:t>167</w:t>
            </w:r>
          </w:p>
        </w:tc>
        <w:tc>
          <w:tcPr>
            <w:tcW w:w="380" w:type="pct"/>
            <w:tcBorders>
              <w:left w:val="nil"/>
              <w:bottom w:val="single" w:sz="4" w:space="0" w:color="auto"/>
            </w:tcBorders>
          </w:tcPr>
          <w:p w14:paraId="76FDDD98"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(26.2%)</w:t>
            </w:r>
          </w:p>
        </w:tc>
        <w:tc>
          <w:tcPr>
            <w:tcW w:w="625" w:type="pct"/>
            <w:tcBorders>
              <w:left w:val="single" w:sz="4" w:space="0" w:color="auto"/>
              <w:bottom w:val="single" w:sz="4" w:space="0" w:color="auto"/>
            </w:tcBorders>
            <w:noWrap/>
            <w:hideMark/>
          </w:tcPr>
          <w:p w14:paraId="042B05EF"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5</w:t>
            </w:r>
            <w:r>
              <w:rPr>
                <w:rFonts w:eastAsia="Times New Roman" w:cs="Arial"/>
                <w:color w:val="000000"/>
                <w:lang w:eastAsia="en-AU"/>
              </w:rPr>
              <w:t>,</w:t>
            </w:r>
            <w:r w:rsidRPr="007714F6">
              <w:rPr>
                <w:rFonts w:eastAsia="Times New Roman" w:cs="Arial"/>
                <w:color w:val="000000"/>
                <w:lang w:eastAsia="en-AU"/>
              </w:rPr>
              <w:t>536</w:t>
            </w:r>
          </w:p>
        </w:tc>
        <w:tc>
          <w:tcPr>
            <w:tcW w:w="380" w:type="pct"/>
            <w:tcBorders>
              <w:bottom w:val="single" w:sz="4" w:space="0" w:color="auto"/>
              <w:right w:val="single" w:sz="4" w:space="0" w:color="auto"/>
            </w:tcBorders>
          </w:tcPr>
          <w:p w14:paraId="018F6317"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(15.8%)</w:t>
            </w:r>
          </w:p>
        </w:tc>
        <w:tc>
          <w:tcPr>
            <w:tcW w:w="781" w:type="pct"/>
            <w:tcBorders>
              <w:left w:val="single" w:sz="4" w:space="0" w:color="auto"/>
              <w:bottom w:val="single" w:sz="4" w:space="0" w:color="auto"/>
              <w:right w:val="nil"/>
            </w:tcBorders>
            <w:noWrap/>
            <w:hideMark/>
          </w:tcPr>
          <w:p w14:paraId="74D924D8"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714F6">
              <w:rPr>
                <w:rFonts w:eastAsia="Times New Roman" w:cs="Arial"/>
                <w:color w:val="000000"/>
                <w:lang w:eastAsia="en-AU"/>
              </w:rPr>
              <w:t>3</w:t>
            </w:r>
            <w:r>
              <w:rPr>
                <w:rFonts w:eastAsia="Times New Roman" w:cs="Arial"/>
                <w:color w:val="000000"/>
                <w:lang w:eastAsia="en-AU"/>
              </w:rPr>
              <w:t>,</w:t>
            </w:r>
            <w:r w:rsidRPr="007714F6">
              <w:rPr>
                <w:rFonts w:eastAsia="Times New Roman" w:cs="Arial"/>
                <w:color w:val="000000"/>
                <w:lang w:eastAsia="en-AU"/>
              </w:rPr>
              <w:t>631</w:t>
            </w:r>
          </w:p>
        </w:tc>
        <w:tc>
          <w:tcPr>
            <w:tcW w:w="423" w:type="pct"/>
            <w:tcBorders>
              <w:left w:val="nil"/>
              <w:bottom w:val="single" w:sz="4" w:space="0" w:color="auto"/>
              <w:right w:val="single" w:sz="4" w:space="0" w:color="auto"/>
            </w:tcBorders>
            <w:vAlign w:val="center"/>
          </w:tcPr>
          <w:p w14:paraId="49677B37" w14:textId="77777777" w:rsidR="00EB4A8B" w:rsidRPr="00EB4A8B" w:rsidRDefault="00EB4A8B" w:rsidP="00407AC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10.39%</w:t>
            </w:r>
            <w:r>
              <w:rPr>
                <w:rFonts w:ascii="Calibri" w:hAnsi="Calibri"/>
                <w:color w:val="auto"/>
              </w:rPr>
              <w:t>)</w:t>
            </w:r>
          </w:p>
        </w:tc>
        <w:tc>
          <w:tcPr>
            <w:tcW w:w="395" w:type="pct"/>
            <w:tcBorders>
              <w:left w:val="single" w:sz="4" w:space="0" w:color="auto"/>
              <w:bottom w:val="single" w:sz="4" w:space="0" w:color="auto"/>
              <w:right w:val="single" w:sz="4" w:space="0" w:color="auto"/>
            </w:tcBorders>
          </w:tcPr>
          <w:p w14:paraId="21EEBF07" w14:textId="77777777" w:rsidR="00EB4A8B" w:rsidRPr="007714F6" w:rsidRDefault="00EB4A8B" w:rsidP="00407ACB">
            <w:pPr>
              <w:tabs>
                <w:tab w:val="left" w:pos="1134"/>
              </w:tabs>
              <w:spacing w:before="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714F6">
              <w:rPr>
                <w:rFonts w:eastAsia="Times New Roman" w:cs="Arial"/>
                <w:b/>
                <w:color w:val="auto"/>
                <w:lang w:eastAsia="en-AU"/>
              </w:rPr>
              <w:t>34</w:t>
            </w:r>
            <w:r>
              <w:rPr>
                <w:rFonts w:eastAsia="Times New Roman" w:cs="Arial"/>
                <w:b/>
                <w:color w:val="auto"/>
                <w:lang w:eastAsia="en-AU"/>
              </w:rPr>
              <w:t>,</w:t>
            </w:r>
            <w:r w:rsidRPr="007714F6">
              <w:rPr>
                <w:rFonts w:eastAsia="Times New Roman" w:cs="Arial"/>
                <w:b/>
                <w:color w:val="auto"/>
                <w:lang w:eastAsia="en-AU"/>
              </w:rPr>
              <w:t>944</w:t>
            </w:r>
          </w:p>
        </w:tc>
      </w:tr>
      <w:tr w:rsidR="002418F8" w:rsidRPr="00FC5C7E" w14:paraId="4CC52BB2" w14:textId="77777777" w:rsidTr="00407A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672AAD20" w14:textId="77777777" w:rsidR="00EB4A8B" w:rsidRPr="00FC5C7E" w:rsidRDefault="00EB4A8B" w:rsidP="00407ACB">
            <w:pPr>
              <w:tabs>
                <w:tab w:val="left" w:pos="1134"/>
              </w:tabs>
              <w:spacing w:before="0" w:line="240" w:lineRule="auto"/>
              <w:rPr>
                <w:rFonts w:eastAsia="Times New Roman" w:cs="Arial"/>
                <w:color w:val="auto"/>
                <w:lang w:eastAsia="en-AU"/>
              </w:rPr>
            </w:pPr>
            <w:r w:rsidRPr="00FC5C7E">
              <w:rPr>
                <w:rFonts w:eastAsia="Times New Roman" w:cs="Arial"/>
                <w:bCs w:val="0"/>
                <w:color w:val="auto"/>
                <w:lang w:eastAsia="en-AU"/>
              </w:rPr>
              <w:t>Totals:</w:t>
            </w:r>
          </w:p>
        </w:tc>
        <w:tc>
          <w:tcPr>
            <w:tcW w:w="725" w:type="pct"/>
            <w:tcBorders>
              <w:top w:val="single" w:sz="4" w:space="0" w:color="auto"/>
              <w:left w:val="single" w:sz="4" w:space="0" w:color="auto"/>
              <w:bottom w:val="single" w:sz="4" w:space="0" w:color="auto"/>
            </w:tcBorders>
            <w:shd w:val="clear" w:color="auto" w:fill="95B3D7" w:themeFill="accent1" w:themeFillTint="99"/>
            <w:noWrap/>
          </w:tcPr>
          <w:p w14:paraId="6B40989D" w14:textId="77777777" w:rsidR="00EB4A8B" w:rsidRPr="00A80772"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A80772">
              <w:rPr>
                <w:rFonts w:eastAsia="Times New Roman" w:cs="Arial"/>
                <w:b/>
                <w:color w:val="000000"/>
                <w:lang w:eastAsia="en-AU"/>
              </w:rPr>
              <w:t>132,484</w:t>
            </w:r>
          </w:p>
        </w:tc>
        <w:tc>
          <w:tcPr>
            <w:tcW w:w="380" w:type="pct"/>
            <w:tcBorders>
              <w:top w:val="single" w:sz="4" w:space="0" w:color="auto"/>
              <w:bottom w:val="single" w:sz="4" w:space="0" w:color="auto"/>
              <w:right w:val="single" w:sz="4" w:space="0" w:color="auto"/>
            </w:tcBorders>
            <w:shd w:val="clear" w:color="auto" w:fill="95B3D7" w:themeFill="accent1" w:themeFillTint="99"/>
          </w:tcPr>
          <w:p w14:paraId="282B9FC5" w14:textId="77777777" w:rsidR="00EB4A8B" w:rsidRPr="00A80772"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(69.6%)</w:t>
            </w:r>
          </w:p>
        </w:tc>
        <w:tc>
          <w:tcPr>
            <w:tcW w:w="563" w:type="pct"/>
            <w:tcBorders>
              <w:top w:val="single" w:sz="4" w:space="0" w:color="auto"/>
              <w:bottom w:val="single" w:sz="4" w:space="0" w:color="auto"/>
            </w:tcBorders>
            <w:shd w:val="clear" w:color="auto" w:fill="95B3D7" w:themeFill="accent1" w:themeFillTint="99"/>
          </w:tcPr>
          <w:p w14:paraId="2C9D0F3A" w14:textId="77777777" w:rsidR="00EB4A8B" w:rsidRPr="00A80772"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A80772">
              <w:rPr>
                <w:rFonts w:eastAsia="Times New Roman" w:cs="Arial"/>
                <w:b/>
                <w:color w:val="000000"/>
                <w:lang w:eastAsia="en-AU"/>
              </w:rPr>
              <w:t>57,944</w:t>
            </w:r>
          </w:p>
        </w:tc>
        <w:tc>
          <w:tcPr>
            <w:tcW w:w="380" w:type="pct"/>
            <w:tcBorders>
              <w:top w:val="single" w:sz="4" w:space="0" w:color="auto"/>
              <w:bottom w:val="single" w:sz="4" w:space="0" w:color="auto"/>
            </w:tcBorders>
            <w:shd w:val="clear" w:color="auto" w:fill="95B3D7" w:themeFill="accent1" w:themeFillTint="99"/>
          </w:tcPr>
          <w:p w14:paraId="205DE290" w14:textId="77777777" w:rsidR="00EB4A8B" w:rsidRPr="00A80772"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(30.4%)</w:t>
            </w:r>
          </w:p>
        </w:tc>
        <w:tc>
          <w:tcPr>
            <w:tcW w:w="625" w:type="pct"/>
            <w:tcBorders>
              <w:top w:val="single" w:sz="4" w:space="0" w:color="auto"/>
              <w:left w:val="single" w:sz="4" w:space="0" w:color="auto"/>
              <w:bottom w:val="single" w:sz="4" w:space="0" w:color="auto"/>
            </w:tcBorders>
            <w:shd w:val="clear" w:color="auto" w:fill="95B3D7" w:themeFill="accent1" w:themeFillTint="99"/>
            <w:noWrap/>
          </w:tcPr>
          <w:p w14:paraId="4CC97485" w14:textId="77777777" w:rsidR="00EB4A8B" w:rsidRPr="00A80772"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A80772">
              <w:rPr>
                <w:rFonts w:eastAsia="Times New Roman" w:cs="Arial"/>
                <w:b/>
                <w:color w:val="000000"/>
                <w:lang w:eastAsia="en-AU"/>
              </w:rPr>
              <w:t>36,888</w:t>
            </w:r>
          </w:p>
        </w:tc>
        <w:tc>
          <w:tcPr>
            <w:tcW w:w="380" w:type="pct"/>
            <w:tcBorders>
              <w:top w:val="single" w:sz="4" w:space="0" w:color="auto"/>
              <w:bottom w:val="single" w:sz="4" w:space="0" w:color="auto"/>
              <w:right w:val="single" w:sz="4" w:space="0" w:color="auto"/>
            </w:tcBorders>
            <w:shd w:val="clear" w:color="auto" w:fill="95B3D7" w:themeFill="accent1" w:themeFillTint="99"/>
          </w:tcPr>
          <w:p w14:paraId="6787F3B9" w14:textId="77777777" w:rsidR="00EB4A8B" w:rsidRPr="00A80772"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A80772">
              <w:rPr>
                <w:rFonts w:eastAsia="Times New Roman" w:cs="Arial"/>
                <w:b/>
                <w:color w:val="000000"/>
                <w:lang w:eastAsia="en-AU"/>
              </w:rPr>
              <w:t>(19.4%)</w:t>
            </w:r>
          </w:p>
        </w:tc>
        <w:tc>
          <w:tcPr>
            <w:tcW w:w="781" w:type="pct"/>
            <w:tcBorders>
              <w:top w:val="single" w:sz="4" w:space="0" w:color="auto"/>
              <w:left w:val="single" w:sz="4" w:space="0" w:color="auto"/>
              <w:bottom w:val="single" w:sz="4" w:space="0" w:color="auto"/>
            </w:tcBorders>
            <w:shd w:val="clear" w:color="auto" w:fill="95B3D7" w:themeFill="accent1" w:themeFillTint="99"/>
            <w:noWrap/>
          </w:tcPr>
          <w:p w14:paraId="659DDF24" w14:textId="77777777" w:rsidR="00EB4A8B" w:rsidRPr="00A80772"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A80772">
              <w:rPr>
                <w:rFonts w:eastAsia="Times New Roman" w:cs="Arial"/>
                <w:b/>
                <w:color w:val="000000"/>
                <w:lang w:eastAsia="en-AU"/>
              </w:rPr>
              <w:t>21,056</w:t>
            </w:r>
          </w:p>
        </w:tc>
        <w:tc>
          <w:tcPr>
            <w:tcW w:w="423" w:type="pct"/>
            <w:tcBorders>
              <w:top w:val="single" w:sz="4" w:space="0" w:color="auto"/>
              <w:bottom w:val="single" w:sz="4" w:space="0" w:color="auto"/>
              <w:right w:val="single" w:sz="4" w:space="0" w:color="auto"/>
            </w:tcBorders>
            <w:shd w:val="clear" w:color="auto" w:fill="95B3D7" w:themeFill="accent1" w:themeFillTint="99"/>
            <w:vAlign w:val="center"/>
          </w:tcPr>
          <w:p w14:paraId="7486473C" w14:textId="77777777" w:rsidR="00EB4A8B" w:rsidRPr="00EB4A8B" w:rsidRDefault="00EB4A8B" w:rsidP="00407AC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11.06%</w:t>
            </w:r>
            <w:r>
              <w:rPr>
                <w:rFonts w:ascii="Calibri" w:hAnsi="Calibri"/>
                <w:color w:val="auto"/>
              </w:rPr>
              <w:t>)</w:t>
            </w:r>
          </w:p>
        </w:tc>
        <w:tc>
          <w:tcPr>
            <w:tcW w:w="395"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67BCDC" w14:textId="77777777" w:rsidR="00EB4A8B" w:rsidRPr="00A80772" w:rsidRDefault="00EB4A8B" w:rsidP="00407ACB">
            <w:pPr>
              <w:tabs>
                <w:tab w:val="left" w:pos="1134"/>
              </w:tabs>
              <w:spacing w:before="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A80772">
              <w:rPr>
                <w:rFonts w:eastAsia="Times New Roman" w:cs="Arial"/>
                <w:b/>
                <w:color w:val="auto"/>
                <w:lang w:eastAsia="en-AU"/>
              </w:rPr>
              <w:t>190,428</w:t>
            </w:r>
          </w:p>
        </w:tc>
      </w:tr>
    </w:tbl>
    <w:p w14:paraId="4637D1A5" w14:textId="77777777" w:rsidR="005D61DD" w:rsidRPr="0006220F" w:rsidRDefault="005D61DD" w:rsidP="005E613E">
      <w:pPr>
        <w:pStyle w:val="Heading6"/>
        <w:spacing w:before="240" w:after="240"/>
      </w:pPr>
      <w:r w:rsidRPr="0006220F">
        <w:t xml:space="preserve">Line graph for table 1.26.2: Reports by </w:t>
      </w:r>
      <w:r w:rsidR="004A3C97" w:rsidRPr="0006220F">
        <w:t>major mandated reporter groups combined</w:t>
      </w:r>
      <w:r w:rsidRPr="0006220F">
        <w:t>, by year, by outcome of reports</w:t>
      </w:r>
    </w:p>
    <w:p w14:paraId="66726E1F" w14:textId="77777777" w:rsidR="0080128E" w:rsidRDefault="00A80772" w:rsidP="00B15586">
      <w:pPr>
        <w:keepNext/>
      </w:pPr>
      <w:r w:rsidRPr="00A80772">
        <w:rPr>
          <w:noProof/>
          <w:lang w:eastAsia="en-AU"/>
        </w:rPr>
        <w:drawing>
          <wp:inline distT="0" distB="0" distL="0" distR="0" wp14:anchorId="703D3B3E" wp14:editId="276A67D6">
            <wp:extent cx="9305925" cy="2143125"/>
            <wp:effectExtent l="0" t="0" r="9525" b="9525"/>
            <wp:docPr id="32" name="Chart 28" descr="Shows abuse reports by mandated groups not investigated increased from 61.4% in 2003 to 73.8% in 2012." title="Line graph for table 1.26.2 "/>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80128E">
        <w:br w:type="page"/>
      </w:r>
    </w:p>
    <w:p w14:paraId="4EF78A88" w14:textId="6F2D7640" w:rsidR="005D61DD" w:rsidRDefault="005D61DD" w:rsidP="0095311F">
      <w:pPr>
        <w:pStyle w:val="Figureheading"/>
      </w:pPr>
      <w:bookmarkStart w:id="76" w:name="_Toc382206739"/>
      <w:r>
        <w:lastRenderedPageBreak/>
        <w:t>1.26.3</w:t>
      </w:r>
      <w:r>
        <w:tab/>
      </w:r>
      <w:r w:rsidR="00B439DA">
        <w:tab/>
      </w:r>
      <w:r>
        <w:t>Reports by other report</w:t>
      </w:r>
      <w:r w:rsidR="00261C0C">
        <w:t>er</w:t>
      </w:r>
      <w:r>
        <w:t xml:space="preserve"> groups combined, by </w:t>
      </w:r>
      <w:r w:rsidRPr="00B362E8">
        <w:t xml:space="preserve">year, by </w:t>
      </w:r>
      <w:r>
        <w:t>abuse type (number and percentage)</w:t>
      </w:r>
    </w:p>
    <w:bookmarkEnd w:id="76"/>
    <w:tbl>
      <w:tblPr>
        <w:tblStyle w:val="LightShading-Accent120"/>
        <w:tblW w:w="5000" w:type="pct"/>
        <w:tblLook w:val="04A0" w:firstRow="1" w:lastRow="0" w:firstColumn="1" w:lastColumn="0" w:noHBand="0" w:noVBand="1"/>
        <w:tblCaption w:val="Reports by other reporter groups combined, by year, by abuse type (number and percentage)"/>
      </w:tblPr>
      <w:tblGrid>
        <w:gridCol w:w="1119"/>
        <w:gridCol w:w="2342"/>
        <w:gridCol w:w="1218"/>
        <w:gridCol w:w="1221"/>
        <w:gridCol w:w="1218"/>
        <w:gridCol w:w="2076"/>
        <w:gridCol w:w="1218"/>
        <w:gridCol w:w="1890"/>
        <w:gridCol w:w="1218"/>
        <w:gridCol w:w="1266"/>
      </w:tblGrid>
      <w:tr w:rsidR="002418F8" w:rsidRPr="00E37227" w14:paraId="3F528FFD" w14:textId="77777777" w:rsidTr="00407ACB">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98A5322" w14:textId="77777777" w:rsidR="000D64F0" w:rsidRPr="00E37227" w:rsidRDefault="000D64F0" w:rsidP="00CE2FDF">
            <w:pPr>
              <w:tabs>
                <w:tab w:val="left" w:pos="1134"/>
              </w:tabs>
              <w:spacing w:before="0" w:line="276" w:lineRule="auto"/>
              <w:rPr>
                <w:rFonts w:eastAsia="Times New Roman" w:cs="Arial"/>
                <w:bCs w:val="0"/>
                <w:color w:val="000000"/>
                <w:lang w:eastAsia="en-AU"/>
              </w:rPr>
            </w:pPr>
          </w:p>
        </w:tc>
        <w:tc>
          <w:tcPr>
            <w:tcW w:w="792" w:type="pct"/>
            <w:tcBorders>
              <w:top w:val="single" w:sz="4" w:space="0" w:color="auto"/>
              <w:left w:val="single" w:sz="4" w:space="0" w:color="auto"/>
              <w:bottom w:val="single" w:sz="4" w:space="0" w:color="auto"/>
            </w:tcBorders>
            <w:shd w:val="clear" w:color="auto" w:fill="8DB3E2" w:themeFill="text2" w:themeFillTint="66"/>
            <w:vAlign w:val="center"/>
            <w:hideMark/>
          </w:tcPr>
          <w:p w14:paraId="1AA3FD05" w14:textId="77777777" w:rsidR="000D64F0" w:rsidRPr="00E37227"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E37227">
              <w:rPr>
                <w:rFonts w:eastAsia="Times New Roman" w:cs="Arial"/>
                <w:color w:val="000000"/>
                <w:lang w:eastAsia="en-AU"/>
              </w:rPr>
              <w:t>Emotional</w:t>
            </w:r>
            <w:r w:rsidR="00736DDB">
              <w:rPr>
                <w:rFonts w:eastAsia="Times New Roman" w:cs="Arial"/>
                <w:color w:val="000000"/>
                <w:lang w:eastAsia="en-AU"/>
              </w:rPr>
              <w:t xml:space="preserve"> abuse</w:t>
            </w:r>
          </w:p>
        </w:tc>
        <w:tc>
          <w:tcPr>
            <w:tcW w:w="412" w:type="pct"/>
            <w:tcBorders>
              <w:top w:val="single" w:sz="4" w:space="0" w:color="auto"/>
              <w:bottom w:val="single" w:sz="4" w:space="0" w:color="auto"/>
              <w:right w:val="single" w:sz="4" w:space="0" w:color="auto"/>
            </w:tcBorders>
            <w:shd w:val="clear" w:color="auto" w:fill="8DB3E2" w:themeFill="text2" w:themeFillTint="66"/>
            <w:vAlign w:val="center"/>
          </w:tcPr>
          <w:p w14:paraId="202E6F1A" w14:textId="77777777" w:rsidR="000D64F0" w:rsidRPr="00E37227"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Pr>
                <w:rFonts w:eastAsia="Times New Roman" w:cs="Arial"/>
                <w:bCs w:val="0"/>
                <w:color w:val="000000"/>
                <w:lang w:eastAsia="en-AU"/>
              </w:rPr>
              <w:t>%</w:t>
            </w:r>
          </w:p>
        </w:tc>
        <w:tc>
          <w:tcPr>
            <w:tcW w:w="413" w:type="pct"/>
            <w:tcBorders>
              <w:top w:val="single" w:sz="4" w:space="0" w:color="auto"/>
              <w:left w:val="single" w:sz="4" w:space="0" w:color="auto"/>
              <w:bottom w:val="single" w:sz="4" w:space="0" w:color="auto"/>
            </w:tcBorders>
            <w:shd w:val="clear" w:color="auto" w:fill="8DB3E2" w:themeFill="text2" w:themeFillTint="66"/>
            <w:vAlign w:val="center"/>
            <w:hideMark/>
          </w:tcPr>
          <w:p w14:paraId="3068FA75" w14:textId="77777777" w:rsidR="000D64F0" w:rsidRPr="00E37227"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E37227">
              <w:rPr>
                <w:rFonts w:eastAsia="Times New Roman" w:cs="Arial"/>
                <w:color w:val="000000"/>
                <w:lang w:eastAsia="en-AU"/>
              </w:rPr>
              <w:t>Neglect</w:t>
            </w:r>
          </w:p>
        </w:tc>
        <w:tc>
          <w:tcPr>
            <w:tcW w:w="412" w:type="pct"/>
            <w:tcBorders>
              <w:top w:val="single" w:sz="4" w:space="0" w:color="auto"/>
              <w:bottom w:val="single" w:sz="4" w:space="0" w:color="auto"/>
              <w:right w:val="single" w:sz="4" w:space="0" w:color="auto"/>
            </w:tcBorders>
            <w:shd w:val="clear" w:color="auto" w:fill="8DB3E2" w:themeFill="text2" w:themeFillTint="66"/>
            <w:vAlign w:val="center"/>
          </w:tcPr>
          <w:p w14:paraId="465D3551" w14:textId="77777777" w:rsidR="000D64F0" w:rsidRPr="00E37227"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Pr>
                <w:rFonts w:eastAsia="Times New Roman" w:cs="Arial"/>
                <w:bCs w:val="0"/>
                <w:color w:val="000000"/>
                <w:lang w:eastAsia="en-AU"/>
              </w:rPr>
              <w:t>%</w:t>
            </w:r>
          </w:p>
        </w:tc>
        <w:tc>
          <w:tcPr>
            <w:tcW w:w="702" w:type="pct"/>
            <w:tcBorders>
              <w:top w:val="single" w:sz="4" w:space="0" w:color="auto"/>
              <w:left w:val="single" w:sz="4" w:space="0" w:color="auto"/>
              <w:bottom w:val="single" w:sz="4" w:space="0" w:color="auto"/>
            </w:tcBorders>
            <w:shd w:val="clear" w:color="auto" w:fill="8DB3E2" w:themeFill="text2" w:themeFillTint="66"/>
            <w:vAlign w:val="center"/>
            <w:hideMark/>
          </w:tcPr>
          <w:p w14:paraId="00D343F7" w14:textId="77777777" w:rsidR="000D64F0" w:rsidRPr="00E37227"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E37227">
              <w:rPr>
                <w:rFonts w:eastAsia="Times New Roman" w:cs="Arial"/>
                <w:color w:val="000000"/>
                <w:lang w:eastAsia="en-AU"/>
              </w:rPr>
              <w:t>Physical</w:t>
            </w:r>
            <w:r w:rsidR="00736DDB">
              <w:rPr>
                <w:rFonts w:eastAsia="Times New Roman" w:cs="Arial"/>
                <w:color w:val="000000"/>
                <w:lang w:eastAsia="en-AU"/>
              </w:rPr>
              <w:t xml:space="preserve"> abuse</w:t>
            </w:r>
          </w:p>
        </w:tc>
        <w:tc>
          <w:tcPr>
            <w:tcW w:w="412" w:type="pct"/>
            <w:tcBorders>
              <w:top w:val="single" w:sz="4" w:space="0" w:color="auto"/>
              <w:bottom w:val="single" w:sz="4" w:space="0" w:color="auto"/>
              <w:right w:val="single" w:sz="4" w:space="0" w:color="auto"/>
            </w:tcBorders>
            <w:shd w:val="clear" w:color="auto" w:fill="8DB3E2" w:themeFill="text2" w:themeFillTint="66"/>
            <w:vAlign w:val="center"/>
          </w:tcPr>
          <w:p w14:paraId="43E2FE8C" w14:textId="77777777" w:rsidR="000D64F0" w:rsidRPr="00E37227"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Pr>
                <w:rFonts w:eastAsia="Times New Roman" w:cs="Arial"/>
                <w:bCs w:val="0"/>
                <w:color w:val="000000"/>
                <w:lang w:eastAsia="en-AU"/>
              </w:rPr>
              <w:t>%</w:t>
            </w:r>
          </w:p>
        </w:tc>
        <w:tc>
          <w:tcPr>
            <w:tcW w:w="639" w:type="pct"/>
            <w:tcBorders>
              <w:top w:val="single" w:sz="4" w:space="0" w:color="auto"/>
              <w:left w:val="single" w:sz="4" w:space="0" w:color="auto"/>
              <w:bottom w:val="single" w:sz="4" w:space="0" w:color="auto"/>
            </w:tcBorders>
            <w:shd w:val="clear" w:color="auto" w:fill="8DB3E2" w:themeFill="text2" w:themeFillTint="66"/>
            <w:vAlign w:val="center"/>
            <w:hideMark/>
          </w:tcPr>
          <w:p w14:paraId="764C13F4" w14:textId="77777777" w:rsidR="000D64F0" w:rsidRPr="00E37227"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E37227">
              <w:rPr>
                <w:rFonts w:eastAsia="Times New Roman" w:cs="Arial"/>
                <w:color w:val="000000"/>
                <w:lang w:eastAsia="en-AU"/>
              </w:rPr>
              <w:t>Sexual</w:t>
            </w:r>
            <w:r w:rsidR="00736DDB">
              <w:rPr>
                <w:rFonts w:eastAsia="Times New Roman" w:cs="Arial"/>
                <w:color w:val="000000"/>
                <w:lang w:eastAsia="en-AU"/>
              </w:rPr>
              <w:t xml:space="preserve"> abuse</w:t>
            </w:r>
          </w:p>
        </w:tc>
        <w:tc>
          <w:tcPr>
            <w:tcW w:w="412" w:type="pct"/>
            <w:tcBorders>
              <w:top w:val="single" w:sz="4" w:space="0" w:color="auto"/>
              <w:bottom w:val="single" w:sz="4" w:space="0" w:color="auto"/>
              <w:right w:val="single" w:sz="4" w:space="0" w:color="auto"/>
            </w:tcBorders>
            <w:shd w:val="clear" w:color="auto" w:fill="8DB3E2" w:themeFill="text2" w:themeFillTint="66"/>
            <w:vAlign w:val="center"/>
          </w:tcPr>
          <w:p w14:paraId="5FA66DCD" w14:textId="77777777" w:rsidR="000D64F0" w:rsidRPr="00E37227"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Pr>
                <w:rFonts w:eastAsia="Times New Roman" w:cs="Arial"/>
                <w:bCs w:val="0"/>
                <w:color w:val="000000"/>
                <w:lang w:eastAsia="en-AU"/>
              </w:rPr>
              <w:t>%</w:t>
            </w:r>
          </w:p>
        </w:tc>
        <w:tc>
          <w:tcPr>
            <w:tcW w:w="428"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ECF3C8C" w14:textId="77777777" w:rsidR="000D64F0" w:rsidRPr="00E37227"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E37227">
              <w:rPr>
                <w:rFonts w:eastAsia="Times New Roman" w:cs="Arial"/>
                <w:color w:val="auto"/>
                <w:lang w:eastAsia="en-AU"/>
              </w:rPr>
              <w:t>Total</w:t>
            </w:r>
          </w:p>
        </w:tc>
      </w:tr>
      <w:tr w:rsidR="000D64F0" w:rsidRPr="00E37227" w14:paraId="3AA4D6D4"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right w:val="single" w:sz="4" w:space="0" w:color="auto"/>
            </w:tcBorders>
            <w:noWrap/>
          </w:tcPr>
          <w:p w14:paraId="5D6AC18A"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2003</w:t>
            </w:r>
          </w:p>
        </w:tc>
        <w:tc>
          <w:tcPr>
            <w:tcW w:w="792" w:type="pct"/>
            <w:tcBorders>
              <w:top w:val="single" w:sz="4" w:space="0" w:color="auto"/>
              <w:left w:val="single" w:sz="4" w:space="0" w:color="auto"/>
            </w:tcBorders>
            <w:noWrap/>
            <w:hideMark/>
          </w:tcPr>
          <w:p w14:paraId="638FA2CC"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sidR="00593309">
              <w:rPr>
                <w:rFonts w:eastAsia="Times New Roman" w:cs="Arial"/>
                <w:color w:val="000000"/>
                <w:lang w:eastAsia="en-AU"/>
              </w:rPr>
              <w:t>,</w:t>
            </w:r>
            <w:r w:rsidRPr="00FB0391">
              <w:rPr>
                <w:rFonts w:eastAsia="Times New Roman" w:cs="Arial"/>
                <w:color w:val="000000"/>
                <w:lang w:eastAsia="en-AU"/>
              </w:rPr>
              <w:t>259</w:t>
            </w:r>
          </w:p>
        </w:tc>
        <w:tc>
          <w:tcPr>
            <w:tcW w:w="412" w:type="pct"/>
            <w:tcBorders>
              <w:top w:val="single" w:sz="4" w:space="0" w:color="auto"/>
              <w:right w:val="single" w:sz="4" w:space="0" w:color="auto"/>
            </w:tcBorders>
          </w:tcPr>
          <w:p w14:paraId="186559E2"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(29.5%)</w:t>
            </w:r>
          </w:p>
        </w:tc>
        <w:tc>
          <w:tcPr>
            <w:tcW w:w="413" w:type="pct"/>
            <w:tcBorders>
              <w:top w:val="single" w:sz="4" w:space="0" w:color="auto"/>
              <w:left w:val="single" w:sz="4" w:space="0" w:color="auto"/>
            </w:tcBorders>
            <w:noWrap/>
            <w:hideMark/>
          </w:tcPr>
          <w:p w14:paraId="0335EA8D"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8</w:t>
            </w:r>
            <w:r w:rsidR="00593309">
              <w:rPr>
                <w:rFonts w:eastAsia="Times New Roman" w:cs="Arial"/>
                <w:color w:val="000000"/>
                <w:lang w:eastAsia="en-AU"/>
              </w:rPr>
              <w:t>,</w:t>
            </w:r>
            <w:r w:rsidRPr="00FB0391">
              <w:rPr>
                <w:rFonts w:eastAsia="Times New Roman" w:cs="Arial"/>
                <w:color w:val="000000"/>
                <w:lang w:eastAsia="en-AU"/>
              </w:rPr>
              <w:t>753</w:t>
            </w:r>
          </w:p>
        </w:tc>
        <w:tc>
          <w:tcPr>
            <w:tcW w:w="412" w:type="pct"/>
            <w:tcBorders>
              <w:top w:val="single" w:sz="4" w:space="0" w:color="auto"/>
              <w:right w:val="single" w:sz="4" w:space="0" w:color="auto"/>
            </w:tcBorders>
          </w:tcPr>
          <w:p w14:paraId="4673E695"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(35.6%)</w:t>
            </w:r>
          </w:p>
        </w:tc>
        <w:tc>
          <w:tcPr>
            <w:tcW w:w="702" w:type="pct"/>
            <w:tcBorders>
              <w:top w:val="single" w:sz="4" w:space="0" w:color="auto"/>
              <w:left w:val="single" w:sz="4" w:space="0" w:color="auto"/>
            </w:tcBorders>
            <w:noWrap/>
            <w:hideMark/>
          </w:tcPr>
          <w:p w14:paraId="6761C748"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5</w:t>
            </w:r>
            <w:r w:rsidR="00593309">
              <w:rPr>
                <w:rFonts w:eastAsia="Times New Roman" w:cs="Arial"/>
                <w:color w:val="000000"/>
                <w:lang w:eastAsia="en-AU"/>
              </w:rPr>
              <w:t>,</w:t>
            </w:r>
            <w:r w:rsidRPr="00FB0391">
              <w:rPr>
                <w:rFonts w:eastAsia="Times New Roman" w:cs="Arial"/>
                <w:color w:val="000000"/>
                <w:lang w:eastAsia="en-AU"/>
              </w:rPr>
              <w:t>692</w:t>
            </w:r>
          </w:p>
        </w:tc>
        <w:tc>
          <w:tcPr>
            <w:tcW w:w="412" w:type="pct"/>
            <w:tcBorders>
              <w:top w:val="single" w:sz="4" w:space="0" w:color="auto"/>
              <w:right w:val="single" w:sz="4" w:space="0" w:color="auto"/>
            </w:tcBorders>
          </w:tcPr>
          <w:p w14:paraId="2D270E3E"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(23.2%)</w:t>
            </w:r>
          </w:p>
        </w:tc>
        <w:tc>
          <w:tcPr>
            <w:tcW w:w="639" w:type="pct"/>
            <w:tcBorders>
              <w:top w:val="single" w:sz="4" w:space="0" w:color="auto"/>
              <w:left w:val="single" w:sz="4" w:space="0" w:color="auto"/>
            </w:tcBorders>
            <w:noWrap/>
            <w:hideMark/>
          </w:tcPr>
          <w:p w14:paraId="4E5A2861"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sidR="00593309">
              <w:rPr>
                <w:rFonts w:eastAsia="Times New Roman" w:cs="Arial"/>
                <w:color w:val="000000"/>
                <w:lang w:eastAsia="en-AU"/>
              </w:rPr>
              <w:t>,</w:t>
            </w:r>
            <w:r w:rsidRPr="00FB0391">
              <w:rPr>
                <w:rFonts w:eastAsia="Times New Roman" w:cs="Arial"/>
                <w:color w:val="000000"/>
                <w:lang w:eastAsia="en-AU"/>
              </w:rPr>
              <w:t>863</w:t>
            </w:r>
          </w:p>
        </w:tc>
        <w:tc>
          <w:tcPr>
            <w:tcW w:w="412" w:type="pct"/>
            <w:tcBorders>
              <w:top w:val="single" w:sz="4" w:space="0" w:color="auto"/>
              <w:right w:val="single" w:sz="4" w:space="0" w:color="auto"/>
            </w:tcBorders>
          </w:tcPr>
          <w:p w14:paraId="73CBF27E"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(11.7%)</w:t>
            </w:r>
          </w:p>
        </w:tc>
        <w:tc>
          <w:tcPr>
            <w:tcW w:w="428" w:type="pct"/>
            <w:tcBorders>
              <w:top w:val="single" w:sz="4" w:space="0" w:color="auto"/>
              <w:left w:val="single" w:sz="4" w:space="0" w:color="auto"/>
              <w:right w:val="single" w:sz="4" w:space="0" w:color="auto"/>
            </w:tcBorders>
            <w:noWrap/>
            <w:hideMark/>
          </w:tcPr>
          <w:p w14:paraId="7222C322"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24</w:t>
            </w:r>
            <w:r w:rsidR="00593309">
              <w:rPr>
                <w:rFonts w:eastAsia="Times New Roman" w:cs="Arial"/>
                <w:b/>
                <w:color w:val="auto"/>
                <w:lang w:eastAsia="en-AU"/>
              </w:rPr>
              <w:t>,</w:t>
            </w:r>
            <w:r w:rsidRPr="00196211">
              <w:rPr>
                <w:rFonts w:eastAsia="Times New Roman" w:cs="Arial"/>
                <w:b/>
                <w:color w:val="auto"/>
                <w:lang w:eastAsia="en-AU"/>
              </w:rPr>
              <w:t>567</w:t>
            </w:r>
          </w:p>
        </w:tc>
      </w:tr>
      <w:tr w:rsidR="000D64F0" w:rsidRPr="00E37227" w14:paraId="5174B922"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right w:val="single" w:sz="4" w:space="0" w:color="auto"/>
            </w:tcBorders>
            <w:noWrap/>
          </w:tcPr>
          <w:p w14:paraId="60D25702"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2004</w:t>
            </w:r>
          </w:p>
        </w:tc>
        <w:tc>
          <w:tcPr>
            <w:tcW w:w="792" w:type="pct"/>
            <w:tcBorders>
              <w:left w:val="single" w:sz="4" w:space="0" w:color="auto"/>
            </w:tcBorders>
            <w:noWrap/>
            <w:hideMark/>
          </w:tcPr>
          <w:p w14:paraId="0060D952"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sidR="00593309">
              <w:rPr>
                <w:rFonts w:eastAsia="Times New Roman" w:cs="Arial"/>
                <w:color w:val="000000"/>
                <w:lang w:eastAsia="en-AU"/>
              </w:rPr>
              <w:t>,</w:t>
            </w:r>
            <w:r w:rsidRPr="00FB0391">
              <w:rPr>
                <w:rFonts w:eastAsia="Times New Roman" w:cs="Arial"/>
                <w:color w:val="000000"/>
                <w:lang w:eastAsia="en-AU"/>
              </w:rPr>
              <w:t>100</w:t>
            </w:r>
          </w:p>
        </w:tc>
        <w:tc>
          <w:tcPr>
            <w:tcW w:w="412" w:type="pct"/>
            <w:tcBorders>
              <w:right w:val="single" w:sz="4" w:space="0" w:color="auto"/>
            </w:tcBorders>
          </w:tcPr>
          <w:p w14:paraId="1E7DE05B"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(28.4%)</w:t>
            </w:r>
          </w:p>
        </w:tc>
        <w:tc>
          <w:tcPr>
            <w:tcW w:w="413" w:type="pct"/>
            <w:tcBorders>
              <w:left w:val="single" w:sz="4" w:space="0" w:color="auto"/>
            </w:tcBorders>
            <w:noWrap/>
            <w:hideMark/>
          </w:tcPr>
          <w:p w14:paraId="5E14B410"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8</w:t>
            </w:r>
            <w:r w:rsidR="00593309">
              <w:rPr>
                <w:rFonts w:eastAsia="Times New Roman" w:cs="Arial"/>
                <w:color w:val="000000"/>
                <w:lang w:eastAsia="en-AU"/>
              </w:rPr>
              <w:t>,</w:t>
            </w:r>
            <w:r w:rsidRPr="00FB0391">
              <w:rPr>
                <w:rFonts w:eastAsia="Times New Roman" w:cs="Arial"/>
                <w:color w:val="000000"/>
                <w:lang w:eastAsia="en-AU"/>
              </w:rPr>
              <w:t>654</w:t>
            </w:r>
          </w:p>
        </w:tc>
        <w:tc>
          <w:tcPr>
            <w:tcW w:w="412" w:type="pct"/>
            <w:tcBorders>
              <w:right w:val="single" w:sz="4" w:space="0" w:color="auto"/>
            </w:tcBorders>
          </w:tcPr>
          <w:p w14:paraId="5B4CAA18"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(34.6%)</w:t>
            </w:r>
          </w:p>
        </w:tc>
        <w:tc>
          <w:tcPr>
            <w:tcW w:w="702" w:type="pct"/>
            <w:tcBorders>
              <w:left w:val="single" w:sz="4" w:space="0" w:color="auto"/>
            </w:tcBorders>
            <w:noWrap/>
            <w:hideMark/>
          </w:tcPr>
          <w:p w14:paraId="27264438"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sidR="00593309">
              <w:rPr>
                <w:rFonts w:eastAsia="Times New Roman" w:cs="Arial"/>
                <w:color w:val="000000"/>
                <w:lang w:eastAsia="en-AU"/>
              </w:rPr>
              <w:t>,</w:t>
            </w:r>
            <w:r w:rsidRPr="00FB0391">
              <w:rPr>
                <w:rFonts w:eastAsia="Times New Roman" w:cs="Arial"/>
                <w:color w:val="000000"/>
                <w:lang w:eastAsia="en-AU"/>
              </w:rPr>
              <w:t>231</w:t>
            </w:r>
          </w:p>
        </w:tc>
        <w:tc>
          <w:tcPr>
            <w:tcW w:w="412" w:type="pct"/>
            <w:tcBorders>
              <w:right w:val="single" w:sz="4" w:space="0" w:color="auto"/>
            </w:tcBorders>
          </w:tcPr>
          <w:p w14:paraId="0213E899"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(24.9%)</w:t>
            </w:r>
          </w:p>
        </w:tc>
        <w:tc>
          <w:tcPr>
            <w:tcW w:w="639" w:type="pct"/>
            <w:tcBorders>
              <w:left w:val="single" w:sz="4" w:space="0" w:color="auto"/>
            </w:tcBorders>
            <w:noWrap/>
            <w:hideMark/>
          </w:tcPr>
          <w:p w14:paraId="50CED74D"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sidR="00593309">
              <w:rPr>
                <w:rFonts w:eastAsia="Times New Roman" w:cs="Arial"/>
                <w:color w:val="000000"/>
                <w:lang w:eastAsia="en-AU"/>
              </w:rPr>
              <w:t>,</w:t>
            </w:r>
            <w:r w:rsidRPr="00FB0391">
              <w:rPr>
                <w:rFonts w:eastAsia="Times New Roman" w:cs="Arial"/>
                <w:color w:val="000000"/>
                <w:lang w:eastAsia="en-AU"/>
              </w:rPr>
              <w:t>048</w:t>
            </w:r>
          </w:p>
        </w:tc>
        <w:tc>
          <w:tcPr>
            <w:tcW w:w="412" w:type="pct"/>
            <w:tcBorders>
              <w:right w:val="single" w:sz="4" w:space="0" w:color="auto"/>
            </w:tcBorders>
          </w:tcPr>
          <w:p w14:paraId="2A2674C6"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(12.2%)</w:t>
            </w:r>
          </w:p>
        </w:tc>
        <w:tc>
          <w:tcPr>
            <w:tcW w:w="428" w:type="pct"/>
            <w:tcBorders>
              <w:left w:val="single" w:sz="4" w:space="0" w:color="auto"/>
              <w:right w:val="single" w:sz="4" w:space="0" w:color="auto"/>
            </w:tcBorders>
            <w:noWrap/>
            <w:hideMark/>
          </w:tcPr>
          <w:p w14:paraId="205AAB92" w14:textId="77777777" w:rsidR="000D64F0" w:rsidRPr="0019621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25</w:t>
            </w:r>
            <w:r w:rsidR="00593309">
              <w:rPr>
                <w:rFonts w:eastAsia="Times New Roman" w:cs="Arial"/>
                <w:b/>
                <w:color w:val="auto"/>
                <w:lang w:eastAsia="en-AU"/>
              </w:rPr>
              <w:t>,</w:t>
            </w:r>
            <w:r w:rsidRPr="00196211">
              <w:rPr>
                <w:rFonts w:eastAsia="Times New Roman" w:cs="Arial"/>
                <w:b/>
                <w:color w:val="auto"/>
                <w:lang w:eastAsia="en-AU"/>
              </w:rPr>
              <w:t>033</w:t>
            </w:r>
          </w:p>
        </w:tc>
      </w:tr>
      <w:tr w:rsidR="000D64F0" w:rsidRPr="00E37227" w14:paraId="33B79E78"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right w:val="single" w:sz="4" w:space="0" w:color="auto"/>
            </w:tcBorders>
            <w:noWrap/>
          </w:tcPr>
          <w:p w14:paraId="05EF36EE"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2005</w:t>
            </w:r>
          </w:p>
        </w:tc>
        <w:tc>
          <w:tcPr>
            <w:tcW w:w="792" w:type="pct"/>
            <w:tcBorders>
              <w:left w:val="single" w:sz="4" w:space="0" w:color="auto"/>
            </w:tcBorders>
            <w:noWrap/>
            <w:hideMark/>
          </w:tcPr>
          <w:p w14:paraId="451AF950"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sidR="00593309">
              <w:rPr>
                <w:rFonts w:eastAsia="Times New Roman" w:cs="Arial"/>
                <w:color w:val="000000"/>
                <w:lang w:eastAsia="en-AU"/>
              </w:rPr>
              <w:t>,</w:t>
            </w:r>
            <w:r w:rsidRPr="00FB0391">
              <w:rPr>
                <w:rFonts w:eastAsia="Times New Roman" w:cs="Arial"/>
                <w:color w:val="000000"/>
                <w:lang w:eastAsia="en-AU"/>
              </w:rPr>
              <w:t>836</w:t>
            </w:r>
          </w:p>
        </w:tc>
        <w:tc>
          <w:tcPr>
            <w:tcW w:w="412" w:type="pct"/>
            <w:tcBorders>
              <w:right w:val="single" w:sz="4" w:space="0" w:color="auto"/>
            </w:tcBorders>
          </w:tcPr>
          <w:p w14:paraId="36DB5C63"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(28.9%)</w:t>
            </w:r>
          </w:p>
        </w:tc>
        <w:tc>
          <w:tcPr>
            <w:tcW w:w="413" w:type="pct"/>
            <w:tcBorders>
              <w:left w:val="single" w:sz="4" w:space="0" w:color="auto"/>
            </w:tcBorders>
            <w:noWrap/>
            <w:hideMark/>
          </w:tcPr>
          <w:p w14:paraId="18741224"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8</w:t>
            </w:r>
            <w:r w:rsidR="00593309">
              <w:rPr>
                <w:rFonts w:eastAsia="Times New Roman" w:cs="Arial"/>
                <w:color w:val="000000"/>
                <w:lang w:eastAsia="en-AU"/>
              </w:rPr>
              <w:t>,</w:t>
            </w:r>
            <w:r w:rsidRPr="00FB0391">
              <w:rPr>
                <w:rFonts w:eastAsia="Times New Roman" w:cs="Arial"/>
                <w:color w:val="000000"/>
                <w:lang w:eastAsia="en-AU"/>
              </w:rPr>
              <w:t>274</w:t>
            </w:r>
          </w:p>
        </w:tc>
        <w:tc>
          <w:tcPr>
            <w:tcW w:w="412" w:type="pct"/>
            <w:tcBorders>
              <w:right w:val="single" w:sz="4" w:space="0" w:color="auto"/>
            </w:tcBorders>
          </w:tcPr>
          <w:p w14:paraId="37E8B031"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(34.9%)</w:t>
            </w:r>
          </w:p>
        </w:tc>
        <w:tc>
          <w:tcPr>
            <w:tcW w:w="702" w:type="pct"/>
            <w:tcBorders>
              <w:left w:val="single" w:sz="4" w:space="0" w:color="auto"/>
            </w:tcBorders>
            <w:noWrap/>
            <w:hideMark/>
          </w:tcPr>
          <w:p w14:paraId="74BC1BB8"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5</w:t>
            </w:r>
            <w:r w:rsidR="00593309">
              <w:rPr>
                <w:rFonts w:eastAsia="Times New Roman" w:cs="Arial"/>
                <w:color w:val="000000"/>
                <w:lang w:eastAsia="en-AU"/>
              </w:rPr>
              <w:t>,</w:t>
            </w:r>
            <w:r w:rsidRPr="00FB0391">
              <w:rPr>
                <w:rFonts w:eastAsia="Times New Roman" w:cs="Arial"/>
                <w:color w:val="000000"/>
                <w:lang w:eastAsia="en-AU"/>
              </w:rPr>
              <w:t>787</w:t>
            </w:r>
          </w:p>
        </w:tc>
        <w:tc>
          <w:tcPr>
            <w:tcW w:w="412" w:type="pct"/>
            <w:tcBorders>
              <w:right w:val="single" w:sz="4" w:space="0" w:color="auto"/>
            </w:tcBorders>
          </w:tcPr>
          <w:p w14:paraId="6F804C77"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(24.4%)</w:t>
            </w:r>
          </w:p>
        </w:tc>
        <w:tc>
          <w:tcPr>
            <w:tcW w:w="639" w:type="pct"/>
            <w:tcBorders>
              <w:left w:val="single" w:sz="4" w:space="0" w:color="auto"/>
            </w:tcBorders>
            <w:noWrap/>
            <w:hideMark/>
          </w:tcPr>
          <w:p w14:paraId="28025D5B"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sidR="00593309">
              <w:rPr>
                <w:rFonts w:eastAsia="Times New Roman" w:cs="Arial"/>
                <w:color w:val="000000"/>
                <w:lang w:eastAsia="en-AU"/>
              </w:rPr>
              <w:t>,</w:t>
            </w:r>
            <w:r w:rsidRPr="00FB0391">
              <w:rPr>
                <w:rFonts w:eastAsia="Times New Roman" w:cs="Arial"/>
                <w:color w:val="000000"/>
                <w:lang w:eastAsia="en-AU"/>
              </w:rPr>
              <w:t>812</w:t>
            </w:r>
          </w:p>
        </w:tc>
        <w:tc>
          <w:tcPr>
            <w:tcW w:w="412" w:type="pct"/>
            <w:tcBorders>
              <w:right w:val="single" w:sz="4" w:space="0" w:color="auto"/>
            </w:tcBorders>
          </w:tcPr>
          <w:p w14:paraId="7DC423BA"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(11.9%)</w:t>
            </w:r>
          </w:p>
        </w:tc>
        <w:tc>
          <w:tcPr>
            <w:tcW w:w="428" w:type="pct"/>
            <w:tcBorders>
              <w:left w:val="single" w:sz="4" w:space="0" w:color="auto"/>
              <w:right w:val="single" w:sz="4" w:space="0" w:color="auto"/>
            </w:tcBorders>
            <w:noWrap/>
            <w:hideMark/>
          </w:tcPr>
          <w:p w14:paraId="689B9532"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23</w:t>
            </w:r>
            <w:r w:rsidR="00593309">
              <w:rPr>
                <w:rFonts w:eastAsia="Times New Roman" w:cs="Arial"/>
                <w:b/>
                <w:color w:val="auto"/>
                <w:lang w:eastAsia="en-AU"/>
              </w:rPr>
              <w:t>,</w:t>
            </w:r>
            <w:r w:rsidRPr="00196211">
              <w:rPr>
                <w:rFonts w:eastAsia="Times New Roman" w:cs="Arial"/>
                <w:b/>
                <w:color w:val="auto"/>
                <w:lang w:eastAsia="en-AU"/>
              </w:rPr>
              <w:t>709</w:t>
            </w:r>
          </w:p>
        </w:tc>
      </w:tr>
      <w:tr w:rsidR="000D64F0" w:rsidRPr="00E37227" w14:paraId="77229004"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right w:val="single" w:sz="4" w:space="0" w:color="auto"/>
            </w:tcBorders>
            <w:noWrap/>
          </w:tcPr>
          <w:p w14:paraId="26472C60"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2006</w:t>
            </w:r>
          </w:p>
        </w:tc>
        <w:tc>
          <w:tcPr>
            <w:tcW w:w="792" w:type="pct"/>
            <w:tcBorders>
              <w:left w:val="single" w:sz="4" w:space="0" w:color="auto"/>
            </w:tcBorders>
            <w:noWrap/>
            <w:hideMark/>
          </w:tcPr>
          <w:p w14:paraId="137E1CFE"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sidR="00593309">
              <w:rPr>
                <w:rFonts w:eastAsia="Times New Roman" w:cs="Arial"/>
                <w:color w:val="000000"/>
                <w:lang w:eastAsia="en-AU"/>
              </w:rPr>
              <w:t>,</w:t>
            </w:r>
            <w:r w:rsidRPr="00FB0391">
              <w:rPr>
                <w:rFonts w:eastAsia="Times New Roman" w:cs="Arial"/>
                <w:color w:val="000000"/>
                <w:lang w:eastAsia="en-AU"/>
              </w:rPr>
              <w:t>613</w:t>
            </w:r>
          </w:p>
        </w:tc>
        <w:tc>
          <w:tcPr>
            <w:tcW w:w="412" w:type="pct"/>
            <w:tcBorders>
              <w:right w:val="single" w:sz="4" w:space="0" w:color="auto"/>
            </w:tcBorders>
          </w:tcPr>
          <w:p w14:paraId="682B0600"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(31.8%)</w:t>
            </w:r>
          </w:p>
        </w:tc>
        <w:tc>
          <w:tcPr>
            <w:tcW w:w="413" w:type="pct"/>
            <w:tcBorders>
              <w:left w:val="single" w:sz="4" w:space="0" w:color="auto"/>
            </w:tcBorders>
            <w:noWrap/>
            <w:hideMark/>
          </w:tcPr>
          <w:p w14:paraId="55922403"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sidR="00593309">
              <w:rPr>
                <w:rFonts w:eastAsia="Times New Roman" w:cs="Arial"/>
                <w:color w:val="000000"/>
                <w:lang w:eastAsia="en-AU"/>
              </w:rPr>
              <w:t>,</w:t>
            </w:r>
            <w:r w:rsidRPr="00FB0391">
              <w:rPr>
                <w:rFonts w:eastAsia="Times New Roman" w:cs="Arial"/>
                <w:color w:val="000000"/>
                <w:lang w:eastAsia="en-AU"/>
              </w:rPr>
              <w:t>977</w:t>
            </w:r>
          </w:p>
        </w:tc>
        <w:tc>
          <w:tcPr>
            <w:tcW w:w="412" w:type="pct"/>
            <w:tcBorders>
              <w:right w:val="single" w:sz="4" w:space="0" w:color="auto"/>
            </w:tcBorders>
          </w:tcPr>
          <w:p w14:paraId="627C6426"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(29.1%)</w:t>
            </w:r>
          </w:p>
        </w:tc>
        <w:tc>
          <w:tcPr>
            <w:tcW w:w="702" w:type="pct"/>
            <w:tcBorders>
              <w:left w:val="single" w:sz="4" w:space="0" w:color="auto"/>
            </w:tcBorders>
            <w:noWrap/>
            <w:hideMark/>
          </w:tcPr>
          <w:p w14:paraId="591AF692"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sidR="00593309">
              <w:rPr>
                <w:rFonts w:eastAsia="Times New Roman" w:cs="Arial"/>
                <w:color w:val="000000"/>
                <w:lang w:eastAsia="en-AU"/>
              </w:rPr>
              <w:t>,</w:t>
            </w:r>
            <w:r w:rsidRPr="00FB0391">
              <w:rPr>
                <w:rFonts w:eastAsia="Times New Roman" w:cs="Arial"/>
                <w:color w:val="000000"/>
                <w:lang w:eastAsia="en-AU"/>
              </w:rPr>
              <w:t>497</w:t>
            </w:r>
          </w:p>
        </w:tc>
        <w:tc>
          <w:tcPr>
            <w:tcW w:w="412" w:type="pct"/>
            <w:tcBorders>
              <w:right w:val="single" w:sz="4" w:space="0" w:color="auto"/>
            </w:tcBorders>
          </w:tcPr>
          <w:p w14:paraId="7A722709"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(27.1%)</w:t>
            </w:r>
          </w:p>
        </w:tc>
        <w:tc>
          <w:tcPr>
            <w:tcW w:w="639" w:type="pct"/>
            <w:tcBorders>
              <w:left w:val="single" w:sz="4" w:space="0" w:color="auto"/>
            </w:tcBorders>
            <w:noWrap/>
            <w:hideMark/>
          </w:tcPr>
          <w:p w14:paraId="085088F9"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sidR="00593309">
              <w:rPr>
                <w:rFonts w:eastAsia="Times New Roman" w:cs="Arial"/>
                <w:color w:val="000000"/>
                <w:lang w:eastAsia="en-AU"/>
              </w:rPr>
              <w:t>,</w:t>
            </w:r>
            <w:r w:rsidRPr="00FB0391">
              <w:rPr>
                <w:rFonts w:eastAsia="Times New Roman" w:cs="Arial"/>
                <w:color w:val="000000"/>
                <w:lang w:eastAsia="en-AU"/>
              </w:rPr>
              <w:t>850</w:t>
            </w:r>
          </w:p>
        </w:tc>
        <w:tc>
          <w:tcPr>
            <w:tcW w:w="412" w:type="pct"/>
            <w:tcBorders>
              <w:right w:val="single" w:sz="4" w:space="0" w:color="auto"/>
            </w:tcBorders>
          </w:tcPr>
          <w:p w14:paraId="14A35FF2"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(11.9%)</w:t>
            </w:r>
          </w:p>
        </w:tc>
        <w:tc>
          <w:tcPr>
            <w:tcW w:w="428" w:type="pct"/>
            <w:tcBorders>
              <w:left w:val="single" w:sz="4" w:space="0" w:color="auto"/>
              <w:right w:val="single" w:sz="4" w:space="0" w:color="auto"/>
            </w:tcBorders>
            <w:noWrap/>
            <w:hideMark/>
          </w:tcPr>
          <w:p w14:paraId="5AA49630" w14:textId="77777777" w:rsidR="000D64F0" w:rsidRPr="0019621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23</w:t>
            </w:r>
            <w:r w:rsidR="00593309">
              <w:rPr>
                <w:rFonts w:eastAsia="Times New Roman" w:cs="Arial"/>
                <w:b/>
                <w:color w:val="auto"/>
                <w:lang w:eastAsia="en-AU"/>
              </w:rPr>
              <w:t>,</w:t>
            </w:r>
            <w:r w:rsidRPr="00196211">
              <w:rPr>
                <w:rFonts w:eastAsia="Times New Roman" w:cs="Arial"/>
                <w:b/>
                <w:color w:val="auto"/>
                <w:lang w:eastAsia="en-AU"/>
              </w:rPr>
              <w:t>937</w:t>
            </w:r>
          </w:p>
        </w:tc>
      </w:tr>
      <w:tr w:rsidR="000D64F0" w:rsidRPr="00E37227" w14:paraId="187CAFC2"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right w:val="single" w:sz="4" w:space="0" w:color="auto"/>
            </w:tcBorders>
            <w:noWrap/>
          </w:tcPr>
          <w:p w14:paraId="03FBEED4"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2007</w:t>
            </w:r>
          </w:p>
        </w:tc>
        <w:tc>
          <w:tcPr>
            <w:tcW w:w="792" w:type="pct"/>
            <w:tcBorders>
              <w:left w:val="single" w:sz="4" w:space="0" w:color="auto"/>
            </w:tcBorders>
            <w:noWrap/>
            <w:hideMark/>
          </w:tcPr>
          <w:p w14:paraId="7305FAC7"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sidR="00593309">
              <w:rPr>
                <w:rFonts w:eastAsia="Times New Roman" w:cs="Arial"/>
                <w:color w:val="000000"/>
                <w:lang w:eastAsia="en-AU"/>
              </w:rPr>
              <w:t>,</w:t>
            </w:r>
            <w:r w:rsidRPr="00FB0391">
              <w:rPr>
                <w:rFonts w:eastAsia="Times New Roman" w:cs="Arial"/>
                <w:color w:val="000000"/>
                <w:lang w:eastAsia="en-AU"/>
              </w:rPr>
              <w:t>678</w:t>
            </w:r>
          </w:p>
        </w:tc>
        <w:tc>
          <w:tcPr>
            <w:tcW w:w="412" w:type="pct"/>
            <w:tcBorders>
              <w:right w:val="single" w:sz="4" w:space="0" w:color="auto"/>
            </w:tcBorders>
          </w:tcPr>
          <w:p w14:paraId="4772943C"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(27.4%)</w:t>
            </w:r>
          </w:p>
        </w:tc>
        <w:tc>
          <w:tcPr>
            <w:tcW w:w="413" w:type="pct"/>
            <w:tcBorders>
              <w:left w:val="single" w:sz="4" w:space="0" w:color="auto"/>
            </w:tcBorders>
            <w:noWrap/>
            <w:hideMark/>
          </w:tcPr>
          <w:p w14:paraId="11ADAA06"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10</w:t>
            </w:r>
            <w:r w:rsidR="00593309">
              <w:rPr>
                <w:rFonts w:eastAsia="Times New Roman" w:cs="Arial"/>
                <w:color w:val="000000"/>
                <w:lang w:eastAsia="en-AU"/>
              </w:rPr>
              <w:t>,</w:t>
            </w:r>
            <w:r w:rsidRPr="00FB0391">
              <w:rPr>
                <w:rFonts w:eastAsia="Times New Roman" w:cs="Arial"/>
                <w:color w:val="000000"/>
                <w:lang w:eastAsia="en-AU"/>
              </w:rPr>
              <w:t>005</w:t>
            </w:r>
          </w:p>
        </w:tc>
        <w:tc>
          <w:tcPr>
            <w:tcW w:w="412" w:type="pct"/>
            <w:tcBorders>
              <w:right w:val="single" w:sz="4" w:space="0" w:color="auto"/>
            </w:tcBorders>
          </w:tcPr>
          <w:p w14:paraId="4E60750E"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(41.1%)</w:t>
            </w:r>
          </w:p>
        </w:tc>
        <w:tc>
          <w:tcPr>
            <w:tcW w:w="702" w:type="pct"/>
            <w:tcBorders>
              <w:left w:val="single" w:sz="4" w:space="0" w:color="auto"/>
            </w:tcBorders>
            <w:noWrap/>
            <w:hideMark/>
          </w:tcPr>
          <w:p w14:paraId="657781DC"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5</w:t>
            </w:r>
            <w:r w:rsidR="00593309">
              <w:rPr>
                <w:rFonts w:eastAsia="Times New Roman" w:cs="Arial"/>
                <w:color w:val="000000"/>
                <w:lang w:eastAsia="en-AU"/>
              </w:rPr>
              <w:t>,</w:t>
            </w:r>
            <w:r w:rsidRPr="00FB0391">
              <w:rPr>
                <w:rFonts w:eastAsia="Times New Roman" w:cs="Arial"/>
                <w:color w:val="000000"/>
                <w:lang w:eastAsia="en-AU"/>
              </w:rPr>
              <w:t>887</w:t>
            </w:r>
          </w:p>
        </w:tc>
        <w:tc>
          <w:tcPr>
            <w:tcW w:w="412" w:type="pct"/>
            <w:tcBorders>
              <w:right w:val="single" w:sz="4" w:space="0" w:color="auto"/>
            </w:tcBorders>
          </w:tcPr>
          <w:p w14:paraId="34BDC4B7"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(24.2%)</w:t>
            </w:r>
          </w:p>
        </w:tc>
        <w:tc>
          <w:tcPr>
            <w:tcW w:w="639" w:type="pct"/>
            <w:tcBorders>
              <w:left w:val="single" w:sz="4" w:space="0" w:color="auto"/>
            </w:tcBorders>
            <w:noWrap/>
            <w:hideMark/>
          </w:tcPr>
          <w:p w14:paraId="6F307A9E"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w:t>
            </w:r>
            <w:r w:rsidR="00593309">
              <w:rPr>
                <w:rFonts w:eastAsia="Times New Roman" w:cs="Arial"/>
                <w:color w:val="000000"/>
                <w:lang w:eastAsia="en-AU"/>
              </w:rPr>
              <w:t>,</w:t>
            </w:r>
            <w:r w:rsidRPr="00FB0391">
              <w:rPr>
                <w:rFonts w:eastAsia="Times New Roman" w:cs="Arial"/>
                <w:color w:val="000000"/>
                <w:lang w:eastAsia="en-AU"/>
              </w:rPr>
              <w:t>799</w:t>
            </w:r>
          </w:p>
        </w:tc>
        <w:tc>
          <w:tcPr>
            <w:tcW w:w="412" w:type="pct"/>
            <w:tcBorders>
              <w:right w:val="single" w:sz="4" w:space="0" w:color="auto"/>
            </w:tcBorders>
          </w:tcPr>
          <w:p w14:paraId="31DCECF2"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(7.4%)</w:t>
            </w:r>
          </w:p>
        </w:tc>
        <w:tc>
          <w:tcPr>
            <w:tcW w:w="428" w:type="pct"/>
            <w:tcBorders>
              <w:left w:val="single" w:sz="4" w:space="0" w:color="auto"/>
              <w:right w:val="single" w:sz="4" w:space="0" w:color="auto"/>
            </w:tcBorders>
            <w:noWrap/>
            <w:hideMark/>
          </w:tcPr>
          <w:p w14:paraId="037AC8F9"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24</w:t>
            </w:r>
            <w:r w:rsidR="00593309">
              <w:rPr>
                <w:rFonts w:eastAsia="Times New Roman" w:cs="Arial"/>
                <w:b/>
                <w:color w:val="auto"/>
                <w:lang w:eastAsia="en-AU"/>
              </w:rPr>
              <w:t>,</w:t>
            </w:r>
            <w:r w:rsidRPr="00196211">
              <w:rPr>
                <w:rFonts w:eastAsia="Times New Roman" w:cs="Arial"/>
                <w:b/>
                <w:color w:val="auto"/>
                <w:lang w:eastAsia="en-AU"/>
              </w:rPr>
              <w:t>369</w:t>
            </w:r>
          </w:p>
        </w:tc>
      </w:tr>
      <w:tr w:rsidR="000D64F0" w:rsidRPr="00E37227" w14:paraId="658A8717"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right w:val="single" w:sz="4" w:space="0" w:color="auto"/>
            </w:tcBorders>
            <w:noWrap/>
          </w:tcPr>
          <w:p w14:paraId="026F5AE8"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2008</w:t>
            </w:r>
          </w:p>
        </w:tc>
        <w:tc>
          <w:tcPr>
            <w:tcW w:w="792" w:type="pct"/>
            <w:tcBorders>
              <w:left w:val="single" w:sz="4" w:space="0" w:color="auto"/>
            </w:tcBorders>
            <w:noWrap/>
            <w:hideMark/>
          </w:tcPr>
          <w:p w14:paraId="04FF16F4"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9</w:t>
            </w:r>
            <w:r w:rsidR="00593309">
              <w:rPr>
                <w:rFonts w:eastAsia="Times New Roman" w:cs="Arial"/>
                <w:color w:val="000000"/>
                <w:lang w:eastAsia="en-AU"/>
              </w:rPr>
              <w:t>,</w:t>
            </w:r>
            <w:r w:rsidRPr="00FB0391">
              <w:rPr>
                <w:rFonts w:eastAsia="Times New Roman" w:cs="Arial"/>
                <w:color w:val="000000"/>
                <w:lang w:eastAsia="en-AU"/>
              </w:rPr>
              <w:t>791</w:t>
            </w:r>
          </w:p>
        </w:tc>
        <w:tc>
          <w:tcPr>
            <w:tcW w:w="412" w:type="pct"/>
            <w:tcBorders>
              <w:right w:val="single" w:sz="4" w:space="0" w:color="auto"/>
            </w:tcBorders>
          </w:tcPr>
          <w:p w14:paraId="4920499C"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(39.5%)</w:t>
            </w:r>
          </w:p>
        </w:tc>
        <w:tc>
          <w:tcPr>
            <w:tcW w:w="413" w:type="pct"/>
            <w:tcBorders>
              <w:left w:val="single" w:sz="4" w:space="0" w:color="auto"/>
            </w:tcBorders>
            <w:noWrap/>
            <w:hideMark/>
          </w:tcPr>
          <w:p w14:paraId="76B4D4A1"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5</w:t>
            </w:r>
            <w:r w:rsidR="00593309">
              <w:rPr>
                <w:rFonts w:eastAsia="Times New Roman" w:cs="Arial"/>
                <w:color w:val="000000"/>
                <w:lang w:eastAsia="en-AU"/>
              </w:rPr>
              <w:t>,</w:t>
            </w:r>
            <w:r w:rsidRPr="00FB0391">
              <w:rPr>
                <w:rFonts w:eastAsia="Times New Roman" w:cs="Arial"/>
                <w:color w:val="000000"/>
                <w:lang w:eastAsia="en-AU"/>
              </w:rPr>
              <w:t>849</w:t>
            </w:r>
          </w:p>
        </w:tc>
        <w:tc>
          <w:tcPr>
            <w:tcW w:w="412" w:type="pct"/>
            <w:tcBorders>
              <w:right w:val="single" w:sz="4" w:space="0" w:color="auto"/>
            </w:tcBorders>
          </w:tcPr>
          <w:p w14:paraId="124E15C8"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(23.6%)</w:t>
            </w:r>
          </w:p>
        </w:tc>
        <w:tc>
          <w:tcPr>
            <w:tcW w:w="702" w:type="pct"/>
            <w:tcBorders>
              <w:left w:val="single" w:sz="4" w:space="0" w:color="auto"/>
            </w:tcBorders>
            <w:noWrap/>
            <w:hideMark/>
          </w:tcPr>
          <w:p w14:paraId="58A665B5"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sidR="00593309">
              <w:rPr>
                <w:rFonts w:eastAsia="Times New Roman" w:cs="Arial"/>
                <w:color w:val="000000"/>
                <w:lang w:eastAsia="en-AU"/>
              </w:rPr>
              <w:t>,</w:t>
            </w:r>
            <w:r w:rsidRPr="00FB0391">
              <w:rPr>
                <w:rFonts w:eastAsia="Times New Roman" w:cs="Arial"/>
                <w:color w:val="000000"/>
                <w:lang w:eastAsia="en-AU"/>
              </w:rPr>
              <w:t>760</w:t>
            </w:r>
          </w:p>
        </w:tc>
        <w:tc>
          <w:tcPr>
            <w:tcW w:w="412" w:type="pct"/>
            <w:tcBorders>
              <w:right w:val="single" w:sz="4" w:space="0" w:color="auto"/>
            </w:tcBorders>
          </w:tcPr>
          <w:p w14:paraId="0298B89C"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(27.3%)</w:t>
            </w:r>
          </w:p>
        </w:tc>
        <w:tc>
          <w:tcPr>
            <w:tcW w:w="639" w:type="pct"/>
            <w:tcBorders>
              <w:left w:val="single" w:sz="4" w:space="0" w:color="auto"/>
            </w:tcBorders>
            <w:noWrap/>
            <w:hideMark/>
          </w:tcPr>
          <w:p w14:paraId="37EEE2B5"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sidR="00593309">
              <w:rPr>
                <w:rFonts w:eastAsia="Times New Roman" w:cs="Arial"/>
                <w:color w:val="000000"/>
                <w:lang w:eastAsia="en-AU"/>
              </w:rPr>
              <w:t>,</w:t>
            </w:r>
            <w:r w:rsidRPr="00FB0391">
              <w:rPr>
                <w:rFonts w:eastAsia="Times New Roman" w:cs="Arial"/>
                <w:color w:val="000000"/>
                <w:lang w:eastAsia="en-AU"/>
              </w:rPr>
              <w:t>377</w:t>
            </w:r>
          </w:p>
        </w:tc>
        <w:tc>
          <w:tcPr>
            <w:tcW w:w="412" w:type="pct"/>
            <w:tcBorders>
              <w:right w:val="single" w:sz="4" w:space="0" w:color="auto"/>
            </w:tcBorders>
          </w:tcPr>
          <w:p w14:paraId="627C0FC6"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(9.6%)</w:t>
            </w:r>
          </w:p>
        </w:tc>
        <w:tc>
          <w:tcPr>
            <w:tcW w:w="428" w:type="pct"/>
            <w:tcBorders>
              <w:left w:val="single" w:sz="4" w:space="0" w:color="auto"/>
              <w:right w:val="single" w:sz="4" w:space="0" w:color="auto"/>
            </w:tcBorders>
            <w:noWrap/>
            <w:hideMark/>
          </w:tcPr>
          <w:p w14:paraId="4C75FD7D" w14:textId="77777777" w:rsidR="000D64F0" w:rsidRPr="0019621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24</w:t>
            </w:r>
            <w:r w:rsidR="00593309">
              <w:rPr>
                <w:rFonts w:eastAsia="Times New Roman" w:cs="Arial"/>
                <w:b/>
                <w:color w:val="auto"/>
                <w:lang w:eastAsia="en-AU"/>
              </w:rPr>
              <w:t>,</w:t>
            </w:r>
            <w:r w:rsidRPr="00196211">
              <w:rPr>
                <w:rFonts w:eastAsia="Times New Roman" w:cs="Arial"/>
                <w:b/>
                <w:color w:val="auto"/>
                <w:lang w:eastAsia="en-AU"/>
              </w:rPr>
              <w:t>777</w:t>
            </w:r>
          </w:p>
        </w:tc>
      </w:tr>
      <w:tr w:rsidR="000D64F0" w:rsidRPr="00E37227" w14:paraId="5A6B4C7D"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right w:val="single" w:sz="4" w:space="0" w:color="auto"/>
            </w:tcBorders>
            <w:noWrap/>
          </w:tcPr>
          <w:p w14:paraId="0E6D5FAA"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2009</w:t>
            </w:r>
          </w:p>
        </w:tc>
        <w:tc>
          <w:tcPr>
            <w:tcW w:w="792" w:type="pct"/>
            <w:tcBorders>
              <w:left w:val="single" w:sz="4" w:space="0" w:color="auto"/>
            </w:tcBorders>
            <w:noWrap/>
            <w:hideMark/>
          </w:tcPr>
          <w:p w14:paraId="14FBBC3A"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12</w:t>
            </w:r>
            <w:r w:rsidR="00593309">
              <w:rPr>
                <w:rFonts w:eastAsia="Times New Roman" w:cs="Arial"/>
                <w:color w:val="000000"/>
                <w:lang w:eastAsia="en-AU"/>
              </w:rPr>
              <w:t>,</w:t>
            </w:r>
            <w:r w:rsidRPr="00FB0391">
              <w:rPr>
                <w:rFonts w:eastAsia="Times New Roman" w:cs="Arial"/>
                <w:color w:val="000000"/>
                <w:lang w:eastAsia="en-AU"/>
              </w:rPr>
              <w:t>488</w:t>
            </w:r>
          </w:p>
        </w:tc>
        <w:tc>
          <w:tcPr>
            <w:tcW w:w="412" w:type="pct"/>
            <w:tcBorders>
              <w:right w:val="single" w:sz="4" w:space="0" w:color="auto"/>
            </w:tcBorders>
          </w:tcPr>
          <w:p w14:paraId="1870AAC8"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(49.4%)</w:t>
            </w:r>
          </w:p>
        </w:tc>
        <w:tc>
          <w:tcPr>
            <w:tcW w:w="413" w:type="pct"/>
            <w:tcBorders>
              <w:left w:val="single" w:sz="4" w:space="0" w:color="auto"/>
            </w:tcBorders>
            <w:noWrap/>
            <w:hideMark/>
          </w:tcPr>
          <w:p w14:paraId="3554667E"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sidR="00593309">
              <w:rPr>
                <w:rFonts w:eastAsia="Times New Roman" w:cs="Arial"/>
                <w:color w:val="000000"/>
                <w:lang w:eastAsia="en-AU"/>
              </w:rPr>
              <w:t>,</w:t>
            </w:r>
            <w:r w:rsidRPr="00FB0391">
              <w:rPr>
                <w:rFonts w:eastAsia="Times New Roman" w:cs="Arial"/>
                <w:color w:val="000000"/>
                <w:lang w:eastAsia="en-AU"/>
              </w:rPr>
              <w:t>633</w:t>
            </w:r>
          </w:p>
        </w:tc>
        <w:tc>
          <w:tcPr>
            <w:tcW w:w="412" w:type="pct"/>
            <w:tcBorders>
              <w:right w:val="single" w:sz="4" w:space="0" w:color="auto"/>
            </w:tcBorders>
          </w:tcPr>
          <w:p w14:paraId="01ECAD38"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(10.4%)</w:t>
            </w:r>
          </w:p>
        </w:tc>
        <w:tc>
          <w:tcPr>
            <w:tcW w:w="702" w:type="pct"/>
            <w:tcBorders>
              <w:left w:val="single" w:sz="4" w:space="0" w:color="auto"/>
            </w:tcBorders>
            <w:noWrap/>
            <w:hideMark/>
          </w:tcPr>
          <w:p w14:paraId="6FBDEEB8"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sidR="00593309">
              <w:rPr>
                <w:rFonts w:eastAsia="Times New Roman" w:cs="Arial"/>
                <w:color w:val="000000"/>
                <w:lang w:eastAsia="en-AU"/>
              </w:rPr>
              <w:t>,</w:t>
            </w:r>
            <w:r w:rsidRPr="00FB0391">
              <w:rPr>
                <w:rFonts w:eastAsia="Times New Roman" w:cs="Arial"/>
                <w:color w:val="000000"/>
                <w:lang w:eastAsia="en-AU"/>
              </w:rPr>
              <w:t>835</w:t>
            </w:r>
          </w:p>
        </w:tc>
        <w:tc>
          <w:tcPr>
            <w:tcW w:w="412" w:type="pct"/>
            <w:tcBorders>
              <w:right w:val="single" w:sz="4" w:space="0" w:color="auto"/>
            </w:tcBorders>
          </w:tcPr>
          <w:p w14:paraId="647BFD95"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(31%)</w:t>
            </w:r>
          </w:p>
        </w:tc>
        <w:tc>
          <w:tcPr>
            <w:tcW w:w="639" w:type="pct"/>
            <w:tcBorders>
              <w:left w:val="single" w:sz="4" w:space="0" w:color="auto"/>
            </w:tcBorders>
            <w:noWrap/>
            <w:hideMark/>
          </w:tcPr>
          <w:p w14:paraId="03BC2DE6"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sidR="00593309">
              <w:rPr>
                <w:rFonts w:eastAsia="Times New Roman" w:cs="Arial"/>
                <w:color w:val="000000"/>
                <w:lang w:eastAsia="en-AU"/>
              </w:rPr>
              <w:t>,</w:t>
            </w:r>
            <w:r w:rsidRPr="00FB0391">
              <w:rPr>
                <w:rFonts w:eastAsia="Times New Roman" w:cs="Arial"/>
                <w:color w:val="000000"/>
                <w:lang w:eastAsia="en-AU"/>
              </w:rPr>
              <w:t>311</w:t>
            </w:r>
          </w:p>
        </w:tc>
        <w:tc>
          <w:tcPr>
            <w:tcW w:w="412" w:type="pct"/>
            <w:tcBorders>
              <w:right w:val="single" w:sz="4" w:space="0" w:color="auto"/>
            </w:tcBorders>
          </w:tcPr>
          <w:p w14:paraId="65399231"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(9.1%)</w:t>
            </w:r>
          </w:p>
        </w:tc>
        <w:tc>
          <w:tcPr>
            <w:tcW w:w="428" w:type="pct"/>
            <w:tcBorders>
              <w:left w:val="single" w:sz="4" w:space="0" w:color="auto"/>
              <w:right w:val="single" w:sz="4" w:space="0" w:color="auto"/>
            </w:tcBorders>
            <w:noWrap/>
            <w:hideMark/>
          </w:tcPr>
          <w:p w14:paraId="6CAA4022"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25</w:t>
            </w:r>
            <w:r w:rsidR="00593309">
              <w:rPr>
                <w:rFonts w:eastAsia="Times New Roman" w:cs="Arial"/>
                <w:b/>
                <w:color w:val="auto"/>
                <w:lang w:eastAsia="en-AU"/>
              </w:rPr>
              <w:t>,</w:t>
            </w:r>
            <w:r w:rsidRPr="00196211">
              <w:rPr>
                <w:rFonts w:eastAsia="Times New Roman" w:cs="Arial"/>
                <w:b/>
                <w:color w:val="auto"/>
                <w:lang w:eastAsia="en-AU"/>
              </w:rPr>
              <w:t>267</w:t>
            </w:r>
          </w:p>
        </w:tc>
      </w:tr>
      <w:tr w:rsidR="000D64F0" w:rsidRPr="00E37227" w14:paraId="60D297CE"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right w:val="single" w:sz="4" w:space="0" w:color="auto"/>
            </w:tcBorders>
            <w:noWrap/>
          </w:tcPr>
          <w:p w14:paraId="6162463A"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2010</w:t>
            </w:r>
          </w:p>
        </w:tc>
        <w:tc>
          <w:tcPr>
            <w:tcW w:w="792" w:type="pct"/>
            <w:tcBorders>
              <w:left w:val="single" w:sz="4" w:space="0" w:color="auto"/>
            </w:tcBorders>
            <w:noWrap/>
            <w:hideMark/>
          </w:tcPr>
          <w:p w14:paraId="122D11B7"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13</w:t>
            </w:r>
            <w:r w:rsidR="00593309">
              <w:rPr>
                <w:rFonts w:eastAsia="Times New Roman" w:cs="Arial"/>
                <w:color w:val="000000"/>
                <w:lang w:eastAsia="en-AU"/>
              </w:rPr>
              <w:t>,</w:t>
            </w:r>
            <w:r w:rsidRPr="00FB0391">
              <w:rPr>
                <w:rFonts w:eastAsia="Times New Roman" w:cs="Arial"/>
                <w:color w:val="000000"/>
                <w:lang w:eastAsia="en-AU"/>
              </w:rPr>
              <w:t>793</w:t>
            </w:r>
          </w:p>
        </w:tc>
        <w:tc>
          <w:tcPr>
            <w:tcW w:w="412" w:type="pct"/>
            <w:tcBorders>
              <w:right w:val="single" w:sz="4" w:space="0" w:color="auto"/>
            </w:tcBorders>
          </w:tcPr>
          <w:p w14:paraId="660D4982"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(50.6%)</w:t>
            </w:r>
          </w:p>
        </w:tc>
        <w:tc>
          <w:tcPr>
            <w:tcW w:w="413" w:type="pct"/>
            <w:tcBorders>
              <w:left w:val="single" w:sz="4" w:space="0" w:color="auto"/>
            </w:tcBorders>
            <w:noWrap/>
            <w:hideMark/>
          </w:tcPr>
          <w:p w14:paraId="26C9EAA0"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sidR="00593309">
              <w:rPr>
                <w:rFonts w:eastAsia="Times New Roman" w:cs="Arial"/>
                <w:color w:val="000000"/>
                <w:lang w:eastAsia="en-AU"/>
              </w:rPr>
              <w:t>,</w:t>
            </w:r>
            <w:r w:rsidRPr="00FB0391">
              <w:rPr>
                <w:rFonts w:eastAsia="Times New Roman" w:cs="Arial"/>
                <w:color w:val="000000"/>
                <w:lang w:eastAsia="en-AU"/>
              </w:rPr>
              <w:t>195</w:t>
            </w:r>
          </w:p>
        </w:tc>
        <w:tc>
          <w:tcPr>
            <w:tcW w:w="412" w:type="pct"/>
            <w:tcBorders>
              <w:right w:val="single" w:sz="4" w:space="0" w:color="auto"/>
            </w:tcBorders>
          </w:tcPr>
          <w:p w14:paraId="2B3AD345"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(11.7%)</w:t>
            </w:r>
          </w:p>
        </w:tc>
        <w:tc>
          <w:tcPr>
            <w:tcW w:w="702" w:type="pct"/>
            <w:tcBorders>
              <w:left w:val="single" w:sz="4" w:space="0" w:color="auto"/>
            </w:tcBorders>
            <w:noWrap/>
            <w:hideMark/>
          </w:tcPr>
          <w:p w14:paraId="0AC7BB10"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sidR="00593309">
              <w:rPr>
                <w:rFonts w:eastAsia="Times New Roman" w:cs="Arial"/>
                <w:color w:val="000000"/>
                <w:lang w:eastAsia="en-AU"/>
              </w:rPr>
              <w:t>,</w:t>
            </w:r>
            <w:r w:rsidRPr="00FB0391">
              <w:rPr>
                <w:rFonts w:eastAsia="Times New Roman" w:cs="Arial"/>
                <w:color w:val="000000"/>
                <w:lang w:eastAsia="en-AU"/>
              </w:rPr>
              <w:t>531</w:t>
            </w:r>
          </w:p>
        </w:tc>
        <w:tc>
          <w:tcPr>
            <w:tcW w:w="412" w:type="pct"/>
            <w:tcBorders>
              <w:right w:val="single" w:sz="4" w:space="0" w:color="auto"/>
            </w:tcBorders>
          </w:tcPr>
          <w:p w14:paraId="2B6002BF"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(27.6%)</w:t>
            </w:r>
          </w:p>
        </w:tc>
        <w:tc>
          <w:tcPr>
            <w:tcW w:w="639" w:type="pct"/>
            <w:tcBorders>
              <w:left w:val="single" w:sz="4" w:space="0" w:color="auto"/>
            </w:tcBorders>
            <w:noWrap/>
            <w:hideMark/>
          </w:tcPr>
          <w:p w14:paraId="1D561A21"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sidR="00593309">
              <w:rPr>
                <w:rFonts w:eastAsia="Times New Roman" w:cs="Arial"/>
                <w:color w:val="000000"/>
                <w:lang w:eastAsia="en-AU"/>
              </w:rPr>
              <w:t>,</w:t>
            </w:r>
            <w:r w:rsidRPr="00FB0391">
              <w:rPr>
                <w:rFonts w:eastAsia="Times New Roman" w:cs="Arial"/>
                <w:color w:val="000000"/>
                <w:lang w:eastAsia="en-AU"/>
              </w:rPr>
              <w:t>757</w:t>
            </w:r>
          </w:p>
        </w:tc>
        <w:tc>
          <w:tcPr>
            <w:tcW w:w="412" w:type="pct"/>
            <w:tcBorders>
              <w:right w:val="single" w:sz="4" w:space="0" w:color="auto"/>
            </w:tcBorders>
          </w:tcPr>
          <w:p w14:paraId="0B351512"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(10.1%)</w:t>
            </w:r>
          </w:p>
        </w:tc>
        <w:tc>
          <w:tcPr>
            <w:tcW w:w="428" w:type="pct"/>
            <w:tcBorders>
              <w:left w:val="single" w:sz="4" w:space="0" w:color="auto"/>
              <w:right w:val="single" w:sz="4" w:space="0" w:color="auto"/>
            </w:tcBorders>
            <w:noWrap/>
            <w:hideMark/>
          </w:tcPr>
          <w:p w14:paraId="0E76060B" w14:textId="77777777" w:rsidR="000D64F0" w:rsidRPr="0019621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27</w:t>
            </w:r>
            <w:r w:rsidR="00593309">
              <w:rPr>
                <w:rFonts w:eastAsia="Times New Roman" w:cs="Arial"/>
                <w:b/>
                <w:color w:val="auto"/>
                <w:lang w:eastAsia="en-AU"/>
              </w:rPr>
              <w:t>,</w:t>
            </w:r>
            <w:r w:rsidRPr="00196211">
              <w:rPr>
                <w:rFonts w:eastAsia="Times New Roman" w:cs="Arial"/>
                <w:b/>
                <w:color w:val="auto"/>
                <w:lang w:eastAsia="en-AU"/>
              </w:rPr>
              <w:t>276</w:t>
            </w:r>
          </w:p>
        </w:tc>
      </w:tr>
      <w:tr w:rsidR="000D64F0" w:rsidRPr="00E37227" w14:paraId="724E9200" w14:textId="77777777" w:rsidTr="00407AC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right w:val="single" w:sz="4" w:space="0" w:color="auto"/>
            </w:tcBorders>
            <w:noWrap/>
          </w:tcPr>
          <w:p w14:paraId="0A16A270"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2011</w:t>
            </w:r>
          </w:p>
        </w:tc>
        <w:tc>
          <w:tcPr>
            <w:tcW w:w="792" w:type="pct"/>
            <w:tcBorders>
              <w:left w:val="single" w:sz="4" w:space="0" w:color="auto"/>
            </w:tcBorders>
            <w:noWrap/>
            <w:hideMark/>
          </w:tcPr>
          <w:p w14:paraId="21626C0B"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17</w:t>
            </w:r>
            <w:r w:rsidR="00593309">
              <w:rPr>
                <w:rFonts w:eastAsia="Times New Roman" w:cs="Arial"/>
                <w:color w:val="000000"/>
                <w:lang w:eastAsia="en-AU"/>
              </w:rPr>
              <w:t>,</w:t>
            </w:r>
            <w:r w:rsidRPr="00FB0391">
              <w:rPr>
                <w:rFonts w:eastAsia="Times New Roman" w:cs="Arial"/>
                <w:color w:val="000000"/>
                <w:lang w:eastAsia="en-AU"/>
              </w:rPr>
              <w:t>368</w:t>
            </w:r>
          </w:p>
        </w:tc>
        <w:tc>
          <w:tcPr>
            <w:tcW w:w="412" w:type="pct"/>
            <w:tcBorders>
              <w:right w:val="single" w:sz="4" w:space="0" w:color="auto"/>
            </w:tcBorders>
          </w:tcPr>
          <w:p w14:paraId="57D7B52A"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(55.9%)</w:t>
            </w:r>
          </w:p>
        </w:tc>
        <w:tc>
          <w:tcPr>
            <w:tcW w:w="413" w:type="pct"/>
            <w:tcBorders>
              <w:left w:val="single" w:sz="4" w:space="0" w:color="auto"/>
            </w:tcBorders>
            <w:noWrap/>
            <w:hideMark/>
          </w:tcPr>
          <w:p w14:paraId="094DFDED"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sidR="00593309">
              <w:rPr>
                <w:rFonts w:eastAsia="Times New Roman" w:cs="Arial"/>
                <w:color w:val="000000"/>
                <w:lang w:eastAsia="en-AU"/>
              </w:rPr>
              <w:t>,</w:t>
            </w:r>
            <w:r w:rsidRPr="00FB0391">
              <w:rPr>
                <w:rFonts w:eastAsia="Times New Roman" w:cs="Arial"/>
                <w:color w:val="000000"/>
                <w:lang w:eastAsia="en-AU"/>
              </w:rPr>
              <w:t>733</w:t>
            </w:r>
          </w:p>
        </w:tc>
        <w:tc>
          <w:tcPr>
            <w:tcW w:w="412" w:type="pct"/>
            <w:tcBorders>
              <w:right w:val="single" w:sz="4" w:space="0" w:color="auto"/>
            </w:tcBorders>
          </w:tcPr>
          <w:p w14:paraId="101335A2"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(12%)</w:t>
            </w:r>
          </w:p>
        </w:tc>
        <w:tc>
          <w:tcPr>
            <w:tcW w:w="702" w:type="pct"/>
            <w:tcBorders>
              <w:left w:val="single" w:sz="4" w:space="0" w:color="auto"/>
            </w:tcBorders>
            <w:noWrap/>
            <w:hideMark/>
          </w:tcPr>
          <w:p w14:paraId="4BFD34BC"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sidR="00593309">
              <w:rPr>
                <w:rFonts w:eastAsia="Times New Roman" w:cs="Arial"/>
                <w:color w:val="000000"/>
                <w:lang w:eastAsia="en-AU"/>
              </w:rPr>
              <w:t>,</w:t>
            </w:r>
            <w:r w:rsidRPr="00FB0391">
              <w:rPr>
                <w:rFonts w:eastAsia="Times New Roman" w:cs="Arial"/>
                <w:color w:val="000000"/>
                <w:lang w:eastAsia="en-AU"/>
              </w:rPr>
              <w:t>673</w:t>
            </w:r>
          </w:p>
        </w:tc>
        <w:tc>
          <w:tcPr>
            <w:tcW w:w="412" w:type="pct"/>
            <w:tcBorders>
              <w:right w:val="single" w:sz="4" w:space="0" w:color="auto"/>
            </w:tcBorders>
          </w:tcPr>
          <w:p w14:paraId="4BDCE291"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(21.5%)</w:t>
            </w:r>
          </w:p>
        </w:tc>
        <w:tc>
          <w:tcPr>
            <w:tcW w:w="639" w:type="pct"/>
            <w:tcBorders>
              <w:left w:val="single" w:sz="4" w:space="0" w:color="auto"/>
            </w:tcBorders>
            <w:noWrap/>
            <w:hideMark/>
          </w:tcPr>
          <w:p w14:paraId="73ECBF72" w14:textId="77777777" w:rsidR="000D64F0" w:rsidRPr="00FB039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sidR="00593309">
              <w:rPr>
                <w:rFonts w:eastAsia="Times New Roman" w:cs="Arial"/>
                <w:color w:val="000000"/>
                <w:lang w:eastAsia="en-AU"/>
              </w:rPr>
              <w:t>,</w:t>
            </w:r>
            <w:r w:rsidRPr="00FB0391">
              <w:rPr>
                <w:rFonts w:eastAsia="Times New Roman" w:cs="Arial"/>
                <w:color w:val="000000"/>
                <w:lang w:eastAsia="en-AU"/>
              </w:rPr>
              <w:t>279</w:t>
            </w:r>
          </w:p>
        </w:tc>
        <w:tc>
          <w:tcPr>
            <w:tcW w:w="412" w:type="pct"/>
            <w:tcBorders>
              <w:right w:val="single" w:sz="4" w:space="0" w:color="auto"/>
            </w:tcBorders>
          </w:tcPr>
          <w:p w14:paraId="5C797265" w14:textId="77777777" w:rsidR="000D64F0" w:rsidRPr="00E37227"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(10.6%)</w:t>
            </w:r>
          </w:p>
        </w:tc>
        <w:tc>
          <w:tcPr>
            <w:tcW w:w="428" w:type="pct"/>
            <w:tcBorders>
              <w:left w:val="single" w:sz="4" w:space="0" w:color="auto"/>
              <w:right w:val="single" w:sz="4" w:space="0" w:color="auto"/>
            </w:tcBorders>
            <w:noWrap/>
            <w:hideMark/>
          </w:tcPr>
          <w:p w14:paraId="3A2681CE"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31</w:t>
            </w:r>
            <w:r w:rsidR="00593309">
              <w:rPr>
                <w:rFonts w:eastAsia="Times New Roman" w:cs="Arial"/>
                <w:b/>
                <w:color w:val="auto"/>
                <w:lang w:eastAsia="en-AU"/>
              </w:rPr>
              <w:t>,</w:t>
            </w:r>
            <w:r w:rsidRPr="00196211">
              <w:rPr>
                <w:rFonts w:eastAsia="Times New Roman" w:cs="Arial"/>
                <w:b/>
                <w:color w:val="auto"/>
                <w:lang w:eastAsia="en-AU"/>
              </w:rPr>
              <w:t>053</w:t>
            </w:r>
          </w:p>
        </w:tc>
      </w:tr>
      <w:tr w:rsidR="000D64F0" w:rsidRPr="00E37227" w14:paraId="4D6767FD" w14:textId="77777777" w:rsidTr="00407ACB">
        <w:trPr>
          <w:trHeight w:val="276"/>
        </w:trPr>
        <w:tc>
          <w:tcPr>
            <w:cnfStyle w:val="001000000000" w:firstRow="0" w:lastRow="0" w:firstColumn="1" w:lastColumn="0" w:oddVBand="0" w:evenVBand="0" w:oddHBand="0" w:evenHBand="0" w:firstRowFirstColumn="0" w:firstRowLastColumn="0" w:lastRowFirstColumn="0" w:lastRowLastColumn="0"/>
            <w:tcW w:w="378" w:type="pct"/>
            <w:tcBorders>
              <w:left w:val="single" w:sz="4" w:space="0" w:color="auto"/>
              <w:bottom w:val="single" w:sz="4" w:space="0" w:color="auto"/>
              <w:right w:val="single" w:sz="4" w:space="0" w:color="auto"/>
            </w:tcBorders>
            <w:noWrap/>
          </w:tcPr>
          <w:p w14:paraId="4B4405DB" w14:textId="77777777" w:rsidR="000D64F0" w:rsidRPr="00E37227" w:rsidRDefault="000D64F0" w:rsidP="00CE2FDF">
            <w:pPr>
              <w:tabs>
                <w:tab w:val="left" w:pos="1134"/>
              </w:tabs>
              <w:spacing w:before="0" w:line="276" w:lineRule="auto"/>
              <w:rPr>
                <w:rFonts w:eastAsia="Times New Roman" w:cs="Arial"/>
                <w:b w:val="0"/>
                <w:bCs w:val="0"/>
                <w:color w:val="000000"/>
                <w:lang w:eastAsia="en-AU"/>
              </w:rPr>
            </w:pPr>
            <w:r w:rsidRPr="00E37227">
              <w:rPr>
                <w:rFonts w:eastAsia="Times New Roman" w:cs="Arial"/>
                <w:color w:val="000000"/>
                <w:lang w:eastAsia="en-AU"/>
              </w:rPr>
              <w:t>2012</w:t>
            </w:r>
          </w:p>
        </w:tc>
        <w:tc>
          <w:tcPr>
            <w:tcW w:w="792" w:type="pct"/>
            <w:tcBorders>
              <w:left w:val="single" w:sz="4" w:space="0" w:color="auto"/>
              <w:bottom w:val="single" w:sz="4" w:space="0" w:color="auto"/>
            </w:tcBorders>
            <w:noWrap/>
            <w:hideMark/>
          </w:tcPr>
          <w:p w14:paraId="0BA18624"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20</w:t>
            </w:r>
            <w:r w:rsidR="00593309">
              <w:rPr>
                <w:rFonts w:eastAsia="Times New Roman" w:cs="Arial"/>
                <w:color w:val="000000"/>
                <w:lang w:eastAsia="en-AU"/>
              </w:rPr>
              <w:t>,</w:t>
            </w:r>
            <w:r w:rsidRPr="00FB0391">
              <w:rPr>
                <w:rFonts w:eastAsia="Times New Roman" w:cs="Arial"/>
                <w:color w:val="000000"/>
                <w:lang w:eastAsia="en-AU"/>
              </w:rPr>
              <w:t>636</w:t>
            </w:r>
          </w:p>
        </w:tc>
        <w:tc>
          <w:tcPr>
            <w:tcW w:w="412" w:type="pct"/>
            <w:tcBorders>
              <w:bottom w:val="single" w:sz="4" w:space="0" w:color="auto"/>
              <w:right w:val="single" w:sz="4" w:space="0" w:color="auto"/>
            </w:tcBorders>
          </w:tcPr>
          <w:p w14:paraId="4EA3D5EA"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(61.2%)</w:t>
            </w:r>
          </w:p>
        </w:tc>
        <w:tc>
          <w:tcPr>
            <w:tcW w:w="413" w:type="pct"/>
            <w:tcBorders>
              <w:left w:val="single" w:sz="4" w:space="0" w:color="auto"/>
              <w:bottom w:val="single" w:sz="4" w:space="0" w:color="auto"/>
            </w:tcBorders>
            <w:noWrap/>
            <w:hideMark/>
          </w:tcPr>
          <w:p w14:paraId="7E524CBE"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sidR="00593309">
              <w:rPr>
                <w:rFonts w:eastAsia="Times New Roman" w:cs="Arial"/>
                <w:color w:val="000000"/>
                <w:lang w:eastAsia="en-AU"/>
              </w:rPr>
              <w:t>,</w:t>
            </w:r>
            <w:r w:rsidRPr="00FB0391">
              <w:rPr>
                <w:rFonts w:eastAsia="Times New Roman" w:cs="Arial"/>
                <w:color w:val="000000"/>
                <w:lang w:eastAsia="en-AU"/>
              </w:rPr>
              <w:t>210</w:t>
            </w:r>
          </w:p>
        </w:tc>
        <w:tc>
          <w:tcPr>
            <w:tcW w:w="412" w:type="pct"/>
            <w:tcBorders>
              <w:bottom w:val="single" w:sz="4" w:space="0" w:color="auto"/>
              <w:right w:val="single" w:sz="4" w:space="0" w:color="auto"/>
            </w:tcBorders>
          </w:tcPr>
          <w:p w14:paraId="365713F4"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(9.5%)</w:t>
            </w:r>
          </w:p>
        </w:tc>
        <w:tc>
          <w:tcPr>
            <w:tcW w:w="702" w:type="pct"/>
            <w:tcBorders>
              <w:left w:val="single" w:sz="4" w:space="0" w:color="auto"/>
              <w:bottom w:val="single" w:sz="4" w:space="0" w:color="auto"/>
            </w:tcBorders>
            <w:noWrap/>
            <w:hideMark/>
          </w:tcPr>
          <w:p w14:paraId="45A54617"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sidR="00593309">
              <w:rPr>
                <w:rFonts w:eastAsia="Times New Roman" w:cs="Arial"/>
                <w:color w:val="000000"/>
                <w:lang w:eastAsia="en-AU"/>
              </w:rPr>
              <w:t>,</w:t>
            </w:r>
            <w:r w:rsidRPr="00FB0391">
              <w:rPr>
                <w:rFonts w:eastAsia="Times New Roman" w:cs="Arial"/>
                <w:color w:val="000000"/>
                <w:lang w:eastAsia="en-AU"/>
              </w:rPr>
              <w:t>627</w:t>
            </w:r>
          </w:p>
        </w:tc>
        <w:tc>
          <w:tcPr>
            <w:tcW w:w="412" w:type="pct"/>
            <w:tcBorders>
              <w:bottom w:val="single" w:sz="4" w:space="0" w:color="auto"/>
              <w:right w:val="single" w:sz="4" w:space="0" w:color="auto"/>
            </w:tcBorders>
          </w:tcPr>
          <w:p w14:paraId="707EC103"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(19.7%)</w:t>
            </w:r>
          </w:p>
        </w:tc>
        <w:tc>
          <w:tcPr>
            <w:tcW w:w="639" w:type="pct"/>
            <w:tcBorders>
              <w:left w:val="single" w:sz="4" w:space="0" w:color="auto"/>
              <w:bottom w:val="single" w:sz="4" w:space="0" w:color="auto"/>
            </w:tcBorders>
            <w:noWrap/>
            <w:hideMark/>
          </w:tcPr>
          <w:p w14:paraId="49BF7611" w14:textId="77777777" w:rsidR="000D64F0" w:rsidRPr="00FB039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sidR="00593309">
              <w:rPr>
                <w:rFonts w:eastAsia="Times New Roman" w:cs="Arial"/>
                <w:color w:val="000000"/>
                <w:lang w:eastAsia="en-AU"/>
              </w:rPr>
              <w:t>,</w:t>
            </w:r>
            <w:r w:rsidRPr="00FB0391">
              <w:rPr>
                <w:rFonts w:eastAsia="Times New Roman" w:cs="Arial"/>
                <w:color w:val="000000"/>
                <w:lang w:eastAsia="en-AU"/>
              </w:rPr>
              <w:t>231</w:t>
            </w:r>
          </w:p>
        </w:tc>
        <w:tc>
          <w:tcPr>
            <w:tcW w:w="412" w:type="pct"/>
            <w:tcBorders>
              <w:bottom w:val="single" w:sz="4" w:space="0" w:color="auto"/>
              <w:right w:val="single" w:sz="4" w:space="0" w:color="auto"/>
            </w:tcBorders>
          </w:tcPr>
          <w:p w14:paraId="51214C42" w14:textId="77777777" w:rsidR="000D64F0" w:rsidRPr="00E37227"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(9.6%)</w:t>
            </w:r>
          </w:p>
        </w:tc>
        <w:tc>
          <w:tcPr>
            <w:tcW w:w="428" w:type="pct"/>
            <w:tcBorders>
              <w:left w:val="single" w:sz="4" w:space="0" w:color="auto"/>
              <w:bottom w:val="single" w:sz="4" w:space="0" w:color="auto"/>
              <w:right w:val="single" w:sz="4" w:space="0" w:color="auto"/>
            </w:tcBorders>
            <w:noWrap/>
            <w:hideMark/>
          </w:tcPr>
          <w:p w14:paraId="057750E7" w14:textId="77777777" w:rsidR="000D64F0" w:rsidRPr="00196211"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33</w:t>
            </w:r>
            <w:r w:rsidR="00593309">
              <w:rPr>
                <w:rFonts w:eastAsia="Times New Roman" w:cs="Arial"/>
                <w:b/>
                <w:color w:val="auto"/>
                <w:lang w:eastAsia="en-AU"/>
              </w:rPr>
              <w:t>,</w:t>
            </w:r>
            <w:r w:rsidRPr="00196211">
              <w:rPr>
                <w:rFonts w:eastAsia="Times New Roman" w:cs="Arial"/>
                <w:b/>
                <w:color w:val="auto"/>
                <w:lang w:eastAsia="en-AU"/>
              </w:rPr>
              <w:t>704</w:t>
            </w:r>
          </w:p>
        </w:tc>
      </w:tr>
      <w:tr w:rsidR="002418F8" w:rsidRPr="00196211" w14:paraId="47F409DE" w14:textId="77777777" w:rsidTr="00407A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 w:type="pct"/>
            <w:tcBorders>
              <w:top w:val="single" w:sz="4" w:space="0" w:color="auto"/>
              <w:left w:val="single" w:sz="4" w:space="0" w:color="auto"/>
              <w:bottom w:val="single" w:sz="4" w:space="0" w:color="auto"/>
              <w:right w:val="single" w:sz="4" w:space="0" w:color="auto"/>
            </w:tcBorders>
            <w:noWrap/>
            <w:hideMark/>
          </w:tcPr>
          <w:p w14:paraId="130D25FC" w14:textId="77777777" w:rsidR="000D64F0" w:rsidRPr="00196211" w:rsidRDefault="000D64F0" w:rsidP="00CE2FDF">
            <w:pPr>
              <w:tabs>
                <w:tab w:val="left" w:pos="1134"/>
              </w:tabs>
              <w:spacing w:before="0" w:line="276" w:lineRule="auto"/>
              <w:rPr>
                <w:rFonts w:eastAsia="Times New Roman" w:cs="Arial"/>
                <w:color w:val="000000"/>
                <w:lang w:eastAsia="en-AU"/>
              </w:rPr>
            </w:pPr>
            <w:r w:rsidRPr="00196211">
              <w:rPr>
                <w:rFonts w:eastAsia="Times New Roman" w:cs="Arial"/>
                <w:color w:val="000000"/>
                <w:lang w:eastAsia="en-AU"/>
              </w:rPr>
              <w:t>Totals:</w:t>
            </w:r>
          </w:p>
        </w:tc>
        <w:tc>
          <w:tcPr>
            <w:tcW w:w="792" w:type="pct"/>
            <w:tcBorders>
              <w:top w:val="single" w:sz="4" w:space="0" w:color="auto"/>
              <w:left w:val="single" w:sz="4" w:space="0" w:color="auto"/>
              <w:bottom w:val="single" w:sz="4" w:space="0" w:color="auto"/>
            </w:tcBorders>
            <w:noWrap/>
          </w:tcPr>
          <w:p w14:paraId="7A76FC8D"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109,562</w:t>
            </w:r>
          </w:p>
        </w:tc>
        <w:tc>
          <w:tcPr>
            <w:tcW w:w="412" w:type="pct"/>
            <w:tcBorders>
              <w:top w:val="single" w:sz="4" w:space="0" w:color="auto"/>
              <w:bottom w:val="single" w:sz="4" w:space="0" w:color="auto"/>
              <w:right w:val="single" w:sz="4" w:space="0" w:color="auto"/>
            </w:tcBorders>
          </w:tcPr>
          <w:p w14:paraId="41C39C6B"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(41.5%)</w:t>
            </w:r>
          </w:p>
        </w:tc>
        <w:tc>
          <w:tcPr>
            <w:tcW w:w="413" w:type="pct"/>
            <w:tcBorders>
              <w:top w:val="single" w:sz="4" w:space="0" w:color="auto"/>
              <w:left w:val="single" w:sz="4" w:space="0" w:color="auto"/>
              <w:bottom w:val="single" w:sz="4" w:space="0" w:color="auto"/>
            </w:tcBorders>
            <w:noWrap/>
          </w:tcPr>
          <w:p w14:paraId="08547DA1"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61,283</w:t>
            </w:r>
          </w:p>
        </w:tc>
        <w:tc>
          <w:tcPr>
            <w:tcW w:w="412" w:type="pct"/>
            <w:tcBorders>
              <w:top w:val="single" w:sz="4" w:space="0" w:color="auto"/>
              <w:bottom w:val="single" w:sz="4" w:space="0" w:color="auto"/>
              <w:right w:val="single" w:sz="4" w:space="0" w:color="auto"/>
            </w:tcBorders>
          </w:tcPr>
          <w:p w14:paraId="2C644B47"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(23.2%)</w:t>
            </w:r>
          </w:p>
        </w:tc>
        <w:tc>
          <w:tcPr>
            <w:tcW w:w="702" w:type="pct"/>
            <w:tcBorders>
              <w:top w:val="single" w:sz="4" w:space="0" w:color="auto"/>
              <w:left w:val="single" w:sz="4" w:space="0" w:color="auto"/>
              <w:bottom w:val="single" w:sz="4" w:space="0" w:color="auto"/>
            </w:tcBorders>
            <w:noWrap/>
          </w:tcPr>
          <w:p w14:paraId="1EA8A8B4"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65,520</w:t>
            </w:r>
          </w:p>
        </w:tc>
        <w:tc>
          <w:tcPr>
            <w:tcW w:w="412" w:type="pct"/>
            <w:tcBorders>
              <w:top w:val="single" w:sz="4" w:space="0" w:color="auto"/>
              <w:bottom w:val="single" w:sz="4" w:space="0" w:color="auto"/>
              <w:right w:val="single" w:sz="4" w:space="0" w:color="auto"/>
            </w:tcBorders>
          </w:tcPr>
          <w:p w14:paraId="475CC6ED"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(24.8%)</w:t>
            </w:r>
          </w:p>
        </w:tc>
        <w:tc>
          <w:tcPr>
            <w:tcW w:w="639" w:type="pct"/>
            <w:tcBorders>
              <w:top w:val="single" w:sz="4" w:space="0" w:color="auto"/>
              <w:left w:val="single" w:sz="4" w:space="0" w:color="auto"/>
              <w:bottom w:val="single" w:sz="4" w:space="0" w:color="auto"/>
            </w:tcBorders>
            <w:noWrap/>
          </w:tcPr>
          <w:p w14:paraId="4D483B27"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27,327</w:t>
            </w:r>
          </w:p>
        </w:tc>
        <w:tc>
          <w:tcPr>
            <w:tcW w:w="412" w:type="pct"/>
            <w:tcBorders>
              <w:top w:val="single" w:sz="4" w:space="0" w:color="auto"/>
              <w:bottom w:val="single" w:sz="4" w:space="0" w:color="auto"/>
              <w:right w:val="single" w:sz="4" w:space="0" w:color="auto"/>
            </w:tcBorders>
          </w:tcPr>
          <w:p w14:paraId="671224D4"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(10.4%)</w:t>
            </w:r>
          </w:p>
        </w:tc>
        <w:tc>
          <w:tcPr>
            <w:tcW w:w="428" w:type="pct"/>
            <w:tcBorders>
              <w:top w:val="single" w:sz="4" w:space="0" w:color="auto"/>
              <w:left w:val="single" w:sz="4" w:space="0" w:color="auto"/>
              <w:bottom w:val="single" w:sz="4" w:space="0" w:color="auto"/>
              <w:right w:val="single" w:sz="4" w:space="0" w:color="auto"/>
            </w:tcBorders>
            <w:noWrap/>
          </w:tcPr>
          <w:p w14:paraId="3E1BB4CE" w14:textId="77777777" w:rsidR="000D64F0" w:rsidRPr="00196211"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263,692</w:t>
            </w:r>
          </w:p>
        </w:tc>
      </w:tr>
    </w:tbl>
    <w:p w14:paraId="34B3F727" w14:textId="77777777" w:rsidR="005D61DD" w:rsidRPr="0006220F" w:rsidRDefault="005D61DD" w:rsidP="005E613E">
      <w:pPr>
        <w:pStyle w:val="Heading6"/>
        <w:spacing w:before="240" w:after="240"/>
      </w:pPr>
      <w:r w:rsidRPr="0006220F">
        <w:t>Line graph for table 1.26.3: Reports by other report</w:t>
      </w:r>
      <w:r w:rsidR="00261C0C" w:rsidRPr="0006220F">
        <w:t>er</w:t>
      </w:r>
      <w:r w:rsidRPr="0006220F">
        <w:t xml:space="preserve"> groups combined, by year, by abuse type</w:t>
      </w:r>
    </w:p>
    <w:p w14:paraId="771D503B" w14:textId="77777777" w:rsidR="0080128E" w:rsidRDefault="000D64F0" w:rsidP="00B15586">
      <w:r w:rsidRPr="000D64F0">
        <w:rPr>
          <w:noProof/>
          <w:lang w:eastAsia="en-AU"/>
        </w:rPr>
        <w:drawing>
          <wp:inline distT="0" distB="0" distL="0" distR="0" wp14:anchorId="1622DCE5" wp14:editId="56C7038C">
            <wp:extent cx="9267825" cy="1981200"/>
            <wp:effectExtent l="0" t="0" r="9525" b="0"/>
            <wp:docPr id="33" name="Chart 29" descr="Shows emotional abuse reports by other reporter groups only abuse type to rise significantly in Victoria since 2007." title="Line graph for table 1.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80128E">
        <w:br w:type="page"/>
      </w:r>
    </w:p>
    <w:p w14:paraId="3A9BE90F" w14:textId="39931D3C" w:rsidR="005D61DD" w:rsidRDefault="00261C0C" w:rsidP="0095311F">
      <w:pPr>
        <w:pStyle w:val="Figureheading"/>
      </w:pPr>
      <w:bookmarkStart w:id="77" w:name="_Toc382206741"/>
      <w:r>
        <w:lastRenderedPageBreak/>
        <w:t>1.26.4</w:t>
      </w:r>
      <w:r w:rsidR="00B439DA">
        <w:tab/>
      </w:r>
      <w:r>
        <w:tab/>
        <w:t>Reports by other reporter</w:t>
      </w:r>
      <w:r w:rsidR="005D61DD">
        <w:t xml:space="preserve"> groups combined, by </w:t>
      </w:r>
      <w:r w:rsidR="005D61DD" w:rsidRPr="00B362E8">
        <w:t xml:space="preserve">year, by </w:t>
      </w:r>
      <w:r w:rsidR="005D61DD">
        <w:t>outcome of reports (number and percentage)</w:t>
      </w:r>
    </w:p>
    <w:bookmarkEnd w:id="77"/>
    <w:tbl>
      <w:tblPr>
        <w:tblStyle w:val="LightShading-Accent2"/>
        <w:tblW w:w="5000" w:type="pct"/>
        <w:tblLook w:val="04A0" w:firstRow="1" w:lastRow="0" w:firstColumn="1" w:lastColumn="0" w:noHBand="0" w:noVBand="1"/>
        <w:tblCaption w:val="Reports by other reporter groups combined, by year, by outcome of reports (number and percentage)"/>
      </w:tblPr>
      <w:tblGrid>
        <w:gridCol w:w="1028"/>
        <w:gridCol w:w="2144"/>
        <w:gridCol w:w="1124"/>
        <w:gridCol w:w="1665"/>
        <w:gridCol w:w="1124"/>
        <w:gridCol w:w="1848"/>
        <w:gridCol w:w="1124"/>
        <w:gridCol w:w="2310"/>
        <w:gridCol w:w="1251"/>
        <w:gridCol w:w="1168"/>
      </w:tblGrid>
      <w:tr w:rsidR="002418F8" w:rsidRPr="00FC5C7E" w14:paraId="34BAFCD4" w14:textId="77777777" w:rsidTr="00B605CE">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A48C795" w14:textId="77777777" w:rsidR="00245C19" w:rsidRPr="00FC5C7E" w:rsidRDefault="00245C19" w:rsidP="00CE2FDF">
            <w:pPr>
              <w:tabs>
                <w:tab w:val="left" w:pos="1134"/>
              </w:tabs>
              <w:spacing w:before="0" w:line="276" w:lineRule="auto"/>
              <w:rPr>
                <w:rFonts w:eastAsia="Times New Roman" w:cs="Arial"/>
                <w:bCs w:val="0"/>
                <w:color w:val="auto"/>
                <w:lang w:eastAsia="en-AU"/>
              </w:rPr>
            </w:pPr>
          </w:p>
        </w:tc>
        <w:tc>
          <w:tcPr>
            <w:tcW w:w="725" w:type="pct"/>
            <w:tcBorders>
              <w:top w:val="single" w:sz="4" w:space="0" w:color="auto"/>
              <w:left w:val="single" w:sz="4" w:space="0" w:color="auto"/>
              <w:bottom w:val="single" w:sz="4" w:space="0" w:color="auto"/>
            </w:tcBorders>
            <w:shd w:val="clear" w:color="auto" w:fill="95B3D7" w:themeFill="accent1" w:themeFillTint="99"/>
            <w:vAlign w:val="center"/>
            <w:hideMark/>
          </w:tcPr>
          <w:p w14:paraId="251D5E85"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investigated</w:t>
            </w:r>
          </w:p>
        </w:tc>
        <w:tc>
          <w:tcPr>
            <w:tcW w:w="380" w:type="pct"/>
            <w:tcBorders>
              <w:top w:val="single" w:sz="4" w:space="0" w:color="auto"/>
              <w:bottom w:val="single" w:sz="4" w:space="0" w:color="auto"/>
              <w:right w:val="single" w:sz="4" w:space="0" w:color="auto"/>
            </w:tcBorders>
            <w:shd w:val="clear" w:color="auto" w:fill="95B3D7" w:themeFill="accent1" w:themeFillTint="99"/>
            <w:vAlign w:val="center"/>
          </w:tcPr>
          <w:p w14:paraId="72BFE16A"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563" w:type="pct"/>
            <w:tcBorders>
              <w:top w:val="single" w:sz="4" w:space="0" w:color="auto"/>
              <w:bottom w:val="single" w:sz="4" w:space="0" w:color="auto"/>
            </w:tcBorders>
            <w:shd w:val="clear" w:color="auto" w:fill="95B3D7" w:themeFill="accent1" w:themeFillTint="99"/>
            <w:vAlign w:val="center"/>
          </w:tcPr>
          <w:p w14:paraId="46379C30"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Investigated</w:t>
            </w:r>
          </w:p>
        </w:tc>
        <w:tc>
          <w:tcPr>
            <w:tcW w:w="380" w:type="pct"/>
            <w:tcBorders>
              <w:top w:val="single" w:sz="4" w:space="0" w:color="auto"/>
              <w:bottom w:val="single" w:sz="4" w:space="0" w:color="auto"/>
            </w:tcBorders>
            <w:shd w:val="clear" w:color="auto" w:fill="95B3D7" w:themeFill="accent1" w:themeFillTint="99"/>
            <w:vAlign w:val="center"/>
          </w:tcPr>
          <w:p w14:paraId="5E6FC0DE"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625" w:type="pct"/>
            <w:tcBorders>
              <w:top w:val="single" w:sz="4" w:space="0" w:color="auto"/>
              <w:left w:val="single" w:sz="4" w:space="0" w:color="auto"/>
              <w:bottom w:val="single" w:sz="4" w:space="0" w:color="auto"/>
            </w:tcBorders>
            <w:shd w:val="clear" w:color="auto" w:fill="95B3D7" w:themeFill="accent1" w:themeFillTint="99"/>
            <w:vAlign w:val="center"/>
            <w:hideMark/>
          </w:tcPr>
          <w:p w14:paraId="0046DFEA"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Substantiated</w:t>
            </w:r>
          </w:p>
        </w:tc>
        <w:tc>
          <w:tcPr>
            <w:tcW w:w="380" w:type="pct"/>
            <w:tcBorders>
              <w:top w:val="single" w:sz="4" w:space="0" w:color="auto"/>
              <w:bottom w:val="single" w:sz="4" w:space="0" w:color="auto"/>
              <w:right w:val="single" w:sz="4" w:space="0" w:color="auto"/>
            </w:tcBorders>
            <w:shd w:val="clear" w:color="auto" w:fill="95B3D7" w:themeFill="accent1" w:themeFillTint="99"/>
            <w:vAlign w:val="center"/>
          </w:tcPr>
          <w:p w14:paraId="3A08D0A0"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781" w:type="pct"/>
            <w:tcBorders>
              <w:top w:val="single" w:sz="4" w:space="0" w:color="auto"/>
              <w:left w:val="single" w:sz="4" w:space="0" w:color="auto"/>
              <w:bottom w:val="single" w:sz="4" w:space="0" w:color="auto"/>
            </w:tcBorders>
            <w:shd w:val="clear" w:color="auto" w:fill="95B3D7" w:themeFill="accent1" w:themeFillTint="99"/>
            <w:vAlign w:val="center"/>
            <w:hideMark/>
          </w:tcPr>
          <w:p w14:paraId="7F3861F0"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substantiated</w:t>
            </w:r>
          </w:p>
        </w:tc>
        <w:tc>
          <w:tcPr>
            <w:tcW w:w="423" w:type="pct"/>
            <w:tcBorders>
              <w:top w:val="single" w:sz="4" w:space="0" w:color="auto"/>
              <w:bottom w:val="single" w:sz="4" w:space="0" w:color="auto"/>
              <w:right w:val="single" w:sz="4" w:space="0" w:color="auto"/>
            </w:tcBorders>
            <w:shd w:val="clear" w:color="auto" w:fill="95B3D7" w:themeFill="accent1" w:themeFillTint="99"/>
            <w:vAlign w:val="center"/>
          </w:tcPr>
          <w:p w14:paraId="31123E48" w14:textId="77777777" w:rsidR="00245C19" w:rsidRPr="00FC5C7E" w:rsidRDefault="00245C19" w:rsidP="00CE2FDF">
            <w:pPr>
              <w:tabs>
                <w:tab w:val="left" w:pos="1134"/>
              </w:tabs>
              <w:spacing w:before="0" w:line="276" w:lineRule="auto"/>
              <w:ind w:right="-108"/>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39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3EC2102"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Total</w:t>
            </w:r>
          </w:p>
        </w:tc>
      </w:tr>
      <w:tr w:rsidR="002418F8" w:rsidRPr="00FC5C7E" w14:paraId="454D3148" w14:textId="77777777" w:rsidTr="00B605C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right w:val="single" w:sz="4" w:space="0" w:color="auto"/>
            </w:tcBorders>
            <w:shd w:val="clear" w:color="auto" w:fill="DBE5F1" w:themeFill="accent1" w:themeFillTint="33"/>
            <w:noWrap/>
          </w:tcPr>
          <w:p w14:paraId="04822637"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2003</w:t>
            </w:r>
          </w:p>
        </w:tc>
        <w:tc>
          <w:tcPr>
            <w:tcW w:w="725" w:type="pct"/>
            <w:tcBorders>
              <w:top w:val="single" w:sz="4" w:space="0" w:color="auto"/>
              <w:left w:val="single" w:sz="4" w:space="0" w:color="auto"/>
            </w:tcBorders>
            <w:shd w:val="clear" w:color="auto" w:fill="DBE5F1" w:themeFill="accent1" w:themeFillTint="33"/>
            <w:noWrap/>
            <w:hideMark/>
          </w:tcPr>
          <w:p w14:paraId="1000AD40"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16</w:t>
            </w:r>
            <w:r>
              <w:rPr>
                <w:rFonts w:eastAsia="Times New Roman" w:cs="Arial"/>
                <w:color w:val="000000"/>
                <w:lang w:eastAsia="en-AU"/>
              </w:rPr>
              <w:t>,</w:t>
            </w:r>
            <w:r w:rsidRPr="00FB0391">
              <w:rPr>
                <w:rFonts w:eastAsia="Times New Roman" w:cs="Arial"/>
                <w:color w:val="000000"/>
                <w:lang w:eastAsia="en-AU"/>
              </w:rPr>
              <w:t>996</w:t>
            </w:r>
          </w:p>
        </w:tc>
        <w:tc>
          <w:tcPr>
            <w:tcW w:w="380" w:type="pct"/>
            <w:tcBorders>
              <w:top w:val="single" w:sz="4" w:space="0" w:color="auto"/>
              <w:right w:val="single" w:sz="4" w:space="0" w:color="auto"/>
            </w:tcBorders>
            <w:shd w:val="clear" w:color="auto" w:fill="DBE5F1" w:themeFill="accent1" w:themeFillTint="33"/>
          </w:tcPr>
          <w:p w14:paraId="05033C9B"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(69.2%)</w:t>
            </w:r>
          </w:p>
        </w:tc>
        <w:tc>
          <w:tcPr>
            <w:tcW w:w="563" w:type="pct"/>
            <w:tcBorders>
              <w:top w:val="single" w:sz="4" w:space="0" w:color="auto"/>
            </w:tcBorders>
            <w:shd w:val="clear" w:color="auto" w:fill="DBE5F1" w:themeFill="accent1" w:themeFillTint="33"/>
          </w:tcPr>
          <w:p w14:paraId="6838BD4E"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Pr>
                <w:rFonts w:eastAsia="Times New Roman" w:cs="Arial"/>
                <w:color w:val="000000"/>
                <w:lang w:eastAsia="en-AU"/>
              </w:rPr>
              <w:t>,</w:t>
            </w:r>
            <w:r w:rsidRPr="00FB0391">
              <w:rPr>
                <w:rFonts w:eastAsia="Times New Roman" w:cs="Arial"/>
                <w:color w:val="000000"/>
                <w:lang w:eastAsia="en-AU"/>
              </w:rPr>
              <w:t>571</w:t>
            </w:r>
          </w:p>
        </w:tc>
        <w:tc>
          <w:tcPr>
            <w:tcW w:w="380" w:type="pct"/>
            <w:tcBorders>
              <w:top w:val="single" w:sz="4" w:space="0" w:color="auto"/>
            </w:tcBorders>
            <w:shd w:val="clear" w:color="auto" w:fill="DBE5F1" w:themeFill="accent1" w:themeFillTint="33"/>
          </w:tcPr>
          <w:p w14:paraId="63C33F9C"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(30.8%)</w:t>
            </w:r>
          </w:p>
        </w:tc>
        <w:tc>
          <w:tcPr>
            <w:tcW w:w="625" w:type="pct"/>
            <w:tcBorders>
              <w:top w:val="single" w:sz="4" w:space="0" w:color="auto"/>
              <w:left w:val="single" w:sz="4" w:space="0" w:color="auto"/>
            </w:tcBorders>
            <w:shd w:val="clear" w:color="auto" w:fill="DBE5F1" w:themeFill="accent1" w:themeFillTint="33"/>
            <w:noWrap/>
            <w:hideMark/>
          </w:tcPr>
          <w:p w14:paraId="546C418D"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4</w:t>
            </w:r>
            <w:r>
              <w:rPr>
                <w:rFonts w:eastAsia="Times New Roman" w:cs="Arial"/>
                <w:color w:val="000000"/>
                <w:lang w:eastAsia="en-AU"/>
              </w:rPr>
              <w:t>,</w:t>
            </w:r>
            <w:r w:rsidRPr="00FB0391">
              <w:rPr>
                <w:rFonts w:eastAsia="Times New Roman" w:cs="Arial"/>
                <w:color w:val="000000"/>
                <w:lang w:eastAsia="en-AU"/>
              </w:rPr>
              <w:t>199</w:t>
            </w:r>
          </w:p>
        </w:tc>
        <w:tc>
          <w:tcPr>
            <w:tcW w:w="380" w:type="pct"/>
            <w:tcBorders>
              <w:top w:val="single" w:sz="4" w:space="0" w:color="auto"/>
              <w:right w:val="single" w:sz="4" w:space="0" w:color="auto"/>
            </w:tcBorders>
            <w:shd w:val="clear" w:color="auto" w:fill="DBE5F1" w:themeFill="accent1" w:themeFillTint="33"/>
          </w:tcPr>
          <w:p w14:paraId="581B9E0E"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(17.1%)</w:t>
            </w:r>
          </w:p>
        </w:tc>
        <w:tc>
          <w:tcPr>
            <w:tcW w:w="781" w:type="pct"/>
            <w:tcBorders>
              <w:top w:val="single" w:sz="4" w:space="0" w:color="auto"/>
              <w:left w:val="single" w:sz="4" w:space="0" w:color="auto"/>
            </w:tcBorders>
            <w:shd w:val="clear" w:color="auto" w:fill="DBE5F1" w:themeFill="accent1" w:themeFillTint="33"/>
            <w:noWrap/>
            <w:hideMark/>
          </w:tcPr>
          <w:p w14:paraId="368B6524"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Pr>
                <w:rFonts w:eastAsia="Times New Roman" w:cs="Arial"/>
                <w:color w:val="000000"/>
                <w:lang w:eastAsia="en-AU"/>
              </w:rPr>
              <w:t>,</w:t>
            </w:r>
            <w:r w:rsidRPr="00FB0391">
              <w:rPr>
                <w:rFonts w:eastAsia="Times New Roman" w:cs="Arial"/>
                <w:color w:val="000000"/>
                <w:lang w:eastAsia="en-AU"/>
              </w:rPr>
              <w:t>372</w:t>
            </w:r>
          </w:p>
        </w:tc>
        <w:tc>
          <w:tcPr>
            <w:tcW w:w="423" w:type="pct"/>
            <w:tcBorders>
              <w:top w:val="single" w:sz="4" w:space="0" w:color="auto"/>
              <w:right w:val="single" w:sz="4" w:space="0" w:color="auto"/>
            </w:tcBorders>
            <w:shd w:val="clear" w:color="auto" w:fill="DBE5F1" w:themeFill="accent1" w:themeFillTint="33"/>
            <w:vAlign w:val="center"/>
          </w:tcPr>
          <w:p w14:paraId="1CB3D8B1"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13.73%</w:t>
            </w:r>
            <w:r>
              <w:rPr>
                <w:rFonts w:ascii="Calibri" w:hAnsi="Calibri"/>
                <w:color w:val="auto"/>
              </w:rPr>
              <w:t>)</w:t>
            </w:r>
          </w:p>
        </w:tc>
        <w:tc>
          <w:tcPr>
            <w:tcW w:w="395" w:type="pct"/>
            <w:tcBorders>
              <w:top w:val="single" w:sz="4" w:space="0" w:color="auto"/>
              <w:left w:val="single" w:sz="4" w:space="0" w:color="auto"/>
              <w:right w:val="single" w:sz="4" w:space="0" w:color="auto"/>
            </w:tcBorders>
            <w:shd w:val="clear" w:color="auto" w:fill="DBE5F1" w:themeFill="accent1" w:themeFillTint="33"/>
          </w:tcPr>
          <w:p w14:paraId="3A8CC422"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24</w:t>
            </w:r>
            <w:r>
              <w:rPr>
                <w:rFonts w:eastAsia="Times New Roman" w:cs="Arial"/>
                <w:b/>
                <w:color w:val="auto"/>
                <w:lang w:eastAsia="en-AU"/>
              </w:rPr>
              <w:t>,</w:t>
            </w:r>
            <w:r w:rsidRPr="00196211">
              <w:rPr>
                <w:rFonts w:eastAsia="Times New Roman" w:cs="Arial"/>
                <w:b/>
                <w:color w:val="auto"/>
                <w:lang w:eastAsia="en-AU"/>
              </w:rPr>
              <w:t>567</w:t>
            </w:r>
          </w:p>
        </w:tc>
      </w:tr>
      <w:tr w:rsidR="00EB4A8B" w:rsidRPr="00FC5C7E" w14:paraId="35DEC5C2"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3D686455"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2004</w:t>
            </w:r>
          </w:p>
        </w:tc>
        <w:tc>
          <w:tcPr>
            <w:tcW w:w="725" w:type="pct"/>
            <w:tcBorders>
              <w:left w:val="single" w:sz="4" w:space="0" w:color="auto"/>
            </w:tcBorders>
            <w:noWrap/>
            <w:hideMark/>
          </w:tcPr>
          <w:p w14:paraId="68DDEE2A"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17</w:t>
            </w:r>
            <w:r>
              <w:rPr>
                <w:rFonts w:eastAsia="Times New Roman" w:cs="Arial"/>
                <w:color w:val="000000"/>
                <w:lang w:eastAsia="en-AU"/>
              </w:rPr>
              <w:t>,</w:t>
            </w:r>
            <w:r w:rsidRPr="00FB0391">
              <w:rPr>
                <w:rFonts w:eastAsia="Times New Roman" w:cs="Arial"/>
                <w:color w:val="000000"/>
                <w:lang w:eastAsia="en-AU"/>
              </w:rPr>
              <w:t>479</w:t>
            </w:r>
          </w:p>
        </w:tc>
        <w:tc>
          <w:tcPr>
            <w:tcW w:w="380" w:type="pct"/>
            <w:tcBorders>
              <w:right w:val="single" w:sz="4" w:space="0" w:color="auto"/>
            </w:tcBorders>
          </w:tcPr>
          <w:p w14:paraId="2506A092"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(69.8%)</w:t>
            </w:r>
          </w:p>
        </w:tc>
        <w:tc>
          <w:tcPr>
            <w:tcW w:w="563" w:type="pct"/>
            <w:tcBorders>
              <w:right w:val="nil"/>
            </w:tcBorders>
          </w:tcPr>
          <w:p w14:paraId="0A4AB651"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Pr>
                <w:rFonts w:eastAsia="Times New Roman" w:cs="Arial"/>
                <w:color w:val="000000"/>
                <w:lang w:eastAsia="en-AU"/>
              </w:rPr>
              <w:t>,</w:t>
            </w:r>
            <w:r w:rsidRPr="00FB0391">
              <w:rPr>
                <w:rFonts w:eastAsia="Times New Roman" w:cs="Arial"/>
                <w:color w:val="000000"/>
                <w:lang w:eastAsia="en-AU"/>
              </w:rPr>
              <w:t>554</w:t>
            </w:r>
          </w:p>
        </w:tc>
        <w:tc>
          <w:tcPr>
            <w:tcW w:w="380" w:type="pct"/>
            <w:tcBorders>
              <w:left w:val="nil"/>
            </w:tcBorders>
          </w:tcPr>
          <w:p w14:paraId="6F40FA85"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(30.2%)</w:t>
            </w:r>
          </w:p>
        </w:tc>
        <w:tc>
          <w:tcPr>
            <w:tcW w:w="625" w:type="pct"/>
            <w:tcBorders>
              <w:left w:val="single" w:sz="4" w:space="0" w:color="auto"/>
            </w:tcBorders>
            <w:noWrap/>
            <w:hideMark/>
          </w:tcPr>
          <w:p w14:paraId="2AD7A9E4"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4</w:t>
            </w:r>
            <w:r>
              <w:rPr>
                <w:rFonts w:eastAsia="Times New Roman" w:cs="Arial"/>
                <w:color w:val="000000"/>
                <w:lang w:eastAsia="en-AU"/>
              </w:rPr>
              <w:t>,</w:t>
            </w:r>
            <w:r w:rsidRPr="00FB0391">
              <w:rPr>
                <w:rFonts w:eastAsia="Times New Roman" w:cs="Arial"/>
                <w:color w:val="000000"/>
                <w:lang w:eastAsia="en-AU"/>
              </w:rPr>
              <w:t>565</w:t>
            </w:r>
          </w:p>
        </w:tc>
        <w:tc>
          <w:tcPr>
            <w:tcW w:w="380" w:type="pct"/>
            <w:tcBorders>
              <w:right w:val="single" w:sz="4" w:space="0" w:color="auto"/>
            </w:tcBorders>
          </w:tcPr>
          <w:p w14:paraId="2E9D671F"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(18.2%)</w:t>
            </w:r>
          </w:p>
        </w:tc>
        <w:tc>
          <w:tcPr>
            <w:tcW w:w="781" w:type="pct"/>
            <w:tcBorders>
              <w:left w:val="single" w:sz="4" w:space="0" w:color="auto"/>
              <w:right w:val="nil"/>
            </w:tcBorders>
            <w:noWrap/>
            <w:hideMark/>
          </w:tcPr>
          <w:p w14:paraId="6789DB30"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Pr>
                <w:rFonts w:eastAsia="Times New Roman" w:cs="Arial"/>
                <w:color w:val="000000"/>
                <w:lang w:eastAsia="en-AU"/>
              </w:rPr>
              <w:t>,</w:t>
            </w:r>
            <w:r w:rsidRPr="00FB0391">
              <w:rPr>
                <w:rFonts w:eastAsia="Times New Roman" w:cs="Arial"/>
                <w:color w:val="000000"/>
                <w:lang w:eastAsia="en-AU"/>
              </w:rPr>
              <w:t>989</w:t>
            </w:r>
          </w:p>
        </w:tc>
        <w:tc>
          <w:tcPr>
            <w:tcW w:w="423" w:type="pct"/>
            <w:tcBorders>
              <w:left w:val="nil"/>
              <w:right w:val="single" w:sz="4" w:space="0" w:color="auto"/>
            </w:tcBorders>
            <w:vAlign w:val="center"/>
          </w:tcPr>
          <w:p w14:paraId="2EAAB2DB"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11.94%</w:t>
            </w:r>
            <w:r>
              <w:rPr>
                <w:rFonts w:ascii="Calibri" w:hAnsi="Calibri"/>
                <w:color w:val="auto"/>
              </w:rPr>
              <w:t>)</w:t>
            </w:r>
          </w:p>
        </w:tc>
        <w:tc>
          <w:tcPr>
            <w:tcW w:w="395" w:type="pct"/>
            <w:tcBorders>
              <w:left w:val="single" w:sz="4" w:space="0" w:color="auto"/>
              <w:right w:val="single" w:sz="4" w:space="0" w:color="auto"/>
            </w:tcBorders>
          </w:tcPr>
          <w:p w14:paraId="659C3D0B" w14:textId="77777777" w:rsidR="00EB4A8B" w:rsidRPr="0019621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25</w:t>
            </w:r>
            <w:r>
              <w:rPr>
                <w:rFonts w:eastAsia="Times New Roman" w:cs="Arial"/>
                <w:b/>
                <w:color w:val="auto"/>
                <w:lang w:eastAsia="en-AU"/>
              </w:rPr>
              <w:t>,</w:t>
            </w:r>
            <w:r w:rsidRPr="00196211">
              <w:rPr>
                <w:rFonts w:eastAsia="Times New Roman" w:cs="Arial"/>
                <w:b/>
                <w:color w:val="auto"/>
                <w:lang w:eastAsia="en-AU"/>
              </w:rPr>
              <w:t>033</w:t>
            </w:r>
          </w:p>
        </w:tc>
      </w:tr>
      <w:tr w:rsidR="00EB4A8B" w:rsidRPr="00FC5C7E" w14:paraId="69882B88"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3E55797F"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2005</w:t>
            </w:r>
          </w:p>
        </w:tc>
        <w:tc>
          <w:tcPr>
            <w:tcW w:w="725" w:type="pct"/>
            <w:tcBorders>
              <w:left w:val="single" w:sz="4" w:space="0" w:color="auto"/>
            </w:tcBorders>
            <w:shd w:val="clear" w:color="auto" w:fill="DBE5F1" w:themeFill="accent1" w:themeFillTint="33"/>
            <w:noWrap/>
            <w:hideMark/>
          </w:tcPr>
          <w:p w14:paraId="7022C4B1"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16</w:t>
            </w:r>
            <w:r>
              <w:rPr>
                <w:rFonts w:eastAsia="Times New Roman" w:cs="Arial"/>
                <w:color w:val="000000"/>
                <w:lang w:eastAsia="en-AU"/>
              </w:rPr>
              <w:t>,</w:t>
            </w:r>
            <w:r w:rsidRPr="00FB0391">
              <w:rPr>
                <w:rFonts w:eastAsia="Times New Roman" w:cs="Arial"/>
                <w:color w:val="000000"/>
                <w:lang w:eastAsia="en-AU"/>
              </w:rPr>
              <w:t>917</w:t>
            </w:r>
          </w:p>
        </w:tc>
        <w:tc>
          <w:tcPr>
            <w:tcW w:w="380" w:type="pct"/>
            <w:tcBorders>
              <w:right w:val="single" w:sz="4" w:space="0" w:color="auto"/>
            </w:tcBorders>
            <w:shd w:val="clear" w:color="auto" w:fill="DBE5F1" w:themeFill="accent1" w:themeFillTint="33"/>
          </w:tcPr>
          <w:p w14:paraId="00E0A60D"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(71.4%)</w:t>
            </w:r>
          </w:p>
        </w:tc>
        <w:tc>
          <w:tcPr>
            <w:tcW w:w="563" w:type="pct"/>
            <w:shd w:val="clear" w:color="auto" w:fill="DBE5F1" w:themeFill="accent1" w:themeFillTint="33"/>
          </w:tcPr>
          <w:p w14:paraId="454EFBFE"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Pr>
                <w:rFonts w:eastAsia="Times New Roman" w:cs="Arial"/>
                <w:color w:val="000000"/>
                <w:lang w:eastAsia="en-AU"/>
              </w:rPr>
              <w:t>,</w:t>
            </w:r>
            <w:r w:rsidRPr="00FB0391">
              <w:rPr>
                <w:rFonts w:eastAsia="Times New Roman" w:cs="Arial"/>
                <w:color w:val="000000"/>
                <w:lang w:eastAsia="en-AU"/>
              </w:rPr>
              <w:t>792</w:t>
            </w:r>
          </w:p>
        </w:tc>
        <w:tc>
          <w:tcPr>
            <w:tcW w:w="380" w:type="pct"/>
            <w:shd w:val="clear" w:color="auto" w:fill="DBE5F1" w:themeFill="accent1" w:themeFillTint="33"/>
          </w:tcPr>
          <w:p w14:paraId="02260CC1"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(28.6%)</w:t>
            </w:r>
          </w:p>
        </w:tc>
        <w:tc>
          <w:tcPr>
            <w:tcW w:w="625" w:type="pct"/>
            <w:tcBorders>
              <w:left w:val="single" w:sz="4" w:space="0" w:color="auto"/>
            </w:tcBorders>
            <w:shd w:val="clear" w:color="auto" w:fill="DBE5F1" w:themeFill="accent1" w:themeFillTint="33"/>
            <w:noWrap/>
            <w:hideMark/>
          </w:tcPr>
          <w:p w14:paraId="08C40003"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4</w:t>
            </w:r>
            <w:r>
              <w:rPr>
                <w:rFonts w:eastAsia="Times New Roman" w:cs="Arial"/>
                <w:color w:val="000000"/>
                <w:lang w:eastAsia="en-AU"/>
              </w:rPr>
              <w:t>,</w:t>
            </w:r>
            <w:r w:rsidRPr="00FB0391">
              <w:rPr>
                <w:rFonts w:eastAsia="Times New Roman" w:cs="Arial"/>
                <w:color w:val="000000"/>
                <w:lang w:eastAsia="en-AU"/>
              </w:rPr>
              <w:t>250</w:t>
            </w:r>
          </w:p>
        </w:tc>
        <w:tc>
          <w:tcPr>
            <w:tcW w:w="380" w:type="pct"/>
            <w:tcBorders>
              <w:right w:val="single" w:sz="4" w:space="0" w:color="auto"/>
            </w:tcBorders>
            <w:shd w:val="clear" w:color="auto" w:fill="DBE5F1" w:themeFill="accent1" w:themeFillTint="33"/>
          </w:tcPr>
          <w:p w14:paraId="624139E6"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(17.9%)</w:t>
            </w:r>
          </w:p>
        </w:tc>
        <w:tc>
          <w:tcPr>
            <w:tcW w:w="781" w:type="pct"/>
            <w:tcBorders>
              <w:left w:val="single" w:sz="4" w:space="0" w:color="auto"/>
            </w:tcBorders>
            <w:shd w:val="clear" w:color="auto" w:fill="DBE5F1" w:themeFill="accent1" w:themeFillTint="33"/>
            <w:noWrap/>
            <w:hideMark/>
          </w:tcPr>
          <w:p w14:paraId="7B570FF9"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Pr>
                <w:rFonts w:eastAsia="Times New Roman" w:cs="Arial"/>
                <w:color w:val="000000"/>
                <w:lang w:eastAsia="en-AU"/>
              </w:rPr>
              <w:t>,</w:t>
            </w:r>
            <w:r w:rsidRPr="00FB0391">
              <w:rPr>
                <w:rFonts w:eastAsia="Times New Roman" w:cs="Arial"/>
                <w:color w:val="000000"/>
                <w:lang w:eastAsia="en-AU"/>
              </w:rPr>
              <w:t>542</w:t>
            </w:r>
          </w:p>
        </w:tc>
        <w:tc>
          <w:tcPr>
            <w:tcW w:w="423" w:type="pct"/>
            <w:tcBorders>
              <w:right w:val="single" w:sz="4" w:space="0" w:color="auto"/>
            </w:tcBorders>
            <w:shd w:val="clear" w:color="auto" w:fill="DBE5F1" w:themeFill="accent1" w:themeFillTint="33"/>
            <w:vAlign w:val="center"/>
          </w:tcPr>
          <w:p w14:paraId="560CB5CC"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10.72%</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40A73424"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23</w:t>
            </w:r>
            <w:r>
              <w:rPr>
                <w:rFonts w:eastAsia="Times New Roman" w:cs="Arial"/>
                <w:b/>
                <w:color w:val="auto"/>
                <w:lang w:eastAsia="en-AU"/>
              </w:rPr>
              <w:t>,</w:t>
            </w:r>
            <w:r w:rsidRPr="00196211">
              <w:rPr>
                <w:rFonts w:eastAsia="Times New Roman" w:cs="Arial"/>
                <w:b/>
                <w:color w:val="auto"/>
                <w:lang w:eastAsia="en-AU"/>
              </w:rPr>
              <w:t>709</w:t>
            </w:r>
          </w:p>
        </w:tc>
      </w:tr>
      <w:tr w:rsidR="00EB4A8B" w:rsidRPr="00FC5C7E" w14:paraId="797EE7CC"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27FAF42C"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2006</w:t>
            </w:r>
          </w:p>
        </w:tc>
        <w:tc>
          <w:tcPr>
            <w:tcW w:w="725" w:type="pct"/>
            <w:tcBorders>
              <w:left w:val="single" w:sz="4" w:space="0" w:color="auto"/>
            </w:tcBorders>
            <w:noWrap/>
            <w:hideMark/>
          </w:tcPr>
          <w:p w14:paraId="617607CF"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16</w:t>
            </w:r>
            <w:r>
              <w:rPr>
                <w:rFonts w:eastAsia="Times New Roman" w:cs="Arial"/>
                <w:color w:val="000000"/>
                <w:lang w:eastAsia="en-AU"/>
              </w:rPr>
              <w:t>,</w:t>
            </w:r>
            <w:r w:rsidRPr="00FB0391">
              <w:rPr>
                <w:rFonts w:eastAsia="Times New Roman" w:cs="Arial"/>
                <w:color w:val="000000"/>
                <w:lang w:eastAsia="en-AU"/>
              </w:rPr>
              <w:t>933</w:t>
            </w:r>
          </w:p>
        </w:tc>
        <w:tc>
          <w:tcPr>
            <w:tcW w:w="380" w:type="pct"/>
            <w:tcBorders>
              <w:right w:val="single" w:sz="4" w:space="0" w:color="auto"/>
            </w:tcBorders>
          </w:tcPr>
          <w:p w14:paraId="08168983"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(70.7%)</w:t>
            </w:r>
          </w:p>
        </w:tc>
        <w:tc>
          <w:tcPr>
            <w:tcW w:w="563" w:type="pct"/>
            <w:tcBorders>
              <w:right w:val="nil"/>
            </w:tcBorders>
          </w:tcPr>
          <w:p w14:paraId="63A61CFC"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Pr>
                <w:rFonts w:eastAsia="Times New Roman" w:cs="Arial"/>
                <w:color w:val="000000"/>
                <w:lang w:eastAsia="en-AU"/>
              </w:rPr>
              <w:t>,</w:t>
            </w:r>
            <w:r w:rsidRPr="00FB0391">
              <w:rPr>
                <w:rFonts w:eastAsia="Times New Roman" w:cs="Arial"/>
                <w:color w:val="000000"/>
                <w:lang w:eastAsia="en-AU"/>
              </w:rPr>
              <w:t>004</w:t>
            </w:r>
          </w:p>
        </w:tc>
        <w:tc>
          <w:tcPr>
            <w:tcW w:w="380" w:type="pct"/>
            <w:tcBorders>
              <w:left w:val="nil"/>
            </w:tcBorders>
          </w:tcPr>
          <w:p w14:paraId="76B2EACD"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(29.3%)</w:t>
            </w:r>
          </w:p>
        </w:tc>
        <w:tc>
          <w:tcPr>
            <w:tcW w:w="625" w:type="pct"/>
            <w:tcBorders>
              <w:left w:val="single" w:sz="4" w:space="0" w:color="auto"/>
            </w:tcBorders>
            <w:noWrap/>
            <w:hideMark/>
          </w:tcPr>
          <w:p w14:paraId="48E6B2F5"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4</w:t>
            </w:r>
            <w:r>
              <w:rPr>
                <w:rFonts w:eastAsia="Times New Roman" w:cs="Arial"/>
                <w:color w:val="000000"/>
                <w:lang w:eastAsia="en-AU"/>
              </w:rPr>
              <w:t>,</w:t>
            </w:r>
            <w:r w:rsidRPr="00FB0391">
              <w:rPr>
                <w:rFonts w:eastAsia="Times New Roman" w:cs="Arial"/>
                <w:color w:val="000000"/>
                <w:lang w:eastAsia="en-AU"/>
              </w:rPr>
              <w:t>325</w:t>
            </w:r>
          </w:p>
        </w:tc>
        <w:tc>
          <w:tcPr>
            <w:tcW w:w="380" w:type="pct"/>
            <w:tcBorders>
              <w:right w:val="single" w:sz="4" w:space="0" w:color="auto"/>
            </w:tcBorders>
          </w:tcPr>
          <w:p w14:paraId="556C3DD7"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(18.1%)</w:t>
            </w:r>
          </w:p>
        </w:tc>
        <w:tc>
          <w:tcPr>
            <w:tcW w:w="781" w:type="pct"/>
            <w:tcBorders>
              <w:left w:val="single" w:sz="4" w:space="0" w:color="auto"/>
              <w:right w:val="nil"/>
            </w:tcBorders>
            <w:noWrap/>
            <w:hideMark/>
          </w:tcPr>
          <w:p w14:paraId="348D3CF8"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Pr>
                <w:rFonts w:eastAsia="Times New Roman" w:cs="Arial"/>
                <w:color w:val="000000"/>
                <w:lang w:eastAsia="en-AU"/>
              </w:rPr>
              <w:t>,</w:t>
            </w:r>
            <w:r w:rsidRPr="00FB0391">
              <w:rPr>
                <w:rFonts w:eastAsia="Times New Roman" w:cs="Arial"/>
                <w:color w:val="000000"/>
                <w:lang w:eastAsia="en-AU"/>
              </w:rPr>
              <w:t>679</w:t>
            </w:r>
          </w:p>
        </w:tc>
        <w:tc>
          <w:tcPr>
            <w:tcW w:w="423" w:type="pct"/>
            <w:tcBorders>
              <w:left w:val="nil"/>
              <w:right w:val="single" w:sz="4" w:space="0" w:color="auto"/>
            </w:tcBorders>
            <w:vAlign w:val="center"/>
          </w:tcPr>
          <w:p w14:paraId="2968C419"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11.19%</w:t>
            </w:r>
            <w:r>
              <w:rPr>
                <w:rFonts w:ascii="Calibri" w:hAnsi="Calibri"/>
                <w:color w:val="auto"/>
              </w:rPr>
              <w:t>)</w:t>
            </w:r>
          </w:p>
        </w:tc>
        <w:tc>
          <w:tcPr>
            <w:tcW w:w="395" w:type="pct"/>
            <w:tcBorders>
              <w:left w:val="single" w:sz="4" w:space="0" w:color="auto"/>
              <w:right w:val="single" w:sz="4" w:space="0" w:color="auto"/>
            </w:tcBorders>
          </w:tcPr>
          <w:p w14:paraId="3337A9EE" w14:textId="77777777" w:rsidR="00EB4A8B" w:rsidRPr="0019621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23</w:t>
            </w:r>
            <w:r>
              <w:rPr>
                <w:rFonts w:eastAsia="Times New Roman" w:cs="Arial"/>
                <w:b/>
                <w:color w:val="auto"/>
                <w:lang w:eastAsia="en-AU"/>
              </w:rPr>
              <w:t>,</w:t>
            </w:r>
            <w:r w:rsidRPr="00196211">
              <w:rPr>
                <w:rFonts w:eastAsia="Times New Roman" w:cs="Arial"/>
                <w:b/>
                <w:color w:val="auto"/>
                <w:lang w:eastAsia="en-AU"/>
              </w:rPr>
              <w:t>937</w:t>
            </w:r>
          </w:p>
        </w:tc>
      </w:tr>
      <w:tr w:rsidR="00EB4A8B" w:rsidRPr="00FC5C7E" w14:paraId="3C9EADC5"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148F833C"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2007</w:t>
            </w:r>
          </w:p>
        </w:tc>
        <w:tc>
          <w:tcPr>
            <w:tcW w:w="725" w:type="pct"/>
            <w:tcBorders>
              <w:left w:val="single" w:sz="4" w:space="0" w:color="auto"/>
            </w:tcBorders>
            <w:shd w:val="clear" w:color="auto" w:fill="DBE5F1" w:themeFill="accent1" w:themeFillTint="33"/>
            <w:noWrap/>
            <w:hideMark/>
          </w:tcPr>
          <w:p w14:paraId="60AA4DAA"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17</w:t>
            </w:r>
            <w:r>
              <w:rPr>
                <w:rFonts w:eastAsia="Times New Roman" w:cs="Arial"/>
                <w:color w:val="000000"/>
                <w:lang w:eastAsia="en-AU"/>
              </w:rPr>
              <w:t>,</w:t>
            </w:r>
            <w:r w:rsidRPr="00FB0391">
              <w:rPr>
                <w:rFonts w:eastAsia="Times New Roman" w:cs="Arial"/>
                <w:color w:val="000000"/>
                <w:lang w:eastAsia="en-AU"/>
              </w:rPr>
              <w:t>853</w:t>
            </w:r>
          </w:p>
        </w:tc>
        <w:tc>
          <w:tcPr>
            <w:tcW w:w="380" w:type="pct"/>
            <w:tcBorders>
              <w:right w:val="single" w:sz="4" w:space="0" w:color="auto"/>
            </w:tcBorders>
            <w:shd w:val="clear" w:color="auto" w:fill="DBE5F1" w:themeFill="accent1" w:themeFillTint="33"/>
          </w:tcPr>
          <w:p w14:paraId="00726DCB"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(73.3%)</w:t>
            </w:r>
          </w:p>
        </w:tc>
        <w:tc>
          <w:tcPr>
            <w:tcW w:w="563" w:type="pct"/>
            <w:shd w:val="clear" w:color="auto" w:fill="DBE5F1" w:themeFill="accent1" w:themeFillTint="33"/>
          </w:tcPr>
          <w:p w14:paraId="40EAC1F6"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Pr>
                <w:rFonts w:eastAsia="Times New Roman" w:cs="Arial"/>
                <w:color w:val="000000"/>
                <w:lang w:eastAsia="en-AU"/>
              </w:rPr>
              <w:t>,</w:t>
            </w:r>
            <w:r w:rsidRPr="00FB0391">
              <w:rPr>
                <w:rFonts w:eastAsia="Times New Roman" w:cs="Arial"/>
                <w:color w:val="000000"/>
                <w:lang w:eastAsia="en-AU"/>
              </w:rPr>
              <w:t>516</w:t>
            </w:r>
          </w:p>
        </w:tc>
        <w:tc>
          <w:tcPr>
            <w:tcW w:w="380" w:type="pct"/>
            <w:shd w:val="clear" w:color="auto" w:fill="DBE5F1" w:themeFill="accent1" w:themeFillTint="33"/>
          </w:tcPr>
          <w:p w14:paraId="091FE392"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(26.7%)</w:t>
            </w:r>
          </w:p>
        </w:tc>
        <w:tc>
          <w:tcPr>
            <w:tcW w:w="625" w:type="pct"/>
            <w:tcBorders>
              <w:left w:val="single" w:sz="4" w:space="0" w:color="auto"/>
            </w:tcBorders>
            <w:shd w:val="clear" w:color="auto" w:fill="DBE5F1" w:themeFill="accent1" w:themeFillTint="33"/>
            <w:noWrap/>
            <w:hideMark/>
          </w:tcPr>
          <w:p w14:paraId="276A17E1"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Pr>
                <w:rFonts w:eastAsia="Times New Roman" w:cs="Arial"/>
                <w:color w:val="000000"/>
                <w:lang w:eastAsia="en-AU"/>
              </w:rPr>
              <w:t>,</w:t>
            </w:r>
            <w:r w:rsidRPr="00FB0391">
              <w:rPr>
                <w:rFonts w:eastAsia="Times New Roman" w:cs="Arial"/>
                <w:color w:val="000000"/>
                <w:lang w:eastAsia="en-AU"/>
              </w:rPr>
              <w:t>961</w:t>
            </w:r>
          </w:p>
        </w:tc>
        <w:tc>
          <w:tcPr>
            <w:tcW w:w="380" w:type="pct"/>
            <w:tcBorders>
              <w:right w:val="single" w:sz="4" w:space="0" w:color="auto"/>
            </w:tcBorders>
            <w:shd w:val="clear" w:color="auto" w:fill="DBE5F1" w:themeFill="accent1" w:themeFillTint="33"/>
          </w:tcPr>
          <w:p w14:paraId="2C22E34A"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(16.3%)</w:t>
            </w:r>
          </w:p>
        </w:tc>
        <w:tc>
          <w:tcPr>
            <w:tcW w:w="781" w:type="pct"/>
            <w:tcBorders>
              <w:left w:val="single" w:sz="4" w:space="0" w:color="auto"/>
            </w:tcBorders>
            <w:shd w:val="clear" w:color="auto" w:fill="DBE5F1" w:themeFill="accent1" w:themeFillTint="33"/>
            <w:noWrap/>
            <w:hideMark/>
          </w:tcPr>
          <w:p w14:paraId="51764B79"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Pr>
                <w:rFonts w:eastAsia="Times New Roman" w:cs="Arial"/>
                <w:color w:val="000000"/>
                <w:lang w:eastAsia="en-AU"/>
              </w:rPr>
              <w:t>,</w:t>
            </w:r>
            <w:r w:rsidRPr="00FB0391">
              <w:rPr>
                <w:rFonts w:eastAsia="Times New Roman" w:cs="Arial"/>
                <w:color w:val="000000"/>
                <w:lang w:eastAsia="en-AU"/>
              </w:rPr>
              <w:t>555</w:t>
            </w:r>
          </w:p>
        </w:tc>
        <w:tc>
          <w:tcPr>
            <w:tcW w:w="423" w:type="pct"/>
            <w:tcBorders>
              <w:right w:val="single" w:sz="4" w:space="0" w:color="auto"/>
            </w:tcBorders>
            <w:shd w:val="clear" w:color="auto" w:fill="DBE5F1" w:themeFill="accent1" w:themeFillTint="33"/>
            <w:vAlign w:val="center"/>
          </w:tcPr>
          <w:p w14:paraId="423A46A3"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10.48%</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50B4A159"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24</w:t>
            </w:r>
            <w:r>
              <w:rPr>
                <w:rFonts w:eastAsia="Times New Roman" w:cs="Arial"/>
                <w:b/>
                <w:color w:val="auto"/>
                <w:lang w:eastAsia="en-AU"/>
              </w:rPr>
              <w:t>,</w:t>
            </w:r>
            <w:r w:rsidRPr="00196211">
              <w:rPr>
                <w:rFonts w:eastAsia="Times New Roman" w:cs="Arial"/>
                <w:b/>
                <w:color w:val="auto"/>
                <w:lang w:eastAsia="en-AU"/>
              </w:rPr>
              <w:t>369</w:t>
            </w:r>
          </w:p>
        </w:tc>
      </w:tr>
      <w:tr w:rsidR="00EB4A8B" w:rsidRPr="00FC5C7E" w14:paraId="75F5E93F"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2E7D419F"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2008</w:t>
            </w:r>
          </w:p>
        </w:tc>
        <w:tc>
          <w:tcPr>
            <w:tcW w:w="725" w:type="pct"/>
            <w:tcBorders>
              <w:left w:val="single" w:sz="4" w:space="0" w:color="auto"/>
            </w:tcBorders>
            <w:noWrap/>
            <w:hideMark/>
          </w:tcPr>
          <w:p w14:paraId="164B4F8D"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18</w:t>
            </w:r>
            <w:r>
              <w:rPr>
                <w:rFonts w:eastAsia="Times New Roman" w:cs="Arial"/>
                <w:color w:val="000000"/>
                <w:lang w:eastAsia="en-AU"/>
              </w:rPr>
              <w:t>,</w:t>
            </w:r>
            <w:r w:rsidRPr="00FB0391">
              <w:rPr>
                <w:rFonts w:eastAsia="Times New Roman" w:cs="Arial"/>
                <w:color w:val="000000"/>
                <w:lang w:eastAsia="en-AU"/>
              </w:rPr>
              <w:t>428</w:t>
            </w:r>
          </w:p>
        </w:tc>
        <w:tc>
          <w:tcPr>
            <w:tcW w:w="380" w:type="pct"/>
            <w:tcBorders>
              <w:right w:val="single" w:sz="4" w:space="0" w:color="auto"/>
            </w:tcBorders>
          </w:tcPr>
          <w:p w14:paraId="62377F14"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(74.4%)</w:t>
            </w:r>
          </w:p>
        </w:tc>
        <w:tc>
          <w:tcPr>
            <w:tcW w:w="563" w:type="pct"/>
            <w:tcBorders>
              <w:right w:val="nil"/>
            </w:tcBorders>
          </w:tcPr>
          <w:p w14:paraId="06131E93"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Pr>
                <w:rFonts w:eastAsia="Times New Roman" w:cs="Arial"/>
                <w:color w:val="000000"/>
                <w:lang w:eastAsia="en-AU"/>
              </w:rPr>
              <w:t>,</w:t>
            </w:r>
            <w:r w:rsidRPr="00FB0391">
              <w:rPr>
                <w:rFonts w:eastAsia="Times New Roman" w:cs="Arial"/>
                <w:color w:val="000000"/>
                <w:lang w:eastAsia="en-AU"/>
              </w:rPr>
              <w:t>349</w:t>
            </w:r>
          </w:p>
        </w:tc>
        <w:tc>
          <w:tcPr>
            <w:tcW w:w="380" w:type="pct"/>
            <w:tcBorders>
              <w:left w:val="nil"/>
            </w:tcBorders>
          </w:tcPr>
          <w:p w14:paraId="2688ADFE"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(25.6%)</w:t>
            </w:r>
          </w:p>
        </w:tc>
        <w:tc>
          <w:tcPr>
            <w:tcW w:w="625" w:type="pct"/>
            <w:tcBorders>
              <w:left w:val="single" w:sz="4" w:space="0" w:color="auto"/>
            </w:tcBorders>
            <w:noWrap/>
            <w:hideMark/>
          </w:tcPr>
          <w:p w14:paraId="6487B2C7"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Pr>
                <w:rFonts w:eastAsia="Times New Roman" w:cs="Arial"/>
                <w:color w:val="000000"/>
                <w:lang w:eastAsia="en-AU"/>
              </w:rPr>
              <w:t>,</w:t>
            </w:r>
            <w:r w:rsidRPr="00FB0391">
              <w:rPr>
                <w:rFonts w:eastAsia="Times New Roman" w:cs="Arial"/>
                <w:color w:val="000000"/>
                <w:lang w:eastAsia="en-AU"/>
              </w:rPr>
              <w:t>713</w:t>
            </w:r>
          </w:p>
        </w:tc>
        <w:tc>
          <w:tcPr>
            <w:tcW w:w="380" w:type="pct"/>
            <w:tcBorders>
              <w:right w:val="single" w:sz="4" w:space="0" w:color="auto"/>
            </w:tcBorders>
          </w:tcPr>
          <w:p w14:paraId="44E25D66"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(15%)</w:t>
            </w:r>
          </w:p>
        </w:tc>
        <w:tc>
          <w:tcPr>
            <w:tcW w:w="781" w:type="pct"/>
            <w:tcBorders>
              <w:left w:val="single" w:sz="4" w:space="0" w:color="auto"/>
              <w:right w:val="nil"/>
            </w:tcBorders>
            <w:noWrap/>
            <w:hideMark/>
          </w:tcPr>
          <w:p w14:paraId="3B25FB7B"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Pr>
                <w:rFonts w:eastAsia="Times New Roman" w:cs="Arial"/>
                <w:color w:val="000000"/>
                <w:lang w:eastAsia="en-AU"/>
              </w:rPr>
              <w:t>,</w:t>
            </w:r>
            <w:r w:rsidRPr="00FB0391">
              <w:rPr>
                <w:rFonts w:eastAsia="Times New Roman" w:cs="Arial"/>
                <w:color w:val="000000"/>
                <w:lang w:eastAsia="en-AU"/>
              </w:rPr>
              <w:t>636</w:t>
            </w:r>
          </w:p>
        </w:tc>
        <w:tc>
          <w:tcPr>
            <w:tcW w:w="423" w:type="pct"/>
            <w:tcBorders>
              <w:left w:val="nil"/>
              <w:right w:val="single" w:sz="4" w:space="0" w:color="auto"/>
            </w:tcBorders>
            <w:vAlign w:val="center"/>
          </w:tcPr>
          <w:p w14:paraId="3B2D66F7"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10.64%</w:t>
            </w:r>
            <w:r>
              <w:rPr>
                <w:rFonts w:ascii="Calibri" w:hAnsi="Calibri"/>
                <w:color w:val="auto"/>
              </w:rPr>
              <w:t>)</w:t>
            </w:r>
          </w:p>
        </w:tc>
        <w:tc>
          <w:tcPr>
            <w:tcW w:w="395" w:type="pct"/>
            <w:tcBorders>
              <w:left w:val="single" w:sz="4" w:space="0" w:color="auto"/>
              <w:right w:val="single" w:sz="4" w:space="0" w:color="auto"/>
            </w:tcBorders>
          </w:tcPr>
          <w:p w14:paraId="57D3DDEE" w14:textId="77777777" w:rsidR="00EB4A8B" w:rsidRPr="0019621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24</w:t>
            </w:r>
            <w:r>
              <w:rPr>
                <w:rFonts w:eastAsia="Times New Roman" w:cs="Arial"/>
                <w:b/>
                <w:color w:val="auto"/>
                <w:lang w:eastAsia="en-AU"/>
              </w:rPr>
              <w:t>,</w:t>
            </w:r>
            <w:r w:rsidRPr="00196211">
              <w:rPr>
                <w:rFonts w:eastAsia="Times New Roman" w:cs="Arial"/>
                <w:b/>
                <w:color w:val="auto"/>
                <w:lang w:eastAsia="en-AU"/>
              </w:rPr>
              <w:t>777</w:t>
            </w:r>
          </w:p>
        </w:tc>
      </w:tr>
      <w:tr w:rsidR="00EB4A8B" w:rsidRPr="00FC5C7E" w14:paraId="2E671700"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76020467"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2009</w:t>
            </w:r>
          </w:p>
        </w:tc>
        <w:tc>
          <w:tcPr>
            <w:tcW w:w="725" w:type="pct"/>
            <w:tcBorders>
              <w:left w:val="single" w:sz="4" w:space="0" w:color="auto"/>
            </w:tcBorders>
            <w:shd w:val="clear" w:color="auto" w:fill="DBE5F1" w:themeFill="accent1" w:themeFillTint="33"/>
            <w:noWrap/>
            <w:hideMark/>
          </w:tcPr>
          <w:p w14:paraId="466FE0A0"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19</w:t>
            </w:r>
            <w:r>
              <w:rPr>
                <w:rFonts w:eastAsia="Times New Roman" w:cs="Arial"/>
                <w:color w:val="000000"/>
                <w:lang w:eastAsia="en-AU"/>
              </w:rPr>
              <w:t>,</w:t>
            </w:r>
            <w:r w:rsidRPr="00FB0391">
              <w:rPr>
                <w:rFonts w:eastAsia="Times New Roman" w:cs="Arial"/>
                <w:color w:val="000000"/>
                <w:lang w:eastAsia="en-AU"/>
              </w:rPr>
              <w:t>058</w:t>
            </w:r>
          </w:p>
        </w:tc>
        <w:tc>
          <w:tcPr>
            <w:tcW w:w="380" w:type="pct"/>
            <w:tcBorders>
              <w:right w:val="single" w:sz="4" w:space="0" w:color="auto"/>
            </w:tcBorders>
            <w:shd w:val="clear" w:color="auto" w:fill="DBE5F1" w:themeFill="accent1" w:themeFillTint="33"/>
          </w:tcPr>
          <w:p w14:paraId="4D0921AE"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(75.4%)</w:t>
            </w:r>
          </w:p>
        </w:tc>
        <w:tc>
          <w:tcPr>
            <w:tcW w:w="563" w:type="pct"/>
            <w:shd w:val="clear" w:color="auto" w:fill="DBE5F1" w:themeFill="accent1" w:themeFillTint="33"/>
          </w:tcPr>
          <w:p w14:paraId="725DFBF4"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Pr>
                <w:rFonts w:eastAsia="Times New Roman" w:cs="Arial"/>
                <w:color w:val="000000"/>
                <w:lang w:eastAsia="en-AU"/>
              </w:rPr>
              <w:t>,</w:t>
            </w:r>
            <w:r w:rsidRPr="00FB0391">
              <w:rPr>
                <w:rFonts w:eastAsia="Times New Roman" w:cs="Arial"/>
                <w:color w:val="000000"/>
                <w:lang w:eastAsia="en-AU"/>
              </w:rPr>
              <w:t>209</w:t>
            </w:r>
          </w:p>
        </w:tc>
        <w:tc>
          <w:tcPr>
            <w:tcW w:w="380" w:type="pct"/>
            <w:shd w:val="clear" w:color="auto" w:fill="DBE5F1" w:themeFill="accent1" w:themeFillTint="33"/>
          </w:tcPr>
          <w:p w14:paraId="1A97C77D"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(24.6%)</w:t>
            </w:r>
          </w:p>
        </w:tc>
        <w:tc>
          <w:tcPr>
            <w:tcW w:w="625" w:type="pct"/>
            <w:tcBorders>
              <w:left w:val="single" w:sz="4" w:space="0" w:color="auto"/>
            </w:tcBorders>
            <w:shd w:val="clear" w:color="auto" w:fill="DBE5F1" w:themeFill="accent1" w:themeFillTint="33"/>
            <w:noWrap/>
            <w:hideMark/>
          </w:tcPr>
          <w:p w14:paraId="4BCCC606"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Pr>
                <w:rFonts w:eastAsia="Times New Roman" w:cs="Arial"/>
                <w:color w:val="000000"/>
                <w:lang w:eastAsia="en-AU"/>
              </w:rPr>
              <w:t>,</w:t>
            </w:r>
            <w:r w:rsidRPr="00FB0391">
              <w:rPr>
                <w:rFonts w:eastAsia="Times New Roman" w:cs="Arial"/>
                <w:color w:val="000000"/>
                <w:lang w:eastAsia="en-AU"/>
              </w:rPr>
              <w:t>418</w:t>
            </w:r>
          </w:p>
        </w:tc>
        <w:tc>
          <w:tcPr>
            <w:tcW w:w="380" w:type="pct"/>
            <w:tcBorders>
              <w:right w:val="single" w:sz="4" w:space="0" w:color="auto"/>
            </w:tcBorders>
            <w:shd w:val="clear" w:color="auto" w:fill="DBE5F1" w:themeFill="accent1" w:themeFillTint="33"/>
          </w:tcPr>
          <w:p w14:paraId="09D5B631"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(13.5%)</w:t>
            </w:r>
          </w:p>
        </w:tc>
        <w:tc>
          <w:tcPr>
            <w:tcW w:w="781" w:type="pct"/>
            <w:tcBorders>
              <w:left w:val="single" w:sz="4" w:space="0" w:color="auto"/>
            </w:tcBorders>
            <w:shd w:val="clear" w:color="auto" w:fill="DBE5F1" w:themeFill="accent1" w:themeFillTint="33"/>
            <w:noWrap/>
            <w:hideMark/>
          </w:tcPr>
          <w:p w14:paraId="66BB1964"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w:t>
            </w:r>
            <w:r>
              <w:rPr>
                <w:rFonts w:eastAsia="Times New Roman" w:cs="Arial"/>
                <w:color w:val="000000"/>
                <w:lang w:eastAsia="en-AU"/>
              </w:rPr>
              <w:t>,</w:t>
            </w:r>
            <w:r w:rsidRPr="00FB0391">
              <w:rPr>
                <w:rFonts w:eastAsia="Times New Roman" w:cs="Arial"/>
                <w:color w:val="000000"/>
                <w:lang w:eastAsia="en-AU"/>
              </w:rPr>
              <w:t>791</w:t>
            </w:r>
          </w:p>
        </w:tc>
        <w:tc>
          <w:tcPr>
            <w:tcW w:w="423" w:type="pct"/>
            <w:tcBorders>
              <w:right w:val="single" w:sz="4" w:space="0" w:color="auto"/>
            </w:tcBorders>
            <w:shd w:val="clear" w:color="auto" w:fill="DBE5F1" w:themeFill="accent1" w:themeFillTint="33"/>
            <w:vAlign w:val="center"/>
          </w:tcPr>
          <w:p w14:paraId="32C9F5E2"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11.05%</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08EAAFCE"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25</w:t>
            </w:r>
            <w:r>
              <w:rPr>
                <w:rFonts w:eastAsia="Times New Roman" w:cs="Arial"/>
                <w:b/>
                <w:color w:val="auto"/>
                <w:lang w:eastAsia="en-AU"/>
              </w:rPr>
              <w:t>,</w:t>
            </w:r>
            <w:r w:rsidRPr="00196211">
              <w:rPr>
                <w:rFonts w:eastAsia="Times New Roman" w:cs="Arial"/>
                <w:b/>
                <w:color w:val="auto"/>
                <w:lang w:eastAsia="en-AU"/>
              </w:rPr>
              <w:t>267</w:t>
            </w:r>
          </w:p>
        </w:tc>
      </w:tr>
      <w:tr w:rsidR="00EB4A8B" w:rsidRPr="00FC5C7E" w14:paraId="7223BC50"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43EA3870"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2010</w:t>
            </w:r>
          </w:p>
        </w:tc>
        <w:tc>
          <w:tcPr>
            <w:tcW w:w="725" w:type="pct"/>
            <w:tcBorders>
              <w:left w:val="single" w:sz="4" w:space="0" w:color="auto"/>
            </w:tcBorders>
            <w:noWrap/>
            <w:hideMark/>
          </w:tcPr>
          <w:p w14:paraId="0B83E793"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20</w:t>
            </w:r>
            <w:r>
              <w:rPr>
                <w:rFonts w:eastAsia="Times New Roman" w:cs="Arial"/>
                <w:color w:val="000000"/>
                <w:lang w:eastAsia="en-AU"/>
              </w:rPr>
              <w:t>,</w:t>
            </w:r>
            <w:r w:rsidRPr="00FB0391">
              <w:rPr>
                <w:rFonts w:eastAsia="Times New Roman" w:cs="Arial"/>
                <w:color w:val="000000"/>
                <w:lang w:eastAsia="en-AU"/>
              </w:rPr>
              <w:t>390</w:t>
            </w:r>
          </w:p>
        </w:tc>
        <w:tc>
          <w:tcPr>
            <w:tcW w:w="380" w:type="pct"/>
            <w:tcBorders>
              <w:right w:val="single" w:sz="4" w:space="0" w:color="auto"/>
            </w:tcBorders>
          </w:tcPr>
          <w:p w14:paraId="5E579F6F"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(74.8%)</w:t>
            </w:r>
          </w:p>
        </w:tc>
        <w:tc>
          <w:tcPr>
            <w:tcW w:w="563" w:type="pct"/>
            <w:tcBorders>
              <w:right w:val="nil"/>
            </w:tcBorders>
          </w:tcPr>
          <w:p w14:paraId="628C4588"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6</w:t>
            </w:r>
            <w:r>
              <w:rPr>
                <w:rFonts w:eastAsia="Times New Roman" w:cs="Arial"/>
                <w:color w:val="000000"/>
                <w:lang w:eastAsia="en-AU"/>
              </w:rPr>
              <w:t>,</w:t>
            </w:r>
            <w:r w:rsidRPr="00FB0391">
              <w:rPr>
                <w:rFonts w:eastAsia="Times New Roman" w:cs="Arial"/>
                <w:color w:val="000000"/>
                <w:lang w:eastAsia="en-AU"/>
              </w:rPr>
              <w:t>886</w:t>
            </w:r>
          </w:p>
        </w:tc>
        <w:tc>
          <w:tcPr>
            <w:tcW w:w="380" w:type="pct"/>
            <w:tcBorders>
              <w:left w:val="nil"/>
            </w:tcBorders>
          </w:tcPr>
          <w:p w14:paraId="3A5454F0"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(25.2%)</w:t>
            </w:r>
          </w:p>
        </w:tc>
        <w:tc>
          <w:tcPr>
            <w:tcW w:w="625" w:type="pct"/>
            <w:tcBorders>
              <w:left w:val="single" w:sz="4" w:space="0" w:color="auto"/>
            </w:tcBorders>
            <w:noWrap/>
            <w:hideMark/>
          </w:tcPr>
          <w:p w14:paraId="504B4F8E"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Pr>
                <w:rFonts w:eastAsia="Times New Roman" w:cs="Arial"/>
                <w:color w:val="000000"/>
                <w:lang w:eastAsia="en-AU"/>
              </w:rPr>
              <w:t>,</w:t>
            </w:r>
            <w:r w:rsidRPr="00FB0391">
              <w:rPr>
                <w:rFonts w:eastAsia="Times New Roman" w:cs="Arial"/>
                <w:color w:val="000000"/>
                <w:lang w:eastAsia="en-AU"/>
              </w:rPr>
              <w:t>673</w:t>
            </w:r>
          </w:p>
        </w:tc>
        <w:tc>
          <w:tcPr>
            <w:tcW w:w="380" w:type="pct"/>
            <w:tcBorders>
              <w:right w:val="single" w:sz="4" w:space="0" w:color="auto"/>
            </w:tcBorders>
          </w:tcPr>
          <w:p w14:paraId="7437E8A7"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(13.5%)</w:t>
            </w:r>
          </w:p>
        </w:tc>
        <w:tc>
          <w:tcPr>
            <w:tcW w:w="781" w:type="pct"/>
            <w:tcBorders>
              <w:left w:val="single" w:sz="4" w:space="0" w:color="auto"/>
              <w:right w:val="nil"/>
            </w:tcBorders>
            <w:noWrap/>
            <w:hideMark/>
          </w:tcPr>
          <w:p w14:paraId="1FE5485B"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Pr>
                <w:rFonts w:eastAsia="Times New Roman" w:cs="Arial"/>
                <w:color w:val="000000"/>
                <w:lang w:eastAsia="en-AU"/>
              </w:rPr>
              <w:t>,</w:t>
            </w:r>
            <w:r w:rsidRPr="00FB0391">
              <w:rPr>
                <w:rFonts w:eastAsia="Times New Roman" w:cs="Arial"/>
                <w:color w:val="000000"/>
                <w:lang w:eastAsia="en-AU"/>
              </w:rPr>
              <w:t>213</w:t>
            </w:r>
          </w:p>
        </w:tc>
        <w:tc>
          <w:tcPr>
            <w:tcW w:w="423" w:type="pct"/>
            <w:tcBorders>
              <w:left w:val="nil"/>
              <w:right w:val="single" w:sz="4" w:space="0" w:color="auto"/>
            </w:tcBorders>
            <w:vAlign w:val="center"/>
          </w:tcPr>
          <w:p w14:paraId="3A157DF0"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11.78%</w:t>
            </w:r>
            <w:r>
              <w:rPr>
                <w:rFonts w:ascii="Calibri" w:hAnsi="Calibri"/>
                <w:color w:val="auto"/>
              </w:rPr>
              <w:t>)</w:t>
            </w:r>
          </w:p>
        </w:tc>
        <w:tc>
          <w:tcPr>
            <w:tcW w:w="395" w:type="pct"/>
            <w:tcBorders>
              <w:left w:val="single" w:sz="4" w:space="0" w:color="auto"/>
              <w:right w:val="single" w:sz="4" w:space="0" w:color="auto"/>
            </w:tcBorders>
          </w:tcPr>
          <w:p w14:paraId="658D2079" w14:textId="77777777" w:rsidR="00EB4A8B" w:rsidRPr="0019621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27</w:t>
            </w:r>
            <w:r>
              <w:rPr>
                <w:rFonts w:eastAsia="Times New Roman" w:cs="Arial"/>
                <w:b/>
                <w:color w:val="auto"/>
                <w:lang w:eastAsia="en-AU"/>
              </w:rPr>
              <w:t>,</w:t>
            </w:r>
            <w:r w:rsidRPr="00196211">
              <w:rPr>
                <w:rFonts w:eastAsia="Times New Roman" w:cs="Arial"/>
                <w:b/>
                <w:color w:val="auto"/>
                <w:lang w:eastAsia="en-AU"/>
              </w:rPr>
              <w:t>276</w:t>
            </w:r>
          </w:p>
        </w:tc>
      </w:tr>
      <w:tr w:rsidR="00EB4A8B" w:rsidRPr="00FC5C7E" w14:paraId="4C908B56"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5FFC3AA7"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2011</w:t>
            </w:r>
          </w:p>
        </w:tc>
        <w:tc>
          <w:tcPr>
            <w:tcW w:w="725" w:type="pct"/>
            <w:tcBorders>
              <w:left w:val="single" w:sz="4" w:space="0" w:color="auto"/>
            </w:tcBorders>
            <w:shd w:val="clear" w:color="auto" w:fill="DBE5F1" w:themeFill="accent1" w:themeFillTint="33"/>
            <w:noWrap/>
            <w:hideMark/>
          </w:tcPr>
          <w:p w14:paraId="6A630097"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23</w:t>
            </w:r>
            <w:r>
              <w:rPr>
                <w:rFonts w:eastAsia="Times New Roman" w:cs="Arial"/>
                <w:color w:val="000000"/>
                <w:lang w:eastAsia="en-AU"/>
              </w:rPr>
              <w:t>,</w:t>
            </w:r>
            <w:r w:rsidRPr="00FB0391">
              <w:rPr>
                <w:rFonts w:eastAsia="Times New Roman" w:cs="Arial"/>
                <w:color w:val="000000"/>
                <w:lang w:eastAsia="en-AU"/>
              </w:rPr>
              <w:t>455</w:t>
            </w:r>
          </w:p>
        </w:tc>
        <w:tc>
          <w:tcPr>
            <w:tcW w:w="380" w:type="pct"/>
            <w:tcBorders>
              <w:right w:val="single" w:sz="4" w:space="0" w:color="auto"/>
            </w:tcBorders>
            <w:shd w:val="clear" w:color="auto" w:fill="DBE5F1" w:themeFill="accent1" w:themeFillTint="33"/>
          </w:tcPr>
          <w:p w14:paraId="731A9E95"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(75.5%)</w:t>
            </w:r>
          </w:p>
        </w:tc>
        <w:tc>
          <w:tcPr>
            <w:tcW w:w="563" w:type="pct"/>
            <w:shd w:val="clear" w:color="auto" w:fill="DBE5F1" w:themeFill="accent1" w:themeFillTint="33"/>
          </w:tcPr>
          <w:p w14:paraId="5F42B263"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Pr>
                <w:rFonts w:eastAsia="Times New Roman" w:cs="Arial"/>
                <w:color w:val="000000"/>
                <w:lang w:eastAsia="en-AU"/>
              </w:rPr>
              <w:t>,</w:t>
            </w:r>
            <w:r w:rsidRPr="00FB0391">
              <w:rPr>
                <w:rFonts w:eastAsia="Times New Roman" w:cs="Arial"/>
                <w:color w:val="000000"/>
                <w:lang w:eastAsia="en-AU"/>
              </w:rPr>
              <w:t>598</w:t>
            </w:r>
          </w:p>
        </w:tc>
        <w:tc>
          <w:tcPr>
            <w:tcW w:w="380" w:type="pct"/>
            <w:shd w:val="clear" w:color="auto" w:fill="DBE5F1" w:themeFill="accent1" w:themeFillTint="33"/>
          </w:tcPr>
          <w:p w14:paraId="1CC26E56"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(24.5%)</w:t>
            </w:r>
          </w:p>
        </w:tc>
        <w:tc>
          <w:tcPr>
            <w:tcW w:w="625" w:type="pct"/>
            <w:tcBorders>
              <w:left w:val="single" w:sz="4" w:space="0" w:color="auto"/>
            </w:tcBorders>
            <w:shd w:val="clear" w:color="auto" w:fill="DBE5F1" w:themeFill="accent1" w:themeFillTint="33"/>
            <w:noWrap/>
            <w:hideMark/>
          </w:tcPr>
          <w:p w14:paraId="6A0FA212"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4</w:t>
            </w:r>
            <w:r>
              <w:rPr>
                <w:rFonts w:eastAsia="Times New Roman" w:cs="Arial"/>
                <w:color w:val="000000"/>
                <w:lang w:eastAsia="en-AU"/>
              </w:rPr>
              <w:t>,</w:t>
            </w:r>
            <w:r w:rsidRPr="00FB0391">
              <w:rPr>
                <w:rFonts w:eastAsia="Times New Roman" w:cs="Arial"/>
                <w:color w:val="000000"/>
                <w:lang w:eastAsia="en-AU"/>
              </w:rPr>
              <w:t>414</w:t>
            </w:r>
          </w:p>
        </w:tc>
        <w:tc>
          <w:tcPr>
            <w:tcW w:w="380" w:type="pct"/>
            <w:tcBorders>
              <w:right w:val="single" w:sz="4" w:space="0" w:color="auto"/>
            </w:tcBorders>
            <w:shd w:val="clear" w:color="auto" w:fill="DBE5F1" w:themeFill="accent1" w:themeFillTint="33"/>
          </w:tcPr>
          <w:p w14:paraId="74C97BA8" w14:textId="77777777" w:rsidR="00EB4A8B" w:rsidRPr="00E37227"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(14.2%)</w:t>
            </w:r>
          </w:p>
        </w:tc>
        <w:tc>
          <w:tcPr>
            <w:tcW w:w="781" w:type="pct"/>
            <w:tcBorders>
              <w:left w:val="single" w:sz="4" w:space="0" w:color="auto"/>
            </w:tcBorders>
            <w:shd w:val="clear" w:color="auto" w:fill="DBE5F1" w:themeFill="accent1" w:themeFillTint="33"/>
            <w:noWrap/>
            <w:hideMark/>
          </w:tcPr>
          <w:p w14:paraId="7099C42E" w14:textId="77777777" w:rsidR="00EB4A8B" w:rsidRPr="00FB039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Pr>
                <w:rFonts w:eastAsia="Times New Roman" w:cs="Arial"/>
                <w:color w:val="000000"/>
                <w:lang w:eastAsia="en-AU"/>
              </w:rPr>
              <w:t>,</w:t>
            </w:r>
            <w:r w:rsidRPr="00FB0391">
              <w:rPr>
                <w:rFonts w:eastAsia="Times New Roman" w:cs="Arial"/>
                <w:color w:val="000000"/>
                <w:lang w:eastAsia="en-AU"/>
              </w:rPr>
              <w:t>184</w:t>
            </w:r>
          </w:p>
        </w:tc>
        <w:tc>
          <w:tcPr>
            <w:tcW w:w="423" w:type="pct"/>
            <w:tcBorders>
              <w:right w:val="single" w:sz="4" w:space="0" w:color="auto"/>
            </w:tcBorders>
            <w:shd w:val="clear" w:color="auto" w:fill="DBE5F1" w:themeFill="accent1" w:themeFillTint="33"/>
            <w:vAlign w:val="center"/>
          </w:tcPr>
          <w:p w14:paraId="56080522"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10.25%</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0CB9BCE6"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31</w:t>
            </w:r>
            <w:r>
              <w:rPr>
                <w:rFonts w:eastAsia="Times New Roman" w:cs="Arial"/>
                <w:b/>
                <w:color w:val="auto"/>
                <w:lang w:eastAsia="en-AU"/>
              </w:rPr>
              <w:t>,</w:t>
            </w:r>
            <w:r w:rsidRPr="00196211">
              <w:rPr>
                <w:rFonts w:eastAsia="Times New Roman" w:cs="Arial"/>
                <w:b/>
                <w:color w:val="auto"/>
                <w:lang w:eastAsia="en-AU"/>
              </w:rPr>
              <w:t>053</w:t>
            </w:r>
          </w:p>
        </w:tc>
      </w:tr>
      <w:tr w:rsidR="00EB4A8B" w:rsidRPr="00FC5C7E" w14:paraId="3A8AA16F"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bottom w:val="single" w:sz="4" w:space="0" w:color="auto"/>
              <w:right w:val="single" w:sz="4" w:space="0" w:color="auto"/>
            </w:tcBorders>
            <w:noWrap/>
          </w:tcPr>
          <w:p w14:paraId="603E3C87"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2012</w:t>
            </w:r>
          </w:p>
        </w:tc>
        <w:tc>
          <w:tcPr>
            <w:tcW w:w="725" w:type="pct"/>
            <w:tcBorders>
              <w:left w:val="single" w:sz="4" w:space="0" w:color="auto"/>
              <w:bottom w:val="single" w:sz="4" w:space="0" w:color="auto"/>
            </w:tcBorders>
            <w:noWrap/>
            <w:hideMark/>
          </w:tcPr>
          <w:p w14:paraId="4EA50286"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25</w:t>
            </w:r>
            <w:r>
              <w:rPr>
                <w:rFonts w:eastAsia="Times New Roman" w:cs="Arial"/>
                <w:color w:val="000000"/>
                <w:lang w:eastAsia="en-AU"/>
              </w:rPr>
              <w:t>,</w:t>
            </w:r>
            <w:r w:rsidRPr="00FB0391">
              <w:rPr>
                <w:rFonts w:eastAsia="Times New Roman" w:cs="Arial"/>
                <w:color w:val="000000"/>
                <w:lang w:eastAsia="en-AU"/>
              </w:rPr>
              <w:t>811</w:t>
            </w:r>
          </w:p>
        </w:tc>
        <w:tc>
          <w:tcPr>
            <w:tcW w:w="380" w:type="pct"/>
            <w:tcBorders>
              <w:bottom w:val="single" w:sz="4" w:space="0" w:color="auto"/>
              <w:right w:val="single" w:sz="4" w:space="0" w:color="auto"/>
            </w:tcBorders>
          </w:tcPr>
          <w:p w14:paraId="2B5EB5B5"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(76.6%)</w:t>
            </w:r>
          </w:p>
        </w:tc>
        <w:tc>
          <w:tcPr>
            <w:tcW w:w="563" w:type="pct"/>
            <w:tcBorders>
              <w:bottom w:val="single" w:sz="4" w:space="0" w:color="auto"/>
              <w:right w:val="nil"/>
            </w:tcBorders>
          </w:tcPr>
          <w:p w14:paraId="6B6DB139"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7</w:t>
            </w:r>
            <w:r>
              <w:rPr>
                <w:rFonts w:eastAsia="Times New Roman" w:cs="Arial"/>
                <w:color w:val="000000"/>
                <w:lang w:eastAsia="en-AU"/>
              </w:rPr>
              <w:t>,</w:t>
            </w:r>
            <w:r w:rsidRPr="00FB0391">
              <w:rPr>
                <w:rFonts w:eastAsia="Times New Roman" w:cs="Arial"/>
                <w:color w:val="000000"/>
                <w:lang w:eastAsia="en-AU"/>
              </w:rPr>
              <w:t>893</w:t>
            </w:r>
          </w:p>
        </w:tc>
        <w:tc>
          <w:tcPr>
            <w:tcW w:w="380" w:type="pct"/>
            <w:tcBorders>
              <w:left w:val="nil"/>
              <w:bottom w:val="single" w:sz="4" w:space="0" w:color="auto"/>
            </w:tcBorders>
          </w:tcPr>
          <w:p w14:paraId="6A34DB0E"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(23.4%)</w:t>
            </w:r>
          </w:p>
        </w:tc>
        <w:tc>
          <w:tcPr>
            <w:tcW w:w="625" w:type="pct"/>
            <w:tcBorders>
              <w:left w:val="single" w:sz="4" w:space="0" w:color="auto"/>
              <w:bottom w:val="single" w:sz="4" w:space="0" w:color="auto"/>
            </w:tcBorders>
            <w:noWrap/>
            <w:hideMark/>
          </w:tcPr>
          <w:p w14:paraId="08C491F7"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4</w:t>
            </w:r>
            <w:r>
              <w:rPr>
                <w:rFonts w:eastAsia="Times New Roman" w:cs="Arial"/>
                <w:color w:val="000000"/>
                <w:lang w:eastAsia="en-AU"/>
              </w:rPr>
              <w:t>,</w:t>
            </w:r>
            <w:r w:rsidRPr="00FB0391">
              <w:rPr>
                <w:rFonts w:eastAsia="Times New Roman" w:cs="Arial"/>
                <w:color w:val="000000"/>
                <w:lang w:eastAsia="en-AU"/>
              </w:rPr>
              <w:t>662</w:t>
            </w:r>
          </w:p>
        </w:tc>
        <w:tc>
          <w:tcPr>
            <w:tcW w:w="380" w:type="pct"/>
            <w:tcBorders>
              <w:bottom w:val="single" w:sz="4" w:space="0" w:color="auto"/>
              <w:right w:val="single" w:sz="4" w:space="0" w:color="auto"/>
            </w:tcBorders>
          </w:tcPr>
          <w:p w14:paraId="78205717" w14:textId="77777777" w:rsidR="00EB4A8B" w:rsidRPr="00E37227"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37227">
              <w:rPr>
                <w:rFonts w:eastAsia="Times New Roman" w:cs="Arial"/>
                <w:color w:val="000000"/>
                <w:lang w:eastAsia="en-AU"/>
              </w:rPr>
              <w:t>(13.8%)</w:t>
            </w:r>
          </w:p>
        </w:tc>
        <w:tc>
          <w:tcPr>
            <w:tcW w:w="781" w:type="pct"/>
            <w:tcBorders>
              <w:left w:val="single" w:sz="4" w:space="0" w:color="auto"/>
              <w:bottom w:val="single" w:sz="4" w:space="0" w:color="auto"/>
              <w:right w:val="nil"/>
            </w:tcBorders>
            <w:noWrap/>
            <w:hideMark/>
          </w:tcPr>
          <w:p w14:paraId="0BBA0D90" w14:textId="77777777" w:rsidR="00EB4A8B" w:rsidRPr="00FB039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B0391">
              <w:rPr>
                <w:rFonts w:eastAsia="Times New Roman" w:cs="Arial"/>
                <w:color w:val="000000"/>
                <w:lang w:eastAsia="en-AU"/>
              </w:rPr>
              <w:t>3</w:t>
            </w:r>
            <w:r>
              <w:rPr>
                <w:rFonts w:eastAsia="Times New Roman" w:cs="Arial"/>
                <w:color w:val="000000"/>
                <w:lang w:eastAsia="en-AU"/>
              </w:rPr>
              <w:t>,</w:t>
            </w:r>
            <w:r w:rsidRPr="00FB0391">
              <w:rPr>
                <w:rFonts w:eastAsia="Times New Roman" w:cs="Arial"/>
                <w:color w:val="000000"/>
                <w:lang w:eastAsia="en-AU"/>
              </w:rPr>
              <w:t>231</w:t>
            </w:r>
          </w:p>
        </w:tc>
        <w:tc>
          <w:tcPr>
            <w:tcW w:w="423" w:type="pct"/>
            <w:tcBorders>
              <w:left w:val="nil"/>
              <w:bottom w:val="single" w:sz="4" w:space="0" w:color="auto"/>
              <w:right w:val="single" w:sz="4" w:space="0" w:color="auto"/>
            </w:tcBorders>
            <w:vAlign w:val="center"/>
          </w:tcPr>
          <w:p w14:paraId="7BA6F8B1"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9.59%</w:t>
            </w:r>
            <w:r>
              <w:rPr>
                <w:rFonts w:ascii="Calibri" w:hAnsi="Calibri"/>
                <w:color w:val="auto"/>
              </w:rPr>
              <w:t>)</w:t>
            </w:r>
          </w:p>
        </w:tc>
        <w:tc>
          <w:tcPr>
            <w:tcW w:w="395" w:type="pct"/>
            <w:tcBorders>
              <w:left w:val="single" w:sz="4" w:space="0" w:color="auto"/>
              <w:bottom w:val="single" w:sz="4" w:space="0" w:color="auto"/>
              <w:right w:val="single" w:sz="4" w:space="0" w:color="auto"/>
            </w:tcBorders>
          </w:tcPr>
          <w:p w14:paraId="4F9FA505" w14:textId="77777777" w:rsidR="00EB4A8B" w:rsidRPr="0019621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33</w:t>
            </w:r>
            <w:r>
              <w:rPr>
                <w:rFonts w:eastAsia="Times New Roman" w:cs="Arial"/>
                <w:b/>
                <w:color w:val="auto"/>
                <w:lang w:eastAsia="en-AU"/>
              </w:rPr>
              <w:t>,</w:t>
            </w:r>
            <w:r w:rsidRPr="00196211">
              <w:rPr>
                <w:rFonts w:eastAsia="Times New Roman" w:cs="Arial"/>
                <w:b/>
                <w:color w:val="auto"/>
                <w:lang w:eastAsia="en-AU"/>
              </w:rPr>
              <w:t>704</w:t>
            </w:r>
          </w:p>
        </w:tc>
      </w:tr>
      <w:tr w:rsidR="002418F8" w:rsidRPr="00FC5C7E" w14:paraId="15D08EDD" w14:textId="77777777" w:rsidTr="00B605C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735FF963" w14:textId="77777777" w:rsidR="00EB4A8B" w:rsidRPr="00FC5C7E" w:rsidRDefault="00EB4A8B" w:rsidP="00CE2FDF">
            <w:pPr>
              <w:tabs>
                <w:tab w:val="left" w:pos="1134"/>
              </w:tabs>
              <w:spacing w:before="0" w:line="276" w:lineRule="auto"/>
              <w:rPr>
                <w:rFonts w:eastAsia="Times New Roman" w:cs="Arial"/>
                <w:color w:val="auto"/>
                <w:lang w:eastAsia="en-AU"/>
              </w:rPr>
            </w:pPr>
            <w:r w:rsidRPr="00FC5C7E">
              <w:rPr>
                <w:rFonts w:eastAsia="Times New Roman" w:cs="Arial"/>
                <w:bCs w:val="0"/>
                <w:color w:val="auto"/>
                <w:lang w:eastAsia="en-AU"/>
              </w:rPr>
              <w:t>Totals:</w:t>
            </w:r>
          </w:p>
        </w:tc>
        <w:tc>
          <w:tcPr>
            <w:tcW w:w="725" w:type="pct"/>
            <w:tcBorders>
              <w:top w:val="single" w:sz="4" w:space="0" w:color="auto"/>
              <w:left w:val="single" w:sz="4" w:space="0" w:color="auto"/>
              <w:bottom w:val="single" w:sz="4" w:space="0" w:color="auto"/>
            </w:tcBorders>
            <w:shd w:val="clear" w:color="auto" w:fill="95B3D7" w:themeFill="accent1" w:themeFillTint="99"/>
            <w:noWrap/>
          </w:tcPr>
          <w:p w14:paraId="43EF318B"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193,320</w:t>
            </w:r>
          </w:p>
        </w:tc>
        <w:tc>
          <w:tcPr>
            <w:tcW w:w="380" w:type="pct"/>
            <w:tcBorders>
              <w:top w:val="single" w:sz="4" w:space="0" w:color="auto"/>
              <w:bottom w:val="single" w:sz="4" w:space="0" w:color="auto"/>
              <w:right w:val="single" w:sz="4" w:space="0" w:color="auto"/>
            </w:tcBorders>
            <w:shd w:val="clear" w:color="auto" w:fill="95B3D7" w:themeFill="accent1" w:themeFillTint="99"/>
          </w:tcPr>
          <w:p w14:paraId="4A4C6E99"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(73.3%)</w:t>
            </w:r>
          </w:p>
        </w:tc>
        <w:tc>
          <w:tcPr>
            <w:tcW w:w="563" w:type="pct"/>
            <w:tcBorders>
              <w:top w:val="single" w:sz="4" w:space="0" w:color="auto"/>
              <w:bottom w:val="single" w:sz="4" w:space="0" w:color="auto"/>
            </w:tcBorders>
            <w:shd w:val="clear" w:color="auto" w:fill="95B3D7" w:themeFill="accent1" w:themeFillTint="99"/>
          </w:tcPr>
          <w:p w14:paraId="713BB9E6"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70,372</w:t>
            </w:r>
          </w:p>
        </w:tc>
        <w:tc>
          <w:tcPr>
            <w:tcW w:w="380" w:type="pct"/>
            <w:tcBorders>
              <w:top w:val="single" w:sz="4" w:space="0" w:color="auto"/>
              <w:bottom w:val="single" w:sz="4" w:space="0" w:color="auto"/>
            </w:tcBorders>
            <w:shd w:val="clear" w:color="auto" w:fill="95B3D7" w:themeFill="accent1" w:themeFillTint="99"/>
          </w:tcPr>
          <w:p w14:paraId="1B578FFD"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(26.7%)</w:t>
            </w:r>
          </w:p>
        </w:tc>
        <w:tc>
          <w:tcPr>
            <w:tcW w:w="625" w:type="pct"/>
            <w:tcBorders>
              <w:top w:val="single" w:sz="4" w:space="0" w:color="auto"/>
              <w:left w:val="single" w:sz="4" w:space="0" w:color="auto"/>
              <w:bottom w:val="single" w:sz="4" w:space="0" w:color="auto"/>
            </w:tcBorders>
            <w:shd w:val="clear" w:color="auto" w:fill="95B3D7" w:themeFill="accent1" w:themeFillTint="99"/>
            <w:noWrap/>
          </w:tcPr>
          <w:p w14:paraId="093B91E3"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41,180</w:t>
            </w:r>
          </w:p>
        </w:tc>
        <w:tc>
          <w:tcPr>
            <w:tcW w:w="380" w:type="pct"/>
            <w:tcBorders>
              <w:top w:val="single" w:sz="4" w:space="0" w:color="auto"/>
              <w:bottom w:val="single" w:sz="4" w:space="0" w:color="auto"/>
              <w:right w:val="single" w:sz="4" w:space="0" w:color="auto"/>
            </w:tcBorders>
            <w:shd w:val="clear" w:color="auto" w:fill="95B3D7" w:themeFill="accent1" w:themeFillTint="99"/>
          </w:tcPr>
          <w:p w14:paraId="4D58750D"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(15.6%)</w:t>
            </w:r>
          </w:p>
        </w:tc>
        <w:tc>
          <w:tcPr>
            <w:tcW w:w="781" w:type="pct"/>
            <w:tcBorders>
              <w:top w:val="single" w:sz="4" w:space="0" w:color="auto"/>
              <w:left w:val="single" w:sz="4" w:space="0" w:color="auto"/>
              <w:bottom w:val="single" w:sz="4" w:space="0" w:color="auto"/>
            </w:tcBorders>
            <w:shd w:val="clear" w:color="auto" w:fill="95B3D7" w:themeFill="accent1" w:themeFillTint="99"/>
            <w:noWrap/>
          </w:tcPr>
          <w:p w14:paraId="558F476B"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96211">
              <w:rPr>
                <w:rFonts w:eastAsia="Times New Roman" w:cs="Arial"/>
                <w:b/>
                <w:color w:val="000000"/>
                <w:lang w:eastAsia="en-AU"/>
              </w:rPr>
              <w:t>29,192</w:t>
            </w:r>
          </w:p>
        </w:tc>
        <w:tc>
          <w:tcPr>
            <w:tcW w:w="423" w:type="pct"/>
            <w:tcBorders>
              <w:top w:val="single" w:sz="4" w:space="0" w:color="auto"/>
              <w:bottom w:val="single" w:sz="4" w:space="0" w:color="auto"/>
              <w:right w:val="single" w:sz="4" w:space="0" w:color="auto"/>
            </w:tcBorders>
            <w:shd w:val="clear" w:color="auto" w:fill="95B3D7" w:themeFill="accent1" w:themeFillTint="99"/>
            <w:vAlign w:val="center"/>
          </w:tcPr>
          <w:p w14:paraId="74B3A996"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11.07%</w:t>
            </w:r>
            <w:r>
              <w:rPr>
                <w:rFonts w:ascii="Calibri" w:hAnsi="Calibri"/>
                <w:color w:val="auto"/>
              </w:rPr>
              <w:t>)</w:t>
            </w:r>
          </w:p>
        </w:tc>
        <w:tc>
          <w:tcPr>
            <w:tcW w:w="395"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B7DD7E7" w14:textId="77777777" w:rsidR="00EB4A8B" w:rsidRPr="0019621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96211">
              <w:rPr>
                <w:rFonts w:eastAsia="Times New Roman" w:cs="Arial"/>
                <w:b/>
                <w:color w:val="auto"/>
                <w:lang w:eastAsia="en-AU"/>
              </w:rPr>
              <w:t>263,692</w:t>
            </w:r>
          </w:p>
        </w:tc>
      </w:tr>
    </w:tbl>
    <w:p w14:paraId="55617EE1" w14:textId="77777777" w:rsidR="005D61DD" w:rsidRPr="0006220F" w:rsidRDefault="005D61DD" w:rsidP="005E613E">
      <w:pPr>
        <w:pStyle w:val="Heading6"/>
        <w:spacing w:before="240" w:after="240"/>
      </w:pPr>
      <w:r w:rsidRPr="0006220F">
        <w:t xml:space="preserve">Line graph for table </w:t>
      </w:r>
      <w:r w:rsidR="00261C0C" w:rsidRPr="0006220F">
        <w:t>1.26.4: Reports by other reporter</w:t>
      </w:r>
      <w:r w:rsidRPr="0006220F">
        <w:t xml:space="preserve"> groups combined, by year, by outcome of reports</w:t>
      </w:r>
    </w:p>
    <w:p w14:paraId="184D5EEC" w14:textId="77777777" w:rsidR="0080128E" w:rsidRDefault="000D64F0" w:rsidP="00B15586">
      <w:r w:rsidRPr="000D64F0">
        <w:rPr>
          <w:noProof/>
          <w:lang w:eastAsia="en-AU"/>
        </w:rPr>
        <w:drawing>
          <wp:inline distT="0" distB="0" distL="0" distR="0" wp14:anchorId="3A83406D" wp14:editId="3395AF14">
            <wp:extent cx="9210675" cy="1962150"/>
            <wp:effectExtent l="0" t="0" r="9525" b="0"/>
            <wp:docPr id="34" name="Chart 30" descr="Shows 73.3% of 263,692 abuse reports by other reporter groups not investigated over the decade. " title="Line graph for table 1.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80128E">
        <w:br w:type="page"/>
      </w:r>
    </w:p>
    <w:p w14:paraId="6B3F4DC3" w14:textId="0D030BCD" w:rsidR="005D61DD" w:rsidRDefault="005D61DD" w:rsidP="0095311F">
      <w:pPr>
        <w:pStyle w:val="Figureheading"/>
      </w:pPr>
      <w:r>
        <w:lastRenderedPageBreak/>
        <w:t>1.26.5</w:t>
      </w:r>
      <w:r>
        <w:tab/>
      </w:r>
      <w:r w:rsidR="00B439DA">
        <w:tab/>
      </w:r>
      <w:r>
        <w:t>Reports by doctors, by year, by abuse type (number and percentage)</w:t>
      </w:r>
    </w:p>
    <w:tbl>
      <w:tblPr>
        <w:tblStyle w:val="LightShading-Accent120"/>
        <w:tblW w:w="5000" w:type="pct"/>
        <w:tblLook w:val="04A0" w:firstRow="1" w:lastRow="0" w:firstColumn="1" w:lastColumn="0" w:noHBand="0" w:noVBand="1"/>
        <w:tblCaption w:val="Reports by doctors, by year, by abuse type (number and percentage)"/>
      </w:tblPr>
      <w:tblGrid>
        <w:gridCol w:w="918"/>
        <w:gridCol w:w="2423"/>
        <w:gridCol w:w="908"/>
        <w:gridCol w:w="1340"/>
        <w:gridCol w:w="1334"/>
        <w:gridCol w:w="2274"/>
        <w:gridCol w:w="1334"/>
        <w:gridCol w:w="2067"/>
        <w:gridCol w:w="967"/>
        <w:gridCol w:w="1221"/>
      </w:tblGrid>
      <w:tr w:rsidR="002418F8" w:rsidRPr="00C97EF5" w14:paraId="4CACD16D" w14:textId="77777777" w:rsidTr="00B605CE">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6971D5C" w14:textId="77777777" w:rsidR="000D64F0" w:rsidRPr="00C97EF5" w:rsidRDefault="000D64F0" w:rsidP="00CE2FDF">
            <w:pPr>
              <w:tabs>
                <w:tab w:val="left" w:pos="1134"/>
              </w:tabs>
              <w:spacing w:before="0" w:line="276" w:lineRule="auto"/>
              <w:rPr>
                <w:rFonts w:ascii="Calibri" w:eastAsia="Times New Roman" w:hAnsi="Calibri" w:cs="Arial"/>
                <w:bCs w:val="0"/>
                <w:color w:val="000000"/>
                <w:sz w:val="24"/>
                <w:lang w:eastAsia="en-AU"/>
              </w:rPr>
            </w:pPr>
          </w:p>
        </w:tc>
        <w:tc>
          <w:tcPr>
            <w:tcW w:w="819" w:type="pct"/>
            <w:tcBorders>
              <w:top w:val="single" w:sz="4" w:space="0" w:color="auto"/>
              <w:left w:val="single" w:sz="4" w:space="0" w:color="auto"/>
              <w:bottom w:val="single" w:sz="4" w:space="0" w:color="auto"/>
            </w:tcBorders>
            <w:shd w:val="clear" w:color="auto" w:fill="95B3D7" w:themeFill="accent1" w:themeFillTint="99"/>
            <w:vAlign w:val="center"/>
            <w:hideMark/>
          </w:tcPr>
          <w:p w14:paraId="3BCAACA2" w14:textId="147F9E79" w:rsidR="000D64F0" w:rsidRPr="00C97EF5" w:rsidRDefault="000D64F0" w:rsidP="00B605CE">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Emotiona</w:t>
            </w:r>
            <w:r w:rsidR="00B605CE">
              <w:rPr>
                <w:rFonts w:ascii="Calibri" w:eastAsia="Times New Roman" w:hAnsi="Calibri" w:cs="Arial"/>
                <w:bCs w:val="0"/>
                <w:color w:val="000000"/>
                <w:lang w:eastAsia="en-AU"/>
              </w:rPr>
              <w:t xml:space="preserve">l </w:t>
            </w:r>
            <w:r w:rsidR="00736DDB">
              <w:rPr>
                <w:rFonts w:ascii="Calibri" w:eastAsia="Times New Roman" w:hAnsi="Calibri" w:cs="Arial"/>
                <w:bCs w:val="0"/>
                <w:color w:val="000000"/>
                <w:lang w:eastAsia="en-AU"/>
              </w:rPr>
              <w:t>abuse</w:t>
            </w:r>
          </w:p>
        </w:tc>
        <w:tc>
          <w:tcPr>
            <w:tcW w:w="307" w:type="pct"/>
            <w:tcBorders>
              <w:top w:val="single" w:sz="4" w:space="0" w:color="auto"/>
              <w:bottom w:val="single" w:sz="4" w:space="0" w:color="auto"/>
              <w:right w:val="single" w:sz="4" w:space="0" w:color="auto"/>
            </w:tcBorders>
            <w:shd w:val="clear" w:color="auto" w:fill="95B3D7" w:themeFill="accent1" w:themeFillTint="99"/>
            <w:vAlign w:val="center"/>
          </w:tcPr>
          <w:p w14:paraId="694D9F9C" w14:textId="77777777" w:rsidR="000D64F0" w:rsidRPr="00C97EF5"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453" w:type="pct"/>
            <w:tcBorders>
              <w:top w:val="single" w:sz="4" w:space="0" w:color="auto"/>
              <w:left w:val="single" w:sz="4" w:space="0" w:color="auto"/>
              <w:bottom w:val="single" w:sz="4" w:space="0" w:color="auto"/>
            </w:tcBorders>
            <w:shd w:val="clear" w:color="auto" w:fill="95B3D7" w:themeFill="accent1" w:themeFillTint="99"/>
            <w:vAlign w:val="center"/>
            <w:hideMark/>
          </w:tcPr>
          <w:p w14:paraId="61F11EED" w14:textId="77777777" w:rsidR="000D64F0" w:rsidRPr="00C97EF5"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Neglect</w:t>
            </w:r>
          </w:p>
        </w:tc>
        <w:tc>
          <w:tcPr>
            <w:tcW w:w="451" w:type="pct"/>
            <w:tcBorders>
              <w:top w:val="single" w:sz="4" w:space="0" w:color="auto"/>
              <w:bottom w:val="single" w:sz="4" w:space="0" w:color="auto"/>
              <w:right w:val="single" w:sz="4" w:space="0" w:color="auto"/>
            </w:tcBorders>
            <w:shd w:val="clear" w:color="auto" w:fill="95B3D7" w:themeFill="accent1" w:themeFillTint="99"/>
            <w:vAlign w:val="center"/>
          </w:tcPr>
          <w:p w14:paraId="7A3C6294" w14:textId="77777777" w:rsidR="000D64F0" w:rsidRPr="00C97EF5"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769" w:type="pct"/>
            <w:tcBorders>
              <w:top w:val="single" w:sz="4" w:space="0" w:color="auto"/>
              <w:left w:val="single" w:sz="4" w:space="0" w:color="auto"/>
              <w:bottom w:val="single" w:sz="4" w:space="0" w:color="auto"/>
            </w:tcBorders>
            <w:shd w:val="clear" w:color="auto" w:fill="95B3D7" w:themeFill="accent1" w:themeFillTint="99"/>
            <w:vAlign w:val="center"/>
            <w:hideMark/>
          </w:tcPr>
          <w:p w14:paraId="799ECAF6" w14:textId="77777777" w:rsidR="000D64F0" w:rsidRPr="00C97EF5"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Physical</w:t>
            </w:r>
            <w:r w:rsidR="00736DDB">
              <w:rPr>
                <w:rFonts w:ascii="Calibri" w:eastAsia="Times New Roman" w:hAnsi="Calibri" w:cs="Arial"/>
                <w:bCs w:val="0"/>
                <w:color w:val="000000"/>
                <w:lang w:eastAsia="en-AU"/>
              </w:rPr>
              <w:t xml:space="preserve"> abuse</w:t>
            </w:r>
          </w:p>
        </w:tc>
        <w:tc>
          <w:tcPr>
            <w:tcW w:w="451" w:type="pct"/>
            <w:tcBorders>
              <w:top w:val="single" w:sz="4" w:space="0" w:color="auto"/>
              <w:bottom w:val="single" w:sz="4" w:space="0" w:color="auto"/>
              <w:right w:val="single" w:sz="4" w:space="0" w:color="auto"/>
            </w:tcBorders>
            <w:shd w:val="clear" w:color="auto" w:fill="95B3D7" w:themeFill="accent1" w:themeFillTint="99"/>
            <w:vAlign w:val="center"/>
          </w:tcPr>
          <w:p w14:paraId="5BDD41AB" w14:textId="77777777" w:rsidR="000D64F0" w:rsidRPr="00C97EF5"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699" w:type="pct"/>
            <w:tcBorders>
              <w:top w:val="single" w:sz="4" w:space="0" w:color="auto"/>
              <w:left w:val="single" w:sz="4" w:space="0" w:color="auto"/>
              <w:bottom w:val="single" w:sz="4" w:space="0" w:color="auto"/>
            </w:tcBorders>
            <w:shd w:val="clear" w:color="auto" w:fill="95B3D7" w:themeFill="accent1" w:themeFillTint="99"/>
            <w:vAlign w:val="center"/>
            <w:hideMark/>
          </w:tcPr>
          <w:p w14:paraId="522D122A" w14:textId="77777777" w:rsidR="000D64F0" w:rsidRPr="00C97EF5"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Sexual</w:t>
            </w:r>
            <w:r w:rsidR="00736DDB">
              <w:rPr>
                <w:rFonts w:ascii="Calibri" w:eastAsia="Times New Roman" w:hAnsi="Calibri" w:cs="Arial"/>
                <w:bCs w:val="0"/>
                <w:color w:val="000000"/>
                <w:lang w:eastAsia="en-AU"/>
              </w:rPr>
              <w:t xml:space="preserve"> abuse</w:t>
            </w:r>
          </w:p>
        </w:tc>
        <w:tc>
          <w:tcPr>
            <w:tcW w:w="327" w:type="pct"/>
            <w:tcBorders>
              <w:top w:val="single" w:sz="4" w:space="0" w:color="auto"/>
              <w:bottom w:val="single" w:sz="4" w:space="0" w:color="auto"/>
              <w:right w:val="single" w:sz="4" w:space="0" w:color="auto"/>
            </w:tcBorders>
            <w:shd w:val="clear" w:color="auto" w:fill="95B3D7" w:themeFill="accent1" w:themeFillTint="99"/>
            <w:vAlign w:val="center"/>
          </w:tcPr>
          <w:p w14:paraId="261EB551" w14:textId="77777777" w:rsidR="000D64F0" w:rsidRPr="00C97EF5" w:rsidRDefault="000D64F0" w:rsidP="00CE2FDF">
            <w:pPr>
              <w:tabs>
                <w:tab w:val="left" w:pos="1134"/>
              </w:tabs>
              <w:spacing w:before="0" w:line="276" w:lineRule="auto"/>
              <w:ind w:left="-25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413"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31EB906" w14:textId="77777777" w:rsidR="000D64F0" w:rsidRPr="00C97EF5" w:rsidRDefault="000D64F0"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C97EF5">
              <w:rPr>
                <w:rFonts w:ascii="Calibri" w:eastAsia="Times New Roman" w:hAnsi="Calibri" w:cs="Arial"/>
                <w:bCs w:val="0"/>
                <w:color w:val="auto"/>
                <w:lang w:eastAsia="en-AU"/>
              </w:rPr>
              <w:t>Totals:</w:t>
            </w:r>
          </w:p>
        </w:tc>
      </w:tr>
      <w:tr w:rsidR="00C84E96" w:rsidRPr="00F0043D" w14:paraId="284CE053"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auto"/>
              <w:left w:val="single" w:sz="4" w:space="0" w:color="auto"/>
              <w:right w:val="single" w:sz="4" w:space="0" w:color="auto"/>
            </w:tcBorders>
            <w:noWrap/>
            <w:hideMark/>
          </w:tcPr>
          <w:p w14:paraId="1CEB2FEC"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2003</w:t>
            </w:r>
          </w:p>
        </w:tc>
        <w:tc>
          <w:tcPr>
            <w:tcW w:w="819" w:type="pct"/>
            <w:tcBorders>
              <w:top w:val="single" w:sz="4" w:space="0" w:color="auto"/>
              <w:left w:val="single" w:sz="4" w:space="0" w:color="auto"/>
            </w:tcBorders>
            <w:noWrap/>
            <w:hideMark/>
          </w:tcPr>
          <w:p w14:paraId="059A3BBE"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207</w:t>
            </w:r>
          </w:p>
        </w:tc>
        <w:tc>
          <w:tcPr>
            <w:tcW w:w="307" w:type="pct"/>
            <w:tcBorders>
              <w:top w:val="single" w:sz="4" w:space="0" w:color="auto"/>
              <w:right w:val="single" w:sz="4" w:space="0" w:color="auto"/>
            </w:tcBorders>
          </w:tcPr>
          <w:p w14:paraId="08F294AF"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(20.4%)</w:t>
            </w:r>
          </w:p>
        </w:tc>
        <w:tc>
          <w:tcPr>
            <w:tcW w:w="453" w:type="pct"/>
            <w:tcBorders>
              <w:top w:val="single" w:sz="4" w:space="0" w:color="auto"/>
              <w:left w:val="single" w:sz="4" w:space="0" w:color="auto"/>
            </w:tcBorders>
            <w:noWrap/>
            <w:hideMark/>
          </w:tcPr>
          <w:p w14:paraId="5D3EBAF0"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202</w:t>
            </w:r>
          </w:p>
        </w:tc>
        <w:tc>
          <w:tcPr>
            <w:tcW w:w="451" w:type="pct"/>
            <w:tcBorders>
              <w:top w:val="single" w:sz="4" w:space="0" w:color="auto"/>
              <w:right w:val="single" w:sz="4" w:space="0" w:color="auto"/>
            </w:tcBorders>
          </w:tcPr>
          <w:p w14:paraId="4A968053"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(19.9%)</w:t>
            </w:r>
          </w:p>
        </w:tc>
        <w:tc>
          <w:tcPr>
            <w:tcW w:w="769" w:type="pct"/>
            <w:tcBorders>
              <w:top w:val="single" w:sz="4" w:space="0" w:color="auto"/>
              <w:left w:val="single" w:sz="4" w:space="0" w:color="auto"/>
            </w:tcBorders>
            <w:noWrap/>
            <w:hideMark/>
          </w:tcPr>
          <w:p w14:paraId="0AC5C2A7"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382</w:t>
            </w:r>
          </w:p>
        </w:tc>
        <w:tc>
          <w:tcPr>
            <w:tcW w:w="451" w:type="pct"/>
            <w:tcBorders>
              <w:top w:val="single" w:sz="4" w:space="0" w:color="auto"/>
              <w:right w:val="single" w:sz="4" w:space="0" w:color="auto"/>
            </w:tcBorders>
          </w:tcPr>
          <w:p w14:paraId="5FC9339E"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(37.7%)</w:t>
            </w:r>
          </w:p>
        </w:tc>
        <w:tc>
          <w:tcPr>
            <w:tcW w:w="699" w:type="pct"/>
            <w:tcBorders>
              <w:top w:val="single" w:sz="4" w:space="0" w:color="auto"/>
              <w:left w:val="single" w:sz="4" w:space="0" w:color="auto"/>
            </w:tcBorders>
            <w:noWrap/>
            <w:hideMark/>
          </w:tcPr>
          <w:p w14:paraId="44CE2205"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222</w:t>
            </w:r>
          </w:p>
        </w:tc>
        <w:tc>
          <w:tcPr>
            <w:tcW w:w="327" w:type="pct"/>
            <w:tcBorders>
              <w:top w:val="single" w:sz="4" w:space="0" w:color="auto"/>
              <w:right w:val="single" w:sz="4" w:space="0" w:color="auto"/>
            </w:tcBorders>
          </w:tcPr>
          <w:p w14:paraId="32FBE9B1" w14:textId="77777777" w:rsidR="000D64F0" w:rsidRPr="00EA4116" w:rsidRDefault="000D64F0" w:rsidP="00CE2FDF">
            <w:pPr>
              <w:tabs>
                <w:tab w:val="left" w:pos="1134"/>
              </w:tabs>
              <w:spacing w:before="0" w:line="276" w:lineRule="auto"/>
              <w:ind w:left="-2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(21.9%)</w:t>
            </w:r>
          </w:p>
        </w:tc>
        <w:tc>
          <w:tcPr>
            <w:tcW w:w="413" w:type="pct"/>
            <w:tcBorders>
              <w:top w:val="single" w:sz="4" w:space="0" w:color="auto"/>
              <w:left w:val="single" w:sz="4" w:space="0" w:color="auto"/>
              <w:right w:val="single" w:sz="4" w:space="0" w:color="auto"/>
            </w:tcBorders>
            <w:noWrap/>
            <w:hideMark/>
          </w:tcPr>
          <w:p w14:paraId="0540F6E8"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w:t>
            </w:r>
            <w:r w:rsidR="00E76B23">
              <w:rPr>
                <w:rFonts w:eastAsia="Times New Roman" w:cs="Arial"/>
                <w:b/>
                <w:color w:val="auto"/>
                <w:lang w:eastAsia="en-AU"/>
              </w:rPr>
              <w:t>,</w:t>
            </w:r>
            <w:r w:rsidRPr="00C97EF5">
              <w:rPr>
                <w:rFonts w:eastAsia="Times New Roman" w:cs="Arial"/>
                <w:b/>
                <w:color w:val="auto"/>
                <w:lang w:eastAsia="en-AU"/>
              </w:rPr>
              <w:t>013</w:t>
            </w:r>
          </w:p>
        </w:tc>
      </w:tr>
      <w:tr w:rsidR="000D64F0" w:rsidRPr="00F0043D" w14:paraId="4F505867"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10" w:type="pct"/>
            <w:tcBorders>
              <w:left w:val="single" w:sz="4" w:space="0" w:color="auto"/>
              <w:right w:val="single" w:sz="4" w:space="0" w:color="auto"/>
            </w:tcBorders>
            <w:noWrap/>
            <w:hideMark/>
          </w:tcPr>
          <w:p w14:paraId="284692EA"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2004</w:t>
            </w:r>
          </w:p>
        </w:tc>
        <w:tc>
          <w:tcPr>
            <w:tcW w:w="819" w:type="pct"/>
            <w:tcBorders>
              <w:left w:val="single" w:sz="4" w:space="0" w:color="auto"/>
            </w:tcBorders>
            <w:noWrap/>
            <w:hideMark/>
          </w:tcPr>
          <w:p w14:paraId="367EEEC7"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218</w:t>
            </w:r>
          </w:p>
        </w:tc>
        <w:tc>
          <w:tcPr>
            <w:tcW w:w="307" w:type="pct"/>
            <w:tcBorders>
              <w:right w:val="single" w:sz="4" w:space="0" w:color="auto"/>
            </w:tcBorders>
          </w:tcPr>
          <w:p w14:paraId="3E9B24FB"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(23.8%)</w:t>
            </w:r>
          </w:p>
        </w:tc>
        <w:tc>
          <w:tcPr>
            <w:tcW w:w="453" w:type="pct"/>
            <w:tcBorders>
              <w:left w:val="single" w:sz="4" w:space="0" w:color="auto"/>
            </w:tcBorders>
            <w:noWrap/>
            <w:hideMark/>
          </w:tcPr>
          <w:p w14:paraId="60E67F1B"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175</w:t>
            </w:r>
          </w:p>
        </w:tc>
        <w:tc>
          <w:tcPr>
            <w:tcW w:w="451" w:type="pct"/>
            <w:tcBorders>
              <w:right w:val="single" w:sz="4" w:space="0" w:color="auto"/>
            </w:tcBorders>
          </w:tcPr>
          <w:p w14:paraId="05A72B6B"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(19.1%)</w:t>
            </w:r>
          </w:p>
        </w:tc>
        <w:tc>
          <w:tcPr>
            <w:tcW w:w="769" w:type="pct"/>
            <w:tcBorders>
              <w:left w:val="single" w:sz="4" w:space="0" w:color="auto"/>
            </w:tcBorders>
            <w:noWrap/>
            <w:hideMark/>
          </w:tcPr>
          <w:p w14:paraId="79395DF7"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331</w:t>
            </w:r>
          </w:p>
        </w:tc>
        <w:tc>
          <w:tcPr>
            <w:tcW w:w="451" w:type="pct"/>
            <w:tcBorders>
              <w:right w:val="single" w:sz="4" w:space="0" w:color="auto"/>
            </w:tcBorders>
          </w:tcPr>
          <w:p w14:paraId="28D6D27B"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(36.1%)</w:t>
            </w:r>
          </w:p>
        </w:tc>
        <w:tc>
          <w:tcPr>
            <w:tcW w:w="699" w:type="pct"/>
            <w:tcBorders>
              <w:left w:val="single" w:sz="4" w:space="0" w:color="auto"/>
            </w:tcBorders>
            <w:noWrap/>
            <w:hideMark/>
          </w:tcPr>
          <w:p w14:paraId="54557500"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193</w:t>
            </w:r>
          </w:p>
        </w:tc>
        <w:tc>
          <w:tcPr>
            <w:tcW w:w="327" w:type="pct"/>
            <w:tcBorders>
              <w:right w:val="single" w:sz="4" w:space="0" w:color="auto"/>
            </w:tcBorders>
          </w:tcPr>
          <w:p w14:paraId="6D76634E" w14:textId="77777777" w:rsidR="000D64F0" w:rsidRPr="00EA4116" w:rsidRDefault="000D64F0" w:rsidP="00CE2FDF">
            <w:pPr>
              <w:tabs>
                <w:tab w:val="left" w:pos="1134"/>
              </w:tabs>
              <w:spacing w:before="0" w:line="276" w:lineRule="auto"/>
              <w:ind w:left="-2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(21%)</w:t>
            </w:r>
          </w:p>
        </w:tc>
        <w:tc>
          <w:tcPr>
            <w:tcW w:w="413" w:type="pct"/>
            <w:tcBorders>
              <w:left w:val="single" w:sz="4" w:space="0" w:color="auto"/>
              <w:right w:val="single" w:sz="4" w:space="0" w:color="auto"/>
            </w:tcBorders>
            <w:noWrap/>
            <w:hideMark/>
          </w:tcPr>
          <w:p w14:paraId="71CC8D29" w14:textId="77777777" w:rsidR="000D64F0" w:rsidRPr="00C97EF5"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917</w:t>
            </w:r>
          </w:p>
        </w:tc>
      </w:tr>
      <w:tr w:rsidR="00C84E96" w:rsidRPr="00F0043D" w14:paraId="6003CCBA"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0" w:type="pct"/>
            <w:tcBorders>
              <w:left w:val="single" w:sz="4" w:space="0" w:color="auto"/>
              <w:right w:val="single" w:sz="4" w:space="0" w:color="auto"/>
            </w:tcBorders>
            <w:noWrap/>
            <w:hideMark/>
          </w:tcPr>
          <w:p w14:paraId="585C40A8"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2005</w:t>
            </w:r>
          </w:p>
        </w:tc>
        <w:tc>
          <w:tcPr>
            <w:tcW w:w="819" w:type="pct"/>
            <w:tcBorders>
              <w:left w:val="single" w:sz="4" w:space="0" w:color="auto"/>
            </w:tcBorders>
            <w:noWrap/>
            <w:hideMark/>
          </w:tcPr>
          <w:p w14:paraId="662953AE"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225</w:t>
            </w:r>
          </w:p>
        </w:tc>
        <w:tc>
          <w:tcPr>
            <w:tcW w:w="307" w:type="pct"/>
            <w:tcBorders>
              <w:right w:val="single" w:sz="4" w:space="0" w:color="auto"/>
            </w:tcBorders>
          </w:tcPr>
          <w:p w14:paraId="5A7C3491"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(25.5%)</w:t>
            </w:r>
          </w:p>
        </w:tc>
        <w:tc>
          <w:tcPr>
            <w:tcW w:w="453" w:type="pct"/>
            <w:tcBorders>
              <w:left w:val="single" w:sz="4" w:space="0" w:color="auto"/>
            </w:tcBorders>
            <w:noWrap/>
            <w:hideMark/>
          </w:tcPr>
          <w:p w14:paraId="69F99044"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177</w:t>
            </w:r>
          </w:p>
        </w:tc>
        <w:tc>
          <w:tcPr>
            <w:tcW w:w="451" w:type="pct"/>
            <w:tcBorders>
              <w:right w:val="single" w:sz="4" w:space="0" w:color="auto"/>
            </w:tcBorders>
          </w:tcPr>
          <w:p w14:paraId="262068A1"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(20.1%)</w:t>
            </w:r>
          </w:p>
        </w:tc>
        <w:tc>
          <w:tcPr>
            <w:tcW w:w="769" w:type="pct"/>
            <w:tcBorders>
              <w:left w:val="single" w:sz="4" w:space="0" w:color="auto"/>
            </w:tcBorders>
            <w:noWrap/>
            <w:hideMark/>
          </w:tcPr>
          <w:p w14:paraId="445ABFDB"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276</w:t>
            </w:r>
          </w:p>
        </w:tc>
        <w:tc>
          <w:tcPr>
            <w:tcW w:w="451" w:type="pct"/>
            <w:tcBorders>
              <w:right w:val="single" w:sz="4" w:space="0" w:color="auto"/>
            </w:tcBorders>
          </w:tcPr>
          <w:p w14:paraId="687F0674"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(31.3%)</w:t>
            </w:r>
          </w:p>
        </w:tc>
        <w:tc>
          <w:tcPr>
            <w:tcW w:w="699" w:type="pct"/>
            <w:tcBorders>
              <w:left w:val="single" w:sz="4" w:space="0" w:color="auto"/>
            </w:tcBorders>
            <w:noWrap/>
            <w:hideMark/>
          </w:tcPr>
          <w:p w14:paraId="6C277E6F"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203</w:t>
            </w:r>
          </w:p>
        </w:tc>
        <w:tc>
          <w:tcPr>
            <w:tcW w:w="327" w:type="pct"/>
            <w:tcBorders>
              <w:right w:val="single" w:sz="4" w:space="0" w:color="auto"/>
            </w:tcBorders>
          </w:tcPr>
          <w:p w14:paraId="422A508D" w14:textId="77777777" w:rsidR="000D64F0" w:rsidRPr="00EA4116" w:rsidRDefault="000D64F0" w:rsidP="00CE2FDF">
            <w:pPr>
              <w:tabs>
                <w:tab w:val="left" w:pos="1134"/>
              </w:tabs>
              <w:spacing w:before="0" w:line="276" w:lineRule="auto"/>
              <w:ind w:left="-2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(23%)</w:t>
            </w:r>
          </w:p>
        </w:tc>
        <w:tc>
          <w:tcPr>
            <w:tcW w:w="413" w:type="pct"/>
            <w:tcBorders>
              <w:left w:val="single" w:sz="4" w:space="0" w:color="auto"/>
              <w:right w:val="single" w:sz="4" w:space="0" w:color="auto"/>
            </w:tcBorders>
            <w:noWrap/>
            <w:hideMark/>
          </w:tcPr>
          <w:p w14:paraId="6C60FE2C"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881</w:t>
            </w:r>
          </w:p>
        </w:tc>
      </w:tr>
      <w:tr w:rsidR="000D64F0" w:rsidRPr="00F0043D" w14:paraId="66ED76BA"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10" w:type="pct"/>
            <w:tcBorders>
              <w:left w:val="single" w:sz="4" w:space="0" w:color="auto"/>
              <w:right w:val="single" w:sz="4" w:space="0" w:color="auto"/>
            </w:tcBorders>
            <w:noWrap/>
            <w:hideMark/>
          </w:tcPr>
          <w:p w14:paraId="0CD1E765"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2006</w:t>
            </w:r>
          </w:p>
        </w:tc>
        <w:tc>
          <w:tcPr>
            <w:tcW w:w="819" w:type="pct"/>
            <w:tcBorders>
              <w:left w:val="single" w:sz="4" w:space="0" w:color="auto"/>
            </w:tcBorders>
            <w:noWrap/>
            <w:hideMark/>
          </w:tcPr>
          <w:p w14:paraId="6BA6CFC7"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207</w:t>
            </w:r>
          </w:p>
        </w:tc>
        <w:tc>
          <w:tcPr>
            <w:tcW w:w="307" w:type="pct"/>
            <w:tcBorders>
              <w:right w:val="single" w:sz="4" w:space="0" w:color="auto"/>
            </w:tcBorders>
          </w:tcPr>
          <w:p w14:paraId="797DE712"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(23.9%)</w:t>
            </w:r>
          </w:p>
        </w:tc>
        <w:tc>
          <w:tcPr>
            <w:tcW w:w="453" w:type="pct"/>
            <w:tcBorders>
              <w:left w:val="single" w:sz="4" w:space="0" w:color="auto"/>
            </w:tcBorders>
            <w:noWrap/>
            <w:hideMark/>
          </w:tcPr>
          <w:p w14:paraId="6E169F63"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173</w:t>
            </w:r>
          </w:p>
        </w:tc>
        <w:tc>
          <w:tcPr>
            <w:tcW w:w="451" w:type="pct"/>
            <w:tcBorders>
              <w:right w:val="single" w:sz="4" w:space="0" w:color="auto"/>
            </w:tcBorders>
          </w:tcPr>
          <w:p w14:paraId="74ED90EC"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w:t>
            </w:r>
          </w:p>
        </w:tc>
        <w:tc>
          <w:tcPr>
            <w:tcW w:w="769" w:type="pct"/>
            <w:tcBorders>
              <w:left w:val="single" w:sz="4" w:space="0" w:color="auto"/>
            </w:tcBorders>
            <w:noWrap/>
            <w:hideMark/>
          </w:tcPr>
          <w:p w14:paraId="58DDA698"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302</w:t>
            </w:r>
          </w:p>
        </w:tc>
        <w:tc>
          <w:tcPr>
            <w:tcW w:w="451" w:type="pct"/>
            <w:tcBorders>
              <w:right w:val="single" w:sz="4" w:space="0" w:color="auto"/>
            </w:tcBorders>
          </w:tcPr>
          <w:p w14:paraId="4A4CEE9C"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(34.8%)</w:t>
            </w:r>
          </w:p>
        </w:tc>
        <w:tc>
          <w:tcPr>
            <w:tcW w:w="699" w:type="pct"/>
            <w:tcBorders>
              <w:left w:val="single" w:sz="4" w:space="0" w:color="auto"/>
            </w:tcBorders>
            <w:noWrap/>
            <w:hideMark/>
          </w:tcPr>
          <w:p w14:paraId="046AA4E7"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185</w:t>
            </w:r>
          </w:p>
        </w:tc>
        <w:tc>
          <w:tcPr>
            <w:tcW w:w="327" w:type="pct"/>
            <w:tcBorders>
              <w:right w:val="single" w:sz="4" w:space="0" w:color="auto"/>
            </w:tcBorders>
          </w:tcPr>
          <w:p w14:paraId="0A44D750" w14:textId="77777777" w:rsidR="000D64F0" w:rsidRPr="00EA4116" w:rsidRDefault="000D64F0" w:rsidP="00CE2FDF">
            <w:pPr>
              <w:tabs>
                <w:tab w:val="left" w:pos="1134"/>
              </w:tabs>
              <w:spacing w:before="0" w:line="276" w:lineRule="auto"/>
              <w:ind w:left="-2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(21.3%)</w:t>
            </w:r>
          </w:p>
        </w:tc>
        <w:tc>
          <w:tcPr>
            <w:tcW w:w="413" w:type="pct"/>
            <w:tcBorders>
              <w:left w:val="single" w:sz="4" w:space="0" w:color="auto"/>
              <w:right w:val="single" w:sz="4" w:space="0" w:color="auto"/>
            </w:tcBorders>
            <w:noWrap/>
            <w:hideMark/>
          </w:tcPr>
          <w:p w14:paraId="0E04BDAE" w14:textId="77777777" w:rsidR="000D64F0" w:rsidRPr="00C97EF5"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867</w:t>
            </w:r>
          </w:p>
        </w:tc>
      </w:tr>
      <w:tr w:rsidR="00C84E96" w:rsidRPr="00F0043D" w14:paraId="09D6639D"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0" w:type="pct"/>
            <w:tcBorders>
              <w:left w:val="single" w:sz="4" w:space="0" w:color="auto"/>
              <w:right w:val="single" w:sz="4" w:space="0" w:color="auto"/>
            </w:tcBorders>
            <w:noWrap/>
            <w:hideMark/>
          </w:tcPr>
          <w:p w14:paraId="3EF0B874"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2007</w:t>
            </w:r>
          </w:p>
        </w:tc>
        <w:tc>
          <w:tcPr>
            <w:tcW w:w="819" w:type="pct"/>
            <w:tcBorders>
              <w:left w:val="single" w:sz="4" w:space="0" w:color="auto"/>
            </w:tcBorders>
            <w:noWrap/>
            <w:hideMark/>
          </w:tcPr>
          <w:p w14:paraId="33E10FC9"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143</w:t>
            </w:r>
          </w:p>
        </w:tc>
        <w:tc>
          <w:tcPr>
            <w:tcW w:w="307" w:type="pct"/>
            <w:tcBorders>
              <w:right w:val="single" w:sz="4" w:space="0" w:color="auto"/>
            </w:tcBorders>
          </w:tcPr>
          <w:p w14:paraId="5C275D19"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(16.9%)</w:t>
            </w:r>
          </w:p>
        </w:tc>
        <w:tc>
          <w:tcPr>
            <w:tcW w:w="453" w:type="pct"/>
            <w:tcBorders>
              <w:left w:val="single" w:sz="4" w:space="0" w:color="auto"/>
            </w:tcBorders>
            <w:noWrap/>
            <w:hideMark/>
          </w:tcPr>
          <w:p w14:paraId="6D2B6212"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320</w:t>
            </w:r>
          </w:p>
        </w:tc>
        <w:tc>
          <w:tcPr>
            <w:tcW w:w="451" w:type="pct"/>
            <w:tcBorders>
              <w:right w:val="single" w:sz="4" w:space="0" w:color="auto"/>
            </w:tcBorders>
          </w:tcPr>
          <w:p w14:paraId="345E2C26"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(37.8%)</w:t>
            </w:r>
          </w:p>
        </w:tc>
        <w:tc>
          <w:tcPr>
            <w:tcW w:w="769" w:type="pct"/>
            <w:tcBorders>
              <w:left w:val="single" w:sz="4" w:space="0" w:color="auto"/>
            </w:tcBorders>
            <w:noWrap/>
            <w:hideMark/>
          </w:tcPr>
          <w:p w14:paraId="1BD07EF4"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267</w:t>
            </w:r>
          </w:p>
        </w:tc>
        <w:tc>
          <w:tcPr>
            <w:tcW w:w="451" w:type="pct"/>
            <w:tcBorders>
              <w:right w:val="single" w:sz="4" w:space="0" w:color="auto"/>
            </w:tcBorders>
          </w:tcPr>
          <w:p w14:paraId="28A3259E"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(31.6%)</w:t>
            </w:r>
          </w:p>
        </w:tc>
        <w:tc>
          <w:tcPr>
            <w:tcW w:w="699" w:type="pct"/>
            <w:tcBorders>
              <w:left w:val="single" w:sz="4" w:space="0" w:color="auto"/>
            </w:tcBorders>
            <w:noWrap/>
            <w:hideMark/>
          </w:tcPr>
          <w:p w14:paraId="15E6E31C"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116</w:t>
            </w:r>
          </w:p>
        </w:tc>
        <w:tc>
          <w:tcPr>
            <w:tcW w:w="327" w:type="pct"/>
            <w:tcBorders>
              <w:right w:val="single" w:sz="4" w:space="0" w:color="auto"/>
            </w:tcBorders>
          </w:tcPr>
          <w:p w14:paraId="55A3724D" w14:textId="77777777" w:rsidR="000D64F0" w:rsidRPr="00EA4116" w:rsidRDefault="000D64F0" w:rsidP="00CE2FDF">
            <w:pPr>
              <w:tabs>
                <w:tab w:val="left" w:pos="1134"/>
              </w:tabs>
              <w:spacing w:before="0" w:line="276" w:lineRule="auto"/>
              <w:ind w:left="-2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(13.7%)</w:t>
            </w:r>
          </w:p>
        </w:tc>
        <w:tc>
          <w:tcPr>
            <w:tcW w:w="413" w:type="pct"/>
            <w:tcBorders>
              <w:left w:val="single" w:sz="4" w:space="0" w:color="auto"/>
              <w:right w:val="single" w:sz="4" w:space="0" w:color="auto"/>
            </w:tcBorders>
            <w:noWrap/>
            <w:hideMark/>
          </w:tcPr>
          <w:p w14:paraId="7A64D899"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846</w:t>
            </w:r>
          </w:p>
        </w:tc>
      </w:tr>
      <w:tr w:rsidR="000D64F0" w:rsidRPr="00F0043D" w14:paraId="76B750D0"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10" w:type="pct"/>
            <w:tcBorders>
              <w:left w:val="single" w:sz="4" w:space="0" w:color="auto"/>
              <w:right w:val="single" w:sz="4" w:space="0" w:color="auto"/>
            </w:tcBorders>
            <w:noWrap/>
            <w:hideMark/>
          </w:tcPr>
          <w:p w14:paraId="00B84599"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2008</w:t>
            </w:r>
          </w:p>
        </w:tc>
        <w:tc>
          <w:tcPr>
            <w:tcW w:w="819" w:type="pct"/>
            <w:tcBorders>
              <w:left w:val="single" w:sz="4" w:space="0" w:color="auto"/>
            </w:tcBorders>
            <w:noWrap/>
            <w:hideMark/>
          </w:tcPr>
          <w:p w14:paraId="38529D9A"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198</w:t>
            </w:r>
          </w:p>
        </w:tc>
        <w:tc>
          <w:tcPr>
            <w:tcW w:w="307" w:type="pct"/>
            <w:tcBorders>
              <w:right w:val="single" w:sz="4" w:space="0" w:color="auto"/>
            </w:tcBorders>
          </w:tcPr>
          <w:p w14:paraId="5474FE6D"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(20.5%)</w:t>
            </w:r>
          </w:p>
        </w:tc>
        <w:tc>
          <w:tcPr>
            <w:tcW w:w="453" w:type="pct"/>
            <w:tcBorders>
              <w:left w:val="single" w:sz="4" w:space="0" w:color="auto"/>
            </w:tcBorders>
            <w:noWrap/>
            <w:hideMark/>
          </w:tcPr>
          <w:p w14:paraId="27518CF7"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215</w:t>
            </w:r>
          </w:p>
        </w:tc>
        <w:tc>
          <w:tcPr>
            <w:tcW w:w="451" w:type="pct"/>
            <w:tcBorders>
              <w:right w:val="single" w:sz="4" w:space="0" w:color="auto"/>
            </w:tcBorders>
          </w:tcPr>
          <w:p w14:paraId="7E99B2BF"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(22.3%)</w:t>
            </w:r>
          </w:p>
        </w:tc>
        <w:tc>
          <w:tcPr>
            <w:tcW w:w="769" w:type="pct"/>
            <w:tcBorders>
              <w:left w:val="single" w:sz="4" w:space="0" w:color="auto"/>
            </w:tcBorders>
            <w:noWrap/>
            <w:hideMark/>
          </w:tcPr>
          <w:p w14:paraId="696B537A"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381</w:t>
            </w:r>
          </w:p>
        </w:tc>
        <w:tc>
          <w:tcPr>
            <w:tcW w:w="451" w:type="pct"/>
            <w:tcBorders>
              <w:right w:val="single" w:sz="4" w:space="0" w:color="auto"/>
            </w:tcBorders>
          </w:tcPr>
          <w:p w14:paraId="556E6688"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(39.5%)</w:t>
            </w:r>
          </w:p>
        </w:tc>
        <w:tc>
          <w:tcPr>
            <w:tcW w:w="699" w:type="pct"/>
            <w:tcBorders>
              <w:left w:val="single" w:sz="4" w:space="0" w:color="auto"/>
            </w:tcBorders>
            <w:noWrap/>
            <w:hideMark/>
          </w:tcPr>
          <w:p w14:paraId="076048E0"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171</w:t>
            </w:r>
          </w:p>
        </w:tc>
        <w:tc>
          <w:tcPr>
            <w:tcW w:w="327" w:type="pct"/>
            <w:tcBorders>
              <w:right w:val="single" w:sz="4" w:space="0" w:color="auto"/>
            </w:tcBorders>
          </w:tcPr>
          <w:p w14:paraId="13D86835" w14:textId="77777777" w:rsidR="000D64F0" w:rsidRPr="00EA4116" w:rsidRDefault="000D64F0" w:rsidP="00CE2FDF">
            <w:pPr>
              <w:tabs>
                <w:tab w:val="left" w:pos="1134"/>
              </w:tabs>
              <w:spacing w:before="0" w:line="276" w:lineRule="auto"/>
              <w:ind w:left="-2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(17.7%)</w:t>
            </w:r>
          </w:p>
        </w:tc>
        <w:tc>
          <w:tcPr>
            <w:tcW w:w="413" w:type="pct"/>
            <w:tcBorders>
              <w:left w:val="single" w:sz="4" w:space="0" w:color="auto"/>
              <w:right w:val="single" w:sz="4" w:space="0" w:color="auto"/>
            </w:tcBorders>
            <w:noWrap/>
            <w:hideMark/>
          </w:tcPr>
          <w:p w14:paraId="702280E2" w14:textId="77777777" w:rsidR="000D64F0" w:rsidRPr="00C97EF5"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965</w:t>
            </w:r>
          </w:p>
        </w:tc>
      </w:tr>
      <w:tr w:rsidR="00C84E96" w:rsidRPr="00F0043D" w14:paraId="0BF71CAB"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0" w:type="pct"/>
            <w:tcBorders>
              <w:left w:val="single" w:sz="4" w:space="0" w:color="auto"/>
              <w:right w:val="single" w:sz="4" w:space="0" w:color="auto"/>
            </w:tcBorders>
            <w:noWrap/>
            <w:hideMark/>
          </w:tcPr>
          <w:p w14:paraId="71A43F5C"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2009</w:t>
            </w:r>
          </w:p>
        </w:tc>
        <w:tc>
          <w:tcPr>
            <w:tcW w:w="819" w:type="pct"/>
            <w:tcBorders>
              <w:left w:val="single" w:sz="4" w:space="0" w:color="auto"/>
            </w:tcBorders>
            <w:noWrap/>
            <w:hideMark/>
          </w:tcPr>
          <w:p w14:paraId="451F99BE"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310</w:t>
            </w:r>
          </w:p>
        </w:tc>
        <w:tc>
          <w:tcPr>
            <w:tcW w:w="307" w:type="pct"/>
            <w:tcBorders>
              <w:right w:val="single" w:sz="4" w:space="0" w:color="auto"/>
            </w:tcBorders>
          </w:tcPr>
          <w:p w14:paraId="6859E876"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(29%)</w:t>
            </w:r>
          </w:p>
        </w:tc>
        <w:tc>
          <w:tcPr>
            <w:tcW w:w="453" w:type="pct"/>
            <w:tcBorders>
              <w:left w:val="single" w:sz="4" w:space="0" w:color="auto"/>
            </w:tcBorders>
            <w:noWrap/>
            <w:hideMark/>
          </w:tcPr>
          <w:p w14:paraId="5C37D9EC"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132</w:t>
            </w:r>
          </w:p>
        </w:tc>
        <w:tc>
          <w:tcPr>
            <w:tcW w:w="451" w:type="pct"/>
            <w:tcBorders>
              <w:right w:val="single" w:sz="4" w:space="0" w:color="auto"/>
            </w:tcBorders>
          </w:tcPr>
          <w:p w14:paraId="65B01184"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(12.4%)</w:t>
            </w:r>
          </w:p>
        </w:tc>
        <w:tc>
          <w:tcPr>
            <w:tcW w:w="769" w:type="pct"/>
            <w:tcBorders>
              <w:left w:val="single" w:sz="4" w:space="0" w:color="auto"/>
            </w:tcBorders>
            <w:noWrap/>
            <w:hideMark/>
          </w:tcPr>
          <w:p w14:paraId="2E9CEC8A"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407</w:t>
            </w:r>
          </w:p>
        </w:tc>
        <w:tc>
          <w:tcPr>
            <w:tcW w:w="451" w:type="pct"/>
            <w:tcBorders>
              <w:right w:val="single" w:sz="4" w:space="0" w:color="auto"/>
            </w:tcBorders>
          </w:tcPr>
          <w:p w14:paraId="552B4013"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(38.1%)</w:t>
            </w:r>
          </w:p>
        </w:tc>
        <w:tc>
          <w:tcPr>
            <w:tcW w:w="699" w:type="pct"/>
            <w:tcBorders>
              <w:left w:val="single" w:sz="4" w:space="0" w:color="auto"/>
            </w:tcBorders>
            <w:noWrap/>
            <w:hideMark/>
          </w:tcPr>
          <w:p w14:paraId="7745FFDA"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219</w:t>
            </w:r>
          </w:p>
        </w:tc>
        <w:tc>
          <w:tcPr>
            <w:tcW w:w="327" w:type="pct"/>
            <w:tcBorders>
              <w:right w:val="single" w:sz="4" w:space="0" w:color="auto"/>
            </w:tcBorders>
          </w:tcPr>
          <w:p w14:paraId="53753E10" w14:textId="77777777" w:rsidR="000D64F0" w:rsidRPr="00EA4116" w:rsidRDefault="000D64F0" w:rsidP="00CE2FDF">
            <w:pPr>
              <w:tabs>
                <w:tab w:val="left" w:pos="1134"/>
              </w:tabs>
              <w:spacing w:before="0" w:line="276" w:lineRule="auto"/>
              <w:ind w:left="-2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(20.5%)</w:t>
            </w:r>
          </w:p>
        </w:tc>
        <w:tc>
          <w:tcPr>
            <w:tcW w:w="413" w:type="pct"/>
            <w:tcBorders>
              <w:left w:val="single" w:sz="4" w:space="0" w:color="auto"/>
              <w:right w:val="single" w:sz="4" w:space="0" w:color="auto"/>
            </w:tcBorders>
            <w:noWrap/>
            <w:hideMark/>
          </w:tcPr>
          <w:p w14:paraId="53DACCFE"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w:t>
            </w:r>
            <w:r w:rsidR="00E76B23">
              <w:rPr>
                <w:rFonts w:eastAsia="Times New Roman" w:cs="Arial"/>
                <w:b/>
                <w:color w:val="auto"/>
                <w:lang w:eastAsia="en-AU"/>
              </w:rPr>
              <w:t>,</w:t>
            </w:r>
            <w:r w:rsidRPr="00C97EF5">
              <w:rPr>
                <w:rFonts w:eastAsia="Times New Roman" w:cs="Arial"/>
                <w:b/>
                <w:color w:val="auto"/>
                <w:lang w:eastAsia="en-AU"/>
              </w:rPr>
              <w:t>068</w:t>
            </w:r>
          </w:p>
        </w:tc>
      </w:tr>
      <w:tr w:rsidR="000D64F0" w:rsidRPr="00F0043D" w14:paraId="2B3097C8"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10" w:type="pct"/>
            <w:tcBorders>
              <w:left w:val="single" w:sz="4" w:space="0" w:color="auto"/>
              <w:right w:val="single" w:sz="4" w:space="0" w:color="auto"/>
            </w:tcBorders>
            <w:noWrap/>
            <w:hideMark/>
          </w:tcPr>
          <w:p w14:paraId="22139148"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2010</w:t>
            </w:r>
          </w:p>
        </w:tc>
        <w:tc>
          <w:tcPr>
            <w:tcW w:w="819" w:type="pct"/>
            <w:tcBorders>
              <w:left w:val="single" w:sz="4" w:space="0" w:color="auto"/>
            </w:tcBorders>
            <w:noWrap/>
            <w:hideMark/>
          </w:tcPr>
          <w:p w14:paraId="63B943BB"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320</w:t>
            </w:r>
          </w:p>
        </w:tc>
        <w:tc>
          <w:tcPr>
            <w:tcW w:w="307" w:type="pct"/>
            <w:tcBorders>
              <w:right w:val="single" w:sz="4" w:space="0" w:color="auto"/>
            </w:tcBorders>
          </w:tcPr>
          <w:p w14:paraId="55684F33"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(29%)</w:t>
            </w:r>
          </w:p>
        </w:tc>
        <w:tc>
          <w:tcPr>
            <w:tcW w:w="453" w:type="pct"/>
            <w:tcBorders>
              <w:left w:val="single" w:sz="4" w:space="0" w:color="auto"/>
            </w:tcBorders>
            <w:noWrap/>
            <w:hideMark/>
          </w:tcPr>
          <w:p w14:paraId="1DB33172"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167</w:t>
            </w:r>
          </w:p>
        </w:tc>
        <w:tc>
          <w:tcPr>
            <w:tcW w:w="451" w:type="pct"/>
            <w:tcBorders>
              <w:right w:val="single" w:sz="4" w:space="0" w:color="auto"/>
            </w:tcBorders>
          </w:tcPr>
          <w:p w14:paraId="7E7C94B0"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(15.1%)</w:t>
            </w:r>
          </w:p>
        </w:tc>
        <w:tc>
          <w:tcPr>
            <w:tcW w:w="769" w:type="pct"/>
            <w:tcBorders>
              <w:left w:val="single" w:sz="4" w:space="0" w:color="auto"/>
            </w:tcBorders>
            <w:noWrap/>
            <w:hideMark/>
          </w:tcPr>
          <w:p w14:paraId="0C611F93"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427</w:t>
            </w:r>
          </w:p>
        </w:tc>
        <w:tc>
          <w:tcPr>
            <w:tcW w:w="451" w:type="pct"/>
            <w:tcBorders>
              <w:right w:val="single" w:sz="4" w:space="0" w:color="auto"/>
            </w:tcBorders>
          </w:tcPr>
          <w:p w14:paraId="0504F2CB"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(38.6%)</w:t>
            </w:r>
          </w:p>
        </w:tc>
        <w:tc>
          <w:tcPr>
            <w:tcW w:w="699" w:type="pct"/>
            <w:tcBorders>
              <w:left w:val="single" w:sz="4" w:space="0" w:color="auto"/>
            </w:tcBorders>
            <w:noWrap/>
            <w:hideMark/>
          </w:tcPr>
          <w:p w14:paraId="29E3058D"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191</w:t>
            </w:r>
          </w:p>
        </w:tc>
        <w:tc>
          <w:tcPr>
            <w:tcW w:w="327" w:type="pct"/>
            <w:tcBorders>
              <w:right w:val="single" w:sz="4" w:space="0" w:color="auto"/>
            </w:tcBorders>
          </w:tcPr>
          <w:p w14:paraId="0558C7B8" w14:textId="77777777" w:rsidR="000D64F0" w:rsidRPr="00EA4116" w:rsidRDefault="000D64F0" w:rsidP="00CE2FDF">
            <w:pPr>
              <w:tabs>
                <w:tab w:val="left" w:pos="1134"/>
              </w:tabs>
              <w:spacing w:before="0" w:line="276" w:lineRule="auto"/>
              <w:ind w:left="-2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(17.3%)</w:t>
            </w:r>
          </w:p>
        </w:tc>
        <w:tc>
          <w:tcPr>
            <w:tcW w:w="413" w:type="pct"/>
            <w:tcBorders>
              <w:left w:val="single" w:sz="4" w:space="0" w:color="auto"/>
              <w:right w:val="single" w:sz="4" w:space="0" w:color="auto"/>
            </w:tcBorders>
            <w:noWrap/>
            <w:hideMark/>
          </w:tcPr>
          <w:p w14:paraId="39F29AFC" w14:textId="77777777" w:rsidR="000D64F0" w:rsidRPr="00C97EF5"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w:t>
            </w:r>
            <w:r w:rsidR="00E76B23">
              <w:rPr>
                <w:rFonts w:eastAsia="Times New Roman" w:cs="Arial"/>
                <w:b/>
                <w:color w:val="auto"/>
                <w:lang w:eastAsia="en-AU"/>
              </w:rPr>
              <w:t>,</w:t>
            </w:r>
            <w:r w:rsidRPr="00C97EF5">
              <w:rPr>
                <w:rFonts w:eastAsia="Times New Roman" w:cs="Arial"/>
                <w:b/>
                <w:color w:val="auto"/>
                <w:lang w:eastAsia="en-AU"/>
              </w:rPr>
              <w:t>105</w:t>
            </w:r>
          </w:p>
        </w:tc>
      </w:tr>
      <w:tr w:rsidR="00C84E96" w:rsidRPr="00F0043D" w14:paraId="18BFBF97"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0" w:type="pct"/>
            <w:tcBorders>
              <w:left w:val="single" w:sz="4" w:space="0" w:color="auto"/>
              <w:right w:val="single" w:sz="4" w:space="0" w:color="auto"/>
            </w:tcBorders>
            <w:noWrap/>
            <w:hideMark/>
          </w:tcPr>
          <w:p w14:paraId="023B8C28"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2011</w:t>
            </w:r>
          </w:p>
        </w:tc>
        <w:tc>
          <w:tcPr>
            <w:tcW w:w="819" w:type="pct"/>
            <w:tcBorders>
              <w:left w:val="single" w:sz="4" w:space="0" w:color="auto"/>
            </w:tcBorders>
            <w:noWrap/>
            <w:hideMark/>
          </w:tcPr>
          <w:p w14:paraId="417C8C5C"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373</w:t>
            </w:r>
          </w:p>
        </w:tc>
        <w:tc>
          <w:tcPr>
            <w:tcW w:w="307" w:type="pct"/>
            <w:tcBorders>
              <w:right w:val="single" w:sz="4" w:space="0" w:color="auto"/>
            </w:tcBorders>
          </w:tcPr>
          <w:p w14:paraId="6221773F"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(31.5%)</w:t>
            </w:r>
          </w:p>
        </w:tc>
        <w:tc>
          <w:tcPr>
            <w:tcW w:w="453" w:type="pct"/>
            <w:tcBorders>
              <w:left w:val="single" w:sz="4" w:space="0" w:color="auto"/>
            </w:tcBorders>
            <w:noWrap/>
            <w:hideMark/>
          </w:tcPr>
          <w:p w14:paraId="38E883DA"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169</w:t>
            </w:r>
          </w:p>
        </w:tc>
        <w:tc>
          <w:tcPr>
            <w:tcW w:w="451" w:type="pct"/>
            <w:tcBorders>
              <w:right w:val="single" w:sz="4" w:space="0" w:color="auto"/>
            </w:tcBorders>
          </w:tcPr>
          <w:p w14:paraId="4B17257A"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(14.3%)</w:t>
            </w:r>
          </w:p>
        </w:tc>
        <w:tc>
          <w:tcPr>
            <w:tcW w:w="769" w:type="pct"/>
            <w:tcBorders>
              <w:left w:val="single" w:sz="4" w:space="0" w:color="auto"/>
            </w:tcBorders>
            <w:noWrap/>
            <w:hideMark/>
          </w:tcPr>
          <w:p w14:paraId="520586A5"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442</w:t>
            </w:r>
          </w:p>
        </w:tc>
        <w:tc>
          <w:tcPr>
            <w:tcW w:w="451" w:type="pct"/>
            <w:tcBorders>
              <w:right w:val="single" w:sz="4" w:space="0" w:color="auto"/>
            </w:tcBorders>
          </w:tcPr>
          <w:p w14:paraId="390B532A"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(37.3%)</w:t>
            </w:r>
          </w:p>
        </w:tc>
        <w:tc>
          <w:tcPr>
            <w:tcW w:w="699" w:type="pct"/>
            <w:tcBorders>
              <w:left w:val="single" w:sz="4" w:space="0" w:color="auto"/>
            </w:tcBorders>
            <w:noWrap/>
            <w:hideMark/>
          </w:tcPr>
          <w:p w14:paraId="02824954" w14:textId="77777777" w:rsidR="000D64F0" w:rsidRPr="00EA4116"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200</w:t>
            </w:r>
          </w:p>
        </w:tc>
        <w:tc>
          <w:tcPr>
            <w:tcW w:w="327" w:type="pct"/>
            <w:tcBorders>
              <w:right w:val="single" w:sz="4" w:space="0" w:color="auto"/>
            </w:tcBorders>
          </w:tcPr>
          <w:p w14:paraId="5B43D18A" w14:textId="77777777" w:rsidR="000D64F0" w:rsidRPr="00EA4116" w:rsidRDefault="000D64F0" w:rsidP="00CE2FDF">
            <w:pPr>
              <w:tabs>
                <w:tab w:val="left" w:pos="1134"/>
              </w:tabs>
              <w:spacing w:before="0" w:line="276" w:lineRule="auto"/>
              <w:ind w:left="-25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(16.9%)</w:t>
            </w:r>
          </w:p>
        </w:tc>
        <w:tc>
          <w:tcPr>
            <w:tcW w:w="413" w:type="pct"/>
            <w:tcBorders>
              <w:left w:val="single" w:sz="4" w:space="0" w:color="auto"/>
              <w:right w:val="single" w:sz="4" w:space="0" w:color="auto"/>
            </w:tcBorders>
            <w:noWrap/>
            <w:hideMark/>
          </w:tcPr>
          <w:p w14:paraId="53CA738D"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w:t>
            </w:r>
            <w:r w:rsidR="00E76B23">
              <w:rPr>
                <w:rFonts w:eastAsia="Times New Roman" w:cs="Arial"/>
                <w:b/>
                <w:color w:val="auto"/>
                <w:lang w:eastAsia="en-AU"/>
              </w:rPr>
              <w:t>,</w:t>
            </w:r>
            <w:r w:rsidRPr="00C97EF5">
              <w:rPr>
                <w:rFonts w:eastAsia="Times New Roman" w:cs="Arial"/>
                <w:b/>
                <w:color w:val="auto"/>
                <w:lang w:eastAsia="en-AU"/>
              </w:rPr>
              <w:t>184</w:t>
            </w:r>
          </w:p>
        </w:tc>
      </w:tr>
      <w:tr w:rsidR="000D64F0" w:rsidRPr="00F0043D" w14:paraId="5FB7E0EF"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10" w:type="pct"/>
            <w:tcBorders>
              <w:left w:val="single" w:sz="4" w:space="0" w:color="auto"/>
              <w:bottom w:val="single" w:sz="4" w:space="0" w:color="auto"/>
              <w:right w:val="single" w:sz="4" w:space="0" w:color="auto"/>
            </w:tcBorders>
            <w:noWrap/>
            <w:hideMark/>
          </w:tcPr>
          <w:p w14:paraId="0F25D5C1" w14:textId="77777777" w:rsidR="000D64F0" w:rsidRPr="00EA4116" w:rsidRDefault="000D64F0" w:rsidP="00CE2FDF">
            <w:pPr>
              <w:tabs>
                <w:tab w:val="left" w:pos="1134"/>
              </w:tabs>
              <w:spacing w:before="0" w:line="276" w:lineRule="auto"/>
              <w:rPr>
                <w:rFonts w:ascii="Calibri" w:eastAsia="Times New Roman" w:hAnsi="Calibri" w:cs="Arial"/>
                <w:bCs w:val="0"/>
                <w:color w:val="000000"/>
                <w:lang w:eastAsia="en-AU"/>
              </w:rPr>
            </w:pPr>
            <w:r w:rsidRPr="00EA4116">
              <w:rPr>
                <w:rFonts w:ascii="Calibri" w:eastAsia="Times New Roman" w:hAnsi="Calibri" w:cs="Arial"/>
                <w:bCs w:val="0"/>
                <w:color w:val="000000"/>
                <w:lang w:eastAsia="en-AU"/>
              </w:rPr>
              <w:t>2012</w:t>
            </w:r>
          </w:p>
        </w:tc>
        <w:tc>
          <w:tcPr>
            <w:tcW w:w="819" w:type="pct"/>
            <w:tcBorders>
              <w:left w:val="single" w:sz="4" w:space="0" w:color="auto"/>
              <w:bottom w:val="single" w:sz="4" w:space="0" w:color="auto"/>
            </w:tcBorders>
            <w:noWrap/>
            <w:hideMark/>
          </w:tcPr>
          <w:p w14:paraId="3986150C"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452</w:t>
            </w:r>
          </w:p>
        </w:tc>
        <w:tc>
          <w:tcPr>
            <w:tcW w:w="307" w:type="pct"/>
            <w:tcBorders>
              <w:bottom w:val="single" w:sz="4" w:space="0" w:color="auto"/>
              <w:right w:val="single" w:sz="4" w:space="0" w:color="auto"/>
            </w:tcBorders>
          </w:tcPr>
          <w:p w14:paraId="67E22F38"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(36%)</w:t>
            </w:r>
          </w:p>
        </w:tc>
        <w:tc>
          <w:tcPr>
            <w:tcW w:w="453" w:type="pct"/>
            <w:tcBorders>
              <w:left w:val="single" w:sz="4" w:space="0" w:color="auto"/>
              <w:bottom w:val="single" w:sz="4" w:space="0" w:color="auto"/>
            </w:tcBorders>
            <w:noWrap/>
            <w:hideMark/>
          </w:tcPr>
          <w:p w14:paraId="6B3A6A95"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149</w:t>
            </w:r>
          </w:p>
        </w:tc>
        <w:tc>
          <w:tcPr>
            <w:tcW w:w="451" w:type="pct"/>
            <w:tcBorders>
              <w:bottom w:val="single" w:sz="4" w:space="0" w:color="auto"/>
              <w:right w:val="single" w:sz="4" w:space="0" w:color="auto"/>
            </w:tcBorders>
          </w:tcPr>
          <w:p w14:paraId="3B17BDE8"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(11.7%)</w:t>
            </w:r>
          </w:p>
        </w:tc>
        <w:tc>
          <w:tcPr>
            <w:tcW w:w="769" w:type="pct"/>
            <w:tcBorders>
              <w:left w:val="single" w:sz="4" w:space="0" w:color="auto"/>
              <w:bottom w:val="single" w:sz="4" w:space="0" w:color="auto"/>
            </w:tcBorders>
            <w:noWrap/>
            <w:hideMark/>
          </w:tcPr>
          <w:p w14:paraId="18DD36CA"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427</w:t>
            </w:r>
          </w:p>
        </w:tc>
        <w:tc>
          <w:tcPr>
            <w:tcW w:w="451" w:type="pct"/>
            <w:tcBorders>
              <w:bottom w:val="single" w:sz="4" w:space="0" w:color="auto"/>
              <w:right w:val="single" w:sz="4" w:space="0" w:color="auto"/>
            </w:tcBorders>
          </w:tcPr>
          <w:p w14:paraId="798B9E20"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(34%)</w:t>
            </w:r>
          </w:p>
        </w:tc>
        <w:tc>
          <w:tcPr>
            <w:tcW w:w="699" w:type="pct"/>
            <w:tcBorders>
              <w:left w:val="single" w:sz="4" w:space="0" w:color="auto"/>
              <w:bottom w:val="single" w:sz="4" w:space="0" w:color="auto"/>
            </w:tcBorders>
            <w:noWrap/>
            <w:hideMark/>
          </w:tcPr>
          <w:p w14:paraId="7C3E1B0C" w14:textId="77777777" w:rsidR="000D64F0" w:rsidRPr="00EA4116"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228</w:t>
            </w:r>
          </w:p>
        </w:tc>
        <w:tc>
          <w:tcPr>
            <w:tcW w:w="327" w:type="pct"/>
            <w:tcBorders>
              <w:bottom w:val="single" w:sz="4" w:space="0" w:color="auto"/>
              <w:right w:val="single" w:sz="4" w:space="0" w:color="auto"/>
            </w:tcBorders>
          </w:tcPr>
          <w:p w14:paraId="75A08B13" w14:textId="77777777" w:rsidR="000D64F0" w:rsidRPr="00EA4116" w:rsidRDefault="000D64F0" w:rsidP="00CE2FDF">
            <w:pPr>
              <w:tabs>
                <w:tab w:val="left" w:pos="1134"/>
              </w:tabs>
              <w:spacing w:before="0" w:line="276" w:lineRule="auto"/>
              <w:ind w:left="-25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EA4116">
              <w:rPr>
                <w:rFonts w:eastAsia="Times New Roman" w:cs="Arial"/>
                <w:color w:val="000000"/>
                <w:lang w:eastAsia="en-AU"/>
              </w:rPr>
              <w:t>(18.2%)</w:t>
            </w:r>
          </w:p>
        </w:tc>
        <w:tc>
          <w:tcPr>
            <w:tcW w:w="413" w:type="pct"/>
            <w:tcBorders>
              <w:left w:val="single" w:sz="4" w:space="0" w:color="auto"/>
              <w:bottom w:val="single" w:sz="4" w:space="0" w:color="auto"/>
              <w:right w:val="single" w:sz="4" w:space="0" w:color="auto"/>
            </w:tcBorders>
            <w:noWrap/>
            <w:hideMark/>
          </w:tcPr>
          <w:p w14:paraId="2B045183" w14:textId="77777777" w:rsidR="000D64F0" w:rsidRPr="00C97EF5" w:rsidRDefault="000D64F0"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w:t>
            </w:r>
            <w:r w:rsidR="00E76B23">
              <w:rPr>
                <w:rFonts w:eastAsia="Times New Roman" w:cs="Arial"/>
                <w:b/>
                <w:color w:val="auto"/>
                <w:lang w:eastAsia="en-AU"/>
              </w:rPr>
              <w:t>,</w:t>
            </w:r>
            <w:r w:rsidRPr="00C97EF5">
              <w:rPr>
                <w:rFonts w:eastAsia="Times New Roman" w:cs="Arial"/>
                <w:b/>
                <w:color w:val="auto"/>
                <w:lang w:eastAsia="en-AU"/>
              </w:rPr>
              <w:t>256</w:t>
            </w:r>
          </w:p>
        </w:tc>
      </w:tr>
      <w:tr w:rsidR="002418F8" w:rsidRPr="00C97EF5" w14:paraId="14FE5B6A"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auto"/>
              <w:left w:val="single" w:sz="4" w:space="0" w:color="auto"/>
              <w:bottom w:val="single" w:sz="4" w:space="0" w:color="auto"/>
              <w:right w:val="single" w:sz="4" w:space="0" w:color="auto"/>
            </w:tcBorders>
            <w:noWrap/>
            <w:hideMark/>
          </w:tcPr>
          <w:p w14:paraId="2C3D2291" w14:textId="77777777" w:rsidR="000D64F0" w:rsidRPr="00EA4116" w:rsidRDefault="000D64F0" w:rsidP="00CE2FDF">
            <w:pPr>
              <w:tabs>
                <w:tab w:val="left" w:pos="1134"/>
              </w:tabs>
              <w:spacing w:before="0" w:line="276" w:lineRule="auto"/>
              <w:rPr>
                <w:rFonts w:ascii="Calibri" w:eastAsia="Times New Roman" w:hAnsi="Calibri" w:cs="Arial"/>
                <w:bCs w:val="0"/>
                <w:color w:val="auto"/>
                <w:lang w:eastAsia="en-AU"/>
              </w:rPr>
            </w:pPr>
            <w:r w:rsidRPr="00EA4116">
              <w:rPr>
                <w:rFonts w:ascii="Calibri" w:eastAsia="Times New Roman" w:hAnsi="Calibri" w:cs="Arial"/>
                <w:bCs w:val="0"/>
                <w:color w:val="auto"/>
                <w:lang w:eastAsia="en-AU"/>
              </w:rPr>
              <w:t>Totals:</w:t>
            </w:r>
          </w:p>
        </w:tc>
        <w:tc>
          <w:tcPr>
            <w:tcW w:w="819" w:type="pct"/>
            <w:tcBorders>
              <w:top w:val="single" w:sz="4" w:space="0" w:color="auto"/>
              <w:left w:val="single" w:sz="4" w:space="0" w:color="auto"/>
              <w:bottom w:val="single" w:sz="4" w:space="0" w:color="auto"/>
            </w:tcBorders>
            <w:noWrap/>
            <w:hideMark/>
          </w:tcPr>
          <w:p w14:paraId="4063E42D"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2</w:t>
            </w:r>
            <w:r w:rsidR="00E76B23">
              <w:rPr>
                <w:rFonts w:eastAsia="Times New Roman" w:cs="Arial"/>
                <w:b/>
                <w:color w:val="auto"/>
                <w:lang w:eastAsia="en-AU"/>
              </w:rPr>
              <w:t>,</w:t>
            </w:r>
            <w:r w:rsidRPr="00C97EF5">
              <w:rPr>
                <w:rFonts w:eastAsia="Times New Roman" w:cs="Arial"/>
                <w:b/>
                <w:color w:val="auto"/>
                <w:lang w:eastAsia="en-AU"/>
              </w:rPr>
              <w:t>653</w:t>
            </w:r>
          </w:p>
        </w:tc>
        <w:tc>
          <w:tcPr>
            <w:tcW w:w="307" w:type="pct"/>
            <w:tcBorders>
              <w:top w:val="single" w:sz="4" w:space="0" w:color="auto"/>
              <w:bottom w:val="single" w:sz="4" w:space="0" w:color="auto"/>
              <w:right w:val="single" w:sz="4" w:space="0" w:color="auto"/>
            </w:tcBorders>
          </w:tcPr>
          <w:p w14:paraId="53356179"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(26.3%)</w:t>
            </w:r>
          </w:p>
        </w:tc>
        <w:tc>
          <w:tcPr>
            <w:tcW w:w="453" w:type="pct"/>
            <w:tcBorders>
              <w:top w:val="single" w:sz="4" w:space="0" w:color="auto"/>
              <w:left w:val="single" w:sz="4" w:space="0" w:color="auto"/>
              <w:bottom w:val="single" w:sz="4" w:space="0" w:color="auto"/>
            </w:tcBorders>
            <w:noWrap/>
            <w:hideMark/>
          </w:tcPr>
          <w:p w14:paraId="41E9319A"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w:t>
            </w:r>
            <w:r w:rsidR="00E76B23">
              <w:rPr>
                <w:rFonts w:eastAsia="Times New Roman" w:cs="Arial"/>
                <w:b/>
                <w:color w:val="auto"/>
                <w:lang w:eastAsia="en-AU"/>
              </w:rPr>
              <w:t>,</w:t>
            </w:r>
            <w:r w:rsidRPr="00C97EF5">
              <w:rPr>
                <w:rFonts w:eastAsia="Times New Roman" w:cs="Arial"/>
                <w:b/>
                <w:color w:val="auto"/>
                <w:lang w:eastAsia="en-AU"/>
              </w:rPr>
              <w:t>879</w:t>
            </w:r>
          </w:p>
        </w:tc>
        <w:tc>
          <w:tcPr>
            <w:tcW w:w="451" w:type="pct"/>
            <w:tcBorders>
              <w:top w:val="single" w:sz="4" w:space="0" w:color="auto"/>
              <w:bottom w:val="single" w:sz="4" w:space="0" w:color="auto"/>
              <w:right w:val="single" w:sz="4" w:space="0" w:color="auto"/>
            </w:tcBorders>
          </w:tcPr>
          <w:p w14:paraId="2A20C833"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(18.6%)</w:t>
            </w:r>
          </w:p>
        </w:tc>
        <w:tc>
          <w:tcPr>
            <w:tcW w:w="769" w:type="pct"/>
            <w:tcBorders>
              <w:top w:val="single" w:sz="4" w:space="0" w:color="auto"/>
              <w:left w:val="single" w:sz="4" w:space="0" w:color="auto"/>
              <w:bottom w:val="single" w:sz="4" w:space="0" w:color="auto"/>
            </w:tcBorders>
            <w:noWrap/>
            <w:hideMark/>
          </w:tcPr>
          <w:p w14:paraId="46AD0B8B"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3</w:t>
            </w:r>
            <w:r w:rsidR="00E76B23">
              <w:rPr>
                <w:rFonts w:eastAsia="Times New Roman" w:cs="Arial"/>
                <w:b/>
                <w:color w:val="auto"/>
                <w:lang w:eastAsia="en-AU"/>
              </w:rPr>
              <w:t>,</w:t>
            </w:r>
            <w:r w:rsidRPr="00C97EF5">
              <w:rPr>
                <w:rFonts w:eastAsia="Times New Roman" w:cs="Arial"/>
                <w:b/>
                <w:color w:val="auto"/>
                <w:lang w:eastAsia="en-AU"/>
              </w:rPr>
              <w:t>642</w:t>
            </w:r>
          </w:p>
        </w:tc>
        <w:tc>
          <w:tcPr>
            <w:tcW w:w="451" w:type="pct"/>
            <w:tcBorders>
              <w:top w:val="single" w:sz="4" w:space="0" w:color="auto"/>
              <w:bottom w:val="single" w:sz="4" w:space="0" w:color="auto"/>
              <w:right w:val="single" w:sz="4" w:space="0" w:color="auto"/>
            </w:tcBorders>
          </w:tcPr>
          <w:p w14:paraId="77A0A41E"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(36.1%)</w:t>
            </w:r>
          </w:p>
        </w:tc>
        <w:tc>
          <w:tcPr>
            <w:tcW w:w="699" w:type="pct"/>
            <w:tcBorders>
              <w:top w:val="single" w:sz="4" w:space="0" w:color="auto"/>
              <w:left w:val="single" w:sz="4" w:space="0" w:color="auto"/>
              <w:bottom w:val="single" w:sz="4" w:space="0" w:color="auto"/>
            </w:tcBorders>
            <w:noWrap/>
            <w:hideMark/>
          </w:tcPr>
          <w:p w14:paraId="68C4FDD2"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w:t>
            </w:r>
            <w:r w:rsidR="00E76B23">
              <w:rPr>
                <w:rFonts w:eastAsia="Times New Roman" w:cs="Arial"/>
                <w:b/>
                <w:color w:val="auto"/>
                <w:lang w:eastAsia="en-AU"/>
              </w:rPr>
              <w:t>,</w:t>
            </w:r>
            <w:r w:rsidRPr="00C97EF5">
              <w:rPr>
                <w:rFonts w:eastAsia="Times New Roman" w:cs="Arial"/>
                <w:b/>
                <w:color w:val="auto"/>
                <w:lang w:eastAsia="en-AU"/>
              </w:rPr>
              <w:t>928</w:t>
            </w:r>
          </w:p>
        </w:tc>
        <w:tc>
          <w:tcPr>
            <w:tcW w:w="327" w:type="pct"/>
            <w:tcBorders>
              <w:top w:val="single" w:sz="4" w:space="0" w:color="auto"/>
              <w:bottom w:val="single" w:sz="4" w:space="0" w:color="auto"/>
              <w:right w:val="single" w:sz="4" w:space="0" w:color="auto"/>
            </w:tcBorders>
          </w:tcPr>
          <w:p w14:paraId="684A42EB" w14:textId="77777777" w:rsidR="000D64F0" w:rsidRPr="00C97EF5" w:rsidRDefault="000D64F0" w:rsidP="00CE2FDF">
            <w:pPr>
              <w:tabs>
                <w:tab w:val="left" w:pos="1134"/>
              </w:tabs>
              <w:spacing w:before="0" w:line="276" w:lineRule="auto"/>
              <w:ind w:left="-25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(19.1%)</w:t>
            </w:r>
          </w:p>
        </w:tc>
        <w:tc>
          <w:tcPr>
            <w:tcW w:w="413" w:type="pct"/>
            <w:tcBorders>
              <w:top w:val="single" w:sz="4" w:space="0" w:color="auto"/>
              <w:left w:val="single" w:sz="4" w:space="0" w:color="auto"/>
              <w:bottom w:val="single" w:sz="4" w:space="0" w:color="auto"/>
              <w:right w:val="single" w:sz="4" w:space="0" w:color="auto"/>
            </w:tcBorders>
            <w:noWrap/>
            <w:hideMark/>
          </w:tcPr>
          <w:p w14:paraId="03F62537" w14:textId="77777777" w:rsidR="000D64F0" w:rsidRPr="00C97EF5" w:rsidRDefault="000D64F0"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C97EF5">
              <w:rPr>
                <w:rFonts w:eastAsia="Times New Roman" w:cs="Arial"/>
                <w:b/>
                <w:color w:val="auto"/>
                <w:lang w:eastAsia="en-AU"/>
              </w:rPr>
              <w:t>10</w:t>
            </w:r>
            <w:r w:rsidR="00E76B23">
              <w:rPr>
                <w:rFonts w:eastAsia="Times New Roman" w:cs="Arial"/>
                <w:b/>
                <w:color w:val="auto"/>
                <w:lang w:eastAsia="en-AU"/>
              </w:rPr>
              <w:t>,</w:t>
            </w:r>
            <w:r w:rsidRPr="00C97EF5">
              <w:rPr>
                <w:rFonts w:eastAsia="Times New Roman" w:cs="Arial"/>
                <w:b/>
                <w:color w:val="auto"/>
                <w:lang w:eastAsia="en-AU"/>
              </w:rPr>
              <w:t>102</w:t>
            </w:r>
          </w:p>
        </w:tc>
      </w:tr>
    </w:tbl>
    <w:p w14:paraId="60B05A03" w14:textId="77777777" w:rsidR="005D61DD" w:rsidRPr="0006220F" w:rsidRDefault="005D61DD" w:rsidP="005E613E">
      <w:pPr>
        <w:pStyle w:val="Heading6"/>
        <w:spacing w:before="240" w:after="240"/>
      </w:pPr>
      <w:r w:rsidRPr="0006220F">
        <w:t>Line graph for table 1.26.5: Reports by doctors, by year, by abuse type</w:t>
      </w:r>
    </w:p>
    <w:p w14:paraId="687A1CE6" w14:textId="77777777" w:rsidR="0080128E" w:rsidRDefault="000D64F0" w:rsidP="00B15586">
      <w:r w:rsidRPr="000D64F0">
        <w:rPr>
          <w:noProof/>
          <w:lang w:eastAsia="en-AU"/>
        </w:rPr>
        <w:drawing>
          <wp:inline distT="0" distB="0" distL="0" distR="0" wp14:anchorId="62915B40" wp14:editId="43D17E33">
            <wp:extent cx="9296400" cy="1990725"/>
            <wp:effectExtent l="0" t="0" r="0" b="9525"/>
            <wp:docPr id="21" name="Chart 17" descr="Shows doctors in Victoria reported most cases of physical abuse, followed by emotional and sexual abuse then neglect. " title="Line graph for table 1.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80128E">
        <w:br w:type="page"/>
      </w:r>
    </w:p>
    <w:p w14:paraId="2FB38E67" w14:textId="602581C3" w:rsidR="005D61DD" w:rsidRDefault="005D61DD" w:rsidP="0095311F">
      <w:pPr>
        <w:pStyle w:val="Figureheading"/>
      </w:pPr>
      <w:bookmarkStart w:id="78" w:name="_Toc382206745"/>
      <w:r>
        <w:lastRenderedPageBreak/>
        <w:t>1.26.6</w:t>
      </w:r>
      <w:r w:rsidR="00B439DA">
        <w:tab/>
      </w:r>
      <w:r>
        <w:tab/>
      </w:r>
      <w:bookmarkEnd w:id="78"/>
      <w:r>
        <w:t>Reports by doctors, by year, by outcome of reports (number and percentage)</w:t>
      </w:r>
    </w:p>
    <w:tbl>
      <w:tblPr>
        <w:tblStyle w:val="LightShading-Accent2"/>
        <w:tblW w:w="5000" w:type="pct"/>
        <w:tblLook w:val="04A0" w:firstRow="1" w:lastRow="0" w:firstColumn="1" w:lastColumn="0" w:noHBand="0" w:noVBand="1"/>
        <w:tblCaption w:val="Reports by doctors, by year, by outcome of reports (number and percentage)"/>
      </w:tblPr>
      <w:tblGrid>
        <w:gridCol w:w="1040"/>
        <w:gridCol w:w="2161"/>
        <w:gridCol w:w="1136"/>
        <w:gridCol w:w="1683"/>
        <w:gridCol w:w="1136"/>
        <w:gridCol w:w="1866"/>
        <w:gridCol w:w="1136"/>
        <w:gridCol w:w="2330"/>
        <w:gridCol w:w="1263"/>
        <w:gridCol w:w="1035"/>
      </w:tblGrid>
      <w:tr w:rsidR="002418F8" w:rsidRPr="00FC5C7E" w14:paraId="3F554096" w14:textId="77777777" w:rsidTr="00B605CE">
        <w:trPr>
          <w:cnfStyle w:val="100000000000" w:firstRow="1" w:lastRow="0" w:firstColumn="0" w:lastColumn="0" w:oddVBand="0" w:evenVBand="0" w:oddHBand="0" w:evenHBand="0" w:firstRowFirstColumn="0" w:firstRowLastColumn="0" w:lastRowFirstColumn="0" w:lastRowLastColumn="0"/>
          <w:trHeight w:val="134"/>
          <w:tblHeader/>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66AE002" w14:textId="77777777" w:rsidR="00245C19" w:rsidRPr="00FC5C7E" w:rsidRDefault="00245C19" w:rsidP="00CE2FDF">
            <w:pPr>
              <w:tabs>
                <w:tab w:val="left" w:pos="1134"/>
              </w:tabs>
              <w:spacing w:before="0" w:line="276" w:lineRule="auto"/>
              <w:rPr>
                <w:rFonts w:eastAsia="Times New Roman" w:cs="Arial"/>
                <w:bCs w:val="0"/>
                <w:color w:val="auto"/>
                <w:lang w:eastAsia="en-AU"/>
              </w:rPr>
            </w:pPr>
          </w:p>
        </w:tc>
        <w:tc>
          <w:tcPr>
            <w:tcW w:w="731" w:type="pct"/>
            <w:tcBorders>
              <w:top w:val="single" w:sz="4" w:space="0" w:color="auto"/>
              <w:left w:val="single" w:sz="4" w:space="0" w:color="auto"/>
              <w:bottom w:val="single" w:sz="4" w:space="0" w:color="auto"/>
            </w:tcBorders>
            <w:shd w:val="clear" w:color="auto" w:fill="95B3D7" w:themeFill="accent1" w:themeFillTint="99"/>
            <w:vAlign w:val="center"/>
            <w:hideMark/>
          </w:tcPr>
          <w:p w14:paraId="1D20775C"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investigated</w:t>
            </w:r>
          </w:p>
        </w:tc>
        <w:tc>
          <w:tcPr>
            <w:tcW w:w="384" w:type="pct"/>
            <w:tcBorders>
              <w:top w:val="single" w:sz="4" w:space="0" w:color="auto"/>
              <w:bottom w:val="single" w:sz="4" w:space="0" w:color="auto"/>
              <w:right w:val="single" w:sz="4" w:space="0" w:color="auto"/>
            </w:tcBorders>
            <w:shd w:val="clear" w:color="auto" w:fill="95B3D7" w:themeFill="accent1" w:themeFillTint="99"/>
            <w:vAlign w:val="center"/>
          </w:tcPr>
          <w:p w14:paraId="018FB49B"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569" w:type="pct"/>
            <w:tcBorders>
              <w:top w:val="single" w:sz="4" w:space="0" w:color="auto"/>
              <w:bottom w:val="single" w:sz="4" w:space="0" w:color="auto"/>
            </w:tcBorders>
            <w:shd w:val="clear" w:color="auto" w:fill="95B3D7" w:themeFill="accent1" w:themeFillTint="99"/>
            <w:vAlign w:val="center"/>
          </w:tcPr>
          <w:p w14:paraId="011049EC"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Investigated</w:t>
            </w:r>
          </w:p>
        </w:tc>
        <w:tc>
          <w:tcPr>
            <w:tcW w:w="384" w:type="pct"/>
            <w:tcBorders>
              <w:top w:val="single" w:sz="4" w:space="0" w:color="auto"/>
              <w:bottom w:val="single" w:sz="4" w:space="0" w:color="auto"/>
            </w:tcBorders>
            <w:shd w:val="clear" w:color="auto" w:fill="95B3D7" w:themeFill="accent1" w:themeFillTint="99"/>
            <w:vAlign w:val="center"/>
          </w:tcPr>
          <w:p w14:paraId="68F08B45"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631" w:type="pct"/>
            <w:tcBorders>
              <w:top w:val="single" w:sz="4" w:space="0" w:color="auto"/>
              <w:left w:val="single" w:sz="4" w:space="0" w:color="auto"/>
              <w:bottom w:val="single" w:sz="4" w:space="0" w:color="auto"/>
            </w:tcBorders>
            <w:shd w:val="clear" w:color="auto" w:fill="95B3D7" w:themeFill="accent1" w:themeFillTint="99"/>
            <w:vAlign w:val="center"/>
            <w:hideMark/>
          </w:tcPr>
          <w:p w14:paraId="6F1BC5AB"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Substantiated</w:t>
            </w:r>
          </w:p>
        </w:tc>
        <w:tc>
          <w:tcPr>
            <w:tcW w:w="384" w:type="pct"/>
            <w:tcBorders>
              <w:top w:val="single" w:sz="4" w:space="0" w:color="auto"/>
              <w:bottom w:val="single" w:sz="4" w:space="0" w:color="auto"/>
              <w:right w:val="single" w:sz="4" w:space="0" w:color="auto"/>
            </w:tcBorders>
            <w:shd w:val="clear" w:color="auto" w:fill="95B3D7" w:themeFill="accent1" w:themeFillTint="99"/>
            <w:vAlign w:val="center"/>
          </w:tcPr>
          <w:p w14:paraId="177B1C6C"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788" w:type="pct"/>
            <w:tcBorders>
              <w:top w:val="single" w:sz="4" w:space="0" w:color="auto"/>
              <w:left w:val="single" w:sz="4" w:space="0" w:color="auto"/>
              <w:bottom w:val="single" w:sz="4" w:space="0" w:color="auto"/>
            </w:tcBorders>
            <w:shd w:val="clear" w:color="auto" w:fill="95B3D7" w:themeFill="accent1" w:themeFillTint="99"/>
            <w:vAlign w:val="center"/>
            <w:hideMark/>
          </w:tcPr>
          <w:p w14:paraId="68FE12E7"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substantiated</w:t>
            </w:r>
          </w:p>
        </w:tc>
        <w:tc>
          <w:tcPr>
            <w:tcW w:w="427" w:type="pct"/>
            <w:tcBorders>
              <w:top w:val="single" w:sz="4" w:space="0" w:color="auto"/>
              <w:bottom w:val="single" w:sz="4" w:space="0" w:color="auto"/>
              <w:right w:val="single" w:sz="4" w:space="0" w:color="auto"/>
            </w:tcBorders>
            <w:shd w:val="clear" w:color="auto" w:fill="95B3D7" w:themeFill="accent1" w:themeFillTint="99"/>
            <w:vAlign w:val="center"/>
          </w:tcPr>
          <w:p w14:paraId="7628268B" w14:textId="77777777" w:rsidR="00245C19" w:rsidRPr="00FC5C7E" w:rsidRDefault="00245C19" w:rsidP="00CE2FDF">
            <w:pPr>
              <w:tabs>
                <w:tab w:val="left" w:pos="1134"/>
              </w:tabs>
              <w:spacing w:before="0" w:line="276" w:lineRule="auto"/>
              <w:ind w:right="-108"/>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D5BA1A5"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Total</w:t>
            </w:r>
          </w:p>
        </w:tc>
      </w:tr>
      <w:tr w:rsidR="002418F8" w:rsidRPr="00FC5C7E" w14:paraId="186C19AF"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right w:val="single" w:sz="4" w:space="0" w:color="auto"/>
            </w:tcBorders>
            <w:shd w:val="clear" w:color="auto" w:fill="DBE5F1" w:themeFill="accent1" w:themeFillTint="33"/>
            <w:noWrap/>
          </w:tcPr>
          <w:p w14:paraId="449B87E5"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2003</w:t>
            </w:r>
          </w:p>
        </w:tc>
        <w:tc>
          <w:tcPr>
            <w:tcW w:w="731" w:type="pct"/>
            <w:tcBorders>
              <w:top w:val="single" w:sz="4" w:space="0" w:color="auto"/>
              <w:left w:val="single" w:sz="4" w:space="0" w:color="auto"/>
            </w:tcBorders>
            <w:shd w:val="clear" w:color="auto" w:fill="DBE5F1" w:themeFill="accent1" w:themeFillTint="33"/>
            <w:noWrap/>
            <w:hideMark/>
          </w:tcPr>
          <w:p w14:paraId="1DB92805"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582</w:t>
            </w:r>
          </w:p>
        </w:tc>
        <w:tc>
          <w:tcPr>
            <w:tcW w:w="384" w:type="pct"/>
            <w:tcBorders>
              <w:top w:val="single" w:sz="4" w:space="0" w:color="auto"/>
              <w:right w:val="single" w:sz="4" w:space="0" w:color="auto"/>
            </w:tcBorders>
            <w:shd w:val="clear" w:color="auto" w:fill="DBE5F1" w:themeFill="accent1" w:themeFillTint="33"/>
          </w:tcPr>
          <w:p w14:paraId="63411AC3"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(57.5%)</w:t>
            </w:r>
          </w:p>
        </w:tc>
        <w:tc>
          <w:tcPr>
            <w:tcW w:w="569" w:type="pct"/>
            <w:tcBorders>
              <w:top w:val="single" w:sz="4" w:space="0" w:color="auto"/>
            </w:tcBorders>
            <w:shd w:val="clear" w:color="auto" w:fill="DBE5F1" w:themeFill="accent1" w:themeFillTint="33"/>
          </w:tcPr>
          <w:p w14:paraId="53AC879A"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431</w:t>
            </w:r>
          </w:p>
        </w:tc>
        <w:tc>
          <w:tcPr>
            <w:tcW w:w="384" w:type="pct"/>
            <w:tcBorders>
              <w:top w:val="single" w:sz="4" w:space="0" w:color="auto"/>
            </w:tcBorders>
            <w:shd w:val="clear" w:color="auto" w:fill="DBE5F1" w:themeFill="accent1" w:themeFillTint="33"/>
          </w:tcPr>
          <w:p w14:paraId="1CDAF3D7"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(42.5%)</w:t>
            </w:r>
          </w:p>
        </w:tc>
        <w:tc>
          <w:tcPr>
            <w:tcW w:w="631" w:type="pct"/>
            <w:tcBorders>
              <w:top w:val="single" w:sz="4" w:space="0" w:color="auto"/>
              <w:left w:val="single" w:sz="4" w:space="0" w:color="auto"/>
            </w:tcBorders>
            <w:shd w:val="clear" w:color="auto" w:fill="DBE5F1" w:themeFill="accent1" w:themeFillTint="33"/>
            <w:noWrap/>
            <w:hideMark/>
          </w:tcPr>
          <w:p w14:paraId="16C9513B"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264</w:t>
            </w:r>
          </w:p>
        </w:tc>
        <w:tc>
          <w:tcPr>
            <w:tcW w:w="384" w:type="pct"/>
            <w:tcBorders>
              <w:top w:val="single" w:sz="4" w:space="0" w:color="auto"/>
              <w:right w:val="single" w:sz="4" w:space="0" w:color="auto"/>
            </w:tcBorders>
            <w:shd w:val="clear" w:color="auto" w:fill="DBE5F1" w:themeFill="accent1" w:themeFillTint="33"/>
          </w:tcPr>
          <w:p w14:paraId="443DFAE8"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(26.1%)</w:t>
            </w:r>
          </w:p>
        </w:tc>
        <w:tc>
          <w:tcPr>
            <w:tcW w:w="788" w:type="pct"/>
            <w:tcBorders>
              <w:top w:val="single" w:sz="4" w:space="0" w:color="auto"/>
              <w:left w:val="single" w:sz="4" w:space="0" w:color="auto"/>
            </w:tcBorders>
            <w:shd w:val="clear" w:color="auto" w:fill="DBE5F1" w:themeFill="accent1" w:themeFillTint="33"/>
            <w:noWrap/>
            <w:hideMark/>
          </w:tcPr>
          <w:p w14:paraId="18CF7225"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167</w:t>
            </w:r>
          </w:p>
        </w:tc>
        <w:tc>
          <w:tcPr>
            <w:tcW w:w="427" w:type="pct"/>
            <w:tcBorders>
              <w:top w:val="single" w:sz="4" w:space="0" w:color="auto"/>
              <w:right w:val="single" w:sz="4" w:space="0" w:color="auto"/>
            </w:tcBorders>
            <w:shd w:val="clear" w:color="auto" w:fill="DBE5F1" w:themeFill="accent1" w:themeFillTint="33"/>
            <w:vAlign w:val="center"/>
          </w:tcPr>
          <w:p w14:paraId="695AC371"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16.49%</w:t>
            </w:r>
            <w:r>
              <w:rPr>
                <w:rFonts w:ascii="Calibri" w:hAnsi="Calibri"/>
                <w:color w:val="auto"/>
              </w:rPr>
              <w:t>)</w:t>
            </w:r>
          </w:p>
        </w:tc>
        <w:tc>
          <w:tcPr>
            <w:tcW w:w="352" w:type="pct"/>
            <w:tcBorders>
              <w:top w:val="single" w:sz="4" w:space="0" w:color="auto"/>
              <w:left w:val="single" w:sz="4" w:space="0" w:color="auto"/>
              <w:right w:val="single" w:sz="4" w:space="0" w:color="auto"/>
            </w:tcBorders>
            <w:shd w:val="clear" w:color="auto" w:fill="DBE5F1" w:themeFill="accent1" w:themeFillTint="33"/>
          </w:tcPr>
          <w:p w14:paraId="5A08A343"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1</w:t>
            </w:r>
            <w:r>
              <w:rPr>
                <w:rFonts w:eastAsia="Times New Roman" w:cs="Arial"/>
                <w:b/>
                <w:color w:val="auto"/>
                <w:lang w:eastAsia="en-AU"/>
              </w:rPr>
              <w:t>,</w:t>
            </w:r>
            <w:r w:rsidRPr="00EA4116">
              <w:rPr>
                <w:rFonts w:eastAsia="Times New Roman" w:cs="Arial"/>
                <w:b/>
                <w:color w:val="auto"/>
                <w:lang w:eastAsia="en-AU"/>
              </w:rPr>
              <w:t>013</w:t>
            </w:r>
          </w:p>
        </w:tc>
      </w:tr>
      <w:tr w:rsidR="00EB4A8B" w:rsidRPr="00FC5C7E" w14:paraId="4418F0A7"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062207F9"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2004</w:t>
            </w:r>
          </w:p>
        </w:tc>
        <w:tc>
          <w:tcPr>
            <w:tcW w:w="731" w:type="pct"/>
            <w:tcBorders>
              <w:left w:val="single" w:sz="4" w:space="0" w:color="auto"/>
            </w:tcBorders>
            <w:noWrap/>
            <w:hideMark/>
          </w:tcPr>
          <w:p w14:paraId="6298942D"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571</w:t>
            </w:r>
          </w:p>
        </w:tc>
        <w:tc>
          <w:tcPr>
            <w:tcW w:w="384" w:type="pct"/>
            <w:tcBorders>
              <w:right w:val="single" w:sz="4" w:space="0" w:color="auto"/>
            </w:tcBorders>
          </w:tcPr>
          <w:p w14:paraId="12796F72"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(62.3%)</w:t>
            </w:r>
          </w:p>
        </w:tc>
        <w:tc>
          <w:tcPr>
            <w:tcW w:w="569" w:type="pct"/>
            <w:tcBorders>
              <w:right w:val="nil"/>
            </w:tcBorders>
          </w:tcPr>
          <w:p w14:paraId="57B52DDF"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346</w:t>
            </w:r>
          </w:p>
        </w:tc>
        <w:tc>
          <w:tcPr>
            <w:tcW w:w="384" w:type="pct"/>
            <w:tcBorders>
              <w:left w:val="nil"/>
            </w:tcBorders>
          </w:tcPr>
          <w:p w14:paraId="5CADAC76"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(37.7%)</w:t>
            </w:r>
          </w:p>
        </w:tc>
        <w:tc>
          <w:tcPr>
            <w:tcW w:w="631" w:type="pct"/>
            <w:tcBorders>
              <w:left w:val="single" w:sz="4" w:space="0" w:color="auto"/>
            </w:tcBorders>
            <w:noWrap/>
            <w:hideMark/>
          </w:tcPr>
          <w:p w14:paraId="0DBE0CA7"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218</w:t>
            </w:r>
          </w:p>
        </w:tc>
        <w:tc>
          <w:tcPr>
            <w:tcW w:w="384" w:type="pct"/>
            <w:tcBorders>
              <w:right w:val="single" w:sz="4" w:space="0" w:color="auto"/>
            </w:tcBorders>
          </w:tcPr>
          <w:p w14:paraId="4EF817B7"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(23.8%)</w:t>
            </w:r>
          </w:p>
        </w:tc>
        <w:tc>
          <w:tcPr>
            <w:tcW w:w="788" w:type="pct"/>
            <w:tcBorders>
              <w:left w:val="single" w:sz="4" w:space="0" w:color="auto"/>
              <w:right w:val="nil"/>
            </w:tcBorders>
            <w:noWrap/>
            <w:hideMark/>
          </w:tcPr>
          <w:p w14:paraId="1EB2B866"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128</w:t>
            </w:r>
          </w:p>
        </w:tc>
        <w:tc>
          <w:tcPr>
            <w:tcW w:w="427" w:type="pct"/>
            <w:tcBorders>
              <w:left w:val="nil"/>
              <w:right w:val="single" w:sz="4" w:space="0" w:color="auto"/>
            </w:tcBorders>
            <w:vAlign w:val="center"/>
          </w:tcPr>
          <w:p w14:paraId="4958F0A1"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13.96%</w:t>
            </w:r>
            <w:r>
              <w:rPr>
                <w:rFonts w:ascii="Calibri" w:hAnsi="Calibri"/>
                <w:color w:val="auto"/>
              </w:rPr>
              <w:t>)</w:t>
            </w:r>
          </w:p>
        </w:tc>
        <w:tc>
          <w:tcPr>
            <w:tcW w:w="352" w:type="pct"/>
            <w:tcBorders>
              <w:left w:val="single" w:sz="4" w:space="0" w:color="auto"/>
              <w:right w:val="single" w:sz="4" w:space="0" w:color="auto"/>
            </w:tcBorders>
          </w:tcPr>
          <w:p w14:paraId="74142694" w14:textId="77777777" w:rsidR="00EB4A8B" w:rsidRPr="00EA4116"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917</w:t>
            </w:r>
          </w:p>
        </w:tc>
      </w:tr>
      <w:tr w:rsidR="00C84E96" w:rsidRPr="00FC5C7E" w14:paraId="5DCA6F49"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0BD51E4C"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2005</w:t>
            </w:r>
          </w:p>
        </w:tc>
        <w:tc>
          <w:tcPr>
            <w:tcW w:w="731" w:type="pct"/>
            <w:tcBorders>
              <w:left w:val="single" w:sz="4" w:space="0" w:color="auto"/>
            </w:tcBorders>
            <w:shd w:val="clear" w:color="auto" w:fill="DBE5F1" w:themeFill="accent1" w:themeFillTint="33"/>
            <w:noWrap/>
            <w:hideMark/>
          </w:tcPr>
          <w:p w14:paraId="09F8051B"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557</w:t>
            </w:r>
          </w:p>
        </w:tc>
        <w:tc>
          <w:tcPr>
            <w:tcW w:w="384" w:type="pct"/>
            <w:tcBorders>
              <w:right w:val="single" w:sz="4" w:space="0" w:color="auto"/>
            </w:tcBorders>
            <w:shd w:val="clear" w:color="auto" w:fill="DBE5F1" w:themeFill="accent1" w:themeFillTint="33"/>
          </w:tcPr>
          <w:p w14:paraId="0AE898D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(63.2%)</w:t>
            </w:r>
          </w:p>
        </w:tc>
        <w:tc>
          <w:tcPr>
            <w:tcW w:w="569" w:type="pct"/>
            <w:shd w:val="clear" w:color="auto" w:fill="DBE5F1" w:themeFill="accent1" w:themeFillTint="33"/>
          </w:tcPr>
          <w:p w14:paraId="183BC373"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324</w:t>
            </w:r>
          </w:p>
        </w:tc>
        <w:tc>
          <w:tcPr>
            <w:tcW w:w="384" w:type="pct"/>
            <w:shd w:val="clear" w:color="auto" w:fill="DBE5F1" w:themeFill="accent1" w:themeFillTint="33"/>
          </w:tcPr>
          <w:p w14:paraId="47C5E2BA"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(36.8%)</w:t>
            </w:r>
          </w:p>
        </w:tc>
        <w:tc>
          <w:tcPr>
            <w:tcW w:w="631" w:type="pct"/>
            <w:tcBorders>
              <w:left w:val="single" w:sz="4" w:space="0" w:color="auto"/>
            </w:tcBorders>
            <w:shd w:val="clear" w:color="auto" w:fill="DBE5F1" w:themeFill="accent1" w:themeFillTint="33"/>
            <w:noWrap/>
            <w:hideMark/>
          </w:tcPr>
          <w:p w14:paraId="0D97CC25"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210</w:t>
            </w:r>
          </w:p>
        </w:tc>
        <w:tc>
          <w:tcPr>
            <w:tcW w:w="384" w:type="pct"/>
            <w:tcBorders>
              <w:right w:val="single" w:sz="4" w:space="0" w:color="auto"/>
            </w:tcBorders>
            <w:shd w:val="clear" w:color="auto" w:fill="DBE5F1" w:themeFill="accent1" w:themeFillTint="33"/>
          </w:tcPr>
          <w:p w14:paraId="137F615D"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(23.8%)</w:t>
            </w:r>
          </w:p>
        </w:tc>
        <w:tc>
          <w:tcPr>
            <w:tcW w:w="788" w:type="pct"/>
            <w:tcBorders>
              <w:left w:val="single" w:sz="4" w:space="0" w:color="auto"/>
            </w:tcBorders>
            <w:shd w:val="clear" w:color="auto" w:fill="DBE5F1" w:themeFill="accent1" w:themeFillTint="33"/>
            <w:noWrap/>
            <w:hideMark/>
          </w:tcPr>
          <w:p w14:paraId="18C6EFEC"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114</w:t>
            </w:r>
          </w:p>
        </w:tc>
        <w:tc>
          <w:tcPr>
            <w:tcW w:w="427" w:type="pct"/>
            <w:tcBorders>
              <w:right w:val="single" w:sz="4" w:space="0" w:color="auto"/>
            </w:tcBorders>
            <w:shd w:val="clear" w:color="auto" w:fill="DBE5F1" w:themeFill="accent1" w:themeFillTint="33"/>
            <w:vAlign w:val="center"/>
          </w:tcPr>
          <w:p w14:paraId="22EF00FC"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12.94%</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46058BA1"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881</w:t>
            </w:r>
          </w:p>
        </w:tc>
      </w:tr>
      <w:tr w:rsidR="00EB4A8B" w:rsidRPr="00FC5C7E" w14:paraId="259847FB"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3A1C2E85"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2006</w:t>
            </w:r>
          </w:p>
        </w:tc>
        <w:tc>
          <w:tcPr>
            <w:tcW w:w="731" w:type="pct"/>
            <w:tcBorders>
              <w:left w:val="single" w:sz="4" w:space="0" w:color="auto"/>
            </w:tcBorders>
            <w:noWrap/>
            <w:hideMark/>
          </w:tcPr>
          <w:p w14:paraId="6631667A"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543</w:t>
            </w:r>
          </w:p>
        </w:tc>
        <w:tc>
          <w:tcPr>
            <w:tcW w:w="384" w:type="pct"/>
            <w:tcBorders>
              <w:right w:val="single" w:sz="4" w:space="0" w:color="auto"/>
            </w:tcBorders>
          </w:tcPr>
          <w:p w14:paraId="10353F13"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(62.6%)</w:t>
            </w:r>
          </w:p>
        </w:tc>
        <w:tc>
          <w:tcPr>
            <w:tcW w:w="569" w:type="pct"/>
            <w:tcBorders>
              <w:right w:val="nil"/>
            </w:tcBorders>
          </w:tcPr>
          <w:p w14:paraId="65C16CD4"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324</w:t>
            </w:r>
          </w:p>
        </w:tc>
        <w:tc>
          <w:tcPr>
            <w:tcW w:w="384" w:type="pct"/>
            <w:tcBorders>
              <w:left w:val="nil"/>
            </w:tcBorders>
          </w:tcPr>
          <w:p w14:paraId="4878F24F"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(37.4%)</w:t>
            </w:r>
          </w:p>
        </w:tc>
        <w:tc>
          <w:tcPr>
            <w:tcW w:w="631" w:type="pct"/>
            <w:tcBorders>
              <w:left w:val="single" w:sz="4" w:space="0" w:color="auto"/>
            </w:tcBorders>
            <w:noWrap/>
            <w:hideMark/>
          </w:tcPr>
          <w:p w14:paraId="62F48CC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204</w:t>
            </w:r>
          </w:p>
        </w:tc>
        <w:tc>
          <w:tcPr>
            <w:tcW w:w="384" w:type="pct"/>
            <w:tcBorders>
              <w:right w:val="single" w:sz="4" w:space="0" w:color="auto"/>
            </w:tcBorders>
          </w:tcPr>
          <w:p w14:paraId="5AC88999"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(23.5%)</w:t>
            </w:r>
          </w:p>
        </w:tc>
        <w:tc>
          <w:tcPr>
            <w:tcW w:w="788" w:type="pct"/>
            <w:tcBorders>
              <w:left w:val="single" w:sz="4" w:space="0" w:color="auto"/>
              <w:right w:val="nil"/>
            </w:tcBorders>
            <w:noWrap/>
            <w:hideMark/>
          </w:tcPr>
          <w:p w14:paraId="5A53A958"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120</w:t>
            </w:r>
          </w:p>
        </w:tc>
        <w:tc>
          <w:tcPr>
            <w:tcW w:w="427" w:type="pct"/>
            <w:tcBorders>
              <w:left w:val="nil"/>
              <w:right w:val="single" w:sz="4" w:space="0" w:color="auto"/>
            </w:tcBorders>
            <w:vAlign w:val="center"/>
          </w:tcPr>
          <w:p w14:paraId="56946AFC"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13.84%</w:t>
            </w:r>
            <w:r>
              <w:rPr>
                <w:rFonts w:ascii="Calibri" w:hAnsi="Calibri"/>
                <w:color w:val="auto"/>
              </w:rPr>
              <w:t>)</w:t>
            </w:r>
          </w:p>
        </w:tc>
        <w:tc>
          <w:tcPr>
            <w:tcW w:w="352" w:type="pct"/>
            <w:tcBorders>
              <w:left w:val="single" w:sz="4" w:space="0" w:color="auto"/>
              <w:right w:val="single" w:sz="4" w:space="0" w:color="auto"/>
            </w:tcBorders>
          </w:tcPr>
          <w:p w14:paraId="16D93378" w14:textId="77777777" w:rsidR="00EB4A8B" w:rsidRPr="00EA4116"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867</w:t>
            </w:r>
          </w:p>
        </w:tc>
      </w:tr>
      <w:tr w:rsidR="00C84E96" w:rsidRPr="00FC5C7E" w14:paraId="24A50517"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5E0E234D"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2007</w:t>
            </w:r>
          </w:p>
        </w:tc>
        <w:tc>
          <w:tcPr>
            <w:tcW w:w="731" w:type="pct"/>
            <w:tcBorders>
              <w:left w:val="single" w:sz="4" w:space="0" w:color="auto"/>
            </w:tcBorders>
            <w:shd w:val="clear" w:color="auto" w:fill="DBE5F1" w:themeFill="accent1" w:themeFillTint="33"/>
            <w:noWrap/>
            <w:hideMark/>
          </w:tcPr>
          <w:p w14:paraId="5F6D26E0"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539</w:t>
            </w:r>
          </w:p>
        </w:tc>
        <w:tc>
          <w:tcPr>
            <w:tcW w:w="384" w:type="pct"/>
            <w:tcBorders>
              <w:right w:val="single" w:sz="4" w:space="0" w:color="auto"/>
            </w:tcBorders>
            <w:shd w:val="clear" w:color="auto" w:fill="DBE5F1" w:themeFill="accent1" w:themeFillTint="33"/>
          </w:tcPr>
          <w:p w14:paraId="79793A6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(63.7%)</w:t>
            </w:r>
          </w:p>
        </w:tc>
        <w:tc>
          <w:tcPr>
            <w:tcW w:w="569" w:type="pct"/>
            <w:shd w:val="clear" w:color="auto" w:fill="DBE5F1" w:themeFill="accent1" w:themeFillTint="33"/>
          </w:tcPr>
          <w:p w14:paraId="3AC2C295"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307</w:t>
            </w:r>
          </w:p>
        </w:tc>
        <w:tc>
          <w:tcPr>
            <w:tcW w:w="384" w:type="pct"/>
            <w:shd w:val="clear" w:color="auto" w:fill="DBE5F1" w:themeFill="accent1" w:themeFillTint="33"/>
          </w:tcPr>
          <w:p w14:paraId="5CAFB275"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(36.3%)</w:t>
            </w:r>
          </w:p>
        </w:tc>
        <w:tc>
          <w:tcPr>
            <w:tcW w:w="631" w:type="pct"/>
            <w:tcBorders>
              <w:left w:val="single" w:sz="4" w:space="0" w:color="auto"/>
            </w:tcBorders>
            <w:shd w:val="clear" w:color="auto" w:fill="DBE5F1" w:themeFill="accent1" w:themeFillTint="33"/>
            <w:noWrap/>
            <w:hideMark/>
          </w:tcPr>
          <w:p w14:paraId="5B5E14A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208</w:t>
            </w:r>
          </w:p>
        </w:tc>
        <w:tc>
          <w:tcPr>
            <w:tcW w:w="384" w:type="pct"/>
            <w:tcBorders>
              <w:right w:val="single" w:sz="4" w:space="0" w:color="auto"/>
            </w:tcBorders>
            <w:shd w:val="clear" w:color="auto" w:fill="DBE5F1" w:themeFill="accent1" w:themeFillTint="33"/>
          </w:tcPr>
          <w:p w14:paraId="434B6F4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(24.6%)</w:t>
            </w:r>
          </w:p>
        </w:tc>
        <w:tc>
          <w:tcPr>
            <w:tcW w:w="788" w:type="pct"/>
            <w:tcBorders>
              <w:left w:val="single" w:sz="4" w:space="0" w:color="auto"/>
            </w:tcBorders>
            <w:shd w:val="clear" w:color="auto" w:fill="DBE5F1" w:themeFill="accent1" w:themeFillTint="33"/>
            <w:noWrap/>
            <w:hideMark/>
          </w:tcPr>
          <w:p w14:paraId="3FF91FD5"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99</w:t>
            </w:r>
          </w:p>
        </w:tc>
        <w:tc>
          <w:tcPr>
            <w:tcW w:w="427" w:type="pct"/>
            <w:tcBorders>
              <w:right w:val="single" w:sz="4" w:space="0" w:color="auto"/>
            </w:tcBorders>
            <w:shd w:val="clear" w:color="auto" w:fill="DBE5F1" w:themeFill="accent1" w:themeFillTint="33"/>
            <w:vAlign w:val="center"/>
          </w:tcPr>
          <w:p w14:paraId="5346FFD3"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11.70%</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65D12C80"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846</w:t>
            </w:r>
          </w:p>
        </w:tc>
      </w:tr>
      <w:tr w:rsidR="00EB4A8B" w:rsidRPr="00FC5C7E" w14:paraId="0987261A"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69C10DFB"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2008</w:t>
            </w:r>
          </w:p>
        </w:tc>
        <w:tc>
          <w:tcPr>
            <w:tcW w:w="731" w:type="pct"/>
            <w:tcBorders>
              <w:left w:val="single" w:sz="4" w:space="0" w:color="auto"/>
            </w:tcBorders>
            <w:noWrap/>
            <w:hideMark/>
          </w:tcPr>
          <w:p w14:paraId="2E425317"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668</w:t>
            </w:r>
          </w:p>
        </w:tc>
        <w:tc>
          <w:tcPr>
            <w:tcW w:w="384" w:type="pct"/>
            <w:tcBorders>
              <w:right w:val="single" w:sz="4" w:space="0" w:color="auto"/>
            </w:tcBorders>
          </w:tcPr>
          <w:p w14:paraId="417A6B54"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(69.2%)</w:t>
            </w:r>
          </w:p>
        </w:tc>
        <w:tc>
          <w:tcPr>
            <w:tcW w:w="569" w:type="pct"/>
            <w:tcBorders>
              <w:right w:val="nil"/>
            </w:tcBorders>
          </w:tcPr>
          <w:p w14:paraId="1074446B"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297</w:t>
            </w:r>
          </w:p>
        </w:tc>
        <w:tc>
          <w:tcPr>
            <w:tcW w:w="384" w:type="pct"/>
            <w:tcBorders>
              <w:left w:val="nil"/>
            </w:tcBorders>
          </w:tcPr>
          <w:p w14:paraId="57717A9C"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(30.8%)</w:t>
            </w:r>
          </w:p>
        </w:tc>
        <w:tc>
          <w:tcPr>
            <w:tcW w:w="631" w:type="pct"/>
            <w:tcBorders>
              <w:left w:val="single" w:sz="4" w:space="0" w:color="auto"/>
            </w:tcBorders>
            <w:noWrap/>
            <w:hideMark/>
          </w:tcPr>
          <w:p w14:paraId="3779A649"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172</w:t>
            </w:r>
          </w:p>
        </w:tc>
        <w:tc>
          <w:tcPr>
            <w:tcW w:w="384" w:type="pct"/>
            <w:tcBorders>
              <w:right w:val="single" w:sz="4" w:space="0" w:color="auto"/>
            </w:tcBorders>
          </w:tcPr>
          <w:p w14:paraId="50ED22C6"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(17.8%)</w:t>
            </w:r>
          </w:p>
        </w:tc>
        <w:tc>
          <w:tcPr>
            <w:tcW w:w="788" w:type="pct"/>
            <w:tcBorders>
              <w:left w:val="single" w:sz="4" w:space="0" w:color="auto"/>
              <w:right w:val="nil"/>
            </w:tcBorders>
            <w:noWrap/>
            <w:hideMark/>
          </w:tcPr>
          <w:p w14:paraId="345BE11E"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125</w:t>
            </w:r>
          </w:p>
        </w:tc>
        <w:tc>
          <w:tcPr>
            <w:tcW w:w="427" w:type="pct"/>
            <w:tcBorders>
              <w:left w:val="nil"/>
              <w:right w:val="single" w:sz="4" w:space="0" w:color="auto"/>
            </w:tcBorders>
            <w:vAlign w:val="center"/>
          </w:tcPr>
          <w:p w14:paraId="43D817E9"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12.95%</w:t>
            </w:r>
            <w:r>
              <w:rPr>
                <w:rFonts w:ascii="Calibri" w:hAnsi="Calibri"/>
                <w:color w:val="auto"/>
              </w:rPr>
              <w:t>)</w:t>
            </w:r>
          </w:p>
        </w:tc>
        <w:tc>
          <w:tcPr>
            <w:tcW w:w="352" w:type="pct"/>
            <w:tcBorders>
              <w:left w:val="single" w:sz="4" w:space="0" w:color="auto"/>
              <w:right w:val="single" w:sz="4" w:space="0" w:color="auto"/>
            </w:tcBorders>
          </w:tcPr>
          <w:p w14:paraId="541A2195" w14:textId="77777777" w:rsidR="00EB4A8B" w:rsidRPr="00EA4116"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965</w:t>
            </w:r>
          </w:p>
        </w:tc>
      </w:tr>
      <w:tr w:rsidR="00C84E96" w:rsidRPr="00FC5C7E" w14:paraId="2B957AFE"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20CD662D"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2009</w:t>
            </w:r>
          </w:p>
        </w:tc>
        <w:tc>
          <w:tcPr>
            <w:tcW w:w="731" w:type="pct"/>
            <w:tcBorders>
              <w:left w:val="single" w:sz="4" w:space="0" w:color="auto"/>
            </w:tcBorders>
            <w:shd w:val="clear" w:color="auto" w:fill="DBE5F1" w:themeFill="accent1" w:themeFillTint="33"/>
            <w:noWrap/>
            <w:hideMark/>
          </w:tcPr>
          <w:p w14:paraId="02D57EB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746</w:t>
            </w:r>
          </w:p>
        </w:tc>
        <w:tc>
          <w:tcPr>
            <w:tcW w:w="384" w:type="pct"/>
            <w:tcBorders>
              <w:right w:val="single" w:sz="4" w:space="0" w:color="auto"/>
            </w:tcBorders>
            <w:shd w:val="clear" w:color="auto" w:fill="DBE5F1" w:themeFill="accent1" w:themeFillTint="33"/>
          </w:tcPr>
          <w:p w14:paraId="536A7543"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(69.9%)</w:t>
            </w:r>
          </w:p>
        </w:tc>
        <w:tc>
          <w:tcPr>
            <w:tcW w:w="569" w:type="pct"/>
            <w:shd w:val="clear" w:color="auto" w:fill="DBE5F1" w:themeFill="accent1" w:themeFillTint="33"/>
          </w:tcPr>
          <w:p w14:paraId="36217C2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322</w:t>
            </w:r>
          </w:p>
        </w:tc>
        <w:tc>
          <w:tcPr>
            <w:tcW w:w="384" w:type="pct"/>
            <w:shd w:val="clear" w:color="auto" w:fill="DBE5F1" w:themeFill="accent1" w:themeFillTint="33"/>
          </w:tcPr>
          <w:p w14:paraId="3DA5F6A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(30.1%)</w:t>
            </w:r>
          </w:p>
        </w:tc>
        <w:tc>
          <w:tcPr>
            <w:tcW w:w="631" w:type="pct"/>
            <w:tcBorders>
              <w:left w:val="single" w:sz="4" w:space="0" w:color="auto"/>
            </w:tcBorders>
            <w:shd w:val="clear" w:color="auto" w:fill="DBE5F1" w:themeFill="accent1" w:themeFillTint="33"/>
            <w:noWrap/>
            <w:hideMark/>
          </w:tcPr>
          <w:p w14:paraId="22F568B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188</w:t>
            </w:r>
          </w:p>
        </w:tc>
        <w:tc>
          <w:tcPr>
            <w:tcW w:w="384" w:type="pct"/>
            <w:tcBorders>
              <w:right w:val="single" w:sz="4" w:space="0" w:color="auto"/>
            </w:tcBorders>
            <w:shd w:val="clear" w:color="auto" w:fill="DBE5F1" w:themeFill="accent1" w:themeFillTint="33"/>
          </w:tcPr>
          <w:p w14:paraId="3BBF502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(17.6%)</w:t>
            </w:r>
          </w:p>
        </w:tc>
        <w:tc>
          <w:tcPr>
            <w:tcW w:w="788" w:type="pct"/>
            <w:tcBorders>
              <w:left w:val="single" w:sz="4" w:space="0" w:color="auto"/>
            </w:tcBorders>
            <w:shd w:val="clear" w:color="auto" w:fill="DBE5F1" w:themeFill="accent1" w:themeFillTint="33"/>
            <w:noWrap/>
            <w:hideMark/>
          </w:tcPr>
          <w:p w14:paraId="3573DFC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134</w:t>
            </w:r>
          </w:p>
        </w:tc>
        <w:tc>
          <w:tcPr>
            <w:tcW w:w="427" w:type="pct"/>
            <w:tcBorders>
              <w:right w:val="single" w:sz="4" w:space="0" w:color="auto"/>
            </w:tcBorders>
            <w:shd w:val="clear" w:color="auto" w:fill="DBE5F1" w:themeFill="accent1" w:themeFillTint="33"/>
            <w:vAlign w:val="center"/>
          </w:tcPr>
          <w:p w14:paraId="395CEB26"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12.55%</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3CB5F56F"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1</w:t>
            </w:r>
            <w:r>
              <w:rPr>
                <w:rFonts w:eastAsia="Times New Roman" w:cs="Arial"/>
                <w:b/>
                <w:color w:val="auto"/>
                <w:lang w:eastAsia="en-AU"/>
              </w:rPr>
              <w:t>,</w:t>
            </w:r>
            <w:r w:rsidRPr="00EA4116">
              <w:rPr>
                <w:rFonts w:eastAsia="Times New Roman" w:cs="Arial"/>
                <w:b/>
                <w:color w:val="auto"/>
                <w:lang w:eastAsia="en-AU"/>
              </w:rPr>
              <w:t>068</w:t>
            </w:r>
          </w:p>
        </w:tc>
      </w:tr>
      <w:tr w:rsidR="00EB4A8B" w:rsidRPr="00FC5C7E" w14:paraId="4DF4426C"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209C29AF"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2010</w:t>
            </w:r>
          </w:p>
        </w:tc>
        <w:tc>
          <w:tcPr>
            <w:tcW w:w="731" w:type="pct"/>
            <w:tcBorders>
              <w:left w:val="single" w:sz="4" w:space="0" w:color="auto"/>
            </w:tcBorders>
            <w:noWrap/>
            <w:hideMark/>
          </w:tcPr>
          <w:p w14:paraId="21F7D606"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728</w:t>
            </w:r>
          </w:p>
        </w:tc>
        <w:tc>
          <w:tcPr>
            <w:tcW w:w="384" w:type="pct"/>
            <w:tcBorders>
              <w:right w:val="single" w:sz="4" w:space="0" w:color="auto"/>
            </w:tcBorders>
          </w:tcPr>
          <w:p w14:paraId="3BDA678A"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(65.9%)</w:t>
            </w:r>
          </w:p>
        </w:tc>
        <w:tc>
          <w:tcPr>
            <w:tcW w:w="569" w:type="pct"/>
            <w:tcBorders>
              <w:right w:val="nil"/>
            </w:tcBorders>
          </w:tcPr>
          <w:p w14:paraId="44C2FE49"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377</w:t>
            </w:r>
          </w:p>
        </w:tc>
        <w:tc>
          <w:tcPr>
            <w:tcW w:w="384" w:type="pct"/>
            <w:tcBorders>
              <w:left w:val="nil"/>
            </w:tcBorders>
          </w:tcPr>
          <w:p w14:paraId="07A2189B"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(34.1%)</w:t>
            </w:r>
          </w:p>
        </w:tc>
        <w:tc>
          <w:tcPr>
            <w:tcW w:w="631" w:type="pct"/>
            <w:tcBorders>
              <w:left w:val="single" w:sz="4" w:space="0" w:color="auto"/>
            </w:tcBorders>
            <w:noWrap/>
            <w:hideMark/>
          </w:tcPr>
          <w:p w14:paraId="70969CDD"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201</w:t>
            </w:r>
          </w:p>
        </w:tc>
        <w:tc>
          <w:tcPr>
            <w:tcW w:w="384" w:type="pct"/>
            <w:tcBorders>
              <w:right w:val="single" w:sz="4" w:space="0" w:color="auto"/>
            </w:tcBorders>
          </w:tcPr>
          <w:p w14:paraId="5D0CD114"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(18.2%)</w:t>
            </w:r>
          </w:p>
        </w:tc>
        <w:tc>
          <w:tcPr>
            <w:tcW w:w="788" w:type="pct"/>
            <w:tcBorders>
              <w:left w:val="single" w:sz="4" w:space="0" w:color="auto"/>
              <w:right w:val="nil"/>
            </w:tcBorders>
            <w:noWrap/>
            <w:hideMark/>
          </w:tcPr>
          <w:p w14:paraId="4FBDE3C7"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176</w:t>
            </w:r>
          </w:p>
        </w:tc>
        <w:tc>
          <w:tcPr>
            <w:tcW w:w="427" w:type="pct"/>
            <w:tcBorders>
              <w:left w:val="nil"/>
              <w:right w:val="single" w:sz="4" w:space="0" w:color="auto"/>
            </w:tcBorders>
            <w:vAlign w:val="center"/>
          </w:tcPr>
          <w:p w14:paraId="42D81844"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15.93%</w:t>
            </w:r>
            <w:r>
              <w:rPr>
                <w:rFonts w:ascii="Calibri" w:hAnsi="Calibri"/>
                <w:color w:val="auto"/>
              </w:rPr>
              <w:t>)</w:t>
            </w:r>
          </w:p>
        </w:tc>
        <w:tc>
          <w:tcPr>
            <w:tcW w:w="352" w:type="pct"/>
            <w:tcBorders>
              <w:left w:val="single" w:sz="4" w:space="0" w:color="auto"/>
              <w:right w:val="single" w:sz="4" w:space="0" w:color="auto"/>
            </w:tcBorders>
          </w:tcPr>
          <w:p w14:paraId="7727D3C6" w14:textId="77777777" w:rsidR="00EB4A8B" w:rsidRPr="00EA4116"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1</w:t>
            </w:r>
            <w:r>
              <w:rPr>
                <w:rFonts w:eastAsia="Times New Roman" w:cs="Arial"/>
                <w:b/>
                <w:color w:val="auto"/>
                <w:lang w:eastAsia="en-AU"/>
              </w:rPr>
              <w:t>,</w:t>
            </w:r>
            <w:r w:rsidRPr="00EA4116">
              <w:rPr>
                <w:rFonts w:eastAsia="Times New Roman" w:cs="Arial"/>
                <w:b/>
                <w:color w:val="auto"/>
                <w:lang w:eastAsia="en-AU"/>
              </w:rPr>
              <w:t>105</w:t>
            </w:r>
          </w:p>
        </w:tc>
      </w:tr>
      <w:tr w:rsidR="00C84E96" w:rsidRPr="00FC5C7E" w14:paraId="5DCCEA6B"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2EA50DDD"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2011</w:t>
            </w:r>
          </w:p>
        </w:tc>
        <w:tc>
          <w:tcPr>
            <w:tcW w:w="731" w:type="pct"/>
            <w:tcBorders>
              <w:left w:val="single" w:sz="4" w:space="0" w:color="auto"/>
            </w:tcBorders>
            <w:shd w:val="clear" w:color="auto" w:fill="DBE5F1" w:themeFill="accent1" w:themeFillTint="33"/>
            <w:noWrap/>
            <w:hideMark/>
          </w:tcPr>
          <w:p w14:paraId="0D11AEF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818</w:t>
            </w:r>
          </w:p>
        </w:tc>
        <w:tc>
          <w:tcPr>
            <w:tcW w:w="384" w:type="pct"/>
            <w:tcBorders>
              <w:right w:val="single" w:sz="4" w:space="0" w:color="auto"/>
            </w:tcBorders>
            <w:shd w:val="clear" w:color="auto" w:fill="DBE5F1" w:themeFill="accent1" w:themeFillTint="33"/>
          </w:tcPr>
          <w:p w14:paraId="7A718E0B"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(69.1%)</w:t>
            </w:r>
          </w:p>
        </w:tc>
        <w:tc>
          <w:tcPr>
            <w:tcW w:w="569" w:type="pct"/>
            <w:shd w:val="clear" w:color="auto" w:fill="DBE5F1" w:themeFill="accent1" w:themeFillTint="33"/>
          </w:tcPr>
          <w:p w14:paraId="7163402B"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366</w:t>
            </w:r>
          </w:p>
        </w:tc>
        <w:tc>
          <w:tcPr>
            <w:tcW w:w="384" w:type="pct"/>
            <w:shd w:val="clear" w:color="auto" w:fill="DBE5F1" w:themeFill="accent1" w:themeFillTint="33"/>
          </w:tcPr>
          <w:p w14:paraId="07A19B5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(30.9%)</w:t>
            </w:r>
          </w:p>
        </w:tc>
        <w:tc>
          <w:tcPr>
            <w:tcW w:w="631" w:type="pct"/>
            <w:tcBorders>
              <w:left w:val="single" w:sz="4" w:space="0" w:color="auto"/>
            </w:tcBorders>
            <w:shd w:val="clear" w:color="auto" w:fill="DBE5F1" w:themeFill="accent1" w:themeFillTint="33"/>
            <w:noWrap/>
            <w:hideMark/>
          </w:tcPr>
          <w:p w14:paraId="5DD16432"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207</w:t>
            </w:r>
          </w:p>
        </w:tc>
        <w:tc>
          <w:tcPr>
            <w:tcW w:w="384" w:type="pct"/>
            <w:tcBorders>
              <w:right w:val="single" w:sz="4" w:space="0" w:color="auto"/>
            </w:tcBorders>
            <w:shd w:val="clear" w:color="auto" w:fill="DBE5F1" w:themeFill="accent1" w:themeFillTint="33"/>
          </w:tcPr>
          <w:p w14:paraId="44FDBB37"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(17.5%)</w:t>
            </w:r>
          </w:p>
        </w:tc>
        <w:tc>
          <w:tcPr>
            <w:tcW w:w="788" w:type="pct"/>
            <w:tcBorders>
              <w:left w:val="single" w:sz="4" w:space="0" w:color="auto"/>
            </w:tcBorders>
            <w:shd w:val="clear" w:color="auto" w:fill="DBE5F1" w:themeFill="accent1" w:themeFillTint="33"/>
            <w:noWrap/>
            <w:hideMark/>
          </w:tcPr>
          <w:p w14:paraId="5503F9C8"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159</w:t>
            </w:r>
          </w:p>
        </w:tc>
        <w:tc>
          <w:tcPr>
            <w:tcW w:w="427" w:type="pct"/>
            <w:tcBorders>
              <w:right w:val="single" w:sz="4" w:space="0" w:color="auto"/>
            </w:tcBorders>
            <w:shd w:val="clear" w:color="auto" w:fill="DBE5F1" w:themeFill="accent1" w:themeFillTint="33"/>
            <w:vAlign w:val="center"/>
          </w:tcPr>
          <w:p w14:paraId="14924E77"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13.43%</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4BD8F8C8"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1</w:t>
            </w:r>
            <w:r>
              <w:rPr>
                <w:rFonts w:eastAsia="Times New Roman" w:cs="Arial"/>
                <w:b/>
                <w:color w:val="auto"/>
                <w:lang w:eastAsia="en-AU"/>
              </w:rPr>
              <w:t>,</w:t>
            </w:r>
            <w:r w:rsidRPr="00EA4116">
              <w:rPr>
                <w:rFonts w:eastAsia="Times New Roman" w:cs="Arial"/>
                <w:b/>
                <w:color w:val="auto"/>
                <w:lang w:eastAsia="en-AU"/>
              </w:rPr>
              <w:t>184</w:t>
            </w:r>
          </w:p>
        </w:tc>
      </w:tr>
      <w:tr w:rsidR="00EB4A8B" w:rsidRPr="00FC5C7E" w14:paraId="347223B3"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bottom w:val="single" w:sz="4" w:space="0" w:color="auto"/>
              <w:right w:val="single" w:sz="4" w:space="0" w:color="auto"/>
            </w:tcBorders>
            <w:noWrap/>
          </w:tcPr>
          <w:p w14:paraId="1949FBF1"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2012</w:t>
            </w:r>
          </w:p>
        </w:tc>
        <w:tc>
          <w:tcPr>
            <w:tcW w:w="731" w:type="pct"/>
            <w:tcBorders>
              <w:left w:val="single" w:sz="4" w:space="0" w:color="auto"/>
              <w:bottom w:val="single" w:sz="4" w:space="0" w:color="auto"/>
            </w:tcBorders>
            <w:noWrap/>
            <w:hideMark/>
          </w:tcPr>
          <w:p w14:paraId="465303B3"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793</w:t>
            </w:r>
          </w:p>
        </w:tc>
        <w:tc>
          <w:tcPr>
            <w:tcW w:w="384" w:type="pct"/>
            <w:tcBorders>
              <w:bottom w:val="single" w:sz="4" w:space="0" w:color="auto"/>
              <w:right w:val="single" w:sz="4" w:space="0" w:color="auto"/>
            </w:tcBorders>
          </w:tcPr>
          <w:p w14:paraId="79C1B7E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(63.1%)</w:t>
            </w:r>
          </w:p>
        </w:tc>
        <w:tc>
          <w:tcPr>
            <w:tcW w:w="569" w:type="pct"/>
            <w:tcBorders>
              <w:bottom w:val="single" w:sz="4" w:space="0" w:color="auto"/>
              <w:right w:val="nil"/>
            </w:tcBorders>
          </w:tcPr>
          <w:p w14:paraId="17B80204"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463</w:t>
            </w:r>
          </w:p>
        </w:tc>
        <w:tc>
          <w:tcPr>
            <w:tcW w:w="384" w:type="pct"/>
            <w:tcBorders>
              <w:left w:val="nil"/>
              <w:bottom w:val="single" w:sz="4" w:space="0" w:color="auto"/>
            </w:tcBorders>
          </w:tcPr>
          <w:p w14:paraId="09320DD3"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(36.7%)</w:t>
            </w:r>
          </w:p>
        </w:tc>
        <w:tc>
          <w:tcPr>
            <w:tcW w:w="631" w:type="pct"/>
            <w:tcBorders>
              <w:left w:val="single" w:sz="4" w:space="0" w:color="auto"/>
              <w:bottom w:val="single" w:sz="4" w:space="0" w:color="auto"/>
            </w:tcBorders>
            <w:noWrap/>
            <w:hideMark/>
          </w:tcPr>
          <w:p w14:paraId="60491E3C"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297</w:t>
            </w:r>
          </w:p>
        </w:tc>
        <w:tc>
          <w:tcPr>
            <w:tcW w:w="384" w:type="pct"/>
            <w:tcBorders>
              <w:bottom w:val="single" w:sz="4" w:space="0" w:color="auto"/>
              <w:right w:val="single" w:sz="4" w:space="0" w:color="auto"/>
            </w:tcBorders>
          </w:tcPr>
          <w:p w14:paraId="7019C1AE"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(23.6%)</w:t>
            </w:r>
          </w:p>
        </w:tc>
        <w:tc>
          <w:tcPr>
            <w:tcW w:w="788" w:type="pct"/>
            <w:tcBorders>
              <w:left w:val="single" w:sz="4" w:space="0" w:color="auto"/>
              <w:bottom w:val="single" w:sz="4" w:space="0" w:color="auto"/>
              <w:right w:val="nil"/>
            </w:tcBorders>
            <w:noWrap/>
            <w:hideMark/>
          </w:tcPr>
          <w:p w14:paraId="272820E8"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166</w:t>
            </w:r>
          </w:p>
        </w:tc>
        <w:tc>
          <w:tcPr>
            <w:tcW w:w="427" w:type="pct"/>
            <w:tcBorders>
              <w:left w:val="nil"/>
              <w:bottom w:val="single" w:sz="4" w:space="0" w:color="auto"/>
              <w:right w:val="single" w:sz="4" w:space="0" w:color="auto"/>
            </w:tcBorders>
            <w:vAlign w:val="center"/>
          </w:tcPr>
          <w:p w14:paraId="49831EF3"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13.22%</w:t>
            </w:r>
            <w:r>
              <w:rPr>
                <w:rFonts w:ascii="Calibri" w:hAnsi="Calibri"/>
                <w:color w:val="auto"/>
              </w:rPr>
              <w:t>)</w:t>
            </w:r>
          </w:p>
        </w:tc>
        <w:tc>
          <w:tcPr>
            <w:tcW w:w="352" w:type="pct"/>
            <w:tcBorders>
              <w:left w:val="single" w:sz="4" w:space="0" w:color="auto"/>
              <w:bottom w:val="single" w:sz="4" w:space="0" w:color="auto"/>
              <w:right w:val="single" w:sz="4" w:space="0" w:color="auto"/>
            </w:tcBorders>
          </w:tcPr>
          <w:p w14:paraId="464732BC" w14:textId="77777777" w:rsidR="00EB4A8B" w:rsidRPr="00EA4116"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1</w:t>
            </w:r>
            <w:r>
              <w:rPr>
                <w:rFonts w:eastAsia="Times New Roman" w:cs="Arial"/>
                <w:b/>
                <w:color w:val="auto"/>
                <w:lang w:eastAsia="en-AU"/>
              </w:rPr>
              <w:t>,</w:t>
            </w:r>
            <w:r w:rsidRPr="00EA4116">
              <w:rPr>
                <w:rFonts w:eastAsia="Times New Roman" w:cs="Arial"/>
                <w:b/>
                <w:color w:val="auto"/>
                <w:lang w:eastAsia="en-AU"/>
              </w:rPr>
              <w:t>256</w:t>
            </w:r>
          </w:p>
        </w:tc>
      </w:tr>
      <w:tr w:rsidR="002418F8" w:rsidRPr="00FC5C7E" w14:paraId="23D9ADFC" w14:textId="77777777" w:rsidTr="00B605C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19D055DC" w14:textId="77777777" w:rsidR="00EB4A8B" w:rsidRPr="00FC5C7E" w:rsidRDefault="00EB4A8B" w:rsidP="00CE2FDF">
            <w:pPr>
              <w:tabs>
                <w:tab w:val="left" w:pos="1134"/>
              </w:tabs>
              <w:spacing w:before="0" w:line="276" w:lineRule="auto"/>
              <w:rPr>
                <w:rFonts w:eastAsia="Times New Roman" w:cs="Arial"/>
                <w:color w:val="auto"/>
                <w:lang w:eastAsia="en-AU"/>
              </w:rPr>
            </w:pPr>
            <w:r w:rsidRPr="00FC5C7E">
              <w:rPr>
                <w:rFonts w:eastAsia="Times New Roman" w:cs="Arial"/>
                <w:bCs w:val="0"/>
                <w:color w:val="auto"/>
                <w:lang w:eastAsia="en-AU"/>
              </w:rPr>
              <w:t>Totals:</w:t>
            </w:r>
          </w:p>
        </w:tc>
        <w:tc>
          <w:tcPr>
            <w:tcW w:w="731" w:type="pct"/>
            <w:tcBorders>
              <w:top w:val="single" w:sz="4" w:space="0" w:color="auto"/>
              <w:left w:val="single" w:sz="4" w:space="0" w:color="auto"/>
              <w:bottom w:val="single" w:sz="4" w:space="0" w:color="auto"/>
            </w:tcBorders>
            <w:shd w:val="clear" w:color="auto" w:fill="95B3D7" w:themeFill="accent1" w:themeFillTint="99"/>
            <w:noWrap/>
          </w:tcPr>
          <w:p w14:paraId="687A8581"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6</w:t>
            </w:r>
            <w:r>
              <w:rPr>
                <w:rFonts w:eastAsia="Times New Roman" w:cs="Arial"/>
                <w:b/>
                <w:color w:val="auto"/>
                <w:lang w:eastAsia="en-AU"/>
              </w:rPr>
              <w:t>,</w:t>
            </w:r>
            <w:r w:rsidRPr="00EA4116">
              <w:rPr>
                <w:rFonts w:eastAsia="Times New Roman" w:cs="Arial"/>
                <w:b/>
                <w:color w:val="auto"/>
                <w:lang w:eastAsia="en-AU"/>
              </w:rPr>
              <w:t>545</w:t>
            </w:r>
          </w:p>
        </w:tc>
        <w:tc>
          <w:tcPr>
            <w:tcW w:w="384" w:type="pct"/>
            <w:tcBorders>
              <w:top w:val="single" w:sz="4" w:space="0" w:color="auto"/>
              <w:bottom w:val="single" w:sz="4" w:space="0" w:color="auto"/>
              <w:right w:val="single" w:sz="4" w:space="0" w:color="auto"/>
            </w:tcBorders>
            <w:shd w:val="clear" w:color="auto" w:fill="95B3D7" w:themeFill="accent1" w:themeFillTint="99"/>
          </w:tcPr>
          <w:p w14:paraId="3F6082A0"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w:t>
            </w:r>
            <w:r>
              <w:rPr>
                <w:rFonts w:eastAsia="Times New Roman" w:cs="Arial"/>
                <w:b/>
                <w:color w:val="auto"/>
                <w:lang w:eastAsia="en-AU"/>
              </w:rPr>
              <w:t>64.8</w:t>
            </w:r>
            <w:r w:rsidRPr="00EA4116">
              <w:rPr>
                <w:rFonts w:eastAsia="Times New Roman" w:cs="Arial"/>
                <w:b/>
                <w:color w:val="auto"/>
                <w:lang w:eastAsia="en-AU"/>
              </w:rPr>
              <w:t>%)</w:t>
            </w:r>
          </w:p>
        </w:tc>
        <w:tc>
          <w:tcPr>
            <w:tcW w:w="569" w:type="pct"/>
            <w:tcBorders>
              <w:top w:val="single" w:sz="4" w:space="0" w:color="auto"/>
              <w:bottom w:val="single" w:sz="4" w:space="0" w:color="auto"/>
            </w:tcBorders>
            <w:shd w:val="clear" w:color="auto" w:fill="95B3D7" w:themeFill="accent1" w:themeFillTint="99"/>
          </w:tcPr>
          <w:p w14:paraId="74800904"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3</w:t>
            </w:r>
            <w:r>
              <w:rPr>
                <w:rFonts w:eastAsia="Times New Roman" w:cs="Arial"/>
                <w:b/>
                <w:color w:val="auto"/>
                <w:lang w:eastAsia="en-AU"/>
              </w:rPr>
              <w:t>,</w:t>
            </w:r>
            <w:r w:rsidRPr="00EA4116">
              <w:rPr>
                <w:rFonts w:eastAsia="Times New Roman" w:cs="Arial"/>
                <w:b/>
                <w:color w:val="auto"/>
                <w:lang w:eastAsia="en-AU"/>
              </w:rPr>
              <w:t>557</w:t>
            </w:r>
          </w:p>
        </w:tc>
        <w:tc>
          <w:tcPr>
            <w:tcW w:w="384" w:type="pct"/>
            <w:tcBorders>
              <w:top w:val="single" w:sz="4" w:space="0" w:color="auto"/>
              <w:bottom w:val="single" w:sz="4" w:space="0" w:color="auto"/>
            </w:tcBorders>
            <w:shd w:val="clear" w:color="auto" w:fill="95B3D7" w:themeFill="accent1" w:themeFillTint="99"/>
          </w:tcPr>
          <w:p w14:paraId="6EE6D6EF"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w:t>
            </w:r>
            <w:r>
              <w:rPr>
                <w:rFonts w:eastAsia="Times New Roman" w:cs="Arial"/>
                <w:b/>
                <w:color w:val="auto"/>
                <w:lang w:eastAsia="en-AU"/>
              </w:rPr>
              <w:t>35.2</w:t>
            </w:r>
            <w:r w:rsidRPr="00EA4116">
              <w:rPr>
                <w:rFonts w:eastAsia="Times New Roman" w:cs="Arial"/>
                <w:b/>
                <w:color w:val="auto"/>
                <w:lang w:eastAsia="en-AU"/>
              </w:rPr>
              <w:t>%)</w:t>
            </w:r>
          </w:p>
        </w:tc>
        <w:tc>
          <w:tcPr>
            <w:tcW w:w="631" w:type="pct"/>
            <w:tcBorders>
              <w:top w:val="single" w:sz="4" w:space="0" w:color="auto"/>
              <w:left w:val="single" w:sz="4" w:space="0" w:color="auto"/>
              <w:bottom w:val="single" w:sz="4" w:space="0" w:color="auto"/>
            </w:tcBorders>
            <w:shd w:val="clear" w:color="auto" w:fill="95B3D7" w:themeFill="accent1" w:themeFillTint="99"/>
            <w:noWrap/>
          </w:tcPr>
          <w:p w14:paraId="28D09207"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2</w:t>
            </w:r>
            <w:r>
              <w:rPr>
                <w:rFonts w:eastAsia="Times New Roman" w:cs="Arial"/>
                <w:b/>
                <w:color w:val="auto"/>
                <w:lang w:eastAsia="en-AU"/>
              </w:rPr>
              <w:t>,</w:t>
            </w:r>
            <w:r w:rsidRPr="00EA4116">
              <w:rPr>
                <w:rFonts w:eastAsia="Times New Roman" w:cs="Arial"/>
                <w:b/>
                <w:color w:val="auto"/>
                <w:lang w:eastAsia="en-AU"/>
              </w:rPr>
              <w:t>169</w:t>
            </w:r>
          </w:p>
        </w:tc>
        <w:tc>
          <w:tcPr>
            <w:tcW w:w="384" w:type="pct"/>
            <w:tcBorders>
              <w:top w:val="single" w:sz="4" w:space="0" w:color="auto"/>
              <w:bottom w:val="single" w:sz="4" w:space="0" w:color="auto"/>
              <w:right w:val="single" w:sz="4" w:space="0" w:color="auto"/>
            </w:tcBorders>
            <w:shd w:val="clear" w:color="auto" w:fill="95B3D7" w:themeFill="accent1" w:themeFillTint="99"/>
          </w:tcPr>
          <w:p w14:paraId="647ECC1D"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w:t>
            </w:r>
            <w:r>
              <w:rPr>
                <w:rFonts w:eastAsia="Times New Roman" w:cs="Arial"/>
                <w:b/>
                <w:color w:val="auto"/>
                <w:lang w:eastAsia="en-AU"/>
              </w:rPr>
              <w:t>21.5</w:t>
            </w:r>
            <w:r w:rsidRPr="00EA4116">
              <w:rPr>
                <w:rFonts w:eastAsia="Times New Roman" w:cs="Arial"/>
                <w:b/>
                <w:color w:val="auto"/>
                <w:lang w:eastAsia="en-AU"/>
              </w:rPr>
              <w:t>%)</w:t>
            </w:r>
          </w:p>
        </w:tc>
        <w:tc>
          <w:tcPr>
            <w:tcW w:w="788" w:type="pct"/>
            <w:tcBorders>
              <w:top w:val="single" w:sz="4" w:space="0" w:color="auto"/>
              <w:left w:val="single" w:sz="4" w:space="0" w:color="auto"/>
              <w:bottom w:val="single" w:sz="4" w:space="0" w:color="auto"/>
            </w:tcBorders>
            <w:shd w:val="clear" w:color="auto" w:fill="95B3D7" w:themeFill="accent1" w:themeFillTint="99"/>
            <w:noWrap/>
          </w:tcPr>
          <w:p w14:paraId="6F696FDD"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1</w:t>
            </w:r>
            <w:r>
              <w:rPr>
                <w:rFonts w:eastAsia="Times New Roman" w:cs="Arial"/>
                <w:b/>
                <w:color w:val="auto"/>
                <w:lang w:eastAsia="en-AU"/>
              </w:rPr>
              <w:t>,</w:t>
            </w:r>
            <w:r w:rsidRPr="00EA4116">
              <w:rPr>
                <w:rFonts w:eastAsia="Times New Roman" w:cs="Arial"/>
                <w:b/>
                <w:color w:val="auto"/>
                <w:lang w:eastAsia="en-AU"/>
              </w:rPr>
              <w:t>388</w:t>
            </w:r>
          </w:p>
        </w:tc>
        <w:tc>
          <w:tcPr>
            <w:tcW w:w="427" w:type="pct"/>
            <w:tcBorders>
              <w:top w:val="single" w:sz="4" w:space="0" w:color="auto"/>
              <w:bottom w:val="single" w:sz="4" w:space="0" w:color="auto"/>
              <w:right w:val="single" w:sz="4" w:space="0" w:color="auto"/>
            </w:tcBorders>
            <w:shd w:val="clear" w:color="auto" w:fill="95B3D7" w:themeFill="accent1" w:themeFillTint="99"/>
            <w:vAlign w:val="center"/>
          </w:tcPr>
          <w:p w14:paraId="3AF570BD"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13.74%</w:t>
            </w:r>
            <w:r>
              <w:rPr>
                <w:rFonts w:ascii="Calibri" w:hAnsi="Calibri"/>
                <w:color w:val="auto"/>
              </w:rPr>
              <w:t>)</w:t>
            </w:r>
          </w:p>
        </w:tc>
        <w:tc>
          <w:tcPr>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F2DB73" w14:textId="77777777" w:rsidR="00EB4A8B" w:rsidRPr="00EA4116"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EA4116">
              <w:rPr>
                <w:rFonts w:eastAsia="Times New Roman" w:cs="Arial"/>
                <w:b/>
                <w:color w:val="auto"/>
                <w:lang w:eastAsia="en-AU"/>
              </w:rPr>
              <w:t>10</w:t>
            </w:r>
            <w:r>
              <w:rPr>
                <w:rFonts w:eastAsia="Times New Roman" w:cs="Arial"/>
                <w:b/>
                <w:color w:val="auto"/>
                <w:lang w:eastAsia="en-AU"/>
              </w:rPr>
              <w:t>,</w:t>
            </w:r>
            <w:r w:rsidRPr="00EA4116">
              <w:rPr>
                <w:rFonts w:eastAsia="Times New Roman" w:cs="Arial"/>
                <w:b/>
                <w:color w:val="auto"/>
                <w:lang w:eastAsia="en-AU"/>
              </w:rPr>
              <w:t>102</w:t>
            </w:r>
          </w:p>
        </w:tc>
      </w:tr>
    </w:tbl>
    <w:p w14:paraId="6A832742" w14:textId="77777777" w:rsidR="005D61DD" w:rsidRPr="0006220F" w:rsidRDefault="005D61DD" w:rsidP="005E613E">
      <w:pPr>
        <w:pStyle w:val="Heading6"/>
        <w:spacing w:before="240" w:after="240"/>
      </w:pPr>
      <w:r w:rsidRPr="0006220F">
        <w:t xml:space="preserve">Line graph for table 1.26.6: Reports by doctors, by year, by outcome of reports </w:t>
      </w:r>
    </w:p>
    <w:p w14:paraId="44860C2F" w14:textId="77777777" w:rsidR="0080128E" w:rsidRDefault="000D64F0" w:rsidP="00B15586">
      <w:r w:rsidRPr="000D64F0">
        <w:rPr>
          <w:noProof/>
          <w:lang w:eastAsia="en-AU"/>
        </w:rPr>
        <w:drawing>
          <wp:inline distT="0" distB="0" distL="0" distR="0" wp14:anchorId="65C1C52C" wp14:editId="4BDC050B">
            <wp:extent cx="9286875" cy="1990725"/>
            <wp:effectExtent l="0" t="0" r="9525" b="9525"/>
            <wp:docPr id="22" name="Chart 18" descr="Shows decline in rate of investigation of abuse reports by doctors, from 42.5% investigated in 2003 to 36.7% in 2012. " title="Line graph for table 1.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80128E">
        <w:br w:type="page"/>
      </w:r>
    </w:p>
    <w:p w14:paraId="658E2E8E" w14:textId="317637C3" w:rsidR="005D61DD" w:rsidRDefault="005D61DD" w:rsidP="0095311F">
      <w:pPr>
        <w:pStyle w:val="Figureheading"/>
      </w:pPr>
      <w:bookmarkStart w:id="79" w:name="_Toc382206747"/>
      <w:r>
        <w:lastRenderedPageBreak/>
        <w:t>1.26.7</w:t>
      </w:r>
      <w:r w:rsidR="00823C08">
        <w:tab/>
      </w:r>
      <w:r>
        <w:tab/>
        <w:t>Reports by nurses, by year, by abuse type (number and percentage)</w:t>
      </w:r>
    </w:p>
    <w:bookmarkEnd w:id="79"/>
    <w:tbl>
      <w:tblPr>
        <w:tblStyle w:val="LightShading-Accent120"/>
        <w:tblW w:w="5000" w:type="pct"/>
        <w:tblLook w:val="04A0" w:firstRow="1" w:lastRow="0" w:firstColumn="1" w:lastColumn="0" w:noHBand="0" w:noVBand="1"/>
        <w:tblCaption w:val="Reports by nurses, by year, by abuse type (number and percentage)"/>
      </w:tblPr>
      <w:tblGrid>
        <w:gridCol w:w="1206"/>
        <w:gridCol w:w="2052"/>
        <w:gridCol w:w="932"/>
        <w:gridCol w:w="1322"/>
        <w:gridCol w:w="1316"/>
        <w:gridCol w:w="2242"/>
        <w:gridCol w:w="1316"/>
        <w:gridCol w:w="2040"/>
        <w:gridCol w:w="1156"/>
        <w:gridCol w:w="1204"/>
      </w:tblGrid>
      <w:tr w:rsidR="002418F8" w:rsidRPr="00FE3A23" w14:paraId="57E7E90B" w14:textId="77777777" w:rsidTr="00B605CE">
        <w:trPr>
          <w:cnfStyle w:val="100000000000" w:firstRow="1" w:lastRow="0" w:firstColumn="0" w:lastColumn="0" w:oddVBand="0" w:evenVBand="0" w:oddHBand="0" w:evenHBand="0" w:firstRowFirstColumn="0" w:firstRowLastColumn="0" w:lastRowFirstColumn="0" w:lastRowLastColumn="0"/>
          <w:trHeight w:val="134"/>
          <w:tblHeader/>
        </w:trPr>
        <w:tc>
          <w:tcPr>
            <w:cnfStyle w:val="001000000000" w:firstRow="0" w:lastRow="0" w:firstColumn="1" w:lastColumn="0" w:oddVBand="0" w:evenVBand="0" w:oddHBand="0" w:evenHBand="0" w:firstRowFirstColumn="0" w:firstRowLastColumn="0" w:lastRowFirstColumn="0" w:lastRowLastColumn="0"/>
            <w:tcW w:w="40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A9CE25E" w14:textId="77777777" w:rsidR="00736DDB" w:rsidRPr="001008AC" w:rsidRDefault="00736DDB" w:rsidP="00CE2FDF">
            <w:pPr>
              <w:tabs>
                <w:tab w:val="left" w:pos="1134"/>
              </w:tabs>
              <w:spacing w:before="0" w:line="276" w:lineRule="auto"/>
              <w:rPr>
                <w:rFonts w:ascii="Calibri" w:eastAsia="Times New Roman" w:hAnsi="Calibri" w:cs="Arial"/>
                <w:bCs w:val="0"/>
                <w:color w:val="000000"/>
                <w:lang w:eastAsia="en-AU"/>
              </w:rPr>
            </w:pPr>
          </w:p>
        </w:tc>
        <w:tc>
          <w:tcPr>
            <w:tcW w:w="694" w:type="pct"/>
            <w:tcBorders>
              <w:top w:val="single" w:sz="4" w:space="0" w:color="auto"/>
              <w:left w:val="single" w:sz="4" w:space="0" w:color="auto"/>
              <w:bottom w:val="single" w:sz="4" w:space="0" w:color="auto"/>
            </w:tcBorders>
            <w:shd w:val="clear" w:color="auto" w:fill="95B3D7" w:themeFill="accent1" w:themeFillTint="99"/>
            <w:vAlign w:val="center"/>
            <w:hideMark/>
          </w:tcPr>
          <w:p w14:paraId="45808E7E" w14:textId="4E8D8047" w:rsidR="00736DDB" w:rsidRPr="00C97EF5" w:rsidRDefault="00736DDB" w:rsidP="00B605CE">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Emotiona</w:t>
            </w:r>
            <w:r w:rsidR="00B605CE">
              <w:rPr>
                <w:rFonts w:ascii="Calibri" w:eastAsia="Times New Roman" w:hAnsi="Calibri" w:cs="Arial"/>
                <w:bCs w:val="0"/>
                <w:color w:val="000000"/>
                <w:lang w:eastAsia="en-AU"/>
              </w:rPr>
              <w:t xml:space="preserve">l </w:t>
            </w:r>
            <w:r>
              <w:rPr>
                <w:rFonts w:ascii="Calibri" w:eastAsia="Times New Roman" w:hAnsi="Calibri" w:cs="Arial"/>
                <w:bCs w:val="0"/>
                <w:color w:val="000000"/>
                <w:lang w:eastAsia="en-AU"/>
              </w:rPr>
              <w:t>abuse</w:t>
            </w:r>
          </w:p>
        </w:tc>
        <w:tc>
          <w:tcPr>
            <w:tcW w:w="315" w:type="pct"/>
            <w:tcBorders>
              <w:top w:val="single" w:sz="4" w:space="0" w:color="auto"/>
              <w:bottom w:val="single" w:sz="4" w:space="0" w:color="auto"/>
              <w:right w:val="single" w:sz="4" w:space="0" w:color="auto"/>
            </w:tcBorders>
            <w:shd w:val="clear" w:color="auto" w:fill="95B3D7" w:themeFill="accent1" w:themeFillTint="99"/>
            <w:vAlign w:val="center"/>
          </w:tcPr>
          <w:p w14:paraId="6FE75655"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447" w:type="pct"/>
            <w:tcBorders>
              <w:top w:val="single" w:sz="4" w:space="0" w:color="auto"/>
              <w:left w:val="single" w:sz="4" w:space="0" w:color="auto"/>
              <w:bottom w:val="single" w:sz="4" w:space="0" w:color="auto"/>
            </w:tcBorders>
            <w:shd w:val="clear" w:color="auto" w:fill="95B3D7" w:themeFill="accent1" w:themeFillTint="99"/>
            <w:vAlign w:val="center"/>
            <w:hideMark/>
          </w:tcPr>
          <w:p w14:paraId="18E7DD90"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Neglect</w:t>
            </w:r>
          </w:p>
        </w:tc>
        <w:tc>
          <w:tcPr>
            <w:tcW w:w="445" w:type="pct"/>
            <w:tcBorders>
              <w:top w:val="single" w:sz="4" w:space="0" w:color="auto"/>
              <w:bottom w:val="single" w:sz="4" w:space="0" w:color="auto"/>
              <w:right w:val="single" w:sz="4" w:space="0" w:color="auto"/>
            </w:tcBorders>
            <w:shd w:val="clear" w:color="auto" w:fill="95B3D7" w:themeFill="accent1" w:themeFillTint="99"/>
            <w:vAlign w:val="center"/>
          </w:tcPr>
          <w:p w14:paraId="122B9955"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758" w:type="pct"/>
            <w:tcBorders>
              <w:top w:val="single" w:sz="4" w:space="0" w:color="auto"/>
              <w:left w:val="single" w:sz="4" w:space="0" w:color="auto"/>
              <w:bottom w:val="single" w:sz="4" w:space="0" w:color="auto"/>
            </w:tcBorders>
            <w:shd w:val="clear" w:color="auto" w:fill="95B3D7" w:themeFill="accent1" w:themeFillTint="99"/>
            <w:vAlign w:val="center"/>
            <w:hideMark/>
          </w:tcPr>
          <w:p w14:paraId="2DA61850"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Physical</w:t>
            </w:r>
            <w:r>
              <w:rPr>
                <w:rFonts w:ascii="Calibri" w:eastAsia="Times New Roman" w:hAnsi="Calibri" w:cs="Arial"/>
                <w:bCs w:val="0"/>
                <w:color w:val="000000"/>
                <w:lang w:eastAsia="en-AU"/>
              </w:rPr>
              <w:t xml:space="preserve"> abuse</w:t>
            </w:r>
          </w:p>
        </w:tc>
        <w:tc>
          <w:tcPr>
            <w:tcW w:w="445" w:type="pct"/>
            <w:tcBorders>
              <w:top w:val="single" w:sz="4" w:space="0" w:color="auto"/>
              <w:bottom w:val="single" w:sz="4" w:space="0" w:color="auto"/>
              <w:right w:val="single" w:sz="4" w:space="0" w:color="auto"/>
            </w:tcBorders>
            <w:shd w:val="clear" w:color="auto" w:fill="95B3D7" w:themeFill="accent1" w:themeFillTint="99"/>
            <w:vAlign w:val="center"/>
          </w:tcPr>
          <w:p w14:paraId="57FF8503"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690" w:type="pct"/>
            <w:tcBorders>
              <w:top w:val="single" w:sz="4" w:space="0" w:color="auto"/>
              <w:left w:val="single" w:sz="4" w:space="0" w:color="auto"/>
              <w:bottom w:val="single" w:sz="4" w:space="0" w:color="auto"/>
            </w:tcBorders>
            <w:shd w:val="clear" w:color="auto" w:fill="95B3D7" w:themeFill="accent1" w:themeFillTint="99"/>
            <w:vAlign w:val="center"/>
            <w:hideMark/>
          </w:tcPr>
          <w:p w14:paraId="009E96AA"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Sexual</w:t>
            </w:r>
            <w:r>
              <w:rPr>
                <w:rFonts w:ascii="Calibri" w:eastAsia="Times New Roman" w:hAnsi="Calibri" w:cs="Arial"/>
                <w:bCs w:val="0"/>
                <w:color w:val="000000"/>
                <w:lang w:eastAsia="en-AU"/>
              </w:rPr>
              <w:t xml:space="preserve"> abuse</w:t>
            </w:r>
          </w:p>
        </w:tc>
        <w:tc>
          <w:tcPr>
            <w:tcW w:w="391" w:type="pct"/>
            <w:tcBorders>
              <w:top w:val="single" w:sz="4" w:space="0" w:color="auto"/>
              <w:bottom w:val="single" w:sz="4" w:space="0" w:color="auto"/>
              <w:right w:val="single" w:sz="4" w:space="0" w:color="auto"/>
            </w:tcBorders>
            <w:shd w:val="clear" w:color="auto" w:fill="95B3D7" w:themeFill="accent1" w:themeFillTint="99"/>
            <w:vAlign w:val="center"/>
          </w:tcPr>
          <w:p w14:paraId="5F06B1AD" w14:textId="77777777" w:rsidR="00736DDB" w:rsidRPr="00C97EF5" w:rsidRDefault="00736DDB" w:rsidP="00CE2FDF">
            <w:pPr>
              <w:tabs>
                <w:tab w:val="left" w:pos="1134"/>
              </w:tabs>
              <w:spacing w:before="0" w:line="276" w:lineRule="auto"/>
              <w:ind w:left="-25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407"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EDB235A" w14:textId="77777777" w:rsidR="00736DDB" w:rsidRPr="001008AC"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1008AC">
              <w:rPr>
                <w:rFonts w:ascii="Calibri" w:eastAsia="Times New Roman" w:hAnsi="Calibri" w:cs="Arial"/>
                <w:bCs w:val="0"/>
                <w:color w:val="auto"/>
                <w:lang w:eastAsia="en-AU"/>
              </w:rPr>
              <w:t>Total</w:t>
            </w:r>
          </w:p>
        </w:tc>
      </w:tr>
      <w:tr w:rsidR="00C84E96" w:rsidRPr="00F0043D" w14:paraId="3B15BFE3"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8" w:type="pct"/>
            <w:tcBorders>
              <w:top w:val="single" w:sz="4" w:space="0" w:color="auto"/>
              <w:left w:val="single" w:sz="4" w:space="0" w:color="auto"/>
              <w:right w:val="single" w:sz="4" w:space="0" w:color="auto"/>
            </w:tcBorders>
            <w:noWrap/>
            <w:hideMark/>
          </w:tcPr>
          <w:p w14:paraId="76E4316C"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2003</w:t>
            </w:r>
          </w:p>
        </w:tc>
        <w:tc>
          <w:tcPr>
            <w:tcW w:w="694" w:type="pct"/>
            <w:tcBorders>
              <w:top w:val="single" w:sz="4" w:space="0" w:color="auto"/>
              <w:left w:val="single" w:sz="4" w:space="0" w:color="auto"/>
            </w:tcBorders>
            <w:noWrap/>
            <w:hideMark/>
          </w:tcPr>
          <w:p w14:paraId="2B48E1B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571</w:t>
            </w:r>
          </w:p>
        </w:tc>
        <w:tc>
          <w:tcPr>
            <w:tcW w:w="315" w:type="pct"/>
            <w:tcBorders>
              <w:top w:val="single" w:sz="4" w:space="0" w:color="auto"/>
              <w:right w:val="single" w:sz="4" w:space="0" w:color="auto"/>
            </w:tcBorders>
          </w:tcPr>
          <w:p w14:paraId="2606F4AE"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(41.7%)</w:t>
            </w:r>
          </w:p>
        </w:tc>
        <w:tc>
          <w:tcPr>
            <w:tcW w:w="447" w:type="pct"/>
            <w:tcBorders>
              <w:top w:val="single" w:sz="4" w:space="0" w:color="auto"/>
              <w:left w:val="single" w:sz="4" w:space="0" w:color="auto"/>
            </w:tcBorders>
            <w:noWrap/>
            <w:hideMark/>
          </w:tcPr>
          <w:p w14:paraId="73E58595"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461</w:t>
            </w:r>
          </w:p>
        </w:tc>
        <w:tc>
          <w:tcPr>
            <w:tcW w:w="445" w:type="pct"/>
            <w:tcBorders>
              <w:top w:val="single" w:sz="4" w:space="0" w:color="auto"/>
              <w:right w:val="single" w:sz="4" w:space="0" w:color="auto"/>
            </w:tcBorders>
          </w:tcPr>
          <w:p w14:paraId="4742A52E"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(33.8%)</w:t>
            </w:r>
          </w:p>
        </w:tc>
        <w:tc>
          <w:tcPr>
            <w:tcW w:w="758" w:type="pct"/>
            <w:tcBorders>
              <w:top w:val="single" w:sz="4" w:space="0" w:color="auto"/>
              <w:left w:val="single" w:sz="4" w:space="0" w:color="auto"/>
            </w:tcBorders>
            <w:noWrap/>
            <w:hideMark/>
          </w:tcPr>
          <w:p w14:paraId="62C7BFE2"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264</w:t>
            </w:r>
          </w:p>
        </w:tc>
        <w:tc>
          <w:tcPr>
            <w:tcW w:w="445" w:type="pct"/>
            <w:tcBorders>
              <w:top w:val="single" w:sz="4" w:space="0" w:color="auto"/>
              <w:right w:val="single" w:sz="4" w:space="0" w:color="auto"/>
            </w:tcBorders>
          </w:tcPr>
          <w:p w14:paraId="241929B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(19.4%)</w:t>
            </w:r>
          </w:p>
        </w:tc>
        <w:tc>
          <w:tcPr>
            <w:tcW w:w="690" w:type="pct"/>
            <w:tcBorders>
              <w:top w:val="single" w:sz="4" w:space="0" w:color="auto"/>
              <w:left w:val="single" w:sz="4" w:space="0" w:color="auto"/>
            </w:tcBorders>
            <w:noWrap/>
            <w:hideMark/>
          </w:tcPr>
          <w:p w14:paraId="7461A7BE"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68</w:t>
            </w:r>
          </w:p>
        </w:tc>
        <w:tc>
          <w:tcPr>
            <w:tcW w:w="391" w:type="pct"/>
            <w:tcBorders>
              <w:top w:val="single" w:sz="4" w:space="0" w:color="auto"/>
              <w:right w:val="single" w:sz="4" w:space="0" w:color="auto"/>
            </w:tcBorders>
          </w:tcPr>
          <w:p w14:paraId="616D1D8E"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w:t>
            </w:r>
          </w:p>
        </w:tc>
        <w:tc>
          <w:tcPr>
            <w:tcW w:w="407" w:type="pct"/>
            <w:tcBorders>
              <w:top w:val="single" w:sz="4" w:space="0" w:color="auto"/>
              <w:left w:val="single" w:sz="4" w:space="0" w:color="auto"/>
              <w:right w:val="single" w:sz="4" w:space="0" w:color="auto"/>
            </w:tcBorders>
            <w:noWrap/>
            <w:hideMark/>
          </w:tcPr>
          <w:p w14:paraId="3213C267"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364</w:t>
            </w:r>
          </w:p>
        </w:tc>
      </w:tr>
      <w:tr w:rsidR="00CD1101" w:rsidRPr="00F0043D" w14:paraId="7E04C6EB"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408" w:type="pct"/>
            <w:tcBorders>
              <w:left w:val="single" w:sz="4" w:space="0" w:color="auto"/>
              <w:right w:val="single" w:sz="4" w:space="0" w:color="auto"/>
            </w:tcBorders>
            <w:noWrap/>
            <w:hideMark/>
          </w:tcPr>
          <w:p w14:paraId="4C6F3278"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2004</w:t>
            </w:r>
          </w:p>
        </w:tc>
        <w:tc>
          <w:tcPr>
            <w:tcW w:w="694" w:type="pct"/>
            <w:tcBorders>
              <w:left w:val="single" w:sz="4" w:space="0" w:color="auto"/>
            </w:tcBorders>
            <w:noWrap/>
            <w:hideMark/>
          </w:tcPr>
          <w:p w14:paraId="60EFF89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641</w:t>
            </w:r>
          </w:p>
        </w:tc>
        <w:tc>
          <w:tcPr>
            <w:tcW w:w="315" w:type="pct"/>
            <w:tcBorders>
              <w:right w:val="single" w:sz="4" w:space="0" w:color="auto"/>
            </w:tcBorders>
          </w:tcPr>
          <w:p w14:paraId="712182C3"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(46.1%)</w:t>
            </w:r>
          </w:p>
        </w:tc>
        <w:tc>
          <w:tcPr>
            <w:tcW w:w="447" w:type="pct"/>
            <w:tcBorders>
              <w:left w:val="single" w:sz="4" w:space="0" w:color="auto"/>
            </w:tcBorders>
            <w:noWrap/>
            <w:hideMark/>
          </w:tcPr>
          <w:p w14:paraId="2DA269FA"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401</w:t>
            </w:r>
          </w:p>
        </w:tc>
        <w:tc>
          <w:tcPr>
            <w:tcW w:w="445" w:type="pct"/>
            <w:tcBorders>
              <w:right w:val="single" w:sz="4" w:space="0" w:color="auto"/>
            </w:tcBorders>
          </w:tcPr>
          <w:p w14:paraId="4AC86E7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(28.8%)</w:t>
            </w:r>
          </w:p>
        </w:tc>
        <w:tc>
          <w:tcPr>
            <w:tcW w:w="758" w:type="pct"/>
            <w:tcBorders>
              <w:left w:val="single" w:sz="4" w:space="0" w:color="auto"/>
            </w:tcBorders>
            <w:noWrap/>
            <w:hideMark/>
          </w:tcPr>
          <w:p w14:paraId="0642B27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291</w:t>
            </w:r>
          </w:p>
        </w:tc>
        <w:tc>
          <w:tcPr>
            <w:tcW w:w="445" w:type="pct"/>
            <w:tcBorders>
              <w:right w:val="single" w:sz="4" w:space="0" w:color="auto"/>
            </w:tcBorders>
          </w:tcPr>
          <w:p w14:paraId="47C5FE10"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(20.9%)</w:t>
            </w:r>
          </w:p>
        </w:tc>
        <w:tc>
          <w:tcPr>
            <w:tcW w:w="690" w:type="pct"/>
            <w:tcBorders>
              <w:left w:val="single" w:sz="4" w:space="0" w:color="auto"/>
            </w:tcBorders>
            <w:noWrap/>
            <w:hideMark/>
          </w:tcPr>
          <w:p w14:paraId="11B07C70"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57</w:t>
            </w:r>
          </w:p>
        </w:tc>
        <w:tc>
          <w:tcPr>
            <w:tcW w:w="391" w:type="pct"/>
            <w:tcBorders>
              <w:right w:val="single" w:sz="4" w:space="0" w:color="auto"/>
            </w:tcBorders>
          </w:tcPr>
          <w:p w14:paraId="3AA2993F"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(4.1%)</w:t>
            </w:r>
          </w:p>
        </w:tc>
        <w:tc>
          <w:tcPr>
            <w:tcW w:w="407" w:type="pct"/>
            <w:tcBorders>
              <w:left w:val="single" w:sz="4" w:space="0" w:color="auto"/>
              <w:right w:val="single" w:sz="4" w:space="0" w:color="auto"/>
            </w:tcBorders>
            <w:noWrap/>
            <w:hideMark/>
          </w:tcPr>
          <w:p w14:paraId="0ADDE772" w14:textId="77777777" w:rsidR="00CD1101" w:rsidRPr="00747CDE"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390</w:t>
            </w:r>
          </w:p>
        </w:tc>
      </w:tr>
      <w:tr w:rsidR="00C84E96" w:rsidRPr="00F0043D" w14:paraId="5B46653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8" w:type="pct"/>
            <w:tcBorders>
              <w:left w:val="single" w:sz="4" w:space="0" w:color="auto"/>
              <w:right w:val="single" w:sz="4" w:space="0" w:color="auto"/>
            </w:tcBorders>
            <w:noWrap/>
            <w:hideMark/>
          </w:tcPr>
          <w:p w14:paraId="185022A7"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2005</w:t>
            </w:r>
          </w:p>
        </w:tc>
        <w:tc>
          <w:tcPr>
            <w:tcW w:w="694" w:type="pct"/>
            <w:tcBorders>
              <w:left w:val="single" w:sz="4" w:space="0" w:color="auto"/>
            </w:tcBorders>
            <w:noWrap/>
            <w:hideMark/>
          </w:tcPr>
          <w:p w14:paraId="554E2F1E"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673</w:t>
            </w:r>
          </w:p>
        </w:tc>
        <w:tc>
          <w:tcPr>
            <w:tcW w:w="315" w:type="pct"/>
            <w:tcBorders>
              <w:right w:val="single" w:sz="4" w:space="0" w:color="auto"/>
            </w:tcBorders>
          </w:tcPr>
          <w:p w14:paraId="3372728F"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(49.6%)</w:t>
            </w:r>
          </w:p>
        </w:tc>
        <w:tc>
          <w:tcPr>
            <w:tcW w:w="447" w:type="pct"/>
            <w:tcBorders>
              <w:left w:val="single" w:sz="4" w:space="0" w:color="auto"/>
            </w:tcBorders>
            <w:noWrap/>
            <w:hideMark/>
          </w:tcPr>
          <w:p w14:paraId="48A1979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384</w:t>
            </w:r>
          </w:p>
        </w:tc>
        <w:tc>
          <w:tcPr>
            <w:tcW w:w="445" w:type="pct"/>
            <w:tcBorders>
              <w:right w:val="single" w:sz="4" w:space="0" w:color="auto"/>
            </w:tcBorders>
          </w:tcPr>
          <w:p w14:paraId="7A40515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(28.3%)</w:t>
            </w:r>
          </w:p>
        </w:tc>
        <w:tc>
          <w:tcPr>
            <w:tcW w:w="758" w:type="pct"/>
            <w:tcBorders>
              <w:left w:val="single" w:sz="4" w:space="0" w:color="auto"/>
            </w:tcBorders>
            <w:noWrap/>
            <w:hideMark/>
          </w:tcPr>
          <w:p w14:paraId="107C80BF"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218</w:t>
            </w:r>
          </w:p>
        </w:tc>
        <w:tc>
          <w:tcPr>
            <w:tcW w:w="445" w:type="pct"/>
            <w:tcBorders>
              <w:right w:val="single" w:sz="4" w:space="0" w:color="auto"/>
            </w:tcBorders>
          </w:tcPr>
          <w:p w14:paraId="1363DDA8"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(16.1%)</w:t>
            </w:r>
          </w:p>
        </w:tc>
        <w:tc>
          <w:tcPr>
            <w:tcW w:w="690" w:type="pct"/>
            <w:tcBorders>
              <w:left w:val="single" w:sz="4" w:space="0" w:color="auto"/>
            </w:tcBorders>
            <w:noWrap/>
            <w:hideMark/>
          </w:tcPr>
          <w:p w14:paraId="793B2755"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81</w:t>
            </w:r>
          </w:p>
        </w:tc>
        <w:tc>
          <w:tcPr>
            <w:tcW w:w="391" w:type="pct"/>
            <w:tcBorders>
              <w:right w:val="single" w:sz="4" w:space="0" w:color="auto"/>
            </w:tcBorders>
          </w:tcPr>
          <w:p w14:paraId="6D60D5A5"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w:t>
            </w:r>
          </w:p>
        </w:tc>
        <w:tc>
          <w:tcPr>
            <w:tcW w:w="407" w:type="pct"/>
            <w:tcBorders>
              <w:left w:val="single" w:sz="4" w:space="0" w:color="auto"/>
              <w:right w:val="single" w:sz="4" w:space="0" w:color="auto"/>
            </w:tcBorders>
            <w:noWrap/>
            <w:hideMark/>
          </w:tcPr>
          <w:p w14:paraId="36F11F31"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356</w:t>
            </w:r>
          </w:p>
        </w:tc>
      </w:tr>
      <w:tr w:rsidR="00CD1101" w:rsidRPr="00F0043D" w14:paraId="2182B631"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408" w:type="pct"/>
            <w:tcBorders>
              <w:left w:val="single" w:sz="4" w:space="0" w:color="auto"/>
              <w:right w:val="single" w:sz="4" w:space="0" w:color="auto"/>
            </w:tcBorders>
            <w:noWrap/>
            <w:hideMark/>
          </w:tcPr>
          <w:p w14:paraId="36A563E4"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2006</w:t>
            </w:r>
          </w:p>
        </w:tc>
        <w:tc>
          <w:tcPr>
            <w:tcW w:w="694" w:type="pct"/>
            <w:tcBorders>
              <w:left w:val="single" w:sz="4" w:space="0" w:color="auto"/>
            </w:tcBorders>
            <w:noWrap/>
            <w:hideMark/>
          </w:tcPr>
          <w:p w14:paraId="01F6002B"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698</w:t>
            </w:r>
          </w:p>
        </w:tc>
        <w:tc>
          <w:tcPr>
            <w:tcW w:w="315" w:type="pct"/>
            <w:tcBorders>
              <w:right w:val="single" w:sz="4" w:space="0" w:color="auto"/>
            </w:tcBorders>
          </w:tcPr>
          <w:p w14:paraId="55711908"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(50.2%)</w:t>
            </w:r>
          </w:p>
        </w:tc>
        <w:tc>
          <w:tcPr>
            <w:tcW w:w="447" w:type="pct"/>
            <w:tcBorders>
              <w:left w:val="single" w:sz="4" w:space="0" w:color="auto"/>
            </w:tcBorders>
            <w:noWrap/>
            <w:hideMark/>
          </w:tcPr>
          <w:p w14:paraId="6EDA3693"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338</w:t>
            </w:r>
          </w:p>
        </w:tc>
        <w:tc>
          <w:tcPr>
            <w:tcW w:w="445" w:type="pct"/>
            <w:tcBorders>
              <w:right w:val="single" w:sz="4" w:space="0" w:color="auto"/>
            </w:tcBorders>
          </w:tcPr>
          <w:p w14:paraId="446CA11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(24.3%)</w:t>
            </w:r>
          </w:p>
        </w:tc>
        <w:tc>
          <w:tcPr>
            <w:tcW w:w="758" w:type="pct"/>
            <w:tcBorders>
              <w:left w:val="single" w:sz="4" w:space="0" w:color="auto"/>
            </w:tcBorders>
            <w:noWrap/>
            <w:hideMark/>
          </w:tcPr>
          <w:p w14:paraId="166D84D1"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286</w:t>
            </w:r>
          </w:p>
        </w:tc>
        <w:tc>
          <w:tcPr>
            <w:tcW w:w="445" w:type="pct"/>
            <w:tcBorders>
              <w:right w:val="single" w:sz="4" w:space="0" w:color="auto"/>
            </w:tcBorders>
          </w:tcPr>
          <w:p w14:paraId="028D1102"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(20.6%)</w:t>
            </w:r>
          </w:p>
        </w:tc>
        <w:tc>
          <w:tcPr>
            <w:tcW w:w="690" w:type="pct"/>
            <w:tcBorders>
              <w:left w:val="single" w:sz="4" w:space="0" w:color="auto"/>
            </w:tcBorders>
            <w:noWrap/>
            <w:hideMark/>
          </w:tcPr>
          <w:p w14:paraId="78D22D5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68</w:t>
            </w:r>
          </w:p>
        </w:tc>
        <w:tc>
          <w:tcPr>
            <w:tcW w:w="391" w:type="pct"/>
            <w:tcBorders>
              <w:right w:val="single" w:sz="4" w:space="0" w:color="auto"/>
            </w:tcBorders>
          </w:tcPr>
          <w:p w14:paraId="3222B54F"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(4.9%)</w:t>
            </w:r>
          </w:p>
        </w:tc>
        <w:tc>
          <w:tcPr>
            <w:tcW w:w="407" w:type="pct"/>
            <w:tcBorders>
              <w:left w:val="single" w:sz="4" w:space="0" w:color="auto"/>
              <w:right w:val="single" w:sz="4" w:space="0" w:color="auto"/>
            </w:tcBorders>
            <w:noWrap/>
            <w:hideMark/>
          </w:tcPr>
          <w:p w14:paraId="7892598F" w14:textId="77777777" w:rsidR="00CD1101" w:rsidRPr="00747CDE"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390</w:t>
            </w:r>
          </w:p>
        </w:tc>
      </w:tr>
      <w:tr w:rsidR="00C84E96" w:rsidRPr="00F0043D" w14:paraId="2AE61770"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8" w:type="pct"/>
            <w:tcBorders>
              <w:left w:val="single" w:sz="4" w:space="0" w:color="auto"/>
              <w:right w:val="single" w:sz="4" w:space="0" w:color="auto"/>
            </w:tcBorders>
            <w:noWrap/>
            <w:hideMark/>
          </w:tcPr>
          <w:p w14:paraId="2E94375D"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2007</w:t>
            </w:r>
          </w:p>
        </w:tc>
        <w:tc>
          <w:tcPr>
            <w:tcW w:w="694" w:type="pct"/>
            <w:tcBorders>
              <w:left w:val="single" w:sz="4" w:space="0" w:color="auto"/>
            </w:tcBorders>
            <w:noWrap/>
            <w:hideMark/>
          </w:tcPr>
          <w:p w14:paraId="071CC228"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329</w:t>
            </w:r>
          </w:p>
        </w:tc>
        <w:tc>
          <w:tcPr>
            <w:tcW w:w="315" w:type="pct"/>
            <w:tcBorders>
              <w:right w:val="single" w:sz="4" w:space="0" w:color="auto"/>
            </w:tcBorders>
          </w:tcPr>
          <w:p w14:paraId="7551241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(24%)</w:t>
            </w:r>
          </w:p>
        </w:tc>
        <w:tc>
          <w:tcPr>
            <w:tcW w:w="447" w:type="pct"/>
            <w:tcBorders>
              <w:left w:val="single" w:sz="4" w:space="0" w:color="auto"/>
            </w:tcBorders>
            <w:noWrap/>
            <w:hideMark/>
          </w:tcPr>
          <w:p w14:paraId="44E1681B"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623</w:t>
            </w:r>
          </w:p>
        </w:tc>
        <w:tc>
          <w:tcPr>
            <w:tcW w:w="445" w:type="pct"/>
            <w:tcBorders>
              <w:right w:val="single" w:sz="4" w:space="0" w:color="auto"/>
            </w:tcBorders>
          </w:tcPr>
          <w:p w14:paraId="1663BC09"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(45.4%)</w:t>
            </w:r>
          </w:p>
        </w:tc>
        <w:tc>
          <w:tcPr>
            <w:tcW w:w="758" w:type="pct"/>
            <w:tcBorders>
              <w:left w:val="single" w:sz="4" w:space="0" w:color="auto"/>
            </w:tcBorders>
            <w:noWrap/>
            <w:hideMark/>
          </w:tcPr>
          <w:p w14:paraId="0B317226"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353</w:t>
            </w:r>
          </w:p>
        </w:tc>
        <w:tc>
          <w:tcPr>
            <w:tcW w:w="445" w:type="pct"/>
            <w:tcBorders>
              <w:right w:val="single" w:sz="4" w:space="0" w:color="auto"/>
            </w:tcBorders>
          </w:tcPr>
          <w:p w14:paraId="02F4DD39"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(25.7%)</w:t>
            </w:r>
          </w:p>
        </w:tc>
        <w:tc>
          <w:tcPr>
            <w:tcW w:w="690" w:type="pct"/>
            <w:tcBorders>
              <w:left w:val="single" w:sz="4" w:space="0" w:color="auto"/>
            </w:tcBorders>
            <w:noWrap/>
            <w:hideMark/>
          </w:tcPr>
          <w:p w14:paraId="06D776C7"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67</w:t>
            </w:r>
          </w:p>
        </w:tc>
        <w:tc>
          <w:tcPr>
            <w:tcW w:w="391" w:type="pct"/>
            <w:tcBorders>
              <w:right w:val="single" w:sz="4" w:space="0" w:color="auto"/>
            </w:tcBorders>
          </w:tcPr>
          <w:p w14:paraId="12F46413"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(4.9%)</w:t>
            </w:r>
          </w:p>
        </w:tc>
        <w:tc>
          <w:tcPr>
            <w:tcW w:w="407" w:type="pct"/>
            <w:tcBorders>
              <w:left w:val="single" w:sz="4" w:space="0" w:color="auto"/>
              <w:right w:val="single" w:sz="4" w:space="0" w:color="auto"/>
            </w:tcBorders>
            <w:noWrap/>
            <w:hideMark/>
          </w:tcPr>
          <w:p w14:paraId="44AFE4B7"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372</w:t>
            </w:r>
          </w:p>
        </w:tc>
      </w:tr>
      <w:tr w:rsidR="00CD1101" w:rsidRPr="00F0043D" w14:paraId="38B7F959"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408" w:type="pct"/>
            <w:tcBorders>
              <w:left w:val="single" w:sz="4" w:space="0" w:color="auto"/>
              <w:right w:val="single" w:sz="4" w:space="0" w:color="auto"/>
            </w:tcBorders>
            <w:noWrap/>
            <w:hideMark/>
          </w:tcPr>
          <w:p w14:paraId="581DE27A"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2008</w:t>
            </w:r>
          </w:p>
        </w:tc>
        <w:tc>
          <w:tcPr>
            <w:tcW w:w="694" w:type="pct"/>
            <w:tcBorders>
              <w:left w:val="single" w:sz="4" w:space="0" w:color="auto"/>
            </w:tcBorders>
            <w:noWrap/>
            <w:hideMark/>
          </w:tcPr>
          <w:p w14:paraId="0D864468"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525</w:t>
            </w:r>
          </w:p>
        </w:tc>
        <w:tc>
          <w:tcPr>
            <w:tcW w:w="315" w:type="pct"/>
            <w:tcBorders>
              <w:right w:val="single" w:sz="4" w:space="0" w:color="auto"/>
            </w:tcBorders>
          </w:tcPr>
          <w:p w14:paraId="72FAF456"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(36.5%)</w:t>
            </w:r>
          </w:p>
        </w:tc>
        <w:tc>
          <w:tcPr>
            <w:tcW w:w="447" w:type="pct"/>
            <w:tcBorders>
              <w:left w:val="single" w:sz="4" w:space="0" w:color="auto"/>
            </w:tcBorders>
            <w:noWrap/>
            <w:hideMark/>
          </w:tcPr>
          <w:p w14:paraId="207C8E0A"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403</w:t>
            </w:r>
          </w:p>
        </w:tc>
        <w:tc>
          <w:tcPr>
            <w:tcW w:w="445" w:type="pct"/>
            <w:tcBorders>
              <w:right w:val="single" w:sz="4" w:space="0" w:color="auto"/>
            </w:tcBorders>
          </w:tcPr>
          <w:p w14:paraId="6561E6C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(28%)</w:t>
            </w:r>
          </w:p>
        </w:tc>
        <w:tc>
          <w:tcPr>
            <w:tcW w:w="758" w:type="pct"/>
            <w:tcBorders>
              <w:left w:val="single" w:sz="4" w:space="0" w:color="auto"/>
            </w:tcBorders>
            <w:noWrap/>
            <w:hideMark/>
          </w:tcPr>
          <w:p w14:paraId="77DF55A1"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430</w:t>
            </w:r>
          </w:p>
        </w:tc>
        <w:tc>
          <w:tcPr>
            <w:tcW w:w="445" w:type="pct"/>
            <w:tcBorders>
              <w:right w:val="single" w:sz="4" w:space="0" w:color="auto"/>
            </w:tcBorders>
          </w:tcPr>
          <w:p w14:paraId="4DE4EC8F"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(29.9%)</w:t>
            </w:r>
          </w:p>
        </w:tc>
        <w:tc>
          <w:tcPr>
            <w:tcW w:w="690" w:type="pct"/>
            <w:tcBorders>
              <w:left w:val="single" w:sz="4" w:space="0" w:color="auto"/>
            </w:tcBorders>
            <w:noWrap/>
            <w:hideMark/>
          </w:tcPr>
          <w:p w14:paraId="62541984"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80</w:t>
            </w:r>
          </w:p>
        </w:tc>
        <w:tc>
          <w:tcPr>
            <w:tcW w:w="391" w:type="pct"/>
            <w:tcBorders>
              <w:right w:val="single" w:sz="4" w:space="0" w:color="auto"/>
            </w:tcBorders>
          </w:tcPr>
          <w:p w14:paraId="4F63C88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(5.6%)</w:t>
            </w:r>
          </w:p>
        </w:tc>
        <w:tc>
          <w:tcPr>
            <w:tcW w:w="407" w:type="pct"/>
            <w:tcBorders>
              <w:left w:val="single" w:sz="4" w:space="0" w:color="auto"/>
              <w:right w:val="single" w:sz="4" w:space="0" w:color="auto"/>
            </w:tcBorders>
            <w:noWrap/>
            <w:hideMark/>
          </w:tcPr>
          <w:p w14:paraId="42119CC5" w14:textId="77777777" w:rsidR="00CD1101" w:rsidRPr="00747CDE"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438</w:t>
            </w:r>
          </w:p>
        </w:tc>
      </w:tr>
      <w:tr w:rsidR="00C84E96" w:rsidRPr="00F0043D" w14:paraId="1A72AD22"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8" w:type="pct"/>
            <w:tcBorders>
              <w:left w:val="single" w:sz="4" w:space="0" w:color="auto"/>
              <w:right w:val="single" w:sz="4" w:space="0" w:color="auto"/>
            </w:tcBorders>
            <w:noWrap/>
            <w:hideMark/>
          </w:tcPr>
          <w:p w14:paraId="04E5A5A0"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2009</w:t>
            </w:r>
          </w:p>
        </w:tc>
        <w:tc>
          <w:tcPr>
            <w:tcW w:w="694" w:type="pct"/>
            <w:tcBorders>
              <w:left w:val="single" w:sz="4" w:space="0" w:color="auto"/>
            </w:tcBorders>
            <w:noWrap/>
            <w:hideMark/>
          </w:tcPr>
          <w:p w14:paraId="790F99E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529</w:t>
            </w:r>
          </w:p>
        </w:tc>
        <w:tc>
          <w:tcPr>
            <w:tcW w:w="315" w:type="pct"/>
            <w:tcBorders>
              <w:right w:val="single" w:sz="4" w:space="0" w:color="auto"/>
            </w:tcBorders>
          </w:tcPr>
          <w:p w14:paraId="668F33C3"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(42%)</w:t>
            </w:r>
          </w:p>
        </w:tc>
        <w:tc>
          <w:tcPr>
            <w:tcW w:w="447" w:type="pct"/>
            <w:tcBorders>
              <w:left w:val="single" w:sz="4" w:space="0" w:color="auto"/>
            </w:tcBorders>
            <w:noWrap/>
            <w:hideMark/>
          </w:tcPr>
          <w:p w14:paraId="1EC1B6C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237</w:t>
            </w:r>
          </w:p>
        </w:tc>
        <w:tc>
          <w:tcPr>
            <w:tcW w:w="445" w:type="pct"/>
            <w:tcBorders>
              <w:right w:val="single" w:sz="4" w:space="0" w:color="auto"/>
            </w:tcBorders>
          </w:tcPr>
          <w:p w14:paraId="088CC7B5"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(18.8%)</w:t>
            </w:r>
          </w:p>
        </w:tc>
        <w:tc>
          <w:tcPr>
            <w:tcW w:w="758" w:type="pct"/>
            <w:tcBorders>
              <w:left w:val="single" w:sz="4" w:space="0" w:color="auto"/>
            </w:tcBorders>
            <w:noWrap/>
            <w:hideMark/>
          </w:tcPr>
          <w:p w14:paraId="1BD62A12"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423</w:t>
            </w:r>
          </w:p>
        </w:tc>
        <w:tc>
          <w:tcPr>
            <w:tcW w:w="445" w:type="pct"/>
            <w:tcBorders>
              <w:right w:val="single" w:sz="4" w:space="0" w:color="auto"/>
            </w:tcBorders>
          </w:tcPr>
          <w:p w14:paraId="0218BAAD"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(33.6%)</w:t>
            </w:r>
          </w:p>
        </w:tc>
        <w:tc>
          <w:tcPr>
            <w:tcW w:w="690" w:type="pct"/>
            <w:tcBorders>
              <w:left w:val="single" w:sz="4" w:space="0" w:color="auto"/>
            </w:tcBorders>
            <w:noWrap/>
            <w:hideMark/>
          </w:tcPr>
          <w:p w14:paraId="09BE32ED"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70</w:t>
            </w:r>
          </w:p>
        </w:tc>
        <w:tc>
          <w:tcPr>
            <w:tcW w:w="391" w:type="pct"/>
            <w:tcBorders>
              <w:right w:val="single" w:sz="4" w:space="0" w:color="auto"/>
            </w:tcBorders>
          </w:tcPr>
          <w:p w14:paraId="60B46ACA"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(5.6%)</w:t>
            </w:r>
          </w:p>
        </w:tc>
        <w:tc>
          <w:tcPr>
            <w:tcW w:w="407" w:type="pct"/>
            <w:tcBorders>
              <w:left w:val="single" w:sz="4" w:space="0" w:color="auto"/>
              <w:right w:val="single" w:sz="4" w:space="0" w:color="auto"/>
            </w:tcBorders>
            <w:noWrap/>
            <w:hideMark/>
          </w:tcPr>
          <w:p w14:paraId="0471BD2A"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259</w:t>
            </w:r>
          </w:p>
        </w:tc>
      </w:tr>
      <w:tr w:rsidR="00CD1101" w:rsidRPr="00F0043D" w14:paraId="3DB49E9D"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408" w:type="pct"/>
            <w:tcBorders>
              <w:left w:val="single" w:sz="4" w:space="0" w:color="auto"/>
              <w:right w:val="single" w:sz="4" w:space="0" w:color="auto"/>
            </w:tcBorders>
            <w:noWrap/>
            <w:hideMark/>
          </w:tcPr>
          <w:p w14:paraId="3C689FA8"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2010</w:t>
            </w:r>
          </w:p>
        </w:tc>
        <w:tc>
          <w:tcPr>
            <w:tcW w:w="694" w:type="pct"/>
            <w:tcBorders>
              <w:left w:val="single" w:sz="4" w:space="0" w:color="auto"/>
            </w:tcBorders>
            <w:noWrap/>
            <w:hideMark/>
          </w:tcPr>
          <w:p w14:paraId="14C1D39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706</w:t>
            </w:r>
          </w:p>
        </w:tc>
        <w:tc>
          <w:tcPr>
            <w:tcW w:w="315" w:type="pct"/>
            <w:tcBorders>
              <w:right w:val="single" w:sz="4" w:space="0" w:color="auto"/>
            </w:tcBorders>
          </w:tcPr>
          <w:p w14:paraId="6ADFF0DE"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(43.9%)</w:t>
            </w:r>
          </w:p>
        </w:tc>
        <w:tc>
          <w:tcPr>
            <w:tcW w:w="447" w:type="pct"/>
            <w:tcBorders>
              <w:left w:val="single" w:sz="4" w:space="0" w:color="auto"/>
            </w:tcBorders>
            <w:noWrap/>
            <w:hideMark/>
          </w:tcPr>
          <w:p w14:paraId="2C2875C0"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300</w:t>
            </w:r>
          </w:p>
        </w:tc>
        <w:tc>
          <w:tcPr>
            <w:tcW w:w="445" w:type="pct"/>
            <w:tcBorders>
              <w:right w:val="single" w:sz="4" w:space="0" w:color="auto"/>
            </w:tcBorders>
          </w:tcPr>
          <w:p w14:paraId="273A1F64"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(18.7%)</w:t>
            </w:r>
          </w:p>
        </w:tc>
        <w:tc>
          <w:tcPr>
            <w:tcW w:w="758" w:type="pct"/>
            <w:tcBorders>
              <w:left w:val="single" w:sz="4" w:space="0" w:color="auto"/>
            </w:tcBorders>
            <w:noWrap/>
            <w:hideMark/>
          </w:tcPr>
          <w:p w14:paraId="7BD31498"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530</w:t>
            </w:r>
          </w:p>
        </w:tc>
        <w:tc>
          <w:tcPr>
            <w:tcW w:w="445" w:type="pct"/>
            <w:tcBorders>
              <w:right w:val="single" w:sz="4" w:space="0" w:color="auto"/>
            </w:tcBorders>
          </w:tcPr>
          <w:p w14:paraId="6BCA002E"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(33%)</w:t>
            </w:r>
          </w:p>
        </w:tc>
        <w:tc>
          <w:tcPr>
            <w:tcW w:w="690" w:type="pct"/>
            <w:tcBorders>
              <w:left w:val="single" w:sz="4" w:space="0" w:color="auto"/>
            </w:tcBorders>
            <w:noWrap/>
            <w:hideMark/>
          </w:tcPr>
          <w:p w14:paraId="3F75D361"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72</w:t>
            </w:r>
          </w:p>
        </w:tc>
        <w:tc>
          <w:tcPr>
            <w:tcW w:w="391" w:type="pct"/>
            <w:tcBorders>
              <w:right w:val="single" w:sz="4" w:space="0" w:color="auto"/>
            </w:tcBorders>
          </w:tcPr>
          <w:p w14:paraId="263B1505"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(4.5%)</w:t>
            </w:r>
          </w:p>
        </w:tc>
        <w:tc>
          <w:tcPr>
            <w:tcW w:w="407" w:type="pct"/>
            <w:tcBorders>
              <w:left w:val="single" w:sz="4" w:space="0" w:color="auto"/>
              <w:right w:val="single" w:sz="4" w:space="0" w:color="auto"/>
            </w:tcBorders>
            <w:noWrap/>
            <w:hideMark/>
          </w:tcPr>
          <w:p w14:paraId="43A2200E" w14:textId="77777777" w:rsidR="00CD1101" w:rsidRPr="00747CDE"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608</w:t>
            </w:r>
          </w:p>
        </w:tc>
      </w:tr>
      <w:tr w:rsidR="00C84E96" w:rsidRPr="00F0043D" w14:paraId="361B6419"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8" w:type="pct"/>
            <w:tcBorders>
              <w:left w:val="single" w:sz="4" w:space="0" w:color="auto"/>
              <w:right w:val="single" w:sz="4" w:space="0" w:color="auto"/>
            </w:tcBorders>
            <w:noWrap/>
            <w:hideMark/>
          </w:tcPr>
          <w:p w14:paraId="5535CB98"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2011</w:t>
            </w:r>
          </w:p>
        </w:tc>
        <w:tc>
          <w:tcPr>
            <w:tcW w:w="694" w:type="pct"/>
            <w:tcBorders>
              <w:left w:val="single" w:sz="4" w:space="0" w:color="auto"/>
            </w:tcBorders>
            <w:noWrap/>
            <w:hideMark/>
          </w:tcPr>
          <w:p w14:paraId="0BD068E7"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936</w:t>
            </w:r>
          </w:p>
        </w:tc>
        <w:tc>
          <w:tcPr>
            <w:tcW w:w="315" w:type="pct"/>
            <w:tcBorders>
              <w:right w:val="single" w:sz="4" w:space="0" w:color="auto"/>
            </w:tcBorders>
          </w:tcPr>
          <w:p w14:paraId="555521DC"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(53.1%)</w:t>
            </w:r>
          </w:p>
        </w:tc>
        <w:tc>
          <w:tcPr>
            <w:tcW w:w="447" w:type="pct"/>
            <w:tcBorders>
              <w:left w:val="single" w:sz="4" w:space="0" w:color="auto"/>
            </w:tcBorders>
            <w:noWrap/>
            <w:hideMark/>
          </w:tcPr>
          <w:p w14:paraId="3E00DAC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359</w:t>
            </w:r>
          </w:p>
        </w:tc>
        <w:tc>
          <w:tcPr>
            <w:tcW w:w="445" w:type="pct"/>
            <w:tcBorders>
              <w:right w:val="single" w:sz="4" w:space="0" w:color="auto"/>
            </w:tcBorders>
          </w:tcPr>
          <w:p w14:paraId="41D4CBD2"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(20.3%)</w:t>
            </w:r>
          </w:p>
        </w:tc>
        <w:tc>
          <w:tcPr>
            <w:tcW w:w="758" w:type="pct"/>
            <w:tcBorders>
              <w:left w:val="single" w:sz="4" w:space="0" w:color="auto"/>
            </w:tcBorders>
            <w:noWrap/>
            <w:hideMark/>
          </w:tcPr>
          <w:p w14:paraId="1B9C097D"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397</w:t>
            </w:r>
          </w:p>
        </w:tc>
        <w:tc>
          <w:tcPr>
            <w:tcW w:w="445" w:type="pct"/>
            <w:tcBorders>
              <w:right w:val="single" w:sz="4" w:space="0" w:color="auto"/>
            </w:tcBorders>
          </w:tcPr>
          <w:p w14:paraId="4C24BDDA"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(22.5%)</w:t>
            </w:r>
          </w:p>
        </w:tc>
        <w:tc>
          <w:tcPr>
            <w:tcW w:w="690" w:type="pct"/>
            <w:tcBorders>
              <w:left w:val="single" w:sz="4" w:space="0" w:color="auto"/>
            </w:tcBorders>
            <w:noWrap/>
            <w:hideMark/>
          </w:tcPr>
          <w:p w14:paraId="38942BF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71</w:t>
            </w:r>
          </w:p>
        </w:tc>
        <w:tc>
          <w:tcPr>
            <w:tcW w:w="391" w:type="pct"/>
            <w:tcBorders>
              <w:right w:val="single" w:sz="4" w:space="0" w:color="auto"/>
            </w:tcBorders>
          </w:tcPr>
          <w:p w14:paraId="2766649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w:t>
            </w:r>
          </w:p>
        </w:tc>
        <w:tc>
          <w:tcPr>
            <w:tcW w:w="407" w:type="pct"/>
            <w:tcBorders>
              <w:left w:val="single" w:sz="4" w:space="0" w:color="auto"/>
              <w:right w:val="single" w:sz="4" w:space="0" w:color="auto"/>
            </w:tcBorders>
            <w:noWrap/>
            <w:hideMark/>
          </w:tcPr>
          <w:p w14:paraId="1E2CC201"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763</w:t>
            </w:r>
          </w:p>
        </w:tc>
      </w:tr>
      <w:tr w:rsidR="00CD1101" w:rsidRPr="00F0043D" w14:paraId="1FBEBE8D"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408" w:type="pct"/>
            <w:tcBorders>
              <w:left w:val="single" w:sz="4" w:space="0" w:color="auto"/>
              <w:bottom w:val="single" w:sz="4" w:space="0" w:color="auto"/>
              <w:right w:val="single" w:sz="4" w:space="0" w:color="auto"/>
            </w:tcBorders>
            <w:noWrap/>
            <w:hideMark/>
          </w:tcPr>
          <w:p w14:paraId="53DBF4B6" w14:textId="77777777" w:rsidR="00CD1101" w:rsidRPr="001008AC" w:rsidRDefault="00CD1101" w:rsidP="00CE2FDF">
            <w:pPr>
              <w:tabs>
                <w:tab w:val="left" w:pos="1134"/>
              </w:tabs>
              <w:spacing w:before="0" w:line="276" w:lineRule="auto"/>
              <w:rPr>
                <w:rFonts w:ascii="Calibri" w:eastAsia="Times New Roman" w:hAnsi="Calibri" w:cs="Arial"/>
                <w:bCs w:val="0"/>
                <w:color w:val="000000"/>
                <w:lang w:eastAsia="en-AU"/>
              </w:rPr>
            </w:pPr>
            <w:r w:rsidRPr="001008AC">
              <w:rPr>
                <w:rFonts w:ascii="Calibri" w:eastAsia="Times New Roman" w:hAnsi="Calibri" w:cs="Arial"/>
                <w:bCs w:val="0"/>
                <w:color w:val="000000"/>
                <w:lang w:eastAsia="en-AU"/>
              </w:rPr>
              <w:t>2012</w:t>
            </w:r>
          </w:p>
        </w:tc>
        <w:tc>
          <w:tcPr>
            <w:tcW w:w="694" w:type="pct"/>
            <w:tcBorders>
              <w:left w:val="single" w:sz="4" w:space="0" w:color="auto"/>
              <w:bottom w:val="single" w:sz="4" w:space="0" w:color="auto"/>
            </w:tcBorders>
            <w:noWrap/>
            <w:hideMark/>
          </w:tcPr>
          <w:p w14:paraId="3847DDF5"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214</w:t>
            </w:r>
          </w:p>
        </w:tc>
        <w:tc>
          <w:tcPr>
            <w:tcW w:w="315" w:type="pct"/>
            <w:tcBorders>
              <w:bottom w:val="single" w:sz="4" w:space="0" w:color="auto"/>
              <w:right w:val="single" w:sz="4" w:space="0" w:color="auto"/>
            </w:tcBorders>
          </w:tcPr>
          <w:p w14:paraId="381AD2C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(57.7%)</w:t>
            </w:r>
          </w:p>
        </w:tc>
        <w:tc>
          <w:tcPr>
            <w:tcW w:w="447" w:type="pct"/>
            <w:tcBorders>
              <w:left w:val="single" w:sz="4" w:space="0" w:color="auto"/>
              <w:bottom w:val="single" w:sz="4" w:space="0" w:color="auto"/>
            </w:tcBorders>
            <w:noWrap/>
            <w:hideMark/>
          </w:tcPr>
          <w:p w14:paraId="7815D14B"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374</w:t>
            </w:r>
          </w:p>
        </w:tc>
        <w:tc>
          <w:tcPr>
            <w:tcW w:w="445" w:type="pct"/>
            <w:tcBorders>
              <w:bottom w:val="single" w:sz="4" w:space="0" w:color="auto"/>
              <w:right w:val="single" w:sz="4" w:space="0" w:color="auto"/>
            </w:tcBorders>
          </w:tcPr>
          <w:p w14:paraId="780B2DBE"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(17.8%)</w:t>
            </w:r>
          </w:p>
        </w:tc>
        <w:tc>
          <w:tcPr>
            <w:tcW w:w="758" w:type="pct"/>
            <w:tcBorders>
              <w:left w:val="single" w:sz="4" w:space="0" w:color="auto"/>
              <w:bottom w:val="single" w:sz="4" w:space="0" w:color="auto"/>
            </w:tcBorders>
            <w:noWrap/>
            <w:hideMark/>
          </w:tcPr>
          <w:p w14:paraId="5FE6C9D5"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428</w:t>
            </w:r>
          </w:p>
        </w:tc>
        <w:tc>
          <w:tcPr>
            <w:tcW w:w="445" w:type="pct"/>
            <w:tcBorders>
              <w:bottom w:val="single" w:sz="4" w:space="0" w:color="auto"/>
              <w:right w:val="single" w:sz="4" w:space="0" w:color="auto"/>
            </w:tcBorders>
          </w:tcPr>
          <w:p w14:paraId="33D9DB4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(20.3%)</w:t>
            </w:r>
          </w:p>
        </w:tc>
        <w:tc>
          <w:tcPr>
            <w:tcW w:w="690" w:type="pct"/>
            <w:tcBorders>
              <w:left w:val="single" w:sz="4" w:space="0" w:color="auto"/>
              <w:bottom w:val="single" w:sz="4" w:space="0" w:color="auto"/>
            </w:tcBorders>
            <w:noWrap/>
            <w:hideMark/>
          </w:tcPr>
          <w:p w14:paraId="47BEFA8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89</w:t>
            </w:r>
          </w:p>
        </w:tc>
        <w:tc>
          <w:tcPr>
            <w:tcW w:w="391" w:type="pct"/>
            <w:tcBorders>
              <w:bottom w:val="single" w:sz="4" w:space="0" w:color="auto"/>
              <w:right w:val="single" w:sz="4" w:space="0" w:color="auto"/>
            </w:tcBorders>
          </w:tcPr>
          <w:p w14:paraId="049DF9EB"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(4.2%)</w:t>
            </w:r>
          </w:p>
        </w:tc>
        <w:tc>
          <w:tcPr>
            <w:tcW w:w="407" w:type="pct"/>
            <w:tcBorders>
              <w:left w:val="single" w:sz="4" w:space="0" w:color="auto"/>
              <w:bottom w:val="single" w:sz="4" w:space="0" w:color="auto"/>
              <w:right w:val="single" w:sz="4" w:space="0" w:color="auto"/>
            </w:tcBorders>
            <w:noWrap/>
            <w:hideMark/>
          </w:tcPr>
          <w:p w14:paraId="3B895CED" w14:textId="77777777" w:rsidR="00CD1101" w:rsidRPr="00747CDE"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2</w:t>
            </w:r>
            <w:r w:rsidR="00747CDE">
              <w:rPr>
                <w:rFonts w:eastAsia="Times New Roman" w:cs="Arial"/>
                <w:b/>
                <w:color w:val="auto"/>
                <w:lang w:eastAsia="en-AU"/>
              </w:rPr>
              <w:t>,</w:t>
            </w:r>
            <w:r w:rsidRPr="00747CDE">
              <w:rPr>
                <w:rFonts w:eastAsia="Times New Roman" w:cs="Arial"/>
                <w:b/>
                <w:color w:val="auto"/>
                <w:lang w:eastAsia="en-AU"/>
              </w:rPr>
              <w:t>105</w:t>
            </w:r>
          </w:p>
        </w:tc>
      </w:tr>
      <w:tr w:rsidR="002418F8" w:rsidRPr="001008AC" w14:paraId="21CDD4DA"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8" w:type="pct"/>
            <w:tcBorders>
              <w:top w:val="single" w:sz="4" w:space="0" w:color="auto"/>
              <w:left w:val="single" w:sz="4" w:space="0" w:color="auto"/>
              <w:bottom w:val="single" w:sz="4" w:space="0" w:color="auto"/>
              <w:right w:val="single" w:sz="4" w:space="0" w:color="auto"/>
            </w:tcBorders>
            <w:noWrap/>
            <w:hideMark/>
          </w:tcPr>
          <w:p w14:paraId="73A0E184" w14:textId="77777777" w:rsidR="00CD1101" w:rsidRPr="001008AC" w:rsidRDefault="00CD1101" w:rsidP="00CE2FDF">
            <w:pPr>
              <w:tabs>
                <w:tab w:val="left" w:pos="1134"/>
              </w:tabs>
              <w:spacing w:before="0" w:line="276" w:lineRule="auto"/>
              <w:rPr>
                <w:rFonts w:ascii="Calibri" w:eastAsia="Times New Roman" w:hAnsi="Calibri" w:cs="Arial"/>
                <w:bCs w:val="0"/>
                <w:color w:val="auto"/>
                <w:lang w:eastAsia="en-AU"/>
              </w:rPr>
            </w:pPr>
            <w:r w:rsidRPr="001008AC">
              <w:rPr>
                <w:rFonts w:ascii="Calibri" w:eastAsia="Times New Roman" w:hAnsi="Calibri" w:cs="Arial"/>
                <w:bCs w:val="0"/>
                <w:color w:val="auto"/>
                <w:lang w:eastAsia="en-AU"/>
              </w:rPr>
              <w:t>Totals:</w:t>
            </w:r>
          </w:p>
        </w:tc>
        <w:tc>
          <w:tcPr>
            <w:tcW w:w="694" w:type="pct"/>
            <w:tcBorders>
              <w:top w:val="single" w:sz="4" w:space="0" w:color="auto"/>
              <w:left w:val="single" w:sz="4" w:space="0" w:color="auto"/>
              <w:bottom w:val="single" w:sz="4" w:space="0" w:color="auto"/>
            </w:tcBorders>
            <w:noWrap/>
            <w:hideMark/>
          </w:tcPr>
          <w:p w14:paraId="7DF86AED"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6</w:t>
            </w:r>
            <w:r w:rsidR="00747CDE">
              <w:rPr>
                <w:rFonts w:eastAsia="Times New Roman" w:cs="Arial"/>
                <w:b/>
                <w:color w:val="auto"/>
                <w:lang w:eastAsia="en-AU"/>
              </w:rPr>
              <w:t>,</w:t>
            </w:r>
            <w:r w:rsidRPr="00747CDE">
              <w:rPr>
                <w:rFonts w:eastAsia="Times New Roman" w:cs="Arial"/>
                <w:b/>
                <w:color w:val="auto"/>
                <w:lang w:eastAsia="en-AU"/>
              </w:rPr>
              <w:t>822</w:t>
            </w:r>
          </w:p>
        </w:tc>
        <w:tc>
          <w:tcPr>
            <w:tcW w:w="315" w:type="pct"/>
            <w:tcBorders>
              <w:top w:val="single" w:sz="4" w:space="0" w:color="auto"/>
              <w:bottom w:val="single" w:sz="4" w:space="0" w:color="auto"/>
              <w:right w:val="single" w:sz="4" w:space="0" w:color="auto"/>
            </w:tcBorders>
          </w:tcPr>
          <w:p w14:paraId="3E2B0E8B"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(45.3%)</w:t>
            </w:r>
          </w:p>
        </w:tc>
        <w:tc>
          <w:tcPr>
            <w:tcW w:w="447" w:type="pct"/>
            <w:tcBorders>
              <w:top w:val="single" w:sz="4" w:space="0" w:color="auto"/>
              <w:left w:val="single" w:sz="4" w:space="0" w:color="auto"/>
              <w:bottom w:val="single" w:sz="4" w:space="0" w:color="auto"/>
            </w:tcBorders>
            <w:noWrap/>
            <w:hideMark/>
          </w:tcPr>
          <w:p w14:paraId="14D9BB7F"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3</w:t>
            </w:r>
            <w:r w:rsidR="00747CDE">
              <w:rPr>
                <w:rFonts w:eastAsia="Times New Roman" w:cs="Arial"/>
                <w:b/>
                <w:color w:val="auto"/>
                <w:lang w:eastAsia="en-AU"/>
              </w:rPr>
              <w:t>,</w:t>
            </w:r>
            <w:r w:rsidRPr="00747CDE">
              <w:rPr>
                <w:rFonts w:eastAsia="Times New Roman" w:cs="Arial"/>
                <w:b/>
                <w:color w:val="auto"/>
                <w:lang w:eastAsia="en-AU"/>
              </w:rPr>
              <w:t>880</w:t>
            </w:r>
          </w:p>
        </w:tc>
        <w:tc>
          <w:tcPr>
            <w:tcW w:w="445" w:type="pct"/>
            <w:tcBorders>
              <w:top w:val="single" w:sz="4" w:space="0" w:color="auto"/>
              <w:bottom w:val="single" w:sz="4" w:space="0" w:color="auto"/>
              <w:right w:val="single" w:sz="4" w:space="0" w:color="auto"/>
            </w:tcBorders>
          </w:tcPr>
          <w:p w14:paraId="7FFAB82C"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(25.8%)</w:t>
            </w:r>
          </w:p>
        </w:tc>
        <w:tc>
          <w:tcPr>
            <w:tcW w:w="758" w:type="pct"/>
            <w:tcBorders>
              <w:top w:val="single" w:sz="4" w:space="0" w:color="auto"/>
              <w:left w:val="single" w:sz="4" w:space="0" w:color="auto"/>
              <w:bottom w:val="single" w:sz="4" w:space="0" w:color="auto"/>
            </w:tcBorders>
            <w:noWrap/>
            <w:hideMark/>
          </w:tcPr>
          <w:p w14:paraId="5078634C"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3</w:t>
            </w:r>
            <w:r w:rsidR="00747CDE">
              <w:rPr>
                <w:rFonts w:eastAsia="Times New Roman" w:cs="Arial"/>
                <w:b/>
                <w:color w:val="auto"/>
                <w:lang w:eastAsia="en-AU"/>
              </w:rPr>
              <w:t>,</w:t>
            </w:r>
            <w:r w:rsidRPr="00747CDE">
              <w:rPr>
                <w:rFonts w:eastAsia="Times New Roman" w:cs="Arial"/>
                <w:b/>
                <w:color w:val="auto"/>
                <w:lang w:eastAsia="en-AU"/>
              </w:rPr>
              <w:t>620</w:t>
            </w:r>
          </w:p>
        </w:tc>
        <w:tc>
          <w:tcPr>
            <w:tcW w:w="445" w:type="pct"/>
            <w:tcBorders>
              <w:top w:val="single" w:sz="4" w:space="0" w:color="auto"/>
              <w:bottom w:val="single" w:sz="4" w:space="0" w:color="auto"/>
              <w:right w:val="single" w:sz="4" w:space="0" w:color="auto"/>
            </w:tcBorders>
          </w:tcPr>
          <w:p w14:paraId="3586496E"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(24.1%)</w:t>
            </w:r>
          </w:p>
        </w:tc>
        <w:tc>
          <w:tcPr>
            <w:tcW w:w="690" w:type="pct"/>
            <w:tcBorders>
              <w:top w:val="single" w:sz="4" w:space="0" w:color="auto"/>
              <w:left w:val="single" w:sz="4" w:space="0" w:color="auto"/>
              <w:bottom w:val="single" w:sz="4" w:space="0" w:color="auto"/>
            </w:tcBorders>
            <w:noWrap/>
            <w:hideMark/>
          </w:tcPr>
          <w:p w14:paraId="7BBBCD3C"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723</w:t>
            </w:r>
          </w:p>
        </w:tc>
        <w:tc>
          <w:tcPr>
            <w:tcW w:w="391" w:type="pct"/>
            <w:tcBorders>
              <w:top w:val="single" w:sz="4" w:space="0" w:color="auto"/>
              <w:bottom w:val="single" w:sz="4" w:space="0" w:color="auto"/>
              <w:right w:val="single" w:sz="4" w:space="0" w:color="auto"/>
            </w:tcBorders>
          </w:tcPr>
          <w:p w14:paraId="6EBD738D"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(4.8%)</w:t>
            </w:r>
          </w:p>
        </w:tc>
        <w:tc>
          <w:tcPr>
            <w:tcW w:w="407" w:type="pct"/>
            <w:tcBorders>
              <w:top w:val="single" w:sz="4" w:space="0" w:color="auto"/>
              <w:left w:val="single" w:sz="4" w:space="0" w:color="auto"/>
              <w:bottom w:val="single" w:sz="4" w:space="0" w:color="auto"/>
              <w:right w:val="single" w:sz="4" w:space="0" w:color="auto"/>
            </w:tcBorders>
            <w:noWrap/>
            <w:hideMark/>
          </w:tcPr>
          <w:p w14:paraId="7506D2B1"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15</w:t>
            </w:r>
            <w:r w:rsidR="00747CDE">
              <w:rPr>
                <w:rFonts w:eastAsia="Times New Roman" w:cs="Arial"/>
                <w:b/>
                <w:color w:val="auto"/>
                <w:lang w:eastAsia="en-AU"/>
              </w:rPr>
              <w:t>,</w:t>
            </w:r>
            <w:r w:rsidRPr="00747CDE">
              <w:rPr>
                <w:rFonts w:eastAsia="Times New Roman" w:cs="Arial"/>
                <w:b/>
                <w:color w:val="auto"/>
                <w:lang w:eastAsia="en-AU"/>
              </w:rPr>
              <w:t>045</w:t>
            </w:r>
          </w:p>
        </w:tc>
      </w:tr>
    </w:tbl>
    <w:p w14:paraId="64925CB0" w14:textId="77777777" w:rsidR="005D61DD" w:rsidRPr="0006220F" w:rsidRDefault="005D61DD" w:rsidP="005E613E">
      <w:pPr>
        <w:pStyle w:val="Heading6"/>
        <w:spacing w:before="240" w:after="240"/>
      </w:pPr>
      <w:r w:rsidRPr="0006220F">
        <w:t xml:space="preserve">Line graph for table 1.26.7: Reports by nurses, by year, by abuse type </w:t>
      </w:r>
    </w:p>
    <w:p w14:paraId="5DFAABC5" w14:textId="77777777" w:rsidR="0080128E" w:rsidRDefault="00CD1101" w:rsidP="00B15586">
      <w:r w:rsidRPr="00CD1101">
        <w:rPr>
          <w:noProof/>
          <w:lang w:eastAsia="en-AU"/>
        </w:rPr>
        <w:drawing>
          <wp:inline distT="0" distB="0" distL="0" distR="0" wp14:anchorId="4714F698" wp14:editId="7690FE5A">
            <wp:extent cx="9315450" cy="1885950"/>
            <wp:effectExtent l="0" t="0" r="0" b="0"/>
            <wp:docPr id="23" name="Chart 19" descr="Shows nurses in Victoria consistently report most emotional abuse, followed by neglect, physical and sexual abuse." title="Line graph for table 1.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80128E">
        <w:br w:type="page"/>
      </w:r>
    </w:p>
    <w:p w14:paraId="749C8A9E" w14:textId="1F4604C4" w:rsidR="005D61DD" w:rsidRDefault="005D61DD" w:rsidP="0095311F">
      <w:pPr>
        <w:pStyle w:val="Figureheading"/>
      </w:pPr>
      <w:r>
        <w:lastRenderedPageBreak/>
        <w:t>1.26.8</w:t>
      </w:r>
      <w:r>
        <w:tab/>
      </w:r>
      <w:r w:rsidR="00823C08">
        <w:tab/>
      </w:r>
      <w:r>
        <w:t>Reports by nurses, by year, by outcome of reports (number and percentage)</w:t>
      </w:r>
    </w:p>
    <w:tbl>
      <w:tblPr>
        <w:tblStyle w:val="LightShading-Accent2"/>
        <w:tblW w:w="5000" w:type="pct"/>
        <w:tblLook w:val="04A0" w:firstRow="1" w:lastRow="0" w:firstColumn="1" w:lastColumn="0" w:noHBand="0" w:noVBand="1"/>
        <w:tblCaption w:val="Reports by nurses, by year, by outcome of reports (number and percentage)"/>
      </w:tblPr>
      <w:tblGrid>
        <w:gridCol w:w="1040"/>
        <w:gridCol w:w="2161"/>
        <w:gridCol w:w="1136"/>
        <w:gridCol w:w="1683"/>
        <w:gridCol w:w="1136"/>
        <w:gridCol w:w="1866"/>
        <w:gridCol w:w="1136"/>
        <w:gridCol w:w="2330"/>
        <w:gridCol w:w="1263"/>
        <w:gridCol w:w="1035"/>
      </w:tblGrid>
      <w:tr w:rsidR="002418F8" w:rsidRPr="00FC5C7E" w14:paraId="48D3A392" w14:textId="77777777" w:rsidTr="00B605CE">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47EB860" w14:textId="77777777" w:rsidR="00245C19" w:rsidRPr="00FC5C7E" w:rsidRDefault="00245C19" w:rsidP="00CE2FDF">
            <w:pPr>
              <w:tabs>
                <w:tab w:val="left" w:pos="1134"/>
              </w:tabs>
              <w:spacing w:before="0" w:line="276" w:lineRule="auto"/>
              <w:rPr>
                <w:rFonts w:eastAsia="Times New Roman" w:cs="Arial"/>
                <w:bCs w:val="0"/>
                <w:color w:val="auto"/>
                <w:lang w:eastAsia="en-AU"/>
              </w:rPr>
            </w:pPr>
          </w:p>
        </w:tc>
        <w:tc>
          <w:tcPr>
            <w:tcW w:w="731" w:type="pct"/>
            <w:tcBorders>
              <w:top w:val="single" w:sz="4" w:space="0" w:color="auto"/>
              <w:left w:val="single" w:sz="4" w:space="0" w:color="auto"/>
              <w:bottom w:val="single" w:sz="4" w:space="0" w:color="auto"/>
            </w:tcBorders>
            <w:shd w:val="clear" w:color="auto" w:fill="95B3D7" w:themeFill="accent1" w:themeFillTint="99"/>
            <w:vAlign w:val="center"/>
            <w:hideMark/>
          </w:tcPr>
          <w:p w14:paraId="7C7400C8"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investigated</w:t>
            </w:r>
          </w:p>
        </w:tc>
        <w:tc>
          <w:tcPr>
            <w:tcW w:w="384" w:type="pct"/>
            <w:tcBorders>
              <w:top w:val="single" w:sz="4" w:space="0" w:color="auto"/>
              <w:bottom w:val="single" w:sz="4" w:space="0" w:color="auto"/>
              <w:right w:val="single" w:sz="4" w:space="0" w:color="auto"/>
            </w:tcBorders>
            <w:shd w:val="clear" w:color="auto" w:fill="95B3D7" w:themeFill="accent1" w:themeFillTint="99"/>
            <w:vAlign w:val="center"/>
          </w:tcPr>
          <w:p w14:paraId="094EE48F"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569" w:type="pct"/>
            <w:tcBorders>
              <w:top w:val="single" w:sz="4" w:space="0" w:color="auto"/>
              <w:bottom w:val="single" w:sz="4" w:space="0" w:color="auto"/>
            </w:tcBorders>
            <w:shd w:val="clear" w:color="auto" w:fill="95B3D7" w:themeFill="accent1" w:themeFillTint="99"/>
            <w:vAlign w:val="center"/>
          </w:tcPr>
          <w:p w14:paraId="32A2E4A4"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Investigated</w:t>
            </w:r>
          </w:p>
        </w:tc>
        <w:tc>
          <w:tcPr>
            <w:tcW w:w="384" w:type="pct"/>
            <w:tcBorders>
              <w:top w:val="single" w:sz="4" w:space="0" w:color="auto"/>
              <w:bottom w:val="single" w:sz="4" w:space="0" w:color="auto"/>
            </w:tcBorders>
            <w:shd w:val="clear" w:color="auto" w:fill="95B3D7" w:themeFill="accent1" w:themeFillTint="99"/>
            <w:vAlign w:val="center"/>
          </w:tcPr>
          <w:p w14:paraId="2E2A453D"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631" w:type="pct"/>
            <w:tcBorders>
              <w:top w:val="single" w:sz="4" w:space="0" w:color="auto"/>
              <w:left w:val="single" w:sz="4" w:space="0" w:color="auto"/>
              <w:bottom w:val="single" w:sz="4" w:space="0" w:color="auto"/>
            </w:tcBorders>
            <w:shd w:val="clear" w:color="auto" w:fill="95B3D7" w:themeFill="accent1" w:themeFillTint="99"/>
            <w:vAlign w:val="center"/>
            <w:hideMark/>
          </w:tcPr>
          <w:p w14:paraId="26AF10F3"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Substantiated</w:t>
            </w:r>
          </w:p>
        </w:tc>
        <w:tc>
          <w:tcPr>
            <w:tcW w:w="384" w:type="pct"/>
            <w:tcBorders>
              <w:top w:val="single" w:sz="4" w:space="0" w:color="auto"/>
              <w:bottom w:val="single" w:sz="4" w:space="0" w:color="auto"/>
              <w:right w:val="single" w:sz="4" w:space="0" w:color="auto"/>
            </w:tcBorders>
            <w:shd w:val="clear" w:color="auto" w:fill="95B3D7" w:themeFill="accent1" w:themeFillTint="99"/>
            <w:vAlign w:val="center"/>
          </w:tcPr>
          <w:p w14:paraId="252A0150"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788" w:type="pct"/>
            <w:tcBorders>
              <w:top w:val="single" w:sz="4" w:space="0" w:color="auto"/>
              <w:left w:val="single" w:sz="4" w:space="0" w:color="auto"/>
              <w:bottom w:val="single" w:sz="4" w:space="0" w:color="auto"/>
            </w:tcBorders>
            <w:shd w:val="clear" w:color="auto" w:fill="95B3D7" w:themeFill="accent1" w:themeFillTint="99"/>
            <w:vAlign w:val="center"/>
            <w:hideMark/>
          </w:tcPr>
          <w:p w14:paraId="57811508"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substantiated</w:t>
            </w:r>
          </w:p>
        </w:tc>
        <w:tc>
          <w:tcPr>
            <w:tcW w:w="427" w:type="pct"/>
            <w:tcBorders>
              <w:top w:val="single" w:sz="4" w:space="0" w:color="auto"/>
              <w:bottom w:val="single" w:sz="4" w:space="0" w:color="auto"/>
              <w:right w:val="single" w:sz="4" w:space="0" w:color="auto"/>
            </w:tcBorders>
            <w:shd w:val="clear" w:color="auto" w:fill="95B3D7" w:themeFill="accent1" w:themeFillTint="99"/>
            <w:vAlign w:val="center"/>
          </w:tcPr>
          <w:p w14:paraId="0E10ABE0" w14:textId="77777777" w:rsidR="00245C19" w:rsidRPr="00FC5C7E" w:rsidRDefault="00245C19" w:rsidP="00CE2FDF">
            <w:pPr>
              <w:tabs>
                <w:tab w:val="left" w:pos="1134"/>
              </w:tabs>
              <w:spacing w:before="0" w:line="276" w:lineRule="auto"/>
              <w:ind w:right="-108"/>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09E6D4B" w14:textId="77777777" w:rsidR="00245C19" w:rsidRPr="00FC5C7E" w:rsidRDefault="00245C19"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Total</w:t>
            </w:r>
          </w:p>
        </w:tc>
      </w:tr>
      <w:tr w:rsidR="002418F8" w:rsidRPr="00FC5C7E" w14:paraId="509F882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right w:val="single" w:sz="4" w:space="0" w:color="auto"/>
            </w:tcBorders>
            <w:shd w:val="clear" w:color="auto" w:fill="DBE5F1" w:themeFill="accent1" w:themeFillTint="33"/>
            <w:noWrap/>
          </w:tcPr>
          <w:p w14:paraId="7A370342"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2003</w:t>
            </w:r>
          </w:p>
        </w:tc>
        <w:tc>
          <w:tcPr>
            <w:tcW w:w="731" w:type="pct"/>
            <w:tcBorders>
              <w:top w:val="single" w:sz="4" w:space="0" w:color="auto"/>
              <w:left w:val="single" w:sz="4" w:space="0" w:color="auto"/>
            </w:tcBorders>
            <w:shd w:val="clear" w:color="auto" w:fill="DBE5F1" w:themeFill="accent1" w:themeFillTint="33"/>
            <w:noWrap/>
            <w:hideMark/>
          </w:tcPr>
          <w:p w14:paraId="2B84F868"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757</w:t>
            </w:r>
          </w:p>
        </w:tc>
        <w:tc>
          <w:tcPr>
            <w:tcW w:w="384" w:type="pct"/>
            <w:tcBorders>
              <w:top w:val="single" w:sz="4" w:space="0" w:color="auto"/>
              <w:right w:val="single" w:sz="4" w:space="0" w:color="auto"/>
            </w:tcBorders>
            <w:shd w:val="clear" w:color="auto" w:fill="DBE5F1" w:themeFill="accent1" w:themeFillTint="33"/>
          </w:tcPr>
          <w:p w14:paraId="273A8A52"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(55.5%)</w:t>
            </w:r>
          </w:p>
        </w:tc>
        <w:tc>
          <w:tcPr>
            <w:tcW w:w="569" w:type="pct"/>
            <w:tcBorders>
              <w:top w:val="single" w:sz="4" w:space="0" w:color="auto"/>
            </w:tcBorders>
            <w:shd w:val="clear" w:color="auto" w:fill="DBE5F1" w:themeFill="accent1" w:themeFillTint="33"/>
          </w:tcPr>
          <w:p w14:paraId="0BD92BC8"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607</w:t>
            </w:r>
          </w:p>
        </w:tc>
        <w:tc>
          <w:tcPr>
            <w:tcW w:w="384" w:type="pct"/>
            <w:tcBorders>
              <w:top w:val="single" w:sz="4" w:space="0" w:color="auto"/>
            </w:tcBorders>
            <w:shd w:val="clear" w:color="auto" w:fill="DBE5F1" w:themeFill="accent1" w:themeFillTint="33"/>
          </w:tcPr>
          <w:p w14:paraId="25714FC8"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(44.5%)</w:t>
            </w:r>
          </w:p>
        </w:tc>
        <w:tc>
          <w:tcPr>
            <w:tcW w:w="631" w:type="pct"/>
            <w:tcBorders>
              <w:top w:val="single" w:sz="4" w:space="0" w:color="auto"/>
              <w:left w:val="single" w:sz="4" w:space="0" w:color="auto"/>
            </w:tcBorders>
            <w:shd w:val="clear" w:color="auto" w:fill="DBE5F1" w:themeFill="accent1" w:themeFillTint="33"/>
            <w:noWrap/>
            <w:hideMark/>
          </w:tcPr>
          <w:p w14:paraId="070E6102"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398</w:t>
            </w:r>
          </w:p>
        </w:tc>
        <w:tc>
          <w:tcPr>
            <w:tcW w:w="384" w:type="pct"/>
            <w:tcBorders>
              <w:top w:val="single" w:sz="4" w:space="0" w:color="auto"/>
              <w:right w:val="single" w:sz="4" w:space="0" w:color="auto"/>
            </w:tcBorders>
            <w:shd w:val="clear" w:color="auto" w:fill="DBE5F1" w:themeFill="accent1" w:themeFillTint="33"/>
          </w:tcPr>
          <w:p w14:paraId="4DAC49CA"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(29.2%)</w:t>
            </w:r>
          </w:p>
        </w:tc>
        <w:tc>
          <w:tcPr>
            <w:tcW w:w="788" w:type="pct"/>
            <w:tcBorders>
              <w:top w:val="single" w:sz="4" w:space="0" w:color="auto"/>
              <w:left w:val="single" w:sz="4" w:space="0" w:color="auto"/>
            </w:tcBorders>
            <w:shd w:val="clear" w:color="auto" w:fill="DBE5F1" w:themeFill="accent1" w:themeFillTint="33"/>
            <w:noWrap/>
            <w:hideMark/>
          </w:tcPr>
          <w:p w14:paraId="6597AFD5"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209</w:t>
            </w:r>
          </w:p>
        </w:tc>
        <w:tc>
          <w:tcPr>
            <w:tcW w:w="427" w:type="pct"/>
            <w:tcBorders>
              <w:top w:val="single" w:sz="4" w:space="0" w:color="auto"/>
              <w:right w:val="single" w:sz="4" w:space="0" w:color="auto"/>
            </w:tcBorders>
            <w:shd w:val="clear" w:color="auto" w:fill="DBE5F1" w:themeFill="accent1" w:themeFillTint="33"/>
            <w:vAlign w:val="center"/>
          </w:tcPr>
          <w:p w14:paraId="07417C56"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15.32%</w:t>
            </w:r>
            <w:r>
              <w:rPr>
                <w:rFonts w:ascii="Calibri" w:hAnsi="Calibri"/>
                <w:color w:val="auto"/>
              </w:rPr>
              <w:t>)</w:t>
            </w:r>
          </w:p>
        </w:tc>
        <w:tc>
          <w:tcPr>
            <w:tcW w:w="352" w:type="pct"/>
            <w:tcBorders>
              <w:top w:val="single" w:sz="4" w:space="0" w:color="auto"/>
              <w:left w:val="single" w:sz="4" w:space="0" w:color="auto"/>
              <w:right w:val="single" w:sz="4" w:space="0" w:color="auto"/>
            </w:tcBorders>
            <w:shd w:val="clear" w:color="auto" w:fill="DBE5F1" w:themeFill="accent1" w:themeFillTint="33"/>
          </w:tcPr>
          <w:p w14:paraId="764BAFAD"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364</w:t>
            </w:r>
          </w:p>
        </w:tc>
      </w:tr>
      <w:tr w:rsidR="00EB4A8B" w:rsidRPr="00FC5C7E" w14:paraId="10BF2381"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1336B681"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2004</w:t>
            </w:r>
          </w:p>
        </w:tc>
        <w:tc>
          <w:tcPr>
            <w:tcW w:w="731" w:type="pct"/>
            <w:tcBorders>
              <w:left w:val="single" w:sz="4" w:space="0" w:color="auto"/>
            </w:tcBorders>
            <w:noWrap/>
            <w:hideMark/>
          </w:tcPr>
          <w:p w14:paraId="35043C25"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792</w:t>
            </w:r>
          </w:p>
        </w:tc>
        <w:tc>
          <w:tcPr>
            <w:tcW w:w="384" w:type="pct"/>
            <w:tcBorders>
              <w:right w:val="single" w:sz="4" w:space="0" w:color="auto"/>
            </w:tcBorders>
          </w:tcPr>
          <w:p w14:paraId="7E8423A4"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(57%)</w:t>
            </w:r>
          </w:p>
        </w:tc>
        <w:tc>
          <w:tcPr>
            <w:tcW w:w="569" w:type="pct"/>
            <w:tcBorders>
              <w:right w:val="nil"/>
            </w:tcBorders>
          </w:tcPr>
          <w:p w14:paraId="2E58405E"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598</w:t>
            </w:r>
          </w:p>
        </w:tc>
        <w:tc>
          <w:tcPr>
            <w:tcW w:w="384" w:type="pct"/>
            <w:tcBorders>
              <w:left w:val="nil"/>
            </w:tcBorders>
          </w:tcPr>
          <w:p w14:paraId="0AAA1E4F"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(43%)</w:t>
            </w:r>
          </w:p>
        </w:tc>
        <w:tc>
          <w:tcPr>
            <w:tcW w:w="631" w:type="pct"/>
            <w:tcBorders>
              <w:left w:val="single" w:sz="4" w:space="0" w:color="auto"/>
            </w:tcBorders>
            <w:noWrap/>
            <w:hideMark/>
          </w:tcPr>
          <w:p w14:paraId="3B596D1A"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418</w:t>
            </w:r>
          </w:p>
        </w:tc>
        <w:tc>
          <w:tcPr>
            <w:tcW w:w="384" w:type="pct"/>
            <w:tcBorders>
              <w:right w:val="single" w:sz="4" w:space="0" w:color="auto"/>
            </w:tcBorders>
          </w:tcPr>
          <w:p w14:paraId="70BB6552"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(30.1%)</w:t>
            </w:r>
          </w:p>
        </w:tc>
        <w:tc>
          <w:tcPr>
            <w:tcW w:w="788" w:type="pct"/>
            <w:tcBorders>
              <w:left w:val="single" w:sz="4" w:space="0" w:color="auto"/>
              <w:right w:val="nil"/>
            </w:tcBorders>
            <w:noWrap/>
            <w:hideMark/>
          </w:tcPr>
          <w:p w14:paraId="602AE3B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180</w:t>
            </w:r>
          </w:p>
        </w:tc>
        <w:tc>
          <w:tcPr>
            <w:tcW w:w="427" w:type="pct"/>
            <w:tcBorders>
              <w:left w:val="nil"/>
              <w:right w:val="single" w:sz="4" w:space="0" w:color="auto"/>
            </w:tcBorders>
            <w:vAlign w:val="center"/>
          </w:tcPr>
          <w:p w14:paraId="686DBC2A"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12.95%</w:t>
            </w:r>
            <w:r>
              <w:rPr>
                <w:rFonts w:ascii="Calibri" w:hAnsi="Calibri"/>
                <w:color w:val="auto"/>
              </w:rPr>
              <w:t>)</w:t>
            </w:r>
          </w:p>
        </w:tc>
        <w:tc>
          <w:tcPr>
            <w:tcW w:w="352" w:type="pct"/>
            <w:tcBorders>
              <w:left w:val="single" w:sz="4" w:space="0" w:color="auto"/>
              <w:right w:val="single" w:sz="4" w:space="0" w:color="auto"/>
            </w:tcBorders>
          </w:tcPr>
          <w:p w14:paraId="54D8804E" w14:textId="77777777" w:rsidR="00EB4A8B" w:rsidRPr="00747CDE"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390</w:t>
            </w:r>
          </w:p>
        </w:tc>
      </w:tr>
      <w:tr w:rsidR="00C84E96" w:rsidRPr="00FC5C7E" w14:paraId="4609B017"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0FC1C650"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2005</w:t>
            </w:r>
          </w:p>
        </w:tc>
        <w:tc>
          <w:tcPr>
            <w:tcW w:w="731" w:type="pct"/>
            <w:tcBorders>
              <w:left w:val="single" w:sz="4" w:space="0" w:color="auto"/>
            </w:tcBorders>
            <w:shd w:val="clear" w:color="auto" w:fill="DBE5F1" w:themeFill="accent1" w:themeFillTint="33"/>
            <w:noWrap/>
            <w:hideMark/>
          </w:tcPr>
          <w:p w14:paraId="17E19241"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747</w:t>
            </w:r>
          </w:p>
        </w:tc>
        <w:tc>
          <w:tcPr>
            <w:tcW w:w="384" w:type="pct"/>
            <w:tcBorders>
              <w:right w:val="single" w:sz="4" w:space="0" w:color="auto"/>
            </w:tcBorders>
            <w:shd w:val="clear" w:color="auto" w:fill="DBE5F1" w:themeFill="accent1" w:themeFillTint="33"/>
          </w:tcPr>
          <w:p w14:paraId="43B47B0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(55.1%)</w:t>
            </w:r>
          </w:p>
        </w:tc>
        <w:tc>
          <w:tcPr>
            <w:tcW w:w="569" w:type="pct"/>
            <w:shd w:val="clear" w:color="auto" w:fill="DBE5F1" w:themeFill="accent1" w:themeFillTint="33"/>
          </w:tcPr>
          <w:p w14:paraId="7DE01327"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609</w:t>
            </w:r>
          </w:p>
        </w:tc>
        <w:tc>
          <w:tcPr>
            <w:tcW w:w="384" w:type="pct"/>
            <w:shd w:val="clear" w:color="auto" w:fill="DBE5F1" w:themeFill="accent1" w:themeFillTint="33"/>
          </w:tcPr>
          <w:p w14:paraId="184BC30B"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(44.1%)</w:t>
            </w:r>
          </w:p>
        </w:tc>
        <w:tc>
          <w:tcPr>
            <w:tcW w:w="631" w:type="pct"/>
            <w:tcBorders>
              <w:left w:val="single" w:sz="4" w:space="0" w:color="auto"/>
            </w:tcBorders>
            <w:shd w:val="clear" w:color="auto" w:fill="DBE5F1" w:themeFill="accent1" w:themeFillTint="33"/>
            <w:noWrap/>
            <w:hideMark/>
          </w:tcPr>
          <w:p w14:paraId="2D864AD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450</w:t>
            </w:r>
          </w:p>
        </w:tc>
        <w:tc>
          <w:tcPr>
            <w:tcW w:w="384" w:type="pct"/>
            <w:tcBorders>
              <w:right w:val="single" w:sz="4" w:space="0" w:color="auto"/>
            </w:tcBorders>
            <w:shd w:val="clear" w:color="auto" w:fill="DBE5F1" w:themeFill="accent1" w:themeFillTint="33"/>
          </w:tcPr>
          <w:p w14:paraId="13F2361C"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(33.2%)</w:t>
            </w:r>
          </w:p>
        </w:tc>
        <w:tc>
          <w:tcPr>
            <w:tcW w:w="788" w:type="pct"/>
            <w:tcBorders>
              <w:left w:val="single" w:sz="4" w:space="0" w:color="auto"/>
            </w:tcBorders>
            <w:shd w:val="clear" w:color="auto" w:fill="DBE5F1" w:themeFill="accent1" w:themeFillTint="33"/>
            <w:noWrap/>
            <w:hideMark/>
          </w:tcPr>
          <w:p w14:paraId="4E128A6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159</w:t>
            </w:r>
          </w:p>
        </w:tc>
        <w:tc>
          <w:tcPr>
            <w:tcW w:w="427" w:type="pct"/>
            <w:tcBorders>
              <w:right w:val="single" w:sz="4" w:space="0" w:color="auto"/>
            </w:tcBorders>
            <w:shd w:val="clear" w:color="auto" w:fill="DBE5F1" w:themeFill="accent1" w:themeFillTint="33"/>
            <w:vAlign w:val="center"/>
          </w:tcPr>
          <w:p w14:paraId="3853FD57"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11.73%</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092AB260"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356</w:t>
            </w:r>
          </w:p>
        </w:tc>
      </w:tr>
      <w:tr w:rsidR="00EB4A8B" w:rsidRPr="00FC5C7E" w14:paraId="1EE88083"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7CB54A6D"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2006</w:t>
            </w:r>
          </w:p>
        </w:tc>
        <w:tc>
          <w:tcPr>
            <w:tcW w:w="731" w:type="pct"/>
            <w:tcBorders>
              <w:left w:val="single" w:sz="4" w:space="0" w:color="auto"/>
            </w:tcBorders>
            <w:noWrap/>
            <w:hideMark/>
          </w:tcPr>
          <w:p w14:paraId="51F54343"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819</w:t>
            </w:r>
          </w:p>
        </w:tc>
        <w:tc>
          <w:tcPr>
            <w:tcW w:w="384" w:type="pct"/>
            <w:tcBorders>
              <w:right w:val="single" w:sz="4" w:space="0" w:color="auto"/>
            </w:tcBorders>
          </w:tcPr>
          <w:p w14:paraId="4922515B"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(59%)</w:t>
            </w:r>
          </w:p>
        </w:tc>
        <w:tc>
          <w:tcPr>
            <w:tcW w:w="569" w:type="pct"/>
            <w:tcBorders>
              <w:right w:val="nil"/>
            </w:tcBorders>
          </w:tcPr>
          <w:p w14:paraId="4497FF1A"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571</w:t>
            </w:r>
          </w:p>
        </w:tc>
        <w:tc>
          <w:tcPr>
            <w:tcW w:w="384" w:type="pct"/>
            <w:tcBorders>
              <w:left w:val="nil"/>
            </w:tcBorders>
          </w:tcPr>
          <w:p w14:paraId="162269A1"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(41.1%)</w:t>
            </w:r>
          </w:p>
        </w:tc>
        <w:tc>
          <w:tcPr>
            <w:tcW w:w="631" w:type="pct"/>
            <w:tcBorders>
              <w:left w:val="single" w:sz="4" w:space="0" w:color="auto"/>
            </w:tcBorders>
            <w:noWrap/>
            <w:hideMark/>
          </w:tcPr>
          <w:p w14:paraId="413B0F85"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390</w:t>
            </w:r>
          </w:p>
        </w:tc>
        <w:tc>
          <w:tcPr>
            <w:tcW w:w="384" w:type="pct"/>
            <w:tcBorders>
              <w:right w:val="single" w:sz="4" w:space="0" w:color="auto"/>
            </w:tcBorders>
          </w:tcPr>
          <w:p w14:paraId="11CF267A"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(28.1%)</w:t>
            </w:r>
          </w:p>
        </w:tc>
        <w:tc>
          <w:tcPr>
            <w:tcW w:w="788" w:type="pct"/>
            <w:tcBorders>
              <w:left w:val="single" w:sz="4" w:space="0" w:color="auto"/>
              <w:right w:val="nil"/>
            </w:tcBorders>
            <w:noWrap/>
            <w:hideMark/>
          </w:tcPr>
          <w:p w14:paraId="5303E2E5"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181</w:t>
            </w:r>
          </w:p>
        </w:tc>
        <w:tc>
          <w:tcPr>
            <w:tcW w:w="427" w:type="pct"/>
            <w:tcBorders>
              <w:left w:val="nil"/>
              <w:right w:val="single" w:sz="4" w:space="0" w:color="auto"/>
            </w:tcBorders>
            <w:vAlign w:val="center"/>
          </w:tcPr>
          <w:p w14:paraId="57245D75"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13.02%</w:t>
            </w:r>
            <w:r>
              <w:rPr>
                <w:rFonts w:ascii="Calibri" w:hAnsi="Calibri"/>
                <w:color w:val="auto"/>
              </w:rPr>
              <w:t>)</w:t>
            </w:r>
          </w:p>
        </w:tc>
        <w:tc>
          <w:tcPr>
            <w:tcW w:w="352" w:type="pct"/>
            <w:tcBorders>
              <w:left w:val="single" w:sz="4" w:space="0" w:color="auto"/>
              <w:right w:val="single" w:sz="4" w:space="0" w:color="auto"/>
            </w:tcBorders>
          </w:tcPr>
          <w:p w14:paraId="29222B6B" w14:textId="77777777" w:rsidR="00EB4A8B" w:rsidRPr="00747CDE"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390</w:t>
            </w:r>
          </w:p>
        </w:tc>
      </w:tr>
      <w:tr w:rsidR="00C84E96" w:rsidRPr="00FC5C7E" w14:paraId="059409A0"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5896F6DB"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2007</w:t>
            </w:r>
          </w:p>
        </w:tc>
        <w:tc>
          <w:tcPr>
            <w:tcW w:w="731" w:type="pct"/>
            <w:tcBorders>
              <w:left w:val="single" w:sz="4" w:space="0" w:color="auto"/>
            </w:tcBorders>
            <w:shd w:val="clear" w:color="auto" w:fill="DBE5F1" w:themeFill="accent1" w:themeFillTint="33"/>
            <w:noWrap/>
            <w:hideMark/>
          </w:tcPr>
          <w:p w14:paraId="32892486"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802</w:t>
            </w:r>
          </w:p>
        </w:tc>
        <w:tc>
          <w:tcPr>
            <w:tcW w:w="384" w:type="pct"/>
            <w:tcBorders>
              <w:right w:val="single" w:sz="4" w:space="0" w:color="auto"/>
            </w:tcBorders>
            <w:shd w:val="clear" w:color="auto" w:fill="DBE5F1" w:themeFill="accent1" w:themeFillTint="33"/>
          </w:tcPr>
          <w:p w14:paraId="524AF0E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(58.5%)</w:t>
            </w:r>
          </w:p>
        </w:tc>
        <w:tc>
          <w:tcPr>
            <w:tcW w:w="569" w:type="pct"/>
            <w:shd w:val="clear" w:color="auto" w:fill="DBE5F1" w:themeFill="accent1" w:themeFillTint="33"/>
          </w:tcPr>
          <w:p w14:paraId="2008F862"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570</w:t>
            </w:r>
          </w:p>
        </w:tc>
        <w:tc>
          <w:tcPr>
            <w:tcW w:w="384" w:type="pct"/>
            <w:shd w:val="clear" w:color="auto" w:fill="DBE5F1" w:themeFill="accent1" w:themeFillTint="33"/>
          </w:tcPr>
          <w:p w14:paraId="132D83F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(41.5%)</w:t>
            </w:r>
          </w:p>
        </w:tc>
        <w:tc>
          <w:tcPr>
            <w:tcW w:w="631" w:type="pct"/>
            <w:tcBorders>
              <w:left w:val="single" w:sz="4" w:space="0" w:color="auto"/>
            </w:tcBorders>
            <w:shd w:val="clear" w:color="auto" w:fill="DBE5F1" w:themeFill="accent1" w:themeFillTint="33"/>
            <w:noWrap/>
            <w:hideMark/>
          </w:tcPr>
          <w:p w14:paraId="542D908C"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393</w:t>
            </w:r>
          </w:p>
        </w:tc>
        <w:tc>
          <w:tcPr>
            <w:tcW w:w="384" w:type="pct"/>
            <w:tcBorders>
              <w:right w:val="single" w:sz="4" w:space="0" w:color="auto"/>
            </w:tcBorders>
            <w:shd w:val="clear" w:color="auto" w:fill="DBE5F1" w:themeFill="accent1" w:themeFillTint="33"/>
          </w:tcPr>
          <w:p w14:paraId="730F2C90"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(28.6%)</w:t>
            </w:r>
          </w:p>
        </w:tc>
        <w:tc>
          <w:tcPr>
            <w:tcW w:w="788" w:type="pct"/>
            <w:tcBorders>
              <w:left w:val="single" w:sz="4" w:space="0" w:color="auto"/>
            </w:tcBorders>
            <w:shd w:val="clear" w:color="auto" w:fill="DBE5F1" w:themeFill="accent1" w:themeFillTint="33"/>
            <w:noWrap/>
            <w:hideMark/>
          </w:tcPr>
          <w:p w14:paraId="282D8B1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177</w:t>
            </w:r>
          </w:p>
        </w:tc>
        <w:tc>
          <w:tcPr>
            <w:tcW w:w="427" w:type="pct"/>
            <w:tcBorders>
              <w:right w:val="single" w:sz="4" w:space="0" w:color="auto"/>
            </w:tcBorders>
            <w:shd w:val="clear" w:color="auto" w:fill="DBE5F1" w:themeFill="accent1" w:themeFillTint="33"/>
            <w:vAlign w:val="center"/>
          </w:tcPr>
          <w:p w14:paraId="763EF302"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12.90%</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67FD9041"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372</w:t>
            </w:r>
          </w:p>
        </w:tc>
      </w:tr>
      <w:tr w:rsidR="00EB4A8B" w:rsidRPr="00FC5C7E" w14:paraId="092AE5D6"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1B41E3D8"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2008</w:t>
            </w:r>
          </w:p>
        </w:tc>
        <w:tc>
          <w:tcPr>
            <w:tcW w:w="731" w:type="pct"/>
            <w:tcBorders>
              <w:left w:val="single" w:sz="4" w:space="0" w:color="auto"/>
            </w:tcBorders>
            <w:noWrap/>
            <w:hideMark/>
          </w:tcPr>
          <w:p w14:paraId="49CE8918"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838</w:t>
            </w:r>
          </w:p>
        </w:tc>
        <w:tc>
          <w:tcPr>
            <w:tcW w:w="384" w:type="pct"/>
            <w:tcBorders>
              <w:right w:val="single" w:sz="4" w:space="0" w:color="auto"/>
            </w:tcBorders>
          </w:tcPr>
          <w:p w14:paraId="136E3D55"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(58.3%)</w:t>
            </w:r>
          </w:p>
        </w:tc>
        <w:tc>
          <w:tcPr>
            <w:tcW w:w="569" w:type="pct"/>
            <w:tcBorders>
              <w:right w:val="nil"/>
            </w:tcBorders>
          </w:tcPr>
          <w:p w14:paraId="073390AB"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600</w:t>
            </w:r>
          </w:p>
        </w:tc>
        <w:tc>
          <w:tcPr>
            <w:tcW w:w="384" w:type="pct"/>
            <w:tcBorders>
              <w:left w:val="nil"/>
            </w:tcBorders>
          </w:tcPr>
          <w:p w14:paraId="604198BB"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(41.7%)</w:t>
            </w:r>
          </w:p>
        </w:tc>
        <w:tc>
          <w:tcPr>
            <w:tcW w:w="631" w:type="pct"/>
            <w:tcBorders>
              <w:left w:val="single" w:sz="4" w:space="0" w:color="auto"/>
            </w:tcBorders>
            <w:noWrap/>
            <w:hideMark/>
          </w:tcPr>
          <w:p w14:paraId="4F8D2901"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369</w:t>
            </w:r>
          </w:p>
        </w:tc>
        <w:tc>
          <w:tcPr>
            <w:tcW w:w="384" w:type="pct"/>
            <w:tcBorders>
              <w:right w:val="single" w:sz="4" w:space="0" w:color="auto"/>
            </w:tcBorders>
          </w:tcPr>
          <w:p w14:paraId="756AFADB"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(25.7%)</w:t>
            </w:r>
          </w:p>
        </w:tc>
        <w:tc>
          <w:tcPr>
            <w:tcW w:w="788" w:type="pct"/>
            <w:tcBorders>
              <w:left w:val="single" w:sz="4" w:space="0" w:color="auto"/>
              <w:right w:val="nil"/>
            </w:tcBorders>
            <w:noWrap/>
            <w:hideMark/>
          </w:tcPr>
          <w:p w14:paraId="2426883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231</w:t>
            </w:r>
          </w:p>
        </w:tc>
        <w:tc>
          <w:tcPr>
            <w:tcW w:w="427" w:type="pct"/>
            <w:tcBorders>
              <w:left w:val="nil"/>
              <w:right w:val="single" w:sz="4" w:space="0" w:color="auto"/>
            </w:tcBorders>
            <w:vAlign w:val="center"/>
          </w:tcPr>
          <w:p w14:paraId="7543712D"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16.06%</w:t>
            </w:r>
            <w:r>
              <w:rPr>
                <w:rFonts w:ascii="Calibri" w:hAnsi="Calibri"/>
                <w:color w:val="auto"/>
              </w:rPr>
              <w:t>)</w:t>
            </w:r>
          </w:p>
        </w:tc>
        <w:tc>
          <w:tcPr>
            <w:tcW w:w="352" w:type="pct"/>
            <w:tcBorders>
              <w:left w:val="single" w:sz="4" w:space="0" w:color="auto"/>
              <w:right w:val="single" w:sz="4" w:space="0" w:color="auto"/>
            </w:tcBorders>
          </w:tcPr>
          <w:p w14:paraId="3759C016" w14:textId="77777777" w:rsidR="00EB4A8B" w:rsidRPr="00747CDE"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438</w:t>
            </w:r>
          </w:p>
        </w:tc>
      </w:tr>
      <w:tr w:rsidR="00C84E96" w:rsidRPr="00FC5C7E" w14:paraId="42F48D32"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4DBFEE0D"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2009</w:t>
            </w:r>
          </w:p>
        </w:tc>
        <w:tc>
          <w:tcPr>
            <w:tcW w:w="731" w:type="pct"/>
            <w:tcBorders>
              <w:left w:val="single" w:sz="4" w:space="0" w:color="auto"/>
            </w:tcBorders>
            <w:shd w:val="clear" w:color="auto" w:fill="DBE5F1" w:themeFill="accent1" w:themeFillTint="33"/>
            <w:noWrap/>
            <w:hideMark/>
          </w:tcPr>
          <w:p w14:paraId="571C421C"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744</w:t>
            </w:r>
          </w:p>
        </w:tc>
        <w:tc>
          <w:tcPr>
            <w:tcW w:w="384" w:type="pct"/>
            <w:tcBorders>
              <w:right w:val="single" w:sz="4" w:space="0" w:color="auto"/>
            </w:tcBorders>
            <w:shd w:val="clear" w:color="auto" w:fill="DBE5F1" w:themeFill="accent1" w:themeFillTint="33"/>
          </w:tcPr>
          <w:p w14:paraId="722120C2"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(59.1%)</w:t>
            </w:r>
          </w:p>
        </w:tc>
        <w:tc>
          <w:tcPr>
            <w:tcW w:w="569" w:type="pct"/>
            <w:shd w:val="clear" w:color="auto" w:fill="DBE5F1" w:themeFill="accent1" w:themeFillTint="33"/>
          </w:tcPr>
          <w:p w14:paraId="7BF2A497"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515</w:t>
            </w:r>
          </w:p>
        </w:tc>
        <w:tc>
          <w:tcPr>
            <w:tcW w:w="384" w:type="pct"/>
            <w:shd w:val="clear" w:color="auto" w:fill="DBE5F1" w:themeFill="accent1" w:themeFillTint="33"/>
          </w:tcPr>
          <w:p w14:paraId="26A12746"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(40.9%)</w:t>
            </w:r>
          </w:p>
        </w:tc>
        <w:tc>
          <w:tcPr>
            <w:tcW w:w="631" w:type="pct"/>
            <w:tcBorders>
              <w:left w:val="single" w:sz="4" w:space="0" w:color="auto"/>
            </w:tcBorders>
            <w:shd w:val="clear" w:color="auto" w:fill="DBE5F1" w:themeFill="accent1" w:themeFillTint="33"/>
            <w:noWrap/>
            <w:hideMark/>
          </w:tcPr>
          <w:p w14:paraId="0F6C69F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331</w:t>
            </w:r>
          </w:p>
        </w:tc>
        <w:tc>
          <w:tcPr>
            <w:tcW w:w="384" w:type="pct"/>
            <w:tcBorders>
              <w:right w:val="single" w:sz="4" w:space="0" w:color="auto"/>
            </w:tcBorders>
            <w:shd w:val="clear" w:color="auto" w:fill="DBE5F1" w:themeFill="accent1" w:themeFillTint="33"/>
          </w:tcPr>
          <w:p w14:paraId="4D2B0CA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(26.3%)</w:t>
            </w:r>
          </w:p>
        </w:tc>
        <w:tc>
          <w:tcPr>
            <w:tcW w:w="788" w:type="pct"/>
            <w:tcBorders>
              <w:left w:val="single" w:sz="4" w:space="0" w:color="auto"/>
            </w:tcBorders>
            <w:shd w:val="clear" w:color="auto" w:fill="DBE5F1" w:themeFill="accent1" w:themeFillTint="33"/>
            <w:noWrap/>
            <w:hideMark/>
          </w:tcPr>
          <w:p w14:paraId="0790C17B"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184</w:t>
            </w:r>
          </w:p>
        </w:tc>
        <w:tc>
          <w:tcPr>
            <w:tcW w:w="427" w:type="pct"/>
            <w:tcBorders>
              <w:right w:val="single" w:sz="4" w:space="0" w:color="auto"/>
            </w:tcBorders>
            <w:shd w:val="clear" w:color="auto" w:fill="DBE5F1" w:themeFill="accent1" w:themeFillTint="33"/>
            <w:vAlign w:val="center"/>
          </w:tcPr>
          <w:p w14:paraId="575B2D40"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14.61%</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5FE3D879"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259</w:t>
            </w:r>
          </w:p>
        </w:tc>
      </w:tr>
      <w:tr w:rsidR="00EB4A8B" w:rsidRPr="00FC5C7E" w14:paraId="0DFA259C"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3AD99EF1"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2010</w:t>
            </w:r>
          </w:p>
        </w:tc>
        <w:tc>
          <w:tcPr>
            <w:tcW w:w="731" w:type="pct"/>
            <w:tcBorders>
              <w:left w:val="single" w:sz="4" w:space="0" w:color="auto"/>
            </w:tcBorders>
            <w:noWrap/>
            <w:hideMark/>
          </w:tcPr>
          <w:p w14:paraId="49B34CFB"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968</w:t>
            </w:r>
          </w:p>
        </w:tc>
        <w:tc>
          <w:tcPr>
            <w:tcW w:w="384" w:type="pct"/>
            <w:tcBorders>
              <w:right w:val="single" w:sz="4" w:space="0" w:color="auto"/>
            </w:tcBorders>
          </w:tcPr>
          <w:p w14:paraId="7E9D1352"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(60.2%)</w:t>
            </w:r>
          </w:p>
        </w:tc>
        <w:tc>
          <w:tcPr>
            <w:tcW w:w="569" w:type="pct"/>
            <w:tcBorders>
              <w:right w:val="nil"/>
            </w:tcBorders>
          </w:tcPr>
          <w:p w14:paraId="6AFB1E55"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640</w:t>
            </w:r>
          </w:p>
        </w:tc>
        <w:tc>
          <w:tcPr>
            <w:tcW w:w="384" w:type="pct"/>
            <w:tcBorders>
              <w:left w:val="nil"/>
            </w:tcBorders>
          </w:tcPr>
          <w:p w14:paraId="3EC7924C"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(39.8%)</w:t>
            </w:r>
          </w:p>
        </w:tc>
        <w:tc>
          <w:tcPr>
            <w:tcW w:w="631" w:type="pct"/>
            <w:tcBorders>
              <w:left w:val="single" w:sz="4" w:space="0" w:color="auto"/>
            </w:tcBorders>
            <w:noWrap/>
            <w:hideMark/>
          </w:tcPr>
          <w:p w14:paraId="09444B59"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371</w:t>
            </w:r>
          </w:p>
        </w:tc>
        <w:tc>
          <w:tcPr>
            <w:tcW w:w="384" w:type="pct"/>
            <w:tcBorders>
              <w:right w:val="single" w:sz="4" w:space="0" w:color="auto"/>
            </w:tcBorders>
          </w:tcPr>
          <w:p w14:paraId="1C0B51BA"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(23.1%)</w:t>
            </w:r>
          </w:p>
        </w:tc>
        <w:tc>
          <w:tcPr>
            <w:tcW w:w="788" w:type="pct"/>
            <w:tcBorders>
              <w:left w:val="single" w:sz="4" w:space="0" w:color="auto"/>
              <w:right w:val="nil"/>
            </w:tcBorders>
            <w:noWrap/>
            <w:hideMark/>
          </w:tcPr>
          <w:p w14:paraId="794B0F7A"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269</w:t>
            </w:r>
          </w:p>
        </w:tc>
        <w:tc>
          <w:tcPr>
            <w:tcW w:w="427" w:type="pct"/>
            <w:tcBorders>
              <w:left w:val="nil"/>
              <w:right w:val="single" w:sz="4" w:space="0" w:color="auto"/>
            </w:tcBorders>
            <w:vAlign w:val="center"/>
          </w:tcPr>
          <w:p w14:paraId="4F9DC364"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16.73%</w:t>
            </w:r>
            <w:r>
              <w:rPr>
                <w:rFonts w:ascii="Calibri" w:hAnsi="Calibri"/>
                <w:color w:val="auto"/>
              </w:rPr>
              <w:t>)</w:t>
            </w:r>
          </w:p>
        </w:tc>
        <w:tc>
          <w:tcPr>
            <w:tcW w:w="352" w:type="pct"/>
            <w:tcBorders>
              <w:left w:val="single" w:sz="4" w:space="0" w:color="auto"/>
              <w:right w:val="single" w:sz="4" w:space="0" w:color="auto"/>
            </w:tcBorders>
          </w:tcPr>
          <w:p w14:paraId="725DA7C5" w14:textId="77777777" w:rsidR="00EB4A8B" w:rsidRPr="00747CDE"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608</w:t>
            </w:r>
          </w:p>
        </w:tc>
      </w:tr>
      <w:tr w:rsidR="00C84E96" w:rsidRPr="00FC5C7E" w14:paraId="1BA14C91"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50817AA8"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2011</w:t>
            </w:r>
          </w:p>
        </w:tc>
        <w:tc>
          <w:tcPr>
            <w:tcW w:w="731" w:type="pct"/>
            <w:tcBorders>
              <w:left w:val="single" w:sz="4" w:space="0" w:color="auto"/>
            </w:tcBorders>
            <w:shd w:val="clear" w:color="auto" w:fill="DBE5F1" w:themeFill="accent1" w:themeFillTint="33"/>
            <w:noWrap/>
            <w:hideMark/>
          </w:tcPr>
          <w:p w14:paraId="124B6696"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094</w:t>
            </w:r>
          </w:p>
        </w:tc>
        <w:tc>
          <w:tcPr>
            <w:tcW w:w="384" w:type="pct"/>
            <w:tcBorders>
              <w:right w:val="single" w:sz="4" w:space="0" w:color="auto"/>
            </w:tcBorders>
            <w:shd w:val="clear" w:color="auto" w:fill="DBE5F1" w:themeFill="accent1" w:themeFillTint="33"/>
          </w:tcPr>
          <w:p w14:paraId="71AB3D0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(62.1%)</w:t>
            </w:r>
          </w:p>
        </w:tc>
        <w:tc>
          <w:tcPr>
            <w:tcW w:w="569" w:type="pct"/>
            <w:shd w:val="clear" w:color="auto" w:fill="DBE5F1" w:themeFill="accent1" w:themeFillTint="33"/>
          </w:tcPr>
          <w:p w14:paraId="5150A8F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669</w:t>
            </w:r>
          </w:p>
        </w:tc>
        <w:tc>
          <w:tcPr>
            <w:tcW w:w="384" w:type="pct"/>
            <w:shd w:val="clear" w:color="auto" w:fill="DBE5F1" w:themeFill="accent1" w:themeFillTint="33"/>
          </w:tcPr>
          <w:p w14:paraId="1E6E8510"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(37.9%)</w:t>
            </w:r>
          </w:p>
        </w:tc>
        <w:tc>
          <w:tcPr>
            <w:tcW w:w="631" w:type="pct"/>
            <w:tcBorders>
              <w:left w:val="single" w:sz="4" w:space="0" w:color="auto"/>
            </w:tcBorders>
            <w:shd w:val="clear" w:color="auto" w:fill="DBE5F1" w:themeFill="accent1" w:themeFillTint="33"/>
            <w:noWrap/>
            <w:hideMark/>
          </w:tcPr>
          <w:p w14:paraId="10F38A4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451</w:t>
            </w:r>
          </w:p>
        </w:tc>
        <w:tc>
          <w:tcPr>
            <w:tcW w:w="384" w:type="pct"/>
            <w:tcBorders>
              <w:right w:val="single" w:sz="4" w:space="0" w:color="auto"/>
            </w:tcBorders>
            <w:shd w:val="clear" w:color="auto" w:fill="DBE5F1" w:themeFill="accent1" w:themeFillTint="33"/>
          </w:tcPr>
          <w:p w14:paraId="6A0CD355"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(25.6%)</w:t>
            </w:r>
          </w:p>
        </w:tc>
        <w:tc>
          <w:tcPr>
            <w:tcW w:w="788" w:type="pct"/>
            <w:tcBorders>
              <w:left w:val="single" w:sz="4" w:space="0" w:color="auto"/>
            </w:tcBorders>
            <w:shd w:val="clear" w:color="auto" w:fill="DBE5F1" w:themeFill="accent1" w:themeFillTint="33"/>
            <w:noWrap/>
            <w:hideMark/>
          </w:tcPr>
          <w:p w14:paraId="0914424B"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218</w:t>
            </w:r>
          </w:p>
        </w:tc>
        <w:tc>
          <w:tcPr>
            <w:tcW w:w="427" w:type="pct"/>
            <w:tcBorders>
              <w:right w:val="single" w:sz="4" w:space="0" w:color="auto"/>
            </w:tcBorders>
            <w:shd w:val="clear" w:color="auto" w:fill="DBE5F1" w:themeFill="accent1" w:themeFillTint="33"/>
            <w:vAlign w:val="center"/>
          </w:tcPr>
          <w:p w14:paraId="693FE5A0"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12.37%</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535915AC"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763</w:t>
            </w:r>
          </w:p>
        </w:tc>
      </w:tr>
      <w:tr w:rsidR="00EB4A8B" w:rsidRPr="00FC5C7E" w14:paraId="491662F0"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bottom w:val="single" w:sz="4" w:space="0" w:color="auto"/>
              <w:right w:val="single" w:sz="4" w:space="0" w:color="auto"/>
            </w:tcBorders>
            <w:noWrap/>
          </w:tcPr>
          <w:p w14:paraId="16030B6E"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2012</w:t>
            </w:r>
          </w:p>
        </w:tc>
        <w:tc>
          <w:tcPr>
            <w:tcW w:w="731" w:type="pct"/>
            <w:tcBorders>
              <w:left w:val="single" w:sz="4" w:space="0" w:color="auto"/>
              <w:bottom w:val="single" w:sz="4" w:space="0" w:color="auto"/>
            </w:tcBorders>
            <w:noWrap/>
            <w:hideMark/>
          </w:tcPr>
          <w:p w14:paraId="0DDA29A5"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372</w:t>
            </w:r>
          </w:p>
        </w:tc>
        <w:tc>
          <w:tcPr>
            <w:tcW w:w="384" w:type="pct"/>
            <w:tcBorders>
              <w:bottom w:val="single" w:sz="4" w:space="0" w:color="auto"/>
              <w:right w:val="single" w:sz="4" w:space="0" w:color="auto"/>
            </w:tcBorders>
          </w:tcPr>
          <w:p w14:paraId="057C58A4"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(65.2%)</w:t>
            </w:r>
          </w:p>
        </w:tc>
        <w:tc>
          <w:tcPr>
            <w:tcW w:w="569" w:type="pct"/>
            <w:tcBorders>
              <w:bottom w:val="single" w:sz="4" w:space="0" w:color="auto"/>
              <w:right w:val="nil"/>
            </w:tcBorders>
          </w:tcPr>
          <w:p w14:paraId="0E6139D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733</w:t>
            </w:r>
          </w:p>
        </w:tc>
        <w:tc>
          <w:tcPr>
            <w:tcW w:w="384" w:type="pct"/>
            <w:tcBorders>
              <w:left w:val="nil"/>
              <w:bottom w:val="single" w:sz="4" w:space="0" w:color="auto"/>
            </w:tcBorders>
          </w:tcPr>
          <w:p w14:paraId="42F396D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(34.8%)</w:t>
            </w:r>
          </w:p>
        </w:tc>
        <w:tc>
          <w:tcPr>
            <w:tcW w:w="631" w:type="pct"/>
            <w:tcBorders>
              <w:left w:val="single" w:sz="4" w:space="0" w:color="auto"/>
              <w:bottom w:val="single" w:sz="4" w:space="0" w:color="auto"/>
            </w:tcBorders>
            <w:noWrap/>
            <w:hideMark/>
          </w:tcPr>
          <w:p w14:paraId="15ED7086"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470</w:t>
            </w:r>
          </w:p>
        </w:tc>
        <w:tc>
          <w:tcPr>
            <w:tcW w:w="384" w:type="pct"/>
            <w:tcBorders>
              <w:bottom w:val="single" w:sz="4" w:space="0" w:color="auto"/>
              <w:right w:val="single" w:sz="4" w:space="0" w:color="auto"/>
            </w:tcBorders>
          </w:tcPr>
          <w:p w14:paraId="510278AE"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(22.3%)</w:t>
            </w:r>
          </w:p>
        </w:tc>
        <w:tc>
          <w:tcPr>
            <w:tcW w:w="788" w:type="pct"/>
            <w:tcBorders>
              <w:left w:val="single" w:sz="4" w:space="0" w:color="auto"/>
              <w:bottom w:val="single" w:sz="4" w:space="0" w:color="auto"/>
              <w:right w:val="nil"/>
            </w:tcBorders>
            <w:noWrap/>
            <w:hideMark/>
          </w:tcPr>
          <w:p w14:paraId="66DC874C"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263</w:t>
            </w:r>
          </w:p>
        </w:tc>
        <w:tc>
          <w:tcPr>
            <w:tcW w:w="427" w:type="pct"/>
            <w:tcBorders>
              <w:left w:val="nil"/>
              <w:bottom w:val="single" w:sz="4" w:space="0" w:color="auto"/>
              <w:right w:val="single" w:sz="4" w:space="0" w:color="auto"/>
            </w:tcBorders>
            <w:vAlign w:val="center"/>
          </w:tcPr>
          <w:p w14:paraId="353F5184"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12.49%</w:t>
            </w:r>
            <w:r>
              <w:rPr>
                <w:rFonts w:ascii="Calibri" w:hAnsi="Calibri"/>
                <w:color w:val="auto"/>
              </w:rPr>
              <w:t>)</w:t>
            </w:r>
          </w:p>
        </w:tc>
        <w:tc>
          <w:tcPr>
            <w:tcW w:w="352" w:type="pct"/>
            <w:tcBorders>
              <w:left w:val="single" w:sz="4" w:space="0" w:color="auto"/>
              <w:bottom w:val="single" w:sz="4" w:space="0" w:color="auto"/>
              <w:right w:val="single" w:sz="4" w:space="0" w:color="auto"/>
            </w:tcBorders>
          </w:tcPr>
          <w:p w14:paraId="592705CD" w14:textId="77777777" w:rsidR="00EB4A8B" w:rsidRPr="00747CDE"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2</w:t>
            </w:r>
            <w:r>
              <w:rPr>
                <w:rFonts w:eastAsia="Times New Roman" w:cs="Arial"/>
                <w:b/>
                <w:color w:val="auto"/>
                <w:lang w:eastAsia="en-AU"/>
              </w:rPr>
              <w:t>,</w:t>
            </w:r>
            <w:r w:rsidRPr="00747CDE">
              <w:rPr>
                <w:rFonts w:eastAsia="Times New Roman" w:cs="Arial"/>
                <w:b/>
                <w:color w:val="auto"/>
                <w:lang w:eastAsia="en-AU"/>
              </w:rPr>
              <w:t>105</w:t>
            </w:r>
          </w:p>
        </w:tc>
      </w:tr>
      <w:tr w:rsidR="002418F8" w:rsidRPr="00FC5C7E" w14:paraId="73799787" w14:textId="77777777" w:rsidTr="00B605C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7ADE6661" w14:textId="77777777" w:rsidR="00EB4A8B" w:rsidRPr="00FC5C7E" w:rsidRDefault="00EB4A8B" w:rsidP="00CE2FDF">
            <w:pPr>
              <w:tabs>
                <w:tab w:val="left" w:pos="1134"/>
              </w:tabs>
              <w:spacing w:before="0" w:line="276" w:lineRule="auto"/>
              <w:rPr>
                <w:rFonts w:eastAsia="Times New Roman" w:cs="Arial"/>
                <w:color w:val="auto"/>
                <w:lang w:eastAsia="en-AU"/>
              </w:rPr>
            </w:pPr>
            <w:r w:rsidRPr="00FC5C7E">
              <w:rPr>
                <w:rFonts w:eastAsia="Times New Roman" w:cs="Arial"/>
                <w:bCs w:val="0"/>
                <w:color w:val="auto"/>
                <w:lang w:eastAsia="en-AU"/>
              </w:rPr>
              <w:t>Totals:</w:t>
            </w:r>
          </w:p>
        </w:tc>
        <w:tc>
          <w:tcPr>
            <w:tcW w:w="731" w:type="pct"/>
            <w:tcBorders>
              <w:top w:val="single" w:sz="4" w:space="0" w:color="auto"/>
              <w:left w:val="single" w:sz="4" w:space="0" w:color="auto"/>
              <w:bottom w:val="single" w:sz="4" w:space="0" w:color="auto"/>
            </w:tcBorders>
            <w:shd w:val="clear" w:color="auto" w:fill="95B3D7" w:themeFill="accent1" w:themeFillTint="99"/>
            <w:noWrap/>
          </w:tcPr>
          <w:p w14:paraId="410A853C"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8</w:t>
            </w:r>
            <w:r>
              <w:rPr>
                <w:rFonts w:eastAsia="Times New Roman" w:cs="Arial"/>
                <w:b/>
                <w:color w:val="auto"/>
                <w:lang w:eastAsia="en-AU"/>
              </w:rPr>
              <w:t>,</w:t>
            </w:r>
            <w:r w:rsidRPr="00747CDE">
              <w:rPr>
                <w:rFonts w:eastAsia="Times New Roman" w:cs="Arial"/>
                <w:b/>
                <w:color w:val="auto"/>
                <w:lang w:eastAsia="en-AU"/>
              </w:rPr>
              <w:t>933</w:t>
            </w:r>
          </w:p>
        </w:tc>
        <w:tc>
          <w:tcPr>
            <w:tcW w:w="384" w:type="pct"/>
            <w:tcBorders>
              <w:top w:val="single" w:sz="4" w:space="0" w:color="auto"/>
              <w:bottom w:val="single" w:sz="4" w:space="0" w:color="auto"/>
              <w:right w:val="single" w:sz="4" w:space="0" w:color="auto"/>
            </w:tcBorders>
            <w:shd w:val="clear" w:color="auto" w:fill="95B3D7" w:themeFill="accent1" w:themeFillTint="99"/>
          </w:tcPr>
          <w:p w14:paraId="4BA61B26"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(59.4%)</w:t>
            </w:r>
          </w:p>
        </w:tc>
        <w:tc>
          <w:tcPr>
            <w:tcW w:w="569" w:type="pct"/>
            <w:tcBorders>
              <w:top w:val="single" w:sz="4" w:space="0" w:color="auto"/>
              <w:bottom w:val="single" w:sz="4" w:space="0" w:color="auto"/>
            </w:tcBorders>
            <w:shd w:val="clear" w:color="auto" w:fill="95B3D7" w:themeFill="accent1" w:themeFillTint="99"/>
          </w:tcPr>
          <w:p w14:paraId="3E6C5E2A"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6</w:t>
            </w:r>
            <w:r>
              <w:rPr>
                <w:rFonts w:eastAsia="Times New Roman" w:cs="Arial"/>
                <w:b/>
                <w:color w:val="auto"/>
                <w:lang w:eastAsia="en-AU"/>
              </w:rPr>
              <w:t>,</w:t>
            </w:r>
            <w:r w:rsidRPr="00747CDE">
              <w:rPr>
                <w:rFonts w:eastAsia="Times New Roman" w:cs="Arial"/>
                <w:b/>
                <w:color w:val="auto"/>
                <w:lang w:eastAsia="en-AU"/>
              </w:rPr>
              <w:t>112</w:t>
            </w:r>
          </w:p>
        </w:tc>
        <w:tc>
          <w:tcPr>
            <w:tcW w:w="384" w:type="pct"/>
            <w:tcBorders>
              <w:top w:val="single" w:sz="4" w:space="0" w:color="auto"/>
              <w:bottom w:val="single" w:sz="4" w:space="0" w:color="auto"/>
            </w:tcBorders>
            <w:shd w:val="clear" w:color="auto" w:fill="95B3D7" w:themeFill="accent1" w:themeFillTint="99"/>
          </w:tcPr>
          <w:p w14:paraId="5E655789"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(40.6%)</w:t>
            </w:r>
          </w:p>
        </w:tc>
        <w:tc>
          <w:tcPr>
            <w:tcW w:w="631" w:type="pct"/>
            <w:tcBorders>
              <w:top w:val="single" w:sz="4" w:space="0" w:color="auto"/>
              <w:left w:val="single" w:sz="4" w:space="0" w:color="auto"/>
              <w:bottom w:val="single" w:sz="4" w:space="0" w:color="auto"/>
            </w:tcBorders>
            <w:shd w:val="clear" w:color="auto" w:fill="95B3D7" w:themeFill="accent1" w:themeFillTint="99"/>
            <w:noWrap/>
          </w:tcPr>
          <w:p w14:paraId="70DBFA48"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4</w:t>
            </w:r>
            <w:r>
              <w:rPr>
                <w:rFonts w:eastAsia="Times New Roman" w:cs="Arial"/>
                <w:b/>
                <w:color w:val="auto"/>
                <w:lang w:eastAsia="en-AU"/>
              </w:rPr>
              <w:t>,</w:t>
            </w:r>
            <w:r w:rsidRPr="00747CDE">
              <w:rPr>
                <w:rFonts w:eastAsia="Times New Roman" w:cs="Arial"/>
                <w:b/>
                <w:color w:val="auto"/>
                <w:lang w:eastAsia="en-AU"/>
              </w:rPr>
              <w:t>041</w:t>
            </w:r>
          </w:p>
        </w:tc>
        <w:tc>
          <w:tcPr>
            <w:tcW w:w="384" w:type="pct"/>
            <w:tcBorders>
              <w:top w:val="single" w:sz="4" w:space="0" w:color="auto"/>
              <w:bottom w:val="single" w:sz="4" w:space="0" w:color="auto"/>
              <w:right w:val="single" w:sz="4" w:space="0" w:color="auto"/>
            </w:tcBorders>
            <w:shd w:val="clear" w:color="auto" w:fill="95B3D7" w:themeFill="accent1" w:themeFillTint="99"/>
          </w:tcPr>
          <w:p w14:paraId="421DA25A"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(26.9%)</w:t>
            </w:r>
          </w:p>
        </w:tc>
        <w:tc>
          <w:tcPr>
            <w:tcW w:w="788" w:type="pct"/>
            <w:tcBorders>
              <w:top w:val="single" w:sz="4" w:space="0" w:color="auto"/>
              <w:left w:val="single" w:sz="4" w:space="0" w:color="auto"/>
              <w:bottom w:val="single" w:sz="4" w:space="0" w:color="auto"/>
            </w:tcBorders>
            <w:shd w:val="clear" w:color="auto" w:fill="95B3D7" w:themeFill="accent1" w:themeFillTint="99"/>
            <w:noWrap/>
          </w:tcPr>
          <w:p w14:paraId="05EA3CD4"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2</w:t>
            </w:r>
            <w:r>
              <w:rPr>
                <w:rFonts w:eastAsia="Times New Roman" w:cs="Arial"/>
                <w:b/>
                <w:color w:val="auto"/>
                <w:lang w:eastAsia="en-AU"/>
              </w:rPr>
              <w:t>,</w:t>
            </w:r>
            <w:r w:rsidRPr="00747CDE">
              <w:rPr>
                <w:rFonts w:eastAsia="Times New Roman" w:cs="Arial"/>
                <w:b/>
                <w:color w:val="auto"/>
                <w:lang w:eastAsia="en-AU"/>
              </w:rPr>
              <w:t>071</w:t>
            </w:r>
          </w:p>
        </w:tc>
        <w:tc>
          <w:tcPr>
            <w:tcW w:w="427" w:type="pct"/>
            <w:tcBorders>
              <w:top w:val="single" w:sz="4" w:space="0" w:color="auto"/>
              <w:bottom w:val="single" w:sz="4" w:space="0" w:color="auto"/>
              <w:right w:val="single" w:sz="4" w:space="0" w:color="auto"/>
            </w:tcBorders>
            <w:shd w:val="clear" w:color="auto" w:fill="95B3D7" w:themeFill="accent1" w:themeFillTint="99"/>
            <w:vAlign w:val="center"/>
          </w:tcPr>
          <w:p w14:paraId="062C343C"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13.77%</w:t>
            </w:r>
            <w:r>
              <w:rPr>
                <w:rFonts w:ascii="Calibri" w:hAnsi="Calibri"/>
                <w:color w:val="auto"/>
              </w:rPr>
              <w:t>)</w:t>
            </w:r>
          </w:p>
        </w:tc>
        <w:tc>
          <w:tcPr>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DCA382"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15</w:t>
            </w:r>
            <w:r>
              <w:rPr>
                <w:rFonts w:eastAsia="Times New Roman" w:cs="Arial"/>
                <w:b/>
                <w:color w:val="auto"/>
                <w:lang w:eastAsia="en-AU"/>
              </w:rPr>
              <w:t>,</w:t>
            </w:r>
            <w:r w:rsidRPr="00747CDE">
              <w:rPr>
                <w:rFonts w:eastAsia="Times New Roman" w:cs="Arial"/>
                <w:b/>
                <w:color w:val="auto"/>
                <w:lang w:eastAsia="en-AU"/>
              </w:rPr>
              <w:t>045</w:t>
            </w:r>
          </w:p>
        </w:tc>
      </w:tr>
    </w:tbl>
    <w:p w14:paraId="7A705C91" w14:textId="77777777" w:rsidR="005D61DD" w:rsidRPr="0006220F" w:rsidRDefault="005D61DD" w:rsidP="005E613E">
      <w:pPr>
        <w:pStyle w:val="Heading6"/>
        <w:spacing w:before="240" w:after="240"/>
      </w:pPr>
      <w:r w:rsidRPr="0006220F">
        <w:t xml:space="preserve">Line graph for table 1.26.8: Reports by nurses, by year, by outcome of reports </w:t>
      </w:r>
    </w:p>
    <w:p w14:paraId="439C0ED4" w14:textId="77777777" w:rsidR="0080128E" w:rsidRDefault="00CD1101" w:rsidP="00B15586">
      <w:r w:rsidRPr="00CD1101">
        <w:rPr>
          <w:noProof/>
          <w:lang w:eastAsia="en-AU"/>
        </w:rPr>
        <w:drawing>
          <wp:inline distT="0" distB="0" distL="0" distR="0" wp14:anchorId="141672D5" wp14:editId="7047A047">
            <wp:extent cx="9315450" cy="1981200"/>
            <wp:effectExtent l="0" t="0" r="0" b="0"/>
            <wp:docPr id="24" name="Chart 20" descr="Shows investigations of abuse reports by nurses declined from 44.5% investigated in 2003 to 34.8% in 2012.  " title="Line graph for table 1.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80128E">
        <w:br w:type="page"/>
      </w:r>
    </w:p>
    <w:p w14:paraId="54F1A113" w14:textId="16002D19" w:rsidR="005D61DD" w:rsidRDefault="005D61DD" w:rsidP="0095311F">
      <w:pPr>
        <w:pStyle w:val="Figureheading"/>
      </w:pPr>
      <w:bookmarkStart w:id="80" w:name="_Toc382206751"/>
      <w:r>
        <w:lastRenderedPageBreak/>
        <w:t>1.26.9</w:t>
      </w:r>
      <w:r w:rsidR="00823C08">
        <w:tab/>
      </w:r>
      <w:r>
        <w:tab/>
        <w:t xml:space="preserve">Reports by police, </w:t>
      </w:r>
      <w:bookmarkEnd w:id="80"/>
      <w:r>
        <w:t>by year, by abuse type (number and percentage)</w:t>
      </w:r>
    </w:p>
    <w:tbl>
      <w:tblPr>
        <w:tblStyle w:val="LightShading-Accent120"/>
        <w:tblW w:w="14992" w:type="dxa"/>
        <w:tblLayout w:type="fixed"/>
        <w:tblLook w:val="04A0" w:firstRow="1" w:lastRow="0" w:firstColumn="1" w:lastColumn="0" w:noHBand="0" w:noVBand="1"/>
        <w:tblCaption w:val="Reports by police, by year, by abuse type (number and percentage)"/>
      </w:tblPr>
      <w:tblGrid>
        <w:gridCol w:w="887"/>
        <w:gridCol w:w="2191"/>
        <w:gridCol w:w="986"/>
        <w:gridCol w:w="1589"/>
        <w:gridCol w:w="1589"/>
        <w:gridCol w:w="1589"/>
        <w:gridCol w:w="1588"/>
        <w:gridCol w:w="1588"/>
        <w:gridCol w:w="1589"/>
        <w:gridCol w:w="1396"/>
      </w:tblGrid>
      <w:tr w:rsidR="002418F8" w:rsidRPr="00FE3A23" w14:paraId="5371E750" w14:textId="77777777" w:rsidTr="00B605CE">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4BD295F" w14:textId="77777777" w:rsidR="00736DDB" w:rsidRPr="001040A5" w:rsidRDefault="00736DDB" w:rsidP="00CE2FDF">
            <w:pPr>
              <w:tabs>
                <w:tab w:val="left" w:pos="1134"/>
              </w:tabs>
              <w:spacing w:before="0" w:line="276" w:lineRule="auto"/>
              <w:rPr>
                <w:rFonts w:ascii="Calibri" w:eastAsia="Times New Roman" w:hAnsi="Calibri" w:cs="Arial"/>
                <w:bCs w:val="0"/>
                <w:color w:val="auto"/>
                <w:lang w:eastAsia="en-AU"/>
              </w:rPr>
            </w:pPr>
            <w:r w:rsidRPr="001040A5">
              <w:rPr>
                <w:color w:val="auto"/>
              </w:rPr>
              <w:br w:type="page"/>
            </w:r>
          </w:p>
        </w:tc>
        <w:tc>
          <w:tcPr>
            <w:tcW w:w="2191" w:type="dxa"/>
            <w:tcBorders>
              <w:top w:val="single" w:sz="4" w:space="0" w:color="auto"/>
              <w:left w:val="single" w:sz="4" w:space="0" w:color="auto"/>
              <w:bottom w:val="single" w:sz="4" w:space="0" w:color="auto"/>
            </w:tcBorders>
            <w:shd w:val="clear" w:color="auto" w:fill="95B3D7" w:themeFill="accent1" w:themeFillTint="99"/>
            <w:vAlign w:val="center"/>
            <w:hideMark/>
          </w:tcPr>
          <w:p w14:paraId="41FF2659" w14:textId="48D476D1" w:rsidR="00736DDB" w:rsidRPr="00C97EF5" w:rsidRDefault="00736DDB" w:rsidP="00B605CE">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Emotiona</w:t>
            </w:r>
            <w:r w:rsidR="00B605CE">
              <w:rPr>
                <w:rFonts w:ascii="Calibri" w:eastAsia="Times New Roman" w:hAnsi="Calibri" w:cs="Arial"/>
                <w:bCs w:val="0"/>
                <w:color w:val="000000"/>
                <w:lang w:eastAsia="en-AU"/>
              </w:rPr>
              <w:t xml:space="preserve">l </w:t>
            </w:r>
            <w:r>
              <w:rPr>
                <w:rFonts w:ascii="Calibri" w:eastAsia="Times New Roman" w:hAnsi="Calibri" w:cs="Arial"/>
                <w:bCs w:val="0"/>
                <w:color w:val="000000"/>
                <w:lang w:eastAsia="en-AU"/>
              </w:rPr>
              <w:t>abuse</w:t>
            </w:r>
          </w:p>
        </w:tc>
        <w:tc>
          <w:tcPr>
            <w:tcW w:w="986" w:type="dxa"/>
            <w:tcBorders>
              <w:top w:val="single" w:sz="4" w:space="0" w:color="auto"/>
              <w:bottom w:val="single" w:sz="4" w:space="0" w:color="auto"/>
              <w:right w:val="single" w:sz="4" w:space="0" w:color="auto"/>
            </w:tcBorders>
            <w:shd w:val="clear" w:color="auto" w:fill="95B3D7" w:themeFill="accent1" w:themeFillTint="99"/>
            <w:vAlign w:val="center"/>
          </w:tcPr>
          <w:p w14:paraId="746EF913"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1589" w:type="dxa"/>
            <w:tcBorders>
              <w:top w:val="single" w:sz="4" w:space="0" w:color="auto"/>
              <w:left w:val="single" w:sz="4" w:space="0" w:color="auto"/>
              <w:bottom w:val="single" w:sz="4" w:space="0" w:color="auto"/>
            </w:tcBorders>
            <w:shd w:val="clear" w:color="auto" w:fill="95B3D7" w:themeFill="accent1" w:themeFillTint="99"/>
            <w:vAlign w:val="center"/>
            <w:hideMark/>
          </w:tcPr>
          <w:p w14:paraId="60563873"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Neglect</w:t>
            </w:r>
          </w:p>
        </w:tc>
        <w:tc>
          <w:tcPr>
            <w:tcW w:w="1589" w:type="dxa"/>
            <w:tcBorders>
              <w:top w:val="single" w:sz="4" w:space="0" w:color="auto"/>
              <w:bottom w:val="single" w:sz="4" w:space="0" w:color="auto"/>
              <w:right w:val="single" w:sz="4" w:space="0" w:color="auto"/>
            </w:tcBorders>
            <w:shd w:val="clear" w:color="auto" w:fill="95B3D7" w:themeFill="accent1" w:themeFillTint="99"/>
            <w:vAlign w:val="center"/>
          </w:tcPr>
          <w:p w14:paraId="66C07901"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1589" w:type="dxa"/>
            <w:tcBorders>
              <w:top w:val="single" w:sz="4" w:space="0" w:color="auto"/>
              <w:left w:val="single" w:sz="4" w:space="0" w:color="auto"/>
              <w:bottom w:val="single" w:sz="4" w:space="0" w:color="auto"/>
            </w:tcBorders>
            <w:shd w:val="clear" w:color="auto" w:fill="95B3D7" w:themeFill="accent1" w:themeFillTint="99"/>
            <w:vAlign w:val="center"/>
            <w:hideMark/>
          </w:tcPr>
          <w:p w14:paraId="00EF046B"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Physical</w:t>
            </w:r>
            <w:r>
              <w:rPr>
                <w:rFonts w:ascii="Calibri" w:eastAsia="Times New Roman" w:hAnsi="Calibri" w:cs="Arial"/>
                <w:bCs w:val="0"/>
                <w:color w:val="000000"/>
                <w:lang w:eastAsia="en-AU"/>
              </w:rPr>
              <w:t xml:space="preserve"> abuse</w:t>
            </w:r>
          </w:p>
        </w:tc>
        <w:tc>
          <w:tcPr>
            <w:tcW w:w="1588" w:type="dxa"/>
            <w:tcBorders>
              <w:top w:val="single" w:sz="4" w:space="0" w:color="auto"/>
              <w:bottom w:val="single" w:sz="4" w:space="0" w:color="auto"/>
              <w:right w:val="single" w:sz="4" w:space="0" w:color="auto"/>
            </w:tcBorders>
            <w:shd w:val="clear" w:color="auto" w:fill="95B3D7" w:themeFill="accent1" w:themeFillTint="99"/>
            <w:vAlign w:val="center"/>
          </w:tcPr>
          <w:p w14:paraId="6C89234F"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1588" w:type="dxa"/>
            <w:tcBorders>
              <w:top w:val="single" w:sz="4" w:space="0" w:color="auto"/>
              <w:left w:val="single" w:sz="4" w:space="0" w:color="auto"/>
              <w:bottom w:val="single" w:sz="4" w:space="0" w:color="auto"/>
            </w:tcBorders>
            <w:shd w:val="clear" w:color="auto" w:fill="95B3D7" w:themeFill="accent1" w:themeFillTint="99"/>
            <w:vAlign w:val="center"/>
            <w:hideMark/>
          </w:tcPr>
          <w:p w14:paraId="641C6E82" w14:textId="77777777" w:rsidR="00736DDB" w:rsidRPr="00C97EF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C97EF5">
              <w:rPr>
                <w:rFonts w:ascii="Calibri" w:eastAsia="Times New Roman" w:hAnsi="Calibri" w:cs="Arial"/>
                <w:bCs w:val="0"/>
                <w:color w:val="000000"/>
                <w:lang w:eastAsia="en-AU"/>
              </w:rPr>
              <w:t>Sexual</w:t>
            </w:r>
            <w:r>
              <w:rPr>
                <w:rFonts w:ascii="Calibri" w:eastAsia="Times New Roman" w:hAnsi="Calibri" w:cs="Arial"/>
                <w:bCs w:val="0"/>
                <w:color w:val="000000"/>
                <w:lang w:eastAsia="en-AU"/>
              </w:rPr>
              <w:t xml:space="preserve"> abuse</w:t>
            </w:r>
          </w:p>
        </w:tc>
        <w:tc>
          <w:tcPr>
            <w:tcW w:w="1589" w:type="dxa"/>
            <w:tcBorders>
              <w:top w:val="single" w:sz="4" w:space="0" w:color="auto"/>
              <w:bottom w:val="single" w:sz="4" w:space="0" w:color="auto"/>
              <w:right w:val="single" w:sz="4" w:space="0" w:color="auto"/>
            </w:tcBorders>
            <w:shd w:val="clear" w:color="auto" w:fill="95B3D7" w:themeFill="accent1" w:themeFillTint="99"/>
            <w:vAlign w:val="center"/>
          </w:tcPr>
          <w:p w14:paraId="31C84A51" w14:textId="77777777" w:rsidR="00736DDB" w:rsidRPr="00C97EF5" w:rsidRDefault="00736DDB" w:rsidP="00CE2FDF">
            <w:pPr>
              <w:tabs>
                <w:tab w:val="left" w:pos="1134"/>
              </w:tabs>
              <w:spacing w:before="0" w:line="276" w:lineRule="auto"/>
              <w:ind w:left="-25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eastAsia="en-AU"/>
              </w:rPr>
            </w:pPr>
            <w:r w:rsidRPr="00C97EF5">
              <w:rPr>
                <w:rFonts w:ascii="Calibri" w:eastAsia="Times New Roman" w:hAnsi="Calibri" w:cs="Arial"/>
                <w:color w:val="000000"/>
                <w:lang w:eastAsia="en-AU"/>
              </w:rPr>
              <w:t>%</w:t>
            </w:r>
          </w:p>
        </w:tc>
        <w:tc>
          <w:tcPr>
            <w:tcW w:w="139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BD7DE23" w14:textId="77777777" w:rsidR="00736DDB" w:rsidRPr="001040A5" w:rsidRDefault="00736DD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Total</w:t>
            </w:r>
          </w:p>
        </w:tc>
      </w:tr>
      <w:tr w:rsidR="00CD1101" w:rsidRPr="00F0043D" w14:paraId="74EB2D9F"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right w:val="single" w:sz="4" w:space="0" w:color="auto"/>
            </w:tcBorders>
            <w:noWrap/>
            <w:hideMark/>
          </w:tcPr>
          <w:p w14:paraId="53C3D8FB"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2003</w:t>
            </w:r>
          </w:p>
        </w:tc>
        <w:tc>
          <w:tcPr>
            <w:tcW w:w="2191" w:type="dxa"/>
            <w:tcBorders>
              <w:top w:val="single" w:sz="4" w:space="0" w:color="auto"/>
              <w:left w:val="single" w:sz="4" w:space="0" w:color="auto"/>
            </w:tcBorders>
            <w:noWrap/>
            <w:hideMark/>
          </w:tcPr>
          <w:p w14:paraId="1B67E4C3"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798</w:t>
            </w:r>
          </w:p>
        </w:tc>
        <w:tc>
          <w:tcPr>
            <w:tcW w:w="986" w:type="dxa"/>
            <w:tcBorders>
              <w:top w:val="single" w:sz="4" w:space="0" w:color="auto"/>
              <w:right w:val="single" w:sz="4" w:space="0" w:color="auto"/>
            </w:tcBorders>
          </w:tcPr>
          <w:p w14:paraId="7BBFBC9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(42.9%)</w:t>
            </w:r>
          </w:p>
        </w:tc>
        <w:tc>
          <w:tcPr>
            <w:tcW w:w="1589" w:type="dxa"/>
            <w:tcBorders>
              <w:top w:val="single" w:sz="4" w:space="0" w:color="auto"/>
              <w:left w:val="single" w:sz="4" w:space="0" w:color="auto"/>
            </w:tcBorders>
            <w:noWrap/>
            <w:hideMark/>
          </w:tcPr>
          <w:p w14:paraId="05B1FB9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733</w:t>
            </w:r>
          </w:p>
        </w:tc>
        <w:tc>
          <w:tcPr>
            <w:tcW w:w="1589" w:type="dxa"/>
            <w:tcBorders>
              <w:top w:val="single" w:sz="4" w:space="0" w:color="auto"/>
              <w:right w:val="single" w:sz="4" w:space="0" w:color="auto"/>
            </w:tcBorders>
          </w:tcPr>
          <w:p w14:paraId="180CAAF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(26.6%)</w:t>
            </w:r>
          </w:p>
        </w:tc>
        <w:tc>
          <w:tcPr>
            <w:tcW w:w="1589" w:type="dxa"/>
            <w:tcBorders>
              <w:top w:val="single" w:sz="4" w:space="0" w:color="auto"/>
              <w:left w:val="single" w:sz="4" w:space="0" w:color="auto"/>
            </w:tcBorders>
            <w:noWrap/>
            <w:hideMark/>
          </w:tcPr>
          <w:p w14:paraId="39069B0B"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157</w:t>
            </w:r>
          </w:p>
        </w:tc>
        <w:tc>
          <w:tcPr>
            <w:tcW w:w="1588" w:type="dxa"/>
            <w:tcBorders>
              <w:top w:val="single" w:sz="4" w:space="0" w:color="auto"/>
              <w:right w:val="single" w:sz="4" w:space="0" w:color="auto"/>
            </w:tcBorders>
          </w:tcPr>
          <w:p w14:paraId="4D76D76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(17.8%)</w:t>
            </w:r>
          </w:p>
        </w:tc>
        <w:tc>
          <w:tcPr>
            <w:tcW w:w="1588" w:type="dxa"/>
            <w:tcBorders>
              <w:top w:val="single" w:sz="4" w:space="0" w:color="auto"/>
              <w:left w:val="single" w:sz="4" w:space="0" w:color="auto"/>
            </w:tcBorders>
            <w:noWrap/>
            <w:hideMark/>
          </w:tcPr>
          <w:p w14:paraId="63316AAB"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828</w:t>
            </w:r>
          </w:p>
        </w:tc>
        <w:tc>
          <w:tcPr>
            <w:tcW w:w="1589" w:type="dxa"/>
            <w:tcBorders>
              <w:top w:val="single" w:sz="4" w:space="0" w:color="auto"/>
              <w:right w:val="single" w:sz="4" w:space="0" w:color="auto"/>
            </w:tcBorders>
          </w:tcPr>
          <w:p w14:paraId="79D6186E"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(12.7%)</w:t>
            </w:r>
          </w:p>
        </w:tc>
        <w:tc>
          <w:tcPr>
            <w:tcW w:w="1396" w:type="dxa"/>
            <w:tcBorders>
              <w:top w:val="single" w:sz="4" w:space="0" w:color="auto"/>
              <w:left w:val="single" w:sz="4" w:space="0" w:color="auto"/>
              <w:right w:val="single" w:sz="4" w:space="0" w:color="auto"/>
            </w:tcBorders>
            <w:noWrap/>
            <w:hideMark/>
          </w:tcPr>
          <w:p w14:paraId="25742CE6" w14:textId="77777777" w:rsidR="00CD1101" w:rsidRPr="001040A5"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6</w:t>
            </w:r>
            <w:r w:rsidR="00747CDE">
              <w:rPr>
                <w:rFonts w:eastAsia="Times New Roman" w:cs="Arial"/>
                <w:b/>
                <w:color w:val="auto"/>
                <w:lang w:eastAsia="en-AU"/>
              </w:rPr>
              <w:t>,</w:t>
            </w:r>
            <w:r w:rsidRPr="001040A5">
              <w:rPr>
                <w:rFonts w:eastAsia="Times New Roman" w:cs="Arial"/>
                <w:b/>
                <w:color w:val="auto"/>
                <w:lang w:eastAsia="en-AU"/>
              </w:rPr>
              <w:t>516</w:t>
            </w:r>
          </w:p>
        </w:tc>
      </w:tr>
      <w:tr w:rsidR="00CD1101" w:rsidRPr="00F0043D" w14:paraId="2CD32E49"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noWrap/>
            <w:hideMark/>
          </w:tcPr>
          <w:p w14:paraId="7D422432"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2004</w:t>
            </w:r>
          </w:p>
        </w:tc>
        <w:tc>
          <w:tcPr>
            <w:tcW w:w="2191" w:type="dxa"/>
            <w:tcBorders>
              <w:left w:val="single" w:sz="4" w:space="0" w:color="auto"/>
            </w:tcBorders>
            <w:noWrap/>
            <w:hideMark/>
          </w:tcPr>
          <w:p w14:paraId="6D7380AE"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858</w:t>
            </w:r>
          </w:p>
        </w:tc>
        <w:tc>
          <w:tcPr>
            <w:tcW w:w="986" w:type="dxa"/>
            <w:tcBorders>
              <w:right w:val="single" w:sz="4" w:space="0" w:color="auto"/>
            </w:tcBorders>
          </w:tcPr>
          <w:p w14:paraId="031C906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(43.9%)</w:t>
            </w:r>
          </w:p>
        </w:tc>
        <w:tc>
          <w:tcPr>
            <w:tcW w:w="1589" w:type="dxa"/>
            <w:tcBorders>
              <w:left w:val="single" w:sz="4" w:space="0" w:color="auto"/>
            </w:tcBorders>
            <w:noWrap/>
            <w:hideMark/>
          </w:tcPr>
          <w:p w14:paraId="79DD206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566</w:t>
            </w:r>
          </w:p>
        </w:tc>
        <w:tc>
          <w:tcPr>
            <w:tcW w:w="1589" w:type="dxa"/>
            <w:tcBorders>
              <w:right w:val="single" w:sz="4" w:space="0" w:color="auto"/>
            </w:tcBorders>
          </w:tcPr>
          <w:p w14:paraId="3331E15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(24.1%)</w:t>
            </w:r>
          </w:p>
        </w:tc>
        <w:tc>
          <w:tcPr>
            <w:tcW w:w="1589" w:type="dxa"/>
            <w:tcBorders>
              <w:left w:val="single" w:sz="4" w:space="0" w:color="auto"/>
            </w:tcBorders>
            <w:noWrap/>
            <w:hideMark/>
          </w:tcPr>
          <w:p w14:paraId="1B9EE588"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238</w:t>
            </w:r>
          </w:p>
        </w:tc>
        <w:tc>
          <w:tcPr>
            <w:tcW w:w="1588" w:type="dxa"/>
            <w:tcBorders>
              <w:right w:val="single" w:sz="4" w:space="0" w:color="auto"/>
            </w:tcBorders>
          </w:tcPr>
          <w:p w14:paraId="39D84FD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(19%)</w:t>
            </w:r>
          </w:p>
        </w:tc>
        <w:tc>
          <w:tcPr>
            <w:tcW w:w="1588" w:type="dxa"/>
            <w:tcBorders>
              <w:left w:val="single" w:sz="4" w:space="0" w:color="auto"/>
            </w:tcBorders>
            <w:noWrap/>
            <w:hideMark/>
          </w:tcPr>
          <w:p w14:paraId="3A7C0F93"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841</w:t>
            </w:r>
          </w:p>
        </w:tc>
        <w:tc>
          <w:tcPr>
            <w:tcW w:w="1589" w:type="dxa"/>
            <w:tcBorders>
              <w:right w:val="single" w:sz="4" w:space="0" w:color="auto"/>
            </w:tcBorders>
          </w:tcPr>
          <w:p w14:paraId="446E48C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(12.9%)</w:t>
            </w:r>
          </w:p>
        </w:tc>
        <w:tc>
          <w:tcPr>
            <w:tcW w:w="1396" w:type="dxa"/>
            <w:tcBorders>
              <w:left w:val="single" w:sz="4" w:space="0" w:color="auto"/>
              <w:right w:val="single" w:sz="4" w:space="0" w:color="auto"/>
            </w:tcBorders>
            <w:noWrap/>
            <w:hideMark/>
          </w:tcPr>
          <w:p w14:paraId="55EAD3FB" w14:textId="77777777" w:rsidR="00CD1101" w:rsidRPr="001040A5"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6</w:t>
            </w:r>
            <w:r w:rsidR="00747CDE">
              <w:rPr>
                <w:rFonts w:eastAsia="Times New Roman" w:cs="Arial"/>
                <w:b/>
                <w:color w:val="auto"/>
                <w:lang w:eastAsia="en-AU"/>
              </w:rPr>
              <w:t>,</w:t>
            </w:r>
            <w:r w:rsidRPr="001040A5">
              <w:rPr>
                <w:rFonts w:eastAsia="Times New Roman" w:cs="Arial"/>
                <w:b/>
                <w:color w:val="auto"/>
                <w:lang w:eastAsia="en-AU"/>
              </w:rPr>
              <w:t>503</w:t>
            </w:r>
          </w:p>
        </w:tc>
      </w:tr>
      <w:tr w:rsidR="00CD1101" w:rsidRPr="00F0043D" w14:paraId="6F546A36"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noWrap/>
            <w:hideMark/>
          </w:tcPr>
          <w:p w14:paraId="3CA361CA"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2005</w:t>
            </w:r>
          </w:p>
        </w:tc>
        <w:tc>
          <w:tcPr>
            <w:tcW w:w="2191" w:type="dxa"/>
            <w:tcBorders>
              <w:left w:val="single" w:sz="4" w:space="0" w:color="auto"/>
            </w:tcBorders>
            <w:noWrap/>
            <w:hideMark/>
          </w:tcPr>
          <w:p w14:paraId="62EB4FDB"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319</w:t>
            </w:r>
          </w:p>
        </w:tc>
        <w:tc>
          <w:tcPr>
            <w:tcW w:w="986" w:type="dxa"/>
            <w:tcBorders>
              <w:right w:val="single" w:sz="4" w:space="0" w:color="auto"/>
            </w:tcBorders>
          </w:tcPr>
          <w:p w14:paraId="78637DB7"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(47.1%)</w:t>
            </w:r>
          </w:p>
        </w:tc>
        <w:tc>
          <w:tcPr>
            <w:tcW w:w="1589" w:type="dxa"/>
            <w:tcBorders>
              <w:left w:val="single" w:sz="4" w:space="0" w:color="auto"/>
            </w:tcBorders>
            <w:noWrap/>
            <w:hideMark/>
          </w:tcPr>
          <w:p w14:paraId="1BDACAAC"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580</w:t>
            </w:r>
          </w:p>
        </w:tc>
        <w:tc>
          <w:tcPr>
            <w:tcW w:w="1589" w:type="dxa"/>
            <w:tcBorders>
              <w:right w:val="single" w:sz="4" w:space="0" w:color="auto"/>
            </w:tcBorders>
          </w:tcPr>
          <w:p w14:paraId="339DDF42"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(22.4%)</w:t>
            </w:r>
          </w:p>
        </w:tc>
        <w:tc>
          <w:tcPr>
            <w:tcW w:w="1589" w:type="dxa"/>
            <w:tcBorders>
              <w:left w:val="single" w:sz="4" w:space="0" w:color="auto"/>
            </w:tcBorders>
            <w:noWrap/>
            <w:hideMark/>
          </w:tcPr>
          <w:p w14:paraId="4A8AB859"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209</w:t>
            </w:r>
          </w:p>
        </w:tc>
        <w:tc>
          <w:tcPr>
            <w:tcW w:w="1588" w:type="dxa"/>
            <w:tcBorders>
              <w:right w:val="single" w:sz="4" w:space="0" w:color="auto"/>
            </w:tcBorders>
          </w:tcPr>
          <w:p w14:paraId="46CF1236"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(17.2%)</w:t>
            </w:r>
          </w:p>
        </w:tc>
        <w:tc>
          <w:tcPr>
            <w:tcW w:w="1588" w:type="dxa"/>
            <w:tcBorders>
              <w:left w:val="single" w:sz="4" w:space="0" w:color="auto"/>
            </w:tcBorders>
            <w:noWrap/>
            <w:hideMark/>
          </w:tcPr>
          <w:p w14:paraId="10FA805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936</w:t>
            </w:r>
          </w:p>
        </w:tc>
        <w:tc>
          <w:tcPr>
            <w:tcW w:w="1589" w:type="dxa"/>
            <w:tcBorders>
              <w:right w:val="single" w:sz="4" w:space="0" w:color="auto"/>
            </w:tcBorders>
          </w:tcPr>
          <w:p w14:paraId="7519E0C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(13.3%)</w:t>
            </w:r>
          </w:p>
        </w:tc>
        <w:tc>
          <w:tcPr>
            <w:tcW w:w="1396" w:type="dxa"/>
            <w:tcBorders>
              <w:left w:val="single" w:sz="4" w:space="0" w:color="auto"/>
              <w:right w:val="single" w:sz="4" w:space="0" w:color="auto"/>
            </w:tcBorders>
            <w:noWrap/>
            <w:hideMark/>
          </w:tcPr>
          <w:p w14:paraId="7CD0BFA0" w14:textId="77777777" w:rsidR="00CD1101" w:rsidRPr="001040A5"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7</w:t>
            </w:r>
            <w:r w:rsidR="00747CDE">
              <w:rPr>
                <w:rFonts w:eastAsia="Times New Roman" w:cs="Arial"/>
                <w:b/>
                <w:color w:val="auto"/>
                <w:lang w:eastAsia="en-AU"/>
              </w:rPr>
              <w:t>,</w:t>
            </w:r>
            <w:r w:rsidRPr="001040A5">
              <w:rPr>
                <w:rFonts w:eastAsia="Times New Roman" w:cs="Arial"/>
                <w:b/>
                <w:color w:val="auto"/>
                <w:lang w:eastAsia="en-AU"/>
              </w:rPr>
              <w:t>044</w:t>
            </w:r>
          </w:p>
        </w:tc>
      </w:tr>
      <w:tr w:rsidR="00CD1101" w:rsidRPr="00F0043D" w14:paraId="1B2DD4B3"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noWrap/>
            <w:hideMark/>
          </w:tcPr>
          <w:p w14:paraId="147B9B05"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2006</w:t>
            </w:r>
          </w:p>
        </w:tc>
        <w:tc>
          <w:tcPr>
            <w:tcW w:w="2191" w:type="dxa"/>
            <w:tcBorders>
              <w:left w:val="single" w:sz="4" w:space="0" w:color="auto"/>
            </w:tcBorders>
            <w:noWrap/>
            <w:hideMark/>
          </w:tcPr>
          <w:p w14:paraId="64F6DCF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695</w:t>
            </w:r>
          </w:p>
        </w:tc>
        <w:tc>
          <w:tcPr>
            <w:tcW w:w="986" w:type="dxa"/>
            <w:tcBorders>
              <w:right w:val="single" w:sz="4" w:space="0" w:color="auto"/>
            </w:tcBorders>
          </w:tcPr>
          <w:p w14:paraId="6D87DAE0"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(50%)</w:t>
            </w:r>
          </w:p>
        </w:tc>
        <w:tc>
          <w:tcPr>
            <w:tcW w:w="1589" w:type="dxa"/>
            <w:tcBorders>
              <w:left w:val="single" w:sz="4" w:space="0" w:color="auto"/>
            </w:tcBorders>
            <w:noWrap/>
            <w:hideMark/>
          </w:tcPr>
          <w:p w14:paraId="0FE4B9D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433</w:t>
            </w:r>
          </w:p>
        </w:tc>
        <w:tc>
          <w:tcPr>
            <w:tcW w:w="1589" w:type="dxa"/>
            <w:tcBorders>
              <w:right w:val="single" w:sz="4" w:space="0" w:color="auto"/>
            </w:tcBorders>
          </w:tcPr>
          <w:p w14:paraId="54BA2753"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(19.4%)</w:t>
            </w:r>
          </w:p>
        </w:tc>
        <w:tc>
          <w:tcPr>
            <w:tcW w:w="1589" w:type="dxa"/>
            <w:tcBorders>
              <w:left w:val="single" w:sz="4" w:space="0" w:color="auto"/>
            </w:tcBorders>
            <w:noWrap/>
            <w:hideMark/>
          </w:tcPr>
          <w:p w14:paraId="04837A2A"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453</w:t>
            </w:r>
          </w:p>
        </w:tc>
        <w:tc>
          <w:tcPr>
            <w:tcW w:w="1588" w:type="dxa"/>
            <w:tcBorders>
              <w:right w:val="single" w:sz="4" w:space="0" w:color="auto"/>
            </w:tcBorders>
          </w:tcPr>
          <w:p w14:paraId="42F25D06"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(19.7%)</w:t>
            </w:r>
          </w:p>
        </w:tc>
        <w:tc>
          <w:tcPr>
            <w:tcW w:w="1588" w:type="dxa"/>
            <w:tcBorders>
              <w:left w:val="single" w:sz="4" w:space="0" w:color="auto"/>
            </w:tcBorders>
            <w:noWrap/>
            <w:hideMark/>
          </w:tcPr>
          <w:p w14:paraId="66E778C2"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810</w:t>
            </w:r>
          </w:p>
        </w:tc>
        <w:tc>
          <w:tcPr>
            <w:tcW w:w="1589" w:type="dxa"/>
            <w:tcBorders>
              <w:right w:val="single" w:sz="4" w:space="0" w:color="auto"/>
            </w:tcBorders>
          </w:tcPr>
          <w:p w14:paraId="5910928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(10.9%)</w:t>
            </w:r>
          </w:p>
        </w:tc>
        <w:tc>
          <w:tcPr>
            <w:tcW w:w="1396" w:type="dxa"/>
            <w:tcBorders>
              <w:left w:val="single" w:sz="4" w:space="0" w:color="auto"/>
              <w:right w:val="single" w:sz="4" w:space="0" w:color="auto"/>
            </w:tcBorders>
            <w:noWrap/>
            <w:hideMark/>
          </w:tcPr>
          <w:p w14:paraId="6BD31086" w14:textId="77777777" w:rsidR="00CD1101" w:rsidRPr="001040A5"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7</w:t>
            </w:r>
            <w:r w:rsidR="00747CDE">
              <w:rPr>
                <w:rFonts w:eastAsia="Times New Roman" w:cs="Arial"/>
                <w:b/>
                <w:color w:val="auto"/>
                <w:lang w:eastAsia="en-AU"/>
              </w:rPr>
              <w:t>,</w:t>
            </w:r>
            <w:r w:rsidRPr="001040A5">
              <w:rPr>
                <w:rFonts w:eastAsia="Times New Roman" w:cs="Arial"/>
                <w:b/>
                <w:color w:val="auto"/>
                <w:lang w:eastAsia="en-AU"/>
              </w:rPr>
              <w:t>391</w:t>
            </w:r>
          </w:p>
        </w:tc>
      </w:tr>
      <w:tr w:rsidR="00CD1101" w:rsidRPr="00F0043D" w14:paraId="3C968D66"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noWrap/>
            <w:hideMark/>
          </w:tcPr>
          <w:p w14:paraId="48459FC8"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2007</w:t>
            </w:r>
          </w:p>
        </w:tc>
        <w:tc>
          <w:tcPr>
            <w:tcW w:w="2191" w:type="dxa"/>
            <w:tcBorders>
              <w:left w:val="single" w:sz="4" w:space="0" w:color="auto"/>
            </w:tcBorders>
            <w:noWrap/>
            <w:hideMark/>
          </w:tcPr>
          <w:p w14:paraId="320FA3CF"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581</w:t>
            </w:r>
          </w:p>
        </w:tc>
        <w:tc>
          <w:tcPr>
            <w:tcW w:w="986" w:type="dxa"/>
            <w:tcBorders>
              <w:right w:val="single" w:sz="4" w:space="0" w:color="auto"/>
            </w:tcBorders>
          </w:tcPr>
          <w:p w14:paraId="1D0C021C"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(33.8%)</w:t>
            </w:r>
          </w:p>
        </w:tc>
        <w:tc>
          <w:tcPr>
            <w:tcW w:w="1589" w:type="dxa"/>
            <w:tcBorders>
              <w:left w:val="single" w:sz="4" w:space="0" w:color="auto"/>
            </w:tcBorders>
            <w:noWrap/>
            <w:hideMark/>
          </w:tcPr>
          <w:p w14:paraId="70B9B1B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432</w:t>
            </w:r>
          </w:p>
        </w:tc>
        <w:tc>
          <w:tcPr>
            <w:tcW w:w="1589" w:type="dxa"/>
            <w:tcBorders>
              <w:right w:val="single" w:sz="4" w:space="0" w:color="auto"/>
            </w:tcBorders>
          </w:tcPr>
          <w:p w14:paraId="1EE335D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(31.9%)</w:t>
            </w:r>
          </w:p>
        </w:tc>
        <w:tc>
          <w:tcPr>
            <w:tcW w:w="1589" w:type="dxa"/>
            <w:tcBorders>
              <w:left w:val="single" w:sz="4" w:space="0" w:color="auto"/>
            </w:tcBorders>
            <w:noWrap/>
            <w:hideMark/>
          </w:tcPr>
          <w:p w14:paraId="0D9423F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919</w:t>
            </w:r>
          </w:p>
        </w:tc>
        <w:tc>
          <w:tcPr>
            <w:tcW w:w="1588" w:type="dxa"/>
            <w:tcBorders>
              <w:right w:val="single" w:sz="4" w:space="0" w:color="auto"/>
            </w:tcBorders>
          </w:tcPr>
          <w:p w14:paraId="07336A95"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(25.2%)</w:t>
            </w:r>
          </w:p>
        </w:tc>
        <w:tc>
          <w:tcPr>
            <w:tcW w:w="1588" w:type="dxa"/>
            <w:tcBorders>
              <w:left w:val="single" w:sz="4" w:space="0" w:color="auto"/>
            </w:tcBorders>
            <w:noWrap/>
            <w:hideMark/>
          </w:tcPr>
          <w:p w14:paraId="5A8C990A"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698</w:t>
            </w:r>
          </w:p>
        </w:tc>
        <w:tc>
          <w:tcPr>
            <w:tcW w:w="1589" w:type="dxa"/>
            <w:tcBorders>
              <w:right w:val="single" w:sz="4" w:space="0" w:color="auto"/>
            </w:tcBorders>
          </w:tcPr>
          <w:p w14:paraId="5ED7F656"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(9.1%)</w:t>
            </w:r>
          </w:p>
        </w:tc>
        <w:tc>
          <w:tcPr>
            <w:tcW w:w="1396" w:type="dxa"/>
            <w:tcBorders>
              <w:left w:val="single" w:sz="4" w:space="0" w:color="auto"/>
              <w:right w:val="single" w:sz="4" w:space="0" w:color="auto"/>
            </w:tcBorders>
            <w:noWrap/>
            <w:hideMark/>
          </w:tcPr>
          <w:p w14:paraId="1E123C0D" w14:textId="77777777" w:rsidR="00CD1101" w:rsidRPr="001040A5"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7</w:t>
            </w:r>
            <w:r w:rsidR="00747CDE">
              <w:rPr>
                <w:rFonts w:eastAsia="Times New Roman" w:cs="Arial"/>
                <w:b/>
                <w:color w:val="auto"/>
                <w:lang w:eastAsia="en-AU"/>
              </w:rPr>
              <w:t>,</w:t>
            </w:r>
            <w:r w:rsidRPr="001040A5">
              <w:rPr>
                <w:rFonts w:eastAsia="Times New Roman" w:cs="Arial"/>
                <w:b/>
                <w:color w:val="auto"/>
                <w:lang w:eastAsia="en-AU"/>
              </w:rPr>
              <w:t>630</w:t>
            </w:r>
          </w:p>
        </w:tc>
      </w:tr>
      <w:tr w:rsidR="00CD1101" w:rsidRPr="00F0043D" w14:paraId="48BFCFAC"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noWrap/>
            <w:hideMark/>
          </w:tcPr>
          <w:p w14:paraId="76BB5140"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2008</w:t>
            </w:r>
          </w:p>
        </w:tc>
        <w:tc>
          <w:tcPr>
            <w:tcW w:w="2191" w:type="dxa"/>
            <w:tcBorders>
              <w:left w:val="single" w:sz="4" w:space="0" w:color="auto"/>
            </w:tcBorders>
            <w:noWrap/>
            <w:hideMark/>
          </w:tcPr>
          <w:p w14:paraId="0B29043B"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766</w:t>
            </w:r>
          </w:p>
        </w:tc>
        <w:tc>
          <w:tcPr>
            <w:tcW w:w="986" w:type="dxa"/>
            <w:tcBorders>
              <w:right w:val="single" w:sz="4" w:space="0" w:color="auto"/>
            </w:tcBorders>
          </w:tcPr>
          <w:p w14:paraId="3F940833"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(44.6%)</w:t>
            </w:r>
          </w:p>
        </w:tc>
        <w:tc>
          <w:tcPr>
            <w:tcW w:w="1589" w:type="dxa"/>
            <w:tcBorders>
              <w:left w:val="single" w:sz="4" w:space="0" w:color="auto"/>
            </w:tcBorders>
            <w:noWrap/>
            <w:hideMark/>
          </w:tcPr>
          <w:p w14:paraId="2D0B7248"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275</w:t>
            </w:r>
          </w:p>
        </w:tc>
        <w:tc>
          <w:tcPr>
            <w:tcW w:w="1589" w:type="dxa"/>
            <w:tcBorders>
              <w:right w:val="single" w:sz="4" w:space="0" w:color="auto"/>
            </w:tcBorders>
          </w:tcPr>
          <w:p w14:paraId="2B2C0142"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(15.1%)</w:t>
            </w:r>
          </w:p>
        </w:tc>
        <w:tc>
          <w:tcPr>
            <w:tcW w:w="1589" w:type="dxa"/>
            <w:tcBorders>
              <w:left w:val="single" w:sz="4" w:space="0" w:color="auto"/>
            </w:tcBorders>
            <w:noWrap/>
            <w:hideMark/>
          </w:tcPr>
          <w:p w14:paraId="5239174B"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606</w:t>
            </w:r>
          </w:p>
        </w:tc>
        <w:tc>
          <w:tcPr>
            <w:tcW w:w="1588" w:type="dxa"/>
            <w:tcBorders>
              <w:right w:val="single" w:sz="4" w:space="0" w:color="auto"/>
            </w:tcBorders>
          </w:tcPr>
          <w:p w14:paraId="733F7BA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(30.9%)</w:t>
            </w:r>
          </w:p>
        </w:tc>
        <w:tc>
          <w:tcPr>
            <w:tcW w:w="1588" w:type="dxa"/>
            <w:tcBorders>
              <w:left w:val="single" w:sz="4" w:space="0" w:color="auto"/>
            </w:tcBorders>
            <w:noWrap/>
            <w:hideMark/>
          </w:tcPr>
          <w:p w14:paraId="6578771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795</w:t>
            </w:r>
          </w:p>
        </w:tc>
        <w:tc>
          <w:tcPr>
            <w:tcW w:w="1589" w:type="dxa"/>
            <w:tcBorders>
              <w:right w:val="single" w:sz="4" w:space="0" w:color="auto"/>
            </w:tcBorders>
          </w:tcPr>
          <w:p w14:paraId="597E504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(9.4%)</w:t>
            </w:r>
          </w:p>
        </w:tc>
        <w:tc>
          <w:tcPr>
            <w:tcW w:w="1396" w:type="dxa"/>
            <w:tcBorders>
              <w:left w:val="single" w:sz="4" w:space="0" w:color="auto"/>
              <w:right w:val="single" w:sz="4" w:space="0" w:color="auto"/>
            </w:tcBorders>
            <w:noWrap/>
            <w:hideMark/>
          </w:tcPr>
          <w:p w14:paraId="5DDB7FB9" w14:textId="77777777" w:rsidR="00CD1101" w:rsidRPr="001040A5"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8</w:t>
            </w:r>
            <w:r w:rsidR="00747CDE">
              <w:rPr>
                <w:rFonts w:eastAsia="Times New Roman" w:cs="Arial"/>
                <w:b/>
                <w:color w:val="auto"/>
                <w:lang w:eastAsia="en-AU"/>
              </w:rPr>
              <w:t>,</w:t>
            </w:r>
            <w:r w:rsidRPr="001040A5">
              <w:rPr>
                <w:rFonts w:eastAsia="Times New Roman" w:cs="Arial"/>
                <w:b/>
                <w:color w:val="auto"/>
                <w:lang w:eastAsia="en-AU"/>
              </w:rPr>
              <w:t>442</w:t>
            </w:r>
          </w:p>
        </w:tc>
      </w:tr>
      <w:tr w:rsidR="00CD1101" w:rsidRPr="00F0043D" w14:paraId="3CEC3440"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noWrap/>
            <w:hideMark/>
          </w:tcPr>
          <w:p w14:paraId="018ECFCE"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2009</w:t>
            </w:r>
          </w:p>
        </w:tc>
        <w:tc>
          <w:tcPr>
            <w:tcW w:w="2191" w:type="dxa"/>
            <w:tcBorders>
              <w:left w:val="single" w:sz="4" w:space="0" w:color="auto"/>
            </w:tcBorders>
            <w:noWrap/>
            <w:hideMark/>
          </w:tcPr>
          <w:p w14:paraId="5EC6CEE7"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w:t>
            </w:r>
            <w:r w:rsidR="00747CDE">
              <w:rPr>
                <w:rFonts w:eastAsia="Times New Roman" w:cs="Arial"/>
                <w:color w:val="000000"/>
                <w:lang w:eastAsia="en-AU"/>
              </w:rPr>
              <w:t>,</w:t>
            </w:r>
            <w:r w:rsidRPr="00F0043D">
              <w:rPr>
                <w:rFonts w:eastAsia="Times New Roman" w:cs="Arial"/>
                <w:color w:val="000000"/>
                <w:lang w:eastAsia="en-AU"/>
              </w:rPr>
              <w:t>958</w:t>
            </w:r>
          </w:p>
        </w:tc>
        <w:tc>
          <w:tcPr>
            <w:tcW w:w="986" w:type="dxa"/>
            <w:tcBorders>
              <w:right w:val="single" w:sz="4" w:space="0" w:color="auto"/>
            </w:tcBorders>
          </w:tcPr>
          <w:p w14:paraId="0BFC4F2F"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(58.4%)</w:t>
            </w:r>
          </w:p>
        </w:tc>
        <w:tc>
          <w:tcPr>
            <w:tcW w:w="1589" w:type="dxa"/>
            <w:tcBorders>
              <w:left w:val="single" w:sz="4" w:space="0" w:color="auto"/>
            </w:tcBorders>
            <w:noWrap/>
            <w:hideMark/>
          </w:tcPr>
          <w:p w14:paraId="69768627"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507</w:t>
            </w:r>
          </w:p>
        </w:tc>
        <w:tc>
          <w:tcPr>
            <w:tcW w:w="1589" w:type="dxa"/>
            <w:tcBorders>
              <w:right w:val="single" w:sz="4" w:space="0" w:color="auto"/>
            </w:tcBorders>
          </w:tcPr>
          <w:p w14:paraId="03057C55"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w:t>
            </w:r>
          </w:p>
        </w:tc>
        <w:tc>
          <w:tcPr>
            <w:tcW w:w="1589" w:type="dxa"/>
            <w:tcBorders>
              <w:left w:val="single" w:sz="4" w:space="0" w:color="auto"/>
            </w:tcBorders>
            <w:noWrap/>
            <w:hideMark/>
          </w:tcPr>
          <w:p w14:paraId="047F8D8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819</w:t>
            </w:r>
          </w:p>
        </w:tc>
        <w:tc>
          <w:tcPr>
            <w:tcW w:w="1588" w:type="dxa"/>
            <w:tcBorders>
              <w:right w:val="single" w:sz="4" w:space="0" w:color="auto"/>
            </w:tcBorders>
          </w:tcPr>
          <w:p w14:paraId="2C64C31E"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(27.6%)</w:t>
            </w:r>
          </w:p>
        </w:tc>
        <w:tc>
          <w:tcPr>
            <w:tcW w:w="1588" w:type="dxa"/>
            <w:tcBorders>
              <w:left w:val="single" w:sz="4" w:space="0" w:color="auto"/>
            </w:tcBorders>
            <w:noWrap/>
            <w:hideMark/>
          </w:tcPr>
          <w:p w14:paraId="309E2F48"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919</w:t>
            </w:r>
          </w:p>
        </w:tc>
        <w:tc>
          <w:tcPr>
            <w:tcW w:w="1589" w:type="dxa"/>
            <w:tcBorders>
              <w:right w:val="single" w:sz="4" w:space="0" w:color="auto"/>
            </w:tcBorders>
          </w:tcPr>
          <w:p w14:paraId="3F889C22"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(9%)</w:t>
            </w:r>
          </w:p>
        </w:tc>
        <w:tc>
          <w:tcPr>
            <w:tcW w:w="1396" w:type="dxa"/>
            <w:tcBorders>
              <w:left w:val="single" w:sz="4" w:space="0" w:color="auto"/>
              <w:right w:val="single" w:sz="4" w:space="0" w:color="auto"/>
            </w:tcBorders>
            <w:noWrap/>
            <w:hideMark/>
          </w:tcPr>
          <w:p w14:paraId="76DAA4AB" w14:textId="77777777" w:rsidR="00CD1101" w:rsidRPr="001040A5"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10</w:t>
            </w:r>
            <w:r w:rsidR="00747CDE">
              <w:rPr>
                <w:rFonts w:eastAsia="Times New Roman" w:cs="Arial"/>
                <w:b/>
                <w:color w:val="auto"/>
                <w:lang w:eastAsia="en-AU"/>
              </w:rPr>
              <w:t>,</w:t>
            </w:r>
            <w:r w:rsidRPr="001040A5">
              <w:rPr>
                <w:rFonts w:eastAsia="Times New Roman" w:cs="Arial"/>
                <w:b/>
                <w:color w:val="auto"/>
                <w:lang w:eastAsia="en-AU"/>
              </w:rPr>
              <w:t>203</w:t>
            </w:r>
          </w:p>
        </w:tc>
      </w:tr>
      <w:tr w:rsidR="00CD1101" w:rsidRPr="00F0043D" w14:paraId="7AC6CD3E"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noWrap/>
            <w:hideMark/>
          </w:tcPr>
          <w:p w14:paraId="4C9D461A"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2010</w:t>
            </w:r>
          </w:p>
        </w:tc>
        <w:tc>
          <w:tcPr>
            <w:tcW w:w="2191" w:type="dxa"/>
            <w:tcBorders>
              <w:left w:val="single" w:sz="4" w:space="0" w:color="auto"/>
            </w:tcBorders>
            <w:noWrap/>
            <w:hideMark/>
          </w:tcPr>
          <w:p w14:paraId="48973EE4"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w:t>
            </w:r>
            <w:r w:rsidR="00747CDE">
              <w:rPr>
                <w:rFonts w:eastAsia="Times New Roman" w:cs="Arial"/>
                <w:color w:val="000000"/>
                <w:lang w:eastAsia="en-AU"/>
              </w:rPr>
              <w:t>,</w:t>
            </w:r>
            <w:r w:rsidRPr="00F0043D">
              <w:rPr>
                <w:rFonts w:eastAsia="Times New Roman" w:cs="Arial"/>
                <w:color w:val="000000"/>
                <w:lang w:eastAsia="en-AU"/>
              </w:rPr>
              <w:t>556</w:t>
            </w:r>
          </w:p>
        </w:tc>
        <w:tc>
          <w:tcPr>
            <w:tcW w:w="986" w:type="dxa"/>
            <w:tcBorders>
              <w:right w:val="single" w:sz="4" w:space="0" w:color="auto"/>
            </w:tcBorders>
          </w:tcPr>
          <w:p w14:paraId="6D549CC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(59.6%)</w:t>
            </w:r>
          </w:p>
        </w:tc>
        <w:tc>
          <w:tcPr>
            <w:tcW w:w="1589" w:type="dxa"/>
            <w:tcBorders>
              <w:left w:val="single" w:sz="4" w:space="0" w:color="auto"/>
            </w:tcBorders>
            <w:noWrap/>
            <w:hideMark/>
          </w:tcPr>
          <w:p w14:paraId="6210347F"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588</w:t>
            </w:r>
          </w:p>
        </w:tc>
        <w:tc>
          <w:tcPr>
            <w:tcW w:w="1589" w:type="dxa"/>
            <w:tcBorders>
              <w:right w:val="single" w:sz="4" w:space="0" w:color="auto"/>
            </w:tcBorders>
          </w:tcPr>
          <w:p w14:paraId="22BAC5AE"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(4.1%)</w:t>
            </w:r>
          </w:p>
        </w:tc>
        <w:tc>
          <w:tcPr>
            <w:tcW w:w="1589" w:type="dxa"/>
            <w:tcBorders>
              <w:left w:val="single" w:sz="4" w:space="0" w:color="auto"/>
            </w:tcBorders>
            <w:noWrap/>
            <w:hideMark/>
          </w:tcPr>
          <w:p w14:paraId="723E5A02"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154</w:t>
            </w:r>
          </w:p>
        </w:tc>
        <w:tc>
          <w:tcPr>
            <w:tcW w:w="1588" w:type="dxa"/>
            <w:tcBorders>
              <w:right w:val="single" w:sz="4" w:space="0" w:color="auto"/>
            </w:tcBorders>
          </w:tcPr>
          <w:p w14:paraId="5D0FE89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(22%)</w:t>
            </w:r>
          </w:p>
        </w:tc>
        <w:tc>
          <w:tcPr>
            <w:tcW w:w="1588" w:type="dxa"/>
            <w:tcBorders>
              <w:left w:val="single" w:sz="4" w:space="0" w:color="auto"/>
            </w:tcBorders>
            <w:noWrap/>
            <w:hideMark/>
          </w:tcPr>
          <w:p w14:paraId="465B28BF"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046</w:t>
            </w:r>
          </w:p>
        </w:tc>
        <w:tc>
          <w:tcPr>
            <w:tcW w:w="1589" w:type="dxa"/>
            <w:tcBorders>
              <w:right w:val="single" w:sz="4" w:space="0" w:color="auto"/>
            </w:tcBorders>
          </w:tcPr>
          <w:p w14:paraId="32370832"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(14.3%)</w:t>
            </w:r>
          </w:p>
        </w:tc>
        <w:tc>
          <w:tcPr>
            <w:tcW w:w="1396" w:type="dxa"/>
            <w:tcBorders>
              <w:left w:val="single" w:sz="4" w:space="0" w:color="auto"/>
              <w:right w:val="single" w:sz="4" w:space="0" w:color="auto"/>
            </w:tcBorders>
            <w:noWrap/>
            <w:hideMark/>
          </w:tcPr>
          <w:p w14:paraId="044233B8" w14:textId="77777777" w:rsidR="00CD1101" w:rsidRPr="001040A5"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14</w:t>
            </w:r>
            <w:r w:rsidR="00747CDE">
              <w:rPr>
                <w:rFonts w:eastAsia="Times New Roman" w:cs="Arial"/>
                <w:b/>
                <w:color w:val="auto"/>
                <w:lang w:eastAsia="en-AU"/>
              </w:rPr>
              <w:t>,</w:t>
            </w:r>
            <w:r w:rsidRPr="001040A5">
              <w:rPr>
                <w:rFonts w:eastAsia="Times New Roman" w:cs="Arial"/>
                <w:b/>
                <w:color w:val="auto"/>
                <w:lang w:eastAsia="en-AU"/>
              </w:rPr>
              <w:t>344</w:t>
            </w:r>
          </w:p>
        </w:tc>
      </w:tr>
      <w:tr w:rsidR="00CD1101" w:rsidRPr="00F0043D" w14:paraId="48A0B15C"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noWrap/>
            <w:hideMark/>
          </w:tcPr>
          <w:p w14:paraId="37BCB497"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2011</w:t>
            </w:r>
          </w:p>
        </w:tc>
        <w:tc>
          <w:tcPr>
            <w:tcW w:w="2191" w:type="dxa"/>
            <w:tcBorders>
              <w:left w:val="single" w:sz="4" w:space="0" w:color="auto"/>
            </w:tcBorders>
            <w:noWrap/>
            <w:hideMark/>
          </w:tcPr>
          <w:p w14:paraId="5D68E27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10</w:t>
            </w:r>
            <w:r w:rsidR="00747CDE">
              <w:rPr>
                <w:rFonts w:eastAsia="Times New Roman" w:cs="Arial"/>
                <w:color w:val="000000"/>
                <w:lang w:eastAsia="en-AU"/>
              </w:rPr>
              <w:t>,</w:t>
            </w:r>
            <w:r w:rsidRPr="00F0043D">
              <w:rPr>
                <w:rFonts w:eastAsia="Times New Roman" w:cs="Arial"/>
                <w:color w:val="000000"/>
                <w:lang w:eastAsia="en-AU"/>
              </w:rPr>
              <w:t>450</w:t>
            </w:r>
          </w:p>
        </w:tc>
        <w:tc>
          <w:tcPr>
            <w:tcW w:w="986" w:type="dxa"/>
            <w:tcBorders>
              <w:right w:val="single" w:sz="4" w:space="0" w:color="auto"/>
            </w:tcBorders>
          </w:tcPr>
          <w:p w14:paraId="1BC3DDDF"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(66.2%)</w:t>
            </w:r>
          </w:p>
        </w:tc>
        <w:tc>
          <w:tcPr>
            <w:tcW w:w="1589" w:type="dxa"/>
            <w:tcBorders>
              <w:left w:val="single" w:sz="4" w:space="0" w:color="auto"/>
            </w:tcBorders>
            <w:noWrap/>
            <w:hideMark/>
          </w:tcPr>
          <w:p w14:paraId="44237F2A"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750</w:t>
            </w:r>
          </w:p>
        </w:tc>
        <w:tc>
          <w:tcPr>
            <w:tcW w:w="1589" w:type="dxa"/>
            <w:tcBorders>
              <w:right w:val="single" w:sz="4" w:space="0" w:color="auto"/>
            </w:tcBorders>
          </w:tcPr>
          <w:p w14:paraId="20D24F38"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(4.7%)</w:t>
            </w:r>
          </w:p>
        </w:tc>
        <w:tc>
          <w:tcPr>
            <w:tcW w:w="1589" w:type="dxa"/>
            <w:tcBorders>
              <w:left w:val="single" w:sz="4" w:space="0" w:color="auto"/>
            </w:tcBorders>
            <w:noWrap/>
            <w:hideMark/>
          </w:tcPr>
          <w:p w14:paraId="3F35CC78"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823</w:t>
            </w:r>
          </w:p>
        </w:tc>
        <w:tc>
          <w:tcPr>
            <w:tcW w:w="1588" w:type="dxa"/>
            <w:tcBorders>
              <w:right w:val="single" w:sz="4" w:space="0" w:color="auto"/>
            </w:tcBorders>
          </w:tcPr>
          <w:p w14:paraId="0DF1E91E"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(17.9%)</w:t>
            </w:r>
          </w:p>
        </w:tc>
        <w:tc>
          <w:tcPr>
            <w:tcW w:w="1588" w:type="dxa"/>
            <w:tcBorders>
              <w:left w:val="single" w:sz="4" w:space="0" w:color="auto"/>
            </w:tcBorders>
            <w:noWrap/>
            <w:hideMark/>
          </w:tcPr>
          <w:p w14:paraId="1488EF5B"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771</w:t>
            </w:r>
          </w:p>
        </w:tc>
        <w:tc>
          <w:tcPr>
            <w:tcW w:w="1589" w:type="dxa"/>
            <w:tcBorders>
              <w:right w:val="single" w:sz="4" w:space="0" w:color="auto"/>
            </w:tcBorders>
          </w:tcPr>
          <w:p w14:paraId="64532629"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(11.2%)</w:t>
            </w:r>
          </w:p>
        </w:tc>
        <w:tc>
          <w:tcPr>
            <w:tcW w:w="1396" w:type="dxa"/>
            <w:tcBorders>
              <w:left w:val="single" w:sz="4" w:space="0" w:color="auto"/>
              <w:right w:val="single" w:sz="4" w:space="0" w:color="auto"/>
            </w:tcBorders>
            <w:noWrap/>
            <w:hideMark/>
          </w:tcPr>
          <w:p w14:paraId="64EBE442" w14:textId="77777777" w:rsidR="00CD1101" w:rsidRPr="001040A5"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15</w:t>
            </w:r>
            <w:r w:rsidR="00747CDE">
              <w:rPr>
                <w:rFonts w:eastAsia="Times New Roman" w:cs="Arial"/>
                <w:b/>
                <w:color w:val="auto"/>
                <w:lang w:eastAsia="en-AU"/>
              </w:rPr>
              <w:t>,</w:t>
            </w:r>
            <w:r w:rsidRPr="001040A5">
              <w:rPr>
                <w:rFonts w:eastAsia="Times New Roman" w:cs="Arial"/>
                <w:b/>
                <w:color w:val="auto"/>
                <w:lang w:eastAsia="en-AU"/>
              </w:rPr>
              <w:t>794</w:t>
            </w:r>
          </w:p>
        </w:tc>
      </w:tr>
      <w:tr w:rsidR="00CD1101" w:rsidRPr="00F0043D" w14:paraId="4563A455"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bottom w:val="single" w:sz="4" w:space="0" w:color="auto"/>
              <w:right w:val="single" w:sz="4" w:space="0" w:color="auto"/>
            </w:tcBorders>
            <w:noWrap/>
            <w:hideMark/>
          </w:tcPr>
          <w:p w14:paraId="57C0FA26"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2012</w:t>
            </w:r>
          </w:p>
        </w:tc>
        <w:tc>
          <w:tcPr>
            <w:tcW w:w="2191" w:type="dxa"/>
            <w:tcBorders>
              <w:left w:val="single" w:sz="4" w:space="0" w:color="auto"/>
              <w:bottom w:val="single" w:sz="4" w:space="0" w:color="auto"/>
            </w:tcBorders>
            <w:noWrap/>
            <w:hideMark/>
          </w:tcPr>
          <w:p w14:paraId="21497AF1"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14</w:t>
            </w:r>
            <w:r w:rsidR="00747CDE">
              <w:rPr>
                <w:rFonts w:eastAsia="Times New Roman" w:cs="Arial"/>
                <w:color w:val="000000"/>
                <w:lang w:eastAsia="en-AU"/>
              </w:rPr>
              <w:t>,</w:t>
            </w:r>
            <w:r w:rsidRPr="00F0043D">
              <w:rPr>
                <w:rFonts w:eastAsia="Times New Roman" w:cs="Arial"/>
                <w:color w:val="000000"/>
                <w:lang w:eastAsia="en-AU"/>
              </w:rPr>
              <w:t>139</w:t>
            </w:r>
          </w:p>
        </w:tc>
        <w:tc>
          <w:tcPr>
            <w:tcW w:w="986" w:type="dxa"/>
            <w:tcBorders>
              <w:bottom w:val="single" w:sz="4" w:space="0" w:color="auto"/>
              <w:right w:val="single" w:sz="4" w:space="0" w:color="auto"/>
            </w:tcBorders>
          </w:tcPr>
          <w:p w14:paraId="1AFE420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(67.4%)</w:t>
            </w:r>
          </w:p>
        </w:tc>
        <w:tc>
          <w:tcPr>
            <w:tcW w:w="1589" w:type="dxa"/>
            <w:tcBorders>
              <w:left w:val="single" w:sz="4" w:space="0" w:color="auto"/>
              <w:bottom w:val="single" w:sz="4" w:space="0" w:color="auto"/>
            </w:tcBorders>
            <w:noWrap/>
            <w:hideMark/>
          </w:tcPr>
          <w:p w14:paraId="27389FA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621</w:t>
            </w:r>
          </w:p>
        </w:tc>
        <w:tc>
          <w:tcPr>
            <w:tcW w:w="1589" w:type="dxa"/>
            <w:tcBorders>
              <w:bottom w:val="single" w:sz="4" w:space="0" w:color="auto"/>
              <w:right w:val="single" w:sz="4" w:space="0" w:color="auto"/>
            </w:tcBorders>
          </w:tcPr>
          <w:p w14:paraId="4252771B"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w:t>
            </w:r>
          </w:p>
        </w:tc>
        <w:tc>
          <w:tcPr>
            <w:tcW w:w="1589" w:type="dxa"/>
            <w:tcBorders>
              <w:left w:val="single" w:sz="4" w:space="0" w:color="auto"/>
              <w:bottom w:val="single" w:sz="4" w:space="0" w:color="auto"/>
            </w:tcBorders>
            <w:noWrap/>
            <w:hideMark/>
          </w:tcPr>
          <w:p w14:paraId="70B016AE"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452</w:t>
            </w:r>
          </w:p>
        </w:tc>
        <w:tc>
          <w:tcPr>
            <w:tcW w:w="1588" w:type="dxa"/>
            <w:tcBorders>
              <w:bottom w:val="single" w:sz="4" w:space="0" w:color="auto"/>
              <w:right w:val="single" w:sz="4" w:space="0" w:color="auto"/>
            </w:tcBorders>
          </w:tcPr>
          <w:p w14:paraId="2E63032E"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(16.4%)</w:t>
            </w:r>
          </w:p>
        </w:tc>
        <w:tc>
          <w:tcPr>
            <w:tcW w:w="1588" w:type="dxa"/>
            <w:tcBorders>
              <w:left w:val="single" w:sz="4" w:space="0" w:color="auto"/>
              <w:bottom w:val="single" w:sz="4" w:space="0" w:color="auto"/>
            </w:tcBorders>
            <w:noWrap/>
            <w:hideMark/>
          </w:tcPr>
          <w:p w14:paraId="277DB9D4"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780</w:t>
            </w:r>
          </w:p>
        </w:tc>
        <w:tc>
          <w:tcPr>
            <w:tcW w:w="1589" w:type="dxa"/>
            <w:tcBorders>
              <w:bottom w:val="single" w:sz="4" w:space="0" w:color="auto"/>
              <w:right w:val="single" w:sz="4" w:space="0" w:color="auto"/>
            </w:tcBorders>
          </w:tcPr>
          <w:p w14:paraId="1D4EC3BF"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(13.2%)</w:t>
            </w:r>
          </w:p>
        </w:tc>
        <w:tc>
          <w:tcPr>
            <w:tcW w:w="1396" w:type="dxa"/>
            <w:tcBorders>
              <w:left w:val="single" w:sz="4" w:space="0" w:color="auto"/>
              <w:bottom w:val="single" w:sz="4" w:space="0" w:color="auto"/>
              <w:right w:val="single" w:sz="4" w:space="0" w:color="auto"/>
            </w:tcBorders>
            <w:noWrap/>
            <w:hideMark/>
          </w:tcPr>
          <w:p w14:paraId="71B84608" w14:textId="77777777" w:rsidR="00CD1101" w:rsidRPr="001040A5"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20</w:t>
            </w:r>
            <w:r w:rsidR="00747CDE">
              <w:rPr>
                <w:rFonts w:eastAsia="Times New Roman" w:cs="Arial"/>
                <w:b/>
                <w:color w:val="auto"/>
                <w:lang w:eastAsia="en-AU"/>
              </w:rPr>
              <w:t>,</w:t>
            </w:r>
            <w:r w:rsidRPr="001040A5">
              <w:rPr>
                <w:rFonts w:eastAsia="Times New Roman" w:cs="Arial"/>
                <w:b/>
                <w:color w:val="auto"/>
                <w:lang w:eastAsia="en-AU"/>
              </w:rPr>
              <w:t>992</w:t>
            </w:r>
          </w:p>
        </w:tc>
      </w:tr>
      <w:tr w:rsidR="002418F8" w:rsidRPr="001040A5" w14:paraId="46DA8B3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noWrap/>
            <w:hideMark/>
          </w:tcPr>
          <w:p w14:paraId="1AA41B6F" w14:textId="77777777" w:rsidR="00CD1101" w:rsidRPr="001040A5" w:rsidRDefault="00CD1101" w:rsidP="00CE2FDF">
            <w:pPr>
              <w:tabs>
                <w:tab w:val="left" w:pos="1134"/>
              </w:tabs>
              <w:spacing w:before="0" w:line="276" w:lineRule="auto"/>
              <w:rPr>
                <w:rFonts w:ascii="Calibri" w:eastAsia="Times New Roman" w:hAnsi="Calibri" w:cs="Arial"/>
                <w:bCs w:val="0"/>
                <w:color w:val="auto"/>
                <w:lang w:eastAsia="en-AU"/>
              </w:rPr>
            </w:pPr>
            <w:r w:rsidRPr="001040A5">
              <w:rPr>
                <w:rFonts w:ascii="Calibri" w:eastAsia="Times New Roman" w:hAnsi="Calibri" w:cs="Arial"/>
                <w:bCs w:val="0"/>
                <w:color w:val="auto"/>
                <w:lang w:eastAsia="en-AU"/>
              </w:rPr>
              <w:t>Totals:</w:t>
            </w:r>
          </w:p>
        </w:tc>
        <w:tc>
          <w:tcPr>
            <w:tcW w:w="2191" w:type="dxa"/>
            <w:tcBorders>
              <w:top w:val="single" w:sz="4" w:space="0" w:color="auto"/>
              <w:left w:val="single" w:sz="4" w:space="0" w:color="auto"/>
              <w:bottom w:val="single" w:sz="4" w:space="0" w:color="auto"/>
            </w:tcBorders>
            <w:noWrap/>
            <w:hideMark/>
          </w:tcPr>
          <w:p w14:paraId="24BD40E6" w14:textId="77777777" w:rsidR="00CD1101" w:rsidRPr="001040A5"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58</w:t>
            </w:r>
            <w:r w:rsidR="00747CDE">
              <w:rPr>
                <w:rFonts w:eastAsia="Times New Roman" w:cs="Arial"/>
                <w:b/>
                <w:color w:val="auto"/>
                <w:lang w:eastAsia="en-AU"/>
              </w:rPr>
              <w:t>,</w:t>
            </w:r>
            <w:r w:rsidRPr="001040A5">
              <w:rPr>
                <w:rFonts w:eastAsia="Times New Roman" w:cs="Arial"/>
                <w:b/>
                <w:color w:val="auto"/>
                <w:lang w:eastAsia="en-AU"/>
              </w:rPr>
              <w:t>120</w:t>
            </w:r>
          </w:p>
        </w:tc>
        <w:tc>
          <w:tcPr>
            <w:tcW w:w="986" w:type="dxa"/>
            <w:tcBorders>
              <w:top w:val="single" w:sz="4" w:space="0" w:color="auto"/>
              <w:bottom w:val="single" w:sz="4" w:space="0" w:color="auto"/>
              <w:right w:val="single" w:sz="4" w:space="0" w:color="auto"/>
            </w:tcBorders>
          </w:tcPr>
          <w:p w14:paraId="0B6F8DA7"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(55.4%)</w:t>
            </w:r>
          </w:p>
        </w:tc>
        <w:tc>
          <w:tcPr>
            <w:tcW w:w="1589" w:type="dxa"/>
            <w:tcBorders>
              <w:top w:val="single" w:sz="4" w:space="0" w:color="auto"/>
              <w:left w:val="single" w:sz="4" w:space="0" w:color="auto"/>
              <w:bottom w:val="single" w:sz="4" w:space="0" w:color="auto"/>
            </w:tcBorders>
            <w:noWrap/>
            <w:hideMark/>
          </w:tcPr>
          <w:p w14:paraId="5199E7D4"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12</w:t>
            </w:r>
            <w:r w:rsidR="00747CDE">
              <w:rPr>
                <w:rFonts w:eastAsia="Times New Roman" w:cs="Arial"/>
                <w:b/>
                <w:color w:val="auto"/>
                <w:lang w:eastAsia="en-AU"/>
              </w:rPr>
              <w:t>,</w:t>
            </w:r>
            <w:r w:rsidRPr="00747CDE">
              <w:rPr>
                <w:rFonts w:eastAsia="Times New Roman" w:cs="Arial"/>
                <w:b/>
                <w:color w:val="auto"/>
                <w:lang w:eastAsia="en-AU"/>
              </w:rPr>
              <w:t>485</w:t>
            </w:r>
          </w:p>
        </w:tc>
        <w:tc>
          <w:tcPr>
            <w:tcW w:w="1589" w:type="dxa"/>
            <w:tcBorders>
              <w:top w:val="single" w:sz="4" w:space="0" w:color="auto"/>
              <w:bottom w:val="single" w:sz="4" w:space="0" w:color="auto"/>
              <w:right w:val="single" w:sz="4" w:space="0" w:color="auto"/>
            </w:tcBorders>
          </w:tcPr>
          <w:p w14:paraId="185F97A5"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(11.9%)</w:t>
            </w:r>
          </w:p>
        </w:tc>
        <w:tc>
          <w:tcPr>
            <w:tcW w:w="1589" w:type="dxa"/>
            <w:tcBorders>
              <w:top w:val="single" w:sz="4" w:space="0" w:color="auto"/>
              <w:left w:val="single" w:sz="4" w:space="0" w:color="auto"/>
              <w:bottom w:val="single" w:sz="4" w:space="0" w:color="auto"/>
            </w:tcBorders>
            <w:noWrap/>
            <w:hideMark/>
          </w:tcPr>
          <w:p w14:paraId="26495070"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21</w:t>
            </w:r>
            <w:r w:rsidR="00747CDE">
              <w:rPr>
                <w:rFonts w:eastAsia="Times New Roman" w:cs="Arial"/>
                <w:b/>
                <w:color w:val="auto"/>
                <w:lang w:eastAsia="en-AU"/>
              </w:rPr>
              <w:t>,</w:t>
            </w:r>
            <w:r w:rsidRPr="00747CDE">
              <w:rPr>
                <w:rFonts w:eastAsia="Times New Roman" w:cs="Arial"/>
                <w:b/>
                <w:color w:val="auto"/>
                <w:lang w:eastAsia="en-AU"/>
              </w:rPr>
              <w:t>830</w:t>
            </w:r>
          </w:p>
        </w:tc>
        <w:tc>
          <w:tcPr>
            <w:tcW w:w="1588" w:type="dxa"/>
            <w:tcBorders>
              <w:top w:val="single" w:sz="4" w:space="0" w:color="auto"/>
              <w:bottom w:val="single" w:sz="4" w:space="0" w:color="auto"/>
              <w:right w:val="single" w:sz="4" w:space="0" w:color="auto"/>
            </w:tcBorders>
          </w:tcPr>
          <w:p w14:paraId="659F94B4"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(20.8%)</w:t>
            </w:r>
          </w:p>
        </w:tc>
        <w:tc>
          <w:tcPr>
            <w:tcW w:w="1588" w:type="dxa"/>
            <w:tcBorders>
              <w:top w:val="single" w:sz="4" w:space="0" w:color="auto"/>
              <w:left w:val="single" w:sz="4" w:space="0" w:color="auto"/>
              <w:bottom w:val="single" w:sz="4" w:space="0" w:color="auto"/>
            </w:tcBorders>
            <w:noWrap/>
            <w:hideMark/>
          </w:tcPr>
          <w:p w14:paraId="3618AA30"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12</w:t>
            </w:r>
            <w:r w:rsidR="00747CDE">
              <w:rPr>
                <w:rFonts w:eastAsia="Times New Roman" w:cs="Arial"/>
                <w:b/>
                <w:color w:val="auto"/>
                <w:lang w:eastAsia="en-AU"/>
              </w:rPr>
              <w:t>,</w:t>
            </w:r>
            <w:r w:rsidRPr="00747CDE">
              <w:rPr>
                <w:rFonts w:eastAsia="Times New Roman" w:cs="Arial"/>
                <w:b/>
                <w:color w:val="auto"/>
                <w:lang w:eastAsia="en-AU"/>
              </w:rPr>
              <w:t>424</w:t>
            </w:r>
          </w:p>
        </w:tc>
        <w:tc>
          <w:tcPr>
            <w:tcW w:w="1589" w:type="dxa"/>
            <w:tcBorders>
              <w:top w:val="single" w:sz="4" w:space="0" w:color="auto"/>
              <w:bottom w:val="single" w:sz="4" w:space="0" w:color="auto"/>
              <w:right w:val="single" w:sz="4" w:space="0" w:color="auto"/>
            </w:tcBorders>
          </w:tcPr>
          <w:p w14:paraId="6B45C362"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(11.8%)</w:t>
            </w:r>
          </w:p>
        </w:tc>
        <w:tc>
          <w:tcPr>
            <w:tcW w:w="1396" w:type="dxa"/>
            <w:tcBorders>
              <w:top w:val="single" w:sz="4" w:space="0" w:color="auto"/>
              <w:left w:val="single" w:sz="4" w:space="0" w:color="auto"/>
              <w:bottom w:val="single" w:sz="4" w:space="0" w:color="auto"/>
              <w:right w:val="single" w:sz="4" w:space="0" w:color="auto"/>
            </w:tcBorders>
            <w:noWrap/>
            <w:hideMark/>
          </w:tcPr>
          <w:p w14:paraId="6E657F89" w14:textId="77777777" w:rsidR="00CD1101" w:rsidRPr="001040A5"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104</w:t>
            </w:r>
            <w:r w:rsidR="00747CDE">
              <w:rPr>
                <w:rFonts w:eastAsia="Times New Roman" w:cs="Arial"/>
                <w:b/>
                <w:color w:val="auto"/>
                <w:lang w:eastAsia="en-AU"/>
              </w:rPr>
              <w:t>,</w:t>
            </w:r>
            <w:r w:rsidRPr="001040A5">
              <w:rPr>
                <w:rFonts w:eastAsia="Times New Roman" w:cs="Arial"/>
                <w:b/>
                <w:color w:val="auto"/>
                <w:lang w:eastAsia="en-AU"/>
              </w:rPr>
              <w:t>859</w:t>
            </w:r>
          </w:p>
        </w:tc>
      </w:tr>
    </w:tbl>
    <w:p w14:paraId="2FE91D9C" w14:textId="77777777" w:rsidR="002F6188" w:rsidRPr="0006220F" w:rsidRDefault="002F6188" w:rsidP="005E613E">
      <w:pPr>
        <w:pStyle w:val="Heading6"/>
        <w:spacing w:before="240" w:after="240"/>
      </w:pPr>
      <w:r w:rsidRPr="0006220F">
        <w:t xml:space="preserve">Line graph for table 1.26.9: Reports by police, by year, by abuse type </w:t>
      </w:r>
    </w:p>
    <w:p w14:paraId="1D21AE62" w14:textId="77777777" w:rsidR="005D61DD" w:rsidRDefault="00CD1101" w:rsidP="0095311F">
      <w:pPr>
        <w:pStyle w:val="Figureheading"/>
      </w:pPr>
      <w:r w:rsidRPr="00CD1101">
        <w:rPr>
          <w:noProof/>
          <w:lang w:eastAsia="en-AU"/>
        </w:rPr>
        <w:drawing>
          <wp:inline distT="0" distB="0" distL="0" distR="0" wp14:anchorId="7F2210EB" wp14:editId="373AF95F">
            <wp:extent cx="9420225" cy="2076450"/>
            <wp:effectExtent l="0" t="0" r="9525" b="0"/>
            <wp:docPr id="25" name="Chart 21" descr="Shows a higher increase in reports by police of emotional abuse, followed by physical abuse and sexual abuse and neglect." title="Line graph for table 1.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80128E">
        <w:br w:type="page"/>
      </w:r>
      <w:bookmarkStart w:id="81" w:name="_Toc382206753"/>
      <w:r w:rsidR="005D61DD">
        <w:lastRenderedPageBreak/>
        <w:t>1.26.10</w:t>
      </w:r>
      <w:r w:rsidR="005D61DD">
        <w:tab/>
      </w:r>
      <w:bookmarkEnd w:id="81"/>
      <w:r w:rsidR="005D61DD">
        <w:t>Reports by police, by year, by outcome of reports (number and percentage)</w:t>
      </w:r>
    </w:p>
    <w:tbl>
      <w:tblPr>
        <w:tblStyle w:val="LightShading-Accent2"/>
        <w:tblW w:w="5000" w:type="pct"/>
        <w:tblLook w:val="04A0" w:firstRow="1" w:lastRow="0" w:firstColumn="1" w:lastColumn="0" w:noHBand="0" w:noVBand="1"/>
        <w:tblCaption w:val="Reports by police, by year, by outcome of reports (number and percentage)"/>
      </w:tblPr>
      <w:tblGrid>
        <w:gridCol w:w="1028"/>
        <w:gridCol w:w="2144"/>
        <w:gridCol w:w="1124"/>
        <w:gridCol w:w="1665"/>
        <w:gridCol w:w="1124"/>
        <w:gridCol w:w="1848"/>
        <w:gridCol w:w="1124"/>
        <w:gridCol w:w="2310"/>
        <w:gridCol w:w="1251"/>
        <w:gridCol w:w="1168"/>
      </w:tblGrid>
      <w:tr w:rsidR="002418F8" w:rsidRPr="00FC5C7E" w14:paraId="6CBF4AF7" w14:textId="77777777" w:rsidTr="00B605CE">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02BAEBC" w14:textId="77777777" w:rsidR="00EB4A8B" w:rsidRPr="00FC5C7E" w:rsidRDefault="00EB4A8B" w:rsidP="00CE2FDF">
            <w:pPr>
              <w:tabs>
                <w:tab w:val="left" w:pos="1134"/>
              </w:tabs>
              <w:spacing w:before="0" w:line="276" w:lineRule="auto"/>
              <w:rPr>
                <w:rFonts w:eastAsia="Times New Roman" w:cs="Arial"/>
                <w:bCs w:val="0"/>
                <w:color w:val="auto"/>
                <w:lang w:eastAsia="en-AU"/>
              </w:rPr>
            </w:pPr>
          </w:p>
        </w:tc>
        <w:tc>
          <w:tcPr>
            <w:tcW w:w="725" w:type="pct"/>
            <w:tcBorders>
              <w:top w:val="single" w:sz="4" w:space="0" w:color="auto"/>
              <w:left w:val="single" w:sz="4" w:space="0" w:color="auto"/>
              <w:bottom w:val="single" w:sz="4" w:space="0" w:color="auto"/>
            </w:tcBorders>
            <w:shd w:val="clear" w:color="auto" w:fill="95B3D7" w:themeFill="accent1" w:themeFillTint="99"/>
            <w:vAlign w:val="center"/>
            <w:hideMark/>
          </w:tcPr>
          <w:p w14:paraId="16DB2091"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investigated</w:t>
            </w:r>
          </w:p>
        </w:tc>
        <w:tc>
          <w:tcPr>
            <w:tcW w:w="380" w:type="pct"/>
            <w:tcBorders>
              <w:top w:val="single" w:sz="4" w:space="0" w:color="auto"/>
              <w:bottom w:val="single" w:sz="4" w:space="0" w:color="auto"/>
              <w:right w:val="single" w:sz="4" w:space="0" w:color="auto"/>
            </w:tcBorders>
            <w:shd w:val="clear" w:color="auto" w:fill="95B3D7" w:themeFill="accent1" w:themeFillTint="99"/>
            <w:vAlign w:val="center"/>
          </w:tcPr>
          <w:p w14:paraId="6F7D0BFA"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563" w:type="pct"/>
            <w:tcBorders>
              <w:top w:val="single" w:sz="4" w:space="0" w:color="auto"/>
              <w:bottom w:val="single" w:sz="4" w:space="0" w:color="auto"/>
            </w:tcBorders>
            <w:shd w:val="clear" w:color="auto" w:fill="95B3D7" w:themeFill="accent1" w:themeFillTint="99"/>
            <w:vAlign w:val="center"/>
          </w:tcPr>
          <w:p w14:paraId="2B416398"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Investigated</w:t>
            </w:r>
          </w:p>
        </w:tc>
        <w:tc>
          <w:tcPr>
            <w:tcW w:w="380" w:type="pct"/>
            <w:tcBorders>
              <w:top w:val="single" w:sz="4" w:space="0" w:color="auto"/>
              <w:bottom w:val="single" w:sz="4" w:space="0" w:color="auto"/>
            </w:tcBorders>
            <w:shd w:val="clear" w:color="auto" w:fill="95B3D7" w:themeFill="accent1" w:themeFillTint="99"/>
            <w:vAlign w:val="center"/>
          </w:tcPr>
          <w:p w14:paraId="069675BF"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625" w:type="pct"/>
            <w:tcBorders>
              <w:top w:val="single" w:sz="4" w:space="0" w:color="auto"/>
              <w:left w:val="single" w:sz="4" w:space="0" w:color="auto"/>
              <w:bottom w:val="single" w:sz="4" w:space="0" w:color="auto"/>
            </w:tcBorders>
            <w:shd w:val="clear" w:color="auto" w:fill="95B3D7" w:themeFill="accent1" w:themeFillTint="99"/>
            <w:vAlign w:val="center"/>
            <w:hideMark/>
          </w:tcPr>
          <w:p w14:paraId="552FC45A"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Substantiated</w:t>
            </w:r>
          </w:p>
        </w:tc>
        <w:tc>
          <w:tcPr>
            <w:tcW w:w="380" w:type="pct"/>
            <w:tcBorders>
              <w:top w:val="single" w:sz="4" w:space="0" w:color="auto"/>
              <w:bottom w:val="single" w:sz="4" w:space="0" w:color="auto"/>
              <w:right w:val="single" w:sz="4" w:space="0" w:color="auto"/>
            </w:tcBorders>
            <w:shd w:val="clear" w:color="auto" w:fill="95B3D7" w:themeFill="accent1" w:themeFillTint="99"/>
            <w:vAlign w:val="center"/>
          </w:tcPr>
          <w:p w14:paraId="248C91BB"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781" w:type="pct"/>
            <w:tcBorders>
              <w:top w:val="single" w:sz="4" w:space="0" w:color="auto"/>
              <w:left w:val="single" w:sz="4" w:space="0" w:color="auto"/>
              <w:bottom w:val="single" w:sz="4" w:space="0" w:color="auto"/>
            </w:tcBorders>
            <w:shd w:val="clear" w:color="auto" w:fill="95B3D7" w:themeFill="accent1" w:themeFillTint="99"/>
            <w:vAlign w:val="center"/>
            <w:hideMark/>
          </w:tcPr>
          <w:p w14:paraId="3FBF6F07"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substantiated</w:t>
            </w:r>
          </w:p>
        </w:tc>
        <w:tc>
          <w:tcPr>
            <w:tcW w:w="423" w:type="pct"/>
            <w:tcBorders>
              <w:top w:val="single" w:sz="4" w:space="0" w:color="auto"/>
              <w:bottom w:val="single" w:sz="4" w:space="0" w:color="auto"/>
              <w:right w:val="single" w:sz="4" w:space="0" w:color="auto"/>
            </w:tcBorders>
            <w:shd w:val="clear" w:color="auto" w:fill="95B3D7" w:themeFill="accent1" w:themeFillTint="99"/>
            <w:vAlign w:val="center"/>
          </w:tcPr>
          <w:p w14:paraId="2E132CF2" w14:textId="77777777" w:rsidR="00EB4A8B" w:rsidRPr="00FC5C7E" w:rsidRDefault="00EB4A8B" w:rsidP="00CE2FDF">
            <w:pPr>
              <w:tabs>
                <w:tab w:val="left" w:pos="1134"/>
              </w:tabs>
              <w:spacing w:before="0" w:line="276" w:lineRule="auto"/>
              <w:ind w:right="-108"/>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39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0B00BBE"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Total</w:t>
            </w:r>
          </w:p>
        </w:tc>
      </w:tr>
      <w:tr w:rsidR="002418F8" w:rsidRPr="00FC5C7E" w14:paraId="5DF14EA6"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right w:val="single" w:sz="4" w:space="0" w:color="auto"/>
            </w:tcBorders>
            <w:shd w:val="clear" w:color="auto" w:fill="DBE5F1" w:themeFill="accent1" w:themeFillTint="33"/>
            <w:noWrap/>
          </w:tcPr>
          <w:p w14:paraId="01ABE8DC"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2003</w:t>
            </w:r>
          </w:p>
        </w:tc>
        <w:tc>
          <w:tcPr>
            <w:tcW w:w="725" w:type="pct"/>
            <w:tcBorders>
              <w:top w:val="single" w:sz="4" w:space="0" w:color="auto"/>
              <w:left w:val="single" w:sz="4" w:space="0" w:color="auto"/>
            </w:tcBorders>
            <w:shd w:val="clear" w:color="auto" w:fill="DBE5F1" w:themeFill="accent1" w:themeFillTint="33"/>
            <w:noWrap/>
            <w:hideMark/>
          </w:tcPr>
          <w:p w14:paraId="3B10EE9A"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w:t>
            </w:r>
            <w:r>
              <w:rPr>
                <w:rFonts w:eastAsia="Times New Roman" w:cs="Arial"/>
                <w:color w:val="000000"/>
                <w:lang w:eastAsia="en-AU"/>
              </w:rPr>
              <w:t>,</w:t>
            </w:r>
            <w:r w:rsidRPr="00F0043D">
              <w:rPr>
                <w:rFonts w:eastAsia="Times New Roman" w:cs="Arial"/>
                <w:color w:val="000000"/>
                <w:lang w:eastAsia="en-AU"/>
              </w:rPr>
              <w:t>053</w:t>
            </w:r>
          </w:p>
        </w:tc>
        <w:tc>
          <w:tcPr>
            <w:tcW w:w="380" w:type="pct"/>
            <w:tcBorders>
              <w:top w:val="single" w:sz="4" w:space="0" w:color="auto"/>
              <w:right w:val="single" w:sz="4" w:space="0" w:color="auto"/>
            </w:tcBorders>
            <w:shd w:val="clear" w:color="auto" w:fill="DBE5F1" w:themeFill="accent1" w:themeFillTint="33"/>
          </w:tcPr>
          <w:p w14:paraId="139E6A02"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(62.2%)</w:t>
            </w:r>
          </w:p>
        </w:tc>
        <w:tc>
          <w:tcPr>
            <w:tcW w:w="563" w:type="pct"/>
            <w:tcBorders>
              <w:top w:val="single" w:sz="4" w:space="0" w:color="auto"/>
            </w:tcBorders>
            <w:shd w:val="clear" w:color="auto" w:fill="DBE5F1" w:themeFill="accent1" w:themeFillTint="33"/>
          </w:tcPr>
          <w:p w14:paraId="3F5593F6"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Pr>
                <w:rFonts w:eastAsia="Times New Roman" w:cs="Arial"/>
                <w:color w:val="000000"/>
                <w:lang w:eastAsia="en-AU"/>
              </w:rPr>
              <w:t>,</w:t>
            </w:r>
            <w:r w:rsidRPr="00F0043D">
              <w:rPr>
                <w:rFonts w:eastAsia="Times New Roman" w:cs="Arial"/>
                <w:color w:val="000000"/>
                <w:lang w:eastAsia="en-AU"/>
              </w:rPr>
              <w:t>463</w:t>
            </w:r>
          </w:p>
        </w:tc>
        <w:tc>
          <w:tcPr>
            <w:tcW w:w="380" w:type="pct"/>
            <w:tcBorders>
              <w:top w:val="single" w:sz="4" w:space="0" w:color="auto"/>
            </w:tcBorders>
            <w:shd w:val="clear" w:color="auto" w:fill="DBE5F1" w:themeFill="accent1" w:themeFillTint="33"/>
          </w:tcPr>
          <w:p w14:paraId="511A17E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(37.8%)</w:t>
            </w:r>
          </w:p>
        </w:tc>
        <w:tc>
          <w:tcPr>
            <w:tcW w:w="625" w:type="pct"/>
            <w:tcBorders>
              <w:top w:val="single" w:sz="4" w:space="0" w:color="auto"/>
              <w:left w:val="single" w:sz="4" w:space="0" w:color="auto"/>
            </w:tcBorders>
            <w:shd w:val="clear" w:color="auto" w:fill="DBE5F1" w:themeFill="accent1" w:themeFillTint="33"/>
            <w:noWrap/>
            <w:hideMark/>
          </w:tcPr>
          <w:p w14:paraId="711433C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751</w:t>
            </w:r>
          </w:p>
        </w:tc>
        <w:tc>
          <w:tcPr>
            <w:tcW w:w="380" w:type="pct"/>
            <w:tcBorders>
              <w:top w:val="single" w:sz="4" w:space="0" w:color="auto"/>
              <w:right w:val="single" w:sz="4" w:space="0" w:color="auto"/>
            </w:tcBorders>
            <w:shd w:val="clear" w:color="auto" w:fill="DBE5F1" w:themeFill="accent1" w:themeFillTint="33"/>
          </w:tcPr>
          <w:p w14:paraId="2F13A6AC"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(26.9%)</w:t>
            </w:r>
          </w:p>
        </w:tc>
        <w:tc>
          <w:tcPr>
            <w:tcW w:w="781" w:type="pct"/>
            <w:tcBorders>
              <w:top w:val="single" w:sz="4" w:space="0" w:color="auto"/>
              <w:left w:val="single" w:sz="4" w:space="0" w:color="auto"/>
            </w:tcBorders>
            <w:shd w:val="clear" w:color="auto" w:fill="DBE5F1" w:themeFill="accent1" w:themeFillTint="33"/>
            <w:noWrap/>
            <w:hideMark/>
          </w:tcPr>
          <w:p w14:paraId="1FEDE9AE"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712</w:t>
            </w:r>
          </w:p>
        </w:tc>
        <w:tc>
          <w:tcPr>
            <w:tcW w:w="423" w:type="pct"/>
            <w:tcBorders>
              <w:top w:val="single" w:sz="4" w:space="0" w:color="auto"/>
              <w:right w:val="single" w:sz="4" w:space="0" w:color="auto"/>
            </w:tcBorders>
            <w:shd w:val="clear" w:color="auto" w:fill="DBE5F1" w:themeFill="accent1" w:themeFillTint="33"/>
            <w:vAlign w:val="center"/>
          </w:tcPr>
          <w:p w14:paraId="052A7FD9"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10.93%</w:t>
            </w:r>
            <w:r>
              <w:rPr>
                <w:rFonts w:ascii="Calibri" w:hAnsi="Calibri"/>
                <w:color w:val="auto"/>
              </w:rPr>
              <w:t>)</w:t>
            </w:r>
          </w:p>
        </w:tc>
        <w:tc>
          <w:tcPr>
            <w:tcW w:w="395" w:type="pct"/>
            <w:tcBorders>
              <w:top w:val="single" w:sz="4" w:space="0" w:color="auto"/>
              <w:left w:val="single" w:sz="4" w:space="0" w:color="auto"/>
              <w:right w:val="single" w:sz="4" w:space="0" w:color="auto"/>
            </w:tcBorders>
            <w:shd w:val="clear" w:color="auto" w:fill="DBE5F1" w:themeFill="accent1" w:themeFillTint="33"/>
          </w:tcPr>
          <w:p w14:paraId="4A774DD2" w14:textId="77777777" w:rsidR="00EB4A8B" w:rsidRPr="001040A5"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6</w:t>
            </w:r>
            <w:r>
              <w:rPr>
                <w:rFonts w:eastAsia="Times New Roman" w:cs="Arial"/>
                <w:b/>
                <w:color w:val="auto"/>
                <w:lang w:eastAsia="en-AU"/>
              </w:rPr>
              <w:t>,</w:t>
            </w:r>
            <w:r w:rsidRPr="001040A5">
              <w:rPr>
                <w:rFonts w:eastAsia="Times New Roman" w:cs="Arial"/>
                <w:b/>
                <w:color w:val="auto"/>
                <w:lang w:eastAsia="en-AU"/>
              </w:rPr>
              <w:t>516</w:t>
            </w:r>
          </w:p>
        </w:tc>
      </w:tr>
      <w:tr w:rsidR="00EB4A8B" w:rsidRPr="00FC5C7E" w14:paraId="56DBC008"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0D631C96"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2004</w:t>
            </w:r>
          </w:p>
        </w:tc>
        <w:tc>
          <w:tcPr>
            <w:tcW w:w="725" w:type="pct"/>
            <w:tcBorders>
              <w:left w:val="single" w:sz="4" w:space="0" w:color="auto"/>
            </w:tcBorders>
            <w:noWrap/>
            <w:hideMark/>
          </w:tcPr>
          <w:p w14:paraId="2E4C57A6"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Pr>
                <w:rFonts w:eastAsia="Times New Roman" w:cs="Arial"/>
                <w:color w:val="000000"/>
                <w:lang w:eastAsia="en-AU"/>
              </w:rPr>
              <w:t>,</w:t>
            </w:r>
            <w:r w:rsidRPr="00F0043D">
              <w:rPr>
                <w:rFonts w:eastAsia="Times New Roman" w:cs="Arial"/>
                <w:color w:val="000000"/>
                <w:lang w:eastAsia="en-AU"/>
              </w:rPr>
              <w:t>972</w:t>
            </w:r>
          </w:p>
        </w:tc>
        <w:tc>
          <w:tcPr>
            <w:tcW w:w="380" w:type="pct"/>
            <w:tcBorders>
              <w:right w:val="single" w:sz="4" w:space="0" w:color="auto"/>
            </w:tcBorders>
          </w:tcPr>
          <w:p w14:paraId="41CB34C6"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(61.1%)</w:t>
            </w:r>
          </w:p>
        </w:tc>
        <w:tc>
          <w:tcPr>
            <w:tcW w:w="563" w:type="pct"/>
            <w:tcBorders>
              <w:right w:val="nil"/>
            </w:tcBorders>
          </w:tcPr>
          <w:p w14:paraId="2BB475FC"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Pr>
                <w:rFonts w:eastAsia="Times New Roman" w:cs="Arial"/>
                <w:color w:val="000000"/>
                <w:lang w:eastAsia="en-AU"/>
              </w:rPr>
              <w:t>,</w:t>
            </w:r>
            <w:r w:rsidRPr="00F0043D">
              <w:rPr>
                <w:rFonts w:eastAsia="Times New Roman" w:cs="Arial"/>
                <w:color w:val="000000"/>
                <w:lang w:eastAsia="en-AU"/>
              </w:rPr>
              <w:t>531</w:t>
            </w:r>
          </w:p>
        </w:tc>
        <w:tc>
          <w:tcPr>
            <w:tcW w:w="380" w:type="pct"/>
            <w:tcBorders>
              <w:left w:val="nil"/>
            </w:tcBorders>
          </w:tcPr>
          <w:p w14:paraId="451F0728"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(38.9%)</w:t>
            </w:r>
          </w:p>
        </w:tc>
        <w:tc>
          <w:tcPr>
            <w:tcW w:w="625" w:type="pct"/>
            <w:tcBorders>
              <w:left w:val="single" w:sz="4" w:space="0" w:color="auto"/>
            </w:tcBorders>
            <w:noWrap/>
            <w:hideMark/>
          </w:tcPr>
          <w:p w14:paraId="526275BA"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921</w:t>
            </w:r>
          </w:p>
        </w:tc>
        <w:tc>
          <w:tcPr>
            <w:tcW w:w="380" w:type="pct"/>
            <w:tcBorders>
              <w:right w:val="single" w:sz="4" w:space="0" w:color="auto"/>
            </w:tcBorders>
          </w:tcPr>
          <w:p w14:paraId="264B458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(29.5%)</w:t>
            </w:r>
          </w:p>
        </w:tc>
        <w:tc>
          <w:tcPr>
            <w:tcW w:w="781" w:type="pct"/>
            <w:tcBorders>
              <w:left w:val="single" w:sz="4" w:space="0" w:color="auto"/>
              <w:right w:val="nil"/>
            </w:tcBorders>
            <w:noWrap/>
            <w:hideMark/>
          </w:tcPr>
          <w:p w14:paraId="30B60CAD"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610</w:t>
            </w:r>
          </w:p>
        </w:tc>
        <w:tc>
          <w:tcPr>
            <w:tcW w:w="423" w:type="pct"/>
            <w:tcBorders>
              <w:left w:val="nil"/>
              <w:right w:val="single" w:sz="4" w:space="0" w:color="auto"/>
            </w:tcBorders>
            <w:vAlign w:val="center"/>
          </w:tcPr>
          <w:p w14:paraId="53112622"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9.38%</w:t>
            </w:r>
            <w:r>
              <w:rPr>
                <w:rFonts w:ascii="Calibri" w:hAnsi="Calibri"/>
                <w:color w:val="auto"/>
              </w:rPr>
              <w:t>)</w:t>
            </w:r>
          </w:p>
        </w:tc>
        <w:tc>
          <w:tcPr>
            <w:tcW w:w="395" w:type="pct"/>
            <w:tcBorders>
              <w:left w:val="single" w:sz="4" w:space="0" w:color="auto"/>
              <w:right w:val="single" w:sz="4" w:space="0" w:color="auto"/>
            </w:tcBorders>
          </w:tcPr>
          <w:p w14:paraId="53F0C5A9" w14:textId="77777777" w:rsidR="00EB4A8B" w:rsidRPr="001040A5"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6</w:t>
            </w:r>
            <w:r>
              <w:rPr>
                <w:rFonts w:eastAsia="Times New Roman" w:cs="Arial"/>
                <w:b/>
                <w:color w:val="auto"/>
                <w:lang w:eastAsia="en-AU"/>
              </w:rPr>
              <w:t>,</w:t>
            </w:r>
            <w:r w:rsidRPr="001040A5">
              <w:rPr>
                <w:rFonts w:eastAsia="Times New Roman" w:cs="Arial"/>
                <w:b/>
                <w:color w:val="auto"/>
                <w:lang w:eastAsia="en-AU"/>
              </w:rPr>
              <w:t>503</w:t>
            </w:r>
          </w:p>
        </w:tc>
      </w:tr>
      <w:tr w:rsidR="00EB4A8B" w:rsidRPr="00FC5C7E" w14:paraId="09967D02"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4762D25D"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2005</w:t>
            </w:r>
          </w:p>
        </w:tc>
        <w:tc>
          <w:tcPr>
            <w:tcW w:w="725" w:type="pct"/>
            <w:tcBorders>
              <w:left w:val="single" w:sz="4" w:space="0" w:color="auto"/>
            </w:tcBorders>
            <w:shd w:val="clear" w:color="auto" w:fill="DBE5F1" w:themeFill="accent1" w:themeFillTint="33"/>
            <w:noWrap/>
            <w:hideMark/>
          </w:tcPr>
          <w:p w14:paraId="352D235C"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w:t>
            </w:r>
            <w:r>
              <w:rPr>
                <w:rFonts w:eastAsia="Times New Roman" w:cs="Arial"/>
                <w:color w:val="000000"/>
                <w:lang w:eastAsia="en-AU"/>
              </w:rPr>
              <w:t>,</w:t>
            </w:r>
            <w:r w:rsidRPr="00F0043D">
              <w:rPr>
                <w:rFonts w:eastAsia="Times New Roman" w:cs="Arial"/>
                <w:color w:val="000000"/>
                <w:lang w:eastAsia="en-AU"/>
              </w:rPr>
              <w:t>609</w:t>
            </w:r>
          </w:p>
        </w:tc>
        <w:tc>
          <w:tcPr>
            <w:tcW w:w="380" w:type="pct"/>
            <w:tcBorders>
              <w:right w:val="single" w:sz="4" w:space="0" w:color="auto"/>
            </w:tcBorders>
            <w:shd w:val="clear" w:color="auto" w:fill="DBE5F1" w:themeFill="accent1" w:themeFillTint="33"/>
          </w:tcPr>
          <w:p w14:paraId="1FB257A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(65.4%)</w:t>
            </w:r>
          </w:p>
        </w:tc>
        <w:tc>
          <w:tcPr>
            <w:tcW w:w="563" w:type="pct"/>
            <w:shd w:val="clear" w:color="auto" w:fill="DBE5F1" w:themeFill="accent1" w:themeFillTint="33"/>
          </w:tcPr>
          <w:p w14:paraId="17D8F28A"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Pr>
                <w:rFonts w:eastAsia="Times New Roman" w:cs="Arial"/>
                <w:color w:val="000000"/>
                <w:lang w:eastAsia="en-AU"/>
              </w:rPr>
              <w:t>,</w:t>
            </w:r>
            <w:r w:rsidRPr="00F0043D">
              <w:rPr>
                <w:rFonts w:eastAsia="Times New Roman" w:cs="Arial"/>
                <w:color w:val="000000"/>
                <w:lang w:eastAsia="en-AU"/>
              </w:rPr>
              <w:t>435</w:t>
            </w:r>
          </w:p>
        </w:tc>
        <w:tc>
          <w:tcPr>
            <w:tcW w:w="380" w:type="pct"/>
            <w:shd w:val="clear" w:color="auto" w:fill="DBE5F1" w:themeFill="accent1" w:themeFillTint="33"/>
          </w:tcPr>
          <w:p w14:paraId="78DD684E"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(34.6%)</w:t>
            </w:r>
          </w:p>
        </w:tc>
        <w:tc>
          <w:tcPr>
            <w:tcW w:w="625" w:type="pct"/>
            <w:tcBorders>
              <w:left w:val="single" w:sz="4" w:space="0" w:color="auto"/>
            </w:tcBorders>
            <w:shd w:val="clear" w:color="auto" w:fill="DBE5F1" w:themeFill="accent1" w:themeFillTint="33"/>
            <w:noWrap/>
            <w:hideMark/>
          </w:tcPr>
          <w:p w14:paraId="60F75FC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847</w:t>
            </w:r>
          </w:p>
        </w:tc>
        <w:tc>
          <w:tcPr>
            <w:tcW w:w="380" w:type="pct"/>
            <w:tcBorders>
              <w:right w:val="single" w:sz="4" w:space="0" w:color="auto"/>
            </w:tcBorders>
            <w:shd w:val="clear" w:color="auto" w:fill="DBE5F1" w:themeFill="accent1" w:themeFillTint="33"/>
          </w:tcPr>
          <w:p w14:paraId="0D23828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(26.2%)</w:t>
            </w:r>
          </w:p>
        </w:tc>
        <w:tc>
          <w:tcPr>
            <w:tcW w:w="781" w:type="pct"/>
            <w:tcBorders>
              <w:left w:val="single" w:sz="4" w:space="0" w:color="auto"/>
            </w:tcBorders>
            <w:shd w:val="clear" w:color="auto" w:fill="DBE5F1" w:themeFill="accent1" w:themeFillTint="33"/>
            <w:noWrap/>
            <w:hideMark/>
          </w:tcPr>
          <w:p w14:paraId="2654732E"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588</w:t>
            </w:r>
          </w:p>
        </w:tc>
        <w:tc>
          <w:tcPr>
            <w:tcW w:w="423" w:type="pct"/>
            <w:tcBorders>
              <w:right w:val="single" w:sz="4" w:space="0" w:color="auto"/>
            </w:tcBorders>
            <w:shd w:val="clear" w:color="auto" w:fill="DBE5F1" w:themeFill="accent1" w:themeFillTint="33"/>
            <w:vAlign w:val="center"/>
          </w:tcPr>
          <w:p w14:paraId="10D36D47"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8.35%</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1A13EDCC" w14:textId="77777777" w:rsidR="00EB4A8B" w:rsidRPr="001040A5"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7</w:t>
            </w:r>
            <w:r>
              <w:rPr>
                <w:rFonts w:eastAsia="Times New Roman" w:cs="Arial"/>
                <w:b/>
                <w:color w:val="auto"/>
                <w:lang w:eastAsia="en-AU"/>
              </w:rPr>
              <w:t>,</w:t>
            </w:r>
            <w:r w:rsidRPr="001040A5">
              <w:rPr>
                <w:rFonts w:eastAsia="Times New Roman" w:cs="Arial"/>
                <w:b/>
                <w:color w:val="auto"/>
                <w:lang w:eastAsia="en-AU"/>
              </w:rPr>
              <w:t>044</w:t>
            </w:r>
          </w:p>
        </w:tc>
      </w:tr>
      <w:tr w:rsidR="00EB4A8B" w:rsidRPr="00FC5C7E" w14:paraId="69EC716B"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6D467DA8"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2006</w:t>
            </w:r>
          </w:p>
        </w:tc>
        <w:tc>
          <w:tcPr>
            <w:tcW w:w="725" w:type="pct"/>
            <w:tcBorders>
              <w:left w:val="single" w:sz="4" w:space="0" w:color="auto"/>
            </w:tcBorders>
            <w:noWrap/>
            <w:hideMark/>
          </w:tcPr>
          <w:p w14:paraId="444F7E42"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w:t>
            </w:r>
            <w:r>
              <w:rPr>
                <w:rFonts w:eastAsia="Times New Roman" w:cs="Arial"/>
                <w:color w:val="000000"/>
                <w:lang w:eastAsia="en-AU"/>
              </w:rPr>
              <w:t>,</w:t>
            </w:r>
            <w:r w:rsidRPr="00F0043D">
              <w:rPr>
                <w:rFonts w:eastAsia="Times New Roman" w:cs="Arial"/>
                <w:color w:val="000000"/>
                <w:lang w:eastAsia="en-AU"/>
              </w:rPr>
              <w:t>013</w:t>
            </w:r>
          </w:p>
        </w:tc>
        <w:tc>
          <w:tcPr>
            <w:tcW w:w="380" w:type="pct"/>
            <w:tcBorders>
              <w:right w:val="single" w:sz="4" w:space="0" w:color="auto"/>
            </w:tcBorders>
          </w:tcPr>
          <w:p w14:paraId="38AB76EE"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(67.8%)</w:t>
            </w:r>
          </w:p>
        </w:tc>
        <w:tc>
          <w:tcPr>
            <w:tcW w:w="563" w:type="pct"/>
            <w:tcBorders>
              <w:right w:val="nil"/>
            </w:tcBorders>
          </w:tcPr>
          <w:p w14:paraId="24FE50D8"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Pr>
                <w:rFonts w:eastAsia="Times New Roman" w:cs="Arial"/>
                <w:color w:val="000000"/>
                <w:lang w:eastAsia="en-AU"/>
              </w:rPr>
              <w:t>,</w:t>
            </w:r>
            <w:r w:rsidRPr="00F0043D">
              <w:rPr>
                <w:rFonts w:eastAsia="Times New Roman" w:cs="Arial"/>
                <w:color w:val="000000"/>
                <w:lang w:eastAsia="en-AU"/>
              </w:rPr>
              <w:t>378</w:t>
            </w:r>
          </w:p>
        </w:tc>
        <w:tc>
          <w:tcPr>
            <w:tcW w:w="380" w:type="pct"/>
            <w:tcBorders>
              <w:left w:val="nil"/>
            </w:tcBorders>
          </w:tcPr>
          <w:p w14:paraId="4B7033C7"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(32.2%)</w:t>
            </w:r>
          </w:p>
        </w:tc>
        <w:tc>
          <w:tcPr>
            <w:tcW w:w="625" w:type="pct"/>
            <w:tcBorders>
              <w:left w:val="single" w:sz="4" w:space="0" w:color="auto"/>
            </w:tcBorders>
            <w:noWrap/>
            <w:hideMark/>
          </w:tcPr>
          <w:p w14:paraId="2A7F33CF"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806</w:t>
            </w:r>
          </w:p>
        </w:tc>
        <w:tc>
          <w:tcPr>
            <w:tcW w:w="380" w:type="pct"/>
            <w:tcBorders>
              <w:right w:val="single" w:sz="4" w:space="0" w:color="auto"/>
            </w:tcBorders>
          </w:tcPr>
          <w:p w14:paraId="6CF34FDB"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(24.4%)</w:t>
            </w:r>
          </w:p>
        </w:tc>
        <w:tc>
          <w:tcPr>
            <w:tcW w:w="781" w:type="pct"/>
            <w:tcBorders>
              <w:left w:val="single" w:sz="4" w:space="0" w:color="auto"/>
              <w:right w:val="nil"/>
            </w:tcBorders>
            <w:noWrap/>
            <w:hideMark/>
          </w:tcPr>
          <w:p w14:paraId="4D4B8596"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572</w:t>
            </w:r>
          </w:p>
        </w:tc>
        <w:tc>
          <w:tcPr>
            <w:tcW w:w="423" w:type="pct"/>
            <w:tcBorders>
              <w:left w:val="nil"/>
              <w:right w:val="single" w:sz="4" w:space="0" w:color="auto"/>
            </w:tcBorders>
            <w:vAlign w:val="center"/>
          </w:tcPr>
          <w:p w14:paraId="65509D3D"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7.74%</w:t>
            </w:r>
            <w:r>
              <w:rPr>
                <w:rFonts w:ascii="Calibri" w:hAnsi="Calibri"/>
                <w:color w:val="auto"/>
              </w:rPr>
              <w:t>)</w:t>
            </w:r>
          </w:p>
        </w:tc>
        <w:tc>
          <w:tcPr>
            <w:tcW w:w="395" w:type="pct"/>
            <w:tcBorders>
              <w:left w:val="single" w:sz="4" w:space="0" w:color="auto"/>
              <w:right w:val="single" w:sz="4" w:space="0" w:color="auto"/>
            </w:tcBorders>
          </w:tcPr>
          <w:p w14:paraId="60AD0D84" w14:textId="77777777" w:rsidR="00EB4A8B" w:rsidRPr="001040A5"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7</w:t>
            </w:r>
            <w:r>
              <w:rPr>
                <w:rFonts w:eastAsia="Times New Roman" w:cs="Arial"/>
                <w:b/>
                <w:color w:val="auto"/>
                <w:lang w:eastAsia="en-AU"/>
              </w:rPr>
              <w:t>,</w:t>
            </w:r>
            <w:r w:rsidRPr="001040A5">
              <w:rPr>
                <w:rFonts w:eastAsia="Times New Roman" w:cs="Arial"/>
                <w:b/>
                <w:color w:val="auto"/>
                <w:lang w:eastAsia="en-AU"/>
              </w:rPr>
              <w:t>391</w:t>
            </w:r>
          </w:p>
        </w:tc>
      </w:tr>
      <w:tr w:rsidR="00EB4A8B" w:rsidRPr="00FC5C7E" w14:paraId="12822B66"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2EC8085D"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2007</w:t>
            </w:r>
          </w:p>
        </w:tc>
        <w:tc>
          <w:tcPr>
            <w:tcW w:w="725" w:type="pct"/>
            <w:tcBorders>
              <w:left w:val="single" w:sz="4" w:space="0" w:color="auto"/>
            </w:tcBorders>
            <w:shd w:val="clear" w:color="auto" w:fill="DBE5F1" w:themeFill="accent1" w:themeFillTint="33"/>
            <w:noWrap/>
            <w:hideMark/>
          </w:tcPr>
          <w:p w14:paraId="4AF5A03E"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w:t>
            </w:r>
            <w:r>
              <w:rPr>
                <w:rFonts w:eastAsia="Times New Roman" w:cs="Arial"/>
                <w:color w:val="000000"/>
                <w:lang w:eastAsia="en-AU"/>
              </w:rPr>
              <w:t>,</w:t>
            </w:r>
            <w:r w:rsidRPr="00F0043D">
              <w:rPr>
                <w:rFonts w:eastAsia="Times New Roman" w:cs="Arial"/>
                <w:color w:val="000000"/>
                <w:lang w:eastAsia="en-AU"/>
              </w:rPr>
              <w:t>194</w:t>
            </w:r>
          </w:p>
        </w:tc>
        <w:tc>
          <w:tcPr>
            <w:tcW w:w="380" w:type="pct"/>
            <w:tcBorders>
              <w:right w:val="single" w:sz="4" w:space="0" w:color="auto"/>
            </w:tcBorders>
            <w:shd w:val="clear" w:color="auto" w:fill="DBE5F1" w:themeFill="accent1" w:themeFillTint="33"/>
          </w:tcPr>
          <w:p w14:paraId="4C1136CD"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(68.1%)</w:t>
            </w:r>
          </w:p>
        </w:tc>
        <w:tc>
          <w:tcPr>
            <w:tcW w:w="563" w:type="pct"/>
            <w:shd w:val="clear" w:color="auto" w:fill="DBE5F1" w:themeFill="accent1" w:themeFillTint="33"/>
          </w:tcPr>
          <w:p w14:paraId="4B702CDD"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Pr>
                <w:rFonts w:eastAsia="Times New Roman" w:cs="Arial"/>
                <w:color w:val="000000"/>
                <w:lang w:eastAsia="en-AU"/>
              </w:rPr>
              <w:t>,</w:t>
            </w:r>
            <w:r w:rsidRPr="00F0043D">
              <w:rPr>
                <w:rFonts w:eastAsia="Times New Roman" w:cs="Arial"/>
                <w:color w:val="000000"/>
                <w:lang w:eastAsia="en-AU"/>
              </w:rPr>
              <w:t>436</w:t>
            </w:r>
          </w:p>
        </w:tc>
        <w:tc>
          <w:tcPr>
            <w:tcW w:w="380" w:type="pct"/>
            <w:shd w:val="clear" w:color="auto" w:fill="DBE5F1" w:themeFill="accent1" w:themeFillTint="33"/>
          </w:tcPr>
          <w:p w14:paraId="297604A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(31.9%)</w:t>
            </w:r>
          </w:p>
        </w:tc>
        <w:tc>
          <w:tcPr>
            <w:tcW w:w="625" w:type="pct"/>
            <w:tcBorders>
              <w:left w:val="single" w:sz="4" w:space="0" w:color="auto"/>
            </w:tcBorders>
            <w:shd w:val="clear" w:color="auto" w:fill="DBE5F1" w:themeFill="accent1" w:themeFillTint="33"/>
            <w:noWrap/>
            <w:hideMark/>
          </w:tcPr>
          <w:p w14:paraId="2F9E84B8"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789</w:t>
            </w:r>
          </w:p>
        </w:tc>
        <w:tc>
          <w:tcPr>
            <w:tcW w:w="380" w:type="pct"/>
            <w:tcBorders>
              <w:right w:val="single" w:sz="4" w:space="0" w:color="auto"/>
            </w:tcBorders>
            <w:shd w:val="clear" w:color="auto" w:fill="DBE5F1" w:themeFill="accent1" w:themeFillTint="33"/>
          </w:tcPr>
          <w:p w14:paraId="6F5643D5"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(23.4%)</w:t>
            </w:r>
          </w:p>
        </w:tc>
        <w:tc>
          <w:tcPr>
            <w:tcW w:w="781" w:type="pct"/>
            <w:tcBorders>
              <w:left w:val="single" w:sz="4" w:space="0" w:color="auto"/>
            </w:tcBorders>
            <w:shd w:val="clear" w:color="auto" w:fill="DBE5F1" w:themeFill="accent1" w:themeFillTint="33"/>
            <w:noWrap/>
            <w:hideMark/>
          </w:tcPr>
          <w:p w14:paraId="5B753D0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647</w:t>
            </w:r>
          </w:p>
        </w:tc>
        <w:tc>
          <w:tcPr>
            <w:tcW w:w="423" w:type="pct"/>
            <w:tcBorders>
              <w:right w:val="single" w:sz="4" w:space="0" w:color="auto"/>
            </w:tcBorders>
            <w:shd w:val="clear" w:color="auto" w:fill="DBE5F1" w:themeFill="accent1" w:themeFillTint="33"/>
            <w:vAlign w:val="center"/>
          </w:tcPr>
          <w:p w14:paraId="3BB36972"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8.48%</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6CE118D2" w14:textId="77777777" w:rsidR="00EB4A8B" w:rsidRPr="001040A5"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7</w:t>
            </w:r>
            <w:r>
              <w:rPr>
                <w:rFonts w:eastAsia="Times New Roman" w:cs="Arial"/>
                <w:b/>
                <w:color w:val="auto"/>
                <w:lang w:eastAsia="en-AU"/>
              </w:rPr>
              <w:t>,</w:t>
            </w:r>
            <w:r w:rsidRPr="001040A5">
              <w:rPr>
                <w:rFonts w:eastAsia="Times New Roman" w:cs="Arial"/>
                <w:b/>
                <w:color w:val="auto"/>
                <w:lang w:eastAsia="en-AU"/>
              </w:rPr>
              <w:t>630</w:t>
            </w:r>
          </w:p>
        </w:tc>
      </w:tr>
      <w:tr w:rsidR="00EB4A8B" w:rsidRPr="00FC5C7E" w14:paraId="69D0F24E"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26C7AC51"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2008</w:t>
            </w:r>
          </w:p>
        </w:tc>
        <w:tc>
          <w:tcPr>
            <w:tcW w:w="725" w:type="pct"/>
            <w:tcBorders>
              <w:left w:val="single" w:sz="4" w:space="0" w:color="auto"/>
            </w:tcBorders>
            <w:noWrap/>
            <w:hideMark/>
          </w:tcPr>
          <w:p w14:paraId="552A651C"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w:t>
            </w:r>
            <w:r>
              <w:rPr>
                <w:rFonts w:eastAsia="Times New Roman" w:cs="Arial"/>
                <w:color w:val="000000"/>
                <w:lang w:eastAsia="en-AU"/>
              </w:rPr>
              <w:t>,</w:t>
            </w:r>
            <w:r w:rsidRPr="00F0043D">
              <w:rPr>
                <w:rFonts w:eastAsia="Times New Roman" w:cs="Arial"/>
                <w:color w:val="000000"/>
                <w:lang w:eastAsia="en-AU"/>
              </w:rPr>
              <w:t>942</w:t>
            </w:r>
          </w:p>
        </w:tc>
        <w:tc>
          <w:tcPr>
            <w:tcW w:w="380" w:type="pct"/>
            <w:tcBorders>
              <w:right w:val="single" w:sz="4" w:space="0" w:color="auto"/>
            </w:tcBorders>
          </w:tcPr>
          <w:p w14:paraId="5675BA2A"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(70.4%)</w:t>
            </w:r>
          </w:p>
        </w:tc>
        <w:tc>
          <w:tcPr>
            <w:tcW w:w="563" w:type="pct"/>
            <w:tcBorders>
              <w:right w:val="nil"/>
            </w:tcBorders>
          </w:tcPr>
          <w:p w14:paraId="7D73B2AC"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Pr>
                <w:rFonts w:eastAsia="Times New Roman" w:cs="Arial"/>
                <w:color w:val="000000"/>
                <w:lang w:eastAsia="en-AU"/>
              </w:rPr>
              <w:t>,</w:t>
            </w:r>
            <w:r w:rsidRPr="00F0043D">
              <w:rPr>
                <w:rFonts w:eastAsia="Times New Roman" w:cs="Arial"/>
                <w:color w:val="000000"/>
                <w:lang w:eastAsia="en-AU"/>
              </w:rPr>
              <w:t>500</w:t>
            </w:r>
          </w:p>
        </w:tc>
        <w:tc>
          <w:tcPr>
            <w:tcW w:w="380" w:type="pct"/>
            <w:tcBorders>
              <w:left w:val="nil"/>
            </w:tcBorders>
          </w:tcPr>
          <w:p w14:paraId="5A9A7362"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(29.6%)</w:t>
            </w:r>
          </w:p>
        </w:tc>
        <w:tc>
          <w:tcPr>
            <w:tcW w:w="625" w:type="pct"/>
            <w:tcBorders>
              <w:left w:val="single" w:sz="4" w:space="0" w:color="auto"/>
            </w:tcBorders>
            <w:noWrap/>
            <w:hideMark/>
          </w:tcPr>
          <w:p w14:paraId="72495D07"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763</w:t>
            </w:r>
          </w:p>
        </w:tc>
        <w:tc>
          <w:tcPr>
            <w:tcW w:w="380" w:type="pct"/>
            <w:tcBorders>
              <w:right w:val="single" w:sz="4" w:space="0" w:color="auto"/>
            </w:tcBorders>
          </w:tcPr>
          <w:p w14:paraId="0382BB0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(20.9%)</w:t>
            </w:r>
          </w:p>
        </w:tc>
        <w:tc>
          <w:tcPr>
            <w:tcW w:w="781" w:type="pct"/>
            <w:tcBorders>
              <w:left w:val="single" w:sz="4" w:space="0" w:color="auto"/>
              <w:right w:val="nil"/>
            </w:tcBorders>
            <w:noWrap/>
            <w:hideMark/>
          </w:tcPr>
          <w:p w14:paraId="494CA061"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737</w:t>
            </w:r>
          </w:p>
        </w:tc>
        <w:tc>
          <w:tcPr>
            <w:tcW w:w="423" w:type="pct"/>
            <w:tcBorders>
              <w:left w:val="nil"/>
              <w:right w:val="single" w:sz="4" w:space="0" w:color="auto"/>
            </w:tcBorders>
            <w:vAlign w:val="center"/>
          </w:tcPr>
          <w:p w14:paraId="1BB1779E"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8.73%</w:t>
            </w:r>
            <w:r>
              <w:rPr>
                <w:rFonts w:ascii="Calibri" w:hAnsi="Calibri"/>
                <w:color w:val="auto"/>
              </w:rPr>
              <w:t>)</w:t>
            </w:r>
          </w:p>
        </w:tc>
        <w:tc>
          <w:tcPr>
            <w:tcW w:w="395" w:type="pct"/>
            <w:tcBorders>
              <w:left w:val="single" w:sz="4" w:space="0" w:color="auto"/>
              <w:right w:val="single" w:sz="4" w:space="0" w:color="auto"/>
            </w:tcBorders>
          </w:tcPr>
          <w:p w14:paraId="02469BBA" w14:textId="77777777" w:rsidR="00EB4A8B" w:rsidRPr="001040A5"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8</w:t>
            </w:r>
            <w:r>
              <w:rPr>
                <w:rFonts w:eastAsia="Times New Roman" w:cs="Arial"/>
                <w:b/>
                <w:color w:val="auto"/>
                <w:lang w:eastAsia="en-AU"/>
              </w:rPr>
              <w:t>,</w:t>
            </w:r>
            <w:r w:rsidRPr="001040A5">
              <w:rPr>
                <w:rFonts w:eastAsia="Times New Roman" w:cs="Arial"/>
                <w:b/>
                <w:color w:val="auto"/>
                <w:lang w:eastAsia="en-AU"/>
              </w:rPr>
              <w:t>442</w:t>
            </w:r>
          </w:p>
        </w:tc>
      </w:tr>
      <w:tr w:rsidR="00EB4A8B" w:rsidRPr="00FC5C7E" w14:paraId="52255027"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0FEC7BF9"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2009</w:t>
            </w:r>
          </w:p>
        </w:tc>
        <w:tc>
          <w:tcPr>
            <w:tcW w:w="725" w:type="pct"/>
            <w:tcBorders>
              <w:left w:val="single" w:sz="4" w:space="0" w:color="auto"/>
            </w:tcBorders>
            <w:shd w:val="clear" w:color="auto" w:fill="DBE5F1" w:themeFill="accent1" w:themeFillTint="33"/>
            <w:noWrap/>
            <w:hideMark/>
          </w:tcPr>
          <w:p w14:paraId="7E5CBD92"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w:t>
            </w:r>
            <w:r>
              <w:rPr>
                <w:rFonts w:eastAsia="Times New Roman" w:cs="Arial"/>
                <w:color w:val="000000"/>
                <w:lang w:eastAsia="en-AU"/>
              </w:rPr>
              <w:t>,</w:t>
            </w:r>
            <w:r w:rsidRPr="00F0043D">
              <w:rPr>
                <w:rFonts w:eastAsia="Times New Roman" w:cs="Arial"/>
                <w:color w:val="000000"/>
                <w:lang w:eastAsia="en-AU"/>
              </w:rPr>
              <w:t>593</w:t>
            </w:r>
          </w:p>
        </w:tc>
        <w:tc>
          <w:tcPr>
            <w:tcW w:w="380" w:type="pct"/>
            <w:tcBorders>
              <w:right w:val="single" w:sz="4" w:space="0" w:color="auto"/>
            </w:tcBorders>
            <w:shd w:val="clear" w:color="auto" w:fill="DBE5F1" w:themeFill="accent1" w:themeFillTint="33"/>
          </w:tcPr>
          <w:p w14:paraId="46E17A22"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(74.4%)</w:t>
            </w:r>
          </w:p>
        </w:tc>
        <w:tc>
          <w:tcPr>
            <w:tcW w:w="563" w:type="pct"/>
            <w:shd w:val="clear" w:color="auto" w:fill="DBE5F1" w:themeFill="accent1" w:themeFillTint="33"/>
          </w:tcPr>
          <w:p w14:paraId="53173A00"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Pr>
                <w:rFonts w:eastAsia="Times New Roman" w:cs="Arial"/>
                <w:color w:val="000000"/>
                <w:lang w:eastAsia="en-AU"/>
              </w:rPr>
              <w:t>,</w:t>
            </w:r>
            <w:r w:rsidRPr="00F0043D">
              <w:rPr>
                <w:rFonts w:eastAsia="Times New Roman" w:cs="Arial"/>
                <w:color w:val="000000"/>
                <w:lang w:eastAsia="en-AU"/>
              </w:rPr>
              <w:t>610</w:t>
            </w:r>
          </w:p>
        </w:tc>
        <w:tc>
          <w:tcPr>
            <w:tcW w:w="380" w:type="pct"/>
            <w:shd w:val="clear" w:color="auto" w:fill="DBE5F1" w:themeFill="accent1" w:themeFillTint="33"/>
          </w:tcPr>
          <w:p w14:paraId="3D18EF10"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(25.6%)</w:t>
            </w:r>
          </w:p>
        </w:tc>
        <w:tc>
          <w:tcPr>
            <w:tcW w:w="625" w:type="pct"/>
            <w:tcBorders>
              <w:left w:val="single" w:sz="4" w:space="0" w:color="auto"/>
            </w:tcBorders>
            <w:shd w:val="clear" w:color="auto" w:fill="DBE5F1" w:themeFill="accent1" w:themeFillTint="33"/>
            <w:noWrap/>
            <w:hideMark/>
          </w:tcPr>
          <w:p w14:paraId="00980338"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805</w:t>
            </w:r>
          </w:p>
        </w:tc>
        <w:tc>
          <w:tcPr>
            <w:tcW w:w="380" w:type="pct"/>
            <w:tcBorders>
              <w:right w:val="single" w:sz="4" w:space="0" w:color="auto"/>
            </w:tcBorders>
            <w:shd w:val="clear" w:color="auto" w:fill="DBE5F1" w:themeFill="accent1" w:themeFillTint="33"/>
          </w:tcPr>
          <w:p w14:paraId="62C03CFB"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(17.7%)</w:t>
            </w:r>
          </w:p>
        </w:tc>
        <w:tc>
          <w:tcPr>
            <w:tcW w:w="781" w:type="pct"/>
            <w:tcBorders>
              <w:left w:val="single" w:sz="4" w:space="0" w:color="auto"/>
            </w:tcBorders>
            <w:shd w:val="clear" w:color="auto" w:fill="DBE5F1" w:themeFill="accent1" w:themeFillTint="33"/>
            <w:noWrap/>
            <w:hideMark/>
          </w:tcPr>
          <w:p w14:paraId="03F04786"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805</w:t>
            </w:r>
          </w:p>
        </w:tc>
        <w:tc>
          <w:tcPr>
            <w:tcW w:w="423" w:type="pct"/>
            <w:tcBorders>
              <w:right w:val="single" w:sz="4" w:space="0" w:color="auto"/>
            </w:tcBorders>
            <w:shd w:val="clear" w:color="auto" w:fill="DBE5F1" w:themeFill="accent1" w:themeFillTint="33"/>
            <w:vAlign w:val="center"/>
          </w:tcPr>
          <w:p w14:paraId="33F4928F"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7.89%</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48A7383D" w14:textId="77777777" w:rsidR="00EB4A8B" w:rsidRPr="001040A5"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10</w:t>
            </w:r>
            <w:r>
              <w:rPr>
                <w:rFonts w:eastAsia="Times New Roman" w:cs="Arial"/>
                <w:b/>
                <w:color w:val="auto"/>
                <w:lang w:eastAsia="en-AU"/>
              </w:rPr>
              <w:t>,</w:t>
            </w:r>
            <w:r w:rsidRPr="001040A5">
              <w:rPr>
                <w:rFonts w:eastAsia="Times New Roman" w:cs="Arial"/>
                <w:b/>
                <w:color w:val="auto"/>
                <w:lang w:eastAsia="en-AU"/>
              </w:rPr>
              <w:t>203</w:t>
            </w:r>
          </w:p>
        </w:tc>
      </w:tr>
      <w:tr w:rsidR="00EB4A8B" w:rsidRPr="00FC5C7E" w14:paraId="76479062"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noWrap/>
          </w:tcPr>
          <w:p w14:paraId="7C80D9C2"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2010</w:t>
            </w:r>
          </w:p>
        </w:tc>
        <w:tc>
          <w:tcPr>
            <w:tcW w:w="725" w:type="pct"/>
            <w:tcBorders>
              <w:left w:val="single" w:sz="4" w:space="0" w:color="auto"/>
            </w:tcBorders>
            <w:noWrap/>
            <w:hideMark/>
          </w:tcPr>
          <w:p w14:paraId="762ECF66"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10</w:t>
            </w:r>
            <w:r>
              <w:rPr>
                <w:rFonts w:eastAsia="Times New Roman" w:cs="Arial"/>
                <w:color w:val="000000"/>
                <w:lang w:eastAsia="en-AU"/>
              </w:rPr>
              <w:t>,</w:t>
            </w:r>
            <w:r w:rsidRPr="00F0043D">
              <w:rPr>
                <w:rFonts w:eastAsia="Times New Roman" w:cs="Arial"/>
                <w:color w:val="000000"/>
                <w:lang w:eastAsia="en-AU"/>
              </w:rPr>
              <w:t>066</w:t>
            </w:r>
          </w:p>
        </w:tc>
        <w:tc>
          <w:tcPr>
            <w:tcW w:w="380" w:type="pct"/>
            <w:tcBorders>
              <w:right w:val="single" w:sz="4" w:space="0" w:color="auto"/>
            </w:tcBorders>
          </w:tcPr>
          <w:p w14:paraId="7CD779DB"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(70.2%)</w:t>
            </w:r>
          </w:p>
        </w:tc>
        <w:tc>
          <w:tcPr>
            <w:tcW w:w="563" w:type="pct"/>
            <w:tcBorders>
              <w:right w:val="nil"/>
            </w:tcBorders>
          </w:tcPr>
          <w:p w14:paraId="716AC5DC"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w:t>
            </w:r>
            <w:r>
              <w:rPr>
                <w:rFonts w:eastAsia="Times New Roman" w:cs="Arial"/>
                <w:color w:val="000000"/>
                <w:lang w:eastAsia="en-AU"/>
              </w:rPr>
              <w:t>,</w:t>
            </w:r>
            <w:r w:rsidRPr="00F0043D">
              <w:rPr>
                <w:rFonts w:eastAsia="Times New Roman" w:cs="Arial"/>
                <w:color w:val="000000"/>
                <w:lang w:eastAsia="en-AU"/>
              </w:rPr>
              <w:t>278</w:t>
            </w:r>
          </w:p>
        </w:tc>
        <w:tc>
          <w:tcPr>
            <w:tcW w:w="380" w:type="pct"/>
            <w:tcBorders>
              <w:left w:val="nil"/>
            </w:tcBorders>
          </w:tcPr>
          <w:p w14:paraId="28357A24"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(29.8%)</w:t>
            </w:r>
          </w:p>
        </w:tc>
        <w:tc>
          <w:tcPr>
            <w:tcW w:w="625" w:type="pct"/>
            <w:tcBorders>
              <w:left w:val="single" w:sz="4" w:space="0" w:color="auto"/>
            </w:tcBorders>
            <w:noWrap/>
            <w:hideMark/>
          </w:tcPr>
          <w:p w14:paraId="269B7C3D"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Pr>
                <w:rFonts w:eastAsia="Times New Roman" w:cs="Arial"/>
                <w:color w:val="000000"/>
                <w:lang w:eastAsia="en-AU"/>
              </w:rPr>
              <w:t>,</w:t>
            </w:r>
            <w:r w:rsidRPr="00F0043D">
              <w:rPr>
                <w:rFonts w:eastAsia="Times New Roman" w:cs="Arial"/>
                <w:color w:val="000000"/>
                <w:lang w:eastAsia="en-AU"/>
              </w:rPr>
              <w:t>325</w:t>
            </w:r>
          </w:p>
        </w:tc>
        <w:tc>
          <w:tcPr>
            <w:tcW w:w="380" w:type="pct"/>
            <w:tcBorders>
              <w:right w:val="single" w:sz="4" w:space="0" w:color="auto"/>
            </w:tcBorders>
          </w:tcPr>
          <w:p w14:paraId="35F9FCBD"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(16.2%)</w:t>
            </w:r>
          </w:p>
        </w:tc>
        <w:tc>
          <w:tcPr>
            <w:tcW w:w="781" w:type="pct"/>
            <w:tcBorders>
              <w:left w:val="single" w:sz="4" w:space="0" w:color="auto"/>
              <w:right w:val="nil"/>
            </w:tcBorders>
            <w:noWrap/>
            <w:hideMark/>
          </w:tcPr>
          <w:p w14:paraId="5261AA9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953</w:t>
            </w:r>
          </w:p>
        </w:tc>
        <w:tc>
          <w:tcPr>
            <w:tcW w:w="423" w:type="pct"/>
            <w:tcBorders>
              <w:left w:val="nil"/>
              <w:right w:val="single" w:sz="4" w:space="0" w:color="auto"/>
            </w:tcBorders>
            <w:vAlign w:val="center"/>
          </w:tcPr>
          <w:p w14:paraId="07D9303B"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13.62%</w:t>
            </w:r>
            <w:r>
              <w:rPr>
                <w:rFonts w:ascii="Calibri" w:hAnsi="Calibri"/>
                <w:color w:val="auto"/>
              </w:rPr>
              <w:t>)</w:t>
            </w:r>
          </w:p>
        </w:tc>
        <w:tc>
          <w:tcPr>
            <w:tcW w:w="395" w:type="pct"/>
            <w:tcBorders>
              <w:left w:val="single" w:sz="4" w:space="0" w:color="auto"/>
              <w:right w:val="single" w:sz="4" w:space="0" w:color="auto"/>
            </w:tcBorders>
          </w:tcPr>
          <w:p w14:paraId="321BF9B6" w14:textId="77777777" w:rsidR="00EB4A8B" w:rsidRPr="001040A5"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14</w:t>
            </w:r>
            <w:r>
              <w:rPr>
                <w:rFonts w:eastAsia="Times New Roman" w:cs="Arial"/>
                <w:b/>
                <w:color w:val="auto"/>
                <w:lang w:eastAsia="en-AU"/>
              </w:rPr>
              <w:t>,</w:t>
            </w:r>
            <w:r w:rsidRPr="001040A5">
              <w:rPr>
                <w:rFonts w:eastAsia="Times New Roman" w:cs="Arial"/>
                <w:b/>
                <w:color w:val="auto"/>
                <w:lang w:eastAsia="en-AU"/>
              </w:rPr>
              <w:t>344</w:t>
            </w:r>
          </w:p>
        </w:tc>
      </w:tr>
      <w:tr w:rsidR="00EB4A8B" w:rsidRPr="00FC5C7E" w14:paraId="21FC65E3"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right w:val="single" w:sz="4" w:space="0" w:color="auto"/>
            </w:tcBorders>
            <w:shd w:val="clear" w:color="auto" w:fill="DBE5F1" w:themeFill="accent1" w:themeFillTint="33"/>
            <w:noWrap/>
          </w:tcPr>
          <w:p w14:paraId="327AF491"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2011</w:t>
            </w:r>
          </w:p>
        </w:tc>
        <w:tc>
          <w:tcPr>
            <w:tcW w:w="725" w:type="pct"/>
            <w:tcBorders>
              <w:left w:val="single" w:sz="4" w:space="0" w:color="auto"/>
            </w:tcBorders>
            <w:shd w:val="clear" w:color="auto" w:fill="DBE5F1" w:themeFill="accent1" w:themeFillTint="33"/>
            <w:noWrap/>
            <w:hideMark/>
          </w:tcPr>
          <w:p w14:paraId="320526FC"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11</w:t>
            </w:r>
            <w:r>
              <w:rPr>
                <w:rFonts w:eastAsia="Times New Roman" w:cs="Arial"/>
                <w:color w:val="000000"/>
                <w:lang w:eastAsia="en-AU"/>
              </w:rPr>
              <w:t>,</w:t>
            </w:r>
            <w:r w:rsidRPr="00F0043D">
              <w:rPr>
                <w:rFonts w:eastAsia="Times New Roman" w:cs="Arial"/>
                <w:color w:val="000000"/>
                <w:lang w:eastAsia="en-AU"/>
              </w:rPr>
              <w:t>972</w:t>
            </w:r>
          </w:p>
        </w:tc>
        <w:tc>
          <w:tcPr>
            <w:tcW w:w="380" w:type="pct"/>
            <w:tcBorders>
              <w:right w:val="single" w:sz="4" w:space="0" w:color="auto"/>
            </w:tcBorders>
            <w:shd w:val="clear" w:color="auto" w:fill="DBE5F1" w:themeFill="accent1" w:themeFillTint="33"/>
          </w:tcPr>
          <w:p w14:paraId="0AB54FE4"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(75.8%)</w:t>
            </w:r>
          </w:p>
        </w:tc>
        <w:tc>
          <w:tcPr>
            <w:tcW w:w="563" w:type="pct"/>
            <w:shd w:val="clear" w:color="auto" w:fill="DBE5F1" w:themeFill="accent1" w:themeFillTint="33"/>
          </w:tcPr>
          <w:p w14:paraId="68C69619"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Pr>
                <w:rFonts w:eastAsia="Times New Roman" w:cs="Arial"/>
                <w:color w:val="000000"/>
                <w:lang w:eastAsia="en-AU"/>
              </w:rPr>
              <w:t>,</w:t>
            </w:r>
            <w:r w:rsidRPr="00F0043D">
              <w:rPr>
                <w:rFonts w:eastAsia="Times New Roman" w:cs="Arial"/>
                <w:color w:val="000000"/>
                <w:lang w:eastAsia="en-AU"/>
              </w:rPr>
              <w:t>822</w:t>
            </w:r>
          </w:p>
        </w:tc>
        <w:tc>
          <w:tcPr>
            <w:tcW w:w="380" w:type="pct"/>
            <w:shd w:val="clear" w:color="auto" w:fill="DBE5F1" w:themeFill="accent1" w:themeFillTint="33"/>
          </w:tcPr>
          <w:p w14:paraId="257926BC"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(24.2%)</w:t>
            </w:r>
          </w:p>
        </w:tc>
        <w:tc>
          <w:tcPr>
            <w:tcW w:w="625" w:type="pct"/>
            <w:tcBorders>
              <w:left w:val="single" w:sz="4" w:space="0" w:color="auto"/>
            </w:tcBorders>
            <w:shd w:val="clear" w:color="auto" w:fill="DBE5F1" w:themeFill="accent1" w:themeFillTint="33"/>
            <w:noWrap/>
            <w:hideMark/>
          </w:tcPr>
          <w:p w14:paraId="33CFB21F"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Pr>
                <w:rFonts w:eastAsia="Times New Roman" w:cs="Arial"/>
                <w:color w:val="000000"/>
                <w:lang w:eastAsia="en-AU"/>
              </w:rPr>
              <w:t>,</w:t>
            </w:r>
            <w:r w:rsidRPr="00F0043D">
              <w:rPr>
                <w:rFonts w:eastAsia="Times New Roman" w:cs="Arial"/>
                <w:color w:val="000000"/>
                <w:lang w:eastAsia="en-AU"/>
              </w:rPr>
              <w:t>456</w:t>
            </w:r>
          </w:p>
        </w:tc>
        <w:tc>
          <w:tcPr>
            <w:tcW w:w="380" w:type="pct"/>
            <w:tcBorders>
              <w:right w:val="single" w:sz="4" w:space="0" w:color="auto"/>
            </w:tcBorders>
            <w:shd w:val="clear" w:color="auto" w:fill="DBE5F1" w:themeFill="accent1" w:themeFillTint="33"/>
          </w:tcPr>
          <w:p w14:paraId="41F10F1A"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(15.6%)</w:t>
            </w:r>
          </w:p>
        </w:tc>
        <w:tc>
          <w:tcPr>
            <w:tcW w:w="781" w:type="pct"/>
            <w:tcBorders>
              <w:left w:val="single" w:sz="4" w:space="0" w:color="auto"/>
            </w:tcBorders>
            <w:shd w:val="clear" w:color="auto" w:fill="DBE5F1" w:themeFill="accent1" w:themeFillTint="33"/>
            <w:noWrap/>
            <w:hideMark/>
          </w:tcPr>
          <w:p w14:paraId="57DD28FE" w14:textId="77777777" w:rsidR="00EB4A8B" w:rsidRPr="00F0043D"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366</w:t>
            </w:r>
          </w:p>
        </w:tc>
        <w:tc>
          <w:tcPr>
            <w:tcW w:w="423" w:type="pct"/>
            <w:tcBorders>
              <w:right w:val="single" w:sz="4" w:space="0" w:color="auto"/>
            </w:tcBorders>
            <w:shd w:val="clear" w:color="auto" w:fill="DBE5F1" w:themeFill="accent1" w:themeFillTint="33"/>
            <w:vAlign w:val="center"/>
          </w:tcPr>
          <w:p w14:paraId="5A7A7C3A"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8.65%</w:t>
            </w:r>
            <w:r>
              <w:rPr>
                <w:rFonts w:ascii="Calibri" w:hAnsi="Calibri"/>
                <w:color w:val="auto"/>
              </w:rPr>
              <w:t>)</w:t>
            </w:r>
          </w:p>
        </w:tc>
        <w:tc>
          <w:tcPr>
            <w:tcW w:w="395" w:type="pct"/>
            <w:tcBorders>
              <w:left w:val="single" w:sz="4" w:space="0" w:color="auto"/>
              <w:right w:val="single" w:sz="4" w:space="0" w:color="auto"/>
            </w:tcBorders>
            <w:shd w:val="clear" w:color="auto" w:fill="DBE5F1" w:themeFill="accent1" w:themeFillTint="33"/>
          </w:tcPr>
          <w:p w14:paraId="27FCA2C0" w14:textId="77777777" w:rsidR="00EB4A8B" w:rsidRPr="001040A5"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15</w:t>
            </w:r>
            <w:r>
              <w:rPr>
                <w:rFonts w:eastAsia="Times New Roman" w:cs="Arial"/>
                <w:b/>
                <w:color w:val="auto"/>
                <w:lang w:eastAsia="en-AU"/>
              </w:rPr>
              <w:t>,</w:t>
            </w:r>
            <w:r w:rsidRPr="001040A5">
              <w:rPr>
                <w:rFonts w:eastAsia="Times New Roman" w:cs="Arial"/>
                <w:b/>
                <w:color w:val="auto"/>
                <w:lang w:eastAsia="en-AU"/>
              </w:rPr>
              <w:t>794</w:t>
            </w:r>
          </w:p>
        </w:tc>
      </w:tr>
      <w:tr w:rsidR="00EB4A8B" w:rsidRPr="00FC5C7E" w14:paraId="390C5FFB"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48" w:type="pct"/>
            <w:tcBorders>
              <w:left w:val="single" w:sz="4" w:space="0" w:color="auto"/>
              <w:bottom w:val="single" w:sz="4" w:space="0" w:color="auto"/>
              <w:right w:val="single" w:sz="4" w:space="0" w:color="auto"/>
            </w:tcBorders>
            <w:noWrap/>
          </w:tcPr>
          <w:p w14:paraId="6ADD698A"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2012</w:t>
            </w:r>
          </w:p>
        </w:tc>
        <w:tc>
          <w:tcPr>
            <w:tcW w:w="725" w:type="pct"/>
            <w:tcBorders>
              <w:left w:val="single" w:sz="4" w:space="0" w:color="auto"/>
              <w:bottom w:val="single" w:sz="4" w:space="0" w:color="auto"/>
            </w:tcBorders>
            <w:noWrap/>
            <w:hideMark/>
          </w:tcPr>
          <w:p w14:paraId="4B26B63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15</w:t>
            </w:r>
            <w:r>
              <w:rPr>
                <w:rFonts w:eastAsia="Times New Roman" w:cs="Arial"/>
                <w:color w:val="000000"/>
                <w:lang w:eastAsia="en-AU"/>
              </w:rPr>
              <w:t>,</w:t>
            </w:r>
            <w:r w:rsidRPr="00F0043D">
              <w:rPr>
                <w:rFonts w:eastAsia="Times New Roman" w:cs="Arial"/>
                <w:color w:val="000000"/>
                <w:lang w:eastAsia="en-AU"/>
              </w:rPr>
              <w:t>900</w:t>
            </w:r>
          </w:p>
        </w:tc>
        <w:tc>
          <w:tcPr>
            <w:tcW w:w="380" w:type="pct"/>
            <w:tcBorders>
              <w:bottom w:val="single" w:sz="4" w:space="0" w:color="auto"/>
              <w:right w:val="single" w:sz="4" w:space="0" w:color="auto"/>
            </w:tcBorders>
          </w:tcPr>
          <w:p w14:paraId="27282E6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(75.7%)</w:t>
            </w:r>
          </w:p>
        </w:tc>
        <w:tc>
          <w:tcPr>
            <w:tcW w:w="563" w:type="pct"/>
            <w:tcBorders>
              <w:bottom w:val="single" w:sz="4" w:space="0" w:color="auto"/>
              <w:right w:val="nil"/>
            </w:tcBorders>
          </w:tcPr>
          <w:p w14:paraId="4B87D1AC"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w:t>
            </w:r>
            <w:r>
              <w:rPr>
                <w:rFonts w:eastAsia="Times New Roman" w:cs="Arial"/>
                <w:color w:val="000000"/>
                <w:lang w:eastAsia="en-AU"/>
              </w:rPr>
              <w:t>,</w:t>
            </w:r>
            <w:r w:rsidRPr="00F0043D">
              <w:rPr>
                <w:rFonts w:eastAsia="Times New Roman" w:cs="Arial"/>
                <w:color w:val="000000"/>
                <w:lang w:eastAsia="en-AU"/>
              </w:rPr>
              <w:t>092</w:t>
            </w:r>
          </w:p>
        </w:tc>
        <w:tc>
          <w:tcPr>
            <w:tcW w:w="380" w:type="pct"/>
            <w:tcBorders>
              <w:left w:val="nil"/>
              <w:bottom w:val="single" w:sz="4" w:space="0" w:color="auto"/>
            </w:tcBorders>
          </w:tcPr>
          <w:p w14:paraId="3483813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(24.3%)</w:t>
            </w:r>
          </w:p>
        </w:tc>
        <w:tc>
          <w:tcPr>
            <w:tcW w:w="625" w:type="pct"/>
            <w:tcBorders>
              <w:left w:val="single" w:sz="4" w:space="0" w:color="auto"/>
              <w:bottom w:val="single" w:sz="4" w:space="0" w:color="auto"/>
            </w:tcBorders>
            <w:noWrap/>
            <w:hideMark/>
          </w:tcPr>
          <w:p w14:paraId="33FFCFC7"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Pr>
                <w:rFonts w:eastAsia="Times New Roman" w:cs="Arial"/>
                <w:color w:val="000000"/>
                <w:lang w:eastAsia="en-AU"/>
              </w:rPr>
              <w:t>,</w:t>
            </w:r>
            <w:r w:rsidRPr="00F0043D">
              <w:rPr>
                <w:rFonts w:eastAsia="Times New Roman" w:cs="Arial"/>
                <w:color w:val="000000"/>
                <w:lang w:eastAsia="en-AU"/>
              </w:rPr>
              <w:t>231</w:t>
            </w:r>
          </w:p>
        </w:tc>
        <w:tc>
          <w:tcPr>
            <w:tcW w:w="380" w:type="pct"/>
            <w:tcBorders>
              <w:bottom w:val="single" w:sz="4" w:space="0" w:color="auto"/>
              <w:right w:val="single" w:sz="4" w:space="0" w:color="auto"/>
            </w:tcBorders>
          </w:tcPr>
          <w:p w14:paraId="77D2C7C0"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(15.4%)</w:t>
            </w:r>
          </w:p>
        </w:tc>
        <w:tc>
          <w:tcPr>
            <w:tcW w:w="781" w:type="pct"/>
            <w:tcBorders>
              <w:left w:val="single" w:sz="4" w:space="0" w:color="auto"/>
              <w:bottom w:val="single" w:sz="4" w:space="0" w:color="auto"/>
              <w:right w:val="nil"/>
            </w:tcBorders>
            <w:noWrap/>
            <w:hideMark/>
          </w:tcPr>
          <w:p w14:paraId="6C46155F" w14:textId="77777777" w:rsidR="00EB4A8B" w:rsidRPr="00F0043D"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Pr>
                <w:rFonts w:eastAsia="Times New Roman" w:cs="Arial"/>
                <w:color w:val="000000"/>
                <w:lang w:eastAsia="en-AU"/>
              </w:rPr>
              <w:t>,</w:t>
            </w:r>
            <w:r w:rsidRPr="00F0043D">
              <w:rPr>
                <w:rFonts w:eastAsia="Times New Roman" w:cs="Arial"/>
                <w:color w:val="000000"/>
                <w:lang w:eastAsia="en-AU"/>
              </w:rPr>
              <w:t>861</w:t>
            </w:r>
          </w:p>
        </w:tc>
        <w:tc>
          <w:tcPr>
            <w:tcW w:w="423" w:type="pct"/>
            <w:tcBorders>
              <w:left w:val="nil"/>
              <w:bottom w:val="single" w:sz="4" w:space="0" w:color="auto"/>
              <w:right w:val="single" w:sz="4" w:space="0" w:color="auto"/>
            </w:tcBorders>
            <w:vAlign w:val="center"/>
          </w:tcPr>
          <w:p w14:paraId="57AECAD5"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8.87%</w:t>
            </w:r>
            <w:r>
              <w:rPr>
                <w:rFonts w:ascii="Calibri" w:hAnsi="Calibri"/>
                <w:color w:val="auto"/>
              </w:rPr>
              <w:t>)</w:t>
            </w:r>
          </w:p>
        </w:tc>
        <w:tc>
          <w:tcPr>
            <w:tcW w:w="395" w:type="pct"/>
            <w:tcBorders>
              <w:left w:val="single" w:sz="4" w:space="0" w:color="auto"/>
              <w:bottom w:val="single" w:sz="4" w:space="0" w:color="auto"/>
              <w:right w:val="single" w:sz="4" w:space="0" w:color="auto"/>
            </w:tcBorders>
          </w:tcPr>
          <w:p w14:paraId="67A827D1" w14:textId="77777777" w:rsidR="00EB4A8B" w:rsidRPr="001040A5"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40A5">
              <w:rPr>
                <w:rFonts w:eastAsia="Times New Roman" w:cs="Arial"/>
                <w:b/>
                <w:color w:val="auto"/>
                <w:lang w:eastAsia="en-AU"/>
              </w:rPr>
              <w:t>20</w:t>
            </w:r>
            <w:r>
              <w:rPr>
                <w:rFonts w:eastAsia="Times New Roman" w:cs="Arial"/>
                <w:b/>
                <w:color w:val="auto"/>
                <w:lang w:eastAsia="en-AU"/>
              </w:rPr>
              <w:t>,</w:t>
            </w:r>
            <w:r w:rsidRPr="001040A5">
              <w:rPr>
                <w:rFonts w:eastAsia="Times New Roman" w:cs="Arial"/>
                <w:b/>
                <w:color w:val="auto"/>
                <w:lang w:eastAsia="en-AU"/>
              </w:rPr>
              <w:t>992</w:t>
            </w:r>
          </w:p>
        </w:tc>
      </w:tr>
      <w:tr w:rsidR="002418F8" w:rsidRPr="00FC5C7E" w14:paraId="366ABE9C" w14:textId="77777777" w:rsidTr="00B605C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4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2ACAFEF8" w14:textId="77777777" w:rsidR="00EB4A8B" w:rsidRPr="00FC5C7E" w:rsidRDefault="00EB4A8B" w:rsidP="00CE2FDF">
            <w:pPr>
              <w:tabs>
                <w:tab w:val="left" w:pos="1134"/>
              </w:tabs>
              <w:spacing w:before="0" w:line="276" w:lineRule="auto"/>
              <w:rPr>
                <w:rFonts w:eastAsia="Times New Roman" w:cs="Arial"/>
                <w:color w:val="auto"/>
                <w:lang w:eastAsia="en-AU"/>
              </w:rPr>
            </w:pPr>
            <w:r w:rsidRPr="00FC5C7E">
              <w:rPr>
                <w:rFonts w:eastAsia="Times New Roman" w:cs="Arial"/>
                <w:bCs w:val="0"/>
                <w:color w:val="auto"/>
                <w:lang w:eastAsia="en-AU"/>
              </w:rPr>
              <w:t>Totals:</w:t>
            </w:r>
          </w:p>
        </w:tc>
        <w:tc>
          <w:tcPr>
            <w:tcW w:w="725" w:type="pct"/>
            <w:tcBorders>
              <w:top w:val="single" w:sz="4" w:space="0" w:color="auto"/>
              <w:left w:val="single" w:sz="4" w:space="0" w:color="auto"/>
              <w:bottom w:val="single" w:sz="4" w:space="0" w:color="auto"/>
            </w:tcBorders>
            <w:shd w:val="clear" w:color="auto" w:fill="95B3D7" w:themeFill="accent1" w:themeFillTint="99"/>
            <w:noWrap/>
          </w:tcPr>
          <w:p w14:paraId="48A44151"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74</w:t>
            </w:r>
            <w:r>
              <w:rPr>
                <w:rFonts w:eastAsia="Times New Roman" w:cs="Arial"/>
                <w:b/>
                <w:color w:val="auto"/>
                <w:lang w:eastAsia="en-AU"/>
              </w:rPr>
              <w:t>,</w:t>
            </w:r>
            <w:r w:rsidRPr="00747CDE">
              <w:rPr>
                <w:rFonts w:eastAsia="Times New Roman" w:cs="Arial"/>
                <w:b/>
                <w:color w:val="auto"/>
                <w:lang w:eastAsia="en-AU"/>
              </w:rPr>
              <w:t>314</w:t>
            </w:r>
          </w:p>
        </w:tc>
        <w:tc>
          <w:tcPr>
            <w:tcW w:w="380" w:type="pct"/>
            <w:tcBorders>
              <w:top w:val="single" w:sz="4" w:space="0" w:color="auto"/>
              <w:bottom w:val="single" w:sz="4" w:space="0" w:color="auto"/>
              <w:right w:val="single" w:sz="4" w:space="0" w:color="auto"/>
            </w:tcBorders>
            <w:shd w:val="clear" w:color="auto" w:fill="95B3D7" w:themeFill="accent1" w:themeFillTint="99"/>
          </w:tcPr>
          <w:p w14:paraId="606A965E"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(70.9%)</w:t>
            </w:r>
          </w:p>
        </w:tc>
        <w:tc>
          <w:tcPr>
            <w:tcW w:w="563" w:type="pct"/>
            <w:tcBorders>
              <w:top w:val="single" w:sz="4" w:space="0" w:color="auto"/>
              <w:bottom w:val="single" w:sz="4" w:space="0" w:color="auto"/>
            </w:tcBorders>
            <w:shd w:val="clear" w:color="auto" w:fill="95B3D7" w:themeFill="accent1" w:themeFillTint="99"/>
          </w:tcPr>
          <w:p w14:paraId="74177B19"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30</w:t>
            </w:r>
            <w:r>
              <w:rPr>
                <w:rFonts w:eastAsia="Times New Roman" w:cs="Arial"/>
                <w:b/>
                <w:color w:val="auto"/>
                <w:lang w:eastAsia="en-AU"/>
              </w:rPr>
              <w:t>,</w:t>
            </w:r>
            <w:r w:rsidRPr="00747CDE">
              <w:rPr>
                <w:rFonts w:eastAsia="Times New Roman" w:cs="Arial"/>
                <w:b/>
                <w:color w:val="auto"/>
                <w:lang w:eastAsia="en-AU"/>
              </w:rPr>
              <w:t>545</w:t>
            </w:r>
          </w:p>
        </w:tc>
        <w:tc>
          <w:tcPr>
            <w:tcW w:w="380" w:type="pct"/>
            <w:tcBorders>
              <w:top w:val="single" w:sz="4" w:space="0" w:color="auto"/>
              <w:bottom w:val="single" w:sz="4" w:space="0" w:color="auto"/>
            </w:tcBorders>
            <w:shd w:val="clear" w:color="auto" w:fill="95B3D7" w:themeFill="accent1" w:themeFillTint="99"/>
          </w:tcPr>
          <w:p w14:paraId="43DA5DF3"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(29.1%)</w:t>
            </w:r>
          </w:p>
        </w:tc>
        <w:tc>
          <w:tcPr>
            <w:tcW w:w="625" w:type="pct"/>
            <w:tcBorders>
              <w:top w:val="single" w:sz="4" w:space="0" w:color="auto"/>
              <w:left w:val="single" w:sz="4" w:space="0" w:color="auto"/>
              <w:bottom w:val="single" w:sz="4" w:space="0" w:color="auto"/>
            </w:tcBorders>
            <w:shd w:val="clear" w:color="auto" w:fill="95B3D7" w:themeFill="accent1" w:themeFillTint="99"/>
            <w:noWrap/>
          </w:tcPr>
          <w:p w14:paraId="2B531476"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20</w:t>
            </w:r>
            <w:r>
              <w:rPr>
                <w:rFonts w:eastAsia="Times New Roman" w:cs="Arial"/>
                <w:b/>
                <w:color w:val="auto"/>
                <w:lang w:eastAsia="en-AU"/>
              </w:rPr>
              <w:t>,</w:t>
            </w:r>
            <w:r w:rsidRPr="00747CDE">
              <w:rPr>
                <w:rFonts w:eastAsia="Times New Roman" w:cs="Arial"/>
                <w:b/>
                <w:color w:val="auto"/>
                <w:lang w:eastAsia="en-AU"/>
              </w:rPr>
              <w:t>694</w:t>
            </w:r>
          </w:p>
        </w:tc>
        <w:tc>
          <w:tcPr>
            <w:tcW w:w="380" w:type="pct"/>
            <w:tcBorders>
              <w:top w:val="single" w:sz="4" w:space="0" w:color="auto"/>
              <w:bottom w:val="single" w:sz="4" w:space="0" w:color="auto"/>
              <w:right w:val="single" w:sz="4" w:space="0" w:color="auto"/>
            </w:tcBorders>
            <w:shd w:val="clear" w:color="auto" w:fill="95B3D7" w:themeFill="accent1" w:themeFillTint="99"/>
          </w:tcPr>
          <w:p w14:paraId="2D44BCE6"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(19.7%)</w:t>
            </w:r>
          </w:p>
        </w:tc>
        <w:tc>
          <w:tcPr>
            <w:tcW w:w="781" w:type="pct"/>
            <w:tcBorders>
              <w:top w:val="single" w:sz="4" w:space="0" w:color="auto"/>
              <w:left w:val="single" w:sz="4" w:space="0" w:color="auto"/>
              <w:bottom w:val="single" w:sz="4" w:space="0" w:color="auto"/>
            </w:tcBorders>
            <w:shd w:val="clear" w:color="auto" w:fill="95B3D7" w:themeFill="accent1" w:themeFillTint="99"/>
            <w:noWrap/>
          </w:tcPr>
          <w:p w14:paraId="410F88B7"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9</w:t>
            </w:r>
            <w:r>
              <w:rPr>
                <w:rFonts w:eastAsia="Times New Roman" w:cs="Arial"/>
                <w:b/>
                <w:color w:val="auto"/>
                <w:lang w:eastAsia="en-AU"/>
              </w:rPr>
              <w:t>,</w:t>
            </w:r>
            <w:r w:rsidRPr="00747CDE">
              <w:rPr>
                <w:rFonts w:eastAsia="Times New Roman" w:cs="Arial"/>
                <w:b/>
                <w:color w:val="auto"/>
                <w:lang w:eastAsia="en-AU"/>
              </w:rPr>
              <w:t>851</w:t>
            </w:r>
          </w:p>
        </w:tc>
        <w:tc>
          <w:tcPr>
            <w:tcW w:w="423" w:type="pct"/>
            <w:tcBorders>
              <w:top w:val="single" w:sz="4" w:space="0" w:color="auto"/>
              <w:bottom w:val="single" w:sz="4" w:space="0" w:color="auto"/>
              <w:right w:val="single" w:sz="4" w:space="0" w:color="auto"/>
            </w:tcBorders>
            <w:shd w:val="clear" w:color="auto" w:fill="95B3D7" w:themeFill="accent1" w:themeFillTint="99"/>
            <w:vAlign w:val="center"/>
          </w:tcPr>
          <w:p w14:paraId="0BFCA110"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9.39%</w:t>
            </w:r>
            <w:r>
              <w:rPr>
                <w:rFonts w:ascii="Calibri" w:hAnsi="Calibri"/>
                <w:color w:val="auto"/>
              </w:rPr>
              <w:t>)</w:t>
            </w:r>
          </w:p>
        </w:tc>
        <w:tc>
          <w:tcPr>
            <w:tcW w:w="395"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5BB8859"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104</w:t>
            </w:r>
            <w:r>
              <w:rPr>
                <w:rFonts w:eastAsia="Times New Roman" w:cs="Arial"/>
                <w:b/>
                <w:color w:val="auto"/>
                <w:lang w:eastAsia="en-AU"/>
              </w:rPr>
              <w:t>,</w:t>
            </w:r>
            <w:r w:rsidRPr="00747CDE">
              <w:rPr>
                <w:rFonts w:eastAsia="Times New Roman" w:cs="Arial"/>
                <w:b/>
                <w:color w:val="auto"/>
                <w:lang w:eastAsia="en-AU"/>
              </w:rPr>
              <w:t>859</w:t>
            </w:r>
          </w:p>
        </w:tc>
      </w:tr>
    </w:tbl>
    <w:p w14:paraId="21CCB555" w14:textId="77777777" w:rsidR="005D61DD" w:rsidRPr="0006220F" w:rsidRDefault="005D61DD" w:rsidP="005E613E">
      <w:pPr>
        <w:pStyle w:val="Heading6"/>
        <w:spacing w:before="240" w:after="240"/>
      </w:pPr>
      <w:r w:rsidRPr="0006220F">
        <w:t xml:space="preserve">Line graph for table 1.26.10: Reports by police, by year, by outcome of reports </w:t>
      </w:r>
    </w:p>
    <w:p w14:paraId="45554C7B" w14:textId="77777777" w:rsidR="0080128E" w:rsidRDefault="00CD1101" w:rsidP="00B15586">
      <w:r w:rsidRPr="00CD1101">
        <w:rPr>
          <w:noProof/>
          <w:lang w:eastAsia="en-AU"/>
        </w:rPr>
        <w:drawing>
          <wp:inline distT="0" distB="0" distL="0" distR="0" wp14:anchorId="09BBB709" wp14:editId="0AD63599">
            <wp:extent cx="9210675" cy="2105025"/>
            <wp:effectExtent l="0" t="0" r="9525" b="9525"/>
            <wp:docPr id="26" name="Chart 22" descr="Shows investigations of abuse reports by police have declined from 38.9% in 2004 to 24.3% in 2012. " title="Line graph for table 1.2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80128E">
        <w:br w:type="page"/>
      </w:r>
    </w:p>
    <w:p w14:paraId="7463D2E9" w14:textId="77777777" w:rsidR="005D61DD" w:rsidRDefault="005D61DD" w:rsidP="0095311F">
      <w:pPr>
        <w:pStyle w:val="Figureheading"/>
      </w:pPr>
      <w:bookmarkStart w:id="82" w:name="_Toc382206755"/>
      <w:r>
        <w:lastRenderedPageBreak/>
        <w:t>1.26.11</w:t>
      </w:r>
      <w:r>
        <w:tab/>
        <w:t>Reports by school personnel, by year, by abuse type (number and percentage)</w:t>
      </w:r>
    </w:p>
    <w:bookmarkEnd w:id="82"/>
    <w:tbl>
      <w:tblPr>
        <w:tblStyle w:val="LightShading-Accent120"/>
        <w:tblW w:w="5000" w:type="pct"/>
        <w:tblLook w:val="04A0" w:firstRow="1" w:lastRow="0" w:firstColumn="1" w:lastColumn="0" w:noHBand="0" w:noVBand="1"/>
        <w:tblCaption w:val="Reports by school personnel, by year, by abuse type (number and percentage)"/>
      </w:tblPr>
      <w:tblGrid>
        <w:gridCol w:w="1128"/>
        <w:gridCol w:w="2367"/>
        <w:gridCol w:w="1231"/>
        <w:gridCol w:w="1237"/>
        <w:gridCol w:w="1231"/>
        <w:gridCol w:w="2098"/>
        <w:gridCol w:w="1230"/>
        <w:gridCol w:w="1907"/>
        <w:gridCol w:w="1230"/>
        <w:gridCol w:w="1127"/>
      </w:tblGrid>
      <w:tr w:rsidR="002418F8" w:rsidRPr="00F15FE1" w14:paraId="2B3BD3A3" w14:textId="77777777" w:rsidTr="00B605CE">
        <w:trPr>
          <w:cnfStyle w:val="100000000000" w:firstRow="1" w:lastRow="0" w:firstColumn="0" w:lastColumn="0" w:oddVBand="0" w:evenVBand="0" w:oddHBand="0" w:evenHBand="0" w:firstRowFirstColumn="0" w:firstRowLastColumn="0" w:lastRowFirstColumn="0" w:lastRowLastColumn="0"/>
          <w:trHeight w:val="314"/>
          <w:tblHeader/>
        </w:trPr>
        <w:tc>
          <w:tcPr>
            <w:cnfStyle w:val="001000000000" w:firstRow="0" w:lastRow="0" w:firstColumn="1" w:lastColumn="0" w:oddVBand="0" w:evenVBand="0" w:oddHBand="0" w:evenHBand="0" w:firstRowFirstColumn="0" w:firstRowLastColumn="0" w:lastRowFirstColumn="0" w:lastRowLastColumn="0"/>
            <w:tcW w:w="38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49F38BE"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p>
        </w:tc>
        <w:tc>
          <w:tcPr>
            <w:tcW w:w="800" w:type="pct"/>
            <w:tcBorders>
              <w:top w:val="single" w:sz="4" w:space="0" w:color="auto"/>
              <w:left w:val="single" w:sz="4" w:space="0" w:color="auto"/>
              <w:bottom w:val="single" w:sz="4" w:space="0" w:color="auto"/>
            </w:tcBorders>
            <w:shd w:val="clear" w:color="auto" w:fill="95B3D7" w:themeFill="accent1" w:themeFillTint="99"/>
            <w:vAlign w:val="center"/>
            <w:hideMark/>
          </w:tcPr>
          <w:p w14:paraId="5B50B3DA" w14:textId="77777777" w:rsidR="00CD1101" w:rsidRPr="00F15FE1"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F15FE1">
              <w:rPr>
                <w:rFonts w:ascii="Calibri" w:eastAsia="Times New Roman" w:hAnsi="Calibri" w:cs="Arial"/>
                <w:bCs w:val="0"/>
                <w:color w:val="000000"/>
                <w:lang w:eastAsia="en-AU"/>
              </w:rPr>
              <w:t>Emotional</w:t>
            </w:r>
            <w:r w:rsidR="00736DDB">
              <w:rPr>
                <w:rFonts w:ascii="Calibri" w:eastAsia="Times New Roman" w:hAnsi="Calibri" w:cs="Arial"/>
                <w:bCs w:val="0"/>
                <w:color w:val="000000"/>
                <w:lang w:eastAsia="en-AU"/>
              </w:rPr>
              <w:t xml:space="preserve"> abuse</w:t>
            </w:r>
          </w:p>
        </w:tc>
        <w:tc>
          <w:tcPr>
            <w:tcW w:w="416" w:type="pct"/>
            <w:tcBorders>
              <w:top w:val="single" w:sz="4" w:space="0" w:color="auto"/>
              <w:bottom w:val="single" w:sz="4" w:space="0" w:color="auto"/>
              <w:right w:val="single" w:sz="4" w:space="0" w:color="auto"/>
            </w:tcBorders>
            <w:shd w:val="clear" w:color="auto" w:fill="95B3D7" w:themeFill="accent1" w:themeFillTint="99"/>
            <w:vAlign w:val="center"/>
          </w:tcPr>
          <w:p w14:paraId="4210A270" w14:textId="77777777" w:rsidR="00CD1101" w:rsidRPr="00FE3A23"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418" w:type="pct"/>
            <w:tcBorders>
              <w:top w:val="single" w:sz="4" w:space="0" w:color="auto"/>
              <w:left w:val="single" w:sz="4" w:space="0" w:color="auto"/>
              <w:bottom w:val="single" w:sz="4" w:space="0" w:color="auto"/>
            </w:tcBorders>
            <w:shd w:val="clear" w:color="auto" w:fill="95B3D7" w:themeFill="accent1" w:themeFillTint="99"/>
            <w:vAlign w:val="center"/>
            <w:hideMark/>
          </w:tcPr>
          <w:p w14:paraId="13348047" w14:textId="77777777" w:rsidR="00CD1101" w:rsidRPr="00F15FE1"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F15FE1">
              <w:rPr>
                <w:rFonts w:ascii="Calibri" w:eastAsia="Times New Roman" w:hAnsi="Calibri" w:cs="Arial"/>
                <w:bCs w:val="0"/>
                <w:color w:val="000000"/>
                <w:lang w:eastAsia="en-AU"/>
              </w:rPr>
              <w:t>Neglect</w:t>
            </w:r>
          </w:p>
        </w:tc>
        <w:tc>
          <w:tcPr>
            <w:tcW w:w="416" w:type="pct"/>
            <w:tcBorders>
              <w:top w:val="single" w:sz="4" w:space="0" w:color="auto"/>
              <w:bottom w:val="single" w:sz="4" w:space="0" w:color="auto"/>
              <w:right w:val="single" w:sz="4" w:space="0" w:color="auto"/>
            </w:tcBorders>
            <w:shd w:val="clear" w:color="auto" w:fill="95B3D7" w:themeFill="accent1" w:themeFillTint="99"/>
            <w:vAlign w:val="center"/>
          </w:tcPr>
          <w:p w14:paraId="6029D23F" w14:textId="77777777" w:rsidR="00CD1101" w:rsidRPr="00FE3A23"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709" w:type="pct"/>
            <w:tcBorders>
              <w:top w:val="single" w:sz="4" w:space="0" w:color="auto"/>
              <w:left w:val="single" w:sz="4" w:space="0" w:color="auto"/>
              <w:bottom w:val="single" w:sz="4" w:space="0" w:color="auto"/>
            </w:tcBorders>
            <w:shd w:val="clear" w:color="auto" w:fill="95B3D7" w:themeFill="accent1" w:themeFillTint="99"/>
            <w:vAlign w:val="center"/>
            <w:hideMark/>
          </w:tcPr>
          <w:p w14:paraId="3F73AC67" w14:textId="77777777" w:rsidR="00CD1101" w:rsidRPr="00F15FE1"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F15FE1">
              <w:rPr>
                <w:rFonts w:ascii="Calibri" w:eastAsia="Times New Roman" w:hAnsi="Calibri" w:cs="Arial"/>
                <w:bCs w:val="0"/>
                <w:color w:val="000000"/>
                <w:lang w:eastAsia="en-AU"/>
              </w:rPr>
              <w:t>Physical</w:t>
            </w:r>
            <w:r w:rsidR="00736DDB">
              <w:rPr>
                <w:rFonts w:ascii="Calibri" w:eastAsia="Times New Roman" w:hAnsi="Calibri" w:cs="Arial"/>
                <w:bCs w:val="0"/>
                <w:color w:val="000000"/>
                <w:lang w:eastAsia="en-AU"/>
              </w:rPr>
              <w:t xml:space="preserve"> abuse</w:t>
            </w:r>
          </w:p>
        </w:tc>
        <w:tc>
          <w:tcPr>
            <w:tcW w:w="416" w:type="pct"/>
            <w:tcBorders>
              <w:top w:val="single" w:sz="4" w:space="0" w:color="auto"/>
              <w:bottom w:val="single" w:sz="4" w:space="0" w:color="auto"/>
              <w:right w:val="single" w:sz="4" w:space="0" w:color="auto"/>
            </w:tcBorders>
            <w:shd w:val="clear" w:color="auto" w:fill="95B3D7" w:themeFill="accent1" w:themeFillTint="99"/>
            <w:vAlign w:val="center"/>
          </w:tcPr>
          <w:p w14:paraId="53A9CC60" w14:textId="77777777" w:rsidR="00CD1101" w:rsidRPr="00FE3A23"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645" w:type="pct"/>
            <w:tcBorders>
              <w:top w:val="single" w:sz="4" w:space="0" w:color="auto"/>
              <w:left w:val="single" w:sz="4" w:space="0" w:color="auto"/>
              <w:bottom w:val="single" w:sz="4" w:space="0" w:color="auto"/>
            </w:tcBorders>
            <w:shd w:val="clear" w:color="auto" w:fill="95B3D7" w:themeFill="accent1" w:themeFillTint="99"/>
            <w:vAlign w:val="center"/>
            <w:hideMark/>
          </w:tcPr>
          <w:p w14:paraId="34125A5D" w14:textId="77777777" w:rsidR="00CD1101" w:rsidRPr="00F15FE1"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F15FE1">
              <w:rPr>
                <w:rFonts w:ascii="Calibri" w:eastAsia="Times New Roman" w:hAnsi="Calibri" w:cs="Arial"/>
                <w:bCs w:val="0"/>
                <w:color w:val="000000"/>
                <w:lang w:eastAsia="en-AU"/>
              </w:rPr>
              <w:t>Sexual</w:t>
            </w:r>
            <w:r w:rsidR="00736DDB">
              <w:rPr>
                <w:rFonts w:ascii="Calibri" w:eastAsia="Times New Roman" w:hAnsi="Calibri" w:cs="Arial"/>
                <w:bCs w:val="0"/>
                <w:color w:val="000000"/>
                <w:lang w:eastAsia="en-AU"/>
              </w:rPr>
              <w:t xml:space="preserve"> abuse</w:t>
            </w:r>
          </w:p>
        </w:tc>
        <w:tc>
          <w:tcPr>
            <w:tcW w:w="416" w:type="pct"/>
            <w:tcBorders>
              <w:top w:val="single" w:sz="4" w:space="0" w:color="auto"/>
              <w:bottom w:val="single" w:sz="4" w:space="0" w:color="auto"/>
              <w:right w:val="single" w:sz="4" w:space="0" w:color="auto"/>
            </w:tcBorders>
            <w:shd w:val="clear" w:color="auto" w:fill="95B3D7" w:themeFill="accent1" w:themeFillTint="99"/>
            <w:vAlign w:val="center"/>
          </w:tcPr>
          <w:p w14:paraId="3F21734F" w14:textId="77777777" w:rsidR="00CD1101" w:rsidRPr="00FE3A23"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381"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1516928" w14:textId="77777777" w:rsidR="00CD1101" w:rsidRPr="0084133D"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84133D">
              <w:rPr>
                <w:rFonts w:ascii="Calibri" w:eastAsia="Times New Roman" w:hAnsi="Calibri" w:cs="Arial"/>
                <w:bCs w:val="0"/>
                <w:color w:val="auto"/>
                <w:lang w:eastAsia="en-AU"/>
              </w:rPr>
              <w:t>Total</w:t>
            </w:r>
          </w:p>
        </w:tc>
      </w:tr>
      <w:tr w:rsidR="00C84E96" w:rsidRPr="00F0043D" w14:paraId="2EB2E806"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1" w:type="pct"/>
            <w:tcBorders>
              <w:top w:val="single" w:sz="4" w:space="0" w:color="auto"/>
              <w:left w:val="single" w:sz="4" w:space="0" w:color="auto"/>
              <w:right w:val="single" w:sz="4" w:space="0" w:color="auto"/>
            </w:tcBorders>
            <w:noWrap/>
            <w:hideMark/>
          </w:tcPr>
          <w:p w14:paraId="3132DF38"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2003</w:t>
            </w:r>
          </w:p>
        </w:tc>
        <w:tc>
          <w:tcPr>
            <w:tcW w:w="800" w:type="pct"/>
            <w:tcBorders>
              <w:top w:val="single" w:sz="4" w:space="0" w:color="auto"/>
              <w:left w:val="single" w:sz="4" w:space="0" w:color="auto"/>
            </w:tcBorders>
            <w:noWrap/>
            <w:hideMark/>
          </w:tcPr>
          <w:p w14:paraId="07AA45DF"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839</w:t>
            </w:r>
          </w:p>
        </w:tc>
        <w:tc>
          <w:tcPr>
            <w:tcW w:w="416" w:type="pct"/>
            <w:tcBorders>
              <w:top w:val="single" w:sz="4" w:space="0" w:color="auto"/>
              <w:right w:val="single" w:sz="4" w:space="0" w:color="auto"/>
            </w:tcBorders>
          </w:tcPr>
          <w:p w14:paraId="2A4721AA"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(22.9%)</w:t>
            </w:r>
          </w:p>
        </w:tc>
        <w:tc>
          <w:tcPr>
            <w:tcW w:w="418" w:type="pct"/>
            <w:tcBorders>
              <w:top w:val="single" w:sz="4" w:space="0" w:color="auto"/>
              <w:left w:val="single" w:sz="4" w:space="0" w:color="auto"/>
            </w:tcBorders>
            <w:noWrap/>
            <w:hideMark/>
          </w:tcPr>
          <w:p w14:paraId="05E347F2"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857</w:t>
            </w:r>
          </w:p>
        </w:tc>
        <w:tc>
          <w:tcPr>
            <w:tcW w:w="416" w:type="pct"/>
            <w:tcBorders>
              <w:top w:val="single" w:sz="4" w:space="0" w:color="auto"/>
              <w:right w:val="single" w:sz="4" w:space="0" w:color="auto"/>
            </w:tcBorders>
          </w:tcPr>
          <w:p w14:paraId="7B4BCE3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(23.4%)</w:t>
            </w:r>
          </w:p>
        </w:tc>
        <w:tc>
          <w:tcPr>
            <w:tcW w:w="709" w:type="pct"/>
            <w:tcBorders>
              <w:top w:val="single" w:sz="4" w:space="0" w:color="auto"/>
              <w:left w:val="single" w:sz="4" w:space="0" w:color="auto"/>
            </w:tcBorders>
            <w:noWrap/>
            <w:hideMark/>
          </w:tcPr>
          <w:p w14:paraId="263203A2"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530</w:t>
            </w:r>
          </w:p>
        </w:tc>
        <w:tc>
          <w:tcPr>
            <w:tcW w:w="416" w:type="pct"/>
            <w:tcBorders>
              <w:top w:val="single" w:sz="4" w:space="0" w:color="auto"/>
              <w:right w:val="single" w:sz="4" w:space="0" w:color="auto"/>
            </w:tcBorders>
          </w:tcPr>
          <w:p w14:paraId="67C2273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(41.8%)</w:t>
            </w:r>
          </w:p>
        </w:tc>
        <w:tc>
          <w:tcPr>
            <w:tcW w:w="645" w:type="pct"/>
            <w:tcBorders>
              <w:top w:val="single" w:sz="4" w:space="0" w:color="auto"/>
              <w:left w:val="single" w:sz="4" w:space="0" w:color="auto"/>
            </w:tcBorders>
            <w:noWrap/>
            <w:hideMark/>
          </w:tcPr>
          <w:p w14:paraId="1E66EF6D"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431</w:t>
            </w:r>
          </w:p>
        </w:tc>
        <w:tc>
          <w:tcPr>
            <w:tcW w:w="416" w:type="pct"/>
            <w:tcBorders>
              <w:top w:val="single" w:sz="4" w:space="0" w:color="auto"/>
              <w:right w:val="single" w:sz="4" w:space="0" w:color="auto"/>
            </w:tcBorders>
          </w:tcPr>
          <w:p w14:paraId="6DFBF3E6"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(11.8%)</w:t>
            </w:r>
          </w:p>
        </w:tc>
        <w:tc>
          <w:tcPr>
            <w:tcW w:w="381" w:type="pct"/>
            <w:tcBorders>
              <w:top w:val="single" w:sz="4" w:space="0" w:color="auto"/>
              <w:left w:val="single" w:sz="4" w:space="0" w:color="auto"/>
              <w:right w:val="single" w:sz="4" w:space="0" w:color="auto"/>
            </w:tcBorders>
            <w:noWrap/>
            <w:hideMark/>
          </w:tcPr>
          <w:p w14:paraId="75C8AD72" w14:textId="77777777" w:rsidR="00CD1101" w:rsidRPr="008413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3</w:t>
            </w:r>
            <w:r w:rsidR="00747CDE">
              <w:rPr>
                <w:rFonts w:eastAsia="Times New Roman" w:cs="Arial"/>
                <w:b/>
                <w:color w:val="auto"/>
                <w:lang w:eastAsia="en-AU"/>
              </w:rPr>
              <w:t>,</w:t>
            </w:r>
            <w:r w:rsidRPr="0084133D">
              <w:rPr>
                <w:rFonts w:eastAsia="Times New Roman" w:cs="Arial"/>
                <w:b/>
                <w:color w:val="auto"/>
                <w:lang w:eastAsia="en-AU"/>
              </w:rPr>
              <w:t>657</w:t>
            </w:r>
          </w:p>
        </w:tc>
      </w:tr>
      <w:tr w:rsidR="00CD1101" w:rsidRPr="00F0043D" w14:paraId="435BF9C0"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1" w:type="pct"/>
            <w:tcBorders>
              <w:left w:val="single" w:sz="4" w:space="0" w:color="auto"/>
              <w:right w:val="single" w:sz="4" w:space="0" w:color="auto"/>
            </w:tcBorders>
            <w:noWrap/>
            <w:hideMark/>
          </w:tcPr>
          <w:p w14:paraId="207C0087"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2004</w:t>
            </w:r>
          </w:p>
        </w:tc>
        <w:tc>
          <w:tcPr>
            <w:tcW w:w="800" w:type="pct"/>
            <w:tcBorders>
              <w:left w:val="single" w:sz="4" w:space="0" w:color="auto"/>
            </w:tcBorders>
            <w:noWrap/>
            <w:hideMark/>
          </w:tcPr>
          <w:p w14:paraId="502D066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696</w:t>
            </w:r>
          </w:p>
        </w:tc>
        <w:tc>
          <w:tcPr>
            <w:tcW w:w="416" w:type="pct"/>
            <w:tcBorders>
              <w:right w:val="single" w:sz="4" w:space="0" w:color="auto"/>
            </w:tcBorders>
          </w:tcPr>
          <w:p w14:paraId="6A5C2CBB"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(19.4%)</w:t>
            </w:r>
          </w:p>
        </w:tc>
        <w:tc>
          <w:tcPr>
            <w:tcW w:w="418" w:type="pct"/>
            <w:tcBorders>
              <w:left w:val="single" w:sz="4" w:space="0" w:color="auto"/>
            </w:tcBorders>
            <w:noWrap/>
            <w:hideMark/>
          </w:tcPr>
          <w:p w14:paraId="6D2CF76B"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883</w:t>
            </w:r>
          </w:p>
        </w:tc>
        <w:tc>
          <w:tcPr>
            <w:tcW w:w="416" w:type="pct"/>
            <w:tcBorders>
              <w:right w:val="single" w:sz="4" w:space="0" w:color="auto"/>
            </w:tcBorders>
          </w:tcPr>
          <w:p w14:paraId="711CBCE1"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(24.6%)</w:t>
            </w:r>
          </w:p>
        </w:tc>
        <w:tc>
          <w:tcPr>
            <w:tcW w:w="709" w:type="pct"/>
            <w:tcBorders>
              <w:left w:val="single" w:sz="4" w:space="0" w:color="auto"/>
            </w:tcBorders>
            <w:noWrap/>
            <w:hideMark/>
          </w:tcPr>
          <w:p w14:paraId="7686EB10"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538</w:t>
            </w:r>
          </w:p>
        </w:tc>
        <w:tc>
          <w:tcPr>
            <w:tcW w:w="416" w:type="pct"/>
            <w:tcBorders>
              <w:right w:val="single" w:sz="4" w:space="0" w:color="auto"/>
            </w:tcBorders>
          </w:tcPr>
          <w:p w14:paraId="30F4B13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(42.9%)</w:t>
            </w:r>
          </w:p>
        </w:tc>
        <w:tc>
          <w:tcPr>
            <w:tcW w:w="645" w:type="pct"/>
            <w:tcBorders>
              <w:left w:val="single" w:sz="4" w:space="0" w:color="auto"/>
            </w:tcBorders>
            <w:noWrap/>
            <w:hideMark/>
          </w:tcPr>
          <w:p w14:paraId="36401E58"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470</w:t>
            </w:r>
          </w:p>
        </w:tc>
        <w:tc>
          <w:tcPr>
            <w:tcW w:w="416" w:type="pct"/>
            <w:tcBorders>
              <w:right w:val="single" w:sz="4" w:space="0" w:color="auto"/>
            </w:tcBorders>
          </w:tcPr>
          <w:p w14:paraId="54D8DDC0"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(13.1%)</w:t>
            </w:r>
          </w:p>
        </w:tc>
        <w:tc>
          <w:tcPr>
            <w:tcW w:w="381" w:type="pct"/>
            <w:tcBorders>
              <w:left w:val="single" w:sz="4" w:space="0" w:color="auto"/>
              <w:right w:val="single" w:sz="4" w:space="0" w:color="auto"/>
            </w:tcBorders>
            <w:noWrap/>
            <w:hideMark/>
          </w:tcPr>
          <w:p w14:paraId="1EBFE90A" w14:textId="77777777" w:rsidR="00CD1101" w:rsidRPr="008413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3</w:t>
            </w:r>
            <w:r w:rsidR="00747CDE">
              <w:rPr>
                <w:rFonts w:eastAsia="Times New Roman" w:cs="Arial"/>
                <w:b/>
                <w:color w:val="auto"/>
                <w:lang w:eastAsia="en-AU"/>
              </w:rPr>
              <w:t>,</w:t>
            </w:r>
            <w:r w:rsidRPr="0084133D">
              <w:rPr>
                <w:rFonts w:eastAsia="Times New Roman" w:cs="Arial"/>
                <w:b/>
                <w:color w:val="auto"/>
                <w:lang w:eastAsia="en-AU"/>
              </w:rPr>
              <w:t>587</w:t>
            </w:r>
          </w:p>
        </w:tc>
      </w:tr>
      <w:tr w:rsidR="00CD1101" w:rsidRPr="00F0043D" w14:paraId="1B5D42DB"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1" w:type="pct"/>
            <w:tcBorders>
              <w:left w:val="single" w:sz="4" w:space="0" w:color="auto"/>
              <w:right w:val="single" w:sz="4" w:space="0" w:color="auto"/>
            </w:tcBorders>
            <w:noWrap/>
            <w:hideMark/>
          </w:tcPr>
          <w:p w14:paraId="3A8921C7"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2005</w:t>
            </w:r>
          </w:p>
        </w:tc>
        <w:tc>
          <w:tcPr>
            <w:tcW w:w="800" w:type="pct"/>
            <w:tcBorders>
              <w:left w:val="single" w:sz="4" w:space="0" w:color="auto"/>
            </w:tcBorders>
            <w:noWrap/>
            <w:hideMark/>
          </w:tcPr>
          <w:p w14:paraId="39E19FC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791</w:t>
            </w:r>
          </w:p>
        </w:tc>
        <w:tc>
          <w:tcPr>
            <w:tcW w:w="416" w:type="pct"/>
            <w:tcBorders>
              <w:right w:val="single" w:sz="4" w:space="0" w:color="auto"/>
            </w:tcBorders>
          </w:tcPr>
          <w:p w14:paraId="1FBAFF3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(22.4%)</w:t>
            </w:r>
          </w:p>
        </w:tc>
        <w:tc>
          <w:tcPr>
            <w:tcW w:w="418" w:type="pct"/>
            <w:tcBorders>
              <w:left w:val="single" w:sz="4" w:space="0" w:color="auto"/>
            </w:tcBorders>
            <w:noWrap/>
            <w:hideMark/>
          </w:tcPr>
          <w:p w14:paraId="63DCBE3C"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851</w:t>
            </w:r>
          </w:p>
        </w:tc>
        <w:tc>
          <w:tcPr>
            <w:tcW w:w="416" w:type="pct"/>
            <w:tcBorders>
              <w:right w:val="single" w:sz="4" w:space="0" w:color="auto"/>
            </w:tcBorders>
          </w:tcPr>
          <w:p w14:paraId="267AEFEC"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(24.1%)</w:t>
            </w:r>
          </w:p>
        </w:tc>
        <w:tc>
          <w:tcPr>
            <w:tcW w:w="709" w:type="pct"/>
            <w:tcBorders>
              <w:left w:val="single" w:sz="4" w:space="0" w:color="auto"/>
            </w:tcBorders>
            <w:noWrap/>
            <w:hideMark/>
          </w:tcPr>
          <w:p w14:paraId="5552E855"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413</w:t>
            </w:r>
          </w:p>
        </w:tc>
        <w:tc>
          <w:tcPr>
            <w:tcW w:w="416" w:type="pct"/>
            <w:tcBorders>
              <w:right w:val="single" w:sz="4" w:space="0" w:color="auto"/>
            </w:tcBorders>
          </w:tcPr>
          <w:p w14:paraId="68A7D62D"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w:t>
            </w:r>
          </w:p>
        </w:tc>
        <w:tc>
          <w:tcPr>
            <w:tcW w:w="645" w:type="pct"/>
            <w:tcBorders>
              <w:left w:val="single" w:sz="4" w:space="0" w:color="auto"/>
            </w:tcBorders>
            <w:noWrap/>
            <w:hideMark/>
          </w:tcPr>
          <w:p w14:paraId="09D05943"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477</w:t>
            </w:r>
          </w:p>
        </w:tc>
        <w:tc>
          <w:tcPr>
            <w:tcW w:w="416" w:type="pct"/>
            <w:tcBorders>
              <w:right w:val="single" w:sz="4" w:space="0" w:color="auto"/>
            </w:tcBorders>
          </w:tcPr>
          <w:p w14:paraId="18FD1BCF"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(13.5%)</w:t>
            </w:r>
          </w:p>
        </w:tc>
        <w:tc>
          <w:tcPr>
            <w:tcW w:w="381" w:type="pct"/>
            <w:tcBorders>
              <w:left w:val="single" w:sz="4" w:space="0" w:color="auto"/>
              <w:right w:val="single" w:sz="4" w:space="0" w:color="auto"/>
            </w:tcBorders>
            <w:noWrap/>
            <w:hideMark/>
          </w:tcPr>
          <w:p w14:paraId="41209E14" w14:textId="77777777" w:rsidR="00CD1101" w:rsidRPr="008413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3</w:t>
            </w:r>
            <w:r w:rsidR="00747CDE">
              <w:rPr>
                <w:rFonts w:eastAsia="Times New Roman" w:cs="Arial"/>
                <w:b/>
                <w:color w:val="auto"/>
                <w:lang w:eastAsia="en-AU"/>
              </w:rPr>
              <w:t>,</w:t>
            </w:r>
            <w:r w:rsidRPr="0084133D">
              <w:rPr>
                <w:rFonts w:eastAsia="Times New Roman" w:cs="Arial"/>
                <w:b/>
                <w:color w:val="auto"/>
                <w:lang w:eastAsia="en-AU"/>
              </w:rPr>
              <w:t>532</w:t>
            </w:r>
          </w:p>
        </w:tc>
      </w:tr>
      <w:tr w:rsidR="00CD1101" w:rsidRPr="00F0043D" w14:paraId="58574599"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1" w:type="pct"/>
            <w:tcBorders>
              <w:left w:val="single" w:sz="4" w:space="0" w:color="auto"/>
              <w:right w:val="single" w:sz="4" w:space="0" w:color="auto"/>
            </w:tcBorders>
            <w:noWrap/>
            <w:hideMark/>
          </w:tcPr>
          <w:p w14:paraId="63DA7A03"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2006</w:t>
            </w:r>
          </w:p>
        </w:tc>
        <w:tc>
          <w:tcPr>
            <w:tcW w:w="800" w:type="pct"/>
            <w:tcBorders>
              <w:left w:val="single" w:sz="4" w:space="0" w:color="auto"/>
            </w:tcBorders>
            <w:noWrap/>
            <w:hideMark/>
          </w:tcPr>
          <w:p w14:paraId="4F87B69B"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922</w:t>
            </w:r>
          </w:p>
        </w:tc>
        <w:tc>
          <w:tcPr>
            <w:tcW w:w="416" w:type="pct"/>
            <w:tcBorders>
              <w:right w:val="single" w:sz="4" w:space="0" w:color="auto"/>
            </w:tcBorders>
          </w:tcPr>
          <w:p w14:paraId="24753945"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(23.6%)</w:t>
            </w:r>
          </w:p>
        </w:tc>
        <w:tc>
          <w:tcPr>
            <w:tcW w:w="418" w:type="pct"/>
            <w:tcBorders>
              <w:left w:val="single" w:sz="4" w:space="0" w:color="auto"/>
            </w:tcBorders>
            <w:noWrap/>
            <w:hideMark/>
          </w:tcPr>
          <w:p w14:paraId="4022C131"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677</w:t>
            </w:r>
          </w:p>
        </w:tc>
        <w:tc>
          <w:tcPr>
            <w:tcW w:w="416" w:type="pct"/>
            <w:tcBorders>
              <w:right w:val="single" w:sz="4" w:space="0" w:color="auto"/>
            </w:tcBorders>
          </w:tcPr>
          <w:p w14:paraId="105A4653"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(17.3%)</w:t>
            </w:r>
          </w:p>
        </w:tc>
        <w:tc>
          <w:tcPr>
            <w:tcW w:w="709" w:type="pct"/>
            <w:tcBorders>
              <w:left w:val="single" w:sz="4" w:space="0" w:color="auto"/>
            </w:tcBorders>
            <w:noWrap/>
            <w:hideMark/>
          </w:tcPr>
          <w:p w14:paraId="7248A99A"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777</w:t>
            </w:r>
          </w:p>
        </w:tc>
        <w:tc>
          <w:tcPr>
            <w:tcW w:w="416" w:type="pct"/>
            <w:tcBorders>
              <w:right w:val="single" w:sz="4" w:space="0" w:color="auto"/>
            </w:tcBorders>
          </w:tcPr>
          <w:p w14:paraId="689F75C6"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(45.4%)</w:t>
            </w:r>
          </w:p>
        </w:tc>
        <w:tc>
          <w:tcPr>
            <w:tcW w:w="645" w:type="pct"/>
            <w:tcBorders>
              <w:left w:val="single" w:sz="4" w:space="0" w:color="auto"/>
            </w:tcBorders>
            <w:noWrap/>
            <w:hideMark/>
          </w:tcPr>
          <w:p w14:paraId="48761E72"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537</w:t>
            </w:r>
          </w:p>
        </w:tc>
        <w:tc>
          <w:tcPr>
            <w:tcW w:w="416" w:type="pct"/>
            <w:tcBorders>
              <w:right w:val="single" w:sz="4" w:space="0" w:color="auto"/>
            </w:tcBorders>
          </w:tcPr>
          <w:p w14:paraId="767ADC5E"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(13.7%)</w:t>
            </w:r>
          </w:p>
        </w:tc>
        <w:tc>
          <w:tcPr>
            <w:tcW w:w="381" w:type="pct"/>
            <w:tcBorders>
              <w:left w:val="single" w:sz="4" w:space="0" w:color="auto"/>
              <w:right w:val="single" w:sz="4" w:space="0" w:color="auto"/>
            </w:tcBorders>
            <w:noWrap/>
            <w:hideMark/>
          </w:tcPr>
          <w:p w14:paraId="626503FF" w14:textId="77777777" w:rsidR="00CD1101" w:rsidRPr="008413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3</w:t>
            </w:r>
            <w:r w:rsidR="00747CDE">
              <w:rPr>
                <w:rFonts w:eastAsia="Times New Roman" w:cs="Arial"/>
                <w:b/>
                <w:color w:val="auto"/>
                <w:lang w:eastAsia="en-AU"/>
              </w:rPr>
              <w:t>,</w:t>
            </w:r>
            <w:r w:rsidRPr="0084133D">
              <w:rPr>
                <w:rFonts w:eastAsia="Times New Roman" w:cs="Arial"/>
                <w:b/>
                <w:color w:val="auto"/>
                <w:lang w:eastAsia="en-AU"/>
              </w:rPr>
              <w:t>913</w:t>
            </w:r>
          </w:p>
        </w:tc>
      </w:tr>
      <w:tr w:rsidR="00CD1101" w:rsidRPr="00F0043D" w14:paraId="2C4C2787"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1" w:type="pct"/>
            <w:tcBorders>
              <w:left w:val="single" w:sz="4" w:space="0" w:color="auto"/>
              <w:right w:val="single" w:sz="4" w:space="0" w:color="auto"/>
            </w:tcBorders>
            <w:noWrap/>
            <w:hideMark/>
          </w:tcPr>
          <w:p w14:paraId="2715D101"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2007</w:t>
            </w:r>
          </w:p>
        </w:tc>
        <w:tc>
          <w:tcPr>
            <w:tcW w:w="800" w:type="pct"/>
            <w:tcBorders>
              <w:left w:val="single" w:sz="4" w:space="0" w:color="auto"/>
            </w:tcBorders>
            <w:noWrap/>
            <w:hideMark/>
          </w:tcPr>
          <w:p w14:paraId="0AFFE5B7"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911</w:t>
            </w:r>
          </w:p>
        </w:tc>
        <w:tc>
          <w:tcPr>
            <w:tcW w:w="416" w:type="pct"/>
            <w:tcBorders>
              <w:right w:val="single" w:sz="4" w:space="0" w:color="auto"/>
            </w:tcBorders>
          </w:tcPr>
          <w:p w14:paraId="161C427F"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(20.6%)</w:t>
            </w:r>
          </w:p>
        </w:tc>
        <w:tc>
          <w:tcPr>
            <w:tcW w:w="418" w:type="pct"/>
            <w:tcBorders>
              <w:left w:val="single" w:sz="4" w:space="0" w:color="auto"/>
            </w:tcBorders>
            <w:noWrap/>
            <w:hideMark/>
          </w:tcPr>
          <w:p w14:paraId="552FD1A2"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346</w:t>
            </w:r>
          </w:p>
        </w:tc>
        <w:tc>
          <w:tcPr>
            <w:tcW w:w="416" w:type="pct"/>
            <w:tcBorders>
              <w:right w:val="single" w:sz="4" w:space="0" w:color="auto"/>
            </w:tcBorders>
          </w:tcPr>
          <w:p w14:paraId="268A2957"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(30.5%)</w:t>
            </w:r>
          </w:p>
        </w:tc>
        <w:tc>
          <w:tcPr>
            <w:tcW w:w="709" w:type="pct"/>
            <w:tcBorders>
              <w:left w:val="single" w:sz="4" w:space="0" w:color="auto"/>
            </w:tcBorders>
            <w:noWrap/>
            <w:hideMark/>
          </w:tcPr>
          <w:p w14:paraId="1D60C14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739</w:t>
            </w:r>
          </w:p>
        </w:tc>
        <w:tc>
          <w:tcPr>
            <w:tcW w:w="416" w:type="pct"/>
            <w:tcBorders>
              <w:right w:val="single" w:sz="4" w:space="0" w:color="auto"/>
            </w:tcBorders>
          </w:tcPr>
          <w:p w14:paraId="23E29B8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(39.4%)</w:t>
            </w:r>
          </w:p>
        </w:tc>
        <w:tc>
          <w:tcPr>
            <w:tcW w:w="645" w:type="pct"/>
            <w:tcBorders>
              <w:left w:val="single" w:sz="4" w:space="0" w:color="auto"/>
            </w:tcBorders>
            <w:noWrap/>
            <w:hideMark/>
          </w:tcPr>
          <w:p w14:paraId="477462E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420</w:t>
            </w:r>
          </w:p>
        </w:tc>
        <w:tc>
          <w:tcPr>
            <w:tcW w:w="416" w:type="pct"/>
            <w:tcBorders>
              <w:right w:val="single" w:sz="4" w:space="0" w:color="auto"/>
            </w:tcBorders>
          </w:tcPr>
          <w:p w14:paraId="5702225C"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(9.5%)</w:t>
            </w:r>
          </w:p>
        </w:tc>
        <w:tc>
          <w:tcPr>
            <w:tcW w:w="381" w:type="pct"/>
            <w:tcBorders>
              <w:left w:val="single" w:sz="4" w:space="0" w:color="auto"/>
              <w:right w:val="single" w:sz="4" w:space="0" w:color="auto"/>
            </w:tcBorders>
            <w:noWrap/>
            <w:hideMark/>
          </w:tcPr>
          <w:p w14:paraId="07ED0E59" w14:textId="77777777" w:rsidR="00CD1101" w:rsidRPr="008413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4</w:t>
            </w:r>
            <w:r w:rsidR="00747CDE">
              <w:rPr>
                <w:rFonts w:eastAsia="Times New Roman" w:cs="Arial"/>
                <w:b/>
                <w:color w:val="auto"/>
                <w:lang w:eastAsia="en-AU"/>
              </w:rPr>
              <w:t>,</w:t>
            </w:r>
            <w:r w:rsidRPr="0084133D">
              <w:rPr>
                <w:rFonts w:eastAsia="Times New Roman" w:cs="Arial"/>
                <w:b/>
                <w:color w:val="auto"/>
                <w:lang w:eastAsia="en-AU"/>
              </w:rPr>
              <w:t>416</w:t>
            </w:r>
          </w:p>
        </w:tc>
      </w:tr>
      <w:tr w:rsidR="00CD1101" w:rsidRPr="00F0043D" w14:paraId="2D83A40E"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1" w:type="pct"/>
            <w:tcBorders>
              <w:left w:val="single" w:sz="4" w:space="0" w:color="auto"/>
              <w:right w:val="single" w:sz="4" w:space="0" w:color="auto"/>
            </w:tcBorders>
            <w:noWrap/>
            <w:hideMark/>
          </w:tcPr>
          <w:p w14:paraId="00952C8E"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2008</w:t>
            </w:r>
          </w:p>
        </w:tc>
        <w:tc>
          <w:tcPr>
            <w:tcW w:w="800" w:type="pct"/>
            <w:tcBorders>
              <w:left w:val="single" w:sz="4" w:space="0" w:color="auto"/>
            </w:tcBorders>
            <w:noWrap/>
            <w:hideMark/>
          </w:tcPr>
          <w:p w14:paraId="75DAF423"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731</w:t>
            </w:r>
          </w:p>
        </w:tc>
        <w:tc>
          <w:tcPr>
            <w:tcW w:w="416" w:type="pct"/>
            <w:tcBorders>
              <w:right w:val="single" w:sz="4" w:space="0" w:color="auto"/>
            </w:tcBorders>
          </w:tcPr>
          <w:p w14:paraId="6BD4D78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(29.3%)</w:t>
            </w:r>
          </w:p>
        </w:tc>
        <w:tc>
          <w:tcPr>
            <w:tcW w:w="418" w:type="pct"/>
            <w:tcBorders>
              <w:left w:val="single" w:sz="4" w:space="0" w:color="auto"/>
            </w:tcBorders>
            <w:noWrap/>
            <w:hideMark/>
          </w:tcPr>
          <w:p w14:paraId="5F5D4250"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824</w:t>
            </w:r>
          </w:p>
        </w:tc>
        <w:tc>
          <w:tcPr>
            <w:tcW w:w="416" w:type="pct"/>
            <w:tcBorders>
              <w:right w:val="single" w:sz="4" w:space="0" w:color="auto"/>
            </w:tcBorders>
          </w:tcPr>
          <w:p w14:paraId="17C5E30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(14%)</w:t>
            </w:r>
          </w:p>
        </w:tc>
        <w:tc>
          <w:tcPr>
            <w:tcW w:w="709" w:type="pct"/>
            <w:tcBorders>
              <w:left w:val="single" w:sz="4" w:space="0" w:color="auto"/>
            </w:tcBorders>
            <w:noWrap/>
            <w:hideMark/>
          </w:tcPr>
          <w:p w14:paraId="1DA3A04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653</w:t>
            </w:r>
          </w:p>
        </w:tc>
        <w:tc>
          <w:tcPr>
            <w:tcW w:w="416" w:type="pct"/>
            <w:tcBorders>
              <w:right w:val="single" w:sz="4" w:space="0" w:color="auto"/>
            </w:tcBorders>
          </w:tcPr>
          <w:p w14:paraId="294936CA"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(45%)</w:t>
            </w:r>
          </w:p>
        </w:tc>
        <w:tc>
          <w:tcPr>
            <w:tcW w:w="645" w:type="pct"/>
            <w:tcBorders>
              <w:left w:val="single" w:sz="4" w:space="0" w:color="auto"/>
            </w:tcBorders>
            <w:noWrap/>
            <w:hideMark/>
          </w:tcPr>
          <w:p w14:paraId="78C7992E"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692</w:t>
            </w:r>
          </w:p>
        </w:tc>
        <w:tc>
          <w:tcPr>
            <w:tcW w:w="416" w:type="pct"/>
            <w:tcBorders>
              <w:right w:val="single" w:sz="4" w:space="0" w:color="auto"/>
            </w:tcBorders>
          </w:tcPr>
          <w:p w14:paraId="1C4C6396"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(11.7%)</w:t>
            </w:r>
          </w:p>
        </w:tc>
        <w:tc>
          <w:tcPr>
            <w:tcW w:w="381" w:type="pct"/>
            <w:tcBorders>
              <w:left w:val="single" w:sz="4" w:space="0" w:color="auto"/>
              <w:right w:val="single" w:sz="4" w:space="0" w:color="auto"/>
            </w:tcBorders>
            <w:noWrap/>
            <w:hideMark/>
          </w:tcPr>
          <w:p w14:paraId="39953E4B" w14:textId="77777777" w:rsidR="00CD1101" w:rsidRPr="008413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5</w:t>
            </w:r>
            <w:r w:rsidR="00747CDE">
              <w:rPr>
                <w:rFonts w:eastAsia="Times New Roman" w:cs="Arial"/>
                <w:b/>
                <w:color w:val="auto"/>
                <w:lang w:eastAsia="en-AU"/>
              </w:rPr>
              <w:t>,</w:t>
            </w:r>
            <w:r w:rsidRPr="0084133D">
              <w:rPr>
                <w:rFonts w:eastAsia="Times New Roman" w:cs="Arial"/>
                <w:b/>
                <w:color w:val="auto"/>
                <w:lang w:eastAsia="en-AU"/>
              </w:rPr>
              <w:t>900</w:t>
            </w:r>
          </w:p>
        </w:tc>
      </w:tr>
      <w:tr w:rsidR="00CD1101" w:rsidRPr="00F0043D" w14:paraId="233140F6"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1" w:type="pct"/>
            <w:tcBorders>
              <w:left w:val="single" w:sz="4" w:space="0" w:color="auto"/>
              <w:right w:val="single" w:sz="4" w:space="0" w:color="auto"/>
            </w:tcBorders>
            <w:noWrap/>
            <w:hideMark/>
          </w:tcPr>
          <w:p w14:paraId="2E397AA3"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2009</w:t>
            </w:r>
          </w:p>
        </w:tc>
        <w:tc>
          <w:tcPr>
            <w:tcW w:w="800" w:type="pct"/>
            <w:tcBorders>
              <w:left w:val="single" w:sz="4" w:space="0" w:color="auto"/>
            </w:tcBorders>
            <w:noWrap/>
            <w:hideMark/>
          </w:tcPr>
          <w:p w14:paraId="6E2298FA"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384</w:t>
            </w:r>
          </w:p>
        </w:tc>
        <w:tc>
          <w:tcPr>
            <w:tcW w:w="416" w:type="pct"/>
            <w:tcBorders>
              <w:right w:val="single" w:sz="4" w:space="0" w:color="auto"/>
            </w:tcBorders>
          </w:tcPr>
          <w:p w14:paraId="40539FE3"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(35.2%)</w:t>
            </w:r>
          </w:p>
        </w:tc>
        <w:tc>
          <w:tcPr>
            <w:tcW w:w="418" w:type="pct"/>
            <w:tcBorders>
              <w:left w:val="single" w:sz="4" w:space="0" w:color="auto"/>
            </w:tcBorders>
            <w:noWrap/>
            <w:hideMark/>
          </w:tcPr>
          <w:p w14:paraId="6329A50C"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534</w:t>
            </w:r>
          </w:p>
        </w:tc>
        <w:tc>
          <w:tcPr>
            <w:tcW w:w="416" w:type="pct"/>
            <w:tcBorders>
              <w:right w:val="single" w:sz="4" w:space="0" w:color="auto"/>
            </w:tcBorders>
          </w:tcPr>
          <w:p w14:paraId="4FADB88A"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(7.9%)</w:t>
            </w:r>
          </w:p>
        </w:tc>
        <w:tc>
          <w:tcPr>
            <w:tcW w:w="709" w:type="pct"/>
            <w:tcBorders>
              <w:left w:val="single" w:sz="4" w:space="0" w:color="auto"/>
            </w:tcBorders>
            <w:noWrap/>
            <w:hideMark/>
          </w:tcPr>
          <w:p w14:paraId="568D77A6"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220</w:t>
            </w:r>
          </w:p>
        </w:tc>
        <w:tc>
          <w:tcPr>
            <w:tcW w:w="416" w:type="pct"/>
            <w:tcBorders>
              <w:right w:val="single" w:sz="4" w:space="0" w:color="auto"/>
            </w:tcBorders>
          </w:tcPr>
          <w:p w14:paraId="0C33FC4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(47.5%)</w:t>
            </w:r>
          </w:p>
        </w:tc>
        <w:tc>
          <w:tcPr>
            <w:tcW w:w="645" w:type="pct"/>
            <w:tcBorders>
              <w:left w:val="single" w:sz="4" w:space="0" w:color="auto"/>
            </w:tcBorders>
            <w:noWrap/>
            <w:hideMark/>
          </w:tcPr>
          <w:p w14:paraId="416171D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637</w:t>
            </w:r>
          </w:p>
        </w:tc>
        <w:tc>
          <w:tcPr>
            <w:tcW w:w="416" w:type="pct"/>
            <w:tcBorders>
              <w:right w:val="single" w:sz="4" w:space="0" w:color="auto"/>
            </w:tcBorders>
          </w:tcPr>
          <w:p w14:paraId="5258A389"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(9.4%)</w:t>
            </w:r>
          </w:p>
        </w:tc>
        <w:tc>
          <w:tcPr>
            <w:tcW w:w="381" w:type="pct"/>
            <w:tcBorders>
              <w:left w:val="single" w:sz="4" w:space="0" w:color="auto"/>
              <w:right w:val="single" w:sz="4" w:space="0" w:color="auto"/>
            </w:tcBorders>
            <w:noWrap/>
            <w:hideMark/>
          </w:tcPr>
          <w:p w14:paraId="2D86B096" w14:textId="77777777" w:rsidR="00CD1101" w:rsidRPr="008413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6</w:t>
            </w:r>
            <w:r w:rsidR="00747CDE">
              <w:rPr>
                <w:rFonts w:eastAsia="Times New Roman" w:cs="Arial"/>
                <w:b/>
                <w:color w:val="auto"/>
                <w:lang w:eastAsia="en-AU"/>
              </w:rPr>
              <w:t>,</w:t>
            </w:r>
            <w:r w:rsidRPr="0084133D">
              <w:rPr>
                <w:rFonts w:eastAsia="Times New Roman" w:cs="Arial"/>
                <w:b/>
                <w:color w:val="auto"/>
                <w:lang w:eastAsia="en-AU"/>
              </w:rPr>
              <w:t>775</w:t>
            </w:r>
          </w:p>
        </w:tc>
      </w:tr>
      <w:tr w:rsidR="00CD1101" w:rsidRPr="00F0043D" w14:paraId="378E275C"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1" w:type="pct"/>
            <w:tcBorders>
              <w:left w:val="single" w:sz="4" w:space="0" w:color="auto"/>
              <w:right w:val="single" w:sz="4" w:space="0" w:color="auto"/>
            </w:tcBorders>
            <w:noWrap/>
            <w:hideMark/>
          </w:tcPr>
          <w:p w14:paraId="3395E85F"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2010</w:t>
            </w:r>
          </w:p>
        </w:tc>
        <w:tc>
          <w:tcPr>
            <w:tcW w:w="800" w:type="pct"/>
            <w:tcBorders>
              <w:left w:val="single" w:sz="4" w:space="0" w:color="auto"/>
            </w:tcBorders>
            <w:noWrap/>
            <w:hideMark/>
          </w:tcPr>
          <w:p w14:paraId="1900578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w:t>
            </w:r>
            <w:r w:rsidR="00747CDE">
              <w:rPr>
                <w:rFonts w:eastAsia="Times New Roman" w:cs="Arial"/>
                <w:color w:val="000000"/>
                <w:lang w:eastAsia="en-AU"/>
              </w:rPr>
              <w:t>,</w:t>
            </w:r>
            <w:r w:rsidRPr="00F0043D">
              <w:rPr>
                <w:rFonts w:eastAsia="Times New Roman" w:cs="Arial"/>
                <w:color w:val="000000"/>
                <w:lang w:eastAsia="en-AU"/>
              </w:rPr>
              <w:t>871</w:t>
            </w:r>
          </w:p>
        </w:tc>
        <w:tc>
          <w:tcPr>
            <w:tcW w:w="416" w:type="pct"/>
            <w:tcBorders>
              <w:right w:val="single" w:sz="4" w:space="0" w:color="auto"/>
            </w:tcBorders>
          </w:tcPr>
          <w:p w14:paraId="3D2AE023"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(38.3%)</w:t>
            </w:r>
          </w:p>
        </w:tc>
        <w:tc>
          <w:tcPr>
            <w:tcW w:w="418" w:type="pct"/>
            <w:tcBorders>
              <w:left w:val="single" w:sz="4" w:space="0" w:color="auto"/>
            </w:tcBorders>
            <w:noWrap/>
            <w:hideMark/>
          </w:tcPr>
          <w:p w14:paraId="30E56F7D"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507</w:t>
            </w:r>
          </w:p>
        </w:tc>
        <w:tc>
          <w:tcPr>
            <w:tcW w:w="416" w:type="pct"/>
            <w:tcBorders>
              <w:right w:val="single" w:sz="4" w:space="0" w:color="auto"/>
            </w:tcBorders>
          </w:tcPr>
          <w:p w14:paraId="6CF2E0E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(6.8%)</w:t>
            </w:r>
          </w:p>
        </w:tc>
        <w:tc>
          <w:tcPr>
            <w:tcW w:w="709" w:type="pct"/>
            <w:tcBorders>
              <w:left w:val="single" w:sz="4" w:space="0" w:color="auto"/>
            </w:tcBorders>
            <w:noWrap/>
            <w:hideMark/>
          </w:tcPr>
          <w:p w14:paraId="3CAAFD9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340</w:t>
            </w:r>
          </w:p>
        </w:tc>
        <w:tc>
          <w:tcPr>
            <w:tcW w:w="416" w:type="pct"/>
            <w:tcBorders>
              <w:right w:val="single" w:sz="4" w:space="0" w:color="auto"/>
            </w:tcBorders>
          </w:tcPr>
          <w:p w14:paraId="06CF9DD8"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(44.5%)</w:t>
            </w:r>
          </w:p>
        </w:tc>
        <w:tc>
          <w:tcPr>
            <w:tcW w:w="645" w:type="pct"/>
            <w:tcBorders>
              <w:left w:val="single" w:sz="4" w:space="0" w:color="auto"/>
            </w:tcBorders>
            <w:noWrap/>
            <w:hideMark/>
          </w:tcPr>
          <w:p w14:paraId="65E710FA"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783</w:t>
            </w:r>
          </w:p>
        </w:tc>
        <w:tc>
          <w:tcPr>
            <w:tcW w:w="416" w:type="pct"/>
            <w:tcBorders>
              <w:right w:val="single" w:sz="4" w:space="0" w:color="auto"/>
            </w:tcBorders>
          </w:tcPr>
          <w:p w14:paraId="6C8338C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(10.4%)</w:t>
            </w:r>
          </w:p>
        </w:tc>
        <w:tc>
          <w:tcPr>
            <w:tcW w:w="381" w:type="pct"/>
            <w:tcBorders>
              <w:left w:val="single" w:sz="4" w:space="0" w:color="auto"/>
              <w:right w:val="single" w:sz="4" w:space="0" w:color="auto"/>
            </w:tcBorders>
            <w:noWrap/>
            <w:hideMark/>
          </w:tcPr>
          <w:p w14:paraId="01265B6D" w14:textId="77777777" w:rsidR="00CD1101" w:rsidRPr="008413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7</w:t>
            </w:r>
            <w:r w:rsidR="00747CDE">
              <w:rPr>
                <w:rFonts w:eastAsia="Times New Roman" w:cs="Arial"/>
                <w:b/>
                <w:color w:val="auto"/>
                <w:lang w:eastAsia="en-AU"/>
              </w:rPr>
              <w:t>,</w:t>
            </w:r>
            <w:r w:rsidRPr="0084133D">
              <w:rPr>
                <w:rFonts w:eastAsia="Times New Roman" w:cs="Arial"/>
                <w:b/>
                <w:color w:val="auto"/>
                <w:lang w:eastAsia="en-AU"/>
              </w:rPr>
              <w:t>501</w:t>
            </w:r>
          </w:p>
        </w:tc>
      </w:tr>
      <w:tr w:rsidR="00CD1101" w:rsidRPr="00F0043D" w14:paraId="593E0B13"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1" w:type="pct"/>
            <w:tcBorders>
              <w:left w:val="single" w:sz="4" w:space="0" w:color="auto"/>
              <w:right w:val="single" w:sz="4" w:space="0" w:color="auto"/>
            </w:tcBorders>
            <w:noWrap/>
            <w:hideMark/>
          </w:tcPr>
          <w:p w14:paraId="6388C831"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2011</w:t>
            </w:r>
          </w:p>
        </w:tc>
        <w:tc>
          <w:tcPr>
            <w:tcW w:w="800" w:type="pct"/>
            <w:tcBorders>
              <w:left w:val="single" w:sz="4" w:space="0" w:color="auto"/>
            </w:tcBorders>
            <w:noWrap/>
            <w:hideMark/>
          </w:tcPr>
          <w:p w14:paraId="1174E7F4"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753</w:t>
            </w:r>
          </w:p>
        </w:tc>
        <w:tc>
          <w:tcPr>
            <w:tcW w:w="416" w:type="pct"/>
            <w:tcBorders>
              <w:right w:val="single" w:sz="4" w:space="0" w:color="auto"/>
            </w:tcBorders>
          </w:tcPr>
          <w:p w14:paraId="4CF3418C"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(42%)</w:t>
            </w:r>
          </w:p>
        </w:tc>
        <w:tc>
          <w:tcPr>
            <w:tcW w:w="418" w:type="pct"/>
            <w:tcBorders>
              <w:left w:val="single" w:sz="4" w:space="0" w:color="auto"/>
            </w:tcBorders>
            <w:noWrap/>
            <w:hideMark/>
          </w:tcPr>
          <w:p w14:paraId="2B2683C2"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653</w:t>
            </w:r>
          </w:p>
        </w:tc>
        <w:tc>
          <w:tcPr>
            <w:tcW w:w="416" w:type="pct"/>
            <w:tcBorders>
              <w:right w:val="single" w:sz="4" w:space="0" w:color="auto"/>
            </w:tcBorders>
          </w:tcPr>
          <w:p w14:paraId="7F997287"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(7.3%)</w:t>
            </w:r>
          </w:p>
        </w:tc>
        <w:tc>
          <w:tcPr>
            <w:tcW w:w="709" w:type="pct"/>
            <w:tcBorders>
              <w:left w:val="single" w:sz="4" w:space="0" w:color="auto"/>
            </w:tcBorders>
            <w:noWrap/>
            <w:hideMark/>
          </w:tcPr>
          <w:p w14:paraId="3CCBA911"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605</w:t>
            </w:r>
          </w:p>
        </w:tc>
        <w:tc>
          <w:tcPr>
            <w:tcW w:w="416" w:type="pct"/>
            <w:tcBorders>
              <w:right w:val="single" w:sz="4" w:space="0" w:color="auto"/>
            </w:tcBorders>
          </w:tcPr>
          <w:p w14:paraId="6C21CD1C"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(40.3%)</w:t>
            </w:r>
          </w:p>
        </w:tc>
        <w:tc>
          <w:tcPr>
            <w:tcW w:w="645" w:type="pct"/>
            <w:tcBorders>
              <w:left w:val="single" w:sz="4" w:space="0" w:color="auto"/>
            </w:tcBorders>
            <w:noWrap/>
            <w:hideMark/>
          </w:tcPr>
          <w:p w14:paraId="67C6A680"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929</w:t>
            </w:r>
          </w:p>
        </w:tc>
        <w:tc>
          <w:tcPr>
            <w:tcW w:w="416" w:type="pct"/>
            <w:tcBorders>
              <w:right w:val="single" w:sz="4" w:space="0" w:color="auto"/>
            </w:tcBorders>
          </w:tcPr>
          <w:p w14:paraId="4AEE7C1A" w14:textId="77777777" w:rsidR="00CD1101" w:rsidRPr="00F004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(10.4%)</w:t>
            </w:r>
          </w:p>
        </w:tc>
        <w:tc>
          <w:tcPr>
            <w:tcW w:w="381" w:type="pct"/>
            <w:tcBorders>
              <w:left w:val="single" w:sz="4" w:space="0" w:color="auto"/>
              <w:right w:val="single" w:sz="4" w:space="0" w:color="auto"/>
            </w:tcBorders>
            <w:noWrap/>
            <w:hideMark/>
          </w:tcPr>
          <w:p w14:paraId="3A1BD819" w14:textId="77777777" w:rsidR="00CD1101" w:rsidRPr="0084133D"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8</w:t>
            </w:r>
            <w:r w:rsidR="00747CDE">
              <w:rPr>
                <w:rFonts w:eastAsia="Times New Roman" w:cs="Arial"/>
                <w:b/>
                <w:color w:val="auto"/>
                <w:lang w:eastAsia="en-AU"/>
              </w:rPr>
              <w:t>,</w:t>
            </w:r>
            <w:r w:rsidRPr="0084133D">
              <w:rPr>
                <w:rFonts w:eastAsia="Times New Roman" w:cs="Arial"/>
                <w:b/>
                <w:color w:val="auto"/>
                <w:lang w:eastAsia="en-AU"/>
              </w:rPr>
              <w:t>940</w:t>
            </w:r>
          </w:p>
        </w:tc>
      </w:tr>
      <w:tr w:rsidR="00CD1101" w:rsidRPr="00F0043D" w14:paraId="26DF79F4"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1" w:type="pct"/>
            <w:tcBorders>
              <w:left w:val="single" w:sz="4" w:space="0" w:color="auto"/>
              <w:bottom w:val="single" w:sz="4" w:space="0" w:color="auto"/>
              <w:right w:val="single" w:sz="4" w:space="0" w:color="auto"/>
            </w:tcBorders>
            <w:noWrap/>
            <w:hideMark/>
          </w:tcPr>
          <w:p w14:paraId="3C3BC97F" w14:textId="77777777" w:rsidR="00CD1101" w:rsidRPr="0084133D" w:rsidRDefault="00CD1101" w:rsidP="00CE2FDF">
            <w:pPr>
              <w:tabs>
                <w:tab w:val="left" w:pos="1134"/>
              </w:tabs>
              <w:spacing w:before="0" w:line="276" w:lineRule="auto"/>
              <w:rPr>
                <w:rFonts w:ascii="Calibri" w:eastAsia="Times New Roman" w:hAnsi="Calibri" w:cs="Arial"/>
                <w:bCs w:val="0"/>
                <w:color w:val="000000"/>
                <w:lang w:eastAsia="en-AU"/>
              </w:rPr>
            </w:pPr>
            <w:r w:rsidRPr="0084133D">
              <w:rPr>
                <w:rFonts w:ascii="Calibri" w:eastAsia="Times New Roman" w:hAnsi="Calibri" w:cs="Arial"/>
                <w:bCs w:val="0"/>
                <w:color w:val="000000"/>
                <w:lang w:eastAsia="en-AU"/>
              </w:rPr>
              <w:t>2012</w:t>
            </w:r>
          </w:p>
        </w:tc>
        <w:tc>
          <w:tcPr>
            <w:tcW w:w="800" w:type="pct"/>
            <w:tcBorders>
              <w:left w:val="single" w:sz="4" w:space="0" w:color="auto"/>
              <w:bottom w:val="single" w:sz="4" w:space="0" w:color="auto"/>
            </w:tcBorders>
            <w:noWrap/>
            <w:hideMark/>
          </w:tcPr>
          <w:p w14:paraId="5CADCEB3"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w:t>
            </w:r>
            <w:r w:rsidR="00747CDE">
              <w:rPr>
                <w:rFonts w:eastAsia="Times New Roman" w:cs="Arial"/>
                <w:color w:val="000000"/>
                <w:lang w:eastAsia="en-AU"/>
              </w:rPr>
              <w:t>,</w:t>
            </w:r>
            <w:r w:rsidRPr="00F0043D">
              <w:rPr>
                <w:rFonts w:eastAsia="Times New Roman" w:cs="Arial"/>
                <w:color w:val="000000"/>
                <w:lang w:eastAsia="en-AU"/>
              </w:rPr>
              <w:t>919</w:t>
            </w:r>
          </w:p>
        </w:tc>
        <w:tc>
          <w:tcPr>
            <w:tcW w:w="416" w:type="pct"/>
            <w:tcBorders>
              <w:bottom w:val="single" w:sz="4" w:space="0" w:color="auto"/>
              <w:right w:val="single" w:sz="4" w:space="0" w:color="auto"/>
            </w:tcBorders>
          </w:tcPr>
          <w:p w14:paraId="12DF8066"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(47.2%)</w:t>
            </w:r>
          </w:p>
        </w:tc>
        <w:tc>
          <w:tcPr>
            <w:tcW w:w="418" w:type="pct"/>
            <w:tcBorders>
              <w:left w:val="single" w:sz="4" w:space="0" w:color="auto"/>
              <w:bottom w:val="single" w:sz="4" w:space="0" w:color="auto"/>
            </w:tcBorders>
            <w:noWrap/>
            <w:hideMark/>
          </w:tcPr>
          <w:p w14:paraId="234D749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534</w:t>
            </w:r>
          </w:p>
        </w:tc>
        <w:tc>
          <w:tcPr>
            <w:tcW w:w="416" w:type="pct"/>
            <w:tcBorders>
              <w:bottom w:val="single" w:sz="4" w:space="0" w:color="auto"/>
              <w:right w:val="single" w:sz="4" w:space="0" w:color="auto"/>
            </w:tcBorders>
          </w:tcPr>
          <w:p w14:paraId="6D7E8CC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(5.1%)</w:t>
            </w:r>
          </w:p>
        </w:tc>
        <w:tc>
          <w:tcPr>
            <w:tcW w:w="709" w:type="pct"/>
            <w:tcBorders>
              <w:left w:val="single" w:sz="4" w:space="0" w:color="auto"/>
              <w:bottom w:val="single" w:sz="4" w:space="0" w:color="auto"/>
            </w:tcBorders>
            <w:noWrap/>
            <w:hideMark/>
          </w:tcPr>
          <w:p w14:paraId="2AEBE33F"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w:t>
            </w:r>
            <w:r w:rsidR="00747CDE">
              <w:rPr>
                <w:rFonts w:eastAsia="Times New Roman" w:cs="Arial"/>
                <w:color w:val="000000"/>
                <w:lang w:eastAsia="en-AU"/>
              </w:rPr>
              <w:t>,</w:t>
            </w:r>
            <w:r w:rsidRPr="00F0043D">
              <w:rPr>
                <w:rFonts w:eastAsia="Times New Roman" w:cs="Arial"/>
                <w:color w:val="000000"/>
                <w:lang w:eastAsia="en-AU"/>
              </w:rPr>
              <w:t>963</w:t>
            </w:r>
          </w:p>
        </w:tc>
        <w:tc>
          <w:tcPr>
            <w:tcW w:w="416" w:type="pct"/>
            <w:tcBorders>
              <w:bottom w:val="single" w:sz="4" w:space="0" w:color="auto"/>
              <w:right w:val="single" w:sz="4" w:space="0" w:color="auto"/>
            </w:tcBorders>
          </w:tcPr>
          <w:p w14:paraId="3679B4D7"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(38%)</w:t>
            </w:r>
          </w:p>
        </w:tc>
        <w:tc>
          <w:tcPr>
            <w:tcW w:w="645" w:type="pct"/>
            <w:tcBorders>
              <w:left w:val="single" w:sz="4" w:space="0" w:color="auto"/>
              <w:bottom w:val="single" w:sz="4" w:space="0" w:color="auto"/>
            </w:tcBorders>
            <w:noWrap/>
            <w:hideMark/>
          </w:tcPr>
          <w:p w14:paraId="761B647C"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w:t>
            </w:r>
            <w:r w:rsidR="00747CDE">
              <w:rPr>
                <w:rFonts w:eastAsia="Times New Roman" w:cs="Arial"/>
                <w:color w:val="000000"/>
                <w:lang w:eastAsia="en-AU"/>
              </w:rPr>
              <w:t>,</w:t>
            </w:r>
            <w:r w:rsidRPr="00F0043D">
              <w:rPr>
                <w:rFonts w:eastAsia="Times New Roman" w:cs="Arial"/>
                <w:color w:val="000000"/>
                <w:lang w:eastAsia="en-AU"/>
              </w:rPr>
              <w:t>001</w:t>
            </w:r>
          </w:p>
        </w:tc>
        <w:tc>
          <w:tcPr>
            <w:tcW w:w="416" w:type="pct"/>
            <w:tcBorders>
              <w:bottom w:val="single" w:sz="4" w:space="0" w:color="auto"/>
              <w:right w:val="single" w:sz="4" w:space="0" w:color="auto"/>
            </w:tcBorders>
          </w:tcPr>
          <w:p w14:paraId="13EAD4B9" w14:textId="77777777" w:rsidR="00CD1101" w:rsidRPr="00F004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(9.6%)</w:t>
            </w:r>
          </w:p>
        </w:tc>
        <w:tc>
          <w:tcPr>
            <w:tcW w:w="381" w:type="pct"/>
            <w:tcBorders>
              <w:left w:val="single" w:sz="4" w:space="0" w:color="auto"/>
              <w:bottom w:val="single" w:sz="4" w:space="0" w:color="auto"/>
              <w:right w:val="single" w:sz="4" w:space="0" w:color="auto"/>
            </w:tcBorders>
            <w:noWrap/>
            <w:hideMark/>
          </w:tcPr>
          <w:p w14:paraId="32EF716F" w14:textId="77777777" w:rsidR="00CD1101" w:rsidRPr="0084133D"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84133D">
              <w:rPr>
                <w:rFonts w:eastAsia="Times New Roman" w:cs="Arial"/>
                <w:b/>
                <w:color w:val="auto"/>
                <w:lang w:eastAsia="en-AU"/>
              </w:rPr>
              <w:t>10</w:t>
            </w:r>
            <w:r w:rsidR="00747CDE">
              <w:rPr>
                <w:rFonts w:eastAsia="Times New Roman" w:cs="Arial"/>
                <w:b/>
                <w:color w:val="auto"/>
                <w:lang w:eastAsia="en-AU"/>
              </w:rPr>
              <w:t>,</w:t>
            </w:r>
            <w:r w:rsidRPr="0084133D">
              <w:rPr>
                <w:rFonts w:eastAsia="Times New Roman" w:cs="Arial"/>
                <w:b/>
                <w:color w:val="auto"/>
                <w:lang w:eastAsia="en-AU"/>
              </w:rPr>
              <w:t>417</w:t>
            </w:r>
          </w:p>
        </w:tc>
      </w:tr>
      <w:tr w:rsidR="002418F8" w:rsidRPr="00747CDE" w14:paraId="412B77B3"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1" w:type="pct"/>
            <w:tcBorders>
              <w:top w:val="single" w:sz="4" w:space="0" w:color="auto"/>
              <w:left w:val="single" w:sz="4" w:space="0" w:color="auto"/>
              <w:bottom w:val="single" w:sz="4" w:space="0" w:color="auto"/>
              <w:right w:val="single" w:sz="4" w:space="0" w:color="auto"/>
            </w:tcBorders>
            <w:noWrap/>
            <w:hideMark/>
          </w:tcPr>
          <w:p w14:paraId="66565C2E" w14:textId="77777777" w:rsidR="00CD1101" w:rsidRPr="00747CDE" w:rsidRDefault="00CD1101" w:rsidP="00CE2FDF">
            <w:pPr>
              <w:tabs>
                <w:tab w:val="left" w:pos="1134"/>
              </w:tabs>
              <w:spacing w:before="0" w:line="276" w:lineRule="auto"/>
              <w:rPr>
                <w:rFonts w:ascii="Calibri" w:eastAsia="Times New Roman" w:hAnsi="Calibri" w:cs="Arial"/>
                <w:bCs w:val="0"/>
                <w:color w:val="auto"/>
                <w:lang w:eastAsia="en-AU"/>
              </w:rPr>
            </w:pPr>
            <w:r w:rsidRPr="00747CDE">
              <w:rPr>
                <w:rFonts w:ascii="Calibri" w:eastAsia="Times New Roman" w:hAnsi="Calibri" w:cs="Arial"/>
                <w:bCs w:val="0"/>
                <w:color w:val="auto"/>
                <w:lang w:eastAsia="en-AU"/>
              </w:rPr>
              <w:t>Totals:</w:t>
            </w:r>
          </w:p>
        </w:tc>
        <w:tc>
          <w:tcPr>
            <w:tcW w:w="800" w:type="pct"/>
            <w:tcBorders>
              <w:top w:val="single" w:sz="4" w:space="0" w:color="auto"/>
              <w:left w:val="single" w:sz="4" w:space="0" w:color="auto"/>
              <w:bottom w:val="single" w:sz="4" w:space="0" w:color="auto"/>
            </w:tcBorders>
            <w:noWrap/>
            <w:hideMark/>
          </w:tcPr>
          <w:p w14:paraId="1A1B490C"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19</w:t>
            </w:r>
            <w:r w:rsidR="00747CDE">
              <w:rPr>
                <w:rFonts w:eastAsia="Times New Roman" w:cs="Arial"/>
                <w:b/>
                <w:color w:val="auto"/>
                <w:lang w:eastAsia="en-AU"/>
              </w:rPr>
              <w:t>,</w:t>
            </w:r>
            <w:r w:rsidRPr="00747CDE">
              <w:rPr>
                <w:rFonts w:eastAsia="Times New Roman" w:cs="Arial"/>
                <w:b/>
                <w:color w:val="auto"/>
                <w:lang w:eastAsia="en-AU"/>
              </w:rPr>
              <w:t>817</w:t>
            </w:r>
          </w:p>
        </w:tc>
        <w:tc>
          <w:tcPr>
            <w:tcW w:w="416" w:type="pct"/>
            <w:tcBorders>
              <w:top w:val="single" w:sz="4" w:space="0" w:color="auto"/>
              <w:bottom w:val="single" w:sz="4" w:space="0" w:color="auto"/>
              <w:right w:val="single" w:sz="4" w:space="0" w:color="auto"/>
            </w:tcBorders>
          </w:tcPr>
          <w:p w14:paraId="23CE2043"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(33.8%)</w:t>
            </w:r>
          </w:p>
        </w:tc>
        <w:tc>
          <w:tcPr>
            <w:tcW w:w="418" w:type="pct"/>
            <w:tcBorders>
              <w:top w:val="single" w:sz="4" w:space="0" w:color="auto"/>
              <w:left w:val="single" w:sz="4" w:space="0" w:color="auto"/>
              <w:bottom w:val="single" w:sz="4" w:space="0" w:color="auto"/>
            </w:tcBorders>
            <w:noWrap/>
            <w:hideMark/>
          </w:tcPr>
          <w:p w14:paraId="35B86815"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7</w:t>
            </w:r>
            <w:r w:rsidR="00747CDE">
              <w:rPr>
                <w:rFonts w:eastAsia="Times New Roman" w:cs="Arial"/>
                <w:b/>
                <w:color w:val="auto"/>
                <w:lang w:eastAsia="en-AU"/>
              </w:rPr>
              <w:t>,</w:t>
            </w:r>
            <w:r w:rsidRPr="00747CDE">
              <w:rPr>
                <w:rFonts w:eastAsia="Times New Roman" w:cs="Arial"/>
                <w:b/>
                <w:color w:val="auto"/>
                <w:lang w:eastAsia="en-AU"/>
              </w:rPr>
              <w:t>666</w:t>
            </w:r>
          </w:p>
        </w:tc>
        <w:tc>
          <w:tcPr>
            <w:tcW w:w="416" w:type="pct"/>
            <w:tcBorders>
              <w:top w:val="single" w:sz="4" w:space="0" w:color="auto"/>
              <w:bottom w:val="single" w:sz="4" w:space="0" w:color="auto"/>
              <w:right w:val="single" w:sz="4" w:space="0" w:color="auto"/>
            </w:tcBorders>
          </w:tcPr>
          <w:p w14:paraId="7E7DBAE0"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(13.1%)</w:t>
            </w:r>
          </w:p>
        </w:tc>
        <w:tc>
          <w:tcPr>
            <w:tcW w:w="709" w:type="pct"/>
            <w:tcBorders>
              <w:top w:val="single" w:sz="4" w:space="0" w:color="auto"/>
              <w:left w:val="single" w:sz="4" w:space="0" w:color="auto"/>
              <w:bottom w:val="single" w:sz="4" w:space="0" w:color="auto"/>
            </w:tcBorders>
            <w:noWrap/>
            <w:hideMark/>
          </w:tcPr>
          <w:p w14:paraId="38772DFE"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24</w:t>
            </w:r>
            <w:r w:rsidR="00747CDE">
              <w:rPr>
                <w:rFonts w:eastAsia="Times New Roman" w:cs="Arial"/>
                <w:b/>
                <w:color w:val="auto"/>
                <w:lang w:eastAsia="en-AU"/>
              </w:rPr>
              <w:t>,</w:t>
            </w:r>
            <w:r w:rsidRPr="00747CDE">
              <w:rPr>
                <w:rFonts w:eastAsia="Times New Roman" w:cs="Arial"/>
                <w:b/>
                <w:color w:val="auto"/>
                <w:lang w:eastAsia="en-AU"/>
              </w:rPr>
              <w:t>778</w:t>
            </w:r>
          </w:p>
        </w:tc>
        <w:tc>
          <w:tcPr>
            <w:tcW w:w="416" w:type="pct"/>
            <w:tcBorders>
              <w:top w:val="single" w:sz="4" w:space="0" w:color="auto"/>
              <w:bottom w:val="single" w:sz="4" w:space="0" w:color="auto"/>
              <w:right w:val="single" w:sz="4" w:space="0" w:color="auto"/>
            </w:tcBorders>
          </w:tcPr>
          <w:p w14:paraId="4F2C449C"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(42.3%)</w:t>
            </w:r>
          </w:p>
        </w:tc>
        <w:tc>
          <w:tcPr>
            <w:tcW w:w="645" w:type="pct"/>
            <w:tcBorders>
              <w:top w:val="single" w:sz="4" w:space="0" w:color="auto"/>
              <w:left w:val="single" w:sz="4" w:space="0" w:color="auto"/>
              <w:bottom w:val="single" w:sz="4" w:space="0" w:color="auto"/>
            </w:tcBorders>
            <w:noWrap/>
            <w:hideMark/>
          </w:tcPr>
          <w:p w14:paraId="7050FE9E"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6</w:t>
            </w:r>
            <w:r w:rsidR="00747CDE">
              <w:rPr>
                <w:rFonts w:eastAsia="Times New Roman" w:cs="Arial"/>
                <w:b/>
                <w:color w:val="auto"/>
                <w:lang w:eastAsia="en-AU"/>
              </w:rPr>
              <w:t>,</w:t>
            </w:r>
            <w:r w:rsidRPr="00747CDE">
              <w:rPr>
                <w:rFonts w:eastAsia="Times New Roman" w:cs="Arial"/>
                <w:b/>
                <w:color w:val="auto"/>
                <w:lang w:eastAsia="en-AU"/>
              </w:rPr>
              <w:t>377</w:t>
            </w:r>
          </w:p>
        </w:tc>
        <w:tc>
          <w:tcPr>
            <w:tcW w:w="416" w:type="pct"/>
            <w:tcBorders>
              <w:top w:val="single" w:sz="4" w:space="0" w:color="auto"/>
              <w:bottom w:val="single" w:sz="4" w:space="0" w:color="auto"/>
              <w:right w:val="single" w:sz="4" w:space="0" w:color="auto"/>
            </w:tcBorders>
          </w:tcPr>
          <w:p w14:paraId="6E44ED74"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(10.9%)</w:t>
            </w:r>
          </w:p>
        </w:tc>
        <w:tc>
          <w:tcPr>
            <w:tcW w:w="381" w:type="pct"/>
            <w:tcBorders>
              <w:top w:val="single" w:sz="4" w:space="0" w:color="auto"/>
              <w:left w:val="single" w:sz="4" w:space="0" w:color="auto"/>
              <w:bottom w:val="single" w:sz="4" w:space="0" w:color="auto"/>
              <w:right w:val="single" w:sz="4" w:space="0" w:color="auto"/>
            </w:tcBorders>
            <w:noWrap/>
            <w:hideMark/>
          </w:tcPr>
          <w:p w14:paraId="6556774B"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58</w:t>
            </w:r>
            <w:r w:rsidR="00747CDE">
              <w:rPr>
                <w:rFonts w:eastAsia="Times New Roman" w:cs="Arial"/>
                <w:b/>
                <w:color w:val="auto"/>
                <w:lang w:eastAsia="en-AU"/>
              </w:rPr>
              <w:t>,</w:t>
            </w:r>
            <w:r w:rsidRPr="00747CDE">
              <w:rPr>
                <w:rFonts w:eastAsia="Times New Roman" w:cs="Arial"/>
                <w:b/>
                <w:color w:val="auto"/>
                <w:lang w:eastAsia="en-AU"/>
              </w:rPr>
              <w:t>638</w:t>
            </w:r>
          </w:p>
        </w:tc>
      </w:tr>
    </w:tbl>
    <w:p w14:paraId="66EFE342" w14:textId="77777777" w:rsidR="005D61DD" w:rsidRPr="0006220F" w:rsidRDefault="005D61DD" w:rsidP="005E613E">
      <w:pPr>
        <w:pStyle w:val="Heading6"/>
        <w:spacing w:before="240" w:after="240"/>
      </w:pPr>
      <w:r w:rsidRPr="0006220F">
        <w:t>Line graph for table 1.26.11: Reports by school personnel, by year, by abuse type</w:t>
      </w:r>
    </w:p>
    <w:p w14:paraId="1BEE4BD2" w14:textId="77777777" w:rsidR="0080128E" w:rsidRDefault="00CD1101" w:rsidP="00B15586">
      <w:r w:rsidRPr="00CD1101">
        <w:rPr>
          <w:noProof/>
          <w:lang w:eastAsia="en-AU"/>
        </w:rPr>
        <w:drawing>
          <wp:inline distT="0" distB="0" distL="0" distR="0" wp14:anchorId="47B1E5C2" wp14:editId="381F90C1">
            <wp:extent cx="9286875" cy="1933575"/>
            <wp:effectExtent l="0" t="0" r="9525" b="9525"/>
            <wp:docPr id="29" name="Chart 25" descr="Shows school personnel in Victoria report higher incidences of emotional and physical abuse than neglect or sexual abuse." title="Line graph for table 1.2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80128E">
        <w:br w:type="page"/>
      </w:r>
    </w:p>
    <w:p w14:paraId="1FDF7FE6" w14:textId="77777777" w:rsidR="005D61DD" w:rsidRDefault="005D61DD" w:rsidP="0095311F">
      <w:pPr>
        <w:pStyle w:val="Figureheading"/>
      </w:pPr>
      <w:bookmarkStart w:id="83" w:name="_Toc382206757"/>
      <w:r>
        <w:lastRenderedPageBreak/>
        <w:t>1.26.12</w:t>
      </w:r>
      <w:r>
        <w:tab/>
        <w:t>Reports by school personnel, by year, by outcome of reports (number and percentage)</w:t>
      </w:r>
    </w:p>
    <w:bookmarkEnd w:id="83"/>
    <w:tbl>
      <w:tblPr>
        <w:tblStyle w:val="LightShading-Accent2"/>
        <w:tblW w:w="5000" w:type="pct"/>
        <w:tblLook w:val="04A0" w:firstRow="1" w:lastRow="0" w:firstColumn="1" w:lastColumn="0" w:noHBand="0" w:noVBand="1"/>
        <w:tblCaption w:val="Reports by school personnel, by year, by outcome of reports (number and percentage)"/>
      </w:tblPr>
      <w:tblGrid>
        <w:gridCol w:w="1040"/>
        <w:gridCol w:w="2161"/>
        <w:gridCol w:w="1136"/>
        <w:gridCol w:w="1683"/>
        <w:gridCol w:w="1136"/>
        <w:gridCol w:w="1866"/>
        <w:gridCol w:w="1136"/>
        <w:gridCol w:w="2330"/>
        <w:gridCol w:w="1263"/>
        <w:gridCol w:w="1035"/>
      </w:tblGrid>
      <w:tr w:rsidR="002418F8" w:rsidRPr="00FC5C7E" w14:paraId="595FA126" w14:textId="77777777" w:rsidTr="00B605CE">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C3A4E67" w14:textId="77777777" w:rsidR="00EB4A8B" w:rsidRPr="00FC5C7E" w:rsidRDefault="00EB4A8B" w:rsidP="00CE2FDF">
            <w:pPr>
              <w:tabs>
                <w:tab w:val="left" w:pos="1134"/>
              </w:tabs>
              <w:spacing w:before="0" w:line="276" w:lineRule="auto"/>
              <w:rPr>
                <w:rFonts w:eastAsia="Times New Roman" w:cs="Arial"/>
                <w:bCs w:val="0"/>
                <w:color w:val="auto"/>
                <w:lang w:eastAsia="en-AU"/>
              </w:rPr>
            </w:pPr>
          </w:p>
        </w:tc>
        <w:tc>
          <w:tcPr>
            <w:tcW w:w="731" w:type="pct"/>
            <w:tcBorders>
              <w:top w:val="single" w:sz="4" w:space="0" w:color="auto"/>
              <w:left w:val="single" w:sz="4" w:space="0" w:color="auto"/>
              <w:bottom w:val="single" w:sz="4" w:space="0" w:color="auto"/>
            </w:tcBorders>
            <w:shd w:val="clear" w:color="auto" w:fill="95B3D7" w:themeFill="accent1" w:themeFillTint="99"/>
            <w:vAlign w:val="center"/>
            <w:hideMark/>
          </w:tcPr>
          <w:p w14:paraId="43DEB9EE"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investigated</w:t>
            </w:r>
          </w:p>
        </w:tc>
        <w:tc>
          <w:tcPr>
            <w:tcW w:w="384" w:type="pct"/>
            <w:tcBorders>
              <w:top w:val="single" w:sz="4" w:space="0" w:color="auto"/>
              <w:bottom w:val="single" w:sz="4" w:space="0" w:color="auto"/>
              <w:right w:val="single" w:sz="4" w:space="0" w:color="auto"/>
            </w:tcBorders>
            <w:shd w:val="clear" w:color="auto" w:fill="95B3D7" w:themeFill="accent1" w:themeFillTint="99"/>
            <w:vAlign w:val="center"/>
          </w:tcPr>
          <w:p w14:paraId="528FCA9C"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569" w:type="pct"/>
            <w:tcBorders>
              <w:top w:val="single" w:sz="4" w:space="0" w:color="auto"/>
              <w:bottom w:val="single" w:sz="4" w:space="0" w:color="auto"/>
            </w:tcBorders>
            <w:shd w:val="clear" w:color="auto" w:fill="95B3D7" w:themeFill="accent1" w:themeFillTint="99"/>
            <w:vAlign w:val="center"/>
          </w:tcPr>
          <w:p w14:paraId="715C92C4"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Investigated</w:t>
            </w:r>
          </w:p>
        </w:tc>
        <w:tc>
          <w:tcPr>
            <w:tcW w:w="384" w:type="pct"/>
            <w:tcBorders>
              <w:top w:val="single" w:sz="4" w:space="0" w:color="auto"/>
              <w:bottom w:val="single" w:sz="4" w:space="0" w:color="auto"/>
            </w:tcBorders>
            <w:shd w:val="clear" w:color="auto" w:fill="95B3D7" w:themeFill="accent1" w:themeFillTint="99"/>
            <w:vAlign w:val="center"/>
          </w:tcPr>
          <w:p w14:paraId="07777014"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631" w:type="pct"/>
            <w:tcBorders>
              <w:top w:val="single" w:sz="4" w:space="0" w:color="auto"/>
              <w:left w:val="single" w:sz="4" w:space="0" w:color="auto"/>
              <w:bottom w:val="single" w:sz="4" w:space="0" w:color="auto"/>
            </w:tcBorders>
            <w:shd w:val="clear" w:color="auto" w:fill="95B3D7" w:themeFill="accent1" w:themeFillTint="99"/>
            <w:vAlign w:val="center"/>
            <w:hideMark/>
          </w:tcPr>
          <w:p w14:paraId="0C1360F2"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Substantiated</w:t>
            </w:r>
          </w:p>
        </w:tc>
        <w:tc>
          <w:tcPr>
            <w:tcW w:w="384" w:type="pct"/>
            <w:tcBorders>
              <w:top w:val="single" w:sz="4" w:space="0" w:color="auto"/>
              <w:bottom w:val="single" w:sz="4" w:space="0" w:color="auto"/>
              <w:right w:val="single" w:sz="4" w:space="0" w:color="auto"/>
            </w:tcBorders>
            <w:shd w:val="clear" w:color="auto" w:fill="95B3D7" w:themeFill="accent1" w:themeFillTint="99"/>
            <w:vAlign w:val="center"/>
          </w:tcPr>
          <w:p w14:paraId="5E7AE7CC"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788" w:type="pct"/>
            <w:tcBorders>
              <w:top w:val="single" w:sz="4" w:space="0" w:color="auto"/>
              <w:left w:val="single" w:sz="4" w:space="0" w:color="auto"/>
              <w:bottom w:val="single" w:sz="4" w:space="0" w:color="auto"/>
            </w:tcBorders>
            <w:shd w:val="clear" w:color="auto" w:fill="95B3D7" w:themeFill="accent1" w:themeFillTint="99"/>
            <w:vAlign w:val="center"/>
            <w:hideMark/>
          </w:tcPr>
          <w:p w14:paraId="2C1B6CAE"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substantiated</w:t>
            </w:r>
          </w:p>
        </w:tc>
        <w:tc>
          <w:tcPr>
            <w:tcW w:w="427" w:type="pct"/>
            <w:tcBorders>
              <w:top w:val="single" w:sz="4" w:space="0" w:color="auto"/>
              <w:bottom w:val="single" w:sz="4" w:space="0" w:color="auto"/>
              <w:right w:val="single" w:sz="4" w:space="0" w:color="auto"/>
            </w:tcBorders>
            <w:shd w:val="clear" w:color="auto" w:fill="95B3D7" w:themeFill="accent1" w:themeFillTint="99"/>
            <w:vAlign w:val="center"/>
          </w:tcPr>
          <w:p w14:paraId="33251472" w14:textId="77777777" w:rsidR="00EB4A8B" w:rsidRPr="00FC5C7E" w:rsidRDefault="00EB4A8B" w:rsidP="00CE2FDF">
            <w:pPr>
              <w:tabs>
                <w:tab w:val="left" w:pos="1134"/>
              </w:tabs>
              <w:spacing w:before="0" w:line="276" w:lineRule="auto"/>
              <w:ind w:right="-108"/>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08E2CF6" w14:textId="77777777" w:rsidR="00EB4A8B" w:rsidRPr="00FC5C7E" w:rsidRDefault="00EB4A8B"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Total</w:t>
            </w:r>
          </w:p>
        </w:tc>
      </w:tr>
      <w:tr w:rsidR="002418F8" w:rsidRPr="00FC5C7E" w14:paraId="5AD1F6BE"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right w:val="single" w:sz="4" w:space="0" w:color="auto"/>
            </w:tcBorders>
            <w:shd w:val="clear" w:color="auto" w:fill="DBE5F1" w:themeFill="accent1" w:themeFillTint="33"/>
            <w:noWrap/>
          </w:tcPr>
          <w:p w14:paraId="44B60918"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2003</w:t>
            </w:r>
          </w:p>
        </w:tc>
        <w:tc>
          <w:tcPr>
            <w:tcW w:w="731" w:type="pct"/>
            <w:tcBorders>
              <w:top w:val="single" w:sz="4" w:space="0" w:color="auto"/>
              <w:left w:val="single" w:sz="4" w:space="0" w:color="auto"/>
            </w:tcBorders>
            <w:shd w:val="clear" w:color="auto" w:fill="DBE5F1" w:themeFill="accent1" w:themeFillTint="33"/>
            <w:noWrap/>
            <w:hideMark/>
          </w:tcPr>
          <w:p w14:paraId="1687B2D7"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w:t>
            </w:r>
            <w:r>
              <w:rPr>
                <w:rFonts w:eastAsia="Times New Roman" w:cs="Arial"/>
                <w:color w:val="000000"/>
                <w:lang w:eastAsia="en-AU"/>
              </w:rPr>
              <w:t>,</w:t>
            </w:r>
            <w:r w:rsidRPr="00146401">
              <w:rPr>
                <w:rFonts w:eastAsia="Times New Roman" w:cs="Arial"/>
                <w:color w:val="000000"/>
                <w:lang w:eastAsia="en-AU"/>
              </w:rPr>
              <w:t>313</w:t>
            </w:r>
          </w:p>
        </w:tc>
        <w:tc>
          <w:tcPr>
            <w:tcW w:w="384" w:type="pct"/>
            <w:tcBorders>
              <w:top w:val="single" w:sz="4" w:space="0" w:color="auto"/>
              <w:right w:val="single" w:sz="4" w:space="0" w:color="auto"/>
            </w:tcBorders>
            <w:shd w:val="clear" w:color="auto" w:fill="DBE5F1" w:themeFill="accent1" w:themeFillTint="33"/>
          </w:tcPr>
          <w:p w14:paraId="6EE4A2C4"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(63.2%)</w:t>
            </w:r>
          </w:p>
        </w:tc>
        <w:tc>
          <w:tcPr>
            <w:tcW w:w="569" w:type="pct"/>
            <w:tcBorders>
              <w:top w:val="single" w:sz="4" w:space="0" w:color="auto"/>
            </w:tcBorders>
            <w:shd w:val="clear" w:color="auto" w:fill="DBE5F1" w:themeFill="accent1" w:themeFillTint="33"/>
          </w:tcPr>
          <w:p w14:paraId="5445300A"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344</w:t>
            </w:r>
          </w:p>
        </w:tc>
        <w:tc>
          <w:tcPr>
            <w:tcW w:w="384" w:type="pct"/>
            <w:tcBorders>
              <w:top w:val="single" w:sz="4" w:space="0" w:color="auto"/>
            </w:tcBorders>
            <w:shd w:val="clear" w:color="auto" w:fill="DBE5F1" w:themeFill="accent1" w:themeFillTint="33"/>
          </w:tcPr>
          <w:p w14:paraId="7D50CCC4"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(36.8%)</w:t>
            </w:r>
          </w:p>
        </w:tc>
        <w:tc>
          <w:tcPr>
            <w:tcW w:w="631" w:type="pct"/>
            <w:tcBorders>
              <w:top w:val="single" w:sz="4" w:space="0" w:color="auto"/>
              <w:left w:val="single" w:sz="4" w:space="0" w:color="auto"/>
            </w:tcBorders>
            <w:shd w:val="clear" w:color="auto" w:fill="DBE5F1" w:themeFill="accent1" w:themeFillTint="33"/>
            <w:noWrap/>
            <w:hideMark/>
          </w:tcPr>
          <w:p w14:paraId="1FCC72F1"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756</w:t>
            </w:r>
          </w:p>
        </w:tc>
        <w:tc>
          <w:tcPr>
            <w:tcW w:w="384" w:type="pct"/>
            <w:tcBorders>
              <w:top w:val="single" w:sz="4" w:space="0" w:color="auto"/>
              <w:right w:val="single" w:sz="4" w:space="0" w:color="auto"/>
            </w:tcBorders>
            <w:shd w:val="clear" w:color="auto" w:fill="DBE5F1" w:themeFill="accent1" w:themeFillTint="33"/>
          </w:tcPr>
          <w:p w14:paraId="01624539"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(20.7%)</w:t>
            </w:r>
          </w:p>
        </w:tc>
        <w:tc>
          <w:tcPr>
            <w:tcW w:w="788" w:type="pct"/>
            <w:tcBorders>
              <w:top w:val="single" w:sz="4" w:space="0" w:color="auto"/>
              <w:left w:val="single" w:sz="4" w:space="0" w:color="auto"/>
            </w:tcBorders>
            <w:shd w:val="clear" w:color="auto" w:fill="DBE5F1" w:themeFill="accent1" w:themeFillTint="33"/>
            <w:noWrap/>
            <w:hideMark/>
          </w:tcPr>
          <w:p w14:paraId="32063BA1"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588</w:t>
            </w:r>
          </w:p>
        </w:tc>
        <w:tc>
          <w:tcPr>
            <w:tcW w:w="427" w:type="pct"/>
            <w:tcBorders>
              <w:top w:val="single" w:sz="4" w:space="0" w:color="auto"/>
              <w:right w:val="single" w:sz="4" w:space="0" w:color="auto"/>
            </w:tcBorders>
            <w:shd w:val="clear" w:color="auto" w:fill="DBE5F1" w:themeFill="accent1" w:themeFillTint="33"/>
            <w:vAlign w:val="center"/>
          </w:tcPr>
          <w:p w14:paraId="342A5181"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16.08%</w:t>
            </w:r>
            <w:r>
              <w:rPr>
                <w:rFonts w:ascii="Calibri" w:hAnsi="Calibri"/>
                <w:color w:val="auto"/>
              </w:rPr>
              <w:t>)</w:t>
            </w:r>
          </w:p>
        </w:tc>
        <w:tc>
          <w:tcPr>
            <w:tcW w:w="352" w:type="pct"/>
            <w:tcBorders>
              <w:top w:val="single" w:sz="4" w:space="0" w:color="auto"/>
              <w:left w:val="single" w:sz="4" w:space="0" w:color="auto"/>
              <w:right w:val="single" w:sz="4" w:space="0" w:color="auto"/>
            </w:tcBorders>
            <w:shd w:val="clear" w:color="auto" w:fill="DBE5F1" w:themeFill="accent1" w:themeFillTint="33"/>
          </w:tcPr>
          <w:p w14:paraId="568581D0"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3</w:t>
            </w:r>
            <w:r>
              <w:rPr>
                <w:rFonts w:eastAsia="Times New Roman" w:cs="Arial"/>
                <w:b/>
                <w:color w:val="auto"/>
                <w:lang w:eastAsia="en-AU"/>
              </w:rPr>
              <w:t>,</w:t>
            </w:r>
            <w:r w:rsidRPr="00146401">
              <w:rPr>
                <w:rFonts w:eastAsia="Times New Roman" w:cs="Arial"/>
                <w:b/>
                <w:color w:val="auto"/>
                <w:lang w:eastAsia="en-AU"/>
              </w:rPr>
              <w:t>657</w:t>
            </w:r>
          </w:p>
        </w:tc>
      </w:tr>
      <w:tr w:rsidR="00EB4A8B" w:rsidRPr="00FC5C7E" w14:paraId="6CDF2561"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43F3C804"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2004</w:t>
            </w:r>
          </w:p>
        </w:tc>
        <w:tc>
          <w:tcPr>
            <w:tcW w:w="731" w:type="pct"/>
            <w:tcBorders>
              <w:left w:val="single" w:sz="4" w:space="0" w:color="auto"/>
            </w:tcBorders>
            <w:noWrap/>
            <w:hideMark/>
          </w:tcPr>
          <w:p w14:paraId="7A4D17FE"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w:t>
            </w:r>
            <w:r>
              <w:rPr>
                <w:rFonts w:eastAsia="Times New Roman" w:cs="Arial"/>
                <w:color w:val="000000"/>
                <w:lang w:eastAsia="en-AU"/>
              </w:rPr>
              <w:t>,</w:t>
            </w:r>
            <w:r w:rsidRPr="00146401">
              <w:rPr>
                <w:rFonts w:eastAsia="Times New Roman" w:cs="Arial"/>
                <w:color w:val="000000"/>
                <w:lang w:eastAsia="en-AU"/>
              </w:rPr>
              <w:t>300</w:t>
            </w:r>
          </w:p>
        </w:tc>
        <w:tc>
          <w:tcPr>
            <w:tcW w:w="384" w:type="pct"/>
            <w:tcBorders>
              <w:right w:val="single" w:sz="4" w:space="0" w:color="auto"/>
            </w:tcBorders>
          </w:tcPr>
          <w:p w14:paraId="7A9E639B"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(64.1%)</w:t>
            </w:r>
          </w:p>
        </w:tc>
        <w:tc>
          <w:tcPr>
            <w:tcW w:w="569" w:type="pct"/>
            <w:tcBorders>
              <w:right w:val="nil"/>
            </w:tcBorders>
          </w:tcPr>
          <w:p w14:paraId="296026B9"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287</w:t>
            </w:r>
          </w:p>
        </w:tc>
        <w:tc>
          <w:tcPr>
            <w:tcW w:w="384" w:type="pct"/>
            <w:tcBorders>
              <w:left w:val="nil"/>
            </w:tcBorders>
          </w:tcPr>
          <w:p w14:paraId="68BA52F5"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(35.9%)</w:t>
            </w:r>
          </w:p>
        </w:tc>
        <w:tc>
          <w:tcPr>
            <w:tcW w:w="631" w:type="pct"/>
            <w:tcBorders>
              <w:left w:val="single" w:sz="4" w:space="0" w:color="auto"/>
            </w:tcBorders>
            <w:noWrap/>
            <w:hideMark/>
          </w:tcPr>
          <w:p w14:paraId="4F0D7358"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727</w:t>
            </w:r>
          </w:p>
        </w:tc>
        <w:tc>
          <w:tcPr>
            <w:tcW w:w="384" w:type="pct"/>
            <w:tcBorders>
              <w:right w:val="single" w:sz="4" w:space="0" w:color="auto"/>
            </w:tcBorders>
          </w:tcPr>
          <w:p w14:paraId="520ED7DA"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(20.3%)</w:t>
            </w:r>
          </w:p>
        </w:tc>
        <w:tc>
          <w:tcPr>
            <w:tcW w:w="788" w:type="pct"/>
            <w:tcBorders>
              <w:left w:val="single" w:sz="4" w:space="0" w:color="auto"/>
              <w:right w:val="nil"/>
            </w:tcBorders>
            <w:noWrap/>
            <w:hideMark/>
          </w:tcPr>
          <w:p w14:paraId="1E7B9AB8"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560</w:t>
            </w:r>
          </w:p>
        </w:tc>
        <w:tc>
          <w:tcPr>
            <w:tcW w:w="427" w:type="pct"/>
            <w:tcBorders>
              <w:left w:val="nil"/>
              <w:right w:val="single" w:sz="4" w:space="0" w:color="auto"/>
            </w:tcBorders>
            <w:vAlign w:val="center"/>
          </w:tcPr>
          <w:p w14:paraId="06EB3421"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15.61%</w:t>
            </w:r>
            <w:r>
              <w:rPr>
                <w:rFonts w:ascii="Calibri" w:hAnsi="Calibri"/>
                <w:color w:val="auto"/>
              </w:rPr>
              <w:t>)</w:t>
            </w:r>
          </w:p>
        </w:tc>
        <w:tc>
          <w:tcPr>
            <w:tcW w:w="352" w:type="pct"/>
            <w:tcBorders>
              <w:left w:val="single" w:sz="4" w:space="0" w:color="auto"/>
              <w:right w:val="single" w:sz="4" w:space="0" w:color="auto"/>
            </w:tcBorders>
          </w:tcPr>
          <w:p w14:paraId="083B7AB5"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3</w:t>
            </w:r>
            <w:r>
              <w:rPr>
                <w:rFonts w:eastAsia="Times New Roman" w:cs="Arial"/>
                <w:b/>
                <w:color w:val="auto"/>
                <w:lang w:eastAsia="en-AU"/>
              </w:rPr>
              <w:t>,</w:t>
            </w:r>
            <w:r w:rsidRPr="00146401">
              <w:rPr>
                <w:rFonts w:eastAsia="Times New Roman" w:cs="Arial"/>
                <w:b/>
                <w:color w:val="auto"/>
                <w:lang w:eastAsia="en-AU"/>
              </w:rPr>
              <w:t>587</w:t>
            </w:r>
          </w:p>
        </w:tc>
      </w:tr>
      <w:tr w:rsidR="00EB4A8B" w:rsidRPr="00FC5C7E" w14:paraId="7E8A68A8"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47A9D9D9"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2005</w:t>
            </w:r>
          </w:p>
        </w:tc>
        <w:tc>
          <w:tcPr>
            <w:tcW w:w="731" w:type="pct"/>
            <w:tcBorders>
              <w:left w:val="single" w:sz="4" w:space="0" w:color="auto"/>
            </w:tcBorders>
            <w:shd w:val="clear" w:color="auto" w:fill="DBE5F1" w:themeFill="accent1" w:themeFillTint="33"/>
            <w:noWrap/>
            <w:hideMark/>
          </w:tcPr>
          <w:p w14:paraId="5A172AFA"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w:t>
            </w:r>
            <w:r>
              <w:rPr>
                <w:rFonts w:eastAsia="Times New Roman" w:cs="Arial"/>
                <w:color w:val="000000"/>
                <w:lang w:eastAsia="en-AU"/>
              </w:rPr>
              <w:t>,</w:t>
            </w:r>
            <w:r w:rsidRPr="00146401">
              <w:rPr>
                <w:rFonts w:eastAsia="Times New Roman" w:cs="Arial"/>
                <w:color w:val="000000"/>
                <w:lang w:eastAsia="en-AU"/>
              </w:rPr>
              <w:t>394</w:t>
            </w:r>
          </w:p>
        </w:tc>
        <w:tc>
          <w:tcPr>
            <w:tcW w:w="384" w:type="pct"/>
            <w:tcBorders>
              <w:right w:val="single" w:sz="4" w:space="0" w:color="auto"/>
            </w:tcBorders>
            <w:shd w:val="clear" w:color="auto" w:fill="DBE5F1" w:themeFill="accent1" w:themeFillTint="33"/>
          </w:tcPr>
          <w:p w14:paraId="45D8AE28"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(67.8%)</w:t>
            </w:r>
          </w:p>
        </w:tc>
        <w:tc>
          <w:tcPr>
            <w:tcW w:w="569" w:type="pct"/>
            <w:shd w:val="clear" w:color="auto" w:fill="DBE5F1" w:themeFill="accent1" w:themeFillTint="33"/>
          </w:tcPr>
          <w:p w14:paraId="249E1F9B"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138</w:t>
            </w:r>
          </w:p>
        </w:tc>
        <w:tc>
          <w:tcPr>
            <w:tcW w:w="384" w:type="pct"/>
            <w:shd w:val="clear" w:color="auto" w:fill="DBE5F1" w:themeFill="accent1" w:themeFillTint="33"/>
          </w:tcPr>
          <w:p w14:paraId="612F4670"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(32.2%)</w:t>
            </w:r>
          </w:p>
        </w:tc>
        <w:tc>
          <w:tcPr>
            <w:tcW w:w="631" w:type="pct"/>
            <w:tcBorders>
              <w:left w:val="single" w:sz="4" w:space="0" w:color="auto"/>
            </w:tcBorders>
            <w:shd w:val="clear" w:color="auto" w:fill="DBE5F1" w:themeFill="accent1" w:themeFillTint="33"/>
            <w:noWrap/>
            <w:hideMark/>
          </w:tcPr>
          <w:p w14:paraId="6DAE1B50"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718</w:t>
            </w:r>
          </w:p>
        </w:tc>
        <w:tc>
          <w:tcPr>
            <w:tcW w:w="384" w:type="pct"/>
            <w:tcBorders>
              <w:right w:val="single" w:sz="4" w:space="0" w:color="auto"/>
            </w:tcBorders>
            <w:shd w:val="clear" w:color="auto" w:fill="DBE5F1" w:themeFill="accent1" w:themeFillTint="33"/>
          </w:tcPr>
          <w:p w14:paraId="4B5ACA17"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(20.3%)</w:t>
            </w:r>
          </w:p>
        </w:tc>
        <w:tc>
          <w:tcPr>
            <w:tcW w:w="788" w:type="pct"/>
            <w:tcBorders>
              <w:left w:val="single" w:sz="4" w:space="0" w:color="auto"/>
            </w:tcBorders>
            <w:shd w:val="clear" w:color="auto" w:fill="DBE5F1" w:themeFill="accent1" w:themeFillTint="33"/>
            <w:noWrap/>
            <w:hideMark/>
          </w:tcPr>
          <w:p w14:paraId="7507C246"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420</w:t>
            </w:r>
          </w:p>
        </w:tc>
        <w:tc>
          <w:tcPr>
            <w:tcW w:w="427" w:type="pct"/>
            <w:tcBorders>
              <w:right w:val="single" w:sz="4" w:space="0" w:color="auto"/>
            </w:tcBorders>
            <w:shd w:val="clear" w:color="auto" w:fill="DBE5F1" w:themeFill="accent1" w:themeFillTint="33"/>
            <w:vAlign w:val="center"/>
          </w:tcPr>
          <w:p w14:paraId="45B4E32D"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11.89%</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477C16FB"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3</w:t>
            </w:r>
            <w:r>
              <w:rPr>
                <w:rFonts w:eastAsia="Times New Roman" w:cs="Arial"/>
                <w:b/>
                <w:color w:val="auto"/>
                <w:lang w:eastAsia="en-AU"/>
              </w:rPr>
              <w:t>,</w:t>
            </w:r>
            <w:r w:rsidRPr="00146401">
              <w:rPr>
                <w:rFonts w:eastAsia="Times New Roman" w:cs="Arial"/>
                <w:b/>
                <w:color w:val="auto"/>
                <w:lang w:eastAsia="en-AU"/>
              </w:rPr>
              <w:t>532</w:t>
            </w:r>
          </w:p>
        </w:tc>
      </w:tr>
      <w:tr w:rsidR="00EB4A8B" w:rsidRPr="00FC5C7E" w14:paraId="2BE0ED63"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1EDDEE31"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2006</w:t>
            </w:r>
          </w:p>
        </w:tc>
        <w:tc>
          <w:tcPr>
            <w:tcW w:w="731" w:type="pct"/>
            <w:tcBorders>
              <w:left w:val="single" w:sz="4" w:space="0" w:color="auto"/>
            </w:tcBorders>
            <w:noWrap/>
            <w:hideMark/>
          </w:tcPr>
          <w:p w14:paraId="43079CB3"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w:t>
            </w:r>
            <w:r>
              <w:rPr>
                <w:rFonts w:eastAsia="Times New Roman" w:cs="Arial"/>
                <w:color w:val="000000"/>
                <w:lang w:eastAsia="en-AU"/>
              </w:rPr>
              <w:t>,</w:t>
            </w:r>
            <w:r w:rsidRPr="00146401">
              <w:rPr>
                <w:rFonts w:eastAsia="Times New Roman" w:cs="Arial"/>
                <w:color w:val="000000"/>
                <w:lang w:eastAsia="en-AU"/>
              </w:rPr>
              <w:t>740</w:t>
            </w:r>
          </w:p>
        </w:tc>
        <w:tc>
          <w:tcPr>
            <w:tcW w:w="384" w:type="pct"/>
            <w:tcBorders>
              <w:right w:val="single" w:sz="4" w:space="0" w:color="auto"/>
            </w:tcBorders>
          </w:tcPr>
          <w:p w14:paraId="16136322"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(70%)</w:t>
            </w:r>
          </w:p>
        </w:tc>
        <w:tc>
          <w:tcPr>
            <w:tcW w:w="569" w:type="pct"/>
            <w:tcBorders>
              <w:right w:val="nil"/>
            </w:tcBorders>
          </w:tcPr>
          <w:p w14:paraId="00CEDC9B"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173</w:t>
            </w:r>
          </w:p>
        </w:tc>
        <w:tc>
          <w:tcPr>
            <w:tcW w:w="384" w:type="pct"/>
            <w:tcBorders>
              <w:left w:val="nil"/>
            </w:tcBorders>
          </w:tcPr>
          <w:p w14:paraId="1AF1E434"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(30%)</w:t>
            </w:r>
          </w:p>
        </w:tc>
        <w:tc>
          <w:tcPr>
            <w:tcW w:w="631" w:type="pct"/>
            <w:tcBorders>
              <w:left w:val="single" w:sz="4" w:space="0" w:color="auto"/>
            </w:tcBorders>
            <w:noWrap/>
            <w:hideMark/>
          </w:tcPr>
          <w:p w14:paraId="4CCC53B7"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723</w:t>
            </w:r>
          </w:p>
        </w:tc>
        <w:tc>
          <w:tcPr>
            <w:tcW w:w="384" w:type="pct"/>
            <w:tcBorders>
              <w:right w:val="single" w:sz="4" w:space="0" w:color="auto"/>
            </w:tcBorders>
          </w:tcPr>
          <w:p w14:paraId="55B47AFE"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(18.5%)</w:t>
            </w:r>
          </w:p>
        </w:tc>
        <w:tc>
          <w:tcPr>
            <w:tcW w:w="788" w:type="pct"/>
            <w:tcBorders>
              <w:left w:val="single" w:sz="4" w:space="0" w:color="auto"/>
              <w:right w:val="nil"/>
            </w:tcBorders>
            <w:noWrap/>
            <w:hideMark/>
          </w:tcPr>
          <w:p w14:paraId="07DF4CD3"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450</w:t>
            </w:r>
          </w:p>
        </w:tc>
        <w:tc>
          <w:tcPr>
            <w:tcW w:w="427" w:type="pct"/>
            <w:tcBorders>
              <w:left w:val="nil"/>
              <w:right w:val="single" w:sz="4" w:space="0" w:color="auto"/>
            </w:tcBorders>
            <w:vAlign w:val="center"/>
          </w:tcPr>
          <w:p w14:paraId="1C92F95F"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11.50%</w:t>
            </w:r>
            <w:r>
              <w:rPr>
                <w:rFonts w:ascii="Calibri" w:hAnsi="Calibri"/>
                <w:color w:val="auto"/>
              </w:rPr>
              <w:t>)</w:t>
            </w:r>
          </w:p>
        </w:tc>
        <w:tc>
          <w:tcPr>
            <w:tcW w:w="352" w:type="pct"/>
            <w:tcBorders>
              <w:left w:val="single" w:sz="4" w:space="0" w:color="auto"/>
              <w:right w:val="single" w:sz="4" w:space="0" w:color="auto"/>
            </w:tcBorders>
          </w:tcPr>
          <w:p w14:paraId="4D756643"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3</w:t>
            </w:r>
            <w:r>
              <w:rPr>
                <w:rFonts w:eastAsia="Times New Roman" w:cs="Arial"/>
                <w:b/>
                <w:color w:val="auto"/>
                <w:lang w:eastAsia="en-AU"/>
              </w:rPr>
              <w:t>,</w:t>
            </w:r>
            <w:r w:rsidRPr="00146401">
              <w:rPr>
                <w:rFonts w:eastAsia="Times New Roman" w:cs="Arial"/>
                <w:b/>
                <w:color w:val="auto"/>
                <w:lang w:eastAsia="en-AU"/>
              </w:rPr>
              <w:t>913</w:t>
            </w:r>
          </w:p>
        </w:tc>
      </w:tr>
      <w:tr w:rsidR="00EB4A8B" w:rsidRPr="00FC5C7E" w14:paraId="61C7D2E0"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6EFFA8A8"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2007</w:t>
            </w:r>
          </w:p>
        </w:tc>
        <w:tc>
          <w:tcPr>
            <w:tcW w:w="731" w:type="pct"/>
            <w:tcBorders>
              <w:left w:val="single" w:sz="4" w:space="0" w:color="auto"/>
            </w:tcBorders>
            <w:shd w:val="clear" w:color="auto" w:fill="DBE5F1" w:themeFill="accent1" w:themeFillTint="33"/>
            <w:noWrap/>
            <w:hideMark/>
          </w:tcPr>
          <w:p w14:paraId="60F62FFD"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w:t>
            </w:r>
            <w:r>
              <w:rPr>
                <w:rFonts w:eastAsia="Times New Roman" w:cs="Arial"/>
                <w:color w:val="000000"/>
                <w:lang w:eastAsia="en-AU"/>
              </w:rPr>
              <w:t>,</w:t>
            </w:r>
            <w:r w:rsidRPr="00146401">
              <w:rPr>
                <w:rFonts w:eastAsia="Times New Roman" w:cs="Arial"/>
                <w:color w:val="000000"/>
                <w:lang w:eastAsia="en-AU"/>
              </w:rPr>
              <w:t>153</w:t>
            </w:r>
          </w:p>
        </w:tc>
        <w:tc>
          <w:tcPr>
            <w:tcW w:w="384" w:type="pct"/>
            <w:tcBorders>
              <w:right w:val="single" w:sz="4" w:space="0" w:color="auto"/>
            </w:tcBorders>
            <w:shd w:val="clear" w:color="auto" w:fill="DBE5F1" w:themeFill="accent1" w:themeFillTint="33"/>
          </w:tcPr>
          <w:p w14:paraId="5F9BD998"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(17.4%)</w:t>
            </w:r>
          </w:p>
        </w:tc>
        <w:tc>
          <w:tcPr>
            <w:tcW w:w="569" w:type="pct"/>
            <w:shd w:val="clear" w:color="auto" w:fill="DBE5F1" w:themeFill="accent1" w:themeFillTint="33"/>
          </w:tcPr>
          <w:p w14:paraId="78F79081"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263</w:t>
            </w:r>
          </w:p>
        </w:tc>
        <w:tc>
          <w:tcPr>
            <w:tcW w:w="384" w:type="pct"/>
            <w:shd w:val="clear" w:color="auto" w:fill="DBE5F1" w:themeFill="accent1" w:themeFillTint="33"/>
          </w:tcPr>
          <w:p w14:paraId="4C6FA178"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(28.6%)</w:t>
            </w:r>
          </w:p>
        </w:tc>
        <w:tc>
          <w:tcPr>
            <w:tcW w:w="631" w:type="pct"/>
            <w:tcBorders>
              <w:left w:val="single" w:sz="4" w:space="0" w:color="auto"/>
            </w:tcBorders>
            <w:shd w:val="clear" w:color="auto" w:fill="DBE5F1" w:themeFill="accent1" w:themeFillTint="33"/>
            <w:noWrap/>
            <w:hideMark/>
          </w:tcPr>
          <w:p w14:paraId="71925521"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751</w:t>
            </w:r>
          </w:p>
        </w:tc>
        <w:tc>
          <w:tcPr>
            <w:tcW w:w="384" w:type="pct"/>
            <w:tcBorders>
              <w:right w:val="single" w:sz="4" w:space="0" w:color="auto"/>
            </w:tcBorders>
            <w:shd w:val="clear" w:color="auto" w:fill="DBE5F1" w:themeFill="accent1" w:themeFillTint="33"/>
          </w:tcPr>
          <w:p w14:paraId="15D8B958"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(17%)</w:t>
            </w:r>
          </w:p>
        </w:tc>
        <w:tc>
          <w:tcPr>
            <w:tcW w:w="788" w:type="pct"/>
            <w:tcBorders>
              <w:left w:val="single" w:sz="4" w:space="0" w:color="auto"/>
            </w:tcBorders>
            <w:shd w:val="clear" w:color="auto" w:fill="DBE5F1" w:themeFill="accent1" w:themeFillTint="33"/>
            <w:noWrap/>
            <w:hideMark/>
          </w:tcPr>
          <w:p w14:paraId="364B1D3E"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512</w:t>
            </w:r>
          </w:p>
        </w:tc>
        <w:tc>
          <w:tcPr>
            <w:tcW w:w="427" w:type="pct"/>
            <w:tcBorders>
              <w:right w:val="single" w:sz="4" w:space="0" w:color="auto"/>
            </w:tcBorders>
            <w:shd w:val="clear" w:color="auto" w:fill="DBE5F1" w:themeFill="accent1" w:themeFillTint="33"/>
            <w:vAlign w:val="center"/>
          </w:tcPr>
          <w:p w14:paraId="7AAD96CE"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11.59%</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707F6162"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4</w:t>
            </w:r>
            <w:r>
              <w:rPr>
                <w:rFonts w:eastAsia="Times New Roman" w:cs="Arial"/>
                <w:b/>
                <w:color w:val="auto"/>
                <w:lang w:eastAsia="en-AU"/>
              </w:rPr>
              <w:t>,</w:t>
            </w:r>
            <w:r w:rsidRPr="00146401">
              <w:rPr>
                <w:rFonts w:eastAsia="Times New Roman" w:cs="Arial"/>
                <w:b/>
                <w:color w:val="auto"/>
                <w:lang w:eastAsia="en-AU"/>
              </w:rPr>
              <w:t>416</w:t>
            </w:r>
          </w:p>
        </w:tc>
      </w:tr>
      <w:tr w:rsidR="00EB4A8B" w:rsidRPr="00FC5C7E" w14:paraId="34AC3C23"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49F1D954"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2008</w:t>
            </w:r>
          </w:p>
        </w:tc>
        <w:tc>
          <w:tcPr>
            <w:tcW w:w="731" w:type="pct"/>
            <w:tcBorders>
              <w:left w:val="single" w:sz="4" w:space="0" w:color="auto"/>
            </w:tcBorders>
            <w:noWrap/>
            <w:hideMark/>
          </w:tcPr>
          <w:p w14:paraId="5E2B5251"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w:t>
            </w:r>
            <w:r>
              <w:rPr>
                <w:rFonts w:eastAsia="Times New Roman" w:cs="Arial"/>
                <w:color w:val="000000"/>
                <w:lang w:eastAsia="en-AU"/>
              </w:rPr>
              <w:t>,</w:t>
            </w:r>
            <w:r w:rsidRPr="00146401">
              <w:rPr>
                <w:rFonts w:eastAsia="Times New Roman" w:cs="Arial"/>
                <w:color w:val="000000"/>
                <w:lang w:eastAsia="en-AU"/>
              </w:rPr>
              <w:t>217</w:t>
            </w:r>
          </w:p>
        </w:tc>
        <w:tc>
          <w:tcPr>
            <w:tcW w:w="384" w:type="pct"/>
            <w:tcBorders>
              <w:right w:val="single" w:sz="4" w:space="0" w:color="auto"/>
            </w:tcBorders>
          </w:tcPr>
          <w:p w14:paraId="3F01CF5C"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(71.5%)</w:t>
            </w:r>
          </w:p>
        </w:tc>
        <w:tc>
          <w:tcPr>
            <w:tcW w:w="569" w:type="pct"/>
            <w:tcBorders>
              <w:right w:val="nil"/>
            </w:tcBorders>
          </w:tcPr>
          <w:p w14:paraId="437CBF68"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683</w:t>
            </w:r>
          </w:p>
        </w:tc>
        <w:tc>
          <w:tcPr>
            <w:tcW w:w="384" w:type="pct"/>
            <w:tcBorders>
              <w:left w:val="nil"/>
            </w:tcBorders>
          </w:tcPr>
          <w:p w14:paraId="23C7E175"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(28.5%)</w:t>
            </w:r>
          </w:p>
        </w:tc>
        <w:tc>
          <w:tcPr>
            <w:tcW w:w="631" w:type="pct"/>
            <w:tcBorders>
              <w:left w:val="single" w:sz="4" w:space="0" w:color="auto"/>
            </w:tcBorders>
            <w:noWrap/>
            <w:hideMark/>
          </w:tcPr>
          <w:p w14:paraId="462115D4"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975</w:t>
            </w:r>
          </w:p>
        </w:tc>
        <w:tc>
          <w:tcPr>
            <w:tcW w:w="384" w:type="pct"/>
            <w:tcBorders>
              <w:right w:val="single" w:sz="4" w:space="0" w:color="auto"/>
            </w:tcBorders>
          </w:tcPr>
          <w:p w14:paraId="7E4F3510"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(16.5%)</w:t>
            </w:r>
          </w:p>
        </w:tc>
        <w:tc>
          <w:tcPr>
            <w:tcW w:w="788" w:type="pct"/>
            <w:tcBorders>
              <w:left w:val="single" w:sz="4" w:space="0" w:color="auto"/>
              <w:right w:val="nil"/>
            </w:tcBorders>
            <w:noWrap/>
            <w:hideMark/>
          </w:tcPr>
          <w:p w14:paraId="3FB398DB"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708</w:t>
            </w:r>
          </w:p>
        </w:tc>
        <w:tc>
          <w:tcPr>
            <w:tcW w:w="427" w:type="pct"/>
            <w:tcBorders>
              <w:left w:val="nil"/>
              <w:right w:val="single" w:sz="4" w:space="0" w:color="auto"/>
            </w:tcBorders>
            <w:vAlign w:val="center"/>
          </w:tcPr>
          <w:p w14:paraId="67FBCEB7"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12.00%</w:t>
            </w:r>
            <w:r>
              <w:rPr>
                <w:rFonts w:ascii="Calibri" w:hAnsi="Calibri"/>
                <w:color w:val="auto"/>
              </w:rPr>
              <w:t>)</w:t>
            </w:r>
          </w:p>
        </w:tc>
        <w:tc>
          <w:tcPr>
            <w:tcW w:w="352" w:type="pct"/>
            <w:tcBorders>
              <w:left w:val="single" w:sz="4" w:space="0" w:color="auto"/>
              <w:right w:val="single" w:sz="4" w:space="0" w:color="auto"/>
            </w:tcBorders>
          </w:tcPr>
          <w:p w14:paraId="4236356C"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5</w:t>
            </w:r>
            <w:r>
              <w:rPr>
                <w:rFonts w:eastAsia="Times New Roman" w:cs="Arial"/>
                <w:b/>
                <w:color w:val="auto"/>
                <w:lang w:eastAsia="en-AU"/>
              </w:rPr>
              <w:t>,</w:t>
            </w:r>
            <w:r w:rsidRPr="00146401">
              <w:rPr>
                <w:rFonts w:eastAsia="Times New Roman" w:cs="Arial"/>
                <w:b/>
                <w:color w:val="auto"/>
                <w:lang w:eastAsia="en-AU"/>
              </w:rPr>
              <w:t>900</w:t>
            </w:r>
          </w:p>
        </w:tc>
      </w:tr>
      <w:tr w:rsidR="00EB4A8B" w:rsidRPr="00FC5C7E" w14:paraId="4212CC7E"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4E8BE4A1"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2009</w:t>
            </w:r>
          </w:p>
        </w:tc>
        <w:tc>
          <w:tcPr>
            <w:tcW w:w="731" w:type="pct"/>
            <w:tcBorders>
              <w:left w:val="single" w:sz="4" w:space="0" w:color="auto"/>
            </w:tcBorders>
            <w:shd w:val="clear" w:color="auto" w:fill="DBE5F1" w:themeFill="accent1" w:themeFillTint="33"/>
            <w:noWrap/>
            <w:hideMark/>
          </w:tcPr>
          <w:p w14:paraId="67CECD20"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w:t>
            </w:r>
            <w:r>
              <w:rPr>
                <w:rFonts w:eastAsia="Times New Roman" w:cs="Arial"/>
                <w:color w:val="000000"/>
                <w:lang w:eastAsia="en-AU"/>
              </w:rPr>
              <w:t>,</w:t>
            </w:r>
            <w:r w:rsidRPr="00146401">
              <w:rPr>
                <w:rFonts w:eastAsia="Times New Roman" w:cs="Arial"/>
                <w:color w:val="000000"/>
                <w:lang w:eastAsia="en-AU"/>
              </w:rPr>
              <w:t>824</w:t>
            </w:r>
          </w:p>
        </w:tc>
        <w:tc>
          <w:tcPr>
            <w:tcW w:w="384" w:type="pct"/>
            <w:tcBorders>
              <w:right w:val="single" w:sz="4" w:space="0" w:color="auto"/>
            </w:tcBorders>
            <w:shd w:val="clear" w:color="auto" w:fill="DBE5F1" w:themeFill="accent1" w:themeFillTint="33"/>
          </w:tcPr>
          <w:p w14:paraId="03A04043"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(71.2%)</w:t>
            </w:r>
          </w:p>
        </w:tc>
        <w:tc>
          <w:tcPr>
            <w:tcW w:w="569" w:type="pct"/>
            <w:shd w:val="clear" w:color="auto" w:fill="DBE5F1" w:themeFill="accent1" w:themeFillTint="33"/>
          </w:tcPr>
          <w:p w14:paraId="35CDF294"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951</w:t>
            </w:r>
          </w:p>
        </w:tc>
        <w:tc>
          <w:tcPr>
            <w:tcW w:w="384" w:type="pct"/>
            <w:shd w:val="clear" w:color="auto" w:fill="DBE5F1" w:themeFill="accent1" w:themeFillTint="33"/>
          </w:tcPr>
          <w:p w14:paraId="38DFDFFF"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(28.8%)</w:t>
            </w:r>
          </w:p>
        </w:tc>
        <w:tc>
          <w:tcPr>
            <w:tcW w:w="631" w:type="pct"/>
            <w:tcBorders>
              <w:left w:val="single" w:sz="4" w:space="0" w:color="auto"/>
            </w:tcBorders>
            <w:shd w:val="clear" w:color="auto" w:fill="DBE5F1" w:themeFill="accent1" w:themeFillTint="33"/>
            <w:noWrap/>
            <w:hideMark/>
          </w:tcPr>
          <w:p w14:paraId="7FA1175E"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002</w:t>
            </w:r>
          </w:p>
        </w:tc>
        <w:tc>
          <w:tcPr>
            <w:tcW w:w="384" w:type="pct"/>
            <w:tcBorders>
              <w:right w:val="single" w:sz="4" w:space="0" w:color="auto"/>
            </w:tcBorders>
            <w:shd w:val="clear" w:color="auto" w:fill="DBE5F1" w:themeFill="accent1" w:themeFillTint="33"/>
          </w:tcPr>
          <w:p w14:paraId="620A7A44"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(14.8%)</w:t>
            </w:r>
          </w:p>
        </w:tc>
        <w:tc>
          <w:tcPr>
            <w:tcW w:w="788" w:type="pct"/>
            <w:tcBorders>
              <w:left w:val="single" w:sz="4" w:space="0" w:color="auto"/>
            </w:tcBorders>
            <w:shd w:val="clear" w:color="auto" w:fill="DBE5F1" w:themeFill="accent1" w:themeFillTint="33"/>
            <w:noWrap/>
            <w:hideMark/>
          </w:tcPr>
          <w:p w14:paraId="47016C21"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949</w:t>
            </w:r>
          </w:p>
        </w:tc>
        <w:tc>
          <w:tcPr>
            <w:tcW w:w="427" w:type="pct"/>
            <w:tcBorders>
              <w:right w:val="single" w:sz="4" w:space="0" w:color="auto"/>
            </w:tcBorders>
            <w:shd w:val="clear" w:color="auto" w:fill="DBE5F1" w:themeFill="accent1" w:themeFillTint="33"/>
            <w:vAlign w:val="center"/>
          </w:tcPr>
          <w:p w14:paraId="1C9DF745"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14.01%</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7323DE44"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6</w:t>
            </w:r>
            <w:r>
              <w:rPr>
                <w:rFonts w:eastAsia="Times New Roman" w:cs="Arial"/>
                <w:b/>
                <w:color w:val="auto"/>
                <w:lang w:eastAsia="en-AU"/>
              </w:rPr>
              <w:t>,</w:t>
            </w:r>
            <w:r w:rsidRPr="00146401">
              <w:rPr>
                <w:rFonts w:eastAsia="Times New Roman" w:cs="Arial"/>
                <w:b/>
                <w:color w:val="auto"/>
                <w:lang w:eastAsia="en-AU"/>
              </w:rPr>
              <w:t>775</w:t>
            </w:r>
          </w:p>
        </w:tc>
      </w:tr>
      <w:tr w:rsidR="00EB4A8B" w:rsidRPr="00FC5C7E" w14:paraId="35BD93A7"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noWrap/>
          </w:tcPr>
          <w:p w14:paraId="663BC5ED"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2010</w:t>
            </w:r>
          </w:p>
        </w:tc>
        <w:tc>
          <w:tcPr>
            <w:tcW w:w="731" w:type="pct"/>
            <w:tcBorders>
              <w:left w:val="single" w:sz="4" w:space="0" w:color="auto"/>
            </w:tcBorders>
            <w:noWrap/>
            <w:hideMark/>
          </w:tcPr>
          <w:p w14:paraId="1E25123B"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5</w:t>
            </w:r>
            <w:r>
              <w:rPr>
                <w:rFonts w:eastAsia="Times New Roman" w:cs="Arial"/>
                <w:color w:val="000000"/>
                <w:lang w:eastAsia="en-AU"/>
              </w:rPr>
              <w:t>,</w:t>
            </w:r>
            <w:r w:rsidRPr="00146401">
              <w:rPr>
                <w:rFonts w:eastAsia="Times New Roman" w:cs="Arial"/>
                <w:color w:val="000000"/>
                <w:lang w:eastAsia="en-AU"/>
              </w:rPr>
              <w:t>493</w:t>
            </w:r>
          </w:p>
        </w:tc>
        <w:tc>
          <w:tcPr>
            <w:tcW w:w="384" w:type="pct"/>
            <w:tcBorders>
              <w:right w:val="single" w:sz="4" w:space="0" w:color="auto"/>
            </w:tcBorders>
          </w:tcPr>
          <w:p w14:paraId="0F3921F3"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(73.2%)</w:t>
            </w:r>
          </w:p>
        </w:tc>
        <w:tc>
          <w:tcPr>
            <w:tcW w:w="569" w:type="pct"/>
            <w:tcBorders>
              <w:right w:val="nil"/>
            </w:tcBorders>
          </w:tcPr>
          <w:p w14:paraId="1DD829D1"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w:t>
            </w:r>
            <w:r>
              <w:rPr>
                <w:rFonts w:eastAsia="Times New Roman" w:cs="Arial"/>
                <w:color w:val="000000"/>
                <w:lang w:eastAsia="en-AU"/>
              </w:rPr>
              <w:t>,</w:t>
            </w:r>
            <w:r w:rsidRPr="00146401">
              <w:rPr>
                <w:rFonts w:eastAsia="Times New Roman" w:cs="Arial"/>
                <w:color w:val="000000"/>
                <w:lang w:eastAsia="en-AU"/>
              </w:rPr>
              <w:t>008</w:t>
            </w:r>
          </w:p>
        </w:tc>
        <w:tc>
          <w:tcPr>
            <w:tcW w:w="384" w:type="pct"/>
            <w:tcBorders>
              <w:left w:val="nil"/>
            </w:tcBorders>
          </w:tcPr>
          <w:p w14:paraId="08C8F5CB"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(26.8%)</w:t>
            </w:r>
          </w:p>
        </w:tc>
        <w:tc>
          <w:tcPr>
            <w:tcW w:w="631" w:type="pct"/>
            <w:tcBorders>
              <w:left w:val="single" w:sz="4" w:space="0" w:color="auto"/>
            </w:tcBorders>
            <w:noWrap/>
            <w:hideMark/>
          </w:tcPr>
          <w:p w14:paraId="208A2F6F"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070</w:t>
            </w:r>
          </w:p>
        </w:tc>
        <w:tc>
          <w:tcPr>
            <w:tcW w:w="384" w:type="pct"/>
            <w:tcBorders>
              <w:right w:val="single" w:sz="4" w:space="0" w:color="auto"/>
            </w:tcBorders>
          </w:tcPr>
          <w:p w14:paraId="704A8220"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(14.3%)</w:t>
            </w:r>
          </w:p>
        </w:tc>
        <w:tc>
          <w:tcPr>
            <w:tcW w:w="788" w:type="pct"/>
            <w:tcBorders>
              <w:left w:val="single" w:sz="4" w:space="0" w:color="auto"/>
              <w:right w:val="nil"/>
            </w:tcBorders>
            <w:noWrap/>
            <w:hideMark/>
          </w:tcPr>
          <w:p w14:paraId="756EE66E"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938</w:t>
            </w:r>
          </w:p>
        </w:tc>
        <w:tc>
          <w:tcPr>
            <w:tcW w:w="427" w:type="pct"/>
            <w:tcBorders>
              <w:left w:val="nil"/>
              <w:right w:val="single" w:sz="4" w:space="0" w:color="auto"/>
            </w:tcBorders>
            <w:vAlign w:val="center"/>
          </w:tcPr>
          <w:p w14:paraId="3A8AFDE0"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12.50%</w:t>
            </w:r>
            <w:r>
              <w:rPr>
                <w:rFonts w:ascii="Calibri" w:hAnsi="Calibri"/>
                <w:color w:val="auto"/>
              </w:rPr>
              <w:t>)</w:t>
            </w:r>
          </w:p>
        </w:tc>
        <w:tc>
          <w:tcPr>
            <w:tcW w:w="352" w:type="pct"/>
            <w:tcBorders>
              <w:left w:val="single" w:sz="4" w:space="0" w:color="auto"/>
              <w:right w:val="single" w:sz="4" w:space="0" w:color="auto"/>
            </w:tcBorders>
          </w:tcPr>
          <w:p w14:paraId="013A5438"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7</w:t>
            </w:r>
            <w:r>
              <w:rPr>
                <w:rFonts w:eastAsia="Times New Roman" w:cs="Arial"/>
                <w:b/>
                <w:color w:val="auto"/>
                <w:lang w:eastAsia="en-AU"/>
              </w:rPr>
              <w:t>,</w:t>
            </w:r>
            <w:r w:rsidRPr="00146401">
              <w:rPr>
                <w:rFonts w:eastAsia="Times New Roman" w:cs="Arial"/>
                <w:b/>
                <w:color w:val="auto"/>
                <w:lang w:eastAsia="en-AU"/>
              </w:rPr>
              <w:t>501</w:t>
            </w:r>
          </w:p>
        </w:tc>
      </w:tr>
      <w:tr w:rsidR="00EB4A8B" w:rsidRPr="00FC5C7E" w14:paraId="758CA9BE"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right w:val="single" w:sz="4" w:space="0" w:color="auto"/>
            </w:tcBorders>
            <w:shd w:val="clear" w:color="auto" w:fill="DBE5F1" w:themeFill="accent1" w:themeFillTint="33"/>
            <w:noWrap/>
          </w:tcPr>
          <w:p w14:paraId="44D6470F"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2011</w:t>
            </w:r>
          </w:p>
        </w:tc>
        <w:tc>
          <w:tcPr>
            <w:tcW w:w="731" w:type="pct"/>
            <w:tcBorders>
              <w:left w:val="single" w:sz="4" w:space="0" w:color="auto"/>
            </w:tcBorders>
            <w:shd w:val="clear" w:color="auto" w:fill="DBE5F1" w:themeFill="accent1" w:themeFillTint="33"/>
            <w:noWrap/>
            <w:hideMark/>
          </w:tcPr>
          <w:p w14:paraId="6B70E423"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w:t>
            </w:r>
            <w:r>
              <w:rPr>
                <w:rFonts w:eastAsia="Times New Roman" w:cs="Arial"/>
                <w:color w:val="000000"/>
                <w:lang w:eastAsia="en-AU"/>
              </w:rPr>
              <w:t>,</w:t>
            </w:r>
            <w:r w:rsidRPr="00146401">
              <w:rPr>
                <w:rFonts w:eastAsia="Times New Roman" w:cs="Arial"/>
                <w:color w:val="000000"/>
                <w:lang w:eastAsia="en-AU"/>
              </w:rPr>
              <w:t>459</w:t>
            </w:r>
          </w:p>
        </w:tc>
        <w:tc>
          <w:tcPr>
            <w:tcW w:w="384" w:type="pct"/>
            <w:tcBorders>
              <w:right w:val="single" w:sz="4" w:space="0" w:color="auto"/>
            </w:tcBorders>
            <w:shd w:val="clear" w:color="auto" w:fill="DBE5F1" w:themeFill="accent1" w:themeFillTint="33"/>
          </w:tcPr>
          <w:p w14:paraId="64ECFCD0"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(72.2%)</w:t>
            </w:r>
          </w:p>
        </w:tc>
        <w:tc>
          <w:tcPr>
            <w:tcW w:w="569" w:type="pct"/>
            <w:shd w:val="clear" w:color="auto" w:fill="DBE5F1" w:themeFill="accent1" w:themeFillTint="33"/>
          </w:tcPr>
          <w:p w14:paraId="72AB9931"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w:t>
            </w:r>
            <w:r>
              <w:rPr>
                <w:rFonts w:eastAsia="Times New Roman" w:cs="Arial"/>
                <w:color w:val="000000"/>
                <w:lang w:eastAsia="en-AU"/>
              </w:rPr>
              <w:t>,</w:t>
            </w:r>
            <w:r w:rsidRPr="00146401">
              <w:rPr>
                <w:rFonts w:eastAsia="Times New Roman" w:cs="Arial"/>
                <w:color w:val="000000"/>
                <w:lang w:eastAsia="en-AU"/>
              </w:rPr>
              <w:t>481</w:t>
            </w:r>
          </w:p>
        </w:tc>
        <w:tc>
          <w:tcPr>
            <w:tcW w:w="384" w:type="pct"/>
            <w:shd w:val="clear" w:color="auto" w:fill="DBE5F1" w:themeFill="accent1" w:themeFillTint="33"/>
          </w:tcPr>
          <w:p w14:paraId="3C20E0A4"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(27.8%)</w:t>
            </w:r>
          </w:p>
        </w:tc>
        <w:tc>
          <w:tcPr>
            <w:tcW w:w="631" w:type="pct"/>
            <w:tcBorders>
              <w:left w:val="single" w:sz="4" w:space="0" w:color="auto"/>
            </w:tcBorders>
            <w:shd w:val="clear" w:color="auto" w:fill="DBE5F1" w:themeFill="accent1" w:themeFillTint="33"/>
            <w:noWrap/>
            <w:hideMark/>
          </w:tcPr>
          <w:p w14:paraId="5456C686"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374</w:t>
            </w:r>
          </w:p>
        </w:tc>
        <w:tc>
          <w:tcPr>
            <w:tcW w:w="384" w:type="pct"/>
            <w:tcBorders>
              <w:right w:val="single" w:sz="4" w:space="0" w:color="auto"/>
            </w:tcBorders>
            <w:shd w:val="clear" w:color="auto" w:fill="DBE5F1" w:themeFill="accent1" w:themeFillTint="33"/>
          </w:tcPr>
          <w:p w14:paraId="200ADF71"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(15.4%)</w:t>
            </w:r>
          </w:p>
        </w:tc>
        <w:tc>
          <w:tcPr>
            <w:tcW w:w="788" w:type="pct"/>
            <w:tcBorders>
              <w:left w:val="single" w:sz="4" w:space="0" w:color="auto"/>
            </w:tcBorders>
            <w:shd w:val="clear" w:color="auto" w:fill="DBE5F1" w:themeFill="accent1" w:themeFillTint="33"/>
            <w:noWrap/>
            <w:hideMark/>
          </w:tcPr>
          <w:p w14:paraId="5C2AC6F1"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107</w:t>
            </w:r>
          </w:p>
        </w:tc>
        <w:tc>
          <w:tcPr>
            <w:tcW w:w="427" w:type="pct"/>
            <w:tcBorders>
              <w:right w:val="single" w:sz="4" w:space="0" w:color="auto"/>
            </w:tcBorders>
            <w:shd w:val="clear" w:color="auto" w:fill="DBE5F1" w:themeFill="accent1" w:themeFillTint="33"/>
            <w:vAlign w:val="center"/>
          </w:tcPr>
          <w:p w14:paraId="701F0408"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12.38%</w:t>
            </w:r>
            <w:r>
              <w:rPr>
                <w:rFonts w:ascii="Calibri" w:hAnsi="Calibri"/>
                <w:color w:val="auto"/>
              </w:rPr>
              <w:t>)</w:t>
            </w:r>
          </w:p>
        </w:tc>
        <w:tc>
          <w:tcPr>
            <w:tcW w:w="352" w:type="pct"/>
            <w:tcBorders>
              <w:left w:val="single" w:sz="4" w:space="0" w:color="auto"/>
              <w:right w:val="single" w:sz="4" w:space="0" w:color="auto"/>
            </w:tcBorders>
            <w:shd w:val="clear" w:color="auto" w:fill="DBE5F1" w:themeFill="accent1" w:themeFillTint="33"/>
          </w:tcPr>
          <w:p w14:paraId="70EAAA1A" w14:textId="77777777" w:rsidR="00EB4A8B" w:rsidRPr="00146401"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8</w:t>
            </w:r>
            <w:r>
              <w:rPr>
                <w:rFonts w:eastAsia="Times New Roman" w:cs="Arial"/>
                <w:b/>
                <w:color w:val="auto"/>
                <w:lang w:eastAsia="en-AU"/>
              </w:rPr>
              <w:t>,</w:t>
            </w:r>
            <w:r w:rsidRPr="00146401">
              <w:rPr>
                <w:rFonts w:eastAsia="Times New Roman" w:cs="Arial"/>
                <w:b/>
                <w:color w:val="auto"/>
                <w:lang w:eastAsia="en-AU"/>
              </w:rPr>
              <w:t>940</w:t>
            </w:r>
          </w:p>
        </w:tc>
      </w:tr>
      <w:tr w:rsidR="00EB4A8B" w:rsidRPr="00FC5C7E" w14:paraId="4B7D0AB5"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2" w:type="pct"/>
            <w:tcBorders>
              <w:left w:val="single" w:sz="4" w:space="0" w:color="auto"/>
              <w:bottom w:val="single" w:sz="4" w:space="0" w:color="auto"/>
              <w:right w:val="single" w:sz="4" w:space="0" w:color="auto"/>
            </w:tcBorders>
            <w:noWrap/>
          </w:tcPr>
          <w:p w14:paraId="3058D96E" w14:textId="77777777" w:rsidR="00EB4A8B" w:rsidRPr="00FC5C7E" w:rsidRDefault="00EB4A8B"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2012</w:t>
            </w:r>
          </w:p>
        </w:tc>
        <w:tc>
          <w:tcPr>
            <w:tcW w:w="731" w:type="pct"/>
            <w:tcBorders>
              <w:left w:val="single" w:sz="4" w:space="0" w:color="auto"/>
              <w:bottom w:val="single" w:sz="4" w:space="0" w:color="auto"/>
            </w:tcBorders>
            <w:noWrap/>
            <w:hideMark/>
          </w:tcPr>
          <w:p w14:paraId="5B9A3118"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w:t>
            </w:r>
            <w:r>
              <w:rPr>
                <w:rFonts w:eastAsia="Times New Roman" w:cs="Arial"/>
                <w:color w:val="000000"/>
                <w:lang w:eastAsia="en-AU"/>
              </w:rPr>
              <w:t>,</w:t>
            </w:r>
            <w:r w:rsidRPr="00146401">
              <w:rPr>
                <w:rFonts w:eastAsia="Times New Roman" w:cs="Arial"/>
                <w:color w:val="000000"/>
                <w:lang w:eastAsia="en-AU"/>
              </w:rPr>
              <w:t>577</w:t>
            </w:r>
          </w:p>
        </w:tc>
        <w:tc>
          <w:tcPr>
            <w:tcW w:w="384" w:type="pct"/>
            <w:tcBorders>
              <w:bottom w:val="single" w:sz="4" w:space="0" w:color="auto"/>
              <w:right w:val="single" w:sz="4" w:space="0" w:color="auto"/>
            </w:tcBorders>
          </w:tcPr>
          <w:p w14:paraId="455A4148"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(72.7%)</w:t>
            </w:r>
          </w:p>
        </w:tc>
        <w:tc>
          <w:tcPr>
            <w:tcW w:w="569" w:type="pct"/>
            <w:tcBorders>
              <w:bottom w:val="single" w:sz="4" w:space="0" w:color="auto"/>
              <w:right w:val="nil"/>
            </w:tcBorders>
          </w:tcPr>
          <w:p w14:paraId="32873FA6"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w:t>
            </w:r>
            <w:r>
              <w:rPr>
                <w:rFonts w:eastAsia="Times New Roman" w:cs="Arial"/>
                <w:color w:val="000000"/>
                <w:lang w:eastAsia="en-AU"/>
              </w:rPr>
              <w:t>,</w:t>
            </w:r>
            <w:r w:rsidRPr="00146401">
              <w:rPr>
                <w:rFonts w:eastAsia="Times New Roman" w:cs="Arial"/>
                <w:color w:val="000000"/>
                <w:lang w:eastAsia="en-AU"/>
              </w:rPr>
              <w:t>840</w:t>
            </w:r>
          </w:p>
        </w:tc>
        <w:tc>
          <w:tcPr>
            <w:tcW w:w="384" w:type="pct"/>
            <w:tcBorders>
              <w:left w:val="nil"/>
              <w:bottom w:val="single" w:sz="4" w:space="0" w:color="auto"/>
            </w:tcBorders>
          </w:tcPr>
          <w:p w14:paraId="09A18AA4"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(27.3%)</w:t>
            </w:r>
          </w:p>
        </w:tc>
        <w:tc>
          <w:tcPr>
            <w:tcW w:w="631" w:type="pct"/>
            <w:tcBorders>
              <w:left w:val="single" w:sz="4" w:space="0" w:color="auto"/>
              <w:bottom w:val="single" w:sz="4" w:space="0" w:color="auto"/>
            </w:tcBorders>
            <w:noWrap/>
            <w:hideMark/>
          </w:tcPr>
          <w:p w14:paraId="1550660F"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515</w:t>
            </w:r>
          </w:p>
        </w:tc>
        <w:tc>
          <w:tcPr>
            <w:tcW w:w="384" w:type="pct"/>
            <w:tcBorders>
              <w:bottom w:val="single" w:sz="4" w:space="0" w:color="auto"/>
              <w:right w:val="single" w:sz="4" w:space="0" w:color="auto"/>
            </w:tcBorders>
          </w:tcPr>
          <w:p w14:paraId="486814EE"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(14.5%)</w:t>
            </w:r>
          </w:p>
        </w:tc>
        <w:tc>
          <w:tcPr>
            <w:tcW w:w="788" w:type="pct"/>
            <w:tcBorders>
              <w:left w:val="single" w:sz="4" w:space="0" w:color="auto"/>
              <w:bottom w:val="single" w:sz="4" w:space="0" w:color="auto"/>
              <w:right w:val="nil"/>
            </w:tcBorders>
            <w:noWrap/>
            <w:hideMark/>
          </w:tcPr>
          <w:p w14:paraId="5BF7D33D"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w:t>
            </w:r>
            <w:r>
              <w:rPr>
                <w:rFonts w:eastAsia="Times New Roman" w:cs="Arial"/>
                <w:color w:val="000000"/>
                <w:lang w:eastAsia="en-AU"/>
              </w:rPr>
              <w:t>,</w:t>
            </w:r>
            <w:r w:rsidRPr="00146401">
              <w:rPr>
                <w:rFonts w:eastAsia="Times New Roman" w:cs="Arial"/>
                <w:color w:val="000000"/>
                <w:lang w:eastAsia="en-AU"/>
              </w:rPr>
              <w:t>325</w:t>
            </w:r>
          </w:p>
        </w:tc>
        <w:tc>
          <w:tcPr>
            <w:tcW w:w="427" w:type="pct"/>
            <w:tcBorders>
              <w:left w:val="nil"/>
              <w:bottom w:val="single" w:sz="4" w:space="0" w:color="auto"/>
              <w:right w:val="single" w:sz="4" w:space="0" w:color="auto"/>
            </w:tcBorders>
            <w:vAlign w:val="center"/>
          </w:tcPr>
          <w:p w14:paraId="4D6FB0C3" w14:textId="77777777" w:rsidR="00EB4A8B" w:rsidRPr="00EB4A8B" w:rsidRDefault="00EB4A8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12.72%</w:t>
            </w:r>
            <w:r>
              <w:rPr>
                <w:rFonts w:ascii="Calibri" w:hAnsi="Calibri"/>
                <w:color w:val="auto"/>
              </w:rPr>
              <w:t>)</w:t>
            </w:r>
          </w:p>
        </w:tc>
        <w:tc>
          <w:tcPr>
            <w:tcW w:w="352" w:type="pct"/>
            <w:tcBorders>
              <w:left w:val="single" w:sz="4" w:space="0" w:color="auto"/>
              <w:bottom w:val="single" w:sz="4" w:space="0" w:color="auto"/>
              <w:right w:val="single" w:sz="4" w:space="0" w:color="auto"/>
            </w:tcBorders>
          </w:tcPr>
          <w:p w14:paraId="50DD0E5E" w14:textId="77777777" w:rsidR="00EB4A8B" w:rsidRPr="00146401" w:rsidRDefault="00EB4A8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10</w:t>
            </w:r>
            <w:r>
              <w:rPr>
                <w:rFonts w:eastAsia="Times New Roman" w:cs="Arial"/>
                <w:b/>
                <w:color w:val="auto"/>
                <w:lang w:eastAsia="en-AU"/>
              </w:rPr>
              <w:t>,</w:t>
            </w:r>
            <w:r w:rsidRPr="00146401">
              <w:rPr>
                <w:rFonts w:eastAsia="Times New Roman" w:cs="Arial"/>
                <w:b/>
                <w:color w:val="auto"/>
                <w:lang w:eastAsia="en-AU"/>
              </w:rPr>
              <w:t>417</w:t>
            </w:r>
          </w:p>
        </w:tc>
      </w:tr>
      <w:tr w:rsidR="002418F8" w:rsidRPr="00FC5C7E" w14:paraId="7D1F17E6" w14:textId="77777777" w:rsidTr="00B605C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1710A470" w14:textId="77777777" w:rsidR="00EB4A8B" w:rsidRPr="00FC5C7E" w:rsidRDefault="00EB4A8B" w:rsidP="00CE2FDF">
            <w:pPr>
              <w:tabs>
                <w:tab w:val="left" w:pos="1134"/>
              </w:tabs>
              <w:spacing w:before="0" w:line="276" w:lineRule="auto"/>
              <w:rPr>
                <w:rFonts w:eastAsia="Times New Roman" w:cs="Arial"/>
                <w:color w:val="auto"/>
                <w:lang w:eastAsia="en-AU"/>
              </w:rPr>
            </w:pPr>
            <w:r w:rsidRPr="00FC5C7E">
              <w:rPr>
                <w:rFonts w:eastAsia="Times New Roman" w:cs="Arial"/>
                <w:bCs w:val="0"/>
                <w:color w:val="auto"/>
                <w:lang w:eastAsia="en-AU"/>
              </w:rPr>
              <w:t>Totals:</w:t>
            </w:r>
          </w:p>
        </w:tc>
        <w:tc>
          <w:tcPr>
            <w:tcW w:w="731" w:type="pct"/>
            <w:tcBorders>
              <w:top w:val="single" w:sz="4" w:space="0" w:color="auto"/>
              <w:left w:val="single" w:sz="4" w:space="0" w:color="auto"/>
              <w:bottom w:val="single" w:sz="4" w:space="0" w:color="auto"/>
            </w:tcBorders>
            <w:shd w:val="clear" w:color="auto" w:fill="95B3D7" w:themeFill="accent1" w:themeFillTint="99"/>
            <w:noWrap/>
          </w:tcPr>
          <w:p w14:paraId="748118A1"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41</w:t>
            </w:r>
            <w:r>
              <w:rPr>
                <w:rFonts w:eastAsia="Times New Roman" w:cs="Arial"/>
                <w:b/>
                <w:color w:val="auto"/>
                <w:lang w:eastAsia="en-AU"/>
              </w:rPr>
              <w:t>,</w:t>
            </w:r>
            <w:r w:rsidRPr="00747CDE">
              <w:rPr>
                <w:rFonts w:eastAsia="Times New Roman" w:cs="Arial"/>
                <w:b/>
                <w:color w:val="auto"/>
                <w:lang w:eastAsia="en-AU"/>
              </w:rPr>
              <w:t>470</w:t>
            </w:r>
          </w:p>
        </w:tc>
        <w:tc>
          <w:tcPr>
            <w:tcW w:w="384" w:type="pct"/>
            <w:tcBorders>
              <w:top w:val="single" w:sz="4" w:space="0" w:color="auto"/>
              <w:bottom w:val="single" w:sz="4" w:space="0" w:color="auto"/>
              <w:right w:val="single" w:sz="4" w:space="0" w:color="auto"/>
            </w:tcBorders>
            <w:shd w:val="clear" w:color="auto" w:fill="95B3D7" w:themeFill="accent1" w:themeFillTint="99"/>
          </w:tcPr>
          <w:p w14:paraId="179ABE52"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(70.7%)</w:t>
            </w:r>
          </w:p>
        </w:tc>
        <w:tc>
          <w:tcPr>
            <w:tcW w:w="569" w:type="pct"/>
            <w:tcBorders>
              <w:top w:val="single" w:sz="4" w:space="0" w:color="auto"/>
              <w:bottom w:val="single" w:sz="4" w:space="0" w:color="auto"/>
            </w:tcBorders>
            <w:shd w:val="clear" w:color="auto" w:fill="95B3D7" w:themeFill="accent1" w:themeFillTint="99"/>
          </w:tcPr>
          <w:p w14:paraId="2683FD92"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17</w:t>
            </w:r>
            <w:r>
              <w:rPr>
                <w:rFonts w:eastAsia="Times New Roman" w:cs="Arial"/>
                <w:b/>
                <w:color w:val="auto"/>
                <w:lang w:eastAsia="en-AU"/>
              </w:rPr>
              <w:t>,</w:t>
            </w:r>
            <w:r w:rsidRPr="00747CDE">
              <w:rPr>
                <w:rFonts w:eastAsia="Times New Roman" w:cs="Arial"/>
                <w:b/>
                <w:color w:val="auto"/>
                <w:lang w:eastAsia="en-AU"/>
              </w:rPr>
              <w:t>168</w:t>
            </w:r>
          </w:p>
        </w:tc>
        <w:tc>
          <w:tcPr>
            <w:tcW w:w="384" w:type="pct"/>
            <w:tcBorders>
              <w:top w:val="single" w:sz="4" w:space="0" w:color="auto"/>
              <w:bottom w:val="single" w:sz="4" w:space="0" w:color="auto"/>
            </w:tcBorders>
            <w:shd w:val="clear" w:color="auto" w:fill="95B3D7" w:themeFill="accent1" w:themeFillTint="99"/>
          </w:tcPr>
          <w:p w14:paraId="30A3A334"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(29.3%)</w:t>
            </w:r>
          </w:p>
        </w:tc>
        <w:tc>
          <w:tcPr>
            <w:tcW w:w="631" w:type="pct"/>
            <w:tcBorders>
              <w:top w:val="single" w:sz="4" w:space="0" w:color="auto"/>
              <w:left w:val="single" w:sz="4" w:space="0" w:color="auto"/>
              <w:bottom w:val="single" w:sz="4" w:space="0" w:color="auto"/>
            </w:tcBorders>
            <w:shd w:val="clear" w:color="auto" w:fill="95B3D7" w:themeFill="accent1" w:themeFillTint="99"/>
            <w:noWrap/>
          </w:tcPr>
          <w:p w14:paraId="10B8E194"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9</w:t>
            </w:r>
            <w:r>
              <w:rPr>
                <w:rFonts w:eastAsia="Times New Roman" w:cs="Arial"/>
                <w:b/>
                <w:color w:val="auto"/>
                <w:lang w:eastAsia="en-AU"/>
              </w:rPr>
              <w:t>,</w:t>
            </w:r>
            <w:r w:rsidRPr="00747CDE">
              <w:rPr>
                <w:rFonts w:eastAsia="Times New Roman" w:cs="Arial"/>
                <w:b/>
                <w:color w:val="auto"/>
                <w:lang w:eastAsia="en-AU"/>
              </w:rPr>
              <w:t>611</w:t>
            </w:r>
          </w:p>
        </w:tc>
        <w:tc>
          <w:tcPr>
            <w:tcW w:w="384" w:type="pct"/>
            <w:tcBorders>
              <w:top w:val="single" w:sz="4" w:space="0" w:color="auto"/>
              <w:bottom w:val="single" w:sz="4" w:space="0" w:color="auto"/>
              <w:right w:val="single" w:sz="4" w:space="0" w:color="auto"/>
            </w:tcBorders>
            <w:shd w:val="clear" w:color="auto" w:fill="95B3D7" w:themeFill="accent1" w:themeFillTint="99"/>
          </w:tcPr>
          <w:p w14:paraId="1FB29C85"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(16.4%)</w:t>
            </w:r>
          </w:p>
        </w:tc>
        <w:tc>
          <w:tcPr>
            <w:tcW w:w="788" w:type="pct"/>
            <w:tcBorders>
              <w:top w:val="single" w:sz="4" w:space="0" w:color="auto"/>
              <w:left w:val="single" w:sz="4" w:space="0" w:color="auto"/>
              <w:bottom w:val="single" w:sz="4" w:space="0" w:color="auto"/>
            </w:tcBorders>
            <w:shd w:val="clear" w:color="auto" w:fill="95B3D7" w:themeFill="accent1" w:themeFillTint="99"/>
            <w:noWrap/>
          </w:tcPr>
          <w:p w14:paraId="222B652C"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7</w:t>
            </w:r>
            <w:r>
              <w:rPr>
                <w:rFonts w:eastAsia="Times New Roman" w:cs="Arial"/>
                <w:b/>
                <w:color w:val="auto"/>
                <w:lang w:eastAsia="en-AU"/>
              </w:rPr>
              <w:t>,</w:t>
            </w:r>
            <w:r w:rsidRPr="00747CDE">
              <w:rPr>
                <w:rFonts w:eastAsia="Times New Roman" w:cs="Arial"/>
                <w:b/>
                <w:color w:val="auto"/>
                <w:lang w:eastAsia="en-AU"/>
              </w:rPr>
              <w:t>557</w:t>
            </w:r>
          </w:p>
        </w:tc>
        <w:tc>
          <w:tcPr>
            <w:tcW w:w="427" w:type="pct"/>
            <w:tcBorders>
              <w:top w:val="single" w:sz="4" w:space="0" w:color="auto"/>
              <w:bottom w:val="single" w:sz="4" w:space="0" w:color="auto"/>
              <w:right w:val="single" w:sz="4" w:space="0" w:color="auto"/>
            </w:tcBorders>
            <w:shd w:val="clear" w:color="auto" w:fill="95B3D7" w:themeFill="accent1" w:themeFillTint="99"/>
            <w:vAlign w:val="center"/>
          </w:tcPr>
          <w:p w14:paraId="75D50E11" w14:textId="77777777" w:rsidR="00EB4A8B" w:rsidRPr="00EB4A8B" w:rsidRDefault="00EB4A8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EB4A8B">
              <w:rPr>
                <w:rFonts w:ascii="Calibri" w:hAnsi="Calibri"/>
                <w:color w:val="auto"/>
              </w:rPr>
              <w:t>12.89%</w:t>
            </w:r>
            <w:r>
              <w:rPr>
                <w:rFonts w:ascii="Calibri" w:hAnsi="Calibri"/>
                <w:color w:val="auto"/>
              </w:rPr>
              <w:t>)</w:t>
            </w:r>
          </w:p>
        </w:tc>
        <w:tc>
          <w:tcPr>
            <w:tcW w:w="352"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9898E27" w14:textId="77777777" w:rsidR="00EB4A8B" w:rsidRPr="00747CDE" w:rsidRDefault="00EB4A8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58</w:t>
            </w:r>
            <w:r>
              <w:rPr>
                <w:rFonts w:eastAsia="Times New Roman" w:cs="Arial"/>
                <w:b/>
                <w:color w:val="auto"/>
                <w:lang w:eastAsia="en-AU"/>
              </w:rPr>
              <w:t>,</w:t>
            </w:r>
            <w:r w:rsidRPr="00747CDE">
              <w:rPr>
                <w:rFonts w:eastAsia="Times New Roman" w:cs="Arial"/>
                <w:b/>
                <w:color w:val="auto"/>
                <w:lang w:eastAsia="en-AU"/>
              </w:rPr>
              <w:t>638</w:t>
            </w:r>
          </w:p>
        </w:tc>
      </w:tr>
    </w:tbl>
    <w:p w14:paraId="627602A3" w14:textId="77777777" w:rsidR="005D61DD" w:rsidRPr="0006220F" w:rsidRDefault="005D61DD" w:rsidP="005E613E">
      <w:pPr>
        <w:pStyle w:val="Heading6"/>
        <w:spacing w:before="240" w:after="240"/>
      </w:pPr>
      <w:r w:rsidRPr="0006220F">
        <w:t xml:space="preserve">Line graph for table 1.26.12: Reports by school personnel, by year, by outcome of reports </w:t>
      </w:r>
    </w:p>
    <w:p w14:paraId="64501176" w14:textId="2D0D0574" w:rsidR="005D61DD" w:rsidRDefault="00CD1101" w:rsidP="00064056">
      <w:pPr>
        <w:pStyle w:val="Figureheading"/>
      </w:pPr>
      <w:r w:rsidRPr="00CD1101">
        <w:rPr>
          <w:noProof/>
          <w:lang w:eastAsia="en-AU"/>
        </w:rPr>
        <w:drawing>
          <wp:inline distT="0" distB="0" distL="0" distR="0" wp14:anchorId="2E5BA697" wp14:editId="0ABEC385">
            <wp:extent cx="9239250" cy="2085975"/>
            <wp:effectExtent l="0" t="0" r="0" b="9525"/>
            <wp:docPr id="30" name="Chart 26" descr="Shows investigations of abuse reports by schools declined from 36.8% in 2003 to 26.8% in 2010 and 27.3% in 2012. " title="Line graph for table 1.2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80128E">
        <w:br w:type="page"/>
      </w:r>
      <w:bookmarkStart w:id="84" w:name="_Toc382206759"/>
      <w:r w:rsidR="005D61DD" w:rsidRPr="00064056">
        <w:lastRenderedPageBreak/>
        <w:t>1.26.13</w:t>
      </w:r>
      <w:r w:rsidR="005D61DD" w:rsidRPr="00064056">
        <w:tab/>
        <w:t>Reports by psychiatrists, by year, by abuse type (number and percentage)</w:t>
      </w:r>
    </w:p>
    <w:bookmarkEnd w:id="84"/>
    <w:tbl>
      <w:tblPr>
        <w:tblStyle w:val="LightShading-Accent120"/>
        <w:tblW w:w="5000" w:type="pct"/>
        <w:tblLook w:val="04A0" w:firstRow="1" w:lastRow="0" w:firstColumn="1" w:lastColumn="0" w:noHBand="0" w:noVBand="1"/>
        <w:tblCaption w:val="Reports by psychiatrists, by year, by abuse type (number and percentage)"/>
      </w:tblPr>
      <w:tblGrid>
        <w:gridCol w:w="1139"/>
        <w:gridCol w:w="2389"/>
        <w:gridCol w:w="1245"/>
        <w:gridCol w:w="1248"/>
        <w:gridCol w:w="1245"/>
        <w:gridCol w:w="2117"/>
        <w:gridCol w:w="1245"/>
        <w:gridCol w:w="1928"/>
        <w:gridCol w:w="1245"/>
        <w:gridCol w:w="985"/>
      </w:tblGrid>
      <w:tr w:rsidR="002418F8" w:rsidRPr="00F15FE1" w14:paraId="33A784CD" w14:textId="77777777" w:rsidTr="00B605CE">
        <w:trPr>
          <w:cnfStyle w:val="100000000000" w:firstRow="1" w:lastRow="0" w:firstColumn="0" w:lastColumn="0" w:oddVBand="0" w:evenVBand="0" w:oddHBand="0" w:evenHBand="0" w:firstRowFirstColumn="0" w:firstRowLastColumn="0" w:lastRowFirstColumn="0" w:lastRowLastColumn="0"/>
          <w:trHeight w:val="134"/>
          <w:tblHeader/>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EBACB6F" w14:textId="77777777" w:rsidR="00CD1101" w:rsidRPr="00106F64" w:rsidRDefault="00CD1101" w:rsidP="00CE2FDF">
            <w:pPr>
              <w:tabs>
                <w:tab w:val="left" w:pos="1134"/>
              </w:tabs>
              <w:spacing w:before="0" w:line="276" w:lineRule="auto"/>
              <w:rPr>
                <w:rFonts w:ascii="Calibri" w:eastAsia="Times New Roman" w:hAnsi="Calibri" w:cs="Arial"/>
                <w:bCs w:val="0"/>
                <w:color w:val="000000"/>
                <w:lang w:eastAsia="en-AU"/>
              </w:rPr>
            </w:pPr>
          </w:p>
        </w:tc>
        <w:tc>
          <w:tcPr>
            <w:tcW w:w="808" w:type="pct"/>
            <w:tcBorders>
              <w:top w:val="single" w:sz="4" w:space="0" w:color="auto"/>
              <w:left w:val="single" w:sz="4" w:space="0" w:color="auto"/>
              <w:bottom w:val="single" w:sz="4" w:space="0" w:color="auto"/>
            </w:tcBorders>
            <w:shd w:val="clear" w:color="auto" w:fill="95B3D7" w:themeFill="accent1" w:themeFillTint="99"/>
            <w:vAlign w:val="center"/>
            <w:hideMark/>
          </w:tcPr>
          <w:p w14:paraId="0F1B4CED" w14:textId="77777777" w:rsidR="00CD1101" w:rsidRPr="00F15FE1"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F15FE1">
              <w:rPr>
                <w:rFonts w:ascii="Calibri" w:eastAsia="Times New Roman" w:hAnsi="Calibri" w:cs="Arial"/>
                <w:bCs w:val="0"/>
                <w:color w:val="000000"/>
                <w:lang w:eastAsia="en-AU"/>
              </w:rPr>
              <w:t>Emotional</w:t>
            </w:r>
            <w:r w:rsidR="00736DDB">
              <w:rPr>
                <w:rFonts w:ascii="Calibri" w:eastAsia="Times New Roman" w:hAnsi="Calibri" w:cs="Arial"/>
                <w:bCs w:val="0"/>
                <w:color w:val="000000"/>
                <w:lang w:eastAsia="en-AU"/>
              </w:rPr>
              <w:t xml:space="preserve"> abuse</w:t>
            </w:r>
          </w:p>
        </w:tc>
        <w:tc>
          <w:tcPr>
            <w:tcW w:w="421" w:type="pct"/>
            <w:tcBorders>
              <w:top w:val="single" w:sz="4" w:space="0" w:color="auto"/>
              <w:bottom w:val="single" w:sz="4" w:space="0" w:color="auto"/>
              <w:right w:val="single" w:sz="4" w:space="0" w:color="auto"/>
            </w:tcBorders>
            <w:shd w:val="clear" w:color="auto" w:fill="95B3D7" w:themeFill="accent1" w:themeFillTint="99"/>
            <w:vAlign w:val="center"/>
          </w:tcPr>
          <w:p w14:paraId="2562CD48" w14:textId="77777777" w:rsidR="00CD1101" w:rsidRPr="00FE3A23"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422" w:type="pct"/>
            <w:tcBorders>
              <w:top w:val="single" w:sz="4" w:space="0" w:color="auto"/>
              <w:left w:val="single" w:sz="4" w:space="0" w:color="auto"/>
              <w:bottom w:val="single" w:sz="4" w:space="0" w:color="auto"/>
            </w:tcBorders>
            <w:shd w:val="clear" w:color="auto" w:fill="95B3D7" w:themeFill="accent1" w:themeFillTint="99"/>
            <w:vAlign w:val="center"/>
            <w:hideMark/>
          </w:tcPr>
          <w:p w14:paraId="5A6A0AF0" w14:textId="77777777" w:rsidR="00CD1101" w:rsidRPr="00F15FE1"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F15FE1">
              <w:rPr>
                <w:rFonts w:ascii="Calibri" w:eastAsia="Times New Roman" w:hAnsi="Calibri" w:cs="Arial"/>
                <w:bCs w:val="0"/>
                <w:color w:val="000000"/>
                <w:lang w:eastAsia="en-AU"/>
              </w:rPr>
              <w:t>Neglect</w:t>
            </w:r>
          </w:p>
        </w:tc>
        <w:tc>
          <w:tcPr>
            <w:tcW w:w="421" w:type="pct"/>
            <w:tcBorders>
              <w:top w:val="single" w:sz="4" w:space="0" w:color="auto"/>
              <w:bottom w:val="single" w:sz="4" w:space="0" w:color="auto"/>
              <w:right w:val="single" w:sz="4" w:space="0" w:color="auto"/>
            </w:tcBorders>
            <w:shd w:val="clear" w:color="auto" w:fill="95B3D7" w:themeFill="accent1" w:themeFillTint="99"/>
            <w:vAlign w:val="center"/>
          </w:tcPr>
          <w:p w14:paraId="3132737A" w14:textId="77777777" w:rsidR="00CD1101" w:rsidRPr="00FE3A23"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716" w:type="pct"/>
            <w:tcBorders>
              <w:top w:val="single" w:sz="4" w:space="0" w:color="auto"/>
              <w:left w:val="single" w:sz="4" w:space="0" w:color="auto"/>
              <w:bottom w:val="single" w:sz="4" w:space="0" w:color="auto"/>
            </w:tcBorders>
            <w:shd w:val="clear" w:color="auto" w:fill="95B3D7" w:themeFill="accent1" w:themeFillTint="99"/>
            <w:vAlign w:val="center"/>
            <w:hideMark/>
          </w:tcPr>
          <w:p w14:paraId="7784E470" w14:textId="77777777" w:rsidR="00CD1101" w:rsidRPr="00F15FE1"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F15FE1">
              <w:rPr>
                <w:rFonts w:ascii="Calibri" w:eastAsia="Times New Roman" w:hAnsi="Calibri" w:cs="Arial"/>
                <w:bCs w:val="0"/>
                <w:color w:val="000000"/>
                <w:lang w:eastAsia="en-AU"/>
              </w:rPr>
              <w:t>Physical</w:t>
            </w:r>
            <w:r w:rsidR="00736DDB">
              <w:rPr>
                <w:rFonts w:ascii="Calibri" w:eastAsia="Times New Roman" w:hAnsi="Calibri" w:cs="Arial"/>
                <w:bCs w:val="0"/>
                <w:color w:val="000000"/>
                <w:lang w:eastAsia="en-AU"/>
              </w:rPr>
              <w:t xml:space="preserve"> abuse</w:t>
            </w:r>
          </w:p>
        </w:tc>
        <w:tc>
          <w:tcPr>
            <w:tcW w:w="421" w:type="pct"/>
            <w:tcBorders>
              <w:top w:val="single" w:sz="4" w:space="0" w:color="auto"/>
              <w:bottom w:val="single" w:sz="4" w:space="0" w:color="auto"/>
              <w:right w:val="single" w:sz="4" w:space="0" w:color="auto"/>
            </w:tcBorders>
            <w:shd w:val="clear" w:color="auto" w:fill="95B3D7" w:themeFill="accent1" w:themeFillTint="99"/>
            <w:vAlign w:val="center"/>
          </w:tcPr>
          <w:p w14:paraId="403C83B7" w14:textId="77777777" w:rsidR="00CD1101" w:rsidRPr="00FE3A23"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652" w:type="pct"/>
            <w:tcBorders>
              <w:top w:val="single" w:sz="4" w:space="0" w:color="auto"/>
              <w:left w:val="single" w:sz="4" w:space="0" w:color="auto"/>
              <w:bottom w:val="single" w:sz="4" w:space="0" w:color="auto"/>
            </w:tcBorders>
            <w:shd w:val="clear" w:color="auto" w:fill="95B3D7" w:themeFill="accent1" w:themeFillTint="99"/>
            <w:vAlign w:val="center"/>
            <w:hideMark/>
          </w:tcPr>
          <w:p w14:paraId="6C95D407" w14:textId="77777777" w:rsidR="00CD1101" w:rsidRPr="00F15FE1"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sidRPr="00F15FE1">
              <w:rPr>
                <w:rFonts w:ascii="Calibri" w:eastAsia="Times New Roman" w:hAnsi="Calibri" w:cs="Arial"/>
                <w:bCs w:val="0"/>
                <w:color w:val="000000"/>
                <w:lang w:eastAsia="en-AU"/>
              </w:rPr>
              <w:t>Sexual</w:t>
            </w:r>
            <w:r w:rsidR="00736DDB">
              <w:rPr>
                <w:rFonts w:ascii="Calibri" w:eastAsia="Times New Roman" w:hAnsi="Calibri" w:cs="Arial"/>
                <w:bCs w:val="0"/>
                <w:color w:val="000000"/>
                <w:lang w:eastAsia="en-AU"/>
              </w:rPr>
              <w:t xml:space="preserve"> abuse</w:t>
            </w:r>
          </w:p>
        </w:tc>
        <w:tc>
          <w:tcPr>
            <w:tcW w:w="421" w:type="pct"/>
            <w:tcBorders>
              <w:top w:val="single" w:sz="4" w:space="0" w:color="auto"/>
              <w:bottom w:val="single" w:sz="4" w:space="0" w:color="auto"/>
              <w:right w:val="single" w:sz="4" w:space="0" w:color="auto"/>
            </w:tcBorders>
            <w:shd w:val="clear" w:color="auto" w:fill="95B3D7" w:themeFill="accent1" w:themeFillTint="99"/>
            <w:vAlign w:val="center"/>
          </w:tcPr>
          <w:p w14:paraId="4AF3F47F" w14:textId="77777777" w:rsidR="00CD1101" w:rsidRPr="00FE3A23"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lang w:eastAsia="en-AU"/>
              </w:rPr>
            </w:pPr>
            <w:r>
              <w:rPr>
                <w:rFonts w:ascii="Calibri" w:eastAsia="Times New Roman" w:hAnsi="Calibri" w:cs="Arial"/>
                <w:bCs w:val="0"/>
                <w:color w:val="000000"/>
                <w:lang w:eastAsia="en-AU"/>
              </w:rPr>
              <w:t>%</w:t>
            </w:r>
          </w:p>
        </w:tc>
        <w:tc>
          <w:tcPr>
            <w:tcW w:w="333"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BF791F8" w14:textId="77777777" w:rsidR="00CD1101" w:rsidRPr="00106F64" w:rsidRDefault="00CD1101"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auto"/>
                <w:lang w:eastAsia="en-AU"/>
              </w:rPr>
            </w:pPr>
            <w:r w:rsidRPr="00106F64">
              <w:rPr>
                <w:rFonts w:ascii="Calibri" w:eastAsia="Times New Roman" w:hAnsi="Calibri" w:cs="Arial"/>
                <w:bCs w:val="0"/>
                <w:color w:val="auto"/>
                <w:lang w:eastAsia="en-AU"/>
              </w:rPr>
              <w:t>Total</w:t>
            </w:r>
          </w:p>
        </w:tc>
      </w:tr>
      <w:tr w:rsidR="00561E44" w:rsidRPr="00146401" w14:paraId="7713214D"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right w:val="single" w:sz="4" w:space="0" w:color="auto"/>
            </w:tcBorders>
            <w:noWrap/>
            <w:hideMark/>
          </w:tcPr>
          <w:p w14:paraId="3C9E7EAB"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2003</w:t>
            </w:r>
          </w:p>
        </w:tc>
        <w:tc>
          <w:tcPr>
            <w:tcW w:w="808" w:type="pct"/>
            <w:tcBorders>
              <w:top w:val="single" w:sz="4" w:space="0" w:color="auto"/>
              <w:left w:val="single" w:sz="4" w:space="0" w:color="auto"/>
            </w:tcBorders>
            <w:noWrap/>
            <w:hideMark/>
          </w:tcPr>
          <w:p w14:paraId="276E49ED"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75</w:t>
            </w:r>
          </w:p>
        </w:tc>
        <w:tc>
          <w:tcPr>
            <w:tcW w:w="421" w:type="pct"/>
            <w:tcBorders>
              <w:top w:val="single" w:sz="4" w:space="0" w:color="auto"/>
              <w:right w:val="single" w:sz="4" w:space="0" w:color="auto"/>
            </w:tcBorders>
          </w:tcPr>
          <w:p w14:paraId="4D16E0D7"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(50%)</w:t>
            </w:r>
          </w:p>
        </w:tc>
        <w:tc>
          <w:tcPr>
            <w:tcW w:w="422" w:type="pct"/>
            <w:tcBorders>
              <w:top w:val="single" w:sz="4" w:space="0" w:color="auto"/>
              <w:left w:val="single" w:sz="4" w:space="0" w:color="auto"/>
            </w:tcBorders>
            <w:noWrap/>
            <w:hideMark/>
          </w:tcPr>
          <w:p w14:paraId="01BC667C"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23</w:t>
            </w:r>
          </w:p>
        </w:tc>
        <w:tc>
          <w:tcPr>
            <w:tcW w:w="421" w:type="pct"/>
            <w:tcBorders>
              <w:top w:val="single" w:sz="4" w:space="0" w:color="auto"/>
              <w:right w:val="single" w:sz="4" w:space="0" w:color="auto"/>
            </w:tcBorders>
          </w:tcPr>
          <w:p w14:paraId="33B45660"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(15.3%)</w:t>
            </w:r>
          </w:p>
        </w:tc>
        <w:tc>
          <w:tcPr>
            <w:tcW w:w="716" w:type="pct"/>
            <w:tcBorders>
              <w:top w:val="single" w:sz="4" w:space="0" w:color="auto"/>
              <w:left w:val="single" w:sz="4" w:space="0" w:color="auto"/>
            </w:tcBorders>
            <w:noWrap/>
            <w:hideMark/>
          </w:tcPr>
          <w:p w14:paraId="2862649D"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23</w:t>
            </w:r>
          </w:p>
        </w:tc>
        <w:tc>
          <w:tcPr>
            <w:tcW w:w="421" w:type="pct"/>
            <w:tcBorders>
              <w:top w:val="single" w:sz="4" w:space="0" w:color="auto"/>
              <w:right w:val="single" w:sz="4" w:space="0" w:color="auto"/>
            </w:tcBorders>
          </w:tcPr>
          <w:p w14:paraId="61BAAD4E"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(15.3%)</w:t>
            </w:r>
          </w:p>
        </w:tc>
        <w:tc>
          <w:tcPr>
            <w:tcW w:w="652" w:type="pct"/>
            <w:tcBorders>
              <w:top w:val="single" w:sz="4" w:space="0" w:color="auto"/>
              <w:left w:val="single" w:sz="4" w:space="0" w:color="auto"/>
            </w:tcBorders>
            <w:noWrap/>
            <w:hideMark/>
          </w:tcPr>
          <w:p w14:paraId="5197741C"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29</w:t>
            </w:r>
          </w:p>
        </w:tc>
        <w:tc>
          <w:tcPr>
            <w:tcW w:w="421" w:type="pct"/>
            <w:tcBorders>
              <w:top w:val="single" w:sz="4" w:space="0" w:color="auto"/>
              <w:right w:val="single" w:sz="4" w:space="0" w:color="auto"/>
            </w:tcBorders>
          </w:tcPr>
          <w:p w14:paraId="3A4E29CB"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(19.3%)</w:t>
            </w:r>
          </w:p>
        </w:tc>
        <w:tc>
          <w:tcPr>
            <w:tcW w:w="333" w:type="pct"/>
            <w:tcBorders>
              <w:top w:val="single" w:sz="4" w:space="0" w:color="auto"/>
              <w:left w:val="single" w:sz="4" w:space="0" w:color="auto"/>
              <w:right w:val="single" w:sz="4" w:space="0" w:color="auto"/>
            </w:tcBorders>
            <w:noWrap/>
            <w:hideMark/>
          </w:tcPr>
          <w:p w14:paraId="63A61F7E"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150</w:t>
            </w:r>
          </w:p>
        </w:tc>
      </w:tr>
      <w:tr w:rsidR="00CD1101" w:rsidRPr="00146401" w14:paraId="2495ECC9"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5" w:type="pct"/>
            <w:tcBorders>
              <w:left w:val="single" w:sz="4" w:space="0" w:color="auto"/>
              <w:right w:val="single" w:sz="4" w:space="0" w:color="auto"/>
            </w:tcBorders>
            <w:noWrap/>
            <w:hideMark/>
          </w:tcPr>
          <w:p w14:paraId="33F182D5"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2004</w:t>
            </w:r>
          </w:p>
        </w:tc>
        <w:tc>
          <w:tcPr>
            <w:tcW w:w="808" w:type="pct"/>
            <w:tcBorders>
              <w:left w:val="single" w:sz="4" w:space="0" w:color="auto"/>
            </w:tcBorders>
            <w:noWrap/>
            <w:hideMark/>
          </w:tcPr>
          <w:p w14:paraId="5334E298"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105</w:t>
            </w:r>
          </w:p>
        </w:tc>
        <w:tc>
          <w:tcPr>
            <w:tcW w:w="421" w:type="pct"/>
            <w:tcBorders>
              <w:right w:val="single" w:sz="4" w:space="0" w:color="auto"/>
            </w:tcBorders>
          </w:tcPr>
          <w:p w14:paraId="2EE5CA6B"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(47.9%)</w:t>
            </w:r>
          </w:p>
        </w:tc>
        <w:tc>
          <w:tcPr>
            <w:tcW w:w="422" w:type="pct"/>
            <w:tcBorders>
              <w:left w:val="single" w:sz="4" w:space="0" w:color="auto"/>
            </w:tcBorders>
            <w:noWrap/>
            <w:hideMark/>
          </w:tcPr>
          <w:p w14:paraId="4093459C"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23</w:t>
            </w:r>
          </w:p>
        </w:tc>
        <w:tc>
          <w:tcPr>
            <w:tcW w:w="421" w:type="pct"/>
            <w:tcBorders>
              <w:right w:val="single" w:sz="4" w:space="0" w:color="auto"/>
            </w:tcBorders>
          </w:tcPr>
          <w:p w14:paraId="6CE24A3C"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(10.5%)</w:t>
            </w:r>
          </w:p>
        </w:tc>
        <w:tc>
          <w:tcPr>
            <w:tcW w:w="716" w:type="pct"/>
            <w:tcBorders>
              <w:left w:val="single" w:sz="4" w:space="0" w:color="auto"/>
            </w:tcBorders>
            <w:noWrap/>
            <w:hideMark/>
          </w:tcPr>
          <w:p w14:paraId="4046D476"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68</w:t>
            </w:r>
          </w:p>
        </w:tc>
        <w:tc>
          <w:tcPr>
            <w:tcW w:w="421" w:type="pct"/>
            <w:tcBorders>
              <w:right w:val="single" w:sz="4" w:space="0" w:color="auto"/>
            </w:tcBorders>
          </w:tcPr>
          <w:p w14:paraId="785185A9"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(31.1%)</w:t>
            </w:r>
          </w:p>
        </w:tc>
        <w:tc>
          <w:tcPr>
            <w:tcW w:w="652" w:type="pct"/>
            <w:tcBorders>
              <w:left w:val="single" w:sz="4" w:space="0" w:color="auto"/>
            </w:tcBorders>
            <w:noWrap/>
            <w:hideMark/>
          </w:tcPr>
          <w:p w14:paraId="6A819995"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23</w:t>
            </w:r>
          </w:p>
        </w:tc>
        <w:tc>
          <w:tcPr>
            <w:tcW w:w="421" w:type="pct"/>
            <w:tcBorders>
              <w:right w:val="single" w:sz="4" w:space="0" w:color="auto"/>
            </w:tcBorders>
          </w:tcPr>
          <w:p w14:paraId="08EDC645"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(10.5%)</w:t>
            </w:r>
          </w:p>
        </w:tc>
        <w:tc>
          <w:tcPr>
            <w:tcW w:w="333" w:type="pct"/>
            <w:tcBorders>
              <w:left w:val="single" w:sz="4" w:space="0" w:color="auto"/>
              <w:right w:val="single" w:sz="4" w:space="0" w:color="auto"/>
            </w:tcBorders>
            <w:noWrap/>
            <w:hideMark/>
          </w:tcPr>
          <w:p w14:paraId="24DBF014"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219</w:t>
            </w:r>
          </w:p>
        </w:tc>
      </w:tr>
      <w:tr w:rsidR="00CD1101" w:rsidRPr="00146401" w14:paraId="02E2E35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tcBorders>
              <w:left w:val="single" w:sz="4" w:space="0" w:color="auto"/>
              <w:right w:val="single" w:sz="4" w:space="0" w:color="auto"/>
            </w:tcBorders>
            <w:noWrap/>
            <w:hideMark/>
          </w:tcPr>
          <w:p w14:paraId="26A9935E"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2005</w:t>
            </w:r>
          </w:p>
        </w:tc>
        <w:tc>
          <w:tcPr>
            <w:tcW w:w="808" w:type="pct"/>
            <w:tcBorders>
              <w:left w:val="single" w:sz="4" w:space="0" w:color="auto"/>
            </w:tcBorders>
            <w:noWrap/>
            <w:hideMark/>
          </w:tcPr>
          <w:p w14:paraId="52874767"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61</w:t>
            </w:r>
          </w:p>
        </w:tc>
        <w:tc>
          <w:tcPr>
            <w:tcW w:w="421" w:type="pct"/>
            <w:tcBorders>
              <w:right w:val="single" w:sz="4" w:space="0" w:color="auto"/>
            </w:tcBorders>
          </w:tcPr>
          <w:p w14:paraId="2ACB147C"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(45.2%)</w:t>
            </w:r>
          </w:p>
        </w:tc>
        <w:tc>
          <w:tcPr>
            <w:tcW w:w="422" w:type="pct"/>
            <w:tcBorders>
              <w:left w:val="single" w:sz="4" w:space="0" w:color="auto"/>
            </w:tcBorders>
            <w:noWrap/>
            <w:hideMark/>
          </w:tcPr>
          <w:p w14:paraId="4BDD9943"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29</w:t>
            </w:r>
          </w:p>
        </w:tc>
        <w:tc>
          <w:tcPr>
            <w:tcW w:w="421" w:type="pct"/>
            <w:tcBorders>
              <w:right w:val="single" w:sz="4" w:space="0" w:color="auto"/>
            </w:tcBorders>
          </w:tcPr>
          <w:p w14:paraId="0F4D6C5F"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(21.5%)</w:t>
            </w:r>
          </w:p>
        </w:tc>
        <w:tc>
          <w:tcPr>
            <w:tcW w:w="716" w:type="pct"/>
            <w:tcBorders>
              <w:left w:val="single" w:sz="4" w:space="0" w:color="auto"/>
            </w:tcBorders>
            <w:noWrap/>
            <w:hideMark/>
          </w:tcPr>
          <w:p w14:paraId="28432180"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27</w:t>
            </w:r>
          </w:p>
        </w:tc>
        <w:tc>
          <w:tcPr>
            <w:tcW w:w="421" w:type="pct"/>
            <w:tcBorders>
              <w:right w:val="single" w:sz="4" w:space="0" w:color="auto"/>
            </w:tcBorders>
          </w:tcPr>
          <w:p w14:paraId="3268ECB0"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(20%)</w:t>
            </w:r>
          </w:p>
        </w:tc>
        <w:tc>
          <w:tcPr>
            <w:tcW w:w="652" w:type="pct"/>
            <w:tcBorders>
              <w:left w:val="single" w:sz="4" w:space="0" w:color="auto"/>
            </w:tcBorders>
            <w:noWrap/>
            <w:hideMark/>
          </w:tcPr>
          <w:p w14:paraId="7E4CF6D2"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18</w:t>
            </w:r>
          </w:p>
        </w:tc>
        <w:tc>
          <w:tcPr>
            <w:tcW w:w="421" w:type="pct"/>
            <w:tcBorders>
              <w:right w:val="single" w:sz="4" w:space="0" w:color="auto"/>
            </w:tcBorders>
          </w:tcPr>
          <w:p w14:paraId="69A5E327"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(13.3%)</w:t>
            </w:r>
          </w:p>
        </w:tc>
        <w:tc>
          <w:tcPr>
            <w:tcW w:w="333" w:type="pct"/>
            <w:tcBorders>
              <w:left w:val="single" w:sz="4" w:space="0" w:color="auto"/>
              <w:right w:val="single" w:sz="4" w:space="0" w:color="auto"/>
            </w:tcBorders>
            <w:noWrap/>
            <w:hideMark/>
          </w:tcPr>
          <w:p w14:paraId="1C083B97"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135</w:t>
            </w:r>
          </w:p>
        </w:tc>
      </w:tr>
      <w:tr w:rsidR="00CD1101" w:rsidRPr="00146401" w14:paraId="4CE46DEF"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5" w:type="pct"/>
            <w:tcBorders>
              <w:left w:val="single" w:sz="4" w:space="0" w:color="auto"/>
              <w:right w:val="single" w:sz="4" w:space="0" w:color="auto"/>
            </w:tcBorders>
            <w:noWrap/>
            <w:hideMark/>
          </w:tcPr>
          <w:p w14:paraId="5537CE54"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2006</w:t>
            </w:r>
          </w:p>
        </w:tc>
        <w:tc>
          <w:tcPr>
            <w:tcW w:w="808" w:type="pct"/>
            <w:tcBorders>
              <w:left w:val="single" w:sz="4" w:space="0" w:color="auto"/>
            </w:tcBorders>
            <w:noWrap/>
            <w:hideMark/>
          </w:tcPr>
          <w:p w14:paraId="58F34AED"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77</w:t>
            </w:r>
          </w:p>
        </w:tc>
        <w:tc>
          <w:tcPr>
            <w:tcW w:w="421" w:type="pct"/>
            <w:tcBorders>
              <w:right w:val="single" w:sz="4" w:space="0" w:color="auto"/>
            </w:tcBorders>
          </w:tcPr>
          <w:p w14:paraId="088E51D9"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(39.5%)</w:t>
            </w:r>
          </w:p>
        </w:tc>
        <w:tc>
          <w:tcPr>
            <w:tcW w:w="422" w:type="pct"/>
            <w:tcBorders>
              <w:left w:val="single" w:sz="4" w:space="0" w:color="auto"/>
            </w:tcBorders>
            <w:noWrap/>
            <w:hideMark/>
          </w:tcPr>
          <w:p w14:paraId="56E6ACF3"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27</w:t>
            </w:r>
          </w:p>
        </w:tc>
        <w:tc>
          <w:tcPr>
            <w:tcW w:w="421" w:type="pct"/>
            <w:tcBorders>
              <w:right w:val="single" w:sz="4" w:space="0" w:color="auto"/>
            </w:tcBorders>
          </w:tcPr>
          <w:p w14:paraId="6A85CC2D"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(13.8%)</w:t>
            </w:r>
          </w:p>
        </w:tc>
        <w:tc>
          <w:tcPr>
            <w:tcW w:w="716" w:type="pct"/>
            <w:tcBorders>
              <w:left w:val="single" w:sz="4" w:space="0" w:color="auto"/>
            </w:tcBorders>
            <w:noWrap/>
            <w:hideMark/>
          </w:tcPr>
          <w:p w14:paraId="29F6DBC0"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67</w:t>
            </w:r>
          </w:p>
        </w:tc>
        <w:tc>
          <w:tcPr>
            <w:tcW w:w="421" w:type="pct"/>
            <w:tcBorders>
              <w:right w:val="single" w:sz="4" w:space="0" w:color="auto"/>
            </w:tcBorders>
          </w:tcPr>
          <w:p w14:paraId="7E5922D2"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(34.4%)</w:t>
            </w:r>
          </w:p>
        </w:tc>
        <w:tc>
          <w:tcPr>
            <w:tcW w:w="652" w:type="pct"/>
            <w:tcBorders>
              <w:left w:val="single" w:sz="4" w:space="0" w:color="auto"/>
            </w:tcBorders>
            <w:noWrap/>
            <w:hideMark/>
          </w:tcPr>
          <w:p w14:paraId="3C99DCD5"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24</w:t>
            </w:r>
          </w:p>
        </w:tc>
        <w:tc>
          <w:tcPr>
            <w:tcW w:w="421" w:type="pct"/>
            <w:tcBorders>
              <w:right w:val="single" w:sz="4" w:space="0" w:color="auto"/>
            </w:tcBorders>
          </w:tcPr>
          <w:p w14:paraId="75B9ABAC"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(12.3%)</w:t>
            </w:r>
          </w:p>
        </w:tc>
        <w:tc>
          <w:tcPr>
            <w:tcW w:w="333" w:type="pct"/>
            <w:tcBorders>
              <w:left w:val="single" w:sz="4" w:space="0" w:color="auto"/>
              <w:right w:val="single" w:sz="4" w:space="0" w:color="auto"/>
            </w:tcBorders>
            <w:noWrap/>
            <w:hideMark/>
          </w:tcPr>
          <w:p w14:paraId="6EFBCC95"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195</w:t>
            </w:r>
          </w:p>
        </w:tc>
      </w:tr>
      <w:tr w:rsidR="00CD1101" w:rsidRPr="00146401" w14:paraId="7F250915"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tcBorders>
              <w:left w:val="single" w:sz="4" w:space="0" w:color="auto"/>
              <w:right w:val="single" w:sz="4" w:space="0" w:color="auto"/>
            </w:tcBorders>
            <w:noWrap/>
            <w:hideMark/>
          </w:tcPr>
          <w:p w14:paraId="725A42C3"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2007</w:t>
            </w:r>
          </w:p>
        </w:tc>
        <w:tc>
          <w:tcPr>
            <w:tcW w:w="808" w:type="pct"/>
            <w:tcBorders>
              <w:left w:val="single" w:sz="4" w:space="0" w:color="auto"/>
            </w:tcBorders>
            <w:noWrap/>
            <w:hideMark/>
          </w:tcPr>
          <w:p w14:paraId="0BC023FC"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38</w:t>
            </w:r>
          </w:p>
        </w:tc>
        <w:tc>
          <w:tcPr>
            <w:tcW w:w="421" w:type="pct"/>
            <w:tcBorders>
              <w:right w:val="single" w:sz="4" w:space="0" w:color="auto"/>
            </w:tcBorders>
          </w:tcPr>
          <w:p w14:paraId="653138CF"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(27%)</w:t>
            </w:r>
          </w:p>
        </w:tc>
        <w:tc>
          <w:tcPr>
            <w:tcW w:w="422" w:type="pct"/>
            <w:tcBorders>
              <w:left w:val="single" w:sz="4" w:space="0" w:color="auto"/>
            </w:tcBorders>
            <w:noWrap/>
            <w:hideMark/>
          </w:tcPr>
          <w:p w14:paraId="2C5D5B3B"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52</w:t>
            </w:r>
          </w:p>
        </w:tc>
        <w:tc>
          <w:tcPr>
            <w:tcW w:w="421" w:type="pct"/>
            <w:tcBorders>
              <w:right w:val="single" w:sz="4" w:space="0" w:color="auto"/>
            </w:tcBorders>
          </w:tcPr>
          <w:p w14:paraId="1481ADD8"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(36.9%)</w:t>
            </w:r>
          </w:p>
        </w:tc>
        <w:tc>
          <w:tcPr>
            <w:tcW w:w="716" w:type="pct"/>
            <w:tcBorders>
              <w:left w:val="single" w:sz="4" w:space="0" w:color="auto"/>
            </w:tcBorders>
            <w:noWrap/>
            <w:hideMark/>
          </w:tcPr>
          <w:p w14:paraId="4DF6EEEA"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38</w:t>
            </w:r>
          </w:p>
        </w:tc>
        <w:tc>
          <w:tcPr>
            <w:tcW w:w="421" w:type="pct"/>
            <w:tcBorders>
              <w:right w:val="single" w:sz="4" w:space="0" w:color="auto"/>
            </w:tcBorders>
          </w:tcPr>
          <w:p w14:paraId="153870BC"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(27%)</w:t>
            </w:r>
          </w:p>
        </w:tc>
        <w:tc>
          <w:tcPr>
            <w:tcW w:w="652" w:type="pct"/>
            <w:tcBorders>
              <w:left w:val="single" w:sz="4" w:space="0" w:color="auto"/>
            </w:tcBorders>
            <w:noWrap/>
            <w:hideMark/>
          </w:tcPr>
          <w:p w14:paraId="31499B17"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13</w:t>
            </w:r>
          </w:p>
        </w:tc>
        <w:tc>
          <w:tcPr>
            <w:tcW w:w="421" w:type="pct"/>
            <w:tcBorders>
              <w:right w:val="single" w:sz="4" w:space="0" w:color="auto"/>
            </w:tcBorders>
          </w:tcPr>
          <w:p w14:paraId="6FCF7D12"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(9.2%)</w:t>
            </w:r>
          </w:p>
        </w:tc>
        <w:tc>
          <w:tcPr>
            <w:tcW w:w="333" w:type="pct"/>
            <w:tcBorders>
              <w:left w:val="single" w:sz="4" w:space="0" w:color="auto"/>
              <w:right w:val="single" w:sz="4" w:space="0" w:color="auto"/>
            </w:tcBorders>
            <w:noWrap/>
            <w:hideMark/>
          </w:tcPr>
          <w:p w14:paraId="05FE12D4"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141</w:t>
            </w:r>
          </w:p>
        </w:tc>
      </w:tr>
      <w:tr w:rsidR="00CD1101" w:rsidRPr="00146401" w14:paraId="609FA052"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5" w:type="pct"/>
            <w:tcBorders>
              <w:left w:val="single" w:sz="4" w:space="0" w:color="auto"/>
              <w:right w:val="single" w:sz="4" w:space="0" w:color="auto"/>
            </w:tcBorders>
            <w:noWrap/>
            <w:hideMark/>
          </w:tcPr>
          <w:p w14:paraId="4ADA6210"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2008</w:t>
            </w:r>
          </w:p>
        </w:tc>
        <w:tc>
          <w:tcPr>
            <w:tcW w:w="808" w:type="pct"/>
            <w:tcBorders>
              <w:left w:val="single" w:sz="4" w:space="0" w:color="auto"/>
            </w:tcBorders>
            <w:noWrap/>
            <w:hideMark/>
          </w:tcPr>
          <w:p w14:paraId="36F0EE55"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70</w:t>
            </w:r>
          </w:p>
        </w:tc>
        <w:tc>
          <w:tcPr>
            <w:tcW w:w="421" w:type="pct"/>
            <w:tcBorders>
              <w:right w:val="single" w:sz="4" w:space="0" w:color="auto"/>
            </w:tcBorders>
          </w:tcPr>
          <w:p w14:paraId="53F409A5"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(40.4%)</w:t>
            </w:r>
          </w:p>
        </w:tc>
        <w:tc>
          <w:tcPr>
            <w:tcW w:w="422" w:type="pct"/>
            <w:tcBorders>
              <w:left w:val="single" w:sz="4" w:space="0" w:color="auto"/>
            </w:tcBorders>
            <w:noWrap/>
            <w:hideMark/>
          </w:tcPr>
          <w:p w14:paraId="5422E5D1"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35</w:t>
            </w:r>
          </w:p>
        </w:tc>
        <w:tc>
          <w:tcPr>
            <w:tcW w:w="421" w:type="pct"/>
            <w:tcBorders>
              <w:right w:val="single" w:sz="4" w:space="0" w:color="auto"/>
            </w:tcBorders>
          </w:tcPr>
          <w:p w14:paraId="59D76BD3"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(20.2%)</w:t>
            </w:r>
          </w:p>
        </w:tc>
        <w:tc>
          <w:tcPr>
            <w:tcW w:w="716" w:type="pct"/>
            <w:tcBorders>
              <w:left w:val="single" w:sz="4" w:space="0" w:color="auto"/>
            </w:tcBorders>
            <w:noWrap/>
            <w:hideMark/>
          </w:tcPr>
          <w:p w14:paraId="385062E2"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57</w:t>
            </w:r>
          </w:p>
        </w:tc>
        <w:tc>
          <w:tcPr>
            <w:tcW w:w="421" w:type="pct"/>
            <w:tcBorders>
              <w:right w:val="single" w:sz="4" w:space="0" w:color="auto"/>
            </w:tcBorders>
          </w:tcPr>
          <w:p w14:paraId="7EEE3AC9"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(32.9%)</w:t>
            </w:r>
          </w:p>
        </w:tc>
        <w:tc>
          <w:tcPr>
            <w:tcW w:w="652" w:type="pct"/>
            <w:tcBorders>
              <w:left w:val="single" w:sz="4" w:space="0" w:color="auto"/>
            </w:tcBorders>
            <w:noWrap/>
            <w:hideMark/>
          </w:tcPr>
          <w:p w14:paraId="14522430"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11</w:t>
            </w:r>
          </w:p>
        </w:tc>
        <w:tc>
          <w:tcPr>
            <w:tcW w:w="421" w:type="pct"/>
            <w:tcBorders>
              <w:right w:val="single" w:sz="4" w:space="0" w:color="auto"/>
            </w:tcBorders>
          </w:tcPr>
          <w:p w14:paraId="2E42FFF5"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(6.4%)</w:t>
            </w:r>
          </w:p>
        </w:tc>
        <w:tc>
          <w:tcPr>
            <w:tcW w:w="333" w:type="pct"/>
            <w:tcBorders>
              <w:left w:val="single" w:sz="4" w:space="0" w:color="auto"/>
              <w:right w:val="single" w:sz="4" w:space="0" w:color="auto"/>
            </w:tcBorders>
            <w:noWrap/>
            <w:hideMark/>
          </w:tcPr>
          <w:p w14:paraId="5B622E86"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173</w:t>
            </w:r>
          </w:p>
        </w:tc>
      </w:tr>
      <w:tr w:rsidR="00CD1101" w:rsidRPr="00146401" w14:paraId="677D5FCE"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tcBorders>
              <w:left w:val="single" w:sz="4" w:space="0" w:color="auto"/>
              <w:right w:val="single" w:sz="4" w:space="0" w:color="auto"/>
            </w:tcBorders>
            <w:noWrap/>
            <w:hideMark/>
          </w:tcPr>
          <w:p w14:paraId="66D65B3A"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2009</w:t>
            </w:r>
          </w:p>
        </w:tc>
        <w:tc>
          <w:tcPr>
            <w:tcW w:w="808" w:type="pct"/>
            <w:tcBorders>
              <w:left w:val="single" w:sz="4" w:space="0" w:color="auto"/>
            </w:tcBorders>
            <w:noWrap/>
            <w:hideMark/>
          </w:tcPr>
          <w:p w14:paraId="4876C06C"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90</w:t>
            </w:r>
          </w:p>
        </w:tc>
        <w:tc>
          <w:tcPr>
            <w:tcW w:w="421" w:type="pct"/>
            <w:tcBorders>
              <w:right w:val="single" w:sz="4" w:space="0" w:color="auto"/>
            </w:tcBorders>
          </w:tcPr>
          <w:p w14:paraId="0EC0CED9"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(45.5%)</w:t>
            </w:r>
          </w:p>
        </w:tc>
        <w:tc>
          <w:tcPr>
            <w:tcW w:w="422" w:type="pct"/>
            <w:tcBorders>
              <w:left w:val="single" w:sz="4" w:space="0" w:color="auto"/>
            </w:tcBorders>
            <w:noWrap/>
            <w:hideMark/>
          </w:tcPr>
          <w:p w14:paraId="15CC059E"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14</w:t>
            </w:r>
          </w:p>
        </w:tc>
        <w:tc>
          <w:tcPr>
            <w:tcW w:w="421" w:type="pct"/>
            <w:tcBorders>
              <w:right w:val="single" w:sz="4" w:space="0" w:color="auto"/>
            </w:tcBorders>
          </w:tcPr>
          <w:p w14:paraId="4F004D5F"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(7.1%)</w:t>
            </w:r>
          </w:p>
        </w:tc>
        <w:tc>
          <w:tcPr>
            <w:tcW w:w="716" w:type="pct"/>
            <w:tcBorders>
              <w:left w:val="single" w:sz="4" w:space="0" w:color="auto"/>
            </w:tcBorders>
            <w:noWrap/>
            <w:hideMark/>
          </w:tcPr>
          <w:p w14:paraId="59A52095"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77</w:t>
            </w:r>
          </w:p>
        </w:tc>
        <w:tc>
          <w:tcPr>
            <w:tcW w:w="421" w:type="pct"/>
            <w:tcBorders>
              <w:right w:val="single" w:sz="4" w:space="0" w:color="auto"/>
            </w:tcBorders>
          </w:tcPr>
          <w:p w14:paraId="2EDFE3A0"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(38.9%)</w:t>
            </w:r>
          </w:p>
        </w:tc>
        <w:tc>
          <w:tcPr>
            <w:tcW w:w="652" w:type="pct"/>
            <w:tcBorders>
              <w:left w:val="single" w:sz="4" w:space="0" w:color="auto"/>
            </w:tcBorders>
            <w:noWrap/>
            <w:hideMark/>
          </w:tcPr>
          <w:p w14:paraId="5E2C2F64"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17</w:t>
            </w:r>
          </w:p>
        </w:tc>
        <w:tc>
          <w:tcPr>
            <w:tcW w:w="421" w:type="pct"/>
            <w:tcBorders>
              <w:right w:val="single" w:sz="4" w:space="0" w:color="auto"/>
            </w:tcBorders>
          </w:tcPr>
          <w:p w14:paraId="6022E6FE"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(8.6%)</w:t>
            </w:r>
          </w:p>
        </w:tc>
        <w:tc>
          <w:tcPr>
            <w:tcW w:w="333" w:type="pct"/>
            <w:tcBorders>
              <w:left w:val="single" w:sz="4" w:space="0" w:color="auto"/>
              <w:right w:val="single" w:sz="4" w:space="0" w:color="auto"/>
            </w:tcBorders>
            <w:noWrap/>
            <w:hideMark/>
          </w:tcPr>
          <w:p w14:paraId="36048C0B"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198</w:t>
            </w:r>
          </w:p>
        </w:tc>
      </w:tr>
      <w:tr w:rsidR="00CD1101" w:rsidRPr="00146401" w14:paraId="52995FD5"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5" w:type="pct"/>
            <w:tcBorders>
              <w:left w:val="single" w:sz="4" w:space="0" w:color="auto"/>
              <w:right w:val="single" w:sz="4" w:space="0" w:color="auto"/>
            </w:tcBorders>
            <w:noWrap/>
            <w:hideMark/>
          </w:tcPr>
          <w:p w14:paraId="4FD14B8F"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2010</w:t>
            </w:r>
          </w:p>
        </w:tc>
        <w:tc>
          <w:tcPr>
            <w:tcW w:w="808" w:type="pct"/>
            <w:tcBorders>
              <w:left w:val="single" w:sz="4" w:space="0" w:color="auto"/>
            </w:tcBorders>
            <w:noWrap/>
            <w:hideMark/>
          </w:tcPr>
          <w:p w14:paraId="2B4C921B"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94</w:t>
            </w:r>
          </w:p>
        </w:tc>
        <w:tc>
          <w:tcPr>
            <w:tcW w:w="421" w:type="pct"/>
            <w:tcBorders>
              <w:right w:val="single" w:sz="4" w:space="0" w:color="auto"/>
            </w:tcBorders>
          </w:tcPr>
          <w:p w14:paraId="338DD187"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(46.8%)</w:t>
            </w:r>
          </w:p>
        </w:tc>
        <w:tc>
          <w:tcPr>
            <w:tcW w:w="422" w:type="pct"/>
            <w:tcBorders>
              <w:left w:val="single" w:sz="4" w:space="0" w:color="auto"/>
            </w:tcBorders>
            <w:noWrap/>
            <w:hideMark/>
          </w:tcPr>
          <w:p w14:paraId="62ABF8F7"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18</w:t>
            </w:r>
          </w:p>
        </w:tc>
        <w:tc>
          <w:tcPr>
            <w:tcW w:w="421" w:type="pct"/>
            <w:tcBorders>
              <w:right w:val="single" w:sz="4" w:space="0" w:color="auto"/>
            </w:tcBorders>
          </w:tcPr>
          <w:p w14:paraId="7A7AFC29"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(9%)</w:t>
            </w:r>
          </w:p>
        </w:tc>
        <w:tc>
          <w:tcPr>
            <w:tcW w:w="716" w:type="pct"/>
            <w:tcBorders>
              <w:left w:val="single" w:sz="4" w:space="0" w:color="auto"/>
            </w:tcBorders>
            <w:noWrap/>
            <w:hideMark/>
          </w:tcPr>
          <w:p w14:paraId="5B28A854"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68</w:t>
            </w:r>
          </w:p>
        </w:tc>
        <w:tc>
          <w:tcPr>
            <w:tcW w:w="421" w:type="pct"/>
            <w:tcBorders>
              <w:right w:val="single" w:sz="4" w:space="0" w:color="auto"/>
            </w:tcBorders>
          </w:tcPr>
          <w:p w14:paraId="41CE8D09"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(33.8%)</w:t>
            </w:r>
          </w:p>
        </w:tc>
        <w:tc>
          <w:tcPr>
            <w:tcW w:w="652" w:type="pct"/>
            <w:tcBorders>
              <w:left w:val="single" w:sz="4" w:space="0" w:color="auto"/>
            </w:tcBorders>
            <w:noWrap/>
            <w:hideMark/>
          </w:tcPr>
          <w:p w14:paraId="2C05690A"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21</w:t>
            </w:r>
          </w:p>
        </w:tc>
        <w:tc>
          <w:tcPr>
            <w:tcW w:w="421" w:type="pct"/>
            <w:tcBorders>
              <w:right w:val="single" w:sz="4" w:space="0" w:color="auto"/>
            </w:tcBorders>
          </w:tcPr>
          <w:p w14:paraId="669B6525"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(10.4%)</w:t>
            </w:r>
          </w:p>
        </w:tc>
        <w:tc>
          <w:tcPr>
            <w:tcW w:w="333" w:type="pct"/>
            <w:tcBorders>
              <w:left w:val="single" w:sz="4" w:space="0" w:color="auto"/>
              <w:right w:val="single" w:sz="4" w:space="0" w:color="auto"/>
            </w:tcBorders>
            <w:noWrap/>
            <w:hideMark/>
          </w:tcPr>
          <w:p w14:paraId="72842557"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201</w:t>
            </w:r>
          </w:p>
        </w:tc>
      </w:tr>
      <w:tr w:rsidR="00CD1101" w:rsidRPr="00146401" w14:paraId="29A6FF0F"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tcBorders>
              <w:left w:val="single" w:sz="4" w:space="0" w:color="auto"/>
              <w:right w:val="single" w:sz="4" w:space="0" w:color="auto"/>
            </w:tcBorders>
            <w:noWrap/>
            <w:hideMark/>
          </w:tcPr>
          <w:p w14:paraId="60FE5780"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2011</w:t>
            </w:r>
          </w:p>
        </w:tc>
        <w:tc>
          <w:tcPr>
            <w:tcW w:w="808" w:type="pct"/>
            <w:tcBorders>
              <w:left w:val="single" w:sz="4" w:space="0" w:color="auto"/>
            </w:tcBorders>
            <w:noWrap/>
            <w:hideMark/>
          </w:tcPr>
          <w:p w14:paraId="186FC3A3"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123</w:t>
            </w:r>
          </w:p>
        </w:tc>
        <w:tc>
          <w:tcPr>
            <w:tcW w:w="421" w:type="pct"/>
            <w:tcBorders>
              <w:right w:val="single" w:sz="4" w:space="0" w:color="auto"/>
            </w:tcBorders>
          </w:tcPr>
          <w:p w14:paraId="12B0FA8A"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(62.1%)</w:t>
            </w:r>
          </w:p>
        </w:tc>
        <w:tc>
          <w:tcPr>
            <w:tcW w:w="422" w:type="pct"/>
            <w:tcBorders>
              <w:left w:val="single" w:sz="4" w:space="0" w:color="auto"/>
            </w:tcBorders>
            <w:noWrap/>
            <w:hideMark/>
          </w:tcPr>
          <w:p w14:paraId="2A884E0F"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11</w:t>
            </w:r>
          </w:p>
        </w:tc>
        <w:tc>
          <w:tcPr>
            <w:tcW w:w="421" w:type="pct"/>
            <w:tcBorders>
              <w:right w:val="single" w:sz="4" w:space="0" w:color="auto"/>
            </w:tcBorders>
          </w:tcPr>
          <w:p w14:paraId="4A276BB1"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(5.6%)</w:t>
            </w:r>
          </w:p>
        </w:tc>
        <w:tc>
          <w:tcPr>
            <w:tcW w:w="716" w:type="pct"/>
            <w:tcBorders>
              <w:left w:val="single" w:sz="4" w:space="0" w:color="auto"/>
            </w:tcBorders>
            <w:noWrap/>
            <w:hideMark/>
          </w:tcPr>
          <w:p w14:paraId="655B41C3"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49</w:t>
            </w:r>
          </w:p>
        </w:tc>
        <w:tc>
          <w:tcPr>
            <w:tcW w:w="421" w:type="pct"/>
            <w:tcBorders>
              <w:right w:val="single" w:sz="4" w:space="0" w:color="auto"/>
            </w:tcBorders>
          </w:tcPr>
          <w:p w14:paraId="78F6B538"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(24.7%)</w:t>
            </w:r>
          </w:p>
        </w:tc>
        <w:tc>
          <w:tcPr>
            <w:tcW w:w="652" w:type="pct"/>
            <w:tcBorders>
              <w:left w:val="single" w:sz="4" w:space="0" w:color="auto"/>
            </w:tcBorders>
            <w:noWrap/>
            <w:hideMark/>
          </w:tcPr>
          <w:p w14:paraId="2B932E50"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15</w:t>
            </w:r>
          </w:p>
        </w:tc>
        <w:tc>
          <w:tcPr>
            <w:tcW w:w="421" w:type="pct"/>
            <w:tcBorders>
              <w:right w:val="single" w:sz="4" w:space="0" w:color="auto"/>
            </w:tcBorders>
          </w:tcPr>
          <w:p w14:paraId="48648E66"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(7.6%)</w:t>
            </w:r>
          </w:p>
        </w:tc>
        <w:tc>
          <w:tcPr>
            <w:tcW w:w="333" w:type="pct"/>
            <w:tcBorders>
              <w:left w:val="single" w:sz="4" w:space="0" w:color="auto"/>
              <w:right w:val="single" w:sz="4" w:space="0" w:color="auto"/>
            </w:tcBorders>
            <w:noWrap/>
            <w:hideMark/>
          </w:tcPr>
          <w:p w14:paraId="54B7C901" w14:textId="77777777" w:rsidR="00CD1101" w:rsidRPr="00146401"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198</w:t>
            </w:r>
          </w:p>
        </w:tc>
      </w:tr>
      <w:tr w:rsidR="00CD1101" w:rsidRPr="00146401" w14:paraId="26FCFDC6"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85" w:type="pct"/>
            <w:tcBorders>
              <w:left w:val="single" w:sz="4" w:space="0" w:color="auto"/>
              <w:bottom w:val="single" w:sz="4" w:space="0" w:color="auto"/>
              <w:right w:val="single" w:sz="4" w:space="0" w:color="auto"/>
            </w:tcBorders>
            <w:noWrap/>
            <w:hideMark/>
          </w:tcPr>
          <w:p w14:paraId="0693B82C" w14:textId="77777777" w:rsidR="00CD1101" w:rsidRPr="00146401" w:rsidRDefault="00CD1101" w:rsidP="00CE2FDF">
            <w:pPr>
              <w:tabs>
                <w:tab w:val="left" w:pos="1134"/>
              </w:tabs>
              <w:spacing w:before="0" w:line="276" w:lineRule="auto"/>
              <w:rPr>
                <w:rFonts w:eastAsia="Times New Roman" w:cs="Arial"/>
                <w:bCs w:val="0"/>
                <w:color w:val="000000"/>
                <w:lang w:eastAsia="en-AU"/>
              </w:rPr>
            </w:pPr>
            <w:r w:rsidRPr="00146401">
              <w:rPr>
                <w:rFonts w:eastAsia="Times New Roman" w:cs="Arial"/>
                <w:bCs w:val="0"/>
                <w:color w:val="000000"/>
                <w:lang w:eastAsia="en-AU"/>
              </w:rPr>
              <w:t>2012</w:t>
            </w:r>
          </w:p>
        </w:tc>
        <w:tc>
          <w:tcPr>
            <w:tcW w:w="808" w:type="pct"/>
            <w:tcBorders>
              <w:left w:val="single" w:sz="4" w:space="0" w:color="auto"/>
              <w:bottom w:val="single" w:sz="4" w:space="0" w:color="auto"/>
            </w:tcBorders>
            <w:noWrap/>
            <w:hideMark/>
          </w:tcPr>
          <w:p w14:paraId="6C0D1BAA"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120</w:t>
            </w:r>
          </w:p>
        </w:tc>
        <w:tc>
          <w:tcPr>
            <w:tcW w:w="421" w:type="pct"/>
            <w:tcBorders>
              <w:bottom w:val="single" w:sz="4" w:space="0" w:color="auto"/>
              <w:right w:val="single" w:sz="4" w:space="0" w:color="auto"/>
            </w:tcBorders>
          </w:tcPr>
          <w:p w14:paraId="4DEB44FD"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(69%)</w:t>
            </w:r>
          </w:p>
        </w:tc>
        <w:tc>
          <w:tcPr>
            <w:tcW w:w="422" w:type="pct"/>
            <w:tcBorders>
              <w:left w:val="single" w:sz="4" w:space="0" w:color="auto"/>
              <w:bottom w:val="single" w:sz="4" w:space="0" w:color="auto"/>
            </w:tcBorders>
            <w:noWrap/>
            <w:hideMark/>
          </w:tcPr>
          <w:p w14:paraId="55C27E0B"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14</w:t>
            </w:r>
          </w:p>
        </w:tc>
        <w:tc>
          <w:tcPr>
            <w:tcW w:w="421" w:type="pct"/>
            <w:tcBorders>
              <w:bottom w:val="single" w:sz="4" w:space="0" w:color="auto"/>
              <w:right w:val="single" w:sz="4" w:space="0" w:color="auto"/>
            </w:tcBorders>
          </w:tcPr>
          <w:p w14:paraId="216A4790"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(8%)</w:t>
            </w:r>
          </w:p>
        </w:tc>
        <w:tc>
          <w:tcPr>
            <w:tcW w:w="716" w:type="pct"/>
            <w:tcBorders>
              <w:left w:val="single" w:sz="4" w:space="0" w:color="auto"/>
              <w:bottom w:val="single" w:sz="4" w:space="0" w:color="auto"/>
            </w:tcBorders>
            <w:noWrap/>
            <w:hideMark/>
          </w:tcPr>
          <w:p w14:paraId="05481172"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22</w:t>
            </w:r>
          </w:p>
        </w:tc>
        <w:tc>
          <w:tcPr>
            <w:tcW w:w="421" w:type="pct"/>
            <w:tcBorders>
              <w:bottom w:val="single" w:sz="4" w:space="0" w:color="auto"/>
              <w:right w:val="single" w:sz="4" w:space="0" w:color="auto"/>
            </w:tcBorders>
          </w:tcPr>
          <w:p w14:paraId="38D1E362"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(12.6%)</w:t>
            </w:r>
          </w:p>
        </w:tc>
        <w:tc>
          <w:tcPr>
            <w:tcW w:w="652" w:type="pct"/>
            <w:tcBorders>
              <w:left w:val="single" w:sz="4" w:space="0" w:color="auto"/>
              <w:bottom w:val="single" w:sz="4" w:space="0" w:color="auto"/>
            </w:tcBorders>
            <w:noWrap/>
            <w:hideMark/>
          </w:tcPr>
          <w:p w14:paraId="670CFD71"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18</w:t>
            </w:r>
          </w:p>
        </w:tc>
        <w:tc>
          <w:tcPr>
            <w:tcW w:w="421" w:type="pct"/>
            <w:tcBorders>
              <w:bottom w:val="single" w:sz="4" w:space="0" w:color="auto"/>
              <w:right w:val="single" w:sz="4" w:space="0" w:color="auto"/>
            </w:tcBorders>
          </w:tcPr>
          <w:p w14:paraId="7863C5E4"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146401">
              <w:rPr>
                <w:rFonts w:eastAsia="Times New Roman" w:cs="Arial"/>
                <w:color w:val="000000"/>
                <w:lang w:eastAsia="en-AU"/>
              </w:rPr>
              <w:t>(10.3%)</w:t>
            </w:r>
          </w:p>
        </w:tc>
        <w:tc>
          <w:tcPr>
            <w:tcW w:w="333" w:type="pct"/>
            <w:tcBorders>
              <w:left w:val="single" w:sz="4" w:space="0" w:color="auto"/>
              <w:bottom w:val="single" w:sz="4" w:space="0" w:color="auto"/>
              <w:right w:val="single" w:sz="4" w:space="0" w:color="auto"/>
            </w:tcBorders>
            <w:noWrap/>
            <w:hideMark/>
          </w:tcPr>
          <w:p w14:paraId="26ABC6F9" w14:textId="77777777" w:rsidR="00CD1101" w:rsidRPr="00146401" w:rsidRDefault="00CD1101"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46401">
              <w:rPr>
                <w:rFonts w:eastAsia="Times New Roman" w:cs="Arial"/>
                <w:b/>
                <w:color w:val="auto"/>
                <w:lang w:eastAsia="en-AU"/>
              </w:rPr>
              <w:t>174</w:t>
            </w:r>
          </w:p>
        </w:tc>
      </w:tr>
      <w:tr w:rsidR="002418F8" w:rsidRPr="00747CDE" w14:paraId="0951C817"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5" w:type="pct"/>
            <w:tcBorders>
              <w:top w:val="single" w:sz="4" w:space="0" w:color="auto"/>
              <w:left w:val="single" w:sz="4" w:space="0" w:color="auto"/>
              <w:bottom w:val="single" w:sz="4" w:space="0" w:color="auto"/>
              <w:right w:val="single" w:sz="4" w:space="0" w:color="auto"/>
            </w:tcBorders>
            <w:noWrap/>
            <w:hideMark/>
          </w:tcPr>
          <w:p w14:paraId="52A05B10" w14:textId="77777777" w:rsidR="00CD1101" w:rsidRPr="00747CDE" w:rsidRDefault="00CD1101" w:rsidP="00CE2FDF">
            <w:pPr>
              <w:tabs>
                <w:tab w:val="left" w:pos="1134"/>
              </w:tabs>
              <w:spacing w:before="0" w:line="276" w:lineRule="auto"/>
              <w:rPr>
                <w:rFonts w:eastAsia="Times New Roman" w:cs="Arial"/>
                <w:bCs w:val="0"/>
                <w:color w:val="auto"/>
                <w:lang w:eastAsia="en-AU"/>
              </w:rPr>
            </w:pPr>
            <w:r w:rsidRPr="00747CDE">
              <w:rPr>
                <w:rFonts w:eastAsia="Times New Roman" w:cs="Arial"/>
                <w:bCs w:val="0"/>
                <w:color w:val="auto"/>
                <w:lang w:eastAsia="en-AU"/>
              </w:rPr>
              <w:t>Totals:</w:t>
            </w:r>
          </w:p>
        </w:tc>
        <w:tc>
          <w:tcPr>
            <w:tcW w:w="808" w:type="pct"/>
            <w:tcBorders>
              <w:top w:val="single" w:sz="4" w:space="0" w:color="auto"/>
              <w:left w:val="single" w:sz="4" w:space="0" w:color="auto"/>
              <w:bottom w:val="single" w:sz="4" w:space="0" w:color="auto"/>
            </w:tcBorders>
            <w:noWrap/>
            <w:hideMark/>
          </w:tcPr>
          <w:p w14:paraId="6CD24F40"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853</w:t>
            </w:r>
          </w:p>
        </w:tc>
        <w:tc>
          <w:tcPr>
            <w:tcW w:w="421" w:type="pct"/>
            <w:tcBorders>
              <w:top w:val="single" w:sz="4" w:space="0" w:color="auto"/>
              <w:bottom w:val="single" w:sz="4" w:space="0" w:color="auto"/>
              <w:right w:val="single" w:sz="4" w:space="0" w:color="auto"/>
            </w:tcBorders>
          </w:tcPr>
          <w:p w14:paraId="5B372D4E"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(47.8%)</w:t>
            </w:r>
          </w:p>
        </w:tc>
        <w:tc>
          <w:tcPr>
            <w:tcW w:w="422" w:type="pct"/>
            <w:tcBorders>
              <w:top w:val="single" w:sz="4" w:space="0" w:color="auto"/>
              <w:left w:val="single" w:sz="4" w:space="0" w:color="auto"/>
              <w:bottom w:val="single" w:sz="4" w:space="0" w:color="auto"/>
            </w:tcBorders>
            <w:noWrap/>
            <w:hideMark/>
          </w:tcPr>
          <w:p w14:paraId="6ED1E844"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246</w:t>
            </w:r>
          </w:p>
        </w:tc>
        <w:tc>
          <w:tcPr>
            <w:tcW w:w="421" w:type="pct"/>
            <w:tcBorders>
              <w:top w:val="single" w:sz="4" w:space="0" w:color="auto"/>
              <w:bottom w:val="single" w:sz="4" w:space="0" w:color="auto"/>
              <w:right w:val="single" w:sz="4" w:space="0" w:color="auto"/>
            </w:tcBorders>
          </w:tcPr>
          <w:p w14:paraId="05C87E3B"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(13.8%)</w:t>
            </w:r>
          </w:p>
        </w:tc>
        <w:tc>
          <w:tcPr>
            <w:tcW w:w="716" w:type="pct"/>
            <w:tcBorders>
              <w:top w:val="single" w:sz="4" w:space="0" w:color="auto"/>
              <w:left w:val="single" w:sz="4" w:space="0" w:color="auto"/>
              <w:bottom w:val="single" w:sz="4" w:space="0" w:color="auto"/>
            </w:tcBorders>
            <w:noWrap/>
            <w:hideMark/>
          </w:tcPr>
          <w:p w14:paraId="779F44EB"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496</w:t>
            </w:r>
          </w:p>
        </w:tc>
        <w:tc>
          <w:tcPr>
            <w:tcW w:w="421" w:type="pct"/>
            <w:tcBorders>
              <w:top w:val="single" w:sz="4" w:space="0" w:color="auto"/>
              <w:bottom w:val="single" w:sz="4" w:space="0" w:color="auto"/>
              <w:right w:val="single" w:sz="4" w:space="0" w:color="auto"/>
            </w:tcBorders>
          </w:tcPr>
          <w:p w14:paraId="3423E102"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(27.8%)</w:t>
            </w:r>
          </w:p>
        </w:tc>
        <w:tc>
          <w:tcPr>
            <w:tcW w:w="652" w:type="pct"/>
            <w:tcBorders>
              <w:top w:val="single" w:sz="4" w:space="0" w:color="auto"/>
              <w:left w:val="single" w:sz="4" w:space="0" w:color="auto"/>
              <w:bottom w:val="single" w:sz="4" w:space="0" w:color="auto"/>
            </w:tcBorders>
            <w:noWrap/>
            <w:hideMark/>
          </w:tcPr>
          <w:p w14:paraId="5F7BEA75"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189</w:t>
            </w:r>
          </w:p>
        </w:tc>
        <w:tc>
          <w:tcPr>
            <w:tcW w:w="421" w:type="pct"/>
            <w:tcBorders>
              <w:top w:val="single" w:sz="4" w:space="0" w:color="auto"/>
              <w:bottom w:val="single" w:sz="4" w:space="0" w:color="auto"/>
              <w:right w:val="single" w:sz="4" w:space="0" w:color="auto"/>
            </w:tcBorders>
          </w:tcPr>
          <w:p w14:paraId="2FDE7773"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(10.6%)</w:t>
            </w:r>
          </w:p>
        </w:tc>
        <w:tc>
          <w:tcPr>
            <w:tcW w:w="333" w:type="pct"/>
            <w:tcBorders>
              <w:top w:val="single" w:sz="4" w:space="0" w:color="auto"/>
              <w:left w:val="single" w:sz="4" w:space="0" w:color="auto"/>
              <w:bottom w:val="single" w:sz="4" w:space="0" w:color="auto"/>
              <w:right w:val="single" w:sz="4" w:space="0" w:color="auto"/>
            </w:tcBorders>
            <w:noWrap/>
            <w:hideMark/>
          </w:tcPr>
          <w:p w14:paraId="049954AB" w14:textId="77777777" w:rsidR="00CD1101" w:rsidRPr="00747CDE" w:rsidRDefault="00CD110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sidR="00747CDE">
              <w:rPr>
                <w:rFonts w:eastAsia="Times New Roman" w:cs="Arial"/>
                <w:b/>
                <w:color w:val="auto"/>
                <w:lang w:eastAsia="en-AU"/>
              </w:rPr>
              <w:t>,</w:t>
            </w:r>
            <w:r w:rsidRPr="00747CDE">
              <w:rPr>
                <w:rFonts w:eastAsia="Times New Roman" w:cs="Arial"/>
                <w:b/>
                <w:color w:val="auto"/>
                <w:lang w:eastAsia="en-AU"/>
              </w:rPr>
              <w:t>784</w:t>
            </w:r>
          </w:p>
        </w:tc>
      </w:tr>
    </w:tbl>
    <w:p w14:paraId="407A29A3" w14:textId="77777777" w:rsidR="005D61DD" w:rsidRPr="0006220F" w:rsidRDefault="005D61DD" w:rsidP="005E613E">
      <w:pPr>
        <w:pStyle w:val="Heading6"/>
        <w:spacing w:before="240" w:after="240"/>
      </w:pPr>
      <w:r w:rsidRPr="0006220F">
        <w:t>Line graph for table 1.26.13: Reports by psychiatrists, by year, by abuse type</w:t>
      </w:r>
    </w:p>
    <w:p w14:paraId="299C1F9E" w14:textId="77777777" w:rsidR="0080128E" w:rsidRDefault="00CD1101" w:rsidP="00B15586">
      <w:r w:rsidRPr="00CD1101">
        <w:rPr>
          <w:noProof/>
          <w:lang w:eastAsia="en-AU"/>
        </w:rPr>
        <w:drawing>
          <wp:inline distT="0" distB="0" distL="0" distR="0" wp14:anchorId="20B0941F" wp14:editId="42C7EC3D">
            <wp:extent cx="9344025" cy="1981200"/>
            <wp:effectExtent l="0" t="0" r="9525" b="0"/>
            <wp:docPr id="27" name="Chart 23" descr="Shows psychiatrists’ reports of emotional abuse increased significantly since 2007 while physical abuse reports declined." title="Line graph for table 1.2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80128E">
        <w:br w:type="page"/>
      </w:r>
    </w:p>
    <w:p w14:paraId="6575BC39" w14:textId="77777777" w:rsidR="005D61DD" w:rsidRDefault="005D61DD" w:rsidP="0095311F">
      <w:pPr>
        <w:pStyle w:val="Figureheading"/>
      </w:pPr>
      <w:r>
        <w:lastRenderedPageBreak/>
        <w:t>1.26.14</w:t>
      </w:r>
      <w:r>
        <w:tab/>
        <w:t>Reports by psychiatrists, by year, by outcome of reports (number and percentage)</w:t>
      </w:r>
    </w:p>
    <w:tbl>
      <w:tblPr>
        <w:tblStyle w:val="LightShading-Accent2"/>
        <w:tblW w:w="5000" w:type="pct"/>
        <w:tblLook w:val="04A0" w:firstRow="1" w:lastRow="0" w:firstColumn="1" w:lastColumn="0" w:noHBand="0" w:noVBand="1"/>
        <w:tblCaption w:val="Reports by psychiatrists, by year, by outcome of reports (number and percentage)"/>
      </w:tblPr>
      <w:tblGrid>
        <w:gridCol w:w="1051"/>
        <w:gridCol w:w="2183"/>
        <w:gridCol w:w="1145"/>
        <w:gridCol w:w="1698"/>
        <w:gridCol w:w="1144"/>
        <w:gridCol w:w="1884"/>
        <w:gridCol w:w="1144"/>
        <w:gridCol w:w="2354"/>
        <w:gridCol w:w="1275"/>
        <w:gridCol w:w="908"/>
      </w:tblGrid>
      <w:tr w:rsidR="002418F8" w:rsidRPr="00FC5C7E" w14:paraId="56BFD3F2" w14:textId="77777777" w:rsidTr="00B605CE">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355"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0C2D003" w14:textId="77777777" w:rsidR="00DA4027" w:rsidRPr="00FC5C7E" w:rsidRDefault="00DA4027" w:rsidP="00CE2FDF">
            <w:pPr>
              <w:tabs>
                <w:tab w:val="left" w:pos="1134"/>
              </w:tabs>
              <w:spacing w:before="0" w:line="276" w:lineRule="auto"/>
              <w:rPr>
                <w:rFonts w:eastAsia="Times New Roman" w:cs="Arial"/>
                <w:bCs w:val="0"/>
                <w:color w:val="auto"/>
                <w:lang w:eastAsia="en-AU"/>
              </w:rPr>
            </w:pPr>
          </w:p>
        </w:tc>
        <w:tc>
          <w:tcPr>
            <w:tcW w:w="738" w:type="pct"/>
            <w:tcBorders>
              <w:top w:val="single" w:sz="4" w:space="0" w:color="auto"/>
              <w:left w:val="single" w:sz="4" w:space="0" w:color="auto"/>
              <w:bottom w:val="single" w:sz="4" w:space="0" w:color="auto"/>
            </w:tcBorders>
            <w:shd w:val="clear" w:color="auto" w:fill="95B3D7" w:themeFill="accent1" w:themeFillTint="99"/>
            <w:vAlign w:val="center"/>
            <w:hideMark/>
          </w:tcPr>
          <w:p w14:paraId="7CB30636" w14:textId="77777777" w:rsidR="00DA4027" w:rsidRPr="00FC5C7E" w:rsidRDefault="00DA4027"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investigated</w:t>
            </w:r>
          </w:p>
        </w:tc>
        <w:tc>
          <w:tcPr>
            <w:tcW w:w="387" w:type="pct"/>
            <w:tcBorders>
              <w:top w:val="single" w:sz="4" w:space="0" w:color="auto"/>
              <w:bottom w:val="single" w:sz="4" w:space="0" w:color="auto"/>
              <w:right w:val="single" w:sz="4" w:space="0" w:color="auto"/>
            </w:tcBorders>
            <w:shd w:val="clear" w:color="auto" w:fill="95B3D7" w:themeFill="accent1" w:themeFillTint="99"/>
            <w:vAlign w:val="center"/>
          </w:tcPr>
          <w:p w14:paraId="7B024105" w14:textId="77777777" w:rsidR="00DA4027" w:rsidRPr="00FC5C7E" w:rsidRDefault="00DA4027"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574" w:type="pct"/>
            <w:tcBorders>
              <w:top w:val="single" w:sz="4" w:space="0" w:color="auto"/>
              <w:bottom w:val="single" w:sz="4" w:space="0" w:color="auto"/>
            </w:tcBorders>
            <w:shd w:val="clear" w:color="auto" w:fill="95B3D7" w:themeFill="accent1" w:themeFillTint="99"/>
            <w:vAlign w:val="center"/>
          </w:tcPr>
          <w:p w14:paraId="20856351" w14:textId="77777777" w:rsidR="00DA4027" w:rsidRPr="00FC5C7E" w:rsidRDefault="00DA4027"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Investigated</w:t>
            </w:r>
          </w:p>
        </w:tc>
        <w:tc>
          <w:tcPr>
            <w:tcW w:w="387" w:type="pct"/>
            <w:tcBorders>
              <w:top w:val="single" w:sz="4" w:space="0" w:color="auto"/>
              <w:bottom w:val="single" w:sz="4" w:space="0" w:color="auto"/>
            </w:tcBorders>
            <w:shd w:val="clear" w:color="auto" w:fill="95B3D7" w:themeFill="accent1" w:themeFillTint="99"/>
            <w:vAlign w:val="center"/>
          </w:tcPr>
          <w:p w14:paraId="383FCFB3" w14:textId="77777777" w:rsidR="00DA4027" w:rsidRPr="00FC5C7E" w:rsidRDefault="00DA4027"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637" w:type="pct"/>
            <w:tcBorders>
              <w:top w:val="single" w:sz="4" w:space="0" w:color="auto"/>
              <w:left w:val="single" w:sz="4" w:space="0" w:color="auto"/>
              <w:bottom w:val="single" w:sz="4" w:space="0" w:color="auto"/>
            </w:tcBorders>
            <w:shd w:val="clear" w:color="auto" w:fill="95B3D7" w:themeFill="accent1" w:themeFillTint="99"/>
            <w:vAlign w:val="center"/>
            <w:hideMark/>
          </w:tcPr>
          <w:p w14:paraId="030FE57D" w14:textId="77777777" w:rsidR="00DA4027" w:rsidRPr="00FC5C7E" w:rsidRDefault="00DA4027"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Substantiated</w:t>
            </w:r>
          </w:p>
        </w:tc>
        <w:tc>
          <w:tcPr>
            <w:tcW w:w="387" w:type="pct"/>
            <w:tcBorders>
              <w:top w:val="single" w:sz="4" w:space="0" w:color="auto"/>
              <w:bottom w:val="single" w:sz="4" w:space="0" w:color="auto"/>
              <w:right w:val="single" w:sz="4" w:space="0" w:color="auto"/>
            </w:tcBorders>
            <w:shd w:val="clear" w:color="auto" w:fill="95B3D7" w:themeFill="accent1" w:themeFillTint="99"/>
            <w:vAlign w:val="center"/>
          </w:tcPr>
          <w:p w14:paraId="13E3AFA0" w14:textId="77777777" w:rsidR="00DA4027" w:rsidRPr="00FC5C7E" w:rsidRDefault="00DA4027"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796" w:type="pct"/>
            <w:tcBorders>
              <w:top w:val="single" w:sz="4" w:space="0" w:color="auto"/>
              <w:left w:val="single" w:sz="4" w:space="0" w:color="auto"/>
              <w:bottom w:val="single" w:sz="4" w:space="0" w:color="auto"/>
            </w:tcBorders>
            <w:shd w:val="clear" w:color="auto" w:fill="95B3D7" w:themeFill="accent1" w:themeFillTint="99"/>
            <w:vAlign w:val="center"/>
            <w:hideMark/>
          </w:tcPr>
          <w:p w14:paraId="20D53DFC" w14:textId="77777777" w:rsidR="00DA4027" w:rsidRPr="00FC5C7E" w:rsidRDefault="00DA4027"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Not substantiated</w:t>
            </w:r>
          </w:p>
        </w:tc>
        <w:tc>
          <w:tcPr>
            <w:tcW w:w="431" w:type="pct"/>
            <w:tcBorders>
              <w:top w:val="single" w:sz="4" w:space="0" w:color="auto"/>
              <w:bottom w:val="single" w:sz="4" w:space="0" w:color="auto"/>
              <w:right w:val="single" w:sz="4" w:space="0" w:color="auto"/>
            </w:tcBorders>
            <w:shd w:val="clear" w:color="auto" w:fill="95B3D7" w:themeFill="accent1" w:themeFillTint="99"/>
            <w:vAlign w:val="center"/>
          </w:tcPr>
          <w:p w14:paraId="2FB7A126" w14:textId="77777777" w:rsidR="00DA4027" w:rsidRPr="00FC5C7E" w:rsidRDefault="00DA4027" w:rsidP="00CE2FDF">
            <w:pPr>
              <w:tabs>
                <w:tab w:val="left" w:pos="1134"/>
              </w:tabs>
              <w:spacing w:before="0" w:line="276" w:lineRule="auto"/>
              <w:ind w:right="-108"/>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307"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2ADF5EA" w14:textId="77777777" w:rsidR="00DA4027" w:rsidRPr="00FC5C7E" w:rsidRDefault="00DA4027"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Total</w:t>
            </w:r>
          </w:p>
        </w:tc>
      </w:tr>
      <w:tr w:rsidR="002418F8" w:rsidRPr="00FC5C7E" w14:paraId="49E9CD95"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 w:type="pct"/>
            <w:tcBorders>
              <w:top w:val="single" w:sz="4" w:space="0" w:color="auto"/>
              <w:left w:val="single" w:sz="4" w:space="0" w:color="auto"/>
              <w:right w:val="single" w:sz="4" w:space="0" w:color="auto"/>
            </w:tcBorders>
            <w:shd w:val="clear" w:color="auto" w:fill="DBE5F1" w:themeFill="accent1" w:themeFillTint="33"/>
            <w:noWrap/>
          </w:tcPr>
          <w:p w14:paraId="1832BEC3"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2003</w:t>
            </w:r>
          </w:p>
        </w:tc>
        <w:tc>
          <w:tcPr>
            <w:tcW w:w="738" w:type="pct"/>
            <w:tcBorders>
              <w:top w:val="single" w:sz="4" w:space="0" w:color="auto"/>
              <w:left w:val="single" w:sz="4" w:space="0" w:color="auto"/>
            </w:tcBorders>
            <w:shd w:val="clear" w:color="auto" w:fill="DBE5F1" w:themeFill="accent1" w:themeFillTint="33"/>
            <w:noWrap/>
            <w:hideMark/>
          </w:tcPr>
          <w:p w14:paraId="6DCCFC21"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98</w:t>
            </w:r>
          </w:p>
        </w:tc>
        <w:tc>
          <w:tcPr>
            <w:tcW w:w="387" w:type="pct"/>
            <w:tcBorders>
              <w:top w:val="single" w:sz="4" w:space="0" w:color="auto"/>
              <w:right w:val="single" w:sz="4" w:space="0" w:color="auto"/>
            </w:tcBorders>
            <w:shd w:val="clear" w:color="auto" w:fill="DBE5F1" w:themeFill="accent1" w:themeFillTint="33"/>
          </w:tcPr>
          <w:p w14:paraId="6BF16E27"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(65.3%)</w:t>
            </w:r>
          </w:p>
        </w:tc>
        <w:tc>
          <w:tcPr>
            <w:tcW w:w="574" w:type="pct"/>
            <w:tcBorders>
              <w:top w:val="single" w:sz="4" w:space="0" w:color="auto"/>
            </w:tcBorders>
            <w:shd w:val="clear" w:color="auto" w:fill="DBE5F1" w:themeFill="accent1" w:themeFillTint="33"/>
          </w:tcPr>
          <w:p w14:paraId="281BCB3A"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52</w:t>
            </w:r>
          </w:p>
        </w:tc>
        <w:tc>
          <w:tcPr>
            <w:tcW w:w="387" w:type="pct"/>
            <w:tcBorders>
              <w:top w:val="single" w:sz="4" w:space="0" w:color="auto"/>
            </w:tcBorders>
            <w:shd w:val="clear" w:color="auto" w:fill="DBE5F1" w:themeFill="accent1" w:themeFillTint="33"/>
          </w:tcPr>
          <w:p w14:paraId="4D5029B1"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(34.7%)</w:t>
            </w:r>
          </w:p>
        </w:tc>
        <w:tc>
          <w:tcPr>
            <w:tcW w:w="637" w:type="pct"/>
            <w:tcBorders>
              <w:top w:val="single" w:sz="4" w:space="0" w:color="auto"/>
              <w:left w:val="single" w:sz="4" w:space="0" w:color="auto"/>
            </w:tcBorders>
            <w:shd w:val="clear" w:color="auto" w:fill="DBE5F1" w:themeFill="accent1" w:themeFillTint="33"/>
            <w:noWrap/>
            <w:hideMark/>
          </w:tcPr>
          <w:p w14:paraId="175C38EE"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43</w:t>
            </w:r>
          </w:p>
        </w:tc>
        <w:tc>
          <w:tcPr>
            <w:tcW w:w="387" w:type="pct"/>
            <w:tcBorders>
              <w:top w:val="single" w:sz="4" w:space="0" w:color="auto"/>
              <w:right w:val="single" w:sz="4" w:space="0" w:color="auto"/>
            </w:tcBorders>
            <w:shd w:val="clear" w:color="auto" w:fill="DBE5F1" w:themeFill="accent1" w:themeFillTint="33"/>
          </w:tcPr>
          <w:p w14:paraId="4800BCD4"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(28.7%)</w:t>
            </w:r>
          </w:p>
        </w:tc>
        <w:tc>
          <w:tcPr>
            <w:tcW w:w="796" w:type="pct"/>
            <w:tcBorders>
              <w:top w:val="single" w:sz="4" w:space="0" w:color="auto"/>
              <w:left w:val="single" w:sz="4" w:space="0" w:color="auto"/>
            </w:tcBorders>
            <w:shd w:val="clear" w:color="auto" w:fill="DBE5F1" w:themeFill="accent1" w:themeFillTint="33"/>
            <w:noWrap/>
            <w:hideMark/>
          </w:tcPr>
          <w:p w14:paraId="5F58FDF6"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w:t>
            </w:r>
          </w:p>
        </w:tc>
        <w:tc>
          <w:tcPr>
            <w:tcW w:w="431" w:type="pct"/>
            <w:tcBorders>
              <w:top w:val="single" w:sz="4" w:space="0" w:color="auto"/>
              <w:right w:val="single" w:sz="4" w:space="0" w:color="auto"/>
            </w:tcBorders>
            <w:shd w:val="clear" w:color="auto" w:fill="DBE5F1" w:themeFill="accent1" w:themeFillTint="33"/>
            <w:vAlign w:val="center"/>
          </w:tcPr>
          <w:p w14:paraId="7413A440" w14:textId="77777777" w:rsidR="00DA4027" w:rsidRPr="00DA4027" w:rsidRDefault="00DA4027"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6.00%</w:t>
            </w:r>
            <w:r>
              <w:rPr>
                <w:rFonts w:ascii="Calibri" w:hAnsi="Calibri"/>
                <w:color w:val="auto"/>
              </w:rPr>
              <w:t>)</w:t>
            </w:r>
          </w:p>
        </w:tc>
        <w:tc>
          <w:tcPr>
            <w:tcW w:w="307" w:type="pct"/>
            <w:tcBorders>
              <w:top w:val="single" w:sz="4" w:space="0" w:color="auto"/>
              <w:left w:val="single" w:sz="4" w:space="0" w:color="auto"/>
              <w:right w:val="single" w:sz="4" w:space="0" w:color="auto"/>
            </w:tcBorders>
            <w:shd w:val="clear" w:color="auto" w:fill="DBE5F1" w:themeFill="accent1" w:themeFillTint="33"/>
          </w:tcPr>
          <w:p w14:paraId="30911BF2" w14:textId="77777777" w:rsidR="00DA4027" w:rsidRPr="00106F64"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150</w:t>
            </w:r>
          </w:p>
        </w:tc>
      </w:tr>
      <w:tr w:rsidR="00DA4027" w:rsidRPr="00FC5C7E" w14:paraId="08362A44"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5" w:type="pct"/>
            <w:tcBorders>
              <w:left w:val="single" w:sz="4" w:space="0" w:color="auto"/>
              <w:right w:val="single" w:sz="4" w:space="0" w:color="auto"/>
            </w:tcBorders>
            <w:noWrap/>
          </w:tcPr>
          <w:p w14:paraId="2980AF96"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2004</w:t>
            </w:r>
          </w:p>
        </w:tc>
        <w:tc>
          <w:tcPr>
            <w:tcW w:w="738" w:type="pct"/>
            <w:tcBorders>
              <w:left w:val="single" w:sz="4" w:space="0" w:color="auto"/>
            </w:tcBorders>
            <w:noWrap/>
            <w:hideMark/>
          </w:tcPr>
          <w:p w14:paraId="48DCDAE5"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128</w:t>
            </w:r>
          </w:p>
        </w:tc>
        <w:tc>
          <w:tcPr>
            <w:tcW w:w="387" w:type="pct"/>
            <w:tcBorders>
              <w:right w:val="single" w:sz="4" w:space="0" w:color="auto"/>
            </w:tcBorders>
          </w:tcPr>
          <w:p w14:paraId="5BC64F04"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(58.4%)</w:t>
            </w:r>
          </w:p>
        </w:tc>
        <w:tc>
          <w:tcPr>
            <w:tcW w:w="574" w:type="pct"/>
            <w:tcBorders>
              <w:right w:val="nil"/>
            </w:tcBorders>
          </w:tcPr>
          <w:p w14:paraId="61D245C3"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91</w:t>
            </w:r>
          </w:p>
        </w:tc>
        <w:tc>
          <w:tcPr>
            <w:tcW w:w="387" w:type="pct"/>
            <w:tcBorders>
              <w:left w:val="nil"/>
            </w:tcBorders>
          </w:tcPr>
          <w:p w14:paraId="5ACB269A"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(41.6%)</w:t>
            </w:r>
          </w:p>
        </w:tc>
        <w:tc>
          <w:tcPr>
            <w:tcW w:w="637" w:type="pct"/>
            <w:tcBorders>
              <w:left w:val="single" w:sz="4" w:space="0" w:color="auto"/>
            </w:tcBorders>
            <w:noWrap/>
            <w:hideMark/>
          </w:tcPr>
          <w:p w14:paraId="3E94B6D7"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63</w:t>
            </w:r>
          </w:p>
        </w:tc>
        <w:tc>
          <w:tcPr>
            <w:tcW w:w="387" w:type="pct"/>
            <w:tcBorders>
              <w:right w:val="single" w:sz="4" w:space="0" w:color="auto"/>
            </w:tcBorders>
          </w:tcPr>
          <w:p w14:paraId="6A37283A"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(28.8%)</w:t>
            </w:r>
          </w:p>
        </w:tc>
        <w:tc>
          <w:tcPr>
            <w:tcW w:w="796" w:type="pct"/>
            <w:tcBorders>
              <w:left w:val="single" w:sz="4" w:space="0" w:color="auto"/>
              <w:right w:val="nil"/>
            </w:tcBorders>
            <w:noWrap/>
            <w:hideMark/>
          </w:tcPr>
          <w:p w14:paraId="610F15E8"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28</w:t>
            </w:r>
          </w:p>
        </w:tc>
        <w:tc>
          <w:tcPr>
            <w:tcW w:w="431" w:type="pct"/>
            <w:tcBorders>
              <w:left w:val="nil"/>
              <w:right w:val="single" w:sz="4" w:space="0" w:color="auto"/>
            </w:tcBorders>
            <w:vAlign w:val="center"/>
          </w:tcPr>
          <w:p w14:paraId="1AC84125" w14:textId="77777777" w:rsidR="00DA4027" w:rsidRPr="00DA4027" w:rsidRDefault="00DA4027"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12.79%</w:t>
            </w:r>
            <w:r>
              <w:rPr>
                <w:rFonts w:ascii="Calibri" w:hAnsi="Calibri"/>
                <w:color w:val="auto"/>
              </w:rPr>
              <w:t>)</w:t>
            </w:r>
          </w:p>
        </w:tc>
        <w:tc>
          <w:tcPr>
            <w:tcW w:w="307" w:type="pct"/>
            <w:tcBorders>
              <w:left w:val="single" w:sz="4" w:space="0" w:color="auto"/>
              <w:right w:val="single" w:sz="4" w:space="0" w:color="auto"/>
            </w:tcBorders>
          </w:tcPr>
          <w:p w14:paraId="0F77F672" w14:textId="77777777" w:rsidR="00DA4027" w:rsidRPr="00106F64"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219</w:t>
            </w:r>
          </w:p>
        </w:tc>
      </w:tr>
      <w:tr w:rsidR="00561E44" w:rsidRPr="00FC5C7E" w14:paraId="563C8CE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 w:type="pct"/>
            <w:tcBorders>
              <w:left w:val="single" w:sz="4" w:space="0" w:color="auto"/>
              <w:right w:val="single" w:sz="4" w:space="0" w:color="auto"/>
            </w:tcBorders>
            <w:shd w:val="clear" w:color="auto" w:fill="DBE5F1" w:themeFill="accent1" w:themeFillTint="33"/>
            <w:noWrap/>
          </w:tcPr>
          <w:p w14:paraId="210024AF"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2005</w:t>
            </w:r>
          </w:p>
        </w:tc>
        <w:tc>
          <w:tcPr>
            <w:tcW w:w="738" w:type="pct"/>
            <w:tcBorders>
              <w:left w:val="single" w:sz="4" w:space="0" w:color="auto"/>
            </w:tcBorders>
            <w:shd w:val="clear" w:color="auto" w:fill="DBE5F1" w:themeFill="accent1" w:themeFillTint="33"/>
            <w:noWrap/>
            <w:hideMark/>
          </w:tcPr>
          <w:p w14:paraId="1D8C06F9"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93</w:t>
            </w:r>
          </w:p>
        </w:tc>
        <w:tc>
          <w:tcPr>
            <w:tcW w:w="387" w:type="pct"/>
            <w:tcBorders>
              <w:right w:val="single" w:sz="4" w:space="0" w:color="auto"/>
            </w:tcBorders>
            <w:shd w:val="clear" w:color="auto" w:fill="DBE5F1" w:themeFill="accent1" w:themeFillTint="33"/>
          </w:tcPr>
          <w:p w14:paraId="1FF4372E"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(68.9%)</w:t>
            </w:r>
          </w:p>
        </w:tc>
        <w:tc>
          <w:tcPr>
            <w:tcW w:w="574" w:type="pct"/>
            <w:shd w:val="clear" w:color="auto" w:fill="DBE5F1" w:themeFill="accent1" w:themeFillTint="33"/>
          </w:tcPr>
          <w:p w14:paraId="76F5A671"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42</w:t>
            </w:r>
          </w:p>
        </w:tc>
        <w:tc>
          <w:tcPr>
            <w:tcW w:w="387" w:type="pct"/>
            <w:shd w:val="clear" w:color="auto" w:fill="DBE5F1" w:themeFill="accent1" w:themeFillTint="33"/>
          </w:tcPr>
          <w:p w14:paraId="48FF28DF"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(31.1%)</w:t>
            </w:r>
          </w:p>
        </w:tc>
        <w:tc>
          <w:tcPr>
            <w:tcW w:w="637" w:type="pct"/>
            <w:tcBorders>
              <w:left w:val="single" w:sz="4" w:space="0" w:color="auto"/>
            </w:tcBorders>
            <w:shd w:val="clear" w:color="auto" w:fill="DBE5F1" w:themeFill="accent1" w:themeFillTint="33"/>
            <w:noWrap/>
            <w:hideMark/>
          </w:tcPr>
          <w:p w14:paraId="7FCFDB88"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29</w:t>
            </w:r>
          </w:p>
        </w:tc>
        <w:tc>
          <w:tcPr>
            <w:tcW w:w="387" w:type="pct"/>
            <w:tcBorders>
              <w:right w:val="single" w:sz="4" w:space="0" w:color="auto"/>
            </w:tcBorders>
            <w:shd w:val="clear" w:color="auto" w:fill="DBE5F1" w:themeFill="accent1" w:themeFillTint="33"/>
          </w:tcPr>
          <w:p w14:paraId="6425FF84"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(21.5%)</w:t>
            </w:r>
          </w:p>
        </w:tc>
        <w:tc>
          <w:tcPr>
            <w:tcW w:w="796" w:type="pct"/>
            <w:tcBorders>
              <w:left w:val="single" w:sz="4" w:space="0" w:color="auto"/>
            </w:tcBorders>
            <w:shd w:val="clear" w:color="auto" w:fill="DBE5F1" w:themeFill="accent1" w:themeFillTint="33"/>
            <w:noWrap/>
            <w:hideMark/>
          </w:tcPr>
          <w:p w14:paraId="20C868C3"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13</w:t>
            </w:r>
          </w:p>
        </w:tc>
        <w:tc>
          <w:tcPr>
            <w:tcW w:w="431" w:type="pct"/>
            <w:tcBorders>
              <w:right w:val="single" w:sz="4" w:space="0" w:color="auto"/>
            </w:tcBorders>
            <w:shd w:val="clear" w:color="auto" w:fill="DBE5F1" w:themeFill="accent1" w:themeFillTint="33"/>
            <w:vAlign w:val="center"/>
          </w:tcPr>
          <w:p w14:paraId="4367B357" w14:textId="77777777" w:rsidR="00DA4027" w:rsidRPr="00DA4027" w:rsidRDefault="00DA4027"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9.63%</w:t>
            </w:r>
            <w:r>
              <w:rPr>
                <w:rFonts w:ascii="Calibri" w:hAnsi="Calibri"/>
                <w:color w:val="auto"/>
              </w:rPr>
              <w:t>)</w:t>
            </w:r>
          </w:p>
        </w:tc>
        <w:tc>
          <w:tcPr>
            <w:tcW w:w="307" w:type="pct"/>
            <w:tcBorders>
              <w:left w:val="single" w:sz="4" w:space="0" w:color="auto"/>
              <w:right w:val="single" w:sz="4" w:space="0" w:color="auto"/>
            </w:tcBorders>
            <w:shd w:val="clear" w:color="auto" w:fill="DBE5F1" w:themeFill="accent1" w:themeFillTint="33"/>
          </w:tcPr>
          <w:p w14:paraId="7C57FAC7" w14:textId="77777777" w:rsidR="00DA4027" w:rsidRPr="00106F64"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135</w:t>
            </w:r>
          </w:p>
        </w:tc>
      </w:tr>
      <w:tr w:rsidR="00DA4027" w:rsidRPr="00FC5C7E" w14:paraId="4941A008"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5" w:type="pct"/>
            <w:tcBorders>
              <w:left w:val="single" w:sz="4" w:space="0" w:color="auto"/>
              <w:right w:val="single" w:sz="4" w:space="0" w:color="auto"/>
            </w:tcBorders>
            <w:noWrap/>
          </w:tcPr>
          <w:p w14:paraId="6BF5F68B"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2006</w:t>
            </w:r>
          </w:p>
        </w:tc>
        <w:tc>
          <w:tcPr>
            <w:tcW w:w="738" w:type="pct"/>
            <w:tcBorders>
              <w:left w:val="single" w:sz="4" w:space="0" w:color="auto"/>
            </w:tcBorders>
            <w:noWrap/>
            <w:hideMark/>
          </w:tcPr>
          <w:p w14:paraId="56002C07"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128</w:t>
            </w:r>
          </w:p>
        </w:tc>
        <w:tc>
          <w:tcPr>
            <w:tcW w:w="387" w:type="pct"/>
            <w:tcBorders>
              <w:right w:val="single" w:sz="4" w:space="0" w:color="auto"/>
            </w:tcBorders>
          </w:tcPr>
          <w:p w14:paraId="5FA5FA5C"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(65.6%)</w:t>
            </w:r>
          </w:p>
        </w:tc>
        <w:tc>
          <w:tcPr>
            <w:tcW w:w="574" w:type="pct"/>
            <w:tcBorders>
              <w:right w:val="nil"/>
            </w:tcBorders>
          </w:tcPr>
          <w:p w14:paraId="7D8271E3"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67</w:t>
            </w:r>
          </w:p>
        </w:tc>
        <w:tc>
          <w:tcPr>
            <w:tcW w:w="387" w:type="pct"/>
            <w:tcBorders>
              <w:left w:val="nil"/>
            </w:tcBorders>
          </w:tcPr>
          <w:p w14:paraId="105802D6"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(34.4%)</w:t>
            </w:r>
          </w:p>
        </w:tc>
        <w:tc>
          <w:tcPr>
            <w:tcW w:w="637" w:type="pct"/>
            <w:tcBorders>
              <w:left w:val="single" w:sz="4" w:space="0" w:color="auto"/>
            </w:tcBorders>
            <w:noWrap/>
            <w:hideMark/>
          </w:tcPr>
          <w:p w14:paraId="1B71787A"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40</w:t>
            </w:r>
          </w:p>
        </w:tc>
        <w:tc>
          <w:tcPr>
            <w:tcW w:w="387" w:type="pct"/>
            <w:tcBorders>
              <w:right w:val="single" w:sz="4" w:space="0" w:color="auto"/>
            </w:tcBorders>
          </w:tcPr>
          <w:p w14:paraId="6B27A4A7"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(20.5%)</w:t>
            </w:r>
          </w:p>
        </w:tc>
        <w:tc>
          <w:tcPr>
            <w:tcW w:w="796" w:type="pct"/>
            <w:tcBorders>
              <w:left w:val="single" w:sz="4" w:space="0" w:color="auto"/>
              <w:right w:val="nil"/>
            </w:tcBorders>
            <w:noWrap/>
            <w:hideMark/>
          </w:tcPr>
          <w:p w14:paraId="6AE48DAE"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27</w:t>
            </w:r>
          </w:p>
        </w:tc>
        <w:tc>
          <w:tcPr>
            <w:tcW w:w="431" w:type="pct"/>
            <w:tcBorders>
              <w:left w:val="nil"/>
              <w:right w:val="single" w:sz="4" w:space="0" w:color="auto"/>
            </w:tcBorders>
            <w:vAlign w:val="center"/>
          </w:tcPr>
          <w:p w14:paraId="5D1C4585" w14:textId="77777777" w:rsidR="00DA4027" w:rsidRPr="00DA4027" w:rsidRDefault="00DA4027"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13.85%</w:t>
            </w:r>
            <w:r>
              <w:rPr>
                <w:rFonts w:ascii="Calibri" w:hAnsi="Calibri"/>
                <w:color w:val="auto"/>
              </w:rPr>
              <w:t>)</w:t>
            </w:r>
          </w:p>
        </w:tc>
        <w:tc>
          <w:tcPr>
            <w:tcW w:w="307" w:type="pct"/>
            <w:tcBorders>
              <w:left w:val="single" w:sz="4" w:space="0" w:color="auto"/>
              <w:right w:val="single" w:sz="4" w:space="0" w:color="auto"/>
            </w:tcBorders>
          </w:tcPr>
          <w:p w14:paraId="20A3DC28" w14:textId="77777777" w:rsidR="00DA4027" w:rsidRPr="00106F64"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195</w:t>
            </w:r>
          </w:p>
        </w:tc>
      </w:tr>
      <w:tr w:rsidR="00561E44" w:rsidRPr="00FC5C7E" w14:paraId="17F94631"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 w:type="pct"/>
            <w:tcBorders>
              <w:left w:val="single" w:sz="4" w:space="0" w:color="auto"/>
              <w:right w:val="single" w:sz="4" w:space="0" w:color="auto"/>
            </w:tcBorders>
            <w:shd w:val="clear" w:color="auto" w:fill="DBE5F1" w:themeFill="accent1" w:themeFillTint="33"/>
            <w:noWrap/>
          </w:tcPr>
          <w:p w14:paraId="75A520E7"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2007</w:t>
            </w:r>
          </w:p>
        </w:tc>
        <w:tc>
          <w:tcPr>
            <w:tcW w:w="738" w:type="pct"/>
            <w:tcBorders>
              <w:left w:val="single" w:sz="4" w:space="0" w:color="auto"/>
            </w:tcBorders>
            <w:shd w:val="clear" w:color="auto" w:fill="DBE5F1" w:themeFill="accent1" w:themeFillTint="33"/>
            <w:noWrap/>
            <w:hideMark/>
          </w:tcPr>
          <w:p w14:paraId="5AEC417E"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97</w:t>
            </w:r>
          </w:p>
        </w:tc>
        <w:tc>
          <w:tcPr>
            <w:tcW w:w="387" w:type="pct"/>
            <w:tcBorders>
              <w:right w:val="single" w:sz="4" w:space="0" w:color="auto"/>
            </w:tcBorders>
            <w:shd w:val="clear" w:color="auto" w:fill="DBE5F1" w:themeFill="accent1" w:themeFillTint="33"/>
          </w:tcPr>
          <w:p w14:paraId="3499571D"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(68.8%)</w:t>
            </w:r>
          </w:p>
        </w:tc>
        <w:tc>
          <w:tcPr>
            <w:tcW w:w="574" w:type="pct"/>
            <w:shd w:val="clear" w:color="auto" w:fill="DBE5F1" w:themeFill="accent1" w:themeFillTint="33"/>
          </w:tcPr>
          <w:p w14:paraId="79AFD34A"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44</w:t>
            </w:r>
          </w:p>
        </w:tc>
        <w:tc>
          <w:tcPr>
            <w:tcW w:w="387" w:type="pct"/>
            <w:shd w:val="clear" w:color="auto" w:fill="DBE5F1" w:themeFill="accent1" w:themeFillTint="33"/>
          </w:tcPr>
          <w:p w14:paraId="6949C354"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(31.2%)</w:t>
            </w:r>
          </w:p>
        </w:tc>
        <w:tc>
          <w:tcPr>
            <w:tcW w:w="637" w:type="pct"/>
            <w:tcBorders>
              <w:left w:val="single" w:sz="4" w:space="0" w:color="auto"/>
            </w:tcBorders>
            <w:shd w:val="clear" w:color="auto" w:fill="DBE5F1" w:themeFill="accent1" w:themeFillTint="33"/>
            <w:noWrap/>
            <w:hideMark/>
          </w:tcPr>
          <w:p w14:paraId="4DD75AB0"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30</w:t>
            </w:r>
          </w:p>
        </w:tc>
        <w:tc>
          <w:tcPr>
            <w:tcW w:w="387" w:type="pct"/>
            <w:tcBorders>
              <w:right w:val="single" w:sz="4" w:space="0" w:color="auto"/>
            </w:tcBorders>
            <w:shd w:val="clear" w:color="auto" w:fill="DBE5F1" w:themeFill="accent1" w:themeFillTint="33"/>
          </w:tcPr>
          <w:p w14:paraId="59BEDE5D"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(21.3%)</w:t>
            </w:r>
          </w:p>
        </w:tc>
        <w:tc>
          <w:tcPr>
            <w:tcW w:w="796" w:type="pct"/>
            <w:tcBorders>
              <w:left w:val="single" w:sz="4" w:space="0" w:color="auto"/>
            </w:tcBorders>
            <w:shd w:val="clear" w:color="auto" w:fill="DBE5F1" w:themeFill="accent1" w:themeFillTint="33"/>
            <w:noWrap/>
            <w:hideMark/>
          </w:tcPr>
          <w:p w14:paraId="0A657A1E"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14</w:t>
            </w:r>
          </w:p>
        </w:tc>
        <w:tc>
          <w:tcPr>
            <w:tcW w:w="431" w:type="pct"/>
            <w:tcBorders>
              <w:right w:val="single" w:sz="4" w:space="0" w:color="auto"/>
            </w:tcBorders>
            <w:shd w:val="clear" w:color="auto" w:fill="DBE5F1" w:themeFill="accent1" w:themeFillTint="33"/>
            <w:vAlign w:val="center"/>
          </w:tcPr>
          <w:p w14:paraId="720A8CB0" w14:textId="77777777" w:rsidR="00DA4027" w:rsidRPr="00DA4027" w:rsidRDefault="00DA4027"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9.93%</w:t>
            </w:r>
            <w:r>
              <w:rPr>
                <w:rFonts w:ascii="Calibri" w:hAnsi="Calibri"/>
                <w:color w:val="auto"/>
              </w:rPr>
              <w:t>)</w:t>
            </w:r>
          </w:p>
        </w:tc>
        <w:tc>
          <w:tcPr>
            <w:tcW w:w="307" w:type="pct"/>
            <w:tcBorders>
              <w:left w:val="single" w:sz="4" w:space="0" w:color="auto"/>
              <w:right w:val="single" w:sz="4" w:space="0" w:color="auto"/>
            </w:tcBorders>
            <w:shd w:val="clear" w:color="auto" w:fill="DBE5F1" w:themeFill="accent1" w:themeFillTint="33"/>
          </w:tcPr>
          <w:p w14:paraId="19C43A32" w14:textId="77777777" w:rsidR="00DA4027" w:rsidRPr="00106F64"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141</w:t>
            </w:r>
          </w:p>
        </w:tc>
      </w:tr>
      <w:tr w:rsidR="00DA4027" w:rsidRPr="00FC5C7E" w14:paraId="3EF6644E"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5" w:type="pct"/>
            <w:tcBorders>
              <w:left w:val="single" w:sz="4" w:space="0" w:color="auto"/>
              <w:right w:val="single" w:sz="4" w:space="0" w:color="auto"/>
            </w:tcBorders>
            <w:noWrap/>
          </w:tcPr>
          <w:p w14:paraId="510677DA"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2008</w:t>
            </w:r>
          </w:p>
        </w:tc>
        <w:tc>
          <w:tcPr>
            <w:tcW w:w="738" w:type="pct"/>
            <w:tcBorders>
              <w:left w:val="single" w:sz="4" w:space="0" w:color="auto"/>
            </w:tcBorders>
            <w:noWrap/>
            <w:hideMark/>
          </w:tcPr>
          <w:p w14:paraId="0030CCED"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136</w:t>
            </w:r>
          </w:p>
        </w:tc>
        <w:tc>
          <w:tcPr>
            <w:tcW w:w="387" w:type="pct"/>
            <w:tcBorders>
              <w:right w:val="single" w:sz="4" w:space="0" w:color="auto"/>
            </w:tcBorders>
          </w:tcPr>
          <w:p w14:paraId="6B3254B2"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(78.6%)</w:t>
            </w:r>
          </w:p>
        </w:tc>
        <w:tc>
          <w:tcPr>
            <w:tcW w:w="574" w:type="pct"/>
            <w:tcBorders>
              <w:right w:val="nil"/>
            </w:tcBorders>
          </w:tcPr>
          <w:p w14:paraId="04E81E24"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37</w:t>
            </w:r>
          </w:p>
        </w:tc>
        <w:tc>
          <w:tcPr>
            <w:tcW w:w="387" w:type="pct"/>
            <w:tcBorders>
              <w:left w:val="nil"/>
            </w:tcBorders>
          </w:tcPr>
          <w:p w14:paraId="57D8F51D"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(21.4%)</w:t>
            </w:r>
          </w:p>
        </w:tc>
        <w:tc>
          <w:tcPr>
            <w:tcW w:w="637" w:type="pct"/>
            <w:tcBorders>
              <w:left w:val="single" w:sz="4" w:space="0" w:color="auto"/>
            </w:tcBorders>
            <w:noWrap/>
            <w:hideMark/>
          </w:tcPr>
          <w:p w14:paraId="39402F8E"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27</w:t>
            </w:r>
          </w:p>
        </w:tc>
        <w:tc>
          <w:tcPr>
            <w:tcW w:w="387" w:type="pct"/>
            <w:tcBorders>
              <w:right w:val="single" w:sz="4" w:space="0" w:color="auto"/>
            </w:tcBorders>
          </w:tcPr>
          <w:p w14:paraId="6E6D2224"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(15.6%)</w:t>
            </w:r>
          </w:p>
        </w:tc>
        <w:tc>
          <w:tcPr>
            <w:tcW w:w="796" w:type="pct"/>
            <w:tcBorders>
              <w:left w:val="single" w:sz="4" w:space="0" w:color="auto"/>
              <w:right w:val="nil"/>
            </w:tcBorders>
            <w:noWrap/>
            <w:hideMark/>
          </w:tcPr>
          <w:p w14:paraId="6BC3AAD3"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10</w:t>
            </w:r>
          </w:p>
        </w:tc>
        <w:tc>
          <w:tcPr>
            <w:tcW w:w="431" w:type="pct"/>
            <w:tcBorders>
              <w:left w:val="nil"/>
              <w:right w:val="single" w:sz="4" w:space="0" w:color="auto"/>
            </w:tcBorders>
            <w:vAlign w:val="center"/>
          </w:tcPr>
          <w:p w14:paraId="4C7D4249" w14:textId="77777777" w:rsidR="00DA4027" w:rsidRPr="00DA4027" w:rsidRDefault="00DA4027"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5.78%</w:t>
            </w:r>
            <w:r>
              <w:rPr>
                <w:rFonts w:ascii="Calibri" w:hAnsi="Calibri"/>
                <w:color w:val="auto"/>
              </w:rPr>
              <w:t>)</w:t>
            </w:r>
          </w:p>
        </w:tc>
        <w:tc>
          <w:tcPr>
            <w:tcW w:w="307" w:type="pct"/>
            <w:tcBorders>
              <w:left w:val="single" w:sz="4" w:space="0" w:color="auto"/>
              <w:right w:val="single" w:sz="4" w:space="0" w:color="auto"/>
            </w:tcBorders>
          </w:tcPr>
          <w:p w14:paraId="7C64B811" w14:textId="77777777" w:rsidR="00DA4027" w:rsidRPr="00106F64"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173</w:t>
            </w:r>
          </w:p>
        </w:tc>
      </w:tr>
      <w:tr w:rsidR="00561E44" w:rsidRPr="00FC5C7E" w14:paraId="15EF25D0"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 w:type="pct"/>
            <w:tcBorders>
              <w:left w:val="single" w:sz="4" w:space="0" w:color="auto"/>
              <w:right w:val="single" w:sz="4" w:space="0" w:color="auto"/>
            </w:tcBorders>
            <w:shd w:val="clear" w:color="auto" w:fill="DBE5F1" w:themeFill="accent1" w:themeFillTint="33"/>
            <w:noWrap/>
          </w:tcPr>
          <w:p w14:paraId="0D72CF31"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2009</w:t>
            </w:r>
          </w:p>
        </w:tc>
        <w:tc>
          <w:tcPr>
            <w:tcW w:w="738" w:type="pct"/>
            <w:tcBorders>
              <w:left w:val="single" w:sz="4" w:space="0" w:color="auto"/>
            </w:tcBorders>
            <w:shd w:val="clear" w:color="auto" w:fill="DBE5F1" w:themeFill="accent1" w:themeFillTint="33"/>
            <w:noWrap/>
            <w:hideMark/>
          </w:tcPr>
          <w:p w14:paraId="08834FE3"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136</w:t>
            </w:r>
          </w:p>
        </w:tc>
        <w:tc>
          <w:tcPr>
            <w:tcW w:w="387" w:type="pct"/>
            <w:tcBorders>
              <w:right w:val="single" w:sz="4" w:space="0" w:color="auto"/>
            </w:tcBorders>
            <w:shd w:val="clear" w:color="auto" w:fill="DBE5F1" w:themeFill="accent1" w:themeFillTint="33"/>
          </w:tcPr>
          <w:p w14:paraId="309C7D13"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(68.7%)</w:t>
            </w:r>
          </w:p>
        </w:tc>
        <w:tc>
          <w:tcPr>
            <w:tcW w:w="574" w:type="pct"/>
            <w:shd w:val="clear" w:color="auto" w:fill="DBE5F1" w:themeFill="accent1" w:themeFillTint="33"/>
          </w:tcPr>
          <w:p w14:paraId="7E7711EC"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62</w:t>
            </w:r>
          </w:p>
        </w:tc>
        <w:tc>
          <w:tcPr>
            <w:tcW w:w="387" w:type="pct"/>
            <w:shd w:val="clear" w:color="auto" w:fill="DBE5F1" w:themeFill="accent1" w:themeFillTint="33"/>
          </w:tcPr>
          <w:p w14:paraId="38F78AA3"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(31.3%)</w:t>
            </w:r>
          </w:p>
        </w:tc>
        <w:tc>
          <w:tcPr>
            <w:tcW w:w="637" w:type="pct"/>
            <w:tcBorders>
              <w:left w:val="single" w:sz="4" w:space="0" w:color="auto"/>
            </w:tcBorders>
            <w:shd w:val="clear" w:color="auto" w:fill="DBE5F1" w:themeFill="accent1" w:themeFillTint="33"/>
            <w:noWrap/>
            <w:hideMark/>
          </w:tcPr>
          <w:p w14:paraId="0B8E6B75"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38</w:t>
            </w:r>
          </w:p>
        </w:tc>
        <w:tc>
          <w:tcPr>
            <w:tcW w:w="387" w:type="pct"/>
            <w:tcBorders>
              <w:right w:val="single" w:sz="4" w:space="0" w:color="auto"/>
            </w:tcBorders>
            <w:shd w:val="clear" w:color="auto" w:fill="DBE5F1" w:themeFill="accent1" w:themeFillTint="33"/>
          </w:tcPr>
          <w:p w14:paraId="71BD0B9E"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(19.2%)</w:t>
            </w:r>
          </w:p>
        </w:tc>
        <w:tc>
          <w:tcPr>
            <w:tcW w:w="796" w:type="pct"/>
            <w:tcBorders>
              <w:left w:val="single" w:sz="4" w:space="0" w:color="auto"/>
            </w:tcBorders>
            <w:shd w:val="clear" w:color="auto" w:fill="DBE5F1" w:themeFill="accent1" w:themeFillTint="33"/>
            <w:noWrap/>
            <w:hideMark/>
          </w:tcPr>
          <w:p w14:paraId="7C739B5D"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24</w:t>
            </w:r>
          </w:p>
        </w:tc>
        <w:tc>
          <w:tcPr>
            <w:tcW w:w="431" w:type="pct"/>
            <w:tcBorders>
              <w:right w:val="single" w:sz="4" w:space="0" w:color="auto"/>
            </w:tcBorders>
            <w:shd w:val="clear" w:color="auto" w:fill="DBE5F1" w:themeFill="accent1" w:themeFillTint="33"/>
            <w:vAlign w:val="center"/>
          </w:tcPr>
          <w:p w14:paraId="7A1C3F6F" w14:textId="77777777" w:rsidR="00DA4027" w:rsidRPr="00DA4027" w:rsidRDefault="00DA4027"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12.12%</w:t>
            </w:r>
            <w:r>
              <w:rPr>
                <w:rFonts w:ascii="Calibri" w:hAnsi="Calibri"/>
                <w:color w:val="auto"/>
              </w:rPr>
              <w:t>)</w:t>
            </w:r>
          </w:p>
        </w:tc>
        <w:tc>
          <w:tcPr>
            <w:tcW w:w="307" w:type="pct"/>
            <w:tcBorders>
              <w:left w:val="single" w:sz="4" w:space="0" w:color="auto"/>
              <w:right w:val="single" w:sz="4" w:space="0" w:color="auto"/>
            </w:tcBorders>
            <w:shd w:val="clear" w:color="auto" w:fill="DBE5F1" w:themeFill="accent1" w:themeFillTint="33"/>
          </w:tcPr>
          <w:p w14:paraId="28BA80E2" w14:textId="77777777" w:rsidR="00DA4027" w:rsidRPr="00106F64"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198</w:t>
            </w:r>
          </w:p>
        </w:tc>
      </w:tr>
      <w:tr w:rsidR="00DA4027" w:rsidRPr="00FC5C7E" w14:paraId="19356DC4"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5" w:type="pct"/>
            <w:tcBorders>
              <w:left w:val="single" w:sz="4" w:space="0" w:color="auto"/>
              <w:right w:val="single" w:sz="4" w:space="0" w:color="auto"/>
            </w:tcBorders>
            <w:noWrap/>
          </w:tcPr>
          <w:p w14:paraId="128A4986"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2010</w:t>
            </w:r>
          </w:p>
        </w:tc>
        <w:tc>
          <w:tcPr>
            <w:tcW w:w="738" w:type="pct"/>
            <w:tcBorders>
              <w:left w:val="single" w:sz="4" w:space="0" w:color="auto"/>
            </w:tcBorders>
            <w:noWrap/>
            <w:hideMark/>
          </w:tcPr>
          <w:p w14:paraId="5E334C8E"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130</w:t>
            </w:r>
          </w:p>
        </w:tc>
        <w:tc>
          <w:tcPr>
            <w:tcW w:w="387" w:type="pct"/>
            <w:tcBorders>
              <w:right w:val="single" w:sz="4" w:space="0" w:color="auto"/>
            </w:tcBorders>
          </w:tcPr>
          <w:p w14:paraId="710CCA3C"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(64.7%)</w:t>
            </w:r>
          </w:p>
        </w:tc>
        <w:tc>
          <w:tcPr>
            <w:tcW w:w="574" w:type="pct"/>
            <w:tcBorders>
              <w:right w:val="nil"/>
            </w:tcBorders>
          </w:tcPr>
          <w:p w14:paraId="12B75A28"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71</w:t>
            </w:r>
          </w:p>
        </w:tc>
        <w:tc>
          <w:tcPr>
            <w:tcW w:w="387" w:type="pct"/>
            <w:tcBorders>
              <w:left w:val="nil"/>
            </w:tcBorders>
          </w:tcPr>
          <w:p w14:paraId="1F0A7BD6"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(35.3%)</w:t>
            </w:r>
          </w:p>
        </w:tc>
        <w:tc>
          <w:tcPr>
            <w:tcW w:w="637" w:type="pct"/>
            <w:tcBorders>
              <w:left w:val="single" w:sz="4" w:space="0" w:color="auto"/>
            </w:tcBorders>
            <w:noWrap/>
            <w:hideMark/>
          </w:tcPr>
          <w:p w14:paraId="703D8945"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46</w:t>
            </w:r>
          </w:p>
        </w:tc>
        <w:tc>
          <w:tcPr>
            <w:tcW w:w="387" w:type="pct"/>
            <w:tcBorders>
              <w:right w:val="single" w:sz="4" w:space="0" w:color="auto"/>
            </w:tcBorders>
          </w:tcPr>
          <w:p w14:paraId="03C815AE"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(22.9%)</w:t>
            </w:r>
          </w:p>
        </w:tc>
        <w:tc>
          <w:tcPr>
            <w:tcW w:w="796" w:type="pct"/>
            <w:tcBorders>
              <w:left w:val="single" w:sz="4" w:space="0" w:color="auto"/>
              <w:right w:val="nil"/>
            </w:tcBorders>
            <w:noWrap/>
            <w:hideMark/>
          </w:tcPr>
          <w:p w14:paraId="2DF46032"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25</w:t>
            </w:r>
          </w:p>
        </w:tc>
        <w:tc>
          <w:tcPr>
            <w:tcW w:w="431" w:type="pct"/>
            <w:tcBorders>
              <w:left w:val="nil"/>
              <w:right w:val="single" w:sz="4" w:space="0" w:color="auto"/>
            </w:tcBorders>
            <w:vAlign w:val="center"/>
          </w:tcPr>
          <w:p w14:paraId="131B298C" w14:textId="77777777" w:rsidR="00DA4027" w:rsidRPr="00DA4027" w:rsidRDefault="00DA4027"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12.44%</w:t>
            </w:r>
            <w:r>
              <w:rPr>
                <w:rFonts w:ascii="Calibri" w:hAnsi="Calibri"/>
                <w:color w:val="auto"/>
              </w:rPr>
              <w:t>)</w:t>
            </w:r>
          </w:p>
        </w:tc>
        <w:tc>
          <w:tcPr>
            <w:tcW w:w="307" w:type="pct"/>
            <w:tcBorders>
              <w:left w:val="single" w:sz="4" w:space="0" w:color="auto"/>
              <w:right w:val="single" w:sz="4" w:space="0" w:color="auto"/>
            </w:tcBorders>
          </w:tcPr>
          <w:p w14:paraId="141588FF" w14:textId="77777777" w:rsidR="00DA4027" w:rsidRPr="00106F64"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201</w:t>
            </w:r>
          </w:p>
        </w:tc>
      </w:tr>
      <w:tr w:rsidR="00561E44" w:rsidRPr="00FC5C7E" w14:paraId="45B15E7C"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 w:type="pct"/>
            <w:tcBorders>
              <w:left w:val="single" w:sz="4" w:space="0" w:color="auto"/>
              <w:right w:val="single" w:sz="4" w:space="0" w:color="auto"/>
            </w:tcBorders>
            <w:shd w:val="clear" w:color="auto" w:fill="DBE5F1" w:themeFill="accent1" w:themeFillTint="33"/>
            <w:noWrap/>
          </w:tcPr>
          <w:p w14:paraId="31C0A47D"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2011</w:t>
            </w:r>
          </w:p>
        </w:tc>
        <w:tc>
          <w:tcPr>
            <w:tcW w:w="738" w:type="pct"/>
            <w:tcBorders>
              <w:left w:val="single" w:sz="4" w:space="0" w:color="auto"/>
            </w:tcBorders>
            <w:shd w:val="clear" w:color="auto" w:fill="DBE5F1" w:themeFill="accent1" w:themeFillTint="33"/>
            <w:noWrap/>
            <w:hideMark/>
          </w:tcPr>
          <w:p w14:paraId="4673104C"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141</w:t>
            </w:r>
          </w:p>
        </w:tc>
        <w:tc>
          <w:tcPr>
            <w:tcW w:w="387" w:type="pct"/>
            <w:tcBorders>
              <w:right w:val="single" w:sz="4" w:space="0" w:color="auto"/>
            </w:tcBorders>
            <w:shd w:val="clear" w:color="auto" w:fill="DBE5F1" w:themeFill="accent1" w:themeFillTint="33"/>
          </w:tcPr>
          <w:p w14:paraId="474518FD"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(71.2%)</w:t>
            </w:r>
          </w:p>
        </w:tc>
        <w:tc>
          <w:tcPr>
            <w:tcW w:w="574" w:type="pct"/>
            <w:shd w:val="clear" w:color="auto" w:fill="DBE5F1" w:themeFill="accent1" w:themeFillTint="33"/>
          </w:tcPr>
          <w:p w14:paraId="40DC7289"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57</w:t>
            </w:r>
          </w:p>
        </w:tc>
        <w:tc>
          <w:tcPr>
            <w:tcW w:w="387" w:type="pct"/>
            <w:shd w:val="clear" w:color="auto" w:fill="DBE5F1" w:themeFill="accent1" w:themeFillTint="33"/>
          </w:tcPr>
          <w:p w14:paraId="6422B654"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(28.8%)</w:t>
            </w:r>
          </w:p>
        </w:tc>
        <w:tc>
          <w:tcPr>
            <w:tcW w:w="637" w:type="pct"/>
            <w:tcBorders>
              <w:left w:val="single" w:sz="4" w:space="0" w:color="auto"/>
            </w:tcBorders>
            <w:shd w:val="clear" w:color="auto" w:fill="DBE5F1" w:themeFill="accent1" w:themeFillTint="33"/>
            <w:noWrap/>
            <w:hideMark/>
          </w:tcPr>
          <w:p w14:paraId="22B99613"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34</w:t>
            </w:r>
          </w:p>
        </w:tc>
        <w:tc>
          <w:tcPr>
            <w:tcW w:w="387" w:type="pct"/>
            <w:tcBorders>
              <w:right w:val="single" w:sz="4" w:space="0" w:color="auto"/>
            </w:tcBorders>
            <w:shd w:val="clear" w:color="auto" w:fill="DBE5F1" w:themeFill="accent1" w:themeFillTint="33"/>
          </w:tcPr>
          <w:p w14:paraId="44BF1D69"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(17.2%)</w:t>
            </w:r>
          </w:p>
        </w:tc>
        <w:tc>
          <w:tcPr>
            <w:tcW w:w="796" w:type="pct"/>
            <w:tcBorders>
              <w:left w:val="single" w:sz="4" w:space="0" w:color="auto"/>
            </w:tcBorders>
            <w:shd w:val="clear" w:color="auto" w:fill="DBE5F1" w:themeFill="accent1" w:themeFillTint="33"/>
            <w:noWrap/>
            <w:hideMark/>
          </w:tcPr>
          <w:p w14:paraId="72D81C0F" w14:textId="77777777" w:rsidR="00DA4027" w:rsidRPr="00F0043D"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23</w:t>
            </w:r>
          </w:p>
        </w:tc>
        <w:tc>
          <w:tcPr>
            <w:tcW w:w="431" w:type="pct"/>
            <w:tcBorders>
              <w:right w:val="single" w:sz="4" w:space="0" w:color="auto"/>
            </w:tcBorders>
            <w:shd w:val="clear" w:color="auto" w:fill="DBE5F1" w:themeFill="accent1" w:themeFillTint="33"/>
            <w:vAlign w:val="center"/>
          </w:tcPr>
          <w:p w14:paraId="67B96043" w14:textId="77777777" w:rsidR="00DA4027" w:rsidRPr="00DA4027" w:rsidRDefault="00DA4027"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11.62%</w:t>
            </w:r>
            <w:r>
              <w:rPr>
                <w:rFonts w:ascii="Calibri" w:hAnsi="Calibri"/>
                <w:color w:val="auto"/>
              </w:rPr>
              <w:t>)</w:t>
            </w:r>
          </w:p>
        </w:tc>
        <w:tc>
          <w:tcPr>
            <w:tcW w:w="307" w:type="pct"/>
            <w:tcBorders>
              <w:left w:val="single" w:sz="4" w:space="0" w:color="auto"/>
              <w:right w:val="single" w:sz="4" w:space="0" w:color="auto"/>
            </w:tcBorders>
            <w:shd w:val="clear" w:color="auto" w:fill="DBE5F1" w:themeFill="accent1" w:themeFillTint="33"/>
          </w:tcPr>
          <w:p w14:paraId="4DAECB12" w14:textId="77777777" w:rsidR="00DA4027" w:rsidRPr="00106F64"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198</w:t>
            </w:r>
          </w:p>
        </w:tc>
      </w:tr>
      <w:tr w:rsidR="00DA4027" w:rsidRPr="00FC5C7E" w14:paraId="01324833"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355" w:type="pct"/>
            <w:tcBorders>
              <w:left w:val="single" w:sz="4" w:space="0" w:color="auto"/>
              <w:bottom w:val="single" w:sz="4" w:space="0" w:color="auto"/>
              <w:right w:val="single" w:sz="4" w:space="0" w:color="auto"/>
            </w:tcBorders>
            <w:noWrap/>
          </w:tcPr>
          <w:p w14:paraId="408298EF" w14:textId="77777777" w:rsidR="00DA4027" w:rsidRPr="00FC5C7E" w:rsidRDefault="00DA4027" w:rsidP="00CE2FDF">
            <w:pPr>
              <w:tabs>
                <w:tab w:val="left" w:pos="1134"/>
              </w:tabs>
              <w:spacing w:before="0" w:line="276" w:lineRule="auto"/>
              <w:rPr>
                <w:rFonts w:eastAsia="Times New Roman" w:cs="Arial"/>
                <w:bCs w:val="0"/>
                <w:color w:val="auto"/>
                <w:lang w:eastAsia="en-AU"/>
              </w:rPr>
            </w:pPr>
            <w:r w:rsidRPr="00FC5C7E">
              <w:rPr>
                <w:rFonts w:eastAsia="Times New Roman" w:cs="Arial"/>
                <w:bCs w:val="0"/>
                <w:color w:val="auto"/>
                <w:lang w:eastAsia="en-AU"/>
              </w:rPr>
              <w:t>2012</w:t>
            </w:r>
          </w:p>
        </w:tc>
        <w:tc>
          <w:tcPr>
            <w:tcW w:w="738" w:type="pct"/>
            <w:tcBorders>
              <w:left w:val="single" w:sz="4" w:space="0" w:color="auto"/>
              <w:bottom w:val="single" w:sz="4" w:space="0" w:color="auto"/>
            </w:tcBorders>
            <w:noWrap/>
            <w:hideMark/>
          </w:tcPr>
          <w:p w14:paraId="6D31D327"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135</w:t>
            </w:r>
          </w:p>
        </w:tc>
        <w:tc>
          <w:tcPr>
            <w:tcW w:w="387" w:type="pct"/>
            <w:tcBorders>
              <w:bottom w:val="single" w:sz="4" w:space="0" w:color="auto"/>
              <w:right w:val="single" w:sz="4" w:space="0" w:color="auto"/>
            </w:tcBorders>
          </w:tcPr>
          <w:p w14:paraId="2B7E6034"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(77.6%)</w:t>
            </w:r>
          </w:p>
        </w:tc>
        <w:tc>
          <w:tcPr>
            <w:tcW w:w="574" w:type="pct"/>
            <w:tcBorders>
              <w:bottom w:val="single" w:sz="4" w:space="0" w:color="auto"/>
              <w:right w:val="nil"/>
            </w:tcBorders>
          </w:tcPr>
          <w:p w14:paraId="2A3D670F"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39</w:t>
            </w:r>
          </w:p>
        </w:tc>
        <w:tc>
          <w:tcPr>
            <w:tcW w:w="387" w:type="pct"/>
            <w:tcBorders>
              <w:left w:val="nil"/>
              <w:bottom w:val="single" w:sz="4" w:space="0" w:color="auto"/>
            </w:tcBorders>
          </w:tcPr>
          <w:p w14:paraId="10A77ED2"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(22.4%)</w:t>
            </w:r>
          </w:p>
        </w:tc>
        <w:tc>
          <w:tcPr>
            <w:tcW w:w="637" w:type="pct"/>
            <w:tcBorders>
              <w:left w:val="single" w:sz="4" w:space="0" w:color="auto"/>
              <w:bottom w:val="single" w:sz="4" w:space="0" w:color="auto"/>
            </w:tcBorders>
            <w:noWrap/>
            <w:hideMark/>
          </w:tcPr>
          <w:p w14:paraId="04B90600"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23</w:t>
            </w:r>
          </w:p>
        </w:tc>
        <w:tc>
          <w:tcPr>
            <w:tcW w:w="387" w:type="pct"/>
            <w:tcBorders>
              <w:bottom w:val="single" w:sz="4" w:space="0" w:color="auto"/>
              <w:right w:val="single" w:sz="4" w:space="0" w:color="auto"/>
            </w:tcBorders>
          </w:tcPr>
          <w:p w14:paraId="4927DAF5"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(13.2%)</w:t>
            </w:r>
          </w:p>
        </w:tc>
        <w:tc>
          <w:tcPr>
            <w:tcW w:w="796" w:type="pct"/>
            <w:tcBorders>
              <w:left w:val="single" w:sz="4" w:space="0" w:color="auto"/>
              <w:bottom w:val="single" w:sz="4" w:space="0" w:color="auto"/>
              <w:right w:val="nil"/>
            </w:tcBorders>
            <w:noWrap/>
            <w:hideMark/>
          </w:tcPr>
          <w:p w14:paraId="1907C23F" w14:textId="77777777" w:rsidR="00DA4027" w:rsidRPr="00F0043D"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0043D">
              <w:rPr>
                <w:rFonts w:eastAsia="Times New Roman" w:cs="Arial"/>
                <w:color w:val="000000"/>
                <w:lang w:eastAsia="en-AU"/>
              </w:rPr>
              <w:t>16</w:t>
            </w:r>
          </w:p>
        </w:tc>
        <w:tc>
          <w:tcPr>
            <w:tcW w:w="431" w:type="pct"/>
            <w:tcBorders>
              <w:left w:val="nil"/>
              <w:bottom w:val="single" w:sz="4" w:space="0" w:color="auto"/>
              <w:right w:val="single" w:sz="4" w:space="0" w:color="auto"/>
            </w:tcBorders>
            <w:vAlign w:val="center"/>
          </w:tcPr>
          <w:p w14:paraId="59B3AB2D" w14:textId="77777777" w:rsidR="00DA4027" w:rsidRPr="00DA4027" w:rsidRDefault="00DA4027"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9.20%</w:t>
            </w:r>
            <w:r>
              <w:rPr>
                <w:rFonts w:ascii="Calibri" w:hAnsi="Calibri"/>
                <w:color w:val="auto"/>
              </w:rPr>
              <w:t>)</w:t>
            </w:r>
          </w:p>
        </w:tc>
        <w:tc>
          <w:tcPr>
            <w:tcW w:w="307" w:type="pct"/>
            <w:tcBorders>
              <w:left w:val="single" w:sz="4" w:space="0" w:color="auto"/>
              <w:bottom w:val="single" w:sz="4" w:space="0" w:color="auto"/>
              <w:right w:val="single" w:sz="4" w:space="0" w:color="auto"/>
            </w:tcBorders>
          </w:tcPr>
          <w:p w14:paraId="5CBAB157" w14:textId="77777777" w:rsidR="00DA4027" w:rsidRPr="00106F64" w:rsidRDefault="00DA4027"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lang w:eastAsia="en-AU"/>
              </w:rPr>
            </w:pPr>
            <w:r w:rsidRPr="00106F64">
              <w:rPr>
                <w:rFonts w:eastAsia="Times New Roman" w:cs="Arial"/>
                <w:b/>
                <w:color w:val="auto"/>
                <w:lang w:eastAsia="en-AU"/>
              </w:rPr>
              <w:t>174</w:t>
            </w:r>
          </w:p>
        </w:tc>
      </w:tr>
      <w:tr w:rsidR="002418F8" w:rsidRPr="00FC5C7E" w14:paraId="237936DE" w14:textId="77777777" w:rsidTr="00B605C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01088E18" w14:textId="77777777" w:rsidR="00DA4027" w:rsidRPr="00FC5C7E" w:rsidRDefault="00DA4027" w:rsidP="00CE2FDF">
            <w:pPr>
              <w:tabs>
                <w:tab w:val="left" w:pos="1134"/>
              </w:tabs>
              <w:spacing w:before="0" w:line="276" w:lineRule="auto"/>
              <w:rPr>
                <w:rFonts w:eastAsia="Times New Roman" w:cs="Arial"/>
                <w:color w:val="auto"/>
                <w:lang w:eastAsia="en-AU"/>
              </w:rPr>
            </w:pPr>
            <w:r w:rsidRPr="00FC5C7E">
              <w:rPr>
                <w:rFonts w:eastAsia="Times New Roman" w:cs="Arial"/>
                <w:bCs w:val="0"/>
                <w:color w:val="auto"/>
                <w:lang w:eastAsia="en-AU"/>
              </w:rPr>
              <w:t>Totals:</w:t>
            </w:r>
          </w:p>
        </w:tc>
        <w:tc>
          <w:tcPr>
            <w:tcW w:w="738" w:type="pct"/>
            <w:tcBorders>
              <w:top w:val="single" w:sz="4" w:space="0" w:color="auto"/>
              <w:left w:val="single" w:sz="4" w:space="0" w:color="auto"/>
              <w:bottom w:val="single" w:sz="4" w:space="0" w:color="auto"/>
            </w:tcBorders>
            <w:shd w:val="clear" w:color="auto" w:fill="95B3D7" w:themeFill="accent1" w:themeFillTint="99"/>
            <w:noWrap/>
          </w:tcPr>
          <w:p w14:paraId="403FDFB9" w14:textId="77777777" w:rsidR="00DA4027" w:rsidRPr="00747CDE"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222</w:t>
            </w:r>
          </w:p>
        </w:tc>
        <w:tc>
          <w:tcPr>
            <w:tcW w:w="387" w:type="pct"/>
            <w:tcBorders>
              <w:top w:val="single" w:sz="4" w:space="0" w:color="auto"/>
              <w:bottom w:val="single" w:sz="4" w:space="0" w:color="auto"/>
              <w:right w:val="single" w:sz="4" w:space="0" w:color="auto"/>
            </w:tcBorders>
            <w:shd w:val="clear" w:color="auto" w:fill="95B3D7" w:themeFill="accent1" w:themeFillTint="99"/>
          </w:tcPr>
          <w:p w14:paraId="6D76999A" w14:textId="77777777" w:rsidR="00DA4027" w:rsidRPr="00747CDE"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(68.5%)</w:t>
            </w:r>
          </w:p>
        </w:tc>
        <w:tc>
          <w:tcPr>
            <w:tcW w:w="574" w:type="pct"/>
            <w:tcBorders>
              <w:top w:val="single" w:sz="4" w:space="0" w:color="auto"/>
              <w:bottom w:val="single" w:sz="4" w:space="0" w:color="auto"/>
            </w:tcBorders>
            <w:shd w:val="clear" w:color="auto" w:fill="95B3D7" w:themeFill="accent1" w:themeFillTint="99"/>
          </w:tcPr>
          <w:p w14:paraId="79EF8EEB" w14:textId="77777777" w:rsidR="00DA4027" w:rsidRPr="00747CDE"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562</w:t>
            </w:r>
          </w:p>
        </w:tc>
        <w:tc>
          <w:tcPr>
            <w:tcW w:w="387" w:type="pct"/>
            <w:tcBorders>
              <w:top w:val="single" w:sz="4" w:space="0" w:color="auto"/>
              <w:bottom w:val="single" w:sz="4" w:space="0" w:color="auto"/>
            </w:tcBorders>
            <w:shd w:val="clear" w:color="auto" w:fill="95B3D7" w:themeFill="accent1" w:themeFillTint="99"/>
          </w:tcPr>
          <w:p w14:paraId="764AD5D0" w14:textId="77777777" w:rsidR="00DA4027" w:rsidRPr="00747CDE"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(31.5%)</w:t>
            </w:r>
          </w:p>
        </w:tc>
        <w:tc>
          <w:tcPr>
            <w:tcW w:w="637" w:type="pct"/>
            <w:tcBorders>
              <w:top w:val="single" w:sz="4" w:space="0" w:color="auto"/>
              <w:left w:val="single" w:sz="4" w:space="0" w:color="auto"/>
              <w:bottom w:val="single" w:sz="4" w:space="0" w:color="auto"/>
            </w:tcBorders>
            <w:shd w:val="clear" w:color="auto" w:fill="95B3D7" w:themeFill="accent1" w:themeFillTint="99"/>
            <w:noWrap/>
          </w:tcPr>
          <w:p w14:paraId="2FF983ED" w14:textId="77777777" w:rsidR="00DA4027" w:rsidRPr="00747CDE"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373</w:t>
            </w:r>
          </w:p>
        </w:tc>
        <w:tc>
          <w:tcPr>
            <w:tcW w:w="387" w:type="pct"/>
            <w:tcBorders>
              <w:top w:val="single" w:sz="4" w:space="0" w:color="auto"/>
              <w:bottom w:val="single" w:sz="4" w:space="0" w:color="auto"/>
              <w:right w:val="single" w:sz="4" w:space="0" w:color="auto"/>
            </w:tcBorders>
            <w:shd w:val="clear" w:color="auto" w:fill="95B3D7" w:themeFill="accent1" w:themeFillTint="99"/>
          </w:tcPr>
          <w:p w14:paraId="1246DC37" w14:textId="77777777" w:rsidR="00DA4027" w:rsidRPr="00747CDE"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747CDE">
              <w:rPr>
                <w:rFonts w:eastAsia="Times New Roman" w:cs="Arial"/>
                <w:b/>
                <w:color w:val="000000"/>
                <w:lang w:eastAsia="en-AU"/>
              </w:rPr>
              <w:t>(20.9%)</w:t>
            </w:r>
          </w:p>
        </w:tc>
        <w:tc>
          <w:tcPr>
            <w:tcW w:w="796" w:type="pct"/>
            <w:tcBorders>
              <w:top w:val="single" w:sz="4" w:space="0" w:color="auto"/>
              <w:left w:val="single" w:sz="4" w:space="0" w:color="auto"/>
              <w:bottom w:val="single" w:sz="4" w:space="0" w:color="auto"/>
            </w:tcBorders>
            <w:shd w:val="clear" w:color="auto" w:fill="95B3D7" w:themeFill="accent1" w:themeFillTint="99"/>
            <w:noWrap/>
          </w:tcPr>
          <w:p w14:paraId="437AD789" w14:textId="77777777" w:rsidR="00DA4027" w:rsidRPr="00747CDE"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189</w:t>
            </w:r>
          </w:p>
        </w:tc>
        <w:tc>
          <w:tcPr>
            <w:tcW w:w="431" w:type="pct"/>
            <w:tcBorders>
              <w:top w:val="single" w:sz="4" w:space="0" w:color="auto"/>
              <w:bottom w:val="single" w:sz="4" w:space="0" w:color="auto"/>
              <w:right w:val="single" w:sz="4" w:space="0" w:color="auto"/>
            </w:tcBorders>
            <w:shd w:val="clear" w:color="auto" w:fill="95B3D7" w:themeFill="accent1" w:themeFillTint="99"/>
            <w:vAlign w:val="center"/>
          </w:tcPr>
          <w:p w14:paraId="5AAB8D64" w14:textId="77777777" w:rsidR="00DA4027" w:rsidRPr="00DA4027" w:rsidRDefault="00DA4027"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w:t>
            </w:r>
            <w:r w:rsidRPr="00DA4027">
              <w:rPr>
                <w:rFonts w:ascii="Calibri" w:hAnsi="Calibri"/>
                <w:color w:val="auto"/>
              </w:rPr>
              <w:t>10.59%</w:t>
            </w:r>
            <w:r>
              <w:rPr>
                <w:rFonts w:ascii="Calibri" w:hAnsi="Calibri"/>
                <w:color w:val="auto"/>
              </w:rPr>
              <w:t>)</w:t>
            </w:r>
          </w:p>
        </w:tc>
        <w:tc>
          <w:tcPr>
            <w:tcW w:w="30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5C2161" w14:textId="77777777" w:rsidR="00DA4027" w:rsidRPr="00747CDE" w:rsidRDefault="00DA4027"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lang w:eastAsia="en-AU"/>
              </w:rPr>
            </w:pPr>
            <w:r w:rsidRPr="00747CDE">
              <w:rPr>
                <w:rFonts w:eastAsia="Times New Roman" w:cs="Arial"/>
                <w:b/>
                <w:color w:val="auto"/>
                <w:lang w:eastAsia="en-AU"/>
              </w:rPr>
              <w:t>1</w:t>
            </w:r>
            <w:r>
              <w:rPr>
                <w:rFonts w:eastAsia="Times New Roman" w:cs="Arial"/>
                <w:b/>
                <w:color w:val="auto"/>
                <w:lang w:eastAsia="en-AU"/>
              </w:rPr>
              <w:t>,</w:t>
            </w:r>
            <w:r w:rsidRPr="00747CDE">
              <w:rPr>
                <w:rFonts w:eastAsia="Times New Roman" w:cs="Arial"/>
                <w:b/>
                <w:color w:val="auto"/>
                <w:lang w:eastAsia="en-AU"/>
              </w:rPr>
              <w:t>784</w:t>
            </w:r>
          </w:p>
        </w:tc>
      </w:tr>
    </w:tbl>
    <w:p w14:paraId="73B457B6" w14:textId="77777777" w:rsidR="005D61DD" w:rsidRPr="0006220F" w:rsidRDefault="005D61DD" w:rsidP="005E613E">
      <w:pPr>
        <w:pStyle w:val="Heading6"/>
        <w:spacing w:before="240" w:after="240"/>
      </w:pPr>
      <w:r w:rsidRPr="0006220F">
        <w:t xml:space="preserve">Line graph for table 1.26.14: Reports by psychiatrists, by year, by outcome of reports </w:t>
      </w:r>
    </w:p>
    <w:p w14:paraId="6895E4EA" w14:textId="77777777" w:rsidR="007A2E74" w:rsidRDefault="00CD1101" w:rsidP="00C002A6">
      <w:r w:rsidRPr="00CD1101">
        <w:rPr>
          <w:noProof/>
          <w:lang w:eastAsia="en-AU"/>
        </w:rPr>
        <w:drawing>
          <wp:inline distT="0" distB="0" distL="0" distR="0" wp14:anchorId="77854F4B" wp14:editId="3FF41BA1">
            <wp:extent cx="9372600" cy="2114550"/>
            <wp:effectExtent l="0" t="0" r="0" b="0"/>
            <wp:docPr id="28" name="Chart 24" descr="Shows investigations of reported abuse by psychiatrists declined from 41.6% in 2003 to 22.4% in 2012." title="Line graph for table 1.2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97BD254" w14:textId="77777777" w:rsidR="00EC78CF" w:rsidRDefault="00EC78CF">
      <w:pPr>
        <w:spacing w:after="200" w:line="276" w:lineRule="auto"/>
        <w:sectPr w:rsidR="00EC78CF" w:rsidSect="001073A3">
          <w:headerReference w:type="default" r:id="rId63"/>
          <w:footerReference w:type="default" r:id="rId64"/>
          <w:pgSz w:w="16838" w:h="11906" w:orient="landscape"/>
          <w:pgMar w:top="1134" w:right="1134" w:bottom="567" w:left="1134" w:header="709" w:footer="709" w:gutter="0"/>
          <w:cols w:space="708"/>
          <w:docGrid w:linePitch="360"/>
        </w:sectPr>
      </w:pPr>
    </w:p>
    <w:p w14:paraId="5BB35D77" w14:textId="07814618" w:rsidR="00745BFA" w:rsidRPr="00BC058E" w:rsidRDefault="00745BFA" w:rsidP="00B15586">
      <w:pPr>
        <w:pStyle w:val="Heading2"/>
      </w:pPr>
      <w:r w:rsidRPr="00BC058E">
        <w:lastRenderedPageBreak/>
        <w:t>Stage 2</w:t>
      </w:r>
      <w:r w:rsidR="00B15586">
        <w:br/>
      </w:r>
      <w:r w:rsidRPr="00BC058E">
        <w:t>Part 2: Detailed yearly analysis</w:t>
      </w:r>
    </w:p>
    <w:p w14:paraId="5725EBA4" w14:textId="77777777" w:rsidR="000C6855" w:rsidRDefault="000C6855" w:rsidP="00B15586">
      <w:pPr>
        <w:spacing w:after="200" w:line="276" w:lineRule="auto"/>
        <w:jc w:val="center"/>
        <w:rPr>
          <w:b/>
          <w:color w:val="365F91" w:themeColor="accent1" w:themeShade="BF"/>
          <w:sz w:val="56"/>
          <w:szCs w:val="56"/>
        </w:rPr>
        <w:sectPr w:rsidR="000C6855" w:rsidSect="000C6855">
          <w:headerReference w:type="default" r:id="rId65"/>
          <w:footerReference w:type="default" r:id="rId66"/>
          <w:pgSz w:w="11906" w:h="16838" w:code="9"/>
          <w:pgMar w:top="1138" w:right="1138" w:bottom="1138" w:left="1440" w:header="706" w:footer="706" w:gutter="0"/>
          <w:cols w:space="708"/>
          <w:vAlign w:val="center"/>
          <w:docGrid w:linePitch="360"/>
        </w:sectPr>
      </w:pPr>
    </w:p>
    <w:p w14:paraId="119A9F5D" w14:textId="4CDBC7DD" w:rsidR="00C36AB4" w:rsidRDefault="003A194E" w:rsidP="00B871BE">
      <w:pPr>
        <w:pStyle w:val="Heading3"/>
        <w:pBdr>
          <w:bottom w:val="single" w:sz="8" w:space="1" w:color="365F91"/>
        </w:pBdr>
      </w:pPr>
      <w:bookmarkStart w:id="85" w:name="_Toc435716767"/>
      <w:r>
        <w:lastRenderedPageBreak/>
        <w:t>Stage 2 Part 2: Detailed Yearly Analyses</w:t>
      </w:r>
      <w:bookmarkEnd w:id="85"/>
      <w:r>
        <w:t xml:space="preserve"> </w:t>
      </w:r>
    </w:p>
    <w:p w14:paraId="04359934" w14:textId="77777777" w:rsidR="005D61DD" w:rsidRPr="00C72EC7" w:rsidRDefault="005D61DD" w:rsidP="009C69F6">
      <w:pPr>
        <w:pStyle w:val="Heading4"/>
        <w:spacing w:before="360" w:after="360"/>
      </w:pPr>
      <w:bookmarkStart w:id="86" w:name="_Toc435716768"/>
      <w:r w:rsidRPr="00C72EC7">
        <w:t>P</w:t>
      </w:r>
      <w:r w:rsidR="001073A3">
        <w:t>art</w:t>
      </w:r>
      <w:r w:rsidRPr="00C72EC7">
        <w:t xml:space="preserve"> 2: </w:t>
      </w:r>
      <w:r w:rsidR="00F712D3" w:rsidRPr="00C72EC7">
        <w:t>Detailed yearly analyses</w:t>
      </w:r>
      <w:bookmarkEnd w:id="86"/>
    </w:p>
    <w:p w14:paraId="036D4D46" w14:textId="339F9E68" w:rsidR="00F40CF8" w:rsidRPr="00F40CF8" w:rsidRDefault="00F40CF8" w:rsidP="009C69F6">
      <w:pPr>
        <w:rPr>
          <w:lang w:val="en-US"/>
        </w:rPr>
      </w:pPr>
      <w:r w:rsidRPr="00F40CF8">
        <w:rPr>
          <w:lang w:val="en-US"/>
        </w:rPr>
        <w:t>This section provides detailed analyses of the reporting practices of the major mandated reporting groups.</w:t>
      </w:r>
    </w:p>
    <w:p w14:paraId="37ABCEDF" w14:textId="49467225" w:rsidR="00F40CF8" w:rsidRPr="00F40CF8" w:rsidRDefault="00F40CF8" w:rsidP="009C69F6">
      <w:pPr>
        <w:rPr>
          <w:lang w:val="en-US"/>
        </w:rPr>
      </w:pPr>
      <w:r w:rsidRPr="00F40CF8">
        <w:rPr>
          <w:lang w:val="en-US"/>
        </w:rPr>
        <w:t>Table 2.1 compares the reporting practices of the major mandated</w:t>
      </w:r>
      <w:r w:rsidR="009C69F6">
        <w:rPr>
          <w:lang w:val="en-US"/>
        </w:rPr>
        <w:t xml:space="preserve"> reporting groups combined with </w:t>
      </w:r>
      <w:r w:rsidRPr="00F40CF8">
        <w:rPr>
          <w:lang w:val="en-US"/>
        </w:rPr>
        <w:t>those of the other reporting groups combined, by abuse type, and outcome of reports. </w:t>
      </w:r>
    </w:p>
    <w:p w14:paraId="155D0DE9" w14:textId="2E95D4AD" w:rsidR="00F40CF8" w:rsidRPr="00F40CF8" w:rsidRDefault="00F40CF8" w:rsidP="009C69F6">
      <w:pPr>
        <w:rPr>
          <w:lang w:val="en-US"/>
        </w:rPr>
      </w:pPr>
      <w:r w:rsidRPr="00F40CF8">
        <w:rPr>
          <w:lang w:val="en-US"/>
        </w:rPr>
        <w:t>Tables 2.2 to 2.5 outline the outcomes of reports by abuse type, year, and reporter groups. </w:t>
      </w:r>
    </w:p>
    <w:p w14:paraId="55362F47" w14:textId="35791359" w:rsidR="00EC78CF" w:rsidRDefault="00F40CF8" w:rsidP="009C69F6">
      <w:pPr>
        <w:rPr>
          <w:rFonts w:asciiTheme="majorHAnsi" w:eastAsiaTheme="majorEastAsia" w:hAnsiTheme="majorHAnsi" w:cstheme="majorBidi"/>
          <w:b/>
          <w:bCs/>
          <w:color w:val="17365D" w:themeColor="text2" w:themeShade="BF"/>
          <w:sz w:val="26"/>
          <w:szCs w:val="26"/>
        </w:rPr>
        <w:sectPr w:rsidR="00EC78CF" w:rsidSect="00DA4027">
          <w:pgSz w:w="11906" w:h="16838"/>
          <w:pgMar w:top="1134" w:right="1134" w:bottom="1134" w:left="1440" w:header="709" w:footer="709" w:gutter="0"/>
          <w:cols w:space="708"/>
          <w:docGrid w:linePitch="360"/>
        </w:sectPr>
      </w:pPr>
      <w:proofErr w:type="gramStart"/>
      <w:r w:rsidRPr="00F40CF8">
        <w:rPr>
          <w:lang w:val="en-US"/>
        </w:rPr>
        <w:t>Tables 2.6.1 to 2.6.7 detail reporting by reporter groups, by abuse ty</w:t>
      </w:r>
      <w:r>
        <w:rPr>
          <w:lang w:val="en-US"/>
        </w:rPr>
        <w:t>pe, outcome of report, and year</w:t>
      </w:r>
      <w:r w:rsidR="00FF2D54">
        <w:t>.</w:t>
      </w:r>
      <w:proofErr w:type="gramEnd"/>
    </w:p>
    <w:p w14:paraId="1AC0A278" w14:textId="77777777" w:rsidR="005D61DD" w:rsidRDefault="005D61DD" w:rsidP="006B0113">
      <w:pPr>
        <w:pStyle w:val="Figureheading"/>
        <w:ind w:left="720" w:hanging="810"/>
      </w:pPr>
      <w:bookmarkStart w:id="87" w:name="_Toc382206769"/>
      <w:r>
        <w:lastRenderedPageBreak/>
        <w:t>2.1</w:t>
      </w:r>
      <w:r>
        <w:tab/>
        <w:t xml:space="preserve">Number of reports by year, by abuse type, and outcome, for </w:t>
      </w:r>
      <w:r w:rsidR="004A1081">
        <w:t>major mandated reporter groups combined</w:t>
      </w:r>
      <w:r>
        <w:t xml:space="preserve"> compared with other reporter groups combined</w:t>
      </w:r>
      <w:bookmarkEnd w:id="87"/>
    </w:p>
    <w:tbl>
      <w:tblPr>
        <w:tblStyle w:val="LightShading-Accent12"/>
        <w:tblW w:w="5000" w:type="pct"/>
        <w:tblLook w:val="04A0" w:firstRow="1" w:lastRow="0" w:firstColumn="1" w:lastColumn="0" w:noHBand="0" w:noVBand="1"/>
        <w:tblCaption w:val="Number of reports by year, by abuse type, and outcome, for major mandated reporter groups combined compared with other reporter groups combined"/>
      </w:tblPr>
      <w:tblGrid>
        <w:gridCol w:w="3847"/>
        <w:gridCol w:w="1387"/>
        <w:gridCol w:w="847"/>
        <w:gridCol w:w="1209"/>
        <w:gridCol w:w="1082"/>
        <w:gridCol w:w="1449"/>
        <w:gridCol w:w="1242"/>
        <w:gridCol w:w="1375"/>
        <w:gridCol w:w="1573"/>
        <w:gridCol w:w="775"/>
      </w:tblGrid>
      <w:tr w:rsidR="00A90CEF" w:rsidRPr="00A90CEF" w14:paraId="2D4BF047" w14:textId="77777777" w:rsidTr="00B605CE">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B2589BE" w14:textId="77777777" w:rsidR="006D535F" w:rsidRPr="00A90CEF" w:rsidRDefault="006D535F" w:rsidP="00CE2FDF">
            <w:pPr>
              <w:tabs>
                <w:tab w:val="left" w:pos="1134"/>
              </w:tabs>
              <w:spacing w:before="0" w:line="276" w:lineRule="auto"/>
              <w:rPr>
                <w:rFonts w:eastAsia="Times New Roman" w:cs="Arial"/>
                <w:bCs w:val="0"/>
                <w:color w:val="auto"/>
                <w:sz w:val="20"/>
                <w:szCs w:val="20"/>
                <w:lang w:eastAsia="en-AU"/>
              </w:rPr>
            </w:pPr>
          </w:p>
        </w:tc>
        <w:tc>
          <w:tcPr>
            <w:tcW w:w="469" w:type="pct"/>
            <w:tcBorders>
              <w:top w:val="single" w:sz="4" w:space="0" w:color="auto"/>
              <w:left w:val="single" w:sz="4" w:space="0" w:color="auto"/>
              <w:bottom w:val="single" w:sz="4" w:space="0" w:color="auto"/>
            </w:tcBorders>
            <w:shd w:val="clear" w:color="auto" w:fill="8DB3E2" w:themeFill="text2" w:themeFillTint="66"/>
            <w:vAlign w:val="center"/>
            <w:hideMark/>
          </w:tcPr>
          <w:p w14:paraId="1A22280D" w14:textId="77777777" w:rsidR="006D535F" w:rsidRPr="00A90CEF" w:rsidRDefault="006D535F"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A90CEF">
              <w:rPr>
                <w:rFonts w:eastAsia="Times New Roman" w:cs="Arial"/>
                <w:bCs w:val="0"/>
                <w:color w:val="000000"/>
                <w:sz w:val="20"/>
                <w:szCs w:val="20"/>
                <w:lang w:eastAsia="en-AU"/>
              </w:rPr>
              <w:t>Emotional</w:t>
            </w:r>
            <w:r w:rsidR="00736DDB" w:rsidRPr="00A90CEF">
              <w:rPr>
                <w:rFonts w:eastAsia="Times New Roman" w:cs="Arial"/>
                <w:bCs w:val="0"/>
                <w:color w:val="000000"/>
                <w:sz w:val="20"/>
                <w:szCs w:val="20"/>
                <w:lang w:eastAsia="en-AU"/>
              </w:rPr>
              <w:t xml:space="preserve"> abuse</w:t>
            </w:r>
          </w:p>
        </w:tc>
        <w:tc>
          <w:tcPr>
            <w:tcW w:w="286" w:type="pct"/>
            <w:tcBorders>
              <w:top w:val="single" w:sz="4" w:space="0" w:color="auto"/>
              <w:bottom w:val="single" w:sz="4" w:space="0" w:color="auto"/>
            </w:tcBorders>
            <w:shd w:val="clear" w:color="auto" w:fill="8DB3E2" w:themeFill="text2" w:themeFillTint="66"/>
            <w:vAlign w:val="center"/>
            <w:hideMark/>
          </w:tcPr>
          <w:p w14:paraId="2B672F19" w14:textId="77777777" w:rsidR="006D535F" w:rsidRPr="00A90CEF" w:rsidRDefault="006D535F"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A90CEF">
              <w:rPr>
                <w:rFonts w:eastAsia="Times New Roman" w:cs="Arial"/>
                <w:bCs w:val="0"/>
                <w:color w:val="000000"/>
                <w:sz w:val="20"/>
                <w:szCs w:val="20"/>
                <w:lang w:eastAsia="en-AU"/>
              </w:rPr>
              <w:t>Neglect</w:t>
            </w:r>
          </w:p>
        </w:tc>
        <w:tc>
          <w:tcPr>
            <w:tcW w:w="409" w:type="pct"/>
            <w:tcBorders>
              <w:top w:val="single" w:sz="4" w:space="0" w:color="auto"/>
              <w:bottom w:val="single" w:sz="4" w:space="0" w:color="auto"/>
            </w:tcBorders>
            <w:shd w:val="clear" w:color="auto" w:fill="8DB3E2" w:themeFill="text2" w:themeFillTint="66"/>
            <w:vAlign w:val="center"/>
            <w:hideMark/>
          </w:tcPr>
          <w:p w14:paraId="3086AAA6" w14:textId="77777777" w:rsidR="006D535F" w:rsidRPr="00A90CEF" w:rsidRDefault="006D535F"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A90CEF">
              <w:rPr>
                <w:rFonts w:eastAsia="Times New Roman" w:cs="Arial"/>
                <w:bCs w:val="0"/>
                <w:color w:val="000000"/>
                <w:sz w:val="20"/>
                <w:szCs w:val="20"/>
                <w:lang w:eastAsia="en-AU"/>
              </w:rPr>
              <w:t>Physical</w:t>
            </w:r>
            <w:r w:rsidR="00736DDB" w:rsidRPr="00A90CEF">
              <w:rPr>
                <w:rFonts w:eastAsia="Times New Roman" w:cs="Arial"/>
                <w:bCs w:val="0"/>
                <w:color w:val="000000"/>
                <w:sz w:val="20"/>
                <w:szCs w:val="20"/>
                <w:lang w:eastAsia="en-AU"/>
              </w:rPr>
              <w:t xml:space="preserve"> abuse</w:t>
            </w:r>
          </w:p>
        </w:tc>
        <w:tc>
          <w:tcPr>
            <w:tcW w:w="366" w:type="pct"/>
            <w:tcBorders>
              <w:top w:val="single" w:sz="4" w:space="0" w:color="auto"/>
              <w:bottom w:val="single" w:sz="4" w:space="0" w:color="auto"/>
              <w:right w:val="single" w:sz="4" w:space="0" w:color="auto"/>
            </w:tcBorders>
            <w:shd w:val="clear" w:color="auto" w:fill="8DB3E2" w:themeFill="text2" w:themeFillTint="66"/>
            <w:vAlign w:val="center"/>
            <w:hideMark/>
          </w:tcPr>
          <w:p w14:paraId="394D709B" w14:textId="77777777" w:rsidR="006D535F" w:rsidRPr="00A90CEF" w:rsidRDefault="006D535F"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A90CEF">
              <w:rPr>
                <w:rFonts w:eastAsia="Times New Roman" w:cs="Arial"/>
                <w:bCs w:val="0"/>
                <w:color w:val="000000"/>
                <w:sz w:val="20"/>
                <w:szCs w:val="20"/>
                <w:lang w:eastAsia="en-AU"/>
              </w:rPr>
              <w:t>Sexual</w:t>
            </w:r>
            <w:r w:rsidR="00736DDB" w:rsidRPr="00A90CEF">
              <w:rPr>
                <w:rFonts w:eastAsia="Times New Roman" w:cs="Arial"/>
                <w:bCs w:val="0"/>
                <w:color w:val="000000"/>
                <w:sz w:val="20"/>
                <w:szCs w:val="20"/>
                <w:lang w:eastAsia="en-AU"/>
              </w:rPr>
              <w:t xml:space="preserve"> abuse</w:t>
            </w:r>
          </w:p>
        </w:tc>
        <w:tc>
          <w:tcPr>
            <w:tcW w:w="490" w:type="pct"/>
            <w:tcBorders>
              <w:top w:val="single" w:sz="4" w:space="0" w:color="auto"/>
              <w:left w:val="single" w:sz="4" w:space="0" w:color="auto"/>
              <w:bottom w:val="single" w:sz="4" w:space="0" w:color="auto"/>
            </w:tcBorders>
            <w:shd w:val="clear" w:color="auto" w:fill="8DB3E2" w:themeFill="text2" w:themeFillTint="66"/>
            <w:vAlign w:val="center"/>
            <w:hideMark/>
          </w:tcPr>
          <w:p w14:paraId="6AE5BD07" w14:textId="77777777" w:rsidR="006D535F" w:rsidRPr="00A90CEF" w:rsidRDefault="006D535F"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A90CEF">
              <w:rPr>
                <w:rFonts w:eastAsia="Times New Roman" w:cs="Arial"/>
                <w:bCs w:val="0"/>
                <w:color w:val="000000"/>
                <w:sz w:val="20"/>
                <w:szCs w:val="20"/>
                <w:lang w:eastAsia="en-AU"/>
              </w:rPr>
              <w:t>Not investigated</w:t>
            </w:r>
          </w:p>
        </w:tc>
        <w:tc>
          <w:tcPr>
            <w:tcW w:w="420" w:type="pct"/>
            <w:tcBorders>
              <w:top w:val="single" w:sz="4" w:space="0" w:color="auto"/>
              <w:bottom w:val="single" w:sz="4" w:space="0" w:color="auto"/>
            </w:tcBorders>
            <w:shd w:val="clear" w:color="auto" w:fill="8DB3E2" w:themeFill="text2" w:themeFillTint="66"/>
            <w:vAlign w:val="center"/>
          </w:tcPr>
          <w:p w14:paraId="0A91A3C4" w14:textId="77777777" w:rsidR="006D535F" w:rsidRPr="00A90CEF" w:rsidRDefault="006D535F"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A90CEF">
              <w:rPr>
                <w:rFonts w:eastAsia="Times New Roman" w:cs="Arial"/>
                <w:bCs w:val="0"/>
                <w:color w:val="000000"/>
                <w:sz w:val="20"/>
                <w:szCs w:val="20"/>
                <w:lang w:eastAsia="en-AU"/>
              </w:rPr>
              <w:t>Investigated</w:t>
            </w:r>
          </w:p>
        </w:tc>
        <w:tc>
          <w:tcPr>
            <w:tcW w:w="465" w:type="pct"/>
            <w:tcBorders>
              <w:top w:val="single" w:sz="4" w:space="0" w:color="auto"/>
              <w:bottom w:val="single" w:sz="4" w:space="0" w:color="auto"/>
            </w:tcBorders>
            <w:shd w:val="clear" w:color="auto" w:fill="8DB3E2" w:themeFill="text2" w:themeFillTint="66"/>
            <w:vAlign w:val="center"/>
            <w:hideMark/>
          </w:tcPr>
          <w:p w14:paraId="1044512D" w14:textId="77777777" w:rsidR="006D535F" w:rsidRPr="00A90CEF" w:rsidRDefault="006D535F"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A90CEF">
              <w:rPr>
                <w:rFonts w:eastAsia="Times New Roman" w:cs="Arial"/>
                <w:bCs w:val="0"/>
                <w:color w:val="000000"/>
                <w:sz w:val="20"/>
                <w:szCs w:val="20"/>
                <w:lang w:eastAsia="en-AU"/>
              </w:rPr>
              <w:t>Substantiated</w:t>
            </w:r>
          </w:p>
        </w:tc>
        <w:tc>
          <w:tcPr>
            <w:tcW w:w="532" w:type="pct"/>
            <w:tcBorders>
              <w:top w:val="single" w:sz="4" w:space="0" w:color="auto"/>
              <w:bottom w:val="single" w:sz="4" w:space="0" w:color="auto"/>
              <w:right w:val="single" w:sz="4" w:space="0" w:color="auto"/>
            </w:tcBorders>
            <w:shd w:val="clear" w:color="auto" w:fill="8DB3E2" w:themeFill="text2" w:themeFillTint="66"/>
            <w:vAlign w:val="center"/>
            <w:hideMark/>
          </w:tcPr>
          <w:p w14:paraId="27EADCF4" w14:textId="77777777" w:rsidR="006D535F" w:rsidRPr="00A90CEF" w:rsidRDefault="006D535F"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A90CEF">
              <w:rPr>
                <w:rFonts w:eastAsia="Times New Roman" w:cs="Arial"/>
                <w:bCs w:val="0"/>
                <w:color w:val="000000"/>
                <w:sz w:val="20"/>
                <w:szCs w:val="20"/>
                <w:lang w:eastAsia="en-AU"/>
              </w:rPr>
              <w:t>Not substantiated</w:t>
            </w:r>
          </w:p>
        </w:tc>
        <w:tc>
          <w:tcPr>
            <w:tcW w:w="26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82B398E" w14:textId="77777777" w:rsidR="006D535F" w:rsidRPr="00A90CEF" w:rsidRDefault="006D535F"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A90CEF">
              <w:rPr>
                <w:rFonts w:eastAsia="Times New Roman" w:cs="Arial"/>
                <w:bCs w:val="0"/>
                <w:color w:val="auto"/>
                <w:sz w:val="20"/>
                <w:szCs w:val="20"/>
                <w:lang w:eastAsia="en-AU"/>
              </w:rPr>
              <w:t>Total</w:t>
            </w:r>
          </w:p>
        </w:tc>
      </w:tr>
      <w:tr w:rsidR="001C4508" w:rsidRPr="00A90CEF" w14:paraId="289B7D2C"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right w:val="single" w:sz="4" w:space="0" w:color="auto"/>
            </w:tcBorders>
            <w:noWrap/>
            <w:vAlign w:val="center"/>
            <w:hideMark/>
          </w:tcPr>
          <w:p w14:paraId="554D98A7" w14:textId="77777777" w:rsidR="006D535F" w:rsidRPr="00A90CEF" w:rsidRDefault="006D535F" w:rsidP="00CE2FDF">
            <w:pPr>
              <w:tabs>
                <w:tab w:val="left" w:pos="1134"/>
              </w:tabs>
              <w:spacing w:before="0" w:line="276" w:lineRule="auto"/>
              <w:rPr>
                <w:rFonts w:eastAsia="Times New Roman" w:cs="Arial"/>
                <w:color w:val="auto"/>
                <w:sz w:val="20"/>
                <w:szCs w:val="20"/>
                <w:lang w:eastAsia="en-AU"/>
              </w:rPr>
            </w:pPr>
            <w:r w:rsidRPr="00A90CEF">
              <w:rPr>
                <w:rFonts w:eastAsia="Times New Roman" w:cs="Arial"/>
                <w:color w:val="auto"/>
                <w:sz w:val="20"/>
                <w:szCs w:val="20"/>
                <w:lang w:eastAsia="en-AU"/>
              </w:rPr>
              <w:t>2003</w:t>
            </w:r>
          </w:p>
        </w:tc>
        <w:tc>
          <w:tcPr>
            <w:tcW w:w="469" w:type="pct"/>
            <w:tcBorders>
              <w:top w:val="single" w:sz="4" w:space="0" w:color="auto"/>
              <w:left w:val="single" w:sz="4" w:space="0" w:color="auto"/>
            </w:tcBorders>
            <w:noWrap/>
            <w:hideMark/>
          </w:tcPr>
          <w:p w14:paraId="1CE615BD"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286" w:type="pct"/>
            <w:tcBorders>
              <w:top w:val="single" w:sz="4" w:space="0" w:color="auto"/>
            </w:tcBorders>
            <w:noWrap/>
            <w:hideMark/>
          </w:tcPr>
          <w:p w14:paraId="41DCA9AF"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409" w:type="pct"/>
            <w:tcBorders>
              <w:top w:val="single" w:sz="4" w:space="0" w:color="auto"/>
            </w:tcBorders>
            <w:noWrap/>
            <w:hideMark/>
          </w:tcPr>
          <w:p w14:paraId="496676FD"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366" w:type="pct"/>
            <w:tcBorders>
              <w:top w:val="single" w:sz="4" w:space="0" w:color="auto"/>
              <w:right w:val="single" w:sz="4" w:space="0" w:color="auto"/>
            </w:tcBorders>
            <w:noWrap/>
            <w:hideMark/>
          </w:tcPr>
          <w:p w14:paraId="7AEFAEA2"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490" w:type="pct"/>
            <w:tcBorders>
              <w:top w:val="single" w:sz="4" w:space="0" w:color="auto"/>
              <w:left w:val="single" w:sz="4" w:space="0" w:color="auto"/>
            </w:tcBorders>
            <w:noWrap/>
            <w:hideMark/>
          </w:tcPr>
          <w:p w14:paraId="580B7E2D"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420" w:type="pct"/>
            <w:tcBorders>
              <w:top w:val="single" w:sz="4" w:space="0" w:color="auto"/>
            </w:tcBorders>
          </w:tcPr>
          <w:p w14:paraId="4BF471F8"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465" w:type="pct"/>
            <w:tcBorders>
              <w:top w:val="single" w:sz="4" w:space="0" w:color="auto"/>
            </w:tcBorders>
            <w:noWrap/>
            <w:hideMark/>
          </w:tcPr>
          <w:p w14:paraId="7BC506F7"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532" w:type="pct"/>
            <w:tcBorders>
              <w:top w:val="single" w:sz="4" w:space="0" w:color="auto"/>
              <w:right w:val="single" w:sz="4" w:space="0" w:color="auto"/>
            </w:tcBorders>
            <w:noWrap/>
            <w:hideMark/>
          </w:tcPr>
          <w:p w14:paraId="50A923B2"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262" w:type="pct"/>
            <w:tcBorders>
              <w:top w:val="single" w:sz="4" w:space="0" w:color="auto"/>
              <w:left w:val="single" w:sz="4" w:space="0" w:color="auto"/>
              <w:right w:val="single" w:sz="4" w:space="0" w:color="auto"/>
            </w:tcBorders>
          </w:tcPr>
          <w:p w14:paraId="03CB4826"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1C4508" w:rsidRPr="00A90CEF" w14:paraId="529F2758"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701DD0A1"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left w:val="single" w:sz="4" w:space="0" w:color="auto"/>
            </w:tcBorders>
            <w:noWrap/>
            <w:hideMark/>
          </w:tcPr>
          <w:p w14:paraId="42D9B3EA"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490</w:t>
            </w:r>
          </w:p>
        </w:tc>
        <w:tc>
          <w:tcPr>
            <w:tcW w:w="286" w:type="pct"/>
            <w:noWrap/>
            <w:hideMark/>
          </w:tcPr>
          <w:p w14:paraId="34D7E290"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276</w:t>
            </w:r>
          </w:p>
        </w:tc>
        <w:tc>
          <w:tcPr>
            <w:tcW w:w="409" w:type="pct"/>
            <w:noWrap/>
            <w:hideMark/>
          </w:tcPr>
          <w:p w14:paraId="591B7DE3"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356</w:t>
            </w:r>
          </w:p>
        </w:tc>
        <w:tc>
          <w:tcPr>
            <w:tcW w:w="366" w:type="pct"/>
            <w:tcBorders>
              <w:right w:val="single" w:sz="4" w:space="0" w:color="auto"/>
            </w:tcBorders>
            <w:noWrap/>
            <w:hideMark/>
          </w:tcPr>
          <w:p w14:paraId="0EB94390"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578</w:t>
            </w:r>
          </w:p>
        </w:tc>
        <w:tc>
          <w:tcPr>
            <w:tcW w:w="490" w:type="pct"/>
            <w:tcBorders>
              <w:left w:val="single" w:sz="4" w:space="0" w:color="auto"/>
            </w:tcBorders>
            <w:noWrap/>
            <w:hideMark/>
          </w:tcPr>
          <w:p w14:paraId="74619379"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803</w:t>
            </w:r>
          </w:p>
        </w:tc>
        <w:tc>
          <w:tcPr>
            <w:tcW w:w="420" w:type="pct"/>
          </w:tcPr>
          <w:p w14:paraId="5E637095"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897</w:t>
            </w:r>
          </w:p>
        </w:tc>
        <w:tc>
          <w:tcPr>
            <w:tcW w:w="465" w:type="pct"/>
            <w:noWrap/>
            <w:hideMark/>
          </w:tcPr>
          <w:p w14:paraId="27E2E610"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212</w:t>
            </w:r>
          </w:p>
        </w:tc>
        <w:tc>
          <w:tcPr>
            <w:tcW w:w="532" w:type="pct"/>
            <w:tcBorders>
              <w:right w:val="single" w:sz="4" w:space="0" w:color="auto"/>
            </w:tcBorders>
            <w:noWrap/>
            <w:hideMark/>
          </w:tcPr>
          <w:p w14:paraId="46A0B6CC"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685</w:t>
            </w:r>
          </w:p>
        </w:tc>
        <w:tc>
          <w:tcPr>
            <w:tcW w:w="262" w:type="pct"/>
            <w:tcBorders>
              <w:left w:val="single" w:sz="4" w:space="0" w:color="auto"/>
              <w:right w:val="single" w:sz="4" w:space="0" w:color="auto"/>
            </w:tcBorders>
          </w:tcPr>
          <w:p w14:paraId="1E9198C9"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12</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700</w:t>
            </w:r>
          </w:p>
        </w:tc>
      </w:tr>
      <w:tr w:rsidR="001C4508" w:rsidRPr="00A90CEF" w14:paraId="533D174F"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3EB52A05"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4719CD7E"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259</w:t>
            </w:r>
          </w:p>
        </w:tc>
        <w:tc>
          <w:tcPr>
            <w:tcW w:w="286" w:type="pct"/>
            <w:noWrap/>
            <w:hideMark/>
          </w:tcPr>
          <w:p w14:paraId="43ED4625"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8</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753</w:t>
            </w:r>
          </w:p>
        </w:tc>
        <w:tc>
          <w:tcPr>
            <w:tcW w:w="409" w:type="pct"/>
            <w:noWrap/>
            <w:hideMark/>
          </w:tcPr>
          <w:p w14:paraId="00A8DE73"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5</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692</w:t>
            </w:r>
          </w:p>
        </w:tc>
        <w:tc>
          <w:tcPr>
            <w:tcW w:w="366" w:type="pct"/>
            <w:tcBorders>
              <w:right w:val="single" w:sz="4" w:space="0" w:color="auto"/>
            </w:tcBorders>
            <w:noWrap/>
            <w:hideMark/>
          </w:tcPr>
          <w:p w14:paraId="696A8F8E"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863</w:t>
            </w:r>
          </w:p>
        </w:tc>
        <w:tc>
          <w:tcPr>
            <w:tcW w:w="490" w:type="pct"/>
            <w:tcBorders>
              <w:left w:val="single" w:sz="4" w:space="0" w:color="auto"/>
            </w:tcBorders>
            <w:noWrap/>
            <w:hideMark/>
          </w:tcPr>
          <w:p w14:paraId="38123A1E"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996</w:t>
            </w:r>
          </w:p>
        </w:tc>
        <w:tc>
          <w:tcPr>
            <w:tcW w:w="420" w:type="pct"/>
          </w:tcPr>
          <w:p w14:paraId="2E4C55AF"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571</w:t>
            </w:r>
          </w:p>
        </w:tc>
        <w:tc>
          <w:tcPr>
            <w:tcW w:w="465" w:type="pct"/>
            <w:noWrap/>
            <w:hideMark/>
          </w:tcPr>
          <w:p w14:paraId="417FEAAC"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199</w:t>
            </w:r>
          </w:p>
        </w:tc>
        <w:tc>
          <w:tcPr>
            <w:tcW w:w="532" w:type="pct"/>
            <w:tcBorders>
              <w:right w:val="single" w:sz="4" w:space="0" w:color="auto"/>
            </w:tcBorders>
            <w:noWrap/>
            <w:hideMark/>
          </w:tcPr>
          <w:p w14:paraId="635AA8FD"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372</w:t>
            </w:r>
          </w:p>
        </w:tc>
        <w:tc>
          <w:tcPr>
            <w:tcW w:w="262" w:type="pct"/>
            <w:tcBorders>
              <w:left w:val="single" w:sz="4" w:space="0" w:color="auto"/>
              <w:right w:val="single" w:sz="4" w:space="0" w:color="auto"/>
            </w:tcBorders>
          </w:tcPr>
          <w:p w14:paraId="2811F051"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24</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567</w:t>
            </w:r>
          </w:p>
        </w:tc>
      </w:tr>
      <w:tr w:rsidR="001C4508" w:rsidRPr="00A90CEF" w14:paraId="7CB46F87"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69B42144" w14:textId="77777777" w:rsidR="006D535F" w:rsidRPr="00A90CEF" w:rsidRDefault="006D535F" w:rsidP="00CE2FDF">
            <w:pPr>
              <w:tabs>
                <w:tab w:val="left" w:pos="1134"/>
              </w:tabs>
              <w:spacing w:before="0" w:line="276" w:lineRule="auto"/>
              <w:rPr>
                <w:rFonts w:eastAsia="Times New Roman" w:cs="Arial"/>
                <w:color w:val="auto"/>
                <w:sz w:val="20"/>
                <w:szCs w:val="20"/>
                <w:lang w:eastAsia="en-AU"/>
              </w:rPr>
            </w:pPr>
            <w:r w:rsidRPr="00A90CEF">
              <w:rPr>
                <w:rFonts w:eastAsia="Times New Roman" w:cs="Arial"/>
                <w:color w:val="auto"/>
                <w:sz w:val="20"/>
                <w:szCs w:val="20"/>
                <w:lang w:eastAsia="en-AU"/>
              </w:rPr>
              <w:t>Totals:</w:t>
            </w:r>
          </w:p>
        </w:tc>
        <w:tc>
          <w:tcPr>
            <w:tcW w:w="469" w:type="pct"/>
            <w:tcBorders>
              <w:left w:val="single" w:sz="4" w:space="0" w:color="auto"/>
              <w:bottom w:val="single" w:sz="4" w:space="0" w:color="auto"/>
            </w:tcBorders>
            <w:noWrap/>
            <w:hideMark/>
          </w:tcPr>
          <w:p w14:paraId="3E6D194D"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749</w:t>
            </w:r>
          </w:p>
        </w:tc>
        <w:tc>
          <w:tcPr>
            <w:tcW w:w="286" w:type="pct"/>
            <w:tcBorders>
              <w:bottom w:val="single" w:sz="4" w:space="0" w:color="auto"/>
            </w:tcBorders>
            <w:noWrap/>
            <w:hideMark/>
          </w:tcPr>
          <w:p w14:paraId="7A707284"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12</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029</w:t>
            </w:r>
          </w:p>
        </w:tc>
        <w:tc>
          <w:tcPr>
            <w:tcW w:w="409" w:type="pct"/>
            <w:tcBorders>
              <w:bottom w:val="single" w:sz="4" w:space="0" w:color="auto"/>
            </w:tcBorders>
            <w:noWrap/>
            <w:hideMark/>
          </w:tcPr>
          <w:p w14:paraId="46E62019"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9</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048</w:t>
            </w:r>
          </w:p>
        </w:tc>
        <w:tc>
          <w:tcPr>
            <w:tcW w:w="366" w:type="pct"/>
            <w:tcBorders>
              <w:bottom w:val="single" w:sz="4" w:space="0" w:color="auto"/>
              <w:right w:val="single" w:sz="4" w:space="0" w:color="auto"/>
            </w:tcBorders>
            <w:noWrap/>
            <w:hideMark/>
          </w:tcPr>
          <w:p w14:paraId="056A3986"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441</w:t>
            </w:r>
          </w:p>
        </w:tc>
        <w:tc>
          <w:tcPr>
            <w:tcW w:w="490" w:type="pct"/>
            <w:tcBorders>
              <w:left w:val="single" w:sz="4" w:space="0" w:color="auto"/>
              <w:bottom w:val="single" w:sz="4" w:space="0" w:color="auto"/>
            </w:tcBorders>
            <w:noWrap/>
            <w:hideMark/>
          </w:tcPr>
          <w:p w14:paraId="572D865F"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24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799</w:t>
            </w:r>
          </w:p>
        </w:tc>
        <w:tc>
          <w:tcPr>
            <w:tcW w:w="420" w:type="pct"/>
            <w:tcBorders>
              <w:bottom w:val="single" w:sz="4" w:space="0" w:color="auto"/>
            </w:tcBorders>
          </w:tcPr>
          <w:p w14:paraId="0888C94D"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12</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468</w:t>
            </w:r>
          </w:p>
        </w:tc>
        <w:tc>
          <w:tcPr>
            <w:tcW w:w="465" w:type="pct"/>
            <w:tcBorders>
              <w:bottom w:val="single" w:sz="4" w:space="0" w:color="auto"/>
            </w:tcBorders>
            <w:noWrap/>
            <w:hideMark/>
          </w:tcPr>
          <w:p w14:paraId="029F39D6"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411</w:t>
            </w:r>
          </w:p>
        </w:tc>
        <w:tc>
          <w:tcPr>
            <w:tcW w:w="532" w:type="pct"/>
            <w:tcBorders>
              <w:bottom w:val="single" w:sz="4" w:space="0" w:color="auto"/>
              <w:right w:val="single" w:sz="4" w:space="0" w:color="auto"/>
            </w:tcBorders>
            <w:noWrap/>
            <w:hideMark/>
          </w:tcPr>
          <w:p w14:paraId="317A7653"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5</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057</w:t>
            </w:r>
          </w:p>
        </w:tc>
        <w:tc>
          <w:tcPr>
            <w:tcW w:w="262" w:type="pct"/>
            <w:tcBorders>
              <w:left w:val="single" w:sz="4" w:space="0" w:color="auto"/>
              <w:bottom w:val="single" w:sz="4" w:space="0" w:color="auto"/>
              <w:right w:val="single" w:sz="4" w:space="0" w:color="auto"/>
            </w:tcBorders>
          </w:tcPr>
          <w:p w14:paraId="421A0EBE"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37</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267</w:t>
            </w:r>
          </w:p>
        </w:tc>
      </w:tr>
      <w:tr w:rsidR="00A90CEF" w:rsidRPr="00A90CEF" w14:paraId="759C4DE4" w14:textId="77777777" w:rsidTr="00B605C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nil"/>
              <w:right w:val="single" w:sz="4" w:space="0" w:color="auto"/>
            </w:tcBorders>
            <w:vAlign w:val="center"/>
            <w:hideMark/>
          </w:tcPr>
          <w:p w14:paraId="31278C73" w14:textId="77777777" w:rsidR="006D535F" w:rsidRPr="00A90CEF" w:rsidRDefault="006D535F"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2004</w:t>
            </w:r>
          </w:p>
        </w:tc>
        <w:tc>
          <w:tcPr>
            <w:tcW w:w="469" w:type="pct"/>
            <w:tcBorders>
              <w:top w:val="single" w:sz="4" w:space="0" w:color="auto"/>
              <w:left w:val="single" w:sz="4" w:space="0" w:color="auto"/>
              <w:bottom w:val="nil"/>
            </w:tcBorders>
            <w:hideMark/>
          </w:tcPr>
          <w:p w14:paraId="5543DBBD"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86" w:type="pct"/>
            <w:tcBorders>
              <w:top w:val="single" w:sz="4" w:space="0" w:color="auto"/>
              <w:bottom w:val="nil"/>
            </w:tcBorders>
            <w:hideMark/>
          </w:tcPr>
          <w:p w14:paraId="2751B1D6"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09" w:type="pct"/>
            <w:tcBorders>
              <w:top w:val="single" w:sz="4" w:space="0" w:color="auto"/>
              <w:bottom w:val="nil"/>
            </w:tcBorders>
            <w:hideMark/>
          </w:tcPr>
          <w:p w14:paraId="04201FDC"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366" w:type="pct"/>
            <w:tcBorders>
              <w:top w:val="single" w:sz="4" w:space="0" w:color="auto"/>
              <w:bottom w:val="nil"/>
              <w:right w:val="single" w:sz="4" w:space="0" w:color="auto"/>
            </w:tcBorders>
            <w:hideMark/>
          </w:tcPr>
          <w:p w14:paraId="5F72E87A"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90" w:type="pct"/>
            <w:tcBorders>
              <w:top w:val="single" w:sz="4" w:space="0" w:color="auto"/>
              <w:left w:val="single" w:sz="4" w:space="0" w:color="auto"/>
              <w:bottom w:val="nil"/>
            </w:tcBorders>
            <w:hideMark/>
          </w:tcPr>
          <w:p w14:paraId="564D7AF1"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20" w:type="pct"/>
            <w:tcBorders>
              <w:top w:val="single" w:sz="4" w:space="0" w:color="auto"/>
              <w:bottom w:val="nil"/>
            </w:tcBorders>
          </w:tcPr>
          <w:p w14:paraId="75725B98"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65" w:type="pct"/>
            <w:tcBorders>
              <w:top w:val="single" w:sz="4" w:space="0" w:color="auto"/>
              <w:bottom w:val="nil"/>
            </w:tcBorders>
            <w:hideMark/>
          </w:tcPr>
          <w:p w14:paraId="3F30D393"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532" w:type="pct"/>
            <w:tcBorders>
              <w:top w:val="single" w:sz="4" w:space="0" w:color="auto"/>
              <w:bottom w:val="nil"/>
              <w:right w:val="single" w:sz="4" w:space="0" w:color="auto"/>
            </w:tcBorders>
            <w:hideMark/>
          </w:tcPr>
          <w:p w14:paraId="4F3183E5"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62" w:type="pct"/>
            <w:tcBorders>
              <w:top w:val="single" w:sz="4" w:space="0" w:color="auto"/>
              <w:left w:val="single" w:sz="4" w:space="0" w:color="auto"/>
              <w:bottom w:val="nil"/>
              <w:right w:val="single" w:sz="4" w:space="0" w:color="auto"/>
            </w:tcBorders>
          </w:tcPr>
          <w:p w14:paraId="399DCBB2"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p>
        </w:tc>
      </w:tr>
      <w:tr w:rsidR="001C4508" w:rsidRPr="00A90CEF" w14:paraId="62E208BA"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nil"/>
              <w:left w:val="single" w:sz="4" w:space="0" w:color="auto"/>
              <w:right w:val="single" w:sz="4" w:space="0" w:color="auto"/>
            </w:tcBorders>
            <w:noWrap/>
            <w:vAlign w:val="center"/>
            <w:hideMark/>
          </w:tcPr>
          <w:p w14:paraId="0865290E"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top w:val="nil"/>
              <w:left w:val="single" w:sz="4" w:space="0" w:color="auto"/>
            </w:tcBorders>
            <w:noWrap/>
            <w:hideMark/>
          </w:tcPr>
          <w:p w14:paraId="2BE4B011"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518</w:t>
            </w:r>
          </w:p>
        </w:tc>
        <w:tc>
          <w:tcPr>
            <w:tcW w:w="286" w:type="pct"/>
            <w:tcBorders>
              <w:top w:val="nil"/>
            </w:tcBorders>
            <w:noWrap/>
            <w:hideMark/>
          </w:tcPr>
          <w:p w14:paraId="7F433591"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048</w:t>
            </w:r>
          </w:p>
        </w:tc>
        <w:tc>
          <w:tcPr>
            <w:tcW w:w="409" w:type="pct"/>
            <w:tcBorders>
              <w:top w:val="nil"/>
            </w:tcBorders>
            <w:noWrap/>
            <w:hideMark/>
          </w:tcPr>
          <w:p w14:paraId="506B011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466</w:t>
            </w:r>
          </w:p>
        </w:tc>
        <w:tc>
          <w:tcPr>
            <w:tcW w:w="366" w:type="pct"/>
            <w:tcBorders>
              <w:top w:val="nil"/>
              <w:right w:val="single" w:sz="4" w:space="0" w:color="auto"/>
            </w:tcBorders>
            <w:noWrap/>
            <w:hideMark/>
          </w:tcPr>
          <w:p w14:paraId="3416EF6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584</w:t>
            </w:r>
          </w:p>
        </w:tc>
        <w:tc>
          <w:tcPr>
            <w:tcW w:w="490" w:type="pct"/>
            <w:tcBorders>
              <w:top w:val="nil"/>
              <w:left w:val="single" w:sz="4" w:space="0" w:color="auto"/>
            </w:tcBorders>
            <w:noWrap/>
            <w:hideMark/>
          </w:tcPr>
          <w:p w14:paraId="6EEC41C0"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763</w:t>
            </w:r>
          </w:p>
        </w:tc>
        <w:tc>
          <w:tcPr>
            <w:tcW w:w="420" w:type="pct"/>
            <w:tcBorders>
              <w:top w:val="nil"/>
            </w:tcBorders>
          </w:tcPr>
          <w:p w14:paraId="78A34713"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853</w:t>
            </w:r>
          </w:p>
        </w:tc>
        <w:tc>
          <w:tcPr>
            <w:tcW w:w="465" w:type="pct"/>
            <w:tcBorders>
              <w:top w:val="nil"/>
            </w:tcBorders>
            <w:noWrap/>
            <w:hideMark/>
          </w:tcPr>
          <w:p w14:paraId="2AEAAC80"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347</w:t>
            </w:r>
          </w:p>
        </w:tc>
        <w:tc>
          <w:tcPr>
            <w:tcW w:w="532" w:type="pct"/>
            <w:tcBorders>
              <w:top w:val="nil"/>
              <w:right w:val="single" w:sz="4" w:space="0" w:color="auto"/>
            </w:tcBorders>
            <w:noWrap/>
            <w:hideMark/>
          </w:tcPr>
          <w:p w14:paraId="07E86313"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506</w:t>
            </w:r>
          </w:p>
        </w:tc>
        <w:tc>
          <w:tcPr>
            <w:tcW w:w="262" w:type="pct"/>
            <w:tcBorders>
              <w:top w:val="nil"/>
              <w:left w:val="single" w:sz="4" w:space="0" w:color="auto"/>
              <w:right w:val="single" w:sz="4" w:space="0" w:color="auto"/>
            </w:tcBorders>
          </w:tcPr>
          <w:p w14:paraId="792D88B2"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12</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616</w:t>
            </w:r>
          </w:p>
        </w:tc>
      </w:tr>
      <w:tr w:rsidR="001C4508" w:rsidRPr="00A90CEF" w14:paraId="51E8AE5A"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1475AF59"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01D4B2C4"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100</w:t>
            </w:r>
          </w:p>
        </w:tc>
        <w:tc>
          <w:tcPr>
            <w:tcW w:w="286" w:type="pct"/>
            <w:noWrap/>
            <w:hideMark/>
          </w:tcPr>
          <w:p w14:paraId="57DABCFA"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8</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654</w:t>
            </w:r>
          </w:p>
        </w:tc>
        <w:tc>
          <w:tcPr>
            <w:tcW w:w="409" w:type="pct"/>
            <w:noWrap/>
            <w:hideMark/>
          </w:tcPr>
          <w:p w14:paraId="7D90B05D"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231</w:t>
            </w:r>
          </w:p>
        </w:tc>
        <w:tc>
          <w:tcPr>
            <w:tcW w:w="366" w:type="pct"/>
            <w:tcBorders>
              <w:right w:val="single" w:sz="4" w:space="0" w:color="auto"/>
            </w:tcBorders>
            <w:noWrap/>
            <w:hideMark/>
          </w:tcPr>
          <w:p w14:paraId="32CAE60F"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048</w:t>
            </w:r>
          </w:p>
        </w:tc>
        <w:tc>
          <w:tcPr>
            <w:tcW w:w="490" w:type="pct"/>
            <w:tcBorders>
              <w:left w:val="single" w:sz="4" w:space="0" w:color="auto"/>
            </w:tcBorders>
            <w:noWrap/>
            <w:hideMark/>
          </w:tcPr>
          <w:p w14:paraId="2CE8941C"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479</w:t>
            </w:r>
          </w:p>
        </w:tc>
        <w:tc>
          <w:tcPr>
            <w:tcW w:w="420" w:type="pct"/>
          </w:tcPr>
          <w:p w14:paraId="7186B4A9"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554</w:t>
            </w:r>
          </w:p>
        </w:tc>
        <w:tc>
          <w:tcPr>
            <w:tcW w:w="465" w:type="pct"/>
            <w:noWrap/>
            <w:hideMark/>
          </w:tcPr>
          <w:p w14:paraId="57CDA3F7"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565</w:t>
            </w:r>
          </w:p>
        </w:tc>
        <w:tc>
          <w:tcPr>
            <w:tcW w:w="532" w:type="pct"/>
            <w:tcBorders>
              <w:right w:val="single" w:sz="4" w:space="0" w:color="auto"/>
            </w:tcBorders>
            <w:noWrap/>
            <w:hideMark/>
          </w:tcPr>
          <w:p w14:paraId="07181C37"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989</w:t>
            </w:r>
          </w:p>
        </w:tc>
        <w:tc>
          <w:tcPr>
            <w:tcW w:w="262" w:type="pct"/>
            <w:tcBorders>
              <w:left w:val="single" w:sz="4" w:space="0" w:color="auto"/>
              <w:right w:val="single" w:sz="4" w:space="0" w:color="auto"/>
            </w:tcBorders>
          </w:tcPr>
          <w:p w14:paraId="42FF2985"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25</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033</w:t>
            </w:r>
          </w:p>
        </w:tc>
      </w:tr>
      <w:tr w:rsidR="001C4508" w:rsidRPr="00A90CEF" w14:paraId="7E080A9E"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6675A722" w14:textId="77777777" w:rsidR="006D535F" w:rsidRPr="00A90CEF" w:rsidRDefault="006D535F" w:rsidP="00CE2FDF">
            <w:pPr>
              <w:tabs>
                <w:tab w:val="left" w:pos="1134"/>
              </w:tabs>
              <w:spacing w:before="0" w:line="276" w:lineRule="auto"/>
              <w:rPr>
                <w:rFonts w:eastAsia="Times New Roman" w:cs="Arial"/>
                <w:color w:val="auto"/>
                <w:sz w:val="20"/>
                <w:szCs w:val="20"/>
                <w:lang w:eastAsia="en-AU"/>
              </w:rPr>
            </w:pPr>
            <w:r w:rsidRPr="00A90CEF">
              <w:rPr>
                <w:rFonts w:eastAsia="Times New Roman" w:cs="Arial"/>
                <w:bCs w:val="0"/>
                <w:color w:val="auto"/>
                <w:sz w:val="20"/>
                <w:szCs w:val="20"/>
                <w:lang w:eastAsia="en-AU"/>
              </w:rPr>
              <w:t>Totals:</w:t>
            </w:r>
          </w:p>
        </w:tc>
        <w:tc>
          <w:tcPr>
            <w:tcW w:w="469" w:type="pct"/>
            <w:tcBorders>
              <w:left w:val="single" w:sz="4" w:space="0" w:color="auto"/>
              <w:bottom w:val="single" w:sz="4" w:space="0" w:color="auto"/>
            </w:tcBorders>
            <w:noWrap/>
            <w:hideMark/>
          </w:tcPr>
          <w:p w14:paraId="4A99A788"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618</w:t>
            </w:r>
          </w:p>
        </w:tc>
        <w:tc>
          <w:tcPr>
            <w:tcW w:w="286" w:type="pct"/>
            <w:tcBorders>
              <w:bottom w:val="single" w:sz="4" w:space="0" w:color="auto"/>
            </w:tcBorders>
            <w:noWrap/>
            <w:hideMark/>
          </w:tcPr>
          <w:p w14:paraId="03BCE0A1"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702</w:t>
            </w:r>
          </w:p>
        </w:tc>
        <w:tc>
          <w:tcPr>
            <w:tcW w:w="409" w:type="pct"/>
            <w:tcBorders>
              <w:bottom w:val="single" w:sz="4" w:space="0" w:color="auto"/>
            </w:tcBorders>
            <w:noWrap/>
            <w:hideMark/>
          </w:tcPr>
          <w:p w14:paraId="00023A43"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9</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697</w:t>
            </w:r>
          </w:p>
        </w:tc>
        <w:tc>
          <w:tcPr>
            <w:tcW w:w="366" w:type="pct"/>
            <w:tcBorders>
              <w:bottom w:val="single" w:sz="4" w:space="0" w:color="auto"/>
              <w:right w:val="single" w:sz="4" w:space="0" w:color="auto"/>
            </w:tcBorders>
            <w:noWrap/>
            <w:hideMark/>
          </w:tcPr>
          <w:p w14:paraId="7081D189"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632</w:t>
            </w:r>
          </w:p>
        </w:tc>
        <w:tc>
          <w:tcPr>
            <w:tcW w:w="490" w:type="pct"/>
            <w:tcBorders>
              <w:left w:val="single" w:sz="4" w:space="0" w:color="auto"/>
              <w:bottom w:val="single" w:sz="4" w:space="0" w:color="auto"/>
            </w:tcBorders>
            <w:noWrap/>
            <w:hideMark/>
          </w:tcPr>
          <w:p w14:paraId="3F5073A0"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25</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242</w:t>
            </w:r>
          </w:p>
        </w:tc>
        <w:tc>
          <w:tcPr>
            <w:tcW w:w="420" w:type="pct"/>
            <w:tcBorders>
              <w:bottom w:val="single" w:sz="4" w:space="0" w:color="auto"/>
            </w:tcBorders>
          </w:tcPr>
          <w:p w14:paraId="0C709652"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12</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407</w:t>
            </w:r>
          </w:p>
        </w:tc>
        <w:tc>
          <w:tcPr>
            <w:tcW w:w="465" w:type="pct"/>
            <w:tcBorders>
              <w:bottom w:val="single" w:sz="4" w:space="0" w:color="auto"/>
            </w:tcBorders>
            <w:noWrap/>
            <w:hideMark/>
          </w:tcPr>
          <w:p w14:paraId="56438F6B"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912</w:t>
            </w:r>
          </w:p>
        </w:tc>
        <w:tc>
          <w:tcPr>
            <w:tcW w:w="532" w:type="pct"/>
            <w:tcBorders>
              <w:bottom w:val="single" w:sz="4" w:space="0" w:color="auto"/>
              <w:right w:val="single" w:sz="4" w:space="0" w:color="auto"/>
            </w:tcBorders>
            <w:noWrap/>
            <w:hideMark/>
          </w:tcPr>
          <w:p w14:paraId="78E1EE95"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495</w:t>
            </w:r>
          </w:p>
        </w:tc>
        <w:tc>
          <w:tcPr>
            <w:tcW w:w="262" w:type="pct"/>
            <w:tcBorders>
              <w:left w:val="single" w:sz="4" w:space="0" w:color="auto"/>
              <w:bottom w:val="single" w:sz="4" w:space="0" w:color="auto"/>
              <w:right w:val="single" w:sz="4" w:space="0" w:color="auto"/>
            </w:tcBorders>
          </w:tcPr>
          <w:p w14:paraId="0E8ACDDB"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37</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649</w:t>
            </w:r>
          </w:p>
        </w:tc>
      </w:tr>
      <w:tr w:rsidR="00A90CEF" w:rsidRPr="00A90CEF" w14:paraId="04329247" w14:textId="77777777" w:rsidTr="00B605C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nil"/>
              <w:right w:val="single" w:sz="4" w:space="0" w:color="auto"/>
            </w:tcBorders>
            <w:vAlign w:val="center"/>
            <w:hideMark/>
          </w:tcPr>
          <w:p w14:paraId="158C5B38" w14:textId="77777777" w:rsidR="006D535F" w:rsidRPr="00A90CEF" w:rsidRDefault="006D535F"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2005</w:t>
            </w:r>
          </w:p>
        </w:tc>
        <w:tc>
          <w:tcPr>
            <w:tcW w:w="469" w:type="pct"/>
            <w:tcBorders>
              <w:top w:val="single" w:sz="4" w:space="0" w:color="auto"/>
              <w:left w:val="single" w:sz="4" w:space="0" w:color="auto"/>
              <w:bottom w:val="nil"/>
            </w:tcBorders>
            <w:hideMark/>
          </w:tcPr>
          <w:p w14:paraId="449424B9"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86" w:type="pct"/>
            <w:tcBorders>
              <w:top w:val="single" w:sz="4" w:space="0" w:color="auto"/>
              <w:bottom w:val="nil"/>
            </w:tcBorders>
            <w:hideMark/>
          </w:tcPr>
          <w:p w14:paraId="02519B96"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09" w:type="pct"/>
            <w:tcBorders>
              <w:top w:val="single" w:sz="4" w:space="0" w:color="auto"/>
              <w:bottom w:val="nil"/>
            </w:tcBorders>
            <w:hideMark/>
          </w:tcPr>
          <w:p w14:paraId="0FCA7CD2"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366" w:type="pct"/>
            <w:tcBorders>
              <w:top w:val="single" w:sz="4" w:space="0" w:color="auto"/>
              <w:bottom w:val="nil"/>
              <w:right w:val="single" w:sz="4" w:space="0" w:color="auto"/>
            </w:tcBorders>
            <w:hideMark/>
          </w:tcPr>
          <w:p w14:paraId="66234806"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90" w:type="pct"/>
            <w:tcBorders>
              <w:top w:val="single" w:sz="4" w:space="0" w:color="auto"/>
              <w:left w:val="single" w:sz="4" w:space="0" w:color="auto"/>
              <w:bottom w:val="nil"/>
            </w:tcBorders>
            <w:hideMark/>
          </w:tcPr>
          <w:p w14:paraId="728F06D0"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20" w:type="pct"/>
            <w:tcBorders>
              <w:top w:val="single" w:sz="4" w:space="0" w:color="auto"/>
              <w:bottom w:val="nil"/>
            </w:tcBorders>
          </w:tcPr>
          <w:p w14:paraId="74054455"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65" w:type="pct"/>
            <w:tcBorders>
              <w:top w:val="single" w:sz="4" w:space="0" w:color="auto"/>
              <w:bottom w:val="nil"/>
            </w:tcBorders>
            <w:hideMark/>
          </w:tcPr>
          <w:p w14:paraId="091B6AF1"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532" w:type="pct"/>
            <w:tcBorders>
              <w:top w:val="single" w:sz="4" w:space="0" w:color="auto"/>
              <w:bottom w:val="nil"/>
              <w:right w:val="single" w:sz="4" w:space="0" w:color="auto"/>
            </w:tcBorders>
            <w:hideMark/>
          </w:tcPr>
          <w:p w14:paraId="7BE24EFA"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62" w:type="pct"/>
            <w:tcBorders>
              <w:top w:val="single" w:sz="4" w:space="0" w:color="auto"/>
              <w:left w:val="single" w:sz="4" w:space="0" w:color="auto"/>
              <w:bottom w:val="nil"/>
              <w:right w:val="single" w:sz="4" w:space="0" w:color="auto"/>
            </w:tcBorders>
          </w:tcPr>
          <w:p w14:paraId="33FCCC33"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p>
        </w:tc>
      </w:tr>
      <w:tr w:rsidR="001C4508" w:rsidRPr="00A90CEF" w14:paraId="4E7CEEBF"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nil"/>
              <w:left w:val="single" w:sz="4" w:space="0" w:color="auto"/>
              <w:right w:val="single" w:sz="4" w:space="0" w:color="auto"/>
            </w:tcBorders>
            <w:noWrap/>
            <w:vAlign w:val="center"/>
            <w:hideMark/>
          </w:tcPr>
          <w:p w14:paraId="232267CA"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top w:val="nil"/>
              <w:left w:val="single" w:sz="4" w:space="0" w:color="auto"/>
            </w:tcBorders>
            <w:noWrap/>
            <w:hideMark/>
          </w:tcPr>
          <w:p w14:paraId="79F47A7C"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5</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069</w:t>
            </w:r>
          </w:p>
        </w:tc>
        <w:tc>
          <w:tcPr>
            <w:tcW w:w="286" w:type="pct"/>
            <w:tcBorders>
              <w:top w:val="nil"/>
            </w:tcBorders>
            <w:noWrap/>
            <w:hideMark/>
          </w:tcPr>
          <w:p w14:paraId="330BD98A"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021</w:t>
            </w:r>
          </w:p>
        </w:tc>
        <w:tc>
          <w:tcPr>
            <w:tcW w:w="409" w:type="pct"/>
            <w:tcBorders>
              <w:top w:val="nil"/>
            </w:tcBorders>
            <w:noWrap/>
            <w:hideMark/>
          </w:tcPr>
          <w:p w14:paraId="68A54B96"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143</w:t>
            </w:r>
          </w:p>
        </w:tc>
        <w:tc>
          <w:tcPr>
            <w:tcW w:w="366" w:type="pct"/>
            <w:tcBorders>
              <w:top w:val="nil"/>
              <w:right w:val="single" w:sz="4" w:space="0" w:color="auto"/>
            </w:tcBorders>
            <w:noWrap/>
            <w:hideMark/>
          </w:tcPr>
          <w:p w14:paraId="2851AC22"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715</w:t>
            </w:r>
          </w:p>
        </w:tc>
        <w:tc>
          <w:tcPr>
            <w:tcW w:w="490" w:type="pct"/>
            <w:tcBorders>
              <w:top w:val="nil"/>
              <w:left w:val="single" w:sz="4" w:space="0" w:color="auto"/>
            </w:tcBorders>
            <w:noWrap/>
            <w:hideMark/>
          </w:tcPr>
          <w:p w14:paraId="60456ABE"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8</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400</w:t>
            </w:r>
          </w:p>
        </w:tc>
        <w:tc>
          <w:tcPr>
            <w:tcW w:w="420" w:type="pct"/>
            <w:tcBorders>
              <w:top w:val="nil"/>
            </w:tcBorders>
          </w:tcPr>
          <w:p w14:paraId="621CE56B"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548</w:t>
            </w:r>
          </w:p>
        </w:tc>
        <w:tc>
          <w:tcPr>
            <w:tcW w:w="465" w:type="pct"/>
            <w:tcBorders>
              <w:top w:val="nil"/>
            </w:tcBorders>
            <w:noWrap/>
            <w:hideMark/>
          </w:tcPr>
          <w:p w14:paraId="099A3761"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254</w:t>
            </w:r>
          </w:p>
        </w:tc>
        <w:tc>
          <w:tcPr>
            <w:tcW w:w="532" w:type="pct"/>
            <w:tcBorders>
              <w:top w:val="nil"/>
              <w:right w:val="single" w:sz="4" w:space="0" w:color="auto"/>
            </w:tcBorders>
            <w:noWrap/>
            <w:hideMark/>
          </w:tcPr>
          <w:p w14:paraId="7C4B413A"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294</w:t>
            </w:r>
          </w:p>
        </w:tc>
        <w:tc>
          <w:tcPr>
            <w:tcW w:w="262" w:type="pct"/>
            <w:tcBorders>
              <w:top w:val="nil"/>
              <w:left w:val="single" w:sz="4" w:space="0" w:color="auto"/>
              <w:right w:val="single" w:sz="4" w:space="0" w:color="auto"/>
            </w:tcBorders>
          </w:tcPr>
          <w:p w14:paraId="6E1248BA"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12</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948</w:t>
            </w:r>
          </w:p>
        </w:tc>
      </w:tr>
      <w:tr w:rsidR="001C4508" w:rsidRPr="00A90CEF" w14:paraId="1BC215F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29DFF3DF"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0F9B8DBA"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836</w:t>
            </w:r>
          </w:p>
        </w:tc>
        <w:tc>
          <w:tcPr>
            <w:tcW w:w="286" w:type="pct"/>
            <w:noWrap/>
            <w:hideMark/>
          </w:tcPr>
          <w:p w14:paraId="5D98D8A2"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8</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274</w:t>
            </w:r>
          </w:p>
        </w:tc>
        <w:tc>
          <w:tcPr>
            <w:tcW w:w="409" w:type="pct"/>
            <w:noWrap/>
            <w:hideMark/>
          </w:tcPr>
          <w:p w14:paraId="4BBBA44E"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5</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787</w:t>
            </w:r>
          </w:p>
        </w:tc>
        <w:tc>
          <w:tcPr>
            <w:tcW w:w="366" w:type="pct"/>
            <w:tcBorders>
              <w:right w:val="single" w:sz="4" w:space="0" w:color="auto"/>
            </w:tcBorders>
            <w:noWrap/>
            <w:hideMark/>
          </w:tcPr>
          <w:p w14:paraId="789B1BED"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A90CEF">
              <w:rPr>
                <w:rFonts w:eastAsia="Times New Roman" w:cs="Arial"/>
                <w:color w:val="000000"/>
                <w:sz w:val="20"/>
                <w:szCs w:val="20"/>
                <w:lang w:eastAsia="en-AU"/>
              </w:rPr>
              <w:t>,</w:t>
            </w:r>
            <w:r w:rsidRPr="00A90CEF">
              <w:rPr>
                <w:rFonts w:eastAsia="Times New Roman" w:cs="Arial"/>
                <w:color w:val="000000"/>
                <w:sz w:val="20"/>
                <w:szCs w:val="20"/>
                <w:lang w:eastAsia="en-AU"/>
              </w:rPr>
              <w:t>812</w:t>
            </w:r>
          </w:p>
        </w:tc>
        <w:tc>
          <w:tcPr>
            <w:tcW w:w="490" w:type="pct"/>
            <w:tcBorders>
              <w:left w:val="single" w:sz="4" w:space="0" w:color="auto"/>
            </w:tcBorders>
            <w:noWrap/>
            <w:hideMark/>
          </w:tcPr>
          <w:p w14:paraId="718B39E6"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917</w:t>
            </w:r>
          </w:p>
        </w:tc>
        <w:tc>
          <w:tcPr>
            <w:tcW w:w="420" w:type="pct"/>
          </w:tcPr>
          <w:p w14:paraId="05390E7D"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792</w:t>
            </w:r>
          </w:p>
        </w:tc>
        <w:tc>
          <w:tcPr>
            <w:tcW w:w="465" w:type="pct"/>
            <w:noWrap/>
            <w:hideMark/>
          </w:tcPr>
          <w:p w14:paraId="78ED9478"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250</w:t>
            </w:r>
          </w:p>
        </w:tc>
        <w:tc>
          <w:tcPr>
            <w:tcW w:w="532" w:type="pct"/>
            <w:tcBorders>
              <w:right w:val="single" w:sz="4" w:space="0" w:color="auto"/>
            </w:tcBorders>
            <w:noWrap/>
            <w:hideMark/>
          </w:tcPr>
          <w:p w14:paraId="4D65AF3D"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542</w:t>
            </w:r>
          </w:p>
        </w:tc>
        <w:tc>
          <w:tcPr>
            <w:tcW w:w="262" w:type="pct"/>
            <w:tcBorders>
              <w:left w:val="single" w:sz="4" w:space="0" w:color="auto"/>
              <w:right w:val="single" w:sz="4" w:space="0" w:color="auto"/>
            </w:tcBorders>
          </w:tcPr>
          <w:p w14:paraId="51008383"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23</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709</w:t>
            </w:r>
          </w:p>
        </w:tc>
      </w:tr>
      <w:tr w:rsidR="001C4508" w:rsidRPr="00A90CEF" w14:paraId="26BEA245"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7FD0F18D" w14:textId="77777777" w:rsidR="006D535F" w:rsidRPr="00A90CEF" w:rsidRDefault="006D535F" w:rsidP="00CE2FDF">
            <w:pPr>
              <w:tabs>
                <w:tab w:val="left" w:pos="1134"/>
              </w:tabs>
              <w:spacing w:before="0" w:line="276" w:lineRule="auto"/>
              <w:rPr>
                <w:rFonts w:eastAsia="Times New Roman" w:cs="Arial"/>
                <w:color w:val="auto"/>
                <w:sz w:val="20"/>
                <w:szCs w:val="20"/>
                <w:lang w:eastAsia="en-AU"/>
              </w:rPr>
            </w:pPr>
            <w:r w:rsidRPr="00A90CEF">
              <w:rPr>
                <w:rFonts w:eastAsia="Times New Roman" w:cs="Arial"/>
                <w:bCs w:val="0"/>
                <w:color w:val="auto"/>
                <w:sz w:val="20"/>
                <w:szCs w:val="20"/>
                <w:lang w:eastAsia="en-AU"/>
              </w:rPr>
              <w:t>Totals:</w:t>
            </w:r>
          </w:p>
        </w:tc>
        <w:tc>
          <w:tcPr>
            <w:tcW w:w="469" w:type="pct"/>
            <w:tcBorders>
              <w:left w:val="single" w:sz="4" w:space="0" w:color="auto"/>
              <w:bottom w:val="single" w:sz="4" w:space="0" w:color="auto"/>
            </w:tcBorders>
            <w:noWrap/>
            <w:hideMark/>
          </w:tcPr>
          <w:p w14:paraId="0DCFAC1B"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905</w:t>
            </w:r>
          </w:p>
        </w:tc>
        <w:tc>
          <w:tcPr>
            <w:tcW w:w="286" w:type="pct"/>
            <w:tcBorders>
              <w:bottom w:val="single" w:sz="4" w:space="0" w:color="auto"/>
            </w:tcBorders>
            <w:noWrap/>
            <w:hideMark/>
          </w:tcPr>
          <w:p w14:paraId="730A4147"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295</w:t>
            </w:r>
          </w:p>
        </w:tc>
        <w:tc>
          <w:tcPr>
            <w:tcW w:w="409" w:type="pct"/>
            <w:tcBorders>
              <w:bottom w:val="single" w:sz="4" w:space="0" w:color="auto"/>
            </w:tcBorders>
            <w:noWrap/>
            <w:hideMark/>
          </w:tcPr>
          <w:p w14:paraId="6B7726D8"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8</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930</w:t>
            </w:r>
          </w:p>
        </w:tc>
        <w:tc>
          <w:tcPr>
            <w:tcW w:w="366" w:type="pct"/>
            <w:tcBorders>
              <w:bottom w:val="single" w:sz="4" w:space="0" w:color="auto"/>
              <w:right w:val="single" w:sz="4" w:space="0" w:color="auto"/>
            </w:tcBorders>
            <w:noWrap/>
            <w:hideMark/>
          </w:tcPr>
          <w:p w14:paraId="551A1598"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A90CEF">
              <w:rPr>
                <w:rFonts w:eastAsia="Times New Roman" w:cs="Arial"/>
                <w:b/>
                <w:color w:val="000000"/>
                <w:sz w:val="20"/>
                <w:szCs w:val="20"/>
                <w:lang w:eastAsia="en-AU"/>
              </w:rPr>
              <w:t>,</w:t>
            </w:r>
            <w:r w:rsidRPr="00A90CEF">
              <w:rPr>
                <w:rFonts w:eastAsia="Times New Roman" w:cs="Arial"/>
                <w:b/>
                <w:color w:val="000000"/>
                <w:sz w:val="20"/>
                <w:szCs w:val="20"/>
                <w:lang w:eastAsia="en-AU"/>
              </w:rPr>
              <w:t>527</w:t>
            </w:r>
          </w:p>
        </w:tc>
        <w:tc>
          <w:tcPr>
            <w:tcW w:w="490" w:type="pct"/>
            <w:tcBorders>
              <w:left w:val="single" w:sz="4" w:space="0" w:color="auto"/>
              <w:bottom w:val="single" w:sz="4" w:space="0" w:color="auto"/>
            </w:tcBorders>
            <w:noWrap/>
            <w:hideMark/>
          </w:tcPr>
          <w:p w14:paraId="64BB3C10"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25</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317</w:t>
            </w:r>
          </w:p>
        </w:tc>
        <w:tc>
          <w:tcPr>
            <w:tcW w:w="420" w:type="pct"/>
            <w:tcBorders>
              <w:bottom w:val="single" w:sz="4" w:space="0" w:color="auto"/>
            </w:tcBorders>
          </w:tcPr>
          <w:p w14:paraId="7DFC1577"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340</w:t>
            </w:r>
          </w:p>
        </w:tc>
        <w:tc>
          <w:tcPr>
            <w:tcW w:w="465" w:type="pct"/>
            <w:tcBorders>
              <w:bottom w:val="single" w:sz="4" w:space="0" w:color="auto"/>
            </w:tcBorders>
            <w:noWrap/>
            <w:hideMark/>
          </w:tcPr>
          <w:p w14:paraId="4AD06666"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504</w:t>
            </w:r>
          </w:p>
        </w:tc>
        <w:tc>
          <w:tcPr>
            <w:tcW w:w="532" w:type="pct"/>
            <w:tcBorders>
              <w:bottom w:val="single" w:sz="4" w:space="0" w:color="auto"/>
              <w:right w:val="single" w:sz="4" w:space="0" w:color="auto"/>
            </w:tcBorders>
            <w:noWrap/>
            <w:hideMark/>
          </w:tcPr>
          <w:p w14:paraId="37F52DBF"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3</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836</w:t>
            </w:r>
          </w:p>
        </w:tc>
        <w:tc>
          <w:tcPr>
            <w:tcW w:w="262" w:type="pct"/>
            <w:tcBorders>
              <w:left w:val="single" w:sz="4" w:space="0" w:color="auto"/>
              <w:bottom w:val="single" w:sz="4" w:space="0" w:color="auto"/>
              <w:right w:val="single" w:sz="4" w:space="0" w:color="auto"/>
            </w:tcBorders>
          </w:tcPr>
          <w:p w14:paraId="53E8D84B"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36</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657</w:t>
            </w:r>
          </w:p>
        </w:tc>
      </w:tr>
      <w:tr w:rsidR="00A90CEF" w:rsidRPr="00A90CEF" w14:paraId="0BECFAB4" w14:textId="77777777" w:rsidTr="00B605C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nil"/>
              <w:right w:val="single" w:sz="4" w:space="0" w:color="auto"/>
            </w:tcBorders>
            <w:vAlign w:val="center"/>
            <w:hideMark/>
          </w:tcPr>
          <w:p w14:paraId="7A63EF8E" w14:textId="77777777" w:rsidR="006D535F" w:rsidRPr="00A90CEF" w:rsidRDefault="006D535F"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2006</w:t>
            </w:r>
          </w:p>
        </w:tc>
        <w:tc>
          <w:tcPr>
            <w:tcW w:w="469" w:type="pct"/>
            <w:tcBorders>
              <w:top w:val="single" w:sz="4" w:space="0" w:color="auto"/>
              <w:left w:val="single" w:sz="4" w:space="0" w:color="auto"/>
              <w:bottom w:val="nil"/>
            </w:tcBorders>
            <w:hideMark/>
          </w:tcPr>
          <w:p w14:paraId="66EA0728"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86" w:type="pct"/>
            <w:tcBorders>
              <w:top w:val="single" w:sz="4" w:space="0" w:color="auto"/>
              <w:bottom w:val="nil"/>
            </w:tcBorders>
            <w:hideMark/>
          </w:tcPr>
          <w:p w14:paraId="3B216B03"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09" w:type="pct"/>
            <w:tcBorders>
              <w:top w:val="single" w:sz="4" w:space="0" w:color="auto"/>
              <w:bottom w:val="nil"/>
            </w:tcBorders>
            <w:hideMark/>
          </w:tcPr>
          <w:p w14:paraId="0C1337FF"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366" w:type="pct"/>
            <w:tcBorders>
              <w:top w:val="single" w:sz="4" w:space="0" w:color="auto"/>
              <w:bottom w:val="nil"/>
              <w:right w:val="single" w:sz="4" w:space="0" w:color="auto"/>
            </w:tcBorders>
            <w:hideMark/>
          </w:tcPr>
          <w:p w14:paraId="5857E64F"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90" w:type="pct"/>
            <w:tcBorders>
              <w:top w:val="single" w:sz="4" w:space="0" w:color="auto"/>
              <w:left w:val="single" w:sz="4" w:space="0" w:color="auto"/>
              <w:bottom w:val="nil"/>
            </w:tcBorders>
            <w:hideMark/>
          </w:tcPr>
          <w:p w14:paraId="3F2B5923"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20" w:type="pct"/>
            <w:tcBorders>
              <w:top w:val="single" w:sz="4" w:space="0" w:color="auto"/>
              <w:bottom w:val="nil"/>
            </w:tcBorders>
          </w:tcPr>
          <w:p w14:paraId="7D0777E4"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65" w:type="pct"/>
            <w:tcBorders>
              <w:top w:val="single" w:sz="4" w:space="0" w:color="auto"/>
              <w:bottom w:val="nil"/>
            </w:tcBorders>
            <w:hideMark/>
          </w:tcPr>
          <w:p w14:paraId="228F606A"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532" w:type="pct"/>
            <w:tcBorders>
              <w:top w:val="single" w:sz="4" w:space="0" w:color="auto"/>
              <w:bottom w:val="nil"/>
              <w:right w:val="single" w:sz="4" w:space="0" w:color="auto"/>
            </w:tcBorders>
            <w:hideMark/>
          </w:tcPr>
          <w:p w14:paraId="71727C46"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62" w:type="pct"/>
            <w:tcBorders>
              <w:top w:val="single" w:sz="4" w:space="0" w:color="auto"/>
              <w:left w:val="single" w:sz="4" w:space="0" w:color="auto"/>
              <w:bottom w:val="nil"/>
              <w:right w:val="single" w:sz="4" w:space="0" w:color="auto"/>
            </w:tcBorders>
          </w:tcPr>
          <w:p w14:paraId="50168B5B"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p>
        </w:tc>
      </w:tr>
      <w:tr w:rsidR="001C4508" w:rsidRPr="00A90CEF" w14:paraId="7BC1D897"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nil"/>
              <w:left w:val="single" w:sz="4" w:space="0" w:color="auto"/>
              <w:right w:val="single" w:sz="4" w:space="0" w:color="auto"/>
            </w:tcBorders>
            <w:noWrap/>
            <w:vAlign w:val="center"/>
            <w:hideMark/>
          </w:tcPr>
          <w:p w14:paraId="1D5A7A4C"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top w:val="nil"/>
              <w:left w:val="single" w:sz="4" w:space="0" w:color="auto"/>
            </w:tcBorders>
            <w:noWrap/>
            <w:hideMark/>
          </w:tcPr>
          <w:p w14:paraId="33128436"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5</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599</w:t>
            </w:r>
          </w:p>
        </w:tc>
        <w:tc>
          <w:tcPr>
            <w:tcW w:w="286" w:type="pct"/>
            <w:tcBorders>
              <w:top w:val="nil"/>
            </w:tcBorders>
            <w:noWrap/>
            <w:hideMark/>
          </w:tcPr>
          <w:p w14:paraId="6866D3D9"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648</w:t>
            </w:r>
          </w:p>
        </w:tc>
        <w:tc>
          <w:tcPr>
            <w:tcW w:w="409" w:type="pct"/>
            <w:tcBorders>
              <w:top w:val="nil"/>
            </w:tcBorders>
            <w:noWrap/>
            <w:hideMark/>
          </w:tcPr>
          <w:p w14:paraId="4BDA0991"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885</w:t>
            </w:r>
          </w:p>
        </w:tc>
        <w:tc>
          <w:tcPr>
            <w:tcW w:w="366" w:type="pct"/>
            <w:tcBorders>
              <w:top w:val="nil"/>
              <w:right w:val="single" w:sz="4" w:space="0" w:color="auto"/>
            </w:tcBorders>
            <w:noWrap/>
            <w:hideMark/>
          </w:tcPr>
          <w:p w14:paraId="06ADE26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624</w:t>
            </w:r>
          </w:p>
        </w:tc>
        <w:tc>
          <w:tcPr>
            <w:tcW w:w="490" w:type="pct"/>
            <w:tcBorders>
              <w:top w:val="nil"/>
              <w:left w:val="single" w:sz="4" w:space="0" w:color="auto"/>
            </w:tcBorders>
            <w:noWrap/>
            <w:hideMark/>
          </w:tcPr>
          <w:p w14:paraId="57D47F3C"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9</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243</w:t>
            </w:r>
          </w:p>
        </w:tc>
        <w:tc>
          <w:tcPr>
            <w:tcW w:w="420" w:type="pct"/>
            <w:tcBorders>
              <w:top w:val="nil"/>
            </w:tcBorders>
          </w:tcPr>
          <w:p w14:paraId="0E220282"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513</w:t>
            </w:r>
          </w:p>
        </w:tc>
        <w:tc>
          <w:tcPr>
            <w:tcW w:w="465" w:type="pct"/>
            <w:tcBorders>
              <w:top w:val="nil"/>
            </w:tcBorders>
            <w:noWrap/>
            <w:hideMark/>
          </w:tcPr>
          <w:p w14:paraId="49C6E34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163</w:t>
            </w:r>
          </w:p>
        </w:tc>
        <w:tc>
          <w:tcPr>
            <w:tcW w:w="532" w:type="pct"/>
            <w:tcBorders>
              <w:top w:val="nil"/>
              <w:right w:val="single" w:sz="4" w:space="0" w:color="auto"/>
            </w:tcBorders>
            <w:noWrap/>
            <w:hideMark/>
          </w:tcPr>
          <w:p w14:paraId="6E0B1C5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1350</w:t>
            </w:r>
          </w:p>
        </w:tc>
        <w:tc>
          <w:tcPr>
            <w:tcW w:w="262" w:type="pct"/>
            <w:tcBorders>
              <w:top w:val="nil"/>
              <w:left w:val="single" w:sz="4" w:space="0" w:color="auto"/>
              <w:right w:val="single" w:sz="4" w:space="0" w:color="auto"/>
            </w:tcBorders>
          </w:tcPr>
          <w:p w14:paraId="3B4C5E13"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13</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756</w:t>
            </w:r>
          </w:p>
        </w:tc>
      </w:tr>
      <w:tr w:rsidR="001C4508" w:rsidRPr="00A90CEF" w14:paraId="566A3E2D"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569F02F4"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2D412C46"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613</w:t>
            </w:r>
          </w:p>
        </w:tc>
        <w:tc>
          <w:tcPr>
            <w:tcW w:w="286" w:type="pct"/>
            <w:noWrap/>
            <w:hideMark/>
          </w:tcPr>
          <w:p w14:paraId="384C46E8"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977</w:t>
            </w:r>
          </w:p>
        </w:tc>
        <w:tc>
          <w:tcPr>
            <w:tcW w:w="409" w:type="pct"/>
            <w:noWrap/>
            <w:hideMark/>
          </w:tcPr>
          <w:p w14:paraId="61490513"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497</w:t>
            </w:r>
          </w:p>
        </w:tc>
        <w:tc>
          <w:tcPr>
            <w:tcW w:w="366" w:type="pct"/>
            <w:tcBorders>
              <w:right w:val="single" w:sz="4" w:space="0" w:color="auto"/>
            </w:tcBorders>
            <w:noWrap/>
            <w:hideMark/>
          </w:tcPr>
          <w:p w14:paraId="49549F17"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850</w:t>
            </w:r>
          </w:p>
        </w:tc>
        <w:tc>
          <w:tcPr>
            <w:tcW w:w="490" w:type="pct"/>
            <w:tcBorders>
              <w:left w:val="single" w:sz="4" w:space="0" w:color="auto"/>
            </w:tcBorders>
            <w:noWrap/>
            <w:hideMark/>
          </w:tcPr>
          <w:p w14:paraId="4E68127E"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933</w:t>
            </w:r>
          </w:p>
        </w:tc>
        <w:tc>
          <w:tcPr>
            <w:tcW w:w="420" w:type="pct"/>
          </w:tcPr>
          <w:p w14:paraId="099A3D26"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004</w:t>
            </w:r>
          </w:p>
        </w:tc>
        <w:tc>
          <w:tcPr>
            <w:tcW w:w="465" w:type="pct"/>
            <w:noWrap/>
            <w:hideMark/>
          </w:tcPr>
          <w:p w14:paraId="7D289851"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325</w:t>
            </w:r>
          </w:p>
        </w:tc>
        <w:tc>
          <w:tcPr>
            <w:tcW w:w="532" w:type="pct"/>
            <w:tcBorders>
              <w:right w:val="single" w:sz="4" w:space="0" w:color="auto"/>
            </w:tcBorders>
            <w:noWrap/>
            <w:hideMark/>
          </w:tcPr>
          <w:p w14:paraId="19686080"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2679</w:t>
            </w:r>
          </w:p>
        </w:tc>
        <w:tc>
          <w:tcPr>
            <w:tcW w:w="262" w:type="pct"/>
            <w:tcBorders>
              <w:left w:val="single" w:sz="4" w:space="0" w:color="auto"/>
              <w:right w:val="single" w:sz="4" w:space="0" w:color="auto"/>
            </w:tcBorders>
          </w:tcPr>
          <w:p w14:paraId="544AD8C1"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23</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937</w:t>
            </w:r>
          </w:p>
        </w:tc>
      </w:tr>
      <w:tr w:rsidR="001C4508" w:rsidRPr="00A90CEF" w14:paraId="211CA7C6"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44E02AED" w14:textId="77777777" w:rsidR="006D535F" w:rsidRPr="00A90CEF" w:rsidRDefault="006D535F" w:rsidP="00CE2FDF">
            <w:pPr>
              <w:tabs>
                <w:tab w:val="left" w:pos="1134"/>
              </w:tabs>
              <w:spacing w:before="0" w:line="276" w:lineRule="auto"/>
              <w:rPr>
                <w:rFonts w:eastAsia="Times New Roman" w:cs="Arial"/>
                <w:color w:val="auto"/>
                <w:sz w:val="20"/>
                <w:szCs w:val="20"/>
                <w:lang w:eastAsia="en-AU"/>
              </w:rPr>
            </w:pPr>
            <w:r w:rsidRPr="00A90CEF">
              <w:rPr>
                <w:rFonts w:eastAsia="Times New Roman" w:cs="Arial"/>
                <w:bCs w:val="0"/>
                <w:color w:val="auto"/>
                <w:sz w:val="20"/>
                <w:szCs w:val="20"/>
                <w:lang w:eastAsia="en-AU"/>
              </w:rPr>
              <w:t>Totals:</w:t>
            </w:r>
          </w:p>
        </w:tc>
        <w:tc>
          <w:tcPr>
            <w:tcW w:w="469" w:type="pct"/>
            <w:tcBorders>
              <w:left w:val="single" w:sz="4" w:space="0" w:color="auto"/>
              <w:bottom w:val="single" w:sz="4" w:space="0" w:color="auto"/>
            </w:tcBorders>
            <w:noWrap/>
            <w:hideMark/>
          </w:tcPr>
          <w:p w14:paraId="66DB931F"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13</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212</w:t>
            </w:r>
          </w:p>
        </w:tc>
        <w:tc>
          <w:tcPr>
            <w:tcW w:w="286" w:type="pct"/>
            <w:tcBorders>
              <w:bottom w:val="single" w:sz="4" w:space="0" w:color="auto"/>
            </w:tcBorders>
            <w:noWrap/>
            <w:hideMark/>
          </w:tcPr>
          <w:p w14:paraId="10A801FA"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9</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625</w:t>
            </w:r>
          </w:p>
        </w:tc>
        <w:tc>
          <w:tcPr>
            <w:tcW w:w="409" w:type="pct"/>
            <w:tcBorders>
              <w:bottom w:val="single" w:sz="4" w:space="0" w:color="auto"/>
            </w:tcBorders>
            <w:noWrap/>
            <w:hideMark/>
          </w:tcPr>
          <w:p w14:paraId="18609503"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10</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382</w:t>
            </w:r>
          </w:p>
        </w:tc>
        <w:tc>
          <w:tcPr>
            <w:tcW w:w="366" w:type="pct"/>
            <w:tcBorders>
              <w:bottom w:val="single" w:sz="4" w:space="0" w:color="auto"/>
              <w:right w:val="single" w:sz="4" w:space="0" w:color="auto"/>
            </w:tcBorders>
            <w:noWrap/>
            <w:hideMark/>
          </w:tcPr>
          <w:p w14:paraId="4C41489D"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474</w:t>
            </w:r>
          </w:p>
        </w:tc>
        <w:tc>
          <w:tcPr>
            <w:tcW w:w="490" w:type="pct"/>
            <w:tcBorders>
              <w:left w:val="single" w:sz="4" w:space="0" w:color="auto"/>
              <w:bottom w:val="single" w:sz="4" w:space="0" w:color="auto"/>
            </w:tcBorders>
            <w:noWrap/>
            <w:hideMark/>
          </w:tcPr>
          <w:p w14:paraId="7F8B9589"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26</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176</w:t>
            </w:r>
          </w:p>
        </w:tc>
        <w:tc>
          <w:tcPr>
            <w:tcW w:w="420" w:type="pct"/>
            <w:tcBorders>
              <w:bottom w:val="single" w:sz="4" w:space="0" w:color="auto"/>
            </w:tcBorders>
          </w:tcPr>
          <w:p w14:paraId="28F49531"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517</w:t>
            </w:r>
          </w:p>
        </w:tc>
        <w:tc>
          <w:tcPr>
            <w:tcW w:w="465" w:type="pct"/>
            <w:tcBorders>
              <w:bottom w:val="single" w:sz="4" w:space="0" w:color="auto"/>
            </w:tcBorders>
            <w:noWrap/>
            <w:hideMark/>
          </w:tcPr>
          <w:p w14:paraId="4A0C4C58"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488</w:t>
            </w:r>
          </w:p>
        </w:tc>
        <w:tc>
          <w:tcPr>
            <w:tcW w:w="532" w:type="pct"/>
            <w:tcBorders>
              <w:bottom w:val="single" w:sz="4" w:space="0" w:color="auto"/>
              <w:right w:val="single" w:sz="4" w:space="0" w:color="auto"/>
            </w:tcBorders>
            <w:noWrap/>
            <w:hideMark/>
          </w:tcPr>
          <w:p w14:paraId="54D9BA1D"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4029</w:t>
            </w:r>
          </w:p>
        </w:tc>
        <w:tc>
          <w:tcPr>
            <w:tcW w:w="262" w:type="pct"/>
            <w:tcBorders>
              <w:left w:val="single" w:sz="4" w:space="0" w:color="auto"/>
              <w:bottom w:val="single" w:sz="4" w:space="0" w:color="auto"/>
              <w:right w:val="single" w:sz="4" w:space="0" w:color="auto"/>
            </w:tcBorders>
          </w:tcPr>
          <w:p w14:paraId="3FC5C4D3"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37</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693</w:t>
            </w:r>
          </w:p>
        </w:tc>
      </w:tr>
      <w:tr w:rsidR="00A90CEF" w:rsidRPr="00A90CEF" w14:paraId="78487783" w14:textId="77777777" w:rsidTr="00B605CE">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nil"/>
              <w:right w:val="single" w:sz="4" w:space="0" w:color="auto"/>
            </w:tcBorders>
            <w:vAlign w:val="center"/>
            <w:hideMark/>
          </w:tcPr>
          <w:p w14:paraId="635D1797" w14:textId="77777777" w:rsidR="006D535F" w:rsidRPr="00A90CEF" w:rsidRDefault="006D535F"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2007</w:t>
            </w:r>
          </w:p>
        </w:tc>
        <w:tc>
          <w:tcPr>
            <w:tcW w:w="469" w:type="pct"/>
            <w:tcBorders>
              <w:top w:val="single" w:sz="4" w:space="0" w:color="auto"/>
              <w:left w:val="single" w:sz="4" w:space="0" w:color="auto"/>
              <w:bottom w:val="nil"/>
            </w:tcBorders>
            <w:hideMark/>
          </w:tcPr>
          <w:p w14:paraId="055EF2B2" w14:textId="77777777" w:rsidR="006D535F" w:rsidRPr="00A90CEF" w:rsidRDefault="006D535F"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286" w:type="pct"/>
            <w:tcBorders>
              <w:top w:val="single" w:sz="4" w:space="0" w:color="auto"/>
              <w:bottom w:val="nil"/>
            </w:tcBorders>
            <w:hideMark/>
          </w:tcPr>
          <w:p w14:paraId="26914D4A" w14:textId="77777777" w:rsidR="006D535F" w:rsidRPr="00A90CEF" w:rsidRDefault="006D535F"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409" w:type="pct"/>
            <w:tcBorders>
              <w:top w:val="single" w:sz="4" w:space="0" w:color="auto"/>
              <w:bottom w:val="nil"/>
            </w:tcBorders>
            <w:hideMark/>
          </w:tcPr>
          <w:p w14:paraId="2F4ED352" w14:textId="77777777" w:rsidR="006D535F" w:rsidRPr="00A90CEF" w:rsidRDefault="006D535F"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366" w:type="pct"/>
            <w:tcBorders>
              <w:top w:val="single" w:sz="4" w:space="0" w:color="auto"/>
              <w:bottom w:val="nil"/>
              <w:right w:val="single" w:sz="4" w:space="0" w:color="auto"/>
            </w:tcBorders>
            <w:hideMark/>
          </w:tcPr>
          <w:p w14:paraId="7E0DB68B" w14:textId="77777777" w:rsidR="006D535F" w:rsidRPr="00A90CEF" w:rsidRDefault="006D535F"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490" w:type="pct"/>
            <w:tcBorders>
              <w:top w:val="single" w:sz="4" w:space="0" w:color="auto"/>
              <w:left w:val="single" w:sz="4" w:space="0" w:color="auto"/>
              <w:bottom w:val="nil"/>
            </w:tcBorders>
            <w:hideMark/>
          </w:tcPr>
          <w:p w14:paraId="6F20F6D1" w14:textId="77777777" w:rsidR="006D535F" w:rsidRPr="00A90CEF" w:rsidRDefault="006D535F"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420" w:type="pct"/>
            <w:tcBorders>
              <w:top w:val="single" w:sz="4" w:space="0" w:color="auto"/>
              <w:bottom w:val="nil"/>
            </w:tcBorders>
          </w:tcPr>
          <w:p w14:paraId="5EA9A7BC" w14:textId="77777777" w:rsidR="006D535F" w:rsidRPr="00A90CEF" w:rsidRDefault="006D535F"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465" w:type="pct"/>
            <w:tcBorders>
              <w:top w:val="single" w:sz="4" w:space="0" w:color="auto"/>
              <w:bottom w:val="nil"/>
            </w:tcBorders>
            <w:hideMark/>
          </w:tcPr>
          <w:p w14:paraId="2D94C239" w14:textId="77777777" w:rsidR="006D535F" w:rsidRPr="00A90CEF" w:rsidRDefault="006D535F"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532" w:type="pct"/>
            <w:tcBorders>
              <w:top w:val="single" w:sz="4" w:space="0" w:color="auto"/>
              <w:bottom w:val="nil"/>
              <w:right w:val="single" w:sz="4" w:space="0" w:color="auto"/>
            </w:tcBorders>
            <w:hideMark/>
          </w:tcPr>
          <w:p w14:paraId="3EEBBFE7" w14:textId="77777777" w:rsidR="006D535F" w:rsidRPr="00A90CEF" w:rsidRDefault="006D535F"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262" w:type="pct"/>
            <w:tcBorders>
              <w:top w:val="single" w:sz="4" w:space="0" w:color="auto"/>
              <w:left w:val="single" w:sz="4" w:space="0" w:color="auto"/>
              <w:bottom w:val="nil"/>
              <w:right w:val="single" w:sz="4" w:space="0" w:color="auto"/>
            </w:tcBorders>
          </w:tcPr>
          <w:p w14:paraId="752DC76C" w14:textId="77777777" w:rsidR="006D535F" w:rsidRPr="00A90CEF" w:rsidRDefault="006D535F"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p>
        </w:tc>
      </w:tr>
      <w:tr w:rsidR="001C4508" w:rsidRPr="00A90CEF" w14:paraId="3ED981B4"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nil"/>
              <w:left w:val="single" w:sz="4" w:space="0" w:color="auto"/>
              <w:right w:val="single" w:sz="4" w:space="0" w:color="auto"/>
            </w:tcBorders>
            <w:noWrap/>
            <w:vAlign w:val="center"/>
            <w:hideMark/>
          </w:tcPr>
          <w:p w14:paraId="0F1DD168"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top w:val="nil"/>
              <w:left w:val="single" w:sz="4" w:space="0" w:color="auto"/>
            </w:tcBorders>
            <w:noWrap/>
            <w:hideMark/>
          </w:tcPr>
          <w:p w14:paraId="05F73D27"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002</w:t>
            </w:r>
          </w:p>
        </w:tc>
        <w:tc>
          <w:tcPr>
            <w:tcW w:w="286" w:type="pct"/>
            <w:tcBorders>
              <w:top w:val="nil"/>
            </w:tcBorders>
            <w:noWrap/>
            <w:hideMark/>
          </w:tcPr>
          <w:p w14:paraId="78F1C7B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773</w:t>
            </w:r>
          </w:p>
        </w:tc>
        <w:tc>
          <w:tcPr>
            <w:tcW w:w="409" w:type="pct"/>
            <w:tcBorders>
              <w:top w:val="nil"/>
            </w:tcBorders>
            <w:noWrap/>
            <w:hideMark/>
          </w:tcPr>
          <w:p w14:paraId="6E88EEA2"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316</w:t>
            </w:r>
          </w:p>
        </w:tc>
        <w:tc>
          <w:tcPr>
            <w:tcW w:w="366" w:type="pct"/>
            <w:tcBorders>
              <w:top w:val="nil"/>
              <w:right w:val="single" w:sz="4" w:space="0" w:color="auto"/>
            </w:tcBorders>
            <w:noWrap/>
            <w:hideMark/>
          </w:tcPr>
          <w:p w14:paraId="1637AD9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314</w:t>
            </w:r>
          </w:p>
        </w:tc>
        <w:tc>
          <w:tcPr>
            <w:tcW w:w="490" w:type="pct"/>
            <w:tcBorders>
              <w:top w:val="nil"/>
              <w:left w:val="single" w:sz="4" w:space="0" w:color="auto"/>
            </w:tcBorders>
            <w:noWrap/>
            <w:hideMark/>
          </w:tcPr>
          <w:p w14:paraId="710C6E79"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9</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785</w:t>
            </w:r>
          </w:p>
        </w:tc>
        <w:tc>
          <w:tcPr>
            <w:tcW w:w="420" w:type="pct"/>
            <w:tcBorders>
              <w:top w:val="nil"/>
            </w:tcBorders>
          </w:tcPr>
          <w:p w14:paraId="04F6FD44"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620</w:t>
            </w:r>
          </w:p>
        </w:tc>
        <w:tc>
          <w:tcPr>
            <w:tcW w:w="465" w:type="pct"/>
            <w:tcBorders>
              <w:top w:val="nil"/>
            </w:tcBorders>
            <w:noWrap/>
            <w:hideMark/>
          </w:tcPr>
          <w:p w14:paraId="125EBCF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171</w:t>
            </w:r>
          </w:p>
        </w:tc>
        <w:tc>
          <w:tcPr>
            <w:tcW w:w="532" w:type="pct"/>
            <w:tcBorders>
              <w:top w:val="nil"/>
              <w:right w:val="single" w:sz="4" w:space="0" w:color="auto"/>
            </w:tcBorders>
            <w:noWrap/>
            <w:hideMark/>
          </w:tcPr>
          <w:p w14:paraId="57854B51"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449</w:t>
            </w:r>
          </w:p>
        </w:tc>
        <w:tc>
          <w:tcPr>
            <w:tcW w:w="262" w:type="pct"/>
            <w:tcBorders>
              <w:top w:val="nil"/>
              <w:left w:val="single" w:sz="4" w:space="0" w:color="auto"/>
              <w:right w:val="single" w:sz="4" w:space="0" w:color="auto"/>
            </w:tcBorders>
          </w:tcPr>
          <w:p w14:paraId="2FA7439C"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14</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405</w:t>
            </w:r>
          </w:p>
        </w:tc>
      </w:tr>
      <w:tr w:rsidR="001C4508" w:rsidRPr="00A90CEF" w14:paraId="76189E56"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39519B8D"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0AC93CCE"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678</w:t>
            </w:r>
          </w:p>
        </w:tc>
        <w:tc>
          <w:tcPr>
            <w:tcW w:w="286" w:type="pct"/>
            <w:noWrap/>
            <w:hideMark/>
          </w:tcPr>
          <w:p w14:paraId="652E5060"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10</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005</w:t>
            </w:r>
          </w:p>
        </w:tc>
        <w:tc>
          <w:tcPr>
            <w:tcW w:w="409" w:type="pct"/>
            <w:noWrap/>
            <w:hideMark/>
          </w:tcPr>
          <w:p w14:paraId="3CCE4CCA"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5</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887</w:t>
            </w:r>
          </w:p>
        </w:tc>
        <w:tc>
          <w:tcPr>
            <w:tcW w:w="366" w:type="pct"/>
            <w:tcBorders>
              <w:right w:val="single" w:sz="4" w:space="0" w:color="auto"/>
            </w:tcBorders>
            <w:noWrap/>
            <w:hideMark/>
          </w:tcPr>
          <w:p w14:paraId="5164BA06"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799</w:t>
            </w:r>
          </w:p>
        </w:tc>
        <w:tc>
          <w:tcPr>
            <w:tcW w:w="490" w:type="pct"/>
            <w:tcBorders>
              <w:left w:val="single" w:sz="4" w:space="0" w:color="auto"/>
            </w:tcBorders>
            <w:noWrap/>
            <w:hideMark/>
          </w:tcPr>
          <w:p w14:paraId="20414D73"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853</w:t>
            </w:r>
          </w:p>
        </w:tc>
        <w:tc>
          <w:tcPr>
            <w:tcW w:w="420" w:type="pct"/>
          </w:tcPr>
          <w:p w14:paraId="04450362"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516</w:t>
            </w:r>
          </w:p>
        </w:tc>
        <w:tc>
          <w:tcPr>
            <w:tcW w:w="465" w:type="pct"/>
            <w:noWrap/>
            <w:hideMark/>
          </w:tcPr>
          <w:p w14:paraId="669F6878"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961</w:t>
            </w:r>
          </w:p>
        </w:tc>
        <w:tc>
          <w:tcPr>
            <w:tcW w:w="532" w:type="pct"/>
            <w:tcBorders>
              <w:right w:val="single" w:sz="4" w:space="0" w:color="auto"/>
            </w:tcBorders>
            <w:noWrap/>
            <w:hideMark/>
          </w:tcPr>
          <w:p w14:paraId="0C77A155"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555</w:t>
            </w:r>
          </w:p>
        </w:tc>
        <w:tc>
          <w:tcPr>
            <w:tcW w:w="262" w:type="pct"/>
            <w:tcBorders>
              <w:left w:val="single" w:sz="4" w:space="0" w:color="auto"/>
              <w:right w:val="single" w:sz="4" w:space="0" w:color="auto"/>
            </w:tcBorders>
          </w:tcPr>
          <w:p w14:paraId="6474F645"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24</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369</w:t>
            </w:r>
          </w:p>
        </w:tc>
      </w:tr>
      <w:tr w:rsidR="001C4508" w:rsidRPr="00A90CEF" w14:paraId="624F223D"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297F5150" w14:textId="77777777" w:rsidR="006D535F" w:rsidRPr="00A90CEF" w:rsidRDefault="006D535F" w:rsidP="00CE2FDF">
            <w:pPr>
              <w:tabs>
                <w:tab w:val="left" w:pos="1134"/>
              </w:tabs>
              <w:spacing w:before="0" w:line="276" w:lineRule="auto"/>
              <w:rPr>
                <w:rFonts w:eastAsia="Times New Roman" w:cs="Arial"/>
                <w:color w:val="auto"/>
                <w:sz w:val="20"/>
                <w:szCs w:val="20"/>
                <w:lang w:eastAsia="en-AU"/>
              </w:rPr>
            </w:pPr>
            <w:r w:rsidRPr="00A90CEF">
              <w:rPr>
                <w:rFonts w:eastAsia="Times New Roman" w:cs="Arial"/>
                <w:bCs w:val="0"/>
                <w:color w:val="auto"/>
                <w:sz w:val="20"/>
                <w:szCs w:val="20"/>
                <w:lang w:eastAsia="en-AU"/>
              </w:rPr>
              <w:t>Totals:</w:t>
            </w:r>
          </w:p>
        </w:tc>
        <w:tc>
          <w:tcPr>
            <w:tcW w:w="469" w:type="pct"/>
            <w:tcBorders>
              <w:left w:val="single" w:sz="4" w:space="0" w:color="auto"/>
              <w:bottom w:val="single" w:sz="4" w:space="0" w:color="auto"/>
            </w:tcBorders>
            <w:noWrap/>
            <w:hideMark/>
          </w:tcPr>
          <w:p w14:paraId="145F3E82"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10</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680</w:t>
            </w:r>
          </w:p>
        </w:tc>
        <w:tc>
          <w:tcPr>
            <w:tcW w:w="286" w:type="pct"/>
            <w:tcBorders>
              <w:bottom w:val="single" w:sz="4" w:space="0" w:color="auto"/>
            </w:tcBorders>
            <w:noWrap/>
            <w:hideMark/>
          </w:tcPr>
          <w:p w14:paraId="24EDCFE7"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778</w:t>
            </w:r>
          </w:p>
        </w:tc>
        <w:tc>
          <w:tcPr>
            <w:tcW w:w="409" w:type="pct"/>
            <w:tcBorders>
              <w:bottom w:val="single" w:sz="4" w:space="0" w:color="auto"/>
            </w:tcBorders>
            <w:noWrap/>
            <w:hideMark/>
          </w:tcPr>
          <w:p w14:paraId="524DA01E"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10</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203</w:t>
            </w:r>
          </w:p>
        </w:tc>
        <w:tc>
          <w:tcPr>
            <w:tcW w:w="366" w:type="pct"/>
            <w:tcBorders>
              <w:bottom w:val="single" w:sz="4" w:space="0" w:color="auto"/>
              <w:right w:val="single" w:sz="4" w:space="0" w:color="auto"/>
            </w:tcBorders>
            <w:noWrap/>
            <w:hideMark/>
          </w:tcPr>
          <w:p w14:paraId="07047884"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3</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113</w:t>
            </w:r>
          </w:p>
        </w:tc>
        <w:tc>
          <w:tcPr>
            <w:tcW w:w="490" w:type="pct"/>
            <w:tcBorders>
              <w:left w:val="single" w:sz="4" w:space="0" w:color="auto"/>
              <w:bottom w:val="single" w:sz="4" w:space="0" w:color="auto"/>
            </w:tcBorders>
            <w:noWrap/>
            <w:hideMark/>
          </w:tcPr>
          <w:p w14:paraId="51901CB8"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27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638</w:t>
            </w:r>
          </w:p>
        </w:tc>
        <w:tc>
          <w:tcPr>
            <w:tcW w:w="420" w:type="pct"/>
            <w:tcBorders>
              <w:bottom w:val="single" w:sz="4" w:space="0" w:color="auto"/>
            </w:tcBorders>
          </w:tcPr>
          <w:p w14:paraId="20AAA499"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136</w:t>
            </w:r>
          </w:p>
        </w:tc>
        <w:tc>
          <w:tcPr>
            <w:tcW w:w="465" w:type="pct"/>
            <w:tcBorders>
              <w:bottom w:val="single" w:sz="4" w:space="0" w:color="auto"/>
            </w:tcBorders>
            <w:noWrap/>
            <w:hideMark/>
          </w:tcPr>
          <w:p w14:paraId="4D794EAF"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132</w:t>
            </w:r>
          </w:p>
        </w:tc>
        <w:tc>
          <w:tcPr>
            <w:tcW w:w="532" w:type="pct"/>
            <w:tcBorders>
              <w:bottom w:val="single" w:sz="4" w:space="0" w:color="auto"/>
              <w:right w:val="single" w:sz="4" w:space="0" w:color="auto"/>
            </w:tcBorders>
            <w:noWrap/>
            <w:hideMark/>
          </w:tcPr>
          <w:p w14:paraId="41CC65E4"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004</w:t>
            </w:r>
          </w:p>
        </w:tc>
        <w:tc>
          <w:tcPr>
            <w:tcW w:w="262" w:type="pct"/>
            <w:tcBorders>
              <w:left w:val="single" w:sz="4" w:space="0" w:color="auto"/>
              <w:bottom w:val="single" w:sz="4" w:space="0" w:color="auto"/>
              <w:right w:val="single" w:sz="4" w:space="0" w:color="auto"/>
            </w:tcBorders>
          </w:tcPr>
          <w:p w14:paraId="596DBF42"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38</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774</w:t>
            </w:r>
          </w:p>
        </w:tc>
      </w:tr>
    </w:tbl>
    <w:p w14:paraId="10E16125" w14:textId="77777777" w:rsidR="001C4508" w:rsidRDefault="001C4508" w:rsidP="00CE2FDF">
      <w:pPr>
        <w:spacing w:before="0"/>
      </w:pPr>
      <w:r>
        <w:rPr>
          <w:b/>
          <w:bCs/>
        </w:rPr>
        <w:br w:type="page"/>
      </w:r>
    </w:p>
    <w:tbl>
      <w:tblPr>
        <w:tblStyle w:val="LightShading-Accent12"/>
        <w:tblW w:w="5000" w:type="pct"/>
        <w:tblLook w:val="04A0" w:firstRow="1" w:lastRow="0" w:firstColumn="1" w:lastColumn="0" w:noHBand="0" w:noVBand="1"/>
        <w:tblCaption w:val="Number of reports by year, by abuse type, and outcome, for major mandated reporter groups combined compared with other reporter groups combined"/>
      </w:tblPr>
      <w:tblGrid>
        <w:gridCol w:w="3847"/>
        <w:gridCol w:w="1387"/>
        <w:gridCol w:w="847"/>
        <w:gridCol w:w="1209"/>
        <w:gridCol w:w="1082"/>
        <w:gridCol w:w="1449"/>
        <w:gridCol w:w="1242"/>
        <w:gridCol w:w="1375"/>
        <w:gridCol w:w="1573"/>
        <w:gridCol w:w="775"/>
      </w:tblGrid>
      <w:tr w:rsidR="001C4508" w:rsidRPr="00A90CEF" w14:paraId="05ABCC10" w14:textId="77777777" w:rsidTr="00B605CE">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15879E5" w14:textId="77777777" w:rsidR="001C4508" w:rsidRPr="00B605CE" w:rsidRDefault="001C4508" w:rsidP="00CE2FDF">
            <w:pPr>
              <w:tabs>
                <w:tab w:val="left" w:pos="1134"/>
              </w:tabs>
              <w:spacing w:before="0" w:line="276" w:lineRule="auto"/>
              <w:rPr>
                <w:rFonts w:eastAsia="Times New Roman" w:cs="Arial"/>
                <w:bCs w:val="0"/>
                <w:color w:val="auto"/>
                <w:sz w:val="20"/>
                <w:szCs w:val="20"/>
                <w:lang w:eastAsia="en-AU"/>
              </w:rPr>
            </w:pPr>
          </w:p>
        </w:tc>
        <w:tc>
          <w:tcPr>
            <w:tcW w:w="469" w:type="pct"/>
            <w:tcBorders>
              <w:top w:val="single" w:sz="4" w:space="0" w:color="auto"/>
              <w:left w:val="single" w:sz="4" w:space="0" w:color="auto"/>
              <w:bottom w:val="single" w:sz="4" w:space="0" w:color="auto"/>
            </w:tcBorders>
            <w:shd w:val="clear" w:color="auto" w:fill="8DB3E2" w:themeFill="text2" w:themeFillTint="66"/>
            <w:vAlign w:val="center"/>
            <w:hideMark/>
          </w:tcPr>
          <w:p w14:paraId="2A491B89" w14:textId="77777777" w:rsidR="001C4508" w:rsidRPr="00B605CE" w:rsidRDefault="001C4508"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B605CE">
              <w:rPr>
                <w:rFonts w:eastAsia="Times New Roman" w:cs="Arial"/>
                <w:bCs w:val="0"/>
                <w:color w:val="000000"/>
                <w:sz w:val="20"/>
                <w:szCs w:val="20"/>
                <w:lang w:eastAsia="en-AU"/>
              </w:rPr>
              <w:t>Emotional abuse</w:t>
            </w:r>
          </w:p>
        </w:tc>
        <w:tc>
          <w:tcPr>
            <w:tcW w:w="286" w:type="pct"/>
            <w:tcBorders>
              <w:top w:val="single" w:sz="4" w:space="0" w:color="auto"/>
              <w:bottom w:val="single" w:sz="4" w:space="0" w:color="auto"/>
            </w:tcBorders>
            <w:shd w:val="clear" w:color="auto" w:fill="8DB3E2" w:themeFill="text2" w:themeFillTint="66"/>
            <w:vAlign w:val="center"/>
            <w:hideMark/>
          </w:tcPr>
          <w:p w14:paraId="51B22C56" w14:textId="77777777" w:rsidR="001C4508" w:rsidRPr="00B605CE" w:rsidRDefault="001C4508"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B605CE">
              <w:rPr>
                <w:rFonts w:eastAsia="Times New Roman" w:cs="Arial"/>
                <w:bCs w:val="0"/>
                <w:color w:val="000000"/>
                <w:sz w:val="20"/>
                <w:szCs w:val="20"/>
                <w:lang w:eastAsia="en-AU"/>
              </w:rPr>
              <w:t>Neglect</w:t>
            </w:r>
          </w:p>
        </w:tc>
        <w:tc>
          <w:tcPr>
            <w:tcW w:w="409" w:type="pct"/>
            <w:tcBorders>
              <w:top w:val="single" w:sz="4" w:space="0" w:color="auto"/>
              <w:bottom w:val="single" w:sz="4" w:space="0" w:color="auto"/>
            </w:tcBorders>
            <w:shd w:val="clear" w:color="auto" w:fill="8DB3E2" w:themeFill="text2" w:themeFillTint="66"/>
            <w:vAlign w:val="center"/>
            <w:hideMark/>
          </w:tcPr>
          <w:p w14:paraId="3B5BC9B7" w14:textId="77777777" w:rsidR="001C4508" w:rsidRPr="00B605CE" w:rsidRDefault="001C4508"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B605CE">
              <w:rPr>
                <w:rFonts w:eastAsia="Times New Roman" w:cs="Arial"/>
                <w:bCs w:val="0"/>
                <w:color w:val="000000"/>
                <w:sz w:val="20"/>
                <w:szCs w:val="20"/>
                <w:lang w:eastAsia="en-AU"/>
              </w:rPr>
              <w:t>Physical abuse</w:t>
            </w:r>
          </w:p>
        </w:tc>
        <w:tc>
          <w:tcPr>
            <w:tcW w:w="366" w:type="pct"/>
            <w:tcBorders>
              <w:top w:val="single" w:sz="4" w:space="0" w:color="auto"/>
              <w:bottom w:val="single" w:sz="4" w:space="0" w:color="auto"/>
              <w:right w:val="single" w:sz="4" w:space="0" w:color="auto"/>
            </w:tcBorders>
            <w:shd w:val="clear" w:color="auto" w:fill="8DB3E2" w:themeFill="text2" w:themeFillTint="66"/>
            <w:vAlign w:val="center"/>
            <w:hideMark/>
          </w:tcPr>
          <w:p w14:paraId="4B564F97" w14:textId="77777777" w:rsidR="001C4508" w:rsidRPr="00B605CE" w:rsidRDefault="001C4508"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B605CE">
              <w:rPr>
                <w:rFonts w:eastAsia="Times New Roman" w:cs="Arial"/>
                <w:bCs w:val="0"/>
                <w:color w:val="000000"/>
                <w:sz w:val="20"/>
                <w:szCs w:val="20"/>
                <w:lang w:eastAsia="en-AU"/>
              </w:rPr>
              <w:t>Sexual abuse</w:t>
            </w:r>
          </w:p>
        </w:tc>
        <w:tc>
          <w:tcPr>
            <w:tcW w:w="490" w:type="pct"/>
            <w:tcBorders>
              <w:top w:val="single" w:sz="4" w:space="0" w:color="auto"/>
              <w:left w:val="single" w:sz="4" w:space="0" w:color="auto"/>
              <w:bottom w:val="single" w:sz="4" w:space="0" w:color="auto"/>
            </w:tcBorders>
            <w:shd w:val="clear" w:color="auto" w:fill="8DB3E2" w:themeFill="text2" w:themeFillTint="66"/>
            <w:vAlign w:val="center"/>
            <w:hideMark/>
          </w:tcPr>
          <w:p w14:paraId="49383317" w14:textId="77777777" w:rsidR="001C4508" w:rsidRPr="00B605CE" w:rsidRDefault="001C4508"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B605CE">
              <w:rPr>
                <w:rFonts w:eastAsia="Times New Roman" w:cs="Arial"/>
                <w:bCs w:val="0"/>
                <w:color w:val="000000"/>
                <w:sz w:val="20"/>
                <w:szCs w:val="20"/>
                <w:lang w:eastAsia="en-AU"/>
              </w:rPr>
              <w:t>Not investigated</w:t>
            </w:r>
          </w:p>
        </w:tc>
        <w:tc>
          <w:tcPr>
            <w:tcW w:w="420" w:type="pct"/>
            <w:tcBorders>
              <w:top w:val="single" w:sz="4" w:space="0" w:color="auto"/>
              <w:bottom w:val="single" w:sz="4" w:space="0" w:color="auto"/>
            </w:tcBorders>
            <w:shd w:val="clear" w:color="auto" w:fill="8DB3E2" w:themeFill="text2" w:themeFillTint="66"/>
            <w:vAlign w:val="center"/>
          </w:tcPr>
          <w:p w14:paraId="0C0CCE07" w14:textId="77777777" w:rsidR="001C4508" w:rsidRPr="00B605CE" w:rsidRDefault="001C4508"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B605CE">
              <w:rPr>
                <w:rFonts w:eastAsia="Times New Roman" w:cs="Arial"/>
                <w:bCs w:val="0"/>
                <w:color w:val="000000"/>
                <w:sz w:val="20"/>
                <w:szCs w:val="20"/>
                <w:lang w:eastAsia="en-AU"/>
              </w:rPr>
              <w:t>Investigated</w:t>
            </w:r>
          </w:p>
        </w:tc>
        <w:tc>
          <w:tcPr>
            <w:tcW w:w="465" w:type="pct"/>
            <w:tcBorders>
              <w:top w:val="single" w:sz="4" w:space="0" w:color="auto"/>
              <w:bottom w:val="single" w:sz="4" w:space="0" w:color="auto"/>
            </w:tcBorders>
            <w:shd w:val="clear" w:color="auto" w:fill="8DB3E2" w:themeFill="text2" w:themeFillTint="66"/>
            <w:vAlign w:val="center"/>
            <w:hideMark/>
          </w:tcPr>
          <w:p w14:paraId="62489FC2" w14:textId="77777777" w:rsidR="001C4508" w:rsidRPr="00B605CE" w:rsidRDefault="001C4508"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B605CE">
              <w:rPr>
                <w:rFonts w:eastAsia="Times New Roman" w:cs="Arial"/>
                <w:bCs w:val="0"/>
                <w:color w:val="000000"/>
                <w:sz w:val="20"/>
                <w:szCs w:val="20"/>
                <w:lang w:eastAsia="en-AU"/>
              </w:rPr>
              <w:t>Substantiated</w:t>
            </w:r>
          </w:p>
        </w:tc>
        <w:tc>
          <w:tcPr>
            <w:tcW w:w="532" w:type="pct"/>
            <w:tcBorders>
              <w:top w:val="single" w:sz="4" w:space="0" w:color="auto"/>
              <w:bottom w:val="single" w:sz="4" w:space="0" w:color="auto"/>
              <w:right w:val="single" w:sz="4" w:space="0" w:color="auto"/>
            </w:tcBorders>
            <w:shd w:val="clear" w:color="auto" w:fill="8DB3E2" w:themeFill="text2" w:themeFillTint="66"/>
            <w:vAlign w:val="center"/>
            <w:hideMark/>
          </w:tcPr>
          <w:p w14:paraId="1725BEAE" w14:textId="77777777" w:rsidR="001C4508" w:rsidRPr="00B605CE" w:rsidRDefault="001C4508"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sz w:val="20"/>
                <w:szCs w:val="20"/>
                <w:lang w:eastAsia="en-AU"/>
              </w:rPr>
            </w:pPr>
            <w:r w:rsidRPr="00B605CE">
              <w:rPr>
                <w:rFonts w:eastAsia="Times New Roman" w:cs="Arial"/>
                <w:bCs w:val="0"/>
                <w:color w:val="000000"/>
                <w:sz w:val="20"/>
                <w:szCs w:val="20"/>
                <w:lang w:eastAsia="en-AU"/>
              </w:rPr>
              <w:t>Not substantiated</w:t>
            </w:r>
          </w:p>
        </w:tc>
        <w:tc>
          <w:tcPr>
            <w:tcW w:w="262"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E10CD97" w14:textId="77777777" w:rsidR="001C4508" w:rsidRPr="00B605CE" w:rsidRDefault="001C4508" w:rsidP="00CE2FDF">
            <w:pPr>
              <w:tabs>
                <w:tab w:val="left" w:pos="1134"/>
              </w:tabs>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605CE">
              <w:rPr>
                <w:rFonts w:eastAsia="Times New Roman" w:cs="Arial"/>
                <w:bCs w:val="0"/>
                <w:color w:val="auto"/>
                <w:sz w:val="20"/>
                <w:szCs w:val="20"/>
                <w:lang w:eastAsia="en-AU"/>
              </w:rPr>
              <w:t>Total</w:t>
            </w:r>
          </w:p>
        </w:tc>
      </w:tr>
      <w:tr w:rsidR="001C4508" w:rsidRPr="00A90CEF" w14:paraId="4D1AD93E" w14:textId="77777777" w:rsidTr="00B605C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nil"/>
              <w:right w:val="single" w:sz="4" w:space="0" w:color="auto"/>
            </w:tcBorders>
            <w:vAlign w:val="center"/>
            <w:hideMark/>
          </w:tcPr>
          <w:p w14:paraId="2AC029C0" w14:textId="77777777" w:rsidR="006D535F" w:rsidRPr="00A90CEF" w:rsidRDefault="006D535F" w:rsidP="00CE2FDF">
            <w:pPr>
              <w:keepNext/>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2008</w:t>
            </w:r>
          </w:p>
        </w:tc>
        <w:tc>
          <w:tcPr>
            <w:tcW w:w="469" w:type="pct"/>
            <w:tcBorders>
              <w:top w:val="single" w:sz="4" w:space="0" w:color="auto"/>
              <w:left w:val="single" w:sz="4" w:space="0" w:color="auto"/>
              <w:bottom w:val="nil"/>
            </w:tcBorders>
          </w:tcPr>
          <w:p w14:paraId="290E7D79" w14:textId="77777777" w:rsidR="006D535F" w:rsidRPr="00A90CEF" w:rsidRDefault="006D535F" w:rsidP="00CE2FDF">
            <w:pPr>
              <w:keepNext/>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286" w:type="pct"/>
            <w:tcBorders>
              <w:top w:val="single" w:sz="4" w:space="0" w:color="auto"/>
              <w:bottom w:val="nil"/>
            </w:tcBorders>
          </w:tcPr>
          <w:p w14:paraId="2BF052D1" w14:textId="77777777" w:rsidR="006D535F" w:rsidRPr="00A90CEF" w:rsidRDefault="006D535F" w:rsidP="00CE2FDF">
            <w:pPr>
              <w:keepNext/>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409" w:type="pct"/>
            <w:tcBorders>
              <w:top w:val="single" w:sz="4" w:space="0" w:color="auto"/>
              <w:bottom w:val="nil"/>
            </w:tcBorders>
          </w:tcPr>
          <w:p w14:paraId="3DA5D6D2" w14:textId="77777777" w:rsidR="006D535F" w:rsidRPr="00A90CEF" w:rsidRDefault="006D535F" w:rsidP="00CE2FDF">
            <w:pPr>
              <w:keepNext/>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366" w:type="pct"/>
            <w:tcBorders>
              <w:top w:val="single" w:sz="4" w:space="0" w:color="auto"/>
              <w:bottom w:val="nil"/>
              <w:right w:val="single" w:sz="4" w:space="0" w:color="auto"/>
            </w:tcBorders>
          </w:tcPr>
          <w:p w14:paraId="1E2F074A" w14:textId="77777777" w:rsidR="006D535F" w:rsidRPr="00A90CEF" w:rsidRDefault="006D535F" w:rsidP="00CE2FDF">
            <w:pPr>
              <w:keepNext/>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490" w:type="pct"/>
            <w:tcBorders>
              <w:top w:val="single" w:sz="4" w:space="0" w:color="auto"/>
              <w:left w:val="single" w:sz="4" w:space="0" w:color="auto"/>
              <w:bottom w:val="nil"/>
            </w:tcBorders>
          </w:tcPr>
          <w:p w14:paraId="0D3762ED" w14:textId="77777777" w:rsidR="006D535F" w:rsidRPr="00A90CEF" w:rsidRDefault="006D535F" w:rsidP="00CE2FDF">
            <w:pPr>
              <w:keepNext/>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420" w:type="pct"/>
            <w:tcBorders>
              <w:top w:val="single" w:sz="4" w:space="0" w:color="auto"/>
              <w:bottom w:val="nil"/>
            </w:tcBorders>
          </w:tcPr>
          <w:p w14:paraId="20DAC4B0" w14:textId="77777777" w:rsidR="006D535F" w:rsidRPr="00A90CEF" w:rsidRDefault="006D535F" w:rsidP="00CE2FDF">
            <w:pPr>
              <w:keepNext/>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465" w:type="pct"/>
            <w:tcBorders>
              <w:top w:val="single" w:sz="4" w:space="0" w:color="auto"/>
              <w:bottom w:val="nil"/>
            </w:tcBorders>
          </w:tcPr>
          <w:p w14:paraId="03B85C52" w14:textId="77777777" w:rsidR="006D535F" w:rsidRPr="00A90CEF" w:rsidRDefault="006D535F" w:rsidP="00CE2FDF">
            <w:pPr>
              <w:keepNext/>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532" w:type="pct"/>
            <w:tcBorders>
              <w:top w:val="single" w:sz="4" w:space="0" w:color="auto"/>
              <w:bottom w:val="nil"/>
              <w:right w:val="single" w:sz="4" w:space="0" w:color="auto"/>
            </w:tcBorders>
          </w:tcPr>
          <w:p w14:paraId="52BA7B19" w14:textId="77777777" w:rsidR="006D535F" w:rsidRPr="00A90CEF" w:rsidRDefault="006D535F" w:rsidP="00CE2FDF">
            <w:pPr>
              <w:keepNext/>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262" w:type="pct"/>
            <w:tcBorders>
              <w:top w:val="single" w:sz="4" w:space="0" w:color="auto"/>
              <w:left w:val="single" w:sz="4" w:space="0" w:color="auto"/>
              <w:bottom w:val="nil"/>
              <w:right w:val="single" w:sz="4" w:space="0" w:color="auto"/>
            </w:tcBorders>
          </w:tcPr>
          <w:p w14:paraId="57114898" w14:textId="77777777" w:rsidR="006D535F" w:rsidRPr="00A90CEF" w:rsidRDefault="006D535F" w:rsidP="00CE2FDF">
            <w:pPr>
              <w:keepNext/>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p>
        </w:tc>
      </w:tr>
      <w:tr w:rsidR="001C4508" w:rsidRPr="00A90CEF" w14:paraId="0AAD8A02"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nil"/>
              <w:left w:val="single" w:sz="4" w:space="0" w:color="auto"/>
              <w:right w:val="single" w:sz="4" w:space="0" w:color="auto"/>
            </w:tcBorders>
            <w:noWrap/>
            <w:vAlign w:val="center"/>
            <w:hideMark/>
          </w:tcPr>
          <w:p w14:paraId="1A0CFA30"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top w:val="nil"/>
              <w:left w:val="single" w:sz="4" w:space="0" w:color="auto"/>
            </w:tcBorders>
            <w:noWrap/>
            <w:hideMark/>
          </w:tcPr>
          <w:p w14:paraId="7EE6D508"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290</w:t>
            </w:r>
          </w:p>
        </w:tc>
        <w:tc>
          <w:tcPr>
            <w:tcW w:w="286" w:type="pct"/>
            <w:tcBorders>
              <w:top w:val="nil"/>
            </w:tcBorders>
            <w:noWrap/>
            <w:hideMark/>
          </w:tcPr>
          <w:p w14:paraId="78878CB0"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752</w:t>
            </w:r>
          </w:p>
        </w:tc>
        <w:tc>
          <w:tcPr>
            <w:tcW w:w="409" w:type="pct"/>
            <w:tcBorders>
              <w:top w:val="nil"/>
            </w:tcBorders>
            <w:noWrap/>
            <w:hideMark/>
          </w:tcPr>
          <w:p w14:paraId="032D34A7"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127</w:t>
            </w:r>
          </w:p>
        </w:tc>
        <w:tc>
          <w:tcPr>
            <w:tcW w:w="366" w:type="pct"/>
            <w:tcBorders>
              <w:top w:val="nil"/>
              <w:right w:val="single" w:sz="4" w:space="0" w:color="auto"/>
            </w:tcBorders>
            <w:noWrap/>
            <w:hideMark/>
          </w:tcPr>
          <w:p w14:paraId="78498FC1"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749</w:t>
            </w:r>
          </w:p>
        </w:tc>
        <w:tc>
          <w:tcPr>
            <w:tcW w:w="490" w:type="pct"/>
            <w:tcBorders>
              <w:top w:val="nil"/>
              <w:left w:val="single" w:sz="4" w:space="0" w:color="auto"/>
            </w:tcBorders>
            <w:noWrap/>
            <w:hideMark/>
          </w:tcPr>
          <w:p w14:paraId="391CDBF2"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801</w:t>
            </w:r>
          </w:p>
        </w:tc>
        <w:tc>
          <w:tcPr>
            <w:tcW w:w="420" w:type="pct"/>
            <w:tcBorders>
              <w:top w:val="nil"/>
            </w:tcBorders>
          </w:tcPr>
          <w:p w14:paraId="232EB4FF"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5</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117</w:t>
            </w:r>
          </w:p>
        </w:tc>
        <w:tc>
          <w:tcPr>
            <w:tcW w:w="465" w:type="pct"/>
            <w:tcBorders>
              <w:top w:val="nil"/>
            </w:tcBorders>
            <w:noWrap/>
            <w:hideMark/>
          </w:tcPr>
          <w:p w14:paraId="51E26B8F"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306</w:t>
            </w:r>
          </w:p>
        </w:tc>
        <w:tc>
          <w:tcPr>
            <w:tcW w:w="532" w:type="pct"/>
            <w:tcBorders>
              <w:top w:val="nil"/>
              <w:right w:val="single" w:sz="4" w:space="0" w:color="auto"/>
            </w:tcBorders>
            <w:noWrap/>
            <w:hideMark/>
          </w:tcPr>
          <w:p w14:paraId="76452D61"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811</w:t>
            </w:r>
          </w:p>
        </w:tc>
        <w:tc>
          <w:tcPr>
            <w:tcW w:w="262" w:type="pct"/>
            <w:tcBorders>
              <w:top w:val="nil"/>
              <w:left w:val="single" w:sz="4" w:space="0" w:color="auto"/>
              <w:right w:val="single" w:sz="4" w:space="0" w:color="auto"/>
            </w:tcBorders>
          </w:tcPr>
          <w:p w14:paraId="56EAD9AC"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16</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918</w:t>
            </w:r>
          </w:p>
        </w:tc>
      </w:tr>
      <w:tr w:rsidR="001C4508" w:rsidRPr="00A90CEF" w14:paraId="4F53EB5D"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3E941F21"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537B1BDD" w14:textId="77777777" w:rsidR="005D61DD" w:rsidRPr="00A90CEF" w:rsidRDefault="005D61DD"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9</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791</w:t>
            </w:r>
          </w:p>
        </w:tc>
        <w:tc>
          <w:tcPr>
            <w:tcW w:w="286" w:type="pct"/>
            <w:noWrap/>
            <w:hideMark/>
          </w:tcPr>
          <w:p w14:paraId="34E8D630" w14:textId="77777777" w:rsidR="005D61DD" w:rsidRPr="00A90CEF" w:rsidRDefault="005D61DD"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5</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849</w:t>
            </w:r>
          </w:p>
        </w:tc>
        <w:tc>
          <w:tcPr>
            <w:tcW w:w="409" w:type="pct"/>
            <w:noWrap/>
            <w:hideMark/>
          </w:tcPr>
          <w:p w14:paraId="636DAE4D" w14:textId="77777777" w:rsidR="005D61DD" w:rsidRPr="00A90CEF" w:rsidRDefault="005D61DD"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760</w:t>
            </w:r>
          </w:p>
        </w:tc>
        <w:tc>
          <w:tcPr>
            <w:tcW w:w="366" w:type="pct"/>
            <w:tcBorders>
              <w:right w:val="single" w:sz="4" w:space="0" w:color="auto"/>
            </w:tcBorders>
            <w:noWrap/>
            <w:hideMark/>
          </w:tcPr>
          <w:p w14:paraId="01C4A907" w14:textId="77777777" w:rsidR="005D61DD" w:rsidRPr="00A90CEF" w:rsidRDefault="005D61DD"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377</w:t>
            </w:r>
          </w:p>
        </w:tc>
        <w:tc>
          <w:tcPr>
            <w:tcW w:w="490" w:type="pct"/>
            <w:tcBorders>
              <w:left w:val="single" w:sz="4" w:space="0" w:color="auto"/>
            </w:tcBorders>
            <w:noWrap/>
            <w:hideMark/>
          </w:tcPr>
          <w:p w14:paraId="709517FB" w14:textId="77777777" w:rsidR="005D61DD" w:rsidRPr="00A90CEF" w:rsidRDefault="005D61DD"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18</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428</w:t>
            </w:r>
          </w:p>
        </w:tc>
        <w:tc>
          <w:tcPr>
            <w:tcW w:w="420" w:type="pct"/>
          </w:tcPr>
          <w:p w14:paraId="22C5D8FF" w14:textId="77777777" w:rsidR="005D61DD" w:rsidRPr="00A90CEF" w:rsidRDefault="005D61DD"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349</w:t>
            </w:r>
          </w:p>
        </w:tc>
        <w:tc>
          <w:tcPr>
            <w:tcW w:w="465" w:type="pct"/>
            <w:noWrap/>
            <w:hideMark/>
          </w:tcPr>
          <w:p w14:paraId="1B226CE8" w14:textId="77777777" w:rsidR="005D61DD" w:rsidRPr="00A90CEF" w:rsidRDefault="005D61DD"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713</w:t>
            </w:r>
          </w:p>
        </w:tc>
        <w:tc>
          <w:tcPr>
            <w:tcW w:w="532" w:type="pct"/>
            <w:tcBorders>
              <w:right w:val="single" w:sz="4" w:space="0" w:color="auto"/>
            </w:tcBorders>
            <w:noWrap/>
            <w:hideMark/>
          </w:tcPr>
          <w:p w14:paraId="12B8B196" w14:textId="77777777" w:rsidR="005D61DD" w:rsidRPr="00A90CEF" w:rsidRDefault="005D61DD"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636</w:t>
            </w:r>
          </w:p>
        </w:tc>
        <w:tc>
          <w:tcPr>
            <w:tcW w:w="262" w:type="pct"/>
            <w:tcBorders>
              <w:left w:val="single" w:sz="4" w:space="0" w:color="auto"/>
              <w:right w:val="single" w:sz="4" w:space="0" w:color="auto"/>
            </w:tcBorders>
          </w:tcPr>
          <w:p w14:paraId="52818EE6" w14:textId="77777777" w:rsidR="005D61DD" w:rsidRPr="00A90CEF" w:rsidRDefault="005D61DD"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24</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777</w:t>
            </w:r>
          </w:p>
        </w:tc>
      </w:tr>
      <w:tr w:rsidR="001C4508" w:rsidRPr="00A90CEF" w14:paraId="684CF92E"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61793882" w14:textId="77777777" w:rsidR="006D535F" w:rsidRPr="00A90CEF" w:rsidRDefault="006D535F" w:rsidP="00CE2FDF">
            <w:pPr>
              <w:keepNext/>
              <w:tabs>
                <w:tab w:val="left" w:pos="1134"/>
              </w:tabs>
              <w:spacing w:before="0" w:line="276" w:lineRule="auto"/>
              <w:rPr>
                <w:rFonts w:eastAsia="Times New Roman" w:cs="Arial"/>
                <w:color w:val="auto"/>
                <w:sz w:val="20"/>
                <w:szCs w:val="20"/>
                <w:lang w:eastAsia="en-AU"/>
              </w:rPr>
            </w:pPr>
            <w:r w:rsidRPr="00A90CEF">
              <w:rPr>
                <w:rFonts w:eastAsia="Times New Roman" w:cs="Arial"/>
                <w:bCs w:val="0"/>
                <w:color w:val="auto"/>
                <w:sz w:val="20"/>
                <w:szCs w:val="20"/>
                <w:lang w:eastAsia="en-AU"/>
              </w:rPr>
              <w:t>Totals:</w:t>
            </w:r>
          </w:p>
        </w:tc>
        <w:tc>
          <w:tcPr>
            <w:tcW w:w="469" w:type="pct"/>
            <w:tcBorders>
              <w:left w:val="single" w:sz="4" w:space="0" w:color="auto"/>
              <w:bottom w:val="single" w:sz="4" w:space="0" w:color="auto"/>
            </w:tcBorders>
            <w:noWrap/>
            <w:hideMark/>
          </w:tcPr>
          <w:p w14:paraId="0279B862" w14:textId="77777777" w:rsidR="006D535F" w:rsidRPr="00A90CEF" w:rsidRDefault="006D535F"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16</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081</w:t>
            </w:r>
          </w:p>
        </w:tc>
        <w:tc>
          <w:tcPr>
            <w:tcW w:w="286" w:type="pct"/>
            <w:tcBorders>
              <w:bottom w:val="single" w:sz="4" w:space="0" w:color="auto"/>
            </w:tcBorders>
            <w:noWrap/>
            <w:hideMark/>
          </w:tcPr>
          <w:p w14:paraId="12A34353" w14:textId="77777777" w:rsidR="006D535F" w:rsidRPr="00A90CEF" w:rsidRDefault="006D535F"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8</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601</w:t>
            </w:r>
          </w:p>
        </w:tc>
        <w:tc>
          <w:tcPr>
            <w:tcW w:w="409" w:type="pct"/>
            <w:tcBorders>
              <w:bottom w:val="single" w:sz="4" w:space="0" w:color="auto"/>
            </w:tcBorders>
            <w:noWrap/>
            <w:hideMark/>
          </w:tcPr>
          <w:p w14:paraId="1C5A71B7" w14:textId="77777777" w:rsidR="006D535F" w:rsidRPr="00A90CEF" w:rsidRDefault="006D535F"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12</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887</w:t>
            </w:r>
          </w:p>
        </w:tc>
        <w:tc>
          <w:tcPr>
            <w:tcW w:w="366" w:type="pct"/>
            <w:tcBorders>
              <w:bottom w:val="single" w:sz="4" w:space="0" w:color="auto"/>
              <w:right w:val="single" w:sz="4" w:space="0" w:color="auto"/>
            </w:tcBorders>
            <w:noWrap/>
            <w:hideMark/>
          </w:tcPr>
          <w:p w14:paraId="54C94A8D" w14:textId="77777777" w:rsidR="006D535F" w:rsidRPr="00A90CEF" w:rsidRDefault="006D535F"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126</w:t>
            </w:r>
          </w:p>
        </w:tc>
        <w:tc>
          <w:tcPr>
            <w:tcW w:w="490" w:type="pct"/>
            <w:tcBorders>
              <w:left w:val="single" w:sz="4" w:space="0" w:color="auto"/>
              <w:bottom w:val="single" w:sz="4" w:space="0" w:color="auto"/>
            </w:tcBorders>
            <w:noWrap/>
            <w:hideMark/>
          </w:tcPr>
          <w:p w14:paraId="493DF197" w14:textId="77777777" w:rsidR="006D535F" w:rsidRPr="00A90CEF" w:rsidRDefault="006D535F"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30</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229</w:t>
            </w:r>
          </w:p>
        </w:tc>
        <w:tc>
          <w:tcPr>
            <w:tcW w:w="420" w:type="pct"/>
            <w:tcBorders>
              <w:bottom w:val="single" w:sz="4" w:space="0" w:color="auto"/>
            </w:tcBorders>
          </w:tcPr>
          <w:p w14:paraId="686A1D0C" w14:textId="77777777" w:rsidR="006D535F" w:rsidRPr="00A90CEF" w:rsidRDefault="006D535F"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466</w:t>
            </w:r>
          </w:p>
        </w:tc>
        <w:tc>
          <w:tcPr>
            <w:tcW w:w="465" w:type="pct"/>
            <w:tcBorders>
              <w:bottom w:val="single" w:sz="4" w:space="0" w:color="auto"/>
            </w:tcBorders>
            <w:noWrap/>
            <w:hideMark/>
          </w:tcPr>
          <w:p w14:paraId="49E9447A" w14:textId="77777777" w:rsidR="006D535F" w:rsidRPr="00A90CEF" w:rsidRDefault="006D535F"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019</w:t>
            </w:r>
          </w:p>
        </w:tc>
        <w:tc>
          <w:tcPr>
            <w:tcW w:w="532" w:type="pct"/>
            <w:tcBorders>
              <w:bottom w:val="single" w:sz="4" w:space="0" w:color="auto"/>
              <w:right w:val="single" w:sz="4" w:space="0" w:color="auto"/>
            </w:tcBorders>
            <w:noWrap/>
            <w:hideMark/>
          </w:tcPr>
          <w:p w14:paraId="14F4E479" w14:textId="77777777" w:rsidR="006D535F" w:rsidRPr="00A90CEF" w:rsidRDefault="006D535F"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447</w:t>
            </w:r>
          </w:p>
        </w:tc>
        <w:tc>
          <w:tcPr>
            <w:tcW w:w="262" w:type="pct"/>
            <w:tcBorders>
              <w:left w:val="single" w:sz="4" w:space="0" w:color="auto"/>
              <w:bottom w:val="single" w:sz="4" w:space="0" w:color="auto"/>
              <w:right w:val="single" w:sz="4" w:space="0" w:color="auto"/>
            </w:tcBorders>
          </w:tcPr>
          <w:p w14:paraId="11EDBBDE" w14:textId="77777777" w:rsidR="006D535F" w:rsidRPr="00A90CEF" w:rsidRDefault="006D535F"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41</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695</w:t>
            </w:r>
          </w:p>
        </w:tc>
      </w:tr>
      <w:tr w:rsidR="001C4508" w:rsidRPr="00A90CEF" w14:paraId="0ADD3409" w14:textId="77777777" w:rsidTr="00B605C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nil"/>
              <w:right w:val="single" w:sz="4" w:space="0" w:color="auto"/>
            </w:tcBorders>
            <w:vAlign w:val="center"/>
            <w:hideMark/>
          </w:tcPr>
          <w:p w14:paraId="6C004920" w14:textId="77777777" w:rsidR="006D535F" w:rsidRPr="00A90CEF" w:rsidRDefault="006D535F" w:rsidP="00CE2FDF">
            <w:pPr>
              <w:keepNext/>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2009</w:t>
            </w:r>
          </w:p>
        </w:tc>
        <w:tc>
          <w:tcPr>
            <w:tcW w:w="469" w:type="pct"/>
            <w:tcBorders>
              <w:top w:val="single" w:sz="4" w:space="0" w:color="auto"/>
              <w:left w:val="single" w:sz="4" w:space="0" w:color="auto"/>
              <w:bottom w:val="nil"/>
            </w:tcBorders>
            <w:hideMark/>
          </w:tcPr>
          <w:p w14:paraId="620254A6" w14:textId="77777777" w:rsidR="006D535F" w:rsidRPr="00A90CEF" w:rsidRDefault="006D535F"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86" w:type="pct"/>
            <w:tcBorders>
              <w:top w:val="single" w:sz="4" w:space="0" w:color="auto"/>
              <w:bottom w:val="nil"/>
            </w:tcBorders>
            <w:hideMark/>
          </w:tcPr>
          <w:p w14:paraId="0E76403F" w14:textId="77777777" w:rsidR="006D535F" w:rsidRPr="00A90CEF" w:rsidRDefault="006D535F"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09" w:type="pct"/>
            <w:tcBorders>
              <w:top w:val="single" w:sz="4" w:space="0" w:color="auto"/>
              <w:bottom w:val="nil"/>
            </w:tcBorders>
            <w:hideMark/>
          </w:tcPr>
          <w:p w14:paraId="698B5F7D" w14:textId="77777777" w:rsidR="006D535F" w:rsidRPr="00A90CEF" w:rsidRDefault="006D535F"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366" w:type="pct"/>
            <w:tcBorders>
              <w:top w:val="single" w:sz="4" w:space="0" w:color="auto"/>
              <w:bottom w:val="nil"/>
              <w:right w:val="single" w:sz="4" w:space="0" w:color="auto"/>
            </w:tcBorders>
            <w:hideMark/>
          </w:tcPr>
          <w:p w14:paraId="22DB3DDE" w14:textId="77777777" w:rsidR="006D535F" w:rsidRPr="00A90CEF" w:rsidRDefault="006D535F"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90" w:type="pct"/>
            <w:tcBorders>
              <w:top w:val="single" w:sz="4" w:space="0" w:color="auto"/>
              <w:left w:val="single" w:sz="4" w:space="0" w:color="auto"/>
              <w:bottom w:val="nil"/>
            </w:tcBorders>
            <w:hideMark/>
          </w:tcPr>
          <w:p w14:paraId="4FE12000" w14:textId="77777777" w:rsidR="006D535F" w:rsidRPr="00A90CEF" w:rsidRDefault="006D535F"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20" w:type="pct"/>
            <w:tcBorders>
              <w:top w:val="single" w:sz="4" w:space="0" w:color="auto"/>
              <w:bottom w:val="nil"/>
            </w:tcBorders>
          </w:tcPr>
          <w:p w14:paraId="0A957C3E" w14:textId="77777777" w:rsidR="006D535F" w:rsidRPr="00A90CEF" w:rsidRDefault="006D535F"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65" w:type="pct"/>
            <w:tcBorders>
              <w:top w:val="single" w:sz="4" w:space="0" w:color="auto"/>
              <w:bottom w:val="nil"/>
            </w:tcBorders>
            <w:hideMark/>
          </w:tcPr>
          <w:p w14:paraId="23CBFAA4" w14:textId="77777777" w:rsidR="006D535F" w:rsidRPr="00A90CEF" w:rsidRDefault="006D535F"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532" w:type="pct"/>
            <w:tcBorders>
              <w:top w:val="single" w:sz="4" w:space="0" w:color="auto"/>
              <w:bottom w:val="nil"/>
              <w:right w:val="single" w:sz="4" w:space="0" w:color="auto"/>
            </w:tcBorders>
            <w:hideMark/>
          </w:tcPr>
          <w:p w14:paraId="635B2E2F" w14:textId="77777777" w:rsidR="006D535F" w:rsidRPr="00A90CEF" w:rsidRDefault="006D535F"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62" w:type="pct"/>
            <w:tcBorders>
              <w:top w:val="single" w:sz="4" w:space="0" w:color="auto"/>
              <w:left w:val="single" w:sz="4" w:space="0" w:color="auto"/>
              <w:bottom w:val="nil"/>
              <w:right w:val="single" w:sz="4" w:space="0" w:color="auto"/>
            </w:tcBorders>
          </w:tcPr>
          <w:p w14:paraId="3C079B4A" w14:textId="77777777" w:rsidR="006D535F" w:rsidRPr="00A90CEF" w:rsidRDefault="006D535F" w:rsidP="00CE2FDF">
            <w:pPr>
              <w:keepNext/>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p>
        </w:tc>
      </w:tr>
      <w:tr w:rsidR="001C4508" w:rsidRPr="00A90CEF" w14:paraId="16D1A699"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nil"/>
              <w:left w:val="single" w:sz="4" w:space="0" w:color="auto"/>
              <w:right w:val="single" w:sz="4" w:space="0" w:color="auto"/>
            </w:tcBorders>
            <w:noWrap/>
            <w:vAlign w:val="center"/>
            <w:hideMark/>
          </w:tcPr>
          <w:p w14:paraId="6322020D"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top w:val="nil"/>
              <w:left w:val="single" w:sz="4" w:space="0" w:color="auto"/>
            </w:tcBorders>
            <w:noWrap/>
            <w:hideMark/>
          </w:tcPr>
          <w:p w14:paraId="2AB5A330"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9</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271</w:t>
            </w:r>
          </w:p>
        </w:tc>
        <w:tc>
          <w:tcPr>
            <w:tcW w:w="286" w:type="pct"/>
            <w:tcBorders>
              <w:top w:val="nil"/>
            </w:tcBorders>
            <w:noWrap/>
            <w:hideMark/>
          </w:tcPr>
          <w:p w14:paraId="15422296"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424</w:t>
            </w:r>
          </w:p>
        </w:tc>
        <w:tc>
          <w:tcPr>
            <w:tcW w:w="409" w:type="pct"/>
            <w:tcBorders>
              <w:top w:val="nil"/>
            </w:tcBorders>
            <w:noWrap/>
            <w:hideMark/>
          </w:tcPr>
          <w:p w14:paraId="2535862C"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946</w:t>
            </w:r>
          </w:p>
        </w:tc>
        <w:tc>
          <w:tcPr>
            <w:tcW w:w="366" w:type="pct"/>
            <w:tcBorders>
              <w:top w:val="nil"/>
              <w:right w:val="single" w:sz="4" w:space="0" w:color="auto"/>
            </w:tcBorders>
            <w:noWrap/>
            <w:hideMark/>
          </w:tcPr>
          <w:p w14:paraId="116909DF"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862</w:t>
            </w:r>
          </w:p>
        </w:tc>
        <w:tc>
          <w:tcPr>
            <w:tcW w:w="490" w:type="pct"/>
            <w:tcBorders>
              <w:top w:val="nil"/>
              <w:left w:val="single" w:sz="4" w:space="0" w:color="auto"/>
            </w:tcBorders>
            <w:noWrap/>
            <w:hideMark/>
          </w:tcPr>
          <w:p w14:paraId="05AC7938"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043</w:t>
            </w:r>
          </w:p>
        </w:tc>
        <w:tc>
          <w:tcPr>
            <w:tcW w:w="420" w:type="pct"/>
            <w:tcBorders>
              <w:top w:val="nil"/>
            </w:tcBorders>
          </w:tcPr>
          <w:p w14:paraId="44B31E94"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5</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460</w:t>
            </w:r>
          </w:p>
        </w:tc>
        <w:tc>
          <w:tcPr>
            <w:tcW w:w="465" w:type="pct"/>
            <w:tcBorders>
              <w:top w:val="nil"/>
            </w:tcBorders>
            <w:noWrap/>
            <w:hideMark/>
          </w:tcPr>
          <w:p w14:paraId="26A8E750"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364</w:t>
            </w:r>
          </w:p>
        </w:tc>
        <w:tc>
          <w:tcPr>
            <w:tcW w:w="532" w:type="pct"/>
            <w:tcBorders>
              <w:top w:val="nil"/>
              <w:right w:val="single" w:sz="4" w:space="0" w:color="auto"/>
            </w:tcBorders>
            <w:noWrap/>
            <w:hideMark/>
          </w:tcPr>
          <w:p w14:paraId="38BEAFD8"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096</w:t>
            </w:r>
          </w:p>
        </w:tc>
        <w:tc>
          <w:tcPr>
            <w:tcW w:w="262" w:type="pct"/>
            <w:tcBorders>
              <w:top w:val="nil"/>
              <w:left w:val="single" w:sz="4" w:space="0" w:color="auto"/>
              <w:right w:val="single" w:sz="4" w:space="0" w:color="auto"/>
            </w:tcBorders>
          </w:tcPr>
          <w:p w14:paraId="066CCBC3" w14:textId="77777777" w:rsidR="005D61DD" w:rsidRPr="00A90CEF" w:rsidRDefault="005D61DD"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19</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503</w:t>
            </w:r>
          </w:p>
        </w:tc>
      </w:tr>
      <w:tr w:rsidR="001C4508" w:rsidRPr="00A90CEF" w14:paraId="4A95C612"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03F0FC40"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4F09CD5C"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488</w:t>
            </w:r>
          </w:p>
        </w:tc>
        <w:tc>
          <w:tcPr>
            <w:tcW w:w="286" w:type="pct"/>
            <w:noWrap/>
            <w:hideMark/>
          </w:tcPr>
          <w:p w14:paraId="46181F68"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633</w:t>
            </w:r>
          </w:p>
        </w:tc>
        <w:tc>
          <w:tcPr>
            <w:tcW w:w="409" w:type="pct"/>
            <w:noWrap/>
            <w:hideMark/>
          </w:tcPr>
          <w:p w14:paraId="2679C295"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835</w:t>
            </w:r>
          </w:p>
        </w:tc>
        <w:tc>
          <w:tcPr>
            <w:tcW w:w="366" w:type="pct"/>
            <w:tcBorders>
              <w:right w:val="single" w:sz="4" w:space="0" w:color="auto"/>
            </w:tcBorders>
            <w:noWrap/>
            <w:hideMark/>
          </w:tcPr>
          <w:p w14:paraId="282A93E4"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311</w:t>
            </w:r>
          </w:p>
        </w:tc>
        <w:tc>
          <w:tcPr>
            <w:tcW w:w="490" w:type="pct"/>
            <w:tcBorders>
              <w:left w:val="single" w:sz="4" w:space="0" w:color="auto"/>
            </w:tcBorders>
            <w:noWrap/>
            <w:hideMark/>
          </w:tcPr>
          <w:p w14:paraId="0478496E"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19</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058</w:t>
            </w:r>
          </w:p>
        </w:tc>
        <w:tc>
          <w:tcPr>
            <w:tcW w:w="420" w:type="pct"/>
          </w:tcPr>
          <w:p w14:paraId="15A5ABE6"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209</w:t>
            </w:r>
          </w:p>
        </w:tc>
        <w:tc>
          <w:tcPr>
            <w:tcW w:w="465" w:type="pct"/>
            <w:noWrap/>
            <w:hideMark/>
          </w:tcPr>
          <w:p w14:paraId="0FC04D1B"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418</w:t>
            </w:r>
          </w:p>
        </w:tc>
        <w:tc>
          <w:tcPr>
            <w:tcW w:w="532" w:type="pct"/>
            <w:tcBorders>
              <w:right w:val="single" w:sz="4" w:space="0" w:color="auto"/>
            </w:tcBorders>
            <w:noWrap/>
            <w:hideMark/>
          </w:tcPr>
          <w:p w14:paraId="5F5AC146"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791</w:t>
            </w:r>
          </w:p>
        </w:tc>
        <w:tc>
          <w:tcPr>
            <w:tcW w:w="262" w:type="pct"/>
            <w:tcBorders>
              <w:left w:val="single" w:sz="4" w:space="0" w:color="auto"/>
              <w:right w:val="single" w:sz="4" w:space="0" w:color="auto"/>
            </w:tcBorders>
          </w:tcPr>
          <w:p w14:paraId="37B58AAC"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25</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267</w:t>
            </w:r>
          </w:p>
        </w:tc>
      </w:tr>
      <w:tr w:rsidR="001C4508" w:rsidRPr="00A90CEF" w14:paraId="69E9AA51"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6EDC755B" w14:textId="77777777" w:rsidR="006D535F" w:rsidRPr="00A90CEF" w:rsidRDefault="006D535F" w:rsidP="00CE2FDF">
            <w:pPr>
              <w:tabs>
                <w:tab w:val="left" w:pos="1134"/>
              </w:tabs>
              <w:spacing w:before="0" w:line="276" w:lineRule="auto"/>
              <w:rPr>
                <w:rFonts w:eastAsia="Times New Roman" w:cs="Arial"/>
                <w:color w:val="auto"/>
                <w:sz w:val="20"/>
                <w:szCs w:val="20"/>
                <w:lang w:eastAsia="en-AU"/>
              </w:rPr>
            </w:pPr>
            <w:r w:rsidRPr="00A90CEF">
              <w:rPr>
                <w:rFonts w:eastAsia="Times New Roman" w:cs="Arial"/>
                <w:bCs w:val="0"/>
                <w:color w:val="auto"/>
                <w:sz w:val="20"/>
                <w:szCs w:val="20"/>
                <w:lang w:eastAsia="en-AU"/>
              </w:rPr>
              <w:t>Totals:</w:t>
            </w:r>
          </w:p>
        </w:tc>
        <w:tc>
          <w:tcPr>
            <w:tcW w:w="469" w:type="pct"/>
            <w:tcBorders>
              <w:left w:val="single" w:sz="4" w:space="0" w:color="auto"/>
              <w:bottom w:val="single" w:sz="4" w:space="0" w:color="auto"/>
            </w:tcBorders>
            <w:noWrap/>
            <w:hideMark/>
          </w:tcPr>
          <w:p w14:paraId="1A8F1594"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21</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759</w:t>
            </w:r>
          </w:p>
        </w:tc>
        <w:tc>
          <w:tcPr>
            <w:tcW w:w="286" w:type="pct"/>
            <w:tcBorders>
              <w:bottom w:val="single" w:sz="4" w:space="0" w:color="auto"/>
            </w:tcBorders>
            <w:noWrap/>
            <w:hideMark/>
          </w:tcPr>
          <w:p w14:paraId="7E3B896E"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057</w:t>
            </w:r>
          </w:p>
        </w:tc>
        <w:tc>
          <w:tcPr>
            <w:tcW w:w="409" w:type="pct"/>
            <w:tcBorders>
              <w:bottom w:val="single" w:sz="4" w:space="0" w:color="auto"/>
            </w:tcBorders>
            <w:noWrap/>
            <w:hideMark/>
          </w:tcPr>
          <w:p w14:paraId="4D1449C8"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781</w:t>
            </w:r>
          </w:p>
        </w:tc>
        <w:tc>
          <w:tcPr>
            <w:tcW w:w="366" w:type="pct"/>
            <w:tcBorders>
              <w:bottom w:val="single" w:sz="4" w:space="0" w:color="auto"/>
              <w:right w:val="single" w:sz="4" w:space="0" w:color="auto"/>
            </w:tcBorders>
            <w:noWrap/>
            <w:hideMark/>
          </w:tcPr>
          <w:p w14:paraId="1E5F4B36"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173</w:t>
            </w:r>
          </w:p>
        </w:tc>
        <w:tc>
          <w:tcPr>
            <w:tcW w:w="490" w:type="pct"/>
            <w:tcBorders>
              <w:left w:val="single" w:sz="4" w:space="0" w:color="auto"/>
              <w:bottom w:val="single" w:sz="4" w:space="0" w:color="auto"/>
            </w:tcBorders>
            <w:noWrap/>
            <w:hideMark/>
          </w:tcPr>
          <w:p w14:paraId="48D50A05"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33</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101</w:t>
            </w:r>
          </w:p>
        </w:tc>
        <w:tc>
          <w:tcPr>
            <w:tcW w:w="420" w:type="pct"/>
            <w:tcBorders>
              <w:bottom w:val="single" w:sz="4" w:space="0" w:color="auto"/>
            </w:tcBorders>
          </w:tcPr>
          <w:p w14:paraId="2FEE2C85"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11</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669</w:t>
            </w:r>
          </w:p>
        </w:tc>
        <w:tc>
          <w:tcPr>
            <w:tcW w:w="465" w:type="pct"/>
            <w:tcBorders>
              <w:bottom w:val="single" w:sz="4" w:space="0" w:color="auto"/>
            </w:tcBorders>
            <w:noWrap/>
            <w:hideMark/>
          </w:tcPr>
          <w:p w14:paraId="5F2EC7D3"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6</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782</w:t>
            </w:r>
          </w:p>
        </w:tc>
        <w:tc>
          <w:tcPr>
            <w:tcW w:w="532" w:type="pct"/>
            <w:tcBorders>
              <w:bottom w:val="single" w:sz="4" w:space="0" w:color="auto"/>
              <w:right w:val="single" w:sz="4" w:space="0" w:color="auto"/>
            </w:tcBorders>
            <w:noWrap/>
            <w:hideMark/>
          </w:tcPr>
          <w:p w14:paraId="20B4DDDE"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887</w:t>
            </w:r>
          </w:p>
        </w:tc>
        <w:tc>
          <w:tcPr>
            <w:tcW w:w="262" w:type="pct"/>
            <w:tcBorders>
              <w:left w:val="single" w:sz="4" w:space="0" w:color="auto"/>
              <w:bottom w:val="single" w:sz="4" w:space="0" w:color="auto"/>
              <w:right w:val="single" w:sz="4" w:space="0" w:color="auto"/>
            </w:tcBorders>
          </w:tcPr>
          <w:p w14:paraId="55B05CEC"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44</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770</w:t>
            </w:r>
          </w:p>
        </w:tc>
      </w:tr>
      <w:tr w:rsidR="001C4508" w:rsidRPr="00A90CEF" w14:paraId="05E61E86" w14:textId="77777777" w:rsidTr="00B605C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nil"/>
              <w:right w:val="single" w:sz="4" w:space="0" w:color="auto"/>
            </w:tcBorders>
            <w:vAlign w:val="center"/>
            <w:hideMark/>
          </w:tcPr>
          <w:p w14:paraId="4437C46F" w14:textId="77777777" w:rsidR="006D535F" w:rsidRPr="00A90CEF" w:rsidRDefault="006D535F"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2010</w:t>
            </w:r>
          </w:p>
        </w:tc>
        <w:tc>
          <w:tcPr>
            <w:tcW w:w="469" w:type="pct"/>
            <w:tcBorders>
              <w:top w:val="single" w:sz="4" w:space="0" w:color="auto"/>
              <w:left w:val="single" w:sz="4" w:space="0" w:color="auto"/>
              <w:bottom w:val="nil"/>
            </w:tcBorders>
            <w:hideMark/>
          </w:tcPr>
          <w:p w14:paraId="2A77BC74"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86" w:type="pct"/>
            <w:tcBorders>
              <w:top w:val="single" w:sz="4" w:space="0" w:color="auto"/>
              <w:bottom w:val="nil"/>
            </w:tcBorders>
            <w:hideMark/>
          </w:tcPr>
          <w:p w14:paraId="4E8577B8"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09" w:type="pct"/>
            <w:tcBorders>
              <w:top w:val="single" w:sz="4" w:space="0" w:color="auto"/>
              <w:bottom w:val="nil"/>
            </w:tcBorders>
            <w:hideMark/>
          </w:tcPr>
          <w:p w14:paraId="714EB5EB"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366" w:type="pct"/>
            <w:tcBorders>
              <w:top w:val="single" w:sz="4" w:space="0" w:color="auto"/>
              <w:bottom w:val="nil"/>
              <w:right w:val="single" w:sz="4" w:space="0" w:color="auto"/>
            </w:tcBorders>
            <w:hideMark/>
          </w:tcPr>
          <w:p w14:paraId="73A5DDAC"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90" w:type="pct"/>
            <w:tcBorders>
              <w:top w:val="single" w:sz="4" w:space="0" w:color="auto"/>
              <w:left w:val="single" w:sz="4" w:space="0" w:color="auto"/>
              <w:bottom w:val="nil"/>
            </w:tcBorders>
          </w:tcPr>
          <w:p w14:paraId="3D35FF81"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20" w:type="pct"/>
            <w:tcBorders>
              <w:top w:val="single" w:sz="4" w:space="0" w:color="auto"/>
              <w:bottom w:val="nil"/>
            </w:tcBorders>
            <w:hideMark/>
          </w:tcPr>
          <w:p w14:paraId="5B97C09E"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65" w:type="pct"/>
            <w:tcBorders>
              <w:top w:val="single" w:sz="4" w:space="0" w:color="auto"/>
              <w:bottom w:val="nil"/>
            </w:tcBorders>
            <w:hideMark/>
          </w:tcPr>
          <w:p w14:paraId="67C5558C"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532" w:type="pct"/>
            <w:tcBorders>
              <w:top w:val="single" w:sz="4" w:space="0" w:color="auto"/>
              <w:bottom w:val="nil"/>
              <w:right w:val="single" w:sz="4" w:space="0" w:color="auto"/>
            </w:tcBorders>
            <w:hideMark/>
          </w:tcPr>
          <w:p w14:paraId="186FC822"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62" w:type="pct"/>
            <w:tcBorders>
              <w:top w:val="single" w:sz="4" w:space="0" w:color="auto"/>
              <w:left w:val="single" w:sz="4" w:space="0" w:color="auto"/>
              <w:bottom w:val="nil"/>
              <w:right w:val="single" w:sz="4" w:space="0" w:color="auto"/>
            </w:tcBorders>
          </w:tcPr>
          <w:p w14:paraId="135D85E3"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p>
        </w:tc>
      </w:tr>
      <w:tr w:rsidR="001C4508" w:rsidRPr="00A90CEF" w14:paraId="494E23CC"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nil"/>
              <w:left w:val="single" w:sz="4" w:space="0" w:color="auto"/>
              <w:right w:val="single" w:sz="4" w:space="0" w:color="auto"/>
            </w:tcBorders>
            <w:noWrap/>
            <w:vAlign w:val="center"/>
            <w:hideMark/>
          </w:tcPr>
          <w:p w14:paraId="682DB1FA"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top w:val="nil"/>
              <w:left w:val="single" w:sz="4" w:space="0" w:color="auto"/>
            </w:tcBorders>
            <w:noWrap/>
            <w:hideMark/>
          </w:tcPr>
          <w:p w14:paraId="3C119F9C"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547</w:t>
            </w:r>
          </w:p>
        </w:tc>
        <w:tc>
          <w:tcPr>
            <w:tcW w:w="286" w:type="pct"/>
            <w:tcBorders>
              <w:top w:val="nil"/>
            </w:tcBorders>
            <w:noWrap/>
            <w:hideMark/>
          </w:tcPr>
          <w:p w14:paraId="0B24EAB5"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580</w:t>
            </w:r>
          </w:p>
        </w:tc>
        <w:tc>
          <w:tcPr>
            <w:tcW w:w="409" w:type="pct"/>
            <w:tcBorders>
              <w:top w:val="nil"/>
            </w:tcBorders>
            <w:noWrap/>
            <w:hideMark/>
          </w:tcPr>
          <w:p w14:paraId="224CDCBA"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519</w:t>
            </w:r>
          </w:p>
        </w:tc>
        <w:tc>
          <w:tcPr>
            <w:tcW w:w="366" w:type="pct"/>
            <w:tcBorders>
              <w:top w:val="nil"/>
              <w:right w:val="single" w:sz="4" w:space="0" w:color="auto"/>
            </w:tcBorders>
            <w:noWrap/>
            <w:hideMark/>
          </w:tcPr>
          <w:p w14:paraId="79BC7D2B"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113</w:t>
            </w:r>
          </w:p>
        </w:tc>
        <w:tc>
          <w:tcPr>
            <w:tcW w:w="490" w:type="pct"/>
            <w:tcBorders>
              <w:top w:val="nil"/>
              <w:left w:val="single" w:sz="4" w:space="0" w:color="auto"/>
            </w:tcBorders>
          </w:tcPr>
          <w:p w14:paraId="4F1AE444"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385</w:t>
            </w:r>
          </w:p>
        </w:tc>
        <w:tc>
          <w:tcPr>
            <w:tcW w:w="420" w:type="pct"/>
            <w:tcBorders>
              <w:top w:val="nil"/>
            </w:tcBorders>
            <w:noWrap/>
            <w:hideMark/>
          </w:tcPr>
          <w:p w14:paraId="55B3D21A"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374</w:t>
            </w:r>
          </w:p>
        </w:tc>
        <w:tc>
          <w:tcPr>
            <w:tcW w:w="465" w:type="pct"/>
            <w:tcBorders>
              <w:top w:val="nil"/>
            </w:tcBorders>
            <w:noWrap/>
            <w:hideMark/>
          </w:tcPr>
          <w:p w14:paraId="6E9021A2"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013</w:t>
            </w:r>
          </w:p>
        </w:tc>
        <w:tc>
          <w:tcPr>
            <w:tcW w:w="532" w:type="pct"/>
            <w:tcBorders>
              <w:top w:val="nil"/>
              <w:right w:val="single" w:sz="4" w:space="0" w:color="auto"/>
            </w:tcBorders>
            <w:noWrap/>
            <w:hideMark/>
          </w:tcPr>
          <w:p w14:paraId="2A673D2A"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361</w:t>
            </w:r>
          </w:p>
        </w:tc>
        <w:tc>
          <w:tcPr>
            <w:tcW w:w="262" w:type="pct"/>
            <w:tcBorders>
              <w:top w:val="nil"/>
              <w:left w:val="single" w:sz="4" w:space="0" w:color="auto"/>
              <w:right w:val="single" w:sz="4" w:space="0" w:color="auto"/>
            </w:tcBorders>
          </w:tcPr>
          <w:p w14:paraId="55A22ABB"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24</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759</w:t>
            </w:r>
          </w:p>
        </w:tc>
      </w:tr>
      <w:tr w:rsidR="001C4508" w:rsidRPr="00A90CEF" w14:paraId="09C22E52"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55C0171C"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45436A62"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793</w:t>
            </w:r>
          </w:p>
        </w:tc>
        <w:tc>
          <w:tcPr>
            <w:tcW w:w="286" w:type="pct"/>
            <w:noWrap/>
            <w:hideMark/>
          </w:tcPr>
          <w:p w14:paraId="465509F1"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195</w:t>
            </w:r>
          </w:p>
        </w:tc>
        <w:tc>
          <w:tcPr>
            <w:tcW w:w="409" w:type="pct"/>
            <w:noWrap/>
            <w:hideMark/>
          </w:tcPr>
          <w:p w14:paraId="476B424F"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531</w:t>
            </w:r>
          </w:p>
        </w:tc>
        <w:tc>
          <w:tcPr>
            <w:tcW w:w="366" w:type="pct"/>
            <w:tcBorders>
              <w:right w:val="single" w:sz="4" w:space="0" w:color="auto"/>
            </w:tcBorders>
            <w:noWrap/>
            <w:hideMark/>
          </w:tcPr>
          <w:p w14:paraId="78DBAFC8"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757</w:t>
            </w:r>
          </w:p>
        </w:tc>
        <w:tc>
          <w:tcPr>
            <w:tcW w:w="490" w:type="pct"/>
            <w:tcBorders>
              <w:left w:val="single" w:sz="4" w:space="0" w:color="auto"/>
            </w:tcBorders>
          </w:tcPr>
          <w:p w14:paraId="1EF378C1"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20</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390</w:t>
            </w:r>
          </w:p>
        </w:tc>
        <w:tc>
          <w:tcPr>
            <w:tcW w:w="420" w:type="pct"/>
            <w:noWrap/>
            <w:hideMark/>
          </w:tcPr>
          <w:p w14:paraId="7D6C4992"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886</w:t>
            </w:r>
          </w:p>
        </w:tc>
        <w:tc>
          <w:tcPr>
            <w:tcW w:w="465" w:type="pct"/>
            <w:noWrap/>
            <w:hideMark/>
          </w:tcPr>
          <w:p w14:paraId="3E4F4E7D"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673</w:t>
            </w:r>
          </w:p>
        </w:tc>
        <w:tc>
          <w:tcPr>
            <w:tcW w:w="532" w:type="pct"/>
            <w:tcBorders>
              <w:right w:val="single" w:sz="4" w:space="0" w:color="auto"/>
            </w:tcBorders>
            <w:noWrap/>
            <w:hideMark/>
          </w:tcPr>
          <w:p w14:paraId="0382F358"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213</w:t>
            </w:r>
          </w:p>
        </w:tc>
        <w:tc>
          <w:tcPr>
            <w:tcW w:w="262" w:type="pct"/>
            <w:tcBorders>
              <w:left w:val="single" w:sz="4" w:space="0" w:color="auto"/>
              <w:right w:val="single" w:sz="4" w:space="0" w:color="auto"/>
            </w:tcBorders>
          </w:tcPr>
          <w:p w14:paraId="51BE39F4"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27</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276</w:t>
            </w:r>
          </w:p>
        </w:tc>
      </w:tr>
      <w:tr w:rsidR="001C4508" w:rsidRPr="00A90CEF" w14:paraId="3AD1B713"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7977A9BF" w14:textId="77777777" w:rsidR="006D535F" w:rsidRPr="00A90CEF" w:rsidRDefault="006D535F" w:rsidP="00CE2FDF">
            <w:pPr>
              <w:tabs>
                <w:tab w:val="left" w:pos="1134"/>
              </w:tabs>
              <w:spacing w:before="0" w:line="276" w:lineRule="auto"/>
              <w:rPr>
                <w:rFonts w:eastAsia="Times New Roman" w:cs="Arial"/>
                <w:color w:val="auto"/>
                <w:sz w:val="20"/>
                <w:szCs w:val="20"/>
                <w:lang w:eastAsia="en-AU"/>
              </w:rPr>
            </w:pPr>
            <w:r w:rsidRPr="00A90CEF">
              <w:rPr>
                <w:rFonts w:eastAsia="Times New Roman" w:cs="Arial"/>
                <w:bCs w:val="0"/>
                <w:color w:val="auto"/>
                <w:sz w:val="20"/>
                <w:szCs w:val="20"/>
                <w:lang w:eastAsia="en-AU"/>
              </w:rPr>
              <w:t>Totals:</w:t>
            </w:r>
          </w:p>
        </w:tc>
        <w:tc>
          <w:tcPr>
            <w:tcW w:w="469" w:type="pct"/>
            <w:tcBorders>
              <w:left w:val="single" w:sz="4" w:space="0" w:color="auto"/>
              <w:bottom w:val="single" w:sz="4" w:space="0" w:color="auto"/>
            </w:tcBorders>
            <w:noWrap/>
            <w:hideMark/>
          </w:tcPr>
          <w:p w14:paraId="7EB7F9CC"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26</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340</w:t>
            </w:r>
          </w:p>
        </w:tc>
        <w:tc>
          <w:tcPr>
            <w:tcW w:w="286" w:type="pct"/>
            <w:tcBorders>
              <w:bottom w:val="single" w:sz="4" w:space="0" w:color="auto"/>
            </w:tcBorders>
            <w:noWrap/>
            <w:hideMark/>
          </w:tcPr>
          <w:p w14:paraId="72F6F939"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775</w:t>
            </w:r>
          </w:p>
        </w:tc>
        <w:tc>
          <w:tcPr>
            <w:tcW w:w="409" w:type="pct"/>
            <w:tcBorders>
              <w:bottom w:val="single" w:sz="4" w:space="0" w:color="auto"/>
            </w:tcBorders>
            <w:noWrap/>
            <w:hideMark/>
          </w:tcPr>
          <w:p w14:paraId="07C3F220"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15</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050</w:t>
            </w:r>
          </w:p>
        </w:tc>
        <w:tc>
          <w:tcPr>
            <w:tcW w:w="366" w:type="pct"/>
            <w:tcBorders>
              <w:bottom w:val="single" w:sz="4" w:space="0" w:color="auto"/>
              <w:right w:val="single" w:sz="4" w:space="0" w:color="auto"/>
            </w:tcBorders>
            <w:noWrap/>
            <w:hideMark/>
          </w:tcPr>
          <w:p w14:paraId="032C7731"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5</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870</w:t>
            </w:r>
          </w:p>
        </w:tc>
        <w:tc>
          <w:tcPr>
            <w:tcW w:w="490" w:type="pct"/>
            <w:tcBorders>
              <w:left w:val="single" w:sz="4" w:space="0" w:color="auto"/>
              <w:bottom w:val="single" w:sz="4" w:space="0" w:color="auto"/>
            </w:tcBorders>
          </w:tcPr>
          <w:p w14:paraId="5BE543CD"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37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775</w:t>
            </w:r>
          </w:p>
        </w:tc>
        <w:tc>
          <w:tcPr>
            <w:tcW w:w="420" w:type="pct"/>
            <w:tcBorders>
              <w:bottom w:val="single" w:sz="4" w:space="0" w:color="auto"/>
            </w:tcBorders>
            <w:noWrap/>
            <w:hideMark/>
          </w:tcPr>
          <w:p w14:paraId="056707BD"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260</w:t>
            </w:r>
          </w:p>
        </w:tc>
        <w:tc>
          <w:tcPr>
            <w:tcW w:w="465" w:type="pct"/>
            <w:tcBorders>
              <w:bottom w:val="single" w:sz="4" w:space="0" w:color="auto"/>
            </w:tcBorders>
            <w:noWrap/>
            <w:hideMark/>
          </w:tcPr>
          <w:p w14:paraId="5CA0963B"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686</w:t>
            </w:r>
          </w:p>
        </w:tc>
        <w:tc>
          <w:tcPr>
            <w:tcW w:w="532" w:type="pct"/>
            <w:tcBorders>
              <w:bottom w:val="single" w:sz="4" w:space="0" w:color="auto"/>
              <w:right w:val="single" w:sz="4" w:space="0" w:color="auto"/>
            </w:tcBorders>
            <w:noWrap/>
            <w:hideMark/>
          </w:tcPr>
          <w:p w14:paraId="17B03498"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6</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574</w:t>
            </w:r>
          </w:p>
        </w:tc>
        <w:tc>
          <w:tcPr>
            <w:tcW w:w="262" w:type="pct"/>
            <w:tcBorders>
              <w:left w:val="single" w:sz="4" w:space="0" w:color="auto"/>
              <w:bottom w:val="single" w:sz="4" w:space="0" w:color="auto"/>
              <w:right w:val="single" w:sz="4" w:space="0" w:color="auto"/>
            </w:tcBorders>
          </w:tcPr>
          <w:p w14:paraId="5DDE78EB"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52</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035</w:t>
            </w:r>
          </w:p>
        </w:tc>
      </w:tr>
      <w:tr w:rsidR="001C4508" w:rsidRPr="00A90CEF" w14:paraId="3C6DEDDA" w14:textId="77777777" w:rsidTr="00B605C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nil"/>
              <w:right w:val="single" w:sz="4" w:space="0" w:color="auto"/>
            </w:tcBorders>
            <w:vAlign w:val="center"/>
            <w:hideMark/>
          </w:tcPr>
          <w:p w14:paraId="1A69165E" w14:textId="77777777" w:rsidR="006D535F" w:rsidRPr="00A90CEF" w:rsidRDefault="006D535F"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2011</w:t>
            </w:r>
          </w:p>
        </w:tc>
        <w:tc>
          <w:tcPr>
            <w:tcW w:w="469" w:type="pct"/>
            <w:tcBorders>
              <w:top w:val="single" w:sz="4" w:space="0" w:color="auto"/>
              <w:left w:val="single" w:sz="4" w:space="0" w:color="auto"/>
              <w:bottom w:val="nil"/>
            </w:tcBorders>
            <w:hideMark/>
          </w:tcPr>
          <w:p w14:paraId="4C8BCC0B"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86" w:type="pct"/>
            <w:tcBorders>
              <w:top w:val="single" w:sz="4" w:space="0" w:color="auto"/>
              <w:bottom w:val="nil"/>
            </w:tcBorders>
            <w:hideMark/>
          </w:tcPr>
          <w:p w14:paraId="2A1FAF2B"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09" w:type="pct"/>
            <w:tcBorders>
              <w:top w:val="single" w:sz="4" w:space="0" w:color="auto"/>
              <w:bottom w:val="nil"/>
            </w:tcBorders>
            <w:hideMark/>
          </w:tcPr>
          <w:p w14:paraId="1C8FD10D"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366" w:type="pct"/>
            <w:tcBorders>
              <w:top w:val="single" w:sz="4" w:space="0" w:color="auto"/>
              <w:bottom w:val="nil"/>
              <w:right w:val="single" w:sz="4" w:space="0" w:color="auto"/>
            </w:tcBorders>
            <w:hideMark/>
          </w:tcPr>
          <w:p w14:paraId="54539DB0"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90" w:type="pct"/>
            <w:tcBorders>
              <w:top w:val="single" w:sz="4" w:space="0" w:color="auto"/>
              <w:left w:val="single" w:sz="4" w:space="0" w:color="auto"/>
              <w:bottom w:val="nil"/>
            </w:tcBorders>
          </w:tcPr>
          <w:p w14:paraId="26D54B18"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20" w:type="pct"/>
            <w:tcBorders>
              <w:top w:val="single" w:sz="4" w:space="0" w:color="auto"/>
              <w:bottom w:val="nil"/>
            </w:tcBorders>
            <w:hideMark/>
          </w:tcPr>
          <w:p w14:paraId="5FAEAF9C"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65" w:type="pct"/>
            <w:tcBorders>
              <w:top w:val="single" w:sz="4" w:space="0" w:color="auto"/>
              <w:bottom w:val="nil"/>
            </w:tcBorders>
            <w:hideMark/>
          </w:tcPr>
          <w:p w14:paraId="4B93CFFC"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532" w:type="pct"/>
            <w:tcBorders>
              <w:top w:val="single" w:sz="4" w:space="0" w:color="auto"/>
              <w:bottom w:val="nil"/>
              <w:right w:val="single" w:sz="4" w:space="0" w:color="auto"/>
            </w:tcBorders>
            <w:hideMark/>
          </w:tcPr>
          <w:p w14:paraId="009EC800"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62" w:type="pct"/>
            <w:tcBorders>
              <w:top w:val="single" w:sz="4" w:space="0" w:color="auto"/>
              <w:left w:val="single" w:sz="4" w:space="0" w:color="auto"/>
              <w:bottom w:val="nil"/>
              <w:right w:val="single" w:sz="4" w:space="0" w:color="auto"/>
            </w:tcBorders>
          </w:tcPr>
          <w:p w14:paraId="666B461F"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p>
        </w:tc>
      </w:tr>
      <w:tr w:rsidR="001C4508" w:rsidRPr="00A90CEF" w14:paraId="281E1901"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nil"/>
              <w:left w:val="single" w:sz="4" w:space="0" w:color="auto"/>
              <w:right w:val="single" w:sz="4" w:space="0" w:color="auto"/>
            </w:tcBorders>
            <w:noWrap/>
            <w:vAlign w:val="center"/>
            <w:hideMark/>
          </w:tcPr>
          <w:p w14:paraId="604A9A49"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top w:val="nil"/>
              <w:left w:val="single" w:sz="4" w:space="0" w:color="auto"/>
            </w:tcBorders>
            <w:noWrap/>
            <w:hideMark/>
          </w:tcPr>
          <w:p w14:paraId="290DD769"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15</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635</w:t>
            </w:r>
          </w:p>
        </w:tc>
        <w:tc>
          <w:tcPr>
            <w:tcW w:w="286" w:type="pct"/>
            <w:tcBorders>
              <w:top w:val="nil"/>
            </w:tcBorders>
            <w:noWrap/>
            <w:hideMark/>
          </w:tcPr>
          <w:p w14:paraId="130D9869"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942</w:t>
            </w:r>
          </w:p>
        </w:tc>
        <w:tc>
          <w:tcPr>
            <w:tcW w:w="409" w:type="pct"/>
            <w:tcBorders>
              <w:top w:val="nil"/>
            </w:tcBorders>
            <w:noWrap/>
            <w:hideMark/>
          </w:tcPr>
          <w:p w14:paraId="0B9CAFA4"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316</w:t>
            </w:r>
          </w:p>
        </w:tc>
        <w:tc>
          <w:tcPr>
            <w:tcW w:w="366" w:type="pct"/>
            <w:tcBorders>
              <w:top w:val="nil"/>
              <w:right w:val="single" w:sz="4" w:space="0" w:color="auto"/>
            </w:tcBorders>
            <w:noWrap/>
            <w:hideMark/>
          </w:tcPr>
          <w:p w14:paraId="150AE299"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986</w:t>
            </w:r>
          </w:p>
        </w:tc>
        <w:tc>
          <w:tcPr>
            <w:tcW w:w="490" w:type="pct"/>
            <w:tcBorders>
              <w:top w:val="nil"/>
              <w:left w:val="single" w:sz="4" w:space="0" w:color="auto"/>
            </w:tcBorders>
          </w:tcPr>
          <w:p w14:paraId="5DA3CE03"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20</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484</w:t>
            </w:r>
          </w:p>
        </w:tc>
        <w:tc>
          <w:tcPr>
            <w:tcW w:w="420" w:type="pct"/>
            <w:tcBorders>
              <w:top w:val="nil"/>
            </w:tcBorders>
            <w:noWrap/>
            <w:hideMark/>
          </w:tcPr>
          <w:p w14:paraId="70233F66"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395</w:t>
            </w:r>
          </w:p>
        </w:tc>
        <w:tc>
          <w:tcPr>
            <w:tcW w:w="465" w:type="pct"/>
            <w:tcBorders>
              <w:top w:val="nil"/>
            </w:tcBorders>
            <w:noWrap/>
            <w:hideMark/>
          </w:tcPr>
          <w:p w14:paraId="134424FE"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522</w:t>
            </w:r>
          </w:p>
        </w:tc>
        <w:tc>
          <w:tcPr>
            <w:tcW w:w="532" w:type="pct"/>
            <w:tcBorders>
              <w:top w:val="nil"/>
              <w:right w:val="single" w:sz="4" w:space="0" w:color="auto"/>
            </w:tcBorders>
            <w:noWrap/>
            <w:hideMark/>
          </w:tcPr>
          <w:p w14:paraId="384BDE58"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873</w:t>
            </w:r>
          </w:p>
        </w:tc>
        <w:tc>
          <w:tcPr>
            <w:tcW w:w="262" w:type="pct"/>
            <w:tcBorders>
              <w:top w:val="nil"/>
              <w:left w:val="single" w:sz="4" w:space="0" w:color="auto"/>
              <w:right w:val="single" w:sz="4" w:space="0" w:color="auto"/>
            </w:tcBorders>
          </w:tcPr>
          <w:p w14:paraId="519DA70A"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27</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879</w:t>
            </w:r>
          </w:p>
        </w:tc>
      </w:tr>
      <w:tr w:rsidR="001C4508" w:rsidRPr="00A90CEF" w14:paraId="5B877D3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25B20432"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3957BAEC"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368</w:t>
            </w:r>
          </w:p>
        </w:tc>
        <w:tc>
          <w:tcPr>
            <w:tcW w:w="286" w:type="pct"/>
            <w:noWrap/>
            <w:hideMark/>
          </w:tcPr>
          <w:p w14:paraId="75AAB185"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733</w:t>
            </w:r>
          </w:p>
        </w:tc>
        <w:tc>
          <w:tcPr>
            <w:tcW w:w="409" w:type="pct"/>
            <w:noWrap/>
            <w:hideMark/>
          </w:tcPr>
          <w:p w14:paraId="30692797"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673</w:t>
            </w:r>
          </w:p>
        </w:tc>
        <w:tc>
          <w:tcPr>
            <w:tcW w:w="366" w:type="pct"/>
            <w:tcBorders>
              <w:right w:val="single" w:sz="4" w:space="0" w:color="auto"/>
            </w:tcBorders>
            <w:noWrap/>
            <w:hideMark/>
          </w:tcPr>
          <w:p w14:paraId="4D209177"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279</w:t>
            </w:r>
          </w:p>
        </w:tc>
        <w:tc>
          <w:tcPr>
            <w:tcW w:w="490" w:type="pct"/>
            <w:tcBorders>
              <w:left w:val="single" w:sz="4" w:space="0" w:color="auto"/>
            </w:tcBorders>
          </w:tcPr>
          <w:p w14:paraId="75795240"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455</w:t>
            </w:r>
          </w:p>
        </w:tc>
        <w:tc>
          <w:tcPr>
            <w:tcW w:w="420" w:type="pct"/>
            <w:noWrap/>
            <w:hideMark/>
          </w:tcPr>
          <w:p w14:paraId="4A556127"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598</w:t>
            </w:r>
          </w:p>
        </w:tc>
        <w:tc>
          <w:tcPr>
            <w:tcW w:w="465" w:type="pct"/>
            <w:noWrap/>
            <w:hideMark/>
          </w:tcPr>
          <w:p w14:paraId="487CF168"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414</w:t>
            </w:r>
          </w:p>
        </w:tc>
        <w:tc>
          <w:tcPr>
            <w:tcW w:w="532" w:type="pct"/>
            <w:tcBorders>
              <w:right w:val="single" w:sz="4" w:space="0" w:color="auto"/>
            </w:tcBorders>
            <w:noWrap/>
            <w:hideMark/>
          </w:tcPr>
          <w:p w14:paraId="7C45ED42"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184</w:t>
            </w:r>
          </w:p>
        </w:tc>
        <w:tc>
          <w:tcPr>
            <w:tcW w:w="262" w:type="pct"/>
            <w:tcBorders>
              <w:left w:val="single" w:sz="4" w:space="0" w:color="auto"/>
              <w:right w:val="single" w:sz="4" w:space="0" w:color="auto"/>
            </w:tcBorders>
          </w:tcPr>
          <w:p w14:paraId="21ABEBF3"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31</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053</w:t>
            </w:r>
          </w:p>
        </w:tc>
      </w:tr>
      <w:tr w:rsidR="001C4508" w:rsidRPr="00A90CEF" w14:paraId="3072CC21"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77DB0902" w14:textId="77777777" w:rsidR="006D535F" w:rsidRPr="00A90CEF" w:rsidRDefault="006D535F" w:rsidP="00CE2FDF">
            <w:pPr>
              <w:tabs>
                <w:tab w:val="left" w:pos="1134"/>
              </w:tabs>
              <w:spacing w:before="0" w:line="276" w:lineRule="auto"/>
              <w:rPr>
                <w:rFonts w:eastAsia="Times New Roman" w:cs="Arial"/>
                <w:color w:val="auto"/>
                <w:sz w:val="20"/>
                <w:szCs w:val="20"/>
                <w:lang w:eastAsia="en-AU"/>
              </w:rPr>
            </w:pPr>
            <w:r w:rsidRPr="00A90CEF">
              <w:rPr>
                <w:rFonts w:eastAsia="Times New Roman" w:cs="Arial"/>
                <w:bCs w:val="0"/>
                <w:color w:val="auto"/>
                <w:sz w:val="20"/>
                <w:szCs w:val="20"/>
                <w:lang w:eastAsia="en-AU"/>
              </w:rPr>
              <w:t>Totals:</w:t>
            </w:r>
          </w:p>
        </w:tc>
        <w:tc>
          <w:tcPr>
            <w:tcW w:w="469" w:type="pct"/>
            <w:tcBorders>
              <w:left w:val="single" w:sz="4" w:space="0" w:color="auto"/>
              <w:bottom w:val="single" w:sz="4" w:space="0" w:color="auto"/>
            </w:tcBorders>
            <w:noWrap/>
            <w:hideMark/>
          </w:tcPr>
          <w:p w14:paraId="28F578C1"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33</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003</w:t>
            </w:r>
          </w:p>
        </w:tc>
        <w:tc>
          <w:tcPr>
            <w:tcW w:w="286" w:type="pct"/>
            <w:tcBorders>
              <w:bottom w:val="single" w:sz="4" w:space="0" w:color="auto"/>
            </w:tcBorders>
            <w:noWrap/>
            <w:hideMark/>
          </w:tcPr>
          <w:p w14:paraId="6C2654A9"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5</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675</w:t>
            </w:r>
          </w:p>
        </w:tc>
        <w:tc>
          <w:tcPr>
            <w:tcW w:w="409" w:type="pct"/>
            <w:tcBorders>
              <w:bottom w:val="single" w:sz="4" w:space="0" w:color="auto"/>
            </w:tcBorders>
            <w:noWrap/>
            <w:hideMark/>
          </w:tcPr>
          <w:p w14:paraId="158ABB5A"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13</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989</w:t>
            </w:r>
          </w:p>
        </w:tc>
        <w:tc>
          <w:tcPr>
            <w:tcW w:w="366" w:type="pct"/>
            <w:tcBorders>
              <w:bottom w:val="single" w:sz="4" w:space="0" w:color="auto"/>
              <w:right w:val="single" w:sz="4" w:space="0" w:color="auto"/>
            </w:tcBorders>
            <w:noWrap/>
            <w:hideMark/>
          </w:tcPr>
          <w:p w14:paraId="06422B2A"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6</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265</w:t>
            </w:r>
          </w:p>
        </w:tc>
        <w:tc>
          <w:tcPr>
            <w:tcW w:w="490" w:type="pct"/>
            <w:tcBorders>
              <w:left w:val="single" w:sz="4" w:space="0" w:color="auto"/>
              <w:bottom w:val="single" w:sz="4" w:space="0" w:color="auto"/>
            </w:tcBorders>
          </w:tcPr>
          <w:p w14:paraId="337E97F7"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43</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939</w:t>
            </w:r>
          </w:p>
        </w:tc>
        <w:tc>
          <w:tcPr>
            <w:tcW w:w="420" w:type="pct"/>
            <w:tcBorders>
              <w:bottom w:val="single" w:sz="4" w:space="0" w:color="auto"/>
            </w:tcBorders>
            <w:noWrap/>
            <w:hideMark/>
          </w:tcPr>
          <w:p w14:paraId="1A98B0EE"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993</w:t>
            </w:r>
          </w:p>
        </w:tc>
        <w:tc>
          <w:tcPr>
            <w:tcW w:w="465" w:type="pct"/>
            <w:tcBorders>
              <w:bottom w:val="single" w:sz="4" w:space="0" w:color="auto"/>
            </w:tcBorders>
            <w:noWrap/>
            <w:hideMark/>
          </w:tcPr>
          <w:p w14:paraId="6EC857E6"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8</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936</w:t>
            </w:r>
          </w:p>
        </w:tc>
        <w:tc>
          <w:tcPr>
            <w:tcW w:w="532" w:type="pct"/>
            <w:tcBorders>
              <w:bottom w:val="single" w:sz="4" w:space="0" w:color="auto"/>
              <w:right w:val="single" w:sz="4" w:space="0" w:color="auto"/>
            </w:tcBorders>
            <w:noWrap/>
            <w:hideMark/>
          </w:tcPr>
          <w:p w14:paraId="16E110A9"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6</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057</w:t>
            </w:r>
          </w:p>
        </w:tc>
        <w:tc>
          <w:tcPr>
            <w:tcW w:w="262" w:type="pct"/>
            <w:tcBorders>
              <w:left w:val="single" w:sz="4" w:space="0" w:color="auto"/>
              <w:bottom w:val="single" w:sz="4" w:space="0" w:color="auto"/>
              <w:right w:val="single" w:sz="4" w:space="0" w:color="auto"/>
            </w:tcBorders>
          </w:tcPr>
          <w:p w14:paraId="5348F1D8"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58</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932</w:t>
            </w:r>
          </w:p>
        </w:tc>
      </w:tr>
      <w:tr w:rsidR="001C4508" w:rsidRPr="00A90CEF" w14:paraId="44A1AFDB" w14:textId="77777777" w:rsidTr="00B605C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301" w:type="pct"/>
            <w:tcBorders>
              <w:top w:val="single" w:sz="4" w:space="0" w:color="auto"/>
              <w:left w:val="single" w:sz="4" w:space="0" w:color="auto"/>
              <w:bottom w:val="nil"/>
              <w:right w:val="single" w:sz="4" w:space="0" w:color="auto"/>
            </w:tcBorders>
            <w:vAlign w:val="center"/>
            <w:hideMark/>
          </w:tcPr>
          <w:p w14:paraId="3F0DCD9A" w14:textId="77777777" w:rsidR="006D535F" w:rsidRPr="00A90CEF" w:rsidRDefault="006D535F"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2012</w:t>
            </w:r>
          </w:p>
        </w:tc>
        <w:tc>
          <w:tcPr>
            <w:tcW w:w="469" w:type="pct"/>
            <w:tcBorders>
              <w:top w:val="single" w:sz="4" w:space="0" w:color="auto"/>
              <w:left w:val="single" w:sz="4" w:space="0" w:color="auto"/>
              <w:bottom w:val="nil"/>
            </w:tcBorders>
            <w:hideMark/>
          </w:tcPr>
          <w:p w14:paraId="0F956EF4"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86" w:type="pct"/>
            <w:tcBorders>
              <w:top w:val="single" w:sz="4" w:space="0" w:color="auto"/>
              <w:bottom w:val="nil"/>
            </w:tcBorders>
            <w:hideMark/>
          </w:tcPr>
          <w:p w14:paraId="72CE5098"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09" w:type="pct"/>
            <w:tcBorders>
              <w:top w:val="single" w:sz="4" w:space="0" w:color="auto"/>
              <w:bottom w:val="nil"/>
            </w:tcBorders>
            <w:hideMark/>
          </w:tcPr>
          <w:p w14:paraId="6FF6BBC5"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366" w:type="pct"/>
            <w:tcBorders>
              <w:top w:val="single" w:sz="4" w:space="0" w:color="auto"/>
              <w:bottom w:val="nil"/>
              <w:right w:val="single" w:sz="4" w:space="0" w:color="auto"/>
            </w:tcBorders>
            <w:hideMark/>
          </w:tcPr>
          <w:p w14:paraId="678E6BC6"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90" w:type="pct"/>
            <w:tcBorders>
              <w:top w:val="single" w:sz="4" w:space="0" w:color="auto"/>
              <w:left w:val="single" w:sz="4" w:space="0" w:color="auto"/>
              <w:bottom w:val="nil"/>
            </w:tcBorders>
          </w:tcPr>
          <w:p w14:paraId="5DC98AD5"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20" w:type="pct"/>
            <w:tcBorders>
              <w:top w:val="single" w:sz="4" w:space="0" w:color="auto"/>
              <w:bottom w:val="nil"/>
            </w:tcBorders>
            <w:hideMark/>
          </w:tcPr>
          <w:p w14:paraId="17DFE98B"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465" w:type="pct"/>
            <w:tcBorders>
              <w:top w:val="single" w:sz="4" w:space="0" w:color="auto"/>
              <w:bottom w:val="nil"/>
            </w:tcBorders>
            <w:hideMark/>
          </w:tcPr>
          <w:p w14:paraId="040F3D03"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532" w:type="pct"/>
            <w:tcBorders>
              <w:top w:val="single" w:sz="4" w:space="0" w:color="auto"/>
              <w:bottom w:val="nil"/>
              <w:right w:val="single" w:sz="4" w:space="0" w:color="auto"/>
            </w:tcBorders>
            <w:hideMark/>
          </w:tcPr>
          <w:p w14:paraId="57A44274"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262" w:type="pct"/>
            <w:tcBorders>
              <w:top w:val="single" w:sz="4" w:space="0" w:color="auto"/>
              <w:left w:val="single" w:sz="4" w:space="0" w:color="auto"/>
              <w:bottom w:val="nil"/>
              <w:right w:val="single" w:sz="4" w:space="0" w:color="auto"/>
            </w:tcBorders>
          </w:tcPr>
          <w:p w14:paraId="539635FB" w14:textId="77777777" w:rsidR="006D535F" w:rsidRPr="00A90CEF" w:rsidRDefault="006D535F"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p>
        </w:tc>
      </w:tr>
      <w:tr w:rsidR="001C4508" w:rsidRPr="00A90CEF" w14:paraId="6CDEB8E9"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1301" w:type="pct"/>
            <w:tcBorders>
              <w:top w:val="nil"/>
              <w:left w:val="single" w:sz="4" w:space="0" w:color="auto"/>
              <w:right w:val="single" w:sz="4" w:space="0" w:color="auto"/>
            </w:tcBorders>
            <w:noWrap/>
            <w:vAlign w:val="center"/>
            <w:hideMark/>
          </w:tcPr>
          <w:p w14:paraId="09E43DF4" w14:textId="77777777" w:rsidR="005D61DD" w:rsidRPr="00A90CEF" w:rsidRDefault="004A1081"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Major mandated reporter groups combined</w:t>
            </w:r>
          </w:p>
        </w:tc>
        <w:tc>
          <w:tcPr>
            <w:tcW w:w="469" w:type="pct"/>
            <w:tcBorders>
              <w:top w:val="nil"/>
              <w:left w:val="single" w:sz="4" w:space="0" w:color="auto"/>
            </w:tcBorders>
            <w:noWrap/>
            <w:hideMark/>
          </w:tcPr>
          <w:p w14:paraId="14296181"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20</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844</w:t>
            </w:r>
          </w:p>
        </w:tc>
        <w:tc>
          <w:tcPr>
            <w:tcW w:w="286" w:type="pct"/>
            <w:tcBorders>
              <w:top w:val="nil"/>
            </w:tcBorders>
            <w:noWrap/>
            <w:hideMark/>
          </w:tcPr>
          <w:p w14:paraId="128E5D9E"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1</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692</w:t>
            </w:r>
          </w:p>
        </w:tc>
        <w:tc>
          <w:tcPr>
            <w:tcW w:w="409" w:type="pct"/>
            <w:tcBorders>
              <w:top w:val="nil"/>
            </w:tcBorders>
            <w:noWrap/>
            <w:hideMark/>
          </w:tcPr>
          <w:p w14:paraId="7AAA425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8</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292</w:t>
            </w:r>
          </w:p>
        </w:tc>
        <w:tc>
          <w:tcPr>
            <w:tcW w:w="366" w:type="pct"/>
            <w:tcBorders>
              <w:top w:val="nil"/>
              <w:right w:val="single" w:sz="4" w:space="0" w:color="auto"/>
            </w:tcBorders>
            <w:noWrap/>
            <w:hideMark/>
          </w:tcPr>
          <w:p w14:paraId="70C13DC1"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116</w:t>
            </w:r>
          </w:p>
        </w:tc>
        <w:tc>
          <w:tcPr>
            <w:tcW w:w="490" w:type="pct"/>
            <w:tcBorders>
              <w:top w:val="nil"/>
              <w:left w:val="single" w:sz="4" w:space="0" w:color="auto"/>
            </w:tcBorders>
          </w:tcPr>
          <w:p w14:paraId="406B1012"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25</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777</w:t>
            </w:r>
          </w:p>
        </w:tc>
        <w:tc>
          <w:tcPr>
            <w:tcW w:w="420" w:type="pct"/>
            <w:tcBorders>
              <w:top w:val="nil"/>
            </w:tcBorders>
            <w:noWrap/>
            <w:hideMark/>
          </w:tcPr>
          <w:p w14:paraId="66545F39"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9</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167</w:t>
            </w:r>
          </w:p>
        </w:tc>
        <w:tc>
          <w:tcPr>
            <w:tcW w:w="465" w:type="pct"/>
            <w:tcBorders>
              <w:top w:val="nil"/>
            </w:tcBorders>
            <w:noWrap/>
            <w:hideMark/>
          </w:tcPr>
          <w:p w14:paraId="4DD601FF"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5</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536</w:t>
            </w:r>
          </w:p>
        </w:tc>
        <w:tc>
          <w:tcPr>
            <w:tcW w:w="532" w:type="pct"/>
            <w:tcBorders>
              <w:top w:val="nil"/>
              <w:right w:val="single" w:sz="4" w:space="0" w:color="auto"/>
            </w:tcBorders>
            <w:noWrap/>
            <w:hideMark/>
          </w:tcPr>
          <w:p w14:paraId="261769E2"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631</w:t>
            </w:r>
          </w:p>
        </w:tc>
        <w:tc>
          <w:tcPr>
            <w:tcW w:w="262" w:type="pct"/>
            <w:tcBorders>
              <w:top w:val="nil"/>
              <w:left w:val="single" w:sz="4" w:space="0" w:color="auto"/>
              <w:right w:val="single" w:sz="4" w:space="0" w:color="auto"/>
            </w:tcBorders>
          </w:tcPr>
          <w:p w14:paraId="6B45B933" w14:textId="77777777" w:rsidR="005D61DD" w:rsidRPr="00A90CEF" w:rsidRDefault="005D61DD"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34</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944</w:t>
            </w:r>
          </w:p>
        </w:tc>
      </w:tr>
      <w:tr w:rsidR="001C4508" w:rsidRPr="00A90CEF" w14:paraId="2CDCD84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right w:val="single" w:sz="4" w:space="0" w:color="auto"/>
            </w:tcBorders>
            <w:noWrap/>
            <w:vAlign w:val="center"/>
            <w:hideMark/>
          </w:tcPr>
          <w:p w14:paraId="3768A553" w14:textId="77777777" w:rsidR="005D61DD" w:rsidRPr="00A90CEF" w:rsidRDefault="005D61DD" w:rsidP="00CE2FDF">
            <w:pPr>
              <w:tabs>
                <w:tab w:val="left" w:pos="1134"/>
              </w:tabs>
              <w:spacing w:before="0" w:line="276" w:lineRule="auto"/>
              <w:rPr>
                <w:rFonts w:eastAsia="Times New Roman" w:cs="Arial"/>
                <w:bCs w:val="0"/>
                <w:color w:val="auto"/>
                <w:sz w:val="20"/>
                <w:szCs w:val="20"/>
                <w:lang w:eastAsia="en-AU"/>
              </w:rPr>
            </w:pPr>
            <w:r w:rsidRPr="00A90CEF">
              <w:rPr>
                <w:rFonts w:eastAsia="Times New Roman" w:cs="Arial"/>
                <w:bCs w:val="0"/>
                <w:color w:val="auto"/>
                <w:sz w:val="20"/>
                <w:szCs w:val="20"/>
                <w:lang w:eastAsia="en-AU"/>
              </w:rPr>
              <w:t>Other reporter groups combined</w:t>
            </w:r>
          </w:p>
        </w:tc>
        <w:tc>
          <w:tcPr>
            <w:tcW w:w="469" w:type="pct"/>
            <w:tcBorders>
              <w:left w:val="single" w:sz="4" w:space="0" w:color="auto"/>
            </w:tcBorders>
            <w:noWrap/>
            <w:hideMark/>
          </w:tcPr>
          <w:p w14:paraId="449B4389"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20</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636</w:t>
            </w:r>
          </w:p>
        </w:tc>
        <w:tc>
          <w:tcPr>
            <w:tcW w:w="286" w:type="pct"/>
            <w:noWrap/>
            <w:hideMark/>
          </w:tcPr>
          <w:p w14:paraId="137AA535"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210</w:t>
            </w:r>
          </w:p>
        </w:tc>
        <w:tc>
          <w:tcPr>
            <w:tcW w:w="409" w:type="pct"/>
            <w:noWrap/>
            <w:hideMark/>
          </w:tcPr>
          <w:p w14:paraId="63208BD6"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6</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627</w:t>
            </w:r>
          </w:p>
        </w:tc>
        <w:tc>
          <w:tcPr>
            <w:tcW w:w="366" w:type="pct"/>
            <w:tcBorders>
              <w:right w:val="single" w:sz="4" w:space="0" w:color="auto"/>
            </w:tcBorders>
            <w:noWrap/>
            <w:hideMark/>
          </w:tcPr>
          <w:p w14:paraId="72A189AC"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231</w:t>
            </w:r>
          </w:p>
        </w:tc>
        <w:tc>
          <w:tcPr>
            <w:tcW w:w="490" w:type="pct"/>
            <w:tcBorders>
              <w:left w:val="single" w:sz="4" w:space="0" w:color="auto"/>
            </w:tcBorders>
          </w:tcPr>
          <w:p w14:paraId="3A2B9222"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25</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811</w:t>
            </w:r>
          </w:p>
        </w:tc>
        <w:tc>
          <w:tcPr>
            <w:tcW w:w="420" w:type="pct"/>
            <w:noWrap/>
            <w:hideMark/>
          </w:tcPr>
          <w:p w14:paraId="3491E590"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7</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893</w:t>
            </w:r>
          </w:p>
        </w:tc>
        <w:tc>
          <w:tcPr>
            <w:tcW w:w="465" w:type="pct"/>
            <w:noWrap/>
            <w:hideMark/>
          </w:tcPr>
          <w:p w14:paraId="5C209C87"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4</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662</w:t>
            </w:r>
          </w:p>
        </w:tc>
        <w:tc>
          <w:tcPr>
            <w:tcW w:w="532" w:type="pct"/>
            <w:tcBorders>
              <w:right w:val="single" w:sz="4" w:space="0" w:color="auto"/>
            </w:tcBorders>
            <w:noWrap/>
            <w:hideMark/>
          </w:tcPr>
          <w:p w14:paraId="6A21D15D"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90CEF">
              <w:rPr>
                <w:rFonts w:eastAsia="Times New Roman" w:cs="Arial"/>
                <w:color w:val="000000"/>
                <w:sz w:val="20"/>
                <w:szCs w:val="20"/>
                <w:lang w:eastAsia="en-AU"/>
              </w:rPr>
              <w:t>3</w:t>
            </w:r>
            <w:r w:rsidR="001C4508">
              <w:rPr>
                <w:rFonts w:eastAsia="Times New Roman" w:cs="Arial"/>
                <w:color w:val="000000"/>
                <w:sz w:val="20"/>
                <w:szCs w:val="20"/>
                <w:lang w:eastAsia="en-AU"/>
              </w:rPr>
              <w:t>,</w:t>
            </w:r>
            <w:r w:rsidRPr="00A90CEF">
              <w:rPr>
                <w:rFonts w:eastAsia="Times New Roman" w:cs="Arial"/>
                <w:color w:val="000000"/>
                <w:sz w:val="20"/>
                <w:szCs w:val="20"/>
                <w:lang w:eastAsia="en-AU"/>
              </w:rPr>
              <w:t>231</w:t>
            </w:r>
          </w:p>
        </w:tc>
        <w:tc>
          <w:tcPr>
            <w:tcW w:w="262" w:type="pct"/>
            <w:tcBorders>
              <w:left w:val="single" w:sz="4" w:space="0" w:color="auto"/>
              <w:right w:val="single" w:sz="4" w:space="0" w:color="auto"/>
            </w:tcBorders>
          </w:tcPr>
          <w:p w14:paraId="2E69D353" w14:textId="77777777" w:rsidR="005D61DD" w:rsidRPr="00A90CEF" w:rsidRDefault="005D61DD"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33</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704</w:t>
            </w:r>
          </w:p>
        </w:tc>
      </w:tr>
      <w:tr w:rsidR="001C4508" w:rsidRPr="00A90CEF" w14:paraId="213B4F5E" w14:textId="77777777" w:rsidTr="00B605CE">
        <w:trPr>
          <w:trHeight w:val="264"/>
        </w:trPr>
        <w:tc>
          <w:tcPr>
            <w:cnfStyle w:val="001000000000" w:firstRow="0" w:lastRow="0" w:firstColumn="1" w:lastColumn="0" w:oddVBand="0" w:evenVBand="0" w:oddHBand="0" w:evenHBand="0" w:firstRowFirstColumn="0" w:firstRowLastColumn="0" w:lastRowFirstColumn="0" w:lastRowLastColumn="0"/>
            <w:tcW w:w="1301" w:type="pct"/>
            <w:tcBorders>
              <w:left w:val="single" w:sz="4" w:space="0" w:color="auto"/>
              <w:bottom w:val="single" w:sz="4" w:space="0" w:color="auto"/>
              <w:right w:val="single" w:sz="4" w:space="0" w:color="auto"/>
            </w:tcBorders>
            <w:noWrap/>
            <w:vAlign w:val="center"/>
            <w:hideMark/>
          </w:tcPr>
          <w:p w14:paraId="2F617CA0" w14:textId="77777777" w:rsidR="006D535F" w:rsidRPr="00A90CEF" w:rsidRDefault="006D535F" w:rsidP="00CE2FDF">
            <w:pPr>
              <w:tabs>
                <w:tab w:val="left" w:pos="1134"/>
              </w:tabs>
              <w:spacing w:before="0" w:line="276" w:lineRule="auto"/>
              <w:rPr>
                <w:color w:val="auto"/>
                <w:sz w:val="20"/>
                <w:szCs w:val="20"/>
              </w:rPr>
            </w:pPr>
            <w:r w:rsidRPr="00A90CEF">
              <w:rPr>
                <w:rFonts w:eastAsia="Times New Roman" w:cs="Arial"/>
                <w:bCs w:val="0"/>
                <w:color w:val="auto"/>
                <w:sz w:val="20"/>
                <w:szCs w:val="20"/>
                <w:lang w:eastAsia="en-AU"/>
              </w:rPr>
              <w:t>Totals:</w:t>
            </w:r>
          </w:p>
        </w:tc>
        <w:tc>
          <w:tcPr>
            <w:tcW w:w="469" w:type="pct"/>
            <w:tcBorders>
              <w:left w:val="single" w:sz="4" w:space="0" w:color="auto"/>
              <w:bottom w:val="single" w:sz="4" w:space="0" w:color="auto"/>
            </w:tcBorders>
            <w:noWrap/>
            <w:hideMark/>
          </w:tcPr>
          <w:p w14:paraId="49F6CA62"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41</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480</w:t>
            </w:r>
          </w:p>
        </w:tc>
        <w:tc>
          <w:tcPr>
            <w:tcW w:w="286" w:type="pct"/>
            <w:tcBorders>
              <w:bottom w:val="single" w:sz="4" w:space="0" w:color="auto"/>
            </w:tcBorders>
            <w:noWrap/>
            <w:hideMark/>
          </w:tcPr>
          <w:p w14:paraId="1BBEFDA7"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902</w:t>
            </w:r>
          </w:p>
        </w:tc>
        <w:tc>
          <w:tcPr>
            <w:tcW w:w="409" w:type="pct"/>
            <w:tcBorders>
              <w:bottom w:val="single" w:sz="4" w:space="0" w:color="auto"/>
            </w:tcBorders>
            <w:noWrap/>
            <w:hideMark/>
          </w:tcPr>
          <w:p w14:paraId="0915A04D"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14</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919</w:t>
            </w:r>
          </w:p>
        </w:tc>
        <w:tc>
          <w:tcPr>
            <w:tcW w:w="366" w:type="pct"/>
            <w:tcBorders>
              <w:bottom w:val="single" w:sz="4" w:space="0" w:color="auto"/>
              <w:right w:val="single" w:sz="4" w:space="0" w:color="auto"/>
            </w:tcBorders>
            <w:noWrap/>
            <w:hideMark/>
          </w:tcPr>
          <w:p w14:paraId="1DB35908"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347</w:t>
            </w:r>
          </w:p>
        </w:tc>
        <w:tc>
          <w:tcPr>
            <w:tcW w:w="490" w:type="pct"/>
            <w:tcBorders>
              <w:left w:val="single" w:sz="4" w:space="0" w:color="auto"/>
              <w:bottom w:val="single" w:sz="4" w:space="0" w:color="auto"/>
            </w:tcBorders>
          </w:tcPr>
          <w:p w14:paraId="046B3E15"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51</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588</w:t>
            </w:r>
          </w:p>
        </w:tc>
        <w:tc>
          <w:tcPr>
            <w:tcW w:w="420" w:type="pct"/>
            <w:tcBorders>
              <w:bottom w:val="single" w:sz="4" w:space="0" w:color="auto"/>
            </w:tcBorders>
            <w:noWrap/>
            <w:hideMark/>
          </w:tcPr>
          <w:p w14:paraId="21396B9F"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17</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060</w:t>
            </w:r>
          </w:p>
        </w:tc>
        <w:tc>
          <w:tcPr>
            <w:tcW w:w="465" w:type="pct"/>
            <w:tcBorders>
              <w:bottom w:val="single" w:sz="4" w:space="0" w:color="auto"/>
            </w:tcBorders>
            <w:noWrap/>
            <w:hideMark/>
          </w:tcPr>
          <w:p w14:paraId="32E26AE2"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10</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198</w:t>
            </w:r>
          </w:p>
        </w:tc>
        <w:tc>
          <w:tcPr>
            <w:tcW w:w="532" w:type="pct"/>
            <w:tcBorders>
              <w:bottom w:val="single" w:sz="4" w:space="0" w:color="auto"/>
              <w:right w:val="single" w:sz="4" w:space="0" w:color="auto"/>
            </w:tcBorders>
            <w:noWrap/>
            <w:hideMark/>
          </w:tcPr>
          <w:p w14:paraId="332B3BD1"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en-AU"/>
              </w:rPr>
            </w:pPr>
            <w:r w:rsidRPr="00A90CEF">
              <w:rPr>
                <w:rFonts w:eastAsia="Times New Roman" w:cs="Arial"/>
                <w:b/>
                <w:color w:val="000000"/>
                <w:sz w:val="20"/>
                <w:szCs w:val="20"/>
                <w:lang w:eastAsia="en-AU"/>
              </w:rPr>
              <w:t>6</w:t>
            </w:r>
            <w:r w:rsidR="001C4508">
              <w:rPr>
                <w:rFonts w:eastAsia="Times New Roman" w:cs="Arial"/>
                <w:b/>
                <w:color w:val="000000"/>
                <w:sz w:val="20"/>
                <w:szCs w:val="20"/>
                <w:lang w:eastAsia="en-AU"/>
              </w:rPr>
              <w:t>,</w:t>
            </w:r>
            <w:r w:rsidRPr="00A90CEF">
              <w:rPr>
                <w:rFonts w:eastAsia="Times New Roman" w:cs="Arial"/>
                <w:b/>
                <w:color w:val="000000"/>
                <w:sz w:val="20"/>
                <w:szCs w:val="20"/>
                <w:lang w:eastAsia="en-AU"/>
              </w:rPr>
              <w:t>862</w:t>
            </w:r>
          </w:p>
        </w:tc>
        <w:tc>
          <w:tcPr>
            <w:tcW w:w="262" w:type="pct"/>
            <w:tcBorders>
              <w:left w:val="single" w:sz="4" w:space="0" w:color="auto"/>
              <w:bottom w:val="single" w:sz="4" w:space="0" w:color="auto"/>
              <w:right w:val="single" w:sz="4" w:space="0" w:color="auto"/>
            </w:tcBorders>
          </w:tcPr>
          <w:p w14:paraId="1CA280FE" w14:textId="77777777" w:rsidR="006D535F" w:rsidRPr="00A90CEF" w:rsidRDefault="006D535F"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A90CEF">
              <w:rPr>
                <w:rFonts w:eastAsia="Times New Roman" w:cs="Arial"/>
                <w:b/>
                <w:color w:val="auto"/>
                <w:sz w:val="20"/>
                <w:szCs w:val="20"/>
                <w:lang w:eastAsia="en-AU"/>
              </w:rPr>
              <w:t>68</w:t>
            </w:r>
            <w:r w:rsidR="001C4508">
              <w:rPr>
                <w:rFonts w:eastAsia="Times New Roman" w:cs="Arial"/>
                <w:b/>
                <w:color w:val="auto"/>
                <w:sz w:val="20"/>
                <w:szCs w:val="20"/>
                <w:lang w:eastAsia="en-AU"/>
              </w:rPr>
              <w:t>,</w:t>
            </w:r>
            <w:r w:rsidRPr="00A90CEF">
              <w:rPr>
                <w:rFonts w:eastAsia="Times New Roman" w:cs="Arial"/>
                <w:b/>
                <w:color w:val="auto"/>
                <w:sz w:val="20"/>
                <w:szCs w:val="20"/>
                <w:lang w:eastAsia="en-AU"/>
              </w:rPr>
              <w:t>648</w:t>
            </w:r>
          </w:p>
        </w:tc>
      </w:tr>
    </w:tbl>
    <w:p w14:paraId="7B607A5F" w14:textId="77777777" w:rsidR="00981A1C" w:rsidRDefault="00981A1C">
      <w:pPr>
        <w:spacing w:after="200" w:line="276" w:lineRule="auto"/>
        <w:rPr>
          <w:rFonts w:asciiTheme="majorHAnsi" w:eastAsiaTheme="majorEastAsia" w:hAnsiTheme="majorHAnsi" w:cstheme="majorBidi"/>
          <w:b/>
          <w:bCs/>
          <w:color w:val="17365D" w:themeColor="text2" w:themeShade="BF"/>
          <w:sz w:val="26"/>
          <w:szCs w:val="26"/>
        </w:rPr>
      </w:pPr>
      <w:r>
        <w:br w:type="page"/>
      </w:r>
    </w:p>
    <w:p w14:paraId="3F439BAD" w14:textId="77777777" w:rsidR="005D61DD" w:rsidRDefault="005D61DD" w:rsidP="0095311F">
      <w:pPr>
        <w:pStyle w:val="Figureheading"/>
      </w:pPr>
      <w:bookmarkStart w:id="88" w:name="_Toc382206770"/>
      <w:r w:rsidRPr="001911B4">
        <w:lastRenderedPageBreak/>
        <w:t>2.2</w:t>
      </w:r>
      <w:r w:rsidRPr="001911B4">
        <w:tab/>
        <w:t>Number of report</w:t>
      </w:r>
      <w:r>
        <w:t>s of</w:t>
      </w:r>
      <w:r w:rsidRPr="001911B4">
        <w:t xml:space="preserve"> emotional abuse,</w:t>
      </w:r>
      <w:r w:rsidR="00261C0C">
        <w:t xml:space="preserve"> by year,</w:t>
      </w:r>
      <w:r w:rsidRPr="001911B4">
        <w:t xml:space="preserve"> reporter</w:t>
      </w:r>
      <w:bookmarkEnd w:id="88"/>
      <w:r>
        <w:t xml:space="preserve"> group, and outcome</w:t>
      </w:r>
    </w:p>
    <w:tbl>
      <w:tblPr>
        <w:tblStyle w:val="LightShading-Accent3"/>
        <w:tblW w:w="14425" w:type="dxa"/>
        <w:tblLayout w:type="fixed"/>
        <w:tblLook w:val="04A0" w:firstRow="1" w:lastRow="0" w:firstColumn="1" w:lastColumn="0" w:noHBand="0" w:noVBand="1"/>
        <w:tblCaption w:val="Number of reports of emotional abuse, by year, reporter group, and outcome"/>
      </w:tblPr>
      <w:tblGrid>
        <w:gridCol w:w="2235"/>
        <w:gridCol w:w="1417"/>
        <w:gridCol w:w="1021"/>
        <w:gridCol w:w="1389"/>
        <w:gridCol w:w="1049"/>
        <w:gridCol w:w="1361"/>
        <w:gridCol w:w="1077"/>
        <w:gridCol w:w="1474"/>
        <w:gridCol w:w="964"/>
        <w:gridCol w:w="1219"/>
        <w:gridCol w:w="1219"/>
      </w:tblGrid>
      <w:tr w:rsidR="005D61DD" w:rsidRPr="00E91515" w14:paraId="4AE98764" w14:textId="77777777" w:rsidTr="001C7990">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1FB81DC8" w14:textId="77777777" w:rsidR="005D61DD" w:rsidRPr="00E91515" w:rsidRDefault="005D61DD" w:rsidP="00CE2FDF">
            <w:pPr>
              <w:keepNext/>
              <w:tabs>
                <w:tab w:val="left" w:pos="1134"/>
              </w:tabs>
              <w:spacing w:before="0" w:line="276" w:lineRule="auto"/>
              <w:jc w:val="center"/>
              <w:rPr>
                <w:rFonts w:eastAsia="Times New Roman" w:cs="Arial"/>
                <w:color w:val="auto"/>
                <w:sz w:val="20"/>
                <w:szCs w:val="20"/>
                <w:lang w:eastAsia="en-AU"/>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55B44A4" w14:textId="77777777" w:rsidR="005D61DD" w:rsidRPr="00E91515" w:rsidRDefault="005D61DD"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9653041" w14:textId="77777777" w:rsidR="005D61DD" w:rsidRPr="00E91515" w:rsidRDefault="005D61DD"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9F8FE03" w14:textId="77777777" w:rsidR="005D61DD" w:rsidRPr="00E91515" w:rsidRDefault="005D61DD"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0358F1B" w14:textId="77777777" w:rsidR="005D61DD" w:rsidRPr="00E91515" w:rsidRDefault="005D61DD"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1BFECBA" w14:textId="77777777" w:rsidR="005D61DD" w:rsidRPr="00E91515" w:rsidRDefault="005D61DD"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Total</w:t>
            </w:r>
          </w:p>
        </w:tc>
      </w:tr>
      <w:tr w:rsidR="00E91515" w:rsidRPr="00E91515" w14:paraId="08728321"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7BFBEFC6" w14:textId="77777777" w:rsidR="00E91515" w:rsidRPr="00E91515" w:rsidRDefault="00E91515" w:rsidP="00CE2FDF">
            <w:pPr>
              <w:keepNext/>
              <w:tabs>
                <w:tab w:val="left" w:pos="1134"/>
              </w:tabs>
              <w:spacing w:before="0" w:line="276" w:lineRule="auto"/>
              <w:rPr>
                <w:rFonts w:eastAsia="Times New Roman" w:cs="Arial"/>
                <w:bCs w:val="0"/>
                <w:color w:val="auto"/>
                <w:sz w:val="20"/>
                <w:szCs w:val="20"/>
                <w:lang w:eastAsia="en-AU"/>
              </w:rPr>
            </w:pPr>
            <w:r w:rsidRPr="00E91515">
              <w:rPr>
                <w:rFonts w:eastAsia="Times New Roman" w:cs="Arial"/>
                <w:color w:val="auto"/>
                <w:sz w:val="20"/>
                <w:szCs w:val="20"/>
                <w:lang w:eastAsia="en-AU"/>
              </w:rPr>
              <w:t>2003</w:t>
            </w:r>
          </w:p>
        </w:tc>
        <w:tc>
          <w:tcPr>
            <w:tcW w:w="1417" w:type="dxa"/>
            <w:tcBorders>
              <w:top w:val="single" w:sz="4" w:space="0" w:color="auto"/>
              <w:left w:val="single" w:sz="4" w:space="0" w:color="auto"/>
            </w:tcBorders>
          </w:tcPr>
          <w:p w14:paraId="0B2A8714"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E91515">
              <w:rPr>
                <w:rFonts w:eastAsia="Times New Roman" w:cs="Arial"/>
                <w:b/>
                <w:color w:val="auto"/>
                <w:sz w:val="20"/>
                <w:szCs w:val="20"/>
                <w:lang w:eastAsia="en-AU"/>
              </w:rPr>
              <w:t> </w:t>
            </w:r>
          </w:p>
        </w:tc>
        <w:tc>
          <w:tcPr>
            <w:tcW w:w="1021" w:type="dxa"/>
            <w:tcBorders>
              <w:top w:val="single" w:sz="4" w:space="0" w:color="auto"/>
              <w:right w:val="single" w:sz="4" w:space="0" w:color="auto"/>
            </w:tcBorders>
          </w:tcPr>
          <w:p w14:paraId="798CBF63"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E91515">
              <w:rPr>
                <w:rFonts w:eastAsia="Times New Roman" w:cs="Arial"/>
                <w:b/>
                <w:color w:val="auto"/>
                <w:sz w:val="20"/>
                <w:szCs w:val="20"/>
                <w:lang w:eastAsia="en-AU"/>
              </w:rPr>
              <w:t> </w:t>
            </w:r>
          </w:p>
        </w:tc>
        <w:tc>
          <w:tcPr>
            <w:tcW w:w="1389" w:type="dxa"/>
            <w:tcBorders>
              <w:top w:val="single" w:sz="4" w:space="0" w:color="auto"/>
              <w:left w:val="single" w:sz="4" w:space="0" w:color="auto"/>
            </w:tcBorders>
          </w:tcPr>
          <w:p w14:paraId="279730DA"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E91515">
              <w:rPr>
                <w:rFonts w:eastAsia="Times New Roman" w:cs="Arial"/>
                <w:b/>
                <w:color w:val="auto"/>
                <w:sz w:val="20"/>
                <w:szCs w:val="20"/>
                <w:lang w:eastAsia="en-AU"/>
              </w:rPr>
              <w:t> </w:t>
            </w:r>
          </w:p>
        </w:tc>
        <w:tc>
          <w:tcPr>
            <w:tcW w:w="1049" w:type="dxa"/>
            <w:tcBorders>
              <w:top w:val="single" w:sz="4" w:space="0" w:color="auto"/>
              <w:right w:val="single" w:sz="4" w:space="0" w:color="auto"/>
            </w:tcBorders>
          </w:tcPr>
          <w:p w14:paraId="6E39E6A5"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E91515">
              <w:rPr>
                <w:rFonts w:eastAsia="Times New Roman" w:cs="Arial"/>
                <w:b/>
                <w:color w:val="auto"/>
                <w:sz w:val="20"/>
                <w:szCs w:val="20"/>
                <w:lang w:eastAsia="en-AU"/>
              </w:rPr>
              <w:t> </w:t>
            </w:r>
          </w:p>
        </w:tc>
        <w:tc>
          <w:tcPr>
            <w:tcW w:w="1361" w:type="dxa"/>
            <w:tcBorders>
              <w:top w:val="single" w:sz="4" w:space="0" w:color="auto"/>
              <w:left w:val="single" w:sz="4" w:space="0" w:color="auto"/>
            </w:tcBorders>
          </w:tcPr>
          <w:p w14:paraId="3E5244C6"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E91515">
              <w:rPr>
                <w:rFonts w:eastAsia="Times New Roman" w:cs="Arial"/>
                <w:b/>
                <w:color w:val="auto"/>
                <w:sz w:val="20"/>
                <w:szCs w:val="20"/>
                <w:lang w:eastAsia="en-AU"/>
              </w:rPr>
              <w:t> </w:t>
            </w:r>
          </w:p>
        </w:tc>
        <w:tc>
          <w:tcPr>
            <w:tcW w:w="1077" w:type="dxa"/>
            <w:tcBorders>
              <w:top w:val="single" w:sz="4" w:space="0" w:color="auto"/>
              <w:right w:val="single" w:sz="4" w:space="0" w:color="auto"/>
            </w:tcBorders>
          </w:tcPr>
          <w:p w14:paraId="75252B14"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E91515">
              <w:rPr>
                <w:rFonts w:eastAsia="Times New Roman" w:cs="Arial"/>
                <w:b/>
                <w:color w:val="auto"/>
                <w:sz w:val="20"/>
                <w:szCs w:val="20"/>
                <w:lang w:eastAsia="en-AU"/>
              </w:rPr>
              <w:t> </w:t>
            </w:r>
          </w:p>
        </w:tc>
        <w:tc>
          <w:tcPr>
            <w:tcW w:w="1474" w:type="dxa"/>
            <w:tcBorders>
              <w:top w:val="single" w:sz="4" w:space="0" w:color="auto"/>
              <w:left w:val="single" w:sz="4" w:space="0" w:color="auto"/>
            </w:tcBorders>
          </w:tcPr>
          <w:p w14:paraId="2DF2A596"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E91515">
              <w:rPr>
                <w:rFonts w:eastAsia="Times New Roman" w:cs="Arial"/>
                <w:b/>
                <w:color w:val="auto"/>
                <w:sz w:val="20"/>
                <w:szCs w:val="20"/>
                <w:lang w:eastAsia="en-AU"/>
              </w:rPr>
              <w:t> </w:t>
            </w:r>
          </w:p>
        </w:tc>
        <w:tc>
          <w:tcPr>
            <w:tcW w:w="964" w:type="dxa"/>
            <w:tcBorders>
              <w:top w:val="single" w:sz="4" w:space="0" w:color="auto"/>
              <w:right w:val="single" w:sz="4" w:space="0" w:color="auto"/>
            </w:tcBorders>
          </w:tcPr>
          <w:p w14:paraId="50C74721"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E91515">
              <w:rPr>
                <w:rFonts w:eastAsia="Times New Roman" w:cs="Arial"/>
                <w:b/>
                <w:color w:val="auto"/>
                <w:sz w:val="20"/>
                <w:szCs w:val="20"/>
                <w:lang w:eastAsia="en-AU"/>
              </w:rPr>
              <w:t> </w:t>
            </w:r>
          </w:p>
        </w:tc>
        <w:tc>
          <w:tcPr>
            <w:tcW w:w="1219" w:type="dxa"/>
            <w:tcBorders>
              <w:top w:val="single" w:sz="4" w:space="0" w:color="auto"/>
              <w:left w:val="single" w:sz="4" w:space="0" w:color="auto"/>
            </w:tcBorders>
          </w:tcPr>
          <w:p w14:paraId="08009C73"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E91515">
              <w:rPr>
                <w:rFonts w:eastAsia="Times New Roman" w:cs="Arial"/>
                <w:b/>
                <w:bCs/>
                <w:color w:val="auto"/>
                <w:sz w:val="20"/>
                <w:szCs w:val="20"/>
                <w:lang w:eastAsia="en-AU"/>
              </w:rPr>
              <w:t> </w:t>
            </w:r>
          </w:p>
        </w:tc>
        <w:tc>
          <w:tcPr>
            <w:tcW w:w="1219" w:type="dxa"/>
            <w:tcBorders>
              <w:top w:val="single" w:sz="4" w:space="0" w:color="auto"/>
              <w:right w:val="single" w:sz="4" w:space="0" w:color="auto"/>
            </w:tcBorders>
          </w:tcPr>
          <w:p w14:paraId="1A7EAAFE"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E91515">
              <w:rPr>
                <w:rFonts w:eastAsia="Times New Roman" w:cs="Arial"/>
                <w:b/>
                <w:bCs/>
                <w:color w:val="auto"/>
                <w:sz w:val="20"/>
                <w:szCs w:val="20"/>
                <w:lang w:eastAsia="en-AU"/>
              </w:rPr>
              <w:t> </w:t>
            </w:r>
          </w:p>
        </w:tc>
      </w:tr>
      <w:tr w:rsidR="00E91515" w:rsidRPr="00E91515" w14:paraId="12F09D05"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2C1D4CF3"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right w:val="nil"/>
            </w:tcBorders>
            <w:vAlign w:val="center"/>
          </w:tcPr>
          <w:p w14:paraId="7B1DD673"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120</w:t>
            </w:r>
          </w:p>
        </w:tc>
        <w:tc>
          <w:tcPr>
            <w:tcW w:w="1021" w:type="dxa"/>
            <w:tcBorders>
              <w:left w:val="nil"/>
              <w:right w:val="single" w:sz="4" w:space="0" w:color="auto"/>
            </w:tcBorders>
            <w:vAlign w:val="center"/>
          </w:tcPr>
          <w:p w14:paraId="42B8E141"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1.02%</w:t>
            </w:r>
          </w:p>
        </w:tc>
        <w:tc>
          <w:tcPr>
            <w:tcW w:w="1389" w:type="dxa"/>
            <w:tcBorders>
              <w:left w:val="single" w:sz="4" w:space="0" w:color="auto"/>
              <w:right w:val="nil"/>
            </w:tcBorders>
            <w:vAlign w:val="center"/>
          </w:tcPr>
          <w:p w14:paraId="49A64E9C"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87</w:t>
            </w:r>
          </w:p>
        </w:tc>
        <w:tc>
          <w:tcPr>
            <w:tcW w:w="1049" w:type="dxa"/>
            <w:tcBorders>
              <w:left w:val="nil"/>
              <w:right w:val="single" w:sz="4" w:space="0" w:color="auto"/>
            </w:tcBorders>
            <w:vAlign w:val="center"/>
          </w:tcPr>
          <w:p w14:paraId="0C2281E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0.74%</w:t>
            </w:r>
          </w:p>
        </w:tc>
        <w:tc>
          <w:tcPr>
            <w:tcW w:w="1361" w:type="dxa"/>
            <w:tcBorders>
              <w:left w:val="single" w:sz="4" w:space="0" w:color="auto"/>
              <w:right w:val="nil"/>
            </w:tcBorders>
            <w:vAlign w:val="center"/>
          </w:tcPr>
          <w:p w14:paraId="22DE3C7B"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73</w:t>
            </w:r>
          </w:p>
        </w:tc>
        <w:tc>
          <w:tcPr>
            <w:tcW w:w="1077" w:type="dxa"/>
            <w:tcBorders>
              <w:left w:val="nil"/>
              <w:right w:val="single" w:sz="4" w:space="0" w:color="auto"/>
            </w:tcBorders>
            <w:vAlign w:val="center"/>
          </w:tcPr>
          <w:p w14:paraId="42C3120D"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0.62%</w:t>
            </w:r>
          </w:p>
        </w:tc>
        <w:tc>
          <w:tcPr>
            <w:tcW w:w="1474" w:type="dxa"/>
            <w:tcBorders>
              <w:left w:val="single" w:sz="4" w:space="0" w:color="auto"/>
              <w:right w:val="nil"/>
            </w:tcBorders>
            <w:vAlign w:val="center"/>
          </w:tcPr>
          <w:p w14:paraId="50984E9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w:t>
            </w:r>
          </w:p>
        </w:tc>
        <w:tc>
          <w:tcPr>
            <w:tcW w:w="964" w:type="dxa"/>
            <w:tcBorders>
              <w:left w:val="nil"/>
              <w:right w:val="single" w:sz="4" w:space="0" w:color="auto"/>
            </w:tcBorders>
            <w:vAlign w:val="center"/>
          </w:tcPr>
          <w:p w14:paraId="7E0CF1B0"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0.12%</w:t>
            </w:r>
          </w:p>
        </w:tc>
        <w:tc>
          <w:tcPr>
            <w:tcW w:w="1219" w:type="dxa"/>
            <w:tcBorders>
              <w:left w:val="single" w:sz="4" w:space="0" w:color="auto"/>
              <w:right w:val="nil"/>
            </w:tcBorders>
            <w:vAlign w:val="center"/>
          </w:tcPr>
          <w:p w14:paraId="51A0FB86"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207</w:t>
            </w:r>
          </w:p>
        </w:tc>
        <w:tc>
          <w:tcPr>
            <w:tcW w:w="1219" w:type="dxa"/>
            <w:tcBorders>
              <w:left w:val="nil"/>
              <w:right w:val="single" w:sz="4" w:space="0" w:color="auto"/>
            </w:tcBorders>
            <w:vAlign w:val="center"/>
          </w:tcPr>
          <w:p w14:paraId="27DE36FF"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1.76%</w:t>
            </w:r>
          </w:p>
        </w:tc>
      </w:tr>
      <w:tr w:rsidR="00E91515" w:rsidRPr="00E91515" w14:paraId="6C78C4B3"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3C48E20"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tcBorders>
            <w:vAlign w:val="center"/>
          </w:tcPr>
          <w:p w14:paraId="168D3C24"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314</w:t>
            </w:r>
          </w:p>
        </w:tc>
        <w:tc>
          <w:tcPr>
            <w:tcW w:w="1021" w:type="dxa"/>
            <w:tcBorders>
              <w:right w:val="single" w:sz="4" w:space="0" w:color="auto"/>
            </w:tcBorders>
            <w:vAlign w:val="center"/>
          </w:tcPr>
          <w:p w14:paraId="4348F4BD"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2.67%</w:t>
            </w:r>
          </w:p>
        </w:tc>
        <w:tc>
          <w:tcPr>
            <w:tcW w:w="1389" w:type="dxa"/>
            <w:tcBorders>
              <w:left w:val="single" w:sz="4" w:space="0" w:color="auto"/>
            </w:tcBorders>
            <w:vAlign w:val="center"/>
          </w:tcPr>
          <w:p w14:paraId="60E1D15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257</w:t>
            </w:r>
          </w:p>
        </w:tc>
        <w:tc>
          <w:tcPr>
            <w:tcW w:w="1049" w:type="dxa"/>
            <w:tcBorders>
              <w:right w:val="single" w:sz="4" w:space="0" w:color="auto"/>
            </w:tcBorders>
            <w:vAlign w:val="center"/>
          </w:tcPr>
          <w:p w14:paraId="52282EC0"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2.19%</w:t>
            </w:r>
          </w:p>
        </w:tc>
        <w:tc>
          <w:tcPr>
            <w:tcW w:w="1361" w:type="dxa"/>
            <w:tcBorders>
              <w:left w:val="single" w:sz="4" w:space="0" w:color="auto"/>
            </w:tcBorders>
            <w:vAlign w:val="center"/>
          </w:tcPr>
          <w:p w14:paraId="6A964E2B"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189</w:t>
            </w:r>
          </w:p>
        </w:tc>
        <w:tc>
          <w:tcPr>
            <w:tcW w:w="1077" w:type="dxa"/>
            <w:tcBorders>
              <w:right w:val="single" w:sz="4" w:space="0" w:color="auto"/>
            </w:tcBorders>
            <w:vAlign w:val="center"/>
          </w:tcPr>
          <w:p w14:paraId="2341C055"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1.61%</w:t>
            </w:r>
          </w:p>
        </w:tc>
        <w:tc>
          <w:tcPr>
            <w:tcW w:w="1474" w:type="dxa"/>
            <w:tcBorders>
              <w:left w:val="single" w:sz="4" w:space="0" w:color="auto"/>
            </w:tcBorders>
            <w:vAlign w:val="center"/>
          </w:tcPr>
          <w:p w14:paraId="2C7C484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68</w:t>
            </w:r>
          </w:p>
        </w:tc>
        <w:tc>
          <w:tcPr>
            <w:tcW w:w="964" w:type="dxa"/>
            <w:tcBorders>
              <w:right w:val="single" w:sz="4" w:space="0" w:color="auto"/>
            </w:tcBorders>
            <w:vAlign w:val="center"/>
          </w:tcPr>
          <w:p w14:paraId="36ECDB7A"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0.58%</w:t>
            </w:r>
          </w:p>
        </w:tc>
        <w:tc>
          <w:tcPr>
            <w:tcW w:w="1219" w:type="dxa"/>
            <w:tcBorders>
              <w:left w:val="single" w:sz="4" w:space="0" w:color="auto"/>
            </w:tcBorders>
            <w:vAlign w:val="center"/>
          </w:tcPr>
          <w:p w14:paraId="37ACA67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571</w:t>
            </w:r>
          </w:p>
        </w:tc>
        <w:tc>
          <w:tcPr>
            <w:tcW w:w="1219" w:type="dxa"/>
            <w:tcBorders>
              <w:right w:val="single" w:sz="4" w:space="0" w:color="auto"/>
            </w:tcBorders>
            <w:vAlign w:val="center"/>
          </w:tcPr>
          <w:p w14:paraId="757A360F"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4.86%</w:t>
            </w:r>
          </w:p>
        </w:tc>
      </w:tr>
      <w:tr w:rsidR="00E91515" w:rsidRPr="00E91515" w14:paraId="353CB8F2"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01EEC8D"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right w:val="nil"/>
            </w:tcBorders>
            <w:vAlign w:val="center"/>
          </w:tcPr>
          <w:p w14:paraId="6D65E238"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1,878</w:t>
            </w:r>
          </w:p>
        </w:tc>
        <w:tc>
          <w:tcPr>
            <w:tcW w:w="1021" w:type="dxa"/>
            <w:tcBorders>
              <w:left w:val="nil"/>
              <w:right w:val="single" w:sz="4" w:space="0" w:color="auto"/>
            </w:tcBorders>
            <w:vAlign w:val="center"/>
          </w:tcPr>
          <w:p w14:paraId="78A46810"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15.98%</w:t>
            </w:r>
          </w:p>
        </w:tc>
        <w:tc>
          <w:tcPr>
            <w:tcW w:w="1389" w:type="dxa"/>
            <w:tcBorders>
              <w:left w:val="single" w:sz="4" w:space="0" w:color="auto"/>
              <w:right w:val="nil"/>
            </w:tcBorders>
            <w:vAlign w:val="center"/>
          </w:tcPr>
          <w:p w14:paraId="5639396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920</w:t>
            </w:r>
          </w:p>
        </w:tc>
        <w:tc>
          <w:tcPr>
            <w:tcW w:w="1049" w:type="dxa"/>
            <w:tcBorders>
              <w:left w:val="nil"/>
              <w:right w:val="single" w:sz="4" w:space="0" w:color="auto"/>
            </w:tcBorders>
            <w:vAlign w:val="center"/>
          </w:tcPr>
          <w:p w14:paraId="6C5C0D8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7.83%</w:t>
            </w:r>
          </w:p>
        </w:tc>
        <w:tc>
          <w:tcPr>
            <w:tcW w:w="1361" w:type="dxa"/>
            <w:tcBorders>
              <w:left w:val="single" w:sz="4" w:space="0" w:color="auto"/>
              <w:right w:val="nil"/>
            </w:tcBorders>
            <w:vAlign w:val="center"/>
          </w:tcPr>
          <w:p w14:paraId="22806145"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741</w:t>
            </w:r>
          </w:p>
        </w:tc>
        <w:tc>
          <w:tcPr>
            <w:tcW w:w="1077" w:type="dxa"/>
            <w:tcBorders>
              <w:left w:val="nil"/>
              <w:right w:val="single" w:sz="4" w:space="0" w:color="auto"/>
            </w:tcBorders>
            <w:vAlign w:val="center"/>
          </w:tcPr>
          <w:p w14:paraId="32204A8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6.31%</w:t>
            </w:r>
          </w:p>
        </w:tc>
        <w:tc>
          <w:tcPr>
            <w:tcW w:w="1474" w:type="dxa"/>
            <w:tcBorders>
              <w:left w:val="single" w:sz="4" w:space="0" w:color="auto"/>
              <w:right w:val="nil"/>
            </w:tcBorders>
            <w:vAlign w:val="center"/>
          </w:tcPr>
          <w:p w14:paraId="1BD86BFF"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179</w:t>
            </w:r>
          </w:p>
        </w:tc>
        <w:tc>
          <w:tcPr>
            <w:tcW w:w="964" w:type="dxa"/>
            <w:tcBorders>
              <w:left w:val="nil"/>
              <w:right w:val="single" w:sz="4" w:space="0" w:color="auto"/>
            </w:tcBorders>
            <w:vAlign w:val="center"/>
          </w:tcPr>
          <w:p w14:paraId="58B3E3A3"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1.52%</w:t>
            </w:r>
          </w:p>
        </w:tc>
        <w:tc>
          <w:tcPr>
            <w:tcW w:w="1219" w:type="dxa"/>
            <w:tcBorders>
              <w:left w:val="single" w:sz="4" w:space="0" w:color="auto"/>
              <w:right w:val="nil"/>
            </w:tcBorders>
            <w:vAlign w:val="center"/>
          </w:tcPr>
          <w:p w14:paraId="0830C16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2,798</w:t>
            </w:r>
          </w:p>
        </w:tc>
        <w:tc>
          <w:tcPr>
            <w:tcW w:w="1219" w:type="dxa"/>
            <w:tcBorders>
              <w:left w:val="nil"/>
              <w:right w:val="single" w:sz="4" w:space="0" w:color="auto"/>
            </w:tcBorders>
            <w:vAlign w:val="center"/>
          </w:tcPr>
          <w:p w14:paraId="51794AF0"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23.81%</w:t>
            </w:r>
          </w:p>
        </w:tc>
      </w:tr>
      <w:tr w:rsidR="00E91515" w:rsidRPr="00E91515" w14:paraId="57F2577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58FFAFF" w14:textId="77777777" w:rsidR="00E91515"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vAlign w:val="center"/>
          </w:tcPr>
          <w:p w14:paraId="2F9CF5BC"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597</w:t>
            </w:r>
          </w:p>
        </w:tc>
        <w:tc>
          <w:tcPr>
            <w:tcW w:w="1021" w:type="dxa"/>
            <w:tcBorders>
              <w:right w:val="single" w:sz="4" w:space="0" w:color="auto"/>
            </w:tcBorders>
            <w:vAlign w:val="center"/>
          </w:tcPr>
          <w:p w14:paraId="338BF2C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5.08%</w:t>
            </w:r>
          </w:p>
        </w:tc>
        <w:tc>
          <w:tcPr>
            <w:tcW w:w="1389" w:type="dxa"/>
            <w:tcBorders>
              <w:left w:val="single" w:sz="4" w:space="0" w:color="auto"/>
            </w:tcBorders>
            <w:vAlign w:val="center"/>
          </w:tcPr>
          <w:p w14:paraId="1AECBE91"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242</w:t>
            </w:r>
          </w:p>
        </w:tc>
        <w:tc>
          <w:tcPr>
            <w:tcW w:w="1049" w:type="dxa"/>
            <w:tcBorders>
              <w:right w:val="single" w:sz="4" w:space="0" w:color="auto"/>
            </w:tcBorders>
            <w:vAlign w:val="center"/>
          </w:tcPr>
          <w:p w14:paraId="07577C19"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2.06%</w:t>
            </w:r>
          </w:p>
        </w:tc>
        <w:tc>
          <w:tcPr>
            <w:tcW w:w="1361" w:type="dxa"/>
            <w:tcBorders>
              <w:left w:val="single" w:sz="4" w:space="0" w:color="auto"/>
            </w:tcBorders>
            <w:vAlign w:val="center"/>
          </w:tcPr>
          <w:p w14:paraId="4240802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154</w:t>
            </w:r>
          </w:p>
        </w:tc>
        <w:tc>
          <w:tcPr>
            <w:tcW w:w="1077" w:type="dxa"/>
            <w:tcBorders>
              <w:right w:val="single" w:sz="4" w:space="0" w:color="auto"/>
            </w:tcBorders>
            <w:vAlign w:val="center"/>
          </w:tcPr>
          <w:p w14:paraId="3F8062E8"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1.31%</w:t>
            </w:r>
          </w:p>
        </w:tc>
        <w:tc>
          <w:tcPr>
            <w:tcW w:w="1474" w:type="dxa"/>
            <w:tcBorders>
              <w:left w:val="single" w:sz="4" w:space="0" w:color="auto"/>
            </w:tcBorders>
            <w:vAlign w:val="center"/>
          </w:tcPr>
          <w:p w14:paraId="3B5F2DDB"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88</w:t>
            </w:r>
          </w:p>
        </w:tc>
        <w:tc>
          <w:tcPr>
            <w:tcW w:w="964" w:type="dxa"/>
            <w:tcBorders>
              <w:right w:val="single" w:sz="4" w:space="0" w:color="auto"/>
            </w:tcBorders>
            <w:vAlign w:val="center"/>
          </w:tcPr>
          <w:p w14:paraId="4D6F00A7"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0.75%</w:t>
            </w:r>
          </w:p>
        </w:tc>
        <w:tc>
          <w:tcPr>
            <w:tcW w:w="1219" w:type="dxa"/>
            <w:tcBorders>
              <w:left w:val="single" w:sz="4" w:space="0" w:color="auto"/>
            </w:tcBorders>
            <w:vAlign w:val="center"/>
          </w:tcPr>
          <w:p w14:paraId="3678D53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839</w:t>
            </w:r>
          </w:p>
        </w:tc>
        <w:tc>
          <w:tcPr>
            <w:tcW w:w="1219" w:type="dxa"/>
            <w:tcBorders>
              <w:right w:val="single" w:sz="4" w:space="0" w:color="auto"/>
            </w:tcBorders>
            <w:vAlign w:val="center"/>
          </w:tcPr>
          <w:p w14:paraId="5497A06D"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7.14%</w:t>
            </w:r>
          </w:p>
        </w:tc>
      </w:tr>
      <w:tr w:rsidR="00E91515" w:rsidRPr="00E91515" w14:paraId="38B06C75"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711DF86"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right w:val="nil"/>
            </w:tcBorders>
            <w:vAlign w:val="center"/>
          </w:tcPr>
          <w:p w14:paraId="53B8DE1D"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42</w:t>
            </w:r>
          </w:p>
        </w:tc>
        <w:tc>
          <w:tcPr>
            <w:tcW w:w="1021" w:type="dxa"/>
            <w:tcBorders>
              <w:left w:val="nil"/>
              <w:right w:val="single" w:sz="4" w:space="0" w:color="auto"/>
            </w:tcBorders>
            <w:vAlign w:val="center"/>
          </w:tcPr>
          <w:p w14:paraId="762DCE7B"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0.36%</w:t>
            </w:r>
          </w:p>
        </w:tc>
        <w:tc>
          <w:tcPr>
            <w:tcW w:w="1389" w:type="dxa"/>
            <w:tcBorders>
              <w:left w:val="single" w:sz="4" w:space="0" w:color="auto"/>
              <w:right w:val="nil"/>
            </w:tcBorders>
            <w:vAlign w:val="center"/>
          </w:tcPr>
          <w:p w14:paraId="56573D9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33</w:t>
            </w:r>
          </w:p>
        </w:tc>
        <w:tc>
          <w:tcPr>
            <w:tcW w:w="1049" w:type="dxa"/>
            <w:tcBorders>
              <w:left w:val="nil"/>
              <w:right w:val="single" w:sz="4" w:space="0" w:color="auto"/>
            </w:tcBorders>
            <w:vAlign w:val="center"/>
          </w:tcPr>
          <w:p w14:paraId="6BE3B6D4"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0.28%</w:t>
            </w:r>
          </w:p>
        </w:tc>
        <w:tc>
          <w:tcPr>
            <w:tcW w:w="1361" w:type="dxa"/>
            <w:tcBorders>
              <w:left w:val="single" w:sz="4" w:space="0" w:color="auto"/>
              <w:right w:val="nil"/>
            </w:tcBorders>
            <w:vAlign w:val="center"/>
          </w:tcPr>
          <w:p w14:paraId="19E9DA74"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31</w:t>
            </w:r>
          </w:p>
        </w:tc>
        <w:tc>
          <w:tcPr>
            <w:tcW w:w="1077" w:type="dxa"/>
            <w:tcBorders>
              <w:left w:val="nil"/>
              <w:right w:val="single" w:sz="4" w:space="0" w:color="auto"/>
            </w:tcBorders>
            <w:vAlign w:val="center"/>
          </w:tcPr>
          <w:p w14:paraId="3B6E5C4C"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0.26%</w:t>
            </w:r>
          </w:p>
        </w:tc>
        <w:tc>
          <w:tcPr>
            <w:tcW w:w="1474" w:type="dxa"/>
            <w:tcBorders>
              <w:left w:val="single" w:sz="4" w:space="0" w:color="auto"/>
              <w:right w:val="nil"/>
            </w:tcBorders>
            <w:vAlign w:val="center"/>
          </w:tcPr>
          <w:p w14:paraId="13D7A661"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w:t>
            </w:r>
          </w:p>
        </w:tc>
        <w:tc>
          <w:tcPr>
            <w:tcW w:w="964" w:type="dxa"/>
            <w:tcBorders>
              <w:left w:val="nil"/>
              <w:right w:val="single" w:sz="4" w:space="0" w:color="auto"/>
            </w:tcBorders>
            <w:vAlign w:val="center"/>
          </w:tcPr>
          <w:p w14:paraId="531697C0"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0.02%</w:t>
            </w:r>
          </w:p>
        </w:tc>
        <w:tc>
          <w:tcPr>
            <w:tcW w:w="1219" w:type="dxa"/>
            <w:tcBorders>
              <w:left w:val="single" w:sz="4" w:space="0" w:color="auto"/>
              <w:right w:val="nil"/>
            </w:tcBorders>
            <w:vAlign w:val="center"/>
          </w:tcPr>
          <w:p w14:paraId="24C889A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75</w:t>
            </w:r>
          </w:p>
        </w:tc>
        <w:tc>
          <w:tcPr>
            <w:tcW w:w="1219" w:type="dxa"/>
            <w:tcBorders>
              <w:left w:val="nil"/>
              <w:right w:val="single" w:sz="4" w:space="0" w:color="auto"/>
            </w:tcBorders>
            <w:vAlign w:val="center"/>
          </w:tcPr>
          <w:p w14:paraId="3C558A89"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0.64%</w:t>
            </w:r>
          </w:p>
        </w:tc>
      </w:tr>
      <w:tr w:rsidR="004A1081" w:rsidRPr="00E91515" w14:paraId="1AD4F8DE"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33D914E"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tcBorders>
            <w:vAlign w:val="center"/>
          </w:tcPr>
          <w:p w14:paraId="4BFC3E2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2,951</w:t>
            </w:r>
          </w:p>
        </w:tc>
        <w:tc>
          <w:tcPr>
            <w:tcW w:w="1021" w:type="dxa"/>
            <w:tcBorders>
              <w:right w:val="single" w:sz="4" w:space="0" w:color="auto"/>
            </w:tcBorders>
            <w:vAlign w:val="center"/>
          </w:tcPr>
          <w:p w14:paraId="26E8DEF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25.12%</w:t>
            </w:r>
          </w:p>
        </w:tc>
        <w:tc>
          <w:tcPr>
            <w:tcW w:w="1389" w:type="dxa"/>
            <w:tcBorders>
              <w:left w:val="single" w:sz="4" w:space="0" w:color="auto"/>
            </w:tcBorders>
            <w:vAlign w:val="center"/>
          </w:tcPr>
          <w:p w14:paraId="4EBF900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1,539</w:t>
            </w:r>
          </w:p>
        </w:tc>
        <w:tc>
          <w:tcPr>
            <w:tcW w:w="1049" w:type="dxa"/>
            <w:tcBorders>
              <w:right w:val="single" w:sz="4" w:space="0" w:color="auto"/>
            </w:tcBorders>
            <w:vAlign w:val="center"/>
          </w:tcPr>
          <w:p w14:paraId="26059A5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13.10%</w:t>
            </w:r>
          </w:p>
        </w:tc>
        <w:tc>
          <w:tcPr>
            <w:tcW w:w="1361" w:type="dxa"/>
            <w:tcBorders>
              <w:left w:val="single" w:sz="4" w:space="0" w:color="auto"/>
            </w:tcBorders>
            <w:vAlign w:val="center"/>
          </w:tcPr>
          <w:p w14:paraId="3FFEB2C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1,188</w:t>
            </w:r>
          </w:p>
        </w:tc>
        <w:tc>
          <w:tcPr>
            <w:tcW w:w="1077" w:type="dxa"/>
            <w:tcBorders>
              <w:right w:val="single" w:sz="4" w:space="0" w:color="auto"/>
            </w:tcBorders>
            <w:vAlign w:val="center"/>
          </w:tcPr>
          <w:p w14:paraId="291C63F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10.11%</w:t>
            </w:r>
          </w:p>
        </w:tc>
        <w:tc>
          <w:tcPr>
            <w:tcW w:w="1474" w:type="dxa"/>
            <w:tcBorders>
              <w:left w:val="single" w:sz="4" w:space="0" w:color="auto"/>
            </w:tcBorders>
            <w:vAlign w:val="center"/>
          </w:tcPr>
          <w:p w14:paraId="4133CA0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351</w:t>
            </w:r>
          </w:p>
        </w:tc>
        <w:tc>
          <w:tcPr>
            <w:tcW w:w="964" w:type="dxa"/>
            <w:tcBorders>
              <w:right w:val="single" w:sz="4" w:space="0" w:color="auto"/>
            </w:tcBorders>
            <w:vAlign w:val="center"/>
          </w:tcPr>
          <w:p w14:paraId="7AD968F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2.99%</w:t>
            </w:r>
          </w:p>
        </w:tc>
        <w:tc>
          <w:tcPr>
            <w:tcW w:w="1219" w:type="dxa"/>
            <w:tcBorders>
              <w:left w:val="single" w:sz="4" w:space="0" w:color="auto"/>
            </w:tcBorders>
            <w:vAlign w:val="center"/>
          </w:tcPr>
          <w:p w14:paraId="019BEAE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4,490</w:t>
            </w:r>
          </w:p>
        </w:tc>
        <w:tc>
          <w:tcPr>
            <w:tcW w:w="1219" w:type="dxa"/>
            <w:tcBorders>
              <w:right w:val="single" w:sz="4" w:space="0" w:color="auto"/>
            </w:tcBorders>
            <w:vAlign w:val="center"/>
          </w:tcPr>
          <w:p w14:paraId="559045D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38.22%</w:t>
            </w:r>
          </w:p>
        </w:tc>
      </w:tr>
      <w:tr w:rsidR="004A1081" w:rsidRPr="00E91515" w14:paraId="160A5398"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775C29D2"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right w:val="nil"/>
            </w:tcBorders>
            <w:vAlign w:val="center"/>
          </w:tcPr>
          <w:p w14:paraId="25BD60F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5,099</w:t>
            </w:r>
          </w:p>
        </w:tc>
        <w:tc>
          <w:tcPr>
            <w:tcW w:w="1021" w:type="dxa"/>
            <w:tcBorders>
              <w:left w:val="nil"/>
              <w:bottom w:val="nil"/>
              <w:right w:val="single" w:sz="4" w:space="0" w:color="auto"/>
            </w:tcBorders>
            <w:vAlign w:val="center"/>
          </w:tcPr>
          <w:p w14:paraId="6D3CB69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43.40%</w:t>
            </w:r>
          </w:p>
        </w:tc>
        <w:tc>
          <w:tcPr>
            <w:tcW w:w="1389" w:type="dxa"/>
            <w:tcBorders>
              <w:left w:val="single" w:sz="4" w:space="0" w:color="auto"/>
              <w:bottom w:val="nil"/>
              <w:right w:val="nil"/>
            </w:tcBorders>
            <w:vAlign w:val="center"/>
          </w:tcPr>
          <w:p w14:paraId="4D34E1A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2,160</w:t>
            </w:r>
          </w:p>
        </w:tc>
        <w:tc>
          <w:tcPr>
            <w:tcW w:w="1049" w:type="dxa"/>
            <w:tcBorders>
              <w:left w:val="nil"/>
              <w:bottom w:val="nil"/>
              <w:right w:val="single" w:sz="4" w:space="0" w:color="auto"/>
            </w:tcBorders>
            <w:vAlign w:val="center"/>
          </w:tcPr>
          <w:p w14:paraId="00C1524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18.38%</w:t>
            </w:r>
          </w:p>
        </w:tc>
        <w:tc>
          <w:tcPr>
            <w:tcW w:w="1361" w:type="dxa"/>
            <w:tcBorders>
              <w:left w:val="single" w:sz="4" w:space="0" w:color="auto"/>
              <w:bottom w:val="nil"/>
              <w:right w:val="nil"/>
            </w:tcBorders>
            <w:vAlign w:val="center"/>
          </w:tcPr>
          <w:p w14:paraId="137E57B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1,369</w:t>
            </w:r>
          </w:p>
        </w:tc>
        <w:tc>
          <w:tcPr>
            <w:tcW w:w="1077" w:type="dxa"/>
            <w:tcBorders>
              <w:left w:val="nil"/>
              <w:bottom w:val="nil"/>
              <w:right w:val="single" w:sz="4" w:space="0" w:color="auto"/>
            </w:tcBorders>
            <w:vAlign w:val="center"/>
          </w:tcPr>
          <w:p w14:paraId="70F8E7B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11.65%</w:t>
            </w:r>
          </w:p>
        </w:tc>
        <w:tc>
          <w:tcPr>
            <w:tcW w:w="1474" w:type="dxa"/>
            <w:tcBorders>
              <w:left w:val="single" w:sz="4" w:space="0" w:color="auto"/>
              <w:bottom w:val="nil"/>
              <w:right w:val="nil"/>
            </w:tcBorders>
            <w:vAlign w:val="center"/>
          </w:tcPr>
          <w:p w14:paraId="17DE5F1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791</w:t>
            </w:r>
          </w:p>
        </w:tc>
        <w:tc>
          <w:tcPr>
            <w:tcW w:w="964" w:type="dxa"/>
            <w:tcBorders>
              <w:left w:val="nil"/>
              <w:bottom w:val="nil"/>
              <w:right w:val="single" w:sz="4" w:space="0" w:color="auto"/>
            </w:tcBorders>
            <w:vAlign w:val="center"/>
          </w:tcPr>
          <w:p w14:paraId="48F1C98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6.73%</w:t>
            </w:r>
          </w:p>
        </w:tc>
        <w:tc>
          <w:tcPr>
            <w:tcW w:w="1219" w:type="dxa"/>
            <w:tcBorders>
              <w:left w:val="single" w:sz="4" w:space="0" w:color="auto"/>
              <w:bottom w:val="nil"/>
              <w:right w:val="nil"/>
            </w:tcBorders>
            <w:vAlign w:val="center"/>
          </w:tcPr>
          <w:p w14:paraId="7ECDC67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7,259</w:t>
            </w:r>
          </w:p>
        </w:tc>
        <w:tc>
          <w:tcPr>
            <w:tcW w:w="1219" w:type="dxa"/>
            <w:tcBorders>
              <w:left w:val="nil"/>
              <w:bottom w:val="nil"/>
              <w:right w:val="single" w:sz="4" w:space="0" w:color="auto"/>
            </w:tcBorders>
            <w:vAlign w:val="center"/>
          </w:tcPr>
          <w:p w14:paraId="3742BAF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61.78%</w:t>
            </w:r>
          </w:p>
        </w:tc>
      </w:tr>
      <w:tr w:rsidR="002418F8" w:rsidRPr="00E91515" w14:paraId="6A78910A"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2535AFDC"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vAlign w:val="center"/>
          </w:tcPr>
          <w:p w14:paraId="17A842E5"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8,050</w:t>
            </w:r>
          </w:p>
        </w:tc>
        <w:tc>
          <w:tcPr>
            <w:tcW w:w="1021" w:type="dxa"/>
            <w:tcBorders>
              <w:top w:val="nil"/>
              <w:bottom w:val="single" w:sz="4" w:space="0" w:color="auto"/>
              <w:right w:val="single" w:sz="4" w:space="0" w:color="auto"/>
            </w:tcBorders>
            <w:vAlign w:val="center"/>
          </w:tcPr>
          <w:p w14:paraId="2D1B18F8"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68.52%</w:t>
            </w:r>
          </w:p>
        </w:tc>
        <w:tc>
          <w:tcPr>
            <w:tcW w:w="1389" w:type="dxa"/>
            <w:tcBorders>
              <w:top w:val="nil"/>
              <w:left w:val="single" w:sz="4" w:space="0" w:color="auto"/>
              <w:bottom w:val="single" w:sz="4" w:space="0" w:color="auto"/>
            </w:tcBorders>
            <w:vAlign w:val="center"/>
          </w:tcPr>
          <w:p w14:paraId="0399AA67"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3,699</w:t>
            </w:r>
          </w:p>
        </w:tc>
        <w:tc>
          <w:tcPr>
            <w:tcW w:w="1049" w:type="dxa"/>
            <w:tcBorders>
              <w:top w:val="nil"/>
              <w:bottom w:val="single" w:sz="4" w:space="0" w:color="auto"/>
              <w:right w:val="single" w:sz="4" w:space="0" w:color="auto"/>
            </w:tcBorders>
            <w:vAlign w:val="center"/>
          </w:tcPr>
          <w:p w14:paraId="392AEFC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31.48%</w:t>
            </w:r>
          </w:p>
        </w:tc>
        <w:tc>
          <w:tcPr>
            <w:tcW w:w="1361" w:type="dxa"/>
            <w:tcBorders>
              <w:top w:val="nil"/>
              <w:left w:val="single" w:sz="4" w:space="0" w:color="auto"/>
              <w:bottom w:val="single" w:sz="4" w:space="0" w:color="auto"/>
            </w:tcBorders>
            <w:vAlign w:val="center"/>
          </w:tcPr>
          <w:p w14:paraId="3F3CC41D"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2,557</w:t>
            </w:r>
          </w:p>
        </w:tc>
        <w:tc>
          <w:tcPr>
            <w:tcW w:w="1077" w:type="dxa"/>
            <w:tcBorders>
              <w:top w:val="nil"/>
              <w:bottom w:val="single" w:sz="4" w:space="0" w:color="auto"/>
              <w:right w:val="single" w:sz="4" w:space="0" w:color="auto"/>
            </w:tcBorders>
            <w:vAlign w:val="center"/>
          </w:tcPr>
          <w:p w14:paraId="193C4FD3"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21.76%</w:t>
            </w:r>
          </w:p>
        </w:tc>
        <w:tc>
          <w:tcPr>
            <w:tcW w:w="1474" w:type="dxa"/>
            <w:tcBorders>
              <w:top w:val="nil"/>
              <w:left w:val="single" w:sz="4" w:space="0" w:color="auto"/>
              <w:bottom w:val="single" w:sz="4" w:space="0" w:color="auto"/>
            </w:tcBorders>
            <w:vAlign w:val="center"/>
          </w:tcPr>
          <w:p w14:paraId="39CF097A"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1,142</w:t>
            </w:r>
          </w:p>
        </w:tc>
        <w:tc>
          <w:tcPr>
            <w:tcW w:w="964" w:type="dxa"/>
            <w:tcBorders>
              <w:top w:val="nil"/>
              <w:bottom w:val="single" w:sz="4" w:space="0" w:color="auto"/>
              <w:right w:val="single" w:sz="4" w:space="0" w:color="auto"/>
            </w:tcBorders>
            <w:vAlign w:val="center"/>
          </w:tcPr>
          <w:p w14:paraId="56AB4D28"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9.72%</w:t>
            </w:r>
          </w:p>
        </w:tc>
        <w:tc>
          <w:tcPr>
            <w:tcW w:w="1219" w:type="dxa"/>
            <w:tcBorders>
              <w:top w:val="nil"/>
              <w:left w:val="single" w:sz="4" w:space="0" w:color="auto"/>
              <w:bottom w:val="single" w:sz="4" w:space="0" w:color="auto"/>
            </w:tcBorders>
            <w:vAlign w:val="center"/>
          </w:tcPr>
          <w:p w14:paraId="04BBEE7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11,749</w:t>
            </w:r>
          </w:p>
        </w:tc>
        <w:tc>
          <w:tcPr>
            <w:tcW w:w="1219" w:type="dxa"/>
            <w:tcBorders>
              <w:top w:val="nil"/>
              <w:bottom w:val="single" w:sz="4" w:space="0" w:color="auto"/>
              <w:right w:val="single" w:sz="4" w:space="0" w:color="auto"/>
            </w:tcBorders>
            <w:vAlign w:val="center"/>
          </w:tcPr>
          <w:p w14:paraId="38B7490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5.94%</w:t>
            </w:r>
          </w:p>
        </w:tc>
      </w:tr>
      <w:tr w:rsidR="00E91515" w:rsidRPr="00E91515" w14:paraId="603885D6"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2E611921"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2004</w:t>
            </w:r>
          </w:p>
        </w:tc>
        <w:tc>
          <w:tcPr>
            <w:tcW w:w="1417" w:type="dxa"/>
            <w:tcBorders>
              <w:top w:val="single" w:sz="4" w:space="0" w:color="auto"/>
              <w:left w:val="single" w:sz="4" w:space="0" w:color="auto"/>
              <w:right w:val="nil"/>
            </w:tcBorders>
          </w:tcPr>
          <w:p w14:paraId="5E0DE16D"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021" w:type="dxa"/>
            <w:tcBorders>
              <w:top w:val="single" w:sz="4" w:space="0" w:color="auto"/>
              <w:left w:val="nil"/>
              <w:right w:val="single" w:sz="4" w:space="0" w:color="auto"/>
            </w:tcBorders>
            <w:vAlign w:val="center"/>
          </w:tcPr>
          <w:p w14:paraId="558DF5A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389" w:type="dxa"/>
            <w:tcBorders>
              <w:top w:val="single" w:sz="4" w:space="0" w:color="auto"/>
              <w:left w:val="single" w:sz="4" w:space="0" w:color="auto"/>
              <w:right w:val="nil"/>
            </w:tcBorders>
          </w:tcPr>
          <w:p w14:paraId="4215E674"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049" w:type="dxa"/>
            <w:tcBorders>
              <w:top w:val="single" w:sz="4" w:space="0" w:color="auto"/>
              <w:left w:val="nil"/>
              <w:right w:val="single" w:sz="4" w:space="0" w:color="auto"/>
            </w:tcBorders>
            <w:vAlign w:val="center"/>
          </w:tcPr>
          <w:p w14:paraId="5D36C15D"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 </w:t>
            </w:r>
          </w:p>
        </w:tc>
        <w:tc>
          <w:tcPr>
            <w:tcW w:w="1361" w:type="dxa"/>
            <w:tcBorders>
              <w:top w:val="single" w:sz="4" w:space="0" w:color="auto"/>
              <w:left w:val="single" w:sz="4" w:space="0" w:color="auto"/>
              <w:right w:val="nil"/>
            </w:tcBorders>
          </w:tcPr>
          <w:p w14:paraId="18A4E2BB"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077" w:type="dxa"/>
            <w:tcBorders>
              <w:top w:val="single" w:sz="4" w:space="0" w:color="auto"/>
              <w:left w:val="nil"/>
              <w:right w:val="single" w:sz="4" w:space="0" w:color="auto"/>
            </w:tcBorders>
            <w:vAlign w:val="center"/>
          </w:tcPr>
          <w:p w14:paraId="089AE08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 </w:t>
            </w:r>
          </w:p>
        </w:tc>
        <w:tc>
          <w:tcPr>
            <w:tcW w:w="1474" w:type="dxa"/>
            <w:tcBorders>
              <w:top w:val="single" w:sz="4" w:space="0" w:color="auto"/>
              <w:left w:val="single" w:sz="4" w:space="0" w:color="auto"/>
              <w:right w:val="nil"/>
            </w:tcBorders>
          </w:tcPr>
          <w:p w14:paraId="38A43E2F"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 </w:t>
            </w:r>
          </w:p>
        </w:tc>
        <w:tc>
          <w:tcPr>
            <w:tcW w:w="964" w:type="dxa"/>
            <w:tcBorders>
              <w:top w:val="single" w:sz="4" w:space="0" w:color="auto"/>
              <w:left w:val="nil"/>
              <w:right w:val="single" w:sz="4" w:space="0" w:color="auto"/>
            </w:tcBorders>
          </w:tcPr>
          <w:p w14:paraId="0FF2722F"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219" w:type="dxa"/>
            <w:tcBorders>
              <w:top w:val="single" w:sz="4" w:space="0" w:color="auto"/>
              <w:left w:val="single" w:sz="4" w:space="0" w:color="auto"/>
              <w:right w:val="nil"/>
            </w:tcBorders>
            <w:vAlign w:val="center"/>
          </w:tcPr>
          <w:p w14:paraId="63133822"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19" w:type="dxa"/>
            <w:tcBorders>
              <w:top w:val="single" w:sz="4" w:space="0" w:color="auto"/>
              <w:left w:val="nil"/>
              <w:right w:val="single" w:sz="4" w:space="0" w:color="auto"/>
            </w:tcBorders>
            <w:vAlign w:val="center"/>
          </w:tcPr>
          <w:p w14:paraId="735D5FF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 </w:t>
            </w:r>
          </w:p>
        </w:tc>
      </w:tr>
      <w:tr w:rsidR="004A1081" w:rsidRPr="00E91515" w14:paraId="3224A08C"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373589A"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tcBorders>
            <w:vAlign w:val="center"/>
          </w:tcPr>
          <w:p w14:paraId="2B1B016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152</w:t>
            </w:r>
          </w:p>
        </w:tc>
        <w:tc>
          <w:tcPr>
            <w:tcW w:w="1021" w:type="dxa"/>
            <w:tcBorders>
              <w:right w:val="single" w:sz="4" w:space="0" w:color="auto"/>
            </w:tcBorders>
            <w:vAlign w:val="center"/>
          </w:tcPr>
          <w:p w14:paraId="4612D1F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1.31%</w:t>
            </w:r>
          </w:p>
        </w:tc>
        <w:tc>
          <w:tcPr>
            <w:tcW w:w="1389" w:type="dxa"/>
            <w:tcBorders>
              <w:left w:val="single" w:sz="4" w:space="0" w:color="auto"/>
            </w:tcBorders>
            <w:vAlign w:val="center"/>
          </w:tcPr>
          <w:p w14:paraId="5B0DFE5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66</w:t>
            </w:r>
          </w:p>
        </w:tc>
        <w:tc>
          <w:tcPr>
            <w:tcW w:w="1049" w:type="dxa"/>
            <w:tcBorders>
              <w:right w:val="single" w:sz="4" w:space="0" w:color="auto"/>
            </w:tcBorders>
            <w:vAlign w:val="center"/>
          </w:tcPr>
          <w:p w14:paraId="42E35B5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0.57%</w:t>
            </w:r>
          </w:p>
        </w:tc>
        <w:tc>
          <w:tcPr>
            <w:tcW w:w="1361" w:type="dxa"/>
            <w:tcBorders>
              <w:left w:val="single" w:sz="4" w:space="0" w:color="auto"/>
            </w:tcBorders>
            <w:vAlign w:val="center"/>
          </w:tcPr>
          <w:p w14:paraId="273435F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44</w:t>
            </w:r>
          </w:p>
        </w:tc>
        <w:tc>
          <w:tcPr>
            <w:tcW w:w="1077" w:type="dxa"/>
            <w:tcBorders>
              <w:right w:val="single" w:sz="4" w:space="0" w:color="auto"/>
            </w:tcBorders>
            <w:vAlign w:val="center"/>
          </w:tcPr>
          <w:p w14:paraId="1906BC9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0.38%</w:t>
            </w:r>
          </w:p>
        </w:tc>
        <w:tc>
          <w:tcPr>
            <w:tcW w:w="1474" w:type="dxa"/>
            <w:tcBorders>
              <w:left w:val="single" w:sz="4" w:space="0" w:color="auto"/>
            </w:tcBorders>
            <w:vAlign w:val="center"/>
          </w:tcPr>
          <w:p w14:paraId="327CC1D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22</w:t>
            </w:r>
          </w:p>
        </w:tc>
        <w:tc>
          <w:tcPr>
            <w:tcW w:w="964" w:type="dxa"/>
            <w:tcBorders>
              <w:right w:val="single" w:sz="4" w:space="0" w:color="auto"/>
            </w:tcBorders>
            <w:vAlign w:val="center"/>
          </w:tcPr>
          <w:p w14:paraId="77264E8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0.19%</w:t>
            </w:r>
          </w:p>
        </w:tc>
        <w:tc>
          <w:tcPr>
            <w:tcW w:w="1219" w:type="dxa"/>
            <w:tcBorders>
              <w:left w:val="single" w:sz="4" w:space="0" w:color="auto"/>
            </w:tcBorders>
            <w:vAlign w:val="center"/>
          </w:tcPr>
          <w:p w14:paraId="139F1B3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218</w:t>
            </w:r>
          </w:p>
        </w:tc>
        <w:tc>
          <w:tcPr>
            <w:tcW w:w="1219" w:type="dxa"/>
            <w:tcBorders>
              <w:right w:val="single" w:sz="4" w:space="0" w:color="auto"/>
            </w:tcBorders>
            <w:vAlign w:val="center"/>
          </w:tcPr>
          <w:p w14:paraId="59E49B3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1.88%</w:t>
            </w:r>
          </w:p>
        </w:tc>
      </w:tr>
      <w:tr w:rsidR="004A1081" w:rsidRPr="00E91515" w14:paraId="6CC1D4EC"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22FDA79"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right w:val="nil"/>
            </w:tcBorders>
            <w:vAlign w:val="center"/>
          </w:tcPr>
          <w:p w14:paraId="40DD35F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393</w:t>
            </w:r>
          </w:p>
        </w:tc>
        <w:tc>
          <w:tcPr>
            <w:tcW w:w="1021" w:type="dxa"/>
            <w:tcBorders>
              <w:left w:val="nil"/>
              <w:right w:val="single" w:sz="4" w:space="0" w:color="auto"/>
            </w:tcBorders>
            <w:vAlign w:val="center"/>
          </w:tcPr>
          <w:p w14:paraId="016C0EB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3.38%</w:t>
            </w:r>
          </w:p>
        </w:tc>
        <w:tc>
          <w:tcPr>
            <w:tcW w:w="1389" w:type="dxa"/>
            <w:tcBorders>
              <w:left w:val="single" w:sz="4" w:space="0" w:color="auto"/>
              <w:right w:val="nil"/>
            </w:tcBorders>
            <w:vAlign w:val="center"/>
          </w:tcPr>
          <w:p w14:paraId="297C342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248</w:t>
            </w:r>
          </w:p>
        </w:tc>
        <w:tc>
          <w:tcPr>
            <w:tcW w:w="1049" w:type="dxa"/>
            <w:tcBorders>
              <w:left w:val="nil"/>
              <w:right w:val="single" w:sz="4" w:space="0" w:color="auto"/>
            </w:tcBorders>
            <w:vAlign w:val="center"/>
          </w:tcPr>
          <w:p w14:paraId="1CE8A6B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2.13%</w:t>
            </w:r>
          </w:p>
        </w:tc>
        <w:tc>
          <w:tcPr>
            <w:tcW w:w="1361" w:type="dxa"/>
            <w:tcBorders>
              <w:left w:val="single" w:sz="4" w:space="0" w:color="auto"/>
              <w:right w:val="nil"/>
            </w:tcBorders>
            <w:vAlign w:val="center"/>
          </w:tcPr>
          <w:p w14:paraId="244F84F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193</w:t>
            </w:r>
          </w:p>
        </w:tc>
        <w:tc>
          <w:tcPr>
            <w:tcW w:w="1077" w:type="dxa"/>
            <w:tcBorders>
              <w:left w:val="nil"/>
              <w:right w:val="single" w:sz="4" w:space="0" w:color="auto"/>
            </w:tcBorders>
            <w:vAlign w:val="center"/>
          </w:tcPr>
          <w:p w14:paraId="19ACE3D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1.66%</w:t>
            </w:r>
          </w:p>
        </w:tc>
        <w:tc>
          <w:tcPr>
            <w:tcW w:w="1474" w:type="dxa"/>
            <w:tcBorders>
              <w:left w:val="single" w:sz="4" w:space="0" w:color="auto"/>
              <w:right w:val="nil"/>
            </w:tcBorders>
            <w:vAlign w:val="center"/>
          </w:tcPr>
          <w:p w14:paraId="18AC903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55</w:t>
            </w:r>
          </w:p>
        </w:tc>
        <w:tc>
          <w:tcPr>
            <w:tcW w:w="964" w:type="dxa"/>
            <w:tcBorders>
              <w:left w:val="nil"/>
              <w:right w:val="single" w:sz="4" w:space="0" w:color="auto"/>
            </w:tcBorders>
            <w:vAlign w:val="center"/>
          </w:tcPr>
          <w:p w14:paraId="2F259AE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0.47%</w:t>
            </w:r>
          </w:p>
        </w:tc>
        <w:tc>
          <w:tcPr>
            <w:tcW w:w="1219" w:type="dxa"/>
            <w:tcBorders>
              <w:left w:val="single" w:sz="4" w:space="0" w:color="auto"/>
              <w:right w:val="nil"/>
            </w:tcBorders>
            <w:vAlign w:val="center"/>
          </w:tcPr>
          <w:p w14:paraId="50B3ACD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641</w:t>
            </w:r>
          </w:p>
        </w:tc>
        <w:tc>
          <w:tcPr>
            <w:tcW w:w="1219" w:type="dxa"/>
            <w:tcBorders>
              <w:left w:val="nil"/>
              <w:right w:val="single" w:sz="4" w:space="0" w:color="auto"/>
            </w:tcBorders>
            <w:vAlign w:val="center"/>
          </w:tcPr>
          <w:p w14:paraId="17F9FF3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5.52%</w:t>
            </w:r>
          </w:p>
        </w:tc>
      </w:tr>
      <w:tr w:rsidR="004A1081" w:rsidRPr="00E91515" w14:paraId="458F9B38"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312550C"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tcBorders>
            <w:vAlign w:val="center"/>
          </w:tcPr>
          <w:p w14:paraId="51559C2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1,800</w:t>
            </w:r>
          </w:p>
        </w:tc>
        <w:tc>
          <w:tcPr>
            <w:tcW w:w="1021" w:type="dxa"/>
            <w:tcBorders>
              <w:right w:val="single" w:sz="4" w:space="0" w:color="auto"/>
            </w:tcBorders>
            <w:vAlign w:val="center"/>
          </w:tcPr>
          <w:p w14:paraId="5C555CF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15.49%</w:t>
            </w:r>
          </w:p>
        </w:tc>
        <w:tc>
          <w:tcPr>
            <w:tcW w:w="1389" w:type="dxa"/>
            <w:tcBorders>
              <w:left w:val="single" w:sz="4" w:space="0" w:color="auto"/>
            </w:tcBorders>
            <w:vAlign w:val="center"/>
          </w:tcPr>
          <w:p w14:paraId="51DD2C4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1,058</w:t>
            </w:r>
          </w:p>
        </w:tc>
        <w:tc>
          <w:tcPr>
            <w:tcW w:w="1049" w:type="dxa"/>
            <w:tcBorders>
              <w:right w:val="single" w:sz="4" w:space="0" w:color="auto"/>
            </w:tcBorders>
            <w:vAlign w:val="center"/>
          </w:tcPr>
          <w:p w14:paraId="2CF9705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9.11%</w:t>
            </w:r>
          </w:p>
        </w:tc>
        <w:tc>
          <w:tcPr>
            <w:tcW w:w="1361" w:type="dxa"/>
            <w:tcBorders>
              <w:left w:val="single" w:sz="4" w:space="0" w:color="auto"/>
            </w:tcBorders>
            <w:vAlign w:val="center"/>
          </w:tcPr>
          <w:p w14:paraId="7858C3A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876</w:t>
            </w:r>
          </w:p>
        </w:tc>
        <w:tc>
          <w:tcPr>
            <w:tcW w:w="1077" w:type="dxa"/>
            <w:tcBorders>
              <w:right w:val="single" w:sz="4" w:space="0" w:color="auto"/>
            </w:tcBorders>
            <w:vAlign w:val="center"/>
          </w:tcPr>
          <w:p w14:paraId="0056C10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7.54%</w:t>
            </w:r>
          </w:p>
        </w:tc>
        <w:tc>
          <w:tcPr>
            <w:tcW w:w="1474" w:type="dxa"/>
            <w:tcBorders>
              <w:left w:val="single" w:sz="4" w:space="0" w:color="auto"/>
            </w:tcBorders>
            <w:vAlign w:val="center"/>
          </w:tcPr>
          <w:p w14:paraId="1B37D7A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182</w:t>
            </w:r>
          </w:p>
        </w:tc>
        <w:tc>
          <w:tcPr>
            <w:tcW w:w="964" w:type="dxa"/>
            <w:tcBorders>
              <w:right w:val="single" w:sz="4" w:space="0" w:color="auto"/>
            </w:tcBorders>
            <w:vAlign w:val="center"/>
          </w:tcPr>
          <w:p w14:paraId="4857E3C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1.57%</w:t>
            </w:r>
          </w:p>
        </w:tc>
        <w:tc>
          <w:tcPr>
            <w:tcW w:w="1219" w:type="dxa"/>
            <w:tcBorders>
              <w:left w:val="single" w:sz="4" w:space="0" w:color="auto"/>
            </w:tcBorders>
            <w:vAlign w:val="center"/>
          </w:tcPr>
          <w:p w14:paraId="6ECB0D0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2,858</w:t>
            </w:r>
          </w:p>
        </w:tc>
        <w:tc>
          <w:tcPr>
            <w:tcW w:w="1219" w:type="dxa"/>
            <w:tcBorders>
              <w:right w:val="single" w:sz="4" w:space="0" w:color="auto"/>
            </w:tcBorders>
            <w:vAlign w:val="center"/>
          </w:tcPr>
          <w:p w14:paraId="7EC0CD4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24.60%</w:t>
            </w:r>
          </w:p>
        </w:tc>
      </w:tr>
      <w:tr w:rsidR="004A1081" w:rsidRPr="00E91515" w14:paraId="5BF922E8"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1429461"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right w:val="nil"/>
            </w:tcBorders>
            <w:vAlign w:val="center"/>
          </w:tcPr>
          <w:p w14:paraId="6243095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469</w:t>
            </w:r>
          </w:p>
        </w:tc>
        <w:tc>
          <w:tcPr>
            <w:tcW w:w="1021" w:type="dxa"/>
            <w:tcBorders>
              <w:left w:val="nil"/>
              <w:right w:val="single" w:sz="4" w:space="0" w:color="auto"/>
            </w:tcBorders>
            <w:vAlign w:val="center"/>
          </w:tcPr>
          <w:p w14:paraId="40C9CF4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4.04%</w:t>
            </w:r>
          </w:p>
        </w:tc>
        <w:tc>
          <w:tcPr>
            <w:tcW w:w="1389" w:type="dxa"/>
            <w:tcBorders>
              <w:left w:val="single" w:sz="4" w:space="0" w:color="auto"/>
              <w:right w:val="nil"/>
            </w:tcBorders>
            <w:vAlign w:val="center"/>
          </w:tcPr>
          <w:p w14:paraId="1921C8F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227</w:t>
            </w:r>
          </w:p>
        </w:tc>
        <w:tc>
          <w:tcPr>
            <w:tcW w:w="1049" w:type="dxa"/>
            <w:tcBorders>
              <w:left w:val="nil"/>
              <w:right w:val="single" w:sz="4" w:space="0" w:color="auto"/>
            </w:tcBorders>
            <w:vAlign w:val="center"/>
          </w:tcPr>
          <w:p w14:paraId="40283E7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1.95%</w:t>
            </w:r>
          </w:p>
        </w:tc>
        <w:tc>
          <w:tcPr>
            <w:tcW w:w="1361" w:type="dxa"/>
            <w:tcBorders>
              <w:left w:val="single" w:sz="4" w:space="0" w:color="auto"/>
              <w:right w:val="nil"/>
            </w:tcBorders>
            <w:vAlign w:val="center"/>
          </w:tcPr>
          <w:p w14:paraId="62F2448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134</w:t>
            </w:r>
          </w:p>
        </w:tc>
        <w:tc>
          <w:tcPr>
            <w:tcW w:w="1077" w:type="dxa"/>
            <w:tcBorders>
              <w:left w:val="nil"/>
              <w:right w:val="single" w:sz="4" w:space="0" w:color="auto"/>
            </w:tcBorders>
            <w:vAlign w:val="center"/>
          </w:tcPr>
          <w:p w14:paraId="033C10A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1.15%</w:t>
            </w:r>
          </w:p>
        </w:tc>
        <w:tc>
          <w:tcPr>
            <w:tcW w:w="1474" w:type="dxa"/>
            <w:tcBorders>
              <w:left w:val="single" w:sz="4" w:space="0" w:color="auto"/>
              <w:right w:val="nil"/>
            </w:tcBorders>
            <w:vAlign w:val="center"/>
          </w:tcPr>
          <w:p w14:paraId="32581BE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93</w:t>
            </w:r>
          </w:p>
        </w:tc>
        <w:tc>
          <w:tcPr>
            <w:tcW w:w="964" w:type="dxa"/>
            <w:tcBorders>
              <w:left w:val="nil"/>
              <w:right w:val="single" w:sz="4" w:space="0" w:color="auto"/>
            </w:tcBorders>
            <w:vAlign w:val="center"/>
          </w:tcPr>
          <w:p w14:paraId="7932639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0.80%</w:t>
            </w:r>
          </w:p>
        </w:tc>
        <w:tc>
          <w:tcPr>
            <w:tcW w:w="1219" w:type="dxa"/>
            <w:tcBorders>
              <w:left w:val="single" w:sz="4" w:space="0" w:color="auto"/>
              <w:right w:val="nil"/>
            </w:tcBorders>
            <w:vAlign w:val="center"/>
          </w:tcPr>
          <w:p w14:paraId="1D22F14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696</w:t>
            </w:r>
          </w:p>
        </w:tc>
        <w:tc>
          <w:tcPr>
            <w:tcW w:w="1219" w:type="dxa"/>
            <w:tcBorders>
              <w:left w:val="nil"/>
              <w:right w:val="single" w:sz="4" w:space="0" w:color="auto"/>
            </w:tcBorders>
            <w:vAlign w:val="center"/>
          </w:tcPr>
          <w:p w14:paraId="608EA91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5.99%</w:t>
            </w:r>
          </w:p>
        </w:tc>
      </w:tr>
      <w:tr w:rsidR="004A1081" w:rsidRPr="00E91515" w14:paraId="3D4921B2"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FBCF26C"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tcBorders>
            <w:vAlign w:val="center"/>
          </w:tcPr>
          <w:p w14:paraId="0EAD18C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49</w:t>
            </w:r>
          </w:p>
        </w:tc>
        <w:tc>
          <w:tcPr>
            <w:tcW w:w="1021" w:type="dxa"/>
            <w:tcBorders>
              <w:right w:val="single" w:sz="4" w:space="0" w:color="auto"/>
            </w:tcBorders>
            <w:vAlign w:val="center"/>
          </w:tcPr>
          <w:p w14:paraId="219BD0A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0.42%</w:t>
            </w:r>
          </w:p>
        </w:tc>
        <w:tc>
          <w:tcPr>
            <w:tcW w:w="1389" w:type="dxa"/>
            <w:tcBorders>
              <w:left w:val="single" w:sz="4" w:space="0" w:color="auto"/>
            </w:tcBorders>
            <w:vAlign w:val="center"/>
          </w:tcPr>
          <w:p w14:paraId="71A13C8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56</w:t>
            </w:r>
          </w:p>
        </w:tc>
        <w:tc>
          <w:tcPr>
            <w:tcW w:w="1049" w:type="dxa"/>
            <w:tcBorders>
              <w:right w:val="single" w:sz="4" w:space="0" w:color="auto"/>
            </w:tcBorders>
            <w:vAlign w:val="center"/>
          </w:tcPr>
          <w:p w14:paraId="519C3CB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0.48%</w:t>
            </w:r>
          </w:p>
        </w:tc>
        <w:tc>
          <w:tcPr>
            <w:tcW w:w="1361" w:type="dxa"/>
            <w:tcBorders>
              <w:left w:val="single" w:sz="4" w:space="0" w:color="auto"/>
            </w:tcBorders>
            <w:vAlign w:val="center"/>
          </w:tcPr>
          <w:p w14:paraId="71D3314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43</w:t>
            </w:r>
          </w:p>
        </w:tc>
        <w:tc>
          <w:tcPr>
            <w:tcW w:w="1077" w:type="dxa"/>
            <w:tcBorders>
              <w:right w:val="single" w:sz="4" w:space="0" w:color="auto"/>
            </w:tcBorders>
            <w:vAlign w:val="center"/>
          </w:tcPr>
          <w:p w14:paraId="4E16F62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0.37%</w:t>
            </w:r>
          </w:p>
        </w:tc>
        <w:tc>
          <w:tcPr>
            <w:tcW w:w="1474" w:type="dxa"/>
            <w:tcBorders>
              <w:left w:val="single" w:sz="4" w:space="0" w:color="auto"/>
            </w:tcBorders>
            <w:vAlign w:val="center"/>
          </w:tcPr>
          <w:p w14:paraId="61EDB27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w:t>
            </w:r>
          </w:p>
        </w:tc>
        <w:tc>
          <w:tcPr>
            <w:tcW w:w="964" w:type="dxa"/>
            <w:tcBorders>
              <w:right w:val="single" w:sz="4" w:space="0" w:color="auto"/>
            </w:tcBorders>
            <w:vAlign w:val="center"/>
          </w:tcPr>
          <w:p w14:paraId="76E58FC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0.11%</w:t>
            </w:r>
          </w:p>
        </w:tc>
        <w:tc>
          <w:tcPr>
            <w:tcW w:w="1219" w:type="dxa"/>
            <w:tcBorders>
              <w:left w:val="single" w:sz="4" w:space="0" w:color="auto"/>
            </w:tcBorders>
            <w:vAlign w:val="center"/>
          </w:tcPr>
          <w:p w14:paraId="5FCA60E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105</w:t>
            </w:r>
          </w:p>
        </w:tc>
        <w:tc>
          <w:tcPr>
            <w:tcW w:w="1219" w:type="dxa"/>
            <w:tcBorders>
              <w:right w:val="single" w:sz="4" w:space="0" w:color="auto"/>
            </w:tcBorders>
            <w:vAlign w:val="center"/>
          </w:tcPr>
          <w:p w14:paraId="71F41EA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0.90%</w:t>
            </w:r>
          </w:p>
        </w:tc>
      </w:tr>
      <w:tr w:rsidR="004A1081" w:rsidRPr="00E91515" w14:paraId="6DA95880"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99E7D82"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right w:val="nil"/>
            </w:tcBorders>
            <w:vAlign w:val="center"/>
          </w:tcPr>
          <w:p w14:paraId="1041C7E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2,863</w:t>
            </w:r>
          </w:p>
        </w:tc>
        <w:tc>
          <w:tcPr>
            <w:tcW w:w="1021" w:type="dxa"/>
            <w:tcBorders>
              <w:left w:val="nil"/>
              <w:right w:val="single" w:sz="4" w:space="0" w:color="auto"/>
            </w:tcBorders>
            <w:vAlign w:val="center"/>
          </w:tcPr>
          <w:p w14:paraId="469DF2E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24.64%</w:t>
            </w:r>
          </w:p>
        </w:tc>
        <w:tc>
          <w:tcPr>
            <w:tcW w:w="1389" w:type="dxa"/>
            <w:tcBorders>
              <w:left w:val="single" w:sz="4" w:space="0" w:color="auto"/>
              <w:right w:val="nil"/>
            </w:tcBorders>
            <w:vAlign w:val="center"/>
          </w:tcPr>
          <w:p w14:paraId="347C84E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1,655</w:t>
            </w:r>
          </w:p>
        </w:tc>
        <w:tc>
          <w:tcPr>
            <w:tcW w:w="1049" w:type="dxa"/>
            <w:tcBorders>
              <w:left w:val="nil"/>
              <w:right w:val="single" w:sz="4" w:space="0" w:color="auto"/>
            </w:tcBorders>
            <w:vAlign w:val="center"/>
          </w:tcPr>
          <w:p w14:paraId="2803447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14.25%</w:t>
            </w:r>
          </w:p>
        </w:tc>
        <w:tc>
          <w:tcPr>
            <w:tcW w:w="1361" w:type="dxa"/>
            <w:tcBorders>
              <w:left w:val="single" w:sz="4" w:space="0" w:color="auto"/>
              <w:right w:val="nil"/>
            </w:tcBorders>
            <w:vAlign w:val="center"/>
          </w:tcPr>
          <w:p w14:paraId="206786E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1,290</w:t>
            </w:r>
          </w:p>
        </w:tc>
        <w:tc>
          <w:tcPr>
            <w:tcW w:w="1077" w:type="dxa"/>
            <w:tcBorders>
              <w:left w:val="nil"/>
              <w:right w:val="single" w:sz="4" w:space="0" w:color="auto"/>
            </w:tcBorders>
            <w:vAlign w:val="center"/>
          </w:tcPr>
          <w:p w14:paraId="3EAFA37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11.10%</w:t>
            </w:r>
          </w:p>
        </w:tc>
        <w:tc>
          <w:tcPr>
            <w:tcW w:w="1474" w:type="dxa"/>
            <w:tcBorders>
              <w:left w:val="single" w:sz="4" w:space="0" w:color="auto"/>
              <w:right w:val="nil"/>
            </w:tcBorders>
            <w:vAlign w:val="center"/>
          </w:tcPr>
          <w:p w14:paraId="731FBC2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365</w:t>
            </w:r>
          </w:p>
        </w:tc>
        <w:tc>
          <w:tcPr>
            <w:tcW w:w="964" w:type="dxa"/>
            <w:tcBorders>
              <w:left w:val="nil"/>
              <w:right w:val="single" w:sz="4" w:space="0" w:color="auto"/>
            </w:tcBorders>
            <w:vAlign w:val="center"/>
          </w:tcPr>
          <w:p w14:paraId="238180B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3.14%</w:t>
            </w:r>
          </w:p>
        </w:tc>
        <w:tc>
          <w:tcPr>
            <w:tcW w:w="1219" w:type="dxa"/>
            <w:tcBorders>
              <w:left w:val="single" w:sz="4" w:space="0" w:color="auto"/>
              <w:right w:val="nil"/>
            </w:tcBorders>
            <w:vAlign w:val="center"/>
          </w:tcPr>
          <w:p w14:paraId="3A343CB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4,518</w:t>
            </w:r>
          </w:p>
        </w:tc>
        <w:tc>
          <w:tcPr>
            <w:tcW w:w="1219" w:type="dxa"/>
            <w:tcBorders>
              <w:left w:val="nil"/>
              <w:right w:val="single" w:sz="4" w:space="0" w:color="auto"/>
            </w:tcBorders>
            <w:vAlign w:val="center"/>
          </w:tcPr>
          <w:p w14:paraId="0109BD2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38.89%</w:t>
            </w:r>
          </w:p>
        </w:tc>
      </w:tr>
      <w:tr w:rsidR="004A1081" w:rsidRPr="00E91515" w14:paraId="676AF7EF"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14B52B94"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tcBorders>
            <w:vAlign w:val="center"/>
          </w:tcPr>
          <w:p w14:paraId="05557C3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4,846</w:t>
            </w:r>
          </w:p>
        </w:tc>
        <w:tc>
          <w:tcPr>
            <w:tcW w:w="1021" w:type="dxa"/>
            <w:tcBorders>
              <w:bottom w:val="nil"/>
              <w:right w:val="single" w:sz="4" w:space="0" w:color="auto"/>
            </w:tcBorders>
            <w:vAlign w:val="center"/>
          </w:tcPr>
          <w:p w14:paraId="3B8A632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41.71%</w:t>
            </w:r>
          </w:p>
        </w:tc>
        <w:tc>
          <w:tcPr>
            <w:tcW w:w="1389" w:type="dxa"/>
            <w:tcBorders>
              <w:left w:val="single" w:sz="4" w:space="0" w:color="auto"/>
              <w:bottom w:val="nil"/>
            </w:tcBorders>
            <w:vAlign w:val="center"/>
          </w:tcPr>
          <w:p w14:paraId="470BAD7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2,254</w:t>
            </w:r>
          </w:p>
        </w:tc>
        <w:tc>
          <w:tcPr>
            <w:tcW w:w="1049" w:type="dxa"/>
            <w:tcBorders>
              <w:bottom w:val="nil"/>
              <w:right w:val="single" w:sz="4" w:space="0" w:color="auto"/>
            </w:tcBorders>
            <w:vAlign w:val="center"/>
          </w:tcPr>
          <w:p w14:paraId="260A41D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19.40%</w:t>
            </w:r>
          </w:p>
        </w:tc>
        <w:tc>
          <w:tcPr>
            <w:tcW w:w="1361" w:type="dxa"/>
            <w:tcBorders>
              <w:left w:val="single" w:sz="4" w:space="0" w:color="auto"/>
              <w:bottom w:val="nil"/>
            </w:tcBorders>
            <w:vAlign w:val="center"/>
          </w:tcPr>
          <w:p w14:paraId="728D856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1,531</w:t>
            </w:r>
          </w:p>
        </w:tc>
        <w:tc>
          <w:tcPr>
            <w:tcW w:w="1077" w:type="dxa"/>
            <w:tcBorders>
              <w:bottom w:val="nil"/>
              <w:right w:val="single" w:sz="4" w:space="0" w:color="auto"/>
            </w:tcBorders>
            <w:vAlign w:val="center"/>
          </w:tcPr>
          <w:p w14:paraId="3A43197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13.18%</w:t>
            </w:r>
          </w:p>
        </w:tc>
        <w:tc>
          <w:tcPr>
            <w:tcW w:w="1474" w:type="dxa"/>
            <w:tcBorders>
              <w:left w:val="single" w:sz="4" w:space="0" w:color="auto"/>
              <w:bottom w:val="nil"/>
            </w:tcBorders>
            <w:vAlign w:val="center"/>
          </w:tcPr>
          <w:p w14:paraId="3B3465F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723</w:t>
            </w:r>
          </w:p>
        </w:tc>
        <w:tc>
          <w:tcPr>
            <w:tcW w:w="964" w:type="dxa"/>
            <w:tcBorders>
              <w:bottom w:val="nil"/>
              <w:right w:val="single" w:sz="4" w:space="0" w:color="auto"/>
            </w:tcBorders>
            <w:vAlign w:val="center"/>
          </w:tcPr>
          <w:p w14:paraId="64385AA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6.22%</w:t>
            </w:r>
          </w:p>
        </w:tc>
        <w:tc>
          <w:tcPr>
            <w:tcW w:w="1219" w:type="dxa"/>
            <w:tcBorders>
              <w:left w:val="single" w:sz="4" w:space="0" w:color="auto"/>
              <w:bottom w:val="nil"/>
            </w:tcBorders>
            <w:vAlign w:val="center"/>
          </w:tcPr>
          <w:p w14:paraId="60FA425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7,100</w:t>
            </w:r>
          </w:p>
        </w:tc>
        <w:tc>
          <w:tcPr>
            <w:tcW w:w="1219" w:type="dxa"/>
            <w:tcBorders>
              <w:bottom w:val="nil"/>
              <w:right w:val="single" w:sz="4" w:space="0" w:color="auto"/>
            </w:tcBorders>
            <w:vAlign w:val="center"/>
          </w:tcPr>
          <w:p w14:paraId="7BCFA14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61.11%</w:t>
            </w:r>
          </w:p>
        </w:tc>
      </w:tr>
      <w:tr w:rsidR="00E91515" w:rsidRPr="00E91515" w14:paraId="10756896"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0DB66F42"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right w:val="nil"/>
            </w:tcBorders>
            <w:vAlign w:val="center"/>
          </w:tcPr>
          <w:p w14:paraId="2AD6EBE1"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7,709</w:t>
            </w:r>
          </w:p>
        </w:tc>
        <w:tc>
          <w:tcPr>
            <w:tcW w:w="1021" w:type="dxa"/>
            <w:tcBorders>
              <w:top w:val="nil"/>
              <w:left w:val="nil"/>
              <w:bottom w:val="single" w:sz="4" w:space="0" w:color="auto"/>
              <w:right w:val="single" w:sz="4" w:space="0" w:color="auto"/>
            </w:tcBorders>
            <w:vAlign w:val="center"/>
          </w:tcPr>
          <w:p w14:paraId="1223D35C"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66.35%</w:t>
            </w:r>
          </w:p>
        </w:tc>
        <w:tc>
          <w:tcPr>
            <w:tcW w:w="1389" w:type="dxa"/>
            <w:tcBorders>
              <w:top w:val="nil"/>
              <w:left w:val="single" w:sz="4" w:space="0" w:color="auto"/>
              <w:bottom w:val="single" w:sz="4" w:space="0" w:color="auto"/>
              <w:right w:val="nil"/>
            </w:tcBorders>
            <w:vAlign w:val="center"/>
          </w:tcPr>
          <w:p w14:paraId="037021E1"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3,909</w:t>
            </w:r>
          </w:p>
        </w:tc>
        <w:tc>
          <w:tcPr>
            <w:tcW w:w="1049" w:type="dxa"/>
            <w:tcBorders>
              <w:top w:val="nil"/>
              <w:left w:val="nil"/>
              <w:bottom w:val="single" w:sz="4" w:space="0" w:color="auto"/>
              <w:right w:val="single" w:sz="4" w:space="0" w:color="auto"/>
            </w:tcBorders>
            <w:vAlign w:val="center"/>
          </w:tcPr>
          <w:p w14:paraId="7FD063B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33.65%</w:t>
            </w:r>
          </w:p>
        </w:tc>
        <w:tc>
          <w:tcPr>
            <w:tcW w:w="1361" w:type="dxa"/>
            <w:tcBorders>
              <w:top w:val="nil"/>
              <w:left w:val="single" w:sz="4" w:space="0" w:color="auto"/>
              <w:bottom w:val="single" w:sz="4" w:space="0" w:color="auto"/>
              <w:right w:val="nil"/>
            </w:tcBorders>
            <w:vAlign w:val="center"/>
          </w:tcPr>
          <w:p w14:paraId="788E5F69"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2,821</w:t>
            </w:r>
          </w:p>
        </w:tc>
        <w:tc>
          <w:tcPr>
            <w:tcW w:w="1077" w:type="dxa"/>
            <w:tcBorders>
              <w:top w:val="nil"/>
              <w:left w:val="nil"/>
              <w:bottom w:val="single" w:sz="4" w:space="0" w:color="auto"/>
              <w:right w:val="single" w:sz="4" w:space="0" w:color="auto"/>
            </w:tcBorders>
            <w:vAlign w:val="center"/>
          </w:tcPr>
          <w:p w14:paraId="08EF29C5"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24.28%</w:t>
            </w:r>
          </w:p>
        </w:tc>
        <w:tc>
          <w:tcPr>
            <w:tcW w:w="1474" w:type="dxa"/>
            <w:tcBorders>
              <w:top w:val="nil"/>
              <w:left w:val="single" w:sz="4" w:space="0" w:color="auto"/>
              <w:bottom w:val="single" w:sz="4" w:space="0" w:color="auto"/>
              <w:right w:val="nil"/>
            </w:tcBorders>
            <w:vAlign w:val="center"/>
          </w:tcPr>
          <w:p w14:paraId="5A223053"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1,088</w:t>
            </w:r>
          </w:p>
        </w:tc>
        <w:tc>
          <w:tcPr>
            <w:tcW w:w="964" w:type="dxa"/>
            <w:tcBorders>
              <w:top w:val="nil"/>
              <w:left w:val="nil"/>
              <w:bottom w:val="single" w:sz="4" w:space="0" w:color="auto"/>
              <w:right w:val="single" w:sz="4" w:space="0" w:color="auto"/>
            </w:tcBorders>
            <w:vAlign w:val="center"/>
          </w:tcPr>
          <w:p w14:paraId="6CA4BE1C"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9.36%</w:t>
            </w:r>
          </w:p>
        </w:tc>
        <w:tc>
          <w:tcPr>
            <w:tcW w:w="1219" w:type="dxa"/>
            <w:tcBorders>
              <w:top w:val="nil"/>
              <w:left w:val="single" w:sz="4" w:space="0" w:color="auto"/>
              <w:bottom w:val="single" w:sz="4" w:space="0" w:color="auto"/>
              <w:right w:val="nil"/>
            </w:tcBorders>
            <w:vAlign w:val="center"/>
          </w:tcPr>
          <w:p w14:paraId="071E2FD6"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11,618</w:t>
            </w:r>
          </w:p>
        </w:tc>
        <w:tc>
          <w:tcPr>
            <w:tcW w:w="1219" w:type="dxa"/>
            <w:tcBorders>
              <w:top w:val="nil"/>
              <w:left w:val="nil"/>
              <w:bottom w:val="single" w:sz="4" w:space="0" w:color="auto"/>
              <w:right w:val="single" w:sz="4" w:space="0" w:color="auto"/>
            </w:tcBorders>
            <w:vAlign w:val="center"/>
          </w:tcPr>
          <w:p w14:paraId="2C1DDB5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5.87%</w:t>
            </w:r>
          </w:p>
        </w:tc>
      </w:tr>
    </w:tbl>
    <w:p w14:paraId="033A0841" w14:textId="77777777" w:rsidR="001C4508" w:rsidRDefault="001C4508" w:rsidP="00CE2FDF">
      <w:pPr>
        <w:spacing w:before="0"/>
      </w:pPr>
      <w:r>
        <w:rPr>
          <w:b/>
          <w:bCs/>
        </w:rPr>
        <w:br w:type="page"/>
      </w:r>
    </w:p>
    <w:tbl>
      <w:tblPr>
        <w:tblStyle w:val="LightShading-Accent3"/>
        <w:tblW w:w="14425" w:type="dxa"/>
        <w:tblLayout w:type="fixed"/>
        <w:tblLook w:val="04A0" w:firstRow="1" w:lastRow="0" w:firstColumn="1" w:lastColumn="0" w:noHBand="0" w:noVBand="1"/>
        <w:tblCaption w:val="Number of reports of emotional abuse, by year, reporter group, and outcome"/>
      </w:tblPr>
      <w:tblGrid>
        <w:gridCol w:w="2235"/>
        <w:gridCol w:w="1417"/>
        <w:gridCol w:w="1021"/>
        <w:gridCol w:w="1389"/>
        <w:gridCol w:w="1049"/>
        <w:gridCol w:w="1361"/>
        <w:gridCol w:w="1077"/>
        <w:gridCol w:w="1474"/>
        <w:gridCol w:w="964"/>
        <w:gridCol w:w="1219"/>
        <w:gridCol w:w="1219"/>
      </w:tblGrid>
      <w:tr w:rsidR="001C4508" w:rsidRPr="00E91515" w14:paraId="326BFA45" w14:textId="77777777" w:rsidTr="001C7990">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645B5D35" w14:textId="77777777" w:rsidR="001C4508" w:rsidRPr="00E91515" w:rsidRDefault="001C4508" w:rsidP="00CE2FDF">
            <w:pPr>
              <w:keepNext/>
              <w:tabs>
                <w:tab w:val="left" w:pos="1134"/>
              </w:tabs>
              <w:spacing w:before="0" w:line="276" w:lineRule="auto"/>
              <w:jc w:val="center"/>
              <w:rPr>
                <w:rFonts w:eastAsia="Times New Roman" w:cs="Arial"/>
                <w:color w:val="auto"/>
                <w:sz w:val="20"/>
                <w:szCs w:val="20"/>
                <w:lang w:eastAsia="en-AU"/>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013B1EB"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E9D51EC"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45CA47F"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11F8D34"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278E167"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Total</w:t>
            </w:r>
          </w:p>
        </w:tc>
      </w:tr>
      <w:tr w:rsidR="002418F8" w:rsidRPr="00E91515" w14:paraId="6BDA31EB"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736CF856"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2005</w:t>
            </w:r>
          </w:p>
        </w:tc>
        <w:tc>
          <w:tcPr>
            <w:tcW w:w="1417" w:type="dxa"/>
            <w:tcBorders>
              <w:top w:val="single" w:sz="4" w:space="0" w:color="auto"/>
              <w:left w:val="single" w:sz="4" w:space="0" w:color="auto"/>
            </w:tcBorders>
          </w:tcPr>
          <w:p w14:paraId="36800230"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021" w:type="dxa"/>
            <w:tcBorders>
              <w:top w:val="single" w:sz="4" w:space="0" w:color="auto"/>
              <w:right w:val="single" w:sz="4" w:space="0" w:color="auto"/>
            </w:tcBorders>
            <w:vAlign w:val="center"/>
          </w:tcPr>
          <w:p w14:paraId="67E0CA85"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389" w:type="dxa"/>
            <w:tcBorders>
              <w:top w:val="single" w:sz="4" w:space="0" w:color="auto"/>
              <w:left w:val="single" w:sz="4" w:space="0" w:color="auto"/>
            </w:tcBorders>
          </w:tcPr>
          <w:p w14:paraId="35C63D6A"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049" w:type="dxa"/>
            <w:tcBorders>
              <w:top w:val="single" w:sz="4" w:space="0" w:color="auto"/>
              <w:right w:val="single" w:sz="4" w:space="0" w:color="auto"/>
            </w:tcBorders>
            <w:vAlign w:val="center"/>
          </w:tcPr>
          <w:p w14:paraId="112ED0F8"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361" w:type="dxa"/>
            <w:tcBorders>
              <w:top w:val="single" w:sz="4" w:space="0" w:color="auto"/>
              <w:left w:val="single" w:sz="4" w:space="0" w:color="auto"/>
            </w:tcBorders>
          </w:tcPr>
          <w:p w14:paraId="4C137C2E"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077" w:type="dxa"/>
            <w:tcBorders>
              <w:top w:val="single" w:sz="4" w:space="0" w:color="auto"/>
              <w:right w:val="single" w:sz="4" w:space="0" w:color="auto"/>
            </w:tcBorders>
            <w:vAlign w:val="center"/>
          </w:tcPr>
          <w:p w14:paraId="228FD27F"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474" w:type="dxa"/>
            <w:tcBorders>
              <w:top w:val="single" w:sz="4" w:space="0" w:color="auto"/>
              <w:left w:val="single" w:sz="4" w:space="0" w:color="auto"/>
            </w:tcBorders>
          </w:tcPr>
          <w:p w14:paraId="028B0731"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964" w:type="dxa"/>
            <w:tcBorders>
              <w:top w:val="single" w:sz="4" w:space="0" w:color="auto"/>
              <w:right w:val="single" w:sz="4" w:space="0" w:color="auto"/>
            </w:tcBorders>
          </w:tcPr>
          <w:p w14:paraId="2A9F86FE"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219" w:type="dxa"/>
            <w:tcBorders>
              <w:top w:val="single" w:sz="4" w:space="0" w:color="auto"/>
              <w:left w:val="single" w:sz="4" w:space="0" w:color="auto"/>
            </w:tcBorders>
            <w:vAlign w:val="center"/>
          </w:tcPr>
          <w:p w14:paraId="450A8DDA"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 </w:t>
            </w:r>
          </w:p>
        </w:tc>
        <w:tc>
          <w:tcPr>
            <w:tcW w:w="1219" w:type="dxa"/>
            <w:tcBorders>
              <w:top w:val="single" w:sz="4" w:space="0" w:color="auto"/>
              <w:right w:val="single" w:sz="4" w:space="0" w:color="auto"/>
            </w:tcBorders>
            <w:vAlign w:val="center"/>
          </w:tcPr>
          <w:p w14:paraId="40F0AAEE"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 </w:t>
            </w:r>
          </w:p>
        </w:tc>
      </w:tr>
      <w:tr w:rsidR="001C4508" w:rsidRPr="00E91515" w14:paraId="23F484D9"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2CB9ECD3"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tcBorders>
            <w:vAlign w:val="center"/>
          </w:tcPr>
          <w:p w14:paraId="73BF163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143</w:t>
            </w:r>
          </w:p>
        </w:tc>
        <w:tc>
          <w:tcPr>
            <w:tcW w:w="1021" w:type="dxa"/>
            <w:tcBorders>
              <w:right w:val="single" w:sz="4" w:space="0" w:color="auto"/>
            </w:tcBorders>
            <w:vAlign w:val="center"/>
          </w:tcPr>
          <w:p w14:paraId="04C44BB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1.20%</w:t>
            </w:r>
          </w:p>
        </w:tc>
        <w:tc>
          <w:tcPr>
            <w:tcW w:w="1389" w:type="dxa"/>
            <w:tcBorders>
              <w:left w:val="single" w:sz="4" w:space="0" w:color="auto"/>
            </w:tcBorders>
            <w:vAlign w:val="center"/>
          </w:tcPr>
          <w:p w14:paraId="7998AE1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82</w:t>
            </w:r>
          </w:p>
        </w:tc>
        <w:tc>
          <w:tcPr>
            <w:tcW w:w="1049" w:type="dxa"/>
            <w:tcBorders>
              <w:right w:val="single" w:sz="4" w:space="0" w:color="auto"/>
            </w:tcBorders>
            <w:vAlign w:val="center"/>
          </w:tcPr>
          <w:p w14:paraId="715CDFE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0.69%</w:t>
            </w:r>
          </w:p>
        </w:tc>
        <w:tc>
          <w:tcPr>
            <w:tcW w:w="1361" w:type="dxa"/>
            <w:tcBorders>
              <w:left w:val="single" w:sz="4" w:space="0" w:color="auto"/>
            </w:tcBorders>
            <w:vAlign w:val="center"/>
          </w:tcPr>
          <w:p w14:paraId="1305CE6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57</w:t>
            </w:r>
          </w:p>
        </w:tc>
        <w:tc>
          <w:tcPr>
            <w:tcW w:w="1077" w:type="dxa"/>
            <w:tcBorders>
              <w:right w:val="single" w:sz="4" w:space="0" w:color="auto"/>
            </w:tcBorders>
            <w:vAlign w:val="center"/>
          </w:tcPr>
          <w:p w14:paraId="60CCDFA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0.48%</w:t>
            </w:r>
          </w:p>
        </w:tc>
        <w:tc>
          <w:tcPr>
            <w:tcW w:w="1474" w:type="dxa"/>
            <w:tcBorders>
              <w:left w:val="single" w:sz="4" w:space="0" w:color="auto"/>
            </w:tcBorders>
            <w:vAlign w:val="center"/>
          </w:tcPr>
          <w:p w14:paraId="2EADAC8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25</w:t>
            </w:r>
          </w:p>
        </w:tc>
        <w:tc>
          <w:tcPr>
            <w:tcW w:w="964" w:type="dxa"/>
            <w:tcBorders>
              <w:right w:val="single" w:sz="4" w:space="0" w:color="auto"/>
            </w:tcBorders>
            <w:vAlign w:val="center"/>
          </w:tcPr>
          <w:p w14:paraId="57C108E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0.21%</w:t>
            </w:r>
          </w:p>
        </w:tc>
        <w:tc>
          <w:tcPr>
            <w:tcW w:w="1219" w:type="dxa"/>
            <w:tcBorders>
              <w:left w:val="single" w:sz="4" w:space="0" w:color="auto"/>
            </w:tcBorders>
            <w:vAlign w:val="center"/>
          </w:tcPr>
          <w:p w14:paraId="237FF09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225</w:t>
            </w:r>
          </w:p>
        </w:tc>
        <w:tc>
          <w:tcPr>
            <w:tcW w:w="1219" w:type="dxa"/>
            <w:tcBorders>
              <w:right w:val="single" w:sz="4" w:space="0" w:color="auto"/>
            </w:tcBorders>
            <w:vAlign w:val="center"/>
          </w:tcPr>
          <w:p w14:paraId="7E3DCD2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1.89%</w:t>
            </w:r>
          </w:p>
        </w:tc>
      </w:tr>
      <w:tr w:rsidR="001C4508" w:rsidRPr="00E91515" w14:paraId="7855AC6D"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699427C"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tcBorders>
            <w:vAlign w:val="center"/>
          </w:tcPr>
          <w:p w14:paraId="70987E1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391</w:t>
            </w:r>
          </w:p>
        </w:tc>
        <w:tc>
          <w:tcPr>
            <w:tcW w:w="1021" w:type="dxa"/>
            <w:tcBorders>
              <w:right w:val="single" w:sz="4" w:space="0" w:color="auto"/>
            </w:tcBorders>
            <w:vAlign w:val="center"/>
          </w:tcPr>
          <w:p w14:paraId="252A19B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3.28%</w:t>
            </w:r>
          </w:p>
        </w:tc>
        <w:tc>
          <w:tcPr>
            <w:tcW w:w="1389" w:type="dxa"/>
            <w:tcBorders>
              <w:left w:val="single" w:sz="4" w:space="0" w:color="auto"/>
            </w:tcBorders>
            <w:vAlign w:val="center"/>
          </w:tcPr>
          <w:p w14:paraId="5B284CF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282</w:t>
            </w:r>
          </w:p>
        </w:tc>
        <w:tc>
          <w:tcPr>
            <w:tcW w:w="1049" w:type="dxa"/>
            <w:tcBorders>
              <w:right w:val="single" w:sz="4" w:space="0" w:color="auto"/>
            </w:tcBorders>
            <w:vAlign w:val="center"/>
          </w:tcPr>
          <w:p w14:paraId="341DFD1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2.37%</w:t>
            </w:r>
          </w:p>
        </w:tc>
        <w:tc>
          <w:tcPr>
            <w:tcW w:w="1361" w:type="dxa"/>
            <w:tcBorders>
              <w:left w:val="single" w:sz="4" w:space="0" w:color="auto"/>
            </w:tcBorders>
            <w:vAlign w:val="center"/>
          </w:tcPr>
          <w:p w14:paraId="7D8264B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215</w:t>
            </w:r>
          </w:p>
        </w:tc>
        <w:tc>
          <w:tcPr>
            <w:tcW w:w="1077" w:type="dxa"/>
            <w:tcBorders>
              <w:right w:val="single" w:sz="4" w:space="0" w:color="auto"/>
            </w:tcBorders>
            <w:vAlign w:val="center"/>
          </w:tcPr>
          <w:p w14:paraId="0E5FB8A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1.81%</w:t>
            </w:r>
          </w:p>
        </w:tc>
        <w:tc>
          <w:tcPr>
            <w:tcW w:w="1474" w:type="dxa"/>
            <w:tcBorders>
              <w:left w:val="single" w:sz="4" w:space="0" w:color="auto"/>
            </w:tcBorders>
            <w:vAlign w:val="center"/>
          </w:tcPr>
          <w:p w14:paraId="093A7F4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67</w:t>
            </w:r>
          </w:p>
        </w:tc>
        <w:tc>
          <w:tcPr>
            <w:tcW w:w="964" w:type="dxa"/>
            <w:tcBorders>
              <w:right w:val="single" w:sz="4" w:space="0" w:color="auto"/>
            </w:tcBorders>
            <w:vAlign w:val="center"/>
          </w:tcPr>
          <w:p w14:paraId="2432C17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0.56%</w:t>
            </w:r>
          </w:p>
        </w:tc>
        <w:tc>
          <w:tcPr>
            <w:tcW w:w="1219" w:type="dxa"/>
            <w:tcBorders>
              <w:left w:val="single" w:sz="4" w:space="0" w:color="auto"/>
            </w:tcBorders>
            <w:vAlign w:val="center"/>
          </w:tcPr>
          <w:p w14:paraId="4A3565F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673</w:t>
            </w:r>
          </w:p>
        </w:tc>
        <w:tc>
          <w:tcPr>
            <w:tcW w:w="1219" w:type="dxa"/>
            <w:tcBorders>
              <w:right w:val="single" w:sz="4" w:space="0" w:color="auto"/>
            </w:tcBorders>
            <w:vAlign w:val="center"/>
          </w:tcPr>
          <w:p w14:paraId="7D95D69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5.65%</w:t>
            </w:r>
          </w:p>
        </w:tc>
      </w:tr>
      <w:tr w:rsidR="001C4508" w:rsidRPr="00E91515" w14:paraId="437B8FB7"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9C4C883"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tcBorders>
            <w:vAlign w:val="center"/>
          </w:tcPr>
          <w:p w14:paraId="5D4D074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2,286</w:t>
            </w:r>
          </w:p>
        </w:tc>
        <w:tc>
          <w:tcPr>
            <w:tcW w:w="1021" w:type="dxa"/>
            <w:tcBorders>
              <w:right w:val="single" w:sz="4" w:space="0" w:color="auto"/>
            </w:tcBorders>
            <w:vAlign w:val="center"/>
          </w:tcPr>
          <w:p w14:paraId="6F1C354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19.20%</w:t>
            </w:r>
          </w:p>
        </w:tc>
        <w:tc>
          <w:tcPr>
            <w:tcW w:w="1389" w:type="dxa"/>
            <w:tcBorders>
              <w:left w:val="single" w:sz="4" w:space="0" w:color="auto"/>
            </w:tcBorders>
            <w:vAlign w:val="center"/>
          </w:tcPr>
          <w:p w14:paraId="28340D5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1,033</w:t>
            </w:r>
          </w:p>
        </w:tc>
        <w:tc>
          <w:tcPr>
            <w:tcW w:w="1049" w:type="dxa"/>
            <w:tcBorders>
              <w:right w:val="single" w:sz="4" w:space="0" w:color="auto"/>
            </w:tcBorders>
            <w:vAlign w:val="center"/>
          </w:tcPr>
          <w:p w14:paraId="6FF1109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8.68%</w:t>
            </w:r>
          </w:p>
        </w:tc>
        <w:tc>
          <w:tcPr>
            <w:tcW w:w="1361" w:type="dxa"/>
            <w:tcBorders>
              <w:left w:val="single" w:sz="4" w:space="0" w:color="auto"/>
            </w:tcBorders>
            <w:vAlign w:val="center"/>
          </w:tcPr>
          <w:p w14:paraId="0E160AA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867</w:t>
            </w:r>
          </w:p>
        </w:tc>
        <w:tc>
          <w:tcPr>
            <w:tcW w:w="1077" w:type="dxa"/>
            <w:tcBorders>
              <w:right w:val="single" w:sz="4" w:space="0" w:color="auto"/>
            </w:tcBorders>
            <w:vAlign w:val="center"/>
          </w:tcPr>
          <w:p w14:paraId="7EA2AEE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7.28%</w:t>
            </w:r>
          </w:p>
        </w:tc>
        <w:tc>
          <w:tcPr>
            <w:tcW w:w="1474" w:type="dxa"/>
            <w:tcBorders>
              <w:left w:val="single" w:sz="4" w:space="0" w:color="auto"/>
            </w:tcBorders>
            <w:vAlign w:val="center"/>
          </w:tcPr>
          <w:p w14:paraId="421CF41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166</w:t>
            </w:r>
          </w:p>
        </w:tc>
        <w:tc>
          <w:tcPr>
            <w:tcW w:w="964" w:type="dxa"/>
            <w:tcBorders>
              <w:right w:val="single" w:sz="4" w:space="0" w:color="auto"/>
            </w:tcBorders>
            <w:vAlign w:val="center"/>
          </w:tcPr>
          <w:p w14:paraId="6BCDE3D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1.39%</w:t>
            </w:r>
          </w:p>
        </w:tc>
        <w:tc>
          <w:tcPr>
            <w:tcW w:w="1219" w:type="dxa"/>
            <w:tcBorders>
              <w:left w:val="single" w:sz="4" w:space="0" w:color="auto"/>
            </w:tcBorders>
            <w:vAlign w:val="center"/>
          </w:tcPr>
          <w:p w14:paraId="54AB5B4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3,319</w:t>
            </w:r>
          </w:p>
        </w:tc>
        <w:tc>
          <w:tcPr>
            <w:tcW w:w="1219" w:type="dxa"/>
            <w:tcBorders>
              <w:right w:val="single" w:sz="4" w:space="0" w:color="auto"/>
            </w:tcBorders>
            <w:vAlign w:val="center"/>
          </w:tcPr>
          <w:p w14:paraId="4CD932B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27.88%</w:t>
            </w:r>
          </w:p>
        </w:tc>
      </w:tr>
      <w:tr w:rsidR="001C4508" w:rsidRPr="00E91515" w14:paraId="576F6B12"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6453545"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vAlign w:val="center"/>
          </w:tcPr>
          <w:p w14:paraId="5819977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582</w:t>
            </w:r>
          </w:p>
        </w:tc>
        <w:tc>
          <w:tcPr>
            <w:tcW w:w="1021" w:type="dxa"/>
            <w:tcBorders>
              <w:right w:val="single" w:sz="4" w:space="0" w:color="auto"/>
            </w:tcBorders>
            <w:vAlign w:val="center"/>
          </w:tcPr>
          <w:p w14:paraId="68D3C22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4.89%</w:t>
            </w:r>
          </w:p>
        </w:tc>
        <w:tc>
          <w:tcPr>
            <w:tcW w:w="1389" w:type="dxa"/>
            <w:tcBorders>
              <w:left w:val="single" w:sz="4" w:space="0" w:color="auto"/>
            </w:tcBorders>
            <w:vAlign w:val="center"/>
          </w:tcPr>
          <w:p w14:paraId="1ECC7F4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209</w:t>
            </w:r>
          </w:p>
        </w:tc>
        <w:tc>
          <w:tcPr>
            <w:tcW w:w="1049" w:type="dxa"/>
            <w:tcBorders>
              <w:right w:val="single" w:sz="4" w:space="0" w:color="auto"/>
            </w:tcBorders>
            <w:vAlign w:val="center"/>
          </w:tcPr>
          <w:p w14:paraId="263AAAB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1.76%</w:t>
            </w:r>
          </w:p>
        </w:tc>
        <w:tc>
          <w:tcPr>
            <w:tcW w:w="1361" w:type="dxa"/>
            <w:tcBorders>
              <w:left w:val="single" w:sz="4" w:space="0" w:color="auto"/>
            </w:tcBorders>
            <w:vAlign w:val="center"/>
          </w:tcPr>
          <w:p w14:paraId="33B420F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135</w:t>
            </w:r>
          </w:p>
        </w:tc>
        <w:tc>
          <w:tcPr>
            <w:tcW w:w="1077" w:type="dxa"/>
            <w:tcBorders>
              <w:right w:val="single" w:sz="4" w:space="0" w:color="auto"/>
            </w:tcBorders>
            <w:vAlign w:val="center"/>
          </w:tcPr>
          <w:p w14:paraId="2061B8E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1.13%</w:t>
            </w:r>
          </w:p>
        </w:tc>
        <w:tc>
          <w:tcPr>
            <w:tcW w:w="1474" w:type="dxa"/>
            <w:tcBorders>
              <w:left w:val="single" w:sz="4" w:space="0" w:color="auto"/>
            </w:tcBorders>
            <w:vAlign w:val="center"/>
          </w:tcPr>
          <w:p w14:paraId="5FFFB54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74</w:t>
            </w:r>
          </w:p>
        </w:tc>
        <w:tc>
          <w:tcPr>
            <w:tcW w:w="964" w:type="dxa"/>
            <w:tcBorders>
              <w:right w:val="single" w:sz="4" w:space="0" w:color="auto"/>
            </w:tcBorders>
            <w:vAlign w:val="center"/>
          </w:tcPr>
          <w:p w14:paraId="6FDA87E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0.62%</w:t>
            </w:r>
          </w:p>
        </w:tc>
        <w:tc>
          <w:tcPr>
            <w:tcW w:w="1219" w:type="dxa"/>
            <w:tcBorders>
              <w:left w:val="single" w:sz="4" w:space="0" w:color="auto"/>
            </w:tcBorders>
            <w:vAlign w:val="center"/>
          </w:tcPr>
          <w:p w14:paraId="2D9CE00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791</w:t>
            </w:r>
          </w:p>
        </w:tc>
        <w:tc>
          <w:tcPr>
            <w:tcW w:w="1219" w:type="dxa"/>
            <w:tcBorders>
              <w:right w:val="single" w:sz="4" w:space="0" w:color="auto"/>
            </w:tcBorders>
            <w:vAlign w:val="center"/>
          </w:tcPr>
          <w:p w14:paraId="764BDD2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6.64%</w:t>
            </w:r>
          </w:p>
        </w:tc>
      </w:tr>
      <w:tr w:rsidR="001C4508" w:rsidRPr="00E91515" w14:paraId="6B27C53B"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86B65FB"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tcBorders>
            <w:vAlign w:val="center"/>
          </w:tcPr>
          <w:p w14:paraId="7B34433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41</w:t>
            </w:r>
          </w:p>
        </w:tc>
        <w:tc>
          <w:tcPr>
            <w:tcW w:w="1021" w:type="dxa"/>
            <w:tcBorders>
              <w:right w:val="single" w:sz="4" w:space="0" w:color="auto"/>
            </w:tcBorders>
            <w:vAlign w:val="center"/>
          </w:tcPr>
          <w:p w14:paraId="1F03B0E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0.34%</w:t>
            </w:r>
          </w:p>
        </w:tc>
        <w:tc>
          <w:tcPr>
            <w:tcW w:w="1389" w:type="dxa"/>
            <w:tcBorders>
              <w:left w:val="single" w:sz="4" w:space="0" w:color="auto"/>
            </w:tcBorders>
            <w:vAlign w:val="center"/>
          </w:tcPr>
          <w:p w14:paraId="6BA68DF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20</w:t>
            </w:r>
          </w:p>
        </w:tc>
        <w:tc>
          <w:tcPr>
            <w:tcW w:w="1049" w:type="dxa"/>
            <w:tcBorders>
              <w:right w:val="single" w:sz="4" w:space="0" w:color="auto"/>
            </w:tcBorders>
            <w:vAlign w:val="center"/>
          </w:tcPr>
          <w:p w14:paraId="6FA14D3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0.17%</w:t>
            </w:r>
          </w:p>
        </w:tc>
        <w:tc>
          <w:tcPr>
            <w:tcW w:w="1361" w:type="dxa"/>
            <w:tcBorders>
              <w:left w:val="single" w:sz="4" w:space="0" w:color="auto"/>
            </w:tcBorders>
            <w:vAlign w:val="center"/>
          </w:tcPr>
          <w:p w14:paraId="1A1B326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w:t>
            </w:r>
          </w:p>
        </w:tc>
        <w:tc>
          <w:tcPr>
            <w:tcW w:w="1077" w:type="dxa"/>
            <w:tcBorders>
              <w:right w:val="single" w:sz="4" w:space="0" w:color="auto"/>
            </w:tcBorders>
            <w:vAlign w:val="center"/>
          </w:tcPr>
          <w:p w14:paraId="206A99E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0.12%</w:t>
            </w:r>
          </w:p>
        </w:tc>
        <w:tc>
          <w:tcPr>
            <w:tcW w:w="1474" w:type="dxa"/>
            <w:tcBorders>
              <w:left w:val="single" w:sz="4" w:space="0" w:color="auto"/>
            </w:tcBorders>
            <w:vAlign w:val="center"/>
          </w:tcPr>
          <w:p w14:paraId="349E002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w:t>
            </w:r>
          </w:p>
        </w:tc>
        <w:tc>
          <w:tcPr>
            <w:tcW w:w="964" w:type="dxa"/>
            <w:tcBorders>
              <w:right w:val="single" w:sz="4" w:space="0" w:color="auto"/>
            </w:tcBorders>
            <w:vAlign w:val="center"/>
          </w:tcPr>
          <w:p w14:paraId="2C782FC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0.05%</w:t>
            </w:r>
          </w:p>
        </w:tc>
        <w:tc>
          <w:tcPr>
            <w:tcW w:w="1219" w:type="dxa"/>
            <w:tcBorders>
              <w:left w:val="single" w:sz="4" w:space="0" w:color="auto"/>
            </w:tcBorders>
            <w:vAlign w:val="center"/>
          </w:tcPr>
          <w:p w14:paraId="19CDE92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61</w:t>
            </w:r>
          </w:p>
        </w:tc>
        <w:tc>
          <w:tcPr>
            <w:tcW w:w="1219" w:type="dxa"/>
            <w:tcBorders>
              <w:right w:val="single" w:sz="4" w:space="0" w:color="auto"/>
            </w:tcBorders>
            <w:vAlign w:val="center"/>
          </w:tcPr>
          <w:p w14:paraId="0B76E47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0.51%</w:t>
            </w:r>
          </w:p>
        </w:tc>
      </w:tr>
      <w:tr w:rsidR="001C4508" w:rsidRPr="00E91515" w14:paraId="63897580"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FC64903"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tcBorders>
            <w:vAlign w:val="center"/>
          </w:tcPr>
          <w:p w14:paraId="24EBFD8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3,443</w:t>
            </w:r>
          </w:p>
        </w:tc>
        <w:tc>
          <w:tcPr>
            <w:tcW w:w="1021" w:type="dxa"/>
            <w:tcBorders>
              <w:right w:val="single" w:sz="4" w:space="0" w:color="auto"/>
            </w:tcBorders>
            <w:vAlign w:val="center"/>
          </w:tcPr>
          <w:p w14:paraId="0C6A5DF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28.92%</w:t>
            </w:r>
          </w:p>
        </w:tc>
        <w:tc>
          <w:tcPr>
            <w:tcW w:w="1389" w:type="dxa"/>
            <w:tcBorders>
              <w:left w:val="single" w:sz="4" w:space="0" w:color="auto"/>
            </w:tcBorders>
            <w:vAlign w:val="center"/>
          </w:tcPr>
          <w:p w14:paraId="67A2B2F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1,626</w:t>
            </w:r>
          </w:p>
        </w:tc>
        <w:tc>
          <w:tcPr>
            <w:tcW w:w="1049" w:type="dxa"/>
            <w:tcBorders>
              <w:right w:val="single" w:sz="4" w:space="0" w:color="auto"/>
            </w:tcBorders>
            <w:vAlign w:val="center"/>
          </w:tcPr>
          <w:p w14:paraId="67B9052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13.66%</w:t>
            </w:r>
          </w:p>
        </w:tc>
        <w:tc>
          <w:tcPr>
            <w:tcW w:w="1361" w:type="dxa"/>
            <w:tcBorders>
              <w:left w:val="single" w:sz="4" w:space="0" w:color="auto"/>
            </w:tcBorders>
            <w:vAlign w:val="center"/>
          </w:tcPr>
          <w:p w14:paraId="400764F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1,288</w:t>
            </w:r>
          </w:p>
        </w:tc>
        <w:tc>
          <w:tcPr>
            <w:tcW w:w="1077" w:type="dxa"/>
            <w:tcBorders>
              <w:right w:val="single" w:sz="4" w:space="0" w:color="auto"/>
            </w:tcBorders>
            <w:vAlign w:val="center"/>
          </w:tcPr>
          <w:p w14:paraId="76B9094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10.82%</w:t>
            </w:r>
          </w:p>
        </w:tc>
        <w:tc>
          <w:tcPr>
            <w:tcW w:w="1474" w:type="dxa"/>
            <w:tcBorders>
              <w:left w:val="single" w:sz="4" w:space="0" w:color="auto"/>
            </w:tcBorders>
            <w:vAlign w:val="center"/>
          </w:tcPr>
          <w:p w14:paraId="33A5054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338</w:t>
            </w:r>
          </w:p>
        </w:tc>
        <w:tc>
          <w:tcPr>
            <w:tcW w:w="964" w:type="dxa"/>
            <w:tcBorders>
              <w:right w:val="single" w:sz="4" w:space="0" w:color="auto"/>
            </w:tcBorders>
            <w:vAlign w:val="center"/>
          </w:tcPr>
          <w:p w14:paraId="5CC8B95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2.84%</w:t>
            </w:r>
          </w:p>
        </w:tc>
        <w:tc>
          <w:tcPr>
            <w:tcW w:w="1219" w:type="dxa"/>
            <w:tcBorders>
              <w:left w:val="single" w:sz="4" w:space="0" w:color="auto"/>
            </w:tcBorders>
            <w:vAlign w:val="center"/>
          </w:tcPr>
          <w:p w14:paraId="1B7AB65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5,069</w:t>
            </w:r>
          </w:p>
        </w:tc>
        <w:tc>
          <w:tcPr>
            <w:tcW w:w="1219" w:type="dxa"/>
            <w:tcBorders>
              <w:right w:val="single" w:sz="4" w:space="0" w:color="auto"/>
            </w:tcBorders>
            <w:vAlign w:val="center"/>
          </w:tcPr>
          <w:p w14:paraId="4DB2E85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42.58%</w:t>
            </w:r>
          </w:p>
        </w:tc>
      </w:tr>
      <w:tr w:rsidR="001C4508" w:rsidRPr="00E91515" w14:paraId="7C7D1A25"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2B6DAC68"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tcBorders>
            <w:vAlign w:val="center"/>
          </w:tcPr>
          <w:p w14:paraId="297BE3C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4,940</w:t>
            </w:r>
          </w:p>
        </w:tc>
        <w:tc>
          <w:tcPr>
            <w:tcW w:w="1021" w:type="dxa"/>
            <w:tcBorders>
              <w:bottom w:val="nil"/>
              <w:right w:val="single" w:sz="4" w:space="0" w:color="auto"/>
            </w:tcBorders>
            <w:vAlign w:val="center"/>
          </w:tcPr>
          <w:p w14:paraId="10DD320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41.50%</w:t>
            </w:r>
          </w:p>
        </w:tc>
        <w:tc>
          <w:tcPr>
            <w:tcW w:w="1389" w:type="dxa"/>
            <w:tcBorders>
              <w:left w:val="single" w:sz="4" w:space="0" w:color="auto"/>
              <w:bottom w:val="nil"/>
            </w:tcBorders>
            <w:vAlign w:val="center"/>
          </w:tcPr>
          <w:p w14:paraId="10D4813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1,896</w:t>
            </w:r>
          </w:p>
        </w:tc>
        <w:tc>
          <w:tcPr>
            <w:tcW w:w="1049" w:type="dxa"/>
            <w:tcBorders>
              <w:bottom w:val="nil"/>
              <w:right w:val="single" w:sz="4" w:space="0" w:color="auto"/>
            </w:tcBorders>
            <w:vAlign w:val="center"/>
          </w:tcPr>
          <w:p w14:paraId="436D286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15.93%</w:t>
            </w:r>
          </w:p>
        </w:tc>
        <w:tc>
          <w:tcPr>
            <w:tcW w:w="1361" w:type="dxa"/>
            <w:tcBorders>
              <w:left w:val="single" w:sz="4" w:space="0" w:color="auto"/>
              <w:bottom w:val="nil"/>
            </w:tcBorders>
            <w:vAlign w:val="center"/>
          </w:tcPr>
          <w:p w14:paraId="4DB44EC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1,320</w:t>
            </w:r>
          </w:p>
        </w:tc>
        <w:tc>
          <w:tcPr>
            <w:tcW w:w="1077" w:type="dxa"/>
            <w:tcBorders>
              <w:bottom w:val="nil"/>
              <w:right w:val="single" w:sz="4" w:space="0" w:color="auto"/>
            </w:tcBorders>
            <w:vAlign w:val="center"/>
          </w:tcPr>
          <w:p w14:paraId="193E6A0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11.09%</w:t>
            </w:r>
          </w:p>
        </w:tc>
        <w:tc>
          <w:tcPr>
            <w:tcW w:w="1474" w:type="dxa"/>
            <w:tcBorders>
              <w:left w:val="single" w:sz="4" w:space="0" w:color="auto"/>
              <w:bottom w:val="nil"/>
            </w:tcBorders>
            <w:vAlign w:val="center"/>
          </w:tcPr>
          <w:p w14:paraId="0A766A8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576</w:t>
            </w:r>
          </w:p>
        </w:tc>
        <w:tc>
          <w:tcPr>
            <w:tcW w:w="964" w:type="dxa"/>
            <w:tcBorders>
              <w:bottom w:val="nil"/>
              <w:right w:val="single" w:sz="4" w:space="0" w:color="auto"/>
            </w:tcBorders>
            <w:vAlign w:val="center"/>
          </w:tcPr>
          <w:p w14:paraId="7BE2A58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4.84%</w:t>
            </w:r>
          </w:p>
        </w:tc>
        <w:tc>
          <w:tcPr>
            <w:tcW w:w="1219" w:type="dxa"/>
            <w:tcBorders>
              <w:left w:val="single" w:sz="4" w:space="0" w:color="auto"/>
              <w:bottom w:val="nil"/>
            </w:tcBorders>
            <w:vAlign w:val="center"/>
          </w:tcPr>
          <w:p w14:paraId="40F4DAA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6,836</w:t>
            </w:r>
          </w:p>
        </w:tc>
        <w:tc>
          <w:tcPr>
            <w:tcW w:w="1219" w:type="dxa"/>
            <w:tcBorders>
              <w:bottom w:val="nil"/>
              <w:right w:val="single" w:sz="4" w:space="0" w:color="auto"/>
            </w:tcBorders>
            <w:vAlign w:val="center"/>
          </w:tcPr>
          <w:p w14:paraId="0C74EB8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57.42%</w:t>
            </w:r>
          </w:p>
        </w:tc>
      </w:tr>
      <w:tr w:rsidR="002418F8" w:rsidRPr="00E91515" w14:paraId="64E37D75"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6660F7CC"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vAlign w:val="center"/>
          </w:tcPr>
          <w:p w14:paraId="310F3EC7"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8,383</w:t>
            </w:r>
          </w:p>
        </w:tc>
        <w:tc>
          <w:tcPr>
            <w:tcW w:w="1021" w:type="dxa"/>
            <w:tcBorders>
              <w:top w:val="nil"/>
              <w:bottom w:val="single" w:sz="4" w:space="0" w:color="auto"/>
              <w:right w:val="single" w:sz="4" w:space="0" w:color="auto"/>
            </w:tcBorders>
            <w:vAlign w:val="center"/>
          </w:tcPr>
          <w:p w14:paraId="30E820D3"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70.42%</w:t>
            </w:r>
          </w:p>
        </w:tc>
        <w:tc>
          <w:tcPr>
            <w:tcW w:w="1389" w:type="dxa"/>
            <w:tcBorders>
              <w:top w:val="nil"/>
              <w:left w:val="single" w:sz="4" w:space="0" w:color="auto"/>
              <w:bottom w:val="single" w:sz="4" w:space="0" w:color="auto"/>
            </w:tcBorders>
            <w:vAlign w:val="center"/>
          </w:tcPr>
          <w:p w14:paraId="544011E6"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3,522</w:t>
            </w:r>
          </w:p>
        </w:tc>
        <w:tc>
          <w:tcPr>
            <w:tcW w:w="1049" w:type="dxa"/>
            <w:tcBorders>
              <w:top w:val="nil"/>
              <w:bottom w:val="single" w:sz="4" w:space="0" w:color="auto"/>
              <w:right w:val="single" w:sz="4" w:space="0" w:color="auto"/>
            </w:tcBorders>
            <w:vAlign w:val="center"/>
          </w:tcPr>
          <w:p w14:paraId="38FB76D4"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29.58%</w:t>
            </w:r>
          </w:p>
        </w:tc>
        <w:tc>
          <w:tcPr>
            <w:tcW w:w="1361" w:type="dxa"/>
            <w:tcBorders>
              <w:top w:val="nil"/>
              <w:left w:val="single" w:sz="4" w:space="0" w:color="auto"/>
              <w:bottom w:val="single" w:sz="4" w:space="0" w:color="auto"/>
            </w:tcBorders>
            <w:vAlign w:val="center"/>
          </w:tcPr>
          <w:p w14:paraId="220A676D"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2,608</w:t>
            </w:r>
          </w:p>
        </w:tc>
        <w:tc>
          <w:tcPr>
            <w:tcW w:w="1077" w:type="dxa"/>
            <w:tcBorders>
              <w:top w:val="nil"/>
              <w:bottom w:val="single" w:sz="4" w:space="0" w:color="auto"/>
              <w:right w:val="single" w:sz="4" w:space="0" w:color="auto"/>
            </w:tcBorders>
            <w:vAlign w:val="center"/>
          </w:tcPr>
          <w:p w14:paraId="042E9439"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21.91%</w:t>
            </w:r>
          </w:p>
        </w:tc>
        <w:tc>
          <w:tcPr>
            <w:tcW w:w="1474" w:type="dxa"/>
            <w:tcBorders>
              <w:top w:val="nil"/>
              <w:left w:val="single" w:sz="4" w:space="0" w:color="auto"/>
              <w:bottom w:val="single" w:sz="4" w:space="0" w:color="auto"/>
            </w:tcBorders>
            <w:vAlign w:val="center"/>
          </w:tcPr>
          <w:p w14:paraId="09F8F719"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914</w:t>
            </w:r>
          </w:p>
        </w:tc>
        <w:tc>
          <w:tcPr>
            <w:tcW w:w="964" w:type="dxa"/>
            <w:tcBorders>
              <w:top w:val="nil"/>
              <w:bottom w:val="single" w:sz="4" w:space="0" w:color="auto"/>
              <w:right w:val="single" w:sz="4" w:space="0" w:color="auto"/>
            </w:tcBorders>
            <w:vAlign w:val="center"/>
          </w:tcPr>
          <w:p w14:paraId="2F2C29E3"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7.68%</w:t>
            </w:r>
          </w:p>
        </w:tc>
        <w:tc>
          <w:tcPr>
            <w:tcW w:w="1219" w:type="dxa"/>
            <w:tcBorders>
              <w:top w:val="nil"/>
              <w:left w:val="single" w:sz="4" w:space="0" w:color="auto"/>
              <w:bottom w:val="single" w:sz="4" w:space="0" w:color="auto"/>
            </w:tcBorders>
            <w:vAlign w:val="center"/>
          </w:tcPr>
          <w:p w14:paraId="4C4FBEF5"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11,905</w:t>
            </w:r>
          </w:p>
        </w:tc>
        <w:tc>
          <w:tcPr>
            <w:tcW w:w="1219" w:type="dxa"/>
            <w:tcBorders>
              <w:top w:val="nil"/>
              <w:bottom w:val="single" w:sz="4" w:space="0" w:color="auto"/>
              <w:right w:val="single" w:sz="4" w:space="0" w:color="auto"/>
            </w:tcBorders>
            <w:vAlign w:val="center"/>
          </w:tcPr>
          <w:p w14:paraId="2A5DA083"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6.02%</w:t>
            </w:r>
          </w:p>
        </w:tc>
      </w:tr>
      <w:tr w:rsidR="001C4508" w:rsidRPr="00E91515" w14:paraId="1CB74754"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0650D05E" w14:textId="77777777" w:rsidR="00E91515" w:rsidRPr="00E91515" w:rsidRDefault="00E91515" w:rsidP="00CE2FDF">
            <w:pPr>
              <w:keepNext/>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2006</w:t>
            </w:r>
          </w:p>
        </w:tc>
        <w:tc>
          <w:tcPr>
            <w:tcW w:w="1417" w:type="dxa"/>
            <w:tcBorders>
              <w:top w:val="single" w:sz="4" w:space="0" w:color="auto"/>
              <w:left w:val="single" w:sz="4" w:space="0" w:color="auto"/>
            </w:tcBorders>
          </w:tcPr>
          <w:p w14:paraId="655657F9"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021" w:type="dxa"/>
            <w:tcBorders>
              <w:top w:val="single" w:sz="4" w:space="0" w:color="auto"/>
              <w:right w:val="single" w:sz="4" w:space="0" w:color="auto"/>
            </w:tcBorders>
          </w:tcPr>
          <w:p w14:paraId="3C79E3A4"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389" w:type="dxa"/>
            <w:tcBorders>
              <w:top w:val="single" w:sz="4" w:space="0" w:color="auto"/>
              <w:left w:val="single" w:sz="4" w:space="0" w:color="auto"/>
            </w:tcBorders>
          </w:tcPr>
          <w:p w14:paraId="2B1EF1E8"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049" w:type="dxa"/>
            <w:tcBorders>
              <w:top w:val="single" w:sz="4" w:space="0" w:color="auto"/>
              <w:right w:val="single" w:sz="4" w:space="0" w:color="auto"/>
            </w:tcBorders>
          </w:tcPr>
          <w:p w14:paraId="5D331743"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361" w:type="dxa"/>
            <w:tcBorders>
              <w:top w:val="single" w:sz="4" w:space="0" w:color="auto"/>
              <w:left w:val="single" w:sz="4" w:space="0" w:color="auto"/>
            </w:tcBorders>
          </w:tcPr>
          <w:p w14:paraId="0C105835"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077" w:type="dxa"/>
            <w:tcBorders>
              <w:top w:val="single" w:sz="4" w:space="0" w:color="auto"/>
              <w:right w:val="single" w:sz="4" w:space="0" w:color="auto"/>
            </w:tcBorders>
          </w:tcPr>
          <w:p w14:paraId="6A14AE30"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474" w:type="dxa"/>
            <w:tcBorders>
              <w:top w:val="single" w:sz="4" w:space="0" w:color="auto"/>
              <w:left w:val="single" w:sz="4" w:space="0" w:color="auto"/>
            </w:tcBorders>
          </w:tcPr>
          <w:p w14:paraId="366B4579"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964" w:type="dxa"/>
            <w:tcBorders>
              <w:top w:val="single" w:sz="4" w:space="0" w:color="auto"/>
              <w:right w:val="single" w:sz="4" w:space="0" w:color="auto"/>
            </w:tcBorders>
          </w:tcPr>
          <w:p w14:paraId="4C550B39"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left w:val="single" w:sz="4" w:space="0" w:color="auto"/>
            </w:tcBorders>
          </w:tcPr>
          <w:p w14:paraId="759C627E"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right w:val="single" w:sz="4" w:space="0" w:color="auto"/>
            </w:tcBorders>
          </w:tcPr>
          <w:p w14:paraId="0B7B8558" w14:textId="77777777" w:rsidR="00E91515" w:rsidRPr="00E91515" w:rsidRDefault="00E91515"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r>
      <w:tr w:rsidR="001C4508" w:rsidRPr="00E91515" w14:paraId="0ED6C01F"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E382A7F"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tcBorders>
            <w:vAlign w:val="center"/>
          </w:tcPr>
          <w:p w14:paraId="0BC320D5"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129</w:t>
            </w:r>
          </w:p>
        </w:tc>
        <w:tc>
          <w:tcPr>
            <w:tcW w:w="1021" w:type="dxa"/>
            <w:tcBorders>
              <w:right w:val="single" w:sz="4" w:space="0" w:color="auto"/>
            </w:tcBorders>
            <w:vAlign w:val="center"/>
          </w:tcPr>
          <w:p w14:paraId="57CF44EC"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0.98%</w:t>
            </w:r>
          </w:p>
        </w:tc>
        <w:tc>
          <w:tcPr>
            <w:tcW w:w="1389" w:type="dxa"/>
            <w:tcBorders>
              <w:left w:val="single" w:sz="4" w:space="0" w:color="auto"/>
            </w:tcBorders>
            <w:vAlign w:val="center"/>
          </w:tcPr>
          <w:p w14:paraId="4593FEC1"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78</w:t>
            </w:r>
          </w:p>
        </w:tc>
        <w:tc>
          <w:tcPr>
            <w:tcW w:w="1049" w:type="dxa"/>
            <w:tcBorders>
              <w:right w:val="single" w:sz="4" w:space="0" w:color="auto"/>
            </w:tcBorders>
            <w:vAlign w:val="center"/>
          </w:tcPr>
          <w:p w14:paraId="59A116F7"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0.59%</w:t>
            </w:r>
          </w:p>
        </w:tc>
        <w:tc>
          <w:tcPr>
            <w:tcW w:w="1361" w:type="dxa"/>
            <w:tcBorders>
              <w:left w:val="single" w:sz="4" w:space="0" w:color="auto"/>
            </w:tcBorders>
            <w:vAlign w:val="center"/>
          </w:tcPr>
          <w:p w14:paraId="13FAEE4E"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59</w:t>
            </w:r>
          </w:p>
        </w:tc>
        <w:tc>
          <w:tcPr>
            <w:tcW w:w="1077" w:type="dxa"/>
            <w:tcBorders>
              <w:right w:val="single" w:sz="4" w:space="0" w:color="auto"/>
            </w:tcBorders>
            <w:vAlign w:val="center"/>
          </w:tcPr>
          <w:p w14:paraId="1C94E162"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0.45%</w:t>
            </w:r>
          </w:p>
        </w:tc>
        <w:tc>
          <w:tcPr>
            <w:tcW w:w="1474" w:type="dxa"/>
            <w:tcBorders>
              <w:left w:val="single" w:sz="4" w:space="0" w:color="auto"/>
            </w:tcBorders>
            <w:vAlign w:val="center"/>
          </w:tcPr>
          <w:p w14:paraId="1697252D"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19</w:t>
            </w:r>
          </w:p>
        </w:tc>
        <w:tc>
          <w:tcPr>
            <w:tcW w:w="964" w:type="dxa"/>
            <w:tcBorders>
              <w:right w:val="single" w:sz="4" w:space="0" w:color="auto"/>
            </w:tcBorders>
            <w:vAlign w:val="center"/>
          </w:tcPr>
          <w:p w14:paraId="3F79E825"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0.14%</w:t>
            </w:r>
          </w:p>
        </w:tc>
        <w:tc>
          <w:tcPr>
            <w:tcW w:w="1219" w:type="dxa"/>
            <w:tcBorders>
              <w:left w:val="single" w:sz="4" w:space="0" w:color="auto"/>
            </w:tcBorders>
            <w:vAlign w:val="center"/>
          </w:tcPr>
          <w:p w14:paraId="42CBA124"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207</w:t>
            </w:r>
          </w:p>
        </w:tc>
        <w:tc>
          <w:tcPr>
            <w:tcW w:w="1219" w:type="dxa"/>
            <w:tcBorders>
              <w:right w:val="single" w:sz="4" w:space="0" w:color="auto"/>
            </w:tcBorders>
            <w:vAlign w:val="center"/>
          </w:tcPr>
          <w:p w14:paraId="18F1C9C8"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1.57%</w:t>
            </w:r>
          </w:p>
        </w:tc>
      </w:tr>
      <w:tr w:rsidR="001C4508" w:rsidRPr="00E91515" w14:paraId="7B1E2B54"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F951D28"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tcBorders>
            <w:vAlign w:val="center"/>
          </w:tcPr>
          <w:p w14:paraId="768C74B3"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409</w:t>
            </w:r>
          </w:p>
        </w:tc>
        <w:tc>
          <w:tcPr>
            <w:tcW w:w="1021" w:type="dxa"/>
            <w:tcBorders>
              <w:right w:val="single" w:sz="4" w:space="0" w:color="auto"/>
            </w:tcBorders>
            <w:vAlign w:val="center"/>
          </w:tcPr>
          <w:p w14:paraId="0565E9D2"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3.10%</w:t>
            </w:r>
          </w:p>
        </w:tc>
        <w:tc>
          <w:tcPr>
            <w:tcW w:w="1389" w:type="dxa"/>
            <w:tcBorders>
              <w:left w:val="single" w:sz="4" w:space="0" w:color="auto"/>
            </w:tcBorders>
            <w:vAlign w:val="center"/>
          </w:tcPr>
          <w:p w14:paraId="31C7DB42"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289</w:t>
            </w:r>
          </w:p>
        </w:tc>
        <w:tc>
          <w:tcPr>
            <w:tcW w:w="1049" w:type="dxa"/>
            <w:tcBorders>
              <w:right w:val="single" w:sz="4" w:space="0" w:color="auto"/>
            </w:tcBorders>
            <w:vAlign w:val="center"/>
          </w:tcPr>
          <w:p w14:paraId="5B332EC5"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2.19%</w:t>
            </w:r>
          </w:p>
        </w:tc>
        <w:tc>
          <w:tcPr>
            <w:tcW w:w="1361" w:type="dxa"/>
            <w:tcBorders>
              <w:left w:val="single" w:sz="4" w:space="0" w:color="auto"/>
            </w:tcBorders>
            <w:vAlign w:val="center"/>
          </w:tcPr>
          <w:p w14:paraId="55961375"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200</w:t>
            </w:r>
          </w:p>
        </w:tc>
        <w:tc>
          <w:tcPr>
            <w:tcW w:w="1077" w:type="dxa"/>
            <w:tcBorders>
              <w:right w:val="single" w:sz="4" w:space="0" w:color="auto"/>
            </w:tcBorders>
            <w:vAlign w:val="center"/>
          </w:tcPr>
          <w:p w14:paraId="79754BD0"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1.51%</w:t>
            </w:r>
          </w:p>
        </w:tc>
        <w:tc>
          <w:tcPr>
            <w:tcW w:w="1474" w:type="dxa"/>
            <w:tcBorders>
              <w:left w:val="single" w:sz="4" w:space="0" w:color="auto"/>
            </w:tcBorders>
            <w:vAlign w:val="center"/>
          </w:tcPr>
          <w:p w14:paraId="23EA6260"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89</w:t>
            </w:r>
          </w:p>
        </w:tc>
        <w:tc>
          <w:tcPr>
            <w:tcW w:w="964" w:type="dxa"/>
            <w:tcBorders>
              <w:right w:val="single" w:sz="4" w:space="0" w:color="auto"/>
            </w:tcBorders>
            <w:vAlign w:val="center"/>
          </w:tcPr>
          <w:p w14:paraId="71CCC16F"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0.67%</w:t>
            </w:r>
          </w:p>
        </w:tc>
        <w:tc>
          <w:tcPr>
            <w:tcW w:w="1219" w:type="dxa"/>
            <w:tcBorders>
              <w:left w:val="single" w:sz="4" w:space="0" w:color="auto"/>
            </w:tcBorders>
            <w:vAlign w:val="center"/>
          </w:tcPr>
          <w:p w14:paraId="5725A0E1"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698</w:t>
            </w:r>
          </w:p>
        </w:tc>
        <w:tc>
          <w:tcPr>
            <w:tcW w:w="1219" w:type="dxa"/>
            <w:tcBorders>
              <w:right w:val="single" w:sz="4" w:space="0" w:color="auto"/>
            </w:tcBorders>
            <w:vAlign w:val="center"/>
          </w:tcPr>
          <w:p w14:paraId="5999C4C2"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5.28%</w:t>
            </w:r>
          </w:p>
        </w:tc>
      </w:tr>
      <w:tr w:rsidR="001C4508" w:rsidRPr="00E91515" w14:paraId="14D95ED4"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F712216"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tcBorders>
            <w:vAlign w:val="center"/>
          </w:tcPr>
          <w:p w14:paraId="42358779"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2,623</w:t>
            </w:r>
          </w:p>
        </w:tc>
        <w:tc>
          <w:tcPr>
            <w:tcW w:w="1021" w:type="dxa"/>
            <w:tcBorders>
              <w:right w:val="single" w:sz="4" w:space="0" w:color="auto"/>
            </w:tcBorders>
            <w:vAlign w:val="center"/>
          </w:tcPr>
          <w:p w14:paraId="1A9B12DD"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19.85%</w:t>
            </w:r>
          </w:p>
        </w:tc>
        <w:tc>
          <w:tcPr>
            <w:tcW w:w="1389" w:type="dxa"/>
            <w:tcBorders>
              <w:left w:val="single" w:sz="4" w:space="0" w:color="auto"/>
            </w:tcBorders>
            <w:vAlign w:val="center"/>
          </w:tcPr>
          <w:p w14:paraId="4A2F5CF6"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1,072</w:t>
            </w:r>
          </w:p>
        </w:tc>
        <w:tc>
          <w:tcPr>
            <w:tcW w:w="1049" w:type="dxa"/>
            <w:tcBorders>
              <w:right w:val="single" w:sz="4" w:space="0" w:color="auto"/>
            </w:tcBorders>
            <w:vAlign w:val="center"/>
          </w:tcPr>
          <w:p w14:paraId="160E1772"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8.11%</w:t>
            </w:r>
          </w:p>
        </w:tc>
        <w:tc>
          <w:tcPr>
            <w:tcW w:w="1361" w:type="dxa"/>
            <w:tcBorders>
              <w:left w:val="single" w:sz="4" w:space="0" w:color="auto"/>
            </w:tcBorders>
            <w:vAlign w:val="center"/>
          </w:tcPr>
          <w:p w14:paraId="35A62E3B"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885</w:t>
            </w:r>
          </w:p>
        </w:tc>
        <w:tc>
          <w:tcPr>
            <w:tcW w:w="1077" w:type="dxa"/>
            <w:tcBorders>
              <w:right w:val="single" w:sz="4" w:space="0" w:color="auto"/>
            </w:tcBorders>
            <w:vAlign w:val="center"/>
          </w:tcPr>
          <w:p w14:paraId="434861A7"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6.70%</w:t>
            </w:r>
          </w:p>
        </w:tc>
        <w:tc>
          <w:tcPr>
            <w:tcW w:w="1474" w:type="dxa"/>
            <w:tcBorders>
              <w:left w:val="single" w:sz="4" w:space="0" w:color="auto"/>
            </w:tcBorders>
            <w:vAlign w:val="center"/>
          </w:tcPr>
          <w:p w14:paraId="4AD723CD"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187</w:t>
            </w:r>
          </w:p>
        </w:tc>
        <w:tc>
          <w:tcPr>
            <w:tcW w:w="964" w:type="dxa"/>
            <w:tcBorders>
              <w:right w:val="single" w:sz="4" w:space="0" w:color="auto"/>
            </w:tcBorders>
            <w:vAlign w:val="center"/>
          </w:tcPr>
          <w:p w14:paraId="3A854B09"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1.42%</w:t>
            </w:r>
          </w:p>
        </w:tc>
        <w:tc>
          <w:tcPr>
            <w:tcW w:w="1219" w:type="dxa"/>
            <w:tcBorders>
              <w:left w:val="single" w:sz="4" w:space="0" w:color="auto"/>
            </w:tcBorders>
            <w:vAlign w:val="center"/>
          </w:tcPr>
          <w:p w14:paraId="269C70C3"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3,695</w:t>
            </w:r>
          </w:p>
        </w:tc>
        <w:tc>
          <w:tcPr>
            <w:tcW w:w="1219" w:type="dxa"/>
            <w:tcBorders>
              <w:right w:val="single" w:sz="4" w:space="0" w:color="auto"/>
            </w:tcBorders>
            <w:vAlign w:val="center"/>
          </w:tcPr>
          <w:p w14:paraId="5A9EB02C"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27.97%</w:t>
            </w:r>
          </w:p>
        </w:tc>
      </w:tr>
      <w:tr w:rsidR="001C4508" w:rsidRPr="00E91515" w14:paraId="5C0FFEB3"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217B27F"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vAlign w:val="center"/>
          </w:tcPr>
          <w:p w14:paraId="122796EB"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682</w:t>
            </w:r>
          </w:p>
        </w:tc>
        <w:tc>
          <w:tcPr>
            <w:tcW w:w="1021" w:type="dxa"/>
            <w:tcBorders>
              <w:right w:val="single" w:sz="4" w:space="0" w:color="auto"/>
            </w:tcBorders>
            <w:vAlign w:val="center"/>
          </w:tcPr>
          <w:p w14:paraId="13D574B0"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5.16%</w:t>
            </w:r>
          </w:p>
        </w:tc>
        <w:tc>
          <w:tcPr>
            <w:tcW w:w="1389" w:type="dxa"/>
            <w:tcBorders>
              <w:left w:val="single" w:sz="4" w:space="0" w:color="auto"/>
            </w:tcBorders>
            <w:vAlign w:val="center"/>
          </w:tcPr>
          <w:p w14:paraId="7EEA4A11"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240</w:t>
            </w:r>
          </w:p>
        </w:tc>
        <w:tc>
          <w:tcPr>
            <w:tcW w:w="1049" w:type="dxa"/>
            <w:tcBorders>
              <w:right w:val="single" w:sz="4" w:space="0" w:color="auto"/>
            </w:tcBorders>
            <w:vAlign w:val="center"/>
          </w:tcPr>
          <w:p w14:paraId="7D286EF9"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1.82%</w:t>
            </w:r>
          </w:p>
        </w:tc>
        <w:tc>
          <w:tcPr>
            <w:tcW w:w="1361" w:type="dxa"/>
            <w:tcBorders>
              <w:left w:val="single" w:sz="4" w:space="0" w:color="auto"/>
            </w:tcBorders>
            <w:vAlign w:val="center"/>
          </w:tcPr>
          <w:p w14:paraId="13364FF4"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149</w:t>
            </w:r>
          </w:p>
        </w:tc>
        <w:tc>
          <w:tcPr>
            <w:tcW w:w="1077" w:type="dxa"/>
            <w:tcBorders>
              <w:right w:val="single" w:sz="4" w:space="0" w:color="auto"/>
            </w:tcBorders>
            <w:vAlign w:val="center"/>
          </w:tcPr>
          <w:p w14:paraId="25A6031B"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1.13%</w:t>
            </w:r>
          </w:p>
        </w:tc>
        <w:tc>
          <w:tcPr>
            <w:tcW w:w="1474" w:type="dxa"/>
            <w:tcBorders>
              <w:left w:val="single" w:sz="4" w:space="0" w:color="auto"/>
            </w:tcBorders>
            <w:vAlign w:val="center"/>
          </w:tcPr>
          <w:p w14:paraId="6CD1F6E0"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91</w:t>
            </w:r>
          </w:p>
        </w:tc>
        <w:tc>
          <w:tcPr>
            <w:tcW w:w="964" w:type="dxa"/>
            <w:tcBorders>
              <w:right w:val="single" w:sz="4" w:space="0" w:color="auto"/>
            </w:tcBorders>
            <w:vAlign w:val="center"/>
          </w:tcPr>
          <w:p w14:paraId="4DF8E7EF"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0.69%</w:t>
            </w:r>
          </w:p>
        </w:tc>
        <w:tc>
          <w:tcPr>
            <w:tcW w:w="1219" w:type="dxa"/>
            <w:tcBorders>
              <w:left w:val="single" w:sz="4" w:space="0" w:color="auto"/>
            </w:tcBorders>
            <w:vAlign w:val="center"/>
          </w:tcPr>
          <w:p w14:paraId="60E69FB4"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922</w:t>
            </w:r>
          </w:p>
        </w:tc>
        <w:tc>
          <w:tcPr>
            <w:tcW w:w="1219" w:type="dxa"/>
            <w:tcBorders>
              <w:right w:val="single" w:sz="4" w:space="0" w:color="auto"/>
            </w:tcBorders>
            <w:vAlign w:val="center"/>
          </w:tcPr>
          <w:p w14:paraId="0A899B1B" w14:textId="77777777" w:rsidR="004A1081" w:rsidRPr="00E91515" w:rsidRDefault="004A10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6.98%</w:t>
            </w:r>
          </w:p>
        </w:tc>
      </w:tr>
      <w:tr w:rsidR="001C4508" w:rsidRPr="00E91515" w14:paraId="5A35EDCF"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CAAF317"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tcBorders>
            <w:vAlign w:val="center"/>
          </w:tcPr>
          <w:p w14:paraId="753C9FEE"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50</w:t>
            </w:r>
          </w:p>
        </w:tc>
        <w:tc>
          <w:tcPr>
            <w:tcW w:w="1021" w:type="dxa"/>
            <w:tcBorders>
              <w:right w:val="single" w:sz="4" w:space="0" w:color="auto"/>
            </w:tcBorders>
            <w:vAlign w:val="center"/>
          </w:tcPr>
          <w:p w14:paraId="31D060ED"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0.38%</w:t>
            </w:r>
          </w:p>
        </w:tc>
        <w:tc>
          <w:tcPr>
            <w:tcW w:w="1389" w:type="dxa"/>
            <w:tcBorders>
              <w:left w:val="single" w:sz="4" w:space="0" w:color="auto"/>
            </w:tcBorders>
            <w:vAlign w:val="center"/>
          </w:tcPr>
          <w:p w14:paraId="22233A7E"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27</w:t>
            </w:r>
          </w:p>
        </w:tc>
        <w:tc>
          <w:tcPr>
            <w:tcW w:w="1049" w:type="dxa"/>
            <w:tcBorders>
              <w:right w:val="single" w:sz="4" w:space="0" w:color="auto"/>
            </w:tcBorders>
            <w:vAlign w:val="center"/>
          </w:tcPr>
          <w:p w14:paraId="3C87B7CF"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0.20%</w:t>
            </w:r>
          </w:p>
        </w:tc>
        <w:tc>
          <w:tcPr>
            <w:tcW w:w="1361" w:type="dxa"/>
            <w:tcBorders>
              <w:left w:val="single" w:sz="4" w:space="0" w:color="auto"/>
            </w:tcBorders>
            <w:vAlign w:val="center"/>
          </w:tcPr>
          <w:p w14:paraId="3DA35757"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12</w:t>
            </w:r>
          </w:p>
        </w:tc>
        <w:tc>
          <w:tcPr>
            <w:tcW w:w="1077" w:type="dxa"/>
            <w:tcBorders>
              <w:right w:val="single" w:sz="4" w:space="0" w:color="auto"/>
            </w:tcBorders>
            <w:vAlign w:val="center"/>
          </w:tcPr>
          <w:p w14:paraId="3E5A87F6"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0.09%</w:t>
            </w:r>
          </w:p>
        </w:tc>
        <w:tc>
          <w:tcPr>
            <w:tcW w:w="1474" w:type="dxa"/>
            <w:tcBorders>
              <w:left w:val="single" w:sz="4" w:space="0" w:color="auto"/>
            </w:tcBorders>
            <w:vAlign w:val="center"/>
          </w:tcPr>
          <w:p w14:paraId="321EBCAA"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w:t>
            </w:r>
          </w:p>
        </w:tc>
        <w:tc>
          <w:tcPr>
            <w:tcW w:w="964" w:type="dxa"/>
            <w:tcBorders>
              <w:right w:val="single" w:sz="4" w:space="0" w:color="auto"/>
            </w:tcBorders>
            <w:vAlign w:val="center"/>
          </w:tcPr>
          <w:p w14:paraId="6038867F"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0.11%</w:t>
            </w:r>
          </w:p>
        </w:tc>
        <w:tc>
          <w:tcPr>
            <w:tcW w:w="1219" w:type="dxa"/>
            <w:tcBorders>
              <w:left w:val="single" w:sz="4" w:space="0" w:color="auto"/>
            </w:tcBorders>
            <w:vAlign w:val="center"/>
          </w:tcPr>
          <w:p w14:paraId="738C8D93"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77</w:t>
            </w:r>
          </w:p>
        </w:tc>
        <w:tc>
          <w:tcPr>
            <w:tcW w:w="1219" w:type="dxa"/>
            <w:tcBorders>
              <w:right w:val="single" w:sz="4" w:space="0" w:color="auto"/>
            </w:tcBorders>
            <w:vAlign w:val="center"/>
          </w:tcPr>
          <w:p w14:paraId="72203FA1" w14:textId="77777777" w:rsidR="004A1081" w:rsidRPr="00E91515" w:rsidRDefault="004A1081"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0.58%</w:t>
            </w:r>
          </w:p>
        </w:tc>
      </w:tr>
      <w:tr w:rsidR="001C4508" w:rsidRPr="00E91515" w14:paraId="0F26F7A1"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1F114CF"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tcBorders>
            <w:vAlign w:val="center"/>
          </w:tcPr>
          <w:p w14:paraId="78B837A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3,893</w:t>
            </w:r>
          </w:p>
        </w:tc>
        <w:tc>
          <w:tcPr>
            <w:tcW w:w="1021" w:type="dxa"/>
            <w:tcBorders>
              <w:right w:val="single" w:sz="4" w:space="0" w:color="auto"/>
            </w:tcBorders>
            <w:vAlign w:val="center"/>
          </w:tcPr>
          <w:p w14:paraId="4E3B84B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29.47%</w:t>
            </w:r>
          </w:p>
        </w:tc>
        <w:tc>
          <w:tcPr>
            <w:tcW w:w="1389" w:type="dxa"/>
            <w:tcBorders>
              <w:left w:val="single" w:sz="4" w:space="0" w:color="auto"/>
            </w:tcBorders>
            <w:vAlign w:val="center"/>
          </w:tcPr>
          <w:p w14:paraId="5C6031B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1,706</w:t>
            </w:r>
          </w:p>
        </w:tc>
        <w:tc>
          <w:tcPr>
            <w:tcW w:w="1049" w:type="dxa"/>
            <w:tcBorders>
              <w:right w:val="single" w:sz="4" w:space="0" w:color="auto"/>
            </w:tcBorders>
            <w:vAlign w:val="center"/>
          </w:tcPr>
          <w:p w14:paraId="7160C26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12.91%</w:t>
            </w:r>
          </w:p>
        </w:tc>
        <w:tc>
          <w:tcPr>
            <w:tcW w:w="1361" w:type="dxa"/>
            <w:tcBorders>
              <w:left w:val="single" w:sz="4" w:space="0" w:color="auto"/>
            </w:tcBorders>
            <w:vAlign w:val="center"/>
          </w:tcPr>
          <w:p w14:paraId="280FB43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1,305</w:t>
            </w:r>
          </w:p>
        </w:tc>
        <w:tc>
          <w:tcPr>
            <w:tcW w:w="1077" w:type="dxa"/>
            <w:tcBorders>
              <w:right w:val="single" w:sz="4" w:space="0" w:color="auto"/>
            </w:tcBorders>
            <w:vAlign w:val="center"/>
          </w:tcPr>
          <w:p w14:paraId="7D81ECC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9.88%</w:t>
            </w:r>
          </w:p>
        </w:tc>
        <w:tc>
          <w:tcPr>
            <w:tcW w:w="1474" w:type="dxa"/>
            <w:tcBorders>
              <w:left w:val="single" w:sz="4" w:space="0" w:color="auto"/>
            </w:tcBorders>
            <w:vAlign w:val="center"/>
          </w:tcPr>
          <w:p w14:paraId="7C66B5E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401</w:t>
            </w:r>
          </w:p>
        </w:tc>
        <w:tc>
          <w:tcPr>
            <w:tcW w:w="964" w:type="dxa"/>
            <w:tcBorders>
              <w:right w:val="single" w:sz="4" w:space="0" w:color="auto"/>
            </w:tcBorders>
            <w:vAlign w:val="center"/>
          </w:tcPr>
          <w:p w14:paraId="0B5E920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3.04%</w:t>
            </w:r>
          </w:p>
        </w:tc>
        <w:tc>
          <w:tcPr>
            <w:tcW w:w="1219" w:type="dxa"/>
            <w:tcBorders>
              <w:left w:val="single" w:sz="4" w:space="0" w:color="auto"/>
            </w:tcBorders>
            <w:vAlign w:val="center"/>
          </w:tcPr>
          <w:p w14:paraId="4614E84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5,599</w:t>
            </w:r>
          </w:p>
        </w:tc>
        <w:tc>
          <w:tcPr>
            <w:tcW w:w="1219" w:type="dxa"/>
            <w:tcBorders>
              <w:right w:val="single" w:sz="4" w:space="0" w:color="auto"/>
            </w:tcBorders>
            <w:vAlign w:val="center"/>
          </w:tcPr>
          <w:p w14:paraId="2B203F3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42.38%</w:t>
            </w:r>
          </w:p>
        </w:tc>
      </w:tr>
      <w:tr w:rsidR="001C4508" w:rsidRPr="00E91515" w14:paraId="2548236F" w14:textId="77777777" w:rsidTr="00B605C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64F6A79D"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tcBorders>
            <w:vAlign w:val="center"/>
          </w:tcPr>
          <w:p w14:paraId="658920D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5,529</w:t>
            </w:r>
          </w:p>
        </w:tc>
        <w:tc>
          <w:tcPr>
            <w:tcW w:w="1021" w:type="dxa"/>
            <w:tcBorders>
              <w:bottom w:val="nil"/>
              <w:right w:val="single" w:sz="4" w:space="0" w:color="auto"/>
            </w:tcBorders>
            <w:vAlign w:val="center"/>
          </w:tcPr>
          <w:p w14:paraId="58BE3DD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41.85%</w:t>
            </w:r>
          </w:p>
        </w:tc>
        <w:tc>
          <w:tcPr>
            <w:tcW w:w="1389" w:type="dxa"/>
            <w:tcBorders>
              <w:left w:val="single" w:sz="4" w:space="0" w:color="auto"/>
              <w:bottom w:val="nil"/>
            </w:tcBorders>
            <w:vAlign w:val="center"/>
          </w:tcPr>
          <w:p w14:paraId="1557112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2,084</w:t>
            </w:r>
          </w:p>
        </w:tc>
        <w:tc>
          <w:tcPr>
            <w:tcW w:w="1049" w:type="dxa"/>
            <w:tcBorders>
              <w:bottom w:val="nil"/>
              <w:right w:val="single" w:sz="4" w:space="0" w:color="auto"/>
            </w:tcBorders>
            <w:vAlign w:val="center"/>
          </w:tcPr>
          <w:p w14:paraId="48392FC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15.77%</w:t>
            </w:r>
          </w:p>
        </w:tc>
        <w:tc>
          <w:tcPr>
            <w:tcW w:w="1361" w:type="dxa"/>
            <w:tcBorders>
              <w:left w:val="single" w:sz="4" w:space="0" w:color="auto"/>
              <w:bottom w:val="nil"/>
            </w:tcBorders>
            <w:vAlign w:val="center"/>
          </w:tcPr>
          <w:p w14:paraId="54E9AFE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1,474</w:t>
            </w:r>
          </w:p>
        </w:tc>
        <w:tc>
          <w:tcPr>
            <w:tcW w:w="1077" w:type="dxa"/>
            <w:tcBorders>
              <w:bottom w:val="nil"/>
              <w:right w:val="single" w:sz="4" w:space="0" w:color="auto"/>
            </w:tcBorders>
            <w:vAlign w:val="center"/>
          </w:tcPr>
          <w:p w14:paraId="240DA12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11.16%</w:t>
            </w:r>
          </w:p>
        </w:tc>
        <w:tc>
          <w:tcPr>
            <w:tcW w:w="1474" w:type="dxa"/>
            <w:tcBorders>
              <w:left w:val="single" w:sz="4" w:space="0" w:color="auto"/>
              <w:bottom w:val="nil"/>
            </w:tcBorders>
            <w:vAlign w:val="center"/>
          </w:tcPr>
          <w:p w14:paraId="39ED5C5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610</w:t>
            </w:r>
          </w:p>
        </w:tc>
        <w:tc>
          <w:tcPr>
            <w:tcW w:w="964" w:type="dxa"/>
            <w:tcBorders>
              <w:bottom w:val="nil"/>
              <w:right w:val="single" w:sz="4" w:space="0" w:color="auto"/>
            </w:tcBorders>
            <w:vAlign w:val="center"/>
          </w:tcPr>
          <w:p w14:paraId="61FD693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4.62%</w:t>
            </w:r>
          </w:p>
        </w:tc>
        <w:tc>
          <w:tcPr>
            <w:tcW w:w="1219" w:type="dxa"/>
            <w:tcBorders>
              <w:left w:val="single" w:sz="4" w:space="0" w:color="auto"/>
              <w:bottom w:val="nil"/>
            </w:tcBorders>
            <w:vAlign w:val="center"/>
          </w:tcPr>
          <w:p w14:paraId="51BB93B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7,613</w:t>
            </w:r>
          </w:p>
        </w:tc>
        <w:tc>
          <w:tcPr>
            <w:tcW w:w="1219" w:type="dxa"/>
            <w:tcBorders>
              <w:bottom w:val="nil"/>
              <w:right w:val="single" w:sz="4" w:space="0" w:color="auto"/>
            </w:tcBorders>
            <w:vAlign w:val="center"/>
          </w:tcPr>
          <w:p w14:paraId="241DC62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57.62%</w:t>
            </w:r>
          </w:p>
        </w:tc>
      </w:tr>
      <w:tr w:rsidR="001C4508" w:rsidRPr="00E91515" w14:paraId="77A53362" w14:textId="77777777" w:rsidTr="00B605CE">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5B841B8F"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vAlign w:val="center"/>
          </w:tcPr>
          <w:p w14:paraId="76222CA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9,422</w:t>
            </w:r>
          </w:p>
        </w:tc>
        <w:tc>
          <w:tcPr>
            <w:tcW w:w="1021" w:type="dxa"/>
            <w:tcBorders>
              <w:top w:val="nil"/>
              <w:bottom w:val="single" w:sz="4" w:space="0" w:color="auto"/>
              <w:right w:val="single" w:sz="4" w:space="0" w:color="auto"/>
            </w:tcBorders>
            <w:vAlign w:val="center"/>
          </w:tcPr>
          <w:p w14:paraId="18186F4B"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71.31%</w:t>
            </w:r>
          </w:p>
        </w:tc>
        <w:tc>
          <w:tcPr>
            <w:tcW w:w="1389" w:type="dxa"/>
            <w:tcBorders>
              <w:top w:val="nil"/>
              <w:left w:val="single" w:sz="4" w:space="0" w:color="auto"/>
              <w:bottom w:val="single" w:sz="4" w:space="0" w:color="auto"/>
            </w:tcBorders>
            <w:vAlign w:val="center"/>
          </w:tcPr>
          <w:p w14:paraId="7C725BB2"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3,790</w:t>
            </w:r>
          </w:p>
        </w:tc>
        <w:tc>
          <w:tcPr>
            <w:tcW w:w="1049" w:type="dxa"/>
            <w:tcBorders>
              <w:top w:val="nil"/>
              <w:bottom w:val="single" w:sz="4" w:space="0" w:color="auto"/>
              <w:right w:val="single" w:sz="4" w:space="0" w:color="auto"/>
            </w:tcBorders>
            <w:vAlign w:val="center"/>
          </w:tcPr>
          <w:p w14:paraId="4A34B87F"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28.69%</w:t>
            </w:r>
          </w:p>
        </w:tc>
        <w:tc>
          <w:tcPr>
            <w:tcW w:w="1361" w:type="dxa"/>
            <w:tcBorders>
              <w:top w:val="nil"/>
              <w:left w:val="single" w:sz="4" w:space="0" w:color="auto"/>
              <w:bottom w:val="single" w:sz="4" w:space="0" w:color="auto"/>
            </w:tcBorders>
            <w:vAlign w:val="center"/>
          </w:tcPr>
          <w:p w14:paraId="6396AB4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2,779</w:t>
            </w:r>
          </w:p>
        </w:tc>
        <w:tc>
          <w:tcPr>
            <w:tcW w:w="1077" w:type="dxa"/>
            <w:tcBorders>
              <w:top w:val="nil"/>
              <w:bottom w:val="single" w:sz="4" w:space="0" w:color="auto"/>
              <w:right w:val="single" w:sz="4" w:space="0" w:color="auto"/>
            </w:tcBorders>
            <w:vAlign w:val="center"/>
          </w:tcPr>
          <w:p w14:paraId="263616D8"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21.03%</w:t>
            </w:r>
          </w:p>
        </w:tc>
        <w:tc>
          <w:tcPr>
            <w:tcW w:w="1474" w:type="dxa"/>
            <w:tcBorders>
              <w:top w:val="nil"/>
              <w:left w:val="single" w:sz="4" w:space="0" w:color="auto"/>
              <w:bottom w:val="single" w:sz="4" w:space="0" w:color="auto"/>
            </w:tcBorders>
            <w:vAlign w:val="center"/>
          </w:tcPr>
          <w:p w14:paraId="04171199"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1,011</w:t>
            </w:r>
          </w:p>
        </w:tc>
        <w:tc>
          <w:tcPr>
            <w:tcW w:w="964" w:type="dxa"/>
            <w:tcBorders>
              <w:top w:val="nil"/>
              <w:bottom w:val="single" w:sz="4" w:space="0" w:color="auto"/>
              <w:right w:val="single" w:sz="4" w:space="0" w:color="auto"/>
            </w:tcBorders>
            <w:vAlign w:val="center"/>
          </w:tcPr>
          <w:p w14:paraId="040AC5BF"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7.65%</w:t>
            </w:r>
          </w:p>
        </w:tc>
        <w:tc>
          <w:tcPr>
            <w:tcW w:w="1219" w:type="dxa"/>
            <w:tcBorders>
              <w:top w:val="nil"/>
              <w:left w:val="single" w:sz="4" w:space="0" w:color="auto"/>
              <w:bottom w:val="single" w:sz="4" w:space="0" w:color="auto"/>
            </w:tcBorders>
            <w:vAlign w:val="center"/>
          </w:tcPr>
          <w:p w14:paraId="2C50D57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13,212</w:t>
            </w:r>
          </w:p>
        </w:tc>
        <w:tc>
          <w:tcPr>
            <w:tcW w:w="1219" w:type="dxa"/>
            <w:tcBorders>
              <w:top w:val="nil"/>
              <w:bottom w:val="single" w:sz="4" w:space="0" w:color="auto"/>
              <w:right w:val="single" w:sz="4" w:space="0" w:color="auto"/>
            </w:tcBorders>
            <w:vAlign w:val="center"/>
          </w:tcPr>
          <w:p w14:paraId="341A7FC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6.68%</w:t>
            </w:r>
          </w:p>
        </w:tc>
      </w:tr>
    </w:tbl>
    <w:p w14:paraId="17B12FFD" w14:textId="1DE072AB" w:rsidR="001C4508" w:rsidRDefault="001C4508" w:rsidP="006B0113">
      <w:pPr>
        <w:spacing w:before="0"/>
      </w:pPr>
    </w:p>
    <w:p w14:paraId="5EF65487" w14:textId="77777777" w:rsidR="006B0113" w:rsidRDefault="006B0113" w:rsidP="006B0113">
      <w:pPr>
        <w:spacing w:before="0"/>
      </w:pPr>
    </w:p>
    <w:tbl>
      <w:tblPr>
        <w:tblStyle w:val="LightShading-Accent3"/>
        <w:tblW w:w="14425" w:type="dxa"/>
        <w:tblLayout w:type="fixed"/>
        <w:tblLook w:val="04A0" w:firstRow="1" w:lastRow="0" w:firstColumn="1" w:lastColumn="0" w:noHBand="0" w:noVBand="1"/>
        <w:tblCaption w:val="Number of reports of emotional abuse, by year, reporter group, and outcome"/>
      </w:tblPr>
      <w:tblGrid>
        <w:gridCol w:w="2235"/>
        <w:gridCol w:w="1417"/>
        <w:gridCol w:w="1021"/>
        <w:gridCol w:w="1389"/>
        <w:gridCol w:w="1049"/>
        <w:gridCol w:w="1361"/>
        <w:gridCol w:w="1077"/>
        <w:gridCol w:w="1474"/>
        <w:gridCol w:w="964"/>
        <w:gridCol w:w="1219"/>
        <w:gridCol w:w="1219"/>
      </w:tblGrid>
      <w:tr w:rsidR="001C4508" w:rsidRPr="00E91515" w14:paraId="351D1681"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038ABA48" w14:textId="77777777" w:rsidR="001C4508" w:rsidRPr="00E91515" w:rsidRDefault="001C4508" w:rsidP="00CE2FDF">
            <w:pPr>
              <w:keepNext/>
              <w:tabs>
                <w:tab w:val="left" w:pos="1134"/>
              </w:tabs>
              <w:spacing w:before="0" w:line="276" w:lineRule="auto"/>
              <w:jc w:val="center"/>
              <w:rPr>
                <w:rFonts w:eastAsia="Times New Roman" w:cs="Arial"/>
                <w:color w:val="auto"/>
                <w:sz w:val="20"/>
                <w:szCs w:val="20"/>
                <w:lang w:eastAsia="en-AU"/>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C190690"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71DBB2B"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AA2605F"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258111A"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794DE33"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Total</w:t>
            </w:r>
          </w:p>
        </w:tc>
      </w:tr>
      <w:tr w:rsidR="002418F8" w:rsidRPr="00E91515" w14:paraId="57088158"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37F533BF"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2007</w:t>
            </w:r>
          </w:p>
        </w:tc>
        <w:tc>
          <w:tcPr>
            <w:tcW w:w="1417" w:type="dxa"/>
            <w:tcBorders>
              <w:top w:val="single" w:sz="4" w:space="0" w:color="auto"/>
              <w:left w:val="single" w:sz="4" w:space="0" w:color="auto"/>
            </w:tcBorders>
            <w:vAlign w:val="center"/>
          </w:tcPr>
          <w:p w14:paraId="54CEFAE8"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021" w:type="dxa"/>
            <w:tcBorders>
              <w:top w:val="single" w:sz="4" w:space="0" w:color="auto"/>
              <w:right w:val="single" w:sz="4" w:space="0" w:color="auto"/>
            </w:tcBorders>
            <w:vAlign w:val="center"/>
          </w:tcPr>
          <w:p w14:paraId="237C6BED"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389" w:type="dxa"/>
            <w:tcBorders>
              <w:top w:val="single" w:sz="4" w:space="0" w:color="auto"/>
              <w:left w:val="single" w:sz="4" w:space="0" w:color="auto"/>
            </w:tcBorders>
            <w:vAlign w:val="center"/>
          </w:tcPr>
          <w:p w14:paraId="77452E2C"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049" w:type="dxa"/>
            <w:tcBorders>
              <w:top w:val="single" w:sz="4" w:space="0" w:color="auto"/>
              <w:right w:val="single" w:sz="4" w:space="0" w:color="auto"/>
            </w:tcBorders>
            <w:vAlign w:val="center"/>
          </w:tcPr>
          <w:p w14:paraId="34094E56"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361" w:type="dxa"/>
            <w:tcBorders>
              <w:top w:val="single" w:sz="4" w:space="0" w:color="auto"/>
              <w:left w:val="single" w:sz="4" w:space="0" w:color="auto"/>
            </w:tcBorders>
            <w:vAlign w:val="center"/>
          </w:tcPr>
          <w:p w14:paraId="640F18EC"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077" w:type="dxa"/>
            <w:tcBorders>
              <w:top w:val="single" w:sz="4" w:space="0" w:color="auto"/>
              <w:right w:val="single" w:sz="4" w:space="0" w:color="auto"/>
            </w:tcBorders>
            <w:vAlign w:val="center"/>
          </w:tcPr>
          <w:p w14:paraId="323C1437"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474" w:type="dxa"/>
            <w:tcBorders>
              <w:top w:val="single" w:sz="4" w:space="0" w:color="auto"/>
              <w:left w:val="single" w:sz="4" w:space="0" w:color="auto"/>
            </w:tcBorders>
            <w:vAlign w:val="center"/>
          </w:tcPr>
          <w:p w14:paraId="45E04CD5"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964" w:type="dxa"/>
            <w:tcBorders>
              <w:top w:val="single" w:sz="4" w:space="0" w:color="auto"/>
              <w:right w:val="single" w:sz="4" w:space="0" w:color="auto"/>
            </w:tcBorders>
            <w:vAlign w:val="center"/>
          </w:tcPr>
          <w:p w14:paraId="48F072D3"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219" w:type="dxa"/>
            <w:tcBorders>
              <w:top w:val="single" w:sz="4" w:space="0" w:color="auto"/>
              <w:left w:val="single" w:sz="4" w:space="0" w:color="auto"/>
            </w:tcBorders>
            <w:vAlign w:val="center"/>
          </w:tcPr>
          <w:p w14:paraId="4B71F4A0"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 </w:t>
            </w:r>
          </w:p>
        </w:tc>
        <w:tc>
          <w:tcPr>
            <w:tcW w:w="1219" w:type="dxa"/>
            <w:tcBorders>
              <w:top w:val="single" w:sz="4" w:space="0" w:color="auto"/>
              <w:right w:val="single" w:sz="4" w:space="0" w:color="auto"/>
            </w:tcBorders>
            <w:vAlign w:val="center"/>
          </w:tcPr>
          <w:p w14:paraId="6DC26E25"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 </w:t>
            </w:r>
          </w:p>
        </w:tc>
      </w:tr>
      <w:tr w:rsidR="001C4508" w:rsidRPr="00E91515" w14:paraId="711EDE8E"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C56E934"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right w:val="nil"/>
            </w:tcBorders>
            <w:vAlign w:val="center"/>
          </w:tcPr>
          <w:p w14:paraId="2D3D60B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95</w:t>
            </w:r>
          </w:p>
        </w:tc>
        <w:tc>
          <w:tcPr>
            <w:tcW w:w="1021" w:type="dxa"/>
            <w:tcBorders>
              <w:left w:val="nil"/>
              <w:right w:val="single" w:sz="4" w:space="0" w:color="auto"/>
            </w:tcBorders>
            <w:vAlign w:val="center"/>
          </w:tcPr>
          <w:p w14:paraId="26B4D50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0.89%</w:t>
            </w:r>
          </w:p>
        </w:tc>
        <w:tc>
          <w:tcPr>
            <w:tcW w:w="1389" w:type="dxa"/>
            <w:tcBorders>
              <w:left w:val="single" w:sz="4" w:space="0" w:color="auto"/>
              <w:right w:val="nil"/>
            </w:tcBorders>
            <w:vAlign w:val="center"/>
          </w:tcPr>
          <w:p w14:paraId="025E3BE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48</w:t>
            </w:r>
          </w:p>
        </w:tc>
        <w:tc>
          <w:tcPr>
            <w:tcW w:w="1049" w:type="dxa"/>
            <w:tcBorders>
              <w:left w:val="nil"/>
              <w:right w:val="single" w:sz="4" w:space="0" w:color="auto"/>
            </w:tcBorders>
            <w:vAlign w:val="center"/>
          </w:tcPr>
          <w:p w14:paraId="742BC64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0.45%</w:t>
            </w:r>
          </w:p>
        </w:tc>
        <w:tc>
          <w:tcPr>
            <w:tcW w:w="1361" w:type="dxa"/>
            <w:tcBorders>
              <w:left w:val="single" w:sz="4" w:space="0" w:color="auto"/>
              <w:right w:val="nil"/>
            </w:tcBorders>
            <w:vAlign w:val="center"/>
          </w:tcPr>
          <w:p w14:paraId="4E62A40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34</w:t>
            </w:r>
          </w:p>
        </w:tc>
        <w:tc>
          <w:tcPr>
            <w:tcW w:w="1077" w:type="dxa"/>
            <w:tcBorders>
              <w:left w:val="nil"/>
              <w:right w:val="single" w:sz="4" w:space="0" w:color="auto"/>
            </w:tcBorders>
            <w:vAlign w:val="center"/>
          </w:tcPr>
          <w:p w14:paraId="393C8D3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0.32%</w:t>
            </w:r>
          </w:p>
        </w:tc>
        <w:tc>
          <w:tcPr>
            <w:tcW w:w="1474" w:type="dxa"/>
            <w:tcBorders>
              <w:left w:val="single" w:sz="4" w:space="0" w:color="auto"/>
              <w:right w:val="nil"/>
            </w:tcBorders>
            <w:vAlign w:val="center"/>
          </w:tcPr>
          <w:p w14:paraId="630278E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w:t>
            </w:r>
          </w:p>
        </w:tc>
        <w:tc>
          <w:tcPr>
            <w:tcW w:w="964" w:type="dxa"/>
            <w:tcBorders>
              <w:left w:val="nil"/>
              <w:right w:val="single" w:sz="4" w:space="0" w:color="auto"/>
            </w:tcBorders>
            <w:vAlign w:val="center"/>
          </w:tcPr>
          <w:p w14:paraId="70E534C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0.13%</w:t>
            </w:r>
          </w:p>
        </w:tc>
        <w:tc>
          <w:tcPr>
            <w:tcW w:w="1219" w:type="dxa"/>
            <w:tcBorders>
              <w:left w:val="single" w:sz="4" w:space="0" w:color="auto"/>
              <w:right w:val="nil"/>
            </w:tcBorders>
            <w:vAlign w:val="center"/>
          </w:tcPr>
          <w:p w14:paraId="2426574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143</w:t>
            </w:r>
          </w:p>
        </w:tc>
        <w:tc>
          <w:tcPr>
            <w:tcW w:w="1219" w:type="dxa"/>
            <w:tcBorders>
              <w:left w:val="nil"/>
              <w:right w:val="single" w:sz="4" w:space="0" w:color="auto"/>
            </w:tcBorders>
            <w:vAlign w:val="center"/>
          </w:tcPr>
          <w:p w14:paraId="6DEE7C2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1.34%</w:t>
            </w:r>
          </w:p>
        </w:tc>
      </w:tr>
      <w:tr w:rsidR="001C4508" w:rsidRPr="00E91515" w14:paraId="19A79666"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84CD284"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tcBorders>
            <w:vAlign w:val="center"/>
          </w:tcPr>
          <w:p w14:paraId="4634DF3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159</w:t>
            </w:r>
          </w:p>
        </w:tc>
        <w:tc>
          <w:tcPr>
            <w:tcW w:w="1021" w:type="dxa"/>
            <w:tcBorders>
              <w:right w:val="single" w:sz="4" w:space="0" w:color="auto"/>
            </w:tcBorders>
            <w:vAlign w:val="center"/>
          </w:tcPr>
          <w:p w14:paraId="7563B22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1.49%</w:t>
            </w:r>
          </w:p>
        </w:tc>
        <w:tc>
          <w:tcPr>
            <w:tcW w:w="1389" w:type="dxa"/>
            <w:tcBorders>
              <w:left w:val="single" w:sz="4" w:space="0" w:color="auto"/>
            </w:tcBorders>
            <w:vAlign w:val="center"/>
          </w:tcPr>
          <w:p w14:paraId="0CB610A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170</w:t>
            </w:r>
          </w:p>
        </w:tc>
        <w:tc>
          <w:tcPr>
            <w:tcW w:w="1049" w:type="dxa"/>
            <w:tcBorders>
              <w:right w:val="single" w:sz="4" w:space="0" w:color="auto"/>
            </w:tcBorders>
            <w:vAlign w:val="center"/>
          </w:tcPr>
          <w:p w14:paraId="3FA8CC9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1.59%</w:t>
            </w:r>
          </w:p>
        </w:tc>
        <w:tc>
          <w:tcPr>
            <w:tcW w:w="1361" w:type="dxa"/>
            <w:tcBorders>
              <w:left w:val="single" w:sz="4" w:space="0" w:color="auto"/>
            </w:tcBorders>
            <w:vAlign w:val="center"/>
          </w:tcPr>
          <w:p w14:paraId="49BD064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116</w:t>
            </w:r>
          </w:p>
        </w:tc>
        <w:tc>
          <w:tcPr>
            <w:tcW w:w="1077" w:type="dxa"/>
            <w:tcBorders>
              <w:right w:val="single" w:sz="4" w:space="0" w:color="auto"/>
            </w:tcBorders>
            <w:vAlign w:val="center"/>
          </w:tcPr>
          <w:p w14:paraId="73A7D58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1.09%</w:t>
            </w:r>
          </w:p>
        </w:tc>
        <w:tc>
          <w:tcPr>
            <w:tcW w:w="1474" w:type="dxa"/>
            <w:tcBorders>
              <w:left w:val="single" w:sz="4" w:space="0" w:color="auto"/>
            </w:tcBorders>
            <w:vAlign w:val="center"/>
          </w:tcPr>
          <w:p w14:paraId="08B8355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54</w:t>
            </w:r>
          </w:p>
        </w:tc>
        <w:tc>
          <w:tcPr>
            <w:tcW w:w="964" w:type="dxa"/>
            <w:tcBorders>
              <w:right w:val="single" w:sz="4" w:space="0" w:color="auto"/>
            </w:tcBorders>
            <w:vAlign w:val="center"/>
          </w:tcPr>
          <w:p w14:paraId="1DE2868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0.51%</w:t>
            </w:r>
          </w:p>
        </w:tc>
        <w:tc>
          <w:tcPr>
            <w:tcW w:w="1219" w:type="dxa"/>
            <w:tcBorders>
              <w:left w:val="single" w:sz="4" w:space="0" w:color="auto"/>
            </w:tcBorders>
            <w:vAlign w:val="center"/>
          </w:tcPr>
          <w:p w14:paraId="164E8BB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329</w:t>
            </w:r>
          </w:p>
        </w:tc>
        <w:tc>
          <w:tcPr>
            <w:tcW w:w="1219" w:type="dxa"/>
            <w:tcBorders>
              <w:right w:val="single" w:sz="4" w:space="0" w:color="auto"/>
            </w:tcBorders>
            <w:vAlign w:val="center"/>
          </w:tcPr>
          <w:p w14:paraId="5E5262D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3.08%</w:t>
            </w:r>
          </w:p>
        </w:tc>
      </w:tr>
      <w:tr w:rsidR="001C4508" w:rsidRPr="00E91515" w14:paraId="6F41FFD9"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D417FED"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right w:val="nil"/>
            </w:tcBorders>
            <w:vAlign w:val="center"/>
          </w:tcPr>
          <w:p w14:paraId="64D57BC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1,774</w:t>
            </w:r>
          </w:p>
        </w:tc>
        <w:tc>
          <w:tcPr>
            <w:tcW w:w="1021" w:type="dxa"/>
            <w:tcBorders>
              <w:left w:val="nil"/>
              <w:right w:val="single" w:sz="4" w:space="0" w:color="auto"/>
            </w:tcBorders>
            <w:vAlign w:val="center"/>
          </w:tcPr>
          <w:p w14:paraId="6CF9F1C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16.61%</w:t>
            </w:r>
          </w:p>
        </w:tc>
        <w:tc>
          <w:tcPr>
            <w:tcW w:w="1389" w:type="dxa"/>
            <w:tcBorders>
              <w:left w:val="single" w:sz="4" w:space="0" w:color="auto"/>
              <w:right w:val="nil"/>
            </w:tcBorders>
            <w:vAlign w:val="center"/>
          </w:tcPr>
          <w:p w14:paraId="4BBD6ED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807</w:t>
            </w:r>
          </w:p>
        </w:tc>
        <w:tc>
          <w:tcPr>
            <w:tcW w:w="1049" w:type="dxa"/>
            <w:tcBorders>
              <w:left w:val="nil"/>
              <w:right w:val="single" w:sz="4" w:space="0" w:color="auto"/>
            </w:tcBorders>
            <w:vAlign w:val="center"/>
          </w:tcPr>
          <w:p w14:paraId="3D52A24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7.56%</w:t>
            </w:r>
          </w:p>
        </w:tc>
        <w:tc>
          <w:tcPr>
            <w:tcW w:w="1361" w:type="dxa"/>
            <w:tcBorders>
              <w:left w:val="single" w:sz="4" w:space="0" w:color="auto"/>
              <w:right w:val="nil"/>
            </w:tcBorders>
            <w:vAlign w:val="center"/>
          </w:tcPr>
          <w:p w14:paraId="2629162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603</w:t>
            </w:r>
          </w:p>
        </w:tc>
        <w:tc>
          <w:tcPr>
            <w:tcW w:w="1077" w:type="dxa"/>
            <w:tcBorders>
              <w:left w:val="nil"/>
              <w:right w:val="single" w:sz="4" w:space="0" w:color="auto"/>
            </w:tcBorders>
            <w:vAlign w:val="center"/>
          </w:tcPr>
          <w:p w14:paraId="11448AA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5.65%</w:t>
            </w:r>
          </w:p>
        </w:tc>
        <w:tc>
          <w:tcPr>
            <w:tcW w:w="1474" w:type="dxa"/>
            <w:tcBorders>
              <w:left w:val="single" w:sz="4" w:space="0" w:color="auto"/>
              <w:right w:val="nil"/>
            </w:tcBorders>
            <w:vAlign w:val="center"/>
          </w:tcPr>
          <w:p w14:paraId="0D87D50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204</w:t>
            </w:r>
          </w:p>
        </w:tc>
        <w:tc>
          <w:tcPr>
            <w:tcW w:w="964" w:type="dxa"/>
            <w:tcBorders>
              <w:left w:val="nil"/>
              <w:right w:val="single" w:sz="4" w:space="0" w:color="auto"/>
            </w:tcBorders>
            <w:vAlign w:val="center"/>
          </w:tcPr>
          <w:p w14:paraId="2F04356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1.91%</w:t>
            </w:r>
          </w:p>
        </w:tc>
        <w:tc>
          <w:tcPr>
            <w:tcW w:w="1219" w:type="dxa"/>
            <w:tcBorders>
              <w:left w:val="single" w:sz="4" w:space="0" w:color="auto"/>
              <w:right w:val="nil"/>
            </w:tcBorders>
            <w:vAlign w:val="center"/>
          </w:tcPr>
          <w:p w14:paraId="4F816B5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2,581</w:t>
            </w:r>
          </w:p>
        </w:tc>
        <w:tc>
          <w:tcPr>
            <w:tcW w:w="1219" w:type="dxa"/>
            <w:tcBorders>
              <w:left w:val="nil"/>
              <w:right w:val="single" w:sz="4" w:space="0" w:color="auto"/>
            </w:tcBorders>
            <w:vAlign w:val="center"/>
          </w:tcPr>
          <w:p w14:paraId="32FEAD1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24.17%</w:t>
            </w:r>
          </w:p>
        </w:tc>
      </w:tr>
      <w:tr w:rsidR="001C4508" w:rsidRPr="00E91515" w14:paraId="489FDF3E"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2011B25"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vAlign w:val="center"/>
          </w:tcPr>
          <w:p w14:paraId="0F7B494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726</w:t>
            </w:r>
          </w:p>
        </w:tc>
        <w:tc>
          <w:tcPr>
            <w:tcW w:w="1021" w:type="dxa"/>
            <w:tcBorders>
              <w:right w:val="single" w:sz="4" w:space="0" w:color="auto"/>
            </w:tcBorders>
            <w:vAlign w:val="center"/>
          </w:tcPr>
          <w:p w14:paraId="07B65B9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6.80%</w:t>
            </w:r>
          </w:p>
        </w:tc>
        <w:tc>
          <w:tcPr>
            <w:tcW w:w="1389" w:type="dxa"/>
            <w:tcBorders>
              <w:left w:val="single" w:sz="4" w:space="0" w:color="auto"/>
            </w:tcBorders>
            <w:vAlign w:val="center"/>
          </w:tcPr>
          <w:p w14:paraId="79E592C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185</w:t>
            </w:r>
          </w:p>
        </w:tc>
        <w:tc>
          <w:tcPr>
            <w:tcW w:w="1049" w:type="dxa"/>
            <w:tcBorders>
              <w:right w:val="single" w:sz="4" w:space="0" w:color="auto"/>
            </w:tcBorders>
            <w:vAlign w:val="center"/>
          </w:tcPr>
          <w:p w14:paraId="773D39C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1.73%</w:t>
            </w:r>
          </w:p>
        </w:tc>
        <w:tc>
          <w:tcPr>
            <w:tcW w:w="1361" w:type="dxa"/>
            <w:tcBorders>
              <w:left w:val="single" w:sz="4" w:space="0" w:color="auto"/>
            </w:tcBorders>
            <w:vAlign w:val="center"/>
          </w:tcPr>
          <w:p w14:paraId="02DE84C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94</w:t>
            </w:r>
          </w:p>
        </w:tc>
        <w:tc>
          <w:tcPr>
            <w:tcW w:w="1077" w:type="dxa"/>
            <w:tcBorders>
              <w:right w:val="single" w:sz="4" w:space="0" w:color="auto"/>
            </w:tcBorders>
            <w:vAlign w:val="center"/>
          </w:tcPr>
          <w:p w14:paraId="2D99698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0.88%</w:t>
            </w:r>
          </w:p>
        </w:tc>
        <w:tc>
          <w:tcPr>
            <w:tcW w:w="1474" w:type="dxa"/>
            <w:tcBorders>
              <w:left w:val="single" w:sz="4" w:space="0" w:color="auto"/>
            </w:tcBorders>
            <w:vAlign w:val="center"/>
          </w:tcPr>
          <w:p w14:paraId="7172AE6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91</w:t>
            </w:r>
          </w:p>
        </w:tc>
        <w:tc>
          <w:tcPr>
            <w:tcW w:w="964" w:type="dxa"/>
            <w:tcBorders>
              <w:right w:val="single" w:sz="4" w:space="0" w:color="auto"/>
            </w:tcBorders>
            <w:vAlign w:val="center"/>
          </w:tcPr>
          <w:p w14:paraId="579952A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0.85%</w:t>
            </w:r>
          </w:p>
        </w:tc>
        <w:tc>
          <w:tcPr>
            <w:tcW w:w="1219" w:type="dxa"/>
            <w:tcBorders>
              <w:left w:val="single" w:sz="4" w:space="0" w:color="auto"/>
            </w:tcBorders>
            <w:vAlign w:val="center"/>
          </w:tcPr>
          <w:p w14:paraId="3005859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911</w:t>
            </w:r>
          </w:p>
        </w:tc>
        <w:tc>
          <w:tcPr>
            <w:tcW w:w="1219" w:type="dxa"/>
            <w:tcBorders>
              <w:right w:val="single" w:sz="4" w:space="0" w:color="auto"/>
            </w:tcBorders>
            <w:vAlign w:val="center"/>
          </w:tcPr>
          <w:p w14:paraId="5EE314B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8.53%</w:t>
            </w:r>
          </w:p>
        </w:tc>
      </w:tr>
      <w:tr w:rsidR="001C4508" w:rsidRPr="00E91515" w14:paraId="261AD4B9"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8443107"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right w:val="nil"/>
            </w:tcBorders>
            <w:vAlign w:val="center"/>
          </w:tcPr>
          <w:p w14:paraId="2B19BBC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w:t>
            </w:r>
          </w:p>
        </w:tc>
        <w:tc>
          <w:tcPr>
            <w:tcW w:w="1021" w:type="dxa"/>
            <w:tcBorders>
              <w:left w:val="nil"/>
              <w:right w:val="single" w:sz="4" w:space="0" w:color="auto"/>
            </w:tcBorders>
            <w:vAlign w:val="center"/>
          </w:tcPr>
          <w:p w14:paraId="154579C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0.17%</w:t>
            </w:r>
          </w:p>
        </w:tc>
        <w:tc>
          <w:tcPr>
            <w:tcW w:w="1389" w:type="dxa"/>
            <w:tcBorders>
              <w:left w:val="single" w:sz="4" w:space="0" w:color="auto"/>
              <w:right w:val="nil"/>
            </w:tcBorders>
            <w:vAlign w:val="center"/>
          </w:tcPr>
          <w:p w14:paraId="255E129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20</w:t>
            </w:r>
          </w:p>
        </w:tc>
        <w:tc>
          <w:tcPr>
            <w:tcW w:w="1049" w:type="dxa"/>
            <w:tcBorders>
              <w:left w:val="nil"/>
              <w:right w:val="single" w:sz="4" w:space="0" w:color="auto"/>
            </w:tcBorders>
            <w:vAlign w:val="center"/>
          </w:tcPr>
          <w:p w14:paraId="24FB633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0.19%</w:t>
            </w:r>
          </w:p>
        </w:tc>
        <w:tc>
          <w:tcPr>
            <w:tcW w:w="1361" w:type="dxa"/>
            <w:tcBorders>
              <w:left w:val="single" w:sz="4" w:space="0" w:color="auto"/>
              <w:right w:val="nil"/>
            </w:tcBorders>
            <w:vAlign w:val="center"/>
          </w:tcPr>
          <w:p w14:paraId="5B1A690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w:t>
            </w:r>
          </w:p>
        </w:tc>
        <w:tc>
          <w:tcPr>
            <w:tcW w:w="1077" w:type="dxa"/>
            <w:tcBorders>
              <w:left w:val="nil"/>
              <w:right w:val="single" w:sz="4" w:space="0" w:color="auto"/>
            </w:tcBorders>
            <w:vAlign w:val="center"/>
          </w:tcPr>
          <w:p w14:paraId="1F3C444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0.13%</w:t>
            </w:r>
          </w:p>
        </w:tc>
        <w:tc>
          <w:tcPr>
            <w:tcW w:w="1474" w:type="dxa"/>
            <w:tcBorders>
              <w:left w:val="single" w:sz="4" w:space="0" w:color="auto"/>
              <w:right w:val="nil"/>
            </w:tcBorders>
            <w:vAlign w:val="center"/>
          </w:tcPr>
          <w:p w14:paraId="66133E1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w:t>
            </w:r>
          </w:p>
        </w:tc>
        <w:tc>
          <w:tcPr>
            <w:tcW w:w="964" w:type="dxa"/>
            <w:tcBorders>
              <w:left w:val="nil"/>
              <w:right w:val="single" w:sz="4" w:space="0" w:color="auto"/>
            </w:tcBorders>
            <w:vAlign w:val="center"/>
          </w:tcPr>
          <w:p w14:paraId="0B42C9D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0.06%</w:t>
            </w:r>
          </w:p>
        </w:tc>
        <w:tc>
          <w:tcPr>
            <w:tcW w:w="1219" w:type="dxa"/>
            <w:tcBorders>
              <w:left w:val="single" w:sz="4" w:space="0" w:color="auto"/>
              <w:right w:val="nil"/>
            </w:tcBorders>
            <w:vAlign w:val="center"/>
          </w:tcPr>
          <w:p w14:paraId="1C45CE6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38</w:t>
            </w:r>
          </w:p>
        </w:tc>
        <w:tc>
          <w:tcPr>
            <w:tcW w:w="1219" w:type="dxa"/>
            <w:tcBorders>
              <w:left w:val="nil"/>
              <w:right w:val="single" w:sz="4" w:space="0" w:color="auto"/>
            </w:tcBorders>
            <w:vAlign w:val="center"/>
          </w:tcPr>
          <w:p w14:paraId="3D0C90C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0.36%</w:t>
            </w:r>
          </w:p>
        </w:tc>
      </w:tr>
      <w:tr w:rsidR="001C4508" w:rsidRPr="00E91515" w14:paraId="2151EAC8"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E5F7A0C"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tcBorders>
            <w:vAlign w:val="center"/>
          </w:tcPr>
          <w:p w14:paraId="5FDA0B1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2,772</w:t>
            </w:r>
          </w:p>
        </w:tc>
        <w:tc>
          <w:tcPr>
            <w:tcW w:w="1021" w:type="dxa"/>
            <w:tcBorders>
              <w:right w:val="single" w:sz="4" w:space="0" w:color="auto"/>
            </w:tcBorders>
            <w:vAlign w:val="center"/>
          </w:tcPr>
          <w:p w14:paraId="4AE7EDA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25.96%</w:t>
            </w:r>
          </w:p>
        </w:tc>
        <w:tc>
          <w:tcPr>
            <w:tcW w:w="1389" w:type="dxa"/>
            <w:tcBorders>
              <w:left w:val="single" w:sz="4" w:space="0" w:color="auto"/>
            </w:tcBorders>
            <w:vAlign w:val="center"/>
          </w:tcPr>
          <w:p w14:paraId="3E96303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1,230</w:t>
            </w:r>
          </w:p>
        </w:tc>
        <w:tc>
          <w:tcPr>
            <w:tcW w:w="1049" w:type="dxa"/>
            <w:tcBorders>
              <w:right w:val="single" w:sz="4" w:space="0" w:color="auto"/>
            </w:tcBorders>
            <w:vAlign w:val="center"/>
          </w:tcPr>
          <w:p w14:paraId="22C5499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11.52%</w:t>
            </w:r>
          </w:p>
        </w:tc>
        <w:tc>
          <w:tcPr>
            <w:tcW w:w="1361" w:type="dxa"/>
            <w:tcBorders>
              <w:left w:val="single" w:sz="4" w:space="0" w:color="auto"/>
            </w:tcBorders>
            <w:vAlign w:val="center"/>
          </w:tcPr>
          <w:p w14:paraId="05A4C68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861</w:t>
            </w:r>
          </w:p>
        </w:tc>
        <w:tc>
          <w:tcPr>
            <w:tcW w:w="1077" w:type="dxa"/>
            <w:tcBorders>
              <w:right w:val="single" w:sz="4" w:space="0" w:color="auto"/>
            </w:tcBorders>
            <w:vAlign w:val="center"/>
          </w:tcPr>
          <w:p w14:paraId="1D60E40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8.06%</w:t>
            </w:r>
          </w:p>
        </w:tc>
        <w:tc>
          <w:tcPr>
            <w:tcW w:w="1474" w:type="dxa"/>
            <w:tcBorders>
              <w:left w:val="single" w:sz="4" w:space="0" w:color="auto"/>
            </w:tcBorders>
            <w:vAlign w:val="center"/>
          </w:tcPr>
          <w:p w14:paraId="29181F0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369</w:t>
            </w:r>
          </w:p>
        </w:tc>
        <w:tc>
          <w:tcPr>
            <w:tcW w:w="964" w:type="dxa"/>
            <w:tcBorders>
              <w:right w:val="single" w:sz="4" w:space="0" w:color="auto"/>
            </w:tcBorders>
            <w:vAlign w:val="center"/>
          </w:tcPr>
          <w:p w14:paraId="1D6C3F5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3.46%</w:t>
            </w:r>
          </w:p>
        </w:tc>
        <w:tc>
          <w:tcPr>
            <w:tcW w:w="1219" w:type="dxa"/>
            <w:tcBorders>
              <w:left w:val="single" w:sz="4" w:space="0" w:color="auto"/>
            </w:tcBorders>
            <w:vAlign w:val="center"/>
          </w:tcPr>
          <w:p w14:paraId="5CC7C67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4,002</w:t>
            </w:r>
          </w:p>
        </w:tc>
        <w:tc>
          <w:tcPr>
            <w:tcW w:w="1219" w:type="dxa"/>
            <w:tcBorders>
              <w:right w:val="single" w:sz="4" w:space="0" w:color="auto"/>
            </w:tcBorders>
            <w:vAlign w:val="center"/>
          </w:tcPr>
          <w:p w14:paraId="7715FB2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37.47%</w:t>
            </w:r>
          </w:p>
        </w:tc>
      </w:tr>
      <w:tr w:rsidR="001C4508" w:rsidRPr="00E91515" w14:paraId="56B2D3AF"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5EA8B0D4"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right w:val="nil"/>
            </w:tcBorders>
            <w:vAlign w:val="center"/>
          </w:tcPr>
          <w:p w14:paraId="08949B5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4,810</w:t>
            </w:r>
          </w:p>
        </w:tc>
        <w:tc>
          <w:tcPr>
            <w:tcW w:w="1021" w:type="dxa"/>
            <w:tcBorders>
              <w:left w:val="nil"/>
              <w:bottom w:val="nil"/>
              <w:right w:val="single" w:sz="4" w:space="0" w:color="auto"/>
            </w:tcBorders>
            <w:vAlign w:val="center"/>
          </w:tcPr>
          <w:p w14:paraId="481943A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45.04%</w:t>
            </w:r>
          </w:p>
        </w:tc>
        <w:tc>
          <w:tcPr>
            <w:tcW w:w="1389" w:type="dxa"/>
            <w:tcBorders>
              <w:left w:val="single" w:sz="4" w:space="0" w:color="auto"/>
              <w:bottom w:val="nil"/>
              <w:right w:val="nil"/>
            </w:tcBorders>
            <w:vAlign w:val="center"/>
          </w:tcPr>
          <w:p w14:paraId="0C44799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1,868</w:t>
            </w:r>
          </w:p>
        </w:tc>
        <w:tc>
          <w:tcPr>
            <w:tcW w:w="1049" w:type="dxa"/>
            <w:tcBorders>
              <w:left w:val="nil"/>
              <w:bottom w:val="nil"/>
              <w:right w:val="single" w:sz="4" w:space="0" w:color="auto"/>
            </w:tcBorders>
            <w:vAlign w:val="center"/>
          </w:tcPr>
          <w:p w14:paraId="39F86FB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17.49%</w:t>
            </w:r>
          </w:p>
        </w:tc>
        <w:tc>
          <w:tcPr>
            <w:tcW w:w="1361" w:type="dxa"/>
            <w:tcBorders>
              <w:left w:val="single" w:sz="4" w:space="0" w:color="auto"/>
              <w:bottom w:val="nil"/>
              <w:right w:val="nil"/>
            </w:tcBorders>
            <w:vAlign w:val="center"/>
          </w:tcPr>
          <w:p w14:paraId="0AE38B1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1,194</w:t>
            </w:r>
          </w:p>
        </w:tc>
        <w:tc>
          <w:tcPr>
            <w:tcW w:w="1077" w:type="dxa"/>
            <w:tcBorders>
              <w:left w:val="nil"/>
              <w:bottom w:val="nil"/>
              <w:right w:val="single" w:sz="4" w:space="0" w:color="auto"/>
            </w:tcBorders>
            <w:vAlign w:val="center"/>
          </w:tcPr>
          <w:p w14:paraId="565CAF2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11.18%</w:t>
            </w:r>
          </w:p>
        </w:tc>
        <w:tc>
          <w:tcPr>
            <w:tcW w:w="1474" w:type="dxa"/>
            <w:tcBorders>
              <w:left w:val="single" w:sz="4" w:space="0" w:color="auto"/>
              <w:bottom w:val="nil"/>
              <w:right w:val="nil"/>
            </w:tcBorders>
            <w:vAlign w:val="center"/>
          </w:tcPr>
          <w:p w14:paraId="3CB7456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674</w:t>
            </w:r>
          </w:p>
        </w:tc>
        <w:tc>
          <w:tcPr>
            <w:tcW w:w="964" w:type="dxa"/>
            <w:tcBorders>
              <w:left w:val="nil"/>
              <w:bottom w:val="nil"/>
              <w:right w:val="single" w:sz="4" w:space="0" w:color="auto"/>
            </w:tcBorders>
            <w:vAlign w:val="center"/>
          </w:tcPr>
          <w:p w14:paraId="5DEF488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6.31%</w:t>
            </w:r>
          </w:p>
        </w:tc>
        <w:tc>
          <w:tcPr>
            <w:tcW w:w="1219" w:type="dxa"/>
            <w:tcBorders>
              <w:left w:val="single" w:sz="4" w:space="0" w:color="auto"/>
              <w:bottom w:val="nil"/>
              <w:right w:val="nil"/>
            </w:tcBorders>
            <w:vAlign w:val="center"/>
          </w:tcPr>
          <w:p w14:paraId="3FBE4C6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6,678</w:t>
            </w:r>
          </w:p>
        </w:tc>
        <w:tc>
          <w:tcPr>
            <w:tcW w:w="1219" w:type="dxa"/>
            <w:tcBorders>
              <w:left w:val="nil"/>
              <w:bottom w:val="nil"/>
              <w:right w:val="single" w:sz="4" w:space="0" w:color="auto"/>
            </w:tcBorders>
            <w:vAlign w:val="center"/>
          </w:tcPr>
          <w:p w14:paraId="0285810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62.53%</w:t>
            </w:r>
          </w:p>
        </w:tc>
      </w:tr>
      <w:tr w:rsidR="002418F8" w:rsidRPr="00E91515" w14:paraId="08C5047F"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256FD5FE"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vAlign w:val="center"/>
          </w:tcPr>
          <w:p w14:paraId="4E712D97"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7,582</w:t>
            </w:r>
          </w:p>
        </w:tc>
        <w:tc>
          <w:tcPr>
            <w:tcW w:w="1021" w:type="dxa"/>
            <w:tcBorders>
              <w:top w:val="nil"/>
              <w:bottom w:val="single" w:sz="4" w:space="0" w:color="auto"/>
              <w:right w:val="single" w:sz="4" w:space="0" w:color="auto"/>
            </w:tcBorders>
            <w:vAlign w:val="center"/>
          </w:tcPr>
          <w:p w14:paraId="66EEDC29"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70.99%</w:t>
            </w:r>
          </w:p>
        </w:tc>
        <w:tc>
          <w:tcPr>
            <w:tcW w:w="1389" w:type="dxa"/>
            <w:tcBorders>
              <w:top w:val="nil"/>
              <w:left w:val="single" w:sz="4" w:space="0" w:color="auto"/>
              <w:bottom w:val="single" w:sz="4" w:space="0" w:color="auto"/>
            </w:tcBorders>
            <w:vAlign w:val="center"/>
          </w:tcPr>
          <w:p w14:paraId="7480F6B8"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3,098</w:t>
            </w:r>
          </w:p>
        </w:tc>
        <w:tc>
          <w:tcPr>
            <w:tcW w:w="1049" w:type="dxa"/>
            <w:tcBorders>
              <w:top w:val="nil"/>
              <w:bottom w:val="single" w:sz="4" w:space="0" w:color="auto"/>
              <w:right w:val="single" w:sz="4" w:space="0" w:color="auto"/>
            </w:tcBorders>
            <w:vAlign w:val="center"/>
          </w:tcPr>
          <w:p w14:paraId="1285EB48"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29.01%</w:t>
            </w:r>
          </w:p>
        </w:tc>
        <w:tc>
          <w:tcPr>
            <w:tcW w:w="1361" w:type="dxa"/>
            <w:tcBorders>
              <w:top w:val="nil"/>
              <w:left w:val="single" w:sz="4" w:space="0" w:color="auto"/>
              <w:bottom w:val="single" w:sz="4" w:space="0" w:color="auto"/>
            </w:tcBorders>
            <w:vAlign w:val="center"/>
          </w:tcPr>
          <w:p w14:paraId="369FD524"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2,055</w:t>
            </w:r>
          </w:p>
        </w:tc>
        <w:tc>
          <w:tcPr>
            <w:tcW w:w="1077" w:type="dxa"/>
            <w:tcBorders>
              <w:top w:val="nil"/>
              <w:bottom w:val="single" w:sz="4" w:space="0" w:color="auto"/>
              <w:right w:val="single" w:sz="4" w:space="0" w:color="auto"/>
            </w:tcBorders>
            <w:vAlign w:val="center"/>
          </w:tcPr>
          <w:p w14:paraId="2CC09175"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19.24%</w:t>
            </w:r>
          </w:p>
        </w:tc>
        <w:tc>
          <w:tcPr>
            <w:tcW w:w="1474" w:type="dxa"/>
            <w:tcBorders>
              <w:top w:val="nil"/>
              <w:left w:val="single" w:sz="4" w:space="0" w:color="auto"/>
              <w:bottom w:val="single" w:sz="4" w:space="0" w:color="auto"/>
            </w:tcBorders>
            <w:vAlign w:val="center"/>
          </w:tcPr>
          <w:p w14:paraId="72990500"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1,043</w:t>
            </w:r>
          </w:p>
        </w:tc>
        <w:tc>
          <w:tcPr>
            <w:tcW w:w="964" w:type="dxa"/>
            <w:tcBorders>
              <w:top w:val="nil"/>
              <w:bottom w:val="single" w:sz="4" w:space="0" w:color="auto"/>
              <w:right w:val="single" w:sz="4" w:space="0" w:color="auto"/>
            </w:tcBorders>
            <w:vAlign w:val="center"/>
          </w:tcPr>
          <w:p w14:paraId="7361C67C"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9.77%</w:t>
            </w:r>
          </w:p>
        </w:tc>
        <w:tc>
          <w:tcPr>
            <w:tcW w:w="1219" w:type="dxa"/>
            <w:tcBorders>
              <w:top w:val="nil"/>
              <w:left w:val="single" w:sz="4" w:space="0" w:color="auto"/>
              <w:bottom w:val="single" w:sz="4" w:space="0" w:color="auto"/>
            </w:tcBorders>
            <w:vAlign w:val="center"/>
          </w:tcPr>
          <w:p w14:paraId="09087C0F"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10,680</w:t>
            </w:r>
          </w:p>
        </w:tc>
        <w:tc>
          <w:tcPr>
            <w:tcW w:w="1219" w:type="dxa"/>
            <w:tcBorders>
              <w:top w:val="nil"/>
              <w:bottom w:val="single" w:sz="4" w:space="0" w:color="auto"/>
              <w:right w:val="single" w:sz="4" w:space="0" w:color="auto"/>
            </w:tcBorders>
            <w:vAlign w:val="center"/>
          </w:tcPr>
          <w:p w14:paraId="258C0C6A"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5.40%</w:t>
            </w:r>
          </w:p>
        </w:tc>
      </w:tr>
      <w:tr w:rsidR="001C4508" w:rsidRPr="00E91515" w14:paraId="2DA0AA46"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094A2247"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2008</w:t>
            </w:r>
          </w:p>
        </w:tc>
        <w:tc>
          <w:tcPr>
            <w:tcW w:w="1417" w:type="dxa"/>
            <w:tcBorders>
              <w:top w:val="single" w:sz="4" w:space="0" w:color="auto"/>
              <w:left w:val="single" w:sz="4" w:space="0" w:color="auto"/>
              <w:right w:val="nil"/>
            </w:tcBorders>
            <w:vAlign w:val="center"/>
          </w:tcPr>
          <w:p w14:paraId="7C11C2B9"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021" w:type="dxa"/>
            <w:tcBorders>
              <w:top w:val="single" w:sz="4" w:space="0" w:color="auto"/>
              <w:left w:val="nil"/>
              <w:right w:val="single" w:sz="4" w:space="0" w:color="auto"/>
            </w:tcBorders>
            <w:vAlign w:val="center"/>
          </w:tcPr>
          <w:p w14:paraId="5068379B"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389" w:type="dxa"/>
            <w:tcBorders>
              <w:top w:val="single" w:sz="4" w:space="0" w:color="auto"/>
              <w:left w:val="single" w:sz="4" w:space="0" w:color="auto"/>
              <w:right w:val="nil"/>
            </w:tcBorders>
            <w:vAlign w:val="center"/>
          </w:tcPr>
          <w:p w14:paraId="492A0DA6"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049" w:type="dxa"/>
            <w:tcBorders>
              <w:top w:val="single" w:sz="4" w:space="0" w:color="auto"/>
              <w:left w:val="nil"/>
              <w:right w:val="single" w:sz="4" w:space="0" w:color="auto"/>
            </w:tcBorders>
            <w:vAlign w:val="center"/>
          </w:tcPr>
          <w:p w14:paraId="6D5A7910"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 </w:t>
            </w:r>
          </w:p>
        </w:tc>
        <w:tc>
          <w:tcPr>
            <w:tcW w:w="1361" w:type="dxa"/>
            <w:tcBorders>
              <w:top w:val="single" w:sz="4" w:space="0" w:color="auto"/>
              <w:left w:val="single" w:sz="4" w:space="0" w:color="auto"/>
              <w:right w:val="nil"/>
            </w:tcBorders>
            <w:vAlign w:val="center"/>
          </w:tcPr>
          <w:p w14:paraId="42E339E6"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077" w:type="dxa"/>
            <w:tcBorders>
              <w:top w:val="single" w:sz="4" w:space="0" w:color="auto"/>
              <w:left w:val="nil"/>
              <w:right w:val="single" w:sz="4" w:space="0" w:color="auto"/>
            </w:tcBorders>
            <w:vAlign w:val="center"/>
          </w:tcPr>
          <w:p w14:paraId="2230F35D"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 </w:t>
            </w:r>
          </w:p>
        </w:tc>
        <w:tc>
          <w:tcPr>
            <w:tcW w:w="1474" w:type="dxa"/>
            <w:tcBorders>
              <w:top w:val="single" w:sz="4" w:space="0" w:color="auto"/>
              <w:left w:val="single" w:sz="4" w:space="0" w:color="auto"/>
              <w:right w:val="nil"/>
            </w:tcBorders>
            <w:vAlign w:val="center"/>
          </w:tcPr>
          <w:p w14:paraId="4AF50336"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 </w:t>
            </w:r>
          </w:p>
        </w:tc>
        <w:tc>
          <w:tcPr>
            <w:tcW w:w="964" w:type="dxa"/>
            <w:tcBorders>
              <w:top w:val="single" w:sz="4" w:space="0" w:color="auto"/>
              <w:left w:val="nil"/>
              <w:right w:val="single" w:sz="4" w:space="0" w:color="auto"/>
            </w:tcBorders>
            <w:vAlign w:val="center"/>
          </w:tcPr>
          <w:p w14:paraId="348912F2"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219" w:type="dxa"/>
            <w:tcBorders>
              <w:top w:val="single" w:sz="4" w:space="0" w:color="auto"/>
              <w:left w:val="single" w:sz="4" w:space="0" w:color="auto"/>
              <w:right w:val="nil"/>
            </w:tcBorders>
            <w:vAlign w:val="center"/>
          </w:tcPr>
          <w:p w14:paraId="09A8B013"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19" w:type="dxa"/>
            <w:tcBorders>
              <w:top w:val="single" w:sz="4" w:space="0" w:color="auto"/>
              <w:left w:val="nil"/>
              <w:right w:val="single" w:sz="4" w:space="0" w:color="auto"/>
            </w:tcBorders>
            <w:vAlign w:val="center"/>
          </w:tcPr>
          <w:p w14:paraId="27777A6F"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 </w:t>
            </w:r>
          </w:p>
        </w:tc>
      </w:tr>
      <w:tr w:rsidR="001C4508" w:rsidRPr="00E91515" w14:paraId="197E75F2"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7B110E1"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tcBorders>
            <w:vAlign w:val="center"/>
          </w:tcPr>
          <w:p w14:paraId="2EE14C3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148</w:t>
            </w:r>
          </w:p>
        </w:tc>
        <w:tc>
          <w:tcPr>
            <w:tcW w:w="1021" w:type="dxa"/>
            <w:tcBorders>
              <w:right w:val="single" w:sz="4" w:space="0" w:color="auto"/>
            </w:tcBorders>
            <w:vAlign w:val="center"/>
          </w:tcPr>
          <w:p w14:paraId="1436014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0.92%</w:t>
            </w:r>
          </w:p>
        </w:tc>
        <w:tc>
          <w:tcPr>
            <w:tcW w:w="1389" w:type="dxa"/>
            <w:tcBorders>
              <w:left w:val="single" w:sz="4" w:space="0" w:color="auto"/>
            </w:tcBorders>
            <w:vAlign w:val="center"/>
          </w:tcPr>
          <w:p w14:paraId="76DC8B3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50</w:t>
            </w:r>
          </w:p>
        </w:tc>
        <w:tc>
          <w:tcPr>
            <w:tcW w:w="1049" w:type="dxa"/>
            <w:tcBorders>
              <w:right w:val="single" w:sz="4" w:space="0" w:color="auto"/>
            </w:tcBorders>
            <w:vAlign w:val="center"/>
          </w:tcPr>
          <w:p w14:paraId="05D679B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0.31%</w:t>
            </w:r>
          </w:p>
        </w:tc>
        <w:tc>
          <w:tcPr>
            <w:tcW w:w="1361" w:type="dxa"/>
            <w:tcBorders>
              <w:left w:val="single" w:sz="4" w:space="0" w:color="auto"/>
            </w:tcBorders>
            <w:vAlign w:val="center"/>
          </w:tcPr>
          <w:p w14:paraId="1007C07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35</w:t>
            </w:r>
          </w:p>
        </w:tc>
        <w:tc>
          <w:tcPr>
            <w:tcW w:w="1077" w:type="dxa"/>
            <w:tcBorders>
              <w:right w:val="single" w:sz="4" w:space="0" w:color="auto"/>
            </w:tcBorders>
            <w:vAlign w:val="center"/>
          </w:tcPr>
          <w:p w14:paraId="146E5E8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0.22%</w:t>
            </w:r>
          </w:p>
        </w:tc>
        <w:tc>
          <w:tcPr>
            <w:tcW w:w="1474" w:type="dxa"/>
            <w:tcBorders>
              <w:left w:val="single" w:sz="4" w:space="0" w:color="auto"/>
            </w:tcBorders>
            <w:vAlign w:val="center"/>
          </w:tcPr>
          <w:p w14:paraId="692E4D9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w:t>
            </w:r>
          </w:p>
        </w:tc>
        <w:tc>
          <w:tcPr>
            <w:tcW w:w="964" w:type="dxa"/>
            <w:tcBorders>
              <w:right w:val="single" w:sz="4" w:space="0" w:color="auto"/>
            </w:tcBorders>
            <w:vAlign w:val="center"/>
          </w:tcPr>
          <w:p w14:paraId="3062A7A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0.09%</w:t>
            </w:r>
          </w:p>
        </w:tc>
        <w:tc>
          <w:tcPr>
            <w:tcW w:w="1219" w:type="dxa"/>
            <w:tcBorders>
              <w:left w:val="single" w:sz="4" w:space="0" w:color="auto"/>
            </w:tcBorders>
            <w:vAlign w:val="center"/>
          </w:tcPr>
          <w:p w14:paraId="53C7057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198</w:t>
            </w:r>
          </w:p>
        </w:tc>
        <w:tc>
          <w:tcPr>
            <w:tcW w:w="1219" w:type="dxa"/>
            <w:tcBorders>
              <w:right w:val="single" w:sz="4" w:space="0" w:color="auto"/>
            </w:tcBorders>
            <w:vAlign w:val="center"/>
          </w:tcPr>
          <w:p w14:paraId="152A795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1.23%</w:t>
            </w:r>
          </w:p>
        </w:tc>
      </w:tr>
      <w:tr w:rsidR="001C4508" w:rsidRPr="00E91515" w14:paraId="47B0C065"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237F8F3F"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right w:val="nil"/>
            </w:tcBorders>
            <w:vAlign w:val="center"/>
          </w:tcPr>
          <w:p w14:paraId="6FA71E8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301</w:t>
            </w:r>
          </w:p>
        </w:tc>
        <w:tc>
          <w:tcPr>
            <w:tcW w:w="1021" w:type="dxa"/>
            <w:tcBorders>
              <w:left w:val="nil"/>
              <w:right w:val="single" w:sz="4" w:space="0" w:color="auto"/>
            </w:tcBorders>
            <w:vAlign w:val="center"/>
          </w:tcPr>
          <w:p w14:paraId="794C100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1.87%</w:t>
            </w:r>
          </w:p>
        </w:tc>
        <w:tc>
          <w:tcPr>
            <w:tcW w:w="1389" w:type="dxa"/>
            <w:tcBorders>
              <w:left w:val="single" w:sz="4" w:space="0" w:color="auto"/>
              <w:right w:val="nil"/>
            </w:tcBorders>
            <w:vAlign w:val="center"/>
          </w:tcPr>
          <w:p w14:paraId="7610438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224</w:t>
            </w:r>
          </w:p>
        </w:tc>
        <w:tc>
          <w:tcPr>
            <w:tcW w:w="1049" w:type="dxa"/>
            <w:tcBorders>
              <w:left w:val="nil"/>
              <w:right w:val="single" w:sz="4" w:space="0" w:color="auto"/>
            </w:tcBorders>
            <w:vAlign w:val="center"/>
          </w:tcPr>
          <w:p w14:paraId="68FC2BB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1.39%</w:t>
            </w:r>
          </w:p>
        </w:tc>
        <w:tc>
          <w:tcPr>
            <w:tcW w:w="1361" w:type="dxa"/>
            <w:tcBorders>
              <w:left w:val="single" w:sz="4" w:space="0" w:color="auto"/>
              <w:right w:val="nil"/>
            </w:tcBorders>
            <w:vAlign w:val="center"/>
          </w:tcPr>
          <w:p w14:paraId="2D2543C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146</w:t>
            </w:r>
          </w:p>
        </w:tc>
        <w:tc>
          <w:tcPr>
            <w:tcW w:w="1077" w:type="dxa"/>
            <w:tcBorders>
              <w:left w:val="nil"/>
              <w:right w:val="single" w:sz="4" w:space="0" w:color="auto"/>
            </w:tcBorders>
            <w:vAlign w:val="center"/>
          </w:tcPr>
          <w:p w14:paraId="09A5E34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0.91%</w:t>
            </w:r>
          </w:p>
        </w:tc>
        <w:tc>
          <w:tcPr>
            <w:tcW w:w="1474" w:type="dxa"/>
            <w:tcBorders>
              <w:left w:val="single" w:sz="4" w:space="0" w:color="auto"/>
              <w:right w:val="nil"/>
            </w:tcBorders>
            <w:vAlign w:val="center"/>
          </w:tcPr>
          <w:p w14:paraId="3C0D57F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78</w:t>
            </w:r>
          </w:p>
        </w:tc>
        <w:tc>
          <w:tcPr>
            <w:tcW w:w="964" w:type="dxa"/>
            <w:tcBorders>
              <w:left w:val="nil"/>
              <w:right w:val="single" w:sz="4" w:space="0" w:color="auto"/>
            </w:tcBorders>
            <w:vAlign w:val="center"/>
          </w:tcPr>
          <w:p w14:paraId="66F5510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0.49%</w:t>
            </w:r>
          </w:p>
        </w:tc>
        <w:tc>
          <w:tcPr>
            <w:tcW w:w="1219" w:type="dxa"/>
            <w:tcBorders>
              <w:left w:val="single" w:sz="4" w:space="0" w:color="auto"/>
              <w:right w:val="nil"/>
            </w:tcBorders>
            <w:vAlign w:val="center"/>
          </w:tcPr>
          <w:p w14:paraId="6C32B51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525</w:t>
            </w:r>
          </w:p>
        </w:tc>
        <w:tc>
          <w:tcPr>
            <w:tcW w:w="1219" w:type="dxa"/>
            <w:tcBorders>
              <w:left w:val="nil"/>
              <w:right w:val="single" w:sz="4" w:space="0" w:color="auto"/>
            </w:tcBorders>
            <w:vAlign w:val="center"/>
          </w:tcPr>
          <w:p w14:paraId="7059FFA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3.26%</w:t>
            </w:r>
          </w:p>
        </w:tc>
      </w:tr>
      <w:tr w:rsidR="001C4508" w:rsidRPr="00E91515" w14:paraId="498DA203"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2D1B4BC"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tcBorders>
            <w:vAlign w:val="center"/>
          </w:tcPr>
          <w:p w14:paraId="220F8C8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2,865</w:t>
            </w:r>
          </w:p>
        </w:tc>
        <w:tc>
          <w:tcPr>
            <w:tcW w:w="1021" w:type="dxa"/>
            <w:tcBorders>
              <w:right w:val="single" w:sz="4" w:space="0" w:color="auto"/>
            </w:tcBorders>
            <w:vAlign w:val="center"/>
          </w:tcPr>
          <w:p w14:paraId="498EF70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17.82%</w:t>
            </w:r>
          </w:p>
        </w:tc>
        <w:tc>
          <w:tcPr>
            <w:tcW w:w="1389" w:type="dxa"/>
            <w:tcBorders>
              <w:left w:val="single" w:sz="4" w:space="0" w:color="auto"/>
            </w:tcBorders>
            <w:vAlign w:val="center"/>
          </w:tcPr>
          <w:p w14:paraId="0CA7952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901</w:t>
            </w:r>
          </w:p>
        </w:tc>
        <w:tc>
          <w:tcPr>
            <w:tcW w:w="1049" w:type="dxa"/>
            <w:tcBorders>
              <w:right w:val="single" w:sz="4" w:space="0" w:color="auto"/>
            </w:tcBorders>
            <w:vAlign w:val="center"/>
          </w:tcPr>
          <w:p w14:paraId="1412735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5.60%</w:t>
            </w:r>
          </w:p>
        </w:tc>
        <w:tc>
          <w:tcPr>
            <w:tcW w:w="1361" w:type="dxa"/>
            <w:tcBorders>
              <w:left w:val="single" w:sz="4" w:space="0" w:color="auto"/>
            </w:tcBorders>
            <w:vAlign w:val="center"/>
          </w:tcPr>
          <w:p w14:paraId="22E030A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662</w:t>
            </w:r>
          </w:p>
        </w:tc>
        <w:tc>
          <w:tcPr>
            <w:tcW w:w="1077" w:type="dxa"/>
            <w:tcBorders>
              <w:right w:val="single" w:sz="4" w:space="0" w:color="auto"/>
            </w:tcBorders>
            <w:vAlign w:val="center"/>
          </w:tcPr>
          <w:p w14:paraId="0DB6E17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4.12%</w:t>
            </w:r>
          </w:p>
        </w:tc>
        <w:tc>
          <w:tcPr>
            <w:tcW w:w="1474" w:type="dxa"/>
            <w:tcBorders>
              <w:left w:val="single" w:sz="4" w:space="0" w:color="auto"/>
            </w:tcBorders>
            <w:vAlign w:val="center"/>
          </w:tcPr>
          <w:p w14:paraId="3BF45C8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239</w:t>
            </w:r>
          </w:p>
        </w:tc>
        <w:tc>
          <w:tcPr>
            <w:tcW w:w="964" w:type="dxa"/>
            <w:tcBorders>
              <w:right w:val="single" w:sz="4" w:space="0" w:color="auto"/>
            </w:tcBorders>
            <w:vAlign w:val="center"/>
          </w:tcPr>
          <w:p w14:paraId="288FBAF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1.49%</w:t>
            </w:r>
          </w:p>
        </w:tc>
        <w:tc>
          <w:tcPr>
            <w:tcW w:w="1219" w:type="dxa"/>
            <w:tcBorders>
              <w:left w:val="single" w:sz="4" w:space="0" w:color="auto"/>
            </w:tcBorders>
            <w:vAlign w:val="center"/>
          </w:tcPr>
          <w:p w14:paraId="2D0511A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3,766</w:t>
            </w:r>
          </w:p>
        </w:tc>
        <w:tc>
          <w:tcPr>
            <w:tcW w:w="1219" w:type="dxa"/>
            <w:tcBorders>
              <w:right w:val="single" w:sz="4" w:space="0" w:color="auto"/>
            </w:tcBorders>
            <w:vAlign w:val="center"/>
          </w:tcPr>
          <w:p w14:paraId="36828DF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23.42%</w:t>
            </w:r>
          </w:p>
        </w:tc>
      </w:tr>
      <w:tr w:rsidR="001C4508" w:rsidRPr="00E91515" w14:paraId="1949A497"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98D2009"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right w:val="nil"/>
            </w:tcBorders>
            <w:vAlign w:val="center"/>
          </w:tcPr>
          <w:p w14:paraId="1612D60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1,409</w:t>
            </w:r>
          </w:p>
        </w:tc>
        <w:tc>
          <w:tcPr>
            <w:tcW w:w="1021" w:type="dxa"/>
            <w:tcBorders>
              <w:left w:val="nil"/>
              <w:right w:val="single" w:sz="4" w:space="0" w:color="auto"/>
            </w:tcBorders>
            <w:vAlign w:val="center"/>
          </w:tcPr>
          <w:p w14:paraId="6BA9C5C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8.76%</w:t>
            </w:r>
          </w:p>
        </w:tc>
        <w:tc>
          <w:tcPr>
            <w:tcW w:w="1389" w:type="dxa"/>
            <w:tcBorders>
              <w:left w:val="single" w:sz="4" w:space="0" w:color="auto"/>
              <w:right w:val="nil"/>
            </w:tcBorders>
            <w:vAlign w:val="center"/>
          </w:tcPr>
          <w:p w14:paraId="6B161B9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322</w:t>
            </w:r>
          </w:p>
        </w:tc>
        <w:tc>
          <w:tcPr>
            <w:tcW w:w="1049" w:type="dxa"/>
            <w:tcBorders>
              <w:left w:val="nil"/>
              <w:right w:val="single" w:sz="4" w:space="0" w:color="auto"/>
            </w:tcBorders>
            <w:vAlign w:val="center"/>
          </w:tcPr>
          <w:p w14:paraId="4A2D730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2.00%</w:t>
            </w:r>
          </w:p>
        </w:tc>
        <w:tc>
          <w:tcPr>
            <w:tcW w:w="1361" w:type="dxa"/>
            <w:tcBorders>
              <w:left w:val="single" w:sz="4" w:space="0" w:color="auto"/>
              <w:right w:val="nil"/>
            </w:tcBorders>
            <w:vAlign w:val="center"/>
          </w:tcPr>
          <w:p w14:paraId="4CA3BC0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187</w:t>
            </w:r>
          </w:p>
        </w:tc>
        <w:tc>
          <w:tcPr>
            <w:tcW w:w="1077" w:type="dxa"/>
            <w:tcBorders>
              <w:left w:val="nil"/>
              <w:right w:val="single" w:sz="4" w:space="0" w:color="auto"/>
            </w:tcBorders>
            <w:vAlign w:val="center"/>
          </w:tcPr>
          <w:p w14:paraId="4071072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1.16%</w:t>
            </w:r>
          </w:p>
        </w:tc>
        <w:tc>
          <w:tcPr>
            <w:tcW w:w="1474" w:type="dxa"/>
            <w:tcBorders>
              <w:left w:val="single" w:sz="4" w:space="0" w:color="auto"/>
              <w:right w:val="nil"/>
            </w:tcBorders>
            <w:vAlign w:val="center"/>
          </w:tcPr>
          <w:p w14:paraId="4B2C15E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135</w:t>
            </w:r>
          </w:p>
        </w:tc>
        <w:tc>
          <w:tcPr>
            <w:tcW w:w="964" w:type="dxa"/>
            <w:tcBorders>
              <w:left w:val="nil"/>
              <w:right w:val="single" w:sz="4" w:space="0" w:color="auto"/>
            </w:tcBorders>
            <w:vAlign w:val="center"/>
          </w:tcPr>
          <w:p w14:paraId="7550CAE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0.84%</w:t>
            </w:r>
          </w:p>
        </w:tc>
        <w:tc>
          <w:tcPr>
            <w:tcW w:w="1219" w:type="dxa"/>
            <w:tcBorders>
              <w:left w:val="single" w:sz="4" w:space="0" w:color="auto"/>
              <w:right w:val="nil"/>
            </w:tcBorders>
            <w:vAlign w:val="center"/>
          </w:tcPr>
          <w:p w14:paraId="3785028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1,731</w:t>
            </w:r>
          </w:p>
        </w:tc>
        <w:tc>
          <w:tcPr>
            <w:tcW w:w="1219" w:type="dxa"/>
            <w:tcBorders>
              <w:left w:val="nil"/>
              <w:right w:val="single" w:sz="4" w:space="0" w:color="auto"/>
            </w:tcBorders>
            <w:vAlign w:val="center"/>
          </w:tcPr>
          <w:p w14:paraId="04BE72E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10.76%</w:t>
            </w:r>
          </w:p>
        </w:tc>
      </w:tr>
      <w:tr w:rsidR="001C4508" w:rsidRPr="00E91515" w14:paraId="54CF5E9E"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93BE496"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tcBorders>
            <w:vAlign w:val="center"/>
          </w:tcPr>
          <w:p w14:paraId="49BD1D0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57</w:t>
            </w:r>
          </w:p>
        </w:tc>
        <w:tc>
          <w:tcPr>
            <w:tcW w:w="1021" w:type="dxa"/>
            <w:tcBorders>
              <w:right w:val="single" w:sz="4" w:space="0" w:color="auto"/>
            </w:tcBorders>
            <w:vAlign w:val="center"/>
          </w:tcPr>
          <w:p w14:paraId="770F0A1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0.35%</w:t>
            </w:r>
          </w:p>
        </w:tc>
        <w:tc>
          <w:tcPr>
            <w:tcW w:w="1389" w:type="dxa"/>
            <w:tcBorders>
              <w:left w:val="single" w:sz="4" w:space="0" w:color="auto"/>
            </w:tcBorders>
            <w:vAlign w:val="center"/>
          </w:tcPr>
          <w:p w14:paraId="1702832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w:t>
            </w:r>
          </w:p>
        </w:tc>
        <w:tc>
          <w:tcPr>
            <w:tcW w:w="1049" w:type="dxa"/>
            <w:tcBorders>
              <w:right w:val="single" w:sz="4" w:space="0" w:color="auto"/>
            </w:tcBorders>
            <w:vAlign w:val="center"/>
          </w:tcPr>
          <w:p w14:paraId="566D1EC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0.08%</w:t>
            </w:r>
          </w:p>
        </w:tc>
        <w:tc>
          <w:tcPr>
            <w:tcW w:w="1361" w:type="dxa"/>
            <w:tcBorders>
              <w:left w:val="single" w:sz="4" w:space="0" w:color="auto"/>
            </w:tcBorders>
            <w:vAlign w:val="center"/>
          </w:tcPr>
          <w:p w14:paraId="3343261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w:t>
            </w:r>
          </w:p>
        </w:tc>
        <w:tc>
          <w:tcPr>
            <w:tcW w:w="1077" w:type="dxa"/>
            <w:tcBorders>
              <w:right w:val="single" w:sz="4" w:space="0" w:color="auto"/>
            </w:tcBorders>
            <w:vAlign w:val="center"/>
          </w:tcPr>
          <w:p w14:paraId="321A149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0.04%</w:t>
            </w:r>
          </w:p>
        </w:tc>
        <w:tc>
          <w:tcPr>
            <w:tcW w:w="1474" w:type="dxa"/>
            <w:tcBorders>
              <w:left w:val="single" w:sz="4" w:space="0" w:color="auto"/>
            </w:tcBorders>
            <w:vAlign w:val="center"/>
          </w:tcPr>
          <w:p w14:paraId="2D9551A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w:t>
            </w:r>
          </w:p>
        </w:tc>
        <w:tc>
          <w:tcPr>
            <w:tcW w:w="964" w:type="dxa"/>
            <w:tcBorders>
              <w:right w:val="single" w:sz="4" w:space="0" w:color="auto"/>
            </w:tcBorders>
            <w:vAlign w:val="center"/>
          </w:tcPr>
          <w:p w14:paraId="546966B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0.04%</w:t>
            </w:r>
          </w:p>
        </w:tc>
        <w:tc>
          <w:tcPr>
            <w:tcW w:w="1219" w:type="dxa"/>
            <w:tcBorders>
              <w:left w:val="single" w:sz="4" w:space="0" w:color="auto"/>
            </w:tcBorders>
            <w:vAlign w:val="center"/>
          </w:tcPr>
          <w:p w14:paraId="6A96D43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70</w:t>
            </w:r>
          </w:p>
        </w:tc>
        <w:tc>
          <w:tcPr>
            <w:tcW w:w="1219" w:type="dxa"/>
            <w:tcBorders>
              <w:right w:val="single" w:sz="4" w:space="0" w:color="auto"/>
            </w:tcBorders>
            <w:vAlign w:val="center"/>
          </w:tcPr>
          <w:p w14:paraId="375862B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0.44%</w:t>
            </w:r>
          </w:p>
        </w:tc>
      </w:tr>
      <w:tr w:rsidR="001C4508" w:rsidRPr="00E91515" w14:paraId="0E1E2330"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26DBB53"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right w:val="nil"/>
            </w:tcBorders>
            <w:vAlign w:val="center"/>
          </w:tcPr>
          <w:p w14:paraId="36B8368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4,780</w:t>
            </w:r>
          </w:p>
        </w:tc>
        <w:tc>
          <w:tcPr>
            <w:tcW w:w="1021" w:type="dxa"/>
            <w:tcBorders>
              <w:left w:val="nil"/>
              <w:right w:val="single" w:sz="4" w:space="0" w:color="auto"/>
            </w:tcBorders>
            <w:vAlign w:val="center"/>
          </w:tcPr>
          <w:p w14:paraId="54105E3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29.72%</w:t>
            </w:r>
          </w:p>
        </w:tc>
        <w:tc>
          <w:tcPr>
            <w:tcW w:w="1389" w:type="dxa"/>
            <w:tcBorders>
              <w:left w:val="single" w:sz="4" w:space="0" w:color="auto"/>
              <w:right w:val="nil"/>
            </w:tcBorders>
            <w:vAlign w:val="center"/>
          </w:tcPr>
          <w:p w14:paraId="12FB2BE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1,510</w:t>
            </w:r>
          </w:p>
        </w:tc>
        <w:tc>
          <w:tcPr>
            <w:tcW w:w="1049" w:type="dxa"/>
            <w:tcBorders>
              <w:left w:val="nil"/>
              <w:right w:val="single" w:sz="4" w:space="0" w:color="auto"/>
            </w:tcBorders>
            <w:vAlign w:val="center"/>
          </w:tcPr>
          <w:p w14:paraId="48D071D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9.39%</w:t>
            </w:r>
          </w:p>
        </w:tc>
        <w:tc>
          <w:tcPr>
            <w:tcW w:w="1361" w:type="dxa"/>
            <w:tcBorders>
              <w:left w:val="single" w:sz="4" w:space="0" w:color="auto"/>
              <w:right w:val="nil"/>
            </w:tcBorders>
            <w:vAlign w:val="center"/>
          </w:tcPr>
          <w:p w14:paraId="7FAD44E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1,036</w:t>
            </w:r>
          </w:p>
        </w:tc>
        <w:tc>
          <w:tcPr>
            <w:tcW w:w="1077" w:type="dxa"/>
            <w:tcBorders>
              <w:left w:val="nil"/>
              <w:right w:val="single" w:sz="4" w:space="0" w:color="auto"/>
            </w:tcBorders>
            <w:vAlign w:val="center"/>
          </w:tcPr>
          <w:p w14:paraId="3538A03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6.44%</w:t>
            </w:r>
          </w:p>
        </w:tc>
        <w:tc>
          <w:tcPr>
            <w:tcW w:w="1474" w:type="dxa"/>
            <w:tcBorders>
              <w:left w:val="single" w:sz="4" w:space="0" w:color="auto"/>
              <w:right w:val="nil"/>
            </w:tcBorders>
            <w:vAlign w:val="center"/>
          </w:tcPr>
          <w:p w14:paraId="5868340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474</w:t>
            </w:r>
          </w:p>
        </w:tc>
        <w:tc>
          <w:tcPr>
            <w:tcW w:w="964" w:type="dxa"/>
            <w:tcBorders>
              <w:left w:val="nil"/>
              <w:right w:val="single" w:sz="4" w:space="0" w:color="auto"/>
            </w:tcBorders>
            <w:vAlign w:val="center"/>
          </w:tcPr>
          <w:p w14:paraId="30A0D1A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2.95%</w:t>
            </w:r>
          </w:p>
        </w:tc>
        <w:tc>
          <w:tcPr>
            <w:tcW w:w="1219" w:type="dxa"/>
            <w:tcBorders>
              <w:left w:val="single" w:sz="4" w:space="0" w:color="auto"/>
              <w:right w:val="nil"/>
            </w:tcBorders>
            <w:vAlign w:val="center"/>
          </w:tcPr>
          <w:p w14:paraId="2497B6B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6,290</w:t>
            </w:r>
          </w:p>
        </w:tc>
        <w:tc>
          <w:tcPr>
            <w:tcW w:w="1219" w:type="dxa"/>
            <w:tcBorders>
              <w:left w:val="nil"/>
              <w:right w:val="single" w:sz="4" w:space="0" w:color="auto"/>
            </w:tcBorders>
            <w:vAlign w:val="center"/>
          </w:tcPr>
          <w:p w14:paraId="6B49ED3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39.11%</w:t>
            </w:r>
          </w:p>
        </w:tc>
      </w:tr>
      <w:tr w:rsidR="001C4508" w:rsidRPr="00E91515" w14:paraId="765964CA"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35389193"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tcBorders>
            <w:vAlign w:val="center"/>
          </w:tcPr>
          <w:p w14:paraId="5635838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7,460</w:t>
            </w:r>
          </w:p>
        </w:tc>
        <w:tc>
          <w:tcPr>
            <w:tcW w:w="1021" w:type="dxa"/>
            <w:tcBorders>
              <w:bottom w:val="nil"/>
              <w:right w:val="single" w:sz="4" w:space="0" w:color="auto"/>
            </w:tcBorders>
            <w:vAlign w:val="center"/>
          </w:tcPr>
          <w:p w14:paraId="5E03A4B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46.39%</w:t>
            </w:r>
          </w:p>
        </w:tc>
        <w:tc>
          <w:tcPr>
            <w:tcW w:w="1389" w:type="dxa"/>
            <w:tcBorders>
              <w:left w:val="single" w:sz="4" w:space="0" w:color="auto"/>
              <w:bottom w:val="nil"/>
            </w:tcBorders>
            <w:vAlign w:val="center"/>
          </w:tcPr>
          <w:p w14:paraId="4CD1DB3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2,331</w:t>
            </w:r>
          </w:p>
        </w:tc>
        <w:tc>
          <w:tcPr>
            <w:tcW w:w="1049" w:type="dxa"/>
            <w:tcBorders>
              <w:bottom w:val="nil"/>
              <w:right w:val="single" w:sz="4" w:space="0" w:color="auto"/>
            </w:tcBorders>
            <w:vAlign w:val="center"/>
          </w:tcPr>
          <w:p w14:paraId="29D2A5D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14.50%</w:t>
            </w:r>
          </w:p>
        </w:tc>
        <w:tc>
          <w:tcPr>
            <w:tcW w:w="1361" w:type="dxa"/>
            <w:tcBorders>
              <w:left w:val="single" w:sz="4" w:space="0" w:color="auto"/>
              <w:bottom w:val="nil"/>
            </w:tcBorders>
            <w:vAlign w:val="center"/>
          </w:tcPr>
          <w:p w14:paraId="1130138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1,315</w:t>
            </w:r>
          </w:p>
        </w:tc>
        <w:tc>
          <w:tcPr>
            <w:tcW w:w="1077" w:type="dxa"/>
            <w:tcBorders>
              <w:bottom w:val="nil"/>
              <w:right w:val="single" w:sz="4" w:space="0" w:color="auto"/>
            </w:tcBorders>
            <w:vAlign w:val="center"/>
          </w:tcPr>
          <w:p w14:paraId="7C6ACCC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8.18%</w:t>
            </w:r>
          </w:p>
        </w:tc>
        <w:tc>
          <w:tcPr>
            <w:tcW w:w="1474" w:type="dxa"/>
            <w:tcBorders>
              <w:left w:val="single" w:sz="4" w:space="0" w:color="auto"/>
              <w:bottom w:val="nil"/>
            </w:tcBorders>
            <w:vAlign w:val="center"/>
          </w:tcPr>
          <w:p w14:paraId="283EF63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1,016</w:t>
            </w:r>
          </w:p>
        </w:tc>
        <w:tc>
          <w:tcPr>
            <w:tcW w:w="964" w:type="dxa"/>
            <w:tcBorders>
              <w:bottom w:val="nil"/>
              <w:right w:val="single" w:sz="4" w:space="0" w:color="auto"/>
            </w:tcBorders>
            <w:vAlign w:val="center"/>
          </w:tcPr>
          <w:p w14:paraId="127862A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6.32%</w:t>
            </w:r>
          </w:p>
        </w:tc>
        <w:tc>
          <w:tcPr>
            <w:tcW w:w="1219" w:type="dxa"/>
            <w:tcBorders>
              <w:left w:val="single" w:sz="4" w:space="0" w:color="auto"/>
              <w:bottom w:val="nil"/>
            </w:tcBorders>
            <w:vAlign w:val="center"/>
          </w:tcPr>
          <w:p w14:paraId="2F6CEC1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9,791</w:t>
            </w:r>
          </w:p>
        </w:tc>
        <w:tc>
          <w:tcPr>
            <w:tcW w:w="1219" w:type="dxa"/>
            <w:tcBorders>
              <w:bottom w:val="nil"/>
              <w:right w:val="single" w:sz="4" w:space="0" w:color="auto"/>
            </w:tcBorders>
            <w:vAlign w:val="center"/>
          </w:tcPr>
          <w:p w14:paraId="00A934C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60.89%</w:t>
            </w:r>
          </w:p>
        </w:tc>
      </w:tr>
      <w:tr w:rsidR="001C4508" w:rsidRPr="00E91515" w14:paraId="15D95581"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5E7C9EAE"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right w:val="nil"/>
            </w:tcBorders>
            <w:vAlign w:val="center"/>
          </w:tcPr>
          <w:p w14:paraId="6DE063FB"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12,240</w:t>
            </w:r>
          </w:p>
        </w:tc>
        <w:tc>
          <w:tcPr>
            <w:tcW w:w="1021" w:type="dxa"/>
            <w:tcBorders>
              <w:top w:val="nil"/>
              <w:left w:val="nil"/>
              <w:bottom w:val="single" w:sz="4" w:space="0" w:color="auto"/>
              <w:right w:val="single" w:sz="4" w:space="0" w:color="auto"/>
            </w:tcBorders>
            <w:vAlign w:val="center"/>
          </w:tcPr>
          <w:p w14:paraId="54688E2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76.11%</w:t>
            </w:r>
          </w:p>
        </w:tc>
        <w:tc>
          <w:tcPr>
            <w:tcW w:w="1389" w:type="dxa"/>
            <w:tcBorders>
              <w:top w:val="nil"/>
              <w:left w:val="single" w:sz="4" w:space="0" w:color="auto"/>
              <w:bottom w:val="single" w:sz="4" w:space="0" w:color="auto"/>
              <w:right w:val="nil"/>
            </w:tcBorders>
            <w:vAlign w:val="center"/>
          </w:tcPr>
          <w:p w14:paraId="4A22D65F"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3,841</w:t>
            </w:r>
          </w:p>
        </w:tc>
        <w:tc>
          <w:tcPr>
            <w:tcW w:w="1049" w:type="dxa"/>
            <w:tcBorders>
              <w:top w:val="nil"/>
              <w:left w:val="nil"/>
              <w:bottom w:val="single" w:sz="4" w:space="0" w:color="auto"/>
              <w:right w:val="single" w:sz="4" w:space="0" w:color="auto"/>
            </w:tcBorders>
            <w:vAlign w:val="center"/>
          </w:tcPr>
          <w:p w14:paraId="3586D0A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23.89%</w:t>
            </w:r>
          </w:p>
        </w:tc>
        <w:tc>
          <w:tcPr>
            <w:tcW w:w="1361" w:type="dxa"/>
            <w:tcBorders>
              <w:top w:val="nil"/>
              <w:left w:val="single" w:sz="4" w:space="0" w:color="auto"/>
              <w:bottom w:val="single" w:sz="4" w:space="0" w:color="auto"/>
              <w:right w:val="nil"/>
            </w:tcBorders>
            <w:vAlign w:val="center"/>
          </w:tcPr>
          <w:p w14:paraId="100078B5"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2,351</w:t>
            </w:r>
          </w:p>
        </w:tc>
        <w:tc>
          <w:tcPr>
            <w:tcW w:w="1077" w:type="dxa"/>
            <w:tcBorders>
              <w:top w:val="nil"/>
              <w:left w:val="nil"/>
              <w:bottom w:val="single" w:sz="4" w:space="0" w:color="auto"/>
              <w:right w:val="single" w:sz="4" w:space="0" w:color="auto"/>
            </w:tcBorders>
            <w:vAlign w:val="center"/>
          </w:tcPr>
          <w:p w14:paraId="7D2374E4"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14.62%</w:t>
            </w:r>
          </w:p>
        </w:tc>
        <w:tc>
          <w:tcPr>
            <w:tcW w:w="1474" w:type="dxa"/>
            <w:tcBorders>
              <w:top w:val="nil"/>
              <w:left w:val="single" w:sz="4" w:space="0" w:color="auto"/>
              <w:bottom w:val="single" w:sz="4" w:space="0" w:color="auto"/>
              <w:right w:val="nil"/>
            </w:tcBorders>
            <w:vAlign w:val="center"/>
          </w:tcPr>
          <w:p w14:paraId="5448576C"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1,490</w:t>
            </w:r>
          </w:p>
        </w:tc>
        <w:tc>
          <w:tcPr>
            <w:tcW w:w="964" w:type="dxa"/>
            <w:tcBorders>
              <w:top w:val="nil"/>
              <w:left w:val="nil"/>
              <w:bottom w:val="single" w:sz="4" w:space="0" w:color="auto"/>
              <w:right w:val="single" w:sz="4" w:space="0" w:color="auto"/>
            </w:tcBorders>
            <w:vAlign w:val="center"/>
          </w:tcPr>
          <w:p w14:paraId="764EA92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9.27%</w:t>
            </w:r>
          </w:p>
        </w:tc>
        <w:tc>
          <w:tcPr>
            <w:tcW w:w="1219" w:type="dxa"/>
            <w:tcBorders>
              <w:top w:val="nil"/>
              <w:left w:val="single" w:sz="4" w:space="0" w:color="auto"/>
              <w:bottom w:val="single" w:sz="4" w:space="0" w:color="auto"/>
              <w:right w:val="nil"/>
            </w:tcBorders>
            <w:vAlign w:val="center"/>
          </w:tcPr>
          <w:p w14:paraId="42BCB5C8"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16,081</w:t>
            </w:r>
          </w:p>
        </w:tc>
        <w:tc>
          <w:tcPr>
            <w:tcW w:w="1219" w:type="dxa"/>
            <w:tcBorders>
              <w:top w:val="nil"/>
              <w:left w:val="nil"/>
              <w:bottom w:val="single" w:sz="4" w:space="0" w:color="auto"/>
              <w:right w:val="single" w:sz="4" w:space="0" w:color="auto"/>
            </w:tcBorders>
            <w:vAlign w:val="center"/>
          </w:tcPr>
          <w:p w14:paraId="5C968781"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8.13%</w:t>
            </w:r>
          </w:p>
        </w:tc>
      </w:tr>
    </w:tbl>
    <w:p w14:paraId="4DB1F015" w14:textId="77777777" w:rsidR="001C4508" w:rsidRDefault="001C4508" w:rsidP="00CE2FDF">
      <w:pPr>
        <w:spacing w:before="0"/>
      </w:pPr>
      <w:r>
        <w:rPr>
          <w:b/>
          <w:bCs/>
        </w:rPr>
        <w:br w:type="page"/>
      </w:r>
    </w:p>
    <w:tbl>
      <w:tblPr>
        <w:tblStyle w:val="LightShading-Accent3"/>
        <w:tblW w:w="14425" w:type="dxa"/>
        <w:tblLayout w:type="fixed"/>
        <w:tblLook w:val="04A0" w:firstRow="1" w:lastRow="0" w:firstColumn="1" w:lastColumn="0" w:noHBand="0" w:noVBand="1"/>
        <w:tblCaption w:val="Number of reports of emotional abuse, by year, reporter group, and outcome"/>
      </w:tblPr>
      <w:tblGrid>
        <w:gridCol w:w="2235"/>
        <w:gridCol w:w="1417"/>
        <w:gridCol w:w="1021"/>
        <w:gridCol w:w="1389"/>
        <w:gridCol w:w="1049"/>
        <w:gridCol w:w="1361"/>
        <w:gridCol w:w="1077"/>
        <w:gridCol w:w="1474"/>
        <w:gridCol w:w="964"/>
        <w:gridCol w:w="1219"/>
        <w:gridCol w:w="1219"/>
      </w:tblGrid>
      <w:tr w:rsidR="001C4508" w:rsidRPr="00E91515" w14:paraId="1E8CF5A0"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3E5434A3" w14:textId="77777777" w:rsidR="001C4508" w:rsidRPr="00E91515" w:rsidRDefault="001C4508" w:rsidP="00CE2FDF">
            <w:pPr>
              <w:keepNext/>
              <w:tabs>
                <w:tab w:val="left" w:pos="1134"/>
              </w:tabs>
              <w:spacing w:before="0" w:line="276" w:lineRule="auto"/>
              <w:jc w:val="center"/>
              <w:rPr>
                <w:rFonts w:eastAsia="Times New Roman" w:cs="Arial"/>
                <w:color w:val="auto"/>
                <w:sz w:val="20"/>
                <w:szCs w:val="20"/>
                <w:lang w:eastAsia="en-AU"/>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F743758"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87BF48C"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66186EF"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6826421"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3480FA5"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Total</w:t>
            </w:r>
          </w:p>
        </w:tc>
      </w:tr>
      <w:tr w:rsidR="001C4508" w:rsidRPr="00E91515" w14:paraId="1F3EE898"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20B7B5F2"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2009</w:t>
            </w:r>
          </w:p>
        </w:tc>
        <w:tc>
          <w:tcPr>
            <w:tcW w:w="1417" w:type="dxa"/>
            <w:tcBorders>
              <w:top w:val="single" w:sz="4" w:space="0" w:color="auto"/>
              <w:left w:val="single" w:sz="4" w:space="0" w:color="auto"/>
            </w:tcBorders>
          </w:tcPr>
          <w:p w14:paraId="42CBCEF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021" w:type="dxa"/>
            <w:tcBorders>
              <w:top w:val="single" w:sz="4" w:space="0" w:color="auto"/>
              <w:right w:val="single" w:sz="4" w:space="0" w:color="auto"/>
            </w:tcBorders>
          </w:tcPr>
          <w:p w14:paraId="1FCEDF13"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389" w:type="dxa"/>
            <w:tcBorders>
              <w:top w:val="single" w:sz="4" w:space="0" w:color="auto"/>
              <w:left w:val="single" w:sz="4" w:space="0" w:color="auto"/>
            </w:tcBorders>
          </w:tcPr>
          <w:p w14:paraId="5E50A87A"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049" w:type="dxa"/>
            <w:tcBorders>
              <w:top w:val="single" w:sz="4" w:space="0" w:color="auto"/>
              <w:right w:val="single" w:sz="4" w:space="0" w:color="auto"/>
            </w:tcBorders>
          </w:tcPr>
          <w:p w14:paraId="575C4296"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361" w:type="dxa"/>
            <w:tcBorders>
              <w:top w:val="single" w:sz="4" w:space="0" w:color="auto"/>
              <w:left w:val="single" w:sz="4" w:space="0" w:color="auto"/>
            </w:tcBorders>
          </w:tcPr>
          <w:p w14:paraId="09734E69"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077" w:type="dxa"/>
            <w:tcBorders>
              <w:top w:val="single" w:sz="4" w:space="0" w:color="auto"/>
              <w:right w:val="single" w:sz="4" w:space="0" w:color="auto"/>
            </w:tcBorders>
          </w:tcPr>
          <w:p w14:paraId="2793C46C"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474" w:type="dxa"/>
            <w:tcBorders>
              <w:top w:val="single" w:sz="4" w:space="0" w:color="auto"/>
              <w:left w:val="single" w:sz="4" w:space="0" w:color="auto"/>
            </w:tcBorders>
          </w:tcPr>
          <w:p w14:paraId="6AE33880"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964" w:type="dxa"/>
            <w:tcBorders>
              <w:top w:val="single" w:sz="4" w:space="0" w:color="auto"/>
              <w:right w:val="single" w:sz="4" w:space="0" w:color="auto"/>
            </w:tcBorders>
          </w:tcPr>
          <w:p w14:paraId="29FB7B77"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left w:val="single" w:sz="4" w:space="0" w:color="auto"/>
            </w:tcBorders>
          </w:tcPr>
          <w:p w14:paraId="2FBC4C8A"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right w:val="single" w:sz="4" w:space="0" w:color="auto"/>
            </w:tcBorders>
          </w:tcPr>
          <w:p w14:paraId="65D10879"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r>
      <w:tr w:rsidR="001C4508" w:rsidRPr="00E91515" w14:paraId="7F3EF9F3"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B6DD281"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tcBorders>
            <w:vAlign w:val="center"/>
          </w:tcPr>
          <w:p w14:paraId="4F317D0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242</w:t>
            </w:r>
          </w:p>
        </w:tc>
        <w:tc>
          <w:tcPr>
            <w:tcW w:w="1021" w:type="dxa"/>
            <w:tcBorders>
              <w:right w:val="single" w:sz="4" w:space="0" w:color="auto"/>
            </w:tcBorders>
            <w:vAlign w:val="center"/>
          </w:tcPr>
          <w:p w14:paraId="38971B9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1.11%</w:t>
            </w:r>
          </w:p>
        </w:tc>
        <w:tc>
          <w:tcPr>
            <w:tcW w:w="1389" w:type="dxa"/>
            <w:tcBorders>
              <w:left w:val="single" w:sz="4" w:space="0" w:color="auto"/>
            </w:tcBorders>
            <w:vAlign w:val="center"/>
          </w:tcPr>
          <w:p w14:paraId="180933D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68</w:t>
            </w:r>
          </w:p>
        </w:tc>
        <w:tc>
          <w:tcPr>
            <w:tcW w:w="1049" w:type="dxa"/>
            <w:tcBorders>
              <w:right w:val="single" w:sz="4" w:space="0" w:color="auto"/>
            </w:tcBorders>
            <w:vAlign w:val="center"/>
          </w:tcPr>
          <w:p w14:paraId="341762E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0.31%</w:t>
            </w:r>
          </w:p>
        </w:tc>
        <w:tc>
          <w:tcPr>
            <w:tcW w:w="1361" w:type="dxa"/>
            <w:tcBorders>
              <w:left w:val="single" w:sz="4" w:space="0" w:color="auto"/>
            </w:tcBorders>
            <w:vAlign w:val="center"/>
          </w:tcPr>
          <w:p w14:paraId="0039110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42</w:t>
            </w:r>
          </w:p>
        </w:tc>
        <w:tc>
          <w:tcPr>
            <w:tcW w:w="1077" w:type="dxa"/>
            <w:tcBorders>
              <w:right w:val="single" w:sz="4" w:space="0" w:color="auto"/>
            </w:tcBorders>
            <w:vAlign w:val="center"/>
          </w:tcPr>
          <w:p w14:paraId="28500C3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0.19%</w:t>
            </w:r>
          </w:p>
        </w:tc>
        <w:tc>
          <w:tcPr>
            <w:tcW w:w="1474" w:type="dxa"/>
            <w:tcBorders>
              <w:left w:val="single" w:sz="4" w:space="0" w:color="auto"/>
            </w:tcBorders>
            <w:vAlign w:val="center"/>
          </w:tcPr>
          <w:p w14:paraId="21F19AC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26</w:t>
            </w:r>
          </w:p>
        </w:tc>
        <w:tc>
          <w:tcPr>
            <w:tcW w:w="964" w:type="dxa"/>
            <w:tcBorders>
              <w:right w:val="single" w:sz="4" w:space="0" w:color="auto"/>
            </w:tcBorders>
            <w:vAlign w:val="center"/>
          </w:tcPr>
          <w:p w14:paraId="4CCBDC1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0.12%</w:t>
            </w:r>
          </w:p>
        </w:tc>
        <w:tc>
          <w:tcPr>
            <w:tcW w:w="1219" w:type="dxa"/>
            <w:tcBorders>
              <w:left w:val="single" w:sz="4" w:space="0" w:color="auto"/>
            </w:tcBorders>
            <w:vAlign w:val="center"/>
          </w:tcPr>
          <w:p w14:paraId="43C7851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310</w:t>
            </w:r>
          </w:p>
        </w:tc>
        <w:tc>
          <w:tcPr>
            <w:tcW w:w="1219" w:type="dxa"/>
            <w:tcBorders>
              <w:right w:val="single" w:sz="4" w:space="0" w:color="auto"/>
            </w:tcBorders>
            <w:vAlign w:val="center"/>
          </w:tcPr>
          <w:p w14:paraId="5848E32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1.42%</w:t>
            </w:r>
          </w:p>
        </w:tc>
      </w:tr>
      <w:tr w:rsidR="001C4508" w:rsidRPr="00E91515" w14:paraId="57E8C4D2"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2E07D49E"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tcBorders>
            <w:vAlign w:val="center"/>
          </w:tcPr>
          <w:p w14:paraId="7D74764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344</w:t>
            </w:r>
          </w:p>
        </w:tc>
        <w:tc>
          <w:tcPr>
            <w:tcW w:w="1021" w:type="dxa"/>
            <w:tcBorders>
              <w:right w:val="single" w:sz="4" w:space="0" w:color="auto"/>
            </w:tcBorders>
            <w:vAlign w:val="center"/>
          </w:tcPr>
          <w:p w14:paraId="77E9990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1.58%</w:t>
            </w:r>
          </w:p>
        </w:tc>
        <w:tc>
          <w:tcPr>
            <w:tcW w:w="1389" w:type="dxa"/>
            <w:tcBorders>
              <w:left w:val="single" w:sz="4" w:space="0" w:color="auto"/>
            </w:tcBorders>
            <w:vAlign w:val="center"/>
          </w:tcPr>
          <w:p w14:paraId="57A1178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185</w:t>
            </w:r>
          </w:p>
        </w:tc>
        <w:tc>
          <w:tcPr>
            <w:tcW w:w="1049" w:type="dxa"/>
            <w:tcBorders>
              <w:right w:val="single" w:sz="4" w:space="0" w:color="auto"/>
            </w:tcBorders>
            <w:vAlign w:val="center"/>
          </w:tcPr>
          <w:p w14:paraId="5A10A2D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0.85%</w:t>
            </w:r>
          </w:p>
        </w:tc>
        <w:tc>
          <w:tcPr>
            <w:tcW w:w="1361" w:type="dxa"/>
            <w:tcBorders>
              <w:left w:val="single" w:sz="4" w:space="0" w:color="auto"/>
            </w:tcBorders>
            <w:vAlign w:val="center"/>
          </w:tcPr>
          <w:p w14:paraId="4B43AAD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118</w:t>
            </w:r>
          </w:p>
        </w:tc>
        <w:tc>
          <w:tcPr>
            <w:tcW w:w="1077" w:type="dxa"/>
            <w:tcBorders>
              <w:right w:val="single" w:sz="4" w:space="0" w:color="auto"/>
            </w:tcBorders>
            <w:vAlign w:val="center"/>
          </w:tcPr>
          <w:p w14:paraId="7DFD84F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0.54%</w:t>
            </w:r>
          </w:p>
        </w:tc>
        <w:tc>
          <w:tcPr>
            <w:tcW w:w="1474" w:type="dxa"/>
            <w:tcBorders>
              <w:left w:val="single" w:sz="4" w:space="0" w:color="auto"/>
            </w:tcBorders>
            <w:vAlign w:val="center"/>
          </w:tcPr>
          <w:p w14:paraId="01E304E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67</w:t>
            </w:r>
          </w:p>
        </w:tc>
        <w:tc>
          <w:tcPr>
            <w:tcW w:w="964" w:type="dxa"/>
            <w:tcBorders>
              <w:right w:val="single" w:sz="4" w:space="0" w:color="auto"/>
            </w:tcBorders>
            <w:vAlign w:val="center"/>
          </w:tcPr>
          <w:p w14:paraId="7D3FA71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0.31%</w:t>
            </w:r>
          </w:p>
        </w:tc>
        <w:tc>
          <w:tcPr>
            <w:tcW w:w="1219" w:type="dxa"/>
            <w:tcBorders>
              <w:left w:val="single" w:sz="4" w:space="0" w:color="auto"/>
            </w:tcBorders>
            <w:vAlign w:val="center"/>
          </w:tcPr>
          <w:p w14:paraId="0DFB399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529</w:t>
            </w:r>
          </w:p>
        </w:tc>
        <w:tc>
          <w:tcPr>
            <w:tcW w:w="1219" w:type="dxa"/>
            <w:tcBorders>
              <w:right w:val="single" w:sz="4" w:space="0" w:color="auto"/>
            </w:tcBorders>
            <w:vAlign w:val="center"/>
          </w:tcPr>
          <w:p w14:paraId="79DE156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2.43%</w:t>
            </w:r>
          </w:p>
        </w:tc>
      </w:tr>
      <w:tr w:rsidR="001C4508" w:rsidRPr="00E91515" w14:paraId="50F7B507"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7D39E68"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tcBorders>
            <w:vAlign w:val="center"/>
          </w:tcPr>
          <w:p w14:paraId="2C70C7C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4,817</w:t>
            </w:r>
          </w:p>
        </w:tc>
        <w:tc>
          <w:tcPr>
            <w:tcW w:w="1021" w:type="dxa"/>
            <w:tcBorders>
              <w:right w:val="single" w:sz="4" w:space="0" w:color="auto"/>
            </w:tcBorders>
            <w:vAlign w:val="center"/>
          </w:tcPr>
          <w:p w14:paraId="7DAC3E5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22.14%</w:t>
            </w:r>
          </w:p>
        </w:tc>
        <w:tc>
          <w:tcPr>
            <w:tcW w:w="1389" w:type="dxa"/>
            <w:tcBorders>
              <w:left w:val="single" w:sz="4" w:space="0" w:color="auto"/>
            </w:tcBorders>
            <w:vAlign w:val="center"/>
          </w:tcPr>
          <w:p w14:paraId="53E123F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1,141</w:t>
            </w:r>
          </w:p>
        </w:tc>
        <w:tc>
          <w:tcPr>
            <w:tcW w:w="1049" w:type="dxa"/>
            <w:tcBorders>
              <w:right w:val="single" w:sz="4" w:space="0" w:color="auto"/>
            </w:tcBorders>
            <w:vAlign w:val="center"/>
          </w:tcPr>
          <w:p w14:paraId="7F2CAA3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5.24%</w:t>
            </w:r>
          </w:p>
        </w:tc>
        <w:tc>
          <w:tcPr>
            <w:tcW w:w="1361" w:type="dxa"/>
            <w:tcBorders>
              <w:left w:val="single" w:sz="4" w:space="0" w:color="auto"/>
            </w:tcBorders>
            <w:vAlign w:val="center"/>
          </w:tcPr>
          <w:p w14:paraId="6F8A0B3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771</w:t>
            </w:r>
          </w:p>
        </w:tc>
        <w:tc>
          <w:tcPr>
            <w:tcW w:w="1077" w:type="dxa"/>
            <w:tcBorders>
              <w:right w:val="single" w:sz="4" w:space="0" w:color="auto"/>
            </w:tcBorders>
            <w:vAlign w:val="center"/>
          </w:tcPr>
          <w:p w14:paraId="1DDE23A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3.54%</w:t>
            </w:r>
          </w:p>
        </w:tc>
        <w:tc>
          <w:tcPr>
            <w:tcW w:w="1474" w:type="dxa"/>
            <w:tcBorders>
              <w:left w:val="single" w:sz="4" w:space="0" w:color="auto"/>
            </w:tcBorders>
            <w:vAlign w:val="center"/>
          </w:tcPr>
          <w:p w14:paraId="6E0AF80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370</w:t>
            </w:r>
          </w:p>
        </w:tc>
        <w:tc>
          <w:tcPr>
            <w:tcW w:w="964" w:type="dxa"/>
            <w:tcBorders>
              <w:right w:val="single" w:sz="4" w:space="0" w:color="auto"/>
            </w:tcBorders>
            <w:vAlign w:val="center"/>
          </w:tcPr>
          <w:p w14:paraId="35D9815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1.70%</w:t>
            </w:r>
          </w:p>
        </w:tc>
        <w:tc>
          <w:tcPr>
            <w:tcW w:w="1219" w:type="dxa"/>
            <w:tcBorders>
              <w:left w:val="single" w:sz="4" w:space="0" w:color="auto"/>
            </w:tcBorders>
            <w:vAlign w:val="center"/>
          </w:tcPr>
          <w:p w14:paraId="74433F4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5,958</w:t>
            </w:r>
          </w:p>
        </w:tc>
        <w:tc>
          <w:tcPr>
            <w:tcW w:w="1219" w:type="dxa"/>
            <w:tcBorders>
              <w:right w:val="single" w:sz="4" w:space="0" w:color="auto"/>
            </w:tcBorders>
            <w:vAlign w:val="center"/>
          </w:tcPr>
          <w:p w14:paraId="52DF060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27.38%</w:t>
            </w:r>
          </w:p>
        </w:tc>
      </w:tr>
      <w:tr w:rsidR="001C4508" w:rsidRPr="00E91515" w14:paraId="58CD1EEC"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9E8B000"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vAlign w:val="center"/>
          </w:tcPr>
          <w:p w14:paraId="7EB4BD6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1,990</w:t>
            </w:r>
          </w:p>
        </w:tc>
        <w:tc>
          <w:tcPr>
            <w:tcW w:w="1021" w:type="dxa"/>
            <w:tcBorders>
              <w:right w:val="single" w:sz="4" w:space="0" w:color="auto"/>
            </w:tcBorders>
            <w:vAlign w:val="center"/>
          </w:tcPr>
          <w:p w14:paraId="76D2E43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9.15%</w:t>
            </w:r>
          </w:p>
        </w:tc>
        <w:tc>
          <w:tcPr>
            <w:tcW w:w="1389" w:type="dxa"/>
            <w:tcBorders>
              <w:left w:val="single" w:sz="4" w:space="0" w:color="auto"/>
            </w:tcBorders>
            <w:vAlign w:val="center"/>
          </w:tcPr>
          <w:p w14:paraId="138B17D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394</w:t>
            </w:r>
          </w:p>
        </w:tc>
        <w:tc>
          <w:tcPr>
            <w:tcW w:w="1049" w:type="dxa"/>
            <w:tcBorders>
              <w:right w:val="single" w:sz="4" w:space="0" w:color="auto"/>
            </w:tcBorders>
            <w:vAlign w:val="center"/>
          </w:tcPr>
          <w:p w14:paraId="5A1E233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1.81%</w:t>
            </w:r>
          </w:p>
        </w:tc>
        <w:tc>
          <w:tcPr>
            <w:tcW w:w="1361" w:type="dxa"/>
            <w:tcBorders>
              <w:left w:val="single" w:sz="4" w:space="0" w:color="auto"/>
            </w:tcBorders>
            <w:vAlign w:val="center"/>
          </w:tcPr>
          <w:p w14:paraId="5139D0D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200</w:t>
            </w:r>
          </w:p>
        </w:tc>
        <w:tc>
          <w:tcPr>
            <w:tcW w:w="1077" w:type="dxa"/>
            <w:tcBorders>
              <w:right w:val="single" w:sz="4" w:space="0" w:color="auto"/>
            </w:tcBorders>
            <w:vAlign w:val="center"/>
          </w:tcPr>
          <w:p w14:paraId="320DBC7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0.92%</w:t>
            </w:r>
          </w:p>
        </w:tc>
        <w:tc>
          <w:tcPr>
            <w:tcW w:w="1474" w:type="dxa"/>
            <w:tcBorders>
              <w:left w:val="single" w:sz="4" w:space="0" w:color="auto"/>
            </w:tcBorders>
            <w:vAlign w:val="center"/>
          </w:tcPr>
          <w:p w14:paraId="540424C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194</w:t>
            </w:r>
          </w:p>
        </w:tc>
        <w:tc>
          <w:tcPr>
            <w:tcW w:w="964" w:type="dxa"/>
            <w:tcBorders>
              <w:right w:val="single" w:sz="4" w:space="0" w:color="auto"/>
            </w:tcBorders>
            <w:vAlign w:val="center"/>
          </w:tcPr>
          <w:p w14:paraId="3E04CB2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0.89%</w:t>
            </w:r>
          </w:p>
        </w:tc>
        <w:tc>
          <w:tcPr>
            <w:tcW w:w="1219" w:type="dxa"/>
            <w:tcBorders>
              <w:left w:val="single" w:sz="4" w:space="0" w:color="auto"/>
            </w:tcBorders>
            <w:vAlign w:val="center"/>
          </w:tcPr>
          <w:p w14:paraId="58F35D1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2,384</w:t>
            </w:r>
          </w:p>
        </w:tc>
        <w:tc>
          <w:tcPr>
            <w:tcW w:w="1219" w:type="dxa"/>
            <w:tcBorders>
              <w:right w:val="single" w:sz="4" w:space="0" w:color="auto"/>
            </w:tcBorders>
            <w:vAlign w:val="center"/>
          </w:tcPr>
          <w:p w14:paraId="0B47B3E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10.96%</w:t>
            </w:r>
          </w:p>
        </w:tc>
      </w:tr>
      <w:tr w:rsidR="001C4508" w:rsidRPr="00E91515" w14:paraId="41474B01"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0282F8E"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tcBorders>
            <w:vAlign w:val="center"/>
          </w:tcPr>
          <w:p w14:paraId="30B5430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71</w:t>
            </w:r>
          </w:p>
        </w:tc>
        <w:tc>
          <w:tcPr>
            <w:tcW w:w="1021" w:type="dxa"/>
            <w:tcBorders>
              <w:right w:val="single" w:sz="4" w:space="0" w:color="auto"/>
            </w:tcBorders>
            <w:vAlign w:val="center"/>
          </w:tcPr>
          <w:p w14:paraId="34D9920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0.33%</w:t>
            </w:r>
          </w:p>
        </w:tc>
        <w:tc>
          <w:tcPr>
            <w:tcW w:w="1389" w:type="dxa"/>
            <w:tcBorders>
              <w:left w:val="single" w:sz="4" w:space="0" w:color="auto"/>
            </w:tcBorders>
            <w:vAlign w:val="center"/>
          </w:tcPr>
          <w:p w14:paraId="19C4D82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19</w:t>
            </w:r>
          </w:p>
        </w:tc>
        <w:tc>
          <w:tcPr>
            <w:tcW w:w="1049" w:type="dxa"/>
            <w:tcBorders>
              <w:right w:val="single" w:sz="4" w:space="0" w:color="auto"/>
            </w:tcBorders>
            <w:vAlign w:val="center"/>
          </w:tcPr>
          <w:p w14:paraId="2FA4814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0.09%</w:t>
            </w:r>
          </w:p>
        </w:tc>
        <w:tc>
          <w:tcPr>
            <w:tcW w:w="1361" w:type="dxa"/>
            <w:tcBorders>
              <w:left w:val="single" w:sz="4" w:space="0" w:color="auto"/>
            </w:tcBorders>
            <w:vAlign w:val="center"/>
          </w:tcPr>
          <w:p w14:paraId="550003A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w:t>
            </w:r>
          </w:p>
        </w:tc>
        <w:tc>
          <w:tcPr>
            <w:tcW w:w="1077" w:type="dxa"/>
            <w:tcBorders>
              <w:right w:val="single" w:sz="4" w:space="0" w:color="auto"/>
            </w:tcBorders>
            <w:vAlign w:val="center"/>
          </w:tcPr>
          <w:p w14:paraId="7C9880A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0.06%</w:t>
            </w:r>
          </w:p>
        </w:tc>
        <w:tc>
          <w:tcPr>
            <w:tcW w:w="1474" w:type="dxa"/>
            <w:tcBorders>
              <w:left w:val="single" w:sz="4" w:space="0" w:color="auto"/>
            </w:tcBorders>
            <w:vAlign w:val="center"/>
          </w:tcPr>
          <w:p w14:paraId="018D150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w:t>
            </w:r>
          </w:p>
        </w:tc>
        <w:tc>
          <w:tcPr>
            <w:tcW w:w="964" w:type="dxa"/>
            <w:tcBorders>
              <w:right w:val="single" w:sz="4" w:space="0" w:color="auto"/>
            </w:tcBorders>
            <w:vAlign w:val="center"/>
          </w:tcPr>
          <w:p w14:paraId="1C6BD55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0.02%</w:t>
            </w:r>
          </w:p>
        </w:tc>
        <w:tc>
          <w:tcPr>
            <w:tcW w:w="1219" w:type="dxa"/>
            <w:tcBorders>
              <w:left w:val="single" w:sz="4" w:space="0" w:color="auto"/>
            </w:tcBorders>
            <w:vAlign w:val="center"/>
          </w:tcPr>
          <w:p w14:paraId="6FE4BF8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90</w:t>
            </w:r>
          </w:p>
        </w:tc>
        <w:tc>
          <w:tcPr>
            <w:tcW w:w="1219" w:type="dxa"/>
            <w:tcBorders>
              <w:right w:val="single" w:sz="4" w:space="0" w:color="auto"/>
            </w:tcBorders>
            <w:vAlign w:val="center"/>
          </w:tcPr>
          <w:p w14:paraId="3595721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0.41%</w:t>
            </w:r>
          </w:p>
        </w:tc>
      </w:tr>
      <w:tr w:rsidR="001C4508" w:rsidRPr="00E91515" w14:paraId="74314EB1"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7152CFE"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tcBorders>
            <w:vAlign w:val="center"/>
          </w:tcPr>
          <w:p w14:paraId="326BFEF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7,464</w:t>
            </w:r>
          </w:p>
        </w:tc>
        <w:tc>
          <w:tcPr>
            <w:tcW w:w="1021" w:type="dxa"/>
            <w:tcBorders>
              <w:right w:val="single" w:sz="4" w:space="0" w:color="auto"/>
            </w:tcBorders>
            <w:vAlign w:val="center"/>
          </w:tcPr>
          <w:p w14:paraId="74220D4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34.30%</w:t>
            </w:r>
          </w:p>
        </w:tc>
        <w:tc>
          <w:tcPr>
            <w:tcW w:w="1389" w:type="dxa"/>
            <w:tcBorders>
              <w:left w:val="single" w:sz="4" w:space="0" w:color="auto"/>
            </w:tcBorders>
            <w:vAlign w:val="center"/>
          </w:tcPr>
          <w:p w14:paraId="5963F65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1,807</w:t>
            </w:r>
          </w:p>
        </w:tc>
        <w:tc>
          <w:tcPr>
            <w:tcW w:w="1049" w:type="dxa"/>
            <w:tcBorders>
              <w:right w:val="single" w:sz="4" w:space="0" w:color="auto"/>
            </w:tcBorders>
            <w:vAlign w:val="center"/>
          </w:tcPr>
          <w:p w14:paraId="6AEE658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8.30%</w:t>
            </w:r>
          </w:p>
        </w:tc>
        <w:tc>
          <w:tcPr>
            <w:tcW w:w="1361" w:type="dxa"/>
            <w:tcBorders>
              <w:left w:val="single" w:sz="4" w:space="0" w:color="auto"/>
            </w:tcBorders>
            <w:vAlign w:val="center"/>
          </w:tcPr>
          <w:p w14:paraId="56BB05C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1,145</w:t>
            </w:r>
          </w:p>
        </w:tc>
        <w:tc>
          <w:tcPr>
            <w:tcW w:w="1077" w:type="dxa"/>
            <w:tcBorders>
              <w:right w:val="single" w:sz="4" w:space="0" w:color="auto"/>
            </w:tcBorders>
            <w:vAlign w:val="center"/>
          </w:tcPr>
          <w:p w14:paraId="5FD878A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5.26%</w:t>
            </w:r>
          </w:p>
        </w:tc>
        <w:tc>
          <w:tcPr>
            <w:tcW w:w="1474" w:type="dxa"/>
            <w:tcBorders>
              <w:left w:val="single" w:sz="4" w:space="0" w:color="auto"/>
            </w:tcBorders>
            <w:vAlign w:val="center"/>
          </w:tcPr>
          <w:p w14:paraId="0E9A949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662</w:t>
            </w:r>
          </w:p>
        </w:tc>
        <w:tc>
          <w:tcPr>
            <w:tcW w:w="964" w:type="dxa"/>
            <w:tcBorders>
              <w:right w:val="single" w:sz="4" w:space="0" w:color="auto"/>
            </w:tcBorders>
            <w:vAlign w:val="center"/>
          </w:tcPr>
          <w:p w14:paraId="5B421A9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3.04%</w:t>
            </w:r>
          </w:p>
        </w:tc>
        <w:tc>
          <w:tcPr>
            <w:tcW w:w="1219" w:type="dxa"/>
            <w:tcBorders>
              <w:left w:val="single" w:sz="4" w:space="0" w:color="auto"/>
            </w:tcBorders>
            <w:vAlign w:val="center"/>
          </w:tcPr>
          <w:p w14:paraId="12043C7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9,271</w:t>
            </w:r>
          </w:p>
        </w:tc>
        <w:tc>
          <w:tcPr>
            <w:tcW w:w="1219" w:type="dxa"/>
            <w:tcBorders>
              <w:right w:val="single" w:sz="4" w:space="0" w:color="auto"/>
            </w:tcBorders>
            <w:vAlign w:val="center"/>
          </w:tcPr>
          <w:p w14:paraId="478FD6D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42.61%</w:t>
            </w:r>
          </w:p>
        </w:tc>
      </w:tr>
      <w:tr w:rsidR="001C4508" w:rsidRPr="00E91515" w14:paraId="3B56236C"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22A4C7AD"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tcBorders>
            <w:vAlign w:val="center"/>
          </w:tcPr>
          <w:p w14:paraId="268CF69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9,984</w:t>
            </w:r>
          </w:p>
        </w:tc>
        <w:tc>
          <w:tcPr>
            <w:tcW w:w="1021" w:type="dxa"/>
            <w:tcBorders>
              <w:bottom w:val="nil"/>
              <w:right w:val="single" w:sz="4" w:space="0" w:color="auto"/>
            </w:tcBorders>
            <w:vAlign w:val="center"/>
          </w:tcPr>
          <w:p w14:paraId="08DBCD6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45.88%</w:t>
            </w:r>
          </w:p>
        </w:tc>
        <w:tc>
          <w:tcPr>
            <w:tcW w:w="1389" w:type="dxa"/>
            <w:tcBorders>
              <w:left w:val="single" w:sz="4" w:space="0" w:color="auto"/>
              <w:bottom w:val="nil"/>
            </w:tcBorders>
            <w:vAlign w:val="center"/>
          </w:tcPr>
          <w:p w14:paraId="7364A3A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2,504</w:t>
            </w:r>
          </w:p>
        </w:tc>
        <w:tc>
          <w:tcPr>
            <w:tcW w:w="1049" w:type="dxa"/>
            <w:tcBorders>
              <w:bottom w:val="nil"/>
              <w:right w:val="single" w:sz="4" w:space="0" w:color="auto"/>
            </w:tcBorders>
            <w:vAlign w:val="center"/>
          </w:tcPr>
          <w:p w14:paraId="76E6AAA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11.51%</w:t>
            </w:r>
          </w:p>
        </w:tc>
        <w:tc>
          <w:tcPr>
            <w:tcW w:w="1361" w:type="dxa"/>
            <w:tcBorders>
              <w:left w:val="single" w:sz="4" w:space="0" w:color="auto"/>
              <w:bottom w:val="nil"/>
            </w:tcBorders>
            <w:vAlign w:val="center"/>
          </w:tcPr>
          <w:p w14:paraId="0A2D03F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1,391</w:t>
            </w:r>
          </w:p>
        </w:tc>
        <w:tc>
          <w:tcPr>
            <w:tcW w:w="1077" w:type="dxa"/>
            <w:tcBorders>
              <w:bottom w:val="nil"/>
              <w:right w:val="single" w:sz="4" w:space="0" w:color="auto"/>
            </w:tcBorders>
            <w:vAlign w:val="center"/>
          </w:tcPr>
          <w:p w14:paraId="7BFDB8A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6.39%</w:t>
            </w:r>
          </w:p>
        </w:tc>
        <w:tc>
          <w:tcPr>
            <w:tcW w:w="1474" w:type="dxa"/>
            <w:tcBorders>
              <w:left w:val="single" w:sz="4" w:space="0" w:color="auto"/>
              <w:bottom w:val="nil"/>
            </w:tcBorders>
            <w:vAlign w:val="center"/>
          </w:tcPr>
          <w:p w14:paraId="4FA0BE2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1,113</w:t>
            </w:r>
          </w:p>
        </w:tc>
        <w:tc>
          <w:tcPr>
            <w:tcW w:w="964" w:type="dxa"/>
            <w:tcBorders>
              <w:bottom w:val="nil"/>
              <w:right w:val="single" w:sz="4" w:space="0" w:color="auto"/>
            </w:tcBorders>
            <w:vAlign w:val="center"/>
          </w:tcPr>
          <w:p w14:paraId="64AC752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5.12%</w:t>
            </w:r>
          </w:p>
        </w:tc>
        <w:tc>
          <w:tcPr>
            <w:tcW w:w="1219" w:type="dxa"/>
            <w:tcBorders>
              <w:left w:val="single" w:sz="4" w:space="0" w:color="auto"/>
              <w:bottom w:val="nil"/>
            </w:tcBorders>
            <w:vAlign w:val="center"/>
          </w:tcPr>
          <w:p w14:paraId="47162FF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12,488</w:t>
            </w:r>
          </w:p>
        </w:tc>
        <w:tc>
          <w:tcPr>
            <w:tcW w:w="1219" w:type="dxa"/>
            <w:tcBorders>
              <w:bottom w:val="nil"/>
              <w:right w:val="single" w:sz="4" w:space="0" w:color="auto"/>
            </w:tcBorders>
            <w:vAlign w:val="center"/>
          </w:tcPr>
          <w:p w14:paraId="393B847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57.39%</w:t>
            </w:r>
          </w:p>
        </w:tc>
      </w:tr>
      <w:tr w:rsidR="002418F8" w:rsidRPr="00E91515" w14:paraId="2343FE0D"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7299BDAC"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vAlign w:val="center"/>
          </w:tcPr>
          <w:p w14:paraId="0F0E6EB7"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17,448</w:t>
            </w:r>
          </w:p>
        </w:tc>
        <w:tc>
          <w:tcPr>
            <w:tcW w:w="1021" w:type="dxa"/>
            <w:tcBorders>
              <w:top w:val="nil"/>
              <w:bottom w:val="single" w:sz="4" w:space="0" w:color="auto"/>
              <w:right w:val="single" w:sz="4" w:space="0" w:color="auto"/>
            </w:tcBorders>
            <w:vAlign w:val="center"/>
          </w:tcPr>
          <w:p w14:paraId="37BA2671"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80.19%</w:t>
            </w:r>
          </w:p>
        </w:tc>
        <w:tc>
          <w:tcPr>
            <w:tcW w:w="1389" w:type="dxa"/>
            <w:tcBorders>
              <w:top w:val="nil"/>
              <w:left w:val="single" w:sz="4" w:space="0" w:color="auto"/>
              <w:bottom w:val="single" w:sz="4" w:space="0" w:color="auto"/>
            </w:tcBorders>
            <w:vAlign w:val="center"/>
          </w:tcPr>
          <w:p w14:paraId="7B618D39"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4,311</w:t>
            </w:r>
          </w:p>
        </w:tc>
        <w:tc>
          <w:tcPr>
            <w:tcW w:w="1049" w:type="dxa"/>
            <w:tcBorders>
              <w:top w:val="nil"/>
              <w:bottom w:val="single" w:sz="4" w:space="0" w:color="auto"/>
              <w:right w:val="single" w:sz="4" w:space="0" w:color="auto"/>
            </w:tcBorders>
            <w:vAlign w:val="center"/>
          </w:tcPr>
          <w:p w14:paraId="6873AB2E"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19.81%</w:t>
            </w:r>
          </w:p>
        </w:tc>
        <w:tc>
          <w:tcPr>
            <w:tcW w:w="1361" w:type="dxa"/>
            <w:tcBorders>
              <w:top w:val="nil"/>
              <w:left w:val="single" w:sz="4" w:space="0" w:color="auto"/>
              <w:bottom w:val="single" w:sz="4" w:space="0" w:color="auto"/>
            </w:tcBorders>
            <w:vAlign w:val="center"/>
          </w:tcPr>
          <w:p w14:paraId="387AFE1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2,536</w:t>
            </w:r>
          </w:p>
        </w:tc>
        <w:tc>
          <w:tcPr>
            <w:tcW w:w="1077" w:type="dxa"/>
            <w:tcBorders>
              <w:top w:val="nil"/>
              <w:bottom w:val="single" w:sz="4" w:space="0" w:color="auto"/>
              <w:right w:val="single" w:sz="4" w:space="0" w:color="auto"/>
            </w:tcBorders>
            <w:vAlign w:val="center"/>
          </w:tcPr>
          <w:p w14:paraId="6171C3C4"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11.65%</w:t>
            </w:r>
          </w:p>
        </w:tc>
        <w:tc>
          <w:tcPr>
            <w:tcW w:w="1474" w:type="dxa"/>
            <w:tcBorders>
              <w:top w:val="nil"/>
              <w:left w:val="single" w:sz="4" w:space="0" w:color="auto"/>
              <w:bottom w:val="single" w:sz="4" w:space="0" w:color="auto"/>
            </w:tcBorders>
            <w:vAlign w:val="center"/>
          </w:tcPr>
          <w:p w14:paraId="64701E20"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1,775</w:t>
            </w:r>
          </w:p>
        </w:tc>
        <w:tc>
          <w:tcPr>
            <w:tcW w:w="964" w:type="dxa"/>
            <w:tcBorders>
              <w:top w:val="nil"/>
              <w:bottom w:val="single" w:sz="4" w:space="0" w:color="auto"/>
              <w:right w:val="single" w:sz="4" w:space="0" w:color="auto"/>
            </w:tcBorders>
            <w:vAlign w:val="center"/>
          </w:tcPr>
          <w:p w14:paraId="3C40AF5B"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8.16%</w:t>
            </w:r>
          </w:p>
        </w:tc>
        <w:tc>
          <w:tcPr>
            <w:tcW w:w="1219" w:type="dxa"/>
            <w:tcBorders>
              <w:top w:val="nil"/>
              <w:left w:val="single" w:sz="4" w:space="0" w:color="auto"/>
              <w:bottom w:val="single" w:sz="4" w:space="0" w:color="auto"/>
            </w:tcBorders>
            <w:vAlign w:val="center"/>
          </w:tcPr>
          <w:p w14:paraId="189407F5"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21,759</w:t>
            </w:r>
          </w:p>
        </w:tc>
        <w:tc>
          <w:tcPr>
            <w:tcW w:w="1219" w:type="dxa"/>
            <w:tcBorders>
              <w:top w:val="nil"/>
              <w:bottom w:val="single" w:sz="4" w:space="0" w:color="auto"/>
              <w:right w:val="single" w:sz="4" w:space="0" w:color="auto"/>
            </w:tcBorders>
            <w:vAlign w:val="center"/>
          </w:tcPr>
          <w:p w14:paraId="020209F0"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11.00%</w:t>
            </w:r>
          </w:p>
        </w:tc>
      </w:tr>
      <w:tr w:rsidR="001C4508" w:rsidRPr="00E91515" w14:paraId="2F4686AF"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0276059B"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2010</w:t>
            </w:r>
          </w:p>
        </w:tc>
        <w:tc>
          <w:tcPr>
            <w:tcW w:w="1417" w:type="dxa"/>
            <w:tcBorders>
              <w:top w:val="single" w:sz="4" w:space="0" w:color="auto"/>
              <w:left w:val="single" w:sz="4" w:space="0" w:color="auto"/>
            </w:tcBorders>
          </w:tcPr>
          <w:p w14:paraId="04C1BD5D"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021" w:type="dxa"/>
            <w:tcBorders>
              <w:top w:val="single" w:sz="4" w:space="0" w:color="auto"/>
              <w:right w:val="single" w:sz="4" w:space="0" w:color="auto"/>
            </w:tcBorders>
          </w:tcPr>
          <w:p w14:paraId="178A592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389" w:type="dxa"/>
            <w:tcBorders>
              <w:top w:val="single" w:sz="4" w:space="0" w:color="auto"/>
              <w:left w:val="single" w:sz="4" w:space="0" w:color="auto"/>
            </w:tcBorders>
          </w:tcPr>
          <w:p w14:paraId="318AF8C3"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049" w:type="dxa"/>
            <w:tcBorders>
              <w:top w:val="single" w:sz="4" w:space="0" w:color="auto"/>
              <w:right w:val="single" w:sz="4" w:space="0" w:color="auto"/>
            </w:tcBorders>
          </w:tcPr>
          <w:p w14:paraId="3B7625FF"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361" w:type="dxa"/>
            <w:tcBorders>
              <w:top w:val="single" w:sz="4" w:space="0" w:color="auto"/>
              <w:left w:val="single" w:sz="4" w:space="0" w:color="auto"/>
            </w:tcBorders>
          </w:tcPr>
          <w:p w14:paraId="3E9C7EF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077" w:type="dxa"/>
            <w:tcBorders>
              <w:top w:val="single" w:sz="4" w:space="0" w:color="auto"/>
              <w:right w:val="single" w:sz="4" w:space="0" w:color="auto"/>
            </w:tcBorders>
          </w:tcPr>
          <w:p w14:paraId="14BFAB4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474" w:type="dxa"/>
            <w:tcBorders>
              <w:top w:val="single" w:sz="4" w:space="0" w:color="auto"/>
              <w:left w:val="single" w:sz="4" w:space="0" w:color="auto"/>
            </w:tcBorders>
          </w:tcPr>
          <w:p w14:paraId="181AFC65"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964" w:type="dxa"/>
            <w:tcBorders>
              <w:top w:val="single" w:sz="4" w:space="0" w:color="auto"/>
              <w:right w:val="single" w:sz="4" w:space="0" w:color="auto"/>
            </w:tcBorders>
          </w:tcPr>
          <w:p w14:paraId="5E515F3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left w:val="single" w:sz="4" w:space="0" w:color="auto"/>
            </w:tcBorders>
          </w:tcPr>
          <w:p w14:paraId="72BFC255"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right w:val="single" w:sz="4" w:space="0" w:color="auto"/>
            </w:tcBorders>
          </w:tcPr>
          <w:p w14:paraId="418F3DE6"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r>
      <w:tr w:rsidR="001C4508" w:rsidRPr="00E91515" w14:paraId="33782807"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FA9B127"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tcBorders>
            <w:vAlign w:val="center"/>
          </w:tcPr>
          <w:p w14:paraId="6BFE0D3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243</w:t>
            </w:r>
          </w:p>
        </w:tc>
        <w:tc>
          <w:tcPr>
            <w:tcW w:w="1021" w:type="dxa"/>
            <w:tcBorders>
              <w:right w:val="single" w:sz="4" w:space="0" w:color="auto"/>
            </w:tcBorders>
            <w:vAlign w:val="center"/>
          </w:tcPr>
          <w:p w14:paraId="0C4EE8D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0.92%</w:t>
            </w:r>
          </w:p>
        </w:tc>
        <w:tc>
          <w:tcPr>
            <w:tcW w:w="1389" w:type="dxa"/>
            <w:tcBorders>
              <w:left w:val="single" w:sz="4" w:space="0" w:color="auto"/>
            </w:tcBorders>
            <w:vAlign w:val="center"/>
          </w:tcPr>
          <w:p w14:paraId="4A46D6A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77</w:t>
            </w:r>
          </w:p>
        </w:tc>
        <w:tc>
          <w:tcPr>
            <w:tcW w:w="1049" w:type="dxa"/>
            <w:tcBorders>
              <w:right w:val="single" w:sz="4" w:space="0" w:color="auto"/>
            </w:tcBorders>
            <w:vAlign w:val="center"/>
          </w:tcPr>
          <w:p w14:paraId="1AA64D2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0.29%</w:t>
            </w:r>
          </w:p>
        </w:tc>
        <w:tc>
          <w:tcPr>
            <w:tcW w:w="1361" w:type="dxa"/>
            <w:tcBorders>
              <w:left w:val="single" w:sz="4" w:space="0" w:color="auto"/>
            </w:tcBorders>
            <w:vAlign w:val="center"/>
          </w:tcPr>
          <w:p w14:paraId="78EB257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52</w:t>
            </w:r>
          </w:p>
        </w:tc>
        <w:tc>
          <w:tcPr>
            <w:tcW w:w="1077" w:type="dxa"/>
            <w:tcBorders>
              <w:right w:val="single" w:sz="4" w:space="0" w:color="auto"/>
            </w:tcBorders>
            <w:vAlign w:val="center"/>
          </w:tcPr>
          <w:p w14:paraId="70082A1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0.20%</w:t>
            </w:r>
          </w:p>
        </w:tc>
        <w:tc>
          <w:tcPr>
            <w:tcW w:w="1474" w:type="dxa"/>
            <w:tcBorders>
              <w:left w:val="single" w:sz="4" w:space="0" w:color="auto"/>
            </w:tcBorders>
            <w:vAlign w:val="center"/>
          </w:tcPr>
          <w:p w14:paraId="04432CC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25</w:t>
            </w:r>
          </w:p>
        </w:tc>
        <w:tc>
          <w:tcPr>
            <w:tcW w:w="964" w:type="dxa"/>
            <w:tcBorders>
              <w:right w:val="single" w:sz="4" w:space="0" w:color="auto"/>
            </w:tcBorders>
            <w:vAlign w:val="center"/>
          </w:tcPr>
          <w:p w14:paraId="201A0E0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0.09%</w:t>
            </w:r>
          </w:p>
        </w:tc>
        <w:tc>
          <w:tcPr>
            <w:tcW w:w="1219" w:type="dxa"/>
            <w:tcBorders>
              <w:left w:val="single" w:sz="4" w:space="0" w:color="auto"/>
            </w:tcBorders>
            <w:vAlign w:val="center"/>
          </w:tcPr>
          <w:p w14:paraId="2299422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320</w:t>
            </w:r>
          </w:p>
        </w:tc>
        <w:tc>
          <w:tcPr>
            <w:tcW w:w="1219" w:type="dxa"/>
            <w:tcBorders>
              <w:right w:val="single" w:sz="4" w:space="0" w:color="auto"/>
            </w:tcBorders>
            <w:vAlign w:val="center"/>
          </w:tcPr>
          <w:p w14:paraId="6C8B34D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1.21%</w:t>
            </w:r>
          </w:p>
        </w:tc>
      </w:tr>
      <w:tr w:rsidR="001C4508" w:rsidRPr="00E91515" w14:paraId="15A131F9"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23A4664B"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tcBorders>
            <w:vAlign w:val="center"/>
          </w:tcPr>
          <w:p w14:paraId="74F5053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488</w:t>
            </w:r>
          </w:p>
        </w:tc>
        <w:tc>
          <w:tcPr>
            <w:tcW w:w="1021" w:type="dxa"/>
            <w:tcBorders>
              <w:right w:val="single" w:sz="4" w:space="0" w:color="auto"/>
            </w:tcBorders>
            <w:vAlign w:val="center"/>
          </w:tcPr>
          <w:p w14:paraId="76D6E5A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1.85%</w:t>
            </w:r>
          </w:p>
        </w:tc>
        <w:tc>
          <w:tcPr>
            <w:tcW w:w="1389" w:type="dxa"/>
            <w:tcBorders>
              <w:left w:val="single" w:sz="4" w:space="0" w:color="auto"/>
            </w:tcBorders>
            <w:vAlign w:val="center"/>
          </w:tcPr>
          <w:p w14:paraId="2D341DB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218</w:t>
            </w:r>
          </w:p>
        </w:tc>
        <w:tc>
          <w:tcPr>
            <w:tcW w:w="1049" w:type="dxa"/>
            <w:tcBorders>
              <w:right w:val="single" w:sz="4" w:space="0" w:color="auto"/>
            </w:tcBorders>
            <w:vAlign w:val="center"/>
          </w:tcPr>
          <w:p w14:paraId="4363DEC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0.83%</w:t>
            </w:r>
          </w:p>
        </w:tc>
        <w:tc>
          <w:tcPr>
            <w:tcW w:w="1361" w:type="dxa"/>
            <w:tcBorders>
              <w:left w:val="single" w:sz="4" w:space="0" w:color="auto"/>
            </w:tcBorders>
            <w:vAlign w:val="center"/>
          </w:tcPr>
          <w:p w14:paraId="69672D9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143</w:t>
            </w:r>
          </w:p>
        </w:tc>
        <w:tc>
          <w:tcPr>
            <w:tcW w:w="1077" w:type="dxa"/>
            <w:tcBorders>
              <w:right w:val="single" w:sz="4" w:space="0" w:color="auto"/>
            </w:tcBorders>
            <w:vAlign w:val="center"/>
          </w:tcPr>
          <w:p w14:paraId="364D193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0.54%</w:t>
            </w:r>
          </w:p>
        </w:tc>
        <w:tc>
          <w:tcPr>
            <w:tcW w:w="1474" w:type="dxa"/>
            <w:tcBorders>
              <w:left w:val="single" w:sz="4" w:space="0" w:color="auto"/>
            </w:tcBorders>
            <w:vAlign w:val="center"/>
          </w:tcPr>
          <w:p w14:paraId="46CDAD5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75</w:t>
            </w:r>
          </w:p>
        </w:tc>
        <w:tc>
          <w:tcPr>
            <w:tcW w:w="964" w:type="dxa"/>
            <w:tcBorders>
              <w:right w:val="single" w:sz="4" w:space="0" w:color="auto"/>
            </w:tcBorders>
            <w:vAlign w:val="center"/>
          </w:tcPr>
          <w:p w14:paraId="5B7F082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0.28%</w:t>
            </w:r>
          </w:p>
        </w:tc>
        <w:tc>
          <w:tcPr>
            <w:tcW w:w="1219" w:type="dxa"/>
            <w:tcBorders>
              <w:left w:val="single" w:sz="4" w:space="0" w:color="auto"/>
            </w:tcBorders>
            <w:vAlign w:val="center"/>
          </w:tcPr>
          <w:p w14:paraId="33692A3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706</w:t>
            </w:r>
          </w:p>
        </w:tc>
        <w:tc>
          <w:tcPr>
            <w:tcW w:w="1219" w:type="dxa"/>
            <w:tcBorders>
              <w:right w:val="single" w:sz="4" w:space="0" w:color="auto"/>
            </w:tcBorders>
            <w:vAlign w:val="center"/>
          </w:tcPr>
          <w:p w14:paraId="6486777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2.68%</w:t>
            </w:r>
          </w:p>
        </w:tc>
      </w:tr>
      <w:tr w:rsidR="001C4508" w:rsidRPr="00E91515" w14:paraId="454AE747"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406E3F6"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tcBorders>
            <w:vAlign w:val="center"/>
          </w:tcPr>
          <w:p w14:paraId="776451A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7,088</w:t>
            </w:r>
          </w:p>
        </w:tc>
        <w:tc>
          <w:tcPr>
            <w:tcW w:w="1021" w:type="dxa"/>
            <w:tcBorders>
              <w:right w:val="single" w:sz="4" w:space="0" w:color="auto"/>
            </w:tcBorders>
            <w:vAlign w:val="center"/>
          </w:tcPr>
          <w:p w14:paraId="5E9D1BC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26.91%</w:t>
            </w:r>
          </w:p>
        </w:tc>
        <w:tc>
          <w:tcPr>
            <w:tcW w:w="1389" w:type="dxa"/>
            <w:tcBorders>
              <w:left w:val="single" w:sz="4" w:space="0" w:color="auto"/>
            </w:tcBorders>
            <w:vAlign w:val="center"/>
          </w:tcPr>
          <w:p w14:paraId="4C3E9BD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1,468</w:t>
            </w:r>
          </w:p>
        </w:tc>
        <w:tc>
          <w:tcPr>
            <w:tcW w:w="1049" w:type="dxa"/>
            <w:tcBorders>
              <w:right w:val="single" w:sz="4" w:space="0" w:color="auto"/>
            </w:tcBorders>
            <w:vAlign w:val="center"/>
          </w:tcPr>
          <w:p w14:paraId="18ED9A6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5.57%</w:t>
            </w:r>
          </w:p>
        </w:tc>
        <w:tc>
          <w:tcPr>
            <w:tcW w:w="1361" w:type="dxa"/>
            <w:tcBorders>
              <w:left w:val="single" w:sz="4" w:space="0" w:color="auto"/>
            </w:tcBorders>
            <w:vAlign w:val="center"/>
          </w:tcPr>
          <w:p w14:paraId="6E49B26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1,013</w:t>
            </w:r>
          </w:p>
        </w:tc>
        <w:tc>
          <w:tcPr>
            <w:tcW w:w="1077" w:type="dxa"/>
            <w:tcBorders>
              <w:right w:val="single" w:sz="4" w:space="0" w:color="auto"/>
            </w:tcBorders>
            <w:vAlign w:val="center"/>
          </w:tcPr>
          <w:p w14:paraId="1C4D970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3.85%</w:t>
            </w:r>
          </w:p>
        </w:tc>
        <w:tc>
          <w:tcPr>
            <w:tcW w:w="1474" w:type="dxa"/>
            <w:tcBorders>
              <w:left w:val="single" w:sz="4" w:space="0" w:color="auto"/>
            </w:tcBorders>
            <w:vAlign w:val="center"/>
          </w:tcPr>
          <w:p w14:paraId="67A77BD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455</w:t>
            </w:r>
          </w:p>
        </w:tc>
        <w:tc>
          <w:tcPr>
            <w:tcW w:w="964" w:type="dxa"/>
            <w:tcBorders>
              <w:right w:val="single" w:sz="4" w:space="0" w:color="auto"/>
            </w:tcBorders>
            <w:vAlign w:val="center"/>
          </w:tcPr>
          <w:p w14:paraId="1F47164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1.73%</w:t>
            </w:r>
          </w:p>
        </w:tc>
        <w:tc>
          <w:tcPr>
            <w:tcW w:w="1219" w:type="dxa"/>
            <w:tcBorders>
              <w:left w:val="single" w:sz="4" w:space="0" w:color="auto"/>
            </w:tcBorders>
            <w:vAlign w:val="center"/>
          </w:tcPr>
          <w:p w14:paraId="052EE24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8,556</w:t>
            </w:r>
          </w:p>
        </w:tc>
        <w:tc>
          <w:tcPr>
            <w:tcW w:w="1219" w:type="dxa"/>
            <w:tcBorders>
              <w:right w:val="single" w:sz="4" w:space="0" w:color="auto"/>
            </w:tcBorders>
            <w:vAlign w:val="center"/>
          </w:tcPr>
          <w:p w14:paraId="72ABD65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32.48%</w:t>
            </w:r>
          </w:p>
        </w:tc>
      </w:tr>
      <w:tr w:rsidR="001C4508" w:rsidRPr="00E91515" w14:paraId="5C367340"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5976BA1"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vAlign w:val="center"/>
          </w:tcPr>
          <w:p w14:paraId="7D08DB5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2,431</w:t>
            </w:r>
          </w:p>
        </w:tc>
        <w:tc>
          <w:tcPr>
            <w:tcW w:w="1021" w:type="dxa"/>
            <w:tcBorders>
              <w:right w:val="single" w:sz="4" w:space="0" w:color="auto"/>
            </w:tcBorders>
            <w:vAlign w:val="center"/>
          </w:tcPr>
          <w:p w14:paraId="57D3D9B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9.23%</w:t>
            </w:r>
          </w:p>
        </w:tc>
        <w:tc>
          <w:tcPr>
            <w:tcW w:w="1389" w:type="dxa"/>
            <w:tcBorders>
              <w:left w:val="single" w:sz="4" w:space="0" w:color="auto"/>
            </w:tcBorders>
            <w:vAlign w:val="center"/>
          </w:tcPr>
          <w:p w14:paraId="75535EF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440</w:t>
            </w:r>
          </w:p>
        </w:tc>
        <w:tc>
          <w:tcPr>
            <w:tcW w:w="1049" w:type="dxa"/>
            <w:tcBorders>
              <w:right w:val="single" w:sz="4" w:space="0" w:color="auto"/>
            </w:tcBorders>
            <w:vAlign w:val="center"/>
          </w:tcPr>
          <w:p w14:paraId="1A6E6F9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1.67%</w:t>
            </w:r>
          </w:p>
        </w:tc>
        <w:tc>
          <w:tcPr>
            <w:tcW w:w="1361" w:type="dxa"/>
            <w:tcBorders>
              <w:left w:val="single" w:sz="4" w:space="0" w:color="auto"/>
            </w:tcBorders>
            <w:vAlign w:val="center"/>
          </w:tcPr>
          <w:p w14:paraId="19BBA92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257</w:t>
            </w:r>
          </w:p>
        </w:tc>
        <w:tc>
          <w:tcPr>
            <w:tcW w:w="1077" w:type="dxa"/>
            <w:tcBorders>
              <w:right w:val="single" w:sz="4" w:space="0" w:color="auto"/>
            </w:tcBorders>
            <w:vAlign w:val="center"/>
          </w:tcPr>
          <w:p w14:paraId="4F54367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0.98%</w:t>
            </w:r>
          </w:p>
        </w:tc>
        <w:tc>
          <w:tcPr>
            <w:tcW w:w="1474" w:type="dxa"/>
            <w:tcBorders>
              <w:left w:val="single" w:sz="4" w:space="0" w:color="auto"/>
            </w:tcBorders>
            <w:vAlign w:val="center"/>
          </w:tcPr>
          <w:p w14:paraId="6CB99CF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183</w:t>
            </w:r>
          </w:p>
        </w:tc>
        <w:tc>
          <w:tcPr>
            <w:tcW w:w="964" w:type="dxa"/>
            <w:tcBorders>
              <w:right w:val="single" w:sz="4" w:space="0" w:color="auto"/>
            </w:tcBorders>
            <w:vAlign w:val="center"/>
          </w:tcPr>
          <w:p w14:paraId="27C86D2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0.69%</w:t>
            </w:r>
          </w:p>
        </w:tc>
        <w:tc>
          <w:tcPr>
            <w:tcW w:w="1219" w:type="dxa"/>
            <w:tcBorders>
              <w:left w:val="single" w:sz="4" w:space="0" w:color="auto"/>
            </w:tcBorders>
            <w:vAlign w:val="center"/>
          </w:tcPr>
          <w:p w14:paraId="4F0F4EF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2,871</w:t>
            </w:r>
          </w:p>
        </w:tc>
        <w:tc>
          <w:tcPr>
            <w:tcW w:w="1219" w:type="dxa"/>
            <w:tcBorders>
              <w:right w:val="single" w:sz="4" w:space="0" w:color="auto"/>
            </w:tcBorders>
            <w:vAlign w:val="center"/>
          </w:tcPr>
          <w:p w14:paraId="1954907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10.90%</w:t>
            </w:r>
          </w:p>
        </w:tc>
      </w:tr>
      <w:tr w:rsidR="001C4508" w:rsidRPr="00E91515" w14:paraId="7A9BFE33"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2FF05889"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tcBorders>
            <w:vAlign w:val="center"/>
          </w:tcPr>
          <w:p w14:paraId="3281440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65</w:t>
            </w:r>
          </w:p>
        </w:tc>
        <w:tc>
          <w:tcPr>
            <w:tcW w:w="1021" w:type="dxa"/>
            <w:tcBorders>
              <w:right w:val="single" w:sz="4" w:space="0" w:color="auto"/>
            </w:tcBorders>
            <w:vAlign w:val="center"/>
          </w:tcPr>
          <w:p w14:paraId="241BAC9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0.25%</w:t>
            </w:r>
          </w:p>
        </w:tc>
        <w:tc>
          <w:tcPr>
            <w:tcW w:w="1389" w:type="dxa"/>
            <w:tcBorders>
              <w:left w:val="single" w:sz="4" w:space="0" w:color="auto"/>
            </w:tcBorders>
            <w:vAlign w:val="center"/>
          </w:tcPr>
          <w:p w14:paraId="54B8F3D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29</w:t>
            </w:r>
          </w:p>
        </w:tc>
        <w:tc>
          <w:tcPr>
            <w:tcW w:w="1049" w:type="dxa"/>
            <w:tcBorders>
              <w:right w:val="single" w:sz="4" w:space="0" w:color="auto"/>
            </w:tcBorders>
            <w:vAlign w:val="center"/>
          </w:tcPr>
          <w:p w14:paraId="566FA14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0.11%</w:t>
            </w:r>
          </w:p>
        </w:tc>
        <w:tc>
          <w:tcPr>
            <w:tcW w:w="1361" w:type="dxa"/>
            <w:tcBorders>
              <w:left w:val="single" w:sz="4" w:space="0" w:color="auto"/>
            </w:tcBorders>
            <w:vAlign w:val="center"/>
          </w:tcPr>
          <w:p w14:paraId="1389F0C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19</w:t>
            </w:r>
          </w:p>
        </w:tc>
        <w:tc>
          <w:tcPr>
            <w:tcW w:w="1077" w:type="dxa"/>
            <w:tcBorders>
              <w:right w:val="single" w:sz="4" w:space="0" w:color="auto"/>
            </w:tcBorders>
            <w:vAlign w:val="center"/>
          </w:tcPr>
          <w:p w14:paraId="2DE7355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0.07%</w:t>
            </w:r>
          </w:p>
        </w:tc>
        <w:tc>
          <w:tcPr>
            <w:tcW w:w="1474" w:type="dxa"/>
            <w:tcBorders>
              <w:left w:val="single" w:sz="4" w:space="0" w:color="auto"/>
            </w:tcBorders>
            <w:vAlign w:val="center"/>
          </w:tcPr>
          <w:p w14:paraId="19F75C0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w:t>
            </w:r>
          </w:p>
        </w:tc>
        <w:tc>
          <w:tcPr>
            <w:tcW w:w="964" w:type="dxa"/>
            <w:tcBorders>
              <w:right w:val="single" w:sz="4" w:space="0" w:color="auto"/>
            </w:tcBorders>
            <w:vAlign w:val="center"/>
          </w:tcPr>
          <w:p w14:paraId="4191215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0.04%</w:t>
            </w:r>
          </w:p>
        </w:tc>
        <w:tc>
          <w:tcPr>
            <w:tcW w:w="1219" w:type="dxa"/>
            <w:tcBorders>
              <w:left w:val="single" w:sz="4" w:space="0" w:color="auto"/>
            </w:tcBorders>
            <w:vAlign w:val="center"/>
          </w:tcPr>
          <w:p w14:paraId="77B939C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94</w:t>
            </w:r>
          </w:p>
        </w:tc>
        <w:tc>
          <w:tcPr>
            <w:tcW w:w="1219" w:type="dxa"/>
            <w:tcBorders>
              <w:right w:val="single" w:sz="4" w:space="0" w:color="auto"/>
            </w:tcBorders>
            <w:vAlign w:val="center"/>
          </w:tcPr>
          <w:p w14:paraId="17E9ACE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0.36%</w:t>
            </w:r>
          </w:p>
        </w:tc>
      </w:tr>
      <w:tr w:rsidR="001C4508" w:rsidRPr="00E91515" w14:paraId="2043693A"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D73DF44"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tcBorders>
            <w:vAlign w:val="center"/>
          </w:tcPr>
          <w:p w14:paraId="71490D8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10,315</w:t>
            </w:r>
          </w:p>
        </w:tc>
        <w:tc>
          <w:tcPr>
            <w:tcW w:w="1021" w:type="dxa"/>
            <w:tcBorders>
              <w:right w:val="single" w:sz="4" w:space="0" w:color="auto"/>
            </w:tcBorders>
            <w:vAlign w:val="center"/>
          </w:tcPr>
          <w:p w14:paraId="1A995F2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39.16%</w:t>
            </w:r>
          </w:p>
        </w:tc>
        <w:tc>
          <w:tcPr>
            <w:tcW w:w="1389" w:type="dxa"/>
            <w:tcBorders>
              <w:left w:val="single" w:sz="4" w:space="0" w:color="auto"/>
            </w:tcBorders>
            <w:vAlign w:val="center"/>
          </w:tcPr>
          <w:p w14:paraId="08E4CE2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2,232</w:t>
            </w:r>
          </w:p>
        </w:tc>
        <w:tc>
          <w:tcPr>
            <w:tcW w:w="1049" w:type="dxa"/>
            <w:tcBorders>
              <w:right w:val="single" w:sz="4" w:space="0" w:color="auto"/>
            </w:tcBorders>
            <w:vAlign w:val="center"/>
          </w:tcPr>
          <w:p w14:paraId="4CC5D70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8.47%</w:t>
            </w:r>
          </w:p>
        </w:tc>
        <w:tc>
          <w:tcPr>
            <w:tcW w:w="1361" w:type="dxa"/>
            <w:tcBorders>
              <w:left w:val="single" w:sz="4" w:space="0" w:color="auto"/>
            </w:tcBorders>
            <w:vAlign w:val="center"/>
          </w:tcPr>
          <w:p w14:paraId="5CD81DF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1,484</w:t>
            </w:r>
          </w:p>
        </w:tc>
        <w:tc>
          <w:tcPr>
            <w:tcW w:w="1077" w:type="dxa"/>
            <w:tcBorders>
              <w:right w:val="single" w:sz="4" w:space="0" w:color="auto"/>
            </w:tcBorders>
            <w:vAlign w:val="center"/>
          </w:tcPr>
          <w:p w14:paraId="6A02331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5.63%</w:t>
            </w:r>
          </w:p>
        </w:tc>
        <w:tc>
          <w:tcPr>
            <w:tcW w:w="1474" w:type="dxa"/>
            <w:tcBorders>
              <w:left w:val="single" w:sz="4" w:space="0" w:color="auto"/>
            </w:tcBorders>
            <w:vAlign w:val="center"/>
          </w:tcPr>
          <w:p w14:paraId="716EF98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748</w:t>
            </w:r>
          </w:p>
        </w:tc>
        <w:tc>
          <w:tcPr>
            <w:tcW w:w="964" w:type="dxa"/>
            <w:tcBorders>
              <w:right w:val="single" w:sz="4" w:space="0" w:color="auto"/>
            </w:tcBorders>
            <w:vAlign w:val="center"/>
          </w:tcPr>
          <w:p w14:paraId="4968B49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2.84%</w:t>
            </w:r>
          </w:p>
        </w:tc>
        <w:tc>
          <w:tcPr>
            <w:tcW w:w="1219" w:type="dxa"/>
            <w:tcBorders>
              <w:left w:val="single" w:sz="4" w:space="0" w:color="auto"/>
            </w:tcBorders>
            <w:vAlign w:val="center"/>
          </w:tcPr>
          <w:p w14:paraId="50E6114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12,547</w:t>
            </w:r>
          </w:p>
        </w:tc>
        <w:tc>
          <w:tcPr>
            <w:tcW w:w="1219" w:type="dxa"/>
            <w:tcBorders>
              <w:right w:val="single" w:sz="4" w:space="0" w:color="auto"/>
            </w:tcBorders>
            <w:vAlign w:val="center"/>
          </w:tcPr>
          <w:p w14:paraId="2532932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47.63%</w:t>
            </w:r>
          </w:p>
        </w:tc>
      </w:tr>
      <w:tr w:rsidR="001C4508" w:rsidRPr="00E91515" w14:paraId="7643F4B4"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5528A2CC"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tcBorders>
            <w:vAlign w:val="center"/>
          </w:tcPr>
          <w:p w14:paraId="12FA45F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11,123</w:t>
            </w:r>
          </w:p>
        </w:tc>
        <w:tc>
          <w:tcPr>
            <w:tcW w:w="1021" w:type="dxa"/>
            <w:tcBorders>
              <w:bottom w:val="nil"/>
              <w:right w:val="single" w:sz="4" w:space="0" w:color="auto"/>
            </w:tcBorders>
            <w:vAlign w:val="center"/>
          </w:tcPr>
          <w:p w14:paraId="265A4CF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42.23%</w:t>
            </w:r>
          </w:p>
        </w:tc>
        <w:tc>
          <w:tcPr>
            <w:tcW w:w="1389" w:type="dxa"/>
            <w:tcBorders>
              <w:left w:val="single" w:sz="4" w:space="0" w:color="auto"/>
              <w:bottom w:val="nil"/>
            </w:tcBorders>
            <w:vAlign w:val="center"/>
          </w:tcPr>
          <w:p w14:paraId="7146DFA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2,670</w:t>
            </w:r>
          </w:p>
        </w:tc>
        <w:tc>
          <w:tcPr>
            <w:tcW w:w="1049" w:type="dxa"/>
            <w:tcBorders>
              <w:bottom w:val="nil"/>
              <w:right w:val="single" w:sz="4" w:space="0" w:color="auto"/>
            </w:tcBorders>
            <w:vAlign w:val="center"/>
          </w:tcPr>
          <w:p w14:paraId="46FF715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10.14%</w:t>
            </w:r>
          </w:p>
        </w:tc>
        <w:tc>
          <w:tcPr>
            <w:tcW w:w="1361" w:type="dxa"/>
            <w:tcBorders>
              <w:left w:val="single" w:sz="4" w:space="0" w:color="auto"/>
              <w:bottom w:val="nil"/>
            </w:tcBorders>
            <w:vAlign w:val="center"/>
          </w:tcPr>
          <w:p w14:paraId="50AC2F1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1,511</w:t>
            </w:r>
          </w:p>
        </w:tc>
        <w:tc>
          <w:tcPr>
            <w:tcW w:w="1077" w:type="dxa"/>
            <w:tcBorders>
              <w:bottom w:val="nil"/>
              <w:right w:val="single" w:sz="4" w:space="0" w:color="auto"/>
            </w:tcBorders>
            <w:vAlign w:val="center"/>
          </w:tcPr>
          <w:p w14:paraId="78972AF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5.74%</w:t>
            </w:r>
          </w:p>
        </w:tc>
        <w:tc>
          <w:tcPr>
            <w:tcW w:w="1474" w:type="dxa"/>
            <w:tcBorders>
              <w:left w:val="single" w:sz="4" w:space="0" w:color="auto"/>
              <w:bottom w:val="nil"/>
            </w:tcBorders>
            <w:vAlign w:val="center"/>
          </w:tcPr>
          <w:p w14:paraId="5A584CF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1,159</w:t>
            </w:r>
          </w:p>
        </w:tc>
        <w:tc>
          <w:tcPr>
            <w:tcW w:w="964" w:type="dxa"/>
            <w:tcBorders>
              <w:bottom w:val="nil"/>
              <w:right w:val="single" w:sz="4" w:space="0" w:color="auto"/>
            </w:tcBorders>
            <w:vAlign w:val="center"/>
          </w:tcPr>
          <w:p w14:paraId="088DE76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4.40%</w:t>
            </w:r>
          </w:p>
        </w:tc>
        <w:tc>
          <w:tcPr>
            <w:tcW w:w="1219" w:type="dxa"/>
            <w:tcBorders>
              <w:left w:val="single" w:sz="4" w:space="0" w:color="auto"/>
              <w:bottom w:val="nil"/>
            </w:tcBorders>
            <w:vAlign w:val="center"/>
          </w:tcPr>
          <w:p w14:paraId="46F3AA1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13,793</w:t>
            </w:r>
          </w:p>
        </w:tc>
        <w:tc>
          <w:tcPr>
            <w:tcW w:w="1219" w:type="dxa"/>
            <w:tcBorders>
              <w:bottom w:val="nil"/>
              <w:right w:val="single" w:sz="4" w:space="0" w:color="auto"/>
            </w:tcBorders>
            <w:vAlign w:val="center"/>
          </w:tcPr>
          <w:p w14:paraId="0CD22E3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52.37%</w:t>
            </w:r>
          </w:p>
        </w:tc>
      </w:tr>
      <w:tr w:rsidR="001C4508" w:rsidRPr="00E91515" w14:paraId="28BC130C"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280F9FD8"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vAlign w:val="center"/>
          </w:tcPr>
          <w:p w14:paraId="7A73DE15"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21,438</w:t>
            </w:r>
          </w:p>
        </w:tc>
        <w:tc>
          <w:tcPr>
            <w:tcW w:w="1021" w:type="dxa"/>
            <w:tcBorders>
              <w:top w:val="nil"/>
              <w:bottom w:val="single" w:sz="4" w:space="0" w:color="auto"/>
              <w:right w:val="single" w:sz="4" w:space="0" w:color="auto"/>
            </w:tcBorders>
            <w:vAlign w:val="center"/>
          </w:tcPr>
          <w:p w14:paraId="4A1BC9CF"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81.39%</w:t>
            </w:r>
          </w:p>
        </w:tc>
        <w:tc>
          <w:tcPr>
            <w:tcW w:w="1389" w:type="dxa"/>
            <w:tcBorders>
              <w:top w:val="nil"/>
              <w:left w:val="single" w:sz="4" w:space="0" w:color="auto"/>
              <w:bottom w:val="single" w:sz="4" w:space="0" w:color="auto"/>
            </w:tcBorders>
            <w:vAlign w:val="center"/>
          </w:tcPr>
          <w:p w14:paraId="2719DF8B"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4,902</w:t>
            </w:r>
          </w:p>
        </w:tc>
        <w:tc>
          <w:tcPr>
            <w:tcW w:w="1049" w:type="dxa"/>
            <w:tcBorders>
              <w:top w:val="nil"/>
              <w:bottom w:val="single" w:sz="4" w:space="0" w:color="auto"/>
              <w:right w:val="single" w:sz="4" w:space="0" w:color="auto"/>
            </w:tcBorders>
            <w:vAlign w:val="center"/>
          </w:tcPr>
          <w:p w14:paraId="26A1AD11"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18.61%</w:t>
            </w:r>
          </w:p>
        </w:tc>
        <w:tc>
          <w:tcPr>
            <w:tcW w:w="1361" w:type="dxa"/>
            <w:tcBorders>
              <w:top w:val="nil"/>
              <w:left w:val="single" w:sz="4" w:space="0" w:color="auto"/>
              <w:bottom w:val="single" w:sz="4" w:space="0" w:color="auto"/>
            </w:tcBorders>
            <w:vAlign w:val="center"/>
          </w:tcPr>
          <w:p w14:paraId="2379294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2,995</w:t>
            </w:r>
          </w:p>
        </w:tc>
        <w:tc>
          <w:tcPr>
            <w:tcW w:w="1077" w:type="dxa"/>
            <w:tcBorders>
              <w:top w:val="nil"/>
              <w:bottom w:val="single" w:sz="4" w:space="0" w:color="auto"/>
              <w:right w:val="single" w:sz="4" w:space="0" w:color="auto"/>
            </w:tcBorders>
            <w:vAlign w:val="center"/>
          </w:tcPr>
          <w:p w14:paraId="7A31B3A0"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11.37%</w:t>
            </w:r>
          </w:p>
        </w:tc>
        <w:tc>
          <w:tcPr>
            <w:tcW w:w="1474" w:type="dxa"/>
            <w:tcBorders>
              <w:top w:val="nil"/>
              <w:left w:val="single" w:sz="4" w:space="0" w:color="auto"/>
              <w:bottom w:val="single" w:sz="4" w:space="0" w:color="auto"/>
            </w:tcBorders>
            <w:vAlign w:val="center"/>
          </w:tcPr>
          <w:p w14:paraId="5FC506B8"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1,907</w:t>
            </w:r>
          </w:p>
        </w:tc>
        <w:tc>
          <w:tcPr>
            <w:tcW w:w="964" w:type="dxa"/>
            <w:tcBorders>
              <w:top w:val="nil"/>
              <w:bottom w:val="single" w:sz="4" w:space="0" w:color="auto"/>
              <w:right w:val="single" w:sz="4" w:space="0" w:color="auto"/>
            </w:tcBorders>
            <w:vAlign w:val="center"/>
          </w:tcPr>
          <w:p w14:paraId="249FBBF4"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7.24%</w:t>
            </w:r>
          </w:p>
        </w:tc>
        <w:tc>
          <w:tcPr>
            <w:tcW w:w="1219" w:type="dxa"/>
            <w:tcBorders>
              <w:top w:val="nil"/>
              <w:left w:val="single" w:sz="4" w:space="0" w:color="auto"/>
              <w:bottom w:val="single" w:sz="4" w:space="0" w:color="auto"/>
            </w:tcBorders>
            <w:vAlign w:val="center"/>
          </w:tcPr>
          <w:p w14:paraId="1EFA43D4"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26,340</w:t>
            </w:r>
          </w:p>
        </w:tc>
        <w:tc>
          <w:tcPr>
            <w:tcW w:w="1219" w:type="dxa"/>
            <w:tcBorders>
              <w:top w:val="nil"/>
              <w:bottom w:val="single" w:sz="4" w:space="0" w:color="auto"/>
              <w:right w:val="single" w:sz="4" w:space="0" w:color="auto"/>
            </w:tcBorders>
            <w:vAlign w:val="center"/>
          </w:tcPr>
          <w:p w14:paraId="0208DABC"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13.31%</w:t>
            </w:r>
          </w:p>
        </w:tc>
      </w:tr>
    </w:tbl>
    <w:p w14:paraId="52338868" w14:textId="77777777" w:rsidR="001C4508" w:rsidRDefault="001C4508" w:rsidP="00CE2FDF">
      <w:pPr>
        <w:spacing w:before="0"/>
      </w:pPr>
      <w:r>
        <w:rPr>
          <w:b/>
          <w:bCs/>
        </w:rPr>
        <w:br w:type="page"/>
      </w:r>
    </w:p>
    <w:tbl>
      <w:tblPr>
        <w:tblStyle w:val="LightShading-Accent3"/>
        <w:tblW w:w="14425" w:type="dxa"/>
        <w:tblLayout w:type="fixed"/>
        <w:tblLook w:val="04A0" w:firstRow="1" w:lastRow="0" w:firstColumn="1" w:lastColumn="0" w:noHBand="0" w:noVBand="1"/>
        <w:tblCaption w:val="Number of reports of emotional abuse, by year, reporter group, and outcome"/>
      </w:tblPr>
      <w:tblGrid>
        <w:gridCol w:w="2235"/>
        <w:gridCol w:w="1417"/>
        <w:gridCol w:w="1021"/>
        <w:gridCol w:w="1389"/>
        <w:gridCol w:w="1049"/>
        <w:gridCol w:w="1361"/>
        <w:gridCol w:w="1077"/>
        <w:gridCol w:w="1474"/>
        <w:gridCol w:w="964"/>
        <w:gridCol w:w="1219"/>
        <w:gridCol w:w="1219"/>
      </w:tblGrid>
      <w:tr w:rsidR="001C4508" w:rsidRPr="00E91515" w14:paraId="1B34B3EF"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1E04CE7B" w14:textId="77777777" w:rsidR="001C4508" w:rsidRPr="00E91515" w:rsidRDefault="001C4508" w:rsidP="00CE2FDF">
            <w:pPr>
              <w:keepNext/>
              <w:tabs>
                <w:tab w:val="left" w:pos="1134"/>
              </w:tabs>
              <w:spacing w:before="0" w:line="276" w:lineRule="auto"/>
              <w:jc w:val="center"/>
              <w:rPr>
                <w:rFonts w:eastAsia="Times New Roman" w:cs="Arial"/>
                <w:color w:val="auto"/>
                <w:sz w:val="20"/>
                <w:szCs w:val="20"/>
                <w:lang w:eastAsia="en-AU"/>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9721036"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7E4C50D"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E6870F8"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7C2AD7E"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286749F" w14:textId="77777777" w:rsidR="001C4508" w:rsidRPr="00E91515"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E91515">
              <w:rPr>
                <w:rFonts w:eastAsia="Times New Roman" w:cs="Arial"/>
                <w:color w:val="auto"/>
                <w:sz w:val="20"/>
                <w:szCs w:val="20"/>
                <w:lang w:eastAsia="en-AU"/>
              </w:rPr>
              <w:t>Total</w:t>
            </w:r>
          </w:p>
        </w:tc>
      </w:tr>
      <w:tr w:rsidR="002418F8" w:rsidRPr="00E91515" w14:paraId="08B3EEE3"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4FE785D4"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2011</w:t>
            </w:r>
          </w:p>
        </w:tc>
        <w:tc>
          <w:tcPr>
            <w:tcW w:w="1417" w:type="dxa"/>
            <w:tcBorders>
              <w:top w:val="single" w:sz="4" w:space="0" w:color="auto"/>
              <w:left w:val="single" w:sz="4" w:space="0" w:color="auto"/>
            </w:tcBorders>
          </w:tcPr>
          <w:p w14:paraId="00060417"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021" w:type="dxa"/>
            <w:tcBorders>
              <w:top w:val="single" w:sz="4" w:space="0" w:color="auto"/>
              <w:right w:val="single" w:sz="4" w:space="0" w:color="auto"/>
            </w:tcBorders>
            <w:vAlign w:val="center"/>
          </w:tcPr>
          <w:p w14:paraId="01D79351"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389" w:type="dxa"/>
            <w:tcBorders>
              <w:top w:val="single" w:sz="4" w:space="0" w:color="auto"/>
              <w:left w:val="single" w:sz="4" w:space="0" w:color="auto"/>
            </w:tcBorders>
          </w:tcPr>
          <w:p w14:paraId="463B3D4E"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049" w:type="dxa"/>
            <w:tcBorders>
              <w:top w:val="single" w:sz="4" w:space="0" w:color="auto"/>
              <w:right w:val="single" w:sz="4" w:space="0" w:color="auto"/>
            </w:tcBorders>
            <w:vAlign w:val="center"/>
          </w:tcPr>
          <w:p w14:paraId="69ABA747"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361" w:type="dxa"/>
            <w:tcBorders>
              <w:top w:val="single" w:sz="4" w:space="0" w:color="auto"/>
              <w:left w:val="single" w:sz="4" w:space="0" w:color="auto"/>
            </w:tcBorders>
          </w:tcPr>
          <w:p w14:paraId="793D4387"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077" w:type="dxa"/>
            <w:tcBorders>
              <w:top w:val="single" w:sz="4" w:space="0" w:color="auto"/>
              <w:right w:val="single" w:sz="4" w:space="0" w:color="auto"/>
            </w:tcBorders>
            <w:vAlign w:val="center"/>
          </w:tcPr>
          <w:p w14:paraId="3E549219"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474" w:type="dxa"/>
            <w:tcBorders>
              <w:top w:val="single" w:sz="4" w:space="0" w:color="auto"/>
              <w:left w:val="single" w:sz="4" w:space="0" w:color="auto"/>
            </w:tcBorders>
          </w:tcPr>
          <w:p w14:paraId="4D758CE4"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964" w:type="dxa"/>
            <w:tcBorders>
              <w:top w:val="single" w:sz="4" w:space="0" w:color="auto"/>
              <w:right w:val="single" w:sz="4" w:space="0" w:color="auto"/>
            </w:tcBorders>
          </w:tcPr>
          <w:p w14:paraId="31AAEF6E" w14:textId="77777777" w:rsidR="00E91515" w:rsidRPr="00E91515" w:rsidRDefault="00E91515"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 </w:t>
            </w:r>
          </w:p>
        </w:tc>
        <w:tc>
          <w:tcPr>
            <w:tcW w:w="1219" w:type="dxa"/>
            <w:tcBorders>
              <w:top w:val="single" w:sz="4" w:space="0" w:color="auto"/>
              <w:left w:val="single" w:sz="4" w:space="0" w:color="auto"/>
            </w:tcBorders>
            <w:vAlign w:val="center"/>
          </w:tcPr>
          <w:p w14:paraId="05B0185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 </w:t>
            </w:r>
          </w:p>
        </w:tc>
        <w:tc>
          <w:tcPr>
            <w:tcW w:w="1219" w:type="dxa"/>
            <w:tcBorders>
              <w:top w:val="single" w:sz="4" w:space="0" w:color="auto"/>
              <w:right w:val="single" w:sz="4" w:space="0" w:color="auto"/>
            </w:tcBorders>
            <w:vAlign w:val="center"/>
          </w:tcPr>
          <w:p w14:paraId="4FA1AE98"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 </w:t>
            </w:r>
          </w:p>
        </w:tc>
      </w:tr>
      <w:tr w:rsidR="001C4508" w:rsidRPr="00E91515" w14:paraId="480D98CF"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9E042FE"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right w:val="nil"/>
            </w:tcBorders>
            <w:vAlign w:val="center"/>
          </w:tcPr>
          <w:p w14:paraId="2B7703E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287</w:t>
            </w:r>
          </w:p>
        </w:tc>
        <w:tc>
          <w:tcPr>
            <w:tcW w:w="1021" w:type="dxa"/>
            <w:tcBorders>
              <w:left w:val="nil"/>
              <w:right w:val="single" w:sz="4" w:space="0" w:color="auto"/>
            </w:tcBorders>
            <w:vAlign w:val="center"/>
          </w:tcPr>
          <w:p w14:paraId="0FDCC77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0.87%</w:t>
            </w:r>
          </w:p>
        </w:tc>
        <w:tc>
          <w:tcPr>
            <w:tcW w:w="1389" w:type="dxa"/>
            <w:tcBorders>
              <w:left w:val="single" w:sz="4" w:space="0" w:color="auto"/>
              <w:right w:val="nil"/>
            </w:tcBorders>
            <w:vAlign w:val="center"/>
          </w:tcPr>
          <w:p w14:paraId="23DC522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86</w:t>
            </w:r>
          </w:p>
        </w:tc>
        <w:tc>
          <w:tcPr>
            <w:tcW w:w="1049" w:type="dxa"/>
            <w:tcBorders>
              <w:left w:val="nil"/>
              <w:right w:val="single" w:sz="4" w:space="0" w:color="auto"/>
            </w:tcBorders>
            <w:vAlign w:val="center"/>
          </w:tcPr>
          <w:p w14:paraId="5648980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0.26%</w:t>
            </w:r>
          </w:p>
        </w:tc>
        <w:tc>
          <w:tcPr>
            <w:tcW w:w="1361" w:type="dxa"/>
            <w:tcBorders>
              <w:left w:val="single" w:sz="4" w:space="0" w:color="auto"/>
              <w:right w:val="nil"/>
            </w:tcBorders>
            <w:vAlign w:val="center"/>
          </w:tcPr>
          <w:p w14:paraId="39FD3A0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57</w:t>
            </w:r>
          </w:p>
        </w:tc>
        <w:tc>
          <w:tcPr>
            <w:tcW w:w="1077" w:type="dxa"/>
            <w:tcBorders>
              <w:left w:val="nil"/>
              <w:right w:val="single" w:sz="4" w:space="0" w:color="auto"/>
            </w:tcBorders>
            <w:vAlign w:val="center"/>
          </w:tcPr>
          <w:p w14:paraId="42A8178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0.17%</w:t>
            </w:r>
          </w:p>
        </w:tc>
        <w:tc>
          <w:tcPr>
            <w:tcW w:w="1474" w:type="dxa"/>
            <w:tcBorders>
              <w:left w:val="single" w:sz="4" w:space="0" w:color="auto"/>
              <w:right w:val="nil"/>
            </w:tcBorders>
            <w:vAlign w:val="center"/>
          </w:tcPr>
          <w:p w14:paraId="459C637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29</w:t>
            </w:r>
          </w:p>
        </w:tc>
        <w:tc>
          <w:tcPr>
            <w:tcW w:w="964" w:type="dxa"/>
            <w:tcBorders>
              <w:left w:val="nil"/>
              <w:right w:val="single" w:sz="4" w:space="0" w:color="auto"/>
            </w:tcBorders>
            <w:vAlign w:val="center"/>
          </w:tcPr>
          <w:p w14:paraId="1BA0FE56"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0.09%</w:t>
            </w:r>
          </w:p>
        </w:tc>
        <w:tc>
          <w:tcPr>
            <w:tcW w:w="1219" w:type="dxa"/>
            <w:tcBorders>
              <w:left w:val="single" w:sz="4" w:space="0" w:color="auto"/>
              <w:right w:val="nil"/>
            </w:tcBorders>
            <w:vAlign w:val="center"/>
          </w:tcPr>
          <w:p w14:paraId="0A49F9D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373</w:t>
            </w:r>
          </w:p>
        </w:tc>
        <w:tc>
          <w:tcPr>
            <w:tcW w:w="1219" w:type="dxa"/>
            <w:tcBorders>
              <w:left w:val="nil"/>
              <w:right w:val="single" w:sz="4" w:space="0" w:color="auto"/>
            </w:tcBorders>
            <w:vAlign w:val="center"/>
          </w:tcPr>
          <w:p w14:paraId="53037E3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1.13%</w:t>
            </w:r>
          </w:p>
        </w:tc>
      </w:tr>
      <w:tr w:rsidR="001C4508" w:rsidRPr="00E91515" w14:paraId="100E9089"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CAC2A12"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tcBorders>
            <w:vAlign w:val="center"/>
          </w:tcPr>
          <w:p w14:paraId="03D6CB7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613</w:t>
            </w:r>
          </w:p>
        </w:tc>
        <w:tc>
          <w:tcPr>
            <w:tcW w:w="1021" w:type="dxa"/>
            <w:tcBorders>
              <w:right w:val="single" w:sz="4" w:space="0" w:color="auto"/>
            </w:tcBorders>
            <w:vAlign w:val="center"/>
          </w:tcPr>
          <w:p w14:paraId="624815F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1.86%</w:t>
            </w:r>
          </w:p>
        </w:tc>
        <w:tc>
          <w:tcPr>
            <w:tcW w:w="1389" w:type="dxa"/>
            <w:tcBorders>
              <w:left w:val="single" w:sz="4" w:space="0" w:color="auto"/>
            </w:tcBorders>
            <w:vAlign w:val="center"/>
          </w:tcPr>
          <w:p w14:paraId="027F124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323</w:t>
            </w:r>
          </w:p>
        </w:tc>
        <w:tc>
          <w:tcPr>
            <w:tcW w:w="1049" w:type="dxa"/>
            <w:tcBorders>
              <w:right w:val="single" w:sz="4" w:space="0" w:color="auto"/>
            </w:tcBorders>
            <w:vAlign w:val="center"/>
          </w:tcPr>
          <w:p w14:paraId="5FEDD39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0.98%</w:t>
            </w:r>
          </w:p>
        </w:tc>
        <w:tc>
          <w:tcPr>
            <w:tcW w:w="1361" w:type="dxa"/>
            <w:tcBorders>
              <w:left w:val="single" w:sz="4" w:space="0" w:color="auto"/>
            </w:tcBorders>
            <w:vAlign w:val="center"/>
          </w:tcPr>
          <w:p w14:paraId="41DB038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234</w:t>
            </w:r>
          </w:p>
        </w:tc>
        <w:tc>
          <w:tcPr>
            <w:tcW w:w="1077" w:type="dxa"/>
            <w:tcBorders>
              <w:right w:val="single" w:sz="4" w:space="0" w:color="auto"/>
            </w:tcBorders>
            <w:vAlign w:val="center"/>
          </w:tcPr>
          <w:p w14:paraId="0A22267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0.71%</w:t>
            </w:r>
          </w:p>
        </w:tc>
        <w:tc>
          <w:tcPr>
            <w:tcW w:w="1474" w:type="dxa"/>
            <w:tcBorders>
              <w:left w:val="single" w:sz="4" w:space="0" w:color="auto"/>
            </w:tcBorders>
            <w:vAlign w:val="center"/>
          </w:tcPr>
          <w:p w14:paraId="5B2A31F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89</w:t>
            </w:r>
          </w:p>
        </w:tc>
        <w:tc>
          <w:tcPr>
            <w:tcW w:w="964" w:type="dxa"/>
            <w:tcBorders>
              <w:right w:val="single" w:sz="4" w:space="0" w:color="auto"/>
            </w:tcBorders>
            <w:vAlign w:val="center"/>
          </w:tcPr>
          <w:p w14:paraId="7CCCAEC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0.27%</w:t>
            </w:r>
          </w:p>
        </w:tc>
        <w:tc>
          <w:tcPr>
            <w:tcW w:w="1219" w:type="dxa"/>
            <w:tcBorders>
              <w:left w:val="single" w:sz="4" w:space="0" w:color="auto"/>
            </w:tcBorders>
            <w:vAlign w:val="center"/>
          </w:tcPr>
          <w:p w14:paraId="535A939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936</w:t>
            </w:r>
          </w:p>
        </w:tc>
        <w:tc>
          <w:tcPr>
            <w:tcW w:w="1219" w:type="dxa"/>
            <w:tcBorders>
              <w:right w:val="single" w:sz="4" w:space="0" w:color="auto"/>
            </w:tcBorders>
            <w:vAlign w:val="center"/>
          </w:tcPr>
          <w:p w14:paraId="54DBD1D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2.84%</w:t>
            </w:r>
          </w:p>
        </w:tc>
      </w:tr>
      <w:tr w:rsidR="001C4508" w:rsidRPr="00E91515" w14:paraId="1891708B"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9CB804F"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right w:val="nil"/>
            </w:tcBorders>
            <w:vAlign w:val="center"/>
          </w:tcPr>
          <w:p w14:paraId="2F06147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8,938</w:t>
            </w:r>
          </w:p>
        </w:tc>
        <w:tc>
          <w:tcPr>
            <w:tcW w:w="1021" w:type="dxa"/>
            <w:tcBorders>
              <w:left w:val="nil"/>
              <w:right w:val="single" w:sz="4" w:space="0" w:color="auto"/>
            </w:tcBorders>
            <w:vAlign w:val="center"/>
          </w:tcPr>
          <w:p w14:paraId="174B004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27.08%</w:t>
            </w:r>
          </w:p>
        </w:tc>
        <w:tc>
          <w:tcPr>
            <w:tcW w:w="1389" w:type="dxa"/>
            <w:tcBorders>
              <w:left w:val="single" w:sz="4" w:space="0" w:color="auto"/>
              <w:right w:val="nil"/>
            </w:tcBorders>
            <w:vAlign w:val="center"/>
          </w:tcPr>
          <w:p w14:paraId="33576E3A"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1,512</w:t>
            </w:r>
          </w:p>
        </w:tc>
        <w:tc>
          <w:tcPr>
            <w:tcW w:w="1049" w:type="dxa"/>
            <w:tcBorders>
              <w:left w:val="nil"/>
              <w:right w:val="single" w:sz="4" w:space="0" w:color="auto"/>
            </w:tcBorders>
            <w:vAlign w:val="center"/>
          </w:tcPr>
          <w:p w14:paraId="3C2C824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4.58%</w:t>
            </w:r>
          </w:p>
        </w:tc>
        <w:tc>
          <w:tcPr>
            <w:tcW w:w="1361" w:type="dxa"/>
            <w:tcBorders>
              <w:left w:val="single" w:sz="4" w:space="0" w:color="auto"/>
              <w:right w:val="nil"/>
            </w:tcBorders>
            <w:vAlign w:val="center"/>
          </w:tcPr>
          <w:p w14:paraId="128DF9FE"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1,105</w:t>
            </w:r>
          </w:p>
        </w:tc>
        <w:tc>
          <w:tcPr>
            <w:tcW w:w="1077" w:type="dxa"/>
            <w:tcBorders>
              <w:left w:val="nil"/>
              <w:right w:val="single" w:sz="4" w:space="0" w:color="auto"/>
            </w:tcBorders>
            <w:vAlign w:val="center"/>
          </w:tcPr>
          <w:p w14:paraId="6BBC3AD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3.35%</w:t>
            </w:r>
          </w:p>
        </w:tc>
        <w:tc>
          <w:tcPr>
            <w:tcW w:w="1474" w:type="dxa"/>
            <w:tcBorders>
              <w:left w:val="single" w:sz="4" w:space="0" w:color="auto"/>
              <w:right w:val="nil"/>
            </w:tcBorders>
            <w:vAlign w:val="center"/>
          </w:tcPr>
          <w:p w14:paraId="2F2A6BC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407</w:t>
            </w:r>
          </w:p>
        </w:tc>
        <w:tc>
          <w:tcPr>
            <w:tcW w:w="964" w:type="dxa"/>
            <w:tcBorders>
              <w:left w:val="nil"/>
              <w:right w:val="single" w:sz="4" w:space="0" w:color="auto"/>
            </w:tcBorders>
            <w:vAlign w:val="center"/>
          </w:tcPr>
          <w:p w14:paraId="097670B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1.23%</w:t>
            </w:r>
          </w:p>
        </w:tc>
        <w:tc>
          <w:tcPr>
            <w:tcW w:w="1219" w:type="dxa"/>
            <w:tcBorders>
              <w:left w:val="single" w:sz="4" w:space="0" w:color="auto"/>
              <w:right w:val="nil"/>
            </w:tcBorders>
            <w:vAlign w:val="center"/>
          </w:tcPr>
          <w:p w14:paraId="1FCEDCC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10,450</w:t>
            </w:r>
          </w:p>
        </w:tc>
        <w:tc>
          <w:tcPr>
            <w:tcW w:w="1219" w:type="dxa"/>
            <w:tcBorders>
              <w:left w:val="nil"/>
              <w:right w:val="single" w:sz="4" w:space="0" w:color="auto"/>
            </w:tcBorders>
            <w:vAlign w:val="center"/>
          </w:tcPr>
          <w:p w14:paraId="5DF8458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31.66%</w:t>
            </w:r>
          </w:p>
        </w:tc>
      </w:tr>
      <w:tr w:rsidR="001C4508" w:rsidRPr="00E91515" w14:paraId="04D68CFD"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E974610"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vAlign w:val="center"/>
          </w:tcPr>
          <w:p w14:paraId="2C6784D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3,166</w:t>
            </w:r>
          </w:p>
        </w:tc>
        <w:tc>
          <w:tcPr>
            <w:tcW w:w="1021" w:type="dxa"/>
            <w:tcBorders>
              <w:right w:val="single" w:sz="4" w:space="0" w:color="auto"/>
            </w:tcBorders>
            <w:vAlign w:val="center"/>
          </w:tcPr>
          <w:p w14:paraId="1A5F17D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9.59%</w:t>
            </w:r>
          </w:p>
        </w:tc>
        <w:tc>
          <w:tcPr>
            <w:tcW w:w="1389" w:type="dxa"/>
            <w:tcBorders>
              <w:left w:val="single" w:sz="4" w:space="0" w:color="auto"/>
            </w:tcBorders>
            <w:vAlign w:val="center"/>
          </w:tcPr>
          <w:p w14:paraId="4D21C19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587</w:t>
            </w:r>
          </w:p>
        </w:tc>
        <w:tc>
          <w:tcPr>
            <w:tcW w:w="1049" w:type="dxa"/>
            <w:tcBorders>
              <w:right w:val="single" w:sz="4" w:space="0" w:color="auto"/>
            </w:tcBorders>
            <w:vAlign w:val="center"/>
          </w:tcPr>
          <w:p w14:paraId="230C595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1.78%</w:t>
            </w:r>
          </w:p>
        </w:tc>
        <w:tc>
          <w:tcPr>
            <w:tcW w:w="1361" w:type="dxa"/>
            <w:tcBorders>
              <w:left w:val="single" w:sz="4" w:space="0" w:color="auto"/>
            </w:tcBorders>
            <w:vAlign w:val="center"/>
          </w:tcPr>
          <w:p w14:paraId="2BCCC4F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356</w:t>
            </w:r>
          </w:p>
        </w:tc>
        <w:tc>
          <w:tcPr>
            <w:tcW w:w="1077" w:type="dxa"/>
            <w:tcBorders>
              <w:right w:val="single" w:sz="4" w:space="0" w:color="auto"/>
            </w:tcBorders>
            <w:vAlign w:val="center"/>
          </w:tcPr>
          <w:p w14:paraId="69ABEC9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1.08%</w:t>
            </w:r>
          </w:p>
        </w:tc>
        <w:tc>
          <w:tcPr>
            <w:tcW w:w="1474" w:type="dxa"/>
            <w:tcBorders>
              <w:left w:val="single" w:sz="4" w:space="0" w:color="auto"/>
            </w:tcBorders>
            <w:vAlign w:val="center"/>
          </w:tcPr>
          <w:p w14:paraId="03A0996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231</w:t>
            </w:r>
          </w:p>
        </w:tc>
        <w:tc>
          <w:tcPr>
            <w:tcW w:w="964" w:type="dxa"/>
            <w:tcBorders>
              <w:right w:val="single" w:sz="4" w:space="0" w:color="auto"/>
            </w:tcBorders>
            <w:vAlign w:val="center"/>
          </w:tcPr>
          <w:p w14:paraId="4328D20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0.70%</w:t>
            </w:r>
          </w:p>
        </w:tc>
        <w:tc>
          <w:tcPr>
            <w:tcW w:w="1219" w:type="dxa"/>
            <w:tcBorders>
              <w:left w:val="single" w:sz="4" w:space="0" w:color="auto"/>
            </w:tcBorders>
            <w:vAlign w:val="center"/>
          </w:tcPr>
          <w:p w14:paraId="100DAAA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3,753</w:t>
            </w:r>
          </w:p>
        </w:tc>
        <w:tc>
          <w:tcPr>
            <w:tcW w:w="1219" w:type="dxa"/>
            <w:tcBorders>
              <w:right w:val="single" w:sz="4" w:space="0" w:color="auto"/>
            </w:tcBorders>
            <w:vAlign w:val="center"/>
          </w:tcPr>
          <w:p w14:paraId="7757F81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11.37%</w:t>
            </w:r>
          </w:p>
        </w:tc>
      </w:tr>
      <w:tr w:rsidR="001C4508" w:rsidRPr="00E91515" w14:paraId="3B7ABACF"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5EB8394"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right w:val="nil"/>
            </w:tcBorders>
            <w:vAlign w:val="center"/>
          </w:tcPr>
          <w:p w14:paraId="27238B0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84</w:t>
            </w:r>
          </w:p>
        </w:tc>
        <w:tc>
          <w:tcPr>
            <w:tcW w:w="1021" w:type="dxa"/>
            <w:tcBorders>
              <w:left w:val="nil"/>
              <w:right w:val="single" w:sz="4" w:space="0" w:color="auto"/>
            </w:tcBorders>
            <w:vAlign w:val="center"/>
          </w:tcPr>
          <w:p w14:paraId="199A33B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0.25%</w:t>
            </w:r>
          </w:p>
        </w:tc>
        <w:tc>
          <w:tcPr>
            <w:tcW w:w="1389" w:type="dxa"/>
            <w:tcBorders>
              <w:left w:val="single" w:sz="4" w:space="0" w:color="auto"/>
              <w:right w:val="nil"/>
            </w:tcBorders>
            <w:vAlign w:val="center"/>
          </w:tcPr>
          <w:p w14:paraId="4BBF8E1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39</w:t>
            </w:r>
          </w:p>
        </w:tc>
        <w:tc>
          <w:tcPr>
            <w:tcW w:w="1049" w:type="dxa"/>
            <w:tcBorders>
              <w:left w:val="nil"/>
              <w:right w:val="single" w:sz="4" w:space="0" w:color="auto"/>
            </w:tcBorders>
            <w:vAlign w:val="center"/>
          </w:tcPr>
          <w:p w14:paraId="0EBBA7B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0.12%</w:t>
            </w:r>
          </w:p>
        </w:tc>
        <w:tc>
          <w:tcPr>
            <w:tcW w:w="1361" w:type="dxa"/>
            <w:tcBorders>
              <w:left w:val="single" w:sz="4" w:space="0" w:color="auto"/>
              <w:right w:val="nil"/>
            </w:tcBorders>
            <w:vAlign w:val="center"/>
          </w:tcPr>
          <w:p w14:paraId="501D94E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28</w:t>
            </w:r>
          </w:p>
        </w:tc>
        <w:tc>
          <w:tcPr>
            <w:tcW w:w="1077" w:type="dxa"/>
            <w:tcBorders>
              <w:left w:val="nil"/>
              <w:right w:val="single" w:sz="4" w:space="0" w:color="auto"/>
            </w:tcBorders>
            <w:vAlign w:val="center"/>
          </w:tcPr>
          <w:p w14:paraId="19E767E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0.08%</w:t>
            </w:r>
          </w:p>
        </w:tc>
        <w:tc>
          <w:tcPr>
            <w:tcW w:w="1474" w:type="dxa"/>
            <w:tcBorders>
              <w:left w:val="single" w:sz="4" w:space="0" w:color="auto"/>
              <w:right w:val="nil"/>
            </w:tcBorders>
            <w:vAlign w:val="center"/>
          </w:tcPr>
          <w:p w14:paraId="5D8A8D1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11</w:t>
            </w:r>
          </w:p>
        </w:tc>
        <w:tc>
          <w:tcPr>
            <w:tcW w:w="964" w:type="dxa"/>
            <w:tcBorders>
              <w:left w:val="nil"/>
              <w:right w:val="single" w:sz="4" w:space="0" w:color="auto"/>
            </w:tcBorders>
            <w:vAlign w:val="center"/>
          </w:tcPr>
          <w:p w14:paraId="2752B83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0.03%</w:t>
            </w:r>
          </w:p>
        </w:tc>
        <w:tc>
          <w:tcPr>
            <w:tcW w:w="1219" w:type="dxa"/>
            <w:tcBorders>
              <w:left w:val="single" w:sz="4" w:space="0" w:color="auto"/>
              <w:right w:val="nil"/>
            </w:tcBorders>
            <w:vAlign w:val="center"/>
          </w:tcPr>
          <w:p w14:paraId="2B7102A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123</w:t>
            </w:r>
          </w:p>
        </w:tc>
        <w:tc>
          <w:tcPr>
            <w:tcW w:w="1219" w:type="dxa"/>
            <w:tcBorders>
              <w:left w:val="nil"/>
              <w:right w:val="single" w:sz="4" w:space="0" w:color="auto"/>
            </w:tcBorders>
            <w:vAlign w:val="center"/>
          </w:tcPr>
          <w:p w14:paraId="2980564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0.37%</w:t>
            </w:r>
          </w:p>
        </w:tc>
      </w:tr>
      <w:tr w:rsidR="001C4508" w:rsidRPr="00E91515" w14:paraId="55F1A08A"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E5D68F2"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tcBorders>
            <w:vAlign w:val="center"/>
          </w:tcPr>
          <w:p w14:paraId="108FEC46"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13,088</w:t>
            </w:r>
          </w:p>
        </w:tc>
        <w:tc>
          <w:tcPr>
            <w:tcW w:w="1021" w:type="dxa"/>
            <w:tcBorders>
              <w:right w:val="single" w:sz="4" w:space="0" w:color="auto"/>
            </w:tcBorders>
            <w:vAlign w:val="center"/>
          </w:tcPr>
          <w:p w14:paraId="7C6803A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39.66%</w:t>
            </w:r>
          </w:p>
        </w:tc>
        <w:tc>
          <w:tcPr>
            <w:tcW w:w="1389" w:type="dxa"/>
            <w:tcBorders>
              <w:left w:val="single" w:sz="4" w:space="0" w:color="auto"/>
            </w:tcBorders>
            <w:vAlign w:val="center"/>
          </w:tcPr>
          <w:p w14:paraId="3D622AA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2,547</w:t>
            </w:r>
          </w:p>
        </w:tc>
        <w:tc>
          <w:tcPr>
            <w:tcW w:w="1049" w:type="dxa"/>
            <w:tcBorders>
              <w:right w:val="single" w:sz="4" w:space="0" w:color="auto"/>
            </w:tcBorders>
            <w:vAlign w:val="center"/>
          </w:tcPr>
          <w:p w14:paraId="7A0A95F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7.72%</w:t>
            </w:r>
          </w:p>
        </w:tc>
        <w:tc>
          <w:tcPr>
            <w:tcW w:w="1361" w:type="dxa"/>
            <w:tcBorders>
              <w:left w:val="single" w:sz="4" w:space="0" w:color="auto"/>
            </w:tcBorders>
            <w:vAlign w:val="center"/>
          </w:tcPr>
          <w:p w14:paraId="0327198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1,780</w:t>
            </w:r>
          </w:p>
        </w:tc>
        <w:tc>
          <w:tcPr>
            <w:tcW w:w="1077" w:type="dxa"/>
            <w:tcBorders>
              <w:right w:val="single" w:sz="4" w:space="0" w:color="auto"/>
            </w:tcBorders>
            <w:vAlign w:val="center"/>
          </w:tcPr>
          <w:p w14:paraId="0E0AA43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5.39%</w:t>
            </w:r>
          </w:p>
        </w:tc>
        <w:tc>
          <w:tcPr>
            <w:tcW w:w="1474" w:type="dxa"/>
            <w:tcBorders>
              <w:left w:val="single" w:sz="4" w:space="0" w:color="auto"/>
            </w:tcBorders>
            <w:vAlign w:val="center"/>
          </w:tcPr>
          <w:p w14:paraId="494A7B7E"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767</w:t>
            </w:r>
          </w:p>
        </w:tc>
        <w:tc>
          <w:tcPr>
            <w:tcW w:w="964" w:type="dxa"/>
            <w:tcBorders>
              <w:right w:val="single" w:sz="4" w:space="0" w:color="auto"/>
            </w:tcBorders>
            <w:vAlign w:val="center"/>
          </w:tcPr>
          <w:p w14:paraId="4970736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2.32%</w:t>
            </w:r>
          </w:p>
        </w:tc>
        <w:tc>
          <w:tcPr>
            <w:tcW w:w="1219" w:type="dxa"/>
            <w:tcBorders>
              <w:left w:val="single" w:sz="4" w:space="0" w:color="auto"/>
            </w:tcBorders>
            <w:vAlign w:val="center"/>
          </w:tcPr>
          <w:p w14:paraId="7A072B93"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15,635</w:t>
            </w:r>
          </w:p>
        </w:tc>
        <w:tc>
          <w:tcPr>
            <w:tcW w:w="1219" w:type="dxa"/>
            <w:tcBorders>
              <w:right w:val="single" w:sz="4" w:space="0" w:color="auto"/>
            </w:tcBorders>
            <w:vAlign w:val="center"/>
          </w:tcPr>
          <w:p w14:paraId="001F905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47.37%</w:t>
            </w:r>
          </w:p>
        </w:tc>
      </w:tr>
      <w:tr w:rsidR="001C4508" w:rsidRPr="00E91515" w14:paraId="5EE8D000"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31A8B1CA"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right w:val="nil"/>
            </w:tcBorders>
            <w:vAlign w:val="center"/>
          </w:tcPr>
          <w:p w14:paraId="2FB96A9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14,120</w:t>
            </w:r>
          </w:p>
        </w:tc>
        <w:tc>
          <w:tcPr>
            <w:tcW w:w="1021" w:type="dxa"/>
            <w:tcBorders>
              <w:left w:val="nil"/>
              <w:bottom w:val="nil"/>
              <w:right w:val="single" w:sz="4" w:space="0" w:color="auto"/>
            </w:tcBorders>
            <w:vAlign w:val="center"/>
          </w:tcPr>
          <w:p w14:paraId="773A5B3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42.78%</w:t>
            </w:r>
          </w:p>
        </w:tc>
        <w:tc>
          <w:tcPr>
            <w:tcW w:w="1389" w:type="dxa"/>
            <w:tcBorders>
              <w:left w:val="single" w:sz="4" w:space="0" w:color="auto"/>
              <w:bottom w:val="nil"/>
              <w:right w:val="nil"/>
            </w:tcBorders>
            <w:vAlign w:val="center"/>
          </w:tcPr>
          <w:p w14:paraId="14CA810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3,248</w:t>
            </w:r>
          </w:p>
        </w:tc>
        <w:tc>
          <w:tcPr>
            <w:tcW w:w="1049" w:type="dxa"/>
            <w:tcBorders>
              <w:left w:val="nil"/>
              <w:bottom w:val="nil"/>
              <w:right w:val="single" w:sz="4" w:space="0" w:color="auto"/>
            </w:tcBorders>
            <w:vAlign w:val="center"/>
          </w:tcPr>
          <w:p w14:paraId="37C4FC5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9.84%</w:t>
            </w:r>
          </w:p>
        </w:tc>
        <w:tc>
          <w:tcPr>
            <w:tcW w:w="1361" w:type="dxa"/>
            <w:tcBorders>
              <w:left w:val="single" w:sz="4" w:space="0" w:color="auto"/>
              <w:bottom w:val="nil"/>
              <w:right w:val="nil"/>
            </w:tcBorders>
            <w:vAlign w:val="center"/>
          </w:tcPr>
          <w:p w14:paraId="1B10F5F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2,007</w:t>
            </w:r>
          </w:p>
        </w:tc>
        <w:tc>
          <w:tcPr>
            <w:tcW w:w="1077" w:type="dxa"/>
            <w:tcBorders>
              <w:left w:val="nil"/>
              <w:bottom w:val="nil"/>
              <w:right w:val="single" w:sz="4" w:space="0" w:color="auto"/>
            </w:tcBorders>
            <w:vAlign w:val="center"/>
          </w:tcPr>
          <w:p w14:paraId="74B9ABB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6.08%</w:t>
            </w:r>
          </w:p>
        </w:tc>
        <w:tc>
          <w:tcPr>
            <w:tcW w:w="1474" w:type="dxa"/>
            <w:tcBorders>
              <w:left w:val="single" w:sz="4" w:space="0" w:color="auto"/>
              <w:bottom w:val="nil"/>
              <w:right w:val="nil"/>
            </w:tcBorders>
            <w:vAlign w:val="center"/>
          </w:tcPr>
          <w:p w14:paraId="11FDB69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1,241</w:t>
            </w:r>
          </w:p>
        </w:tc>
        <w:tc>
          <w:tcPr>
            <w:tcW w:w="964" w:type="dxa"/>
            <w:tcBorders>
              <w:left w:val="nil"/>
              <w:bottom w:val="nil"/>
              <w:right w:val="single" w:sz="4" w:space="0" w:color="auto"/>
            </w:tcBorders>
            <w:vAlign w:val="center"/>
          </w:tcPr>
          <w:p w14:paraId="4D53A02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3.76%</w:t>
            </w:r>
          </w:p>
        </w:tc>
        <w:tc>
          <w:tcPr>
            <w:tcW w:w="1219" w:type="dxa"/>
            <w:tcBorders>
              <w:left w:val="single" w:sz="4" w:space="0" w:color="auto"/>
              <w:bottom w:val="nil"/>
              <w:right w:val="nil"/>
            </w:tcBorders>
            <w:vAlign w:val="center"/>
          </w:tcPr>
          <w:p w14:paraId="1C336FA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17,368</w:t>
            </w:r>
          </w:p>
        </w:tc>
        <w:tc>
          <w:tcPr>
            <w:tcW w:w="1219" w:type="dxa"/>
            <w:tcBorders>
              <w:left w:val="nil"/>
              <w:bottom w:val="nil"/>
              <w:right w:val="single" w:sz="4" w:space="0" w:color="auto"/>
            </w:tcBorders>
            <w:vAlign w:val="center"/>
          </w:tcPr>
          <w:p w14:paraId="7C4E323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52.63%</w:t>
            </w:r>
          </w:p>
        </w:tc>
      </w:tr>
      <w:tr w:rsidR="002418F8" w:rsidRPr="00E91515" w14:paraId="33714816"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24808B69"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vAlign w:val="center"/>
          </w:tcPr>
          <w:p w14:paraId="7270F4D6"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27,208</w:t>
            </w:r>
          </w:p>
        </w:tc>
        <w:tc>
          <w:tcPr>
            <w:tcW w:w="1021" w:type="dxa"/>
            <w:tcBorders>
              <w:top w:val="nil"/>
              <w:bottom w:val="single" w:sz="4" w:space="0" w:color="auto"/>
              <w:right w:val="single" w:sz="4" w:space="0" w:color="auto"/>
            </w:tcBorders>
            <w:vAlign w:val="center"/>
          </w:tcPr>
          <w:p w14:paraId="726DB0B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82.44%</w:t>
            </w:r>
          </w:p>
        </w:tc>
        <w:tc>
          <w:tcPr>
            <w:tcW w:w="1389" w:type="dxa"/>
            <w:tcBorders>
              <w:top w:val="nil"/>
              <w:left w:val="single" w:sz="4" w:space="0" w:color="auto"/>
              <w:bottom w:val="single" w:sz="4" w:space="0" w:color="auto"/>
            </w:tcBorders>
            <w:vAlign w:val="center"/>
          </w:tcPr>
          <w:p w14:paraId="75209FB6"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5,795</w:t>
            </w:r>
          </w:p>
        </w:tc>
        <w:tc>
          <w:tcPr>
            <w:tcW w:w="1049" w:type="dxa"/>
            <w:tcBorders>
              <w:top w:val="nil"/>
              <w:bottom w:val="single" w:sz="4" w:space="0" w:color="auto"/>
              <w:right w:val="single" w:sz="4" w:space="0" w:color="auto"/>
            </w:tcBorders>
            <w:vAlign w:val="center"/>
          </w:tcPr>
          <w:p w14:paraId="7F9BFD7A"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17.56%</w:t>
            </w:r>
          </w:p>
        </w:tc>
        <w:tc>
          <w:tcPr>
            <w:tcW w:w="1361" w:type="dxa"/>
            <w:tcBorders>
              <w:top w:val="nil"/>
              <w:left w:val="single" w:sz="4" w:space="0" w:color="auto"/>
              <w:bottom w:val="single" w:sz="4" w:space="0" w:color="auto"/>
            </w:tcBorders>
            <w:vAlign w:val="center"/>
          </w:tcPr>
          <w:p w14:paraId="1E5834F9"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3,787</w:t>
            </w:r>
          </w:p>
        </w:tc>
        <w:tc>
          <w:tcPr>
            <w:tcW w:w="1077" w:type="dxa"/>
            <w:tcBorders>
              <w:top w:val="nil"/>
              <w:bottom w:val="single" w:sz="4" w:space="0" w:color="auto"/>
              <w:right w:val="single" w:sz="4" w:space="0" w:color="auto"/>
            </w:tcBorders>
            <w:vAlign w:val="center"/>
          </w:tcPr>
          <w:p w14:paraId="38F4ED7A"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11.47%</w:t>
            </w:r>
          </w:p>
        </w:tc>
        <w:tc>
          <w:tcPr>
            <w:tcW w:w="1474" w:type="dxa"/>
            <w:tcBorders>
              <w:top w:val="nil"/>
              <w:left w:val="single" w:sz="4" w:space="0" w:color="auto"/>
              <w:bottom w:val="single" w:sz="4" w:space="0" w:color="auto"/>
            </w:tcBorders>
            <w:vAlign w:val="center"/>
          </w:tcPr>
          <w:p w14:paraId="274743EE"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2,008</w:t>
            </w:r>
          </w:p>
        </w:tc>
        <w:tc>
          <w:tcPr>
            <w:tcW w:w="964" w:type="dxa"/>
            <w:tcBorders>
              <w:top w:val="nil"/>
              <w:bottom w:val="single" w:sz="4" w:space="0" w:color="auto"/>
              <w:right w:val="single" w:sz="4" w:space="0" w:color="auto"/>
            </w:tcBorders>
            <w:vAlign w:val="center"/>
          </w:tcPr>
          <w:p w14:paraId="7405B66F"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6.08%</w:t>
            </w:r>
          </w:p>
        </w:tc>
        <w:tc>
          <w:tcPr>
            <w:tcW w:w="1219" w:type="dxa"/>
            <w:tcBorders>
              <w:top w:val="nil"/>
              <w:left w:val="single" w:sz="4" w:space="0" w:color="auto"/>
              <w:bottom w:val="single" w:sz="4" w:space="0" w:color="auto"/>
            </w:tcBorders>
            <w:vAlign w:val="center"/>
          </w:tcPr>
          <w:p w14:paraId="1A34AA47"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33,003</w:t>
            </w:r>
          </w:p>
        </w:tc>
        <w:tc>
          <w:tcPr>
            <w:tcW w:w="1219" w:type="dxa"/>
            <w:tcBorders>
              <w:top w:val="nil"/>
              <w:bottom w:val="single" w:sz="4" w:space="0" w:color="auto"/>
              <w:right w:val="single" w:sz="4" w:space="0" w:color="auto"/>
            </w:tcBorders>
            <w:vAlign w:val="center"/>
          </w:tcPr>
          <w:p w14:paraId="71751346"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16.68%</w:t>
            </w:r>
          </w:p>
        </w:tc>
      </w:tr>
      <w:tr w:rsidR="001C4508" w:rsidRPr="00E91515" w14:paraId="4D84FB07"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1BE73DF3"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2012</w:t>
            </w:r>
          </w:p>
        </w:tc>
        <w:tc>
          <w:tcPr>
            <w:tcW w:w="1417" w:type="dxa"/>
            <w:tcBorders>
              <w:top w:val="single" w:sz="4" w:space="0" w:color="auto"/>
              <w:left w:val="single" w:sz="4" w:space="0" w:color="auto"/>
              <w:right w:val="nil"/>
            </w:tcBorders>
          </w:tcPr>
          <w:p w14:paraId="11405179"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021" w:type="dxa"/>
            <w:tcBorders>
              <w:top w:val="single" w:sz="4" w:space="0" w:color="auto"/>
              <w:left w:val="nil"/>
              <w:right w:val="single" w:sz="4" w:space="0" w:color="auto"/>
            </w:tcBorders>
            <w:vAlign w:val="center"/>
          </w:tcPr>
          <w:p w14:paraId="6B82394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389" w:type="dxa"/>
            <w:tcBorders>
              <w:top w:val="single" w:sz="4" w:space="0" w:color="auto"/>
              <w:left w:val="single" w:sz="4" w:space="0" w:color="auto"/>
              <w:right w:val="nil"/>
            </w:tcBorders>
          </w:tcPr>
          <w:p w14:paraId="7DDCBDC5"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049" w:type="dxa"/>
            <w:tcBorders>
              <w:top w:val="single" w:sz="4" w:space="0" w:color="auto"/>
              <w:left w:val="nil"/>
              <w:right w:val="single" w:sz="4" w:space="0" w:color="auto"/>
            </w:tcBorders>
            <w:vAlign w:val="center"/>
          </w:tcPr>
          <w:p w14:paraId="1869325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 </w:t>
            </w:r>
          </w:p>
        </w:tc>
        <w:tc>
          <w:tcPr>
            <w:tcW w:w="1361" w:type="dxa"/>
            <w:tcBorders>
              <w:top w:val="single" w:sz="4" w:space="0" w:color="auto"/>
              <w:left w:val="single" w:sz="4" w:space="0" w:color="auto"/>
              <w:right w:val="nil"/>
            </w:tcBorders>
          </w:tcPr>
          <w:p w14:paraId="16BE071C"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077" w:type="dxa"/>
            <w:tcBorders>
              <w:top w:val="single" w:sz="4" w:space="0" w:color="auto"/>
              <w:left w:val="nil"/>
              <w:right w:val="single" w:sz="4" w:space="0" w:color="auto"/>
            </w:tcBorders>
            <w:vAlign w:val="center"/>
          </w:tcPr>
          <w:p w14:paraId="1323712D"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 </w:t>
            </w:r>
          </w:p>
        </w:tc>
        <w:tc>
          <w:tcPr>
            <w:tcW w:w="1474" w:type="dxa"/>
            <w:tcBorders>
              <w:top w:val="single" w:sz="4" w:space="0" w:color="auto"/>
              <w:left w:val="single" w:sz="4" w:space="0" w:color="auto"/>
              <w:right w:val="nil"/>
            </w:tcBorders>
          </w:tcPr>
          <w:p w14:paraId="51B98112"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 </w:t>
            </w:r>
          </w:p>
        </w:tc>
        <w:tc>
          <w:tcPr>
            <w:tcW w:w="964" w:type="dxa"/>
            <w:tcBorders>
              <w:top w:val="single" w:sz="4" w:space="0" w:color="auto"/>
              <w:left w:val="nil"/>
              <w:right w:val="single" w:sz="4" w:space="0" w:color="auto"/>
            </w:tcBorders>
          </w:tcPr>
          <w:p w14:paraId="54997272" w14:textId="77777777" w:rsidR="00E91515" w:rsidRPr="00E91515" w:rsidRDefault="00E91515" w:rsidP="00CE2FDF">
            <w:pPr>
              <w:spacing w:before="0" w:line="276" w:lineRule="auto"/>
              <w:cnfStyle w:val="000000000000" w:firstRow="0" w:lastRow="0" w:firstColumn="0" w:lastColumn="0" w:oddVBand="0" w:evenVBand="0" w:oddHBand="0" w:evenHBand="0" w:firstRowFirstColumn="0" w:firstRowLastColumn="0" w:lastRowFirstColumn="0" w:lastRowLastColumn="0"/>
              <w:rPr>
                <w:b/>
                <w:color w:val="auto"/>
                <w:sz w:val="20"/>
                <w:szCs w:val="20"/>
              </w:rPr>
            </w:pPr>
          </w:p>
        </w:tc>
        <w:tc>
          <w:tcPr>
            <w:tcW w:w="1219" w:type="dxa"/>
            <w:tcBorders>
              <w:top w:val="single" w:sz="4" w:space="0" w:color="auto"/>
              <w:left w:val="single" w:sz="4" w:space="0" w:color="auto"/>
              <w:right w:val="nil"/>
            </w:tcBorders>
            <w:vAlign w:val="center"/>
          </w:tcPr>
          <w:p w14:paraId="1DC85044"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19" w:type="dxa"/>
            <w:tcBorders>
              <w:top w:val="single" w:sz="4" w:space="0" w:color="auto"/>
              <w:left w:val="nil"/>
              <w:right w:val="single" w:sz="4" w:space="0" w:color="auto"/>
            </w:tcBorders>
            <w:vAlign w:val="center"/>
          </w:tcPr>
          <w:p w14:paraId="28BBF3C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 </w:t>
            </w:r>
          </w:p>
        </w:tc>
      </w:tr>
      <w:tr w:rsidR="001C4508" w:rsidRPr="00E91515" w14:paraId="27341A01"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19F298B"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417" w:type="dxa"/>
            <w:tcBorders>
              <w:left w:val="single" w:sz="4" w:space="0" w:color="auto"/>
            </w:tcBorders>
            <w:vAlign w:val="center"/>
          </w:tcPr>
          <w:p w14:paraId="52095F7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332</w:t>
            </w:r>
          </w:p>
        </w:tc>
        <w:tc>
          <w:tcPr>
            <w:tcW w:w="1021" w:type="dxa"/>
            <w:tcBorders>
              <w:right w:val="single" w:sz="4" w:space="0" w:color="auto"/>
            </w:tcBorders>
            <w:vAlign w:val="center"/>
          </w:tcPr>
          <w:p w14:paraId="4CA0F56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0.80%</w:t>
            </w:r>
          </w:p>
        </w:tc>
        <w:tc>
          <w:tcPr>
            <w:tcW w:w="1389" w:type="dxa"/>
            <w:tcBorders>
              <w:left w:val="single" w:sz="4" w:space="0" w:color="auto"/>
            </w:tcBorders>
            <w:vAlign w:val="center"/>
          </w:tcPr>
          <w:p w14:paraId="55F3888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120</w:t>
            </w:r>
          </w:p>
        </w:tc>
        <w:tc>
          <w:tcPr>
            <w:tcW w:w="1049" w:type="dxa"/>
            <w:tcBorders>
              <w:right w:val="single" w:sz="4" w:space="0" w:color="auto"/>
            </w:tcBorders>
            <w:vAlign w:val="center"/>
          </w:tcPr>
          <w:p w14:paraId="7AC94C2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0.29%</w:t>
            </w:r>
          </w:p>
        </w:tc>
        <w:tc>
          <w:tcPr>
            <w:tcW w:w="1361" w:type="dxa"/>
            <w:tcBorders>
              <w:left w:val="single" w:sz="4" w:space="0" w:color="auto"/>
            </w:tcBorders>
            <w:vAlign w:val="center"/>
          </w:tcPr>
          <w:p w14:paraId="177C4FD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75</w:t>
            </w:r>
          </w:p>
        </w:tc>
        <w:tc>
          <w:tcPr>
            <w:tcW w:w="1077" w:type="dxa"/>
            <w:tcBorders>
              <w:right w:val="single" w:sz="4" w:space="0" w:color="auto"/>
            </w:tcBorders>
            <w:vAlign w:val="center"/>
          </w:tcPr>
          <w:p w14:paraId="170F976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0.18%</w:t>
            </w:r>
          </w:p>
        </w:tc>
        <w:tc>
          <w:tcPr>
            <w:tcW w:w="1474" w:type="dxa"/>
            <w:tcBorders>
              <w:left w:val="single" w:sz="4" w:space="0" w:color="auto"/>
            </w:tcBorders>
            <w:vAlign w:val="center"/>
          </w:tcPr>
          <w:p w14:paraId="4C2F983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45</w:t>
            </w:r>
          </w:p>
        </w:tc>
        <w:tc>
          <w:tcPr>
            <w:tcW w:w="964" w:type="dxa"/>
            <w:tcBorders>
              <w:right w:val="single" w:sz="4" w:space="0" w:color="auto"/>
            </w:tcBorders>
            <w:vAlign w:val="center"/>
          </w:tcPr>
          <w:p w14:paraId="58EF5B5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0.11%</w:t>
            </w:r>
          </w:p>
        </w:tc>
        <w:tc>
          <w:tcPr>
            <w:tcW w:w="1219" w:type="dxa"/>
            <w:tcBorders>
              <w:left w:val="single" w:sz="4" w:space="0" w:color="auto"/>
            </w:tcBorders>
            <w:vAlign w:val="center"/>
          </w:tcPr>
          <w:p w14:paraId="7190A90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452</w:t>
            </w:r>
          </w:p>
        </w:tc>
        <w:tc>
          <w:tcPr>
            <w:tcW w:w="1219" w:type="dxa"/>
            <w:tcBorders>
              <w:right w:val="single" w:sz="4" w:space="0" w:color="auto"/>
            </w:tcBorders>
            <w:vAlign w:val="center"/>
          </w:tcPr>
          <w:p w14:paraId="55B1F5E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1.09%</w:t>
            </w:r>
          </w:p>
        </w:tc>
      </w:tr>
      <w:tr w:rsidR="001C4508" w:rsidRPr="00E91515" w14:paraId="28511765"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4D665D8"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417" w:type="dxa"/>
            <w:tcBorders>
              <w:left w:val="single" w:sz="4" w:space="0" w:color="auto"/>
              <w:right w:val="nil"/>
            </w:tcBorders>
            <w:vAlign w:val="center"/>
          </w:tcPr>
          <w:p w14:paraId="000DBBE8"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885</w:t>
            </w:r>
          </w:p>
        </w:tc>
        <w:tc>
          <w:tcPr>
            <w:tcW w:w="1021" w:type="dxa"/>
            <w:tcBorders>
              <w:left w:val="nil"/>
              <w:right w:val="single" w:sz="4" w:space="0" w:color="auto"/>
            </w:tcBorders>
            <w:vAlign w:val="center"/>
          </w:tcPr>
          <w:p w14:paraId="29EE5BB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2.13%</w:t>
            </w:r>
          </w:p>
        </w:tc>
        <w:tc>
          <w:tcPr>
            <w:tcW w:w="1389" w:type="dxa"/>
            <w:tcBorders>
              <w:left w:val="single" w:sz="4" w:space="0" w:color="auto"/>
              <w:right w:val="nil"/>
            </w:tcBorders>
            <w:vAlign w:val="center"/>
          </w:tcPr>
          <w:p w14:paraId="3842652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329</w:t>
            </w:r>
          </w:p>
        </w:tc>
        <w:tc>
          <w:tcPr>
            <w:tcW w:w="1049" w:type="dxa"/>
            <w:tcBorders>
              <w:left w:val="nil"/>
              <w:right w:val="single" w:sz="4" w:space="0" w:color="auto"/>
            </w:tcBorders>
            <w:vAlign w:val="center"/>
          </w:tcPr>
          <w:p w14:paraId="662FB4E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0.79%</w:t>
            </w:r>
          </w:p>
        </w:tc>
        <w:tc>
          <w:tcPr>
            <w:tcW w:w="1361" w:type="dxa"/>
            <w:tcBorders>
              <w:left w:val="single" w:sz="4" w:space="0" w:color="auto"/>
              <w:right w:val="nil"/>
            </w:tcBorders>
            <w:vAlign w:val="center"/>
          </w:tcPr>
          <w:p w14:paraId="4F3BE80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221</w:t>
            </w:r>
          </w:p>
        </w:tc>
        <w:tc>
          <w:tcPr>
            <w:tcW w:w="1077" w:type="dxa"/>
            <w:tcBorders>
              <w:left w:val="nil"/>
              <w:right w:val="single" w:sz="4" w:space="0" w:color="auto"/>
            </w:tcBorders>
            <w:vAlign w:val="center"/>
          </w:tcPr>
          <w:p w14:paraId="4841DDF0"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0.53%</w:t>
            </w:r>
          </w:p>
        </w:tc>
        <w:tc>
          <w:tcPr>
            <w:tcW w:w="1474" w:type="dxa"/>
            <w:tcBorders>
              <w:left w:val="single" w:sz="4" w:space="0" w:color="auto"/>
              <w:right w:val="nil"/>
            </w:tcBorders>
            <w:vAlign w:val="center"/>
          </w:tcPr>
          <w:p w14:paraId="21EC284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108</w:t>
            </w:r>
          </w:p>
        </w:tc>
        <w:tc>
          <w:tcPr>
            <w:tcW w:w="964" w:type="dxa"/>
            <w:tcBorders>
              <w:left w:val="nil"/>
              <w:right w:val="single" w:sz="4" w:space="0" w:color="auto"/>
            </w:tcBorders>
            <w:vAlign w:val="center"/>
          </w:tcPr>
          <w:p w14:paraId="7BD177A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0.26%</w:t>
            </w:r>
          </w:p>
        </w:tc>
        <w:tc>
          <w:tcPr>
            <w:tcW w:w="1219" w:type="dxa"/>
            <w:tcBorders>
              <w:left w:val="single" w:sz="4" w:space="0" w:color="auto"/>
              <w:right w:val="nil"/>
            </w:tcBorders>
            <w:vAlign w:val="center"/>
          </w:tcPr>
          <w:p w14:paraId="2DE7BE9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1,214</w:t>
            </w:r>
          </w:p>
        </w:tc>
        <w:tc>
          <w:tcPr>
            <w:tcW w:w="1219" w:type="dxa"/>
            <w:tcBorders>
              <w:left w:val="nil"/>
              <w:right w:val="single" w:sz="4" w:space="0" w:color="auto"/>
            </w:tcBorders>
            <w:vAlign w:val="center"/>
          </w:tcPr>
          <w:p w14:paraId="2E87BC5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2.93%</w:t>
            </w:r>
          </w:p>
        </w:tc>
      </w:tr>
      <w:tr w:rsidR="001C4508" w:rsidRPr="00E91515" w14:paraId="312C13B1"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9FB4399"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417" w:type="dxa"/>
            <w:tcBorders>
              <w:left w:val="single" w:sz="4" w:space="0" w:color="auto"/>
            </w:tcBorders>
            <w:vAlign w:val="center"/>
          </w:tcPr>
          <w:p w14:paraId="475D307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12,042</w:t>
            </w:r>
          </w:p>
        </w:tc>
        <w:tc>
          <w:tcPr>
            <w:tcW w:w="1021" w:type="dxa"/>
            <w:tcBorders>
              <w:right w:val="single" w:sz="4" w:space="0" w:color="auto"/>
            </w:tcBorders>
            <w:vAlign w:val="center"/>
          </w:tcPr>
          <w:p w14:paraId="5D19A7B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29.03%</w:t>
            </w:r>
          </w:p>
        </w:tc>
        <w:tc>
          <w:tcPr>
            <w:tcW w:w="1389" w:type="dxa"/>
            <w:tcBorders>
              <w:left w:val="single" w:sz="4" w:space="0" w:color="auto"/>
            </w:tcBorders>
            <w:vAlign w:val="center"/>
          </w:tcPr>
          <w:p w14:paraId="3C44DB5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2,097</w:t>
            </w:r>
          </w:p>
        </w:tc>
        <w:tc>
          <w:tcPr>
            <w:tcW w:w="1049" w:type="dxa"/>
            <w:tcBorders>
              <w:right w:val="single" w:sz="4" w:space="0" w:color="auto"/>
            </w:tcBorders>
            <w:vAlign w:val="center"/>
          </w:tcPr>
          <w:p w14:paraId="389EB49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5.06%</w:t>
            </w:r>
          </w:p>
        </w:tc>
        <w:tc>
          <w:tcPr>
            <w:tcW w:w="1361" w:type="dxa"/>
            <w:tcBorders>
              <w:left w:val="single" w:sz="4" w:space="0" w:color="auto"/>
            </w:tcBorders>
            <w:vAlign w:val="center"/>
          </w:tcPr>
          <w:p w14:paraId="3B8258C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1,518</w:t>
            </w:r>
          </w:p>
        </w:tc>
        <w:tc>
          <w:tcPr>
            <w:tcW w:w="1077" w:type="dxa"/>
            <w:tcBorders>
              <w:right w:val="single" w:sz="4" w:space="0" w:color="auto"/>
            </w:tcBorders>
            <w:vAlign w:val="center"/>
          </w:tcPr>
          <w:p w14:paraId="12956B7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3.66%</w:t>
            </w:r>
          </w:p>
        </w:tc>
        <w:tc>
          <w:tcPr>
            <w:tcW w:w="1474" w:type="dxa"/>
            <w:tcBorders>
              <w:left w:val="single" w:sz="4" w:space="0" w:color="auto"/>
            </w:tcBorders>
            <w:vAlign w:val="center"/>
          </w:tcPr>
          <w:p w14:paraId="0947A605"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579</w:t>
            </w:r>
          </w:p>
        </w:tc>
        <w:tc>
          <w:tcPr>
            <w:tcW w:w="964" w:type="dxa"/>
            <w:tcBorders>
              <w:right w:val="single" w:sz="4" w:space="0" w:color="auto"/>
            </w:tcBorders>
            <w:vAlign w:val="center"/>
          </w:tcPr>
          <w:p w14:paraId="1CB8CAB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1.40%</w:t>
            </w:r>
          </w:p>
        </w:tc>
        <w:tc>
          <w:tcPr>
            <w:tcW w:w="1219" w:type="dxa"/>
            <w:tcBorders>
              <w:left w:val="single" w:sz="4" w:space="0" w:color="auto"/>
            </w:tcBorders>
            <w:vAlign w:val="center"/>
          </w:tcPr>
          <w:p w14:paraId="78465B9F"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14,139</w:t>
            </w:r>
          </w:p>
        </w:tc>
        <w:tc>
          <w:tcPr>
            <w:tcW w:w="1219" w:type="dxa"/>
            <w:tcBorders>
              <w:right w:val="single" w:sz="4" w:space="0" w:color="auto"/>
            </w:tcBorders>
            <w:vAlign w:val="center"/>
          </w:tcPr>
          <w:p w14:paraId="3E35CDF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34.09%</w:t>
            </w:r>
          </w:p>
        </w:tc>
      </w:tr>
      <w:tr w:rsidR="001C4508" w:rsidRPr="00E91515" w14:paraId="469CF07C"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2FC2A4C"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right w:val="nil"/>
            </w:tcBorders>
            <w:vAlign w:val="center"/>
          </w:tcPr>
          <w:p w14:paraId="1EEF538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4,192</w:t>
            </w:r>
          </w:p>
        </w:tc>
        <w:tc>
          <w:tcPr>
            <w:tcW w:w="1021" w:type="dxa"/>
            <w:tcBorders>
              <w:left w:val="nil"/>
              <w:right w:val="single" w:sz="4" w:space="0" w:color="auto"/>
            </w:tcBorders>
            <w:vAlign w:val="center"/>
          </w:tcPr>
          <w:p w14:paraId="5E64BC3C"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10.11%</w:t>
            </w:r>
          </w:p>
        </w:tc>
        <w:tc>
          <w:tcPr>
            <w:tcW w:w="1389" w:type="dxa"/>
            <w:tcBorders>
              <w:left w:val="single" w:sz="4" w:space="0" w:color="auto"/>
              <w:right w:val="nil"/>
            </w:tcBorders>
            <w:vAlign w:val="center"/>
          </w:tcPr>
          <w:p w14:paraId="5996383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727</w:t>
            </w:r>
          </w:p>
        </w:tc>
        <w:tc>
          <w:tcPr>
            <w:tcW w:w="1049" w:type="dxa"/>
            <w:tcBorders>
              <w:left w:val="nil"/>
              <w:right w:val="single" w:sz="4" w:space="0" w:color="auto"/>
            </w:tcBorders>
            <w:vAlign w:val="center"/>
          </w:tcPr>
          <w:p w14:paraId="72F8725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1.75%</w:t>
            </w:r>
          </w:p>
        </w:tc>
        <w:tc>
          <w:tcPr>
            <w:tcW w:w="1361" w:type="dxa"/>
            <w:tcBorders>
              <w:left w:val="single" w:sz="4" w:space="0" w:color="auto"/>
              <w:right w:val="nil"/>
            </w:tcBorders>
            <w:vAlign w:val="center"/>
          </w:tcPr>
          <w:p w14:paraId="40469EC9"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411</w:t>
            </w:r>
          </w:p>
        </w:tc>
        <w:tc>
          <w:tcPr>
            <w:tcW w:w="1077" w:type="dxa"/>
            <w:tcBorders>
              <w:left w:val="nil"/>
              <w:right w:val="single" w:sz="4" w:space="0" w:color="auto"/>
            </w:tcBorders>
            <w:vAlign w:val="center"/>
          </w:tcPr>
          <w:p w14:paraId="70466D8B"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0.99%</w:t>
            </w:r>
          </w:p>
        </w:tc>
        <w:tc>
          <w:tcPr>
            <w:tcW w:w="1474" w:type="dxa"/>
            <w:tcBorders>
              <w:left w:val="single" w:sz="4" w:space="0" w:color="auto"/>
              <w:right w:val="nil"/>
            </w:tcBorders>
            <w:vAlign w:val="center"/>
          </w:tcPr>
          <w:p w14:paraId="58E5563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316</w:t>
            </w:r>
          </w:p>
        </w:tc>
        <w:tc>
          <w:tcPr>
            <w:tcW w:w="964" w:type="dxa"/>
            <w:tcBorders>
              <w:left w:val="nil"/>
              <w:right w:val="single" w:sz="4" w:space="0" w:color="auto"/>
            </w:tcBorders>
            <w:vAlign w:val="center"/>
          </w:tcPr>
          <w:p w14:paraId="712A8653"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0.76%</w:t>
            </w:r>
          </w:p>
        </w:tc>
        <w:tc>
          <w:tcPr>
            <w:tcW w:w="1219" w:type="dxa"/>
            <w:tcBorders>
              <w:left w:val="single" w:sz="4" w:space="0" w:color="auto"/>
              <w:right w:val="nil"/>
            </w:tcBorders>
            <w:vAlign w:val="center"/>
          </w:tcPr>
          <w:p w14:paraId="07701D6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4,919</w:t>
            </w:r>
          </w:p>
        </w:tc>
        <w:tc>
          <w:tcPr>
            <w:tcW w:w="1219" w:type="dxa"/>
            <w:tcBorders>
              <w:left w:val="nil"/>
              <w:right w:val="single" w:sz="4" w:space="0" w:color="auto"/>
            </w:tcBorders>
            <w:vAlign w:val="center"/>
          </w:tcPr>
          <w:p w14:paraId="7323FC8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11.86%</w:t>
            </w:r>
          </w:p>
        </w:tc>
      </w:tr>
      <w:tr w:rsidR="001C4508" w:rsidRPr="00E91515" w14:paraId="6751DBBA"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DC2ACAD"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417" w:type="dxa"/>
            <w:tcBorders>
              <w:left w:val="single" w:sz="4" w:space="0" w:color="auto"/>
            </w:tcBorders>
            <w:vAlign w:val="center"/>
          </w:tcPr>
          <w:p w14:paraId="0067245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97</w:t>
            </w:r>
          </w:p>
        </w:tc>
        <w:tc>
          <w:tcPr>
            <w:tcW w:w="1021" w:type="dxa"/>
            <w:tcBorders>
              <w:right w:val="single" w:sz="4" w:space="0" w:color="auto"/>
            </w:tcBorders>
            <w:vAlign w:val="center"/>
          </w:tcPr>
          <w:p w14:paraId="0FE9FFF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0.23%</w:t>
            </w:r>
          </w:p>
        </w:tc>
        <w:tc>
          <w:tcPr>
            <w:tcW w:w="1389" w:type="dxa"/>
            <w:tcBorders>
              <w:left w:val="single" w:sz="4" w:space="0" w:color="auto"/>
            </w:tcBorders>
            <w:vAlign w:val="center"/>
          </w:tcPr>
          <w:p w14:paraId="1F0E5359"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23</w:t>
            </w:r>
          </w:p>
        </w:tc>
        <w:tc>
          <w:tcPr>
            <w:tcW w:w="1049" w:type="dxa"/>
            <w:tcBorders>
              <w:right w:val="single" w:sz="4" w:space="0" w:color="auto"/>
            </w:tcBorders>
            <w:vAlign w:val="center"/>
          </w:tcPr>
          <w:p w14:paraId="03A0354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0.06%</w:t>
            </w:r>
          </w:p>
        </w:tc>
        <w:tc>
          <w:tcPr>
            <w:tcW w:w="1361" w:type="dxa"/>
            <w:tcBorders>
              <w:left w:val="single" w:sz="4" w:space="0" w:color="auto"/>
            </w:tcBorders>
            <w:vAlign w:val="center"/>
          </w:tcPr>
          <w:p w14:paraId="3429072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16</w:t>
            </w:r>
          </w:p>
        </w:tc>
        <w:tc>
          <w:tcPr>
            <w:tcW w:w="1077" w:type="dxa"/>
            <w:tcBorders>
              <w:right w:val="single" w:sz="4" w:space="0" w:color="auto"/>
            </w:tcBorders>
            <w:vAlign w:val="center"/>
          </w:tcPr>
          <w:p w14:paraId="2504A15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0.04%</w:t>
            </w:r>
          </w:p>
        </w:tc>
        <w:tc>
          <w:tcPr>
            <w:tcW w:w="1474" w:type="dxa"/>
            <w:tcBorders>
              <w:left w:val="single" w:sz="4" w:space="0" w:color="auto"/>
            </w:tcBorders>
            <w:vAlign w:val="center"/>
          </w:tcPr>
          <w:p w14:paraId="3DAE3A3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7</w:t>
            </w:r>
          </w:p>
        </w:tc>
        <w:tc>
          <w:tcPr>
            <w:tcW w:w="964" w:type="dxa"/>
            <w:tcBorders>
              <w:right w:val="single" w:sz="4" w:space="0" w:color="auto"/>
            </w:tcBorders>
            <w:vAlign w:val="center"/>
          </w:tcPr>
          <w:p w14:paraId="5FFCC90A"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0.02%</w:t>
            </w:r>
          </w:p>
        </w:tc>
        <w:tc>
          <w:tcPr>
            <w:tcW w:w="1219" w:type="dxa"/>
            <w:tcBorders>
              <w:left w:val="single" w:sz="4" w:space="0" w:color="auto"/>
            </w:tcBorders>
            <w:vAlign w:val="center"/>
          </w:tcPr>
          <w:p w14:paraId="7FB97C24"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120</w:t>
            </w:r>
          </w:p>
        </w:tc>
        <w:tc>
          <w:tcPr>
            <w:tcW w:w="1219" w:type="dxa"/>
            <w:tcBorders>
              <w:right w:val="single" w:sz="4" w:space="0" w:color="auto"/>
            </w:tcBorders>
            <w:vAlign w:val="center"/>
          </w:tcPr>
          <w:p w14:paraId="09DC666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0.29%</w:t>
            </w:r>
          </w:p>
        </w:tc>
      </w:tr>
      <w:tr w:rsidR="001C4508" w:rsidRPr="00E91515" w14:paraId="74630719"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A676C00"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417" w:type="dxa"/>
            <w:tcBorders>
              <w:left w:val="single" w:sz="4" w:space="0" w:color="auto"/>
              <w:right w:val="nil"/>
            </w:tcBorders>
            <w:vAlign w:val="center"/>
          </w:tcPr>
          <w:p w14:paraId="7CA7186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17,548</w:t>
            </w:r>
          </w:p>
        </w:tc>
        <w:tc>
          <w:tcPr>
            <w:tcW w:w="1021" w:type="dxa"/>
            <w:tcBorders>
              <w:left w:val="nil"/>
              <w:right w:val="single" w:sz="4" w:space="0" w:color="auto"/>
            </w:tcBorders>
            <w:vAlign w:val="center"/>
          </w:tcPr>
          <w:p w14:paraId="315F6662"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42.30%</w:t>
            </w:r>
          </w:p>
        </w:tc>
        <w:tc>
          <w:tcPr>
            <w:tcW w:w="1389" w:type="dxa"/>
            <w:tcBorders>
              <w:left w:val="single" w:sz="4" w:space="0" w:color="auto"/>
              <w:right w:val="nil"/>
            </w:tcBorders>
            <w:vAlign w:val="center"/>
          </w:tcPr>
          <w:p w14:paraId="33E77DF7"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3,296</w:t>
            </w:r>
          </w:p>
        </w:tc>
        <w:tc>
          <w:tcPr>
            <w:tcW w:w="1049" w:type="dxa"/>
            <w:tcBorders>
              <w:left w:val="nil"/>
              <w:right w:val="single" w:sz="4" w:space="0" w:color="auto"/>
            </w:tcBorders>
            <w:vAlign w:val="center"/>
          </w:tcPr>
          <w:p w14:paraId="52D847B1"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7.95%</w:t>
            </w:r>
          </w:p>
        </w:tc>
        <w:tc>
          <w:tcPr>
            <w:tcW w:w="1361" w:type="dxa"/>
            <w:tcBorders>
              <w:left w:val="single" w:sz="4" w:space="0" w:color="auto"/>
              <w:right w:val="nil"/>
            </w:tcBorders>
            <w:vAlign w:val="center"/>
          </w:tcPr>
          <w:p w14:paraId="4E433EC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2,241</w:t>
            </w:r>
          </w:p>
        </w:tc>
        <w:tc>
          <w:tcPr>
            <w:tcW w:w="1077" w:type="dxa"/>
            <w:tcBorders>
              <w:left w:val="nil"/>
              <w:right w:val="single" w:sz="4" w:space="0" w:color="auto"/>
            </w:tcBorders>
            <w:vAlign w:val="center"/>
          </w:tcPr>
          <w:p w14:paraId="04CBF3D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5.40%</w:t>
            </w:r>
          </w:p>
        </w:tc>
        <w:tc>
          <w:tcPr>
            <w:tcW w:w="1474" w:type="dxa"/>
            <w:tcBorders>
              <w:left w:val="single" w:sz="4" w:space="0" w:color="auto"/>
              <w:right w:val="nil"/>
            </w:tcBorders>
            <w:vAlign w:val="center"/>
          </w:tcPr>
          <w:p w14:paraId="1F575F7F"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1,055</w:t>
            </w:r>
          </w:p>
        </w:tc>
        <w:tc>
          <w:tcPr>
            <w:tcW w:w="964" w:type="dxa"/>
            <w:tcBorders>
              <w:left w:val="nil"/>
              <w:right w:val="single" w:sz="4" w:space="0" w:color="auto"/>
            </w:tcBorders>
            <w:vAlign w:val="center"/>
          </w:tcPr>
          <w:p w14:paraId="75F7486D"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E91515">
              <w:rPr>
                <w:color w:val="auto"/>
                <w:sz w:val="20"/>
                <w:szCs w:val="20"/>
              </w:rPr>
              <w:t>2.54%</w:t>
            </w:r>
          </w:p>
        </w:tc>
        <w:tc>
          <w:tcPr>
            <w:tcW w:w="1219" w:type="dxa"/>
            <w:tcBorders>
              <w:left w:val="single" w:sz="4" w:space="0" w:color="auto"/>
              <w:right w:val="nil"/>
            </w:tcBorders>
            <w:vAlign w:val="center"/>
          </w:tcPr>
          <w:p w14:paraId="2AA26DC4"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20,844</w:t>
            </w:r>
          </w:p>
        </w:tc>
        <w:tc>
          <w:tcPr>
            <w:tcW w:w="1219" w:type="dxa"/>
            <w:tcBorders>
              <w:left w:val="nil"/>
              <w:right w:val="single" w:sz="4" w:space="0" w:color="auto"/>
            </w:tcBorders>
            <w:vAlign w:val="center"/>
          </w:tcPr>
          <w:p w14:paraId="3459CEE5" w14:textId="77777777" w:rsidR="004A1081" w:rsidRPr="00E91515"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50.25%</w:t>
            </w:r>
          </w:p>
        </w:tc>
      </w:tr>
      <w:tr w:rsidR="001C4508" w:rsidRPr="00E91515" w14:paraId="3C12B5AB" w14:textId="77777777" w:rsidTr="00E9151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nil"/>
              <w:right w:val="single" w:sz="4" w:space="0" w:color="auto"/>
            </w:tcBorders>
            <w:noWrap/>
            <w:hideMark/>
          </w:tcPr>
          <w:p w14:paraId="1614371B"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417" w:type="dxa"/>
            <w:tcBorders>
              <w:left w:val="single" w:sz="4" w:space="0" w:color="auto"/>
              <w:bottom w:val="nil"/>
            </w:tcBorders>
            <w:vAlign w:val="center"/>
          </w:tcPr>
          <w:p w14:paraId="2092C560"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16,902</w:t>
            </w:r>
          </w:p>
        </w:tc>
        <w:tc>
          <w:tcPr>
            <w:tcW w:w="1021" w:type="dxa"/>
            <w:tcBorders>
              <w:bottom w:val="nil"/>
              <w:right w:val="single" w:sz="4" w:space="0" w:color="auto"/>
            </w:tcBorders>
            <w:vAlign w:val="center"/>
          </w:tcPr>
          <w:p w14:paraId="39AAC10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40.75%</w:t>
            </w:r>
          </w:p>
        </w:tc>
        <w:tc>
          <w:tcPr>
            <w:tcW w:w="1389" w:type="dxa"/>
            <w:tcBorders>
              <w:left w:val="single" w:sz="4" w:space="0" w:color="auto"/>
              <w:bottom w:val="nil"/>
            </w:tcBorders>
            <w:vAlign w:val="center"/>
          </w:tcPr>
          <w:p w14:paraId="66BCED02"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3,734</w:t>
            </w:r>
          </w:p>
        </w:tc>
        <w:tc>
          <w:tcPr>
            <w:tcW w:w="1049" w:type="dxa"/>
            <w:tcBorders>
              <w:bottom w:val="nil"/>
              <w:right w:val="single" w:sz="4" w:space="0" w:color="auto"/>
            </w:tcBorders>
            <w:vAlign w:val="center"/>
          </w:tcPr>
          <w:p w14:paraId="78DD450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9.00%</w:t>
            </w:r>
          </w:p>
        </w:tc>
        <w:tc>
          <w:tcPr>
            <w:tcW w:w="1361" w:type="dxa"/>
            <w:tcBorders>
              <w:left w:val="single" w:sz="4" w:space="0" w:color="auto"/>
              <w:bottom w:val="nil"/>
            </w:tcBorders>
            <w:vAlign w:val="center"/>
          </w:tcPr>
          <w:p w14:paraId="5BAE45E8"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2,376</w:t>
            </w:r>
          </w:p>
        </w:tc>
        <w:tc>
          <w:tcPr>
            <w:tcW w:w="1077" w:type="dxa"/>
            <w:tcBorders>
              <w:bottom w:val="nil"/>
              <w:right w:val="single" w:sz="4" w:space="0" w:color="auto"/>
            </w:tcBorders>
            <w:vAlign w:val="center"/>
          </w:tcPr>
          <w:p w14:paraId="47BCB4D1"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5.73%</w:t>
            </w:r>
          </w:p>
        </w:tc>
        <w:tc>
          <w:tcPr>
            <w:tcW w:w="1474" w:type="dxa"/>
            <w:tcBorders>
              <w:left w:val="single" w:sz="4" w:space="0" w:color="auto"/>
              <w:bottom w:val="nil"/>
            </w:tcBorders>
            <w:vAlign w:val="center"/>
          </w:tcPr>
          <w:p w14:paraId="2D71801B"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1,358</w:t>
            </w:r>
          </w:p>
        </w:tc>
        <w:tc>
          <w:tcPr>
            <w:tcW w:w="964" w:type="dxa"/>
            <w:tcBorders>
              <w:bottom w:val="nil"/>
              <w:right w:val="single" w:sz="4" w:space="0" w:color="auto"/>
            </w:tcBorders>
            <w:vAlign w:val="center"/>
          </w:tcPr>
          <w:p w14:paraId="764C5EE7"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E91515">
              <w:rPr>
                <w:color w:val="auto"/>
                <w:sz w:val="20"/>
                <w:szCs w:val="20"/>
              </w:rPr>
              <w:t>3.27%</w:t>
            </w:r>
          </w:p>
        </w:tc>
        <w:tc>
          <w:tcPr>
            <w:tcW w:w="1219" w:type="dxa"/>
            <w:tcBorders>
              <w:left w:val="single" w:sz="4" w:space="0" w:color="auto"/>
              <w:bottom w:val="nil"/>
            </w:tcBorders>
            <w:vAlign w:val="center"/>
          </w:tcPr>
          <w:p w14:paraId="6AE1AE9D"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20,636</w:t>
            </w:r>
          </w:p>
        </w:tc>
        <w:tc>
          <w:tcPr>
            <w:tcW w:w="1219" w:type="dxa"/>
            <w:tcBorders>
              <w:bottom w:val="nil"/>
              <w:right w:val="single" w:sz="4" w:space="0" w:color="auto"/>
            </w:tcBorders>
            <w:vAlign w:val="center"/>
          </w:tcPr>
          <w:p w14:paraId="6EF4B00C" w14:textId="77777777" w:rsidR="004A1081" w:rsidRPr="00E91515"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E91515">
              <w:rPr>
                <w:b/>
                <w:color w:val="auto"/>
                <w:sz w:val="20"/>
                <w:szCs w:val="20"/>
              </w:rPr>
              <w:t>49.75%</w:t>
            </w:r>
          </w:p>
        </w:tc>
      </w:tr>
      <w:tr w:rsidR="001C4508" w:rsidRPr="00E91515" w14:paraId="28BB7569" w14:textId="77777777" w:rsidTr="00E91515">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bottom w:val="single" w:sz="4" w:space="0" w:color="auto"/>
              <w:right w:val="single" w:sz="4" w:space="0" w:color="auto"/>
            </w:tcBorders>
            <w:noWrap/>
            <w:hideMark/>
          </w:tcPr>
          <w:p w14:paraId="34D03DF5"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Totals</w:t>
            </w:r>
          </w:p>
        </w:tc>
        <w:tc>
          <w:tcPr>
            <w:tcW w:w="1417" w:type="dxa"/>
            <w:tcBorders>
              <w:top w:val="nil"/>
              <w:left w:val="single" w:sz="4" w:space="0" w:color="auto"/>
              <w:bottom w:val="single" w:sz="4" w:space="0" w:color="auto"/>
              <w:right w:val="nil"/>
            </w:tcBorders>
            <w:vAlign w:val="center"/>
          </w:tcPr>
          <w:p w14:paraId="33E5BBDE"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34,450</w:t>
            </w:r>
          </w:p>
        </w:tc>
        <w:tc>
          <w:tcPr>
            <w:tcW w:w="1021" w:type="dxa"/>
            <w:tcBorders>
              <w:top w:val="nil"/>
              <w:left w:val="nil"/>
              <w:bottom w:val="single" w:sz="4" w:space="0" w:color="auto"/>
              <w:right w:val="single" w:sz="4" w:space="0" w:color="auto"/>
            </w:tcBorders>
            <w:vAlign w:val="center"/>
          </w:tcPr>
          <w:p w14:paraId="0F6501A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83.05%</w:t>
            </w:r>
          </w:p>
        </w:tc>
        <w:tc>
          <w:tcPr>
            <w:tcW w:w="1389" w:type="dxa"/>
            <w:tcBorders>
              <w:top w:val="nil"/>
              <w:left w:val="single" w:sz="4" w:space="0" w:color="auto"/>
              <w:bottom w:val="single" w:sz="4" w:space="0" w:color="auto"/>
              <w:right w:val="nil"/>
            </w:tcBorders>
            <w:vAlign w:val="center"/>
          </w:tcPr>
          <w:p w14:paraId="30FD1A84"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7,030</w:t>
            </w:r>
          </w:p>
        </w:tc>
        <w:tc>
          <w:tcPr>
            <w:tcW w:w="1049" w:type="dxa"/>
            <w:tcBorders>
              <w:top w:val="nil"/>
              <w:left w:val="nil"/>
              <w:bottom w:val="single" w:sz="4" w:space="0" w:color="auto"/>
              <w:right w:val="single" w:sz="4" w:space="0" w:color="auto"/>
            </w:tcBorders>
            <w:vAlign w:val="center"/>
          </w:tcPr>
          <w:p w14:paraId="78EF124A"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16.95%</w:t>
            </w:r>
          </w:p>
        </w:tc>
        <w:tc>
          <w:tcPr>
            <w:tcW w:w="1361" w:type="dxa"/>
            <w:tcBorders>
              <w:top w:val="nil"/>
              <w:left w:val="single" w:sz="4" w:space="0" w:color="auto"/>
              <w:bottom w:val="single" w:sz="4" w:space="0" w:color="auto"/>
              <w:right w:val="nil"/>
            </w:tcBorders>
            <w:vAlign w:val="center"/>
          </w:tcPr>
          <w:p w14:paraId="069DA702"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4,617</w:t>
            </w:r>
          </w:p>
        </w:tc>
        <w:tc>
          <w:tcPr>
            <w:tcW w:w="1077" w:type="dxa"/>
            <w:tcBorders>
              <w:top w:val="nil"/>
              <w:left w:val="nil"/>
              <w:bottom w:val="single" w:sz="4" w:space="0" w:color="auto"/>
              <w:right w:val="single" w:sz="4" w:space="0" w:color="auto"/>
            </w:tcBorders>
            <w:vAlign w:val="center"/>
          </w:tcPr>
          <w:p w14:paraId="691CB098"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11.13%</w:t>
            </w:r>
          </w:p>
        </w:tc>
        <w:tc>
          <w:tcPr>
            <w:tcW w:w="1474" w:type="dxa"/>
            <w:tcBorders>
              <w:top w:val="nil"/>
              <w:left w:val="single" w:sz="4" w:space="0" w:color="auto"/>
              <w:bottom w:val="single" w:sz="4" w:space="0" w:color="auto"/>
              <w:right w:val="nil"/>
            </w:tcBorders>
            <w:vAlign w:val="center"/>
          </w:tcPr>
          <w:p w14:paraId="0CAFB241"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2,413</w:t>
            </w:r>
          </w:p>
        </w:tc>
        <w:tc>
          <w:tcPr>
            <w:tcW w:w="964" w:type="dxa"/>
            <w:tcBorders>
              <w:top w:val="nil"/>
              <w:left w:val="nil"/>
              <w:bottom w:val="single" w:sz="4" w:space="0" w:color="auto"/>
              <w:right w:val="single" w:sz="4" w:space="0" w:color="auto"/>
            </w:tcBorders>
            <w:vAlign w:val="center"/>
          </w:tcPr>
          <w:p w14:paraId="4B5624D4"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E91515">
              <w:rPr>
                <w:b/>
                <w:color w:val="auto"/>
                <w:sz w:val="20"/>
                <w:szCs w:val="20"/>
              </w:rPr>
              <w:t>5.82%</w:t>
            </w:r>
          </w:p>
        </w:tc>
        <w:tc>
          <w:tcPr>
            <w:tcW w:w="1219" w:type="dxa"/>
            <w:tcBorders>
              <w:top w:val="nil"/>
              <w:left w:val="single" w:sz="4" w:space="0" w:color="auto"/>
              <w:bottom w:val="single" w:sz="4" w:space="0" w:color="auto"/>
              <w:right w:val="nil"/>
            </w:tcBorders>
            <w:vAlign w:val="center"/>
          </w:tcPr>
          <w:p w14:paraId="42CFC237"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41,480</w:t>
            </w:r>
          </w:p>
        </w:tc>
        <w:tc>
          <w:tcPr>
            <w:tcW w:w="1219" w:type="dxa"/>
            <w:tcBorders>
              <w:top w:val="nil"/>
              <w:left w:val="nil"/>
              <w:bottom w:val="single" w:sz="4" w:space="0" w:color="auto"/>
              <w:right w:val="single" w:sz="4" w:space="0" w:color="auto"/>
            </w:tcBorders>
            <w:vAlign w:val="center"/>
          </w:tcPr>
          <w:p w14:paraId="375A92B8" w14:textId="77777777" w:rsidR="00E91515" w:rsidRPr="00E91515" w:rsidRDefault="00E91515"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E91515">
              <w:rPr>
                <w:b/>
                <w:bCs/>
                <w:color w:val="auto"/>
                <w:sz w:val="20"/>
                <w:szCs w:val="20"/>
              </w:rPr>
              <w:t>20.97%</w:t>
            </w:r>
          </w:p>
        </w:tc>
      </w:tr>
      <w:tr w:rsidR="002418F8" w:rsidRPr="00E91515" w14:paraId="25BD292A" w14:textId="77777777" w:rsidTr="001C450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14:paraId="3A940B72" w14:textId="77777777" w:rsidR="00E91515" w:rsidRPr="00E91515" w:rsidRDefault="00E91515"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Combined Totals</w:t>
            </w:r>
          </w:p>
        </w:tc>
        <w:tc>
          <w:tcPr>
            <w:tcW w:w="1417" w:type="dxa"/>
            <w:tcBorders>
              <w:top w:val="single" w:sz="4" w:space="0" w:color="auto"/>
              <w:left w:val="single" w:sz="4" w:space="0" w:color="auto"/>
              <w:bottom w:val="single" w:sz="4" w:space="0" w:color="auto"/>
            </w:tcBorders>
            <w:shd w:val="clear" w:color="auto" w:fill="C2D69B" w:themeFill="accent3" w:themeFillTint="99"/>
            <w:vAlign w:val="center"/>
          </w:tcPr>
          <w:p w14:paraId="5C87E72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153,930</w:t>
            </w:r>
          </w:p>
        </w:tc>
        <w:tc>
          <w:tcPr>
            <w:tcW w:w="1021" w:type="dxa"/>
            <w:tcBorders>
              <w:top w:val="single" w:sz="4" w:space="0" w:color="auto"/>
              <w:bottom w:val="single" w:sz="4" w:space="0" w:color="auto"/>
              <w:right w:val="single" w:sz="4" w:space="0" w:color="auto"/>
            </w:tcBorders>
            <w:shd w:val="clear" w:color="auto" w:fill="C2D69B" w:themeFill="accent3" w:themeFillTint="99"/>
            <w:vAlign w:val="center"/>
          </w:tcPr>
          <w:p w14:paraId="64BAF192"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77.81%</w:t>
            </w:r>
          </w:p>
        </w:tc>
        <w:tc>
          <w:tcPr>
            <w:tcW w:w="1389" w:type="dxa"/>
            <w:tcBorders>
              <w:top w:val="single" w:sz="4" w:space="0" w:color="auto"/>
              <w:left w:val="single" w:sz="4" w:space="0" w:color="auto"/>
              <w:bottom w:val="single" w:sz="4" w:space="0" w:color="auto"/>
            </w:tcBorders>
            <w:shd w:val="clear" w:color="auto" w:fill="C2D69B" w:themeFill="accent3" w:themeFillTint="99"/>
            <w:vAlign w:val="center"/>
          </w:tcPr>
          <w:p w14:paraId="72D24F4B"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43,897</w:t>
            </w:r>
          </w:p>
        </w:tc>
        <w:tc>
          <w:tcPr>
            <w:tcW w:w="1049" w:type="dxa"/>
            <w:tcBorders>
              <w:top w:val="single" w:sz="4" w:space="0" w:color="auto"/>
              <w:bottom w:val="single" w:sz="4" w:space="0" w:color="auto"/>
              <w:right w:val="single" w:sz="4" w:space="0" w:color="auto"/>
            </w:tcBorders>
            <w:shd w:val="clear" w:color="auto" w:fill="C2D69B" w:themeFill="accent3" w:themeFillTint="99"/>
            <w:vAlign w:val="center"/>
          </w:tcPr>
          <w:p w14:paraId="0938E79C"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22.19%</w:t>
            </w:r>
          </w:p>
        </w:tc>
        <w:tc>
          <w:tcPr>
            <w:tcW w:w="1361" w:type="dxa"/>
            <w:tcBorders>
              <w:top w:val="single" w:sz="4" w:space="0" w:color="auto"/>
              <w:left w:val="single" w:sz="4" w:space="0" w:color="auto"/>
              <w:bottom w:val="single" w:sz="4" w:space="0" w:color="auto"/>
            </w:tcBorders>
            <w:shd w:val="clear" w:color="auto" w:fill="C2D69B" w:themeFill="accent3" w:themeFillTint="99"/>
            <w:vAlign w:val="center"/>
          </w:tcPr>
          <w:p w14:paraId="671A0CC8"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29,106</w:t>
            </w:r>
          </w:p>
        </w:tc>
        <w:tc>
          <w:tcPr>
            <w:tcW w:w="1077" w:type="dxa"/>
            <w:tcBorders>
              <w:top w:val="single" w:sz="4" w:space="0" w:color="auto"/>
              <w:bottom w:val="single" w:sz="4" w:space="0" w:color="auto"/>
              <w:right w:val="single" w:sz="4" w:space="0" w:color="auto"/>
            </w:tcBorders>
            <w:shd w:val="clear" w:color="auto" w:fill="C2D69B" w:themeFill="accent3" w:themeFillTint="99"/>
            <w:vAlign w:val="center"/>
          </w:tcPr>
          <w:p w14:paraId="6D694EF0"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14.71%</w:t>
            </w:r>
          </w:p>
        </w:tc>
        <w:tc>
          <w:tcPr>
            <w:tcW w:w="1474" w:type="dxa"/>
            <w:tcBorders>
              <w:top w:val="single" w:sz="4" w:space="0" w:color="auto"/>
              <w:left w:val="single" w:sz="4" w:space="0" w:color="auto"/>
              <w:bottom w:val="single" w:sz="4" w:space="0" w:color="auto"/>
            </w:tcBorders>
            <w:shd w:val="clear" w:color="auto" w:fill="C2D69B" w:themeFill="accent3" w:themeFillTint="99"/>
            <w:vAlign w:val="center"/>
          </w:tcPr>
          <w:p w14:paraId="7C0637CF"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14,791</w:t>
            </w:r>
          </w:p>
        </w:tc>
        <w:tc>
          <w:tcPr>
            <w:tcW w:w="964" w:type="dxa"/>
            <w:tcBorders>
              <w:top w:val="single" w:sz="4" w:space="0" w:color="auto"/>
              <w:bottom w:val="single" w:sz="4" w:space="0" w:color="auto"/>
              <w:right w:val="single" w:sz="4" w:space="0" w:color="auto"/>
            </w:tcBorders>
            <w:shd w:val="clear" w:color="auto" w:fill="C2D69B" w:themeFill="accent3" w:themeFillTint="99"/>
            <w:vAlign w:val="center"/>
          </w:tcPr>
          <w:p w14:paraId="1597EC53"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7.48%</w:t>
            </w:r>
          </w:p>
        </w:tc>
        <w:tc>
          <w:tcPr>
            <w:tcW w:w="1219" w:type="dxa"/>
            <w:tcBorders>
              <w:top w:val="single" w:sz="4" w:space="0" w:color="auto"/>
              <w:left w:val="single" w:sz="4" w:space="0" w:color="auto"/>
              <w:bottom w:val="single" w:sz="4" w:space="0" w:color="auto"/>
            </w:tcBorders>
            <w:shd w:val="clear" w:color="auto" w:fill="C2D69B" w:themeFill="accent3" w:themeFillTint="99"/>
            <w:vAlign w:val="center"/>
          </w:tcPr>
          <w:p w14:paraId="0051E3D4"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197,827</w:t>
            </w:r>
          </w:p>
        </w:tc>
        <w:tc>
          <w:tcPr>
            <w:tcW w:w="1219" w:type="dxa"/>
            <w:tcBorders>
              <w:top w:val="single" w:sz="4" w:space="0" w:color="auto"/>
              <w:bottom w:val="single" w:sz="4" w:space="0" w:color="auto"/>
              <w:right w:val="single" w:sz="4" w:space="0" w:color="auto"/>
            </w:tcBorders>
            <w:shd w:val="clear" w:color="auto" w:fill="C2D69B" w:themeFill="accent3" w:themeFillTint="99"/>
            <w:vAlign w:val="center"/>
          </w:tcPr>
          <w:p w14:paraId="609DEDEB" w14:textId="77777777" w:rsidR="00E91515" w:rsidRPr="00E91515" w:rsidRDefault="00E91515"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E91515">
              <w:rPr>
                <w:b/>
                <w:bCs/>
                <w:color w:val="auto"/>
                <w:sz w:val="20"/>
                <w:szCs w:val="20"/>
              </w:rPr>
              <w:t> </w:t>
            </w:r>
          </w:p>
        </w:tc>
      </w:tr>
    </w:tbl>
    <w:p w14:paraId="64E0FB7C" w14:textId="77777777" w:rsidR="00981A1C" w:rsidRDefault="00981A1C">
      <w:pPr>
        <w:spacing w:after="200" w:line="276" w:lineRule="auto"/>
      </w:pPr>
      <w:r>
        <w:br w:type="page"/>
      </w:r>
    </w:p>
    <w:p w14:paraId="261CABF9" w14:textId="77777777" w:rsidR="004A1081" w:rsidRDefault="004A1081" w:rsidP="0095311F">
      <w:pPr>
        <w:pStyle w:val="Figureheading"/>
      </w:pPr>
      <w:r>
        <w:lastRenderedPageBreak/>
        <w:t>2.3</w:t>
      </w:r>
      <w:r>
        <w:tab/>
        <w:t>Number of reports of neglect, by year, reporter group, and outcome</w:t>
      </w:r>
    </w:p>
    <w:tbl>
      <w:tblPr>
        <w:tblStyle w:val="LightShading-Accent5"/>
        <w:tblW w:w="14425" w:type="dxa"/>
        <w:tblLayout w:type="fixed"/>
        <w:tblLook w:val="04A0" w:firstRow="1" w:lastRow="0" w:firstColumn="1" w:lastColumn="0" w:noHBand="0" w:noVBand="1"/>
        <w:tblCaption w:val="Number of reports of neglect, by year, reporter group, and outcome"/>
      </w:tblPr>
      <w:tblGrid>
        <w:gridCol w:w="2235"/>
        <w:gridCol w:w="1275"/>
        <w:gridCol w:w="1163"/>
        <w:gridCol w:w="1389"/>
        <w:gridCol w:w="1049"/>
        <w:gridCol w:w="1502"/>
        <w:gridCol w:w="936"/>
        <w:gridCol w:w="1474"/>
        <w:gridCol w:w="964"/>
        <w:gridCol w:w="1219"/>
        <w:gridCol w:w="1219"/>
      </w:tblGrid>
      <w:tr w:rsidR="004A1081" w:rsidRPr="00790280" w14:paraId="3B052B92" w14:textId="77777777" w:rsidTr="001143BB">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34FE46D3" w14:textId="77777777" w:rsidR="004A1081" w:rsidRPr="00790280" w:rsidRDefault="004A1081" w:rsidP="00CE2FDF">
            <w:pPr>
              <w:keepNext/>
              <w:tabs>
                <w:tab w:val="left" w:pos="1134"/>
              </w:tabs>
              <w:spacing w:before="0" w:line="276" w:lineRule="auto"/>
              <w:jc w:val="center"/>
              <w:rPr>
                <w:rFonts w:cs="Arial"/>
                <w:color w:val="auto"/>
                <w:sz w:val="20"/>
                <w:szCs w:val="20"/>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9EFDE8D" w14:textId="77777777" w:rsidR="004A1081" w:rsidRPr="00790280" w:rsidRDefault="004A1081"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bCs w:val="0"/>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2398F28" w14:textId="77777777" w:rsidR="004A1081" w:rsidRPr="00790280" w:rsidRDefault="004A1081"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bCs w:val="0"/>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535B365" w14:textId="77777777" w:rsidR="004A1081" w:rsidRPr="00790280" w:rsidRDefault="004A1081"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bCs w:val="0"/>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82FF691" w14:textId="77777777" w:rsidR="004A1081" w:rsidRPr="00790280" w:rsidRDefault="004A1081"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bCs w:val="0"/>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3130073" w14:textId="77777777" w:rsidR="004A1081" w:rsidRPr="00790280" w:rsidRDefault="004A1081"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bCs w:val="0"/>
                <w:color w:val="auto"/>
                <w:sz w:val="20"/>
                <w:szCs w:val="20"/>
                <w:lang w:eastAsia="en-AU"/>
              </w:rPr>
              <w:t>Totals</w:t>
            </w:r>
          </w:p>
        </w:tc>
      </w:tr>
      <w:tr w:rsidR="00C873C7" w:rsidRPr="00790280" w14:paraId="6616B923"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right w:val="single" w:sz="4" w:space="0" w:color="auto"/>
            </w:tcBorders>
            <w:noWrap/>
            <w:hideMark/>
          </w:tcPr>
          <w:p w14:paraId="50655A2D" w14:textId="77777777" w:rsidR="00790280" w:rsidRPr="00790280" w:rsidRDefault="00790280" w:rsidP="00CE2FDF">
            <w:pPr>
              <w:keepNext/>
              <w:tabs>
                <w:tab w:val="left" w:pos="1134"/>
              </w:tabs>
              <w:spacing w:before="0" w:line="276" w:lineRule="auto"/>
              <w:rPr>
                <w:rFonts w:cs="Arial"/>
                <w:bCs w:val="0"/>
                <w:color w:val="auto"/>
                <w:sz w:val="20"/>
                <w:szCs w:val="20"/>
              </w:rPr>
            </w:pPr>
            <w:r w:rsidRPr="00790280">
              <w:rPr>
                <w:rFonts w:cs="Arial"/>
                <w:color w:val="auto"/>
                <w:sz w:val="20"/>
                <w:szCs w:val="20"/>
              </w:rPr>
              <w:t>2003</w:t>
            </w:r>
          </w:p>
        </w:tc>
        <w:tc>
          <w:tcPr>
            <w:tcW w:w="1275" w:type="dxa"/>
            <w:tcBorders>
              <w:top w:val="single" w:sz="4" w:space="0" w:color="auto"/>
              <w:left w:val="single" w:sz="4" w:space="0" w:color="auto"/>
            </w:tcBorders>
            <w:vAlign w:val="center"/>
          </w:tcPr>
          <w:p w14:paraId="5B415DE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163" w:type="dxa"/>
            <w:tcBorders>
              <w:top w:val="single" w:sz="4" w:space="0" w:color="auto"/>
              <w:right w:val="single" w:sz="4" w:space="0" w:color="auto"/>
            </w:tcBorders>
            <w:vAlign w:val="center"/>
          </w:tcPr>
          <w:p w14:paraId="75BBE318"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389" w:type="dxa"/>
            <w:tcBorders>
              <w:top w:val="single" w:sz="4" w:space="0" w:color="auto"/>
              <w:left w:val="single" w:sz="4" w:space="0" w:color="auto"/>
            </w:tcBorders>
            <w:vAlign w:val="center"/>
          </w:tcPr>
          <w:p w14:paraId="440405C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049" w:type="dxa"/>
            <w:tcBorders>
              <w:top w:val="single" w:sz="4" w:space="0" w:color="auto"/>
              <w:right w:val="single" w:sz="4" w:space="0" w:color="auto"/>
            </w:tcBorders>
            <w:vAlign w:val="center"/>
          </w:tcPr>
          <w:p w14:paraId="695F93D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502" w:type="dxa"/>
            <w:tcBorders>
              <w:top w:val="single" w:sz="4" w:space="0" w:color="auto"/>
              <w:left w:val="single" w:sz="4" w:space="0" w:color="auto"/>
            </w:tcBorders>
            <w:vAlign w:val="center"/>
          </w:tcPr>
          <w:p w14:paraId="12B871EF"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936" w:type="dxa"/>
            <w:tcBorders>
              <w:top w:val="single" w:sz="4" w:space="0" w:color="auto"/>
              <w:right w:val="single" w:sz="4" w:space="0" w:color="auto"/>
            </w:tcBorders>
            <w:vAlign w:val="center"/>
          </w:tcPr>
          <w:p w14:paraId="48F79FD6"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474" w:type="dxa"/>
            <w:tcBorders>
              <w:top w:val="single" w:sz="4" w:space="0" w:color="auto"/>
              <w:left w:val="single" w:sz="4" w:space="0" w:color="auto"/>
            </w:tcBorders>
            <w:vAlign w:val="center"/>
          </w:tcPr>
          <w:p w14:paraId="5EBBAF8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964" w:type="dxa"/>
            <w:tcBorders>
              <w:top w:val="single" w:sz="4" w:space="0" w:color="auto"/>
              <w:right w:val="single" w:sz="4" w:space="0" w:color="auto"/>
            </w:tcBorders>
            <w:vAlign w:val="center"/>
          </w:tcPr>
          <w:p w14:paraId="614ABA1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219" w:type="dxa"/>
            <w:tcBorders>
              <w:top w:val="single" w:sz="4" w:space="0" w:color="auto"/>
              <w:left w:val="single" w:sz="4" w:space="0" w:color="auto"/>
            </w:tcBorders>
            <w:vAlign w:val="center"/>
          </w:tcPr>
          <w:p w14:paraId="0AD3017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right w:val="single" w:sz="4" w:space="0" w:color="auto"/>
            </w:tcBorders>
            <w:vAlign w:val="center"/>
          </w:tcPr>
          <w:p w14:paraId="5BEB1F2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r>
      <w:tr w:rsidR="004A1081" w:rsidRPr="00790280" w14:paraId="3B7024FB"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0C966BC"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75" w:type="dxa"/>
            <w:tcBorders>
              <w:left w:val="single" w:sz="4" w:space="0" w:color="auto"/>
              <w:right w:val="nil"/>
            </w:tcBorders>
            <w:vAlign w:val="center"/>
          </w:tcPr>
          <w:p w14:paraId="1976E6CF"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116</w:t>
            </w:r>
          </w:p>
        </w:tc>
        <w:tc>
          <w:tcPr>
            <w:tcW w:w="1163" w:type="dxa"/>
            <w:tcBorders>
              <w:left w:val="nil"/>
              <w:right w:val="single" w:sz="4" w:space="0" w:color="auto"/>
            </w:tcBorders>
            <w:vAlign w:val="center"/>
          </w:tcPr>
          <w:p w14:paraId="018142A2"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0.96%</w:t>
            </w:r>
          </w:p>
        </w:tc>
        <w:tc>
          <w:tcPr>
            <w:tcW w:w="1389" w:type="dxa"/>
            <w:tcBorders>
              <w:left w:val="single" w:sz="4" w:space="0" w:color="auto"/>
              <w:right w:val="nil"/>
            </w:tcBorders>
            <w:vAlign w:val="center"/>
          </w:tcPr>
          <w:p w14:paraId="56E5F381"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86</w:t>
            </w:r>
          </w:p>
        </w:tc>
        <w:tc>
          <w:tcPr>
            <w:tcW w:w="1049" w:type="dxa"/>
            <w:tcBorders>
              <w:left w:val="nil"/>
              <w:right w:val="single" w:sz="4" w:space="0" w:color="auto"/>
            </w:tcBorders>
            <w:vAlign w:val="center"/>
          </w:tcPr>
          <w:p w14:paraId="4EBB6D9C"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0.71%</w:t>
            </w:r>
          </w:p>
        </w:tc>
        <w:tc>
          <w:tcPr>
            <w:tcW w:w="1502" w:type="dxa"/>
            <w:tcBorders>
              <w:left w:val="single" w:sz="4" w:space="0" w:color="auto"/>
              <w:right w:val="nil"/>
            </w:tcBorders>
            <w:vAlign w:val="center"/>
          </w:tcPr>
          <w:p w14:paraId="0768E57F"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53</w:t>
            </w:r>
          </w:p>
        </w:tc>
        <w:tc>
          <w:tcPr>
            <w:tcW w:w="936" w:type="dxa"/>
            <w:tcBorders>
              <w:left w:val="nil"/>
              <w:right w:val="single" w:sz="4" w:space="0" w:color="auto"/>
            </w:tcBorders>
            <w:vAlign w:val="center"/>
          </w:tcPr>
          <w:p w14:paraId="5E38FB39"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0.44%</w:t>
            </w:r>
          </w:p>
        </w:tc>
        <w:tc>
          <w:tcPr>
            <w:tcW w:w="1474" w:type="dxa"/>
            <w:tcBorders>
              <w:left w:val="single" w:sz="4" w:space="0" w:color="auto"/>
              <w:right w:val="nil"/>
            </w:tcBorders>
            <w:vAlign w:val="center"/>
          </w:tcPr>
          <w:p w14:paraId="4B0A9B7D"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33</w:t>
            </w:r>
          </w:p>
        </w:tc>
        <w:tc>
          <w:tcPr>
            <w:tcW w:w="964" w:type="dxa"/>
            <w:tcBorders>
              <w:left w:val="nil"/>
              <w:right w:val="single" w:sz="4" w:space="0" w:color="auto"/>
            </w:tcBorders>
            <w:vAlign w:val="center"/>
          </w:tcPr>
          <w:p w14:paraId="70FBE5D2"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0.27%</w:t>
            </w:r>
          </w:p>
        </w:tc>
        <w:tc>
          <w:tcPr>
            <w:tcW w:w="1219" w:type="dxa"/>
            <w:tcBorders>
              <w:left w:val="single" w:sz="4" w:space="0" w:color="auto"/>
              <w:right w:val="nil"/>
            </w:tcBorders>
            <w:vAlign w:val="center"/>
          </w:tcPr>
          <w:p w14:paraId="0AAC9A36"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202</w:t>
            </w:r>
          </w:p>
        </w:tc>
        <w:tc>
          <w:tcPr>
            <w:tcW w:w="1219" w:type="dxa"/>
            <w:tcBorders>
              <w:left w:val="nil"/>
              <w:right w:val="single" w:sz="4" w:space="0" w:color="auto"/>
            </w:tcBorders>
            <w:vAlign w:val="center"/>
          </w:tcPr>
          <w:p w14:paraId="1AA4B2E8"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1.68%</w:t>
            </w:r>
          </w:p>
        </w:tc>
      </w:tr>
      <w:tr w:rsidR="004A1081" w:rsidRPr="00790280" w14:paraId="6C540DEF"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8477B96"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75" w:type="dxa"/>
            <w:tcBorders>
              <w:left w:val="single" w:sz="4" w:space="0" w:color="auto"/>
            </w:tcBorders>
            <w:vAlign w:val="center"/>
          </w:tcPr>
          <w:p w14:paraId="495D117E"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253</w:t>
            </w:r>
          </w:p>
        </w:tc>
        <w:tc>
          <w:tcPr>
            <w:tcW w:w="1163" w:type="dxa"/>
            <w:tcBorders>
              <w:right w:val="single" w:sz="4" w:space="0" w:color="auto"/>
            </w:tcBorders>
            <w:vAlign w:val="center"/>
          </w:tcPr>
          <w:p w14:paraId="1274ED1C"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2.10%</w:t>
            </w:r>
          </w:p>
        </w:tc>
        <w:tc>
          <w:tcPr>
            <w:tcW w:w="1389" w:type="dxa"/>
            <w:tcBorders>
              <w:left w:val="single" w:sz="4" w:space="0" w:color="auto"/>
            </w:tcBorders>
            <w:vAlign w:val="center"/>
          </w:tcPr>
          <w:p w14:paraId="2AB918F3"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208</w:t>
            </w:r>
          </w:p>
        </w:tc>
        <w:tc>
          <w:tcPr>
            <w:tcW w:w="1049" w:type="dxa"/>
            <w:tcBorders>
              <w:right w:val="single" w:sz="4" w:space="0" w:color="auto"/>
            </w:tcBorders>
            <w:vAlign w:val="center"/>
          </w:tcPr>
          <w:p w14:paraId="19FEEA96"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1.73%</w:t>
            </w:r>
          </w:p>
        </w:tc>
        <w:tc>
          <w:tcPr>
            <w:tcW w:w="1502" w:type="dxa"/>
            <w:tcBorders>
              <w:left w:val="single" w:sz="4" w:space="0" w:color="auto"/>
            </w:tcBorders>
            <w:vAlign w:val="center"/>
          </w:tcPr>
          <w:p w14:paraId="637A3AD5"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120</w:t>
            </w:r>
          </w:p>
        </w:tc>
        <w:tc>
          <w:tcPr>
            <w:tcW w:w="936" w:type="dxa"/>
            <w:tcBorders>
              <w:right w:val="single" w:sz="4" w:space="0" w:color="auto"/>
            </w:tcBorders>
            <w:vAlign w:val="center"/>
          </w:tcPr>
          <w:p w14:paraId="632FDC03"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1.00%</w:t>
            </w:r>
          </w:p>
        </w:tc>
        <w:tc>
          <w:tcPr>
            <w:tcW w:w="1474" w:type="dxa"/>
            <w:tcBorders>
              <w:left w:val="single" w:sz="4" w:space="0" w:color="auto"/>
            </w:tcBorders>
            <w:vAlign w:val="center"/>
          </w:tcPr>
          <w:p w14:paraId="3E1848BD"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88</w:t>
            </w:r>
          </w:p>
        </w:tc>
        <w:tc>
          <w:tcPr>
            <w:tcW w:w="964" w:type="dxa"/>
            <w:tcBorders>
              <w:right w:val="single" w:sz="4" w:space="0" w:color="auto"/>
            </w:tcBorders>
            <w:vAlign w:val="center"/>
          </w:tcPr>
          <w:p w14:paraId="44AB58D8"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0.73%</w:t>
            </w:r>
          </w:p>
        </w:tc>
        <w:tc>
          <w:tcPr>
            <w:tcW w:w="1219" w:type="dxa"/>
            <w:tcBorders>
              <w:left w:val="single" w:sz="4" w:space="0" w:color="auto"/>
            </w:tcBorders>
            <w:vAlign w:val="center"/>
          </w:tcPr>
          <w:p w14:paraId="7C7C3CAB"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461</w:t>
            </w:r>
          </w:p>
        </w:tc>
        <w:tc>
          <w:tcPr>
            <w:tcW w:w="1219" w:type="dxa"/>
            <w:tcBorders>
              <w:right w:val="single" w:sz="4" w:space="0" w:color="auto"/>
            </w:tcBorders>
            <w:vAlign w:val="center"/>
          </w:tcPr>
          <w:p w14:paraId="45306308"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3.83%</w:t>
            </w:r>
          </w:p>
        </w:tc>
      </w:tr>
      <w:tr w:rsidR="004A1081" w:rsidRPr="00790280" w14:paraId="782CC5FA"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FA77678"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75" w:type="dxa"/>
            <w:tcBorders>
              <w:left w:val="single" w:sz="4" w:space="0" w:color="auto"/>
              <w:right w:val="nil"/>
            </w:tcBorders>
            <w:vAlign w:val="center"/>
          </w:tcPr>
          <w:p w14:paraId="0678C21F"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1,058</w:t>
            </w:r>
          </w:p>
        </w:tc>
        <w:tc>
          <w:tcPr>
            <w:tcW w:w="1163" w:type="dxa"/>
            <w:tcBorders>
              <w:left w:val="nil"/>
              <w:right w:val="single" w:sz="4" w:space="0" w:color="auto"/>
            </w:tcBorders>
            <w:vAlign w:val="center"/>
          </w:tcPr>
          <w:p w14:paraId="61BBE1B9"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8.80%</w:t>
            </w:r>
          </w:p>
        </w:tc>
        <w:tc>
          <w:tcPr>
            <w:tcW w:w="1389" w:type="dxa"/>
            <w:tcBorders>
              <w:left w:val="single" w:sz="4" w:space="0" w:color="auto"/>
              <w:right w:val="nil"/>
            </w:tcBorders>
            <w:vAlign w:val="center"/>
          </w:tcPr>
          <w:p w14:paraId="7FCF5477"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675</w:t>
            </w:r>
          </w:p>
        </w:tc>
        <w:tc>
          <w:tcPr>
            <w:tcW w:w="1049" w:type="dxa"/>
            <w:tcBorders>
              <w:left w:val="nil"/>
              <w:right w:val="single" w:sz="4" w:space="0" w:color="auto"/>
            </w:tcBorders>
            <w:vAlign w:val="center"/>
          </w:tcPr>
          <w:p w14:paraId="4FE84666"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5.61%</w:t>
            </w:r>
          </w:p>
        </w:tc>
        <w:tc>
          <w:tcPr>
            <w:tcW w:w="1502" w:type="dxa"/>
            <w:tcBorders>
              <w:left w:val="single" w:sz="4" w:space="0" w:color="auto"/>
              <w:right w:val="nil"/>
            </w:tcBorders>
            <w:vAlign w:val="center"/>
          </w:tcPr>
          <w:p w14:paraId="1CE1A9EC"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455</w:t>
            </w:r>
          </w:p>
        </w:tc>
        <w:tc>
          <w:tcPr>
            <w:tcW w:w="936" w:type="dxa"/>
            <w:tcBorders>
              <w:left w:val="nil"/>
              <w:right w:val="single" w:sz="4" w:space="0" w:color="auto"/>
            </w:tcBorders>
            <w:vAlign w:val="center"/>
          </w:tcPr>
          <w:p w14:paraId="184087AC"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3.78%</w:t>
            </w:r>
          </w:p>
        </w:tc>
        <w:tc>
          <w:tcPr>
            <w:tcW w:w="1474" w:type="dxa"/>
            <w:tcBorders>
              <w:left w:val="single" w:sz="4" w:space="0" w:color="auto"/>
              <w:right w:val="nil"/>
            </w:tcBorders>
            <w:vAlign w:val="center"/>
          </w:tcPr>
          <w:p w14:paraId="7EA18927"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220</w:t>
            </w:r>
          </w:p>
        </w:tc>
        <w:tc>
          <w:tcPr>
            <w:tcW w:w="964" w:type="dxa"/>
            <w:tcBorders>
              <w:left w:val="nil"/>
              <w:right w:val="single" w:sz="4" w:space="0" w:color="auto"/>
            </w:tcBorders>
            <w:vAlign w:val="center"/>
          </w:tcPr>
          <w:p w14:paraId="16179BCD"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1.83%</w:t>
            </w:r>
          </w:p>
        </w:tc>
        <w:tc>
          <w:tcPr>
            <w:tcW w:w="1219" w:type="dxa"/>
            <w:tcBorders>
              <w:left w:val="single" w:sz="4" w:space="0" w:color="auto"/>
              <w:right w:val="nil"/>
            </w:tcBorders>
            <w:vAlign w:val="center"/>
          </w:tcPr>
          <w:p w14:paraId="22C0BA0D"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1,733</w:t>
            </w:r>
          </w:p>
        </w:tc>
        <w:tc>
          <w:tcPr>
            <w:tcW w:w="1219" w:type="dxa"/>
            <w:tcBorders>
              <w:left w:val="nil"/>
              <w:right w:val="single" w:sz="4" w:space="0" w:color="auto"/>
            </w:tcBorders>
            <w:vAlign w:val="center"/>
          </w:tcPr>
          <w:p w14:paraId="56AE4F80"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14.41%</w:t>
            </w:r>
          </w:p>
        </w:tc>
      </w:tr>
      <w:tr w:rsidR="004A1081" w:rsidRPr="00790280" w14:paraId="710519D1"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8B3F7E9"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tcBorders>
            <w:vAlign w:val="center"/>
          </w:tcPr>
          <w:p w14:paraId="5B3A9BA8"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657</w:t>
            </w:r>
          </w:p>
        </w:tc>
        <w:tc>
          <w:tcPr>
            <w:tcW w:w="1163" w:type="dxa"/>
            <w:tcBorders>
              <w:right w:val="single" w:sz="4" w:space="0" w:color="auto"/>
            </w:tcBorders>
            <w:vAlign w:val="center"/>
          </w:tcPr>
          <w:p w14:paraId="72725917"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5.46%</w:t>
            </w:r>
          </w:p>
        </w:tc>
        <w:tc>
          <w:tcPr>
            <w:tcW w:w="1389" w:type="dxa"/>
            <w:tcBorders>
              <w:left w:val="single" w:sz="4" w:space="0" w:color="auto"/>
            </w:tcBorders>
            <w:vAlign w:val="center"/>
          </w:tcPr>
          <w:p w14:paraId="27D0B820"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200</w:t>
            </w:r>
          </w:p>
        </w:tc>
        <w:tc>
          <w:tcPr>
            <w:tcW w:w="1049" w:type="dxa"/>
            <w:tcBorders>
              <w:right w:val="single" w:sz="4" w:space="0" w:color="auto"/>
            </w:tcBorders>
            <w:vAlign w:val="center"/>
          </w:tcPr>
          <w:p w14:paraId="0D346557"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1.66%</w:t>
            </w:r>
          </w:p>
        </w:tc>
        <w:tc>
          <w:tcPr>
            <w:tcW w:w="1502" w:type="dxa"/>
            <w:tcBorders>
              <w:left w:val="single" w:sz="4" w:space="0" w:color="auto"/>
            </w:tcBorders>
            <w:vAlign w:val="center"/>
          </w:tcPr>
          <w:p w14:paraId="2E20798C"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113</w:t>
            </w:r>
          </w:p>
        </w:tc>
        <w:tc>
          <w:tcPr>
            <w:tcW w:w="936" w:type="dxa"/>
            <w:tcBorders>
              <w:right w:val="single" w:sz="4" w:space="0" w:color="auto"/>
            </w:tcBorders>
            <w:vAlign w:val="center"/>
          </w:tcPr>
          <w:p w14:paraId="2EE3B984"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0.94%</w:t>
            </w:r>
          </w:p>
        </w:tc>
        <w:tc>
          <w:tcPr>
            <w:tcW w:w="1474" w:type="dxa"/>
            <w:tcBorders>
              <w:left w:val="single" w:sz="4" w:space="0" w:color="auto"/>
            </w:tcBorders>
            <w:vAlign w:val="center"/>
          </w:tcPr>
          <w:p w14:paraId="7150C5A2"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87</w:t>
            </w:r>
          </w:p>
        </w:tc>
        <w:tc>
          <w:tcPr>
            <w:tcW w:w="964" w:type="dxa"/>
            <w:tcBorders>
              <w:right w:val="single" w:sz="4" w:space="0" w:color="auto"/>
            </w:tcBorders>
            <w:vAlign w:val="center"/>
          </w:tcPr>
          <w:p w14:paraId="42BAB909"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0.72%</w:t>
            </w:r>
          </w:p>
        </w:tc>
        <w:tc>
          <w:tcPr>
            <w:tcW w:w="1219" w:type="dxa"/>
            <w:tcBorders>
              <w:left w:val="single" w:sz="4" w:space="0" w:color="auto"/>
            </w:tcBorders>
            <w:vAlign w:val="center"/>
          </w:tcPr>
          <w:p w14:paraId="10595860"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857</w:t>
            </w:r>
          </w:p>
        </w:tc>
        <w:tc>
          <w:tcPr>
            <w:tcW w:w="1219" w:type="dxa"/>
            <w:tcBorders>
              <w:right w:val="single" w:sz="4" w:space="0" w:color="auto"/>
            </w:tcBorders>
            <w:vAlign w:val="center"/>
          </w:tcPr>
          <w:p w14:paraId="4EA02700"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7.12%</w:t>
            </w:r>
          </w:p>
        </w:tc>
      </w:tr>
      <w:tr w:rsidR="004A1081" w:rsidRPr="00790280" w14:paraId="6B77DE2E"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BBC5990" w14:textId="77777777" w:rsidR="004A1081" w:rsidRPr="00E91515" w:rsidRDefault="004A1081"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right w:val="nil"/>
            </w:tcBorders>
            <w:vAlign w:val="center"/>
          </w:tcPr>
          <w:p w14:paraId="33C4E638"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17</w:t>
            </w:r>
          </w:p>
        </w:tc>
        <w:tc>
          <w:tcPr>
            <w:tcW w:w="1163" w:type="dxa"/>
            <w:tcBorders>
              <w:left w:val="nil"/>
              <w:right w:val="single" w:sz="4" w:space="0" w:color="auto"/>
            </w:tcBorders>
            <w:vAlign w:val="center"/>
          </w:tcPr>
          <w:p w14:paraId="23C0C464"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0.14%</w:t>
            </w:r>
          </w:p>
        </w:tc>
        <w:tc>
          <w:tcPr>
            <w:tcW w:w="1389" w:type="dxa"/>
            <w:tcBorders>
              <w:left w:val="single" w:sz="4" w:space="0" w:color="auto"/>
              <w:right w:val="nil"/>
            </w:tcBorders>
            <w:vAlign w:val="center"/>
          </w:tcPr>
          <w:p w14:paraId="353B0632"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w:t>
            </w:r>
          </w:p>
        </w:tc>
        <w:tc>
          <w:tcPr>
            <w:tcW w:w="1049" w:type="dxa"/>
            <w:tcBorders>
              <w:left w:val="nil"/>
              <w:right w:val="single" w:sz="4" w:space="0" w:color="auto"/>
            </w:tcBorders>
            <w:vAlign w:val="center"/>
          </w:tcPr>
          <w:p w14:paraId="34698C26"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0.05%</w:t>
            </w:r>
          </w:p>
        </w:tc>
        <w:tc>
          <w:tcPr>
            <w:tcW w:w="1502" w:type="dxa"/>
            <w:tcBorders>
              <w:left w:val="single" w:sz="4" w:space="0" w:color="auto"/>
              <w:right w:val="nil"/>
            </w:tcBorders>
            <w:vAlign w:val="center"/>
          </w:tcPr>
          <w:p w14:paraId="50325B6E"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w:t>
            </w:r>
          </w:p>
        </w:tc>
        <w:tc>
          <w:tcPr>
            <w:tcW w:w="936" w:type="dxa"/>
            <w:tcBorders>
              <w:left w:val="nil"/>
              <w:right w:val="single" w:sz="4" w:space="0" w:color="auto"/>
            </w:tcBorders>
            <w:vAlign w:val="center"/>
          </w:tcPr>
          <w:p w14:paraId="36EA6BB2"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0.02%</w:t>
            </w:r>
          </w:p>
        </w:tc>
        <w:tc>
          <w:tcPr>
            <w:tcW w:w="1474" w:type="dxa"/>
            <w:tcBorders>
              <w:left w:val="single" w:sz="4" w:space="0" w:color="auto"/>
              <w:right w:val="nil"/>
            </w:tcBorders>
            <w:vAlign w:val="center"/>
          </w:tcPr>
          <w:p w14:paraId="5A32523F"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w:t>
            </w:r>
          </w:p>
        </w:tc>
        <w:tc>
          <w:tcPr>
            <w:tcW w:w="964" w:type="dxa"/>
            <w:tcBorders>
              <w:left w:val="nil"/>
              <w:right w:val="single" w:sz="4" w:space="0" w:color="auto"/>
            </w:tcBorders>
            <w:vAlign w:val="center"/>
          </w:tcPr>
          <w:p w14:paraId="578A18C5"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0.03%</w:t>
            </w:r>
          </w:p>
        </w:tc>
        <w:tc>
          <w:tcPr>
            <w:tcW w:w="1219" w:type="dxa"/>
            <w:tcBorders>
              <w:left w:val="single" w:sz="4" w:space="0" w:color="auto"/>
              <w:right w:val="nil"/>
            </w:tcBorders>
            <w:vAlign w:val="center"/>
          </w:tcPr>
          <w:p w14:paraId="67E52E42"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23</w:t>
            </w:r>
          </w:p>
        </w:tc>
        <w:tc>
          <w:tcPr>
            <w:tcW w:w="1219" w:type="dxa"/>
            <w:tcBorders>
              <w:left w:val="nil"/>
              <w:right w:val="single" w:sz="4" w:space="0" w:color="auto"/>
            </w:tcBorders>
            <w:vAlign w:val="center"/>
          </w:tcPr>
          <w:p w14:paraId="5E2C7B02"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0.19%</w:t>
            </w:r>
          </w:p>
        </w:tc>
      </w:tr>
      <w:tr w:rsidR="004A1081" w:rsidRPr="00790280" w14:paraId="65858FFC"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0937E79"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tcBorders>
            <w:vAlign w:val="center"/>
          </w:tcPr>
          <w:p w14:paraId="6567DA39"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2,101</w:t>
            </w:r>
          </w:p>
        </w:tc>
        <w:tc>
          <w:tcPr>
            <w:tcW w:w="1163" w:type="dxa"/>
            <w:tcBorders>
              <w:right w:val="single" w:sz="4" w:space="0" w:color="auto"/>
            </w:tcBorders>
            <w:vAlign w:val="center"/>
          </w:tcPr>
          <w:p w14:paraId="5C2B96B2"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17.47%</w:t>
            </w:r>
          </w:p>
        </w:tc>
        <w:tc>
          <w:tcPr>
            <w:tcW w:w="1389" w:type="dxa"/>
            <w:tcBorders>
              <w:left w:val="single" w:sz="4" w:space="0" w:color="auto"/>
            </w:tcBorders>
            <w:vAlign w:val="center"/>
          </w:tcPr>
          <w:p w14:paraId="0F410A47"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1,175</w:t>
            </w:r>
          </w:p>
        </w:tc>
        <w:tc>
          <w:tcPr>
            <w:tcW w:w="1049" w:type="dxa"/>
            <w:tcBorders>
              <w:right w:val="single" w:sz="4" w:space="0" w:color="auto"/>
            </w:tcBorders>
            <w:vAlign w:val="center"/>
          </w:tcPr>
          <w:p w14:paraId="4D33F094"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9.77%</w:t>
            </w:r>
          </w:p>
        </w:tc>
        <w:tc>
          <w:tcPr>
            <w:tcW w:w="1502" w:type="dxa"/>
            <w:tcBorders>
              <w:left w:val="single" w:sz="4" w:space="0" w:color="auto"/>
            </w:tcBorders>
            <w:vAlign w:val="center"/>
          </w:tcPr>
          <w:p w14:paraId="5CA12CBD"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743</w:t>
            </w:r>
          </w:p>
        </w:tc>
        <w:tc>
          <w:tcPr>
            <w:tcW w:w="936" w:type="dxa"/>
            <w:tcBorders>
              <w:right w:val="single" w:sz="4" w:space="0" w:color="auto"/>
            </w:tcBorders>
            <w:vAlign w:val="center"/>
          </w:tcPr>
          <w:p w14:paraId="2E3E39BC"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6.18%</w:t>
            </w:r>
          </w:p>
        </w:tc>
        <w:tc>
          <w:tcPr>
            <w:tcW w:w="1474" w:type="dxa"/>
            <w:tcBorders>
              <w:left w:val="single" w:sz="4" w:space="0" w:color="auto"/>
            </w:tcBorders>
            <w:vAlign w:val="center"/>
          </w:tcPr>
          <w:p w14:paraId="2439AA6E"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432</w:t>
            </w:r>
          </w:p>
        </w:tc>
        <w:tc>
          <w:tcPr>
            <w:tcW w:w="964" w:type="dxa"/>
            <w:tcBorders>
              <w:right w:val="single" w:sz="4" w:space="0" w:color="auto"/>
            </w:tcBorders>
            <w:vAlign w:val="center"/>
          </w:tcPr>
          <w:p w14:paraId="534BFC3A"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3.59%</w:t>
            </w:r>
          </w:p>
        </w:tc>
        <w:tc>
          <w:tcPr>
            <w:tcW w:w="1219" w:type="dxa"/>
            <w:tcBorders>
              <w:left w:val="single" w:sz="4" w:space="0" w:color="auto"/>
            </w:tcBorders>
            <w:vAlign w:val="center"/>
          </w:tcPr>
          <w:p w14:paraId="251814BD"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3,276</w:t>
            </w:r>
          </w:p>
        </w:tc>
        <w:tc>
          <w:tcPr>
            <w:tcW w:w="1219" w:type="dxa"/>
            <w:tcBorders>
              <w:right w:val="single" w:sz="4" w:space="0" w:color="auto"/>
            </w:tcBorders>
            <w:vAlign w:val="center"/>
          </w:tcPr>
          <w:p w14:paraId="27E05E12" w14:textId="77777777" w:rsidR="004A1081" w:rsidRPr="00790280" w:rsidRDefault="004A10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27.23%</w:t>
            </w:r>
          </w:p>
        </w:tc>
      </w:tr>
      <w:tr w:rsidR="004A1081" w:rsidRPr="00790280" w14:paraId="55C07922"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FF1A045" w14:textId="77777777" w:rsidR="004A1081" w:rsidRPr="004A1081" w:rsidRDefault="004A1081"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right w:val="nil"/>
            </w:tcBorders>
            <w:vAlign w:val="center"/>
          </w:tcPr>
          <w:p w14:paraId="039E5C39"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6,452</w:t>
            </w:r>
          </w:p>
        </w:tc>
        <w:tc>
          <w:tcPr>
            <w:tcW w:w="1163" w:type="dxa"/>
            <w:tcBorders>
              <w:left w:val="nil"/>
              <w:right w:val="single" w:sz="4" w:space="0" w:color="auto"/>
            </w:tcBorders>
            <w:vAlign w:val="center"/>
          </w:tcPr>
          <w:p w14:paraId="6D44B26C"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53.64%</w:t>
            </w:r>
          </w:p>
        </w:tc>
        <w:tc>
          <w:tcPr>
            <w:tcW w:w="1389" w:type="dxa"/>
            <w:tcBorders>
              <w:left w:val="single" w:sz="4" w:space="0" w:color="auto"/>
              <w:right w:val="nil"/>
            </w:tcBorders>
            <w:vAlign w:val="center"/>
          </w:tcPr>
          <w:p w14:paraId="7F7DD084"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2,301</w:t>
            </w:r>
          </w:p>
        </w:tc>
        <w:tc>
          <w:tcPr>
            <w:tcW w:w="1049" w:type="dxa"/>
            <w:tcBorders>
              <w:left w:val="nil"/>
              <w:right w:val="single" w:sz="4" w:space="0" w:color="auto"/>
            </w:tcBorders>
            <w:vAlign w:val="center"/>
          </w:tcPr>
          <w:p w14:paraId="18B55EC0"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19.13%</w:t>
            </w:r>
          </w:p>
        </w:tc>
        <w:tc>
          <w:tcPr>
            <w:tcW w:w="1502" w:type="dxa"/>
            <w:tcBorders>
              <w:left w:val="single" w:sz="4" w:space="0" w:color="auto"/>
              <w:right w:val="nil"/>
            </w:tcBorders>
            <w:vAlign w:val="center"/>
          </w:tcPr>
          <w:p w14:paraId="0100BCE7"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1,270</w:t>
            </w:r>
          </w:p>
        </w:tc>
        <w:tc>
          <w:tcPr>
            <w:tcW w:w="936" w:type="dxa"/>
            <w:tcBorders>
              <w:left w:val="nil"/>
              <w:right w:val="single" w:sz="4" w:space="0" w:color="auto"/>
            </w:tcBorders>
            <w:vAlign w:val="center"/>
          </w:tcPr>
          <w:p w14:paraId="145B9288"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10.56%</w:t>
            </w:r>
          </w:p>
        </w:tc>
        <w:tc>
          <w:tcPr>
            <w:tcW w:w="1474" w:type="dxa"/>
            <w:tcBorders>
              <w:left w:val="single" w:sz="4" w:space="0" w:color="auto"/>
              <w:right w:val="nil"/>
            </w:tcBorders>
            <w:vAlign w:val="center"/>
          </w:tcPr>
          <w:p w14:paraId="1811301F"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1,031</w:t>
            </w:r>
          </w:p>
        </w:tc>
        <w:tc>
          <w:tcPr>
            <w:tcW w:w="964" w:type="dxa"/>
            <w:tcBorders>
              <w:left w:val="nil"/>
              <w:right w:val="single" w:sz="4" w:space="0" w:color="auto"/>
            </w:tcBorders>
            <w:vAlign w:val="center"/>
          </w:tcPr>
          <w:p w14:paraId="666FC387"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8.57%</w:t>
            </w:r>
          </w:p>
        </w:tc>
        <w:tc>
          <w:tcPr>
            <w:tcW w:w="1219" w:type="dxa"/>
            <w:tcBorders>
              <w:left w:val="single" w:sz="4" w:space="0" w:color="auto"/>
              <w:right w:val="nil"/>
            </w:tcBorders>
            <w:vAlign w:val="center"/>
          </w:tcPr>
          <w:p w14:paraId="68AD0551"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8,753</w:t>
            </w:r>
          </w:p>
        </w:tc>
        <w:tc>
          <w:tcPr>
            <w:tcW w:w="1219" w:type="dxa"/>
            <w:tcBorders>
              <w:left w:val="nil"/>
              <w:right w:val="single" w:sz="4" w:space="0" w:color="auto"/>
            </w:tcBorders>
            <w:vAlign w:val="center"/>
          </w:tcPr>
          <w:p w14:paraId="50B1F2E7" w14:textId="77777777" w:rsidR="004A1081" w:rsidRPr="00790280" w:rsidRDefault="004A10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72.77%</w:t>
            </w:r>
          </w:p>
        </w:tc>
      </w:tr>
      <w:tr w:rsidR="00C873C7" w:rsidRPr="00790280" w14:paraId="5EC368CD"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noWrap/>
            <w:hideMark/>
          </w:tcPr>
          <w:p w14:paraId="53F3F8CC"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tcBorders>
            <w:vAlign w:val="center"/>
          </w:tcPr>
          <w:p w14:paraId="519C961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8,553</w:t>
            </w:r>
          </w:p>
        </w:tc>
        <w:tc>
          <w:tcPr>
            <w:tcW w:w="1163" w:type="dxa"/>
            <w:tcBorders>
              <w:bottom w:val="single" w:sz="4" w:space="0" w:color="auto"/>
              <w:right w:val="single" w:sz="4" w:space="0" w:color="auto"/>
            </w:tcBorders>
            <w:vAlign w:val="center"/>
          </w:tcPr>
          <w:p w14:paraId="7F3673A6"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71.10%</w:t>
            </w:r>
          </w:p>
        </w:tc>
        <w:tc>
          <w:tcPr>
            <w:tcW w:w="1389" w:type="dxa"/>
            <w:tcBorders>
              <w:left w:val="single" w:sz="4" w:space="0" w:color="auto"/>
              <w:bottom w:val="single" w:sz="4" w:space="0" w:color="auto"/>
            </w:tcBorders>
            <w:vAlign w:val="center"/>
          </w:tcPr>
          <w:p w14:paraId="66FFA73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3,476</w:t>
            </w:r>
          </w:p>
        </w:tc>
        <w:tc>
          <w:tcPr>
            <w:tcW w:w="1049" w:type="dxa"/>
            <w:tcBorders>
              <w:bottom w:val="single" w:sz="4" w:space="0" w:color="auto"/>
              <w:right w:val="single" w:sz="4" w:space="0" w:color="auto"/>
            </w:tcBorders>
            <w:vAlign w:val="center"/>
          </w:tcPr>
          <w:p w14:paraId="78BE787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28.90%</w:t>
            </w:r>
          </w:p>
        </w:tc>
        <w:tc>
          <w:tcPr>
            <w:tcW w:w="1502" w:type="dxa"/>
            <w:tcBorders>
              <w:left w:val="single" w:sz="4" w:space="0" w:color="auto"/>
              <w:bottom w:val="single" w:sz="4" w:space="0" w:color="auto"/>
            </w:tcBorders>
            <w:vAlign w:val="center"/>
          </w:tcPr>
          <w:p w14:paraId="3E214441"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2,013</w:t>
            </w:r>
          </w:p>
        </w:tc>
        <w:tc>
          <w:tcPr>
            <w:tcW w:w="936" w:type="dxa"/>
            <w:tcBorders>
              <w:bottom w:val="single" w:sz="4" w:space="0" w:color="auto"/>
              <w:right w:val="single" w:sz="4" w:space="0" w:color="auto"/>
            </w:tcBorders>
            <w:vAlign w:val="center"/>
          </w:tcPr>
          <w:p w14:paraId="1D443A5F"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16.73%</w:t>
            </w:r>
          </w:p>
        </w:tc>
        <w:tc>
          <w:tcPr>
            <w:tcW w:w="1474" w:type="dxa"/>
            <w:tcBorders>
              <w:left w:val="single" w:sz="4" w:space="0" w:color="auto"/>
              <w:bottom w:val="single" w:sz="4" w:space="0" w:color="auto"/>
            </w:tcBorders>
            <w:vAlign w:val="center"/>
          </w:tcPr>
          <w:p w14:paraId="5D80104C"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1,463</w:t>
            </w:r>
          </w:p>
        </w:tc>
        <w:tc>
          <w:tcPr>
            <w:tcW w:w="964" w:type="dxa"/>
            <w:tcBorders>
              <w:bottom w:val="single" w:sz="4" w:space="0" w:color="auto"/>
              <w:right w:val="single" w:sz="4" w:space="0" w:color="auto"/>
            </w:tcBorders>
            <w:vAlign w:val="center"/>
          </w:tcPr>
          <w:p w14:paraId="14FE1FE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12.16%</w:t>
            </w:r>
          </w:p>
        </w:tc>
        <w:tc>
          <w:tcPr>
            <w:tcW w:w="1219" w:type="dxa"/>
            <w:tcBorders>
              <w:left w:val="single" w:sz="4" w:space="0" w:color="auto"/>
              <w:bottom w:val="single" w:sz="4" w:space="0" w:color="auto"/>
            </w:tcBorders>
            <w:vAlign w:val="center"/>
          </w:tcPr>
          <w:p w14:paraId="7419E6A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12,029</w:t>
            </w:r>
          </w:p>
        </w:tc>
        <w:tc>
          <w:tcPr>
            <w:tcW w:w="1219" w:type="dxa"/>
            <w:tcBorders>
              <w:bottom w:val="single" w:sz="4" w:space="0" w:color="auto"/>
              <w:right w:val="single" w:sz="4" w:space="0" w:color="auto"/>
            </w:tcBorders>
            <w:vAlign w:val="center"/>
          </w:tcPr>
          <w:p w14:paraId="20B1C446"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13.76%</w:t>
            </w:r>
          </w:p>
        </w:tc>
      </w:tr>
      <w:tr w:rsidR="000A26F2" w:rsidRPr="00790280" w14:paraId="02303D9E"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nil"/>
              <w:right w:val="single" w:sz="4" w:space="0" w:color="auto"/>
            </w:tcBorders>
            <w:noWrap/>
            <w:hideMark/>
          </w:tcPr>
          <w:p w14:paraId="0998633B"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2004</w:t>
            </w:r>
          </w:p>
        </w:tc>
        <w:tc>
          <w:tcPr>
            <w:tcW w:w="1275" w:type="dxa"/>
            <w:tcBorders>
              <w:top w:val="single" w:sz="4" w:space="0" w:color="auto"/>
              <w:left w:val="single" w:sz="4" w:space="0" w:color="auto"/>
              <w:bottom w:val="nil"/>
              <w:right w:val="nil"/>
            </w:tcBorders>
          </w:tcPr>
          <w:p w14:paraId="36239158"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63" w:type="dxa"/>
            <w:tcBorders>
              <w:top w:val="single" w:sz="4" w:space="0" w:color="auto"/>
              <w:left w:val="nil"/>
              <w:bottom w:val="nil"/>
              <w:right w:val="single" w:sz="4" w:space="0" w:color="auto"/>
            </w:tcBorders>
            <w:vAlign w:val="center"/>
          </w:tcPr>
          <w:p w14:paraId="0D8BBEAE"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389" w:type="dxa"/>
            <w:tcBorders>
              <w:top w:val="single" w:sz="4" w:space="0" w:color="auto"/>
              <w:left w:val="single" w:sz="4" w:space="0" w:color="auto"/>
              <w:bottom w:val="nil"/>
              <w:right w:val="nil"/>
            </w:tcBorders>
          </w:tcPr>
          <w:p w14:paraId="451EC74B"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49" w:type="dxa"/>
            <w:tcBorders>
              <w:top w:val="single" w:sz="4" w:space="0" w:color="auto"/>
              <w:left w:val="nil"/>
              <w:bottom w:val="nil"/>
              <w:right w:val="single" w:sz="4" w:space="0" w:color="auto"/>
            </w:tcBorders>
            <w:vAlign w:val="center"/>
          </w:tcPr>
          <w:p w14:paraId="48D056EC"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502" w:type="dxa"/>
            <w:tcBorders>
              <w:top w:val="single" w:sz="4" w:space="0" w:color="auto"/>
              <w:left w:val="single" w:sz="4" w:space="0" w:color="auto"/>
              <w:bottom w:val="nil"/>
              <w:right w:val="nil"/>
            </w:tcBorders>
          </w:tcPr>
          <w:p w14:paraId="7BA36AEE"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936" w:type="dxa"/>
            <w:tcBorders>
              <w:top w:val="single" w:sz="4" w:space="0" w:color="auto"/>
              <w:left w:val="nil"/>
              <w:bottom w:val="nil"/>
              <w:right w:val="single" w:sz="4" w:space="0" w:color="auto"/>
            </w:tcBorders>
            <w:vAlign w:val="center"/>
          </w:tcPr>
          <w:p w14:paraId="474A2C70"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474" w:type="dxa"/>
            <w:tcBorders>
              <w:top w:val="single" w:sz="4" w:space="0" w:color="auto"/>
              <w:left w:val="single" w:sz="4" w:space="0" w:color="auto"/>
              <w:bottom w:val="nil"/>
              <w:right w:val="nil"/>
            </w:tcBorders>
          </w:tcPr>
          <w:p w14:paraId="0397A7D2"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964" w:type="dxa"/>
            <w:tcBorders>
              <w:top w:val="single" w:sz="4" w:space="0" w:color="auto"/>
              <w:left w:val="nil"/>
              <w:bottom w:val="nil"/>
              <w:right w:val="single" w:sz="4" w:space="0" w:color="auto"/>
            </w:tcBorders>
          </w:tcPr>
          <w:p w14:paraId="6C0DE2AD"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19" w:type="dxa"/>
            <w:tcBorders>
              <w:top w:val="single" w:sz="4" w:space="0" w:color="auto"/>
              <w:left w:val="single" w:sz="4" w:space="0" w:color="auto"/>
              <w:bottom w:val="nil"/>
              <w:right w:val="nil"/>
            </w:tcBorders>
            <w:vAlign w:val="center"/>
          </w:tcPr>
          <w:p w14:paraId="6BBDFA4F"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19" w:type="dxa"/>
            <w:tcBorders>
              <w:top w:val="single" w:sz="4" w:space="0" w:color="auto"/>
              <w:left w:val="nil"/>
              <w:bottom w:val="nil"/>
              <w:right w:val="single" w:sz="4" w:space="0" w:color="auto"/>
            </w:tcBorders>
            <w:vAlign w:val="center"/>
          </w:tcPr>
          <w:p w14:paraId="7238A574"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 </w:t>
            </w:r>
          </w:p>
        </w:tc>
      </w:tr>
      <w:tr w:rsidR="000A26F2" w:rsidRPr="00790280" w14:paraId="174D8315"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right w:val="single" w:sz="4" w:space="0" w:color="auto"/>
            </w:tcBorders>
            <w:noWrap/>
            <w:hideMark/>
          </w:tcPr>
          <w:p w14:paraId="0FB88E39"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Doctors</w:t>
            </w:r>
          </w:p>
        </w:tc>
        <w:tc>
          <w:tcPr>
            <w:tcW w:w="1275" w:type="dxa"/>
            <w:tcBorders>
              <w:top w:val="nil"/>
              <w:left w:val="single" w:sz="4" w:space="0" w:color="auto"/>
            </w:tcBorders>
            <w:vAlign w:val="center"/>
          </w:tcPr>
          <w:p w14:paraId="3634E08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118</w:t>
            </w:r>
          </w:p>
        </w:tc>
        <w:tc>
          <w:tcPr>
            <w:tcW w:w="1163" w:type="dxa"/>
            <w:tcBorders>
              <w:top w:val="nil"/>
              <w:right w:val="single" w:sz="4" w:space="0" w:color="auto"/>
            </w:tcBorders>
            <w:vAlign w:val="center"/>
          </w:tcPr>
          <w:p w14:paraId="2597426A"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1.01%</w:t>
            </w:r>
          </w:p>
        </w:tc>
        <w:tc>
          <w:tcPr>
            <w:tcW w:w="1389" w:type="dxa"/>
            <w:tcBorders>
              <w:top w:val="nil"/>
              <w:left w:val="single" w:sz="4" w:space="0" w:color="auto"/>
            </w:tcBorders>
            <w:vAlign w:val="center"/>
          </w:tcPr>
          <w:p w14:paraId="36DB9109"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57</w:t>
            </w:r>
          </w:p>
        </w:tc>
        <w:tc>
          <w:tcPr>
            <w:tcW w:w="1049" w:type="dxa"/>
            <w:tcBorders>
              <w:top w:val="nil"/>
              <w:right w:val="single" w:sz="4" w:space="0" w:color="auto"/>
            </w:tcBorders>
            <w:vAlign w:val="center"/>
          </w:tcPr>
          <w:p w14:paraId="2057C669"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0.49%</w:t>
            </w:r>
          </w:p>
        </w:tc>
        <w:tc>
          <w:tcPr>
            <w:tcW w:w="1502" w:type="dxa"/>
            <w:tcBorders>
              <w:top w:val="nil"/>
              <w:left w:val="single" w:sz="4" w:space="0" w:color="auto"/>
            </w:tcBorders>
            <w:vAlign w:val="center"/>
          </w:tcPr>
          <w:p w14:paraId="62637033"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30</w:t>
            </w:r>
          </w:p>
        </w:tc>
        <w:tc>
          <w:tcPr>
            <w:tcW w:w="936" w:type="dxa"/>
            <w:tcBorders>
              <w:top w:val="nil"/>
              <w:right w:val="single" w:sz="4" w:space="0" w:color="auto"/>
            </w:tcBorders>
            <w:vAlign w:val="center"/>
          </w:tcPr>
          <w:p w14:paraId="1BD44E5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0.26%</w:t>
            </w:r>
          </w:p>
        </w:tc>
        <w:tc>
          <w:tcPr>
            <w:tcW w:w="1474" w:type="dxa"/>
            <w:tcBorders>
              <w:top w:val="nil"/>
              <w:left w:val="single" w:sz="4" w:space="0" w:color="auto"/>
            </w:tcBorders>
            <w:vAlign w:val="center"/>
          </w:tcPr>
          <w:p w14:paraId="3ACF0699"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27</w:t>
            </w:r>
          </w:p>
        </w:tc>
        <w:tc>
          <w:tcPr>
            <w:tcW w:w="964" w:type="dxa"/>
            <w:tcBorders>
              <w:top w:val="nil"/>
              <w:right w:val="single" w:sz="4" w:space="0" w:color="auto"/>
            </w:tcBorders>
            <w:vAlign w:val="center"/>
          </w:tcPr>
          <w:p w14:paraId="333CF9F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0.23%</w:t>
            </w:r>
          </w:p>
        </w:tc>
        <w:tc>
          <w:tcPr>
            <w:tcW w:w="1219" w:type="dxa"/>
            <w:tcBorders>
              <w:top w:val="nil"/>
              <w:left w:val="single" w:sz="4" w:space="0" w:color="auto"/>
            </w:tcBorders>
            <w:vAlign w:val="center"/>
          </w:tcPr>
          <w:p w14:paraId="454F5A0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175</w:t>
            </w:r>
          </w:p>
        </w:tc>
        <w:tc>
          <w:tcPr>
            <w:tcW w:w="1219" w:type="dxa"/>
            <w:tcBorders>
              <w:top w:val="nil"/>
              <w:right w:val="single" w:sz="4" w:space="0" w:color="auto"/>
            </w:tcBorders>
            <w:vAlign w:val="center"/>
          </w:tcPr>
          <w:p w14:paraId="103D3601"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1.50%</w:t>
            </w:r>
          </w:p>
        </w:tc>
      </w:tr>
      <w:tr w:rsidR="00790280" w:rsidRPr="00790280" w14:paraId="0C4891AF"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3AA7162"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Nurses</w:t>
            </w:r>
          </w:p>
        </w:tc>
        <w:tc>
          <w:tcPr>
            <w:tcW w:w="1275" w:type="dxa"/>
            <w:tcBorders>
              <w:left w:val="single" w:sz="4" w:space="0" w:color="auto"/>
              <w:right w:val="nil"/>
            </w:tcBorders>
            <w:vAlign w:val="center"/>
          </w:tcPr>
          <w:p w14:paraId="0CCC6B49"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217</w:t>
            </w:r>
          </w:p>
        </w:tc>
        <w:tc>
          <w:tcPr>
            <w:tcW w:w="1163" w:type="dxa"/>
            <w:tcBorders>
              <w:left w:val="nil"/>
              <w:right w:val="single" w:sz="4" w:space="0" w:color="auto"/>
            </w:tcBorders>
            <w:vAlign w:val="center"/>
          </w:tcPr>
          <w:p w14:paraId="193C8938"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1.85%</w:t>
            </w:r>
          </w:p>
        </w:tc>
        <w:tc>
          <w:tcPr>
            <w:tcW w:w="1389" w:type="dxa"/>
            <w:tcBorders>
              <w:left w:val="single" w:sz="4" w:space="0" w:color="auto"/>
              <w:right w:val="nil"/>
            </w:tcBorders>
            <w:vAlign w:val="center"/>
          </w:tcPr>
          <w:p w14:paraId="4268D793"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184</w:t>
            </w:r>
          </w:p>
        </w:tc>
        <w:tc>
          <w:tcPr>
            <w:tcW w:w="1049" w:type="dxa"/>
            <w:tcBorders>
              <w:left w:val="nil"/>
              <w:right w:val="single" w:sz="4" w:space="0" w:color="auto"/>
            </w:tcBorders>
            <w:vAlign w:val="center"/>
          </w:tcPr>
          <w:p w14:paraId="4B22FF03"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1.57%</w:t>
            </w:r>
          </w:p>
        </w:tc>
        <w:tc>
          <w:tcPr>
            <w:tcW w:w="1502" w:type="dxa"/>
            <w:tcBorders>
              <w:left w:val="single" w:sz="4" w:space="0" w:color="auto"/>
              <w:right w:val="nil"/>
            </w:tcBorders>
            <w:vAlign w:val="center"/>
          </w:tcPr>
          <w:p w14:paraId="189E036A"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107</w:t>
            </w:r>
          </w:p>
        </w:tc>
        <w:tc>
          <w:tcPr>
            <w:tcW w:w="936" w:type="dxa"/>
            <w:tcBorders>
              <w:left w:val="nil"/>
              <w:right w:val="single" w:sz="4" w:space="0" w:color="auto"/>
            </w:tcBorders>
            <w:vAlign w:val="center"/>
          </w:tcPr>
          <w:p w14:paraId="00F5AD83"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0.91%</w:t>
            </w:r>
          </w:p>
        </w:tc>
        <w:tc>
          <w:tcPr>
            <w:tcW w:w="1474" w:type="dxa"/>
            <w:tcBorders>
              <w:left w:val="single" w:sz="4" w:space="0" w:color="auto"/>
              <w:right w:val="nil"/>
            </w:tcBorders>
            <w:vAlign w:val="center"/>
          </w:tcPr>
          <w:p w14:paraId="6C0E3050"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77</w:t>
            </w:r>
          </w:p>
        </w:tc>
        <w:tc>
          <w:tcPr>
            <w:tcW w:w="964" w:type="dxa"/>
            <w:tcBorders>
              <w:left w:val="nil"/>
              <w:right w:val="single" w:sz="4" w:space="0" w:color="auto"/>
            </w:tcBorders>
            <w:vAlign w:val="center"/>
          </w:tcPr>
          <w:p w14:paraId="77604FF7"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0.66%</w:t>
            </w:r>
          </w:p>
        </w:tc>
        <w:tc>
          <w:tcPr>
            <w:tcW w:w="1219" w:type="dxa"/>
            <w:tcBorders>
              <w:left w:val="single" w:sz="4" w:space="0" w:color="auto"/>
              <w:right w:val="nil"/>
            </w:tcBorders>
            <w:vAlign w:val="center"/>
          </w:tcPr>
          <w:p w14:paraId="44E8B97B"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401</w:t>
            </w:r>
          </w:p>
        </w:tc>
        <w:tc>
          <w:tcPr>
            <w:tcW w:w="1219" w:type="dxa"/>
            <w:tcBorders>
              <w:left w:val="nil"/>
              <w:right w:val="single" w:sz="4" w:space="0" w:color="auto"/>
            </w:tcBorders>
            <w:vAlign w:val="center"/>
          </w:tcPr>
          <w:p w14:paraId="2F207C2D"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3.43%</w:t>
            </w:r>
          </w:p>
        </w:tc>
      </w:tr>
      <w:tr w:rsidR="000A26F2" w:rsidRPr="00790280" w14:paraId="6BF9CFD1"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709970D"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Police</w:t>
            </w:r>
          </w:p>
        </w:tc>
        <w:tc>
          <w:tcPr>
            <w:tcW w:w="1275" w:type="dxa"/>
            <w:tcBorders>
              <w:left w:val="single" w:sz="4" w:space="0" w:color="auto"/>
            </w:tcBorders>
            <w:vAlign w:val="center"/>
          </w:tcPr>
          <w:p w14:paraId="25F4BB9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971</w:t>
            </w:r>
          </w:p>
        </w:tc>
        <w:tc>
          <w:tcPr>
            <w:tcW w:w="1163" w:type="dxa"/>
            <w:tcBorders>
              <w:right w:val="single" w:sz="4" w:space="0" w:color="auto"/>
            </w:tcBorders>
            <w:vAlign w:val="center"/>
          </w:tcPr>
          <w:p w14:paraId="38CC8E7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8.30%</w:t>
            </w:r>
          </w:p>
        </w:tc>
        <w:tc>
          <w:tcPr>
            <w:tcW w:w="1389" w:type="dxa"/>
            <w:tcBorders>
              <w:left w:val="single" w:sz="4" w:space="0" w:color="auto"/>
            </w:tcBorders>
            <w:vAlign w:val="center"/>
          </w:tcPr>
          <w:p w14:paraId="1A81DDBF"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595</w:t>
            </w:r>
          </w:p>
        </w:tc>
        <w:tc>
          <w:tcPr>
            <w:tcW w:w="1049" w:type="dxa"/>
            <w:tcBorders>
              <w:right w:val="single" w:sz="4" w:space="0" w:color="auto"/>
            </w:tcBorders>
            <w:vAlign w:val="center"/>
          </w:tcPr>
          <w:p w14:paraId="0324A78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5.08%</w:t>
            </w:r>
          </w:p>
        </w:tc>
        <w:tc>
          <w:tcPr>
            <w:tcW w:w="1502" w:type="dxa"/>
            <w:tcBorders>
              <w:left w:val="single" w:sz="4" w:space="0" w:color="auto"/>
            </w:tcBorders>
            <w:vAlign w:val="center"/>
          </w:tcPr>
          <w:p w14:paraId="303CAAC9"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452</w:t>
            </w:r>
          </w:p>
        </w:tc>
        <w:tc>
          <w:tcPr>
            <w:tcW w:w="936" w:type="dxa"/>
            <w:tcBorders>
              <w:right w:val="single" w:sz="4" w:space="0" w:color="auto"/>
            </w:tcBorders>
            <w:vAlign w:val="center"/>
          </w:tcPr>
          <w:p w14:paraId="22709D57"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3.86%</w:t>
            </w:r>
          </w:p>
        </w:tc>
        <w:tc>
          <w:tcPr>
            <w:tcW w:w="1474" w:type="dxa"/>
            <w:tcBorders>
              <w:left w:val="single" w:sz="4" w:space="0" w:color="auto"/>
            </w:tcBorders>
            <w:vAlign w:val="center"/>
          </w:tcPr>
          <w:p w14:paraId="5550E58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143</w:t>
            </w:r>
          </w:p>
        </w:tc>
        <w:tc>
          <w:tcPr>
            <w:tcW w:w="964" w:type="dxa"/>
            <w:tcBorders>
              <w:right w:val="single" w:sz="4" w:space="0" w:color="auto"/>
            </w:tcBorders>
            <w:vAlign w:val="center"/>
          </w:tcPr>
          <w:p w14:paraId="1B832EF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1.22%</w:t>
            </w:r>
          </w:p>
        </w:tc>
        <w:tc>
          <w:tcPr>
            <w:tcW w:w="1219" w:type="dxa"/>
            <w:tcBorders>
              <w:left w:val="single" w:sz="4" w:space="0" w:color="auto"/>
            </w:tcBorders>
            <w:vAlign w:val="center"/>
          </w:tcPr>
          <w:p w14:paraId="12AE4E7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1,566</w:t>
            </w:r>
          </w:p>
        </w:tc>
        <w:tc>
          <w:tcPr>
            <w:tcW w:w="1219" w:type="dxa"/>
            <w:tcBorders>
              <w:right w:val="single" w:sz="4" w:space="0" w:color="auto"/>
            </w:tcBorders>
            <w:vAlign w:val="center"/>
          </w:tcPr>
          <w:p w14:paraId="4404172C"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13.38%</w:t>
            </w:r>
          </w:p>
        </w:tc>
      </w:tr>
      <w:tr w:rsidR="00103D60" w:rsidRPr="00790280" w14:paraId="08D279B4"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9A68726"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right w:val="nil"/>
            </w:tcBorders>
            <w:vAlign w:val="center"/>
          </w:tcPr>
          <w:p w14:paraId="349BB15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669</w:t>
            </w:r>
          </w:p>
        </w:tc>
        <w:tc>
          <w:tcPr>
            <w:tcW w:w="1163" w:type="dxa"/>
            <w:tcBorders>
              <w:left w:val="nil"/>
              <w:right w:val="single" w:sz="4" w:space="0" w:color="auto"/>
            </w:tcBorders>
            <w:vAlign w:val="center"/>
          </w:tcPr>
          <w:p w14:paraId="53EE5B9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5.72%</w:t>
            </w:r>
          </w:p>
        </w:tc>
        <w:tc>
          <w:tcPr>
            <w:tcW w:w="1389" w:type="dxa"/>
            <w:tcBorders>
              <w:left w:val="single" w:sz="4" w:space="0" w:color="auto"/>
              <w:right w:val="nil"/>
            </w:tcBorders>
            <w:vAlign w:val="center"/>
          </w:tcPr>
          <w:p w14:paraId="7A3BE67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214</w:t>
            </w:r>
          </w:p>
        </w:tc>
        <w:tc>
          <w:tcPr>
            <w:tcW w:w="1049" w:type="dxa"/>
            <w:tcBorders>
              <w:left w:val="nil"/>
              <w:right w:val="single" w:sz="4" w:space="0" w:color="auto"/>
            </w:tcBorders>
            <w:vAlign w:val="center"/>
          </w:tcPr>
          <w:p w14:paraId="67069D0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1.83%</w:t>
            </w:r>
          </w:p>
        </w:tc>
        <w:tc>
          <w:tcPr>
            <w:tcW w:w="1502" w:type="dxa"/>
            <w:tcBorders>
              <w:left w:val="single" w:sz="4" w:space="0" w:color="auto"/>
              <w:right w:val="nil"/>
            </w:tcBorders>
            <w:vAlign w:val="center"/>
          </w:tcPr>
          <w:p w14:paraId="03C22DC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113</w:t>
            </w:r>
          </w:p>
        </w:tc>
        <w:tc>
          <w:tcPr>
            <w:tcW w:w="936" w:type="dxa"/>
            <w:tcBorders>
              <w:left w:val="nil"/>
              <w:right w:val="single" w:sz="4" w:space="0" w:color="auto"/>
            </w:tcBorders>
            <w:vAlign w:val="center"/>
          </w:tcPr>
          <w:p w14:paraId="4B62A27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0.97%</w:t>
            </w:r>
          </w:p>
        </w:tc>
        <w:tc>
          <w:tcPr>
            <w:tcW w:w="1474" w:type="dxa"/>
            <w:tcBorders>
              <w:left w:val="single" w:sz="4" w:space="0" w:color="auto"/>
              <w:right w:val="nil"/>
            </w:tcBorders>
            <w:vAlign w:val="center"/>
          </w:tcPr>
          <w:p w14:paraId="21FF055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101</w:t>
            </w:r>
          </w:p>
        </w:tc>
        <w:tc>
          <w:tcPr>
            <w:tcW w:w="964" w:type="dxa"/>
            <w:tcBorders>
              <w:left w:val="nil"/>
              <w:right w:val="single" w:sz="4" w:space="0" w:color="auto"/>
            </w:tcBorders>
            <w:vAlign w:val="center"/>
          </w:tcPr>
          <w:p w14:paraId="4F7CEC9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0.86%</w:t>
            </w:r>
          </w:p>
        </w:tc>
        <w:tc>
          <w:tcPr>
            <w:tcW w:w="1219" w:type="dxa"/>
            <w:tcBorders>
              <w:left w:val="single" w:sz="4" w:space="0" w:color="auto"/>
              <w:right w:val="nil"/>
            </w:tcBorders>
            <w:vAlign w:val="center"/>
          </w:tcPr>
          <w:p w14:paraId="068C4A3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883</w:t>
            </w:r>
          </w:p>
        </w:tc>
        <w:tc>
          <w:tcPr>
            <w:tcW w:w="1219" w:type="dxa"/>
            <w:tcBorders>
              <w:left w:val="nil"/>
              <w:right w:val="single" w:sz="4" w:space="0" w:color="auto"/>
            </w:tcBorders>
            <w:vAlign w:val="center"/>
          </w:tcPr>
          <w:p w14:paraId="4F08347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7.55%</w:t>
            </w:r>
          </w:p>
        </w:tc>
      </w:tr>
      <w:tr w:rsidR="00103D60" w:rsidRPr="00790280" w14:paraId="15D08B08"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D939D26"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tcBorders>
            <w:vAlign w:val="center"/>
          </w:tcPr>
          <w:p w14:paraId="73007B7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w:t>
            </w:r>
          </w:p>
        </w:tc>
        <w:tc>
          <w:tcPr>
            <w:tcW w:w="1163" w:type="dxa"/>
            <w:tcBorders>
              <w:right w:val="single" w:sz="4" w:space="0" w:color="auto"/>
            </w:tcBorders>
            <w:vAlign w:val="center"/>
          </w:tcPr>
          <w:p w14:paraId="748D7B1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0.15%</w:t>
            </w:r>
          </w:p>
        </w:tc>
        <w:tc>
          <w:tcPr>
            <w:tcW w:w="1389" w:type="dxa"/>
            <w:tcBorders>
              <w:left w:val="single" w:sz="4" w:space="0" w:color="auto"/>
            </w:tcBorders>
            <w:vAlign w:val="center"/>
          </w:tcPr>
          <w:p w14:paraId="72B7184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w:t>
            </w:r>
          </w:p>
        </w:tc>
        <w:tc>
          <w:tcPr>
            <w:tcW w:w="1049" w:type="dxa"/>
            <w:tcBorders>
              <w:right w:val="single" w:sz="4" w:space="0" w:color="auto"/>
            </w:tcBorders>
            <w:vAlign w:val="center"/>
          </w:tcPr>
          <w:p w14:paraId="752C868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0.05%</w:t>
            </w:r>
          </w:p>
        </w:tc>
        <w:tc>
          <w:tcPr>
            <w:tcW w:w="1502" w:type="dxa"/>
            <w:tcBorders>
              <w:left w:val="single" w:sz="4" w:space="0" w:color="auto"/>
            </w:tcBorders>
            <w:vAlign w:val="center"/>
          </w:tcPr>
          <w:p w14:paraId="4831142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w:t>
            </w:r>
          </w:p>
        </w:tc>
        <w:tc>
          <w:tcPr>
            <w:tcW w:w="936" w:type="dxa"/>
            <w:tcBorders>
              <w:right w:val="single" w:sz="4" w:space="0" w:color="auto"/>
            </w:tcBorders>
            <w:vAlign w:val="center"/>
          </w:tcPr>
          <w:p w14:paraId="1DDED77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0.04%</w:t>
            </w:r>
          </w:p>
        </w:tc>
        <w:tc>
          <w:tcPr>
            <w:tcW w:w="1474" w:type="dxa"/>
            <w:tcBorders>
              <w:left w:val="single" w:sz="4" w:space="0" w:color="auto"/>
            </w:tcBorders>
            <w:vAlign w:val="center"/>
          </w:tcPr>
          <w:p w14:paraId="08FBB12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w:t>
            </w:r>
          </w:p>
        </w:tc>
        <w:tc>
          <w:tcPr>
            <w:tcW w:w="964" w:type="dxa"/>
            <w:tcBorders>
              <w:right w:val="single" w:sz="4" w:space="0" w:color="auto"/>
            </w:tcBorders>
            <w:vAlign w:val="center"/>
          </w:tcPr>
          <w:p w14:paraId="3AC86B0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0.01%</w:t>
            </w:r>
          </w:p>
        </w:tc>
        <w:tc>
          <w:tcPr>
            <w:tcW w:w="1219" w:type="dxa"/>
            <w:tcBorders>
              <w:left w:val="single" w:sz="4" w:space="0" w:color="auto"/>
            </w:tcBorders>
            <w:vAlign w:val="center"/>
          </w:tcPr>
          <w:p w14:paraId="35BFC6E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23</w:t>
            </w:r>
          </w:p>
        </w:tc>
        <w:tc>
          <w:tcPr>
            <w:tcW w:w="1219" w:type="dxa"/>
            <w:tcBorders>
              <w:right w:val="single" w:sz="4" w:space="0" w:color="auto"/>
            </w:tcBorders>
            <w:vAlign w:val="center"/>
          </w:tcPr>
          <w:p w14:paraId="193EB5C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0.20%</w:t>
            </w:r>
          </w:p>
        </w:tc>
      </w:tr>
      <w:tr w:rsidR="00103D60" w:rsidRPr="00790280" w14:paraId="7FEA516E"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C726F6B"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right w:val="nil"/>
            </w:tcBorders>
            <w:vAlign w:val="center"/>
          </w:tcPr>
          <w:p w14:paraId="4D2960F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1,992</w:t>
            </w:r>
          </w:p>
        </w:tc>
        <w:tc>
          <w:tcPr>
            <w:tcW w:w="1163" w:type="dxa"/>
            <w:tcBorders>
              <w:left w:val="nil"/>
              <w:right w:val="single" w:sz="4" w:space="0" w:color="auto"/>
            </w:tcBorders>
            <w:vAlign w:val="center"/>
          </w:tcPr>
          <w:p w14:paraId="4778EE2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17.02%</w:t>
            </w:r>
          </w:p>
        </w:tc>
        <w:tc>
          <w:tcPr>
            <w:tcW w:w="1389" w:type="dxa"/>
            <w:tcBorders>
              <w:left w:val="single" w:sz="4" w:space="0" w:color="auto"/>
              <w:right w:val="nil"/>
            </w:tcBorders>
            <w:vAlign w:val="center"/>
          </w:tcPr>
          <w:p w14:paraId="0555C1B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1,056</w:t>
            </w:r>
          </w:p>
        </w:tc>
        <w:tc>
          <w:tcPr>
            <w:tcW w:w="1049" w:type="dxa"/>
            <w:tcBorders>
              <w:left w:val="nil"/>
              <w:right w:val="single" w:sz="4" w:space="0" w:color="auto"/>
            </w:tcBorders>
            <w:vAlign w:val="center"/>
          </w:tcPr>
          <w:p w14:paraId="45F43D2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9.02%</w:t>
            </w:r>
          </w:p>
        </w:tc>
        <w:tc>
          <w:tcPr>
            <w:tcW w:w="1502" w:type="dxa"/>
            <w:tcBorders>
              <w:left w:val="single" w:sz="4" w:space="0" w:color="auto"/>
              <w:right w:val="nil"/>
            </w:tcBorders>
            <w:vAlign w:val="center"/>
          </w:tcPr>
          <w:p w14:paraId="45DACE3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707</w:t>
            </w:r>
          </w:p>
        </w:tc>
        <w:tc>
          <w:tcPr>
            <w:tcW w:w="936" w:type="dxa"/>
            <w:tcBorders>
              <w:left w:val="nil"/>
              <w:right w:val="single" w:sz="4" w:space="0" w:color="auto"/>
            </w:tcBorders>
            <w:vAlign w:val="center"/>
          </w:tcPr>
          <w:p w14:paraId="7625238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6.04%</w:t>
            </w:r>
          </w:p>
        </w:tc>
        <w:tc>
          <w:tcPr>
            <w:tcW w:w="1474" w:type="dxa"/>
            <w:tcBorders>
              <w:left w:val="single" w:sz="4" w:space="0" w:color="auto"/>
              <w:right w:val="nil"/>
            </w:tcBorders>
            <w:vAlign w:val="center"/>
          </w:tcPr>
          <w:p w14:paraId="09D0402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349</w:t>
            </w:r>
          </w:p>
        </w:tc>
        <w:tc>
          <w:tcPr>
            <w:tcW w:w="964" w:type="dxa"/>
            <w:tcBorders>
              <w:left w:val="nil"/>
              <w:right w:val="single" w:sz="4" w:space="0" w:color="auto"/>
            </w:tcBorders>
            <w:vAlign w:val="center"/>
          </w:tcPr>
          <w:p w14:paraId="1539801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2.98%</w:t>
            </w:r>
          </w:p>
        </w:tc>
        <w:tc>
          <w:tcPr>
            <w:tcW w:w="1219" w:type="dxa"/>
            <w:tcBorders>
              <w:left w:val="single" w:sz="4" w:space="0" w:color="auto"/>
              <w:right w:val="nil"/>
            </w:tcBorders>
            <w:vAlign w:val="center"/>
          </w:tcPr>
          <w:p w14:paraId="59F4CCF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3,048</w:t>
            </w:r>
          </w:p>
        </w:tc>
        <w:tc>
          <w:tcPr>
            <w:tcW w:w="1219" w:type="dxa"/>
            <w:tcBorders>
              <w:left w:val="nil"/>
              <w:right w:val="single" w:sz="4" w:space="0" w:color="auto"/>
            </w:tcBorders>
            <w:vAlign w:val="center"/>
          </w:tcPr>
          <w:p w14:paraId="1F6850A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26.05%</w:t>
            </w:r>
          </w:p>
        </w:tc>
      </w:tr>
      <w:tr w:rsidR="00103D60" w:rsidRPr="00790280" w14:paraId="73FD0C13"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B42EF75"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tcBorders>
            <w:vAlign w:val="center"/>
          </w:tcPr>
          <w:p w14:paraId="31E9372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6,571</w:t>
            </w:r>
          </w:p>
        </w:tc>
        <w:tc>
          <w:tcPr>
            <w:tcW w:w="1163" w:type="dxa"/>
            <w:tcBorders>
              <w:right w:val="single" w:sz="4" w:space="0" w:color="auto"/>
            </w:tcBorders>
            <w:vAlign w:val="center"/>
          </w:tcPr>
          <w:p w14:paraId="5AF53F8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56.15%</w:t>
            </w:r>
          </w:p>
        </w:tc>
        <w:tc>
          <w:tcPr>
            <w:tcW w:w="1389" w:type="dxa"/>
            <w:tcBorders>
              <w:left w:val="single" w:sz="4" w:space="0" w:color="auto"/>
            </w:tcBorders>
            <w:vAlign w:val="center"/>
          </w:tcPr>
          <w:p w14:paraId="0D93545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2,083</w:t>
            </w:r>
          </w:p>
        </w:tc>
        <w:tc>
          <w:tcPr>
            <w:tcW w:w="1049" w:type="dxa"/>
            <w:tcBorders>
              <w:right w:val="single" w:sz="4" w:space="0" w:color="auto"/>
            </w:tcBorders>
            <w:vAlign w:val="center"/>
          </w:tcPr>
          <w:p w14:paraId="68178B2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17.80%</w:t>
            </w:r>
          </w:p>
        </w:tc>
        <w:tc>
          <w:tcPr>
            <w:tcW w:w="1502" w:type="dxa"/>
            <w:tcBorders>
              <w:left w:val="single" w:sz="4" w:space="0" w:color="auto"/>
            </w:tcBorders>
            <w:vAlign w:val="center"/>
          </w:tcPr>
          <w:p w14:paraId="6A43746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1,259</w:t>
            </w:r>
          </w:p>
        </w:tc>
        <w:tc>
          <w:tcPr>
            <w:tcW w:w="936" w:type="dxa"/>
            <w:tcBorders>
              <w:right w:val="single" w:sz="4" w:space="0" w:color="auto"/>
            </w:tcBorders>
            <w:vAlign w:val="center"/>
          </w:tcPr>
          <w:p w14:paraId="38D53D3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10.76%</w:t>
            </w:r>
          </w:p>
        </w:tc>
        <w:tc>
          <w:tcPr>
            <w:tcW w:w="1474" w:type="dxa"/>
            <w:tcBorders>
              <w:left w:val="single" w:sz="4" w:space="0" w:color="auto"/>
            </w:tcBorders>
            <w:vAlign w:val="center"/>
          </w:tcPr>
          <w:p w14:paraId="679AC18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824</w:t>
            </w:r>
          </w:p>
        </w:tc>
        <w:tc>
          <w:tcPr>
            <w:tcW w:w="964" w:type="dxa"/>
            <w:tcBorders>
              <w:right w:val="single" w:sz="4" w:space="0" w:color="auto"/>
            </w:tcBorders>
            <w:vAlign w:val="center"/>
          </w:tcPr>
          <w:p w14:paraId="36FFEBC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7.04%</w:t>
            </w:r>
          </w:p>
        </w:tc>
        <w:tc>
          <w:tcPr>
            <w:tcW w:w="1219" w:type="dxa"/>
            <w:tcBorders>
              <w:left w:val="single" w:sz="4" w:space="0" w:color="auto"/>
            </w:tcBorders>
            <w:vAlign w:val="center"/>
          </w:tcPr>
          <w:p w14:paraId="13051BE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8,654</w:t>
            </w:r>
          </w:p>
        </w:tc>
        <w:tc>
          <w:tcPr>
            <w:tcW w:w="1219" w:type="dxa"/>
            <w:tcBorders>
              <w:right w:val="single" w:sz="4" w:space="0" w:color="auto"/>
            </w:tcBorders>
            <w:vAlign w:val="center"/>
          </w:tcPr>
          <w:p w14:paraId="460CCC0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73.95%</w:t>
            </w:r>
          </w:p>
        </w:tc>
      </w:tr>
      <w:tr w:rsidR="00790280" w:rsidRPr="00790280" w14:paraId="61920245"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noWrap/>
            <w:hideMark/>
          </w:tcPr>
          <w:p w14:paraId="4DC530AF"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right w:val="nil"/>
            </w:tcBorders>
            <w:vAlign w:val="center"/>
          </w:tcPr>
          <w:p w14:paraId="20E9861D"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8,563</w:t>
            </w:r>
          </w:p>
        </w:tc>
        <w:tc>
          <w:tcPr>
            <w:tcW w:w="1163" w:type="dxa"/>
            <w:tcBorders>
              <w:left w:val="nil"/>
              <w:bottom w:val="single" w:sz="4" w:space="0" w:color="auto"/>
              <w:right w:val="single" w:sz="4" w:space="0" w:color="auto"/>
            </w:tcBorders>
            <w:vAlign w:val="center"/>
          </w:tcPr>
          <w:p w14:paraId="39CAC686"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73.18%</w:t>
            </w:r>
          </w:p>
        </w:tc>
        <w:tc>
          <w:tcPr>
            <w:tcW w:w="1389" w:type="dxa"/>
            <w:tcBorders>
              <w:left w:val="single" w:sz="4" w:space="0" w:color="auto"/>
              <w:bottom w:val="single" w:sz="4" w:space="0" w:color="auto"/>
              <w:right w:val="nil"/>
            </w:tcBorders>
            <w:vAlign w:val="center"/>
          </w:tcPr>
          <w:p w14:paraId="332EE12A"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3,139</w:t>
            </w:r>
          </w:p>
        </w:tc>
        <w:tc>
          <w:tcPr>
            <w:tcW w:w="1049" w:type="dxa"/>
            <w:tcBorders>
              <w:left w:val="nil"/>
              <w:bottom w:val="single" w:sz="4" w:space="0" w:color="auto"/>
              <w:right w:val="single" w:sz="4" w:space="0" w:color="auto"/>
            </w:tcBorders>
            <w:vAlign w:val="center"/>
          </w:tcPr>
          <w:p w14:paraId="2880E3F9"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26.82%</w:t>
            </w:r>
          </w:p>
        </w:tc>
        <w:tc>
          <w:tcPr>
            <w:tcW w:w="1502" w:type="dxa"/>
            <w:tcBorders>
              <w:left w:val="single" w:sz="4" w:space="0" w:color="auto"/>
              <w:bottom w:val="single" w:sz="4" w:space="0" w:color="auto"/>
              <w:right w:val="nil"/>
            </w:tcBorders>
            <w:vAlign w:val="center"/>
          </w:tcPr>
          <w:p w14:paraId="73B68785"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1,966</w:t>
            </w:r>
          </w:p>
        </w:tc>
        <w:tc>
          <w:tcPr>
            <w:tcW w:w="936" w:type="dxa"/>
            <w:tcBorders>
              <w:left w:val="nil"/>
              <w:bottom w:val="single" w:sz="4" w:space="0" w:color="auto"/>
              <w:right w:val="single" w:sz="4" w:space="0" w:color="auto"/>
            </w:tcBorders>
            <w:vAlign w:val="center"/>
          </w:tcPr>
          <w:p w14:paraId="3C79DEC5"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16.80%</w:t>
            </w:r>
          </w:p>
        </w:tc>
        <w:tc>
          <w:tcPr>
            <w:tcW w:w="1474" w:type="dxa"/>
            <w:tcBorders>
              <w:left w:val="single" w:sz="4" w:space="0" w:color="auto"/>
              <w:bottom w:val="single" w:sz="4" w:space="0" w:color="auto"/>
              <w:right w:val="nil"/>
            </w:tcBorders>
            <w:vAlign w:val="center"/>
          </w:tcPr>
          <w:p w14:paraId="2A64034F"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1,173</w:t>
            </w:r>
          </w:p>
        </w:tc>
        <w:tc>
          <w:tcPr>
            <w:tcW w:w="964" w:type="dxa"/>
            <w:tcBorders>
              <w:left w:val="nil"/>
              <w:bottom w:val="single" w:sz="4" w:space="0" w:color="auto"/>
              <w:right w:val="single" w:sz="4" w:space="0" w:color="auto"/>
            </w:tcBorders>
            <w:vAlign w:val="center"/>
          </w:tcPr>
          <w:p w14:paraId="59DFBC13"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10.02%</w:t>
            </w:r>
          </w:p>
        </w:tc>
        <w:tc>
          <w:tcPr>
            <w:tcW w:w="1219" w:type="dxa"/>
            <w:tcBorders>
              <w:left w:val="single" w:sz="4" w:space="0" w:color="auto"/>
              <w:bottom w:val="single" w:sz="4" w:space="0" w:color="auto"/>
              <w:right w:val="nil"/>
            </w:tcBorders>
            <w:vAlign w:val="center"/>
          </w:tcPr>
          <w:p w14:paraId="773EFE97"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11,702</w:t>
            </w:r>
          </w:p>
        </w:tc>
        <w:tc>
          <w:tcPr>
            <w:tcW w:w="1219" w:type="dxa"/>
            <w:tcBorders>
              <w:left w:val="nil"/>
              <w:bottom w:val="single" w:sz="4" w:space="0" w:color="auto"/>
              <w:right w:val="single" w:sz="4" w:space="0" w:color="auto"/>
            </w:tcBorders>
            <w:vAlign w:val="center"/>
          </w:tcPr>
          <w:p w14:paraId="46B9D0F4"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13.38%</w:t>
            </w:r>
          </w:p>
        </w:tc>
      </w:tr>
    </w:tbl>
    <w:p w14:paraId="396E04E8" w14:textId="77777777" w:rsidR="001C4508" w:rsidRDefault="001C4508" w:rsidP="00CE2FDF">
      <w:pPr>
        <w:spacing w:before="0"/>
      </w:pPr>
      <w:r>
        <w:rPr>
          <w:b/>
          <w:bCs/>
        </w:rPr>
        <w:br w:type="page"/>
      </w:r>
    </w:p>
    <w:tbl>
      <w:tblPr>
        <w:tblStyle w:val="LightShading-Accent5"/>
        <w:tblW w:w="14425" w:type="dxa"/>
        <w:tblLayout w:type="fixed"/>
        <w:tblLook w:val="04A0" w:firstRow="1" w:lastRow="0" w:firstColumn="1" w:lastColumn="0" w:noHBand="0" w:noVBand="1"/>
        <w:tblCaption w:val="Number of reports of neglect, by year, reporter group, and outcome"/>
      </w:tblPr>
      <w:tblGrid>
        <w:gridCol w:w="2235"/>
        <w:gridCol w:w="1275"/>
        <w:gridCol w:w="1163"/>
        <w:gridCol w:w="1389"/>
        <w:gridCol w:w="1049"/>
        <w:gridCol w:w="1502"/>
        <w:gridCol w:w="936"/>
        <w:gridCol w:w="1474"/>
        <w:gridCol w:w="964"/>
        <w:gridCol w:w="1219"/>
        <w:gridCol w:w="1219"/>
      </w:tblGrid>
      <w:tr w:rsidR="001C4508" w:rsidRPr="00790280" w14:paraId="55B16EC1"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4CBF0B14" w14:textId="77777777" w:rsidR="001C4508" w:rsidRPr="00790280" w:rsidRDefault="001C4508" w:rsidP="00CE2FDF">
            <w:pPr>
              <w:keepNext/>
              <w:tabs>
                <w:tab w:val="left" w:pos="1134"/>
              </w:tabs>
              <w:spacing w:before="0" w:line="276" w:lineRule="auto"/>
              <w:jc w:val="center"/>
              <w:rPr>
                <w:rFonts w:cs="Arial"/>
                <w:color w:val="auto"/>
                <w:sz w:val="20"/>
                <w:szCs w:val="20"/>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818CD17"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A80C87E"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9985B25"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4ED7E51"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613EE7F"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Totals</w:t>
            </w:r>
          </w:p>
        </w:tc>
      </w:tr>
      <w:tr w:rsidR="002418F8" w:rsidRPr="00790280" w14:paraId="13048D92"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nil"/>
              <w:right w:val="single" w:sz="4" w:space="0" w:color="auto"/>
            </w:tcBorders>
            <w:noWrap/>
            <w:hideMark/>
          </w:tcPr>
          <w:p w14:paraId="12F2BC2E"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2005</w:t>
            </w:r>
          </w:p>
        </w:tc>
        <w:tc>
          <w:tcPr>
            <w:tcW w:w="1275" w:type="dxa"/>
            <w:tcBorders>
              <w:top w:val="single" w:sz="4" w:space="0" w:color="auto"/>
              <w:left w:val="single" w:sz="4" w:space="0" w:color="auto"/>
              <w:bottom w:val="nil"/>
            </w:tcBorders>
          </w:tcPr>
          <w:p w14:paraId="0529F0EE" w14:textId="77777777" w:rsidR="00790280" w:rsidRPr="00790280" w:rsidRDefault="00790280"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 </w:t>
            </w:r>
          </w:p>
        </w:tc>
        <w:tc>
          <w:tcPr>
            <w:tcW w:w="1163" w:type="dxa"/>
            <w:tcBorders>
              <w:top w:val="single" w:sz="4" w:space="0" w:color="auto"/>
              <w:bottom w:val="nil"/>
              <w:right w:val="single" w:sz="4" w:space="0" w:color="auto"/>
            </w:tcBorders>
            <w:vAlign w:val="center"/>
          </w:tcPr>
          <w:p w14:paraId="350C8120"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 </w:t>
            </w:r>
          </w:p>
        </w:tc>
        <w:tc>
          <w:tcPr>
            <w:tcW w:w="1389" w:type="dxa"/>
            <w:tcBorders>
              <w:top w:val="single" w:sz="4" w:space="0" w:color="auto"/>
              <w:left w:val="single" w:sz="4" w:space="0" w:color="auto"/>
              <w:bottom w:val="nil"/>
            </w:tcBorders>
          </w:tcPr>
          <w:p w14:paraId="3BC277FA" w14:textId="77777777" w:rsidR="00790280" w:rsidRPr="00790280" w:rsidRDefault="00790280"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 </w:t>
            </w:r>
          </w:p>
        </w:tc>
        <w:tc>
          <w:tcPr>
            <w:tcW w:w="1049" w:type="dxa"/>
            <w:tcBorders>
              <w:top w:val="single" w:sz="4" w:space="0" w:color="auto"/>
              <w:bottom w:val="nil"/>
              <w:right w:val="single" w:sz="4" w:space="0" w:color="auto"/>
            </w:tcBorders>
            <w:vAlign w:val="center"/>
          </w:tcPr>
          <w:p w14:paraId="2E81730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 </w:t>
            </w:r>
          </w:p>
        </w:tc>
        <w:tc>
          <w:tcPr>
            <w:tcW w:w="1502" w:type="dxa"/>
            <w:tcBorders>
              <w:top w:val="single" w:sz="4" w:space="0" w:color="auto"/>
              <w:left w:val="single" w:sz="4" w:space="0" w:color="auto"/>
              <w:bottom w:val="nil"/>
            </w:tcBorders>
          </w:tcPr>
          <w:p w14:paraId="3725EE9E" w14:textId="77777777" w:rsidR="00790280" w:rsidRPr="00790280" w:rsidRDefault="00790280"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 </w:t>
            </w:r>
          </w:p>
        </w:tc>
        <w:tc>
          <w:tcPr>
            <w:tcW w:w="936" w:type="dxa"/>
            <w:tcBorders>
              <w:top w:val="single" w:sz="4" w:space="0" w:color="auto"/>
              <w:bottom w:val="nil"/>
              <w:right w:val="single" w:sz="4" w:space="0" w:color="auto"/>
            </w:tcBorders>
            <w:vAlign w:val="center"/>
          </w:tcPr>
          <w:p w14:paraId="453FE389"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 </w:t>
            </w:r>
          </w:p>
        </w:tc>
        <w:tc>
          <w:tcPr>
            <w:tcW w:w="1474" w:type="dxa"/>
            <w:tcBorders>
              <w:top w:val="single" w:sz="4" w:space="0" w:color="auto"/>
              <w:left w:val="single" w:sz="4" w:space="0" w:color="auto"/>
              <w:bottom w:val="nil"/>
            </w:tcBorders>
          </w:tcPr>
          <w:p w14:paraId="3F08EB31" w14:textId="77777777" w:rsidR="00790280" w:rsidRPr="00790280" w:rsidRDefault="00790280"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 </w:t>
            </w:r>
          </w:p>
        </w:tc>
        <w:tc>
          <w:tcPr>
            <w:tcW w:w="964" w:type="dxa"/>
            <w:tcBorders>
              <w:top w:val="single" w:sz="4" w:space="0" w:color="auto"/>
              <w:bottom w:val="nil"/>
              <w:right w:val="single" w:sz="4" w:space="0" w:color="auto"/>
            </w:tcBorders>
          </w:tcPr>
          <w:p w14:paraId="54338A45" w14:textId="77777777" w:rsidR="00790280" w:rsidRPr="00790280" w:rsidRDefault="00790280" w:rsidP="00CE2FDF">
            <w:pPr>
              <w:spacing w:before="0" w:line="276"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 </w:t>
            </w:r>
          </w:p>
        </w:tc>
        <w:tc>
          <w:tcPr>
            <w:tcW w:w="1219" w:type="dxa"/>
            <w:tcBorders>
              <w:top w:val="single" w:sz="4" w:space="0" w:color="auto"/>
              <w:left w:val="single" w:sz="4" w:space="0" w:color="auto"/>
              <w:bottom w:val="nil"/>
            </w:tcBorders>
            <w:vAlign w:val="center"/>
          </w:tcPr>
          <w:p w14:paraId="584C603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 </w:t>
            </w:r>
          </w:p>
        </w:tc>
        <w:tc>
          <w:tcPr>
            <w:tcW w:w="1219" w:type="dxa"/>
            <w:tcBorders>
              <w:top w:val="single" w:sz="4" w:space="0" w:color="auto"/>
              <w:bottom w:val="nil"/>
              <w:right w:val="single" w:sz="4" w:space="0" w:color="auto"/>
            </w:tcBorders>
            <w:vAlign w:val="center"/>
          </w:tcPr>
          <w:p w14:paraId="051508F0"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 </w:t>
            </w:r>
          </w:p>
        </w:tc>
      </w:tr>
      <w:tr w:rsidR="001C4508" w:rsidRPr="00790280" w14:paraId="5CA3EC16"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right w:val="single" w:sz="4" w:space="0" w:color="auto"/>
            </w:tcBorders>
            <w:noWrap/>
            <w:hideMark/>
          </w:tcPr>
          <w:p w14:paraId="30B7DE3A"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75" w:type="dxa"/>
            <w:tcBorders>
              <w:top w:val="nil"/>
              <w:left w:val="single" w:sz="4" w:space="0" w:color="auto"/>
            </w:tcBorders>
            <w:vAlign w:val="center"/>
          </w:tcPr>
          <w:p w14:paraId="18D515C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114</w:t>
            </w:r>
          </w:p>
        </w:tc>
        <w:tc>
          <w:tcPr>
            <w:tcW w:w="1163" w:type="dxa"/>
            <w:tcBorders>
              <w:top w:val="nil"/>
              <w:right w:val="single" w:sz="4" w:space="0" w:color="auto"/>
            </w:tcBorders>
            <w:vAlign w:val="center"/>
          </w:tcPr>
          <w:p w14:paraId="41B19B2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1.01%</w:t>
            </w:r>
          </w:p>
        </w:tc>
        <w:tc>
          <w:tcPr>
            <w:tcW w:w="1389" w:type="dxa"/>
            <w:tcBorders>
              <w:top w:val="nil"/>
              <w:left w:val="single" w:sz="4" w:space="0" w:color="auto"/>
            </w:tcBorders>
            <w:vAlign w:val="center"/>
          </w:tcPr>
          <w:p w14:paraId="55993C6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63</w:t>
            </w:r>
          </w:p>
        </w:tc>
        <w:tc>
          <w:tcPr>
            <w:tcW w:w="1049" w:type="dxa"/>
            <w:tcBorders>
              <w:top w:val="nil"/>
              <w:right w:val="single" w:sz="4" w:space="0" w:color="auto"/>
            </w:tcBorders>
            <w:vAlign w:val="center"/>
          </w:tcPr>
          <w:p w14:paraId="72AECEB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0.56%</w:t>
            </w:r>
          </w:p>
        </w:tc>
        <w:tc>
          <w:tcPr>
            <w:tcW w:w="1502" w:type="dxa"/>
            <w:tcBorders>
              <w:top w:val="nil"/>
              <w:left w:val="single" w:sz="4" w:space="0" w:color="auto"/>
            </w:tcBorders>
            <w:vAlign w:val="center"/>
          </w:tcPr>
          <w:p w14:paraId="373E705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36</w:t>
            </w:r>
          </w:p>
        </w:tc>
        <w:tc>
          <w:tcPr>
            <w:tcW w:w="936" w:type="dxa"/>
            <w:tcBorders>
              <w:top w:val="nil"/>
              <w:right w:val="single" w:sz="4" w:space="0" w:color="auto"/>
            </w:tcBorders>
            <w:vAlign w:val="center"/>
          </w:tcPr>
          <w:p w14:paraId="7168BCA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0.32%</w:t>
            </w:r>
          </w:p>
        </w:tc>
        <w:tc>
          <w:tcPr>
            <w:tcW w:w="1474" w:type="dxa"/>
            <w:tcBorders>
              <w:top w:val="nil"/>
              <w:left w:val="single" w:sz="4" w:space="0" w:color="auto"/>
            </w:tcBorders>
            <w:vAlign w:val="center"/>
          </w:tcPr>
          <w:p w14:paraId="5A1A46F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27</w:t>
            </w:r>
          </w:p>
        </w:tc>
        <w:tc>
          <w:tcPr>
            <w:tcW w:w="964" w:type="dxa"/>
            <w:tcBorders>
              <w:top w:val="nil"/>
              <w:right w:val="single" w:sz="4" w:space="0" w:color="auto"/>
            </w:tcBorders>
            <w:vAlign w:val="center"/>
          </w:tcPr>
          <w:p w14:paraId="3D20FB3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0.24%</w:t>
            </w:r>
          </w:p>
        </w:tc>
        <w:tc>
          <w:tcPr>
            <w:tcW w:w="1219" w:type="dxa"/>
            <w:tcBorders>
              <w:top w:val="nil"/>
              <w:left w:val="single" w:sz="4" w:space="0" w:color="auto"/>
            </w:tcBorders>
            <w:vAlign w:val="center"/>
          </w:tcPr>
          <w:p w14:paraId="35537C5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177</w:t>
            </w:r>
          </w:p>
        </w:tc>
        <w:tc>
          <w:tcPr>
            <w:tcW w:w="1219" w:type="dxa"/>
            <w:tcBorders>
              <w:top w:val="nil"/>
              <w:right w:val="single" w:sz="4" w:space="0" w:color="auto"/>
            </w:tcBorders>
            <w:vAlign w:val="center"/>
          </w:tcPr>
          <w:p w14:paraId="5ED641B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1.57%</w:t>
            </w:r>
          </w:p>
        </w:tc>
      </w:tr>
      <w:tr w:rsidR="001C4508" w:rsidRPr="00790280" w14:paraId="797310C8"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7A4E355"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75" w:type="dxa"/>
            <w:tcBorders>
              <w:left w:val="single" w:sz="4" w:space="0" w:color="auto"/>
            </w:tcBorders>
            <w:vAlign w:val="center"/>
          </w:tcPr>
          <w:p w14:paraId="2BB1F77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186</w:t>
            </w:r>
          </w:p>
        </w:tc>
        <w:tc>
          <w:tcPr>
            <w:tcW w:w="1163" w:type="dxa"/>
            <w:tcBorders>
              <w:right w:val="single" w:sz="4" w:space="0" w:color="auto"/>
            </w:tcBorders>
            <w:vAlign w:val="center"/>
          </w:tcPr>
          <w:p w14:paraId="656F63E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1.65%</w:t>
            </w:r>
          </w:p>
        </w:tc>
        <w:tc>
          <w:tcPr>
            <w:tcW w:w="1389" w:type="dxa"/>
            <w:tcBorders>
              <w:left w:val="single" w:sz="4" w:space="0" w:color="auto"/>
            </w:tcBorders>
            <w:vAlign w:val="center"/>
          </w:tcPr>
          <w:p w14:paraId="7D5950D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198</w:t>
            </w:r>
          </w:p>
        </w:tc>
        <w:tc>
          <w:tcPr>
            <w:tcW w:w="1049" w:type="dxa"/>
            <w:tcBorders>
              <w:right w:val="single" w:sz="4" w:space="0" w:color="auto"/>
            </w:tcBorders>
            <w:vAlign w:val="center"/>
          </w:tcPr>
          <w:p w14:paraId="667E33F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1.75%</w:t>
            </w:r>
          </w:p>
        </w:tc>
        <w:tc>
          <w:tcPr>
            <w:tcW w:w="1502" w:type="dxa"/>
            <w:tcBorders>
              <w:left w:val="single" w:sz="4" w:space="0" w:color="auto"/>
            </w:tcBorders>
            <w:vAlign w:val="center"/>
          </w:tcPr>
          <w:p w14:paraId="129CAD6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139</w:t>
            </w:r>
          </w:p>
        </w:tc>
        <w:tc>
          <w:tcPr>
            <w:tcW w:w="936" w:type="dxa"/>
            <w:tcBorders>
              <w:right w:val="single" w:sz="4" w:space="0" w:color="auto"/>
            </w:tcBorders>
            <w:vAlign w:val="center"/>
          </w:tcPr>
          <w:p w14:paraId="1FB5090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1.23%</w:t>
            </w:r>
          </w:p>
        </w:tc>
        <w:tc>
          <w:tcPr>
            <w:tcW w:w="1474" w:type="dxa"/>
            <w:tcBorders>
              <w:left w:val="single" w:sz="4" w:space="0" w:color="auto"/>
            </w:tcBorders>
            <w:vAlign w:val="center"/>
          </w:tcPr>
          <w:p w14:paraId="7F275B3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59</w:t>
            </w:r>
          </w:p>
        </w:tc>
        <w:tc>
          <w:tcPr>
            <w:tcW w:w="964" w:type="dxa"/>
            <w:tcBorders>
              <w:right w:val="single" w:sz="4" w:space="0" w:color="auto"/>
            </w:tcBorders>
            <w:vAlign w:val="center"/>
          </w:tcPr>
          <w:p w14:paraId="23E3C78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0.52%</w:t>
            </w:r>
          </w:p>
        </w:tc>
        <w:tc>
          <w:tcPr>
            <w:tcW w:w="1219" w:type="dxa"/>
            <w:tcBorders>
              <w:left w:val="single" w:sz="4" w:space="0" w:color="auto"/>
            </w:tcBorders>
            <w:vAlign w:val="center"/>
          </w:tcPr>
          <w:p w14:paraId="746AE28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384</w:t>
            </w:r>
          </w:p>
        </w:tc>
        <w:tc>
          <w:tcPr>
            <w:tcW w:w="1219" w:type="dxa"/>
            <w:tcBorders>
              <w:right w:val="single" w:sz="4" w:space="0" w:color="auto"/>
            </w:tcBorders>
            <w:vAlign w:val="center"/>
          </w:tcPr>
          <w:p w14:paraId="4382513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3.40%</w:t>
            </w:r>
          </w:p>
        </w:tc>
      </w:tr>
      <w:tr w:rsidR="001C4508" w:rsidRPr="00790280" w14:paraId="08DE1F47"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E57CC61"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75" w:type="dxa"/>
            <w:tcBorders>
              <w:left w:val="single" w:sz="4" w:space="0" w:color="auto"/>
            </w:tcBorders>
            <w:vAlign w:val="center"/>
          </w:tcPr>
          <w:p w14:paraId="19488BA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1,058</w:t>
            </w:r>
          </w:p>
        </w:tc>
        <w:tc>
          <w:tcPr>
            <w:tcW w:w="1163" w:type="dxa"/>
            <w:tcBorders>
              <w:right w:val="single" w:sz="4" w:space="0" w:color="auto"/>
            </w:tcBorders>
            <w:vAlign w:val="center"/>
          </w:tcPr>
          <w:p w14:paraId="0F22DE3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9.37%</w:t>
            </w:r>
          </w:p>
        </w:tc>
        <w:tc>
          <w:tcPr>
            <w:tcW w:w="1389" w:type="dxa"/>
            <w:tcBorders>
              <w:left w:val="single" w:sz="4" w:space="0" w:color="auto"/>
            </w:tcBorders>
            <w:vAlign w:val="center"/>
          </w:tcPr>
          <w:p w14:paraId="47B3953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522</w:t>
            </w:r>
          </w:p>
        </w:tc>
        <w:tc>
          <w:tcPr>
            <w:tcW w:w="1049" w:type="dxa"/>
            <w:tcBorders>
              <w:right w:val="single" w:sz="4" w:space="0" w:color="auto"/>
            </w:tcBorders>
            <w:vAlign w:val="center"/>
          </w:tcPr>
          <w:p w14:paraId="4F6FF90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4.62%</w:t>
            </w:r>
          </w:p>
        </w:tc>
        <w:tc>
          <w:tcPr>
            <w:tcW w:w="1502" w:type="dxa"/>
            <w:tcBorders>
              <w:left w:val="single" w:sz="4" w:space="0" w:color="auto"/>
            </w:tcBorders>
            <w:vAlign w:val="center"/>
          </w:tcPr>
          <w:p w14:paraId="15B2700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411</w:t>
            </w:r>
          </w:p>
        </w:tc>
        <w:tc>
          <w:tcPr>
            <w:tcW w:w="936" w:type="dxa"/>
            <w:tcBorders>
              <w:right w:val="single" w:sz="4" w:space="0" w:color="auto"/>
            </w:tcBorders>
            <w:vAlign w:val="center"/>
          </w:tcPr>
          <w:p w14:paraId="798032C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3.64%</w:t>
            </w:r>
          </w:p>
        </w:tc>
        <w:tc>
          <w:tcPr>
            <w:tcW w:w="1474" w:type="dxa"/>
            <w:tcBorders>
              <w:left w:val="single" w:sz="4" w:space="0" w:color="auto"/>
            </w:tcBorders>
            <w:vAlign w:val="center"/>
          </w:tcPr>
          <w:p w14:paraId="4629CB2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111</w:t>
            </w:r>
          </w:p>
        </w:tc>
        <w:tc>
          <w:tcPr>
            <w:tcW w:w="964" w:type="dxa"/>
            <w:tcBorders>
              <w:right w:val="single" w:sz="4" w:space="0" w:color="auto"/>
            </w:tcBorders>
            <w:vAlign w:val="center"/>
          </w:tcPr>
          <w:p w14:paraId="4C63413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0.98%</w:t>
            </w:r>
          </w:p>
        </w:tc>
        <w:tc>
          <w:tcPr>
            <w:tcW w:w="1219" w:type="dxa"/>
            <w:tcBorders>
              <w:left w:val="single" w:sz="4" w:space="0" w:color="auto"/>
            </w:tcBorders>
            <w:vAlign w:val="center"/>
          </w:tcPr>
          <w:p w14:paraId="16C93DE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1,580</w:t>
            </w:r>
          </w:p>
        </w:tc>
        <w:tc>
          <w:tcPr>
            <w:tcW w:w="1219" w:type="dxa"/>
            <w:tcBorders>
              <w:right w:val="single" w:sz="4" w:space="0" w:color="auto"/>
            </w:tcBorders>
            <w:vAlign w:val="center"/>
          </w:tcPr>
          <w:p w14:paraId="4158DB3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13.99%</w:t>
            </w:r>
          </w:p>
        </w:tc>
      </w:tr>
      <w:tr w:rsidR="001C4508" w:rsidRPr="00790280" w14:paraId="57386768"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C62A1E9"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tcBorders>
            <w:vAlign w:val="center"/>
          </w:tcPr>
          <w:p w14:paraId="7EEA4D8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661</w:t>
            </w:r>
          </w:p>
        </w:tc>
        <w:tc>
          <w:tcPr>
            <w:tcW w:w="1163" w:type="dxa"/>
            <w:tcBorders>
              <w:right w:val="single" w:sz="4" w:space="0" w:color="auto"/>
            </w:tcBorders>
            <w:vAlign w:val="center"/>
          </w:tcPr>
          <w:p w14:paraId="7DADCEE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5.85%</w:t>
            </w:r>
          </w:p>
        </w:tc>
        <w:tc>
          <w:tcPr>
            <w:tcW w:w="1389" w:type="dxa"/>
            <w:tcBorders>
              <w:left w:val="single" w:sz="4" w:space="0" w:color="auto"/>
            </w:tcBorders>
            <w:vAlign w:val="center"/>
          </w:tcPr>
          <w:p w14:paraId="0FE71BB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190</w:t>
            </w:r>
          </w:p>
        </w:tc>
        <w:tc>
          <w:tcPr>
            <w:tcW w:w="1049" w:type="dxa"/>
            <w:tcBorders>
              <w:right w:val="single" w:sz="4" w:space="0" w:color="auto"/>
            </w:tcBorders>
            <w:vAlign w:val="center"/>
          </w:tcPr>
          <w:p w14:paraId="301EB39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1.68%</w:t>
            </w:r>
          </w:p>
        </w:tc>
        <w:tc>
          <w:tcPr>
            <w:tcW w:w="1502" w:type="dxa"/>
            <w:tcBorders>
              <w:left w:val="single" w:sz="4" w:space="0" w:color="auto"/>
            </w:tcBorders>
            <w:vAlign w:val="center"/>
          </w:tcPr>
          <w:p w14:paraId="24DD651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113</w:t>
            </w:r>
          </w:p>
        </w:tc>
        <w:tc>
          <w:tcPr>
            <w:tcW w:w="936" w:type="dxa"/>
            <w:tcBorders>
              <w:right w:val="single" w:sz="4" w:space="0" w:color="auto"/>
            </w:tcBorders>
            <w:vAlign w:val="center"/>
          </w:tcPr>
          <w:p w14:paraId="5C7C72D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1.00%</w:t>
            </w:r>
          </w:p>
        </w:tc>
        <w:tc>
          <w:tcPr>
            <w:tcW w:w="1474" w:type="dxa"/>
            <w:tcBorders>
              <w:left w:val="single" w:sz="4" w:space="0" w:color="auto"/>
            </w:tcBorders>
            <w:vAlign w:val="center"/>
          </w:tcPr>
          <w:p w14:paraId="2D4E2DC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77</w:t>
            </w:r>
          </w:p>
        </w:tc>
        <w:tc>
          <w:tcPr>
            <w:tcW w:w="964" w:type="dxa"/>
            <w:tcBorders>
              <w:right w:val="single" w:sz="4" w:space="0" w:color="auto"/>
            </w:tcBorders>
            <w:vAlign w:val="center"/>
          </w:tcPr>
          <w:p w14:paraId="2B3FAB7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0.68%</w:t>
            </w:r>
          </w:p>
        </w:tc>
        <w:tc>
          <w:tcPr>
            <w:tcW w:w="1219" w:type="dxa"/>
            <w:tcBorders>
              <w:left w:val="single" w:sz="4" w:space="0" w:color="auto"/>
            </w:tcBorders>
            <w:vAlign w:val="center"/>
          </w:tcPr>
          <w:p w14:paraId="44A21BE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851</w:t>
            </w:r>
          </w:p>
        </w:tc>
        <w:tc>
          <w:tcPr>
            <w:tcW w:w="1219" w:type="dxa"/>
            <w:tcBorders>
              <w:right w:val="single" w:sz="4" w:space="0" w:color="auto"/>
            </w:tcBorders>
            <w:vAlign w:val="center"/>
          </w:tcPr>
          <w:p w14:paraId="1A15F3D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7.53%</w:t>
            </w:r>
          </w:p>
        </w:tc>
      </w:tr>
      <w:tr w:rsidR="001C4508" w:rsidRPr="00790280" w14:paraId="0F5CCFA8"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29E3D4A1"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tcBorders>
            <w:vAlign w:val="center"/>
          </w:tcPr>
          <w:p w14:paraId="2460E1C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22</w:t>
            </w:r>
          </w:p>
        </w:tc>
        <w:tc>
          <w:tcPr>
            <w:tcW w:w="1163" w:type="dxa"/>
            <w:tcBorders>
              <w:right w:val="single" w:sz="4" w:space="0" w:color="auto"/>
            </w:tcBorders>
            <w:vAlign w:val="center"/>
          </w:tcPr>
          <w:p w14:paraId="33C27F7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0.19%</w:t>
            </w:r>
          </w:p>
        </w:tc>
        <w:tc>
          <w:tcPr>
            <w:tcW w:w="1389" w:type="dxa"/>
            <w:tcBorders>
              <w:left w:val="single" w:sz="4" w:space="0" w:color="auto"/>
            </w:tcBorders>
            <w:vAlign w:val="center"/>
          </w:tcPr>
          <w:p w14:paraId="47A0A87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w:t>
            </w:r>
          </w:p>
        </w:tc>
        <w:tc>
          <w:tcPr>
            <w:tcW w:w="1049" w:type="dxa"/>
            <w:tcBorders>
              <w:right w:val="single" w:sz="4" w:space="0" w:color="auto"/>
            </w:tcBorders>
            <w:vAlign w:val="center"/>
          </w:tcPr>
          <w:p w14:paraId="796C75F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0.06%</w:t>
            </w:r>
          </w:p>
        </w:tc>
        <w:tc>
          <w:tcPr>
            <w:tcW w:w="1502" w:type="dxa"/>
            <w:tcBorders>
              <w:left w:val="single" w:sz="4" w:space="0" w:color="auto"/>
            </w:tcBorders>
            <w:vAlign w:val="center"/>
          </w:tcPr>
          <w:p w14:paraId="50F735B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w:t>
            </w:r>
          </w:p>
        </w:tc>
        <w:tc>
          <w:tcPr>
            <w:tcW w:w="936" w:type="dxa"/>
            <w:tcBorders>
              <w:right w:val="single" w:sz="4" w:space="0" w:color="auto"/>
            </w:tcBorders>
            <w:vAlign w:val="center"/>
          </w:tcPr>
          <w:p w14:paraId="36D3859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0.05%</w:t>
            </w:r>
          </w:p>
        </w:tc>
        <w:tc>
          <w:tcPr>
            <w:tcW w:w="1474" w:type="dxa"/>
            <w:tcBorders>
              <w:left w:val="single" w:sz="4" w:space="0" w:color="auto"/>
            </w:tcBorders>
            <w:vAlign w:val="center"/>
          </w:tcPr>
          <w:p w14:paraId="6BB7E35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w:t>
            </w:r>
          </w:p>
        </w:tc>
        <w:tc>
          <w:tcPr>
            <w:tcW w:w="964" w:type="dxa"/>
            <w:tcBorders>
              <w:right w:val="single" w:sz="4" w:space="0" w:color="auto"/>
            </w:tcBorders>
            <w:vAlign w:val="center"/>
          </w:tcPr>
          <w:p w14:paraId="08996E6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0.01%</w:t>
            </w:r>
          </w:p>
        </w:tc>
        <w:tc>
          <w:tcPr>
            <w:tcW w:w="1219" w:type="dxa"/>
            <w:tcBorders>
              <w:left w:val="single" w:sz="4" w:space="0" w:color="auto"/>
            </w:tcBorders>
            <w:vAlign w:val="center"/>
          </w:tcPr>
          <w:p w14:paraId="012C36C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29</w:t>
            </w:r>
          </w:p>
        </w:tc>
        <w:tc>
          <w:tcPr>
            <w:tcW w:w="1219" w:type="dxa"/>
            <w:tcBorders>
              <w:right w:val="single" w:sz="4" w:space="0" w:color="auto"/>
            </w:tcBorders>
            <w:vAlign w:val="center"/>
          </w:tcPr>
          <w:p w14:paraId="183DA12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0.26%</w:t>
            </w:r>
          </w:p>
        </w:tc>
      </w:tr>
      <w:tr w:rsidR="001C4508" w:rsidRPr="00790280" w14:paraId="611BC78A"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697279F"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tcBorders>
            <w:vAlign w:val="center"/>
          </w:tcPr>
          <w:p w14:paraId="1FD8012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2,041</w:t>
            </w:r>
          </w:p>
        </w:tc>
        <w:tc>
          <w:tcPr>
            <w:tcW w:w="1163" w:type="dxa"/>
            <w:tcBorders>
              <w:right w:val="single" w:sz="4" w:space="0" w:color="auto"/>
            </w:tcBorders>
            <w:vAlign w:val="center"/>
          </w:tcPr>
          <w:p w14:paraId="3CB1E7B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18.07%</w:t>
            </w:r>
          </w:p>
        </w:tc>
        <w:tc>
          <w:tcPr>
            <w:tcW w:w="1389" w:type="dxa"/>
            <w:tcBorders>
              <w:left w:val="single" w:sz="4" w:space="0" w:color="auto"/>
            </w:tcBorders>
            <w:vAlign w:val="center"/>
          </w:tcPr>
          <w:p w14:paraId="10129B6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980</w:t>
            </w:r>
          </w:p>
        </w:tc>
        <w:tc>
          <w:tcPr>
            <w:tcW w:w="1049" w:type="dxa"/>
            <w:tcBorders>
              <w:right w:val="single" w:sz="4" w:space="0" w:color="auto"/>
            </w:tcBorders>
            <w:vAlign w:val="center"/>
          </w:tcPr>
          <w:p w14:paraId="34E00B3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8.68%</w:t>
            </w:r>
          </w:p>
        </w:tc>
        <w:tc>
          <w:tcPr>
            <w:tcW w:w="1502" w:type="dxa"/>
            <w:tcBorders>
              <w:left w:val="single" w:sz="4" w:space="0" w:color="auto"/>
            </w:tcBorders>
            <w:vAlign w:val="center"/>
          </w:tcPr>
          <w:p w14:paraId="121C210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705</w:t>
            </w:r>
          </w:p>
        </w:tc>
        <w:tc>
          <w:tcPr>
            <w:tcW w:w="936" w:type="dxa"/>
            <w:tcBorders>
              <w:right w:val="single" w:sz="4" w:space="0" w:color="auto"/>
            </w:tcBorders>
            <w:vAlign w:val="center"/>
          </w:tcPr>
          <w:p w14:paraId="5C2C5C7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6.24%</w:t>
            </w:r>
          </w:p>
        </w:tc>
        <w:tc>
          <w:tcPr>
            <w:tcW w:w="1474" w:type="dxa"/>
            <w:tcBorders>
              <w:left w:val="single" w:sz="4" w:space="0" w:color="auto"/>
            </w:tcBorders>
            <w:vAlign w:val="center"/>
          </w:tcPr>
          <w:p w14:paraId="2CE4274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275</w:t>
            </w:r>
          </w:p>
        </w:tc>
        <w:tc>
          <w:tcPr>
            <w:tcW w:w="964" w:type="dxa"/>
            <w:tcBorders>
              <w:right w:val="single" w:sz="4" w:space="0" w:color="auto"/>
            </w:tcBorders>
            <w:vAlign w:val="center"/>
          </w:tcPr>
          <w:p w14:paraId="47C3DE2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2.43%</w:t>
            </w:r>
          </w:p>
        </w:tc>
        <w:tc>
          <w:tcPr>
            <w:tcW w:w="1219" w:type="dxa"/>
            <w:tcBorders>
              <w:left w:val="single" w:sz="4" w:space="0" w:color="auto"/>
            </w:tcBorders>
            <w:vAlign w:val="center"/>
          </w:tcPr>
          <w:p w14:paraId="402D842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3,021</w:t>
            </w:r>
          </w:p>
        </w:tc>
        <w:tc>
          <w:tcPr>
            <w:tcW w:w="1219" w:type="dxa"/>
            <w:tcBorders>
              <w:right w:val="single" w:sz="4" w:space="0" w:color="auto"/>
            </w:tcBorders>
            <w:vAlign w:val="center"/>
          </w:tcPr>
          <w:p w14:paraId="2D34E40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26.75%</w:t>
            </w:r>
          </w:p>
        </w:tc>
      </w:tr>
      <w:tr w:rsidR="001C4508" w:rsidRPr="00790280" w14:paraId="41446F63"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1C2D66C"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tcBorders>
            <w:vAlign w:val="center"/>
          </w:tcPr>
          <w:p w14:paraId="2AA8A62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6,279</w:t>
            </w:r>
          </w:p>
        </w:tc>
        <w:tc>
          <w:tcPr>
            <w:tcW w:w="1163" w:type="dxa"/>
            <w:tcBorders>
              <w:right w:val="single" w:sz="4" w:space="0" w:color="auto"/>
            </w:tcBorders>
            <w:vAlign w:val="center"/>
          </w:tcPr>
          <w:p w14:paraId="22FC0E5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55.59%</w:t>
            </w:r>
          </w:p>
        </w:tc>
        <w:tc>
          <w:tcPr>
            <w:tcW w:w="1389" w:type="dxa"/>
            <w:tcBorders>
              <w:left w:val="single" w:sz="4" w:space="0" w:color="auto"/>
            </w:tcBorders>
            <w:vAlign w:val="center"/>
          </w:tcPr>
          <w:p w14:paraId="3ABF62C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1,995</w:t>
            </w:r>
          </w:p>
        </w:tc>
        <w:tc>
          <w:tcPr>
            <w:tcW w:w="1049" w:type="dxa"/>
            <w:tcBorders>
              <w:right w:val="single" w:sz="4" w:space="0" w:color="auto"/>
            </w:tcBorders>
            <w:vAlign w:val="center"/>
          </w:tcPr>
          <w:p w14:paraId="5B3DE64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17.66%</w:t>
            </w:r>
          </w:p>
        </w:tc>
        <w:tc>
          <w:tcPr>
            <w:tcW w:w="1502" w:type="dxa"/>
            <w:tcBorders>
              <w:left w:val="single" w:sz="4" w:space="0" w:color="auto"/>
            </w:tcBorders>
            <w:vAlign w:val="center"/>
          </w:tcPr>
          <w:p w14:paraId="70B723A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1,250</w:t>
            </w:r>
          </w:p>
        </w:tc>
        <w:tc>
          <w:tcPr>
            <w:tcW w:w="936" w:type="dxa"/>
            <w:tcBorders>
              <w:right w:val="single" w:sz="4" w:space="0" w:color="auto"/>
            </w:tcBorders>
            <w:vAlign w:val="center"/>
          </w:tcPr>
          <w:p w14:paraId="3CDFA7E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11.07%</w:t>
            </w:r>
          </w:p>
        </w:tc>
        <w:tc>
          <w:tcPr>
            <w:tcW w:w="1474" w:type="dxa"/>
            <w:tcBorders>
              <w:left w:val="single" w:sz="4" w:space="0" w:color="auto"/>
            </w:tcBorders>
            <w:vAlign w:val="center"/>
          </w:tcPr>
          <w:p w14:paraId="6B39ABB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745</w:t>
            </w:r>
          </w:p>
        </w:tc>
        <w:tc>
          <w:tcPr>
            <w:tcW w:w="964" w:type="dxa"/>
            <w:tcBorders>
              <w:right w:val="single" w:sz="4" w:space="0" w:color="auto"/>
            </w:tcBorders>
            <w:vAlign w:val="center"/>
          </w:tcPr>
          <w:p w14:paraId="1E7DD1B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6.60%</w:t>
            </w:r>
          </w:p>
        </w:tc>
        <w:tc>
          <w:tcPr>
            <w:tcW w:w="1219" w:type="dxa"/>
            <w:tcBorders>
              <w:left w:val="single" w:sz="4" w:space="0" w:color="auto"/>
            </w:tcBorders>
            <w:vAlign w:val="center"/>
          </w:tcPr>
          <w:p w14:paraId="5BE4317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8,274</w:t>
            </w:r>
          </w:p>
        </w:tc>
        <w:tc>
          <w:tcPr>
            <w:tcW w:w="1219" w:type="dxa"/>
            <w:tcBorders>
              <w:right w:val="single" w:sz="4" w:space="0" w:color="auto"/>
            </w:tcBorders>
            <w:vAlign w:val="center"/>
          </w:tcPr>
          <w:p w14:paraId="5C4AEBC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73.25%</w:t>
            </w:r>
          </w:p>
        </w:tc>
      </w:tr>
      <w:tr w:rsidR="002418F8" w:rsidRPr="00790280" w14:paraId="7FD6F7F9"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noWrap/>
            <w:hideMark/>
          </w:tcPr>
          <w:p w14:paraId="7971FBFB"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tcBorders>
            <w:vAlign w:val="center"/>
          </w:tcPr>
          <w:p w14:paraId="24DCD647"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790280">
              <w:rPr>
                <w:bCs/>
                <w:color w:val="auto"/>
                <w:sz w:val="20"/>
                <w:szCs w:val="20"/>
              </w:rPr>
              <w:t>8,320</w:t>
            </w:r>
          </w:p>
        </w:tc>
        <w:tc>
          <w:tcPr>
            <w:tcW w:w="1163" w:type="dxa"/>
            <w:tcBorders>
              <w:bottom w:val="single" w:sz="4" w:space="0" w:color="auto"/>
              <w:right w:val="single" w:sz="4" w:space="0" w:color="auto"/>
            </w:tcBorders>
            <w:vAlign w:val="center"/>
          </w:tcPr>
          <w:p w14:paraId="471532A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73.66%</w:t>
            </w:r>
          </w:p>
        </w:tc>
        <w:tc>
          <w:tcPr>
            <w:tcW w:w="1389" w:type="dxa"/>
            <w:tcBorders>
              <w:left w:val="single" w:sz="4" w:space="0" w:color="auto"/>
              <w:bottom w:val="single" w:sz="4" w:space="0" w:color="auto"/>
            </w:tcBorders>
            <w:vAlign w:val="center"/>
          </w:tcPr>
          <w:p w14:paraId="1344970C"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790280">
              <w:rPr>
                <w:bCs/>
                <w:color w:val="auto"/>
                <w:sz w:val="20"/>
                <w:szCs w:val="20"/>
              </w:rPr>
              <w:t>2,975</w:t>
            </w:r>
          </w:p>
        </w:tc>
        <w:tc>
          <w:tcPr>
            <w:tcW w:w="1049" w:type="dxa"/>
            <w:tcBorders>
              <w:bottom w:val="single" w:sz="4" w:space="0" w:color="auto"/>
              <w:right w:val="single" w:sz="4" w:space="0" w:color="auto"/>
            </w:tcBorders>
            <w:vAlign w:val="center"/>
          </w:tcPr>
          <w:p w14:paraId="49635630"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26.34%</w:t>
            </w:r>
          </w:p>
        </w:tc>
        <w:tc>
          <w:tcPr>
            <w:tcW w:w="1502" w:type="dxa"/>
            <w:tcBorders>
              <w:left w:val="single" w:sz="4" w:space="0" w:color="auto"/>
              <w:bottom w:val="single" w:sz="4" w:space="0" w:color="auto"/>
            </w:tcBorders>
            <w:vAlign w:val="center"/>
          </w:tcPr>
          <w:p w14:paraId="02EE5D70"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790280">
              <w:rPr>
                <w:bCs/>
                <w:color w:val="auto"/>
                <w:sz w:val="20"/>
                <w:szCs w:val="20"/>
              </w:rPr>
              <w:t>1,955</w:t>
            </w:r>
          </w:p>
        </w:tc>
        <w:tc>
          <w:tcPr>
            <w:tcW w:w="936" w:type="dxa"/>
            <w:tcBorders>
              <w:bottom w:val="single" w:sz="4" w:space="0" w:color="auto"/>
              <w:right w:val="single" w:sz="4" w:space="0" w:color="auto"/>
            </w:tcBorders>
            <w:vAlign w:val="center"/>
          </w:tcPr>
          <w:p w14:paraId="0D8337A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17.31%</w:t>
            </w:r>
          </w:p>
        </w:tc>
        <w:tc>
          <w:tcPr>
            <w:tcW w:w="1474" w:type="dxa"/>
            <w:tcBorders>
              <w:left w:val="single" w:sz="4" w:space="0" w:color="auto"/>
              <w:bottom w:val="single" w:sz="4" w:space="0" w:color="auto"/>
            </w:tcBorders>
            <w:vAlign w:val="center"/>
          </w:tcPr>
          <w:p w14:paraId="7DFBC53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790280">
              <w:rPr>
                <w:bCs/>
                <w:color w:val="auto"/>
                <w:sz w:val="20"/>
                <w:szCs w:val="20"/>
              </w:rPr>
              <w:t>1,020</w:t>
            </w:r>
          </w:p>
        </w:tc>
        <w:tc>
          <w:tcPr>
            <w:tcW w:w="964" w:type="dxa"/>
            <w:tcBorders>
              <w:bottom w:val="single" w:sz="4" w:space="0" w:color="auto"/>
              <w:right w:val="single" w:sz="4" w:space="0" w:color="auto"/>
            </w:tcBorders>
            <w:vAlign w:val="center"/>
          </w:tcPr>
          <w:p w14:paraId="3EC97F89"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9.03%</w:t>
            </w:r>
          </w:p>
        </w:tc>
        <w:tc>
          <w:tcPr>
            <w:tcW w:w="1219" w:type="dxa"/>
            <w:tcBorders>
              <w:left w:val="single" w:sz="4" w:space="0" w:color="auto"/>
              <w:bottom w:val="single" w:sz="4" w:space="0" w:color="auto"/>
            </w:tcBorders>
            <w:vAlign w:val="center"/>
          </w:tcPr>
          <w:p w14:paraId="532E7938"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11,295</w:t>
            </w:r>
          </w:p>
        </w:tc>
        <w:tc>
          <w:tcPr>
            <w:tcW w:w="1219" w:type="dxa"/>
            <w:tcBorders>
              <w:bottom w:val="single" w:sz="4" w:space="0" w:color="auto"/>
              <w:right w:val="single" w:sz="4" w:space="0" w:color="auto"/>
            </w:tcBorders>
            <w:vAlign w:val="center"/>
          </w:tcPr>
          <w:p w14:paraId="38ED3A01"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12.92%</w:t>
            </w:r>
          </w:p>
        </w:tc>
      </w:tr>
      <w:tr w:rsidR="001C4508" w:rsidRPr="00790280" w14:paraId="629829D5"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nil"/>
              <w:right w:val="single" w:sz="4" w:space="0" w:color="auto"/>
            </w:tcBorders>
            <w:noWrap/>
            <w:hideMark/>
          </w:tcPr>
          <w:p w14:paraId="74F413D3" w14:textId="77777777" w:rsidR="00790280" w:rsidRPr="00790280" w:rsidRDefault="00790280" w:rsidP="00CE2FDF">
            <w:pPr>
              <w:keepNext/>
              <w:tabs>
                <w:tab w:val="left" w:pos="1134"/>
              </w:tabs>
              <w:spacing w:before="0" w:line="276" w:lineRule="auto"/>
              <w:rPr>
                <w:rFonts w:cs="Arial"/>
                <w:color w:val="auto"/>
                <w:sz w:val="20"/>
                <w:szCs w:val="20"/>
              </w:rPr>
            </w:pPr>
            <w:r w:rsidRPr="00790280">
              <w:rPr>
                <w:rFonts w:cs="Arial"/>
                <w:color w:val="auto"/>
                <w:sz w:val="20"/>
                <w:szCs w:val="20"/>
              </w:rPr>
              <w:t>2006</w:t>
            </w:r>
          </w:p>
        </w:tc>
        <w:tc>
          <w:tcPr>
            <w:tcW w:w="1275" w:type="dxa"/>
            <w:tcBorders>
              <w:top w:val="single" w:sz="4" w:space="0" w:color="auto"/>
              <w:left w:val="single" w:sz="4" w:space="0" w:color="auto"/>
              <w:bottom w:val="nil"/>
            </w:tcBorders>
            <w:vAlign w:val="center"/>
          </w:tcPr>
          <w:p w14:paraId="52A975F8"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163" w:type="dxa"/>
            <w:tcBorders>
              <w:top w:val="single" w:sz="4" w:space="0" w:color="auto"/>
              <w:bottom w:val="nil"/>
              <w:right w:val="single" w:sz="4" w:space="0" w:color="auto"/>
            </w:tcBorders>
            <w:vAlign w:val="center"/>
          </w:tcPr>
          <w:p w14:paraId="4A1F8FB9"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389" w:type="dxa"/>
            <w:tcBorders>
              <w:top w:val="single" w:sz="4" w:space="0" w:color="auto"/>
              <w:left w:val="single" w:sz="4" w:space="0" w:color="auto"/>
              <w:bottom w:val="nil"/>
            </w:tcBorders>
            <w:vAlign w:val="center"/>
          </w:tcPr>
          <w:p w14:paraId="37D983E0"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049" w:type="dxa"/>
            <w:tcBorders>
              <w:top w:val="single" w:sz="4" w:space="0" w:color="auto"/>
              <w:bottom w:val="nil"/>
              <w:right w:val="single" w:sz="4" w:space="0" w:color="auto"/>
            </w:tcBorders>
            <w:vAlign w:val="center"/>
          </w:tcPr>
          <w:p w14:paraId="2EA4EFC8"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502" w:type="dxa"/>
            <w:tcBorders>
              <w:top w:val="single" w:sz="4" w:space="0" w:color="auto"/>
              <w:left w:val="single" w:sz="4" w:space="0" w:color="auto"/>
              <w:bottom w:val="nil"/>
            </w:tcBorders>
            <w:vAlign w:val="center"/>
          </w:tcPr>
          <w:p w14:paraId="088FA978"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936" w:type="dxa"/>
            <w:tcBorders>
              <w:top w:val="single" w:sz="4" w:space="0" w:color="auto"/>
              <w:bottom w:val="nil"/>
              <w:right w:val="single" w:sz="4" w:space="0" w:color="auto"/>
            </w:tcBorders>
            <w:vAlign w:val="center"/>
          </w:tcPr>
          <w:p w14:paraId="0A6523F5"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474" w:type="dxa"/>
            <w:tcBorders>
              <w:top w:val="single" w:sz="4" w:space="0" w:color="auto"/>
              <w:left w:val="single" w:sz="4" w:space="0" w:color="auto"/>
              <w:bottom w:val="nil"/>
            </w:tcBorders>
            <w:vAlign w:val="center"/>
          </w:tcPr>
          <w:p w14:paraId="65212CCB"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964" w:type="dxa"/>
            <w:tcBorders>
              <w:top w:val="single" w:sz="4" w:space="0" w:color="auto"/>
              <w:bottom w:val="nil"/>
              <w:right w:val="single" w:sz="4" w:space="0" w:color="auto"/>
            </w:tcBorders>
            <w:vAlign w:val="center"/>
          </w:tcPr>
          <w:p w14:paraId="44C049D4"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219" w:type="dxa"/>
            <w:tcBorders>
              <w:top w:val="single" w:sz="4" w:space="0" w:color="auto"/>
              <w:left w:val="single" w:sz="4" w:space="0" w:color="auto"/>
              <w:bottom w:val="nil"/>
            </w:tcBorders>
            <w:vAlign w:val="center"/>
          </w:tcPr>
          <w:p w14:paraId="1FDD1AF1"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bottom w:val="nil"/>
              <w:right w:val="single" w:sz="4" w:space="0" w:color="auto"/>
            </w:tcBorders>
            <w:vAlign w:val="center"/>
          </w:tcPr>
          <w:p w14:paraId="005F49A0" w14:textId="77777777" w:rsidR="00790280" w:rsidRPr="00790280" w:rsidRDefault="00790280"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r>
      <w:tr w:rsidR="001C4508" w:rsidRPr="00790280" w14:paraId="35A0A23A"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right w:val="single" w:sz="4" w:space="0" w:color="auto"/>
            </w:tcBorders>
            <w:noWrap/>
            <w:hideMark/>
          </w:tcPr>
          <w:p w14:paraId="0289BEC1"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75" w:type="dxa"/>
            <w:tcBorders>
              <w:top w:val="nil"/>
              <w:left w:val="single" w:sz="4" w:space="0" w:color="auto"/>
            </w:tcBorders>
            <w:vAlign w:val="center"/>
          </w:tcPr>
          <w:p w14:paraId="7967A2F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115</w:t>
            </w:r>
          </w:p>
        </w:tc>
        <w:tc>
          <w:tcPr>
            <w:tcW w:w="1163" w:type="dxa"/>
            <w:tcBorders>
              <w:top w:val="nil"/>
              <w:right w:val="single" w:sz="4" w:space="0" w:color="auto"/>
            </w:tcBorders>
            <w:vAlign w:val="center"/>
          </w:tcPr>
          <w:p w14:paraId="17E3C80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1.19%</w:t>
            </w:r>
          </w:p>
        </w:tc>
        <w:tc>
          <w:tcPr>
            <w:tcW w:w="1389" w:type="dxa"/>
            <w:tcBorders>
              <w:top w:val="nil"/>
              <w:left w:val="single" w:sz="4" w:space="0" w:color="auto"/>
            </w:tcBorders>
            <w:vAlign w:val="center"/>
          </w:tcPr>
          <w:p w14:paraId="187EA84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58</w:t>
            </w:r>
          </w:p>
        </w:tc>
        <w:tc>
          <w:tcPr>
            <w:tcW w:w="1049" w:type="dxa"/>
            <w:tcBorders>
              <w:top w:val="nil"/>
              <w:right w:val="single" w:sz="4" w:space="0" w:color="auto"/>
            </w:tcBorders>
            <w:vAlign w:val="center"/>
          </w:tcPr>
          <w:p w14:paraId="4E09F0C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0.60%</w:t>
            </w:r>
          </w:p>
        </w:tc>
        <w:tc>
          <w:tcPr>
            <w:tcW w:w="1502" w:type="dxa"/>
            <w:tcBorders>
              <w:top w:val="nil"/>
              <w:left w:val="single" w:sz="4" w:space="0" w:color="auto"/>
            </w:tcBorders>
            <w:vAlign w:val="center"/>
          </w:tcPr>
          <w:p w14:paraId="6E65CA7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43</w:t>
            </w:r>
          </w:p>
        </w:tc>
        <w:tc>
          <w:tcPr>
            <w:tcW w:w="936" w:type="dxa"/>
            <w:tcBorders>
              <w:top w:val="nil"/>
              <w:right w:val="single" w:sz="4" w:space="0" w:color="auto"/>
            </w:tcBorders>
            <w:vAlign w:val="center"/>
          </w:tcPr>
          <w:p w14:paraId="52162E5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0.45%</w:t>
            </w:r>
          </w:p>
        </w:tc>
        <w:tc>
          <w:tcPr>
            <w:tcW w:w="1474" w:type="dxa"/>
            <w:tcBorders>
              <w:top w:val="nil"/>
              <w:left w:val="single" w:sz="4" w:space="0" w:color="auto"/>
            </w:tcBorders>
            <w:vAlign w:val="center"/>
          </w:tcPr>
          <w:p w14:paraId="37FBE50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15</w:t>
            </w:r>
          </w:p>
        </w:tc>
        <w:tc>
          <w:tcPr>
            <w:tcW w:w="964" w:type="dxa"/>
            <w:tcBorders>
              <w:top w:val="nil"/>
              <w:right w:val="single" w:sz="4" w:space="0" w:color="auto"/>
            </w:tcBorders>
            <w:vAlign w:val="center"/>
          </w:tcPr>
          <w:p w14:paraId="558DB38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0.16%</w:t>
            </w:r>
          </w:p>
        </w:tc>
        <w:tc>
          <w:tcPr>
            <w:tcW w:w="1219" w:type="dxa"/>
            <w:tcBorders>
              <w:top w:val="nil"/>
              <w:left w:val="single" w:sz="4" w:space="0" w:color="auto"/>
            </w:tcBorders>
            <w:vAlign w:val="center"/>
          </w:tcPr>
          <w:p w14:paraId="382C28A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173</w:t>
            </w:r>
          </w:p>
        </w:tc>
        <w:tc>
          <w:tcPr>
            <w:tcW w:w="1219" w:type="dxa"/>
            <w:tcBorders>
              <w:top w:val="nil"/>
              <w:right w:val="single" w:sz="4" w:space="0" w:color="auto"/>
            </w:tcBorders>
            <w:vAlign w:val="center"/>
          </w:tcPr>
          <w:p w14:paraId="1120E29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1.80%</w:t>
            </w:r>
          </w:p>
        </w:tc>
      </w:tr>
      <w:tr w:rsidR="001C4508" w:rsidRPr="00790280" w14:paraId="3A4536B4"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E7C64D5"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75" w:type="dxa"/>
            <w:tcBorders>
              <w:left w:val="single" w:sz="4" w:space="0" w:color="auto"/>
            </w:tcBorders>
            <w:vAlign w:val="center"/>
          </w:tcPr>
          <w:p w14:paraId="3535307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194</w:t>
            </w:r>
          </w:p>
        </w:tc>
        <w:tc>
          <w:tcPr>
            <w:tcW w:w="1163" w:type="dxa"/>
            <w:tcBorders>
              <w:right w:val="single" w:sz="4" w:space="0" w:color="auto"/>
            </w:tcBorders>
            <w:vAlign w:val="center"/>
          </w:tcPr>
          <w:p w14:paraId="5490630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2.02%</w:t>
            </w:r>
          </w:p>
        </w:tc>
        <w:tc>
          <w:tcPr>
            <w:tcW w:w="1389" w:type="dxa"/>
            <w:tcBorders>
              <w:left w:val="single" w:sz="4" w:space="0" w:color="auto"/>
            </w:tcBorders>
            <w:vAlign w:val="center"/>
          </w:tcPr>
          <w:p w14:paraId="4232CBD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144</w:t>
            </w:r>
          </w:p>
        </w:tc>
        <w:tc>
          <w:tcPr>
            <w:tcW w:w="1049" w:type="dxa"/>
            <w:tcBorders>
              <w:right w:val="single" w:sz="4" w:space="0" w:color="auto"/>
            </w:tcBorders>
            <w:vAlign w:val="center"/>
          </w:tcPr>
          <w:p w14:paraId="31C2027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1.50%</w:t>
            </w:r>
          </w:p>
        </w:tc>
        <w:tc>
          <w:tcPr>
            <w:tcW w:w="1502" w:type="dxa"/>
            <w:tcBorders>
              <w:left w:val="single" w:sz="4" w:space="0" w:color="auto"/>
            </w:tcBorders>
            <w:vAlign w:val="center"/>
          </w:tcPr>
          <w:p w14:paraId="7AE48A0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92</w:t>
            </w:r>
          </w:p>
        </w:tc>
        <w:tc>
          <w:tcPr>
            <w:tcW w:w="936" w:type="dxa"/>
            <w:tcBorders>
              <w:right w:val="single" w:sz="4" w:space="0" w:color="auto"/>
            </w:tcBorders>
            <w:vAlign w:val="center"/>
          </w:tcPr>
          <w:p w14:paraId="2C8F4A3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0.96%</w:t>
            </w:r>
          </w:p>
        </w:tc>
        <w:tc>
          <w:tcPr>
            <w:tcW w:w="1474" w:type="dxa"/>
            <w:tcBorders>
              <w:left w:val="single" w:sz="4" w:space="0" w:color="auto"/>
            </w:tcBorders>
            <w:vAlign w:val="center"/>
          </w:tcPr>
          <w:p w14:paraId="101EF19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52</w:t>
            </w:r>
          </w:p>
        </w:tc>
        <w:tc>
          <w:tcPr>
            <w:tcW w:w="964" w:type="dxa"/>
            <w:tcBorders>
              <w:right w:val="single" w:sz="4" w:space="0" w:color="auto"/>
            </w:tcBorders>
            <w:vAlign w:val="center"/>
          </w:tcPr>
          <w:p w14:paraId="0E268D3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0.54%</w:t>
            </w:r>
          </w:p>
        </w:tc>
        <w:tc>
          <w:tcPr>
            <w:tcW w:w="1219" w:type="dxa"/>
            <w:tcBorders>
              <w:left w:val="single" w:sz="4" w:space="0" w:color="auto"/>
            </w:tcBorders>
            <w:vAlign w:val="center"/>
          </w:tcPr>
          <w:p w14:paraId="78033CC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338</w:t>
            </w:r>
          </w:p>
        </w:tc>
        <w:tc>
          <w:tcPr>
            <w:tcW w:w="1219" w:type="dxa"/>
            <w:tcBorders>
              <w:right w:val="single" w:sz="4" w:space="0" w:color="auto"/>
            </w:tcBorders>
            <w:vAlign w:val="center"/>
          </w:tcPr>
          <w:p w14:paraId="2F3FB66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3.51%</w:t>
            </w:r>
          </w:p>
        </w:tc>
      </w:tr>
      <w:tr w:rsidR="001C4508" w:rsidRPr="00790280" w14:paraId="5DB364CB"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C507474"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75" w:type="dxa"/>
            <w:tcBorders>
              <w:left w:val="single" w:sz="4" w:space="0" w:color="auto"/>
            </w:tcBorders>
            <w:vAlign w:val="center"/>
          </w:tcPr>
          <w:p w14:paraId="0590508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981</w:t>
            </w:r>
          </w:p>
        </w:tc>
        <w:tc>
          <w:tcPr>
            <w:tcW w:w="1163" w:type="dxa"/>
            <w:tcBorders>
              <w:right w:val="single" w:sz="4" w:space="0" w:color="auto"/>
            </w:tcBorders>
            <w:vAlign w:val="center"/>
          </w:tcPr>
          <w:p w14:paraId="0C6ECC8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10.19%</w:t>
            </w:r>
          </w:p>
        </w:tc>
        <w:tc>
          <w:tcPr>
            <w:tcW w:w="1389" w:type="dxa"/>
            <w:tcBorders>
              <w:left w:val="single" w:sz="4" w:space="0" w:color="auto"/>
            </w:tcBorders>
            <w:vAlign w:val="center"/>
          </w:tcPr>
          <w:p w14:paraId="11A8027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452</w:t>
            </w:r>
          </w:p>
        </w:tc>
        <w:tc>
          <w:tcPr>
            <w:tcW w:w="1049" w:type="dxa"/>
            <w:tcBorders>
              <w:right w:val="single" w:sz="4" w:space="0" w:color="auto"/>
            </w:tcBorders>
            <w:vAlign w:val="center"/>
          </w:tcPr>
          <w:p w14:paraId="7573A9B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4.70%</w:t>
            </w:r>
          </w:p>
        </w:tc>
        <w:tc>
          <w:tcPr>
            <w:tcW w:w="1502" w:type="dxa"/>
            <w:tcBorders>
              <w:left w:val="single" w:sz="4" w:space="0" w:color="auto"/>
            </w:tcBorders>
            <w:vAlign w:val="center"/>
          </w:tcPr>
          <w:p w14:paraId="7143599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345</w:t>
            </w:r>
          </w:p>
        </w:tc>
        <w:tc>
          <w:tcPr>
            <w:tcW w:w="936" w:type="dxa"/>
            <w:tcBorders>
              <w:right w:val="single" w:sz="4" w:space="0" w:color="auto"/>
            </w:tcBorders>
            <w:vAlign w:val="center"/>
          </w:tcPr>
          <w:p w14:paraId="3FD14DB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3.58%</w:t>
            </w:r>
          </w:p>
        </w:tc>
        <w:tc>
          <w:tcPr>
            <w:tcW w:w="1474" w:type="dxa"/>
            <w:tcBorders>
              <w:left w:val="single" w:sz="4" w:space="0" w:color="auto"/>
            </w:tcBorders>
            <w:vAlign w:val="center"/>
          </w:tcPr>
          <w:p w14:paraId="5B9F97E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107</w:t>
            </w:r>
          </w:p>
        </w:tc>
        <w:tc>
          <w:tcPr>
            <w:tcW w:w="964" w:type="dxa"/>
            <w:tcBorders>
              <w:right w:val="single" w:sz="4" w:space="0" w:color="auto"/>
            </w:tcBorders>
            <w:vAlign w:val="center"/>
          </w:tcPr>
          <w:p w14:paraId="1492A59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1.11%</w:t>
            </w:r>
          </w:p>
        </w:tc>
        <w:tc>
          <w:tcPr>
            <w:tcW w:w="1219" w:type="dxa"/>
            <w:tcBorders>
              <w:left w:val="single" w:sz="4" w:space="0" w:color="auto"/>
            </w:tcBorders>
            <w:vAlign w:val="center"/>
          </w:tcPr>
          <w:p w14:paraId="58E7B90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1,433</w:t>
            </w:r>
          </w:p>
        </w:tc>
        <w:tc>
          <w:tcPr>
            <w:tcW w:w="1219" w:type="dxa"/>
            <w:tcBorders>
              <w:right w:val="single" w:sz="4" w:space="0" w:color="auto"/>
            </w:tcBorders>
            <w:vAlign w:val="center"/>
          </w:tcPr>
          <w:p w14:paraId="4CB1D7D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14.89%</w:t>
            </w:r>
          </w:p>
        </w:tc>
      </w:tr>
      <w:tr w:rsidR="001C4508" w:rsidRPr="00790280" w14:paraId="380ADA71"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62EB755"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tcBorders>
            <w:vAlign w:val="center"/>
          </w:tcPr>
          <w:p w14:paraId="093C0DD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531</w:t>
            </w:r>
          </w:p>
        </w:tc>
        <w:tc>
          <w:tcPr>
            <w:tcW w:w="1163" w:type="dxa"/>
            <w:tcBorders>
              <w:right w:val="single" w:sz="4" w:space="0" w:color="auto"/>
            </w:tcBorders>
            <w:vAlign w:val="center"/>
          </w:tcPr>
          <w:p w14:paraId="5FEB183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5.52%</w:t>
            </w:r>
          </w:p>
        </w:tc>
        <w:tc>
          <w:tcPr>
            <w:tcW w:w="1389" w:type="dxa"/>
            <w:tcBorders>
              <w:left w:val="single" w:sz="4" w:space="0" w:color="auto"/>
            </w:tcBorders>
            <w:vAlign w:val="center"/>
          </w:tcPr>
          <w:p w14:paraId="590DCC0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146</w:t>
            </w:r>
          </w:p>
        </w:tc>
        <w:tc>
          <w:tcPr>
            <w:tcW w:w="1049" w:type="dxa"/>
            <w:tcBorders>
              <w:right w:val="single" w:sz="4" w:space="0" w:color="auto"/>
            </w:tcBorders>
            <w:vAlign w:val="center"/>
          </w:tcPr>
          <w:p w14:paraId="015909A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1.52%</w:t>
            </w:r>
          </w:p>
        </w:tc>
        <w:tc>
          <w:tcPr>
            <w:tcW w:w="1502" w:type="dxa"/>
            <w:tcBorders>
              <w:left w:val="single" w:sz="4" w:space="0" w:color="auto"/>
            </w:tcBorders>
            <w:vAlign w:val="center"/>
          </w:tcPr>
          <w:p w14:paraId="4FD40EB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101</w:t>
            </w:r>
          </w:p>
        </w:tc>
        <w:tc>
          <w:tcPr>
            <w:tcW w:w="936" w:type="dxa"/>
            <w:tcBorders>
              <w:right w:val="single" w:sz="4" w:space="0" w:color="auto"/>
            </w:tcBorders>
            <w:vAlign w:val="center"/>
          </w:tcPr>
          <w:p w14:paraId="1545E53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1.05%</w:t>
            </w:r>
          </w:p>
        </w:tc>
        <w:tc>
          <w:tcPr>
            <w:tcW w:w="1474" w:type="dxa"/>
            <w:tcBorders>
              <w:left w:val="single" w:sz="4" w:space="0" w:color="auto"/>
            </w:tcBorders>
            <w:vAlign w:val="center"/>
          </w:tcPr>
          <w:p w14:paraId="357746A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45</w:t>
            </w:r>
          </w:p>
        </w:tc>
        <w:tc>
          <w:tcPr>
            <w:tcW w:w="964" w:type="dxa"/>
            <w:tcBorders>
              <w:right w:val="single" w:sz="4" w:space="0" w:color="auto"/>
            </w:tcBorders>
            <w:vAlign w:val="center"/>
          </w:tcPr>
          <w:p w14:paraId="3BDE15B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0.47%</w:t>
            </w:r>
          </w:p>
        </w:tc>
        <w:tc>
          <w:tcPr>
            <w:tcW w:w="1219" w:type="dxa"/>
            <w:tcBorders>
              <w:left w:val="single" w:sz="4" w:space="0" w:color="auto"/>
            </w:tcBorders>
            <w:vAlign w:val="center"/>
          </w:tcPr>
          <w:p w14:paraId="51F3C4E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677</w:t>
            </w:r>
          </w:p>
        </w:tc>
        <w:tc>
          <w:tcPr>
            <w:tcW w:w="1219" w:type="dxa"/>
            <w:tcBorders>
              <w:right w:val="single" w:sz="4" w:space="0" w:color="auto"/>
            </w:tcBorders>
            <w:vAlign w:val="center"/>
          </w:tcPr>
          <w:p w14:paraId="0FD6A1D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7.03%</w:t>
            </w:r>
          </w:p>
        </w:tc>
      </w:tr>
      <w:tr w:rsidR="001C4508" w:rsidRPr="00790280" w14:paraId="473F0A92"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36B0323"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tcBorders>
            <w:vAlign w:val="center"/>
          </w:tcPr>
          <w:p w14:paraId="0B64004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25</w:t>
            </w:r>
          </w:p>
        </w:tc>
        <w:tc>
          <w:tcPr>
            <w:tcW w:w="1163" w:type="dxa"/>
            <w:tcBorders>
              <w:right w:val="single" w:sz="4" w:space="0" w:color="auto"/>
            </w:tcBorders>
            <w:vAlign w:val="center"/>
          </w:tcPr>
          <w:p w14:paraId="166B5DD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0.26%</w:t>
            </w:r>
          </w:p>
        </w:tc>
        <w:tc>
          <w:tcPr>
            <w:tcW w:w="1389" w:type="dxa"/>
            <w:tcBorders>
              <w:left w:val="single" w:sz="4" w:space="0" w:color="auto"/>
            </w:tcBorders>
            <w:vAlign w:val="center"/>
          </w:tcPr>
          <w:p w14:paraId="2FFCB85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w:t>
            </w:r>
          </w:p>
        </w:tc>
        <w:tc>
          <w:tcPr>
            <w:tcW w:w="1049" w:type="dxa"/>
            <w:tcBorders>
              <w:right w:val="single" w:sz="4" w:space="0" w:color="auto"/>
            </w:tcBorders>
            <w:vAlign w:val="center"/>
          </w:tcPr>
          <w:p w14:paraId="0D39696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0.02%</w:t>
            </w:r>
          </w:p>
        </w:tc>
        <w:tc>
          <w:tcPr>
            <w:tcW w:w="1502" w:type="dxa"/>
            <w:tcBorders>
              <w:left w:val="single" w:sz="4" w:space="0" w:color="auto"/>
            </w:tcBorders>
            <w:vAlign w:val="center"/>
          </w:tcPr>
          <w:p w14:paraId="6E8E69C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w:t>
            </w:r>
          </w:p>
        </w:tc>
        <w:tc>
          <w:tcPr>
            <w:tcW w:w="936" w:type="dxa"/>
            <w:tcBorders>
              <w:right w:val="single" w:sz="4" w:space="0" w:color="auto"/>
            </w:tcBorders>
            <w:vAlign w:val="center"/>
          </w:tcPr>
          <w:p w14:paraId="687D598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0.01%</w:t>
            </w:r>
          </w:p>
        </w:tc>
        <w:tc>
          <w:tcPr>
            <w:tcW w:w="1474" w:type="dxa"/>
            <w:tcBorders>
              <w:left w:val="single" w:sz="4" w:space="0" w:color="auto"/>
            </w:tcBorders>
            <w:vAlign w:val="center"/>
          </w:tcPr>
          <w:p w14:paraId="2BDF6BB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w:t>
            </w:r>
          </w:p>
        </w:tc>
        <w:tc>
          <w:tcPr>
            <w:tcW w:w="964" w:type="dxa"/>
            <w:tcBorders>
              <w:right w:val="single" w:sz="4" w:space="0" w:color="auto"/>
            </w:tcBorders>
            <w:vAlign w:val="center"/>
          </w:tcPr>
          <w:p w14:paraId="35348B7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0.01%</w:t>
            </w:r>
          </w:p>
        </w:tc>
        <w:tc>
          <w:tcPr>
            <w:tcW w:w="1219" w:type="dxa"/>
            <w:tcBorders>
              <w:left w:val="single" w:sz="4" w:space="0" w:color="auto"/>
            </w:tcBorders>
            <w:vAlign w:val="center"/>
          </w:tcPr>
          <w:p w14:paraId="3BD67C3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27</w:t>
            </w:r>
          </w:p>
        </w:tc>
        <w:tc>
          <w:tcPr>
            <w:tcW w:w="1219" w:type="dxa"/>
            <w:tcBorders>
              <w:right w:val="single" w:sz="4" w:space="0" w:color="auto"/>
            </w:tcBorders>
            <w:vAlign w:val="center"/>
          </w:tcPr>
          <w:p w14:paraId="2E672D3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0.28%</w:t>
            </w:r>
          </w:p>
        </w:tc>
      </w:tr>
      <w:tr w:rsidR="001C4508" w:rsidRPr="00790280" w14:paraId="730AE4C4"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8857095"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tcBorders>
            <w:vAlign w:val="center"/>
          </w:tcPr>
          <w:p w14:paraId="123CF36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1,846</w:t>
            </w:r>
          </w:p>
        </w:tc>
        <w:tc>
          <w:tcPr>
            <w:tcW w:w="1163" w:type="dxa"/>
            <w:tcBorders>
              <w:right w:val="single" w:sz="4" w:space="0" w:color="auto"/>
            </w:tcBorders>
            <w:vAlign w:val="center"/>
          </w:tcPr>
          <w:p w14:paraId="47525FC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19.18%</w:t>
            </w:r>
          </w:p>
        </w:tc>
        <w:tc>
          <w:tcPr>
            <w:tcW w:w="1389" w:type="dxa"/>
            <w:tcBorders>
              <w:left w:val="single" w:sz="4" w:space="0" w:color="auto"/>
            </w:tcBorders>
            <w:vAlign w:val="center"/>
          </w:tcPr>
          <w:p w14:paraId="3E31395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802</w:t>
            </w:r>
          </w:p>
        </w:tc>
        <w:tc>
          <w:tcPr>
            <w:tcW w:w="1049" w:type="dxa"/>
            <w:tcBorders>
              <w:right w:val="single" w:sz="4" w:space="0" w:color="auto"/>
            </w:tcBorders>
            <w:vAlign w:val="center"/>
          </w:tcPr>
          <w:p w14:paraId="0170EB7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8.33%</w:t>
            </w:r>
          </w:p>
        </w:tc>
        <w:tc>
          <w:tcPr>
            <w:tcW w:w="1502" w:type="dxa"/>
            <w:tcBorders>
              <w:left w:val="single" w:sz="4" w:space="0" w:color="auto"/>
            </w:tcBorders>
            <w:vAlign w:val="center"/>
          </w:tcPr>
          <w:p w14:paraId="6404E9B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582</w:t>
            </w:r>
          </w:p>
        </w:tc>
        <w:tc>
          <w:tcPr>
            <w:tcW w:w="936" w:type="dxa"/>
            <w:tcBorders>
              <w:right w:val="single" w:sz="4" w:space="0" w:color="auto"/>
            </w:tcBorders>
            <w:vAlign w:val="center"/>
          </w:tcPr>
          <w:p w14:paraId="2B8652D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6.05%</w:t>
            </w:r>
          </w:p>
        </w:tc>
        <w:tc>
          <w:tcPr>
            <w:tcW w:w="1474" w:type="dxa"/>
            <w:tcBorders>
              <w:left w:val="single" w:sz="4" w:space="0" w:color="auto"/>
            </w:tcBorders>
            <w:vAlign w:val="center"/>
          </w:tcPr>
          <w:p w14:paraId="5B24ED1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220</w:t>
            </w:r>
          </w:p>
        </w:tc>
        <w:tc>
          <w:tcPr>
            <w:tcW w:w="964" w:type="dxa"/>
            <w:tcBorders>
              <w:right w:val="single" w:sz="4" w:space="0" w:color="auto"/>
            </w:tcBorders>
            <w:vAlign w:val="center"/>
          </w:tcPr>
          <w:p w14:paraId="32A8E6F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2.29%</w:t>
            </w:r>
          </w:p>
        </w:tc>
        <w:tc>
          <w:tcPr>
            <w:tcW w:w="1219" w:type="dxa"/>
            <w:tcBorders>
              <w:left w:val="single" w:sz="4" w:space="0" w:color="auto"/>
            </w:tcBorders>
            <w:vAlign w:val="center"/>
          </w:tcPr>
          <w:p w14:paraId="14B1A0D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2,648</w:t>
            </w:r>
          </w:p>
        </w:tc>
        <w:tc>
          <w:tcPr>
            <w:tcW w:w="1219" w:type="dxa"/>
            <w:tcBorders>
              <w:right w:val="single" w:sz="4" w:space="0" w:color="auto"/>
            </w:tcBorders>
            <w:vAlign w:val="center"/>
          </w:tcPr>
          <w:p w14:paraId="7D7455C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27.51%</w:t>
            </w:r>
          </w:p>
        </w:tc>
      </w:tr>
      <w:tr w:rsidR="001C4508" w:rsidRPr="00790280" w14:paraId="5678A2EB"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3F7259F"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tcBorders>
            <w:vAlign w:val="center"/>
          </w:tcPr>
          <w:p w14:paraId="3B6B065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5,146</w:t>
            </w:r>
          </w:p>
        </w:tc>
        <w:tc>
          <w:tcPr>
            <w:tcW w:w="1163" w:type="dxa"/>
            <w:tcBorders>
              <w:right w:val="single" w:sz="4" w:space="0" w:color="auto"/>
            </w:tcBorders>
            <w:vAlign w:val="center"/>
          </w:tcPr>
          <w:p w14:paraId="13DE758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53.46%</w:t>
            </w:r>
          </w:p>
        </w:tc>
        <w:tc>
          <w:tcPr>
            <w:tcW w:w="1389" w:type="dxa"/>
            <w:tcBorders>
              <w:left w:val="single" w:sz="4" w:space="0" w:color="auto"/>
            </w:tcBorders>
            <w:vAlign w:val="center"/>
          </w:tcPr>
          <w:p w14:paraId="584F413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1,831</w:t>
            </w:r>
          </w:p>
        </w:tc>
        <w:tc>
          <w:tcPr>
            <w:tcW w:w="1049" w:type="dxa"/>
            <w:tcBorders>
              <w:right w:val="single" w:sz="4" w:space="0" w:color="auto"/>
            </w:tcBorders>
            <w:vAlign w:val="center"/>
          </w:tcPr>
          <w:p w14:paraId="7385A2E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19.02%</w:t>
            </w:r>
          </w:p>
        </w:tc>
        <w:tc>
          <w:tcPr>
            <w:tcW w:w="1502" w:type="dxa"/>
            <w:tcBorders>
              <w:left w:val="single" w:sz="4" w:space="0" w:color="auto"/>
            </w:tcBorders>
            <w:vAlign w:val="center"/>
          </w:tcPr>
          <w:p w14:paraId="68C7ACD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1,168</w:t>
            </w:r>
          </w:p>
        </w:tc>
        <w:tc>
          <w:tcPr>
            <w:tcW w:w="936" w:type="dxa"/>
            <w:tcBorders>
              <w:right w:val="single" w:sz="4" w:space="0" w:color="auto"/>
            </w:tcBorders>
            <w:vAlign w:val="center"/>
          </w:tcPr>
          <w:p w14:paraId="4F3FB3F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12.14%</w:t>
            </w:r>
          </w:p>
        </w:tc>
        <w:tc>
          <w:tcPr>
            <w:tcW w:w="1474" w:type="dxa"/>
            <w:tcBorders>
              <w:left w:val="single" w:sz="4" w:space="0" w:color="auto"/>
            </w:tcBorders>
            <w:vAlign w:val="center"/>
          </w:tcPr>
          <w:p w14:paraId="59E7D31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663</w:t>
            </w:r>
          </w:p>
        </w:tc>
        <w:tc>
          <w:tcPr>
            <w:tcW w:w="964" w:type="dxa"/>
            <w:tcBorders>
              <w:right w:val="single" w:sz="4" w:space="0" w:color="auto"/>
            </w:tcBorders>
            <w:vAlign w:val="center"/>
          </w:tcPr>
          <w:p w14:paraId="2D9AC4D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6.89%</w:t>
            </w:r>
          </w:p>
        </w:tc>
        <w:tc>
          <w:tcPr>
            <w:tcW w:w="1219" w:type="dxa"/>
            <w:tcBorders>
              <w:left w:val="single" w:sz="4" w:space="0" w:color="auto"/>
            </w:tcBorders>
            <w:vAlign w:val="center"/>
          </w:tcPr>
          <w:p w14:paraId="257E6CF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6,977</w:t>
            </w:r>
          </w:p>
        </w:tc>
        <w:tc>
          <w:tcPr>
            <w:tcW w:w="1219" w:type="dxa"/>
            <w:tcBorders>
              <w:right w:val="single" w:sz="4" w:space="0" w:color="auto"/>
            </w:tcBorders>
            <w:vAlign w:val="center"/>
          </w:tcPr>
          <w:p w14:paraId="7E27C33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72.49%</w:t>
            </w:r>
          </w:p>
        </w:tc>
      </w:tr>
      <w:tr w:rsidR="001C4508" w:rsidRPr="00790280" w14:paraId="7C9B518F"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noWrap/>
            <w:hideMark/>
          </w:tcPr>
          <w:p w14:paraId="6D0EE31E"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tcBorders>
            <w:vAlign w:val="center"/>
          </w:tcPr>
          <w:p w14:paraId="6F2BD641"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6,992</w:t>
            </w:r>
          </w:p>
        </w:tc>
        <w:tc>
          <w:tcPr>
            <w:tcW w:w="1163" w:type="dxa"/>
            <w:tcBorders>
              <w:bottom w:val="single" w:sz="4" w:space="0" w:color="auto"/>
              <w:right w:val="single" w:sz="4" w:space="0" w:color="auto"/>
            </w:tcBorders>
            <w:vAlign w:val="center"/>
          </w:tcPr>
          <w:p w14:paraId="7FC76C3A"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72.64%</w:t>
            </w:r>
          </w:p>
        </w:tc>
        <w:tc>
          <w:tcPr>
            <w:tcW w:w="1389" w:type="dxa"/>
            <w:tcBorders>
              <w:left w:val="single" w:sz="4" w:space="0" w:color="auto"/>
              <w:bottom w:val="single" w:sz="4" w:space="0" w:color="auto"/>
            </w:tcBorders>
            <w:vAlign w:val="center"/>
          </w:tcPr>
          <w:p w14:paraId="208FED93"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2,633</w:t>
            </w:r>
          </w:p>
        </w:tc>
        <w:tc>
          <w:tcPr>
            <w:tcW w:w="1049" w:type="dxa"/>
            <w:tcBorders>
              <w:bottom w:val="single" w:sz="4" w:space="0" w:color="auto"/>
              <w:right w:val="single" w:sz="4" w:space="0" w:color="auto"/>
            </w:tcBorders>
            <w:vAlign w:val="center"/>
          </w:tcPr>
          <w:p w14:paraId="4C99E7A9"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27.36%</w:t>
            </w:r>
          </w:p>
        </w:tc>
        <w:tc>
          <w:tcPr>
            <w:tcW w:w="1502" w:type="dxa"/>
            <w:tcBorders>
              <w:left w:val="single" w:sz="4" w:space="0" w:color="auto"/>
              <w:bottom w:val="single" w:sz="4" w:space="0" w:color="auto"/>
            </w:tcBorders>
            <w:vAlign w:val="center"/>
          </w:tcPr>
          <w:p w14:paraId="47590E45"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1,750</w:t>
            </w:r>
          </w:p>
        </w:tc>
        <w:tc>
          <w:tcPr>
            <w:tcW w:w="936" w:type="dxa"/>
            <w:tcBorders>
              <w:bottom w:val="single" w:sz="4" w:space="0" w:color="auto"/>
              <w:right w:val="single" w:sz="4" w:space="0" w:color="auto"/>
            </w:tcBorders>
            <w:vAlign w:val="center"/>
          </w:tcPr>
          <w:p w14:paraId="3E8538AB"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18.18%</w:t>
            </w:r>
          </w:p>
        </w:tc>
        <w:tc>
          <w:tcPr>
            <w:tcW w:w="1474" w:type="dxa"/>
            <w:tcBorders>
              <w:left w:val="single" w:sz="4" w:space="0" w:color="auto"/>
              <w:bottom w:val="single" w:sz="4" w:space="0" w:color="auto"/>
            </w:tcBorders>
            <w:vAlign w:val="center"/>
          </w:tcPr>
          <w:p w14:paraId="17DBDC87"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883</w:t>
            </w:r>
          </w:p>
        </w:tc>
        <w:tc>
          <w:tcPr>
            <w:tcW w:w="964" w:type="dxa"/>
            <w:tcBorders>
              <w:bottom w:val="single" w:sz="4" w:space="0" w:color="auto"/>
              <w:right w:val="single" w:sz="4" w:space="0" w:color="auto"/>
            </w:tcBorders>
            <w:vAlign w:val="center"/>
          </w:tcPr>
          <w:p w14:paraId="68A7E9CD"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9.17%</w:t>
            </w:r>
          </w:p>
        </w:tc>
        <w:tc>
          <w:tcPr>
            <w:tcW w:w="1219" w:type="dxa"/>
            <w:tcBorders>
              <w:left w:val="single" w:sz="4" w:space="0" w:color="auto"/>
              <w:bottom w:val="single" w:sz="4" w:space="0" w:color="auto"/>
            </w:tcBorders>
            <w:vAlign w:val="center"/>
          </w:tcPr>
          <w:p w14:paraId="0CC1579C"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9,625</w:t>
            </w:r>
          </w:p>
        </w:tc>
        <w:tc>
          <w:tcPr>
            <w:tcW w:w="1219" w:type="dxa"/>
            <w:tcBorders>
              <w:bottom w:val="single" w:sz="4" w:space="0" w:color="auto"/>
              <w:right w:val="single" w:sz="4" w:space="0" w:color="auto"/>
            </w:tcBorders>
            <w:vAlign w:val="center"/>
          </w:tcPr>
          <w:p w14:paraId="704AB1FE"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11.01%</w:t>
            </w:r>
          </w:p>
        </w:tc>
      </w:tr>
    </w:tbl>
    <w:p w14:paraId="6D94D78D" w14:textId="77777777" w:rsidR="001C4508" w:rsidRDefault="001C4508" w:rsidP="00CE2FDF">
      <w:pPr>
        <w:spacing w:before="0"/>
      </w:pPr>
      <w:r>
        <w:rPr>
          <w:b/>
          <w:bCs/>
        </w:rPr>
        <w:br w:type="page"/>
      </w:r>
    </w:p>
    <w:tbl>
      <w:tblPr>
        <w:tblStyle w:val="LightShading-Accent5"/>
        <w:tblW w:w="14425" w:type="dxa"/>
        <w:tblLayout w:type="fixed"/>
        <w:tblLook w:val="04A0" w:firstRow="1" w:lastRow="0" w:firstColumn="1" w:lastColumn="0" w:noHBand="0" w:noVBand="1"/>
        <w:tblCaption w:val="Number of reports of neglect, by year, reporter group, and outcome"/>
      </w:tblPr>
      <w:tblGrid>
        <w:gridCol w:w="2235"/>
        <w:gridCol w:w="1275"/>
        <w:gridCol w:w="1163"/>
        <w:gridCol w:w="1389"/>
        <w:gridCol w:w="1049"/>
        <w:gridCol w:w="1502"/>
        <w:gridCol w:w="936"/>
        <w:gridCol w:w="1474"/>
        <w:gridCol w:w="964"/>
        <w:gridCol w:w="1219"/>
        <w:gridCol w:w="1219"/>
      </w:tblGrid>
      <w:tr w:rsidR="001C4508" w:rsidRPr="00790280" w14:paraId="3E55F5C2"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021E3F20" w14:textId="77777777" w:rsidR="001C4508" w:rsidRPr="00790280" w:rsidRDefault="001C4508" w:rsidP="00CE2FDF">
            <w:pPr>
              <w:keepNext/>
              <w:tabs>
                <w:tab w:val="left" w:pos="1134"/>
              </w:tabs>
              <w:spacing w:before="0" w:line="276" w:lineRule="auto"/>
              <w:jc w:val="center"/>
              <w:rPr>
                <w:rFonts w:cs="Arial"/>
                <w:color w:val="auto"/>
                <w:sz w:val="20"/>
                <w:szCs w:val="20"/>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D686EB0"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A6B3B65"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ED259EC"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6D09077"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A432E5A"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Totals</w:t>
            </w:r>
          </w:p>
        </w:tc>
      </w:tr>
      <w:tr w:rsidR="002418F8" w:rsidRPr="00790280" w14:paraId="7AD1F407"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nil"/>
              <w:right w:val="single" w:sz="4" w:space="0" w:color="auto"/>
            </w:tcBorders>
            <w:noWrap/>
            <w:hideMark/>
          </w:tcPr>
          <w:p w14:paraId="02C1DCC3"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2007</w:t>
            </w:r>
          </w:p>
        </w:tc>
        <w:tc>
          <w:tcPr>
            <w:tcW w:w="1275" w:type="dxa"/>
            <w:tcBorders>
              <w:top w:val="single" w:sz="4" w:space="0" w:color="auto"/>
              <w:left w:val="single" w:sz="4" w:space="0" w:color="auto"/>
              <w:bottom w:val="nil"/>
            </w:tcBorders>
            <w:vAlign w:val="center"/>
          </w:tcPr>
          <w:p w14:paraId="623ECAA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 </w:t>
            </w:r>
          </w:p>
        </w:tc>
        <w:tc>
          <w:tcPr>
            <w:tcW w:w="1163" w:type="dxa"/>
            <w:tcBorders>
              <w:top w:val="single" w:sz="4" w:space="0" w:color="auto"/>
              <w:bottom w:val="nil"/>
              <w:right w:val="single" w:sz="4" w:space="0" w:color="auto"/>
            </w:tcBorders>
            <w:vAlign w:val="center"/>
          </w:tcPr>
          <w:p w14:paraId="1DF244A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 </w:t>
            </w:r>
          </w:p>
        </w:tc>
        <w:tc>
          <w:tcPr>
            <w:tcW w:w="1389" w:type="dxa"/>
            <w:tcBorders>
              <w:top w:val="single" w:sz="4" w:space="0" w:color="auto"/>
              <w:left w:val="single" w:sz="4" w:space="0" w:color="auto"/>
              <w:bottom w:val="nil"/>
            </w:tcBorders>
            <w:vAlign w:val="center"/>
          </w:tcPr>
          <w:p w14:paraId="7240005F"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 </w:t>
            </w:r>
          </w:p>
        </w:tc>
        <w:tc>
          <w:tcPr>
            <w:tcW w:w="1049" w:type="dxa"/>
            <w:tcBorders>
              <w:top w:val="single" w:sz="4" w:space="0" w:color="auto"/>
              <w:bottom w:val="nil"/>
              <w:right w:val="single" w:sz="4" w:space="0" w:color="auto"/>
            </w:tcBorders>
            <w:vAlign w:val="center"/>
          </w:tcPr>
          <w:p w14:paraId="1C5B309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 </w:t>
            </w:r>
          </w:p>
        </w:tc>
        <w:tc>
          <w:tcPr>
            <w:tcW w:w="1502" w:type="dxa"/>
            <w:tcBorders>
              <w:top w:val="single" w:sz="4" w:space="0" w:color="auto"/>
              <w:left w:val="single" w:sz="4" w:space="0" w:color="auto"/>
              <w:bottom w:val="nil"/>
            </w:tcBorders>
            <w:vAlign w:val="center"/>
          </w:tcPr>
          <w:p w14:paraId="71635F2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 </w:t>
            </w:r>
          </w:p>
        </w:tc>
        <w:tc>
          <w:tcPr>
            <w:tcW w:w="936" w:type="dxa"/>
            <w:tcBorders>
              <w:top w:val="single" w:sz="4" w:space="0" w:color="auto"/>
              <w:bottom w:val="nil"/>
              <w:right w:val="single" w:sz="4" w:space="0" w:color="auto"/>
            </w:tcBorders>
            <w:vAlign w:val="center"/>
          </w:tcPr>
          <w:p w14:paraId="0C47312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 </w:t>
            </w:r>
          </w:p>
        </w:tc>
        <w:tc>
          <w:tcPr>
            <w:tcW w:w="1474" w:type="dxa"/>
            <w:tcBorders>
              <w:top w:val="single" w:sz="4" w:space="0" w:color="auto"/>
              <w:left w:val="single" w:sz="4" w:space="0" w:color="auto"/>
              <w:bottom w:val="nil"/>
            </w:tcBorders>
            <w:vAlign w:val="center"/>
          </w:tcPr>
          <w:p w14:paraId="22350C38"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 </w:t>
            </w:r>
          </w:p>
        </w:tc>
        <w:tc>
          <w:tcPr>
            <w:tcW w:w="964" w:type="dxa"/>
            <w:tcBorders>
              <w:top w:val="single" w:sz="4" w:space="0" w:color="auto"/>
              <w:bottom w:val="nil"/>
              <w:right w:val="single" w:sz="4" w:space="0" w:color="auto"/>
            </w:tcBorders>
            <w:vAlign w:val="center"/>
          </w:tcPr>
          <w:p w14:paraId="68228786"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 </w:t>
            </w:r>
          </w:p>
        </w:tc>
        <w:tc>
          <w:tcPr>
            <w:tcW w:w="1219" w:type="dxa"/>
            <w:tcBorders>
              <w:top w:val="single" w:sz="4" w:space="0" w:color="auto"/>
              <w:left w:val="single" w:sz="4" w:space="0" w:color="auto"/>
              <w:bottom w:val="nil"/>
            </w:tcBorders>
            <w:vAlign w:val="center"/>
          </w:tcPr>
          <w:p w14:paraId="0FB60EF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 </w:t>
            </w:r>
          </w:p>
        </w:tc>
        <w:tc>
          <w:tcPr>
            <w:tcW w:w="1219" w:type="dxa"/>
            <w:tcBorders>
              <w:top w:val="single" w:sz="4" w:space="0" w:color="auto"/>
              <w:bottom w:val="nil"/>
              <w:right w:val="single" w:sz="4" w:space="0" w:color="auto"/>
            </w:tcBorders>
            <w:vAlign w:val="center"/>
          </w:tcPr>
          <w:p w14:paraId="56685000"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 </w:t>
            </w:r>
          </w:p>
        </w:tc>
      </w:tr>
      <w:tr w:rsidR="001C4508" w:rsidRPr="00790280" w14:paraId="55C6F1C2"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right w:val="single" w:sz="4" w:space="0" w:color="auto"/>
            </w:tcBorders>
            <w:noWrap/>
            <w:hideMark/>
          </w:tcPr>
          <w:p w14:paraId="638B9D30"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75" w:type="dxa"/>
            <w:tcBorders>
              <w:top w:val="nil"/>
              <w:left w:val="single" w:sz="4" w:space="0" w:color="auto"/>
              <w:right w:val="nil"/>
            </w:tcBorders>
            <w:vAlign w:val="center"/>
          </w:tcPr>
          <w:p w14:paraId="7E1A22F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267</w:t>
            </w:r>
          </w:p>
        </w:tc>
        <w:tc>
          <w:tcPr>
            <w:tcW w:w="1163" w:type="dxa"/>
            <w:tcBorders>
              <w:top w:val="nil"/>
              <w:left w:val="nil"/>
              <w:right w:val="single" w:sz="4" w:space="0" w:color="auto"/>
            </w:tcBorders>
            <w:vAlign w:val="center"/>
          </w:tcPr>
          <w:p w14:paraId="4BBC201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1.81%</w:t>
            </w:r>
          </w:p>
        </w:tc>
        <w:tc>
          <w:tcPr>
            <w:tcW w:w="1389" w:type="dxa"/>
            <w:tcBorders>
              <w:top w:val="nil"/>
              <w:left w:val="single" w:sz="4" w:space="0" w:color="auto"/>
              <w:right w:val="nil"/>
            </w:tcBorders>
            <w:vAlign w:val="center"/>
          </w:tcPr>
          <w:p w14:paraId="0B28F65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53</w:t>
            </w:r>
          </w:p>
        </w:tc>
        <w:tc>
          <w:tcPr>
            <w:tcW w:w="1049" w:type="dxa"/>
            <w:tcBorders>
              <w:top w:val="nil"/>
              <w:left w:val="nil"/>
              <w:right w:val="single" w:sz="4" w:space="0" w:color="auto"/>
            </w:tcBorders>
            <w:vAlign w:val="center"/>
          </w:tcPr>
          <w:p w14:paraId="3D7F407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0.36%</w:t>
            </w:r>
          </w:p>
        </w:tc>
        <w:tc>
          <w:tcPr>
            <w:tcW w:w="1502" w:type="dxa"/>
            <w:tcBorders>
              <w:top w:val="nil"/>
              <w:left w:val="single" w:sz="4" w:space="0" w:color="auto"/>
              <w:right w:val="nil"/>
            </w:tcBorders>
            <w:vAlign w:val="center"/>
          </w:tcPr>
          <w:p w14:paraId="55D925C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41</w:t>
            </w:r>
          </w:p>
        </w:tc>
        <w:tc>
          <w:tcPr>
            <w:tcW w:w="936" w:type="dxa"/>
            <w:tcBorders>
              <w:top w:val="nil"/>
              <w:left w:val="nil"/>
              <w:right w:val="single" w:sz="4" w:space="0" w:color="auto"/>
            </w:tcBorders>
            <w:vAlign w:val="center"/>
          </w:tcPr>
          <w:p w14:paraId="068AB8C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0.28%</w:t>
            </w:r>
          </w:p>
        </w:tc>
        <w:tc>
          <w:tcPr>
            <w:tcW w:w="1474" w:type="dxa"/>
            <w:tcBorders>
              <w:top w:val="nil"/>
              <w:left w:val="single" w:sz="4" w:space="0" w:color="auto"/>
              <w:right w:val="nil"/>
            </w:tcBorders>
            <w:vAlign w:val="center"/>
          </w:tcPr>
          <w:p w14:paraId="12E0803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12</w:t>
            </w:r>
          </w:p>
        </w:tc>
        <w:tc>
          <w:tcPr>
            <w:tcW w:w="964" w:type="dxa"/>
            <w:tcBorders>
              <w:top w:val="nil"/>
              <w:left w:val="nil"/>
              <w:right w:val="single" w:sz="4" w:space="0" w:color="auto"/>
            </w:tcBorders>
            <w:vAlign w:val="center"/>
          </w:tcPr>
          <w:p w14:paraId="49A2AAF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0.08%</w:t>
            </w:r>
          </w:p>
        </w:tc>
        <w:tc>
          <w:tcPr>
            <w:tcW w:w="1219" w:type="dxa"/>
            <w:tcBorders>
              <w:top w:val="nil"/>
              <w:left w:val="single" w:sz="4" w:space="0" w:color="auto"/>
              <w:right w:val="nil"/>
            </w:tcBorders>
            <w:vAlign w:val="center"/>
          </w:tcPr>
          <w:p w14:paraId="0085DDC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320</w:t>
            </w:r>
          </w:p>
        </w:tc>
        <w:tc>
          <w:tcPr>
            <w:tcW w:w="1219" w:type="dxa"/>
            <w:tcBorders>
              <w:top w:val="nil"/>
              <w:left w:val="nil"/>
              <w:right w:val="single" w:sz="4" w:space="0" w:color="auto"/>
            </w:tcBorders>
            <w:vAlign w:val="center"/>
          </w:tcPr>
          <w:p w14:paraId="2A994A5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2.17%</w:t>
            </w:r>
          </w:p>
        </w:tc>
      </w:tr>
      <w:tr w:rsidR="001C4508" w:rsidRPr="00790280" w14:paraId="7BC9EFC8"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C357D40"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75" w:type="dxa"/>
            <w:tcBorders>
              <w:left w:val="single" w:sz="4" w:space="0" w:color="auto"/>
            </w:tcBorders>
            <w:vAlign w:val="center"/>
          </w:tcPr>
          <w:p w14:paraId="3B12D34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451</w:t>
            </w:r>
          </w:p>
        </w:tc>
        <w:tc>
          <w:tcPr>
            <w:tcW w:w="1163" w:type="dxa"/>
            <w:tcBorders>
              <w:right w:val="single" w:sz="4" w:space="0" w:color="auto"/>
            </w:tcBorders>
            <w:vAlign w:val="center"/>
          </w:tcPr>
          <w:p w14:paraId="5C3FE1C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3.05%</w:t>
            </w:r>
          </w:p>
        </w:tc>
        <w:tc>
          <w:tcPr>
            <w:tcW w:w="1389" w:type="dxa"/>
            <w:tcBorders>
              <w:left w:val="single" w:sz="4" w:space="0" w:color="auto"/>
            </w:tcBorders>
            <w:vAlign w:val="center"/>
          </w:tcPr>
          <w:p w14:paraId="19C61FE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172</w:t>
            </w:r>
          </w:p>
        </w:tc>
        <w:tc>
          <w:tcPr>
            <w:tcW w:w="1049" w:type="dxa"/>
            <w:tcBorders>
              <w:right w:val="single" w:sz="4" w:space="0" w:color="auto"/>
            </w:tcBorders>
            <w:vAlign w:val="center"/>
          </w:tcPr>
          <w:p w14:paraId="60C1F39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1.16%</w:t>
            </w:r>
          </w:p>
        </w:tc>
        <w:tc>
          <w:tcPr>
            <w:tcW w:w="1502" w:type="dxa"/>
            <w:tcBorders>
              <w:left w:val="single" w:sz="4" w:space="0" w:color="auto"/>
            </w:tcBorders>
            <w:vAlign w:val="center"/>
          </w:tcPr>
          <w:p w14:paraId="0BAB0DE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127</w:t>
            </w:r>
          </w:p>
        </w:tc>
        <w:tc>
          <w:tcPr>
            <w:tcW w:w="936" w:type="dxa"/>
            <w:tcBorders>
              <w:right w:val="single" w:sz="4" w:space="0" w:color="auto"/>
            </w:tcBorders>
            <w:vAlign w:val="center"/>
          </w:tcPr>
          <w:p w14:paraId="3C40F7D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0.86%</w:t>
            </w:r>
          </w:p>
        </w:tc>
        <w:tc>
          <w:tcPr>
            <w:tcW w:w="1474" w:type="dxa"/>
            <w:tcBorders>
              <w:left w:val="single" w:sz="4" w:space="0" w:color="auto"/>
            </w:tcBorders>
            <w:vAlign w:val="center"/>
          </w:tcPr>
          <w:p w14:paraId="236FB67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45</w:t>
            </w:r>
          </w:p>
        </w:tc>
        <w:tc>
          <w:tcPr>
            <w:tcW w:w="964" w:type="dxa"/>
            <w:tcBorders>
              <w:right w:val="single" w:sz="4" w:space="0" w:color="auto"/>
            </w:tcBorders>
            <w:vAlign w:val="center"/>
          </w:tcPr>
          <w:p w14:paraId="0FB6B24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0.30%</w:t>
            </w:r>
          </w:p>
        </w:tc>
        <w:tc>
          <w:tcPr>
            <w:tcW w:w="1219" w:type="dxa"/>
            <w:tcBorders>
              <w:left w:val="single" w:sz="4" w:space="0" w:color="auto"/>
            </w:tcBorders>
            <w:vAlign w:val="center"/>
          </w:tcPr>
          <w:p w14:paraId="6EE2A54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623</w:t>
            </w:r>
          </w:p>
        </w:tc>
        <w:tc>
          <w:tcPr>
            <w:tcW w:w="1219" w:type="dxa"/>
            <w:tcBorders>
              <w:right w:val="single" w:sz="4" w:space="0" w:color="auto"/>
            </w:tcBorders>
            <w:vAlign w:val="center"/>
          </w:tcPr>
          <w:p w14:paraId="07EBCAA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4.22%</w:t>
            </w:r>
          </w:p>
        </w:tc>
      </w:tr>
      <w:tr w:rsidR="001C4508" w:rsidRPr="00790280" w14:paraId="198B250F"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D00D5AD"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75" w:type="dxa"/>
            <w:tcBorders>
              <w:left w:val="single" w:sz="4" w:space="0" w:color="auto"/>
              <w:right w:val="nil"/>
            </w:tcBorders>
            <w:vAlign w:val="center"/>
          </w:tcPr>
          <w:p w14:paraId="741217C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2,125</w:t>
            </w:r>
          </w:p>
        </w:tc>
        <w:tc>
          <w:tcPr>
            <w:tcW w:w="1163" w:type="dxa"/>
            <w:tcBorders>
              <w:left w:val="nil"/>
              <w:right w:val="single" w:sz="4" w:space="0" w:color="auto"/>
            </w:tcBorders>
            <w:vAlign w:val="center"/>
          </w:tcPr>
          <w:p w14:paraId="7527F80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14.38%</w:t>
            </w:r>
          </w:p>
        </w:tc>
        <w:tc>
          <w:tcPr>
            <w:tcW w:w="1389" w:type="dxa"/>
            <w:tcBorders>
              <w:left w:val="single" w:sz="4" w:space="0" w:color="auto"/>
              <w:right w:val="nil"/>
            </w:tcBorders>
            <w:vAlign w:val="center"/>
          </w:tcPr>
          <w:p w14:paraId="1962F56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307</w:t>
            </w:r>
          </w:p>
        </w:tc>
        <w:tc>
          <w:tcPr>
            <w:tcW w:w="1049" w:type="dxa"/>
            <w:tcBorders>
              <w:left w:val="nil"/>
              <w:right w:val="single" w:sz="4" w:space="0" w:color="auto"/>
            </w:tcBorders>
            <w:vAlign w:val="center"/>
          </w:tcPr>
          <w:p w14:paraId="046CD6D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2.08%</w:t>
            </w:r>
          </w:p>
        </w:tc>
        <w:tc>
          <w:tcPr>
            <w:tcW w:w="1502" w:type="dxa"/>
            <w:tcBorders>
              <w:left w:val="single" w:sz="4" w:space="0" w:color="auto"/>
              <w:right w:val="nil"/>
            </w:tcBorders>
            <w:vAlign w:val="center"/>
          </w:tcPr>
          <w:p w14:paraId="5E7BDEC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239</w:t>
            </w:r>
          </w:p>
        </w:tc>
        <w:tc>
          <w:tcPr>
            <w:tcW w:w="936" w:type="dxa"/>
            <w:tcBorders>
              <w:left w:val="nil"/>
              <w:right w:val="single" w:sz="4" w:space="0" w:color="auto"/>
            </w:tcBorders>
            <w:vAlign w:val="center"/>
          </w:tcPr>
          <w:p w14:paraId="511F951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1.62%</w:t>
            </w:r>
          </w:p>
        </w:tc>
        <w:tc>
          <w:tcPr>
            <w:tcW w:w="1474" w:type="dxa"/>
            <w:tcBorders>
              <w:left w:val="single" w:sz="4" w:space="0" w:color="auto"/>
              <w:right w:val="nil"/>
            </w:tcBorders>
            <w:vAlign w:val="center"/>
          </w:tcPr>
          <w:p w14:paraId="43A6C6A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68</w:t>
            </w:r>
          </w:p>
        </w:tc>
        <w:tc>
          <w:tcPr>
            <w:tcW w:w="964" w:type="dxa"/>
            <w:tcBorders>
              <w:left w:val="nil"/>
              <w:right w:val="single" w:sz="4" w:space="0" w:color="auto"/>
            </w:tcBorders>
            <w:vAlign w:val="center"/>
          </w:tcPr>
          <w:p w14:paraId="701EE85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0.46%</w:t>
            </w:r>
          </w:p>
        </w:tc>
        <w:tc>
          <w:tcPr>
            <w:tcW w:w="1219" w:type="dxa"/>
            <w:tcBorders>
              <w:left w:val="single" w:sz="4" w:space="0" w:color="auto"/>
              <w:right w:val="nil"/>
            </w:tcBorders>
            <w:vAlign w:val="center"/>
          </w:tcPr>
          <w:p w14:paraId="6CC3B02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2,432</w:t>
            </w:r>
          </w:p>
        </w:tc>
        <w:tc>
          <w:tcPr>
            <w:tcW w:w="1219" w:type="dxa"/>
            <w:tcBorders>
              <w:left w:val="nil"/>
              <w:right w:val="single" w:sz="4" w:space="0" w:color="auto"/>
            </w:tcBorders>
            <w:vAlign w:val="center"/>
          </w:tcPr>
          <w:p w14:paraId="2A4AFAF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16.46%</w:t>
            </w:r>
          </w:p>
        </w:tc>
      </w:tr>
      <w:tr w:rsidR="001C4508" w:rsidRPr="00790280" w14:paraId="412766F8"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A197AEE"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tcBorders>
            <w:vAlign w:val="center"/>
          </w:tcPr>
          <w:p w14:paraId="0E8DC51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1,260</w:t>
            </w:r>
          </w:p>
        </w:tc>
        <w:tc>
          <w:tcPr>
            <w:tcW w:w="1163" w:type="dxa"/>
            <w:tcBorders>
              <w:right w:val="single" w:sz="4" w:space="0" w:color="auto"/>
            </w:tcBorders>
            <w:vAlign w:val="center"/>
          </w:tcPr>
          <w:p w14:paraId="6FCDF76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8.53%</w:t>
            </w:r>
          </w:p>
        </w:tc>
        <w:tc>
          <w:tcPr>
            <w:tcW w:w="1389" w:type="dxa"/>
            <w:tcBorders>
              <w:left w:val="single" w:sz="4" w:space="0" w:color="auto"/>
            </w:tcBorders>
            <w:vAlign w:val="center"/>
          </w:tcPr>
          <w:p w14:paraId="4B98857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86</w:t>
            </w:r>
          </w:p>
        </w:tc>
        <w:tc>
          <w:tcPr>
            <w:tcW w:w="1049" w:type="dxa"/>
            <w:tcBorders>
              <w:right w:val="single" w:sz="4" w:space="0" w:color="auto"/>
            </w:tcBorders>
            <w:vAlign w:val="center"/>
          </w:tcPr>
          <w:p w14:paraId="3545848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0.58%</w:t>
            </w:r>
          </w:p>
        </w:tc>
        <w:tc>
          <w:tcPr>
            <w:tcW w:w="1502" w:type="dxa"/>
            <w:tcBorders>
              <w:left w:val="single" w:sz="4" w:space="0" w:color="auto"/>
            </w:tcBorders>
            <w:vAlign w:val="center"/>
          </w:tcPr>
          <w:p w14:paraId="46FA9F9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56</w:t>
            </w:r>
          </w:p>
        </w:tc>
        <w:tc>
          <w:tcPr>
            <w:tcW w:w="936" w:type="dxa"/>
            <w:tcBorders>
              <w:right w:val="single" w:sz="4" w:space="0" w:color="auto"/>
            </w:tcBorders>
            <w:vAlign w:val="center"/>
          </w:tcPr>
          <w:p w14:paraId="17C833B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0.38%</w:t>
            </w:r>
          </w:p>
        </w:tc>
        <w:tc>
          <w:tcPr>
            <w:tcW w:w="1474" w:type="dxa"/>
            <w:tcBorders>
              <w:left w:val="single" w:sz="4" w:space="0" w:color="auto"/>
            </w:tcBorders>
            <w:vAlign w:val="center"/>
          </w:tcPr>
          <w:p w14:paraId="7674327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30</w:t>
            </w:r>
          </w:p>
        </w:tc>
        <w:tc>
          <w:tcPr>
            <w:tcW w:w="964" w:type="dxa"/>
            <w:tcBorders>
              <w:right w:val="single" w:sz="4" w:space="0" w:color="auto"/>
            </w:tcBorders>
            <w:vAlign w:val="center"/>
          </w:tcPr>
          <w:p w14:paraId="62BFFFC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0.20%</w:t>
            </w:r>
          </w:p>
        </w:tc>
        <w:tc>
          <w:tcPr>
            <w:tcW w:w="1219" w:type="dxa"/>
            <w:tcBorders>
              <w:left w:val="single" w:sz="4" w:space="0" w:color="auto"/>
            </w:tcBorders>
            <w:vAlign w:val="center"/>
          </w:tcPr>
          <w:p w14:paraId="7AC4505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1,346</w:t>
            </w:r>
          </w:p>
        </w:tc>
        <w:tc>
          <w:tcPr>
            <w:tcW w:w="1219" w:type="dxa"/>
            <w:tcBorders>
              <w:right w:val="single" w:sz="4" w:space="0" w:color="auto"/>
            </w:tcBorders>
            <w:vAlign w:val="center"/>
          </w:tcPr>
          <w:p w14:paraId="584A9AF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9.11%</w:t>
            </w:r>
          </w:p>
        </w:tc>
      </w:tr>
      <w:tr w:rsidR="001C4508" w:rsidRPr="00790280" w14:paraId="577E0DE4"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FA61A41"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right w:val="nil"/>
            </w:tcBorders>
            <w:vAlign w:val="center"/>
          </w:tcPr>
          <w:p w14:paraId="4249E12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48</w:t>
            </w:r>
          </w:p>
        </w:tc>
        <w:tc>
          <w:tcPr>
            <w:tcW w:w="1163" w:type="dxa"/>
            <w:tcBorders>
              <w:left w:val="nil"/>
              <w:right w:val="single" w:sz="4" w:space="0" w:color="auto"/>
            </w:tcBorders>
            <w:vAlign w:val="center"/>
          </w:tcPr>
          <w:p w14:paraId="274EFE6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0.32%</w:t>
            </w:r>
          </w:p>
        </w:tc>
        <w:tc>
          <w:tcPr>
            <w:tcW w:w="1389" w:type="dxa"/>
            <w:tcBorders>
              <w:left w:val="single" w:sz="4" w:space="0" w:color="auto"/>
              <w:right w:val="nil"/>
            </w:tcBorders>
            <w:vAlign w:val="center"/>
          </w:tcPr>
          <w:p w14:paraId="1C8213C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w:t>
            </w:r>
          </w:p>
        </w:tc>
        <w:tc>
          <w:tcPr>
            <w:tcW w:w="1049" w:type="dxa"/>
            <w:tcBorders>
              <w:left w:val="nil"/>
              <w:right w:val="single" w:sz="4" w:space="0" w:color="auto"/>
            </w:tcBorders>
            <w:vAlign w:val="center"/>
          </w:tcPr>
          <w:p w14:paraId="453D7DC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0.03%</w:t>
            </w:r>
          </w:p>
        </w:tc>
        <w:tc>
          <w:tcPr>
            <w:tcW w:w="1502" w:type="dxa"/>
            <w:tcBorders>
              <w:left w:val="single" w:sz="4" w:space="0" w:color="auto"/>
              <w:right w:val="nil"/>
            </w:tcBorders>
            <w:vAlign w:val="center"/>
          </w:tcPr>
          <w:p w14:paraId="630F15E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w:t>
            </w:r>
          </w:p>
        </w:tc>
        <w:tc>
          <w:tcPr>
            <w:tcW w:w="936" w:type="dxa"/>
            <w:tcBorders>
              <w:left w:val="nil"/>
              <w:right w:val="single" w:sz="4" w:space="0" w:color="auto"/>
            </w:tcBorders>
            <w:vAlign w:val="center"/>
          </w:tcPr>
          <w:p w14:paraId="54C749B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0.02%</w:t>
            </w:r>
          </w:p>
        </w:tc>
        <w:tc>
          <w:tcPr>
            <w:tcW w:w="1474" w:type="dxa"/>
            <w:tcBorders>
              <w:left w:val="single" w:sz="4" w:space="0" w:color="auto"/>
              <w:right w:val="nil"/>
            </w:tcBorders>
            <w:vAlign w:val="center"/>
          </w:tcPr>
          <w:p w14:paraId="7C64617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w:t>
            </w:r>
          </w:p>
        </w:tc>
        <w:tc>
          <w:tcPr>
            <w:tcW w:w="964" w:type="dxa"/>
            <w:tcBorders>
              <w:left w:val="nil"/>
              <w:right w:val="single" w:sz="4" w:space="0" w:color="auto"/>
            </w:tcBorders>
            <w:vAlign w:val="center"/>
          </w:tcPr>
          <w:p w14:paraId="31FC574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0.01%</w:t>
            </w:r>
          </w:p>
        </w:tc>
        <w:tc>
          <w:tcPr>
            <w:tcW w:w="1219" w:type="dxa"/>
            <w:tcBorders>
              <w:left w:val="single" w:sz="4" w:space="0" w:color="auto"/>
              <w:right w:val="nil"/>
            </w:tcBorders>
            <w:vAlign w:val="center"/>
          </w:tcPr>
          <w:p w14:paraId="38ADA74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52</w:t>
            </w:r>
          </w:p>
        </w:tc>
        <w:tc>
          <w:tcPr>
            <w:tcW w:w="1219" w:type="dxa"/>
            <w:tcBorders>
              <w:left w:val="nil"/>
              <w:right w:val="single" w:sz="4" w:space="0" w:color="auto"/>
            </w:tcBorders>
            <w:vAlign w:val="center"/>
          </w:tcPr>
          <w:p w14:paraId="78F7DA4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0.35%</w:t>
            </w:r>
          </w:p>
        </w:tc>
      </w:tr>
      <w:tr w:rsidR="001C4508" w:rsidRPr="00790280" w14:paraId="42AE8C5C"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9E7C8E9"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tcBorders>
            <w:vAlign w:val="center"/>
          </w:tcPr>
          <w:p w14:paraId="6C13476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4,151</w:t>
            </w:r>
          </w:p>
        </w:tc>
        <w:tc>
          <w:tcPr>
            <w:tcW w:w="1163" w:type="dxa"/>
            <w:tcBorders>
              <w:right w:val="single" w:sz="4" w:space="0" w:color="auto"/>
            </w:tcBorders>
            <w:vAlign w:val="center"/>
          </w:tcPr>
          <w:p w14:paraId="3AA6C2B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28.09%</w:t>
            </w:r>
          </w:p>
        </w:tc>
        <w:tc>
          <w:tcPr>
            <w:tcW w:w="1389" w:type="dxa"/>
            <w:tcBorders>
              <w:left w:val="single" w:sz="4" w:space="0" w:color="auto"/>
            </w:tcBorders>
            <w:vAlign w:val="center"/>
          </w:tcPr>
          <w:p w14:paraId="2A89866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622</w:t>
            </w:r>
          </w:p>
        </w:tc>
        <w:tc>
          <w:tcPr>
            <w:tcW w:w="1049" w:type="dxa"/>
            <w:tcBorders>
              <w:right w:val="single" w:sz="4" w:space="0" w:color="auto"/>
            </w:tcBorders>
            <w:vAlign w:val="center"/>
          </w:tcPr>
          <w:p w14:paraId="78F7058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4.21%</w:t>
            </w:r>
          </w:p>
        </w:tc>
        <w:tc>
          <w:tcPr>
            <w:tcW w:w="1502" w:type="dxa"/>
            <w:tcBorders>
              <w:left w:val="single" w:sz="4" w:space="0" w:color="auto"/>
            </w:tcBorders>
            <w:vAlign w:val="center"/>
          </w:tcPr>
          <w:p w14:paraId="379BBE2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466</w:t>
            </w:r>
          </w:p>
        </w:tc>
        <w:tc>
          <w:tcPr>
            <w:tcW w:w="936" w:type="dxa"/>
            <w:tcBorders>
              <w:right w:val="single" w:sz="4" w:space="0" w:color="auto"/>
            </w:tcBorders>
            <w:vAlign w:val="center"/>
          </w:tcPr>
          <w:p w14:paraId="6CDB656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3.15%</w:t>
            </w:r>
          </w:p>
        </w:tc>
        <w:tc>
          <w:tcPr>
            <w:tcW w:w="1474" w:type="dxa"/>
            <w:tcBorders>
              <w:left w:val="single" w:sz="4" w:space="0" w:color="auto"/>
            </w:tcBorders>
            <w:vAlign w:val="center"/>
          </w:tcPr>
          <w:p w14:paraId="37CD8B2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156</w:t>
            </w:r>
          </w:p>
        </w:tc>
        <w:tc>
          <w:tcPr>
            <w:tcW w:w="964" w:type="dxa"/>
            <w:tcBorders>
              <w:right w:val="single" w:sz="4" w:space="0" w:color="auto"/>
            </w:tcBorders>
            <w:vAlign w:val="center"/>
          </w:tcPr>
          <w:p w14:paraId="635FA77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1.06%</w:t>
            </w:r>
          </w:p>
        </w:tc>
        <w:tc>
          <w:tcPr>
            <w:tcW w:w="1219" w:type="dxa"/>
            <w:tcBorders>
              <w:left w:val="single" w:sz="4" w:space="0" w:color="auto"/>
            </w:tcBorders>
            <w:vAlign w:val="center"/>
          </w:tcPr>
          <w:p w14:paraId="67A758D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4,773</w:t>
            </w:r>
          </w:p>
        </w:tc>
        <w:tc>
          <w:tcPr>
            <w:tcW w:w="1219" w:type="dxa"/>
            <w:tcBorders>
              <w:right w:val="single" w:sz="4" w:space="0" w:color="auto"/>
            </w:tcBorders>
            <w:vAlign w:val="center"/>
          </w:tcPr>
          <w:p w14:paraId="1A08123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32.30%</w:t>
            </w:r>
          </w:p>
        </w:tc>
      </w:tr>
      <w:tr w:rsidR="001C4508" w:rsidRPr="00790280" w14:paraId="5F42CC52"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D4B85DB"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right w:val="nil"/>
            </w:tcBorders>
            <w:vAlign w:val="center"/>
          </w:tcPr>
          <w:p w14:paraId="155AF3A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8,907</w:t>
            </w:r>
          </w:p>
        </w:tc>
        <w:tc>
          <w:tcPr>
            <w:tcW w:w="1163" w:type="dxa"/>
            <w:tcBorders>
              <w:left w:val="nil"/>
              <w:right w:val="single" w:sz="4" w:space="0" w:color="auto"/>
            </w:tcBorders>
            <w:vAlign w:val="center"/>
          </w:tcPr>
          <w:p w14:paraId="5D4155D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60.27%</w:t>
            </w:r>
          </w:p>
        </w:tc>
        <w:tc>
          <w:tcPr>
            <w:tcW w:w="1389" w:type="dxa"/>
            <w:tcBorders>
              <w:left w:val="single" w:sz="4" w:space="0" w:color="auto"/>
              <w:right w:val="nil"/>
            </w:tcBorders>
            <w:vAlign w:val="center"/>
          </w:tcPr>
          <w:p w14:paraId="2E87A1C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1,098</w:t>
            </w:r>
          </w:p>
        </w:tc>
        <w:tc>
          <w:tcPr>
            <w:tcW w:w="1049" w:type="dxa"/>
            <w:tcBorders>
              <w:left w:val="nil"/>
              <w:right w:val="single" w:sz="4" w:space="0" w:color="auto"/>
            </w:tcBorders>
            <w:vAlign w:val="center"/>
          </w:tcPr>
          <w:p w14:paraId="245531D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7.43%</w:t>
            </w:r>
          </w:p>
        </w:tc>
        <w:tc>
          <w:tcPr>
            <w:tcW w:w="1502" w:type="dxa"/>
            <w:tcBorders>
              <w:left w:val="single" w:sz="4" w:space="0" w:color="auto"/>
              <w:right w:val="nil"/>
            </w:tcBorders>
            <w:vAlign w:val="center"/>
          </w:tcPr>
          <w:p w14:paraId="7366F9C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727</w:t>
            </w:r>
          </w:p>
        </w:tc>
        <w:tc>
          <w:tcPr>
            <w:tcW w:w="936" w:type="dxa"/>
            <w:tcBorders>
              <w:left w:val="nil"/>
              <w:right w:val="single" w:sz="4" w:space="0" w:color="auto"/>
            </w:tcBorders>
            <w:vAlign w:val="center"/>
          </w:tcPr>
          <w:p w14:paraId="5089F36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4.92%</w:t>
            </w:r>
          </w:p>
        </w:tc>
        <w:tc>
          <w:tcPr>
            <w:tcW w:w="1474" w:type="dxa"/>
            <w:tcBorders>
              <w:left w:val="single" w:sz="4" w:space="0" w:color="auto"/>
              <w:right w:val="nil"/>
            </w:tcBorders>
            <w:vAlign w:val="center"/>
          </w:tcPr>
          <w:p w14:paraId="574ABC3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371</w:t>
            </w:r>
          </w:p>
        </w:tc>
        <w:tc>
          <w:tcPr>
            <w:tcW w:w="964" w:type="dxa"/>
            <w:tcBorders>
              <w:left w:val="nil"/>
              <w:right w:val="single" w:sz="4" w:space="0" w:color="auto"/>
            </w:tcBorders>
            <w:vAlign w:val="center"/>
          </w:tcPr>
          <w:p w14:paraId="692333A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2.51%</w:t>
            </w:r>
          </w:p>
        </w:tc>
        <w:tc>
          <w:tcPr>
            <w:tcW w:w="1219" w:type="dxa"/>
            <w:tcBorders>
              <w:left w:val="single" w:sz="4" w:space="0" w:color="auto"/>
              <w:right w:val="nil"/>
            </w:tcBorders>
            <w:vAlign w:val="center"/>
          </w:tcPr>
          <w:p w14:paraId="0680F41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10,005</w:t>
            </w:r>
          </w:p>
        </w:tc>
        <w:tc>
          <w:tcPr>
            <w:tcW w:w="1219" w:type="dxa"/>
            <w:tcBorders>
              <w:left w:val="nil"/>
              <w:right w:val="single" w:sz="4" w:space="0" w:color="auto"/>
            </w:tcBorders>
            <w:vAlign w:val="center"/>
          </w:tcPr>
          <w:p w14:paraId="1C21FF1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67.70%</w:t>
            </w:r>
          </w:p>
        </w:tc>
      </w:tr>
      <w:tr w:rsidR="002418F8" w:rsidRPr="00790280" w14:paraId="4E8693EF"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noWrap/>
            <w:hideMark/>
          </w:tcPr>
          <w:p w14:paraId="20A558E2"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tcBorders>
            <w:vAlign w:val="center"/>
          </w:tcPr>
          <w:p w14:paraId="024F899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13,058</w:t>
            </w:r>
          </w:p>
        </w:tc>
        <w:tc>
          <w:tcPr>
            <w:tcW w:w="1163" w:type="dxa"/>
            <w:tcBorders>
              <w:bottom w:val="single" w:sz="4" w:space="0" w:color="auto"/>
              <w:right w:val="single" w:sz="4" w:space="0" w:color="auto"/>
            </w:tcBorders>
            <w:vAlign w:val="center"/>
          </w:tcPr>
          <w:p w14:paraId="405DC470"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88.36%</w:t>
            </w:r>
          </w:p>
        </w:tc>
        <w:tc>
          <w:tcPr>
            <w:tcW w:w="1389" w:type="dxa"/>
            <w:tcBorders>
              <w:left w:val="single" w:sz="4" w:space="0" w:color="auto"/>
              <w:bottom w:val="single" w:sz="4" w:space="0" w:color="auto"/>
            </w:tcBorders>
            <w:vAlign w:val="center"/>
          </w:tcPr>
          <w:p w14:paraId="6845D61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1,720</w:t>
            </w:r>
          </w:p>
        </w:tc>
        <w:tc>
          <w:tcPr>
            <w:tcW w:w="1049" w:type="dxa"/>
            <w:tcBorders>
              <w:bottom w:val="single" w:sz="4" w:space="0" w:color="auto"/>
              <w:right w:val="single" w:sz="4" w:space="0" w:color="auto"/>
            </w:tcBorders>
            <w:vAlign w:val="center"/>
          </w:tcPr>
          <w:p w14:paraId="5A32A27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11.64%</w:t>
            </w:r>
          </w:p>
        </w:tc>
        <w:tc>
          <w:tcPr>
            <w:tcW w:w="1502" w:type="dxa"/>
            <w:tcBorders>
              <w:left w:val="single" w:sz="4" w:space="0" w:color="auto"/>
              <w:bottom w:val="single" w:sz="4" w:space="0" w:color="auto"/>
            </w:tcBorders>
            <w:vAlign w:val="center"/>
          </w:tcPr>
          <w:p w14:paraId="6390A4D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1,193</w:t>
            </w:r>
          </w:p>
        </w:tc>
        <w:tc>
          <w:tcPr>
            <w:tcW w:w="936" w:type="dxa"/>
            <w:tcBorders>
              <w:bottom w:val="single" w:sz="4" w:space="0" w:color="auto"/>
              <w:right w:val="single" w:sz="4" w:space="0" w:color="auto"/>
            </w:tcBorders>
            <w:vAlign w:val="center"/>
          </w:tcPr>
          <w:p w14:paraId="3F0FFF7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8.07%</w:t>
            </w:r>
          </w:p>
        </w:tc>
        <w:tc>
          <w:tcPr>
            <w:tcW w:w="1474" w:type="dxa"/>
            <w:tcBorders>
              <w:left w:val="single" w:sz="4" w:space="0" w:color="auto"/>
              <w:bottom w:val="single" w:sz="4" w:space="0" w:color="auto"/>
            </w:tcBorders>
            <w:vAlign w:val="center"/>
          </w:tcPr>
          <w:p w14:paraId="63C7E5F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527</w:t>
            </w:r>
          </w:p>
        </w:tc>
        <w:tc>
          <w:tcPr>
            <w:tcW w:w="964" w:type="dxa"/>
            <w:tcBorders>
              <w:bottom w:val="single" w:sz="4" w:space="0" w:color="auto"/>
              <w:right w:val="single" w:sz="4" w:space="0" w:color="auto"/>
            </w:tcBorders>
            <w:vAlign w:val="center"/>
          </w:tcPr>
          <w:p w14:paraId="06CD68D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3.57%</w:t>
            </w:r>
          </w:p>
        </w:tc>
        <w:tc>
          <w:tcPr>
            <w:tcW w:w="1219" w:type="dxa"/>
            <w:tcBorders>
              <w:left w:val="single" w:sz="4" w:space="0" w:color="auto"/>
              <w:bottom w:val="single" w:sz="4" w:space="0" w:color="auto"/>
            </w:tcBorders>
            <w:vAlign w:val="center"/>
          </w:tcPr>
          <w:p w14:paraId="113B66C8"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14,778</w:t>
            </w:r>
          </w:p>
        </w:tc>
        <w:tc>
          <w:tcPr>
            <w:tcW w:w="1219" w:type="dxa"/>
            <w:tcBorders>
              <w:bottom w:val="single" w:sz="4" w:space="0" w:color="auto"/>
              <w:right w:val="single" w:sz="4" w:space="0" w:color="auto"/>
            </w:tcBorders>
            <w:vAlign w:val="center"/>
          </w:tcPr>
          <w:p w14:paraId="2EE2D15C"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16.90%</w:t>
            </w:r>
          </w:p>
        </w:tc>
      </w:tr>
      <w:tr w:rsidR="001C4508" w:rsidRPr="00790280" w14:paraId="33A98C29"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nil"/>
              <w:right w:val="single" w:sz="4" w:space="0" w:color="auto"/>
            </w:tcBorders>
            <w:noWrap/>
            <w:hideMark/>
          </w:tcPr>
          <w:p w14:paraId="1BE605AD"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2008</w:t>
            </w:r>
          </w:p>
        </w:tc>
        <w:tc>
          <w:tcPr>
            <w:tcW w:w="1275" w:type="dxa"/>
            <w:tcBorders>
              <w:top w:val="single" w:sz="4" w:space="0" w:color="auto"/>
              <w:left w:val="single" w:sz="4" w:space="0" w:color="auto"/>
              <w:bottom w:val="nil"/>
              <w:right w:val="nil"/>
            </w:tcBorders>
            <w:vAlign w:val="center"/>
          </w:tcPr>
          <w:p w14:paraId="62748D1F"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63" w:type="dxa"/>
            <w:tcBorders>
              <w:top w:val="single" w:sz="4" w:space="0" w:color="auto"/>
              <w:left w:val="nil"/>
              <w:bottom w:val="nil"/>
              <w:right w:val="single" w:sz="4" w:space="0" w:color="auto"/>
            </w:tcBorders>
            <w:vAlign w:val="center"/>
          </w:tcPr>
          <w:p w14:paraId="2C56BED9"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389" w:type="dxa"/>
            <w:tcBorders>
              <w:top w:val="single" w:sz="4" w:space="0" w:color="auto"/>
              <w:left w:val="single" w:sz="4" w:space="0" w:color="auto"/>
              <w:bottom w:val="nil"/>
              <w:right w:val="nil"/>
            </w:tcBorders>
            <w:vAlign w:val="center"/>
          </w:tcPr>
          <w:p w14:paraId="16E4437B"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49" w:type="dxa"/>
            <w:tcBorders>
              <w:top w:val="single" w:sz="4" w:space="0" w:color="auto"/>
              <w:left w:val="nil"/>
              <w:bottom w:val="nil"/>
              <w:right w:val="single" w:sz="4" w:space="0" w:color="auto"/>
            </w:tcBorders>
            <w:vAlign w:val="center"/>
          </w:tcPr>
          <w:p w14:paraId="4DFD8572"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502" w:type="dxa"/>
            <w:tcBorders>
              <w:top w:val="single" w:sz="4" w:space="0" w:color="auto"/>
              <w:left w:val="single" w:sz="4" w:space="0" w:color="auto"/>
              <w:bottom w:val="nil"/>
              <w:right w:val="nil"/>
            </w:tcBorders>
            <w:vAlign w:val="center"/>
          </w:tcPr>
          <w:p w14:paraId="11F5565C"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936" w:type="dxa"/>
            <w:tcBorders>
              <w:top w:val="single" w:sz="4" w:space="0" w:color="auto"/>
              <w:left w:val="nil"/>
              <w:bottom w:val="nil"/>
              <w:right w:val="single" w:sz="4" w:space="0" w:color="auto"/>
            </w:tcBorders>
            <w:vAlign w:val="center"/>
          </w:tcPr>
          <w:p w14:paraId="0BFEC923"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474" w:type="dxa"/>
            <w:tcBorders>
              <w:top w:val="single" w:sz="4" w:space="0" w:color="auto"/>
              <w:left w:val="single" w:sz="4" w:space="0" w:color="auto"/>
              <w:bottom w:val="nil"/>
              <w:right w:val="nil"/>
            </w:tcBorders>
            <w:vAlign w:val="center"/>
          </w:tcPr>
          <w:p w14:paraId="487702A8"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964" w:type="dxa"/>
            <w:tcBorders>
              <w:top w:val="single" w:sz="4" w:space="0" w:color="auto"/>
              <w:left w:val="nil"/>
              <w:bottom w:val="nil"/>
              <w:right w:val="single" w:sz="4" w:space="0" w:color="auto"/>
            </w:tcBorders>
            <w:vAlign w:val="center"/>
          </w:tcPr>
          <w:p w14:paraId="18ADB0B0"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19" w:type="dxa"/>
            <w:tcBorders>
              <w:top w:val="single" w:sz="4" w:space="0" w:color="auto"/>
              <w:left w:val="single" w:sz="4" w:space="0" w:color="auto"/>
              <w:bottom w:val="nil"/>
              <w:right w:val="nil"/>
            </w:tcBorders>
            <w:vAlign w:val="center"/>
          </w:tcPr>
          <w:p w14:paraId="5A60189E"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19" w:type="dxa"/>
            <w:tcBorders>
              <w:top w:val="single" w:sz="4" w:space="0" w:color="auto"/>
              <w:left w:val="nil"/>
              <w:bottom w:val="nil"/>
              <w:right w:val="single" w:sz="4" w:space="0" w:color="auto"/>
            </w:tcBorders>
            <w:vAlign w:val="center"/>
          </w:tcPr>
          <w:p w14:paraId="339D4695"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 </w:t>
            </w:r>
          </w:p>
        </w:tc>
      </w:tr>
      <w:tr w:rsidR="001C4508" w:rsidRPr="00790280" w14:paraId="52D8DEC1"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right w:val="single" w:sz="4" w:space="0" w:color="auto"/>
            </w:tcBorders>
            <w:noWrap/>
            <w:hideMark/>
          </w:tcPr>
          <w:p w14:paraId="0A72C60F"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75" w:type="dxa"/>
            <w:tcBorders>
              <w:top w:val="nil"/>
              <w:left w:val="single" w:sz="4" w:space="0" w:color="auto"/>
            </w:tcBorders>
            <w:vAlign w:val="center"/>
          </w:tcPr>
          <w:p w14:paraId="7024D3A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165</w:t>
            </w:r>
          </w:p>
        </w:tc>
        <w:tc>
          <w:tcPr>
            <w:tcW w:w="1163" w:type="dxa"/>
            <w:tcBorders>
              <w:top w:val="nil"/>
              <w:right w:val="single" w:sz="4" w:space="0" w:color="auto"/>
            </w:tcBorders>
            <w:vAlign w:val="center"/>
          </w:tcPr>
          <w:p w14:paraId="4FD8ECA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1.92%</w:t>
            </w:r>
          </w:p>
        </w:tc>
        <w:tc>
          <w:tcPr>
            <w:tcW w:w="1389" w:type="dxa"/>
            <w:tcBorders>
              <w:top w:val="nil"/>
              <w:left w:val="single" w:sz="4" w:space="0" w:color="auto"/>
            </w:tcBorders>
            <w:vAlign w:val="center"/>
          </w:tcPr>
          <w:p w14:paraId="4FFBE96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50</w:t>
            </w:r>
          </w:p>
        </w:tc>
        <w:tc>
          <w:tcPr>
            <w:tcW w:w="1049" w:type="dxa"/>
            <w:tcBorders>
              <w:top w:val="nil"/>
              <w:right w:val="single" w:sz="4" w:space="0" w:color="auto"/>
            </w:tcBorders>
            <w:vAlign w:val="center"/>
          </w:tcPr>
          <w:p w14:paraId="0E35343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0.58%</w:t>
            </w:r>
          </w:p>
        </w:tc>
        <w:tc>
          <w:tcPr>
            <w:tcW w:w="1502" w:type="dxa"/>
            <w:tcBorders>
              <w:top w:val="nil"/>
              <w:left w:val="single" w:sz="4" w:space="0" w:color="auto"/>
            </w:tcBorders>
            <w:vAlign w:val="center"/>
          </w:tcPr>
          <w:p w14:paraId="2A20CCC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23</w:t>
            </w:r>
          </w:p>
        </w:tc>
        <w:tc>
          <w:tcPr>
            <w:tcW w:w="936" w:type="dxa"/>
            <w:tcBorders>
              <w:top w:val="nil"/>
              <w:right w:val="single" w:sz="4" w:space="0" w:color="auto"/>
            </w:tcBorders>
            <w:vAlign w:val="center"/>
          </w:tcPr>
          <w:p w14:paraId="475C4A2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0.27%</w:t>
            </w:r>
          </w:p>
        </w:tc>
        <w:tc>
          <w:tcPr>
            <w:tcW w:w="1474" w:type="dxa"/>
            <w:tcBorders>
              <w:top w:val="nil"/>
              <w:left w:val="single" w:sz="4" w:space="0" w:color="auto"/>
            </w:tcBorders>
            <w:vAlign w:val="center"/>
          </w:tcPr>
          <w:p w14:paraId="3A968B6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27</w:t>
            </w:r>
          </w:p>
        </w:tc>
        <w:tc>
          <w:tcPr>
            <w:tcW w:w="964" w:type="dxa"/>
            <w:tcBorders>
              <w:top w:val="nil"/>
              <w:right w:val="single" w:sz="4" w:space="0" w:color="auto"/>
            </w:tcBorders>
            <w:vAlign w:val="center"/>
          </w:tcPr>
          <w:p w14:paraId="3C6F775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0.31%</w:t>
            </w:r>
          </w:p>
        </w:tc>
        <w:tc>
          <w:tcPr>
            <w:tcW w:w="1219" w:type="dxa"/>
            <w:tcBorders>
              <w:top w:val="nil"/>
              <w:left w:val="single" w:sz="4" w:space="0" w:color="auto"/>
            </w:tcBorders>
            <w:vAlign w:val="center"/>
          </w:tcPr>
          <w:p w14:paraId="1B430F6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215</w:t>
            </w:r>
          </w:p>
        </w:tc>
        <w:tc>
          <w:tcPr>
            <w:tcW w:w="1219" w:type="dxa"/>
            <w:tcBorders>
              <w:top w:val="nil"/>
              <w:right w:val="single" w:sz="4" w:space="0" w:color="auto"/>
            </w:tcBorders>
            <w:vAlign w:val="center"/>
          </w:tcPr>
          <w:p w14:paraId="76B32D2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2.50%</w:t>
            </w:r>
          </w:p>
        </w:tc>
      </w:tr>
      <w:tr w:rsidR="001C4508" w:rsidRPr="00790280" w14:paraId="00D01210"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4E66FFF"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75" w:type="dxa"/>
            <w:tcBorders>
              <w:left w:val="single" w:sz="4" w:space="0" w:color="auto"/>
              <w:right w:val="nil"/>
            </w:tcBorders>
            <w:vAlign w:val="center"/>
          </w:tcPr>
          <w:p w14:paraId="77637A5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276</w:t>
            </w:r>
          </w:p>
        </w:tc>
        <w:tc>
          <w:tcPr>
            <w:tcW w:w="1163" w:type="dxa"/>
            <w:tcBorders>
              <w:left w:val="nil"/>
              <w:right w:val="single" w:sz="4" w:space="0" w:color="auto"/>
            </w:tcBorders>
            <w:vAlign w:val="center"/>
          </w:tcPr>
          <w:p w14:paraId="3E58C98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3.21%</w:t>
            </w:r>
          </w:p>
        </w:tc>
        <w:tc>
          <w:tcPr>
            <w:tcW w:w="1389" w:type="dxa"/>
            <w:tcBorders>
              <w:left w:val="single" w:sz="4" w:space="0" w:color="auto"/>
              <w:right w:val="nil"/>
            </w:tcBorders>
            <w:vAlign w:val="center"/>
          </w:tcPr>
          <w:p w14:paraId="6F38E26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127</w:t>
            </w:r>
          </w:p>
        </w:tc>
        <w:tc>
          <w:tcPr>
            <w:tcW w:w="1049" w:type="dxa"/>
            <w:tcBorders>
              <w:left w:val="nil"/>
              <w:right w:val="single" w:sz="4" w:space="0" w:color="auto"/>
            </w:tcBorders>
            <w:vAlign w:val="center"/>
          </w:tcPr>
          <w:p w14:paraId="7451EAB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1.48%</w:t>
            </w:r>
          </w:p>
        </w:tc>
        <w:tc>
          <w:tcPr>
            <w:tcW w:w="1502" w:type="dxa"/>
            <w:tcBorders>
              <w:left w:val="single" w:sz="4" w:space="0" w:color="auto"/>
              <w:right w:val="nil"/>
            </w:tcBorders>
            <w:vAlign w:val="center"/>
          </w:tcPr>
          <w:p w14:paraId="05A59CE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78</w:t>
            </w:r>
          </w:p>
        </w:tc>
        <w:tc>
          <w:tcPr>
            <w:tcW w:w="936" w:type="dxa"/>
            <w:tcBorders>
              <w:left w:val="nil"/>
              <w:right w:val="single" w:sz="4" w:space="0" w:color="auto"/>
            </w:tcBorders>
            <w:vAlign w:val="center"/>
          </w:tcPr>
          <w:p w14:paraId="3D806B6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0.91%</w:t>
            </w:r>
          </w:p>
        </w:tc>
        <w:tc>
          <w:tcPr>
            <w:tcW w:w="1474" w:type="dxa"/>
            <w:tcBorders>
              <w:left w:val="single" w:sz="4" w:space="0" w:color="auto"/>
              <w:right w:val="nil"/>
            </w:tcBorders>
            <w:vAlign w:val="center"/>
          </w:tcPr>
          <w:p w14:paraId="02A6594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49</w:t>
            </w:r>
          </w:p>
        </w:tc>
        <w:tc>
          <w:tcPr>
            <w:tcW w:w="964" w:type="dxa"/>
            <w:tcBorders>
              <w:left w:val="nil"/>
              <w:right w:val="single" w:sz="4" w:space="0" w:color="auto"/>
            </w:tcBorders>
            <w:vAlign w:val="center"/>
          </w:tcPr>
          <w:p w14:paraId="42BC4F2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0.57%</w:t>
            </w:r>
          </w:p>
        </w:tc>
        <w:tc>
          <w:tcPr>
            <w:tcW w:w="1219" w:type="dxa"/>
            <w:tcBorders>
              <w:left w:val="single" w:sz="4" w:space="0" w:color="auto"/>
              <w:right w:val="nil"/>
            </w:tcBorders>
            <w:vAlign w:val="center"/>
          </w:tcPr>
          <w:p w14:paraId="4D35CB9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403</w:t>
            </w:r>
          </w:p>
        </w:tc>
        <w:tc>
          <w:tcPr>
            <w:tcW w:w="1219" w:type="dxa"/>
            <w:tcBorders>
              <w:left w:val="nil"/>
              <w:right w:val="single" w:sz="4" w:space="0" w:color="auto"/>
            </w:tcBorders>
            <w:vAlign w:val="center"/>
          </w:tcPr>
          <w:p w14:paraId="23D0155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4.69%</w:t>
            </w:r>
          </w:p>
        </w:tc>
      </w:tr>
      <w:tr w:rsidR="001C4508" w:rsidRPr="00790280" w14:paraId="53F50B0F"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951A6A9"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75" w:type="dxa"/>
            <w:tcBorders>
              <w:left w:val="single" w:sz="4" w:space="0" w:color="auto"/>
            </w:tcBorders>
            <w:vAlign w:val="center"/>
          </w:tcPr>
          <w:p w14:paraId="5C7379B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1,010</w:t>
            </w:r>
          </w:p>
        </w:tc>
        <w:tc>
          <w:tcPr>
            <w:tcW w:w="1163" w:type="dxa"/>
            <w:tcBorders>
              <w:right w:val="single" w:sz="4" w:space="0" w:color="auto"/>
            </w:tcBorders>
            <w:vAlign w:val="center"/>
          </w:tcPr>
          <w:p w14:paraId="55120C8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11.74%</w:t>
            </w:r>
          </w:p>
        </w:tc>
        <w:tc>
          <w:tcPr>
            <w:tcW w:w="1389" w:type="dxa"/>
            <w:tcBorders>
              <w:left w:val="single" w:sz="4" w:space="0" w:color="auto"/>
            </w:tcBorders>
            <w:vAlign w:val="center"/>
          </w:tcPr>
          <w:p w14:paraId="3077216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265</w:t>
            </w:r>
          </w:p>
        </w:tc>
        <w:tc>
          <w:tcPr>
            <w:tcW w:w="1049" w:type="dxa"/>
            <w:tcBorders>
              <w:right w:val="single" w:sz="4" w:space="0" w:color="auto"/>
            </w:tcBorders>
            <w:vAlign w:val="center"/>
          </w:tcPr>
          <w:p w14:paraId="654888F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3.08%</w:t>
            </w:r>
          </w:p>
        </w:tc>
        <w:tc>
          <w:tcPr>
            <w:tcW w:w="1502" w:type="dxa"/>
            <w:tcBorders>
              <w:left w:val="single" w:sz="4" w:space="0" w:color="auto"/>
            </w:tcBorders>
            <w:vAlign w:val="center"/>
          </w:tcPr>
          <w:p w14:paraId="2ABC2A5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198</w:t>
            </w:r>
          </w:p>
        </w:tc>
        <w:tc>
          <w:tcPr>
            <w:tcW w:w="936" w:type="dxa"/>
            <w:tcBorders>
              <w:right w:val="single" w:sz="4" w:space="0" w:color="auto"/>
            </w:tcBorders>
            <w:vAlign w:val="center"/>
          </w:tcPr>
          <w:p w14:paraId="0FB098E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2.30%</w:t>
            </w:r>
          </w:p>
        </w:tc>
        <w:tc>
          <w:tcPr>
            <w:tcW w:w="1474" w:type="dxa"/>
            <w:tcBorders>
              <w:left w:val="single" w:sz="4" w:space="0" w:color="auto"/>
            </w:tcBorders>
            <w:vAlign w:val="center"/>
          </w:tcPr>
          <w:p w14:paraId="04E5CAB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67</w:t>
            </w:r>
          </w:p>
        </w:tc>
        <w:tc>
          <w:tcPr>
            <w:tcW w:w="964" w:type="dxa"/>
            <w:tcBorders>
              <w:right w:val="single" w:sz="4" w:space="0" w:color="auto"/>
            </w:tcBorders>
            <w:vAlign w:val="center"/>
          </w:tcPr>
          <w:p w14:paraId="7E9E227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0.78%</w:t>
            </w:r>
          </w:p>
        </w:tc>
        <w:tc>
          <w:tcPr>
            <w:tcW w:w="1219" w:type="dxa"/>
            <w:tcBorders>
              <w:left w:val="single" w:sz="4" w:space="0" w:color="auto"/>
            </w:tcBorders>
            <w:vAlign w:val="center"/>
          </w:tcPr>
          <w:p w14:paraId="139E4A7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1,275</w:t>
            </w:r>
          </w:p>
        </w:tc>
        <w:tc>
          <w:tcPr>
            <w:tcW w:w="1219" w:type="dxa"/>
            <w:tcBorders>
              <w:right w:val="single" w:sz="4" w:space="0" w:color="auto"/>
            </w:tcBorders>
            <w:vAlign w:val="center"/>
          </w:tcPr>
          <w:p w14:paraId="3A9A7E8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14.82%</w:t>
            </w:r>
          </w:p>
        </w:tc>
      </w:tr>
      <w:tr w:rsidR="001C4508" w:rsidRPr="00790280" w14:paraId="4C537DE4"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AB62E9D"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right w:val="nil"/>
            </w:tcBorders>
            <w:vAlign w:val="center"/>
          </w:tcPr>
          <w:p w14:paraId="3A273A0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715</w:t>
            </w:r>
          </w:p>
        </w:tc>
        <w:tc>
          <w:tcPr>
            <w:tcW w:w="1163" w:type="dxa"/>
            <w:tcBorders>
              <w:left w:val="nil"/>
              <w:right w:val="single" w:sz="4" w:space="0" w:color="auto"/>
            </w:tcBorders>
            <w:vAlign w:val="center"/>
          </w:tcPr>
          <w:p w14:paraId="0DE9846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8.31%</w:t>
            </w:r>
          </w:p>
        </w:tc>
        <w:tc>
          <w:tcPr>
            <w:tcW w:w="1389" w:type="dxa"/>
            <w:tcBorders>
              <w:left w:val="single" w:sz="4" w:space="0" w:color="auto"/>
              <w:right w:val="nil"/>
            </w:tcBorders>
            <w:vAlign w:val="center"/>
          </w:tcPr>
          <w:p w14:paraId="5288E17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109</w:t>
            </w:r>
          </w:p>
        </w:tc>
        <w:tc>
          <w:tcPr>
            <w:tcW w:w="1049" w:type="dxa"/>
            <w:tcBorders>
              <w:left w:val="nil"/>
              <w:right w:val="single" w:sz="4" w:space="0" w:color="auto"/>
            </w:tcBorders>
            <w:vAlign w:val="center"/>
          </w:tcPr>
          <w:p w14:paraId="683E9D1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1.27%</w:t>
            </w:r>
          </w:p>
        </w:tc>
        <w:tc>
          <w:tcPr>
            <w:tcW w:w="1502" w:type="dxa"/>
            <w:tcBorders>
              <w:left w:val="single" w:sz="4" w:space="0" w:color="auto"/>
              <w:right w:val="nil"/>
            </w:tcBorders>
            <w:vAlign w:val="center"/>
          </w:tcPr>
          <w:p w14:paraId="451CABA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71</w:t>
            </w:r>
          </w:p>
        </w:tc>
        <w:tc>
          <w:tcPr>
            <w:tcW w:w="936" w:type="dxa"/>
            <w:tcBorders>
              <w:left w:val="nil"/>
              <w:right w:val="single" w:sz="4" w:space="0" w:color="auto"/>
            </w:tcBorders>
            <w:vAlign w:val="center"/>
          </w:tcPr>
          <w:p w14:paraId="77F1357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0.83%</w:t>
            </w:r>
          </w:p>
        </w:tc>
        <w:tc>
          <w:tcPr>
            <w:tcW w:w="1474" w:type="dxa"/>
            <w:tcBorders>
              <w:left w:val="single" w:sz="4" w:space="0" w:color="auto"/>
              <w:right w:val="nil"/>
            </w:tcBorders>
            <w:vAlign w:val="center"/>
          </w:tcPr>
          <w:p w14:paraId="7B9E4C8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38</w:t>
            </w:r>
          </w:p>
        </w:tc>
        <w:tc>
          <w:tcPr>
            <w:tcW w:w="964" w:type="dxa"/>
            <w:tcBorders>
              <w:left w:val="nil"/>
              <w:right w:val="single" w:sz="4" w:space="0" w:color="auto"/>
            </w:tcBorders>
            <w:vAlign w:val="center"/>
          </w:tcPr>
          <w:p w14:paraId="02EBFAD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0.44%</w:t>
            </w:r>
          </w:p>
        </w:tc>
        <w:tc>
          <w:tcPr>
            <w:tcW w:w="1219" w:type="dxa"/>
            <w:tcBorders>
              <w:left w:val="single" w:sz="4" w:space="0" w:color="auto"/>
              <w:right w:val="nil"/>
            </w:tcBorders>
            <w:vAlign w:val="center"/>
          </w:tcPr>
          <w:p w14:paraId="3203E64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824</w:t>
            </w:r>
          </w:p>
        </w:tc>
        <w:tc>
          <w:tcPr>
            <w:tcW w:w="1219" w:type="dxa"/>
            <w:tcBorders>
              <w:left w:val="nil"/>
              <w:right w:val="single" w:sz="4" w:space="0" w:color="auto"/>
            </w:tcBorders>
            <w:vAlign w:val="center"/>
          </w:tcPr>
          <w:p w14:paraId="5AA6CEA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9.58%</w:t>
            </w:r>
          </w:p>
        </w:tc>
      </w:tr>
      <w:tr w:rsidR="001C4508" w:rsidRPr="00790280" w14:paraId="260F0775"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A1172C3"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tcBorders>
            <w:vAlign w:val="center"/>
          </w:tcPr>
          <w:p w14:paraId="4A6C820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26</w:t>
            </w:r>
          </w:p>
        </w:tc>
        <w:tc>
          <w:tcPr>
            <w:tcW w:w="1163" w:type="dxa"/>
            <w:tcBorders>
              <w:right w:val="single" w:sz="4" w:space="0" w:color="auto"/>
            </w:tcBorders>
            <w:vAlign w:val="center"/>
          </w:tcPr>
          <w:p w14:paraId="3FC407B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0.30%</w:t>
            </w:r>
          </w:p>
        </w:tc>
        <w:tc>
          <w:tcPr>
            <w:tcW w:w="1389" w:type="dxa"/>
            <w:tcBorders>
              <w:left w:val="single" w:sz="4" w:space="0" w:color="auto"/>
            </w:tcBorders>
            <w:vAlign w:val="center"/>
          </w:tcPr>
          <w:p w14:paraId="5E6845B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w:t>
            </w:r>
          </w:p>
        </w:tc>
        <w:tc>
          <w:tcPr>
            <w:tcW w:w="1049" w:type="dxa"/>
            <w:tcBorders>
              <w:right w:val="single" w:sz="4" w:space="0" w:color="auto"/>
            </w:tcBorders>
            <w:vAlign w:val="center"/>
          </w:tcPr>
          <w:p w14:paraId="6147D96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0.10%</w:t>
            </w:r>
          </w:p>
        </w:tc>
        <w:tc>
          <w:tcPr>
            <w:tcW w:w="1502" w:type="dxa"/>
            <w:tcBorders>
              <w:left w:val="single" w:sz="4" w:space="0" w:color="auto"/>
            </w:tcBorders>
            <w:vAlign w:val="center"/>
          </w:tcPr>
          <w:p w14:paraId="1C6BD5F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w:t>
            </w:r>
          </w:p>
        </w:tc>
        <w:tc>
          <w:tcPr>
            <w:tcW w:w="936" w:type="dxa"/>
            <w:tcBorders>
              <w:right w:val="single" w:sz="4" w:space="0" w:color="auto"/>
            </w:tcBorders>
            <w:vAlign w:val="center"/>
          </w:tcPr>
          <w:p w14:paraId="6FFBB87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0.10%</w:t>
            </w:r>
          </w:p>
        </w:tc>
        <w:tc>
          <w:tcPr>
            <w:tcW w:w="1474" w:type="dxa"/>
            <w:tcBorders>
              <w:left w:val="single" w:sz="4" w:space="0" w:color="auto"/>
            </w:tcBorders>
            <w:vAlign w:val="center"/>
          </w:tcPr>
          <w:p w14:paraId="26DFE03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w:t>
            </w:r>
          </w:p>
        </w:tc>
        <w:tc>
          <w:tcPr>
            <w:tcW w:w="964" w:type="dxa"/>
            <w:tcBorders>
              <w:right w:val="single" w:sz="4" w:space="0" w:color="auto"/>
            </w:tcBorders>
            <w:vAlign w:val="center"/>
          </w:tcPr>
          <w:p w14:paraId="75A90F3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0.00%</w:t>
            </w:r>
          </w:p>
        </w:tc>
        <w:tc>
          <w:tcPr>
            <w:tcW w:w="1219" w:type="dxa"/>
            <w:tcBorders>
              <w:left w:val="single" w:sz="4" w:space="0" w:color="auto"/>
            </w:tcBorders>
            <w:vAlign w:val="center"/>
          </w:tcPr>
          <w:p w14:paraId="71B9B97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35</w:t>
            </w:r>
          </w:p>
        </w:tc>
        <w:tc>
          <w:tcPr>
            <w:tcW w:w="1219" w:type="dxa"/>
            <w:tcBorders>
              <w:right w:val="single" w:sz="4" w:space="0" w:color="auto"/>
            </w:tcBorders>
            <w:vAlign w:val="center"/>
          </w:tcPr>
          <w:p w14:paraId="7D0E3B8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0.41%</w:t>
            </w:r>
          </w:p>
        </w:tc>
      </w:tr>
      <w:tr w:rsidR="001C4508" w:rsidRPr="00790280" w14:paraId="1CE2A6AE"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299DE3C1"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right w:val="nil"/>
            </w:tcBorders>
            <w:vAlign w:val="center"/>
          </w:tcPr>
          <w:p w14:paraId="29372B3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2,192</w:t>
            </w:r>
          </w:p>
        </w:tc>
        <w:tc>
          <w:tcPr>
            <w:tcW w:w="1163" w:type="dxa"/>
            <w:tcBorders>
              <w:left w:val="nil"/>
              <w:right w:val="single" w:sz="4" w:space="0" w:color="auto"/>
            </w:tcBorders>
            <w:vAlign w:val="center"/>
          </w:tcPr>
          <w:p w14:paraId="4480ECF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25.49%</w:t>
            </w:r>
          </w:p>
        </w:tc>
        <w:tc>
          <w:tcPr>
            <w:tcW w:w="1389" w:type="dxa"/>
            <w:tcBorders>
              <w:left w:val="single" w:sz="4" w:space="0" w:color="auto"/>
              <w:right w:val="nil"/>
            </w:tcBorders>
            <w:vAlign w:val="center"/>
          </w:tcPr>
          <w:p w14:paraId="210F845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560</w:t>
            </w:r>
          </w:p>
        </w:tc>
        <w:tc>
          <w:tcPr>
            <w:tcW w:w="1049" w:type="dxa"/>
            <w:tcBorders>
              <w:left w:val="nil"/>
              <w:right w:val="single" w:sz="4" w:space="0" w:color="auto"/>
            </w:tcBorders>
            <w:vAlign w:val="center"/>
          </w:tcPr>
          <w:p w14:paraId="6B55CC4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6.51%</w:t>
            </w:r>
          </w:p>
        </w:tc>
        <w:tc>
          <w:tcPr>
            <w:tcW w:w="1502" w:type="dxa"/>
            <w:tcBorders>
              <w:left w:val="single" w:sz="4" w:space="0" w:color="auto"/>
              <w:right w:val="nil"/>
            </w:tcBorders>
            <w:vAlign w:val="center"/>
          </w:tcPr>
          <w:p w14:paraId="558BDB7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379</w:t>
            </w:r>
          </w:p>
        </w:tc>
        <w:tc>
          <w:tcPr>
            <w:tcW w:w="936" w:type="dxa"/>
            <w:tcBorders>
              <w:left w:val="nil"/>
              <w:right w:val="single" w:sz="4" w:space="0" w:color="auto"/>
            </w:tcBorders>
            <w:vAlign w:val="center"/>
          </w:tcPr>
          <w:p w14:paraId="716EA23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4.41%</w:t>
            </w:r>
          </w:p>
        </w:tc>
        <w:tc>
          <w:tcPr>
            <w:tcW w:w="1474" w:type="dxa"/>
            <w:tcBorders>
              <w:left w:val="single" w:sz="4" w:space="0" w:color="auto"/>
              <w:right w:val="nil"/>
            </w:tcBorders>
            <w:vAlign w:val="center"/>
          </w:tcPr>
          <w:p w14:paraId="3C52173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181</w:t>
            </w:r>
          </w:p>
        </w:tc>
        <w:tc>
          <w:tcPr>
            <w:tcW w:w="964" w:type="dxa"/>
            <w:tcBorders>
              <w:left w:val="nil"/>
              <w:right w:val="single" w:sz="4" w:space="0" w:color="auto"/>
            </w:tcBorders>
            <w:vAlign w:val="center"/>
          </w:tcPr>
          <w:p w14:paraId="3451369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2.10%</w:t>
            </w:r>
          </w:p>
        </w:tc>
        <w:tc>
          <w:tcPr>
            <w:tcW w:w="1219" w:type="dxa"/>
            <w:tcBorders>
              <w:left w:val="single" w:sz="4" w:space="0" w:color="auto"/>
              <w:right w:val="nil"/>
            </w:tcBorders>
            <w:vAlign w:val="center"/>
          </w:tcPr>
          <w:p w14:paraId="2AA79BF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2,752</w:t>
            </w:r>
          </w:p>
        </w:tc>
        <w:tc>
          <w:tcPr>
            <w:tcW w:w="1219" w:type="dxa"/>
            <w:tcBorders>
              <w:left w:val="nil"/>
              <w:right w:val="single" w:sz="4" w:space="0" w:color="auto"/>
            </w:tcBorders>
            <w:vAlign w:val="center"/>
          </w:tcPr>
          <w:p w14:paraId="7B162DA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32.00%</w:t>
            </w:r>
          </w:p>
        </w:tc>
      </w:tr>
      <w:tr w:rsidR="001C4508" w:rsidRPr="00790280" w14:paraId="21C007DC"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E212579"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tcBorders>
            <w:vAlign w:val="center"/>
          </w:tcPr>
          <w:p w14:paraId="18A758A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4,913</w:t>
            </w:r>
          </w:p>
        </w:tc>
        <w:tc>
          <w:tcPr>
            <w:tcW w:w="1163" w:type="dxa"/>
            <w:tcBorders>
              <w:right w:val="single" w:sz="4" w:space="0" w:color="auto"/>
            </w:tcBorders>
            <w:vAlign w:val="center"/>
          </w:tcPr>
          <w:p w14:paraId="6700629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57.12%</w:t>
            </w:r>
          </w:p>
        </w:tc>
        <w:tc>
          <w:tcPr>
            <w:tcW w:w="1389" w:type="dxa"/>
            <w:tcBorders>
              <w:left w:val="single" w:sz="4" w:space="0" w:color="auto"/>
            </w:tcBorders>
            <w:vAlign w:val="center"/>
          </w:tcPr>
          <w:p w14:paraId="14D2507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936</w:t>
            </w:r>
          </w:p>
        </w:tc>
        <w:tc>
          <w:tcPr>
            <w:tcW w:w="1049" w:type="dxa"/>
            <w:tcBorders>
              <w:right w:val="single" w:sz="4" w:space="0" w:color="auto"/>
            </w:tcBorders>
            <w:vAlign w:val="center"/>
          </w:tcPr>
          <w:p w14:paraId="6365750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10.88%</w:t>
            </w:r>
          </w:p>
        </w:tc>
        <w:tc>
          <w:tcPr>
            <w:tcW w:w="1502" w:type="dxa"/>
            <w:tcBorders>
              <w:left w:val="single" w:sz="4" w:space="0" w:color="auto"/>
            </w:tcBorders>
            <w:vAlign w:val="center"/>
          </w:tcPr>
          <w:p w14:paraId="4647E6F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594</w:t>
            </w:r>
          </w:p>
        </w:tc>
        <w:tc>
          <w:tcPr>
            <w:tcW w:w="936" w:type="dxa"/>
            <w:tcBorders>
              <w:right w:val="single" w:sz="4" w:space="0" w:color="auto"/>
            </w:tcBorders>
            <w:vAlign w:val="center"/>
          </w:tcPr>
          <w:p w14:paraId="4F75300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6.91%</w:t>
            </w:r>
          </w:p>
        </w:tc>
        <w:tc>
          <w:tcPr>
            <w:tcW w:w="1474" w:type="dxa"/>
            <w:tcBorders>
              <w:left w:val="single" w:sz="4" w:space="0" w:color="auto"/>
            </w:tcBorders>
            <w:vAlign w:val="center"/>
          </w:tcPr>
          <w:p w14:paraId="5DC07E9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342</w:t>
            </w:r>
          </w:p>
        </w:tc>
        <w:tc>
          <w:tcPr>
            <w:tcW w:w="964" w:type="dxa"/>
            <w:tcBorders>
              <w:right w:val="single" w:sz="4" w:space="0" w:color="auto"/>
            </w:tcBorders>
            <w:vAlign w:val="center"/>
          </w:tcPr>
          <w:p w14:paraId="3CC659D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3.98%</w:t>
            </w:r>
          </w:p>
        </w:tc>
        <w:tc>
          <w:tcPr>
            <w:tcW w:w="1219" w:type="dxa"/>
            <w:tcBorders>
              <w:left w:val="single" w:sz="4" w:space="0" w:color="auto"/>
            </w:tcBorders>
            <w:vAlign w:val="center"/>
          </w:tcPr>
          <w:p w14:paraId="2070D91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5,849</w:t>
            </w:r>
          </w:p>
        </w:tc>
        <w:tc>
          <w:tcPr>
            <w:tcW w:w="1219" w:type="dxa"/>
            <w:tcBorders>
              <w:right w:val="single" w:sz="4" w:space="0" w:color="auto"/>
            </w:tcBorders>
            <w:vAlign w:val="center"/>
          </w:tcPr>
          <w:p w14:paraId="2445B86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68.00%</w:t>
            </w:r>
          </w:p>
        </w:tc>
      </w:tr>
      <w:tr w:rsidR="001C4508" w:rsidRPr="00790280" w14:paraId="534E07BA"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noWrap/>
            <w:hideMark/>
          </w:tcPr>
          <w:p w14:paraId="5EFA3E7D"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right w:val="nil"/>
            </w:tcBorders>
            <w:vAlign w:val="center"/>
          </w:tcPr>
          <w:p w14:paraId="413C2AC2"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7,105</w:t>
            </w:r>
          </w:p>
        </w:tc>
        <w:tc>
          <w:tcPr>
            <w:tcW w:w="1163" w:type="dxa"/>
            <w:tcBorders>
              <w:left w:val="nil"/>
              <w:bottom w:val="single" w:sz="4" w:space="0" w:color="auto"/>
              <w:right w:val="single" w:sz="4" w:space="0" w:color="auto"/>
            </w:tcBorders>
            <w:vAlign w:val="center"/>
          </w:tcPr>
          <w:p w14:paraId="3C413D27"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82.61%</w:t>
            </w:r>
          </w:p>
        </w:tc>
        <w:tc>
          <w:tcPr>
            <w:tcW w:w="1389" w:type="dxa"/>
            <w:tcBorders>
              <w:left w:val="single" w:sz="4" w:space="0" w:color="auto"/>
              <w:bottom w:val="single" w:sz="4" w:space="0" w:color="auto"/>
              <w:right w:val="nil"/>
            </w:tcBorders>
            <w:vAlign w:val="center"/>
          </w:tcPr>
          <w:p w14:paraId="2DD3D17E"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1,496</w:t>
            </w:r>
          </w:p>
        </w:tc>
        <w:tc>
          <w:tcPr>
            <w:tcW w:w="1049" w:type="dxa"/>
            <w:tcBorders>
              <w:left w:val="nil"/>
              <w:bottom w:val="single" w:sz="4" w:space="0" w:color="auto"/>
              <w:right w:val="single" w:sz="4" w:space="0" w:color="auto"/>
            </w:tcBorders>
            <w:vAlign w:val="center"/>
          </w:tcPr>
          <w:p w14:paraId="32189DD3"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17.39%</w:t>
            </w:r>
          </w:p>
        </w:tc>
        <w:tc>
          <w:tcPr>
            <w:tcW w:w="1502" w:type="dxa"/>
            <w:tcBorders>
              <w:left w:val="single" w:sz="4" w:space="0" w:color="auto"/>
              <w:bottom w:val="single" w:sz="4" w:space="0" w:color="auto"/>
              <w:right w:val="nil"/>
            </w:tcBorders>
            <w:vAlign w:val="center"/>
          </w:tcPr>
          <w:p w14:paraId="756B7354"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973</w:t>
            </w:r>
          </w:p>
        </w:tc>
        <w:tc>
          <w:tcPr>
            <w:tcW w:w="936" w:type="dxa"/>
            <w:tcBorders>
              <w:left w:val="nil"/>
              <w:bottom w:val="single" w:sz="4" w:space="0" w:color="auto"/>
              <w:right w:val="single" w:sz="4" w:space="0" w:color="auto"/>
            </w:tcBorders>
            <w:vAlign w:val="center"/>
          </w:tcPr>
          <w:p w14:paraId="363448E4"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11.31%</w:t>
            </w:r>
          </w:p>
        </w:tc>
        <w:tc>
          <w:tcPr>
            <w:tcW w:w="1474" w:type="dxa"/>
            <w:tcBorders>
              <w:left w:val="single" w:sz="4" w:space="0" w:color="auto"/>
              <w:bottom w:val="single" w:sz="4" w:space="0" w:color="auto"/>
              <w:right w:val="nil"/>
            </w:tcBorders>
            <w:vAlign w:val="center"/>
          </w:tcPr>
          <w:p w14:paraId="0EDD118C"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523</w:t>
            </w:r>
          </w:p>
        </w:tc>
        <w:tc>
          <w:tcPr>
            <w:tcW w:w="964" w:type="dxa"/>
            <w:tcBorders>
              <w:left w:val="nil"/>
              <w:bottom w:val="single" w:sz="4" w:space="0" w:color="auto"/>
              <w:right w:val="single" w:sz="4" w:space="0" w:color="auto"/>
            </w:tcBorders>
            <w:vAlign w:val="center"/>
          </w:tcPr>
          <w:p w14:paraId="51F6DC9C"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6.08%</w:t>
            </w:r>
          </w:p>
        </w:tc>
        <w:tc>
          <w:tcPr>
            <w:tcW w:w="1219" w:type="dxa"/>
            <w:tcBorders>
              <w:left w:val="single" w:sz="4" w:space="0" w:color="auto"/>
              <w:bottom w:val="single" w:sz="4" w:space="0" w:color="auto"/>
              <w:right w:val="nil"/>
            </w:tcBorders>
            <w:vAlign w:val="center"/>
          </w:tcPr>
          <w:p w14:paraId="067A21B8"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8,601</w:t>
            </w:r>
          </w:p>
        </w:tc>
        <w:tc>
          <w:tcPr>
            <w:tcW w:w="1219" w:type="dxa"/>
            <w:tcBorders>
              <w:left w:val="nil"/>
              <w:bottom w:val="single" w:sz="4" w:space="0" w:color="auto"/>
              <w:right w:val="single" w:sz="4" w:space="0" w:color="auto"/>
            </w:tcBorders>
            <w:vAlign w:val="center"/>
          </w:tcPr>
          <w:p w14:paraId="166C498B"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9.84%</w:t>
            </w:r>
          </w:p>
        </w:tc>
      </w:tr>
    </w:tbl>
    <w:p w14:paraId="738B472E" w14:textId="77777777" w:rsidR="001C4508" w:rsidRDefault="001C4508" w:rsidP="00CE2FDF">
      <w:pPr>
        <w:spacing w:before="0"/>
      </w:pPr>
      <w:r>
        <w:rPr>
          <w:b/>
          <w:bCs/>
        </w:rPr>
        <w:br w:type="page"/>
      </w:r>
    </w:p>
    <w:tbl>
      <w:tblPr>
        <w:tblStyle w:val="LightShading-Accent5"/>
        <w:tblW w:w="14425" w:type="dxa"/>
        <w:tblLayout w:type="fixed"/>
        <w:tblLook w:val="04A0" w:firstRow="1" w:lastRow="0" w:firstColumn="1" w:lastColumn="0" w:noHBand="0" w:noVBand="1"/>
        <w:tblCaption w:val="Number of reports of neglect, by year, reporter group, and outcome"/>
      </w:tblPr>
      <w:tblGrid>
        <w:gridCol w:w="2235"/>
        <w:gridCol w:w="1275"/>
        <w:gridCol w:w="1163"/>
        <w:gridCol w:w="1389"/>
        <w:gridCol w:w="1049"/>
        <w:gridCol w:w="1502"/>
        <w:gridCol w:w="936"/>
        <w:gridCol w:w="1474"/>
        <w:gridCol w:w="964"/>
        <w:gridCol w:w="1219"/>
        <w:gridCol w:w="1219"/>
      </w:tblGrid>
      <w:tr w:rsidR="001C4508" w:rsidRPr="00790280" w14:paraId="75A37214"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41369D08" w14:textId="77777777" w:rsidR="001C4508" w:rsidRPr="00790280" w:rsidRDefault="001C4508" w:rsidP="00CE2FDF">
            <w:pPr>
              <w:keepNext/>
              <w:tabs>
                <w:tab w:val="left" w:pos="1134"/>
              </w:tabs>
              <w:spacing w:before="0" w:line="276" w:lineRule="auto"/>
              <w:jc w:val="center"/>
              <w:rPr>
                <w:rFonts w:cs="Arial"/>
                <w:color w:val="auto"/>
                <w:sz w:val="20"/>
                <w:szCs w:val="20"/>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7331658"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DED1106"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AB2F1F6"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DF961F4"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32FA396"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Totals</w:t>
            </w:r>
          </w:p>
        </w:tc>
      </w:tr>
      <w:tr w:rsidR="002418F8" w:rsidRPr="00790280" w14:paraId="1C08138A"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nil"/>
              <w:right w:val="single" w:sz="4" w:space="0" w:color="auto"/>
            </w:tcBorders>
            <w:noWrap/>
            <w:hideMark/>
          </w:tcPr>
          <w:p w14:paraId="1A5C5923"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2009</w:t>
            </w:r>
          </w:p>
        </w:tc>
        <w:tc>
          <w:tcPr>
            <w:tcW w:w="1275" w:type="dxa"/>
            <w:tcBorders>
              <w:top w:val="single" w:sz="4" w:space="0" w:color="auto"/>
              <w:left w:val="single" w:sz="4" w:space="0" w:color="auto"/>
              <w:bottom w:val="nil"/>
            </w:tcBorders>
            <w:vAlign w:val="center"/>
          </w:tcPr>
          <w:p w14:paraId="63D44E88"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163" w:type="dxa"/>
            <w:tcBorders>
              <w:top w:val="single" w:sz="4" w:space="0" w:color="auto"/>
              <w:bottom w:val="nil"/>
              <w:right w:val="single" w:sz="4" w:space="0" w:color="auto"/>
            </w:tcBorders>
            <w:vAlign w:val="center"/>
          </w:tcPr>
          <w:p w14:paraId="62D5A7CC"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389" w:type="dxa"/>
            <w:tcBorders>
              <w:top w:val="single" w:sz="4" w:space="0" w:color="auto"/>
              <w:left w:val="single" w:sz="4" w:space="0" w:color="auto"/>
              <w:bottom w:val="nil"/>
            </w:tcBorders>
            <w:vAlign w:val="center"/>
          </w:tcPr>
          <w:p w14:paraId="399328A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049" w:type="dxa"/>
            <w:tcBorders>
              <w:top w:val="single" w:sz="4" w:space="0" w:color="auto"/>
              <w:bottom w:val="nil"/>
              <w:right w:val="single" w:sz="4" w:space="0" w:color="auto"/>
            </w:tcBorders>
            <w:vAlign w:val="center"/>
          </w:tcPr>
          <w:p w14:paraId="5D8A9B6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502" w:type="dxa"/>
            <w:tcBorders>
              <w:top w:val="single" w:sz="4" w:space="0" w:color="auto"/>
              <w:left w:val="single" w:sz="4" w:space="0" w:color="auto"/>
              <w:bottom w:val="nil"/>
            </w:tcBorders>
            <w:vAlign w:val="center"/>
          </w:tcPr>
          <w:p w14:paraId="297996D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936" w:type="dxa"/>
            <w:tcBorders>
              <w:top w:val="single" w:sz="4" w:space="0" w:color="auto"/>
              <w:bottom w:val="nil"/>
              <w:right w:val="single" w:sz="4" w:space="0" w:color="auto"/>
            </w:tcBorders>
            <w:vAlign w:val="center"/>
          </w:tcPr>
          <w:p w14:paraId="389D7633"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474" w:type="dxa"/>
            <w:tcBorders>
              <w:top w:val="single" w:sz="4" w:space="0" w:color="auto"/>
              <w:left w:val="single" w:sz="4" w:space="0" w:color="auto"/>
              <w:bottom w:val="nil"/>
            </w:tcBorders>
            <w:vAlign w:val="center"/>
          </w:tcPr>
          <w:p w14:paraId="0BCC5B2C"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964" w:type="dxa"/>
            <w:tcBorders>
              <w:top w:val="single" w:sz="4" w:space="0" w:color="auto"/>
              <w:bottom w:val="nil"/>
              <w:right w:val="single" w:sz="4" w:space="0" w:color="auto"/>
            </w:tcBorders>
            <w:vAlign w:val="center"/>
          </w:tcPr>
          <w:p w14:paraId="39D255E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219" w:type="dxa"/>
            <w:tcBorders>
              <w:top w:val="single" w:sz="4" w:space="0" w:color="auto"/>
              <w:left w:val="single" w:sz="4" w:space="0" w:color="auto"/>
              <w:bottom w:val="nil"/>
            </w:tcBorders>
            <w:vAlign w:val="center"/>
          </w:tcPr>
          <w:p w14:paraId="5535DA6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bottom w:val="nil"/>
              <w:right w:val="single" w:sz="4" w:space="0" w:color="auto"/>
            </w:tcBorders>
            <w:vAlign w:val="center"/>
          </w:tcPr>
          <w:p w14:paraId="0E09763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r>
      <w:tr w:rsidR="001C4508" w:rsidRPr="00790280" w14:paraId="265B7F21"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right w:val="single" w:sz="4" w:space="0" w:color="auto"/>
            </w:tcBorders>
            <w:noWrap/>
            <w:hideMark/>
          </w:tcPr>
          <w:p w14:paraId="7CE25186"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75" w:type="dxa"/>
            <w:tcBorders>
              <w:top w:val="nil"/>
              <w:left w:val="single" w:sz="4" w:space="0" w:color="auto"/>
            </w:tcBorders>
            <w:vAlign w:val="center"/>
          </w:tcPr>
          <w:p w14:paraId="115E6AF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61</w:t>
            </w:r>
          </w:p>
        </w:tc>
        <w:tc>
          <w:tcPr>
            <w:tcW w:w="1163" w:type="dxa"/>
            <w:tcBorders>
              <w:top w:val="nil"/>
              <w:right w:val="single" w:sz="4" w:space="0" w:color="auto"/>
            </w:tcBorders>
            <w:vAlign w:val="center"/>
          </w:tcPr>
          <w:p w14:paraId="6E39F46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1.50%</w:t>
            </w:r>
          </w:p>
        </w:tc>
        <w:tc>
          <w:tcPr>
            <w:tcW w:w="1389" w:type="dxa"/>
            <w:tcBorders>
              <w:top w:val="nil"/>
              <w:left w:val="single" w:sz="4" w:space="0" w:color="auto"/>
            </w:tcBorders>
            <w:vAlign w:val="center"/>
          </w:tcPr>
          <w:p w14:paraId="4062AEA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71</w:t>
            </w:r>
          </w:p>
        </w:tc>
        <w:tc>
          <w:tcPr>
            <w:tcW w:w="1049" w:type="dxa"/>
            <w:tcBorders>
              <w:top w:val="nil"/>
              <w:right w:val="single" w:sz="4" w:space="0" w:color="auto"/>
            </w:tcBorders>
            <w:vAlign w:val="center"/>
          </w:tcPr>
          <w:p w14:paraId="24D2E0D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1.75%</w:t>
            </w:r>
          </w:p>
        </w:tc>
        <w:tc>
          <w:tcPr>
            <w:tcW w:w="1502" w:type="dxa"/>
            <w:tcBorders>
              <w:top w:val="nil"/>
              <w:left w:val="single" w:sz="4" w:space="0" w:color="auto"/>
            </w:tcBorders>
            <w:vAlign w:val="center"/>
          </w:tcPr>
          <w:p w14:paraId="4909277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40</w:t>
            </w:r>
          </w:p>
        </w:tc>
        <w:tc>
          <w:tcPr>
            <w:tcW w:w="936" w:type="dxa"/>
            <w:tcBorders>
              <w:top w:val="nil"/>
              <w:right w:val="single" w:sz="4" w:space="0" w:color="auto"/>
            </w:tcBorders>
            <w:vAlign w:val="center"/>
          </w:tcPr>
          <w:p w14:paraId="7F3D093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0.99%</w:t>
            </w:r>
          </w:p>
        </w:tc>
        <w:tc>
          <w:tcPr>
            <w:tcW w:w="1474" w:type="dxa"/>
            <w:tcBorders>
              <w:top w:val="nil"/>
              <w:left w:val="single" w:sz="4" w:space="0" w:color="auto"/>
            </w:tcBorders>
            <w:vAlign w:val="center"/>
          </w:tcPr>
          <w:p w14:paraId="6397EAF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31</w:t>
            </w:r>
          </w:p>
        </w:tc>
        <w:tc>
          <w:tcPr>
            <w:tcW w:w="964" w:type="dxa"/>
            <w:tcBorders>
              <w:top w:val="nil"/>
              <w:right w:val="single" w:sz="4" w:space="0" w:color="auto"/>
            </w:tcBorders>
            <w:vAlign w:val="center"/>
          </w:tcPr>
          <w:p w14:paraId="561DA0A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0.76%</w:t>
            </w:r>
          </w:p>
        </w:tc>
        <w:tc>
          <w:tcPr>
            <w:tcW w:w="1219" w:type="dxa"/>
            <w:tcBorders>
              <w:top w:val="nil"/>
              <w:left w:val="single" w:sz="4" w:space="0" w:color="auto"/>
            </w:tcBorders>
            <w:vAlign w:val="center"/>
          </w:tcPr>
          <w:p w14:paraId="49A8225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132</w:t>
            </w:r>
          </w:p>
        </w:tc>
        <w:tc>
          <w:tcPr>
            <w:tcW w:w="1219" w:type="dxa"/>
            <w:tcBorders>
              <w:top w:val="nil"/>
              <w:right w:val="single" w:sz="4" w:space="0" w:color="auto"/>
            </w:tcBorders>
            <w:vAlign w:val="center"/>
          </w:tcPr>
          <w:p w14:paraId="523A6C5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3.25%</w:t>
            </w:r>
          </w:p>
        </w:tc>
      </w:tr>
      <w:tr w:rsidR="001C4508" w:rsidRPr="00790280" w14:paraId="59B60550"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F28E4F0"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75" w:type="dxa"/>
            <w:tcBorders>
              <w:left w:val="single" w:sz="4" w:space="0" w:color="auto"/>
            </w:tcBorders>
            <w:vAlign w:val="center"/>
          </w:tcPr>
          <w:p w14:paraId="7EE39DC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122</w:t>
            </w:r>
          </w:p>
        </w:tc>
        <w:tc>
          <w:tcPr>
            <w:tcW w:w="1163" w:type="dxa"/>
            <w:tcBorders>
              <w:right w:val="single" w:sz="4" w:space="0" w:color="auto"/>
            </w:tcBorders>
            <w:vAlign w:val="center"/>
          </w:tcPr>
          <w:p w14:paraId="7D27FBC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3.01%</w:t>
            </w:r>
          </w:p>
        </w:tc>
        <w:tc>
          <w:tcPr>
            <w:tcW w:w="1389" w:type="dxa"/>
            <w:tcBorders>
              <w:left w:val="single" w:sz="4" w:space="0" w:color="auto"/>
            </w:tcBorders>
            <w:vAlign w:val="center"/>
          </w:tcPr>
          <w:p w14:paraId="01F22B0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115</w:t>
            </w:r>
          </w:p>
        </w:tc>
        <w:tc>
          <w:tcPr>
            <w:tcW w:w="1049" w:type="dxa"/>
            <w:tcBorders>
              <w:right w:val="single" w:sz="4" w:space="0" w:color="auto"/>
            </w:tcBorders>
            <w:vAlign w:val="center"/>
          </w:tcPr>
          <w:p w14:paraId="426A690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2.83%</w:t>
            </w:r>
          </w:p>
        </w:tc>
        <w:tc>
          <w:tcPr>
            <w:tcW w:w="1502" w:type="dxa"/>
            <w:tcBorders>
              <w:left w:val="single" w:sz="4" w:space="0" w:color="auto"/>
            </w:tcBorders>
            <w:vAlign w:val="center"/>
          </w:tcPr>
          <w:p w14:paraId="074B896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72</w:t>
            </w:r>
          </w:p>
        </w:tc>
        <w:tc>
          <w:tcPr>
            <w:tcW w:w="936" w:type="dxa"/>
            <w:tcBorders>
              <w:right w:val="single" w:sz="4" w:space="0" w:color="auto"/>
            </w:tcBorders>
            <w:vAlign w:val="center"/>
          </w:tcPr>
          <w:p w14:paraId="77E257A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1.77%</w:t>
            </w:r>
          </w:p>
        </w:tc>
        <w:tc>
          <w:tcPr>
            <w:tcW w:w="1474" w:type="dxa"/>
            <w:tcBorders>
              <w:left w:val="single" w:sz="4" w:space="0" w:color="auto"/>
            </w:tcBorders>
            <w:vAlign w:val="center"/>
          </w:tcPr>
          <w:p w14:paraId="4149A6D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43</w:t>
            </w:r>
          </w:p>
        </w:tc>
        <w:tc>
          <w:tcPr>
            <w:tcW w:w="964" w:type="dxa"/>
            <w:tcBorders>
              <w:right w:val="single" w:sz="4" w:space="0" w:color="auto"/>
            </w:tcBorders>
            <w:vAlign w:val="center"/>
          </w:tcPr>
          <w:p w14:paraId="4191713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1.06%</w:t>
            </w:r>
          </w:p>
        </w:tc>
        <w:tc>
          <w:tcPr>
            <w:tcW w:w="1219" w:type="dxa"/>
            <w:tcBorders>
              <w:left w:val="single" w:sz="4" w:space="0" w:color="auto"/>
            </w:tcBorders>
            <w:vAlign w:val="center"/>
          </w:tcPr>
          <w:p w14:paraId="03B1749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237</w:t>
            </w:r>
          </w:p>
        </w:tc>
        <w:tc>
          <w:tcPr>
            <w:tcW w:w="1219" w:type="dxa"/>
            <w:tcBorders>
              <w:right w:val="single" w:sz="4" w:space="0" w:color="auto"/>
            </w:tcBorders>
            <w:vAlign w:val="center"/>
          </w:tcPr>
          <w:p w14:paraId="49D3B43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5.84%</w:t>
            </w:r>
          </w:p>
        </w:tc>
      </w:tr>
      <w:tr w:rsidR="001C4508" w:rsidRPr="00790280" w14:paraId="3C11EEC1"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6F6ABA6"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75" w:type="dxa"/>
            <w:tcBorders>
              <w:left w:val="single" w:sz="4" w:space="0" w:color="auto"/>
            </w:tcBorders>
            <w:vAlign w:val="center"/>
          </w:tcPr>
          <w:p w14:paraId="3023D42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317</w:t>
            </w:r>
          </w:p>
        </w:tc>
        <w:tc>
          <w:tcPr>
            <w:tcW w:w="1163" w:type="dxa"/>
            <w:tcBorders>
              <w:right w:val="single" w:sz="4" w:space="0" w:color="auto"/>
            </w:tcBorders>
            <w:vAlign w:val="center"/>
          </w:tcPr>
          <w:p w14:paraId="698D9AC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7.81%</w:t>
            </w:r>
          </w:p>
        </w:tc>
        <w:tc>
          <w:tcPr>
            <w:tcW w:w="1389" w:type="dxa"/>
            <w:tcBorders>
              <w:left w:val="single" w:sz="4" w:space="0" w:color="auto"/>
            </w:tcBorders>
            <w:vAlign w:val="center"/>
          </w:tcPr>
          <w:p w14:paraId="7877A53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190</w:t>
            </w:r>
          </w:p>
        </w:tc>
        <w:tc>
          <w:tcPr>
            <w:tcW w:w="1049" w:type="dxa"/>
            <w:tcBorders>
              <w:right w:val="single" w:sz="4" w:space="0" w:color="auto"/>
            </w:tcBorders>
            <w:vAlign w:val="center"/>
          </w:tcPr>
          <w:p w14:paraId="210B63B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4.68%</w:t>
            </w:r>
          </w:p>
        </w:tc>
        <w:tc>
          <w:tcPr>
            <w:tcW w:w="1502" w:type="dxa"/>
            <w:tcBorders>
              <w:left w:val="single" w:sz="4" w:space="0" w:color="auto"/>
            </w:tcBorders>
            <w:vAlign w:val="center"/>
          </w:tcPr>
          <w:p w14:paraId="4CFE1B4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131</w:t>
            </w:r>
          </w:p>
        </w:tc>
        <w:tc>
          <w:tcPr>
            <w:tcW w:w="936" w:type="dxa"/>
            <w:tcBorders>
              <w:right w:val="single" w:sz="4" w:space="0" w:color="auto"/>
            </w:tcBorders>
            <w:vAlign w:val="center"/>
          </w:tcPr>
          <w:p w14:paraId="4B68856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3.23%</w:t>
            </w:r>
          </w:p>
        </w:tc>
        <w:tc>
          <w:tcPr>
            <w:tcW w:w="1474" w:type="dxa"/>
            <w:tcBorders>
              <w:left w:val="single" w:sz="4" w:space="0" w:color="auto"/>
            </w:tcBorders>
            <w:vAlign w:val="center"/>
          </w:tcPr>
          <w:p w14:paraId="03D26C6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59</w:t>
            </w:r>
          </w:p>
        </w:tc>
        <w:tc>
          <w:tcPr>
            <w:tcW w:w="964" w:type="dxa"/>
            <w:tcBorders>
              <w:right w:val="single" w:sz="4" w:space="0" w:color="auto"/>
            </w:tcBorders>
            <w:vAlign w:val="center"/>
          </w:tcPr>
          <w:p w14:paraId="3A9576C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1.45%</w:t>
            </w:r>
          </w:p>
        </w:tc>
        <w:tc>
          <w:tcPr>
            <w:tcW w:w="1219" w:type="dxa"/>
            <w:tcBorders>
              <w:left w:val="single" w:sz="4" w:space="0" w:color="auto"/>
            </w:tcBorders>
            <w:vAlign w:val="center"/>
          </w:tcPr>
          <w:p w14:paraId="12FB3F9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507</w:t>
            </w:r>
          </w:p>
        </w:tc>
        <w:tc>
          <w:tcPr>
            <w:tcW w:w="1219" w:type="dxa"/>
            <w:tcBorders>
              <w:right w:val="single" w:sz="4" w:space="0" w:color="auto"/>
            </w:tcBorders>
            <w:vAlign w:val="center"/>
          </w:tcPr>
          <w:p w14:paraId="4BC412C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12.50%</w:t>
            </w:r>
          </w:p>
        </w:tc>
      </w:tr>
      <w:tr w:rsidR="001C4508" w:rsidRPr="00790280" w14:paraId="2CF0F569"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701495E"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tcBorders>
            <w:vAlign w:val="center"/>
          </w:tcPr>
          <w:p w14:paraId="27685A2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426</w:t>
            </w:r>
          </w:p>
        </w:tc>
        <w:tc>
          <w:tcPr>
            <w:tcW w:w="1163" w:type="dxa"/>
            <w:tcBorders>
              <w:right w:val="single" w:sz="4" w:space="0" w:color="auto"/>
            </w:tcBorders>
            <w:vAlign w:val="center"/>
          </w:tcPr>
          <w:p w14:paraId="6957CDE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10.50%</w:t>
            </w:r>
          </w:p>
        </w:tc>
        <w:tc>
          <w:tcPr>
            <w:tcW w:w="1389" w:type="dxa"/>
            <w:tcBorders>
              <w:left w:val="single" w:sz="4" w:space="0" w:color="auto"/>
            </w:tcBorders>
            <w:vAlign w:val="center"/>
          </w:tcPr>
          <w:p w14:paraId="68821BA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108</w:t>
            </w:r>
          </w:p>
        </w:tc>
        <w:tc>
          <w:tcPr>
            <w:tcW w:w="1049" w:type="dxa"/>
            <w:tcBorders>
              <w:right w:val="single" w:sz="4" w:space="0" w:color="auto"/>
            </w:tcBorders>
            <w:vAlign w:val="center"/>
          </w:tcPr>
          <w:p w14:paraId="626C03F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2.66%</w:t>
            </w:r>
          </w:p>
        </w:tc>
        <w:tc>
          <w:tcPr>
            <w:tcW w:w="1502" w:type="dxa"/>
            <w:tcBorders>
              <w:left w:val="single" w:sz="4" w:space="0" w:color="auto"/>
            </w:tcBorders>
            <w:vAlign w:val="center"/>
          </w:tcPr>
          <w:p w14:paraId="64E06E2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44</w:t>
            </w:r>
          </w:p>
        </w:tc>
        <w:tc>
          <w:tcPr>
            <w:tcW w:w="936" w:type="dxa"/>
            <w:tcBorders>
              <w:right w:val="single" w:sz="4" w:space="0" w:color="auto"/>
            </w:tcBorders>
            <w:vAlign w:val="center"/>
          </w:tcPr>
          <w:p w14:paraId="10EE7EB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1.08%</w:t>
            </w:r>
          </w:p>
        </w:tc>
        <w:tc>
          <w:tcPr>
            <w:tcW w:w="1474" w:type="dxa"/>
            <w:tcBorders>
              <w:left w:val="single" w:sz="4" w:space="0" w:color="auto"/>
            </w:tcBorders>
            <w:vAlign w:val="center"/>
          </w:tcPr>
          <w:p w14:paraId="28804DA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64</w:t>
            </w:r>
          </w:p>
        </w:tc>
        <w:tc>
          <w:tcPr>
            <w:tcW w:w="964" w:type="dxa"/>
            <w:tcBorders>
              <w:right w:val="single" w:sz="4" w:space="0" w:color="auto"/>
            </w:tcBorders>
            <w:vAlign w:val="center"/>
          </w:tcPr>
          <w:p w14:paraId="5D3006B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1.58%</w:t>
            </w:r>
          </w:p>
        </w:tc>
        <w:tc>
          <w:tcPr>
            <w:tcW w:w="1219" w:type="dxa"/>
            <w:tcBorders>
              <w:left w:val="single" w:sz="4" w:space="0" w:color="auto"/>
            </w:tcBorders>
            <w:vAlign w:val="center"/>
          </w:tcPr>
          <w:p w14:paraId="167D73E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534</w:t>
            </w:r>
          </w:p>
        </w:tc>
        <w:tc>
          <w:tcPr>
            <w:tcW w:w="1219" w:type="dxa"/>
            <w:tcBorders>
              <w:right w:val="single" w:sz="4" w:space="0" w:color="auto"/>
            </w:tcBorders>
            <w:vAlign w:val="center"/>
          </w:tcPr>
          <w:p w14:paraId="65D4BA0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13.16%</w:t>
            </w:r>
          </w:p>
        </w:tc>
      </w:tr>
      <w:tr w:rsidR="001C4508" w:rsidRPr="00790280" w14:paraId="71A10392"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3037B56"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tcBorders>
            <w:vAlign w:val="center"/>
          </w:tcPr>
          <w:p w14:paraId="279F62F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w:t>
            </w:r>
          </w:p>
        </w:tc>
        <w:tc>
          <w:tcPr>
            <w:tcW w:w="1163" w:type="dxa"/>
            <w:tcBorders>
              <w:right w:val="single" w:sz="4" w:space="0" w:color="auto"/>
            </w:tcBorders>
            <w:vAlign w:val="center"/>
          </w:tcPr>
          <w:p w14:paraId="28A3831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0.25%</w:t>
            </w:r>
          </w:p>
        </w:tc>
        <w:tc>
          <w:tcPr>
            <w:tcW w:w="1389" w:type="dxa"/>
            <w:tcBorders>
              <w:left w:val="single" w:sz="4" w:space="0" w:color="auto"/>
            </w:tcBorders>
            <w:vAlign w:val="center"/>
          </w:tcPr>
          <w:p w14:paraId="23E873B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w:t>
            </w:r>
          </w:p>
        </w:tc>
        <w:tc>
          <w:tcPr>
            <w:tcW w:w="1049" w:type="dxa"/>
            <w:tcBorders>
              <w:right w:val="single" w:sz="4" w:space="0" w:color="auto"/>
            </w:tcBorders>
            <w:vAlign w:val="center"/>
          </w:tcPr>
          <w:p w14:paraId="27AB874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0.10%</w:t>
            </w:r>
          </w:p>
        </w:tc>
        <w:tc>
          <w:tcPr>
            <w:tcW w:w="1502" w:type="dxa"/>
            <w:tcBorders>
              <w:left w:val="single" w:sz="4" w:space="0" w:color="auto"/>
            </w:tcBorders>
            <w:vAlign w:val="center"/>
          </w:tcPr>
          <w:p w14:paraId="7A715BD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w:t>
            </w:r>
          </w:p>
        </w:tc>
        <w:tc>
          <w:tcPr>
            <w:tcW w:w="936" w:type="dxa"/>
            <w:tcBorders>
              <w:right w:val="single" w:sz="4" w:space="0" w:color="auto"/>
            </w:tcBorders>
            <w:vAlign w:val="center"/>
          </w:tcPr>
          <w:p w14:paraId="69DC8DD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0.07%</w:t>
            </w:r>
          </w:p>
        </w:tc>
        <w:tc>
          <w:tcPr>
            <w:tcW w:w="1474" w:type="dxa"/>
            <w:tcBorders>
              <w:left w:val="single" w:sz="4" w:space="0" w:color="auto"/>
            </w:tcBorders>
            <w:vAlign w:val="center"/>
          </w:tcPr>
          <w:p w14:paraId="4D3B137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w:t>
            </w:r>
          </w:p>
        </w:tc>
        <w:tc>
          <w:tcPr>
            <w:tcW w:w="964" w:type="dxa"/>
            <w:tcBorders>
              <w:right w:val="single" w:sz="4" w:space="0" w:color="auto"/>
            </w:tcBorders>
            <w:vAlign w:val="center"/>
          </w:tcPr>
          <w:p w14:paraId="6E661D8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0.02%</w:t>
            </w:r>
          </w:p>
        </w:tc>
        <w:tc>
          <w:tcPr>
            <w:tcW w:w="1219" w:type="dxa"/>
            <w:tcBorders>
              <w:left w:val="single" w:sz="4" w:space="0" w:color="auto"/>
            </w:tcBorders>
            <w:vAlign w:val="center"/>
          </w:tcPr>
          <w:p w14:paraId="5E86F24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14</w:t>
            </w:r>
          </w:p>
        </w:tc>
        <w:tc>
          <w:tcPr>
            <w:tcW w:w="1219" w:type="dxa"/>
            <w:tcBorders>
              <w:right w:val="single" w:sz="4" w:space="0" w:color="auto"/>
            </w:tcBorders>
            <w:vAlign w:val="center"/>
          </w:tcPr>
          <w:p w14:paraId="7A0A210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0.35%</w:t>
            </w:r>
          </w:p>
        </w:tc>
      </w:tr>
      <w:tr w:rsidR="001C4508" w:rsidRPr="00790280" w14:paraId="3E974996"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912DA92"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tcBorders>
            <w:vAlign w:val="center"/>
          </w:tcPr>
          <w:p w14:paraId="7357E77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936</w:t>
            </w:r>
          </w:p>
        </w:tc>
        <w:tc>
          <w:tcPr>
            <w:tcW w:w="1163" w:type="dxa"/>
            <w:tcBorders>
              <w:right w:val="single" w:sz="4" w:space="0" w:color="auto"/>
            </w:tcBorders>
            <w:vAlign w:val="center"/>
          </w:tcPr>
          <w:p w14:paraId="0E584EB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23.07%</w:t>
            </w:r>
          </w:p>
        </w:tc>
        <w:tc>
          <w:tcPr>
            <w:tcW w:w="1389" w:type="dxa"/>
            <w:tcBorders>
              <w:left w:val="single" w:sz="4" w:space="0" w:color="auto"/>
            </w:tcBorders>
            <w:vAlign w:val="center"/>
          </w:tcPr>
          <w:p w14:paraId="6CD0DE8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488</w:t>
            </w:r>
          </w:p>
        </w:tc>
        <w:tc>
          <w:tcPr>
            <w:tcW w:w="1049" w:type="dxa"/>
            <w:tcBorders>
              <w:right w:val="single" w:sz="4" w:space="0" w:color="auto"/>
            </w:tcBorders>
            <w:vAlign w:val="center"/>
          </w:tcPr>
          <w:p w14:paraId="23F6D52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12.03%</w:t>
            </w:r>
          </w:p>
        </w:tc>
        <w:tc>
          <w:tcPr>
            <w:tcW w:w="1502" w:type="dxa"/>
            <w:tcBorders>
              <w:left w:val="single" w:sz="4" w:space="0" w:color="auto"/>
            </w:tcBorders>
            <w:vAlign w:val="center"/>
          </w:tcPr>
          <w:p w14:paraId="4F5B7AC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290</w:t>
            </w:r>
          </w:p>
        </w:tc>
        <w:tc>
          <w:tcPr>
            <w:tcW w:w="936" w:type="dxa"/>
            <w:tcBorders>
              <w:right w:val="single" w:sz="4" w:space="0" w:color="auto"/>
            </w:tcBorders>
            <w:vAlign w:val="center"/>
          </w:tcPr>
          <w:p w14:paraId="03810C3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7.15%</w:t>
            </w:r>
          </w:p>
        </w:tc>
        <w:tc>
          <w:tcPr>
            <w:tcW w:w="1474" w:type="dxa"/>
            <w:tcBorders>
              <w:left w:val="single" w:sz="4" w:space="0" w:color="auto"/>
            </w:tcBorders>
            <w:vAlign w:val="center"/>
          </w:tcPr>
          <w:p w14:paraId="08BD719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198</w:t>
            </w:r>
          </w:p>
        </w:tc>
        <w:tc>
          <w:tcPr>
            <w:tcW w:w="964" w:type="dxa"/>
            <w:tcBorders>
              <w:right w:val="single" w:sz="4" w:space="0" w:color="auto"/>
            </w:tcBorders>
            <w:vAlign w:val="center"/>
          </w:tcPr>
          <w:p w14:paraId="66BC8E9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4.88%</w:t>
            </w:r>
          </w:p>
        </w:tc>
        <w:tc>
          <w:tcPr>
            <w:tcW w:w="1219" w:type="dxa"/>
            <w:tcBorders>
              <w:left w:val="single" w:sz="4" w:space="0" w:color="auto"/>
            </w:tcBorders>
            <w:vAlign w:val="center"/>
          </w:tcPr>
          <w:p w14:paraId="6AB8238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1,424</w:t>
            </w:r>
          </w:p>
        </w:tc>
        <w:tc>
          <w:tcPr>
            <w:tcW w:w="1219" w:type="dxa"/>
            <w:tcBorders>
              <w:right w:val="single" w:sz="4" w:space="0" w:color="auto"/>
            </w:tcBorders>
            <w:vAlign w:val="center"/>
          </w:tcPr>
          <w:p w14:paraId="3537F3F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35.10%</w:t>
            </w:r>
          </w:p>
        </w:tc>
      </w:tr>
      <w:tr w:rsidR="001C4508" w:rsidRPr="00790280" w14:paraId="587504AD"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CEEC6D3"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tcBorders>
            <w:vAlign w:val="center"/>
          </w:tcPr>
          <w:p w14:paraId="7F4E637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1,934</w:t>
            </w:r>
          </w:p>
        </w:tc>
        <w:tc>
          <w:tcPr>
            <w:tcW w:w="1163" w:type="dxa"/>
            <w:tcBorders>
              <w:right w:val="single" w:sz="4" w:space="0" w:color="auto"/>
            </w:tcBorders>
            <w:vAlign w:val="center"/>
          </w:tcPr>
          <w:p w14:paraId="7D4BC69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47.67%</w:t>
            </w:r>
          </w:p>
        </w:tc>
        <w:tc>
          <w:tcPr>
            <w:tcW w:w="1389" w:type="dxa"/>
            <w:tcBorders>
              <w:left w:val="single" w:sz="4" w:space="0" w:color="auto"/>
            </w:tcBorders>
            <w:vAlign w:val="center"/>
          </w:tcPr>
          <w:p w14:paraId="5F0F805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699</w:t>
            </w:r>
          </w:p>
        </w:tc>
        <w:tc>
          <w:tcPr>
            <w:tcW w:w="1049" w:type="dxa"/>
            <w:tcBorders>
              <w:right w:val="single" w:sz="4" w:space="0" w:color="auto"/>
            </w:tcBorders>
            <w:vAlign w:val="center"/>
          </w:tcPr>
          <w:p w14:paraId="70BAE3C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17.23%</w:t>
            </w:r>
          </w:p>
        </w:tc>
        <w:tc>
          <w:tcPr>
            <w:tcW w:w="1502" w:type="dxa"/>
            <w:tcBorders>
              <w:left w:val="single" w:sz="4" w:space="0" w:color="auto"/>
            </w:tcBorders>
            <w:vAlign w:val="center"/>
          </w:tcPr>
          <w:p w14:paraId="4CC0BA7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388</w:t>
            </w:r>
          </w:p>
        </w:tc>
        <w:tc>
          <w:tcPr>
            <w:tcW w:w="936" w:type="dxa"/>
            <w:tcBorders>
              <w:right w:val="single" w:sz="4" w:space="0" w:color="auto"/>
            </w:tcBorders>
            <w:vAlign w:val="center"/>
          </w:tcPr>
          <w:p w14:paraId="18BDF5D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9.56%</w:t>
            </w:r>
          </w:p>
        </w:tc>
        <w:tc>
          <w:tcPr>
            <w:tcW w:w="1474" w:type="dxa"/>
            <w:tcBorders>
              <w:left w:val="single" w:sz="4" w:space="0" w:color="auto"/>
            </w:tcBorders>
            <w:vAlign w:val="center"/>
          </w:tcPr>
          <w:p w14:paraId="4A8D230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311</w:t>
            </w:r>
          </w:p>
        </w:tc>
        <w:tc>
          <w:tcPr>
            <w:tcW w:w="964" w:type="dxa"/>
            <w:tcBorders>
              <w:right w:val="single" w:sz="4" w:space="0" w:color="auto"/>
            </w:tcBorders>
            <w:vAlign w:val="center"/>
          </w:tcPr>
          <w:p w14:paraId="2386A3C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7.67%</w:t>
            </w:r>
          </w:p>
        </w:tc>
        <w:tc>
          <w:tcPr>
            <w:tcW w:w="1219" w:type="dxa"/>
            <w:tcBorders>
              <w:left w:val="single" w:sz="4" w:space="0" w:color="auto"/>
            </w:tcBorders>
            <w:vAlign w:val="center"/>
          </w:tcPr>
          <w:p w14:paraId="7F46055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2,633</w:t>
            </w:r>
          </w:p>
        </w:tc>
        <w:tc>
          <w:tcPr>
            <w:tcW w:w="1219" w:type="dxa"/>
            <w:tcBorders>
              <w:right w:val="single" w:sz="4" w:space="0" w:color="auto"/>
            </w:tcBorders>
            <w:vAlign w:val="center"/>
          </w:tcPr>
          <w:p w14:paraId="3C4905E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64.90%</w:t>
            </w:r>
          </w:p>
        </w:tc>
      </w:tr>
      <w:tr w:rsidR="002418F8" w:rsidRPr="00790280" w14:paraId="426EB54F"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noWrap/>
            <w:hideMark/>
          </w:tcPr>
          <w:p w14:paraId="1C4147CD"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tcBorders>
            <w:vAlign w:val="center"/>
          </w:tcPr>
          <w:p w14:paraId="0F6C4CFB"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2,870</w:t>
            </w:r>
          </w:p>
        </w:tc>
        <w:tc>
          <w:tcPr>
            <w:tcW w:w="1163" w:type="dxa"/>
            <w:tcBorders>
              <w:bottom w:val="single" w:sz="4" w:space="0" w:color="auto"/>
              <w:right w:val="single" w:sz="4" w:space="0" w:color="auto"/>
            </w:tcBorders>
            <w:vAlign w:val="center"/>
          </w:tcPr>
          <w:p w14:paraId="48D1F3E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70.74%</w:t>
            </w:r>
          </w:p>
        </w:tc>
        <w:tc>
          <w:tcPr>
            <w:tcW w:w="1389" w:type="dxa"/>
            <w:tcBorders>
              <w:left w:val="single" w:sz="4" w:space="0" w:color="auto"/>
              <w:bottom w:val="single" w:sz="4" w:space="0" w:color="auto"/>
            </w:tcBorders>
            <w:vAlign w:val="center"/>
          </w:tcPr>
          <w:p w14:paraId="3987B486"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1,187</w:t>
            </w:r>
          </w:p>
        </w:tc>
        <w:tc>
          <w:tcPr>
            <w:tcW w:w="1049" w:type="dxa"/>
            <w:tcBorders>
              <w:bottom w:val="single" w:sz="4" w:space="0" w:color="auto"/>
              <w:right w:val="single" w:sz="4" w:space="0" w:color="auto"/>
            </w:tcBorders>
            <w:vAlign w:val="center"/>
          </w:tcPr>
          <w:p w14:paraId="262541F6"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29.26%</w:t>
            </w:r>
          </w:p>
        </w:tc>
        <w:tc>
          <w:tcPr>
            <w:tcW w:w="1502" w:type="dxa"/>
            <w:tcBorders>
              <w:left w:val="single" w:sz="4" w:space="0" w:color="auto"/>
              <w:bottom w:val="single" w:sz="4" w:space="0" w:color="auto"/>
            </w:tcBorders>
            <w:vAlign w:val="center"/>
          </w:tcPr>
          <w:p w14:paraId="7E604691"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678</w:t>
            </w:r>
          </w:p>
        </w:tc>
        <w:tc>
          <w:tcPr>
            <w:tcW w:w="936" w:type="dxa"/>
            <w:tcBorders>
              <w:bottom w:val="single" w:sz="4" w:space="0" w:color="auto"/>
              <w:right w:val="single" w:sz="4" w:space="0" w:color="auto"/>
            </w:tcBorders>
            <w:vAlign w:val="center"/>
          </w:tcPr>
          <w:p w14:paraId="4E801E76"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16.71%</w:t>
            </w:r>
          </w:p>
        </w:tc>
        <w:tc>
          <w:tcPr>
            <w:tcW w:w="1474" w:type="dxa"/>
            <w:tcBorders>
              <w:left w:val="single" w:sz="4" w:space="0" w:color="auto"/>
              <w:bottom w:val="single" w:sz="4" w:space="0" w:color="auto"/>
            </w:tcBorders>
            <w:vAlign w:val="center"/>
          </w:tcPr>
          <w:p w14:paraId="241D8363"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509</w:t>
            </w:r>
          </w:p>
        </w:tc>
        <w:tc>
          <w:tcPr>
            <w:tcW w:w="964" w:type="dxa"/>
            <w:tcBorders>
              <w:bottom w:val="single" w:sz="4" w:space="0" w:color="auto"/>
              <w:right w:val="single" w:sz="4" w:space="0" w:color="auto"/>
            </w:tcBorders>
            <w:vAlign w:val="center"/>
          </w:tcPr>
          <w:p w14:paraId="1B4643BC"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12.55%</w:t>
            </w:r>
          </w:p>
        </w:tc>
        <w:tc>
          <w:tcPr>
            <w:tcW w:w="1219" w:type="dxa"/>
            <w:tcBorders>
              <w:left w:val="single" w:sz="4" w:space="0" w:color="auto"/>
              <w:bottom w:val="single" w:sz="4" w:space="0" w:color="auto"/>
            </w:tcBorders>
            <w:vAlign w:val="center"/>
          </w:tcPr>
          <w:p w14:paraId="71A143CF"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4,057</w:t>
            </w:r>
          </w:p>
        </w:tc>
        <w:tc>
          <w:tcPr>
            <w:tcW w:w="1219" w:type="dxa"/>
            <w:tcBorders>
              <w:bottom w:val="single" w:sz="4" w:space="0" w:color="auto"/>
              <w:right w:val="single" w:sz="4" w:space="0" w:color="auto"/>
            </w:tcBorders>
            <w:vAlign w:val="center"/>
          </w:tcPr>
          <w:p w14:paraId="52B34519"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4.64%</w:t>
            </w:r>
          </w:p>
        </w:tc>
      </w:tr>
      <w:tr w:rsidR="001C4508" w:rsidRPr="00790280" w14:paraId="7F2C15B3"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nil"/>
              <w:right w:val="single" w:sz="4" w:space="0" w:color="auto"/>
            </w:tcBorders>
            <w:noWrap/>
            <w:hideMark/>
          </w:tcPr>
          <w:p w14:paraId="2C2E80C0"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2010</w:t>
            </w:r>
          </w:p>
        </w:tc>
        <w:tc>
          <w:tcPr>
            <w:tcW w:w="1275" w:type="dxa"/>
            <w:tcBorders>
              <w:top w:val="single" w:sz="4" w:space="0" w:color="auto"/>
              <w:left w:val="single" w:sz="4" w:space="0" w:color="auto"/>
              <w:bottom w:val="nil"/>
            </w:tcBorders>
          </w:tcPr>
          <w:p w14:paraId="0F0E128E"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63" w:type="dxa"/>
            <w:tcBorders>
              <w:top w:val="single" w:sz="4" w:space="0" w:color="auto"/>
              <w:bottom w:val="nil"/>
              <w:right w:val="single" w:sz="4" w:space="0" w:color="auto"/>
            </w:tcBorders>
            <w:vAlign w:val="center"/>
          </w:tcPr>
          <w:p w14:paraId="29EA8C08"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389" w:type="dxa"/>
            <w:tcBorders>
              <w:top w:val="single" w:sz="4" w:space="0" w:color="auto"/>
              <w:left w:val="single" w:sz="4" w:space="0" w:color="auto"/>
              <w:bottom w:val="nil"/>
            </w:tcBorders>
          </w:tcPr>
          <w:p w14:paraId="260ADC75"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49" w:type="dxa"/>
            <w:tcBorders>
              <w:top w:val="single" w:sz="4" w:space="0" w:color="auto"/>
              <w:bottom w:val="nil"/>
              <w:right w:val="single" w:sz="4" w:space="0" w:color="auto"/>
            </w:tcBorders>
            <w:vAlign w:val="center"/>
          </w:tcPr>
          <w:p w14:paraId="09B84E46"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502" w:type="dxa"/>
            <w:tcBorders>
              <w:top w:val="single" w:sz="4" w:space="0" w:color="auto"/>
              <w:left w:val="single" w:sz="4" w:space="0" w:color="auto"/>
              <w:bottom w:val="nil"/>
            </w:tcBorders>
          </w:tcPr>
          <w:p w14:paraId="7E9F77C4"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936" w:type="dxa"/>
            <w:tcBorders>
              <w:top w:val="single" w:sz="4" w:space="0" w:color="auto"/>
              <w:bottom w:val="nil"/>
              <w:right w:val="single" w:sz="4" w:space="0" w:color="auto"/>
            </w:tcBorders>
            <w:vAlign w:val="center"/>
          </w:tcPr>
          <w:p w14:paraId="46C29E14"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474" w:type="dxa"/>
            <w:tcBorders>
              <w:top w:val="single" w:sz="4" w:space="0" w:color="auto"/>
              <w:left w:val="single" w:sz="4" w:space="0" w:color="auto"/>
              <w:bottom w:val="nil"/>
            </w:tcBorders>
          </w:tcPr>
          <w:p w14:paraId="3337331E"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964" w:type="dxa"/>
            <w:tcBorders>
              <w:top w:val="single" w:sz="4" w:space="0" w:color="auto"/>
              <w:bottom w:val="nil"/>
              <w:right w:val="single" w:sz="4" w:space="0" w:color="auto"/>
            </w:tcBorders>
          </w:tcPr>
          <w:p w14:paraId="67B0D52C"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19" w:type="dxa"/>
            <w:tcBorders>
              <w:top w:val="single" w:sz="4" w:space="0" w:color="auto"/>
              <w:left w:val="single" w:sz="4" w:space="0" w:color="auto"/>
              <w:bottom w:val="nil"/>
            </w:tcBorders>
            <w:vAlign w:val="center"/>
          </w:tcPr>
          <w:p w14:paraId="05EED992"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19" w:type="dxa"/>
            <w:tcBorders>
              <w:top w:val="single" w:sz="4" w:space="0" w:color="auto"/>
              <w:bottom w:val="nil"/>
              <w:right w:val="single" w:sz="4" w:space="0" w:color="auto"/>
            </w:tcBorders>
            <w:vAlign w:val="center"/>
          </w:tcPr>
          <w:p w14:paraId="371D6EB0"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 </w:t>
            </w:r>
          </w:p>
        </w:tc>
      </w:tr>
      <w:tr w:rsidR="001C4508" w:rsidRPr="00790280" w14:paraId="5DCBA0A3"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right w:val="single" w:sz="4" w:space="0" w:color="auto"/>
            </w:tcBorders>
            <w:noWrap/>
            <w:hideMark/>
          </w:tcPr>
          <w:p w14:paraId="594963F8"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75" w:type="dxa"/>
            <w:tcBorders>
              <w:top w:val="nil"/>
              <w:left w:val="single" w:sz="4" w:space="0" w:color="auto"/>
            </w:tcBorders>
            <w:vAlign w:val="center"/>
          </w:tcPr>
          <w:p w14:paraId="6F8D095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107</w:t>
            </w:r>
          </w:p>
        </w:tc>
        <w:tc>
          <w:tcPr>
            <w:tcW w:w="1163" w:type="dxa"/>
            <w:tcBorders>
              <w:top w:val="nil"/>
              <w:right w:val="single" w:sz="4" w:space="0" w:color="auto"/>
            </w:tcBorders>
            <w:vAlign w:val="center"/>
          </w:tcPr>
          <w:p w14:paraId="10AB5BA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2.24%</w:t>
            </w:r>
          </w:p>
        </w:tc>
        <w:tc>
          <w:tcPr>
            <w:tcW w:w="1389" w:type="dxa"/>
            <w:tcBorders>
              <w:top w:val="nil"/>
              <w:left w:val="single" w:sz="4" w:space="0" w:color="auto"/>
            </w:tcBorders>
            <w:vAlign w:val="center"/>
          </w:tcPr>
          <w:p w14:paraId="18E870B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60</w:t>
            </w:r>
          </w:p>
        </w:tc>
        <w:tc>
          <w:tcPr>
            <w:tcW w:w="1049" w:type="dxa"/>
            <w:tcBorders>
              <w:top w:val="nil"/>
              <w:right w:val="single" w:sz="4" w:space="0" w:color="auto"/>
            </w:tcBorders>
            <w:vAlign w:val="center"/>
          </w:tcPr>
          <w:p w14:paraId="2837C0F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1.26%</w:t>
            </w:r>
          </w:p>
        </w:tc>
        <w:tc>
          <w:tcPr>
            <w:tcW w:w="1502" w:type="dxa"/>
            <w:tcBorders>
              <w:top w:val="nil"/>
              <w:left w:val="single" w:sz="4" w:space="0" w:color="auto"/>
            </w:tcBorders>
            <w:vAlign w:val="center"/>
          </w:tcPr>
          <w:p w14:paraId="7DF1AF7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38</w:t>
            </w:r>
          </w:p>
        </w:tc>
        <w:tc>
          <w:tcPr>
            <w:tcW w:w="936" w:type="dxa"/>
            <w:tcBorders>
              <w:top w:val="nil"/>
              <w:right w:val="single" w:sz="4" w:space="0" w:color="auto"/>
            </w:tcBorders>
            <w:vAlign w:val="center"/>
          </w:tcPr>
          <w:p w14:paraId="3BE496B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0.80%</w:t>
            </w:r>
          </w:p>
        </w:tc>
        <w:tc>
          <w:tcPr>
            <w:tcW w:w="1474" w:type="dxa"/>
            <w:tcBorders>
              <w:top w:val="nil"/>
              <w:left w:val="single" w:sz="4" w:space="0" w:color="auto"/>
            </w:tcBorders>
            <w:vAlign w:val="center"/>
          </w:tcPr>
          <w:p w14:paraId="4B7685F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22</w:t>
            </w:r>
          </w:p>
        </w:tc>
        <w:tc>
          <w:tcPr>
            <w:tcW w:w="964" w:type="dxa"/>
            <w:tcBorders>
              <w:top w:val="nil"/>
              <w:right w:val="single" w:sz="4" w:space="0" w:color="auto"/>
            </w:tcBorders>
            <w:vAlign w:val="center"/>
          </w:tcPr>
          <w:p w14:paraId="1CFEBB1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0.46%</w:t>
            </w:r>
          </w:p>
        </w:tc>
        <w:tc>
          <w:tcPr>
            <w:tcW w:w="1219" w:type="dxa"/>
            <w:tcBorders>
              <w:top w:val="nil"/>
              <w:left w:val="single" w:sz="4" w:space="0" w:color="auto"/>
            </w:tcBorders>
            <w:vAlign w:val="center"/>
          </w:tcPr>
          <w:p w14:paraId="735B163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167</w:t>
            </w:r>
          </w:p>
        </w:tc>
        <w:tc>
          <w:tcPr>
            <w:tcW w:w="1219" w:type="dxa"/>
            <w:tcBorders>
              <w:top w:val="nil"/>
              <w:right w:val="single" w:sz="4" w:space="0" w:color="auto"/>
            </w:tcBorders>
            <w:vAlign w:val="center"/>
          </w:tcPr>
          <w:p w14:paraId="0870788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3.50%</w:t>
            </w:r>
          </w:p>
        </w:tc>
      </w:tr>
      <w:tr w:rsidR="001C4508" w:rsidRPr="00790280" w14:paraId="09976FBA"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7DE7AC2"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75" w:type="dxa"/>
            <w:tcBorders>
              <w:left w:val="single" w:sz="4" w:space="0" w:color="auto"/>
            </w:tcBorders>
            <w:vAlign w:val="center"/>
          </w:tcPr>
          <w:p w14:paraId="5D1853B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155</w:t>
            </w:r>
          </w:p>
        </w:tc>
        <w:tc>
          <w:tcPr>
            <w:tcW w:w="1163" w:type="dxa"/>
            <w:tcBorders>
              <w:right w:val="single" w:sz="4" w:space="0" w:color="auto"/>
            </w:tcBorders>
            <w:vAlign w:val="center"/>
          </w:tcPr>
          <w:p w14:paraId="0951961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3.25%</w:t>
            </w:r>
          </w:p>
        </w:tc>
        <w:tc>
          <w:tcPr>
            <w:tcW w:w="1389" w:type="dxa"/>
            <w:tcBorders>
              <w:left w:val="single" w:sz="4" w:space="0" w:color="auto"/>
            </w:tcBorders>
            <w:vAlign w:val="center"/>
          </w:tcPr>
          <w:p w14:paraId="19F8943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145</w:t>
            </w:r>
          </w:p>
        </w:tc>
        <w:tc>
          <w:tcPr>
            <w:tcW w:w="1049" w:type="dxa"/>
            <w:tcBorders>
              <w:right w:val="single" w:sz="4" w:space="0" w:color="auto"/>
            </w:tcBorders>
            <w:vAlign w:val="center"/>
          </w:tcPr>
          <w:p w14:paraId="705A552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3.04%</w:t>
            </w:r>
          </w:p>
        </w:tc>
        <w:tc>
          <w:tcPr>
            <w:tcW w:w="1502" w:type="dxa"/>
            <w:tcBorders>
              <w:left w:val="single" w:sz="4" w:space="0" w:color="auto"/>
            </w:tcBorders>
            <w:vAlign w:val="center"/>
          </w:tcPr>
          <w:p w14:paraId="5482615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69</w:t>
            </w:r>
          </w:p>
        </w:tc>
        <w:tc>
          <w:tcPr>
            <w:tcW w:w="936" w:type="dxa"/>
            <w:tcBorders>
              <w:right w:val="single" w:sz="4" w:space="0" w:color="auto"/>
            </w:tcBorders>
            <w:vAlign w:val="center"/>
          </w:tcPr>
          <w:p w14:paraId="28DDE15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1.45%</w:t>
            </w:r>
          </w:p>
        </w:tc>
        <w:tc>
          <w:tcPr>
            <w:tcW w:w="1474" w:type="dxa"/>
            <w:tcBorders>
              <w:left w:val="single" w:sz="4" w:space="0" w:color="auto"/>
            </w:tcBorders>
            <w:vAlign w:val="center"/>
          </w:tcPr>
          <w:p w14:paraId="63197A3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76</w:t>
            </w:r>
          </w:p>
        </w:tc>
        <w:tc>
          <w:tcPr>
            <w:tcW w:w="964" w:type="dxa"/>
            <w:tcBorders>
              <w:right w:val="single" w:sz="4" w:space="0" w:color="auto"/>
            </w:tcBorders>
            <w:vAlign w:val="center"/>
          </w:tcPr>
          <w:p w14:paraId="6371E2F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1.59%</w:t>
            </w:r>
          </w:p>
        </w:tc>
        <w:tc>
          <w:tcPr>
            <w:tcW w:w="1219" w:type="dxa"/>
            <w:tcBorders>
              <w:left w:val="single" w:sz="4" w:space="0" w:color="auto"/>
            </w:tcBorders>
            <w:vAlign w:val="center"/>
          </w:tcPr>
          <w:p w14:paraId="231C57C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300</w:t>
            </w:r>
          </w:p>
        </w:tc>
        <w:tc>
          <w:tcPr>
            <w:tcW w:w="1219" w:type="dxa"/>
            <w:tcBorders>
              <w:right w:val="single" w:sz="4" w:space="0" w:color="auto"/>
            </w:tcBorders>
            <w:vAlign w:val="center"/>
          </w:tcPr>
          <w:p w14:paraId="115F219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6.28%</w:t>
            </w:r>
          </w:p>
        </w:tc>
      </w:tr>
      <w:tr w:rsidR="001C4508" w:rsidRPr="00790280" w14:paraId="22990A7F"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1A5E0F4"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75" w:type="dxa"/>
            <w:tcBorders>
              <w:left w:val="single" w:sz="4" w:space="0" w:color="auto"/>
            </w:tcBorders>
            <w:vAlign w:val="center"/>
          </w:tcPr>
          <w:p w14:paraId="23B3B4D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373</w:t>
            </w:r>
          </w:p>
        </w:tc>
        <w:tc>
          <w:tcPr>
            <w:tcW w:w="1163" w:type="dxa"/>
            <w:tcBorders>
              <w:right w:val="single" w:sz="4" w:space="0" w:color="auto"/>
            </w:tcBorders>
            <w:vAlign w:val="center"/>
          </w:tcPr>
          <w:p w14:paraId="402CE7B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7.81%</w:t>
            </w:r>
          </w:p>
        </w:tc>
        <w:tc>
          <w:tcPr>
            <w:tcW w:w="1389" w:type="dxa"/>
            <w:tcBorders>
              <w:left w:val="single" w:sz="4" w:space="0" w:color="auto"/>
            </w:tcBorders>
            <w:vAlign w:val="center"/>
          </w:tcPr>
          <w:p w14:paraId="15C2CC0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215</w:t>
            </w:r>
          </w:p>
        </w:tc>
        <w:tc>
          <w:tcPr>
            <w:tcW w:w="1049" w:type="dxa"/>
            <w:tcBorders>
              <w:right w:val="single" w:sz="4" w:space="0" w:color="auto"/>
            </w:tcBorders>
            <w:vAlign w:val="center"/>
          </w:tcPr>
          <w:p w14:paraId="6D1ABD6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4.50%</w:t>
            </w:r>
          </w:p>
        </w:tc>
        <w:tc>
          <w:tcPr>
            <w:tcW w:w="1502" w:type="dxa"/>
            <w:tcBorders>
              <w:left w:val="single" w:sz="4" w:space="0" w:color="auto"/>
            </w:tcBorders>
            <w:vAlign w:val="center"/>
          </w:tcPr>
          <w:p w14:paraId="35E0F87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164</w:t>
            </w:r>
          </w:p>
        </w:tc>
        <w:tc>
          <w:tcPr>
            <w:tcW w:w="936" w:type="dxa"/>
            <w:tcBorders>
              <w:right w:val="single" w:sz="4" w:space="0" w:color="auto"/>
            </w:tcBorders>
            <w:vAlign w:val="center"/>
          </w:tcPr>
          <w:p w14:paraId="12A9351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3.43%</w:t>
            </w:r>
          </w:p>
        </w:tc>
        <w:tc>
          <w:tcPr>
            <w:tcW w:w="1474" w:type="dxa"/>
            <w:tcBorders>
              <w:left w:val="single" w:sz="4" w:space="0" w:color="auto"/>
            </w:tcBorders>
            <w:vAlign w:val="center"/>
          </w:tcPr>
          <w:p w14:paraId="0065915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51</w:t>
            </w:r>
          </w:p>
        </w:tc>
        <w:tc>
          <w:tcPr>
            <w:tcW w:w="964" w:type="dxa"/>
            <w:tcBorders>
              <w:right w:val="single" w:sz="4" w:space="0" w:color="auto"/>
            </w:tcBorders>
            <w:vAlign w:val="center"/>
          </w:tcPr>
          <w:p w14:paraId="53865B8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1.07%</w:t>
            </w:r>
          </w:p>
        </w:tc>
        <w:tc>
          <w:tcPr>
            <w:tcW w:w="1219" w:type="dxa"/>
            <w:tcBorders>
              <w:left w:val="single" w:sz="4" w:space="0" w:color="auto"/>
            </w:tcBorders>
            <w:vAlign w:val="center"/>
          </w:tcPr>
          <w:p w14:paraId="6471189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588</w:t>
            </w:r>
          </w:p>
        </w:tc>
        <w:tc>
          <w:tcPr>
            <w:tcW w:w="1219" w:type="dxa"/>
            <w:tcBorders>
              <w:right w:val="single" w:sz="4" w:space="0" w:color="auto"/>
            </w:tcBorders>
            <w:vAlign w:val="center"/>
          </w:tcPr>
          <w:p w14:paraId="61CA227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12.31%</w:t>
            </w:r>
          </w:p>
        </w:tc>
      </w:tr>
      <w:tr w:rsidR="001C4508" w:rsidRPr="00790280" w14:paraId="6D2CDCA3"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43466C0"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tcBorders>
            <w:vAlign w:val="center"/>
          </w:tcPr>
          <w:p w14:paraId="4956D1E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439</w:t>
            </w:r>
          </w:p>
        </w:tc>
        <w:tc>
          <w:tcPr>
            <w:tcW w:w="1163" w:type="dxa"/>
            <w:tcBorders>
              <w:right w:val="single" w:sz="4" w:space="0" w:color="auto"/>
            </w:tcBorders>
            <w:vAlign w:val="center"/>
          </w:tcPr>
          <w:p w14:paraId="22C06CC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9.19%</w:t>
            </w:r>
          </w:p>
        </w:tc>
        <w:tc>
          <w:tcPr>
            <w:tcW w:w="1389" w:type="dxa"/>
            <w:tcBorders>
              <w:left w:val="single" w:sz="4" w:space="0" w:color="auto"/>
            </w:tcBorders>
            <w:vAlign w:val="center"/>
          </w:tcPr>
          <w:p w14:paraId="4B1AF06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68</w:t>
            </w:r>
          </w:p>
        </w:tc>
        <w:tc>
          <w:tcPr>
            <w:tcW w:w="1049" w:type="dxa"/>
            <w:tcBorders>
              <w:right w:val="single" w:sz="4" w:space="0" w:color="auto"/>
            </w:tcBorders>
            <w:vAlign w:val="center"/>
          </w:tcPr>
          <w:p w14:paraId="638589E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1.42%</w:t>
            </w:r>
          </w:p>
        </w:tc>
        <w:tc>
          <w:tcPr>
            <w:tcW w:w="1502" w:type="dxa"/>
            <w:tcBorders>
              <w:left w:val="single" w:sz="4" w:space="0" w:color="auto"/>
            </w:tcBorders>
            <w:vAlign w:val="center"/>
          </w:tcPr>
          <w:p w14:paraId="1507CDF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38</w:t>
            </w:r>
          </w:p>
        </w:tc>
        <w:tc>
          <w:tcPr>
            <w:tcW w:w="936" w:type="dxa"/>
            <w:tcBorders>
              <w:right w:val="single" w:sz="4" w:space="0" w:color="auto"/>
            </w:tcBorders>
            <w:vAlign w:val="center"/>
          </w:tcPr>
          <w:p w14:paraId="67744F6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0.80%</w:t>
            </w:r>
          </w:p>
        </w:tc>
        <w:tc>
          <w:tcPr>
            <w:tcW w:w="1474" w:type="dxa"/>
            <w:tcBorders>
              <w:left w:val="single" w:sz="4" w:space="0" w:color="auto"/>
            </w:tcBorders>
            <w:vAlign w:val="center"/>
          </w:tcPr>
          <w:p w14:paraId="7417B6E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30</w:t>
            </w:r>
          </w:p>
        </w:tc>
        <w:tc>
          <w:tcPr>
            <w:tcW w:w="964" w:type="dxa"/>
            <w:tcBorders>
              <w:right w:val="single" w:sz="4" w:space="0" w:color="auto"/>
            </w:tcBorders>
            <w:vAlign w:val="center"/>
          </w:tcPr>
          <w:p w14:paraId="4CD09F7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0.63%</w:t>
            </w:r>
          </w:p>
        </w:tc>
        <w:tc>
          <w:tcPr>
            <w:tcW w:w="1219" w:type="dxa"/>
            <w:tcBorders>
              <w:left w:val="single" w:sz="4" w:space="0" w:color="auto"/>
            </w:tcBorders>
            <w:vAlign w:val="center"/>
          </w:tcPr>
          <w:p w14:paraId="7A83B46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507</w:t>
            </w:r>
          </w:p>
        </w:tc>
        <w:tc>
          <w:tcPr>
            <w:tcW w:w="1219" w:type="dxa"/>
            <w:tcBorders>
              <w:right w:val="single" w:sz="4" w:space="0" w:color="auto"/>
            </w:tcBorders>
            <w:vAlign w:val="center"/>
          </w:tcPr>
          <w:p w14:paraId="29AD01D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10.62%</w:t>
            </w:r>
          </w:p>
        </w:tc>
      </w:tr>
      <w:tr w:rsidR="001C4508" w:rsidRPr="00790280" w14:paraId="526A5123"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D194E40"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tcBorders>
            <w:vAlign w:val="center"/>
          </w:tcPr>
          <w:p w14:paraId="7EDBE2F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w:t>
            </w:r>
          </w:p>
        </w:tc>
        <w:tc>
          <w:tcPr>
            <w:tcW w:w="1163" w:type="dxa"/>
            <w:tcBorders>
              <w:right w:val="single" w:sz="4" w:space="0" w:color="auto"/>
            </w:tcBorders>
            <w:vAlign w:val="center"/>
          </w:tcPr>
          <w:p w14:paraId="549EDEF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0.15%</w:t>
            </w:r>
          </w:p>
        </w:tc>
        <w:tc>
          <w:tcPr>
            <w:tcW w:w="1389" w:type="dxa"/>
            <w:tcBorders>
              <w:left w:val="single" w:sz="4" w:space="0" w:color="auto"/>
            </w:tcBorders>
            <w:vAlign w:val="center"/>
          </w:tcPr>
          <w:p w14:paraId="6DDD983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w:t>
            </w:r>
          </w:p>
        </w:tc>
        <w:tc>
          <w:tcPr>
            <w:tcW w:w="1049" w:type="dxa"/>
            <w:tcBorders>
              <w:right w:val="single" w:sz="4" w:space="0" w:color="auto"/>
            </w:tcBorders>
            <w:vAlign w:val="center"/>
          </w:tcPr>
          <w:p w14:paraId="6924EC3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0.23%</w:t>
            </w:r>
          </w:p>
        </w:tc>
        <w:tc>
          <w:tcPr>
            <w:tcW w:w="1502" w:type="dxa"/>
            <w:tcBorders>
              <w:left w:val="single" w:sz="4" w:space="0" w:color="auto"/>
            </w:tcBorders>
            <w:vAlign w:val="center"/>
          </w:tcPr>
          <w:p w14:paraId="4887C8F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w:t>
            </w:r>
          </w:p>
        </w:tc>
        <w:tc>
          <w:tcPr>
            <w:tcW w:w="936" w:type="dxa"/>
            <w:tcBorders>
              <w:right w:val="single" w:sz="4" w:space="0" w:color="auto"/>
            </w:tcBorders>
            <w:vAlign w:val="center"/>
          </w:tcPr>
          <w:p w14:paraId="1C3649C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0.13%</w:t>
            </w:r>
          </w:p>
        </w:tc>
        <w:tc>
          <w:tcPr>
            <w:tcW w:w="1474" w:type="dxa"/>
            <w:tcBorders>
              <w:left w:val="single" w:sz="4" w:space="0" w:color="auto"/>
            </w:tcBorders>
            <w:vAlign w:val="center"/>
          </w:tcPr>
          <w:p w14:paraId="69BA510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w:t>
            </w:r>
          </w:p>
        </w:tc>
        <w:tc>
          <w:tcPr>
            <w:tcW w:w="964" w:type="dxa"/>
            <w:tcBorders>
              <w:right w:val="single" w:sz="4" w:space="0" w:color="auto"/>
            </w:tcBorders>
            <w:vAlign w:val="center"/>
          </w:tcPr>
          <w:p w14:paraId="2BC2862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0.10%</w:t>
            </w:r>
          </w:p>
        </w:tc>
        <w:tc>
          <w:tcPr>
            <w:tcW w:w="1219" w:type="dxa"/>
            <w:tcBorders>
              <w:left w:val="single" w:sz="4" w:space="0" w:color="auto"/>
            </w:tcBorders>
            <w:vAlign w:val="center"/>
          </w:tcPr>
          <w:p w14:paraId="60A16A7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18</w:t>
            </w:r>
          </w:p>
        </w:tc>
        <w:tc>
          <w:tcPr>
            <w:tcW w:w="1219" w:type="dxa"/>
            <w:tcBorders>
              <w:right w:val="single" w:sz="4" w:space="0" w:color="auto"/>
            </w:tcBorders>
            <w:vAlign w:val="center"/>
          </w:tcPr>
          <w:p w14:paraId="2B7F6C4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0.38%</w:t>
            </w:r>
          </w:p>
        </w:tc>
      </w:tr>
      <w:tr w:rsidR="001C4508" w:rsidRPr="00790280" w14:paraId="7B85825C"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3B78807"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tcBorders>
            <w:vAlign w:val="center"/>
          </w:tcPr>
          <w:p w14:paraId="42EA45F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1,081</w:t>
            </w:r>
          </w:p>
        </w:tc>
        <w:tc>
          <w:tcPr>
            <w:tcW w:w="1163" w:type="dxa"/>
            <w:tcBorders>
              <w:right w:val="single" w:sz="4" w:space="0" w:color="auto"/>
            </w:tcBorders>
            <w:vAlign w:val="center"/>
          </w:tcPr>
          <w:p w14:paraId="308BE5C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22.64%</w:t>
            </w:r>
          </w:p>
        </w:tc>
        <w:tc>
          <w:tcPr>
            <w:tcW w:w="1389" w:type="dxa"/>
            <w:tcBorders>
              <w:left w:val="single" w:sz="4" w:space="0" w:color="auto"/>
            </w:tcBorders>
            <w:vAlign w:val="center"/>
          </w:tcPr>
          <w:p w14:paraId="01FA1E1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499</w:t>
            </w:r>
          </w:p>
        </w:tc>
        <w:tc>
          <w:tcPr>
            <w:tcW w:w="1049" w:type="dxa"/>
            <w:tcBorders>
              <w:right w:val="single" w:sz="4" w:space="0" w:color="auto"/>
            </w:tcBorders>
            <w:vAlign w:val="center"/>
          </w:tcPr>
          <w:p w14:paraId="73603CC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10.45%</w:t>
            </w:r>
          </w:p>
        </w:tc>
        <w:tc>
          <w:tcPr>
            <w:tcW w:w="1502" w:type="dxa"/>
            <w:tcBorders>
              <w:left w:val="single" w:sz="4" w:space="0" w:color="auto"/>
            </w:tcBorders>
            <w:vAlign w:val="center"/>
          </w:tcPr>
          <w:p w14:paraId="4E09816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315</w:t>
            </w:r>
          </w:p>
        </w:tc>
        <w:tc>
          <w:tcPr>
            <w:tcW w:w="936" w:type="dxa"/>
            <w:tcBorders>
              <w:right w:val="single" w:sz="4" w:space="0" w:color="auto"/>
            </w:tcBorders>
            <w:vAlign w:val="center"/>
          </w:tcPr>
          <w:p w14:paraId="5DB54F3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6.60%</w:t>
            </w:r>
          </w:p>
        </w:tc>
        <w:tc>
          <w:tcPr>
            <w:tcW w:w="1474" w:type="dxa"/>
            <w:tcBorders>
              <w:left w:val="single" w:sz="4" w:space="0" w:color="auto"/>
            </w:tcBorders>
            <w:vAlign w:val="center"/>
          </w:tcPr>
          <w:p w14:paraId="0FACB6D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184</w:t>
            </w:r>
          </w:p>
        </w:tc>
        <w:tc>
          <w:tcPr>
            <w:tcW w:w="964" w:type="dxa"/>
            <w:tcBorders>
              <w:right w:val="single" w:sz="4" w:space="0" w:color="auto"/>
            </w:tcBorders>
            <w:vAlign w:val="center"/>
          </w:tcPr>
          <w:p w14:paraId="6FEE2E7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3.85%</w:t>
            </w:r>
          </w:p>
        </w:tc>
        <w:tc>
          <w:tcPr>
            <w:tcW w:w="1219" w:type="dxa"/>
            <w:tcBorders>
              <w:left w:val="single" w:sz="4" w:space="0" w:color="auto"/>
            </w:tcBorders>
            <w:vAlign w:val="center"/>
          </w:tcPr>
          <w:p w14:paraId="1F7A64F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1,580</w:t>
            </w:r>
          </w:p>
        </w:tc>
        <w:tc>
          <w:tcPr>
            <w:tcW w:w="1219" w:type="dxa"/>
            <w:tcBorders>
              <w:right w:val="single" w:sz="4" w:space="0" w:color="auto"/>
            </w:tcBorders>
            <w:vAlign w:val="center"/>
          </w:tcPr>
          <w:p w14:paraId="357F9BB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33.09%</w:t>
            </w:r>
          </w:p>
        </w:tc>
      </w:tr>
      <w:tr w:rsidR="001C4508" w:rsidRPr="00790280" w14:paraId="66EDC132"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BE6FD2E"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tcBorders>
            <w:vAlign w:val="center"/>
          </w:tcPr>
          <w:p w14:paraId="778BADF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2,294</w:t>
            </w:r>
          </w:p>
        </w:tc>
        <w:tc>
          <w:tcPr>
            <w:tcW w:w="1163" w:type="dxa"/>
            <w:tcBorders>
              <w:right w:val="single" w:sz="4" w:space="0" w:color="auto"/>
            </w:tcBorders>
            <w:vAlign w:val="center"/>
          </w:tcPr>
          <w:p w14:paraId="449ED2C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48.04%</w:t>
            </w:r>
          </w:p>
        </w:tc>
        <w:tc>
          <w:tcPr>
            <w:tcW w:w="1389" w:type="dxa"/>
            <w:tcBorders>
              <w:left w:val="single" w:sz="4" w:space="0" w:color="auto"/>
            </w:tcBorders>
            <w:vAlign w:val="center"/>
          </w:tcPr>
          <w:p w14:paraId="1C08C62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901</w:t>
            </w:r>
          </w:p>
        </w:tc>
        <w:tc>
          <w:tcPr>
            <w:tcW w:w="1049" w:type="dxa"/>
            <w:tcBorders>
              <w:right w:val="single" w:sz="4" w:space="0" w:color="auto"/>
            </w:tcBorders>
            <w:vAlign w:val="center"/>
          </w:tcPr>
          <w:p w14:paraId="17A79AC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18.87%</w:t>
            </w:r>
          </w:p>
        </w:tc>
        <w:tc>
          <w:tcPr>
            <w:tcW w:w="1502" w:type="dxa"/>
            <w:tcBorders>
              <w:left w:val="single" w:sz="4" w:space="0" w:color="auto"/>
            </w:tcBorders>
            <w:vAlign w:val="center"/>
          </w:tcPr>
          <w:p w14:paraId="13EA2D8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524</w:t>
            </w:r>
          </w:p>
        </w:tc>
        <w:tc>
          <w:tcPr>
            <w:tcW w:w="936" w:type="dxa"/>
            <w:tcBorders>
              <w:right w:val="single" w:sz="4" w:space="0" w:color="auto"/>
            </w:tcBorders>
            <w:vAlign w:val="center"/>
          </w:tcPr>
          <w:p w14:paraId="19E2187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10.97%</w:t>
            </w:r>
          </w:p>
        </w:tc>
        <w:tc>
          <w:tcPr>
            <w:tcW w:w="1474" w:type="dxa"/>
            <w:tcBorders>
              <w:left w:val="single" w:sz="4" w:space="0" w:color="auto"/>
            </w:tcBorders>
            <w:vAlign w:val="center"/>
          </w:tcPr>
          <w:p w14:paraId="11D2824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377</w:t>
            </w:r>
          </w:p>
        </w:tc>
        <w:tc>
          <w:tcPr>
            <w:tcW w:w="964" w:type="dxa"/>
            <w:tcBorders>
              <w:right w:val="single" w:sz="4" w:space="0" w:color="auto"/>
            </w:tcBorders>
            <w:vAlign w:val="center"/>
          </w:tcPr>
          <w:p w14:paraId="53DD865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7.90%</w:t>
            </w:r>
          </w:p>
        </w:tc>
        <w:tc>
          <w:tcPr>
            <w:tcW w:w="1219" w:type="dxa"/>
            <w:tcBorders>
              <w:left w:val="single" w:sz="4" w:space="0" w:color="auto"/>
            </w:tcBorders>
            <w:vAlign w:val="center"/>
          </w:tcPr>
          <w:p w14:paraId="74784EB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3,195</w:t>
            </w:r>
          </w:p>
        </w:tc>
        <w:tc>
          <w:tcPr>
            <w:tcW w:w="1219" w:type="dxa"/>
            <w:tcBorders>
              <w:right w:val="single" w:sz="4" w:space="0" w:color="auto"/>
            </w:tcBorders>
            <w:vAlign w:val="center"/>
          </w:tcPr>
          <w:p w14:paraId="46708D6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66.91%</w:t>
            </w:r>
          </w:p>
        </w:tc>
      </w:tr>
      <w:tr w:rsidR="001C4508" w:rsidRPr="00790280" w14:paraId="607928BB"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noWrap/>
            <w:hideMark/>
          </w:tcPr>
          <w:p w14:paraId="4A198304"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tcBorders>
            <w:vAlign w:val="center"/>
          </w:tcPr>
          <w:p w14:paraId="4FC400DA"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3,375</w:t>
            </w:r>
          </w:p>
        </w:tc>
        <w:tc>
          <w:tcPr>
            <w:tcW w:w="1163" w:type="dxa"/>
            <w:tcBorders>
              <w:bottom w:val="single" w:sz="4" w:space="0" w:color="auto"/>
              <w:right w:val="single" w:sz="4" w:space="0" w:color="auto"/>
            </w:tcBorders>
            <w:vAlign w:val="center"/>
          </w:tcPr>
          <w:p w14:paraId="2D618137"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70.68%</w:t>
            </w:r>
          </w:p>
        </w:tc>
        <w:tc>
          <w:tcPr>
            <w:tcW w:w="1389" w:type="dxa"/>
            <w:tcBorders>
              <w:left w:val="single" w:sz="4" w:space="0" w:color="auto"/>
              <w:bottom w:val="single" w:sz="4" w:space="0" w:color="auto"/>
            </w:tcBorders>
            <w:vAlign w:val="center"/>
          </w:tcPr>
          <w:p w14:paraId="10A6E28A"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1,400</w:t>
            </w:r>
          </w:p>
        </w:tc>
        <w:tc>
          <w:tcPr>
            <w:tcW w:w="1049" w:type="dxa"/>
            <w:tcBorders>
              <w:bottom w:val="single" w:sz="4" w:space="0" w:color="auto"/>
              <w:right w:val="single" w:sz="4" w:space="0" w:color="auto"/>
            </w:tcBorders>
            <w:vAlign w:val="center"/>
          </w:tcPr>
          <w:p w14:paraId="6D4D8D84"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29.32%</w:t>
            </w:r>
          </w:p>
        </w:tc>
        <w:tc>
          <w:tcPr>
            <w:tcW w:w="1502" w:type="dxa"/>
            <w:tcBorders>
              <w:left w:val="single" w:sz="4" w:space="0" w:color="auto"/>
              <w:bottom w:val="single" w:sz="4" w:space="0" w:color="auto"/>
            </w:tcBorders>
            <w:vAlign w:val="center"/>
          </w:tcPr>
          <w:p w14:paraId="533AE26F"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839</w:t>
            </w:r>
          </w:p>
        </w:tc>
        <w:tc>
          <w:tcPr>
            <w:tcW w:w="936" w:type="dxa"/>
            <w:tcBorders>
              <w:bottom w:val="single" w:sz="4" w:space="0" w:color="auto"/>
              <w:right w:val="single" w:sz="4" w:space="0" w:color="auto"/>
            </w:tcBorders>
            <w:vAlign w:val="center"/>
          </w:tcPr>
          <w:p w14:paraId="150DA24E"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17.57%</w:t>
            </w:r>
          </w:p>
        </w:tc>
        <w:tc>
          <w:tcPr>
            <w:tcW w:w="1474" w:type="dxa"/>
            <w:tcBorders>
              <w:left w:val="single" w:sz="4" w:space="0" w:color="auto"/>
              <w:bottom w:val="single" w:sz="4" w:space="0" w:color="auto"/>
            </w:tcBorders>
            <w:vAlign w:val="center"/>
          </w:tcPr>
          <w:p w14:paraId="471845FB"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561</w:t>
            </w:r>
          </w:p>
        </w:tc>
        <w:tc>
          <w:tcPr>
            <w:tcW w:w="964" w:type="dxa"/>
            <w:tcBorders>
              <w:bottom w:val="single" w:sz="4" w:space="0" w:color="auto"/>
              <w:right w:val="single" w:sz="4" w:space="0" w:color="auto"/>
            </w:tcBorders>
            <w:vAlign w:val="center"/>
          </w:tcPr>
          <w:p w14:paraId="09417824"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11.75%</w:t>
            </w:r>
          </w:p>
        </w:tc>
        <w:tc>
          <w:tcPr>
            <w:tcW w:w="1219" w:type="dxa"/>
            <w:tcBorders>
              <w:left w:val="single" w:sz="4" w:space="0" w:color="auto"/>
              <w:bottom w:val="single" w:sz="4" w:space="0" w:color="auto"/>
            </w:tcBorders>
            <w:vAlign w:val="center"/>
          </w:tcPr>
          <w:p w14:paraId="2FAABB45"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4,775</w:t>
            </w:r>
          </w:p>
        </w:tc>
        <w:tc>
          <w:tcPr>
            <w:tcW w:w="1219" w:type="dxa"/>
            <w:tcBorders>
              <w:bottom w:val="single" w:sz="4" w:space="0" w:color="auto"/>
              <w:right w:val="single" w:sz="4" w:space="0" w:color="auto"/>
            </w:tcBorders>
            <w:vAlign w:val="center"/>
          </w:tcPr>
          <w:p w14:paraId="43DF16C4"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5.46%</w:t>
            </w:r>
          </w:p>
        </w:tc>
      </w:tr>
    </w:tbl>
    <w:p w14:paraId="231C6B5F" w14:textId="77777777" w:rsidR="001C4508" w:rsidRDefault="001C4508" w:rsidP="00CE2FDF">
      <w:pPr>
        <w:spacing w:before="0"/>
      </w:pPr>
      <w:r>
        <w:rPr>
          <w:b/>
          <w:bCs/>
        </w:rPr>
        <w:br w:type="page"/>
      </w:r>
    </w:p>
    <w:tbl>
      <w:tblPr>
        <w:tblStyle w:val="LightShading-Accent5"/>
        <w:tblW w:w="14425" w:type="dxa"/>
        <w:tblLayout w:type="fixed"/>
        <w:tblLook w:val="04A0" w:firstRow="1" w:lastRow="0" w:firstColumn="1" w:lastColumn="0" w:noHBand="0" w:noVBand="1"/>
        <w:tblCaption w:val="Number of reports of neglect, by year, reporter group, and outcome"/>
      </w:tblPr>
      <w:tblGrid>
        <w:gridCol w:w="2235"/>
        <w:gridCol w:w="1275"/>
        <w:gridCol w:w="1163"/>
        <w:gridCol w:w="1389"/>
        <w:gridCol w:w="1049"/>
        <w:gridCol w:w="1502"/>
        <w:gridCol w:w="936"/>
        <w:gridCol w:w="1474"/>
        <w:gridCol w:w="964"/>
        <w:gridCol w:w="1219"/>
        <w:gridCol w:w="1219"/>
      </w:tblGrid>
      <w:tr w:rsidR="001C4508" w:rsidRPr="00790280" w14:paraId="2B3B36F5"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144FE266" w14:textId="77777777" w:rsidR="001C4508" w:rsidRPr="00790280" w:rsidRDefault="001C4508" w:rsidP="00CE2FDF">
            <w:pPr>
              <w:keepNext/>
              <w:tabs>
                <w:tab w:val="left" w:pos="1134"/>
              </w:tabs>
              <w:spacing w:before="0" w:line="276" w:lineRule="auto"/>
              <w:jc w:val="center"/>
              <w:rPr>
                <w:rFonts w:cs="Arial"/>
                <w:color w:val="auto"/>
                <w:sz w:val="20"/>
                <w:szCs w:val="20"/>
              </w:rPr>
            </w:pP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7AD1016"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Not 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54EFC34"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Investigated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22E130E"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C9DFAD2"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Not substantiated</w:t>
            </w:r>
          </w:p>
        </w:tc>
        <w:tc>
          <w:tcPr>
            <w:tcW w:w="243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3AC11FE" w14:textId="77777777" w:rsidR="001C4508" w:rsidRPr="00790280" w:rsidRDefault="001C4508"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790280">
              <w:rPr>
                <w:rFonts w:eastAsia="Times New Roman" w:cs="Arial"/>
                <w:color w:val="auto"/>
                <w:sz w:val="20"/>
                <w:szCs w:val="20"/>
                <w:lang w:eastAsia="en-AU"/>
              </w:rPr>
              <w:t>Totals</w:t>
            </w:r>
          </w:p>
        </w:tc>
      </w:tr>
      <w:tr w:rsidR="002418F8" w:rsidRPr="00790280" w14:paraId="092FFFED"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nil"/>
              <w:right w:val="single" w:sz="4" w:space="0" w:color="auto"/>
            </w:tcBorders>
            <w:noWrap/>
            <w:hideMark/>
          </w:tcPr>
          <w:p w14:paraId="19B82E3F"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2011</w:t>
            </w:r>
          </w:p>
        </w:tc>
        <w:tc>
          <w:tcPr>
            <w:tcW w:w="1275" w:type="dxa"/>
            <w:tcBorders>
              <w:top w:val="single" w:sz="4" w:space="0" w:color="auto"/>
              <w:left w:val="single" w:sz="4" w:space="0" w:color="auto"/>
              <w:bottom w:val="nil"/>
            </w:tcBorders>
            <w:vAlign w:val="center"/>
          </w:tcPr>
          <w:p w14:paraId="49D2E72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163" w:type="dxa"/>
            <w:tcBorders>
              <w:top w:val="single" w:sz="4" w:space="0" w:color="auto"/>
              <w:bottom w:val="nil"/>
              <w:right w:val="single" w:sz="4" w:space="0" w:color="auto"/>
            </w:tcBorders>
            <w:vAlign w:val="center"/>
          </w:tcPr>
          <w:p w14:paraId="3AFB7D58"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389" w:type="dxa"/>
            <w:tcBorders>
              <w:top w:val="single" w:sz="4" w:space="0" w:color="auto"/>
              <w:left w:val="single" w:sz="4" w:space="0" w:color="auto"/>
              <w:bottom w:val="nil"/>
            </w:tcBorders>
            <w:vAlign w:val="center"/>
          </w:tcPr>
          <w:p w14:paraId="5D04643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049" w:type="dxa"/>
            <w:tcBorders>
              <w:top w:val="single" w:sz="4" w:space="0" w:color="auto"/>
              <w:bottom w:val="nil"/>
              <w:right w:val="single" w:sz="4" w:space="0" w:color="auto"/>
            </w:tcBorders>
            <w:vAlign w:val="center"/>
          </w:tcPr>
          <w:p w14:paraId="0C84BA18"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502" w:type="dxa"/>
            <w:tcBorders>
              <w:top w:val="single" w:sz="4" w:space="0" w:color="auto"/>
              <w:left w:val="single" w:sz="4" w:space="0" w:color="auto"/>
              <w:bottom w:val="nil"/>
            </w:tcBorders>
            <w:vAlign w:val="center"/>
          </w:tcPr>
          <w:p w14:paraId="5AE3DBB8"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936" w:type="dxa"/>
            <w:tcBorders>
              <w:top w:val="single" w:sz="4" w:space="0" w:color="auto"/>
              <w:bottom w:val="nil"/>
              <w:right w:val="single" w:sz="4" w:space="0" w:color="auto"/>
            </w:tcBorders>
            <w:vAlign w:val="center"/>
          </w:tcPr>
          <w:p w14:paraId="72711A1A"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474" w:type="dxa"/>
            <w:tcBorders>
              <w:top w:val="single" w:sz="4" w:space="0" w:color="auto"/>
              <w:left w:val="single" w:sz="4" w:space="0" w:color="auto"/>
              <w:bottom w:val="nil"/>
            </w:tcBorders>
            <w:vAlign w:val="center"/>
          </w:tcPr>
          <w:p w14:paraId="780345BD"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964" w:type="dxa"/>
            <w:tcBorders>
              <w:top w:val="single" w:sz="4" w:space="0" w:color="auto"/>
              <w:bottom w:val="nil"/>
              <w:right w:val="single" w:sz="4" w:space="0" w:color="auto"/>
            </w:tcBorders>
            <w:vAlign w:val="center"/>
          </w:tcPr>
          <w:p w14:paraId="30974BE3"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219" w:type="dxa"/>
            <w:tcBorders>
              <w:top w:val="single" w:sz="4" w:space="0" w:color="auto"/>
              <w:left w:val="single" w:sz="4" w:space="0" w:color="auto"/>
              <w:bottom w:val="nil"/>
            </w:tcBorders>
            <w:vAlign w:val="center"/>
          </w:tcPr>
          <w:p w14:paraId="3747106B"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219" w:type="dxa"/>
            <w:tcBorders>
              <w:top w:val="single" w:sz="4" w:space="0" w:color="auto"/>
              <w:bottom w:val="nil"/>
              <w:right w:val="single" w:sz="4" w:space="0" w:color="auto"/>
            </w:tcBorders>
            <w:vAlign w:val="center"/>
          </w:tcPr>
          <w:p w14:paraId="3C4DA141"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r>
      <w:tr w:rsidR="001C4508" w:rsidRPr="00790280" w14:paraId="50E8EE31"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right w:val="single" w:sz="4" w:space="0" w:color="auto"/>
            </w:tcBorders>
            <w:noWrap/>
            <w:hideMark/>
          </w:tcPr>
          <w:p w14:paraId="1179DB40"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75" w:type="dxa"/>
            <w:tcBorders>
              <w:top w:val="nil"/>
              <w:left w:val="single" w:sz="4" w:space="0" w:color="auto"/>
              <w:right w:val="nil"/>
            </w:tcBorders>
            <w:vAlign w:val="center"/>
          </w:tcPr>
          <w:p w14:paraId="0ADCE9E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119</w:t>
            </w:r>
          </w:p>
        </w:tc>
        <w:tc>
          <w:tcPr>
            <w:tcW w:w="1163" w:type="dxa"/>
            <w:tcBorders>
              <w:top w:val="nil"/>
              <w:left w:val="nil"/>
              <w:right w:val="single" w:sz="4" w:space="0" w:color="auto"/>
            </w:tcBorders>
            <w:vAlign w:val="center"/>
          </w:tcPr>
          <w:p w14:paraId="58066A4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2.10%</w:t>
            </w:r>
          </w:p>
        </w:tc>
        <w:tc>
          <w:tcPr>
            <w:tcW w:w="1389" w:type="dxa"/>
            <w:tcBorders>
              <w:top w:val="nil"/>
              <w:left w:val="single" w:sz="4" w:space="0" w:color="auto"/>
              <w:right w:val="nil"/>
            </w:tcBorders>
            <w:vAlign w:val="center"/>
          </w:tcPr>
          <w:p w14:paraId="09292A4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50</w:t>
            </w:r>
          </w:p>
        </w:tc>
        <w:tc>
          <w:tcPr>
            <w:tcW w:w="1049" w:type="dxa"/>
            <w:tcBorders>
              <w:top w:val="nil"/>
              <w:left w:val="nil"/>
              <w:right w:val="single" w:sz="4" w:space="0" w:color="auto"/>
            </w:tcBorders>
            <w:vAlign w:val="center"/>
          </w:tcPr>
          <w:p w14:paraId="0B48780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0.88%</w:t>
            </w:r>
          </w:p>
        </w:tc>
        <w:tc>
          <w:tcPr>
            <w:tcW w:w="1502" w:type="dxa"/>
            <w:tcBorders>
              <w:top w:val="nil"/>
              <w:left w:val="single" w:sz="4" w:space="0" w:color="auto"/>
              <w:right w:val="nil"/>
            </w:tcBorders>
            <w:vAlign w:val="center"/>
          </w:tcPr>
          <w:p w14:paraId="76319D4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34</w:t>
            </w:r>
          </w:p>
        </w:tc>
        <w:tc>
          <w:tcPr>
            <w:tcW w:w="936" w:type="dxa"/>
            <w:tcBorders>
              <w:top w:val="nil"/>
              <w:left w:val="nil"/>
              <w:right w:val="single" w:sz="4" w:space="0" w:color="auto"/>
            </w:tcBorders>
            <w:vAlign w:val="center"/>
          </w:tcPr>
          <w:p w14:paraId="686A91F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0.60%</w:t>
            </w:r>
          </w:p>
        </w:tc>
        <w:tc>
          <w:tcPr>
            <w:tcW w:w="1474" w:type="dxa"/>
            <w:tcBorders>
              <w:top w:val="nil"/>
              <w:left w:val="single" w:sz="4" w:space="0" w:color="auto"/>
              <w:right w:val="nil"/>
            </w:tcBorders>
            <w:vAlign w:val="center"/>
          </w:tcPr>
          <w:p w14:paraId="5B6F8CE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16</w:t>
            </w:r>
          </w:p>
        </w:tc>
        <w:tc>
          <w:tcPr>
            <w:tcW w:w="964" w:type="dxa"/>
            <w:tcBorders>
              <w:top w:val="nil"/>
              <w:left w:val="nil"/>
              <w:right w:val="single" w:sz="4" w:space="0" w:color="auto"/>
            </w:tcBorders>
            <w:vAlign w:val="center"/>
          </w:tcPr>
          <w:p w14:paraId="617E16C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0.28%</w:t>
            </w:r>
          </w:p>
        </w:tc>
        <w:tc>
          <w:tcPr>
            <w:tcW w:w="1219" w:type="dxa"/>
            <w:tcBorders>
              <w:top w:val="nil"/>
              <w:left w:val="single" w:sz="4" w:space="0" w:color="auto"/>
              <w:right w:val="nil"/>
            </w:tcBorders>
            <w:vAlign w:val="center"/>
          </w:tcPr>
          <w:p w14:paraId="3D3D5A8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169</w:t>
            </w:r>
          </w:p>
        </w:tc>
        <w:tc>
          <w:tcPr>
            <w:tcW w:w="1219" w:type="dxa"/>
            <w:tcBorders>
              <w:top w:val="nil"/>
              <w:left w:val="nil"/>
              <w:right w:val="single" w:sz="4" w:space="0" w:color="auto"/>
            </w:tcBorders>
            <w:vAlign w:val="center"/>
          </w:tcPr>
          <w:p w14:paraId="75C63B9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2.98%</w:t>
            </w:r>
          </w:p>
        </w:tc>
      </w:tr>
      <w:tr w:rsidR="001C4508" w:rsidRPr="00790280" w14:paraId="49520D3D"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13069BA8"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75" w:type="dxa"/>
            <w:tcBorders>
              <w:left w:val="single" w:sz="4" w:space="0" w:color="auto"/>
            </w:tcBorders>
            <w:vAlign w:val="center"/>
          </w:tcPr>
          <w:p w14:paraId="7F8E24F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213</w:t>
            </w:r>
          </w:p>
        </w:tc>
        <w:tc>
          <w:tcPr>
            <w:tcW w:w="1163" w:type="dxa"/>
            <w:tcBorders>
              <w:right w:val="single" w:sz="4" w:space="0" w:color="auto"/>
            </w:tcBorders>
            <w:vAlign w:val="center"/>
          </w:tcPr>
          <w:p w14:paraId="0B2C122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3.75%</w:t>
            </w:r>
          </w:p>
        </w:tc>
        <w:tc>
          <w:tcPr>
            <w:tcW w:w="1389" w:type="dxa"/>
            <w:tcBorders>
              <w:left w:val="single" w:sz="4" w:space="0" w:color="auto"/>
            </w:tcBorders>
            <w:vAlign w:val="center"/>
          </w:tcPr>
          <w:p w14:paraId="34C0817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146</w:t>
            </w:r>
          </w:p>
        </w:tc>
        <w:tc>
          <w:tcPr>
            <w:tcW w:w="1049" w:type="dxa"/>
            <w:tcBorders>
              <w:right w:val="single" w:sz="4" w:space="0" w:color="auto"/>
            </w:tcBorders>
            <w:vAlign w:val="center"/>
          </w:tcPr>
          <w:p w14:paraId="58326C6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2.57%</w:t>
            </w:r>
          </w:p>
        </w:tc>
        <w:tc>
          <w:tcPr>
            <w:tcW w:w="1502" w:type="dxa"/>
            <w:tcBorders>
              <w:left w:val="single" w:sz="4" w:space="0" w:color="auto"/>
            </w:tcBorders>
            <w:vAlign w:val="center"/>
          </w:tcPr>
          <w:p w14:paraId="217630B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84</w:t>
            </w:r>
          </w:p>
        </w:tc>
        <w:tc>
          <w:tcPr>
            <w:tcW w:w="936" w:type="dxa"/>
            <w:tcBorders>
              <w:right w:val="single" w:sz="4" w:space="0" w:color="auto"/>
            </w:tcBorders>
            <w:vAlign w:val="center"/>
          </w:tcPr>
          <w:p w14:paraId="4E36DEC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1.48%</w:t>
            </w:r>
          </w:p>
        </w:tc>
        <w:tc>
          <w:tcPr>
            <w:tcW w:w="1474" w:type="dxa"/>
            <w:tcBorders>
              <w:left w:val="single" w:sz="4" w:space="0" w:color="auto"/>
            </w:tcBorders>
            <w:vAlign w:val="center"/>
          </w:tcPr>
          <w:p w14:paraId="2A0C4D8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62</w:t>
            </w:r>
          </w:p>
        </w:tc>
        <w:tc>
          <w:tcPr>
            <w:tcW w:w="964" w:type="dxa"/>
            <w:tcBorders>
              <w:right w:val="single" w:sz="4" w:space="0" w:color="auto"/>
            </w:tcBorders>
            <w:vAlign w:val="center"/>
          </w:tcPr>
          <w:p w14:paraId="350735D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1.09%</w:t>
            </w:r>
          </w:p>
        </w:tc>
        <w:tc>
          <w:tcPr>
            <w:tcW w:w="1219" w:type="dxa"/>
            <w:tcBorders>
              <w:left w:val="single" w:sz="4" w:space="0" w:color="auto"/>
            </w:tcBorders>
            <w:vAlign w:val="center"/>
          </w:tcPr>
          <w:p w14:paraId="70A883D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359</w:t>
            </w:r>
          </w:p>
        </w:tc>
        <w:tc>
          <w:tcPr>
            <w:tcW w:w="1219" w:type="dxa"/>
            <w:tcBorders>
              <w:right w:val="single" w:sz="4" w:space="0" w:color="auto"/>
            </w:tcBorders>
            <w:vAlign w:val="center"/>
          </w:tcPr>
          <w:p w14:paraId="0BD6C50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6.33%</w:t>
            </w:r>
          </w:p>
        </w:tc>
      </w:tr>
      <w:tr w:rsidR="001C4508" w:rsidRPr="00790280" w14:paraId="2140B0AD"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BD2B99F"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75" w:type="dxa"/>
            <w:tcBorders>
              <w:left w:val="single" w:sz="4" w:space="0" w:color="auto"/>
              <w:right w:val="nil"/>
            </w:tcBorders>
            <w:vAlign w:val="center"/>
          </w:tcPr>
          <w:p w14:paraId="0E27E82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448</w:t>
            </w:r>
          </w:p>
        </w:tc>
        <w:tc>
          <w:tcPr>
            <w:tcW w:w="1163" w:type="dxa"/>
            <w:tcBorders>
              <w:left w:val="nil"/>
              <w:right w:val="single" w:sz="4" w:space="0" w:color="auto"/>
            </w:tcBorders>
            <w:vAlign w:val="center"/>
          </w:tcPr>
          <w:p w14:paraId="2C01B62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7.89%</w:t>
            </w:r>
          </w:p>
        </w:tc>
        <w:tc>
          <w:tcPr>
            <w:tcW w:w="1389" w:type="dxa"/>
            <w:tcBorders>
              <w:left w:val="single" w:sz="4" w:space="0" w:color="auto"/>
              <w:right w:val="nil"/>
            </w:tcBorders>
            <w:vAlign w:val="center"/>
          </w:tcPr>
          <w:p w14:paraId="58B4A59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302</w:t>
            </w:r>
          </w:p>
        </w:tc>
        <w:tc>
          <w:tcPr>
            <w:tcW w:w="1049" w:type="dxa"/>
            <w:tcBorders>
              <w:left w:val="nil"/>
              <w:right w:val="single" w:sz="4" w:space="0" w:color="auto"/>
            </w:tcBorders>
            <w:vAlign w:val="center"/>
          </w:tcPr>
          <w:p w14:paraId="2540918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5.32%</w:t>
            </w:r>
          </w:p>
        </w:tc>
        <w:tc>
          <w:tcPr>
            <w:tcW w:w="1502" w:type="dxa"/>
            <w:tcBorders>
              <w:left w:val="single" w:sz="4" w:space="0" w:color="auto"/>
              <w:right w:val="nil"/>
            </w:tcBorders>
            <w:vAlign w:val="center"/>
          </w:tcPr>
          <w:p w14:paraId="391AD5E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236</w:t>
            </w:r>
          </w:p>
        </w:tc>
        <w:tc>
          <w:tcPr>
            <w:tcW w:w="936" w:type="dxa"/>
            <w:tcBorders>
              <w:left w:val="nil"/>
              <w:right w:val="single" w:sz="4" w:space="0" w:color="auto"/>
            </w:tcBorders>
            <w:vAlign w:val="center"/>
          </w:tcPr>
          <w:p w14:paraId="558E040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4.16%</w:t>
            </w:r>
          </w:p>
        </w:tc>
        <w:tc>
          <w:tcPr>
            <w:tcW w:w="1474" w:type="dxa"/>
            <w:tcBorders>
              <w:left w:val="single" w:sz="4" w:space="0" w:color="auto"/>
              <w:right w:val="nil"/>
            </w:tcBorders>
            <w:vAlign w:val="center"/>
          </w:tcPr>
          <w:p w14:paraId="443D179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66</w:t>
            </w:r>
          </w:p>
        </w:tc>
        <w:tc>
          <w:tcPr>
            <w:tcW w:w="964" w:type="dxa"/>
            <w:tcBorders>
              <w:left w:val="nil"/>
              <w:right w:val="single" w:sz="4" w:space="0" w:color="auto"/>
            </w:tcBorders>
            <w:vAlign w:val="center"/>
          </w:tcPr>
          <w:p w14:paraId="76C0068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1.16%</w:t>
            </w:r>
          </w:p>
        </w:tc>
        <w:tc>
          <w:tcPr>
            <w:tcW w:w="1219" w:type="dxa"/>
            <w:tcBorders>
              <w:left w:val="single" w:sz="4" w:space="0" w:color="auto"/>
              <w:right w:val="nil"/>
            </w:tcBorders>
            <w:vAlign w:val="center"/>
          </w:tcPr>
          <w:p w14:paraId="3FC6513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750</w:t>
            </w:r>
          </w:p>
        </w:tc>
        <w:tc>
          <w:tcPr>
            <w:tcW w:w="1219" w:type="dxa"/>
            <w:tcBorders>
              <w:left w:val="nil"/>
              <w:right w:val="single" w:sz="4" w:space="0" w:color="auto"/>
            </w:tcBorders>
            <w:vAlign w:val="center"/>
          </w:tcPr>
          <w:p w14:paraId="36276B0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13.22%</w:t>
            </w:r>
          </w:p>
        </w:tc>
      </w:tr>
      <w:tr w:rsidR="001C4508" w:rsidRPr="00790280" w14:paraId="45506804"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49C68FE0"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tcBorders>
            <w:vAlign w:val="center"/>
          </w:tcPr>
          <w:p w14:paraId="618A529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523</w:t>
            </w:r>
          </w:p>
        </w:tc>
        <w:tc>
          <w:tcPr>
            <w:tcW w:w="1163" w:type="dxa"/>
            <w:tcBorders>
              <w:right w:val="single" w:sz="4" w:space="0" w:color="auto"/>
            </w:tcBorders>
            <w:vAlign w:val="center"/>
          </w:tcPr>
          <w:p w14:paraId="128FA9B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9.22%</w:t>
            </w:r>
          </w:p>
        </w:tc>
        <w:tc>
          <w:tcPr>
            <w:tcW w:w="1389" w:type="dxa"/>
            <w:tcBorders>
              <w:left w:val="single" w:sz="4" w:space="0" w:color="auto"/>
            </w:tcBorders>
            <w:vAlign w:val="center"/>
          </w:tcPr>
          <w:p w14:paraId="2C6E040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130</w:t>
            </w:r>
          </w:p>
        </w:tc>
        <w:tc>
          <w:tcPr>
            <w:tcW w:w="1049" w:type="dxa"/>
            <w:tcBorders>
              <w:right w:val="single" w:sz="4" w:space="0" w:color="auto"/>
            </w:tcBorders>
            <w:vAlign w:val="center"/>
          </w:tcPr>
          <w:p w14:paraId="139C7B4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2.29%</w:t>
            </w:r>
          </w:p>
        </w:tc>
        <w:tc>
          <w:tcPr>
            <w:tcW w:w="1502" w:type="dxa"/>
            <w:tcBorders>
              <w:left w:val="single" w:sz="4" w:space="0" w:color="auto"/>
            </w:tcBorders>
            <w:vAlign w:val="center"/>
          </w:tcPr>
          <w:p w14:paraId="7530F46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74</w:t>
            </w:r>
          </w:p>
        </w:tc>
        <w:tc>
          <w:tcPr>
            <w:tcW w:w="936" w:type="dxa"/>
            <w:tcBorders>
              <w:right w:val="single" w:sz="4" w:space="0" w:color="auto"/>
            </w:tcBorders>
            <w:vAlign w:val="center"/>
          </w:tcPr>
          <w:p w14:paraId="721D0F6C"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1.30%</w:t>
            </w:r>
          </w:p>
        </w:tc>
        <w:tc>
          <w:tcPr>
            <w:tcW w:w="1474" w:type="dxa"/>
            <w:tcBorders>
              <w:left w:val="single" w:sz="4" w:space="0" w:color="auto"/>
            </w:tcBorders>
            <w:vAlign w:val="center"/>
          </w:tcPr>
          <w:p w14:paraId="5FE593C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56</w:t>
            </w:r>
          </w:p>
        </w:tc>
        <w:tc>
          <w:tcPr>
            <w:tcW w:w="964" w:type="dxa"/>
            <w:tcBorders>
              <w:right w:val="single" w:sz="4" w:space="0" w:color="auto"/>
            </w:tcBorders>
            <w:vAlign w:val="center"/>
          </w:tcPr>
          <w:p w14:paraId="05620DC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0.99%</w:t>
            </w:r>
          </w:p>
        </w:tc>
        <w:tc>
          <w:tcPr>
            <w:tcW w:w="1219" w:type="dxa"/>
            <w:tcBorders>
              <w:left w:val="single" w:sz="4" w:space="0" w:color="auto"/>
            </w:tcBorders>
            <w:vAlign w:val="center"/>
          </w:tcPr>
          <w:p w14:paraId="1DB7941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653</w:t>
            </w:r>
          </w:p>
        </w:tc>
        <w:tc>
          <w:tcPr>
            <w:tcW w:w="1219" w:type="dxa"/>
            <w:tcBorders>
              <w:right w:val="single" w:sz="4" w:space="0" w:color="auto"/>
            </w:tcBorders>
            <w:vAlign w:val="center"/>
          </w:tcPr>
          <w:p w14:paraId="26B9E9F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11.51%</w:t>
            </w:r>
          </w:p>
        </w:tc>
      </w:tr>
      <w:tr w:rsidR="001C4508" w:rsidRPr="00790280" w14:paraId="75E076E4"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8B33466"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right w:val="nil"/>
            </w:tcBorders>
            <w:vAlign w:val="center"/>
          </w:tcPr>
          <w:p w14:paraId="4DEE09D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7</w:t>
            </w:r>
          </w:p>
        </w:tc>
        <w:tc>
          <w:tcPr>
            <w:tcW w:w="1163" w:type="dxa"/>
            <w:tcBorders>
              <w:left w:val="nil"/>
              <w:right w:val="single" w:sz="4" w:space="0" w:color="auto"/>
            </w:tcBorders>
            <w:vAlign w:val="center"/>
          </w:tcPr>
          <w:p w14:paraId="3FFB6BD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0.12%</w:t>
            </w:r>
          </w:p>
        </w:tc>
        <w:tc>
          <w:tcPr>
            <w:tcW w:w="1389" w:type="dxa"/>
            <w:tcBorders>
              <w:left w:val="single" w:sz="4" w:space="0" w:color="auto"/>
              <w:right w:val="nil"/>
            </w:tcBorders>
            <w:vAlign w:val="center"/>
          </w:tcPr>
          <w:p w14:paraId="2B64296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w:t>
            </w:r>
          </w:p>
        </w:tc>
        <w:tc>
          <w:tcPr>
            <w:tcW w:w="1049" w:type="dxa"/>
            <w:tcBorders>
              <w:left w:val="nil"/>
              <w:right w:val="single" w:sz="4" w:space="0" w:color="auto"/>
            </w:tcBorders>
            <w:vAlign w:val="center"/>
          </w:tcPr>
          <w:p w14:paraId="3C957DF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0.07%</w:t>
            </w:r>
          </w:p>
        </w:tc>
        <w:tc>
          <w:tcPr>
            <w:tcW w:w="1502" w:type="dxa"/>
            <w:tcBorders>
              <w:left w:val="single" w:sz="4" w:space="0" w:color="auto"/>
              <w:right w:val="nil"/>
            </w:tcBorders>
            <w:vAlign w:val="center"/>
          </w:tcPr>
          <w:p w14:paraId="4E0EE20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w:t>
            </w:r>
          </w:p>
        </w:tc>
        <w:tc>
          <w:tcPr>
            <w:tcW w:w="936" w:type="dxa"/>
            <w:tcBorders>
              <w:left w:val="nil"/>
              <w:right w:val="single" w:sz="4" w:space="0" w:color="auto"/>
            </w:tcBorders>
            <w:vAlign w:val="center"/>
          </w:tcPr>
          <w:p w14:paraId="2C02B45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0.05%</w:t>
            </w:r>
          </w:p>
        </w:tc>
        <w:tc>
          <w:tcPr>
            <w:tcW w:w="1474" w:type="dxa"/>
            <w:tcBorders>
              <w:left w:val="single" w:sz="4" w:space="0" w:color="auto"/>
              <w:right w:val="nil"/>
            </w:tcBorders>
            <w:vAlign w:val="center"/>
          </w:tcPr>
          <w:p w14:paraId="7ECE0AA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w:t>
            </w:r>
          </w:p>
        </w:tc>
        <w:tc>
          <w:tcPr>
            <w:tcW w:w="964" w:type="dxa"/>
            <w:tcBorders>
              <w:left w:val="nil"/>
              <w:right w:val="single" w:sz="4" w:space="0" w:color="auto"/>
            </w:tcBorders>
            <w:vAlign w:val="center"/>
          </w:tcPr>
          <w:p w14:paraId="417AC13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0.02%</w:t>
            </w:r>
          </w:p>
        </w:tc>
        <w:tc>
          <w:tcPr>
            <w:tcW w:w="1219" w:type="dxa"/>
            <w:tcBorders>
              <w:left w:val="single" w:sz="4" w:space="0" w:color="auto"/>
              <w:right w:val="nil"/>
            </w:tcBorders>
            <w:vAlign w:val="center"/>
          </w:tcPr>
          <w:p w14:paraId="1D5254A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11</w:t>
            </w:r>
          </w:p>
        </w:tc>
        <w:tc>
          <w:tcPr>
            <w:tcW w:w="1219" w:type="dxa"/>
            <w:tcBorders>
              <w:left w:val="nil"/>
              <w:right w:val="single" w:sz="4" w:space="0" w:color="auto"/>
            </w:tcBorders>
            <w:vAlign w:val="center"/>
          </w:tcPr>
          <w:p w14:paraId="7A85B0E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0.19%</w:t>
            </w:r>
          </w:p>
        </w:tc>
      </w:tr>
      <w:tr w:rsidR="001C4508" w:rsidRPr="00790280" w14:paraId="5AA467E6"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3F3DF51A"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tcBorders>
            <w:vAlign w:val="center"/>
          </w:tcPr>
          <w:p w14:paraId="46F0AC0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1,310</w:t>
            </w:r>
          </w:p>
        </w:tc>
        <w:tc>
          <w:tcPr>
            <w:tcW w:w="1163" w:type="dxa"/>
            <w:tcBorders>
              <w:right w:val="single" w:sz="4" w:space="0" w:color="auto"/>
            </w:tcBorders>
            <w:vAlign w:val="center"/>
          </w:tcPr>
          <w:p w14:paraId="1A05651D"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23.08%</w:t>
            </w:r>
          </w:p>
        </w:tc>
        <w:tc>
          <w:tcPr>
            <w:tcW w:w="1389" w:type="dxa"/>
            <w:tcBorders>
              <w:left w:val="single" w:sz="4" w:space="0" w:color="auto"/>
            </w:tcBorders>
            <w:vAlign w:val="center"/>
          </w:tcPr>
          <w:p w14:paraId="5C04BCB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632</w:t>
            </w:r>
          </w:p>
        </w:tc>
        <w:tc>
          <w:tcPr>
            <w:tcW w:w="1049" w:type="dxa"/>
            <w:tcBorders>
              <w:right w:val="single" w:sz="4" w:space="0" w:color="auto"/>
            </w:tcBorders>
            <w:vAlign w:val="center"/>
          </w:tcPr>
          <w:p w14:paraId="3CC86E4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11.14%</w:t>
            </w:r>
          </w:p>
        </w:tc>
        <w:tc>
          <w:tcPr>
            <w:tcW w:w="1502" w:type="dxa"/>
            <w:tcBorders>
              <w:left w:val="single" w:sz="4" w:space="0" w:color="auto"/>
            </w:tcBorders>
            <w:vAlign w:val="center"/>
          </w:tcPr>
          <w:p w14:paraId="703B83A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431</w:t>
            </w:r>
          </w:p>
        </w:tc>
        <w:tc>
          <w:tcPr>
            <w:tcW w:w="936" w:type="dxa"/>
            <w:tcBorders>
              <w:right w:val="single" w:sz="4" w:space="0" w:color="auto"/>
            </w:tcBorders>
            <w:vAlign w:val="center"/>
          </w:tcPr>
          <w:p w14:paraId="363703D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7.59%</w:t>
            </w:r>
          </w:p>
        </w:tc>
        <w:tc>
          <w:tcPr>
            <w:tcW w:w="1474" w:type="dxa"/>
            <w:tcBorders>
              <w:left w:val="single" w:sz="4" w:space="0" w:color="auto"/>
            </w:tcBorders>
            <w:vAlign w:val="center"/>
          </w:tcPr>
          <w:p w14:paraId="779B75A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201</w:t>
            </w:r>
          </w:p>
        </w:tc>
        <w:tc>
          <w:tcPr>
            <w:tcW w:w="964" w:type="dxa"/>
            <w:tcBorders>
              <w:right w:val="single" w:sz="4" w:space="0" w:color="auto"/>
            </w:tcBorders>
            <w:vAlign w:val="center"/>
          </w:tcPr>
          <w:p w14:paraId="21FE192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3.54%</w:t>
            </w:r>
          </w:p>
        </w:tc>
        <w:tc>
          <w:tcPr>
            <w:tcW w:w="1219" w:type="dxa"/>
            <w:tcBorders>
              <w:left w:val="single" w:sz="4" w:space="0" w:color="auto"/>
            </w:tcBorders>
            <w:vAlign w:val="center"/>
          </w:tcPr>
          <w:p w14:paraId="2C17ED1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1,942</w:t>
            </w:r>
          </w:p>
        </w:tc>
        <w:tc>
          <w:tcPr>
            <w:tcW w:w="1219" w:type="dxa"/>
            <w:tcBorders>
              <w:right w:val="single" w:sz="4" w:space="0" w:color="auto"/>
            </w:tcBorders>
            <w:vAlign w:val="center"/>
          </w:tcPr>
          <w:p w14:paraId="2CEEA7B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34.22%</w:t>
            </w:r>
          </w:p>
        </w:tc>
      </w:tr>
      <w:tr w:rsidR="001C4508" w:rsidRPr="00790280" w14:paraId="78A13F20"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7032D5A4"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right w:val="nil"/>
            </w:tcBorders>
            <w:vAlign w:val="center"/>
          </w:tcPr>
          <w:p w14:paraId="693AF4C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2,715</w:t>
            </w:r>
          </w:p>
        </w:tc>
        <w:tc>
          <w:tcPr>
            <w:tcW w:w="1163" w:type="dxa"/>
            <w:tcBorders>
              <w:left w:val="nil"/>
              <w:right w:val="single" w:sz="4" w:space="0" w:color="auto"/>
            </w:tcBorders>
            <w:vAlign w:val="center"/>
          </w:tcPr>
          <w:p w14:paraId="15CD6E6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47.84%</w:t>
            </w:r>
          </w:p>
        </w:tc>
        <w:tc>
          <w:tcPr>
            <w:tcW w:w="1389" w:type="dxa"/>
            <w:tcBorders>
              <w:left w:val="single" w:sz="4" w:space="0" w:color="auto"/>
              <w:right w:val="nil"/>
            </w:tcBorders>
            <w:vAlign w:val="center"/>
          </w:tcPr>
          <w:p w14:paraId="051145C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1,018</w:t>
            </w:r>
          </w:p>
        </w:tc>
        <w:tc>
          <w:tcPr>
            <w:tcW w:w="1049" w:type="dxa"/>
            <w:tcBorders>
              <w:left w:val="nil"/>
              <w:right w:val="single" w:sz="4" w:space="0" w:color="auto"/>
            </w:tcBorders>
            <w:vAlign w:val="center"/>
          </w:tcPr>
          <w:p w14:paraId="02AEAD6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17.94%</w:t>
            </w:r>
          </w:p>
        </w:tc>
        <w:tc>
          <w:tcPr>
            <w:tcW w:w="1502" w:type="dxa"/>
            <w:tcBorders>
              <w:left w:val="single" w:sz="4" w:space="0" w:color="auto"/>
              <w:right w:val="nil"/>
            </w:tcBorders>
            <w:vAlign w:val="center"/>
          </w:tcPr>
          <w:p w14:paraId="023EEE3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633</w:t>
            </w:r>
          </w:p>
        </w:tc>
        <w:tc>
          <w:tcPr>
            <w:tcW w:w="936" w:type="dxa"/>
            <w:tcBorders>
              <w:left w:val="nil"/>
              <w:right w:val="single" w:sz="4" w:space="0" w:color="auto"/>
            </w:tcBorders>
            <w:vAlign w:val="center"/>
          </w:tcPr>
          <w:p w14:paraId="4344498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11.15%</w:t>
            </w:r>
          </w:p>
        </w:tc>
        <w:tc>
          <w:tcPr>
            <w:tcW w:w="1474" w:type="dxa"/>
            <w:tcBorders>
              <w:left w:val="single" w:sz="4" w:space="0" w:color="auto"/>
              <w:right w:val="nil"/>
            </w:tcBorders>
            <w:vAlign w:val="center"/>
          </w:tcPr>
          <w:p w14:paraId="2DC5C9A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385</w:t>
            </w:r>
          </w:p>
        </w:tc>
        <w:tc>
          <w:tcPr>
            <w:tcW w:w="964" w:type="dxa"/>
            <w:tcBorders>
              <w:left w:val="nil"/>
              <w:right w:val="single" w:sz="4" w:space="0" w:color="auto"/>
            </w:tcBorders>
            <w:vAlign w:val="center"/>
          </w:tcPr>
          <w:p w14:paraId="17D7044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6.78%</w:t>
            </w:r>
          </w:p>
        </w:tc>
        <w:tc>
          <w:tcPr>
            <w:tcW w:w="1219" w:type="dxa"/>
            <w:tcBorders>
              <w:left w:val="single" w:sz="4" w:space="0" w:color="auto"/>
              <w:right w:val="nil"/>
            </w:tcBorders>
            <w:vAlign w:val="center"/>
          </w:tcPr>
          <w:p w14:paraId="2ECB2EF8"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3,733</w:t>
            </w:r>
          </w:p>
        </w:tc>
        <w:tc>
          <w:tcPr>
            <w:tcW w:w="1219" w:type="dxa"/>
            <w:tcBorders>
              <w:left w:val="nil"/>
              <w:right w:val="single" w:sz="4" w:space="0" w:color="auto"/>
            </w:tcBorders>
            <w:vAlign w:val="center"/>
          </w:tcPr>
          <w:p w14:paraId="43D5B58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65.78%</w:t>
            </w:r>
          </w:p>
        </w:tc>
      </w:tr>
      <w:tr w:rsidR="002418F8" w:rsidRPr="00790280" w14:paraId="21FDBFC0"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noWrap/>
            <w:hideMark/>
          </w:tcPr>
          <w:p w14:paraId="5CFF94FA"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tcBorders>
            <w:vAlign w:val="center"/>
          </w:tcPr>
          <w:p w14:paraId="54031974"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4,025</w:t>
            </w:r>
          </w:p>
        </w:tc>
        <w:tc>
          <w:tcPr>
            <w:tcW w:w="1163" w:type="dxa"/>
            <w:tcBorders>
              <w:bottom w:val="single" w:sz="4" w:space="0" w:color="auto"/>
              <w:right w:val="single" w:sz="4" w:space="0" w:color="auto"/>
            </w:tcBorders>
            <w:vAlign w:val="center"/>
          </w:tcPr>
          <w:p w14:paraId="15F460CB"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70.93%</w:t>
            </w:r>
          </w:p>
        </w:tc>
        <w:tc>
          <w:tcPr>
            <w:tcW w:w="1389" w:type="dxa"/>
            <w:tcBorders>
              <w:left w:val="single" w:sz="4" w:space="0" w:color="auto"/>
              <w:bottom w:val="single" w:sz="4" w:space="0" w:color="auto"/>
            </w:tcBorders>
            <w:vAlign w:val="center"/>
          </w:tcPr>
          <w:p w14:paraId="5B320391"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1,650</w:t>
            </w:r>
          </w:p>
        </w:tc>
        <w:tc>
          <w:tcPr>
            <w:tcW w:w="1049" w:type="dxa"/>
            <w:tcBorders>
              <w:bottom w:val="single" w:sz="4" w:space="0" w:color="auto"/>
              <w:right w:val="single" w:sz="4" w:space="0" w:color="auto"/>
            </w:tcBorders>
            <w:vAlign w:val="center"/>
          </w:tcPr>
          <w:p w14:paraId="28BFB7E1"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29.07%</w:t>
            </w:r>
          </w:p>
        </w:tc>
        <w:tc>
          <w:tcPr>
            <w:tcW w:w="1502" w:type="dxa"/>
            <w:tcBorders>
              <w:left w:val="single" w:sz="4" w:space="0" w:color="auto"/>
              <w:bottom w:val="single" w:sz="4" w:space="0" w:color="auto"/>
            </w:tcBorders>
            <w:vAlign w:val="center"/>
          </w:tcPr>
          <w:p w14:paraId="5DFE0349"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1,064</w:t>
            </w:r>
          </w:p>
        </w:tc>
        <w:tc>
          <w:tcPr>
            <w:tcW w:w="936" w:type="dxa"/>
            <w:tcBorders>
              <w:bottom w:val="single" w:sz="4" w:space="0" w:color="auto"/>
              <w:right w:val="single" w:sz="4" w:space="0" w:color="auto"/>
            </w:tcBorders>
            <w:vAlign w:val="center"/>
          </w:tcPr>
          <w:p w14:paraId="74D0EB79"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18.75%</w:t>
            </w:r>
          </w:p>
        </w:tc>
        <w:tc>
          <w:tcPr>
            <w:tcW w:w="1474" w:type="dxa"/>
            <w:tcBorders>
              <w:left w:val="single" w:sz="4" w:space="0" w:color="auto"/>
              <w:bottom w:val="single" w:sz="4" w:space="0" w:color="auto"/>
            </w:tcBorders>
            <w:vAlign w:val="center"/>
          </w:tcPr>
          <w:p w14:paraId="0DE666A3"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586</w:t>
            </w:r>
          </w:p>
        </w:tc>
        <w:tc>
          <w:tcPr>
            <w:tcW w:w="964" w:type="dxa"/>
            <w:tcBorders>
              <w:bottom w:val="single" w:sz="4" w:space="0" w:color="auto"/>
              <w:right w:val="single" w:sz="4" w:space="0" w:color="auto"/>
            </w:tcBorders>
            <w:vAlign w:val="center"/>
          </w:tcPr>
          <w:p w14:paraId="5AFC416C"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10.33%</w:t>
            </w:r>
          </w:p>
        </w:tc>
        <w:tc>
          <w:tcPr>
            <w:tcW w:w="1219" w:type="dxa"/>
            <w:tcBorders>
              <w:left w:val="single" w:sz="4" w:space="0" w:color="auto"/>
              <w:bottom w:val="single" w:sz="4" w:space="0" w:color="auto"/>
            </w:tcBorders>
            <w:vAlign w:val="center"/>
          </w:tcPr>
          <w:p w14:paraId="1A66ADA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5,675</w:t>
            </w:r>
          </w:p>
        </w:tc>
        <w:tc>
          <w:tcPr>
            <w:tcW w:w="1219" w:type="dxa"/>
            <w:tcBorders>
              <w:bottom w:val="single" w:sz="4" w:space="0" w:color="auto"/>
              <w:right w:val="single" w:sz="4" w:space="0" w:color="auto"/>
            </w:tcBorders>
            <w:vAlign w:val="center"/>
          </w:tcPr>
          <w:p w14:paraId="70204B82"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6.49%</w:t>
            </w:r>
          </w:p>
        </w:tc>
      </w:tr>
      <w:tr w:rsidR="001C4508" w:rsidRPr="00790280" w14:paraId="028CAB3B"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nil"/>
              <w:right w:val="single" w:sz="4" w:space="0" w:color="auto"/>
            </w:tcBorders>
            <w:noWrap/>
            <w:hideMark/>
          </w:tcPr>
          <w:p w14:paraId="1EB1F69A"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2012</w:t>
            </w:r>
          </w:p>
        </w:tc>
        <w:tc>
          <w:tcPr>
            <w:tcW w:w="1275" w:type="dxa"/>
            <w:tcBorders>
              <w:top w:val="single" w:sz="4" w:space="0" w:color="auto"/>
              <w:left w:val="single" w:sz="4" w:space="0" w:color="auto"/>
              <w:bottom w:val="nil"/>
              <w:right w:val="nil"/>
            </w:tcBorders>
          </w:tcPr>
          <w:p w14:paraId="2C4E4139"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63" w:type="dxa"/>
            <w:tcBorders>
              <w:top w:val="single" w:sz="4" w:space="0" w:color="auto"/>
              <w:left w:val="nil"/>
              <w:bottom w:val="nil"/>
              <w:right w:val="single" w:sz="4" w:space="0" w:color="auto"/>
            </w:tcBorders>
            <w:vAlign w:val="center"/>
          </w:tcPr>
          <w:p w14:paraId="5128E1ED"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389" w:type="dxa"/>
            <w:tcBorders>
              <w:top w:val="single" w:sz="4" w:space="0" w:color="auto"/>
              <w:left w:val="single" w:sz="4" w:space="0" w:color="auto"/>
              <w:bottom w:val="nil"/>
              <w:right w:val="nil"/>
            </w:tcBorders>
          </w:tcPr>
          <w:p w14:paraId="2870201C"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49" w:type="dxa"/>
            <w:tcBorders>
              <w:top w:val="single" w:sz="4" w:space="0" w:color="auto"/>
              <w:left w:val="nil"/>
              <w:bottom w:val="nil"/>
              <w:right w:val="single" w:sz="4" w:space="0" w:color="auto"/>
            </w:tcBorders>
            <w:vAlign w:val="center"/>
          </w:tcPr>
          <w:p w14:paraId="708C91EF"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502" w:type="dxa"/>
            <w:tcBorders>
              <w:top w:val="single" w:sz="4" w:space="0" w:color="auto"/>
              <w:left w:val="single" w:sz="4" w:space="0" w:color="auto"/>
              <w:bottom w:val="nil"/>
              <w:right w:val="nil"/>
            </w:tcBorders>
          </w:tcPr>
          <w:p w14:paraId="5BC76DC4"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936" w:type="dxa"/>
            <w:tcBorders>
              <w:top w:val="single" w:sz="4" w:space="0" w:color="auto"/>
              <w:left w:val="nil"/>
              <w:bottom w:val="nil"/>
              <w:right w:val="single" w:sz="4" w:space="0" w:color="auto"/>
            </w:tcBorders>
            <w:vAlign w:val="center"/>
          </w:tcPr>
          <w:p w14:paraId="0CCAE06F"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1474" w:type="dxa"/>
            <w:tcBorders>
              <w:top w:val="single" w:sz="4" w:space="0" w:color="auto"/>
              <w:left w:val="single" w:sz="4" w:space="0" w:color="auto"/>
              <w:bottom w:val="nil"/>
              <w:right w:val="nil"/>
            </w:tcBorders>
          </w:tcPr>
          <w:p w14:paraId="5E10A8D6"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 </w:t>
            </w:r>
          </w:p>
        </w:tc>
        <w:tc>
          <w:tcPr>
            <w:tcW w:w="964" w:type="dxa"/>
            <w:tcBorders>
              <w:top w:val="single" w:sz="4" w:space="0" w:color="auto"/>
              <w:left w:val="nil"/>
              <w:bottom w:val="nil"/>
              <w:right w:val="single" w:sz="4" w:space="0" w:color="auto"/>
            </w:tcBorders>
          </w:tcPr>
          <w:p w14:paraId="402A0185" w14:textId="77777777" w:rsidR="00790280" w:rsidRPr="00790280" w:rsidRDefault="00790280"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19" w:type="dxa"/>
            <w:tcBorders>
              <w:top w:val="single" w:sz="4" w:space="0" w:color="auto"/>
              <w:left w:val="single" w:sz="4" w:space="0" w:color="auto"/>
              <w:bottom w:val="nil"/>
              <w:right w:val="nil"/>
            </w:tcBorders>
            <w:vAlign w:val="center"/>
          </w:tcPr>
          <w:p w14:paraId="268914BF"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19" w:type="dxa"/>
            <w:tcBorders>
              <w:top w:val="single" w:sz="4" w:space="0" w:color="auto"/>
              <w:left w:val="nil"/>
              <w:bottom w:val="nil"/>
              <w:right w:val="single" w:sz="4" w:space="0" w:color="auto"/>
            </w:tcBorders>
            <w:vAlign w:val="center"/>
          </w:tcPr>
          <w:p w14:paraId="73EDBD86"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 </w:t>
            </w:r>
          </w:p>
        </w:tc>
      </w:tr>
      <w:tr w:rsidR="001C4508" w:rsidRPr="00790280" w14:paraId="2F3F2BE9"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nil"/>
              <w:left w:val="single" w:sz="4" w:space="0" w:color="auto"/>
              <w:right w:val="single" w:sz="4" w:space="0" w:color="auto"/>
            </w:tcBorders>
            <w:noWrap/>
            <w:hideMark/>
          </w:tcPr>
          <w:p w14:paraId="69919920"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75" w:type="dxa"/>
            <w:tcBorders>
              <w:top w:val="nil"/>
              <w:left w:val="single" w:sz="4" w:space="0" w:color="auto"/>
            </w:tcBorders>
            <w:vAlign w:val="center"/>
          </w:tcPr>
          <w:p w14:paraId="11AC3E4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87</w:t>
            </w:r>
          </w:p>
        </w:tc>
        <w:tc>
          <w:tcPr>
            <w:tcW w:w="1163" w:type="dxa"/>
            <w:tcBorders>
              <w:top w:val="nil"/>
              <w:right w:val="single" w:sz="4" w:space="0" w:color="auto"/>
            </w:tcBorders>
            <w:vAlign w:val="center"/>
          </w:tcPr>
          <w:p w14:paraId="17DE695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1.77%</w:t>
            </w:r>
          </w:p>
        </w:tc>
        <w:tc>
          <w:tcPr>
            <w:tcW w:w="1389" w:type="dxa"/>
            <w:tcBorders>
              <w:top w:val="nil"/>
              <w:left w:val="single" w:sz="4" w:space="0" w:color="auto"/>
            </w:tcBorders>
            <w:vAlign w:val="center"/>
          </w:tcPr>
          <w:p w14:paraId="4A7AE00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62</w:t>
            </w:r>
          </w:p>
        </w:tc>
        <w:tc>
          <w:tcPr>
            <w:tcW w:w="1049" w:type="dxa"/>
            <w:tcBorders>
              <w:top w:val="nil"/>
              <w:right w:val="single" w:sz="4" w:space="0" w:color="auto"/>
            </w:tcBorders>
            <w:vAlign w:val="center"/>
          </w:tcPr>
          <w:p w14:paraId="66F14EB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1.26%</w:t>
            </w:r>
          </w:p>
        </w:tc>
        <w:tc>
          <w:tcPr>
            <w:tcW w:w="1502" w:type="dxa"/>
            <w:tcBorders>
              <w:top w:val="nil"/>
              <w:left w:val="single" w:sz="4" w:space="0" w:color="auto"/>
            </w:tcBorders>
            <w:vAlign w:val="center"/>
          </w:tcPr>
          <w:p w14:paraId="526500E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40</w:t>
            </w:r>
          </w:p>
        </w:tc>
        <w:tc>
          <w:tcPr>
            <w:tcW w:w="936" w:type="dxa"/>
            <w:tcBorders>
              <w:top w:val="nil"/>
              <w:right w:val="single" w:sz="4" w:space="0" w:color="auto"/>
            </w:tcBorders>
            <w:vAlign w:val="center"/>
          </w:tcPr>
          <w:p w14:paraId="07E113B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0.82%</w:t>
            </w:r>
          </w:p>
        </w:tc>
        <w:tc>
          <w:tcPr>
            <w:tcW w:w="1474" w:type="dxa"/>
            <w:tcBorders>
              <w:top w:val="nil"/>
              <w:left w:val="single" w:sz="4" w:space="0" w:color="auto"/>
            </w:tcBorders>
            <w:vAlign w:val="center"/>
          </w:tcPr>
          <w:p w14:paraId="60BCF20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22</w:t>
            </w:r>
          </w:p>
        </w:tc>
        <w:tc>
          <w:tcPr>
            <w:tcW w:w="964" w:type="dxa"/>
            <w:tcBorders>
              <w:top w:val="nil"/>
              <w:right w:val="single" w:sz="4" w:space="0" w:color="auto"/>
            </w:tcBorders>
            <w:vAlign w:val="center"/>
          </w:tcPr>
          <w:p w14:paraId="4B9D94A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0.45%</w:t>
            </w:r>
          </w:p>
        </w:tc>
        <w:tc>
          <w:tcPr>
            <w:tcW w:w="1219" w:type="dxa"/>
            <w:tcBorders>
              <w:top w:val="nil"/>
              <w:left w:val="single" w:sz="4" w:space="0" w:color="auto"/>
            </w:tcBorders>
            <w:vAlign w:val="center"/>
          </w:tcPr>
          <w:p w14:paraId="775D1858"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149</w:t>
            </w:r>
          </w:p>
        </w:tc>
        <w:tc>
          <w:tcPr>
            <w:tcW w:w="1219" w:type="dxa"/>
            <w:tcBorders>
              <w:top w:val="nil"/>
              <w:right w:val="single" w:sz="4" w:space="0" w:color="auto"/>
            </w:tcBorders>
            <w:vAlign w:val="center"/>
          </w:tcPr>
          <w:p w14:paraId="497BD8F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3.04%</w:t>
            </w:r>
          </w:p>
        </w:tc>
      </w:tr>
      <w:tr w:rsidR="001C4508" w:rsidRPr="00790280" w14:paraId="3C437B0A"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25845B9E"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75" w:type="dxa"/>
            <w:tcBorders>
              <w:left w:val="single" w:sz="4" w:space="0" w:color="auto"/>
              <w:right w:val="nil"/>
            </w:tcBorders>
            <w:vAlign w:val="center"/>
          </w:tcPr>
          <w:p w14:paraId="61BB8B4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221</w:t>
            </w:r>
          </w:p>
        </w:tc>
        <w:tc>
          <w:tcPr>
            <w:tcW w:w="1163" w:type="dxa"/>
            <w:tcBorders>
              <w:left w:val="nil"/>
              <w:right w:val="single" w:sz="4" w:space="0" w:color="auto"/>
            </w:tcBorders>
            <w:vAlign w:val="center"/>
          </w:tcPr>
          <w:p w14:paraId="72DBC6B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4.51%</w:t>
            </w:r>
          </w:p>
        </w:tc>
        <w:tc>
          <w:tcPr>
            <w:tcW w:w="1389" w:type="dxa"/>
            <w:tcBorders>
              <w:left w:val="single" w:sz="4" w:space="0" w:color="auto"/>
              <w:right w:val="nil"/>
            </w:tcBorders>
            <w:vAlign w:val="center"/>
          </w:tcPr>
          <w:p w14:paraId="746327B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153</w:t>
            </w:r>
          </w:p>
        </w:tc>
        <w:tc>
          <w:tcPr>
            <w:tcW w:w="1049" w:type="dxa"/>
            <w:tcBorders>
              <w:left w:val="nil"/>
              <w:right w:val="single" w:sz="4" w:space="0" w:color="auto"/>
            </w:tcBorders>
            <w:vAlign w:val="center"/>
          </w:tcPr>
          <w:p w14:paraId="1AF81544"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3.12%</w:t>
            </w:r>
          </w:p>
        </w:tc>
        <w:tc>
          <w:tcPr>
            <w:tcW w:w="1502" w:type="dxa"/>
            <w:tcBorders>
              <w:left w:val="single" w:sz="4" w:space="0" w:color="auto"/>
              <w:right w:val="nil"/>
            </w:tcBorders>
            <w:vAlign w:val="center"/>
          </w:tcPr>
          <w:p w14:paraId="3A548D92"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92</w:t>
            </w:r>
          </w:p>
        </w:tc>
        <w:tc>
          <w:tcPr>
            <w:tcW w:w="936" w:type="dxa"/>
            <w:tcBorders>
              <w:left w:val="nil"/>
              <w:right w:val="single" w:sz="4" w:space="0" w:color="auto"/>
            </w:tcBorders>
            <w:vAlign w:val="center"/>
          </w:tcPr>
          <w:p w14:paraId="58C7F8E6"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1.88%</w:t>
            </w:r>
          </w:p>
        </w:tc>
        <w:tc>
          <w:tcPr>
            <w:tcW w:w="1474" w:type="dxa"/>
            <w:tcBorders>
              <w:left w:val="single" w:sz="4" w:space="0" w:color="auto"/>
              <w:right w:val="nil"/>
            </w:tcBorders>
            <w:vAlign w:val="center"/>
          </w:tcPr>
          <w:p w14:paraId="0AA467C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61</w:t>
            </w:r>
          </w:p>
        </w:tc>
        <w:tc>
          <w:tcPr>
            <w:tcW w:w="964" w:type="dxa"/>
            <w:tcBorders>
              <w:left w:val="nil"/>
              <w:right w:val="single" w:sz="4" w:space="0" w:color="auto"/>
            </w:tcBorders>
            <w:vAlign w:val="center"/>
          </w:tcPr>
          <w:p w14:paraId="602CDC3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1.24%</w:t>
            </w:r>
          </w:p>
        </w:tc>
        <w:tc>
          <w:tcPr>
            <w:tcW w:w="1219" w:type="dxa"/>
            <w:tcBorders>
              <w:left w:val="single" w:sz="4" w:space="0" w:color="auto"/>
              <w:right w:val="nil"/>
            </w:tcBorders>
            <w:vAlign w:val="center"/>
          </w:tcPr>
          <w:p w14:paraId="3408C495"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374</w:t>
            </w:r>
          </w:p>
        </w:tc>
        <w:tc>
          <w:tcPr>
            <w:tcW w:w="1219" w:type="dxa"/>
            <w:tcBorders>
              <w:left w:val="nil"/>
              <w:right w:val="single" w:sz="4" w:space="0" w:color="auto"/>
            </w:tcBorders>
            <w:vAlign w:val="center"/>
          </w:tcPr>
          <w:p w14:paraId="4F6A4E1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7.63%</w:t>
            </w:r>
          </w:p>
        </w:tc>
      </w:tr>
      <w:tr w:rsidR="001C4508" w:rsidRPr="00790280" w14:paraId="554890DD"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03D3F392"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75" w:type="dxa"/>
            <w:tcBorders>
              <w:left w:val="single" w:sz="4" w:space="0" w:color="auto"/>
            </w:tcBorders>
            <w:vAlign w:val="center"/>
          </w:tcPr>
          <w:p w14:paraId="7533DFB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421</w:t>
            </w:r>
          </w:p>
        </w:tc>
        <w:tc>
          <w:tcPr>
            <w:tcW w:w="1163" w:type="dxa"/>
            <w:tcBorders>
              <w:right w:val="single" w:sz="4" w:space="0" w:color="auto"/>
            </w:tcBorders>
            <w:vAlign w:val="center"/>
          </w:tcPr>
          <w:p w14:paraId="621A216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8.59%</w:t>
            </w:r>
          </w:p>
        </w:tc>
        <w:tc>
          <w:tcPr>
            <w:tcW w:w="1389" w:type="dxa"/>
            <w:tcBorders>
              <w:left w:val="single" w:sz="4" w:space="0" w:color="auto"/>
            </w:tcBorders>
            <w:vAlign w:val="center"/>
          </w:tcPr>
          <w:p w14:paraId="1F7F858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200</w:t>
            </w:r>
          </w:p>
        </w:tc>
        <w:tc>
          <w:tcPr>
            <w:tcW w:w="1049" w:type="dxa"/>
            <w:tcBorders>
              <w:right w:val="single" w:sz="4" w:space="0" w:color="auto"/>
            </w:tcBorders>
            <w:vAlign w:val="center"/>
          </w:tcPr>
          <w:p w14:paraId="7A32F045"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4.08%</w:t>
            </w:r>
          </w:p>
        </w:tc>
        <w:tc>
          <w:tcPr>
            <w:tcW w:w="1502" w:type="dxa"/>
            <w:tcBorders>
              <w:left w:val="single" w:sz="4" w:space="0" w:color="auto"/>
            </w:tcBorders>
            <w:vAlign w:val="center"/>
          </w:tcPr>
          <w:p w14:paraId="0F3891E9"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151</w:t>
            </w:r>
          </w:p>
        </w:tc>
        <w:tc>
          <w:tcPr>
            <w:tcW w:w="936" w:type="dxa"/>
            <w:tcBorders>
              <w:right w:val="single" w:sz="4" w:space="0" w:color="auto"/>
            </w:tcBorders>
            <w:vAlign w:val="center"/>
          </w:tcPr>
          <w:p w14:paraId="0842617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3.08%</w:t>
            </w:r>
          </w:p>
        </w:tc>
        <w:tc>
          <w:tcPr>
            <w:tcW w:w="1474" w:type="dxa"/>
            <w:tcBorders>
              <w:left w:val="single" w:sz="4" w:space="0" w:color="auto"/>
            </w:tcBorders>
            <w:vAlign w:val="center"/>
          </w:tcPr>
          <w:p w14:paraId="75A14F6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49</w:t>
            </w:r>
          </w:p>
        </w:tc>
        <w:tc>
          <w:tcPr>
            <w:tcW w:w="964" w:type="dxa"/>
            <w:tcBorders>
              <w:right w:val="single" w:sz="4" w:space="0" w:color="auto"/>
            </w:tcBorders>
            <w:vAlign w:val="center"/>
          </w:tcPr>
          <w:p w14:paraId="486FAEA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1.00%</w:t>
            </w:r>
          </w:p>
        </w:tc>
        <w:tc>
          <w:tcPr>
            <w:tcW w:w="1219" w:type="dxa"/>
            <w:tcBorders>
              <w:left w:val="single" w:sz="4" w:space="0" w:color="auto"/>
            </w:tcBorders>
            <w:vAlign w:val="center"/>
          </w:tcPr>
          <w:p w14:paraId="7F8B47B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621</w:t>
            </w:r>
          </w:p>
        </w:tc>
        <w:tc>
          <w:tcPr>
            <w:tcW w:w="1219" w:type="dxa"/>
            <w:tcBorders>
              <w:right w:val="single" w:sz="4" w:space="0" w:color="auto"/>
            </w:tcBorders>
            <w:vAlign w:val="center"/>
          </w:tcPr>
          <w:p w14:paraId="1D4AAFD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12.67%</w:t>
            </w:r>
          </w:p>
        </w:tc>
      </w:tr>
      <w:tr w:rsidR="001C4508" w:rsidRPr="00790280" w14:paraId="2B29297A"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BEA4C3E"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75" w:type="dxa"/>
            <w:tcBorders>
              <w:left w:val="single" w:sz="4" w:space="0" w:color="auto"/>
              <w:right w:val="nil"/>
            </w:tcBorders>
            <w:vAlign w:val="center"/>
          </w:tcPr>
          <w:p w14:paraId="467BDE2F"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437</w:t>
            </w:r>
          </w:p>
        </w:tc>
        <w:tc>
          <w:tcPr>
            <w:tcW w:w="1163" w:type="dxa"/>
            <w:tcBorders>
              <w:left w:val="nil"/>
              <w:right w:val="single" w:sz="4" w:space="0" w:color="auto"/>
            </w:tcBorders>
            <w:vAlign w:val="center"/>
          </w:tcPr>
          <w:p w14:paraId="19078DF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8.91%</w:t>
            </w:r>
          </w:p>
        </w:tc>
        <w:tc>
          <w:tcPr>
            <w:tcW w:w="1389" w:type="dxa"/>
            <w:tcBorders>
              <w:left w:val="single" w:sz="4" w:space="0" w:color="auto"/>
              <w:right w:val="nil"/>
            </w:tcBorders>
            <w:vAlign w:val="center"/>
          </w:tcPr>
          <w:p w14:paraId="51DEDF6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97</w:t>
            </w:r>
          </w:p>
        </w:tc>
        <w:tc>
          <w:tcPr>
            <w:tcW w:w="1049" w:type="dxa"/>
            <w:tcBorders>
              <w:left w:val="nil"/>
              <w:right w:val="single" w:sz="4" w:space="0" w:color="auto"/>
            </w:tcBorders>
            <w:vAlign w:val="center"/>
          </w:tcPr>
          <w:p w14:paraId="6E2C561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1.98%</w:t>
            </w:r>
          </w:p>
        </w:tc>
        <w:tc>
          <w:tcPr>
            <w:tcW w:w="1502" w:type="dxa"/>
            <w:tcBorders>
              <w:left w:val="single" w:sz="4" w:space="0" w:color="auto"/>
              <w:right w:val="nil"/>
            </w:tcBorders>
            <w:vAlign w:val="center"/>
          </w:tcPr>
          <w:p w14:paraId="35F09A7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48</w:t>
            </w:r>
          </w:p>
        </w:tc>
        <w:tc>
          <w:tcPr>
            <w:tcW w:w="936" w:type="dxa"/>
            <w:tcBorders>
              <w:left w:val="nil"/>
              <w:right w:val="single" w:sz="4" w:space="0" w:color="auto"/>
            </w:tcBorders>
            <w:vAlign w:val="center"/>
          </w:tcPr>
          <w:p w14:paraId="6A635BF0"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0.98%</w:t>
            </w:r>
          </w:p>
        </w:tc>
        <w:tc>
          <w:tcPr>
            <w:tcW w:w="1474" w:type="dxa"/>
            <w:tcBorders>
              <w:left w:val="single" w:sz="4" w:space="0" w:color="auto"/>
              <w:right w:val="nil"/>
            </w:tcBorders>
            <w:vAlign w:val="center"/>
          </w:tcPr>
          <w:p w14:paraId="00CAFEAD"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49</w:t>
            </w:r>
          </w:p>
        </w:tc>
        <w:tc>
          <w:tcPr>
            <w:tcW w:w="964" w:type="dxa"/>
            <w:tcBorders>
              <w:left w:val="nil"/>
              <w:right w:val="single" w:sz="4" w:space="0" w:color="auto"/>
            </w:tcBorders>
            <w:vAlign w:val="center"/>
          </w:tcPr>
          <w:p w14:paraId="0698E953"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1.00%</w:t>
            </w:r>
          </w:p>
        </w:tc>
        <w:tc>
          <w:tcPr>
            <w:tcW w:w="1219" w:type="dxa"/>
            <w:tcBorders>
              <w:left w:val="single" w:sz="4" w:space="0" w:color="auto"/>
              <w:right w:val="nil"/>
            </w:tcBorders>
            <w:vAlign w:val="center"/>
          </w:tcPr>
          <w:p w14:paraId="333BCAA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534</w:t>
            </w:r>
          </w:p>
        </w:tc>
        <w:tc>
          <w:tcPr>
            <w:tcW w:w="1219" w:type="dxa"/>
            <w:tcBorders>
              <w:left w:val="nil"/>
              <w:right w:val="single" w:sz="4" w:space="0" w:color="auto"/>
            </w:tcBorders>
            <w:vAlign w:val="center"/>
          </w:tcPr>
          <w:p w14:paraId="17DA422B"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10.89%</w:t>
            </w:r>
          </w:p>
        </w:tc>
      </w:tr>
      <w:tr w:rsidR="001C4508" w:rsidRPr="00790280" w14:paraId="6C3CB52E"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528F1D7" w14:textId="77777777" w:rsidR="00103D60" w:rsidRPr="00E91515" w:rsidRDefault="00103D60"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75" w:type="dxa"/>
            <w:tcBorders>
              <w:left w:val="single" w:sz="4" w:space="0" w:color="auto"/>
            </w:tcBorders>
            <w:vAlign w:val="center"/>
          </w:tcPr>
          <w:p w14:paraId="6ED2B65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12</w:t>
            </w:r>
          </w:p>
        </w:tc>
        <w:tc>
          <w:tcPr>
            <w:tcW w:w="1163" w:type="dxa"/>
            <w:tcBorders>
              <w:right w:val="single" w:sz="4" w:space="0" w:color="auto"/>
            </w:tcBorders>
            <w:vAlign w:val="center"/>
          </w:tcPr>
          <w:p w14:paraId="24AAC323"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0.24%</w:t>
            </w:r>
          </w:p>
        </w:tc>
        <w:tc>
          <w:tcPr>
            <w:tcW w:w="1389" w:type="dxa"/>
            <w:tcBorders>
              <w:left w:val="single" w:sz="4" w:space="0" w:color="auto"/>
            </w:tcBorders>
            <w:vAlign w:val="center"/>
          </w:tcPr>
          <w:p w14:paraId="460CD5C7"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w:t>
            </w:r>
          </w:p>
        </w:tc>
        <w:tc>
          <w:tcPr>
            <w:tcW w:w="1049" w:type="dxa"/>
            <w:tcBorders>
              <w:right w:val="single" w:sz="4" w:space="0" w:color="auto"/>
            </w:tcBorders>
            <w:vAlign w:val="center"/>
          </w:tcPr>
          <w:p w14:paraId="757218B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0.04%</w:t>
            </w:r>
          </w:p>
        </w:tc>
        <w:tc>
          <w:tcPr>
            <w:tcW w:w="1502" w:type="dxa"/>
            <w:tcBorders>
              <w:left w:val="single" w:sz="4" w:space="0" w:color="auto"/>
            </w:tcBorders>
            <w:vAlign w:val="center"/>
          </w:tcPr>
          <w:p w14:paraId="352C2EF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w:t>
            </w:r>
          </w:p>
        </w:tc>
        <w:tc>
          <w:tcPr>
            <w:tcW w:w="936" w:type="dxa"/>
            <w:tcBorders>
              <w:right w:val="single" w:sz="4" w:space="0" w:color="auto"/>
            </w:tcBorders>
            <w:vAlign w:val="center"/>
          </w:tcPr>
          <w:p w14:paraId="7B1313B2"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0.04%</w:t>
            </w:r>
          </w:p>
        </w:tc>
        <w:tc>
          <w:tcPr>
            <w:tcW w:w="1474" w:type="dxa"/>
            <w:tcBorders>
              <w:left w:val="single" w:sz="4" w:space="0" w:color="auto"/>
            </w:tcBorders>
            <w:vAlign w:val="center"/>
          </w:tcPr>
          <w:p w14:paraId="25E77C9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w:t>
            </w:r>
          </w:p>
        </w:tc>
        <w:tc>
          <w:tcPr>
            <w:tcW w:w="964" w:type="dxa"/>
            <w:tcBorders>
              <w:right w:val="single" w:sz="4" w:space="0" w:color="auto"/>
            </w:tcBorders>
            <w:vAlign w:val="center"/>
          </w:tcPr>
          <w:p w14:paraId="3CA2858B"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0.00%</w:t>
            </w:r>
          </w:p>
        </w:tc>
        <w:tc>
          <w:tcPr>
            <w:tcW w:w="1219" w:type="dxa"/>
            <w:tcBorders>
              <w:left w:val="single" w:sz="4" w:space="0" w:color="auto"/>
            </w:tcBorders>
            <w:vAlign w:val="center"/>
          </w:tcPr>
          <w:p w14:paraId="41E9E82F"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14</w:t>
            </w:r>
          </w:p>
        </w:tc>
        <w:tc>
          <w:tcPr>
            <w:tcW w:w="1219" w:type="dxa"/>
            <w:tcBorders>
              <w:right w:val="single" w:sz="4" w:space="0" w:color="auto"/>
            </w:tcBorders>
            <w:vAlign w:val="center"/>
          </w:tcPr>
          <w:p w14:paraId="457D1FE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0.29%</w:t>
            </w:r>
          </w:p>
        </w:tc>
      </w:tr>
      <w:tr w:rsidR="001C4508" w:rsidRPr="00790280" w14:paraId="1ACA3A07" w14:textId="77777777" w:rsidTr="000A26F2">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6FFF999F"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75" w:type="dxa"/>
            <w:tcBorders>
              <w:left w:val="single" w:sz="4" w:space="0" w:color="auto"/>
              <w:right w:val="nil"/>
            </w:tcBorders>
            <w:vAlign w:val="center"/>
          </w:tcPr>
          <w:p w14:paraId="3BB568F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1,178</w:t>
            </w:r>
          </w:p>
        </w:tc>
        <w:tc>
          <w:tcPr>
            <w:tcW w:w="1163" w:type="dxa"/>
            <w:tcBorders>
              <w:left w:val="nil"/>
              <w:right w:val="single" w:sz="4" w:space="0" w:color="auto"/>
            </w:tcBorders>
            <w:vAlign w:val="center"/>
          </w:tcPr>
          <w:p w14:paraId="39889D7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24.03%</w:t>
            </w:r>
          </w:p>
        </w:tc>
        <w:tc>
          <w:tcPr>
            <w:tcW w:w="1389" w:type="dxa"/>
            <w:tcBorders>
              <w:left w:val="single" w:sz="4" w:space="0" w:color="auto"/>
              <w:right w:val="nil"/>
            </w:tcBorders>
            <w:vAlign w:val="center"/>
          </w:tcPr>
          <w:p w14:paraId="490E31A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514</w:t>
            </w:r>
          </w:p>
        </w:tc>
        <w:tc>
          <w:tcPr>
            <w:tcW w:w="1049" w:type="dxa"/>
            <w:tcBorders>
              <w:left w:val="nil"/>
              <w:right w:val="single" w:sz="4" w:space="0" w:color="auto"/>
            </w:tcBorders>
            <w:vAlign w:val="center"/>
          </w:tcPr>
          <w:p w14:paraId="4094AA51"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10.49%</w:t>
            </w:r>
          </w:p>
        </w:tc>
        <w:tc>
          <w:tcPr>
            <w:tcW w:w="1502" w:type="dxa"/>
            <w:tcBorders>
              <w:left w:val="single" w:sz="4" w:space="0" w:color="auto"/>
              <w:right w:val="nil"/>
            </w:tcBorders>
            <w:vAlign w:val="center"/>
          </w:tcPr>
          <w:p w14:paraId="2256B18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333</w:t>
            </w:r>
          </w:p>
        </w:tc>
        <w:tc>
          <w:tcPr>
            <w:tcW w:w="936" w:type="dxa"/>
            <w:tcBorders>
              <w:left w:val="nil"/>
              <w:right w:val="single" w:sz="4" w:space="0" w:color="auto"/>
            </w:tcBorders>
            <w:vAlign w:val="center"/>
          </w:tcPr>
          <w:p w14:paraId="72E65D0A"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6.79%</w:t>
            </w:r>
          </w:p>
        </w:tc>
        <w:tc>
          <w:tcPr>
            <w:tcW w:w="1474" w:type="dxa"/>
            <w:tcBorders>
              <w:left w:val="single" w:sz="4" w:space="0" w:color="auto"/>
              <w:right w:val="nil"/>
            </w:tcBorders>
            <w:vAlign w:val="center"/>
          </w:tcPr>
          <w:p w14:paraId="0A8C3B47"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181</w:t>
            </w:r>
          </w:p>
        </w:tc>
        <w:tc>
          <w:tcPr>
            <w:tcW w:w="964" w:type="dxa"/>
            <w:tcBorders>
              <w:left w:val="nil"/>
              <w:right w:val="single" w:sz="4" w:space="0" w:color="auto"/>
            </w:tcBorders>
            <w:vAlign w:val="center"/>
          </w:tcPr>
          <w:p w14:paraId="40CAC2F9"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790280">
              <w:rPr>
                <w:color w:val="auto"/>
                <w:sz w:val="20"/>
                <w:szCs w:val="20"/>
              </w:rPr>
              <w:t>3.69%</w:t>
            </w:r>
          </w:p>
        </w:tc>
        <w:tc>
          <w:tcPr>
            <w:tcW w:w="1219" w:type="dxa"/>
            <w:tcBorders>
              <w:left w:val="single" w:sz="4" w:space="0" w:color="auto"/>
              <w:right w:val="nil"/>
            </w:tcBorders>
            <w:vAlign w:val="center"/>
          </w:tcPr>
          <w:p w14:paraId="3DA69C6E"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1,692</w:t>
            </w:r>
          </w:p>
        </w:tc>
        <w:tc>
          <w:tcPr>
            <w:tcW w:w="1219" w:type="dxa"/>
            <w:tcBorders>
              <w:left w:val="nil"/>
              <w:right w:val="single" w:sz="4" w:space="0" w:color="auto"/>
            </w:tcBorders>
            <w:vAlign w:val="center"/>
          </w:tcPr>
          <w:p w14:paraId="3BCBF6DC" w14:textId="77777777" w:rsidR="00103D60" w:rsidRPr="00790280" w:rsidRDefault="00103D6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34.52%</w:t>
            </w:r>
          </w:p>
        </w:tc>
      </w:tr>
      <w:tr w:rsidR="001C4508" w:rsidRPr="00790280" w14:paraId="5CE48237" w14:textId="77777777" w:rsidTr="000A26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right w:val="single" w:sz="4" w:space="0" w:color="auto"/>
            </w:tcBorders>
            <w:noWrap/>
            <w:hideMark/>
          </w:tcPr>
          <w:p w14:paraId="5B20EBCB" w14:textId="77777777" w:rsidR="00103D60" w:rsidRPr="004A1081" w:rsidRDefault="00103D60"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75" w:type="dxa"/>
            <w:tcBorders>
              <w:left w:val="single" w:sz="4" w:space="0" w:color="auto"/>
            </w:tcBorders>
            <w:vAlign w:val="center"/>
          </w:tcPr>
          <w:p w14:paraId="1902AF0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2,375</w:t>
            </w:r>
          </w:p>
        </w:tc>
        <w:tc>
          <w:tcPr>
            <w:tcW w:w="1163" w:type="dxa"/>
            <w:tcBorders>
              <w:right w:val="single" w:sz="4" w:space="0" w:color="auto"/>
            </w:tcBorders>
            <w:vAlign w:val="center"/>
          </w:tcPr>
          <w:p w14:paraId="17006E31"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48.45%</w:t>
            </w:r>
          </w:p>
        </w:tc>
        <w:tc>
          <w:tcPr>
            <w:tcW w:w="1389" w:type="dxa"/>
            <w:tcBorders>
              <w:left w:val="single" w:sz="4" w:space="0" w:color="auto"/>
            </w:tcBorders>
            <w:vAlign w:val="center"/>
          </w:tcPr>
          <w:p w14:paraId="0690037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835</w:t>
            </w:r>
          </w:p>
        </w:tc>
        <w:tc>
          <w:tcPr>
            <w:tcW w:w="1049" w:type="dxa"/>
            <w:tcBorders>
              <w:right w:val="single" w:sz="4" w:space="0" w:color="auto"/>
            </w:tcBorders>
            <w:vAlign w:val="center"/>
          </w:tcPr>
          <w:p w14:paraId="5DE12EB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17.03%</w:t>
            </w:r>
          </w:p>
        </w:tc>
        <w:tc>
          <w:tcPr>
            <w:tcW w:w="1502" w:type="dxa"/>
            <w:tcBorders>
              <w:left w:val="single" w:sz="4" w:space="0" w:color="auto"/>
            </w:tcBorders>
            <w:vAlign w:val="center"/>
          </w:tcPr>
          <w:p w14:paraId="22C9F774"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550</w:t>
            </w:r>
          </w:p>
        </w:tc>
        <w:tc>
          <w:tcPr>
            <w:tcW w:w="936" w:type="dxa"/>
            <w:tcBorders>
              <w:right w:val="single" w:sz="4" w:space="0" w:color="auto"/>
            </w:tcBorders>
            <w:vAlign w:val="center"/>
          </w:tcPr>
          <w:p w14:paraId="3926CFD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11.22%</w:t>
            </w:r>
          </w:p>
        </w:tc>
        <w:tc>
          <w:tcPr>
            <w:tcW w:w="1474" w:type="dxa"/>
            <w:tcBorders>
              <w:left w:val="single" w:sz="4" w:space="0" w:color="auto"/>
            </w:tcBorders>
            <w:vAlign w:val="center"/>
          </w:tcPr>
          <w:p w14:paraId="2101505E"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285</w:t>
            </w:r>
          </w:p>
        </w:tc>
        <w:tc>
          <w:tcPr>
            <w:tcW w:w="964" w:type="dxa"/>
            <w:tcBorders>
              <w:right w:val="single" w:sz="4" w:space="0" w:color="auto"/>
            </w:tcBorders>
            <w:vAlign w:val="center"/>
          </w:tcPr>
          <w:p w14:paraId="4A74DC06"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790280">
              <w:rPr>
                <w:color w:val="auto"/>
                <w:sz w:val="20"/>
                <w:szCs w:val="20"/>
              </w:rPr>
              <w:t>5.81%</w:t>
            </w:r>
          </w:p>
        </w:tc>
        <w:tc>
          <w:tcPr>
            <w:tcW w:w="1219" w:type="dxa"/>
            <w:tcBorders>
              <w:left w:val="single" w:sz="4" w:space="0" w:color="auto"/>
            </w:tcBorders>
            <w:vAlign w:val="center"/>
          </w:tcPr>
          <w:p w14:paraId="00299CAA"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3,210</w:t>
            </w:r>
          </w:p>
        </w:tc>
        <w:tc>
          <w:tcPr>
            <w:tcW w:w="1219" w:type="dxa"/>
            <w:tcBorders>
              <w:right w:val="single" w:sz="4" w:space="0" w:color="auto"/>
            </w:tcBorders>
            <w:vAlign w:val="center"/>
          </w:tcPr>
          <w:p w14:paraId="576BC800" w14:textId="77777777" w:rsidR="00103D60" w:rsidRPr="00790280" w:rsidRDefault="00103D6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790280">
              <w:rPr>
                <w:b/>
                <w:color w:val="auto"/>
                <w:sz w:val="20"/>
                <w:szCs w:val="20"/>
              </w:rPr>
              <w:t>65.48%</w:t>
            </w:r>
          </w:p>
        </w:tc>
      </w:tr>
      <w:tr w:rsidR="002418F8" w:rsidRPr="00790280" w14:paraId="531C8C20" w14:textId="77777777" w:rsidTr="00103D60">
        <w:trPr>
          <w:trHeight w:val="276"/>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auto"/>
              <w:bottom w:val="single" w:sz="4" w:space="0" w:color="auto"/>
              <w:right w:val="single" w:sz="4" w:space="0" w:color="auto"/>
            </w:tcBorders>
            <w:shd w:val="clear" w:color="auto" w:fill="B6DDE8" w:themeFill="accent5" w:themeFillTint="66"/>
            <w:noWrap/>
            <w:hideMark/>
          </w:tcPr>
          <w:p w14:paraId="45645484"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Totals</w:t>
            </w:r>
          </w:p>
        </w:tc>
        <w:tc>
          <w:tcPr>
            <w:tcW w:w="1275" w:type="dxa"/>
            <w:tcBorders>
              <w:left w:val="single" w:sz="4" w:space="0" w:color="auto"/>
              <w:bottom w:val="single" w:sz="4" w:space="0" w:color="auto"/>
              <w:right w:val="nil"/>
            </w:tcBorders>
            <w:shd w:val="clear" w:color="auto" w:fill="B6DDE8" w:themeFill="accent5" w:themeFillTint="66"/>
            <w:vAlign w:val="center"/>
          </w:tcPr>
          <w:p w14:paraId="350B324E"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3,553</w:t>
            </w:r>
          </w:p>
        </w:tc>
        <w:tc>
          <w:tcPr>
            <w:tcW w:w="1163" w:type="dxa"/>
            <w:tcBorders>
              <w:left w:val="nil"/>
              <w:bottom w:val="single" w:sz="4" w:space="0" w:color="auto"/>
              <w:right w:val="single" w:sz="4" w:space="0" w:color="auto"/>
            </w:tcBorders>
            <w:shd w:val="clear" w:color="auto" w:fill="B6DDE8" w:themeFill="accent5" w:themeFillTint="66"/>
            <w:vAlign w:val="center"/>
          </w:tcPr>
          <w:p w14:paraId="0995B8D3"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72.48%</w:t>
            </w:r>
          </w:p>
        </w:tc>
        <w:tc>
          <w:tcPr>
            <w:tcW w:w="1389" w:type="dxa"/>
            <w:tcBorders>
              <w:left w:val="single" w:sz="4" w:space="0" w:color="auto"/>
              <w:bottom w:val="single" w:sz="4" w:space="0" w:color="auto"/>
              <w:right w:val="nil"/>
            </w:tcBorders>
            <w:shd w:val="clear" w:color="auto" w:fill="B6DDE8" w:themeFill="accent5" w:themeFillTint="66"/>
            <w:vAlign w:val="center"/>
          </w:tcPr>
          <w:p w14:paraId="4FE02C00"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1,349</w:t>
            </w:r>
          </w:p>
        </w:tc>
        <w:tc>
          <w:tcPr>
            <w:tcW w:w="1049" w:type="dxa"/>
            <w:tcBorders>
              <w:left w:val="nil"/>
              <w:bottom w:val="single" w:sz="4" w:space="0" w:color="auto"/>
              <w:right w:val="single" w:sz="4" w:space="0" w:color="auto"/>
            </w:tcBorders>
            <w:shd w:val="clear" w:color="auto" w:fill="B6DDE8" w:themeFill="accent5" w:themeFillTint="66"/>
            <w:vAlign w:val="center"/>
          </w:tcPr>
          <w:p w14:paraId="6604E26D"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27.52%</w:t>
            </w:r>
          </w:p>
        </w:tc>
        <w:tc>
          <w:tcPr>
            <w:tcW w:w="1502" w:type="dxa"/>
            <w:tcBorders>
              <w:left w:val="single" w:sz="4" w:space="0" w:color="auto"/>
              <w:bottom w:val="single" w:sz="4" w:space="0" w:color="auto"/>
              <w:right w:val="nil"/>
            </w:tcBorders>
            <w:shd w:val="clear" w:color="auto" w:fill="B6DDE8" w:themeFill="accent5" w:themeFillTint="66"/>
            <w:vAlign w:val="center"/>
          </w:tcPr>
          <w:p w14:paraId="646F550C"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883</w:t>
            </w:r>
          </w:p>
        </w:tc>
        <w:tc>
          <w:tcPr>
            <w:tcW w:w="936" w:type="dxa"/>
            <w:tcBorders>
              <w:left w:val="nil"/>
              <w:bottom w:val="single" w:sz="4" w:space="0" w:color="auto"/>
              <w:right w:val="single" w:sz="4" w:space="0" w:color="auto"/>
            </w:tcBorders>
            <w:shd w:val="clear" w:color="auto" w:fill="B6DDE8" w:themeFill="accent5" w:themeFillTint="66"/>
            <w:vAlign w:val="center"/>
          </w:tcPr>
          <w:p w14:paraId="1E1EAB51"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18.01%</w:t>
            </w:r>
          </w:p>
        </w:tc>
        <w:tc>
          <w:tcPr>
            <w:tcW w:w="1474" w:type="dxa"/>
            <w:tcBorders>
              <w:left w:val="single" w:sz="4" w:space="0" w:color="auto"/>
              <w:bottom w:val="single" w:sz="4" w:space="0" w:color="auto"/>
              <w:right w:val="nil"/>
            </w:tcBorders>
            <w:shd w:val="clear" w:color="auto" w:fill="B6DDE8" w:themeFill="accent5" w:themeFillTint="66"/>
            <w:vAlign w:val="center"/>
          </w:tcPr>
          <w:p w14:paraId="199F02DE"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466</w:t>
            </w:r>
          </w:p>
        </w:tc>
        <w:tc>
          <w:tcPr>
            <w:tcW w:w="964" w:type="dxa"/>
            <w:tcBorders>
              <w:left w:val="nil"/>
              <w:bottom w:val="single" w:sz="4" w:space="0" w:color="auto"/>
              <w:right w:val="single" w:sz="4" w:space="0" w:color="auto"/>
            </w:tcBorders>
            <w:shd w:val="clear" w:color="auto" w:fill="B6DDE8" w:themeFill="accent5" w:themeFillTint="66"/>
            <w:vAlign w:val="center"/>
          </w:tcPr>
          <w:p w14:paraId="043DBA38"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790280">
              <w:rPr>
                <w:b/>
                <w:color w:val="auto"/>
                <w:sz w:val="20"/>
                <w:szCs w:val="20"/>
              </w:rPr>
              <w:t>9.51%</w:t>
            </w:r>
          </w:p>
        </w:tc>
        <w:tc>
          <w:tcPr>
            <w:tcW w:w="1219" w:type="dxa"/>
            <w:tcBorders>
              <w:left w:val="single" w:sz="4" w:space="0" w:color="auto"/>
              <w:bottom w:val="single" w:sz="4" w:space="0" w:color="auto"/>
              <w:right w:val="nil"/>
            </w:tcBorders>
            <w:shd w:val="clear" w:color="auto" w:fill="B6DDE8" w:themeFill="accent5" w:themeFillTint="66"/>
            <w:vAlign w:val="center"/>
          </w:tcPr>
          <w:p w14:paraId="4F1DB954"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4,902</w:t>
            </w:r>
          </w:p>
        </w:tc>
        <w:tc>
          <w:tcPr>
            <w:tcW w:w="1219" w:type="dxa"/>
            <w:tcBorders>
              <w:left w:val="nil"/>
              <w:bottom w:val="single" w:sz="4" w:space="0" w:color="auto"/>
              <w:right w:val="single" w:sz="4" w:space="0" w:color="auto"/>
            </w:tcBorders>
            <w:shd w:val="clear" w:color="auto" w:fill="B6DDE8" w:themeFill="accent5" w:themeFillTint="66"/>
            <w:vAlign w:val="center"/>
          </w:tcPr>
          <w:p w14:paraId="425BB431" w14:textId="77777777" w:rsidR="00790280" w:rsidRPr="00790280" w:rsidRDefault="00790280"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790280">
              <w:rPr>
                <w:b/>
                <w:bCs/>
                <w:color w:val="auto"/>
                <w:sz w:val="20"/>
                <w:szCs w:val="20"/>
              </w:rPr>
              <w:t>5.61%</w:t>
            </w:r>
          </w:p>
        </w:tc>
      </w:tr>
      <w:tr w:rsidR="002418F8" w:rsidRPr="00790280" w14:paraId="304630DD" w14:textId="77777777" w:rsidTr="00103D6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hideMark/>
          </w:tcPr>
          <w:p w14:paraId="093876AE" w14:textId="77777777" w:rsidR="00790280" w:rsidRPr="00790280" w:rsidRDefault="00790280" w:rsidP="00CE2FDF">
            <w:pPr>
              <w:tabs>
                <w:tab w:val="left" w:pos="1134"/>
              </w:tabs>
              <w:spacing w:before="0" w:line="276" w:lineRule="auto"/>
              <w:rPr>
                <w:rFonts w:cs="Arial"/>
                <w:color w:val="auto"/>
                <w:sz w:val="20"/>
                <w:szCs w:val="20"/>
              </w:rPr>
            </w:pPr>
            <w:r w:rsidRPr="00790280">
              <w:rPr>
                <w:rFonts w:cs="Arial"/>
                <w:color w:val="auto"/>
                <w:sz w:val="20"/>
                <w:szCs w:val="20"/>
              </w:rPr>
              <w:t>Combined Totals</w:t>
            </w:r>
          </w:p>
        </w:tc>
        <w:tc>
          <w:tcPr>
            <w:tcW w:w="1275" w:type="dxa"/>
            <w:tcBorders>
              <w:top w:val="single" w:sz="4" w:space="0" w:color="auto"/>
              <w:left w:val="single" w:sz="4" w:space="0" w:color="auto"/>
              <w:bottom w:val="single" w:sz="4" w:space="0" w:color="auto"/>
            </w:tcBorders>
            <w:shd w:val="clear" w:color="auto" w:fill="92CDDC" w:themeFill="accent5" w:themeFillTint="99"/>
            <w:vAlign w:val="center"/>
          </w:tcPr>
          <w:p w14:paraId="562D9686"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66,414</w:t>
            </w:r>
          </w:p>
        </w:tc>
        <w:tc>
          <w:tcPr>
            <w:tcW w:w="1163" w:type="dxa"/>
            <w:tcBorders>
              <w:top w:val="single" w:sz="4" w:space="0" w:color="auto"/>
              <w:bottom w:val="single" w:sz="4" w:space="0" w:color="auto"/>
              <w:right w:val="single" w:sz="4" w:space="0" w:color="auto"/>
            </w:tcBorders>
            <w:shd w:val="clear" w:color="auto" w:fill="92CDDC" w:themeFill="accent5" w:themeFillTint="99"/>
            <w:vAlign w:val="center"/>
          </w:tcPr>
          <w:p w14:paraId="2DF47E0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75.95%</w:t>
            </w:r>
          </w:p>
        </w:tc>
        <w:tc>
          <w:tcPr>
            <w:tcW w:w="1389" w:type="dxa"/>
            <w:tcBorders>
              <w:top w:val="single" w:sz="4" w:space="0" w:color="auto"/>
              <w:left w:val="single" w:sz="4" w:space="0" w:color="auto"/>
              <w:bottom w:val="single" w:sz="4" w:space="0" w:color="auto"/>
            </w:tcBorders>
            <w:shd w:val="clear" w:color="auto" w:fill="92CDDC" w:themeFill="accent5" w:themeFillTint="99"/>
            <w:vAlign w:val="center"/>
          </w:tcPr>
          <w:p w14:paraId="17949DBB"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21,025</w:t>
            </w:r>
          </w:p>
        </w:tc>
        <w:tc>
          <w:tcPr>
            <w:tcW w:w="1049" w:type="dxa"/>
            <w:tcBorders>
              <w:top w:val="single" w:sz="4" w:space="0" w:color="auto"/>
              <w:bottom w:val="single" w:sz="4" w:space="0" w:color="auto"/>
              <w:right w:val="single" w:sz="4" w:space="0" w:color="auto"/>
            </w:tcBorders>
            <w:shd w:val="clear" w:color="auto" w:fill="92CDDC" w:themeFill="accent5" w:themeFillTint="99"/>
            <w:vAlign w:val="center"/>
          </w:tcPr>
          <w:p w14:paraId="3B73BCB7"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24.05%</w:t>
            </w:r>
          </w:p>
        </w:tc>
        <w:tc>
          <w:tcPr>
            <w:tcW w:w="1502" w:type="dxa"/>
            <w:tcBorders>
              <w:top w:val="single" w:sz="4" w:space="0" w:color="auto"/>
              <w:left w:val="single" w:sz="4" w:space="0" w:color="auto"/>
              <w:bottom w:val="single" w:sz="4" w:space="0" w:color="auto"/>
            </w:tcBorders>
            <w:shd w:val="clear" w:color="auto" w:fill="92CDDC" w:themeFill="accent5" w:themeFillTint="99"/>
            <w:vAlign w:val="center"/>
          </w:tcPr>
          <w:p w14:paraId="621B91A5"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13,314</w:t>
            </w:r>
          </w:p>
        </w:tc>
        <w:tc>
          <w:tcPr>
            <w:tcW w:w="936" w:type="dxa"/>
            <w:tcBorders>
              <w:top w:val="single" w:sz="4" w:space="0" w:color="auto"/>
              <w:bottom w:val="single" w:sz="4" w:space="0" w:color="auto"/>
              <w:right w:val="single" w:sz="4" w:space="0" w:color="auto"/>
            </w:tcBorders>
            <w:shd w:val="clear" w:color="auto" w:fill="92CDDC" w:themeFill="accent5" w:themeFillTint="99"/>
            <w:vAlign w:val="center"/>
          </w:tcPr>
          <w:p w14:paraId="56AF46A0"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15.23%</w:t>
            </w:r>
          </w:p>
        </w:tc>
        <w:tc>
          <w:tcPr>
            <w:tcW w:w="1474" w:type="dxa"/>
            <w:tcBorders>
              <w:top w:val="single" w:sz="4" w:space="0" w:color="auto"/>
              <w:left w:val="single" w:sz="4" w:space="0" w:color="auto"/>
              <w:bottom w:val="single" w:sz="4" w:space="0" w:color="auto"/>
            </w:tcBorders>
            <w:shd w:val="clear" w:color="auto" w:fill="92CDDC" w:themeFill="accent5" w:themeFillTint="99"/>
            <w:vAlign w:val="center"/>
          </w:tcPr>
          <w:p w14:paraId="1D35403E"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7,711</w:t>
            </w:r>
          </w:p>
        </w:tc>
        <w:tc>
          <w:tcPr>
            <w:tcW w:w="964" w:type="dxa"/>
            <w:tcBorders>
              <w:top w:val="single" w:sz="4" w:space="0" w:color="auto"/>
              <w:bottom w:val="single" w:sz="4" w:space="0" w:color="auto"/>
              <w:right w:val="single" w:sz="4" w:space="0" w:color="auto"/>
            </w:tcBorders>
            <w:shd w:val="clear" w:color="auto" w:fill="92CDDC" w:themeFill="accent5" w:themeFillTint="99"/>
            <w:vAlign w:val="center"/>
          </w:tcPr>
          <w:p w14:paraId="1EEE5561"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8.82%</w:t>
            </w:r>
          </w:p>
        </w:tc>
        <w:tc>
          <w:tcPr>
            <w:tcW w:w="1219" w:type="dxa"/>
            <w:tcBorders>
              <w:top w:val="single" w:sz="4" w:space="0" w:color="auto"/>
              <w:left w:val="single" w:sz="4" w:space="0" w:color="auto"/>
              <w:bottom w:val="single" w:sz="4" w:space="0" w:color="auto"/>
            </w:tcBorders>
            <w:shd w:val="clear" w:color="auto" w:fill="92CDDC" w:themeFill="accent5" w:themeFillTint="99"/>
            <w:vAlign w:val="center"/>
          </w:tcPr>
          <w:p w14:paraId="384E2F53"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87,439</w:t>
            </w:r>
          </w:p>
        </w:tc>
        <w:tc>
          <w:tcPr>
            <w:tcW w:w="1219" w:type="dxa"/>
            <w:tcBorders>
              <w:top w:val="single" w:sz="4" w:space="0" w:color="auto"/>
              <w:bottom w:val="single" w:sz="4" w:space="0" w:color="auto"/>
              <w:right w:val="single" w:sz="4" w:space="0" w:color="auto"/>
            </w:tcBorders>
            <w:shd w:val="clear" w:color="auto" w:fill="92CDDC" w:themeFill="accent5" w:themeFillTint="99"/>
            <w:vAlign w:val="center"/>
          </w:tcPr>
          <w:p w14:paraId="2A7A48C3" w14:textId="77777777" w:rsidR="00790280" w:rsidRPr="00790280" w:rsidRDefault="00790280"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790280">
              <w:rPr>
                <w:b/>
                <w:bCs/>
                <w:color w:val="auto"/>
                <w:sz w:val="20"/>
                <w:szCs w:val="20"/>
              </w:rPr>
              <w:t> </w:t>
            </w:r>
          </w:p>
        </w:tc>
      </w:tr>
    </w:tbl>
    <w:p w14:paraId="0FCD67D4" w14:textId="77777777" w:rsidR="00981A1C" w:rsidRDefault="00981A1C" w:rsidP="00103D60">
      <w:pPr>
        <w:spacing w:after="200" w:line="276" w:lineRule="auto"/>
      </w:pPr>
      <w:r>
        <w:br w:type="page"/>
      </w:r>
    </w:p>
    <w:p w14:paraId="5614E5D0" w14:textId="77777777" w:rsidR="00441F98" w:rsidRDefault="00441F98" w:rsidP="0095311F">
      <w:pPr>
        <w:pStyle w:val="Figureheading"/>
      </w:pPr>
      <w:bookmarkStart w:id="89" w:name="_Toc382206772"/>
      <w:r>
        <w:lastRenderedPageBreak/>
        <w:t>2.4</w:t>
      </w:r>
      <w:r>
        <w:tab/>
        <w:t>Number of reports of physical abuse, by year, reporter</w:t>
      </w:r>
      <w:bookmarkEnd w:id="89"/>
      <w:r>
        <w:t xml:space="preserve"> group, and outcome</w:t>
      </w:r>
    </w:p>
    <w:tbl>
      <w:tblPr>
        <w:tblStyle w:val="LightShading-Accent4"/>
        <w:tblW w:w="14425" w:type="dxa"/>
        <w:tblLayout w:type="fixed"/>
        <w:tblLook w:val="04A0" w:firstRow="1" w:lastRow="0" w:firstColumn="1" w:lastColumn="0" w:noHBand="0" w:noVBand="1"/>
        <w:tblCaption w:val="Number of reports of physical abuse, by year, reporter group, and outcome"/>
      </w:tblPr>
      <w:tblGrid>
        <w:gridCol w:w="1968"/>
        <w:gridCol w:w="1245"/>
        <w:gridCol w:w="1246"/>
        <w:gridCol w:w="1246"/>
        <w:gridCol w:w="1245"/>
        <w:gridCol w:w="1380"/>
        <w:gridCol w:w="1112"/>
        <w:gridCol w:w="1581"/>
        <w:gridCol w:w="910"/>
        <w:gridCol w:w="1246"/>
        <w:gridCol w:w="1246"/>
      </w:tblGrid>
      <w:tr w:rsidR="00441F98" w:rsidRPr="000A26F2" w14:paraId="5FC0A95B" w14:textId="77777777" w:rsidTr="001143BB">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7AC1466F" w14:textId="77777777" w:rsidR="00441F98" w:rsidRPr="000A26F2" w:rsidRDefault="00441F98" w:rsidP="00CE2FDF">
            <w:pPr>
              <w:tabs>
                <w:tab w:val="left" w:pos="1134"/>
              </w:tabs>
              <w:spacing w:before="0" w:line="276" w:lineRule="auto"/>
              <w:jc w:val="center"/>
              <w:rPr>
                <w:rFonts w:eastAsia="Times New Roman" w:cs="Arial"/>
                <w:color w:val="auto"/>
                <w:sz w:val="20"/>
                <w:szCs w:val="20"/>
                <w:lang w:eastAsia="en-AU"/>
              </w:rPr>
            </w:pP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3B8036A" w14:textId="77777777" w:rsidR="00441F98" w:rsidRPr="000A26F2" w:rsidRDefault="00441F9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Not investigated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2567D359" w14:textId="77777777" w:rsidR="00441F98" w:rsidRPr="000A26F2" w:rsidRDefault="00441F9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Investigated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1B23CF02" w14:textId="77777777" w:rsidR="00441F98" w:rsidRPr="000A26F2" w:rsidRDefault="00441F9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Substantiated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7C932C1" w14:textId="77777777" w:rsidR="00441F98" w:rsidRPr="000A26F2" w:rsidRDefault="00441F9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0A26F2">
              <w:rPr>
                <w:rFonts w:eastAsia="Times New Roman" w:cs="Arial"/>
                <w:color w:val="auto"/>
                <w:sz w:val="20"/>
                <w:szCs w:val="20"/>
                <w:lang w:eastAsia="en-AU"/>
              </w:rPr>
              <w:t>Not substantiated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CACE458" w14:textId="77777777" w:rsidR="00441F98" w:rsidRPr="000A26F2" w:rsidRDefault="00441F9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Total</w:t>
            </w:r>
          </w:p>
        </w:tc>
      </w:tr>
      <w:tr w:rsidR="002418F8" w:rsidRPr="000A26F2" w14:paraId="2A5B1CA2"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right w:val="single" w:sz="4" w:space="0" w:color="auto"/>
            </w:tcBorders>
            <w:noWrap/>
            <w:hideMark/>
          </w:tcPr>
          <w:p w14:paraId="7D2DFA65" w14:textId="77777777" w:rsidR="000A26F2" w:rsidRPr="000A26F2" w:rsidRDefault="000A26F2" w:rsidP="00CE2FDF">
            <w:pPr>
              <w:tabs>
                <w:tab w:val="left" w:pos="1134"/>
              </w:tabs>
              <w:spacing w:before="0" w:line="276" w:lineRule="auto"/>
              <w:rPr>
                <w:rFonts w:eastAsia="Times New Roman" w:cs="Arial"/>
                <w:bCs w:val="0"/>
                <w:color w:val="auto"/>
                <w:sz w:val="20"/>
                <w:szCs w:val="20"/>
                <w:lang w:eastAsia="en-AU"/>
              </w:rPr>
            </w:pPr>
            <w:r w:rsidRPr="000A26F2">
              <w:rPr>
                <w:rFonts w:eastAsia="Times New Roman" w:cs="Arial"/>
                <w:color w:val="auto"/>
                <w:sz w:val="20"/>
                <w:szCs w:val="20"/>
                <w:lang w:eastAsia="en-AU"/>
              </w:rPr>
              <w:t>2003</w:t>
            </w:r>
          </w:p>
        </w:tc>
        <w:tc>
          <w:tcPr>
            <w:tcW w:w="1245" w:type="dxa"/>
            <w:tcBorders>
              <w:top w:val="single" w:sz="4" w:space="0" w:color="auto"/>
              <w:left w:val="single" w:sz="4" w:space="0" w:color="auto"/>
            </w:tcBorders>
            <w:noWrap/>
            <w:hideMark/>
          </w:tcPr>
          <w:p w14:paraId="67EBFBEF"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246" w:type="dxa"/>
            <w:tcBorders>
              <w:top w:val="single" w:sz="4" w:space="0" w:color="auto"/>
              <w:right w:val="single" w:sz="4" w:space="0" w:color="auto"/>
            </w:tcBorders>
          </w:tcPr>
          <w:p w14:paraId="632CFAC8"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246" w:type="dxa"/>
            <w:tcBorders>
              <w:top w:val="single" w:sz="4" w:space="0" w:color="auto"/>
              <w:left w:val="single" w:sz="4" w:space="0" w:color="auto"/>
            </w:tcBorders>
            <w:noWrap/>
            <w:hideMark/>
          </w:tcPr>
          <w:p w14:paraId="4F9DA744"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245" w:type="dxa"/>
            <w:tcBorders>
              <w:top w:val="single" w:sz="4" w:space="0" w:color="auto"/>
              <w:right w:val="single" w:sz="4" w:space="0" w:color="auto"/>
            </w:tcBorders>
          </w:tcPr>
          <w:p w14:paraId="6E26C905"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380" w:type="dxa"/>
            <w:tcBorders>
              <w:top w:val="single" w:sz="4" w:space="0" w:color="auto"/>
              <w:left w:val="single" w:sz="4" w:space="0" w:color="auto"/>
            </w:tcBorders>
            <w:noWrap/>
            <w:hideMark/>
          </w:tcPr>
          <w:p w14:paraId="60FAC58B"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112" w:type="dxa"/>
            <w:tcBorders>
              <w:top w:val="single" w:sz="4" w:space="0" w:color="auto"/>
              <w:right w:val="single" w:sz="4" w:space="0" w:color="auto"/>
            </w:tcBorders>
          </w:tcPr>
          <w:p w14:paraId="0F7941BC"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581" w:type="dxa"/>
            <w:tcBorders>
              <w:top w:val="single" w:sz="4" w:space="0" w:color="auto"/>
              <w:left w:val="single" w:sz="4" w:space="0" w:color="auto"/>
            </w:tcBorders>
            <w:noWrap/>
            <w:hideMark/>
          </w:tcPr>
          <w:p w14:paraId="39DB93C7"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910" w:type="dxa"/>
            <w:tcBorders>
              <w:top w:val="single" w:sz="4" w:space="0" w:color="auto"/>
              <w:right w:val="single" w:sz="4" w:space="0" w:color="auto"/>
            </w:tcBorders>
          </w:tcPr>
          <w:p w14:paraId="37C101E6"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246" w:type="dxa"/>
            <w:tcBorders>
              <w:top w:val="single" w:sz="4" w:space="0" w:color="auto"/>
              <w:left w:val="single" w:sz="4" w:space="0" w:color="auto"/>
            </w:tcBorders>
          </w:tcPr>
          <w:p w14:paraId="0272AEC6"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246" w:type="dxa"/>
            <w:tcBorders>
              <w:top w:val="single" w:sz="4" w:space="0" w:color="auto"/>
              <w:right w:val="single" w:sz="4" w:space="0" w:color="auto"/>
            </w:tcBorders>
          </w:tcPr>
          <w:p w14:paraId="04A789B8" w14:textId="77777777" w:rsidR="000A26F2" w:rsidRPr="000A26F2" w:rsidRDefault="000A26F2"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r>
      <w:tr w:rsidR="00441F98" w:rsidRPr="000A26F2" w14:paraId="3DC3FE82"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04663396"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left w:val="single" w:sz="4" w:space="0" w:color="auto"/>
            </w:tcBorders>
            <w:noWrap/>
            <w:vAlign w:val="center"/>
            <w:hideMark/>
          </w:tcPr>
          <w:p w14:paraId="5FD5A35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178</w:t>
            </w:r>
          </w:p>
        </w:tc>
        <w:tc>
          <w:tcPr>
            <w:tcW w:w="1246" w:type="dxa"/>
            <w:tcBorders>
              <w:right w:val="single" w:sz="4" w:space="0" w:color="auto"/>
            </w:tcBorders>
            <w:vAlign w:val="center"/>
          </w:tcPr>
          <w:p w14:paraId="21E76E3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1.97%</w:t>
            </w:r>
          </w:p>
        </w:tc>
        <w:tc>
          <w:tcPr>
            <w:tcW w:w="1246" w:type="dxa"/>
            <w:tcBorders>
              <w:left w:val="single" w:sz="4" w:space="0" w:color="auto"/>
            </w:tcBorders>
            <w:noWrap/>
            <w:vAlign w:val="center"/>
            <w:hideMark/>
          </w:tcPr>
          <w:p w14:paraId="467C526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204</w:t>
            </w:r>
          </w:p>
        </w:tc>
        <w:tc>
          <w:tcPr>
            <w:tcW w:w="1245" w:type="dxa"/>
            <w:tcBorders>
              <w:right w:val="single" w:sz="4" w:space="0" w:color="auto"/>
            </w:tcBorders>
            <w:vAlign w:val="center"/>
          </w:tcPr>
          <w:p w14:paraId="2A712CA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2.25%</w:t>
            </w:r>
          </w:p>
        </w:tc>
        <w:tc>
          <w:tcPr>
            <w:tcW w:w="1380" w:type="dxa"/>
            <w:tcBorders>
              <w:left w:val="single" w:sz="4" w:space="0" w:color="auto"/>
            </w:tcBorders>
            <w:noWrap/>
            <w:vAlign w:val="center"/>
            <w:hideMark/>
          </w:tcPr>
          <w:p w14:paraId="52C9EAB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115</w:t>
            </w:r>
          </w:p>
        </w:tc>
        <w:tc>
          <w:tcPr>
            <w:tcW w:w="1112" w:type="dxa"/>
            <w:tcBorders>
              <w:right w:val="single" w:sz="4" w:space="0" w:color="auto"/>
            </w:tcBorders>
            <w:vAlign w:val="center"/>
          </w:tcPr>
          <w:p w14:paraId="273E3A3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1.27%</w:t>
            </w:r>
          </w:p>
        </w:tc>
        <w:tc>
          <w:tcPr>
            <w:tcW w:w="1581" w:type="dxa"/>
            <w:tcBorders>
              <w:left w:val="single" w:sz="4" w:space="0" w:color="auto"/>
              <w:right w:val="nil"/>
            </w:tcBorders>
            <w:noWrap/>
            <w:vAlign w:val="center"/>
            <w:hideMark/>
          </w:tcPr>
          <w:p w14:paraId="194CDBC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89</w:t>
            </w:r>
          </w:p>
        </w:tc>
        <w:tc>
          <w:tcPr>
            <w:tcW w:w="910" w:type="dxa"/>
            <w:tcBorders>
              <w:left w:val="nil"/>
              <w:right w:val="single" w:sz="4" w:space="0" w:color="auto"/>
            </w:tcBorders>
            <w:vAlign w:val="center"/>
          </w:tcPr>
          <w:p w14:paraId="34981BD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0.98%</w:t>
            </w:r>
          </w:p>
        </w:tc>
        <w:tc>
          <w:tcPr>
            <w:tcW w:w="1246" w:type="dxa"/>
            <w:tcBorders>
              <w:left w:val="single" w:sz="4" w:space="0" w:color="auto"/>
              <w:right w:val="nil"/>
            </w:tcBorders>
            <w:vAlign w:val="center"/>
          </w:tcPr>
          <w:p w14:paraId="4A6FCF1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382</w:t>
            </w:r>
          </w:p>
        </w:tc>
        <w:tc>
          <w:tcPr>
            <w:tcW w:w="1246" w:type="dxa"/>
            <w:tcBorders>
              <w:left w:val="nil"/>
              <w:right w:val="single" w:sz="4" w:space="0" w:color="auto"/>
            </w:tcBorders>
            <w:vAlign w:val="center"/>
          </w:tcPr>
          <w:p w14:paraId="3E682E4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4.22%</w:t>
            </w:r>
          </w:p>
        </w:tc>
      </w:tr>
      <w:tr w:rsidR="00441F98" w:rsidRPr="000A26F2" w14:paraId="6CDC4C05"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3079B38"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75DA6C9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141</w:t>
            </w:r>
          </w:p>
        </w:tc>
        <w:tc>
          <w:tcPr>
            <w:tcW w:w="1246" w:type="dxa"/>
            <w:tcBorders>
              <w:right w:val="single" w:sz="4" w:space="0" w:color="auto"/>
            </w:tcBorders>
            <w:vAlign w:val="center"/>
          </w:tcPr>
          <w:p w14:paraId="5784AE0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1.56%</w:t>
            </w:r>
          </w:p>
        </w:tc>
        <w:tc>
          <w:tcPr>
            <w:tcW w:w="1246" w:type="dxa"/>
            <w:tcBorders>
              <w:left w:val="single" w:sz="4" w:space="0" w:color="auto"/>
            </w:tcBorders>
            <w:noWrap/>
            <w:vAlign w:val="center"/>
            <w:hideMark/>
          </w:tcPr>
          <w:p w14:paraId="18142B6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123</w:t>
            </w:r>
          </w:p>
        </w:tc>
        <w:tc>
          <w:tcPr>
            <w:tcW w:w="1245" w:type="dxa"/>
            <w:tcBorders>
              <w:right w:val="single" w:sz="4" w:space="0" w:color="auto"/>
            </w:tcBorders>
            <w:vAlign w:val="center"/>
          </w:tcPr>
          <w:p w14:paraId="58D24D2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1.36%</w:t>
            </w:r>
          </w:p>
        </w:tc>
        <w:tc>
          <w:tcPr>
            <w:tcW w:w="1380" w:type="dxa"/>
            <w:tcBorders>
              <w:left w:val="single" w:sz="4" w:space="0" w:color="auto"/>
            </w:tcBorders>
            <w:noWrap/>
            <w:vAlign w:val="center"/>
            <w:hideMark/>
          </w:tcPr>
          <w:p w14:paraId="16E7EF7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77</w:t>
            </w:r>
          </w:p>
        </w:tc>
        <w:tc>
          <w:tcPr>
            <w:tcW w:w="1112" w:type="dxa"/>
            <w:tcBorders>
              <w:right w:val="single" w:sz="4" w:space="0" w:color="auto"/>
            </w:tcBorders>
            <w:vAlign w:val="center"/>
          </w:tcPr>
          <w:p w14:paraId="5AD9CD6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0.85%</w:t>
            </w:r>
          </w:p>
        </w:tc>
        <w:tc>
          <w:tcPr>
            <w:tcW w:w="1581" w:type="dxa"/>
            <w:tcBorders>
              <w:left w:val="single" w:sz="4" w:space="0" w:color="auto"/>
            </w:tcBorders>
            <w:noWrap/>
            <w:vAlign w:val="center"/>
            <w:hideMark/>
          </w:tcPr>
          <w:p w14:paraId="70AA560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46</w:t>
            </w:r>
          </w:p>
        </w:tc>
        <w:tc>
          <w:tcPr>
            <w:tcW w:w="910" w:type="dxa"/>
            <w:tcBorders>
              <w:right w:val="single" w:sz="4" w:space="0" w:color="auto"/>
            </w:tcBorders>
            <w:vAlign w:val="center"/>
          </w:tcPr>
          <w:p w14:paraId="51B2B09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0.51%</w:t>
            </w:r>
          </w:p>
        </w:tc>
        <w:tc>
          <w:tcPr>
            <w:tcW w:w="1246" w:type="dxa"/>
            <w:tcBorders>
              <w:left w:val="single" w:sz="4" w:space="0" w:color="auto"/>
            </w:tcBorders>
            <w:vAlign w:val="center"/>
          </w:tcPr>
          <w:p w14:paraId="4F2E7D3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264</w:t>
            </w:r>
          </w:p>
        </w:tc>
        <w:tc>
          <w:tcPr>
            <w:tcW w:w="1246" w:type="dxa"/>
            <w:tcBorders>
              <w:right w:val="single" w:sz="4" w:space="0" w:color="auto"/>
            </w:tcBorders>
            <w:vAlign w:val="center"/>
          </w:tcPr>
          <w:p w14:paraId="4587267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2.92%</w:t>
            </w:r>
          </w:p>
        </w:tc>
      </w:tr>
      <w:tr w:rsidR="00441F98" w:rsidRPr="000A26F2" w14:paraId="10804C4A"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5A5D4803"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47A0800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629</w:t>
            </w:r>
          </w:p>
        </w:tc>
        <w:tc>
          <w:tcPr>
            <w:tcW w:w="1246" w:type="dxa"/>
            <w:tcBorders>
              <w:right w:val="single" w:sz="4" w:space="0" w:color="auto"/>
            </w:tcBorders>
            <w:vAlign w:val="center"/>
          </w:tcPr>
          <w:p w14:paraId="735C0CF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6.95%</w:t>
            </w:r>
          </w:p>
        </w:tc>
        <w:tc>
          <w:tcPr>
            <w:tcW w:w="1246" w:type="dxa"/>
            <w:tcBorders>
              <w:left w:val="single" w:sz="4" w:space="0" w:color="auto"/>
            </w:tcBorders>
            <w:noWrap/>
            <w:vAlign w:val="center"/>
            <w:hideMark/>
          </w:tcPr>
          <w:p w14:paraId="2D6B499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528</w:t>
            </w:r>
          </w:p>
        </w:tc>
        <w:tc>
          <w:tcPr>
            <w:tcW w:w="1245" w:type="dxa"/>
            <w:tcBorders>
              <w:right w:val="single" w:sz="4" w:space="0" w:color="auto"/>
            </w:tcBorders>
            <w:vAlign w:val="center"/>
          </w:tcPr>
          <w:p w14:paraId="07F1D25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5.84%</w:t>
            </w:r>
          </w:p>
        </w:tc>
        <w:tc>
          <w:tcPr>
            <w:tcW w:w="1380" w:type="dxa"/>
            <w:tcBorders>
              <w:left w:val="single" w:sz="4" w:space="0" w:color="auto"/>
            </w:tcBorders>
            <w:noWrap/>
            <w:vAlign w:val="center"/>
            <w:hideMark/>
          </w:tcPr>
          <w:p w14:paraId="631EE97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363</w:t>
            </w:r>
          </w:p>
        </w:tc>
        <w:tc>
          <w:tcPr>
            <w:tcW w:w="1112" w:type="dxa"/>
            <w:tcBorders>
              <w:right w:val="single" w:sz="4" w:space="0" w:color="auto"/>
            </w:tcBorders>
            <w:vAlign w:val="center"/>
          </w:tcPr>
          <w:p w14:paraId="33F0156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4.01%</w:t>
            </w:r>
          </w:p>
        </w:tc>
        <w:tc>
          <w:tcPr>
            <w:tcW w:w="1581" w:type="dxa"/>
            <w:tcBorders>
              <w:left w:val="single" w:sz="4" w:space="0" w:color="auto"/>
              <w:right w:val="nil"/>
            </w:tcBorders>
            <w:noWrap/>
            <w:vAlign w:val="center"/>
            <w:hideMark/>
          </w:tcPr>
          <w:p w14:paraId="1C713A8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165</w:t>
            </w:r>
          </w:p>
        </w:tc>
        <w:tc>
          <w:tcPr>
            <w:tcW w:w="910" w:type="dxa"/>
            <w:tcBorders>
              <w:left w:val="nil"/>
              <w:right w:val="single" w:sz="4" w:space="0" w:color="auto"/>
            </w:tcBorders>
            <w:vAlign w:val="center"/>
          </w:tcPr>
          <w:p w14:paraId="3EE006E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1.82%</w:t>
            </w:r>
          </w:p>
        </w:tc>
        <w:tc>
          <w:tcPr>
            <w:tcW w:w="1246" w:type="dxa"/>
            <w:tcBorders>
              <w:left w:val="single" w:sz="4" w:space="0" w:color="auto"/>
              <w:right w:val="nil"/>
            </w:tcBorders>
            <w:vAlign w:val="center"/>
          </w:tcPr>
          <w:p w14:paraId="33763B1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1,157</w:t>
            </w:r>
          </w:p>
        </w:tc>
        <w:tc>
          <w:tcPr>
            <w:tcW w:w="1246" w:type="dxa"/>
            <w:tcBorders>
              <w:left w:val="nil"/>
              <w:right w:val="single" w:sz="4" w:space="0" w:color="auto"/>
            </w:tcBorders>
            <w:vAlign w:val="center"/>
          </w:tcPr>
          <w:p w14:paraId="59C5B36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12.79%</w:t>
            </w:r>
          </w:p>
        </w:tc>
      </w:tr>
      <w:tr w:rsidR="00441F98" w:rsidRPr="000A26F2" w14:paraId="615A0266"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4FB6C81"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5C7E5E7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801</w:t>
            </w:r>
          </w:p>
        </w:tc>
        <w:tc>
          <w:tcPr>
            <w:tcW w:w="1246" w:type="dxa"/>
            <w:tcBorders>
              <w:right w:val="single" w:sz="4" w:space="0" w:color="auto"/>
            </w:tcBorders>
            <w:vAlign w:val="center"/>
          </w:tcPr>
          <w:p w14:paraId="76FBC22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8.85%</w:t>
            </w:r>
          </w:p>
        </w:tc>
        <w:tc>
          <w:tcPr>
            <w:tcW w:w="1246" w:type="dxa"/>
            <w:tcBorders>
              <w:left w:val="single" w:sz="4" w:space="0" w:color="auto"/>
            </w:tcBorders>
            <w:noWrap/>
            <w:vAlign w:val="center"/>
            <w:hideMark/>
          </w:tcPr>
          <w:p w14:paraId="3353CC0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729</w:t>
            </w:r>
          </w:p>
        </w:tc>
        <w:tc>
          <w:tcPr>
            <w:tcW w:w="1245" w:type="dxa"/>
            <w:tcBorders>
              <w:right w:val="single" w:sz="4" w:space="0" w:color="auto"/>
            </w:tcBorders>
            <w:vAlign w:val="center"/>
          </w:tcPr>
          <w:p w14:paraId="30C6E03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8.06%</w:t>
            </w:r>
          </w:p>
        </w:tc>
        <w:tc>
          <w:tcPr>
            <w:tcW w:w="1380" w:type="dxa"/>
            <w:tcBorders>
              <w:left w:val="single" w:sz="4" w:space="0" w:color="auto"/>
            </w:tcBorders>
            <w:noWrap/>
            <w:vAlign w:val="center"/>
            <w:hideMark/>
          </w:tcPr>
          <w:p w14:paraId="5894763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395</w:t>
            </w:r>
          </w:p>
        </w:tc>
        <w:tc>
          <w:tcPr>
            <w:tcW w:w="1112" w:type="dxa"/>
            <w:tcBorders>
              <w:right w:val="single" w:sz="4" w:space="0" w:color="auto"/>
            </w:tcBorders>
            <w:vAlign w:val="center"/>
          </w:tcPr>
          <w:p w14:paraId="528927A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4.37%</w:t>
            </w:r>
          </w:p>
        </w:tc>
        <w:tc>
          <w:tcPr>
            <w:tcW w:w="1581" w:type="dxa"/>
            <w:tcBorders>
              <w:left w:val="single" w:sz="4" w:space="0" w:color="auto"/>
            </w:tcBorders>
            <w:noWrap/>
            <w:vAlign w:val="center"/>
            <w:hideMark/>
          </w:tcPr>
          <w:p w14:paraId="72C3FB0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334</w:t>
            </w:r>
          </w:p>
        </w:tc>
        <w:tc>
          <w:tcPr>
            <w:tcW w:w="910" w:type="dxa"/>
            <w:tcBorders>
              <w:right w:val="single" w:sz="4" w:space="0" w:color="auto"/>
            </w:tcBorders>
            <w:vAlign w:val="center"/>
          </w:tcPr>
          <w:p w14:paraId="63830E7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3.69%</w:t>
            </w:r>
          </w:p>
        </w:tc>
        <w:tc>
          <w:tcPr>
            <w:tcW w:w="1246" w:type="dxa"/>
            <w:tcBorders>
              <w:left w:val="single" w:sz="4" w:space="0" w:color="auto"/>
            </w:tcBorders>
            <w:vAlign w:val="center"/>
          </w:tcPr>
          <w:p w14:paraId="35CDF47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1,530</w:t>
            </w:r>
          </w:p>
        </w:tc>
        <w:tc>
          <w:tcPr>
            <w:tcW w:w="1246" w:type="dxa"/>
            <w:tcBorders>
              <w:right w:val="single" w:sz="4" w:space="0" w:color="auto"/>
            </w:tcBorders>
            <w:vAlign w:val="center"/>
          </w:tcPr>
          <w:p w14:paraId="39287D4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16.91%</w:t>
            </w:r>
          </w:p>
        </w:tc>
      </w:tr>
      <w:tr w:rsidR="00441F98" w:rsidRPr="000A26F2" w14:paraId="2D5725DE"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551AF073"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05874D1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w:t>
            </w:r>
          </w:p>
        </w:tc>
        <w:tc>
          <w:tcPr>
            <w:tcW w:w="1246" w:type="dxa"/>
            <w:tcBorders>
              <w:right w:val="single" w:sz="4" w:space="0" w:color="auto"/>
            </w:tcBorders>
            <w:vAlign w:val="center"/>
          </w:tcPr>
          <w:p w14:paraId="32A6032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0.18%</w:t>
            </w:r>
          </w:p>
        </w:tc>
        <w:tc>
          <w:tcPr>
            <w:tcW w:w="1246" w:type="dxa"/>
            <w:tcBorders>
              <w:left w:val="single" w:sz="4" w:space="0" w:color="auto"/>
            </w:tcBorders>
            <w:noWrap/>
            <w:vAlign w:val="center"/>
            <w:hideMark/>
          </w:tcPr>
          <w:p w14:paraId="25D338F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w:t>
            </w:r>
          </w:p>
        </w:tc>
        <w:tc>
          <w:tcPr>
            <w:tcW w:w="1245" w:type="dxa"/>
            <w:tcBorders>
              <w:right w:val="single" w:sz="4" w:space="0" w:color="auto"/>
            </w:tcBorders>
            <w:vAlign w:val="center"/>
          </w:tcPr>
          <w:p w14:paraId="333E5BF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0.08%</w:t>
            </w:r>
          </w:p>
        </w:tc>
        <w:tc>
          <w:tcPr>
            <w:tcW w:w="1380" w:type="dxa"/>
            <w:tcBorders>
              <w:left w:val="single" w:sz="4" w:space="0" w:color="auto"/>
            </w:tcBorders>
            <w:noWrap/>
            <w:vAlign w:val="center"/>
            <w:hideMark/>
          </w:tcPr>
          <w:p w14:paraId="7A5AD79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w:t>
            </w:r>
          </w:p>
        </w:tc>
        <w:tc>
          <w:tcPr>
            <w:tcW w:w="1112" w:type="dxa"/>
            <w:tcBorders>
              <w:right w:val="single" w:sz="4" w:space="0" w:color="auto"/>
            </w:tcBorders>
            <w:vAlign w:val="center"/>
          </w:tcPr>
          <w:p w14:paraId="0A0D92E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0.04%</w:t>
            </w:r>
          </w:p>
        </w:tc>
        <w:tc>
          <w:tcPr>
            <w:tcW w:w="1581" w:type="dxa"/>
            <w:tcBorders>
              <w:left w:val="single" w:sz="4" w:space="0" w:color="auto"/>
              <w:right w:val="nil"/>
            </w:tcBorders>
            <w:noWrap/>
            <w:vAlign w:val="center"/>
            <w:hideMark/>
          </w:tcPr>
          <w:p w14:paraId="45CA444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w:t>
            </w:r>
          </w:p>
        </w:tc>
        <w:tc>
          <w:tcPr>
            <w:tcW w:w="910" w:type="dxa"/>
            <w:tcBorders>
              <w:left w:val="nil"/>
              <w:right w:val="single" w:sz="4" w:space="0" w:color="auto"/>
            </w:tcBorders>
            <w:vAlign w:val="center"/>
          </w:tcPr>
          <w:p w14:paraId="7BA9F16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0.03%</w:t>
            </w:r>
          </w:p>
        </w:tc>
        <w:tc>
          <w:tcPr>
            <w:tcW w:w="1246" w:type="dxa"/>
            <w:tcBorders>
              <w:left w:val="single" w:sz="4" w:space="0" w:color="auto"/>
              <w:right w:val="nil"/>
            </w:tcBorders>
            <w:vAlign w:val="center"/>
          </w:tcPr>
          <w:p w14:paraId="419F745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23</w:t>
            </w:r>
          </w:p>
        </w:tc>
        <w:tc>
          <w:tcPr>
            <w:tcW w:w="1246" w:type="dxa"/>
            <w:tcBorders>
              <w:left w:val="nil"/>
              <w:right w:val="single" w:sz="4" w:space="0" w:color="auto"/>
            </w:tcBorders>
            <w:vAlign w:val="center"/>
          </w:tcPr>
          <w:p w14:paraId="1D3FA2D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0.25%</w:t>
            </w:r>
          </w:p>
        </w:tc>
      </w:tr>
      <w:tr w:rsidR="00441F98" w:rsidRPr="000A26F2" w14:paraId="4E1DD3A1"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0354709F"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5971355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1,765</w:t>
            </w:r>
          </w:p>
        </w:tc>
        <w:tc>
          <w:tcPr>
            <w:tcW w:w="1246" w:type="dxa"/>
            <w:tcBorders>
              <w:right w:val="single" w:sz="4" w:space="0" w:color="auto"/>
            </w:tcBorders>
            <w:vAlign w:val="center"/>
          </w:tcPr>
          <w:p w14:paraId="6719141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19.51%</w:t>
            </w:r>
          </w:p>
        </w:tc>
        <w:tc>
          <w:tcPr>
            <w:tcW w:w="1246" w:type="dxa"/>
            <w:tcBorders>
              <w:left w:val="single" w:sz="4" w:space="0" w:color="auto"/>
            </w:tcBorders>
            <w:noWrap/>
            <w:vAlign w:val="center"/>
            <w:hideMark/>
          </w:tcPr>
          <w:p w14:paraId="4823B48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1,591</w:t>
            </w:r>
          </w:p>
        </w:tc>
        <w:tc>
          <w:tcPr>
            <w:tcW w:w="1245" w:type="dxa"/>
            <w:tcBorders>
              <w:right w:val="single" w:sz="4" w:space="0" w:color="auto"/>
            </w:tcBorders>
            <w:vAlign w:val="center"/>
          </w:tcPr>
          <w:p w14:paraId="1CD09B0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17.58%</w:t>
            </w:r>
          </w:p>
        </w:tc>
        <w:tc>
          <w:tcPr>
            <w:tcW w:w="1380" w:type="dxa"/>
            <w:tcBorders>
              <w:left w:val="single" w:sz="4" w:space="0" w:color="auto"/>
            </w:tcBorders>
            <w:noWrap/>
            <w:vAlign w:val="center"/>
            <w:hideMark/>
          </w:tcPr>
          <w:p w14:paraId="09D7E6B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954</w:t>
            </w:r>
          </w:p>
        </w:tc>
        <w:tc>
          <w:tcPr>
            <w:tcW w:w="1112" w:type="dxa"/>
            <w:tcBorders>
              <w:right w:val="single" w:sz="4" w:space="0" w:color="auto"/>
            </w:tcBorders>
            <w:vAlign w:val="center"/>
          </w:tcPr>
          <w:p w14:paraId="3ABA8A1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10.54%</w:t>
            </w:r>
          </w:p>
        </w:tc>
        <w:tc>
          <w:tcPr>
            <w:tcW w:w="1581" w:type="dxa"/>
            <w:tcBorders>
              <w:left w:val="single" w:sz="4" w:space="0" w:color="auto"/>
            </w:tcBorders>
            <w:noWrap/>
            <w:vAlign w:val="center"/>
            <w:hideMark/>
          </w:tcPr>
          <w:p w14:paraId="214F7FA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637</w:t>
            </w:r>
          </w:p>
        </w:tc>
        <w:tc>
          <w:tcPr>
            <w:tcW w:w="910" w:type="dxa"/>
            <w:tcBorders>
              <w:right w:val="single" w:sz="4" w:space="0" w:color="auto"/>
            </w:tcBorders>
            <w:vAlign w:val="center"/>
          </w:tcPr>
          <w:p w14:paraId="01DFE19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7.04%</w:t>
            </w:r>
          </w:p>
        </w:tc>
        <w:tc>
          <w:tcPr>
            <w:tcW w:w="1246" w:type="dxa"/>
            <w:tcBorders>
              <w:left w:val="single" w:sz="4" w:space="0" w:color="auto"/>
            </w:tcBorders>
            <w:vAlign w:val="center"/>
          </w:tcPr>
          <w:p w14:paraId="04DEF84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3,356</w:t>
            </w:r>
          </w:p>
        </w:tc>
        <w:tc>
          <w:tcPr>
            <w:tcW w:w="1246" w:type="dxa"/>
            <w:tcBorders>
              <w:right w:val="single" w:sz="4" w:space="0" w:color="auto"/>
            </w:tcBorders>
            <w:vAlign w:val="center"/>
          </w:tcPr>
          <w:p w14:paraId="78E6ECF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37.09%</w:t>
            </w:r>
          </w:p>
        </w:tc>
      </w:tr>
      <w:tr w:rsidR="00441F98" w:rsidRPr="000A26F2" w14:paraId="3A8DCF38"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694CA79E"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3CC75A5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3,690</w:t>
            </w:r>
          </w:p>
        </w:tc>
        <w:tc>
          <w:tcPr>
            <w:tcW w:w="1246" w:type="dxa"/>
            <w:tcBorders>
              <w:right w:val="single" w:sz="4" w:space="0" w:color="auto"/>
            </w:tcBorders>
            <w:vAlign w:val="center"/>
          </w:tcPr>
          <w:p w14:paraId="46E0FAA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40.78%</w:t>
            </w:r>
          </w:p>
        </w:tc>
        <w:tc>
          <w:tcPr>
            <w:tcW w:w="1246" w:type="dxa"/>
            <w:tcBorders>
              <w:left w:val="single" w:sz="4" w:space="0" w:color="auto"/>
            </w:tcBorders>
            <w:noWrap/>
            <w:vAlign w:val="center"/>
            <w:hideMark/>
          </w:tcPr>
          <w:p w14:paraId="3FFC534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2,002</w:t>
            </w:r>
          </w:p>
        </w:tc>
        <w:tc>
          <w:tcPr>
            <w:tcW w:w="1245" w:type="dxa"/>
            <w:tcBorders>
              <w:right w:val="single" w:sz="4" w:space="0" w:color="auto"/>
            </w:tcBorders>
            <w:vAlign w:val="center"/>
          </w:tcPr>
          <w:p w14:paraId="4E137B4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22.13%</w:t>
            </w:r>
          </w:p>
        </w:tc>
        <w:tc>
          <w:tcPr>
            <w:tcW w:w="1380" w:type="dxa"/>
            <w:tcBorders>
              <w:left w:val="single" w:sz="4" w:space="0" w:color="auto"/>
            </w:tcBorders>
            <w:noWrap/>
            <w:vAlign w:val="center"/>
            <w:hideMark/>
          </w:tcPr>
          <w:p w14:paraId="5C6CF3E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1,122</w:t>
            </w:r>
          </w:p>
        </w:tc>
        <w:tc>
          <w:tcPr>
            <w:tcW w:w="1112" w:type="dxa"/>
            <w:tcBorders>
              <w:right w:val="single" w:sz="4" w:space="0" w:color="auto"/>
            </w:tcBorders>
            <w:vAlign w:val="center"/>
          </w:tcPr>
          <w:p w14:paraId="5AD6166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12.40%</w:t>
            </w:r>
          </w:p>
        </w:tc>
        <w:tc>
          <w:tcPr>
            <w:tcW w:w="1581" w:type="dxa"/>
            <w:tcBorders>
              <w:left w:val="single" w:sz="4" w:space="0" w:color="auto"/>
              <w:right w:val="nil"/>
            </w:tcBorders>
            <w:noWrap/>
            <w:vAlign w:val="center"/>
            <w:hideMark/>
          </w:tcPr>
          <w:p w14:paraId="622712D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880</w:t>
            </w:r>
          </w:p>
        </w:tc>
        <w:tc>
          <w:tcPr>
            <w:tcW w:w="910" w:type="dxa"/>
            <w:tcBorders>
              <w:left w:val="nil"/>
              <w:right w:val="single" w:sz="4" w:space="0" w:color="auto"/>
            </w:tcBorders>
            <w:vAlign w:val="center"/>
          </w:tcPr>
          <w:p w14:paraId="100A814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9.73%</w:t>
            </w:r>
          </w:p>
        </w:tc>
        <w:tc>
          <w:tcPr>
            <w:tcW w:w="1246" w:type="dxa"/>
            <w:tcBorders>
              <w:left w:val="single" w:sz="4" w:space="0" w:color="auto"/>
              <w:right w:val="nil"/>
            </w:tcBorders>
            <w:vAlign w:val="center"/>
          </w:tcPr>
          <w:p w14:paraId="7E0E129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5,692</w:t>
            </w:r>
          </w:p>
        </w:tc>
        <w:tc>
          <w:tcPr>
            <w:tcW w:w="1246" w:type="dxa"/>
            <w:tcBorders>
              <w:left w:val="nil"/>
              <w:right w:val="single" w:sz="4" w:space="0" w:color="auto"/>
            </w:tcBorders>
            <w:vAlign w:val="center"/>
          </w:tcPr>
          <w:p w14:paraId="7CED66C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62.91%</w:t>
            </w:r>
          </w:p>
        </w:tc>
      </w:tr>
      <w:tr w:rsidR="002418F8" w:rsidRPr="000A26F2" w14:paraId="6255AC96"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noWrap/>
            <w:hideMark/>
          </w:tcPr>
          <w:p w14:paraId="6D535DD9"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noWrap/>
            <w:vAlign w:val="center"/>
            <w:hideMark/>
          </w:tcPr>
          <w:p w14:paraId="32444B1D"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5,455</w:t>
            </w:r>
          </w:p>
        </w:tc>
        <w:tc>
          <w:tcPr>
            <w:tcW w:w="1246" w:type="dxa"/>
            <w:tcBorders>
              <w:bottom w:val="single" w:sz="4" w:space="0" w:color="auto"/>
              <w:right w:val="single" w:sz="4" w:space="0" w:color="auto"/>
            </w:tcBorders>
            <w:vAlign w:val="center"/>
          </w:tcPr>
          <w:p w14:paraId="010265FD"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60.29%</w:t>
            </w:r>
          </w:p>
        </w:tc>
        <w:tc>
          <w:tcPr>
            <w:tcW w:w="1246" w:type="dxa"/>
            <w:tcBorders>
              <w:left w:val="single" w:sz="4" w:space="0" w:color="auto"/>
              <w:bottom w:val="single" w:sz="4" w:space="0" w:color="auto"/>
            </w:tcBorders>
            <w:noWrap/>
            <w:vAlign w:val="center"/>
            <w:hideMark/>
          </w:tcPr>
          <w:p w14:paraId="540F5534"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3,593</w:t>
            </w:r>
          </w:p>
        </w:tc>
        <w:tc>
          <w:tcPr>
            <w:tcW w:w="1245" w:type="dxa"/>
            <w:tcBorders>
              <w:bottom w:val="single" w:sz="4" w:space="0" w:color="auto"/>
              <w:right w:val="single" w:sz="4" w:space="0" w:color="auto"/>
            </w:tcBorders>
            <w:vAlign w:val="center"/>
          </w:tcPr>
          <w:p w14:paraId="6B4491DE"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39.71%</w:t>
            </w:r>
          </w:p>
        </w:tc>
        <w:tc>
          <w:tcPr>
            <w:tcW w:w="1380" w:type="dxa"/>
            <w:tcBorders>
              <w:left w:val="single" w:sz="4" w:space="0" w:color="auto"/>
              <w:bottom w:val="single" w:sz="4" w:space="0" w:color="auto"/>
            </w:tcBorders>
            <w:noWrap/>
            <w:vAlign w:val="center"/>
            <w:hideMark/>
          </w:tcPr>
          <w:p w14:paraId="409CDF1E"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2,076</w:t>
            </w:r>
          </w:p>
        </w:tc>
        <w:tc>
          <w:tcPr>
            <w:tcW w:w="1112" w:type="dxa"/>
            <w:tcBorders>
              <w:bottom w:val="single" w:sz="4" w:space="0" w:color="auto"/>
              <w:right w:val="single" w:sz="4" w:space="0" w:color="auto"/>
            </w:tcBorders>
            <w:vAlign w:val="center"/>
          </w:tcPr>
          <w:p w14:paraId="5D286A46"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22.94%</w:t>
            </w:r>
          </w:p>
        </w:tc>
        <w:tc>
          <w:tcPr>
            <w:tcW w:w="1581" w:type="dxa"/>
            <w:tcBorders>
              <w:left w:val="single" w:sz="4" w:space="0" w:color="auto"/>
              <w:bottom w:val="single" w:sz="4" w:space="0" w:color="auto"/>
            </w:tcBorders>
            <w:noWrap/>
            <w:vAlign w:val="center"/>
            <w:hideMark/>
          </w:tcPr>
          <w:p w14:paraId="7281DA3D"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1,517</w:t>
            </w:r>
          </w:p>
        </w:tc>
        <w:tc>
          <w:tcPr>
            <w:tcW w:w="910" w:type="dxa"/>
            <w:tcBorders>
              <w:bottom w:val="single" w:sz="4" w:space="0" w:color="auto"/>
              <w:right w:val="single" w:sz="4" w:space="0" w:color="auto"/>
            </w:tcBorders>
            <w:vAlign w:val="center"/>
          </w:tcPr>
          <w:p w14:paraId="7A9E5C0E"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16.77%</w:t>
            </w:r>
          </w:p>
        </w:tc>
        <w:tc>
          <w:tcPr>
            <w:tcW w:w="1246" w:type="dxa"/>
            <w:tcBorders>
              <w:left w:val="single" w:sz="4" w:space="0" w:color="auto"/>
              <w:bottom w:val="single" w:sz="4" w:space="0" w:color="auto"/>
            </w:tcBorders>
            <w:vAlign w:val="center"/>
          </w:tcPr>
          <w:p w14:paraId="283E75B4"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9,048</w:t>
            </w:r>
          </w:p>
        </w:tc>
        <w:tc>
          <w:tcPr>
            <w:tcW w:w="1246" w:type="dxa"/>
            <w:tcBorders>
              <w:bottom w:val="single" w:sz="4" w:space="0" w:color="auto"/>
              <w:right w:val="single" w:sz="4" w:space="0" w:color="auto"/>
            </w:tcBorders>
            <w:vAlign w:val="center"/>
          </w:tcPr>
          <w:p w14:paraId="7F365487"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7.55%</w:t>
            </w:r>
          </w:p>
        </w:tc>
      </w:tr>
      <w:tr w:rsidR="000A26F2" w:rsidRPr="000A26F2" w14:paraId="58F07976"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nil"/>
              <w:right w:val="single" w:sz="4" w:space="0" w:color="auto"/>
            </w:tcBorders>
            <w:noWrap/>
            <w:hideMark/>
          </w:tcPr>
          <w:p w14:paraId="0BCAE5EA"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2004</w:t>
            </w:r>
          </w:p>
        </w:tc>
        <w:tc>
          <w:tcPr>
            <w:tcW w:w="1245" w:type="dxa"/>
            <w:tcBorders>
              <w:top w:val="single" w:sz="4" w:space="0" w:color="auto"/>
              <w:left w:val="single" w:sz="4" w:space="0" w:color="auto"/>
              <w:bottom w:val="nil"/>
            </w:tcBorders>
            <w:noWrap/>
            <w:hideMark/>
          </w:tcPr>
          <w:p w14:paraId="01E2F94F"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bottom w:val="nil"/>
              <w:right w:val="single" w:sz="4" w:space="0" w:color="auto"/>
            </w:tcBorders>
            <w:vAlign w:val="center"/>
          </w:tcPr>
          <w:p w14:paraId="7B83011F"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noWrap/>
            <w:hideMark/>
          </w:tcPr>
          <w:p w14:paraId="6BCEEFA8"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5" w:type="dxa"/>
            <w:tcBorders>
              <w:top w:val="single" w:sz="4" w:space="0" w:color="auto"/>
              <w:bottom w:val="nil"/>
              <w:right w:val="single" w:sz="4" w:space="0" w:color="auto"/>
            </w:tcBorders>
            <w:vAlign w:val="center"/>
          </w:tcPr>
          <w:p w14:paraId="7CCCF87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380" w:type="dxa"/>
            <w:tcBorders>
              <w:top w:val="single" w:sz="4" w:space="0" w:color="auto"/>
              <w:left w:val="single" w:sz="4" w:space="0" w:color="auto"/>
              <w:bottom w:val="nil"/>
            </w:tcBorders>
            <w:noWrap/>
            <w:hideMark/>
          </w:tcPr>
          <w:p w14:paraId="5E63DCFE"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12" w:type="dxa"/>
            <w:tcBorders>
              <w:top w:val="single" w:sz="4" w:space="0" w:color="auto"/>
              <w:bottom w:val="nil"/>
              <w:right w:val="single" w:sz="4" w:space="0" w:color="auto"/>
            </w:tcBorders>
            <w:vAlign w:val="center"/>
          </w:tcPr>
          <w:p w14:paraId="3821E34D"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581" w:type="dxa"/>
            <w:tcBorders>
              <w:top w:val="single" w:sz="4" w:space="0" w:color="auto"/>
              <w:left w:val="single" w:sz="4" w:space="0" w:color="auto"/>
              <w:bottom w:val="nil"/>
              <w:right w:val="nil"/>
            </w:tcBorders>
            <w:noWrap/>
            <w:hideMark/>
          </w:tcPr>
          <w:p w14:paraId="0719D173"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910" w:type="dxa"/>
            <w:tcBorders>
              <w:top w:val="single" w:sz="4" w:space="0" w:color="auto"/>
              <w:left w:val="nil"/>
              <w:bottom w:val="nil"/>
              <w:right w:val="single" w:sz="4" w:space="0" w:color="auto"/>
            </w:tcBorders>
          </w:tcPr>
          <w:p w14:paraId="0484DF67"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left w:val="single" w:sz="4" w:space="0" w:color="auto"/>
              <w:bottom w:val="nil"/>
              <w:right w:val="nil"/>
            </w:tcBorders>
            <w:vAlign w:val="center"/>
          </w:tcPr>
          <w:p w14:paraId="787B35DA"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46" w:type="dxa"/>
            <w:tcBorders>
              <w:top w:val="single" w:sz="4" w:space="0" w:color="auto"/>
              <w:left w:val="nil"/>
              <w:bottom w:val="nil"/>
              <w:right w:val="single" w:sz="4" w:space="0" w:color="auto"/>
            </w:tcBorders>
            <w:vAlign w:val="center"/>
          </w:tcPr>
          <w:p w14:paraId="29CDD852"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 </w:t>
            </w:r>
          </w:p>
        </w:tc>
      </w:tr>
      <w:tr w:rsidR="00441F98" w:rsidRPr="000A26F2" w14:paraId="1FF2DEC6"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nil"/>
              <w:left w:val="single" w:sz="4" w:space="0" w:color="auto"/>
              <w:right w:val="single" w:sz="4" w:space="0" w:color="auto"/>
            </w:tcBorders>
            <w:noWrap/>
            <w:hideMark/>
          </w:tcPr>
          <w:p w14:paraId="1C707C23"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top w:val="nil"/>
              <w:left w:val="single" w:sz="4" w:space="0" w:color="auto"/>
            </w:tcBorders>
            <w:noWrap/>
            <w:vAlign w:val="center"/>
            <w:hideMark/>
          </w:tcPr>
          <w:p w14:paraId="2256FD2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153</w:t>
            </w:r>
          </w:p>
        </w:tc>
        <w:tc>
          <w:tcPr>
            <w:tcW w:w="1246" w:type="dxa"/>
            <w:tcBorders>
              <w:top w:val="nil"/>
              <w:right w:val="single" w:sz="4" w:space="0" w:color="auto"/>
            </w:tcBorders>
            <w:vAlign w:val="center"/>
          </w:tcPr>
          <w:p w14:paraId="7E3A314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1.58%</w:t>
            </w:r>
          </w:p>
        </w:tc>
        <w:tc>
          <w:tcPr>
            <w:tcW w:w="1246" w:type="dxa"/>
            <w:tcBorders>
              <w:top w:val="nil"/>
              <w:left w:val="single" w:sz="4" w:space="0" w:color="auto"/>
            </w:tcBorders>
            <w:noWrap/>
            <w:vAlign w:val="center"/>
            <w:hideMark/>
          </w:tcPr>
          <w:p w14:paraId="198183E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178</w:t>
            </w:r>
          </w:p>
        </w:tc>
        <w:tc>
          <w:tcPr>
            <w:tcW w:w="1245" w:type="dxa"/>
            <w:tcBorders>
              <w:top w:val="nil"/>
              <w:right w:val="single" w:sz="4" w:space="0" w:color="auto"/>
            </w:tcBorders>
            <w:vAlign w:val="center"/>
          </w:tcPr>
          <w:p w14:paraId="18AD17C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1.84%</w:t>
            </w:r>
          </w:p>
        </w:tc>
        <w:tc>
          <w:tcPr>
            <w:tcW w:w="1380" w:type="dxa"/>
            <w:tcBorders>
              <w:top w:val="nil"/>
              <w:left w:val="single" w:sz="4" w:space="0" w:color="auto"/>
            </w:tcBorders>
            <w:noWrap/>
            <w:vAlign w:val="center"/>
            <w:hideMark/>
          </w:tcPr>
          <w:p w14:paraId="4376A46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119</w:t>
            </w:r>
          </w:p>
        </w:tc>
        <w:tc>
          <w:tcPr>
            <w:tcW w:w="1112" w:type="dxa"/>
            <w:tcBorders>
              <w:top w:val="nil"/>
              <w:right w:val="single" w:sz="4" w:space="0" w:color="auto"/>
            </w:tcBorders>
            <w:vAlign w:val="center"/>
          </w:tcPr>
          <w:p w14:paraId="398E059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1.23%</w:t>
            </w:r>
          </w:p>
        </w:tc>
        <w:tc>
          <w:tcPr>
            <w:tcW w:w="1581" w:type="dxa"/>
            <w:tcBorders>
              <w:top w:val="nil"/>
              <w:left w:val="single" w:sz="4" w:space="0" w:color="auto"/>
            </w:tcBorders>
            <w:noWrap/>
            <w:vAlign w:val="center"/>
            <w:hideMark/>
          </w:tcPr>
          <w:p w14:paraId="1878791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59</w:t>
            </w:r>
          </w:p>
        </w:tc>
        <w:tc>
          <w:tcPr>
            <w:tcW w:w="910" w:type="dxa"/>
            <w:tcBorders>
              <w:top w:val="nil"/>
              <w:right w:val="single" w:sz="4" w:space="0" w:color="auto"/>
            </w:tcBorders>
            <w:vAlign w:val="center"/>
          </w:tcPr>
          <w:p w14:paraId="60C988D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0.61%</w:t>
            </w:r>
          </w:p>
        </w:tc>
        <w:tc>
          <w:tcPr>
            <w:tcW w:w="1246" w:type="dxa"/>
            <w:tcBorders>
              <w:top w:val="nil"/>
              <w:left w:val="single" w:sz="4" w:space="0" w:color="auto"/>
            </w:tcBorders>
            <w:vAlign w:val="center"/>
          </w:tcPr>
          <w:p w14:paraId="2E94AAF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331</w:t>
            </w:r>
          </w:p>
        </w:tc>
        <w:tc>
          <w:tcPr>
            <w:tcW w:w="1246" w:type="dxa"/>
            <w:tcBorders>
              <w:top w:val="nil"/>
              <w:right w:val="single" w:sz="4" w:space="0" w:color="auto"/>
            </w:tcBorders>
            <w:vAlign w:val="center"/>
          </w:tcPr>
          <w:p w14:paraId="18701C1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3.41%</w:t>
            </w:r>
          </w:p>
        </w:tc>
      </w:tr>
      <w:tr w:rsidR="00441F98" w:rsidRPr="000A26F2" w14:paraId="218A44BB"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435916CA"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4BCC1A7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147</w:t>
            </w:r>
          </w:p>
        </w:tc>
        <w:tc>
          <w:tcPr>
            <w:tcW w:w="1246" w:type="dxa"/>
            <w:tcBorders>
              <w:right w:val="single" w:sz="4" w:space="0" w:color="auto"/>
            </w:tcBorders>
            <w:vAlign w:val="center"/>
          </w:tcPr>
          <w:p w14:paraId="701F8A2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1.52%</w:t>
            </w:r>
          </w:p>
        </w:tc>
        <w:tc>
          <w:tcPr>
            <w:tcW w:w="1246" w:type="dxa"/>
            <w:tcBorders>
              <w:left w:val="single" w:sz="4" w:space="0" w:color="auto"/>
            </w:tcBorders>
            <w:noWrap/>
            <w:vAlign w:val="center"/>
            <w:hideMark/>
          </w:tcPr>
          <w:p w14:paraId="050445A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144</w:t>
            </w:r>
          </w:p>
        </w:tc>
        <w:tc>
          <w:tcPr>
            <w:tcW w:w="1245" w:type="dxa"/>
            <w:tcBorders>
              <w:right w:val="single" w:sz="4" w:space="0" w:color="auto"/>
            </w:tcBorders>
            <w:vAlign w:val="center"/>
          </w:tcPr>
          <w:p w14:paraId="0FF1BE3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1.48%</w:t>
            </w:r>
          </w:p>
        </w:tc>
        <w:tc>
          <w:tcPr>
            <w:tcW w:w="1380" w:type="dxa"/>
            <w:tcBorders>
              <w:left w:val="single" w:sz="4" w:space="0" w:color="auto"/>
            </w:tcBorders>
            <w:noWrap/>
            <w:vAlign w:val="center"/>
            <w:hideMark/>
          </w:tcPr>
          <w:p w14:paraId="481AF89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99</w:t>
            </w:r>
          </w:p>
        </w:tc>
        <w:tc>
          <w:tcPr>
            <w:tcW w:w="1112" w:type="dxa"/>
            <w:tcBorders>
              <w:right w:val="single" w:sz="4" w:space="0" w:color="auto"/>
            </w:tcBorders>
            <w:vAlign w:val="center"/>
          </w:tcPr>
          <w:p w14:paraId="4DBF333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1.02%</w:t>
            </w:r>
          </w:p>
        </w:tc>
        <w:tc>
          <w:tcPr>
            <w:tcW w:w="1581" w:type="dxa"/>
            <w:tcBorders>
              <w:left w:val="single" w:sz="4" w:space="0" w:color="auto"/>
              <w:right w:val="nil"/>
            </w:tcBorders>
            <w:noWrap/>
            <w:vAlign w:val="center"/>
            <w:hideMark/>
          </w:tcPr>
          <w:p w14:paraId="3B1D6D1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45</w:t>
            </w:r>
          </w:p>
        </w:tc>
        <w:tc>
          <w:tcPr>
            <w:tcW w:w="910" w:type="dxa"/>
            <w:tcBorders>
              <w:left w:val="nil"/>
              <w:right w:val="single" w:sz="4" w:space="0" w:color="auto"/>
            </w:tcBorders>
            <w:vAlign w:val="center"/>
          </w:tcPr>
          <w:p w14:paraId="72EF2BE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0.46%</w:t>
            </w:r>
          </w:p>
        </w:tc>
        <w:tc>
          <w:tcPr>
            <w:tcW w:w="1246" w:type="dxa"/>
            <w:tcBorders>
              <w:left w:val="single" w:sz="4" w:space="0" w:color="auto"/>
              <w:right w:val="nil"/>
            </w:tcBorders>
            <w:vAlign w:val="center"/>
          </w:tcPr>
          <w:p w14:paraId="5C7506C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291</w:t>
            </w:r>
          </w:p>
        </w:tc>
        <w:tc>
          <w:tcPr>
            <w:tcW w:w="1246" w:type="dxa"/>
            <w:tcBorders>
              <w:left w:val="nil"/>
              <w:right w:val="single" w:sz="4" w:space="0" w:color="auto"/>
            </w:tcBorders>
            <w:vAlign w:val="center"/>
          </w:tcPr>
          <w:p w14:paraId="1090E41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3.00%</w:t>
            </w:r>
          </w:p>
        </w:tc>
      </w:tr>
      <w:tr w:rsidR="00441F98" w:rsidRPr="000A26F2" w14:paraId="713C006A"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507B8AA1"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2E82346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728</w:t>
            </w:r>
          </w:p>
        </w:tc>
        <w:tc>
          <w:tcPr>
            <w:tcW w:w="1246" w:type="dxa"/>
            <w:tcBorders>
              <w:right w:val="single" w:sz="4" w:space="0" w:color="auto"/>
            </w:tcBorders>
            <w:vAlign w:val="center"/>
          </w:tcPr>
          <w:p w14:paraId="54204AA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7.51%</w:t>
            </w:r>
          </w:p>
        </w:tc>
        <w:tc>
          <w:tcPr>
            <w:tcW w:w="1246" w:type="dxa"/>
            <w:tcBorders>
              <w:left w:val="single" w:sz="4" w:space="0" w:color="auto"/>
            </w:tcBorders>
            <w:noWrap/>
            <w:vAlign w:val="center"/>
            <w:hideMark/>
          </w:tcPr>
          <w:p w14:paraId="75DD95B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510</w:t>
            </w:r>
          </w:p>
        </w:tc>
        <w:tc>
          <w:tcPr>
            <w:tcW w:w="1245" w:type="dxa"/>
            <w:tcBorders>
              <w:right w:val="single" w:sz="4" w:space="0" w:color="auto"/>
            </w:tcBorders>
            <w:vAlign w:val="center"/>
          </w:tcPr>
          <w:p w14:paraId="50C5FA5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5.26%</w:t>
            </w:r>
          </w:p>
        </w:tc>
        <w:tc>
          <w:tcPr>
            <w:tcW w:w="1380" w:type="dxa"/>
            <w:tcBorders>
              <w:left w:val="single" w:sz="4" w:space="0" w:color="auto"/>
            </w:tcBorders>
            <w:noWrap/>
            <w:vAlign w:val="center"/>
            <w:hideMark/>
          </w:tcPr>
          <w:p w14:paraId="562148C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380</w:t>
            </w:r>
          </w:p>
        </w:tc>
        <w:tc>
          <w:tcPr>
            <w:tcW w:w="1112" w:type="dxa"/>
            <w:tcBorders>
              <w:right w:val="single" w:sz="4" w:space="0" w:color="auto"/>
            </w:tcBorders>
            <w:vAlign w:val="center"/>
          </w:tcPr>
          <w:p w14:paraId="55F2A39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3.92%</w:t>
            </w:r>
          </w:p>
        </w:tc>
        <w:tc>
          <w:tcPr>
            <w:tcW w:w="1581" w:type="dxa"/>
            <w:tcBorders>
              <w:left w:val="single" w:sz="4" w:space="0" w:color="auto"/>
            </w:tcBorders>
            <w:noWrap/>
            <w:vAlign w:val="center"/>
            <w:hideMark/>
          </w:tcPr>
          <w:p w14:paraId="587B67E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130</w:t>
            </w:r>
          </w:p>
        </w:tc>
        <w:tc>
          <w:tcPr>
            <w:tcW w:w="910" w:type="dxa"/>
            <w:tcBorders>
              <w:right w:val="single" w:sz="4" w:space="0" w:color="auto"/>
            </w:tcBorders>
            <w:vAlign w:val="center"/>
          </w:tcPr>
          <w:p w14:paraId="114E90D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1.34%</w:t>
            </w:r>
          </w:p>
        </w:tc>
        <w:tc>
          <w:tcPr>
            <w:tcW w:w="1246" w:type="dxa"/>
            <w:tcBorders>
              <w:left w:val="single" w:sz="4" w:space="0" w:color="auto"/>
            </w:tcBorders>
            <w:vAlign w:val="center"/>
          </w:tcPr>
          <w:p w14:paraId="0E1671B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1,238</w:t>
            </w:r>
          </w:p>
        </w:tc>
        <w:tc>
          <w:tcPr>
            <w:tcW w:w="1246" w:type="dxa"/>
            <w:tcBorders>
              <w:right w:val="single" w:sz="4" w:space="0" w:color="auto"/>
            </w:tcBorders>
            <w:vAlign w:val="center"/>
          </w:tcPr>
          <w:p w14:paraId="0E15B13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12.77%</w:t>
            </w:r>
          </w:p>
        </w:tc>
      </w:tr>
      <w:tr w:rsidR="00441F98" w:rsidRPr="000A26F2" w14:paraId="17FD8D9C"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5E8CB42"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6ECA7A6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857</w:t>
            </w:r>
          </w:p>
        </w:tc>
        <w:tc>
          <w:tcPr>
            <w:tcW w:w="1246" w:type="dxa"/>
            <w:tcBorders>
              <w:right w:val="single" w:sz="4" w:space="0" w:color="auto"/>
            </w:tcBorders>
            <w:vAlign w:val="center"/>
          </w:tcPr>
          <w:p w14:paraId="68C733B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8.84%</w:t>
            </w:r>
          </w:p>
        </w:tc>
        <w:tc>
          <w:tcPr>
            <w:tcW w:w="1246" w:type="dxa"/>
            <w:tcBorders>
              <w:left w:val="single" w:sz="4" w:space="0" w:color="auto"/>
            </w:tcBorders>
            <w:noWrap/>
            <w:vAlign w:val="center"/>
            <w:hideMark/>
          </w:tcPr>
          <w:p w14:paraId="3D189D9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681</w:t>
            </w:r>
          </w:p>
        </w:tc>
        <w:tc>
          <w:tcPr>
            <w:tcW w:w="1245" w:type="dxa"/>
            <w:tcBorders>
              <w:right w:val="single" w:sz="4" w:space="0" w:color="auto"/>
            </w:tcBorders>
            <w:vAlign w:val="center"/>
          </w:tcPr>
          <w:p w14:paraId="7463ACE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7.02%</w:t>
            </w:r>
          </w:p>
        </w:tc>
        <w:tc>
          <w:tcPr>
            <w:tcW w:w="1380" w:type="dxa"/>
            <w:tcBorders>
              <w:left w:val="single" w:sz="4" w:space="0" w:color="auto"/>
            </w:tcBorders>
            <w:noWrap/>
            <w:vAlign w:val="center"/>
            <w:hideMark/>
          </w:tcPr>
          <w:p w14:paraId="2EEE344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407</w:t>
            </w:r>
          </w:p>
        </w:tc>
        <w:tc>
          <w:tcPr>
            <w:tcW w:w="1112" w:type="dxa"/>
            <w:tcBorders>
              <w:right w:val="single" w:sz="4" w:space="0" w:color="auto"/>
            </w:tcBorders>
            <w:vAlign w:val="center"/>
          </w:tcPr>
          <w:p w14:paraId="035941F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4.20%</w:t>
            </w:r>
          </w:p>
        </w:tc>
        <w:tc>
          <w:tcPr>
            <w:tcW w:w="1581" w:type="dxa"/>
            <w:tcBorders>
              <w:left w:val="single" w:sz="4" w:space="0" w:color="auto"/>
              <w:right w:val="nil"/>
            </w:tcBorders>
            <w:noWrap/>
            <w:vAlign w:val="center"/>
            <w:hideMark/>
          </w:tcPr>
          <w:p w14:paraId="1244925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274</w:t>
            </w:r>
          </w:p>
        </w:tc>
        <w:tc>
          <w:tcPr>
            <w:tcW w:w="910" w:type="dxa"/>
            <w:tcBorders>
              <w:left w:val="nil"/>
              <w:right w:val="single" w:sz="4" w:space="0" w:color="auto"/>
            </w:tcBorders>
            <w:vAlign w:val="center"/>
          </w:tcPr>
          <w:p w14:paraId="6BAE3BB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2.83%</w:t>
            </w:r>
          </w:p>
        </w:tc>
        <w:tc>
          <w:tcPr>
            <w:tcW w:w="1246" w:type="dxa"/>
            <w:tcBorders>
              <w:left w:val="single" w:sz="4" w:space="0" w:color="auto"/>
              <w:right w:val="nil"/>
            </w:tcBorders>
            <w:vAlign w:val="center"/>
          </w:tcPr>
          <w:p w14:paraId="1635B2D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1,538</w:t>
            </w:r>
          </w:p>
        </w:tc>
        <w:tc>
          <w:tcPr>
            <w:tcW w:w="1246" w:type="dxa"/>
            <w:tcBorders>
              <w:left w:val="nil"/>
              <w:right w:val="single" w:sz="4" w:space="0" w:color="auto"/>
            </w:tcBorders>
            <w:vAlign w:val="center"/>
          </w:tcPr>
          <w:p w14:paraId="251B00E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15.86%</w:t>
            </w:r>
          </w:p>
        </w:tc>
      </w:tr>
      <w:tr w:rsidR="00441F98" w:rsidRPr="000A26F2" w14:paraId="6FC1419F"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752E534A"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0D3E31E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48</w:t>
            </w:r>
          </w:p>
        </w:tc>
        <w:tc>
          <w:tcPr>
            <w:tcW w:w="1246" w:type="dxa"/>
            <w:tcBorders>
              <w:right w:val="single" w:sz="4" w:space="0" w:color="auto"/>
            </w:tcBorders>
            <w:vAlign w:val="center"/>
          </w:tcPr>
          <w:p w14:paraId="260C18B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0.49%</w:t>
            </w:r>
          </w:p>
        </w:tc>
        <w:tc>
          <w:tcPr>
            <w:tcW w:w="1246" w:type="dxa"/>
            <w:tcBorders>
              <w:left w:val="single" w:sz="4" w:space="0" w:color="auto"/>
            </w:tcBorders>
            <w:noWrap/>
            <w:vAlign w:val="center"/>
            <w:hideMark/>
          </w:tcPr>
          <w:p w14:paraId="391E1DF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20</w:t>
            </w:r>
          </w:p>
        </w:tc>
        <w:tc>
          <w:tcPr>
            <w:tcW w:w="1245" w:type="dxa"/>
            <w:tcBorders>
              <w:right w:val="single" w:sz="4" w:space="0" w:color="auto"/>
            </w:tcBorders>
            <w:vAlign w:val="center"/>
          </w:tcPr>
          <w:p w14:paraId="537090F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0.21%</w:t>
            </w:r>
          </w:p>
        </w:tc>
        <w:tc>
          <w:tcPr>
            <w:tcW w:w="1380" w:type="dxa"/>
            <w:tcBorders>
              <w:left w:val="single" w:sz="4" w:space="0" w:color="auto"/>
            </w:tcBorders>
            <w:noWrap/>
            <w:vAlign w:val="center"/>
            <w:hideMark/>
          </w:tcPr>
          <w:p w14:paraId="2076B78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w:t>
            </w:r>
          </w:p>
        </w:tc>
        <w:tc>
          <w:tcPr>
            <w:tcW w:w="1112" w:type="dxa"/>
            <w:tcBorders>
              <w:right w:val="single" w:sz="4" w:space="0" w:color="auto"/>
            </w:tcBorders>
            <w:vAlign w:val="center"/>
          </w:tcPr>
          <w:p w14:paraId="056AFDA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0.12%</w:t>
            </w:r>
          </w:p>
        </w:tc>
        <w:tc>
          <w:tcPr>
            <w:tcW w:w="1581" w:type="dxa"/>
            <w:tcBorders>
              <w:left w:val="single" w:sz="4" w:space="0" w:color="auto"/>
            </w:tcBorders>
            <w:noWrap/>
            <w:vAlign w:val="center"/>
            <w:hideMark/>
          </w:tcPr>
          <w:p w14:paraId="74909F3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w:t>
            </w:r>
          </w:p>
        </w:tc>
        <w:tc>
          <w:tcPr>
            <w:tcW w:w="910" w:type="dxa"/>
            <w:tcBorders>
              <w:right w:val="single" w:sz="4" w:space="0" w:color="auto"/>
            </w:tcBorders>
            <w:vAlign w:val="center"/>
          </w:tcPr>
          <w:p w14:paraId="6B38F4B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0.08%</w:t>
            </w:r>
          </w:p>
        </w:tc>
        <w:tc>
          <w:tcPr>
            <w:tcW w:w="1246" w:type="dxa"/>
            <w:tcBorders>
              <w:left w:val="single" w:sz="4" w:space="0" w:color="auto"/>
            </w:tcBorders>
            <w:vAlign w:val="center"/>
          </w:tcPr>
          <w:p w14:paraId="03120F4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68</w:t>
            </w:r>
          </w:p>
        </w:tc>
        <w:tc>
          <w:tcPr>
            <w:tcW w:w="1246" w:type="dxa"/>
            <w:tcBorders>
              <w:right w:val="single" w:sz="4" w:space="0" w:color="auto"/>
            </w:tcBorders>
            <w:vAlign w:val="center"/>
          </w:tcPr>
          <w:p w14:paraId="66E163D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0.70%</w:t>
            </w:r>
          </w:p>
        </w:tc>
      </w:tr>
      <w:tr w:rsidR="00441F98" w:rsidRPr="000A26F2" w14:paraId="440A875E"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63FF58E9"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5602CF1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1,933</w:t>
            </w:r>
          </w:p>
        </w:tc>
        <w:tc>
          <w:tcPr>
            <w:tcW w:w="1246" w:type="dxa"/>
            <w:tcBorders>
              <w:right w:val="single" w:sz="4" w:space="0" w:color="auto"/>
            </w:tcBorders>
            <w:vAlign w:val="center"/>
          </w:tcPr>
          <w:p w14:paraId="44CE92A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19.93%</w:t>
            </w:r>
          </w:p>
        </w:tc>
        <w:tc>
          <w:tcPr>
            <w:tcW w:w="1246" w:type="dxa"/>
            <w:tcBorders>
              <w:left w:val="single" w:sz="4" w:space="0" w:color="auto"/>
            </w:tcBorders>
            <w:noWrap/>
            <w:vAlign w:val="center"/>
            <w:hideMark/>
          </w:tcPr>
          <w:p w14:paraId="43DCAB1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1,533</w:t>
            </w:r>
          </w:p>
        </w:tc>
        <w:tc>
          <w:tcPr>
            <w:tcW w:w="1245" w:type="dxa"/>
            <w:tcBorders>
              <w:right w:val="single" w:sz="4" w:space="0" w:color="auto"/>
            </w:tcBorders>
            <w:vAlign w:val="center"/>
          </w:tcPr>
          <w:p w14:paraId="039D7C5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15.81%</w:t>
            </w:r>
          </w:p>
        </w:tc>
        <w:tc>
          <w:tcPr>
            <w:tcW w:w="1380" w:type="dxa"/>
            <w:tcBorders>
              <w:left w:val="single" w:sz="4" w:space="0" w:color="auto"/>
            </w:tcBorders>
            <w:noWrap/>
            <w:vAlign w:val="center"/>
            <w:hideMark/>
          </w:tcPr>
          <w:p w14:paraId="4BB6B77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1,017</w:t>
            </w:r>
          </w:p>
        </w:tc>
        <w:tc>
          <w:tcPr>
            <w:tcW w:w="1112" w:type="dxa"/>
            <w:tcBorders>
              <w:right w:val="single" w:sz="4" w:space="0" w:color="auto"/>
            </w:tcBorders>
            <w:vAlign w:val="center"/>
          </w:tcPr>
          <w:p w14:paraId="3BA8549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10.49%</w:t>
            </w:r>
          </w:p>
        </w:tc>
        <w:tc>
          <w:tcPr>
            <w:tcW w:w="1581" w:type="dxa"/>
            <w:tcBorders>
              <w:left w:val="single" w:sz="4" w:space="0" w:color="auto"/>
              <w:right w:val="nil"/>
            </w:tcBorders>
            <w:noWrap/>
            <w:vAlign w:val="center"/>
            <w:hideMark/>
          </w:tcPr>
          <w:p w14:paraId="43C256A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516</w:t>
            </w:r>
          </w:p>
        </w:tc>
        <w:tc>
          <w:tcPr>
            <w:tcW w:w="910" w:type="dxa"/>
            <w:tcBorders>
              <w:left w:val="nil"/>
              <w:right w:val="single" w:sz="4" w:space="0" w:color="auto"/>
            </w:tcBorders>
            <w:vAlign w:val="center"/>
          </w:tcPr>
          <w:p w14:paraId="11836C8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5.32%</w:t>
            </w:r>
          </w:p>
        </w:tc>
        <w:tc>
          <w:tcPr>
            <w:tcW w:w="1246" w:type="dxa"/>
            <w:tcBorders>
              <w:left w:val="single" w:sz="4" w:space="0" w:color="auto"/>
              <w:right w:val="nil"/>
            </w:tcBorders>
            <w:vAlign w:val="center"/>
          </w:tcPr>
          <w:p w14:paraId="79E68C4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3,466</w:t>
            </w:r>
          </w:p>
        </w:tc>
        <w:tc>
          <w:tcPr>
            <w:tcW w:w="1246" w:type="dxa"/>
            <w:tcBorders>
              <w:left w:val="nil"/>
              <w:right w:val="single" w:sz="4" w:space="0" w:color="auto"/>
            </w:tcBorders>
            <w:vAlign w:val="center"/>
          </w:tcPr>
          <w:p w14:paraId="1CA0132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35.74%</w:t>
            </w:r>
          </w:p>
        </w:tc>
      </w:tr>
      <w:tr w:rsidR="00441F98" w:rsidRPr="000A26F2" w14:paraId="6C2EA6AA"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62F80BB2"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60E590B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4,237</w:t>
            </w:r>
          </w:p>
        </w:tc>
        <w:tc>
          <w:tcPr>
            <w:tcW w:w="1246" w:type="dxa"/>
            <w:tcBorders>
              <w:right w:val="single" w:sz="4" w:space="0" w:color="auto"/>
            </w:tcBorders>
            <w:vAlign w:val="center"/>
          </w:tcPr>
          <w:p w14:paraId="61EEA42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43.69%</w:t>
            </w:r>
          </w:p>
        </w:tc>
        <w:tc>
          <w:tcPr>
            <w:tcW w:w="1246" w:type="dxa"/>
            <w:tcBorders>
              <w:left w:val="single" w:sz="4" w:space="0" w:color="auto"/>
            </w:tcBorders>
            <w:noWrap/>
            <w:vAlign w:val="center"/>
            <w:hideMark/>
          </w:tcPr>
          <w:p w14:paraId="1B1BA7C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1,994</w:t>
            </w:r>
          </w:p>
        </w:tc>
        <w:tc>
          <w:tcPr>
            <w:tcW w:w="1245" w:type="dxa"/>
            <w:tcBorders>
              <w:right w:val="single" w:sz="4" w:space="0" w:color="auto"/>
            </w:tcBorders>
            <w:vAlign w:val="center"/>
          </w:tcPr>
          <w:p w14:paraId="0EFF9D8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20.56%</w:t>
            </w:r>
          </w:p>
        </w:tc>
        <w:tc>
          <w:tcPr>
            <w:tcW w:w="1380" w:type="dxa"/>
            <w:tcBorders>
              <w:left w:val="single" w:sz="4" w:space="0" w:color="auto"/>
            </w:tcBorders>
            <w:noWrap/>
            <w:vAlign w:val="center"/>
            <w:hideMark/>
          </w:tcPr>
          <w:p w14:paraId="7F4B655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1,204</w:t>
            </w:r>
          </w:p>
        </w:tc>
        <w:tc>
          <w:tcPr>
            <w:tcW w:w="1112" w:type="dxa"/>
            <w:tcBorders>
              <w:right w:val="single" w:sz="4" w:space="0" w:color="auto"/>
            </w:tcBorders>
            <w:vAlign w:val="center"/>
          </w:tcPr>
          <w:p w14:paraId="0A7C7D6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12.42%</w:t>
            </w:r>
          </w:p>
        </w:tc>
        <w:tc>
          <w:tcPr>
            <w:tcW w:w="1581" w:type="dxa"/>
            <w:tcBorders>
              <w:left w:val="single" w:sz="4" w:space="0" w:color="auto"/>
            </w:tcBorders>
            <w:noWrap/>
            <w:vAlign w:val="center"/>
            <w:hideMark/>
          </w:tcPr>
          <w:p w14:paraId="64E3790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790</w:t>
            </w:r>
          </w:p>
        </w:tc>
        <w:tc>
          <w:tcPr>
            <w:tcW w:w="910" w:type="dxa"/>
            <w:tcBorders>
              <w:right w:val="single" w:sz="4" w:space="0" w:color="auto"/>
            </w:tcBorders>
            <w:vAlign w:val="center"/>
          </w:tcPr>
          <w:p w14:paraId="05A6427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8.15%</w:t>
            </w:r>
          </w:p>
        </w:tc>
        <w:tc>
          <w:tcPr>
            <w:tcW w:w="1246" w:type="dxa"/>
            <w:tcBorders>
              <w:left w:val="single" w:sz="4" w:space="0" w:color="auto"/>
            </w:tcBorders>
            <w:vAlign w:val="center"/>
          </w:tcPr>
          <w:p w14:paraId="5650383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6,231</w:t>
            </w:r>
          </w:p>
        </w:tc>
        <w:tc>
          <w:tcPr>
            <w:tcW w:w="1246" w:type="dxa"/>
            <w:tcBorders>
              <w:right w:val="single" w:sz="4" w:space="0" w:color="auto"/>
            </w:tcBorders>
            <w:vAlign w:val="center"/>
          </w:tcPr>
          <w:p w14:paraId="5E89EBF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64.26%</w:t>
            </w:r>
          </w:p>
        </w:tc>
      </w:tr>
      <w:tr w:rsidR="000A26F2" w:rsidRPr="000A26F2" w14:paraId="6A0BD9B8"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noWrap/>
            <w:hideMark/>
          </w:tcPr>
          <w:p w14:paraId="54BCC796"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noWrap/>
            <w:vAlign w:val="center"/>
            <w:hideMark/>
          </w:tcPr>
          <w:p w14:paraId="69419AD5"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6,170</w:t>
            </w:r>
          </w:p>
        </w:tc>
        <w:tc>
          <w:tcPr>
            <w:tcW w:w="1246" w:type="dxa"/>
            <w:tcBorders>
              <w:bottom w:val="single" w:sz="4" w:space="0" w:color="auto"/>
              <w:right w:val="single" w:sz="4" w:space="0" w:color="auto"/>
            </w:tcBorders>
            <w:vAlign w:val="center"/>
          </w:tcPr>
          <w:p w14:paraId="14DDD95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63.63%</w:t>
            </w:r>
          </w:p>
        </w:tc>
        <w:tc>
          <w:tcPr>
            <w:tcW w:w="1246" w:type="dxa"/>
            <w:tcBorders>
              <w:left w:val="single" w:sz="4" w:space="0" w:color="auto"/>
              <w:bottom w:val="single" w:sz="4" w:space="0" w:color="auto"/>
            </w:tcBorders>
            <w:noWrap/>
            <w:vAlign w:val="center"/>
            <w:hideMark/>
          </w:tcPr>
          <w:p w14:paraId="1DE6962D"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3,527</w:t>
            </w:r>
          </w:p>
        </w:tc>
        <w:tc>
          <w:tcPr>
            <w:tcW w:w="1245" w:type="dxa"/>
            <w:tcBorders>
              <w:bottom w:val="single" w:sz="4" w:space="0" w:color="auto"/>
              <w:right w:val="single" w:sz="4" w:space="0" w:color="auto"/>
            </w:tcBorders>
            <w:vAlign w:val="center"/>
          </w:tcPr>
          <w:p w14:paraId="321BF418"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36.37%</w:t>
            </w:r>
          </w:p>
        </w:tc>
        <w:tc>
          <w:tcPr>
            <w:tcW w:w="1380" w:type="dxa"/>
            <w:tcBorders>
              <w:left w:val="single" w:sz="4" w:space="0" w:color="auto"/>
              <w:bottom w:val="single" w:sz="4" w:space="0" w:color="auto"/>
            </w:tcBorders>
            <w:noWrap/>
            <w:vAlign w:val="center"/>
            <w:hideMark/>
          </w:tcPr>
          <w:p w14:paraId="75701BF3"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2,221</w:t>
            </w:r>
          </w:p>
        </w:tc>
        <w:tc>
          <w:tcPr>
            <w:tcW w:w="1112" w:type="dxa"/>
            <w:tcBorders>
              <w:bottom w:val="single" w:sz="4" w:space="0" w:color="auto"/>
              <w:right w:val="single" w:sz="4" w:space="0" w:color="auto"/>
            </w:tcBorders>
            <w:vAlign w:val="center"/>
          </w:tcPr>
          <w:p w14:paraId="68ED344F"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22.90%</w:t>
            </w:r>
          </w:p>
        </w:tc>
        <w:tc>
          <w:tcPr>
            <w:tcW w:w="1581" w:type="dxa"/>
            <w:tcBorders>
              <w:left w:val="single" w:sz="4" w:space="0" w:color="auto"/>
              <w:bottom w:val="single" w:sz="4" w:space="0" w:color="auto"/>
              <w:right w:val="nil"/>
            </w:tcBorders>
            <w:noWrap/>
            <w:vAlign w:val="center"/>
            <w:hideMark/>
          </w:tcPr>
          <w:p w14:paraId="6EFC9E6D"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1,306</w:t>
            </w:r>
          </w:p>
        </w:tc>
        <w:tc>
          <w:tcPr>
            <w:tcW w:w="910" w:type="dxa"/>
            <w:tcBorders>
              <w:left w:val="nil"/>
              <w:bottom w:val="single" w:sz="4" w:space="0" w:color="auto"/>
              <w:right w:val="single" w:sz="4" w:space="0" w:color="auto"/>
            </w:tcBorders>
            <w:vAlign w:val="center"/>
          </w:tcPr>
          <w:p w14:paraId="6C56B2BB"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13.47%</w:t>
            </w:r>
          </w:p>
        </w:tc>
        <w:tc>
          <w:tcPr>
            <w:tcW w:w="1246" w:type="dxa"/>
            <w:tcBorders>
              <w:left w:val="single" w:sz="4" w:space="0" w:color="auto"/>
              <w:bottom w:val="single" w:sz="4" w:space="0" w:color="auto"/>
              <w:right w:val="nil"/>
            </w:tcBorders>
            <w:vAlign w:val="center"/>
          </w:tcPr>
          <w:p w14:paraId="5513A8F1"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9,697</w:t>
            </w:r>
          </w:p>
        </w:tc>
        <w:tc>
          <w:tcPr>
            <w:tcW w:w="1246" w:type="dxa"/>
            <w:tcBorders>
              <w:left w:val="nil"/>
              <w:bottom w:val="single" w:sz="4" w:space="0" w:color="auto"/>
              <w:right w:val="single" w:sz="4" w:space="0" w:color="auto"/>
            </w:tcBorders>
            <w:vAlign w:val="center"/>
          </w:tcPr>
          <w:p w14:paraId="6E450CE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8.09%</w:t>
            </w:r>
          </w:p>
        </w:tc>
      </w:tr>
    </w:tbl>
    <w:p w14:paraId="63AC5ADB" w14:textId="77777777" w:rsidR="001C4508" w:rsidRDefault="001C4508" w:rsidP="00CE2FDF">
      <w:pPr>
        <w:spacing w:before="0"/>
      </w:pPr>
      <w:r>
        <w:rPr>
          <w:b/>
          <w:bCs/>
        </w:rPr>
        <w:br w:type="page"/>
      </w:r>
    </w:p>
    <w:tbl>
      <w:tblPr>
        <w:tblStyle w:val="LightShading-Accent4"/>
        <w:tblW w:w="14425" w:type="dxa"/>
        <w:tblLayout w:type="fixed"/>
        <w:tblLook w:val="04A0" w:firstRow="1" w:lastRow="0" w:firstColumn="1" w:lastColumn="0" w:noHBand="0" w:noVBand="1"/>
        <w:tblCaption w:val="Number of reports of physical abuse, by year, reporter group, and outcome"/>
      </w:tblPr>
      <w:tblGrid>
        <w:gridCol w:w="1968"/>
        <w:gridCol w:w="1245"/>
        <w:gridCol w:w="1246"/>
        <w:gridCol w:w="1246"/>
        <w:gridCol w:w="1245"/>
        <w:gridCol w:w="1380"/>
        <w:gridCol w:w="1112"/>
        <w:gridCol w:w="1581"/>
        <w:gridCol w:w="910"/>
        <w:gridCol w:w="1246"/>
        <w:gridCol w:w="1246"/>
      </w:tblGrid>
      <w:tr w:rsidR="001C4508" w:rsidRPr="000A26F2" w14:paraId="126F47AB"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66267CCA" w14:textId="77777777" w:rsidR="001C4508" w:rsidRPr="000A26F2" w:rsidRDefault="001C4508" w:rsidP="00CE2FDF">
            <w:pPr>
              <w:tabs>
                <w:tab w:val="left" w:pos="1134"/>
              </w:tabs>
              <w:spacing w:before="0" w:line="276" w:lineRule="auto"/>
              <w:jc w:val="center"/>
              <w:rPr>
                <w:rFonts w:eastAsia="Times New Roman" w:cs="Arial"/>
                <w:color w:val="auto"/>
                <w:sz w:val="20"/>
                <w:szCs w:val="20"/>
                <w:lang w:eastAsia="en-AU"/>
              </w:rPr>
            </w:pP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D8E4D89"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Not investigated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7418027"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Investigated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76DE038C"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Substantiated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E3B1895"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0A26F2">
              <w:rPr>
                <w:rFonts w:eastAsia="Times New Roman" w:cs="Arial"/>
                <w:color w:val="auto"/>
                <w:sz w:val="20"/>
                <w:szCs w:val="20"/>
                <w:lang w:eastAsia="en-AU"/>
              </w:rPr>
              <w:t>Not substantiated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C2AD661"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Total</w:t>
            </w:r>
          </w:p>
        </w:tc>
      </w:tr>
      <w:tr w:rsidR="002418F8" w:rsidRPr="000A26F2" w14:paraId="564BAD1C"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nil"/>
              <w:right w:val="single" w:sz="4" w:space="0" w:color="auto"/>
            </w:tcBorders>
            <w:noWrap/>
            <w:hideMark/>
          </w:tcPr>
          <w:p w14:paraId="521D2B7C"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2005</w:t>
            </w:r>
          </w:p>
        </w:tc>
        <w:tc>
          <w:tcPr>
            <w:tcW w:w="1245" w:type="dxa"/>
            <w:tcBorders>
              <w:top w:val="single" w:sz="4" w:space="0" w:color="auto"/>
              <w:left w:val="single" w:sz="4" w:space="0" w:color="auto"/>
              <w:bottom w:val="nil"/>
            </w:tcBorders>
            <w:noWrap/>
            <w:hideMark/>
          </w:tcPr>
          <w:p w14:paraId="441A0F03"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bottom w:val="nil"/>
              <w:right w:val="single" w:sz="4" w:space="0" w:color="auto"/>
            </w:tcBorders>
            <w:vAlign w:val="center"/>
          </w:tcPr>
          <w:p w14:paraId="36BEAD33"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noWrap/>
            <w:hideMark/>
          </w:tcPr>
          <w:p w14:paraId="4C073F77"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5" w:type="dxa"/>
            <w:tcBorders>
              <w:top w:val="single" w:sz="4" w:space="0" w:color="auto"/>
              <w:bottom w:val="nil"/>
              <w:right w:val="single" w:sz="4" w:space="0" w:color="auto"/>
            </w:tcBorders>
            <w:vAlign w:val="center"/>
          </w:tcPr>
          <w:p w14:paraId="4D1A8C13"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380" w:type="dxa"/>
            <w:tcBorders>
              <w:top w:val="single" w:sz="4" w:space="0" w:color="auto"/>
              <w:left w:val="single" w:sz="4" w:space="0" w:color="auto"/>
              <w:bottom w:val="nil"/>
            </w:tcBorders>
            <w:noWrap/>
            <w:hideMark/>
          </w:tcPr>
          <w:p w14:paraId="0E7C988F"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112" w:type="dxa"/>
            <w:tcBorders>
              <w:top w:val="single" w:sz="4" w:space="0" w:color="auto"/>
              <w:bottom w:val="nil"/>
              <w:right w:val="single" w:sz="4" w:space="0" w:color="auto"/>
            </w:tcBorders>
            <w:vAlign w:val="center"/>
          </w:tcPr>
          <w:p w14:paraId="5CF56FC1"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581" w:type="dxa"/>
            <w:tcBorders>
              <w:top w:val="single" w:sz="4" w:space="0" w:color="auto"/>
              <w:left w:val="single" w:sz="4" w:space="0" w:color="auto"/>
              <w:bottom w:val="nil"/>
            </w:tcBorders>
            <w:noWrap/>
            <w:hideMark/>
          </w:tcPr>
          <w:p w14:paraId="4ECD15BB"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910" w:type="dxa"/>
            <w:tcBorders>
              <w:top w:val="single" w:sz="4" w:space="0" w:color="auto"/>
              <w:bottom w:val="nil"/>
              <w:right w:val="single" w:sz="4" w:space="0" w:color="auto"/>
            </w:tcBorders>
          </w:tcPr>
          <w:p w14:paraId="2CC77FE0"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vAlign w:val="center"/>
          </w:tcPr>
          <w:p w14:paraId="7C817F26"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 </w:t>
            </w:r>
          </w:p>
        </w:tc>
        <w:tc>
          <w:tcPr>
            <w:tcW w:w="1246" w:type="dxa"/>
            <w:tcBorders>
              <w:top w:val="single" w:sz="4" w:space="0" w:color="auto"/>
              <w:bottom w:val="nil"/>
              <w:right w:val="single" w:sz="4" w:space="0" w:color="auto"/>
            </w:tcBorders>
            <w:vAlign w:val="center"/>
          </w:tcPr>
          <w:p w14:paraId="0EF7DFA6"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 </w:t>
            </w:r>
          </w:p>
        </w:tc>
      </w:tr>
      <w:tr w:rsidR="001C4508" w:rsidRPr="000A26F2" w14:paraId="6DA40FCF"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nil"/>
              <w:left w:val="single" w:sz="4" w:space="0" w:color="auto"/>
              <w:right w:val="single" w:sz="4" w:space="0" w:color="auto"/>
            </w:tcBorders>
            <w:noWrap/>
            <w:hideMark/>
          </w:tcPr>
          <w:p w14:paraId="303CE1CA"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top w:val="nil"/>
              <w:left w:val="single" w:sz="4" w:space="0" w:color="auto"/>
            </w:tcBorders>
            <w:noWrap/>
            <w:vAlign w:val="center"/>
            <w:hideMark/>
          </w:tcPr>
          <w:p w14:paraId="2AAEDB5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148</w:t>
            </w:r>
          </w:p>
        </w:tc>
        <w:tc>
          <w:tcPr>
            <w:tcW w:w="1246" w:type="dxa"/>
            <w:tcBorders>
              <w:top w:val="nil"/>
              <w:right w:val="single" w:sz="4" w:space="0" w:color="auto"/>
            </w:tcBorders>
            <w:vAlign w:val="center"/>
          </w:tcPr>
          <w:p w14:paraId="1120C9E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1.66%</w:t>
            </w:r>
          </w:p>
        </w:tc>
        <w:tc>
          <w:tcPr>
            <w:tcW w:w="1246" w:type="dxa"/>
            <w:tcBorders>
              <w:top w:val="nil"/>
              <w:left w:val="single" w:sz="4" w:space="0" w:color="auto"/>
            </w:tcBorders>
            <w:noWrap/>
            <w:vAlign w:val="center"/>
            <w:hideMark/>
          </w:tcPr>
          <w:p w14:paraId="31EF93F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128</w:t>
            </w:r>
          </w:p>
        </w:tc>
        <w:tc>
          <w:tcPr>
            <w:tcW w:w="1245" w:type="dxa"/>
            <w:tcBorders>
              <w:top w:val="nil"/>
              <w:right w:val="single" w:sz="4" w:space="0" w:color="auto"/>
            </w:tcBorders>
            <w:vAlign w:val="center"/>
          </w:tcPr>
          <w:p w14:paraId="4F0B4E4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1.43%</w:t>
            </w:r>
          </w:p>
        </w:tc>
        <w:tc>
          <w:tcPr>
            <w:tcW w:w="1380" w:type="dxa"/>
            <w:tcBorders>
              <w:top w:val="nil"/>
              <w:left w:val="single" w:sz="4" w:space="0" w:color="auto"/>
            </w:tcBorders>
            <w:noWrap/>
            <w:vAlign w:val="center"/>
            <w:hideMark/>
          </w:tcPr>
          <w:p w14:paraId="7FC6EFC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93</w:t>
            </w:r>
          </w:p>
        </w:tc>
        <w:tc>
          <w:tcPr>
            <w:tcW w:w="1112" w:type="dxa"/>
            <w:tcBorders>
              <w:top w:val="nil"/>
              <w:right w:val="single" w:sz="4" w:space="0" w:color="auto"/>
            </w:tcBorders>
            <w:vAlign w:val="center"/>
          </w:tcPr>
          <w:p w14:paraId="0DEA8EE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1.04%</w:t>
            </w:r>
          </w:p>
        </w:tc>
        <w:tc>
          <w:tcPr>
            <w:tcW w:w="1581" w:type="dxa"/>
            <w:tcBorders>
              <w:top w:val="nil"/>
              <w:left w:val="single" w:sz="4" w:space="0" w:color="auto"/>
            </w:tcBorders>
            <w:noWrap/>
            <w:vAlign w:val="center"/>
            <w:hideMark/>
          </w:tcPr>
          <w:p w14:paraId="7A78D81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35</w:t>
            </w:r>
          </w:p>
        </w:tc>
        <w:tc>
          <w:tcPr>
            <w:tcW w:w="910" w:type="dxa"/>
            <w:tcBorders>
              <w:top w:val="nil"/>
              <w:right w:val="single" w:sz="4" w:space="0" w:color="auto"/>
            </w:tcBorders>
            <w:vAlign w:val="center"/>
          </w:tcPr>
          <w:p w14:paraId="090779C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0.39%</w:t>
            </w:r>
          </w:p>
        </w:tc>
        <w:tc>
          <w:tcPr>
            <w:tcW w:w="1246" w:type="dxa"/>
            <w:tcBorders>
              <w:top w:val="nil"/>
              <w:left w:val="single" w:sz="4" w:space="0" w:color="auto"/>
            </w:tcBorders>
            <w:vAlign w:val="center"/>
          </w:tcPr>
          <w:p w14:paraId="7ED66AA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276</w:t>
            </w:r>
          </w:p>
        </w:tc>
        <w:tc>
          <w:tcPr>
            <w:tcW w:w="1246" w:type="dxa"/>
            <w:tcBorders>
              <w:top w:val="nil"/>
              <w:right w:val="single" w:sz="4" w:space="0" w:color="auto"/>
            </w:tcBorders>
            <w:vAlign w:val="center"/>
          </w:tcPr>
          <w:p w14:paraId="02C57EF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3.09%</w:t>
            </w:r>
          </w:p>
        </w:tc>
      </w:tr>
      <w:tr w:rsidR="001C4508" w:rsidRPr="000A26F2" w14:paraId="4A51E1D2"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49FF68BE"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66622B3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121</w:t>
            </w:r>
          </w:p>
        </w:tc>
        <w:tc>
          <w:tcPr>
            <w:tcW w:w="1246" w:type="dxa"/>
            <w:tcBorders>
              <w:right w:val="single" w:sz="4" w:space="0" w:color="auto"/>
            </w:tcBorders>
            <w:vAlign w:val="center"/>
          </w:tcPr>
          <w:p w14:paraId="5F2005C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1.35%</w:t>
            </w:r>
          </w:p>
        </w:tc>
        <w:tc>
          <w:tcPr>
            <w:tcW w:w="1246" w:type="dxa"/>
            <w:tcBorders>
              <w:left w:val="single" w:sz="4" w:space="0" w:color="auto"/>
            </w:tcBorders>
            <w:noWrap/>
            <w:vAlign w:val="center"/>
            <w:hideMark/>
          </w:tcPr>
          <w:p w14:paraId="6A89F98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97</w:t>
            </w:r>
          </w:p>
        </w:tc>
        <w:tc>
          <w:tcPr>
            <w:tcW w:w="1245" w:type="dxa"/>
            <w:tcBorders>
              <w:right w:val="single" w:sz="4" w:space="0" w:color="auto"/>
            </w:tcBorders>
            <w:vAlign w:val="center"/>
          </w:tcPr>
          <w:p w14:paraId="4A37B61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1.09%</w:t>
            </w:r>
          </w:p>
        </w:tc>
        <w:tc>
          <w:tcPr>
            <w:tcW w:w="1380" w:type="dxa"/>
            <w:tcBorders>
              <w:left w:val="single" w:sz="4" w:space="0" w:color="auto"/>
            </w:tcBorders>
            <w:noWrap/>
            <w:vAlign w:val="center"/>
            <w:hideMark/>
          </w:tcPr>
          <w:p w14:paraId="56528E9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75</w:t>
            </w:r>
          </w:p>
        </w:tc>
        <w:tc>
          <w:tcPr>
            <w:tcW w:w="1112" w:type="dxa"/>
            <w:tcBorders>
              <w:right w:val="single" w:sz="4" w:space="0" w:color="auto"/>
            </w:tcBorders>
            <w:vAlign w:val="center"/>
          </w:tcPr>
          <w:p w14:paraId="3834193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0.84%</w:t>
            </w:r>
          </w:p>
        </w:tc>
        <w:tc>
          <w:tcPr>
            <w:tcW w:w="1581" w:type="dxa"/>
            <w:tcBorders>
              <w:left w:val="single" w:sz="4" w:space="0" w:color="auto"/>
            </w:tcBorders>
            <w:noWrap/>
            <w:vAlign w:val="center"/>
            <w:hideMark/>
          </w:tcPr>
          <w:p w14:paraId="41B7D98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22</w:t>
            </w:r>
          </w:p>
        </w:tc>
        <w:tc>
          <w:tcPr>
            <w:tcW w:w="910" w:type="dxa"/>
            <w:tcBorders>
              <w:right w:val="single" w:sz="4" w:space="0" w:color="auto"/>
            </w:tcBorders>
            <w:vAlign w:val="center"/>
          </w:tcPr>
          <w:p w14:paraId="451FD5C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0.25%</w:t>
            </w:r>
          </w:p>
        </w:tc>
        <w:tc>
          <w:tcPr>
            <w:tcW w:w="1246" w:type="dxa"/>
            <w:tcBorders>
              <w:left w:val="single" w:sz="4" w:space="0" w:color="auto"/>
            </w:tcBorders>
            <w:vAlign w:val="center"/>
          </w:tcPr>
          <w:p w14:paraId="7158D15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218</w:t>
            </w:r>
          </w:p>
        </w:tc>
        <w:tc>
          <w:tcPr>
            <w:tcW w:w="1246" w:type="dxa"/>
            <w:tcBorders>
              <w:right w:val="single" w:sz="4" w:space="0" w:color="auto"/>
            </w:tcBorders>
            <w:vAlign w:val="center"/>
          </w:tcPr>
          <w:p w14:paraId="7763CA3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2.44%</w:t>
            </w:r>
          </w:p>
        </w:tc>
      </w:tr>
      <w:tr w:rsidR="001C4508" w:rsidRPr="000A26F2" w14:paraId="592CFE86"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42510B88"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3A343CD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762</w:t>
            </w:r>
          </w:p>
        </w:tc>
        <w:tc>
          <w:tcPr>
            <w:tcW w:w="1246" w:type="dxa"/>
            <w:tcBorders>
              <w:right w:val="single" w:sz="4" w:space="0" w:color="auto"/>
            </w:tcBorders>
            <w:vAlign w:val="center"/>
          </w:tcPr>
          <w:p w14:paraId="010FF00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8.53%</w:t>
            </w:r>
          </w:p>
        </w:tc>
        <w:tc>
          <w:tcPr>
            <w:tcW w:w="1246" w:type="dxa"/>
            <w:tcBorders>
              <w:left w:val="single" w:sz="4" w:space="0" w:color="auto"/>
            </w:tcBorders>
            <w:noWrap/>
            <w:vAlign w:val="center"/>
            <w:hideMark/>
          </w:tcPr>
          <w:p w14:paraId="5B78458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447</w:t>
            </w:r>
          </w:p>
        </w:tc>
        <w:tc>
          <w:tcPr>
            <w:tcW w:w="1245" w:type="dxa"/>
            <w:tcBorders>
              <w:right w:val="single" w:sz="4" w:space="0" w:color="auto"/>
            </w:tcBorders>
            <w:vAlign w:val="center"/>
          </w:tcPr>
          <w:p w14:paraId="300F8DE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5.01%</w:t>
            </w:r>
          </w:p>
        </w:tc>
        <w:tc>
          <w:tcPr>
            <w:tcW w:w="1380" w:type="dxa"/>
            <w:tcBorders>
              <w:left w:val="single" w:sz="4" w:space="0" w:color="auto"/>
            </w:tcBorders>
            <w:noWrap/>
            <w:vAlign w:val="center"/>
            <w:hideMark/>
          </w:tcPr>
          <w:p w14:paraId="5FC4B28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354</w:t>
            </w:r>
          </w:p>
        </w:tc>
        <w:tc>
          <w:tcPr>
            <w:tcW w:w="1112" w:type="dxa"/>
            <w:tcBorders>
              <w:right w:val="single" w:sz="4" w:space="0" w:color="auto"/>
            </w:tcBorders>
            <w:vAlign w:val="center"/>
          </w:tcPr>
          <w:p w14:paraId="1801174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3.96%</w:t>
            </w:r>
          </w:p>
        </w:tc>
        <w:tc>
          <w:tcPr>
            <w:tcW w:w="1581" w:type="dxa"/>
            <w:tcBorders>
              <w:left w:val="single" w:sz="4" w:space="0" w:color="auto"/>
            </w:tcBorders>
            <w:noWrap/>
            <w:vAlign w:val="center"/>
            <w:hideMark/>
          </w:tcPr>
          <w:p w14:paraId="7CE6771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93</w:t>
            </w:r>
          </w:p>
        </w:tc>
        <w:tc>
          <w:tcPr>
            <w:tcW w:w="910" w:type="dxa"/>
            <w:tcBorders>
              <w:right w:val="single" w:sz="4" w:space="0" w:color="auto"/>
            </w:tcBorders>
            <w:vAlign w:val="center"/>
          </w:tcPr>
          <w:p w14:paraId="3072F8E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1.04%</w:t>
            </w:r>
          </w:p>
        </w:tc>
        <w:tc>
          <w:tcPr>
            <w:tcW w:w="1246" w:type="dxa"/>
            <w:tcBorders>
              <w:left w:val="single" w:sz="4" w:space="0" w:color="auto"/>
            </w:tcBorders>
            <w:vAlign w:val="center"/>
          </w:tcPr>
          <w:p w14:paraId="45C3B06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1,209</w:t>
            </w:r>
          </w:p>
        </w:tc>
        <w:tc>
          <w:tcPr>
            <w:tcW w:w="1246" w:type="dxa"/>
            <w:tcBorders>
              <w:right w:val="single" w:sz="4" w:space="0" w:color="auto"/>
            </w:tcBorders>
            <w:vAlign w:val="center"/>
          </w:tcPr>
          <w:p w14:paraId="7F541EC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13.54%</w:t>
            </w:r>
          </w:p>
        </w:tc>
      </w:tr>
      <w:tr w:rsidR="001C4508" w:rsidRPr="000A26F2" w14:paraId="3B107C98"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E2D32DF"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170566D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823</w:t>
            </w:r>
          </w:p>
        </w:tc>
        <w:tc>
          <w:tcPr>
            <w:tcW w:w="1246" w:type="dxa"/>
            <w:tcBorders>
              <w:right w:val="single" w:sz="4" w:space="0" w:color="auto"/>
            </w:tcBorders>
            <w:vAlign w:val="center"/>
          </w:tcPr>
          <w:p w14:paraId="4546E0B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9.22%</w:t>
            </w:r>
          </w:p>
        </w:tc>
        <w:tc>
          <w:tcPr>
            <w:tcW w:w="1246" w:type="dxa"/>
            <w:tcBorders>
              <w:left w:val="single" w:sz="4" w:space="0" w:color="auto"/>
            </w:tcBorders>
            <w:noWrap/>
            <w:vAlign w:val="center"/>
            <w:hideMark/>
          </w:tcPr>
          <w:p w14:paraId="4B2745B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590</w:t>
            </w:r>
          </w:p>
        </w:tc>
        <w:tc>
          <w:tcPr>
            <w:tcW w:w="1245" w:type="dxa"/>
            <w:tcBorders>
              <w:right w:val="single" w:sz="4" w:space="0" w:color="auto"/>
            </w:tcBorders>
            <w:vAlign w:val="center"/>
          </w:tcPr>
          <w:p w14:paraId="3CAB302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6.61%</w:t>
            </w:r>
          </w:p>
        </w:tc>
        <w:tc>
          <w:tcPr>
            <w:tcW w:w="1380" w:type="dxa"/>
            <w:tcBorders>
              <w:left w:val="single" w:sz="4" w:space="0" w:color="auto"/>
            </w:tcBorders>
            <w:noWrap/>
            <w:vAlign w:val="center"/>
            <w:hideMark/>
          </w:tcPr>
          <w:p w14:paraId="0E63803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407</w:t>
            </w:r>
          </w:p>
        </w:tc>
        <w:tc>
          <w:tcPr>
            <w:tcW w:w="1112" w:type="dxa"/>
            <w:tcBorders>
              <w:right w:val="single" w:sz="4" w:space="0" w:color="auto"/>
            </w:tcBorders>
            <w:vAlign w:val="center"/>
          </w:tcPr>
          <w:p w14:paraId="1A39B5D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4.56%</w:t>
            </w:r>
          </w:p>
        </w:tc>
        <w:tc>
          <w:tcPr>
            <w:tcW w:w="1581" w:type="dxa"/>
            <w:tcBorders>
              <w:left w:val="single" w:sz="4" w:space="0" w:color="auto"/>
            </w:tcBorders>
            <w:noWrap/>
            <w:vAlign w:val="center"/>
            <w:hideMark/>
          </w:tcPr>
          <w:p w14:paraId="3301AB0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183</w:t>
            </w:r>
          </w:p>
        </w:tc>
        <w:tc>
          <w:tcPr>
            <w:tcW w:w="910" w:type="dxa"/>
            <w:tcBorders>
              <w:right w:val="single" w:sz="4" w:space="0" w:color="auto"/>
            </w:tcBorders>
            <w:vAlign w:val="center"/>
          </w:tcPr>
          <w:p w14:paraId="620A448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2.05%</w:t>
            </w:r>
          </w:p>
        </w:tc>
        <w:tc>
          <w:tcPr>
            <w:tcW w:w="1246" w:type="dxa"/>
            <w:tcBorders>
              <w:left w:val="single" w:sz="4" w:space="0" w:color="auto"/>
            </w:tcBorders>
            <w:vAlign w:val="center"/>
          </w:tcPr>
          <w:p w14:paraId="3EF35F2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1,413</w:t>
            </w:r>
          </w:p>
        </w:tc>
        <w:tc>
          <w:tcPr>
            <w:tcW w:w="1246" w:type="dxa"/>
            <w:tcBorders>
              <w:right w:val="single" w:sz="4" w:space="0" w:color="auto"/>
            </w:tcBorders>
            <w:vAlign w:val="center"/>
          </w:tcPr>
          <w:p w14:paraId="19966E4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15.82%</w:t>
            </w:r>
          </w:p>
        </w:tc>
      </w:tr>
      <w:tr w:rsidR="001C4508" w:rsidRPr="000A26F2" w14:paraId="40BEC021"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0288A9EA"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4FEB2F8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18</w:t>
            </w:r>
          </w:p>
        </w:tc>
        <w:tc>
          <w:tcPr>
            <w:tcW w:w="1246" w:type="dxa"/>
            <w:tcBorders>
              <w:right w:val="single" w:sz="4" w:space="0" w:color="auto"/>
            </w:tcBorders>
            <w:vAlign w:val="center"/>
          </w:tcPr>
          <w:p w14:paraId="0C8C214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0.20%</w:t>
            </w:r>
          </w:p>
        </w:tc>
        <w:tc>
          <w:tcPr>
            <w:tcW w:w="1246" w:type="dxa"/>
            <w:tcBorders>
              <w:left w:val="single" w:sz="4" w:space="0" w:color="auto"/>
            </w:tcBorders>
            <w:noWrap/>
            <w:vAlign w:val="center"/>
            <w:hideMark/>
          </w:tcPr>
          <w:p w14:paraId="76E4436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w:t>
            </w:r>
          </w:p>
        </w:tc>
        <w:tc>
          <w:tcPr>
            <w:tcW w:w="1245" w:type="dxa"/>
            <w:tcBorders>
              <w:right w:val="single" w:sz="4" w:space="0" w:color="auto"/>
            </w:tcBorders>
            <w:vAlign w:val="center"/>
          </w:tcPr>
          <w:p w14:paraId="2DF9C3B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0.10%</w:t>
            </w:r>
          </w:p>
        </w:tc>
        <w:tc>
          <w:tcPr>
            <w:tcW w:w="1380" w:type="dxa"/>
            <w:tcBorders>
              <w:left w:val="single" w:sz="4" w:space="0" w:color="auto"/>
            </w:tcBorders>
            <w:noWrap/>
            <w:vAlign w:val="center"/>
            <w:hideMark/>
          </w:tcPr>
          <w:p w14:paraId="61D7324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w:t>
            </w:r>
          </w:p>
        </w:tc>
        <w:tc>
          <w:tcPr>
            <w:tcW w:w="1112" w:type="dxa"/>
            <w:tcBorders>
              <w:right w:val="single" w:sz="4" w:space="0" w:color="auto"/>
            </w:tcBorders>
            <w:vAlign w:val="center"/>
          </w:tcPr>
          <w:p w14:paraId="17AFC67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0.08%</w:t>
            </w:r>
          </w:p>
        </w:tc>
        <w:tc>
          <w:tcPr>
            <w:tcW w:w="1581" w:type="dxa"/>
            <w:tcBorders>
              <w:left w:val="single" w:sz="4" w:space="0" w:color="auto"/>
            </w:tcBorders>
            <w:noWrap/>
            <w:vAlign w:val="center"/>
            <w:hideMark/>
          </w:tcPr>
          <w:p w14:paraId="4D5DE82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w:t>
            </w:r>
          </w:p>
        </w:tc>
        <w:tc>
          <w:tcPr>
            <w:tcW w:w="910" w:type="dxa"/>
            <w:tcBorders>
              <w:right w:val="single" w:sz="4" w:space="0" w:color="auto"/>
            </w:tcBorders>
            <w:vAlign w:val="center"/>
          </w:tcPr>
          <w:p w14:paraId="269FCBA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0.02%</w:t>
            </w:r>
          </w:p>
        </w:tc>
        <w:tc>
          <w:tcPr>
            <w:tcW w:w="1246" w:type="dxa"/>
            <w:tcBorders>
              <w:left w:val="single" w:sz="4" w:space="0" w:color="auto"/>
            </w:tcBorders>
            <w:vAlign w:val="center"/>
          </w:tcPr>
          <w:p w14:paraId="5B53A07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27</w:t>
            </w:r>
          </w:p>
        </w:tc>
        <w:tc>
          <w:tcPr>
            <w:tcW w:w="1246" w:type="dxa"/>
            <w:tcBorders>
              <w:right w:val="single" w:sz="4" w:space="0" w:color="auto"/>
            </w:tcBorders>
            <w:vAlign w:val="center"/>
          </w:tcPr>
          <w:p w14:paraId="323F482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0.30%</w:t>
            </w:r>
          </w:p>
        </w:tc>
      </w:tr>
      <w:tr w:rsidR="001C4508" w:rsidRPr="000A26F2" w14:paraId="204AD7C0"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70DD76EB"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7B2819C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1,872</w:t>
            </w:r>
          </w:p>
        </w:tc>
        <w:tc>
          <w:tcPr>
            <w:tcW w:w="1246" w:type="dxa"/>
            <w:tcBorders>
              <w:right w:val="single" w:sz="4" w:space="0" w:color="auto"/>
            </w:tcBorders>
            <w:vAlign w:val="center"/>
          </w:tcPr>
          <w:p w14:paraId="4C7172E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20.96%</w:t>
            </w:r>
          </w:p>
        </w:tc>
        <w:tc>
          <w:tcPr>
            <w:tcW w:w="1246" w:type="dxa"/>
            <w:tcBorders>
              <w:left w:val="single" w:sz="4" w:space="0" w:color="auto"/>
            </w:tcBorders>
            <w:noWrap/>
            <w:vAlign w:val="center"/>
            <w:hideMark/>
          </w:tcPr>
          <w:p w14:paraId="37520E1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1,271</w:t>
            </w:r>
          </w:p>
        </w:tc>
        <w:tc>
          <w:tcPr>
            <w:tcW w:w="1245" w:type="dxa"/>
            <w:tcBorders>
              <w:right w:val="single" w:sz="4" w:space="0" w:color="auto"/>
            </w:tcBorders>
            <w:vAlign w:val="center"/>
          </w:tcPr>
          <w:p w14:paraId="61F4549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14.23%</w:t>
            </w:r>
          </w:p>
        </w:tc>
        <w:tc>
          <w:tcPr>
            <w:tcW w:w="1380" w:type="dxa"/>
            <w:tcBorders>
              <w:left w:val="single" w:sz="4" w:space="0" w:color="auto"/>
            </w:tcBorders>
            <w:noWrap/>
            <w:vAlign w:val="center"/>
            <w:hideMark/>
          </w:tcPr>
          <w:p w14:paraId="755DE77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936</w:t>
            </w:r>
          </w:p>
        </w:tc>
        <w:tc>
          <w:tcPr>
            <w:tcW w:w="1112" w:type="dxa"/>
            <w:tcBorders>
              <w:right w:val="single" w:sz="4" w:space="0" w:color="auto"/>
            </w:tcBorders>
            <w:vAlign w:val="center"/>
          </w:tcPr>
          <w:p w14:paraId="2E85AC6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10.48%</w:t>
            </w:r>
          </w:p>
        </w:tc>
        <w:tc>
          <w:tcPr>
            <w:tcW w:w="1581" w:type="dxa"/>
            <w:tcBorders>
              <w:left w:val="single" w:sz="4" w:space="0" w:color="auto"/>
            </w:tcBorders>
            <w:noWrap/>
            <w:vAlign w:val="center"/>
            <w:hideMark/>
          </w:tcPr>
          <w:p w14:paraId="5934B68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335</w:t>
            </w:r>
          </w:p>
        </w:tc>
        <w:tc>
          <w:tcPr>
            <w:tcW w:w="910" w:type="dxa"/>
            <w:tcBorders>
              <w:right w:val="single" w:sz="4" w:space="0" w:color="auto"/>
            </w:tcBorders>
            <w:vAlign w:val="center"/>
          </w:tcPr>
          <w:p w14:paraId="564B263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3.75%</w:t>
            </w:r>
          </w:p>
        </w:tc>
        <w:tc>
          <w:tcPr>
            <w:tcW w:w="1246" w:type="dxa"/>
            <w:tcBorders>
              <w:left w:val="single" w:sz="4" w:space="0" w:color="auto"/>
            </w:tcBorders>
            <w:vAlign w:val="center"/>
          </w:tcPr>
          <w:p w14:paraId="1C060FA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3,143</w:t>
            </w:r>
          </w:p>
        </w:tc>
        <w:tc>
          <w:tcPr>
            <w:tcW w:w="1246" w:type="dxa"/>
            <w:tcBorders>
              <w:right w:val="single" w:sz="4" w:space="0" w:color="auto"/>
            </w:tcBorders>
            <w:vAlign w:val="center"/>
          </w:tcPr>
          <w:p w14:paraId="2F9272C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35.20%</w:t>
            </w:r>
          </w:p>
        </w:tc>
      </w:tr>
      <w:tr w:rsidR="001C4508" w:rsidRPr="000A26F2" w14:paraId="59B9043E"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724399D8"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2671DD0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3,917</w:t>
            </w:r>
          </w:p>
        </w:tc>
        <w:tc>
          <w:tcPr>
            <w:tcW w:w="1246" w:type="dxa"/>
            <w:tcBorders>
              <w:right w:val="single" w:sz="4" w:space="0" w:color="auto"/>
            </w:tcBorders>
            <w:vAlign w:val="center"/>
          </w:tcPr>
          <w:p w14:paraId="7939C64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43.86%</w:t>
            </w:r>
          </w:p>
        </w:tc>
        <w:tc>
          <w:tcPr>
            <w:tcW w:w="1246" w:type="dxa"/>
            <w:tcBorders>
              <w:left w:val="single" w:sz="4" w:space="0" w:color="auto"/>
            </w:tcBorders>
            <w:noWrap/>
            <w:vAlign w:val="center"/>
            <w:hideMark/>
          </w:tcPr>
          <w:p w14:paraId="3878CFD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1,870</w:t>
            </w:r>
          </w:p>
        </w:tc>
        <w:tc>
          <w:tcPr>
            <w:tcW w:w="1245" w:type="dxa"/>
            <w:tcBorders>
              <w:right w:val="single" w:sz="4" w:space="0" w:color="auto"/>
            </w:tcBorders>
            <w:vAlign w:val="center"/>
          </w:tcPr>
          <w:p w14:paraId="0DC92A9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20.94%</w:t>
            </w:r>
          </w:p>
        </w:tc>
        <w:tc>
          <w:tcPr>
            <w:tcW w:w="1380" w:type="dxa"/>
            <w:tcBorders>
              <w:left w:val="single" w:sz="4" w:space="0" w:color="auto"/>
            </w:tcBorders>
            <w:noWrap/>
            <w:vAlign w:val="center"/>
            <w:hideMark/>
          </w:tcPr>
          <w:p w14:paraId="7974B0E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1,176</w:t>
            </w:r>
          </w:p>
        </w:tc>
        <w:tc>
          <w:tcPr>
            <w:tcW w:w="1112" w:type="dxa"/>
            <w:tcBorders>
              <w:right w:val="single" w:sz="4" w:space="0" w:color="auto"/>
            </w:tcBorders>
            <w:vAlign w:val="center"/>
          </w:tcPr>
          <w:p w14:paraId="0CB2C4D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13.17%</w:t>
            </w:r>
          </w:p>
        </w:tc>
        <w:tc>
          <w:tcPr>
            <w:tcW w:w="1581" w:type="dxa"/>
            <w:tcBorders>
              <w:left w:val="single" w:sz="4" w:space="0" w:color="auto"/>
            </w:tcBorders>
            <w:noWrap/>
            <w:vAlign w:val="center"/>
            <w:hideMark/>
          </w:tcPr>
          <w:p w14:paraId="4137286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694</w:t>
            </w:r>
          </w:p>
        </w:tc>
        <w:tc>
          <w:tcPr>
            <w:tcW w:w="910" w:type="dxa"/>
            <w:tcBorders>
              <w:right w:val="single" w:sz="4" w:space="0" w:color="auto"/>
            </w:tcBorders>
            <w:vAlign w:val="center"/>
          </w:tcPr>
          <w:p w14:paraId="7C14DFC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7.77%</w:t>
            </w:r>
          </w:p>
        </w:tc>
        <w:tc>
          <w:tcPr>
            <w:tcW w:w="1246" w:type="dxa"/>
            <w:tcBorders>
              <w:left w:val="single" w:sz="4" w:space="0" w:color="auto"/>
            </w:tcBorders>
            <w:vAlign w:val="center"/>
          </w:tcPr>
          <w:p w14:paraId="47D9237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5,787</w:t>
            </w:r>
          </w:p>
        </w:tc>
        <w:tc>
          <w:tcPr>
            <w:tcW w:w="1246" w:type="dxa"/>
            <w:tcBorders>
              <w:right w:val="single" w:sz="4" w:space="0" w:color="auto"/>
            </w:tcBorders>
            <w:vAlign w:val="center"/>
          </w:tcPr>
          <w:p w14:paraId="70326E2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64.80%</w:t>
            </w:r>
          </w:p>
        </w:tc>
      </w:tr>
      <w:tr w:rsidR="002418F8" w:rsidRPr="000A26F2" w14:paraId="5E769D8A"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noWrap/>
            <w:hideMark/>
          </w:tcPr>
          <w:p w14:paraId="29E4A75A"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noWrap/>
            <w:vAlign w:val="center"/>
            <w:hideMark/>
          </w:tcPr>
          <w:p w14:paraId="43F4DF98"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5,789</w:t>
            </w:r>
          </w:p>
        </w:tc>
        <w:tc>
          <w:tcPr>
            <w:tcW w:w="1246" w:type="dxa"/>
            <w:tcBorders>
              <w:bottom w:val="single" w:sz="4" w:space="0" w:color="auto"/>
              <w:right w:val="single" w:sz="4" w:space="0" w:color="auto"/>
            </w:tcBorders>
            <w:vAlign w:val="center"/>
          </w:tcPr>
          <w:p w14:paraId="24329107"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64.83%</w:t>
            </w:r>
          </w:p>
        </w:tc>
        <w:tc>
          <w:tcPr>
            <w:tcW w:w="1246" w:type="dxa"/>
            <w:tcBorders>
              <w:left w:val="single" w:sz="4" w:space="0" w:color="auto"/>
              <w:bottom w:val="single" w:sz="4" w:space="0" w:color="auto"/>
            </w:tcBorders>
            <w:noWrap/>
            <w:vAlign w:val="center"/>
            <w:hideMark/>
          </w:tcPr>
          <w:p w14:paraId="42F285F8"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3,141</w:t>
            </w:r>
          </w:p>
        </w:tc>
        <w:tc>
          <w:tcPr>
            <w:tcW w:w="1245" w:type="dxa"/>
            <w:tcBorders>
              <w:bottom w:val="single" w:sz="4" w:space="0" w:color="auto"/>
              <w:right w:val="single" w:sz="4" w:space="0" w:color="auto"/>
            </w:tcBorders>
            <w:vAlign w:val="center"/>
          </w:tcPr>
          <w:p w14:paraId="6D0A5F6C"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35.17%</w:t>
            </w:r>
          </w:p>
        </w:tc>
        <w:tc>
          <w:tcPr>
            <w:tcW w:w="1380" w:type="dxa"/>
            <w:tcBorders>
              <w:left w:val="single" w:sz="4" w:space="0" w:color="auto"/>
              <w:bottom w:val="single" w:sz="4" w:space="0" w:color="auto"/>
            </w:tcBorders>
            <w:noWrap/>
            <w:vAlign w:val="center"/>
            <w:hideMark/>
          </w:tcPr>
          <w:p w14:paraId="41FB9464"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2,112</w:t>
            </w:r>
          </w:p>
        </w:tc>
        <w:tc>
          <w:tcPr>
            <w:tcW w:w="1112" w:type="dxa"/>
            <w:tcBorders>
              <w:bottom w:val="single" w:sz="4" w:space="0" w:color="auto"/>
              <w:right w:val="single" w:sz="4" w:space="0" w:color="auto"/>
            </w:tcBorders>
            <w:vAlign w:val="center"/>
          </w:tcPr>
          <w:p w14:paraId="6B78985E"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23.65%</w:t>
            </w:r>
          </w:p>
        </w:tc>
        <w:tc>
          <w:tcPr>
            <w:tcW w:w="1581" w:type="dxa"/>
            <w:tcBorders>
              <w:left w:val="single" w:sz="4" w:space="0" w:color="auto"/>
              <w:bottom w:val="single" w:sz="4" w:space="0" w:color="auto"/>
            </w:tcBorders>
            <w:noWrap/>
            <w:vAlign w:val="center"/>
            <w:hideMark/>
          </w:tcPr>
          <w:p w14:paraId="0C7A3866"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1,029</w:t>
            </w:r>
          </w:p>
        </w:tc>
        <w:tc>
          <w:tcPr>
            <w:tcW w:w="910" w:type="dxa"/>
            <w:tcBorders>
              <w:bottom w:val="single" w:sz="4" w:space="0" w:color="auto"/>
              <w:right w:val="single" w:sz="4" w:space="0" w:color="auto"/>
            </w:tcBorders>
            <w:vAlign w:val="center"/>
          </w:tcPr>
          <w:p w14:paraId="47D26A69"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11.52%</w:t>
            </w:r>
          </w:p>
        </w:tc>
        <w:tc>
          <w:tcPr>
            <w:tcW w:w="1246" w:type="dxa"/>
            <w:tcBorders>
              <w:left w:val="single" w:sz="4" w:space="0" w:color="auto"/>
              <w:bottom w:val="single" w:sz="4" w:space="0" w:color="auto"/>
            </w:tcBorders>
            <w:vAlign w:val="center"/>
          </w:tcPr>
          <w:p w14:paraId="6E491150"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8,930</w:t>
            </w:r>
          </w:p>
        </w:tc>
        <w:tc>
          <w:tcPr>
            <w:tcW w:w="1246" w:type="dxa"/>
            <w:tcBorders>
              <w:bottom w:val="single" w:sz="4" w:space="0" w:color="auto"/>
              <w:right w:val="single" w:sz="4" w:space="0" w:color="auto"/>
            </w:tcBorders>
            <w:vAlign w:val="center"/>
          </w:tcPr>
          <w:p w14:paraId="042A1BBC"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7.45%</w:t>
            </w:r>
          </w:p>
        </w:tc>
      </w:tr>
      <w:tr w:rsidR="001C4508" w:rsidRPr="000A26F2" w14:paraId="457CCBD5"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nil"/>
              <w:right w:val="single" w:sz="4" w:space="0" w:color="auto"/>
            </w:tcBorders>
            <w:noWrap/>
            <w:hideMark/>
          </w:tcPr>
          <w:p w14:paraId="0786915A"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2006</w:t>
            </w:r>
          </w:p>
        </w:tc>
        <w:tc>
          <w:tcPr>
            <w:tcW w:w="1245" w:type="dxa"/>
            <w:tcBorders>
              <w:top w:val="single" w:sz="4" w:space="0" w:color="auto"/>
              <w:left w:val="single" w:sz="4" w:space="0" w:color="auto"/>
              <w:bottom w:val="nil"/>
            </w:tcBorders>
            <w:noWrap/>
            <w:hideMark/>
          </w:tcPr>
          <w:p w14:paraId="5082D17B"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bottom w:val="nil"/>
              <w:right w:val="single" w:sz="4" w:space="0" w:color="auto"/>
            </w:tcBorders>
            <w:vAlign w:val="center"/>
          </w:tcPr>
          <w:p w14:paraId="45AB46D5"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noWrap/>
            <w:hideMark/>
          </w:tcPr>
          <w:p w14:paraId="56C9297A"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5" w:type="dxa"/>
            <w:tcBorders>
              <w:top w:val="single" w:sz="4" w:space="0" w:color="auto"/>
              <w:bottom w:val="nil"/>
              <w:right w:val="single" w:sz="4" w:space="0" w:color="auto"/>
            </w:tcBorders>
            <w:vAlign w:val="center"/>
          </w:tcPr>
          <w:p w14:paraId="7E490DD3"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380" w:type="dxa"/>
            <w:tcBorders>
              <w:top w:val="single" w:sz="4" w:space="0" w:color="auto"/>
              <w:left w:val="single" w:sz="4" w:space="0" w:color="auto"/>
              <w:bottom w:val="nil"/>
            </w:tcBorders>
            <w:noWrap/>
            <w:hideMark/>
          </w:tcPr>
          <w:p w14:paraId="53A4560E"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12" w:type="dxa"/>
            <w:tcBorders>
              <w:top w:val="single" w:sz="4" w:space="0" w:color="auto"/>
              <w:bottom w:val="nil"/>
              <w:right w:val="single" w:sz="4" w:space="0" w:color="auto"/>
            </w:tcBorders>
            <w:vAlign w:val="center"/>
          </w:tcPr>
          <w:p w14:paraId="62864168"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581" w:type="dxa"/>
            <w:tcBorders>
              <w:top w:val="single" w:sz="4" w:space="0" w:color="auto"/>
              <w:left w:val="single" w:sz="4" w:space="0" w:color="auto"/>
              <w:bottom w:val="nil"/>
            </w:tcBorders>
            <w:noWrap/>
            <w:hideMark/>
          </w:tcPr>
          <w:p w14:paraId="53882951"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910" w:type="dxa"/>
            <w:tcBorders>
              <w:top w:val="single" w:sz="4" w:space="0" w:color="auto"/>
              <w:bottom w:val="nil"/>
              <w:right w:val="single" w:sz="4" w:space="0" w:color="auto"/>
            </w:tcBorders>
          </w:tcPr>
          <w:p w14:paraId="29A5EFE7"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left w:val="single" w:sz="4" w:space="0" w:color="auto"/>
              <w:bottom w:val="nil"/>
            </w:tcBorders>
            <w:vAlign w:val="center"/>
          </w:tcPr>
          <w:p w14:paraId="5DF144D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46" w:type="dxa"/>
            <w:tcBorders>
              <w:top w:val="single" w:sz="4" w:space="0" w:color="auto"/>
              <w:bottom w:val="nil"/>
              <w:right w:val="single" w:sz="4" w:space="0" w:color="auto"/>
            </w:tcBorders>
            <w:vAlign w:val="center"/>
          </w:tcPr>
          <w:p w14:paraId="0BEAB05E"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 </w:t>
            </w:r>
          </w:p>
        </w:tc>
      </w:tr>
      <w:tr w:rsidR="001C4508" w:rsidRPr="000A26F2" w14:paraId="35DB0564"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nil"/>
              <w:left w:val="single" w:sz="4" w:space="0" w:color="auto"/>
              <w:right w:val="single" w:sz="4" w:space="0" w:color="auto"/>
            </w:tcBorders>
            <w:noWrap/>
            <w:hideMark/>
          </w:tcPr>
          <w:p w14:paraId="5FA4815E"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top w:val="nil"/>
              <w:left w:val="single" w:sz="4" w:space="0" w:color="auto"/>
            </w:tcBorders>
            <w:noWrap/>
            <w:vAlign w:val="center"/>
            <w:hideMark/>
          </w:tcPr>
          <w:p w14:paraId="4503EEE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161</w:t>
            </w:r>
          </w:p>
        </w:tc>
        <w:tc>
          <w:tcPr>
            <w:tcW w:w="1246" w:type="dxa"/>
            <w:tcBorders>
              <w:top w:val="nil"/>
              <w:right w:val="single" w:sz="4" w:space="0" w:color="auto"/>
            </w:tcBorders>
            <w:vAlign w:val="center"/>
          </w:tcPr>
          <w:p w14:paraId="42F1FCF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1.55%</w:t>
            </w:r>
          </w:p>
        </w:tc>
        <w:tc>
          <w:tcPr>
            <w:tcW w:w="1246" w:type="dxa"/>
            <w:tcBorders>
              <w:top w:val="nil"/>
              <w:left w:val="single" w:sz="4" w:space="0" w:color="auto"/>
            </w:tcBorders>
            <w:noWrap/>
            <w:vAlign w:val="center"/>
            <w:hideMark/>
          </w:tcPr>
          <w:p w14:paraId="5883A8F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141</w:t>
            </w:r>
          </w:p>
        </w:tc>
        <w:tc>
          <w:tcPr>
            <w:tcW w:w="1245" w:type="dxa"/>
            <w:tcBorders>
              <w:top w:val="nil"/>
              <w:right w:val="single" w:sz="4" w:space="0" w:color="auto"/>
            </w:tcBorders>
            <w:vAlign w:val="center"/>
          </w:tcPr>
          <w:p w14:paraId="4DF6D06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1.36%</w:t>
            </w:r>
          </w:p>
        </w:tc>
        <w:tc>
          <w:tcPr>
            <w:tcW w:w="1380" w:type="dxa"/>
            <w:tcBorders>
              <w:top w:val="nil"/>
              <w:left w:val="single" w:sz="4" w:space="0" w:color="auto"/>
            </w:tcBorders>
            <w:noWrap/>
            <w:vAlign w:val="center"/>
            <w:hideMark/>
          </w:tcPr>
          <w:p w14:paraId="10A58E6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89</w:t>
            </w:r>
          </w:p>
        </w:tc>
        <w:tc>
          <w:tcPr>
            <w:tcW w:w="1112" w:type="dxa"/>
            <w:tcBorders>
              <w:top w:val="nil"/>
              <w:right w:val="single" w:sz="4" w:space="0" w:color="auto"/>
            </w:tcBorders>
            <w:vAlign w:val="center"/>
          </w:tcPr>
          <w:p w14:paraId="3A54EBD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0.86%</w:t>
            </w:r>
          </w:p>
        </w:tc>
        <w:tc>
          <w:tcPr>
            <w:tcW w:w="1581" w:type="dxa"/>
            <w:tcBorders>
              <w:top w:val="nil"/>
              <w:left w:val="single" w:sz="4" w:space="0" w:color="auto"/>
            </w:tcBorders>
            <w:noWrap/>
            <w:vAlign w:val="center"/>
            <w:hideMark/>
          </w:tcPr>
          <w:p w14:paraId="66E8A2E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52</w:t>
            </w:r>
          </w:p>
        </w:tc>
        <w:tc>
          <w:tcPr>
            <w:tcW w:w="910" w:type="dxa"/>
            <w:tcBorders>
              <w:top w:val="nil"/>
              <w:right w:val="single" w:sz="4" w:space="0" w:color="auto"/>
            </w:tcBorders>
            <w:vAlign w:val="center"/>
          </w:tcPr>
          <w:p w14:paraId="05BF0F5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0.50%</w:t>
            </w:r>
          </w:p>
        </w:tc>
        <w:tc>
          <w:tcPr>
            <w:tcW w:w="1246" w:type="dxa"/>
            <w:tcBorders>
              <w:top w:val="nil"/>
              <w:left w:val="single" w:sz="4" w:space="0" w:color="auto"/>
            </w:tcBorders>
            <w:vAlign w:val="center"/>
          </w:tcPr>
          <w:p w14:paraId="0DBBC9F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302</w:t>
            </w:r>
          </w:p>
        </w:tc>
        <w:tc>
          <w:tcPr>
            <w:tcW w:w="1246" w:type="dxa"/>
            <w:tcBorders>
              <w:top w:val="nil"/>
              <w:right w:val="single" w:sz="4" w:space="0" w:color="auto"/>
            </w:tcBorders>
            <w:vAlign w:val="center"/>
          </w:tcPr>
          <w:p w14:paraId="783F779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2.91%</w:t>
            </w:r>
          </w:p>
        </w:tc>
      </w:tr>
      <w:tr w:rsidR="001C4508" w:rsidRPr="000A26F2" w14:paraId="2EA48A27"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E6A8FCA"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491B16A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170</w:t>
            </w:r>
          </w:p>
        </w:tc>
        <w:tc>
          <w:tcPr>
            <w:tcW w:w="1246" w:type="dxa"/>
            <w:tcBorders>
              <w:right w:val="single" w:sz="4" w:space="0" w:color="auto"/>
            </w:tcBorders>
            <w:vAlign w:val="center"/>
          </w:tcPr>
          <w:p w14:paraId="2F407EC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1.64%</w:t>
            </w:r>
          </w:p>
        </w:tc>
        <w:tc>
          <w:tcPr>
            <w:tcW w:w="1246" w:type="dxa"/>
            <w:tcBorders>
              <w:left w:val="single" w:sz="4" w:space="0" w:color="auto"/>
            </w:tcBorders>
            <w:noWrap/>
            <w:vAlign w:val="center"/>
            <w:hideMark/>
          </w:tcPr>
          <w:p w14:paraId="584B582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116</w:t>
            </w:r>
          </w:p>
        </w:tc>
        <w:tc>
          <w:tcPr>
            <w:tcW w:w="1245" w:type="dxa"/>
            <w:tcBorders>
              <w:right w:val="single" w:sz="4" w:space="0" w:color="auto"/>
            </w:tcBorders>
            <w:vAlign w:val="center"/>
          </w:tcPr>
          <w:p w14:paraId="5D829AA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1.12%</w:t>
            </w:r>
          </w:p>
        </w:tc>
        <w:tc>
          <w:tcPr>
            <w:tcW w:w="1380" w:type="dxa"/>
            <w:tcBorders>
              <w:left w:val="single" w:sz="4" w:space="0" w:color="auto"/>
            </w:tcBorders>
            <w:noWrap/>
            <w:vAlign w:val="center"/>
            <w:hideMark/>
          </w:tcPr>
          <w:p w14:paraId="7674C10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87</w:t>
            </w:r>
          </w:p>
        </w:tc>
        <w:tc>
          <w:tcPr>
            <w:tcW w:w="1112" w:type="dxa"/>
            <w:tcBorders>
              <w:right w:val="single" w:sz="4" w:space="0" w:color="auto"/>
            </w:tcBorders>
            <w:vAlign w:val="center"/>
          </w:tcPr>
          <w:p w14:paraId="781D1B4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0.84%</w:t>
            </w:r>
          </w:p>
        </w:tc>
        <w:tc>
          <w:tcPr>
            <w:tcW w:w="1581" w:type="dxa"/>
            <w:tcBorders>
              <w:left w:val="single" w:sz="4" w:space="0" w:color="auto"/>
            </w:tcBorders>
            <w:noWrap/>
            <w:vAlign w:val="center"/>
            <w:hideMark/>
          </w:tcPr>
          <w:p w14:paraId="0FAB690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29</w:t>
            </w:r>
          </w:p>
        </w:tc>
        <w:tc>
          <w:tcPr>
            <w:tcW w:w="910" w:type="dxa"/>
            <w:tcBorders>
              <w:right w:val="single" w:sz="4" w:space="0" w:color="auto"/>
            </w:tcBorders>
            <w:vAlign w:val="center"/>
          </w:tcPr>
          <w:p w14:paraId="3DE7FD7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0.28%</w:t>
            </w:r>
          </w:p>
        </w:tc>
        <w:tc>
          <w:tcPr>
            <w:tcW w:w="1246" w:type="dxa"/>
            <w:tcBorders>
              <w:left w:val="single" w:sz="4" w:space="0" w:color="auto"/>
            </w:tcBorders>
            <w:vAlign w:val="center"/>
          </w:tcPr>
          <w:p w14:paraId="07F4921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286</w:t>
            </w:r>
          </w:p>
        </w:tc>
        <w:tc>
          <w:tcPr>
            <w:tcW w:w="1246" w:type="dxa"/>
            <w:tcBorders>
              <w:right w:val="single" w:sz="4" w:space="0" w:color="auto"/>
            </w:tcBorders>
            <w:vAlign w:val="center"/>
          </w:tcPr>
          <w:p w14:paraId="4C95ECA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2.75%</w:t>
            </w:r>
          </w:p>
        </w:tc>
      </w:tr>
      <w:tr w:rsidR="001C4508" w:rsidRPr="000A26F2" w14:paraId="66210547"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7954B894"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423A11B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897</w:t>
            </w:r>
          </w:p>
        </w:tc>
        <w:tc>
          <w:tcPr>
            <w:tcW w:w="1246" w:type="dxa"/>
            <w:tcBorders>
              <w:right w:val="single" w:sz="4" w:space="0" w:color="auto"/>
            </w:tcBorders>
            <w:vAlign w:val="center"/>
          </w:tcPr>
          <w:p w14:paraId="48C7187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8.64%</w:t>
            </w:r>
          </w:p>
        </w:tc>
        <w:tc>
          <w:tcPr>
            <w:tcW w:w="1246" w:type="dxa"/>
            <w:tcBorders>
              <w:left w:val="single" w:sz="4" w:space="0" w:color="auto"/>
            </w:tcBorders>
            <w:noWrap/>
            <w:vAlign w:val="center"/>
            <w:hideMark/>
          </w:tcPr>
          <w:p w14:paraId="1902456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556</w:t>
            </w:r>
          </w:p>
        </w:tc>
        <w:tc>
          <w:tcPr>
            <w:tcW w:w="1245" w:type="dxa"/>
            <w:tcBorders>
              <w:right w:val="single" w:sz="4" w:space="0" w:color="auto"/>
            </w:tcBorders>
            <w:vAlign w:val="center"/>
          </w:tcPr>
          <w:p w14:paraId="072E494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5.36%</w:t>
            </w:r>
          </w:p>
        </w:tc>
        <w:tc>
          <w:tcPr>
            <w:tcW w:w="1380" w:type="dxa"/>
            <w:tcBorders>
              <w:left w:val="single" w:sz="4" w:space="0" w:color="auto"/>
            </w:tcBorders>
            <w:noWrap/>
            <w:vAlign w:val="center"/>
            <w:hideMark/>
          </w:tcPr>
          <w:p w14:paraId="15BE0B1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415</w:t>
            </w:r>
          </w:p>
        </w:tc>
        <w:tc>
          <w:tcPr>
            <w:tcW w:w="1112" w:type="dxa"/>
            <w:tcBorders>
              <w:right w:val="single" w:sz="4" w:space="0" w:color="auto"/>
            </w:tcBorders>
            <w:vAlign w:val="center"/>
          </w:tcPr>
          <w:p w14:paraId="36BCA3E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4.00%</w:t>
            </w:r>
          </w:p>
        </w:tc>
        <w:tc>
          <w:tcPr>
            <w:tcW w:w="1581" w:type="dxa"/>
            <w:tcBorders>
              <w:left w:val="single" w:sz="4" w:space="0" w:color="auto"/>
            </w:tcBorders>
            <w:noWrap/>
            <w:vAlign w:val="center"/>
            <w:hideMark/>
          </w:tcPr>
          <w:p w14:paraId="7DE8F5B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141</w:t>
            </w:r>
          </w:p>
        </w:tc>
        <w:tc>
          <w:tcPr>
            <w:tcW w:w="910" w:type="dxa"/>
            <w:tcBorders>
              <w:right w:val="single" w:sz="4" w:space="0" w:color="auto"/>
            </w:tcBorders>
            <w:vAlign w:val="center"/>
          </w:tcPr>
          <w:p w14:paraId="6D273FA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1.36%</w:t>
            </w:r>
          </w:p>
        </w:tc>
        <w:tc>
          <w:tcPr>
            <w:tcW w:w="1246" w:type="dxa"/>
            <w:tcBorders>
              <w:left w:val="single" w:sz="4" w:space="0" w:color="auto"/>
            </w:tcBorders>
            <w:vAlign w:val="center"/>
          </w:tcPr>
          <w:p w14:paraId="15C2B3B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1,453</w:t>
            </w:r>
          </w:p>
        </w:tc>
        <w:tc>
          <w:tcPr>
            <w:tcW w:w="1246" w:type="dxa"/>
            <w:tcBorders>
              <w:right w:val="single" w:sz="4" w:space="0" w:color="auto"/>
            </w:tcBorders>
            <w:vAlign w:val="center"/>
          </w:tcPr>
          <w:p w14:paraId="6975C55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14.00%</w:t>
            </w:r>
          </w:p>
        </w:tc>
      </w:tr>
      <w:tr w:rsidR="001C4508" w:rsidRPr="000A26F2" w14:paraId="0F09CB45"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1BD4711A"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4003B30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1,140</w:t>
            </w:r>
          </w:p>
        </w:tc>
        <w:tc>
          <w:tcPr>
            <w:tcW w:w="1246" w:type="dxa"/>
            <w:tcBorders>
              <w:right w:val="single" w:sz="4" w:space="0" w:color="auto"/>
            </w:tcBorders>
            <w:vAlign w:val="center"/>
          </w:tcPr>
          <w:p w14:paraId="68F829C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10.98%</w:t>
            </w:r>
          </w:p>
        </w:tc>
        <w:tc>
          <w:tcPr>
            <w:tcW w:w="1246" w:type="dxa"/>
            <w:tcBorders>
              <w:left w:val="single" w:sz="4" w:space="0" w:color="auto"/>
            </w:tcBorders>
            <w:noWrap/>
            <w:vAlign w:val="center"/>
            <w:hideMark/>
          </w:tcPr>
          <w:p w14:paraId="1367720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637</w:t>
            </w:r>
          </w:p>
        </w:tc>
        <w:tc>
          <w:tcPr>
            <w:tcW w:w="1245" w:type="dxa"/>
            <w:tcBorders>
              <w:right w:val="single" w:sz="4" w:space="0" w:color="auto"/>
            </w:tcBorders>
            <w:vAlign w:val="center"/>
          </w:tcPr>
          <w:p w14:paraId="028EACB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6.14%</w:t>
            </w:r>
          </w:p>
        </w:tc>
        <w:tc>
          <w:tcPr>
            <w:tcW w:w="1380" w:type="dxa"/>
            <w:tcBorders>
              <w:left w:val="single" w:sz="4" w:space="0" w:color="auto"/>
            </w:tcBorders>
            <w:noWrap/>
            <w:vAlign w:val="center"/>
            <w:hideMark/>
          </w:tcPr>
          <w:p w14:paraId="3683F1F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411</w:t>
            </w:r>
          </w:p>
        </w:tc>
        <w:tc>
          <w:tcPr>
            <w:tcW w:w="1112" w:type="dxa"/>
            <w:tcBorders>
              <w:right w:val="single" w:sz="4" w:space="0" w:color="auto"/>
            </w:tcBorders>
            <w:vAlign w:val="center"/>
          </w:tcPr>
          <w:p w14:paraId="7EE59D1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3.96%</w:t>
            </w:r>
          </w:p>
        </w:tc>
        <w:tc>
          <w:tcPr>
            <w:tcW w:w="1581" w:type="dxa"/>
            <w:tcBorders>
              <w:left w:val="single" w:sz="4" w:space="0" w:color="auto"/>
            </w:tcBorders>
            <w:noWrap/>
            <w:vAlign w:val="center"/>
            <w:hideMark/>
          </w:tcPr>
          <w:p w14:paraId="49C96E5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226</w:t>
            </w:r>
          </w:p>
        </w:tc>
        <w:tc>
          <w:tcPr>
            <w:tcW w:w="910" w:type="dxa"/>
            <w:tcBorders>
              <w:right w:val="single" w:sz="4" w:space="0" w:color="auto"/>
            </w:tcBorders>
            <w:vAlign w:val="center"/>
          </w:tcPr>
          <w:p w14:paraId="4F9A4BA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2.18%</w:t>
            </w:r>
          </w:p>
        </w:tc>
        <w:tc>
          <w:tcPr>
            <w:tcW w:w="1246" w:type="dxa"/>
            <w:tcBorders>
              <w:left w:val="single" w:sz="4" w:space="0" w:color="auto"/>
            </w:tcBorders>
            <w:vAlign w:val="center"/>
          </w:tcPr>
          <w:p w14:paraId="6D5630C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1,777</w:t>
            </w:r>
          </w:p>
        </w:tc>
        <w:tc>
          <w:tcPr>
            <w:tcW w:w="1246" w:type="dxa"/>
            <w:tcBorders>
              <w:right w:val="single" w:sz="4" w:space="0" w:color="auto"/>
            </w:tcBorders>
            <w:vAlign w:val="center"/>
          </w:tcPr>
          <w:p w14:paraId="1E99D84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17.12%</w:t>
            </w:r>
          </w:p>
        </w:tc>
      </w:tr>
      <w:tr w:rsidR="001C4508" w:rsidRPr="000A26F2" w14:paraId="3E7A9FCA"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05C7DC81"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5F62EA7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41</w:t>
            </w:r>
          </w:p>
        </w:tc>
        <w:tc>
          <w:tcPr>
            <w:tcW w:w="1246" w:type="dxa"/>
            <w:tcBorders>
              <w:right w:val="single" w:sz="4" w:space="0" w:color="auto"/>
            </w:tcBorders>
            <w:vAlign w:val="center"/>
          </w:tcPr>
          <w:p w14:paraId="70C9105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0.39%</w:t>
            </w:r>
          </w:p>
        </w:tc>
        <w:tc>
          <w:tcPr>
            <w:tcW w:w="1246" w:type="dxa"/>
            <w:tcBorders>
              <w:left w:val="single" w:sz="4" w:space="0" w:color="auto"/>
            </w:tcBorders>
            <w:noWrap/>
            <w:vAlign w:val="center"/>
            <w:hideMark/>
          </w:tcPr>
          <w:p w14:paraId="6C85069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26</w:t>
            </w:r>
          </w:p>
        </w:tc>
        <w:tc>
          <w:tcPr>
            <w:tcW w:w="1245" w:type="dxa"/>
            <w:tcBorders>
              <w:right w:val="single" w:sz="4" w:space="0" w:color="auto"/>
            </w:tcBorders>
            <w:vAlign w:val="center"/>
          </w:tcPr>
          <w:p w14:paraId="465B9E9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0.25%</w:t>
            </w:r>
          </w:p>
        </w:tc>
        <w:tc>
          <w:tcPr>
            <w:tcW w:w="1380" w:type="dxa"/>
            <w:tcBorders>
              <w:left w:val="single" w:sz="4" w:space="0" w:color="auto"/>
            </w:tcBorders>
            <w:noWrap/>
            <w:vAlign w:val="center"/>
            <w:hideMark/>
          </w:tcPr>
          <w:p w14:paraId="43E09DF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20</w:t>
            </w:r>
          </w:p>
        </w:tc>
        <w:tc>
          <w:tcPr>
            <w:tcW w:w="1112" w:type="dxa"/>
            <w:tcBorders>
              <w:right w:val="single" w:sz="4" w:space="0" w:color="auto"/>
            </w:tcBorders>
            <w:vAlign w:val="center"/>
          </w:tcPr>
          <w:p w14:paraId="1B18D7A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0.19%</w:t>
            </w:r>
          </w:p>
        </w:tc>
        <w:tc>
          <w:tcPr>
            <w:tcW w:w="1581" w:type="dxa"/>
            <w:tcBorders>
              <w:left w:val="single" w:sz="4" w:space="0" w:color="auto"/>
            </w:tcBorders>
            <w:noWrap/>
            <w:vAlign w:val="center"/>
            <w:hideMark/>
          </w:tcPr>
          <w:p w14:paraId="23163A7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w:t>
            </w:r>
          </w:p>
        </w:tc>
        <w:tc>
          <w:tcPr>
            <w:tcW w:w="910" w:type="dxa"/>
            <w:tcBorders>
              <w:right w:val="single" w:sz="4" w:space="0" w:color="auto"/>
            </w:tcBorders>
            <w:vAlign w:val="center"/>
          </w:tcPr>
          <w:p w14:paraId="26CD0F4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0.06%</w:t>
            </w:r>
          </w:p>
        </w:tc>
        <w:tc>
          <w:tcPr>
            <w:tcW w:w="1246" w:type="dxa"/>
            <w:tcBorders>
              <w:left w:val="single" w:sz="4" w:space="0" w:color="auto"/>
            </w:tcBorders>
            <w:vAlign w:val="center"/>
          </w:tcPr>
          <w:p w14:paraId="23CF741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67</w:t>
            </w:r>
          </w:p>
        </w:tc>
        <w:tc>
          <w:tcPr>
            <w:tcW w:w="1246" w:type="dxa"/>
            <w:tcBorders>
              <w:right w:val="single" w:sz="4" w:space="0" w:color="auto"/>
            </w:tcBorders>
            <w:vAlign w:val="center"/>
          </w:tcPr>
          <w:p w14:paraId="68A5DF7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0.65%</w:t>
            </w:r>
          </w:p>
        </w:tc>
      </w:tr>
      <w:tr w:rsidR="001C4508" w:rsidRPr="000A26F2" w14:paraId="1D6AB947"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0150CDC5"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13F2B9B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2,409</w:t>
            </w:r>
          </w:p>
        </w:tc>
        <w:tc>
          <w:tcPr>
            <w:tcW w:w="1246" w:type="dxa"/>
            <w:tcBorders>
              <w:right w:val="single" w:sz="4" w:space="0" w:color="auto"/>
            </w:tcBorders>
            <w:vAlign w:val="center"/>
          </w:tcPr>
          <w:p w14:paraId="61CA547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23.20%</w:t>
            </w:r>
          </w:p>
        </w:tc>
        <w:tc>
          <w:tcPr>
            <w:tcW w:w="1246" w:type="dxa"/>
            <w:tcBorders>
              <w:left w:val="single" w:sz="4" w:space="0" w:color="auto"/>
            </w:tcBorders>
            <w:noWrap/>
            <w:vAlign w:val="center"/>
            <w:hideMark/>
          </w:tcPr>
          <w:p w14:paraId="2A17B2D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1,476</w:t>
            </w:r>
          </w:p>
        </w:tc>
        <w:tc>
          <w:tcPr>
            <w:tcW w:w="1245" w:type="dxa"/>
            <w:tcBorders>
              <w:right w:val="single" w:sz="4" w:space="0" w:color="auto"/>
            </w:tcBorders>
            <w:vAlign w:val="center"/>
          </w:tcPr>
          <w:p w14:paraId="6A357EA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14.22%</w:t>
            </w:r>
          </w:p>
        </w:tc>
        <w:tc>
          <w:tcPr>
            <w:tcW w:w="1380" w:type="dxa"/>
            <w:tcBorders>
              <w:left w:val="single" w:sz="4" w:space="0" w:color="auto"/>
            </w:tcBorders>
            <w:noWrap/>
            <w:vAlign w:val="center"/>
            <w:hideMark/>
          </w:tcPr>
          <w:p w14:paraId="2149D47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1,022</w:t>
            </w:r>
          </w:p>
        </w:tc>
        <w:tc>
          <w:tcPr>
            <w:tcW w:w="1112" w:type="dxa"/>
            <w:tcBorders>
              <w:right w:val="single" w:sz="4" w:space="0" w:color="auto"/>
            </w:tcBorders>
            <w:vAlign w:val="center"/>
          </w:tcPr>
          <w:p w14:paraId="2868D1B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9.84%</w:t>
            </w:r>
          </w:p>
        </w:tc>
        <w:tc>
          <w:tcPr>
            <w:tcW w:w="1581" w:type="dxa"/>
            <w:tcBorders>
              <w:left w:val="single" w:sz="4" w:space="0" w:color="auto"/>
            </w:tcBorders>
            <w:noWrap/>
            <w:vAlign w:val="center"/>
            <w:hideMark/>
          </w:tcPr>
          <w:p w14:paraId="5842365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454</w:t>
            </w:r>
          </w:p>
        </w:tc>
        <w:tc>
          <w:tcPr>
            <w:tcW w:w="910" w:type="dxa"/>
            <w:tcBorders>
              <w:right w:val="single" w:sz="4" w:space="0" w:color="auto"/>
            </w:tcBorders>
            <w:vAlign w:val="center"/>
          </w:tcPr>
          <w:p w14:paraId="7F2A9D4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4.37%</w:t>
            </w:r>
          </w:p>
        </w:tc>
        <w:tc>
          <w:tcPr>
            <w:tcW w:w="1246" w:type="dxa"/>
            <w:tcBorders>
              <w:left w:val="single" w:sz="4" w:space="0" w:color="auto"/>
            </w:tcBorders>
            <w:vAlign w:val="center"/>
          </w:tcPr>
          <w:p w14:paraId="20E0EDE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3,885</w:t>
            </w:r>
          </w:p>
        </w:tc>
        <w:tc>
          <w:tcPr>
            <w:tcW w:w="1246" w:type="dxa"/>
            <w:tcBorders>
              <w:right w:val="single" w:sz="4" w:space="0" w:color="auto"/>
            </w:tcBorders>
            <w:vAlign w:val="center"/>
          </w:tcPr>
          <w:p w14:paraId="7012D46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37.42%</w:t>
            </w:r>
          </w:p>
        </w:tc>
      </w:tr>
      <w:tr w:rsidR="001C4508" w:rsidRPr="000A26F2" w14:paraId="27CD87F1"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2528E12"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542101A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4,470</w:t>
            </w:r>
          </w:p>
        </w:tc>
        <w:tc>
          <w:tcPr>
            <w:tcW w:w="1246" w:type="dxa"/>
            <w:tcBorders>
              <w:right w:val="single" w:sz="4" w:space="0" w:color="auto"/>
            </w:tcBorders>
            <w:vAlign w:val="center"/>
          </w:tcPr>
          <w:p w14:paraId="11488D6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43.06%</w:t>
            </w:r>
          </w:p>
        </w:tc>
        <w:tc>
          <w:tcPr>
            <w:tcW w:w="1246" w:type="dxa"/>
            <w:tcBorders>
              <w:left w:val="single" w:sz="4" w:space="0" w:color="auto"/>
            </w:tcBorders>
            <w:noWrap/>
            <w:vAlign w:val="center"/>
            <w:hideMark/>
          </w:tcPr>
          <w:p w14:paraId="276665D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2,027</w:t>
            </w:r>
          </w:p>
        </w:tc>
        <w:tc>
          <w:tcPr>
            <w:tcW w:w="1245" w:type="dxa"/>
            <w:tcBorders>
              <w:right w:val="single" w:sz="4" w:space="0" w:color="auto"/>
            </w:tcBorders>
            <w:vAlign w:val="center"/>
          </w:tcPr>
          <w:p w14:paraId="1E5CC6E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19.52%</w:t>
            </w:r>
          </w:p>
        </w:tc>
        <w:tc>
          <w:tcPr>
            <w:tcW w:w="1380" w:type="dxa"/>
            <w:tcBorders>
              <w:left w:val="single" w:sz="4" w:space="0" w:color="auto"/>
            </w:tcBorders>
            <w:noWrap/>
            <w:vAlign w:val="center"/>
            <w:hideMark/>
          </w:tcPr>
          <w:p w14:paraId="6846C2A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1,164</w:t>
            </w:r>
          </w:p>
        </w:tc>
        <w:tc>
          <w:tcPr>
            <w:tcW w:w="1112" w:type="dxa"/>
            <w:tcBorders>
              <w:right w:val="single" w:sz="4" w:space="0" w:color="auto"/>
            </w:tcBorders>
            <w:vAlign w:val="center"/>
          </w:tcPr>
          <w:p w14:paraId="7DA5CEB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11.21%</w:t>
            </w:r>
          </w:p>
        </w:tc>
        <w:tc>
          <w:tcPr>
            <w:tcW w:w="1581" w:type="dxa"/>
            <w:tcBorders>
              <w:left w:val="single" w:sz="4" w:space="0" w:color="auto"/>
            </w:tcBorders>
            <w:noWrap/>
            <w:vAlign w:val="center"/>
            <w:hideMark/>
          </w:tcPr>
          <w:p w14:paraId="5CF7303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863</w:t>
            </w:r>
          </w:p>
        </w:tc>
        <w:tc>
          <w:tcPr>
            <w:tcW w:w="910" w:type="dxa"/>
            <w:tcBorders>
              <w:right w:val="single" w:sz="4" w:space="0" w:color="auto"/>
            </w:tcBorders>
            <w:vAlign w:val="center"/>
          </w:tcPr>
          <w:p w14:paraId="1201BEF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8.31%</w:t>
            </w:r>
          </w:p>
        </w:tc>
        <w:tc>
          <w:tcPr>
            <w:tcW w:w="1246" w:type="dxa"/>
            <w:tcBorders>
              <w:left w:val="single" w:sz="4" w:space="0" w:color="auto"/>
            </w:tcBorders>
            <w:vAlign w:val="center"/>
          </w:tcPr>
          <w:p w14:paraId="6807F5C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6,497</w:t>
            </w:r>
          </w:p>
        </w:tc>
        <w:tc>
          <w:tcPr>
            <w:tcW w:w="1246" w:type="dxa"/>
            <w:tcBorders>
              <w:right w:val="single" w:sz="4" w:space="0" w:color="auto"/>
            </w:tcBorders>
            <w:vAlign w:val="center"/>
          </w:tcPr>
          <w:p w14:paraId="146CAA4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62.58%</w:t>
            </w:r>
          </w:p>
        </w:tc>
      </w:tr>
      <w:tr w:rsidR="001C4508" w:rsidRPr="000A26F2" w14:paraId="2295B782"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noWrap/>
            <w:hideMark/>
          </w:tcPr>
          <w:p w14:paraId="12E4DEBA"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noWrap/>
            <w:vAlign w:val="center"/>
            <w:hideMark/>
          </w:tcPr>
          <w:p w14:paraId="7141458E"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6,879</w:t>
            </w:r>
          </w:p>
        </w:tc>
        <w:tc>
          <w:tcPr>
            <w:tcW w:w="1246" w:type="dxa"/>
            <w:tcBorders>
              <w:bottom w:val="single" w:sz="4" w:space="0" w:color="auto"/>
              <w:right w:val="single" w:sz="4" w:space="0" w:color="auto"/>
            </w:tcBorders>
            <w:vAlign w:val="center"/>
          </w:tcPr>
          <w:p w14:paraId="70165D6E"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66.26%</w:t>
            </w:r>
          </w:p>
        </w:tc>
        <w:tc>
          <w:tcPr>
            <w:tcW w:w="1246" w:type="dxa"/>
            <w:tcBorders>
              <w:left w:val="single" w:sz="4" w:space="0" w:color="auto"/>
              <w:bottom w:val="single" w:sz="4" w:space="0" w:color="auto"/>
            </w:tcBorders>
            <w:noWrap/>
            <w:vAlign w:val="center"/>
            <w:hideMark/>
          </w:tcPr>
          <w:p w14:paraId="250B471D"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3,503</w:t>
            </w:r>
          </w:p>
        </w:tc>
        <w:tc>
          <w:tcPr>
            <w:tcW w:w="1245" w:type="dxa"/>
            <w:tcBorders>
              <w:bottom w:val="single" w:sz="4" w:space="0" w:color="auto"/>
              <w:right w:val="single" w:sz="4" w:space="0" w:color="auto"/>
            </w:tcBorders>
            <w:vAlign w:val="center"/>
          </w:tcPr>
          <w:p w14:paraId="3CB3EAA5"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33.74%</w:t>
            </w:r>
          </w:p>
        </w:tc>
        <w:tc>
          <w:tcPr>
            <w:tcW w:w="1380" w:type="dxa"/>
            <w:tcBorders>
              <w:left w:val="single" w:sz="4" w:space="0" w:color="auto"/>
              <w:bottom w:val="single" w:sz="4" w:space="0" w:color="auto"/>
            </w:tcBorders>
            <w:noWrap/>
            <w:vAlign w:val="center"/>
            <w:hideMark/>
          </w:tcPr>
          <w:p w14:paraId="5D3D7DE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2,186</w:t>
            </w:r>
          </w:p>
        </w:tc>
        <w:tc>
          <w:tcPr>
            <w:tcW w:w="1112" w:type="dxa"/>
            <w:tcBorders>
              <w:bottom w:val="single" w:sz="4" w:space="0" w:color="auto"/>
              <w:right w:val="single" w:sz="4" w:space="0" w:color="auto"/>
            </w:tcBorders>
            <w:vAlign w:val="center"/>
          </w:tcPr>
          <w:p w14:paraId="1B12F49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21.06%</w:t>
            </w:r>
          </w:p>
        </w:tc>
        <w:tc>
          <w:tcPr>
            <w:tcW w:w="1581" w:type="dxa"/>
            <w:tcBorders>
              <w:left w:val="single" w:sz="4" w:space="0" w:color="auto"/>
              <w:bottom w:val="single" w:sz="4" w:space="0" w:color="auto"/>
            </w:tcBorders>
            <w:noWrap/>
            <w:vAlign w:val="center"/>
            <w:hideMark/>
          </w:tcPr>
          <w:p w14:paraId="413DDBC9"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1,317</w:t>
            </w:r>
          </w:p>
        </w:tc>
        <w:tc>
          <w:tcPr>
            <w:tcW w:w="910" w:type="dxa"/>
            <w:tcBorders>
              <w:bottom w:val="single" w:sz="4" w:space="0" w:color="auto"/>
              <w:right w:val="single" w:sz="4" w:space="0" w:color="auto"/>
            </w:tcBorders>
            <w:vAlign w:val="center"/>
          </w:tcPr>
          <w:p w14:paraId="7D2577D2"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12.69%</w:t>
            </w:r>
          </w:p>
        </w:tc>
        <w:tc>
          <w:tcPr>
            <w:tcW w:w="1246" w:type="dxa"/>
            <w:tcBorders>
              <w:left w:val="single" w:sz="4" w:space="0" w:color="auto"/>
              <w:bottom w:val="single" w:sz="4" w:space="0" w:color="auto"/>
            </w:tcBorders>
            <w:vAlign w:val="center"/>
          </w:tcPr>
          <w:p w14:paraId="2172B04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10,382</w:t>
            </w:r>
          </w:p>
        </w:tc>
        <w:tc>
          <w:tcPr>
            <w:tcW w:w="1246" w:type="dxa"/>
            <w:tcBorders>
              <w:bottom w:val="single" w:sz="4" w:space="0" w:color="auto"/>
              <w:right w:val="single" w:sz="4" w:space="0" w:color="auto"/>
            </w:tcBorders>
            <w:vAlign w:val="center"/>
          </w:tcPr>
          <w:p w14:paraId="47E12002"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8.66%</w:t>
            </w:r>
          </w:p>
        </w:tc>
      </w:tr>
    </w:tbl>
    <w:p w14:paraId="64ADB457" w14:textId="77777777" w:rsidR="001C4508" w:rsidRDefault="001C4508" w:rsidP="00CE2FDF">
      <w:pPr>
        <w:spacing w:before="0"/>
      </w:pPr>
      <w:r>
        <w:rPr>
          <w:b/>
          <w:bCs/>
        </w:rPr>
        <w:br w:type="page"/>
      </w:r>
    </w:p>
    <w:tbl>
      <w:tblPr>
        <w:tblStyle w:val="LightShading-Accent4"/>
        <w:tblW w:w="14425" w:type="dxa"/>
        <w:tblLayout w:type="fixed"/>
        <w:tblLook w:val="04A0" w:firstRow="1" w:lastRow="0" w:firstColumn="1" w:lastColumn="0" w:noHBand="0" w:noVBand="1"/>
        <w:tblCaption w:val="Number of reports of physical abuse, by year, reporter group, and outcome"/>
      </w:tblPr>
      <w:tblGrid>
        <w:gridCol w:w="1968"/>
        <w:gridCol w:w="1245"/>
        <w:gridCol w:w="1246"/>
        <w:gridCol w:w="1246"/>
        <w:gridCol w:w="1245"/>
        <w:gridCol w:w="1380"/>
        <w:gridCol w:w="1112"/>
        <w:gridCol w:w="1581"/>
        <w:gridCol w:w="910"/>
        <w:gridCol w:w="1246"/>
        <w:gridCol w:w="1246"/>
      </w:tblGrid>
      <w:tr w:rsidR="001C4508" w:rsidRPr="000A26F2" w14:paraId="0AE067A0"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76EC5DB2" w14:textId="77777777" w:rsidR="001C4508" w:rsidRPr="000A26F2" w:rsidRDefault="001C4508" w:rsidP="00CE2FDF">
            <w:pPr>
              <w:tabs>
                <w:tab w:val="left" w:pos="1134"/>
              </w:tabs>
              <w:spacing w:before="0" w:line="276" w:lineRule="auto"/>
              <w:jc w:val="center"/>
              <w:rPr>
                <w:rFonts w:eastAsia="Times New Roman" w:cs="Arial"/>
                <w:color w:val="auto"/>
                <w:sz w:val="20"/>
                <w:szCs w:val="20"/>
                <w:lang w:eastAsia="en-AU"/>
              </w:rPr>
            </w:pP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4D36BAD"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Not investigated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1DD6A8FC"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Investigated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F1D9CEB"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Substantiated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E19C740"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0A26F2">
              <w:rPr>
                <w:rFonts w:eastAsia="Times New Roman" w:cs="Arial"/>
                <w:color w:val="auto"/>
                <w:sz w:val="20"/>
                <w:szCs w:val="20"/>
                <w:lang w:eastAsia="en-AU"/>
              </w:rPr>
              <w:t>Not substantiated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DFDC0F5"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Total</w:t>
            </w:r>
          </w:p>
        </w:tc>
      </w:tr>
      <w:tr w:rsidR="002418F8" w:rsidRPr="000A26F2" w14:paraId="41FA74F3"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nil"/>
              <w:right w:val="single" w:sz="4" w:space="0" w:color="auto"/>
            </w:tcBorders>
            <w:noWrap/>
            <w:hideMark/>
          </w:tcPr>
          <w:p w14:paraId="5DF418E6"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2007</w:t>
            </w:r>
          </w:p>
        </w:tc>
        <w:tc>
          <w:tcPr>
            <w:tcW w:w="1245" w:type="dxa"/>
            <w:tcBorders>
              <w:top w:val="single" w:sz="4" w:space="0" w:color="auto"/>
              <w:left w:val="single" w:sz="4" w:space="0" w:color="auto"/>
              <w:bottom w:val="nil"/>
            </w:tcBorders>
            <w:noWrap/>
            <w:vAlign w:val="center"/>
            <w:hideMark/>
          </w:tcPr>
          <w:p w14:paraId="786C1D19"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bottom w:val="nil"/>
              <w:right w:val="single" w:sz="4" w:space="0" w:color="auto"/>
            </w:tcBorders>
            <w:vAlign w:val="center"/>
          </w:tcPr>
          <w:p w14:paraId="66A53759"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noWrap/>
            <w:vAlign w:val="center"/>
            <w:hideMark/>
          </w:tcPr>
          <w:p w14:paraId="6B49477E"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5" w:type="dxa"/>
            <w:tcBorders>
              <w:top w:val="single" w:sz="4" w:space="0" w:color="auto"/>
              <w:bottom w:val="nil"/>
              <w:right w:val="single" w:sz="4" w:space="0" w:color="auto"/>
            </w:tcBorders>
            <w:vAlign w:val="center"/>
          </w:tcPr>
          <w:p w14:paraId="754897C5"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380" w:type="dxa"/>
            <w:tcBorders>
              <w:top w:val="single" w:sz="4" w:space="0" w:color="auto"/>
              <w:left w:val="single" w:sz="4" w:space="0" w:color="auto"/>
              <w:bottom w:val="nil"/>
            </w:tcBorders>
            <w:noWrap/>
            <w:vAlign w:val="center"/>
            <w:hideMark/>
          </w:tcPr>
          <w:p w14:paraId="7CF34917"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112" w:type="dxa"/>
            <w:tcBorders>
              <w:top w:val="single" w:sz="4" w:space="0" w:color="auto"/>
              <w:bottom w:val="nil"/>
              <w:right w:val="single" w:sz="4" w:space="0" w:color="auto"/>
            </w:tcBorders>
            <w:vAlign w:val="center"/>
          </w:tcPr>
          <w:p w14:paraId="1C47E02F"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581" w:type="dxa"/>
            <w:tcBorders>
              <w:top w:val="single" w:sz="4" w:space="0" w:color="auto"/>
              <w:left w:val="single" w:sz="4" w:space="0" w:color="auto"/>
              <w:bottom w:val="nil"/>
            </w:tcBorders>
            <w:noWrap/>
            <w:vAlign w:val="center"/>
            <w:hideMark/>
          </w:tcPr>
          <w:p w14:paraId="0C70230D"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910" w:type="dxa"/>
            <w:tcBorders>
              <w:top w:val="single" w:sz="4" w:space="0" w:color="auto"/>
              <w:bottom w:val="nil"/>
              <w:right w:val="single" w:sz="4" w:space="0" w:color="auto"/>
            </w:tcBorders>
            <w:vAlign w:val="center"/>
          </w:tcPr>
          <w:p w14:paraId="44FD5123"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vAlign w:val="center"/>
          </w:tcPr>
          <w:p w14:paraId="451E7405"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 </w:t>
            </w:r>
          </w:p>
        </w:tc>
        <w:tc>
          <w:tcPr>
            <w:tcW w:w="1246" w:type="dxa"/>
            <w:tcBorders>
              <w:top w:val="single" w:sz="4" w:space="0" w:color="auto"/>
              <w:bottom w:val="nil"/>
              <w:right w:val="single" w:sz="4" w:space="0" w:color="auto"/>
            </w:tcBorders>
            <w:vAlign w:val="center"/>
          </w:tcPr>
          <w:p w14:paraId="3C55C885"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 </w:t>
            </w:r>
          </w:p>
        </w:tc>
      </w:tr>
      <w:tr w:rsidR="001C4508" w:rsidRPr="000A26F2" w14:paraId="216CBAC0"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nil"/>
              <w:left w:val="single" w:sz="4" w:space="0" w:color="auto"/>
              <w:right w:val="single" w:sz="4" w:space="0" w:color="auto"/>
            </w:tcBorders>
            <w:noWrap/>
            <w:hideMark/>
          </w:tcPr>
          <w:p w14:paraId="406577ED"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top w:val="nil"/>
              <w:left w:val="single" w:sz="4" w:space="0" w:color="auto"/>
            </w:tcBorders>
            <w:noWrap/>
            <w:vAlign w:val="center"/>
            <w:hideMark/>
          </w:tcPr>
          <w:p w14:paraId="0FB69D4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105</w:t>
            </w:r>
          </w:p>
        </w:tc>
        <w:tc>
          <w:tcPr>
            <w:tcW w:w="1246" w:type="dxa"/>
            <w:tcBorders>
              <w:top w:val="nil"/>
              <w:right w:val="single" w:sz="4" w:space="0" w:color="auto"/>
            </w:tcBorders>
            <w:vAlign w:val="center"/>
          </w:tcPr>
          <w:p w14:paraId="6BBCB95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1.03%</w:t>
            </w:r>
          </w:p>
        </w:tc>
        <w:tc>
          <w:tcPr>
            <w:tcW w:w="1246" w:type="dxa"/>
            <w:tcBorders>
              <w:top w:val="nil"/>
              <w:left w:val="single" w:sz="4" w:space="0" w:color="auto"/>
            </w:tcBorders>
            <w:noWrap/>
            <w:vAlign w:val="center"/>
            <w:hideMark/>
          </w:tcPr>
          <w:p w14:paraId="421FCEF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162</w:t>
            </w:r>
          </w:p>
        </w:tc>
        <w:tc>
          <w:tcPr>
            <w:tcW w:w="1245" w:type="dxa"/>
            <w:tcBorders>
              <w:top w:val="nil"/>
              <w:right w:val="single" w:sz="4" w:space="0" w:color="auto"/>
            </w:tcBorders>
            <w:vAlign w:val="center"/>
          </w:tcPr>
          <w:p w14:paraId="5953E41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1.59%</w:t>
            </w:r>
          </w:p>
        </w:tc>
        <w:tc>
          <w:tcPr>
            <w:tcW w:w="1380" w:type="dxa"/>
            <w:tcBorders>
              <w:top w:val="nil"/>
              <w:left w:val="single" w:sz="4" w:space="0" w:color="auto"/>
            </w:tcBorders>
            <w:noWrap/>
            <w:vAlign w:val="center"/>
            <w:hideMark/>
          </w:tcPr>
          <w:p w14:paraId="026365E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116</w:t>
            </w:r>
          </w:p>
        </w:tc>
        <w:tc>
          <w:tcPr>
            <w:tcW w:w="1112" w:type="dxa"/>
            <w:tcBorders>
              <w:top w:val="nil"/>
              <w:right w:val="single" w:sz="4" w:space="0" w:color="auto"/>
            </w:tcBorders>
            <w:vAlign w:val="center"/>
          </w:tcPr>
          <w:p w14:paraId="3A495DA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1.14%</w:t>
            </w:r>
          </w:p>
        </w:tc>
        <w:tc>
          <w:tcPr>
            <w:tcW w:w="1581" w:type="dxa"/>
            <w:tcBorders>
              <w:top w:val="nil"/>
              <w:left w:val="single" w:sz="4" w:space="0" w:color="auto"/>
              <w:right w:val="nil"/>
            </w:tcBorders>
            <w:noWrap/>
            <w:vAlign w:val="center"/>
            <w:hideMark/>
          </w:tcPr>
          <w:p w14:paraId="2B9AD0D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46</w:t>
            </w:r>
          </w:p>
        </w:tc>
        <w:tc>
          <w:tcPr>
            <w:tcW w:w="910" w:type="dxa"/>
            <w:tcBorders>
              <w:top w:val="nil"/>
              <w:left w:val="nil"/>
              <w:right w:val="single" w:sz="4" w:space="0" w:color="auto"/>
            </w:tcBorders>
            <w:vAlign w:val="center"/>
          </w:tcPr>
          <w:p w14:paraId="6D4AE50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0.45%</w:t>
            </w:r>
          </w:p>
        </w:tc>
        <w:tc>
          <w:tcPr>
            <w:tcW w:w="1246" w:type="dxa"/>
            <w:tcBorders>
              <w:top w:val="nil"/>
              <w:left w:val="single" w:sz="4" w:space="0" w:color="auto"/>
              <w:right w:val="nil"/>
            </w:tcBorders>
            <w:vAlign w:val="center"/>
          </w:tcPr>
          <w:p w14:paraId="6D403ED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267</w:t>
            </w:r>
          </w:p>
        </w:tc>
        <w:tc>
          <w:tcPr>
            <w:tcW w:w="1246" w:type="dxa"/>
            <w:tcBorders>
              <w:top w:val="nil"/>
              <w:left w:val="nil"/>
              <w:right w:val="single" w:sz="4" w:space="0" w:color="auto"/>
            </w:tcBorders>
            <w:vAlign w:val="center"/>
          </w:tcPr>
          <w:p w14:paraId="54B7921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2.62%</w:t>
            </w:r>
          </w:p>
        </w:tc>
      </w:tr>
      <w:tr w:rsidR="001C4508" w:rsidRPr="000A26F2" w14:paraId="31D96E7C"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63452047"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6DF43D6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155</w:t>
            </w:r>
          </w:p>
        </w:tc>
        <w:tc>
          <w:tcPr>
            <w:tcW w:w="1246" w:type="dxa"/>
            <w:tcBorders>
              <w:right w:val="single" w:sz="4" w:space="0" w:color="auto"/>
            </w:tcBorders>
            <w:vAlign w:val="center"/>
          </w:tcPr>
          <w:p w14:paraId="4DE46AB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1.52%</w:t>
            </w:r>
          </w:p>
        </w:tc>
        <w:tc>
          <w:tcPr>
            <w:tcW w:w="1246" w:type="dxa"/>
            <w:tcBorders>
              <w:left w:val="single" w:sz="4" w:space="0" w:color="auto"/>
            </w:tcBorders>
            <w:noWrap/>
            <w:vAlign w:val="center"/>
            <w:hideMark/>
          </w:tcPr>
          <w:p w14:paraId="4EDDCCD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198</w:t>
            </w:r>
          </w:p>
        </w:tc>
        <w:tc>
          <w:tcPr>
            <w:tcW w:w="1245" w:type="dxa"/>
            <w:tcBorders>
              <w:right w:val="single" w:sz="4" w:space="0" w:color="auto"/>
            </w:tcBorders>
            <w:vAlign w:val="center"/>
          </w:tcPr>
          <w:p w14:paraId="2E08F57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1.94%</w:t>
            </w:r>
          </w:p>
        </w:tc>
        <w:tc>
          <w:tcPr>
            <w:tcW w:w="1380" w:type="dxa"/>
            <w:tcBorders>
              <w:left w:val="single" w:sz="4" w:space="0" w:color="auto"/>
            </w:tcBorders>
            <w:noWrap/>
            <w:vAlign w:val="center"/>
            <w:hideMark/>
          </w:tcPr>
          <w:p w14:paraId="28BE363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136</w:t>
            </w:r>
          </w:p>
        </w:tc>
        <w:tc>
          <w:tcPr>
            <w:tcW w:w="1112" w:type="dxa"/>
            <w:tcBorders>
              <w:right w:val="single" w:sz="4" w:space="0" w:color="auto"/>
            </w:tcBorders>
            <w:vAlign w:val="center"/>
          </w:tcPr>
          <w:p w14:paraId="2431CCB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1.33%</w:t>
            </w:r>
          </w:p>
        </w:tc>
        <w:tc>
          <w:tcPr>
            <w:tcW w:w="1581" w:type="dxa"/>
            <w:tcBorders>
              <w:left w:val="single" w:sz="4" w:space="0" w:color="auto"/>
            </w:tcBorders>
            <w:noWrap/>
            <w:vAlign w:val="center"/>
            <w:hideMark/>
          </w:tcPr>
          <w:p w14:paraId="25877D4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62</w:t>
            </w:r>
          </w:p>
        </w:tc>
        <w:tc>
          <w:tcPr>
            <w:tcW w:w="910" w:type="dxa"/>
            <w:tcBorders>
              <w:right w:val="single" w:sz="4" w:space="0" w:color="auto"/>
            </w:tcBorders>
            <w:vAlign w:val="center"/>
          </w:tcPr>
          <w:p w14:paraId="59DE86E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0.61%</w:t>
            </w:r>
          </w:p>
        </w:tc>
        <w:tc>
          <w:tcPr>
            <w:tcW w:w="1246" w:type="dxa"/>
            <w:tcBorders>
              <w:left w:val="single" w:sz="4" w:space="0" w:color="auto"/>
            </w:tcBorders>
            <w:vAlign w:val="center"/>
          </w:tcPr>
          <w:p w14:paraId="48EA31E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353</w:t>
            </w:r>
          </w:p>
        </w:tc>
        <w:tc>
          <w:tcPr>
            <w:tcW w:w="1246" w:type="dxa"/>
            <w:tcBorders>
              <w:right w:val="single" w:sz="4" w:space="0" w:color="auto"/>
            </w:tcBorders>
            <w:vAlign w:val="center"/>
          </w:tcPr>
          <w:p w14:paraId="5B89003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3.46%</w:t>
            </w:r>
          </w:p>
        </w:tc>
      </w:tr>
      <w:tr w:rsidR="001C4508" w:rsidRPr="000A26F2" w14:paraId="6307ED60"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7D70493C"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57B679D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950</w:t>
            </w:r>
          </w:p>
        </w:tc>
        <w:tc>
          <w:tcPr>
            <w:tcW w:w="1246" w:type="dxa"/>
            <w:tcBorders>
              <w:right w:val="single" w:sz="4" w:space="0" w:color="auto"/>
            </w:tcBorders>
            <w:vAlign w:val="center"/>
          </w:tcPr>
          <w:p w14:paraId="0E6DB88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9.31%</w:t>
            </w:r>
          </w:p>
        </w:tc>
        <w:tc>
          <w:tcPr>
            <w:tcW w:w="1246" w:type="dxa"/>
            <w:tcBorders>
              <w:left w:val="single" w:sz="4" w:space="0" w:color="auto"/>
            </w:tcBorders>
            <w:noWrap/>
            <w:vAlign w:val="center"/>
            <w:hideMark/>
          </w:tcPr>
          <w:p w14:paraId="224CD11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969</w:t>
            </w:r>
          </w:p>
        </w:tc>
        <w:tc>
          <w:tcPr>
            <w:tcW w:w="1245" w:type="dxa"/>
            <w:tcBorders>
              <w:right w:val="single" w:sz="4" w:space="0" w:color="auto"/>
            </w:tcBorders>
            <w:vAlign w:val="center"/>
          </w:tcPr>
          <w:p w14:paraId="77FDFBC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9.50%</w:t>
            </w:r>
          </w:p>
        </w:tc>
        <w:tc>
          <w:tcPr>
            <w:tcW w:w="1380" w:type="dxa"/>
            <w:tcBorders>
              <w:left w:val="single" w:sz="4" w:space="0" w:color="auto"/>
            </w:tcBorders>
            <w:noWrap/>
            <w:vAlign w:val="center"/>
            <w:hideMark/>
          </w:tcPr>
          <w:p w14:paraId="65AFEEE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752</w:t>
            </w:r>
          </w:p>
        </w:tc>
        <w:tc>
          <w:tcPr>
            <w:tcW w:w="1112" w:type="dxa"/>
            <w:tcBorders>
              <w:right w:val="single" w:sz="4" w:space="0" w:color="auto"/>
            </w:tcBorders>
            <w:vAlign w:val="center"/>
          </w:tcPr>
          <w:p w14:paraId="296C30F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7.37%</w:t>
            </w:r>
          </w:p>
        </w:tc>
        <w:tc>
          <w:tcPr>
            <w:tcW w:w="1581" w:type="dxa"/>
            <w:tcBorders>
              <w:left w:val="single" w:sz="4" w:space="0" w:color="auto"/>
              <w:right w:val="nil"/>
            </w:tcBorders>
            <w:noWrap/>
            <w:vAlign w:val="center"/>
            <w:hideMark/>
          </w:tcPr>
          <w:p w14:paraId="369E430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217</w:t>
            </w:r>
          </w:p>
        </w:tc>
        <w:tc>
          <w:tcPr>
            <w:tcW w:w="910" w:type="dxa"/>
            <w:tcBorders>
              <w:left w:val="nil"/>
              <w:right w:val="single" w:sz="4" w:space="0" w:color="auto"/>
            </w:tcBorders>
            <w:vAlign w:val="center"/>
          </w:tcPr>
          <w:p w14:paraId="707F17B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2.13%</w:t>
            </w:r>
          </w:p>
        </w:tc>
        <w:tc>
          <w:tcPr>
            <w:tcW w:w="1246" w:type="dxa"/>
            <w:tcBorders>
              <w:left w:val="single" w:sz="4" w:space="0" w:color="auto"/>
              <w:right w:val="nil"/>
            </w:tcBorders>
            <w:vAlign w:val="center"/>
          </w:tcPr>
          <w:p w14:paraId="56BDF16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1,919</w:t>
            </w:r>
          </w:p>
        </w:tc>
        <w:tc>
          <w:tcPr>
            <w:tcW w:w="1246" w:type="dxa"/>
            <w:tcBorders>
              <w:left w:val="nil"/>
              <w:right w:val="single" w:sz="4" w:space="0" w:color="auto"/>
            </w:tcBorders>
            <w:vAlign w:val="center"/>
          </w:tcPr>
          <w:p w14:paraId="4FE36E3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18.81%</w:t>
            </w:r>
          </w:p>
        </w:tc>
      </w:tr>
      <w:tr w:rsidR="001C4508" w:rsidRPr="000A26F2" w14:paraId="0ECAFDCF"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422A5AF6"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6DF0561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902</w:t>
            </w:r>
          </w:p>
        </w:tc>
        <w:tc>
          <w:tcPr>
            <w:tcW w:w="1246" w:type="dxa"/>
            <w:tcBorders>
              <w:right w:val="single" w:sz="4" w:space="0" w:color="auto"/>
            </w:tcBorders>
            <w:vAlign w:val="center"/>
          </w:tcPr>
          <w:p w14:paraId="3823E8E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8.84%</w:t>
            </w:r>
          </w:p>
        </w:tc>
        <w:tc>
          <w:tcPr>
            <w:tcW w:w="1246" w:type="dxa"/>
            <w:tcBorders>
              <w:left w:val="single" w:sz="4" w:space="0" w:color="auto"/>
            </w:tcBorders>
            <w:noWrap/>
            <w:vAlign w:val="center"/>
            <w:hideMark/>
          </w:tcPr>
          <w:p w14:paraId="54AACE7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837</w:t>
            </w:r>
          </w:p>
        </w:tc>
        <w:tc>
          <w:tcPr>
            <w:tcW w:w="1245" w:type="dxa"/>
            <w:tcBorders>
              <w:right w:val="single" w:sz="4" w:space="0" w:color="auto"/>
            </w:tcBorders>
            <w:vAlign w:val="center"/>
          </w:tcPr>
          <w:p w14:paraId="37BEADC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8.20%</w:t>
            </w:r>
          </w:p>
        </w:tc>
        <w:tc>
          <w:tcPr>
            <w:tcW w:w="1380" w:type="dxa"/>
            <w:tcBorders>
              <w:left w:val="single" w:sz="4" w:space="0" w:color="auto"/>
            </w:tcBorders>
            <w:noWrap/>
            <w:vAlign w:val="center"/>
            <w:hideMark/>
          </w:tcPr>
          <w:p w14:paraId="291E68C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531</w:t>
            </w:r>
          </w:p>
        </w:tc>
        <w:tc>
          <w:tcPr>
            <w:tcW w:w="1112" w:type="dxa"/>
            <w:tcBorders>
              <w:right w:val="single" w:sz="4" w:space="0" w:color="auto"/>
            </w:tcBorders>
            <w:vAlign w:val="center"/>
          </w:tcPr>
          <w:p w14:paraId="0EA5F22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5.20%</w:t>
            </w:r>
          </w:p>
        </w:tc>
        <w:tc>
          <w:tcPr>
            <w:tcW w:w="1581" w:type="dxa"/>
            <w:tcBorders>
              <w:left w:val="single" w:sz="4" w:space="0" w:color="auto"/>
            </w:tcBorders>
            <w:noWrap/>
            <w:vAlign w:val="center"/>
            <w:hideMark/>
          </w:tcPr>
          <w:p w14:paraId="0F46CE6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306</w:t>
            </w:r>
          </w:p>
        </w:tc>
        <w:tc>
          <w:tcPr>
            <w:tcW w:w="910" w:type="dxa"/>
            <w:tcBorders>
              <w:right w:val="single" w:sz="4" w:space="0" w:color="auto"/>
            </w:tcBorders>
            <w:vAlign w:val="center"/>
          </w:tcPr>
          <w:p w14:paraId="2A692D4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3.00%</w:t>
            </w:r>
          </w:p>
        </w:tc>
        <w:tc>
          <w:tcPr>
            <w:tcW w:w="1246" w:type="dxa"/>
            <w:tcBorders>
              <w:left w:val="single" w:sz="4" w:space="0" w:color="auto"/>
            </w:tcBorders>
            <w:vAlign w:val="center"/>
          </w:tcPr>
          <w:p w14:paraId="1FFA807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1,739</w:t>
            </w:r>
          </w:p>
        </w:tc>
        <w:tc>
          <w:tcPr>
            <w:tcW w:w="1246" w:type="dxa"/>
            <w:tcBorders>
              <w:right w:val="single" w:sz="4" w:space="0" w:color="auto"/>
            </w:tcBorders>
            <w:vAlign w:val="center"/>
          </w:tcPr>
          <w:p w14:paraId="681F2B3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17.04%</w:t>
            </w:r>
          </w:p>
        </w:tc>
      </w:tr>
      <w:tr w:rsidR="001C4508" w:rsidRPr="000A26F2" w14:paraId="714BED49"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1C77B396"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37313C9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23</w:t>
            </w:r>
          </w:p>
        </w:tc>
        <w:tc>
          <w:tcPr>
            <w:tcW w:w="1246" w:type="dxa"/>
            <w:tcBorders>
              <w:right w:val="single" w:sz="4" w:space="0" w:color="auto"/>
            </w:tcBorders>
            <w:vAlign w:val="center"/>
          </w:tcPr>
          <w:p w14:paraId="76EF129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0.23%</w:t>
            </w:r>
          </w:p>
        </w:tc>
        <w:tc>
          <w:tcPr>
            <w:tcW w:w="1246" w:type="dxa"/>
            <w:tcBorders>
              <w:left w:val="single" w:sz="4" w:space="0" w:color="auto"/>
            </w:tcBorders>
            <w:noWrap/>
            <w:vAlign w:val="center"/>
            <w:hideMark/>
          </w:tcPr>
          <w:p w14:paraId="4CA86C7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w:t>
            </w:r>
          </w:p>
        </w:tc>
        <w:tc>
          <w:tcPr>
            <w:tcW w:w="1245" w:type="dxa"/>
            <w:tcBorders>
              <w:right w:val="single" w:sz="4" w:space="0" w:color="auto"/>
            </w:tcBorders>
            <w:vAlign w:val="center"/>
          </w:tcPr>
          <w:p w14:paraId="7454F93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0.15%</w:t>
            </w:r>
          </w:p>
        </w:tc>
        <w:tc>
          <w:tcPr>
            <w:tcW w:w="1380" w:type="dxa"/>
            <w:tcBorders>
              <w:left w:val="single" w:sz="4" w:space="0" w:color="auto"/>
            </w:tcBorders>
            <w:noWrap/>
            <w:vAlign w:val="center"/>
            <w:hideMark/>
          </w:tcPr>
          <w:p w14:paraId="7AE904A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w:t>
            </w:r>
          </w:p>
        </w:tc>
        <w:tc>
          <w:tcPr>
            <w:tcW w:w="1112" w:type="dxa"/>
            <w:tcBorders>
              <w:right w:val="single" w:sz="4" w:space="0" w:color="auto"/>
            </w:tcBorders>
            <w:vAlign w:val="center"/>
          </w:tcPr>
          <w:p w14:paraId="5865311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0.11%</w:t>
            </w:r>
          </w:p>
        </w:tc>
        <w:tc>
          <w:tcPr>
            <w:tcW w:w="1581" w:type="dxa"/>
            <w:tcBorders>
              <w:left w:val="single" w:sz="4" w:space="0" w:color="auto"/>
              <w:right w:val="nil"/>
            </w:tcBorders>
            <w:noWrap/>
            <w:vAlign w:val="center"/>
            <w:hideMark/>
          </w:tcPr>
          <w:p w14:paraId="3D19543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w:t>
            </w:r>
          </w:p>
        </w:tc>
        <w:tc>
          <w:tcPr>
            <w:tcW w:w="910" w:type="dxa"/>
            <w:tcBorders>
              <w:left w:val="nil"/>
              <w:right w:val="single" w:sz="4" w:space="0" w:color="auto"/>
            </w:tcBorders>
            <w:vAlign w:val="center"/>
          </w:tcPr>
          <w:p w14:paraId="0FC17EE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0.04%</w:t>
            </w:r>
          </w:p>
        </w:tc>
        <w:tc>
          <w:tcPr>
            <w:tcW w:w="1246" w:type="dxa"/>
            <w:tcBorders>
              <w:left w:val="single" w:sz="4" w:space="0" w:color="auto"/>
              <w:right w:val="nil"/>
            </w:tcBorders>
            <w:vAlign w:val="center"/>
          </w:tcPr>
          <w:p w14:paraId="0D2F30F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38</w:t>
            </w:r>
          </w:p>
        </w:tc>
        <w:tc>
          <w:tcPr>
            <w:tcW w:w="1246" w:type="dxa"/>
            <w:tcBorders>
              <w:left w:val="nil"/>
              <w:right w:val="single" w:sz="4" w:space="0" w:color="auto"/>
            </w:tcBorders>
            <w:vAlign w:val="center"/>
          </w:tcPr>
          <w:p w14:paraId="6676A95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0.37%</w:t>
            </w:r>
          </w:p>
        </w:tc>
      </w:tr>
      <w:tr w:rsidR="001C4508" w:rsidRPr="000A26F2" w14:paraId="56D79460"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08DAF293"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529897F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2,135</w:t>
            </w:r>
          </w:p>
        </w:tc>
        <w:tc>
          <w:tcPr>
            <w:tcW w:w="1246" w:type="dxa"/>
            <w:tcBorders>
              <w:right w:val="single" w:sz="4" w:space="0" w:color="auto"/>
            </w:tcBorders>
            <w:vAlign w:val="center"/>
          </w:tcPr>
          <w:p w14:paraId="430BB3A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20.93%</w:t>
            </w:r>
          </w:p>
        </w:tc>
        <w:tc>
          <w:tcPr>
            <w:tcW w:w="1246" w:type="dxa"/>
            <w:tcBorders>
              <w:left w:val="single" w:sz="4" w:space="0" w:color="auto"/>
            </w:tcBorders>
            <w:noWrap/>
            <w:vAlign w:val="center"/>
            <w:hideMark/>
          </w:tcPr>
          <w:p w14:paraId="32F7F95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2,181</w:t>
            </w:r>
          </w:p>
        </w:tc>
        <w:tc>
          <w:tcPr>
            <w:tcW w:w="1245" w:type="dxa"/>
            <w:tcBorders>
              <w:right w:val="single" w:sz="4" w:space="0" w:color="auto"/>
            </w:tcBorders>
            <w:vAlign w:val="center"/>
          </w:tcPr>
          <w:p w14:paraId="6E25591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21.38%</w:t>
            </w:r>
          </w:p>
        </w:tc>
        <w:tc>
          <w:tcPr>
            <w:tcW w:w="1380" w:type="dxa"/>
            <w:tcBorders>
              <w:left w:val="single" w:sz="4" w:space="0" w:color="auto"/>
            </w:tcBorders>
            <w:noWrap/>
            <w:vAlign w:val="center"/>
            <w:hideMark/>
          </w:tcPr>
          <w:p w14:paraId="29D8BDE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1,546</w:t>
            </w:r>
          </w:p>
        </w:tc>
        <w:tc>
          <w:tcPr>
            <w:tcW w:w="1112" w:type="dxa"/>
            <w:tcBorders>
              <w:right w:val="single" w:sz="4" w:space="0" w:color="auto"/>
            </w:tcBorders>
            <w:vAlign w:val="center"/>
          </w:tcPr>
          <w:p w14:paraId="7AFAE17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15.15%</w:t>
            </w:r>
          </w:p>
        </w:tc>
        <w:tc>
          <w:tcPr>
            <w:tcW w:w="1581" w:type="dxa"/>
            <w:tcBorders>
              <w:left w:val="single" w:sz="4" w:space="0" w:color="auto"/>
            </w:tcBorders>
            <w:noWrap/>
            <w:vAlign w:val="center"/>
            <w:hideMark/>
          </w:tcPr>
          <w:p w14:paraId="05A8B78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635</w:t>
            </w:r>
          </w:p>
        </w:tc>
        <w:tc>
          <w:tcPr>
            <w:tcW w:w="910" w:type="dxa"/>
            <w:tcBorders>
              <w:right w:val="single" w:sz="4" w:space="0" w:color="auto"/>
            </w:tcBorders>
            <w:vAlign w:val="center"/>
          </w:tcPr>
          <w:p w14:paraId="34955E2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6.22%</w:t>
            </w:r>
          </w:p>
        </w:tc>
        <w:tc>
          <w:tcPr>
            <w:tcW w:w="1246" w:type="dxa"/>
            <w:tcBorders>
              <w:left w:val="single" w:sz="4" w:space="0" w:color="auto"/>
            </w:tcBorders>
            <w:vAlign w:val="center"/>
          </w:tcPr>
          <w:p w14:paraId="6148F8A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4,316</w:t>
            </w:r>
          </w:p>
        </w:tc>
        <w:tc>
          <w:tcPr>
            <w:tcW w:w="1246" w:type="dxa"/>
            <w:tcBorders>
              <w:right w:val="single" w:sz="4" w:space="0" w:color="auto"/>
            </w:tcBorders>
            <w:vAlign w:val="center"/>
          </w:tcPr>
          <w:p w14:paraId="4777B7E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42.30%</w:t>
            </w:r>
          </w:p>
        </w:tc>
      </w:tr>
      <w:tr w:rsidR="001C4508" w:rsidRPr="000A26F2" w14:paraId="19D55DFC"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7641732"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45DA975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3,195</w:t>
            </w:r>
          </w:p>
        </w:tc>
        <w:tc>
          <w:tcPr>
            <w:tcW w:w="1246" w:type="dxa"/>
            <w:tcBorders>
              <w:right w:val="single" w:sz="4" w:space="0" w:color="auto"/>
            </w:tcBorders>
            <w:vAlign w:val="center"/>
          </w:tcPr>
          <w:p w14:paraId="6DED4EC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31.31%</w:t>
            </w:r>
          </w:p>
        </w:tc>
        <w:tc>
          <w:tcPr>
            <w:tcW w:w="1246" w:type="dxa"/>
            <w:tcBorders>
              <w:left w:val="single" w:sz="4" w:space="0" w:color="auto"/>
            </w:tcBorders>
            <w:noWrap/>
            <w:vAlign w:val="center"/>
            <w:hideMark/>
          </w:tcPr>
          <w:p w14:paraId="43F3340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2,692</w:t>
            </w:r>
          </w:p>
        </w:tc>
        <w:tc>
          <w:tcPr>
            <w:tcW w:w="1245" w:type="dxa"/>
            <w:tcBorders>
              <w:right w:val="single" w:sz="4" w:space="0" w:color="auto"/>
            </w:tcBorders>
            <w:vAlign w:val="center"/>
          </w:tcPr>
          <w:p w14:paraId="641EE7C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26.38%</w:t>
            </w:r>
          </w:p>
        </w:tc>
        <w:tc>
          <w:tcPr>
            <w:tcW w:w="1380" w:type="dxa"/>
            <w:tcBorders>
              <w:left w:val="single" w:sz="4" w:space="0" w:color="auto"/>
            </w:tcBorders>
            <w:noWrap/>
            <w:vAlign w:val="center"/>
            <w:hideMark/>
          </w:tcPr>
          <w:p w14:paraId="10AF6A5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1,667</w:t>
            </w:r>
          </w:p>
        </w:tc>
        <w:tc>
          <w:tcPr>
            <w:tcW w:w="1112" w:type="dxa"/>
            <w:tcBorders>
              <w:right w:val="single" w:sz="4" w:space="0" w:color="auto"/>
            </w:tcBorders>
            <w:vAlign w:val="center"/>
          </w:tcPr>
          <w:p w14:paraId="348FF87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16.34%</w:t>
            </w:r>
          </w:p>
        </w:tc>
        <w:tc>
          <w:tcPr>
            <w:tcW w:w="1581" w:type="dxa"/>
            <w:tcBorders>
              <w:left w:val="single" w:sz="4" w:space="0" w:color="auto"/>
              <w:right w:val="nil"/>
            </w:tcBorders>
            <w:noWrap/>
            <w:vAlign w:val="center"/>
            <w:hideMark/>
          </w:tcPr>
          <w:p w14:paraId="123B5A5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1,025</w:t>
            </w:r>
          </w:p>
        </w:tc>
        <w:tc>
          <w:tcPr>
            <w:tcW w:w="910" w:type="dxa"/>
            <w:tcBorders>
              <w:left w:val="nil"/>
              <w:right w:val="single" w:sz="4" w:space="0" w:color="auto"/>
            </w:tcBorders>
            <w:vAlign w:val="center"/>
          </w:tcPr>
          <w:p w14:paraId="0A05EAD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10.05%</w:t>
            </w:r>
          </w:p>
        </w:tc>
        <w:tc>
          <w:tcPr>
            <w:tcW w:w="1246" w:type="dxa"/>
            <w:tcBorders>
              <w:left w:val="single" w:sz="4" w:space="0" w:color="auto"/>
              <w:right w:val="nil"/>
            </w:tcBorders>
            <w:vAlign w:val="center"/>
          </w:tcPr>
          <w:p w14:paraId="200FF4A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5,887</w:t>
            </w:r>
          </w:p>
        </w:tc>
        <w:tc>
          <w:tcPr>
            <w:tcW w:w="1246" w:type="dxa"/>
            <w:tcBorders>
              <w:left w:val="nil"/>
              <w:right w:val="single" w:sz="4" w:space="0" w:color="auto"/>
            </w:tcBorders>
            <w:vAlign w:val="center"/>
          </w:tcPr>
          <w:p w14:paraId="1F2998B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57.70%</w:t>
            </w:r>
          </w:p>
        </w:tc>
      </w:tr>
      <w:tr w:rsidR="002418F8" w:rsidRPr="000A26F2" w14:paraId="11137E84"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noWrap/>
            <w:hideMark/>
          </w:tcPr>
          <w:p w14:paraId="29833F6D"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noWrap/>
            <w:vAlign w:val="center"/>
            <w:hideMark/>
          </w:tcPr>
          <w:p w14:paraId="2B24F8E3"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5,330</w:t>
            </w:r>
          </w:p>
        </w:tc>
        <w:tc>
          <w:tcPr>
            <w:tcW w:w="1246" w:type="dxa"/>
            <w:tcBorders>
              <w:bottom w:val="single" w:sz="4" w:space="0" w:color="auto"/>
              <w:right w:val="single" w:sz="4" w:space="0" w:color="auto"/>
            </w:tcBorders>
            <w:vAlign w:val="center"/>
          </w:tcPr>
          <w:p w14:paraId="446CF076"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52.24%</w:t>
            </w:r>
          </w:p>
        </w:tc>
        <w:tc>
          <w:tcPr>
            <w:tcW w:w="1246" w:type="dxa"/>
            <w:tcBorders>
              <w:left w:val="single" w:sz="4" w:space="0" w:color="auto"/>
              <w:bottom w:val="single" w:sz="4" w:space="0" w:color="auto"/>
            </w:tcBorders>
            <w:noWrap/>
            <w:vAlign w:val="center"/>
            <w:hideMark/>
          </w:tcPr>
          <w:p w14:paraId="2251AA19"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4,873</w:t>
            </w:r>
          </w:p>
        </w:tc>
        <w:tc>
          <w:tcPr>
            <w:tcW w:w="1245" w:type="dxa"/>
            <w:tcBorders>
              <w:bottom w:val="single" w:sz="4" w:space="0" w:color="auto"/>
              <w:right w:val="single" w:sz="4" w:space="0" w:color="auto"/>
            </w:tcBorders>
            <w:vAlign w:val="center"/>
          </w:tcPr>
          <w:p w14:paraId="31F742A5"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47.76%</w:t>
            </w:r>
          </w:p>
        </w:tc>
        <w:tc>
          <w:tcPr>
            <w:tcW w:w="1380" w:type="dxa"/>
            <w:tcBorders>
              <w:left w:val="single" w:sz="4" w:space="0" w:color="auto"/>
              <w:bottom w:val="single" w:sz="4" w:space="0" w:color="auto"/>
            </w:tcBorders>
            <w:noWrap/>
            <w:vAlign w:val="center"/>
            <w:hideMark/>
          </w:tcPr>
          <w:p w14:paraId="75C48B4E"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3,213</w:t>
            </w:r>
          </w:p>
        </w:tc>
        <w:tc>
          <w:tcPr>
            <w:tcW w:w="1112" w:type="dxa"/>
            <w:tcBorders>
              <w:bottom w:val="single" w:sz="4" w:space="0" w:color="auto"/>
              <w:right w:val="single" w:sz="4" w:space="0" w:color="auto"/>
            </w:tcBorders>
            <w:vAlign w:val="center"/>
          </w:tcPr>
          <w:p w14:paraId="10212799"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31.49%</w:t>
            </w:r>
          </w:p>
        </w:tc>
        <w:tc>
          <w:tcPr>
            <w:tcW w:w="1581" w:type="dxa"/>
            <w:tcBorders>
              <w:left w:val="single" w:sz="4" w:space="0" w:color="auto"/>
              <w:bottom w:val="single" w:sz="4" w:space="0" w:color="auto"/>
            </w:tcBorders>
            <w:noWrap/>
            <w:vAlign w:val="center"/>
            <w:hideMark/>
          </w:tcPr>
          <w:p w14:paraId="62F8E096"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1,660</w:t>
            </w:r>
          </w:p>
        </w:tc>
        <w:tc>
          <w:tcPr>
            <w:tcW w:w="910" w:type="dxa"/>
            <w:tcBorders>
              <w:bottom w:val="single" w:sz="4" w:space="0" w:color="auto"/>
              <w:right w:val="single" w:sz="4" w:space="0" w:color="auto"/>
            </w:tcBorders>
            <w:vAlign w:val="center"/>
          </w:tcPr>
          <w:p w14:paraId="00CCC9B1"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16.27%</w:t>
            </w:r>
          </w:p>
        </w:tc>
        <w:tc>
          <w:tcPr>
            <w:tcW w:w="1246" w:type="dxa"/>
            <w:tcBorders>
              <w:left w:val="single" w:sz="4" w:space="0" w:color="auto"/>
              <w:bottom w:val="single" w:sz="4" w:space="0" w:color="auto"/>
            </w:tcBorders>
            <w:vAlign w:val="center"/>
          </w:tcPr>
          <w:p w14:paraId="4B622DB1"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10,203</w:t>
            </w:r>
          </w:p>
        </w:tc>
        <w:tc>
          <w:tcPr>
            <w:tcW w:w="1246" w:type="dxa"/>
            <w:tcBorders>
              <w:bottom w:val="single" w:sz="4" w:space="0" w:color="auto"/>
              <w:right w:val="single" w:sz="4" w:space="0" w:color="auto"/>
            </w:tcBorders>
            <w:vAlign w:val="center"/>
          </w:tcPr>
          <w:p w14:paraId="107FC775"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8.51%</w:t>
            </w:r>
          </w:p>
        </w:tc>
      </w:tr>
      <w:tr w:rsidR="001C4508" w:rsidRPr="000A26F2" w14:paraId="408AFC9C"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nil"/>
              <w:right w:val="single" w:sz="4" w:space="0" w:color="auto"/>
            </w:tcBorders>
            <w:noWrap/>
            <w:hideMark/>
          </w:tcPr>
          <w:p w14:paraId="33E94B78"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2008</w:t>
            </w:r>
          </w:p>
        </w:tc>
        <w:tc>
          <w:tcPr>
            <w:tcW w:w="1245" w:type="dxa"/>
            <w:tcBorders>
              <w:top w:val="single" w:sz="4" w:space="0" w:color="auto"/>
              <w:left w:val="single" w:sz="4" w:space="0" w:color="auto"/>
              <w:bottom w:val="nil"/>
            </w:tcBorders>
            <w:noWrap/>
            <w:vAlign w:val="center"/>
            <w:hideMark/>
          </w:tcPr>
          <w:p w14:paraId="1801194E"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bottom w:val="nil"/>
              <w:right w:val="single" w:sz="4" w:space="0" w:color="auto"/>
            </w:tcBorders>
            <w:vAlign w:val="center"/>
          </w:tcPr>
          <w:p w14:paraId="7D348F9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noWrap/>
            <w:vAlign w:val="center"/>
            <w:hideMark/>
          </w:tcPr>
          <w:p w14:paraId="64756DEB"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5" w:type="dxa"/>
            <w:tcBorders>
              <w:top w:val="single" w:sz="4" w:space="0" w:color="auto"/>
              <w:bottom w:val="nil"/>
              <w:right w:val="single" w:sz="4" w:space="0" w:color="auto"/>
            </w:tcBorders>
            <w:vAlign w:val="center"/>
          </w:tcPr>
          <w:p w14:paraId="0806B71A"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380" w:type="dxa"/>
            <w:tcBorders>
              <w:top w:val="single" w:sz="4" w:space="0" w:color="auto"/>
              <w:left w:val="single" w:sz="4" w:space="0" w:color="auto"/>
              <w:bottom w:val="nil"/>
            </w:tcBorders>
            <w:noWrap/>
            <w:vAlign w:val="center"/>
            <w:hideMark/>
          </w:tcPr>
          <w:p w14:paraId="04AB150D"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12" w:type="dxa"/>
            <w:tcBorders>
              <w:top w:val="single" w:sz="4" w:space="0" w:color="auto"/>
              <w:bottom w:val="nil"/>
              <w:right w:val="single" w:sz="4" w:space="0" w:color="auto"/>
            </w:tcBorders>
            <w:vAlign w:val="center"/>
          </w:tcPr>
          <w:p w14:paraId="32533478"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581" w:type="dxa"/>
            <w:tcBorders>
              <w:top w:val="single" w:sz="4" w:space="0" w:color="auto"/>
              <w:left w:val="single" w:sz="4" w:space="0" w:color="auto"/>
              <w:bottom w:val="nil"/>
              <w:right w:val="nil"/>
            </w:tcBorders>
            <w:noWrap/>
            <w:vAlign w:val="center"/>
            <w:hideMark/>
          </w:tcPr>
          <w:p w14:paraId="3D10A188"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910" w:type="dxa"/>
            <w:tcBorders>
              <w:top w:val="single" w:sz="4" w:space="0" w:color="auto"/>
              <w:left w:val="nil"/>
              <w:bottom w:val="nil"/>
              <w:right w:val="single" w:sz="4" w:space="0" w:color="auto"/>
            </w:tcBorders>
            <w:vAlign w:val="center"/>
          </w:tcPr>
          <w:p w14:paraId="4211B24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left w:val="single" w:sz="4" w:space="0" w:color="auto"/>
              <w:bottom w:val="nil"/>
              <w:right w:val="nil"/>
            </w:tcBorders>
            <w:vAlign w:val="center"/>
          </w:tcPr>
          <w:p w14:paraId="3BF024E8"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46" w:type="dxa"/>
            <w:tcBorders>
              <w:top w:val="single" w:sz="4" w:space="0" w:color="auto"/>
              <w:left w:val="nil"/>
              <w:bottom w:val="nil"/>
              <w:right w:val="single" w:sz="4" w:space="0" w:color="auto"/>
            </w:tcBorders>
            <w:vAlign w:val="center"/>
          </w:tcPr>
          <w:p w14:paraId="06C4A217"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 </w:t>
            </w:r>
          </w:p>
        </w:tc>
      </w:tr>
      <w:tr w:rsidR="001C4508" w:rsidRPr="000A26F2" w14:paraId="3FB9557E"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nil"/>
              <w:left w:val="single" w:sz="4" w:space="0" w:color="auto"/>
              <w:right w:val="single" w:sz="4" w:space="0" w:color="auto"/>
            </w:tcBorders>
            <w:noWrap/>
            <w:hideMark/>
          </w:tcPr>
          <w:p w14:paraId="2F09C59D"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top w:val="nil"/>
              <w:left w:val="single" w:sz="4" w:space="0" w:color="auto"/>
            </w:tcBorders>
            <w:noWrap/>
            <w:vAlign w:val="center"/>
            <w:hideMark/>
          </w:tcPr>
          <w:p w14:paraId="24EEE2D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209</w:t>
            </w:r>
          </w:p>
        </w:tc>
        <w:tc>
          <w:tcPr>
            <w:tcW w:w="1246" w:type="dxa"/>
            <w:tcBorders>
              <w:top w:val="nil"/>
              <w:right w:val="single" w:sz="4" w:space="0" w:color="auto"/>
            </w:tcBorders>
            <w:vAlign w:val="center"/>
          </w:tcPr>
          <w:p w14:paraId="7B802A0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1.62%</w:t>
            </w:r>
          </w:p>
        </w:tc>
        <w:tc>
          <w:tcPr>
            <w:tcW w:w="1246" w:type="dxa"/>
            <w:tcBorders>
              <w:top w:val="nil"/>
              <w:left w:val="single" w:sz="4" w:space="0" w:color="auto"/>
            </w:tcBorders>
            <w:noWrap/>
            <w:vAlign w:val="center"/>
            <w:hideMark/>
          </w:tcPr>
          <w:p w14:paraId="7ED9B1B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172</w:t>
            </w:r>
          </w:p>
        </w:tc>
        <w:tc>
          <w:tcPr>
            <w:tcW w:w="1245" w:type="dxa"/>
            <w:tcBorders>
              <w:top w:val="nil"/>
              <w:right w:val="single" w:sz="4" w:space="0" w:color="auto"/>
            </w:tcBorders>
            <w:vAlign w:val="center"/>
          </w:tcPr>
          <w:p w14:paraId="0083FC3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1.33%</w:t>
            </w:r>
          </w:p>
        </w:tc>
        <w:tc>
          <w:tcPr>
            <w:tcW w:w="1380" w:type="dxa"/>
            <w:tcBorders>
              <w:top w:val="nil"/>
              <w:left w:val="single" w:sz="4" w:space="0" w:color="auto"/>
            </w:tcBorders>
            <w:noWrap/>
            <w:vAlign w:val="center"/>
            <w:hideMark/>
          </w:tcPr>
          <w:p w14:paraId="626FCD7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102</w:t>
            </w:r>
          </w:p>
        </w:tc>
        <w:tc>
          <w:tcPr>
            <w:tcW w:w="1112" w:type="dxa"/>
            <w:tcBorders>
              <w:top w:val="nil"/>
              <w:right w:val="single" w:sz="4" w:space="0" w:color="auto"/>
            </w:tcBorders>
            <w:vAlign w:val="center"/>
          </w:tcPr>
          <w:p w14:paraId="762AB90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0.79%</w:t>
            </w:r>
          </w:p>
        </w:tc>
        <w:tc>
          <w:tcPr>
            <w:tcW w:w="1581" w:type="dxa"/>
            <w:tcBorders>
              <w:top w:val="nil"/>
              <w:left w:val="single" w:sz="4" w:space="0" w:color="auto"/>
            </w:tcBorders>
            <w:noWrap/>
            <w:vAlign w:val="center"/>
            <w:hideMark/>
          </w:tcPr>
          <w:p w14:paraId="600A3D6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70</w:t>
            </w:r>
          </w:p>
        </w:tc>
        <w:tc>
          <w:tcPr>
            <w:tcW w:w="910" w:type="dxa"/>
            <w:tcBorders>
              <w:top w:val="nil"/>
              <w:right w:val="single" w:sz="4" w:space="0" w:color="auto"/>
            </w:tcBorders>
            <w:vAlign w:val="center"/>
          </w:tcPr>
          <w:p w14:paraId="03E37BC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0.54%</w:t>
            </w:r>
          </w:p>
        </w:tc>
        <w:tc>
          <w:tcPr>
            <w:tcW w:w="1246" w:type="dxa"/>
            <w:tcBorders>
              <w:top w:val="nil"/>
              <w:left w:val="single" w:sz="4" w:space="0" w:color="auto"/>
            </w:tcBorders>
            <w:vAlign w:val="center"/>
          </w:tcPr>
          <w:p w14:paraId="4911555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381</w:t>
            </w:r>
          </w:p>
        </w:tc>
        <w:tc>
          <w:tcPr>
            <w:tcW w:w="1246" w:type="dxa"/>
            <w:tcBorders>
              <w:top w:val="nil"/>
              <w:right w:val="single" w:sz="4" w:space="0" w:color="auto"/>
            </w:tcBorders>
            <w:vAlign w:val="center"/>
          </w:tcPr>
          <w:p w14:paraId="3902E93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2.96%</w:t>
            </w:r>
          </w:p>
        </w:tc>
      </w:tr>
      <w:tr w:rsidR="001C4508" w:rsidRPr="000A26F2" w14:paraId="75CE033D"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4411A84D"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7472708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206</w:t>
            </w:r>
          </w:p>
        </w:tc>
        <w:tc>
          <w:tcPr>
            <w:tcW w:w="1246" w:type="dxa"/>
            <w:tcBorders>
              <w:right w:val="single" w:sz="4" w:space="0" w:color="auto"/>
            </w:tcBorders>
            <w:vAlign w:val="center"/>
          </w:tcPr>
          <w:p w14:paraId="6553F41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1.60%</w:t>
            </w:r>
          </w:p>
        </w:tc>
        <w:tc>
          <w:tcPr>
            <w:tcW w:w="1246" w:type="dxa"/>
            <w:tcBorders>
              <w:left w:val="single" w:sz="4" w:space="0" w:color="auto"/>
            </w:tcBorders>
            <w:noWrap/>
            <w:vAlign w:val="center"/>
            <w:hideMark/>
          </w:tcPr>
          <w:p w14:paraId="60C7D25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224</w:t>
            </w:r>
          </w:p>
        </w:tc>
        <w:tc>
          <w:tcPr>
            <w:tcW w:w="1245" w:type="dxa"/>
            <w:tcBorders>
              <w:right w:val="single" w:sz="4" w:space="0" w:color="auto"/>
            </w:tcBorders>
            <w:vAlign w:val="center"/>
          </w:tcPr>
          <w:p w14:paraId="6CDE734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1.74%</w:t>
            </w:r>
          </w:p>
        </w:tc>
        <w:tc>
          <w:tcPr>
            <w:tcW w:w="1380" w:type="dxa"/>
            <w:tcBorders>
              <w:left w:val="single" w:sz="4" w:space="0" w:color="auto"/>
            </w:tcBorders>
            <w:noWrap/>
            <w:vAlign w:val="center"/>
            <w:hideMark/>
          </w:tcPr>
          <w:p w14:paraId="2CFA6DA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137</w:t>
            </w:r>
          </w:p>
        </w:tc>
        <w:tc>
          <w:tcPr>
            <w:tcW w:w="1112" w:type="dxa"/>
            <w:tcBorders>
              <w:right w:val="single" w:sz="4" w:space="0" w:color="auto"/>
            </w:tcBorders>
            <w:vAlign w:val="center"/>
          </w:tcPr>
          <w:p w14:paraId="1E4D4BF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1.06%</w:t>
            </w:r>
          </w:p>
        </w:tc>
        <w:tc>
          <w:tcPr>
            <w:tcW w:w="1581" w:type="dxa"/>
            <w:tcBorders>
              <w:left w:val="single" w:sz="4" w:space="0" w:color="auto"/>
              <w:right w:val="nil"/>
            </w:tcBorders>
            <w:noWrap/>
            <w:vAlign w:val="center"/>
            <w:hideMark/>
          </w:tcPr>
          <w:p w14:paraId="1667908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87</w:t>
            </w:r>
          </w:p>
        </w:tc>
        <w:tc>
          <w:tcPr>
            <w:tcW w:w="910" w:type="dxa"/>
            <w:tcBorders>
              <w:left w:val="nil"/>
              <w:right w:val="single" w:sz="4" w:space="0" w:color="auto"/>
            </w:tcBorders>
            <w:vAlign w:val="center"/>
          </w:tcPr>
          <w:p w14:paraId="1E20706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0.68%</w:t>
            </w:r>
          </w:p>
        </w:tc>
        <w:tc>
          <w:tcPr>
            <w:tcW w:w="1246" w:type="dxa"/>
            <w:tcBorders>
              <w:left w:val="single" w:sz="4" w:space="0" w:color="auto"/>
              <w:right w:val="nil"/>
            </w:tcBorders>
            <w:vAlign w:val="center"/>
          </w:tcPr>
          <w:p w14:paraId="5D85AFD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430</w:t>
            </w:r>
          </w:p>
        </w:tc>
        <w:tc>
          <w:tcPr>
            <w:tcW w:w="1246" w:type="dxa"/>
            <w:tcBorders>
              <w:left w:val="nil"/>
              <w:right w:val="single" w:sz="4" w:space="0" w:color="auto"/>
            </w:tcBorders>
            <w:vAlign w:val="center"/>
          </w:tcPr>
          <w:p w14:paraId="6CB84F7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3.34%</w:t>
            </w:r>
          </w:p>
        </w:tc>
      </w:tr>
      <w:tr w:rsidR="001C4508" w:rsidRPr="000A26F2" w14:paraId="3418530E"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7B5F282D"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0C9551A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1,549</w:t>
            </w:r>
          </w:p>
        </w:tc>
        <w:tc>
          <w:tcPr>
            <w:tcW w:w="1246" w:type="dxa"/>
            <w:tcBorders>
              <w:right w:val="single" w:sz="4" w:space="0" w:color="auto"/>
            </w:tcBorders>
            <w:vAlign w:val="center"/>
          </w:tcPr>
          <w:p w14:paraId="5769CDD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12.02%</w:t>
            </w:r>
          </w:p>
        </w:tc>
        <w:tc>
          <w:tcPr>
            <w:tcW w:w="1246" w:type="dxa"/>
            <w:tcBorders>
              <w:left w:val="single" w:sz="4" w:space="0" w:color="auto"/>
            </w:tcBorders>
            <w:noWrap/>
            <w:vAlign w:val="center"/>
            <w:hideMark/>
          </w:tcPr>
          <w:p w14:paraId="110A224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1,057</w:t>
            </w:r>
          </w:p>
        </w:tc>
        <w:tc>
          <w:tcPr>
            <w:tcW w:w="1245" w:type="dxa"/>
            <w:tcBorders>
              <w:right w:val="single" w:sz="4" w:space="0" w:color="auto"/>
            </w:tcBorders>
            <w:vAlign w:val="center"/>
          </w:tcPr>
          <w:p w14:paraId="4CD18C4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8.20%</w:t>
            </w:r>
          </w:p>
        </w:tc>
        <w:tc>
          <w:tcPr>
            <w:tcW w:w="1380" w:type="dxa"/>
            <w:tcBorders>
              <w:left w:val="single" w:sz="4" w:space="0" w:color="auto"/>
            </w:tcBorders>
            <w:noWrap/>
            <w:vAlign w:val="center"/>
            <w:hideMark/>
          </w:tcPr>
          <w:p w14:paraId="1DFE75A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752</w:t>
            </w:r>
          </w:p>
        </w:tc>
        <w:tc>
          <w:tcPr>
            <w:tcW w:w="1112" w:type="dxa"/>
            <w:tcBorders>
              <w:right w:val="single" w:sz="4" w:space="0" w:color="auto"/>
            </w:tcBorders>
            <w:vAlign w:val="center"/>
          </w:tcPr>
          <w:p w14:paraId="45F3571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5.84%</w:t>
            </w:r>
          </w:p>
        </w:tc>
        <w:tc>
          <w:tcPr>
            <w:tcW w:w="1581" w:type="dxa"/>
            <w:tcBorders>
              <w:left w:val="single" w:sz="4" w:space="0" w:color="auto"/>
            </w:tcBorders>
            <w:noWrap/>
            <w:vAlign w:val="center"/>
            <w:hideMark/>
          </w:tcPr>
          <w:p w14:paraId="235FD5C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305</w:t>
            </w:r>
          </w:p>
        </w:tc>
        <w:tc>
          <w:tcPr>
            <w:tcW w:w="910" w:type="dxa"/>
            <w:tcBorders>
              <w:right w:val="single" w:sz="4" w:space="0" w:color="auto"/>
            </w:tcBorders>
            <w:vAlign w:val="center"/>
          </w:tcPr>
          <w:p w14:paraId="2E9932B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2.37%</w:t>
            </w:r>
          </w:p>
        </w:tc>
        <w:tc>
          <w:tcPr>
            <w:tcW w:w="1246" w:type="dxa"/>
            <w:tcBorders>
              <w:left w:val="single" w:sz="4" w:space="0" w:color="auto"/>
            </w:tcBorders>
            <w:vAlign w:val="center"/>
          </w:tcPr>
          <w:p w14:paraId="463CA21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2,606</w:t>
            </w:r>
          </w:p>
        </w:tc>
        <w:tc>
          <w:tcPr>
            <w:tcW w:w="1246" w:type="dxa"/>
            <w:tcBorders>
              <w:right w:val="single" w:sz="4" w:space="0" w:color="auto"/>
            </w:tcBorders>
            <w:vAlign w:val="center"/>
          </w:tcPr>
          <w:p w14:paraId="1F239BA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20.22%</w:t>
            </w:r>
          </w:p>
        </w:tc>
      </w:tr>
      <w:tr w:rsidR="001C4508" w:rsidRPr="000A26F2" w14:paraId="7ED5B06D"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43708B2"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6E55488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1,633</w:t>
            </w:r>
          </w:p>
        </w:tc>
        <w:tc>
          <w:tcPr>
            <w:tcW w:w="1246" w:type="dxa"/>
            <w:tcBorders>
              <w:right w:val="single" w:sz="4" w:space="0" w:color="auto"/>
            </w:tcBorders>
            <w:vAlign w:val="center"/>
          </w:tcPr>
          <w:p w14:paraId="58CBBE1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12.67%</w:t>
            </w:r>
          </w:p>
        </w:tc>
        <w:tc>
          <w:tcPr>
            <w:tcW w:w="1246" w:type="dxa"/>
            <w:tcBorders>
              <w:left w:val="single" w:sz="4" w:space="0" w:color="auto"/>
            </w:tcBorders>
            <w:noWrap/>
            <w:vAlign w:val="center"/>
            <w:hideMark/>
          </w:tcPr>
          <w:p w14:paraId="1B48D6A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1,020</w:t>
            </w:r>
          </w:p>
        </w:tc>
        <w:tc>
          <w:tcPr>
            <w:tcW w:w="1245" w:type="dxa"/>
            <w:tcBorders>
              <w:right w:val="single" w:sz="4" w:space="0" w:color="auto"/>
            </w:tcBorders>
            <w:vAlign w:val="center"/>
          </w:tcPr>
          <w:p w14:paraId="5460353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7.91%</w:t>
            </w:r>
          </w:p>
        </w:tc>
        <w:tc>
          <w:tcPr>
            <w:tcW w:w="1380" w:type="dxa"/>
            <w:tcBorders>
              <w:left w:val="single" w:sz="4" w:space="0" w:color="auto"/>
            </w:tcBorders>
            <w:noWrap/>
            <w:vAlign w:val="center"/>
            <w:hideMark/>
          </w:tcPr>
          <w:p w14:paraId="09E54ED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596</w:t>
            </w:r>
          </w:p>
        </w:tc>
        <w:tc>
          <w:tcPr>
            <w:tcW w:w="1112" w:type="dxa"/>
            <w:tcBorders>
              <w:right w:val="single" w:sz="4" w:space="0" w:color="auto"/>
            </w:tcBorders>
            <w:vAlign w:val="center"/>
          </w:tcPr>
          <w:p w14:paraId="3D0DCD1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4.62%</w:t>
            </w:r>
          </w:p>
        </w:tc>
        <w:tc>
          <w:tcPr>
            <w:tcW w:w="1581" w:type="dxa"/>
            <w:tcBorders>
              <w:left w:val="single" w:sz="4" w:space="0" w:color="auto"/>
              <w:right w:val="nil"/>
            </w:tcBorders>
            <w:noWrap/>
            <w:vAlign w:val="center"/>
            <w:hideMark/>
          </w:tcPr>
          <w:p w14:paraId="5580EBE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424</w:t>
            </w:r>
          </w:p>
        </w:tc>
        <w:tc>
          <w:tcPr>
            <w:tcW w:w="910" w:type="dxa"/>
            <w:tcBorders>
              <w:left w:val="nil"/>
              <w:right w:val="single" w:sz="4" w:space="0" w:color="auto"/>
            </w:tcBorders>
            <w:vAlign w:val="center"/>
          </w:tcPr>
          <w:p w14:paraId="4DE6D7E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3.29%</w:t>
            </w:r>
          </w:p>
        </w:tc>
        <w:tc>
          <w:tcPr>
            <w:tcW w:w="1246" w:type="dxa"/>
            <w:tcBorders>
              <w:left w:val="single" w:sz="4" w:space="0" w:color="auto"/>
              <w:right w:val="nil"/>
            </w:tcBorders>
            <w:vAlign w:val="center"/>
          </w:tcPr>
          <w:p w14:paraId="2BF4C03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2,653</w:t>
            </w:r>
          </w:p>
        </w:tc>
        <w:tc>
          <w:tcPr>
            <w:tcW w:w="1246" w:type="dxa"/>
            <w:tcBorders>
              <w:left w:val="nil"/>
              <w:right w:val="single" w:sz="4" w:space="0" w:color="auto"/>
            </w:tcBorders>
            <w:vAlign w:val="center"/>
          </w:tcPr>
          <w:p w14:paraId="677E998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20.59%</w:t>
            </w:r>
          </w:p>
        </w:tc>
      </w:tr>
      <w:tr w:rsidR="001C4508" w:rsidRPr="000A26F2" w14:paraId="641F4665"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66DE4F9D"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79A12A5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42</w:t>
            </w:r>
          </w:p>
        </w:tc>
        <w:tc>
          <w:tcPr>
            <w:tcW w:w="1246" w:type="dxa"/>
            <w:tcBorders>
              <w:right w:val="single" w:sz="4" w:space="0" w:color="auto"/>
            </w:tcBorders>
            <w:vAlign w:val="center"/>
          </w:tcPr>
          <w:p w14:paraId="36E2A34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0.33%</w:t>
            </w:r>
          </w:p>
        </w:tc>
        <w:tc>
          <w:tcPr>
            <w:tcW w:w="1246" w:type="dxa"/>
            <w:tcBorders>
              <w:left w:val="single" w:sz="4" w:space="0" w:color="auto"/>
            </w:tcBorders>
            <w:noWrap/>
            <w:vAlign w:val="center"/>
            <w:hideMark/>
          </w:tcPr>
          <w:p w14:paraId="2F9D9F1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w:t>
            </w:r>
          </w:p>
        </w:tc>
        <w:tc>
          <w:tcPr>
            <w:tcW w:w="1245" w:type="dxa"/>
            <w:tcBorders>
              <w:right w:val="single" w:sz="4" w:space="0" w:color="auto"/>
            </w:tcBorders>
            <w:vAlign w:val="center"/>
          </w:tcPr>
          <w:p w14:paraId="4CED5B8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0.12%</w:t>
            </w:r>
          </w:p>
        </w:tc>
        <w:tc>
          <w:tcPr>
            <w:tcW w:w="1380" w:type="dxa"/>
            <w:tcBorders>
              <w:left w:val="single" w:sz="4" w:space="0" w:color="auto"/>
            </w:tcBorders>
            <w:noWrap/>
            <w:vAlign w:val="center"/>
            <w:hideMark/>
          </w:tcPr>
          <w:p w14:paraId="48DDDF0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w:t>
            </w:r>
          </w:p>
        </w:tc>
        <w:tc>
          <w:tcPr>
            <w:tcW w:w="1112" w:type="dxa"/>
            <w:tcBorders>
              <w:right w:val="single" w:sz="4" w:space="0" w:color="auto"/>
            </w:tcBorders>
            <w:vAlign w:val="center"/>
          </w:tcPr>
          <w:p w14:paraId="02C2E3B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0.09%</w:t>
            </w:r>
          </w:p>
        </w:tc>
        <w:tc>
          <w:tcPr>
            <w:tcW w:w="1581" w:type="dxa"/>
            <w:tcBorders>
              <w:left w:val="single" w:sz="4" w:space="0" w:color="auto"/>
            </w:tcBorders>
            <w:noWrap/>
            <w:vAlign w:val="center"/>
            <w:hideMark/>
          </w:tcPr>
          <w:p w14:paraId="09A6D63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w:t>
            </w:r>
          </w:p>
        </w:tc>
        <w:tc>
          <w:tcPr>
            <w:tcW w:w="910" w:type="dxa"/>
            <w:tcBorders>
              <w:right w:val="single" w:sz="4" w:space="0" w:color="auto"/>
            </w:tcBorders>
            <w:vAlign w:val="center"/>
          </w:tcPr>
          <w:p w14:paraId="6074198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0.02%</w:t>
            </w:r>
          </w:p>
        </w:tc>
        <w:tc>
          <w:tcPr>
            <w:tcW w:w="1246" w:type="dxa"/>
            <w:tcBorders>
              <w:left w:val="single" w:sz="4" w:space="0" w:color="auto"/>
            </w:tcBorders>
            <w:vAlign w:val="center"/>
          </w:tcPr>
          <w:p w14:paraId="610426F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57</w:t>
            </w:r>
          </w:p>
        </w:tc>
        <w:tc>
          <w:tcPr>
            <w:tcW w:w="1246" w:type="dxa"/>
            <w:tcBorders>
              <w:right w:val="single" w:sz="4" w:space="0" w:color="auto"/>
            </w:tcBorders>
            <w:vAlign w:val="center"/>
          </w:tcPr>
          <w:p w14:paraId="77571DC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0.44%</w:t>
            </w:r>
          </w:p>
        </w:tc>
      </w:tr>
      <w:tr w:rsidR="001C4508" w:rsidRPr="000A26F2" w14:paraId="65CE74E4"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1EDC7386"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0A48A59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3,639</w:t>
            </w:r>
          </w:p>
        </w:tc>
        <w:tc>
          <w:tcPr>
            <w:tcW w:w="1246" w:type="dxa"/>
            <w:tcBorders>
              <w:right w:val="single" w:sz="4" w:space="0" w:color="auto"/>
            </w:tcBorders>
            <w:vAlign w:val="center"/>
          </w:tcPr>
          <w:p w14:paraId="20043C8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28.24%</w:t>
            </w:r>
          </w:p>
        </w:tc>
        <w:tc>
          <w:tcPr>
            <w:tcW w:w="1246" w:type="dxa"/>
            <w:tcBorders>
              <w:left w:val="single" w:sz="4" w:space="0" w:color="auto"/>
            </w:tcBorders>
            <w:noWrap/>
            <w:vAlign w:val="center"/>
            <w:hideMark/>
          </w:tcPr>
          <w:p w14:paraId="5D93289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2,488</w:t>
            </w:r>
          </w:p>
        </w:tc>
        <w:tc>
          <w:tcPr>
            <w:tcW w:w="1245" w:type="dxa"/>
            <w:tcBorders>
              <w:right w:val="single" w:sz="4" w:space="0" w:color="auto"/>
            </w:tcBorders>
            <w:vAlign w:val="center"/>
          </w:tcPr>
          <w:p w14:paraId="7188F40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19.31%</w:t>
            </w:r>
          </w:p>
        </w:tc>
        <w:tc>
          <w:tcPr>
            <w:tcW w:w="1380" w:type="dxa"/>
            <w:tcBorders>
              <w:left w:val="single" w:sz="4" w:space="0" w:color="auto"/>
            </w:tcBorders>
            <w:noWrap/>
            <w:vAlign w:val="center"/>
            <w:hideMark/>
          </w:tcPr>
          <w:p w14:paraId="2E05D1A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1,599</w:t>
            </w:r>
          </w:p>
        </w:tc>
        <w:tc>
          <w:tcPr>
            <w:tcW w:w="1112" w:type="dxa"/>
            <w:tcBorders>
              <w:right w:val="single" w:sz="4" w:space="0" w:color="auto"/>
            </w:tcBorders>
            <w:vAlign w:val="center"/>
          </w:tcPr>
          <w:p w14:paraId="304A023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12.41%</w:t>
            </w:r>
          </w:p>
        </w:tc>
        <w:tc>
          <w:tcPr>
            <w:tcW w:w="1581" w:type="dxa"/>
            <w:tcBorders>
              <w:left w:val="single" w:sz="4" w:space="0" w:color="auto"/>
              <w:right w:val="nil"/>
            </w:tcBorders>
            <w:noWrap/>
            <w:vAlign w:val="center"/>
            <w:hideMark/>
          </w:tcPr>
          <w:p w14:paraId="2243B11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889</w:t>
            </w:r>
          </w:p>
        </w:tc>
        <w:tc>
          <w:tcPr>
            <w:tcW w:w="910" w:type="dxa"/>
            <w:tcBorders>
              <w:left w:val="nil"/>
              <w:right w:val="single" w:sz="4" w:space="0" w:color="auto"/>
            </w:tcBorders>
            <w:vAlign w:val="center"/>
          </w:tcPr>
          <w:p w14:paraId="19ED0F7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6.90%</w:t>
            </w:r>
          </w:p>
        </w:tc>
        <w:tc>
          <w:tcPr>
            <w:tcW w:w="1246" w:type="dxa"/>
            <w:tcBorders>
              <w:left w:val="single" w:sz="4" w:space="0" w:color="auto"/>
              <w:right w:val="nil"/>
            </w:tcBorders>
            <w:vAlign w:val="center"/>
          </w:tcPr>
          <w:p w14:paraId="3677928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6,127</w:t>
            </w:r>
          </w:p>
        </w:tc>
        <w:tc>
          <w:tcPr>
            <w:tcW w:w="1246" w:type="dxa"/>
            <w:tcBorders>
              <w:left w:val="nil"/>
              <w:right w:val="single" w:sz="4" w:space="0" w:color="auto"/>
            </w:tcBorders>
            <w:vAlign w:val="center"/>
          </w:tcPr>
          <w:p w14:paraId="243D7C1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47.54%</w:t>
            </w:r>
          </w:p>
        </w:tc>
      </w:tr>
      <w:tr w:rsidR="001C4508" w:rsidRPr="000A26F2" w14:paraId="63D95CBF"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3C67364E"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5E9B224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4,448</w:t>
            </w:r>
          </w:p>
        </w:tc>
        <w:tc>
          <w:tcPr>
            <w:tcW w:w="1246" w:type="dxa"/>
            <w:tcBorders>
              <w:right w:val="single" w:sz="4" w:space="0" w:color="auto"/>
            </w:tcBorders>
            <w:vAlign w:val="center"/>
          </w:tcPr>
          <w:p w14:paraId="007E023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34.52%</w:t>
            </w:r>
          </w:p>
        </w:tc>
        <w:tc>
          <w:tcPr>
            <w:tcW w:w="1246" w:type="dxa"/>
            <w:tcBorders>
              <w:left w:val="single" w:sz="4" w:space="0" w:color="auto"/>
            </w:tcBorders>
            <w:noWrap/>
            <w:vAlign w:val="center"/>
            <w:hideMark/>
          </w:tcPr>
          <w:p w14:paraId="7D28A3D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2,312</w:t>
            </w:r>
          </w:p>
        </w:tc>
        <w:tc>
          <w:tcPr>
            <w:tcW w:w="1245" w:type="dxa"/>
            <w:tcBorders>
              <w:right w:val="single" w:sz="4" w:space="0" w:color="auto"/>
            </w:tcBorders>
            <w:vAlign w:val="center"/>
          </w:tcPr>
          <w:p w14:paraId="1B226C7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17.94%</w:t>
            </w:r>
          </w:p>
        </w:tc>
        <w:tc>
          <w:tcPr>
            <w:tcW w:w="1380" w:type="dxa"/>
            <w:tcBorders>
              <w:left w:val="single" w:sz="4" w:space="0" w:color="auto"/>
            </w:tcBorders>
            <w:noWrap/>
            <w:vAlign w:val="center"/>
            <w:hideMark/>
          </w:tcPr>
          <w:p w14:paraId="12A7CBE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1,462</w:t>
            </w:r>
          </w:p>
        </w:tc>
        <w:tc>
          <w:tcPr>
            <w:tcW w:w="1112" w:type="dxa"/>
            <w:tcBorders>
              <w:right w:val="single" w:sz="4" w:space="0" w:color="auto"/>
            </w:tcBorders>
            <w:vAlign w:val="center"/>
          </w:tcPr>
          <w:p w14:paraId="4A46190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11.34%</w:t>
            </w:r>
          </w:p>
        </w:tc>
        <w:tc>
          <w:tcPr>
            <w:tcW w:w="1581" w:type="dxa"/>
            <w:tcBorders>
              <w:left w:val="single" w:sz="4" w:space="0" w:color="auto"/>
            </w:tcBorders>
            <w:noWrap/>
            <w:vAlign w:val="center"/>
            <w:hideMark/>
          </w:tcPr>
          <w:p w14:paraId="7E3A557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850</w:t>
            </w:r>
          </w:p>
        </w:tc>
        <w:tc>
          <w:tcPr>
            <w:tcW w:w="910" w:type="dxa"/>
            <w:tcBorders>
              <w:right w:val="single" w:sz="4" w:space="0" w:color="auto"/>
            </w:tcBorders>
            <w:vAlign w:val="center"/>
          </w:tcPr>
          <w:p w14:paraId="1EEE8E9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6.60%</w:t>
            </w:r>
          </w:p>
        </w:tc>
        <w:tc>
          <w:tcPr>
            <w:tcW w:w="1246" w:type="dxa"/>
            <w:tcBorders>
              <w:left w:val="single" w:sz="4" w:space="0" w:color="auto"/>
            </w:tcBorders>
            <w:vAlign w:val="center"/>
          </w:tcPr>
          <w:p w14:paraId="40E17CE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6,760</w:t>
            </w:r>
          </w:p>
        </w:tc>
        <w:tc>
          <w:tcPr>
            <w:tcW w:w="1246" w:type="dxa"/>
            <w:tcBorders>
              <w:right w:val="single" w:sz="4" w:space="0" w:color="auto"/>
            </w:tcBorders>
            <w:vAlign w:val="center"/>
          </w:tcPr>
          <w:p w14:paraId="2581139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52.46%</w:t>
            </w:r>
          </w:p>
        </w:tc>
      </w:tr>
      <w:tr w:rsidR="001C4508" w:rsidRPr="000A26F2" w14:paraId="045FCD80"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noWrap/>
            <w:hideMark/>
          </w:tcPr>
          <w:p w14:paraId="24C803E0"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noWrap/>
            <w:vAlign w:val="center"/>
            <w:hideMark/>
          </w:tcPr>
          <w:p w14:paraId="28495EDA"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8,087</w:t>
            </w:r>
          </w:p>
        </w:tc>
        <w:tc>
          <w:tcPr>
            <w:tcW w:w="1246" w:type="dxa"/>
            <w:tcBorders>
              <w:bottom w:val="single" w:sz="4" w:space="0" w:color="auto"/>
              <w:right w:val="single" w:sz="4" w:space="0" w:color="auto"/>
            </w:tcBorders>
            <w:vAlign w:val="center"/>
          </w:tcPr>
          <w:p w14:paraId="21C886B2"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62.75%</w:t>
            </w:r>
          </w:p>
        </w:tc>
        <w:tc>
          <w:tcPr>
            <w:tcW w:w="1246" w:type="dxa"/>
            <w:tcBorders>
              <w:left w:val="single" w:sz="4" w:space="0" w:color="auto"/>
              <w:bottom w:val="single" w:sz="4" w:space="0" w:color="auto"/>
            </w:tcBorders>
            <w:noWrap/>
            <w:vAlign w:val="center"/>
            <w:hideMark/>
          </w:tcPr>
          <w:p w14:paraId="24E428AB"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4,800</w:t>
            </w:r>
          </w:p>
        </w:tc>
        <w:tc>
          <w:tcPr>
            <w:tcW w:w="1245" w:type="dxa"/>
            <w:tcBorders>
              <w:bottom w:val="single" w:sz="4" w:space="0" w:color="auto"/>
              <w:right w:val="single" w:sz="4" w:space="0" w:color="auto"/>
            </w:tcBorders>
            <w:vAlign w:val="center"/>
          </w:tcPr>
          <w:p w14:paraId="5FF8DEF8"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37.25%</w:t>
            </w:r>
          </w:p>
        </w:tc>
        <w:tc>
          <w:tcPr>
            <w:tcW w:w="1380" w:type="dxa"/>
            <w:tcBorders>
              <w:left w:val="single" w:sz="4" w:space="0" w:color="auto"/>
              <w:bottom w:val="single" w:sz="4" w:space="0" w:color="auto"/>
            </w:tcBorders>
            <w:noWrap/>
            <w:vAlign w:val="center"/>
            <w:hideMark/>
          </w:tcPr>
          <w:p w14:paraId="698EA86F"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3,061</w:t>
            </w:r>
          </w:p>
        </w:tc>
        <w:tc>
          <w:tcPr>
            <w:tcW w:w="1112" w:type="dxa"/>
            <w:tcBorders>
              <w:bottom w:val="single" w:sz="4" w:space="0" w:color="auto"/>
              <w:right w:val="single" w:sz="4" w:space="0" w:color="auto"/>
            </w:tcBorders>
            <w:vAlign w:val="center"/>
          </w:tcPr>
          <w:p w14:paraId="20E08A1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23.75%</w:t>
            </w:r>
          </w:p>
        </w:tc>
        <w:tc>
          <w:tcPr>
            <w:tcW w:w="1581" w:type="dxa"/>
            <w:tcBorders>
              <w:left w:val="single" w:sz="4" w:space="0" w:color="auto"/>
              <w:bottom w:val="single" w:sz="4" w:space="0" w:color="auto"/>
              <w:right w:val="nil"/>
            </w:tcBorders>
            <w:noWrap/>
            <w:vAlign w:val="center"/>
            <w:hideMark/>
          </w:tcPr>
          <w:p w14:paraId="611E26B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1,739</w:t>
            </w:r>
          </w:p>
        </w:tc>
        <w:tc>
          <w:tcPr>
            <w:tcW w:w="910" w:type="dxa"/>
            <w:tcBorders>
              <w:left w:val="nil"/>
              <w:bottom w:val="single" w:sz="4" w:space="0" w:color="auto"/>
              <w:right w:val="single" w:sz="4" w:space="0" w:color="auto"/>
            </w:tcBorders>
            <w:vAlign w:val="center"/>
          </w:tcPr>
          <w:p w14:paraId="5CC0013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13.49%</w:t>
            </w:r>
          </w:p>
        </w:tc>
        <w:tc>
          <w:tcPr>
            <w:tcW w:w="1246" w:type="dxa"/>
            <w:tcBorders>
              <w:left w:val="single" w:sz="4" w:space="0" w:color="auto"/>
              <w:bottom w:val="single" w:sz="4" w:space="0" w:color="auto"/>
              <w:right w:val="nil"/>
            </w:tcBorders>
            <w:vAlign w:val="center"/>
          </w:tcPr>
          <w:p w14:paraId="4CFB607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12,887</w:t>
            </w:r>
          </w:p>
        </w:tc>
        <w:tc>
          <w:tcPr>
            <w:tcW w:w="1246" w:type="dxa"/>
            <w:tcBorders>
              <w:left w:val="nil"/>
              <w:bottom w:val="single" w:sz="4" w:space="0" w:color="auto"/>
              <w:right w:val="single" w:sz="4" w:space="0" w:color="auto"/>
            </w:tcBorders>
            <w:vAlign w:val="center"/>
          </w:tcPr>
          <w:p w14:paraId="62AF9123"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10.75%</w:t>
            </w:r>
          </w:p>
        </w:tc>
      </w:tr>
    </w:tbl>
    <w:p w14:paraId="6A5B5C8C" w14:textId="77777777" w:rsidR="001C4508" w:rsidRDefault="001C4508" w:rsidP="00CE2FDF">
      <w:pPr>
        <w:spacing w:before="0"/>
      </w:pPr>
      <w:r>
        <w:rPr>
          <w:b/>
          <w:bCs/>
        </w:rPr>
        <w:br w:type="page"/>
      </w:r>
    </w:p>
    <w:tbl>
      <w:tblPr>
        <w:tblStyle w:val="LightShading-Accent4"/>
        <w:tblW w:w="14425" w:type="dxa"/>
        <w:tblLayout w:type="fixed"/>
        <w:tblLook w:val="04A0" w:firstRow="1" w:lastRow="0" w:firstColumn="1" w:lastColumn="0" w:noHBand="0" w:noVBand="1"/>
        <w:tblCaption w:val="Number of reports of physical abuse, by year, reporter group, and outcome"/>
      </w:tblPr>
      <w:tblGrid>
        <w:gridCol w:w="1968"/>
        <w:gridCol w:w="1245"/>
        <w:gridCol w:w="1246"/>
        <w:gridCol w:w="1246"/>
        <w:gridCol w:w="1245"/>
        <w:gridCol w:w="1380"/>
        <w:gridCol w:w="1112"/>
        <w:gridCol w:w="1581"/>
        <w:gridCol w:w="910"/>
        <w:gridCol w:w="1246"/>
        <w:gridCol w:w="1246"/>
      </w:tblGrid>
      <w:tr w:rsidR="001C4508" w:rsidRPr="000A26F2" w14:paraId="73CAF94C"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4DFA57C7" w14:textId="77777777" w:rsidR="001C4508" w:rsidRPr="000A26F2" w:rsidRDefault="001C4508" w:rsidP="00CE2FDF">
            <w:pPr>
              <w:tabs>
                <w:tab w:val="left" w:pos="1134"/>
              </w:tabs>
              <w:spacing w:before="0" w:line="276" w:lineRule="auto"/>
              <w:jc w:val="center"/>
              <w:rPr>
                <w:rFonts w:eastAsia="Times New Roman" w:cs="Arial"/>
                <w:color w:val="auto"/>
                <w:sz w:val="20"/>
                <w:szCs w:val="20"/>
                <w:lang w:eastAsia="en-AU"/>
              </w:rPr>
            </w:pP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18063CDF"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Not investigated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259E6BE"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Investigated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DF5D58D"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Substantiated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2B0E437D"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0A26F2">
              <w:rPr>
                <w:rFonts w:eastAsia="Times New Roman" w:cs="Arial"/>
                <w:color w:val="auto"/>
                <w:sz w:val="20"/>
                <w:szCs w:val="20"/>
                <w:lang w:eastAsia="en-AU"/>
              </w:rPr>
              <w:t>Not substantiated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5D3FCDE7"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Total</w:t>
            </w:r>
          </w:p>
        </w:tc>
      </w:tr>
      <w:tr w:rsidR="002418F8" w:rsidRPr="000A26F2" w14:paraId="25CC943E"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nil"/>
              <w:right w:val="single" w:sz="4" w:space="0" w:color="auto"/>
            </w:tcBorders>
            <w:noWrap/>
            <w:hideMark/>
          </w:tcPr>
          <w:p w14:paraId="4CCAC568" w14:textId="77777777" w:rsidR="000A26F2" w:rsidRPr="000A26F2" w:rsidRDefault="000A26F2" w:rsidP="00CE2FDF">
            <w:pPr>
              <w:keepNext/>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2009</w:t>
            </w:r>
          </w:p>
        </w:tc>
        <w:tc>
          <w:tcPr>
            <w:tcW w:w="1245" w:type="dxa"/>
            <w:tcBorders>
              <w:top w:val="single" w:sz="4" w:space="0" w:color="auto"/>
              <w:left w:val="single" w:sz="4" w:space="0" w:color="auto"/>
              <w:bottom w:val="nil"/>
            </w:tcBorders>
            <w:noWrap/>
            <w:hideMark/>
          </w:tcPr>
          <w:p w14:paraId="1A03F6BB" w14:textId="77777777" w:rsidR="000A26F2" w:rsidRPr="000A26F2" w:rsidRDefault="000A26F2" w:rsidP="00CE2FDF">
            <w:pPr>
              <w:keepNext/>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bottom w:val="nil"/>
              <w:right w:val="single" w:sz="4" w:space="0" w:color="auto"/>
            </w:tcBorders>
            <w:vAlign w:val="center"/>
          </w:tcPr>
          <w:p w14:paraId="251D3682" w14:textId="77777777" w:rsidR="000A26F2" w:rsidRPr="000A26F2" w:rsidRDefault="000A26F2"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noWrap/>
            <w:hideMark/>
          </w:tcPr>
          <w:p w14:paraId="6CC0D325" w14:textId="77777777" w:rsidR="000A26F2" w:rsidRPr="000A26F2" w:rsidRDefault="000A26F2" w:rsidP="00CE2FDF">
            <w:pPr>
              <w:keepNext/>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5" w:type="dxa"/>
            <w:tcBorders>
              <w:top w:val="single" w:sz="4" w:space="0" w:color="auto"/>
              <w:bottom w:val="nil"/>
              <w:right w:val="single" w:sz="4" w:space="0" w:color="auto"/>
            </w:tcBorders>
            <w:vAlign w:val="center"/>
          </w:tcPr>
          <w:p w14:paraId="3C711BF1" w14:textId="77777777" w:rsidR="000A26F2" w:rsidRPr="000A26F2" w:rsidRDefault="000A26F2"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380" w:type="dxa"/>
            <w:tcBorders>
              <w:top w:val="single" w:sz="4" w:space="0" w:color="auto"/>
              <w:left w:val="single" w:sz="4" w:space="0" w:color="auto"/>
              <w:bottom w:val="nil"/>
            </w:tcBorders>
            <w:noWrap/>
            <w:hideMark/>
          </w:tcPr>
          <w:p w14:paraId="5A49BCCC" w14:textId="77777777" w:rsidR="000A26F2" w:rsidRPr="000A26F2" w:rsidRDefault="000A26F2" w:rsidP="00CE2FDF">
            <w:pPr>
              <w:keepNext/>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112" w:type="dxa"/>
            <w:tcBorders>
              <w:top w:val="single" w:sz="4" w:space="0" w:color="auto"/>
              <w:bottom w:val="nil"/>
              <w:right w:val="single" w:sz="4" w:space="0" w:color="auto"/>
            </w:tcBorders>
            <w:vAlign w:val="center"/>
          </w:tcPr>
          <w:p w14:paraId="59DCCC8D" w14:textId="77777777" w:rsidR="000A26F2" w:rsidRPr="000A26F2" w:rsidRDefault="000A26F2"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581" w:type="dxa"/>
            <w:tcBorders>
              <w:top w:val="single" w:sz="4" w:space="0" w:color="auto"/>
              <w:left w:val="single" w:sz="4" w:space="0" w:color="auto"/>
              <w:bottom w:val="nil"/>
            </w:tcBorders>
            <w:noWrap/>
            <w:hideMark/>
          </w:tcPr>
          <w:p w14:paraId="06A03363" w14:textId="77777777" w:rsidR="000A26F2" w:rsidRPr="000A26F2" w:rsidRDefault="000A26F2" w:rsidP="00CE2FDF">
            <w:pPr>
              <w:keepNext/>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910" w:type="dxa"/>
            <w:tcBorders>
              <w:top w:val="single" w:sz="4" w:space="0" w:color="auto"/>
              <w:bottom w:val="nil"/>
              <w:right w:val="single" w:sz="4" w:space="0" w:color="auto"/>
            </w:tcBorders>
          </w:tcPr>
          <w:p w14:paraId="4AE02199" w14:textId="77777777" w:rsidR="000A26F2" w:rsidRPr="000A26F2" w:rsidRDefault="000A26F2" w:rsidP="00CE2FDF">
            <w:pPr>
              <w:keepNext/>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vAlign w:val="center"/>
          </w:tcPr>
          <w:p w14:paraId="1375D31C" w14:textId="77777777" w:rsidR="000A26F2" w:rsidRPr="000A26F2" w:rsidRDefault="000A26F2"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 </w:t>
            </w:r>
          </w:p>
        </w:tc>
        <w:tc>
          <w:tcPr>
            <w:tcW w:w="1246" w:type="dxa"/>
            <w:tcBorders>
              <w:top w:val="single" w:sz="4" w:space="0" w:color="auto"/>
              <w:bottom w:val="nil"/>
              <w:right w:val="single" w:sz="4" w:space="0" w:color="auto"/>
            </w:tcBorders>
            <w:vAlign w:val="center"/>
          </w:tcPr>
          <w:p w14:paraId="2A309B8F" w14:textId="77777777" w:rsidR="000A26F2" w:rsidRPr="000A26F2" w:rsidRDefault="000A26F2"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 </w:t>
            </w:r>
          </w:p>
        </w:tc>
      </w:tr>
      <w:tr w:rsidR="001C4508" w:rsidRPr="000A26F2" w14:paraId="1F7E89A8"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nil"/>
              <w:left w:val="single" w:sz="4" w:space="0" w:color="auto"/>
              <w:right w:val="single" w:sz="4" w:space="0" w:color="auto"/>
            </w:tcBorders>
            <w:noWrap/>
            <w:hideMark/>
          </w:tcPr>
          <w:p w14:paraId="345FD974"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top w:val="nil"/>
              <w:left w:val="single" w:sz="4" w:space="0" w:color="auto"/>
            </w:tcBorders>
            <w:noWrap/>
            <w:vAlign w:val="center"/>
            <w:hideMark/>
          </w:tcPr>
          <w:p w14:paraId="5C260331"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260</w:t>
            </w:r>
          </w:p>
        </w:tc>
        <w:tc>
          <w:tcPr>
            <w:tcW w:w="1246" w:type="dxa"/>
            <w:tcBorders>
              <w:top w:val="nil"/>
              <w:right w:val="single" w:sz="4" w:space="0" w:color="auto"/>
            </w:tcBorders>
            <w:vAlign w:val="center"/>
          </w:tcPr>
          <w:p w14:paraId="395556A7"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1.76%</w:t>
            </w:r>
          </w:p>
        </w:tc>
        <w:tc>
          <w:tcPr>
            <w:tcW w:w="1246" w:type="dxa"/>
            <w:tcBorders>
              <w:top w:val="nil"/>
              <w:left w:val="single" w:sz="4" w:space="0" w:color="auto"/>
            </w:tcBorders>
            <w:noWrap/>
            <w:vAlign w:val="center"/>
            <w:hideMark/>
          </w:tcPr>
          <w:p w14:paraId="19EA1512"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147</w:t>
            </w:r>
          </w:p>
        </w:tc>
        <w:tc>
          <w:tcPr>
            <w:tcW w:w="1245" w:type="dxa"/>
            <w:tcBorders>
              <w:top w:val="nil"/>
              <w:right w:val="single" w:sz="4" w:space="0" w:color="auto"/>
            </w:tcBorders>
            <w:vAlign w:val="center"/>
          </w:tcPr>
          <w:p w14:paraId="44370332"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0.99%</w:t>
            </w:r>
          </w:p>
        </w:tc>
        <w:tc>
          <w:tcPr>
            <w:tcW w:w="1380" w:type="dxa"/>
            <w:tcBorders>
              <w:top w:val="nil"/>
              <w:left w:val="single" w:sz="4" w:space="0" w:color="auto"/>
            </w:tcBorders>
            <w:noWrap/>
            <w:vAlign w:val="center"/>
            <w:hideMark/>
          </w:tcPr>
          <w:p w14:paraId="0D825CB9"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91</w:t>
            </w:r>
          </w:p>
        </w:tc>
        <w:tc>
          <w:tcPr>
            <w:tcW w:w="1112" w:type="dxa"/>
            <w:tcBorders>
              <w:top w:val="nil"/>
              <w:right w:val="single" w:sz="4" w:space="0" w:color="auto"/>
            </w:tcBorders>
            <w:vAlign w:val="center"/>
          </w:tcPr>
          <w:p w14:paraId="5D2BEA97"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0.62%</w:t>
            </w:r>
          </w:p>
        </w:tc>
        <w:tc>
          <w:tcPr>
            <w:tcW w:w="1581" w:type="dxa"/>
            <w:tcBorders>
              <w:top w:val="nil"/>
              <w:left w:val="single" w:sz="4" w:space="0" w:color="auto"/>
            </w:tcBorders>
            <w:noWrap/>
            <w:vAlign w:val="center"/>
            <w:hideMark/>
          </w:tcPr>
          <w:p w14:paraId="78D38456"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56</w:t>
            </w:r>
          </w:p>
        </w:tc>
        <w:tc>
          <w:tcPr>
            <w:tcW w:w="910" w:type="dxa"/>
            <w:tcBorders>
              <w:top w:val="nil"/>
              <w:right w:val="single" w:sz="4" w:space="0" w:color="auto"/>
            </w:tcBorders>
            <w:vAlign w:val="center"/>
          </w:tcPr>
          <w:p w14:paraId="6588BD25"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0.38%</w:t>
            </w:r>
          </w:p>
        </w:tc>
        <w:tc>
          <w:tcPr>
            <w:tcW w:w="1246" w:type="dxa"/>
            <w:tcBorders>
              <w:top w:val="nil"/>
              <w:left w:val="single" w:sz="4" w:space="0" w:color="auto"/>
            </w:tcBorders>
            <w:vAlign w:val="center"/>
          </w:tcPr>
          <w:p w14:paraId="49CD0F7B"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407</w:t>
            </w:r>
          </w:p>
        </w:tc>
        <w:tc>
          <w:tcPr>
            <w:tcW w:w="1246" w:type="dxa"/>
            <w:tcBorders>
              <w:top w:val="nil"/>
              <w:right w:val="single" w:sz="4" w:space="0" w:color="auto"/>
            </w:tcBorders>
            <w:vAlign w:val="center"/>
          </w:tcPr>
          <w:p w14:paraId="5AD7AFC2"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2.75%</w:t>
            </w:r>
          </w:p>
        </w:tc>
      </w:tr>
      <w:tr w:rsidR="001C4508" w:rsidRPr="000A26F2" w14:paraId="29E44F6E"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5473C640"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78896561"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224</w:t>
            </w:r>
          </w:p>
        </w:tc>
        <w:tc>
          <w:tcPr>
            <w:tcW w:w="1246" w:type="dxa"/>
            <w:tcBorders>
              <w:right w:val="single" w:sz="4" w:space="0" w:color="auto"/>
            </w:tcBorders>
            <w:vAlign w:val="center"/>
          </w:tcPr>
          <w:p w14:paraId="4A033C2A"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1.52%</w:t>
            </w:r>
          </w:p>
        </w:tc>
        <w:tc>
          <w:tcPr>
            <w:tcW w:w="1246" w:type="dxa"/>
            <w:tcBorders>
              <w:left w:val="single" w:sz="4" w:space="0" w:color="auto"/>
            </w:tcBorders>
            <w:noWrap/>
            <w:vAlign w:val="center"/>
            <w:hideMark/>
          </w:tcPr>
          <w:p w14:paraId="7927EFE5"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199</w:t>
            </w:r>
          </w:p>
        </w:tc>
        <w:tc>
          <w:tcPr>
            <w:tcW w:w="1245" w:type="dxa"/>
            <w:tcBorders>
              <w:right w:val="single" w:sz="4" w:space="0" w:color="auto"/>
            </w:tcBorders>
            <w:vAlign w:val="center"/>
          </w:tcPr>
          <w:p w14:paraId="0C2B1FD4"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1.35%</w:t>
            </w:r>
          </w:p>
        </w:tc>
        <w:tc>
          <w:tcPr>
            <w:tcW w:w="1380" w:type="dxa"/>
            <w:tcBorders>
              <w:left w:val="single" w:sz="4" w:space="0" w:color="auto"/>
            </w:tcBorders>
            <w:noWrap/>
            <w:vAlign w:val="center"/>
            <w:hideMark/>
          </w:tcPr>
          <w:p w14:paraId="6D70B066"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137</w:t>
            </w:r>
          </w:p>
        </w:tc>
        <w:tc>
          <w:tcPr>
            <w:tcW w:w="1112" w:type="dxa"/>
            <w:tcBorders>
              <w:right w:val="single" w:sz="4" w:space="0" w:color="auto"/>
            </w:tcBorders>
            <w:vAlign w:val="center"/>
          </w:tcPr>
          <w:p w14:paraId="172C3597"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0.93%</w:t>
            </w:r>
          </w:p>
        </w:tc>
        <w:tc>
          <w:tcPr>
            <w:tcW w:w="1581" w:type="dxa"/>
            <w:tcBorders>
              <w:left w:val="single" w:sz="4" w:space="0" w:color="auto"/>
            </w:tcBorders>
            <w:noWrap/>
            <w:vAlign w:val="center"/>
            <w:hideMark/>
          </w:tcPr>
          <w:p w14:paraId="16109123"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62</w:t>
            </w:r>
          </w:p>
        </w:tc>
        <w:tc>
          <w:tcPr>
            <w:tcW w:w="910" w:type="dxa"/>
            <w:tcBorders>
              <w:right w:val="single" w:sz="4" w:space="0" w:color="auto"/>
            </w:tcBorders>
            <w:vAlign w:val="center"/>
          </w:tcPr>
          <w:p w14:paraId="149CB6C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0.42%</w:t>
            </w:r>
          </w:p>
        </w:tc>
        <w:tc>
          <w:tcPr>
            <w:tcW w:w="1246" w:type="dxa"/>
            <w:tcBorders>
              <w:left w:val="single" w:sz="4" w:space="0" w:color="auto"/>
            </w:tcBorders>
            <w:vAlign w:val="center"/>
          </w:tcPr>
          <w:p w14:paraId="5B1D63B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423</w:t>
            </w:r>
          </w:p>
        </w:tc>
        <w:tc>
          <w:tcPr>
            <w:tcW w:w="1246" w:type="dxa"/>
            <w:tcBorders>
              <w:right w:val="single" w:sz="4" w:space="0" w:color="auto"/>
            </w:tcBorders>
            <w:vAlign w:val="center"/>
          </w:tcPr>
          <w:p w14:paraId="118802E9"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2.86%</w:t>
            </w:r>
          </w:p>
        </w:tc>
      </w:tr>
      <w:tr w:rsidR="001C4508" w:rsidRPr="000A26F2" w14:paraId="6E251FFF"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36C7FDF0"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3165A4E6"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1,884</w:t>
            </w:r>
          </w:p>
        </w:tc>
        <w:tc>
          <w:tcPr>
            <w:tcW w:w="1246" w:type="dxa"/>
            <w:tcBorders>
              <w:right w:val="single" w:sz="4" w:space="0" w:color="auto"/>
            </w:tcBorders>
            <w:vAlign w:val="center"/>
          </w:tcPr>
          <w:p w14:paraId="2373D4B0"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12.75%</w:t>
            </w:r>
          </w:p>
        </w:tc>
        <w:tc>
          <w:tcPr>
            <w:tcW w:w="1246" w:type="dxa"/>
            <w:tcBorders>
              <w:left w:val="single" w:sz="4" w:space="0" w:color="auto"/>
            </w:tcBorders>
            <w:noWrap/>
            <w:vAlign w:val="center"/>
            <w:hideMark/>
          </w:tcPr>
          <w:p w14:paraId="2DB32234"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935</w:t>
            </w:r>
          </w:p>
        </w:tc>
        <w:tc>
          <w:tcPr>
            <w:tcW w:w="1245" w:type="dxa"/>
            <w:tcBorders>
              <w:right w:val="single" w:sz="4" w:space="0" w:color="auto"/>
            </w:tcBorders>
            <w:vAlign w:val="center"/>
          </w:tcPr>
          <w:p w14:paraId="4C33FC8E"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6.33%</w:t>
            </w:r>
          </w:p>
        </w:tc>
        <w:tc>
          <w:tcPr>
            <w:tcW w:w="1380" w:type="dxa"/>
            <w:tcBorders>
              <w:left w:val="single" w:sz="4" w:space="0" w:color="auto"/>
            </w:tcBorders>
            <w:noWrap/>
            <w:vAlign w:val="center"/>
            <w:hideMark/>
          </w:tcPr>
          <w:p w14:paraId="016CC15C"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703</w:t>
            </w:r>
          </w:p>
        </w:tc>
        <w:tc>
          <w:tcPr>
            <w:tcW w:w="1112" w:type="dxa"/>
            <w:tcBorders>
              <w:right w:val="single" w:sz="4" w:space="0" w:color="auto"/>
            </w:tcBorders>
            <w:vAlign w:val="center"/>
          </w:tcPr>
          <w:p w14:paraId="44429DDE"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4.76%</w:t>
            </w:r>
          </w:p>
        </w:tc>
        <w:tc>
          <w:tcPr>
            <w:tcW w:w="1581" w:type="dxa"/>
            <w:tcBorders>
              <w:left w:val="single" w:sz="4" w:space="0" w:color="auto"/>
            </w:tcBorders>
            <w:noWrap/>
            <w:vAlign w:val="center"/>
            <w:hideMark/>
          </w:tcPr>
          <w:p w14:paraId="4AAF3760"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232</w:t>
            </w:r>
          </w:p>
        </w:tc>
        <w:tc>
          <w:tcPr>
            <w:tcW w:w="910" w:type="dxa"/>
            <w:tcBorders>
              <w:right w:val="single" w:sz="4" w:space="0" w:color="auto"/>
            </w:tcBorders>
            <w:vAlign w:val="center"/>
          </w:tcPr>
          <w:p w14:paraId="3EEC2821"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1.57%</w:t>
            </w:r>
          </w:p>
        </w:tc>
        <w:tc>
          <w:tcPr>
            <w:tcW w:w="1246" w:type="dxa"/>
            <w:tcBorders>
              <w:left w:val="single" w:sz="4" w:space="0" w:color="auto"/>
            </w:tcBorders>
            <w:vAlign w:val="center"/>
          </w:tcPr>
          <w:p w14:paraId="04CC540E"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2,819</w:t>
            </w:r>
          </w:p>
        </w:tc>
        <w:tc>
          <w:tcPr>
            <w:tcW w:w="1246" w:type="dxa"/>
            <w:tcBorders>
              <w:right w:val="single" w:sz="4" w:space="0" w:color="auto"/>
            </w:tcBorders>
            <w:vAlign w:val="center"/>
          </w:tcPr>
          <w:p w14:paraId="2DC15D4D"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19.07%</w:t>
            </w:r>
          </w:p>
        </w:tc>
      </w:tr>
      <w:tr w:rsidR="001C4508" w:rsidRPr="000A26F2" w14:paraId="784E83C0"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1496F5A"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194190F6"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1,979</w:t>
            </w:r>
          </w:p>
        </w:tc>
        <w:tc>
          <w:tcPr>
            <w:tcW w:w="1246" w:type="dxa"/>
            <w:tcBorders>
              <w:right w:val="single" w:sz="4" w:space="0" w:color="auto"/>
            </w:tcBorders>
            <w:vAlign w:val="center"/>
          </w:tcPr>
          <w:p w14:paraId="0362E8DD"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13.39%</w:t>
            </w:r>
          </w:p>
        </w:tc>
        <w:tc>
          <w:tcPr>
            <w:tcW w:w="1246" w:type="dxa"/>
            <w:tcBorders>
              <w:left w:val="single" w:sz="4" w:space="0" w:color="auto"/>
            </w:tcBorders>
            <w:noWrap/>
            <w:vAlign w:val="center"/>
            <w:hideMark/>
          </w:tcPr>
          <w:p w14:paraId="048C224F"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1,241</w:t>
            </w:r>
          </w:p>
        </w:tc>
        <w:tc>
          <w:tcPr>
            <w:tcW w:w="1245" w:type="dxa"/>
            <w:tcBorders>
              <w:right w:val="single" w:sz="4" w:space="0" w:color="auto"/>
            </w:tcBorders>
            <w:vAlign w:val="center"/>
          </w:tcPr>
          <w:p w14:paraId="0F0CD0C6"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8.40%</w:t>
            </w:r>
          </w:p>
        </w:tc>
        <w:tc>
          <w:tcPr>
            <w:tcW w:w="1380" w:type="dxa"/>
            <w:tcBorders>
              <w:left w:val="single" w:sz="4" w:space="0" w:color="auto"/>
            </w:tcBorders>
            <w:noWrap/>
            <w:vAlign w:val="center"/>
            <w:hideMark/>
          </w:tcPr>
          <w:p w14:paraId="79B1E583"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665</w:t>
            </w:r>
          </w:p>
        </w:tc>
        <w:tc>
          <w:tcPr>
            <w:tcW w:w="1112" w:type="dxa"/>
            <w:tcBorders>
              <w:right w:val="single" w:sz="4" w:space="0" w:color="auto"/>
            </w:tcBorders>
            <w:vAlign w:val="center"/>
          </w:tcPr>
          <w:p w14:paraId="38BECB86"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4.50%</w:t>
            </w:r>
          </w:p>
        </w:tc>
        <w:tc>
          <w:tcPr>
            <w:tcW w:w="1581" w:type="dxa"/>
            <w:tcBorders>
              <w:left w:val="single" w:sz="4" w:space="0" w:color="auto"/>
            </w:tcBorders>
            <w:noWrap/>
            <w:vAlign w:val="center"/>
            <w:hideMark/>
          </w:tcPr>
          <w:p w14:paraId="0A92B41E"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576</w:t>
            </w:r>
          </w:p>
        </w:tc>
        <w:tc>
          <w:tcPr>
            <w:tcW w:w="910" w:type="dxa"/>
            <w:tcBorders>
              <w:right w:val="single" w:sz="4" w:space="0" w:color="auto"/>
            </w:tcBorders>
            <w:vAlign w:val="center"/>
          </w:tcPr>
          <w:p w14:paraId="39148D9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3.90%</w:t>
            </w:r>
          </w:p>
        </w:tc>
        <w:tc>
          <w:tcPr>
            <w:tcW w:w="1246" w:type="dxa"/>
            <w:tcBorders>
              <w:left w:val="single" w:sz="4" w:space="0" w:color="auto"/>
            </w:tcBorders>
            <w:vAlign w:val="center"/>
          </w:tcPr>
          <w:p w14:paraId="648961AD"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3,220</w:t>
            </w:r>
          </w:p>
        </w:tc>
        <w:tc>
          <w:tcPr>
            <w:tcW w:w="1246" w:type="dxa"/>
            <w:tcBorders>
              <w:right w:val="single" w:sz="4" w:space="0" w:color="auto"/>
            </w:tcBorders>
            <w:vAlign w:val="center"/>
          </w:tcPr>
          <w:p w14:paraId="0575190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21.78%</w:t>
            </w:r>
          </w:p>
        </w:tc>
      </w:tr>
      <w:tr w:rsidR="001C4508" w:rsidRPr="000A26F2" w14:paraId="02FFA5DB"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772144E6"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525D17FA"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41</w:t>
            </w:r>
          </w:p>
        </w:tc>
        <w:tc>
          <w:tcPr>
            <w:tcW w:w="1246" w:type="dxa"/>
            <w:tcBorders>
              <w:right w:val="single" w:sz="4" w:space="0" w:color="auto"/>
            </w:tcBorders>
            <w:vAlign w:val="center"/>
          </w:tcPr>
          <w:p w14:paraId="586DA55D"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0.28%</w:t>
            </w:r>
          </w:p>
        </w:tc>
        <w:tc>
          <w:tcPr>
            <w:tcW w:w="1246" w:type="dxa"/>
            <w:tcBorders>
              <w:left w:val="single" w:sz="4" w:space="0" w:color="auto"/>
            </w:tcBorders>
            <w:noWrap/>
            <w:vAlign w:val="center"/>
            <w:hideMark/>
          </w:tcPr>
          <w:p w14:paraId="016DCEEF"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36</w:t>
            </w:r>
          </w:p>
        </w:tc>
        <w:tc>
          <w:tcPr>
            <w:tcW w:w="1245" w:type="dxa"/>
            <w:tcBorders>
              <w:right w:val="single" w:sz="4" w:space="0" w:color="auto"/>
            </w:tcBorders>
            <w:vAlign w:val="center"/>
          </w:tcPr>
          <w:p w14:paraId="6CA85ABF"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0.24%</w:t>
            </w:r>
          </w:p>
        </w:tc>
        <w:tc>
          <w:tcPr>
            <w:tcW w:w="1380" w:type="dxa"/>
            <w:tcBorders>
              <w:left w:val="single" w:sz="4" w:space="0" w:color="auto"/>
            </w:tcBorders>
            <w:noWrap/>
            <w:vAlign w:val="center"/>
            <w:hideMark/>
          </w:tcPr>
          <w:p w14:paraId="11AE4CDF"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19</w:t>
            </w:r>
          </w:p>
        </w:tc>
        <w:tc>
          <w:tcPr>
            <w:tcW w:w="1112" w:type="dxa"/>
            <w:tcBorders>
              <w:right w:val="single" w:sz="4" w:space="0" w:color="auto"/>
            </w:tcBorders>
            <w:vAlign w:val="center"/>
          </w:tcPr>
          <w:p w14:paraId="66C7D336"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0.13%</w:t>
            </w:r>
          </w:p>
        </w:tc>
        <w:tc>
          <w:tcPr>
            <w:tcW w:w="1581" w:type="dxa"/>
            <w:tcBorders>
              <w:left w:val="single" w:sz="4" w:space="0" w:color="auto"/>
            </w:tcBorders>
            <w:noWrap/>
            <w:vAlign w:val="center"/>
            <w:hideMark/>
          </w:tcPr>
          <w:p w14:paraId="1AFEB468"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17</w:t>
            </w:r>
          </w:p>
        </w:tc>
        <w:tc>
          <w:tcPr>
            <w:tcW w:w="910" w:type="dxa"/>
            <w:tcBorders>
              <w:right w:val="single" w:sz="4" w:space="0" w:color="auto"/>
            </w:tcBorders>
            <w:vAlign w:val="center"/>
          </w:tcPr>
          <w:p w14:paraId="385BC1F0"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0.12%</w:t>
            </w:r>
          </w:p>
        </w:tc>
        <w:tc>
          <w:tcPr>
            <w:tcW w:w="1246" w:type="dxa"/>
            <w:tcBorders>
              <w:left w:val="single" w:sz="4" w:space="0" w:color="auto"/>
            </w:tcBorders>
            <w:vAlign w:val="center"/>
          </w:tcPr>
          <w:p w14:paraId="332BEAF5"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77</w:t>
            </w:r>
          </w:p>
        </w:tc>
        <w:tc>
          <w:tcPr>
            <w:tcW w:w="1246" w:type="dxa"/>
            <w:tcBorders>
              <w:right w:val="single" w:sz="4" w:space="0" w:color="auto"/>
            </w:tcBorders>
            <w:vAlign w:val="center"/>
          </w:tcPr>
          <w:p w14:paraId="36E17985"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0.52%</w:t>
            </w:r>
          </w:p>
        </w:tc>
      </w:tr>
      <w:tr w:rsidR="001C4508" w:rsidRPr="000A26F2" w14:paraId="7D691873"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48A816D"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7093F549"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4,388</w:t>
            </w:r>
          </w:p>
        </w:tc>
        <w:tc>
          <w:tcPr>
            <w:tcW w:w="1246" w:type="dxa"/>
            <w:tcBorders>
              <w:right w:val="single" w:sz="4" w:space="0" w:color="auto"/>
            </w:tcBorders>
            <w:vAlign w:val="center"/>
          </w:tcPr>
          <w:p w14:paraId="7735D552"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29.69%</w:t>
            </w:r>
          </w:p>
        </w:tc>
        <w:tc>
          <w:tcPr>
            <w:tcW w:w="1246" w:type="dxa"/>
            <w:tcBorders>
              <w:left w:val="single" w:sz="4" w:space="0" w:color="auto"/>
            </w:tcBorders>
            <w:noWrap/>
            <w:vAlign w:val="center"/>
            <w:hideMark/>
          </w:tcPr>
          <w:p w14:paraId="6745A8E4"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2,558</w:t>
            </w:r>
          </w:p>
        </w:tc>
        <w:tc>
          <w:tcPr>
            <w:tcW w:w="1245" w:type="dxa"/>
            <w:tcBorders>
              <w:right w:val="single" w:sz="4" w:space="0" w:color="auto"/>
            </w:tcBorders>
            <w:vAlign w:val="center"/>
          </w:tcPr>
          <w:p w14:paraId="766D27A3"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17.31%</w:t>
            </w:r>
          </w:p>
        </w:tc>
        <w:tc>
          <w:tcPr>
            <w:tcW w:w="1380" w:type="dxa"/>
            <w:tcBorders>
              <w:left w:val="single" w:sz="4" w:space="0" w:color="auto"/>
            </w:tcBorders>
            <w:noWrap/>
            <w:vAlign w:val="center"/>
            <w:hideMark/>
          </w:tcPr>
          <w:p w14:paraId="54969F3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1,615</w:t>
            </w:r>
          </w:p>
        </w:tc>
        <w:tc>
          <w:tcPr>
            <w:tcW w:w="1112" w:type="dxa"/>
            <w:tcBorders>
              <w:right w:val="single" w:sz="4" w:space="0" w:color="auto"/>
            </w:tcBorders>
            <w:vAlign w:val="center"/>
          </w:tcPr>
          <w:p w14:paraId="3167A6ED"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10.93%</w:t>
            </w:r>
          </w:p>
        </w:tc>
        <w:tc>
          <w:tcPr>
            <w:tcW w:w="1581" w:type="dxa"/>
            <w:tcBorders>
              <w:left w:val="single" w:sz="4" w:space="0" w:color="auto"/>
            </w:tcBorders>
            <w:noWrap/>
            <w:vAlign w:val="center"/>
            <w:hideMark/>
          </w:tcPr>
          <w:p w14:paraId="707B9BAD"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943</w:t>
            </w:r>
          </w:p>
        </w:tc>
        <w:tc>
          <w:tcPr>
            <w:tcW w:w="910" w:type="dxa"/>
            <w:tcBorders>
              <w:right w:val="single" w:sz="4" w:space="0" w:color="auto"/>
            </w:tcBorders>
            <w:vAlign w:val="center"/>
          </w:tcPr>
          <w:p w14:paraId="511023E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6.38%</w:t>
            </w:r>
          </w:p>
        </w:tc>
        <w:tc>
          <w:tcPr>
            <w:tcW w:w="1246" w:type="dxa"/>
            <w:tcBorders>
              <w:left w:val="single" w:sz="4" w:space="0" w:color="auto"/>
            </w:tcBorders>
            <w:vAlign w:val="center"/>
          </w:tcPr>
          <w:p w14:paraId="733EFA1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6,946</w:t>
            </w:r>
          </w:p>
        </w:tc>
        <w:tc>
          <w:tcPr>
            <w:tcW w:w="1246" w:type="dxa"/>
            <w:tcBorders>
              <w:right w:val="single" w:sz="4" w:space="0" w:color="auto"/>
            </w:tcBorders>
            <w:vAlign w:val="center"/>
          </w:tcPr>
          <w:p w14:paraId="520DFB28"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46.99%</w:t>
            </w:r>
          </w:p>
        </w:tc>
      </w:tr>
      <w:tr w:rsidR="001C4508" w:rsidRPr="000A26F2" w14:paraId="4174E00F"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43DBFBB3"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6953C8A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5,524</w:t>
            </w:r>
          </w:p>
        </w:tc>
        <w:tc>
          <w:tcPr>
            <w:tcW w:w="1246" w:type="dxa"/>
            <w:tcBorders>
              <w:right w:val="single" w:sz="4" w:space="0" w:color="auto"/>
            </w:tcBorders>
            <w:vAlign w:val="center"/>
          </w:tcPr>
          <w:p w14:paraId="4E46C66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37.37%</w:t>
            </w:r>
          </w:p>
        </w:tc>
        <w:tc>
          <w:tcPr>
            <w:tcW w:w="1246" w:type="dxa"/>
            <w:tcBorders>
              <w:left w:val="single" w:sz="4" w:space="0" w:color="auto"/>
            </w:tcBorders>
            <w:noWrap/>
            <w:vAlign w:val="center"/>
            <w:hideMark/>
          </w:tcPr>
          <w:p w14:paraId="0C37302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2,311</w:t>
            </w:r>
          </w:p>
        </w:tc>
        <w:tc>
          <w:tcPr>
            <w:tcW w:w="1245" w:type="dxa"/>
            <w:tcBorders>
              <w:right w:val="single" w:sz="4" w:space="0" w:color="auto"/>
            </w:tcBorders>
            <w:vAlign w:val="center"/>
          </w:tcPr>
          <w:p w14:paraId="3C3FC30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15.63%</w:t>
            </w:r>
          </w:p>
        </w:tc>
        <w:tc>
          <w:tcPr>
            <w:tcW w:w="1380" w:type="dxa"/>
            <w:tcBorders>
              <w:left w:val="single" w:sz="4" w:space="0" w:color="auto"/>
            </w:tcBorders>
            <w:noWrap/>
            <w:vAlign w:val="center"/>
            <w:hideMark/>
          </w:tcPr>
          <w:p w14:paraId="7529C27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1,298</w:t>
            </w:r>
          </w:p>
        </w:tc>
        <w:tc>
          <w:tcPr>
            <w:tcW w:w="1112" w:type="dxa"/>
            <w:tcBorders>
              <w:right w:val="single" w:sz="4" w:space="0" w:color="auto"/>
            </w:tcBorders>
            <w:vAlign w:val="center"/>
          </w:tcPr>
          <w:p w14:paraId="5E16A17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8.78%</w:t>
            </w:r>
          </w:p>
        </w:tc>
        <w:tc>
          <w:tcPr>
            <w:tcW w:w="1581" w:type="dxa"/>
            <w:tcBorders>
              <w:left w:val="single" w:sz="4" w:space="0" w:color="auto"/>
            </w:tcBorders>
            <w:noWrap/>
            <w:vAlign w:val="center"/>
            <w:hideMark/>
          </w:tcPr>
          <w:p w14:paraId="253DB98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1,013</w:t>
            </w:r>
          </w:p>
        </w:tc>
        <w:tc>
          <w:tcPr>
            <w:tcW w:w="910" w:type="dxa"/>
            <w:tcBorders>
              <w:right w:val="single" w:sz="4" w:space="0" w:color="auto"/>
            </w:tcBorders>
            <w:vAlign w:val="center"/>
          </w:tcPr>
          <w:p w14:paraId="4C038C0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6.85%</w:t>
            </w:r>
          </w:p>
        </w:tc>
        <w:tc>
          <w:tcPr>
            <w:tcW w:w="1246" w:type="dxa"/>
            <w:tcBorders>
              <w:left w:val="single" w:sz="4" w:space="0" w:color="auto"/>
            </w:tcBorders>
            <w:vAlign w:val="center"/>
          </w:tcPr>
          <w:p w14:paraId="3F20629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7,835</w:t>
            </w:r>
          </w:p>
        </w:tc>
        <w:tc>
          <w:tcPr>
            <w:tcW w:w="1246" w:type="dxa"/>
            <w:tcBorders>
              <w:right w:val="single" w:sz="4" w:space="0" w:color="auto"/>
            </w:tcBorders>
            <w:vAlign w:val="center"/>
          </w:tcPr>
          <w:p w14:paraId="5872A6C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53.01%</w:t>
            </w:r>
          </w:p>
        </w:tc>
      </w:tr>
      <w:tr w:rsidR="002418F8" w:rsidRPr="000A26F2" w14:paraId="09F00B34"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noWrap/>
            <w:hideMark/>
          </w:tcPr>
          <w:p w14:paraId="3BC46908"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noWrap/>
            <w:vAlign w:val="center"/>
            <w:hideMark/>
          </w:tcPr>
          <w:p w14:paraId="78FE199D"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9,912</w:t>
            </w:r>
          </w:p>
        </w:tc>
        <w:tc>
          <w:tcPr>
            <w:tcW w:w="1246" w:type="dxa"/>
            <w:tcBorders>
              <w:bottom w:val="single" w:sz="4" w:space="0" w:color="auto"/>
              <w:right w:val="single" w:sz="4" w:space="0" w:color="auto"/>
            </w:tcBorders>
            <w:vAlign w:val="center"/>
          </w:tcPr>
          <w:p w14:paraId="4729A7B4"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67.06%</w:t>
            </w:r>
          </w:p>
        </w:tc>
        <w:tc>
          <w:tcPr>
            <w:tcW w:w="1246" w:type="dxa"/>
            <w:tcBorders>
              <w:left w:val="single" w:sz="4" w:space="0" w:color="auto"/>
              <w:bottom w:val="single" w:sz="4" w:space="0" w:color="auto"/>
            </w:tcBorders>
            <w:noWrap/>
            <w:vAlign w:val="center"/>
            <w:hideMark/>
          </w:tcPr>
          <w:p w14:paraId="24136E0C"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4,869</w:t>
            </w:r>
          </w:p>
        </w:tc>
        <w:tc>
          <w:tcPr>
            <w:tcW w:w="1245" w:type="dxa"/>
            <w:tcBorders>
              <w:bottom w:val="single" w:sz="4" w:space="0" w:color="auto"/>
              <w:right w:val="single" w:sz="4" w:space="0" w:color="auto"/>
            </w:tcBorders>
            <w:vAlign w:val="center"/>
          </w:tcPr>
          <w:p w14:paraId="18718B0B"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32.94%</w:t>
            </w:r>
          </w:p>
        </w:tc>
        <w:tc>
          <w:tcPr>
            <w:tcW w:w="1380" w:type="dxa"/>
            <w:tcBorders>
              <w:left w:val="single" w:sz="4" w:space="0" w:color="auto"/>
              <w:bottom w:val="single" w:sz="4" w:space="0" w:color="auto"/>
            </w:tcBorders>
            <w:noWrap/>
            <w:vAlign w:val="center"/>
            <w:hideMark/>
          </w:tcPr>
          <w:p w14:paraId="56EFDFD0"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2,913</w:t>
            </w:r>
          </w:p>
        </w:tc>
        <w:tc>
          <w:tcPr>
            <w:tcW w:w="1112" w:type="dxa"/>
            <w:tcBorders>
              <w:bottom w:val="single" w:sz="4" w:space="0" w:color="auto"/>
              <w:right w:val="single" w:sz="4" w:space="0" w:color="auto"/>
            </w:tcBorders>
            <w:vAlign w:val="center"/>
          </w:tcPr>
          <w:p w14:paraId="4B6A1EF4"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19.71%</w:t>
            </w:r>
          </w:p>
        </w:tc>
        <w:tc>
          <w:tcPr>
            <w:tcW w:w="1581" w:type="dxa"/>
            <w:tcBorders>
              <w:left w:val="single" w:sz="4" w:space="0" w:color="auto"/>
              <w:bottom w:val="single" w:sz="4" w:space="0" w:color="auto"/>
            </w:tcBorders>
            <w:noWrap/>
            <w:vAlign w:val="center"/>
            <w:hideMark/>
          </w:tcPr>
          <w:p w14:paraId="4132622A"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1,956</w:t>
            </w:r>
          </w:p>
        </w:tc>
        <w:tc>
          <w:tcPr>
            <w:tcW w:w="910" w:type="dxa"/>
            <w:tcBorders>
              <w:bottom w:val="single" w:sz="4" w:space="0" w:color="auto"/>
              <w:right w:val="single" w:sz="4" w:space="0" w:color="auto"/>
            </w:tcBorders>
            <w:vAlign w:val="center"/>
          </w:tcPr>
          <w:p w14:paraId="44ECB1D6"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13.23%</w:t>
            </w:r>
          </w:p>
        </w:tc>
        <w:tc>
          <w:tcPr>
            <w:tcW w:w="1246" w:type="dxa"/>
            <w:tcBorders>
              <w:left w:val="single" w:sz="4" w:space="0" w:color="auto"/>
              <w:bottom w:val="single" w:sz="4" w:space="0" w:color="auto"/>
            </w:tcBorders>
            <w:vAlign w:val="center"/>
          </w:tcPr>
          <w:p w14:paraId="476F2AA5"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14,781</w:t>
            </w:r>
          </w:p>
        </w:tc>
        <w:tc>
          <w:tcPr>
            <w:tcW w:w="1246" w:type="dxa"/>
            <w:tcBorders>
              <w:bottom w:val="single" w:sz="4" w:space="0" w:color="auto"/>
              <w:right w:val="single" w:sz="4" w:space="0" w:color="auto"/>
            </w:tcBorders>
            <w:vAlign w:val="center"/>
          </w:tcPr>
          <w:p w14:paraId="0EC3D5DC"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12.33%</w:t>
            </w:r>
          </w:p>
        </w:tc>
      </w:tr>
      <w:tr w:rsidR="001C4508" w:rsidRPr="000A26F2" w14:paraId="17676B96"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nil"/>
              <w:right w:val="single" w:sz="4" w:space="0" w:color="auto"/>
            </w:tcBorders>
            <w:noWrap/>
            <w:hideMark/>
          </w:tcPr>
          <w:p w14:paraId="58EA78CB"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2010</w:t>
            </w:r>
          </w:p>
        </w:tc>
        <w:tc>
          <w:tcPr>
            <w:tcW w:w="1245" w:type="dxa"/>
            <w:tcBorders>
              <w:top w:val="single" w:sz="4" w:space="0" w:color="auto"/>
              <w:left w:val="single" w:sz="4" w:space="0" w:color="auto"/>
              <w:bottom w:val="nil"/>
            </w:tcBorders>
            <w:noWrap/>
            <w:hideMark/>
          </w:tcPr>
          <w:p w14:paraId="3628F8B6"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bottom w:val="nil"/>
              <w:right w:val="single" w:sz="4" w:space="0" w:color="auto"/>
            </w:tcBorders>
            <w:vAlign w:val="center"/>
          </w:tcPr>
          <w:p w14:paraId="5CDA2659"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noWrap/>
            <w:hideMark/>
          </w:tcPr>
          <w:p w14:paraId="37FE0211"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5" w:type="dxa"/>
            <w:tcBorders>
              <w:top w:val="single" w:sz="4" w:space="0" w:color="auto"/>
              <w:bottom w:val="nil"/>
              <w:right w:val="single" w:sz="4" w:space="0" w:color="auto"/>
            </w:tcBorders>
            <w:vAlign w:val="center"/>
          </w:tcPr>
          <w:p w14:paraId="26A228EF"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380" w:type="dxa"/>
            <w:tcBorders>
              <w:top w:val="single" w:sz="4" w:space="0" w:color="auto"/>
              <w:left w:val="single" w:sz="4" w:space="0" w:color="auto"/>
              <w:bottom w:val="nil"/>
            </w:tcBorders>
            <w:noWrap/>
            <w:hideMark/>
          </w:tcPr>
          <w:p w14:paraId="36091BBC"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12" w:type="dxa"/>
            <w:tcBorders>
              <w:top w:val="single" w:sz="4" w:space="0" w:color="auto"/>
              <w:bottom w:val="nil"/>
              <w:right w:val="single" w:sz="4" w:space="0" w:color="auto"/>
            </w:tcBorders>
            <w:vAlign w:val="center"/>
          </w:tcPr>
          <w:p w14:paraId="1679DD02"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581" w:type="dxa"/>
            <w:tcBorders>
              <w:top w:val="single" w:sz="4" w:space="0" w:color="auto"/>
              <w:left w:val="single" w:sz="4" w:space="0" w:color="auto"/>
              <w:bottom w:val="nil"/>
            </w:tcBorders>
            <w:noWrap/>
            <w:hideMark/>
          </w:tcPr>
          <w:p w14:paraId="5C2043CE"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910" w:type="dxa"/>
            <w:tcBorders>
              <w:top w:val="single" w:sz="4" w:space="0" w:color="auto"/>
              <w:bottom w:val="nil"/>
              <w:right w:val="single" w:sz="4" w:space="0" w:color="auto"/>
            </w:tcBorders>
          </w:tcPr>
          <w:p w14:paraId="5CD62ADF" w14:textId="77777777" w:rsidR="000A26F2" w:rsidRPr="000A26F2" w:rsidRDefault="000A26F2"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left w:val="single" w:sz="4" w:space="0" w:color="auto"/>
              <w:bottom w:val="nil"/>
            </w:tcBorders>
            <w:vAlign w:val="center"/>
          </w:tcPr>
          <w:p w14:paraId="1F37A294"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46" w:type="dxa"/>
            <w:tcBorders>
              <w:top w:val="single" w:sz="4" w:space="0" w:color="auto"/>
              <w:bottom w:val="nil"/>
              <w:right w:val="single" w:sz="4" w:space="0" w:color="auto"/>
            </w:tcBorders>
            <w:vAlign w:val="center"/>
          </w:tcPr>
          <w:p w14:paraId="3464BB05"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 </w:t>
            </w:r>
          </w:p>
        </w:tc>
      </w:tr>
      <w:tr w:rsidR="001C4508" w:rsidRPr="000A26F2" w14:paraId="3BBF548A"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nil"/>
              <w:left w:val="single" w:sz="4" w:space="0" w:color="auto"/>
              <w:right w:val="single" w:sz="4" w:space="0" w:color="auto"/>
            </w:tcBorders>
            <w:noWrap/>
            <w:hideMark/>
          </w:tcPr>
          <w:p w14:paraId="759718E1"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top w:val="nil"/>
              <w:left w:val="single" w:sz="4" w:space="0" w:color="auto"/>
            </w:tcBorders>
            <w:noWrap/>
            <w:vAlign w:val="center"/>
            <w:hideMark/>
          </w:tcPr>
          <w:p w14:paraId="40A2633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231</w:t>
            </w:r>
          </w:p>
        </w:tc>
        <w:tc>
          <w:tcPr>
            <w:tcW w:w="1246" w:type="dxa"/>
            <w:tcBorders>
              <w:top w:val="nil"/>
              <w:right w:val="single" w:sz="4" w:space="0" w:color="auto"/>
            </w:tcBorders>
            <w:vAlign w:val="center"/>
          </w:tcPr>
          <w:p w14:paraId="30C4984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1.53%</w:t>
            </w:r>
          </w:p>
        </w:tc>
        <w:tc>
          <w:tcPr>
            <w:tcW w:w="1246" w:type="dxa"/>
            <w:tcBorders>
              <w:top w:val="nil"/>
              <w:left w:val="single" w:sz="4" w:space="0" w:color="auto"/>
            </w:tcBorders>
            <w:noWrap/>
            <w:vAlign w:val="center"/>
            <w:hideMark/>
          </w:tcPr>
          <w:p w14:paraId="0112EC8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196</w:t>
            </w:r>
          </w:p>
        </w:tc>
        <w:tc>
          <w:tcPr>
            <w:tcW w:w="1245" w:type="dxa"/>
            <w:tcBorders>
              <w:top w:val="nil"/>
              <w:right w:val="single" w:sz="4" w:space="0" w:color="auto"/>
            </w:tcBorders>
            <w:vAlign w:val="center"/>
          </w:tcPr>
          <w:p w14:paraId="4E09DAB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1.30%</w:t>
            </w:r>
          </w:p>
        </w:tc>
        <w:tc>
          <w:tcPr>
            <w:tcW w:w="1380" w:type="dxa"/>
            <w:tcBorders>
              <w:top w:val="nil"/>
              <w:left w:val="single" w:sz="4" w:space="0" w:color="auto"/>
            </w:tcBorders>
            <w:noWrap/>
            <w:vAlign w:val="center"/>
            <w:hideMark/>
          </w:tcPr>
          <w:p w14:paraId="6B18F4E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94</w:t>
            </w:r>
          </w:p>
        </w:tc>
        <w:tc>
          <w:tcPr>
            <w:tcW w:w="1112" w:type="dxa"/>
            <w:tcBorders>
              <w:top w:val="nil"/>
              <w:right w:val="single" w:sz="4" w:space="0" w:color="auto"/>
            </w:tcBorders>
            <w:vAlign w:val="center"/>
          </w:tcPr>
          <w:p w14:paraId="377907D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0.62%</w:t>
            </w:r>
          </w:p>
        </w:tc>
        <w:tc>
          <w:tcPr>
            <w:tcW w:w="1581" w:type="dxa"/>
            <w:tcBorders>
              <w:top w:val="nil"/>
              <w:left w:val="single" w:sz="4" w:space="0" w:color="auto"/>
            </w:tcBorders>
            <w:noWrap/>
            <w:vAlign w:val="center"/>
            <w:hideMark/>
          </w:tcPr>
          <w:p w14:paraId="392F3BC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102</w:t>
            </w:r>
          </w:p>
        </w:tc>
        <w:tc>
          <w:tcPr>
            <w:tcW w:w="910" w:type="dxa"/>
            <w:tcBorders>
              <w:top w:val="nil"/>
              <w:right w:val="single" w:sz="4" w:space="0" w:color="auto"/>
            </w:tcBorders>
            <w:vAlign w:val="center"/>
          </w:tcPr>
          <w:p w14:paraId="6415AF6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0.68%</w:t>
            </w:r>
          </w:p>
        </w:tc>
        <w:tc>
          <w:tcPr>
            <w:tcW w:w="1246" w:type="dxa"/>
            <w:tcBorders>
              <w:top w:val="nil"/>
              <w:left w:val="single" w:sz="4" w:space="0" w:color="auto"/>
            </w:tcBorders>
            <w:vAlign w:val="center"/>
          </w:tcPr>
          <w:p w14:paraId="2EF7591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427</w:t>
            </w:r>
          </w:p>
        </w:tc>
        <w:tc>
          <w:tcPr>
            <w:tcW w:w="1246" w:type="dxa"/>
            <w:tcBorders>
              <w:top w:val="nil"/>
              <w:right w:val="single" w:sz="4" w:space="0" w:color="auto"/>
            </w:tcBorders>
            <w:vAlign w:val="center"/>
          </w:tcPr>
          <w:p w14:paraId="62218A3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2.84%</w:t>
            </w:r>
          </w:p>
        </w:tc>
      </w:tr>
      <w:tr w:rsidR="001C4508" w:rsidRPr="000A26F2" w14:paraId="00F5B2D2"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361B0AB3"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4676435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280</w:t>
            </w:r>
          </w:p>
        </w:tc>
        <w:tc>
          <w:tcPr>
            <w:tcW w:w="1246" w:type="dxa"/>
            <w:tcBorders>
              <w:right w:val="single" w:sz="4" w:space="0" w:color="auto"/>
            </w:tcBorders>
            <w:vAlign w:val="center"/>
          </w:tcPr>
          <w:p w14:paraId="4201C03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1.86%</w:t>
            </w:r>
          </w:p>
        </w:tc>
        <w:tc>
          <w:tcPr>
            <w:tcW w:w="1246" w:type="dxa"/>
            <w:tcBorders>
              <w:left w:val="single" w:sz="4" w:space="0" w:color="auto"/>
            </w:tcBorders>
            <w:noWrap/>
            <w:vAlign w:val="center"/>
            <w:hideMark/>
          </w:tcPr>
          <w:p w14:paraId="5838AC0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250</w:t>
            </w:r>
          </w:p>
        </w:tc>
        <w:tc>
          <w:tcPr>
            <w:tcW w:w="1245" w:type="dxa"/>
            <w:tcBorders>
              <w:right w:val="single" w:sz="4" w:space="0" w:color="auto"/>
            </w:tcBorders>
            <w:vAlign w:val="center"/>
          </w:tcPr>
          <w:p w14:paraId="112BF6B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1.66%</w:t>
            </w:r>
          </w:p>
        </w:tc>
        <w:tc>
          <w:tcPr>
            <w:tcW w:w="1380" w:type="dxa"/>
            <w:tcBorders>
              <w:left w:val="single" w:sz="4" w:space="0" w:color="auto"/>
            </w:tcBorders>
            <w:noWrap/>
            <w:vAlign w:val="center"/>
            <w:hideMark/>
          </w:tcPr>
          <w:p w14:paraId="5EA4751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153</w:t>
            </w:r>
          </w:p>
        </w:tc>
        <w:tc>
          <w:tcPr>
            <w:tcW w:w="1112" w:type="dxa"/>
            <w:tcBorders>
              <w:right w:val="single" w:sz="4" w:space="0" w:color="auto"/>
            </w:tcBorders>
            <w:vAlign w:val="center"/>
          </w:tcPr>
          <w:p w14:paraId="662DC0E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1.02%</w:t>
            </w:r>
          </w:p>
        </w:tc>
        <w:tc>
          <w:tcPr>
            <w:tcW w:w="1581" w:type="dxa"/>
            <w:tcBorders>
              <w:left w:val="single" w:sz="4" w:space="0" w:color="auto"/>
            </w:tcBorders>
            <w:noWrap/>
            <w:vAlign w:val="center"/>
            <w:hideMark/>
          </w:tcPr>
          <w:p w14:paraId="044F842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97</w:t>
            </w:r>
          </w:p>
        </w:tc>
        <w:tc>
          <w:tcPr>
            <w:tcW w:w="910" w:type="dxa"/>
            <w:tcBorders>
              <w:right w:val="single" w:sz="4" w:space="0" w:color="auto"/>
            </w:tcBorders>
            <w:vAlign w:val="center"/>
          </w:tcPr>
          <w:p w14:paraId="798D217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0.64%</w:t>
            </w:r>
          </w:p>
        </w:tc>
        <w:tc>
          <w:tcPr>
            <w:tcW w:w="1246" w:type="dxa"/>
            <w:tcBorders>
              <w:left w:val="single" w:sz="4" w:space="0" w:color="auto"/>
            </w:tcBorders>
            <w:vAlign w:val="center"/>
          </w:tcPr>
          <w:p w14:paraId="3649712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530</w:t>
            </w:r>
          </w:p>
        </w:tc>
        <w:tc>
          <w:tcPr>
            <w:tcW w:w="1246" w:type="dxa"/>
            <w:tcBorders>
              <w:right w:val="single" w:sz="4" w:space="0" w:color="auto"/>
            </w:tcBorders>
            <w:vAlign w:val="center"/>
          </w:tcPr>
          <w:p w14:paraId="3A87A5F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3.52%</w:t>
            </w:r>
          </w:p>
        </w:tc>
      </w:tr>
      <w:tr w:rsidR="001C4508" w:rsidRPr="000A26F2" w14:paraId="7D655ECE"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6CD9D277"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7B6C1790"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2,076</w:t>
            </w:r>
          </w:p>
        </w:tc>
        <w:tc>
          <w:tcPr>
            <w:tcW w:w="1246" w:type="dxa"/>
            <w:tcBorders>
              <w:right w:val="single" w:sz="4" w:space="0" w:color="auto"/>
            </w:tcBorders>
            <w:vAlign w:val="center"/>
          </w:tcPr>
          <w:p w14:paraId="7CD0F01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13.79%</w:t>
            </w:r>
          </w:p>
        </w:tc>
        <w:tc>
          <w:tcPr>
            <w:tcW w:w="1246" w:type="dxa"/>
            <w:tcBorders>
              <w:left w:val="single" w:sz="4" w:space="0" w:color="auto"/>
            </w:tcBorders>
            <w:noWrap/>
            <w:vAlign w:val="center"/>
            <w:hideMark/>
          </w:tcPr>
          <w:p w14:paraId="76986BA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1,078</w:t>
            </w:r>
          </w:p>
        </w:tc>
        <w:tc>
          <w:tcPr>
            <w:tcW w:w="1245" w:type="dxa"/>
            <w:tcBorders>
              <w:right w:val="single" w:sz="4" w:space="0" w:color="auto"/>
            </w:tcBorders>
            <w:vAlign w:val="center"/>
          </w:tcPr>
          <w:p w14:paraId="50673E9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7.16%</w:t>
            </w:r>
          </w:p>
        </w:tc>
        <w:tc>
          <w:tcPr>
            <w:tcW w:w="1380" w:type="dxa"/>
            <w:tcBorders>
              <w:left w:val="single" w:sz="4" w:space="0" w:color="auto"/>
            </w:tcBorders>
            <w:noWrap/>
            <w:vAlign w:val="center"/>
            <w:hideMark/>
          </w:tcPr>
          <w:p w14:paraId="23D8D4A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749</w:t>
            </w:r>
          </w:p>
        </w:tc>
        <w:tc>
          <w:tcPr>
            <w:tcW w:w="1112" w:type="dxa"/>
            <w:tcBorders>
              <w:right w:val="single" w:sz="4" w:space="0" w:color="auto"/>
            </w:tcBorders>
            <w:vAlign w:val="center"/>
          </w:tcPr>
          <w:p w14:paraId="50624A6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4.98%</w:t>
            </w:r>
          </w:p>
        </w:tc>
        <w:tc>
          <w:tcPr>
            <w:tcW w:w="1581" w:type="dxa"/>
            <w:tcBorders>
              <w:left w:val="single" w:sz="4" w:space="0" w:color="auto"/>
            </w:tcBorders>
            <w:noWrap/>
            <w:vAlign w:val="center"/>
            <w:hideMark/>
          </w:tcPr>
          <w:p w14:paraId="65CC4AE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329</w:t>
            </w:r>
          </w:p>
        </w:tc>
        <w:tc>
          <w:tcPr>
            <w:tcW w:w="910" w:type="dxa"/>
            <w:tcBorders>
              <w:right w:val="single" w:sz="4" w:space="0" w:color="auto"/>
            </w:tcBorders>
            <w:vAlign w:val="center"/>
          </w:tcPr>
          <w:p w14:paraId="696317D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2.19%</w:t>
            </w:r>
          </w:p>
        </w:tc>
        <w:tc>
          <w:tcPr>
            <w:tcW w:w="1246" w:type="dxa"/>
            <w:tcBorders>
              <w:left w:val="single" w:sz="4" w:space="0" w:color="auto"/>
            </w:tcBorders>
            <w:vAlign w:val="center"/>
          </w:tcPr>
          <w:p w14:paraId="1996D10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3,154</w:t>
            </w:r>
          </w:p>
        </w:tc>
        <w:tc>
          <w:tcPr>
            <w:tcW w:w="1246" w:type="dxa"/>
            <w:tcBorders>
              <w:right w:val="single" w:sz="4" w:space="0" w:color="auto"/>
            </w:tcBorders>
            <w:vAlign w:val="center"/>
          </w:tcPr>
          <w:p w14:paraId="49DEA4C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20.96%</w:t>
            </w:r>
          </w:p>
        </w:tc>
      </w:tr>
      <w:tr w:rsidR="001C4508" w:rsidRPr="000A26F2" w14:paraId="773C4F3B"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34F2FB39"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689C933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2,078</w:t>
            </w:r>
          </w:p>
        </w:tc>
        <w:tc>
          <w:tcPr>
            <w:tcW w:w="1246" w:type="dxa"/>
            <w:tcBorders>
              <w:right w:val="single" w:sz="4" w:space="0" w:color="auto"/>
            </w:tcBorders>
            <w:vAlign w:val="center"/>
          </w:tcPr>
          <w:p w14:paraId="59C9B40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13.81%</w:t>
            </w:r>
          </w:p>
        </w:tc>
        <w:tc>
          <w:tcPr>
            <w:tcW w:w="1246" w:type="dxa"/>
            <w:tcBorders>
              <w:left w:val="single" w:sz="4" w:space="0" w:color="auto"/>
            </w:tcBorders>
            <w:noWrap/>
            <w:vAlign w:val="center"/>
            <w:hideMark/>
          </w:tcPr>
          <w:p w14:paraId="2A0D1A3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1,262</w:t>
            </w:r>
          </w:p>
        </w:tc>
        <w:tc>
          <w:tcPr>
            <w:tcW w:w="1245" w:type="dxa"/>
            <w:tcBorders>
              <w:right w:val="single" w:sz="4" w:space="0" w:color="auto"/>
            </w:tcBorders>
            <w:vAlign w:val="center"/>
          </w:tcPr>
          <w:p w14:paraId="53B43C8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8.39%</w:t>
            </w:r>
          </w:p>
        </w:tc>
        <w:tc>
          <w:tcPr>
            <w:tcW w:w="1380" w:type="dxa"/>
            <w:tcBorders>
              <w:left w:val="single" w:sz="4" w:space="0" w:color="auto"/>
            </w:tcBorders>
            <w:noWrap/>
            <w:vAlign w:val="center"/>
            <w:hideMark/>
          </w:tcPr>
          <w:p w14:paraId="4482BA8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667</w:t>
            </w:r>
          </w:p>
        </w:tc>
        <w:tc>
          <w:tcPr>
            <w:tcW w:w="1112" w:type="dxa"/>
            <w:tcBorders>
              <w:right w:val="single" w:sz="4" w:space="0" w:color="auto"/>
            </w:tcBorders>
            <w:vAlign w:val="center"/>
          </w:tcPr>
          <w:p w14:paraId="663A51F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4.43%</w:t>
            </w:r>
          </w:p>
        </w:tc>
        <w:tc>
          <w:tcPr>
            <w:tcW w:w="1581" w:type="dxa"/>
            <w:tcBorders>
              <w:left w:val="single" w:sz="4" w:space="0" w:color="auto"/>
            </w:tcBorders>
            <w:noWrap/>
            <w:vAlign w:val="center"/>
            <w:hideMark/>
          </w:tcPr>
          <w:p w14:paraId="6668304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595</w:t>
            </w:r>
          </w:p>
        </w:tc>
        <w:tc>
          <w:tcPr>
            <w:tcW w:w="910" w:type="dxa"/>
            <w:tcBorders>
              <w:right w:val="single" w:sz="4" w:space="0" w:color="auto"/>
            </w:tcBorders>
            <w:vAlign w:val="center"/>
          </w:tcPr>
          <w:p w14:paraId="4611C83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3.95%</w:t>
            </w:r>
          </w:p>
        </w:tc>
        <w:tc>
          <w:tcPr>
            <w:tcW w:w="1246" w:type="dxa"/>
            <w:tcBorders>
              <w:left w:val="single" w:sz="4" w:space="0" w:color="auto"/>
            </w:tcBorders>
            <w:vAlign w:val="center"/>
          </w:tcPr>
          <w:p w14:paraId="333A184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3,340</w:t>
            </w:r>
          </w:p>
        </w:tc>
        <w:tc>
          <w:tcPr>
            <w:tcW w:w="1246" w:type="dxa"/>
            <w:tcBorders>
              <w:right w:val="single" w:sz="4" w:space="0" w:color="auto"/>
            </w:tcBorders>
            <w:vAlign w:val="center"/>
          </w:tcPr>
          <w:p w14:paraId="56C24E2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22.19%</w:t>
            </w:r>
          </w:p>
        </w:tc>
      </w:tr>
      <w:tr w:rsidR="001C4508" w:rsidRPr="000A26F2" w14:paraId="14A97863"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5FB88550"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44DF4A1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49</w:t>
            </w:r>
          </w:p>
        </w:tc>
        <w:tc>
          <w:tcPr>
            <w:tcW w:w="1246" w:type="dxa"/>
            <w:tcBorders>
              <w:right w:val="single" w:sz="4" w:space="0" w:color="auto"/>
            </w:tcBorders>
            <w:vAlign w:val="center"/>
          </w:tcPr>
          <w:p w14:paraId="45295F9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0.33%</w:t>
            </w:r>
          </w:p>
        </w:tc>
        <w:tc>
          <w:tcPr>
            <w:tcW w:w="1246" w:type="dxa"/>
            <w:tcBorders>
              <w:left w:val="single" w:sz="4" w:space="0" w:color="auto"/>
            </w:tcBorders>
            <w:noWrap/>
            <w:vAlign w:val="center"/>
            <w:hideMark/>
          </w:tcPr>
          <w:p w14:paraId="5F460A6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w:t>
            </w:r>
          </w:p>
        </w:tc>
        <w:tc>
          <w:tcPr>
            <w:tcW w:w="1245" w:type="dxa"/>
            <w:tcBorders>
              <w:right w:val="single" w:sz="4" w:space="0" w:color="auto"/>
            </w:tcBorders>
            <w:vAlign w:val="center"/>
          </w:tcPr>
          <w:p w14:paraId="1D09579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0.13%</w:t>
            </w:r>
          </w:p>
        </w:tc>
        <w:tc>
          <w:tcPr>
            <w:tcW w:w="1380" w:type="dxa"/>
            <w:tcBorders>
              <w:left w:val="single" w:sz="4" w:space="0" w:color="auto"/>
            </w:tcBorders>
            <w:noWrap/>
            <w:vAlign w:val="center"/>
            <w:hideMark/>
          </w:tcPr>
          <w:p w14:paraId="0A71738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w:t>
            </w:r>
          </w:p>
        </w:tc>
        <w:tc>
          <w:tcPr>
            <w:tcW w:w="1112" w:type="dxa"/>
            <w:tcBorders>
              <w:right w:val="single" w:sz="4" w:space="0" w:color="auto"/>
            </w:tcBorders>
            <w:vAlign w:val="center"/>
          </w:tcPr>
          <w:p w14:paraId="3D6AB73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0.10%</w:t>
            </w:r>
          </w:p>
        </w:tc>
        <w:tc>
          <w:tcPr>
            <w:tcW w:w="1581" w:type="dxa"/>
            <w:tcBorders>
              <w:left w:val="single" w:sz="4" w:space="0" w:color="auto"/>
            </w:tcBorders>
            <w:noWrap/>
            <w:vAlign w:val="center"/>
            <w:hideMark/>
          </w:tcPr>
          <w:p w14:paraId="4202E43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w:t>
            </w:r>
          </w:p>
        </w:tc>
        <w:tc>
          <w:tcPr>
            <w:tcW w:w="910" w:type="dxa"/>
            <w:tcBorders>
              <w:right w:val="single" w:sz="4" w:space="0" w:color="auto"/>
            </w:tcBorders>
            <w:vAlign w:val="center"/>
          </w:tcPr>
          <w:p w14:paraId="03FAC14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0.03%</w:t>
            </w:r>
          </w:p>
        </w:tc>
        <w:tc>
          <w:tcPr>
            <w:tcW w:w="1246" w:type="dxa"/>
            <w:tcBorders>
              <w:left w:val="single" w:sz="4" w:space="0" w:color="auto"/>
            </w:tcBorders>
            <w:vAlign w:val="center"/>
          </w:tcPr>
          <w:p w14:paraId="45D6188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68</w:t>
            </w:r>
          </w:p>
        </w:tc>
        <w:tc>
          <w:tcPr>
            <w:tcW w:w="1246" w:type="dxa"/>
            <w:tcBorders>
              <w:right w:val="single" w:sz="4" w:space="0" w:color="auto"/>
            </w:tcBorders>
            <w:vAlign w:val="center"/>
          </w:tcPr>
          <w:p w14:paraId="4177314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0.45%</w:t>
            </w:r>
          </w:p>
        </w:tc>
      </w:tr>
      <w:tr w:rsidR="001C4508" w:rsidRPr="000A26F2" w14:paraId="5A4111A6"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447C2569"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69B416D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4,714</w:t>
            </w:r>
          </w:p>
        </w:tc>
        <w:tc>
          <w:tcPr>
            <w:tcW w:w="1246" w:type="dxa"/>
            <w:tcBorders>
              <w:right w:val="single" w:sz="4" w:space="0" w:color="auto"/>
            </w:tcBorders>
            <w:vAlign w:val="center"/>
          </w:tcPr>
          <w:p w14:paraId="3CDE27C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31.32%</w:t>
            </w:r>
          </w:p>
        </w:tc>
        <w:tc>
          <w:tcPr>
            <w:tcW w:w="1246" w:type="dxa"/>
            <w:tcBorders>
              <w:left w:val="single" w:sz="4" w:space="0" w:color="auto"/>
            </w:tcBorders>
            <w:noWrap/>
            <w:vAlign w:val="center"/>
            <w:hideMark/>
          </w:tcPr>
          <w:p w14:paraId="31A9C58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2,805</w:t>
            </w:r>
          </w:p>
        </w:tc>
        <w:tc>
          <w:tcPr>
            <w:tcW w:w="1245" w:type="dxa"/>
            <w:tcBorders>
              <w:right w:val="single" w:sz="4" w:space="0" w:color="auto"/>
            </w:tcBorders>
            <w:vAlign w:val="center"/>
          </w:tcPr>
          <w:p w14:paraId="590CA98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18.64%</w:t>
            </w:r>
          </w:p>
        </w:tc>
        <w:tc>
          <w:tcPr>
            <w:tcW w:w="1380" w:type="dxa"/>
            <w:tcBorders>
              <w:left w:val="single" w:sz="4" w:space="0" w:color="auto"/>
            </w:tcBorders>
            <w:noWrap/>
            <w:vAlign w:val="center"/>
            <w:hideMark/>
          </w:tcPr>
          <w:p w14:paraId="55CFC0A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1,678</w:t>
            </w:r>
          </w:p>
        </w:tc>
        <w:tc>
          <w:tcPr>
            <w:tcW w:w="1112" w:type="dxa"/>
            <w:tcBorders>
              <w:right w:val="single" w:sz="4" w:space="0" w:color="auto"/>
            </w:tcBorders>
            <w:vAlign w:val="center"/>
          </w:tcPr>
          <w:p w14:paraId="1E1EE47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11.15%</w:t>
            </w:r>
          </w:p>
        </w:tc>
        <w:tc>
          <w:tcPr>
            <w:tcW w:w="1581" w:type="dxa"/>
            <w:tcBorders>
              <w:left w:val="single" w:sz="4" w:space="0" w:color="auto"/>
            </w:tcBorders>
            <w:noWrap/>
            <w:vAlign w:val="center"/>
            <w:hideMark/>
          </w:tcPr>
          <w:p w14:paraId="222F979A"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1,127</w:t>
            </w:r>
          </w:p>
        </w:tc>
        <w:tc>
          <w:tcPr>
            <w:tcW w:w="910" w:type="dxa"/>
            <w:tcBorders>
              <w:right w:val="single" w:sz="4" w:space="0" w:color="auto"/>
            </w:tcBorders>
            <w:vAlign w:val="center"/>
          </w:tcPr>
          <w:p w14:paraId="16D7B7C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7.49%</w:t>
            </w:r>
          </w:p>
        </w:tc>
        <w:tc>
          <w:tcPr>
            <w:tcW w:w="1246" w:type="dxa"/>
            <w:tcBorders>
              <w:left w:val="single" w:sz="4" w:space="0" w:color="auto"/>
            </w:tcBorders>
            <w:vAlign w:val="center"/>
          </w:tcPr>
          <w:p w14:paraId="6CB2160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7,519</w:t>
            </w:r>
          </w:p>
        </w:tc>
        <w:tc>
          <w:tcPr>
            <w:tcW w:w="1246" w:type="dxa"/>
            <w:tcBorders>
              <w:right w:val="single" w:sz="4" w:space="0" w:color="auto"/>
            </w:tcBorders>
            <w:vAlign w:val="center"/>
          </w:tcPr>
          <w:p w14:paraId="0704B28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49.96%</w:t>
            </w:r>
          </w:p>
        </w:tc>
      </w:tr>
      <w:tr w:rsidR="001C4508" w:rsidRPr="000A26F2" w14:paraId="4126ADA3"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0D4EE0C7"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2611F31C"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5,313</w:t>
            </w:r>
          </w:p>
        </w:tc>
        <w:tc>
          <w:tcPr>
            <w:tcW w:w="1246" w:type="dxa"/>
            <w:tcBorders>
              <w:right w:val="single" w:sz="4" w:space="0" w:color="auto"/>
            </w:tcBorders>
            <w:vAlign w:val="center"/>
          </w:tcPr>
          <w:p w14:paraId="19A8313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35.30%</w:t>
            </w:r>
          </w:p>
        </w:tc>
        <w:tc>
          <w:tcPr>
            <w:tcW w:w="1246" w:type="dxa"/>
            <w:tcBorders>
              <w:left w:val="single" w:sz="4" w:space="0" w:color="auto"/>
            </w:tcBorders>
            <w:noWrap/>
            <w:vAlign w:val="center"/>
            <w:hideMark/>
          </w:tcPr>
          <w:p w14:paraId="6475061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2,218</w:t>
            </w:r>
          </w:p>
        </w:tc>
        <w:tc>
          <w:tcPr>
            <w:tcW w:w="1245" w:type="dxa"/>
            <w:tcBorders>
              <w:right w:val="single" w:sz="4" w:space="0" w:color="auto"/>
            </w:tcBorders>
            <w:vAlign w:val="center"/>
          </w:tcPr>
          <w:p w14:paraId="7877648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14.74%</w:t>
            </w:r>
          </w:p>
        </w:tc>
        <w:tc>
          <w:tcPr>
            <w:tcW w:w="1380" w:type="dxa"/>
            <w:tcBorders>
              <w:left w:val="single" w:sz="4" w:space="0" w:color="auto"/>
            </w:tcBorders>
            <w:noWrap/>
            <w:vAlign w:val="center"/>
            <w:hideMark/>
          </w:tcPr>
          <w:p w14:paraId="1758E73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1,185</w:t>
            </w:r>
          </w:p>
        </w:tc>
        <w:tc>
          <w:tcPr>
            <w:tcW w:w="1112" w:type="dxa"/>
            <w:tcBorders>
              <w:right w:val="single" w:sz="4" w:space="0" w:color="auto"/>
            </w:tcBorders>
            <w:vAlign w:val="center"/>
          </w:tcPr>
          <w:p w14:paraId="48AADDC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7.87%</w:t>
            </w:r>
          </w:p>
        </w:tc>
        <w:tc>
          <w:tcPr>
            <w:tcW w:w="1581" w:type="dxa"/>
            <w:tcBorders>
              <w:left w:val="single" w:sz="4" w:space="0" w:color="auto"/>
            </w:tcBorders>
            <w:noWrap/>
            <w:vAlign w:val="center"/>
            <w:hideMark/>
          </w:tcPr>
          <w:p w14:paraId="5E0C03D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1,033</w:t>
            </w:r>
          </w:p>
        </w:tc>
        <w:tc>
          <w:tcPr>
            <w:tcW w:w="910" w:type="dxa"/>
            <w:tcBorders>
              <w:right w:val="single" w:sz="4" w:space="0" w:color="auto"/>
            </w:tcBorders>
            <w:vAlign w:val="center"/>
          </w:tcPr>
          <w:p w14:paraId="0DFC77C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6.86%</w:t>
            </w:r>
          </w:p>
        </w:tc>
        <w:tc>
          <w:tcPr>
            <w:tcW w:w="1246" w:type="dxa"/>
            <w:tcBorders>
              <w:left w:val="single" w:sz="4" w:space="0" w:color="auto"/>
            </w:tcBorders>
            <w:vAlign w:val="center"/>
          </w:tcPr>
          <w:p w14:paraId="298B958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7,531</w:t>
            </w:r>
          </w:p>
        </w:tc>
        <w:tc>
          <w:tcPr>
            <w:tcW w:w="1246" w:type="dxa"/>
            <w:tcBorders>
              <w:right w:val="single" w:sz="4" w:space="0" w:color="auto"/>
            </w:tcBorders>
            <w:vAlign w:val="center"/>
          </w:tcPr>
          <w:p w14:paraId="6AF481D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50.04%</w:t>
            </w:r>
          </w:p>
        </w:tc>
      </w:tr>
      <w:tr w:rsidR="001C4508" w:rsidRPr="000A26F2" w14:paraId="3104386C"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noWrap/>
            <w:hideMark/>
          </w:tcPr>
          <w:p w14:paraId="03E02275"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noWrap/>
            <w:vAlign w:val="center"/>
            <w:hideMark/>
          </w:tcPr>
          <w:p w14:paraId="4896869F"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10,027</w:t>
            </w:r>
          </w:p>
        </w:tc>
        <w:tc>
          <w:tcPr>
            <w:tcW w:w="1246" w:type="dxa"/>
            <w:tcBorders>
              <w:bottom w:val="single" w:sz="4" w:space="0" w:color="auto"/>
              <w:right w:val="single" w:sz="4" w:space="0" w:color="auto"/>
            </w:tcBorders>
            <w:vAlign w:val="center"/>
          </w:tcPr>
          <w:p w14:paraId="51B74A5E"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66.62%</w:t>
            </w:r>
          </w:p>
        </w:tc>
        <w:tc>
          <w:tcPr>
            <w:tcW w:w="1246" w:type="dxa"/>
            <w:tcBorders>
              <w:left w:val="single" w:sz="4" w:space="0" w:color="auto"/>
              <w:bottom w:val="single" w:sz="4" w:space="0" w:color="auto"/>
            </w:tcBorders>
            <w:noWrap/>
            <w:vAlign w:val="center"/>
            <w:hideMark/>
          </w:tcPr>
          <w:p w14:paraId="7FACD25C"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5,023</w:t>
            </w:r>
          </w:p>
        </w:tc>
        <w:tc>
          <w:tcPr>
            <w:tcW w:w="1245" w:type="dxa"/>
            <w:tcBorders>
              <w:bottom w:val="single" w:sz="4" w:space="0" w:color="auto"/>
              <w:right w:val="single" w:sz="4" w:space="0" w:color="auto"/>
            </w:tcBorders>
            <w:vAlign w:val="center"/>
          </w:tcPr>
          <w:p w14:paraId="240F07F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33.38%</w:t>
            </w:r>
          </w:p>
        </w:tc>
        <w:tc>
          <w:tcPr>
            <w:tcW w:w="1380" w:type="dxa"/>
            <w:tcBorders>
              <w:left w:val="single" w:sz="4" w:space="0" w:color="auto"/>
              <w:bottom w:val="single" w:sz="4" w:space="0" w:color="auto"/>
            </w:tcBorders>
            <w:noWrap/>
            <w:vAlign w:val="center"/>
            <w:hideMark/>
          </w:tcPr>
          <w:p w14:paraId="6FB0470B"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2,863</w:t>
            </w:r>
          </w:p>
        </w:tc>
        <w:tc>
          <w:tcPr>
            <w:tcW w:w="1112" w:type="dxa"/>
            <w:tcBorders>
              <w:bottom w:val="single" w:sz="4" w:space="0" w:color="auto"/>
              <w:right w:val="single" w:sz="4" w:space="0" w:color="auto"/>
            </w:tcBorders>
            <w:vAlign w:val="center"/>
          </w:tcPr>
          <w:p w14:paraId="58A26E6D"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19.02%</w:t>
            </w:r>
          </w:p>
        </w:tc>
        <w:tc>
          <w:tcPr>
            <w:tcW w:w="1581" w:type="dxa"/>
            <w:tcBorders>
              <w:left w:val="single" w:sz="4" w:space="0" w:color="auto"/>
              <w:bottom w:val="single" w:sz="4" w:space="0" w:color="auto"/>
            </w:tcBorders>
            <w:noWrap/>
            <w:vAlign w:val="center"/>
            <w:hideMark/>
          </w:tcPr>
          <w:p w14:paraId="6A732822"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2,160</w:t>
            </w:r>
          </w:p>
        </w:tc>
        <w:tc>
          <w:tcPr>
            <w:tcW w:w="910" w:type="dxa"/>
            <w:tcBorders>
              <w:bottom w:val="single" w:sz="4" w:space="0" w:color="auto"/>
              <w:right w:val="single" w:sz="4" w:space="0" w:color="auto"/>
            </w:tcBorders>
            <w:vAlign w:val="center"/>
          </w:tcPr>
          <w:p w14:paraId="5ED786B4"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14.35%</w:t>
            </w:r>
          </w:p>
        </w:tc>
        <w:tc>
          <w:tcPr>
            <w:tcW w:w="1246" w:type="dxa"/>
            <w:tcBorders>
              <w:left w:val="single" w:sz="4" w:space="0" w:color="auto"/>
              <w:bottom w:val="single" w:sz="4" w:space="0" w:color="auto"/>
            </w:tcBorders>
            <w:vAlign w:val="center"/>
          </w:tcPr>
          <w:p w14:paraId="0D5785E1"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15,050</w:t>
            </w:r>
          </w:p>
        </w:tc>
        <w:tc>
          <w:tcPr>
            <w:tcW w:w="1246" w:type="dxa"/>
            <w:tcBorders>
              <w:bottom w:val="single" w:sz="4" w:space="0" w:color="auto"/>
              <w:right w:val="single" w:sz="4" w:space="0" w:color="auto"/>
            </w:tcBorders>
            <w:vAlign w:val="center"/>
          </w:tcPr>
          <w:p w14:paraId="71B7BE1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12.55%</w:t>
            </w:r>
          </w:p>
        </w:tc>
      </w:tr>
    </w:tbl>
    <w:p w14:paraId="09F54667" w14:textId="77777777" w:rsidR="001C4508" w:rsidRDefault="001C4508" w:rsidP="00CE2FDF">
      <w:pPr>
        <w:spacing w:before="0"/>
      </w:pPr>
      <w:r>
        <w:rPr>
          <w:b/>
          <w:bCs/>
        </w:rPr>
        <w:br w:type="page"/>
      </w:r>
    </w:p>
    <w:tbl>
      <w:tblPr>
        <w:tblStyle w:val="LightShading-Accent4"/>
        <w:tblW w:w="14425" w:type="dxa"/>
        <w:tblLayout w:type="fixed"/>
        <w:tblLook w:val="04A0" w:firstRow="1" w:lastRow="0" w:firstColumn="1" w:lastColumn="0" w:noHBand="0" w:noVBand="1"/>
        <w:tblCaption w:val="Number of reports of physical abuse, by year, reporter group, and outcome"/>
      </w:tblPr>
      <w:tblGrid>
        <w:gridCol w:w="1968"/>
        <w:gridCol w:w="1245"/>
        <w:gridCol w:w="1246"/>
        <w:gridCol w:w="1246"/>
        <w:gridCol w:w="1245"/>
        <w:gridCol w:w="1380"/>
        <w:gridCol w:w="1112"/>
        <w:gridCol w:w="1581"/>
        <w:gridCol w:w="910"/>
        <w:gridCol w:w="1246"/>
        <w:gridCol w:w="1246"/>
      </w:tblGrid>
      <w:tr w:rsidR="001C4508" w:rsidRPr="000A26F2" w14:paraId="16B98858"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219A959E" w14:textId="77777777" w:rsidR="001C4508" w:rsidRPr="000A26F2" w:rsidRDefault="001C4508" w:rsidP="00CE2FDF">
            <w:pPr>
              <w:tabs>
                <w:tab w:val="left" w:pos="1134"/>
              </w:tabs>
              <w:spacing w:before="0" w:line="276" w:lineRule="auto"/>
              <w:jc w:val="center"/>
              <w:rPr>
                <w:rFonts w:eastAsia="Times New Roman" w:cs="Arial"/>
                <w:color w:val="auto"/>
                <w:sz w:val="20"/>
                <w:szCs w:val="20"/>
                <w:lang w:eastAsia="en-AU"/>
              </w:rPr>
            </w:pP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26A8AB7"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Not investigated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C5870CA"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Investigated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7EBB4D9"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Substantiated</w:t>
            </w:r>
          </w:p>
        </w:tc>
        <w:tc>
          <w:tcPr>
            <w:tcW w:w="2491"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885BCE6"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0A26F2">
              <w:rPr>
                <w:rFonts w:eastAsia="Times New Roman" w:cs="Arial"/>
                <w:color w:val="auto"/>
                <w:sz w:val="20"/>
                <w:szCs w:val="20"/>
                <w:lang w:eastAsia="en-AU"/>
              </w:rPr>
              <w:t>Not substantiated</w:t>
            </w:r>
          </w:p>
        </w:tc>
        <w:tc>
          <w:tcPr>
            <w:tcW w:w="249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DACBC1D" w14:textId="77777777" w:rsidR="001C4508" w:rsidRPr="000A26F2" w:rsidRDefault="001C4508"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0A26F2">
              <w:rPr>
                <w:rFonts w:eastAsia="Times New Roman" w:cs="Arial"/>
                <w:color w:val="auto"/>
                <w:sz w:val="20"/>
                <w:szCs w:val="20"/>
                <w:lang w:eastAsia="en-AU"/>
              </w:rPr>
              <w:t>Total</w:t>
            </w:r>
          </w:p>
        </w:tc>
      </w:tr>
      <w:tr w:rsidR="002418F8" w:rsidRPr="000A26F2" w14:paraId="704F4601"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nil"/>
              <w:right w:val="single" w:sz="4" w:space="0" w:color="auto"/>
            </w:tcBorders>
            <w:noWrap/>
            <w:hideMark/>
          </w:tcPr>
          <w:p w14:paraId="66B04958"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2011</w:t>
            </w:r>
          </w:p>
        </w:tc>
        <w:tc>
          <w:tcPr>
            <w:tcW w:w="1245" w:type="dxa"/>
            <w:tcBorders>
              <w:top w:val="single" w:sz="4" w:space="0" w:color="auto"/>
              <w:left w:val="single" w:sz="4" w:space="0" w:color="auto"/>
              <w:bottom w:val="nil"/>
            </w:tcBorders>
            <w:noWrap/>
            <w:hideMark/>
          </w:tcPr>
          <w:p w14:paraId="13FAA9B6"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bottom w:val="nil"/>
              <w:right w:val="single" w:sz="4" w:space="0" w:color="auto"/>
            </w:tcBorders>
            <w:vAlign w:val="center"/>
          </w:tcPr>
          <w:p w14:paraId="124D5E72"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noWrap/>
            <w:hideMark/>
          </w:tcPr>
          <w:p w14:paraId="3D2CFF26"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5" w:type="dxa"/>
            <w:tcBorders>
              <w:top w:val="single" w:sz="4" w:space="0" w:color="auto"/>
              <w:bottom w:val="nil"/>
              <w:right w:val="single" w:sz="4" w:space="0" w:color="auto"/>
            </w:tcBorders>
            <w:vAlign w:val="center"/>
          </w:tcPr>
          <w:p w14:paraId="02453671"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380" w:type="dxa"/>
            <w:tcBorders>
              <w:top w:val="single" w:sz="4" w:space="0" w:color="auto"/>
              <w:left w:val="single" w:sz="4" w:space="0" w:color="auto"/>
              <w:bottom w:val="nil"/>
            </w:tcBorders>
            <w:noWrap/>
            <w:hideMark/>
          </w:tcPr>
          <w:p w14:paraId="3446342A"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112" w:type="dxa"/>
            <w:tcBorders>
              <w:top w:val="single" w:sz="4" w:space="0" w:color="auto"/>
              <w:bottom w:val="nil"/>
              <w:right w:val="single" w:sz="4" w:space="0" w:color="auto"/>
            </w:tcBorders>
            <w:vAlign w:val="center"/>
          </w:tcPr>
          <w:p w14:paraId="044C020F"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581" w:type="dxa"/>
            <w:tcBorders>
              <w:top w:val="single" w:sz="4" w:space="0" w:color="auto"/>
              <w:left w:val="single" w:sz="4" w:space="0" w:color="auto"/>
              <w:bottom w:val="nil"/>
            </w:tcBorders>
            <w:noWrap/>
            <w:hideMark/>
          </w:tcPr>
          <w:p w14:paraId="72F7B8E9"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910" w:type="dxa"/>
            <w:tcBorders>
              <w:top w:val="single" w:sz="4" w:space="0" w:color="auto"/>
              <w:bottom w:val="nil"/>
              <w:right w:val="single" w:sz="4" w:space="0" w:color="auto"/>
            </w:tcBorders>
          </w:tcPr>
          <w:p w14:paraId="247DBD14" w14:textId="77777777" w:rsidR="000A26F2" w:rsidRPr="000A26F2" w:rsidRDefault="000A26F2"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vAlign w:val="center"/>
          </w:tcPr>
          <w:p w14:paraId="06CB7A9E"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 </w:t>
            </w:r>
          </w:p>
        </w:tc>
        <w:tc>
          <w:tcPr>
            <w:tcW w:w="1246" w:type="dxa"/>
            <w:tcBorders>
              <w:top w:val="single" w:sz="4" w:space="0" w:color="auto"/>
              <w:bottom w:val="nil"/>
              <w:right w:val="single" w:sz="4" w:space="0" w:color="auto"/>
            </w:tcBorders>
            <w:vAlign w:val="center"/>
          </w:tcPr>
          <w:p w14:paraId="472BA46A"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 </w:t>
            </w:r>
          </w:p>
        </w:tc>
      </w:tr>
      <w:tr w:rsidR="001C4508" w:rsidRPr="000A26F2" w14:paraId="6F66C117"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nil"/>
              <w:left w:val="single" w:sz="4" w:space="0" w:color="auto"/>
              <w:right w:val="single" w:sz="4" w:space="0" w:color="auto"/>
            </w:tcBorders>
            <w:noWrap/>
            <w:hideMark/>
          </w:tcPr>
          <w:p w14:paraId="2C3D89DA"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top w:val="nil"/>
              <w:left w:val="single" w:sz="4" w:space="0" w:color="auto"/>
            </w:tcBorders>
            <w:noWrap/>
            <w:vAlign w:val="center"/>
            <w:hideMark/>
          </w:tcPr>
          <w:p w14:paraId="4FDE42D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251</w:t>
            </w:r>
          </w:p>
        </w:tc>
        <w:tc>
          <w:tcPr>
            <w:tcW w:w="1246" w:type="dxa"/>
            <w:tcBorders>
              <w:top w:val="nil"/>
              <w:right w:val="single" w:sz="4" w:space="0" w:color="auto"/>
            </w:tcBorders>
            <w:vAlign w:val="center"/>
          </w:tcPr>
          <w:p w14:paraId="1CB7195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1.79%</w:t>
            </w:r>
          </w:p>
        </w:tc>
        <w:tc>
          <w:tcPr>
            <w:tcW w:w="1246" w:type="dxa"/>
            <w:tcBorders>
              <w:top w:val="nil"/>
              <w:left w:val="single" w:sz="4" w:space="0" w:color="auto"/>
            </w:tcBorders>
            <w:noWrap/>
            <w:vAlign w:val="center"/>
            <w:hideMark/>
          </w:tcPr>
          <w:p w14:paraId="37549D7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191</w:t>
            </w:r>
          </w:p>
        </w:tc>
        <w:tc>
          <w:tcPr>
            <w:tcW w:w="1245" w:type="dxa"/>
            <w:tcBorders>
              <w:top w:val="nil"/>
              <w:right w:val="single" w:sz="4" w:space="0" w:color="auto"/>
            </w:tcBorders>
            <w:vAlign w:val="center"/>
          </w:tcPr>
          <w:p w14:paraId="4428A24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1.37%</w:t>
            </w:r>
          </w:p>
        </w:tc>
        <w:tc>
          <w:tcPr>
            <w:tcW w:w="1380" w:type="dxa"/>
            <w:tcBorders>
              <w:top w:val="nil"/>
              <w:left w:val="single" w:sz="4" w:space="0" w:color="auto"/>
            </w:tcBorders>
            <w:noWrap/>
            <w:vAlign w:val="center"/>
            <w:hideMark/>
          </w:tcPr>
          <w:p w14:paraId="65E79B9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98</w:t>
            </w:r>
          </w:p>
        </w:tc>
        <w:tc>
          <w:tcPr>
            <w:tcW w:w="1112" w:type="dxa"/>
            <w:tcBorders>
              <w:top w:val="nil"/>
              <w:right w:val="single" w:sz="4" w:space="0" w:color="auto"/>
            </w:tcBorders>
            <w:vAlign w:val="center"/>
          </w:tcPr>
          <w:p w14:paraId="014A045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0.70%</w:t>
            </w:r>
          </w:p>
        </w:tc>
        <w:tc>
          <w:tcPr>
            <w:tcW w:w="1581" w:type="dxa"/>
            <w:tcBorders>
              <w:top w:val="nil"/>
              <w:left w:val="single" w:sz="4" w:space="0" w:color="auto"/>
              <w:right w:val="nil"/>
            </w:tcBorders>
            <w:noWrap/>
            <w:vAlign w:val="center"/>
            <w:hideMark/>
          </w:tcPr>
          <w:p w14:paraId="0F94844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93</w:t>
            </w:r>
          </w:p>
        </w:tc>
        <w:tc>
          <w:tcPr>
            <w:tcW w:w="910" w:type="dxa"/>
            <w:tcBorders>
              <w:top w:val="nil"/>
              <w:left w:val="nil"/>
              <w:right w:val="single" w:sz="4" w:space="0" w:color="auto"/>
            </w:tcBorders>
            <w:vAlign w:val="center"/>
          </w:tcPr>
          <w:p w14:paraId="4FA42E8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0.66%</w:t>
            </w:r>
          </w:p>
        </w:tc>
        <w:tc>
          <w:tcPr>
            <w:tcW w:w="1246" w:type="dxa"/>
            <w:tcBorders>
              <w:top w:val="nil"/>
              <w:left w:val="single" w:sz="4" w:space="0" w:color="auto"/>
              <w:right w:val="nil"/>
            </w:tcBorders>
            <w:vAlign w:val="center"/>
          </w:tcPr>
          <w:p w14:paraId="6899CAF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442</w:t>
            </w:r>
          </w:p>
        </w:tc>
        <w:tc>
          <w:tcPr>
            <w:tcW w:w="1246" w:type="dxa"/>
            <w:tcBorders>
              <w:top w:val="nil"/>
              <w:left w:val="nil"/>
              <w:right w:val="single" w:sz="4" w:space="0" w:color="auto"/>
            </w:tcBorders>
            <w:vAlign w:val="center"/>
          </w:tcPr>
          <w:p w14:paraId="6F0D619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3.16%</w:t>
            </w:r>
          </w:p>
        </w:tc>
      </w:tr>
      <w:tr w:rsidR="001C4508" w:rsidRPr="000A26F2" w14:paraId="038DC583"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540A6F56"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2F5E2A4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221</w:t>
            </w:r>
          </w:p>
        </w:tc>
        <w:tc>
          <w:tcPr>
            <w:tcW w:w="1246" w:type="dxa"/>
            <w:tcBorders>
              <w:right w:val="single" w:sz="4" w:space="0" w:color="auto"/>
            </w:tcBorders>
            <w:vAlign w:val="center"/>
          </w:tcPr>
          <w:p w14:paraId="4A89DA0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1.58%</w:t>
            </w:r>
          </w:p>
        </w:tc>
        <w:tc>
          <w:tcPr>
            <w:tcW w:w="1246" w:type="dxa"/>
            <w:tcBorders>
              <w:left w:val="single" w:sz="4" w:space="0" w:color="auto"/>
            </w:tcBorders>
            <w:noWrap/>
            <w:vAlign w:val="center"/>
            <w:hideMark/>
          </w:tcPr>
          <w:p w14:paraId="257E741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176</w:t>
            </w:r>
          </w:p>
        </w:tc>
        <w:tc>
          <w:tcPr>
            <w:tcW w:w="1245" w:type="dxa"/>
            <w:tcBorders>
              <w:right w:val="single" w:sz="4" w:space="0" w:color="auto"/>
            </w:tcBorders>
            <w:vAlign w:val="center"/>
          </w:tcPr>
          <w:p w14:paraId="7F389AF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1.26%</w:t>
            </w:r>
          </w:p>
        </w:tc>
        <w:tc>
          <w:tcPr>
            <w:tcW w:w="1380" w:type="dxa"/>
            <w:tcBorders>
              <w:left w:val="single" w:sz="4" w:space="0" w:color="auto"/>
            </w:tcBorders>
            <w:noWrap/>
            <w:vAlign w:val="center"/>
            <w:hideMark/>
          </w:tcPr>
          <w:p w14:paraId="399E55F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122</w:t>
            </w:r>
          </w:p>
        </w:tc>
        <w:tc>
          <w:tcPr>
            <w:tcW w:w="1112" w:type="dxa"/>
            <w:tcBorders>
              <w:right w:val="single" w:sz="4" w:space="0" w:color="auto"/>
            </w:tcBorders>
            <w:vAlign w:val="center"/>
          </w:tcPr>
          <w:p w14:paraId="0A55BDC7"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0.87%</w:t>
            </w:r>
          </w:p>
        </w:tc>
        <w:tc>
          <w:tcPr>
            <w:tcW w:w="1581" w:type="dxa"/>
            <w:tcBorders>
              <w:left w:val="single" w:sz="4" w:space="0" w:color="auto"/>
            </w:tcBorders>
            <w:noWrap/>
            <w:vAlign w:val="center"/>
            <w:hideMark/>
          </w:tcPr>
          <w:p w14:paraId="165E403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54</w:t>
            </w:r>
          </w:p>
        </w:tc>
        <w:tc>
          <w:tcPr>
            <w:tcW w:w="910" w:type="dxa"/>
            <w:tcBorders>
              <w:right w:val="single" w:sz="4" w:space="0" w:color="auto"/>
            </w:tcBorders>
            <w:vAlign w:val="center"/>
          </w:tcPr>
          <w:p w14:paraId="38D2CF1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0.39%</w:t>
            </w:r>
          </w:p>
        </w:tc>
        <w:tc>
          <w:tcPr>
            <w:tcW w:w="1246" w:type="dxa"/>
            <w:tcBorders>
              <w:left w:val="single" w:sz="4" w:space="0" w:color="auto"/>
            </w:tcBorders>
            <w:vAlign w:val="center"/>
          </w:tcPr>
          <w:p w14:paraId="0A60171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397</w:t>
            </w:r>
          </w:p>
        </w:tc>
        <w:tc>
          <w:tcPr>
            <w:tcW w:w="1246" w:type="dxa"/>
            <w:tcBorders>
              <w:right w:val="single" w:sz="4" w:space="0" w:color="auto"/>
            </w:tcBorders>
            <w:vAlign w:val="center"/>
          </w:tcPr>
          <w:p w14:paraId="23620CB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2.84%</w:t>
            </w:r>
          </w:p>
        </w:tc>
      </w:tr>
      <w:tr w:rsidR="001C4508" w:rsidRPr="000A26F2" w14:paraId="78B363CE"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70DED295"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2F418D79"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1,881</w:t>
            </w:r>
          </w:p>
        </w:tc>
        <w:tc>
          <w:tcPr>
            <w:tcW w:w="1246" w:type="dxa"/>
            <w:tcBorders>
              <w:right w:val="single" w:sz="4" w:space="0" w:color="auto"/>
            </w:tcBorders>
            <w:vAlign w:val="center"/>
          </w:tcPr>
          <w:p w14:paraId="00DD31C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13.45%</w:t>
            </w:r>
          </w:p>
        </w:tc>
        <w:tc>
          <w:tcPr>
            <w:tcW w:w="1246" w:type="dxa"/>
            <w:tcBorders>
              <w:left w:val="single" w:sz="4" w:space="0" w:color="auto"/>
            </w:tcBorders>
            <w:noWrap/>
            <w:vAlign w:val="center"/>
            <w:hideMark/>
          </w:tcPr>
          <w:p w14:paraId="40CC4CF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942</w:t>
            </w:r>
          </w:p>
        </w:tc>
        <w:tc>
          <w:tcPr>
            <w:tcW w:w="1245" w:type="dxa"/>
            <w:tcBorders>
              <w:right w:val="single" w:sz="4" w:space="0" w:color="auto"/>
            </w:tcBorders>
            <w:vAlign w:val="center"/>
          </w:tcPr>
          <w:p w14:paraId="78B1116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6.73%</w:t>
            </w:r>
          </w:p>
        </w:tc>
        <w:tc>
          <w:tcPr>
            <w:tcW w:w="1380" w:type="dxa"/>
            <w:tcBorders>
              <w:left w:val="single" w:sz="4" w:space="0" w:color="auto"/>
            </w:tcBorders>
            <w:noWrap/>
            <w:vAlign w:val="center"/>
            <w:hideMark/>
          </w:tcPr>
          <w:p w14:paraId="3BF626F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691</w:t>
            </w:r>
          </w:p>
        </w:tc>
        <w:tc>
          <w:tcPr>
            <w:tcW w:w="1112" w:type="dxa"/>
            <w:tcBorders>
              <w:right w:val="single" w:sz="4" w:space="0" w:color="auto"/>
            </w:tcBorders>
            <w:vAlign w:val="center"/>
          </w:tcPr>
          <w:p w14:paraId="6D40A2C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4.94%</w:t>
            </w:r>
          </w:p>
        </w:tc>
        <w:tc>
          <w:tcPr>
            <w:tcW w:w="1581" w:type="dxa"/>
            <w:tcBorders>
              <w:left w:val="single" w:sz="4" w:space="0" w:color="auto"/>
              <w:right w:val="nil"/>
            </w:tcBorders>
            <w:noWrap/>
            <w:vAlign w:val="center"/>
            <w:hideMark/>
          </w:tcPr>
          <w:p w14:paraId="63B15AB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251</w:t>
            </w:r>
          </w:p>
        </w:tc>
        <w:tc>
          <w:tcPr>
            <w:tcW w:w="910" w:type="dxa"/>
            <w:tcBorders>
              <w:left w:val="nil"/>
              <w:right w:val="single" w:sz="4" w:space="0" w:color="auto"/>
            </w:tcBorders>
            <w:vAlign w:val="center"/>
          </w:tcPr>
          <w:p w14:paraId="25F342E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1.79%</w:t>
            </w:r>
          </w:p>
        </w:tc>
        <w:tc>
          <w:tcPr>
            <w:tcW w:w="1246" w:type="dxa"/>
            <w:tcBorders>
              <w:left w:val="single" w:sz="4" w:space="0" w:color="auto"/>
              <w:right w:val="nil"/>
            </w:tcBorders>
            <w:vAlign w:val="center"/>
          </w:tcPr>
          <w:p w14:paraId="005A78E1"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2,823</w:t>
            </w:r>
          </w:p>
        </w:tc>
        <w:tc>
          <w:tcPr>
            <w:tcW w:w="1246" w:type="dxa"/>
            <w:tcBorders>
              <w:left w:val="nil"/>
              <w:right w:val="single" w:sz="4" w:space="0" w:color="auto"/>
            </w:tcBorders>
            <w:vAlign w:val="center"/>
          </w:tcPr>
          <w:p w14:paraId="29DC04D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20.18%</w:t>
            </w:r>
          </w:p>
        </w:tc>
      </w:tr>
      <w:tr w:rsidR="001C4508" w:rsidRPr="000A26F2" w14:paraId="1A6B39CE"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1508D60B"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0F080F6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2,206</w:t>
            </w:r>
          </w:p>
        </w:tc>
        <w:tc>
          <w:tcPr>
            <w:tcW w:w="1246" w:type="dxa"/>
            <w:tcBorders>
              <w:right w:val="single" w:sz="4" w:space="0" w:color="auto"/>
            </w:tcBorders>
            <w:vAlign w:val="center"/>
          </w:tcPr>
          <w:p w14:paraId="4342DC9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15.77%</w:t>
            </w:r>
          </w:p>
        </w:tc>
        <w:tc>
          <w:tcPr>
            <w:tcW w:w="1246" w:type="dxa"/>
            <w:tcBorders>
              <w:left w:val="single" w:sz="4" w:space="0" w:color="auto"/>
            </w:tcBorders>
            <w:noWrap/>
            <w:vAlign w:val="center"/>
            <w:hideMark/>
          </w:tcPr>
          <w:p w14:paraId="7715A3AF"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1,399</w:t>
            </w:r>
          </w:p>
        </w:tc>
        <w:tc>
          <w:tcPr>
            <w:tcW w:w="1245" w:type="dxa"/>
            <w:tcBorders>
              <w:right w:val="single" w:sz="4" w:space="0" w:color="auto"/>
            </w:tcBorders>
            <w:vAlign w:val="center"/>
          </w:tcPr>
          <w:p w14:paraId="1435631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10.00%</w:t>
            </w:r>
          </w:p>
        </w:tc>
        <w:tc>
          <w:tcPr>
            <w:tcW w:w="1380" w:type="dxa"/>
            <w:tcBorders>
              <w:left w:val="single" w:sz="4" w:space="0" w:color="auto"/>
            </w:tcBorders>
            <w:noWrap/>
            <w:vAlign w:val="center"/>
            <w:hideMark/>
          </w:tcPr>
          <w:p w14:paraId="5F264BA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795</w:t>
            </w:r>
          </w:p>
        </w:tc>
        <w:tc>
          <w:tcPr>
            <w:tcW w:w="1112" w:type="dxa"/>
            <w:tcBorders>
              <w:right w:val="single" w:sz="4" w:space="0" w:color="auto"/>
            </w:tcBorders>
            <w:vAlign w:val="center"/>
          </w:tcPr>
          <w:p w14:paraId="5B30522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5.68%</w:t>
            </w:r>
          </w:p>
        </w:tc>
        <w:tc>
          <w:tcPr>
            <w:tcW w:w="1581" w:type="dxa"/>
            <w:tcBorders>
              <w:left w:val="single" w:sz="4" w:space="0" w:color="auto"/>
            </w:tcBorders>
            <w:noWrap/>
            <w:vAlign w:val="center"/>
            <w:hideMark/>
          </w:tcPr>
          <w:p w14:paraId="67CB9261"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604</w:t>
            </w:r>
          </w:p>
        </w:tc>
        <w:tc>
          <w:tcPr>
            <w:tcW w:w="910" w:type="dxa"/>
            <w:tcBorders>
              <w:right w:val="single" w:sz="4" w:space="0" w:color="auto"/>
            </w:tcBorders>
            <w:vAlign w:val="center"/>
          </w:tcPr>
          <w:p w14:paraId="07BB7DA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4.32%</w:t>
            </w:r>
          </w:p>
        </w:tc>
        <w:tc>
          <w:tcPr>
            <w:tcW w:w="1246" w:type="dxa"/>
            <w:tcBorders>
              <w:left w:val="single" w:sz="4" w:space="0" w:color="auto"/>
            </w:tcBorders>
            <w:vAlign w:val="center"/>
          </w:tcPr>
          <w:p w14:paraId="3ECFAD5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3,605</w:t>
            </w:r>
          </w:p>
        </w:tc>
        <w:tc>
          <w:tcPr>
            <w:tcW w:w="1246" w:type="dxa"/>
            <w:tcBorders>
              <w:right w:val="single" w:sz="4" w:space="0" w:color="auto"/>
            </w:tcBorders>
            <w:vAlign w:val="center"/>
          </w:tcPr>
          <w:p w14:paraId="403A5F6A"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25.77%</w:t>
            </w:r>
          </w:p>
        </w:tc>
      </w:tr>
      <w:tr w:rsidR="001C4508" w:rsidRPr="000A26F2" w14:paraId="55B86AF0"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1E955494"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61DA62D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38</w:t>
            </w:r>
          </w:p>
        </w:tc>
        <w:tc>
          <w:tcPr>
            <w:tcW w:w="1246" w:type="dxa"/>
            <w:tcBorders>
              <w:right w:val="single" w:sz="4" w:space="0" w:color="auto"/>
            </w:tcBorders>
            <w:vAlign w:val="center"/>
          </w:tcPr>
          <w:p w14:paraId="120ED156"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0.27%</w:t>
            </w:r>
          </w:p>
        </w:tc>
        <w:tc>
          <w:tcPr>
            <w:tcW w:w="1246" w:type="dxa"/>
            <w:tcBorders>
              <w:left w:val="single" w:sz="4" w:space="0" w:color="auto"/>
            </w:tcBorders>
            <w:noWrap/>
            <w:vAlign w:val="center"/>
            <w:hideMark/>
          </w:tcPr>
          <w:p w14:paraId="5D81940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w:t>
            </w:r>
          </w:p>
        </w:tc>
        <w:tc>
          <w:tcPr>
            <w:tcW w:w="1245" w:type="dxa"/>
            <w:tcBorders>
              <w:right w:val="single" w:sz="4" w:space="0" w:color="auto"/>
            </w:tcBorders>
            <w:vAlign w:val="center"/>
          </w:tcPr>
          <w:p w14:paraId="4F199F5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0.08%</w:t>
            </w:r>
          </w:p>
        </w:tc>
        <w:tc>
          <w:tcPr>
            <w:tcW w:w="1380" w:type="dxa"/>
            <w:tcBorders>
              <w:left w:val="single" w:sz="4" w:space="0" w:color="auto"/>
            </w:tcBorders>
            <w:noWrap/>
            <w:vAlign w:val="center"/>
            <w:hideMark/>
          </w:tcPr>
          <w:p w14:paraId="2501FC8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w:t>
            </w:r>
          </w:p>
        </w:tc>
        <w:tc>
          <w:tcPr>
            <w:tcW w:w="1112" w:type="dxa"/>
            <w:tcBorders>
              <w:right w:val="single" w:sz="4" w:space="0" w:color="auto"/>
            </w:tcBorders>
            <w:vAlign w:val="center"/>
          </w:tcPr>
          <w:p w14:paraId="5840DA65"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0.02%</w:t>
            </w:r>
          </w:p>
        </w:tc>
        <w:tc>
          <w:tcPr>
            <w:tcW w:w="1581" w:type="dxa"/>
            <w:tcBorders>
              <w:left w:val="single" w:sz="4" w:space="0" w:color="auto"/>
              <w:right w:val="nil"/>
            </w:tcBorders>
            <w:noWrap/>
            <w:vAlign w:val="center"/>
            <w:hideMark/>
          </w:tcPr>
          <w:p w14:paraId="4B07465B"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w:t>
            </w:r>
          </w:p>
        </w:tc>
        <w:tc>
          <w:tcPr>
            <w:tcW w:w="910" w:type="dxa"/>
            <w:tcBorders>
              <w:left w:val="nil"/>
              <w:right w:val="single" w:sz="4" w:space="0" w:color="auto"/>
            </w:tcBorders>
            <w:vAlign w:val="center"/>
          </w:tcPr>
          <w:p w14:paraId="7122FFF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0.06%</w:t>
            </w:r>
          </w:p>
        </w:tc>
        <w:tc>
          <w:tcPr>
            <w:tcW w:w="1246" w:type="dxa"/>
            <w:tcBorders>
              <w:left w:val="single" w:sz="4" w:space="0" w:color="auto"/>
              <w:right w:val="nil"/>
            </w:tcBorders>
            <w:vAlign w:val="center"/>
          </w:tcPr>
          <w:p w14:paraId="66C206E2"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49</w:t>
            </w:r>
          </w:p>
        </w:tc>
        <w:tc>
          <w:tcPr>
            <w:tcW w:w="1246" w:type="dxa"/>
            <w:tcBorders>
              <w:left w:val="nil"/>
              <w:right w:val="single" w:sz="4" w:space="0" w:color="auto"/>
            </w:tcBorders>
            <w:vAlign w:val="center"/>
          </w:tcPr>
          <w:p w14:paraId="3C8F04D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0.35%</w:t>
            </w:r>
          </w:p>
        </w:tc>
      </w:tr>
      <w:tr w:rsidR="001C4508" w:rsidRPr="000A26F2" w14:paraId="709FD56C"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1EEB6F0D"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491014D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4,597</w:t>
            </w:r>
          </w:p>
        </w:tc>
        <w:tc>
          <w:tcPr>
            <w:tcW w:w="1246" w:type="dxa"/>
            <w:tcBorders>
              <w:right w:val="single" w:sz="4" w:space="0" w:color="auto"/>
            </w:tcBorders>
            <w:vAlign w:val="center"/>
          </w:tcPr>
          <w:p w14:paraId="08FC9B7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32.86%</w:t>
            </w:r>
          </w:p>
        </w:tc>
        <w:tc>
          <w:tcPr>
            <w:tcW w:w="1246" w:type="dxa"/>
            <w:tcBorders>
              <w:left w:val="single" w:sz="4" w:space="0" w:color="auto"/>
            </w:tcBorders>
            <w:noWrap/>
            <w:vAlign w:val="center"/>
            <w:hideMark/>
          </w:tcPr>
          <w:p w14:paraId="5DE57E9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2,719</w:t>
            </w:r>
          </w:p>
        </w:tc>
        <w:tc>
          <w:tcPr>
            <w:tcW w:w="1245" w:type="dxa"/>
            <w:tcBorders>
              <w:right w:val="single" w:sz="4" w:space="0" w:color="auto"/>
            </w:tcBorders>
            <w:vAlign w:val="center"/>
          </w:tcPr>
          <w:p w14:paraId="48358C6B"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19.44%</w:t>
            </w:r>
          </w:p>
        </w:tc>
        <w:tc>
          <w:tcPr>
            <w:tcW w:w="1380" w:type="dxa"/>
            <w:tcBorders>
              <w:left w:val="single" w:sz="4" w:space="0" w:color="auto"/>
            </w:tcBorders>
            <w:noWrap/>
            <w:vAlign w:val="center"/>
            <w:hideMark/>
          </w:tcPr>
          <w:p w14:paraId="4958B57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1,709</w:t>
            </w:r>
          </w:p>
        </w:tc>
        <w:tc>
          <w:tcPr>
            <w:tcW w:w="1112" w:type="dxa"/>
            <w:tcBorders>
              <w:right w:val="single" w:sz="4" w:space="0" w:color="auto"/>
            </w:tcBorders>
            <w:vAlign w:val="center"/>
          </w:tcPr>
          <w:p w14:paraId="6B378DB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12.22%</w:t>
            </w:r>
          </w:p>
        </w:tc>
        <w:tc>
          <w:tcPr>
            <w:tcW w:w="1581" w:type="dxa"/>
            <w:tcBorders>
              <w:left w:val="single" w:sz="4" w:space="0" w:color="auto"/>
            </w:tcBorders>
            <w:noWrap/>
            <w:vAlign w:val="center"/>
            <w:hideMark/>
          </w:tcPr>
          <w:p w14:paraId="4D43C73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1,010</w:t>
            </w:r>
          </w:p>
        </w:tc>
        <w:tc>
          <w:tcPr>
            <w:tcW w:w="910" w:type="dxa"/>
            <w:tcBorders>
              <w:right w:val="single" w:sz="4" w:space="0" w:color="auto"/>
            </w:tcBorders>
            <w:vAlign w:val="center"/>
          </w:tcPr>
          <w:p w14:paraId="3C3E9C5D"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7.22%</w:t>
            </w:r>
          </w:p>
        </w:tc>
        <w:tc>
          <w:tcPr>
            <w:tcW w:w="1246" w:type="dxa"/>
            <w:tcBorders>
              <w:left w:val="single" w:sz="4" w:space="0" w:color="auto"/>
            </w:tcBorders>
            <w:vAlign w:val="center"/>
          </w:tcPr>
          <w:p w14:paraId="490180A3"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7,316</w:t>
            </w:r>
          </w:p>
        </w:tc>
        <w:tc>
          <w:tcPr>
            <w:tcW w:w="1246" w:type="dxa"/>
            <w:tcBorders>
              <w:right w:val="single" w:sz="4" w:space="0" w:color="auto"/>
            </w:tcBorders>
            <w:vAlign w:val="center"/>
          </w:tcPr>
          <w:p w14:paraId="59B0D9C9"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52.30%</w:t>
            </w:r>
          </w:p>
        </w:tc>
      </w:tr>
      <w:tr w:rsidR="001C4508" w:rsidRPr="000A26F2" w14:paraId="58D24652"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3ECB9588"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233461A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4,742</w:t>
            </w:r>
          </w:p>
        </w:tc>
        <w:tc>
          <w:tcPr>
            <w:tcW w:w="1246" w:type="dxa"/>
            <w:tcBorders>
              <w:right w:val="single" w:sz="4" w:space="0" w:color="auto"/>
            </w:tcBorders>
            <w:vAlign w:val="center"/>
          </w:tcPr>
          <w:p w14:paraId="2B92A540"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33.90%</w:t>
            </w:r>
          </w:p>
        </w:tc>
        <w:tc>
          <w:tcPr>
            <w:tcW w:w="1246" w:type="dxa"/>
            <w:tcBorders>
              <w:left w:val="single" w:sz="4" w:space="0" w:color="auto"/>
            </w:tcBorders>
            <w:noWrap/>
            <w:vAlign w:val="center"/>
            <w:hideMark/>
          </w:tcPr>
          <w:p w14:paraId="33DA4578"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1,931</w:t>
            </w:r>
          </w:p>
        </w:tc>
        <w:tc>
          <w:tcPr>
            <w:tcW w:w="1245" w:type="dxa"/>
            <w:tcBorders>
              <w:right w:val="single" w:sz="4" w:space="0" w:color="auto"/>
            </w:tcBorders>
            <w:vAlign w:val="center"/>
          </w:tcPr>
          <w:p w14:paraId="57A7CF6E"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13.80%</w:t>
            </w:r>
          </w:p>
        </w:tc>
        <w:tc>
          <w:tcPr>
            <w:tcW w:w="1380" w:type="dxa"/>
            <w:tcBorders>
              <w:left w:val="single" w:sz="4" w:space="0" w:color="auto"/>
            </w:tcBorders>
            <w:noWrap/>
            <w:vAlign w:val="center"/>
            <w:hideMark/>
          </w:tcPr>
          <w:p w14:paraId="5BCD89B3"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1,146</w:t>
            </w:r>
          </w:p>
        </w:tc>
        <w:tc>
          <w:tcPr>
            <w:tcW w:w="1112" w:type="dxa"/>
            <w:tcBorders>
              <w:right w:val="single" w:sz="4" w:space="0" w:color="auto"/>
            </w:tcBorders>
            <w:vAlign w:val="center"/>
          </w:tcPr>
          <w:p w14:paraId="77287097"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8.19%</w:t>
            </w:r>
          </w:p>
        </w:tc>
        <w:tc>
          <w:tcPr>
            <w:tcW w:w="1581" w:type="dxa"/>
            <w:tcBorders>
              <w:left w:val="single" w:sz="4" w:space="0" w:color="auto"/>
              <w:right w:val="nil"/>
            </w:tcBorders>
            <w:noWrap/>
            <w:vAlign w:val="center"/>
            <w:hideMark/>
          </w:tcPr>
          <w:p w14:paraId="65744584"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785</w:t>
            </w:r>
          </w:p>
        </w:tc>
        <w:tc>
          <w:tcPr>
            <w:tcW w:w="910" w:type="dxa"/>
            <w:tcBorders>
              <w:left w:val="nil"/>
              <w:right w:val="single" w:sz="4" w:space="0" w:color="auto"/>
            </w:tcBorders>
            <w:vAlign w:val="center"/>
          </w:tcPr>
          <w:p w14:paraId="389BD21D"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5.61%</w:t>
            </w:r>
          </w:p>
        </w:tc>
        <w:tc>
          <w:tcPr>
            <w:tcW w:w="1246" w:type="dxa"/>
            <w:tcBorders>
              <w:left w:val="single" w:sz="4" w:space="0" w:color="auto"/>
              <w:right w:val="nil"/>
            </w:tcBorders>
            <w:vAlign w:val="center"/>
          </w:tcPr>
          <w:p w14:paraId="4CD8715C"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6,673</w:t>
            </w:r>
          </w:p>
        </w:tc>
        <w:tc>
          <w:tcPr>
            <w:tcW w:w="1246" w:type="dxa"/>
            <w:tcBorders>
              <w:left w:val="nil"/>
              <w:right w:val="single" w:sz="4" w:space="0" w:color="auto"/>
            </w:tcBorders>
            <w:vAlign w:val="center"/>
          </w:tcPr>
          <w:p w14:paraId="2681B38F" w14:textId="77777777" w:rsidR="00441F98" w:rsidRPr="000A26F2" w:rsidRDefault="00441F98"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47.70%</w:t>
            </w:r>
          </w:p>
        </w:tc>
      </w:tr>
      <w:tr w:rsidR="002418F8" w:rsidRPr="000A26F2" w14:paraId="69995251"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noWrap/>
            <w:hideMark/>
          </w:tcPr>
          <w:p w14:paraId="15E09BAC"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noWrap/>
            <w:vAlign w:val="center"/>
            <w:hideMark/>
          </w:tcPr>
          <w:p w14:paraId="64C0CDD4"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9,339</w:t>
            </w:r>
          </w:p>
        </w:tc>
        <w:tc>
          <w:tcPr>
            <w:tcW w:w="1246" w:type="dxa"/>
            <w:tcBorders>
              <w:bottom w:val="single" w:sz="4" w:space="0" w:color="auto"/>
              <w:right w:val="single" w:sz="4" w:space="0" w:color="auto"/>
            </w:tcBorders>
            <w:vAlign w:val="center"/>
          </w:tcPr>
          <w:p w14:paraId="53A52EA2"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66.76%</w:t>
            </w:r>
          </w:p>
        </w:tc>
        <w:tc>
          <w:tcPr>
            <w:tcW w:w="1246" w:type="dxa"/>
            <w:tcBorders>
              <w:left w:val="single" w:sz="4" w:space="0" w:color="auto"/>
              <w:bottom w:val="single" w:sz="4" w:space="0" w:color="auto"/>
            </w:tcBorders>
            <w:noWrap/>
            <w:vAlign w:val="center"/>
            <w:hideMark/>
          </w:tcPr>
          <w:p w14:paraId="02FAD6EB"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4,650</w:t>
            </w:r>
          </w:p>
        </w:tc>
        <w:tc>
          <w:tcPr>
            <w:tcW w:w="1245" w:type="dxa"/>
            <w:tcBorders>
              <w:bottom w:val="single" w:sz="4" w:space="0" w:color="auto"/>
              <w:right w:val="single" w:sz="4" w:space="0" w:color="auto"/>
            </w:tcBorders>
            <w:vAlign w:val="center"/>
          </w:tcPr>
          <w:p w14:paraId="6C13B595"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33.24%</w:t>
            </w:r>
          </w:p>
        </w:tc>
        <w:tc>
          <w:tcPr>
            <w:tcW w:w="1380" w:type="dxa"/>
            <w:tcBorders>
              <w:left w:val="single" w:sz="4" w:space="0" w:color="auto"/>
              <w:bottom w:val="single" w:sz="4" w:space="0" w:color="auto"/>
            </w:tcBorders>
            <w:noWrap/>
            <w:vAlign w:val="center"/>
            <w:hideMark/>
          </w:tcPr>
          <w:p w14:paraId="4B2A0885"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2,855</w:t>
            </w:r>
          </w:p>
        </w:tc>
        <w:tc>
          <w:tcPr>
            <w:tcW w:w="1112" w:type="dxa"/>
            <w:tcBorders>
              <w:bottom w:val="single" w:sz="4" w:space="0" w:color="auto"/>
              <w:right w:val="single" w:sz="4" w:space="0" w:color="auto"/>
            </w:tcBorders>
            <w:vAlign w:val="center"/>
          </w:tcPr>
          <w:p w14:paraId="2695BCBF"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20.41%</w:t>
            </w:r>
          </w:p>
        </w:tc>
        <w:tc>
          <w:tcPr>
            <w:tcW w:w="1581" w:type="dxa"/>
            <w:tcBorders>
              <w:left w:val="single" w:sz="4" w:space="0" w:color="auto"/>
              <w:bottom w:val="single" w:sz="4" w:space="0" w:color="auto"/>
            </w:tcBorders>
            <w:noWrap/>
            <w:vAlign w:val="center"/>
            <w:hideMark/>
          </w:tcPr>
          <w:p w14:paraId="5976AA7A"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1,795</w:t>
            </w:r>
          </w:p>
        </w:tc>
        <w:tc>
          <w:tcPr>
            <w:tcW w:w="910" w:type="dxa"/>
            <w:tcBorders>
              <w:bottom w:val="single" w:sz="4" w:space="0" w:color="auto"/>
              <w:right w:val="single" w:sz="4" w:space="0" w:color="auto"/>
            </w:tcBorders>
            <w:vAlign w:val="center"/>
          </w:tcPr>
          <w:p w14:paraId="3876E1EA"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12.83%</w:t>
            </w:r>
          </w:p>
        </w:tc>
        <w:tc>
          <w:tcPr>
            <w:tcW w:w="1246" w:type="dxa"/>
            <w:tcBorders>
              <w:left w:val="single" w:sz="4" w:space="0" w:color="auto"/>
              <w:bottom w:val="single" w:sz="4" w:space="0" w:color="auto"/>
            </w:tcBorders>
            <w:vAlign w:val="center"/>
          </w:tcPr>
          <w:p w14:paraId="43C58E72"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13,989</w:t>
            </w:r>
          </w:p>
        </w:tc>
        <w:tc>
          <w:tcPr>
            <w:tcW w:w="1246" w:type="dxa"/>
            <w:tcBorders>
              <w:bottom w:val="single" w:sz="4" w:space="0" w:color="auto"/>
              <w:right w:val="single" w:sz="4" w:space="0" w:color="auto"/>
            </w:tcBorders>
            <w:vAlign w:val="center"/>
          </w:tcPr>
          <w:p w14:paraId="0CF68D59"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11.67%</w:t>
            </w:r>
          </w:p>
        </w:tc>
      </w:tr>
      <w:tr w:rsidR="001C4508" w:rsidRPr="000A26F2" w14:paraId="58A3B6CB"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nil"/>
              <w:right w:val="single" w:sz="4" w:space="0" w:color="auto"/>
            </w:tcBorders>
            <w:noWrap/>
            <w:hideMark/>
          </w:tcPr>
          <w:p w14:paraId="39F7D61A" w14:textId="77777777" w:rsidR="000A26F2" w:rsidRPr="000A26F2" w:rsidRDefault="000A26F2" w:rsidP="00CE2FDF">
            <w:pPr>
              <w:keepNext/>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2012</w:t>
            </w:r>
          </w:p>
        </w:tc>
        <w:tc>
          <w:tcPr>
            <w:tcW w:w="1245" w:type="dxa"/>
            <w:tcBorders>
              <w:top w:val="single" w:sz="4" w:space="0" w:color="auto"/>
              <w:left w:val="single" w:sz="4" w:space="0" w:color="auto"/>
              <w:bottom w:val="nil"/>
            </w:tcBorders>
            <w:noWrap/>
            <w:hideMark/>
          </w:tcPr>
          <w:p w14:paraId="73DD73C4" w14:textId="77777777" w:rsidR="000A26F2" w:rsidRPr="000A26F2" w:rsidRDefault="000A26F2"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bottom w:val="nil"/>
              <w:right w:val="single" w:sz="4" w:space="0" w:color="auto"/>
            </w:tcBorders>
            <w:vAlign w:val="center"/>
          </w:tcPr>
          <w:p w14:paraId="11AF1B9E" w14:textId="77777777" w:rsidR="000A26F2" w:rsidRPr="000A26F2" w:rsidRDefault="000A26F2"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246" w:type="dxa"/>
            <w:tcBorders>
              <w:top w:val="single" w:sz="4" w:space="0" w:color="auto"/>
              <w:left w:val="single" w:sz="4" w:space="0" w:color="auto"/>
              <w:bottom w:val="nil"/>
            </w:tcBorders>
            <w:noWrap/>
            <w:hideMark/>
          </w:tcPr>
          <w:p w14:paraId="05C34828" w14:textId="77777777" w:rsidR="000A26F2" w:rsidRPr="000A26F2" w:rsidRDefault="000A26F2"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5" w:type="dxa"/>
            <w:tcBorders>
              <w:top w:val="single" w:sz="4" w:space="0" w:color="auto"/>
              <w:bottom w:val="nil"/>
              <w:right w:val="single" w:sz="4" w:space="0" w:color="auto"/>
            </w:tcBorders>
            <w:vAlign w:val="center"/>
          </w:tcPr>
          <w:p w14:paraId="2FB3CC26" w14:textId="77777777" w:rsidR="000A26F2" w:rsidRPr="000A26F2" w:rsidRDefault="000A26F2"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380" w:type="dxa"/>
            <w:tcBorders>
              <w:top w:val="single" w:sz="4" w:space="0" w:color="auto"/>
              <w:left w:val="single" w:sz="4" w:space="0" w:color="auto"/>
              <w:bottom w:val="nil"/>
            </w:tcBorders>
            <w:noWrap/>
            <w:hideMark/>
          </w:tcPr>
          <w:p w14:paraId="1FAB8853" w14:textId="77777777" w:rsidR="000A26F2" w:rsidRPr="000A26F2" w:rsidRDefault="000A26F2"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112" w:type="dxa"/>
            <w:tcBorders>
              <w:top w:val="single" w:sz="4" w:space="0" w:color="auto"/>
              <w:bottom w:val="nil"/>
              <w:right w:val="single" w:sz="4" w:space="0" w:color="auto"/>
            </w:tcBorders>
            <w:vAlign w:val="center"/>
          </w:tcPr>
          <w:p w14:paraId="1299ACAD" w14:textId="77777777" w:rsidR="000A26F2" w:rsidRPr="000A26F2" w:rsidRDefault="000A26F2"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1581" w:type="dxa"/>
            <w:tcBorders>
              <w:top w:val="single" w:sz="4" w:space="0" w:color="auto"/>
              <w:left w:val="single" w:sz="4" w:space="0" w:color="auto"/>
              <w:bottom w:val="nil"/>
              <w:right w:val="nil"/>
            </w:tcBorders>
            <w:noWrap/>
            <w:hideMark/>
          </w:tcPr>
          <w:p w14:paraId="2C821821" w14:textId="77777777" w:rsidR="000A26F2" w:rsidRPr="000A26F2" w:rsidRDefault="000A26F2"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 </w:t>
            </w:r>
          </w:p>
        </w:tc>
        <w:tc>
          <w:tcPr>
            <w:tcW w:w="910" w:type="dxa"/>
            <w:tcBorders>
              <w:top w:val="single" w:sz="4" w:space="0" w:color="auto"/>
              <w:left w:val="nil"/>
              <w:bottom w:val="nil"/>
              <w:right w:val="single" w:sz="4" w:space="0" w:color="auto"/>
            </w:tcBorders>
          </w:tcPr>
          <w:p w14:paraId="15E47512" w14:textId="77777777" w:rsidR="000A26F2" w:rsidRPr="000A26F2" w:rsidRDefault="000A26F2"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246" w:type="dxa"/>
            <w:tcBorders>
              <w:top w:val="single" w:sz="4" w:space="0" w:color="auto"/>
              <w:left w:val="single" w:sz="4" w:space="0" w:color="auto"/>
              <w:bottom w:val="nil"/>
              <w:right w:val="nil"/>
            </w:tcBorders>
            <w:vAlign w:val="center"/>
          </w:tcPr>
          <w:p w14:paraId="786BE729" w14:textId="77777777" w:rsidR="000A26F2" w:rsidRPr="000A26F2" w:rsidRDefault="000A26F2"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246" w:type="dxa"/>
            <w:tcBorders>
              <w:top w:val="single" w:sz="4" w:space="0" w:color="auto"/>
              <w:left w:val="nil"/>
              <w:bottom w:val="nil"/>
              <w:right w:val="single" w:sz="4" w:space="0" w:color="auto"/>
            </w:tcBorders>
            <w:vAlign w:val="center"/>
          </w:tcPr>
          <w:p w14:paraId="5E9015DD" w14:textId="77777777" w:rsidR="000A26F2" w:rsidRPr="000A26F2" w:rsidRDefault="000A26F2"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 </w:t>
            </w:r>
          </w:p>
        </w:tc>
      </w:tr>
      <w:tr w:rsidR="001C4508" w:rsidRPr="000A26F2" w14:paraId="1F5DC5D8"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nil"/>
              <w:left w:val="single" w:sz="4" w:space="0" w:color="auto"/>
              <w:right w:val="single" w:sz="4" w:space="0" w:color="auto"/>
            </w:tcBorders>
            <w:noWrap/>
            <w:hideMark/>
          </w:tcPr>
          <w:p w14:paraId="1BA87F16"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Doctors</w:t>
            </w:r>
          </w:p>
        </w:tc>
        <w:tc>
          <w:tcPr>
            <w:tcW w:w="1245" w:type="dxa"/>
            <w:tcBorders>
              <w:top w:val="nil"/>
              <w:left w:val="single" w:sz="4" w:space="0" w:color="auto"/>
            </w:tcBorders>
            <w:noWrap/>
            <w:vAlign w:val="center"/>
            <w:hideMark/>
          </w:tcPr>
          <w:p w14:paraId="2A2033B4"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213</w:t>
            </w:r>
          </w:p>
        </w:tc>
        <w:tc>
          <w:tcPr>
            <w:tcW w:w="1246" w:type="dxa"/>
            <w:tcBorders>
              <w:top w:val="nil"/>
              <w:right w:val="single" w:sz="4" w:space="0" w:color="auto"/>
            </w:tcBorders>
            <w:vAlign w:val="center"/>
          </w:tcPr>
          <w:p w14:paraId="306C4986"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1.43%</w:t>
            </w:r>
          </w:p>
        </w:tc>
        <w:tc>
          <w:tcPr>
            <w:tcW w:w="1246" w:type="dxa"/>
            <w:tcBorders>
              <w:top w:val="nil"/>
              <w:left w:val="single" w:sz="4" w:space="0" w:color="auto"/>
            </w:tcBorders>
            <w:noWrap/>
            <w:vAlign w:val="center"/>
            <w:hideMark/>
          </w:tcPr>
          <w:p w14:paraId="454D57F2"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214</w:t>
            </w:r>
          </w:p>
        </w:tc>
        <w:tc>
          <w:tcPr>
            <w:tcW w:w="1245" w:type="dxa"/>
            <w:tcBorders>
              <w:top w:val="nil"/>
              <w:right w:val="single" w:sz="4" w:space="0" w:color="auto"/>
            </w:tcBorders>
            <w:vAlign w:val="center"/>
          </w:tcPr>
          <w:p w14:paraId="4333B695"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1.43%</w:t>
            </w:r>
          </w:p>
        </w:tc>
        <w:tc>
          <w:tcPr>
            <w:tcW w:w="1380" w:type="dxa"/>
            <w:tcBorders>
              <w:top w:val="nil"/>
              <w:left w:val="single" w:sz="4" w:space="0" w:color="auto"/>
            </w:tcBorders>
            <w:noWrap/>
            <w:vAlign w:val="center"/>
            <w:hideMark/>
          </w:tcPr>
          <w:p w14:paraId="31F03989"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148</w:t>
            </w:r>
          </w:p>
        </w:tc>
        <w:tc>
          <w:tcPr>
            <w:tcW w:w="1112" w:type="dxa"/>
            <w:tcBorders>
              <w:top w:val="nil"/>
              <w:right w:val="single" w:sz="4" w:space="0" w:color="auto"/>
            </w:tcBorders>
            <w:vAlign w:val="center"/>
          </w:tcPr>
          <w:p w14:paraId="67DC1A94"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0.99%</w:t>
            </w:r>
          </w:p>
        </w:tc>
        <w:tc>
          <w:tcPr>
            <w:tcW w:w="1581" w:type="dxa"/>
            <w:tcBorders>
              <w:top w:val="nil"/>
              <w:left w:val="single" w:sz="4" w:space="0" w:color="auto"/>
            </w:tcBorders>
            <w:noWrap/>
            <w:vAlign w:val="center"/>
            <w:hideMark/>
          </w:tcPr>
          <w:p w14:paraId="01F4897E"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66</w:t>
            </w:r>
          </w:p>
        </w:tc>
        <w:tc>
          <w:tcPr>
            <w:tcW w:w="910" w:type="dxa"/>
            <w:tcBorders>
              <w:top w:val="nil"/>
              <w:right w:val="single" w:sz="4" w:space="0" w:color="auto"/>
            </w:tcBorders>
            <w:vAlign w:val="center"/>
          </w:tcPr>
          <w:p w14:paraId="1D4B6591"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0.44%</w:t>
            </w:r>
          </w:p>
        </w:tc>
        <w:tc>
          <w:tcPr>
            <w:tcW w:w="1246" w:type="dxa"/>
            <w:tcBorders>
              <w:top w:val="nil"/>
              <w:left w:val="single" w:sz="4" w:space="0" w:color="auto"/>
            </w:tcBorders>
            <w:vAlign w:val="center"/>
          </w:tcPr>
          <w:p w14:paraId="70842765"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427</w:t>
            </w:r>
          </w:p>
        </w:tc>
        <w:tc>
          <w:tcPr>
            <w:tcW w:w="1246" w:type="dxa"/>
            <w:tcBorders>
              <w:top w:val="nil"/>
              <w:right w:val="single" w:sz="4" w:space="0" w:color="auto"/>
            </w:tcBorders>
            <w:vAlign w:val="center"/>
          </w:tcPr>
          <w:p w14:paraId="18E8359F"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2.86%</w:t>
            </w:r>
          </w:p>
        </w:tc>
      </w:tr>
      <w:tr w:rsidR="001C4508" w:rsidRPr="000A26F2" w14:paraId="4B58EF83"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6B7BA1F8"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Nurses</w:t>
            </w:r>
          </w:p>
        </w:tc>
        <w:tc>
          <w:tcPr>
            <w:tcW w:w="1245" w:type="dxa"/>
            <w:tcBorders>
              <w:left w:val="single" w:sz="4" w:space="0" w:color="auto"/>
            </w:tcBorders>
            <w:noWrap/>
            <w:vAlign w:val="center"/>
            <w:hideMark/>
          </w:tcPr>
          <w:p w14:paraId="01019145"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210</w:t>
            </w:r>
          </w:p>
        </w:tc>
        <w:tc>
          <w:tcPr>
            <w:tcW w:w="1246" w:type="dxa"/>
            <w:tcBorders>
              <w:right w:val="single" w:sz="4" w:space="0" w:color="auto"/>
            </w:tcBorders>
            <w:vAlign w:val="center"/>
          </w:tcPr>
          <w:p w14:paraId="342EC661"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1.41%</w:t>
            </w:r>
          </w:p>
        </w:tc>
        <w:tc>
          <w:tcPr>
            <w:tcW w:w="1246" w:type="dxa"/>
            <w:tcBorders>
              <w:left w:val="single" w:sz="4" w:space="0" w:color="auto"/>
            </w:tcBorders>
            <w:noWrap/>
            <w:vAlign w:val="center"/>
            <w:hideMark/>
          </w:tcPr>
          <w:p w14:paraId="017D4791"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218</w:t>
            </w:r>
          </w:p>
        </w:tc>
        <w:tc>
          <w:tcPr>
            <w:tcW w:w="1245" w:type="dxa"/>
            <w:tcBorders>
              <w:right w:val="single" w:sz="4" w:space="0" w:color="auto"/>
            </w:tcBorders>
            <w:vAlign w:val="center"/>
          </w:tcPr>
          <w:p w14:paraId="3E2F39DD"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1.46%</w:t>
            </w:r>
          </w:p>
        </w:tc>
        <w:tc>
          <w:tcPr>
            <w:tcW w:w="1380" w:type="dxa"/>
            <w:tcBorders>
              <w:left w:val="single" w:sz="4" w:space="0" w:color="auto"/>
            </w:tcBorders>
            <w:noWrap/>
            <w:vAlign w:val="center"/>
            <w:hideMark/>
          </w:tcPr>
          <w:p w14:paraId="34CBAD9D"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142</w:t>
            </w:r>
          </w:p>
        </w:tc>
        <w:tc>
          <w:tcPr>
            <w:tcW w:w="1112" w:type="dxa"/>
            <w:tcBorders>
              <w:right w:val="single" w:sz="4" w:space="0" w:color="auto"/>
            </w:tcBorders>
            <w:vAlign w:val="center"/>
          </w:tcPr>
          <w:p w14:paraId="04D030F6"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0.95%</w:t>
            </w:r>
          </w:p>
        </w:tc>
        <w:tc>
          <w:tcPr>
            <w:tcW w:w="1581" w:type="dxa"/>
            <w:tcBorders>
              <w:left w:val="single" w:sz="4" w:space="0" w:color="auto"/>
              <w:right w:val="nil"/>
            </w:tcBorders>
            <w:noWrap/>
            <w:vAlign w:val="center"/>
            <w:hideMark/>
          </w:tcPr>
          <w:p w14:paraId="41F30770"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76</w:t>
            </w:r>
          </w:p>
        </w:tc>
        <w:tc>
          <w:tcPr>
            <w:tcW w:w="910" w:type="dxa"/>
            <w:tcBorders>
              <w:left w:val="nil"/>
              <w:right w:val="single" w:sz="4" w:space="0" w:color="auto"/>
            </w:tcBorders>
            <w:vAlign w:val="center"/>
          </w:tcPr>
          <w:p w14:paraId="237124C3"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0.51%</w:t>
            </w:r>
          </w:p>
        </w:tc>
        <w:tc>
          <w:tcPr>
            <w:tcW w:w="1246" w:type="dxa"/>
            <w:tcBorders>
              <w:left w:val="single" w:sz="4" w:space="0" w:color="auto"/>
              <w:right w:val="nil"/>
            </w:tcBorders>
            <w:vAlign w:val="center"/>
          </w:tcPr>
          <w:p w14:paraId="469C14D9"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428</w:t>
            </w:r>
          </w:p>
        </w:tc>
        <w:tc>
          <w:tcPr>
            <w:tcW w:w="1246" w:type="dxa"/>
            <w:tcBorders>
              <w:left w:val="nil"/>
              <w:right w:val="single" w:sz="4" w:space="0" w:color="auto"/>
            </w:tcBorders>
            <w:vAlign w:val="center"/>
          </w:tcPr>
          <w:p w14:paraId="6CD891A9"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2.87%</w:t>
            </w:r>
          </w:p>
        </w:tc>
      </w:tr>
      <w:tr w:rsidR="001C4508" w:rsidRPr="000A26F2" w14:paraId="443402F6"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DE95CD1"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Police</w:t>
            </w:r>
          </w:p>
        </w:tc>
        <w:tc>
          <w:tcPr>
            <w:tcW w:w="1245" w:type="dxa"/>
            <w:tcBorders>
              <w:left w:val="single" w:sz="4" w:space="0" w:color="auto"/>
            </w:tcBorders>
            <w:noWrap/>
            <w:vAlign w:val="center"/>
            <w:hideMark/>
          </w:tcPr>
          <w:p w14:paraId="6C9A8ACD"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2,230</w:t>
            </w:r>
          </w:p>
        </w:tc>
        <w:tc>
          <w:tcPr>
            <w:tcW w:w="1246" w:type="dxa"/>
            <w:tcBorders>
              <w:right w:val="single" w:sz="4" w:space="0" w:color="auto"/>
            </w:tcBorders>
            <w:vAlign w:val="center"/>
          </w:tcPr>
          <w:p w14:paraId="7FCBC23F"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14.95%</w:t>
            </w:r>
          </w:p>
        </w:tc>
        <w:tc>
          <w:tcPr>
            <w:tcW w:w="1246" w:type="dxa"/>
            <w:tcBorders>
              <w:left w:val="single" w:sz="4" w:space="0" w:color="auto"/>
            </w:tcBorders>
            <w:noWrap/>
            <w:vAlign w:val="center"/>
            <w:hideMark/>
          </w:tcPr>
          <w:p w14:paraId="46E7DAC1"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1,222</w:t>
            </w:r>
          </w:p>
        </w:tc>
        <w:tc>
          <w:tcPr>
            <w:tcW w:w="1245" w:type="dxa"/>
            <w:tcBorders>
              <w:right w:val="single" w:sz="4" w:space="0" w:color="auto"/>
            </w:tcBorders>
            <w:vAlign w:val="center"/>
          </w:tcPr>
          <w:p w14:paraId="47BFFF4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8.19%</w:t>
            </w:r>
          </w:p>
        </w:tc>
        <w:tc>
          <w:tcPr>
            <w:tcW w:w="1380" w:type="dxa"/>
            <w:tcBorders>
              <w:left w:val="single" w:sz="4" w:space="0" w:color="auto"/>
            </w:tcBorders>
            <w:noWrap/>
            <w:vAlign w:val="center"/>
            <w:hideMark/>
          </w:tcPr>
          <w:p w14:paraId="2BB1D0A4"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873</w:t>
            </w:r>
          </w:p>
        </w:tc>
        <w:tc>
          <w:tcPr>
            <w:tcW w:w="1112" w:type="dxa"/>
            <w:tcBorders>
              <w:right w:val="single" w:sz="4" w:space="0" w:color="auto"/>
            </w:tcBorders>
            <w:vAlign w:val="center"/>
          </w:tcPr>
          <w:p w14:paraId="5F9DE8B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5.85%</w:t>
            </w:r>
          </w:p>
        </w:tc>
        <w:tc>
          <w:tcPr>
            <w:tcW w:w="1581" w:type="dxa"/>
            <w:tcBorders>
              <w:left w:val="single" w:sz="4" w:space="0" w:color="auto"/>
            </w:tcBorders>
            <w:noWrap/>
            <w:vAlign w:val="center"/>
            <w:hideMark/>
          </w:tcPr>
          <w:p w14:paraId="47F6673D"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349</w:t>
            </w:r>
          </w:p>
        </w:tc>
        <w:tc>
          <w:tcPr>
            <w:tcW w:w="910" w:type="dxa"/>
            <w:tcBorders>
              <w:right w:val="single" w:sz="4" w:space="0" w:color="auto"/>
            </w:tcBorders>
            <w:vAlign w:val="center"/>
          </w:tcPr>
          <w:p w14:paraId="52E35B10"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2.34%</w:t>
            </w:r>
          </w:p>
        </w:tc>
        <w:tc>
          <w:tcPr>
            <w:tcW w:w="1246" w:type="dxa"/>
            <w:tcBorders>
              <w:left w:val="single" w:sz="4" w:space="0" w:color="auto"/>
            </w:tcBorders>
            <w:vAlign w:val="center"/>
          </w:tcPr>
          <w:p w14:paraId="77294EB9"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3,452</w:t>
            </w:r>
          </w:p>
        </w:tc>
        <w:tc>
          <w:tcPr>
            <w:tcW w:w="1246" w:type="dxa"/>
            <w:tcBorders>
              <w:right w:val="single" w:sz="4" w:space="0" w:color="auto"/>
            </w:tcBorders>
            <w:vAlign w:val="center"/>
          </w:tcPr>
          <w:p w14:paraId="06BE0E37"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23.14%</w:t>
            </w:r>
          </w:p>
        </w:tc>
      </w:tr>
      <w:tr w:rsidR="001C4508" w:rsidRPr="000A26F2" w14:paraId="1E9053CD"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1A626CF0"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245" w:type="dxa"/>
            <w:tcBorders>
              <w:left w:val="single" w:sz="4" w:space="0" w:color="auto"/>
            </w:tcBorders>
            <w:noWrap/>
            <w:vAlign w:val="center"/>
            <w:hideMark/>
          </w:tcPr>
          <w:p w14:paraId="4CF9F74C"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2,308</w:t>
            </w:r>
          </w:p>
        </w:tc>
        <w:tc>
          <w:tcPr>
            <w:tcW w:w="1246" w:type="dxa"/>
            <w:tcBorders>
              <w:right w:val="single" w:sz="4" w:space="0" w:color="auto"/>
            </w:tcBorders>
            <w:vAlign w:val="center"/>
          </w:tcPr>
          <w:p w14:paraId="2C90FCB9"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15.47%</w:t>
            </w:r>
          </w:p>
        </w:tc>
        <w:tc>
          <w:tcPr>
            <w:tcW w:w="1246" w:type="dxa"/>
            <w:tcBorders>
              <w:left w:val="single" w:sz="4" w:space="0" w:color="auto"/>
            </w:tcBorders>
            <w:noWrap/>
            <w:vAlign w:val="center"/>
            <w:hideMark/>
          </w:tcPr>
          <w:p w14:paraId="513BFE14"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1,655</w:t>
            </w:r>
          </w:p>
        </w:tc>
        <w:tc>
          <w:tcPr>
            <w:tcW w:w="1245" w:type="dxa"/>
            <w:tcBorders>
              <w:right w:val="single" w:sz="4" w:space="0" w:color="auto"/>
            </w:tcBorders>
            <w:vAlign w:val="center"/>
          </w:tcPr>
          <w:p w14:paraId="058F19F0"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11.09%</w:t>
            </w:r>
          </w:p>
        </w:tc>
        <w:tc>
          <w:tcPr>
            <w:tcW w:w="1380" w:type="dxa"/>
            <w:tcBorders>
              <w:left w:val="single" w:sz="4" w:space="0" w:color="auto"/>
            </w:tcBorders>
            <w:noWrap/>
            <w:vAlign w:val="center"/>
            <w:hideMark/>
          </w:tcPr>
          <w:p w14:paraId="5DE2C967"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932</w:t>
            </w:r>
          </w:p>
        </w:tc>
        <w:tc>
          <w:tcPr>
            <w:tcW w:w="1112" w:type="dxa"/>
            <w:tcBorders>
              <w:right w:val="single" w:sz="4" w:space="0" w:color="auto"/>
            </w:tcBorders>
            <w:vAlign w:val="center"/>
          </w:tcPr>
          <w:p w14:paraId="60555D9E"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6.25%</w:t>
            </w:r>
          </w:p>
        </w:tc>
        <w:tc>
          <w:tcPr>
            <w:tcW w:w="1581" w:type="dxa"/>
            <w:tcBorders>
              <w:left w:val="single" w:sz="4" w:space="0" w:color="auto"/>
              <w:right w:val="nil"/>
            </w:tcBorders>
            <w:noWrap/>
            <w:vAlign w:val="center"/>
            <w:hideMark/>
          </w:tcPr>
          <w:p w14:paraId="45F55123"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723</w:t>
            </w:r>
          </w:p>
        </w:tc>
        <w:tc>
          <w:tcPr>
            <w:tcW w:w="910" w:type="dxa"/>
            <w:tcBorders>
              <w:left w:val="nil"/>
              <w:right w:val="single" w:sz="4" w:space="0" w:color="auto"/>
            </w:tcBorders>
            <w:vAlign w:val="center"/>
          </w:tcPr>
          <w:p w14:paraId="6F368447"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4.85%</w:t>
            </w:r>
          </w:p>
        </w:tc>
        <w:tc>
          <w:tcPr>
            <w:tcW w:w="1246" w:type="dxa"/>
            <w:tcBorders>
              <w:left w:val="single" w:sz="4" w:space="0" w:color="auto"/>
              <w:right w:val="nil"/>
            </w:tcBorders>
            <w:vAlign w:val="center"/>
          </w:tcPr>
          <w:p w14:paraId="197D8C76"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3,963</w:t>
            </w:r>
          </w:p>
        </w:tc>
        <w:tc>
          <w:tcPr>
            <w:tcW w:w="1246" w:type="dxa"/>
            <w:tcBorders>
              <w:left w:val="nil"/>
              <w:right w:val="single" w:sz="4" w:space="0" w:color="auto"/>
            </w:tcBorders>
            <w:vAlign w:val="center"/>
          </w:tcPr>
          <w:p w14:paraId="0082374E"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26.56%</w:t>
            </w:r>
          </w:p>
        </w:tc>
      </w:tr>
      <w:tr w:rsidR="001C4508" w:rsidRPr="000A26F2" w14:paraId="0EF0DFED"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1EB9640" w14:textId="77777777" w:rsidR="00441F98" w:rsidRPr="00E91515" w:rsidRDefault="00441F98" w:rsidP="00CE2FDF">
            <w:pPr>
              <w:tabs>
                <w:tab w:val="left" w:pos="1134"/>
              </w:tabs>
              <w:spacing w:before="0" w:line="276" w:lineRule="auto"/>
              <w:rPr>
                <w:rFonts w:eastAsia="Times New Roman" w:cs="Arial"/>
                <w:color w:val="auto"/>
                <w:sz w:val="20"/>
                <w:szCs w:val="20"/>
                <w:lang w:eastAsia="en-AU"/>
              </w:rPr>
            </w:pPr>
            <w:r w:rsidRPr="00E91515">
              <w:rPr>
                <w:rFonts w:eastAsia="Times New Roman" w:cs="Arial"/>
                <w:color w:val="auto"/>
                <w:sz w:val="20"/>
                <w:szCs w:val="20"/>
                <w:lang w:eastAsia="en-AU"/>
              </w:rPr>
              <w:t>Psychiatrists</w:t>
            </w:r>
          </w:p>
        </w:tc>
        <w:tc>
          <w:tcPr>
            <w:tcW w:w="1245" w:type="dxa"/>
            <w:tcBorders>
              <w:left w:val="single" w:sz="4" w:space="0" w:color="auto"/>
            </w:tcBorders>
            <w:noWrap/>
            <w:vAlign w:val="center"/>
            <w:hideMark/>
          </w:tcPr>
          <w:p w14:paraId="65EFCBC2"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16</w:t>
            </w:r>
          </w:p>
        </w:tc>
        <w:tc>
          <w:tcPr>
            <w:tcW w:w="1246" w:type="dxa"/>
            <w:tcBorders>
              <w:right w:val="single" w:sz="4" w:space="0" w:color="auto"/>
            </w:tcBorders>
            <w:vAlign w:val="center"/>
          </w:tcPr>
          <w:p w14:paraId="3B68C401"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0.11%</w:t>
            </w:r>
          </w:p>
        </w:tc>
        <w:tc>
          <w:tcPr>
            <w:tcW w:w="1246" w:type="dxa"/>
            <w:tcBorders>
              <w:left w:val="single" w:sz="4" w:space="0" w:color="auto"/>
            </w:tcBorders>
            <w:noWrap/>
            <w:vAlign w:val="center"/>
            <w:hideMark/>
          </w:tcPr>
          <w:p w14:paraId="3D343986"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6</w:t>
            </w:r>
          </w:p>
        </w:tc>
        <w:tc>
          <w:tcPr>
            <w:tcW w:w="1245" w:type="dxa"/>
            <w:tcBorders>
              <w:right w:val="single" w:sz="4" w:space="0" w:color="auto"/>
            </w:tcBorders>
            <w:vAlign w:val="center"/>
          </w:tcPr>
          <w:p w14:paraId="178F9762"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0.04%</w:t>
            </w:r>
          </w:p>
        </w:tc>
        <w:tc>
          <w:tcPr>
            <w:tcW w:w="1380" w:type="dxa"/>
            <w:tcBorders>
              <w:left w:val="single" w:sz="4" w:space="0" w:color="auto"/>
            </w:tcBorders>
            <w:noWrap/>
            <w:vAlign w:val="center"/>
            <w:hideMark/>
          </w:tcPr>
          <w:p w14:paraId="7AAF4BF0"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w:t>
            </w:r>
          </w:p>
        </w:tc>
        <w:tc>
          <w:tcPr>
            <w:tcW w:w="1112" w:type="dxa"/>
            <w:tcBorders>
              <w:right w:val="single" w:sz="4" w:space="0" w:color="auto"/>
            </w:tcBorders>
            <w:vAlign w:val="center"/>
          </w:tcPr>
          <w:p w14:paraId="32011F03"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0.03%</w:t>
            </w:r>
          </w:p>
        </w:tc>
        <w:tc>
          <w:tcPr>
            <w:tcW w:w="1581" w:type="dxa"/>
            <w:tcBorders>
              <w:left w:val="single" w:sz="4" w:space="0" w:color="auto"/>
            </w:tcBorders>
            <w:noWrap/>
            <w:vAlign w:val="center"/>
            <w:hideMark/>
          </w:tcPr>
          <w:p w14:paraId="700F946C"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2</w:t>
            </w:r>
          </w:p>
        </w:tc>
        <w:tc>
          <w:tcPr>
            <w:tcW w:w="910" w:type="dxa"/>
            <w:tcBorders>
              <w:right w:val="single" w:sz="4" w:space="0" w:color="auto"/>
            </w:tcBorders>
            <w:vAlign w:val="center"/>
          </w:tcPr>
          <w:p w14:paraId="20BDE760"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0.01%</w:t>
            </w:r>
          </w:p>
        </w:tc>
        <w:tc>
          <w:tcPr>
            <w:tcW w:w="1246" w:type="dxa"/>
            <w:tcBorders>
              <w:left w:val="single" w:sz="4" w:space="0" w:color="auto"/>
            </w:tcBorders>
            <w:vAlign w:val="center"/>
          </w:tcPr>
          <w:p w14:paraId="30621655"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22</w:t>
            </w:r>
          </w:p>
        </w:tc>
        <w:tc>
          <w:tcPr>
            <w:tcW w:w="1246" w:type="dxa"/>
            <w:tcBorders>
              <w:right w:val="single" w:sz="4" w:space="0" w:color="auto"/>
            </w:tcBorders>
            <w:vAlign w:val="center"/>
          </w:tcPr>
          <w:p w14:paraId="3DFF8728" w14:textId="77777777" w:rsidR="00441F98" w:rsidRPr="000A26F2" w:rsidRDefault="00441F98"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0.15%</w:t>
            </w:r>
          </w:p>
        </w:tc>
      </w:tr>
      <w:tr w:rsidR="001C4508" w:rsidRPr="000A26F2" w14:paraId="03068DB6"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49CB4B22"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Major mandated reporter groups combined</w:t>
            </w:r>
          </w:p>
        </w:tc>
        <w:tc>
          <w:tcPr>
            <w:tcW w:w="1245" w:type="dxa"/>
            <w:tcBorders>
              <w:left w:val="single" w:sz="4" w:space="0" w:color="auto"/>
            </w:tcBorders>
            <w:noWrap/>
            <w:vAlign w:val="center"/>
            <w:hideMark/>
          </w:tcPr>
          <w:p w14:paraId="170E2E7F"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4,977</w:t>
            </w:r>
          </w:p>
        </w:tc>
        <w:tc>
          <w:tcPr>
            <w:tcW w:w="1246" w:type="dxa"/>
            <w:tcBorders>
              <w:right w:val="single" w:sz="4" w:space="0" w:color="auto"/>
            </w:tcBorders>
            <w:vAlign w:val="center"/>
          </w:tcPr>
          <w:p w14:paraId="161A7B22"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33.36%</w:t>
            </w:r>
          </w:p>
        </w:tc>
        <w:tc>
          <w:tcPr>
            <w:tcW w:w="1246" w:type="dxa"/>
            <w:tcBorders>
              <w:left w:val="single" w:sz="4" w:space="0" w:color="auto"/>
            </w:tcBorders>
            <w:noWrap/>
            <w:vAlign w:val="center"/>
            <w:hideMark/>
          </w:tcPr>
          <w:p w14:paraId="10F27549"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3,315</w:t>
            </w:r>
          </w:p>
        </w:tc>
        <w:tc>
          <w:tcPr>
            <w:tcW w:w="1245" w:type="dxa"/>
            <w:tcBorders>
              <w:right w:val="single" w:sz="4" w:space="0" w:color="auto"/>
            </w:tcBorders>
            <w:vAlign w:val="center"/>
          </w:tcPr>
          <w:p w14:paraId="408A3242"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22.22%</w:t>
            </w:r>
          </w:p>
        </w:tc>
        <w:tc>
          <w:tcPr>
            <w:tcW w:w="1380" w:type="dxa"/>
            <w:tcBorders>
              <w:left w:val="single" w:sz="4" w:space="0" w:color="auto"/>
            </w:tcBorders>
            <w:noWrap/>
            <w:vAlign w:val="center"/>
            <w:hideMark/>
          </w:tcPr>
          <w:p w14:paraId="10B6E56C"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2,099</w:t>
            </w:r>
          </w:p>
        </w:tc>
        <w:tc>
          <w:tcPr>
            <w:tcW w:w="1112" w:type="dxa"/>
            <w:tcBorders>
              <w:right w:val="single" w:sz="4" w:space="0" w:color="auto"/>
            </w:tcBorders>
            <w:vAlign w:val="center"/>
          </w:tcPr>
          <w:p w14:paraId="538C12BC"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14.07%</w:t>
            </w:r>
          </w:p>
        </w:tc>
        <w:tc>
          <w:tcPr>
            <w:tcW w:w="1581" w:type="dxa"/>
            <w:tcBorders>
              <w:left w:val="single" w:sz="4" w:space="0" w:color="auto"/>
              <w:right w:val="nil"/>
            </w:tcBorders>
            <w:noWrap/>
            <w:vAlign w:val="center"/>
            <w:hideMark/>
          </w:tcPr>
          <w:p w14:paraId="3FB7A078"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1,216</w:t>
            </w:r>
          </w:p>
        </w:tc>
        <w:tc>
          <w:tcPr>
            <w:tcW w:w="910" w:type="dxa"/>
            <w:tcBorders>
              <w:left w:val="nil"/>
              <w:right w:val="single" w:sz="4" w:space="0" w:color="auto"/>
            </w:tcBorders>
            <w:vAlign w:val="center"/>
          </w:tcPr>
          <w:p w14:paraId="02940433"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0A26F2">
              <w:rPr>
                <w:color w:val="auto"/>
                <w:sz w:val="20"/>
                <w:szCs w:val="20"/>
              </w:rPr>
              <w:t>8.15%</w:t>
            </w:r>
          </w:p>
        </w:tc>
        <w:tc>
          <w:tcPr>
            <w:tcW w:w="1246" w:type="dxa"/>
            <w:tcBorders>
              <w:left w:val="single" w:sz="4" w:space="0" w:color="auto"/>
              <w:right w:val="nil"/>
            </w:tcBorders>
            <w:vAlign w:val="center"/>
          </w:tcPr>
          <w:p w14:paraId="0371BB86"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8,292</w:t>
            </w:r>
          </w:p>
        </w:tc>
        <w:tc>
          <w:tcPr>
            <w:tcW w:w="1246" w:type="dxa"/>
            <w:tcBorders>
              <w:left w:val="nil"/>
              <w:right w:val="single" w:sz="4" w:space="0" w:color="auto"/>
            </w:tcBorders>
            <w:vAlign w:val="center"/>
          </w:tcPr>
          <w:p w14:paraId="3D33B07D" w14:textId="77777777" w:rsidR="00441F98" w:rsidRPr="000A26F2" w:rsidRDefault="00441F98"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55.58%</w:t>
            </w:r>
          </w:p>
        </w:tc>
      </w:tr>
      <w:tr w:rsidR="001C4508" w:rsidRPr="000A26F2" w14:paraId="1C0B06A2"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right w:val="single" w:sz="4" w:space="0" w:color="auto"/>
            </w:tcBorders>
            <w:noWrap/>
            <w:hideMark/>
          </w:tcPr>
          <w:p w14:paraId="2D772F4C" w14:textId="77777777" w:rsidR="00441F98" w:rsidRPr="004A1081" w:rsidRDefault="00441F98" w:rsidP="00CE2FDF">
            <w:pPr>
              <w:tabs>
                <w:tab w:val="left" w:pos="1134"/>
              </w:tabs>
              <w:spacing w:before="0" w:line="276" w:lineRule="auto"/>
              <w:rPr>
                <w:rFonts w:eastAsia="Times New Roman" w:cs="Arial"/>
                <w:bCs w:val="0"/>
                <w:color w:val="auto"/>
                <w:sz w:val="20"/>
                <w:szCs w:val="20"/>
                <w:lang w:eastAsia="en-AU"/>
              </w:rPr>
            </w:pPr>
            <w:r w:rsidRPr="004A1081">
              <w:rPr>
                <w:rFonts w:eastAsia="Times New Roman" w:cs="Arial"/>
                <w:bCs w:val="0"/>
                <w:color w:val="auto"/>
                <w:sz w:val="20"/>
                <w:szCs w:val="20"/>
                <w:lang w:eastAsia="en-AU"/>
              </w:rPr>
              <w:t>Other reporter groups combined</w:t>
            </w:r>
          </w:p>
        </w:tc>
        <w:tc>
          <w:tcPr>
            <w:tcW w:w="1245" w:type="dxa"/>
            <w:tcBorders>
              <w:left w:val="single" w:sz="4" w:space="0" w:color="auto"/>
            </w:tcBorders>
            <w:noWrap/>
            <w:vAlign w:val="center"/>
            <w:hideMark/>
          </w:tcPr>
          <w:p w14:paraId="505E4895"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4,705</w:t>
            </w:r>
          </w:p>
        </w:tc>
        <w:tc>
          <w:tcPr>
            <w:tcW w:w="1246" w:type="dxa"/>
            <w:tcBorders>
              <w:right w:val="single" w:sz="4" w:space="0" w:color="auto"/>
            </w:tcBorders>
            <w:vAlign w:val="center"/>
          </w:tcPr>
          <w:p w14:paraId="4C13620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31.54%</w:t>
            </w:r>
          </w:p>
        </w:tc>
        <w:tc>
          <w:tcPr>
            <w:tcW w:w="1246" w:type="dxa"/>
            <w:tcBorders>
              <w:left w:val="single" w:sz="4" w:space="0" w:color="auto"/>
            </w:tcBorders>
            <w:noWrap/>
            <w:vAlign w:val="center"/>
            <w:hideMark/>
          </w:tcPr>
          <w:p w14:paraId="1EA4A7F2"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1,922</w:t>
            </w:r>
          </w:p>
        </w:tc>
        <w:tc>
          <w:tcPr>
            <w:tcW w:w="1245" w:type="dxa"/>
            <w:tcBorders>
              <w:right w:val="single" w:sz="4" w:space="0" w:color="auto"/>
            </w:tcBorders>
            <w:vAlign w:val="center"/>
          </w:tcPr>
          <w:p w14:paraId="2DCBBCFE"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12.88%</w:t>
            </w:r>
          </w:p>
        </w:tc>
        <w:tc>
          <w:tcPr>
            <w:tcW w:w="1380" w:type="dxa"/>
            <w:tcBorders>
              <w:left w:val="single" w:sz="4" w:space="0" w:color="auto"/>
            </w:tcBorders>
            <w:noWrap/>
            <w:vAlign w:val="center"/>
            <w:hideMark/>
          </w:tcPr>
          <w:p w14:paraId="7C1E1A1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1,136</w:t>
            </w:r>
          </w:p>
        </w:tc>
        <w:tc>
          <w:tcPr>
            <w:tcW w:w="1112" w:type="dxa"/>
            <w:tcBorders>
              <w:right w:val="single" w:sz="4" w:space="0" w:color="auto"/>
            </w:tcBorders>
            <w:vAlign w:val="center"/>
          </w:tcPr>
          <w:p w14:paraId="29DBB89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7.61%</w:t>
            </w:r>
          </w:p>
        </w:tc>
        <w:tc>
          <w:tcPr>
            <w:tcW w:w="1581" w:type="dxa"/>
            <w:tcBorders>
              <w:left w:val="single" w:sz="4" w:space="0" w:color="auto"/>
            </w:tcBorders>
            <w:noWrap/>
            <w:vAlign w:val="center"/>
            <w:hideMark/>
          </w:tcPr>
          <w:p w14:paraId="6D44BF88"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786</w:t>
            </w:r>
          </w:p>
        </w:tc>
        <w:tc>
          <w:tcPr>
            <w:tcW w:w="910" w:type="dxa"/>
            <w:tcBorders>
              <w:right w:val="single" w:sz="4" w:space="0" w:color="auto"/>
            </w:tcBorders>
            <w:vAlign w:val="center"/>
          </w:tcPr>
          <w:p w14:paraId="0174C65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0A26F2">
              <w:rPr>
                <w:color w:val="auto"/>
                <w:sz w:val="20"/>
                <w:szCs w:val="20"/>
              </w:rPr>
              <w:t>5.27%</w:t>
            </w:r>
          </w:p>
        </w:tc>
        <w:tc>
          <w:tcPr>
            <w:tcW w:w="1246" w:type="dxa"/>
            <w:tcBorders>
              <w:left w:val="single" w:sz="4" w:space="0" w:color="auto"/>
            </w:tcBorders>
            <w:vAlign w:val="center"/>
          </w:tcPr>
          <w:p w14:paraId="77E98384"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6,627</w:t>
            </w:r>
          </w:p>
        </w:tc>
        <w:tc>
          <w:tcPr>
            <w:tcW w:w="1246" w:type="dxa"/>
            <w:tcBorders>
              <w:right w:val="single" w:sz="4" w:space="0" w:color="auto"/>
            </w:tcBorders>
            <w:vAlign w:val="center"/>
          </w:tcPr>
          <w:p w14:paraId="54675A96" w14:textId="77777777" w:rsidR="00441F98" w:rsidRPr="000A26F2" w:rsidRDefault="00441F98"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0A26F2">
              <w:rPr>
                <w:b/>
                <w:color w:val="auto"/>
                <w:sz w:val="20"/>
                <w:szCs w:val="20"/>
              </w:rPr>
              <w:t>44.42%</w:t>
            </w:r>
          </w:p>
        </w:tc>
      </w:tr>
      <w:tr w:rsidR="002418F8" w:rsidRPr="000A26F2" w14:paraId="0E675A70" w14:textId="77777777" w:rsidTr="00441F98">
        <w:trPr>
          <w:trHeight w:val="276"/>
        </w:trPr>
        <w:tc>
          <w:tcPr>
            <w:cnfStyle w:val="001000000000" w:firstRow="0" w:lastRow="0" w:firstColumn="1" w:lastColumn="0" w:oddVBand="0" w:evenVBand="0" w:oddHBand="0" w:evenHBand="0" w:firstRowFirstColumn="0" w:firstRowLastColumn="0" w:lastRowFirstColumn="0" w:lastRowLastColumn="0"/>
            <w:tcW w:w="1968" w:type="dxa"/>
            <w:tcBorders>
              <w:left w:val="single" w:sz="4" w:space="0" w:color="auto"/>
              <w:bottom w:val="single" w:sz="4" w:space="0" w:color="auto"/>
              <w:right w:val="single" w:sz="4" w:space="0" w:color="auto"/>
            </w:tcBorders>
            <w:shd w:val="clear" w:color="auto" w:fill="CCC0D9" w:themeFill="accent4" w:themeFillTint="66"/>
            <w:noWrap/>
            <w:hideMark/>
          </w:tcPr>
          <w:p w14:paraId="6E0A3C08"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Totals</w:t>
            </w:r>
          </w:p>
        </w:tc>
        <w:tc>
          <w:tcPr>
            <w:tcW w:w="1245" w:type="dxa"/>
            <w:tcBorders>
              <w:left w:val="single" w:sz="4" w:space="0" w:color="auto"/>
              <w:bottom w:val="single" w:sz="4" w:space="0" w:color="auto"/>
            </w:tcBorders>
            <w:shd w:val="clear" w:color="auto" w:fill="CCC0D9" w:themeFill="accent4" w:themeFillTint="66"/>
            <w:noWrap/>
            <w:vAlign w:val="center"/>
            <w:hideMark/>
          </w:tcPr>
          <w:p w14:paraId="19ADEE2D"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9,682</w:t>
            </w:r>
          </w:p>
        </w:tc>
        <w:tc>
          <w:tcPr>
            <w:tcW w:w="1246" w:type="dxa"/>
            <w:tcBorders>
              <w:bottom w:val="single" w:sz="4" w:space="0" w:color="auto"/>
              <w:right w:val="single" w:sz="4" w:space="0" w:color="auto"/>
            </w:tcBorders>
            <w:shd w:val="clear" w:color="auto" w:fill="CCC0D9" w:themeFill="accent4" w:themeFillTint="66"/>
            <w:vAlign w:val="center"/>
          </w:tcPr>
          <w:p w14:paraId="4097042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64.90%</w:t>
            </w:r>
          </w:p>
        </w:tc>
        <w:tc>
          <w:tcPr>
            <w:tcW w:w="1246" w:type="dxa"/>
            <w:tcBorders>
              <w:left w:val="single" w:sz="4" w:space="0" w:color="auto"/>
              <w:bottom w:val="single" w:sz="4" w:space="0" w:color="auto"/>
            </w:tcBorders>
            <w:shd w:val="clear" w:color="auto" w:fill="CCC0D9" w:themeFill="accent4" w:themeFillTint="66"/>
            <w:noWrap/>
            <w:vAlign w:val="center"/>
            <w:hideMark/>
          </w:tcPr>
          <w:p w14:paraId="7C86EA7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5,237</w:t>
            </w:r>
          </w:p>
        </w:tc>
        <w:tc>
          <w:tcPr>
            <w:tcW w:w="1245" w:type="dxa"/>
            <w:tcBorders>
              <w:bottom w:val="single" w:sz="4" w:space="0" w:color="auto"/>
              <w:right w:val="single" w:sz="4" w:space="0" w:color="auto"/>
            </w:tcBorders>
            <w:shd w:val="clear" w:color="auto" w:fill="CCC0D9" w:themeFill="accent4" w:themeFillTint="66"/>
            <w:vAlign w:val="center"/>
          </w:tcPr>
          <w:p w14:paraId="5EDCB336"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35.10%</w:t>
            </w:r>
          </w:p>
        </w:tc>
        <w:tc>
          <w:tcPr>
            <w:tcW w:w="1380" w:type="dxa"/>
            <w:tcBorders>
              <w:left w:val="single" w:sz="4" w:space="0" w:color="auto"/>
              <w:bottom w:val="single" w:sz="4" w:space="0" w:color="auto"/>
            </w:tcBorders>
            <w:shd w:val="clear" w:color="auto" w:fill="CCC0D9" w:themeFill="accent4" w:themeFillTint="66"/>
            <w:noWrap/>
            <w:vAlign w:val="center"/>
            <w:hideMark/>
          </w:tcPr>
          <w:p w14:paraId="53D40771"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3,235</w:t>
            </w:r>
          </w:p>
        </w:tc>
        <w:tc>
          <w:tcPr>
            <w:tcW w:w="1112" w:type="dxa"/>
            <w:tcBorders>
              <w:bottom w:val="single" w:sz="4" w:space="0" w:color="auto"/>
              <w:right w:val="single" w:sz="4" w:space="0" w:color="auto"/>
            </w:tcBorders>
            <w:shd w:val="clear" w:color="auto" w:fill="CCC0D9" w:themeFill="accent4" w:themeFillTint="66"/>
            <w:vAlign w:val="center"/>
          </w:tcPr>
          <w:p w14:paraId="082E585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21.68%</w:t>
            </w:r>
          </w:p>
        </w:tc>
        <w:tc>
          <w:tcPr>
            <w:tcW w:w="1581" w:type="dxa"/>
            <w:tcBorders>
              <w:left w:val="single" w:sz="4" w:space="0" w:color="auto"/>
              <w:bottom w:val="single" w:sz="4" w:space="0" w:color="auto"/>
              <w:right w:val="nil"/>
            </w:tcBorders>
            <w:shd w:val="clear" w:color="auto" w:fill="CCC0D9" w:themeFill="accent4" w:themeFillTint="66"/>
            <w:noWrap/>
            <w:vAlign w:val="center"/>
            <w:hideMark/>
          </w:tcPr>
          <w:p w14:paraId="74FEBBDE"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2,002</w:t>
            </w:r>
          </w:p>
        </w:tc>
        <w:tc>
          <w:tcPr>
            <w:tcW w:w="910" w:type="dxa"/>
            <w:tcBorders>
              <w:left w:val="nil"/>
              <w:bottom w:val="single" w:sz="4" w:space="0" w:color="auto"/>
              <w:right w:val="single" w:sz="4" w:space="0" w:color="auto"/>
            </w:tcBorders>
            <w:shd w:val="clear" w:color="auto" w:fill="CCC0D9" w:themeFill="accent4" w:themeFillTint="66"/>
            <w:vAlign w:val="center"/>
          </w:tcPr>
          <w:p w14:paraId="6B7A2670"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0A26F2">
              <w:rPr>
                <w:b/>
                <w:color w:val="auto"/>
                <w:sz w:val="20"/>
                <w:szCs w:val="20"/>
              </w:rPr>
              <w:t>13.42%</w:t>
            </w:r>
          </w:p>
        </w:tc>
        <w:tc>
          <w:tcPr>
            <w:tcW w:w="1246" w:type="dxa"/>
            <w:tcBorders>
              <w:left w:val="single" w:sz="4" w:space="0" w:color="auto"/>
              <w:bottom w:val="single" w:sz="4" w:space="0" w:color="auto"/>
              <w:right w:val="nil"/>
            </w:tcBorders>
            <w:shd w:val="clear" w:color="auto" w:fill="CCC0D9" w:themeFill="accent4" w:themeFillTint="66"/>
            <w:vAlign w:val="center"/>
          </w:tcPr>
          <w:p w14:paraId="48217B04"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14,919</w:t>
            </w:r>
          </w:p>
        </w:tc>
        <w:tc>
          <w:tcPr>
            <w:tcW w:w="1246" w:type="dxa"/>
            <w:tcBorders>
              <w:left w:val="nil"/>
              <w:bottom w:val="single" w:sz="4" w:space="0" w:color="auto"/>
              <w:right w:val="single" w:sz="4" w:space="0" w:color="auto"/>
            </w:tcBorders>
            <w:shd w:val="clear" w:color="auto" w:fill="CCC0D9" w:themeFill="accent4" w:themeFillTint="66"/>
            <w:vAlign w:val="center"/>
          </w:tcPr>
          <w:p w14:paraId="47792AAF" w14:textId="77777777" w:rsidR="000A26F2" w:rsidRPr="000A26F2" w:rsidRDefault="000A26F2"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0A26F2">
              <w:rPr>
                <w:b/>
                <w:bCs/>
                <w:color w:val="auto"/>
                <w:sz w:val="20"/>
                <w:szCs w:val="20"/>
              </w:rPr>
              <w:t>12.44%</w:t>
            </w:r>
          </w:p>
        </w:tc>
      </w:tr>
      <w:tr w:rsidR="002418F8" w:rsidRPr="000A26F2" w14:paraId="47B97B7B" w14:textId="77777777" w:rsidTr="00441F9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6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hideMark/>
          </w:tcPr>
          <w:p w14:paraId="2E052C84" w14:textId="77777777" w:rsidR="000A26F2" w:rsidRPr="000A26F2" w:rsidRDefault="000A26F2" w:rsidP="00CE2FDF">
            <w:pPr>
              <w:tabs>
                <w:tab w:val="left" w:pos="1134"/>
              </w:tabs>
              <w:spacing w:before="0" w:line="276" w:lineRule="auto"/>
              <w:rPr>
                <w:rFonts w:eastAsia="Times New Roman" w:cs="Arial"/>
                <w:color w:val="auto"/>
                <w:sz w:val="20"/>
                <w:szCs w:val="20"/>
                <w:lang w:eastAsia="en-AU"/>
              </w:rPr>
            </w:pPr>
            <w:r w:rsidRPr="000A26F2">
              <w:rPr>
                <w:rFonts w:eastAsia="Times New Roman" w:cs="Arial"/>
                <w:color w:val="auto"/>
                <w:sz w:val="20"/>
                <w:szCs w:val="20"/>
                <w:lang w:eastAsia="en-AU"/>
              </w:rPr>
              <w:t>Combined Totals</w:t>
            </w:r>
          </w:p>
        </w:tc>
        <w:tc>
          <w:tcPr>
            <w:tcW w:w="1245"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178995C7"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76,670</w:t>
            </w:r>
          </w:p>
        </w:tc>
        <w:tc>
          <w:tcPr>
            <w:tcW w:w="1246" w:type="dxa"/>
            <w:tcBorders>
              <w:top w:val="single" w:sz="4" w:space="0" w:color="auto"/>
              <w:bottom w:val="single" w:sz="4" w:space="0" w:color="auto"/>
              <w:right w:val="single" w:sz="4" w:space="0" w:color="auto"/>
            </w:tcBorders>
            <w:shd w:val="clear" w:color="auto" w:fill="B2A1C7" w:themeFill="accent4" w:themeFillTint="99"/>
            <w:vAlign w:val="center"/>
          </w:tcPr>
          <w:p w14:paraId="1443B442"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63.95%</w:t>
            </w:r>
          </w:p>
        </w:tc>
        <w:tc>
          <w:tcPr>
            <w:tcW w:w="1246"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04670DF7"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43,216</w:t>
            </w:r>
          </w:p>
        </w:tc>
        <w:tc>
          <w:tcPr>
            <w:tcW w:w="1245" w:type="dxa"/>
            <w:tcBorders>
              <w:top w:val="single" w:sz="4" w:space="0" w:color="auto"/>
              <w:bottom w:val="single" w:sz="4" w:space="0" w:color="auto"/>
              <w:right w:val="single" w:sz="4" w:space="0" w:color="auto"/>
            </w:tcBorders>
            <w:shd w:val="clear" w:color="auto" w:fill="B2A1C7" w:themeFill="accent4" w:themeFillTint="99"/>
            <w:vAlign w:val="center"/>
          </w:tcPr>
          <w:p w14:paraId="008F62E0"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36.05%</w:t>
            </w:r>
          </w:p>
        </w:tc>
        <w:tc>
          <w:tcPr>
            <w:tcW w:w="1380"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17D0C9F3"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26,735</w:t>
            </w:r>
          </w:p>
        </w:tc>
        <w:tc>
          <w:tcPr>
            <w:tcW w:w="1112" w:type="dxa"/>
            <w:tcBorders>
              <w:top w:val="single" w:sz="4" w:space="0" w:color="auto"/>
              <w:bottom w:val="single" w:sz="4" w:space="0" w:color="auto"/>
              <w:right w:val="single" w:sz="4" w:space="0" w:color="auto"/>
            </w:tcBorders>
            <w:shd w:val="clear" w:color="auto" w:fill="B2A1C7" w:themeFill="accent4" w:themeFillTint="99"/>
            <w:vAlign w:val="center"/>
          </w:tcPr>
          <w:p w14:paraId="3FE026F3"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22.30%</w:t>
            </w:r>
          </w:p>
        </w:tc>
        <w:tc>
          <w:tcPr>
            <w:tcW w:w="1581"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15431C0C"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16,481</w:t>
            </w:r>
          </w:p>
        </w:tc>
        <w:tc>
          <w:tcPr>
            <w:tcW w:w="910" w:type="dxa"/>
            <w:tcBorders>
              <w:top w:val="single" w:sz="4" w:space="0" w:color="auto"/>
              <w:bottom w:val="single" w:sz="4" w:space="0" w:color="auto"/>
              <w:right w:val="single" w:sz="4" w:space="0" w:color="auto"/>
            </w:tcBorders>
            <w:shd w:val="clear" w:color="auto" w:fill="B2A1C7" w:themeFill="accent4" w:themeFillTint="99"/>
            <w:vAlign w:val="center"/>
          </w:tcPr>
          <w:p w14:paraId="4A97B966"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13.75%</w:t>
            </w:r>
          </w:p>
        </w:tc>
        <w:tc>
          <w:tcPr>
            <w:tcW w:w="1246" w:type="dxa"/>
            <w:tcBorders>
              <w:top w:val="single" w:sz="4" w:space="0" w:color="auto"/>
              <w:left w:val="single" w:sz="4" w:space="0" w:color="auto"/>
              <w:bottom w:val="single" w:sz="4" w:space="0" w:color="auto"/>
            </w:tcBorders>
            <w:shd w:val="clear" w:color="auto" w:fill="B2A1C7" w:themeFill="accent4" w:themeFillTint="99"/>
            <w:vAlign w:val="center"/>
          </w:tcPr>
          <w:p w14:paraId="39B04B02"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119,886</w:t>
            </w:r>
          </w:p>
        </w:tc>
        <w:tc>
          <w:tcPr>
            <w:tcW w:w="1246" w:type="dxa"/>
            <w:tcBorders>
              <w:top w:val="single" w:sz="4" w:space="0" w:color="auto"/>
              <w:bottom w:val="single" w:sz="4" w:space="0" w:color="auto"/>
              <w:right w:val="single" w:sz="4" w:space="0" w:color="auto"/>
            </w:tcBorders>
            <w:shd w:val="clear" w:color="auto" w:fill="B2A1C7" w:themeFill="accent4" w:themeFillTint="99"/>
            <w:vAlign w:val="center"/>
          </w:tcPr>
          <w:p w14:paraId="3B3A541C" w14:textId="77777777" w:rsidR="000A26F2" w:rsidRPr="000A26F2" w:rsidRDefault="000A26F2"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A26F2">
              <w:rPr>
                <w:b/>
                <w:bCs/>
                <w:color w:val="auto"/>
                <w:sz w:val="20"/>
                <w:szCs w:val="20"/>
              </w:rPr>
              <w:t> </w:t>
            </w:r>
          </w:p>
        </w:tc>
      </w:tr>
    </w:tbl>
    <w:p w14:paraId="31C2F833" w14:textId="77777777" w:rsidR="006C6B06" w:rsidRDefault="006C6B06">
      <w:pPr>
        <w:spacing w:after="200" w:line="276" w:lineRule="auto"/>
        <w:rPr>
          <w:rFonts w:asciiTheme="majorHAnsi" w:eastAsiaTheme="majorEastAsia" w:hAnsiTheme="majorHAnsi" w:cstheme="majorBidi"/>
          <w:b/>
          <w:bCs/>
          <w:color w:val="17365D" w:themeColor="text2" w:themeShade="BF"/>
          <w:sz w:val="26"/>
          <w:szCs w:val="26"/>
        </w:rPr>
      </w:pPr>
      <w:r>
        <w:br w:type="page"/>
      </w:r>
    </w:p>
    <w:p w14:paraId="1FB88031" w14:textId="1F651E2B" w:rsidR="006C6B06" w:rsidRDefault="006C6B06" w:rsidP="0095311F">
      <w:pPr>
        <w:pStyle w:val="Figureheading"/>
      </w:pPr>
      <w:r>
        <w:lastRenderedPageBreak/>
        <w:t>2.5</w:t>
      </w:r>
      <w:r>
        <w:tab/>
        <w:t xml:space="preserve">Number of reports of sexual abuse, by year, </w:t>
      </w:r>
      <w:r w:rsidRPr="001911B4">
        <w:t>reporter</w:t>
      </w:r>
      <w:r>
        <w:t xml:space="preserve"> group, and outcome</w:t>
      </w:r>
    </w:p>
    <w:tbl>
      <w:tblPr>
        <w:tblStyle w:val="LightShading-Accent2"/>
        <w:tblW w:w="14786" w:type="dxa"/>
        <w:tblLook w:val="04A0" w:firstRow="1" w:lastRow="0" w:firstColumn="1" w:lastColumn="0" w:noHBand="0" w:noVBand="1"/>
        <w:tblCaption w:val="Number of reports of sexual abuse, by year, reporter group, and outcome"/>
      </w:tblPr>
      <w:tblGrid>
        <w:gridCol w:w="2236"/>
        <w:gridCol w:w="1417"/>
        <w:gridCol w:w="1008"/>
        <w:gridCol w:w="1559"/>
        <w:gridCol w:w="1008"/>
        <w:gridCol w:w="1560"/>
        <w:gridCol w:w="928"/>
        <w:gridCol w:w="1701"/>
        <w:gridCol w:w="1061"/>
        <w:gridCol w:w="1300"/>
        <w:gridCol w:w="1008"/>
      </w:tblGrid>
      <w:tr w:rsidR="006C6B06" w:rsidRPr="00333B81" w14:paraId="5D61539E" w14:textId="77777777" w:rsidTr="001143BB">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041A8C1B" w14:textId="77777777" w:rsidR="006C6B06" w:rsidRPr="00333B81" w:rsidRDefault="006C6B06" w:rsidP="00CE2FDF">
            <w:pPr>
              <w:tabs>
                <w:tab w:val="left" w:pos="1134"/>
              </w:tabs>
              <w:spacing w:before="0" w:line="276" w:lineRule="auto"/>
              <w:jc w:val="center"/>
              <w:rPr>
                <w:rFonts w:eastAsia="Times New Roman" w:cs="Arial"/>
                <w:color w:val="auto"/>
                <w:sz w:val="20"/>
                <w:szCs w:val="20"/>
                <w:lang w:eastAsia="en-AU"/>
              </w:rPr>
            </w:pPr>
          </w:p>
        </w:tc>
        <w:tc>
          <w:tcPr>
            <w:tcW w:w="2425"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097D930C"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Not investigated</w:t>
            </w:r>
          </w:p>
        </w:tc>
        <w:tc>
          <w:tcPr>
            <w:tcW w:w="2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17EDF6B"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Investigated</w:t>
            </w:r>
          </w:p>
        </w:tc>
        <w:tc>
          <w:tcPr>
            <w:tcW w:w="248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B4DDE37"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Substantiated</w:t>
            </w:r>
          </w:p>
        </w:tc>
        <w:tc>
          <w:tcPr>
            <w:tcW w:w="276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552D5B9"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333B81">
              <w:rPr>
                <w:rFonts w:eastAsia="Times New Roman" w:cs="Arial"/>
                <w:color w:val="auto"/>
                <w:sz w:val="20"/>
                <w:szCs w:val="20"/>
                <w:lang w:eastAsia="en-AU"/>
              </w:rPr>
              <w:t>Not substantiated</w:t>
            </w:r>
          </w:p>
        </w:tc>
        <w:tc>
          <w:tcPr>
            <w:tcW w:w="230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5DDE9DA"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eastAsia="en-AU"/>
              </w:rPr>
            </w:pPr>
            <w:r w:rsidRPr="00333B81">
              <w:rPr>
                <w:rFonts w:eastAsia="Times New Roman" w:cs="Arial"/>
                <w:color w:val="auto"/>
                <w:sz w:val="20"/>
                <w:szCs w:val="20"/>
                <w:lang w:eastAsia="en-AU"/>
              </w:rPr>
              <w:t>Total</w:t>
            </w:r>
          </w:p>
        </w:tc>
      </w:tr>
      <w:tr w:rsidR="002418F8" w:rsidRPr="00333B81" w14:paraId="150E9973" w14:textId="77777777" w:rsidTr="00333B8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79D1C550" w14:textId="77777777" w:rsidR="00333B81" w:rsidRPr="00333B81" w:rsidRDefault="00333B81" w:rsidP="00CE2FDF">
            <w:pPr>
              <w:tabs>
                <w:tab w:val="left" w:pos="1134"/>
              </w:tabs>
              <w:spacing w:before="0" w:line="276" w:lineRule="auto"/>
              <w:rPr>
                <w:rFonts w:eastAsia="Times New Roman" w:cs="Arial"/>
                <w:bCs w:val="0"/>
                <w:color w:val="auto"/>
                <w:sz w:val="20"/>
                <w:szCs w:val="20"/>
                <w:lang w:eastAsia="en-AU"/>
              </w:rPr>
            </w:pPr>
            <w:r w:rsidRPr="00333B81">
              <w:rPr>
                <w:rFonts w:eastAsia="Times New Roman" w:cs="Arial"/>
                <w:bCs w:val="0"/>
                <w:color w:val="auto"/>
                <w:sz w:val="20"/>
                <w:szCs w:val="20"/>
                <w:lang w:eastAsia="en-AU"/>
              </w:rPr>
              <w:t>2003</w:t>
            </w:r>
          </w:p>
        </w:tc>
        <w:tc>
          <w:tcPr>
            <w:tcW w:w="1417" w:type="dxa"/>
            <w:tcBorders>
              <w:top w:val="single" w:sz="4" w:space="0" w:color="auto"/>
              <w:left w:val="single" w:sz="4" w:space="0" w:color="auto"/>
            </w:tcBorders>
            <w:noWrap/>
            <w:hideMark/>
          </w:tcPr>
          <w:p w14:paraId="7F8B83FF"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008" w:type="dxa"/>
            <w:tcBorders>
              <w:top w:val="single" w:sz="4" w:space="0" w:color="auto"/>
              <w:right w:val="single" w:sz="4" w:space="0" w:color="auto"/>
            </w:tcBorders>
          </w:tcPr>
          <w:p w14:paraId="2653CA3F"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559" w:type="dxa"/>
            <w:tcBorders>
              <w:top w:val="single" w:sz="4" w:space="0" w:color="auto"/>
              <w:left w:val="single" w:sz="4" w:space="0" w:color="auto"/>
            </w:tcBorders>
            <w:noWrap/>
            <w:hideMark/>
          </w:tcPr>
          <w:p w14:paraId="7782890F"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008" w:type="dxa"/>
            <w:tcBorders>
              <w:top w:val="single" w:sz="4" w:space="0" w:color="auto"/>
              <w:right w:val="single" w:sz="4" w:space="0" w:color="auto"/>
            </w:tcBorders>
          </w:tcPr>
          <w:p w14:paraId="65D0EACD"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560" w:type="dxa"/>
            <w:tcBorders>
              <w:top w:val="single" w:sz="4" w:space="0" w:color="auto"/>
              <w:left w:val="single" w:sz="4" w:space="0" w:color="auto"/>
            </w:tcBorders>
            <w:noWrap/>
            <w:hideMark/>
          </w:tcPr>
          <w:p w14:paraId="1ACC991C"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928" w:type="dxa"/>
            <w:tcBorders>
              <w:top w:val="single" w:sz="4" w:space="0" w:color="auto"/>
              <w:right w:val="single" w:sz="4" w:space="0" w:color="auto"/>
            </w:tcBorders>
          </w:tcPr>
          <w:p w14:paraId="361A8A75"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701" w:type="dxa"/>
            <w:tcBorders>
              <w:top w:val="single" w:sz="4" w:space="0" w:color="auto"/>
              <w:left w:val="single" w:sz="4" w:space="0" w:color="auto"/>
            </w:tcBorders>
            <w:noWrap/>
            <w:hideMark/>
          </w:tcPr>
          <w:p w14:paraId="333E88B1"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c>
          <w:tcPr>
            <w:tcW w:w="1061" w:type="dxa"/>
            <w:tcBorders>
              <w:top w:val="single" w:sz="4" w:space="0" w:color="auto"/>
              <w:right w:val="single" w:sz="4" w:space="0" w:color="auto"/>
            </w:tcBorders>
          </w:tcPr>
          <w:p w14:paraId="010EAE25"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300" w:type="dxa"/>
            <w:tcBorders>
              <w:top w:val="single" w:sz="4" w:space="0" w:color="auto"/>
              <w:left w:val="single" w:sz="4" w:space="0" w:color="auto"/>
            </w:tcBorders>
          </w:tcPr>
          <w:p w14:paraId="2B3B6BA1"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p>
        </w:tc>
        <w:tc>
          <w:tcPr>
            <w:tcW w:w="1008" w:type="dxa"/>
            <w:tcBorders>
              <w:top w:val="single" w:sz="4" w:space="0" w:color="auto"/>
              <w:right w:val="single" w:sz="4" w:space="0" w:color="auto"/>
            </w:tcBorders>
          </w:tcPr>
          <w:p w14:paraId="219CBD15" w14:textId="77777777" w:rsidR="00333B81" w:rsidRPr="00333B81" w:rsidRDefault="00333B81"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p>
        </w:tc>
      </w:tr>
      <w:tr w:rsidR="00333B81" w:rsidRPr="00333B81" w14:paraId="07B5FF70"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C217F31"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5C197C03"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168</w:t>
            </w:r>
          </w:p>
        </w:tc>
        <w:tc>
          <w:tcPr>
            <w:tcW w:w="1008" w:type="dxa"/>
            <w:tcBorders>
              <w:right w:val="single" w:sz="4" w:space="0" w:color="auto"/>
            </w:tcBorders>
            <w:vAlign w:val="center"/>
          </w:tcPr>
          <w:p w14:paraId="58B7756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3.78%</w:t>
            </w:r>
          </w:p>
        </w:tc>
        <w:tc>
          <w:tcPr>
            <w:tcW w:w="1559" w:type="dxa"/>
            <w:tcBorders>
              <w:left w:val="single" w:sz="4" w:space="0" w:color="auto"/>
            </w:tcBorders>
            <w:noWrap/>
            <w:vAlign w:val="center"/>
            <w:hideMark/>
          </w:tcPr>
          <w:p w14:paraId="111FC2FE"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54</w:t>
            </w:r>
          </w:p>
        </w:tc>
        <w:tc>
          <w:tcPr>
            <w:tcW w:w="1008" w:type="dxa"/>
            <w:tcBorders>
              <w:right w:val="single" w:sz="4" w:space="0" w:color="auto"/>
            </w:tcBorders>
            <w:vAlign w:val="center"/>
          </w:tcPr>
          <w:p w14:paraId="0A884432"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1.22%</w:t>
            </w:r>
          </w:p>
        </w:tc>
        <w:tc>
          <w:tcPr>
            <w:tcW w:w="1560" w:type="dxa"/>
            <w:tcBorders>
              <w:left w:val="single" w:sz="4" w:space="0" w:color="auto"/>
            </w:tcBorders>
            <w:noWrap/>
            <w:vAlign w:val="center"/>
            <w:hideMark/>
          </w:tcPr>
          <w:p w14:paraId="28ACF54D"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23</w:t>
            </w:r>
          </w:p>
        </w:tc>
        <w:tc>
          <w:tcPr>
            <w:tcW w:w="928" w:type="dxa"/>
            <w:tcBorders>
              <w:right w:val="single" w:sz="4" w:space="0" w:color="auto"/>
            </w:tcBorders>
            <w:vAlign w:val="center"/>
          </w:tcPr>
          <w:p w14:paraId="0E4B5B39"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0.52%</w:t>
            </w:r>
          </w:p>
        </w:tc>
        <w:tc>
          <w:tcPr>
            <w:tcW w:w="1701" w:type="dxa"/>
            <w:tcBorders>
              <w:left w:val="single" w:sz="4" w:space="0" w:color="auto"/>
              <w:right w:val="nil"/>
            </w:tcBorders>
            <w:noWrap/>
            <w:vAlign w:val="center"/>
            <w:hideMark/>
          </w:tcPr>
          <w:p w14:paraId="7BF761C9"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31</w:t>
            </w:r>
          </w:p>
        </w:tc>
        <w:tc>
          <w:tcPr>
            <w:tcW w:w="1061" w:type="dxa"/>
            <w:tcBorders>
              <w:left w:val="nil"/>
              <w:right w:val="single" w:sz="4" w:space="0" w:color="auto"/>
            </w:tcBorders>
            <w:vAlign w:val="center"/>
          </w:tcPr>
          <w:p w14:paraId="5C6F522E"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0.70%</w:t>
            </w:r>
          </w:p>
        </w:tc>
        <w:tc>
          <w:tcPr>
            <w:tcW w:w="1300" w:type="dxa"/>
            <w:tcBorders>
              <w:left w:val="single" w:sz="4" w:space="0" w:color="auto"/>
            </w:tcBorders>
            <w:vAlign w:val="center"/>
          </w:tcPr>
          <w:p w14:paraId="35B099C9"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222</w:t>
            </w:r>
          </w:p>
        </w:tc>
        <w:tc>
          <w:tcPr>
            <w:tcW w:w="1008" w:type="dxa"/>
            <w:tcBorders>
              <w:right w:val="single" w:sz="4" w:space="0" w:color="auto"/>
            </w:tcBorders>
            <w:vAlign w:val="center"/>
          </w:tcPr>
          <w:p w14:paraId="53087D26"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5.00%</w:t>
            </w:r>
          </w:p>
        </w:tc>
      </w:tr>
      <w:tr w:rsidR="00333B81" w:rsidRPr="00333B81" w14:paraId="08A0C4D7"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C151CFD"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010603AF"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49</w:t>
            </w:r>
          </w:p>
        </w:tc>
        <w:tc>
          <w:tcPr>
            <w:tcW w:w="1008" w:type="dxa"/>
            <w:tcBorders>
              <w:right w:val="single" w:sz="4" w:space="0" w:color="auto"/>
            </w:tcBorders>
            <w:vAlign w:val="center"/>
          </w:tcPr>
          <w:p w14:paraId="5EC80818"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1.10%</w:t>
            </w:r>
          </w:p>
        </w:tc>
        <w:tc>
          <w:tcPr>
            <w:tcW w:w="1559" w:type="dxa"/>
            <w:tcBorders>
              <w:left w:val="single" w:sz="4" w:space="0" w:color="auto"/>
            </w:tcBorders>
            <w:noWrap/>
            <w:vAlign w:val="center"/>
            <w:hideMark/>
          </w:tcPr>
          <w:p w14:paraId="3AEB716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19</w:t>
            </w:r>
          </w:p>
        </w:tc>
        <w:tc>
          <w:tcPr>
            <w:tcW w:w="1008" w:type="dxa"/>
            <w:tcBorders>
              <w:right w:val="single" w:sz="4" w:space="0" w:color="auto"/>
            </w:tcBorders>
            <w:vAlign w:val="center"/>
          </w:tcPr>
          <w:p w14:paraId="756AB5A3"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0.43%</w:t>
            </w:r>
          </w:p>
        </w:tc>
        <w:tc>
          <w:tcPr>
            <w:tcW w:w="1560" w:type="dxa"/>
            <w:tcBorders>
              <w:left w:val="single" w:sz="4" w:space="0" w:color="auto"/>
            </w:tcBorders>
            <w:noWrap/>
            <w:vAlign w:val="center"/>
            <w:hideMark/>
          </w:tcPr>
          <w:p w14:paraId="19C72F05"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w:t>
            </w:r>
          </w:p>
        </w:tc>
        <w:tc>
          <w:tcPr>
            <w:tcW w:w="928" w:type="dxa"/>
            <w:tcBorders>
              <w:right w:val="single" w:sz="4" w:space="0" w:color="auto"/>
            </w:tcBorders>
            <w:vAlign w:val="center"/>
          </w:tcPr>
          <w:p w14:paraId="09638F96"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0.27%</w:t>
            </w:r>
          </w:p>
        </w:tc>
        <w:tc>
          <w:tcPr>
            <w:tcW w:w="1701" w:type="dxa"/>
            <w:tcBorders>
              <w:left w:val="single" w:sz="4" w:space="0" w:color="auto"/>
            </w:tcBorders>
            <w:noWrap/>
            <w:vAlign w:val="center"/>
            <w:hideMark/>
          </w:tcPr>
          <w:p w14:paraId="4B882CE2"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w:t>
            </w:r>
          </w:p>
        </w:tc>
        <w:tc>
          <w:tcPr>
            <w:tcW w:w="1061" w:type="dxa"/>
            <w:tcBorders>
              <w:right w:val="single" w:sz="4" w:space="0" w:color="auto"/>
            </w:tcBorders>
            <w:vAlign w:val="center"/>
          </w:tcPr>
          <w:p w14:paraId="422EA734"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0.16%</w:t>
            </w:r>
          </w:p>
        </w:tc>
        <w:tc>
          <w:tcPr>
            <w:tcW w:w="1300" w:type="dxa"/>
            <w:tcBorders>
              <w:left w:val="single" w:sz="4" w:space="0" w:color="auto"/>
            </w:tcBorders>
            <w:vAlign w:val="center"/>
          </w:tcPr>
          <w:p w14:paraId="12D14C36"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68</w:t>
            </w:r>
          </w:p>
        </w:tc>
        <w:tc>
          <w:tcPr>
            <w:tcW w:w="1008" w:type="dxa"/>
            <w:tcBorders>
              <w:right w:val="single" w:sz="4" w:space="0" w:color="auto"/>
            </w:tcBorders>
            <w:vAlign w:val="center"/>
          </w:tcPr>
          <w:p w14:paraId="026570B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1.53%</w:t>
            </w:r>
          </w:p>
        </w:tc>
      </w:tr>
      <w:tr w:rsidR="00333B81" w:rsidRPr="00333B81" w14:paraId="5242A1D0"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1AAC28BA"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59A3300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488</w:t>
            </w:r>
          </w:p>
        </w:tc>
        <w:tc>
          <w:tcPr>
            <w:tcW w:w="1008" w:type="dxa"/>
            <w:tcBorders>
              <w:right w:val="single" w:sz="4" w:space="0" w:color="auto"/>
            </w:tcBorders>
            <w:vAlign w:val="center"/>
          </w:tcPr>
          <w:p w14:paraId="6475ECD8"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10.99%</w:t>
            </w:r>
          </w:p>
        </w:tc>
        <w:tc>
          <w:tcPr>
            <w:tcW w:w="1559" w:type="dxa"/>
            <w:tcBorders>
              <w:left w:val="single" w:sz="4" w:space="0" w:color="auto"/>
            </w:tcBorders>
            <w:noWrap/>
            <w:vAlign w:val="center"/>
            <w:hideMark/>
          </w:tcPr>
          <w:p w14:paraId="1B0C0578"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340</w:t>
            </w:r>
          </w:p>
        </w:tc>
        <w:tc>
          <w:tcPr>
            <w:tcW w:w="1008" w:type="dxa"/>
            <w:tcBorders>
              <w:right w:val="single" w:sz="4" w:space="0" w:color="auto"/>
            </w:tcBorders>
            <w:vAlign w:val="center"/>
          </w:tcPr>
          <w:p w14:paraId="373A8EC2"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7.66%</w:t>
            </w:r>
          </w:p>
        </w:tc>
        <w:tc>
          <w:tcPr>
            <w:tcW w:w="1560" w:type="dxa"/>
            <w:tcBorders>
              <w:left w:val="single" w:sz="4" w:space="0" w:color="auto"/>
            </w:tcBorders>
            <w:noWrap/>
            <w:vAlign w:val="center"/>
            <w:hideMark/>
          </w:tcPr>
          <w:p w14:paraId="5C836ADD"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192</w:t>
            </w:r>
          </w:p>
        </w:tc>
        <w:tc>
          <w:tcPr>
            <w:tcW w:w="928" w:type="dxa"/>
            <w:tcBorders>
              <w:right w:val="single" w:sz="4" w:space="0" w:color="auto"/>
            </w:tcBorders>
            <w:vAlign w:val="center"/>
          </w:tcPr>
          <w:p w14:paraId="38A7779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4.32%</w:t>
            </w:r>
          </w:p>
        </w:tc>
        <w:tc>
          <w:tcPr>
            <w:tcW w:w="1701" w:type="dxa"/>
            <w:tcBorders>
              <w:left w:val="single" w:sz="4" w:space="0" w:color="auto"/>
              <w:right w:val="nil"/>
            </w:tcBorders>
            <w:noWrap/>
            <w:vAlign w:val="center"/>
            <w:hideMark/>
          </w:tcPr>
          <w:p w14:paraId="0BA333B3"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148</w:t>
            </w:r>
          </w:p>
        </w:tc>
        <w:tc>
          <w:tcPr>
            <w:tcW w:w="1061" w:type="dxa"/>
            <w:tcBorders>
              <w:left w:val="nil"/>
              <w:right w:val="single" w:sz="4" w:space="0" w:color="auto"/>
            </w:tcBorders>
            <w:vAlign w:val="center"/>
          </w:tcPr>
          <w:p w14:paraId="0F02FFB8"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3.33%</w:t>
            </w:r>
          </w:p>
        </w:tc>
        <w:tc>
          <w:tcPr>
            <w:tcW w:w="1300" w:type="dxa"/>
            <w:tcBorders>
              <w:left w:val="single" w:sz="4" w:space="0" w:color="auto"/>
            </w:tcBorders>
            <w:vAlign w:val="center"/>
          </w:tcPr>
          <w:p w14:paraId="0118F756"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828</w:t>
            </w:r>
          </w:p>
        </w:tc>
        <w:tc>
          <w:tcPr>
            <w:tcW w:w="1008" w:type="dxa"/>
            <w:tcBorders>
              <w:right w:val="single" w:sz="4" w:space="0" w:color="auto"/>
            </w:tcBorders>
            <w:vAlign w:val="center"/>
          </w:tcPr>
          <w:p w14:paraId="35D5484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18.64%</w:t>
            </w:r>
          </w:p>
        </w:tc>
      </w:tr>
      <w:tr w:rsidR="00333B81" w:rsidRPr="00333B81" w14:paraId="150E395E"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1467B95" w14:textId="77777777" w:rsidR="00333B81"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67FFE6DB"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258</w:t>
            </w:r>
          </w:p>
        </w:tc>
        <w:tc>
          <w:tcPr>
            <w:tcW w:w="1008" w:type="dxa"/>
            <w:tcBorders>
              <w:right w:val="single" w:sz="4" w:space="0" w:color="auto"/>
            </w:tcBorders>
            <w:vAlign w:val="center"/>
          </w:tcPr>
          <w:p w14:paraId="5F4856B1"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5.81%</w:t>
            </w:r>
          </w:p>
        </w:tc>
        <w:tc>
          <w:tcPr>
            <w:tcW w:w="1559" w:type="dxa"/>
            <w:tcBorders>
              <w:left w:val="single" w:sz="4" w:space="0" w:color="auto"/>
            </w:tcBorders>
            <w:noWrap/>
            <w:vAlign w:val="center"/>
            <w:hideMark/>
          </w:tcPr>
          <w:p w14:paraId="7532BD28"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173</w:t>
            </w:r>
          </w:p>
        </w:tc>
        <w:tc>
          <w:tcPr>
            <w:tcW w:w="1008" w:type="dxa"/>
            <w:tcBorders>
              <w:right w:val="single" w:sz="4" w:space="0" w:color="auto"/>
            </w:tcBorders>
            <w:vAlign w:val="center"/>
          </w:tcPr>
          <w:p w14:paraId="368FA736"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3.90%</w:t>
            </w:r>
          </w:p>
        </w:tc>
        <w:tc>
          <w:tcPr>
            <w:tcW w:w="1560" w:type="dxa"/>
            <w:tcBorders>
              <w:left w:val="single" w:sz="4" w:space="0" w:color="auto"/>
            </w:tcBorders>
            <w:noWrap/>
            <w:vAlign w:val="center"/>
            <w:hideMark/>
          </w:tcPr>
          <w:p w14:paraId="400E89E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94</w:t>
            </w:r>
          </w:p>
        </w:tc>
        <w:tc>
          <w:tcPr>
            <w:tcW w:w="928" w:type="dxa"/>
            <w:tcBorders>
              <w:right w:val="single" w:sz="4" w:space="0" w:color="auto"/>
            </w:tcBorders>
            <w:vAlign w:val="center"/>
          </w:tcPr>
          <w:p w14:paraId="08CC2641"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2.12%</w:t>
            </w:r>
          </w:p>
        </w:tc>
        <w:tc>
          <w:tcPr>
            <w:tcW w:w="1701" w:type="dxa"/>
            <w:tcBorders>
              <w:left w:val="single" w:sz="4" w:space="0" w:color="auto"/>
            </w:tcBorders>
            <w:noWrap/>
            <w:vAlign w:val="center"/>
            <w:hideMark/>
          </w:tcPr>
          <w:p w14:paraId="1AE430DB"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79</w:t>
            </w:r>
          </w:p>
        </w:tc>
        <w:tc>
          <w:tcPr>
            <w:tcW w:w="1061" w:type="dxa"/>
            <w:tcBorders>
              <w:right w:val="single" w:sz="4" w:space="0" w:color="auto"/>
            </w:tcBorders>
            <w:vAlign w:val="center"/>
          </w:tcPr>
          <w:p w14:paraId="3F32FF99"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1.78%</w:t>
            </w:r>
          </w:p>
        </w:tc>
        <w:tc>
          <w:tcPr>
            <w:tcW w:w="1300" w:type="dxa"/>
            <w:tcBorders>
              <w:left w:val="single" w:sz="4" w:space="0" w:color="auto"/>
            </w:tcBorders>
            <w:vAlign w:val="center"/>
          </w:tcPr>
          <w:p w14:paraId="228479B5"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431</w:t>
            </w:r>
          </w:p>
        </w:tc>
        <w:tc>
          <w:tcPr>
            <w:tcW w:w="1008" w:type="dxa"/>
            <w:tcBorders>
              <w:right w:val="single" w:sz="4" w:space="0" w:color="auto"/>
            </w:tcBorders>
            <w:vAlign w:val="center"/>
          </w:tcPr>
          <w:p w14:paraId="4F3DE886"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9.71%</w:t>
            </w:r>
          </w:p>
        </w:tc>
      </w:tr>
      <w:tr w:rsidR="00333B81" w:rsidRPr="00333B81" w14:paraId="1AA6004D"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5DBB9913"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00EC4426"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23</w:t>
            </w:r>
          </w:p>
        </w:tc>
        <w:tc>
          <w:tcPr>
            <w:tcW w:w="1008" w:type="dxa"/>
            <w:tcBorders>
              <w:right w:val="single" w:sz="4" w:space="0" w:color="auto"/>
            </w:tcBorders>
            <w:vAlign w:val="center"/>
          </w:tcPr>
          <w:p w14:paraId="02FF1BE8"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0.52%</w:t>
            </w:r>
          </w:p>
        </w:tc>
        <w:tc>
          <w:tcPr>
            <w:tcW w:w="1559" w:type="dxa"/>
            <w:tcBorders>
              <w:left w:val="single" w:sz="4" w:space="0" w:color="auto"/>
            </w:tcBorders>
            <w:noWrap/>
            <w:vAlign w:val="center"/>
            <w:hideMark/>
          </w:tcPr>
          <w:p w14:paraId="0FDE4C4E"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w:t>
            </w:r>
          </w:p>
        </w:tc>
        <w:tc>
          <w:tcPr>
            <w:tcW w:w="1008" w:type="dxa"/>
            <w:tcBorders>
              <w:right w:val="single" w:sz="4" w:space="0" w:color="auto"/>
            </w:tcBorders>
            <w:vAlign w:val="center"/>
          </w:tcPr>
          <w:p w14:paraId="5E221413"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0.14%</w:t>
            </w:r>
          </w:p>
        </w:tc>
        <w:tc>
          <w:tcPr>
            <w:tcW w:w="1560" w:type="dxa"/>
            <w:tcBorders>
              <w:left w:val="single" w:sz="4" w:space="0" w:color="auto"/>
            </w:tcBorders>
            <w:noWrap/>
            <w:vAlign w:val="center"/>
            <w:hideMark/>
          </w:tcPr>
          <w:p w14:paraId="5C69163F"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w:t>
            </w:r>
          </w:p>
        </w:tc>
        <w:tc>
          <w:tcPr>
            <w:tcW w:w="928" w:type="dxa"/>
            <w:tcBorders>
              <w:right w:val="single" w:sz="4" w:space="0" w:color="auto"/>
            </w:tcBorders>
            <w:vAlign w:val="center"/>
          </w:tcPr>
          <w:p w14:paraId="4687624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0.14%</w:t>
            </w:r>
          </w:p>
        </w:tc>
        <w:tc>
          <w:tcPr>
            <w:tcW w:w="1701" w:type="dxa"/>
            <w:tcBorders>
              <w:left w:val="single" w:sz="4" w:space="0" w:color="auto"/>
              <w:right w:val="nil"/>
            </w:tcBorders>
            <w:noWrap/>
            <w:vAlign w:val="center"/>
            <w:hideMark/>
          </w:tcPr>
          <w:p w14:paraId="52D20D2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w:t>
            </w:r>
          </w:p>
        </w:tc>
        <w:tc>
          <w:tcPr>
            <w:tcW w:w="1061" w:type="dxa"/>
            <w:tcBorders>
              <w:left w:val="nil"/>
              <w:right w:val="single" w:sz="4" w:space="0" w:color="auto"/>
            </w:tcBorders>
            <w:vAlign w:val="center"/>
          </w:tcPr>
          <w:p w14:paraId="5F4F05A1"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0.00%</w:t>
            </w:r>
          </w:p>
        </w:tc>
        <w:tc>
          <w:tcPr>
            <w:tcW w:w="1300" w:type="dxa"/>
            <w:tcBorders>
              <w:left w:val="single" w:sz="4" w:space="0" w:color="auto"/>
            </w:tcBorders>
            <w:vAlign w:val="center"/>
          </w:tcPr>
          <w:p w14:paraId="7597CC60"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29</w:t>
            </w:r>
          </w:p>
        </w:tc>
        <w:tc>
          <w:tcPr>
            <w:tcW w:w="1008" w:type="dxa"/>
            <w:tcBorders>
              <w:right w:val="single" w:sz="4" w:space="0" w:color="auto"/>
            </w:tcBorders>
            <w:vAlign w:val="center"/>
          </w:tcPr>
          <w:p w14:paraId="5B886560"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0.65%</w:t>
            </w:r>
          </w:p>
        </w:tc>
      </w:tr>
      <w:tr w:rsidR="006C6B06" w:rsidRPr="00333B81" w14:paraId="6D07204A"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6D663714"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055BE17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986</w:t>
            </w:r>
          </w:p>
        </w:tc>
        <w:tc>
          <w:tcPr>
            <w:tcW w:w="1008" w:type="dxa"/>
            <w:tcBorders>
              <w:right w:val="single" w:sz="4" w:space="0" w:color="auto"/>
            </w:tcBorders>
            <w:vAlign w:val="center"/>
          </w:tcPr>
          <w:p w14:paraId="30E48A8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22.20%</w:t>
            </w:r>
          </w:p>
        </w:tc>
        <w:tc>
          <w:tcPr>
            <w:tcW w:w="1559" w:type="dxa"/>
            <w:tcBorders>
              <w:left w:val="single" w:sz="4" w:space="0" w:color="auto"/>
            </w:tcBorders>
            <w:noWrap/>
            <w:vAlign w:val="center"/>
            <w:hideMark/>
          </w:tcPr>
          <w:p w14:paraId="4AA3857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592</w:t>
            </w:r>
          </w:p>
        </w:tc>
        <w:tc>
          <w:tcPr>
            <w:tcW w:w="1008" w:type="dxa"/>
            <w:tcBorders>
              <w:right w:val="single" w:sz="4" w:space="0" w:color="auto"/>
            </w:tcBorders>
            <w:vAlign w:val="center"/>
          </w:tcPr>
          <w:p w14:paraId="7E44A61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13.33%</w:t>
            </w:r>
          </w:p>
        </w:tc>
        <w:tc>
          <w:tcPr>
            <w:tcW w:w="1560" w:type="dxa"/>
            <w:tcBorders>
              <w:left w:val="single" w:sz="4" w:space="0" w:color="auto"/>
            </w:tcBorders>
            <w:noWrap/>
            <w:vAlign w:val="center"/>
            <w:hideMark/>
          </w:tcPr>
          <w:p w14:paraId="2AA565A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327</w:t>
            </w:r>
          </w:p>
        </w:tc>
        <w:tc>
          <w:tcPr>
            <w:tcW w:w="928" w:type="dxa"/>
            <w:tcBorders>
              <w:right w:val="single" w:sz="4" w:space="0" w:color="auto"/>
            </w:tcBorders>
            <w:vAlign w:val="center"/>
          </w:tcPr>
          <w:p w14:paraId="263882D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7.36%</w:t>
            </w:r>
          </w:p>
        </w:tc>
        <w:tc>
          <w:tcPr>
            <w:tcW w:w="1701" w:type="dxa"/>
            <w:tcBorders>
              <w:left w:val="single" w:sz="4" w:space="0" w:color="auto"/>
            </w:tcBorders>
            <w:noWrap/>
            <w:vAlign w:val="center"/>
            <w:hideMark/>
          </w:tcPr>
          <w:p w14:paraId="61014D0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265</w:t>
            </w:r>
          </w:p>
        </w:tc>
        <w:tc>
          <w:tcPr>
            <w:tcW w:w="1061" w:type="dxa"/>
            <w:tcBorders>
              <w:right w:val="single" w:sz="4" w:space="0" w:color="auto"/>
            </w:tcBorders>
            <w:vAlign w:val="center"/>
          </w:tcPr>
          <w:p w14:paraId="09F4B8D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5.97%</w:t>
            </w:r>
          </w:p>
        </w:tc>
        <w:tc>
          <w:tcPr>
            <w:tcW w:w="1300" w:type="dxa"/>
            <w:tcBorders>
              <w:left w:val="single" w:sz="4" w:space="0" w:color="auto"/>
            </w:tcBorders>
            <w:vAlign w:val="center"/>
          </w:tcPr>
          <w:p w14:paraId="0C6506C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1,578</w:t>
            </w:r>
          </w:p>
        </w:tc>
        <w:tc>
          <w:tcPr>
            <w:tcW w:w="1008" w:type="dxa"/>
            <w:tcBorders>
              <w:right w:val="single" w:sz="4" w:space="0" w:color="auto"/>
            </w:tcBorders>
            <w:vAlign w:val="center"/>
          </w:tcPr>
          <w:p w14:paraId="1AC0AF0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35.53%</w:t>
            </w:r>
          </w:p>
        </w:tc>
      </w:tr>
      <w:tr w:rsidR="006C6B06" w:rsidRPr="00333B81" w14:paraId="42CBA2FD"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nil"/>
              <w:right w:val="single" w:sz="4" w:space="0" w:color="auto"/>
            </w:tcBorders>
            <w:noWrap/>
            <w:vAlign w:val="center"/>
            <w:hideMark/>
          </w:tcPr>
          <w:p w14:paraId="456EB00B"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bottom w:val="nil"/>
            </w:tcBorders>
            <w:noWrap/>
            <w:vAlign w:val="center"/>
            <w:hideMark/>
          </w:tcPr>
          <w:p w14:paraId="426464E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1,755</w:t>
            </w:r>
          </w:p>
        </w:tc>
        <w:tc>
          <w:tcPr>
            <w:tcW w:w="1008" w:type="dxa"/>
            <w:tcBorders>
              <w:bottom w:val="nil"/>
              <w:right w:val="single" w:sz="4" w:space="0" w:color="auto"/>
            </w:tcBorders>
            <w:vAlign w:val="center"/>
          </w:tcPr>
          <w:p w14:paraId="207F894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39.52%</w:t>
            </w:r>
          </w:p>
        </w:tc>
        <w:tc>
          <w:tcPr>
            <w:tcW w:w="1559" w:type="dxa"/>
            <w:tcBorders>
              <w:left w:val="single" w:sz="4" w:space="0" w:color="auto"/>
              <w:bottom w:val="nil"/>
            </w:tcBorders>
            <w:noWrap/>
            <w:vAlign w:val="center"/>
            <w:hideMark/>
          </w:tcPr>
          <w:p w14:paraId="57C2F5D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1,108</w:t>
            </w:r>
          </w:p>
        </w:tc>
        <w:tc>
          <w:tcPr>
            <w:tcW w:w="1008" w:type="dxa"/>
            <w:tcBorders>
              <w:bottom w:val="nil"/>
              <w:right w:val="single" w:sz="4" w:space="0" w:color="auto"/>
            </w:tcBorders>
            <w:vAlign w:val="center"/>
          </w:tcPr>
          <w:p w14:paraId="6D5EDD2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24.95%</w:t>
            </w:r>
          </w:p>
        </w:tc>
        <w:tc>
          <w:tcPr>
            <w:tcW w:w="1560" w:type="dxa"/>
            <w:tcBorders>
              <w:left w:val="single" w:sz="4" w:space="0" w:color="auto"/>
              <w:bottom w:val="nil"/>
            </w:tcBorders>
            <w:noWrap/>
            <w:vAlign w:val="center"/>
            <w:hideMark/>
          </w:tcPr>
          <w:p w14:paraId="6B57E28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438</w:t>
            </w:r>
          </w:p>
        </w:tc>
        <w:tc>
          <w:tcPr>
            <w:tcW w:w="928" w:type="dxa"/>
            <w:tcBorders>
              <w:bottom w:val="nil"/>
              <w:right w:val="single" w:sz="4" w:space="0" w:color="auto"/>
            </w:tcBorders>
            <w:vAlign w:val="center"/>
          </w:tcPr>
          <w:p w14:paraId="259A7DD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9.86%</w:t>
            </w:r>
          </w:p>
        </w:tc>
        <w:tc>
          <w:tcPr>
            <w:tcW w:w="1701" w:type="dxa"/>
            <w:tcBorders>
              <w:left w:val="single" w:sz="4" w:space="0" w:color="auto"/>
              <w:bottom w:val="nil"/>
              <w:right w:val="nil"/>
            </w:tcBorders>
            <w:noWrap/>
            <w:vAlign w:val="center"/>
            <w:hideMark/>
          </w:tcPr>
          <w:p w14:paraId="32DB1D8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670</w:t>
            </w:r>
          </w:p>
        </w:tc>
        <w:tc>
          <w:tcPr>
            <w:tcW w:w="1061" w:type="dxa"/>
            <w:tcBorders>
              <w:left w:val="nil"/>
              <w:bottom w:val="nil"/>
              <w:right w:val="single" w:sz="4" w:space="0" w:color="auto"/>
            </w:tcBorders>
            <w:vAlign w:val="center"/>
          </w:tcPr>
          <w:p w14:paraId="1B090EF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15.09%</w:t>
            </w:r>
          </w:p>
        </w:tc>
        <w:tc>
          <w:tcPr>
            <w:tcW w:w="1300" w:type="dxa"/>
            <w:tcBorders>
              <w:left w:val="single" w:sz="4" w:space="0" w:color="auto"/>
              <w:bottom w:val="nil"/>
            </w:tcBorders>
            <w:vAlign w:val="center"/>
          </w:tcPr>
          <w:p w14:paraId="458F559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2,863</w:t>
            </w:r>
          </w:p>
        </w:tc>
        <w:tc>
          <w:tcPr>
            <w:tcW w:w="1008" w:type="dxa"/>
            <w:tcBorders>
              <w:bottom w:val="nil"/>
              <w:right w:val="single" w:sz="4" w:space="0" w:color="auto"/>
            </w:tcBorders>
            <w:vAlign w:val="center"/>
          </w:tcPr>
          <w:p w14:paraId="26D48A5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64.47%</w:t>
            </w:r>
          </w:p>
        </w:tc>
      </w:tr>
      <w:tr w:rsidR="002418F8" w:rsidRPr="00333B81" w14:paraId="7D008883"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nil"/>
              <w:left w:val="single" w:sz="4" w:space="0" w:color="auto"/>
              <w:bottom w:val="single" w:sz="4" w:space="0" w:color="auto"/>
              <w:right w:val="single" w:sz="4" w:space="0" w:color="auto"/>
            </w:tcBorders>
            <w:noWrap/>
            <w:hideMark/>
          </w:tcPr>
          <w:p w14:paraId="1938A206"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noWrap/>
            <w:vAlign w:val="center"/>
            <w:hideMark/>
          </w:tcPr>
          <w:p w14:paraId="2CAC790D"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2,741</w:t>
            </w:r>
          </w:p>
        </w:tc>
        <w:tc>
          <w:tcPr>
            <w:tcW w:w="1008" w:type="dxa"/>
            <w:tcBorders>
              <w:top w:val="nil"/>
              <w:bottom w:val="single" w:sz="4" w:space="0" w:color="auto"/>
              <w:right w:val="single" w:sz="4" w:space="0" w:color="auto"/>
            </w:tcBorders>
            <w:vAlign w:val="center"/>
          </w:tcPr>
          <w:p w14:paraId="6FACBC64"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61.72%</w:t>
            </w:r>
          </w:p>
        </w:tc>
        <w:tc>
          <w:tcPr>
            <w:tcW w:w="1559" w:type="dxa"/>
            <w:tcBorders>
              <w:top w:val="nil"/>
              <w:left w:val="single" w:sz="4" w:space="0" w:color="auto"/>
              <w:bottom w:val="single" w:sz="4" w:space="0" w:color="auto"/>
            </w:tcBorders>
            <w:noWrap/>
            <w:vAlign w:val="center"/>
            <w:hideMark/>
          </w:tcPr>
          <w:p w14:paraId="50C42BE8"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1,700</w:t>
            </w:r>
          </w:p>
        </w:tc>
        <w:tc>
          <w:tcPr>
            <w:tcW w:w="1008" w:type="dxa"/>
            <w:tcBorders>
              <w:top w:val="nil"/>
              <w:bottom w:val="single" w:sz="4" w:space="0" w:color="auto"/>
              <w:right w:val="single" w:sz="4" w:space="0" w:color="auto"/>
            </w:tcBorders>
            <w:vAlign w:val="center"/>
          </w:tcPr>
          <w:p w14:paraId="10D54C8F"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38.28%</w:t>
            </w:r>
          </w:p>
        </w:tc>
        <w:tc>
          <w:tcPr>
            <w:tcW w:w="1560" w:type="dxa"/>
            <w:tcBorders>
              <w:top w:val="nil"/>
              <w:left w:val="single" w:sz="4" w:space="0" w:color="auto"/>
              <w:bottom w:val="single" w:sz="4" w:space="0" w:color="auto"/>
            </w:tcBorders>
            <w:noWrap/>
            <w:vAlign w:val="center"/>
            <w:hideMark/>
          </w:tcPr>
          <w:p w14:paraId="61E6C54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765</w:t>
            </w:r>
          </w:p>
        </w:tc>
        <w:tc>
          <w:tcPr>
            <w:tcW w:w="928" w:type="dxa"/>
            <w:tcBorders>
              <w:top w:val="nil"/>
              <w:bottom w:val="single" w:sz="4" w:space="0" w:color="auto"/>
              <w:right w:val="single" w:sz="4" w:space="0" w:color="auto"/>
            </w:tcBorders>
            <w:vAlign w:val="center"/>
          </w:tcPr>
          <w:p w14:paraId="6D2BA2B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17.23%</w:t>
            </w:r>
          </w:p>
        </w:tc>
        <w:tc>
          <w:tcPr>
            <w:tcW w:w="1701" w:type="dxa"/>
            <w:tcBorders>
              <w:top w:val="nil"/>
              <w:left w:val="single" w:sz="4" w:space="0" w:color="auto"/>
              <w:bottom w:val="single" w:sz="4" w:space="0" w:color="auto"/>
            </w:tcBorders>
            <w:noWrap/>
            <w:vAlign w:val="center"/>
            <w:hideMark/>
          </w:tcPr>
          <w:p w14:paraId="3E0D2EF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935</w:t>
            </w:r>
          </w:p>
        </w:tc>
        <w:tc>
          <w:tcPr>
            <w:tcW w:w="1061" w:type="dxa"/>
            <w:tcBorders>
              <w:top w:val="nil"/>
              <w:bottom w:val="single" w:sz="4" w:space="0" w:color="auto"/>
              <w:right w:val="single" w:sz="4" w:space="0" w:color="auto"/>
            </w:tcBorders>
            <w:vAlign w:val="center"/>
          </w:tcPr>
          <w:p w14:paraId="1ACFFC2C"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21.05%</w:t>
            </w:r>
          </w:p>
        </w:tc>
        <w:tc>
          <w:tcPr>
            <w:tcW w:w="1300" w:type="dxa"/>
            <w:tcBorders>
              <w:top w:val="nil"/>
              <w:left w:val="single" w:sz="4" w:space="0" w:color="auto"/>
              <w:bottom w:val="single" w:sz="4" w:space="0" w:color="auto"/>
            </w:tcBorders>
            <w:vAlign w:val="center"/>
          </w:tcPr>
          <w:p w14:paraId="3809E52C"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4,441</w:t>
            </w:r>
          </w:p>
        </w:tc>
        <w:tc>
          <w:tcPr>
            <w:tcW w:w="1008" w:type="dxa"/>
            <w:tcBorders>
              <w:top w:val="nil"/>
              <w:bottom w:val="single" w:sz="4" w:space="0" w:color="auto"/>
              <w:right w:val="single" w:sz="4" w:space="0" w:color="auto"/>
            </w:tcBorders>
            <w:vAlign w:val="center"/>
          </w:tcPr>
          <w:p w14:paraId="6EA9A3DF"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333B81">
              <w:rPr>
                <w:bCs/>
                <w:color w:val="auto"/>
                <w:sz w:val="20"/>
                <w:szCs w:val="20"/>
              </w:rPr>
              <w:t>9.07%</w:t>
            </w:r>
          </w:p>
        </w:tc>
      </w:tr>
      <w:tr w:rsidR="00333B81" w:rsidRPr="00333B81" w14:paraId="15D1D609"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1881F604"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2004</w:t>
            </w:r>
          </w:p>
        </w:tc>
        <w:tc>
          <w:tcPr>
            <w:tcW w:w="1417" w:type="dxa"/>
            <w:tcBorders>
              <w:top w:val="single" w:sz="4" w:space="0" w:color="auto"/>
              <w:left w:val="single" w:sz="4" w:space="0" w:color="auto"/>
            </w:tcBorders>
            <w:noWrap/>
            <w:hideMark/>
          </w:tcPr>
          <w:p w14:paraId="4CC7A4A2"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08" w:type="dxa"/>
            <w:tcBorders>
              <w:top w:val="single" w:sz="4" w:space="0" w:color="auto"/>
              <w:right w:val="single" w:sz="4" w:space="0" w:color="auto"/>
            </w:tcBorders>
            <w:vAlign w:val="center"/>
          </w:tcPr>
          <w:p w14:paraId="2203C900"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559" w:type="dxa"/>
            <w:tcBorders>
              <w:top w:val="single" w:sz="4" w:space="0" w:color="auto"/>
              <w:left w:val="single" w:sz="4" w:space="0" w:color="auto"/>
            </w:tcBorders>
            <w:noWrap/>
            <w:hideMark/>
          </w:tcPr>
          <w:p w14:paraId="0642B8EE"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08" w:type="dxa"/>
            <w:tcBorders>
              <w:top w:val="single" w:sz="4" w:space="0" w:color="auto"/>
              <w:right w:val="single" w:sz="4" w:space="0" w:color="auto"/>
            </w:tcBorders>
            <w:vAlign w:val="center"/>
          </w:tcPr>
          <w:p w14:paraId="48BD313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560" w:type="dxa"/>
            <w:tcBorders>
              <w:top w:val="single" w:sz="4" w:space="0" w:color="auto"/>
              <w:left w:val="single" w:sz="4" w:space="0" w:color="auto"/>
            </w:tcBorders>
            <w:noWrap/>
            <w:hideMark/>
          </w:tcPr>
          <w:p w14:paraId="1D15F202"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928" w:type="dxa"/>
            <w:tcBorders>
              <w:top w:val="single" w:sz="4" w:space="0" w:color="auto"/>
              <w:right w:val="single" w:sz="4" w:space="0" w:color="auto"/>
            </w:tcBorders>
            <w:vAlign w:val="center"/>
          </w:tcPr>
          <w:p w14:paraId="6DF20732"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701" w:type="dxa"/>
            <w:tcBorders>
              <w:top w:val="single" w:sz="4" w:space="0" w:color="auto"/>
              <w:left w:val="single" w:sz="4" w:space="0" w:color="auto"/>
              <w:right w:val="nil"/>
            </w:tcBorders>
            <w:noWrap/>
            <w:hideMark/>
          </w:tcPr>
          <w:p w14:paraId="790B0C83"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061" w:type="dxa"/>
            <w:tcBorders>
              <w:top w:val="single" w:sz="4" w:space="0" w:color="auto"/>
              <w:left w:val="nil"/>
              <w:right w:val="single" w:sz="4" w:space="0" w:color="auto"/>
            </w:tcBorders>
          </w:tcPr>
          <w:p w14:paraId="37EBE777"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00" w:type="dxa"/>
            <w:tcBorders>
              <w:top w:val="single" w:sz="4" w:space="0" w:color="auto"/>
              <w:left w:val="single" w:sz="4" w:space="0" w:color="auto"/>
            </w:tcBorders>
            <w:vAlign w:val="center"/>
          </w:tcPr>
          <w:p w14:paraId="701B8D08"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008" w:type="dxa"/>
            <w:tcBorders>
              <w:top w:val="single" w:sz="4" w:space="0" w:color="auto"/>
              <w:right w:val="single" w:sz="4" w:space="0" w:color="auto"/>
            </w:tcBorders>
            <w:vAlign w:val="center"/>
          </w:tcPr>
          <w:p w14:paraId="6BFE4CB6"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Cs/>
                <w:color w:val="auto"/>
                <w:sz w:val="20"/>
                <w:szCs w:val="20"/>
              </w:rPr>
            </w:pPr>
            <w:r w:rsidRPr="00333B81">
              <w:rPr>
                <w:bCs/>
                <w:color w:val="auto"/>
                <w:sz w:val="20"/>
                <w:szCs w:val="20"/>
              </w:rPr>
              <w:t> </w:t>
            </w:r>
          </w:p>
        </w:tc>
      </w:tr>
      <w:tr w:rsidR="006C6B06" w:rsidRPr="00333B81" w14:paraId="714EE3C4"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2E0CCABF"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3BCAD30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148</w:t>
            </w:r>
          </w:p>
        </w:tc>
        <w:tc>
          <w:tcPr>
            <w:tcW w:w="1008" w:type="dxa"/>
            <w:tcBorders>
              <w:right w:val="single" w:sz="4" w:space="0" w:color="auto"/>
            </w:tcBorders>
            <w:vAlign w:val="center"/>
          </w:tcPr>
          <w:p w14:paraId="6F0FBFD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3.20%</w:t>
            </w:r>
          </w:p>
        </w:tc>
        <w:tc>
          <w:tcPr>
            <w:tcW w:w="1559" w:type="dxa"/>
            <w:tcBorders>
              <w:left w:val="single" w:sz="4" w:space="0" w:color="auto"/>
            </w:tcBorders>
            <w:noWrap/>
            <w:vAlign w:val="center"/>
            <w:hideMark/>
          </w:tcPr>
          <w:p w14:paraId="4A3F695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45</w:t>
            </w:r>
          </w:p>
        </w:tc>
        <w:tc>
          <w:tcPr>
            <w:tcW w:w="1008" w:type="dxa"/>
            <w:tcBorders>
              <w:right w:val="single" w:sz="4" w:space="0" w:color="auto"/>
            </w:tcBorders>
            <w:vAlign w:val="center"/>
          </w:tcPr>
          <w:p w14:paraId="7DB8ADA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0.97%</w:t>
            </w:r>
          </w:p>
        </w:tc>
        <w:tc>
          <w:tcPr>
            <w:tcW w:w="1560" w:type="dxa"/>
            <w:tcBorders>
              <w:left w:val="single" w:sz="4" w:space="0" w:color="auto"/>
            </w:tcBorders>
            <w:noWrap/>
            <w:vAlign w:val="center"/>
            <w:hideMark/>
          </w:tcPr>
          <w:p w14:paraId="30E9EBD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25</w:t>
            </w:r>
          </w:p>
        </w:tc>
        <w:tc>
          <w:tcPr>
            <w:tcW w:w="928" w:type="dxa"/>
            <w:tcBorders>
              <w:right w:val="single" w:sz="4" w:space="0" w:color="auto"/>
            </w:tcBorders>
            <w:vAlign w:val="center"/>
          </w:tcPr>
          <w:p w14:paraId="1909050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0.54%</w:t>
            </w:r>
          </w:p>
        </w:tc>
        <w:tc>
          <w:tcPr>
            <w:tcW w:w="1701" w:type="dxa"/>
            <w:tcBorders>
              <w:left w:val="single" w:sz="4" w:space="0" w:color="auto"/>
            </w:tcBorders>
            <w:noWrap/>
            <w:vAlign w:val="center"/>
            <w:hideMark/>
          </w:tcPr>
          <w:p w14:paraId="0A137FD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20</w:t>
            </w:r>
          </w:p>
        </w:tc>
        <w:tc>
          <w:tcPr>
            <w:tcW w:w="1061" w:type="dxa"/>
            <w:tcBorders>
              <w:right w:val="single" w:sz="4" w:space="0" w:color="auto"/>
            </w:tcBorders>
            <w:vAlign w:val="center"/>
          </w:tcPr>
          <w:p w14:paraId="291B425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0.43%</w:t>
            </w:r>
          </w:p>
        </w:tc>
        <w:tc>
          <w:tcPr>
            <w:tcW w:w="1300" w:type="dxa"/>
            <w:tcBorders>
              <w:left w:val="single" w:sz="4" w:space="0" w:color="auto"/>
            </w:tcBorders>
            <w:vAlign w:val="center"/>
          </w:tcPr>
          <w:p w14:paraId="15CC5C5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193</w:t>
            </w:r>
          </w:p>
        </w:tc>
        <w:tc>
          <w:tcPr>
            <w:tcW w:w="1008" w:type="dxa"/>
            <w:tcBorders>
              <w:right w:val="single" w:sz="4" w:space="0" w:color="auto"/>
            </w:tcBorders>
            <w:vAlign w:val="center"/>
          </w:tcPr>
          <w:p w14:paraId="5BFF6EE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4.17%</w:t>
            </w:r>
          </w:p>
        </w:tc>
      </w:tr>
      <w:tr w:rsidR="006C6B06" w:rsidRPr="00333B81" w14:paraId="2170B6ED"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A84D175"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54646E1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35</w:t>
            </w:r>
          </w:p>
        </w:tc>
        <w:tc>
          <w:tcPr>
            <w:tcW w:w="1008" w:type="dxa"/>
            <w:tcBorders>
              <w:right w:val="single" w:sz="4" w:space="0" w:color="auto"/>
            </w:tcBorders>
            <w:vAlign w:val="center"/>
          </w:tcPr>
          <w:p w14:paraId="2BDF3FB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0.76%</w:t>
            </w:r>
          </w:p>
        </w:tc>
        <w:tc>
          <w:tcPr>
            <w:tcW w:w="1559" w:type="dxa"/>
            <w:tcBorders>
              <w:left w:val="single" w:sz="4" w:space="0" w:color="auto"/>
            </w:tcBorders>
            <w:noWrap/>
            <w:vAlign w:val="center"/>
            <w:hideMark/>
          </w:tcPr>
          <w:p w14:paraId="2E9B480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22</w:t>
            </w:r>
          </w:p>
        </w:tc>
        <w:tc>
          <w:tcPr>
            <w:tcW w:w="1008" w:type="dxa"/>
            <w:tcBorders>
              <w:right w:val="single" w:sz="4" w:space="0" w:color="auto"/>
            </w:tcBorders>
            <w:vAlign w:val="center"/>
          </w:tcPr>
          <w:p w14:paraId="1626655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0.47%</w:t>
            </w:r>
          </w:p>
        </w:tc>
        <w:tc>
          <w:tcPr>
            <w:tcW w:w="1560" w:type="dxa"/>
            <w:tcBorders>
              <w:left w:val="single" w:sz="4" w:space="0" w:color="auto"/>
            </w:tcBorders>
            <w:noWrap/>
            <w:vAlign w:val="center"/>
            <w:hideMark/>
          </w:tcPr>
          <w:p w14:paraId="5A0ABB0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19</w:t>
            </w:r>
          </w:p>
        </w:tc>
        <w:tc>
          <w:tcPr>
            <w:tcW w:w="928" w:type="dxa"/>
            <w:tcBorders>
              <w:right w:val="single" w:sz="4" w:space="0" w:color="auto"/>
            </w:tcBorders>
            <w:vAlign w:val="center"/>
          </w:tcPr>
          <w:p w14:paraId="68B6087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0.41%</w:t>
            </w:r>
          </w:p>
        </w:tc>
        <w:tc>
          <w:tcPr>
            <w:tcW w:w="1701" w:type="dxa"/>
            <w:tcBorders>
              <w:left w:val="single" w:sz="4" w:space="0" w:color="auto"/>
              <w:right w:val="nil"/>
            </w:tcBorders>
            <w:noWrap/>
            <w:vAlign w:val="center"/>
            <w:hideMark/>
          </w:tcPr>
          <w:p w14:paraId="2A704A1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w:t>
            </w:r>
          </w:p>
        </w:tc>
        <w:tc>
          <w:tcPr>
            <w:tcW w:w="1061" w:type="dxa"/>
            <w:tcBorders>
              <w:left w:val="nil"/>
              <w:right w:val="single" w:sz="4" w:space="0" w:color="auto"/>
            </w:tcBorders>
            <w:vAlign w:val="center"/>
          </w:tcPr>
          <w:p w14:paraId="30D68A4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0.06%</w:t>
            </w:r>
          </w:p>
        </w:tc>
        <w:tc>
          <w:tcPr>
            <w:tcW w:w="1300" w:type="dxa"/>
            <w:tcBorders>
              <w:left w:val="single" w:sz="4" w:space="0" w:color="auto"/>
            </w:tcBorders>
            <w:vAlign w:val="center"/>
          </w:tcPr>
          <w:p w14:paraId="3182A0C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57</w:t>
            </w:r>
          </w:p>
        </w:tc>
        <w:tc>
          <w:tcPr>
            <w:tcW w:w="1008" w:type="dxa"/>
            <w:tcBorders>
              <w:right w:val="single" w:sz="4" w:space="0" w:color="auto"/>
            </w:tcBorders>
            <w:vAlign w:val="center"/>
          </w:tcPr>
          <w:p w14:paraId="7B5FB35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1.23%</w:t>
            </w:r>
          </w:p>
        </w:tc>
      </w:tr>
      <w:tr w:rsidR="006C6B06" w:rsidRPr="00333B81" w14:paraId="22E19412"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C266827"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68769A0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473</w:t>
            </w:r>
          </w:p>
        </w:tc>
        <w:tc>
          <w:tcPr>
            <w:tcW w:w="1008" w:type="dxa"/>
            <w:tcBorders>
              <w:right w:val="single" w:sz="4" w:space="0" w:color="auto"/>
            </w:tcBorders>
            <w:vAlign w:val="center"/>
          </w:tcPr>
          <w:p w14:paraId="28FED95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10.21%</w:t>
            </w:r>
          </w:p>
        </w:tc>
        <w:tc>
          <w:tcPr>
            <w:tcW w:w="1559" w:type="dxa"/>
            <w:tcBorders>
              <w:left w:val="single" w:sz="4" w:space="0" w:color="auto"/>
            </w:tcBorders>
            <w:noWrap/>
            <w:vAlign w:val="center"/>
            <w:hideMark/>
          </w:tcPr>
          <w:p w14:paraId="53E4317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368</w:t>
            </w:r>
          </w:p>
        </w:tc>
        <w:tc>
          <w:tcPr>
            <w:tcW w:w="1008" w:type="dxa"/>
            <w:tcBorders>
              <w:right w:val="single" w:sz="4" w:space="0" w:color="auto"/>
            </w:tcBorders>
            <w:vAlign w:val="center"/>
          </w:tcPr>
          <w:p w14:paraId="744BC80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7.94%</w:t>
            </w:r>
          </w:p>
        </w:tc>
        <w:tc>
          <w:tcPr>
            <w:tcW w:w="1560" w:type="dxa"/>
            <w:tcBorders>
              <w:left w:val="single" w:sz="4" w:space="0" w:color="auto"/>
            </w:tcBorders>
            <w:noWrap/>
            <w:vAlign w:val="center"/>
            <w:hideMark/>
          </w:tcPr>
          <w:p w14:paraId="1A44934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213</w:t>
            </w:r>
          </w:p>
        </w:tc>
        <w:tc>
          <w:tcPr>
            <w:tcW w:w="928" w:type="dxa"/>
            <w:tcBorders>
              <w:right w:val="single" w:sz="4" w:space="0" w:color="auto"/>
            </w:tcBorders>
            <w:vAlign w:val="center"/>
          </w:tcPr>
          <w:p w14:paraId="53D3A8A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4.60%</w:t>
            </w:r>
          </w:p>
        </w:tc>
        <w:tc>
          <w:tcPr>
            <w:tcW w:w="1701" w:type="dxa"/>
            <w:tcBorders>
              <w:left w:val="single" w:sz="4" w:space="0" w:color="auto"/>
            </w:tcBorders>
            <w:noWrap/>
            <w:vAlign w:val="center"/>
            <w:hideMark/>
          </w:tcPr>
          <w:p w14:paraId="79F99A3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155</w:t>
            </w:r>
          </w:p>
        </w:tc>
        <w:tc>
          <w:tcPr>
            <w:tcW w:w="1061" w:type="dxa"/>
            <w:tcBorders>
              <w:right w:val="single" w:sz="4" w:space="0" w:color="auto"/>
            </w:tcBorders>
            <w:vAlign w:val="center"/>
          </w:tcPr>
          <w:p w14:paraId="779DBC0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3.35%</w:t>
            </w:r>
          </w:p>
        </w:tc>
        <w:tc>
          <w:tcPr>
            <w:tcW w:w="1300" w:type="dxa"/>
            <w:tcBorders>
              <w:left w:val="single" w:sz="4" w:space="0" w:color="auto"/>
            </w:tcBorders>
            <w:vAlign w:val="center"/>
          </w:tcPr>
          <w:p w14:paraId="7943D54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841</w:t>
            </w:r>
          </w:p>
        </w:tc>
        <w:tc>
          <w:tcPr>
            <w:tcW w:w="1008" w:type="dxa"/>
            <w:tcBorders>
              <w:right w:val="single" w:sz="4" w:space="0" w:color="auto"/>
            </w:tcBorders>
            <w:vAlign w:val="center"/>
          </w:tcPr>
          <w:p w14:paraId="3A59D23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18.16%</w:t>
            </w:r>
          </w:p>
        </w:tc>
      </w:tr>
      <w:tr w:rsidR="006C6B06" w:rsidRPr="00333B81" w14:paraId="7603DB77"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42FA2A17"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122D8D0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305</w:t>
            </w:r>
          </w:p>
        </w:tc>
        <w:tc>
          <w:tcPr>
            <w:tcW w:w="1008" w:type="dxa"/>
            <w:tcBorders>
              <w:right w:val="single" w:sz="4" w:space="0" w:color="auto"/>
            </w:tcBorders>
            <w:vAlign w:val="center"/>
          </w:tcPr>
          <w:p w14:paraId="7886E7E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6.58%</w:t>
            </w:r>
          </w:p>
        </w:tc>
        <w:tc>
          <w:tcPr>
            <w:tcW w:w="1559" w:type="dxa"/>
            <w:tcBorders>
              <w:left w:val="single" w:sz="4" w:space="0" w:color="auto"/>
            </w:tcBorders>
            <w:noWrap/>
            <w:vAlign w:val="center"/>
            <w:hideMark/>
          </w:tcPr>
          <w:p w14:paraId="6A7B7DE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165</w:t>
            </w:r>
          </w:p>
        </w:tc>
        <w:tc>
          <w:tcPr>
            <w:tcW w:w="1008" w:type="dxa"/>
            <w:tcBorders>
              <w:right w:val="single" w:sz="4" w:space="0" w:color="auto"/>
            </w:tcBorders>
            <w:vAlign w:val="center"/>
          </w:tcPr>
          <w:p w14:paraId="1E990F6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3.56%</w:t>
            </w:r>
          </w:p>
        </w:tc>
        <w:tc>
          <w:tcPr>
            <w:tcW w:w="1560" w:type="dxa"/>
            <w:tcBorders>
              <w:left w:val="single" w:sz="4" w:space="0" w:color="auto"/>
            </w:tcBorders>
            <w:noWrap/>
            <w:vAlign w:val="center"/>
            <w:hideMark/>
          </w:tcPr>
          <w:p w14:paraId="70F0ED7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73</w:t>
            </w:r>
          </w:p>
        </w:tc>
        <w:tc>
          <w:tcPr>
            <w:tcW w:w="928" w:type="dxa"/>
            <w:tcBorders>
              <w:right w:val="single" w:sz="4" w:space="0" w:color="auto"/>
            </w:tcBorders>
            <w:vAlign w:val="center"/>
          </w:tcPr>
          <w:p w14:paraId="65D38CA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1.58%</w:t>
            </w:r>
          </w:p>
        </w:tc>
        <w:tc>
          <w:tcPr>
            <w:tcW w:w="1701" w:type="dxa"/>
            <w:tcBorders>
              <w:left w:val="single" w:sz="4" w:space="0" w:color="auto"/>
              <w:right w:val="nil"/>
            </w:tcBorders>
            <w:noWrap/>
            <w:vAlign w:val="center"/>
            <w:hideMark/>
          </w:tcPr>
          <w:p w14:paraId="7FC8D8E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92</w:t>
            </w:r>
          </w:p>
        </w:tc>
        <w:tc>
          <w:tcPr>
            <w:tcW w:w="1061" w:type="dxa"/>
            <w:tcBorders>
              <w:left w:val="nil"/>
              <w:right w:val="single" w:sz="4" w:space="0" w:color="auto"/>
            </w:tcBorders>
            <w:vAlign w:val="center"/>
          </w:tcPr>
          <w:p w14:paraId="57372DF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1.99%</w:t>
            </w:r>
          </w:p>
        </w:tc>
        <w:tc>
          <w:tcPr>
            <w:tcW w:w="1300" w:type="dxa"/>
            <w:tcBorders>
              <w:left w:val="single" w:sz="4" w:space="0" w:color="auto"/>
            </w:tcBorders>
            <w:vAlign w:val="center"/>
          </w:tcPr>
          <w:p w14:paraId="7AEBB20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470</w:t>
            </w:r>
          </w:p>
        </w:tc>
        <w:tc>
          <w:tcPr>
            <w:tcW w:w="1008" w:type="dxa"/>
            <w:tcBorders>
              <w:right w:val="single" w:sz="4" w:space="0" w:color="auto"/>
            </w:tcBorders>
            <w:vAlign w:val="center"/>
          </w:tcPr>
          <w:p w14:paraId="3F1A7B9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10.15%</w:t>
            </w:r>
          </w:p>
        </w:tc>
      </w:tr>
      <w:tr w:rsidR="006C6B06" w:rsidRPr="00333B81" w14:paraId="76CE3CF8"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0D076A5B"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7087DDE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w:t>
            </w:r>
          </w:p>
        </w:tc>
        <w:tc>
          <w:tcPr>
            <w:tcW w:w="1008" w:type="dxa"/>
            <w:tcBorders>
              <w:right w:val="single" w:sz="4" w:space="0" w:color="auto"/>
            </w:tcBorders>
            <w:vAlign w:val="center"/>
          </w:tcPr>
          <w:p w14:paraId="2759C82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0.30%</w:t>
            </w:r>
          </w:p>
        </w:tc>
        <w:tc>
          <w:tcPr>
            <w:tcW w:w="1559" w:type="dxa"/>
            <w:tcBorders>
              <w:left w:val="single" w:sz="4" w:space="0" w:color="auto"/>
            </w:tcBorders>
            <w:noWrap/>
            <w:vAlign w:val="center"/>
            <w:hideMark/>
          </w:tcPr>
          <w:p w14:paraId="3A5F7DB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w:t>
            </w:r>
          </w:p>
        </w:tc>
        <w:tc>
          <w:tcPr>
            <w:tcW w:w="1008" w:type="dxa"/>
            <w:tcBorders>
              <w:right w:val="single" w:sz="4" w:space="0" w:color="auto"/>
            </w:tcBorders>
            <w:vAlign w:val="center"/>
          </w:tcPr>
          <w:p w14:paraId="7C66CC9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0.19%</w:t>
            </w:r>
          </w:p>
        </w:tc>
        <w:tc>
          <w:tcPr>
            <w:tcW w:w="1560" w:type="dxa"/>
            <w:tcBorders>
              <w:left w:val="single" w:sz="4" w:space="0" w:color="auto"/>
            </w:tcBorders>
            <w:noWrap/>
            <w:vAlign w:val="center"/>
            <w:hideMark/>
          </w:tcPr>
          <w:p w14:paraId="0EC49BE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w:t>
            </w:r>
          </w:p>
        </w:tc>
        <w:tc>
          <w:tcPr>
            <w:tcW w:w="928" w:type="dxa"/>
            <w:tcBorders>
              <w:right w:val="single" w:sz="4" w:space="0" w:color="auto"/>
            </w:tcBorders>
            <w:vAlign w:val="center"/>
          </w:tcPr>
          <w:p w14:paraId="279D799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0.06%</w:t>
            </w:r>
          </w:p>
        </w:tc>
        <w:tc>
          <w:tcPr>
            <w:tcW w:w="1701" w:type="dxa"/>
            <w:tcBorders>
              <w:left w:val="single" w:sz="4" w:space="0" w:color="auto"/>
            </w:tcBorders>
            <w:noWrap/>
            <w:vAlign w:val="center"/>
            <w:hideMark/>
          </w:tcPr>
          <w:p w14:paraId="5F4E175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w:t>
            </w:r>
          </w:p>
        </w:tc>
        <w:tc>
          <w:tcPr>
            <w:tcW w:w="1061" w:type="dxa"/>
            <w:tcBorders>
              <w:right w:val="single" w:sz="4" w:space="0" w:color="auto"/>
            </w:tcBorders>
            <w:vAlign w:val="center"/>
          </w:tcPr>
          <w:p w14:paraId="51E2C9C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0.13%</w:t>
            </w:r>
          </w:p>
        </w:tc>
        <w:tc>
          <w:tcPr>
            <w:tcW w:w="1300" w:type="dxa"/>
            <w:tcBorders>
              <w:left w:val="single" w:sz="4" w:space="0" w:color="auto"/>
            </w:tcBorders>
            <w:vAlign w:val="center"/>
          </w:tcPr>
          <w:p w14:paraId="0464FC8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23</w:t>
            </w:r>
          </w:p>
        </w:tc>
        <w:tc>
          <w:tcPr>
            <w:tcW w:w="1008" w:type="dxa"/>
            <w:tcBorders>
              <w:right w:val="single" w:sz="4" w:space="0" w:color="auto"/>
            </w:tcBorders>
            <w:vAlign w:val="center"/>
          </w:tcPr>
          <w:p w14:paraId="31391B0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0.50%</w:t>
            </w:r>
          </w:p>
        </w:tc>
      </w:tr>
      <w:tr w:rsidR="006C6B06" w:rsidRPr="00333B81" w14:paraId="040F8E51"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6105F219"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3C259A9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975</w:t>
            </w:r>
          </w:p>
        </w:tc>
        <w:tc>
          <w:tcPr>
            <w:tcW w:w="1008" w:type="dxa"/>
            <w:tcBorders>
              <w:right w:val="single" w:sz="4" w:space="0" w:color="auto"/>
            </w:tcBorders>
            <w:vAlign w:val="center"/>
          </w:tcPr>
          <w:p w14:paraId="09A8C08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21.05%</w:t>
            </w:r>
          </w:p>
        </w:tc>
        <w:tc>
          <w:tcPr>
            <w:tcW w:w="1559" w:type="dxa"/>
            <w:tcBorders>
              <w:left w:val="single" w:sz="4" w:space="0" w:color="auto"/>
            </w:tcBorders>
            <w:noWrap/>
            <w:vAlign w:val="center"/>
            <w:hideMark/>
          </w:tcPr>
          <w:p w14:paraId="29EF499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609</w:t>
            </w:r>
          </w:p>
        </w:tc>
        <w:tc>
          <w:tcPr>
            <w:tcW w:w="1008" w:type="dxa"/>
            <w:tcBorders>
              <w:right w:val="single" w:sz="4" w:space="0" w:color="auto"/>
            </w:tcBorders>
            <w:vAlign w:val="center"/>
          </w:tcPr>
          <w:p w14:paraId="5BE82A4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13.15%</w:t>
            </w:r>
          </w:p>
        </w:tc>
        <w:tc>
          <w:tcPr>
            <w:tcW w:w="1560" w:type="dxa"/>
            <w:tcBorders>
              <w:left w:val="single" w:sz="4" w:space="0" w:color="auto"/>
            </w:tcBorders>
            <w:noWrap/>
            <w:vAlign w:val="center"/>
            <w:hideMark/>
          </w:tcPr>
          <w:p w14:paraId="74AAFDF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333</w:t>
            </w:r>
          </w:p>
        </w:tc>
        <w:tc>
          <w:tcPr>
            <w:tcW w:w="928" w:type="dxa"/>
            <w:tcBorders>
              <w:right w:val="single" w:sz="4" w:space="0" w:color="auto"/>
            </w:tcBorders>
            <w:vAlign w:val="center"/>
          </w:tcPr>
          <w:p w14:paraId="5EDE0FE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7.19%</w:t>
            </w:r>
          </w:p>
        </w:tc>
        <w:tc>
          <w:tcPr>
            <w:tcW w:w="1701" w:type="dxa"/>
            <w:tcBorders>
              <w:left w:val="single" w:sz="4" w:space="0" w:color="auto"/>
              <w:right w:val="nil"/>
            </w:tcBorders>
            <w:noWrap/>
            <w:vAlign w:val="center"/>
            <w:hideMark/>
          </w:tcPr>
          <w:p w14:paraId="0815C24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276</w:t>
            </w:r>
          </w:p>
        </w:tc>
        <w:tc>
          <w:tcPr>
            <w:tcW w:w="1061" w:type="dxa"/>
            <w:tcBorders>
              <w:left w:val="nil"/>
              <w:right w:val="single" w:sz="4" w:space="0" w:color="auto"/>
            </w:tcBorders>
            <w:vAlign w:val="center"/>
          </w:tcPr>
          <w:p w14:paraId="45C9F23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5.96%</w:t>
            </w:r>
          </w:p>
        </w:tc>
        <w:tc>
          <w:tcPr>
            <w:tcW w:w="1300" w:type="dxa"/>
            <w:tcBorders>
              <w:left w:val="single" w:sz="4" w:space="0" w:color="auto"/>
            </w:tcBorders>
            <w:vAlign w:val="center"/>
          </w:tcPr>
          <w:p w14:paraId="6F5DB6B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1,584</w:t>
            </w:r>
          </w:p>
        </w:tc>
        <w:tc>
          <w:tcPr>
            <w:tcW w:w="1008" w:type="dxa"/>
            <w:tcBorders>
              <w:right w:val="single" w:sz="4" w:space="0" w:color="auto"/>
            </w:tcBorders>
            <w:vAlign w:val="center"/>
          </w:tcPr>
          <w:p w14:paraId="7938688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34.20%</w:t>
            </w:r>
          </w:p>
        </w:tc>
      </w:tr>
      <w:tr w:rsidR="006C6B06" w:rsidRPr="00333B81" w14:paraId="2EEE0BEF"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nil"/>
              <w:right w:val="single" w:sz="4" w:space="0" w:color="auto"/>
            </w:tcBorders>
            <w:noWrap/>
            <w:vAlign w:val="center"/>
            <w:hideMark/>
          </w:tcPr>
          <w:p w14:paraId="63D3699A"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bottom w:val="nil"/>
            </w:tcBorders>
            <w:noWrap/>
            <w:vAlign w:val="center"/>
            <w:hideMark/>
          </w:tcPr>
          <w:p w14:paraId="4087314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1,825</w:t>
            </w:r>
          </w:p>
        </w:tc>
        <w:tc>
          <w:tcPr>
            <w:tcW w:w="1008" w:type="dxa"/>
            <w:tcBorders>
              <w:bottom w:val="nil"/>
              <w:right w:val="single" w:sz="4" w:space="0" w:color="auto"/>
            </w:tcBorders>
            <w:vAlign w:val="center"/>
          </w:tcPr>
          <w:p w14:paraId="1D7A660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39.40%</w:t>
            </w:r>
          </w:p>
        </w:tc>
        <w:tc>
          <w:tcPr>
            <w:tcW w:w="1559" w:type="dxa"/>
            <w:tcBorders>
              <w:left w:val="single" w:sz="4" w:space="0" w:color="auto"/>
              <w:bottom w:val="nil"/>
            </w:tcBorders>
            <w:noWrap/>
            <w:vAlign w:val="center"/>
            <w:hideMark/>
          </w:tcPr>
          <w:p w14:paraId="7BAA0B3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1,223</w:t>
            </w:r>
          </w:p>
        </w:tc>
        <w:tc>
          <w:tcPr>
            <w:tcW w:w="1008" w:type="dxa"/>
            <w:tcBorders>
              <w:bottom w:val="nil"/>
              <w:right w:val="single" w:sz="4" w:space="0" w:color="auto"/>
            </w:tcBorders>
            <w:vAlign w:val="center"/>
          </w:tcPr>
          <w:p w14:paraId="457C240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26.40%</w:t>
            </w:r>
          </w:p>
        </w:tc>
        <w:tc>
          <w:tcPr>
            <w:tcW w:w="1560" w:type="dxa"/>
            <w:tcBorders>
              <w:left w:val="single" w:sz="4" w:space="0" w:color="auto"/>
              <w:bottom w:val="nil"/>
            </w:tcBorders>
            <w:noWrap/>
            <w:vAlign w:val="center"/>
            <w:hideMark/>
          </w:tcPr>
          <w:p w14:paraId="467FEB0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571</w:t>
            </w:r>
          </w:p>
        </w:tc>
        <w:tc>
          <w:tcPr>
            <w:tcW w:w="928" w:type="dxa"/>
            <w:tcBorders>
              <w:bottom w:val="nil"/>
              <w:right w:val="single" w:sz="4" w:space="0" w:color="auto"/>
            </w:tcBorders>
            <w:vAlign w:val="center"/>
          </w:tcPr>
          <w:p w14:paraId="346933E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12.33%</w:t>
            </w:r>
          </w:p>
        </w:tc>
        <w:tc>
          <w:tcPr>
            <w:tcW w:w="1701" w:type="dxa"/>
            <w:tcBorders>
              <w:left w:val="single" w:sz="4" w:space="0" w:color="auto"/>
              <w:bottom w:val="nil"/>
            </w:tcBorders>
            <w:noWrap/>
            <w:vAlign w:val="center"/>
            <w:hideMark/>
          </w:tcPr>
          <w:p w14:paraId="42F816A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652</w:t>
            </w:r>
          </w:p>
        </w:tc>
        <w:tc>
          <w:tcPr>
            <w:tcW w:w="1061" w:type="dxa"/>
            <w:tcBorders>
              <w:bottom w:val="nil"/>
              <w:right w:val="single" w:sz="4" w:space="0" w:color="auto"/>
            </w:tcBorders>
            <w:vAlign w:val="center"/>
          </w:tcPr>
          <w:p w14:paraId="4288FAC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14.08%</w:t>
            </w:r>
          </w:p>
        </w:tc>
        <w:tc>
          <w:tcPr>
            <w:tcW w:w="1300" w:type="dxa"/>
            <w:tcBorders>
              <w:left w:val="single" w:sz="4" w:space="0" w:color="auto"/>
              <w:bottom w:val="nil"/>
            </w:tcBorders>
            <w:vAlign w:val="center"/>
          </w:tcPr>
          <w:p w14:paraId="1C0A5BE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3,048</w:t>
            </w:r>
          </w:p>
        </w:tc>
        <w:tc>
          <w:tcPr>
            <w:tcW w:w="1008" w:type="dxa"/>
            <w:tcBorders>
              <w:bottom w:val="nil"/>
              <w:right w:val="single" w:sz="4" w:space="0" w:color="auto"/>
            </w:tcBorders>
            <w:vAlign w:val="center"/>
          </w:tcPr>
          <w:p w14:paraId="5475313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65.80%</w:t>
            </w:r>
          </w:p>
        </w:tc>
      </w:tr>
      <w:tr w:rsidR="00333B81" w:rsidRPr="00333B81" w14:paraId="16AD10B3"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nil"/>
              <w:left w:val="single" w:sz="4" w:space="0" w:color="auto"/>
              <w:bottom w:val="single" w:sz="4" w:space="0" w:color="auto"/>
              <w:right w:val="single" w:sz="4" w:space="0" w:color="auto"/>
            </w:tcBorders>
            <w:noWrap/>
            <w:hideMark/>
          </w:tcPr>
          <w:p w14:paraId="7D4C9A73"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noWrap/>
            <w:vAlign w:val="center"/>
            <w:hideMark/>
          </w:tcPr>
          <w:p w14:paraId="7ECE2AAE"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2,800</w:t>
            </w:r>
          </w:p>
        </w:tc>
        <w:tc>
          <w:tcPr>
            <w:tcW w:w="1008" w:type="dxa"/>
            <w:tcBorders>
              <w:top w:val="nil"/>
              <w:bottom w:val="single" w:sz="4" w:space="0" w:color="auto"/>
              <w:right w:val="single" w:sz="4" w:space="0" w:color="auto"/>
            </w:tcBorders>
            <w:vAlign w:val="center"/>
          </w:tcPr>
          <w:p w14:paraId="46484D9F"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60.45%</w:t>
            </w:r>
          </w:p>
        </w:tc>
        <w:tc>
          <w:tcPr>
            <w:tcW w:w="1559" w:type="dxa"/>
            <w:tcBorders>
              <w:top w:val="nil"/>
              <w:left w:val="single" w:sz="4" w:space="0" w:color="auto"/>
              <w:bottom w:val="single" w:sz="4" w:space="0" w:color="auto"/>
            </w:tcBorders>
            <w:noWrap/>
            <w:vAlign w:val="center"/>
            <w:hideMark/>
          </w:tcPr>
          <w:p w14:paraId="5ED6A2B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1,832</w:t>
            </w:r>
          </w:p>
        </w:tc>
        <w:tc>
          <w:tcPr>
            <w:tcW w:w="1008" w:type="dxa"/>
            <w:tcBorders>
              <w:top w:val="nil"/>
              <w:bottom w:val="single" w:sz="4" w:space="0" w:color="auto"/>
              <w:right w:val="single" w:sz="4" w:space="0" w:color="auto"/>
            </w:tcBorders>
            <w:vAlign w:val="center"/>
          </w:tcPr>
          <w:p w14:paraId="6B2CBA5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39.55%</w:t>
            </w:r>
          </w:p>
        </w:tc>
        <w:tc>
          <w:tcPr>
            <w:tcW w:w="1560" w:type="dxa"/>
            <w:tcBorders>
              <w:top w:val="nil"/>
              <w:left w:val="single" w:sz="4" w:space="0" w:color="auto"/>
              <w:bottom w:val="single" w:sz="4" w:space="0" w:color="auto"/>
            </w:tcBorders>
            <w:noWrap/>
            <w:vAlign w:val="center"/>
            <w:hideMark/>
          </w:tcPr>
          <w:p w14:paraId="2DF58B7A"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904</w:t>
            </w:r>
          </w:p>
        </w:tc>
        <w:tc>
          <w:tcPr>
            <w:tcW w:w="928" w:type="dxa"/>
            <w:tcBorders>
              <w:top w:val="nil"/>
              <w:bottom w:val="single" w:sz="4" w:space="0" w:color="auto"/>
              <w:right w:val="single" w:sz="4" w:space="0" w:color="auto"/>
            </w:tcBorders>
            <w:vAlign w:val="center"/>
          </w:tcPr>
          <w:p w14:paraId="3FF4822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19.52%</w:t>
            </w:r>
          </w:p>
        </w:tc>
        <w:tc>
          <w:tcPr>
            <w:tcW w:w="1701" w:type="dxa"/>
            <w:tcBorders>
              <w:top w:val="nil"/>
              <w:left w:val="single" w:sz="4" w:space="0" w:color="auto"/>
              <w:bottom w:val="single" w:sz="4" w:space="0" w:color="auto"/>
              <w:right w:val="nil"/>
            </w:tcBorders>
            <w:noWrap/>
            <w:vAlign w:val="center"/>
            <w:hideMark/>
          </w:tcPr>
          <w:p w14:paraId="2231691C"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928</w:t>
            </w:r>
          </w:p>
        </w:tc>
        <w:tc>
          <w:tcPr>
            <w:tcW w:w="1061" w:type="dxa"/>
            <w:tcBorders>
              <w:top w:val="nil"/>
              <w:left w:val="nil"/>
              <w:bottom w:val="single" w:sz="4" w:space="0" w:color="auto"/>
              <w:right w:val="single" w:sz="4" w:space="0" w:color="auto"/>
            </w:tcBorders>
            <w:vAlign w:val="center"/>
          </w:tcPr>
          <w:p w14:paraId="5C9A1C5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20.03%</w:t>
            </w:r>
          </w:p>
        </w:tc>
        <w:tc>
          <w:tcPr>
            <w:tcW w:w="1300" w:type="dxa"/>
            <w:tcBorders>
              <w:top w:val="nil"/>
              <w:left w:val="single" w:sz="4" w:space="0" w:color="auto"/>
              <w:bottom w:val="single" w:sz="4" w:space="0" w:color="auto"/>
            </w:tcBorders>
            <w:vAlign w:val="center"/>
          </w:tcPr>
          <w:p w14:paraId="1F3DB575"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4,632</w:t>
            </w:r>
          </w:p>
        </w:tc>
        <w:tc>
          <w:tcPr>
            <w:tcW w:w="1008" w:type="dxa"/>
            <w:tcBorders>
              <w:top w:val="nil"/>
              <w:bottom w:val="single" w:sz="4" w:space="0" w:color="auto"/>
              <w:right w:val="single" w:sz="4" w:space="0" w:color="auto"/>
            </w:tcBorders>
            <w:vAlign w:val="center"/>
          </w:tcPr>
          <w:p w14:paraId="1D671569"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9.46%</w:t>
            </w:r>
          </w:p>
        </w:tc>
      </w:tr>
    </w:tbl>
    <w:p w14:paraId="0866554F" w14:textId="77777777" w:rsidR="006C6B06" w:rsidRDefault="006C6B06" w:rsidP="00CE2FDF">
      <w:pPr>
        <w:spacing w:before="0"/>
      </w:pPr>
      <w:r>
        <w:rPr>
          <w:b/>
          <w:bCs/>
        </w:rPr>
        <w:br w:type="page"/>
      </w:r>
    </w:p>
    <w:tbl>
      <w:tblPr>
        <w:tblStyle w:val="LightShading-Accent2"/>
        <w:tblW w:w="14786" w:type="dxa"/>
        <w:tblLook w:val="04A0" w:firstRow="1" w:lastRow="0" w:firstColumn="1" w:lastColumn="0" w:noHBand="0" w:noVBand="1"/>
        <w:tblCaption w:val="Number of reports of sexual abuse, by year, reporter group, and outcome"/>
      </w:tblPr>
      <w:tblGrid>
        <w:gridCol w:w="2236"/>
        <w:gridCol w:w="1417"/>
        <w:gridCol w:w="1008"/>
        <w:gridCol w:w="1559"/>
        <w:gridCol w:w="1008"/>
        <w:gridCol w:w="1560"/>
        <w:gridCol w:w="928"/>
        <w:gridCol w:w="1701"/>
        <w:gridCol w:w="1061"/>
        <w:gridCol w:w="1300"/>
        <w:gridCol w:w="1008"/>
      </w:tblGrid>
      <w:tr w:rsidR="006C6B06" w:rsidRPr="00333B81" w14:paraId="578C4638"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58E3669A" w14:textId="77777777" w:rsidR="006C6B06" w:rsidRPr="00333B81" w:rsidRDefault="006C6B06" w:rsidP="00CE2FDF">
            <w:pPr>
              <w:tabs>
                <w:tab w:val="left" w:pos="1134"/>
              </w:tabs>
              <w:spacing w:before="0" w:line="276" w:lineRule="auto"/>
              <w:jc w:val="center"/>
              <w:rPr>
                <w:rFonts w:eastAsia="Times New Roman" w:cs="Arial"/>
                <w:color w:val="auto"/>
                <w:sz w:val="20"/>
                <w:szCs w:val="20"/>
                <w:lang w:eastAsia="en-AU"/>
              </w:rPr>
            </w:pPr>
          </w:p>
        </w:tc>
        <w:tc>
          <w:tcPr>
            <w:tcW w:w="2425"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6E416E9"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Not investigated</w:t>
            </w:r>
          </w:p>
        </w:tc>
        <w:tc>
          <w:tcPr>
            <w:tcW w:w="2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74FB0E1"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Investigated</w:t>
            </w:r>
          </w:p>
        </w:tc>
        <w:tc>
          <w:tcPr>
            <w:tcW w:w="248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7415F1C"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Substantiated</w:t>
            </w:r>
          </w:p>
        </w:tc>
        <w:tc>
          <w:tcPr>
            <w:tcW w:w="276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1EA97ED"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333B81">
              <w:rPr>
                <w:rFonts w:eastAsia="Times New Roman" w:cs="Arial"/>
                <w:color w:val="auto"/>
                <w:sz w:val="20"/>
                <w:szCs w:val="20"/>
                <w:lang w:eastAsia="en-AU"/>
              </w:rPr>
              <w:t>Not substantiated</w:t>
            </w:r>
          </w:p>
        </w:tc>
        <w:tc>
          <w:tcPr>
            <w:tcW w:w="230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2FD34860"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eastAsia="en-AU"/>
              </w:rPr>
            </w:pPr>
            <w:r w:rsidRPr="00333B81">
              <w:rPr>
                <w:rFonts w:eastAsia="Times New Roman" w:cs="Arial"/>
                <w:color w:val="auto"/>
                <w:sz w:val="20"/>
                <w:szCs w:val="20"/>
                <w:lang w:eastAsia="en-AU"/>
              </w:rPr>
              <w:t>Total</w:t>
            </w:r>
          </w:p>
        </w:tc>
      </w:tr>
      <w:tr w:rsidR="002418F8" w:rsidRPr="00333B81" w14:paraId="36DB644D"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3B6EA6CA"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2005</w:t>
            </w:r>
          </w:p>
        </w:tc>
        <w:tc>
          <w:tcPr>
            <w:tcW w:w="1417" w:type="dxa"/>
            <w:tcBorders>
              <w:top w:val="single" w:sz="4" w:space="0" w:color="auto"/>
              <w:left w:val="single" w:sz="4" w:space="0" w:color="auto"/>
            </w:tcBorders>
            <w:noWrap/>
            <w:hideMark/>
          </w:tcPr>
          <w:p w14:paraId="1F01620F"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08" w:type="dxa"/>
            <w:tcBorders>
              <w:top w:val="single" w:sz="4" w:space="0" w:color="auto"/>
              <w:right w:val="single" w:sz="4" w:space="0" w:color="auto"/>
            </w:tcBorders>
            <w:vAlign w:val="center"/>
          </w:tcPr>
          <w:p w14:paraId="131BA8A7"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559" w:type="dxa"/>
            <w:tcBorders>
              <w:top w:val="single" w:sz="4" w:space="0" w:color="auto"/>
              <w:left w:val="single" w:sz="4" w:space="0" w:color="auto"/>
            </w:tcBorders>
            <w:noWrap/>
            <w:hideMark/>
          </w:tcPr>
          <w:p w14:paraId="2721C1EC"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08" w:type="dxa"/>
            <w:tcBorders>
              <w:top w:val="single" w:sz="4" w:space="0" w:color="auto"/>
              <w:right w:val="single" w:sz="4" w:space="0" w:color="auto"/>
            </w:tcBorders>
            <w:vAlign w:val="center"/>
          </w:tcPr>
          <w:p w14:paraId="5519378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560" w:type="dxa"/>
            <w:tcBorders>
              <w:top w:val="single" w:sz="4" w:space="0" w:color="auto"/>
              <w:left w:val="single" w:sz="4" w:space="0" w:color="auto"/>
            </w:tcBorders>
            <w:noWrap/>
            <w:hideMark/>
          </w:tcPr>
          <w:p w14:paraId="43730F41"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928" w:type="dxa"/>
            <w:tcBorders>
              <w:top w:val="single" w:sz="4" w:space="0" w:color="auto"/>
              <w:right w:val="single" w:sz="4" w:space="0" w:color="auto"/>
            </w:tcBorders>
            <w:vAlign w:val="center"/>
          </w:tcPr>
          <w:p w14:paraId="301CFDB7"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701" w:type="dxa"/>
            <w:tcBorders>
              <w:top w:val="single" w:sz="4" w:space="0" w:color="auto"/>
              <w:left w:val="single" w:sz="4" w:space="0" w:color="auto"/>
            </w:tcBorders>
            <w:noWrap/>
            <w:hideMark/>
          </w:tcPr>
          <w:p w14:paraId="633E2BCC"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61" w:type="dxa"/>
            <w:tcBorders>
              <w:top w:val="single" w:sz="4" w:space="0" w:color="auto"/>
              <w:right w:val="single" w:sz="4" w:space="0" w:color="auto"/>
            </w:tcBorders>
          </w:tcPr>
          <w:p w14:paraId="6323148A"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300" w:type="dxa"/>
            <w:tcBorders>
              <w:top w:val="single" w:sz="4" w:space="0" w:color="auto"/>
              <w:left w:val="single" w:sz="4" w:space="0" w:color="auto"/>
            </w:tcBorders>
            <w:vAlign w:val="center"/>
          </w:tcPr>
          <w:p w14:paraId="53D7CD65"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 </w:t>
            </w:r>
          </w:p>
        </w:tc>
        <w:tc>
          <w:tcPr>
            <w:tcW w:w="1008" w:type="dxa"/>
            <w:tcBorders>
              <w:top w:val="single" w:sz="4" w:space="0" w:color="auto"/>
              <w:right w:val="single" w:sz="4" w:space="0" w:color="auto"/>
            </w:tcBorders>
            <w:vAlign w:val="center"/>
          </w:tcPr>
          <w:p w14:paraId="18EF7EAD"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333B81">
              <w:rPr>
                <w:bCs/>
                <w:color w:val="auto"/>
                <w:sz w:val="20"/>
                <w:szCs w:val="20"/>
              </w:rPr>
              <w:t> </w:t>
            </w:r>
          </w:p>
        </w:tc>
      </w:tr>
      <w:tr w:rsidR="006C6B06" w:rsidRPr="00333B81" w14:paraId="09FDC561"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19A3B352"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3822FFF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152</w:t>
            </w:r>
          </w:p>
        </w:tc>
        <w:tc>
          <w:tcPr>
            <w:tcW w:w="1008" w:type="dxa"/>
            <w:tcBorders>
              <w:right w:val="single" w:sz="4" w:space="0" w:color="auto"/>
            </w:tcBorders>
            <w:vAlign w:val="center"/>
          </w:tcPr>
          <w:p w14:paraId="31C39DB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3.36%</w:t>
            </w:r>
          </w:p>
        </w:tc>
        <w:tc>
          <w:tcPr>
            <w:tcW w:w="1559" w:type="dxa"/>
            <w:tcBorders>
              <w:left w:val="single" w:sz="4" w:space="0" w:color="auto"/>
            </w:tcBorders>
            <w:noWrap/>
            <w:vAlign w:val="center"/>
            <w:hideMark/>
          </w:tcPr>
          <w:p w14:paraId="3887867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51</w:t>
            </w:r>
          </w:p>
        </w:tc>
        <w:tc>
          <w:tcPr>
            <w:tcW w:w="1008" w:type="dxa"/>
            <w:tcBorders>
              <w:right w:val="single" w:sz="4" w:space="0" w:color="auto"/>
            </w:tcBorders>
            <w:vAlign w:val="center"/>
          </w:tcPr>
          <w:p w14:paraId="423F955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1.13%</w:t>
            </w:r>
          </w:p>
        </w:tc>
        <w:tc>
          <w:tcPr>
            <w:tcW w:w="1560" w:type="dxa"/>
            <w:tcBorders>
              <w:left w:val="single" w:sz="4" w:space="0" w:color="auto"/>
            </w:tcBorders>
            <w:noWrap/>
            <w:vAlign w:val="center"/>
            <w:hideMark/>
          </w:tcPr>
          <w:p w14:paraId="1C52322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24</w:t>
            </w:r>
          </w:p>
        </w:tc>
        <w:tc>
          <w:tcPr>
            <w:tcW w:w="928" w:type="dxa"/>
            <w:tcBorders>
              <w:right w:val="single" w:sz="4" w:space="0" w:color="auto"/>
            </w:tcBorders>
            <w:vAlign w:val="center"/>
          </w:tcPr>
          <w:p w14:paraId="185BF24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0.53%</w:t>
            </w:r>
          </w:p>
        </w:tc>
        <w:tc>
          <w:tcPr>
            <w:tcW w:w="1701" w:type="dxa"/>
            <w:tcBorders>
              <w:left w:val="single" w:sz="4" w:space="0" w:color="auto"/>
            </w:tcBorders>
            <w:noWrap/>
            <w:vAlign w:val="center"/>
            <w:hideMark/>
          </w:tcPr>
          <w:p w14:paraId="1A6AEA1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27</w:t>
            </w:r>
          </w:p>
        </w:tc>
        <w:tc>
          <w:tcPr>
            <w:tcW w:w="1061" w:type="dxa"/>
            <w:tcBorders>
              <w:right w:val="single" w:sz="4" w:space="0" w:color="auto"/>
            </w:tcBorders>
            <w:vAlign w:val="center"/>
          </w:tcPr>
          <w:p w14:paraId="12A3025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0.60%</w:t>
            </w:r>
          </w:p>
        </w:tc>
        <w:tc>
          <w:tcPr>
            <w:tcW w:w="1300" w:type="dxa"/>
            <w:tcBorders>
              <w:left w:val="single" w:sz="4" w:space="0" w:color="auto"/>
            </w:tcBorders>
            <w:vAlign w:val="center"/>
          </w:tcPr>
          <w:p w14:paraId="129EA8B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203</w:t>
            </w:r>
          </w:p>
        </w:tc>
        <w:tc>
          <w:tcPr>
            <w:tcW w:w="1008" w:type="dxa"/>
            <w:tcBorders>
              <w:right w:val="single" w:sz="4" w:space="0" w:color="auto"/>
            </w:tcBorders>
            <w:vAlign w:val="center"/>
          </w:tcPr>
          <w:p w14:paraId="6BBB42C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4.48%</w:t>
            </w:r>
          </w:p>
        </w:tc>
      </w:tr>
      <w:tr w:rsidR="006C6B06" w:rsidRPr="00333B81" w14:paraId="32771A19"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789E218"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2FB393F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49</w:t>
            </w:r>
          </w:p>
        </w:tc>
        <w:tc>
          <w:tcPr>
            <w:tcW w:w="1008" w:type="dxa"/>
            <w:tcBorders>
              <w:right w:val="single" w:sz="4" w:space="0" w:color="auto"/>
            </w:tcBorders>
            <w:vAlign w:val="center"/>
          </w:tcPr>
          <w:p w14:paraId="1740AED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1.08%</w:t>
            </w:r>
          </w:p>
        </w:tc>
        <w:tc>
          <w:tcPr>
            <w:tcW w:w="1559" w:type="dxa"/>
            <w:tcBorders>
              <w:left w:val="single" w:sz="4" w:space="0" w:color="auto"/>
            </w:tcBorders>
            <w:noWrap/>
            <w:vAlign w:val="center"/>
            <w:hideMark/>
          </w:tcPr>
          <w:p w14:paraId="277F6F5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32</w:t>
            </w:r>
          </w:p>
        </w:tc>
        <w:tc>
          <w:tcPr>
            <w:tcW w:w="1008" w:type="dxa"/>
            <w:tcBorders>
              <w:right w:val="single" w:sz="4" w:space="0" w:color="auto"/>
            </w:tcBorders>
            <w:vAlign w:val="center"/>
          </w:tcPr>
          <w:p w14:paraId="5EDEB67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0.71%</w:t>
            </w:r>
          </w:p>
        </w:tc>
        <w:tc>
          <w:tcPr>
            <w:tcW w:w="1560" w:type="dxa"/>
            <w:tcBorders>
              <w:left w:val="single" w:sz="4" w:space="0" w:color="auto"/>
            </w:tcBorders>
            <w:noWrap/>
            <w:vAlign w:val="center"/>
            <w:hideMark/>
          </w:tcPr>
          <w:p w14:paraId="210AE1F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21</w:t>
            </w:r>
          </w:p>
        </w:tc>
        <w:tc>
          <w:tcPr>
            <w:tcW w:w="928" w:type="dxa"/>
            <w:tcBorders>
              <w:right w:val="single" w:sz="4" w:space="0" w:color="auto"/>
            </w:tcBorders>
            <w:vAlign w:val="center"/>
          </w:tcPr>
          <w:p w14:paraId="398BF92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0.46%</w:t>
            </w:r>
          </w:p>
        </w:tc>
        <w:tc>
          <w:tcPr>
            <w:tcW w:w="1701" w:type="dxa"/>
            <w:tcBorders>
              <w:left w:val="single" w:sz="4" w:space="0" w:color="auto"/>
            </w:tcBorders>
            <w:noWrap/>
            <w:vAlign w:val="center"/>
            <w:hideMark/>
          </w:tcPr>
          <w:p w14:paraId="49E1418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w:t>
            </w:r>
          </w:p>
        </w:tc>
        <w:tc>
          <w:tcPr>
            <w:tcW w:w="1061" w:type="dxa"/>
            <w:tcBorders>
              <w:right w:val="single" w:sz="4" w:space="0" w:color="auto"/>
            </w:tcBorders>
            <w:vAlign w:val="center"/>
          </w:tcPr>
          <w:p w14:paraId="619AB58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0.24%</w:t>
            </w:r>
          </w:p>
        </w:tc>
        <w:tc>
          <w:tcPr>
            <w:tcW w:w="1300" w:type="dxa"/>
            <w:tcBorders>
              <w:left w:val="single" w:sz="4" w:space="0" w:color="auto"/>
            </w:tcBorders>
            <w:vAlign w:val="center"/>
          </w:tcPr>
          <w:p w14:paraId="0732B05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81</w:t>
            </w:r>
          </w:p>
        </w:tc>
        <w:tc>
          <w:tcPr>
            <w:tcW w:w="1008" w:type="dxa"/>
            <w:tcBorders>
              <w:right w:val="single" w:sz="4" w:space="0" w:color="auto"/>
            </w:tcBorders>
            <w:vAlign w:val="center"/>
          </w:tcPr>
          <w:p w14:paraId="3EA3F19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1.79%</w:t>
            </w:r>
          </w:p>
        </w:tc>
      </w:tr>
      <w:tr w:rsidR="006C6B06" w:rsidRPr="00333B81" w14:paraId="493D67BC"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1E31036E"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595D5E5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503</w:t>
            </w:r>
          </w:p>
        </w:tc>
        <w:tc>
          <w:tcPr>
            <w:tcW w:w="1008" w:type="dxa"/>
            <w:tcBorders>
              <w:right w:val="single" w:sz="4" w:space="0" w:color="auto"/>
            </w:tcBorders>
            <w:vAlign w:val="center"/>
          </w:tcPr>
          <w:p w14:paraId="6DF8FF1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11.11%</w:t>
            </w:r>
          </w:p>
        </w:tc>
        <w:tc>
          <w:tcPr>
            <w:tcW w:w="1559" w:type="dxa"/>
            <w:tcBorders>
              <w:left w:val="single" w:sz="4" w:space="0" w:color="auto"/>
            </w:tcBorders>
            <w:noWrap/>
            <w:vAlign w:val="center"/>
            <w:hideMark/>
          </w:tcPr>
          <w:p w14:paraId="045F7DF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433</w:t>
            </w:r>
          </w:p>
        </w:tc>
        <w:tc>
          <w:tcPr>
            <w:tcW w:w="1008" w:type="dxa"/>
            <w:tcBorders>
              <w:right w:val="single" w:sz="4" w:space="0" w:color="auto"/>
            </w:tcBorders>
            <w:vAlign w:val="center"/>
          </w:tcPr>
          <w:p w14:paraId="5E6F0C7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9.56%</w:t>
            </w:r>
          </w:p>
        </w:tc>
        <w:tc>
          <w:tcPr>
            <w:tcW w:w="1560" w:type="dxa"/>
            <w:tcBorders>
              <w:left w:val="single" w:sz="4" w:space="0" w:color="auto"/>
            </w:tcBorders>
            <w:noWrap/>
            <w:vAlign w:val="center"/>
            <w:hideMark/>
          </w:tcPr>
          <w:p w14:paraId="653E3ED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215</w:t>
            </w:r>
          </w:p>
        </w:tc>
        <w:tc>
          <w:tcPr>
            <w:tcW w:w="928" w:type="dxa"/>
            <w:tcBorders>
              <w:right w:val="single" w:sz="4" w:space="0" w:color="auto"/>
            </w:tcBorders>
            <w:vAlign w:val="center"/>
          </w:tcPr>
          <w:p w14:paraId="1FFDC9D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4.75%</w:t>
            </w:r>
          </w:p>
        </w:tc>
        <w:tc>
          <w:tcPr>
            <w:tcW w:w="1701" w:type="dxa"/>
            <w:tcBorders>
              <w:left w:val="single" w:sz="4" w:space="0" w:color="auto"/>
            </w:tcBorders>
            <w:noWrap/>
            <w:vAlign w:val="center"/>
            <w:hideMark/>
          </w:tcPr>
          <w:p w14:paraId="66355A7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218</w:t>
            </w:r>
          </w:p>
        </w:tc>
        <w:tc>
          <w:tcPr>
            <w:tcW w:w="1061" w:type="dxa"/>
            <w:tcBorders>
              <w:right w:val="single" w:sz="4" w:space="0" w:color="auto"/>
            </w:tcBorders>
            <w:vAlign w:val="center"/>
          </w:tcPr>
          <w:p w14:paraId="27DBFF1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4.82%</w:t>
            </w:r>
          </w:p>
        </w:tc>
        <w:tc>
          <w:tcPr>
            <w:tcW w:w="1300" w:type="dxa"/>
            <w:tcBorders>
              <w:left w:val="single" w:sz="4" w:space="0" w:color="auto"/>
            </w:tcBorders>
            <w:vAlign w:val="center"/>
          </w:tcPr>
          <w:p w14:paraId="3DD4EA5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936</w:t>
            </w:r>
          </w:p>
        </w:tc>
        <w:tc>
          <w:tcPr>
            <w:tcW w:w="1008" w:type="dxa"/>
            <w:tcBorders>
              <w:right w:val="single" w:sz="4" w:space="0" w:color="auto"/>
            </w:tcBorders>
            <w:vAlign w:val="center"/>
          </w:tcPr>
          <w:p w14:paraId="2C30050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20.68%</w:t>
            </w:r>
          </w:p>
        </w:tc>
      </w:tr>
      <w:tr w:rsidR="006C6B06" w:rsidRPr="00333B81" w14:paraId="57910DED"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53C165BF"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3D69310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328</w:t>
            </w:r>
          </w:p>
        </w:tc>
        <w:tc>
          <w:tcPr>
            <w:tcW w:w="1008" w:type="dxa"/>
            <w:tcBorders>
              <w:right w:val="single" w:sz="4" w:space="0" w:color="auto"/>
            </w:tcBorders>
            <w:vAlign w:val="center"/>
          </w:tcPr>
          <w:p w14:paraId="078B58F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7.25%</w:t>
            </w:r>
          </w:p>
        </w:tc>
        <w:tc>
          <w:tcPr>
            <w:tcW w:w="1559" w:type="dxa"/>
            <w:tcBorders>
              <w:left w:val="single" w:sz="4" w:space="0" w:color="auto"/>
            </w:tcBorders>
            <w:noWrap/>
            <w:vAlign w:val="center"/>
            <w:hideMark/>
          </w:tcPr>
          <w:p w14:paraId="07E12A7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149</w:t>
            </w:r>
          </w:p>
        </w:tc>
        <w:tc>
          <w:tcPr>
            <w:tcW w:w="1008" w:type="dxa"/>
            <w:tcBorders>
              <w:right w:val="single" w:sz="4" w:space="0" w:color="auto"/>
            </w:tcBorders>
            <w:vAlign w:val="center"/>
          </w:tcPr>
          <w:p w14:paraId="6426E12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3.29%</w:t>
            </w:r>
          </w:p>
        </w:tc>
        <w:tc>
          <w:tcPr>
            <w:tcW w:w="1560" w:type="dxa"/>
            <w:tcBorders>
              <w:left w:val="single" w:sz="4" w:space="0" w:color="auto"/>
            </w:tcBorders>
            <w:noWrap/>
            <w:vAlign w:val="center"/>
            <w:hideMark/>
          </w:tcPr>
          <w:p w14:paraId="4299ACA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63</w:t>
            </w:r>
          </w:p>
        </w:tc>
        <w:tc>
          <w:tcPr>
            <w:tcW w:w="928" w:type="dxa"/>
            <w:tcBorders>
              <w:right w:val="single" w:sz="4" w:space="0" w:color="auto"/>
            </w:tcBorders>
            <w:vAlign w:val="center"/>
          </w:tcPr>
          <w:p w14:paraId="1C806D3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1.39%</w:t>
            </w:r>
          </w:p>
        </w:tc>
        <w:tc>
          <w:tcPr>
            <w:tcW w:w="1701" w:type="dxa"/>
            <w:tcBorders>
              <w:left w:val="single" w:sz="4" w:space="0" w:color="auto"/>
            </w:tcBorders>
            <w:noWrap/>
            <w:vAlign w:val="center"/>
            <w:hideMark/>
          </w:tcPr>
          <w:p w14:paraId="05E995F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86</w:t>
            </w:r>
          </w:p>
        </w:tc>
        <w:tc>
          <w:tcPr>
            <w:tcW w:w="1061" w:type="dxa"/>
            <w:tcBorders>
              <w:right w:val="single" w:sz="4" w:space="0" w:color="auto"/>
            </w:tcBorders>
            <w:vAlign w:val="center"/>
          </w:tcPr>
          <w:p w14:paraId="6D2B022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1.90%</w:t>
            </w:r>
          </w:p>
        </w:tc>
        <w:tc>
          <w:tcPr>
            <w:tcW w:w="1300" w:type="dxa"/>
            <w:tcBorders>
              <w:left w:val="single" w:sz="4" w:space="0" w:color="auto"/>
            </w:tcBorders>
            <w:vAlign w:val="center"/>
          </w:tcPr>
          <w:p w14:paraId="25FEF28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477</w:t>
            </w:r>
          </w:p>
        </w:tc>
        <w:tc>
          <w:tcPr>
            <w:tcW w:w="1008" w:type="dxa"/>
            <w:tcBorders>
              <w:right w:val="single" w:sz="4" w:space="0" w:color="auto"/>
            </w:tcBorders>
            <w:vAlign w:val="center"/>
          </w:tcPr>
          <w:p w14:paraId="40AA126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10.54%</w:t>
            </w:r>
          </w:p>
        </w:tc>
      </w:tr>
      <w:tr w:rsidR="006C6B06" w:rsidRPr="00333B81" w14:paraId="5E03B5C9"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2D01762"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341E061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w:t>
            </w:r>
          </w:p>
        </w:tc>
        <w:tc>
          <w:tcPr>
            <w:tcW w:w="1008" w:type="dxa"/>
            <w:tcBorders>
              <w:right w:val="single" w:sz="4" w:space="0" w:color="auto"/>
            </w:tcBorders>
            <w:vAlign w:val="center"/>
          </w:tcPr>
          <w:p w14:paraId="7EDC3AA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0.27%</w:t>
            </w:r>
          </w:p>
        </w:tc>
        <w:tc>
          <w:tcPr>
            <w:tcW w:w="1559" w:type="dxa"/>
            <w:tcBorders>
              <w:left w:val="single" w:sz="4" w:space="0" w:color="auto"/>
            </w:tcBorders>
            <w:noWrap/>
            <w:vAlign w:val="center"/>
            <w:hideMark/>
          </w:tcPr>
          <w:p w14:paraId="61C30F8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w:t>
            </w:r>
          </w:p>
        </w:tc>
        <w:tc>
          <w:tcPr>
            <w:tcW w:w="1008" w:type="dxa"/>
            <w:tcBorders>
              <w:right w:val="single" w:sz="4" w:space="0" w:color="auto"/>
            </w:tcBorders>
            <w:vAlign w:val="center"/>
          </w:tcPr>
          <w:p w14:paraId="1336A50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0.13%</w:t>
            </w:r>
          </w:p>
        </w:tc>
        <w:tc>
          <w:tcPr>
            <w:tcW w:w="1560" w:type="dxa"/>
            <w:tcBorders>
              <w:left w:val="single" w:sz="4" w:space="0" w:color="auto"/>
            </w:tcBorders>
            <w:noWrap/>
            <w:vAlign w:val="center"/>
            <w:hideMark/>
          </w:tcPr>
          <w:p w14:paraId="3264C26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w:t>
            </w:r>
          </w:p>
        </w:tc>
        <w:tc>
          <w:tcPr>
            <w:tcW w:w="928" w:type="dxa"/>
            <w:tcBorders>
              <w:right w:val="single" w:sz="4" w:space="0" w:color="auto"/>
            </w:tcBorders>
            <w:vAlign w:val="center"/>
          </w:tcPr>
          <w:p w14:paraId="5E819A6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0.04%</w:t>
            </w:r>
          </w:p>
        </w:tc>
        <w:tc>
          <w:tcPr>
            <w:tcW w:w="1701" w:type="dxa"/>
            <w:tcBorders>
              <w:left w:val="single" w:sz="4" w:space="0" w:color="auto"/>
            </w:tcBorders>
            <w:noWrap/>
            <w:vAlign w:val="center"/>
            <w:hideMark/>
          </w:tcPr>
          <w:p w14:paraId="2D0CCD0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w:t>
            </w:r>
          </w:p>
        </w:tc>
        <w:tc>
          <w:tcPr>
            <w:tcW w:w="1061" w:type="dxa"/>
            <w:tcBorders>
              <w:right w:val="single" w:sz="4" w:space="0" w:color="auto"/>
            </w:tcBorders>
            <w:vAlign w:val="center"/>
          </w:tcPr>
          <w:p w14:paraId="5F22C2E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0.09%</w:t>
            </w:r>
          </w:p>
        </w:tc>
        <w:tc>
          <w:tcPr>
            <w:tcW w:w="1300" w:type="dxa"/>
            <w:tcBorders>
              <w:left w:val="single" w:sz="4" w:space="0" w:color="auto"/>
            </w:tcBorders>
            <w:vAlign w:val="center"/>
          </w:tcPr>
          <w:p w14:paraId="539B588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18</w:t>
            </w:r>
          </w:p>
        </w:tc>
        <w:tc>
          <w:tcPr>
            <w:tcW w:w="1008" w:type="dxa"/>
            <w:tcBorders>
              <w:right w:val="single" w:sz="4" w:space="0" w:color="auto"/>
            </w:tcBorders>
            <w:vAlign w:val="center"/>
          </w:tcPr>
          <w:p w14:paraId="09A019A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0.40%</w:t>
            </w:r>
          </w:p>
        </w:tc>
      </w:tr>
      <w:tr w:rsidR="006C6B06" w:rsidRPr="00333B81" w14:paraId="185602B6"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4F61D5BB"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77514E7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1,044</w:t>
            </w:r>
          </w:p>
        </w:tc>
        <w:tc>
          <w:tcPr>
            <w:tcW w:w="1008" w:type="dxa"/>
            <w:tcBorders>
              <w:right w:val="single" w:sz="4" w:space="0" w:color="auto"/>
            </w:tcBorders>
            <w:vAlign w:val="center"/>
          </w:tcPr>
          <w:p w14:paraId="053CC5F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23.06%</w:t>
            </w:r>
          </w:p>
        </w:tc>
        <w:tc>
          <w:tcPr>
            <w:tcW w:w="1559" w:type="dxa"/>
            <w:tcBorders>
              <w:left w:val="single" w:sz="4" w:space="0" w:color="auto"/>
            </w:tcBorders>
            <w:noWrap/>
            <w:vAlign w:val="center"/>
            <w:hideMark/>
          </w:tcPr>
          <w:p w14:paraId="0782486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671</w:t>
            </w:r>
          </w:p>
        </w:tc>
        <w:tc>
          <w:tcPr>
            <w:tcW w:w="1008" w:type="dxa"/>
            <w:tcBorders>
              <w:right w:val="single" w:sz="4" w:space="0" w:color="auto"/>
            </w:tcBorders>
            <w:vAlign w:val="center"/>
          </w:tcPr>
          <w:p w14:paraId="2C20647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14.82%</w:t>
            </w:r>
          </w:p>
        </w:tc>
        <w:tc>
          <w:tcPr>
            <w:tcW w:w="1560" w:type="dxa"/>
            <w:tcBorders>
              <w:left w:val="single" w:sz="4" w:space="0" w:color="auto"/>
            </w:tcBorders>
            <w:noWrap/>
            <w:vAlign w:val="center"/>
            <w:hideMark/>
          </w:tcPr>
          <w:p w14:paraId="71BA38C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325</w:t>
            </w:r>
          </w:p>
        </w:tc>
        <w:tc>
          <w:tcPr>
            <w:tcW w:w="928" w:type="dxa"/>
            <w:tcBorders>
              <w:right w:val="single" w:sz="4" w:space="0" w:color="auto"/>
            </w:tcBorders>
            <w:vAlign w:val="center"/>
          </w:tcPr>
          <w:p w14:paraId="1020786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7.18%</w:t>
            </w:r>
          </w:p>
        </w:tc>
        <w:tc>
          <w:tcPr>
            <w:tcW w:w="1701" w:type="dxa"/>
            <w:tcBorders>
              <w:left w:val="single" w:sz="4" w:space="0" w:color="auto"/>
            </w:tcBorders>
            <w:noWrap/>
            <w:vAlign w:val="center"/>
            <w:hideMark/>
          </w:tcPr>
          <w:p w14:paraId="48B76F5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346</w:t>
            </w:r>
          </w:p>
        </w:tc>
        <w:tc>
          <w:tcPr>
            <w:tcW w:w="1061" w:type="dxa"/>
            <w:tcBorders>
              <w:right w:val="single" w:sz="4" w:space="0" w:color="auto"/>
            </w:tcBorders>
            <w:vAlign w:val="center"/>
          </w:tcPr>
          <w:p w14:paraId="4038373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7.64%</w:t>
            </w:r>
          </w:p>
        </w:tc>
        <w:tc>
          <w:tcPr>
            <w:tcW w:w="1300" w:type="dxa"/>
            <w:tcBorders>
              <w:left w:val="single" w:sz="4" w:space="0" w:color="auto"/>
            </w:tcBorders>
            <w:vAlign w:val="center"/>
          </w:tcPr>
          <w:p w14:paraId="47AB69E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1,715</w:t>
            </w:r>
          </w:p>
        </w:tc>
        <w:tc>
          <w:tcPr>
            <w:tcW w:w="1008" w:type="dxa"/>
            <w:tcBorders>
              <w:right w:val="single" w:sz="4" w:space="0" w:color="auto"/>
            </w:tcBorders>
            <w:vAlign w:val="center"/>
          </w:tcPr>
          <w:p w14:paraId="1609FDB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37.88%</w:t>
            </w:r>
          </w:p>
        </w:tc>
      </w:tr>
      <w:tr w:rsidR="006C6B06" w:rsidRPr="00333B81" w14:paraId="46722E64"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nil"/>
              <w:right w:val="single" w:sz="4" w:space="0" w:color="auto"/>
            </w:tcBorders>
            <w:noWrap/>
            <w:vAlign w:val="center"/>
            <w:hideMark/>
          </w:tcPr>
          <w:p w14:paraId="36B2B551"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bottom w:val="nil"/>
            </w:tcBorders>
            <w:noWrap/>
            <w:vAlign w:val="center"/>
            <w:hideMark/>
          </w:tcPr>
          <w:p w14:paraId="00E2BCE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1,781</w:t>
            </w:r>
          </w:p>
        </w:tc>
        <w:tc>
          <w:tcPr>
            <w:tcW w:w="1008" w:type="dxa"/>
            <w:tcBorders>
              <w:bottom w:val="nil"/>
              <w:right w:val="single" w:sz="4" w:space="0" w:color="auto"/>
            </w:tcBorders>
            <w:vAlign w:val="center"/>
          </w:tcPr>
          <w:p w14:paraId="15764AB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39.34%</w:t>
            </w:r>
          </w:p>
        </w:tc>
        <w:tc>
          <w:tcPr>
            <w:tcW w:w="1559" w:type="dxa"/>
            <w:tcBorders>
              <w:left w:val="single" w:sz="4" w:space="0" w:color="auto"/>
              <w:bottom w:val="nil"/>
            </w:tcBorders>
            <w:noWrap/>
            <w:vAlign w:val="center"/>
            <w:hideMark/>
          </w:tcPr>
          <w:p w14:paraId="761CB23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1,031</w:t>
            </w:r>
          </w:p>
        </w:tc>
        <w:tc>
          <w:tcPr>
            <w:tcW w:w="1008" w:type="dxa"/>
            <w:tcBorders>
              <w:bottom w:val="nil"/>
              <w:right w:val="single" w:sz="4" w:space="0" w:color="auto"/>
            </w:tcBorders>
            <w:vAlign w:val="center"/>
          </w:tcPr>
          <w:p w14:paraId="45EE7AC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22.77%</w:t>
            </w:r>
          </w:p>
        </w:tc>
        <w:tc>
          <w:tcPr>
            <w:tcW w:w="1560" w:type="dxa"/>
            <w:tcBorders>
              <w:left w:val="single" w:sz="4" w:space="0" w:color="auto"/>
              <w:bottom w:val="nil"/>
            </w:tcBorders>
            <w:noWrap/>
            <w:vAlign w:val="center"/>
            <w:hideMark/>
          </w:tcPr>
          <w:p w14:paraId="68E917C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504</w:t>
            </w:r>
          </w:p>
        </w:tc>
        <w:tc>
          <w:tcPr>
            <w:tcW w:w="928" w:type="dxa"/>
            <w:tcBorders>
              <w:bottom w:val="nil"/>
              <w:right w:val="single" w:sz="4" w:space="0" w:color="auto"/>
            </w:tcBorders>
            <w:vAlign w:val="center"/>
          </w:tcPr>
          <w:p w14:paraId="514143C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11.13%</w:t>
            </w:r>
          </w:p>
        </w:tc>
        <w:tc>
          <w:tcPr>
            <w:tcW w:w="1701" w:type="dxa"/>
            <w:tcBorders>
              <w:left w:val="single" w:sz="4" w:space="0" w:color="auto"/>
              <w:bottom w:val="nil"/>
            </w:tcBorders>
            <w:noWrap/>
            <w:vAlign w:val="center"/>
            <w:hideMark/>
          </w:tcPr>
          <w:p w14:paraId="4FD2A62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527</w:t>
            </w:r>
          </w:p>
        </w:tc>
        <w:tc>
          <w:tcPr>
            <w:tcW w:w="1061" w:type="dxa"/>
            <w:tcBorders>
              <w:bottom w:val="nil"/>
              <w:right w:val="single" w:sz="4" w:space="0" w:color="auto"/>
            </w:tcBorders>
            <w:vAlign w:val="center"/>
          </w:tcPr>
          <w:p w14:paraId="5F3DE79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11.64%</w:t>
            </w:r>
          </w:p>
        </w:tc>
        <w:tc>
          <w:tcPr>
            <w:tcW w:w="1300" w:type="dxa"/>
            <w:tcBorders>
              <w:left w:val="single" w:sz="4" w:space="0" w:color="auto"/>
              <w:bottom w:val="nil"/>
            </w:tcBorders>
            <w:vAlign w:val="center"/>
          </w:tcPr>
          <w:p w14:paraId="64EB2EA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2,812</w:t>
            </w:r>
          </w:p>
        </w:tc>
        <w:tc>
          <w:tcPr>
            <w:tcW w:w="1008" w:type="dxa"/>
            <w:tcBorders>
              <w:bottom w:val="nil"/>
              <w:right w:val="single" w:sz="4" w:space="0" w:color="auto"/>
            </w:tcBorders>
            <w:vAlign w:val="center"/>
          </w:tcPr>
          <w:p w14:paraId="2D69947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62.12%</w:t>
            </w:r>
          </w:p>
        </w:tc>
      </w:tr>
      <w:tr w:rsidR="002418F8" w:rsidRPr="00333B81" w14:paraId="15E29AE0"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nil"/>
              <w:left w:val="single" w:sz="4" w:space="0" w:color="auto"/>
              <w:bottom w:val="single" w:sz="4" w:space="0" w:color="auto"/>
              <w:right w:val="single" w:sz="4" w:space="0" w:color="auto"/>
            </w:tcBorders>
            <w:noWrap/>
            <w:hideMark/>
          </w:tcPr>
          <w:p w14:paraId="256A87E6"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noWrap/>
            <w:vAlign w:val="center"/>
            <w:hideMark/>
          </w:tcPr>
          <w:p w14:paraId="02EC46AB"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2,825</w:t>
            </w:r>
          </w:p>
        </w:tc>
        <w:tc>
          <w:tcPr>
            <w:tcW w:w="1008" w:type="dxa"/>
            <w:tcBorders>
              <w:top w:val="nil"/>
              <w:bottom w:val="single" w:sz="4" w:space="0" w:color="auto"/>
              <w:right w:val="single" w:sz="4" w:space="0" w:color="auto"/>
            </w:tcBorders>
            <w:vAlign w:val="center"/>
          </w:tcPr>
          <w:p w14:paraId="3D5FC5DE"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62.40%</w:t>
            </w:r>
          </w:p>
        </w:tc>
        <w:tc>
          <w:tcPr>
            <w:tcW w:w="1559" w:type="dxa"/>
            <w:tcBorders>
              <w:top w:val="nil"/>
              <w:left w:val="single" w:sz="4" w:space="0" w:color="auto"/>
              <w:bottom w:val="single" w:sz="4" w:space="0" w:color="auto"/>
            </w:tcBorders>
            <w:noWrap/>
            <w:vAlign w:val="center"/>
            <w:hideMark/>
          </w:tcPr>
          <w:p w14:paraId="1E36B4E3"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1,702</w:t>
            </w:r>
          </w:p>
        </w:tc>
        <w:tc>
          <w:tcPr>
            <w:tcW w:w="1008" w:type="dxa"/>
            <w:tcBorders>
              <w:top w:val="nil"/>
              <w:bottom w:val="single" w:sz="4" w:space="0" w:color="auto"/>
              <w:right w:val="single" w:sz="4" w:space="0" w:color="auto"/>
            </w:tcBorders>
            <w:vAlign w:val="center"/>
          </w:tcPr>
          <w:p w14:paraId="33C62DC6"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37.60%</w:t>
            </w:r>
          </w:p>
        </w:tc>
        <w:tc>
          <w:tcPr>
            <w:tcW w:w="1560" w:type="dxa"/>
            <w:tcBorders>
              <w:top w:val="nil"/>
              <w:left w:val="single" w:sz="4" w:space="0" w:color="auto"/>
              <w:bottom w:val="single" w:sz="4" w:space="0" w:color="auto"/>
            </w:tcBorders>
            <w:noWrap/>
            <w:vAlign w:val="center"/>
            <w:hideMark/>
          </w:tcPr>
          <w:p w14:paraId="54D6DF71"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829</w:t>
            </w:r>
          </w:p>
        </w:tc>
        <w:tc>
          <w:tcPr>
            <w:tcW w:w="928" w:type="dxa"/>
            <w:tcBorders>
              <w:top w:val="nil"/>
              <w:bottom w:val="single" w:sz="4" w:space="0" w:color="auto"/>
              <w:right w:val="single" w:sz="4" w:space="0" w:color="auto"/>
            </w:tcBorders>
            <w:vAlign w:val="center"/>
          </w:tcPr>
          <w:p w14:paraId="5246DC13"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18.31%</w:t>
            </w:r>
          </w:p>
        </w:tc>
        <w:tc>
          <w:tcPr>
            <w:tcW w:w="1701" w:type="dxa"/>
            <w:tcBorders>
              <w:top w:val="nil"/>
              <w:left w:val="single" w:sz="4" w:space="0" w:color="auto"/>
              <w:bottom w:val="single" w:sz="4" w:space="0" w:color="auto"/>
            </w:tcBorders>
            <w:noWrap/>
            <w:vAlign w:val="center"/>
            <w:hideMark/>
          </w:tcPr>
          <w:p w14:paraId="03759F92"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873</w:t>
            </w:r>
          </w:p>
        </w:tc>
        <w:tc>
          <w:tcPr>
            <w:tcW w:w="1061" w:type="dxa"/>
            <w:tcBorders>
              <w:top w:val="nil"/>
              <w:bottom w:val="single" w:sz="4" w:space="0" w:color="auto"/>
              <w:right w:val="single" w:sz="4" w:space="0" w:color="auto"/>
            </w:tcBorders>
            <w:vAlign w:val="center"/>
          </w:tcPr>
          <w:p w14:paraId="52774F46"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19.28%</w:t>
            </w:r>
          </w:p>
        </w:tc>
        <w:tc>
          <w:tcPr>
            <w:tcW w:w="1300" w:type="dxa"/>
            <w:tcBorders>
              <w:top w:val="nil"/>
              <w:left w:val="single" w:sz="4" w:space="0" w:color="auto"/>
              <w:bottom w:val="single" w:sz="4" w:space="0" w:color="auto"/>
            </w:tcBorders>
            <w:vAlign w:val="center"/>
          </w:tcPr>
          <w:p w14:paraId="462902D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4,527</w:t>
            </w:r>
          </w:p>
        </w:tc>
        <w:tc>
          <w:tcPr>
            <w:tcW w:w="1008" w:type="dxa"/>
            <w:tcBorders>
              <w:top w:val="nil"/>
              <w:bottom w:val="single" w:sz="4" w:space="0" w:color="auto"/>
              <w:right w:val="single" w:sz="4" w:space="0" w:color="auto"/>
            </w:tcBorders>
            <w:vAlign w:val="center"/>
          </w:tcPr>
          <w:p w14:paraId="2E5F378B"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9.24%</w:t>
            </w:r>
          </w:p>
        </w:tc>
      </w:tr>
      <w:tr w:rsidR="006C6B06" w:rsidRPr="00333B81" w14:paraId="08A57B2E" w14:textId="77777777" w:rsidTr="00333B81">
        <w:trPr>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315C52E0" w14:textId="77777777" w:rsidR="00333B81" w:rsidRPr="00333B81" w:rsidRDefault="00333B81" w:rsidP="00CE2FDF">
            <w:pPr>
              <w:keepNext/>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2006</w:t>
            </w:r>
          </w:p>
        </w:tc>
        <w:tc>
          <w:tcPr>
            <w:tcW w:w="1417" w:type="dxa"/>
            <w:tcBorders>
              <w:top w:val="single" w:sz="4" w:space="0" w:color="auto"/>
              <w:left w:val="single" w:sz="4" w:space="0" w:color="auto"/>
            </w:tcBorders>
            <w:noWrap/>
            <w:hideMark/>
          </w:tcPr>
          <w:p w14:paraId="3DE42A80"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008" w:type="dxa"/>
            <w:tcBorders>
              <w:top w:val="single" w:sz="4" w:space="0" w:color="auto"/>
              <w:right w:val="single" w:sz="4" w:space="0" w:color="auto"/>
            </w:tcBorders>
          </w:tcPr>
          <w:p w14:paraId="753F4325"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559" w:type="dxa"/>
            <w:tcBorders>
              <w:top w:val="single" w:sz="4" w:space="0" w:color="auto"/>
              <w:left w:val="single" w:sz="4" w:space="0" w:color="auto"/>
            </w:tcBorders>
            <w:noWrap/>
            <w:hideMark/>
          </w:tcPr>
          <w:p w14:paraId="16FFC9B2"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008" w:type="dxa"/>
            <w:tcBorders>
              <w:top w:val="single" w:sz="4" w:space="0" w:color="auto"/>
              <w:right w:val="single" w:sz="4" w:space="0" w:color="auto"/>
            </w:tcBorders>
          </w:tcPr>
          <w:p w14:paraId="6DE970D3"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560" w:type="dxa"/>
            <w:tcBorders>
              <w:top w:val="single" w:sz="4" w:space="0" w:color="auto"/>
              <w:left w:val="single" w:sz="4" w:space="0" w:color="auto"/>
            </w:tcBorders>
            <w:noWrap/>
            <w:hideMark/>
          </w:tcPr>
          <w:p w14:paraId="2F9A5394"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928" w:type="dxa"/>
            <w:tcBorders>
              <w:top w:val="single" w:sz="4" w:space="0" w:color="auto"/>
              <w:right w:val="single" w:sz="4" w:space="0" w:color="auto"/>
            </w:tcBorders>
          </w:tcPr>
          <w:p w14:paraId="4E85113B"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701" w:type="dxa"/>
            <w:tcBorders>
              <w:top w:val="single" w:sz="4" w:space="0" w:color="auto"/>
              <w:left w:val="single" w:sz="4" w:space="0" w:color="auto"/>
            </w:tcBorders>
            <w:noWrap/>
            <w:hideMark/>
          </w:tcPr>
          <w:p w14:paraId="61F2F4AD"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c>
          <w:tcPr>
            <w:tcW w:w="1061" w:type="dxa"/>
            <w:tcBorders>
              <w:top w:val="single" w:sz="4" w:space="0" w:color="auto"/>
              <w:right w:val="single" w:sz="4" w:space="0" w:color="auto"/>
            </w:tcBorders>
          </w:tcPr>
          <w:p w14:paraId="40A16E6F"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300" w:type="dxa"/>
            <w:tcBorders>
              <w:top w:val="single" w:sz="4" w:space="0" w:color="auto"/>
              <w:left w:val="single" w:sz="4" w:space="0" w:color="auto"/>
            </w:tcBorders>
          </w:tcPr>
          <w:p w14:paraId="0C166D26"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p>
        </w:tc>
        <w:tc>
          <w:tcPr>
            <w:tcW w:w="1008" w:type="dxa"/>
            <w:tcBorders>
              <w:top w:val="single" w:sz="4" w:space="0" w:color="auto"/>
              <w:right w:val="single" w:sz="4" w:space="0" w:color="auto"/>
            </w:tcBorders>
          </w:tcPr>
          <w:p w14:paraId="5365EF98" w14:textId="77777777" w:rsidR="00333B81" w:rsidRPr="00333B81" w:rsidRDefault="00333B81" w:rsidP="00CE2FDF">
            <w:pPr>
              <w:keepNext/>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p>
        </w:tc>
      </w:tr>
      <w:tr w:rsidR="006C6B06" w:rsidRPr="00333B81" w14:paraId="6F642A44"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4F7348D6"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14BE0B4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138</w:t>
            </w:r>
          </w:p>
        </w:tc>
        <w:tc>
          <w:tcPr>
            <w:tcW w:w="1008" w:type="dxa"/>
            <w:tcBorders>
              <w:right w:val="single" w:sz="4" w:space="0" w:color="auto"/>
            </w:tcBorders>
            <w:vAlign w:val="center"/>
          </w:tcPr>
          <w:p w14:paraId="59C2FB2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3.08%</w:t>
            </w:r>
          </w:p>
        </w:tc>
        <w:tc>
          <w:tcPr>
            <w:tcW w:w="1559" w:type="dxa"/>
            <w:tcBorders>
              <w:left w:val="single" w:sz="4" w:space="0" w:color="auto"/>
            </w:tcBorders>
            <w:noWrap/>
            <w:vAlign w:val="center"/>
            <w:hideMark/>
          </w:tcPr>
          <w:p w14:paraId="282A040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47</w:t>
            </w:r>
          </w:p>
        </w:tc>
        <w:tc>
          <w:tcPr>
            <w:tcW w:w="1008" w:type="dxa"/>
            <w:tcBorders>
              <w:right w:val="single" w:sz="4" w:space="0" w:color="auto"/>
            </w:tcBorders>
            <w:vAlign w:val="center"/>
          </w:tcPr>
          <w:p w14:paraId="6EE83F0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1.05%</w:t>
            </w:r>
          </w:p>
        </w:tc>
        <w:tc>
          <w:tcPr>
            <w:tcW w:w="1560" w:type="dxa"/>
            <w:tcBorders>
              <w:left w:val="single" w:sz="4" w:space="0" w:color="auto"/>
            </w:tcBorders>
            <w:noWrap/>
            <w:vAlign w:val="center"/>
            <w:hideMark/>
          </w:tcPr>
          <w:p w14:paraId="5EC5DC6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13</w:t>
            </w:r>
          </w:p>
        </w:tc>
        <w:tc>
          <w:tcPr>
            <w:tcW w:w="928" w:type="dxa"/>
            <w:tcBorders>
              <w:right w:val="single" w:sz="4" w:space="0" w:color="auto"/>
            </w:tcBorders>
            <w:vAlign w:val="center"/>
          </w:tcPr>
          <w:p w14:paraId="67A47F5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0.29%</w:t>
            </w:r>
          </w:p>
        </w:tc>
        <w:tc>
          <w:tcPr>
            <w:tcW w:w="1701" w:type="dxa"/>
            <w:tcBorders>
              <w:left w:val="single" w:sz="4" w:space="0" w:color="auto"/>
            </w:tcBorders>
            <w:noWrap/>
            <w:vAlign w:val="center"/>
            <w:hideMark/>
          </w:tcPr>
          <w:p w14:paraId="2CB5B0A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34</w:t>
            </w:r>
          </w:p>
        </w:tc>
        <w:tc>
          <w:tcPr>
            <w:tcW w:w="1061" w:type="dxa"/>
            <w:tcBorders>
              <w:right w:val="single" w:sz="4" w:space="0" w:color="auto"/>
            </w:tcBorders>
            <w:vAlign w:val="center"/>
          </w:tcPr>
          <w:p w14:paraId="5146C92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0.76%</w:t>
            </w:r>
          </w:p>
        </w:tc>
        <w:tc>
          <w:tcPr>
            <w:tcW w:w="1300" w:type="dxa"/>
            <w:tcBorders>
              <w:left w:val="single" w:sz="4" w:space="0" w:color="auto"/>
            </w:tcBorders>
            <w:vAlign w:val="center"/>
          </w:tcPr>
          <w:p w14:paraId="23A0299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185</w:t>
            </w:r>
          </w:p>
        </w:tc>
        <w:tc>
          <w:tcPr>
            <w:tcW w:w="1008" w:type="dxa"/>
            <w:tcBorders>
              <w:right w:val="single" w:sz="4" w:space="0" w:color="auto"/>
            </w:tcBorders>
            <w:vAlign w:val="center"/>
          </w:tcPr>
          <w:p w14:paraId="5267B3A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4.14%</w:t>
            </w:r>
          </w:p>
        </w:tc>
      </w:tr>
      <w:tr w:rsidR="006C6B06" w:rsidRPr="00333B81" w14:paraId="18F5B047"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0B664AB"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2040D89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46</w:t>
            </w:r>
          </w:p>
        </w:tc>
        <w:tc>
          <w:tcPr>
            <w:tcW w:w="1008" w:type="dxa"/>
            <w:tcBorders>
              <w:right w:val="single" w:sz="4" w:space="0" w:color="auto"/>
            </w:tcBorders>
            <w:vAlign w:val="center"/>
          </w:tcPr>
          <w:p w14:paraId="72C255B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1.03%</w:t>
            </w:r>
          </w:p>
        </w:tc>
        <w:tc>
          <w:tcPr>
            <w:tcW w:w="1559" w:type="dxa"/>
            <w:tcBorders>
              <w:left w:val="single" w:sz="4" w:space="0" w:color="auto"/>
            </w:tcBorders>
            <w:noWrap/>
            <w:vAlign w:val="center"/>
            <w:hideMark/>
          </w:tcPr>
          <w:p w14:paraId="24607D5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22</w:t>
            </w:r>
          </w:p>
        </w:tc>
        <w:tc>
          <w:tcPr>
            <w:tcW w:w="1008" w:type="dxa"/>
            <w:tcBorders>
              <w:right w:val="single" w:sz="4" w:space="0" w:color="auto"/>
            </w:tcBorders>
            <w:vAlign w:val="center"/>
          </w:tcPr>
          <w:p w14:paraId="24B6581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0.49%</w:t>
            </w:r>
          </w:p>
        </w:tc>
        <w:tc>
          <w:tcPr>
            <w:tcW w:w="1560" w:type="dxa"/>
            <w:tcBorders>
              <w:left w:val="single" w:sz="4" w:space="0" w:color="auto"/>
            </w:tcBorders>
            <w:noWrap/>
            <w:vAlign w:val="center"/>
            <w:hideMark/>
          </w:tcPr>
          <w:p w14:paraId="025E352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w:t>
            </w:r>
          </w:p>
        </w:tc>
        <w:tc>
          <w:tcPr>
            <w:tcW w:w="928" w:type="dxa"/>
            <w:tcBorders>
              <w:right w:val="single" w:sz="4" w:space="0" w:color="auto"/>
            </w:tcBorders>
            <w:vAlign w:val="center"/>
          </w:tcPr>
          <w:p w14:paraId="73293DD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0.25%</w:t>
            </w:r>
          </w:p>
        </w:tc>
        <w:tc>
          <w:tcPr>
            <w:tcW w:w="1701" w:type="dxa"/>
            <w:tcBorders>
              <w:left w:val="single" w:sz="4" w:space="0" w:color="auto"/>
            </w:tcBorders>
            <w:noWrap/>
            <w:vAlign w:val="center"/>
            <w:hideMark/>
          </w:tcPr>
          <w:p w14:paraId="1035DE1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w:t>
            </w:r>
          </w:p>
        </w:tc>
        <w:tc>
          <w:tcPr>
            <w:tcW w:w="1061" w:type="dxa"/>
            <w:tcBorders>
              <w:right w:val="single" w:sz="4" w:space="0" w:color="auto"/>
            </w:tcBorders>
            <w:vAlign w:val="center"/>
          </w:tcPr>
          <w:p w14:paraId="7D96BEE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0.25%</w:t>
            </w:r>
          </w:p>
        </w:tc>
        <w:tc>
          <w:tcPr>
            <w:tcW w:w="1300" w:type="dxa"/>
            <w:tcBorders>
              <w:left w:val="single" w:sz="4" w:space="0" w:color="auto"/>
            </w:tcBorders>
            <w:vAlign w:val="center"/>
          </w:tcPr>
          <w:p w14:paraId="1B26588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68</w:t>
            </w:r>
          </w:p>
        </w:tc>
        <w:tc>
          <w:tcPr>
            <w:tcW w:w="1008" w:type="dxa"/>
            <w:tcBorders>
              <w:right w:val="single" w:sz="4" w:space="0" w:color="auto"/>
            </w:tcBorders>
            <w:vAlign w:val="center"/>
          </w:tcPr>
          <w:p w14:paraId="291EAD9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1.52%</w:t>
            </w:r>
          </w:p>
        </w:tc>
      </w:tr>
      <w:tr w:rsidR="006C6B06" w:rsidRPr="00333B81" w14:paraId="251DE8B3"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24785F66"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38F08A1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512</w:t>
            </w:r>
          </w:p>
        </w:tc>
        <w:tc>
          <w:tcPr>
            <w:tcW w:w="1008" w:type="dxa"/>
            <w:tcBorders>
              <w:right w:val="single" w:sz="4" w:space="0" w:color="auto"/>
            </w:tcBorders>
            <w:vAlign w:val="center"/>
          </w:tcPr>
          <w:p w14:paraId="7EEEA3D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11.44%</w:t>
            </w:r>
          </w:p>
        </w:tc>
        <w:tc>
          <w:tcPr>
            <w:tcW w:w="1559" w:type="dxa"/>
            <w:tcBorders>
              <w:left w:val="single" w:sz="4" w:space="0" w:color="auto"/>
            </w:tcBorders>
            <w:noWrap/>
            <w:vAlign w:val="center"/>
            <w:hideMark/>
          </w:tcPr>
          <w:p w14:paraId="2410693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298</w:t>
            </w:r>
          </w:p>
        </w:tc>
        <w:tc>
          <w:tcPr>
            <w:tcW w:w="1008" w:type="dxa"/>
            <w:tcBorders>
              <w:right w:val="single" w:sz="4" w:space="0" w:color="auto"/>
            </w:tcBorders>
            <w:vAlign w:val="center"/>
          </w:tcPr>
          <w:p w14:paraId="24A2260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6.66%</w:t>
            </w:r>
          </w:p>
        </w:tc>
        <w:tc>
          <w:tcPr>
            <w:tcW w:w="1560" w:type="dxa"/>
            <w:tcBorders>
              <w:left w:val="single" w:sz="4" w:space="0" w:color="auto"/>
            </w:tcBorders>
            <w:noWrap/>
            <w:vAlign w:val="center"/>
            <w:hideMark/>
          </w:tcPr>
          <w:p w14:paraId="7B98837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161</w:t>
            </w:r>
          </w:p>
        </w:tc>
        <w:tc>
          <w:tcPr>
            <w:tcW w:w="928" w:type="dxa"/>
            <w:tcBorders>
              <w:right w:val="single" w:sz="4" w:space="0" w:color="auto"/>
            </w:tcBorders>
            <w:vAlign w:val="center"/>
          </w:tcPr>
          <w:p w14:paraId="24F9938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3.60%</w:t>
            </w:r>
          </w:p>
        </w:tc>
        <w:tc>
          <w:tcPr>
            <w:tcW w:w="1701" w:type="dxa"/>
            <w:tcBorders>
              <w:left w:val="single" w:sz="4" w:space="0" w:color="auto"/>
            </w:tcBorders>
            <w:noWrap/>
            <w:vAlign w:val="center"/>
            <w:hideMark/>
          </w:tcPr>
          <w:p w14:paraId="159C72C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137</w:t>
            </w:r>
          </w:p>
        </w:tc>
        <w:tc>
          <w:tcPr>
            <w:tcW w:w="1061" w:type="dxa"/>
            <w:tcBorders>
              <w:right w:val="single" w:sz="4" w:space="0" w:color="auto"/>
            </w:tcBorders>
            <w:vAlign w:val="center"/>
          </w:tcPr>
          <w:p w14:paraId="2DEC685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3.06%</w:t>
            </w:r>
          </w:p>
        </w:tc>
        <w:tc>
          <w:tcPr>
            <w:tcW w:w="1300" w:type="dxa"/>
            <w:tcBorders>
              <w:left w:val="single" w:sz="4" w:space="0" w:color="auto"/>
            </w:tcBorders>
            <w:vAlign w:val="center"/>
          </w:tcPr>
          <w:p w14:paraId="616B3A2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810</w:t>
            </w:r>
          </w:p>
        </w:tc>
        <w:tc>
          <w:tcPr>
            <w:tcW w:w="1008" w:type="dxa"/>
            <w:tcBorders>
              <w:right w:val="single" w:sz="4" w:space="0" w:color="auto"/>
            </w:tcBorders>
            <w:vAlign w:val="center"/>
          </w:tcPr>
          <w:p w14:paraId="69A2C9A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18.10%</w:t>
            </w:r>
          </w:p>
        </w:tc>
      </w:tr>
      <w:tr w:rsidR="006C6B06" w:rsidRPr="00333B81" w14:paraId="4161B742"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0774F23F"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2C7E1ED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387</w:t>
            </w:r>
          </w:p>
        </w:tc>
        <w:tc>
          <w:tcPr>
            <w:tcW w:w="1008" w:type="dxa"/>
            <w:tcBorders>
              <w:right w:val="single" w:sz="4" w:space="0" w:color="auto"/>
            </w:tcBorders>
            <w:vAlign w:val="center"/>
          </w:tcPr>
          <w:p w14:paraId="7D723B0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8.65%</w:t>
            </w:r>
          </w:p>
        </w:tc>
        <w:tc>
          <w:tcPr>
            <w:tcW w:w="1559" w:type="dxa"/>
            <w:tcBorders>
              <w:left w:val="single" w:sz="4" w:space="0" w:color="auto"/>
            </w:tcBorders>
            <w:noWrap/>
            <w:vAlign w:val="center"/>
            <w:hideMark/>
          </w:tcPr>
          <w:p w14:paraId="224E7CD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150</w:t>
            </w:r>
          </w:p>
        </w:tc>
        <w:tc>
          <w:tcPr>
            <w:tcW w:w="1008" w:type="dxa"/>
            <w:tcBorders>
              <w:right w:val="single" w:sz="4" w:space="0" w:color="auto"/>
            </w:tcBorders>
            <w:vAlign w:val="center"/>
          </w:tcPr>
          <w:p w14:paraId="3818181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3.35%</w:t>
            </w:r>
          </w:p>
        </w:tc>
        <w:tc>
          <w:tcPr>
            <w:tcW w:w="1560" w:type="dxa"/>
            <w:tcBorders>
              <w:left w:val="single" w:sz="4" w:space="0" w:color="auto"/>
            </w:tcBorders>
            <w:noWrap/>
            <w:vAlign w:val="center"/>
            <w:hideMark/>
          </w:tcPr>
          <w:p w14:paraId="0F6168A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62</w:t>
            </w:r>
          </w:p>
        </w:tc>
        <w:tc>
          <w:tcPr>
            <w:tcW w:w="928" w:type="dxa"/>
            <w:tcBorders>
              <w:right w:val="single" w:sz="4" w:space="0" w:color="auto"/>
            </w:tcBorders>
            <w:vAlign w:val="center"/>
          </w:tcPr>
          <w:p w14:paraId="26F9766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1.39%</w:t>
            </w:r>
          </w:p>
        </w:tc>
        <w:tc>
          <w:tcPr>
            <w:tcW w:w="1701" w:type="dxa"/>
            <w:tcBorders>
              <w:left w:val="single" w:sz="4" w:space="0" w:color="auto"/>
            </w:tcBorders>
            <w:noWrap/>
            <w:vAlign w:val="center"/>
            <w:hideMark/>
          </w:tcPr>
          <w:p w14:paraId="4B40718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88</w:t>
            </w:r>
          </w:p>
        </w:tc>
        <w:tc>
          <w:tcPr>
            <w:tcW w:w="1061" w:type="dxa"/>
            <w:tcBorders>
              <w:right w:val="single" w:sz="4" w:space="0" w:color="auto"/>
            </w:tcBorders>
            <w:vAlign w:val="center"/>
          </w:tcPr>
          <w:p w14:paraId="024F807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1.97%</w:t>
            </w:r>
          </w:p>
        </w:tc>
        <w:tc>
          <w:tcPr>
            <w:tcW w:w="1300" w:type="dxa"/>
            <w:tcBorders>
              <w:left w:val="single" w:sz="4" w:space="0" w:color="auto"/>
            </w:tcBorders>
            <w:vAlign w:val="center"/>
          </w:tcPr>
          <w:p w14:paraId="3F01035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537</w:t>
            </w:r>
          </w:p>
        </w:tc>
        <w:tc>
          <w:tcPr>
            <w:tcW w:w="1008" w:type="dxa"/>
            <w:tcBorders>
              <w:right w:val="single" w:sz="4" w:space="0" w:color="auto"/>
            </w:tcBorders>
            <w:vAlign w:val="center"/>
          </w:tcPr>
          <w:p w14:paraId="24EA08D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12.00%</w:t>
            </w:r>
          </w:p>
        </w:tc>
      </w:tr>
      <w:tr w:rsidR="006C6B06" w:rsidRPr="00333B81" w14:paraId="52887C74"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5CC03DAF"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560B533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w:t>
            </w:r>
          </w:p>
        </w:tc>
        <w:tc>
          <w:tcPr>
            <w:tcW w:w="1008" w:type="dxa"/>
            <w:tcBorders>
              <w:right w:val="single" w:sz="4" w:space="0" w:color="auto"/>
            </w:tcBorders>
            <w:vAlign w:val="center"/>
          </w:tcPr>
          <w:p w14:paraId="0B8358D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0.27%</w:t>
            </w:r>
          </w:p>
        </w:tc>
        <w:tc>
          <w:tcPr>
            <w:tcW w:w="1559" w:type="dxa"/>
            <w:tcBorders>
              <w:left w:val="single" w:sz="4" w:space="0" w:color="auto"/>
            </w:tcBorders>
            <w:noWrap/>
            <w:vAlign w:val="center"/>
            <w:hideMark/>
          </w:tcPr>
          <w:p w14:paraId="48F4FCD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w:t>
            </w:r>
          </w:p>
        </w:tc>
        <w:tc>
          <w:tcPr>
            <w:tcW w:w="1008" w:type="dxa"/>
            <w:tcBorders>
              <w:right w:val="single" w:sz="4" w:space="0" w:color="auto"/>
            </w:tcBorders>
            <w:vAlign w:val="center"/>
          </w:tcPr>
          <w:p w14:paraId="7995774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0.27%</w:t>
            </w:r>
          </w:p>
        </w:tc>
        <w:tc>
          <w:tcPr>
            <w:tcW w:w="1560" w:type="dxa"/>
            <w:tcBorders>
              <w:left w:val="single" w:sz="4" w:space="0" w:color="auto"/>
            </w:tcBorders>
            <w:noWrap/>
            <w:vAlign w:val="center"/>
            <w:hideMark/>
          </w:tcPr>
          <w:p w14:paraId="760F076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w:t>
            </w:r>
          </w:p>
        </w:tc>
        <w:tc>
          <w:tcPr>
            <w:tcW w:w="928" w:type="dxa"/>
            <w:tcBorders>
              <w:right w:val="single" w:sz="4" w:space="0" w:color="auto"/>
            </w:tcBorders>
            <w:vAlign w:val="center"/>
          </w:tcPr>
          <w:p w14:paraId="399C2EC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0.16%</w:t>
            </w:r>
          </w:p>
        </w:tc>
        <w:tc>
          <w:tcPr>
            <w:tcW w:w="1701" w:type="dxa"/>
            <w:tcBorders>
              <w:left w:val="single" w:sz="4" w:space="0" w:color="auto"/>
            </w:tcBorders>
            <w:noWrap/>
            <w:vAlign w:val="center"/>
            <w:hideMark/>
          </w:tcPr>
          <w:p w14:paraId="37BB1D8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w:t>
            </w:r>
          </w:p>
        </w:tc>
        <w:tc>
          <w:tcPr>
            <w:tcW w:w="1061" w:type="dxa"/>
            <w:tcBorders>
              <w:right w:val="single" w:sz="4" w:space="0" w:color="auto"/>
            </w:tcBorders>
            <w:vAlign w:val="center"/>
          </w:tcPr>
          <w:p w14:paraId="20677A7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0.11%</w:t>
            </w:r>
          </w:p>
        </w:tc>
        <w:tc>
          <w:tcPr>
            <w:tcW w:w="1300" w:type="dxa"/>
            <w:tcBorders>
              <w:left w:val="single" w:sz="4" w:space="0" w:color="auto"/>
            </w:tcBorders>
            <w:vAlign w:val="center"/>
          </w:tcPr>
          <w:p w14:paraId="3CD2CFB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24</w:t>
            </w:r>
          </w:p>
        </w:tc>
        <w:tc>
          <w:tcPr>
            <w:tcW w:w="1008" w:type="dxa"/>
            <w:tcBorders>
              <w:right w:val="single" w:sz="4" w:space="0" w:color="auto"/>
            </w:tcBorders>
            <w:vAlign w:val="center"/>
          </w:tcPr>
          <w:p w14:paraId="7E77BC8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0.54%</w:t>
            </w:r>
          </w:p>
        </w:tc>
      </w:tr>
      <w:tr w:rsidR="006C6B06" w:rsidRPr="00333B81" w14:paraId="4936166C"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591B6041"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0A488FF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1,095</w:t>
            </w:r>
          </w:p>
        </w:tc>
        <w:tc>
          <w:tcPr>
            <w:tcW w:w="1008" w:type="dxa"/>
            <w:tcBorders>
              <w:right w:val="single" w:sz="4" w:space="0" w:color="auto"/>
            </w:tcBorders>
            <w:vAlign w:val="center"/>
          </w:tcPr>
          <w:p w14:paraId="1CC7648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24.47%</w:t>
            </w:r>
          </w:p>
        </w:tc>
        <w:tc>
          <w:tcPr>
            <w:tcW w:w="1559" w:type="dxa"/>
            <w:tcBorders>
              <w:left w:val="single" w:sz="4" w:space="0" w:color="auto"/>
            </w:tcBorders>
            <w:noWrap/>
            <w:vAlign w:val="center"/>
            <w:hideMark/>
          </w:tcPr>
          <w:p w14:paraId="28683D3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529</w:t>
            </w:r>
          </w:p>
        </w:tc>
        <w:tc>
          <w:tcPr>
            <w:tcW w:w="1008" w:type="dxa"/>
            <w:tcBorders>
              <w:right w:val="single" w:sz="4" w:space="0" w:color="auto"/>
            </w:tcBorders>
            <w:vAlign w:val="center"/>
          </w:tcPr>
          <w:p w14:paraId="4200A32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11.82%</w:t>
            </w:r>
          </w:p>
        </w:tc>
        <w:tc>
          <w:tcPr>
            <w:tcW w:w="1560" w:type="dxa"/>
            <w:tcBorders>
              <w:left w:val="single" w:sz="4" w:space="0" w:color="auto"/>
            </w:tcBorders>
            <w:noWrap/>
            <w:vAlign w:val="center"/>
            <w:hideMark/>
          </w:tcPr>
          <w:p w14:paraId="2D809A1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254</w:t>
            </w:r>
          </w:p>
        </w:tc>
        <w:tc>
          <w:tcPr>
            <w:tcW w:w="928" w:type="dxa"/>
            <w:tcBorders>
              <w:right w:val="single" w:sz="4" w:space="0" w:color="auto"/>
            </w:tcBorders>
            <w:vAlign w:val="center"/>
          </w:tcPr>
          <w:p w14:paraId="39A331C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5.68%</w:t>
            </w:r>
          </w:p>
        </w:tc>
        <w:tc>
          <w:tcPr>
            <w:tcW w:w="1701" w:type="dxa"/>
            <w:tcBorders>
              <w:left w:val="single" w:sz="4" w:space="0" w:color="auto"/>
            </w:tcBorders>
            <w:noWrap/>
            <w:vAlign w:val="center"/>
            <w:hideMark/>
          </w:tcPr>
          <w:p w14:paraId="44BA651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275</w:t>
            </w:r>
          </w:p>
        </w:tc>
        <w:tc>
          <w:tcPr>
            <w:tcW w:w="1061" w:type="dxa"/>
            <w:tcBorders>
              <w:right w:val="single" w:sz="4" w:space="0" w:color="auto"/>
            </w:tcBorders>
            <w:vAlign w:val="center"/>
          </w:tcPr>
          <w:p w14:paraId="3DC4A7C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6.15%</w:t>
            </w:r>
          </w:p>
        </w:tc>
        <w:tc>
          <w:tcPr>
            <w:tcW w:w="1300" w:type="dxa"/>
            <w:tcBorders>
              <w:left w:val="single" w:sz="4" w:space="0" w:color="auto"/>
            </w:tcBorders>
            <w:vAlign w:val="center"/>
          </w:tcPr>
          <w:p w14:paraId="3C654C4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1,624</w:t>
            </w:r>
          </w:p>
        </w:tc>
        <w:tc>
          <w:tcPr>
            <w:tcW w:w="1008" w:type="dxa"/>
            <w:tcBorders>
              <w:right w:val="single" w:sz="4" w:space="0" w:color="auto"/>
            </w:tcBorders>
            <w:vAlign w:val="center"/>
          </w:tcPr>
          <w:p w14:paraId="152BB7C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36.30%</w:t>
            </w:r>
          </w:p>
        </w:tc>
      </w:tr>
      <w:tr w:rsidR="006C6B06" w:rsidRPr="00333B81" w14:paraId="56718F86"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nil"/>
              <w:right w:val="single" w:sz="4" w:space="0" w:color="auto"/>
            </w:tcBorders>
            <w:noWrap/>
            <w:vAlign w:val="center"/>
            <w:hideMark/>
          </w:tcPr>
          <w:p w14:paraId="3B0711DD"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bottom w:val="nil"/>
            </w:tcBorders>
            <w:noWrap/>
            <w:vAlign w:val="center"/>
            <w:hideMark/>
          </w:tcPr>
          <w:p w14:paraId="194522F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1,788</w:t>
            </w:r>
          </w:p>
        </w:tc>
        <w:tc>
          <w:tcPr>
            <w:tcW w:w="1008" w:type="dxa"/>
            <w:tcBorders>
              <w:bottom w:val="nil"/>
              <w:right w:val="single" w:sz="4" w:space="0" w:color="auto"/>
            </w:tcBorders>
            <w:vAlign w:val="center"/>
          </w:tcPr>
          <w:p w14:paraId="0C5AB20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39.96%</w:t>
            </w:r>
          </w:p>
        </w:tc>
        <w:tc>
          <w:tcPr>
            <w:tcW w:w="1559" w:type="dxa"/>
            <w:tcBorders>
              <w:left w:val="single" w:sz="4" w:space="0" w:color="auto"/>
              <w:bottom w:val="nil"/>
            </w:tcBorders>
            <w:noWrap/>
            <w:vAlign w:val="center"/>
            <w:hideMark/>
          </w:tcPr>
          <w:p w14:paraId="0E6D542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1,062</w:t>
            </w:r>
          </w:p>
        </w:tc>
        <w:tc>
          <w:tcPr>
            <w:tcW w:w="1008" w:type="dxa"/>
            <w:tcBorders>
              <w:bottom w:val="nil"/>
              <w:right w:val="single" w:sz="4" w:space="0" w:color="auto"/>
            </w:tcBorders>
            <w:vAlign w:val="center"/>
          </w:tcPr>
          <w:p w14:paraId="1342DF5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23.74%</w:t>
            </w:r>
          </w:p>
        </w:tc>
        <w:tc>
          <w:tcPr>
            <w:tcW w:w="1560" w:type="dxa"/>
            <w:tcBorders>
              <w:left w:val="single" w:sz="4" w:space="0" w:color="auto"/>
              <w:bottom w:val="nil"/>
            </w:tcBorders>
            <w:noWrap/>
            <w:vAlign w:val="center"/>
            <w:hideMark/>
          </w:tcPr>
          <w:p w14:paraId="077F182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519</w:t>
            </w:r>
          </w:p>
        </w:tc>
        <w:tc>
          <w:tcPr>
            <w:tcW w:w="928" w:type="dxa"/>
            <w:tcBorders>
              <w:bottom w:val="nil"/>
              <w:right w:val="single" w:sz="4" w:space="0" w:color="auto"/>
            </w:tcBorders>
            <w:vAlign w:val="center"/>
          </w:tcPr>
          <w:p w14:paraId="31CD3F5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11.60%</w:t>
            </w:r>
          </w:p>
        </w:tc>
        <w:tc>
          <w:tcPr>
            <w:tcW w:w="1701" w:type="dxa"/>
            <w:tcBorders>
              <w:left w:val="single" w:sz="4" w:space="0" w:color="auto"/>
              <w:bottom w:val="nil"/>
            </w:tcBorders>
            <w:noWrap/>
            <w:vAlign w:val="center"/>
            <w:hideMark/>
          </w:tcPr>
          <w:p w14:paraId="2A03E3E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543</w:t>
            </w:r>
          </w:p>
        </w:tc>
        <w:tc>
          <w:tcPr>
            <w:tcW w:w="1061" w:type="dxa"/>
            <w:tcBorders>
              <w:bottom w:val="nil"/>
              <w:right w:val="single" w:sz="4" w:space="0" w:color="auto"/>
            </w:tcBorders>
            <w:vAlign w:val="center"/>
          </w:tcPr>
          <w:p w14:paraId="724A824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12.14%</w:t>
            </w:r>
          </w:p>
        </w:tc>
        <w:tc>
          <w:tcPr>
            <w:tcW w:w="1300" w:type="dxa"/>
            <w:tcBorders>
              <w:left w:val="single" w:sz="4" w:space="0" w:color="auto"/>
              <w:bottom w:val="nil"/>
            </w:tcBorders>
            <w:vAlign w:val="center"/>
          </w:tcPr>
          <w:p w14:paraId="2F74156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2,850</w:t>
            </w:r>
          </w:p>
        </w:tc>
        <w:tc>
          <w:tcPr>
            <w:tcW w:w="1008" w:type="dxa"/>
            <w:tcBorders>
              <w:bottom w:val="nil"/>
              <w:right w:val="single" w:sz="4" w:space="0" w:color="auto"/>
            </w:tcBorders>
            <w:vAlign w:val="center"/>
          </w:tcPr>
          <w:p w14:paraId="13664BA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63.70%</w:t>
            </w:r>
          </w:p>
        </w:tc>
      </w:tr>
      <w:tr w:rsidR="006C6B06" w:rsidRPr="00333B81" w14:paraId="45B9BFC7"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nil"/>
              <w:left w:val="single" w:sz="4" w:space="0" w:color="auto"/>
              <w:bottom w:val="single" w:sz="4" w:space="0" w:color="auto"/>
              <w:right w:val="single" w:sz="4" w:space="0" w:color="auto"/>
            </w:tcBorders>
            <w:noWrap/>
            <w:hideMark/>
          </w:tcPr>
          <w:p w14:paraId="5D9BEE8E"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noWrap/>
            <w:vAlign w:val="center"/>
            <w:hideMark/>
          </w:tcPr>
          <w:p w14:paraId="421BA67C"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2,883</w:t>
            </w:r>
          </w:p>
        </w:tc>
        <w:tc>
          <w:tcPr>
            <w:tcW w:w="1008" w:type="dxa"/>
            <w:tcBorders>
              <w:top w:val="nil"/>
              <w:bottom w:val="single" w:sz="4" w:space="0" w:color="auto"/>
              <w:right w:val="single" w:sz="4" w:space="0" w:color="auto"/>
            </w:tcBorders>
            <w:vAlign w:val="center"/>
          </w:tcPr>
          <w:p w14:paraId="39CEC84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64.44%</w:t>
            </w:r>
          </w:p>
        </w:tc>
        <w:tc>
          <w:tcPr>
            <w:tcW w:w="1559" w:type="dxa"/>
            <w:tcBorders>
              <w:top w:val="nil"/>
              <w:left w:val="single" w:sz="4" w:space="0" w:color="auto"/>
              <w:bottom w:val="single" w:sz="4" w:space="0" w:color="auto"/>
            </w:tcBorders>
            <w:noWrap/>
            <w:vAlign w:val="center"/>
            <w:hideMark/>
          </w:tcPr>
          <w:p w14:paraId="4CE60E7B"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1,591</w:t>
            </w:r>
          </w:p>
        </w:tc>
        <w:tc>
          <w:tcPr>
            <w:tcW w:w="1008" w:type="dxa"/>
            <w:tcBorders>
              <w:top w:val="nil"/>
              <w:bottom w:val="single" w:sz="4" w:space="0" w:color="auto"/>
              <w:right w:val="single" w:sz="4" w:space="0" w:color="auto"/>
            </w:tcBorders>
            <w:vAlign w:val="center"/>
          </w:tcPr>
          <w:p w14:paraId="30C6517D"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35.56%</w:t>
            </w:r>
          </w:p>
        </w:tc>
        <w:tc>
          <w:tcPr>
            <w:tcW w:w="1560" w:type="dxa"/>
            <w:tcBorders>
              <w:top w:val="nil"/>
              <w:left w:val="single" w:sz="4" w:space="0" w:color="auto"/>
              <w:bottom w:val="single" w:sz="4" w:space="0" w:color="auto"/>
            </w:tcBorders>
            <w:noWrap/>
            <w:vAlign w:val="center"/>
            <w:hideMark/>
          </w:tcPr>
          <w:p w14:paraId="4330E2DB"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773</w:t>
            </w:r>
          </w:p>
        </w:tc>
        <w:tc>
          <w:tcPr>
            <w:tcW w:w="928" w:type="dxa"/>
            <w:tcBorders>
              <w:top w:val="nil"/>
              <w:bottom w:val="single" w:sz="4" w:space="0" w:color="auto"/>
              <w:right w:val="single" w:sz="4" w:space="0" w:color="auto"/>
            </w:tcBorders>
            <w:vAlign w:val="center"/>
          </w:tcPr>
          <w:p w14:paraId="457BB91C"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17.28%</w:t>
            </w:r>
          </w:p>
        </w:tc>
        <w:tc>
          <w:tcPr>
            <w:tcW w:w="1701" w:type="dxa"/>
            <w:tcBorders>
              <w:top w:val="nil"/>
              <w:left w:val="single" w:sz="4" w:space="0" w:color="auto"/>
              <w:bottom w:val="single" w:sz="4" w:space="0" w:color="auto"/>
            </w:tcBorders>
            <w:noWrap/>
            <w:vAlign w:val="center"/>
            <w:hideMark/>
          </w:tcPr>
          <w:p w14:paraId="367940F0"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818</w:t>
            </w:r>
          </w:p>
        </w:tc>
        <w:tc>
          <w:tcPr>
            <w:tcW w:w="1061" w:type="dxa"/>
            <w:tcBorders>
              <w:top w:val="nil"/>
              <w:bottom w:val="single" w:sz="4" w:space="0" w:color="auto"/>
              <w:right w:val="single" w:sz="4" w:space="0" w:color="auto"/>
            </w:tcBorders>
            <w:vAlign w:val="center"/>
          </w:tcPr>
          <w:p w14:paraId="64BD01E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18.28%</w:t>
            </w:r>
          </w:p>
        </w:tc>
        <w:tc>
          <w:tcPr>
            <w:tcW w:w="1300" w:type="dxa"/>
            <w:tcBorders>
              <w:top w:val="nil"/>
              <w:left w:val="single" w:sz="4" w:space="0" w:color="auto"/>
              <w:bottom w:val="single" w:sz="4" w:space="0" w:color="auto"/>
            </w:tcBorders>
            <w:vAlign w:val="center"/>
          </w:tcPr>
          <w:p w14:paraId="41FE655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4,474</w:t>
            </w:r>
          </w:p>
        </w:tc>
        <w:tc>
          <w:tcPr>
            <w:tcW w:w="1008" w:type="dxa"/>
            <w:tcBorders>
              <w:top w:val="nil"/>
              <w:bottom w:val="single" w:sz="4" w:space="0" w:color="auto"/>
              <w:right w:val="single" w:sz="4" w:space="0" w:color="auto"/>
            </w:tcBorders>
            <w:vAlign w:val="center"/>
          </w:tcPr>
          <w:p w14:paraId="5782887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9.14%</w:t>
            </w:r>
          </w:p>
        </w:tc>
      </w:tr>
    </w:tbl>
    <w:p w14:paraId="01FF15E1" w14:textId="77777777" w:rsidR="006C6B06" w:rsidRDefault="006C6B06" w:rsidP="00CE2FDF">
      <w:pPr>
        <w:spacing w:before="0"/>
      </w:pPr>
      <w:r>
        <w:rPr>
          <w:b/>
          <w:bCs/>
        </w:rPr>
        <w:br w:type="page"/>
      </w:r>
    </w:p>
    <w:tbl>
      <w:tblPr>
        <w:tblStyle w:val="LightShading-Accent2"/>
        <w:tblW w:w="14786" w:type="dxa"/>
        <w:tblLook w:val="04A0" w:firstRow="1" w:lastRow="0" w:firstColumn="1" w:lastColumn="0" w:noHBand="0" w:noVBand="1"/>
        <w:tblCaption w:val="Number of reports of sexual abuse, by year, reporter group, and outcome"/>
      </w:tblPr>
      <w:tblGrid>
        <w:gridCol w:w="2236"/>
        <w:gridCol w:w="1417"/>
        <w:gridCol w:w="1008"/>
        <w:gridCol w:w="1559"/>
        <w:gridCol w:w="1008"/>
        <w:gridCol w:w="1560"/>
        <w:gridCol w:w="928"/>
        <w:gridCol w:w="1701"/>
        <w:gridCol w:w="1061"/>
        <w:gridCol w:w="1300"/>
        <w:gridCol w:w="1008"/>
      </w:tblGrid>
      <w:tr w:rsidR="006C6B06" w:rsidRPr="00333B81" w14:paraId="16394AC3"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31F71163" w14:textId="77777777" w:rsidR="006C6B06" w:rsidRPr="00333B81" w:rsidRDefault="006C6B06" w:rsidP="00CE2FDF">
            <w:pPr>
              <w:tabs>
                <w:tab w:val="left" w:pos="1134"/>
              </w:tabs>
              <w:spacing w:before="0" w:line="276" w:lineRule="auto"/>
              <w:jc w:val="center"/>
              <w:rPr>
                <w:rFonts w:eastAsia="Times New Roman" w:cs="Arial"/>
                <w:color w:val="auto"/>
                <w:sz w:val="20"/>
                <w:szCs w:val="20"/>
                <w:lang w:eastAsia="en-AU"/>
              </w:rPr>
            </w:pPr>
          </w:p>
        </w:tc>
        <w:tc>
          <w:tcPr>
            <w:tcW w:w="2425"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E62C2BB"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Not investigated</w:t>
            </w:r>
          </w:p>
        </w:tc>
        <w:tc>
          <w:tcPr>
            <w:tcW w:w="2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DD56084"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Investigated</w:t>
            </w:r>
          </w:p>
        </w:tc>
        <w:tc>
          <w:tcPr>
            <w:tcW w:w="248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DE48709"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Substantiated</w:t>
            </w:r>
          </w:p>
        </w:tc>
        <w:tc>
          <w:tcPr>
            <w:tcW w:w="276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31D515E"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333B81">
              <w:rPr>
                <w:rFonts w:eastAsia="Times New Roman" w:cs="Arial"/>
                <w:color w:val="auto"/>
                <w:sz w:val="20"/>
                <w:szCs w:val="20"/>
                <w:lang w:eastAsia="en-AU"/>
              </w:rPr>
              <w:t>Not substantiated</w:t>
            </w:r>
          </w:p>
        </w:tc>
        <w:tc>
          <w:tcPr>
            <w:tcW w:w="230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36C7489C"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eastAsia="en-AU"/>
              </w:rPr>
            </w:pPr>
            <w:r w:rsidRPr="00333B81">
              <w:rPr>
                <w:rFonts w:eastAsia="Times New Roman" w:cs="Arial"/>
                <w:color w:val="auto"/>
                <w:sz w:val="20"/>
                <w:szCs w:val="20"/>
                <w:lang w:eastAsia="en-AU"/>
              </w:rPr>
              <w:t>Total</w:t>
            </w:r>
          </w:p>
        </w:tc>
      </w:tr>
      <w:tr w:rsidR="002418F8" w:rsidRPr="00333B81" w14:paraId="78F116C5"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2EF5D642"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2007</w:t>
            </w:r>
          </w:p>
        </w:tc>
        <w:tc>
          <w:tcPr>
            <w:tcW w:w="1417" w:type="dxa"/>
            <w:tcBorders>
              <w:top w:val="single" w:sz="4" w:space="0" w:color="auto"/>
              <w:left w:val="single" w:sz="4" w:space="0" w:color="auto"/>
            </w:tcBorders>
            <w:noWrap/>
            <w:vAlign w:val="center"/>
            <w:hideMark/>
          </w:tcPr>
          <w:p w14:paraId="28297D64"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08" w:type="dxa"/>
            <w:tcBorders>
              <w:top w:val="single" w:sz="4" w:space="0" w:color="auto"/>
              <w:right w:val="single" w:sz="4" w:space="0" w:color="auto"/>
            </w:tcBorders>
            <w:vAlign w:val="center"/>
          </w:tcPr>
          <w:p w14:paraId="5ABC2FE1"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559" w:type="dxa"/>
            <w:tcBorders>
              <w:top w:val="single" w:sz="4" w:space="0" w:color="auto"/>
              <w:left w:val="single" w:sz="4" w:space="0" w:color="auto"/>
            </w:tcBorders>
            <w:noWrap/>
            <w:vAlign w:val="center"/>
            <w:hideMark/>
          </w:tcPr>
          <w:p w14:paraId="0085C0AE"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08" w:type="dxa"/>
            <w:tcBorders>
              <w:top w:val="single" w:sz="4" w:space="0" w:color="auto"/>
              <w:right w:val="single" w:sz="4" w:space="0" w:color="auto"/>
            </w:tcBorders>
            <w:vAlign w:val="center"/>
          </w:tcPr>
          <w:p w14:paraId="263D82F1"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560" w:type="dxa"/>
            <w:tcBorders>
              <w:top w:val="single" w:sz="4" w:space="0" w:color="auto"/>
              <w:left w:val="single" w:sz="4" w:space="0" w:color="auto"/>
            </w:tcBorders>
            <w:noWrap/>
            <w:vAlign w:val="center"/>
            <w:hideMark/>
          </w:tcPr>
          <w:p w14:paraId="20D52614"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928" w:type="dxa"/>
            <w:tcBorders>
              <w:top w:val="single" w:sz="4" w:space="0" w:color="auto"/>
              <w:right w:val="single" w:sz="4" w:space="0" w:color="auto"/>
            </w:tcBorders>
            <w:vAlign w:val="center"/>
          </w:tcPr>
          <w:p w14:paraId="2C229A08"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701" w:type="dxa"/>
            <w:tcBorders>
              <w:top w:val="single" w:sz="4" w:space="0" w:color="auto"/>
              <w:left w:val="single" w:sz="4" w:space="0" w:color="auto"/>
            </w:tcBorders>
            <w:noWrap/>
            <w:vAlign w:val="center"/>
            <w:hideMark/>
          </w:tcPr>
          <w:p w14:paraId="467BEF0C"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61" w:type="dxa"/>
            <w:tcBorders>
              <w:top w:val="single" w:sz="4" w:space="0" w:color="auto"/>
              <w:right w:val="single" w:sz="4" w:space="0" w:color="auto"/>
            </w:tcBorders>
            <w:vAlign w:val="center"/>
          </w:tcPr>
          <w:p w14:paraId="1B8E8228"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300" w:type="dxa"/>
            <w:tcBorders>
              <w:top w:val="single" w:sz="4" w:space="0" w:color="auto"/>
              <w:left w:val="single" w:sz="4" w:space="0" w:color="auto"/>
            </w:tcBorders>
            <w:vAlign w:val="center"/>
          </w:tcPr>
          <w:p w14:paraId="4523EBC8"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 </w:t>
            </w:r>
          </w:p>
        </w:tc>
        <w:tc>
          <w:tcPr>
            <w:tcW w:w="1008" w:type="dxa"/>
            <w:tcBorders>
              <w:top w:val="single" w:sz="4" w:space="0" w:color="auto"/>
              <w:right w:val="single" w:sz="4" w:space="0" w:color="auto"/>
            </w:tcBorders>
            <w:vAlign w:val="center"/>
          </w:tcPr>
          <w:p w14:paraId="0E193AC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333B81">
              <w:rPr>
                <w:bCs/>
                <w:color w:val="auto"/>
                <w:sz w:val="20"/>
                <w:szCs w:val="20"/>
              </w:rPr>
              <w:t> </w:t>
            </w:r>
          </w:p>
        </w:tc>
      </w:tr>
      <w:tr w:rsidR="006C6B06" w:rsidRPr="00333B81" w14:paraId="47931DF9"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54037708"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23FA444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72</w:t>
            </w:r>
          </w:p>
        </w:tc>
        <w:tc>
          <w:tcPr>
            <w:tcW w:w="1008" w:type="dxa"/>
            <w:tcBorders>
              <w:right w:val="single" w:sz="4" w:space="0" w:color="auto"/>
            </w:tcBorders>
            <w:vAlign w:val="center"/>
          </w:tcPr>
          <w:p w14:paraId="531B020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2.31%</w:t>
            </w:r>
          </w:p>
        </w:tc>
        <w:tc>
          <w:tcPr>
            <w:tcW w:w="1559" w:type="dxa"/>
            <w:tcBorders>
              <w:left w:val="single" w:sz="4" w:space="0" w:color="auto"/>
            </w:tcBorders>
            <w:noWrap/>
            <w:vAlign w:val="center"/>
            <w:hideMark/>
          </w:tcPr>
          <w:p w14:paraId="4E28DDD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44</w:t>
            </w:r>
          </w:p>
        </w:tc>
        <w:tc>
          <w:tcPr>
            <w:tcW w:w="1008" w:type="dxa"/>
            <w:tcBorders>
              <w:right w:val="single" w:sz="4" w:space="0" w:color="auto"/>
            </w:tcBorders>
            <w:vAlign w:val="center"/>
          </w:tcPr>
          <w:p w14:paraId="10D4710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1.41%</w:t>
            </w:r>
          </w:p>
        </w:tc>
        <w:tc>
          <w:tcPr>
            <w:tcW w:w="1560" w:type="dxa"/>
            <w:tcBorders>
              <w:left w:val="single" w:sz="4" w:space="0" w:color="auto"/>
            </w:tcBorders>
            <w:noWrap/>
            <w:vAlign w:val="center"/>
            <w:hideMark/>
          </w:tcPr>
          <w:p w14:paraId="410007A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17</w:t>
            </w:r>
          </w:p>
        </w:tc>
        <w:tc>
          <w:tcPr>
            <w:tcW w:w="928" w:type="dxa"/>
            <w:tcBorders>
              <w:right w:val="single" w:sz="4" w:space="0" w:color="auto"/>
            </w:tcBorders>
            <w:vAlign w:val="center"/>
          </w:tcPr>
          <w:p w14:paraId="39329F2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0.55%</w:t>
            </w:r>
          </w:p>
        </w:tc>
        <w:tc>
          <w:tcPr>
            <w:tcW w:w="1701" w:type="dxa"/>
            <w:tcBorders>
              <w:left w:val="single" w:sz="4" w:space="0" w:color="auto"/>
              <w:right w:val="nil"/>
            </w:tcBorders>
            <w:noWrap/>
            <w:vAlign w:val="center"/>
            <w:hideMark/>
          </w:tcPr>
          <w:p w14:paraId="660FB2C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27</w:t>
            </w:r>
          </w:p>
        </w:tc>
        <w:tc>
          <w:tcPr>
            <w:tcW w:w="1061" w:type="dxa"/>
            <w:tcBorders>
              <w:left w:val="nil"/>
              <w:right w:val="single" w:sz="4" w:space="0" w:color="auto"/>
            </w:tcBorders>
            <w:vAlign w:val="center"/>
          </w:tcPr>
          <w:p w14:paraId="034AEE9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0.87%</w:t>
            </w:r>
          </w:p>
        </w:tc>
        <w:tc>
          <w:tcPr>
            <w:tcW w:w="1300" w:type="dxa"/>
            <w:tcBorders>
              <w:left w:val="single" w:sz="4" w:space="0" w:color="auto"/>
            </w:tcBorders>
            <w:vAlign w:val="center"/>
          </w:tcPr>
          <w:p w14:paraId="6CB0C0D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116</w:t>
            </w:r>
          </w:p>
        </w:tc>
        <w:tc>
          <w:tcPr>
            <w:tcW w:w="1008" w:type="dxa"/>
            <w:tcBorders>
              <w:right w:val="single" w:sz="4" w:space="0" w:color="auto"/>
            </w:tcBorders>
            <w:vAlign w:val="center"/>
          </w:tcPr>
          <w:p w14:paraId="53E3071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3.73%</w:t>
            </w:r>
          </w:p>
        </w:tc>
      </w:tr>
      <w:tr w:rsidR="006C6B06" w:rsidRPr="00333B81" w14:paraId="096160E0"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1F1AA87"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5F27EB6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37</w:t>
            </w:r>
          </w:p>
        </w:tc>
        <w:tc>
          <w:tcPr>
            <w:tcW w:w="1008" w:type="dxa"/>
            <w:tcBorders>
              <w:right w:val="single" w:sz="4" w:space="0" w:color="auto"/>
            </w:tcBorders>
            <w:vAlign w:val="center"/>
          </w:tcPr>
          <w:p w14:paraId="197F0A6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1.19%</w:t>
            </w:r>
          </w:p>
        </w:tc>
        <w:tc>
          <w:tcPr>
            <w:tcW w:w="1559" w:type="dxa"/>
            <w:tcBorders>
              <w:left w:val="single" w:sz="4" w:space="0" w:color="auto"/>
            </w:tcBorders>
            <w:noWrap/>
            <w:vAlign w:val="center"/>
            <w:hideMark/>
          </w:tcPr>
          <w:p w14:paraId="39BF543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30</w:t>
            </w:r>
          </w:p>
        </w:tc>
        <w:tc>
          <w:tcPr>
            <w:tcW w:w="1008" w:type="dxa"/>
            <w:tcBorders>
              <w:right w:val="single" w:sz="4" w:space="0" w:color="auto"/>
            </w:tcBorders>
            <w:vAlign w:val="center"/>
          </w:tcPr>
          <w:p w14:paraId="7C0F3F7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0.96%</w:t>
            </w:r>
          </w:p>
        </w:tc>
        <w:tc>
          <w:tcPr>
            <w:tcW w:w="1560" w:type="dxa"/>
            <w:tcBorders>
              <w:left w:val="single" w:sz="4" w:space="0" w:color="auto"/>
            </w:tcBorders>
            <w:noWrap/>
            <w:vAlign w:val="center"/>
            <w:hideMark/>
          </w:tcPr>
          <w:p w14:paraId="70027E8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w:t>
            </w:r>
          </w:p>
        </w:tc>
        <w:tc>
          <w:tcPr>
            <w:tcW w:w="928" w:type="dxa"/>
            <w:tcBorders>
              <w:right w:val="single" w:sz="4" w:space="0" w:color="auto"/>
            </w:tcBorders>
            <w:vAlign w:val="center"/>
          </w:tcPr>
          <w:p w14:paraId="2ABC501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0.45%</w:t>
            </w:r>
          </w:p>
        </w:tc>
        <w:tc>
          <w:tcPr>
            <w:tcW w:w="1701" w:type="dxa"/>
            <w:tcBorders>
              <w:left w:val="single" w:sz="4" w:space="0" w:color="auto"/>
            </w:tcBorders>
            <w:noWrap/>
            <w:vAlign w:val="center"/>
            <w:hideMark/>
          </w:tcPr>
          <w:p w14:paraId="155A515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16</w:t>
            </w:r>
          </w:p>
        </w:tc>
        <w:tc>
          <w:tcPr>
            <w:tcW w:w="1061" w:type="dxa"/>
            <w:tcBorders>
              <w:right w:val="single" w:sz="4" w:space="0" w:color="auto"/>
            </w:tcBorders>
            <w:vAlign w:val="center"/>
          </w:tcPr>
          <w:p w14:paraId="44F014A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0.51%</w:t>
            </w:r>
          </w:p>
        </w:tc>
        <w:tc>
          <w:tcPr>
            <w:tcW w:w="1300" w:type="dxa"/>
            <w:tcBorders>
              <w:left w:val="single" w:sz="4" w:space="0" w:color="auto"/>
            </w:tcBorders>
            <w:vAlign w:val="center"/>
          </w:tcPr>
          <w:p w14:paraId="4956446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67</w:t>
            </w:r>
          </w:p>
        </w:tc>
        <w:tc>
          <w:tcPr>
            <w:tcW w:w="1008" w:type="dxa"/>
            <w:tcBorders>
              <w:right w:val="single" w:sz="4" w:space="0" w:color="auto"/>
            </w:tcBorders>
            <w:vAlign w:val="center"/>
          </w:tcPr>
          <w:p w14:paraId="0D8A300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2.15%</w:t>
            </w:r>
          </w:p>
        </w:tc>
      </w:tr>
      <w:tr w:rsidR="006C6B06" w:rsidRPr="00333B81" w14:paraId="24DA3ACB"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7CE2D2A"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3BA7A28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345</w:t>
            </w:r>
          </w:p>
        </w:tc>
        <w:tc>
          <w:tcPr>
            <w:tcW w:w="1008" w:type="dxa"/>
            <w:tcBorders>
              <w:right w:val="single" w:sz="4" w:space="0" w:color="auto"/>
            </w:tcBorders>
            <w:vAlign w:val="center"/>
          </w:tcPr>
          <w:p w14:paraId="291257F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11.08%</w:t>
            </w:r>
          </w:p>
        </w:tc>
        <w:tc>
          <w:tcPr>
            <w:tcW w:w="1559" w:type="dxa"/>
            <w:tcBorders>
              <w:left w:val="single" w:sz="4" w:space="0" w:color="auto"/>
            </w:tcBorders>
            <w:noWrap/>
            <w:vAlign w:val="center"/>
            <w:hideMark/>
          </w:tcPr>
          <w:p w14:paraId="3FC5EA3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353</w:t>
            </w:r>
          </w:p>
        </w:tc>
        <w:tc>
          <w:tcPr>
            <w:tcW w:w="1008" w:type="dxa"/>
            <w:tcBorders>
              <w:right w:val="single" w:sz="4" w:space="0" w:color="auto"/>
            </w:tcBorders>
            <w:vAlign w:val="center"/>
          </w:tcPr>
          <w:p w14:paraId="26B7E68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11.34%</w:t>
            </w:r>
          </w:p>
        </w:tc>
        <w:tc>
          <w:tcPr>
            <w:tcW w:w="1560" w:type="dxa"/>
            <w:tcBorders>
              <w:left w:val="single" w:sz="4" w:space="0" w:color="auto"/>
            </w:tcBorders>
            <w:noWrap/>
            <w:vAlign w:val="center"/>
            <w:hideMark/>
          </w:tcPr>
          <w:p w14:paraId="78137DA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195</w:t>
            </w:r>
          </w:p>
        </w:tc>
        <w:tc>
          <w:tcPr>
            <w:tcW w:w="928" w:type="dxa"/>
            <w:tcBorders>
              <w:right w:val="single" w:sz="4" w:space="0" w:color="auto"/>
            </w:tcBorders>
            <w:vAlign w:val="center"/>
          </w:tcPr>
          <w:p w14:paraId="1EC7EA0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6.26%</w:t>
            </w:r>
          </w:p>
        </w:tc>
        <w:tc>
          <w:tcPr>
            <w:tcW w:w="1701" w:type="dxa"/>
            <w:tcBorders>
              <w:left w:val="single" w:sz="4" w:space="0" w:color="auto"/>
              <w:right w:val="nil"/>
            </w:tcBorders>
            <w:noWrap/>
            <w:vAlign w:val="center"/>
            <w:hideMark/>
          </w:tcPr>
          <w:p w14:paraId="766AB6B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158</w:t>
            </w:r>
          </w:p>
        </w:tc>
        <w:tc>
          <w:tcPr>
            <w:tcW w:w="1061" w:type="dxa"/>
            <w:tcBorders>
              <w:left w:val="nil"/>
              <w:right w:val="single" w:sz="4" w:space="0" w:color="auto"/>
            </w:tcBorders>
            <w:vAlign w:val="center"/>
          </w:tcPr>
          <w:p w14:paraId="76F1251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5.08%</w:t>
            </w:r>
          </w:p>
        </w:tc>
        <w:tc>
          <w:tcPr>
            <w:tcW w:w="1300" w:type="dxa"/>
            <w:tcBorders>
              <w:left w:val="single" w:sz="4" w:space="0" w:color="auto"/>
            </w:tcBorders>
            <w:vAlign w:val="center"/>
          </w:tcPr>
          <w:p w14:paraId="1C2982B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698</w:t>
            </w:r>
          </w:p>
        </w:tc>
        <w:tc>
          <w:tcPr>
            <w:tcW w:w="1008" w:type="dxa"/>
            <w:tcBorders>
              <w:right w:val="single" w:sz="4" w:space="0" w:color="auto"/>
            </w:tcBorders>
            <w:vAlign w:val="center"/>
          </w:tcPr>
          <w:p w14:paraId="7F88240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22.42%</w:t>
            </w:r>
          </w:p>
        </w:tc>
      </w:tr>
      <w:tr w:rsidR="006C6B06" w:rsidRPr="00333B81" w14:paraId="4F9B3E29"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30E3E1C"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3471932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265</w:t>
            </w:r>
          </w:p>
        </w:tc>
        <w:tc>
          <w:tcPr>
            <w:tcW w:w="1008" w:type="dxa"/>
            <w:tcBorders>
              <w:right w:val="single" w:sz="4" w:space="0" w:color="auto"/>
            </w:tcBorders>
            <w:vAlign w:val="center"/>
          </w:tcPr>
          <w:p w14:paraId="04266CD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8.51%</w:t>
            </w:r>
          </w:p>
        </w:tc>
        <w:tc>
          <w:tcPr>
            <w:tcW w:w="1559" w:type="dxa"/>
            <w:tcBorders>
              <w:left w:val="single" w:sz="4" w:space="0" w:color="auto"/>
            </w:tcBorders>
            <w:noWrap/>
            <w:vAlign w:val="center"/>
            <w:hideMark/>
          </w:tcPr>
          <w:p w14:paraId="51299C9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155</w:t>
            </w:r>
          </w:p>
        </w:tc>
        <w:tc>
          <w:tcPr>
            <w:tcW w:w="1008" w:type="dxa"/>
            <w:tcBorders>
              <w:right w:val="single" w:sz="4" w:space="0" w:color="auto"/>
            </w:tcBorders>
            <w:vAlign w:val="center"/>
          </w:tcPr>
          <w:p w14:paraId="446920B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4.98%</w:t>
            </w:r>
          </w:p>
        </w:tc>
        <w:tc>
          <w:tcPr>
            <w:tcW w:w="1560" w:type="dxa"/>
            <w:tcBorders>
              <w:left w:val="single" w:sz="4" w:space="0" w:color="auto"/>
            </w:tcBorders>
            <w:noWrap/>
            <w:vAlign w:val="center"/>
            <w:hideMark/>
          </w:tcPr>
          <w:p w14:paraId="101856A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70</w:t>
            </w:r>
          </w:p>
        </w:tc>
        <w:tc>
          <w:tcPr>
            <w:tcW w:w="928" w:type="dxa"/>
            <w:tcBorders>
              <w:right w:val="single" w:sz="4" w:space="0" w:color="auto"/>
            </w:tcBorders>
            <w:vAlign w:val="center"/>
          </w:tcPr>
          <w:p w14:paraId="10C2416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2.25%</w:t>
            </w:r>
          </w:p>
        </w:tc>
        <w:tc>
          <w:tcPr>
            <w:tcW w:w="1701" w:type="dxa"/>
            <w:tcBorders>
              <w:left w:val="single" w:sz="4" w:space="0" w:color="auto"/>
            </w:tcBorders>
            <w:noWrap/>
            <w:vAlign w:val="center"/>
            <w:hideMark/>
          </w:tcPr>
          <w:p w14:paraId="0752FCD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85</w:t>
            </w:r>
          </w:p>
        </w:tc>
        <w:tc>
          <w:tcPr>
            <w:tcW w:w="1061" w:type="dxa"/>
            <w:tcBorders>
              <w:right w:val="single" w:sz="4" w:space="0" w:color="auto"/>
            </w:tcBorders>
            <w:vAlign w:val="center"/>
          </w:tcPr>
          <w:p w14:paraId="15BB368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2.73%</w:t>
            </w:r>
          </w:p>
        </w:tc>
        <w:tc>
          <w:tcPr>
            <w:tcW w:w="1300" w:type="dxa"/>
            <w:tcBorders>
              <w:left w:val="single" w:sz="4" w:space="0" w:color="auto"/>
            </w:tcBorders>
            <w:vAlign w:val="center"/>
          </w:tcPr>
          <w:p w14:paraId="4A26974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420</w:t>
            </w:r>
          </w:p>
        </w:tc>
        <w:tc>
          <w:tcPr>
            <w:tcW w:w="1008" w:type="dxa"/>
            <w:tcBorders>
              <w:right w:val="single" w:sz="4" w:space="0" w:color="auto"/>
            </w:tcBorders>
            <w:vAlign w:val="center"/>
          </w:tcPr>
          <w:p w14:paraId="4586634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13.49%</w:t>
            </w:r>
          </w:p>
        </w:tc>
      </w:tr>
      <w:tr w:rsidR="006C6B06" w:rsidRPr="00333B81" w14:paraId="6E5C13BB"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11AC7A8C"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20E6038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w:t>
            </w:r>
          </w:p>
        </w:tc>
        <w:tc>
          <w:tcPr>
            <w:tcW w:w="1008" w:type="dxa"/>
            <w:tcBorders>
              <w:right w:val="single" w:sz="4" w:space="0" w:color="auto"/>
            </w:tcBorders>
            <w:vAlign w:val="center"/>
          </w:tcPr>
          <w:p w14:paraId="33234F5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0.26%</w:t>
            </w:r>
          </w:p>
        </w:tc>
        <w:tc>
          <w:tcPr>
            <w:tcW w:w="1559" w:type="dxa"/>
            <w:tcBorders>
              <w:left w:val="single" w:sz="4" w:space="0" w:color="auto"/>
            </w:tcBorders>
            <w:noWrap/>
            <w:vAlign w:val="center"/>
            <w:hideMark/>
          </w:tcPr>
          <w:p w14:paraId="6CA817B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w:t>
            </w:r>
          </w:p>
        </w:tc>
        <w:tc>
          <w:tcPr>
            <w:tcW w:w="1008" w:type="dxa"/>
            <w:tcBorders>
              <w:right w:val="single" w:sz="4" w:space="0" w:color="auto"/>
            </w:tcBorders>
            <w:vAlign w:val="center"/>
          </w:tcPr>
          <w:p w14:paraId="07A1E60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0.16%</w:t>
            </w:r>
          </w:p>
        </w:tc>
        <w:tc>
          <w:tcPr>
            <w:tcW w:w="1560" w:type="dxa"/>
            <w:tcBorders>
              <w:left w:val="single" w:sz="4" w:space="0" w:color="auto"/>
            </w:tcBorders>
            <w:noWrap/>
            <w:vAlign w:val="center"/>
            <w:hideMark/>
          </w:tcPr>
          <w:p w14:paraId="69015BD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w:t>
            </w:r>
          </w:p>
        </w:tc>
        <w:tc>
          <w:tcPr>
            <w:tcW w:w="928" w:type="dxa"/>
            <w:tcBorders>
              <w:right w:val="single" w:sz="4" w:space="0" w:color="auto"/>
            </w:tcBorders>
            <w:vAlign w:val="center"/>
          </w:tcPr>
          <w:p w14:paraId="742D897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0.06%</w:t>
            </w:r>
          </w:p>
        </w:tc>
        <w:tc>
          <w:tcPr>
            <w:tcW w:w="1701" w:type="dxa"/>
            <w:tcBorders>
              <w:left w:val="single" w:sz="4" w:space="0" w:color="auto"/>
              <w:right w:val="nil"/>
            </w:tcBorders>
            <w:noWrap/>
            <w:vAlign w:val="center"/>
            <w:hideMark/>
          </w:tcPr>
          <w:p w14:paraId="11FFA12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w:t>
            </w:r>
          </w:p>
        </w:tc>
        <w:tc>
          <w:tcPr>
            <w:tcW w:w="1061" w:type="dxa"/>
            <w:tcBorders>
              <w:left w:val="nil"/>
              <w:right w:val="single" w:sz="4" w:space="0" w:color="auto"/>
            </w:tcBorders>
            <w:vAlign w:val="center"/>
          </w:tcPr>
          <w:p w14:paraId="16D71A6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0.10%</w:t>
            </w:r>
          </w:p>
        </w:tc>
        <w:tc>
          <w:tcPr>
            <w:tcW w:w="1300" w:type="dxa"/>
            <w:tcBorders>
              <w:left w:val="single" w:sz="4" w:space="0" w:color="auto"/>
            </w:tcBorders>
            <w:vAlign w:val="center"/>
          </w:tcPr>
          <w:p w14:paraId="551DDB0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13</w:t>
            </w:r>
          </w:p>
        </w:tc>
        <w:tc>
          <w:tcPr>
            <w:tcW w:w="1008" w:type="dxa"/>
            <w:tcBorders>
              <w:right w:val="single" w:sz="4" w:space="0" w:color="auto"/>
            </w:tcBorders>
            <w:vAlign w:val="center"/>
          </w:tcPr>
          <w:p w14:paraId="756993E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0.42%</w:t>
            </w:r>
          </w:p>
        </w:tc>
      </w:tr>
      <w:tr w:rsidR="006C6B06" w:rsidRPr="00333B81" w14:paraId="09B8EB68"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5D6DCEDD"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58A5DDB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727</w:t>
            </w:r>
          </w:p>
        </w:tc>
        <w:tc>
          <w:tcPr>
            <w:tcW w:w="1008" w:type="dxa"/>
            <w:tcBorders>
              <w:right w:val="single" w:sz="4" w:space="0" w:color="auto"/>
            </w:tcBorders>
            <w:vAlign w:val="center"/>
          </w:tcPr>
          <w:p w14:paraId="6E37586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23.35%</w:t>
            </w:r>
          </w:p>
        </w:tc>
        <w:tc>
          <w:tcPr>
            <w:tcW w:w="1559" w:type="dxa"/>
            <w:tcBorders>
              <w:left w:val="single" w:sz="4" w:space="0" w:color="auto"/>
            </w:tcBorders>
            <w:noWrap/>
            <w:vAlign w:val="center"/>
            <w:hideMark/>
          </w:tcPr>
          <w:p w14:paraId="5C470D4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587</w:t>
            </w:r>
          </w:p>
        </w:tc>
        <w:tc>
          <w:tcPr>
            <w:tcW w:w="1008" w:type="dxa"/>
            <w:tcBorders>
              <w:right w:val="single" w:sz="4" w:space="0" w:color="auto"/>
            </w:tcBorders>
            <w:vAlign w:val="center"/>
          </w:tcPr>
          <w:p w14:paraId="2CD46C7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18.86%</w:t>
            </w:r>
          </w:p>
        </w:tc>
        <w:tc>
          <w:tcPr>
            <w:tcW w:w="1560" w:type="dxa"/>
            <w:tcBorders>
              <w:left w:val="single" w:sz="4" w:space="0" w:color="auto"/>
            </w:tcBorders>
            <w:noWrap/>
            <w:vAlign w:val="center"/>
            <w:hideMark/>
          </w:tcPr>
          <w:p w14:paraId="6C52537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298</w:t>
            </w:r>
          </w:p>
        </w:tc>
        <w:tc>
          <w:tcPr>
            <w:tcW w:w="928" w:type="dxa"/>
            <w:tcBorders>
              <w:right w:val="single" w:sz="4" w:space="0" w:color="auto"/>
            </w:tcBorders>
            <w:vAlign w:val="center"/>
          </w:tcPr>
          <w:p w14:paraId="2D580F1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9.57%</w:t>
            </w:r>
          </w:p>
        </w:tc>
        <w:tc>
          <w:tcPr>
            <w:tcW w:w="1701" w:type="dxa"/>
            <w:tcBorders>
              <w:left w:val="single" w:sz="4" w:space="0" w:color="auto"/>
            </w:tcBorders>
            <w:noWrap/>
            <w:vAlign w:val="center"/>
            <w:hideMark/>
          </w:tcPr>
          <w:p w14:paraId="264699C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289</w:t>
            </w:r>
          </w:p>
        </w:tc>
        <w:tc>
          <w:tcPr>
            <w:tcW w:w="1061" w:type="dxa"/>
            <w:tcBorders>
              <w:right w:val="single" w:sz="4" w:space="0" w:color="auto"/>
            </w:tcBorders>
            <w:vAlign w:val="center"/>
          </w:tcPr>
          <w:p w14:paraId="7D862D4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9.28%</w:t>
            </w:r>
          </w:p>
        </w:tc>
        <w:tc>
          <w:tcPr>
            <w:tcW w:w="1300" w:type="dxa"/>
            <w:tcBorders>
              <w:left w:val="single" w:sz="4" w:space="0" w:color="auto"/>
            </w:tcBorders>
            <w:vAlign w:val="center"/>
          </w:tcPr>
          <w:p w14:paraId="1F83C94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1,314</w:t>
            </w:r>
          </w:p>
        </w:tc>
        <w:tc>
          <w:tcPr>
            <w:tcW w:w="1008" w:type="dxa"/>
            <w:tcBorders>
              <w:right w:val="single" w:sz="4" w:space="0" w:color="auto"/>
            </w:tcBorders>
            <w:vAlign w:val="center"/>
          </w:tcPr>
          <w:p w14:paraId="1DCE2D9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42.21%</w:t>
            </w:r>
          </w:p>
        </w:tc>
      </w:tr>
      <w:tr w:rsidR="006C6B06" w:rsidRPr="00333B81" w14:paraId="6EE58684"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nil"/>
              <w:right w:val="single" w:sz="4" w:space="0" w:color="auto"/>
            </w:tcBorders>
            <w:noWrap/>
            <w:vAlign w:val="center"/>
            <w:hideMark/>
          </w:tcPr>
          <w:p w14:paraId="162BA291"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bottom w:val="nil"/>
            </w:tcBorders>
            <w:noWrap/>
            <w:vAlign w:val="center"/>
            <w:hideMark/>
          </w:tcPr>
          <w:p w14:paraId="2308477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941</w:t>
            </w:r>
          </w:p>
        </w:tc>
        <w:tc>
          <w:tcPr>
            <w:tcW w:w="1008" w:type="dxa"/>
            <w:tcBorders>
              <w:bottom w:val="nil"/>
              <w:right w:val="single" w:sz="4" w:space="0" w:color="auto"/>
            </w:tcBorders>
            <w:vAlign w:val="center"/>
          </w:tcPr>
          <w:p w14:paraId="0FAAF30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30.23%</w:t>
            </w:r>
          </w:p>
        </w:tc>
        <w:tc>
          <w:tcPr>
            <w:tcW w:w="1559" w:type="dxa"/>
            <w:tcBorders>
              <w:left w:val="single" w:sz="4" w:space="0" w:color="auto"/>
              <w:bottom w:val="nil"/>
            </w:tcBorders>
            <w:noWrap/>
            <w:vAlign w:val="center"/>
            <w:hideMark/>
          </w:tcPr>
          <w:p w14:paraId="2C39457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858</w:t>
            </w:r>
          </w:p>
        </w:tc>
        <w:tc>
          <w:tcPr>
            <w:tcW w:w="1008" w:type="dxa"/>
            <w:tcBorders>
              <w:bottom w:val="nil"/>
              <w:right w:val="single" w:sz="4" w:space="0" w:color="auto"/>
            </w:tcBorders>
            <w:vAlign w:val="center"/>
          </w:tcPr>
          <w:p w14:paraId="2C2B4A8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27.56%</w:t>
            </w:r>
          </w:p>
        </w:tc>
        <w:tc>
          <w:tcPr>
            <w:tcW w:w="1560" w:type="dxa"/>
            <w:tcBorders>
              <w:left w:val="single" w:sz="4" w:space="0" w:color="auto"/>
              <w:bottom w:val="nil"/>
            </w:tcBorders>
            <w:noWrap/>
            <w:vAlign w:val="center"/>
            <w:hideMark/>
          </w:tcPr>
          <w:p w14:paraId="13D7553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373</w:t>
            </w:r>
          </w:p>
        </w:tc>
        <w:tc>
          <w:tcPr>
            <w:tcW w:w="928" w:type="dxa"/>
            <w:tcBorders>
              <w:bottom w:val="nil"/>
              <w:right w:val="single" w:sz="4" w:space="0" w:color="auto"/>
            </w:tcBorders>
            <w:vAlign w:val="center"/>
          </w:tcPr>
          <w:p w14:paraId="46ED0AF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11.98%</w:t>
            </w:r>
          </w:p>
        </w:tc>
        <w:tc>
          <w:tcPr>
            <w:tcW w:w="1701" w:type="dxa"/>
            <w:tcBorders>
              <w:left w:val="single" w:sz="4" w:space="0" w:color="auto"/>
              <w:bottom w:val="nil"/>
              <w:right w:val="nil"/>
            </w:tcBorders>
            <w:noWrap/>
            <w:vAlign w:val="center"/>
            <w:hideMark/>
          </w:tcPr>
          <w:p w14:paraId="0ECA02A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485</w:t>
            </w:r>
          </w:p>
        </w:tc>
        <w:tc>
          <w:tcPr>
            <w:tcW w:w="1061" w:type="dxa"/>
            <w:tcBorders>
              <w:left w:val="nil"/>
              <w:bottom w:val="nil"/>
              <w:right w:val="single" w:sz="4" w:space="0" w:color="auto"/>
            </w:tcBorders>
            <w:vAlign w:val="center"/>
          </w:tcPr>
          <w:p w14:paraId="76D50D4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15.58%</w:t>
            </w:r>
          </w:p>
        </w:tc>
        <w:tc>
          <w:tcPr>
            <w:tcW w:w="1300" w:type="dxa"/>
            <w:tcBorders>
              <w:left w:val="single" w:sz="4" w:space="0" w:color="auto"/>
              <w:bottom w:val="nil"/>
            </w:tcBorders>
            <w:vAlign w:val="center"/>
          </w:tcPr>
          <w:p w14:paraId="666BF8C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1,799</w:t>
            </w:r>
          </w:p>
        </w:tc>
        <w:tc>
          <w:tcPr>
            <w:tcW w:w="1008" w:type="dxa"/>
            <w:tcBorders>
              <w:bottom w:val="nil"/>
              <w:right w:val="single" w:sz="4" w:space="0" w:color="auto"/>
            </w:tcBorders>
            <w:vAlign w:val="center"/>
          </w:tcPr>
          <w:p w14:paraId="5733879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57.79%</w:t>
            </w:r>
          </w:p>
        </w:tc>
      </w:tr>
      <w:tr w:rsidR="002418F8" w:rsidRPr="00333B81" w14:paraId="466BD405"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nil"/>
              <w:left w:val="single" w:sz="4" w:space="0" w:color="auto"/>
              <w:bottom w:val="single" w:sz="4" w:space="0" w:color="auto"/>
              <w:right w:val="single" w:sz="4" w:space="0" w:color="auto"/>
            </w:tcBorders>
            <w:noWrap/>
            <w:hideMark/>
          </w:tcPr>
          <w:p w14:paraId="76666DE9"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noWrap/>
            <w:vAlign w:val="center"/>
            <w:hideMark/>
          </w:tcPr>
          <w:p w14:paraId="52937C81"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1,668</w:t>
            </w:r>
          </w:p>
        </w:tc>
        <w:tc>
          <w:tcPr>
            <w:tcW w:w="1008" w:type="dxa"/>
            <w:tcBorders>
              <w:top w:val="nil"/>
              <w:bottom w:val="single" w:sz="4" w:space="0" w:color="auto"/>
              <w:right w:val="single" w:sz="4" w:space="0" w:color="auto"/>
            </w:tcBorders>
            <w:vAlign w:val="center"/>
          </w:tcPr>
          <w:p w14:paraId="7F1C3A4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53.58%</w:t>
            </w:r>
          </w:p>
        </w:tc>
        <w:tc>
          <w:tcPr>
            <w:tcW w:w="1559" w:type="dxa"/>
            <w:tcBorders>
              <w:top w:val="nil"/>
              <w:left w:val="single" w:sz="4" w:space="0" w:color="auto"/>
              <w:bottom w:val="single" w:sz="4" w:space="0" w:color="auto"/>
            </w:tcBorders>
            <w:noWrap/>
            <w:vAlign w:val="center"/>
            <w:hideMark/>
          </w:tcPr>
          <w:p w14:paraId="78F39DD6"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1,445</w:t>
            </w:r>
          </w:p>
        </w:tc>
        <w:tc>
          <w:tcPr>
            <w:tcW w:w="1008" w:type="dxa"/>
            <w:tcBorders>
              <w:top w:val="nil"/>
              <w:bottom w:val="single" w:sz="4" w:space="0" w:color="auto"/>
              <w:right w:val="single" w:sz="4" w:space="0" w:color="auto"/>
            </w:tcBorders>
            <w:vAlign w:val="center"/>
          </w:tcPr>
          <w:p w14:paraId="34FB0CDC"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46.42%</w:t>
            </w:r>
          </w:p>
        </w:tc>
        <w:tc>
          <w:tcPr>
            <w:tcW w:w="1560" w:type="dxa"/>
            <w:tcBorders>
              <w:top w:val="nil"/>
              <w:left w:val="single" w:sz="4" w:space="0" w:color="auto"/>
              <w:bottom w:val="single" w:sz="4" w:space="0" w:color="auto"/>
            </w:tcBorders>
            <w:noWrap/>
            <w:vAlign w:val="center"/>
            <w:hideMark/>
          </w:tcPr>
          <w:p w14:paraId="1E291FF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671</w:t>
            </w:r>
          </w:p>
        </w:tc>
        <w:tc>
          <w:tcPr>
            <w:tcW w:w="928" w:type="dxa"/>
            <w:tcBorders>
              <w:top w:val="nil"/>
              <w:bottom w:val="single" w:sz="4" w:space="0" w:color="auto"/>
              <w:right w:val="single" w:sz="4" w:space="0" w:color="auto"/>
            </w:tcBorders>
            <w:vAlign w:val="center"/>
          </w:tcPr>
          <w:p w14:paraId="2ABC7B4F"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21.55%</w:t>
            </w:r>
          </w:p>
        </w:tc>
        <w:tc>
          <w:tcPr>
            <w:tcW w:w="1701" w:type="dxa"/>
            <w:tcBorders>
              <w:top w:val="nil"/>
              <w:left w:val="single" w:sz="4" w:space="0" w:color="auto"/>
              <w:bottom w:val="single" w:sz="4" w:space="0" w:color="auto"/>
            </w:tcBorders>
            <w:noWrap/>
            <w:vAlign w:val="center"/>
            <w:hideMark/>
          </w:tcPr>
          <w:p w14:paraId="1BD3561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774</w:t>
            </w:r>
          </w:p>
        </w:tc>
        <w:tc>
          <w:tcPr>
            <w:tcW w:w="1061" w:type="dxa"/>
            <w:tcBorders>
              <w:top w:val="nil"/>
              <w:bottom w:val="single" w:sz="4" w:space="0" w:color="auto"/>
              <w:right w:val="single" w:sz="4" w:space="0" w:color="auto"/>
            </w:tcBorders>
            <w:vAlign w:val="center"/>
          </w:tcPr>
          <w:p w14:paraId="159AD31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24.86%</w:t>
            </w:r>
          </w:p>
        </w:tc>
        <w:tc>
          <w:tcPr>
            <w:tcW w:w="1300" w:type="dxa"/>
            <w:tcBorders>
              <w:top w:val="nil"/>
              <w:left w:val="single" w:sz="4" w:space="0" w:color="auto"/>
              <w:bottom w:val="single" w:sz="4" w:space="0" w:color="auto"/>
            </w:tcBorders>
            <w:vAlign w:val="center"/>
          </w:tcPr>
          <w:p w14:paraId="6FA1540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3,113</w:t>
            </w:r>
          </w:p>
        </w:tc>
        <w:tc>
          <w:tcPr>
            <w:tcW w:w="1008" w:type="dxa"/>
            <w:tcBorders>
              <w:top w:val="nil"/>
              <w:bottom w:val="single" w:sz="4" w:space="0" w:color="auto"/>
              <w:right w:val="single" w:sz="4" w:space="0" w:color="auto"/>
            </w:tcBorders>
            <w:vAlign w:val="center"/>
          </w:tcPr>
          <w:p w14:paraId="1B206FC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6.36%</w:t>
            </w:r>
          </w:p>
        </w:tc>
      </w:tr>
      <w:tr w:rsidR="006C6B06" w:rsidRPr="00333B81" w14:paraId="7703CB26"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31B1914B"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2008</w:t>
            </w:r>
          </w:p>
        </w:tc>
        <w:tc>
          <w:tcPr>
            <w:tcW w:w="1417" w:type="dxa"/>
            <w:tcBorders>
              <w:top w:val="single" w:sz="4" w:space="0" w:color="auto"/>
              <w:left w:val="single" w:sz="4" w:space="0" w:color="auto"/>
            </w:tcBorders>
            <w:noWrap/>
            <w:vAlign w:val="center"/>
            <w:hideMark/>
          </w:tcPr>
          <w:p w14:paraId="041FBD0C"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008" w:type="dxa"/>
            <w:tcBorders>
              <w:top w:val="single" w:sz="4" w:space="0" w:color="auto"/>
              <w:right w:val="single" w:sz="4" w:space="0" w:color="auto"/>
            </w:tcBorders>
            <w:vAlign w:val="center"/>
          </w:tcPr>
          <w:p w14:paraId="50A41DD2"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 </w:t>
            </w:r>
          </w:p>
        </w:tc>
        <w:tc>
          <w:tcPr>
            <w:tcW w:w="1559" w:type="dxa"/>
            <w:tcBorders>
              <w:top w:val="single" w:sz="4" w:space="0" w:color="auto"/>
              <w:left w:val="single" w:sz="4" w:space="0" w:color="auto"/>
            </w:tcBorders>
            <w:noWrap/>
            <w:vAlign w:val="center"/>
            <w:hideMark/>
          </w:tcPr>
          <w:p w14:paraId="4318DE6D"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008" w:type="dxa"/>
            <w:tcBorders>
              <w:top w:val="single" w:sz="4" w:space="0" w:color="auto"/>
              <w:right w:val="single" w:sz="4" w:space="0" w:color="auto"/>
            </w:tcBorders>
            <w:vAlign w:val="center"/>
          </w:tcPr>
          <w:p w14:paraId="2C19CCF9"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 </w:t>
            </w:r>
          </w:p>
        </w:tc>
        <w:tc>
          <w:tcPr>
            <w:tcW w:w="1560" w:type="dxa"/>
            <w:tcBorders>
              <w:top w:val="single" w:sz="4" w:space="0" w:color="auto"/>
              <w:left w:val="single" w:sz="4" w:space="0" w:color="auto"/>
            </w:tcBorders>
            <w:noWrap/>
            <w:vAlign w:val="center"/>
            <w:hideMark/>
          </w:tcPr>
          <w:p w14:paraId="74D929F8"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928" w:type="dxa"/>
            <w:tcBorders>
              <w:top w:val="single" w:sz="4" w:space="0" w:color="auto"/>
              <w:right w:val="single" w:sz="4" w:space="0" w:color="auto"/>
            </w:tcBorders>
            <w:vAlign w:val="center"/>
          </w:tcPr>
          <w:p w14:paraId="4A2C142B"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 </w:t>
            </w:r>
          </w:p>
        </w:tc>
        <w:tc>
          <w:tcPr>
            <w:tcW w:w="1701" w:type="dxa"/>
            <w:tcBorders>
              <w:top w:val="single" w:sz="4" w:space="0" w:color="auto"/>
              <w:left w:val="single" w:sz="4" w:space="0" w:color="auto"/>
              <w:right w:val="nil"/>
            </w:tcBorders>
            <w:noWrap/>
            <w:vAlign w:val="center"/>
            <w:hideMark/>
          </w:tcPr>
          <w:p w14:paraId="180E7FE1"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 </w:t>
            </w:r>
          </w:p>
        </w:tc>
        <w:tc>
          <w:tcPr>
            <w:tcW w:w="1061" w:type="dxa"/>
            <w:tcBorders>
              <w:top w:val="single" w:sz="4" w:space="0" w:color="auto"/>
              <w:left w:val="nil"/>
              <w:right w:val="single" w:sz="4" w:space="0" w:color="auto"/>
            </w:tcBorders>
            <w:vAlign w:val="center"/>
          </w:tcPr>
          <w:p w14:paraId="7F4C8E6F"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300" w:type="dxa"/>
            <w:tcBorders>
              <w:top w:val="single" w:sz="4" w:space="0" w:color="auto"/>
              <w:left w:val="single" w:sz="4" w:space="0" w:color="auto"/>
            </w:tcBorders>
            <w:vAlign w:val="center"/>
          </w:tcPr>
          <w:p w14:paraId="3701454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008" w:type="dxa"/>
            <w:tcBorders>
              <w:top w:val="single" w:sz="4" w:space="0" w:color="auto"/>
              <w:right w:val="single" w:sz="4" w:space="0" w:color="auto"/>
            </w:tcBorders>
            <w:vAlign w:val="center"/>
          </w:tcPr>
          <w:p w14:paraId="46CB0ECE"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Cs/>
                <w:color w:val="auto"/>
                <w:sz w:val="20"/>
                <w:szCs w:val="20"/>
              </w:rPr>
            </w:pPr>
            <w:r w:rsidRPr="00333B81">
              <w:rPr>
                <w:bCs/>
                <w:color w:val="auto"/>
                <w:sz w:val="20"/>
                <w:szCs w:val="20"/>
              </w:rPr>
              <w:t> </w:t>
            </w:r>
          </w:p>
        </w:tc>
      </w:tr>
      <w:tr w:rsidR="006C6B06" w:rsidRPr="00333B81" w14:paraId="6D0BABD5"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7957A99"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6C8D1AE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146</w:t>
            </w:r>
          </w:p>
        </w:tc>
        <w:tc>
          <w:tcPr>
            <w:tcW w:w="1008" w:type="dxa"/>
            <w:tcBorders>
              <w:right w:val="single" w:sz="4" w:space="0" w:color="auto"/>
            </w:tcBorders>
            <w:vAlign w:val="center"/>
          </w:tcPr>
          <w:p w14:paraId="7C4E935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3.54%</w:t>
            </w:r>
          </w:p>
        </w:tc>
        <w:tc>
          <w:tcPr>
            <w:tcW w:w="1559" w:type="dxa"/>
            <w:tcBorders>
              <w:left w:val="single" w:sz="4" w:space="0" w:color="auto"/>
            </w:tcBorders>
            <w:noWrap/>
            <w:vAlign w:val="center"/>
            <w:hideMark/>
          </w:tcPr>
          <w:p w14:paraId="6D7684A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25</w:t>
            </w:r>
          </w:p>
        </w:tc>
        <w:tc>
          <w:tcPr>
            <w:tcW w:w="1008" w:type="dxa"/>
            <w:tcBorders>
              <w:right w:val="single" w:sz="4" w:space="0" w:color="auto"/>
            </w:tcBorders>
            <w:vAlign w:val="center"/>
          </w:tcPr>
          <w:p w14:paraId="76CB1E9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0.61%</w:t>
            </w:r>
          </w:p>
        </w:tc>
        <w:tc>
          <w:tcPr>
            <w:tcW w:w="1560" w:type="dxa"/>
            <w:tcBorders>
              <w:left w:val="single" w:sz="4" w:space="0" w:color="auto"/>
            </w:tcBorders>
            <w:noWrap/>
            <w:vAlign w:val="center"/>
            <w:hideMark/>
          </w:tcPr>
          <w:p w14:paraId="69610AF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w:t>
            </w:r>
          </w:p>
        </w:tc>
        <w:tc>
          <w:tcPr>
            <w:tcW w:w="928" w:type="dxa"/>
            <w:tcBorders>
              <w:right w:val="single" w:sz="4" w:space="0" w:color="auto"/>
            </w:tcBorders>
            <w:vAlign w:val="center"/>
          </w:tcPr>
          <w:p w14:paraId="4AEEF25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0.29%</w:t>
            </w:r>
          </w:p>
        </w:tc>
        <w:tc>
          <w:tcPr>
            <w:tcW w:w="1701" w:type="dxa"/>
            <w:tcBorders>
              <w:left w:val="single" w:sz="4" w:space="0" w:color="auto"/>
            </w:tcBorders>
            <w:noWrap/>
            <w:vAlign w:val="center"/>
            <w:hideMark/>
          </w:tcPr>
          <w:p w14:paraId="4BD48F9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13</w:t>
            </w:r>
          </w:p>
        </w:tc>
        <w:tc>
          <w:tcPr>
            <w:tcW w:w="1061" w:type="dxa"/>
            <w:tcBorders>
              <w:right w:val="single" w:sz="4" w:space="0" w:color="auto"/>
            </w:tcBorders>
            <w:vAlign w:val="center"/>
          </w:tcPr>
          <w:p w14:paraId="3495310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0.32%</w:t>
            </w:r>
          </w:p>
        </w:tc>
        <w:tc>
          <w:tcPr>
            <w:tcW w:w="1300" w:type="dxa"/>
            <w:tcBorders>
              <w:left w:val="single" w:sz="4" w:space="0" w:color="auto"/>
            </w:tcBorders>
            <w:vAlign w:val="center"/>
          </w:tcPr>
          <w:p w14:paraId="5A85C01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171</w:t>
            </w:r>
          </w:p>
        </w:tc>
        <w:tc>
          <w:tcPr>
            <w:tcW w:w="1008" w:type="dxa"/>
            <w:tcBorders>
              <w:right w:val="single" w:sz="4" w:space="0" w:color="auto"/>
            </w:tcBorders>
            <w:vAlign w:val="center"/>
          </w:tcPr>
          <w:p w14:paraId="58270C3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4.14%</w:t>
            </w:r>
          </w:p>
        </w:tc>
      </w:tr>
      <w:tr w:rsidR="006C6B06" w:rsidRPr="00333B81" w14:paraId="1560F4B6"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3CC0A21"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75AD88A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55</w:t>
            </w:r>
          </w:p>
        </w:tc>
        <w:tc>
          <w:tcPr>
            <w:tcW w:w="1008" w:type="dxa"/>
            <w:tcBorders>
              <w:right w:val="single" w:sz="4" w:space="0" w:color="auto"/>
            </w:tcBorders>
            <w:vAlign w:val="center"/>
          </w:tcPr>
          <w:p w14:paraId="1D60417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1.33%</w:t>
            </w:r>
          </w:p>
        </w:tc>
        <w:tc>
          <w:tcPr>
            <w:tcW w:w="1559" w:type="dxa"/>
            <w:tcBorders>
              <w:left w:val="single" w:sz="4" w:space="0" w:color="auto"/>
            </w:tcBorders>
            <w:noWrap/>
            <w:vAlign w:val="center"/>
            <w:hideMark/>
          </w:tcPr>
          <w:p w14:paraId="10BC412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25</w:t>
            </w:r>
          </w:p>
        </w:tc>
        <w:tc>
          <w:tcPr>
            <w:tcW w:w="1008" w:type="dxa"/>
            <w:tcBorders>
              <w:right w:val="single" w:sz="4" w:space="0" w:color="auto"/>
            </w:tcBorders>
            <w:vAlign w:val="center"/>
          </w:tcPr>
          <w:p w14:paraId="211B731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0.61%</w:t>
            </w:r>
          </w:p>
        </w:tc>
        <w:tc>
          <w:tcPr>
            <w:tcW w:w="1560" w:type="dxa"/>
            <w:tcBorders>
              <w:left w:val="single" w:sz="4" w:space="0" w:color="auto"/>
            </w:tcBorders>
            <w:noWrap/>
            <w:vAlign w:val="center"/>
            <w:hideMark/>
          </w:tcPr>
          <w:p w14:paraId="351B2CF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w:t>
            </w:r>
          </w:p>
        </w:tc>
        <w:tc>
          <w:tcPr>
            <w:tcW w:w="928" w:type="dxa"/>
            <w:tcBorders>
              <w:right w:val="single" w:sz="4" w:space="0" w:color="auto"/>
            </w:tcBorders>
            <w:vAlign w:val="center"/>
          </w:tcPr>
          <w:p w14:paraId="6E990A5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0.19%</w:t>
            </w:r>
          </w:p>
        </w:tc>
        <w:tc>
          <w:tcPr>
            <w:tcW w:w="1701" w:type="dxa"/>
            <w:tcBorders>
              <w:left w:val="single" w:sz="4" w:space="0" w:color="auto"/>
              <w:right w:val="nil"/>
            </w:tcBorders>
            <w:noWrap/>
            <w:vAlign w:val="center"/>
            <w:hideMark/>
          </w:tcPr>
          <w:p w14:paraId="002ED38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17</w:t>
            </w:r>
          </w:p>
        </w:tc>
        <w:tc>
          <w:tcPr>
            <w:tcW w:w="1061" w:type="dxa"/>
            <w:tcBorders>
              <w:left w:val="nil"/>
              <w:right w:val="single" w:sz="4" w:space="0" w:color="auto"/>
            </w:tcBorders>
            <w:vAlign w:val="center"/>
          </w:tcPr>
          <w:p w14:paraId="1F75716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0.41%</w:t>
            </w:r>
          </w:p>
        </w:tc>
        <w:tc>
          <w:tcPr>
            <w:tcW w:w="1300" w:type="dxa"/>
            <w:tcBorders>
              <w:left w:val="single" w:sz="4" w:space="0" w:color="auto"/>
            </w:tcBorders>
            <w:vAlign w:val="center"/>
          </w:tcPr>
          <w:p w14:paraId="778C5F5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80</w:t>
            </w:r>
          </w:p>
        </w:tc>
        <w:tc>
          <w:tcPr>
            <w:tcW w:w="1008" w:type="dxa"/>
            <w:tcBorders>
              <w:right w:val="single" w:sz="4" w:space="0" w:color="auto"/>
            </w:tcBorders>
            <w:vAlign w:val="center"/>
          </w:tcPr>
          <w:p w14:paraId="5F31D26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1.94%</w:t>
            </w:r>
          </w:p>
        </w:tc>
      </w:tr>
      <w:tr w:rsidR="006C6B06" w:rsidRPr="00333B81" w14:paraId="1A604847"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4398AE4D"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5363A50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518</w:t>
            </w:r>
          </w:p>
        </w:tc>
        <w:tc>
          <w:tcPr>
            <w:tcW w:w="1008" w:type="dxa"/>
            <w:tcBorders>
              <w:right w:val="single" w:sz="4" w:space="0" w:color="auto"/>
            </w:tcBorders>
            <w:vAlign w:val="center"/>
          </w:tcPr>
          <w:p w14:paraId="30BFBED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12.55%</w:t>
            </w:r>
          </w:p>
        </w:tc>
        <w:tc>
          <w:tcPr>
            <w:tcW w:w="1559" w:type="dxa"/>
            <w:tcBorders>
              <w:left w:val="single" w:sz="4" w:space="0" w:color="auto"/>
            </w:tcBorders>
            <w:noWrap/>
            <w:vAlign w:val="center"/>
            <w:hideMark/>
          </w:tcPr>
          <w:p w14:paraId="4708ECC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277</w:t>
            </w:r>
          </w:p>
        </w:tc>
        <w:tc>
          <w:tcPr>
            <w:tcW w:w="1008" w:type="dxa"/>
            <w:tcBorders>
              <w:right w:val="single" w:sz="4" w:space="0" w:color="auto"/>
            </w:tcBorders>
            <w:vAlign w:val="center"/>
          </w:tcPr>
          <w:p w14:paraId="3C70BB1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6.71%</w:t>
            </w:r>
          </w:p>
        </w:tc>
        <w:tc>
          <w:tcPr>
            <w:tcW w:w="1560" w:type="dxa"/>
            <w:tcBorders>
              <w:left w:val="single" w:sz="4" w:space="0" w:color="auto"/>
            </w:tcBorders>
            <w:noWrap/>
            <w:vAlign w:val="center"/>
            <w:hideMark/>
          </w:tcPr>
          <w:p w14:paraId="4BC5C2D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151</w:t>
            </w:r>
          </w:p>
        </w:tc>
        <w:tc>
          <w:tcPr>
            <w:tcW w:w="928" w:type="dxa"/>
            <w:tcBorders>
              <w:right w:val="single" w:sz="4" w:space="0" w:color="auto"/>
            </w:tcBorders>
            <w:vAlign w:val="center"/>
          </w:tcPr>
          <w:p w14:paraId="7CD14E8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3.66%</w:t>
            </w:r>
          </w:p>
        </w:tc>
        <w:tc>
          <w:tcPr>
            <w:tcW w:w="1701" w:type="dxa"/>
            <w:tcBorders>
              <w:left w:val="single" w:sz="4" w:space="0" w:color="auto"/>
            </w:tcBorders>
            <w:noWrap/>
            <w:vAlign w:val="center"/>
            <w:hideMark/>
          </w:tcPr>
          <w:p w14:paraId="04BEA4B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126</w:t>
            </w:r>
          </w:p>
        </w:tc>
        <w:tc>
          <w:tcPr>
            <w:tcW w:w="1061" w:type="dxa"/>
            <w:tcBorders>
              <w:right w:val="single" w:sz="4" w:space="0" w:color="auto"/>
            </w:tcBorders>
            <w:vAlign w:val="center"/>
          </w:tcPr>
          <w:p w14:paraId="20C24E0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3.05%</w:t>
            </w:r>
          </w:p>
        </w:tc>
        <w:tc>
          <w:tcPr>
            <w:tcW w:w="1300" w:type="dxa"/>
            <w:tcBorders>
              <w:left w:val="single" w:sz="4" w:space="0" w:color="auto"/>
            </w:tcBorders>
            <w:vAlign w:val="center"/>
          </w:tcPr>
          <w:p w14:paraId="593785C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795</w:t>
            </w:r>
          </w:p>
        </w:tc>
        <w:tc>
          <w:tcPr>
            <w:tcW w:w="1008" w:type="dxa"/>
            <w:tcBorders>
              <w:right w:val="single" w:sz="4" w:space="0" w:color="auto"/>
            </w:tcBorders>
            <w:vAlign w:val="center"/>
          </w:tcPr>
          <w:p w14:paraId="4214287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19.27%</w:t>
            </w:r>
          </w:p>
        </w:tc>
      </w:tr>
      <w:tr w:rsidR="006C6B06" w:rsidRPr="00333B81" w14:paraId="4C0CAE7F"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AC17B5F"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6BA6D27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460</w:t>
            </w:r>
          </w:p>
        </w:tc>
        <w:tc>
          <w:tcPr>
            <w:tcW w:w="1008" w:type="dxa"/>
            <w:tcBorders>
              <w:right w:val="single" w:sz="4" w:space="0" w:color="auto"/>
            </w:tcBorders>
            <w:vAlign w:val="center"/>
          </w:tcPr>
          <w:p w14:paraId="79E4E8E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11.15%</w:t>
            </w:r>
          </w:p>
        </w:tc>
        <w:tc>
          <w:tcPr>
            <w:tcW w:w="1559" w:type="dxa"/>
            <w:tcBorders>
              <w:left w:val="single" w:sz="4" w:space="0" w:color="auto"/>
            </w:tcBorders>
            <w:noWrap/>
            <w:vAlign w:val="center"/>
            <w:hideMark/>
          </w:tcPr>
          <w:p w14:paraId="5DC7153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232</w:t>
            </w:r>
          </w:p>
        </w:tc>
        <w:tc>
          <w:tcPr>
            <w:tcW w:w="1008" w:type="dxa"/>
            <w:tcBorders>
              <w:right w:val="single" w:sz="4" w:space="0" w:color="auto"/>
            </w:tcBorders>
            <w:vAlign w:val="center"/>
          </w:tcPr>
          <w:p w14:paraId="3985ED9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5.62%</w:t>
            </w:r>
          </w:p>
        </w:tc>
        <w:tc>
          <w:tcPr>
            <w:tcW w:w="1560" w:type="dxa"/>
            <w:tcBorders>
              <w:left w:val="single" w:sz="4" w:space="0" w:color="auto"/>
            </w:tcBorders>
            <w:noWrap/>
            <w:vAlign w:val="center"/>
            <w:hideMark/>
          </w:tcPr>
          <w:p w14:paraId="61F7C6E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121</w:t>
            </w:r>
          </w:p>
        </w:tc>
        <w:tc>
          <w:tcPr>
            <w:tcW w:w="928" w:type="dxa"/>
            <w:tcBorders>
              <w:right w:val="single" w:sz="4" w:space="0" w:color="auto"/>
            </w:tcBorders>
            <w:vAlign w:val="center"/>
          </w:tcPr>
          <w:p w14:paraId="7996E6C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2.93%</w:t>
            </w:r>
          </w:p>
        </w:tc>
        <w:tc>
          <w:tcPr>
            <w:tcW w:w="1701" w:type="dxa"/>
            <w:tcBorders>
              <w:left w:val="single" w:sz="4" w:space="0" w:color="auto"/>
              <w:right w:val="nil"/>
            </w:tcBorders>
            <w:noWrap/>
            <w:vAlign w:val="center"/>
            <w:hideMark/>
          </w:tcPr>
          <w:p w14:paraId="2D20767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111</w:t>
            </w:r>
          </w:p>
        </w:tc>
        <w:tc>
          <w:tcPr>
            <w:tcW w:w="1061" w:type="dxa"/>
            <w:tcBorders>
              <w:left w:val="nil"/>
              <w:right w:val="single" w:sz="4" w:space="0" w:color="auto"/>
            </w:tcBorders>
            <w:vAlign w:val="center"/>
          </w:tcPr>
          <w:p w14:paraId="516CF3E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2.69%</w:t>
            </w:r>
          </w:p>
        </w:tc>
        <w:tc>
          <w:tcPr>
            <w:tcW w:w="1300" w:type="dxa"/>
            <w:tcBorders>
              <w:left w:val="single" w:sz="4" w:space="0" w:color="auto"/>
            </w:tcBorders>
            <w:vAlign w:val="center"/>
          </w:tcPr>
          <w:p w14:paraId="5BD6458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692</w:t>
            </w:r>
          </w:p>
        </w:tc>
        <w:tc>
          <w:tcPr>
            <w:tcW w:w="1008" w:type="dxa"/>
            <w:tcBorders>
              <w:right w:val="single" w:sz="4" w:space="0" w:color="auto"/>
            </w:tcBorders>
            <w:vAlign w:val="center"/>
          </w:tcPr>
          <w:p w14:paraId="4637217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16.77%</w:t>
            </w:r>
          </w:p>
        </w:tc>
      </w:tr>
      <w:tr w:rsidR="006C6B06" w:rsidRPr="00333B81" w14:paraId="0B0F2BCA"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1D8F222B"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171E91E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w:t>
            </w:r>
          </w:p>
        </w:tc>
        <w:tc>
          <w:tcPr>
            <w:tcW w:w="1008" w:type="dxa"/>
            <w:tcBorders>
              <w:right w:val="single" w:sz="4" w:space="0" w:color="auto"/>
            </w:tcBorders>
            <w:vAlign w:val="center"/>
          </w:tcPr>
          <w:p w14:paraId="0AD0334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0.27%</w:t>
            </w:r>
          </w:p>
        </w:tc>
        <w:tc>
          <w:tcPr>
            <w:tcW w:w="1559" w:type="dxa"/>
            <w:tcBorders>
              <w:left w:val="single" w:sz="4" w:space="0" w:color="auto"/>
            </w:tcBorders>
            <w:noWrap/>
            <w:vAlign w:val="center"/>
            <w:hideMark/>
          </w:tcPr>
          <w:p w14:paraId="704C9F0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w:t>
            </w:r>
          </w:p>
        </w:tc>
        <w:tc>
          <w:tcPr>
            <w:tcW w:w="1008" w:type="dxa"/>
            <w:tcBorders>
              <w:right w:val="single" w:sz="4" w:space="0" w:color="auto"/>
            </w:tcBorders>
            <w:vAlign w:val="center"/>
          </w:tcPr>
          <w:p w14:paraId="467EE1F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0.00%</w:t>
            </w:r>
          </w:p>
        </w:tc>
        <w:tc>
          <w:tcPr>
            <w:tcW w:w="1560" w:type="dxa"/>
            <w:tcBorders>
              <w:left w:val="single" w:sz="4" w:space="0" w:color="auto"/>
            </w:tcBorders>
            <w:noWrap/>
            <w:vAlign w:val="center"/>
            <w:hideMark/>
          </w:tcPr>
          <w:p w14:paraId="0CB04AC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w:t>
            </w:r>
          </w:p>
        </w:tc>
        <w:tc>
          <w:tcPr>
            <w:tcW w:w="928" w:type="dxa"/>
            <w:tcBorders>
              <w:right w:val="single" w:sz="4" w:space="0" w:color="auto"/>
            </w:tcBorders>
            <w:vAlign w:val="center"/>
          </w:tcPr>
          <w:p w14:paraId="6232748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0.00%</w:t>
            </w:r>
          </w:p>
        </w:tc>
        <w:tc>
          <w:tcPr>
            <w:tcW w:w="1701" w:type="dxa"/>
            <w:tcBorders>
              <w:left w:val="single" w:sz="4" w:space="0" w:color="auto"/>
            </w:tcBorders>
            <w:noWrap/>
            <w:vAlign w:val="center"/>
            <w:hideMark/>
          </w:tcPr>
          <w:p w14:paraId="44AD925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w:t>
            </w:r>
          </w:p>
        </w:tc>
        <w:tc>
          <w:tcPr>
            <w:tcW w:w="1061" w:type="dxa"/>
            <w:tcBorders>
              <w:right w:val="single" w:sz="4" w:space="0" w:color="auto"/>
            </w:tcBorders>
            <w:vAlign w:val="center"/>
          </w:tcPr>
          <w:p w14:paraId="51D42D5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0.00%</w:t>
            </w:r>
          </w:p>
        </w:tc>
        <w:tc>
          <w:tcPr>
            <w:tcW w:w="1300" w:type="dxa"/>
            <w:tcBorders>
              <w:left w:val="single" w:sz="4" w:space="0" w:color="auto"/>
            </w:tcBorders>
            <w:vAlign w:val="center"/>
          </w:tcPr>
          <w:p w14:paraId="53DCF1C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11</w:t>
            </w:r>
          </w:p>
        </w:tc>
        <w:tc>
          <w:tcPr>
            <w:tcW w:w="1008" w:type="dxa"/>
            <w:tcBorders>
              <w:right w:val="single" w:sz="4" w:space="0" w:color="auto"/>
            </w:tcBorders>
            <w:vAlign w:val="center"/>
          </w:tcPr>
          <w:p w14:paraId="5E33FA1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0.27%</w:t>
            </w:r>
          </w:p>
        </w:tc>
      </w:tr>
      <w:tr w:rsidR="006C6B06" w:rsidRPr="00333B81" w14:paraId="1DC048EB"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600FA485"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53276EB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1,190</w:t>
            </w:r>
          </w:p>
        </w:tc>
        <w:tc>
          <w:tcPr>
            <w:tcW w:w="1008" w:type="dxa"/>
            <w:tcBorders>
              <w:right w:val="single" w:sz="4" w:space="0" w:color="auto"/>
            </w:tcBorders>
            <w:vAlign w:val="center"/>
          </w:tcPr>
          <w:p w14:paraId="2AD01C2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28.84%</w:t>
            </w:r>
          </w:p>
        </w:tc>
        <w:tc>
          <w:tcPr>
            <w:tcW w:w="1559" w:type="dxa"/>
            <w:tcBorders>
              <w:left w:val="single" w:sz="4" w:space="0" w:color="auto"/>
            </w:tcBorders>
            <w:noWrap/>
            <w:vAlign w:val="center"/>
            <w:hideMark/>
          </w:tcPr>
          <w:p w14:paraId="0CD4052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559</w:t>
            </w:r>
          </w:p>
        </w:tc>
        <w:tc>
          <w:tcPr>
            <w:tcW w:w="1008" w:type="dxa"/>
            <w:tcBorders>
              <w:right w:val="single" w:sz="4" w:space="0" w:color="auto"/>
            </w:tcBorders>
            <w:vAlign w:val="center"/>
          </w:tcPr>
          <w:p w14:paraId="3CD6FAA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13.55%</w:t>
            </w:r>
          </w:p>
        </w:tc>
        <w:tc>
          <w:tcPr>
            <w:tcW w:w="1560" w:type="dxa"/>
            <w:tcBorders>
              <w:left w:val="single" w:sz="4" w:space="0" w:color="auto"/>
            </w:tcBorders>
            <w:noWrap/>
            <w:vAlign w:val="center"/>
            <w:hideMark/>
          </w:tcPr>
          <w:p w14:paraId="1E5B46D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292</w:t>
            </w:r>
          </w:p>
        </w:tc>
        <w:tc>
          <w:tcPr>
            <w:tcW w:w="928" w:type="dxa"/>
            <w:tcBorders>
              <w:right w:val="single" w:sz="4" w:space="0" w:color="auto"/>
            </w:tcBorders>
            <w:vAlign w:val="center"/>
          </w:tcPr>
          <w:p w14:paraId="2EBA76D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7.08%</w:t>
            </w:r>
          </w:p>
        </w:tc>
        <w:tc>
          <w:tcPr>
            <w:tcW w:w="1701" w:type="dxa"/>
            <w:tcBorders>
              <w:left w:val="single" w:sz="4" w:space="0" w:color="auto"/>
              <w:right w:val="nil"/>
            </w:tcBorders>
            <w:noWrap/>
            <w:vAlign w:val="center"/>
            <w:hideMark/>
          </w:tcPr>
          <w:p w14:paraId="426DAE7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267</w:t>
            </w:r>
          </w:p>
        </w:tc>
        <w:tc>
          <w:tcPr>
            <w:tcW w:w="1061" w:type="dxa"/>
            <w:tcBorders>
              <w:left w:val="nil"/>
              <w:right w:val="single" w:sz="4" w:space="0" w:color="auto"/>
            </w:tcBorders>
            <w:vAlign w:val="center"/>
          </w:tcPr>
          <w:p w14:paraId="04CA999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6.47%</w:t>
            </w:r>
          </w:p>
        </w:tc>
        <w:tc>
          <w:tcPr>
            <w:tcW w:w="1300" w:type="dxa"/>
            <w:tcBorders>
              <w:left w:val="single" w:sz="4" w:space="0" w:color="auto"/>
            </w:tcBorders>
            <w:vAlign w:val="center"/>
          </w:tcPr>
          <w:p w14:paraId="6B74177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1,749</w:t>
            </w:r>
          </w:p>
        </w:tc>
        <w:tc>
          <w:tcPr>
            <w:tcW w:w="1008" w:type="dxa"/>
            <w:tcBorders>
              <w:right w:val="single" w:sz="4" w:space="0" w:color="auto"/>
            </w:tcBorders>
            <w:vAlign w:val="center"/>
          </w:tcPr>
          <w:p w14:paraId="5FB42A1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42.39%</w:t>
            </w:r>
          </w:p>
        </w:tc>
      </w:tr>
      <w:tr w:rsidR="006C6B06" w:rsidRPr="00333B81" w14:paraId="26577A04"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nil"/>
              <w:right w:val="single" w:sz="4" w:space="0" w:color="auto"/>
            </w:tcBorders>
            <w:noWrap/>
            <w:vAlign w:val="center"/>
            <w:hideMark/>
          </w:tcPr>
          <w:p w14:paraId="74BA238E"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bottom w:val="nil"/>
            </w:tcBorders>
            <w:noWrap/>
            <w:vAlign w:val="center"/>
            <w:hideMark/>
          </w:tcPr>
          <w:p w14:paraId="23F2E3A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1,607</w:t>
            </w:r>
          </w:p>
        </w:tc>
        <w:tc>
          <w:tcPr>
            <w:tcW w:w="1008" w:type="dxa"/>
            <w:tcBorders>
              <w:bottom w:val="nil"/>
              <w:right w:val="single" w:sz="4" w:space="0" w:color="auto"/>
            </w:tcBorders>
            <w:vAlign w:val="center"/>
          </w:tcPr>
          <w:p w14:paraId="3814CBF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38.95%</w:t>
            </w:r>
          </w:p>
        </w:tc>
        <w:tc>
          <w:tcPr>
            <w:tcW w:w="1559" w:type="dxa"/>
            <w:tcBorders>
              <w:left w:val="single" w:sz="4" w:space="0" w:color="auto"/>
              <w:bottom w:val="nil"/>
            </w:tcBorders>
            <w:noWrap/>
            <w:vAlign w:val="center"/>
            <w:hideMark/>
          </w:tcPr>
          <w:p w14:paraId="10E0DEE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770</w:t>
            </w:r>
          </w:p>
        </w:tc>
        <w:tc>
          <w:tcPr>
            <w:tcW w:w="1008" w:type="dxa"/>
            <w:tcBorders>
              <w:bottom w:val="nil"/>
              <w:right w:val="single" w:sz="4" w:space="0" w:color="auto"/>
            </w:tcBorders>
            <w:vAlign w:val="center"/>
          </w:tcPr>
          <w:p w14:paraId="1DD5060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18.66%</w:t>
            </w:r>
          </w:p>
        </w:tc>
        <w:tc>
          <w:tcPr>
            <w:tcW w:w="1560" w:type="dxa"/>
            <w:tcBorders>
              <w:left w:val="single" w:sz="4" w:space="0" w:color="auto"/>
              <w:bottom w:val="nil"/>
            </w:tcBorders>
            <w:noWrap/>
            <w:vAlign w:val="center"/>
            <w:hideMark/>
          </w:tcPr>
          <w:p w14:paraId="10555C3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342</w:t>
            </w:r>
          </w:p>
        </w:tc>
        <w:tc>
          <w:tcPr>
            <w:tcW w:w="928" w:type="dxa"/>
            <w:tcBorders>
              <w:bottom w:val="nil"/>
              <w:right w:val="single" w:sz="4" w:space="0" w:color="auto"/>
            </w:tcBorders>
            <w:vAlign w:val="center"/>
          </w:tcPr>
          <w:p w14:paraId="35C0694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8.29%</w:t>
            </w:r>
          </w:p>
        </w:tc>
        <w:tc>
          <w:tcPr>
            <w:tcW w:w="1701" w:type="dxa"/>
            <w:tcBorders>
              <w:left w:val="single" w:sz="4" w:space="0" w:color="auto"/>
              <w:bottom w:val="nil"/>
            </w:tcBorders>
            <w:noWrap/>
            <w:vAlign w:val="center"/>
            <w:hideMark/>
          </w:tcPr>
          <w:p w14:paraId="319294F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428</w:t>
            </w:r>
          </w:p>
        </w:tc>
        <w:tc>
          <w:tcPr>
            <w:tcW w:w="1061" w:type="dxa"/>
            <w:tcBorders>
              <w:bottom w:val="nil"/>
              <w:right w:val="single" w:sz="4" w:space="0" w:color="auto"/>
            </w:tcBorders>
            <w:vAlign w:val="center"/>
          </w:tcPr>
          <w:p w14:paraId="5F69A3F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10.37%</w:t>
            </w:r>
          </w:p>
        </w:tc>
        <w:tc>
          <w:tcPr>
            <w:tcW w:w="1300" w:type="dxa"/>
            <w:tcBorders>
              <w:left w:val="single" w:sz="4" w:space="0" w:color="auto"/>
              <w:bottom w:val="nil"/>
            </w:tcBorders>
            <w:vAlign w:val="center"/>
          </w:tcPr>
          <w:p w14:paraId="72C42B9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2,377</w:t>
            </w:r>
          </w:p>
        </w:tc>
        <w:tc>
          <w:tcPr>
            <w:tcW w:w="1008" w:type="dxa"/>
            <w:tcBorders>
              <w:bottom w:val="nil"/>
              <w:right w:val="single" w:sz="4" w:space="0" w:color="auto"/>
            </w:tcBorders>
            <w:vAlign w:val="center"/>
          </w:tcPr>
          <w:p w14:paraId="6AC86F0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57.61%</w:t>
            </w:r>
          </w:p>
        </w:tc>
      </w:tr>
      <w:tr w:rsidR="006C6B06" w:rsidRPr="00333B81" w14:paraId="3133775F"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nil"/>
              <w:left w:val="single" w:sz="4" w:space="0" w:color="auto"/>
              <w:bottom w:val="single" w:sz="4" w:space="0" w:color="auto"/>
              <w:right w:val="single" w:sz="4" w:space="0" w:color="auto"/>
            </w:tcBorders>
            <w:noWrap/>
            <w:hideMark/>
          </w:tcPr>
          <w:p w14:paraId="04F0C0A7"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noWrap/>
            <w:vAlign w:val="center"/>
            <w:hideMark/>
          </w:tcPr>
          <w:p w14:paraId="231B67F0"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2,797</w:t>
            </w:r>
          </w:p>
        </w:tc>
        <w:tc>
          <w:tcPr>
            <w:tcW w:w="1008" w:type="dxa"/>
            <w:tcBorders>
              <w:top w:val="nil"/>
              <w:bottom w:val="single" w:sz="4" w:space="0" w:color="auto"/>
              <w:right w:val="single" w:sz="4" w:space="0" w:color="auto"/>
            </w:tcBorders>
            <w:vAlign w:val="center"/>
          </w:tcPr>
          <w:p w14:paraId="6D6F2E89"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67.79%</w:t>
            </w:r>
          </w:p>
        </w:tc>
        <w:tc>
          <w:tcPr>
            <w:tcW w:w="1559" w:type="dxa"/>
            <w:tcBorders>
              <w:top w:val="nil"/>
              <w:left w:val="single" w:sz="4" w:space="0" w:color="auto"/>
              <w:bottom w:val="single" w:sz="4" w:space="0" w:color="auto"/>
            </w:tcBorders>
            <w:noWrap/>
            <w:vAlign w:val="center"/>
            <w:hideMark/>
          </w:tcPr>
          <w:p w14:paraId="5D59417E"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1,329</w:t>
            </w:r>
          </w:p>
        </w:tc>
        <w:tc>
          <w:tcPr>
            <w:tcW w:w="1008" w:type="dxa"/>
            <w:tcBorders>
              <w:top w:val="nil"/>
              <w:bottom w:val="single" w:sz="4" w:space="0" w:color="auto"/>
              <w:right w:val="single" w:sz="4" w:space="0" w:color="auto"/>
            </w:tcBorders>
            <w:vAlign w:val="center"/>
          </w:tcPr>
          <w:p w14:paraId="44326533"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32.21%</w:t>
            </w:r>
          </w:p>
        </w:tc>
        <w:tc>
          <w:tcPr>
            <w:tcW w:w="1560" w:type="dxa"/>
            <w:tcBorders>
              <w:top w:val="nil"/>
              <w:left w:val="single" w:sz="4" w:space="0" w:color="auto"/>
              <w:bottom w:val="single" w:sz="4" w:space="0" w:color="auto"/>
            </w:tcBorders>
            <w:noWrap/>
            <w:vAlign w:val="center"/>
            <w:hideMark/>
          </w:tcPr>
          <w:p w14:paraId="5C613AFB"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634</w:t>
            </w:r>
          </w:p>
        </w:tc>
        <w:tc>
          <w:tcPr>
            <w:tcW w:w="928" w:type="dxa"/>
            <w:tcBorders>
              <w:top w:val="nil"/>
              <w:bottom w:val="single" w:sz="4" w:space="0" w:color="auto"/>
              <w:right w:val="single" w:sz="4" w:space="0" w:color="auto"/>
            </w:tcBorders>
            <w:vAlign w:val="center"/>
          </w:tcPr>
          <w:p w14:paraId="192086C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15.37%</w:t>
            </w:r>
          </w:p>
        </w:tc>
        <w:tc>
          <w:tcPr>
            <w:tcW w:w="1701" w:type="dxa"/>
            <w:tcBorders>
              <w:top w:val="nil"/>
              <w:left w:val="single" w:sz="4" w:space="0" w:color="auto"/>
              <w:bottom w:val="single" w:sz="4" w:space="0" w:color="auto"/>
              <w:right w:val="nil"/>
            </w:tcBorders>
            <w:noWrap/>
            <w:vAlign w:val="center"/>
            <w:hideMark/>
          </w:tcPr>
          <w:p w14:paraId="0FDF40BC"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695</w:t>
            </w:r>
          </w:p>
        </w:tc>
        <w:tc>
          <w:tcPr>
            <w:tcW w:w="1061" w:type="dxa"/>
            <w:tcBorders>
              <w:top w:val="nil"/>
              <w:left w:val="nil"/>
              <w:bottom w:val="single" w:sz="4" w:space="0" w:color="auto"/>
              <w:right w:val="single" w:sz="4" w:space="0" w:color="auto"/>
            </w:tcBorders>
            <w:vAlign w:val="center"/>
          </w:tcPr>
          <w:p w14:paraId="02C327DE"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16.84%</w:t>
            </w:r>
          </w:p>
        </w:tc>
        <w:tc>
          <w:tcPr>
            <w:tcW w:w="1300" w:type="dxa"/>
            <w:tcBorders>
              <w:top w:val="nil"/>
              <w:left w:val="single" w:sz="4" w:space="0" w:color="auto"/>
              <w:bottom w:val="single" w:sz="4" w:space="0" w:color="auto"/>
            </w:tcBorders>
            <w:vAlign w:val="center"/>
          </w:tcPr>
          <w:p w14:paraId="13DD32A3"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4,126</w:t>
            </w:r>
          </w:p>
        </w:tc>
        <w:tc>
          <w:tcPr>
            <w:tcW w:w="1008" w:type="dxa"/>
            <w:tcBorders>
              <w:top w:val="nil"/>
              <w:bottom w:val="single" w:sz="4" w:space="0" w:color="auto"/>
              <w:right w:val="single" w:sz="4" w:space="0" w:color="auto"/>
            </w:tcBorders>
            <w:vAlign w:val="center"/>
          </w:tcPr>
          <w:p w14:paraId="27EC5988"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8.43%</w:t>
            </w:r>
          </w:p>
        </w:tc>
      </w:tr>
    </w:tbl>
    <w:p w14:paraId="1E773D7F" w14:textId="77777777" w:rsidR="006C6B06" w:rsidRDefault="006C6B06" w:rsidP="00CE2FDF">
      <w:pPr>
        <w:spacing w:before="0"/>
      </w:pPr>
      <w:r>
        <w:rPr>
          <w:b/>
          <w:bCs/>
        </w:rPr>
        <w:br w:type="page"/>
      </w:r>
    </w:p>
    <w:tbl>
      <w:tblPr>
        <w:tblStyle w:val="LightShading-Accent2"/>
        <w:tblW w:w="14786" w:type="dxa"/>
        <w:tblLook w:val="04A0" w:firstRow="1" w:lastRow="0" w:firstColumn="1" w:lastColumn="0" w:noHBand="0" w:noVBand="1"/>
        <w:tblCaption w:val="Number of reports of sexual abuse, by year, reporter group, and outcome"/>
      </w:tblPr>
      <w:tblGrid>
        <w:gridCol w:w="2236"/>
        <w:gridCol w:w="1417"/>
        <w:gridCol w:w="1008"/>
        <w:gridCol w:w="1559"/>
        <w:gridCol w:w="1008"/>
        <w:gridCol w:w="1560"/>
        <w:gridCol w:w="928"/>
        <w:gridCol w:w="1701"/>
        <w:gridCol w:w="1061"/>
        <w:gridCol w:w="1300"/>
        <w:gridCol w:w="1008"/>
      </w:tblGrid>
      <w:tr w:rsidR="006C6B06" w:rsidRPr="00333B81" w14:paraId="11582B20"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5F7EFDA3" w14:textId="77777777" w:rsidR="006C6B06" w:rsidRPr="00333B81" w:rsidRDefault="006C6B06" w:rsidP="00CE2FDF">
            <w:pPr>
              <w:tabs>
                <w:tab w:val="left" w:pos="1134"/>
              </w:tabs>
              <w:spacing w:before="0" w:line="276" w:lineRule="auto"/>
              <w:jc w:val="center"/>
              <w:rPr>
                <w:rFonts w:eastAsia="Times New Roman" w:cs="Arial"/>
                <w:color w:val="auto"/>
                <w:sz w:val="20"/>
                <w:szCs w:val="20"/>
                <w:lang w:eastAsia="en-AU"/>
              </w:rPr>
            </w:pPr>
          </w:p>
        </w:tc>
        <w:tc>
          <w:tcPr>
            <w:tcW w:w="2425"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25D54184"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Not investigated</w:t>
            </w:r>
          </w:p>
        </w:tc>
        <w:tc>
          <w:tcPr>
            <w:tcW w:w="2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013F1CA1"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Investigated</w:t>
            </w:r>
          </w:p>
        </w:tc>
        <w:tc>
          <w:tcPr>
            <w:tcW w:w="248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D39FE63"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Substantiated</w:t>
            </w:r>
          </w:p>
        </w:tc>
        <w:tc>
          <w:tcPr>
            <w:tcW w:w="276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4E11B1E"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333B81">
              <w:rPr>
                <w:rFonts w:eastAsia="Times New Roman" w:cs="Arial"/>
                <w:color w:val="auto"/>
                <w:sz w:val="20"/>
                <w:szCs w:val="20"/>
                <w:lang w:eastAsia="en-AU"/>
              </w:rPr>
              <w:t>Not substantiated</w:t>
            </w:r>
          </w:p>
        </w:tc>
        <w:tc>
          <w:tcPr>
            <w:tcW w:w="230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2ADA3CB8"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eastAsia="en-AU"/>
              </w:rPr>
            </w:pPr>
            <w:r w:rsidRPr="00333B81">
              <w:rPr>
                <w:rFonts w:eastAsia="Times New Roman" w:cs="Arial"/>
                <w:color w:val="auto"/>
                <w:sz w:val="20"/>
                <w:szCs w:val="20"/>
                <w:lang w:eastAsia="en-AU"/>
              </w:rPr>
              <w:t>Total</w:t>
            </w:r>
          </w:p>
        </w:tc>
      </w:tr>
      <w:tr w:rsidR="002418F8" w:rsidRPr="00333B81" w14:paraId="1D0038F2"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7E7B1AA7"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2009</w:t>
            </w:r>
          </w:p>
        </w:tc>
        <w:tc>
          <w:tcPr>
            <w:tcW w:w="1417" w:type="dxa"/>
            <w:tcBorders>
              <w:top w:val="single" w:sz="4" w:space="0" w:color="auto"/>
              <w:left w:val="single" w:sz="4" w:space="0" w:color="auto"/>
            </w:tcBorders>
            <w:noWrap/>
            <w:hideMark/>
          </w:tcPr>
          <w:p w14:paraId="53BA6311"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08" w:type="dxa"/>
            <w:tcBorders>
              <w:top w:val="single" w:sz="4" w:space="0" w:color="auto"/>
              <w:right w:val="single" w:sz="4" w:space="0" w:color="auto"/>
            </w:tcBorders>
            <w:vAlign w:val="center"/>
          </w:tcPr>
          <w:p w14:paraId="30775A52"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559" w:type="dxa"/>
            <w:tcBorders>
              <w:top w:val="single" w:sz="4" w:space="0" w:color="auto"/>
              <w:left w:val="single" w:sz="4" w:space="0" w:color="auto"/>
            </w:tcBorders>
            <w:noWrap/>
            <w:hideMark/>
          </w:tcPr>
          <w:p w14:paraId="6DD0B8C7"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08" w:type="dxa"/>
            <w:tcBorders>
              <w:top w:val="single" w:sz="4" w:space="0" w:color="auto"/>
              <w:right w:val="single" w:sz="4" w:space="0" w:color="auto"/>
            </w:tcBorders>
            <w:vAlign w:val="center"/>
          </w:tcPr>
          <w:p w14:paraId="7B4DA4F3"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560" w:type="dxa"/>
            <w:tcBorders>
              <w:top w:val="single" w:sz="4" w:space="0" w:color="auto"/>
              <w:left w:val="single" w:sz="4" w:space="0" w:color="auto"/>
            </w:tcBorders>
            <w:noWrap/>
            <w:hideMark/>
          </w:tcPr>
          <w:p w14:paraId="6CBDE574"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928" w:type="dxa"/>
            <w:tcBorders>
              <w:top w:val="single" w:sz="4" w:space="0" w:color="auto"/>
              <w:right w:val="single" w:sz="4" w:space="0" w:color="auto"/>
            </w:tcBorders>
            <w:vAlign w:val="center"/>
          </w:tcPr>
          <w:p w14:paraId="4C1871A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701" w:type="dxa"/>
            <w:tcBorders>
              <w:top w:val="single" w:sz="4" w:space="0" w:color="auto"/>
              <w:left w:val="single" w:sz="4" w:space="0" w:color="auto"/>
            </w:tcBorders>
            <w:noWrap/>
            <w:hideMark/>
          </w:tcPr>
          <w:p w14:paraId="60CBE2E9"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61" w:type="dxa"/>
            <w:tcBorders>
              <w:top w:val="single" w:sz="4" w:space="0" w:color="auto"/>
              <w:right w:val="single" w:sz="4" w:space="0" w:color="auto"/>
            </w:tcBorders>
          </w:tcPr>
          <w:p w14:paraId="08CCF20B"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300" w:type="dxa"/>
            <w:tcBorders>
              <w:top w:val="single" w:sz="4" w:space="0" w:color="auto"/>
              <w:left w:val="single" w:sz="4" w:space="0" w:color="auto"/>
            </w:tcBorders>
            <w:vAlign w:val="center"/>
          </w:tcPr>
          <w:p w14:paraId="396E4AF7"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 </w:t>
            </w:r>
          </w:p>
        </w:tc>
        <w:tc>
          <w:tcPr>
            <w:tcW w:w="1008" w:type="dxa"/>
            <w:tcBorders>
              <w:top w:val="single" w:sz="4" w:space="0" w:color="auto"/>
              <w:right w:val="single" w:sz="4" w:space="0" w:color="auto"/>
            </w:tcBorders>
            <w:vAlign w:val="center"/>
          </w:tcPr>
          <w:p w14:paraId="573EBDB2"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333B81">
              <w:rPr>
                <w:bCs/>
                <w:color w:val="auto"/>
                <w:sz w:val="20"/>
                <w:szCs w:val="20"/>
              </w:rPr>
              <w:t> </w:t>
            </w:r>
          </w:p>
        </w:tc>
      </w:tr>
      <w:tr w:rsidR="006C6B06" w:rsidRPr="00333B81" w14:paraId="0A019B2B"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2C95693E"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7AF3346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183</w:t>
            </w:r>
          </w:p>
        </w:tc>
        <w:tc>
          <w:tcPr>
            <w:tcW w:w="1008" w:type="dxa"/>
            <w:tcBorders>
              <w:right w:val="single" w:sz="4" w:space="0" w:color="auto"/>
            </w:tcBorders>
            <w:vAlign w:val="center"/>
          </w:tcPr>
          <w:p w14:paraId="5F2D6AA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4.39%</w:t>
            </w:r>
          </w:p>
        </w:tc>
        <w:tc>
          <w:tcPr>
            <w:tcW w:w="1559" w:type="dxa"/>
            <w:tcBorders>
              <w:left w:val="single" w:sz="4" w:space="0" w:color="auto"/>
            </w:tcBorders>
            <w:noWrap/>
            <w:vAlign w:val="center"/>
            <w:hideMark/>
          </w:tcPr>
          <w:p w14:paraId="6C61FEA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36</w:t>
            </w:r>
          </w:p>
        </w:tc>
        <w:tc>
          <w:tcPr>
            <w:tcW w:w="1008" w:type="dxa"/>
            <w:tcBorders>
              <w:right w:val="single" w:sz="4" w:space="0" w:color="auto"/>
            </w:tcBorders>
            <w:vAlign w:val="center"/>
          </w:tcPr>
          <w:p w14:paraId="0673596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0.86%</w:t>
            </w:r>
          </w:p>
        </w:tc>
        <w:tc>
          <w:tcPr>
            <w:tcW w:w="1560" w:type="dxa"/>
            <w:tcBorders>
              <w:left w:val="single" w:sz="4" w:space="0" w:color="auto"/>
            </w:tcBorders>
            <w:noWrap/>
            <w:vAlign w:val="center"/>
            <w:hideMark/>
          </w:tcPr>
          <w:p w14:paraId="1238E33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15</w:t>
            </w:r>
          </w:p>
        </w:tc>
        <w:tc>
          <w:tcPr>
            <w:tcW w:w="928" w:type="dxa"/>
            <w:tcBorders>
              <w:right w:val="single" w:sz="4" w:space="0" w:color="auto"/>
            </w:tcBorders>
            <w:vAlign w:val="center"/>
          </w:tcPr>
          <w:p w14:paraId="2B725E7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0.36%</w:t>
            </w:r>
          </w:p>
        </w:tc>
        <w:tc>
          <w:tcPr>
            <w:tcW w:w="1701" w:type="dxa"/>
            <w:tcBorders>
              <w:left w:val="single" w:sz="4" w:space="0" w:color="auto"/>
            </w:tcBorders>
            <w:noWrap/>
            <w:vAlign w:val="center"/>
            <w:hideMark/>
          </w:tcPr>
          <w:p w14:paraId="5D9E199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21</w:t>
            </w:r>
          </w:p>
        </w:tc>
        <w:tc>
          <w:tcPr>
            <w:tcW w:w="1061" w:type="dxa"/>
            <w:tcBorders>
              <w:right w:val="single" w:sz="4" w:space="0" w:color="auto"/>
            </w:tcBorders>
            <w:vAlign w:val="center"/>
          </w:tcPr>
          <w:p w14:paraId="1548E8C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0.50%</w:t>
            </w:r>
          </w:p>
        </w:tc>
        <w:tc>
          <w:tcPr>
            <w:tcW w:w="1300" w:type="dxa"/>
            <w:tcBorders>
              <w:left w:val="single" w:sz="4" w:space="0" w:color="auto"/>
            </w:tcBorders>
            <w:vAlign w:val="center"/>
          </w:tcPr>
          <w:p w14:paraId="2917379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219</w:t>
            </w:r>
          </w:p>
        </w:tc>
        <w:tc>
          <w:tcPr>
            <w:tcW w:w="1008" w:type="dxa"/>
            <w:tcBorders>
              <w:right w:val="single" w:sz="4" w:space="0" w:color="auto"/>
            </w:tcBorders>
            <w:vAlign w:val="center"/>
          </w:tcPr>
          <w:p w14:paraId="7ABB99A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5.25%</w:t>
            </w:r>
          </w:p>
        </w:tc>
      </w:tr>
      <w:tr w:rsidR="006C6B06" w:rsidRPr="00333B81" w14:paraId="3503E420"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AAA86D3"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7B03546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54</w:t>
            </w:r>
          </w:p>
        </w:tc>
        <w:tc>
          <w:tcPr>
            <w:tcW w:w="1008" w:type="dxa"/>
            <w:tcBorders>
              <w:right w:val="single" w:sz="4" w:space="0" w:color="auto"/>
            </w:tcBorders>
            <w:vAlign w:val="center"/>
          </w:tcPr>
          <w:p w14:paraId="49CA922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1.29%</w:t>
            </w:r>
          </w:p>
        </w:tc>
        <w:tc>
          <w:tcPr>
            <w:tcW w:w="1559" w:type="dxa"/>
            <w:tcBorders>
              <w:left w:val="single" w:sz="4" w:space="0" w:color="auto"/>
            </w:tcBorders>
            <w:noWrap/>
            <w:vAlign w:val="center"/>
            <w:hideMark/>
          </w:tcPr>
          <w:p w14:paraId="7B565AD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16</w:t>
            </w:r>
          </w:p>
        </w:tc>
        <w:tc>
          <w:tcPr>
            <w:tcW w:w="1008" w:type="dxa"/>
            <w:tcBorders>
              <w:right w:val="single" w:sz="4" w:space="0" w:color="auto"/>
            </w:tcBorders>
            <w:vAlign w:val="center"/>
          </w:tcPr>
          <w:p w14:paraId="3AE8583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0.38%</w:t>
            </w:r>
          </w:p>
        </w:tc>
        <w:tc>
          <w:tcPr>
            <w:tcW w:w="1560" w:type="dxa"/>
            <w:tcBorders>
              <w:left w:val="single" w:sz="4" w:space="0" w:color="auto"/>
            </w:tcBorders>
            <w:noWrap/>
            <w:vAlign w:val="center"/>
            <w:hideMark/>
          </w:tcPr>
          <w:p w14:paraId="7E8D8CC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w:t>
            </w:r>
          </w:p>
        </w:tc>
        <w:tc>
          <w:tcPr>
            <w:tcW w:w="928" w:type="dxa"/>
            <w:tcBorders>
              <w:right w:val="single" w:sz="4" w:space="0" w:color="auto"/>
            </w:tcBorders>
            <w:vAlign w:val="center"/>
          </w:tcPr>
          <w:p w14:paraId="175F654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0.10%</w:t>
            </w:r>
          </w:p>
        </w:tc>
        <w:tc>
          <w:tcPr>
            <w:tcW w:w="1701" w:type="dxa"/>
            <w:tcBorders>
              <w:left w:val="single" w:sz="4" w:space="0" w:color="auto"/>
            </w:tcBorders>
            <w:noWrap/>
            <w:vAlign w:val="center"/>
            <w:hideMark/>
          </w:tcPr>
          <w:p w14:paraId="41BBF48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w:t>
            </w:r>
          </w:p>
        </w:tc>
        <w:tc>
          <w:tcPr>
            <w:tcW w:w="1061" w:type="dxa"/>
            <w:tcBorders>
              <w:right w:val="single" w:sz="4" w:space="0" w:color="auto"/>
            </w:tcBorders>
            <w:vAlign w:val="center"/>
          </w:tcPr>
          <w:p w14:paraId="62A0ECA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0.29%</w:t>
            </w:r>
          </w:p>
        </w:tc>
        <w:tc>
          <w:tcPr>
            <w:tcW w:w="1300" w:type="dxa"/>
            <w:tcBorders>
              <w:left w:val="single" w:sz="4" w:space="0" w:color="auto"/>
            </w:tcBorders>
            <w:vAlign w:val="center"/>
          </w:tcPr>
          <w:p w14:paraId="52A3CE6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70</w:t>
            </w:r>
          </w:p>
        </w:tc>
        <w:tc>
          <w:tcPr>
            <w:tcW w:w="1008" w:type="dxa"/>
            <w:tcBorders>
              <w:right w:val="single" w:sz="4" w:space="0" w:color="auto"/>
            </w:tcBorders>
            <w:vAlign w:val="center"/>
          </w:tcPr>
          <w:p w14:paraId="713262C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1.68%</w:t>
            </w:r>
          </w:p>
        </w:tc>
      </w:tr>
      <w:tr w:rsidR="006C6B06" w:rsidRPr="00333B81" w14:paraId="3B70687F"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1538141"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2B928E7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575</w:t>
            </w:r>
          </w:p>
        </w:tc>
        <w:tc>
          <w:tcPr>
            <w:tcW w:w="1008" w:type="dxa"/>
            <w:tcBorders>
              <w:right w:val="single" w:sz="4" w:space="0" w:color="auto"/>
            </w:tcBorders>
            <w:vAlign w:val="center"/>
          </w:tcPr>
          <w:p w14:paraId="306FCB1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13.78%</w:t>
            </w:r>
          </w:p>
        </w:tc>
        <w:tc>
          <w:tcPr>
            <w:tcW w:w="1559" w:type="dxa"/>
            <w:tcBorders>
              <w:left w:val="single" w:sz="4" w:space="0" w:color="auto"/>
            </w:tcBorders>
            <w:noWrap/>
            <w:vAlign w:val="center"/>
            <w:hideMark/>
          </w:tcPr>
          <w:p w14:paraId="4BCEE7C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344</w:t>
            </w:r>
          </w:p>
        </w:tc>
        <w:tc>
          <w:tcPr>
            <w:tcW w:w="1008" w:type="dxa"/>
            <w:tcBorders>
              <w:right w:val="single" w:sz="4" w:space="0" w:color="auto"/>
            </w:tcBorders>
            <w:vAlign w:val="center"/>
          </w:tcPr>
          <w:p w14:paraId="5B9DAC0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8.24%</w:t>
            </w:r>
          </w:p>
        </w:tc>
        <w:tc>
          <w:tcPr>
            <w:tcW w:w="1560" w:type="dxa"/>
            <w:tcBorders>
              <w:left w:val="single" w:sz="4" w:space="0" w:color="auto"/>
            </w:tcBorders>
            <w:noWrap/>
            <w:vAlign w:val="center"/>
            <w:hideMark/>
          </w:tcPr>
          <w:p w14:paraId="4ADC9AD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200</w:t>
            </w:r>
          </w:p>
        </w:tc>
        <w:tc>
          <w:tcPr>
            <w:tcW w:w="928" w:type="dxa"/>
            <w:tcBorders>
              <w:right w:val="single" w:sz="4" w:space="0" w:color="auto"/>
            </w:tcBorders>
            <w:vAlign w:val="center"/>
          </w:tcPr>
          <w:p w14:paraId="0C2D53A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4.79%</w:t>
            </w:r>
          </w:p>
        </w:tc>
        <w:tc>
          <w:tcPr>
            <w:tcW w:w="1701" w:type="dxa"/>
            <w:tcBorders>
              <w:left w:val="single" w:sz="4" w:space="0" w:color="auto"/>
            </w:tcBorders>
            <w:noWrap/>
            <w:vAlign w:val="center"/>
            <w:hideMark/>
          </w:tcPr>
          <w:p w14:paraId="41EFA2F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144</w:t>
            </w:r>
          </w:p>
        </w:tc>
        <w:tc>
          <w:tcPr>
            <w:tcW w:w="1061" w:type="dxa"/>
            <w:tcBorders>
              <w:right w:val="single" w:sz="4" w:space="0" w:color="auto"/>
            </w:tcBorders>
            <w:vAlign w:val="center"/>
          </w:tcPr>
          <w:p w14:paraId="214C6B8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3.45%</w:t>
            </w:r>
          </w:p>
        </w:tc>
        <w:tc>
          <w:tcPr>
            <w:tcW w:w="1300" w:type="dxa"/>
            <w:tcBorders>
              <w:left w:val="single" w:sz="4" w:space="0" w:color="auto"/>
            </w:tcBorders>
            <w:vAlign w:val="center"/>
          </w:tcPr>
          <w:p w14:paraId="0BC6B71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919</w:t>
            </w:r>
          </w:p>
        </w:tc>
        <w:tc>
          <w:tcPr>
            <w:tcW w:w="1008" w:type="dxa"/>
            <w:tcBorders>
              <w:right w:val="single" w:sz="4" w:space="0" w:color="auto"/>
            </w:tcBorders>
            <w:vAlign w:val="center"/>
          </w:tcPr>
          <w:p w14:paraId="616A05E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22.02%</w:t>
            </w:r>
          </w:p>
        </w:tc>
      </w:tr>
      <w:tr w:rsidR="006C6B06" w:rsidRPr="00333B81" w14:paraId="4157CC1F"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265AF38"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71FFE47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429</w:t>
            </w:r>
          </w:p>
        </w:tc>
        <w:tc>
          <w:tcPr>
            <w:tcW w:w="1008" w:type="dxa"/>
            <w:tcBorders>
              <w:right w:val="single" w:sz="4" w:space="0" w:color="auto"/>
            </w:tcBorders>
            <w:vAlign w:val="center"/>
          </w:tcPr>
          <w:p w14:paraId="00EB888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10.28%</w:t>
            </w:r>
          </w:p>
        </w:tc>
        <w:tc>
          <w:tcPr>
            <w:tcW w:w="1559" w:type="dxa"/>
            <w:tcBorders>
              <w:left w:val="single" w:sz="4" w:space="0" w:color="auto"/>
            </w:tcBorders>
            <w:noWrap/>
            <w:vAlign w:val="center"/>
            <w:hideMark/>
          </w:tcPr>
          <w:p w14:paraId="66E0CBC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208</w:t>
            </w:r>
          </w:p>
        </w:tc>
        <w:tc>
          <w:tcPr>
            <w:tcW w:w="1008" w:type="dxa"/>
            <w:tcBorders>
              <w:right w:val="single" w:sz="4" w:space="0" w:color="auto"/>
            </w:tcBorders>
            <w:vAlign w:val="center"/>
          </w:tcPr>
          <w:p w14:paraId="58F56D8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4.98%</w:t>
            </w:r>
          </w:p>
        </w:tc>
        <w:tc>
          <w:tcPr>
            <w:tcW w:w="1560" w:type="dxa"/>
            <w:tcBorders>
              <w:left w:val="single" w:sz="4" w:space="0" w:color="auto"/>
            </w:tcBorders>
            <w:noWrap/>
            <w:vAlign w:val="center"/>
            <w:hideMark/>
          </w:tcPr>
          <w:p w14:paraId="5A76AA4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93</w:t>
            </w:r>
          </w:p>
        </w:tc>
        <w:tc>
          <w:tcPr>
            <w:tcW w:w="928" w:type="dxa"/>
            <w:tcBorders>
              <w:right w:val="single" w:sz="4" w:space="0" w:color="auto"/>
            </w:tcBorders>
            <w:vAlign w:val="center"/>
          </w:tcPr>
          <w:p w14:paraId="156E68E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2.23%</w:t>
            </w:r>
          </w:p>
        </w:tc>
        <w:tc>
          <w:tcPr>
            <w:tcW w:w="1701" w:type="dxa"/>
            <w:tcBorders>
              <w:left w:val="single" w:sz="4" w:space="0" w:color="auto"/>
            </w:tcBorders>
            <w:noWrap/>
            <w:vAlign w:val="center"/>
            <w:hideMark/>
          </w:tcPr>
          <w:p w14:paraId="47BAAE2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115</w:t>
            </w:r>
          </w:p>
        </w:tc>
        <w:tc>
          <w:tcPr>
            <w:tcW w:w="1061" w:type="dxa"/>
            <w:tcBorders>
              <w:right w:val="single" w:sz="4" w:space="0" w:color="auto"/>
            </w:tcBorders>
            <w:vAlign w:val="center"/>
          </w:tcPr>
          <w:p w14:paraId="5FB8A26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2.76%</w:t>
            </w:r>
          </w:p>
        </w:tc>
        <w:tc>
          <w:tcPr>
            <w:tcW w:w="1300" w:type="dxa"/>
            <w:tcBorders>
              <w:left w:val="single" w:sz="4" w:space="0" w:color="auto"/>
            </w:tcBorders>
            <w:vAlign w:val="center"/>
          </w:tcPr>
          <w:p w14:paraId="493C24A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637</w:t>
            </w:r>
          </w:p>
        </w:tc>
        <w:tc>
          <w:tcPr>
            <w:tcW w:w="1008" w:type="dxa"/>
            <w:tcBorders>
              <w:right w:val="single" w:sz="4" w:space="0" w:color="auto"/>
            </w:tcBorders>
            <w:vAlign w:val="center"/>
          </w:tcPr>
          <w:p w14:paraId="2356506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15.26%</w:t>
            </w:r>
          </w:p>
        </w:tc>
      </w:tr>
      <w:tr w:rsidR="006C6B06" w:rsidRPr="00333B81" w14:paraId="648B7543"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03EA464"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5E35761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14</w:t>
            </w:r>
          </w:p>
        </w:tc>
        <w:tc>
          <w:tcPr>
            <w:tcW w:w="1008" w:type="dxa"/>
            <w:tcBorders>
              <w:right w:val="single" w:sz="4" w:space="0" w:color="auto"/>
            </w:tcBorders>
            <w:vAlign w:val="center"/>
          </w:tcPr>
          <w:p w14:paraId="43FFD0B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0.34%</w:t>
            </w:r>
          </w:p>
        </w:tc>
        <w:tc>
          <w:tcPr>
            <w:tcW w:w="1559" w:type="dxa"/>
            <w:tcBorders>
              <w:left w:val="single" w:sz="4" w:space="0" w:color="auto"/>
            </w:tcBorders>
            <w:noWrap/>
            <w:vAlign w:val="center"/>
            <w:hideMark/>
          </w:tcPr>
          <w:p w14:paraId="47F76C4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w:t>
            </w:r>
          </w:p>
        </w:tc>
        <w:tc>
          <w:tcPr>
            <w:tcW w:w="1008" w:type="dxa"/>
            <w:tcBorders>
              <w:right w:val="single" w:sz="4" w:space="0" w:color="auto"/>
            </w:tcBorders>
            <w:vAlign w:val="center"/>
          </w:tcPr>
          <w:p w14:paraId="7A00B6A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0.07%</w:t>
            </w:r>
          </w:p>
        </w:tc>
        <w:tc>
          <w:tcPr>
            <w:tcW w:w="1560" w:type="dxa"/>
            <w:tcBorders>
              <w:left w:val="single" w:sz="4" w:space="0" w:color="auto"/>
            </w:tcBorders>
            <w:noWrap/>
            <w:vAlign w:val="center"/>
            <w:hideMark/>
          </w:tcPr>
          <w:p w14:paraId="086D0C7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w:t>
            </w:r>
          </w:p>
        </w:tc>
        <w:tc>
          <w:tcPr>
            <w:tcW w:w="928" w:type="dxa"/>
            <w:tcBorders>
              <w:right w:val="single" w:sz="4" w:space="0" w:color="auto"/>
            </w:tcBorders>
            <w:vAlign w:val="center"/>
          </w:tcPr>
          <w:p w14:paraId="5A84611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0.05%</w:t>
            </w:r>
          </w:p>
        </w:tc>
        <w:tc>
          <w:tcPr>
            <w:tcW w:w="1701" w:type="dxa"/>
            <w:tcBorders>
              <w:left w:val="single" w:sz="4" w:space="0" w:color="auto"/>
            </w:tcBorders>
            <w:noWrap/>
            <w:vAlign w:val="center"/>
            <w:hideMark/>
          </w:tcPr>
          <w:p w14:paraId="238D6EB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w:t>
            </w:r>
          </w:p>
        </w:tc>
        <w:tc>
          <w:tcPr>
            <w:tcW w:w="1061" w:type="dxa"/>
            <w:tcBorders>
              <w:right w:val="single" w:sz="4" w:space="0" w:color="auto"/>
            </w:tcBorders>
            <w:vAlign w:val="center"/>
          </w:tcPr>
          <w:p w14:paraId="03DE627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0.02%</w:t>
            </w:r>
          </w:p>
        </w:tc>
        <w:tc>
          <w:tcPr>
            <w:tcW w:w="1300" w:type="dxa"/>
            <w:tcBorders>
              <w:left w:val="single" w:sz="4" w:space="0" w:color="auto"/>
            </w:tcBorders>
            <w:vAlign w:val="center"/>
          </w:tcPr>
          <w:p w14:paraId="05752BB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17</w:t>
            </w:r>
          </w:p>
        </w:tc>
        <w:tc>
          <w:tcPr>
            <w:tcW w:w="1008" w:type="dxa"/>
            <w:tcBorders>
              <w:right w:val="single" w:sz="4" w:space="0" w:color="auto"/>
            </w:tcBorders>
            <w:vAlign w:val="center"/>
          </w:tcPr>
          <w:p w14:paraId="7B1B61F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0.41%</w:t>
            </w:r>
          </w:p>
        </w:tc>
      </w:tr>
      <w:tr w:rsidR="006C6B06" w:rsidRPr="00333B81" w14:paraId="2A4FD10A"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551E6E78"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0B80D75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1,255</w:t>
            </w:r>
          </w:p>
        </w:tc>
        <w:tc>
          <w:tcPr>
            <w:tcW w:w="1008" w:type="dxa"/>
            <w:tcBorders>
              <w:right w:val="single" w:sz="4" w:space="0" w:color="auto"/>
            </w:tcBorders>
            <w:vAlign w:val="center"/>
          </w:tcPr>
          <w:p w14:paraId="68D23E6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30.07%</w:t>
            </w:r>
          </w:p>
        </w:tc>
        <w:tc>
          <w:tcPr>
            <w:tcW w:w="1559" w:type="dxa"/>
            <w:tcBorders>
              <w:left w:val="single" w:sz="4" w:space="0" w:color="auto"/>
            </w:tcBorders>
            <w:noWrap/>
            <w:vAlign w:val="center"/>
            <w:hideMark/>
          </w:tcPr>
          <w:p w14:paraId="64B1FEA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607</w:t>
            </w:r>
          </w:p>
        </w:tc>
        <w:tc>
          <w:tcPr>
            <w:tcW w:w="1008" w:type="dxa"/>
            <w:tcBorders>
              <w:right w:val="single" w:sz="4" w:space="0" w:color="auto"/>
            </w:tcBorders>
            <w:vAlign w:val="center"/>
          </w:tcPr>
          <w:p w14:paraId="1B82BD0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14.55%</w:t>
            </w:r>
          </w:p>
        </w:tc>
        <w:tc>
          <w:tcPr>
            <w:tcW w:w="1560" w:type="dxa"/>
            <w:tcBorders>
              <w:left w:val="single" w:sz="4" w:space="0" w:color="auto"/>
            </w:tcBorders>
            <w:noWrap/>
            <w:vAlign w:val="center"/>
            <w:hideMark/>
          </w:tcPr>
          <w:p w14:paraId="0199D0F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314</w:t>
            </w:r>
          </w:p>
        </w:tc>
        <w:tc>
          <w:tcPr>
            <w:tcW w:w="928" w:type="dxa"/>
            <w:tcBorders>
              <w:right w:val="single" w:sz="4" w:space="0" w:color="auto"/>
            </w:tcBorders>
            <w:vAlign w:val="center"/>
          </w:tcPr>
          <w:p w14:paraId="04F35CE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7.52%</w:t>
            </w:r>
          </w:p>
        </w:tc>
        <w:tc>
          <w:tcPr>
            <w:tcW w:w="1701" w:type="dxa"/>
            <w:tcBorders>
              <w:left w:val="single" w:sz="4" w:space="0" w:color="auto"/>
            </w:tcBorders>
            <w:noWrap/>
            <w:vAlign w:val="center"/>
            <w:hideMark/>
          </w:tcPr>
          <w:p w14:paraId="073F6EA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293</w:t>
            </w:r>
          </w:p>
        </w:tc>
        <w:tc>
          <w:tcPr>
            <w:tcW w:w="1061" w:type="dxa"/>
            <w:tcBorders>
              <w:right w:val="single" w:sz="4" w:space="0" w:color="auto"/>
            </w:tcBorders>
            <w:vAlign w:val="center"/>
          </w:tcPr>
          <w:p w14:paraId="278490C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7.02%</w:t>
            </w:r>
          </w:p>
        </w:tc>
        <w:tc>
          <w:tcPr>
            <w:tcW w:w="1300" w:type="dxa"/>
            <w:tcBorders>
              <w:left w:val="single" w:sz="4" w:space="0" w:color="auto"/>
            </w:tcBorders>
            <w:vAlign w:val="center"/>
          </w:tcPr>
          <w:p w14:paraId="23B3254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1,862</w:t>
            </w:r>
          </w:p>
        </w:tc>
        <w:tc>
          <w:tcPr>
            <w:tcW w:w="1008" w:type="dxa"/>
            <w:tcBorders>
              <w:right w:val="single" w:sz="4" w:space="0" w:color="auto"/>
            </w:tcBorders>
            <w:vAlign w:val="center"/>
          </w:tcPr>
          <w:p w14:paraId="2AA8D71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44.62%</w:t>
            </w:r>
          </w:p>
        </w:tc>
      </w:tr>
      <w:tr w:rsidR="006C6B06" w:rsidRPr="00333B81" w14:paraId="736C48FC"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nil"/>
              <w:right w:val="single" w:sz="4" w:space="0" w:color="auto"/>
            </w:tcBorders>
            <w:noWrap/>
            <w:vAlign w:val="center"/>
            <w:hideMark/>
          </w:tcPr>
          <w:p w14:paraId="53133E01"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bottom w:val="nil"/>
            </w:tcBorders>
            <w:noWrap/>
            <w:vAlign w:val="center"/>
            <w:hideMark/>
          </w:tcPr>
          <w:p w14:paraId="243E903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1,616</w:t>
            </w:r>
          </w:p>
        </w:tc>
        <w:tc>
          <w:tcPr>
            <w:tcW w:w="1008" w:type="dxa"/>
            <w:tcBorders>
              <w:bottom w:val="nil"/>
              <w:right w:val="single" w:sz="4" w:space="0" w:color="auto"/>
            </w:tcBorders>
            <w:vAlign w:val="center"/>
          </w:tcPr>
          <w:p w14:paraId="0F30793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38.73%</w:t>
            </w:r>
          </w:p>
        </w:tc>
        <w:tc>
          <w:tcPr>
            <w:tcW w:w="1559" w:type="dxa"/>
            <w:tcBorders>
              <w:left w:val="single" w:sz="4" w:space="0" w:color="auto"/>
              <w:bottom w:val="nil"/>
            </w:tcBorders>
            <w:noWrap/>
            <w:vAlign w:val="center"/>
            <w:hideMark/>
          </w:tcPr>
          <w:p w14:paraId="51A7BD0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695</w:t>
            </w:r>
          </w:p>
        </w:tc>
        <w:tc>
          <w:tcPr>
            <w:tcW w:w="1008" w:type="dxa"/>
            <w:tcBorders>
              <w:bottom w:val="nil"/>
              <w:right w:val="single" w:sz="4" w:space="0" w:color="auto"/>
            </w:tcBorders>
            <w:vAlign w:val="center"/>
          </w:tcPr>
          <w:p w14:paraId="2B0C75C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16.65%</w:t>
            </w:r>
          </w:p>
        </w:tc>
        <w:tc>
          <w:tcPr>
            <w:tcW w:w="1560" w:type="dxa"/>
            <w:tcBorders>
              <w:left w:val="single" w:sz="4" w:space="0" w:color="auto"/>
              <w:bottom w:val="nil"/>
            </w:tcBorders>
            <w:noWrap/>
            <w:vAlign w:val="center"/>
            <w:hideMark/>
          </w:tcPr>
          <w:p w14:paraId="180F869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341</w:t>
            </w:r>
          </w:p>
        </w:tc>
        <w:tc>
          <w:tcPr>
            <w:tcW w:w="928" w:type="dxa"/>
            <w:tcBorders>
              <w:bottom w:val="nil"/>
              <w:right w:val="single" w:sz="4" w:space="0" w:color="auto"/>
            </w:tcBorders>
            <w:vAlign w:val="center"/>
          </w:tcPr>
          <w:p w14:paraId="26AB689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8.17%</w:t>
            </w:r>
          </w:p>
        </w:tc>
        <w:tc>
          <w:tcPr>
            <w:tcW w:w="1701" w:type="dxa"/>
            <w:tcBorders>
              <w:left w:val="single" w:sz="4" w:space="0" w:color="auto"/>
              <w:bottom w:val="nil"/>
            </w:tcBorders>
            <w:noWrap/>
            <w:vAlign w:val="center"/>
            <w:hideMark/>
          </w:tcPr>
          <w:p w14:paraId="18D8F80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354</w:t>
            </w:r>
          </w:p>
        </w:tc>
        <w:tc>
          <w:tcPr>
            <w:tcW w:w="1061" w:type="dxa"/>
            <w:tcBorders>
              <w:bottom w:val="nil"/>
              <w:right w:val="single" w:sz="4" w:space="0" w:color="auto"/>
            </w:tcBorders>
            <w:vAlign w:val="center"/>
          </w:tcPr>
          <w:p w14:paraId="56AFBF5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8.48%</w:t>
            </w:r>
          </w:p>
        </w:tc>
        <w:tc>
          <w:tcPr>
            <w:tcW w:w="1300" w:type="dxa"/>
            <w:tcBorders>
              <w:left w:val="single" w:sz="4" w:space="0" w:color="auto"/>
              <w:bottom w:val="nil"/>
            </w:tcBorders>
            <w:vAlign w:val="center"/>
          </w:tcPr>
          <w:p w14:paraId="2F4D540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2,311</w:t>
            </w:r>
          </w:p>
        </w:tc>
        <w:tc>
          <w:tcPr>
            <w:tcW w:w="1008" w:type="dxa"/>
            <w:tcBorders>
              <w:bottom w:val="nil"/>
              <w:right w:val="single" w:sz="4" w:space="0" w:color="auto"/>
            </w:tcBorders>
            <w:vAlign w:val="center"/>
          </w:tcPr>
          <w:p w14:paraId="449DC3C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55.38%</w:t>
            </w:r>
          </w:p>
        </w:tc>
      </w:tr>
      <w:tr w:rsidR="002418F8" w:rsidRPr="00333B81" w14:paraId="22CD9826"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nil"/>
              <w:left w:val="single" w:sz="4" w:space="0" w:color="auto"/>
              <w:bottom w:val="single" w:sz="4" w:space="0" w:color="auto"/>
              <w:right w:val="single" w:sz="4" w:space="0" w:color="auto"/>
            </w:tcBorders>
            <w:noWrap/>
            <w:hideMark/>
          </w:tcPr>
          <w:p w14:paraId="1C38E562"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noWrap/>
            <w:vAlign w:val="center"/>
            <w:hideMark/>
          </w:tcPr>
          <w:p w14:paraId="4DC4A19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2,871</w:t>
            </w:r>
          </w:p>
        </w:tc>
        <w:tc>
          <w:tcPr>
            <w:tcW w:w="1008" w:type="dxa"/>
            <w:tcBorders>
              <w:top w:val="nil"/>
              <w:bottom w:val="single" w:sz="4" w:space="0" w:color="auto"/>
              <w:right w:val="single" w:sz="4" w:space="0" w:color="auto"/>
            </w:tcBorders>
            <w:vAlign w:val="center"/>
          </w:tcPr>
          <w:p w14:paraId="0B76FDA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68.80%</w:t>
            </w:r>
          </w:p>
        </w:tc>
        <w:tc>
          <w:tcPr>
            <w:tcW w:w="1559" w:type="dxa"/>
            <w:tcBorders>
              <w:top w:val="nil"/>
              <w:left w:val="single" w:sz="4" w:space="0" w:color="auto"/>
              <w:bottom w:val="single" w:sz="4" w:space="0" w:color="auto"/>
            </w:tcBorders>
            <w:noWrap/>
            <w:vAlign w:val="center"/>
            <w:hideMark/>
          </w:tcPr>
          <w:p w14:paraId="6EEE08E5"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1,302</w:t>
            </w:r>
          </w:p>
        </w:tc>
        <w:tc>
          <w:tcPr>
            <w:tcW w:w="1008" w:type="dxa"/>
            <w:tcBorders>
              <w:top w:val="nil"/>
              <w:bottom w:val="single" w:sz="4" w:space="0" w:color="auto"/>
              <w:right w:val="single" w:sz="4" w:space="0" w:color="auto"/>
            </w:tcBorders>
            <w:vAlign w:val="center"/>
          </w:tcPr>
          <w:p w14:paraId="3CD8247D"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31.20%</w:t>
            </w:r>
          </w:p>
        </w:tc>
        <w:tc>
          <w:tcPr>
            <w:tcW w:w="1560" w:type="dxa"/>
            <w:tcBorders>
              <w:top w:val="nil"/>
              <w:left w:val="single" w:sz="4" w:space="0" w:color="auto"/>
              <w:bottom w:val="single" w:sz="4" w:space="0" w:color="auto"/>
            </w:tcBorders>
            <w:noWrap/>
            <w:vAlign w:val="center"/>
            <w:hideMark/>
          </w:tcPr>
          <w:p w14:paraId="4AFCAD72"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655</w:t>
            </w:r>
          </w:p>
        </w:tc>
        <w:tc>
          <w:tcPr>
            <w:tcW w:w="928" w:type="dxa"/>
            <w:tcBorders>
              <w:top w:val="nil"/>
              <w:bottom w:val="single" w:sz="4" w:space="0" w:color="auto"/>
              <w:right w:val="single" w:sz="4" w:space="0" w:color="auto"/>
            </w:tcBorders>
            <w:vAlign w:val="center"/>
          </w:tcPr>
          <w:p w14:paraId="5A96C6AE"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15.70%</w:t>
            </w:r>
          </w:p>
        </w:tc>
        <w:tc>
          <w:tcPr>
            <w:tcW w:w="1701" w:type="dxa"/>
            <w:tcBorders>
              <w:top w:val="nil"/>
              <w:left w:val="single" w:sz="4" w:space="0" w:color="auto"/>
              <w:bottom w:val="single" w:sz="4" w:space="0" w:color="auto"/>
            </w:tcBorders>
            <w:noWrap/>
            <w:vAlign w:val="center"/>
            <w:hideMark/>
          </w:tcPr>
          <w:p w14:paraId="6550DA0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647</w:t>
            </w:r>
          </w:p>
        </w:tc>
        <w:tc>
          <w:tcPr>
            <w:tcW w:w="1061" w:type="dxa"/>
            <w:tcBorders>
              <w:top w:val="nil"/>
              <w:bottom w:val="single" w:sz="4" w:space="0" w:color="auto"/>
              <w:right w:val="single" w:sz="4" w:space="0" w:color="auto"/>
            </w:tcBorders>
            <w:vAlign w:val="center"/>
          </w:tcPr>
          <w:p w14:paraId="69C81534"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15.50%</w:t>
            </w:r>
          </w:p>
        </w:tc>
        <w:tc>
          <w:tcPr>
            <w:tcW w:w="1300" w:type="dxa"/>
            <w:tcBorders>
              <w:top w:val="nil"/>
              <w:left w:val="single" w:sz="4" w:space="0" w:color="auto"/>
              <w:bottom w:val="single" w:sz="4" w:space="0" w:color="auto"/>
            </w:tcBorders>
            <w:vAlign w:val="center"/>
          </w:tcPr>
          <w:p w14:paraId="3BE2589D"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4,173</w:t>
            </w:r>
          </w:p>
        </w:tc>
        <w:tc>
          <w:tcPr>
            <w:tcW w:w="1008" w:type="dxa"/>
            <w:tcBorders>
              <w:top w:val="nil"/>
              <w:bottom w:val="single" w:sz="4" w:space="0" w:color="auto"/>
              <w:right w:val="single" w:sz="4" w:space="0" w:color="auto"/>
            </w:tcBorders>
            <w:vAlign w:val="center"/>
          </w:tcPr>
          <w:p w14:paraId="756E4803"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8.52%</w:t>
            </w:r>
          </w:p>
        </w:tc>
      </w:tr>
      <w:tr w:rsidR="006C6B06" w:rsidRPr="00333B81" w14:paraId="28E4932E"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4452A36D"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2010</w:t>
            </w:r>
          </w:p>
        </w:tc>
        <w:tc>
          <w:tcPr>
            <w:tcW w:w="1417" w:type="dxa"/>
            <w:tcBorders>
              <w:top w:val="single" w:sz="4" w:space="0" w:color="auto"/>
              <w:left w:val="single" w:sz="4" w:space="0" w:color="auto"/>
            </w:tcBorders>
            <w:noWrap/>
            <w:hideMark/>
          </w:tcPr>
          <w:p w14:paraId="31545A39"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08" w:type="dxa"/>
            <w:tcBorders>
              <w:top w:val="single" w:sz="4" w:space="0" w:color="auto"/>
              <w:right w:val="single" w:sz="4" w:space="0" w:color="auto"/>
            </w:tcBorders>
            <w:vAlign w:val="center"/>
          </w:tcPr>
          <w:p w14:paraId="0C161D71"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559" w:type="dxa"/>
            <w:tcBorders>
              <w:top w:val="single" w:sz="4" w:space="0" w:color="auto"/>
              <w:left w:val="single" w:sz="4" w:space="0" w:color="auto"/>
            </w:tcBorders>
            <w:noWrap/>
            <w:hideMark/>
          </w:tcPr>
          <w:p w14:paraId="47743EA2"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08" w:type="dxa"/>
            <w:tcBorders>
              <w:top w:val="single" w:sz="4" w:space="0" w:color="auto"/>
              <w:right w:val="single" w:sz="4" w:space="0" w:color="auto"/>
            </w:tcBorders>
            <w:vAlign w:val="center"/>
          </w:tcPr>
          <w:p w14:paraId="5193AABC"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560" w:type="dxa"/>
            <w:tcBorders>
              <w:top w:val="single" w:sz="4" w:space="0" w:color="auto"/>
              <w:left w:val="single" w:sz="4" w:space="0" w:color="auto"/>
            </w:tcBorders>
            <w:noWrap/>
            <w:hideMark/>
          </w:tcPr>
          <w:p w14:paraId="2909DEFE"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928" w:type="dxa"/>
            <w:tcBorders>
              <w:top w:val="single" w:sz="4" w:space="0" w:color="auto"/>
              <w:right w:val="single" w:sz="4" w:space="0" w:color="auto"/>
            </w:tcBorders>
            <w:vAlign w:val="center"/>
          </w:tcPr>
          <w:p w14:paraId="7ABC70F0"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701" w:type="dxa"/>
            <w:tcBorders>
              <w:top w:val="single" w:sz="4" w:space="0" w:color="auto"/>
              <w:left w:val="single" w:sz="4" w:space="0" w:color="auto"/>
            </w:tcBorders>
            <w:noWrap/>
            <w:hideMark/>
          </w:tcPr>
          <w:p w14:paraId="2A45B002"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061" w:type="dxa"/>
            <w:tcBorders>
              <w:top w:val="single" w:sz="4" w:space="0" w:color="auto"/>
              <w:right w:val="single" w:sz="4" w:space="0" w:color="auto"/>
            </w:tcBorders>
          </w:tcPr>
          <w:p w14:paraId="4E7E0A47" w14:textId="77777777" w:rsidR="00333B81" w:rsidRPr="00333B81" w:rsidRDefault="00333B81" w:rsidP="00CE2FDF">
            <w:pPr>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00" w:type="dxa"/>
            <w:tcBorders>
              <w:top w:val="single" w:sz="4" w:space="0" w:color="auto"/>
              <w:left w:val="single" w:sz="4" w:space="0" w:color="auto"/>
            </w:tcBorders>
            <w:vAlign w:val="center"/>
          </w:tcPr>
          <w:p w14:paraId="545D1F8E"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008" w:type="dxa"/>
            <w:tcBorders>
              <w:top w:val="single" w:sz="4" w:space="0" w:color="auto"/>
              <w:right w:val="single" w:sz="4" w:space="0" w:color="auto"/>
            </w:tcBorders>
            <w:vAlign w:val="center"/>
          </w:tcPr>
          <w:p w14:paraId="13907BA8"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Cs/>
                <w:color w:val="auto"/>
                <w:sz w:val="20"/>
                <w:szCs w:val="20"/>
              </w:rPr>
            </w:pPr>
            <w:r w:rsidRPr="00333B81">
              <w:rPr>
                <w:bCs/>
                <w:color w:val="auto"/>
                <w:sz w:val="20"/>
                <w:szCs w:val="20"/>
              </w:rPr>
              <w:t> </w:t>
            </w:r>
          </w:p>
        </w:tc>
      </w:tr>
      <w:tr w:rsidR="006C6B06" w:rsidRPr="00333B81" w14:paraId="0ED79AC8"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3EF198F"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66B4789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147</w:t>
            </w:r>
          </w:p>
        </w:tc>
        <w:tc>
          <w:tcPr>
            <w:tcW w:w="1008" w:type="dxa"/>
            <w:tcBorders>
              <w:right w:val="single" w:sz="4" w:space="0" w:color="auto"/>
            </w:tcBorders>
            <w:vAlign w:val="center"/>
          </w:tcPr>
          <w:p w14:paraId="3482F31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2.50%</w:t>
            </w:r>
          </w:p>
        </w:tc>
        <w:tc>
          <w:tcPr>
            <w:tcW w:w="1559" w:type="dxa"/>
            <w:tcBorders>
              <w:left w:val="single" w:sz="4" w:space="0" w:color="auto"/>
            </w:tcBorders>
            <w:noWrap/>
            <w:vAlign w:val="center"/>
            <w:hideMark/>
          </w:tcPr>
          <w:p w14:paraId="1EB3FEE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44</w:t>
            </w:r>
          </w:p>
        </w:tc>
        <w:tc>
          <w:tcPr>
            <w:tcW w:w="1008" w:type="dxa"/>
            <w:tcBorders>
              <w:right w:val="single" w:sz="4" w:space="0" w:color="auto"/>
            </w:tcBorders>
            <w:vAlign w:val="center"/>
          </w:tcPr>
          <w:p w14:paraId="7A4716C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0.75%</w:t>
            </w:r>
          </w:p>
        </w:tc>
        <w:tc>
          <w:tcPr>
            <w:tcW w:w="1560" w:type="dxa"/>
            <w:tcBorders>
              <w:left w:val="single" w:sz="4" w:space="0" w:color="auto"/>
            </w:tcBorders>
            <w:noWrap/>
            <w:vAlign w:val="center"/>
            <w:hideMark/>
          </w:tcPr>
          <w:p w14:paraId="1441738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17</w:t>
            </w:r>
          </w:p>
        </w:tc>
        <w:tc>
          <w:tcPr>
            <w:tcW w:w="928" w:type="dxa"/>
            <w:tcBorders>
              <w:right w:val="single" w:sz="4" w:space="0" w:color="auto"/>
            </w:tcBorders>
            <w:vAlign w:val="center"/>
          </w:tcPr>
          <w:p w14:paraId="2DF92A7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0.29%</w:t>
            </w:r>
          </w:p>
        </w:tc>
        <w:tc>
          <w:tcPr>
            <w:tcW w:w="1701" w:type="dxa"/>
            <w:tcBorders>
              <w:left w:val="single" w:sz="4" w:space="0" w:color="auto"/>
            </w:tcBorders>
            <w:noWrap/>
            <w:vAlign w:val="center"/>
            <w:hideMark/>
          </w:tcPr>
          <w:p w14:paraId="4ADE710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27</w:t>
            </w:r>
          </w:p>
        </w:tc>
        <w:tc>
          <w:tcPr>
            <w:tcW w:w="1061" w:type="dxa"/>
            <w:tcBorders>
              <w:right w:val="single" w:sz="4" w:space="0" w:color="auto"/>
            </w:tcBorders>
            <w:vAlign w:val="center"/>
          </w:tcPr>
          <w:p w14:paraId="52A28E3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0.46%</w:t>
            </w:r>
          </w:p>
        </w:tc>
        <w:tc>
          <w:tcPr>
            <w:tcW w:w="1300" w:type="dxa"/>
            <w:tcBorders>
              <w:left w:val="single" w:sz="4" w:space="0" w:color="auto"/>
            </w:tcBorders>
            <w:vAlign w:val="center"/>
          </w:tcPr>
          <w:p w14:paraId="413736D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191</w:t>
            </w:r>
          </w:p>
        </w:tc>
        <w:tc>
          <w:tcPr>
            <w:tcW w:w="1008" w:type="dxa"/>
            <w:tcBorders>
              <w:right w:val="single" w:sz="4" w:space="0" w:color="auto"/>
            </w:tcBorders>
            <w:vAlign w:val="center"/>
          </w:tcPr>
          <w:p w14:paraId="7E40966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3.25%</w:t>
            </w:r>
          </w:p>
        </w:tc>
      </w:tr>
      <w:tr w:rsidR="006C6B06" w:rsidRPr="00333B81" w14:paraId="2245C83C"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0059B3B7"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0C502AC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45</w:t>
            </w:r>
          </w:p>
        </w:tc>
        <w:tc>
          <w:tcPr>
            <w:tcW w:w="1008" w:type="dxa"/>
            <w:tcBorders>
              <w:right w:val="single" w:sz="4" w:space="0" w:color="auto"/>
            </w:tcBorders>
            <w:vAlign w:val="center"/>
          </w:tcPr>
          <w:p w14:paraId="7A85F01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0.77%</w:t>
            </w:r>
          </w:p>
        </w:tc>
        <w:tc>
          <w:tcPr>
            <w:tcW w:w="1559" w:type="dxa"/>
            <w:tcBorders>
              <w:left w:val="single" w:sz="4" w:space="0" w:color="auto"/>
            </w:tcBorders>
            <w:noWrap/>
            <w:vAlign w:val="center"/>
            <w:hideMark/>
          </w:tcPr>
          <w:p w14:paraId="7F582B0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27</w:t>
            </w:r>
          </w:p>
        </w:tc>
        <w:tc>
          <w:tcPr>
            <w:tcW w:w="1008" w:type="dxa"/>
            <w:tcBorders>
              <w:right w:val="single" w:sz="4" w:space="0" w:color="auto"/>
            </w:tcBorders>
            <w:vAlign w:val="center"/>
          </w:tcPr>
          <w:p w14:paraId="7477EC08"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0.46%</w:t>
            </w:r>
          </w:p>
        </w:tc>
        <w:tc>
          <w:tcPr>
            <w:tcW w:w="1560" w:type="dxa"/>
            <w:tcBorders>
              <w:left w:val="single" w:sz="4" w:space="0" w:color="auto"/>
            </w:tcBorders>
            <w:noWrap/>
            <w:vAlign w:val="center"/>
            <w:hideMark/>
          </w:tcPr>
          <w:p w14:paraId="37A6E12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w:t>
            </w:r>
          </w:p>
        </w:tc>
        <w:tc>
          <w:tcPr>
            <w:tcW w:w="928" w:type="dxa"/>
            <w:tcBorders>
              <w:right w:val="single" w:sz="4" w:space="0" w:color="auto"/>
            </w:tcBorders>
            <w:vAlign w:val="center"/>
          </w:tcPr>
          <w:p w14:paraId="18192EF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0.10%</w:t>
            </w:r>
          </w:p>
        </w:tc>
        <w:tc>
          <w:tcPr>
            <w:tcW w:w="1701" w:type="dxa"/>
            <w:tcBorders>
              <w:left w:val="single" w:sz="4" w:space="0" w:color="auto"/>
            </w:tcBorders>
            <w:noWrap/>
            <w:vAlign w:val="center"/>
            <w:hideMark/>
          </w:tcPr>
          <w:p w14:paraId="192BE61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21</w:t>
            </w:r>
          </w:p>
        </w:tc>
        <w:tc>
          <w:tcPr>
            <w:tcW w:w="1061" w:type="dxa"/>
            <w:tcBorders>
              <w:right w:val="single" w:sz="4" w:space="0" w:color="auto"/>
            </w:tcBorders>
            <w:vAlign w:val="center"/>
          </w:tcPr>
          <w:p w14:paraId="4425EB5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0.36%</w:t>
            </w:r>
          </w:p>
        </w:tc>
        <w:tc>
          <w:tcPr>
            <w:tcW w:w="1300" w:type="dxa"/>
            <w:tcBorders>
              <w:left w:val="single" w:sz="4" w:space="0" w:color="auto"/>
            </w:tcBorders>
            <w:vAlign w:val="center"/>
          </w:tcPr>
          <w:p w14:paraId="7DC19E2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72</w:t>
            </w:r>
          </w:p>
        </w:tc>
        <w:tc>
          <w:tcPr>
            <w:tcW w:w="1008" w:type="dxa"/>
            <w:tcBorders>
              <w:right w:val="single" w:sz="4" w:space="0" w:color="auto"/>
            </w:tcBorders>
            <w:vAlign w:val="center"/>
          </w:tcPr>
          <w:p w14:paraId="07DC1CB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1.23%</w:t>
            </w:r>
          </w:p>
        </w:tc>
      </w:tr>
      <w:tr w:rsidR="006C6B06" w:rsidRPr="00333B81" w14:paraId="23DA14AA"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A1F6B07"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5259E57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529</w:t>
            </w:r>
          </w:p>
        </w:tc>
        <w:tc>
          <w:tcPr>
            <w:tcW w:w="1008" w:type="dxa"/>
            <w:tcBorders>
              <w:right w:val="single" w:sz="4" w:space="0" w:color="auto"/>
            </w:tcBorders>
            <w:vAlign w:val="center"/>
          </w:tcPr>
          <w:p w14:paraId="5DC45AE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9.01%</w:t>
            </w:r>
          </w:p>
        </w:tc>
        <w:tc>
          <w:tcPr>
            <w:tcW w:w="1559" w:type="dxa"/>
            <w:tcBorders>
              <w:left w:val="single" w:sz="4" w:space="0" w:color="auto"/>
            </w:tcBorders>
            <w:noWrap/>
            <w:vAlign w:val="center"/>
            <w:hideMark/>
          </w:tcPr>
          <w:p w14:paraId="50E0EA0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1,517</w:t>
            </w:r>
          </w:p>
        </w:tc>
        <w:tc>
          <w:tcPr>
            <w:tcW w:w="1008" w:type="dxa"/>
            <w:tcBorders>
              <w:right w:val="single" w:sz="4" w:space="0" w:color="auto"/>
            </w:tcBorders>
            <w:vAlign w:val="center"/>
          </w:tcPr>
          <w:p w14:paraId="5F7EBD4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25.84%</w:t>
            </w:r>
          </w:p>
        </w:tc>
        <w:tc>
          <w:tcPr>
            <w:tcW w:w="1560" w:type="dxa"/>
            <w:tcBorders>
              <w:left w:val="single" w:sz="4" w:space="0" w:color="auto"/>
            </w:tcBorders>
            <w:noWrap/>
            <w:vAlign w:val="center"/>
            <w:hideMark/>
          </w:tcPr>
          <w:p w14:paraId="1C30F3A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399</w:t>
            </w:r>
          </w:p>
        </w:tc>
        <w:tc>
          <w:tcPr>
            <w:tcW w:w="928" w:type="dxa"/>
            <w:tcBorders>
              <w:right w:val="single" w:sz="4" w:space="0" w:color="auto"/>
            </w:tcBorders>
            <w:vAlign w:val="center"/>
          </w:tcPr>
          <w:p w14:paraId="1CFF84B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6.80%</w:t>
            </w:r>
          </w:p>
        </w:tc>
        <w:tc>
          <w:tcPr>
            <w:tcW w:w="1701" w:type="dxa"/>
            <w:tcBorders>
              <w:left w:val="single" w:sz="4" w:space="0" w:color="auto"/>
            </w:tcBorders>
            <w:noWrap/>
            <w:vAlign w:val="center"/>
            <w:hideMark/>
          </w:tcPr>
          <w:p w14:paraId="119230E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1,118</w:t>
            </w:r>
          </w:p>
        </w:tc>
        <w:tc>
          <w:tcPr>
            <w:tcW w:w="1061" w:type="dxa"/>
            <w:tcBorders>
              <w:right w:val="single" w:sz="4" w:space="0" w:color="auto"/>
            </w:tcBorders>
            <w:vAlign w:val="center"/>
          </w:tcPr>
          <w:p w14:paraId="306BB78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19.05%</w:t>
            </w:r>
          </w:p>
        </w:tc>
        <w:tc>
          <w:tcPr>
            <w:tcW w:w="1300" w:type="dxa"/>
            <w:tcBorders>
              <w:left w:val="single" w:sz="4" w:space="0" w:color="auto"/>
            </w:tcBorders>
            <w:vAlign w:val="center"/>
          </w:tcPr>
          <w:p w14:paraId="2F6CC88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2,046</w:t>
            </w:r>
          </w:p>
        </w:tc>
        <w:tc>
          <w:tcPr>
            <w:tcW w:w="1008" w:type="dxa"/>
            <w:tcBorders>
              <w:right w:val="single" w:sz="4" w:space="0" w:color="auto"/>
            </w:tcBorders>
            <w:vAlign w:val="center"/>
          </w:tcPr>
          <w:p w14:paraId="7B55C10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34.86%</w:t>
            </w:r>
          </w:p>
        </w:tc>
      </w:tr>
      <w:tr w:rsidR="006C6B06" w:rsidRPr="00333B81" w14:paraId="38301588"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00577462"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3618970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545</w:t>
            </w:r>
          </w:p>
        </w:tc>
        <w:tc>
          <w:tcPr>
            <w:tcW w:w="1008" w:type="dxa"/>
            <w:tcBorders>
              <w:right w:val="single" w:sz="4" w:space="0" w:color="auto"/>
            </w:tcBorders>
            <w:vAlign w:val="center"/>
          </w:tcPr>
          <w:p w14:paraId="6867206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9.28%</w:t>
            </w:r>
          </w:p>
        </w:tc>
        <w:tc>
          <w:tcPr>
            <w:tcW w:w="1559" w:type="dxa"/>
            <w:tcBorders>
              <w:left w:val="single" w:sz="4" w:space="0" w:color="auto"/>
            </w:tcBorders>
            <w:noWrap/>
            <w:vAlign w:val="center"/>
            <w:hideMark/>
          </w:tcPr>
          <w:p w14:paraId="575288A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238</w:t>
            </w:r>
          </w:p>
        </w:tc>
        <w:tc>
          <w:tcPr>
            <w:tcW w:w="1008" w:type="dxa"/>
            <w:tcBorders>
              <w:right w:val="single" w:sz="4" w:space="0" w:color="auto"/>
            </w:tcBorders>
            <w:vAlign w:val="center"/>
          </w:tcPr>
          <w:p w14:paraId="1452215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4.05%</w:t>
            </w:r>
          </w:p>
        </w:tc>
        <w:tc>
          <w:tcPr>
            <w:tcW w:w="1560" w:type="dxa"/>
            <w:tcBorders>
              <w:left w:val="single" w:sz="4" w:space="0" w:color="auto"/>
            </w:tcBorders>
            <w:noWrap/>
            <w:vAlign w:val="center"/>
            <w:hideMark/>
          </w:tcPr>
          <w:p w14:paraId="2DD63EA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108</w:t>
            </w:r>
          </w:p>
        </w:tc>
        <w:tc>
          <w:tcPr>
            <w:tcW w:w="928" w:type="dxa"/>
            <w:tcBorders>
              <w:right w:val="single" w:sz="4" w:space="0" w:color="auto"/>
            </w:tcBorders>
            <w:vAlign w:val="center"/>
          </w:tcPr>
          <w:p w14:paraId="0F2D848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1.84%</w:t>
            </w:r>
          </w:p>
        </w:tc>
        <w:tc>
          <w:tcPr>
            <w:tcW w:w="1701" w:type="dxa"/>
            <w:tcBorders>
              <w:left w:val="single" w:sz="4" w:space="0" w:color="auto"/>
            </w:tcBorders>
            <w:noWrap/>
            <w:vAlign w:val="center"/>
            <w:hideMark/>
          </w:tcPr>
          <w:p w14:paraId="6041E0F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130</w:t>
            </w:r>
          </w:p>
        </w:tc>
        <w:tc>
          <w:tcPr>
            <w:tcW w:w="1061" w:type="dxa"/>
            <w:tcBorders>
              <w:right w:val="single" w:sz="4" w:space="0" w:color="auto"/>
            </w:tcBorders>
            <w:vAlign w:val="center"/>
          </w:tcPr>
          <w:p w14:paraId="5A5F7CB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2.21%</w:t>
            </w:r>
          </w:p>
        </w:tc>
        <w:tc>
          <w:tcPr>
            <w:tcW w:w="1300" w:type="dxa"/>
            <w:tcBorders>
              <w:left w:val="single" w:sz="4" w:space="0" w:color="auto"/>
            </w:tcBorders>
            <w:vAlign w:val="center"/>
          </w:tcPr>
          <w:p w14:paraId="1C3FE89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783</w:t>
            </w:r>
          </w:p>
        </w:tc>
        <w:tc>
          <w:tcPr>
            <w:tcW w:w="1008" w:type="dxa"/>
            <w:tcBorders>
              <w:right w:val="single" w:sz="4" w:space="0" w:color="auto"/>
            </w:tcBorders>
            <w:vAlign w:val="center"/>
          </w:tcPr>
          <w:p w14:paraId="5ACAFBF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13.34%</w:t>
            </w:r>
          </w:p>
        </w:tc>
      </w:tr>
      <w:tr w:rsidR="006C6B06" w:rsidRPr="00333B81" w14:paraId="675A31BD"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27B6D91A"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2CB373F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w:t>
            </w:r>
          </w:p>
        </w:tc>
        <w:tc>
          <w:tcPr>
            <w:tcW w:w="1008" w:type="dxa"/>
            <w:tcBorders>
              <w:right w:val="single" w:sz="4" w:space="0" w:color="auto"/>
            </w:tcBorders>
            <w:vAlign w:val="center"/>
          </w:tcPr>
          <w:p w14:paraId="7B759DE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0.15%</w:t>
            </w:r>
          </w:p>
        </w:tc>
        <w:tc>
          <w:tcPr>
            <w:tcW w:w="1559" w:type="dxa"/>
            <w:tcBorders>
              <w:left w:val="single" w:sz="4" w:space="0" w:color="auto"/>
            </w:tcBorders>
            <w:noWrap/>
            <w:vAlign w:val="center"/>
            <w:hideMark/>
          </w:tcPr>
          <w:p w14:paraId="6A38985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w:t>
            </w:r>
          </w:p>
        </w:tc>
        <w:tc>
          <w:tcPr>
            <w:tcW w:w="1008" w:type="dxa"/>
            <w:tcBorders>
              <w:right w:val="single" w:sz="4" w:space="0" w:color="auto"/>
            </w:tcBorders>
            <w:vAlign w:val="center"/>
          </w:tcPr>
          <w:p w14:paraId="183821C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0.20%</w:t>
            </w:r>
          </w:p>
        </w:tc>
        <w:tc>
          <w:tcPr>
            <w:tcW w:w="1560" w:type="dxa"/>
            <w:tcBorders>
              <w:left w:val="single" w:sz="4" w:space="0" w:color="auto"/>
            </w:tcBorders>
            <w:noWrap/>
            <w:vAlign w:val="center"/>
            <w:hideMark/>
          </w:tcPr>
          <w:p w14:paraId="3C74E50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w:t>
            </w:r>
          </w:p>
        </w:tc>
        <w:tc>
          <w:tcPr>
            <w:tcW w:w="928" w:type="dxa"/>
            <w:tcBorders>
              <w:right w:val="single" w:sz="4" w:space="0" w:color="auto"/>
            </w:tcBorders>
            <w:vAlign w:val="center"/>
          </w:tcPr>
          <w:p w14:paraId="6B8207B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0.10%</w:t>
            </w:r>
          </w:p>
        </w:tc>
        <w:tc>
          <w:tcPr>
            <w:tcW w:w="1701" w:type="dxa"/>
            <w:tcBorders>
              <w:left w:val="single" w:sz="4" w:space="0" w:color="auto"/>
            </w:tcBorders>
            <w:noWrap/>
            <w:vAlign w:val="center"/>
            <w:hideMark/>
          </w:tcPr>
          <w:p w14:paraId="766DF13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w:t>
            </w:r>
          </w:p>
        </w:tc>
        <w:tc>
          <w:tcPr>
            <w:tcW w:w="1061" w:type="dxa"/>
            <w:tcBorders>
              <w:right w:val="single" w:sz="4" w:space="0" w:color="auto"/>
            </w:tcBorders>
            <w:vAlign w:val="center"/>
          </w:tcPr>
          <w:p w14:paraId="72CB6B4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0.10%</w:t>
            </w:r>
          </w:p>
        </w:tc>
        <w:tc>
          <w:tcPr>
            <w:tcW w:w="1300" w:type="dxa"/>
            <w:tcBorders>
              <w:left w:val="single" w:sz="4" w:space="0" w:color="auto"/>
            </w:tcBorders>
            <w:vAlign w:val="center"/>
          </w:tcPr>
          <w:p w14:paraId="00DF415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21</w:t>
            </w:r>
          </w:p>
        </w:tc>
        <w:tc>
          <w:tcPr>
            <w:tcW w:w="1008" w:type="dxa"/>
            <w:tcBorders>
              <w:right w:val="single" w:sz="4" w:space="0" w:color="auto"/>
            </w:tcBorders>
            <w:vAlign w:val="center"/>
          </w:tcPr>
          <w:p w14:paraId="0FDB33A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0.36%</w:t>
            </w:r>
          </w:p>
        </w:tc>
      </w:tr>
      <w:tr w:rsidR="006C6B06" w:rsidRPr="00333B81" w14:paraId="670F8CA8"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0A33065A"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62876F0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1,275</w:t>
            </w:r>
          </w:p>
        </w:tc>
        <w:tc>
          <w:tcPr>
            <w:tcW w:w="1008" w:type="dxa"/>
            <w:tcBorders>
              <w:right w:val="single" w:sz="4" w:space="0" w:color="auto"/>
            </w:tcBorders>
            <w:vAlign w:val="center"/>
          </w:tcPr>
          <w:p w14:paraId="00BB529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21.72%</w:t>
            </w:r>
          </w:p>
        </w:tc>
        <w:tc>
          <w:tcPr>
            <w:tcW w:w="1559" w:type="dxa"/>
            <w:tcBorders>
              <w:left w:val="single" w:sz="4" w:space="0" w:color="auto"/>
            </w:tcBorders>
            <w:noWrap/>
            <w:vAlign w:val="center"/>
            <w:hideMark/>
          </w:tcPr>
          <w:p w14:paraId="2D5B0AD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1,838</w:t>
            </w:r>
          </w:p>
        </w:tc>
        <w:tc>
          <w:tcPr>
            <w:tcW w:w="1008" w:type="dxa"/>
            <w:tcBorders>
              <w:right w:val="single" w:sz="4" w:space="0" w:color="auto"/>
            </w:tcBorders>
            <w:vAlign w:val="center"/>
          </w:tcPr>
          <w:p w14:paraId="18BAF01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31.31%</w:t>
            </w:r>
          </w:p>
        </w:tc>
        <w:tc>
          <w:tcPr>
            <w:tcW w:w="1560" w:type="dxa"/>
            <w:tcBorders>
              <w:left w:val="single" w:sz="4" w:space="0" w:color="auto"/>
            </w:tcBorders>
            <w:noWrap/>
            <w:vAlign w:val="center"/>
            <w:hideMark/>
          </w:tcPr>
          <w:p w14:paraId="56993A2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536</w:t>
            </w:r>
          </w:p>
        </w:tc>
        <w:tc>
          <w:tcPr>
            <w:tcW w:w="928" w:type="dxa"/>
            <w:tcBorders>
              <w:right w:val="single" w:sz="4" w:space="0" w:color="auto"/>
            </w:tcBorders>
            <w:vAlign w:val="center"/>
          </w:tcPr>
          <w:p w14:paraId="4F587DD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9.13%</w:t>
            </w:r>
          </w:p>
        </w:tc>
        <w:tc>
          <w:tcPr>
            <w:tcW w:w="1701" w:type="dxa"/>
            <w:tcBorders>
              <w:left w:val="single" w:sz="4" w:space="0" w:color="auto"/>
            </w:tcBorders>
            <w:noWrap/>
            <w:vAlign w:val="center"/>
            <w:hideMark/>
          </w:tcPr>
          <w:p w14:paraId="10E05B8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1,302</w:t>
            </w:r>
          </w:p>
        </w:tc>
        <w:tc>
          <w:tcPr>
            <w:tcW w:w="1061" w:type="dxa"/>
            <w:tcBorders>
              <w:right w:val="single" w:sz="4" w:space="0" w:color="auto"/>
            </w:tcBorders>
            <w:vAlign w:val="center"/>
          </w:tcPr>
          <w:p w14:paraId="0A24FDC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22.18%</w:t>
            </w:r>
          </w:p>
        </w:tc>
        <w:tc>
          <w:tcPr>
            <w:tcW w:w="1300" w:type="dxa"/>
            <w:tcBorders>
              <w:left w:val="single" w:sz="4" w:space="0" w:color="auto"/>
            </w:tcBorders>
            <w:vAlign w:val="center"/>
          </w:tcPr>
          <w:p w14:paraId="48286EB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3,113</w:t>
            </w:r>
          </w:p>
        </w:tc>
        <w:tc>
          <w:tcPr>
            <w:tcW w:w="1008" w:type="dxa"/>
            <w:tcBorders>
              <w:right w:val="single" w:sz="4" w:space="0" w:color="auto"/>
            </w:tcBorders>
            <w:vAlign w:val="center"/>
          </w:tcPr>
          <w:p w14:paraId="522B6D5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53.03%</w:t>
            </w:r>
          </w:p>
        </w:tc>
      </w:tr>
      <w:tr w:rsidR="006C6B06" w:rsidRPr="00333B81" w14:paraId="37E24043"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nil"/>
              <w:right w:val="single" w:sz="4" w:space="0" w:color="auto"/>
            </w:tcBorders>
            <w:noWrap/>
            <w:vAlign w:val="center"/>
            <w:hideMark/>
          </w:tcPr>
          <w:p w14:paraId="5A93FD3E"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bottom w:val="nil"/>
            </w:tcBorders>
            <w:noWrap/>
            <w:vAlign w:val="center"/>
            <w:hideMark/>
          </w:tcPr>
          <w:p w14:paraId="7A67292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1,660</w:t>
            </w:r>
          </w:p>
        </w:tc>
        <w:tc>
          <w:tcPr>
            <w:tcW w:w="1008" w:type="dxa"/>
            <w:tcBorders>
              <w:bottom w:val="nil"/>
              <w:right w:val="single" w:sz="4" w:space="0" w:color="auto"/>
            </w:tcBorders>
            <w:vAlign w:val="center"/>
          </w:tcPr>
          <w:p w14:paraId="62A2EA7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28.28%</w:t>
            </w:r>
          </w:p>
        </w:tc>
        <w:tc>
          <w:tcPr>
            <w:tcW w:w="1559" w:type="dxa"/>
            <w:tcBorders>
              <w:left w:val="single" w:sz="4" w:space="0" w:color="auto"/>
              <w:bottom w:val="nil"/>
            </w:tcBorders>
            <w:noWrap/>
            <w:vAlign w:val="center"/>
            <w:hideMark/>
          </w:tcPr>
          <w:p w14:paraId="1F0A296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1,097</w:t>
            </w:r>
          </w:p>
        </w:tc>
        <w:tc>
          <w:tcPr>
            <w:tcW w:w="1008" w:type="dxa"/>
            <w:tcBorders>
              <w:bottom w:val="nil"/>
              <w:right w:val="single" w:sz="4" w:space="0" w:color="auto"/>
            </w:tcBorders>
            <w:vAlign w:val="center"/>
          </w:tcPr>
          <w:p w14:paraId="63E3418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18.69%</w:t>
            </w:r>
          </w:p>
        </w:tc>
        <w:tc>
          <w:tcPr>
            <w:tcW w:w="1560" w:type="dxa"/>
            <w:tcBorders>
              <w:left w:val="single" w:sz="4" w:space="0" w:color="auto"/>
              <w:bottom w:val="nil"/>
            </w:tcBorders>
            <w:noWrap/>
            <w:vAlign w:val="center"/>
            <w:hideMark/>
          </w:tcPr>
          <w:p w14:paraId="20552A6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453</w:t>
            </w:r>
          </w:p>
        </w:tc>
        <w:tc>
          <w:tcPr>
            <w:tcW w:w="928" w:type="dxa"/>
            <w:tcBorders>
              <w:bottom w:val="nil"/>
              <w:right w:val="single" w:sz="4" w:space="0" w:color="auto"/>
            </w:tcBorders>
            <w:vAlign w:val="center"/>
          </w:tcPr>
          <w:p w14:paraId="7E48E69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7.72%</w:t>
            </w:r>
          </w:p>
        </w:tc>
        <w:tc>
          <w:tcPr>
            <w:tcW w:w="1701" w:type="dxa"/>
            <w:tcBorders>
              <w:left w:val="single" w:sz="4" w:space="0" w:color="auto"/>
              <w:bottom w:val="nil"/>
            </w:tcBorders>
            <w:noWrap/>
            <w:vAlign w:val="center"/>
            <w:hideMark/>
          </w:tcPr>
          <w:p w14:paraId="4DC33700"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644</w:t>
            </w:r>
          </w:p>
        </w:tc>
        <w:tc>
          <w:tcPr>
            <w:tcW w:w="1061" w:type="dxa"/>
            <w:tcBorders>
              <w:bottom w:val="nil"/>
              <w:right w:val="single" w:sz="4" w:space="0" w:color="auto"/>
            </w:tcBorders>
            <w:vAlign w:val="center"/>
          </w:tcPr>
          <w:p w14:paraId="5521D67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10.97%</w:t>
            </w:r>
          </w:p>
        </w:tc>
        <w:tc>
          <w:tcPr>
            <w:tcW w:w="1300" w:type="dxa"/>
            <w:tcBorders>
              <w:left w:val="single" w:sz="4" w:space="0" w:color="auto"/>
              <w:bottom w:val="nil"/>
            </w:tcBorders>
            <w:vAlign w:val="center"/>
          </w:tcPr>
          <w:p w14:paraId="0E2E4AE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2,757</w:t>
            </w:r>
          </w:p>
        </w:tc>
        <w:tc>
          <w:tcPr>
            <w:tcW w:w="1008" w:type="dxa"/>
            <w:tcBorders>
              <w:bottom w:val="nil"/>
              <w:right w:val="single" w:sz="4" w:space="0" w:color="auto"/>
            </w:tcBorders>
            <w:vAlign w:val="center"/>
          </w:tcPr>
          <w:p w14:paraId="20FD7E4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46.97%</w:t>
            </w:r>
          </w:p>
        </w:tc>
      </w:tr>
      <w:tr w:rsidR="006C6B06" w:rsidRPr="00333B81" w14:paraId="187F9D46"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nil"/>
              <w:left w:val="single" w:sz="4" w:space="0" w:color="auto"/>
              <w:bottom w:val="single" w:sz="4" w:space="0" w:color="auto"/>
              <w:right w:val="single" w:sz="4" w:space="0" w:color="auto"/>
            </w:tcBorders>
            <w:noWrap/>
            <w:hideMark/>
          </w:tcPr>
          <w:p w14:paraId="7DC81557"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noWrap/>
            <w:vAlign w:val="center"/>
            <w:hideMark/>
          </w:tcPr>
          <w:p w14:paraId="7FE7A3FC"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2,935</w:t>
            </w:r>
          </w:p>
        </w:tc>
        <w:tc>
          <w:tcPr>
            <w:tcW w:w="1008" w:type="dxa"/>
            <w:tcBorders>
              <w:top w:val="nil"/>
              <w:bottom w:val="single" w:sz="4" w:space="0" w:color="auto"/>
              <w:right w:val="single" w:sz="4" w:space="0" w:color="auto"/>
            </w:tcBorders>
            <w:vAlign w:val="center"/>
          </w:tcPr>
          <w:p w14:paraId="748B04A3"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50.00%</w:t>
            </w:r>
          </w:p>
        </w:tc>
        <w:tc>
          <w:tcPr>
            <w:tcW w:w="1559" w:type="dxa"/>
            <w:tcBorders>
              <w:top w:val="nil"/>
              <w:left w:val="single" w:sz="4" w:space="0" w:color="auto"/>
              <w:bottom w:val="single" w:sz="4" w:space="0" w:color="auto"/>
            </w:tcBorders>
            <w:noWrap/>
            <w:vAlign w:val="center"/>
            <w:hideMark/>
          </w:tcPr>
          <w:p w14:paraId="143DD86E"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2,935</w:t>
            </w:r>
          </w:p>
        </w:tc>
        <w:tc>
          <w:tcPr>
            <w:tcW w:w="1008" w:type="dxa"/>
            <w:tcBorders>
              <w:top w:val="nil"/>
              <w:bottom w:val="single" w:sz="4" w:space="0" w:color="auto"/>
              <w:right w:val="single" w:sz="4" w:space="0" w:color="auto"/>
            </w:tcBorders>
            <w:vAlign w:val="center"/>
          </w:tcPr>
          <w:p w14:paraId="23A4A724"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50.00%</w:t>
            </w:r>
          </w:p>
        </w:tc>
        <w:tc>
          <w:tcPr>
            <w:tcW w:w="1560" w:type="dxa"/>
            <w:tcBorders>
              <w:top w:val="nil"/>
              <w:left w:val="single" w:sz="4" w:space="0" w:color="auto"/>
              <w:bottom w:val="single" w:sz="4" w:space="0" w:color="auto"/>
            </w:tcBorders>
            <w:noWrap/>
            <w:vAlign w:val="center"/>
            <w:hideMark/>
          </w:tcPr>
          <w:p w14:paraId="7EACC5E0"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989</w:t>
            </w:r>
          </w:p>
        </w:tc>
        <w:tc>
          <w:tcPr>
            <w:tcW w:w="928" w:type="dxa"/>
            <w:tcBorders>
              <w:top w:val="nil"/>
              <w:bottom w:val="single" w:sz="4" w:space="0" w:color="auto"/>
              <w:right w:val="single" w:sz="4" w:space="0" w:color="auto"/>
            </w:tcBorders>
            <w:vAlign w:val="center"/>
          </w:tcPr>
          <w:p w14:paraId="45300C40"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16.85%</w:t>
            </w:r>
          </w:p>
        </w:tc>
        <w:tc>
          <w:tcPr>
            <w:tcW w:w="1701" w:type="dxa"/>
            <w:tcBorders>
              <w:top w:val="nil"/>
              <w:left w:val="single" w:sz="4" w:space="0" w:color="auto"/>
              <w:bottom w:val="single" w:sz="4" w:space="0" w:color="auto"/>
            </w:tcBorders>
            <w:noWrap/>
            <w:vAlign w:val="center"/>
            <w:hideMark/>
          </w:tcPr>
          <w:p w14:paraId="5F52C00D"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1,946</w:t>
            </w:r>
          </w:p>
        </w:tc>
        <w:tc>
          <w:tcPr>
            <w:tcW w:w="1061" w:type="dxa"/>
            <w:tcBorders>
              <w:top w:val="nil"/>
              <w:bottom w:val="single" w:sz="4" w:space="0" w:color="auto"/>
              <w:right w:val="single" w:sz="4" w:space="0" w:color="auto"/>
            </w:tcBorders>
            <w:vAlign w:val="center"/>
          </w:tcPr>
          <w:p w14:paraId="049E9389"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33.15%</w:t>
            </w:r>
          </w:p>
        </w:tc>
        <w:tc>
          <w:tcPr>
            <w:tcW w:w="1300" w:type="dxa"/>
            <w:tcBorders>
              <w:top w:val="nil"/>
              <w:left w:val="single" w:sz="4" w:space="0" w:color="auto"/>
              <w:bottom w:val="single" w:sz="4" w:space="0" w:color="auto"/>
            </w:tcBorders>
            <w:vAlign w:val="center"/>
          </w:tcPr>
          <w:p w14:paraId="528E95F5"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5,870</w:t>
            </w:r>
          </w:p>
        </w:tc>
        <w:tc>
          <w:tcPr>
            <w:tcW w:w="1008" w:type="dxa"/>
            <w:tcBorders>
              <w:top w:val="nil"/>
              <w:bottom w:val="single" w:sz="4" w:space="0" w:color="auto"/>
              <w:right w:val="single" w:sz="4" w:space="0" w:color="auto"/>
            </w:tcBorders>
            <w:vAlign w:val="center"/>
          </w:tcPr>
          <w:p w14:paraId="431BB1C5"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11.99%</w:t>
            </w:r>
          </w:p>
        </w:tc>
      </w:tr>
    </w:tbl>
    <w:p w14:paraId="72C13D93" w14:textId="77777777" w:rsidR="006C6B06" w:rsidRDefault="006C6B06" w:rsidP="00CE2FDF">
      <w:pPr>
        <w:spacing w:before="0"/>
      </w:pPr>
      <w:r>
        <w:rPr>
          <w:b/>
          <w:bCs/>
        </w:rPr>
        <w:br w:type="page"/>
      </w:r>
    </w:p>
    <w:tbl>
      <w:tblPr>
        <w:tblStyle w:val="LightShading-Accent2"/>
        <w:tblW w:w="14786" w:type="dxa"/>
        <w:tblLook w:val="04A0" w:firstRow="1" w:lastRow="0" w:firstColumn="1" w:lastColumn="0" w:noHBand="0" w:noVBand="1"/>
        <w:tblCaption w:val="Number of reports of sexual abuse, by year, reporter group, and outcome"/>
      </w:tblPr>
      <w:tblGrid>
        <w:gridCol w:w="2236"/>
        <w:gridCol w:w="1417"/>
        <w:gridCol w:w="1008"/>
        <w:gridCol w:w="1559"/>
        <w:gridCol w:w="1008"/>
        <w:gridCol w:w="1560"/>
        <w:gridCol w:w="928"/>
        <w:gridCol w:w="1701"/>
        <w:gridCol w:w="1061"/>
        <w:gridCol w:w="1300"/>
        <w:gridCol w:w="1008"/>
      </w:tblGrid>
      <w:tr w:rsidR="006C6B06" w:rsidRPr="00333B81" w14:paraId="30FC0926" w14:textId="77777777" w:rsidTr="001143BB">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14:paraId="7A64249D" w14:textId="77777777" w:rsidR="006C6B06" w:rsidRPr="00333B81" w:rsidRDefault="006C6B06" w:rsidP="00CE2FDF">
            <w:pPr>
              <w:tabs>
                <w:tab w:val="left" w:pos="1134"/>
              </w:tabs>
              <w:spacing w:before="0" w:line="276" w:lineRule="auto"/>
              <w:jc w:val="center"/>
              <w:rPr>
                <w:rFonts w:eastAsia="Times New Roman" w:cs="Arial"/>
                <w:color w:val="auto"/>
                <w:sz w:val="20"/>
                <w:szCs w:val="20"/>
                <w:lang w:eastAsia="en-AU"/>
              </w:rPr>
            </w:pPr>
          </w:p>
        </w:tc>
        <w:tc>
          <w:tcPr>
            <w:tcW w:w="2425"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EDD90BF"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Not investigated</w:t>
            </w:r>
          </w:p>
        </w:tc>
        <w:tc>
          <w:tcPr>
            <w:tcW w:w="2567"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4506D703"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Investigated</w:t>
            </w:r>
          </w:p>
        </w:tc>
        <w:tc>
          <w:tcPr>
            <w:tcW w:w="248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2737006"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333B81">
              <w:rPr>
                <w:rFonts w:eastAsia="Times New Roman" w:cs="Arial"/>
                <w:color w:val="auto"/>
                <w:sz w:val="20"/>
                <w:szCs w:val="20"/>
                <w:lang w:eastAsia="en-AU"/>
              </w:rPr>
              <w:t>Substantiated</w:t>
            </w:r>
          </w:p>
        </w:tc>
        <w:tc>
          <w:tcPr>
            <w:tcW w:w="276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19D592B"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333B81">
              <w:rPr>
                <w:rFonts w:eastAsia="Times New Roman" w:cs="Arial"/>
                <w:color w:val="auto"/>
                <w:sz w:val="20"/>
                <w:szCs w:val="20"/>
                <w:lang w:eastAsia="en-AU"/>
              </w:rPr>
              <w:t>Not substantiated</w:t>
            </w:r>
          </w:p>
        </w:tc>
        <w:tc>
          <w:tcPr>
            <w:tcW w:w="230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5C7288EE" w14:textId="77777777" w:rsidR="006C6B06" w:rsidRPr="00333B81" w:rsidRDefault="006C6B06"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eastAsia="en-AU"/>
              </w:rPr>
            </w:pPr>
            <w:r w:rsidRPr="00333B81">
              <w:rPr>
                <w:rFonts w:eastAsia="Times New Roman" w:cs="Arial"/>
                <w:color w:val="auto"/>
                <w:sz w:val="20"/>
                <w:szCs w:val="20"/>
                <w:lang w:eastAsia="en-AU"/>
              </w:rPr>
              <w:t>Total</w:t>
            </w:r>
          </w:p>
        </w:tc>
      </w:tr>
      <w:tr w:rsidR="002418F8" w:rsidRPr="00333B81" w14:paraId="6224A966"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4FF7C5DA"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2011</w:t>
            </w:r>
          </w:p>
        </w:tc>
        <w:tc>
          <w:tcPr>
            <w:tcW w:w="1417" w:type="dxa"/>
            <w:tcBorders>
              <w:top w:val="single" w:sz="4" w:space="0" w:color="auto"/>
              <w:left w:val="single" w:sz="4" w:space="0" w:color="auto"/>
            </w:tcBorders>
            <w:noWrap/>
            <w:hideMark/>
          </w:tcPr>
          <w:p w14:paraId="6F6E2E3C"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08" w:type="dxa"/>
            <w:tcBorders>
              <w:top w:val="single" w:sz="4" w:space="0" w:color="auto"/>
              <w:right w:val="single" w:sz="4" w:space="0" w:color="auto"/>
            </w:tcBorders>
            <w:vAlign w:val="center"/>
          </w:tcPr>
          <w:p w14:paraId="70F09F2B"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559" w:type="dxa"/>
            <w:tcBorders>
              <w:top w:val="single" w:sz="4" w:space="0" w:color="auto"/>
              <w:left w:val="single" w:sz="4" w:space="0" w:color="auto"/>
            </w:tcBorders>
            <w:noWrap/>
            <w:hideMark/>
          </w:tcPr>
          <w:p w14:paraId="5A1719B3"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08" w:type="dxa"/>
            <w:tcBorders>
              <w:top w:val="single" w:sz="4" w:space="0" w:color="auto"/>
              <w:right w:val="single" w:sz="4" w:space="0" w:color="auto"/>
            </w:tcBorders>
            <w:vAlign w:val="center"/>
          </w:tcPr>
          <w:p w14:paraId="4341C337"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560" w:type="dxa"/>
            <w:tcBorders>
              <w:top w:val="single" w:sz="4" w:space="0" w:color="auto"/>
              <w:left w:val="single" w:sz="4" w:space="0" w:color="auto"/>
            </w:tcBorders>
            <w:noWrap/>
            <w:hideMark/>
          </w:tcPr>
          <w:p w14:paraId="4CEAF0FE"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928" w:type="dxa"/>
            <w:tcBorders>
              <w:top w:val="single" w:sz="4" w:space="0" w:color="auto"/>
              <w:right w:val="single" w:sz="4" w:space="0" w:color="auto"/>
            </w:tcBorders>
            <w:vAlign w:val="center"/>
          </w:tcPr>
          <w:p w14:paraId="6C2C1C35"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701" w:type="dxa"/>
            <w:tcBorders>
              <w:top w:val="single" w:sz="4" w:space="0" w:color="auto"/>
              <w:left w:val="single" w:sz="4" w:space="0" w:color="auto"/>
            </w:tcBorders>
            <w:noWrap/>
            <w:hideMark/>
          </w:tcPr>
          <w:p w14:paraId="73431895"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061" w:type="dxa"/>
            <w:tcBorders>
              <w:top w:val="single" w:sz="4" w:space="0" w:color="auto"/>
              <w:right w:val="single" w:sz="4" w:space="0" w:color="auto"/>
            </w:tcBorders>
          </w:tcPr>
          <w:p w14:paraId="70130BBB" w14:textId="77777777" w:rsidR="00333B81" w:rsidRPr="00333B81" w:rsidRDefault="00333B81" w:rsidP="00CE2FDF">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 </w:t>
            </w:r>
          </w:p>
        </w:tc>
        <w:tc>
          <w:tcPr>
            <w:tcW w:w="1300" w:type="dxa"/>
            <w:tcBorders>
              <w:top w:val="single" w:sz="4" w:space="0" w:color="auto"/>
              <w:left w:val="single" w:sz="4" w:space="0" w:color="auto"/>
            </w:tcBorders>
            <w:vAlign w:val="center"/>
          </w:tcPr>
          <w:p w14:paraId="25B5EBA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 </w:t>
            </w:r>
          </w:p>
        </w:tc>
        <w:tc>
          <w:tcPr>
            <w:tcW w:w="1008" w:type="dxa"/>
            <w:tcBorders>
              <w:top w:val="single" w:sz="4" w:space="0" w:color="auto"/>
              <w:right w:val="single" w:sz="4" w:space="0" w:color="auto"/>
            </w:tcBorders>
            <w:vAlign w:val="center"/>
          </w:tcPr>
          <w:p w14:paraId="4F1E8D6F"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333B81">
              <w:rPr>
                <w:bCs/>
                <w:color w:val="auto"/>
                <w:sz w:val="20"/>
                <w:szCs w:val="20"/>
              </w:rPr>
              <w:t> </w:t>
            </w:r>
          </w:p>
        </w:tc>
      </w:tr>
      <w:tr w:rsidR="006C6B06" w:rsidRPr="00333B81" w14:paraId="2ED4C582"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3383923C"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598DDC0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161</w:t>
            </w:r>
          </w:p>
        </w:tc>
        <w:tc>
          <w:tcPr>
            <w:tcW w:w="1008" w:type="dxa"/>
            <w:tcBorders>
              <w:right w:val="single" w:sz="4" w:space="0" w:color="auto"/>
            </w:tcBorders>
            <w:vAlign w:val="center"/>
          </w:tcPr>
          <w:p w14:paraId="323E659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2.57%</w:t>
            </w:r>
          </w:p>
        </w:tc>
        <w:tc>
          <w:tcPr>
            <w:tcW w:w="1559" w:type="dxa"/>
            <w:tcBorders>
              <w:left w:val="single" w:sz="4" w:space="0" w:color="auto"/>
            </w:tcBorders>
            <w:noWrap/>
            <w:vAlign w:val="center"/>
            <w:hideMark/>
          </w:tcPr>
          <w:p w14:paraId="1ECC070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39</w:t>
            </w:r>
          </w:p>
        </w:tc>
        <w:tc>
          <w:tcPr>
            <w:tcW w:w="1008" w:type="dxa"/>
            <w:tcBorders>
              <w:right w:val="single" w:sz="4" w:space="0" w:color="auto"/>
            </w:tcBorders>
            <w:vAlign w:val="center"/>
          </w:tcPr>
          <w:p w14:paraId="14377C9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0.62%</w:t>
            </w:r>
          </w:p>
        </w:tc>
        <w:tc>
          <w:tcPr>
            <w:tcW w:w="1560" w:type="dxa"/>
            <w:tcBorders>
              <w:left w:val="single" w:sz="4" w:space="0" w:color="auto"/>
            </w:tcBorders>
            <w:noWrap/>
            <w:vAlign w:val="center"/>
            <w:hideMark/>
          </w:tcPr>
          <w:p w14:paraId="2FB3011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18</w:t>
            </w:r>
          </w:p>
        </w:tc>
        <w:tc>
          <w:tcPr>
            <w:tcW w:w="928" w:type="dxa"/>
            <w:tcBorders>
              <w:right w:val="single" w:sz="4" w:space="0" w:color="auto"/>
            </w:tcBorders>
            <w:vAlign w:val="center"/>
          </w:tcPr>
          <w:p w14:paraId="013DF2E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0.29%</w:t>
            </w:r>
          </w:p>
        </w:tc>
        <w:tc>
          <w:tcPr>
            <w:tcW w:w="1701" w:type="dxa"/>
            <w:tcBorders>
              <w:left w:val="single" w:sz="4" w:space="0" w:color="auto"/>
              <w:right w:val="nil"/>
            </w:tcBorders>
            <w:noWrap/>
            <w:vAlign w:val="center"/>
            <w:hideMark/>
          </w:tcPr>
          <w:p w14:paraId="409D359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21</w:t>
            </w:r>
          </w:p>
        </w:tc>
        <w:tc>
          <w:tcPr>
            <w:tcW w:w="1061" w:type="dxa"/>
            <w:tcBorders>
              <w:left w:val="nil"/>
              <w:right w:val="single" w:sz="4" w:space="0" w:color="auto"/>
            </w:tcBorders>
            <w:vAlign w:val="center"/>
          </w:tcPr>
          <w:p w14:paraId="6A1D538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0.34%</w:t>
            </w:r>
          </w:p>
        </w:tc>
        <w:tc>
          <w:tcPr>
            <w:tcW w:w="1300" w:type="dxa"/>
            <w:tcBorders>
              <w:left w:val="single" w:sz="4" w:space="0" w:color="auto"/>
            </w:tcBorders>
            <w:vAlign w:val="center"/>
          </w:tcPr>
          <w:p w14:paraId="021AEC91"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200</w:t>
            </w:r>
          </w:p>
        </w:tc>
        <w:tc>
          <w:tcPr>
            <w:tcW w:w="1008" w:type="dxa"/>
            <w:tcBorders>
              <w:right w:val="single" w:sz="4" w:space="0" w:color="auto"/>
            </w:tcBorders>
            <w:vAlign w:val="center"/>
          </w:tcPr>
          <w:p w14:paraId="5DF22DD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3.19%</w:t>
            </w:r>
          </w:p>
        </w:tc>
      </w:tr>
      <w:tr w:rsidR="006C6B06" w:rsidRPr="00333B81" w14:paraId="35AF7F70"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33A9CC24"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1409589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47</w:t>
            </w:r>
          </w:p>
        </w:tc>
        <w:tc>
          <w:tcPr>
            <w:tcW w:w="1008" w:type="dxa"/>
            <w:tcBorders>
              <w:right w:val="single" w:sz="4" w:space="0" w:color="auto"/>
            </w:tcBorders>
            <w:vAlign w:val="center"/>
          </w:tcPr>
          <w:p w14:paraId="45989F0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0.75%</w:t>
            </w:r>
          </w:p>
        </w:tc>
        <w:tc>
          <w:tcPr>
            <w:tcW w:w="1559" w:type="dxa"/>
            <w:tcBorders>
              <w:left w:val="single" w:sz="4" w:space="0" w:color="auto"/>
            </w:tcBorders>
            <w:noWrap/>
            <w:vAlign w:val="center"/>
            <w:hideMark/>
          </w:tcPr>
          <w:p w14:paraId="0B1A9BC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24</w:t>
            </w:r>
          </w:p>
        </w:tc>
        <w:tc>
          <w:tcPr>
            <w:tcW w:w="1008" w:type="dxa"/>
            <w:tcBorders>
              <w:right w:val="single" w:sz="4" w:space="0" w:color="auto"/>
            </w:tcBorders>
            <w:vAlign w:val="center"/>
          </w:tcPr>
          <w:p w14:paraId="16D6E3E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0.38%</w:t>
            </w:r>
          </w:p>
        </w:tc>
        <w:tc>
          <w:tcPr>
            <w:tcW w:w="1560" w:type="dxa"/>
            <w:tcBorders>
              <w:left w:val="single" w:sz="4" w:space="0" w:color="auto"/>
            </w:tcBorders>
            <w:noWrap/>
            <w:vAlign w:val="center"/>
            <w:hideMark/>
          </w:tcPr>
          <w:p w14:paraId="4CF2011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w:t>
            </w:r>
          </w:p>
        </w:tc>
        <w:tc>
          <w:tcPr>
            <w:tcW w:w="928" w:type="dxa"/>
            <w:tcBorders>
              <w:right w:val="single" w:sz="4" w:space="0" w:color="auto"/>
            </w:tcBorders>
            <w:vAlign w:val="center"/>
          </w:tcPr>
          <w:p w14:paraId="7B219A7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0.18%</w:t>
            </w:r>
          </w:p>
        </w:tc>
        <w:tc>
          <w:tcPr>
            <w:tcW w:w="1701" w:type="dxa"/>
            <w:tcBorders>
              <w:left w:val="single" w:sz="4" w:space="0" w:color="auto"/>
            </w:tcBorders>
            <w:noWrap/>
            <w:vAlign w:val="center"/>
            <w:hideMark/>
          </w:tcPr>
          <w:p w14:paraId="532F946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13</w:t>
            </w:r>
          </w:p>
        </w:tc>
        <w:tc>
          <w:tcPr>
            <w:tcW w:w="1061" w:type="dxa"/>
            <w:tcBorders>
              <w:right w:val="single" w:sz="4" w:space="0" w:color="auto"/>
            </w:tcBorders>
            <w:vAlign w:val="center"/>
          </w:tcPr>
          <w:p w14:paraId="635D373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0.21%</w:t>
            </w:r>
          </w:p>
        </w:tc>
        <w:tc>
          <w:tcPr>
            <w:tcW w:w="1300" w:type="dxa"/>
            <w:tcBorders>
              <w:left w:val="single" w:sz="4" w:space="0" w:color="auto"/>
            </w:tcBorders>
            <w:vAlign w:val="center"/>
          </w:tcPr>
          <w:p w14:paraId="0A1C263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71</w:t>
            </w:r>
          </w:p>
        </w:tc>
        <w:tc>
          <w:tcPr>
            <w:tcW w:w="1008" w:type="dxa"/>
            <w:tcBorders>
              <w:right w:val="single" w:sz="4" w:space="0" w:color="auto"/>
            </w:tcBorders>
            <w:vAlign w:val="center"/>
          </w:tcPr>
          <w:p w14:paraId="74F3527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1.13%</w:t>
            </w:r>
          </w:p>
        </w:tc>
      </w:tr>
      <w:tr w:rsidR="006C6B06" w:rsidRPr="00333B81" w14:paraId="42C98D68"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28B8CE38"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54CC0EB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705</w:t>
            </w:r>
          </w:p>
        </w:tc>
        <w:tc>
          <w:tcPr>
            <w:tcW w:w="1008" w:type="dxa"/>
            <w:tcBorders>
              <w:right w:val="single" w:sz="4" w:space="0" w:color="auto"/>
            </w:tcBorders>
            <w:vAlign w:val="center"/>
          </w:tcPr>
          <w:p w14:paraId="335D4A3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11.25%</w:t>
            </w:r>
          </w:p>
        </w:tc>
        <w:tc>
          <w:tcPr>
            <w:tcW w:w="1559" w:type="dxa"/>
            <w:tcBorders>
              <w:left w:val="single" w:sz="4" w:space="0" w:color="auto"/>
            </w:tcBorders>
            <w:noWrap/>
            <w:vAlign w:val="center"/>
            <w:hideMark/>
          </w:tcPr>
          <w:p w14:paraId="1CF3E6C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1,066</w:t>
            </w:r>
          </w:p>
        </w:tc>
        <w:tc>
          <w:tcPr>
            <w:tcW w:w="1008" w:type="dxa"/>
            <w:tcBorders>
              <w:right w:val="single" w:sz="4" w:space="0" w:color="auto"/>
            </w:tcBorders>
            <w:vAlign w:val="center"/>
          </w:tcPr>
          <w:p w14:paraId="53E879B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17.02%</w:t>
            </w:r>
          </w:p>
        </w:tc>
        <w:tc>
          <w:tcPr>
            <w:tcW w:w="1560" w:type="dxa"/>
            <w:tcBorders>
              <w:left w:val="single" w:sz="4" w:space="0" w:color="auto"/>
            </w:tcBorders>
            <w:noWrap/>
            <w:vAlign w:val="center"/>
            <w:hideMark/>
          </w:tcPr>
          <w:p w14:paraId="1892482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424</w:t>
            </w:r>
          </w:p>
        </w:tc>
        <w:tc>
          <w:tcPr>
            <w:tcW w:w="928" w:type="dxa"/>
            <w:tcBorders>
              <w:right w:val="single" w:sz="4" w:space="0" w:color="auto"/>
            </w:tcBorders>
            <w:vAlign w:val="center"/>
          </w:tcPr>
          <w:p w14:paraId="3EE6145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6.77%</w:t>
            </w:r>
          </w:p>
        </w:tc>
        <w:tc>
          <w:tcPr>
            <w:tcW w:w="1701" w:type="dxa"/>
            <w:tcBorders>
              <w:left w:val="single" w:sz="4" w:space="0" w:color="auto"/>
              <w:right w:val="nil"/>
            </w:tcBorders>
            <w:noWrap/>
            <w:vAlign w:val="center"/>
            <w:hideMark/>
          </w:tcPr>
          <w:p w14:paraId="1BA7659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642</w:t>
            </w:r>
          </w:p>
        </w:tc>
        <w:tc>
          <w:tcPr>
            <w:tcW w:w="1061" w:type="dxa"/>
            <w:tcBorders>
              <w:left w:val="nil"/>
              <w:right w:val="single" w:sz="4" w:space="0" w:color="auto"/>
            </w:tcBorders>
            <w:vAlign w:val="center"/>
          </w:tcPr>
          <w:p w14:paraId="7FF006D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10.25%</w:t>
            </w:r>
          </w:p>
        </w:tc>
        <w:tc>
          <w:tcPr>
            <w:tcW w:w="1300" w:type="dxa"/>
            <w:tcBorders>
              <w:left w:val="single" w:sz="4" w:space="0" w:color="auto"/>
            </w:tcBorders>
            <w:vAlign w:val="center"/>
          </w:tcPr>
          <w:p w14:paraId="364496B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1,771</w:t>
            </w:r>
          </w:p>
        </w:tc>
        <w:tc>
          <w:tcPr>
            <w:tcW w:w="1008" w:type="dxa"/>
            <w:tcBorders>
              <w:right w:val="single" w:sz="4" w:space="0" w:color="auto"/>
            </w:tcBorders>
            <w:vAlign w:val="center"/>
          </w:tcPr>
          <w:p w14:paraId="0057C91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28.27%</w:t>
            </w:r>
          </w:p>
        </w:tc>
      </w:tr>
      <w:tr w:rsidR="006C6B06" w:rsidRPr="00333B81" w14:paraId="1C205C87"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4942AEC4"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1E37713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564</w:t>
            </w:r>
          </w:p>
        </w:tc>
        <w:tc>
          <w:tcPr>
            <w:tcW w:w="1008" w:type="dxa"/>
            <w:tcBorders>
              <w:right w:val="single" w:sz="4" w:space="0" w:color="auto"/>
            </w:tcBorders>
            <w:vAlign w:val="center"/>
          </w:tcPr>
          <w:p w14:paraId="4FFF26E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9.00%</w:t>
            </w:r>
          </w:p>
        </w:tc>
        <w:tc>
          <w:tcPr>
            <w:tcW w:w="1559" w:type="dxa"/>
            <w:tcBorders>
              <w:left w:val="single" w:sz="4" w:space="0" w:color="auto"/>
            </w:tcBorders>
            <w:noWrap/>
            <w:vAlign w:val="center"/>
            <w:hideMark/>
          </w:tcPr>
          <w:p w14:paraId="0A84DA5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365</w:t>
            </w:r>
          </w:p>
        </w:tc>
        <w:tc>
          <w:tcPr>
            <w:tcW w:w="1008" w:type="dxa"/>
            <w:tcBorders>
              <w:right w:val="single" w:sz="4" w:space="0" w:color="auto"/>
            </w:tcBorders>
            <w:vAlign w:val="center"/>
          </w:tcPr>
          <w:p w14:paraId="25B914B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5.83%</w:t>
            </w:r>
          </w:p>
        </w:tc>
        <w:tc>
          <w:tcPr>
            <w:tcW w:w="1560" w:type="dxa"/>
            <w:tcBorders>
              <w:left w:val="single" w:sz="4" w:space="0" w:color="auto"/>
            </w:tcBorders>
            <w:noWrap/>
            <w:vAlign w:val="center"/>
            <w:hideMark/>
          </w:tcPr>
          <w:p w14:paraId="485BC96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149</w:t>
            </w:r>
          </w:p>
        </w:tc>
        <w:tc>
          <w:tcPr>
            <w:tcW w:w="928" w:type="dxa"/>
            <w:tcBorders>
              <w:right w:val="single" w:sz="4" w:space="0" w:color="auto"/>
            </w:tcBorders>
            <w:vAlign w:val="center"/>
          </w:tcPr>
          <w:p w14:paraId="04496A7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2.38%</w:t>
            </w:r>
          </w:p>
        </w:tc>
        <w:tc>
          <w:tcPr>
            <w:tcW w:w="1701" w:type="dxa"/>
            <w:tcBorders>
              <w:left w:val="single" w:sz="4" w:space="0" w:color="auto"/>
            </w:tcBorders>
            <w:noWrap/>
            <w:vAlign w:val="center"/>
            <w:hideMark/>
          </w:tcPr>
          <w:p w14:paraId="0F8694C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216</w:t>
            </w:r>
          </w:p>
        </w:tc>
        <w:tc>
          <w:tcPr>
            <w:tcW w:w="1061" w:type="dxa"/>
            <w:tcBorders>
              <w:right w:val="single" w:sz="4" w:space="0" w:color="auto"/>
            </w:tcBorders>
            <w:vAlign w:val="center"/>
          </w:tcPr>
          <w:p w14:paraId="3907451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3.45%</w:t>
            </w:r>
          </w:p>
        </w:tc>
        <w:tc>
          <w:tcPr>
            <w:tcW w:w="1300" w:type="dxa"/>
            <w:tcBorders>
              <w:left w:val="single" w:sz="4" w:space="0" w:color="auto"/>
            </w:tcBorders>
            <w:vAlign w:val="center"/>
          </w:tcPr>
          <w:p w14:paraId="66F1EA7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929</w:t>
            </w:r>
          </w:p>
        </w:tc>
        <w:tc>
          <w:tcPr>
            <w:tcW w:w="1008" w:type="dxa"/>
            <w:tcBorders>
              <w:right w:val="single" w:sz="4" w:space="0" w:color="auto"/>
            </w:tcBorders>
            <w:vAlign w:val="center"/>
          </w:tcPr>
          <w:p w14:paraId="69BD3ED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14.83%</w:t>
            </w:r>
          </w:p>
        </w:tc>
      </w:tr>
      <w:tr w:rsidR="006C6B06" w:rsidRPr="00333B81" w14:paraId="6F4B84C5"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208A7725"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7B09809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w:t>
            </w:r>
          </w:p>
        </w:tc>
        <w:tc>
          <w:tcPr>
            <w:tcW w:w="1008" w:type="dxa"/>
            <w:tcBorders>
              <w:right w:val="single" w:sz="4" w:space="0" w:color="auto"/>
            </w:tcBorders>
            <w:vAlign w:val="center"/>
          </w:tcPr>
          <w:p w14:paraId="3696D28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0.19%</w:t>
            </w:r>
          </w:p>
        </w:tc>
        <w:tc>
          <w:tcPr>
            <w:tcW w:w="1559" w:type="dxa"/>
            <w:tcBorders>
              <w:left w:val="single" w:sz="4" w:space="0" w:color="auto"/>
            </w:tcBorders>
            <w:noWrap/>
            <w:vAlign w:val="center"/>
            <w:hideMark/>
          </w:tcPr>
          <w:p w14:paraId="531795B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w:t>
            </w:r>
          </w:p>
        </w:tc>
        <w:tc>
          <w:tcPr>
            <w:tcW w:w="1008" w:type="dxa"/>
            <w:tcBorders>
              <w:right w:val="single" w:sz="4" w:space="0" w:color="auto"/>
            </w:tcBorders>
            <w:vAlign w:val="center"/>
          </w:tcPr>
          <w:p w14:paraId="4AD7F71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0.05%</w:t>
            </w:r>
          </w:p>
        </w:tc>
        <w:tc>
          <w:tcPr>
            <w:tcW w:w="1560" w:type="dxa"/>
            <w:tcBorders>
              <w:left w:val="single" w:sz="4" w:space="0" w:color="auto"/>
            </w:tcBorders>
            <w:noWrap/>
            <w:vAlign w:val="center"/>
            <w:hideMark/>
          </w:tcPr>
          <w:p w14:paraId="5A2FAE49"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w:t>
            </w:r>
          </w:p>
        </w:tc>
        <w:tc>
          <w:tcPr>
            <w:tcW w:w="928" w:type="dxa"/>
            <w:tcBorders>
              <w:right w:val="single" w:sz="4" w:space="0" w:color="auto"/>
            </w:tcBorders>
            <w:vAlign w:val="center"/>
          </w:tcPr>
          <w:p w14:paraId="723DFA7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0.00%</w:t>
            </w:r>
          </w:p>
        </w:tc>
        <w:tc>
          <w:tcPr>
            <w:tcW w:w="1701" w:type="dxa"/>
            <w:tcBorders>
              <w:left w:val="single" w:sz="4" w:space="0" w:color="auto"/>
              <w:right w:val="nil"/>
            </w:tcBorders>
            <w:noWrap/>
            <w:vAlign w:val="center"/>
            <w:hideMark/>
          </w:tcPr>
          <w:p w14:paraId="4EBD854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w:t>
            </w:r>
          </w:p>
        </w:tc>
        <w:tc>
          <w:tcPr>
            <w:tcW w:w="1061" w:type="dxa"/>
            <w:tcBorders>
              <w:left w:val="nil"/>
              <w:right w:val="single" w:sz="4" w:space="0" w:color="auto"/>
            </w:tcBorders>
            <w:vAlign w:val="center"/>
          </w:tcPr>
          <w:p w14:paraId="57B013D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0.05%</w:t>
            </w:r>
          </w:p>
        </w:tc>
        <w:tc>
          <w:tcPr>
            <w:tcW w:w="1300" w:type="dxa"/>
            <w:tcBorders>
              <w:left w:val="single" w:sz="4" w:space="0" w:color="auto"/>
            </w:tcBorders>
            <w:vAlign w:val="center"/>
          </w:tcPr>
          <w:p w14:paraId="18F53D4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15</w:t>
            </w:r>
          </w:p>
        </w:tc>
        <w:tc>
          <w:tcPr>
            <w:tcW w:w="1008" w:type="dxa"/>
            <w:tcBorders>
              <w:right w:val="single" w:sz="4" w:space="0" w:color="auto"/>
            </w:tcBorders>
            <w:vAlign w:val="center"/>
          </w:tcPr>
          <w:p w14:paraId="133B918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0.24%</w:t>
            </w:r>
          </w:p>
        </w:tc>
      </w:tr>
      <w:tr w:rsidR="006C6B06" w:rsidRPr="00333B81" w14:paraId="52F59076"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3F315C66"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63B27F02"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1,489</w:t>
            </w:r>
          </w:p>
        </w:tc>
        <w:tc>
          <w:tcPr>
            <w:tcW w:w="1008" w:type="dxa"/>
            <w:tcBorders>
              <w:right w:val="single" w:sz="4" w:space="0" w:color="auto"/>
            </w:tcBorders>
            <w:vAlign w:val="center"/>
          </w:tcPr>
          <w:p w14:paraId="51BF544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23.77%</w:t>
            </w:r>
          </w:p>
        </w:tc>
        <w:tc>
          <w:tcPr>
            <w:tcW w:w="1559" w:type="dxa"/>
            <w:tcBorders>
              <w:left w:val="single" w:sz="4" w:space="0" w:color="auto"/>
            </w:tcBorders>
            <w:noWrap/>
            <w:vAlign w:val="center"/>
            <w:hideMark/>
          </w:tcPr>
          <w:p w14:paraId="34111ED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1,497</w:t>
            </w:r>
          </w:p>
        </w:tc>
        <w:tc>
          <w:tcPr>
            <w:tcW w:w="1008" w:type="dxa"/>
            <w:tcBorders>
              <w:right w:val="single" w:sz="4" w:space="0" w:color="auto"/>
            </w:tcBorders>
            <w:vAlign w:val="center"/>
          </w:tcPr>
          <w:p w14:paraId="0FD98317"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23.89%</w:t>
            </w:r>
          </w:p>
        </w:tc>
        <w:tc>
          <w:tcPr>
            <w:tcW w:w="1560" w:type="dxa"/>
            <w:tcBorders>
              <w:left w:val="single" w:sz="4" w:space="0" w:color="auto"/>
            </w:tcBorders>
            <w:noWrap/>
            <w:vAlign w:val="center"/>
            <w:hideMark/>
          </w:tcPr>
          <w:p w14:paraId="2686C06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602</w:t>
            </w:r>
          </w:p>
        </w:tc>
        <w:tc>
          <w:tcPr>
            <w:tcW w:w="928" w:type="dxa"/>
            <w:tcBorders>
              <w:right w:val="single" w:sz="4" w:space="0" w:color="auto"/>
            </w:tcBorders>
            <w:vAlign w:val="center"/>
          </w:tcPr>
          <w:p w14:paraId="1A9102D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9.61%</w:t>
            </w:r>
          </w:p>
        </w:tc>
        <w:tc>
          <w:tcPr>
            <w:tcW w:w="1701" w:type="dxa"/>
            <w:tcBorders>
              <w:left w:val="single" w:sz="4" w:space="0" w:color="auto"/>
            </w:tcBorders>
            <w:noWrap/>
            <w:vAlign w:val="center"/>
            <w:hideMark/>
          </w:tcPr>
          <w:p w14:paraId="4826EBD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895</w:t>
            </w:r>
          </w:p>
        </w:tc>
        <w:tc>
          <w:tcPr>
            <w:tcW w:w="1061" w:type="dxa"/>
            <w:tcBorders>
              <w:right w:val="single" w:sz="4" w:space="0" w:color="auto"/>
            </w:tcBorders>
            <w:vAlign w:val="center"/>
          </w:tcPr>
          <w:p w14:paraId="18335D7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14.29%</w:t>
            </w:r>
          </w:p>
        </w:tc>
        <w:tc>
          <w:tcPr>
            <w:tcW w:w="1300" w:type="dxa"/>
            <w:tcBorders>
              <w:left w:val="single" w:sz="4" w:space="0" w:color="auto"/>
            </w:tcBorders>
            <w:vAlign w:val="center"/>
          </w:tcPr>
          <w:p w14:paraId="05968D4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2,986</w:t>
            </w:r>
          </w:p>
        </w:tc>
        <w:tc>
          <w:tcPr>
            <w:tcW w:w="1008" w:type="dxa"/>
            <w:tcBorders>
              <w:right w:val="single" w:sz="4" w:space="0" w:color="auto"/>
            </w:tcBorders>
            <w:vAlign w:val="center"/>
          </w:tcPr>
          <w:p w14:paraId="7BB7BDB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47.66%</w:t>
            </w:r>
          </w:p>
        </w:tc>
      </w:tr>
      <w:tr w:rsidR="006C6B06" w:rsidRPr="00333B81" w14:paraId="636E8A3A"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nil"/>
              <w:right w:val="single" w:sz="4" w:space="0" w:color="auto"/>
            </w:tcBorders>
            <w:noWrap/>
            <w:vAlign w:val="center"/>
            <w:hideMark/>
          </w:tcPr>
          <w:p w14:paraId="31B3D243"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bottom w:val="nil"/>
            </w:tcBorders>
            <w:noWrap/>
            <w:vAlign w:val="center"/>
            <w:hideMark/>
          </w:tcPr>
          <w:p w14:paraId="5A96348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1,878</w:t>
            </w:r>
          </w:p>
        </w:tc>
        <w:tc>
          <w:tcPr>
            <w:tcW w:w="1008" w:type="dxa"/>
            <w:tcBorders>
              <w:bottom w:val="nil"/>
              <w:right w:val="single" w:sz="4" w:space="0" w:color="auto"/>
            </w:tcBorders>
            <w:vAlign w:val="center"/>
          </w:tcPr>
          <w:p w14:paraId="4F6AC16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29.98%</w:t>
            </w:r>
          </w:p>
        </w:tc>
        <w:tc>
          <w:tcPr>
            <w:tcW w:w="1559" w:type="dxa"/>
            <w:tcBorders>
              <w:left w:val="single" w:sz="4" w:space="0" w:color="auto"/>
              <w:bottom w:val="nil"/>
            </w:tcBorders>
            <w:noWrap/>
            <w:vAlign w:val="center"/>
            <w:hideMark/>
          </w:tcPr>
          <w:p w14:paraId="4D89EDB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1,401</w:t>
            </w:r>
          </w:p>
        </w:tc>
        <w:tc>
          <w:tcPr>
            <w:tcW w:w="1008" w:type="dxa"/>
            <w:tcBorders>
              <w:bottom w:val="nil"/>
              <w:right w:val="single" w:sz="4" w:space="0" w:color="auto"/>
            </w:tcBorders>
            <w:vAlign w:val="center"/>
          </w:tcPr>
          <w:p w14:paraId="3F70B3B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22.36%</w:t>
            </w:r>
          </w:p>
        </w:tc>
        <w:tc>
          <w:tcPr>
            <w:tcW w:w="1560" w:type="dxa"/>
            <w:tcBorders>
              <w:left w:val="single" w:sz="4" w:space="0" w:color="auto"/>
              <w:bottom w:val="nil"/>
            </w:tcBorders>
            <w:noWrap/>
            <w:vAlign w:val="center"/>
            <w:hideMark/>
          </w:tcPr>
          <w:p w14:paraId="61AC069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628</w:t>
            </w:r>
          </w:p>
        </w:tc>
        <w:tc>
          <w:tcPr>
            <w:tcW w:w="928" w:type="dxa"/>
            <w:tcBorders>
              <w:bottom w:val="nil"/>
              <w:right w:val="single" w:sz="4" w:space="0" w:color="auto"/>
            </w:tcBorders>
            <w:vAlign w:val="center"/>
          </w:tcPr>
          <w:p w14:paraId="1F86B4A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10.02%</w:t>
            </w:r>
          </w:p>
        </w:tc>
        <w:tc>
          <w:tcPr>
            <w:tcW w:w="1701" w:type="dxa"/>
            <w:tcBorders>
              <w:left w:val="single" w:sz="4" w:space="0" w:color="auto"/>
              <w:bottom w:val="nil"/>
              <w:right w:val="nil"/>
            </w:tcBorders>
            <w:noWrap/>
            <w:vAlign w:val="center"/>
            <w:hideMark/>
          </w:tcPr>
          <w:p w14:paraId="0DCCB7D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773</w:t>
            </w:r>
          </w:p>
        </w:tc>
        <w:tc>
          <w:tcPr>
            <w:tcW w:w="1061" w:type="dxa"/>
            <w:tcBorders>
              <w:left w:val="nil"/>
              <w:bottom w:val="nil"/>
              <w:right w:val="single" w:sz="4" w:space="0" w:color="auto"/>
            </w:tcBorders>
            <w:vAlign w:val="center"/>
          </w:tcPr>
          <w:p w14:paraId="01B693A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12.34%</w:t>
            </w:r>
          </w:p>
        </w:tc>
        <w:tc>
          <w:tcPr>
            <w:tcW w:w="1300" w:type="dxa"/>
            <w:tcBorders>
              <w:left w:val="single" w:sz="4" w:space="0" w:color="auto"/>
              <w:bottom w:val="nil"/>
            </w:tcBorders>
            <w:vAlign w:val="center"/>
          </w:tcPr>
          <w:p w14:paraId="544AEC2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3,279</w:t>
            </w:r>
          </w:p>
        </w:tc>
        <w:tc>
          <w:tcPr>
            <w:tcW w:w="1008" w:type="dxa"/>
            <w:tcBorders>
              <w:bottom w:val="nil"/>
              <w:right w:val="single" w:sz="4" w:space="0" w:color="auto"/>
            </w:tcBorders>
            <w:vAlign w:val="center"/>
          </w:tcPr>
          <w:p w14:paraId="5953158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52.34%</w:t>
            </w:r>
          </w:p>
        </w:tc>
      </w:tr>
      <w:tr w:rsidR="002418F8" w:rsidRPr="00333B81" w14:paraId="526DF9D0"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nil"/>
              <w:left w:val="single" w:sz="4" w:space="0" w:color="auto"/>
              <w:bottom w:val="single" w:sz="4" w:space="0" w:color="auto"/>
              <w:right w:val="single" w:sz="4" w:space="0" w:color="auto"/>
            </w:tcBorders>
            <w:noWrap/>
            <w:hideMark/>
          </w:tcPr>
          <w:p w14:paraId="22B9C244"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top w:val="nil"/>
              <w:left w:val="single" w:sz="4" w:space="0" w:color="auto"/>
              <w:bottom w:val="single" w:sz="4" w:space="0" w:color="auto"/>
            </w:tcBorders>
            <w:noWrap/>
            <w:vAlign w:val="center"/>
            <w:hideMark/>
          </w:tcPr>
          <w:p w14:paraId="4B5E7375"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3,367</w:t>
            </w:r>
          </w:p>
        </w:tc>
        <w:tc>
          <w:tcPr>
            <w:tcW w:w="1008" w:type="dxa"/>
            <w:tcBorders>
              <w:top w:val="nil"/>
              <w:bottom w:val="single" w:sz="4" w:space="0" w:color="auto"/>
              <w:right w:val="single" w:sz="4" w:space="0" w:color="auto"/>
            </w:tcBorders>
            <w:vAlign w:val="center"/>
          </w:tcPr>
          <w:p w14:paraId="018037A9"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53.74%</w:t>
            </w:r>
          </w:p>
        </w:tc>
        <w:tc>
          <w:tcPr>
            <w:tcW w:w="1559" w:type="dxa"/>
            <w:tcBorders>
              <w:top w:val="nil"/>
              <w:left w:val="single" w:sz="4" w:space="0" w:color="auto"/>
              <w:bottom w:val="single" w:sz="4" w:space="0" w:color="auto"/>
            </w:tcBorders>
            <w:noWrap/>
            <w:vAlign w:val="center"/>
            <w:hideMark/>
          </w:tcPr>
          <w:p w14:paraId="2EE3EDF1"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2,898</w:t>
            </w:r>
          </w:p>
        </w:tc>
        <w:tc>
          <w:tcPr>
            <w:tcW w:w="1008" w:type="dxa"/>
            <w:tcBorders>
              <w:top w:val="nil"/>
              <w:bottom w:val="single" w:sz="4" w:space="0" w:color="auto"/>
              <w:right w:val="single" w:sz="4" w:space="0" w:color="auto"/>
            </w:tcBorders>
            <w:vAlign w:val="center"/>
          </w:tcPr>
          <w:p w14:paraId="792BFC15"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46.26%</w:t>
            </w:r>
          </w:p>
        </w:tc>
        <w:tc>
          <w:tcPr>
            <w:tcW w:w="1560" w:type="dxa"/>
            <w:tcBorders>
              <w:top w:val="nil"/>
              <w:left w:val="single" w:sz="4" w:space="0" w:color="auto"/>
              <w:bottom w:val="single" w:sz="4" w:space="0" w:color="auto"/>
            </w:tcBorders>
            <w:noWrap/>
            <w:vAlign w:val="center"/>
            <w:hideMark/>
          </w:tcPr>
          <w:p w14:paraId="2772AC8D"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1,230</w:t>
            </w:r>
          </w:p>
        </w:tc>
        <w:tc>
          <w:tcPr>
            <w:tcW w:w="928" w:type="dxa"/>
            <w:tcBorders>
              <w:top w:val="nil"/>
              <w:bottom w:val="single" w:sz="4" w:space="0" w:color="auto"/>
              <w:right w:val="single" w:sz="4" w:space="0" w:color="auto"/>
            </w:tcBorders>
            <w:vAlign w:val="center"/>
          </w:tcPr>
          <w:p w14:paraId="75526347"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19.63%</w:t>
            </w:r>
          </w:p>
        </w:tc>
        <w:tc>
          <w:tcPr>
            <w:tcW w:w="1701" w:type="dxa"/>
            <w:tcBorders>
              <w:top w:val="nil"/>
              <w:left w:val="single" w:sz="4" w:space="0" w:color="auto"/>
              <w:bottom w:val="single" w:sz="4" w:space="0" w:color="auto"/>
            </w:tcBorders>
            <w:noWrap/>
            <w:vAlign w:val="center"/>
            <w:hideMark/>
          </w:tcPr>
          <w:p w14:paraId="74B794A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1,668</w:t>
            </w:r>
          </w:p>
        </w:tc>
        <w:tc>
          <w:tcPr>
            <w:tcW w:w="1061" w:type="dxa"/>
            <w:tcBorders>
              <w:top w:val="nil"/>
              <w:bottom w:val="single" w:sz="4" w:space="0" w:color="auto"/>
              <w:right w:val="single" w:sz="4" w:space="0" w:color="auto"/>
            </w:tcBorders>
            <w:vAlign w:val="center"/>
          </w:tcPr>
          <w:p w14:paraId="41CDA574"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sz w:val="20"/>
                <w:szCs w:val="20"/>
              </w:rPr>
            </w:pPr>
            <w:r w:rsidRPr="00333B81">
              <w:rPr>
                <w:b/>
                <w:color w:val="auto"/>
                <w:sz w:val="20"/>
                <w:szCs w:val="20"/>
              </w:rPr>
              <w:t>26.62%</w:t>
            </w:r>
          </w:p>
        </w:tc>
        <w:tc>
          <w:tcPr>
            <w:tcW w:w="1300" w:type="dxa"/>
            <w:tcBorders>
              <w:top w:val="nil"/>
              <w:left w:val="single" w:sz="4" w:space="0" w:color="auto"/>
              <w:bottom w:val="single" w:sz="4" w:space="0" w:color="auto"/>
            </w:tcBorders>
            <w:vAlign w:val="center"/>
          </w:tcPr>
          <w:p w14:paraId="09511934"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6,265</w:t>
            </w:r>
          </w:p>
        </w:tc>
        <w:tc>
          <w:tcPr>
            <w:tcW w:w="1008" w:type="dxa"/>
            <w:tcBorders>
              <w:top w:val="nil"/>
              <w:bottom w:val="single" w:sz="4" w:space="0" w:color="auto"/>
              <w:right w:val="single" w:sz="4" w:space="0" w:color="auto"/>
            </w:tcBorders>
            <w:vAlign w:val="center"/>
          </w:tcPr>
          <w:p w14:paraId="07408D00"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12.79%</w:t>
            </w:r>
          </w:p>
        </w:tc>
      </w:tr>
      <w:tr w:rsidR="006C6B06" w:rsidRPr="00333B81" w14:paraId="7676B98C"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right w:val="single" w:sz="4" w:space="0" w:color="auto"/>
            </w:tcBorders>
            <w:noWrap/>
            <w:hideMark/>
          </w:tcPr>
          <w:p w14:paraId="60157EF8" w14:textId="77777777" w:rsidR="00333B81" w:rsidRPr="00333B81" w:rsidRDefault="00333B81" w:rsidP="00CE2FDF">
            <w:pPr>
              <w:keepNext/>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2012</w:t>
            </w:r>
          </w:p>
        </w:tc>
        <w:tc>
          <w:tcPr>
            <w:tcW w:w="1417" w:type="dxa"/>
            <w:tcBorders>
              <w:top w:val="single" w:sz="4" w:space="0" w:color="auto"/>
              <w:left w:val="single" w:sz="4" w:space="0" w:color="auto"/>
            </w:tcBorders>
            <w:noWrap/>
            <w:hideMark/>
          </w:tcPr>
          <w:p w14:paraId="33B4EB34" w14:textId="77777777" w:rsidR="00333B81" w:rsidRPr="00333B81" w:rsidRDefault="00333B81"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08" w:type="dxa"/>
            <w:tcBorders>
              <w:top w:val="single" w:sz="4" w:space="0" w:color="auto"/>
              <w:right w:val="single" w:sz="4" w:space="0" w:color="auto"/>
            </w:tcBorders>
            <w:vAlign w:val="center"/>
          </w:tcPr>
          <w:p w14:paraId="3EAFEE13" w14:textId="77777777" w:rsidR="00333B81" w:rsidRPr="00333B81" w:rsidRDefault="00333B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559" w:type="dxa"/>
            <w:tcBorders>
              <w:top w:val="single" w:sz="4" w:space="0" w:color="auto"/>
              <w:left w:val="single" w:sz="4" w:space="0" w:color="auto"/>
            </w:tcBorders>
            <w:noWrap/>
            <w:hideMark/>
          </w:tcPr>
          <w:p w14:paraId="7E4D33FA" w14:textId="77777777" w:rsidR="00333B81" w:rsidRPr="00333B81" w:rsidRDefault="00333B81"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008" w:type="dxa"/>
            <w:tcBorders>
              <w:top w:val="single" w:sz="4" w:space="0" w:color="auto"/>
              <w:right w:val="single" w:sz="4" w:space="0" w:color="auto"/>
            </w:tcBorders>
            <w:vAlign w:val="center"/>
          </w:tcPr>
          <w:p w14:paraId="72CFFF4B" w14:textId="77777777" w:rsidR="00333B81" w:rsidRPr="00333B81" w:rsidRDefault="00333B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560" w:type="dxa"/>
            <w:tcBorders>
              <w:top w:val="single" w:sz="4" w:space="0" w:color="auto"/>
              <w:left w:val="single" w:sz="4" w:space="0" w:color="auto"/>
            </w:tcBorders>
            <w:noWrap/>
            <w:hideMark/>
          </w:tcPr>
          <w:p w14:paraId="3081DBA7" w14:textId="77777777" w:rsidR="00333B81" w:rsidRPr="00333B81" w:rsidRDefault="00333B81"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928" w:type="dxa"/>
            <w:tcBorders>
              <w:top w:val="single" w:sz="4" w:space="0" w:color="auto"/>
              <w:right w:val="single" w:sz="4" w:space="0" w:color="auto"/>
            </w:tcBorders>
            <w:vAlign w:val="center"/>
          </w:tcPr>
          <w:p w14:paraId="00D475CE" w14:textId="77777777" w:rsidR="00333B81" w:rsidRPr="00333B81" w:rsidRDefault="00333B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701" w:type="dxa"/>
            <w:tcBorders>
              <w:top w:val="single" w:sz="4" w:space="0" w:color="auto"/>
              <w:left w:val="single" w:sz="4" w:space="0" w:color="auto"/>
              <w:right w:val="nil"/>
            </w:tcBorders>
            <w:noWrap/>
            <w:hideMark/>
          </w:tcPr>
          <w:p w14:paraId="71B81508" w14:textId="77777777" w:rsidR="00333B81" w:rsidRPr="00333B81" w:rsidRDefault="00333B81"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 </w:t>
            </w:r>
          </w:p>
        </w:tc>
        <w:tc>
          <w:tcPr>
            <w:tcW w:w="1061" w:type="dxa"/>
            <w:tcBorders>
              <w:top w:val="single" w:sz="4" w:space="0" w:color="auto"/>
              <w:left w:val="nil"/>
              <w:right w:val="single" w:sz="4" w:space="0" w:color="auto"/>
            </w:tcBorders>
          </w:tcPr>
          <w:p w14:paraId="3E0BD2C3" w14:textId="77777777" w:rsidR="00333B81" w:rsidRPr="00333B81" w:rsidRDefault="00333B81" w:rsidP="00CE2FDF">
            <w:pPr>
              <w:keepNext/>
              <w:spacing w:before="0" w:line="276"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00" w:type="dxa"/>
            <w:tcBorders>
              <w:top w:val="single" w:sz="4" w:space="0" w:color="auto"/>
              <w:left w:val="single" w:sz="4" w:space="0" w:color="auto"/>
            </w:tcBorders>
            <w:vAlign w:val="center"/>
          </w:tcPr>
          <w:p w14:paraId="66A155C9" w14:textId="77777777" w:rsidR="00333B81" w:rsidRPr="00333B81" w:rsidRDefault="00333B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008" w:type="dxa"/>
            <w:tcBorders>
              <w:top w:val="single" w:sz="4" w:space="0" w:color="auto"/>
              <w:right w:val="single" w:sz="4" w:space="0" w:color="auto"/>
            </w:tcBorders>
            <w:vAlign w:val="center"/>
          </w:tcPr>
          <w:p w14:paraId="5664DCC8" w14:textId="77777777" w:rsidR="00333B81" w:rsidRPr="00333B81" w:rsidRDefault="00333B81" w:rsidP="00CE2FDF">
            <w:pPr>
              <w:keepNext/>
              <w:spacing w:before="0" w:line="276" w:lineRule="auto"/>
              <w:jc w:val="right"/>
              <w:cnfStyle w:val="000000000000" w:firstRow="0" w:lastRow="0" w:firstColumn="0" w:lastColumn="0" w:oddVBand="0" w:evenVBand="0" w:oddHBand="0" w:evenHBand="0" w:firstRowFirstColumn="0" w:firstRowLastColumn="0" w:lastRowFirstColumn="0" w:lastRowLastColumn="0"/>
              <w:rPr>
                <w:bCs/>
                <w:color w:val="auto"/>
                <w:sz w:val="20"/>
                <w:szCs w:val="20"/>
              </w:rPr>
            </w:pPr>
            <w:r w:rsidRPr="00333B81">
              <w:rPr>
                <w:bCs/>
                <w:color w:val="auto"/>
                <w:sz w:val="20"/>
                <w:szCs w:val="20"/>
              </w:rPr>
              <w:t> </w:t>
            </w:r>
          </w:p>
        </w:tc>
      </w:tr>
      <w:tr w:rsidR="006C6B06" w:rsidRPr="00333B81" w14:paraId="545C3814"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43B92858"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Doctors</w:t>
            </w:r>
          </w:p>
        </w:tc>
        <w:tc>
          <w:tcPr>
            <w:tcW w:w="1417" w:type="dxa"/>
            <w:tcBorders>
              <w:left w:val="single" w:sz="4" w:space="0" w:color="auto"/>
            </w:tcBorders>
            <w:noWrap/>
            <w:vAlign w:val="center"/>
            <w:hideMark/>
          </w:tcPr>
          <w:p w14:paraId="314D94CE"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161</w:t>
            </w:r>
          </w:p>
        </w:tc>
        <w:tc>
          <w:tcPr>
            <w:tcW w:w="1008" w:type="dxa"/>
            <w:tcBorders>
              <w:right w:val="single" w:sz="4" w:space="0" w:color="auto"/>
            </w:tcBorders>
            <w:vAlign w:val="center"/>
          </w:tcPr>
          <w:p w14:paraId="08527EB4"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2.19%</w:t>
            </w:r>
          </w:p>
        </w:tc>
        <w:tc>
          <w:tcPr>
            <w:tcW w:w="1559" w:type="dxa"/>
            <w:tcBorders>
              <w:left w:val="single" w:sz="4" w:space="0" w:color="auto"/>
            </w:tcBorders>
            <w:noWrap/>
            <w:vAlign w:val="center"/>
            <w:hideMark/>
          </w:tcPr>
          <w:p w14:paraId="5FD36707"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67</w:t>
            </w:r>
          </w:p>
        </w:tc>
        <w:tc>
          <w:tcPr>
            <w:tcW w:w="1008" w:type="dxa"/>
            <w:tcBorders>
              <w:right w:val="single" w:sz="4" w:space="0" w:color="auto"/>
            </w:tcBorders>
            <w:vAlign w:val="center"/>
          </w:tcPr>
          <w:p w14:paraId="4C2454C1"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0.91%</w:t>
            </w:r>
          </w:p>
        </w:tc>
        <w:tc>
          <w:tcPr>
            <w:tcW w:w="1560" w:type="dxa"/>
            <w:tcBorders>
              <w:left w:val="single" w:sz="4" w:space="0" w:color="auto"/>
            </w:tcBorders>
            <w:noWrap/>
            <w:vAlign w:val="center"/>
            <w:hideMark/>
          </w:tcPr>
          <w:p w14:paraId="28D44875"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34</w:t>
            </w:r>
          </w:p>
        </w:tc>
        <w:tc>
          <w:tcPr>
            <w:tcW w:w="928" w:type="dxa"/>
            <w:tcBorders>
              <w:right w:val="single" w:sz="4" w:space="0" w:color="auto"/>
            </w:tcBorders>
            <w:vAlign w:val="center"/>
          </w:tcPr>
          <w:p w14:paraId="72EC69E5"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0.46%</w:t>
            </w:r>
          </w:p>
        </w:tc>
        <w:tc>
          <w:tcPr>
            <w:tcW w:w="1701" w:type="dxa"/>
            <w:tcBorders>
              <w:left w:val="single" w:sz="4" w:space="0" w:color="auto"/>
            </w:tcBorders>
            <w:noWrap/>
            <w:vAlign w:val="center"/>
            <w:hideMark/>
          </w:tcPr>
          <w:p w14:paraId="72A77BA3"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33</w:t>
            </w:r>
          </w:p>
        </w:tc>
        <w:tc>
          <w:tcPr>
            <w:tcW w:w="1061" w:type="dxa"/>
            <w:tcBorders>
              <w:right w:val="single" w:sz="4" w:space="0" w:color="auto"/>
            </w:tcBorders>
            <w:vAlign w:val="center"/>
          </w:tcPr>
          <w:p w14:paraId="1E3F0963"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0.45%</w:t>
            </w:r>
          </w:p>
        </w:tc>
        <w:tc>
          <w:tcPr>
            <w:tcW w:w="1300" w:type="dxa"/>
            <w:tcBorders>
              <w:left w:val="single" w:sz="4" w:space="0" w:color="auto"/>
            </w:tcBorders>
            <w:vAlign w:val="center"/>
          </w:tcPr>
          <w:p w14:paraId="7357E777"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228</w:t>
            </w:r>
          </w:p>
        </w:tc>
        <w:tc>
          <w:tcPr>
            <w:tcW w:w="1008" w:type="dxa"/>
            <w:tcBorders>
              <w:right w:val="single" w:sz="4" w:space="0" w:color="auto"/>
            </w:tcBorders>
            <w:vAlign w:val="center"/>
          </w:tcPr>
          <w:p w14:paraId="0E57AB88" w14:textId="77777777" w:rsidR="006C6B06" w:rsidRPr="00333B81" w:rsidRDefault="006C6B06" w:rsidP="00CE2FDF">
            <w:pPr>
              <w:keepNext/>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3.10%</w:t>
            </w:r>
          </w:p>
        </w:tc>
      </w:tr>
      <w:tr w:rsidR="006C6B06" w:rsidRPr="00333B81" w14:paraId="5CEA1E10"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70E02F87"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Nurses</w:t>
            </w:r>
          </w:p>
        </w:tc>
        <w:tc>
          <w:tcPr>
            <w:tcW w:w="1417" w:type="dxa"/>
            <w:tcBorders>
              <w:left w:val="single" w:sz="4" w:space="0" w:color="auto"/>
            </w:tcBorders>
            <w:noWrap/>
            <w:vAlign w:val="center"/>
            <w:hideMark/>
          </w:tcPr>
          <w:p w14:paraId="638C4D3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56</w:t>
            </w:r>
          </w:p>
        </w:tc>
        <w:tc>
          <w:tcPr>
            <w:tcW w:w="1008" w:type="dxa"/>
            <w:tcBorders>
              <w:right w:val="single" w:sz="4" w:space="0" w:color="auto"/>
            </w:tcBorders>
            <w:vAlign w:val="center"/>
          </w:tcPr>
          <w:p w14:paraId="187A5A7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0.76%</w:t>
            </w:r>
          </w:p>
        </w:tc>
        <w:tc>
          <w:tcPr>
            <w:tcW w:w="1559" w:type="dxa"/>
            <w:tcBorders>
              <w:left w:val="single" w:sz="4" w:space="0" w:color="auto"/>
            </w:tcBorders>
            <w:noWrap/>
            <w:vAlign w:val="center"/>
            <w:hideMark/>
          </w:tcPr>
          <w:p w14:paraId="28EC94B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33</w:t>
            </w:r>
          </w:p>
        </w:tc>
        <w:tc>
          <w:tcPr>
            <w:tcW w:w="1008" w:type="dxa"/>
            <w:tcBorders>
              <w:right w:val="single" w:sz="4" w:space="0" w:color="auto"/>
            </w:tcBorders>
            <w:vAlign w:val="center"/>
          </w:tcPr>
          <w:p w14:paraId="171301E3"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0.45%</w:t>
            </w:r>
          </w:p>
        </w:tc>
        <w:tc>
          <w:tcPr>
            <w:tcW w:w="1560" w:type="dxa"/>
            <w:tcBorders>
              <w:left w:val="single" w:sz="4" w:space="0" w:color="auto"/>
            </w:tcBorders>
            <w:noWrap/>
            <w:vAlign w:val="center"/>
            <w:hideMark/>
          </w:tcPr>
          <w:p w14:paraId="4F3C122B"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15</w:t>
            </w:r>
          </w:p>
        </w:tc>
        <w:tc>
          <w:tcPr>
            <w:tcW w:w="928" w:type="dxa"/>
            <w:tcBorders>
              <w:right w:val="single" w:sz="4" w:space="0" w:color="auto"/>
            </w:tcBorders>
            <w:vAlign w:val="center"/>
          </w:tcPr>
          <w:p w14:paraId="4E91D80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0.20%</w:t>
            </w:r>
          </w:p>
        </w:tc>
        <w:tc>
          <w:tcPr>
            <w:tcW w:w="1701" w:type="dxa"/>
            <w:tcBorders>
              <w:left w:val="single" w:sz="4" w:space="0" w:color="auto"/>
              <w:right w:val="nil"/>
            </w:tcBorders>
            <w:noWrap/>
            <w:vAlign w:val="center"/>
            <w:hideMark/>
          </w:tcPr>
          <w:p w14:paraId="4C189D2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18</w:t>
            </w:r>
          </w:p>
        </w:tc>
        <w:tc>
          <w:tcPr>
            <w:tcW w:w="1061" w:type="dxa"/>
            <w:tcBorders>
              <w:left w:val="nil"/>
              <w:right w:val="single" w:sz="4" w:space="0" w:color="auto"/>
            </w:tcBorders>
            <w:vAlign w:val="center"/>
          </w:tcPr>
          <w:p w14:paraId="675154C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0.24%</w:t>
            </w:r>
          </w:p>
        </w:tc>
        <w:tc>
          <w:tcPr>
            <w:tcW w:w="1300" w:type="dxa"/>
            <w:tcBorders>
              <w:left w:val="single" w:sz="4" w:space="0" w:color="auto"/>
            </w:tcBorders>
            <w:vAlign w:val="center"/>
          </w:tcPr>
          <w:p w14:paraId="362F3DC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89</w:t>
            </w:r>
          </w:p>
        </w:tc>
        <w:tc>
          <w:tcPr>
            <w:tcW w:w="1008" w:type="dxa"/>
            <w:tcBorders>
              <w:right w:val="single" w:sz="4" w:space="0" w:color="auto"/>
            </w:tcBorders>
            <w:vAlign w:val="center"/>
          </w:tcPr>
          <w:p w14:paraId="4D62A89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1.21%</w:t>
            </w:r>
          </w:p>
        </w:tc>
      </w:tr>
      <w:tr w:rsidR="006C6B06" w:rsidRPr="00333B81" w14:paraId="3D2582E8"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1C904606"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Police</w:t>
            </w:r>
          </w:p>
        </w:tc>
        <w:tc>
          <w:tcPr>
            <w:tcW w:w="1417" w:type="dxa"/>
            <w:tcBorders>
              <w:left w:val="single" w:sz="4" w:space="0" w:color="auto"/>
            </w:tcBorders>
            <w:noWrap/>
            <w:vAlign w:val="center"/>
            <w:hideMark/>
          </w:tcPr>
          <w:p w14:paraId="65DB117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1,207</w:t>
            </w:r>
          </w:p>
        </w:tc>
        <w:tc>
          <w:tcPr>
            <w:tcW w:w="1008" w:type="dxa"/>
            <w:tcBorders>
              <w:right w:val="single" w:sz="4" w:space="0" w:color="auto"/>
            </w:tcBorders>
            <w:vAlign w:val="center"/>
          </w:tcPr>
          <w:p w14:paraId="203A18C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16.43%</w:t>
            </w:r>
          </w:p>
        </w:tc>
        <w:tc>
          <w:tcPr>
            <w:tcW w:w="1559" w:type="dxa"/>
            <w:tcBorders>
              <w:left w:val="single" w:sz="4" w:space="0" w:color="auto"/>
            </w:tcBorders>
            <w:noWrap/>
            <w:vAlign w:val="center"/>
            <w:hideMark/>
          </w:tcPr>
          <w:p w14:paraId="6FD4C77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1,573</w:t>
            </w:r>
          </w:p>
        </w:tc>
        <w:tc>
          <w:tcPr>
            <w:tcW w:w="1008" w:type="dxa"/>
            <w:tcBorders>
              <w:right w:val="single" w:sz="4" w:space="0" w:color="auto"/>
            </w:tcBorders>
            <w:vAlign w:val="center"/>
          </w:tcPr>
          <w:p w14:paraId="50F4AC7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21.41%</w:t>
            </w:r>
          </w:p>
        </w:tc>
        <w:tc>
          <w:tcPr>
            <w:tcW w:w="1560" w:type="dxa"/>
            <w:tcBorders>
              <w:left w:val="single" w:sz="4" w:space="0" w:color="auto"/>
            </w:tcBorders>
            <w:noWrap/>
            <w:vAlign w:val="center"/>
            <w:hideMark/>
          </w:tcPr>
          <w:p w14:paraId="55885C44"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689</w:t>
            </w:r>
          </w:p>
        </w:tc>
        <w:tc>
          <w:tcPr>
            <w:tcW w:w="928" w:type="dxa"/>
            <w:tcBorders>
              <w:right w:val="single" w:sz="4" w:space="0" w:color="auto"/>
            </w:tcBorders>
            <w:vAlign w:val="center"/>
          </w:tcPr>
          <w:p w14:paraId="6B48882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9.38%</w:t>
            </w:r>
          </w:p>
        </w:tc>
        <w:tc>
          <w:tcPr>
            <w:tcW w:w="1701" w:type="dxa"/>
            <w:tcBorders>
              <w:left w:val="single" w:sz="4" w:space="0" w:color="auto"/>
            </w:tcBorders>
            <w:noWrap/>
            <w:vAlign w:val="center"/>
            <w:hideMark/>
          </w:tcPr>
          <w:p w14:paraId="589C05C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884</w:t>
            </w:r>
          </w:p>
        </w:tc>
        <w:tc>
          <w:tcPr>
            <w:tcW w:w="1061" w:type="dxa"/>
            <w:tcBorders>
              <w:right w:val="single" w:sz="4" w:space="0" w:color="auto"/>
            </w:tcBorders>
            <w:vAlign w:val="center"/>
          </w:tcPr>
          <w:p w14:paraId="74967363"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12.03%</w:t>
            </w:r>
          </w:p>
        </w:tc>
        <w:tc>
          <w:tcPr>
            <w:tcW w:w="1300" w:type="dxa"/>
            <w:tcBorders>
              <w:left w:val="single" w:sz="4" w:space="0" w:color="auto"/>
            </w:tcBorders>
            <w:vAlign w:val="center"/>
          </w:tcPr>
          <w:p w14:paraId="4AD5A3D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2,780</w:t>
            </w:r>
          </w:p>
        </w:tc>
        <w:tc>
          <w:tcPr>
            <w:tcW w:w="1008" w:type="dxa"/>
            <w:tcBorders>
              <w:right w:val="single" w:sz="4" w:space="0" w:color="auto"/>
            </w:tcBorders>
            <w:vAlign w:val="center"/>
          </w:tcPr>
          <w:p w14:paraId="00FB20C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37.84%</w:t>
            </w:r>
          </w:p>
        </w:tc>
      </w:tr>
      <w:tr w:rsidR="006C6B06" w:rsidRPr="00333B81" w14:paraId="7ED04B86"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631BC77C"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Pr>
                <w:rFonts w:eastAsia="Times New Roman" w:cs="Arial"/>
                <w:color w:val="auto"/>
                <w:sz w:val="20"/>
                <w:szCs w:val="20"/>
                <w:lang w:eastAsia="en-AU"/>
              </w:rPr>
              <w:t>School personnel</w:t>
            </w:r>
          </w:p>
        </w:tc>
        <w:tc>
          <w:tcPr>
            <w:tcW w:w="1417" w:type="dxa"/>
            <w:tcBorders>
              <w:left w:val="single" w:sz="4" w:space="0" w:color="auto"/>
            </w:tcBorders>
            <w:noWrap/>
            <w:vAlign w:val="center"/>
            <w:hideMark/>
          </w:tcPr>
          <w:p w14:paraId="3BC0D71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640</w:t>
            </w:r>
          </w:p>
        </w:tc>
        <w:tc>
          <w:tcPr>
            <w:tcW w:w="1008" w:type="dxa"/>
            <w:tcBorders>
              <w:right w:val="single" w:sz="4" w:space="0" w:color="auto"/>
            </w:tcBorders>
            <w:vAlign w:val="center"/>
          </w:tcPr>
          <w:p w14:paraId="700918B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8.71%</w:t>
            </w:r>
          </w:p>
        </w:tc>
        <w:tc>
          <w:tcPr>
            <w:tcW w:w="1559" w:type="dxa"/>
            <w:tcBorders>
              <w:left w:val="single" w:sz="4" w:space="0" w:color="auto"/>
            </w:tcBorders>
            <w:noWrap/>
            <w:vAlign w:val="center"/>
            <w:hideMark/>
          </w:tcPr>
          <w:p w14:paraId="28056877"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361</w:t>
            </w:r>
          </w:p>
        </w:tc>
        <w:tc>
          <w:tcPr>
            <w:tcW w:w="1008" w:type="dxa"/>
            <w:tcBorders>
              <w:right w:val="single" w:sz="4" w:space="0" w:color="auto"/>
            </w:tcBorders>
            <w:vAlign w:val="center"/>
          </w:tcPr>
          <w:p w14:paraId="7285642F"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4.91%</w:t>
            </w:r>
          </w:p>
        </w:tc>
        <w:tc>
          <w:tcPr>
            <w:tcW w:w="1560" w:type="dxa"/>
            <w:tcBorders>
              <w:left w:val="single" w:sz="4" w:space="0" w:color="auto"/>
            </w:tcBorders>
            <w:noWrap/>
            <w:vAlign w:val="center"/>
            <w:hideMark/>
          </w:tcPr>
          <w:p w14:paraId="02615FCE"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124</w:t>
            </w:r>
          </w:p>
        </w:tc>
        <w:tc>
          <w:tcPr>
            <w:tcW w:w="928" w:type="dxa"/>
            <w:tcBorders>
              <w:right w:val="single" w:sz="4" w:space="0" w:color="auto"/>
            </w:tcBorders>
            <w:vAlign w:val="center"/>
          </w:tcPr>
          <w:p w14:paraId="6CA517B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1.69%</w:t>
            </w:r>
          </w:p>
        </w:tc>
        <w:tc>
          <w:tcPr>
            <w:tcW w:w="1701" w:type="dxa"/>
            <w:tcBorders>
              <w:left w:val="single" w:sz="4" w:space="0" w:color="auto"/>
              <w:right w:val="nil"/>
            </w:tcBorders>
            <w:noWrap/>
            <w:vAlign w:val="center"/>
            <w:hideMark/>
          </w:tcPr>
          <w:p w14:paraId="148B6B9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237</w:t>
            </w:r>
          </w:p>
        </w:tc>
        <w:tc>
          <w:tcPr>
            <w:tcW w:w="1061" w:type="dxa"/>
            <w:tcBorders>
              <w:left w:val="nil"/>
              <w:right w:val="single" w:sz="4" w:space="0" w:color="auto"/>
            </w:tcBorders>
            <w:vAlign w:val="center"/>
          </w:tcPr>
          <w:p w14:paraId="43ABAC4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3.23%</w:t>
            </w:r>
          </w:p>
        </w:tc>
        <w:tc>
          <w:tcPr>
            <w:tcW w:w="1300" w:type="dxa"/>
            <w:tcBorders>
              <w:left w:val="single" w:sz="4" w:space="0" w:color="auto"/>
            </w:tcBorders>
            <w:vAlign w:val="center"/>
          </w:tcPr>
          <w:p w14:paraId="2BFC84D2"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1,001</w:t>
            </w:r>
          </w:p>
        </w:tc>
        <w:tc>
          <w:tcPr>
            <w:tcW w:w="1008" w:type="dxa"/>
            <w:tcBorders>
              <w:right w:val="single" w:sz="4" w:space="0" w:color="auto"/>
            </w:tcBorders>
            <w:vAlign w:val="center"/>
          </w:tcPr>
          <w:p w14:paraId="1180372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13.62%</w:t>
            </w:r>
          </w:p>
        </w:tc>
      </w:tr>
      <w:tr w:rsidR="006C6B06" w:rsidRPr="00333B81" w14:paraId="5490AE5C"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hideMark/>
          </w:tcPr>
          <w:p w14:paraId="17EE3FA7" w14:textId="77777777" w:rsidR="006C6B06" w:rsidRPr="00333B81" w:rsidRDefault="006C6B06"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Psychiatrists</w:t>
            </w:r>
          </w:p>
        </w:tc>
        <w:tc>
          <w:tcPr>
            <w:tcW w:w="1417" w:type="dxa"/>
            <w:tcBorders>
              <w:left w:val="single" w:sz="4" w:space="0" w:color="auto"/>
            </w:tcBorders>
            <w:noWrap/>
            <w:vAlign w:val="center"/>
            <w:hideMark/>
          </w:tcPr>
          <w:p w14:paraId="2A0CB9C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w:t>
            </w:r>
          </w:p>
        </w:tc>
        <w:tc>
          <w:tcPr>
            <w:tcW w:w="1008" w:type="dxa"/>
            <w:tcBorders>
              <w:right w:val="single" w:sz="4" w:space="0" w:color="auto"/>
            </w:tcBorders>
            <w:vAlign w:val="center"/>
          </w:tcPr>
          <w:p w14:paraId="453F74B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0.14%</w:t>
            </w:r>
          </w:p>
        </w:tc>
        <w:tc>
          <w:tcPr>
            <w:tcW w:w="1559" w:type="dxa"/>
            <w:tcBorders>
              <w:left w:val="single" w:sz="4" w:space="0" w:color="auto"/>
            </w:tcBorders>
            <w:noWrap/>
            <w:vAlign w:val="center"/>
            <w:hideMark/>
          </w:tcPr>
          <w:p w14:paraId="2E6D422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8</w:t>
            </w:r>
          </w:p>
        </w:tc>
        <w:tc>
          <w:tcPr>
            <w:tcW w:w="1008" w:type="dxa"/>
            <w:tcBorders>
              <w:right w:val="single" w:sz="4" w:space="0" w:color="auto"/>
            </w:tcBorders>
            <w:vAlign w:val="center"/>
          </w:tcPr>
          <w:p w14:paraId="308FE2C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0.11%</w:t>
            </w:r>
          </w:p>
        </w:tc>
        <w:tc>
          <w:tcPr>
            <w:tcW w:w="1560" w:type="dxa"/>
            <w:tcBorders>
              <w:left w:val="single" w:sz="4" w:space="0" w:color="auto"/>
            </w:tcBorders>
            <w:noWrap/>
            <w:vAlign w:val="center"/>
            <w:hideMark/>
          </w:tcPr>
          <w:p w14:paraId="1AFBDBD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w:t>
            </w:r>
          </w:p>
        </w:tc>
        <w:tc>
          <w:tcPr>
            <w:tcW w:w="928" w:type="dxa"/>
            <w:tcBorders>
              <w:right w:val="single" w:sz="4" w:space="0" w:color="auto"/>
            </w:tcBorders>
            <w:vAlign w:val="center"/>
          </w:tcPr>
          <w:p w14:paraId="4B2E7285"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0.01%</w:t>
            </w:r>
          </w:p>
        </w:tc>
        <w:tc>
          <w:tcPr>
            <w:tcW w:w="1701" w:type="dxa"/>
            <w:tcBorders>
              <w:left w:val="single" w:sz="4" w:space="0" w:color="auto"/>
            </w:tcBorders>
            <w:noWrap/>
            <w:vAlign w:val="center"/>
            <w:hideMark/>
          </w:tcPr>
          <w:p w14:paraId="4FEC2BD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7</w:t>
            </w:r>
          </w:p>
        </w:tc>
        <w:tc>
          <w:tcPr>
            <w:tcW w:w="1061" w:type="dxa"/>
            <w:tcBorders>
              <w:right w:val="single" w:sz="4" w:space="0" w:color="auto"/>
            </w:tcBorders>
            <w:vAlign w:val="center"/>
          </w:tcPr>
          <w:p w14:paraId="325B851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0.10%</w:t>
            </w:r>
          </w:p>
        </w:tc>
        <w:tc>
          <w:tcPr>
            <w:tcW w:w="1300" w:type="dxa"/>
            <w:tcBorders>
              <w:left w:val="single" w:sz="4" w:space="0" w:color="auto"/>
            </w:tcBorders>
            <w:vAlign w:val="center"/>
          </w:tcPr>
          <w:p w14:paraId="7C0CB776"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18</w:t>
            </w:r>
          </w:p>
        </w:tc>
        <w:tc>
          <w:tcPr>
            <w:tcW w:w="1008" w:type="dxa"/>
            <w:tcBorders>
              <w:right w:val="single" w:sz="4" w:space="0" w:color="auto"/>
            </w:tcBorders>
            <w:vAlign w:val="center"/>
          </w:tcPr>
          <w:p w14:paraId="0EE7255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0.24%</w:t>
            </w:r>
          </w:p>
        </w:tc>
      </w:tr>
      <w:tr w:rsidR="006C6B06" w:rsidRPr="00333B81" w14:paraId="169D0E61" w14:textId="77777777" w:rsidTr="00B349CA">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4D7DCFE5"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Major mandated reporter groups combined</w:t>
            </w:r>
          </w:p>
        </w:tc>
        <w:tc>
          <w:tcPr>
            <w:tcW w:w="1417" w:type="dxa"/>
            <w:tcBorders>
              <w:left w:val="single" w:sz="4" w:space="0" w:color="auto"/>
            </w:tcBorders>
            <w:noWrap/>
            <w:vAlign w:val="center"/>
            <w:hideMark/>
          </w:tcPr>
          <w:p w14:paraId="6E9D612D"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2,074</w:t>
            </w:r>
          </w:p>
        </w:tc>
        <w:tc>
          <w:tcPr>
            <w:tcW w:w="1008" w:type="dxa"/>
            <w:tcBorders>
              <w:right w:val="single" w:sz="4" w:space="0" w:color="auto"/>
            </w:tcBorders>
            <w:vAlign w:val="center"/>
          </w:tcPr>
          <w:p w14:paraId="26A5E52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28.23%</w:t>
            </w:r>
          </w:p>
        </w:tc>
        <w:tc>
          <w:tcPr>
            <w:tcW w:w="1559" w:type="dxa"/>
            <w:tcBorders>
              <w:left w:val="single" w:sz="4" w:space="0" w:color="auto"/>
            </w:tcBorders>
            <w:noWrap/>
            <w:vAlign w:val="center"/>
            <w:hideMark/>
          </w:tcPr>
          <w:p w14:paraId="4554A890"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2,042</w:t>
            </w:r>
          </w:p>
        </w:tc>
        <w:tc>
          <w:tcPr>
            <w:tcW w:w="1008" w:type="dxa"/>
            <w:tcBorders>
              <w:right w:val="single" w:sz="4" w:space="0" w:color="auto"/>
            </w:tcBorders>
            <w:vAlign w:val="center"/>
          </w:tcPr>
          <w:p w14:paraId="5BD37A45"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27.79%</w:t>
            </w:r>
          </w:p>
        </w:tc>
        <w:tc>
          <w:tcPr>
            <w:tcW w:w="1560" w:type="dxa"/>
            <w:tcBorders>
              <w:left w:val="single" w:sz="4" w:space="0" w:color="auto"/>
            </w:tcBorders>
            <w:noWrap/>
            <w:vAlign w:val="center"/>
            <w:hideMark/>
          </w:tcPr>
          <w:p w14:paraId="5B06A0BA"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863</w:t>
            </w:r>
          </w:p>
        </w:tc>
        <w:tc>
          <w:tcPr>
            <w:tcW w:w="928" w:type="dxa"/>
            <w:tcBorders>
              <w:right w:val="single" w:sz="4" w:space="0" w:color="auto"/>
            </w:tcBorders>
            <w:vAlign w:val="center"/>
          </w:tcPr>
          <w:p w14:paraId="2850DC7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11.75%</w:t>
            </w:r>
          </w:p>
        </w:tc>
        <w:tc>
          <w:tcPr>
            <w:tcW w:w="1701" w:type="dxa"/>
            <w:tcBorders>
              <w:left w:val="single" w:sz="4" w:space="0" w:color="auto"/>
              <w:right w:val="nil"/>
            </w:tcBorders>
            <w:noWrap/>
            <w:vAlign w:val="center"/>
            <w:hideMark/>
          </w:tcPr>
          <w:p w14:paraId="41273D84"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1,179</w:t>
            </w:r>
          </w:p>
        </w:tc>
        <w:tc>
          <w:tcPr>
            <w:tcW w:w="1061" w:type="dxa"/>
            <w:tcBorders>
              <w:left w:val="nil"/>
              <w:right w:val="single" w:sz="4" w:space="0" w:color="auto"/>
            </w:tcBorders>
            <w:vAlign w:val="center"/>
          </w:tcPr>
          <w:p w14:paraId="196FBAD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16.05%</w:t>
            </w:r>
          </w:p>
        </w:tc>
        <w:tc>
          <w:tcPr>
            <w:tcW w:w="1300" w:type="dxa"/>
            <w:tcBorders>
              <w:left w:val="single" w:sz="4" w:space="0" w:color="auto"/>
            </w:tcBorders>
            <w:vAlign w:val="center"/>
          </w:tcPr>
          <w:p w14:paraId="6E5F5AF6"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4,116</w:t>
            </w:r>
          </w:p>
        </w:tc>
        <w:tc>
          <w:tcPr>
            <w:tcW w:w="1008" w:type="dxa"/>
            <w:tcBorders>
              <w:right w:val="single" w:sz="4" w:space="0" w:color="auto"/>
            </w:tcBorders>
            <w:vAlign w:val="center"/>
          </w:tcPr>
          <w:p w14:paraId="5B318A8C" w14:textId="77777777" w:rsidR="006C6B06" w:rsidRPr="00333B81" w:rsidRDefault="006C6B06"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sidRPr="00333B81">
              <w:rPr>
                <w:color w:val="auto"/>
                <w:sz w:val="20"/>
                <w:szCs w:val="20"/>
              </w:rPr>
              <w:t>56.02%</w:t>
            </w:r>
          </w:p>
        </w:tc>
      </w:tr>
      <w:tr w:rsidR="006C6B06" w:rsidRPr="00333B81" w14:paraId="0DC6D9F2" w14:textId="77777777" w:rsidTr="00B349C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right w:val="single" w:sz="4" w:space="0" w:color="auto"/>
            </w:tcBorders>
            <w:noWrap/>
            <w:vAlign w:val="center"/>
            <w:hideMark/>
          </w:tcPr>
          <w:p w14:paraId="223D59D6" w14:textId="77777777" w:rsidR="006C6B06" w:rsidRPr="006C6B06" w:rsidRDefault="006C6B06" w:rsidP="00CE2FDF">
            <w:pPr>
              <w:tabs>
                <w:tab w:val="left" w:pos="1134"/>
              </w:tabs>
              <w:spacing w:before="0" w:line="276" w:lineRule="auto"/>
              <w:rPr>
                <w:rFonts w:ascii="Calibri" w:hAnsi="Calibri" w:cs="Arial"/>
                <w:color w:val="000000"/>
                <w:sz w:val="20"/>
              </w:rPr>
            </w:pPr>
            <w:r w:rsidRPr="006C6B06">
              <w:rPr>
                <w:rFonts w:ascii="Calibri" w:hAnsi="Calibri" w:cs="Arial"/>
                <w:color w:val="000000"/>
                <w:sz w:val="20"/>
              </w:rPr>
              <w:t>Other reporter groups combined</w:t>
            </w:r>
          </w:p>
        </w:tc>
        <w:tc>
          <w:tcPr>
            <w:tcW w:w="1417" w:type="dxa"/>
            <w:tcBorders>
              <w:left w:val="single" w:sz="4" w:space="0" w:color="auto"/>
            </w:tcBorders>
            <w:noWrap/>
            <w:vAlign w:val="center"/>
            <w:hideMark/>
          </w:tcPr>
          <w:p w14:paraId="26AC1BDE"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1,829</w:t>
            </w:r>
          </w:p>
        </w:tc>
        <w:tc>
          <w:tcPr>
            <w:tcW w:w="1008" w:type="dxa"/>
            <w:tcBorders>
              <w:right w:val="single" w:sz="4" w:space="0" w:color="auto"/>
            </w:tcBorders>
            <w:vAlign w:val="center"/>
          </w:tcPr>
          <w:p w14:paraId="33B5E52C"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24.89%</w:t>
            </w:r>
          </w:p>
        </w:tc>
        <w:tc>
          <w:tcPr>
            <w:tcW w:w="1559" w:type="dxa"/>
            <w:tcBorders>
              <w:left w:val="single" w:sz="4" w:space="0" w:color="auto"/>
            </w:tcBorders>
            <w:noWrap/>
            <w:vAlign w:val="center"/>
            <w:hideMark/>
          </w:tcPr>
          <w:p w14:paraId="6425946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1,402</w:t>
            </w:r>
          </w:p>
        </w:tc>
        <w:tc>
          <w:tcPr>
            <w:tcW w:w="1008" w:type="dxa"/>
            <w:tcBorders>
              <w:right w:val="single" w:sz="4" w:space="0" w:color="auto"/>
            </w:tcBorders>
            <w:vAlign w:val="center"/>
          </w:tcPr>
          <w:p w14:paraId="10BC6328"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19.08%</w:t>
            </w:r>
          </w:p>
        </w:tc>
        <w:tc>
          <w:tcPr>
            <w:tcW w:w="1560" w:type="dxa"/>
            <w:tcBorders>
              <w:left w:val="single" w:sz="4" w:space="0" w:color="auto"/>
            </w:tcBorders>
            <w:noWrap/>
            <w:vAlign w:val="center"/>
            <w:hideMark/>
          </w:tcPr>
          <w:p w14:paraId="2634C089"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600</w:t>
            </w:r>
          </w:p>
        </w:tc>
        <w:tc>
          <w:tcPr>
            <w:tcW w:w="928" w:type="dxa"/>
            <w:tcBorders>
              <w:right w:val="single" w:sz="4" w:space="0" w:color="auto"/>
            </w:tcBorders>
            <w:vAlign w:val="center"/>
          </w:tcPr>
          <w:p w14:paraId="50CB1ACA"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8.17%</w:t>
            </w:r>
          </w:p>
        </w:tc>
        <w:tc>
          <w:tcPr>
            <w:tcW w:w="1701" w:type="dxa"/>
            <w:tcBorders>
              <w:left w:val="single" w:sz="4" w:space="0" w:color="auto"/>
            </w:tcBorders>
            <w:noWrap/>
            <w:vAlign w:val="center"/>
            <w:hideMark/>
          </w:tcPr>
          <w:p w14:paraId="1ACF9B1D"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802</w:t>
            </w:r>
          </w:p>
        </w:tc>
        <w:tc>
          <w:tcPr>
            <w:tcW w:w="1061" w:type="dxa"/>
            <w:tcBorders>
              <w:right w:val="single" w:sz="4" w:space="0" w:color="auto"/>
            </w:tcBorders>
            <w:vAlign w:val="center"/>
          </w:tcPr>
          <w:p w14:paraId="297E784F"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10.92%</w:t>
            </w:r>
          </w:p>
        </w:tc>
        <w:tc>
          <w:tcPr>
            <w:tcW w:w="1300" w:type="dxa"/>
            <w:tcBorders>
              <w:left w:val="single" w:sz="4" w:space="0" w:color="auto"/>
            </w:tcBorders>
            <w:vAlign w:val="center"/>
          </w:tcPr>
          <w:p w14:paraId="73DA4131"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3,231</w:t>
            </w:r>
          </w:p>
        </w:tc>
        <w:tc>
          <w:tcPr>
            <w:tcW w:w="1008" w:type="dxa"/>
            <w:tcBorders>
              <w:right w:val="single" w:sz="4" w:space="0" w:color="auto"/>
            </w:tcBorders>
            <w:vAlign w:val="center"/>
          </w:tcPr>
          <w:p w14:paraId="1703F47B" w14:textId="77777777" w:rsidR="006C6B06" w:rsidRPr="00333B81" w:rsidRDefault="006C6B06"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sidRPr="00333B81">
              <w:rPr>
                <w:color w:val="auto"/>
                <w:sz w:val="20"/>
                <w:szCs w:val="20"/>
              </w:rPr>
              <w:t>43.98%</w:t>
            </w:r>
          </w:p>
        </w:tc>
      </w:tr>
      <w:tr w:rsidR="006C6B06" w:rsidRPr="00333B81" w14:paraId="58F80A9B" w14:textId="77777777" w:rsidTr="001136C3">
        <w:trPr>
          <w:trHeight w:val="276"/>
        </w:trPr>
        <w:tc>
          <w:tcPr>
            <w:cnfStyle w:val="001000000000" w:firstRow="0" w:lastRow="0" w:firstColumn="1" w:lastColumn="0" w:oddVBand="0" w:evenVBand="0" w:oddHBand="0" w:evenHBand="0" w:firstRowFirstColumn="0" w:firstRowLastColumn="0" w:lastRowFirstColumn="0" w:lastRowLastColumn="0"/>
            <w:tcW w:w="2236" w:type="dxa"/>
            <w:tcBorders>
              <w:left w:val="single" w:sz="4" w:space="0" w:color="auto"/>
              <w:bottom w:val="single" w:sz="4" w:space="0" w:color="auto"/>
              <w:right w:val="single" w:sz="4" w:space="0" w:color="auto"/>
            </w:tcBorders>
            <w:noWrap/>
            <w:hideMark/>
          </w:tcPr>
          <w:p w14:paraId="20A3C26D"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Totals</w:t>
            </w:r>
          </w:p>
        </w:tc>
        <w:tc>
          <w:tcPr>
            <w:tcW w:w="1417" w:type="dxa"/>
            <w:tcBorders>
              <w:left w:val="single" w:sz="4" w:space="0" w:color="auto"/>
              <w:bottom w:val="single" w:sz="4" w:space="0" w:color="auto"/>
            </w:tcBorders>
            <w:noWrap/>
            <w:vAlign w:val="center"/>
            <w:hideMark/>
          </w:tcPr>
          <w:p w14:paraId="45669B33"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3,903</w:t>
            </w:r>
          </w:p>
        </w:tc>
        <w:tc>
          <w:tcPr>
            <w:tcW w:w="1008" w:type="dxa"/>
            <w:tcBorders>
              <w:bottom w:val="single" w:sz="4" w:space="0" w:color="auto"/>
              <w:right w:val="single" w:sz="4" w:space="0" w:color="auto"/>
            </w:tcBorders>
            <w:vAlign w:val="center"/>
          </w:tcPr>
          <w:p w14:paraId="0C5CD7EF"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53.12%</w:t>
            </w:r>
          </w:p>
        </w:tc>
        <w:tc>
          <w:tcPr>
            <w:tcW w:w="1559" w:type="dxa"/>
            <w:tcBorders>
              <w:left w:val="single" w:sz="4" w:space="0" w:color="auto"/>
              <w:bottom w:val="single" w:sz="4" w:space="0" w:color="auto"/>
            </w:tcBorders>
            <w:noWrap/>
            <w:vAlign w:val="center"/>
            <w:hideMark/>
          </w:tcPr>
          <w:p w14:paraId="60D4AE95"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3,444</w:t>
            </w:r>
          </w:p>
        </w:tc>
        <w:tc>
          <w:tcPr>
            <w:tcW w:w="1008" w:type="dxa"/>
            <w:tcBorders>
              <w:bottom w:val="single" w:sz="4" w:space="0" w:color="auto"/>
              <w:right w:val="single" w:sz="4" w:space="0" w:color="auto"/>
            </w:tcBorders>
            <w:vAlign w:val="center"/>
          </w:tcPr>
          <w:p w14:paraId="5A3A8443"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46.88%</w:t>
            </w:r>
          </w:p>
        </w:tc>
        <w:tc>
          <w:tcPr>
            <w:tcW w:w="1560" w:type="dxa"/>
            <w:tcBorders>
              <w:left w:val="single" w:sz="4" w:space="0" w:color="auto"/>
              <w:bottom w:val="single" w:sz="4" w:space="0" w:color="auto"/>
            </w:tcBorders>
            <w:noWrap/>
            <w:vAlign w:val="center"/>
            <w:hideMark/>
          </w:tcPr>
          <w:p w14:paraId="11F0DB0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1,463</w:t>
            </w:r>
          </w:p>
        </w:tc>
        <w:tc>
          <w:tcPr>
            <w:tcW w:w="928" w:type="dxa"/>
            <w:tcBorders>
              <w:bottom w:val="single" w:sz="4" w:space="0" w:color="auto"/>
              <w:right w:val="single" w:sz="4" w:space="0" w:color="auto"/>
            </w:tcBorders>
            <w:vAlign w:val="center"/>
          </w:tcPr>
          <w:p w14:paraId="600F697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19.91%</w:t>
            </w:r>
          </w:p>
        </w:tc>
        <w:tc>
          <w:tcPr>
            <w:tcW w:w="1701" w:type="dxa"/>
            <w:tcBorders>
              <w:left w:val="single" w:sz="4" w:space="0" w:color="auto"/>
              <w:bottom w:val="single" w:sz="4" w:space="0" w:color="auto"/>
              <w:right w:val="nil"/>
            </w:tcBorders>
            <w:noWrap/>
            <w:vAlign w:val="center"/>
            <w:hideMark/>
          </w:tcPr>
          <w:p w14:paraId="4A4DF6D6"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1,981</w:t>
            </w:r>
          </w:p>
        </w:tc>
        <w:tc>
          <w:tcPr>
            <w:tcW w:w="1061" w:type="dxa"/>
            <w:tcBorders>
              <w:left w:val="nil"/>
              <w:bottom w:val="single" w:sz="4" w:space="0" w:color="auto"/>
              <w:right w:val="single" w:sz="4" w:space="0" w:color="auto"/>
            </w:tcBorders>
            <w:vAlign w:val="center"/>
          </w:tcPr>
          <w:p w14:paraId="2C034C35"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sz w:val="20"/>
                <w:szCs w:val="20"/>
              </w:rPr>
            </w:pPr>
            <w:r w:rsidRPr="00333B81">
              <w:rPr>
                <w:b/>
                <w:color w:val="auto"/>
                <w:sz w:val="20"/>
                <w:szCs w:val="20"/>
              </w:rPr>
              <w:t>26.96%</w:t>
            </w:r>
          </w:p>
        </w:tc>
        <w:tc>
          <w:tcPr>
            <w:tcW w:w="1300" w:type="dxa"/>
            <w:tcBorders>
              <w:left w:val="single" w:sz="4" w:space="0" w:color="auto"/>
              <w:bottom w:val="single" w:sz="4" w:space="0" w:color="auto"/>
            </w:tcBorders>
            <w:vAlign w:val="center"/>
          </w:tcPr>
          <w:p w14:paraId="158F4647"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7,347</w:t>
            </w:r>
          </w:p>
        </w:tc>
        <w:tc>
          <w:tcPr>
            <w:tcW w:w="1008" w:type="dxa"/>
            <w:tcBorders>
              <w:bottom w:val="single" w:sz="4" w:space="0" w:color="auto"/>
              <w:right w:val="single" w:sz="4" w:space="0" w:color="auto"/>
            </w:tcBorders>
            <w:vAlign w:val="center"/>
          </w:tcPr>
          <w:p w14:paraId="3487CE09" w14:textId="77777777" w:rsidR="00333B81" w:rsidRPr="00333B81" w:rsidRDefault="00333B81"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333B81">
              <w:rPr>
                <w:b/>
                <w:bCs/>
                <w:color w:val="auto"/>
                <w:sz w:val="20"/>
                <w:szCs w:val="20"/>
              </w:rPr>
              <w:t>15.00%</w:t>
            </w:r>
          </w:p>
        </w:tc>
      </w:tr>
      <w:tr w:rsidR="002418F8" w:rsidRPr="00333B81" w14:paraId="574F50FA" w14:textId="77777777" w:rsidTr="001136C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236" w:type="dxa"/>
            <w:tcBorders>
              <w:top w:val="single" w:sz="4" w:space="0" w:color="auto"/>
              <w:left w:val="single" w:sz="4" w:space="0" w:color="auto"/>
              <w:bottom w:val="single" w:sz="4" w:space="0" w:color="auto"/>
              <w:right w:val="single" w:sz="4" w:space="0" w:color="auto"/>
            </w:tcBorders>
            <w:noWrap/>
            <w:hideMark/>
          </w:tcPr>
          <w:p w14:paraId="3EBBC642" w14:textId="77777777" w:rsidR="00333B81" w:rsidRPr="00333B81" w:rsidRDefault="00333B81" w:rsidP="00CE2FDF">
            <w:pPr>
              <w:tabs>
                <w:tab w:val="left" w:pos="1134"/>
              </w:tabs>
              <w:spacing w:before="0" w:line="276" w:lineRule="auto"/>
              <w:rPr>
                <w:rFonts w:eastAsia="Times New Roman" w:cs="Arial"/>
                <w:color w:val="auto"/>
                <w:sz w:val="20"/>
                <w:szCs w:val="20"/>
                <w:lang w:eastAsia="en-AU"/>
              </w:rPr>
            </w:pPr>
            <w:r w:rsidRPr="00333B81">
              <w:rPr>
                <w:rFonts w:eastAsia="Times New Roman" w:cs="Arial"/>
                <w:color w:val="auto"/>
                <w:sz w:val="20"/>
                <w:szCs w:val="20"/>
                <w:lang w:eastAsia="en-AU"/>
              </w:rPr>
              <w:t>Combined Totals</w:t>
            </w:r>
          </w:p>
        </w:tc>
        <w:tc>
          <w:tcPr>
            <w:tcW w:w="1417" w:type="dxa"/>
            <w:tcBorders>
              <w:top w:val="single" w:sz="4" w:space="0" w:color="auto"/>
              <w:left w:val="single" w:sz="4" w:space="0" w:color="auto"/>
              <w:bottom w:val="single" w:sz="4" w:space="0" w:color="auto"/>
            </w:tcBorders>
            <w:noWrap/>
            <w:vAlign w:val="center"/>
            <w:hideMark/>
          </w:tcPr>
          <w:p w14:paraId="44B1A5AC"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28,790</w:t>
            </w:r>
          </w:p>
        </w:tc>
        <w:tc>
          <w:tcPr>
            <w:tcW w:w="1008" w:type="dxa"/>
            <w:tcBorders>
              <w:top w:val="single" w:sz="4" w:space="0" w:color="auto"/>
              <w:bottom w:val="single" w:sz="4" w:space="0" w:color="auto"/>
              <w:right w:val="single" w:sz="4" w:space="0" w:color="auto"/>
            </w:tcBorders>
            <w:vAlign w:val="center"/>
          </w:tcPr>
          <w:p w14:paraId="6E2D8D33"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58.79%</w:t>
            </w:r>
          </w:p>
        </w:tc>
        <w:tc>
          <w:tcPr>
            <w:tcW w:w="1559" w:type="dxa"/>
            <w:tcBorders>
              <w:top w:val="single" w:sz="4" w:space="0" w:color="auto"/>
              <w:left w:val="single" w:sz="4" w:space="0" w:color="auto"/>
              <w:bottom w:val="single" w:sz="4" w:space="0" w:color="auto"/>
            </w:tcBorders>
            <w:noWrap/>
            <w:vAlign w:val="center"/>
            <w:hideMark/>
          </w:tcPr>
          <w:p w14:paraId="648ED5EF"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20,178</w:t>
            </w:r>
          </w:p>
        </w:tc>
        <w:tc>
          <w:tcPr>
            <w:tcW w:w="1008" w:type="dxa"/>
            <w:tcBorders>
              <w:top w:val="single" w:sz="4" w:space="0" w:color="auto"/>
              <w:bottom w:val="single" w:sz="4" w:space="0" w:color="auto"/>
              <w:right w:val="single" w:sz="4" w:space="0" w:color="auto"/>
            </w:tcBorders>
            <w:vAlign w:val="center"/>
          </w:tcPr>
          <w:p w14:paraId="56B22E21"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41.21%</w:t>
            </w:r>
          </w:p>
        </w:tc>
        <w:tc>
          <w:tcPr>
            <w:tcW w:w="1560" w:type="dxa"/>
            <w:tcBorders>
              <w:top w:val="single" w:sz="4" w:space="0" w:color="auto"/>
              <w:left w:val="single" w:sz="4" w:space="0" w:color="auto"/>
              <w:bottom w:val="single" w:sz="4" w:space="0" w:color="auto"/>
            </w:tcBorders>
            <w:noWrap/>
            <w:vAlign w:val="center"/>
            <w:hideMark/>
          </w:tcPr>
          <w:p w14:paraId="0CA08EF1"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8,913</w:t>
            </w:r>
          </w:p>
        </w:tc>
        <w:tc>
          <w:tcPr>
            <w:tcW w:w="928" w:type="dxa"/>
            <w:tcBorders>
              <w:top w:val="single" w:sz="4" w:space="0" w:color="auto"/>
              <w:bottom w:val="single" w:sz="4" w:space="0" w:color="auto"/>
              <w:right w:val="single" w:sz="4" w:space="0" w:color="auto"/>
            </w:tcBorders>
            <w:vAlign w:val="center"/>
          </w:tcPr>
          <w:p w14:paraId="06987D0F"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18.20%</w:t>
            </w:r>
          </w:p>
        </w:tc>
        <w:tc>
          <w:tcPr>
            <w:tcW w:w="1701" w:type="dxa"/>
            <w:tcBorders>
              <w:top w:val="single" w:sz="4" w:space="0" w:color="auto"/>
              <w:left w:val="single" w:sz="4" w:space="0" w:color="auto"/>
              <w:bottom w:val="single" w:sz="4" w:space="0" w:color="auto"/>
            </w:tcBorders>
            <w:noWrap/>
            <w:vAlign w:val="center"/>
            <w:hideMark/>
          </w:tcPr>
          <w:p w14:paraId="23026332"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11,265</w:t>
            </w:r>
          </w:p>
        </w:tc>
        <w:tc>
          <w:tcPr>
            <w:tcW w:w="1061" w:type="dxa"/>
            <w:tcBorders>
              <w:top w:val="single" w:sz="4" w:space="0" w:color="auto"/>
              <w:bottom w:val="single" w:sz="4" w:space="0" w:color="auto"/>
              <w:right w:val="single" w:sz="4" w:space="0" w:color="auto"/>
            </w:tcBorders>
            <w:vAlign w:val="center"/>
          </w:tcPr>
          <w:p w14:paraId="2DA4383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23.00%</w:t>
            </w:r>
          </w:p>
        </w:tc>
        <w:tc>
          <w:tcPr>
            <w:tcW w:w="1300" w:type="dxa"/>
            <w:tcBorders>
              <w:top w:val="single" w:sz="4" w:space="0" w:color="auto"/>
              <w:left w:val="single" w:sz="4" w:space="0" w:color="auto"/>
              <w:bottom w:val="single" w:sz="4" w:space="0" w:color="auto"/>
            </w:tcBorders>
            <w:vAlign w:val="center"/>
          </w:tcPr>
          <w:p w14:paraId="100DD25A"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48,968</w:t>
            </w:r>
          </w:p>
        </w:tc>
        <w:tc>
          <w:tcPr>
            <w:tcW w:w="1008" w:type="dxa"/>
            <w:tcBorders>
              <w:top w:val="single" w:sz="4" w:space="0" w:color="auto"/>
              <w:bottom w:val="single" w:sz="4" w:space="0" w:color="auto"/>
              <w:right w:val="single" w:sz="4" w:space="0" w:color="auto"/>
            </w:tcBorders>
            <w:vAlign w:val="center"/>
          </w:tcPr>
          <w:p w14:paraId="7D4B92E5" w14:textId="77777777" w:rsidR="00333B81" w:rsidRPr="00333B81" w:rsidRDefault="00333B81"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333B81">
              <w:rPr>
                <w:b/>
                <w:bCs/>
                <w:color w:val="auto"/>
                <w:sz w:val="20"/>
                <w:szCs w:val="20"/>
              </w:rPr>
              <w:t> </w:t>
            </w:r>
          </w:p>
        </w:tc>
      </w:tr>
    </w:tbl>
    <w:p w14:paraId="18E27558" w14:textId="77777777" w:rsidR="00981A1C" w:rsidRDefault="00981A1C">
      <w:pPr>
        <w:spacing w:after="200" w:line="276" w:lineRule="auto"/>
      </w:pPr>
      <w:r>
        <w:br w:type="page"/>
      </w:r>
    </w:p>
    <w:p w14:paraId="42BC615F" w14:textId="2752E703" w:rsidR="002F6188" w:rsidRDefault="002F6188" w:rsidP="0095311F">
      <w:pPr>
        <w:pStyle w:val="Figureheading"/>
      </w:pPr>
      <w:r>
        <w:lastRenderedPageBreak/>
        <w:t>2.6.1</w:t>
      </w:r>
      <w:r>
        <w:tab/>
      </w:r>
      <w:r w:rsidR="002F5547">
        <w:tab/>
      </w:r>
      <w:r>
        <w:t xml:space="preserve">Number of reports by </w:t>
      </w:r>
      <w:r w:rsidR="004A1081">
        <w:t>major mandated reporter groups combined</w:t>
      </w:r>
      <w:r>
        <w:t xml:space="preserve">, by year, abuse type, and outcome </w:t>
      </w:r>
    </w:p>
    <w:tbl>
      <w:tblPr>
        <w:tblW w:w="14757" w:type="dxa"/>
        <w:tblInd w:w="93" w:type="dxa"/>
        <w:tblLayout w:type="fixed"/>
        <w:tblLook w:val="04A0" w:firstRow="1" w:lastRow="0" w:firstColumn="1" w:lastColumn="0" w:noHBand="0" w:noVBand="1"/>
        <w:tblCaption w:val="Number of reports by major mandated reporter groups combined, by year, abuse type, and outcome "/>
      </w:tblPr>
      <w:tblGrid>
        <w:gridCol w:w="2221"/>
        <w:gridCol w:w="1253"/>
        <w:gridCol w:w="1254"/>
        <w:gridCol w:w="1253"/>
        <w:gridCol w:w="1254"/>
        <w:gridCol w:w="1254"/>
        <w:gridCol w:w="1253"/>
        <w:gridCol w:w="1254"/>
        <w:gridCol w:w="1253"/>
        <w:gridCol w:w="1254"/>
        <w:gridCol w:w="1254"/>
      </w:tblGrid>
      <w:tr w:rsidR="00597B9C" w:rsidRPr="001565F1" w14:paraId="6382CC39" w14:textId="77777777" w:rsidTr="00561E4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4FF06063" w14:textId="77777777" w:rsidR="00597B9C" w:rsidRPr="001565F1" w:rsidRDefault="00597B9C" w:rsidP="00CE2FDF">
            <w:pPr>
              <w:keepNext/>
              <w:spacing w:before="0" w:line="276" w:lineRule="auto"/>
              <w:rPr>
                <w:rFonts w:eastAsia="Times New Roman" w:cs="Arial"/>
                <w:b/>
                <w:bCs/>
                <w:color w:val="000000"/>
                <w:lang w:eastAsia="en-AU"/>
              </w:rPr>
            </w:pPr>
          </w:p>
        </w:tc>
        <w:tc>
          <w:tcPr>
            <w:tcW w:w="1253" w:type="dxa"/>
            <w:tcBorders>
              <w:top w:val="single" w:sz="4" w:space="0" w:color="auto"/>
              <w:left w:val="nil"/>
              <w:bottom w:val="single" w:sz="4" w:space="0" w:color="auto"/>
              <w:right w:val="nil"/>
            </w:tcBorders>
            <w:shd w:val="clear" w:color="auto" w:fill="D9D9D9" w:themeFill="background1" w:themeFillShade="D9"/>
            <w:noWrap/>
            <w:vAlign w:val="bottom"/>
            <w:hideMark/>
          </w:tcPr>
          <w:p w14:paraId="53AE9EDD"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6D116983"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53" w:type="dxa"/>
            <w:tcBorders>
              <w:top w:val="single" w:sz="4" w:space="0" w:color="auto"/>
              <w:left w:val="nil"/>
              <w:bottom w:val="single" w:sz="4" w:space="0" w:color="auto"/>
              <w:right w:val="nil"/>
            </w:tcBorders>
            <w:shd w:val="clear" w:color="auto" w:fill="D9D9D9" w:themeFill="background1" w:themeFillShade="D9"/>
            <w:noWrap/>
            <w:vAlign w:val="bottom"/>
            <w:hideMark/>
          </w:tcPr>
          <w:p w14:paraId="5009AFA3"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1EA3F388"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12C270CA"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53" w:type="dxa"/>
            <w:tcBorders>
              <w:top w:val="single" w:sz="4" w:space="0" w:color="auto"/>
              <w:left w:val="nil"/>
              <w:bottom w:val="single" w:sz="4" w:space="0" w:color="auto"/>
              <w:right w:val="nil"/>
            </w:tcBorders>
            <w:shd w:val="clear" w:color="auto" w:fill="D9D9D9" w:themeFill="background1" w:themeFillShade="D9"/>
            <w:noWrap/>
            <w:vAlign w:val="bottom"/>
            <w:hideMark/>
          </w:tcPr>
          <w:p w14:paraId="486DBAB1"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349FF2D1"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53" w:type="dxa"/>
            <w:tcBorders>
              <w:top w:val="single" w:sz="4" w:space="0" w:color="auto"/>
              <w:left w:val="nil"/>
              <w:bottom w:val="single" w:sz="4" w:space="0" w:color="auto"/>
              <w:right w:val="nil"/>
            </w:tcBorders>
            <w:shd w:val="clear" w:color="auto" w:fill="D9D9D9" w:themeFill="background1" w:themeFillShade="D9"/>
            <w:noWrap/>
            <w:vAlign w:val="bottom"/>
            <w:hideMark/>
          </w:tcPr>
          <w:p w14:paraId="7732FF95"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7A83F827"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5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3D3E847" w14:textId="77777777" w:rsidR="00597B9C" w:rsidRPr="001565F1" w:rsidRDefault="00597B9C" w:rsidP="00CE2FDF">
            <w:pPr>
              <w:keepNext/>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597B9C" w:rsidRPr="00DA0360" w14:paraId="6841147E" w14:textId="77777777" w:rsidTr="00561E4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2BE19E25" w14:textId="77777777" w:rsidR="00597B9C" w:rsidRPr="00DA0360" w:rsidRDefault="00597B9C" w:rsidP="00CE2FDF">
            <w:pPr>
              <w:spacing w:before="0" w:line="276" w:lineRule="auto"/>
              <w:rPr>
                <w:rFonts w:eastAsia="Times New Roman" w:cs="Arial"/>
                <w:b/>
                <w:color w:val="000000"/>
                <w:lang w:eastAsia="en-AU"/>
              </w:rPr>
            </w:pPr>
            <w:r w:rsidRPr="00DA0360">
              <w:rPr>
                <w:rFonts w:eastAsia="Times New Roman" w:cs="Arial"/>
                <w:b/>
                <w:color w:val="000000"/>
                <w:lang w:eastAsia="en-AU"/>
              </w:rPr>
              <w:t>Emotional Abuse</w:t>
            </w:r>
          </w:p>
        </w:tc>
        <w:tc>
          <w:tcPr>
            <w:tcW w:w="1253" w:type="dxa"/>
            <w:tcBorders>
              <w:top w:val="single" w:sz="4" w:space="0" w:color="auto"/>
              <w:left w:val="nil"/>
              <w:bottom w:val="nil"/>
              <w:right w:val="nil"/>
            </w:tcBorders>
            <w:shd w:val="clear" w:color="auto" w:fill="auto"/>
            <w:noWrap/>
            <w:vAlign w:val="bottom"/>
            <w:hideMark/>
          </w:tcPr>
          <w:p w14:paraId="097CB973"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EAF1DD" w:themeFill="accent3" w:themeFillTint="33"/>
            <w:noWrap/>
            <w:vAlign w:val="bottom"/>
            <w:hideMark/>
          </w:tcPr>
          <w:p w14:paraId="10E3399C"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single" w:sz="4" w:space="0" w:color="auto"/>
              <w:left w:val="nil"/>
              <w:bottom w:val="nil"/>
              <w:right w:val="nil"/>
            </w:tcBorders>
            <w:shd w:val="clear" w:color="auto" w:fill="auto"/>
            <w:noWrap/>
            <w:vAlign w:val="bottom"/>
            <w:hideMark/>
          </w:tcPr>
          <w:p w14:paraId="7825DE6D"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EAF1DD" w:themeFill="accent3" w:themeFillTint="33"/>
            <w:noWrap/>
            <w:vAlign w:val="bottom"/>
            <w:hideMark/>
          </w:tcPr>
          <w:p w14:paraId="5FD2E3BF"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auto"/>
            <w:noWrap/>
            <w:vAlign w:val="bottom"/>
            <w:hideMark/>
          </w:tcPr>
          <w:p w14:paraId="387802CF"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single" w:sz="4" w:space="0" w:color="auto"/>
              <w:left w:val="nil"/>
              <w:bottom w:val="nil"/>
              <w:right w:val="nil"/>
            </w:tcBorders>
            <w:shd w:val="clear" w:color="auto" w:fill="EAF1DD" w:themeFill="accent3" w:themeFillTint="33"/>
            <w:noWrap/>
            <w:vAlign w:val="bottom"/>
            <w:hideMark/>
          </w:tcPr>
          <w:p w14:paraId="6F1092AB"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auto"/>
            <w:noWrap/>
            <w:vAlign w:val="bottom"/>
            <w:hideMark/>
          </w:tcPr>
          <w:p w14:paraId="69D7914C"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single" w:sz="4" w:space="0" w:color="auto"/>
              <w:left w:val="nil"/>
              <w:bottom w:val="nil"/>
              <w:right w:val="nil"/>
            </w:tcBorders>
            <w:shd w:val="clear" w:color="auto" w:fill="EAF1DD" w:themeFill="accent3" w:themeFillTint="33"/>
            <w:noWrap/>
            <w:vAlign w:val="bottom"/>
            <w:hideMark/>
          </w:tcPr>
          <w:p w14:paraId="0DEDEF19"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auto"/>
            <w:noWrap/>
            <w:vAlign w:val="bottom"/>
            <w:hideMark/>
          </w:tcPr>
          <w:p w14:paraId="7BFA476D"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single" w:sz="4" w:space="0" w:color="auto"/>
            </w:tcBorders>
            <w:shd w:val="clear" w:color="auto" w:fill="EAF1DD" w:themeFill="accent3" w:themeFillTint="33"/>
            <w:noWrap/>
            <w:vAlign w:val="bottom"/>
            <w:hideMark/>
          </w:tcPr>
          <w:p w14:paraId="4B932D63" w14:textId="77777777" w:rsidR="00597B9C" w:rsidRPr="00DA0360" w:rsidRDefault="00597B9C" w:rsidP="00CE2FDF">
            <w:pPr>
              <w:spacing w:before="0" w:line="276" w:lineRule="auto"/>
              <w:jc w:val="right"/>
              <w:rPr>
                <w:rFonts w:eastAsia="Times New Roman" w:cs="Arial"/>
                <w:b/>
                <w:color w:val="FF0000"/>
                <w:lang w:eastAsia="en-AU"/>
              </w:rPr>
            </w:pPr>
          </w:p>
        </w:tc>
      </w:tr>
      <w:tr w:rsidR="00597B9C" w:rsidRPr="001565F1" w14:paraId="01565F09"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3BC0456"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7EFF138E"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951</w:t>
            </w:r>
          </w:p>
        </w:tc>
        <w:tc>
          <w:tcPr>
            <w:tcW w:w="1254" w:type="dxa"/>
            <w:tcBorders>
              <w:top w:val="nil"/>
              <w:left w:val="nil"/>
              <w:bottom w:val="nil"/>
              <w:right w:val="nil"/>
            </w:tcBorders>
            <w:shd w:val="clear" w:color="auto" w:fill="EAF1DD" w:themeFill="accent3" w:themeFillTint="33"/>
            <w:noWrap/>
            <w:vAlign w:val="bottom"/>
            <w:hideMark/>
          </w:tcPr>
          <w:p w14:paraId="1A9E3742"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863</w:t>
            </w:r>
          </w:p>
        </w:tc>
        <w:tc>
          <w:tcPr>
            <w:tcW w:w="1253" w:type="dxa"/>
            <w:tcBorders>
              <w:top w:val="nil"/>
              <w:left w:val="nil"/>
              <w:bottom w:val="nil"/>
              <w:right w:val="nil"/>
            </w:tcBorders>
            <w:shd w:val="clear" w:color="auto" w:fill="auto"/>
            <w:noWrap/>
            <w:vAlign w:val="bottom"/>
            <w:hideMark/>
          </w:tcPr>
          <w:p w14:paraId="42BA9E71"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443</w:t>
            </w:r>
          </w:p>
        </w:tc>
        <w:tc>
          <w:tcPr>
            <w:tcW w:w="1254" w:type="dxa"/>
            <w:tcBorders>
              <w:top w:val="nil"/>
              <w:left w:val="nil"/>
              <w:bottom w:val="nil"/>
              <w:right w:val="nil"/>
            </w:tcBorders>
            <w:shd w:val="clear" w:color="auto" w:fill="EAF1DD" w:themeFill="accent3" w:themeFillTint="33"/>
            <w:noWrap/>
            <w:vAlign w:val="bottom"/>
            <w:hideMark/>
          </w:tcPr>
          <w:p w14:paraId="0C5D292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893</w:t>
            </w:r>
          </w:p>
        </w:tc>
        <w:tc>
          <w:tcPr>
            <w:tcW w:w="1254" w:type="dxa"/>
            <w:tcBorders>
              <w:top w:val="nil"/>
              <w:left w:val="nil"/>
              <w:bottom w:val="nil"/>
              <w:right w:val="nil"/>
            </w:tcBorders>
            <w:shd w:val="clear" w:color="auto" w:fill="auto"/>
            <w:noWrap/>
            <w:vAlign w:val="bottom"/>
            <w:hideMark/>
          </w:tcPr>
          <w:p w14:paraId="6CFF5C75"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772</w:t>
            </w:r>
          </w:p>
        </w:tc>
        <w:tc>
          <w:tcPr>
            <w:tcW w:w="1253" w:type="dxa"/>
            <w:tcBorders>
              <w:top w:val="nil"/>
              <w:left w:val="nil"/>
              <w:bottom w:val="nil"/>
              <w:right w:val="nil"/>
            </w:tcBorders>
            <w:shd w:val="clear" w:color="auto" w:fill="EAF1DD" w:themeFill="accent3" w:themeFillTint="33"/>
            <w:noWrap/>
            <w:vAlign w:val="bottom"/>
            <w:hideMark/>
          </w:tcPr>
          <w:p w14:paraId="1B8AD85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780</w:t>
            </w:r>
          </w:p>
        </w:tc>
        <w:tc>
          <w:tcPr>
            <w:tcW w:w="1254" w:type="dxa"/>
            <w:tcBorders>
              <w:top w:val="nil"/>
              <w:left w:val="nil"/>
              <w:bottom w:val="nil"/>
              <w:right w:val="nil"/>
            </w:tcBorders>
            <w:shd w:val="clear" w:color="auto" w:fill="auto"/>
            <w:noWrap/>
            <w:vAlign w:val="bottom"/>
            <w:hideMark/>
          </w:tcPr>
          <w:p w14:paraId="38992671"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r w:rsidR="001C4508">
              <w:rPr>
                <w:rFonts w:eastAsia="Times New Roman" w:cs="Arial"/>
                <w:color w:val="000000"/>
                <w:lang w:eastAsia="en-AU"/>
              </w:rPr>
              <w:t>,</w:t>
            </w:r>
            <w:r w:rsidRPr="001565F1">
              <w:rPr>
                <w:rFonts w:eastAsia="Times New Roman" w:cs="Arial"/>
                <w:color w:val="000000"/>
                <w:lang w:eastAsia="en-AU"/>
              </w:rPr>
              <w:t>464</w:t>
            </w:r>
          </w:p>
        </w:tc>
        <w:tc>
          <w:tcPr>
            <w:tcW w:w="1253" w:type="dxa"/>
            <w:tcBorders>
              <w:top w:val="nil"/>
              <w:left w:val="nil"/>
              <w:bottom w:val="nil"/>
              <w:right w:val="nil"/>
            </w:tcBorders>
            <w:shd w:val="clear" w:color="auto" w:fill="EAF1DD" w:themeFill="accent3" w:themeFillTint="33"/>
            <w:noWrap/>
            <w:vAlign w:val="bottom"/>
            <w:hideMark/>
          </w:tcPr>
          <w:p w14:paraId="66648B6C"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w:t>
            </w:r>
            <w:r w:rsidR="001C4508">
              <w:rPr>
                <w:rFonts w:eastAsia="Times New Roman" w:cs="Arial"/>
                <w:color w:val="000000"/>
                <w:lang w:eastAsia="en-AU"/>
              </w:rPr>
              <w:t>,</w:t>
            </w:r>
            <w:r w:rsidRPr="001565F1">
              <w:rPr>
                <w:rFonts w:eastAsia="Times New Roman" w:cs="Arial"/>
                <w:color w:val="000000"/>
                <w:lang w:eastAsia="en-AU"/>
              </w:rPr>
              <w:t>315</w:t>
            </w:r>
          </w:p>
        </w:tc>
        <w:tc>
          <w:tcPr>
            <w:tcW w:w="1254" w:type="dxa"/>
            <w:tcBorders>
              <w:top w:val="nil"/>
              <w:left w:val="nil"/>
              <w:bottom w:val="nil"/>
              <w:right w:val="nil"/>
            </w:tcBorders>
            <w:shd w:val="clear" w:color="auto" w:fill="auto"/>
            <w:noWrap/>
            <w:vAlign w:val="bottom"/>
            <w:hideMark/>
          </w:tcPr>
          <w:p w14:paraId="3A45AE4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w:t>
            </w:r>
            <w:r w:rsidR="001C4508">
              <w:rPr>
                <w:rFonts w:eastAsia="Times New Roman" w:cs="Arial"/>
                <w:color w:val="000000"/>
                <w:lang w:eastAsia="en-AU"/>
              </w:rPr>
              <w:t>,</w:t>
            </w:r>
            <w:r w:rsidRPr="001565F1">
              <w:rPr>
                <w:rFonts w:eastAsia="Times New Roman" w:cs="Arial"/>
                <w:color w:val="000000"/>
                <w:lang w:eastAsia="en-AU"/>
              </w:rPr>
              <w:t>088</w:t>
            </w:r>
          </w:p>
        </w:tc>
        <w:tc>
          <w:tcPr>
            <w:tcW w:w="1254" w:type="dxa"/>
            <w:tcBorders>
              <w:top w:val="nil"/>
              <w:left w:val="nil"/>
              <w:bottom w:val="nil"/>
              <w:right w:val="single" w:sz="4" w:space="0" w:color="auto"/>
            </w:tcBorders>
            <w:shd w:val="clear" w:color="auto" w:fill="EAF1DD" w:themeFill="accent3" w:themeFillTint="33"/>
            <w:noWrap/>
            <w:vAlign w:val="bottom"/>
            <w:hideMark/>
          </w:tcPr>
          <w:p w14:paraId="1E3C109F"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w:t>
            </w:r>
            <w:r w:rsidR="001C4508">
              <w:rPr>
                <w:rFonts w:eastAsia="Times New Roman" w:cs="Arial"/>
                <w:color w:val="000000"/>
                <w:lang w:eastAsia="en-AU"/>
              </w:rPr>
              <w:t>,</w:t>
            </w:r>
            <w:r w:rsidRPr="001565F1">
              <w:rPr>
                <w:rFonts w:eastAsia="Times New Roman" w:cs="Arial"/>
                <w:color w:val="000000"/>
                <w:lang w:eastAsia="en-AU"/>
              </w:rPr>
              <w:t>548</w:t>
            </w:r>
          </w:p>
        </w:tc>
      </w:tr>
      <w:tr w:rsidR="000E61DB" w:rsidRPr="001565F1" w14:paraId="7BFE0E6D"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9888361"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3525196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539</w:t>
            </w:r>
          </w:p>
        </w:tc>
        <w:tc>
          <w:tcPr>
            <w:tcW w:w="1254" w:type="dxa"/>
            <w:tcBorders>
              <w:top w:val="nil"/>
              <w:left w:val="nil"/>
              <w:bottom w:val="nil"/>
              <w:right w:val="nil"/>
            </w:tcBorders>
            <w:shd w:val="clear" w:color="auto" w:fill="EAF1DD" w:themeFill="accent3" w:themeFillTint="33"/>
            <w:noWrap/>
            <w:vAlign w:val="bottom"/>
            <w:hideMark/>
          </w:tcPr>
          <w:p w14:paraId="6B4C385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655</w:t>
            </w:r>
          </w:p>
        </w:tc>
        <w:tc>
          <w:tcPr>
            <w:tcW w:w="1253" w:type="dxa"/>
            <w:tcBorders>
              <w:top w:val="nil"/>
              <w:left w:val="nil"/>
              <w:bottom w:val="nil"/>
              <w:right w:val="nil"/>
            </w:tcBorders>
            <w:shd w:val="clear" w:color="auto" w:fill="auto"/>
            <w:noWrap/>
            <w:vAlign w:val="bottom"/>
            <w:hideMark/>
          </w:tcPr>
          <w:p w14:paraId="661A5D1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626</w:t>
            </w:r>
          </w:p>
        </w:tc>
        <w:tc>
          <w:tcPr>
            <w:tcW w:w="1254" w:type="dxa"/>
            <w:tcBorders>
              <w:top w:val="nil"/>
              <w:left w:val="nil"/>
              <w:bottom w:val="nil"/>
              <w:right w:val="nil"/>
            </w:tcBorders>
            <w:shd w:val="clear" w:color="auto" w:fill="EAF1DD" w:themeFill="accent3" w:themeFillTint="33"/>
            <w:noWrap/>
            <w:vAlign w:val="bottom"/>
            <w:hideMark/>
          </w:tcPr>
          <w:p w14:paraId="1C71FC0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706</w:t>
            </w:r>
          </w:p>
        </w:tc>
        <w:tc>
          <w:tcPr>
            <w:tcW w:w="1254" w:type="dxa"/>
            <w:tcBorders>
              <w:top w:val="nil"/>
              <w:left w:val="nil"/>
              <w:bottom w:val="nil"/>
              <w:right w:val="nil"/>
            </w:tcBorders>
            <w:shd w:val="clear" w:color="auto" w:fill="auto"/>
            <w:noWrap/>
            <w:vAlign w:val="bottom"/>
            <w:hideMark/>
          </w:tcPr>
          <w:p w14:paraId="5BDE1C4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230</w:t>
            </w:r>
          </w:p>
        </w:tc>
        <w:tc>
          <w:tcPr>
            <w:tcW w:w="1253" w:type="dxa"/>
            <w:tcBorders>
              <w:top w:val="nil"/>
              <w:left w:val="nil"/>
              <w:bottom w:val="nil"/>
              <w:right w:val="nil"/>
            </w:tcBorders>
            <w:shd w:val="clear" w:color="auto" w:fill="EAF1DD" w:themeFill="accent3" w:themeFillTint="33"/>
            <w:noWrap/>
            <w:vAlign w:val="bottom"/>
            <w:hideMark/>
          </w:tcPr>
          <w:p w14:paraId="72F01FD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510</w:t>
            </w:r>
          </w:p>
        </w:tc>
        <w:tc>
          <w:tcPr>
            <w:tcW w:w="1254" w:type="dxa"/>
            <w:tcBorders>
              <w:top w:val="nil"/>
              <w:left w:val="nil"/>
              <w:bottom w:val="nil"/>
              <w:right w:val="nil"/>
            </w:tcBorders>
            <w:shd w:val="clear" w:color="auto" w:fill="auto"/>
            <w:noWrap/>
            <w:vAlign w:val="bottom"/>
            <w:hideMark/>
          </w:tcPr>
          <w:p w14:paraId="0103717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807</w:t>
            </w:r>
          </w:p>
        </w:tc>
        <w:tc>
          <w:tcPr>
            <w:tcW w:w="1253" w:type="dxa"/>
            <w:tcBorders>
              <w:top w:val="nil"/>
              <w:left w:val="nil"/>
              <w:bottom w:val="nil"/>
              <w:right w:val="nil"/>
            </w:tcBorders>
            <w:shd w:val="clear" w:color="auto" w:fill="EAF1DD" w:themeFill="accent3" w:themeFillTint="33"/>
            <w:noWrap/>
            <w:vAlign w:val="bottom"/>
            <w:hideMark/>
          </w:tcPr>
          <w:p w14:paraId="7C240E8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232</w:t>
            </w:r>
          </w:p>
        </w:tc>
        <w:tc>
          <w:tcPr>
            <w:tcW w:w="1254" w:type="dxa"/>
            <w:tcBorders>
              <w:top w:val="nil"/>
              <w:left w:val="nil"/>
              <w:bottom w:val="nil"/>
              <w:right w:val="nil"/>
            </w:tcBorders>
            <w:shd w:val="clear" w:color="auto" w:fill="auto"/>
            <w:noWrap/>
            <w:vAlign w:val="bottom"/>
            <w:hideMark/>
          </w:tcPr>
          <w:p w14:paraId="0E4E7BB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547</w:t>
            </w:r>
          </w:p>
        </w:tc>
        <w:tc>
          <w:tcPr>
            <w:tcW w:w="1254" w:type="dxa"/>
            <w:tcBorders>
              <w:top w:val="nil"/>
              <w:left w:val="nil"/>
              <w:bottom w:val="nil"/>
              <w:right w:val="single" w:sz="4" w:space="0" w:color="auto"/>
            </w:tcBorders>
            <w:shd w:val="clear" w:color="auto" w:fill="EAF1DD" w:themeFill="accent3" w:themeFillTint="33"/>
            <w:noWrap/>
            <w:vAlign w:val="bottom"/>
            <w:hideMark/>
          </w:tcPr>
          <w:p w14:paraId="73ED91C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296</w:t>
            </w:r>
          </w:p>
        </w:tc>
      </w:tr>
      <w:tr w:rsidR="00597B9C" w:rsidRPr="001565F1" w14:paraId="08BEEAB3"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C7C601C"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2A7FFD65"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188</w:t>
            </w:r>
          </w:p>
        </w:tc>
        <w:tc>
          <w:tcPr>
            <w:tcW w:w="1254" w:type="dxa"/>
            <w:tcBorders>
              <w:top w:val="nil"/>
              <w:left w:val="nil"/>
              <w:bottom w:val="nil"/>
              <w:right w:val="nil"/>
            </w:tcBorders>
            <w:shd w:val="clear" w:color="auto" w:fill="EAF1DD" w:themeFill="accent3" w:themeFillTint="33"/>
            <w:noWrap/>
            <w:vAlign w:val="bottom"/>
            <w:hideMark/>
          </w:tcPr>
          <w:p w14:paraId="0B28E2C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290</w:t>
            </w:r>
          </w:p>
        </w:tc>
        <w:tc>
          <w:tcPr>
            <w:tcW w:w="1253" w:type="dxa"/>
            <w:tcBorders>
              <w:top w:val="nil"/>
              <w:left w:val="nil"/>
              <w:bottom w:val="nil"/>
              <w:right w:val="nil"/>
            </w:tcBorders>
            <w:shd w:val="clear" w:color="auto" w:fill="auto"/>
            <w:noWrap/>
            <w:vAlign w:val="bottom"/>
            <w:hideMark/>
          </w:tcPr>
          <w:p w14:paraId="3A9008DD"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288</w:t>
            </w:r>
          </w:p>
        </w:tc>
        <w:tc>
          <w:tcPr>
            <w:tcW w:w="1254" w:type="dxa"/>
            <w:tcBorders>
              <w:top w:val="nil"/>
              <w:left w:val="nil"/>
              <w:bottom w:val="nil"/>
              <w:right w:val="nil"/>
            </w:tcBorders>
            <w:shd w:val="clear" w:color="auto" w:fill="EAF1DD" w:themeFill="accent3" w:themeFillTint="33"/>
            <w:noWrap/>
            <w:vAlign w:val="bottom"/>
            <w:hideMark/>
          </w:tcPr>
          <w:p w14:paraId="42B0DEB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305</w:t>
            </w:r>
          </w:p>
        </w:tc>
        <w:tc>
          <w:tcPr>
            <w:tcW w:w="1254" w:type="dxa"/>
            <w:tcBorders>
              <w:top w:val="nil"/>
              <w:left w:val="nil"/>
              <w:bottom w:val="nil"/>
              <w:right w:val="nil"/>
            </w:tcBorders>
            <w:shd w:val="clear" w:color="auto" w:fill="auto"/>
            <w:noWrap/>
            <w:vAlign w:val="bottom"/>
            <w:hideMark/>
          </w:tcPr>
          <w:p w14:paraId="165C5FC2"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861</w:t>
            </w:r>
          </w:p>
        </w:tc>
        <w:tc>
          <w:tcPr>
            <w:tcW w:w="1253" w:type="dxa"/>
            <w:tcBorders>
              <w:top w:val="nil"/>
              <w:left w:val="nil"/>
              <w:bottom w:val="nil"/>
              <w:right w:val="nil"/>
            </w:tcBorders>
            <w:shd w:val="clear" w:color="auto" w:fill="EAF1DD" w:themeFill="accent3" w:themeFillTint="33"/>
            <w:noWrap/>
            <w:vAlign w:val="bottom"/>
            <w:hideMark/>
          </w:tcPr>
          <w:p w14:paraId="70D24A1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036</w:t>
            </w:r>
          </w:p>
        </w:tc>
        <w:tc>
          <w:tcPr>
            <w:tcW w:w="1254" w:type="dxa"/>
            <w:tcBorders>
              <w:top w:val="nil"/>
              <w:left w:val="nil"/>
              <w:bottom w:val="nil"/>
              <w:right w:val="nil"/>
            </w:tcBorders>
            <w:shd w:val="clear" w:color="auto" w:fill="auto"/>
            <w:noWrap/>
            <w:vAlign w:val="bottom"/>
            <w:hideMark/>
          </w:tcPr>
          <w:p w14:paraId="4E70A85F"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145</w:t>
            </w:r>
          </w:p>
        </w:tc>
        <w:tc>
          <w:tcPr>
            <w:tcW w:w="1253" w:type="dxa"/>
            <w:tcBorders>
              <w:top w:val="nil"/>
              <w:left w:val="nil"/>
              <w:bottom w:val="nil"/>
              <w:right w:val="nil"/>
            </w:tcBorders>
            <w:shd w:val="clear" w:color="auto" w:fill="EAF1DD" w:themeFill="accent3" w:themeFillTint="33"/>
            <w:noWrap/>
            <w:vAlign w:val="bottom"/>
            <w:hideMark/>
          </w:tcPr>
          <w:p w14:paraId="52F82CE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484</w:t>
            </w:r>
          </w:p>
        </w:tc>
        <w:tc>
          <w:tcPr>
            <w:tcW w:w="1254" w:type="dxa"/>
            <w:tcBorders>
              <w:top w:val="nil"/>
              <w:left w:val="nil"/>
              <w:bottom w:val="nil"/>
              <w:right w:val="nil"/>
            </w:tcBorders>
            <w:shd w:val="clear" w:color="auto" w:fill="auto"/>
            <w:noWrap/>
            <w:vAlign w:val="bottom"/>
            <w:hideMark/>
          </w:tcPr>
          <w:p w14:paraId="15DEDB48"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780</w:t>
            </w:r>
          </w:p>
        </w:tc>
        <w:tc>
          <w:tcPr>
            <w:tcW w:w="1254" w:type="dxa"/>
            <w:tcBorders>
              <w:top w:val="nil"/>
              <w:left w:val="nil"/>
              <w:bottom w:val="nil"/>
              <w:right w:val="single" w:sz="4" w:space="0" w:color="auto"/>
            </w:tcBorders>
            <w:shd w:val="clear" w:color="auto" w:fill="EAF1DD" w:themeFill="accent3" w:themeFillTint="33"/>
            <w:noWrap/>
            <w:vAlign w:val="bottom"/>
            <w:hideMark/>
          </w:tcPr>
          <w:p w14:paraId="218F1254"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241</w:t>
            </w:r>
          </w:p>
        </w:tc>
      </w:tr>
      <w:tr w:rsidR="00597B9C" w:rsidRPr="001565F1" w14:paraId="6F839AEB"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F3E81C3"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3C04DA2D"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351</w:t>
            </w:r>
          </w:p>
        </w:tc>
        <w:tc>
          <w:tcPr>
            <w:tcW w:w="1254" w:type="dxa"/>
            <w:tcBorders>
              <w:top w:val="nil"/>
              <w:left w:val="nil"/>
              <w:bottom w:val="nil"/>
              <w:right w:val="nil"/>
            </w:tcBorders>
            <w:shd w:val="clear" w:color="auto" w:fill="EAF1DD" w:themeFill="accent3" w:themeFillTint="33"/>
            <w:noWrap/>
            <w:vAlign w:val="bottom"/>
            <w:hideMark/>
          </w:tcPr>
          <w:p w14:paraId="2132BD0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365</w:t>
            </w:r>
          </w:p>
        </w:tc>
        <w:tc>
          <w:tcPr>
            <w:tcW w:w="1253" w:type="dxa"/>
            <w:tcBorders>
              <w:top w:val="nil"/>
              <w:left w:val="nil"/>
              <w:bottom w:val="nil"/>
              <w:right w:val="nil"/>
            </w:tcBorders>
            <w:shd w:val="clear" w:color="auto" w:fill="auto"/>
            <w:noWrap/>
            <w:vAlign w:val="bottom"/>
            <w:hideMark/>
          </w:tcPr>
          <w:p w14:paraId="32897BDF"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338</w:t>
            </w:r>
          </w:p>
        </w:tc>
        <w:tc>
          <w:tcPr>
            <w:tcW w:w="1254" w:type="dxa"/>
            <w:tcBorders>
              <w:top w:val="nil"/>
              <w:left w:val="nil"/>
              <w:bottom w:val="nil"/>
              <w:right w:val="nil"/>
            </w:tcBorders>
            <w:shd w:val="clear" w:color="auto" w:fill="EAF1DD" w:themeFill="accent3" w:themeFillTint="33"/>
            <w:noWrap/>
            <w:vAlign w:val="bottom"/>
            <w:hideMark/>
          </w:tcPr>
          <w:p w14:paraId="5F61EFCE"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401</w:t>
            </w:r>
          </w:p>
        </w:tc>
        <w:tc>
          <w:tcPr>
            <w:tcW w:w="1254" w:type="dxa"/>
            <w:tcBorders>
              <w:top w:val="nil"/>
              <w:left w:val="nil"/>
              <w:bottom w:val="nil"/>
              <w:right w:val="nil"/>
            </w:tcBorders>
            <w:shd w:val="clear" w:color="auto" w:fill="auto"/>
            <w:noWrap/>
            <w:vAlign w:val="bottom"/>
            <w:hideMark/>
          </w:tcPr>
          <w:p w14:paraId="4B398AD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369</w:t>
            </w:r>
          </w:p>
        </w:tc>
        <w:tc>
          <w:tcPr>
            <w:tcW w:w="1253" w:type="dxa"/>
            <w:tcBorders>
              <w:top w:val="nil"/>
              <w:left w:val="nil"/>
              <w:bottom w:val="nil"/>
              <w:right w:val="nil"/>
            </w:tcBorders>
            <w:shd w:val="clear" w:color="auto" w:fill="EAF1DD" w:themeFill="accent3" w:themeFillTint="33"/>
            <w:noWrap/>
            <w:vAlign w:val="bottom"/>
            <w:hideMark/>
          </w:tcPr>
          <w:p w14:paraId="79909EF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474</w:t>
            </w:r>
          </w:p>
        </w:tc>
        <w:tc>
          <w:tcPr>
            <w:tcW w:w="1254" w:type="dxa"/>
            <w:tcBorders>
              <w:top w:val="nil"/>
              <w:left w:val="nil"/>
              <w:bottom w:val="nil"/>
              <w:right w:val="nil"/>
            </w:tcBorders>
            <w:shd w:val="clear" w:color="auto" w:fill="auto"/>
            <w:noWrap/>
            <w:vAlign w:val="bottom"/>
            <w:hideMark/>
          </w:tcPr>
          <w:p w14:paraId="3C2E63E9"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662</w:t>
            </w:r>
          </w:p>
        </w:tc>
        <w:tc>
          <w:tcPr>
            <w:tcW w:w="1253" w:type="dxa"/>
            <w:tcBorders>
              <w:top w:val="nil"/>
              <w:left w:val="nil"/>
              <w:bottom w:val="nil"/>
              <w:right w:val="nil"/>
            </w:tcBorders>
            <w:shd w:val="clear" w:color="auto" w:fill="EAF1DD" w:themeFill="accent3" w:themeFillTint="33"/>
            <w:noWrap/>
            <w:vAlign w:val="bottom"/>
            <w:hideMark/>
          </w:tcPr>
          <w:p w14:paraId="5ABBABE6"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748</w:t>
            </w:r>
          </w:p>
        </w:tc>
        <w:tc>
          <w:tcPr>
            <w:tcW w:w="1254" w:type="dxa"/>
            <w:tcBorders>
              <w:top w:val="nil"/>
              <w:left w:val="nil"/>
              <w:bottom w:val="nil"/>
              <w:right w:val="nil"/>
            </w:tcBorders>
            <w:shd w:val="clear" w:color="auto" w:fill="auto"/>
            <w:noWrap/>
            <w:vAlign w:val="bottom"/>
            <w:hideMark/>
          </w:tcPr>
          <w:p w14:paraId="6CBE709E"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767</w:t>
            </w:r>
          </w:p>
        </w:tc>
        <w:tc>
          <w:tcPr>
            <w:tcW w:w="1254" w:type="dxa"/>
            <w:tcBorders>
              <w:top w:val="nil"/>
              <w:left w:val="nil"/>
              <w:bottom w:val="nil"/>
              <w:right w:val="single" w:sz="4" w:space="0" w:color="auto"/>
            </w:tcBorders>
            <w:shd w:val="clear" w:color="auto" w:fill="EAF1DD" w:themeFill="accent3" w:themeFillTint="33"/>
            <w:noWrap/>
            <w:vAlign w:val="bottom"/>
            <w:hideMark/>
          </w:tcPr>
          <w:p w14:paraId="60F343F9"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055</w:t>
            </w:r>
          </w:p>
        </w:tc>
      </w:tr>
      <w:tr w:rsidR="00597B9C" w:rsidRPr="00DA0360" w14:paraId="1C2CE0B0" w14:textId="77777777" w:rsidTr="00561E4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26DB260E" w14:textId="77777777" w:rsidR="00597B9C" w:rsidRPr="00DA0360" w:rsidRDefault="00597B9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404FA427"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w:t>
            </w:r>
            <w:r w:rsidR="001C4508">
              <w:rPr>
                <w:rFonts w:eastAsia="Times New Roman" w:cs="Arial"/>
                <w:b/>
                <w:color w:val="000000"/>
                <w:lang w:eastAsia="en-AU"/>
              </w:rPr>
              <w:t>,</w:t>
            </w:r>
            <w:r w:rsidRPr="00DA0360">
              <w:rPr>
                <w:rFonts w:eastAsia="Times New Roman" w:cs="Arial"/>
                <w:b/>
                <w:color w:val="000000"/>
                <w:lang w:eastAsia="en-AU"/>
              </w:rPr>
              <w:t>490</w:t>
            </w:r>
          </w:p>
        </w:tc>
        <w:tc>
          <w:tcPr>
            <w:tcW w:w="1254" w:type="dxa"/>
            <w:tcBorders>
              <w:top w:val="nil"/>
              <w:left w:val="nil"/>
              <w:bottom w:val="single" w:sz="4" w:space="0" w:color="auto"/>
              <w:right w:val="nil"/>
            </w:tcBorders>
            <w:shd w:val="clear" w:color="auto" w:fill="EAF1DD" w:themeFill="accent3" w:themeFillTint="33"/>
            <w:noWrap/>
            <w:vAlign w:val="bottom"/>
            <w:hideMark/>
          </w:tcPr>
          <w:p w14:paraId="4A59476E"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w:t>
            </w:r>
            <w:r w:rsidR="001C4508">
              <w:rPr>
                <w:rFonts w:eastAsia="Times New Roman" w:cs="Arial"/>
                <w:b/>
                <w:color w:val="000000"/>
                <w:lang w:eastAsia="en-AU"/>
              </w:rPr>
              <w:t>,</w:t>
            </w:r>
            <w:r w:rsidRPr="00DA0360">
              <w:rPr>
                <w:rFonts w:eastAsia="Times New Roman" w:cs="Arial"/>
                <w:b/>
                <w:color w:val="000000"/>
                <w:lang w:eastAsia="en-AU"/>
              </w:rPr>
              <w:t>518</w:t>
            </w:r>
          </w:p>
        </w:tc>
        <w:tc>
          <w:tcPr>
            <w:tcW w:w="1253" w:type="dxa"/>
            <w:tcBorders>
              <w:top w:val="nil"/>
              <w:left w:val="nil"/>
              <w:bottom w:val="single" w:sz="4" w:space="0" w:color="auto"/>
              <w:right w:val="nil"/>
            </w:tcBorders>
            <w:shd w:val="clear" w:color="auto" w:fill="auto"/>
            <w:noWrap/>
            <w:vAlign w:val="bottom"/>
            <w:hideMark/>
          </w:tcPr>
          <w:p w14:paraId="5E1629F1"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w:t>
            </w:r>
            <w:r w:rsidR="001C4508">
              <w:rPr>
                <w:rFonts w:eastAsia="Times New Roman" w:cs="Arial"/>
                <w:b/>
                <w:color w:val="000000"/>
                <w:lang w:eastAsia="en-AU"/>
              </w:rPr>
              <w:t>,</w:t>
            </w:r>
            <w:r w:rsidRPr="00DA0360">
              <w:rPr>
                <w:rFonts w:eastAsia="Times New Roman" w:cs="Arial"/>
                <w:b/>
                <w:color w:val="000000"/>
                <w:lang w:eastAsia="en-AU"/>
              </w:rPr>
              <w:t>069</w:t>
            </w:r>
          </w:p>
        </w:tc>
        <w:tc>
          <w:tcPr>
            <w:tcW w:w="1254" w:type="dxa"/>
            <w:tcBorders>
              <w:top w:val="nil"/>
              <w:left w:val="nil"/>
              <w:bottom w:val="single" w:sz="4" w:space="0" w:color="auto"/>
              <w:right w:val="nil"/>
            </w:tcBorders>
            <w:shd w:val="clear" w:color="auto" w:fill="EAF1DD" w:themeFill="accent3" w:themeFillTint="33"/>
            <w:noWrap/>
            <w:vAlign w:val="bottom"/>
            <w:hideMark/>
          </w:tcPr>
          <w:p w14:paraId="1353DA5F"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w:t>
            </w:r>
            <w:r w:rsidR="001C4508">
              <w:rPr>
                <w:rFonts w:eastAsia="Times New Roman" w:cs="Arial"/>
                <w:b/>
                <w:color w:val="000000"/>
                <w:lang w:eastAsia="en-AU"/>
              </w:rPr>
              <w:t>,</w:t>
            </w:r>
            <w:r w:rsidRPr="00DA0360">
              <w:rPr>
                <w:rFonts w:eastAsia="Times New Roman" w:cs="Arial"/>
                <w:b/>
                <w:color w:val="000000"/>
                <w:lang w:eastAsia="en-AU"/>
              </w:rPr>
              <w:t>599</w:t>
            </w:r>
          </w:p>
        </w:tc>
        <w:tc>
          <w:tcPr>
            <w:tcW w:w="1254" w:type="dxa"/>
            <w:tcBorders>
              <w:top w:val="nil"/>
              <w:left w:val="nil"/>
              <w:bottom w:val="single" w:sz="4" w:space="0" w:color="auto"/>
              <w:right w:val="nil"/>
            </w:tcBorders>
            <w:shd w:val="clear" w:color="auto" w:fill="auto"/>
            <w:noWrap/>
            <w:vAlign w:val="bottom"/>
            <w:hideMark/>
          </w:tcPr>
          <w:p w14:paraId="12ED1D7F"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w:t>
            </w:r>
            <w:r w:rsidR="001C4508">
              <w:rPr>
                <w:rFonts w:eastAsia="Times New Roman" w:cs="Arial"/>
                <w:b/>
                <w:color w:val="000000"/>
                <w:lang w:eastAsia="en-AU"/>
              </w:rPr>
              <w:t>,</w:t>
            </w:r>
            <w:r w:rsidRPr="00DA0360">
              <w:rPr>
                <w:rFonts w:eastAsia="Times New Roman" w:cs="Arial"/>
                <w:b/>
                <w:color w:val="000000"/>
                <w:lang w:eastAsia="en-AU"/>
              </w:rPr>
              <w:t>002</w:t>
            </w:r>
          </w:p>
        </w:tc>
        <w:tc>
          <w:tcPr>
            <w:tcW w:w="1253" w:type="dxa"/>
            <w:tcBorders>
              <w:top w:val="nil"/>
              <w:left w:val="nil"/>
              <w:bottom w:val="single" w:sz="4" w:space="0" w:color="auto"/>
              <w:right w:val="nil"/>
            </w:tcBorders>
            <w:shd w:val="clear" w:color="auto" w:fill="EAF1DD" w:themeFill="accent3" w:themeFillTint="33"/>
            <w:noWrap/>
            <w:vAlign w:val="bottom"/>
            <w:hideMark/>
          </w:tcPr>
          <w:p w14:paraId="2D914058"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w:t>
            </w:r>
            <w:r w:rsidR="001C4508">
              <w:rPr>
                <w:rFonts w:eastAsia="Times New Roman" w:cs="Arial"/>
                <w:b/>
                <w:color w:val="000000"/>
                <w:lang w:eastAsia="en-AU"/>
              </w:rPr>
              <w:t>,</w:t>
            </w:r>
            <w:r w:rsidRPr="00DA0360">
              <w:rPr>
                <w:rFonts w:eastAsia="Times New Roman" w:cs="Arial"/>
                <w:b/>
                <w:color w:val="000000"/>
                <w:lang w:eastAsia="en-AU"/>
              </w:rPr>
              <w:t>290</w:t>
            </w:r>
          </w:p>
        </w:tc>
        <w:tc>
          <w:tcPr>
            <w:tcW w:w="1254" w:type="dxa"/>
            <w:tcBorders>
              <w:top w:val="nil"/>
              <w:left w:val="nil"/>
              <w:bottom w:val="single" w:sz="4" w:space="0" w:color="auto"/>
              <w:right w:val="nil"/>
            </w:tcBorders>
            <w:shd w:val="clear" w:color="auto" w:fill="auto"/>
            <w:noWrap/>
            <w:vAlign w:val="bottom"/>
            <w:hideMark/>
          </w:tcPr>
          <w:p w14:paraId="385E3414"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9</w:t>
            </w:r>
            <w:r w:rsidR="001C4508">
              <w:rPr>
                <w:rFonts w:eastAsia="Times New Roman" w:cs="Arial"/>
                <w:b/>
                <w:color w:val="000000"/>
                <w:lang w:eastAsia="en-AU"/>
              </w:rPr>
              <w:t>,</w:t>
            </w:r>
            <w:r w:rsidRPr="00DA0360">
              <w:rPr>
                <w:rFonts w:eastAsia="Times New Roman" w:cs="Arial"/>
                <w:b/>
                <w:color w:val="000000"/>
                <w:lang w:eastAsia="en-AU"/>
              </w:rPr>
              <w:t>271</w:t>
            </w:r>
          </w:p>
        </w:tc>
        <w:tc>
          <w:tcPr>
            <w:tcW w:w="1253" w:type="dxa"/>
            <w:tcBorders>
              <w:top w:val="nil"/>
              <w:left w:val="nil"/>
              <w:bottom w:val="single" w:sz="4" w:space="0" w:color="auto"/>
              <w:right w:val="nil"/>
            </w:tcBorders>
            <w:shd w:val="clear" w:color="auto" w:fill="EAF1DD" w:themeFill="accent3" w:themeFillTint="33"/>
            <w:noWrap/>
            <w:vAlign w:val="bottom"/>
            <w:hideMark/>
          </w:tcPr>
          <w:p w14:paraId="1100C161"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12</w:t>
            </w:r>
            <w:r w:rsidR="001C4508">
              <w:rPr>
                <w:rFonts w:eastAsia="Times New Roman" w:cs="Arial"/>
                <w:b/>
                <w:color w:val="000000"/>
                <w:lang w:eastAsia="en-AU"/>
              </w:rPr>
              <w:t>,</w:t>
            </w:r>
            <w:r w:rsidRPr="00DA0360">
              <w:rPr>
                <w:rFonts w:eastAsia="Times New Roman" w:cs="Arial"/>
                <w:b/>
                <w:color w:val="000000"/>
                <w:lang w:eastAsia="en-AU"/>
              </w:rPr>
              <w:t>547</w:t>
            </w:r>
          </w:p>
        </w:tc>
        <w:tc>
          <w:tcPr>
            <w:tcW w:w="1254" w:type="dxa"/>
            <w:tcBorders>
              <w:top w:val="nil"/>
              <w:left w:val="nil"/>
              <w:bottom w:val="single" w:sz="4" w:space="0" w:color="auto"/>
              <w:right w:val="nil"/>
            </w:tcBorders>
            <w:shd w:val="clear" w:color="auto" w:fill="auto"/>
            <w:noWrap/>
            <w:vAlign w:val="bottom"/>
            <w:hideMark/>
          </w:tcPr>
          <w:p w14:paraId="65075F1B"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15</w:t>
            </w:r>
            <w:r w:rsidR="001C4508">
              <w:rPr>
                <w:rFonts w:eastAsia="Times New Roman" w:cs="Arial"/>
                <w:b/>
                <w:color w:val="000000"/>
                <w:lang w:eastAsia="en-AU"/>
              </w:rPr>
              <w:t>,</w:t>
            </w:r>
            <w:r w:rsidRPr="00DA0360">
              <w:rPr>
                <w:rFonts w:eastAsia="Times New Roman" w:cs="Arial"/>
                <w:b/>
                <w:color w:val="000000"/>
                <w:lang w:eastAsia="en-AU"/>
              </w:rPr>
              <w:t>635</w:t>
            </w:r>
          </w:p>
        </w:tc>
        <w:tc>
          <w:tcPr>
            <w:tcW w:w="1254" w:type="dxa"/>
            <w:tcBorders>
              <w:top w:val="nil"/>
              <w:left w:val="nil"/>
              <w:bottom w:val="single" w:sz="4" w:space="0" w:color="auto"/>
              <w:right w:val="single" w:sz="4" w:space="0" w:color="auto"/>
            </w:tcBorders>
            <w:shd w:val="clear" w:color="auto" w:fill="EAF1DD" w:themeFill="accent3" w:themeFillTint="33"/>
            <w:noWrap/>
            <w:vAlign w:val="bottom"/>
            <w:hideMark/>
          </w:tcPr>
          <w:p w14:paraId="66D889D7"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20</w:t>
            </w:r>
            <w:r w:rsidR="001C4508">
              <w:rPr>
                <w:rFonts w:eastAsia="Times New Roman" w:cs="Arial"/>
                <w:b/>
                <w:color w:val="000000"/>
                <w:lang w:eastAsia="en-AU"/>
              </w:rPr>
              <w:t>,</w:t>
            </w:r>
            <w:r w:rsidRPr="00DA0360">
              <w:rPr>
                <w:rFonts w:eastAsia="Times New Roman" w:cs="Arial"/>
                <w:b/>
                <w:color w:val="000000"/>
                <w:lang w:eastAsia="en-AU"/>
              </w:rPr>
              <w:t>844</w:t>
            </w:r>
          </w:p>
        </w:tc>
      </w:tr>
      <w:tr w:rsidR="00597B9C" w:rsidRPr="00DA0360" w14:paraId="2F0F6A5B"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0B482C7" w14:textId="77777777" w:rsidR="00597B9C" w:rsidRPr="00DA0360" w:rsidRDefault="00597B9C" w:rsidP="00CE2FDF">
            <w:pPr>
              <w:spacing w:before="0" w:line="276" w:lineRule="auto"/>
              <w:rPr>
                <w:rFonts w:eastAsia="Times New Roman" w:cs="Arial"/>
                <w:b/>
                <w:color w:val="000000"/>
                <w:lang w:eastAsia="en-AU"/>
              </w:rPr>
            </w:pPr>
            <w:r w:rsidRPr="00DA0360">
              <w:rPr>
                <w:rFonts w:eastAsia="Times New Roman" w:cs="Arial"/>
                <w:b/>
                <w:color w:val="000000"/>
                <w:lang w:eastAsia="en-AU"/>
              </w:rPr>
              <w:t>Neglect</w:t>
            </w:r>
          </w:p>
        </w:tc>
        <w:tc>
          <w:tcPr>
            <w:tcW w:w="1253" w:type="dxa"/>
            <w:tcBorders>
              <w:top w:val="nil"/>
              <w:left w:val="nil"/>
              <w:bottom w:val="nil"/>
              <w:right w:val="nil"/>
            </w:tcBorders>
            <w:shd w:val="clear" w:color="auto" w:fill="auto"/>
            <w:noWrap/>
            <w:vAlign w:val="bottom"/>
            <w:hideMark/>
          </w:tcPr>
          <w:p w14:paraId="2809C0AB"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DAEEF3" w:themeFill="accent5" w:themeFillTint="33"/>
            <w:noWrap/>
            <w:vAlign w:val="bottom"/>
            <w:hideMark/>
          </w:tcPr>
          <w:p w14:paraId="193138B1"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auto"/>
            <w:noWrap/>
            <w:vAlign w:val="bottom"/>
            <w:hideMark/>
          </w:tcPr>
          <w:p w14:paraId="105891BE"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DAEEF3" w:themeFill="accent5" w:themeFillTint="33"/>
            <w:noWrap/>
            <w:vAlign w:val="bottom"/>
            <w:hideMark/>
          </w:tcPr>
          <w:p w14:paraId="30DBE108"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7E54B82C"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DAEEF3" w:themeFill="accent5" w:themeFillTint="33"/>
            <w:noWrap/>
            <w:vAlign w:val="bottom"/>
            <w:hideMark/>
          </w:tcPr>
          <w:p w14:paraId="132A6463"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5C59F784"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DAEEF3" w:themeFill="accent5" w:themeFillTint="33"/>
            <w:noWrap/>
            <w:vAlign w:val="bottom"/>
            <w:hideMark/>
          </w:tcPr>
          <w:p w14:paraId="02795CB9"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04E6C98D"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single" w:sz="4" w:space="0" w:color="auto"/>
            </w:tcBorders>
            <w:shd w:val="clear" w:color="auto" w:fill="DAEEF3" w:themeFill="accent5" w:themeFillTint="33"/>
            <w:noWrap/>
            <w:vAlign w:val="bottom"/>
            <w:hideMark/>
          </w:tcPr>
          <w:p w14:paraId="24CEDD60" w14:textId="77777777" w:rsidR="00597B9C" w:rsidRPr="00DA0360" w:rsidRDefault="00597B9C" w:rsidP="00CE2FDF">
            <w:pPr>
              <w:spacing w:before="0" w:line="276" w:lineRule="auto"/>
              <w:jc w:val="right"/>
              <w:rPr>
                <w:rFonts w:eastAsia="Times New Roman" w:cs="Arial"/>
                <w:b/>
                <w:color w:val="FF0000"/>
                <w:lang w:eastAsia="en-AU"/>
              </w:rPr>
            </w:pPr>
          </w:p>
        </w:tc>
      </w:tr>
      <w:tr w:rsidR="00597B9C" w:rsidRPr="001565F1" w14:paraId="29B9F13F"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D700261"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4D183936"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101</w:t>
            </w:r>
          </w:p>
        </w:tc>
        <w:tc>
          <w:tcPr>
            <w:tcW w:w="1254" w:type="dxa"/>
            <w:tcBorders>
              <w:top w:val="nil"/>
              <w:left w:val="nil"/>
              <w:bottom w:val="nil"/>
              <w:right w:val="nil"/>
            </w:tcBorders>
            <w:shd w:val="clear" w:color="auto" w:fill="DAEEF3" w:themeFill="accent5" w:themeFillTint="33"/>
            <w:noWrap/>
            <w:vAlign w:val="bottom"/>
            <w:hideMark/>
          </w:tcPr>
          <w:p w14:paraId="3557B97D"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992</w:t>
            </w:r>
          </w:p>
        </w:tc>
        <w:tc>
          <w:tcPr>
            <w:tcW w:w="1253" w:type="dxa"/>
            <w:tcBorders>
              <w:top w:val="nil"/>
              <w:left w:val="nil"/>
              <w:bottom w:val="nil"/>
              <w:right w:val="nil"/>
            </w:tcBorders>
            <w:shd w:val="clear" w:color="auto" w:fill="auto"/>
            <w:noWrap/>
            <w:vAlign w:val="bottom"/>
            <w:hideMark/>
          </w:tcPr>
          <w:p w14:paraId="0173C755"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041</w:t>
            </w:r>
          </w:p>
        </w:tc>
        <w:tc>
          <w:tcPr>
            <w:tcW w:w="1254" w:type="dxa"/>
            <w:tcBorders>
              <w:top w:val="nil"/>
              <w:left w:val="nil"/>
              <w:bottom w:val="nil"/>
              <w:right w:val="nil"/>
            </w:tcBorders>
            <w:shd w:val="clear" w:color="auto" w:fill="DAEEF3" w:themeFill="accent5" w:themeFillTint="33"/>
            <w:noWrap/>
            <w:vAlign w:val="bottom"/>
            <w:hideMark/>
          </w:tcPr>
          <w:p w14:paraId="51B2AFF7"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846</w:t>
            </w:r>
          </w:p>
        </w:tc>
        <w:tc>
          <w:tcPr>
            <w:tcW w:w="1254" w:type="dxa"/>
            <w:tcBorders>
              <w:top w:val="nil"/>
              <w:left w:val="nil"/>
              <w:bottom w:val="nil"/>
              <w:right w:val="nil"/>
            </w:tcBorders>
            <w:shd w:val="clear" w:color="auto" w:fill="auto"/>
            <w:noWrap/>
            <w:vAlign w:val="bottom"/>
            <w:hideMark/>
          </w:tcPr>
          <w:p w14:paraId="4F15776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151</w:t>
            </w:r>
          </w:p>
        </w:tc>
        <w:tc>
          <w:tcPr>
            <w:tcW w:w="1253" w:type="dxa"/>
            <w:tcBorders>
              <w:top w:val="nil"/>
              <w:left w:val="nil"/>
              <w:bottom w:val="nil"/>
              <w:right w:val="nil"/>
            </w:tcBorders>
            <w:shd w:val="clear" w:color="auto" w:fill="DAEEF3" w:themeFill="accent5" w:themeFillTint="33"/>
            <w:noWrap/>
            <w:vAlign w:val="bottom"/>
            <w:hideMark/>
          </w:tcPr>
          <w:p w14:paraId="05920269"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192</w:t>
            </w:r>
          </w:p>
        </w:tc>
        <w:tc>
          <w:tcPr>
            <w:tcW w:w="1254" w:type="dxa"/>
            <w:tcBorders>
              <w:top w:val="nil"/>
              <w:left w:val="nil"/>
              <w:bottom w:val="nil"/>
              <w:right w:val="nil"/>
            </w:tcBorders>
            <w:shd w:val="clear" w:color="auto" w:fill="auto"/>
            <w:noWrap/>
            <w:vAlign w:val="bottom"/>
            <w:hideMark/>
          </w:tcPr>
          <w:p w14:paraId="4D7329C5"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936</w:t>
            </w:r>
          </w:p>
        </w:tc>
        <w:tc>
          <w:tcPr>
            <w:tcW w:w="1253" w:type="dxa"/>
            <w:tcBorders>
              <w:top w:val="nil"/>
              <w:left w:val="nil"/>
              <w:bottom w:val="nil"/>
              <w:right w:val="nil"/>
            </w:tcBorders>
            <w:shd w:val="clear" w:color="auto" w:fill="DAEEF3" w:themeFill="accent5" w:themeFillTint="33"/>
            <w:noWrap/>
            <w:vAlign w:val="bottom"/>
            <w:hideMark/>
          </w:tcPr>
          <w:p w14:paraId="56164A2D"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081</w:t>
            </w:r>
          </w:p>
        </w:tc>
        <w:tc>
          <w:tcPr>
            <w:tcW w:w="1254" w:type="dxa"/>
            <w:tcBorders>
              <w:top w:val="nil"/>
              <w:left w:val="nil"/>
              <w:bottom w:val="nil"/>
              <w:right w:val="nil"/>
            </w:tcBorders>
            <w:shd w:val="clear" w:color="auto" w:fill="auto"/>
            <w:noWrap/>
            <w:vAlign w:val="bottom"/>
            <w:hideMark/>
          </w:tcPr>
          <w:p w14:paraId="3028717F"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310</w:t>
            </w:r>
          </w:p>
        </w:tc>
        <w:tc>
          <w:tcPr>
            <w:tcW w:w="1254" w:type="dxa"/>
            <w:tcBorders>
              <w:top w:val="nil"/>
              <w:left w:val="nil"/>
              <w:bottom w:val="nil"/>
              <w:right w:val="single" w:sz="4" w:space="0" w:color="auto"/>
            </w:tcBorders>
            <w:shd w:val="clear" w:color="auto" w:fill="DAEEF3" w:themeFill="accent5" w:themeFillTint="33"/>
            <w:noWrap/>
            <w:vAlign w:val="bottom"/>
            <w:hideMark/>
          </w:tcPr>
          <w:p w14:paraId="1A96E41D"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178</w:t>
            </w:r>
          </w:p>
        </w:tc>
      </w:tr>
      <w:tr w:rsidR="000E61DB" w:rsidRPr="001565F1" w14:paraId="707E795A"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D68C704"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17A7C91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175</w:t>
            </w:r>
          </w:p>
        </w:tc>
        <w:tc>
          <w:tcPr>
            <w:tcW w:w="1254" w:type="dxa"/>
            <w:tcBorders>
              <w:top w:val="nil"/>
              <w:left w:val="nil"/>
              <w:bottom w:val="nil"/>
              <w:right w:val="nil"/>
            </w:tcBorders>
            <w:shd w:val="clear" w:color="auto" w:fill="DAEEF3" w:themeFill="accent5" w:themeFillTint="33"/>
            <w:noWrap/>
            <w:vAlign w:val="bottom"/>
            <w:hideMark/>
          </w:tcPr>
          <w:p w14:paraId="1ADA024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056</w:t>
            </w:r>
          </w:p>
        </w:tc>
        <w:tc>
          <w:tcPr>
            <w:tcW w:w="1253" w:type="dxa"/>
            <w:tcBorders>
              <w:top w:val="nil"/>
              <w:left w:val="nil"/>
              <w:bottom w:val="nil"/>
              <w:right w:val="nil"/>
            </w:tcBorders>
            <w:shd w:val="clear" w:color="auto" w:fill="auto"/>
            <w:noWrap/>
            <w:vAlign w:val="bottom"/>
            <w:hideMark/>
          </w:tcPr>
          <w:p w14:paraId="3896E50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980</w:t>
            </w:r>
          </w:p>
        </w:tc>
        <w:tc>
          <w:tcPr>
            <w:tcW w:w="1254" w:type="dxa"/>
            <w:tcBorders>
              <w:top w:val="nil"/>
              <w:left w:val="nil"/>
              <w:bottom w:val="nil"/>
              <w:right w:val="nil"/>
            </w:tcBorders>
            <w:shd w:val="clear" w:color="auto" w:fill="DAEEF3" w:themeFill="accent5" w:themeFillTint="33"/>
            <w:noWrap/>
            <w:vAlign w:val="bottom"/>
            <w:hideMark/>
          </w:tcPr>
          <w:p w14:paraId="0FDCA84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802</w:t>
            </w:r>
          </w:p>
        </w:tc>
        <w:tc>
          <w:tcPr>
            <w:tcW w:w="1254" w:type="dxa"/>
            <w:tcBorders>
              <w:top w:val="nil"/>
              <w:left w:val="nil"/>
              <w:bottom w:val="nil"/>
              <w:right w:val="nil"/>
            </w:tcBorders>
            <w:shd w:val="clear" w:color="auto" w:fill="auto"/>
            <w:noWrap/>
            <w:vAlign w:val="bottom"/>
            <w:hideMark/>
          </w:tcPr>
          <w:p w14:paraId="1F2FFC1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622</w:t>
            </w:r>
          </w:p>
        </w:tc>
        <w:tc>
          <w:tcPr>
            <w:tcW w:w="1253" w:type="dxa"/>
            <w:tcBorders>
              <w:top w:val="nil"/>
              <w:left w:val="nil"/>
              <w:bottom w:val="nil"/>
              <w:right w:val="nil"/>
            </w:tcBorders>
            <w:shd w:val="clear" w:color="auto" w:fill="DAEEF3" w:themeFill="accent5" w:themeFillTint="33"/>
            <w:noWrap/>
            <w:vAlign w:val="bottom"/>
            <w:hideMark/>
          </w:tcPr>
          <w:p w14:paraId="0EE5D6F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560</w:t>
            </w:r>
          </w:p>
        </w:tc>
        <w:tc>
          <w:tcPr>
            <w:tcW w:w="1254" w:type="dxa"/>
            <w:tcBorders>
              <w:top w:val="nil"/>
              <w:left w:val="nil"/>
              <w:bottom w:val="nil"/>
              <w:right w:val="nil"/>
            </w:tcBorders>
            <w:shd w:val="clear" w:color="auto" w:fill="auto"/>
            <w:noWrap/>
            <w:vAlign w:val="bottom"/>
            <w:hideMark/>
          </w:tcPr>
          <w:p w14:paraId="2274A3D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488</w:t>
            </w:r>
          </w:p>
        </w:tc>
        <w:tc>
          <w:tcPr>
            <w:tcW w:w="1253" w:type="dxa"/>
            <w:tcBorders>
              <w:top w:val="nil"/>
              <w:left w:val="nil"/>
              <w:bottom w:val="nil"/>
              <w:right w:val="nil"/>
            </w:tcBorders>
            <w:shd w:val="clear" w:color="auto" w:fill="DAEEF3" w:themeFill="accent5" w:themeFillTint="33"/>
            <w:noWrap/>
            <w:vAlign w:val="bottom"/>
            <w:hideMark/>
          </w:tcPr>
          <w:p w14:paraId="6FBD337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499</w:t>
            </w:r>
          </w:p>
        </w:tc>
        <w:tc>
          <w:tcPr>
            <w:tcW w:w="1254" w:type="dxa"/>
            <w:tcBorders>
              <w:top w:val="nil"/>
              <w:left w:val="nil"/>
              <w:bottom w:val="nil"/>
              <w:right w:val="nil"/>
            </w:tcBorders>
            <w:shd w:val="clear" w:color="auto" w:fill="auto"/>
            <w:noWrap/>
            <w:vAlign w:val="bottom"/>
            <w:hideMark/>
          </w:tcPr>
          <w:p w14:paraId="486CFC7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632</w:t>
            </w:r>
          </w:p>
        </w:tc>
        <w:tc>
          <w:tcPr>
            <w:tcW w:w="1254" w:type="dxa"/>
            <w:tcBorders>
              <w:top w:val="nil"/>
              <w:left w:val="nil"/>
              <w:bottom w:val="nil"/>
              <w:right w:val="single" w:sz="4" w:space="0" w:color="auto"/>
            </w:tcBorders>
            <w:shd w:val="clear" w:color="auto" w:fill="DAEEF3" w:themeFill="accent5" w:themeFillTint="33"/>
            <w:noWrap/>
            <w:vAlign w:val="bottom"/>
            <w:hideMark/>
          </w:tcPr>
          <w:p w14:paraId="181ECBD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514</w:t>
            </w:r>
          </w:p>
        </w:tc>
      </w:tr>
      <w:tr w:rsidR="00597B9C" w:rsidRPr="001565F1" w14:paraId="3C4407B8"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F025CC5"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58ADBAC5"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743</w:t>
            </w:r>
          </w:p>
        </w:tc>
        <w:tc>
          <w:tcPr>
            <w:tcW w:w="1254" w:type="dxa"/>
            <w:tcBorders>
              <w:top w:val="nil"/>
              <w:left w:val="nil"/>
              <w:bottom w:val="nil"/>
              <w:right w:val="nil"/>
            </w:tcBorders>
            <w:shd w:val="clear" w:color="auto" w:fill="DAEEF3" w:themeFill="accent5" w:themeFillTint="33"/>
            <w:noWrap/>
            <w:vAlign w:val="bottom"/>
            <w:hideMark/>
          </w:tcPr>
          <w:p w14:paraId="1BE3032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707</w:t>
            </w:r>
          </w:p>
        </w:tc>
        <w:tc>
          <w:tcPr>
            <w:tcW w:w="1253" w:type="dxa"/>
            <w:tcBorders>
              <w:top w:val="nil"/>
              <w:left w:val="nil"/>
              <w:bottom w:val="nil"/>
              <w:right w:val="nil"/>
            </w:tcBorders>
            <w:shd w:val="clear" w:color="auto" w:fill="auto"/>
            <w:noWrap/>
            <w:vAlign w:val="bottom"/>
            <w:hideMark/>
          </w:tcPr>
          <w:p w14:paraId="6EFD35CD"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705</w:t>
            </w:r>
          </w:p>
        </w:tc>
        <w:tc>
          <w:tcPr>
            <w:tcW w:w="1254" w:type="dxa"/>
            <w:tcBorders>
              <w:top w:val="nil"/>
              <w:left w:val="nil"/>
              <w:bottom w:val="nil"/>
              <w:right w:val="nil"/>
            </w:tcBorders>
            <w:shd w:val="clear" w:color="auto" w:fill="DAEEF3" w:themeFill="accent5" w:themeFillTint="33"/>
            <w:noWrap/>
            <w:vAlign w:val="bottom"/>
            <w:hideMark/>
          </w:tcPr>
          <w:p w14:paraId="0305E79F"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582</w:t>
            </w:r>
          </w:p>
        </w:tc>
        <w:tc>
          <w:tcPr>
            <w:tcW w:w="1254" w:type="dxa"/>
            <w:tcBorders>
              <w:top w:val="nil"/>
              <w:left w:val="nil"/>
              <w:bottom w:val="nil"/>
              <w:right w:val="nil"/>
            </w:tcBorders>
            <w:shd w:val="clear" w:color="auto" w:fill="auto"/>
            <w:noWrap/>
            <w:vAlign w:val="bottom"/>
            <w:hideMark/>
          </w:tcPr>
          <w:p w14:paraId="149372D7"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466</w:t>
            </w:r>
          </w:p>
        </w:tc>
        <w:tc>
          <w:tcPr>
            <w:tcW w:w="1253" w:type="dxa"/>
            <w:tcBorders>
              <w:top w:val="nil"/>
              <w:left w:val="nil"/>
              <w:bottom w:val="nil"/>
              <w:right w:val="nil"/>
            </w:tcBorders>
            <w:shd w:val="clear" w:color="auto" w:fill="DAEEF3" w:themeFill="accent5" w:themeFillTint="33"/>
            <w:noWrap/>
            <w:vAlign w:val="bottom"/>
            <w:hideMark/>
          </w:tcPr>
          <w:p w14:paraId="77A95ECC"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379</w:t>
            </w:r>
          </w:p>
        </w:tc>
        <w:tc>
          <w:tcPr>
            <w:tcW w:w="1254" w:type="dxa"/>
            <w:tcBorders>
              <w:top w:val="nil"/>
              <w:left w:val="nil"/>
              <w:bottom w:val="nil"/>
              <w:right w:val="nil"/>
            </w:tcBorders>
            <w:shd w:val="clear" w:color="auto" w:fill="auto"/>
            <w:noWrap/>
            <w:vAlign w:val="bottom"/>
            <w:hideMark/>
          </w:tcPr>
          <w:p w14:paraId="37A6ADE6"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290</w:t>
            </w:r>
          </w:p>
        </w:tc>
        <w:tc>
          <w:tcPr>
            <w:tcW w:w="1253" w:type="dxa"/>
            <w:tcBorders>
              <w:top w:val="nil"/>
              <w:left w:val="nil"/>
              <w:bottom w:val="nil"/>
              <w:right w:val="nil"/>
            </w:tcBorders>
            <w:shd w:val="clear" w:color="auto" w:fill="DAEEF3" w:themeFill="accent5" w:themeFillTint="33"/>
            <w:noWrap/>
            <w:vAlign w:val="bottom"/>
            <w:hideMark/>
          </w:tcPr>
          <w:p w14:paraId="106A18B7"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315</w:t>
            </w:r>
          </w:p>
        </w:tc>
        <w:tc>
          <w:tcPr>
            <w:tcW w:w="1254" w:type="dxa"/>
            <w:tcBorders>
              <w:top w:val="nil"/>
              <w:left w:val="nil"/>
              <w:bottom w:val="nil"/>
              <w:right w:val="nil"/>
            </w:tcBorders>
            <w:shd w:val="clear" w:color="auto" w:fill="auto"/>
            <w:noWrap/>
            <w:vAlign w:val="bottom"/>
            <w:hideMark/>
          </w:tcPr>
          <w:p w14:paraId="5142D4E2"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431</w:t>
            </w:r>
          </w:p>
        </w:tc>
        <w:tc>
          <w:tcPr>
            <w:tcW w:w="1254" w:type="dxa"/>
            <w:tcBorders>
              <w:top w:val="nil"/>
              <w:left w:val="nil"/>
              <w:bottom w:val="nil"/>
              <w:right w:val="single" w:sz="4" w:space="0" w:color="auto"/>
            </w:tcBorders>
            <w:shd w:val="clear" w:color="auto" w:fill="DAEEF3" w:themeFill="accent5" w:themeFillTint="33"/>
            <w:noWrap/>
            <w:vAlign w:val="bottom"/>
            <w:hideMark/>
          </w:tcPr>
          <w:p w14:paraId="0BEDC8FB"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333</w:t>
            </w:r>
          </w:p>
        </w:tc>
      </w:tr>
      <w:tr w:rsidR="00597B9C" w:rsidRPr="001565F1" w14:paraId="694FB49C"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8E90313"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3E27B297"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432</w:t>
            </w:r>
          </w:p>
        </w:tc>
        <w:tc>
          <w:tcPr>
            <w:tcW w:w="1254" w:type="dxa"/>
            <w:tcBorders>
              <w:top w:val="nil"/>
              <w:left w:val="nil"/>
              <w:bottom w:val="nil"/>
              <w:right w:val="nil"/>
            </w:tcBorders>
            <w:shd w:val="clear" w:color="auto" w:fill="DAEEF3" w:themeFill="accent5" w:themeFillTint="33"/>
            <w:noWrap/>
            <w:vAlign w:val="bottom"/>
            <w:hideMark/>
          </w:tcPr>
          <w:p w14:paraId="13FB17A9"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349</w:t>
            </w:r>
          </w:p>
        </w:tc>
        <w:tc>
          <w:tcPr>
            <w:tcW w:w="1253" w:type="dxa"/>
            <w:tcBorders>
              <w:top w:val="nil"/>
              <w:left w:val="nil"/>
              <w:bottom w:val="nil"/>
              <w:right w:val="nil"/>
            </w:tcBorders>
            <w:shd w:val="clear" w:color="auto" w:fill="auto"/>
            <w:noWrap/>
            <w:vAlign w:val="bottom"/>
            <w:hideMark/>
          </w:tcPr>
          <w:p w14:paraId="22C768D7"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275</w:t>
            </w:r>
          </w:p>
        </w:tc>
        <w:tc>
          <w:tcPr>
            <w:tcW w:w="1254" w:type="dxa"/>
            <w:tcBorders>
              <w:top w:val="nil"/>
              <w:left w:val="nil"/>
              <w:bottom w:val="nil"/>
              <w:right w:val="nil"/>
            </w:tcBorders>
            <w:shd w:val="clear" w:color="auto" w:fill="DAEEF3" w:themeFill="accent5" w:themeFillTint="33"/>
            <w:noWrap/>
            <w:vAlign w:val="bottom"/>
            <w:hideMark/>
          </w:tcPr>
          <w:p w14:paraId="570DCDA8"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220</w:t>
            </w:r>
          </w:p>
        </w:tc>
        <w:tc>
          <w:tcPr>
            <w:tcW w:w="1254" w:type="dxa"/>
            <w:tcBorders>
              <w:top w:val="nil"/>
              <w:left w:val="nil"/>
              <w:bottom w:val="nil"/>
              <w:right w:val="nil"/>
            </w:tcBorders>
            <w:shd w:val="clear" w:color="auto" w:fill="auto"/>
            <w:noWrap/>
            <w:vAlign w:val="bottom"/>
            <w:hideMark/>
          </w:tcPr>
          <w:p w14:paraId="47977FCC"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156</w:t>
            </w:r>
          </w:p>
        </w:tc>
        <w:tc>
          <w:tcPr>
            <w:tcW w:w="1253" w:type="dxa"/>
            <w:tcBorders>
              <w:top w:val="nil"/>
              <w:left w:val="nil"/>
              <w:bottom w:val="nil"/>
              <w:right w:val="nil"/>
            </w:tcBorders>
            <w:shd w:val="clear" w:color="auto" w:fill="DAEEF3" w:themeFill="accent5" w:themeFillTint="33"/>
            <w:noWrap/>
            <w:vAlign w:val="bottom"/>
            <w:hideMark/>
          </w:tcPr>
          <w:p w14:paraId="1A0E7FD1"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181</w:t>
            </w:r>
          </w:p>
        </w:tc>
        <w:tc>
          <w:tcPr>
            <w:tcW w:w="1254" w:type="dxa"/>
            <w:tcBorders>
              <w:top w:val="nil"/>
              <w:left w:val="nil"/>
              <w:bottom w:val="nil"/>
              <w:right w:val="nil"/>
            </w:tcBorders>
            <w:shd w:val="clear" w:color="auto" w:fill="auto"/>
            <w:noWrap/>
            <w:vAlign w:val="bottom"/>
            <w:hideMark/>
          </w:tcPr>
          <w:p w14:paraId="394A2C1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198</w:t>
            </w:r>
          </w:p>
        </w:tc>
        <w:tc>
          <w:tcPr>
            <w:tcW w:w="1253" w:type="dxa"/>
            <w:tcBorders>
              <w:top w:val="nil"/>
              <w:left w:val="nil"/>
              <w:bottom w:val="nil"/>
              <w:right w:val="nil"/>
            </w:tcBorders>
            <w:shd w:val="clear" w:color="auto" w:fill="DAEEF3" w:themeFill="accent5" w:themeFillTint="33"/>
            <w:noWrap/>
            <w:vAlign w:val="bottom"/>
            <w:hideMark/>
          </w:tcPr>
          <w:p w14:paraId="6D89A2C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184</w:t>
            </w:r>
          </w:p>
        </w:tc>
        <w:tc>
          <w:tcPr>
            <w:tcW w:w="1254" w:type="dxa"/>
            <w:tcBorders>
              <w:top w:val="nil"/>
              <w:left w:val="nil"/>
              <w:bottom w:val="nil"/>
              <w:right w:val="nil"/>
            </w:tcBorders>
            <w:shd w:val="clear" w:color="auto" w:fill="auto"/>
            <w:noWrap/>
            <w:vAlign w:val="bottom"/>
            <w:hideMark/>
          </w:tcPr>
          <w:p w14:paraId="5435956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201</w:t>
            </w:r>
          </w:p>
        </w:tc>
        <w:tc>
          <w:tcPr>
            <w:tcW w:w="1254" w:type="dxa"/>
            <w:tcBorders>
              <w:top w:val="nil"/>
              <w:left w:val="nil"/>
              <w:bottom w:val="nil"/>
              <w:right w:val="single" w:sz="4" w:space="0" w:color="auto"/>
            </w:tcBorders>
            <w:shd w:val="clear" w:color="auto" w:fill="DAEEF3" w:themeFill="accent5" w:themeFillTint="33"/>
            <w:noWrap/>
            <w:vAlign w:val="bottom"/>
            <w:hideMark/>
          </w:tcPr>
          <w:p w14:paraId="26B0D7B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181</w:t>
            </w:r>
          </w:p>
        </w:tc>
      </w:tr>
      <w:tr w:rsidR="00597B9C" w:rsidRPr="00DA0360" w14:paraId="2AF0C3CA" w14:textId="77777777" w:rsidTr="00561E4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31D0A28F" w14:textId="77777777" w:rsidR="00597B9C" w:rsidRPr="00DA0360" w:rsidRDefault="00597B9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2BF91248"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1C4508">
              <w:rPr>
                <w:rFonts w:eastAsia="Times New Roman" w:cs="Arial"/>
                <w:b/>
                <w:color w:val="000000"/>
                <w:lang w:eastAsia="en-AU"/>
              </w:rPr>
              <w:t>,</w:t>
            </w:r>
            <w:r w:rsidRPr="00DA0360">
              <w:rPr>
                <w:rFonts w:eastAsia="Times New Roman" w:cs="Arial"/>
                <w:b/>
                <w:color w:val="000000"/>
                <w:lang w:eastAsia="en-AU"/>
              </w:rPr>
              <w:t>276</w:t>
            </w:r>
          </w:p>
        </w:tc>
        <w:tc>
          <w:tcPr>
            <w:tcW w:w="1254" w:type="dxa"/>
            <w:tcBorders>
              <w:top w:val="nil"/>
              <w:left w:val="nil"/>
              <w:bottom w:val="single" w:sz="4" w:space="0" w:color="auto"/>
              <w:right w:val="nil"/>
            </w:tcBorders>
            <w:shd w:val="clear" w:color="auto" w:fill="DAEEF3" w:themeFill="accent5" w:themeFillTint="33"/>
            <w:noWrap/>
            <w:vAlign w:val="bottom"/>
            <w:hideMark/>
          </w:tcPr>
          <w:p w14:paraId="0D3F0ED4"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1C4508">
              <w:rPr>
                <w:rFonts w:eastAsia="Times New Roman" w:cs="Arial"/>
                <w:b/>
                <w:color w:val="000000"/>
                <w:lang w:eastAsia="en-AU"/>
              </w:rPr>
              <w:t>,</w:t>
            </w:r>
            <w:r w:rsidRPr="00DA0360">
              <w:rPr>
                <w:rFonts w:eastAsia="Times New Roman" w:cs="Arial"/>
                <w:b/>
                <w:color w:val="000000"/>
                <w:lang w:eastAsia="en-AU"/>
              </w:rPr>
              <w:t>048</w:t>
            </w:r>
          </w:p>
        </w:tc>
        <w:tc>
          <w:tcPr>
            <w:tcW w:w="1253" w:type="dxa"/>
            <w:tcBorders>
              <w:top w:val="nil"/>
              <w:left w:val="nil"/>
              <w:bottom w:val="single" w:sz="4" w:space="0" w:color="auto"/>
              <w:right w:val="nil"/>
            </w:tcBorders>
            <w:shd w:val="clear" w:color="auto" w:fill="auto"/>
            <w:noWrap/>
            <w:vAlign w:val="bottom"/>
            <w:hideMark/>
          </w:tcPr>
          <w:p w14:paraId="4728971C"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1C4508">
              <w:rPr>
                <w:rFonts w:eastAsia="Times New Roman" w:cs="Arial"/>
                <w:b/>
                <w:color w:val="000000"/>
                <w:lang w:eastAsia="en-AU"/>
              </w:rPr>
              <w:t>,</w:t>
            </w:r>
            <w:r w:rsidRPr="00DA0360">
              <w:rPr>
                <w:rFonts w:eastAsia="Times New Roman" w:cs="Arial"/>
                <w:b/>
                <w:color w:val="000000"/>
                <w:lang w:eastAsia="en-AU"/>
              </w:rPr>
              <w:t>021</w:t>
            </w:r>
          </w:p>
        </w:tc>
        <w:tc>
          <w:tcPr>
            <w:tcW w:w="1254" w:type="dxa"/>
            <w:tcBorders>
              <w:top w:val="nil"/>
              <w:left w:val="nil"/>
              <w:bottom w:val="single" w:sz="4" w:space="0" w:color="auto"/>
              <w:right w:val="nil"/>
            </w:tcBorders>
            <w:shd w:val="clear" w:color="auto" w:fill="DAEEF3" w:themeFill="accent5" w:themeFillTint="33"/>
            <w:noWrap/>
            <w:vAlign w:val="bottom"/>
            <w:hideMark/>
          </w:tcPr>
          <w:p w14:paraId="7B39DA92"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1C4508">
              <w:rPr>
                <w:rFonts w:eastAsia="Times New Roman" w:cs="Arial"/>
                <w:b/>
                <w:color w:val="000000"/>
                <w:lang w:eastAsia="en-AU"/>
              </w:rPr>
              <w:t>,</w:t>
            </w:r>
            <w:r w:rsidRPr="00DA0360">
              <w:rPr>
                <w:rFonts w:eastAsia="Times New Roman" w:cs="Arial"/>
                <w:b/>
                <w:color w:val="000000"/>
                <w:lang w:eastAsia="en-AU"/>
              </w:rPr>
              <w:t>648</w:t>
            </w:r>
          </w:p>
        </w:tc>
        <w:tc>
          <w:tcPr>
            <w:tcW w:w="1254" w:type="dxa"/>
            <w:tcBorders>
              <w:top w:val="nil"/>
              <w:left w:val="nil"/>
              <w:bottom w:val="single" w:sz="4" w:space="0" w:color="auto"/>
              <w:right w:val="nil"/>
            </w:tcBorders>
            <w:shd w:val="clear" w:color="auto" w:fill="auto"/>
            <w:noWrap/>
            <w:vAlign w:val="bottom"/>
            <w:hideMark/>
          </w:tcPr>
          <w:p w14:paraId="7583053A"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w:t>
            </w:r>
            <w:r w:rsidR="001C4508">
              <w:rPr>
                <w:rFonts w:eastAsia="Times New Roman" w:cs="Arial"/>
                <w:b/>
                <w:color w:val="000000"/>
                <w:lang w:eastAsia="en-AU"/>
              </w:rPr>
              <w:t>,</w:t>
            </w:r>
            <w:r w:rsidRPr="00DA0360">
              <w:rPr>
                <w:rFonts w:eastAsia="Times New Roman" w:cs="Arial"/>
                <w:b/>
                <w:color w:val="000000"/>
                <w:lang w:eastAsia="en-AU"/>
              </w:rPr>
              <w:t>773</w:t>
            </w:r>
          </w:p>
        </w:tc>
        <w:tc>
          <w:tcPr>
            <w:tcW w:w="1253" w:type="dxa"/>
            <w:tcBorders>
              <w:top w:val="nil"/>
              <w:left w:val="nil"/>
              <w:bottom w:val="single" w:sz="4" w:space="0" w:color="auto"/>
              <w:right w:val="nil"/>
            </w:tcBorders>
            <w:shd w:val="clear" w:color="auto" w:fill="DAEEF3" w:themeFill="accent5" w:themeFillTint="33"/>
            <w:noWrap/>
            <w:vAlign w:val="bottom"/>
            <w:hideMark/>
          </w:tcPr>
          <w:p w14:paraId="3E6C7B61"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1C4508">
              <w:rPr>
                <w:rFonts w:eastAsia="Times New Roman" w:cs="Arial"/>
                <w:b/>
                <w:color w:val="000000"/>
                <w:lang w:eastAsia="en-AU"/>
              </w:rPr>
              <w:t>,</w:t>
            </w:r>
            <w:r w:rsidRPr="00DA0360">
              <w:rPr>
                <w:rFonts w:eastAsia="Times New Roman" w:cs="Arial"/>
                <w:b/>
                <w:color w:val="000000"/>
                <w:lang w:eastAsia="en-AU"/>
              </w:rPr>
              <w:t>752</w:t>
            </w:r>
          </w:p>
        </w:tc>
        <w:tc>
          <w:tcPr>
            <w:tcW w:w="1254" w:type="dxa"/>
            <w:tcBorders>
              <w:top w:val="nil"/>
              <w:left w:val="nil"/>
              <w:bottom w:val="single" w:sz="4" w:space="0" w:color="auto"/>
              <w:right w:val="nil"/>
            </w:tcBorders>
            <w:shd w:val="clear" w:color="auto" w:fill="auto"/>
            <w:noWrap/>
            <w:vAlign w:val="bottom"/>
            <w:hideMark/>
          </w:tcPr>
          <w:p w14:paraId="62C61513"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424</w:t>
            </w:r>
          </w:p>
        </w:tc>
        <w:tc>
          <w:tcPr>
            <w:tcW w:w="1253" w:type="dxa"/>
            <w:tcBorders>
              <w:top w:val="nil"/>
              <w:left w:val="nil"/>
              <w:bottom w:val="single" w:sz="4" w:space="0" w:color="auto"/>
              <w:right w:val="nil"/>
            </w:tcBorders>
            <w:shd w:val="clear" w:color="auto" w:fill="DAEEF3" w:themeFill="accent5" w:themeFillTint="33"/>
            <w:noWrap/>
            <w:vAlign w:val="bottom"/>
            <w:hideMark/>
          </w:tcPr>
          <w:p w14:paraId="642355C3"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580</w:t>
            </w:r>
          </w:p>
        </w:tc>
        <w:tc>
          <w:tcPr>
            <w:tcW w:w="1254" w:type="dxa"/>
            <w:tcBorders>
              <w:top w:val="nil"/>
              <w:left w:val="nil"/>
              <w:bottom w:val="single" w:sz="4" w:space="0" w:color="auto"/>
              <w:right w:val="nil"/>
            </w:tcBorders>
            <w:shd w:val="clear" w:color="auto" w:fill="auto"/>
            <w:noWrap/>
            <w:vAlign w:val="bottom"/>
            <w:hideMark/>
          </w:tcPr>
          <w:p w14:paraId="3A9E0E34"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942</w:t>
            </w:r>
          </w:p>
        </w:tc>
        <w:tc>
          <w:tcPr>
            <w:tcW w:w="1254" w:type="dxa"/>
            <w:tcBorders>
              <w:top w:val="nil"/>
              <w:left w:val="nil"/>
              <w:bottom w:val="single" w:sz="4" w:space="0" w:color="auto"/>
              <w:right w:val="single" w:sz="4" w:space="0" w:color="auto"/>
            </w:tcBorders>
            <w:shd w:val="clear" w:color="auto" w:fill="DAEEF3" w:themeFill="accent5" w:themeFillTint="33"/>
            <w:noWrap/>
            <w:vAlign w:val="bottom"/>
            <w:hideMark/>
          </w:tcPr>
          <w:p w14:paraId="5C93BE1A"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692</w:t>
            </w:r>
          </w:p>
        </w:tc>
      </w:tr>
      <w:tr w:rsidR="00597B9C" w:rsidRPr="00DA0360" w14:paraId="2080D66E" w14:textId="77777777" w:rsidTr="00561E44">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7193D5C6" w14:textId="77777777" w:rsidR="00597B9C" w:rsidRPr="00DA0360" w:rsidRDefault="00597B9C" w:rsidP="00CE2FDF">
            <w:pPr>
              <w:spacing w:before="0" w:line="276" w:lineRule="auto"/>
              <w:rPr>
                <w:rFonts w:eastAsia="Times New Roman" w:cs="Arial"/>
                <w:b/>
                <w:color w:val="000000"/>
                <w:lang w:eastAsia="en-AU"/>
              </w:rPr>
            </w:pPr>
            <w:r w:rsidRPr="00DA0360">
              <w:rPr>
                <w:rFonts w:eastAsia="Times New Roman" w:cs="Arial"/>
                <w:b/>
                <w:color w:val="000000"/>
                <w:lang w:eastAsia="en-AU"/>
              </w:rPr>
              <w:t>Physical Abuse</w:t>
            </w:r>
          </w:p>
        </w:tc>
        <w:tc>
          <w:tcPr>
            <w:tcW w:w="1253" w:type="dxa"/>
            <w:tcBorders>
              <w:top w:val="nil"/>
              <w:left w:val="nil"/>
              <w:bottom w:val="nil"/>
              <w:right w:val="nil"/>
            </w:tcBorders>
            <w:shd w:val="clear" w:color="auto" w:fill="auto"/>
            <w:noWrap/>
            <w:vAlign w:val="bottom"/>
            <w:hideMark/>
          </w:tcPr>
          <w:p w14:paraId="4F7D1260"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E5DFEC" w:themeFill="accent4" w:themeFillTint="33"/>
            <w:noWrap/>
            <w:vAlign w:val="bottom"/>
            <w:hideMark/>
          </w:tcPr>
          <w:p w14:paraId="0C36DA0D"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auto"/>
            <w:noWrap/>
            <w:vAlign w:val="bottom"/>
            <w:hideMark/>
          </w:tcPr>
          <w:p w14:paraId="2F57CACA"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E5DFEC" w:themeFill="accent4" w:themeFillTint="33"/>
            <w:noWrap/>
            <w:vAlign w:val="bottom"/>
            <w:hideMark/>
          </w:tcPr>
          <w:p w14:paraId="560B6559"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0E3BE97E"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E5DFEC" w:themeFill="accent4" w:themeFillTint="33"/>
            <w:noWrap/>
            <w:vAlign w:val="bottom"/>
            <w:hideMark/>
          </w:tcPr>
          <w:p w14:paraId="2B79384D"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6471BE48"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E5DFEC" w:themeFill="accent4" w:themeFillTint="33"/>
            <w:noWrap/>
            <w:vAlign w:val="bottom"/>
            <w:hideMark/>
          </w:tcPr>
          <w:p w14:paraId="7A9DC7F7"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120D3995"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single" w:sz="4" w:space="0" w:color="auto"/>
            </w:tcBorders>
            <w:shd w:val="clear" w:color="auto" w:fill="E5DFEC" w:themeFill="accent4" w:themeFillTint="33"/>
            <w:noWrap/>
            <w:vAlign w:val="bottom"/>
            <w:hideMark/>
          </w:tcPr>
          <w:p w14:paraId="2066BD82" w14:textId="77777777" w:rsidR="00597B9C" w:rsidRPr="00DA0360" w:rsidRDefault="00597B9C" w:rsidP="00CE2FDF">
            <w:pPr>
              <w:spacing w:before="0" w:line="276" w:lineRule="auto"/>
              <w:jc w:val="right"/>
              <w:rPr>
                <w:rFonts w:eastAsia="Times New Roman" w:cs="Arial"/>
                <w:b/>
                <w:color w:val="FF0000"/>
                <w:lang w:eastAsia="en-AU"/>
              </w:rPr>
            </w:pPr>
          </w:p>
        </w:tc>
      </w:tr>
      <w:tr w:rsidR="00597B9C" w:rsidRPr="001565F1" w14:paraId="0EDD4C87"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9AF0844"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1ADCC51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765</w:t>
            </w:r>
          </w:p>
        </w:tc>
        <w:tc>
          <w:tcPr>
            <w:tcW w:w="1254" w:type="dxa"/>
            <w:tcBorders>
              <w:top w:val="nil"/>
              <w:left w:val="nil"/>
              <w:bottom w:val="nil"/>
              <w:right w:val="nil"/>
            </w:tcBorders>
            <w:shd w:val="clear" w:color="auto" w:fill="E5DFEC" w:themeFill="accent4" w:themeFillTint="33"/>
            <w:noWrap/>
            <w:vAlign w:val="bottom"/>
            <w:hideMark/>
          </w:tcPr>
          <w:p w14:paraId="2280BEAC"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933</w:t>
            </w:r>
          </w:p>
        </w:tc>
        <w:tc>
          <w:tcPr>
            <w:tcW w:w="1253" w:type="dxa"/>
            <w:tcBorders>
              <w:top w:val="nil"/>
              <w:left w:val="nil"/>
              <w:bottom w:val="nil"/>
              <w:right w:val="nil"/>
            </w:tcBorders>
            <w:shd w:val="clear" w:color="auto" w:fill="auto"/>
            <w:noWrap/>
            <w:vAlign w:val="bottom"/>
            <w:hideMark/>
          </w:tcPr>
          <w:p w14:paraId="401F8761"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872</w:t>
            </w:r>
          </w:p>
        </w:tc>
        <w:tc>
          <w:tcPr>
            <w:tcW w:w="1254" w:type="dxa"/>
            <w:tcBorders>
              <w:top w:val="nil"/>
              <w:left w:val="nil"/>
              <w:bottom w:val="nil"/>
              <w:right w:val="nil"/>
            </w:tcBorders>
            <w:shd w:val="clear" w:color="auto" w:fill="E5DFEC" w:themeFill="accent4" w:themeFillTint="33"/>
            <w:noWrap/>
            <w:vAlign w:val="bottom"/>
            <w:hideMark/>
          </w:tcPr>
          <w:p w14:paraId="1499653D"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409</w:t>
            </w:r>
          </w:p>
        </w:tc>
        <w:tc>
          <w:tcPr>
            <w:tcW w:w="1254" w:type="dxa"/>
            <w:tcBorders>
              <w:top w:val="nil"/>
              <w:left w:val="nil"/>
              <w:bottom w:val="nil"/>
              <w:right w:val="nil"/>
            </w:tcBorders>
            <w:shd w:val="clear" w:color="auto" w:fill="auto"/>
            <w:noWrap/>
            <w:vAlign w:val="bottom"/>
            <w:hideMark/>
          </w:tcPr>
          <w:p w14:paraId="5BCD9632"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135</w:t>
            </w:r>
          </w:p>
        </w:tc>
        <w:tc>
          <w:tcPr>
            <w:tcW w:w="1253" w:type="dxa"/>
            <w:tcBorders>
              <w:top w:val="nil"/>
              <w:left w:val="nil"/>
              <w:bottom w:val="nil"/>
              <w:right w:val="nil"/>
            </w:tcBorders>
            <w:shd w:val="clear" w:color="auto" w:fill="E5DFEC" w:themeFill="accent4" w:themeFillTint="33"/>
            <w:noWrap/>
            <w:vAlign w:val="bottom"/>
            <w:hideMark/>
          </w:tcPr>
          <w:p w14:paraId="7907EF7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639</w:t>
            </w:r>
          </w:p>
        </w:tc>
        <w:tc>
          <w:tcPr>
            <w:tcW w:w="1254" w:type="dxa"/>
            <w:tcBorders>
              <w:top w:val="nil"/>
              <w:left w:val="nil"/>
              <w:bottom w:val="nil"/>
              <w:right w:val="nil"/>
            </w:tcBorders>
            <w:shd w:val="clear" w:color="auto" w:fill="auto"/>
            <w:noWrap/>
            <w:vAlign w:val="bottom"/>
            <w:hideMark/>
          </w:tcPr>
          <w:p w14:paraId="407B0A11"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388</w:t>
            </w:r>
          </w:p>
        </w:tc>
        <w:tc>
          <w:tcPr>
            <w:tcW w:w="1253" w:type="dxa"/>
            <w:tcBorders>
              <w:top w:val="nil"/>
              <w:left w:val="nil"/>
              <w:bottom w:val="nil"/>
              <w:right w:val="nil"/>
            </w:tcBorders>
            <w:shd w:val="clear" w:color="auto" w:fill="E5DFEC" w:themeFill="accent4" w:themeFillTint="33"/>
            <w:noWrap/>
            <w:vAlign w:val="bottom"/>
            <w:hideMark/>
          </w:tcPr>
          <w:p w14:paraId="4B3DF3A2"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714</w:t>
            </w:r>
          </w:p>
        </w:tc>
        <w:tc>
          <w:tcPr>
            <w:tcW w:w="1254" w:type="dxa"/>
            <w:tcBorders>
              <w:top w:val="nil"/>
              <w:left w:val="nil"/>
              <w:bottom w:val="nil"/>
              <w:right w:val="nil"/>
            </w:tcBorders>
            <w:shd w:val="clear" w:color="auto" w:fill="auto"/>
            <w:noWrap/>
            <w:vAlign w:val="bottom"/>
            <w:hideMark/>
          </w:tcPr>
          <w:p w14:paraId="22B8764E"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597</w:t>
            </w:r>
          </w:p>
        </w:tc>
        <w:tc>
          <w:tcPr>
            <w:tcW w:w="1254" w:type="dxa"/>
            <w:tcBorders>
              <w:top w:val="nil"/>
              <w:left w:val="nil"/>
              <w:bottom w:val="nil"/>
              <w:right w:val="single" w:sz="4" w:space="0" w:color="auto"/>
            </w:tcBorders>
            <w:shd w:val="clear" w:color="auto" w:fill="E5DFEC" w:themeFill="accent4" w:themeFillTint="33"/>
            <w:noWrap/>
            <w:vAlign w:val="bottom"/>
            <w:hideMark/>
          </w:tcPr>
          <w:p w14:paraId="199F49C2"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977</w:t>
            </w:r>
          </w:p>
        </w:tc>
      </w:tr>
      <w:tr w:rsidR="000E61DB" w:rsidRPr="001565F1" w14:paraId="21A8C31B"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ACDA198"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1DBD3A2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591</w:t>
            </w:r>
          </w:p>
        </w:tc>
        <w:tc>
          <w:tcPr>
            <w:tcW w:w="1254" w:type="dxa"/>
            <w:tcBorders>
              <w:top w:val="nil"/>
              <w:left w:val="nil"/>
              <w:bottom w:val="nil"/>
              <w:right w:val="nil"/>
            </w:tcBorders>
            <w:shd w:val="clear" w:color="auto" w:fill="E5DFEC" w:themeFill="accent4" w:themeFillTint="33"/>
            <w:noWrap/>
            <w:vAlign w:val="bottom"/>
            <w:hideMark/>
          </w:tcPr>
          <w:p w14:paraId="7F6CE69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533</w:t>
            </w:r>
          </w:p>
        </w:tc>
        <w:tc>
          <w:tcPr>
            <w:tcW w:w="1253" w:type="dxa"/>
            <w:tcBorders>
              <w:top w:val="nil"/>
              <w:left w:val="nil"/>
              <w:bottom w:val="nil"/>
              <w:right w:val="nil"/>
            </w:tcBorders>
            <w:shd w:val="clear" w:color="auto" w:fill="auto"/>
            <w:noWrap/>
            <w:vAlign w:val="bottom"/>
            <w:hideMark/>
          </w:tcPr>
          <w:p w14:paraId="0FD856A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271</w:t>
            </w:r>
          </w:p>
        </w:tc>
        <w:tc>
          <w:tcPr>
            <w:tcW w:w="1254" w:type="dxa"/>
            <w:tcBorders>
              <w:top w:val="nil"/>
              <w:left w:val="nil"/>
              <w:bottom w:val="nil"/>
              <w:right w:val="nil"/>
            </w:tcBorders>
            <w:shd w:val="clear" w:color="auto" w:fill="E5DFEC" w:themeFill="accent4" w:themeFillTint="33"/>
            <w:noWrap/>
            <w:vAlign w:val="bottom"/>
            <w:hideMark/>
          </w:tcPr>
          <w:p w14:paraId="798105E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476</w:t>
            </w:r>
          </w:p>
        </w:tc>
        <w:tc>
          <w:tcPr>
            <w:tcW w:w="1254" w:type="dxa"/>
            <w:tcBorders>
              <w:top w:val="nil"/>
              <w:left w:val="nil"/>
              <w:bottom w:val="nil"/>
              <w:right w:val="nil"/>
            </w:tcBorders>
            <w:shd w:val="clear" w:color="auto" w:fill="auto"/>
            <w:noWrap/>
            <w:vAlign w:val="bottom"/>
            <w:hideMark/>
          </w:tcPr>
          <w:p w14:paraId="65CD5D5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181</w:t>
            </w:r>
          </w:p>
        </w:tc>
        <w:tc>
          <w:tcPr>
            <w:tcW w:w="1253" w:type="dxa"/>
            <w:tcBorders>
              <w:top w:val="nil"/>
              <w:left w:val="nil"/>
              <w:bottom w:val="nil"/>
              <w:right w:val="nil"/>
            </w:tcBorders>
            <w:shd w:val="clear" w:color="auto" w:fill="E5DFEC" w:themeFill="accent4" w:themeFillTint="33"/>
            <w:noWrap/>
            <w:vAlign w:val="bottom"/>
            <w:hideMark/>
          </w:tcPr>
          <w:p w14:paraId="1281CEF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488</w:t>
            </w:r>
          </w:p>
        </w:tc>
        <w:tc>
          <w:tcPr>
            <w:tcW w:w="1254" w:type="dxa"/>
            <w:tcBorders>
              <w:top w:val="nil"/>
              <w:left w:val="nil"/>
              <w:bottom w:val="nil"/>
              <w:right w:val="nil"/>
            </w:tcBorders>
            <w:shd w:val="clear" w:color="auto" w:fill="auto"/>
            <w:noWrap/>
            <w:vAlign w:val="bottom"/>
            <w:hideMark/>
          </w:tcPr>
          <w:p w14:paraId="18ED616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558</w:t>
            </w:r>
          </w:p>
        </w:tc>
        <w:tc>
          <w:tcPr>
            <w:tcW w:w="1253" w:type="dxa"/>
            <w:tcBorders>
              <w:top w:val="nil"/>
              <w:left w:val="nil"/>
              <w:bottom w:val="nil"/>
              <w:right w:val="nil"/>
            </w:tcBorders>
            <w:shd w:val="clear" w:color="auto" w:fill="E5DFEC" w:themeFill="accent4" w:themeFillTint="33"/>
            <w:noWrap/>
            <w:vAlign w:val="bottom"/>
            <w:hideMark/>
          </w:tcPr>
          <w:p w14:paraId="65BD679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805</w:t>
            </w:r>
          </w:p>
        </w:tc>
        <w:tc>
          <w:tcPr>
            <w:tcW w:w="1254" w:type="dxa"/>
            <w:tcBorders>
              <w:top w:val="nil"/>
              <w:left w:val="nil"/>
              <w:bottom w:val="nil"/>
              <w:right w:val="nil"/>
            </w:tcBorders>
            <w:shd w:val="clear" w:color="auto" w:fill="auto"/>
            <w:noWrap/>
            <w:vAlign w:val="bottom"/>
            <w:hideMark/>
          </w:tcPr>
          <w:p w14:paraId="2E3B927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719</w:t>
            </w:r>
          </w:p>
        </w:tc>
        <w:tc>
          <w:tcPr>
            <w:tcW w:w="1254" w:type="dxa"/>
            <w:tcBorders>
              <w:top w:val="nil"/>
              <w:left w:val="nil"/>
              <w:bottom w:val="nil"/>
              <w:right w:val="single" w:sz="4" w:space="0" w:color="auto"/>
            </w:tcBorders>
            <w:shd w:val="clear" w:color="auto" w:fill="E5DFEC" w:themeFill="accent4" w:themeFillTint="33"/>
            <w:noWrap/>
            <w:vAlign w:val="bottom"/>
            <w:hideMark/>
          </w:tcPr>
          <w:p w14:paraId="3E6E1F0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315</w:t>
            </w:r>
          </w:p>
        </w:tc>
      </w:tr>
      <w:tr w:rsidR="00597B9C" w:rsidRPr="001565F1" w14:paraId="4A13F899"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6251B6CD"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73DEC81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954</w:t>
            </w:r>
          </w:p>
        </w:tc>
        <w:tc>
          <w:tcPr>
            <w:tcW w:w="1254" w:type="dxa"/>
            <w:tcBorders>
              <w:top w:val="nil"/>
              <w:left w:val="nil"/>
              <w:bottom w:val="nil"/>
              <w:right w:val="nil"/>
            </w:tcBorders>
            <w:shd w:val="clear" w:color="auto" w:fill="E5DFEC" w:themeFill="accent4" w:themeFillTint="33"/>
            <w:noWrap/>
            <w:vAlign w:val="bottom"/>
            <w:hideMark/>
          </w:tcPr>
          <w:p w14:paraId="44ADF5BD"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017</w:t>
            </w:r>
          </w:p>
        </w:tc>
        <w:tc>
          <w:tcPr>
            <w:tcW w:w="1253" w:type="dxa"/>
            <w:tcBorders>
              <w:top w:val="nil"/>
              <w:left w:val="nil"/>
              <w:bottom w:val="nil"/>
              <w:right w:val="nil"/>
            </w:tcBorders>
            <w:shd w:val="clear" w:color="auto" w:fill="auto"/>
            <w:noWrap/>
            <w:vAlign w:val="bottom"/>
            <w:hideMark/>
          </w:tcPr>
          <w:p w14:paraId="60B92B1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936</w:t>
            </w:r>
          </w:p>
        </w:tc>
        <w:tc>
          <w:tcPr>
            <w:tcW w:w="1254" w:type="dxa"/>
            <w:tcBorders>
              <w:top w:val="nil"/>
              <w:left w:val="nil"/>
              <w:bottom w:val="nil"/>
              <w:right w:val="nil"/>
            </w:tcBorders>
            <w:shd w:val="clear" w:color="auto" w:fill="E5DFEC" w:themeFill="accent4" w:themeFillTint="33"/>
            <w:noWrap/>
            <w:vAlign w:val="bottom"/>
            <w:hideMark/>
          </w:tcPr>
          <w:p w14:paraId="3AB75D5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022</w:t>
            </w:r>
          </w:p>
        </w:tc>
        <w:tc>
          <w:tcPr>
            <w:tcW w:w="1254" w:type="dxa"/>
            <w:tcBorders>
              <w:top w:val="nil"/>
              <w:left w:val="nil"/>
              <w:bottom w:val="nil"/>
              <w:right w:val="nil"/>
            </w:tcBorders>
            <w:shd w:val="clear" w:color="auto" w:fill="auto"/>
            <w:noWrap/>
            <w:vAlign w:val="bottom"/>
            <w:hideMark/>
          </w:tcPr>
          <w:p w14:paraId="278389E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546</w:t>
            </w:r>
          </w:p>
        </w:tc>
        <w:tc>
          <w:tcPr>
            <w:tcW w:w="1253" w:type="dxa"/>
            <w:tcBorders>
              <w:top w:val="nil"/>
              <w:left w:val="nil"/>
              <w:bottom w:val="nil"/>
              <w:right w:val="nil"/>
            </w:tcBorders>
            <w:shd w:val="clear" w:color="auto" w:fill="E5DFEC" w:themeFill="accent4" w:themeFillTint="33"/>
            <w:noWrap/>
            <w:vAlign w:val="bottom"/>
            <w:hideMark/>
          </w:tcPr>
          <w:p w14:paraId="7C4D189C"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599</w:t>
            </w:r>
          </w:p>
        </w:tc>
        <w:tc>
          <w:tcPr>
            <w:tcW w:w="1254" w:type="dxa"/>
            <w:tcBorders>
              <w:top w:val="nil"/>
              <w:left w:val="nil"/>
              <w:bottom w:val="nil"/>
              <w:right w:val="nil"/>
            </w:tcBorders>
            <w:shd w:val="clear" w:color="auto" w:fill="auto"/>
            <w:noWrap/>
            <w:vAlign w:val="bottom"/>
            <w:hideMark/>
          </w:tcPr>
          <w:p w14:paraId="34B60864"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615</w:t>
            </w:r>
          </w:p>
        </w:tc>
        <w:tc>
          <w:tcPr>
            <w:tcW w:w="1253" w:type="dxa"/>
            <w:tcBorders>
              <w:top w:val="nil"/>
              <w:left w:val="nil"/>
              <w:bottom w:val="nil"/>
              <w:right w:val="nil"/>
            </w:tcBorders>
            <w:shd w:val="clear" w:color="auto" w:fill="E5DFEC" w:themeFill="accent4" w:themeFillTint="33"/>
            <w:noWrap/>
            <w:vAlign w:val="bottom"/>
            <w:hideMark/>
          </w:tcPr>
          <w:p w14:paraId="466CB79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678</w:t>
            </w:r>
          </w:p>
        </w:tc>
        <w:tc>
          <w:tcPr>
            <w:tcW w:w="1254" w:type="dxa"/>
            <w:tcBorders>
              <w:top w:val="nil"/>
              <w:left w:val="nil"/>
              <w:bottom w:val="nil"/>
              <w:right w:val="nil"/>
            </w:tcBorders>
            <w:shd w:val="clear" w:color="auto" w:fill="auto"/>
            <w:noWrap/>
            <w:vAlign w:val="bottom"/>
            <w:hideMark/>
          </w:tcPr>
          <w:p w14:paraId="53CB54AC"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709</w:t>
            </w:r>
          </w:p>
        </w:tc>
        <w:tc>
          <w:tcPr>
            <w:tcW w:w="1254" w:type="dxa"/>
            <w:tcBorders>
              <w:top w:val="nil"/>
              <w:left w:val="nil"/>
              <w:bottom w:val="nil"/>
              <w:right w:val="single" w:sz="4" w:space="0" w:color="auto"/>
            </w:tcBorders>
            <w:shd w:val="clear" w:color="auto" w:fill="E5DFEC" w:themeFill="accent4" w:themeFillTint="33"/>
            <w:noWrap/>
            <w:vAlign w:val="bottom"/>
            <w:hideMark/>
          </w:tcPr>
          <w:p w14:paraId="3A7C3542"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099</w:t>
            </w:r>
          </w:p>
        </w:tc>
      </w:tr>
      <w:tr w:rsidR="00597B9C" w:rsidRPr="001565F1" w14:paraId="53BB61D8"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B34D454"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34C2970C"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637</w:t>
            </w:r>
          </w:p>
        </w:tc>
        <w:tc>
          <w:tcPr>
            <w:tcW w:w="1254" w:type="dxa"/>
            <w:tcBorders>
              <w:top w:val="nil"/>
              <w:left w:val="nil"/>
              <w:bottom w:val="nil"/>
              <w:right w:val="nil"/>
            </w:tcBorders>
            <w:shd w:val="clear" w:color="auto" w:fill="E5DFEC" w:themeFill="accent4" w:themeFillTint="33"/>
            <w:noWrap/>
            <w:vAlign w:val="bottom"/>
            <w:hideMark/>
          </w:tcPr>
          <w:p w14:paraId="28297D01"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516</w:t>
            </w:r>
          </w:p>
        </w:tc>
        <w:tc>
          <w:tcPr>
            <w:tcW w:w="1253" w:type="dxa"/>
            <w:tcBorders>
              <w:top w:val="nil"/>
              <w:left w:val="nil"/>
              <w:bottom w:val="nil"/>
              <w:right w:val="nil"/>
            </w:tcBorders>
            <w:shd w:val="clear" w:color="auto" w:fill="auto"/>
            <w:noWrap/>
            <w:vAlign w:val="bottom"/>
            <w:hideMark/>
          </w:tcPr>
          <w:p w14:paraId="5AAD5A71"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335</w:t>
            </w:r>
          </w:p>
        </w:tc>
        <w:tc>
          <w:tcPr>
            <w:tcW w:w="1254" w:type="dxa"/>
            <w:tcBorders>
              <w:top w:val="nil"/>
              <w:left w:val="nil"/>
              <w:bottom w:val="nil"/>
              <w:right w:val="nil"/>
            </w:tcBorders>
            <w:shd w:val="clear" w:color="auto" w:fill="E5DFEC" w:themeFill="accent4" w:themeFillTint="33"/>
            <w:noWrap/>
            <w:vAlign w:val="bottom"/>
            <w:hideMark/>
          </w:tcPr>
          <w:p w14:paraId="47737B0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454</w:t>
            </w:r>
          </w:p>
        </w:tc>
        <w:tc>
          <w:tcPr>
            <w:tcW w:w="1254" w:type="dxa"/>
            <w:tcBorders>
              <w:top w:val="nil"/>
              <w:left w:val="nil"/>
              <w:bottom w:val="nil"/>
              <w:right w:val="nil"/>
            </w:tcBorders>
            <w:shd w:val="clear" w:color="auto" w:fill="auto"/>
            <w:noWrap/>
            <w:vAlign w:val="bottom"/>
            <w:hideMark/>
          </w:tcPr>
          <w:p w14:paraId="34440E3E"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635</w:t>
            </w:r>
          </w:p>
        </w:tc>
        <w:tc>
          <w:tcPr>
            <w:tcW w:w="1253" w:type="dxa"/>
            <w:tcBorders>
              <w:top w:val="nil"/>
              <w:left w:val="nil"/>
              <w:bottom w:val="nil"/>
              <w:right w:val="nil"/>
            </w:tcBorders>
            <w:shd w:val="clear" w:color="auto" w:fill="E5DFEC" w:themeFill="accent4" w:themeFillTint="33"/>
            <w:noWrap/>
            <w:vAlign w:val="bottom"/>
            <w:hideMark/>
          </w:tcPr>
          <w:p w14:paraId="31E331AC"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889</w:t>
            </w:r>
          </w:p>
        </w:tc>
        <w:tc>
          <w:tcPr>
            <w:tcW w:w="1254" w:type="dxa"/>
            <w:tcBorders>
              <w:top w:val="nil"/>
              <w:left w:val="nil"/>
              <w:bottom w:val="nil"/>
              <w:right w:val="nil"/>
            </w:tcBorders>
            <w:shd w:val="clear" w:color="auto" w:fill="auto"/>
            <w:noWrap/>
            <w:vAlign w:val="bottom"/>
            <w:hideMark/>
          </w:tcPr>
          <w:p w14:paraId="73F56275"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943</w:t>
            </w:r>
          </w:p>
        </w:tc>
        <w:tc>
          <w:tcPr>
            <w:tcW w:w="1253" w:type="dxa"/>
            <w:tcBorders>
              <w:top w:val="nil"/>
              <w:left w:val="nil"/>
              <w:bottom w:val="nil"/>
              <w:right w:val="nil"/>
            </w:tcBorders>
            <w:shd w:val="clear" w:color="auto" w:fill="E5DFEC" w:themeFill="accent4" w:themeFillTint="33"/>
            <w:noWrap/>
            <w:vAlign w:val="bottom"/>
            <w:hideMark/>
          </w:tcPr>
          <w:p w14:paraId="27CF0D94"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127</w:t>
            </w:r>
          </w:p>
        </w:tc>
        <w:tc>
          <w:tcPr>
            <w:tcW w:w="1254" w:type="dxa"/>
            <w:tcBorders>
              <w:top w:val="nil"/>
              <w:left w:val="nil"/>
              <w:bottom w:val="nil"/>
              <w:right w:val="nil"/>
            </w:tcBorders>
            <w:shd w:val="clear" w:color="auto" w:fill="auto"/>
            <w:noWrap/>
            <w:vAlign w:val="bottom"/>
            <w:hideMark/>
          </w:tcPr>
          <w:p w14:paraId="4D48AFF8"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010</w:t>
            </w:r>
          </w:p>
        </w:tc>
        <w:tc>
          <w:tcPr>
            <w:tcW w:w="1254" w:type="dxa"/>
            <w:tcBorders>
              <w:top w:val="nil"/>
              <w:left w:val="nil"/>
              <w:bottom w:val="nil"/>
              <w:right w:val="single" w:sz="4" w:space="0" w:color="auto"/>
            </w:tcBorders>
            <w:shd w:val="clear" w:color="auto" w:fill="E5DFEC" w:themeFill="accent4" w:themeFillTint="33"/>
            <w:noWrap/>
            <w:vAlign w:val="bottom"/>
            <w:hideMark/>
          </w:tcPr>
          <w:p w14:paraId="7893A8B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216</w:t>
            </w:r>
          </w:p>
        </w:tc>
      </w:tr>
      <w:tr w:rsidR="00597B9C" w:rsidRPr="00DA0360" w14:paraId="2C1D1B24" w14:textId="77777777" w:rsidTr="00561E4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56A589B0" w14:textId="77777777" w:rsidR="00597B9C" w:rsidRPr="00DA0360" w:rsidRDefault="00597B9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27A00632"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1C4508">
              <w:rPr>
                <w:rFonts w:eastAsia="Times New Roman" w:cs="Arial"/>
                <w:b/>
                <w:color w:val="000000"/>
                <w:lang w:eastAsia="en-AU"/>
              </w:rPr>
              <w:t>,</w:t>
            </w:r>
            <w:r w:rsidRPr="00DA0360">
              <w:rPr>
                <w:rFonts w:eastAsia="Times New Roman" w:cs="Arial"/>
                <w:b/>
                <w:color w:val="000000"/>
                <w:lang w:eastAsia="en-AU"/>
              </w:rPr>
              <w:t>356</w:t>
            </w:r>
          </w:p>
        </w:tc>
        <w:tc>
          <w:tcPr>
            <w:tcW w:w="1254" w:type="dxa"/>
            <w:tcBorders>
              <w:top w:val="nil"/>
              <w:left w:val="nil"/>
              <w:bottom w:val="single" w:sz="4" w:space="0" w:color="auto"/>
              <w:right w:val="nil"/>
            </w:tcBorders>
            <w:shd w:val="clear" w:color="auto" w:fill="E5DFEC" w:themeFill="accent4" w:themeFillTint="33"/>
            <w:noWrap/>
            <w:vAlign w:val="bottom"/>
            <w:hideMark/>
          </w:tcPr>
          <w:p w14:paraId="411A7D29"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1C4508">
              <w:rPr>
                <w:rFonts w:eastAsia="Times New Roman" w:cs="Arial"/>
                <w:b/>
                <w:color w:val="000000"/>
                <w:lang w:eastAsia="en-AU"/>
              </w:rPr>
              <w:t>,</w:t>
            </w:r>
            <w:r w:rsidRPr="00DA0360">
              <w:rPr>
                <w:rFonts w:eastAsia="Times New Roman" w:cs="Arial"/>
                <w:b/>
                <w:color w:val="000000"/>
                <w:lang w:eastAsia="en-AU"/>
              </w:rPr>
              <w:t>466</w:t>
            </w:r>
          </w:p>
        </w:tc>
        <w:tc>
          <w:tcPr>
            <w:tcW w:w="1253" w:type="dxa"/>
            <w:tcBorders>
              <w:top w:val="nil"/>
              <w:left w:val="nil"/>
              <w:bottom w:val="single" w:sz="4" w:space="0" w:color="auto"/>
              <w:right w:val="nil"/>
            </w:tcBorders>
            <w:shd w:val="clear" w:color="auto" w:fill="auto"/>
            <w:noWrap/>
            <w:vAlign w:val="bottom"/>
            <w:hideMark/>
          </w:tcPr>
          <w:p w14:paraId="3040754C"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1C4508">
              <w:rPr>
                <w:rFonts w:eastAsia="Times New Roman" w:cs="Arial"/>
                <w:b/>
                <w:color w:val="000000"/>
                <w:lang w:eastAsia="en-AU"/>
              </w:rPr>
              <w:t>,</w:t>
            </w:r>
            <w:r w:rsidRPr="00DA0360">
              <w:rPr>
                <w:rFonts w:eastAsia="Times New Roman" w:cs="Arial"/>
                <w:b/>
                <w:color w:val="000000"/>
                <w:lang w:eastAsia="en-AU"/>
              </w:rPr>
              <w:t>143</w:t>
            </w:r>
          </w:p>
        </w:tc>
        <w:tc>
          <w:tcPr>
            <w:tcW w:w="1254" w:type="dxa"/>
            <w:tcBorders>
              <w:top w:val="nil"/>
              <w:left w:val="nil"/>
              <w:bottom w:val="single" w:sz="4" w:space="0" w:color="auto"/>
              <w:right w:val="nil"/>
            </w:tcBorders>
            <w:shd w:val="clear" w:color="auto" w:fill="E5DFEC" w:themeFill="accent4" w:themeFillTint="33"/>
            <w:noWrap/>
            <w:vAlign w:val="bottom"/>
            <w:hideMark/>
          </w:tcPr>
          <w:p w14:paraId="33E0B190"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1C4508">
              <w:rPr>
                <w:rFonts w:eastAsia="Times New Roman" w:cs="Arial"/>
                <w:b/>
                <w:color w:val="000000"/>
                <w:lang w:eastAsia="en-AU"/>
              </w:rPr>
              <w:t>,</w:t>
            </w:r>
            <w:r w:rsidRPr="00DA0360">
              <w:rPr>
                <w:rFonts w:eastAsia="Times New Roman" w:cs="Arial"/>
                <w:b/>
                <w:color w:val="000000"/>
                <w:lang w:eastAsia="en-AU"/>
              </w:rPr>
              <w:t>885</w:t>
            </w:r>
          </w:p>
        </w:tc>
        <w:tc>
          <w:tcPr>
            <w:tcW w:w="1254" w:type="dxa"/>
            <w:tcBorders>
              <w:top w:val="nil"/>
              <w:left w:val="nil"/>
              <w:bottom w:val="single" w:sz="4" w:space="0" w:color="auto"/>
              <w:right w:val="nil"/>
            </w:tcBorders>
            <w:shd w:val="clear" w:color="auto" w:fill="auto"/>
            <w:noWrap/>
            <w:vAlign w:val="bottom"/>
            <w:hideMark/>
          </w:tcPr>
          <w:p w14:paraId="4E08A9B1"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w:t>
            </w:r>
            <w:r w:rsidR="001C4508">
              <w:rPr>
                <w:rFonts w:eastAsia="Times New Roman" w:cs="Arial"/>
                <w:b/>
                <w:color w:val="000000"/>
                <w:lang w:eastAsia="en-AU"/>
              </w:rPr>
              <w:t>,</w:t>
            </w:r>
            <w:r w:rsidRPr="00DA0360">
              <w:rPr>
                <w:rFonts w:eastAsia="Times New Roman" w:cs="Arial"/>
                <w:b/>
                <w:color w:val="000000"/>
                <w:lang w:eastAsia="en-AU"/>
              </w:rPr>
              <w:t>316</w:t>
            </w:r>
          </w:p>
        </w:tc>
        <w:tc>
          <w:tcPr>
            <w:tcW w:w="1253" w:type="dxa"/>
            <w:tcBorders>
              <w:top w:val="nil"/>
              <w:left w:val="nil"/>
              <w:bottom w:val="single" w:sz="4" w:space="0" w:color="auto"/>
              <w:right w:val="nil"/>
            </w:tcBorders>
            <w:shd w:val="clear" w:color="auto" w:fill="E5DFEC" w:themeFill="accent4" w:themeFillTint="33"/>
            <w:noWrap/>
            <w:vAlign w:val="bottom"/>
            <w:hideMark/>
          </w:tcPr>
          <w:p w14:paraId="3D62D6F9"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w:t>
            </w:r>
            <w:r w:rsidR="001C4508">
              <w:rPr>
                <w:rFonts w:eastAsia="Times New Roman" w:cs="Arial"/>
                <w:b/>
                <w:color w:val="000000"/>
                <w:lang w:eastAsia="en-AU"/>
              </w:rPr>
              <w:t>,</w:t>
            </w:r>
            <w:r w:rsidRPr="00DA0360">
              <w:rPr>
                <w:rFonts w:eastAsia="Times New Roman" w:cs="Arial"/>
                <w:b/>
                <w:color w:val="000000"/>
                <w:lang w:eastAsia="en-AU"/>
              </w:rPr>
              <w:t>127</w:t>
            </w:r>
          </w:p>
        </w:tc>
        <w:tc>
          <w:tcPr>
            <w:tcW w:w="1254" w:type="dxa"/>
            <w:tcBorders>
              <w:top w:val="nil"/>
              <w:left w:val="nil"/>
              <w:bottom w:val="single" w:sz="4" w:space="0" w:color="auto"/>
              <w:right w:val="nil"/>
            </w:tcBorders>
            <w:shd w:val="clear" w:color="auto" w:fill="auto"/>
            <w:noWrap/>
            <w:vAlign w:val="bottom"/>
            <w:hideMark/>
          </w:tcPr>
          <w:p w14:paraId="13DDE8F9"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w:t>
            </w:r>
            <w:r w:rsidR="001C4508">
              <w:rPr>
                <w:rFonts w:eastAsia="Times New Roman" w:cs="Arial"/>
                <w:b/>
                <w:color w:val="000000"/>
                <w:lang w:eastAsia="en-AU"/>
              </w:rPr>
              <w:t>,</w:t>
            </w:r>
            <w:r w:rsidRPr="00DA0360">
              <w:rPr>
                <w:rFonts w:eastAsia="Times New Roman" w:cs="Arial"/>
                <w:b/>
                <w:color w:val="000000"/>
                <w:lang w:eastAsia="en-AU"/>
              </w:rPr>
              <w:t>946</w:t>
            </w:r>
          </w:p>
        </w:tc>
        <w:tc>
          <w:tcPr>
            <w:tcW w:w="1253" w:type="dxa"/>
            <w:tcBorders>
              <w:top w:val="nil"/>
              <w:left w:val="nil"/>
              <w:bottom w:val="single" w:sz="4" w:space="0" w:color="auto"/>
              <w:right w:val="nil"/>
            </w:tcBorders>
            <w:shd w:val="clear" w:color="auto" w:fill="E5DFEC" w:themeFill="accent4" w:themeFillTint="33"/>
            <w:noWrap/>
            <w:vAlign w:val="bottom"/>
            <w:hideMark/>
          </w:tcPr>
          <w:p w14:paraId="433F5C1E"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w:t>
            </w:r>
            <w:r w:rsidR="001C4508">
              <w:rPr>
                <w:rFonts w:eastAsia="Times New Roman" w:cs="Arial"/>
                <w:b/>
                <w:color w:val="000000"/>
                <w:lang w:eastAsia="en-AU"/>
              </w:rPr>
              <w:t>,</w:t>
            </w:r>
            <w:r w:rsidRPr="00DA0360">
              <w:rPr>
                <w:rFonts w:eastAsia="Times New Roman" w:cs="Arial"/>
                <w:b/>
                <w:color w:val="000000"/>
                <w:lang w:eastAsia="en-AU"/>
              </w:rPr>
              <w:t>519</w:t>
            </w:r>
          </w:p>
        </w:tc>
        <w:tc>
          <w:tcPr>
            <w:tcW w:w="1254" w:type="dxa"/>
            <w:tcBorders>
              <w:top w:val="nil"/>
              <w:left w:val="nil"/>
              <w:bottom w:val="single" w:sz="4" w:space="0" w:color="auto"/>
              <w:right w:val="nil"/>
            </w:tcBorders>
            <w:shd w:val="clear" w:color="auto" w:fill="auto"/>
            <w:noWrap/>
            <w:vAlign w:val="bottom"/>
            <w:hideMark/>
          </w:tcPr>
          <w:p w14:paraId="70BDC58F"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w:t>
            </w:r>
            <w:r w:rsidR="001C4508">
              <w:rPr>
                <w:rFonts w:eastAsia="Times New Roman" w:cs="Arial"/>
                <w:b/>
                <w:color w:val="000000"/>
                <w:lang w:eastAsia="en-AU"/>
              </w:rPr>
              <w:t>,</w:t>
            </w:r>
            <w:r w:rsidRPr="00DA0360">
              <w:rPr>
                <w:rFonts w:eastAsia="Times New Roman" w:cs="Arial"/>
                <w:b/>
                <w:color w:val="000000"/>
                <w:lang w:eastAsia="en-AU"/>
              </w:rPr>
              <w:t>316</w:t>
            </w:r>
          </w:p>
        </w:tc>
        <w:tc>
          <w:tcPr>
            <w:tcW w:w="1254" w:type="dxa"/>
            <w:tcBorders>
              <w:top w:val="nil"/>
              <w:left w:val="nil"/>
              <w:bottom w:val="single" w:sz="4" w:space="0" w:color="auto"/>
              <w:right w:val="single" w:sz="4" w:space="0" w:color="auto"/>
            </w:tcBorders>
            <w:shd w:val="clear" w:color="auto" w:fill="E5DFEC" w:themeFill="accent4" w:themeFillTint="33"/>
            <w:noWrap/>
            <w:vAlign w:val="bottom"/>
            <w:hideMark/>
          </w:tcPr>
          <w:p w14:paraId="3B50F6E9"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w:t>
            </w:r>
            <w:r w:rsidR="001C4508">
              <w:rPr>
                <w:rFonts w:eastAsia="Times New Roman" w:cs="Arial"/>
                <w:b/>
                <w:color w:val="000000"/>
                <w:lang w:eastAsia="en-AU"/>
              </w:rPr>
              <w:t>,</w:t>
            </w:r>
            <w:r w:rsidRPr="00DA0360">
              <w:rPr>
                <w:rFonts w:eastAsia="Times New Roman" w:cs="Arial"/>
                <w:b/>
                <w:color w:val="000000"/>
                <w:lang w:eastAsia="en-AU"/>
              </w:rPr>
              <w:t>292</w:t>
            </w:r>
          </w:p>
        </w:tc>
      </w:tr>
      <w:tr w:rsidR="00597B9C" w:rsidRPr="00DA0360" w14:paraId="7039C119"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3A70D64" w14:textId="77777777" w:rsidR="00597B9C" w:rsidRPr="00DA0360" w:rsidRDefault="00597B9C" w:rsidP="00CE2FDF">
            <w:pPr>
              <w:spacing w:before="0" w:line="276" w:lineRule="auto"/>
              <w:rPr>
                <w:rFonts w:eastAsia="Times New Roman" w:cs="Arial"/>
                <w:b/>
                <w:color w:val="000000"/>
                <w:lang w:eastAsia="en-AU"/>
              </w:rPr>
            </w:pPr>
            <w:r w:rsidRPr="00DA0360">
              <w:rPr>
                <w:rFonts w:eastAsia="Times New Roman" w:cs="Arial"/>
                <w:b/>
                <w:color w:val="000000"/>
                <w:lang w:eastAsia="en-AU"/>
              </w:rPr>
              <w:t>Sexual Abuse</w:t>
            </w:r>
          </w:p>
        </w:tc>
        <w:tc>
          <w:tcPr>
            <w:tcW w:w="1253" w:type="dxa"/>
            <w:tcBorders>
              <w:top w:val="nil"/>
              <w:left w:val="nil"/>
              <w:bottom w:val="nil"/>
              <w:right w:val="nil"/>
            </w:tcBorders>
            <w:shd w:val="clear" w:color="auto" w:fill="auto"/>
            <w:noWrap/>
            <w:vAlign w:val="bottom"/>
            <w:hideMark/>
          </w:tcPr>
          <w:p w14:paraId="6AB9A2F2"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F2DBDB" w:themeFill="accent2" w:themeFillTint="33"/>
            <w:noWrap/>
            <w:vAlign w:val="bottom"/>
            <w:hideMark/>
          </w:tcPr>
          <w:p w14:paraId="6EAD1439"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auto"/>
            <w:noWrap/>
            <w:vAlign w:val="bottom"/>
            <w:hideMark/>
          </w:tcPr>
          <w:p w14:paraId="00EDC7A5"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F2DBDB" w:themeFill="accent2" w:themeFillTint="33"/>
            <w:noWrap/>
            <w:vAlign w:val="bottom"/>
            <w:hideMark/>
          </w:tcPr>
          <w:p w14:paraId="3D10BF03"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467CA72A"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F2DBDB" w:themeFill="accent2" w:themeFillTint="33"/>
            <w:noWrap/>
            <w:vAlign w:val="bottom"/>
            <w:hideMark/>
          </w:tcPr>
          <w:p w14:paraId="3725C9BB"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3FB8CBBF" w14:textId="77777777" w:rsidR="00597B9C" w:rsidRPr="00DA0360" w:rsidRDefault="00597B9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F2DBDB" w:themeFill="accent2" w:themeFillTint="33"/>
            <w:noWrap/>
            <w:vAlign w:val="bottom"/>
            <w:hideMark/>
          </w:tcPr>
          <w:p w14:paraId="2F6D3CCC"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0CC232DB" w14:textId="77777777" w:rsidR="00597B9C" w:rsidRPr="00DA0360" w:rsidRDefault="00597B9C" w:rsidP="00CE2FDF">
            <w:pPr>
              <w:spacing w:before="0" w:line="276" w:lineRule="auto"/>
              <w:jc w:val="right"/>
              <w:rPr>
                <w:rFonts w:eastAsia="Times New Roman" w:cs="Arial"/>
                <w:b/>
                <w:color w:val="FF0000"/>
                <w:lang w:eastAsia="en-AU"/>
              </w:rPr>
            </w:pPr>
          </w:p>
        </w:tc>
        <w:tc>
          <w:tcPr>
            <w:tcW w:w="1254" w:type="dxa"/>
            <w:tcBorders>
              <w:top w:val="nil"/>
              <w:left w:val="nil"/>
              <w:bottom w:val="nil"/>
              <w:right w:val="single" w:sz="4" w:space="0" w:color="auto"/>
            </w:tcBorders>
            <w:shd w:val="clear" w:color="auto" w:fill="F2DBDB" w:themeFill="accent2" w:themeFillTint="33"/>
            <w:noWrap/>
            <w:vAlign w:val="bottom"/>
            <w:hideMark/>
          </w:tcPr>
          <w:p w14:paraId="1125BFBF" w14:textId="77777777" w:rsidR="00597B9C" w:rsidRPr="00DA0360" w:rsidRDefault="00597B9C" w:rsidP="00CE2FDF">
            <w:pPr>
              <w:spacing w:before="0" w:line="276" w:lineRule="auto"/>
              <w:jc w:val="right"/>
              <w:rPr>
                <w:rFonts w:eastAsia="Times New Roman" w:cs="Arial"/>
                <w:b/>
                <w:color w:val="FF0000"/>
                <w:lang w:eastAsia="en-AU"/>
              </w:rPr>
            </w:pPr>
          </w:p>
        </w:tc>
      </w:tr>
      <w:tr w:rsidR="00597B9C" w:rsidRPr="001565F1" w14:paraId="3818F7C5"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2B1DD8E"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2C8D8BFF"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986</w:t>
            </w:r>
          </w:p>
        </w:tc>
        <w:tc>
          <w:tcPr>
            <w:tcW w:w="1254" w:type="dxa"/>
            <w:tcBorders>
              <w:top w:val="nil"/>
              <w:left w:val="nil"/>
              <w:bottom w:val="nil"/>
              <w:right w:val="nil"/>
            </w:tcBorders>
            <w:shd w:val="clear" w:color="auto" w:fill="F2DBDB" w:themeFill="accent2" w:themeFillTint="33"/>
            <w:noWrap/>
            <w:vAlign w:val="bottom"/>
            <w:hideMark/>
          </w:tcPr>
          <w:p w14:paraId="4D406F68"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975</w:t>
            </w:r>
          </w:p>
        </w:tc>
        <w:tc>
          <w:tcPr>
            <w:tcW w:w="1253" w:type="dxa"/>
            <w:tcBorders>
              <w:top w:val="nil"/>
              <w:left w:val="nil"/>
              <w:bottom w:val="nil"/>
              <w:right w:val="nil"/>
            </w:tcBorders>
            <w:shd w:val="clear" w:color="auto" w:fill="auto"/>
            <w:noWrap/>
            <w:vAlign w:val="bottom"/>
            <w:hideMark/>
          </w:tcPr>
          <w:p w14:paraId="3BFEC458"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044</w:t>
            </w:r>
          </w:p>
        </w:tc>
        <w:tc>
          <w:tcPr>
            <w:tcW w:w="1254" w:type="dxa"/>
            <w:tcBorders>
              <w:top w:val="nil"/>
              <w:left w:val="nil"/>
              <w:bottom w:val="nil"/>
              <w:right w:val="nil"/>
            </w:tcBorders>
            <w:shd w:val="clear" w:color="auto" w:fill="F2DBDB" w:themeFill="accent2" w:themeFillTint="33"/>
            <w:noWrap/>
            <w:vAlign w:val="bottom"/>
            <w:hideMark/>
          </w:tcPr>
          <w:p w14:paraId="37BF3C76"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095</w:t>
            </w:r>
          </w:p>
        </w:tc>
        <w:tc>
          <w:tcPr>
            <w:tcW w:w="1254" w:type="dxa"/>
            <w:tcBorders>
              <w:top w:val="nil"/>
              <w:left w:val="nil"/>
              <w:bottom w:val="nil"/>
              <w:right w:val="nil"/>
            </w:tcBorders>
            <w:shd w:val="clear" w:color="auto" w:fill="auto"/>
            <w:noWrap/>
            <w:vAlign w:val="bottom"/>
            <w:hideMark/>
          </w:tcPr>
          <w:p w14:paraId="3E7F423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727</w:t>
            </w:r>
          </w:p>
        </w:tc>
        <w:tc>
          <w:tcPr>
            <w:tcW w:w="1253" w:type="dxa"/>
            <w:tcBorders>
              <w:top w:val="nil"/>
              <w:left w:val="nil"/>
              <w:bottom w:val="nil"/>
              <w:right w:val="nil"/>
            </w:tcBorders>
            <w:shd w:val="clear" w:color="auto" w:fill="F2DBDB" w:themeFill="accent2" w:themeFillTint="33"/>
            <w:noWrap/>
            <w:vAlign w:val="bottom"/>
            <w:hideMark/>
          </w:tcPr>
          <w:p w14:paraId="331B755F"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190</w:t>
            </w:r>
          </w:p>
        </w:tc>
        <w:tc>
          <w:tcPr>
            <w:tcW w:w="1254" w:type="dxa"/>
            <w:tcBorders>
              <w:top w:val="nil"/>
              <w:left w:val="nil"/>
              <w:bottom w:val="nil"/>
              <w:right w:val="nil"/>
            </w:tcBorders>
            <w:shd w:val="clear" w:color="auto" w:fill="auto"/>
            <w:noWrap/>
            <w:vAlign w:val="bottom"/>
            <w:hideMark/>
          </w:tcPr>
          <w:p w14:paraId="3F7284FE"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255</w:t>
            </w:r>
          </w:p>
        </w:tc>
        <w:tc>
          <w:tcPr>
            <w:tcW w:w="1253" w:type="dxa"/>
            <w:tcBorders>
              <w:top w:val="nil"/>
              <w:left w:val="nil"/>
              <w:bottom w:val="nil"/>
              <w:right w:val="nil"/>
            </w:tcBorders>
            <w:shd w:val="clear" w:color="auto" w:fill="F2DBDB" w:themeFill="accent2" w:themeFillTint="33"/>
            <w:noWrap/>
            <w:vAlign w:val="bottom"/>
            <w:hideMark/>
          </w:tcPr>
          <w:p w14:paraId="2764E90E"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275</w:t>
            </w:r>
          </w:p>
        </w:tc>
        <w:tc>
          <w:tcPr>
            <w:tcW w:w="1254" w:type="dxa"/>
            <w:tcBorders>
              <w:top w:val="nil"/>
              <w:left w:val="nil"/>
              <w:bottom w:val="nil"/>
              <w:right w:val="nil"/>
            </w:tcBorders>
            <w:shd w:val="clear" w:color="auto" w:fill="auto"/>
            <w:noWrap/>
            <w:vAlign w:val="bottom"/>
            <w:hideMark/>
          </w:tcPr>
          <w:p w14:paraId="654D7D5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489</w:t>
            </w:r>
          </w:p>
        </w:tc>
        <w:tc>
          <w:tcPr>
            <w:tcW w:w="1254" w:type="dxa"/>
            <w:tcBorders>
              <w:top w:val="nil"/>
              <w:left w:val="nil"/>
              <w:bottom w:val="nil"/>
              <w:right w:val="single" w:sz="4" w:space="0" w:color="auto"/>
            </w:tcBorders>
            <w:shd w:val="clear" w:color="auto" w:fill="F2DBDB" w:themeFill="accent2" w:themeFillTint="33"/>
            <w:noWrap/>
            <w:vAlign w:val="bottom"/>
            <w:hideMark/>
          </w:tcPr>
          <w:p w14:paraId="68CDBEAE"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074</w:t>
            </w:r>
          </w:p>
        </w:tc>
      </w:tr>
      <w:tr w:rsidR="000E61DB" w:rsidRPr="001565F1" w14:paraId="5D7CD7D1"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0E62340"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07E30A3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592</w:t>
            </w:r>
          </w:p>
        </w:tc>
        <w:tc>
          <w:tcPr>
            <w:tcW w:w="1254" w:type="dxa"/>
            <w:tcBorders>
              <w:top w:val="nil"/>
              <w:left w:val="nil"/>
              <w:bottom w:val="nil"/>
              <w:right w:val="nil"/>
            </w:tcBorders>
            <w:shd w:val="clear" w:color="auto" w:fill="F2DBDB" w:themeFill="accent2" w:themeFillTint="33"/>
            <w:noWrap/>
            <w:vAlign w:val="bottom"/>
            <w:hideMark/>
          </w:tcPr>
          <w:p w14:paraId="2C0ADFA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609</w:t>
            </w:r>
          </w:p>
        </w:tc>
        <w:tc>
          <w:tcPr>
            <w:tcW w:w="1253" w:type="dxa"/>
            <w:tcBorders>
              <w:top w:val="nil"/>
              <w:left w:val="nil"/>
              <w:bottom w:val="nil"/>
              <w:right w:val="nil"/>
            </w:tcBorders>
            <w:shd w:val="clear" w:color="auto" w:fill="auto"/>
            <w:noWrap/>
            <w:vAlign w:val="bottom"/>
            <w:hideMark/>
          </w:tcPr>
          <w:p w14:paraId="3831F78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671</w:t>
            </w:r>
          </w:p>
        </w:tc>
        <w:tc>
          <w:tcPr>
            <w:tcW w:w="1254" w:type="dxa"/>
            <w:tcBorders>
              <w:top w:val="nil"/>
              <w:left w:val="nil"/>
              <w:bottom w:val="nil"/>
              <w:right w:val="nil"/>
            </w:tcBorders>
            <w:shd w:val="clear" w:color="auto" w:fill="F2DBDB" w:themeFill="accent2" w:themeFillTint="33"/>
            <w:noWrap/>
            <w:vAlign w:val="bottom"/>
            <w:hideMark/>
          </w:tcPr>
          <w:p w14:paraId="6FF2FB2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529</w:t>
            </w:r>
          </w:p>
        </w:tc>
        <w:tc>
          <w:tcPr>
            <w:tcW w:w="1254" w:type="dxa"/>
            <w:tcBorders>
              <w:top w:val="nil"/>
              <w:left w:val="nil"/>
              <w:bottom w:val="nil"/>
              <w:right w:val="nil"/>
            </w:tcBorders>
            <w:shd w:val="clear" w:color="auto" w:fill="auto"/>
            <w:noWrap/>
            <w:vAlign w:val="bottom"/>
            <w:hideMark/>
          </w:tcPr>
          <w:p w14:paraId="57999E3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587</w:t>
            </w:r>
          </w:p>
        </w:tc>
        <w:tc>
          <w:tcPr>
            <w:tcW w:w="1253" w:type="dxa"/>
            <w:tcBorders>
              <w:top w:val="nil"/>
              <w:left w:val="nil"/>
              <w:bottom w:val="nil"/>
              <w:right w:val="nil"/>
            </w:tcBorders>
            <w:shd w:val="clear" w:color="auto" w:fill="F2DBDB" w:themeFill="accent2" w:themeFillTint="33"/>
            <w:noWrap/>
            <w:vAlign w:val="bottom"/>
            <w:hideMark/>
          </w:tcPr>
          <w:p w14:paraId="3B58AEA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559</w:t>
            </w:r>
          </w:p>
        </w:tc>
        <w:tc>
          <w:tcPr>
            <w:tcW w:w="1254" w:type="dxa"/>
            <w:tcBorders>
              <w:top w:val="nil"/>
              <w:left w:val="nil"/>
              <w:bottom w:val="nil"/>
              <w:right w:val="nil"/>
            </w:tcBorders>
            <w:shd w:val="clear" w:color="auto" w:fill="auto"/>
            <w:noWrap/>
            <w:vAlign w:val="bottom"/>
            <w:hideMark/>
          </w:tcPr>
          <w:p w14:paraId="543024D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607</w:t>
            </w:r>
          </w:p>
        </w:tc>
        <w:tc>
          <w:tcPr>
            <w:tcW w:w="1253" w:type="dxa"/>
            <w:tcBorders>
              <w:top w:val="nil"/>
              <w:left w:val="nil"/>
              <w:bottom w:val="nil"/>
              <w:right w:val="nil"/>
            </w:tcBorders>
            <w:shd w:val="clear" w:color="auto" w:fill="F2DBDB" w:themeFill="accent2" w:themeFillTint="33"/>
            <w:noWrap/>
            <w:vAlign w:val="bottom"/>
            <w:hideMark/>
          </w:tcPr>
          <w:p w14:paraId="56030BF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838</w:t>
            </w:r>
          </w:p>
        </w:tc>
        <w:tc>
          <w:tcPr>
            <w:tcW w:w="1254" w:type="dxa"/>
            <w:tcBorders>
              <w:top w:val="nil"/>
              <w:left w:val="nil"/>
              <w:bottom w:val="nil"/>
              <w:right w:val="nil"/>
            </w:tcBorders>
            <w:shd w:val="clear" w:color="auto" w:fill="auto"/>
            <w:noWrap/>
            <w:vAlign w:val="bottom"/>
            <w:hideMark/>
          </w:tcPr>
          <w:p w14:paraId="4DEF398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497</w:t>
            </w:r>
          </w:p>
        </w:tc>
        <w:tc>
          <w:tcPr>
            <w:tcW w:w="1254" w:type="dxa"/>
            <w:tcBorders>
              <w:top w:val="nil"/>
              <w:left w:val="nil"/>
              <w:bottom w:val="nil"/>
              <w:right w:val="single" w:sz="4" w:space="0" w:color="auto"/>
            </w:tcBorders>
            <w:shd w:val="clear" w:color="auto" w:fill="F2DBDB" w:themeFill="accent2" w:themeFillTint="33"/>
            <w:noWrap/>
            <w:vAlign w:val="bottom"/>
            <w:hideMark/>
          </w:tcPr>
          <w:p w14:paraId="6D7FDE3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042</w:t>
            </w:r>
          </w:p>
        </w:tc>
      </w:tr>
      <w:tr w:rsidR="00597B9C" w:rsidRPr="001565F1" w14:paraId="0335FB1A"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970663D"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080EE890"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327</w:t>
            </w:r>
          </w:p>
        </w:tc>
        <w:tc>
          <w:tcPr>
            <w:tcW w:w="1254" w:type="dxa"/>
            <w:tcBorders>
              <w:top w:val="nil"/>
              <w:left w:val="nil"/>
              <w:bottom w:val="nil"/>
              <w:right w:val="nil"/>
            </w:tcBorders>
            <w:shd w:val="clear" w:color="auto" w:fill="F2DBDB" w:themeFill="accent2" w:themeFillTint="33"/>
            <w:noWrap/>
            <w:vAlign w:val="bottom"/>
            <w:hideMark/>
          </w:tcPr>
          <w:p w14:paraId="3EFC8AD8"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333</w:t>
            </w:r>
          </w:p>
        </w:tc>
        <w:tc>
          <w:tcPr>
            <w:tcW w:w="1253" w:type="dxa"/>
            <w:tcBorders>
              <w:top w:val="nil"/>
              <w:left w:val="nil"/>
              <w:bottom w:val="nil"/>
              <w:right w:val="nil"/>
            </w:tcBorders>
            <w:shd w:val="clear" w:color="auto" w:fill="auto"/>
            <w:noWrap/>
            <w:vAlign w:val="bottom"/>
            <w:hideMark/>
          </w:tcPr>
          <w:p w14:paraId="79675296"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325</w:t>
            </w:r>
          </w:p>
        </w:tc>
        <w:tc>
          <w:tcPr>
            <w:tcW w:w="1254" w:type="dxa"/>
            <w:tcBorders>
              <w:top w:val="nil"/>
              <w:left w:val="nil"/>
              <w:bottom w:val="nil"/>
              <w:right w:val="nil"/>
            </w:tcBorders>
            <w:shd w:val="clear" w:color="auto" w:fill="F2DBDB" w:themeFill="accent2" w:themeFillTint="33"/>
            <w:noWrap/>
            <w:vAlign w:val="bottom"/>
            <w:hideMark/>
          </w:tcPr>
          <w:p w14:paraId="0BD847B2"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254</w:t>
            </w:r>
          </w:p>
        </w:tc>
        <w:tc>
          <w:tcPr>
            <w:tcW w:w="1254" w:type="dxa"/>
            <w:tcBorders>
              <w:top w:val="nil"/>
              <w:left w:val="nil"/>
              <w:bottom w:val="nil"/>
              <w:right w:val="nil"/>
            </w:tcBorders>
            <w:shd w:val="clear" w:color="auto" w:fill="auto"/>
            <w:noWrap/>
            <w:vAlign w:val="bottom"/>
            <w:hideMark/>
          </w:tcPr>
          <w:p w14:paraId="03432D3E"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298</w:t>
            </w:r>
          </w:p>
        </w:tc>
        <w:tc>
          <w:tcPr>
            <w:tcW w:w="1253" w:type="dxa"/>
            <w:tcBorders>
              <w:top w:val="nil"/>
              <w:left w:val="nil"/>
              <w:bottom w:val="nil"/>
              <w:right w:val="nil"/>
            </w:tcBorders>
            <w:shd w:val="clear" w:color="auto" w:fill="F2DBDB" w:themeFill="accent2" w:themeFillTint="33"/>
            <w:noWrap/>
            <w:vAlign w:val="bottom"/>
            <w:hideMark/>
          </w:tcPr>
          <w:p w14:paraId="432B5221"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292</w:t>
            </w:r>
          </w:p>
        </w:tc>
        <w:tc>
          <w:tcPr>
            <w:tcW w:w="1254" w:type="dxa"/>
            <w:tcBorders>
              <w:top w:val="nil"/>
              <w:left w:val="nil"/>
              <w:bottom w:val="nil"/>
              <w:right w:val="nil"/>
            </w:tcBorders>
            <w:shd w:val="clear" w:color="auto" w:fill="auto"/>
            <w:noWrap/>
            <w:vAlign w:val="bottom"/>
            <w:hideMark/>
          </w:tcPr>
          <w:p w14:paraId="6FFA9514"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314</w:t>
            </w:r>
          </w:p>
        </w:tc>
        <w:tc>
          <w:tcPr>
            <w:tcW w:w="1253" w:type="dxa"/>
            <w:tcBorders>
              <w:top w:val="nil"/>
              <w:left w:val="nil"/>
              <w:bottom w:val="nil"/>
              <w:right w:val="nil"/>
            </w:tcBorders>
            <w:shd w:val="clear" w:color="auto" w:fill="F2DBDB" w:themeFill="accent2" w:themeFillTint="33"/>
            <w:noWrap/>
            <w:vAlign w:val="bottom"/>
            <w:hideMark/>
          </w:tcPr>
          <w:p w14:paraId="7B360FFB"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536</w:t>
            </w:r>
          </w:p>
        </w:tc>
        <w:tc>
          <w:tcPr>
            <w:tcW w:w="1254" w:type="dxa"/>
            <w:tcBorders>
              <w:top w:val="nil"/>
              <w:left w:val="nil"/>
              <w:bottom w:val="nil"/>
              <w:right w:val="nil"/>
            </w:tcBorders>
            <w:shd w:val="clear" w:color="auto" w:fill="auto"/>
            <w:noWrap/>
            <w:vAlign w:val="bottom"/>
            <w:hideMark/>
          </w:tcPr>
          <w:p w14:paraId="641009C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602</w:t>
            </w:r>
          </w:p>
        </w:tc>
        <w:tc>
          <w:tcPr>
            <w:tcW w:w="1254" w:type="dxa"/>
            <w:tcBorders>
              <w:top w:val="nil"/>
              <w:left w:val="nil"/>
              <w:bottom w:val="nil"/>
              <w:right w:val="single" w:sz="4" w:space="0" w:color="auto"/>
            </w:tcBorders>
            <w:shd w:val="clear" w:color="auto" w:fill="F2DBDB" w:themeFill="accent2" w:themeFillTint="33"/>
            <w:noWrap/>
            <w:vAlign w:val="bottom"/>
            <w:hideMark/>
          </w:tcPr>
          <w:p w14:paraId="56548317"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863</w:t>
            </w:r>
          </w:p>
        </w:tc>
      </w:tr>
      <w:tr w:rsidR="00597B9C" w:rsidRPr="001565F1" w14:paraId="209A76E8"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8EEBD95" w14:textId="77777777" w:rsidR="00597B9C" w:rsidRPr="001565F1" w:rsidRDefault="00597B9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09EBCC42"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265</w:t>
            </w:r>
          </w:p>
        </w:tc>
        <w:tc>
          <w:tcPr>
            <w:tcW w:w="1254" w:type="dxa"/>
            <w:tcBorders>
              <w:top w:val="nil"/>
              <w:left w:val="nil"/>
              <w:bottom w:val="nil"/>
              <w:right w:val="nil"/>
            </w:tcBorders>
            <w:shd w:val="clear" w:color="auto" w:fill="F2DBDB" w:themeFill="accent2" w:themeFillTint="33"/>
            <w:noWrap/>
            <w:vAlign w:val="bottom"/>
            <w:hideMark/>
          </w:tcPr>
          <w:p w14:paraId="3607C343"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276</w:t>
            </w:r>
          </w:p>
        </w:tc>
        <w:tc>
          <w:tcPr>
            <w:tcW w:w="1253" w:type="dxa"/>
            <w:tcBorders>
              <w:top w:val="nil"/>
              <w:left w:val="nil"/>
              <w:bottom w:val="nil"/>
              <w:right w:val="nil"/>
            </w:tcBorders>
            <w:shd w:val="clear" w:color="auto" w:fill="auto"/>
            <w:noWrap/>
            <w:vAlign w:val="bottom"/>
            <w:hideMark/>
          </w:tcPr>
          <w:p w14:paraId="62DABF86"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346</w:t>
            </w:r>
          </w:p>
        </w:tc>
        <w:tc>
          <w:tcPr>
            <w:tcW w:w="1254" w:type="dxa"/>
            <w:tcBorders>
              <w:top w:val="nil"/>
              <w:left w:val="nil"/>
              <w:bottom w:val="nil"/>
              <w:right w:val="nil"/>
            </w:tcBorders>
            <w:shd w:val="clear" w:color="auto" w:fill="F2DBDB" w:themeFill="accent2" w:themeFillTint="33"/>
            <w:noWrap/>
            <w:vAlign w:val="bottom"/>
            <w:hideMark/>
          </w:tcPr>
          <w:p w14:paraId="7CF25DE1"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275</w:t>
            </w:r>
          </w:p>
        </w:tc>
        <w:tc>
          <w:tcPr>
            <w:tcW w:w="1254" w:type="dxa"/>
            <w:tcBorders>
              <w:top w:val="nil"/>
              <w:left w:val="nil"/>
              <w:bottom w:val="nil"/>
              <w:right w:val="nil"/>
            </w:tcBorders>
            <w:shd w:val="clear" w:color="auto" w:fill="auto"/>
            <w:noWrap/>
            <w:vAlign w:val="bottom"/>
            <w:hideMark/>
          </w:tcPr>
          <w:p w14:paraId="790877A5"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289</w:t>
            </w:r>
          </w:p>
        </w:tc>
        <w:tc>
          <w:tcPr>
            <w:tcW w:w="1253" w:type="dxa"/>
            <w:tcBorders>
              <w:top w:val="nil"/>
              <w:left w:val="nil"/>
              <w:bottom w:val="nil"/>
              <w:right w:val="nil"/>
            </w:tcBorders>
            <w:shd w:val="clear" w:color="auto" w:fill="F2DBDB" w:themeFill="accent2" w:themeFillTint="33"/>
            <w:noWrap/>
            <w:vAlign w:val="bottom"/>
            <w:hideMark/>
          </w:tcPr>
          <w:p w14:paraId="54E2FF55"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267</w:t>
            </w:r>
          </w:p>
        </w:tc>
        <w:tc>
          <w:tcPr>
            <w:tcW w:w="1254" w:type="dxa"/>
            <w:tcBorders>
              <w:top w:val="nil"/>
              <w:left w:val="nil"/>
              <w:bottom w:val="nil"/>
              <w:right w:val="nil"/>
            </w:tcBorders>
            <w:shd w:val="clear" w:color="auto" w:fill="auto"/>
            <w:noWrap/>
            <w:vAlign w:val="bottom"/>
            <w:hideMark/>
          </w:tcPr>
          <w:p w14:paraId="236A4C9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293</w:t>
            </w:r>
          </w:p>
        </w:tc>
        <w:tc>
          <w:tcPr>
            <w:tcW w:w="1253" w:type="dxa"/>
            <w:tcBorders>
              <w:top w:val="nil"/>
              <w:left w:val="nil"/>
              <w:bottom w:val="nil"/>
              <w:right w:val="nil"/>
            </w:tcBorders>
            <w:shd w:val="clear" w:color="auto" w:fill="F2DBDB" w:themeFill="accent2" w:themeFillTint="33"/>
            <w:noWrap/>
            <w:vAlign w:val="bottom"/>
            <w:hideMark/>
          </w:tcPr>
          <w:p w14:paraId="400978ED"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302</w:t>
            </w:r>
          </w:p>
        </w:tc>
        <w:tc>
          <w:tcPr>
            <w:tcW w:w="1254" w:type="dxa"/>
            <w:tcBorders>
              <w:top w:val="nil"/>
              <w:left w:val="nil"/>
              <w:bottom w:val="nil"/>
              <w:right w:val="nil"/>
            </w:tcBorders>
            <w:shd w:val="clear" w:color="auto" w:fill="auto"/>
            <w:noWrap/>
            <w:vAlign w:val="bottom"/>
            <w:hideMark/>
          </w:tcPr>
          <w:p w14:paraId="4670F2C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895</w:t>
            </w:r>
          </w:p>
        </w:tc>
        <w:tc>
          <w:tcPr>
            <w:tcW w:w="1254" w:type="dxa"/>
            <w:tcBorders>
              <w:top w:val="nil"/>
              <w:left w:val="nil"/>
              <w:bottom w:val="nil"/>
              <w:right w:val="single" w:sz="4" w:space="0" w:color="auto"/>
            </w:tcBorders>
            <w:shd w:val="clear" w:color="auto" w:fill="F2DBDB" w:themeFill="accent2" w:themeFillTint="33"/>
            <w:noWrap/>
            <w:vAlign w:val="bottom"/>
            <w:hideMark/>
          </w:tcPr>
          <w:p w14:paraId="761F0F4A" w14:textId="77777777" w:rsidR="00597B9C" w:rsidRPr="001565F1" w:rsidRDefault="00597B9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179</w:t>
            </w:r>
          </w:p>
        </w:tc>
      </w:tr>
      <w:tr w:rsidR="00597B9C" w:rsidRPr="00DA0360" w14:paraId="79DDCB1B" w14:textId="77777777" w:rsidTr="00561E4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60D060D8" w14:textId="77777777" w:rsidR="00597B9C" w:rsidRPr="00DA0360" w:rsidRDefault="00597B9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35203202"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578</w:t>
            </w:r>
          </w:p>
        </w:tc>
        <w:tc>
          <w:tcPr>
            <w:tcW w:w="1254" w:type="dxa"/>
            <w:tcBorders>
              <w:top w:val="nil"/>
              <w:left w:val="nil"/>
              <w:bottom w:val="single" w:sz="4" w:space="0" w:color="auto"/>
              <w:right w:val="nil"/>
            </w:tcBorders>
            <w:shd w:val="clear" w:color="auto" w:fill="F2DBDB" w:themeFill="accent2" w:themeFillTint="33"/>
            <w:noWrap/>
            <w:vAlign w:val="bottom"/>
            <w:hideMark/>
          </w:tcPr>
          <w:p w14:paraId="2F2B5403"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584</w:t>
            </w:r>
          </w:p>
        </w:tc>
        <w:tc>
          <w:tcPr>
            <w:tcW w:w="1253" w:type="dxa"/>
            <w:tcBorders>
              <w:top w:val="nil"/>
              <w:left w:val="nil"/>
              <w:bottom w:val="single" w:sz="4" w:space="0" w:color="auto"/>
              <w:right w:val="nil"/>
            </w:tcBorders>
            <w:shd w:val="clear" w:color="auto" w:fill="auto"/>
            <w:noWrap/>
            <w:vAlign w:val="bottom"/>
            <w:hideMark/>
          </w:tcPr>
          <w:p w14:paraId="2C42D666"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715</w:t>
            </w:r>
          </w:p>
        </w:tc>
        <w:tc>
          <w:tcPr>
            <w:tcW w:w="1254" w:type="dxa"/>
            <w:tcBorders>
              <w:top w:val="nil"/>
              <w:left w:val="nil"/>
              <w:bottom w:val="single" w:sz="4" w:space="0" w:color="auto"/>
              <w:right w:val="nil"/>
            </w:tcBorders>
            <w:shd w:val="clear" w:color="auto" w:fill="F2DBDB" w:themeFill="accent2" w:themeFillTint="33"/>
            <w:noWrap/>
            <w:vAlign w:val="bottom"/>
            <w:hideMark/>
          </w:tcPr>
          <w:p w14:paraId="1B27E2B2"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624</w:t>
            </w:r>
          </w:p>
        </w:tc>
        <w:tc>
          <w:tcPr>
            <w:tcW w:w="1254" w:type="dxa"/>
            <w:tcBorders>
              <w:top w:val="nil"/>
              <w:left w:val="nil"/>
              <w:bottom w:val="single" w:sz="4" w:space="0" w:color="auto"/>
              <w:right w:val="nil"/>
            </w:tcBorders>
            <w:shd w:val="clear" w:color="auto" w:fill="auto"/>
            <w:noWrap/>
            <w:vAlign w:val="bottom"/>
            <w:hideMark/>
          </w:tcPr>
          <w:p w14:paraId="64307FC2"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314</w:t>
            </w:r>
          </w:p>
        </w:tc>
        <w:tc>
          <w:tcPr>
            <w:tcW w:w="1253" w:type="dxa"/>
            <w:tcBorders>
              <w:top w:val="nil"/>
              <w:left w:val="nil"/>
              <w:bottom w:val="single" w:sz="4" w:space="0" w:color="auto"/>
              <w:right w:val="nil"/>
            </w:tcBorders>
            <w:shd w:val="clear" w:color="auto" w:fill="F2DBDB" w:themeFill="accent2" w:themeFillTint="33"/>
            <w:noWrap/>
            <w:vAlign w:val="bottom"/>
            <w:hideMark/>
          </w:tcPr>
          <w:p w14:paraId="33A21F0D"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749</w:t>
            </w:r>
          </w:p>
        </w:tc>
        <w:tc>
          <w:tcPr>
            <w:tcW w:w="1254" w:type="dxa"/>
            <w:tcBorders>
              <w:top w:val="nil"/>
              <w:left w:val="nil"/>
              <w:bottom w:val="single" w:sz="4" w:space="0" w:color="auto"/>
              <w:right w:val="nil"/>
            </w:tcBorders>
            <w:shd w:val="clear" w:color="auto" w:fill="auto"/>
            <w:noWrap/>
            <w:vAlign w:val="bottom"/>
            <w:hideMark/>
          </w:tcPr>
          <w:p w14:paraId="6D8E0CF0"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1C4508">
              <w:rPr>
                <w:rFonts w:eastAsia="Times New Roman" w:cs="Arial"/>
                <w:b/>
                <w:color w:val="000000"/>
                <w:lang w:eastAsia="en-AU"/>
              </w:rPr>
              <w:t>,</w:t>
            </w:r>
            <w:r w:rsidRPr="00DA0360">
              <w:rPr>
                <w:rFonts w:eastAsia="Times New Roman" w:cs="Arial"/>
                <w:b/>
                <w:color w:val="000000"/>
                <w:lang w:eastAsia="en-AU"/>
              </w:rPr>
              <w:t>862</w:t>
            </w:r>
          </w:p>
        </w:tc>
        <w:tc>
          <w:tcPr>
            <w:tcW w:w="1253" w:type="dxa"/>
            <w:tcBorders>
              <w:top w:val="nil"/>
              <w:left w:val="nil"/>
              <w:bottom w:val="single" w:sz="4" w:space="0" w:color="auto"/>
              <w:right w:val="nil"/>
            </w:tcBorders>
            <w:shd w:val="clear" w:color="auto" w:fill="F2DBDB" w:themeFill="accent2" w:themeFillTint="33"/>
            <w:noWrap/>
            <w:vAlign w:val="bottom"/>
            <w:hideMark/>
          </w:tcPr>
          <w:p w14:paraId="7D933D82"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1C4508">
              <w:rPr>
                <w:rFonts w:eastAsia="Times New Roman" w:cs="Arial"/>
                <w:b/>
                <w:color w:val="000000"/>
                <w:lang w:eastAsia="en-AU"/>
              </w:rPr>
              <w:t>,</w:t>
            </w:r>
            <w:r w:rsidRPr="00DA0360">
              <w:rPr>
                <w:rFonts w:eastAsia="Times New Roman" w:cs="Arial"/>
                <w:b/>
                <w:color w:val="000000"/>
                <w:lang w:eastAsia="en-AU"/>
              </w:rPr>
              <w:t>113</w:t>
            </w:r>
          </w:p>
        </w:tc>
        <w:tc>
          <w:tcPr>
            <w:tcW w:w="1254" w:type="dxa"/>
            <w:tcBorders>
              <w:top w:val="nil"/>
              <w:left w:val="nil"/>
              <w:bottom w:val="single" w:sz="4" w:space="0" w:color="auto"/>
              <w:right w:val="nil"/>
            </w:tcBorders>
            <w:shd w:val="clear" w:color="auto" w:fill="auto"/>
            <w:noWrap/>
            <w:vAlign w:val="bottom"/>
            <w:hideMark/>
          </w:tcPr>
          <w:p w14:paraId="14AB9AD7"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1C4508">
              <w:rPr>
                <w:rFonts w:eastAsia="Times New Roman" w:cs="Arial"/>
                <w:b/>
                <w:color w:val="000000"/>
                <w:lang w:eastAsia="en-AU"/>
              </w:rPr>
              <w:t>,</w:t>
            </w:r>
            <w:r w:rsidRPr="00DA0360">
              <w:rPr>
                <w:rFonts w:eastAsia="Times New Roman" w:cs="Arial"/>
                <w:b/>
                <w:color w:val="000000"/>
                <w:lang w:eastAsia="en-AU"/>
              </w:rPr>
              <w:t>986</w:t>
            </w:r>
          </w:p>
        </w:tc>
        <w:tc>
          <w:tcPr>
            <w:tcW w:w="1254" w:type="dxa"/>
            <w:tcBorders>
              <w:top w:val="nil"/>
              <w:left w:val="nil"/>
              <w:bottom w:val="single" w:sz="4" w:space="0" w:color="auto"/>
              <w:right w:val="single" w:sz="4" w:space="0" w:color="auto"/>
            </w:tcBorders>
            <w:shd w:val="clear" w:color="auto" w:fill="F2DBDB" w:themeFill="accent2" w:themeFillTint="33"/>
            <w:noWrap/>
            <w:vAlign w:val="bottom"/>
            <w:hideMark/>
          </w:tcPr>
          <w:p w14:paraId="165FF244" w14:textId="77777777" w:rsidR="00597B9C" w:rsidRPr="00DA0360" w:rsidRDefault="00597B9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w:t>
            </w:r>
            <w:r w:rsidR="001C4508">
              <w:rPr>
                <w:rFonts w:eastAsia="Times New Roman" w:cs="Arial"/>
                <w:b/>
                <w:color w:val="000000"/>
                <w:lang w:eastAsia="en-AU"/>
              </w:rPr>
              <w:t>,</w:t>
            </w:r>
            <w:r w:rsidRPr="00DA0360">
              <w:rPr>
                <w:rFonts w:eastAsia="Times New Roman" w:cs="Arial"/>
                <w:b/>
                <w:color w:val="000000"/>
                <w:lang w:eastAsia="en-AU"/>
              </w:rPr>
              <w:t>116</w:t>
            </w:r>
          </w:p>
        </w:tc>
      </w:tr>
    </w:tbl>
    <w:p w14:paraId="573E6F8C" w14:textId="77777777" w:rsidR="002F6188" w:rsidRDefault="002F6188" w:rsidP="0095311F">
      <w:pPr>
        <w:pStyle w:val="Figureheading"/>
      </w:pPr>
      <w:r>
        <w:lastRenderedPageBreak/>
        <w:t>2.6.2</w:t>
      </w:r>
      <w:r>
        <w:tab/>
        <w:t xml:space="preserve">Number of reports by other reporter groups combined, by year, abuse type, and outcome </w:t>
      </w:r>
    </w:p>
    <w:tbl>
      <w:tblPr>
        <w:tblW w:w="14757" w:type="dxa"/>
        <w:tblInd w:w="93" w:type="dxa"/>
        <w:tblLayout w:type="fixed"/>
        <w:tblLook w:val="04A0" w:firstRow="1" w:lastRow="0" w:firstColumn="1" w:lastColumn="0" w:noHBand="0" w:noVBand="1"/>
        <w:tblCaption w:val="Number of reports by other reporter groups combined, by year, abuse type, and outcome "/>
      </w:tblPr>
      <w:tblGrid>
        <w:gridCol w:w="1876"/>
        <w:gridCol w:w="1288"/>
        <w:gridCol w:w="1288"/>
        <w:gridCol w:w="1288"/>
        <w:gridCol w:w="1288"/>
        <w:gridCol w:w="1288"/>
        <w:gridCol w:w="1288"/>
        <w:gridCol w:w="1288"/>
        <w:gridCol w:w="1288"/>
        <w:gridCol w:w="1288"/>
        <w:gridCol w:w="1289"/>
      </w:tblGrid>
      <w:tr w:rsidR="00876EFC" w:rsidRPr="001565F1" w14:paraId="2D9E3440" w14:textId="77777777" w:rsidTr="00561E44">
        <w:trPr>
          <w:trHeight w:val="204"/>
        </w:trPr>
        <w:tc>
          <w:tcPr>
            <w:tcW w:w="1876"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114A3A0F" w14:textId="77777777" w:rsidR="00876EFC" w:rsidRPr="001565F1" w:rsidRDefault="00876EFC" w:rsidP="00CE2FDF">
            <w:pPr>
              <w:spacing w:before="0" w:line="276" w:lineRule="auto"/>
              <w:rPr>
                <w:rFonts w:eastAsia="Times New Roman" w:cs="Arial"/>
                <w:b/>
                <w:bCs/>
                <w:color w:val="000000"/>
                <w:lang w:eastAsia="en-AU"/>
              </w:rPr>
            </w:pP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67A21003"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4F4D36A1"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60359BC6"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03A5DA3E"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0CB231CD"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2B2D3E92"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01C62A41"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2A4FB078"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4E31AF8E"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8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28C1C3"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876EFC" w:rsidRPr="00CF48CA" w14:paraId="1CF814AA" w14:textId="77777777" w:rsidTr="00561E44">
        <w:trPr>
          <w:trHeight w:val="204"/>
        </w:trPr>
        <w:tc>
          <w:tcPr>
            <w:tcW w:w="1876" w:type="dxa"/>
            <w:tcBorders>
              <w:top w:val="single" w:sz="4" w:space="0" w:color="auto"/>
              <w:left w:val="single" w:sz="4" w:space="0" w:color="auto"/>
              <w:bottom w:val="nil"/>
              <w:right w:val="nil"/>
            </w:tcBorders>
            <w:shd w:val="clear" w:color="auto" w:fill="EAF1DD" w:themeFill="accent3" w:themeFillTint="33"/>
            <w:noWrap/>
            <w:vAlign w:val="bottom"/>
            <w:hideMark/>
          </w:tcPr>
          <w:p w14:paraId="29474FFF" w14:textId="77777777" w:rsidR="00876EFC" w:rsidRPr="00CF48CA" w:rsidRDefault="00876EFC" w:rsidP="00CE2FDF">
            <w:pPr>
              <w:spacing w:before="0" w:line="276" w:lineRule="auto"/>
              <w:rPr>
                <w:rFonts w:eastAsia="Times New Roman" w:cs="Arial"/>
                <w:b/>
                <w:color w:val="000000"/>
                <w:lang w:eastAsia="en-AU"/>
              </w:rPr>
            </w:pPr>
            <w:r w:rsidRPr="00CF48CA">
              <w:rPr>
                <w:rFonts w:eastAsia="Times New Roman" w:cs="Arial"/>
                <w:b/>
                <w:color w:val="000000"/>
                <w:lang w:eastAsia="en-AU"/>
              </w:rPr>
              <w:t>Emotional Abuse</w:t>
            </w:r>
          </w:p>
        </w:tc>
        <w:tc>
          <w:tcPr>
            <w:tcW w:w="1288" w:type="dxa"/>
            <w:tcBorders>
              <w:top w:val="single" w:sz="4" w:space="0" w:color="auto"/>
              <w:left w:val="nil"/>
              <w:bottom w:val="nil"/>
              <w:right w:val="nil"/>
            </w:tcBorders>
            <w:shd w:val="clear" w:color="auto" w:fill="auto"/>
            <w:noWrap/>
            <w:vAlign w:val="bottom"/>
            <w:hideMark/>
          </w:tcPr>
          <w:p w14:paraId="2FD4ADD3"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EAF1DD" w:themeFill="accent3" w:themeFillTint="33"/>
            <w:noWrap/>
            <w:vAlign w:val="bottom"/>
            <w:hideMark/>
          </w:tcPr>
          <w:p w14:paraId="0D1D365F"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auto"/>
            <w:noWrap/>
            <w:vAlign w:val="bottom"/>
            <w:hideMark/>
          </w:tcPr>
          <w:p w14:paraId="34BB8F43"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EAF1DD" w:themeFill="accent3" w:themeFillTint="33"/>
            <w:noWrap/>
            <w:vAlign w:val="bottom"/>
            <w:hideMark/>
          </w:tcPr>
          <w:p w14:paraId="1A73D263"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auto"/>
            <w:noWrap/>
            <w:vAlign w:val="bottom"/>
            <w:hideMark/>
          </w:tcPr>
          <w:p w14:paraId="685AD9A8"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EAF1DD" w:themeFill="accent3" w:themeFillTint="33"/>
            <w:noWrap/>
            <w:vAlign w:val="bottom"/>
            <w:hideMark/>
          </w:tcPr>
          <w:p w14:paraId="005CFCFE"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auto"/>
            <w:noWrap/>
            <w:vAlign w:val="bottom"/>
            <w:hideMark/>
          </w:tcPr>
          <w:p w14:paraId="0A625286"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EAF1DD" w:themeFill="accent3" w:themeFillTint="33"/>
            <w:noWrap/>
            <w:vAlign w:val="bottom"/>
            <w:hideMark/>
          </w:tcPr>
          <w:p w14:paraId="7904A5A3"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auto"/>
            <w:noWrap/>
            <w:vAlign w:val="bottom"/>
            <w:hideMark/>
          </w:tcPr>
          <w:p w14:paraId="425346F5" w14:textId="77777777" w:rsidR="00876EFC" w:rsidRPr="00CF48CA" w:rsidRDefault="00876EFC" w:rsidP="00CE2FDF">
            <w:pPr>
              <w:spacing w:before="0" w:line="276" w:lineRule="auto"/>
              <w:jc w:val="right"/>
              <w:rPr>
                <w:rFonts w:eastAsia="Times New Roman" w:cs="Arial"/>
                <w:b/>
                <w:color w:val="FF0000"/>
                <w:lang w:eastAsia="en-AU"/>
              </w:rPr>
            </w:pPr>
          </w:p>
        </w:tc>
        <w:tc>
          <w:tcPr>
            <w:tcW w:w="1289" w:type="dxa"/>
            <w:tcBorders>
              <w:top w:val="single" w:sz="4" w:space="0" w:color="auto"/>
              <w:left w:val="nil"/>
              <w:bottom w:val="nil"/>
              <w:right w:val="single" w:sz="4" w:space="0" w:color="auto"/>
            </w:tcBorders>
            <w:shd w:val="clear" w:color="auto" w:fill="EAF1DD" w:themeFill="accent3" w:themeFillTint="33"/>
            <w:noWrap/>
            <w:vAlign w:val="bottom"/>
            <w:hideMark/>
          </w:tcPr>
          <w:p w14:paraId="0FD5ED2A" w14:textId="77777777" w:rsidR="00876EFC" w:rsidRPr="00CF48CA" w:rsidRDefault="00876EFC" w:rsidP="00CE2FDF">
            <w:pPr>
              <w:spacing w:before="0" w:line="276" w:lineRule="auto"/>
              <w:jc w:val="right"/>
              <w:rPr>
                <w:rFonts w:eastAsia="Times New Roman" w:cs="Arial"/>
                <w:b/>
                <w:color w:val="FF0000"/>
                <w:lang w:eastAsia="en-AU"/>
              </w:rPr>
            </w:pPr>
          </w:p>
        </w:tc>
      </w:tr>
      <w:tr w:rsidR="00876EFC" w:rsidRPr="001565F1" w14:paraId="3F5592DB" w14:textId="77777777" w:rsidTr="00561E44">
        <w:trPr>
          <w:trHeight w:val="204"/>
        </w:trPr>
        <w:tc>
          <w:tcPr>
            <w:tcW w:w="1876" w:type="dxa"/>
            <w:tcBorders>
              <w:top w:val="nil"/>
              <w:left w:val="single" w:sz="4" w:space="0" w:color="auto"/>
              <w:bottom w:val="nil"/>
              <w:right w:val="nil"/>
            </w:tcBorders>
            <w:shd w:val="clear" w:color="auto" w:fill="EAF1DD" w:themeFill="accent3" w:themeFillTint="33"/>
            <w:noWrap/>
            <w:vAlign w:val="bottom"/>
            <w:hideMark/>
          </w:tcPr>
          <w:p w14:paraId="743D7E45"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88" w:type="dxa"/>
            <w:tcBorders>
              <w:top w:val="nil"/>
              <w:left w:val="nil"/>
              <w:bottom w:val="nil"/>
              <w:right w:val="nil"/>
            </w:tcBorders>
            <w:shd w:val="clear" w:color="auto" w:fill="auto"/>
            <w:noWrap/>
            <w:vAlign w:val="bottom"/>
            <w:hideMark/>
          </w:tcPr>
          <w:p w14:paraId="762205F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r w:rsidR="001C4508">
              <w:rPr>
                <w:rFonts w:eastAsia="Times New Roman" w:cs="Arial"/>
                <w:color w:val="000000"/>
                <w:lang w:eastAsia="en-AU"/>
              </w:rPr>
              <w:t>,</w:t>
            </w:r>
            <w:r w:rsidRPr="001565F1">
              <w:rPr>
                <w:rFonts w:eastAsia="Times New Roman" w:cs="Arial"/>
                <w:color w:val="000000"/>
                <w:lang w:eastAsia="en-AU"/>
              </w:rPr>
              <w:t>099</w:t>
            </w:r>
          </w:p>
        </w:tc>
        <w:tc>
          <w:tcPr>
            <w:tcW w:w="1288" w:type="dxa"/>
            <w:tcBorders>
              <w:top w:val="nil"/>
              <w:left w:val="nil"/>
              <w:bottom w:val="nil"/>
              <w:right w:val="nil"/>
            </w:tcBorders>
            <w:shd w:val="clear" w:color="auto" w:fill="EAF1DD" w:themeFill="accent3" w:themeFillTint="33"/>
            <w:noWrap/>
            <w:vAlign w:val="bottom"/>
            <w:hideMark/>
          </w:tcPr>
          <w:p w14:paraId="124BB9F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846</w:t>
            </w:r>
          </w:p>
        </w:tc>
        <w:tc>
          <w:tcPr>
            <w:tcW w:w="1288" w:type="dxa"/>
            <w:tcBorders>
              <w:top w:val="nil"/>
              <w:left w:val="nil"/>
              <w:bottom w:val="nil"/>
              <w:right w:val="nil"/>
            </w:tcBorders>
            <w:shd w:val="clear" w:color="auto" w:fill="auto"/>
            <w:noWrap/>
            <w:vAlign w:val="bottom"/>
            <w:hideMark/>
          </w:tcPr>
          <w:p w14:paraId="7E29D52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940</w:t>
            </w:r>
          </w:p>
        </w:tc>
        <w:tc>
          <w:tcPr>
            <w:tcW w:w="1288" w:type="dxa"/>
            <w:tcBorders>
              <w:top w:val="nil"/>
              <w:left w:val="nil"/>
              <w:bottom w:val="nil"/>
              <w:right w:val="nil"/>
            </w:tcBorders>
            <w:shd w:val="clear" w:color="auto" w:fill="EAF1DD" w:themeFill="accent3" w:themeFillTint="33"/>
            <w:noWrap/>
            <w:vAlign w:val="bottom"/>
            <w:hideMark/>
          </w:tcPr>
          <w:p w14:paraId="25E226C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r w:rsidR="001C4508">
              <w:rPr>
                <w:rFonts w:eastAsia="Times New Roman" w:cs="Arial"/>
                <w:color w:val="000000"/>
                <w:lang w:eastAsia="en-AU"/>
              </w:rPr>
              <w:t>,</w:t>
            </w:r>
            <w:r w:rsidRPr="001565F1">
              <w:rPr>
                <w:rFonts w:eastAsia="Times New Roman" w:cs="Arial"/>
                <w:color w:val="000000"/>
                <w:lang w:eastAsia="en-AU"/>
              </w:rPr>
              <w:t>529</w:t>
            </w:r>
          </w:p>
        </w:tc>
        <w:tc>
          <w:tcPr>
            <w:tcW w:w="1288" w:type="dxa"/>
            <w:tcBorders>
              <w:top w:val="nil"/>
              <w:left w:val="nil"/>
              <w:bottom w:val="nil"/>
              <w:right w:val="nil"/>
            </w:tcBorders>
            <w:shd w:val="clear" w:color="auto" w:fill="auto"/>
            <w:noWrap/>
            <w:vAlign w:val="bottom"/>
            <w:hideMark/>
          </w:tcPr>
          <w:p w14:paraId="6FF5BD4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810</w:t>
            </w:r>
          </w:p>
        </w:tc>
        <w:tc>
          <w:tcPr>
            <w:tcW w:w="1288" w:type="dxa"/>
            <w:tcBorders>
              <w:top w:val="nil"/>
              <w:left w:val="nil"/>
              <w:bottom w:val="nil"/>
              <w:right w:val="nil"/>
            </w:tcBorders>
            <w:shd w:val="clear" w:color="auto" w:fill="EAF1DD" w:themeFill="accent3" w:themeFillTint="33"/>
            <w:noWrap/>
            <w:vAlign w:val="bottom"/>
            <w:hideMark/>
          </w:tcPr>
          <w:p w14:paraId="416C81E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r w:rsidR="001C4508">
              <w:rPr>
                <w:rFonts w:eastAsia="Times New Roman" w:cs="Arial"/>
                <w:color w:val="000000"/>
                <w:lang w:eastAsia="en-AU"/>
              </w:rPr>
              <w:t>,</w:t>
            </w:r>
            <w:r w:rsidRPr="001565F1">
              <w:rPr>
                <w:rFonts w:eastAsia="Times New Roman" w:cs="Arial"/>
                <w:color w:val="000000"/>
                <w:lang w:eastAsia="en-AU"/>
              </w:rPr>
              <w:t>460</w:t>
            </w:r>
          </w:p>
        </w:tc>
        <w:tc>
          <w:tcPr>
            <w:tcW w:w="1288" w:type="dxa"/>
            <w:tcBorders>
              <w:top w:val="nil"/>
              <w:left w:val="nil"/>
              <w:bottom w:val="nil"/>
              <w:right w:val="nil"/>
            </w:tcBorders>
            <w:shd w:val="clear" w:color="auto" w:fill="auto"/>
            <w:noWrap/>
            <w:vAlign w:val="bottom"/>
            <w:hideMark/>
          </w:tcPr>
          <w:p w14:paraId="7AC12F3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w:t>
            </w:r>
            <w:r w:rsidR="001C4508">
              <w:rPr>
                <w:rFonts w:eastAsia="Times New Roman" w:cs="Arial"/>
                <w:color w:val="000000"/>
                <w:lang w:eastAsia="en-AU"/>
              </w:rPr>
              <w:t>,</w:t>
            </w:r>
            <w:r w:rsidRPr="001565F1">
              <w:rPr>
                <w:rFonts w:eastAsia="Times New Roman" w:cs="Arial"/>
                <w:color w:val="000000"/>
                <w:lang w:eastAsia="en-AU"/>
              </w:rPr>
              <w:t>984</w:t>
            </w:r>
          </w:p>
        </w:tc>
        <w:tc>
          <w:tcPr>
            <w:tcW w:w="1288" w:type="dxa"/>
            <w:tcBorders>
              <w:top w:val="nil"/>
              <w:left w:val="nil"/>
              <w:bottom w:val="nil"/>
              <w:right w:val="nil"/>
            </w:tcBorders>
            <w:shd w:val="clear" w:color="auto" w:fill="EAF1DD" w:themeFill="accent3" w:themeFillTint="33"/>
            <w:noWrap/>
            <w:vAlign w:val="bottom"/>
            <w:hideMark/>
          </w:tcPr>
          <w:p w14:paraId="603E6F0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r w:rsidR="001C4508">
              <w:rPr>
                <w:rFonts w:eastAsia="Times New Roman" w:cs="Arial"/>
                <w:color w:val="000000"/>
                <w:lang w:eastAsia="en-AU"/>
              </w:rPr>
              <w:t>,</w:t>
            </w:r>
            <w:r w:rsidRPr="001565F1">
              <w:rPr>
                <w:rFonts w:eastAsia="Times New Roman" w:cs="Arial"/>
                <w:color w:val="000000"/>
                <w:lang w:eastAsia="en-AU"/>
              </w:rPr>
              <w:t>123</w:t>
            </w:r>
          </w:p>
        </w:tc>
        <w:tc>
          <w:tcPr>
            <w:tcW w:w="1288" w:type="dxa"/>
            <w:tcBorders>
              <w:top w:val="nil"/>
              <w:left w:val="nil"/>
              <w:bottom w:val="nil"/>
              <w:right w:val="nil"/>
            </w:tcBorders>
            <w:shd w:val="clear" w:color="auto" w:fill="auto"/>
            <w:noWrap/>
            <w:vAlign w:val="bottom"/>
            <w:hideMark/>
          </w:tcPr>
          <w:p w14:paraId="56367C8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w:t>
            </w:r>
            <w:r w:rsidR="001C4508">
              <w:rPr>
                <w:rFonts w:eastAsia="Times New Roman" w:cs="Arial"/>
                <w:color w:val="000000"/>
                <w:lang w:eastAsia="en-AU"/>
              </w:rPr>
              <w:t>,</w:t>
            </w:r>
            <w:r w:rsidRPr="001565F1">
              <w:rPr>
                <w:rFonts w:eastAsia="Times New Roman" w:cs="Arial"/>
                <w:color w:val="000000"/>
                <w:lang w:eastAsia="en-AU"/>
              </w:rPr>
              <w:t>120</w:t>
            </w:r>
          </w:p>
        </w:tc>
        <w:tc>
          <w:tcPr>
            <w:tcW w:w="1289" w:type="dxa"/>
            <w:tcBorders>
              <w:top w:val="nil"/>
              <w:left w:val="nil"/>
              <w:bottom w:val="nil"/>
              <w:right w:val="single" w:sz="4" w:space="0" w:color="auto"/>
            </w:tcBorders>
            <w:shd w:val="clear" w:color="auto" w:fill="EAF1DD" w:themeFill="accent3" w:themeFillTint="33"/>
            <w:noWrap/>
            <w:vAlign w:val="bottom"/>
            <w:hideMark/>
          </w:tcPr>
          <w:p w14:paraId="0353C26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w:t>
            </w:r>
            <w:r w:rsidR="001C4508">
              <w:rPr>
                <w:rFonts w:eastAsia="Times New Roman" w:cs="Arial"/>
                <w:color w:val="000000"/>
                <w:lang w:eastAsia="en-AU"/>
              </w:rPr>
              <w:t>,</w:t>
            </w:r>
            <w:r w:rsidRPr="001565F1">
              <w:rPr>
                <w:rFonts w:eastAsia="Times New Roman" w:cs="Arial"/>
                <w:color w:val="000000"/>
                <w:lang w:eastAsia="en-AU"/>
              </w:rPr>
              <w:t>902</w:t>
            </w:r>
          </w:p>
        </w:tc>
      </w:tr>
      <w:tr w:rsidR="000E61DB" w:rsidRPr="001565F1" w14:paraId="26712C90" w14:textId="77777777" w:rsidTr="00561E44">
        <w:trPr>
          <w:trHeight w:val="204"/>
        </w:trPr>
        <w:tc>
          <w:tcPr>
            <w:tcW w:w="1876" w:type="dxa"/>
            <w:tcBorders>
              <w:top w:val="nil"/>
              <w:left w:val="single" w:sz="4" w:space="0" w:color="auto"/>
              <w:bottom w:val="nil"/>
              <w:right w:val="nil"/>
            </w:tcBorders>
            <w:shd w:val="clear" w:color="auto" w:fill="EAF1DD" w:themeFill="accent3" w:themeFillTint="33"/>
            <w:noWrap/>
            <w:vAlign w:val="bottom"/>
            <w:hideMark/>
          </w:tcPr>
          <w:p w14:paraId="50EFA032"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88" w:type="dxa"/>
            <w:tcBorders>
              <w:top w:val="nil"/>
              <w:left w:val="nil"/>
              <w:bottom w:val="nil"/>
              <w:right w:val="nil"/>
            </w:tcBorders>
            <w:shd w:val="clear" w:color="auto" w:fill="auto"/>
            <w:noWrap/>
            <w:vAlign w:val="bottom"/>
            <w:hideMark/>
          </w:tcPr>
          <w:p w14:paraId="13E1775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160</w:t>
            </w:r>
          </w:p>
        </w:tc>
        <w:tc>
          <w:tcPr>
            <w:tcW w:w="1288" w:type="dxa"/>
            <w:tcBorders>
              <w:top w:val="nil"/>
              <w:left w:val="nil"/>
              <w:bottom w:val="nil"/>
              <w:right w:val="nil"/>
            </w:tcBorders>
            <w:shd w:val="clear" w:color="auto" w:fill="EAF1DD" w:themeFill="accent3" w:themeFillTint="33"/>
            <w:noWrap/>
            <w:vAlign w:val="bottom"/>
            <w:hideMark/>
          </w:tcPr>
          <w:p w14:paraId="4BABB13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254</w:t>
            </w:r>
          </w:p>
        </w:tc>
        <w:tc>
          <w:tcPr>
            <w:tcW w:w="1288" w:type="dxa"/>
            <w:tcBorders>
              <w:top w:val="nil"/>
              <w:left w:val="nil"/>
              <w:bottom w:val="nil"/>
              <w:right w:val="nil"/>
            </w:tcBorders>
            <w:shd w:val="clear" w:color="auto" w:fill="auto"/>
            <w:noWrap/>
            <w:vAlign w:val="bottom"/>
            <w:hideMark/>
          </w:tcPr>
          <w:p w14:paraId="14B9C9A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896</w:t>
            </w:r>
          </w:p>
        </w:tc>
        <w:tc>
          <w:tcPr>
            <w:tcW w:w="1288" w:type="dxa"/>
            <w:tcBorders>
              <w:top w:val="nil"/>
              <w:left w:val="nil"/>
              <w:bottom w:val="nil"/>
              <w:right w:val="nil"/>
            </w:tcBorders>
            <w:shd w:val="clear" w:color="auto" w:fill="EAF1DD" w:themeFill="accent3" w:themeFillTint="33"/>
            <w:noWrap/>
            <w:vAlign w:val="bottom"/>
            <w:hideMark/>
          </w:tcPr>
          <w:p w14:paraId="367989C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084</w:t>
            </w:r>
          </w:p>
        </w:tc>
        <w:tc>
          <w:tcPr>
            <w:tcW w:w="1288" w:type="dxa"/>
            <w:tcBorders>
              <w:top w:val="nil"/>
              <w:left w:val="nil"/>
              <w:bottom w:val="nil"/>
              <w:right w:val="nil"/>
            </w:tcBorders>
            <w:shd w:val="clear" w:color="auto" w:fill="auto"/>
            <w:noWrap/>
            <w:vAlign w:val="bottom"/>
            <w:hideMark/>
          </w:tcPr>
          <w:p w14:paraId="6FA81C3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868</w:t>
            </w:r>
          </w:p>
        </w:tc>
        <w:tc>
          <w:tcPr>
            <w:tcW w:w="1288" w:type="dxa"/>
            <w:tcBorders>
              <w:top w:val="nil"/>
              <w:left w:val="nil"/>
              <w:bottom w:val="nil"/>
              <w:right w:val="nil"/>
            </w:tcBorders>
            <w:shd w:val="clear" w:color="auto" w:fill="EAF1DD" w:themeFill="accent3" w:themeFillTint="33"/>
            <w:noWrap/>
            <w:vAlign w:val="bottom"/>
            <w:hideMark/>
          </w:tcPr>
          <w:p w14:paraId="1F4E6FC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331</w:t>
            </w:r>
          </w:p>
        </w:tc>
        <w:tc>
          <w:tcPr>
            <w:tcW w:w="1288" w:type="dxa"/>
            <w:tcBorders>
              <w:top w:val="nil"/>
              <w:left w:val="nil"/>
              <w:bottom w:val="nil"/>
              <w:right w:val="nil"/>
            </w:tcBorders>
            <w:shd w:val="clear" w:color="auto" w:fill="auto"/>
            <w:noWrap/>
            <w:vAlign w:val="bottom"/>
            <w:hideMark/>
          </w:tcPr>
          <w:p w14:paraId="1F22CF0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504</w:t>
            </w:r>
          </w:p>
        </w:tc>
        <w:tc>
          <w:tcPr>
            <w:tcW w:w="1288" w:type="dxa"/>
            <w:tcBorders>
              <w:top w:val="nil"/>
              <w:left w:val="nil"/>
              <w:bottom w:val="nil"/>
              <w:right w:val="nil"/>
            </w:tcBorders>
            <w:shd w:val="clear" w:color="auto" w:fill="EAF1DD" w:themeFill="accent3" w:themeFillTint="33"/>
            <w:noWrap/>
            <w:vAlign w:val="bottom"/>
            <w:hideMark/>
          </w:tcPr>
          <w:p w14:paraId="156D200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670</w:t>
            </w:r>
          </w:p>
        </w:tc>
        <w:tc>
          <w:tcPr>
            <w:tcW w:w="1288" w:type="dxa"/>
            <w:tcBorders>
              <w:top w:val="nil"/>
              <w:left w:val="nil"/>
              <w:bottom w:val="nil"/>
              <w:right w:val="nil"/>
            </w:tcBorders>
            <w:shd w:val="clear" w:color="auto" w:fill="auto"/>
            <w:noWrap/>
            <w:vAlign w:val="bottom"/>
            <w:hideMark/>
          </w:tcPr>
          <w:p w14:paraId="16736AC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248</w:t>
            </w:r>
          </w:p>
        </w:tc>
        <w:tc>
          <w:tcPr>
            <w:tcW w:w="1289" w:type="dxa"/>
            <w:tcBorders>
              <w:top w:val="nil"/>
              <w:left w:val="nil"/>
              <w:bottom w:val="nil"/>
              <w:right w:val="single" w:sz="4" w:space="0" w:color="auto"/>
            </w:tcBorders>
            <w:shd w:val="clear" w:color="auto" w:fill="EAF1DD" w:themeFill="accent3" w:themeFillTint="33"/>
            <w:noWrap/>
            <w:vAlign w:val="bottom"/>
            <w:hideMark/>
          </w:tcPr>
          <w:p w14:paraId="64D3A51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734</w:t>
            </w:r>
          </w:p>
        </w:tc>
      </w:tr>
      <w:tr w:rsidR="00876EFC" w:rsidRPr="001565F1" w14:paraId="6AB632BC" w14:textId="77777777" w:rsidTr="00561E44">
        <w:trPr>
          <w:trHeight w:val="204"/>
        </w:trPr>
        <w:tc>
          <w:tcPr>
            <w:tcW w:w="1876" w:type="dxa"/>
            <w:tcBorders>
              <w:top w:val="nil"/>
              <w:left w:val="single" w:sz="4" w:space="0" w:color="auto"/>
              <w:bottom w:val="nil"/>
              <w:right w:val="nil"/>
            </w:tcBorders>
            <w:shd w:val="clear" w:color="auto" w:fill="EAF1DD" w:themeFill="accent3" w:themeFillTint="33"/>
            <w:noWrap/>
            <w:vAlign w:val="bottom"/>
            <w:hideMark/>
          </w:tcPr>
          <w:p w14:paraId="5EC7558B"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88" w:type="dxa"/>
            <w:tcBorders>
              <w:top w:val="nil"/>
              <w:left w:val="nil"/>
              <w:bottom w:val="nil"/>
              <w:right w:val="nil"/>
            </w:tcBorders>
            <w:shd w:val="clear" w:color="auto" w:fill="auto"/>
            <w:noWrap/>
            <w:vAlign w:val="bottom"/>
            <w:hideMark/>
          </w:tcPr>
          <w:p w14:paraId="2029AF6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369</w:t>
            </w:r>
          </w:p>
        </w:tc>
        <w:tc>
          <w:tcPr>
            <w:tcW w:w="1288" w:type="dxa"/>
            <w:tcBorders>
              <w:top w:val="nil"/>
              <w:left w:val="nil"/>
              <w:bottom w:val="nil"/>
              <w:right w:val="nil"/>
            </w:tcBorders>
            <w:shd w:val="clear" w:color="auto" w:fill="EAF1DD" w:themeFill="accent3" w:themeFillTint="33"/>
            <w:noWrap/>
            <w:vAlign w:val="bottom"/>
            <w:hideMark/>
          </w:tcPr>
          <w:p w14:paraId="7A3AF08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531</w:t>
            </w:r>
          </w:p>
        </w:tc>
        <w:tc>
          <w:tcPr>
            <w:tcW w:w="1288" w:type="dxa"/>
            <w:tcBorders>
              <w:top w:val="nil"/>
              <w:left w:val="nil"/>
              <w:bottom w:val="nil"/>
              <w:right w:val="nil"/>
            </w:tcBorders>
            <w:shd w:val="clear" w:color="auto" w:fill="auto"/>
            <w:noWrap/>
            <w:vAlign w:val="bottom"/>
            <w:hideMark/>
          </w:tcPr>
          <w:p w14:paraId="422B9E9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320</w:t>
            </w:r>
          </w:p>
        </w:tc>
        <w:tc>
          <w:tcPr>
            <w:tcW w:w="1288" w:type="dxa"/>
            <w:tcBorders>
              <w:top w:val="nil"/>
              <w:left w:val="nil"/>
              <w:bottom w:val="nil"/>
              <w:right w:val="nil"/>
            </w:tcBorders>
            <w:shd w:val="clear" w:color="auto" w:fill="EAF1DD" w:themeFill="accent3" w:themeFillTint="33"/>
            <w:noWrap/>
            <w:vAlign w:val="bottom"/>
            <w:hideMark/>
          </w:tcPr>
          <w:p w14:paraId="1E704F2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474</w:t>
            </w:r>
          </w:p>
        </w:tc>
        <w:tc>
          <w:tcPr>
            <w:tcW w:w="1288" w:type="dxa"/>
            <w:tcBorders>
              <w:top w:val="nil"/>
              <w:left w:val="nil"/>
              <w:bottom w:val="nil"/>
              <w:right w:val="nil"/>
            </w:tcBorders>
            <w:shd w:val="clear" w:color="auto" w:fill="auto"/>
            <w:noWrap/>
            <w:vAlign w:val="bottom"/>
            <w:hideMark/>
          </w:tcPr>
          <w:p w14:paraId="5598DFB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194</w:t>
            </w:r>
          </w:p>
        </w:tc>
        <w:tc>
          <w:tcPr>
            <w:tcW w:w="1288" w:type="dxa"/>
            <w:tcBorders>
              <w:top w:val="nil"/>
              <w:left w:val="nil"/>
              <w:bottom w:val="nil"/>
              <w:right w:val="nil"/>
            </w:tcBorders>
            <w:shd w:val="clear" w:color="auto" w:fill="EAF1DD" w:themeFill="accent3" w:themeFillTint="33"/>
            <w:noWrap/>
            <w:vAlign w:val="bottom"/>
            <w:hideMark/>
          </w:tcPr>
          <w:p w14:paraId="64CB157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315</w:t>
            </w:r>
          </w:p>
        </w:tc>
        <w:tc>
          <w:tcPr>
            <w:tcW w:w="1288" w:type="dxa"/>
            <w:tcBorders>
              <w:top w:val="nil"/>
              <w:left w:val="nil"/>
              <w:bottom w:val="nil"/>
              <w:right w:val="nil"/>
            </w:tcBorders>
            <w:shd w:val="clear" w:color="auto" w:fill="auto"/>
            <w:noWrap/>
            <w:vAlign w:val="bottom"/>
            <w:hideMark/>
          </w:tcPr>
          <w:p w14:paraId="5E0379F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391</w:t>
            </w:r>
          </w:p>
        </w:tc>
        <w:tc>
          <w:tcPr>
            <w:tcW w:w="1288" w:type="dxa"/>
            <w:tcBorders>
              <w:top w:val="nil"/>
              <w:left w:val="nil"/>
              <w:bottom w:val="nil"/>
              <w:right w:val="nil"/>
            </w:tcBorders>
            <w:shd w:val="clear" w:color="auto" w:fill="EAF1DD" w:themeFill="accent3" w:themeFillTint="33"/>
            <w:noWrap/>
            <w:vAlign w:val="bottom"/>
            <w:hideMark/>
          </w:tcPr>
          <w:p w14:paraId="466A6BE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511</w:t>
            </w:r>
          </w:p>
        </w:tc>
        <w:tc>
          <w:tcPr>
            <w:tcW w:w="1288" w:type="dxa"/>
            <w:tcBorders>
              <w:top w:val="nil"/>
              <w:left w:val="nil"/>
              <w:bottom w:val="nil"/>
              <w:right w:val="nil"/>
            </w:tcBorders>
            <w:shd w:val="clear" w:color="auto" w:fill="auto"/>
            <w:noWrap/>
            <w:vAlign w:val="bottom"/>
            <w:hideMark/>
          </w:tcPr>
          <w:p w14:paraId="7BBAEDE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007</w:t>
            </w:r>
          </w:p>
        </w:tc>
        <w:tc>
          <w:tcPr>
            <w:tcW w:w="1289" w:type="dxa"/>
            <w:tcBorders>
              <w:top w:val="nil"/>
              <w:left w:val="nil"/>
              <w:bottom w:val="nil"/>
              <w:right w:val="single" w:sz="4" w:space="0" w:color="auto"/>
            </w:tcBorders>
            <w:shd w:val="clear" w:color="auto" w:fill="EAF1DD" w:themeFill="accent3" w:themeFillTint="33"/>
            <w:noWrap/>
            <w:vAlign w:val="bottom"/>
            <w:hideMark/>
          </w:tcPr>
          <w:p w14:paraId="4D44FD4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376</w:t>
            </w:r>
          </w:p>
        </w:tc>
      </w:tr>
      <w:tr w:rsidR="00876EFC" w:rsidRPr="001565F1" w14:paraId="4F15324B" w14:textId="77777777" w:rsidTr="00561E44">
        <w:trPr>
          <w:trHeight w:val="204"/>
        </w:trPr>
        <w:tc>
          <w:tcPr>
            <w:tcW w:w="1876" w:type="dxa"/>
            <w:tcBorders>
              <w:top w:val="nil"/>
              <w:left w:val="single" w:sz="4" w:space="0" w:color="auto"/>
              <w:bottom w:val="nil"/>
              <w:right w:val="nil"/>
            </w:tcBorders>
            <w:shd w:val="clear" w:color="auto" w:fill="EAF1DD" w:themeFill="accent3" w:themeFillTint="33"/>
            <w:noWrap/>
            <w:vAlign w:val="bottom"/>
            <w:hideMark/>
          </w:tcPr>
          <w:p w14:paraId="6AC5463D"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88" w:type="dxa"/>
            <w:tcBorders>
              <w:top w:val="nil"/>
              <w:left w:val="nil"/>
              <w:bottom w:val="nil"/>
              <w:right w:val="nil"/>
            </w:tcBorders>
            <w:shd w:val="clear" w:color="auto" w:fill="auto"/>
            <w:noWrap/>
            <w:vAlign w:val="bottom"/>
            <w:hideMark/>
          </w:tcPr>
          <w:p w14:paraId="2D247A3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791</w:t>
            </w:r>
          </w:p>
        </w:tc>
        <w:tc>
          <w:tcPr>
            <w:tcW w:w="1288" w:type="dxa"/>
            <w:tcBorders>
              <w:top w:val="nil"/>
              <w:left w:val="nil"/>
              <w:bottom w:val="nil"/>
              <w:right w:val="nil"/>
            </w:tcBorders>
            <w:shd w:val="clear" w:color="auto" w:fill="EAF1DD" w:themeFill="accent3" w:themeFillTint="33"/>
            <w:noWrap/>
            <w:vAlign w:val="bottom"/>
            <w:hideMark/>
          </w:tcPr>
          <w:p w14:paraId="6B72352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723</w:t>
            </w:r>
          </w:p>
        </w:tc>
        <w:tc>
          <w:tcPr>
            <w:tcW w:w="1288" w:type="dxa"/>
            <w:tcBorders>
              <w:top w:val="nil"/>
              <w:left w:val="nil"/>
              <w:bottom w:val="nil"/>
              <w:right w:val="nil"/>
            </w:tcBorders>
            <w:shd w:val="clear" w:color="auto" w:fill="auto"/>
            <w:noWrap/>
            <w:vAlign w:val="bottom"/>
            <w:hideMark/>
          </w:tcPr>
          <w:p w14:paraId="176ECFF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576</w:t>
            </w:r>
          </w:p>
        </w:tc>
        <w:tc>
          <w:tcPr>
            <w:tcW w:w="1288" w:type="dxa"/>
            <w:tcBorders>
              <w:top w:val="nil"/>
              <w:left w:val="nil"/>
              <w:bottom w:val="nil"/>
              <w:right w:val="nil"/>
            </w:tcBorders>
            <w:shd w:val="clear" w:color="auto" w:fill="EAF1DD" w:themeFill="accent3" w:themeFillTint="33"/>
            <w:noWrap/>
            <w:vAlign w:val="bottom"/>
            <w:hideMark/>
          </w:tcPr>
          <w:p w14:paraId="112D480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610</w:t>
            </w:r>
          </w:p>
        </w:tc>
        <w:tc>
          <w:tcPr>
            <w:tcW w:w="1288" w:type="dxa"/>
            <w:tcBorders>
              <w:top w:val="nil"/>
              <w:left w:val="nil"/>
              <w:bottom w:val="nil"/>
              <w:right w:val="nil"/>
            </w:tcBorders>
            <w:shd w:val="clear" w:color="auto" w:fill="auto"/>
            <w:noWrap/>
            <w:vAlign w:val="bottom"/>
            <w:hideMark/>
          </w:tcPr>
          <w:p w14:paraId="1130A30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674</w:t>
            </w:r>
          </w:p>
        </w:tc>
        <w:tc>
          <w:tcPr>
            <w:tcW w:w="1288" w:type="dxa"/>
            <w:tcBorders>
              <w:top w:val="nil"/>
              <w:left w:val="nil"/>
              <w:bottom w:val="nil"/>
              <w:right w:val="nil"/>
            </w:tcBorders>
            <w:shd w:val="clear" w:color="auto" w:fill="EAF1DD" w:themeFill="accent3" w:themeFillTint="33"/>
            <w:noWrap/>
            <w:vAlign w:val="bottom"/>
            <w:hideMark/>
          </w:tcPr>
          <w:p w14:paraId="11EA709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016</w:t>
            </w:r>
          </w:p>
        </w:tc>
        <w:tc>
          <w:tcPr>
            <w:tcW w:w="1288" w:type="dxa"/>
            <w:tcBorders>
              <w:top w:val="nil"/>
              <w:left w:val="nil"/>
              <w:bottom w:val="nil"/>
              <w:right w:val="nil"/>
            </w:tcBorders>
            <w:shd w:val="clear" w:color="auto" w:fill="auto"/>
            <w:noWrap/>
            <w:vAlign w:val="bottom"/>
            <w:hideMark/>
          </w:tcPr>
          <w:p w14:paraId="69EE747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113</w:t>
            </w:r>
          </w:p>
        </w:tc>
        <w:tc>
          <w:tcPr>
            <w:tcW w:w="1288" w:type="dxa"/>
            <w:tcBorders>
              <w:top w:val="nil"/>
              <w:left w:val="nil"/>
              <w:bottom w:val="nil"/>
              <w:right w:val="nil"/>
            </w:tcBorders>
            <w:shd w:val="clear" w:color="auto" w:fill="EAF1DD" w:themeFill="accent3" w:themeFillTint="33"/>
            <w:noWrap/>
            <w:vAlign w:val="bottom"/>
            <w:hideMark/>
          </w:tcPr>
          <w:p w14:paraId="7BF820F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159</w:t>
            </w:r>
          </w:p>
        </w:tc>
        <w:tc>
          <w:tcPr>
            <w:tcW w:w="1288" w:type="dxa"/>
            <w:tcBorders>
              <w:top w:val="nil"/>
              <w:left w:val="nil"/>
              <w:bottom w:val="nil"/>
              <w:right w:val="nil"/>
            </w:tcBorders>
            <w:shd w:val="clear" w:color="auto" w:fill="auto"/>
            <w:noWrap/>
            <w:vAlign w:val="bottom"/>
            <w:hideMark/>
          </w:tcPr>
          <w:p w14:paraId="7914EAE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241</w:t>
            </w:r>
          </w:p>
        </w:tc>
        <w:tc>
          <w:tcPr>
            <w:tcW w:w="1289" w:type="dxa"/>
            <w:tcBorders>
              <w:top w:val="nil"/>
              <w:left w:val="nil"/>
              <w:bottom w:val="nil"/>
              <w:right w:val="single" w:sz="4" w:space="0" w:color="auto"/>
            </w:tcBorders>
            <w:shd w:val="clear" w:color="auto" w:fill="EAF1DD" w:themeFill="accent3" w:themeFillTint="33"/>
            <w:noWrap/>
            <w:vAlign w:val="bottom"/>
            <w:hideMark/>
          </w:tcPr>
          <w:p w14:paraId="3285B8F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358</w:t>
            </w:r>
          </w:p>
        </w:tc>
      </w:tr>
      <w:tr w:rsidR="00876EFC" w:rsidRPr="00CF48CA" w14:paraId="571E749B" w14:textId="77777777" w:rsidTr="00561E44">
        <w:trPr>
          <w:trHeight w:val="204"/>
        </w:trPr>
        <w:tc>
          <w:tcPr>
            <w:tcW w:w="1876" w:type="dxa"/>
            <w:tcBorders>
              <w:top w:val="nil"/>
              <w:left w:val="single" w:sz="4" w:space="0" w:color="auto"/>
              <w:bottom w:val="single" w:sz="4" w:space="0" w:color="auto"/>
              <w:right w:val="nil"/>
            </w:tcBorders>
            <w:shd w:val="clear" w:color="auto" w:fill="EAF1DD" w:themeFill="accent3" w:themeFillTint="33"/>
            <w:noWrap/>
            <w:vAlign w:val="bottom"/>
            <w:hideMark/>
          </w:tcPr>
          <w:p w14:paraId="7B375649" w14:textId="77777777" w:rsidR="00876EFC" w:rsidRPr="00CF48CA" w:rsidRDefault="00876EFC" w:rsidP="00CE2FDF">
            <w:pPr>
              <w:spacing w:before="0" w:line="276" w:lineRule="auto"/>
              <w:rPr>
                <w:rFonts w:eastAsia="Times New Roman" w:cs="Arial"/>
                <w:b/>
                <w:color w:val="000000"/>
                <w:lang w:eastAsia="en-AU"/>
              </w:rPr>
            </w:pPr>
            <w:r w:rsidRPr="00CF48CA">
              <w:rPr>
                <w:rFonts w:eastAsia="Times New Roman" w:cs="Arial"/>
                <w:b/>
                <w:color w:val="000000"/>
                <w:lang w:eastAsia="en-AU"/>
              </w:rPr>
              <w:t>Total reports:</w:t>
            </w:r>
          </w:p>
        </w:tc>
        <w:tc>
          <w:tcPr>
            <w:tcW w:w="1288" w:type="dxa"/>
            <w:tcBorders>
              <w:top w:val="nil"/>
              <w:left w:val="nil"/>
              <w:bottom w:val="single" w:sz="4" w:space="0" w:color="auto"/>
              <w:right w:val="nil"/>
            </w:tcBorders>
            <w:shd w:val="clear" w:color="auto" w:fill="auto"/>
            <w:noWrap/>
            <w:vAlign w:val="bottom"/>
            <w:hideMark/>
          </w:tcPr>
          <w:p w14:paraId="14F63611"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7</w:t>
            </w:r>
            <w:r w:rsidR="001C4508">
              <w:rPr>
                <w:rFonts w:eastAsia="Times New Roman" w:cs="Arial"/>
                <w:b/>
                <w:color w:val="000000"/>
                <w:lang w:eastAsia="en-AU"/>
              </w:rPr>
              <w:t>,</w:t>
            </w:r>
            <w:r w:rsidRPr="00CF48CA">
              <w:rPr>
                <w:rFonts w:eastAsia="Times New Roman" w:cs="Arial"/>
                <w:b/>
                <w:color w:val="000000"/>
                <w:lang w:eastAsia="en-AU"/>
              </w:rPr>
              <w:t>259</w:t>
            </w:r>
          </w:p>
        </w:tc>
        <w:tc>
          <w:tcPr>
            <w:tcW w:w="1288" w:type="dxa"/>
            <w:tcBorders>
              <w:top w:val="nil"/>
              <w:left w:val="nil"/>
              <w:bottom w:val="single" w:sz="4" w:space="0" w:color="auto"/>
              <w:right w:val="nil"/>
            </w:tcBorders>
            <w:shd w:val="clear" w:color="auto" w:fill="EAF1DD" w:themeFill="accent3" w:themeFillTint="33"/>
            <w:noWrap/>
            <w:vAlign w:val="bottom"/>
            <w:hideMark/>
          </w:tcPr>
          <w:p w14:paraId="4484F448"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7</w:t>
            </w:r>
            <w:r w:rsidR="001C4508">
              <w:rPr>
                <w:rFonts w:eastAsia="Times New Roman" w:cs="Arial"/>
                <w:b/>
                <w:color w:val="000000"/>
                <w:lang w:eastAsia="en-AU"/>
              </w:rPr>
              <w:t>,</w:t>
            </w:r>
            <w:r w:rsidRPr="00CF48CA">
              <w:rPr>
                <w:rFonts w:eastAsia="Times New Roman" w:cs="Arial"/>
                <w:b/>
                <w:color w:val="000000"/>
                <w:lang w:eastAsia="en-AU"/>
              </w:rPr>
              <w:t>100</w:t>
            </w:r>
          </w:p>
        </w:tc>
        <w:tc>
          <w:tcPr>
            <w:tcW w:w="1288" w:type="dxa"/>
            <w:tcBorders>
              <w:top w:val="nil"/>
              <w:left w:val="nil"/>
              <w:bottom w:val="single" w:sz="4" w:space="0" w:color="auto"/>
              <w:right w:val="nil"/>
            </w:tcBorders>
            <w:shd w:val="clear" w:color="auto" w:fill="auto"/>
            <w:noWrap/>
            <w:vAlign w:val="bottom"/>
            <w:hideMark/>
          </w:tcPr>
          <w:p w14:paraId="3B9C3A49"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6</w:t>
            </w:r>
            <w:r w:rsidR="001C4508">
              <w:rPr>
                <w:rFonts w:eastAsia="Times New Roman" w:cs="Arial"/>
                <w:b/>
                <w:color w:val="000000"/>
                <w:lang w:eastAsia="en-AU"/>
              </w:rPr>
              <w:t>,</w:t>
            </w:r>
            <w:r w:rsidRPr="00CF48CA">
              <w:rPr>
                <w:rFonts w:eastAsia="Times New Roman" w:cs="Arial"/>
                <w:b/>
                <w:color w:val="000000"/>
                <w:lang w:eastAsia="en-AU"/>
              </w:rPr>
              <w:t>836</w:t>
            </w:r>
          </w:p>
        </w:tc>
        <w:tc>
          <w:tcPr>
            <w:tcW w:w="1288" w:type="dxa"/>
            <w:tcBorders>
              <w:top w:val="nil"/>
              <w:left w:val="nil"/>
              <w:bottom w:val="single" w:sz="4" w:space="0" w:color="auto"/>
              <w:right w:val="nil"/>
            </w:tcBorders>
            <w:shd w:val="clear" w:color="auto" w:fill="EAF1DD" w:themeFill="accent3" w:themeFillTint="33"/>
            <w:noWrap/>
            <w:vAlign w:val="bottom"/>
            <w:hideMark/>
          </w:tcPr>
          <w:p w14:paraId="7374CAF9"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7</w:t>
            </w:r>
            <w:r w:rsidR="001C4508">
              <w:rPr>
                <w:rFonts w:eastAsia="Times New Roman" w:cs="Arial"/>
                <w:b/>
                <w:color w:val="000000"/>
                <w:lang w:eastAsia="en-AU"/>
              </w:rPr>
              <w:t>,</w:t>
            </w:r>
            <w:r w:rsidRPr="00CF48CA">
              <w:rPr>
                <w:rFonts w:eastAsia="Times New Roman" w:cs="Arial"/>
                <w:b/>
                <w:color w:val="000000"/>
                <w:lang w:eastAsia="en-AU"/>
              </w:rPr>
              <w:t>613</w:t>
            </w:r>
          </w:p>
        </w:tc>
        <w:tc>
          <w:tcPr>
            <w:tcW w:w="1288" w:type="dxa"/>
            <w:tcBorders>
              <w:top w:val="nil"/>
              <w:left w:val="nil"/>
              <w:bottom w:val="single" w:sz="4" w:space="0" w:color="auto"/>
              <w:right w:val="nil"/>
            </w:tcBorders>
            <w:shd w:val="clear" w:color="auto" w:fill="auto"/>
            <w:noWrap/>
            <w:vAlign w:val="bottom"/>
            <w:hideMark/>
          </w:tcPr>
          <w:p w14:paraId="629BA518"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6</w:t>
            </w:r>
            <w:r w:rsidR="001C4508">
              <w:rPr>
                <w:rFonts w:eastAsia="Times New Roman" w:cs="Arial"/>
                <w:b/>
                <w:color w:val="000000"/>
                <w:lang w:eastAsia="en-AU"/>
              </w:rPr>
              <w:t>,</w:t>
            </w:r>
            <w:r w:rsidRPr="00CF48CA">
              <w:rPr>
                <w:rFonts w:eastAsia="Times New Roman" w:cs="Arial"/>
                <w:b/>
                <w:color w:val="000000"/>
                <w:lang w:eastAsia="en-AU"/>
              </w:rPr>
              <w:t>678</w:t>
            </w:r>
          </w:p>
        </w:tc>
        <w:tc>
          <w:tcPr>
            <w:tcW w:w="1288" w:type="dxa"/>
            <w:tcBorders>
              <w:top w:val="nil"/>
              <w:left w:val="nil"/>
              <w:bottom w:val="single" w:sz="4" w:space="0" w:color="auto"/>
              <w:right w:val="nil"/>
            </w:tcBorders>
            <w:shd w:val="clear" w:color="auto" w:fill="EAF1DD" w:themeFill="accent3" w:themeFillTint="33"/>
            <w:noWrap/>
            <w:vAlign w:val="bottom"/>
            <w:hideMark/>
          </w:tcPr>
          <w:p w14:paraId="081986A1"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9</w:t>
            </w:r>
            <w:r w:rsidR="001C4508">
              <w:rPr>
                <w:rFonts w:eastAsia="Times New Roman" w:cs="Arial"/>
                <w:b/>
                <w:color w:val="000000"/>
                <w:lang w:eastAsia="en-AU"/>
              </w:rPr>
              <w:t>,</w:t>
            </w:r>
            <w:r w:rsidRPr="00CF48CA">
              <w:rPr>
                <w:rFonts w:eastAsia="Times New Roman" w:cs="Arial"/>
                <w:b/>
                <w:color w:val="000000"/>
                <w:lang w:eastAsia="en-AU"/>
              </w:rPr>
              <w:t>791</w:t>
            </w:r>
          </w:p>
        </w:tc>
        <w:tc>
          <w:tcPr>
            <w:tcW w:w="1288" w:type="dxa"/>
            <w:tcBorders>
              <w:top w:val="nil"/>
              <w:left w:val="nil"/>
              <w:bottom w:val="single" w:sz="4" w:space="0" w:color="auto"/>
              <w:right w:val="nil"/>
            </w:tcBorders>
            <w:shd w:val="clear" w:color="auto" w:fill="auto"/>
            <w:noWrap/>
            <w:vAlign w:val="bottom"/>
            <w:hideMark/>
          </w:tcPr>
          <w:p w14:paraId="564E7A18"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12</w:t>
            </w:r>
            <w:r w:rsidR="001C4508">
              <w:rPr>
                <w:rFonts w:eastAsia="Times New Roman" w:cs="Arial"/>
                <w:b/>
                <w:color w:val="000000"/>
                <w:lang w:eastAsia="en-AU"/>
              </w:rPr>
              <w:t>,</w:t>
            </w:r>
            <w:r w:rsidRPr="00CF48CA">
              <w:rPr>
                <w:rFonts w:eastAsia="Times New Roman" w:cs="Arial"/>
                <w:b/>
                <w:color w:val="000000"/>
                <w:lang w:eastAsia="en-AU"/>
              </w:rPr>
              <w:t>488</w:t>
            </w:r>
          </w:p>
        </w:tc>
        <w:tc>
          <w:tcPr>
            <w:tcW w:w="1288" w:type="dxa"/>
            <w:tcBorders>
              <w:top w:val="nil"/>
              <w:left w:val="nil"/>
              <w:bottom w:val="single" w:sz="4" w:space="0" w:color="auto"/>
              <w:right w:val="nil"/>
            </w:tcBorders>
            <w:shd w:val="clear" w:color="auto" w:fill="EAF1DD" w:themeFill="accent3" w:themeFillTint="33"/>
            <w:noWrap/>
            <w:vAlign w:val="bottom"/>
            <w:hideMark/>
          </w:tcPr>
          <w:p w14:paraId="1BAEDFFC"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13</w:t>
            </w:r>
            <w:r w:rsidR="001C4508">
              <w:rPr>
                <w:rFonts w:eastAsia="Times New Roman" w:cs="Arial"/>
                <w:b/>
                <w:color w:val="000000"/>
                <w:lang w:eastAsia="en-AU"/>
              </w:rPr>
              <w:t>,</w:t>
            </w:r>
            <w:r w:rsidRPr="00CF48CA">
              <w:rPr>
                <w:rFonts w:eastAsia="Times New Roman" w:cs="Arial"/>
                <w:b/>
                <w:color w:val="000000"/>
                <w:lang w:eastAsia="en-AU"/>
              </w:rPr>
              <w:t>793</w:t>
            </w:r>
          </w:p>
        </w:tc>
        <w:tc>
          <w:tcPr>
            <w:tcW w:w="1288" w:type="dxa"/>
            <w:tcBorders>
              <w:top w:val="nil"/>
              <w:left w:val="nil"/>
              <w:bottom w:val="single" w:sz="4" w:space="0" w:color="auto"/>
              <w:right w:val="nil"/>
            </w:tcBorders>
            <w:shd w:val="clear" w:color="auto" w:fill="auto"/>
            <w:noWrap/>
            <w:vAlign w:val="bottom"/>
            <w:hideMark/>
          </w:tcPr>
          <w:p w14:paraId="1ED3844A"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17</w:t>
            </w:r>
            <w:r w:rsidR="001C4508">
              <w:rPr>
                <w:rFonts w:eastAsia="Times New Roman" w:cs="Arial"/>
                <w:b/>
                <w:color w:val="000000"/>
                <w:lang w:eastAsia="en-AU"/>
              </w:rPr>
              <w:t>,</w:t>
            </w:r>
            <w:r w:rsidRPr="00CF48CA">
              <w:rPr>
                <w:rFonts w:eastAsia="Times New Roman" w:cs="Arial"/>
                <w:b/>
                <w:color w:val="000000"/>
                <w:lang w:eastAsia="en-AU"/>
              </w:rPr>
              <w:t>368</w:t>
            </w:r>
          </w:p>
        </w:tc>
        <w:tc>
          <w:tcPr>
            <w:tcW w:w="1289" w:type="dxa"/>
            <w:tcBorders>
              <w:top w:val="nil"/>
              <w:left w:val="nil"/>
              <w:bottom w:val="single" w:sz="4" w:space="0" w:color="auto"/>
              <w:right w:val="single" w:sz="4" w:space="0" w:color="auto"/>
            </w:tcBorders>
            <w:shd w:val="clear" w:color="auto" w:fill="EAF1DD" w:themeFill="accent3" w:themeFillTint="33"/>
            <w:noWrap/>
            <w:vAlign w:val="bottom"/>
            <w:hideMark/>
          </w:tcPr>
          <w:p w14:paraId="3386D823"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20</w:t>
            </w:r>
            <w:r w:rsidR="001C4508">
              <w:rPr>
                <w:rFonts w:eastAsia="Times New Roman" w:cs="Arial"/>
                <w:b/>
                <w:color w:val="000000"/>
                <w:lang w:eastAsia="en-AU"/>
              </w:rPr>
              <w:t>,</w:t>
            </w:r>
            <w:r w:rsidRPr="00CF48CA">
              <w:rPr>
                <w:rFonts w:eastAsia="Times New Roman" w:cs="Arial"/>
                <w:b/>
                <w:color w:val="000000"/>
                <w:lang w:eastAsia="en-AU"/>
              </w:rPr>
              <w:t>636</w:t>
            </w:r>
          </w:p>
        </w:tc>
      </w:tr>
      <w:tr w:rsidR="00876EFC" w:rsidRPr="00CF48CA" w14:paraId="0AF545B5"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466C397F" w14:textId="77777777" w:rsidR="00876EFC" w:rsidRPr="00CF48CA" w:rsidRDefault="00876EFC" w:rsidP="00CE2FDF">
            <w:pPr>
              <w:spacing w:before="0" w:line="276" w:lineRule="auto"/>
              <w:rPr>
                <w:rFonts w:eastAsia="Times New Roman" w:cs="Arial"/>
                <w:b/>
                <w:color w:val="000000"/>
                <w:lang w:eastAsia="en-AU"/>
              </w:rPr>
            </w:pPr>
            <w:r w:rsidRPr="00CF48CA">
              <w:rPr>
                <w:rFonts w:eastAsia="Times New Roman" w:cs="Arial"/>
                <w:b/>
                <w:color w:val="000000"/>
                <w:lang w:eastAsia="en-AU"/>
              </w:rPr>
              <w:t>Neglect</w:t>
            </w:r>
          </w:p>
        </w:tc>
        <w:tc>
          <w:tcPr>
            <w:tcW w:w="1288" w:type="dxa"/>
            <w:tcBorders>
              <w:top w:val="nil"/>
              <w:left w:val="nil"/>
              <w:bottom w:val="nil"/>
              <w:right w:val="nil"/>
            </w:tcBorders>
            <w:shd w:val="clear" w:color="auto" w:fill="auto"/>
            <w:noWrap/>
            <w:vAlign w:val="bottom"/>
            <w:hideMark/>
          </w:tcPr>
          <w:p w14:paraId="40E69926"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DAEEF3" w:themeFill="accent5" w:themeFillTint="33"/>
            <w:noWrap/>
            <w:vAlign w:val="bottom"/>
            <w:hideMark/>
          </w:tcPr>
          <w:p w14:paraId="698E22BD"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0CD7A7FF"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DAEEF3" w:themeFill="accent5" w:themeFillTint="33"/>
            <w:noWrap/>
            <w:vAlign w:val="bottom"/>
            <w:hideMark/>
          </w:tcPr>
          <w:p w14:paraId="4854945D"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6FCC8C7F"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DAEEF3" w:themeFill="accent5" w:themeFillTint="33"/>
            <w:noWrap/>
            <w:vAlign w:val="bottom"/>
            <w:hideMark/>
          </w:tcPr>
          <w:p w14:paraId="1536E6BD"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763EAB36"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DAEEF3" w:themeFill="accent5" w:themeFillTint="33"/>
            <w:noWrap/>
            <w:vAlign w:val="bottom"/>
            <w:hideMark/>
          </w:tcPr>
          <w:p w14:paraId="5D3B2C8E"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422919D4" w14:textId="77777777" w:rsidR="00876EFC" w:rsidRPr="00CF48CA" w:rsidRDefault="00876EFC" w:rsidP="00CE2FDF">
            <w:pPr>
              <w:spacing w:before="0" w:line="276" w:lineRule="auto"/>
              <w:jc w:val="right"/>
              <w:rPr>
                <w:rFonts w:eastAsia="Times New Roman" w:cs="Arial"/>
                <w:b/>
                <w:color w:val="FF0000"/>
                <w:lang w:eastAsia="en-AU"/>
              </w:rPr>
            </w:pPr>
          </w:p>
        </w:tc>
        <w:tc>
          <w:tcPr>
            <w:tcW w:w="1289" w:type="dxa"/>
            <w:tcBorders>
              <w:top w:val="nil"/>
              <w:left w:val="nil"/>
              <w:bottom w:val="nil"/>
              <w:right w:val="single" w:sz="4" w:space="0" w:color="auto"/>
            </w:tcBorders>
            <w:shd w:val="clear" w:color="auto" w:fill="DAEEF3" w:themeFill="accent5" w:themeFillTint="33"/>
            <w:noWrap/>
            <w:vAlign w:val="bottom"/>
            <w:hideMark/>
          </w:tcPr>
          <w:p w14:paraId="3DD0B67A" w14:textId="77777777" w:rsidR="00876EFC" w:rsidRPr="00CF48CA" w:rsidRDefault="00876EFC" w:rsidP="00CE2FDF">
            <w:pPr>
              <w:spacing w:before="0" w:line="276" w:lineRule="auto"/>
              <w:jc w:val="right"/>
              <w:rPr>
                <w:rFonts w:eastAsia="Times New Roman" w:cs="Arial"/>
                <w:b/>
                <w:color w:val="FF0000"/>
                <w:lang w:eastAsia="en-AU"/>
              </w:rPr>
            </w:pPr>
          </w:p>
        </w:tc>
      </w:tr>
      <w:tr w:rsidR="00876EFC" w:rsidRPr="001565F1" w14:paraId="0FC8C51D"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7E7FECFE"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88" w:type="dxa"/>
            <w:tcBorders>
              <w:top w:val="nil"/>
              <w:left w:val="nil"/>
              <w:bottom w:val="nil"/>
              <w:right w:val="nil"/>
            </w:tcBorders>
            <w:shd w:val="clear" w:color="auto" w:fill="auto"/>
            <w:noWrap/>
            <w:vAlign w:val="bottom"/>
            <w:hideMark/>
          </w:tcPr>
          <w:p w14:paraId="0CB3CDF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r w:rsidR="001C4508">
              <w:rPr>
                <w:rFonts w:eastAsia="Times New Roman" w:cs="Arial"/>
                <w:color w:val="000000"/>
                <w:lang w:eastAsia="en-AU"/>
              </w:rPr>
              <w:t>,</w:t>
            </w:r>
            <w:r w:rsidRPr="001565F1">
              <w:rPr>
                <w:rFonts w:eastAsia="Times New Roman" w:cs="Arial"/>
                <w:color w:val="000000"/>
                <w:lang w:eastAsia="en-AU"/>
              </w:rPr>
              <w:t>452</w:t>
            </w:r>
          </w:p>
        </w:tc>
        <w:tc>
          <w:tcPr>
            <w:tcW w:w="1288" w:type="dxa"/>
            <w:tcBorders>
              <w:top w:val="nil"/>
              <w:left w:val="nil"/>
              <w:bottom w:val="nil"/>
              <w:right w:val="nil"/>
            </w:tcBorders>
            <w:shd w:val="clear" w:color="auto" w:fill="DAEEF3" w:themeFill="accent5" w:themeFillTint="33"/>
            <w:noWrap/>
            <w:vAlign w:val="bottom"/>
            <w:hideMark/>
          </w:tcPr>
          <w:p w14:paraId="68F1B37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r w:rsidR="001C4508">
              <w:rPr>
                <w:rFonts w:eastAsia="Times New Roman" w:cs="Arial"/>
                <w:color w:val="000000"/>
                <w:lang w:eastAsia="en-AU"/>
              </w:rPr>
              <w:t>,</w:t>
            </w:r>
            <w:r w:rsidRPr="001565F1">
              <w:rPr>
                <w:rFonts w:eastAsia="Times New Roman" w:cs="Arial"/>
                <w:color w:val="000000"/>
                <w:lang w:eastAsia="en-AU"/>
              </w:rPr>
              <w:t>571</w:t>
            </w:r>
          </w:p>
        </w:tc>
        <w:tc>
          <w:tcPr>
            <w:tcW w:w="1288" w:type="dxa"/>
            <w:tcBorders>
              <w:top w:val="nil"/>
              <w:left w:val="nil"/>
              <w:bottom w:val="nil"/>
              <w:right w:val="nil"/>
            </w:tcBorders>
            <w:shd w:val="clear" w:color="auto" w:fill="auto"/>
            <w:noWrap/>
            <w:vAlign w:val="bottom"/>
            <w:hideMark/>
          </w:tcPr>
          <w:p w14:paraId="1B7F505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r w:rsidR="001C4508">
              <w:rPr>
                <w:rFonts w:eastAsia="Times New Roman" w:cs="Arial"/>
                <w:color w:val="000000"/>
                <w:lang w:eastAsia="en-AU"/>
              </w:rPr>
              <w:t>,</w:t>
            </w:r>
            <w:r w:rsidRPr="001565F1">
              <w:rPr>
                <w:rFonts w:eastAsia="Times New Roman" w:cs="Arial"/>
                <w:color w:val="000000"/>
                <w:lang w:eastAsia="en-AU"/>
              </w:rPr>
              <w:t>279</w:t>
            </w:r>
          </w:p>
        </w:tc>
        <w:tc>
          <w:tcPr>
            <w:tcW w:w="1288" w:type="dxa"/>
            <w:tcBorders>
              <w:top w:val="nil"/>
              <w:left w:val="nil"/>
              <w:bottom w:val="nil"/>
              <w:right w:val="nil"/>
            </w:tcBorders>
            <w:shd w:val="clear" w:color="auto" w:fill="DAEEF3" w:themeFill="accent5" w:themeFillTint="33"/>
            <w:noWrap/>
            <w:vAlign w:val="bottom"/>
            <w:hideMark/>
          </w:tcPr>
          <w:p w14:paraId="7E3A37E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r w:rsidR="001C4508">
              <w:rPr>
                <w:rFonts w:eastAsia="Times New Roman" w:cs="Arial"/>
                <w:color w:val="000000"/>
                <w:lang w:eastAsia="en-AU"/>
              </w:rPr>
              <w:t>,</w:t>
            </w:r>
            <w:r w:rsidRPr="001565F1">
              <w:rPr>
                <w:rFonts w:eastAsia="Times New Roman" w:cs="Arial"/>
                <w:color w:val="000000"/>
                <w:lang w:eastAsia="en-AU"/>
              </w:rPr>
              <w:t>146</w:t>
            </w:r>
          </w:p>
        </w:tc>
        <w:tc>
          <w:tcPr>
            <w:tcW w:w="1288" w:type="dxa"/>
            <w:tcBorders>
              <w:top w:val="nil"/>
              <w:left w:val="nil"/>
              <w:bottom w:val="nil"/>
              <w:right w:val="nil"/>
            </w:tcBorders>
            <w:shd w:val="clear" w:color="auto" w:fill="auto"/>
            <w:noWrap/>
            <w:vAlign w:val="bottom"/>
            <w:hideMark/>
          </w:tcPr>
          <w:p w14:paraId="1A8077E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w:t>
            </w:r>
            <w:r w:rsidR="001C4508">
              <w:rPr>
                <w:rFonts w:eastAsia="Times New Roman" w:cs="Arial"/>
                <w:color w:val="000000"/>
                <w:lang w:eastAsia="en-AU"/>
              </w:rPr>
              <w:t>,</w:t>
            </w:r>
            <w:r w:rsidRPr="001565F1">
              <w:rPr>
                <w:rFonts w:eastAsia="Times New Roman" w:cs="Arial"/>
                <w:color w:val="000000"/>
                <w:lang w:eastAsia="en-AU"/>
              </w:rPr>
              <w:t>907</w:t>
            </w:r>
          </w:p>
        </w:tc>
        <w:tc>
          <w:tcPr>
            <w:tcW w:w="1288" w:type="dxa"/>
            <w:tcBorders>
              <w:top w:val="nil"/>
              <w:left w:val="nil"/>
              <w:bottom w:val="nil"/>
              <w:right w:val="nil"/>
            </w:tcBorders>
            <w:shd w:val="clear" w:color="auto" w:fill="DAEEF3" w:themeFill="accent5" w:themeFillTint="33"/>
            <w:noWrap/>
            <w:vAlign w:val="bottom"/>
            <w:hideMark/>
          </w:tcPr>
          <w:p w14:paraId="4D83EB7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913</w:t>
            </w:r>
          </w:p>
        </w:tc>
        <w:tc>
          <w:tcPr>
            <w:tcW w:w="1288" w:type="dxa"/>
            <w:tcBorders>
              <w:top w:val="nil"/>
              <w:left w:val="nil"/>
              <w:bottom w:val="nil"/>
              <w:right w:val="nil"/>
            </w:tcBorders>
            <w:shd w:val="clear" w:color="auto" w:fill="auto"/>
            <w:noWrap/>
            <w:vAlign w:val="bottom"/>
            <w:hideMark/>
          </w:tcPr>
          <w:p w14:paraId="58EC662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934</w:t>
            </w:r>
          </w:p>
        </w:tc>
        <w:tc>
          <w:tcPr>
            <w:tcW w:w="1288" w:type="dxa"/>
            <w:tcBorders>
              <w:top w:val="nil"/>
              <w:left w:val="nil"/>
              <w:bottom w:val="nil"/>
              <w:right w:val="nil"/>
            </w:tcBorders>
            <w:shd w:val="clear" w:color="auto" w:fill="DAEEF3" w:themeFill="accent5" w:themeFillTint="33"/>
            <w:noWrap/>
            <w:vAlign w:val="bottom"/>
            <w:hideMark/>
          </w:tcPr>
          <w:p w14:paraId="0017DC0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294</w:t>
            </w:r>
          </w:p>
        </w:tc>
        <w:tc>
          <w:tcPr>
            <w:tcW w:w="1288" w:type="dxa"/>
            <w:tcBorders>
              <w:top w:val="nil"/>
              <w:left w:val="nil"/>
              <w:bottom w:val="nil"/>
              <w:right w:val="nil"/>
            </w:tcBorders>
            <w:shd w:val="clear" w:color="auto" w:fill="auto"/>
            <w:noWrap/>
            <w:vAlign w:val="bottom"/>
            <w:hideMark/>
          </w:tcPr>
          <w:p w14:paraId="2E60EE0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715</w:t>
            </w:r>
          </w:p>
        </w:tc>
        <w:tc>
          <w:tcPr>
            <w:tcW w:w="1289" w:type="dxa"/>
            <w:tcBorders>
              <w:top w:val="nil"/>
              <w:left w:val="nil"/>
              <w:bottom w:val="nil"/>
              <w:right w:val="single" w:sz="4" w:space="0" w:color="auto"/>
            </w:tcBorders>
            <w:shd w:val="clear" w:color="auto" w:fill="DAEEF3" w:themeFill="accent5" w:themeFillTint="33"/>
            <w:noWrap/>
            <w:vAlign w:val="bottom"/>
            <w:hideMark/>
          </w:tcPr>
          <w:p w14:paraId="57987B8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375</w:t>
            </w:r>
          </w:p>
        </w:tc>
      </w:tr>
      <w:tr w:rsidR="000E61DB" w:rsidRPr="001565F1" w14:paraId="5AC6D40A"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243EAACD"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88" w:type="dxa"/>
            <w:tcBorders>
              <w:top w:val="nil"/>
              <w:left w:val="nil"/>
              <w:bottom w:val="nil"/>
              <w:right w:val="nil"/>
            </w:tcBorders>
            <w:shd w:val="clear" w:color="auto" w:fill="auto"/>
            <w:noWrap/>
            <w:vAlign w:val="bottom"/>
            <w:hideMark/>
          </w:tcPr>
          <w:p w14:paraId="132B35F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301</w:t>
            </w:r>
          </w:p>
        </w:tc>
        <w:tc>
          <w:tcPr>
            <w:tcW w:w="1288" w:type="dxa"/>
            <w:tcBorders>
              <w:top w:val="nil"/>
              <w:left w:val="nil"/>
              <w:bottom w:val="nil"/>
              <w:right w:val="nil"/>
            </w:tcBorders>
            <w:shd w:val="clear" w:color="auto" w:fill="DAEEF3" w:themeFill="accent5" w:themeFillTint="33"/>
            <w:noWrap/>
            <w:vAlign w:val="bottom"/>
            <w:hideMark/>
          </w:tcPr>
          <w:p w14:paraId="7BC2271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083</w:t>
            </w:r>
          </w:p>
        </w:tc>
        <w:tc>
          <w:tcPr>
            <w:tcW w:w="1288" w:type="dxa"/>
            <w:tcBorders>
              <w:top w:val="nil"/>
              <w:left w:val="nil"/>
              <w:bottom w:val="nil"/>
              <w:right w:val="nil"/>
            </w:tcBorders>
            <w:shd w:val="clear" w:color="auto" w:fill="auto"/>
            <w:noWrap/>
            <w:vAlign w:val="bottom"/>
            <w:hideMark/>
          </w:tcPr>
          <w:p w14:paraId="626349F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995</w:t>
            </w:r>
          </w:p>
        </w:tc>
        <w:tc>
          <w:tcPr>
            <w:tcW w:w="1288" w:type="dxa"/>
            <w:tcBorders>
              <w:top w:val="nil"/>
              <w:left w:val="nil"/>
              <w:bottom w:val="nil"/>
              <w:right w:val="nil"/>
            </w:tcBorders>
            <w:shd w:val="clear" w:color="auto" w:fill="DAEEF3" w:themeFill="accent5" w:themeFillTint="33"/>
            <w:noWrap/>
            <w:vAlign w:val="bottom"/>
            <w:hideMark/>
          </w:tcPr>
          <w:p w14:paraId="16197F0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831</w:t>
            </w:r>
          </w:p>
        </w:tc>
        <w:tc>
          <w:tcPr>
            <w:tcW w:w="1288" w:type="dxa"/>
            <w:tcBorders>
              <w:top w:val="nil"/>
              <w:left w:val="nil"/>
              <w:bottom w:val="nil"/>
              <w:right w:val="nil"/>
            </w:tcBorders>
            <w:shd w:val="clear" w:color="auto" w:fill="auto"/>
            <w:noWrap/>
            <w:vAlign w:val="bottom"/>
            <w:hideMark/>
          </w:tcPr>
          <w:p w14:paraId="6B2B9B9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098</w:t>
            </w:r>
          </w:p>
        </w:tc>
        <w:tc>
          <w:tcPr>
            <w:tcW w:w="1288" w:type="dxa"/>
            <w:tcBorders>
              <w:top w:val="nil"/>
              <w:left w:val="nil"/>
              <w:bottom w:val="nil"/>
              <w:right w:val="nil"/>
            </w:tcBorders>
            <w:shd w:val="clear" w:color="auto" w:fill="DAEEF3" w:themeFill="accent5" w:themeFillTint="33"/>
            <w:noWrap/>
            <w:vAlign w:val="bottom"/>
            <w:hideMark/>
          </w:tcPr>
          <w:p w14:paraId="02FBE9F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936</w:t>
            </w:r>
          </w:p>
        </w:tc>
        <w:tc>
          <w:tcPr>
            <w:tcW w:w="1288" w:type="dxa"/>
            <w:tcBorders>
              <w:top w:val="nil"/>
              <w:left w:val="nil"/>
              <w:bottom w:val="nil"/>
              <w:right w:val="nil"/>
            </w:tcBorders>
            <w:shd w:val="clear" w:color="auto" w:fill="auto"/>
            <w:noWrap/>
            <w:vAlign w:val="bottom"/>
            <w:hideMark/>
          </w:tcPr>
          <w:p w14:paraId="154B459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699</w:t>
            </w:r>
          </w:p>
        </w:tc>
        <w:tc>
          <w:tcPr>
            <w:tcW w:w="1288" w:type="dxa"/>
            <w:tcBorders>
              <w:top w:val="nil"/>
              <w:left w:val="nil"/>
              <w:bottom w:val="nil"/>
              <w:right w:val="nil"/>
            </w:tcBorders>
            <w:shd w:val="clear" w:color="auto" w:fill="DAEEF3" w:themeFill="accent5" w:themeFillTint="33"/>
            <w:noWrap/>
            <w:vAlign w:val="bottom"/>
            <w:hideMark/>
          </w:tcPr>
          <w:p w14:paraId="03B915F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901</w:t>
            </w:r>
          </w:p>
        </w:tc>
        <w:tc>
          <w:tcPr>
            <w:tcW w:w="1288" w:type="dxa"/>
            <w:tcBorders>
              <w:top w:val="nil"/>
              <w:left w:val="nil"/>
              <w:bottom w:val="nil"/>
              <w:right w:val="nil"/>
            </w:tcBorders>
            <w:shd w:val="clear" w:color="auto" w:fill="auto"/>
            <w:noWrap/>
            <w:vAlign w:val="bottom"/>
            <w:hideMark/>
          </w:tcPr>
          <w:p w14:paraId="6E8D3F8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018</w:t>
            </w:r>
          </w:p>
        </w:tc>
        <w:tc>
          <w:tcPr>
            <w:tcW w:w="1289" w:type="dxa"/>
            <w:tcBorders>
              <w:top w:val="nil"/>
              <w:left w:val="nil"/>
              <w:bottom w:val="nil"/>
              <w:right w:val="single" w:sz="4" w:space="0" w:color="auto"/>
            </w:tcBorders>
            <w:shd w:val="clear" w:color="auto" w:fill="DAEEF3" w:themeFill="accent5" w:themeFillTint="33"/>
            <w:noWrap/>
            <w:vAlign w:val="bottom"/>
            <w:hideMark/>
          </w:tcPr>
          <w:p w14:paraId="3BCA4BB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835</w:t>
            </w:r>
          </w:p>
        </w:tc>
      </w:tr>
      <w:tr w:rsidR="00876EFC" w:rsidRPr="001565F1" w14:paraId="347ADC0F"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18C15E73"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88" w:type="dxa"/>
            <w:tcBorders>
              <w:top w:val="nil"/>
              <w:left w:val="nil"/>
              <w:bottom w:val="nil"/>
              <w:right w:val="nil"/>
            </w:tcBorders>
            <w:shd w:val="clear" w:color="auto" w:fill="auto"/>
            <w:noWrap/>
            <w:vAlign w:val="bottom"/>
            <w:hideMark/>
          </w:tcPr>
          <w:p w14:paraId="4D511AF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270</w:t>
            </w:r>
          </w:p>
        </w:tc>
        <w:tc>
          <w:tcPr>
            <w:tcW w:w="1288" w:type="dxa"/>
            <w:tcBorders>
              <w:top w:val="nil"/>
              <w:left w:val="nil"/>
              <w:bottom w:val="nil"/>
              <w:right w:val="nil"/>
            </w:tcBorders>
            <w:shd w:val="clear" w:color="auto" w:fill="DAEEF3" w:themeFill="accent5" w:themeFillTint="33"/>
            <w:noWrap/>
            <w:vAlign w:val="bottom"/>
            <w:hideMark/>
          </w:tcPr>
          <w:p w14:paraId="3B83A67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259</w:t>
            </w:r>
          </w:p>
        </w:tc>
        <w:tc>
          <w:tcPr>
            <w:tcW w:w="1288" w:type="dxa"/>
            <w:tcBorders>
              <w:top w:val="nil"/>
              <w:left w:val="nil"/>
              <w:bottom w:val="nil"/>
              <w:right w:val="nil"/>
            </w:tcBorders>
            <w:shd w:val="clear" w:color="auto" w:fill="auto"/>
            <w:noWrap/>
            <w:vAlign w:val="bottom"/>
            <w:hideMark/>
          </w:tcPr>
          <w:p w14:paraId="4495A99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250</w:t>
            </w:r>
          </w:p>
        </w:tc>
        <w:tc>
          <w:tcPr>
            <w:tcW w:w="1288" w:type="dxa"/>
            <w:tcBorders>
              <w:top w:val="nil"/>
              <w:left w:val="nil"/>
              <w:bottom w:val="nil"/>
              <w:right w:val="nil"/>
            </w:tcBorders>
            <w:shd w:val="clear" w:color="auto" w:fill="DAEEF3" w:themeFill="accent5" w:themeFillTint="33"/>
            <w:noWrap/>
            <w:vAlign w:val="bottom"/>
            <w:hideMark/>
          </w:tcPr>
          <w:p w14:paraId="3C983D4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168</w:t>
            </w:r>
          </w:p>
        </w:tc>
        <w:tc>
          <w:tcPr>
            <w:tcW w:w="1288" w:type="dxa"/>
            <w:tcBorders>
              <w:top w:val="nil"/>
              <w:left w:val="nil"/>
              <w:bottom w:val="nil"/>
              <w:right w:val="nil"/>
            </w:tcBorders>
            <w:shd w:val="clear" w:color="auto" w:fill="auto"/>
            <w:noWrap/>
            <w:vAlign w:val="bottom"/>
            <w:hideMark/>
          </w:tcPr>
          <w:p w14:paraId="3773BFC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727</w:t>
            </w:r>
          </w:p>
        </w:tc>
        <w:tc>
          <w:tcPr>
            <w:tcW w:w="1288" w:type="dxa"/>
            <w:tcBorders>
              <w:top w:val="nil"/>
              <w:left w:val="nil"/>
              <w:bottom w:val="nil"/>
              <w:right w:val="nil"/>
            </w:tcBorders>
            <w:shd w:val="clear" w:color="auto" w:fill="DAEEF3" w:themeFill="accent5" w:themeFillTint="33"/>
            <w:noWrap/>
            <w:vAlign w:val="bottom"/>
            <w:hideMark/>
          </w:tcPr>
          <w:p w14:paraId="6E923B1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594</w:t>
            </w:r>
          </w:p>
        </w:tc>
        <w:tc>
          <w:tcPr>
            <w:tcW w:w="1288" w:type="dxa"/>
            <w:tcBorders>
              <w:top w:val="nil"/>
              <w:left w:val="nil"/>
              <w:bottom w:val="nil"/>
              <w:right w:val="nil"/>
            </w:tcBorders>
            <w:shd w:val="clear" w:color="auto" w:fill="auto"/>
            <w:noWrap/>
            <w:vAlign w:val="bottom"/>
            <w:hideMark/>
          </w:tcPr>
          <w:p w14:paraId="7AF0F75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388</w:t>
            </w:r>
          </w:p>
        </w:tc>
        <w:tc>
          <w:tcPr>
            <w:tcW w:w="1288" w:type="dxa"/>
            <w:tcBorders>
              <w:top w:val="nil"/>
              <w:left w:val="nil"/>
              <w:bottom w:val="nil"/>
              <w:right w:val="nil"/>
            </w:tcBorders>
            <w:shd w:val="clear" w:color="auto" w:fill="DAEEF3" w:themeFill="accent5" w:themeFillTint="33"/>
            <w:noWrap/>
            <w:vAlign w:val="bottom"/>
            <w:hideMark/>
          </w:tcPr>
          <w:p w14:paraId="094D50F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524</w:t>
            </w:r>
          </w:p>
        </w:tc>
        <w:tc>
          <w:tcPr>
            <w:tcW w:w="1288" w:type="dxa"/>
            <w:tcBorders>
              <w:top w:val="nil"/>
              <w:left w:val="nil"/>
              <w:bottom w:val="nil"/>
              <w:right w:val="nil"/>
            </w:tcBorders>
            <w:shd w:val="clear" w:color="auto" w:fill="auto"/>
            <w:noWrap/>
            <w:vAlign w:val="bottom"/>
            <w:hideMark/>
          </w:tcPr>
          <w:p w14:paraId="762812E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633</w:t>
            </w:r>
          </w:p>
        </w:tc>
        <w:tc>
          <w:tcPr>
            <w:tcW w:w="1289" w:type="dxa"/>
            <w:tcBorders>
              <w:top w:val="nil"/>
              <w:left w:val="nil"/>
              <w:bottom w:val="nil"/>
              <w:right w:val="single" w:sz="4" w:space="0" w:color="auto"/>
            </w:tcBorders>
            <w:shd w:val="clear" w:color="auto" w:fill="DAEEF3" w:themeFill="accent5" w:themeFillTint="33"/>
            <w:noWrap/>
            <w:vAlign w:val="bottom"/>
            <w:hideMark/>
          </w:tcPr>
          <w:p w14:paraId="7A694B4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550</w:t>
            </w:r>
          </w:p>
        </w:tc>
      </w:tr>
      <w:tr w:rsidR="00876EFC" w:rsidRPr="001565F1" w14:paraId="06FD4DFB"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6858F481"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88" w:type="dxa"/>
            <w:tcBorders>
              <w:top w:val="nil"/>
              <w:left w:val="nil"/>
              <w:bottom w:val="nil"/>
              <w:right w:val="nil"/>
            </w:tcBorders>
            <w:shd w:val="clear" w:color="auto" w:fill="auto"/>
            <w:noWrap/>
            <w:vAlign w:val="bottom"/>
            <w:hideMark/>
          </w:tcPr>
          <w:p w14:paraId="37A8D68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031</w:t>
            </w:r>
          </w:p>
        </w:tc>
        <w:tc>
          <w:tcPr>
            <w:tcW w:w="1288" w:type="dxa"/>
            <w:tcBorders>
              <w:top w:val="nil"/>
              <w:left w:val="nil"/>
              <w:bottom w:val="nil"/>
              <w:right w:val="nil"/>
            </w:tcBorders>
            <w:shd w:val="clear" w:color="auto" w:fill="DAEEF3" w:themeFill="accent5" w:themeFillTint="33"/>
            <w:noWrap/>
            <w:vAlign w:val="bottom"/>
            <w:hideMark/>
          </w:tcPr>
          <w:p w14:paraId="633AAE7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824</w:t>
            </w:r>
          </w:p>
        </w:tc>
        <w:tc>
          <w:tcPr>
            <w:tcW w:w="1288" w:type="dxa"/>
            <w:tcBorders>
              <w:top w:val="nil"/>
              <w:left w:val="nil"/>
              <w:bottom w:val="nil"/>
              <w:right w:val="nil"/>
            </w:tcBorders>
            <w:shd w:val="clear" w:color="auto" w:fill="auto"/>
            <w:noWrap/>
            <w:vAlign w:val="bottom"/>
            <w:hideMark/>
          </w:tcPr>
          <w:p w14:paraId="5D43F8A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745</w:t>
            </w:r>
          </w:p>
        </w:tc>
        <w:tc>
          <w:tcPr>
            <w:tcW w:w="1288" w:type="dxa"/>
            <w:tcBorders>
              <w:top w:val="nil"/>
              <w:left w:val="nil"/>
              <w:bottom w:val="nil"/>
              <w:right w:val="nil"/>
            </w:tcBorders>
            <w:shd w:val="clear" w:color="auto" w:fill="DAEEF3" w:themeFill="accent5" w:themeFillTint="33"/>
            <w:noWrap/>
            <w:vAlign w:val="bottom"/>
            <w:hideMark/>
          </w:tcPr>
          <w:p w14:paraId="13A5F37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663</w:t>
            </w:r>
          </w:p>
        </w:tc>
        <w:tc>
          <w:tcPr>
            <w:tcW w:w="1288" w:type="dxa"/>
            <w:tcBorders>
              <w:top w:val="nil"/>
              <w:left w:val="nil"/>
              <w:bottom w:val="nil"/>
              <w:right w:val="nil"/>
            </w:tcBorders>
            <w:shd w:val="clear" w:color="auto" w:fill="auto"/>
            <w:noWrap/>
            <w:vAlign w:val="bottom"/>
            <w:hideMark/>
          </w:tcPr>
          <w:p w14:paraId="6079A77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371</w:t>
            </w:r>
          </w:p>
        </w:tc>
        <w:tc>
          <w:tcPr>
            <w:tcW w:w="1288" w:type="dxa"/>
            <w:tcBorders>
              <w:top w:val="nil"/>
              <w:left w:val="nil"/>
              <w:bottom w:val="nil"/>
              <w:right w:val="nil"/>
            </w:tcBorders>
            <w:shd w:val="clear" w:color="auto" w:fill="DAEEF3" w:themeFill="accent5" w:themeFillTint="33"/>
            <w:noWrap/>
            <w:vAlign w:val="bottom"/>
            <w:hideMark/>
          </w:tcPr>
          <w:p w14:paraId="361A89E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342</w:t>
            </w:r>
          </w:p>
        </w:tc>
        <w:tc>
          <w:tcPr>
            <w:tcW w:w="1288" w:type="dxa"/>
            <w:tcBorders>
              <w:top w:val="nil"/>
              <w:left w:val="nil"/>
              <w:bottom w:val="nil"/>
              <w:right w:val="nil"/>
            </w:tcBorders>
            <w:shd w:val="clear" w:color="auto" w:fill="auto"/>
            <w:noWrap/>
            <w:vAlign w:val="bottom"/>
            <w:hideMark/>
          </w:tcPr>
          <w:p w14:paraId="332823B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311</w:t>
            </w:r>
          </w:p>
        </w:tc>
        <w:tc>
          <w:tcPr>
            <w:tcW w:w="1288" w:type="dxa"/>
            <w:tcBorders>
              <w:top w:val="nil"/>
              <w:left w:val="nil"/>
              <w:bottom w:val="nil"/>
              <w:right w:val="nil"/>
            </w:tcBorders>
            <w:shd w:val="clear" w:color="auto" w:fill="DAEEF3" w:themeFill="accent5" w:themeFillTint="33"/>
            <w:noWrap/>
            <w:vAlign w:val="bottom"/>
            <w:hideMark/>
          </w:tcPr>
          <w:p w14:paraId="25EE754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377</w:t>
            </w:r>
          </w:p>
        </w:tc>
        <w:tc>
          <w:tcPr>
            <w:tcW w:w="1288" w:type="dxa"/>
            <w:tcBorders>
              <w:top w:val="nil"/>
              <w:left w:val="nil"/>
              <w:bottom w:val="nil"/>
              <w:right w:val="nil"/>
            </w:tcBorders>
            <w:shd w:val="clear" w:color="auto" w:fill="auto"/>
            <w:noWrap/>
            <w:vAlign w:val="bottom"/>
            <w:hideMark/>
          </w:tcPr>
          <w:p w14:paraId="4814EF5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385</w:t>
            </w:r>
          </w:p>
        </w:tc>
        <w:tc>
          <w:tcPr>
            <w:tcW w:w="1289" w:type="dxa"/>
            <w:tcBorders>
              <w:top w:val="nil"/>
              <w:left w:val="nil"/>
              <w:bottom w:val="nil"/>
              <w:right w:val="single" w:sz="4" w:space="0" w:color="auto"/>
            </w:tcBorders>
            <w:shd w:val="clear" w:color="auto" w:fill="DAEEF3" w:themeFill="accent5" w:themeFillTint="33"/>
            <w:noWrap/>
            <w:vAlign w:val="bottom"/>
            <w:hideMark/>
          </w:tcPr>
          <w:p w14:paraId="662DD2C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285</w:t>
            </w:r>
          </w:p>
        </w:tc>
      </w:tr>
      <w:tr w:rsidR="00876EFC" w:rsidRPr="00CF48CA" w14:paraId="6F9B1658" w14:textId="77777777" w:rsidTr="00561E44">
        <w:trPr>
          <w:trHeight w:val="204"/>
        </w:trPr>
        <w:tc>
          <w:tcPr>
            <w:tcW w:w="1876" w:type="dxa"/>
            <w:tcBorders>
              <w:top w:val="nil"/>
              <w:left w:val="single" w:sz="4" w:space="0" w:color="auto"/>
              <w:bottom w:val="single" w:sz="4" w:space="0" w:color="auto"/>
              <w:right w:val="nil"/>
            </w:tcBorders>
            <w:shd w:val="clear" w:color="auto" w:fill="DAEEF3" w:themeFill="accent5" w:themeFillTint="33"/>
            <w:noWrap/>
            <w:vAlign w:val="bottom"/>
            <w:hideMark/>
          </w:tcPr>
          <w:p w14:paraId="3EA5568C" w14:textId="77777777" w:rsidR="00876EFC" w:rsidRPr="00CF48CA" w:rsidRDefault="00876EFC" w:rsidP="00CE2FDF">
            <w:pPr>
              <w:spacing w:before="0" w:line="276" w:lineRule="auto"/>
              <w:rPr>
                <w:rFonts w:eastAsia="Times New Roman" w:cs="Arial"/>
                <w:b/>
                <w:color w:val="000000"/>
                <w:lang w:eastAsia="en-AU"/>
              </w:rPr>
            </w:pPr>
            <w:r w:rsidRPr="00CF48CA">
              <w:rPr>
                <w:rFonts w:eastAsia="Times New Roman" w:cs="Arial"/>
                <w:b/>
                <w:color w:val="000000"/>
                <w:lang w:eastAsia="en-AU"/>
              </w:rPr>
              <w:t>Total reports:</w:t>
            </w:r>
          </w:p>
        </w:tc>
        <w:tc>
          <w:tcPr>
            <w:tcW w:w="1288" w:type="dxa"/>
            <w:tcBorders>
              <w:top w:val="nil"/>
              <w:left w:val="nil"/>
              <w:bottom w:val="single" w:sz="4" w:space="0" w:color="auto"/>
              <w:right w:val="nil"/>
            </w:tcBorders>
            <w:shd w:val="clear" w:color="auto" w:fill="auto"/>
            <w:noWrap/>
            <w:vAlign w:val="bottom"/>
            <w:hideMark/>
          </w:tcPr>
          <w:p w14:paraId="67F613D2"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8</w:t>
            </w:r>
            <w:r w:rsidR="001C4508">
              <w:rPr>
                <w:rFonts w:eastAsia="Times New Roman" w:cs="Arial"/>
                <w:b/>
                <w:color w:val="000000"/>
                <w:lang w:eastAsia="en-AU"/>
              </w:rPr>
              <w:t>,</w:t>
            </w:r>
            <w:r w:rsidRPr="00CF48CA">
              <w:rPr>
                <w:rFonts w:eastAsia="Times New Roman" w:cs="Arial"/>
                <w:b/>
                <w:color w:val="000000"/>
                <w:lang w:eastAsia="en-AU"/>
              </w:rPr>
              <w:t>753</w:t>
            </w:r>
          </w:p>
        </w:tc>
        <w:tc>
          <w:tcPr>
            <w:tcW w:w="1288" w:type="dxa"/>
            <w:tcBorders>
              <w:top w:val="nil"/>
              <w:left w:val="nil"/>
              <w:bottom w:val="single" w:sz="4" w:space="0" w:color="auto"/>
              <w:right w:val="nil"/>
            </w:tcBorders>
            <w:shd w:val="clear" w:color="auto" w:fill="DAEEF3" w:themeFill="accent5" w:themeFillTint="33"/>
            <w:noWrap/>
            <w:vAlign w:val="bottom"/>
            <w:hideMark/>
          </w:tcPr>
          <w:p w14:paraId="66634CC2"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8</w:t>
            </w:r>
            <w:r w:rsidR="001C4508">
              <w:rPr>
                <w:rFonts w:eastAsia="Times New Roman" w:cs="Arial"/>
                <w:b/>
                <w:color w:val="000000"/>
                <w:lang w:eastAsia="en-AU"/>
              </w:rPr>
              <w:t>,</w:t>
            </w:r>
            <w:r w:rsidRPr="00CF48CA">
              <w:rPr>
                <w:rFonts w:eastAsia="Times New Roman" w:cs="Arial"/>
                <w:b/>
                <w:color w:val="000000"/>
                <w:lang w:eastAsia="en-AU"/>
              </w:rPr>
              <w:t>654</w:t>
            </w:r>
          </w:p>
        </w:tc>
        <w:tc>
          <w:tcPr>
            <w:tcW w:w="1288" w:type="dxa"/>
            <w:tcBorders>
              <w:top w:val="nil"/>
              <w:left w:val="nil"/>
              <w:bottom w:val="single" w:sz="4" w:space="0" w:color="auto"/>
              <w:right w:val="nil"/>
            </w:tcBorders>
            <w:shd w:val="clear" w:color="auto" w:fill="auto"/>
            <w:noWrap/>
            <w:vAlign w:val="bottom"/>
            <w:hideMark/>
          </w:tcPr>
          <w:p w14:paraId="0A8496C8"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8</w:t>
            </w:r>
            <w:r w:rsidR="001C4508">
              <w:rPr>
                <w:rFonts w:eastAsia="Times New Roman" w:cs="Arial"/>
                <w:b/>
                <w:color w:val="000000"/>
                <w:lang w:eastAsia="en-AU"/>
              </w:rPr>
              <w:t>,</w:t>
            </w:r>
            <w:r w:rsidRPr="00CF48CA">
              <w:rPr>
                <w:rFonts w:eastAsia="Times New Roman" w:cs="Arial"/>
                <w:b/>
                <w:color w:val="000000"/>
                <w:lang w:eastAsia="en-AU"/>
              </w:rPr>
              <w:t>274</w:t>
            </w:r>
          </w:p>
        </w:tc>
        <w:tc>
          <w:tcPr>
            <w:tcW w:w="1288" w:type="dxa"/>
            <w:tcBorders>
              <w:top w:val="nil"/>
              <w:left w:val="nil"/>
              <w:bottom w:val="single" w:sz="4" w:space="0" w:color="auto"/>
              <w:right w:val="nil"/>
            </w:tcBorders>
            <w:shd w:val="clear" w:color="auto" w:fill="DAEEF3" w:themeFill="accent5" w:themeFillTint="33"/>
            <w:noWrap/>
            <w:vAlign w:val="bottom"/>
            <w:hideMark/>
          </w:tcPr>
          <w:p w14:paraId="1B992424"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6</w:t>
            </w:r>
            <w:r w:rsidR="001C4508">
              <w:rPr>
                <w:rFonts w:eastAsia="Times New Roman" w:cs="Arial"/>
                <w:b/>
                <w:color w:val="000000"/>
                <w:lang w:eastAsia="en-AU"/>
              </w:rPr>
              <w:t>,</w:t>
            </w:r>
            <w:r w:rsidRPr="00CF48CA">
              <w:rPr>
                <w:rFonts w:eastAsia="Times New Roman" w:cs="Arial"/>
                <w:b/>
                <w:color w:val="000000"/>
                <w:lang w:eastAsia="en-AU"/>
              </w:rPr>
              <w:t>977</w:t>
            </w:r>
          </w:p>
        </w:tc>
        <w:tc>
          <w:tcPr>
            <w:tcW w:w="1288" w:type="dxa"/>
            <w:tcBorders>
              <w:top w:val="nil"/>
              <w:left w:val="nil"/>
              <w:bottom w:val="single" w:sz="4" w:space="0" w:color="auto"/>
              <w:right w:val="nil"/>
            </w:tcBorders>
            <w:shd w:val="clear" w:color="auto" w:fill="auto"/>
            <w:noWrap/>
            <w:vAlign w:val="bottom"/>
            <w:hideMark/>
          </w:tcPr>
          <w:p w14:paraId="5D0C365E"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10</w:t>
            </w:r>
            <w:r w:rsidR="001C4508">
              <w:rPr>
                <w:rFonts w:eastAsia="Times New Roman" w:cs="Arial"/>
                <w:b/>
                <w:color w:val="000000"/>
                <w:lang w:eastAsia="en-AU"/>
              </w:rPr>
              <w:t>,</w:t>
            </w:r>
            <w:r w:rsidRPr="00CF48CA">
              <w:rPr>
                <w:rFonts w:eastAsia="Times New Roman" w:cs="Arial"/>
                <w:b/>
                <w:color w:val="000000"/>
                <w:lang w:eastAsia="en-AU"/>
              </w:rPr>
              <w:t>005</w:t>
            </w:r>
          </w:p>
        </w:tc>
        <w:tc>
          <w:tcPr>
            <w:tcW w:w="1288" w:type="dxa"/>
            <w:tcBorders>
              <w:top w:val="nil"/>
              <w:left w:val="nil"/>
              <w:bottom w:val="single" w:sz="4" w:space="0" w:color="auto"/>
              <w:right w:val="nil"/>
            </w:tcBorders>
            <w:shd w:val="clear" w:color="auto" w:fill="DAEEF3" w:themeFill="accent5" w:themeFillTint="33"/>
            <w:noWrap/>
            <w:vAlign w:val="bottom"/>
            <w:hideMark/>
          </w:tcPr>
          <w:p w14:paraId="388EA451"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5</w:t>
            </w:r>
            <w:r w:rsidR="001C4508">
              <w:rPr>
                <w:rFonts w:eastAsia="Times New Roman" w:cs="Arial"/>
                <w:b/>
                <w:color w:val="000000"/>
                <w:lang w:eastAsia="en-AU"/>
              </w:rPr>
              <w:t>,</w:t>
            </w:r>
            <w:r w:rsidRPr="00CF48CA">
              <w:rPr>
                <w:rFonts w:eastAsia="Times New Roman" w:cs="Arial"/>
                <w:b/>
                <w:color w:val="000000"/>
                <w:lang w:eastAsia="en-AU"/>
              </w:rPr>
              <w:t>849</w:t>
            </w:r>
          </w:p>
        </w:tc>
        <w:tc>
          <w:tcPr>
            <w:tcW w:w="1288" w:type="dxa"/>
            <w:tcBorders>
              <w:top w:val="nil"/>
              <w:left w:val="nil"/>
              <w:bottom w:val="single" w:sz="4" w:space="0" w:color="auto"/>
              <w:right w:val="nil"/>
            </w:tcBorders>
            <w:shd w:val="clear" w:color="auto" w:fill="auto"/>
            <w:noWrap/>
            <w:vAlign w:val="bottom"/>
            <w:hideMark/>
          </w:tcPr>
          <w:p w14:paraId="53428E0B"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2</w:t>
            </w:r>
            <w:r w:rsidR="001C4508">
              <w:rPr>
                <w:rFonts w:eastAsia="Times New Roman" w:cs="Arial"/>
                <w:b/>
                <w:color w:val="000000"/>
                <w:lang w:eastAsia="en-AU"/>
              </w:rPr>
              <w:t>,</w:t>
            </w:r>
            <w:r w:rsidRPr="00CF48CA">
              <w:rPr>
                <w:rFonts w:eastAsia="Times New Roman" w:cs="Arial"/>
                <w:b/>
                <w:color w:val="000000"/>
                <w:lang w:eastAsia="en-AU"/>
              </w:rPr>
              <w:t>633</w:t>
            </w:r>
          </w:p>
        </w:tc>
        <w:tc>
          <w:tcPr>
            <w:tcW w:w="1288" w:type="dxa"/>
            <w:tcBorders>
              <w:top w:val="nil"/>
              <w:left w:val="nil"/>
              <w:bottom w:val="single" w:sz="4" w:space="0" w:color="auto"/>
              <w:right w:val="nil"/>
            </w:tcBorders>
            <w:shd w:val="clear" w:color="auto" w:fill="DAEEF3" w:themeFill="accent5" w:themeFillTint="33"/>
            <w:noWrap/>
            <w:vAlign w:val="bottom"/>
            <w:hideMark/>
          </w:tcPr>
          <w:p w14:paraId="3B5014F0"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3</w:t>
            </w:r>
            <w:r w:rsidR="001C4508">
              <w:rPr>
                <w:rFonts w:eastAsia="Times New Roman" w:cs="Arial"/>
                <w:b/>
                <w:color w:val="000000"/>
                <w:lang w:eastAsia="en-AU"/>
              </w:rPr>
              <w:t>,</w:t>
            </w:r>
            <w:r w:rsidRPr="00CF48CA">
              <w:rPr>
                <w:rFonts w:eastAsia="Times New Roman" w:cs="Arial"/>
                <w:b/>
                <w:color w:val="000000"/>
                <w:lang w:eastAsia="en-AU"/>
              </w:rPr>
              <w:t>195</w:t>
            </w:r>
          </w:p>
        </w:tc>
        <w:tc>
          <w:tcPr>
            <w:tcW w:w="1288" w:type="dxa"/>
            <w:tcBorders>
              <w:top w:val="nil"/>
              <w:left w:val="nil"/>
              <w:bottom w:val="single" w:sz="4" w:space="0" w:color="auto"/>
              <w:right w:val="nil"/>
            </w:tcBorders>
            <w:shd w:val="clear" w:color="auto" w:fill="auto"/>
            <w:noWrap/>
            <w:vAlign w:val="bottom"/>
            <w:hideMark/>
          </w:tcPr>
          <w:p w14:paraId="0A4005F8"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3</w:t>
            </w:r>
            <w:r w:rsidR="001C4508">
              <w:rPr>
                <w:rFonts w:eastAsia="Times New Roman" w:cs="Arial"/>
                <w:b/>
                <w:color w:val="000000"/>
                <w:lang w:eastAsia="en-AU"/>
              </w:rPr>
              <w:t>,</w:t>
            </w:r>
            <w:r w:rsidRPr="00CF48CA">
              <w:rPr>
                <w:rFonts w:eastAsia="Times New Roman" w:cs="Arial"/>
                <w:b/>
                <w:color w:val="000000"/>
                <w:lang w:eastAsia="en-AU"/>
              </w:rPr>
              <w:t>733</w:t>
            </w:r>
          </w:p>
        </w:tc>
        <w:tc>
          <w:tcPr>
            <w:tcW w:w="1289" w:type="dxa"/>
            <w:tcBorders>
              <w:top w:val="nil"/>
              <w:left w:val="nil"/>
              <w:bottom w:val="single" w:sz="4" w:space="0" w:color="auto"/>
              <w:right w:val="single" w:sz="4" w:space="0" w:color="auto"/>
            </w:tcBorders>
            <w:shd w:val="clear" w:color="auto" w:fill="DAEEF3" w:themeFill="accent5" w:themeFillTint="33"/>
            <w:noWrap/>
            <w:vAlign w:val="bottom"/>
            <w:hideMark/>
          </w:tcPr>
          <w:p w14:paraId="5531B935"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3</w:t>
            </w:r>
            <w:r w:rsidR="001C4508">
              <w:rPr>
                <w:rFonts w:eastAsia="Times New Roman" w:cs="Arial"/>
                <w:b/>
                <w:color w:val="000000"/>
                <w:lang w:eastAsia="en-AU"/>
              </w:rPr>
              <w:t>,</w:t>
            </w:r>
            <w:r w:rsidRPr="00CF48CA">
              <w:rPr>
                <w:rFonts w:eastAsia="Times New Roman" w:cs="Arial"/>
                <w:b/>
                <w:color w:val="000000"/>
                <w:lang w:eastAsia="en-AU"/>
              </w:rPr>
              <w:t>210</w:t>
            </w:r>
          </w:p>
        </w:tc>
      </w:tr>
      <w:tr w:rsidR="00876EFC" w:rsidRPr="00CF48CA" w14:paraId="3CB43C73"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2BB523FB" w14:textId="77777777" w:rsidR="00876EFC" w:rsidRPr="00CF48CA" w:rsidRDefault="00876EFC" w:rsidP="00CE2FDF">
            <w:pPr>
              <w:spacing w:before="0" w:line="276" w:lineRule="auto"/>
              <w:rPr>
                <w:rFonts w:eastAsia="Times New Roman" w:cs="Arial"/>
                <w:b/>
                <w:color w:val="000000"/>
                <w:lang w:eastAsia="en-AU"/>
              </w:rPr>
            </w:pPr>
            <w:r w:rsidRPr="00CF48CA">
              <w:rPr>
                <w:rFonts w:eastAsia="Times New Roman" w:cs="Arial"/>
                <w:b/>
                <w:color w:val="000000"/>
                <w:lang w:eastAsia="en-AU"/>
              </w:rPr>
              <w:t>Physical Abuse</w:t>
            </w:r>
          </w:p>
        </w:tc>
        <w:tc>
          <w:tcPr>
            <w:tcW w:w="1288" w:type="dxa"/>
            <w:tcBorders>
              <w:top w:val="nil"/>
              <w:left w:val="nil"/>
              <w:bottom w:val="nil"/>
              <w:right w:val="nil"/>
            </w:tcBorders>
            <w:shd w:val="clear" w:color="auto" w:fill="auto"/>
            <w:noWrap/>
            <w:vAlign w:val="bottom"/>
            <w:hideMark/>
          </w:tcPr>
          <w:p w14:paraId="5F323151"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E5DFEC" w:themeFill="accent4" w:themeFillTint="33"/>
            <w:noWrap/>
            <w:vAlign w:val="bottom"/>
            <w:hideMark/>
          </w:tcPr>
          <w:p w14:paraId="239AE82A"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08C950C7"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E5DFEC" w:themeFill="accent4" w:themeFillTint="33"/>
            <w:noWrap/>
            <w:vAlign w:val="bottom"/>
            <w:hideMark/>
          </w:tcPr>
          <w:p w14:paraId="2E2C9AA4"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00354FD6"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E5DFEC" w:themeFill="accent4" w:themeFillTint="33"/>
            <w:noWrap/>
            <w:vAlign w:val="bottom"/>
            <w:hideMark/>
          </w:tcPr>
          <w:p w14:paraId="18447872"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15CD6DA2"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E5DFEC" w:themeFill="accent4" w:themeFillTint="33"/>
            <w:noWrap/>
            <w:vAlign w:val="bottom"/>
            <w:hideMark/>
          </w:tcPr>
          <w:p w14:paraId="04F394E3"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0FA37482" w14:textId="77777777" w:rsidR="00876EFC" w:rsidRPr="00CF48CA" w:rsidRDefault="00876EFC" w:rsidP="00CE2FDF">
            <w:pPr>
              <w:spacing w:before="0" w:line="276" w:lineRule="auto"/>
              <w:jc w:val="right"/>
              <w:rPr>
                <w:rFonts w:eastAsia="Times New Roman" w:cs="Arial"/>
                <w:b/>
                <w:color w:val="FF0000"/>
                <w:lang w:eastAsia="en-AU"/>
              </w:rPr>
            </w:pPr>
          </w:p>
        </w:tc>
        <w:tc>
          <w:tcPr>
            <w:tcW w:w="1289" w:type="dxa"/>
            <w:tcBorders>
              <w:top w:val="nil"/>
              <w:left w:val="nil"/>
              <w:bottom w:val="nil"/>
              <w:right w:val="single" w:sz="4" w:space="0" w:color="auto"/>
            </w:tcBorders>
            <w:shd w:val="clear" w:color="auto" w:fill="E5DFEC" w:themeFill="accent4" w:themeFillTint="33"/>
            <w:noWrap/>
            <w:vAlign w:val="bottom"/>
            <w:hideMark/>
          </w:tcPr>
          <w:p w14:paraId="0CB95310" w14:textId="77777777" w:rsidR="00876EFC" w:rsidRPr="00CF48CA" w:rsidRDefault="00876EFC" w:rsidP="00CE2FDF">
            <w:pPr>
              <w:spacing w:before="0" w:line="276" w:lineRule="auto"/>
              <w:jc w:val="right"/>
              <w:rPr>
                <w:rFonts w:eastAsia="Times New Roman" w:cs="Arial"/>
                <w:b/>
                <w:color w:val="FF0000"/>
                <w:lang w:eastAsia="en-AU"/>
              </w:rPr>
            </w:pPr>
          </w:p>
        </w:tc>
      </w:tr>
      <w:tr w:rsidR="00876EFC" w:rsidRPr="001565F1" w14:paraId="27053DE7"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697FD72E"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88" w:type="dxa"/>
            <w:tcBorders>
              <w:top w:val="nil"/>
              <w:left w:val="nil"/>
              <w:bottom w:val="nil"/>
              <w:right w:val="nil"/>
            </w:tcBorders>
            <w:shd w:val="clear" w:color="auto" w:fill="auto"/>
            <w:noWrap/>
            <w:vAlign w:val="bottom"/>
            <w:hideMark/>
          </w:tcPr>
          <w:p w14:paraId="686EF61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690</w:t>
            </w:r>
          </w:p>
        </w:tc>
        <w:tc>
          <w:tcPr>
            <w:tcW w:w="1288" w:type="dxa"/>
            <w:tcBorders>
              <w:top w:val="nil"/>
              <w:left w:val="nil"/>
              <w:bottom w:val="nil"/>
              <w:right w:val="nil"/>
            </w:tcBorders>
            <w:shd w:val="clear" w:color="auto" w:fill="E5DFEC" w:themeFill="accent4" w:themeFillTint="33"/>
            <w:noWrap/>
            <w:vAlign w:val="bottom"/>
            <w:hideMark/>
          </w:tcPr>
          <w:p w14:paraId="03E3F6A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237</w:t>
            </w:r>
          </w:p>
        </w:tc>
        <w:tc>
          <w:tcPr>
            <w:tcW w:w="1288" w:type="dxa"/>
            <w:tcBorders>
              <w:top w:val="nil"/>
              <w:left w:val="nil"/>
              <w:bottom w:val="nil"/>
              <w:right w:val="nil"/>
            </w:tcBorders>
            <w:shd w:val="clear" w:color="auto" w:fill="auto"/>
            <w:noWrap/>
            <w:vAlign w:val="bottom"/>
            <w:hideMark/>
          </w:tcPr>
          <w:p w14:paraId="5B790DE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917</w:t>
            </w:r>
          </w:p>
        </w:tc>
        <w:tc>
          <w:tcPr>
            <w:tcW w:w="1288" w:type="dxa"/>
            <w:tcBorders>
              <w:top w:val="nil"/>
              <w:left w:val="nil"/>
              <w:bottom w:val="nil"/>
              <w:right w:val="nil"/>
            </w:tcBorders>
            <w:shd w:val="clear" w:color="auto" w:fill="E5DFEC" w:themeFill="accent4" w:themeFillTint="33"/>
            <w:noWrap/>
            <w:vAlign w:val="bottom"/>
            <w:hideMark/>
          </w:tcPr>
          <w:p w14:paraId="4E18009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470</w:t>
            </w:r>
          </w:p>
        </w:tc>
        <w:tc>
          <w:tcPr>
            <w:tcW w:w="1288" w:type="dxa"/>
            <w:tcBorders>
              <w:top w:val="nil"/>
              <w:left w:val="nil"/>
              <w:bottom w:val="nil"/>
              <w:right w:val="nil"/>
            </w:tcBorders>
            <w:shd w:val="clear" w:color="auto" w:fill="auto"/>
            <w:noWrap/>
            <w:vAlign w:val="bottom"/>
            <w:hideMark/>
          </w:tcPr>
          <w:p w14:paraId="09DC2D6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1C4508">
              <w:rPr>
                <w:rFonts w:eastAsia="Times New Roman" w:cs="Arial"/>
                <w:color w:val="000000"/>
                <w:lang w:eastAsia="en-AU"/>
              </w:rPr>
              <w:t>,</w:t>
            </w:r>
            <w:r w:rsidRPr="001565F1">
              <w:rPr>
                <w:rFonts w:eastAsia="Times New Roman" w:cs="Arial"/>
                <w:color w:val="000000"/>
                <w:lang w:eastAsia="en-AU"/>
              </w:rPr>
              <w:t>195</w:t>
            </w:r>
          </w:p>
        </w:tc>
        <w:tc>
          <w:tcPr>
            <w:tcW w:w="1288" w:type="dxa"/>
            <w:tcBorders>
              <w:top w:val="nil"/>
              <w:left w:val="nil"/>
              <w:bottom w:val="nil"/>
              <w:right w:val="nil"/>
            </w:tcBorders>
            <w:shd w:val="clear" w:color="auto" w:fill="E5DFEC" w:themeFill="accent4" w:themeFillTint="33"/>
            <w:noWrap/>
            <w:vAlign w:val="bottom"/>
            <w:hideMark/>
          </w:tcPr>
          <w:p w14:paraId="5EC67BE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448</w:t>
            </w:r>
          </w:p>
        </w:tc>
        <w:tc>
          <w:tcPr>
            <w:tcW w:w="1288" w:type="dxa"/>
            <w:tcBorders>
              <w:top w:val="nil"/>
              <w:left w:val="nil"/>
              <w:bottom w:val="nil"/>
              <w:right w:val="nil"/>
            </w:tcBorders>
            <w:shd w:val="clear" w:color="auto" w:fill="auto"/>
            <w:noWrap/>
            <w:vAlign w:val="bottom"/>
            <w:hideMark/>
          </w:tcPr>
          <w:p w14:paraId="7F8BD1D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r w:rsidR="001C4508">
              <w:rPr>
                <w:rFonts w:eastAsia="Times New Roman" w:cs="Arial"/>
                <w:color w:val="000000"/>
                <w:lang w:eastAsia="en-AU"/>
              </w:rPr>
              <w:t>,</w:t>
            </w:r>
            <w:r w:rsidRPr="001565F1">
              <w:rPr>
                <w:rFonts w:eastAsia="Times New Roman" w:cs="Arial"/>
                <w:color w:val="000000"/>
                <w:lang w:eastAsia="en-AU"/>
              </w:rPr>
              <w:t>524</w:t>
            </w:r>
          </w:p>
        </w:tc>
        <w:tc>
          <w:tcPr>
            <w:tcW w:w="1288" w:type="dxa"/>
            <w:tcBorders>
              <w:top w:val="nil"/>
              <w:left w:val="nil"/>
              <w:bottom w:val="nil"/>
              <w:right w:val="nil"/>
            </w:tcBorders>
            <w:shd w:val="clear" w:color="auto" w:fill="E5DFEC" w:themeFill="accent4" w:themeFillTint="33"/>
            <w:noWrap/>
            <w:vAlign w:val="bottom"/>
            <w:hideMark/>
          </w:tcPr>
          <w:p w14:paraId="31FEE4A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r w:rsidR="001C4508">
              <w:rPr>
                <w:rFonts w:eastAsia="Times New Roman" w:cs="Arial"/>
                <w:color w:val="000000"/>
                <w:lang w:eastAsia="en-AU"/>
              </w:rPr>
              <w:t>,</w:t>
            </w:r>
            <w:r w:rsidRPr="001565F1">
              <w:rPr>
                <w:rFonts w:eastAsia="Times New Roman" w:cs="Arial"/>
                <w:color w:val="000000"/>
                <w:lang w:eastAsia="en-AU"/>
              </w:rPr>
              <w:t>313</w:t>
            </w:r>
          </w:p>
        </w:tc>
        <w:tc>
          <w:tcPr>
            <w:tcW w:w="1288" w:type="dxa"/>
            <w:tcBorders>
              <w:top w:val="nil"/>
              <w:left w:val="nil"/>
              <w:bottom w:val="nil"/>
              <w:right w:val="nil"/>
            </w:tcBorders>
            <w:shd w:val="clear" w:color="auto" w:fill="auto"/>
            <w:noWrap/>
            <w:vAlign w:val="bottom"/>
            <w:hideMark/>
          </w:tcPr>
          <w:p w14:paraId="1A978F2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742</w:t>
            </w:r>
          </w:p>
        </w:tc>
        <w:tc>
          <w:tcPr>
            <w:tcW w:w="1289" w:type="dxa"/>
            <w:tcBorders>
              <w:top w:val="nil"/>
              <w:left w:val="nil"/>
              <w:bottom w:val="nil"/>
              <w:right w:val="single" w:sz="4" w:space="0" w:color="auto"/>
            </w:tcBorders>
            <w:shd w:val="clear" w:color="auto" w:fill="E5DFEC" w:themeFill="accent4" w:themeFillTint="33"/>
            <w:noWrap/>
            <w:vAlign w:val="bottom"/>
            <w:hideMark/>
          </w:tcPr>
          <w:p w14:paraId="435B778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1C4508">
              <w:rPr>
                <w:rFonts w:eastAsia="Times New Roman" w:cs="Arial"/>
                <w:color w:val="000000"/>
                <w:lang w:eastAsia="en-AU"/>
              </w:rPr>
              <w:t>,</w:t>
            </w:r>
            <w:r w:rsidRPr="001565F1">
              <w:rPr>
                <w:rFonts w:eastAsia="Times New Roman" w:cs="Arial"/>
                <w:color w:val="000000"/>
                <w:lang w:eastAsia="en-AU"/>
              </w:rPr>
              <w:t>705</w:t>
            </w:r>
          </w:p>
        </w:tc>
      </w:tr>
      <w:tr w:rsidR="000E61DB" w:rsidRPr="001565F1" w14:paraId="5E4D74C9"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0F2481D1"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88" w:type="dxa"/>
            <w:tcBorders>
              <w:top w:val="nil"/>
              <w:left w:val="nil"/>
              <w:bottom w:val="nil"/>
              <w:right w:val="nil"/>
            </w:tcBorders>
            <w:shd w:val="clear" w:color="auto" w:fill="auto"/>
            <w:noWrap/>
            <w:vAlign w:val="bottom"/>
            <w:hideMark/>
          </w:tcPr>
          <w:p w14:paraId="0694D99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002</w:t>
            </w:r>
          </w:p>
        </w:tc>
        <w:tc>
          <w:tcPr>
            <w:tcW w:w="1288" w:type="dxa"/>
            <w:tcBorders>
              <w:top w:val="nil"/>
              <w:left w:val="nil"/>
              <w:bottom w:val="nil"/>
              <w:right w:val="nil"/>
            </w:tcBorders>
            <w:shd w:val="clear" w:color="auto" w:fill="E5DFEC" w:themeFill="accent4" w:themeFillTint="33"/>
            <w:noWrap/>
            <w:vAlign w:val="bottom"/>
            <w:hideMark/>
          </w:tcPr>
          <w:p w14:paraId="176B2A5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994</w:t>
            </w:r>
          </w:p>
        </w:tc>
        <w:tc>
          <w:tcPr>
            <w:tcW w:w="1288" w:type="dxa"/>
            <w:tcBorders>
              <w:top w:val="nil"/>
              <w:left w:val="nil"/>
              <w:bottom w:val="nil"/>
              <w:right w:val="nil"/>
            </w:tcBorders>
            <w:shd w:val="clear" w:color="auto" w:fill="auto"/>
            <w:noWrap/>
            <w:vAlign w:val="bottom"/>
            <w:hideMark/>
          </w:tcPr>
          <w:p w14:paraId="05448BA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870</w:t>
            </w:r>
          </w:p>
        </w:tc>
        <w:tc>
          <w:tcPr>
            <w:tcW w:w="1288" w:type="dxa"/>
            <w:tcBorders>
              <w:top w:val="nil"/>
              <w:left w:val="nil"/>
              <w:bottom w:val="nil"/>
              <w:right w:val="nil"/>
            </w:tcBorders>
            <w:shd w:val="clear" w:color="auto" w:fill="E5DFEC" w:themeFill="accent4" w:themeFillTint="33"/>
            <w:noWrap/>
            <w:vAlign w:val="bottom"/>
            <w:hideMark/>
          </w:tcPr>
          <w:p w14:paraId="31AE27B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027</w:t>
            </w:r>
          </w:p>
        </w:tc>
        <w:tc>
          <w:tcPr>
            <w:tcW w:w="1288" w:type="dxa"/>
            <w:tcBorders>
              <w:top w:val="nil"/>
              <w:left w:val="nil"/>
              <w:bottom w:val="nil"/>
              <w:right w:val="nil"/>
            </w:tcBorders>
            <w:shd w:val="clear" w:color="auto" w:fill="auto"/>
            <w:noWrap/>
            <w:vAlign w:val="bottom"/>
            <w:hideMark/>
          </w:tcPr>
          <w:p w14:paraId="0135504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692</w:t>
            </w:r>
          </w:p>
        </w:tc>
        <w:tc>
          <w:tcPr>
            <w:tcW w:w="1288" w:type="dxa"/>
            <w:tcBorders>
              <w:top w:val="nil"/>
              <w:left w:val="nil"/>
              <w:bottom w:val="nil"/>
              <w:right w:val="nil"/>
            </w:tcBorders>
            <w:shd w:val="clear" w:color="auto" w:fill="E5DFEC" w:themeFill="accent4" w:themeFillTint="33"/>
            <w:noWrap/>
            <w:vAlign w:val="bottom"/>
            <w:hideMark/>
          </w:tcPr>
          <w:p w14:paraId="75545B6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312</w:t>
            </w:r>
          </w:p>
        </w:tc>
        <w:tc>
          <w:tcPr>
            <w:tcW w:w="1288" w:type="dxa"/>
            <w:tcBorders>
              <w:top w:val="nil"/>
              <w:left w:val="nil"/>
              <w:bottom w:val="nil"/>
              <w:right w:val="nil"/>
            </w:tcBorders>
            <w:shd w:val="clear" w:color="auto" w:fill="auto"/>
            <w:noWrap/>
            <w:vAlign w:val="bottom"/>
            <w:hideMark/>
          </w:tcPr>
          <w:p w14:paraId="4043421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311</w:t>
            </w:r>
          </w:p>
        </w:tc>
        <w:tc>
          <w:tcPr>
            <w:tcW w:w="1288" w:type="dxa"/>
            <w:tcBorders>
              <w:top w:val="nil"/>
              <w:left w:val="nil"/>
              <w:bottom w:val="nil"/>
              <w:right w:val="nil"/>
            </w:tcBorders>
            <w:shd w:val="clear" w:color="auto" w:fill="E5DFEC" w:themeFill="accent4" w:themeFillTint="33"/>
            <w:noWrap/>
            <w:vAlign w:val="bottom"/>
            <w:hideMark/>
          </w:tcPr>
          <w:p w14:paraId="6F4ADF8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1C4508">
              <w:rPr>
                <w:rFonts w:eastAsia="Times New Roman" w:cs="Arial"/>
                <w:color w:val="000000"/>
                <w:lang w:eastAsia="en-AU"/>
              </w:rPr>
              <w:t>,</w:t>
            </w:r>
            <w:r w:rsidRPr="001565F1">
              <w:rPr>
                <w:rFonts w:eastAsia="Times New Roman" w:cs="Arial"/>
                <w:color w:val="000000"/>
                <w:lang w:eastAsia="en-AU"/>
              </w:rPr>
              <w:t>218</w:t>
            </w:r>
          </w:p>
        </w:tc>
        <w:tc>
          <w:tcPr>
            <w:tcW w:w="1288" w:type="dxa"/>
            <w:tcBorders>
              <w:top w:val="nil"/>
              <w:left w:val="nil"/>
              <w:bottom w:val="nil"/>
              <w:right w:val="nil"/>
            </w:tcBorders>
            <w:shd w:val="clear" w:color="auto" w:fill="auto"/>
            <w:noWrap/>
            <w:vAlign w:val="bottom"/>
            <w:hideMark/>
          </w:tcPr>
          <w:p w14:paraId="266EAF0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931</w:t>
            </w:r>
          </w:p>
        </w:tc>
        <w:tc>
          <w:tcPr>
            <w:tcW w:w="1289" w:type="dxa"/>
            <w:tcBorders>
              <w:top w:val="nil"/>
              <w:left w:val="nil"/>
              <w:bottom w:val="nil"/>
              <w:right w:val="single" w:sz="4" w:space="0" w:color="auto"/>
            </w:tcBorders>
            <w:shd w:val="clear" w:color="auto" w:fill="E5DFEC" w:themeFill="accent4" w:themeFillTint="33"/>
            <w:noWrap/>
            <w:vAlign w:val="bottom"/>
            <w:hideMark/>
          </w:tcPr>
          <w:p w14:paraId="7F3CE5E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922</w:t>
            </w:r>
          </w:p>
        </w:tc>
      </w:tr>
      <w:tr w:rsidR="00876EFC" w:rsidRPr="001565F1" w14:paraId="2ABB5FF2"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5C862C24"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88" w:type="dxa"/>
            <w:tcBorders>
              <w:top w:val="nil"/>
              <w:left w:val="nil"/>
              <w:bottom w:val="nil"/>
              <w:right w:val="nil"/>
            </w:tcBorders>
            <w:shd w:val="clear" w:color="auto" w:fill="auto"/>
            <w:noWrap/>
            <w:vAlign w:val="bottom"/>
            <w:hideMark/>
          </w:tcPr>
          <w:p w14:paraId="22585B3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122</w:t>
            </w:r>
          </w:p>
        </w:tc>
        <w:tc>
          <w:tcPr>
            <w:tcW w:w="1288" w:type="dxa"/>
            <w:tcBorders>
              <w:top w:val="nil"/>
              <w:left w:val="nil"/>
              <w:bottom w:val="nil"/>
              <w:right w:val="nil"/>
            </w:tcBorders>
            <w:shd w:val="clear" w:color="auto" w:fill="E5DFEC" w:themeFill="accent4" w:themeFillTint="33"/>
            <w:noWrap/>
            <w:vAlign w:val="bottom"/>
            <w:hideMark/>
          </w:tcPr>
          <w:p w14:paraId="32B0034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204</w:t>
            </w:r>
          </w:p>
        </w:tc>
        <w:tc>
          <w:tcPr>
            <w:tcW w:w="1288" w:type="dxa"/>
            <w:tcBorders>
              <w:top w:val="nil"/>
              <w:left w:val="nil"/>
              <w:bottom w:val="nil"/>
              <w:right w:val="nil"/>
            </w:tcBorders>
            <w:shd w:val="clear" w:color="auto" w:fill="auto"/>
            <w:noWrap/>
            <w:vAlign w:val="bottom"/>
            <w:hideMark/>
          </w:tcPr>
          <w:p w14:paraId="257B954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176</w:t>
            </w:r>
          </w:p>
        </w:tc>
        <w:tc>
          <w:tcPr>
            <w:tcW w:w="1288" w:type="dxa"/>
            <w:tcBorders>
              <w:top w:val="nil"/>
              <w:left w:val="nil"/>
              <w:bottom w:val="nil"/>
              <w:right w:val="nil"/>
            </w:tcBorders>
            <w:shd w:val="clear" w:color="auto" w:fill="E5DFEC" w:themeFill="accent4" w:themeFillTint="33"/>
            <w:noWrap/>
            <w:vAlign w:val="bottom"/>
            <w:hideMark/>
          </w:tcPr>
          <w:p w14:paraId="111A019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164</w:t>
            </w:r>
          </w:p>
        </w:tc>
        <w:tc>
          <w:tcPr>
            <w:tcW w:w="1288" w:type="dxa"/>
            <w:tcBorders>
              <w:top w:val="nil"/>
              <w:left w:val="nil"/>
              <w:bottom w:val="nil"/>
              <w:right w:val="nil"/>
            </w:tcBorders>
            <w:shd w:val="clear" w:color="auto" w:fill="auto"/>
            <w:noWrap/>
            <w:vAlign w:val="bottom"/>
            <w:hideMark/>
          </w:tcPr>
          <w:p w14:paraId="2DBB8D9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667</w:t>
            </w:r>
          </w:p>
        </w:tc>
        <w:tc>
          <w:tcPr>
            <w:tcW w:w="1288" w:type="dxa"/>
            <w:tcBorders>
              <w:top w:val="nil"/>
              <w:left w:val="nil"/>
              <w:bottom w:val="nil"/>
              <w:right w:val="nil"/>
            </w:tcBorders>
            <w:shd w:val="clear" w:color="auto" w:fill="E5DFEC" w:themeFill="accent4" w:themeFillTint="33"/>
            <w:noWrap/>
            <w:vAlign w:val="bottom"/>
            <w:hideMark/>
          </w:tcPr>
          <w:p w14:paraId="0F33B93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462</w:t>
            </w:r>
          </w:p>
        </w:tc>
        <w:tc>
          <w:tcPr>
            <w:tcW w:w="1288" w:type="dxa"/>
            <w:tcBorders>
              <w:top w:val="nil"/>
              <w:left w:val="nil"/>
              <w:bottom w:val="nil"/>
              <w:right w:val="nil"/>
            </w:tcBorders>
            <w:shd w:val="clear" w:color="auto" w:fill="auto"/>
            <w:noWrap/>
            <w:vAlign w:val="bottom"/>
            <w:hideMark/>
          </w:tcPr>
          <w:p w14:paraId="4E563BC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298</w:t>
            </w:r>
          </w:p>
        </w:tc>
        <w:tc>
          <w:tcPr>
            <w:tcW w:w="1288" w:type="dxa"/>
            <w:tcBorders>
              <w:top w:val="nil"/>
              <w:left w:val="nil"/>
              <w:bottom w:val="nil"/>
              <w:right w:val="nil"/>
            </w:tcBorders>
            <w:shd w:val="clear" w:color="auto" w:fill="E5DFEC" w:themeFill="accent4" w:themeFillTint="33"/>
            <w:noWrap/>
            <w:vAlign w:val="bottom"/>
            <w:hideMark/>
          </w:tcPr>
          <w:p w14:paraId="5D3FA98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185</w:t>
            </w:r>
          </w:p>
        </w:tc>
        <w:tc>
          <w:tcPr>
            <w:tcW w:w="1288" w:type="dxa"/>
            <w:tcBorders>
              <w:top w:val="nil"/>
              <w:left w:val="nil"/>
              <w:bottom w:val="nil"/>
              <w:right w:val="nil"/>
            </w:tcBorders>
            <w:shd w:val="clear" w:color="auto" w:fill="auto"/>
            <w:noWrap/>
            <w:vAlign w:val="bottom"/>
            <w:hideMark/>
          </w:tcPr>
          <w:p w14:paraId="6E57FD1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146</w:t>
            </w:r>
          </w:p>
        </w:tc>
        <w:tc>
          <w:tcPr>
            <w:tcW w:w="1289" w:type="dxa"/>
            <w:tcBorders>
              <w:top w:val="nil"/>
              <w:left w:val="nil"/>
              <w:bottom w:val="nil"/>
              <w:right w:val="single" w:sz="4" w:space="0" w:color="auto"/>
            </w:tcBorders>
            <w:shd w:val="clear" w:color="auto" w:fill="E5DFEC" w:themeFill="accent4" w:themeFillTint="33"/>
            <w:noWrap/>
            <w:vAlign w:val="bottom"/>
            <w:hideMark/>
          </w:tcPr>
          <w:p w14:paraId="4094E25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136</w:t>
            </w:r>
          </w:p>
        </w:tc>
      </w:tr>
      <w:tr w:rsidR="00876EFC" w:rsidRPr="001565F1" w14:paraId="048AF766"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715C9FED"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88" w:type="dxa"/>
            <w:tcBorders>
              <w:top w:val="nil"/>
              <w:left w:val="nil"/>
              <w:bottom w:val="nil"/>
              <w:right w:val="nil"/>
            </w:tcBorders>
            <w:shd w:val="clear" w:color="auto" w:fill="auto"/>
            <w:noWrap/>
            <w:vAlign w:val="bottom"/>
            <w:hideMark/>
          </w:tcPr>
          <w:p w14:paraId="09703F3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880</w:t>
            </w:r>
          </w:p>
        </w:tc>
        <w:tc>
          <w:tcPr>
            <w:tcW w:w="1288" w:type="dxa"/>
            <w:tcBorders>
              <w:top w:val="nil"/>
              <w:left w:val="nil"/>
              <w:bottom w:val="nil"/>
              <w:right w:val="nil"/>
            </w:tcBorders>
            <w:shd w:val="clear" w:color="auto" w:fill="E5DFEC" w:themeFill="accent4" w:themeFillTint="33"/>
            <w:noWrap/>
            <w:vAlign w:val="bottom"/>
            <w:hideMark/>
          </w:tcPr>
          <w:p w14:paraId="3235B4B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790</w:t>
            </w:r>
          </w:p>
        </w:tc>
        <w:tc>
          <w:tcPr>
            <w:tcW w:w="1288" w:type="dxa"/>
            <w:tcBorders>
              <w:top w:val="nil"/>
              <w:left w:val="nil"/>
              <w:bottom w:val="nil"/>
              <w:right w:val="nil"/>
            </w:tcBorders>
            <w:shd w:val="clear" w:color="auto" w:fill="auto"/>
            <w:noWrap/>
            <w:vAlign w:val="bottom"/>
            <w:hideMark/>
          </w:tcPr>
          <w:p w14:paraId="5161950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694</w:t>
            </w:r>
          </w:p>
        </w:tc>
        <w:tc>
          <w:tcPr>
            <w:tcW w:w="1288" w:type="dxa"/>
            <w:tcBorders>
              <w:top w:val="nil"/>
              <w:left w:val="nil"/>
              <w:bottom w:val="nil"/>
              <w:right w:val="nil"/>
            </w:tcBorders>
            <w:shd w:val="clear" w:color="auto" w:fill="E5DFEC" w:themeFill="accent4" w:themeFillTint="33"/>
            <w:noWrap/>
            <w:vAlign w:val="bottom"/>
            <w:hideMark/>
          </w:tcPr>
          <w:p w14:paraId="279E5C1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863</w:t>
            </w:r>
          </w:p>
        </w:tc>
        <w:tc>
          <w:tcPr>
            <w:tcW w:w="1288" w:type="dxa"/>
            <w:tcBorders>
              <w:top w:val="nil"/>
              <w:left w:val="nil"/>
              <w:bottom w:val="nil"/>
              <w:right w:val="nil"/>
            </w:tcBorders>
            <w:shd w:val="clear" w:color="auto" w:fill="auto"/>
            <w:noWrap/>
            <w:vAlign w:val="bottom"/>
            <w:hideMark/>
          </w:tcPr>
          <w:p w14:paraId="013FF3E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025</w:t>
            </w:r>
          </w:p>
        </w:tc>
        <w:tc>
          <w:tcPr>
            <w:tcW w:w="1288" w:type="dxa"/>
            <w:tcBorders>
              <w:top w:val="nil"/>
              <w:left w:val="nil"/>
              <w:bottom w:val="nil"/>
              <w:right w:val="nil"/>
            </w:tcBorders>
            <w:shd w:val="clear" w:color="auto" w:fill="E5DFEC" w:themeFill="accent4" w:themeFillTint="33"/>
            <w:noWrap/>
            <w:vAlign w:val="bottom"/>
            <w:hideMark/>
          </w:tcPr>
          <w:p w14:paraId="0D7D20C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850</w:t>
            </w:r>
          </w:p>
        </w:tc>
        <w:tc>
          <w:tcPr>
            <w:tcW w:w="1288" w:type="dxa"/>
            <w:tcBorders>
              <w:top w:val="nil"/>
              <w:left w:val="nil"/>
              <w:bottom w:val="nil"/>
              <w:right w:val="nil"/>
            </w:tcBorders>
            <w:shd w:val="clear" w:color="auto" w:fill="auto"/>
            <w:noWrap/>
            <w:vAlign w:val="bottom"/>
            <w:hideMark/>
          </w:tcPr>
          <w:p w14:paraId="145EC0F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013</w:t>
            </w:r>
          </w:p>
        </w:tc>
        <w:tc>
          <w:tcPr>
            <w:tcW w:w="1288" w:type="dxa"/>
            <w:tcBorders>
              <w:top w:val="nil"/>
              <w:left w:val="nil"/>
              <w:bottom w:val="nil"/>
              <w:right w:val="nil"/>
            </w:tcBorders>
            <w:shd w:val="clear" w:color="auto" w:fill="E5DFEC" w:themeFill="accent4" w:themeFillTint="33"/>
            <w:noWrap/>
            <w:vAlign w:val="bottom"/>
            <w:hideMark/>
          </w:tcPr>
          <w:p w14:paraId="121EA1B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033</w:t>
            </w:r>
          </w:p>
        </w:tc>
        <w:tc>
          <w:tcPr>
            <w:tcW w:w="1288" w:type="dxa"/>
            <w:tcBorders>
              <w:top w:val="nil"/>
              <w:left w:val="nil"/>
              <w:bottom w:val="nil"/>
              <w:right w:val="nil"/>
            </w:tcBorders>
            <w:shd w:val="clear" w:color="auto" w:fill="auto"/>
            <w:noWrap/>
            <w:vAlign w:val="bottom"/>
            <w:hideMark/>
          </w:tcPr>
          <w:p w14:paraId="3C2D8AC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785</w:t>
            </w:r>
          </w:p>
        </w:tc>
        <w:tc>
          <w:tcPr>
            <w:tcW w:w="1289" w:type="dxa"/>
            <w:tcBorders>
              <w:top w:val="nil"/>
              <w:left w:val="nil"/>
              <w:bottom w:val="nil"/>
              <w:right w:val="single" w:sz="4" w:space="0" w:color="auto"/>
            </w:tcBorders>
            <w:shd w:val="clear" w:color="auto" w:fill="E5DFEC" w:themeFill="accent4" w:themeFillTint="33"/>
            <w:noWrap/>
            <w:vAlign w:val="bottom"/>
            <w:hideMark/>
          </w:tcPr>
          <w:p w14:paraId="3A30FDF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786</w:t>
            </w:r>
          </w:p>
        </w:tc>
      </w:tr>
      <w:tr w:rsidR="00876EFC" w:rsidRPr="00CF48CA" w14:paraId="6F82D273" w14:textId="77777777" w:rsidTr="00561E44">
        <w:trPr>
          <w:trHeight w:val="204"/>
        </w:trPr>
        <w:tc>
          <w:tcPr>
            <w:tcW w:w="1876" w:type="dxa"/>
            <w:tcBorders>
              <w:top w:val="nil"/>
              <w:left w:val="single" w:sz="4" w:space="0" w:color="auto"/>
              <w:bottom w:val="single" w:sz="4" w:space="0" w:color="auto"/>
              <w:right w:val="nil"/>
            </w:tcBorders>
            <w:shd w:val="clear" w:color="auto" w:fill="E5DFEC" w:themeFill="accent4" w:themeFillTint="33"/>
            <w:noWrap/>
            <w:vAlign w:val="bottom"/>
            <w:hideMark/>
          </w:tcPr>
          <w:p w14:paraId="6241A64C" w14:textId="77777777" w:rsidR="00876EFC" w:rsidRPr="00CF48CA" w:rsidRDefault="00876EFC" w:rsidP="00CE2FDF">
            <w:pPr>
              <w:spacing w:before="0" w:line="276" w:lineRule="auto"/>
              <w:rPr>
                <w:rFonts w:eastAsia="Times New Roman" w:cs="Arial"/>
                <w:b/>
                <w:color w:val="000000"/>
                <w:lang w:eastAsia="en-AU"/>
              </w:rPr>
            </w:pPr>
            <w:r w:rsidRPr="00CF48CA">
              <w:rPr>
                <w:rFonts w:eastAsia="Times New Roman" w:cs="Arial"/>
                <w:b/>
                <w:color w:val="000000"/>
                <w:lang w:eastAsia="en-AU"/>
              </w:rPr>
              <w:t>Total reports:</w:t>
            </w:r>
          </w:p>
        </w:tc>
        <w:tc>
          <w:tcPr>
            <w:tcW w:w="1288" w:type="dxa"/>
            <w:tcBorders>
              <w:top w:val="nil"/>
              <w:left w:val="nil"/>
              <w:bottom w:val="single" w:sz="4" w:space="0" w:color="auto"/>
              <w:right w:val="nil"/>
            </w:tcBorders>
            <w:shd w:val="clear" w:color="auto" w:fill="auto"/>
            <w:noWrap/>
            <w:vAlign w:val="bottom"/>
            <w:hideMark/>
          </w:tcPr>
          <w:p w14:paraId="0B958BD4"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5</w:t>
            </w:r>
            <w:r w:rsidR="001C4508">
              <w:rPr>
                <w:rFonts w:eastAsia="Times New Roman" w:cs="Arial"/>
                <w:b/>
                <w:color w:val="000000"/>
                <w:lang w:eastAsia="en-AU"/>
              </w:rPr>
              <w:t>,</w:t>
            </w:r>
            <w:r w:rsidRPr="00CF48CA">
              <w:rPr>
                <w:rFonts w:eastAsia="Times New Roman" w:cs="Arial"/>
                <w:b/>
                <w:color w:val="000000"/>
                <w:lang w:eastAsia="en-AU"/>
              </w:rPr>
              <w:t>692</w:t>
            </w:r>
          </w:p>
        </w:tc>
        <w:tc>
          <w:tcPr>
            <w:tcW w:w="1288" w:type="dxa"/>
            <w:tcBorders>
              <w:top w:val="nil"/>
              <w:left w:val="nil"/>
              <w:bottom w:val="single" w:sz="4" w:space="0" w:color="auto"/>
              <w:right w:val="nil"/>
            </w:tcBorders>
            <w:shd w:val="clear" w:color="auto" w:fill="E5DFEC" w:themeFill="accent4" w:themeFillTint="33"/>
            <w:noWrap/>
            <w:vAlign w:val="bottom"/>
            <w:hideMark/>
          </w:tcPr>
          <w:p w14:paraId="0321EBCE"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6</w:t>
            </w:r>
            <w:r w:rsidR="001C4508">
              <w:rPr>
                <w:rFonts w:eastAsia="Times New Roman" w:cs="Arial"/>
                <w:b/>
                <w:color w:val="000000"/>
                <w:lang w:eastAsia="en-AU"/>
              </w:rPr>
              <w:t>,</w:t>
            </w:r>
            <w:r w:rsidRPr="00CF48CA">
              <w:rPr>
                <w:rFonts w:eastAsia="Times New Roman" w:cs="Arial"/>
                <w:b/>
                <w:color w:val="000000"/>
                <w:lang w:eastAsia="en-AU"/>
              </w:rPr>
              <w:t>231</w:t>
            </w:r>
          </w:p>
        </w:tc>
        <w:tc>
          <w:tcPr>
            <w:tcW w:w="1288" w:type="dxa"/>
            <w:tcBorders>
              <w:top w:val="nil"/>
              <w:left w:val="nil"/>
              <w:bottom w:val="single" w:sz="4" w:space="0" w:color="auto"/>
              <w:right w:val="nil"/>
            </w:tcBorders>
            <w:shd w:val="clear" w:color="auto" w:fill="auto"/>
            <w:noWrap/>
            <w:vAlign w:val="bottom"/>
            <w:hideMark/>
          </w:tcPr>
          <w:p w14:paraId="4760029F"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5</w:t>
            </w:r>
            <w:r w:rsidR="001C4508">
              <w:rPr>
                <w:rFonts w:eastAsia="Times New Roman" w:cs="Arial"/>
                <w:b/>
                <w:color w:val="000000"/>
                <w:lang w:eastAsia="en-AU"/>
              </w:rPr>
              <w:t>,</w:t>
            </w:r>
            <w:r w:rsidRPr="00CF48CA">
              <w:rPr>
                <w:rFonts w:eastAsia="Times New Roman" w:cs="Arial"/>
                <w:b/>
                <w:color w:val="000000"/>
                <w:lang w:eastAsia="en-AU"/>
              </w:rPr>
              <w:t>787</w:t>
            </w:r>
          </w:p>
        </w:tc>
        <w:tc>
          <w:tcPr>
            <w:tcW w:w="1288" w:type="dxa"/>
            <w:tcBorders>
              <w:top w:val="nil"/>
              <w:left w:val="nil"/>
              <w:bottom w:val="single" w:sz="4" w:space="0" w:color="auto"/>
              <w:right w:val="nil"/>
            </w:tcBorders>
            <w:shd w:val="clear" w:color="auto" w:fill="E5DFEC" w:themeFill="accent4" w:themeFillTint="33"/>
            <w:noWrap/>
            <w:vAlign w:val="bottom"/>
            <w:hideMark/>
          </w:tcPr>
          <w:p w14:paraId="49515DDD"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6</w:t>
            </w:r>
            <w:r w:rsidR="001C4508">
              <w:rPr>
                <w:rFonts w:eastAsia="Times New Roman" w:cs="Arial"/>
                <w:b/>
                <w:color w:val="000000"/>
                <w:lang w:eastAsia="en-AU"/>
              </w:rPr>
              <w:t>,</w:t>
            </w:r>
            <w:r w:rsidRPr="00CF48CA">
              <w:rPr>
                <w:rFonts w:eastAsia="Times New Roman" w:cs="Arial"/>
                <w:b/>
                <w:color w:val="000000"/>
                <w:lang w:eastAsia="en-AU"/>
              </w:rPr>
              <w:t>497</w:t>
            </w:r>
          </w:p>
        </w:tc>
        <w:tc>
          <w:tcPr>
            <w:tcW w:w="1288" w:type="dxa"/>
            <w:tcBorders>
              <w:top w:val="nil"/>
              <w:left w:val="nil"/>
              <w:bottom w:val="single" w:sz="4" w:space="0" w:color="auto"/>
              <w:right w:val="nil"/>
            </w:tcBorders>
            <w:shd w:val="clear" w:color="auto" w:fill="auto"/>
            <w:noWrap/>
            <w:vAlign w:val="bottom"/>
            <w:hideMark/>
          </w:tcPr>
          <w:p w14:paraId="518AB86F"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5</w:t>
            </w:r>
            <w:r w:rsidR="001C4508">
              <w:rPr>
                <w:rFonts w:eastAsia="Times New Roman" w:cs="Arial"/>
                <w:b/>
                <w:color w:val="000000"/>
                <w:lang w:eastAsia="en-AU"/>
              </w:rPr>
              <w:t>,</w:t>
            </w:r>
            <w:r w:rsidRPr="00CF48CA">
              <w:rPr>
                <w:rFonts w:eastAsia="Times New Roman" w:cs="Arial"/>
                <w:b/>
                <w:color w:val="000000"/>
                <w:lang w:eastAsia="en-AU"/>
              </w:rPr>
              <w:t>887</w:t>
            </w:r>
          </w:p>
        </w:tc>
        <w:tc>
          <w:tcPr>
            <w:tcW w:w="1288" w:type="dxa"/>
            <w:tcBorders>
              <w:top w:val="nil"/>
              <w:left w:val="nil"/>
              <w:bottom w:val="single" w:sz="4" w:space="0" w:color="auto"/>
              <w:right w:val="nil"/>
            </w:tcBorders>
            <w:shd w:val="clear" w:color="auto" w:fill="E5DFEC" w:themeFill="accent4" w:themeFillTint="33"/>
            <w:noWrap/>
            <w:vAlign w:val="bottom"/>
            <w:hideMark/>
          </w:tcPr>
          <w:p w14:paraId="51D2494C"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6</w:t>
            </w:r>
            <w:r w:rsidR="001C4508">
              <w:rPr>
                <w:rFonts w:eastAsia="Times New Roman" w:cs="Arial"/>
                <w:b/>
                <w:color w:val="000000"/>
                <w:lang w:eastAsia="en-AU"/>
              </w:rPr>
              <w:t>,</w:t>
            </w:r>
            <w:r w:rsidRPr="00CF48CA">
              <w:rPr>
                <w:rFonts w:eastAsia="Times New Roman" w:cs="Arial"/>
                <w:b/>
                <w:color w:val="000000"/>
                <w:lang w:eastAsia="en-AU"/>
              </w:rPr>
              <w:t>760</w:t>
            </w:r>
          </w:p>
        </w:tc>
        <w:tc>
          <w:tcPr>
            <w:tcW w:w="1288" w:type="dxa"/>
            <w:tcBorders>
              <w:top w:val="nil"/>
              <w:left w:val="nil"/>
              <w:bottom w:val="single" w:sz="4" w:space="0" w:color="auto"/>
              <w:right w:val="nil"/>
            </w:tcBorders>
            <w:shd w:val="clear" w:color="auto" w:fill="auto"/>
            <w:noWrap/>
            <w:vAlign w:val="bottom"/>
            <w:hideMark/>
          </w:tcPr>
          <w:p w14:paraId="0B52D3AF"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7</w:t>
            </w:r>
            <w:r w:rsidR="001C4508">
              <w:rPr>
                <w:rFonts w:eastAsia="Times New Roman" w:cs="Arial"/>
                <w:b/>
                <w:color w:val="000000"/>
                <w:lang w:eastAsia="en-AU"/>
              </w:rPr>
              <w:t>,</w:t>
            </w:r>
            <w:r w:rsidRPr="00CF48CA">
              <w:rPr>
                <w:rFonts w:eastAsia="Times New Roman" w:cs="Arial"/>
                <w:b/>
                <w:color w:val="000000"/>
                <w:lang w:eastAsia="en-AU"/>
              </w:rPr>
              <w:t>835</w:t>
            </w:r>
          </w:p>
        </w:tc>
        <w:tc>
          <w:tcPr>
            <w:tcW w:w="1288" w:type="dxa"/>
            <w:tcBorders>
              <w:top w:val="nil"/>
              <w:left w:val="nil"/>
              <w:bottom w:val="single" w:sz="4" w:space="0" w:color="auto"/>
              <w:right w:val="nil"/>
            </w:tcBorders>
            <w:shd w:val="clear" w:color="auto" w:fill="E5DFEC" w:themeFill="accent4" w:themeFillTint="33"/>
            <w:noWrap/>
            <w:vAlign w:val="bottom"/>
            <w:hideMark/>
          </w:tcPr>
          <w:p w14:paraId="038FA9B5"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7</w:t>
            </w:r>
            <w:r w:rsidR="001C4508">
              <w:rPr>
                <w:rFonts w:eastAsia="Times New Roman" w:cs="Arial"/>
                <w:b/>
                <w:color w:val="000000"/>
                <w:lang w:eastAsia="en-AU"/>
              </w:rPr>
              <w:t>,</w:t>
            </w:r>
            <w:r w:rsidRPr="00CF48CA">
              <w:rPr>
                <w:rFonts w:eastAsia="Times New Roman" w:cs="Arial"/>
                <w:b/>
                <w:color w:val="000000"/>
                <w:lang w:eastAsia="en-AU"/>
              </w:rPr>
              <w:t>531</w:t>
            </w:r>
          </w:p>
        </w:tc>
        <w:tc>
          <w:tcPr>
            <w:tcW w:w="1288" w:type="dxa"/>
            <w:tcBorders>
              <w:top w:val="nil"/>
              <w:left w:val="nil"/>
              <w:bottom w:val="single" w:sz="4" w:space="0" w:color="auto"/>
              <w:right w:val="nil"/>
            </w:tcBorders>
            <w:shd w:val="clear" w:color="auto" w:fill="auto"/>
            <w:noWrap/>
            <w:vAlign w:val="bottom"/>
            <w:hideMark/>
          </w:tcPr>
          <w:p w14:paraId="396E4305"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6</w:t>
            </w:r>
            <w:r w:rsidR="001C4508">
              <w:rPr>
                <w:rFonts w:eastAsia="Times New Roman" w:cs="Arial"/>
                <w:b/>
                <w:color w:val="000000"/>
                <w:lang w:eastAsia="en-AU"/>
              </w:rPr>
              <w:t>,</w:t>
            </w:r>
            <w:r w:rsidRPr="00CF48CA">
              <w:rPr>
                <w:rFonts w:eastAsia="Times New Roman" w:cs="Arial"/>
                <w:b/>
                <w:color w:val="000000"/>
                <w:lang w:eastAsia="en-AU"/>
              </w:rPr>
              <w:t>673</w:t>
            </w:r>
          </w:p>
        </w:tc>
        <w:tc>
          <w:tcPr>
            <w:tcW w:w="1289" w:type="dxa"/>
            <w:tcBorders>
              <w:top w:val="nil"/>
              <w:left w:val="nil"/>
              <w:bottom w:val="single" w:sz="4" w:space="0" w:color="auto"/>
              <w:right w:val="single" w:sz="4" w:space="0" w:color="auto"/>
            </w:tcBorders>
            <w:shd w:val="clear" w:color="auto" w:fill="E5DFEC" w:themeFill="accent4" w:themeFillTint="33"/>
            <w:noWrap/>
            <w:vAlign w:val="bottom"/>
            <w:hideMark/>
          </w:tcPr>
          <w:p w14:paraId="560DEE7B"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6</w:t>
            </w:r>
            <w:r w:rsidR="001C4508">
              <w:rPr>
                <w:rFonts w:eastAsia="Times New Roman" w:cs="Arial"/>
                <w:b/>
                <w:color w:val="000000"/>
                <w:lang w:eastAsia="en-AU"/>
              </w:rPr>
              <w:t>,</w:t>
            </w:r>
            <w:r w:rsidRPr="00CF48CA">
              <w:rPr>
                <w:rFonts w:eastAsia="Times New Roman" w:cs="Arial"/>
                <w:b/>
                <w:color w:val="000000"/>
                <w:lang w:eastAsia="en-AU"/>
              </w:rPr>
              <w:t>627</w:t>
            </w:r>
          </w:p>
        </w:tc>
      </w:tr>
      <w:tr w:rsidR="00876EFC" w:rsidRPr="00CF48CA" w14:paraId="28D9C60E"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08D089F4" w14:textId="77777777" w:rsidR="00876EFC" w:rsidRPr="00CF48CA" w:rsidRDefault="00876EFC" w:rsidP="00CE2FDF">
            <w:pPr>
              <w:spacing w:before="0" w:line="276" w:lineRule="auto"/>
              <w:rPr>
                <w:rFonts w:eastAsia="Times New Roman" w:cs="Arial"/>
                <w:b/>
                <w:color w:val="000000"/>
                <w:lang w:eastAsia="en-AU"/>
              </w:rPr>
            </w:pPr>
            <w:r w:rsidRPr="00CF48CA">
              <w:rPr>
                <w:rFonts w:eastAsia="Times New Roman" w:cs="Arial"/>
                <w:b/>
                <w:color w:val="000000"/>
                <w:lang w:eastAsia="en-AU"/>
              </w:rPr>
              <w:t>Sexual Abuse</w:t>
            </w:r>
          </w:p>
        </w:tc>
        <w:tc>
          <w:tcPr>
            <w:tcW w:w="1288" w:type="dxa"/>
            <w:tcBorders>
              <w:top w:val="nil"/>
              <w:left w:val="nil"/>
              <w:bottom w:val="nil"/>
              <w:right w:val="nil"/>
            </w:tcBorders>
            <w:shd w:val="clear" w:color="auto" w:fill="auto"/>
            <w:noWrap/>
            <w:vAlign w:val="bottom"/>
            <w:hideMark/>
          </w:tcPr>
          <w:p w14:paraId="43491900"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F2DBDB" w:themeFill="accent2" w:themeFillTint="33"/>
            <w:noWrap/>
            <w:vAlign w:val="bottom"/>
            <w:hideMark/>
          </w:tcPr>
          <w:p w14:paraId="6650FA27"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4B998C40"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F2DBDB" w:themeFill="accent2" w:themeFillTint="33"/>
            <w:noWrap/>
            <w:vAlign w:val="bottom"/>
            <w:hideMark/>
          </w:tcPr>
          <w:p w14:paraId="5CA6442C"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71922C6A"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F2DBDB" w:themeFill="accent2" w:themeFillTint="33"/>
            <w:noWrap/>
            <w:vAlign w:val="bottom"/>
            <w:hideMark/>
          </w:tcPr>
          <w:p w14:paraId="0FBED5F2"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27226D12"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F2DBDB" w:themeFill="accent2" w:themeFillTint="33"/>
            <w:noWrap/>
            <w:vAlign w:val="bottom"/>
            <w:hideMark/>
          </w:tcPr>
          <w:p w14:paraId="6EBF224E" w14:textId="77777777" w:rsidR="00876EFC" w:rsidRPr="00CF48CA"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3593F137" w14:textId="77777777" w:rsidR="00876EFC" w:rsidRPr="00CF48CA" w:rsidRDefault="00876EFC" w:rsidP="00CE2FDF">
            <w:pPr>
              <w:spacing w:before="0" w:line="276" w:lineRule="auto"/>
              <w:jc w:val="right"/>
              <w:rPr>
                <w:rFonts w:eastAsia="Times New Roman" w:cs="Arial"/>
                <w:b/>
                <w:color w:val="FF0000"/>
                <w:lang w:eastAsia="en-AU"/>
              </w:rPr>
            </w:pPr>
          </w:p>
        </w:tc>
        <w:tc>
          <w:tcPr>
            <w:tcW w:w="1289" w:type="dxa"/>
            <w:tcBorders>
              <w:top w:val="nil"/>
              <w:left w:val="nil"/>
              <w:bottom w:val="nil"/>
              <w:right w:val="single" w:sz="4" w:space="0" w:color="auto"/>
            </w:tcBorders>
            <w:shd w:val="clear" w:color="auto" w:fill="F2DBDB" w:themeFill="accent2" w:themeFillTint="33"/>
            <w:noWrap/>
            <w:vAlign w:val="bottom"/>
            <w:hideMark/>
          </w:tcPr>
          <w:p w14:paraId="07998D98" w14:textId="77777777" w:rsidR="00876EFC" w:rsidRPr="00CF48CA" w:rsidRDefault="00876EFC" w:rsidP="00CE2FDF">
            <w:pPr>
              <w:spacing w:before="0" w:line="276" w:lineRule="auto"/>
              <w:jc w:val="right"/>
              <w:rPr>
                <w:rFonts w:eastAsia="Times New Roman" w:cs="Arial"/>
                <w:b/>
                <w:color w:val="FF0000"/>
                <w:lang w:eastAsia="en-AU"/>
              </w:rPr>
            </w:pPr>
          </w:p>
        </w:tc>
      </w:tr>
      <w:tr w:rsidR="00876EFC" w:rsidRPr="001565F1" w14:paraId="04A87D1F"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458FC5A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88" w:type="dxa"/>
            <w:tcBorders>
              <w:top w:val="nil"/>
              <w:left w:val="nil"/>
              <w:bottom w:val="nil"/>
              <w:right w:val="nil"/>
            </w:tcBorders>
            <w:shd w:val="clear" w:color="auto" w:fill="auto"/>
            <w:noWrap/>
            <w:vAlign w:val="bottom"/>
            <w:hideMark/>
          </w:tcPr>
          <w:p w14:paraId="379E64D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755</w:t>
            </w:r>
          </w:p>
        </w:tc>
        <w:tc>
          <w:tcPr>
            <w:tcW w:w="1288" w:type="dxa"/>
            <w:tcBorders>
              <w:top w:val="nil"/>
              <w:left w:val="nil"/>
              <w:bottom w:val="nil"/>
              <w:right w:val="nil"/>
            </w:tcBorders>
            <w:shd w:val="clear" w:color="auto" w:fill="F2DBDB" w:themeFill="accent2" w:themeFillTint="33"/>
            <w:noWrap/>
            <w:vAlign w:val="bottom"/>
            <w:hideMark/>
          </w:tcPr>
          <w:p w14:paraId="528F8FC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825</w:t>
            </w:r>
          </w:p>
        </w:tc>
        <w:tc>
          <w:tcPr>
            <w:tcW w:w="1288" w:type="dxa"/>
            <w:tcBorders>
              <w:top w:val="nil"/>
              <w:left w:val="nil"/>
              <w:bottom w:val="nil"/>
              <w:right w:val="nil"/>
            </w:tcBorders>
            <w:shd w:val="clear" w:color="auto" w:fill="auto"/>
            <w:noWrap/>
            <w:vAlign w:val="bottom"/>
            <w:hideMark/>
          </w:tcPr>
          <w:p w14:paraId="688ABE6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781</w:t>
            </w:r>
          </w:p>
        </w:tc>
        <w:tc>
          <w:tcPr>
            <w:tcW w:w="1288" w:type="dxa"/>
            <w:tcBorders>
              <w:top w:val="nil"/>
              <w:left w:val="nil"/>
              <w:bottom w:val="nil"/>
              <w:right w:val="nil"/>
            </w:tcBorders>
            <w:shd w:val="clear" w:color="auto" w:fill="F2DBDB" w:themeFill="accent2" w:themeFillTint="33"/>
            <w:noWrap/>
            <w:vAlign w:val="bottom"/>
            <w:hideMark/>
          </w:tcPr>
          <w:p w14:paraId="2DB810E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788</w:t>
            </w:r>
          </w:p>
        </w:tc>
        <w:tc>
          <w:tcPr>
            <w:tcW w:w="1288" w:type="dxa"/>
            <w:tcBorders>
              <w:top w:val="nil"/>
              <w:left w:val="nil"/>
              <w:bottom w:val="nil"/>
              <w:right w:val="nil"/>
            </w:tcBorders>
            <w:shd w:val="clear" w:color="auto" w:fill="auto"/>
            <w:noWrap/>
            <w:vAlign w:val="bottom"/>
            <w:hideMark/>
          </w:tcPr>
          <w:p w14:paraId="096C1A7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941</w:t>
            </w:r>
          </w:p>
        </w:tc>
        <w:tc>
          <w:tcPr>
            <w:tcW w:w="1288" w:type="dxa"/>
            <w:tcBorders>
              <w:top w:val="nil"/>
              <w:left w:val="nil"/>
              <w:bottom w:val="nil"/>
              <w:right w:val="nil"/>
            </w:tcBorders>
            <w:shd w:val="clear" w:color="auto" w:fill="F2DBDB" w:themeFill="accent2" w:themeFillTint="33"/>
            <w:noWrap/>
            <w:vAlign w:val="bottom"/>
            <w:hideMark/>
          </w:tcPr>
          <w:p w14:paraId="1340572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607</w:t>
            </w:r>
          </w:p>
        </w:tc>
        <w:tc>
          <w:tcPr>
            <w:tcW w:w="1288" w:type="dxa"/>
            <w:tcBorders>
              <w:top w:val="nil"/>
              <w:left w:val="nil"/>
              <w:bottom w:val="nil"/>
              <w:right w:val="nil"/>
            </w:tcBorders>
            <w:shd w:val="clear" w:color="auto" w:fill="auto"/>
            <w:noWrap/>
            <w:vAlign w:val="bottom"/>
            <w:hideMark/>
          </w:tcPr>
          <w:p w14:paraId="265CE3D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616</w:t>
            </w:r>
          </w:p>
        </w:tc>
        <w:tc>
          <w:tcPr>
            <w:tcW w:w="1288" w:type="dxa"/>
            <w:tcBorders>
              <w:top w:val="nil"/>
              <w:left w:val="nil"/>
              <w:bottom w:val="nil"/>
              <w:right w:val="nil"/>
            </w:tcBorders>
            <w:shd w:val="clear" w:color="auto" w:fill="F2DBDB" w:themeFill="accent2" w:themeFillTint="33"/>
            <w:noWrap/>
            <w:vAlign w:val="bottom"/>
            <w:hideMark/>
          </w:tcPr>
          <w:p w14:paraId="549D731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660</w:t>
            </w:r>
          </w:p>
        </w:tc>
        <w:tc>
          <w:tcPr>
            <w:tcW w:w="1288" w:type="dxa"/>
            <w:tcBorders>
              <w:top w:val="nil"/>
              <w:left w:val="nil"/>
              <w:bottom w:val="nil"/>
              <w:right w:val="nil"/>
            </w:tcBorders>
            <w:shd w:val="clear" w:color="auto" w:fill="auto"/>
            <w:noWrap/>
            <w:vAlign w:val="bottom"/>
            <w:hideMark/>
          </w:tcPr>
          <w:p w14:paraId="3754235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878</w:t>
            </w:r>
          </w:p>
        </w:tc>
        <w:tc>
          <w:tcPr>
            <w:tcW w:w="1289" w:type="dxa"/>
            <w:tcBorders>
              <w:top w:val="nil"/>
              <w:left w:val="nil"/>
              <w:bottom w:val="nil"/>
              <w:right w:val="single" w:sz="4" w:space="0" w:color="auto"/>
            </w:tcBorders>
            <w:shd w:val="clear" w:color="auto" w:fill="F2DBDB" w:themeFill="accent2" w:themeFillTint="33"/>
            <w:noWrap/>
            <w:vAlign w:val="bottom"/>
            <w:hideMark/>
          </w:tcPr>
          <w:p w14:paraId="31DCF4C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829</w:t>
            </w:r>
          </w:p>
        </w:tc>
      </w:tr>
      <w:tr w:rsidR="000E61DB" w:rsidRPr="001565F1" w14:paraId="27C931BD"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4ED4D285"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88" w:type="dxa"/>
            <w:tcBorders>
              <w:top w:val="nil"/>
              <w:left w:val="nil"/>
              <w:bottom w:val="nil"/>
              <w:right w:val="nil"/>
            </w:tcBorders>
            <w:shd w:val="clear" w:color="auto" w:fill="auto"/>
            <w:noWrap/>
            <w:vAlign w:val="bottom"/>
            <w:hideMark/>
          </w:tcPr>
          <w:p w14:paraId="559D245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108</w:t>
            </w:r>
          </w:p>
        </w:tc>
        <w:tc>
          <w:tcPr>
            <w:tcW w:w="1288" w:type="dxa"/>
            <w:tcBorders>
              <w:top w:val="nil"/>
              <w:left w:val="nil"/>
              <w:bottom w:val="nil"/>
              <w:right w:val="nil"/>
            </w:tcBorders>
            <w:shd w:val="clear" w:color="auto" w:fill="F2DBDB" w:themeFill="accent2" w:themeFillTint="33"/>
            <w:noWrap/>
            <w:vAlign w:val="bottom"/>
            <w:hideMark/>
          </w:tcPr>
          <w:p w14:paraId="0888DAC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223</w:t>
            </w:r>
          </w:p>
        </w:tc>
        <w:tc>
          <w:tcPr>
            <w:tcW w:w="1288" w:type="dxa"/>
            <w:tcBorders>
              <w:top w:val="nil"/>
              <w:left w:val="nil"/>
              <w:bottom w:val="nil"/>
              <w:right w:val="nil"/>
            </w:tcBorders>
            <w:shd w:val="clear" w:color="auto" w:fill="auto"/>
            <w:noWrap/>
            <w:vAlign w:val="bottom"/>
            <w:hideMark/>
          </w:tcPr>
          <w:p w14:paraId="053DD9B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031</w:t>
            </w:r>
          </w:p>
        </w:tc>
        <w:tc>
          <w:tcPr>
            <w:tcW w:w="1288" w:type="dxa"/>
            <w:tcBorders>
              <w:top w:val="nil"/>
              <w:left w:val="nil"/>
              <w:bottom w:val="nil"/>
              <w:right w:val="nil"/>
            </w:tcBorders>
            <w:shd w:val="clear" w:color="auto" w:fill="F2DBDB" w:themeFill="accent2" w:themeFillTint="33"/>
            <w:noWrap/>
            <w:vAlign w:val="bottom"/>
            <w:hideMark/>
          </w:tcPr>
          <w:p w14:paraId="30D5F7A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062</w:t>
            </w:r>
          </w:p>
        </w:tc>
        <w:tc>
          <w:tcPr>
            <w:tcW w:w="1288" w:type="dxa"/>
            <w:tcBorders>
              <w:top w:val="nil"/>
              <w:left w:val="nil"/>
              <w:bottom w:val="nil"/>
              <w:right w:val="nil"/>
            </w:tcBorders>
            <w:shd w:val="clear" w:color="auto" w:fill="auto"/>
            <w:noWrap/>
            <w:vAlign w:val="bottom"/>
            <w:hideMark/>
          </w:tcPr>
          <w:p w14:paraId="1B8AA80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858</w:t>
            </w:r>
          </w:p>
        </w:tc>
        <w:tc>
          <w:tcPr>
            <w:tcW w:w="1288" w:type="dxa"/>
            <w:tcBorders>
              <w:top w:val="nil"/>
              <w:left w:val="nil"/>
              <w:bottom w:val="nil"/>
              <w:right w:val="nil"/>
            </w:tcBorders>
            <w:shd w:val="clear" w:color="auto" w:fill="F2DBDB" w:themeFill="accent2" w:themeFillTint="33"/>
            <w:noWrap/>
            <w:vAlign w:val="bottom"/>
            <w:hideMark/>
          </w:tcPr>
          <w:p w14:paraId="315CA64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770</w:t>
            </w:r>
          </w:p>
        </w:tc>
        <w:tc>
          <w:tcPr>
            <w:tcW w:w="1288" w:type="dxa"/>
            <w:tcBorders>
              <w:top w:val="nil"/>
              <w:left w:val="nil"/>
              <w:bottom w:val="nil"/>
              <w:right w:val="nil"/>
            </w:tcBorders>
            <w:shd w:val="clear" w:color="auto" w:fill="auto"/>
            <w:noWrap/>
            <w:vAlign w:val="bottom"/>
            <w:hideMark/>
          </w:tcPr>
          <w:p w14:paraId="4A64B3A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695</w:t>
            </w:r>
          </w:p>
        </w:tc>
        <w:tc>
          <w:tcPr>
            <w:tcW w:w="1288" w:type="dxa"/>
            <w:tcBorders>
              <w:top w:val="nil"/>
              <w:left w:val="nil"/>
              <w:bottom w:val="nil"/>
              <w:right w:val="nil"/>
            </w:tcBorders>
            <w:shd w:val="clear" w:color="auto" w:fill="F2DBDB" w:themeFill="accent2" w:themeFillTint="33"/>
            <w:noWrap/>
            <w:vAlign w:val="bottom"/>
            <w:hideMark/>
          </w:tcPr>
          <w:p w14:paraId="144E270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097</w:t>
            </w:r>
          </w:p>
        </w:tc>
        <w:tc>
          <w:tcPr>
            <w:tcW w:w="1288" w:type="dxa"/>
            <w:tcBorders>
              <w:top w:val="nil"/>
              <w:left w:val="nil"/>
              <w:bottom w:val="nil"/>
              <w:right w:val="nil"/>
            </w:tcBorders>
            <w:shd w:val="clear" w:color="auto" w:fill="auto"/>
            <w:noWrap/>
            <w:vAlign w:val="bottom"/>
            <w:hideMark/>
          </w:tcPr>
          <w:p w14:paraId="153B107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401</w:t>
            </w:r>
          </w:p>
        </w:tc>
        <w:tc>
          <w:tcPr>
            <w:tcW w:w="1289" w:type="dxa"/>
            <w:tcBorders>
              <w:top w:val="nil"/>
              <w:left w:val="nil"/>
              <w:bottom w:val="nil"/>
              <w:right w:val="single" w:sz="4" w:space="0" w:color="auto"/>
            </w:tcBorders>
            <w:shd w:val="clear" w:color="auto" w:fill="F2DBDB" w:themeFill="accent2" w:themeFillTint="33"/>
            <w:noWrap/>
            <w:vAlign w:val="bottom"/>
            <w:hideMark/>
          </w:tcPr>
          <w:p w14:paraId="15F309B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1C4508">
              <w:rPr>
                <w:rFonts w:eastAsia="Times New Roman" w:cs="Arial"/>
                <w:color w:val="000000"/>
                <w:lang w:eastAsia="en-AU"/>
              </w:rPr>
              <w:t>,</w:t>
            </w:r>
            <w:r w:rsidRPr="001565F1">
              <w:rPr>
                <w:rFonts w:eastAsia="Times New Roman" w:cs="Arial"/>
                <w:color w:val="000000"/>
                <w:lang w:eastAsia="en-AU"/>
              </w:rPr>
              <w:t>402</w:t>
            </w:r>
          </w:p>
        </w:tc>
      </w:tr>
      <w:tr w:rsidR="00876EFC" w:rsidRPr="001565F1" w14:paraId="641BF162"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6C85DB3A"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88" w:type="dxa"/>
            <w:tcBorders>
              <w:top w:val="nil"/>
              <w:left w:val="nil"/>
              <w:bottom w:val="nil"/>
              <w:right w:val="nil"/>
            </w:tcBorders>
            <w:shd w:val="clear" w:color="auto" w:fill="auto"/>
            <w:noWrap/>
            <w:vAlign w:val="bottom"/>
            <w:hideMark/>
          </w:tcPr>
          <w:p w14:paraId="6638296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438</w:t>
            </w:r>
          </w:p>
        </w:tc>
        <w:tc>
          <w:tcPr>
            <w:tcW w:w="1288" w:type="dxa"/>
            <w:tcBorders>
              <w:top w:val="nil"/>
              <w:left w:val="nil"/>
              <w:bottom w:val="nil"/>
              <w:right w:val="nil"/>
            </w:tcBorders>
            <w:shd w:val="clear" w:color="auto" w:fill="F2DBDB" w:themeFill="accent2" w:themeFillTint="33"/>
            <w:noWrap/>
            <w:vAlign w:val="bottom"/>
            <w:hideMark/>
          </w:tcPr>
          <w:p w14:paraId="1399D6B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571</w:t>
            </w:r>
          </w:p>
        </w:tc>
        <w:tc>
          <w:tcPr>
            <w:tcW w:w="1288" w:type="dxa"/>
            <w:tcBorders>
              <w:top w:val="nil"/>
              <w:left w:val="nil"/>
              <w:bottom w:val="nil"/>
              <w:right w:val="nil"/>
            </w:tcBorders>
            <w:shd w:val="clear" w:color="auto" w:fill="auto"/>
            <w:noWrap/>
            <w:vAlign w:val="bottom"/>
            <w:hideMark/>
          </w:tcPr>
          <w:p w14:paraId="0FCE48E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504</w:t>
            </w:r>
          </w:p>
        </w:tc>
        <w:tc>
          <w:tcPr>
            <w:tcW w:w="1288" w:type="dxa"/>
            <w:tcBorders>
              <w:top w:val="nil"/>
              <w:left w:val="nil"/>
              <w:bottom w:val="nil"/>
              <w:right w:val="nil"/>
            </w:tcBorders>
            <w:shd w:val="clear" w:color="auto" w:fill="F2DBDB" w:themeFill="accent2" w:themeFillTint="33"/>
            <w:noWrap/>
            <w:vAlign w:val="bottom"/>
            <w:hideMark/>
          </w:tcPr>
          <w:p w14:paraId="77D072E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519</w:t>
            </w:r>
          </w:p>
        </w:tc>
        <w:tc>
          <w:tcPr>
            <w:tcW w:w="1288" w:type="dxa"/>
            <w:tcBorders>
              <w:top w:val="nil"/>
              <w:left w:val="nil"/>
              <w:bottom w:val="nil"/>
              <w:right w:val="nil"/>
            </w:tcBorders>
            <w:shd w:val="clear" w:color="auto" w:fill="auto"/>
            <w:noWrap/>
            <w:vAlign w:val="bottom"/>
            <w:hideMark/>
          </w:tcPr>
          <w:p w14:paraId="12D4FAB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373</w:t>
            </w:r>
          </w:p>
        </w:tc>
        <w:tc>
          <w:tcPr>
            <w:tcW w:w="1288" w:type="dxa"/>
            <w:tcBorders>
              <w:top w:val="nil"/>
              <w:left w:val="nil"/>
              <w:bottom w:val="nil"/>
              <w:right w:val="nil"/>
            </w:tcBorders>
            <w:shd w:val="clear" w:color="auto" w:fill="F2DBDB" w:themeFill="accent2" w:themeFillTint="33"/>
            <w:noWrap/>
            <w:vAlign w:val="bottom"/>
            <w:hideMark/>
          </w:tcPr>
          <w:p w14:paraId="0FA2D61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342</w:t>
            </w:r>
          </w:p>
        </w:tc>
        <w:tc>
          <w:tcPr>
            <w:tcW w:w="1288" w:type="dxa"/>
            <w:tcBorders>
              <w:top w:val="nil"/>
              <w:left w:val="nil"/>
              <w:bottom w:val="nil"/>
              <w:right w:val="nil"/>
            </w:tcBorders>
            <w:shd w:val="clear" w:color="auto" w:fill="auto"/>
            <w:noWrap/>
            <w:vAlign w:val="bottom"/>
            <w:hideMark/>
          </w:tcPr>
          <w:p w14:paraId="74FBC5C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341</w:t>
            </w:r>
          </w:p>
        </w:tc>
        <w:tc>
          <w:tcPr>
            <w:tcW w:w="1288" w:type="dxa"/>
            <w:tcBorders>
              <w:top w:val="nil"/>
              <w:left w:val="nil"/>
              <w:bottom w:val="nil"/>
              <w:right w:val="nil"/>
            </w:tcBorders>
            <w:shd w:val="clear" w:color="auto" w:fill="F2DBDB" w:themeFill="accent2" w:themeFillTint="33"/>
            <w:noWrap/>
            <w:vAlign w:val="bottom"/>
            <w:hideMark/>
          </w:tcPr>
          <w:p w14:paraId="79DF87E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453</w:t>
            </w:r>
          </w:p>
        </w:tc>
        <w:tc>
          <w:tcPr>
            <w:tcW w:w="1288" w:type="dxa"/>
            <w:tcBorders>
              <w:top w:val="nil"/>
              <w:left w:val="nil"/>
              <w:bottom w:val="nil"/>
              <w:right w:val="nil"/>
            </w:tcBorders>
            <w:shd w:val="clear" w:color="auto" w:fill="auto"/>
            <w:noWrap/>
            <w:vAlign w:val="bottom"/>
            <w:hideMark/>
          </w:tcPr>
          <w:p w14:paraId="0F6DD20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628</w:t>
            </w:r>
          </w:p>
        </w:tc>
        <w:tc>
          <w:tcPr>
            <w:tcW w:w="1289" w:type="dxa"/>
            <w:tcBorders>
              <w:top w:val="nil"/>
              <w:left w:val="nil"/>
              <w:bottom w:val="nil"/>
              <w:right w:val="single" w:sz="4" w:space="0" w:color="auto"/>
            </w:tcBorders>
            <w:shd w:val="clear" w:color="auto" w:fill="F2DBDB" w:themeFill="accent2" w:themeFillTint="33"/>
            <w:noWrap/>
            <w:vAlign w:val="bottom"/>
            <w:hideMark/>
          </w:tcPr>
          <w:p w14:paraId="031F556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600</w:t>
            </w:r>
          </w:p>
        </w:tc>
      </w:tr>
      <w:tr w:rsidR="00876EFC" w:rsidRPr="001565F1" w14:paraId="2D850286"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1F0839D0"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88" w:type="dxa"/>
            <w:tcBorders>
              <w:top w:val="nil"/>
              <w:left w:val="nil"/>
              <w:bottom w:val="nil"/>
              <w:right w:val="nil"/>
            </w:tcBorders>
            <w:shd w:val="clear" w:color="auto" w:fill="auto"/>
            <w:noWrap/>
            <w:vAlign w:val="bottom"/>
            <w:hideMark/>
          </w:tcPr>
          <w:p w14:paraId="199E98B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670</w:t>
            </w:r>
          </w:p>
        </w:tc>
        <w:tc>
          <w:tcPr>
            <w:tcW w:w="1288" w:type="dxa"/>
            <w:tcBorders>
              <w:top w:val="nil"/>
              <w:left w:val="nil"/>
              <w:bottom w:val="nil"/>
              <w:right w:val="nil"/>
            </w:tcBorders>
            <w:shd w:val="clear" w:color="auto" w:fill="F2DBDB" w:themeFill="accent2" w:themeFillTint="33"/>
            <w:noWrap/>
            <w:vAlign w:val="bottom"/>
            <w:hideMark/>
          </w:tcPr>
          <w:p w14:paraId="74544D4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652</w:t>
            </w:r>
          </w:p>
        </w:tc>
        <w:tc>
          <w:tcPr>
            <w:tcW w:w="1288" w:type="dxa"/>
            <w:tcBorders>
              <w:top w:val="nil"/>
              <w:left w:val="nil"/>
              <w:bottom w:val="nil"/>
              <w:right w:val="nil"/>
            </w:tcBorders>
            <w:shd w:val="clear" w:color="auto" w:fill="auto"/>
            <w:noWrap/>
            <w:vAlign w:val="bottom"/>
            <w:hideMark/>
          </w:tcPr>
          <w:p w14:paraId="6125CFF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527</w:t>
            </w:r>
          </w:p>
        </w:tc>
        <w:tc>
          <w:tcPr>
            <w:tcW w:w="1288" w:type="dxa"/>
            <w:tcBorders>
              <w:top w:val="nil"/>
              <w:left w:val="nil"/>
              <w:bottom w:val="nil"/>
              <w:right w:val="nil"/>
            </w:tcBorders>
            <w:shd w:val="clear" w:color="auto" w:fill="F2DBDB" w:themeFill="accent2" w:themeFillTint="33"/>
            <w:noWrap/>
            <w:vAlign w:val="bottom"/>
            <w:hideMark/>
          </w:tcPr>
          <w:p w14:paraId="02A75C7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543</w:t>
            </w:r>
          </w:p>
        </w:tc>
        <w:tc>
          <w:tcPr>
            <w:tcW w:w="1288" w:type="dxa"/>
            <w:tcBorders>
              <w:top w:val="nil"/>
              <w:left w:val="nil"/>
              <w:bottom w:val="nil"/>
              <w:right w:val="nil"/>
            </w:tcBorders>
            <w:shd w:val="clear" w:color="auto" w:fill="auto"/>
            <w:noWrap/>
            <w:vAlign w:val="bottom"/>
            <w:hideMark/>
          </w:tcPr>
          <w:p w14:paraId="6992399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485</w:t>
            </w:r>
          </w:p>
        </w:tc>
        <w:tc>
          <w:tcPr>
            <w:tcW w:w="1288" w:type="dxa"/>
            <w:tcBorders>
              <w:top w:val="nil"/>
              <w:left w:val="nil"/>
              <w:bottom w:val="nil"/>
              <w:right w:val="nil"/>
            </w:tcBorders>
            <w:shd w:val="clear" w:color="auto" w:fill="F2DBDB" w:themeFill="accent2" w:themeFillTint="33"/>
            <w:noWrap/>
            <w:vAlign w:val="bottom"/>
            <w:hideMark/>
          </w:tcPr>
          <w:p w14:paraId="29B8F85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428</w:t>
            </w:r>
          </w:p>
        </w:tc>
        <w:tc>
          <w:tcPr>
            <w:tcW w:w="1288" w:type="dxa"/>
            <w:tcBorders>
              <w:top w:val="nil"/>
              <w:left w:val="nil"/>
              <w:bottom w:val="nil"/>
              <w:right w:val="nil"/>
            </w:tcBorders>
            <w:shd w:val="clear" w:color="auto" w:fill="auto"/>
            <w:noWrap/>
            <w:vAlign w:val="bottom"/>
            <w:hideMark/>
          </w:tcPr>
          <w:p w14:paraId="381C8E0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354</w:t>
            </w:r>
          </w:p>
        </w:tc>
        <w:tc>
          <w:tcPr>
            <w:tcW w:w="1288" w:type="dxa"/>
            <w:tcBorders>
              <w:top w:val="nil"/>
              <w:left w:val="nil"/>
              <w:bottom w:val="nil"/>
              <w:right w:val="nil"/>
            </w:tcBorders>
            <w:shd w:val="clear" w:color="auto" w:fill="F2DBDB" w:themeFill="accent2" w:themeFillTint="33"/>
            <w:noWrap/>
            <w:vAlign w:val="bottom"/>
            <w:hideMark/>
          </w:tcPr>
          <w:p w14:paraId="3A80992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644</w:t>
            </w:r>
          </w:p>
        </w:tc>
        <w:tc>
          <w:tcPr>
            <w:tcW w:w="1288" w:type="dxa"/>
            <w:tcBorders>
              <w:top w:val="nil"/>
              <w:left w:val="nil"/>
              <w:bottom w:val="nil"/>
              <w:right w:val="nil"/>
            </w:tcBorders>
            <w:shd w:val="clear" w:color="auto" w:fill="auto"/>
            <w:noWrap/>
            <w:vAlign w:val="bottom"/>
            <w:hideMark/>
          </w:tcPr>
          <w:p w14:paraId="727F358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773</w:t>
            </w:r>
          </w:p>
        </w:tc>
        <w:tc>
          <w:tcPr>
            <w:tcW w:w="1289" w:type="dxa"/>
            <w:tcBorders>
              <w:top w:val="nil"/>
              <w:left w:val="nil"/>
              <w:bottom w:val="nil"/>
              <w:right w:val="single" w:sz="4" w:space="0" w:color="auto"/>
            </w:tcBorders>
            <w:shd w:val="clear" w:color="auto" w:fill="F2DBDB" w:themeFill="accent2" w:themeFillTint="33"/>
            <w:noWrap/>
            <w:vAlign w:val="bottom"/>
            <w:hideMark/>
          </w:tcPr>
          <w:p w14:paraId="1535017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802</w:t>
            </w:r>
          </w:p>
        </w:tc>
      </w:tr>
      <w:tr w:rsidR="00876EFC" w:rsidRPr="00CF48CA" w14:paraId="3F41540C" w14:textId="77777777" w:rsidTr="00561E44">
        <w:trPr>
          <w:trHeight w:val="204"/>
        </w:trPr>
        <w:tc>
          <w:tcPr>
            <w:tcW w:w="1876" w:type="dxa"/>
            <w:tcBorders>
              <w:top w:val="nil"/>
              <w:left w:val="single" w:sz="4" w:space="0" w:color="auto"/>
              <w:bottom w:val="single" w:sz="4" w:space="0" w:color="auto"/>
              <w:right w:val="nil"/>
            </w:tcBorders>
            <w:shd w:val="clear" w:color="auto" w:fill="F2DBDB" w:themeFill="accent2" w:themeFillTint="33"/>
            <w:noWrap/>
            <w:vAlign w:val="bottom"/>
            <w:hideMark/>
          </w:tcPr>
          <w:p w14:paraId="62BEAA8A" w14:textId="77777777" w:rsidR="00876EFC" w:rsidRPr="00CF48CA" w:rsidRDefault="00876EFC" w:rsidP="00CE2FDF">
            <w:pPr>
              <w:spacing w:before="0" w:line="276" w:lineRule="auto"/>
              <w:rPr>
                <w:rFonts w:eastAsia="Times New Roman" w:cs="Arial"/>
                <w:b/>
                <w:color w:val="000000"/>
                <w:lang w:eastAsia="en-AU"/>
              </w:rPr>
            </w:pPr>
            <w:r w:rsidRPr="00CF48CA">
              <w:rPr>
                <w:rFonts w:eastAsia="Times New Roman" w:cs="Arial"/>
                <w:b/>
                <w:color w:val="000000"/>
                <w:lang w:eastAsia="en-AU"/>
              </w:rPr>
              <w:t>Total reports:</w:t>
            </w:r>
          </w:p>
        </w:tc>
        <w:tc>
          <w:tcPr>
            <w:tcW w:w="1288" w:type="dxa"/>
            <w:tcBorders>
              <w:top w:val="nil"/>
              <w:left w:val="nil"/>
              <w:bottom w:val="single" w:sz="4" w:space="0" w:color="auto"/>
              <w:right w:val="nil"/>
            </w:tcBorders>
            <w:shd w:val="clear" w:color="auto" w:fill="auto"/>
            <w:noWrap/>
            <w:vAlign w:val="bottom"/>
            <w:hideMark/>
          </w:tcPr>
          <w:p w14:paraId="47A1647F"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2</w:t>
            </w:r>
            <w:r w:rsidR="001C4508">
              <w:rPr>
                <w:rFonts w:eastAsia="Times New Roman" w:cs="Arial"/>
                <w:b/>
                <w:color w:val="000000"/>
                <w:lang w:eastAsia="en-AU"/>
              </w:rPr>
              <w:t>,</w:t>
            </w:r>
            <w:r w:rsidRPr="00CF48CA">
              <w:rPr>
                <w:rFonts w:eastAsia="Times New Roman" w:cs="Arial"/>
                <w:b/>
                <w:color w:val="000000"/>
                <w:lang w:eastAsia="en-AU"/>
              </w:rPr>
              <w:t>863</w:t>
            </w:r>
          </w:p>
        </w:tc>
        <w:tc>
          <w:tcPr>
            <w:tcW w:w="1288" w:type="dxa"/>
            <w:tcBorders>
              <w:top w:val="nil"/>
              <w:left w:val="nil"/>
              <w:bottom w:val="single" w:sz="4" w:space="0" w:color="auto"/>
              <w:right w:val="nil"/>
            </w:tcBorders>
            <w:shd w:val="clear" w:color="auto" w:fill="F2DBDB" w:themeFill="accent2" w:themeFillTint="33"/>
            <w:noWrap/>
            <w:vAlign w:val="bottom"/>
            <w:hideMark/>
          </w:tcPr>
          <w:p w14:paraId="1599395A"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3</w:t>
            </w:r>
            <w:r w:rsidR="001C4508">
              <w:rPr>
                <w:rFonts w:eastAsia="Times New Roman" w:cs="Arial"/>
                <w:b/>
                <w:color w:val="000000"/>
                <w:lang w:eastAsia="en-AU"/>
              </w:rPr>
              <w:t>,</w:t>
            </w:r>
            <w:r w:rsidRPr="00CF48CA">
              <w:rPr>
                <w:rFonts w:eastAsia="Times New Roman" w:cs="Arial"/>
                <w:b/>
                <w:color w:val="000000"/>
                <w:lang w:eastAsia="en-AU"/>
              </w:rPr>
              <w:t>048</w:t>
            </w:r>
          </w:p>
        </w:tc>
        <w:tc>
          <w:tcPr>
            <w:tcW w:w="1288" w:type="dxa"/>
            <w:tcBorders>
              <w:top w:val="nil"/>
              <w:left w:val="nil"/>
              <w:bottom w:val="single" w:sz="4" w:space="0" w:color="auto"/>
              <w:right w:val="nil"/>
            </w:tcBorders>
            <w:shd w:val="clear" w:color="auto" w:fill="auto"/>
            <w:noWrap/>
            <w:vAlign w:val="bottom"/>
            <w:hideMark/>
          </w:tcPr>
          <w:p w14:paraId="3239E3AC"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2</w:t>
            </w:r>
            <w:r w:rsidR="001C4508">
              <w:rPr>
                <w:rFonts w:eastAsia="Times New Roman" w:cs="Arial"/>
                <w:b/>
                <w:color w:val="000000"/>
                <w:lang w:eastAsia="en-AU"/>
              </w:rPr>
              <w:t>,</w:t>
            </w:r>
            <w:r w:rsidRPr="00CF48CA">
              <w:rPr>
                <w:rFonts w:eastAsia="Times New Roman" w:cs="Arial"/>
                <w:b/>
                <w:color w:val="000000"/>
                <w:lang w:eastAsia="en-AU"/>
              </w:rPr>
              <w:t>812</w:t>
            </w:r>
          </w:p>
        </w:tc>
        <w:tc>
          <w:tcPr>
            <w:tcW w:w="1288" w:type="dxa"/>
            <w:tcBorders>
              <w:top w:val="nil"/>
              <w:left w:val="nil"/>
              <w:bottom w:val="single" w:sz="4" w:space="0" w:color="auto"/>
              <w:right w:val="nil"/>
            </w:tcBorders>
            <w:shd w:val="clear" w:color="auto" w:fill="F2DBDB" w:themeFill="accent2" w:themeFillTint="33"/>
            <w:noWrap/>
            <w:vAlign w:val="bottom"/>
            <w:hideMark/>
          </w:tcPr>
          <w:p w14:paraId="71E01D3D"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2</w:t>
            </w:r>
            <w:r w:rsidR="001C4508">
              <w:rPr>
                <w:rFonts w:eastAsia="Times New Roman" w:cs="Arial"/>
                <w:b/>
                <w:color w:val="000000"/>
                <w:lang w:eastAsia="en-AU"/>
              </w:rPr>
              <w:t>,</w:t>
            </w:r>
            <w:r w:rsidRPr="00CF48CA">
              <w:rPr>
                <w:rFonts w:eastAsia="Times New Roman" w:cs="Arial"/>
                <w:b/>
                <w:color w:val="000000"/>
                <w:lang w:eastAsia="en-AU"/>
              </w:rPr>
              <w:t>850</w:t>
            </w:r>
          </w:p>
        </w:tc>
        <w:tc>
          <w:tcPr>
            <w:tcW w:w="1288" w:type="dxa"/>
            <w:tcBorders>
              <w:top w:val="nil"/>
              <w:left w:val="nil"/>
              <w:bottom w:val="single" w:sz="4" w:space="0" w:color="auto"/>
              <w:right w:val="nil"/>
            </w:tcBorders>
            <w:shd w:val="clear" w:color="auto" w:fill="auto"/>
            <w:noWrap/>
            <w:vAlign w:val="bottom"/>
            <w:hideMark/>
          </w:tcPr>
          <w:p w14:paraId="3DCEB29C"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1</w:t>
            </w:r>
            <w:r w:rsidR="001C4508">
              <w:rPr>
                <w:rFonts w:eastAsia="Times New Roman" w:cs="Arial"/>
                <w:b/>
                <w:color w:val="000000"/>
                <w:lang w:eastAsia="en-AU"/>
              </w:rPr>
              <w:t>,</w:t>
            </w:r>
            <w:r w:rsidRPr="00CF48CA">
              <w:rPr>
                <w:rFonts w:eastAsia="Times New Roman" w:cs="Arial"/>
                <w:b/>
                <w:color w:val="000000"/>
                <w:lang w:eastAsia="en-AU"/>
              </w:rPr>
              <w:t>799</w:t>
            </w:r>
          </w:p>
        </w:tc>
        <w:tc>
          <w:tcPr>
            <w:tcW w:w="1288" w:type="dxa"/>
            <w:tcBorders>
              <w:top w:val="nil"/>
              <w:left w:val="nil"/>
              <w:bottom w:val="single" w:sz="4" w:space="0" w:color="auto"/>
              <w:right w:val="nil"/>
            </w:tcBorders>
            <w:shd w:val="clear" w:color="auto" w:fill="F2DBDB" w:themeFill="accent2" w:themeFillTint="33"/>
            <w:noWrap/>
            <w:vAlign w:val="bottom"/>
            <w:hideMark/>
          </w:tcPr>
          <w:p w14:paraId="3DA6D17B"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2</w:t>
            </w:r>
            <w:r w:rsidR="001C4508">
              <w:rPr>
                <w:rFonts w:eastAsia="Times New Roman" w:cs="Arial"/>
                <w:b/>
                <w:color w:val="000000"/>
                <w:lang w:eastAsia="en-AU"/>
              </w:rPr>
              <w:t>,</w:t>
            </w:r>
            <w:r w:rsidRPr="00CF48CA">
              <w:rPr>
                <w:rFonts w:eastAsia="Times New Roman" w:cs="Arial"/>
                <w:b/>
                <w:color w:val="000000"/>
                <w:lang w:eastAsia="en-AU"/>
              </w:rPr>
              <w:t>377</w:t>
            </w:r>
          </w:p>
        </w:tc>
        <w:tc>
          <w:tcPr>
            <w:tcW w:w="1288" w:type="dxa"/>
            <w:tcBorders>
              <w:top w:val="nil"/>
              <w:left w:val="nil"/>
              <w:bottom w:val="single" w:sz="4" w:space="0" w:color="auto"/>
              <w:right w:val="nil"/>
            </w:tcBorders>
            <w:shd w:val="clear" w:color="auto" w:fill="auto"/>
            <w:noWrap/>
            <w:vAlign w:val="bottom"/>
            <w:hideMark/>
          </w:tcPr>
          <w:p w14:paraId="43BF281C"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2</w:t>
            </w:r>
            <w:r w:rsidR="001C4508">
              <w:rPr>
                <w:rFonts w:eastAsia="Times New Roman" w:cs="Arial"/>
                <w:b/>
                <w:color w:val="000000"/>
                <w:lang w:eastAsia="en-AU"/>
              </w:rPr>
              <w:t>,</w:t>
            </w:r>
            <w:r w:rsidRPr="00CF48CA">
              <w:rPr>
                <w:rFonts w:eastAsia="Times New Roman" w:cs="Arial"/>
                <w:b/>
                <w:color w:val="000000"/>
                <w:lang w:eastAsia="en-AU"/>
              </w:rPr>
              <w:t>311</w:t>
            </w:r>
          </w:p>
        </w:tc>
        <w:tc>
          <w:tcPr>
            <w:tcW w:w="1288" w:type="dxa"/>
            <w:tcBorders>
              <w:top w:val="nil"/>
              <w:left w:val="nil"/>
              <w:bottom w:val="single" w:sz="4" w:space="0" w:color="auto"/>
              <w:right w:val="nil"/>
            </w:tcBorders>
            <w:shd w:val="clear" w:color="auto" w:fill="F2DBDB" w:themeFill="accent2" w:themeFillTint="33"/>
            <w:noWrap/>
            <w:vAlign w:val="bottom"/>
            <w:hideMark/>
          </w:tcPr>
          <w:p w14:paraId="17729E81"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2</w:t>
            </w:r>
            <w:r w:rsidR="001C4508">
              <w:rPr>
                <w:rFonts w:eastAsia="Times New Roman" w:cs="Arial"/>
                <w:b/>
                <w:color w:val="000000"/>
                <w:lang w:eastAsia="en-AU"/>
              </w:rPr>
              <w:t>,</w:t>
            </w:r>
            <w:r w:rsidRPr="00CF48CA">
              <w:rPr>
                <w:rFonts w:eastAsia="Times New Roman" w:cs="Arial"/>
                <w:b/>
                <w:color w:val="000000"/>
                <w:lang w:eastAsia="en-AU"/>
              </w:rPr>
              <w:t>757</w:t>
            </w:r>
          </w:p>
        </w:tc>
        <w:tc>
          <w:tcPr>
            <w:tcW w:w="1288" w:type="dxa"/>
            <w:tcBorders>
              <w:top w:val="nil"/>
              <w:left w:val="nil"/>
              <w:bottom w:val="single" w:sz="4" w:space="0" w:color="auto"/>
              <w:right w:val="nil"/>
            </w:tcBorders>
            <w:shd w:val="clear" w:color="auto" w:fill="auto"/>
            <w:noWrap/>
            <w:vAlign w:val="bottom"/>
            <w:hideMark/>
          </w:tcPr>
          <w:p w14:paraId="233776A8"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3</w:t>
            </w:r>
            <w:r w:rsidR="001C4508">
              <w:rPr>
                <w:rFonts w:eastAsia="Times New Roman" w:cs="Arial"/>
                <w:b/>
                <w:color w:val="000000"/>
                <w:lang w:eastAsia="en-AU"/>
              </w:rPr>
              <w:t>,</w:t>
            </w:r>
            <w:r w:rsidRPr="00CF48CA">
              <w:rPr>
                <w:rFonts w:eastAsia="Times New Roman" w:cs="Arial"/>
                <w:b/>
                <w:color w:val="000000"/>
                <w:lang w:eastAsia="en-AU"/>
              </w:rPr>
              <w:t>279</w:t>
            </w:r>
          </w:p>
        </w:tc>
        <w:tc>
          <w:tcPr>
            <w:tcW w:w="1289" w:type="dxa"/>
            <w:tcBorders>
              <w:top w:val="nil"/>
              <w:left w:val="nil"/>
              <w:bottom w:val="single" w:sz="4" w:space="0" w:color="auto"/>
              <w:right w:val="single" w:sz="4" w:space="0" w:color="auto"/>
            </w:tcBorders>
            <w:shd w:val="clear" w:color="auto" w:fill="F2DBDB" w:themeFill="accent2" w:themeFillTint="33"/>
            <w:noWrap/>
            <w:vAlign w:val="bottom"/>
            <w:hideMark/>
          </w:tcPr>
          <w:p w14:paraId="21CFE2ED" w14:textId="77777777" w:rsidR="00876EFC" w:rsidRPr="00CF48CA" w:rsidRDefault="00876EFC" w:rsidP="00CE2FDF">
            <w:pPr>
              <w:spacing w:before="0" w:line="276" w:lineRule="auto"/>
              <w:jc w:val="right"/>
              <w:rPr>
                <w:rFonts w:eastAsia="Times New Roman" w:cs="Arial"/>
                <w:b/>
                <w:color w:val="000000"/>
                <w:lang w:eastAsia="en-AU"/>
              </w:rPr>
            </w:pPr>
            <w:r w:rsidRPr="00CF48CA">
              <w:rPr>
                <w:rFonts w:eastAsia="Times New Roman" w:cs="Arial"/>
                <w:b/>
                <w:color w:val="000000"/>
                <w:lang w:eastAsia="en-AU"/>
              </w:rPr>
              <w:t>3</w:t>
            </w:r>
            <w:r w:rsidR="001C4508">
              <w:rPr>
                <w:rFonts w:eastAsia="Times New Roman" w:cs="Arial"/>
                <w:b/>
                <w:color w:val="000000"/>
                <w:lang w:eastAsia="en-AU"/>
              </w:rPr>
              <w:t>,</w:t>
            </w:r>
            <w:r w:rsidRPr="00CF48CA">
              <w:rPr>
                <w:rFonts w:eastAsia="Times New Roman" w:cs="Arial"/>
                <w:b/>
                <w:color w:val="000000"/>
                <w:lang w:eastAsia="en-AU"/>
              </w:rPr>
              <w:t>231</w:t>
            </w:r>
          </w:p>
        </w:tc>
      </w:tr>
    </w:tbl>
    <w:p w14:paraId="272E022A" w14:textId="77777777" w:rsidR="004748E8" w:rsidRDefault="004748E8" w:rsidP="0095311F">
      <w:pPr>
        <w:pStyle w:val="Figureheading"/>
      </w:pPr>
      <w:r>
        <w:lastRenderedPageBreak/>
        <w:t>2.6.3</w:t>
      </w:r>
      <w:r>
        <w:tab/>
        <w:t xml:space="preserve">Number of reports by doctors, by year, abuse type, and outcome </w:t>
      </w:r>
    </w:p>
    <w:tbl>
      <w:tblPr>
        <w:tblW w:w="14757" w:type="dxa"/>
        <w:tblInd w:w="93" w:type="dxa"/>
        <w:tblLayout w:type="fixed"/>
        <w:tblLook w:val="04A0" w:firstRow="1" w:lastRow="0" w:firstColumn="1" w:lastColumn="0" w:noHBand="0" w:noVBand="1"/>
        <w:tblCaption w:val="Number of reports by doctors, by year, abuse type, and outcome "/>
      </w:tblPr>
      <w:tblGrid>
        <w:gridCol w:w="2221"/>
        <w:gridCol w:w="1253"/>
        <w:gridCol w:w="1254"/>
        <w:gridCol w:w="1253"/>
        <w:gridCol w:w="1254"/>
        <w:gridCol w:w="1254"/>
        <w:gridCol w:w="1253"/>
        <w:gridCol w:w="1254"/>
        <w:gridCol w:w="1253"/>
        <w:gridCol w:w="1254"/>
        <w:gridCol w:w="1254"/>
      </w:tblGrid>
      <w:tr w:rsidR="00876EFC" w:rsidRPr="001565F1" w14:paraId="1DAAED28" w14:textId="77777777" w:rsidTr="00561E44">
        <w:trPr>
          <w:trHeight w:val="32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B15CFE3" w14:textId="77777777" w:rsidR="00876EFC" w:rsidRPr="001565F1" w:rsidRDefault="00876EFC" w:rsidP="00CE2FDF">
            <w:pPr>
              <w:spacing w:before="0" w:line="276" w:lineRule="auto"/>
              <w:jc w:val="right"/>
              <w:rPr>
                <w:rFonts w:eastAsia="Times New Roman" w:cs="Arial"/>
                <w:b/>
                <w:bCs/>
                <w:color w:val="000000"/>
                <w:lang w:eastAsia="en-AU"/>
              </w:rPr>
            </w:pPr>
          </w:p>
        </w:tc>
        <w:tc>
          <w:tcPr>
            <w:tcW w:w="1253" w:type="dxa"/>
            <w:tcBorders>
              <w:top w:val="single" w:sz="4" w:space="0" w:color="auto"/>
              <w:left w:val="nil"/>
              <w:bottom w:val="single" w:sz="4" w:space="0" w:color="auto"/>
              <w:right w:val="nil"/>
            </w:tcBorders>
            <w:shd w:val="clear" w:color="auto" w:fill="D9D9D9" w:themeFill="background1" w:themeFillShade="D9"/>
            <w:noWrap/>
            <w:vAlign w:val="center"/>
            <w:hideMark/>
          </w:tcPr>
          <w:p w14:paraId="7ED50E01"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54" w:type="dxa"/>
            <w:tcBorders>
              <w:top w:val="single" w:sz="4" w:space="0" w:color="auto"/>
              <w:left w:val="nil"/>
              <w:bottom w:val="single" w:sz="4" w:space="0" w:color="auto"/>
              <w:right w:val="nil"/>
            </w:tcBorders>
            <w:shd w:val="clear" w:color="auto" w:fill="D9D9D9" w:themeFill="background1" w:themeFillShade="D9"/>
            <w:noWrap/>
            <w:vAlign w:val="center"/>
            <w:hideMark/>
          </w:tcPr>
          <w:p w14:paraId="4E8734B3"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53" w:type="dxa"/>
            <w:tcBorders>
              <w:top w:val="single" w:sz="4" w:space="0" w:color="auto"/>
              <w:left w:val="nil"/>
              <w:bottom w:val="single" w:sz="4" w:space="0" w:color="auto"/>
              <w:right w:val="nil"/>
            </w:tcBorders>
            <w:shd w:val="clear" w:color="auto" w:fill="D9D9D9" w:themeFill="background1" w:themeFillShade="D9"/>
            <w:noWrap/>
            <w:vAlign w:val="center"/>
            <w:hideMark/>
          </w:tcPr>
          <w:p w14:paraId="33FD8614"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54" w:type="dxa"/>
            <w:tcBorders>
              <w:top w:val="single" w:sz="4" w:space="0" w:color="auto"/>
              <w:left w:val="nil"/>
              <w:bottom w:val="single" w:sz="4" w:space="0" w:color="auto"/>
              <w:right w:val="nil"/>
            </w:tcBorders>
            <w:shd w:val="clear" w:color="auto" w:fill="D9D9D9" w:themeFill="background1" w:themeFillShade="D9"/>
            <w:noWrap/>
            <w:vAlign w:val="center"/>
            <w:hideMark/>
          </w:tcPr>
          <w:p w14:paraId="200D78F2"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54" w:type="dxa"/>
            <w:tcBorders>
              <w:top w:val="single" w:sz="4" w:space="0" w:color="auto"/>
              <w:left w:val="nil"/>
              <w:bottom w:val="single" w:sz="4" w:space="0" w:color="auto"/>
              <w:right w:val="nil"/>
            </w:tcBorders>
            <w:shd w:val="clear" w:color="auto" w:fill="D9D9D9" w:themeFill="background1" w:themeFillShade="D9"/>
            <w:noWrap/>
            <w:vAlign w:val="center"/>
            <w:hideMark/>
          </w:tcPr>
          <w:p w14:paraId="3FE5A0EC"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53" w:type="dxa"/>
            <w:tcBorders>
              <w:top w:val="single" w:sz="4" w:space="0" w:color="auto"/>
              <w:left w:val="nil"/>
              <w:bottom w:val="single" w:sz="4" w:space="0" w:color="auto"/>
              <w:right w:val="nil"/>
            </w:tcBorders>
            <w:shd w:val="clear" w:color="auto" w:fill="D9D9D9" w:themeFill="background1" w:themeFillShade="D9"/>
            <w:noWrap/>
            <w:vAlign w:val="center"/>
            <w:hideMark/>
          </w:tcPr>
          <w:p w14:paraId="675B62BC"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54" w:type="dxa"/>
            <w:tcBorders>
              <w:top w:val="single" w:sz="4" w:space="0" w:color="auto"/>
              <w:left w:val="nil"/>
              <w:bottom w:val="single" w:sz="4" w:space="0" w:color="auto"/>
              <w:right w:val="nil"/>
            </w:tcBorders>
            <w:shd w:val="clear" w:color="auto" w:fill="D9D9D9" w:themeFill="background1" w:themeFillShade="D9"/>
            <w:noWrap/>
            <w:vAlign w:val="center"/>
            <w:hideMark/>
          </w:tcPr>
          <w:p w14:paraId="37E7C0CE"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53" w:type="dxa"/>
            <w:tcBorders>
              <w:top w:val="single" w:sz="4" w:space="0" w:color="auto"/>
              <w:left w:val="nil"/>
              <w:bottom w:val="single" w:sz="4" w:space="0" w:color="auto"/>
              <w:right w:val="nil"/>
            </w:tcBorders>
            <w:shd w:val="clear" w:color="auto" w:fill="D9D9D9" w:themeFill="background1" w:themeFillShade="D9"/>
            <w:noWrap/>
            <w:vAlign w:val="center"/>
            <w:hideMark/>
          </w:tcPr>
          <w:p w14:paraId="50DC7800"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54" w:type="dxa"/>
            <w:tcBorders>
              <w:top w:val="single" w:sz="4" w:space="0" w:color="auto"/>
              <w:left w:val="nil"/>
              <w:bottom w:val="single" w:sz="4" w:space="0" w:color="auto"/>
              <w:right w:val="nil"/>
            </w:tcBorders>
            <w:shd w:val="clear" w:color="auto" w:fill="D9D9D9" w:themeFill="background1" w:themeFillShade="D9"/>
            <w:noWrap/>
            <w:vAlign w:val="center"/>
            <w:hideMark/>
          </w:tcPr>
          <w:p w14:paraId="34F477AF"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5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A04CB1"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876EFC" w:rsidRPr="001565F1" w14:paraId="749E036C" w14:textId="77777777" w:rsidTr="00561E4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4158DC9E" w14:textId="77777777" w:rsidR="00876EFC" w:rsidRPr="00CE1D31" w:rsidRDefault="00876EFC" w:rsidP="00CE2FDF">
            <w:pPr>
              <w:spacing w:before="0" w:line="276" w:lineRule="auto"/>
              <w:rPr>
                <w:rFonts w:eastAsia="Times New Roman" w:cs="Arial"/>
                <w:b/>
                <w:color w:val="000000"/>
                <w:lang w:eastAsia="en-AU"/>
              </w:rPr>
            </w:pPr>
            <w:r w:rsidRPr="00CE1D31">
              <w:rPr>
                <w:rFonts w:eastAsia="Times New Roman" w:cs="Arial"/>
                <w:b/>
                <w:color w:val="000000"/>
                <w:lang w:eastAsia="en-AU"/>
              </w:rPr>
              <w:t>Emotional Abuse</w:t>
            </w:r>
          </w:p>
        </w:tc>
        <w:tc>
          <w:tcPr>
            <w:tcW w:w="1253" w:type="dxa"/>
            <w:tcBorders>
              <w:top w:val="single" w:sz="4" w:space="0" w:color="auto"/>
              <w:left w:val="nil"/>
              <w:bottom w:val="nil"/>
              <w:right w:val="nil"/>
            </w:tcBorders>
            <w:shd w:val="clear" w:color="auto" w:fill="auto"/>
            <w:noWrap/>
            <w:vAlign w:val="bottom"/>
            <w:hideMark/>
          </w:tcPr>
          <w:p w14:paraId="09145F03" w14:textId="77777777" w:rsidR="00876EFC" w:rsidRPr="001565F1" w:rsidRDefault="00876EFC" w:rsidP="00CE2FDF">
            <w:pPr>
              <w:spacing w:before="0" w:line="276" w:lineRule="auto"/>
              <w:jc w:val="right"/>
              <w:rPr>
                <w:rFonts w:eastAsia="Times New Roman" w:cs="Arial"/>
                <w:color w:val="FF0000"/>
                <w:lang w:eastAsia="en-AU"/>
              </w:rPr>
            </w:pPr>
          </w:p>
        </w:tc>
        <w:tc>
          <w:tcPr>
            <w:tcW w:w="1254" w:type="dxa"/>
            <w:tcBorders>
              <w:top w:val="single" w:sz="4" w:space="0" w:color="auto"/>
              <w:left w:val="nil"/>
              <w:bottom w:val="nil"/>
              <w:right w:val="nil"/>
            </w:tcBorders>
            <w:shd w:val="clear" w:color="auto" w:fill="EAF1DD" w:themeFill="accent3" w:themeFillTint="33"/>
            <w:noWrap/>
            <w:vAlign w:val="bottom"/>
            <w:hideMark/>
          </w:tcPr>
          <w:p w14:paraId="6D8D9FBF" w14:textId="77777777" w:rsidR="00876EFC" w:rsidRPr="001565F1" w:rsidRDefault="00876EFC" w:rsidP="00CE2FDF">
            <w:pPr>
              <w:spacing w:before="0" w:line="276" w:lineRule="auto"/>
              <w:jc w:val="right"/>
              <w:rPr>
                <w:rFonts w:eastAsia="Times New Roman" w:cs="Arial"/>
                <w:color w:val="FF0000"/>
                <w:lang w:eastAsia="en-AU"/>
              </w:rPr>
            </w:pPr>
          </w:p>
        </w:tc>
        <w:tc>
          <w:tcPr>
            <w:tcW w:w="1253" w:type="dxa"/>
            <w:tcBorders>
              <w:top w:val="single" w:sz="4" w:space="0" w:color="auto"/>
              <w:left w:val="nil"/>
              <w:bottom w:val="nil"/>
              <w:right w:val="nil"/>
            </w:tcBorders>
            <w:shd w:val="clear" w:color="auto" w:fill="auto"/>
            <w:noWrap/>
            <w:vAlign w:val="bottom"/>
            <w:hideMark/>
          </w:tcPr>
          <w:p w14:paraId="6D366249" w14:textId="77777777" w:rsidR="00876EFC" w:rsidRPr="001565F1" w:rsidRDefault="00876EFC" w:rsidP="00CE2FDF">
            <w:pPr>
              <w:spacing w:before="0" w:line="276" w:lineRule="auto"/>
              <w:jc w:val="right"/>
              <w:rPr>
                <w:rFonts w:eastAsia="Times New Roman" w:cs="Arial"/>
                <w:color w:val="FF0000"/>
                <w:lang w:eastAsia="en-AU"/>
              </w:rPr>
            </w:pPr>
          </w:p>
        </w:tc>
        <w:tc>
          <w:tcPr>
            <w:tcW w:w="1254" w:type="dxa"/>
            <w:tcBorders>
              <w:top w:val="single" w:sz="4" w:space="0" w:color="auto"/>
              <w:left w:val="nil"/>
              <w:bottom w:val="nil"/>
              <w:right w:val="nil"/>
            </w:tcBorders>
            <w:shd w:val="clear" w:color="auto" w:fill="EAF1DD" w:themeFill="accent3" w:themeFillTint="33"/>
            <w:noWrap/>
            <w:vAlign w:val="bottom"/>
            <w:hideMark/>
          </w:tcPr>
          <w:p w14:paraId="5A658D1E" w14:textId="77777777" w:rsidR="00876EFC" w:rsidRPr="001565F1" w:rsidRDefault="00876EFC" w:rsidP="00CE2FDF">
            <w:pPr>
              <w:spacing w:before="0" w:line="276" w:lineRule="auto"/>
              <w:jc w:val="right"/>
              <w:rPr>
                <w:rFonts w:eastAsia="Times New Roman" w:cs="Arial"/>
                <w:color w:val="FF0000"/>
                <w:lang w:eastAsia="en-AU"/>
              </w:rPr>
            </w:pPr>
          </w:p>
        </w:tc>
        <w:tc>
          <w:tcPr>
            <w:tcW w:w="1254" w:type="dxa"/>
            <w:tcBorders>
              <w:top w:val="single" w:sz="4" w:space="0" w:color="auto"/>
              <w:left w:val="nil"/>
              <w:bottom w:val="nil"/>
              <w:right w:val="nil"/>
            </w:tcBorders>
            <w:shd w:val="clear" w:color="auto" w:fill="auto"/>
            <w:noWrap/>
            <w:vAlign w:val="bottom"/>
            <w:hideMark/>
          </w:tcPr>
          <w:p w14:paraId="04E3A8D2" w14:textId="77777777" w:rsidR="00876EFC" w:rsidRPr="001565F1" w:rsidRDefault="00876EFC" w:rsidP="00CE2FDF">
            <w:pPr>
              <w:spacing w:before="0" w:line="276" w:lineRule="auto"/>
              <w:jc w:val="right"/>
              <w:rPr>
                <w:rFonts w:eastAsia="Times New Roman" w:cs="Arial"/>
                <w:color w:val="FF0000"/>
                <w:lang w:eastAsia="en-AU"/>
              </w:rPr>
            </w:pPr>
          </w:p>
        </w:tc>
        <w:tc>
          <w:tcPr>
            <w:tcW w:w="1253" w:type="dxa"/>
            <w:tcBorders>
              <w:top w:val="single" w:sz="4" w:space="0" w:color="auto"/>
              <w:left w:val="nil"/>
              <w:bottom w:val="nil"/>
              <w:right w:val="nil"/>
            </w:tcBorders>
            <w:shd w:val="clear" w:color="auto" w:fill="EAF1DD" w:themeFill="accent3" w:themeFillTint="33"/>
            <w:noWrap/>
            <w:vAlign w:val="bottom"/>
            <w:hideMark/>
          </w:tcPr>
          <w:p w14:paraId="2CD02980" w14:textId="77777777" w:rsidR="00876EFC" w:rsidRPr="001565F1" w:rsidRDefault="00876EFC" w:rsidP="00CE2FDF">
            <w:pPr>
              <w:spacing w:before="0" w:line="276" w:lineRule="auto"/>
              <w:jc w:val="right"/>
              <w:rPr>
                <w:rFonts w:eastAsia="Times New Roman" w:cs="Arial"/>
                <w:color w:val="FF0000"/>
                <w:lang w:eastAsia="en-AU"/>
              </w:rPr>
            </w:pPr>
          </w:p>
        </w:tc>
        <w:tc>
          <w:tcPr>
            <w:tcW w:w="1254" w:type="dxa"/>
            <w:tcBorders>
              <w:top w:val="single" w:sz="4" w:space="0" w:color="auto"/>
              <w:left w:val="nil"/>
              <w:bottom w:val="nil"/>
              <w:right w:val="nil"/>
            </w:tcBorders>
            <w:shd w:val="clear" w:color="auto" w:fill="auto"/>
            <w:noWrap/>
            <w:vAlign w:val="bottom"/>
            <w:hideMark/>
          </w:tcPr>
          <w:p w14:paraId="48D4E998" w14:textId="77777777" w:rsidR="00876EFC" w:rsidRPr="001565F1" w:rsidRDefault="00876EFC" w:rsidP="00CE2FDF">
            <w:pPr>
              <w:spacing w:before="0" w:line="276" w:lineRule="auto"/>
              <w:jc w:val="right"/>
              <w:rPr>
                <w:rFonts w:eastAsia="Times New Roman" w:cs="Arial"/>
                <w:color w:val="FF0000"/>
                <w:lang w:eastAsia="en-AU"/>
              </w:rPr>
            </w:pPr>
          </w:p>
        </w:tc>
        <w:tc>
          <w:tcPr>
            <w:tcW w:w="1253" w:type="dxa"/>
            <w:tcBorders>
              <w:top w:val="single" w:sz="4" w:space="0" w:color="auto"/>
              <w:left w:val="nil"/>
              <w:bottom w:val="nil"/>
              <w:right w:val="nil"/>
            </w:tcBorders>
            <w:shd w:val="clear" w:color="auto" w:fill="EAF1DD" w:themeFill="accent3" w:themeFillTint="33"/>
            <w:noWrap/>
            <w:vAlign w:val="bottom"/>
            <w:hideMark/>
          </w:tcPr>
          <w:p w14:paraId="2B123ABF" w14:textId="77777777" w:rsidR="00876EFC" w:rsidRPr="001565F1" w:rsidRDefault="00876EFC" w:rsidP="00CE2FDF">
            <w:pPr>
              <w:spacing w:before="0" w:line="276" w:lineRule="auto"/>
              <w:jc w:val="right"/>
              <w:rPr>
                <w:rFonts w:eastAsia="Times New Roman" w:cs="Arial"/>
                <w:color w:val="FF0000"/>
                <w:lang w:eastAsia="en-AU"/>
              </w:rPr>
            </w:pPr>
          </w:p>
        </w:tc>
        <w:tc>
          <w:tcPr>
            <w:tcW w:w="1254" w:type="dxa"/>
            <w:tcBorders>
              <w:top w:val="single" w:sz="4" w:space="0" w:color="auto"/>
              <w:left w:val="nil"/>
              <w:bottom w:val="nil"/>
              <w:right w:val="nil"/>
            </w:tcBorders>
            <w:shd w:val="clear" w:color="auto" w:fill="auto"/>
            <w:noWrap/>
            <w:vAlign w:val="bottom"/>
            <w:hideMark/>
          </w:tcPr>
          <w:p w14:paraId="756472A5" w14:textId="77777777" w:rsidR="00876EFC" w:rsidRPr="001565F1" w:rsidRDefault="00876EFC" w:rsidP="00CE2FDF">
            <w:pPr>
              <w:spacing w:before="0" w:line="276" w:lineRule="auto"/>
              <w:jc w:val="right"/>
              <w:rPr>
                <w:rFonts w:eastAsia="Times New Roman" w:cs="Arial"/>
                <w:color w:val="FF0000"/>
                <w:lang w:eastAsia="en-AU"/>
              </w:rPr>
            </w:pPr>
          </w:p>
        </w:tc>
        <w:tc>
          <w:tcPr>
            <w:tcW w:w="1254" w:type="dxa"/>
            <w:tcBorders>
              <w:top w:val="single" w:sz="4" w:space="0" w:color="auto"/>
              <w:left w:val="nil"/>
              <w:bottom w:val="nil"/>
              <w:right w:val="single" w:sz="4" w:space="0" w:color="auto"/>
            </w:tcBorders>
            <w:shd w:val="clear" w:color="auto" w:fill="EAF1DD" w:themeFill="accent3" w:themeFillTint="33"/>
            <w:noWrap/>
            <w:vAlign w:val="bottom"/>
            <w:hideMark/>
          </w:tcPr>
          <w:p w14:paraId="298F2C2A" w14:textId="77777777" w:rsidR="00876EFC" w:rsidRPr="001565F1" w:rsidRDefault="00876EFC" w:rsidP="00CE2FDF">
            <w:pPr>
              <w:spacing w:before="0" w:line="276" w:lineRule="auto"/>
              <w:jc w:val="right"/>
              <w:rPr>
                <w:rFonts w:eastAsia="Times New Roman" w:cs="Arial"/>
                <w:color w:val="FF0000"/>
                <w:lang w:eastAsia="en-AU"/>
              </w:rPr>
            </w:pPr>
          </w:p>
        </w:tc>
      </w:tr>
      <w:tr w:rsidR="00876EFC" w:rsidRPr="001565F1" w14:paraId="5B9B55FE"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CF640F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3E2731F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120</w:t>
            </w:r>
          </w:p>
        </w:tc>
        <w:tc>
          <w:tcPr>
            <w:tcW w:w="1254" w:type="dxa"/>
            <w:tcBorders>
              <w:top w:val="nil"/>
              <w:left w:val="nil"/>
              <w:bottom w:val="nil"/>
              <w:right w:val="nil"/>
            </w:tcBorders>
            <w:shd w:val="clear" w:color="auto" w:fill="EAF1DD" w:themeFill="accent3" w:themeFillTint="33"/>
            <w:noWrap/>
            <w:vAlign w:val="bottom"/>
            <w:hideMark/>
          </w:tcPr>
          <w:p w14:paraId="00B4189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152</w:t>
            </w:r>
          </w:p>
        </w:tc>
        <w:tc>
          <w:tcPr>
            <w:tcW w:w="1253" w:type="dxa"/>
            <w:tcBorders>
              <w:top w:val="nil"/>
              <w:left w:val="nil"/>
              <w:bottom w:val="nil"/>
              <w:right w:val="nil"/>
            </w:tcBorders>
            <w:shd w:val="clear" w:color="auto" w:fill="auto"/>
            <w:noWrap/>
            <w:vAlign w:val="bottom"/>
            <w:hideMark/>
          </w:tcPr>
          <w:p w14:paraId="1820F0A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143</w:t>
            </w:r>
          </w:p>
        </w:tc>
        <w:tc>
          <w:tcPr>
            <w:tcW w:w="1254" w:type="dxa"/>
            <w:tcBorders>
              <w:top w:val="nil"/>
              <w:left w:val="nil"/>
              <w:bottom w:val="nil"/>
              <w:right w:val="nil"/>
            </w:tcBorders>
            <w:shd w:val="clear" w:color="auto" w:fill="EAF1DD" w:themeFill="accent3" w:themeFillTint="33"/>
            <w:noWrap/>
            <w:vAlign w:val="bottom"/>
            <w:hideMark/>
          </w:tcPr>
          <w:p w14:paraId="42BC807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129</w:t>
            </w:r>
          </w:p>
        </w:tc>
        <w:tc>
          <w:tcPr>
            <w:tcW w:w="1254" w:type="dxa"/>
            <w:tcBorders>
              <w:top w:val="nil"/>
              <w:left w:val="nil"/>
              <w:bottom w:val="nil"/>
              <w:right w:val="nil"/>
            </w:tcBorders>
            <w:shd w:val="clear" w:color="auto" w:fill="auto"/>
            <w:noWrap/>
            <w:vAlign w:val="bottom"/>
            <w:hideMark/>
          </w:tcPr>
          <w:p w14:paraId="549A60F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95</w:t>
            </w:r>
          </w:p>
        </w:tc>
        <w:tc>
          <w:tcPr>
            <w:tcW w:w="1253" w:type="dxa"/>
            <w:tcBorders>
              <w:top w:val="nil"/>
              <w:left w:val="nil"/>
              <w:bottom w:val="nil"/>
              <w:right w:val="nil"/>
            </w:tcBorders>
            <w:shd w:val="clear" w:color="auto" w:fill="EAF1DD" w:themeFill="accent3" w:themeFillTint="33"/>
            <w:noWrap/>
            <w:vAlign w:val="bottom"/>
            <w:hideMark/>
          </w:tcPr>
          <w:p w14:paraId="4186B73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148</w:t>
            </w:r>
          </w:p>
        </w:tc>
        <w:tc>
          <w:tcPr>
            <w:tcW w:w="1254" w:type="dxa"/>
            <w:tcBorders>
              <w:top w:val="nil"/>
              <w:left w:val="nil"/>
              <w:bottom w:val="nil"/>
              <w:right w:val="nil"/>
            </w:tcBorders>
            <w:shd w:val="clear" w:color="auto" w:fill="auto"/>
            <w:noWrap/>
            <w:vAlign w:val="bottom"/>
            <w:hideMark/>
          </w:tcPr>
          <w:p w14:paraId="682F06B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242</w:t>
            </w:r>
          </w:p>
        </w:tc>
        <w:tc>
          <w:tcPr>
            <w:tcW w:w="1253" w:type="dxa"/>
            <w:tcBorders>
              <w:top w:val="nil"/>
              <w:left w:val="nil"/>
              <w:bottom w:val="nil"/>
              <w:right w:val="nil"/>
            </w:tcBorders>
            <w:shd w:val="clear" w:color="auto" w:fill="EAF1DD" w:themeFill="accent3" w:themeFillTint="33"/>
            <w:noWrap/>
            <w:vAlign w:val="bottom"/>
            <w:hideMark/>
          </w:tcPr>
          <w:p w14:paraId="6F2105C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243</w:t>
            </w:r>
          </w:p>
        </w:tc>
        <w:tc>
          <w:tcPr>
            <w:tcW w:w="1254" w:type="dxa"/>
            <w:tcBorders>
              <w:top w:val="nil"/>
              <w:left w:val="nil"/>
              <w:bottom w:val="nil"/>
              <w:right w:val="nil"/>
            </w:tcBorders>
            <w:shd w:val="clear" w:color="auto" w:fill="auto"/>
            <w:noWrap/>
            <w:vAlign w:val="bottom"/>
            <w:hideMark/>
          </w:tcPr>
          <w:p w14:paraId="60E85E3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287</w:t>
            </w:r>
          </w:p>
        </w:tc>
        <w:tc>
          <w:tcPr>
            <w:tcW w:w="1254" w:type="dxa"/>
            <w:tcBorders>
              <w:top w:val="nil"/>
              <w:left w:val="nil"/>
              <w:bottom w:val="nil"/>
              <w:right w:val="single" w:sz="4" w:space="0" w:color="auto"/>
            </w:tcBorders>
            <w:shd w:val="clear" w:color="auto" w:fill="EAF1DD" w:themeFill="accent3" w:themeFillTint="33"/>
            <w:noWrap/>
            <w:vAlign w:val="bottom"/>
            <w:hideMark/>
          </w:tcPr>
          <w:p w14:paraId="4D734E9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332</w:t>
            </w:r>
          </w:p>
        </w:tc>
      </w:tr>
      <w:tr w:rsidR="000E61DB" w:rsidRPr="001565F1" w14:paraId="1FD6CADB"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13EC843"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1095AE2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87</w:t>
            </w:r>
          </w:p>
        </w:tc>
        <w:tc>
          <w:tcPr>
            <w:tcW w:w="1254" w:type="dxa"/>
            <w:tcBorders>
              <w:top w:val="nil"/>
              <w:left w:val="nil"/>
              <w:bottom w:val="nil"/>
              <w:right w:val="nil"/>
            </w:tcBorders>
            <w:shd w:val="clear" w:color="auto" w:fill="EAF1DD" w:themeFill="accent3" w:themeFillTint="33"/>
            <w:noWrap/>
            <w:vAlign w:val="bottom"/>
            <w:hideMark/>
          </w:tcPr>
          <w:p w14:paraId="5945B7C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w:t>
            </w:r>
          </w:p>
        </w:tc>
        <w:tc>
          <w:tcPr>
            <w:tcW w:w="1253" w:type="dxa"/>
            <w:tcBorders>
              <w:top w:val="nil"/>
              <w:left w:val="nil"/>
              <w:bottom w:val="nil"/>
              <w:right w:val="nil"/>
            </w:tcBorders>
            <w:shd w:val="clear" w:color="auto" w:fill="auto"/>
            <w:noWrap/>
            <w:vAlign w:val="bottom"/>
            <w:hideMark/>
          </w:tcPr>
          <w:p w14:paraId="62A8F37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82</w:t>
            </w:r>
          </w:p>
        </w:tc>
        <w:tc>
          <w:tcPr>
            <w:tcW w:w="1254" w:type="dxa"/>
            <w:tcBorders>
              <w:top w:val="nil"/>
              <w:left w:val="nil"/>
              <w:bottom w:val="nil"/>
              <w:right w:val="nil"/>
            </w:tcBorders>
            <w:shd w:val="clear" w:color="auto" w:fill="EAF1DD" w:themeFill="accent3" w:themeFillTint="33"/>
            <w:noWrap/>
            <w:vAlign w:val="bottom"/>
            <w:hideMark/>
          </w:tcPr>
          <w:p w14:paraId="0690D45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78</w:t>
            </w:r>
          </w:p>
        </w:tc>
        <w:tc>
          <w:tcPr>
            <w:tcW w:w="1254" w:type="dxa"/>
            <w:tcBorders>
              <w:top w:val="nil"/>
              <w:left w:val="nil"/>
              <w:bottom w:val="nil"/>
              <w:right w:val="nil"/>
            </w:tcBorders>
            <w:shd w:val="clear" w:color="auto" w:fill="auto"/>
            <w:noWrap/>
            <w:vAlign w:val="bottom"/>
            <w:hideMark/>
          </w:tcPr>
          <w:p w14:paraId="7D2F5C6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48</w:t>
            </w:r>
          </w:p>
        </w:tc>
        <w:tc>
          <w:tcPr>
            <w:tcW w:w="1253" w:type="dxa"/>
            <w:tcBorders>
              <w:top w:val="nil"/>
              <w:left w:val="nil"/>
              <w:bottom w:val="nil"/>
              <w:right w:val="nil"/>
            </w:tcBorders>
            <w:shd w:val="clear" w:color="auto" w:fill="EAF1DD" w:themeFill="accent3" w:themeFillTint="33"/>
            <w:noWrap/>
            <w:vAlign w:val="bottom"/>
            <w:hideMark/>
          </w:tcPr>
          <w:p w14:paraId="1CF8E83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50</w:t>
            </w:r>
          </w:p>
        </w:tc>
        <w:tc>
          <w:tcPr>
            <w:tcW w:w="1254" w:type="dxa"/>
            <w:tcBorders>
              <w:top w:val="nil"/>
              <w:left w:val="nil"/>
              <w:bottom w:val="nil"/>
              <w:right w:val="nil"/>
            </w:tcBorders>
            <w:shd w:val="clear" w:color="auto" w:fill="auto"/>
            <w:noWrap/>
            <w:vAlign w:val="bottom"/>
            <w:hideMark/>
          </w:tcPr>
          <w:p w14:paraId="13F11EC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68</w:t>
            </w:r>
          </w:p>
        </w:tc>
        <w:tc>
          <w:tcPr>
            <w:tcW w:w="1253" w:type="dxa"/>
            <w:tcBorders>
              <w:top w:val="nil"/>
              <w:left w:val="nil"/>
              <w:bottom w:val="nil"/>
              <w:right w:val="nil"/>
            </w:tcBorders>
            <w:shd w:val="clear" w:color="auto" w:fill="EAF1DD" w:themeFill="accent3" w:themeFillTint="33"/>
            <w:noWrap/>
            <w:vAlign w:val="bottom"/>
            <w:hideMark/>
          </w:tcPr>
          <w:p w14:paraId="2436BD3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77</w:t>
            </w:r>
          </w:p>
        </w:tc>
        <w:tc>
          <w:tcPr>
            <w:tcW w:w="1254" w:type="dxa"/>
            <w:tcBorders>
              <w:top w:val="nil"/>
              <w:left w:val="nil"/>
              <w:bottom w:val="nil"/>
              <w:right w:val="nil"/>
            </w:tcBorders>
            <w:shd w:val="clear" w:color="auto" w:fill="auto"/>
            <w:noWrap/>
            <w:vAlign w:val="bottom"/>
            <w:hideMark/>
          </w:tcPr>
          <w:p w14:paraId="6305C9A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86</w:t>
            </w:r>
          </w:p>
        </w:tc>
        <w:tc>
          <w:tcPr>
            <w:tcW w:w="1254" w:type="dxa"/>
            <w:tcBorders>
              <w:top w:val="nil"/>
              <w:left w:val="nil"/>
              <w:bottom w:val="nil"/>
              <w:right w:val="single" w:sz="4" w:space="0" w:color="auto"/>
            </w:tcBorders>
            <w:shd w:val="clear" w:color="auto" w:fill="EAF1DD" w:themeFill="accent3" w:themeFillTint="33"/>
            <w:noWrap/>
            <w:vAlign w:val="bottom"/>
            <w:hideMark/>
          </w:tcPr>
          <w:p w14:paraId="70163AB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120</w:t>
            </w:r>
          </w:p>
        </w:tc>
      </w:tr>
      <w:tr w:rsidR="00876EFC" w:rsidRPr="001565F1" w14:paraId="02DED10F"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E3107B5"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0A015D8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73</w:t>
            </w:r>
          </w:p>
        </w:tc>
        <w:tc>
          <w:tcPr>
            <w:tcW w:w="1254" w:type="dxa"/>
            <w:tcBorders>
              <w:top w:val="nil"/>
              <w:left w:val="nil"/>
              <w:bottom w:val="nil"/>
              <w:right w:val="nil"/>
            </w:tcBorders>
            <w:shd w:val="clear" w:color="auto" w:fill="EAF1DD" w:themeFill="accent3" w:themeFillTint="33"/>
            <w:noWrap/>
            <w:vAlign w:val="bottom"/>
            <w:hideMark/>
          </w:tcPr>
          <w:p w14:paraId="716EF04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44</w:t>
            </w:r>
          </w:p>
        </w:tc>
        <w:tc>
          <w:tcPr>
            <w:tcW w:w="1253" w:type="dxa"/>
            <w:tcBorders>
              <w:top w:val="nil"/>
              <w:left w:val="nil"/>
              <w:bottom w:val="nil"/>
              <w:right w:val="nil"/>
            </w:tcBorders>
            <w:shd w:val="clear" w:color="auto" w:fill="auto"/>
            <w:noWrap/>
            <w:vAlign w:val="bottom"/>
            <w:hideMark/>
          </w:tcPr>
          <w:p w14:paraId="48045F2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57</w:t>
            </w:r>
          </w:p>
        </w:tc>
        <w:tc>
          <w:tcPr>
            <w:tcW w:w="1254" w:type="dxa"/>
            <w:tcBorders>
              <w:top w:val="nil"/>
              <w:left w:val="nil"/>
              <w:bottom w:val="nil"/>
              <w:right w:val="nil"/>
            </w:tcBorders>
            <w:shd w:val="clear" w:color="auto" w:fill="EAF1DD" w:themeFill="accent3" w:themeFillTint="33"/>
            <w:noWrap/>
            <w:vAlign w:val="bottom"/>
            <w:hideMark/>
          </w:tcPr>
          <w:p w14:paraId="6AC458E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w:t>
            </w:r>
          </w:p>
        </w:tc>
        <w:tc>
          <w:tcPr>
            <w:tcW w:w="1254" w:type="dxa"/>
            <w:tcBorders>
              <w:top w:val="nil"/>
              <w:left w:val="nil"/>
              <w:bottom w:val="nil"/>
              <w:right w:val="nil"/>
            </w:tcBorders>
            <w:shd w:val="clear" w:color="auto" w:fill="auto"/>
            <w:noWrap/>
            <w:vAlign w:val="bottom"/>
            <w:hideMark/>
          </w:tcPr>
          <w:p w14:paraId="0994678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w:t>
            </w:r>
          </w:p>
        </w:tc>
        <w:tc>
          <w:tcPr>
            <w:tcW w:w="1253" w:type="dxa"/>
            <w:tcBorders>
              <w:top w:val="nil"/>
              <w:left w:val="nil"/>
              <w:bottom w:val="nil"/>
              <w:right w:val="nil"/>
            </w:tcBorders>
            <w:shd w:val="clear" w:color="auto" w:fill="EAF1DD" w:themeFill="accent3" w:themeFillTint="33"/>
            <w:noWrap/>
            <w:vAlign w:val="bottom"/>
            <w:hideMark/>
          </w:tcPr>
          <w:p w14:paraId="1D552B7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35</w:t>
            </w:r>
          </w:p>
        </w:tc>
        <w:tc>
          <w:tcPr>
            <w:tcW w:w="1254" w:type="dxa"/>
            <w:tcBorders>
              <w:top w:val="nil"/>
              <w:left w:val="nil"/>
              <w:bottom w:val="nil"/>
              <w:right w:val="nil"/>
            </w:tcBorders>
            <w:shd w:val="clear" w:color="auto" w:fill="auto"/>
            <w:noWrap/>
            <w:vAlign w:val="bottom"/>
            <w:hideMark/>
          </w:tcPr>
          <w:p w14:paraId="67716A9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42</w:t>
            </w:r>
          </w:p>
        </w:tc>
        <w:tc>
          <w:tcPr>
            <w:tcW w:w="1253" w:type="dxa"/>
            <w:tcBorders>
              <w:top w:val="nil"/>
              <w:left w:val="nil"/>
              <w:bottom w:val="nil"/>
              <w:right w:val="nil"/>
            </w:tcBorders>
            <w:shd w:val="clear" w:color="auto" w:fill="EAF1DD" w:themeFill="accent3" w:themeFillTint="33"/>
            <w:noWrap/>
            <w:vAlign w:val="bottom"/>
            <w:hideMark/>
          </w:tcPr>
          <w:p w14:paraId="051408F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w:t>
            </w:r>
          </w:p>
        </w:tc>
        <w:tc>
          <w:tcPr>
            <w:tcW w:w="1254" w:type="dxa"/>
            <w:tcBorders>
              <w:top w:val="nil"/>
              <w:left w:val="nil"/>
              <w:bottom w:val="nil"/>
              <w:right w:val="nil"/>
            </w:tcBorders>
            <w:shd w:val="clear" w:color="auto" w:fill="auto"/>
            <w:noWrap/>
            <w:vAlign w:val="bottom"/>
            <w:hideMark/>
          </w:tcPr>
          <w:p w14:paraId="6CA7BB5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57</w:t>
            </w:r>
          </w:p>
        </w:tc>
        <w:tc>
          <w:tcPr>
            <w:tcW w:w="1254" w:type="dxa"/>
            <w:tcBorders>
              <w:top w:val="nil"/>
              <w:left w:val="nil"/>
              <w:bottom w:val="nil"/>
              <w:right w:val="single" w:sz="4" w:space="0" w:color="auto"/>
            </w:tcBorders>
            <w:shd w:val="clear" w:color="auto" w:fill="EAF1DD" w:themeFill="accent3" w:themeFillTint="33"/>
            <w:noWrap/>
            <w:vAlign w:val="bottom"/>
            <w:hideMark/>
          </w:tcPr>
          <w:p w14:paraId="79CB2F3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75</w:t>
            </w:r>
          </w:p>
        </w:tc>
      </w:tr>
      <w:tr w:rsidR="00876EFC" w:rsidRPr="001565F1" w14:paraId="0CD48962"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906E6F8"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58D78C9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w:t>
            </w:r>
          </w:p>
        </w:tc>
        <w:tc>
          <w:tcPr>
            <w:tcW w:w="1254" w:type="dxa"/>
            <w:tcBorders>
              <w:top w:val="nil"/>
              <w:left w:val="nil"/>
              <w:bottom w:val="nil"/>
              <w:right w:val="nil"/>
            </w:tcBorders>
            <w:shd w:val="clear" w:color="auto" w:fill="EAF1DD" w:themeFill="accent3" w:themeFillTint="33"/>
            <w:noWrap/>
            <w:vAlign w:val="bottom"/>
            <w:hideMark/>
          </w:tcPr>
          <w:p w14:paraId="603A4FA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w:t>
            </w:r>
          </w:p>
        </w:tc>
        <w:tc>
          <w:tcPr>
            <w:tcW w:w="1253" w:type="dxa"/>
            <w:tcBorders>
              <w:top w:val="nil"/>
              <w:left w:val="nil"/>
              <w:bottom w:val="nil"/>
              <w:right w:val="nil"/>
            </w:tcBorders>
            <w:shd w:val="clear" w:color="auto" w:fill="auto"/>
            <w:noWrap/>
            <w:vAlign w:val="bottom"/>
            <w:hideMark/>
          </w:tcPr>
          <w:p w14:paraId="380FAE9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w:t>
            </w:r>
          </w:p>
        </w:tc>
        <w:tc>
          <w:tcPr>
            <w:tcW w:w="1254" w:type="dxa"/>
            <w:tcBorders>
              <w:top w:val="nil"/>
              <w:left w:val="nil"/>
              <w:bottom w:val="nil"/>
              <w:right w:val="nil"/>
            </w:tcBorders>
            <w:shd w:val="clear" w:color="auto" w:fill="EAF1DD" w:themeFill="accent3" w:themeFillTint="33"/>
            <w:noWrap/>
            <w:vAlign w:val="bottom"/>
            <w:hideMark/>
          </w:tcPr>
          <w:p w14:paraId="4CA98B4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w:t>
            </w:r>
          </w:p>
        </w:tc>
        <w:tc>
          <w:tcPr>
            <w:tcW w:w="1254" w:type="dxa"/>
            <w:tcBorders>
              <w:top w:val="nil"/>
              <w:left w:val="nil"/>
              <w:bottom w:val="nil"/>
              <w:right w:val="nil"/>
            </w:tcBorders>
            <w:shd w:val="clear" w:color="auto" w:fill="auto"/>
            <w:noWrap/>
            <w:vAlign w:val="bottom"/>
            <w:hideMark/>
          </w:tcPr>
          <w:p w14:paraId="1F520ED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w:t>
            </w:r>
          </w:p>
        </w:tc>
        <w:tc>
          <w:tcPr>
            <w:tcW w:w="1253" w:type="dxa"/>
            <w:tcBorders>
              <w:top w:val="nil"/>
              <w:left w:val="nil"/>
              <w:bottom w:val="nil"/>
              <w:right w:val="nil"/>
            </w:tcBorders>
            <w:shd w:val="clear" w:color="auto" w:fill="EAF1DD" w:themeFill="accent3" w:themeFillTint="33"/>
            <w:noWrap/>
            <w:vAlign w:val="bottom"/>
            <w:hideMark/>
          </w:tcPr>
          <w:p w14:paraId="2A114B3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w:t>
            </w:r>
          </w:p>
        </w:tc>
        <w:tc>
          <w:tcPr>
            <w:tcW w:w="1254" w:type="dxa"/>
            <w:tcBorders>
              <w:top w:val="nil"/>
              <w:left w:val="nil"/>
              <w:bottom w:val="nil"/>
              <w:right w:val="nil"/>
            </w:tcBorders>
            <w:shd w:val="clear" w:color="auto" w:fill="auto"/>
            <w:noWrap/>
            <w:vAlign w:val="bottom"/>
            <w:hideMark/>
          </w:tcPr>
          <w:p w14:paraId="747E69E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26</w:t>
            </w:r>
          </w:p>
        </w:tc>
        <w:tc>
          <w:tcPr>
            <w:tcW w:w="1253" w:type="dxa"/>
            <w:tcBorders>
              <w:top w:val="nil"/>
              <w:left w:val="nil"/>
              <w:bottom w:val="nil"/>
              <w:right w:val="nil"/>
            </w:tcBorders>
            <w:shd w:val="clear" w:color="auto" w:fill="EAF1DD" w:themeFill="accent3" w:themeFillTint="33"/>
            <w:noWrap/>
            <w:vAlign w:val="bottom"/>
            <w:hideMark/>
          </w:tcPr>
          <w:p w14:paraId="30B160E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w:t>
            </w:r>
          </w:p>
        </w:tc>
        <w:tc>
          <w:tcPr>
            <w:tcW w:w="1254" w:type="dxa"/>
            <w:tcBorders>
              <w:top w:val="nil"/>
              <w:left w:val="nil"/>
              <w:bottom w:val="nil"/>
              <w:right w:val="nil"/>
            </w:tcBorders>
            <w:shd w:val="clear" w:color="auto" w:fill="auto"/>
            <w:noWrap/>
            <w:vAlign w:val="bottom"/>
            <w:hideMark/>
          </w:tcPr>
          <w:p w14:paraId="1FDED77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29</w:t>
            </w:r>
          </w:p>
        </w:tc>
        <w:tc>
          <w:tcPr>
            <w:tcW w:w="1254" w:type="dxa"/>
            <w:tcBorders>
              <w:top w:val="nil"/>
              <w:left w:val="nil"/>
              <w:bottom w:val="nil"/>
              <w:right w:val="single" w:sz="4" w:space="0" w:color="auto"/>
            </w:tcBorders>
            <w:shd w:val="clear" w:color="auto" w:fill="EAF1DD" w:themeFill="accent3" w:themeFillTint="33"/>
            <w:noWrap/>
            <w:vAlign w:val="bottom"/>
            <w:hideMark/>
          </w:tcPr>
          <w:p w14:paraId="42FD5C8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w:t>
            </w:r>
          </w:p>
        </w:tc>
      </w:tr>
      <w:tr w:rsidR="00876EFC" w:rsidRPr="00CE1D31" w14:paraId="02C32A5D" w14:textId="77777777" w:rsidTr="00561E4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50A72741" w14:textId="77777777" w:rsidR="00876EFC" w:rsidRPr="00CE1D31" w:rsidRDefault="00876EFC" w:rsidP="00CE2FDF">
            <w:pPr>
              <w:spacing w:before="0" w:line="276" w:lineRule="auto"/>
              <w:rPr>
                <w:rFonts w:eastAsia="Times New Roman" w:cs="Arial"/>
                <w:b/>
                <w:color w:val="000000"/>
                <w:lang w:eastAsia="en-AU"/>
              </w:rPr>
            </w:pPr>
            <w:r w:rsidRPr="00CE1D31">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3799BA5C"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207</w:t>
            </w:r>
          </w:p>
        </w:tc>
        <w:tc>
          <w:tcPr>
            <w:tcW w:w="1254" w:type="dxa"/>
            <w:tcBorders>
              <w:top w:val="nil"/>
              <w:left w:val="nil"/>
              <w:bottom w:val="single" w:sz="4" w:space="0" w:color="auto"/>
              <w:right w:val="nil"/>
            </w:tcBorders>
            <w:shd w:val="clear" w:color="auto" w:fill="EAF1DD" w:themeFill="accent3" w:themeFillTint="33"/>
            <w:noWrap/>
            <w:vAlign w:val="bottom"/>
            <w:hideMark/>
          </w:tcPr>
          <w:p w14:paraId="1F8F3BC8"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218</w:t>
            </w:r>
          </w:p>
        </w:tc>
        <w:tc>
          <w:tcPr>
            <w:tcW w:w="1253" w:type="dxa"/>
            <w:tcBorders>
              <w:top w:val="nil"/>
              <w:left w:val="nil"/>
              <w:bottom w:val="single" w:sz="4" w:space="0" w:color="auto"/>
              <w:right w:val="nil"/>
            </w:tcBorders>
            <w:shd w:val="clear" w:color="auto" w:fill="auto"/>
            <w:noWrap/>
            <w:vAlign w:val="bottom"/>
            <w:hideMark/>
          </w:tcPr>
          <w:p w14:paraId="54F531C2"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225</w:t>
            </w:r>
          </w:p>
        </w:tc>
        <w:tc>
          <w:tcPr>
            <w:tcW w:w="1254" w:type="dxa"/>
            <w:tcBorders>
              <w:top w:val="nil"/>
              <w:left w:val="nil"/>
              <w:bottom w:val="single" w:sz="4" w:space="0" w:color="auto"/>
              <w:right w:val="nil"/>
            </w:tcBorders>
            <w:shd w:val="clear" w:color="auto" w:fill="EAF1DD" w:themeFill="accent3" w:themeFillTint="33"/>
            <w:noWrap/>
            <w:vAlign w:val="bottom"/>
            <w:hideMark/>
          </w:tcPr>
          <w:p w14:paraId="5D82D1F7"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207</w:t>
            </w:r>
          </w:p>
        </w:tc>
        <w:tc>
          <w:tcPr>
            <w:tcW w:w="1254" w:type="dxa"/>
            <w:tcBorders>
              <w:top w:val="nil"/>
              <w:left w:val="nil"/>
              <w:bottom w:val="single" w:sz="4" w:space="0" w:color="auto"/>
              <w:right w:val="nil"/>
            </w:tcBorders>
            <w:shd w:val="clear" w:color="auto" w:fill="auto"/>
            <w:noWrap/>
            <w:vAlign w:val="bottom"/>
            <w:hideMark/>
          </w:tcPr>
          <w:p w14:paraId="7EBDDF8C"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143</w:t>
            </w:r>
          </w:p>
        </w:tc>
        <w:tc>
          <w:tcPr>
            <w:tcW w:w="1253" w:type="dxa"/>
            <w:tcBorders>
              <w:top w:val="nil"/>
              <w:left w:val="nil"/>
              <w:bottom w:val="single" w:sz="4" w:space="0" w:color="auto"/>
              <w:right w:val="nil"/>
            </w:tcBorders>
            <w:shd w:val="clear" w:color="auto" w:fill="EAF1DD" w:themeFill="accent3" w:themeFillTint="33"/>
            <w:noWrap/>
            <w:vAlign w:val="bottom"/>
            <w:hideMark/>
          </w:tcPr>
          <w:p w14:paraId="5535F080"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198</w:t>
            </w:r>
          </w:p>
        </w:tc>
        <w:tc>
          <w:tcPr>
            <w:tcW w:w="1254" w:type="dxa"/>
            <w:tcBorders>
              <w:top w:val="nil"/>
              <w:left w:val="nil"/>
              <w:bottom w:val="single" w:sz="4" w:space="0" w:color="auto"/>
              <w:right w:val="nil"/>
            </w:tcBorders>
            <w:shd w:val="clear" w:color="auto" w:fill="auto"/>
            <w:noWrap/>
            <w:vAlign w:val="bottom"/>
            <w:hideMark/>
          </w:tcPr>
          <w:p w14:paraId="1158350C"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310</w:t>
            </w:r>
          </w:p>
        </w:tc>
        <w:tc>
          <w:tcPr>
            <w:tcW w:w="1253" w:type="dxa"/>
            <w:tcBorders>
              <w:top w:val="nil"/>
              <w:left w:val="nil"/>
              <w:bottom w:val="single" w:sz="4" w:space="0" w:color="auto"/>
              <w:right w:val="nil"/>
            </w:tcBorders>
            <w:shd w:val="clear" w:color="auto" w:fill="EAF1DD" w:themeFill="accent3" w:themeFillTint="33"/>
            <w:noWrap/>
            <w:vAlign w:val="bottom"/>
            <w:hideMark/>
          </w:tcPr>
          <w:p w14:paraId="7FF7B8F7"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320</w:t>
            </w:r>
          </w:p>
        </w:tc>
        <w:tc>
          <w:tcPr>
            <w:tcW w:w="1254" w:type="dxa"/>
            <w:tcBorders>
              <w:top w:val="nil"/>
              <w:left w:val="nil"/>
              <w:bottom w:val="single" w:sz="4" w:space="0" w:color="auto"/>
              <w:right w:val="nil"/>
            </w:tcBorders>
            <w:shd w:val="clear" w:color="auto" w:fill="auto"/>
            <w:noWrap/>
            <w:vAlign w:val="bottom"/>
            <w:hideMark/>
          </w:tcPr>
          <w:p w14:paraId="5D7FD0FE"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373</w:t>
            </w:r>
          </w:p>
        </w:tc>
        <w:tc>
          <w:tcPr>
            <w:tcW w:w="1254" w:type="dxa"/>
            <w:tcBorders>
              <w:top w:val="nil"/>
              <w:left w:val="nil"/>
              <w:bottom w:val="single" w:sz="4" w:space="0" w:color="auto"/>
              <w:right w:val="single" w:sz="4" w:space="0" w:color="auto"/>
            </w:tcBorders>
            <w:shd w:val="clear" w:color="auto" w:fill="EAF1DD" w:themeFill="accent3" w:themeFillTint="33"/>
            <w:noWrap/>
            <w:vAlign w:val="bottom"/>
            <w:hideMark/>
          </w:tcPr>
          <w:p w14:paraId="0B818475"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452</w:t>
            </w:r>
          </w:p>
        </w:tc>
      </w:tr>
      <w:tr w:rsidR="00876EFC" w:rsidRPr="00CE1D31" w14:paraId="689A0753"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43CEB8F" w14:textId="77777777" w:rsidR="00876EFC" w:rsidRPr="00CE1D31" w:rsidRDefault="00876EFC" w:rsidP="00CE2FDF">
            <w:pPr>
              <w:spacing w:before="0" w:line="276" w:lineRule="auto"/>
              <w:rPr>
                <w:rFonts w:eastAsia="Times New Roman" w:cs="Arial"/>
                <w:b/>
                <w:color w:val="000000"/>
                <w:lang w:eastAsia="en-AU"/>
              </w:rPr>
            </w:pPr>
            <w:r w:rsidRPr="00CE1D31">
              <w:rPr>
                <w:rFonts w:eastAsia="Times New Roman" w:cs="Arial"/>
                <w:b/>
                <w:color w:val="000000"/>
                <w:lang w:eastAsia="en-AU"/>
              </w:rPr>
              <w:t>Neglect</w:t>
            </w:r>
          </w:p>
        </w:tc>
        <w:tc>
          <w:tcPr>
            <w:tcW w:w="1253" w:type="dxa"/>
            <w:tcBorders>
              <w:top w:val="nil"/>
              <w:left w:val="nil"/>
              <w:bottom w:val="nil"/>
              <w:right w:val="nil"/>
            </w:tcBorders>
            <w:shd w:val="clear" w:color="auto" w:fill="auto"/>
            <w:noWrap/>
            <w:vAlign w:val="bottom"/>
            <w:hideMark/>
          </w:tcPr>
          <w:p w14:paraId="00258228"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DAEEF3" w:themeFill="accent5" w:themeFillTint="33"/>
            <w:noWrap/>
            <w:vAlign w:val="bottom"/>
            <w:hideMark/>
          </w:tcPr>
          <w:p w14:paraId="39FEDB4C" w14:textId="77777777" w:rsidR="00876EFC" w:rsidRPr="00CE1D31"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auto"/>
            <w:noWrap/>
            <w:vAlign w:val="bottom"/>
            <w:hideMark/>
          </w:tcPr>
          <w:p w14:paraId="012FD73E"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DAEEF3" w:themeFill="accent5" w:themeFillTint="33"/>
            <w:noWrap/>
            <w:vAlign w:val="bottom"/>
            <w:hideMark/>
          </w:tcPr>
          <w:p w14:paraId="23612537"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60DD7197" w14:textId="77777777" w:rsidR="00876EFC" w:rsidRPr="00CE1D31"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DAEEF3" w:themeFill="accent5" w:themeFillTint="33"/>
            <w:noWrap/>
            <w:vAlign w:val="bottom"/>
            <w:hideMark/>
          </w:tcPr>
          <w:p w14:paraId="2A5BA58E"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18EB05C4" w14:textId="77777777" w:rsidR="00876EFC" w:rsidRPr="00CE1D31"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DAEEF3" w:themeFill="accent5" w:themeFillTint="33"/>
            <w:noWrap/>
            <w:vAlign w:val="bottom"/>
            <w:hideMark/>
          </w:tcPr>
          <w:p w14:paraId="0B48E721"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06D795F0"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single" w:sz="4" w:space="0" w:color="auto"/>
            </w:tcBorders>
            <w:shd w:val="clear" w:color="auto" w:fill="DAEEF3" w:themeFill="accent5" w:themeFillTint="33"/>
            <w:noWrap/>
            <w:vAlign w:val="bottom"/>
            <w:hideMark/>
          </w:tcPr>
          <w:p w14:paraId="179FCD77" w14:textId="77777777" w:rsidR="00876EFC" w:rsidRPr="00CE1D31" w:rsidRDefault="00876EFC" w:rsidP="00CE2FDF">
            <w:pPr>
              <w:spacing w:before="0" w:line="276" w:lineRule="auto"/>
              <w:jc w:val="right"/>
              <w:rPr>
                <w:rFonts w:eastAsia="Times New Roman" w:cs="Arial"/>
                <w:b/>
                <w:color w:val="FF0000"/>
                <w:lang w:eastAsia="en-AU"/>
              </w:rPr>
            </w:pPr>
          </w:p>
        </w:tc>
      </w:tr>
      <w:tr w:rsidR="00876EFC" w:rsidRPr="001565F1" w14:paraId="17DD8AD8"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817E4B9"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47AE8AC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116</w:t>
            </w:r>
          </w:p>
        </w:tc>
        <w:tc>
          <w:tcPr>
            <w:tcW w:w="1254" w:type="dxa"/>
            <w:tcBorders>
              <w:top w:val="nil"/>
              <w:left w:val="nil"/>
              <w:bottom w:val="nil"/>
              <w:right w:val="nil"/>
            </w:tcBorders>
            <w:shd w:val="clear" w:color="auto" w:fill="DAEEF3" w:themeFill="accent5" w:themeFillTint="33"/>
            <w:noWrap/>
            <w:vAlign w:val="bottom"/>
            <w:hideMark/>
          </w:tcPr>
          <w:p w14:paraId="0E0F2B5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118</w:t>
            </w:r>
          </w:p>
        </w:tc>
        <w:tc>
          <w:tcPr>
            <w:tcW w:w="1253" w:type="dxa"/>
            <w:tcBorders>
              <w:top w:val="nil"/>
              <w:left w:val="nil"/>
              <w:bottom w:val="nil"/>
              <w:right w:val="nil"/>
            </w:tcBorders>
            <w:shd w:val="clear" w:color="auto" w:fill="auto"/>
            <w:noWrap/>
            <w:vAlign w:val="bottom"/>
            <w:hideMark/>
          </w:tcPr>
          <w:p w14:paraId="76FE9F2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114</w:t>
            </w:r>
          </w:p>
        </w:tc>
        <w:tc>
          <w:tcPr>
            <w:tcW w:w="1254" w:type="dxa"/>
            <w:tcBorders>
              <w:top w:val="nil"/>
              <w:left w:val="nil"/>
              <w:bottom w:val="nil"/>
              <w:right w:val="nil"/>
            </w:tcBorders>
            <w:shd w:val="clear" w:color="auto" w:fill="DAEEF3" w:themeFill="accent5" w:themeFillTint="33"/>
            <w:noWrap/>
            <w:vAlign w:val="bottom"/>
            <w:hideMark/>
          </w:tcPr>
          <w:p w14:paraId="212C0F8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115</w:t>
            </w:r>
          </w:p>
        </w:tc>
        <w:tc>
          <w:tcPr>
            <w:tcW w:w="1254" w:type="dxa"/>
            <w:tcBorders>
              <w:top w:val="nil"/>
              <w:left w:val="nil"/>
              <w:bottom w:val="nil"/>
              <w:right w:val="nil"/>
            </w:tcBorders>
            <w:shd w:val="clear" w:color="auto" w:fill="auto"/>
            <w:noWrap/>
            <w:vAlign w:val="bottom"/>
            <w:hideMark/>
          </w:tcPr>
          <w:p w14:paraId="325D8E9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267</w:t>
            </w:r>
          </w:p>
        </w:tc>
        <w:tc>
          <w:tcPr>
            <w:tcW w:w="1253" w:type="dxa"/>
            <w:tcBorders>
              <w:top w:val="nil"/>
              <w:left w:val="nil"/>
              <w:bottom w:val="nil"/>
              <w:right w:val="nil"/>
            </w:tcBorders>
            <w:shd w:val="clear" w:color="auto" w:fill="DAEEF3" w:themeFill="accent5" w:themeFillTint="33"/>
            <w:noWrap/>
            <w:vAlign w:val="bottom"/>
            <w:hideMark/>
          </w:tcPr>
          <w:p w14:paraId="4A33B55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165</w:t>
            </w:r>
          </w:p>
        </w:tc>
        <w:tc>
          <w:tcPr>
            <w:tcW w:w="1254" w:type="dxa"/>
            <w:tcBorders>
              <w:top w:val="nil"/>
              <w:left w:val="nil"/>
              <w:bottom w:val="nil"/>
              <w:right w:val="nil"/>
            </w:tcBorders>
            <w:shd w:val="clear" w:color="auto" w:fill="auto"/>
            <w:noWrap/>
            <w:vAlign w:val="bottom"/>
            <w:hideMark/>
          </w:tcPr>
          <w:p w14:paraId="3CC14BF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61</w:t>
            </w:r>
          </w:p>
        </w:tc>
        <w:tc>
          <w:tcPr>
            <w:tcW w:w="1253" w:type="dxa"/>
            <w:tcBorders>
              <w:top w:val="nil"/>
              <w:left w:val="nil"/>
              <w:bottom w:val="nil"/>
              <w:right w:val="nil"/>
            </w:tcBorders>
            <w:shd w:val="clear" w:color="auto" w:fill="DAEEF3" w:themeFill="accent5" w:themeFillTint="33"/>
            <w:noWrap/>
            <w:vAlign w:val="bottom"/>
            <w:hideMark/>
          </w:tcPr>
          <w:p w14:paraId="5E8CD9E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107</w:t>
            </w:r>
          </w:p>
        </w:tc>
        <w:tc>
          <w:tcPr>
            <w:tcW w:w="1254" w:type="dxa"/>
            <w:tcBorders>
              <w:top w:val="nil"/>
              <w:left w:val="nil"/>
              <w:bottom w:val="nil"/>
              <w:right w:val="nil"/>
            </w:tcBorders>
            <w:shd w:val="clear" w:color="auto" w:fill="auto"/>
            <w:noWrap/>
            <w:vAlign w:val="bottom"/>
            <w:hideMark/>
          </w:tcPr>
          <w:p w14:paraId="5C90B7E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119</w:t>
            </w:r>
          </w:p>
        </w:tc>
        <w:tc>
          <w:tcPr>
            <w:tcW w:w="1254" w:type="dxa"/>
            <w:tcBorders>
              <w:top w:val="nil"/>
              <w:left w:val="nil"/>
              <w:bottom w:val="nil"/>
              <w:right w:val="single" w:sz="4" w:space="0" w:color="auto"/>
            </w:tcBorders>
            <w:shd w:val="clear" w:color="auto" w:fill="DAEEF3" w:themeFill="accent5" w:themeFillTint="33"/>
            <w:noWrap/>
            <w:vAlign w:val="bottom"/>
            <w:hideMark/>
          </w:tcPr>
          <w:p w14:paraId="36EC073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87</w:t>
            </w:r>
          </w:p>
        </w:tc>
      </w:tr>
      <w:tr w:rsidR="000E61DB" w:rsidRPr="001565F1" w14:paraId="5B7378C7"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9244D59"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70B810B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86</w:t>
            </w:r>
          </w:p>
        </w:tc>
        <w:tc>
          <w:tcPr>
            <w:tcW w:w="1254" w:type="dxa"/>
            <w:tcBorders>
              <w:top w:val="nil"/>
              <w:left w:val="nil"/>
              <w:bottom w:val="nil"/>
              <w:right w:val="nil"/>
            </w:tcBorders>
            <w:shd w:val="clear" w:color="auto" w:fill="DAEEF3" w:themeFill="accent5" w:themeFillTint="33"/>
            <w:noWrap/>
            <w:vAlign w:val="bottom"/>
            <w:hideMark/>
          </w:tcPr>
          <w:p w14:paraId="606738D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57</w:t>
            </w:r>
          </w:p>
        </w:tc>
        <w:tc>
          <w:tcPr>
            <w:tcW w:w="1253" w:type="dxa"/>
            <w:tcBorders>
              <w:top w:val="nil"/>
              <w:left w:val="nil"/>
              <w:bottom w:val="nil"/>
              <w:right w:val="nil"/>
            </w:tcBorders>
            <w:shd w:val="clear" w:color="auto" w:fill="auto"/>
            <w:noWrap/>
            <w:vAlign w:val="bottom"/>
            <w:hideMark/>
          </w:tcPr>
          <w:p w14:paraId="72FB841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63</w:t>
            </w:r>
          </w:p>
        </w:tc>
        <w:tc>
          <w:tcPr>
            <w:tcW w:w="1254" w:type="dxa"/>
            <w:tcBorders>
              <w:top w:val="nil"/>
              <w:left w:val="nil"/>
              <w:bottom w:val="nil"/>
              <w:right w:val="nil"/>
            </w:tcBorders>
            <w:shd w:val="clear" w:color="auto" w:fill="DAEEF3" w:themeFill="accent5" w:themeFillTint="33"/>
            <w:noWrap/>
            <w:vAlign w:val="bottom"/>
            <w:hideMark/>
          </w:tcPr>
          <w:p w14:paraId="3606475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58</w:t>
            </w:r>
          </w:p>
        </w:tc>
        <w:tc>
          <w:tcPr>
            <w:tcW w:w="1254" w:type="dxa"/>
            <w:tcBorders>
              <w:top w:val="nil"/>
              <w:left w:val="nil"/>
              <w:bottom w:val="nil"/>
              <w:right w:val="nil"/>
            </w:tcBorders>
            <w:shd w:val="clear" w:color="auto" w:fill="auto"/>
            <w:noWrap/>
            <w:vAlign w:val="bottom"/>
            <w:hideMark/>
          </w:tcPr>
          <w:p w14:paraId="29EC5D7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53</w:t>
            </w:r>
          </w:p>
        </w:tc>
        <w:tc>
          <w:tcPr>
            <w:tcW w:w="1253" w:type="dxa"/>
            <w:tcBorders>
              <w:top w:val="nil"/>
              <w:left w:val="nil"/>
              <w:bottom w:val="nil"/>
              <w:right w:val="nil"/>
            </w:tcBorders>
            <w:shd w:val="clear" w:color="auto" w:fill="DAEEF3" w:themeFill="accent5" w:themeFillTint="33"/>
            <w:noWrap/>
            <w:vAlign w:val="bottom"/>
            <w:hideMark/>
          </w:tcPr>
          <w:p w14:paraId="6BCAEEF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50</w:t>
            </w:r>
          </w:p>
        </w:tc>
        <w:tc>
          <w:tcPr>
            <w:tcW w:w="1254" w:type="dxa"/>
            <w:tcBorders>
              <w:top w:val="nil"/>
              <w:left w:val="nil"/>
              <w:bottom w:val="nil"/>
              <w:right w:val="nil"/>
            </w:tcBorders>
            <w:shd w:val="clear" w:color="auto" w:fill="auto"/>
            <w:noWrap/>
            <w:vAlign w:val="bottom"/>
            <w:hideMark/>
          </w:tcPr>
          <w:p w14:paraId="633EEEF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71</w:t>
            </w:r>
          </w:p>
        </w:tc>
        <w:tc>
          <w:tcPr>
            <w:tcW w:w="1253" w:type="dxa"/>
            <w:tcBorders>
              <w:top w:val="nil"/>
              <w:left w:val="nil"/>
              <w:bottom w:val="nil"/>
              <w:right w:val="nil"/>
            </w:tcBorders>
            <w:shd w:val="clear" w:color="auto" w:fill="DAEEF3" w:themeFill="accent5" w:themeFillTint="33"/>
            <w:noWrap/>
            <w:vAlign w:val="bottom"/>
            <w:hideMark/>
          </w:tcPr>
          <w:p w14:paraId="00628D9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60</w:t>
            </w:r>
          </w:p>
        </w:tc>
        <w:tc>
          <w:tcPr>
            <w:tcW w:w="1254" w:type="dxa"/>
            <w:tcBorders>
              <w:top w:val="nil"/>
              <w:left w:val="nil"/>
              <w:bottom w:val="nil"/>
              <w:right w:val="nil"/>
            </w:tcBorders>
            <w:shd w:val="clear" w:color="auto" w:fill="auto"/>
            <w:noWrap/>
            <w:vAlign w:val="bottom"/>
            <w:hideMark/>
          </w:tcPr>
          <w:p w14:paraId="5FDDB59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50</w:t>
            </w:r>
          </w:p>
        </w:tc>
        <w:tc>
          <w:tcPr>
            <w:tcW w:w="1254" w:type="dxa"/>
            <w:tcBorders>
              <w:top w:val="nil"/>
              <w:left w:val="nil"/>
              <w:bottom w:val="nil"/>
              <w:right w:val="single" w:sz="4" w:space="0" w:color="auto"/>
            </w:tcBorders>
            <w:shd w:val="clear" w:color="auto" w:fill="DAEEF3" w:themeFill="accent5" w:themeFillTint="33"/>
            <w:noWrap/>
            <w:vAlign w:val="bottom"/>
            <w:hideMark/>
          </w:tcPr>
          <w:p w14:paraId="578D1BE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62</w:t>
            </w:r>
          </w:p>
        </w:tc>
      </w:tr>
      <w:tr w:rsidR="00876EFC" w:rsidRPr="001565F1" w14:paraId="00DC405B"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7ED55AA"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66FC3FC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53</w:t>
            </w:r>
          </w:p>
        </w:tc>
        <w:tc>
          <w:tcPr>
            <w:tcW w:w="1254" w:type="dxa"/>
            <w:tcBorders>
              <w:top w:val="nil"/>
              <w:left w:val="nil"/>
              <w:bottom w:val="nil"/>
              <w:right w:val="nil"/>
            </w:tcBorders>
            <w:shd w:val="clear" w:color="auto" w:fill="DAEEF3" w:themeFill="accent5" w:themeFillTint="33"/>
            <w:noWrap/>
            <w:vAlign w:val="bottom"/>
            <w:hideMark/>
          </w:tcPr>
          <w:p w14:paraId="7626EFF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w:t>
            </w:r>
          </w:p>
        </w:tc>
        <w:tc>
          <w:tcPr>
            <w:tcW w:w="1253" w:type="dxa"/>
            <w:tcBorders>
              <w:top w:val="nil"/>
              <w:left w:val="nil"/>
              <w:bottom w:val="nil"/>
              <w:right w:val="nil"/>
            </w:tcBorders>
            <w:shd w:val="clear" w:color="auto" w:fill="auto"/>
            <w:noWrap/>
            <w:vAlign w:val="bottom"/>
            <w:hideMark/>
          </w:tcPr>
          <w:p w14:paraId="4ED16FB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36</w:t>
            </w:r>
          </w:p>
        </w:tc>
        <w:tc>
          <w:tcPr>
            <w:tcW w:w="1254" w:type="dxa"/>
            <w:tcBorders>
              <w:top w:val="nil"/>
              <w:left w:val="nil"/>
              <w:bottom w:val="nil"/>
              <w:right w:val="nil"/>
            </w:tcBorders>
            <w:shd w:val="clear" w:color="auto" w:fill="DAEEF3" w:themeFill="accent5" w:themeFillTint="33"/>
            <w:noWrap/>
            <w:vAlign w:val="bottom"/>
            <w:hideMark/>
          </w:tcPr>
          <w:p w14:paraId="53B778F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43</w:t>
            </w:r>
          </w:p>
        </w:tc>
        <w:tc>
          <w:tcPr>
            <w:tcW w:w="1254" w:type="dxa"/>
            <w:tcBorders>
              <w:top w:val="nil"/>
              <w:left w:val="nil"/>
              <w:bottom w:val="nil"/>
              <w:right w:val="nil"/>
            </w:tcBorders>
            <w:shd w:val="clear" w:color="auto" w:fill="auto"/>
            <w:noWrap/>
            <w:vAlign w:val="bottom"/>
            <w:hideMark/>
          </w:tcPr>
          <w:p w14:paraId="40A7E85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41</w:t>
            </w:r>
          </w:p>
        </w:tc>
        <w:tc>
          <w:tcPr>
            <w:tcW w:w="1253" w:type="dxa"/>
            <w:tcBorders>
              <w:top w:val="nil"/>
              <w:left w:val="nil"/>
              <w:bottom w:val="nil"/>
              <w:right w:val="nil"/>
            </w:tcBorders>
            <w:shd w:val="clear" w:color="auto" w:fill="DAEEF3" w:themeFill="accent5" w:themeFillTint="33"/>
            <w:noWrap/>
            <w:vAlign w:val="bottom"/>
            <w:hideMark/>
          </w:tcPr>
          <w:p w14:paraId="0488C77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w:t>
            </w:r>
          </w:p>
        </w:tc>
        <w:tc>
          <w:tcPr>
            <w:tcW w:w="1254" w:type="dxa"/>
            <w:tcBorders>
              <w:top w:val="nil"/>
              <w:left w:val="nil"/>
              <w:bottom w:val="nil"/>
              <w:right w:val="nil"/>
            </w:tcBorders>
            <w:shd w:val="clear" w:color="auto" w:fill="auto"/>
            <w:noWrap/>
            <w:vAlign w:val="bottom"/>
            <w:hideMark/>
          </w:tcPr>
          <w:p w14:paraId="0E59F29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40</w:t>
            </w:r>
          </w:p>
        </w:tc>
        <w:tc>
          <w:tcPr>
            <w:tcW w:w="1253" w:type="dxa"/>
            <w:tcBorders>
              <w:top w:val="nil"/>
              <w:left w:val="nil"/>
              <w:bottom w:val="nil"/>
              <w:right w:val="nil"/>
            </w:tcBorders>
            <w:shd w:val="clear" w:color="auto" w:fill="DAEEF3" w:themeFill="accent5" w:themeFillTint="33"/>
            <w:noWrap/>
            <w:vAlign w:val="bottom"/>
            <w:hideMark/>
          </w:tcPr>
          <w:p w14:paraId="2BBD093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38</w:t>
            </w:r>
          </w:p>
        </w:tc>
        <w:tc>
          <w:tcPr>
            <w:tcW w:w="1254" w:type="dxa"/>
            <w:tcBorders>
              <w:top w:val="nil"/>
              <w:left w:val="nil"/>
              <w:bottom w:val="nil"/>
              <w:right w:val="nil"/>
            </w:tcBorders>
            <w:shd w:val="clear" w:color="auto" w:fill="auto"/>
            <w:noWrap/>
            <w:vAlign w:val="bottom"/>
            <w:hideMark/>
          </w:tcPr>
          <w:p w14:paraId="0E18365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w:t>
            </w:r>
          </w:p>
        </w:tc>
        <w:tc>
          <w:tcPr>
            <w:tcW w:w="1254" w:type="dxa"/>
            <w:tcBorders>
              <w:top w:val="nil"/>
              <w:left w:val="nil"/>
              <w:bottom w:val="nil"/>
              <w:right w:val="single" w:sz="4" w:space="0" w:color="auto"/>
            </w:tcBorders>
            <w:shd w:val="clear" w:color="auto" w:fill="DAEEF3" w:themeFill="accent5" w:themeFillTint="33"/>
            <w:noWrap/>
            <w:vAlign w:val="bottom"/>
            <w:hideMark/>
          </w:tcPr>
          <w:p w14:paraId="51E95E8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40</w:t>
            </w:r>
          </w:p>
        </w:tc>
      </w:tr>
      <w:tr w:rsidR="00876EFC" w:rsidRPr="001565F1" w14:paraId="44273502"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C9D9856"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64E9D45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33</w:t>
            </w:r>
          </w:p>
        </w:tc>
        <w:tc>
          <w:tcPr>
            <w:tcW w:w="1254" w:type="dxa"/>
            <w:tcBorders>
              <w:top w:val="nil"/>
              <w:left w:val="nil"/>
              <w:bottom w:val="nil"/>
              <w:right w:val="nil"/>
            </w:tcBorders>
            <w:shd w:val="clear" w:color="auto" w:fill="DAEEF3" w:themeFill="accent5" w:themeFillTint="33"/>
            <w:noWrap/>
            <w:vAlign w:val="bottom"/>
            <w:hideMark/>
          </w:tcPr>
          <w:p w14:paraId="7983DC5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w:t>
            </w:r>
          </w:p>
        </w:tc>
        <w:tc>
          <w:tcPr>
            <w:tcW w:w="1253" w:type="dxa"/>
            <w:tcBorders>
              <w:top w:val="nil"/>
              <w:left w:val="nil"/>
              <w:bottom w:val="nil"/>
              <w:right w:val="nil"/>
            </w:tcBorders>
            <w:shd w:val="clear" w:color="auto" w:fill="auto"/>
            <w:noWrap/>
            <w:vAlign w:val="bottom"/>
            <w:hideMark/>
          </w:tcPr>
          <w:p w14:paraId="52A7F55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w:t>
            </w:r>
          </w:p>
        </w:tc>
        <w:tc>
          <w:tcPr>
            <w:tcW w:w="1254" w:type="dxa"/>
            <w:tcBorders>
              <w:top w:val="nil"/>
              <w:left w:val="nil"/>
              <w:bottom w:val="nil"/>
              <w:right w:val="nil"/>
            </w:tcBorders>
            <w:shd w:val="clear" w:color="auto" w:fill="DAEEF3" w:themeFill="accent5" w:themeFillTint="33"/>
            <w:noWrap/>
            <w:vAlign w:val="bottom"/>
            <w:hideMark/>
          </w:tcPr>
          <w:p w14:paraId="107B728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w:t>
            </w:r>
          </w:p>
        </w:tc>
        <w:tc>
          <w:tcPr>
            <w:tcW w:w="1254" w:type="dxa"/>
            <w:tcBorders>
              <w:top w:val="nil"/>
              <w:left w:val="nil"/>
              <w:bottom w:val="nil"/>
              <w:right w:val="nil"/>
            </w:tcBorders>
            <w:shd w:val="clear" w:color="auto" w:fill="auto"/>
            <w:noWrap/>
            <w:vAlign w:val="bottom"/>
            <w:hideMark/>
          </w:tcPr>
          <w:p w14:paraId="6AE67FA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253" w:type="dxa"/>
            <w:tcBorders>
              <w:top w:val="nil"/>
              <w:left w:val="nil"/>
              <w:bottom w:val="nil"/>
              <w:right w:val="nil"/>
            </w:tcBorders>
            <w:shd w:val="clear" w:color="auto" w:fill="DAEEF3" w:themeFill="accent5" w:themeFillTint="33"/>
            <w:noWrap/>
            <w:vAlign w:val="bottom"/>
            <w:hideMark/>
          </w:tcPr>
          <w:p w14:paraId="27BC5A9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w:t>
            </w:r>
          </w:p>
        </w:tc>
        <w:tc>
          <w:tcPr>
            <w:tcW w:w="1254" w:type="dxa"/>
            <w:tcBorders>
              <w:top w:val="nil"/>
              <w:left w:val="nil"/>
              <w:bottom w:val="nil"/>
              <w:right w:val="nil"/>
            </w:tcBorders>
            <w:shd w:val="clear" w:color="auto" w:fill="auto"/>
            <w:noWrap/>
            <w:vAlign w:val="bottom"/>
            <w:hideMark/>
          </w:tcPr>
          <w:p w14:paraId="7FEB8DB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31</w:t>
            </w:r>
          </w:p>
        </w:tc>
        <w:tc>
          <w:tcPr>
            <w:tcW w:w="1253" w:type="dxa"/>
            <w:tcBorders>
              <w:top w:val="nil"/>
              <w:left w:val="nil"/>
              <w:bottom w:val="nil"/>
              <w:right w:val="nil"/>
            </w:tcBorders>
            <w:shd w:val="clear" w:color="auto" w:fill="DAEEF3" w:themeFill="accent5" w:themeFillTint="33"/>
            <w:noWrap/>
            <w:vAlign w:val="bottom"/>
            <w:hideMark/>
          </w:tcPr>
          <w:p w14:paraId="0AA7CCC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w:t>
            </w:r>
          </w:p>
        </w:tc>
        <w:tc>
          <w:tcPr>
            <w:tcW w:w="1254" w:type="dxa"/>
            <w:tcBorders>
              <w:top w:val="nil"/>
              <w:left w:val="nil"/>
              <w:bottom w:val="nil"/>
              <w:right w:val="nil"/>
            </w:tcBorders>
            <w:shd w:val="clear" w:color="auto" w:fill="auto"/>
            <w:noWrap/>
            <w:vAlign w:val="bottom"/>
            <w:hideMark/>
          </w:tcPr>
          <w:p w14:paraId="626752A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w:t>
            </w:r>
          </w:p>
        </w:tc>
        <w:tc>
          <w:tcPr>
            <w:tcW w:w="1254" w:type="dxa"/>
            <w:tcBorders>
              <w:top w:val="nil"/>
              <w:left w:val="nil"/>
              <w:bottom w:val="nil"/>
              <w:right w:val="single" w:sz="4" w:space="0" w:color="auto"/>
            </w:tcBorders>
            <w:shd w:val="clear" w:color="auto" w:fill="DAEEF3" w:themeFill="accent5" w:themeFillTint="33"/>
            <w:noWrap/>
            <w:vAlign w:val="bottom"/>
            <w:hideMark/>
          </w:tcPr>
          <w:p w14:paraId="30DA5CC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w:t>
            </w:r>
          </w:p>
        </w:tc>
      </w:tr>
      <w:tr w:rsidR="00876EFC" w:rsidRPr="00CE1D31" w14:paraId="0F4CA204" w14:textId="77777777" w:rsidTr="00561E4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2F297654" w14:textId="77777777" w:rsidR="00876EFC" w:rsidRPr="00CE1D31" w:rsidRDefault="00876EFC" w:rsidP="00CE2FDF">
            <w:pPr>
              <w:spacing w:before="0" w:line="276" w:lineRule="auto"/>
              <w:rPr>
                <w:rFonts w:eastAsia="Times New Roman" w:cs="Arial"/>
                <w:b/>
                <w:color w:val="000000"/>
                <w:lang w:eastAsia="en-AU"/>
              </w:rPr>
            </w:pPr>
            <w:r w:rsidRPr="00CE1D31">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64AD3DDE"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202</w:t>
            </w:r>
          </w:p>
        </w:tc>
        <w:tc>
          <w:tcPr>
            <w:tcW w:w="1254" w:type="dxa"/>
            <w:tcBorders>
              <w:top w:val="nil"/>
              <w:left w:val="nil"/>
              <w:bottom w:val="single" w:sz="4" w:space="0" w:color="auto"/>
              <w:right w:val="nil"/>
            </w:tcBorders>
            <w:shd w:val="clear" w:color="auto" w:fill="DAEEF3" w:themeFill="accent5" w:themeFillTint="33"/>
            <w:noWrap/>
            <w:vAlign w:val="bottom"/>
            <w:hideMark/>
          </w:tcPr>
          <w:p w14:paraId="652B672E"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175</w:t>
            </w:r>
          </w:p>
        </w:tc>
        <w:tc>
          <w:tcPr>
            <w:tcW w:w="1253" w:type="dxa"/>
            <w:tcBorders>
              <w:top w:val="nil"/>
              <w:left w:val="nil"/>
              <w:bottom w:val="single" w:sz="4" w:space="0" w:color="auto"/>
              <w:right w:val="nil"/>
            </w:tcBorders>
            <w:shd w:val="clear" w:color="auto" w:fill="auto"/>
            <w:noWrap/>
            <w:vAlign w:val="bottom"/>
            <w:hideMark/>
          </w:tcPr>
          <w:p w14:paraId="4D224160"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177</w:t>
            </w:r>
          </w:p>
        </w:tc>
        <w:tc>
          <w:tcPr>
            <w:tcW w:w="1254" w:type="dxa"/>
            <w:tcBorders>
              <w:top w:val="nil"/>
              <w:left w:val="nil"/>
              <w:bottom w:val="single" w:sz="4" w:space="0" w:color="auto"/>
              <w:right w:val="nil"/>
            </w:tcBorders>
            <w:shd w:val="clear" w:color="auto" w:fill="DAEEF3" w:themeFill="accent5" w:themeFillTint="33"/>
            <w:noWrap/>
            <w:vAlign w:val="bottom"/>
            <w:hideMark/>
          </w:tcPr>
          <w:p w14:paraId="3632EEC5"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173</w:t>
            </w:r>
          </w:p>
        </w:tc>
        <w:tc>
          <w:tcPr>
            <w:tcW w:w="1254" w:type="dxa"/>
            <w:tcBorders>
              <w:top w:val="nil"/>
              <w:left w:val="nil"/>
              <w:bottom w:val="single" w:sz="4" w:space="0" w:color="auto"/>
              <w:right w:val="nil"/>
            </w:tcBorders>
            <w:shd w:val="clear" w:color="auto" w:fill="auto"/>
            <w:noWrap/>
            <w:vAlign w:val="bottom"/>
            <w:hideMark/>
          </w:tcPr>
          <w:p w14:paraId="5AFECECF"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320</w:t>
            </w:r>
          </w:p>
        </w:tc>
        <w:tc>
          <w:tcPr>
            <w:tcW w:w="1253" w:type="dxa"/>
            <w:tcBorders>
              <w:top w:val="nil"/>
              <w:left w:val="nil"/>
              <w:bottom w:val="single" w:sz="4" w:space="0" w:color="auto"/>
              <w:right w:val="nil"/>
            </w:tcBorders>
            <w:shd w:val="clear" w:color="auto" w:fill="DAEEF3" w:themeFill="accent5" w:themeFillTint="33"/>
            <w:noWrap/>
            <w:vAlign w:val="bottom"/>
            <w:hideMark/>
          </w:tcPr>
          <w:p w14:paraId="7C50D3D5"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215</w:t>
            </w:r>
          </w:p>
        </w:tc>
        <w:tc>
          <w:tcPr>
            <w:tcW w:w="1254" w:type="dxa"/>
            <w:tcBorders>
              <w:top w:val="nil"/>
              <w:left w:val="nil"/>
              <w:bottom w:val="single" w:sz="4" w:space="0" w:color="auto"/>
              <w:right w:val="nil"/>
            </w:tcBorders>
            <w:shd w:val="clear" w:color="auto" w:fill="auto"/>
            <w:noWrap/>
            <w:vAlign w:val="bottom"/>
            <w:hideMark/>
          </w:tcPr>
          <w:p w14:paraId="43DB7D27"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132</w:t>
            </w:r>
          </w:p>
        </w:tc>
        <w:tc>
          <w:tcPr>
            <w:tcW w:w="1253" w:type="dxa"/>
            <w:tcBorders>
              <w:top w:val="nil"/>
              <w:left w:val="nil"/>
              <w:bottom w:val="single" w:sz="4" w:space="0" w:color="auto"/>
              <w:right w:val="nil"/>
            </w:tcBorders>
            <w:shd w:val="clear" w:color="auto" w:fill="DAEEF3" w:themeFill="accent5" w:themeFillTint="33"/>
            <w:noWrap/>
            <w:vAlign w:val="bottom"/>
            <w:hideMark/>
          </w:tcPr>
          <w:p w14:paraId="565D14DD"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167</w:t>
            </w:r>
          </w:p>
        </w:tc>
        <w:tc>
          <w:tcPr>
            <w:tcW w:w="1254" w:type="dxa"/>
            <w:tcBorders>
              <w:top w:val="nil"/>
              <w:left w:val="nil"/>
              <w:bottom w:val="single" w:sz="4" w:space="0" w:color="auto"/>
              <w:right w:val="nil"/>
            </w:tcBorders>
            <w:shd w:val="clear" w:color="auto" w:fill="auto"/>
            <w:noWrap/>
            <w:vAlign w:val="bottom"/>
            <w:hideMark/>
          </w:tcPr>
          <w:p w14:paraId="4BF63801"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169</w:t>
            </w:r>
          </w:p>
        </w:tc>
        <w:tc>
          <w:tcPr>
            <w:tcW w:w="1254" w:type="dxa"/>
            <w:tcBorders>
              <w:top w:val="nil"/>
              <w:left w:val="nil"/>
              <w:bottom w:val="single" w:sz="4" w:space="0" w:color="auto"/>
              <w:right w:val="single" w:sz="4" w:space="0" w:color="auto"/>
            </w:tcBorders>
            <w:shd w:val="clear" w:color="auto" w:fill="DAEEF3" w:themeFill="accent5" w:themeFillTint="33"/>
            <w:noWrap/>
            <w:vAlign w:val="bottom"/>
            <w:hideMark/>
          </w:tcPr>
          <w:p w14:paraId="3FCF5069"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149</w:t>
            </w:r>
          </w:p>
        </w:tc>
      </w:tr>
      <w:tr w:rsidR="00876EFC" w:rsidRPr="00CE1D31" w14:paraId="69D21203"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9F02D14" w14:textId="77777777" w:rsidR="00876EFC" w:rsidRPr="00CE1D31" w:rsidRDefault="00876EFC" w:rsidP="00CE2FDF">
            <w:pPr>
              <w:spacing w:before="0" w:line="276" w:lineRule="auto"/>
              <w:rPr>
                <w:rFonts w:eastAsia="Times New Roman" w:cs="Arial"/>
                <w:b/>
                <w:color w:val="000000"/>
                <w:lang w:eastAsia="en-AU"/>
              </w:rPr>
            </w:pPr>
            <w:r w:rsidRPr="00CE1D31">
              <w:rPr>
                <w:rFonts w:eastAsia="Times New Roman" w:cs="Arial"/>
                <w:b/>
                <w:color w:val="000000"/>
                <w:lang w:eastAsia="en-AU"/>
              </w:rPr>
              <w:t>Physical Abuse</w:t>
            </w:r>
          </w:p>
        </w:tc>
        <w:tc>
          <w:tcPr>
            <w:tcW w:w="1253" w:type="dxa"/>
            <w:tcBorders>
              <w:top w:val="nil"/>
              <w:left w:val="nil"/>
              <w:bottom w:val="nil"/>
              <w:right w:val="nil"/>
            </w:tcBorders>
            <w:shd w:val="clear" w:color="auto" w:fill="auto"/>
            <w:noWrap/>
            <w:vAlign w:val="bottom"/>
            <w:hideMark/>
          </w:tcPr>
          <w:p w14:paraId="5DFDFF87"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E5DFEC" w:themeFill="accent4" w:themeFillTint="33"/>
            <w:noWrap/>
            <w:vAlign w:val="bottom"/>
            <w:hideMark/>
          </w:tcPr>
          <w:p w14:paraId="7440BEC6" w14:textId="77777777" w:rsidR="00876EFC" w:rsidRPr="00CE1D31"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auto"/>
            <w:noWrap/>
            <w:vAlign w:val="bottom"/>
            <w:hideMark/>
          </w:tcPr>
          <w:p w14:paraId="72E39EDF"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E5DFEC" w:themeFill="accent4" w:themeFillTint="33"/>
            <w:noWrap/>
            <w:vAlign w:val="bottom"/>
            <w:hideMark/>
          </w:tcPr>
          <w:p w14:paraId="2152D56A"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01D1F57D" w14:textId="77777777" w:rsidR="00876EFC" w:rsidRPr="00CE1D31"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E5DFEC" w:themeFill="accent4" w:themeFillTint="33"/>
            <w:noWrap/>
            <w:vAlign w:val="bottom"/>
            <w:hideMark/>
          </w:tcPr>
          <w:p w14:paraId="6EC375CD"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5B8B3EEC" w14:textId="77777777" w:rsidR="00876EFC" w:rsidRPr="00CE1D31"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E5DFEC" w:themeFill="accent4" w:themeFillTint="33"/>
            <w:noWrap/>
            <w:vAlign w:val="bottom"/>
            <w:hideMark/>
          </w:tcPr>
          <w:p w14:paraId="07F9C179"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137FFB5A"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single" w:sz="4" w:space="0" w:color="auto"/>
            </w:tcBorders>
            <w:shd w:val="clear" w:color="auto" w:fill="E5DFEC" w:themeFill="accent4" w:themeFillTint="33"/>
            <w:noWrap/>
            <w:vAlign w:val="bottom"/>
            <w:hideMark/>
          </w:tcPr>
          <w:p w14:paraId="2FDA6E9C" w14:textId="77777777" w:rsidR="00876EFC" w:rsidRPr="00CE1D31" w:rsidRDefault="00876EFC" w:rsidP="00CE2FDF">
            <w:pPr>
              <w:spacing w:before="0" w:line="276" w:lineRule="auto"/>
              <w:jc w:val="right"/>
              <w:rPr>
                <w:rFonts w:eastAsia="Times New Roman" w:cs="Arial"/>
                <w:b/>
                <w:color w:val="FF0000"/>
                <w:lang w:eastAsia="en-AU"/>
              </w:rPr>
            </w:pPr>
          </w:p>
        </w:tc>
      </w:tr>
      <w:tr w:rsidR="00876EFC" w:rsidRPr="001565F1" w14:paraId="07B9715A"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B09F7E6"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0878013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178</w:t>
            </w:r>
          </w:p>
        </w:tc>
        <w:tc>
          <w:tcPr>
            <w:tcW w:w="1254" w:type="dxa"/>
            <w:tcBorders>
              <w:top w:val="nil"/>
              <w:left w:val="nil"/>
              <w:bottom w:val="nil"/>
              <w:right w:val="nil"/>
            </w:tcBorders>
            <w:shd w:val="clear" w:color="auto" w:fill="E5DFEC" w:themeFill="accent4" w:themeFillTint="33"/>
            <w:noWrap/>
            <w:vAlign w:val="bottom"/>
            <w:hideMark/>
          </w:tcPr>
          <w:p w14:paraId="7ED403A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153</w:t>
            </w:r>
          </w:p>
        </w:tc>
        <w:tc>
          <w:tcPr>
            <w:tcW w:w="1253" w:type="dxa"/>
            <w:tcBorders>
              <w:top w:val="nil"/>
              <w:left w:val="nil"/>
              <w:bottom w:val="nil"/>
              <w:right w:val="nil"/>
            </w:tcBorders>
            <w:shd w:val="clear" w:color="auto" w:fill="auto"/>
            <w:noWrap/>
            <w:vAlign w:val="bottom"/>
            <w:hideMark/>
          </w:tcPr>
          <w:p w14:paraId="269C377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148</w:t>
            </w:r>
          </w:p>
        </w:tc>
        <w:tc>
          <w:tcPr>
            <w:tcW w:w="1254" w:type="dxa"/>
            <w:tcBorders>
              <w:top w:val="nil"/>
              <w:left w:val="nil"/>
              <w:bottom w:val="nil"/>
              <w:right w:val="nil"/>
            </w:tcBorders>
            <w:shd w:val="clear" w:color="auto" w:fill="E5DFEC" w:themeFill="accent4" w:themeFillTint="33"/>
            <w:noWrap/>
            <w:vAlign w:val="bottom"/>
            <w:hideMark/>
          </w:tcPr>
          <w:p w14:paraId="5208B35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161</w:t>
            </w:r>
          </w:p>
        </w:tc>
        <w:tc>
          <w:tcPr>
            <w:tcW w:w="1254" w:type="dxa"/>
            <w:tcBorders>
              <w:top w:val="nil"/>
              <w:left w:val="nil"/>
              <w:bottom w:val="nil"/>
              <w:right w:val="nil"/>
            </w:tcBorders>
            <w:shd w:val="clear" w:color="auto" w:fill="auto"/>
            <w:noWrap/>
            <w:vAlign w:val="bottom"/>
            <w:hideMark/>
          </w:tcPr>
          <w:p w14:paraId="32D5B62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105</w:t>
            </w:r>
          </w:p>
        </w:tc>
        <w:tc>
          <w:tcPr>
            <w:tcW w:w="1253" w:type="dxa"/>
            <w:tcBorders>
              <w:top w:val="nil"/>
              <w:left w:val="nil"/>
              <w:bottom w:val="nil"/>
              <w:right w:val="nil"/>
            </w:tcBorders>
            <w:shd w:val="clear" w:color="auto" w:fill="E5DFEC" w:themeFill="accent4" w:themeFillTint="33"/>
            <w:noWrap/>
            <w:vAlign w:val="bottom"/>
            <w:hideMark/>
          </w:tcPr>
          <w:p w14:paraId="4BBAA97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209</w:t>
            </w:r>
          </w:p>
        </w:tc>
        <w:tc>
          <w:tcPr>
            <w:tcW w:w="1254" w:type="dxa"/>
            <w:tcBorders>
              <w:top w:val="nil"/>
              <w:left w:val="nil"/>
              <w:bottom w:val="nil"/>
              <w:right w:val="nil"/>
            </w:tcBorders>
            <w:shd w:val="clear" w:color="auto" w:fill="auto"/>
            <w:noWrap/>
            <w:vAlign w:val="bottom"/>
            <w:hideMark/>
          </w:tcPr>
          <w:p w14:paraId="5303771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260</w:t>
            </w:r>
          </w:p>
        </w:tc>
        <w:tc>
          <w:tcPr>
            <w:tcW w:w="1253" w:type="dxa"/>
            <w:tcBorders>
              <w:top w:val="nil"/>
              <w:left w:val="nil"/>
              <w:bottom w:val="nil"/>
              <w:right w:val="nil"/>
            </w:tcBorders>
            <w:shd w:val="clear" w:color="auto" w:fill="E5DFEC" w:themeFill="accent4" w:themeFillTint="33"/>
            <w:noWrap/>
            <w:vAlign w:val="bottom"/>
            <w:hideMark/>
          </w:tcPr>
          <w:p w14:paraId="46FCB72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231</w:t>
            </w:r>
          </w:p>
        </w:tc>
        <w:tc>
          <w:tcPr>
            <w:tcW w:w="1254" w:type="dxa"/>
            <w:tcBorders>
              <w:top w:val="nil"/>
              <w:left w:val="nil"/>
              <w:bottom w:val="nil"/>
              <w:right w:val="nil"/>
            </w:tcBorders>
            <w:shd w:val="clear" w:color="auto" w:fill="auto"/>
            <w:noWrap/>
            <w:vAlign w:val="bottom"/>
            <w:hideMark/>
          </w:tcPr>
          <w:p w14:paraId="680B081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251</w:t>
            </w:r>
          </w:p>
        </w:tc>
        <w:tc>
          <w:tcPr>
            <w:tcW w:w="1254" w:type="dxa"/>
            <w:tcBorders>
              <w:top w:val="nil"/>
              <w:left w:val="nil"/>
              <w:bottom w:val="nil"/>
              <w:right w:val="single" w:sz="4" w:space="0" w:color="auto"/>
            </w:tcBorders>
            <w:shd w:val="clear" w:color="auto" w:fill="E5DFEC" w:themeFill="accent4" w:themeFillTint="33"/>
            <w:noWrap/>
            <w:vAlign w:val="bottom"/>
            <w:hideMark/>
          </w:tcPr>
          <w:p w14:paraId="0A41572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213</w:t>
            </w:r>
          </w:p>
        </w:tc>
      </w:tr>
      <w:tr w:rsidR="000E61DB" w:rsidRPr="001565F1" w14:paraId="0792B8B4"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03E38AC"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1E111A6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204</w:t>
            </w:r>
          </w:p>
        </w:tc>
        <w:tc>
          <w:tcPr>
            <w:tcW w:w="1254" w:type="dxa"/>
            <w:tcBorders>
              <w:top w:val="nil"/>
              <w:left w:val="nil"/>
              <w:bottom w:val="nil"/>
              <w:right w:val="nil"/>
            </w:tcBorders>
            <w:shd w:val="clear" w:color="auto" w:fill="E5DFEC" w:themeFill="accent4" w:themeFillTint="33"/>
            <w:noWrap/>
            <w:vAlign w:val="bottom"/>
            <w:hideMark/>
          </w:tcPr>
          <w:p w14:paraId="112F3F2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178</w:t>
            </w:r>
          </w:p>
        </w:tc>
        <w:tc>
          <w:tcPr>
            <w:tcW w:w="1253" w:type="dxa"/>
            <w:tcBorders>
              <w:top w:val="nil"/>
              <w:left w:val="nil"/>
              <w:bottom w:val="nil"/>
              <w:right w:val="nil"/>
            </w:tcBorders>
            <w:shd w:val="clear" w:color="auto" w:fill="auto"/>
            <w:noWrap/>
            <w:vAlign w:val="bottom"/>
            <w:hideMark/>
          </w:tcPr>
          <w:p w14:paraId="5C95C10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128</w:t>
            </w:r>
          </w:p>
        </w:tc>
        <w:tc>
          <w:tcPr>
            <w:tcW w:w="1254" w:type="dxa"/>
            <w:tcBorders>
              <w:top w:val="nil"/>
              <w:left w:val="nil"/>
              <w:bottom w:val="nil"/>
              <w:right w:val="nil"/>
            </w:tcBorders>
            <w:shd w:val="clear" w:color="auto" w:fill="E5DFEC" w:themeFill="accent4" w:themeFillTint="33"/>
            <w:noWrap/>
            <w:vAlign w:val="bottom"/>
            <w:hideMark/>
          </w:tcPr>
          <w:p w14:paraId="781B4D4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141</w:t>
            </w:r>
          </w:p>
        </w:tc>
        <w:tc>
          <w:tcPr>
            <w:tcW w:w="1254" w:type="dxa"/>
            <w:tcBorders>
              <w:top w:val="nil"/>
              <w:left w:val="nil"/>
              <w:bottom w:val="nil"/>
              <w:right w:val="nil"/>
            </w:tcBorders>
            <w:shd w:val="clear" w:color="auto" w:fill="auto"/>
            <w:noWrap/>
            <w:vAlign w:val="bottom"/>
            <w:hideMark/>
          </w:tcPr>
          <w:p w14:paraId="4A6FD8C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162</w:t>
            </w:r>
          </w:p>
        </w:tc>
        <w:tc>
          <w:tcPr>
            <w:tcW w:w="1253" w:type="dxa"/>
            <w:tcBorders>
              <w:top w:val="nil"/>
              <w:left w:val="nil"/>
              <w:bottom w:val="nil"/>
              <w:right w:val="nil"/>
            </w:tcBorders>
            <w:shd w:val="clear" w:color="auto" w:fill="E5DFEC" w:themeFill="accent4" w:themeFillTint="33"/>
            <w:noWrap/>
            <w:vAlign w:val="bottom"/>
            <w:hideMark/>
          </w:tcPr>
          <w:p w14:paraId="3FDB670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172</w:t>
            </w:r>
          </w:p>
        </w:tc>
        <w:tc>
          <w:tcPr>
            <w:tcW w:w="1254" w:type="dxa"/>
            <w:tcBorders>
              <w:top w:val="nil"/>
              <w:left w:val="nil"/>
              <w:bottom w:val="nil"/>
              <w:right w:val="nil"/>
            </w:tcBorders>
            <w:shd w:val="clear" w:color="auto" w:fill="auto"/>
            <w:noWrap/>
            <w:vAlign w:val="bottom"/>
            <w:hideMark/>
          </w:tcPr>
          <w:p w14:paraId="5F0BC47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147</w:t>
            </w:r>
          </w:p>
        </w:tc>
        <w:tc>
          <w:tcPr>
            <w:tcW w:w="1253" w:type="dxa"/>
            <w:tcBorders>
              <w:top w:val="nil"/>
              <w:left w:val="nil"/>
              <w:bottom w:val="nil"/>
              <w:right w:val="nil"/>
            </w:tcBorders>
            <w:shd w:val="clear" w:color="auto" w:fill="E5DFEC" w:themeFill="accent4" w:themeFillTint="33"/>
            <w:noWrap/>
            <w:vAlign w:val="bottom"/>
            <w:hideMark/>
          </w:tcPr>
          <w:p w14:paraId="617C0189" w14:textId="77777777" w:rsidR="000E61DB" w:rsidRPr="001565F1" w:rsidRDefault="00F83F70" w:rsidP="00CE2FDF">
            <w:pPr>
              <w:spacing w:before="0" w:line="276" w:lineRule="auto"/>
              <w:jc w:val="right"/>
              <w:rPr>
                <w:rFonts w:eastAsia="Times New Roman" w:cs="Arial"/>
                <w:color w:val="000000"/>
                <w:lang w:eastAsia="en-AU"/>
              </w:rPr>
            </w:pPr>
            <w:r>
              <w:rPr>
                <w:rFonts w:eastAsia="Times New Roman" w:cs="Arial"/>
                <w:color w:val="000000"/>
                <w:lang w:eastAsia="en-AU"/>
              </w:rPr>
              <w:t>1</w:t>
            </w:r>
            <w:r w:rsidR="000E61DB" w:rsidRPr="001565F1">
              <w:rPr>
                <w:rFonts w:eastAsia="Times New Roman" w:cs="Arial"/>
                <w:color w:val="000000"/>
                <w:lang w:eastAsia="en-AU"/>
              </w:rPr>
              <w:t>96</w:t>
            </w:r>
          </w:p>
        </w:tc>
        <w:tc>
          <w:tcPr>
            <w:tcW w:w="1254" w:type="dxa"/>
            <w:tcBorders>
              <w:top w:val="nil"/>
              <w:left w:val="nil"/>
              <w:bottom w:val="nil"/>
              <w:right w:val="nil"/>
            </w:tcBorders>
            <w:shd w:val="clear" w:color="auto" w:fill="auto"/>
            <w:noWrap/>
            <w:vAlign w:val="bottom"/>
            <w:hideMark/>
          </w:tcPr>
          <w:p w14:paraId="6D53C07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191</w:t>
            </w:r>
          </w:p>
        </w:tc>
        <w:tc>
          <w:tcPr>
            <w:tcW w:w="1254" w:type="dxa"/>
            <w:tcBorders>
              <w:top w:val="nil"/>
              <w:left w:val="nil"/>
              <w:bottom w:val="nil"/>
              <w:right w:val="single" w:sz="4" w:space="0" w:color="auto"/>
            </w:tcBorders>
            <w:shd w:val="clear" w:color="auto" w:fill="E5DFEC" w:themeFill="accent4" w:themeFillTint="33"/>
            <w:noWrap/>
            <w:vAlign w:val="bottom"/>
            <w:hideMark/>
          </w:tcPr>
          <w:p w14:paraId="410C151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214</w:t>
            </w:r>
          </w:p>
        </w:tc>
      </w:tr>
      <w:tr w:rsidR="00876EFC" w:rsidRPr="001565F1" w14:paraId="079FB4B5"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2C4899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68DF222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115</w:t>
            </w:r>
          </w:p>
        </w:tc>
        <w:tc>
          <w:tcPr>
            <w:tcW w:w="1254" w:type="dxa"/>
            <w:tcBorders>
              <w:top w:val="nil"/>
              <w:left w:val="nil"/>
              <w:bottom w:val="nil"/>
              <w:right w:val="nil"/>
            </w:tcBorders>
            <w:shd w:val="clear" w:color="auto" w:fill="E5DFEC" w:themeFill="accent4" w:themeFillTint="33"/>
            <w:noWrap/>
            <w:vAlign w:val="bottom"/>
            <w:hideMark/>
          </w:tcPr>
          <w:p w14:paraId="532ED44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119</w:t>
            </w:r>
          </w:p>
        </w:tc>
        <w:tc>
          <w:tcPr>
            <w:tcW w:w="1253" w:type="dxa"/>
            <w:tcBorders>
              <w:top w:val="nil"/>
              <w:left w:val="nil"/>
              <w:bottom w:val="nil"/>
              <w:right w:val="nil"/>
            </w:tcBorders>
            <w:shd w:val="clear" w:color="auto" w:fill="auto"/>
            <w:noWrap/>
            <w:vAlign w:val="bottom"/>
            <w:hideMark/>
          </w:tcPr>
          <w:p w14:paraId="469300B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w:t>
            </w:r>
          </w:p>
        </w:tc>
        <w:tc>
          <w:tcPr>
            <w:tcW w:w="1254" w:type="dxa"/>
            <w:tcBorders>
              <w:top w:val="nil"/>
              <w:left w:val="nil"/>
              <w:bottom w:val="nil"/>
              <w:right w:val="nil"/>
            </w:tcBorders>
            <w:shd w:val="clear" w:color="auto" w:fill="E5DFEC" w:themeFill="accent4" w:themeFillTint="33"/>
            <w:noWrap/>
            <w:vAlign w:val="bottom"/>
            <w:hideMark/>
          </w:tcPr>
          <w:p w14:paraId="108F1A3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89</w:t>
            </w:r>
          </w:p>
        </w:tc>
        <w:tc>
          <w:tcPr>
            <w:tcW w:w="1254" w:type="dxa"/>
            <w:tcBorders>
              <w:top w:val="nil"/>
              <w:left w:val="nil"/>
              <w:bottom w:val="nil"/>
              <w:right w:val="nil"/>
            </w:tcBorders>
            <w:shd w:val="clear" w:color="auto" w:fill="auto"/>
            <w:noWrap/>
            <w:vAlign w:val="bottom"/>
            <w:hideMark/>
          </w:tcPr>
          <w:p w14:paraId="5CEC75A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116</w:t>
            </w:r>
          </w:p>
        </w:tc>
        <w:tc>
          <w:tcPr>
            <w:tcW w:w="1253" w:type="dxa"/>
            <w:tcBorders>
              <w:top w:val="nil"/>
              <w:left w:val="nil"/>
              <w:bottom w:val="nil"/>
              <w:right w:val="nil"/>
            </w:tcBorders>
            <w:shd w:val="clear" w:color="auto" w:fill="E5DFEC" w:themeFill="accent4" w:themeFillTint="33"/>
            <w:noWrap/>
            <w:vAlign w:val="bottom"/>
            <w:hideMark/>
          </w:tcPr>
          <w:p w14:paraId="7669ABA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102</w:t>
            </w:r>
          </w:p>
        </w:tc>
        <w:tc>
          <w:tcPr>
            <w:tcW w:w="1254" w:type="dxa"/>
            <w:tcBorders>
              <w:top w:val="nil"/>
              <w:left w:val="nil"/>
              <w:bottom w:val="nil"/>
              <w:right w:val="nil"/>
            </w:tcBorders>
            <w:shd w:val="clear" w:color="auto" w:fill="auto"/>
            <w:noWrap/>
            <w:vAlign w:val="bottom"/>
            <w:hideMark/>
          </w:tcPr>
          <w:p w14:paraId="4EEB23C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91</w:t>
            </w:r>
          </w:p>
        </w:tc>
        <w:tc>
          <w:tcPr>
            <w:tcW w:w="1253" w:type="dxa"/>
            <w:tcBorders>
              <w:top w:val="nil"/>
              <w:left w:val="nil"/>
              <w:bottom w:val="nil"/>
              <w:right w:val="nil"/>
            </w:tcBorders>
            <w:shd w:val="clear" w:color="auto" w:fill="E5DFEC" w:themeFill="accent4" w:themeFillTint="33"/>
            <w:noWrap/>
            <w:vAlign w:val="bottom"/>
            <w:hideMark/>
          </w:tcPr>
          <w:p w14:paraId="2DC8316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94</w:t>
            </w:r>
          </w:p>
        </w:tc>
        <w:tc>
          <w:tcPr>
            <w:tcW w:w="1254" w:type="dxa"/>
            <w:tcBorders>
              <w:top w:val="nil"/>
              <w:left w:val="nil"/>
              <w:bottom w:val="nil"/>
              <w:right w:val="nil"/>
            </w:tcBorders>
            <w:shd w:val="clear" w:color="auto" w:fill="auto"/>
            <w:noWrap/>
            <w:vAlign w:val="bottom"/>
            <w:hideMark/>
          </w:tcPr>
          <w:p w14:paraId="741B36E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98</w:t>
            </w:r>
          </w:p>
        </w:tc>
        <w:tc>
          <w:tcPr>
            <w:tcW w:w="1254" w:type="dxa"/>
            <w:tcBorders>
              <w:top w:val="nil"/>
              <w:left w:val="nil"/>
              <w:bottom w:val="nil"/>
              <w:right w:val="single" w:sz="4" w:space="0" w:color="auto"/>
            </w:tcBorders>
            <w:shd w:val="clear" w:color="auto" w:fill="E5DFEC" w:themeFill="accent4" w:themeFillTint="33"/>
            <w:noWrap/>
            <w:vAlign w:val="bottom"/>
            <w:hideMark/>
          </w:tcPr>
          <w:p w14:paraId="5315D52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148</w:t>
            </w:r>
          </w:p>
        </w:tc>
      </w:tr>
      <w:tr w:rsidR="00876EFC" w:rsidRPr="001565F1" w14:paraId="378A3608"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4E42E51"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10D1938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89</w:t>
            </w:r>
          </w:p>
        </w:tc>
        <w:tc>
          <w:tcPr>
            <w:tcW w:w="1254" w:type="dxa"/>
            <w:tcBorders>
              <w:top w:val="nil"/>
              <w:left w:val="nil"/>
              <w:bottom w:val="nil"/>
              <w:right w:val="nil"/>
            </w:tcBorders>
            <w:shd w:val="clear" w:color="auto" w:fill="E5DFEC" w:themeFill="accent4" w:themeFillTint="33"/>
            <w:noWrap/>
            <w:vAlign w:val="bottom"/>
            <w:hideMark/>
          </w:tcPr>
          <w:p w14:paraId="5314403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w:t>
            </w:r>
          </w:p>
        </w:tc>
        <w:tc>
          <w:tcPr>
            <w:tcW w:w="1253" w:type="dxa"/>
            <w:tcBorders>
              <w:top w:val="nil"/>
              <w:left w:val="nil"/>
              <w:bottom w:val="nil"/>
              <w:right w:val="nil"/>
            </w:tcBorders>
            <w:shd w:val="clear" w:color="auto" w:fill="auto"/>
            <w:noWrap/>
            <w:vAlign w:val="bottom"/>
            <w:hideMark/>
          </w:tcPr>
          <w:p w14:paraId="4AF01F9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35</w:t>
            </w:r>
          </w:p>
        </w:tc>
        <w:tc>
          <w:tcPr>
            <w:tcW w:w="1254" w:type="dxa"/>
            <w:tcBorders>
              <w:top w:val="nil"/>
              <w:left w:val="nil"/>
              <w:bottom w:val="nil"/>
              <w:right w:val="nil"/>
            </w:tcBorders>
            <w:shd w:val="clear" w:color="auto" w:fill="E5DFEC" w:themeFill="accent4" w:themeFillTint="33"/>
            <w:noWrap/>
            <w:vAlign w:val="bottom"/>
            <w:hideMark/>
          </w:tcPr>
          <w:p w14:paraId="78FA05F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w:t>
            </w:r>
          </w:p>
        </w:tc>
        <w:tc>
          <w:tcPr>
            <w:tcW w:w="1254" w:type="dxa"/>
            <w:tcBorders>
              <w:top w:val="nil"/>
              <w:left w:val="nil"/>
              <w:bottom w:val="nil"/>
              <w:right w:val="nil"/>
            </w:tcBorders>
            <w:shd w:val="clear" w:color="auto" w:fill="auto"/>
            <w:noWrap/>
            <w:vAlign w:val="bottom"/>
            <w:hideMark/>
          </w:tcPr>
          <w:p w14:paraId="2AC350C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46</w:t>
            </w:r>
          </w:p>
        </w:tc>
        <w:tc>
          <w:tcPr>
            <w:tcW w:w="1253" w:type="dxa"/>
            <w:tcBorders>
              <w:top w:val="nil"/>
              <w:left w:val="nil"/>
              <w:bottom w:val="nil"/>
              <w:right w:val="nil"/>
            </w:tcBorders>
            <w:shd w:val="clear" w:color="auto" w:fill="E5DFEC" w:themeFill="accent4" w:themeFillTint="33"/>
            <w:noWrap/>
            <w:vAlign w:val="bottom"/>
            <w:hideMark/>
          </w:tcPr>
          <w:p w14:paraId="21FE0AB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70</w:t>
            </w:r>
          </w:p>
        </w:tc>
        <w:tc>
          <w:tcPr>
            <w:tcW w:w="1254" w:type="dxa"/>
            <w:tcBorders>
              <w:top w:val="nil"/>
              <w:left w:val="nil"/>
              <w:bottom w:val="nil"/>
              <w:right w:val="nil"/>
            </w:tcBorders>
            <w:shd w:val="clear" w:color="auto" w:fill="auto"/>
            <w:noWrap/>
            <w:vAlign w:val="bottom"/>
            <w:hideMark/>
          </w:tcPr>
          <w:p w14:paraId="29ED684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56</w:t>
            </w:r>
          </w:p>
        </w:tc>
        <w:tc>
          <w:tcPr>
            <w:tcW w:w="1253" w:type="dxa"/>
            <w:tcBorders>
              <w:top w:val="nil"/>
              <w:left w:val="nil"/>
              <w:bottom w:val="nil"/>
              <w:right w:val="nil"/>
            </w:tcBorders>
            <w:shd w:val="clear" w:color="auto" w:fill="E5DFEC" w:themeFill="accent4" w:themeFillTint="33"/>
            <w:noWrap/>
            <w:vAlign w:val="bottom"/>
            <w:hideMark/>
          </w:tcPr>
          <w:p w14:paraId="13C5E07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102</w:t>
            </w:r>
          </w:p>
        </w:tc>
        <w:tc>
          <w:tcPr>
            <w:tcW w:w="1254" w:type="dxa"/>
            <w:tcBorders>
              <w:top w:val="nil"/>
              <w:left w:val="nil"/>
              <w:bottom w:val="nil"/>
              <w:right w:val="nil"/>
            </w:tcBorders>
            <w:shd w:val="clear" w:color="auto" w:fill="auto"/>
            <w:noWrap/>
            <w:vAlign w:val="bottom"/>
            <w:hideMark/>
          </w:tcPr>
          <w:p w14:paraId="2941981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w:t>
            </w:r>
          </w:p>
        </w:tc>
        <w:tc>
          <w:tcPr>
            <w:tcW w:w="1254" w:type="dxa"/>
            <w:tcBorders>
              <w:top w:val="nil"/>
              <w:left w:val="nil"/>
              <w:bottom w:val="nil"/>
              <w:right w:val="single" w:sz="4" w:space="0" w:color="auto"/>
            </w:tcBorders>
            <w:shd w:val="clear" w:color="auto" w:fill="E5DFEC" w:themeFill="accent4" w:themeFillTint="33"/>
            <w:noWrap/>
            <w:vAlign w:val="bottom"/>
            <w:hideMark/>
          </w:tcPr>
          <w:p w14:paraId="54756AA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w:t>
            </w:r>
          </w:p>
        </w:tc>
      </w:tr>
      <w:tr w:rsidR="00876EFC" w:rsidRPr="00CE1D31" w14:paraId="2D900A3A" w14:textId="77777777" w:rsidTr="00561E4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4C4799D0" w14:textId="77777777" w:rsidR="00876EFC" w:rsidRPr="00CE1D31" w:rsidRDefault="00876EFC" w:rsidP="00CE2FDF">
            <w:pPr>
              <w:spacing w:before="0" w:line="276" w:lineRule="auto"/>
              <w:rPr>
                <w:rFonts w:eastAsia="Times New Roman" w:cs="Arial"/>
                <w:b/>
                <w:color w:val="000000"/>
                <w:lang w:eastAsia="en-AU"/>
              </w:rPr>
            </w:pPr>
            <w:r w:rsidRPr="00CE1D31">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71E49049"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382</w:t>
            </w:r>
          </w:p>
        </w:tc>
        <w:tc>
          <w:tcPr>
            <w:tcW w:w="1254" w:type="dxa"/>
            <w:tcBorders>
              <w:top w:val="nil"/>
              <w:left w:val="nil"/>
              <w:bottom w:val="single" w:sz="4" w:space="0" w:color="auto"/>
              <w:right w:val="nil"/>
            </w:tcBorders>
            <w:shd w:val="clear" w:color="auto" w:fill="E5DFEC" w:themeFill="accent4" w:themeFillTint="33"/>
            <w:noWrap/>
            <w:vAlign w:val="bottom"/>
            <w:hideMark/>
          </w:tcPr>
          <w:p w14:paraId="6880248C"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331</w:t>
            </w:r>
          </w:p>
        </w:tc>
        <w:tc>
          <w:tcPr>
            <w:tcW w:w="1253" w:type="dxa"/>
            <w:tcBorders>
              <w:top w:val="nil"/>
              <w:left w:val="nil"/>
              <w:bottom w:val="single" w:sz="4" w:space="0" w:color="auto"/>
              <w:right w:val="nil"/>
            </w:tcBorders>
            <w:shd w:val="clear" w:color="auto" w:fill="auto"/>
            <w:noWrap/>
            <w:vAlign w:val="bottom"/>
            <w:hideMark/>
          </w:tcPr>
          <w:p w14:paraId="1706FB95"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276</w:t>
            </w:r>
          </w:p>
        </w:tc>
        <w:tc>
          <w:tcPr>
            <w:tcW w:w="1254" w:type="dxa"/>
            <w:tcBorders>
              <w:top w:val="nil"/>
              <w:left w:val="nil"/>
              <w:bottom w:val="single" w:sz="4" w:space="0" w:color="auto"/>
              <w:right w:val="nil"/>
            </w:tcBorders>
            <w:shd w:val="clear" w:color="auto" w:fill="E5DFEC" w:themeFill="accent4" w:themeFillTint="33"/>
            <w:noWrap/>
            <w:vAlign w:val="bottom"/>
            <w:hideMark/>
          </w:tcPr>
          <w:p w14:paraId="01EE4C1D"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302</w:t>
            </w:r>
          </w:p>
        </w:tc>
        <w:tc>
          <w:tcPr>
            <w:tcW w:w="1254" w:type="dxa"/>
            <w:tcBorders>
              <w:top w:val="nil"/>
              <w:left w:val="nil"/>
              <w:bottom w:val="single" w:sz="4" w:space="0" w:color="auto"/>
              <w:right w:val="nil"/>
            </w:tcBorders>
            <w:shd w:val="clear" w:color="auto" w:fill="auto"/>
            <w:noWrap/>
            <w:vAlign w:val="bottom"/>
            <w:hideMark/>
          </w:tcPr>
          <w:p w14:paraId="2DEAA4DE"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267</w:t>
            </w:r>
          </w:p>
        </w:tc>
        <w:tc>
          <w:tcPr>
            <w:tcW w:w="1253" w:type="dxa"/>
            <w:tcBorders>
              <w:top w:val="nil"/>
              <w:left w:val="nil"/>
              <w:bottom w:val="single" w:sz="4" w:space="0" w:color="auto"/>
              <w:right w:val="nil"/>
            </w:tcBorders>
            <w:shd w:val="clear" w:color="auto" w:fill="E5DFEC" w:themeFill="accent4" w:themeFillTint="33"/>
            <w:noWrap/>
            <w:vAlign w:val="bottom"/>
            <w:hideMark/>
          </w:tcPr>
          <w:p w14:paraId="1DC39233"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381</w:t>
            </w:r>
          </w:p>
        </w:tc>
        <w:tc>
          <w:tcPr>
            <w:tcW w:w="1254" w:type="dxa"/>
            <w:tcBorders>
              <w:top w:val="nil"/>
              <w:left w:val="nil"/>
              <w:bottom w:val="single" w:sz="4" w:space="0" w:color="auto"/>
              <w:right w:val="nil"/>
            </w:tcBorders>
            <w:shd w:val="clear" w:color="auto" w:fill="auto"/>
            <w:noWrap/>
            <w:vAlign w:val="bottom"/>
            <w:hideMark/>
          </w:tcPr>
          <w:p w14:paraId="72CC65D2"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407</w:t>
            </w:r>
          </w:p>
        </w:tc>
        <w:tc>
          <w:tcPr>
            <w:tcW w:w="1253" w:type="dxa"/>
            <w:tcBorders>
              <w:top w:val="nil"/>
              <w:left w:val="nil"/>
              <w:bottom w:val="single" w:sz="4" w:space="0" w:color="auto"/>
              <w:right w:val="nil"/>
            </w:tcBorders>
            <w:shd w:val="clear" w:color="auto" w:fill="E5DFEC" w:themeFill="accent4" w:themeFillTint="33"/>
            <w:noWrap/>
            <w:vAlign w:val="bottom"/>
            <w:hideMark/>
          </w:tcPr>
          <w:p w14:paraId="266B2B71"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427</w:t>
            </w:r>
          </w:p>
        </w:tc>
        <w:tc>
          <w:tcPr>
            <w:tcW w:w="1254" w:type="dxa"/>
            <w:tcBorders>
              <w:top w:val="nil"/>
              <w:left w:val="nil"/>
              <w:bottom w:val="single" w:sz="4" w:space="0" w:color="auto"/>
              <w:right w:val="nil"/>
            </w:tcBorders>
            <w:shd w:val="clear" w:color="auto" w:fill="auto"/>
            <w:noWrap/>
            <w:vAlign w:val="bottom"/>
            <w:hideMark/>
          </w:tcPr>
          <w:p w14:paraId="786E5528"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442</w:t>
            </w:r>
          </w:p>
        </w:tc>
        <w:tc>
          <w:tcPr>
            <w:tcW w:w="1254" w:type="dxa"/>
            <w:tcBorders>
              <w:top w:val="nil"/>
              <w:left w:val="nil"/>
              <w:bottom w:val="single" w:sz="4" w:space="0" w:color="auto"/>
              <w:right w:val="single" w:sz="4" w:space="0" w:color="auto"/>
            </w:tcBorders>
            <w:shd w:val="clear" w:color="auto" w:fill="E5DFEC" w:themeFill="accent4" w:themeFillTint="33"/>
            <w:noWrap/>
            <w:vAlign w:val="bottom"/>
            <w:hideMark/>
          </w:tcPr>
          <w:p w14:paraId="3BC5C7D5"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427</w:t>
            </w:r>
          </w:p>
        </w:tc>
      </w:tr>
      <w:tr w:rsidR="00876EFC" w:rsidRPr="00CE1D31" w14:paraId="2E0E72F2"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9E5105E" w14:textId="77777777" w:rsidR="00876EFC" w:rsidRPr="00CE1D31" w:rsidRDefault="00876EFC" w:rsidP="00CE2FDF">
            <w:pPr>
              <w:spacing w:before="0" w:line="276" w:lineRule="auto"/>
              <w:rPr>
                <w:rFonts w:eastAsia="Times New Roman" w:cs="Arial"/>
                <w:b/>
                <w:lang w:eastAsia="en-AU"/>
              </w:rPr>
            </w:pPr>
            <w:r w:rsidRPr="00CE1D31">
              <w:rPr>
                <w:rFonts w:eastAsia="Times New Roman" w:cs="Arial"/>
                <w:b/>
                <w:lang w:eastAsia="en-AU"/>
              </w:rPr>
              <w:t>Sexual Abuse</w:t>
            </w:r>
          </w:p>
        </w:tc>
        <w:tc>
          <w:tcPr>
            <w:tcW w:w="1253" w:type="dxa"/>
            <w:tcBorders>
              <w:top w:val="nil"/>
              <w:left w:val="nil"/>
              <w:bottom w:val="nil"/>
              <w:right w:val="nil"/>
            </w:tcBorders>
            <w:shd w:val="clear" w:color="auto" w:fill="auto"/>
            <w:noWrap/>
            <w:vAlign w:val="bottom"/>
            <w:hideMark/>
          </w:tcPr>
          <w:p w14:paraId="33B18997"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F2DBDB" w:themeFill="accent2" w:themeFillTint="33"/>
            <w:noWrap/>
            <w:vAlign w:val="bottom"/>
            <w:hideMark/>
          </w:tcPr>
          <w:p w14:paraId="3CF83C79" w14:textId="77777777" w:rsidR="00876EFC" w:rsidRPr="00CE1D31" w:rsidRDefault="00876EFC" w:rsidP="00CE2FDF">
            <w:pPr>
              <w:spacing w:before="0" w:line="276" w:lineRule="auto"/>
              <w:jc w:val="right"/>
              <w:rPr>
                <w:rFonts w:eastAsia="Times New Roman" w:cs="Arial"/>
                <w:b/>
                <w:lang w:eastAsia="en-AU"/>
              </w:rPr>
            </w:pPr>
          </w:p>
        </w:tc>
        <w:tc>
          <w:tcPr>
            <w:tcW w:w="1253" w:type="dxa"/>
            <w:tcBorders>
              <w:top w:val="nil"/>
              <w:left w:val="nil"/>
              <w:bottom w:val="nil"/>
              <w:right w:val="nil"/>
            </w:tcBorders>
            <w:shd w:val="clear" w:color="auto" w:fill="auto"/>
            <w:noWrap/>
            <w:vAlign w:val="bottom"/>
            <w:hideMark/>
          </w:tcPr>
          <w:p w14:paraId="1A34C6E6"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F2DBDB" w:themeFill="accent2" w:themeFillTint="33"/>
            <w:noWrap/>
            <w:vAlign w:val="bottom"/>
            <w:hideMark/>
          </w:tcPr>
          <w:p w14:paraId="75BF3055" w14:textId="77777777" w:rsidR="00876EFC" w:rsidRPr="00CE1D31" w:rsidRDefault="00876EFC" w:rsidP="00CE2FDF">
            <w:pPr>
              <w:spacing w:before="0" w:line="276" w:lineRule="auto"/>
              <w:jc w:val="right"/>
              <w:rPr>
                <w:rFonts w:eastAsia="Times New Roman" w:cs="Arial"/>
                <w:b/>
                <w:lang w:eastAsia="en-AU"/>
              </w:rPr>
            </w:pPr>
          </w:p>
        </w:tc>
        <w:tc>
          <w:tcPr>
            <w:tcW w:w="1254" w:type="dxa"/>
            <w:tcBorders>
              <w:top w:val="nil"/>
              <w:left w:val="nil"/>
              <w:bottom w:val="nil"/>
              <w:right w:val="nil"/>
            </w:tcBorders>
            <w:shd w:val="clear" w:color="auto" w:fill="auto"/>
            <w:noWrap/>
            <w:vAlign w:val="bottom"/>
            <w:hideMark/>
          </w:tcPr>
          <w:p w14:paraId="42AE115C" w14:textId="77777777" w:rsidR="00876EFC" w:rsidRPr="00CE1D31"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F2DBDB" w:themeFill="accent2" w:themeFillTint="33"/>
            <w:noWrap/>
            <w:vAlign w:val="bottom"/>
            <w:hideMark/>
          </w:tcPr>
          <w:p w14:paraId="2ADCC03A" w14:textId="77777777" w:rsidR="00876EFC" w:rsidRPr="00CE1D31" w:rsidRDefault="00876EFC" w:rsidP="00CE2FDF">
            <w:pPr>
              <w:spacing w:before="0" w:line="276" w:lineRule="auto"/>
              <w:jc w:val="right"/>
              <w:rPr>
                <w:rFonts w:eastAsia="Times New Roman" w:cs="Arial"/>
                <w:b/>
                <w:lang w:eastAsia="en-AU"/>
              </w:rPr>
            </w:pPr>
          </w:p>
        </w:tc>
        <w:tc>
          <w:tcPr>
            <w:tcW w:w="1254" w:type="dxa"/>
            <w:tcBorders>
              <w:top w:val="nil"/>
              <w:left w:val="nil"/>
              <w:bottom w:val="nil"/>
              <w:right w:val="nil"/>
            </w:tcBorders>
            <w:shd w:val="clear" w:color="auto" w:fill="auto"/>
            <w:noWrap/>
            <w:vAlign w:val="bottom"/>
            <w:hideMark/>
          </w:tcPr>
          <w:p w14:paraId="71C747AF" w14:textId="77777777" w:rsidR="00876EFC" w:rsidRPr="00CE1D31"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F2DBDB" w:themeFill="accent2" w:themeFillTint="33"/>
            <w:noWrap/>
            <w:vAlign w:val="bottom"/>
            <w:hideMark/>
          </w:tcPr>
          <w:p w14:paraId="051603E2" w14:textId="77777777" w:rsidR="00876EFC" w:rsidRPr="00CE1D31" w:rsidRDefault="00876EFC" w:rsidP="00CE2FDF">
            <w:pPr>
              <w:spacing w:before="0" w:line="276" w:lineRule="auto"/>
              <w:jc w:val="right"/>
              <w:rPr>
                <w:rFonts w:eastAsia="Times New Roman" w:cs="Arial"/>
                <w:b/>
                <w:lang w:eastAsia="en-AU"/>
              </w:rPr>
            </w:pPr>
          </w:p>
        </w:tc>
        <w:tc>
          <w:tcPr>
            <w:tcW w:w="1254" w:type="dxa"/>
            <w:tcBorders>
              <w:top w:val="nil"/>
              <w:left w:val="nil"/>
              <w:bottom w:val="nil"/>
              <w:right w:val="nil"/>
            </w:tcBorders>
            <w:shd w:val="clear" w:color="auto" w:fill="auto"/>
            <w:noWrap/>
            <w:vAlign w:val="bottom"/>
            <w:hideMark/>
          </w:tcPr>
          <w:p w14:paraId="389F9998" w14:textId="77777777" w:rsidR="00876EFC" w:rsidRPr="00CE1D31"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single" w:sz="4" w:space="0" w:color="auto"/>
            </w:tcBorders>
            <w:shd w:val="clear" w:color="auto" w:fill="F2DBDB" w:themeFill="accent2" w:themeFillTint="33"/>
            <w:noWrap/>
            <w:vAlign w:val="bottom"/>
            <w:hideMark/>
          </w:tcPr>
          <w:p w14:paraId="5DD4214D" w14:textId="77777777" w:rsidR="00876EFC" w:rsidRPr="00CE1D31" w:rsidRDefault="00876EFC" w:rsidP="00CE2FDF">
            <w:pPr>
              <w:spacing w:before="0" w:line="276" w:lineRule="auto"/>
              <w:jc w:val="right"/>
              <w:rPr>
                <w:rFonts w:eastAsia="Times New Roman" w:cs="Arial"/>
                <w:b/>
                <w:lang w:eastAsia="en-AU"/>
              </w:rPr>
            </w:pPr>
          </w:p>
        </w:tc>
      </w:tr>
      <w:tr w:rsidR="00876EFC" w:rsidRPr="001565F1" w14:paraId="521E253C"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B5C7DEF" w14:textId="77777777" w:rsidR="00876EFC" w:rsidRPr="00CE1D31" w:rsidRDefault="00876EFC" w:rsidP="00CE2FDF">
            <w:pPr>
              <w:spacing w:before="0" w:line="276" w:lineRule="auto"/>
              <w:rPr>
                <w:rFonts w:eastAsia="Times New Roman" w:cs="Arial"/>
                <w:lang w:eastAsia="en-AU"/>
              </w:rPr>
            </w:pPr>
            <w:r w:rsidRPr="00CE1D31">
              <w:rPr>
                <w:rFonts w:eastAsia="Times New Roman" w:cs="Arial"/>
                <w:lang w:eastAsia="en-AU"/>
              </w:rPr>
              <w:t>Not Investigated</w:t>
            </w:r>
          </w:p>
        </w:tc>
        <w:tc>
          <w:tcPr>
            <w:tcW w:w="1253" w:type="dxa"/>
            <w:tcBorders>
              <w:top w:val="nil"/>
              <w:left w:val="nil"/>
              <w:bottom w:val="nil"/>
              <w:right w:val="nil"/>
            </w:tcBorders>
            <w:shd w:val="clear" w:color="auto" w:fill="auto"/>
            <w:noWrap/>
            <w:vAlign w:val="bottom"/>
            <w:hideMark/>
          </w:tcPr>
          <w:p w14:paraId="265839B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168</w:t>
            </w:r>
          </w:p>
        </w:tc>
        <w:tc>
          <w:tcPr>
            <w:tcW w:w="1254" w:type="dxa"/>
            <w:tcBorders>
              <w:top w:val="nil"/>
              <w:left w:val="nil"/>
              <w:bottom w:val="nil"/>
              <w:right w:val="nil"/>
            </w:tcBorders>
            <w:shd w:val="clear" w:color="auto" w:fill="F2DBDB" w:themeFill="accent2" w:themeFillTint="33"/>
            <w:noWrap/>
            <w:vAlign w:val="bottom"/>
            <w:hideMark/>
          </w:tcPr>
          <w:p w14:paraId="21AB70CF"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148</w:t>
            </w:r>
          </w:p>
        </w:tc>
        <w:tc>
          <w:tcPr>
            <w:tcW w:w="1253" w:type="dxa"/>
            <w:tcBorders>
              <w:top w:val="nil"/>
              <w:left w:val="nil"/>
              <w:bottom w:val="nil"/>
              <w:right w:val="nil"/>
            </w:tcBorders>
            <w:shd w:val="clear" w:color="auto" w:fill="auto"/>
            <w:noWrap/>
            <w:vAlign w:val="bottom"/>
            <w:hideMark/>
          </w:tcPr>
          <w:p w14:paraId="49137FA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152</w:t>
            </w:r>
          </w:p>
        </w:tc>
        <w:tc>
          <w:tcPr>
            <w:tcW w:w="1254" w:type="dxa"/>
            <w:tcBorders>
              <w:top w:val="nil"/>
              <w:left w:val="nil"/>
              <w:bottom w:val="nil"/>
              <w:right w:val="nil"/>
            </w:tcBorders>
            <w:shd w:val="clear" w:color="auto" w:fill="F2DBDB" w:themeFill="accent2" w:themeFillTint="33"/>
            <w:noWrap/>
            <w:vAlign w:val="bottom"/>
            <w:hideMark/>
          </w:tcPr>
          <w:p w14:paraId="0C15FED2"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138</w:t>
            </w:r>
          </w:p>
        </w:tc>
        <w:tc>
          <w:tcPr>
            <w:tcW w:w="1254" w:type="dxa"/>
            <w:tcBorders>
              <w:top w:val="nil"/>
              <w:left w:val="nil"/>
              <w:bottom w:val="nil"/>
              <w:right w:val="nil"/>
            </w:tcBorders>
            <w:shd w:val="clear" w:color="auto" w:fill="auto"/>
            <w:noWrap/>
            <w:vAlign w:val="bottom"/>
            <w:hideMark/>
          </w:tcPr>
          <w:p w14:paraId="42DD722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w:t>
            </w:r>
          </w:p>
        </w:tc>
        <w:tc>
          <w:tcPr>
            <w:tcW w:w="1253" w:type="dxa"/>
            <w:tcBorders>
              <w:top w:val="nil"/>
              <w:left w:val="nil"/>
              <w:bottom w:val="nil"/>
              <w:right w:val="nil"/>
            </w:tcBorders>
            <w:shd w:val="clear" w:color="auto" w:fill="F2DBDB" w:themeFill="accent2" w:themeFillTint="33"/>
            <w:noWrap/>
            <w:vAlign w:val="bottom"/>
            <w:hideMark/>
          </w:tcPr>
          <w:p w14:paraId="44709D3A"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146</w:t>
            </w:r>
          </w:p>
        </w:tc>
        <w:tc>
          <w:tcPr>
            <w:tcW w:w="1254" w:type="dxa"/>
            <w:tcBorders>
              <w:top w:val="nil"/>
              <w:left w:val="nil"/>
              <w:bottom w:val="nil"/>
              <w:right w:val="nil"/>
            </w:tcBorders>
            <w:shd w:val="clear" w:color="auto" w:fill="auto"/>
            <w:noWrap/>
            <w:vAlign w:val="bottom"/>
            <w:hideMark/>
          </w:tcPr>
          <w:p w14:paraId="2F4CA53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183</w:t>
            </w:r>
          </w:p>
        </w:tc>
        <w:tc>
          <w:tcPr>
            <w:tcW w:w="1253" w:type="dxa"/>
            <w:tcBorders>
              <w:top w:val="nil"/>
              <w:left w:val="nil"/>
              <w:bottom w:val="nil"/>
              <w:right w:val="nil"/>
            </w:tcBorders>
            <w:shd w:val="clear" w:color="auto" w:fill="F2DBDB" w:themeFill="accent2" w:themeFillTint="33"/>
            <w:noWrap/>
            <w:vAlign w:val="bottom"/>
            <w:hideMark/>
          </w:tcPr>
          <w:p w14:paraId="2A6B2572"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147</w:t>
            </w:r>
          </w:p>
        </w:tc>
        <w:tc>
          <w:tcPr>
            <w:tcW w:w="1254" w:type="dxa"/>
            <w:tcBorders>
              <w:top w:val="nil"/>
              <w:left w:val="nil"/>
              <w:bottom w:val="nil"/>
              <w:right w:val="nil"/>
            </w:tcBorders>
            <w:shd w:val="clear" w:color="auto" w:fill="auto"/>
            <w:noWrap/>
            <w:vAlign w:val="bottom"/>
            <w:hideMark/>
          </w:tcPr>
          <w:p w14:paraId="6B88408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161</w:t>
            </w:r>
          </w:p>
        </w:tc>
        <w:tc>
          <w:tcPr>
            <w:tcW w:w="1254" w:type="dxa"/>
            <w:tcBorders>
              <w:top w:val="nil"/>
              <w:left w:val="nil"/>
              <w:bottom w:val="nil"/>
              <w:right w:val="single" w:sz="4" w:space="0" w:color="auto"/>
            </w:tcBorders>
            <w:shd w:val="clear" w:color="auto" w:fill="F2DBDB" w:themeFill="accent2" w:themeFillTint="33"/>
            <w:noWrap/>
            <w:vAlign w:val="bottom"/>
            <w:hideMark/>
          </w:tcPr>
          <w:p w14:paraId="652185FD"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161</w:t>
            </w:r>
          </w:p>
        </w:tc>
      </w:tr>
      <w:tr w:rsidR="000E61DB" w:rsidRPr="001565F1" w14:paraId="288AED4D"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9873EF8" w14:textId="77777777" w:rsidR="000E61DB" w:rsidRPr="00CE1D31" w:rsidRDefault="000E61DB" w:rsidP="00CE2FDF">
            <w:pPr>
              <w:spacing w:before="0" w:line="276" w:lineRule="auto"/>
              <w:rPr>
                <w:rFonts w:eastAsia="Times New Roman" w:cs="Arial"/>
                <w:lang w:eastAsia="en-AU"/>
              </w:rPr>
            </w:pPr>
            <w:r w:rsidRPr="00CE1D31">
              <w:rPr>
                <w:rFonts w:eastAsia="Times New Roman" w:cs="Arial"/>
                <w:lang w:eastAsia="en-AU"/>
              </w:rPr>
              <w:t>Investigated</w:t>
            </w:r>
          </w:p>
        </w:tc>
        <w:tc>
          <w:tcPr>
            <w:tcW w:w="1253" w:type="dxa"/>
            <w:tcBorders>
              <w:top w:val="nil"/>
              <w:left w:val="nil"/>
              <w:bottom w:val="nil"/>
              <w:right w:val="nil"/>
            </w:tcBorders>
            <w:shd w:val="clear" w:color="auto" w:fill="auto"/>
            <w:noWrap/>
            <w:vAlign w:val="bottom"/>
            <w:hideMark/>
          </w:tcPr>
          <w:p w14:paraId="0487979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54</w:t>
            </w:r>
          </w:p>
        </w:tc>
        <w:tc>
          <w:tcPr>
            <w:tcW w:w="1254" w:type="dxa"/>
            <w:tcBorders>
              <w:top w:val="nil"/>
              <w:left w:val="nil"/>
              <w:bottom w:val="nil"/>
              <w:right w:val="nil"/>
            </w:tcBorders>
            <w:shd w:val="clear" w:color="auto" w:fill="F2DBDB" w:themeFill="accent2" w:themeFillTint="33"/>
            <w:noWrap/>
            <w:vAlign w:val="bottom"/>
            <w:hideMark/>
          </w:tcPr>
          <w:p w14:paraId="60CE8FF5" w14:textId="77777777" w:rsidR="000E61DB" w:rsidRPr="00CE1D31" w:rsidRDefault="000E61DB" w:rsidP="00CE2FDF">
            <w:pPr>
              <w:spacing w:before="0" w:line="276" w:lineRule="auto"/>
              <w:jc w:val="right"/>
              <w:rPr>
                <w:rFonts w:eastAsia="Times New Roman" w:cs="Arial"/>
                <w:lang w:eastAsia="en-AU"/>
              </w:rPr>
            </w:pPr>
            <w:r w:rsidRPr="00CE1D31">
              <w:rPr>
                <w:rFonts w:eastAsia="Times New Roman" w:cs="Arial"/>
                <w:lang w:eastAsia="en-AU"/>
              </w:rPr>
              <w:t>45</w:t>
            </w:r>
          </w:p>
        </w:tc>
        <w:tc>
          <w:tcPr>
            <w:tcW w:w="1253" w:type="dxa"/>
            <w:tcBorders>
              <w:top w:val="nil"/>
              <w:left w:val="nil"/>
              <w:bottom w:val="nil"/>
              <w:right w:val="nil"/>
            </w:tcBorders>
            <w:shd w:val="clear" w:color="auto" w:fill="auto"/>
            <w:noWrap/>
            <w:vAlign w:val="bottom"/>
            <w:hideMark/>
          </w:tcPr>
          <w:p w14:paraId="6F7594A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51</w:t>
            </w:r>
          </w:p>
        </w:tc>
        <w:tc>
          <w:tcPr>
            <w:tcW w:w="1254" w:type="dxa"/>
            <w:tcBorders>
              <w:top w:val="nil"/>
              <w:left w:val="nil"/>
              <w:bottom w:val="nil"/>
              <w:right w:val="nil"/>
            </w:tcBorders>
            <w:shd w:val="clear" w:color="auto" w:fill="F2DBDB" w:themeFill="accent2" w:themeFillTint="33"/>
            <w:noWrap/>
            <w:vAlign w:val="bottom"/>
            <w:hideMark/>
          </w:tcPr>
          <w:p w14:paraId="0CD3AA2D" w14:textId="77777777" w:rsidR="000E61DB" w:rsidRPr="00CE1D31" w:rsidRDefault="000E61DB" w:rsidP="00CE2FDF">
            <w:pPr>
              <w:spacing w:before="0" w:line="276" w:lineRule="auto"/>
              <w:jc w:val="right"/>
              <w:rPr>
                <w:rFonts w:eastAsia="Times New Roman" w:cs="Arial"/>
                <w:lang w:eastAsia="en-AU"/>
              </w:rPr>
            </w:pPr>
            <w:r w:rsidRPr="00CE1D31">
              <w:rPr>
                <w:rFonts w:eastAsia="Times New Roman" w:cs="Arial"/>
                <w:lang w:eastAsia="en-AU"/>
              </w:rPr>
              <w:t>47</w:t>
            </w:r>
          </w:p>
        </w:tc>
        <w:tc>
          <w:tcPr>
            <w:tcW w:w="1254" w:type="dxa"/>
            <w:tcBorders>
              <w:top w:val="nil"/>
              <w:left w:val="nil"/>
              <w:bottom w:val="nil"/>
              <w:right w:val="nil"/>
            </w:tcBorders>
            <w:shd w:val="clear" w:color="auto" w:fill="auto"/>
            <w:noWrap/>
            <w:vAlign w:val="bottom"/>
            <w:hideMark/>
          </w:tcPr>
          <w:p w14:paraId="2F34312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44</w:t>
            </w:r>
          </w:p>
        </w:tc>
        <w:tc>
          <w:tcPr>
            <w:tcW w:w="1253" w:type="dxa"/>
            <w:tcBorders>
              <w:top w:val="nil"/>
              <w:left w:val="nil"/>
              <w:bottom w:val="nil"/>
              <w:right w:val="nil"/>
            </w:tcBorders>
            <w:shd w:val="clear" w:color="auto" w:fill="F2DBDB" w:themeFill="accent2" w:themeFillTint="33"/>
            <w:noWrap/>
            <w:vAlign w:val="bottom"/>
            <w:hideMark/>
          </w:tcPr>
          <w:p w14:paraId="004D7BFC" w14:textId="77777777" w:rsidR="000E61DB" w:rsidRPr="00CE1D31" w:rsidRDefault="000E61DB" w:rsidP="00CE2FDF">
            <w:pPr>
              <w:spacing w:before="0" w:line="276" w:lineRule="auto"/>
              <w:jc w:val="right"/>
              <w:rPr>
                <w:rFonts w:eastAsia="Times New Roman" w:cs="Arial"/>
                <w:lang w:eastAsia="en-AU"/>
              </w:rPr>
            </w:pPr>
            <w:r w:rsidRPr="00CE1D31">
              <w:rPr>
                <w:rFonts w:eastAsia="Times New Roman" w:cs="Arial"/>
                <w:lang w:eastAsia="en-AU"/>
              </w:rPr>
              <w:t>25</w:t>
            </w:r>
          </w:p>
        </w:tc>
        <w:tc>
          <w:tcPr>
            <w:tcW w:w="1254" w:type="dxa"/>
            <w:tcBorders>
              <w:top w:val="nil"/>
              <w:left w:val="nil"/>
              <w:bottom w:val="nil"/>
              <w:right w:val="nil"/>
            </w:tcBorders>
            <w:shd w:val="clear" w:color="auto" w:fill="auto"/>
            <w:noWrap/>
            <w:vAlign w:val="bottom"/>
            <w:hideMark/>
          </w:tcPr>
          <w:p w14:paraId="379A207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36</w:t>
            </w:r>
          </w:p>
        </w:tc>
        <w:tc>
          <w:tcPr>
            <w:tcW w:w="1253" w:type="dxa"/>
            <w:tcBorders>
              <w:top w:val="nil"/>
              <w:left w:val="nil"/>
              <w:bottom w:val="nil"/>
              <w:right w:val="nil"/>
            </w:tcBorders>
            <w:shd w:val="clear" w:color="auto" w:fill="F2DBDB" w:themeFill="accent2" w:themeFillTint="33"/>
            <w:noWrap/>
            <w:vAlign w:val="bottom"/>
            <w:hideMark/>
          </w:tcPr>
          <w:p w14:paraId="2EDCCF6D" w14:textId="77777777" w:rsidR="000E61DB" w:rsidRPr="00CE1D31" w:rsidRDefault="000E61DB" w:rsidP="00CE2FDF">
            <w:pPr>
              <w:spacing w:before="0" w:line="276" w:lineRule="auto"/>
              <w:jc w:val="right"/>
              <w:rPr>
                <w:rFonts w:eastAsia="Times New Roman" w:cs="Arial"/>
                <w:lang w:eastAsia="en-AU"/>
              </w:rPr>
            </w:pPr>
            <w:r w:rsidRPr="00CE1D31">
              <w:rPr>
                <w:rFonts w:eastAsia="Times New Roman" w:cs="Arial"/>
                <w:lang w:eastAsia="en-AU"/>
              </w:rPr>
              <w:t>44</w:t>
            </w:r>
          </w:p>
        </w:tc>
        <w:tc>
          <w:tcPr>
            <w:tcW w:w="1254" w:type="dxa"/>
            <w:tcBorders>
              <w:top w:val="nil"/>
              <w:left w:val="nil"/>
              <w:bottom w:val="nil"/>
              <w:right w:val="nil"/>
            </w:tcBorders>
            <w:shd w:val="clear" w:color="auto" w:fill="auto"/>
            <w:noWrap/>
            <w:vAlign w:val="bottom"/>
            <w:hideMark/>
          </w:tcPr>
          <w:p w14:paraId="680E480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39</w:t>
            </w:r>
          </w:p>
        </w:tc>
        <w:tc>
          <w:tcPr>
            <w:tcW w:w="1254" w:type="dxa"/>
            <w:tcBorders>
              <w:top w:val="nil"/>
              <w:left w:val="nil"/>
              <w:bottom w:val="nil"/>
              <w:right w:val="single" w:sz="4" w:space="0" w:color="auto"/>
            </w:tcBorders>
            <w:shd w:val="clear" w:color="auto" w:fill="F2DBDB" w:themeFill="accent2" w:themeFillTint="33"/>
            <w:noWrap/>
            <w:vAlign w:val="bottom"/>
            <w:hideMark/>
          </w:tcPr>
          <w:p w14:paraId="06EF61E3" w14:textId="77777777" w:rsidR="000E61DB" w:rsidRPr="00CE1D31" w:rsidRDefault="000E61DB" w:rsidP="00CE2FDF">
            <w:pPr>
              <w:spacing w:before="0" w:line="276" w:lineRule="auto"/>
              <w:jc w:val="right"/>
              <w:rPr>
                <w:rFonts w:eastAsia="Times New Roman" w:cs="Arial"/>
                <w:lang w:eastAsia="en-AU"/>
              </w:rPr>
            </w:pPr>
            <w:r w:rsidRPr="00CE1D31">
              <w:rPr>
                <w:rFonts w:eastAsia="Times New Roman" w:cs="Arial"/>
                <w:lang w:eastAsia="en-AU"/>
              </w:rPr>
              <w:t>67</w:t>
            </w:r>
          </w:p>
        </w:tc>
      </w:tr>
      <w:tr w:rsidR="00876EFC" w:rsidRPr="001565F1" w14:paraId="6AEEF6A4"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4BE6069" w14:textId="77777777" w:rsidR="00876EFC" w:rsidRPr="00CE1D31" w:rsidRDefault="00876EFC" w:rsidP="00CE2FDF">
            <w:pPr>
              <w:spacing w:before="0" w:line="276" w:lineRule="auto"/>
              <w:rPr>
                <w:rFonts w:eastAsia="Times New Roman" w:cs="Arial"/>
                <w:lang w:eastAsia="en-AU"/>
              </w:rPr>
            </w:pPr>
            <w:r w:rsidRPr="00CE1D31">
              <w:rPr>
                <w:rFonts w:eastAsia="Times New Roman" w:cs="Arial"/>
                <w:lang w:eastAsia="en-AU"/>
              </w:rPr>
              <w:t>Substantiated</w:t>
            </w:r>
          </w:p>
        </w:tc>
        <w:tc>
          <w:tcPr>
            <w:tcW w:w="1253" w:type="dxa"/>
            <w:tcBorders>
              <w:top w:val="nil"/>
              <w:left w:val="nil"/>
              <w:bottom w:val="nil"/>
              <w:right w:val="nil"/>
            </w:tcBorders>
            <w:shd w:val="clear" w:color="auto" w:fill="auto"/>
            <w:noWrap/>
            <w:vAlign w:val="bottom"/>
            <w:hideMark/>
          </w:tcPr>
          <w:p w14:paraId="46859A4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w:t>
            </w:r>
          </w:p>
        </w:tc>
        <w:tc>
          <w:tcPr>
            <w:tcW w:w="1254" w:type="dxa"/>
            <w:tcBorders>
              <w:top w:val="nil"/>
              <w:left w:val="nil"/>
              <w:bottom w:val="nil"/>
              <w:right w:val="nil"/>
            </w:tcBorders>
            <w:shd w:val="clear" w:color="auto" w:fill="F2DBDB" w:themeFill="accent2" w:themeFillTint="33"/>
            <w:noWrap/>
            <w:vAlign w:val="bottom"/>
            <w:hideMark/>
          </w:tcPr>
          <w:p w14:paraId="0E7B57B4"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25</w:t>
            </w:r>
          </w:p>
        </w:tc>
        <w:tc>
          <w:tcPr>
            <w:tcW w:w="1253" w:type="dxa"/>
            <w:tcBorders>
              <w:top w:val="nil"/>
              <w:left w:val="nil"/>
              <w:bottom w:val="nil"/>
              <w:right w:val="nil"/>
            </w:tcBorders>
            <w:shd w:val="clear" w:color="auto" w:fill="auto"/>
            <w:noWrap/>
            <w:vAlign w:val="bottom"/>
            <w:hideMark/>
          </w:tcPr>
          <w:p w14:paraId="2CE04EB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24</w:t>
            </w:r>
          </w:p>
        </w:tc>
        <w:tc>
          <w:tcPr>
            <w:tcW w:w="1254" w:type="dxa"/>
            <w:tcBorders>
              <w:top w:val="nil"/>
              <w:left w:val="nil"/>
              <w:bottom w:val="nil"/>
              <w:right w:val="nil"/>
            </w:tcBorders>
            <w:shd w:val="clear" w:color="auto" w:fill="F2DBDB" w:themeFill="accent2" w:themeFillTint="33"/>
            <w:noWrap/>
            <w:vAlign w:val="bottom"/>
            <w:hideMark/>
          </w:tcPr>
          <w:p w14:paraId="3437758D"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13</w:t>
            </w:r>
          </w:p>
        </w:tc>
        <w:tc>
          <w:tcPr>
            <w:tcW w:w="1254" w:type="dxa"/>
            <w:tcBorders>
              <w:top w:val="nil"/>
              <w:left w:val="nil"/>
              <w:bottom w:val="nil"/>
              <w:right w:val="nil"/>
            </w:tcBorders>
            <w:shd w:val="clear" w:color="auto" w:fill="auto"/>
            <w:noWrap/>
            <w:vAlign w:val="bottom"/>
            <w:hideMark/>
          </w:tcPr>
          <w:p w14:paraId="4EA5843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w:t>
            </w:r>
          </w:p>
        </w:tc>
        <w:tc>
          <w:tcPr>
            <w:tcW w:w="1253" w:type="dxa"/>
            <w:tcBorders>
              <w:top w:val="nil"/>
              <w:left w:val="nil"/>
              <w:bottom w:val="nil"/>
              <w:right w:val="nil"/>
            </w:tcBorders>
            <w:shd w:val="clear" w:color="auto" w:fill="F2DBDB" w:themeFill="accent2" w:themeFillTint="33"/>
            <w:noWrap/>
            <w:vAlign w:val="bottom"/>
            <w:hideMark/>
          </w:tcPr>
          <w:p w14:paraId="3ECE9563"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12</w:t>
            </w:r>
          </w:p>
        </w:tc>
        <w:tc>
          <w:tcPr>
            <w:tcW w:w="1254" w:type="dxa"/>
            <w:tcBorders>
              <w:top w:val="nil"/>
              <w:left w:val="nil"/>
              <w:bottom w:val="nil"/>
              <w:right w:val="nil"/>
            </w:tcBorders>
            <w:shd w:val="clear" w:color="auto" w:fill="auto"/>
            <w:noWrap/>
            <w:vAlign w:val="bottom"/>
            <w:hideMark/>
          </w:tcPr>
          <w:p w14:paraId="1645DB8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w:t>
            </w:r>
          </w:p>
        </w:tc>
        <w:tc>
          <w:tcPr>
            <w:tcW w:w="1253" w:type="dxa"/>
            <w:tcBorders>
              <w:top w:val="nil"/>
              <w:left w:val="nil"/>
              <w:bottom w:val="nil"/>
              <w:right w:val="nil"/>
            </w:tcBorders>
            <w:shd w:val="clear" w:color="auto" w:fill="F2DBDB" w:themeFill="accent2" w:themeFillTint="33"/>
            <w:noWrap/>
            <w:vAlign w:val="bottom"/>
            <w:hideMark/>
          </w:tcPr>
          <w:p w14:paraId="11034E04"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17</w:t>
            </w:r>
          </w:p>
        </w:tc>
        <w:tc>
          <w:tcPr>
            <w:tcW w:w="1254" w:type="dxa"/>
            <w:tcBorders>
              <w:top w:val="nil"/>
              <w:left w:val="nil"/>
              <w:bottom w:val="nil"/>
              <w:right w:val="nil"/>
            </w:tcBorders>
            <w:shd w:val="clear" w:color="auto" w:fill="auto"/>
            <w:noWrap/>
            <w:vAlign w:val="bottom"/>
            <w:hideMark/>
          </w:tcPr>
          <w:p w14:paraId="46D4BAF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w:t>
            </w:r>
          </w:p>
        </w:tc>
        <w:tc>
          <w:tcPr>
            <w:tcW w:w="1254" w:type="dxa"/>
            <w:tcBorders>
              <w:top w:val="nil"/>
              <w:left w:val="nil"/>
              <w:bottom w:val="nil"/>
              <w:right w:val="single" w:sz="4" w:space="0" w:color="auto"/>
            </w:tcBorders>
            <w:shd w:val="clear" w:color="auto" w:fill="F2DBDB" w:themeFill="accent2" w:themeFillTint="33"/>
            <w:noWrap/>
            <w:vAlign w:val="bottom"/>
            <w:hideMark/>
          </w:tcPr>
          <w:p w14:paraId="6A160C9E"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34</w:t>
            </w:r>
          </w:p>
        </w:tc>
      </w:tr>
      <w:tr w:rsidR="00876EFC" w:rsidRPr="001565F1" w14:paraId="64D73A90"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C78EB56" w14:textId="77777777" w:rsidR="00876EFC" w:rsidRPr="00CE1D31" w:rsidRDefault="00876EFC" w:rsidP="00CE2FDF">
            <w:pPr>
              <w:spacing w:before="0" w:line="276" w:lineRule="auto"/>
              <w:rPr>
                <w:rFonts w:eastAsia="Times New Roman" w:cs="Arial"/>
                <w:lang w:eastAsia="en-AU"/>
              </w:rPr>
            </w:pPr>
            <w:r w:rsidRPr="00CE1D31">
              <w:rPr>
                <w:rFonts w:eastAsia="Times New Roman" w:cs="Arial"/>
                <w:lang w:eastAsia="en-AU"/>
              </w:rPr>
              <w:t>Not Substantiated</w:t>
            </w:r>
          </w:p>
        </w:tc>
        <w:tc>
          <w:tcPr>
            <w:tcW w:w="1253" w:type="dxa"/>
            <w:tcBorders>
              <w:top w:val="nil"/>
              <w:left w:val="nil"/>
              <w:bottom w:val="nil"/>
              <w:right w:val="nil"/>
            </w:tcBorders>
            <w:shd w:val="clear" w:color="auto" w:fill="auto"/>
            <w:noWrap/>
            <w:vAlign w:val="bottom"/>
            <w:hideMark/>
          </w:tcPr>
          <w:p w14:paraId="75E9228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31</w:t>
            </w:r>
          </w:p>
        </w:tc>
        <w:tc>
          <w:tcPr>
            <w:tcW w:w="1254" w:type="dxa"/>
            <w:tcBorders>
              <w:top w:val="nil"/>
              <w:left w:val="nil"/>
              <w:bottom w:val="nil"/>
              <w:right w:val="nil"/>
            </w:tcBorders>
            <w:shd w:val="clear" w:color="auto" w:fill="F2DBDB" w:themeFill="accent2" w:themeFillTint="33"/>
            <w:noWrap/>
            <w:vAlign w:val="bottom"/>
            <w:hideMark/>
          </w:tcPr>
          <w:p w14:paraId="0BDE5842"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20</w:t>
            </w:r>
          </w:p>
        </w:tc>
        <w:tc>
          <w:tcPr>
            <w:tcW w:w="1253" w:type="dxa"/>
            <w:tcBorders>
              <w:top w:val="nil"/>
              <w:left w:val="nil"/>
              <w:bottom w:val="nil"/>
              <w:right w:val="nil"/>
            </w:tcBorders>
            <w:shd w:val="clear" w:color="auto" w:fill="auto"/>
            <w:noWrap/>
            <w:vAlign w:val="bottom"/>
            <w:hideMark/>
          </w:tcPr>
          <w:p w14:paraId="6BEC8CE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w:t>
            </w:r>
          </w:p>
        </w:tc>
        <w:tc>
          <w:tcPr>
            <w:tcW w:w="1254" w:type="dxa"/>
            <w:tcBorders>
              <w:top w:val="nil"/>
              <w:left w:val="nil"/>
              <w:bottom w:val="nil"/>
              <w:right w:val="nil"/>
            </w:tcBorders>
            <w:shd w:val="clear" w:color="auto" w:fill="F2DBDB" w:themeFill="accent2" w:themeFillTint="33"/>
            <w:noWrap/>
            <w:vAlign w:val="bottom"/>
            <w:hideMark/>
          </w:tcPr>
          <w:p w14:paraId="6CE66B35"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34</w:t>
            </w:r>
          </w:p>
        </w:tc>
        <w:tc>
          <w:tcPr>
            <w:tcW w:w="1254" w:type="dxa"/>
            <w:tcBorders>
              <w:top w:val="nil"/>
              <w:left w:val="nil"/>
              <w:bottom w:val="nil"/>
              <w:right w:val="nil"/>
            </w:tcBorders>
            <w:shd w:val="clear" w:color="auto" w:fill="auto"/>
            <w:noWrap/>
            <w:vAlign w:val="bottom"/>
            <w:hideMark/>
          </w:tcPr>
          <w:p w14:paraId="5EABC2A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w:t>
            </w:r>
          </w:p>
        </w:tc>
        <w:tc>
          <w:tcPr>
            <w:tcW w:w="1253" w:type="dxa"/>
            <w:tcBorders>
              <w:top w:val="nil"/>
              <w:left w:val="nil"/>
              <w:bottom w:val="nil"/>
              <w:right w:val="nil"/>
            </w:tcBorders>
            <w:shd w:val="clear" w:color="auto" w:fill="F2DBDB" w:themeFill="accent2" w:themeFillTint="33"/>
            <w:noWrap/>
            <w:vAlign w:val="bottom"/>
            <w:hideMark/>
          </w:tcPr>
          <w:p w14:paraId="7E58020B"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13</w:t>
            </w:r>
          </w:p>
        </w:tc>
        <w:tc>
          <w:tcPr>
            <w:tcW w:w="1254" w:type="dxa"/>
            <w:tcBorders>
              <w:top w:val="nil"/>
              <w:left w:val="nil"/>
              <w:bottom w:val="nil"/>
              <w:right w:val="nil"/>
            </w:tcBorders>
            <w:shd w:val="clear" w:color="auto" w:fill="auto"/>
            <w:noWrap/>
            <w:vAlign w:val="bottom"/>
            <w:hideMark/>
          </w:tcPr>
          <w:p w14:paraId="11535DB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w:t>
            </w:r>
          </w:p>
        </w:tc>
        <w:tc>
          <w:tcPr>
            <w:tcW w:w="1253" w:type="dxa"/>
            <w:tcBorders>
              <w:top w:val="nil"/>
              <w:left w:val="nil"/>
              <w:bottom w:val="nil"/>
              <w:right w:val="nil"/>
            </w:tcBorders>
            <w:shd w:val="clear" w:color="auto" w:fill="F2DBDB" w:themeFill="accent2" w:themeFillTint="33"/>
            <w:noWrap/>
            <w:vAlign w:val="bottom"/>
            <w:hideMark/>
          </w:tcPr>
          <w:p w14:paraId="463F7A9E"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27</w:t>
            </w:r>
          </w:p>
        </w:tc>
        <w:tc>
          <w:tcPr>
            <w:tcW w:w="1254" w:type="dxa"/>
            <w:tcBorders>
              <w:top w:val="nil"/>
              <w:left w:val="nil"/>
              <w:bottom w:val="nil"/>
              <w:right w:val="nil"/>
            </w:tcBorders>
            <w:shd w:val="clear" w:color="auto" w:fill="auto"/>
            <w:noWrap/>
            <w:vAlign w:val="bottom"/>
            <w:hideMark/>
          </w:tcPr>
          <w:p w14:paraId="0C4FD54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w:t>
            </w:r>
          </w:p>
        </w:tc>
        <w:tc>
          <w:tcPr>
            <w:tcW w:w="1254" w:type="dxa"/>
            <w:tcBorders>
              <w:top w:val="nil"/>
              <w:left w:val="nil"/>
              <w:bottom w:val="nil"/>
              <w:right w:val="single" w:sz="4" w:space="0" w:color="auto"/>
            </w:tcBorders>
            <w:shd w:val="clear" w:color="auto" w:fill="F2DBDB" w:themeFill="accent2" w:themeFillTint="33"/>
            <w:noWrap/>
            <w:vAlign w:val="bottom"/>
            <w:hideMark/>
          </w:tcPr>
          <w:p w14:paraId="6DB571AF" w14:textId="77777777" w:rsidR="00876EFC" w:rsidRPr="00CE1D31" w:rsidRDefault="00876EFC" w:rsidP="00CE2FDF">
            <w:pPr>
              <w:spacing w:before="0" w:line="276" w:lineRule="auto"/>
              <w:jc w:val="right"/>
              <w:rPr>
                <w:rFonts w:eastAsia="Times New Roman" w:cs="Arial"/>
                <w:lang w:eastAsia="en-AU"/>
              </w:rPr>
            </w:pPr>
            <w:r w:rsidRPr="00CE1D31">
              <w:rPr>
                <w:rFonts w:eastAsia="Times New Roman" w:cs="Arial"/>
                <w:lang w:eastAsia="en-AU"/>
              </w:rPr>
              <w:t>33</w:t>
            </w:r>
          </w:p>
        </w:tc>
      </w:tr>
      <w:tr w:rsidR="00876EFC" w:rsidRPr="00CE1D31" w14:paraId="558EECF9" w14:textId="77777777" w:rsidTr="00561E4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2FEE870C" w14:textId="77777777" w:rsidR="00876EFC" w:rsidRPr="00CE1D31" w:rsidRDefault="00876EFC" w:rsidP="00CE2FDF">
            <w:pPr>
              <w:spacing w:before="0" w:line="276" w:lineRule="auto"/>
              <w:rPr>
                <w:rFonts w:eastAsia="Times New Roman" w:cs="Arial"/>
                <w:b/>
                <w:lang w:eastAsia="en-AU"/>
              </w:rPr>
            </w:pPr>
            <w:r w:rsidRPr="00CE1D31">
              <w:rPr>
                <w:rFonts w:eastAsia="Times New Roman" w:cs="Arial"/>
                <w:b/>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6CBF9DF0"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222</w:t>
            </w:r>
          </w:p>
        </w:tc>
        <w:tc>
          <w:tcPr>
            <w:tcW w:w="1254" w:type="dxa"/>
            <w:tcBorders>
              <w:top w:val="nil"/>
              <w:left w:val="nil"/>
              <w:bottom w:val="single" w:sz="4" w:space="0" w:color="auto"/>
              <w:right w:val="nil"/>
            </w:tcBorders>
            <w:shd w:val="clear" w:color="auto" w:fill="F2DBDB" w:themeFill="accent2" w:themeFillTint="33"/>
            <w:noWrap/>
            <w:vAlign w:val="bottom"/>
            <w:hideMark/>
          </w:tcPr>
          <w:p w14:paraId="0E1B0470" w14:textId="77777777" w:rsidR="00876EFC" w:rsidRPr="00CE1D31" w:rsidRDefault="00876EFC" w:rsidP="00CE2FDF">
            <w:pPr>
              <w:spacing w:before="0" w:line="276" w:lineRule="auto"/>
              <w:jc w:val="right"/>
              <w:rPr>
                <w:rFonts w:eastAsia="Times New Roman" w:cs="Arial"/>
                <w:b/>
                <w:lang w:eastAsia="en-AU"/>
              </w:rPr>
            </w:pPr>
            <w:r w:rsidRPr="00CE1D31">
              <w:rPr>
                <w:rFonts w:eastAsia="Times New Roman" w:cs="Arial"/>
                <w:b/>
                <w:lang w:eastAsia="en-AU"/>
              </w:rPr>
              <w:t>193</w:t>
            </w:r>
          </w:p>
        </w:tc>
        <w:tc>
          <w:tcPr>
            <w:tcW w:w="1253" w:type="dxa"/>
            <w:tcBorders>
              <w:top w:val="nil"/>
              <w:left w:val="nil"/>
              <w:bottom w:val="single" w:sz="4" w:space="0" w:color="auto"/>
              <w:right w:val="nil"/>
            </w:tcBorders>
            <w:shd w:val="clear" w:color="auto" w:fill="auto"/>
            <w:noWrap/>
            <w:vAlign w:val="bottom"/>
            <w:hideMark/>
          </w:tcPr>
          <w:p w14:paraId="3D860717"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203</w:t>
            </w:r>
          </w:p>
        </w:tc>
        <w:tc>
          <w:tcPr>
            <w:tcW w:w="1254" w:type="dxa"/>
            <w:tcBorders>
              <w:top w:val="nil"/>
              <w:left w:val="nil"/>
              <w:bottom w:val="single" w:sz="4" w:space="0" w:color="auto"/>
              <w:right w:val="nil"/>
            </w:tcBorders>
            <w:shd w:val="clear" w:color="auto" w:fill="F2DBDB" w:themeFill="accent2" w:themeFillTint="33"/>
            <w:noWrap/>
            <w:vAlign w:val="bottom"/>
            <w:hideMark/>
          </w:tcPr>
          <w:p w14:paraId="59CAE55B" w14:textId="77777777" w:rsidR="00876EFC" w:rsidRPr="00CE1D31" w:rsidRDefault="00876EFC" w:rsidP="00CE2FDF">
            <w:pPr>
              <w:spacing w:before="0" w:line="276" w:lineRule="auto"/>
              <w:jc w:val="right"/>
              <w:rPr>
                <w:rFonts w:eastAsia="Times New Roman" w:cs="Arial"/>
                <w:b/>
                <w:lang w:eastAsia="en-AU"/>
              </w:rPr>
            </w:pPr>
            <w:r w:rsidRPr="00CE1D31">
              <w:rPr>
                <w:rFonts w:eastAsia="Times New Roman" w:cs="Arial"/>
                <w:b/>
                <w:lang w:eastAsia="en-AU"/>
              </w:rPr>
              <w:t>185</w:t>
            </w:r>
          </w:p>
        </w:tc>
        <w:tc>
          <w:tcPr>
            <w:tcW w:w="1254" w:type="dxa"/>
            <w:tcBorders>
              <w:top w:val="nil"/>
              <w:left w:val="nil"/>
              <w:bottom w:val="single" w:sz="4" w:space="0" w:color="auto"/>
              <w:right w:val="nil"/>
            </w:tcBorders>
            <w:shd w:val="clear" w:color="auto" w:fill="auto"/>
            <w:noWrap/>
            <w:vAlign w:val="bottom"/>
            <w:hideMark/>
          </w:tcPr>
          <w:p w14:paraId="57CDB264"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116</w:t>
            </w:r>
          </w:p>
        </w:tc>
        <w:tc>
          <w:tcPr>
            <w:tcW w:w="1253" w:type="dxa"/>
            <w:tcBorders>
              <w:top w:val="nil"/>
              <w:left w:val="nil"/>
              <w:bottom w:val="single" w:sz="4" w:space="0" w:color="auto"/>
              <w:right w:val="nil"/>
            </w:tcBorders>
            <w:shd w:val="clear" w:color="auto" w:fill="F2DBDB" w:themeFill="accent2" w:themeFillTint="33"/>
            <w:noWrap/>
            <w:vAlign w:val="bottom"/>
            <w:hideMark/>
          </w:tcPr>
          <w:p w14:paraId="09419A78" w14:textId="77777777" w:rsidR="00876EFC" w:rsidRPr="00CE1D31" w:rsidRDefault="00876EFC" w:rsidP="00CE2FDF">
            <w:pPr>
              <w:spacing w:before="0" w:line="276" w:lineRule="auto"/>
              <w:jc w:val="right"/>
              <w:rPr>
                <w:rFonts w:eastAsia="Times New Roman" w:cs="Arial"/>
                <w:b/>
                <w:lang w:eastAsia="en-AU"/>
              </w:rPr>
            </w:pPr>
            <w:r w:rsidRPr="00CE1D31">
              <w:rPr>
                <w:rFonts w:eastAsia="Times New Roman" w:cs="Arial"/>
                <w:b/>
                <w:lang w:eastAsia="en-AU"/>
              </w:rPr>
              <w:t>171</w:t>
            </w:r>
          </w:p>
        </w:tc>
        <w:tc>
          <w:tcPr>
            <w:tcW w:w="1254" w:type="dxa"/>
            <w:tcBorders>
              <w:top w:val="nil"/>
              <w:left w:val="nil"/>
              <w:bottom w:val="single" w:sz="4" w:space="0" w:color="auto"/>
              <w:right w:val="nil"/>
            </w:tcBorders>
            <w:shd w:val="clear" w:color="auto" w:fill="auto"/>
            <w:noWrap/>
            <w:vAlign w:val="bottom"/>
            <w:hideMark/>
          </w:tcPr>
          <w:p w14:paraId="34CFB5E7"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219</w:t>
            </w:r>
          </w:p>
        </w:tc>
        <w:tc>
          <w:tcPr>
            <w:tcW w:w="1253" w:type="dxa"/>
            <w:tcBorders>
              <w:top w:val="nil"/>
              <w:left w:val="nil"/>
              <w:bottom w:val="single" w:sz="4" w:space="0" w:color="auto"/>
              <w:right w:val="nil"/>
            </w:tcBorders>
            <w:shd w:val="clear" w:color="auto" w:fill="F2DBDB" w:themeFill="accent2" w:themeFillTint="33"/>
            <w:noWrap/>
            <w:vAlign w:val="bottom"/>
            <w:hideMark/>
          </w:tcPr>
          <w:p w14:paraId="1F821D43" w14:textId="77777777" w:rsidR="00876EFC" w:rsidRPr="00CE1D31" w:rsidRDefault="00876EFC" w:rsidP="00CE2FDF">
            <w:pPr>
              <w:spacing w:before="0" w:line="276" w:lineRule="auto"/>
              <w:jc w:val="right"/>
              <w:rPr>
                <w:rFonts w:eastAsia="Times New Roman" w:cs="Arial"/>
                <w:b/>
                <w:lang w:eastAsia="en-AU"/>
              </w:rPr>
            </w:pPr>
            <w:r w:rsidRPr="00CE1D31">
              <w:rPr>
                <w:rFonts w:eastAsia="Times New Roman" w:cs="Arial"/>
                <w:b/>
                <w:lang w:eastAsia="en-AU"/>
              </w:rPr>
              <w:t>191</w:t>
            </w:r>
          </w:p>
        </w:tc>
        <w:tc>
          <w:tcPr>
            <w:tcW w:w="1254" w:type="dxa"/>
            <w:tcBorders>
              <w:top w:val="nil"/>
              <w:left w:val="nil"/>
              <w:bottom w:val="single" w:sz="4" w:space="0" w:color="auto"/>
              <w:right w:val="nil"/>
            </w:tcBorders>
            <w:shd w:val="clear" w:color="auto" w:fill="auto"/>
            <w:noWrap/>
            <w:vAlign w:val="bottom"/>
            <w:hideMark/>
          </w:tcPr>
          <w:p w14:paraId="5DA94B9C" w14:textId="77777777" w:rsidR="00876EFC" w:rsidRPr="00CE1D31" w:rsidRDefault="00876EFC" w:rsidP="00CE2FDF">
            <w:pPr>
              <w:spacing w:before="0" w:line="276" w:lineRule="auto"/>
              <w:jc w:val="right"/>
              <w:rPr>
                <w:rFonts w:eastAsia="Times New Roman" w:cs="Arial"/>
                <w:b/>
                <w:color w:val="000000"/>
                <w:lang w:eastAsia="en-AU"/>
              </w:rPr>
            </w:pPr>
            <w:r w:rsidRPr="00CE1D31">
              <w:rPr>
                <w:rFonts w:eastAsia="Times New Roman" w:cs="Arial"/>
                <w:b/>
                <w:color w:val="000000"/>
                <w:lang w:eastAsia="en-AU"/>
              </w:rPr>
              <w:t>200</w:t>
            </w:r>
          </w:p>
        </w:tc>
        <w:tc>
          <w:tcPr>
            <w:tcW w:w="1254" w:type="dxa"/>
            <w:tcBorders>
              <w:top w:val="nil"/>
              <w:left w:val="nil"/>
              <w:bottom w:val="single" w:sz="4" w:space="0" w:color="auto"/>
              <w:right w:val="single" w:sz="4" w:space="0" w:color="auto"/>
            </w:tcBorders>
            <w:shd w:val="clear" w:color="auto" w:fill="F2DBDB" w:themeFill="accent2" w:themeFillTint="33"/>
            <w:noWrap/>
            <w:vAlign w:val="bottom"/>
            <w:hideMark/>
          </w:tcPr>
          <w:p w14:paraId="42C68952" w14:textId="77777777" w:rsidR="00876EFC" w:rsidRPr="00CE1D31" w:rsidRDefault="00876EFC" w:rsidP="00CE2FDF">
            <w:pPr>
              <w:spacing w:before="0" w:line="276" w:lineRule="auto"/>
              <w:jc w:val="right"/>
              <w:rPr>
                <w:rFonts w:eastAsia="Times New Roman" w:cs="Arial"/>
                <w:b/>
                <w:lang w:eastAsia="en-AU"/>
              </w:rPr>
            </w:pPr>
            <w:r w:rsidRPr="00CE1D31">
              <w:rPr>
                <w:rFonts w:eastAsia="Times New Roman" w:cs="Arial"/>
                <w:b/>
                <w:lang w:eastAsia="en-AU"/>
              </w:rPr>
              <w:t>228</w:t>
            </w:r>
          </w:p>
        </w:tc>
      </w:tr>
    </w:tbl>
    <w:p w14:paraId="35DB0DF2" w14:textId="77777777" w:rsidR="004748E8" w:rsidRDefault="004748E8" w:rsidP="0095311F">
      <w:pPr>
        <w:pStyle w:val="Figureheading"/>
      </w:pPr>
      <w:r>
        <w:lastRenderedPageBreak/>
        <w:t>2.6.4</w:t>
      </w:r>
      <w:r>
        <w:tab/>
        <w:t xml:space="preserve">Number of reports by nurses, by year, abuse type, and outcome </w:t>
      </w:r>
    </w:p>
    <w:tbl>
      <w:tblPr>
        <w:tblW w:w="14757" w:type="dxa"/>
        <w:tblInd w:w="93" w:type="dxa"/>
        <w:tblLayout w:type="fixed"/>
        <w:tblLook w:val="04A0" w:firstRow="1" w:lastRow="0" w:firstColumn="1" w:lastColumn="0" w:noHBand="0" w:noVBand="1"/>
        <w:tblCaption w:val="Number of reports by nurses, by year, abuse type, and outcome "/>
      </w:tblPr>
      <w:tblGrid>
        <w:gridCol w:w="1858"/>
        <w:gridCol w:w="1149"/>
        <w:gridCol w:w="1306"/>
        <w:gridCol w:w="1305"/>
        <w:gridCol w:w="1306"/>
        <w:gridCol w:w="1305"/>
        <w:gridCol w:w="1306"/>
        <w:gridCol w:w="1305"/>
        <w:gridCol w:w="1306"/>
        <w:gridCol w:w="1305"/>
        <w:gridCol w:w="1306"/>
      </w:tblGrid>
      <w:tr w:rsidR="00876EFC" w:rsidRPr="001565F1" w14:paraId="3DCED806" w14:textId="77777777" w:rsidTr="00B77B32">
        <w:trPr>
          <w:trHeight w:val="324"/>
        </w:trPr>
        <w:tc>
          <w:tcPr>
            <w:tcW w:w="1858"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FB2BA82" w14:textId="77777777" w:rsidR="00876EFC" w:rsidRPr="001565F1" w:rsidRDefault="00876EFC" w:rsidP="00CE2FDF">
            <w:pPr>
              <w:spacing w:before="0" w:line="276" w:lineRule="auto"/>
              <w:rPr>
                <w:rFonts w:eastAsia="Times New Roman" w:cs="Arial"/>
                <w:b/>
                <w:bCs/>
                <w:color w:val="000000"/>
                <w:lang w:eastAsia="en-AU"/>
              </w:rPr>
            </w:pPr>
          </w:p>
        </w:tc>
        <w:tc>
          <w:tcPr>
            <w:tcW w:w="1149" w:type="dxa"/>
            <w:tcBorders>
              <w:top w:val="single" w:sz="4" w:space="0" w:color="auto"/>
              <w:left w:val="nil"/>
              <w:bottom w:val="single" w:sz="4" w:space="0" w:color="auto"/>
              <w:right w:val="nil"/>
            </w:tcBorders>
            <w:shd w:val="clear" w:color="auto" w:fill="D9D9D9" w:themeFill="background1" w:themeFillShade="D9"/>
            <w:noWrap/>
            <w:vAlign w:val="bottom"/>
            <w:hideMark/>
          </w:tcPr>
          <w:p w14:paraId="76A9CC8A"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306" w:type="dxa"/>
            <w:tcBorders>
              <w:top w:val="single" w:sz="4" w:space="0" w:color="auto"/>
              <w:left w:val="nil"/>
              <w:bottom w:val="single" w:sz="4" w:space="0" w:color="auto"/>
              <w:right w:val="nil"/>
            </w:tcBorders>
            <w:shd w:val="clear" w:color="auto" w:fill="D9D9D9" w:themeFill="background1" w:themeFillShade="D9"/>
            <w:noWrap/>
            <w:vAlign w:val="bottom"/>
            <w:hideMark/>
          </w:tcPr>
          <w:p w14:paraId="6B18B6A0"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305" w:type="dxa"/>
            <w:tcBorders>
              <w:top w:val="single" w:sz="4" w:space="0" w:color="auto"/>
              <w:left w:val="nil"/>
              <w:bottom w:val="single" w:sz="4" w:space="0" w:color="auto"/>
              <w:right w:val="nil"/>
            </w:tcBorders>
            <w:shd w:val="clear" w:color="auto" w:fill="D9D9D9" w:themeFill="background1" w:themeFillShade="D9"/>
            <w:noWrap/>
            <w:vAlign w:val="bottom"/>
            <w:hideMark/>
          </w:tcPr>
          <w:p w14:paraId="2E2318EE"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306" w:type="dxa"/>
            <w:tcBorders>
              <w:top w:val="single" w:sz="4" w:space="0" w:color="auto"/>
              <w:left w:val="nil"/>
              <w:bottom w:val="single" w:sz="4" w:space="0" w:color="auto"/>
              <w:right w:val="nil"/>
            </w:tcBorders>
            <w:shd w:val="clear" w:color="auto" w:fill="D9D9D9" w:themeFill="background1" w:themeFillShade="D9"/>
            <w:noWrap/>
            <w:vAlign w:val="bottom"/>
            <w:hideMark/>
          </w:tcPr>
          <w:p w14:paraId="13801F3B"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305" w:type="dxa"/>
            <w:tcBorders>
              <w:top w:val="single" w:sz="4" w:space="0" w:color="auto"/>
              <w:left w:val="nil"/>
              <w:bottom w:val="single" w:sz="4" w:space="0" w:color="auto"/>
              <w:right w:val="nil"/>
            </w:tcBorders>
            <w:shd w:val="clear" w:color="auto" w:fill="D9D9D9" w:themeFill="background1" w:themeFillShade="D9"/>
            <w:noWrap/>
            <w:vAlign w:val="bottom"/>
            <w:hideMark/>
          </w:tcPr>
          <w:p w14:paraId="353AD9D3"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306" w:type="dxa"/>
            <w:tcBorders>
              <w:top w:val="single" w:sz="4" w:space="0" w:color="auto"/>
              <w:left w:val="nil"/>
              <w:bottom w:val="single" w:sz="4" w:space="0" w:color="auto"/>
              <w:right w:val="nil"/>
            </w:tcBorders>
            <w:shd w:val="clear" w:color="auto" w:fill="D9D9D9" w:themeFill="background1" w:themeFillShade="D9"/>
            <w:noWrap/>
            <w:vAlign w:val="bottom"/>
            <w:hideMark/>
          </w:tcPr>
          <w:p w14:paraId="2DC340C1"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305" w:type="dxa"/>
            <w:tcBorders>
              <w:top w:val="single" w:sz="4" w:space="0" w:color="auto"/>
              <w:left w:val="nil"/>
              <w:bottom w:val="single" w:sz="4" w:space="0" w:color="auto"/>
              <w:right w:val="nil"/>
            </w:tcBorders>
            <w:shd w:val="clear" w:color="auto" w:fill="D9D9D9" w:themeFill="background1" w:themeFillShade="D9"/>
            <w:noWrap/>
            <w:vAlign w:val="bottom"/>
            <w:hideMark/>
          </w:tcPr>
          <w:p w14:paraId="3698026E"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306" w:type="dxa"/>
            <w:tcBorders>
              <w:top w:val="single" w:sz="4" w:space="0" w:color="auto"/>
              <w:left w:val="nil"/>
              <w:bottom w:val="single" w:sz="4" w:space="0" w:color="auto"/>
              <w:right w:val="nil"/>
            </w:tcBorders>
            <w:shd w:val="clear" w:color="auto" w:fill="D9D9D9" w:themeFill="background1" w:themeFillShade="D9"/>
            <w:noWrap/>
            <w:vAlign w:val="bottom"/>
            <w:hideMark/>
          </w:tcPr>
          <w:p w14:paraId="00A21965"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305" w:type="dxa"/>
            <w:tcBorders>
              <w:top w:val="single" w:sz="4" w:space="0" w:color="auto"/>
              <w:left w:val="nil"/>
              <w:bottom w:val="single" w:sz="4" w:space="0" w:color="auto"/>
              <w:right w:val="nil"/>
            </w:tcBorders>
            <w:shd w:val="clear" w:color="auto" w:fill="D9D9D9" w:themeFill="background1" w:themeFillShade="D9"/>
            <w:noWrap/>
            <w:vAlign w:val="bottom"/>
            <w:hideMark/>
          </w:tcPr>
          <w:p w14:paraId="65B4EC97"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30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E53FD6"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876EFC" w:rsidRPr="00DA0360" w14:paraId="26B4DC04" w14:textId="77777777" w:rsidTr="00B77B32">
        <w:trPr>
          <w:trHeight w:val="204"/>
        </w:trPr>
        <w:tc>
          <w:tcPr>
            <w:tcW w:w="1858" w:type="dxa"/>
            <w:tcBorders>
              <w:top w:val="single" w:sz="4" w:space="0" w:color="auto"/>
              <w:left w:val="single" w:sz="4" w:space="0" w:color="auto"/>
              <w:bottom w:val="nil"/>
              <w:right w:val="nil"/>
            </w:tcBorders>
            <w:shd w:val="clear" w:color="auto" w:fill="EAF1DD" w:themeFill="accent3" w:themeFillTint="33"/>
            <w:noWrap/>
            <w:vAlign w:val="bottom"/>
            <w:hideMark/>
          </w:tcPr>
          <w:p w14:paraId="43422B81"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Emotional Abuse</w:t>
            </w:r>
          </w:p>
        </w:tc>
        <w:tc>
          <w:tcPr>
            <w:tcW w:w="1149" w:type="dxa"/>
            <w:tcBorders>
              <w:top w:val="single" w:sz="4" w:space="0" w:color="auto"/>
              <w:left w:val="nil"/>
              <w:bottom w:val="nil"/>
              <w:right w:val="nil"/>
            </w:tcBorders>
            <w:shd w:val="clear" w:color="auto" w:fill="auto"/>
            <w:noWrap/>
            <w:vAlign w:val="bottom"/>
            <w:hideMark/>
          </w:tcPr>
          <w:p w14:paraId="5C8BDF16"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single" w:sz="4" w:space="0" w:color="auto"/>
              <w:left w:val="nil"/>
              <w:bottom w:val="nil"/>
              <w:right w:val="nil"/>
            </w:tcBorders>
            <w:shd w:val="clear" w:color="auto" w:fill="EAF1DD" w:themeFill="accent3" w:themeFillTint="33"/>
            <w:noWrap/>
            <w:vAlign w:val="bottom"/>
            <w:hideMark/>
          </w:tcPr>
          <w:p w14:paraId="7CFA260E"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single" w:sz="4" w:space="0" w:color="auto"/>
              <w:left w:val="nil"/>
              <w:bottom w:val="nil"/>
              <w:right w:val="nil"/>
            </w:tcBorders>
            <w:shd w:val="clear" w:color="auto" w:fill="auto"/>
            <w:noWrap/>
            <w:vAlign w:val="bottom"/>
            <w:hideMark/>
          </w:tcPr>
          <w:p w14:paraId="2392E9D6"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single" w:sz="4" w:space="0" w:color="auto"/>
              <w:left w:val="nil"/>
              <w:bottom w:val="nil"/>
              <w:right w:val="nil"/>
            </w:tcBorders>
            <w:shd w:val="clear" w:color="auto" w:fill="EAF1DD" w:themeFill="accent3" w:themeFillTint="33"/>
            <w:noWrap/>
            <w:vAlign w:val="bottom"/>
            <w:hideMark/>
          </w:tcPr>
          <w:p w14:paraId="56218F3B"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single" w:sz="4" w:space="0" w:color="auto"/>
              <w:left w:val="nil"/>
              <w:bottom w:val="nil"/>
              <w:right w:val="nil"/>
            </w:tcBorders>
            <w:shd w:val="clear" w:color="auto" w:fill="auto"/>
            <w:noWrap/>
            <w:vAlign w:val="bottom"/>
            <w:hideMark/>
          </w:tcPr>
          <w:p w14:paraId="6080B820"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single" w:sz="4" w:space="0" w:color="auto"/>
              <w:left w:val="nil"/>
              <w:bottom w:val="nil"/>
              <w:right w:val="nil"/>
            </w:tcBorders>
            <w:shd w:val="clear" w:color="auto" w:fill="EAF1DD" w:themeFill="accent3" w:themeFillTint="33"/>
            <w:noWrap/>
            <w:vAlign w:val="bottom"/>
            <w:hideMark/>
          </w:tcPr>
          <w:p w14:paraId="4524A0D5"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single" w:sz="4" w:space="0" w:color="auto"/>
              <w:left w:val="nil"/>
              <w:bottom w:val="nil"/>
              <w:right w:val="nil"/>
            </w:tcBorders>
            <w:shd w:val="clear" w:color="auto" w:fill="auto"/>
            <w:noWrap/>
            <w:vAlign w:val="bottom"/>
            <w:hideMark/>
          </w:tcPr>
          <w:p w14:paraId="293AD2DD"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single" w:sz="4" w:space="0" w:color="auto"/>
              <w:left w:val="nil"/>
              <w:bottom w:val="nil"/>
              <w:right w:val="nil"/>
            </w:tcBorders>
            <w:shd w:val="clear" w:color="auto" w:fill="EAF1DD" w:themeFill="accent3" w:themeFillTint="33"/>
            <w:noWrap/>
            <w:vAlign w:val="bottom"/>
            <w:hideMark/>
          </w:tcPr>
          <w:p w14:paraId="50B826B3"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single" w:sz="4" w:space="0" w:color="auto"/>
              <w:left w:val="nil"/>
              <w:bottom w:val="nil"/>
              <w:right w:val="nil"/>
            </w:tcBorders>
            <w:shd w:val="clear" w:color="auto" w:fill="auto"/>
            <w:noWrap/>
            <w:vAlign w:val="bottom"/>
            <w:hideMark/>
          </w:tcPr>
          <w:p w14:paraId="43B186A1"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single" w:sz="4" w:space="0" w:color="auto"/>
              <w:left w:val="nil"/>
              <w:bottom w:val="nil"/>
              <w:right w:val="single" w:sz="4" w:space="0" w:color="auto"/>
            </w:tcBorders>
            <w:shd w:val="clear" w:color="auto" w:fill="EAF1DD" w:themeFill="accent3" w:themeFillTint="33"/>
            <w:noWrap/>
            <w:vAlign w:val="bottom"/>
            <w:hideMark/>
          </w:tcPr>
          <w:p w14:paraId="0C86B405"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0CA6C902" w14:textId="77777777" w:rsidTr="00B77B32">
        <w:trPr>
          <w:trHeight w:val="204"/>
        </w:trPr>
        <w:tc>
          <w:tcPr>
            <w:tcW w:w="1858" w:type="dxa"/>
            <w:tcBorders>
              <w:top w:val="nil"/>
              <w:left w:val="single" w:sz="4" w:space="0" w:color="auto"/>
              <w:bottom w:val="nil"/>
              <w:right w:val="nil"/>
            </w:tcBorders>
            <w:shd w:val="clear" w:color="auto" w:fill="EAF1DD" w:themeFill="accent3" w:themeFillTint="33"/>
            <w:noWrap/>
            <w:vAlign w:val="bottom"/>
            <w:hideMark/>
          </w:tcPr>
          <w:p w14:paraId="036941C6"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149" w:type="dxa"/>
            <w:tcBorders>
              <w:top w:val="nil"/>
              <w:left w:val="nil"/>
              <w:bottom w:val="nil"/>
              <w:right w:val="nil"/>
            </w:tcBorders>
            <w:shd w:val="clear" w:color="auto" w:fill="auto"/>
            <w:noWrap/>
            <w:vAlign w:val="bottom"/>
            <w:hideMark/>
          </w:tcPr>
          <w:p w14:paraId="780D04D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314</w:t>
            </w:r>
          </w:p>
        </w:tc>
        <w:tc>
          <w:tcPr>
            <w:tcW w:w="1306" w:type="dxa"/>
            <w:tcBorders>
              <w:top w:val="nil"/>
              <w:left w:val="nil"/>
              <w:bottom w:val="nil"/>
              <w:right w:val="nil"/>
            </w:tcBorders>
            <w:shd w:val="clear" w:color="auto" w:fill="EAF1DD" w:themeFill="accent3" w:themeFillTint="33"/>
            <w:noWrap/>
            <w:vAlign w:val="bottom"/>
            <w:hideMark/>
          </w:tcPr>
          <w:p w14:paraId="2680C4D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393</w:t>
            </w:r>
          </w:p>
        </w:tc>
        <w:tc>
          <w:tcPr>
            <w:tcW w:w="1305" w:type="dxa"/>
            <w:tcBorders>
              <w:top w:val="nil"/>
              <w:left w:val="nil"/>
              <w:bottom w:val="nil"/>
              <w:right w:val="nil"/>
            </w:tcBorders>
            <w:shd w:val="clear" w:color="auto" w:fill="auto"/>
            <w:noWrap/>
            <w:vAlign w:val="bottom"/>
            <w:hideMark/>
          </w:tcPr>
          <w:p w14:paraId="350C404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391</w:t>
            </w:r>
          </w:p>
        </w:tc>
        <w:tc>
          <w:tcPr>
            <w:tcW w:w="1306" w:type="dxa"/>
            <w:tcBorders>
              <w:top w:val="nil"/>
              <w:left w:val="nil"/>
              <w:bottom w:val="nil"/>
              <w:right w:val="nil"/>
            </w:tcBorders>
            <w:shd w:val="clear" w:color="auto" w:fill="EAF1DD" w:themeFill="accent3" w:themeFillTint="33"/>
            <w:noWrap/>
            <w:vAlign w:val="bottom"/>
            <w:hideMark/>
          </w:tcPr>
          <w:p w14:paraId="3209B06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409</w:t>
            </w:r>
          </w:p>
        </w:tc>
        <w:tc>
          <w:tcPr>
            <w:tcW w:w="1305" w:type="dxa"/>
            <w:tcBorders>
              <w:top w:val="nil"/>
              <w:left w:val="nil"/>
              <w:bottom w:val="nil"/>
              <w:right w:val="nil"/>
            </w:tcBorders>
            <w:shd w:val="clear" w:color="auto" w:fill="auto"/>
            <w:noWrap/>
            <w:vAlign w:val="bottom"/>
            <w:hideMark/>
          </w:tcPr>
          <w:p w14:paraId="38C1B23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159</w:t>
            </w:r>
          </w:p>
        </w:tc>
        <w:tc>
          <w:tcPr>
            <w:tcW w:w="1306" w:type="dxa"/>
            <w:tcBorders>
              <w:top w:val="nil"/>
              <w:left w:val="nil"/>
              <w:bottom w:val="nil"/>
              <w:right w:val="nil"/>
            </w:tcBorders>
            <w:shd w:val="clear" w:color="auto" w:fill="EAF1DD" w:themeFill="accent3" w:themeFillTint="33"/>
            <w:noWrap/>
            <w:vAlign w:val="bottom"/>
            <w:hideMark/>
          </w:tcPr>
          <w:p w14:paraId="79DDD9E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301</w:t>
            </w:r>
          </w:p>
        </w:tc>
        <w:tc>
          <w:tcPr>
            <w:tcW w:w="1305" w:type="dxa"/>
            <w:tcBorders>
              <w:top w:val="nil"/>
              <w:left w:val="nil"/>
              <w:bottom w:val="nil"/>
              <w:right w:val="nil"/>
            </w:tcBorders>
            <w:shd w:val="clear" w:color="auto" w:fill="auto"/>
            <w:noWrap/>
            <w:vAlign w:val="bottom"/>
            <w:hideMark/>
          </w:tcPr>
          <w:p w14:paraId="4EFDD73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344</w:t>
            </w:r>
          </w:p>
        </w:tc>
        <w:tc>
          <w:tcPr>
            <w:tcW w:w="1306" w:type="dxa"/>
            <w:tcBorders>
              <w:top w:val="nil"/>
              <w:left w:val="nil"/>
              <w:bottom w:val="nil"/>
              <w:right w:val="nil"/>
            </w:tcBorders>
            <w:shd w:val="clear" w:color="auto" w:fill="EAF1DD" w:themeFill="accent3" w:themeFillTint="33"/>
            <w:noWrap/>
            <w:vAlign w:val="bottom"/>
            <w:hideMark/>
          </w:tcPr>
          <w:p w14:paraId="7B36913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488</w:t>
            </w:r>
          </w:p>
        </w:tc>
        <w:tc>
          <w:tcPr>
            <w:tcW w:w="1305" w:type="dxa"/>
            <w:tcBorders>
              <w:top w:val="nil"/>
              <w:left w:val="nil"/>
              <w:bottom w:val="nil"/>
              <w:right w:val="nil"/>
            </w:tcBorders>
            <w:shd w:val="clear" w:color="auto" w:fill="auto"/>
            <w:noWrap/>
            <w:vAlign w:val="bottom"/>
            <w:hideMark/>
          </w:tcPr>
          <w:p w14:paraId="776E510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613</w:t>
            </w:r>
          </w:p>
        </w:tc>
        <w:tc>
          <w:tcPr>
            <w:tcW w:w="1306" w:type="dxa"/>
            <w:tcBorders>
              <w:top w:val="nil"/>
              <w:left w:val="nil"/>
              <w:bottom w:val="nil"/>
              <w:right w:val="single" w:sz="4" w:space="0" w:color="auto"/>
            </w:tcBorders>
            <w:shd w:val="clear" w:color="auto" w:fill="EAF1DD" w:themeFill="accent3" w:themeFillTint="33"/>
            <w:noWrap/>
            <w:vAlign w:val="bottom"/>
            <w:hideMark/>
          </w:tcPr>
          <w:p w14:paraId="5E26AC2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885</w:t>
            </w:r>
          </w:p>
        </w:tc>
      </w:tr>
      <w:tr w:rsidR="000E61DB" w:rsidRPr="001565F1" w14:paraId="69A140DF" w14:textId="77777777" w:rsidTr="00B77B32">
        <w:trPr>
          <w:trHeight w:val="204"/>
        </w:trPr>
        <w:tc>
          <w:tcPr>
            <w:tcW w:w="1858" w:type="dxa"/>
            <w:tcBorders>
              <w:top w:val="nil"/>
              <w:left w:val="single" w:sz="4" w:space="0" w:color="auto"/>
              <w:bottom w:val="nil"/>
              <w:right w:val="nil"/>
            </w:tcBorders>
            <w:shd w:val="clear" w:color="auto" w:fill="EAF1DD" w:themeFill="accent3" w:themeFillTint="33"/>
            <w:noWrap/>
            <w:vAlign w:val="bottom"/>
            <w:hideMark/>
          </w:tcPr>
          <w:p w14:paraId="757A02BA"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149" w:type="dxa"/>
            <w:tcBorders>
              <w:top w:val="nil"/>
              <w:left w:val="nil"/>
              <w:bottom w:val="nil"/>
              <w:right w:val="nil"/>
            </w:tcBorders>
            <w:shd w:val="clear" w:color="auto" w:fill="auto"/>
            <w:noWrap/>
            <w:vAlign w:val="bottom"/>
            <w:hideMark/>
          </w:tcPr>
          <w:p w14:paraId="64C791D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257</w:t>
            </w:r>
          </w:p>
        </w:tc>
        <w:tc>
          <w:tcPr>
            <w:tcW w:w="1306" w:type="dxa"/>
            <w:tcBorders>
              <w:top w:val="nil"/>
              <w:left w:val="nil"/>
              <w:bottom w:val="nil"/>
              <w:right w:val="nil"/>
            </w:tcBorders>
            <w:shd w:val="clear" w:color="auto" w:fill="EAF1DD" w:themeFill="accent3" w:themeFillTint="33"/>
            <w:noWrap/>
            <w:vAlign w:val="bottom"/>
            <w:hideMark/>
          </w:tcPr>
          <w:p w14:paraId="5732606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248</w:t>
            </w:r>
          </w:p>
        </w:tc>
        <w:tc>
          <w:tcPr>
            <w:tcW w:w="1305" w:type="dxa"/>
            <w:tcBorders>
              <w:top w:val="nil"/>
              <w:left w:val="nil"/>
              <w:bottom w:val="nil"/>
              <w:right w:val="nil"/>
            </w:tcBorders>
            <w:shd w:val="clear" w:color="auto" w:fill="auto"/>
            <w:noWrap/>
            <w:vAlign w:val="bottom"/>
            <w:hideMark/>
          </w:tcPr>
          <w:p w14:paraId="42A87EC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282</w:t>
            </w:r>
          </w:p>
        </w:tc>
        <w:tc>
          <w:tcPr>
            <w:tcW w:w="1306" w:type="dxa"/>
            <w:tcBorders>
              <w:top w:val="nil"/>
              <w:left w:val="nil"/>
              <w:bottom w:val="nil"/>
              <w:right w:val="nil"/>
            </w:tcBorders>
            <w:shd w:val="clear" w:color="auto" w:fill="EAF1DD" w:themeFill="accent3" w:themeFillTint="33"/>
            <w:noWrap/>
            <w:vAlign w:val="bottom"/>
            <w:hideMark/>
          </w:tcPr>
          <w:p w14:paraId="551520D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289</w:t>
            </w:r>
          </w:p>
        </w:tc>
        <w:tc>
          <w:tcPr>
            <w:tcW w:w="1305" w:type="dxa"/>
            <w:tcBorders>
              <w:top w:val="nil"/>
              <w:left w:val="nil"/>
              <w:bottom w:val="nil"/>
              <w:right w:val="nil"/>
            </w:tcBorders>
            <w:shd w:val="clear" w:color="auto" w:fill="auto"/>
            <w:noWrap/>
            <w:vAlign w:val="bottom"/>
            <w:hideMark/>
          </w:tcPr>
          <w:p w14:paraId="269AA67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170</w:t>
            </w:r>
          </w:p>
        </w:tc>
        <w:tc>
          <w:tcPr>
            <w:tcW w:w="1306" w:type="dxa"/>
            <w:tcBorders>
              <w:top w:val="nil"/>
              <w:left w:val="nil"/>
              <w:bottom w:val="nil"/>
              <w:right w:val="nil"/>
            </w:tcBorders>
            <w:shd w:val="clear" w:color="auto" w:fill="EAF1DD" w:themeFill="accent3" w:themeFillTint="33"/>
            <w:noWrap/>
            <w:vAlign w:val="bottom"/>
            <w:hideMark/>
          </w:tcPr>
          <w:p w14:paraId="15EFDC9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224</w:t>
            </w:r>
          </w:p>
        </w:tc>
        <w:tc>
          <w:tcPr>
            <w:tcW w:w="1305" w:type="dxa"/>
            <w:tcBorders>
              <w:top w:val="nil"/>
              <w:left w:val="nil"/>
              <w:bottom w:val="nil"/>
              <w:right w:val="nil"/>
            </w:tcBorders>
            <w:shd w:val="clear" w:color="auto" w:fill="auto"/>
            <w:noWrap/>
            <w:vAlign w:val="bottom"/>
            <w:hideMark/>
          </w:tcPr>
          <w:p w14:paraId="2DEE9F1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185</w:t>
            </w:r>
          </w:p>
        </w:tc>
        <w:tc>
          <w:tcPr>
            <w:tcW w:w="1306" w:type="dxa"/>
            <w:tcBorders>
              <w:top w:val="nil"/>
              <w:left w:val="nil"/>
              <w:bottom w:val="nil"/>
              <w:right w:val="nil"/>
            </w:tcBorders>
            <w:shd w:val="clear" w:color="auto" w:fill="EAF1DD" w:themeFill="accent3" w:themeFillTint="33"/>
            <w:noWrap/>
            <w:vAlign w:val="bottom"/>
            <w:hideMark/>
          </w:tcPr>
          <w:p w14:paraId="365B0AF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218</w:t>
            </w:r>
          </w:p>
        </w:tc>
        <w:tc>
          <w:tcPr>
            <w:tcW w:w="1305" w:type="dxa"/>
            <w:tcBorders>
              <w:top w:val="nil"/>
              <w:left w:val="nil"/>
              <w:bottom w:val="nil"/>
              <w:right w:val="nil"/>
            </w:tcBorders>
            <w:shd w:val="clear" w:color="auto" w:fill="auto"/>
            <w:noWrap/>
            <w:vAlign w:val="bottom"/>
            <w:hideMark/>
          </w:tcPr>
          <w:p w14:paraId="5DC0104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323</w:t>
            </w:r>
          </w:p>
        </w:tc>
        <w:tc>
          <w:tcPr>
            <w:tcW w:w="1306" w:type="dxa"/>
            <w:tcBorders>
              <w:top w:val="nil"/>
              <w:left w:val="nil"/>
              <w:bottom w:val="nil"/>
              <w:right w:val="single" w:sz="4" w:space="0" w:color="auto"/>
            </w:tcBorders>
            <w:shd w:val="clear" w:color="auto" w:fill="EAF1DD" w:themeFill="accent3" w:themeFillTint="33"/>
            <w:noWrap/>
            <w:vAlign w:val="bottom"/>
            <w:hideMark/>
          </w:tcPr>
          <w:p w14:paraId="2C3E35C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329</w:t>
            </w:r>
          </w:p>
        </w:tc>
      </w:tr>
      <w:tr w:rsidR="00876EFC" w:rsidRPr="001565F1" w14:paraId="24CD1867" w14:textId="77777777" w:rsidTr="00B77B32">
        <w:trPr>
          <w:trHeight w:val="204"/>
        </w:trPr>
        <w:tc>
          <w:tcPr>
            <w:tcW w:w="1858" w:type="dxa"/>
            <w:tcBorders>
              <w:top w:val="nil"/>
              <w:left w:val="single" w:sz="4" w:space="0" w:color="auto"/>
              <w:bottom w:val="nil"/>
              <w:right w:val="nil"/>
            </w:tcBorders>
            <w:shd w:val="clear" w:color="auto" w:fill="EAF1DD" w:themeFill="accent3" w:themeFillTint="33"/>
            <w:noWrap/>
            <w:vAlign w:val="bottom"/>
            <w:hideMark/>
          </w:tcPr>
          <w:p w14:paraId="6A428C5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149" w:type="dxa"/>
            <w:tcBorders>
              <w:top w:val="nil"/>
              <w:left w:val="nil"/>
              <w:bottom w:val="nil"/>
              <w:right w:val="nil"/>
            </w:tcBorders>
            <w:shd w:val="clear" w:color="auto" w:fill="auto"/>
            <w:noWrap/>
            <w:vAlign w:val="bottom"/>
            <w:hideMark/>
          </w:tcPr>
          <w:p w14:paraId="160EE3F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189</w:t>
            </w:r>
          </w:p>
        </w:tc>
        <w:tc>
          <w:tcPr>
            <w:tcW w:w="1306" w:type="dxa"/>
            <w:tcBorders>
              <w:top w:val="nil"/>
              <w:left w:val="nil"/>
              <w:bottom w:val="nil"/>
              <w:right w:val="nil"/>
            </w:tcBorders>
            <w:shd w:val="clear" w:color="auto" w:fill="EAF1DD" w:themeFill="accent3" w:themeFillTint="33"/>
            <w:noWrap/>
            <w:vAlign w:val="bottom"/>
            <w:hideMark/>
          </w:tcPr>
          <w:p w14:paraId="544B2B1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193</w:t>
            </w:r>
          </w:p>
        </w:tc>
        <w:tc>
          <w:tcPr>
            <w:tcW w:w="1305" w:type="dxa"/>
            <w:tcBorders>
              <w:top w:val="nil"/>
              <w:left w:val="nil"/>
              <w:bottom w:val="nil"/>
              <w:right w:val="nil"/>
            </w:tcBorders>
            <w:shd w:val="clear" w:color="auto" w:fill="auto"/>
            <w:noWrap/>
            <w:vAlign w:val="bottom"/>
            <w:hideMark/>
          </w:tcPr>
          <w:p w14:paraId="62C1782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215</w:t>
            </w:r>
          </w:p>
        </w:tc>
        <w:tc>
          <w:tcPr>
            <w:tcW w:w="1306" w:type="dxa"/>
            <w:tcBorders>
              <w:top w:val="nil"/>
              <w:left w:val="nil"/>
              <w:bottom w:val="nil"/>
              <w:right w:val="nil"/>
            </w:tcBorders>
            <w:shd w:val="clear" w:color="auto" w:fill="EAF1DD" w:themeFill="accent3" w:themeFillTint="33"/>
            <w:noWrap/>
            <w:vAlign w:val="bottom"/>
            <w:hideMark/>
          </w:tcPr>
          <w:p w14:paraId="332A9B9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200</w:t>
            </w:r>
          </w:p>
        </w:tc>
        <w:tc>
          <w:tcPr>
            <w:tcW w:w="1305" w:type="dxa"/>
            <w:tcBorders>
              <w:top w:val="nil"/>
              <w:left w:val="nil"/>
              <w:bottom w:val="nil"/>
              <w:right w:val="nil"/>
            </w:tcBorders>
            <w:shd w:val="clear" w:color="auto" w:fill="auto"/>
            <w:noWrap/>
            <w:vAlign w:val="bottom"/>
            <w:hideMark/>
          </w:tcPr>
          <w:p w14:paraId="049F2D7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116</w:t>
            </w:r>
          </w:p>
        </w:tc>
        <w:tc>
          <w:tcPr>
            <w:tcW w:w="1306" w:type="dxa"/>
            <w:tcBorders>
              <w:top w:val="nil"/>
              <w:left w:val="nil"/>
              <w:bottom w:val="nil"/>
              <w:right w:val="nil"/>
            </w:tcBorders>
            <w:shd w:val="clear" w:color="auto" w:fill="EAF1DD" w:themeFill="accent3" w:themeFillTint="33"/>
            <w:noWrap/>
            <w:vAlign w:val="bottom"/>
            <w:hideMark/>
          </w:tcPr>
          <w:p w14:paraId="69A030F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146</w:t>
            </w:r>
          </w:p>
        </w:tc>
        <w:tc>
          <w:tcPr>
            <w:tcW w:w="1305" w:type="dxa"/>
            <w:tcBorders>
              <w:top w:val="nil"/>
              <w:left w:val="nil"/>
              <w:bottom w:val="nil"/>
              <w:right w:val="nil"/>
            </w:tcBorders>
            <w:shd w:val="clear" w:color="auto" w:fill="auto"/>
            <w:noWrap/>
            <w:vAlign w:val="bottom"/>
            <w:hideMark/>
          </w:tcPr>
          <w:p w14:paraId="4183E59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118</w:t>
            </w:r>
          </w:p>
        </w:tc>
        <w:tc>
          <w:tcPr>
            <w:tcW w:w="1306" w:type="dxa"/>
            <w:tcBorders>
              <w:top w:val="nil"/>
              <w:left w:val="nil"/>
              <w:bottom w:val="nil"/>
              <w:right w:val="nil"/>
            </w:tcBorders>
            <w:shd w:val="clear" w:color="auto" w:fill="EAF1DD" w:themeFill="accent3" w:themeFillTint="33"/>
            <w:noWrap/>
            <w:vAlign w:val="bottom"/>
            <w:hideMark/>
          </w:tcPr>
          <w:p w14:paraId="7C0C054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143</w:t>
            </w:r>
          </w:p>
        </w:tc>
        <w:tc>
          <w:tcPr>
            <w:tcW w:w="1305" w:type="dxa"/>
            <w:tcBorders>
              <w:top w:val="nil"/>
              <w:left w:val="nil"/>
              <w:bottom w:val="nil"/>
              <w:right w:val="nil"/>
            </w:tcBorders>
            <w:shd w:val="clear" w:color="auto" w:fill="auto"/>
            <w:noWrap/>
            <w:vAlign w:val="bottom"/>
            <w:hideMark/>
          </w:tcPr>
          <w:p w14:paraId="743482A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234</w:t>
            </w:r>
          </w:p>
        </w:tc>
        <w:tc>
          <w:tcPr>
            <w:tcW w:w="1306" w:type="dxa"/>
            <w:tcBorders>
              <w:top w:val="nil"/>
              <w:left w:val="nil"/>
              <w:bottom w:val="nil"/>
              <w:right w:val="single" w:sz="4" w:space="0" w:color="auto"/>
            </w:tcBorders>
            <w:shd w:val="clear" w:color="auto" w:fill="EAF1DD" w:themeFill="accent3" w:themeFillTint="33"/>
            <w:noWrap/>
            <w:vAlign w:val="bottom"/>
            <w:hideMark/>
          </w:tcPr>
          <w:p w14:paraId="1D857B0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221</w:t>
            </w:r>
          </w:p>
        </w:tc>
      </w:tr>
      <w:tr w:rsidR="00876EFC" w:rsidRPr="001565F1" w14:paraId="26F08498" w14:textId="77777777" w:rsidTr="00B77B32">
        <w:trPr>
          <w:trHeight w:val="204"/>
        </w:trPr>
        <w:tc>
          <w:tcPr>
            <w:tcW w:w="1858" w:type="dxa"/>
            <w:tcBorders>
              <w:top w:val="nil"/>
              <w:left w:val="single" w:sz="4" w:space="0" w:color="auto"/>
              <w:bottom w:val="nil"/>
              <w:right w:val="nil"/>
            </w:tcBorders>
            <w:shd w:val="clear" w:color="auto" w:fill="EAF1DD" w:themeFill="accent3" w:themeFillTint="33"/>
            <w:noWrap/>
            <w:vAlign w:val="bottom"/>
            <w:hideMark/>
          </w:tcPr>
          <w:p w14:paraId="6B2DF9FD"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149" w:type="dxa"/>
            <w:tcBorders>
              <w:top w:val="nil"/>
              <w:left w:val="nil"/>
              <w:bottom w:val="nil"/>
              <w:right w:val="nil"/>
            </w:tcBorders>
            <w:shd w:val="clear" w:color="auto" w:fill="auto"/>
            <w:noWrap/>
            <w:vAlign w:val="bottom"/>
            <w:hideMark/>
          </w:tcPr>
          <w:p w14:paraId="5DDC3F3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68</w:t>
            </w:r>
          </w:p>
        </w:tc>
        <w:tc>
          <w:tcPr>
            <w:tcW w:w="1306" w:type="dxa"/>
            <w:tcBorders>
              <w:top w:val="nil"/>
              <w:left w:val="nil"/>
              <w:bottom w:val="nil"/>
              <w:right w:val="nil"/>
            </w:tcBorders>
            <w:shd w:val="clear" w:color="auto" w:fill="EAF1DD" w:themeFill="accent3" w:themeFillTint="33"/>
            <w:noWrap/>
            <w:vAlign w:val="bottom"/>
            <w:hideMark/>
          </w:tcPr>
          <w:p w14:paraId="6571245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55</w:t>
            </w:r>
          </w:p>
        </w:tc>
        <w:tc>
          <w:tcPr>
            <w:tcW w:w="1305" w:type="dxa"/>
            <w:tcBorders>
              <w:top w:val="nil"/>
              <w:left w:val="nil"/>
              <w:bottom w:val="nil"/>
              <w:right w:val="nil"/>
            </w:tcBorders>
            <w:shd w:val="clear" w:color="auto" w:fill="auto"/>
            <w:noWrap/>
            <w:vAlign w:val="bottom"/>
            <w:hideMark/>
          </w:tcPr>
          <w:p w14:paraId="408D4E1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67</w:t>
            </w:r>
          </w:p>
        </w:tc>
        <w:tc>
          <w:tcPr>
            <w:tcW w:w="1306" w:type="dxa"/>
            <w:tcBorders>
              <w:top w:val="nil"/>
              <w:left w:val="nil"/>
              <w:bottom w:val="nil"/>
              <w:right w:val="nil"/>
            </w:tcBorders>
            <w:shd w:val="clear" w:color="auto" w:fill="EAF1DD" w:themeFill="accent3" w:themeFillTint="33"/>
            <w:noWrap/>
            <w:vAlign w:val="bottom"/>
            <w:hideMark/>
          </w:tcPr>
          <w:p w14:paraId="07F9B2A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89</w:t>
            </w:r>
          </w:p>
        </w:tc>
        <w:tc>
          <w:tcPr>
            <w:tcW w:w="1305" w:type="dxa"/>
            <w:tcBorders>
              <w:top w:val="nil"/>
              <w:left w:val="nil"/>
              <w:bottom w:val="nil"/>
              <w:right w:val="nil"/>
            </w:tcBorders>
            <w:shd w:val="clear" w:color="auto" w:fill="auto"/>
            <w:noWrap/>
            <w:vAlign w:val="bottom"/>
            <w:hideMark/>
          </w:tcPr>
          <w:p w14:paraId="11488D6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54</w:t>
            </w:r>
          </w:p>
        </w:tc>
        <w:tc>
          <w:tcPr>
            <w:tcW w:w="1306" w:type="dxa"/>
            <w:tcBorders>
              <w:top w:val="nil"/>
              <w:left w:val="nil"/>
              <w:bottom w:val="nil"/>
              <w:right w:val="nil"/>
            </w:tcBorders>
            <w:shd w:val="clear" w:color="auto" w:fill="EAF1DD" w:themeFill="accent3" w:themeFillTint="33"/>
            <w:noWrap/>
            <w:vAlign w:val="bottom"/>
            <w:hideMark/>
          </w:tcPr>
          <w:p w14:paraId="2764D01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78</w:t>
            </w:r>
          </w:p>
        </w:tc>
        <w:tc>
          <w:tcPr>
            <w:tcW w:w="1305" w:type="dxa"/>
            <w:tcBorders>
              <w:top w:val="nil"/>
              <w:left w:val="nil"/>
              <w:bottom w:val="nil"/>
              <w:right w:val="nil"/>
            </w:tcBorders>
            <w:shd w:val="clear" w:color="auto" w:fill="auto"/>
            <w:noWrap/>
            <w:vAlign w:val="bottom"/>
            <w:hideMark/>
          </w:tcPr>
          <w:p w14:paraId="618F632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67</w:t>
            </w:r>
          </w:p>
        </w:tc>
        <w:tc>
          <w:tcPr>
            <w:tcW w:w="1306" w:type="dxa"/>
            <w:tcBorders>
              <w:top w:val="nil"/>
              <w:left w:val="nil"/>
              <w:bottom w:val="nil"/>
              <w:right w:val="nil"/>
            </w:tcBorders>
            <w:shd w:val="clear" w:color="auto" w:fill="EAF1DD" w:themeFill="accent3" w:themeFillTint="33"/>
            <w:noWrap/>
            <w:vAlign w:val="bottom"/>
            <w:hideMark/>
          </w:tcPr>
          <w:p w14:paraId="54DCECB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75</w:t>
            </w:r>
          </w:p>
        </w:tc>
        <w:tc>
          <w:tcPr>
            <w:tcW w:w="1305" w:type="dxa"/>
            <w:tcBorders>
              <w:top w:val="nil"/>
              <w:left w:val="nil"/>
              <w:bottom w:val="nil"/>
              <w:right w:val="nil"/>
            </w:tcBorders>
            <w:shd w:val="clear" w:color="auto" w:fill="auto"/>
            <w:noWrap/>
            <w:vAlign w:val="bottom"/>
            <w:hideMark/>
          </w:tcPr>
          <w:p w14:paraId="3A7154B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89</w:t>
            </w:r>
          </w:p>
        </w:tc>
        <w:tc>
          <w:tcPr>
            <w:tcW w:w="1306" w:type="dxa"/>
            <w:tcBorders>
              <w:top w:val="nil"/>
              <w:left w:val="nil"/>
              <w:bottom w:val="nil"/>
              <w:right w:val="single" w:sz="4" w:space="0" w:color="auto"/>
            </w:tcBorders>
            <w:shd w:val="clear" w:color="auto" w:fill="EAF1DD" w:themeFill="accent3" w:themeFillTint="33"/>
            <w:noWrap/>
            <w:vAlign w:val="bottom"/>
            <w:hideMark/>
          </w:tcPr>
          <w:p w14:paraId="28CBA11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108</w:t>
            </w:r>
          </w:p>
        </w:tc>
      </w:tr>
      <w:tr w:rsidR="00876EFC" w:rsidRPr="00DA0360" w14:paraId="12D2EDE3" w14:textId="77777777" w:rsidTr="00B77B32">
        <w:trPr>
          <w:trHeight w:val="204"/>
        </w:trPr>
        <w:tc>
          <w:tcPr>
            <w:tcW w:w="1858" w:type="dxa"/>
            <w:tcBorders>
              <w:top w:val="nil"/>
              <w:left w:val="single" w:sz="4" w:space="0" w:color="auto"/>
              <w:bottom w:val="single" w:sz="4" w:space="0" w:color="auto"/>
              <w:right w:val="nil"/>
            </w:tcBorders>
            <w:shd w:val="clear" w:color="auto" w:fill="EAF1DD" w:themeFill="accent3" w:themeFillTint="33"/>
            <w:noWrap/>
            <w:vAlign w:val="bottom"/>
            <w:hideMark/>
          </w:tcPr>
          <w:p w14:paraId="741B7164"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149" w:type="dxa"/>
            <w:tcBorders>
              <w:top w:val="nil"/>
              <w:left w:val="nil"/>
              <w:bottom w:val="single" w:sz="4" w:space="0" w:color="auto"/>
              <w:right w:val="nil"/>
            </w:tcBorders>
            <w:shd w:val="clear" w:color="auto" w:fill="auto"/>
            <w:noWrap/>
            <w:vAlign w:val="bottom"/>
            <w:hideMark/>
          </w:tcPr>
          <w:p w14:paraId="5BD9EFAE"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571</w:t>
            </w:r>
          </w:p>
        </w:tc>
        <w:tc>
          <w:tcPr>
            <w:tcW w:w="1306" w:type="dxa"/>
            <w:tcBorders>
              <w:top w:val="nil"/>
              <w:left w:val="nil"/>
              <w:bottom w:val="single" w:sz="4" w:space="0" w:color="auto"/>
              <w:right w:val="nil"/>
            </w:tcBorders>
            <w:shd w:val="clear" w:color="auto" w:fill="EAF1DD" w:themeFill="accent3" w:themeFillTint="33"/>
            <w:noWrap/>
            <w:vAlign w:val="bottom"/>
            <w:hideMark/>
          </w:tcPr>
          <w:p w14:paraId="52CCC4D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641</w:t>
            </w:r>
          </w:p>
        </w:tc>
        <w:tc>
          <w:tcPr>
            <w:tcW w:w="1305" w:type="dxa"/>
            <w:tcBorders>
              <w:top w:val="nil"/>
              <w:left w:val="nil"/>
              <w:bottom w:val="single" w:sz="4" w:space="0" w:color="auto"/>
              <w:right w:val="nil"/>
            </w:tcBorders>
            <w:shd w:val="clear" w:color="auto" w:fill="auto"/>
            <w:noWrap/>
            <w:vAlign w:val="bottom"/>
            <w:hideMark/>
          </w:tcPr>
          <w:p w14:paraId="14A87C1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673</w:t>
            </w:r>
          </w:p>
        </w:tc>
        <w:tc>
          <w:tcPr>
            <w:tcW w:w="1306" w:type="dxa"/>
            <w:tcBorders>
              <w:top w:val="nil"/>
              <w:left w:val="nil"/>
              <w:bottom w:val="single" w:sz="4" w:space="0" w:color="auto"/>
              <w:right w:val="nil"/>
            </w:tcBorders>
            <w:shd w:val="clear" w:color="auto" w:fill="EAF1DD" w:themeFill="accent3" w:themeFillTint="33"/>
            <w:noWrap/>
            <w:vAlign w:val="bottom"/>
            <w:hideMark/>
          </w:tcPr>
          <w:p w14:paraId="1EAE691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698</w:t>
            </w:r>
          </w:p>
        </w:tc>
        <w:tc>
          <w:tcPr>
            <w:tcW w:w="1305" w:type="dxa"/>
            <w:tcBorders>
              <w:top w:val="nil"/>
              <w:left w:val="nil"/>
              <w:bottom w:val="single" w:sz="4" w:space="0" w:color="auto"/>
              <w:right w:val="nil"/>
            </w:tcBorders>
            <w:shd w:val="clear" w:color="auto" w:fill="auto"/>
            <w:noWrap/>
            <w:vAlign w:val="bottom"/>
            <w:hideMark/>
          </w:tcPr>
          <w:p w14:paraId="240230D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329</w:t>
            </w:r>
          </w:p>
        </w:tc>
        <w:tc>
          <w:tcPr>
            <w:tcW w:w="1306" w:type="dxa"/>
            <w:tcBorders>
              <w:top w:val="nil"/>
              <w:left w:val="nil"/>
              <w:bottom w:val="single" w:sz="4" w:space="0" w:color="auto"/>
              <w:right w:val="nil"/>
            </w:tcBorders>
            <w:shd w:val="clear" w:color="auto" w:fill="EAF1DD" w:themeFill="accent3" w:themeFillTint="33"/>
            <w:noWrap/>
            <w:vAlign w:val="bottom"/>
            <w:hideMark/>
          </w:tcPr>
          <w:p w14:paraId="03182BEE"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525</w:t>
            </w:r>
          </w:p>
        </w:tc>
        <w:tc>
          <w:tcPr>
            <w:tcW w:w="1305" w:type="dxa"/>
            <w:tcBorders>
              <w:top w:val="nil"/>
              <w:left w:val="nil"/>
              <w:bottom w:val="single" w:sz="4" w:space="0" w:color="auto"/>
              <w:right w:val="nil"/>
            </w:tcBorders>
            <w:shd w:val="clear" w:color="auto" w:fill="auto"/>
            <w:noWrap/>
            <w:vAlign w:val="bottom"/>
            <w:hideMark/>
          </w:tcPr>
          <w:p w14:paraId="515A070D"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529</w:t>
            </w:r>
          </w:p>
        </w:tc>
        <w:tc>
          <w:tcPr>
            <w:tcW w:w="1306" w:type="dxa"/>
            <w:tcBorders>
              <w:top w:val="nil"/>
              <w:left w:val="nil"/>
              <w:bottom w:val="single" w:sz="4" w:space="0" w:color="auto"/>
              <w:right w:val="nil"/>
            </w:tcBorders>
            <w:shd w:val="clear" w:color="auto" w:fill="EAF1DD" w:themeFill="accent3" w:themeFillTint="33"/>
            <w:noWrap/>
            <w:vAlign w:val="bottom"/>
            <w:hideMark/>
          </w:tcPr>
          <w:p w14:paraId="05CD636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706</w:t>
            </w:r>
          </w:p>
        </w:tc>
        <w:tc>
          <w:tcPr>
            <w:tcW w:w="1305" w:type="dxa"/>
            <w:tcBorders>
              <w:top w:val="nil"/>
              <w:left w:val="nil"/>
              <w:bottom w:val="single" w:sz="4" w:space="0" w:color="auto"/>
              <w:right w:val="nil"/>
            </w:tcBorders>
            <w:shd w:val="clear" w:color="auto" w:fill="auto"/>
            <w:noWrap/>
            <w:vAlign w:val="bottom"/>
            <w:hideMark/>
          </w:tcPr>
          <w:p w14:paraId="336B438E"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936</w:t>
            </w:r>
          </w:p>
        </w:tc>
        <w:tc>
          <w:tcPr>
            <w:tcW w:w="1306" w:type="dxa"/>
            <w:tcBorders>
              <w:top w:val="nil"/>
              <w:left w:val="nil"/>
              <w:bottom w:val="single" w:sz="4" w:space="0" w:color="auto"/>
              <w:right w:val="single" w:sz="4" w:space="0" w:color="auto"/>
            </w:tcBorders>
            <w:shd w:val="clear" w:color="auto" w:fill="EAF1DD" w:themeFill="accent3" w:themeFillTint="33"/>
            <w:noWrap/>
            <w:vAlign w:val="bottom"/>
            <w:hideMark/>
          </w:tcPr>
          <w:p w14:paraId="350B6FF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B77B32">
              <w:rPr>
                <w:rFonts w:eastAsia="Times New Roman" w:cs="Arial"/>
                <w:b/>
                <w:color w:val="000000"/>
                <w:lang w:eastAsia="en-AU"/>
              </w:rPr>
              <w:t>,</w:t>
            </w:r>
            <w:r w:rsidRPr="00DA0360">
              <w:rPr>
                <w:rFonts w:eastAsia="Times New Roman" w:cs="Arial"/>
                <w:b/>
                <w:color w:val="000000"/>
                <w:lang w:eastAsia="en-AU"/>
              </w:rPr>
              <w:t>214</w:t>
            </w:r>
          </w:p>
        </w:tc>
      </w:tr>
      <w:tr w:rsidR="00876EFC" w:rsidRPr="00DA0360" w14:paraId="3C4BBEF5" w14:textId="77777777" w:rsidTr="00B77B32">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40FCD5D0"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Neglect</w:t>
            </w:r>
          </w:p>
        </w:tc>
        <w:tc>
          <w:tcPr>
            <w:tcW w:w="1149" w:type="dxa"/>
            <w:tcBorders>
              <w:top w:val="nil"/>
              <w:left w:val="nil"/>
              <w:bottom w:val="nil"/>
              <w:right w:val="nil"/>
            </w:tcBorders>
            <w:shd w:val="clear" w:color="auto" w:fill="auto"/>
            <w:noWrap/>
            <w:vAlign w:val="bottom"/>
            <w:hideMark/>
          </w:tcPr>
          <w:p w14:paraId="3EA356D1"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DAEEF3" w:themeFill="accent5" w:themeFillTint="33"/>
            <w:noWrap/>
            <w:vAlign w:val="bottom"/>
            <w:hideMark/>
          </w:tcPr>
          <w:p w14:paraId="1B4669FE"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775CF57C"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DAEEF3" w:themeFill="accent5" w:themeFillTint="33"/>
            <w:noWrap/>
            <w:vAlign w:val="bottom"/>
            <w:hideMark/>
          </w:tcPr>
          <w:p w14:paraId="44428970"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479F5D09"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DAEEF3" w:themeFill="accent5" w:themeFillTint="33"/>
            <w:noWrap/>
            <w:vAlign w:val="bottom"/>
            <w:hideMark/>
          </w:tcPr>
          <w:p w14:paraId="47C109D2"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53A2982D"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DAEEF3" w:themeFill="accent5" w:themeFillTint="33"/>
            <w:noWrap/>
            <w:vAlign w:val="bottom"/>
            <w:hideMark/>
          </w:tcPr>
          <w:p w14:paraId="1FB4DCDA"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78895D40"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single" w:sz="4" w:space="0" w:color="auto"/>
            </w:tcBorders>
            <w:shd w:val="clear" w:color="auto" w:fill="DAEEF3" w:themeFill="accent5" w:themeFillTint="33"/>
            <w:noWrap/>
            <w:vAlign w:val="bottom"/>
            <w:hideMark/>
          </w:tcPr>
          <w:p w14:paraId="48CB5A15"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6ED6BB7E" w14:textId="77777777" w:rsidTr="00B77B32">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40E982FD"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149" w:type="dxa"/>
            <w:tcBorders>
              <w:top w:val="nil"/>
              <w:left w:val="nil"/>
              <w:bottom w:val="nil"/>
              <w:right w:val="nil"/>
            </w:tcBorders>
            <w:shd w:val="clear" w:color="auto" w:fill="auto"/>
            <w:noWrap/>
            <w:vAlign w:val="bottom"/>
            <w:hideMark/>
          </w:tcPr>
          <w:p w14:paraId="5952F06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253</w:t>
            </w:r>
          </w:p>
        </w:tc>
        <w:tc>
          <w:tcPr>
            <w:tcW w:w="1306" w:type="dxa"/>
            <w:tcBorders>
              <w:top w:val="nil"/>
              <w:left w:val="nil"/>
              <w:bottom w:val="nil"/>
              <w:right w:val="nil"/>
            </w:tcBorders>
            <w:shd w:val="clear" w:color="auto" w:fill="DAEEF3" w:themeFill="accent5" w:themeFillTint="33"/>
            <w:noWrap/>
            <w:vAlign w:val="bottom"/>
            <w:hideMark/>
          </w:tcPr>
          <w:p w14:paraId="5DDDD77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217</w:t>
            </w:r>
          </w:p>
        </w:tc>
        <w:tc>
          <w:tcPr>
            <w:tcW w:w="1305" w:type="dxa"/>
            <w:tcBorders>
              <w:top w:val="nil"/>
              <w:left w:val="nil"/>
              <w:bottom w:val="nil"/>
              <w:right w:val="nil"/>
            </w:tcBorders>
            <w:shd w:val="clear" w:color="auto" w:fill="auto"/>
            <w:noWrap/>
            <w:vAlign w:val="bottom"/>
            <w:hideMark/>
          </w:tcPr>
          <w:p w14:paraId="229EE81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186</w:t>
            </w:r>
          </w:p>
        </w:tc>
        <w:tc>
          <w:tcPr>
            <w:tcW w:w="1306" w:type="dxa"/>
            <w:tcBorders>
              <w:top w:val="nil"/>
              <w:left w:val="nil"/>
              <w:bottom w:val="nil"/>
              <w:right w:val="nil"/>
            </w:tcBorders>
            <w:shd w:val="clear" w:color="auto" w:fill="DAEEF3" w:themeFill="accent5" w:themeFillTint="33"/>
            <w:noWrap/>
            <w:vAlign w:val="bottom"/>
            <w:hideMark/>
          </w:tcPr>
          <w:p w14:paraId="453A6C4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194</w:t>
            </w:r>
          </w:p>
        </w:tc>
        <w:tc>
          <w:tcPr>
            <w:tcW w:w="1305" w:type="dxa"/>
            <w:tcBorders>
              <w:top w:val="nil"/>
              <w:left w:val="nil"/>
              <w:bottom w:val="nil"/>
              <w:right w:val="nil"/>
            </w:tcBorders>
            <w:shd w:val="clear" w:color="auto" w:fill="auto"/>
            <w:noWrap/>
            <w:vAlign w:val="bottom"/>
            <w:hideMark/>
          </w:tcPr>
          <w:p w14:paraId="6D57F8C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451</w:t>
            </w:r>
          </w:p>
        </w:tc>
        <w:tc>
          <w:tcPr>
            <w:tcW w:w="1306" w:type="dxa"/>
            <w:tcBorders>
              <w:top w:val="nil"/>
              <w:left w:val="nil"/>
              <w:bottom w:val="nil"/>
              <w:right w:val="nil"/>
            </w:tcBorders>
            <w:shd w:val="clear" w:color="auto" w:fill="DAEEF3" w:themeFill="accent5" w:themeFillTint="33"/>
            <w:noWrap/>
            <w:vAlign w:val="bottom"/>
            <w:hideMark/>
          </w:tcPr>
          <w:p w14:paraId="62EF5A6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276</w:t>
            </w:r>
          </w:p>
        </w:tc>
        <w:tc>
          <w:tcPr>
            <w:tcW w:w="1305" w:type="dxa"/>
            <w:tcBorders>
              <w:top w:val="nil"/>
              <w:left w:val="nil"/>
              <w:bottom w:val="nil"/>
              <w:right w:val="nil"/>
            </w:tcBorders>
            <w:shd w:val="clear" w:color="auto" w:fill="auto"/>
            <w:noWrap/>
            <w:vAlign w:val="bottom"/>
            <w:hideMark/>
          </w:tcPr>
          <w:p w14:paraId="136C348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122</w:t>
            </w:r>
          </w:p>
        </w:tc>
        <w:tc>
          <w:tcPr>
            <w:tcW w:w="1306" w:type="dxa"/>
            <w:tcBorders>
              <w:top w:val="nil"/>
              <w:left w:val="nil"/>
              <w:bottom w:val="nil"/>
              <w:right w:val="nil"/>
            </w:tcBorders>
            <w:shd w:val="clear" w:color="auto" w:fill="DAEEF3" w:themeFill="accent5" w:themeFillTint="33"/>
            <w:noWrap/>
            <w:vAlign w:val="bottom"/>
            <w:hideMark/>
          </w:tcPr>
          <w:p w14:paraId="392701D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155</w:t>
            </w:r>
          </w:p>
        </w:tc>
        <w:tc>
          <w:tcPr>
            <w:tcW w:w="1305" w:type="dxa"/>
            <w:tcBorders>
              <w:top w:val="nil"/>
              <w:left w:val="nil"/>
              <w:bottom w:val="nil"/>
              <w:right w:val="nil"/>
            </w:tcBorders>
            <w:shd w:val="clear" w:color="auto" w:fill="auto"/>
            <w:noWrap/>
            <w:vAlign w:val="bottom"/>
            <w:hideMark/>
          </w:tcPr>
          <w:p w14:paraId="287E922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213</w:t>
            </w:r>
          </w:p>
        </w:tc>
        <w:tc>
          <w:tcPr>
            <w:tcW w:w="1306" w:type="dxa"/>
            <w:tcBorders>
              <w:top w:val="nil"/>
              <w:left w:val="nil"/>
              <w:bottom w:val="nil"/>
              <w:right w:val="single" w:sz="4" w:space="0" w:color="auto"/>
            </w:tcBorders>
            <w:shd w:val="clear" w:color="auto" w:fill="DAEEF3" w:themeFill="accent5" w:themeFillTint="33"/>
            <w:noWrap/>
            <w:vAlign w:val="bottom"/>
            <w:hideMark/>
          </w:tcPr>
          <w:p w14:paraId="1ABA0EC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221</w:t>
            </w:r>
          </w:p>
        </w:tc>
      </w:tr>
      <w:tr w:rsidR="000E61DB" w:rsidRPr="001565F1" w14:paraId="5D3D2F14" w14:textId="77777777" w:rsidTr="00B77B32">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3EE3B5A1"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149" w:type="dxa"/>
            <w:tcBorders>
              <w:top w:val="nil"/>
              <w:left w:val="nil"/>
              <w:bottom w:val="nil"/>
              <w:right w:val="nil"/>
            </w:tcBorders>
            <w:shd w:val="clear" w:color="auto" w:fill="auto"/>
            <w:noWrap/>
            <w:vAlign w:val="bottom"/>
            <w:hideMark/>
          </w:tcPr>
          <w:p w14:paraId="40BBA7D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208</w:t>
            </w:r>
          </w:p>
        </w:tc>
        <w:tc>
          <w:tcPr>
            <w:tcW w:w="1306" w:type="dxa"/>
            <w:tcBorders>
              <w:top w:val="nil"/>
              <w:left w:val="nil"/>
              <w:bottom w:val="nil"/>
              <w:right w:val="nil"/>
            </w:tcBorders>
            <w:shd w:val="clear" w:color="auto" w:fill="DAEEF3" w:themeFill="accent5" w:themeFillTint="33"/>
            <w:noWrap/>
            <w:vAlign w:val="bottom"/>
            <w:hideMark/>
          </w:tcPr>
          <w:p w14:paraId="7A22F8C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184</w:t>
            </w:r>
          </w:p>
        </w:tc>
        <w:tc>
          <w:tcPr>
            <w:tcW w:w="1305" w:type="dxa"/>
            <w:tcBorders>
              <w:top w:val="nil"/>
              <w:left w:val="nil"/>
              <w:bottom w:val="nil"/>
              <w:right w:val="nil"/>
            </w:tcBorders>
            <w:shd w:val="clear" w:color="auto" w:fill="auto"/>
            <w:noWrap/>
            <w:vAlign w:val="bottom"/>
            <w:hideMark/>
          </w:tcPr>
          <w:p w14:paraId="2AB01A4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198</w:t>
            </w:r>
          </w:p>
        </w:tc>
        <w:tc>
          <w:tcPr>
            <w:tcW w:w="1306" w:type="dxa"/>
            <w:tcBorders>
              <w:top w:val="nil"/>
              <w:left w:val="nil"/>
              <w:bottom w:val="nil"/>
              <w:right w:val="nil"/>
            </w:tcBorders>
            <w:shd w:val="clear" w:color="auto" w:fill="DAEEF3" w:themeFill="accent5" w:themeFillTint="33"/>
            <w:noWrap/>
            <w:vAlign w:val="bottom"/>
            <w:hideMark/>
          </w:tcPr>
          <w:p w14:paraId="40EC0F9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144</w:t>
            </w:r>
          </w:p>
        </w:tc>
        <w:tc>
          <w:tcPr>
            <w:tcW w:w="1305" w:type="dxa"/>
            <w:tcBorders>
              <w:top w:val="nil"/>
              <w:left w:val="nil"/>
              <w:bottom w:val="nil"/>
              <w:right w:val="nil"/>
            </w:tcBorders>
            <w:shd w:val="clear" w:color="auto" w:fill="auto"/>
            <w:noWrap/>
            <w:vAlign w:val="bottom"/>
            <w:hideMark/>
          </w:tcPr>
          <w:p w14:paraId="3B1F2E3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172</w:t>
            </w:r>
          </w:p>
        </w:tc>
        <w:tc>
          <w:tcPr>
            <w:tcW w:w="1306" w:type="dxa"/>
            <w:tcBorders>
              <w:top w:val="nil"/>
              <w:left w:val="nil"/>
              <w:bottom w:val="nil"/>
              <w:right w:val="nil"/>
            </w:tcBorders>
            <w:shd w:val="clear" w:color="auto" w:fill="DAEEF3" w:themeFill="accent5" w:themeFillTint="33"/>
            <w:noWrap/>
            <w:vAlign w:val="bottom"/>
            <w:hideMark/>
          </w:tcPr>
          <w:p w14:paraId="363C87F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127</w:t>
            </w:r>
          </w:p>
        </w:tc>
        <w:tc>
          <w:tcPr>
            <w:tcW w:w="1305" w:type="dxa"/>
            <w:tcBorders>
              <w:top w:val="nil"/>
              <w:left w:val="nil"/>
              <w:bottom w:val="nil"/>
              <w:right w:val="nil"/>
            </w:tcBorders>
            <w:shd w:val="clear" w:color="auto" w:fill="auto"/>
            <w:noWrap/>
            <w:vAlign w:val="bottom"/>
            <w:hideMark/>
          </w:tcPr>
          <w:p w14:paraId="4B39BB7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115</w:t>
            </w:r>
          </w:p>
        </w:tc>
        <w:tc>
          <w:tcPr>
            <w:tcW w:w="1306" w:type="dxa"/>
            <w:tcBorders>
              <w:top w:val="nil"/>
              <w:left w:val="nil"/>
              <w:bottom w:val="nil"/>
              <w:right w:val="nil"/>
            </w:tcBorders>
            <w:shd w:val="clear" w:color="auto" w:fill="DAEEF3" w:themeFill="accent5" w:themeFillTint="33"/>
            <w:noWrap/>
            <w:vAlign w:val="bottom"/>
            <w:hideMark/>
          </w:tcPr>
          <w:p w14:paraId="00DAAEA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145</w:t>
            </w:r>
          </w:p>
        </w:tc>
        <w:tc>
          <w:tcPr>
            <w:tcW w:w="1305" w:type="dxa"/>
            <w:tcBorders>
              <w:top w:val="nil"/>
              <w:left w:val="nil"/>
              <w:bottom w:val="nil"/>
              <w:right w:val="nil"/>
            </w:tcBorders>
            <w:shd w:val="clear" w:color="auto" w:fill="auto"/>
            <w:noWrap/>
            <w:vAlign w:val="bottom"/>
            <w:hideMark/>
          </w:tcPr>
          <w:p w14:paraId="606B53B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146</w:t>
            </w:r>
          </w:p>
        </w:tc>
        <w:tc>
          <w:tcPr>
            <w:tcW w:w="1306" w:type="dxa"/>
            <w:tcBorders>
              <w:top w:val="nil"/>
              <w:left w:val="nil"/>
              <w:bottom w:val="nil"/>
              <w:right w:val="single" w:sz="4" w:space="0" w:color="auto"/>
            </w:tcBorders>
            <w:shd w:val="clear" w:color="auto" w:fill="DAEEF3" w:themeFill="accent5" w:themeFillTint="33"/>
            <w:noWrap/>
            <w:vAlign w:val="bottom"/>
            <w:hideMark/>
          </w:tcPr>
          <w:p w14:paraId="1077C13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153</w:t>
            </w:r>
          </w:p>
        </w:tc>
      </w:tr>
      <w:tr w:rsidR="00876EFC" w:rsidRPr="001565F1" w14:paraId="2302FF07" w14:textId="77777777" w:rsidTr="00B77B32">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0F43FE04"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149" w:type="dxa"/>
            <w:tcBorders>
              <w:top w:val="nil"/>
              <w:left w:val="nil"/>
              <w:bottom w:val="nil"/>
              <w:right w:val="nil"/>
            </w:tcBorders>
            <w:shd w:val="clear" w:color="auto" w:fill="auto"/>
            <w:noWrap/>
            <w:vAlign w:val="bottom"/>
            <w:hideMark/>
          </w:tcPr>
          <w:p w14:paraId="3E749A9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120</w:t>
            </w:r>
          </w:p>
        </w:tc>
        <w:tc>
          <w:tcPr>
            <w:tcW w:w="1306" w:type="dxa"/>
            <w:tcBorders>
              <w:top w:val="nil"/>
              <w:left w:val="nil"/>
              <w:bottom w:val="nil"/>
              <w:right w:val="nil"/>
            </w:tcBorders>
            <w:shd w:val="clear" w:color="auto" w:fill="DAEEF3" w:themeFill="accent5" w:themeFillTint="33"/>
            <w:noWrap/>
            <w:vAlign w:val="bottom"/>
            <w:hideMark/>
          </w:tcPr>
          <w:p w14:paraId="1A5AB8F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107</w:t>
            </w:r>
          </w:p>
        </w:tc>
        <w:tc>
          <w:tcPr>
            <w:tcW w:w="1305" w:type="dxa"/>
            <w:tcBorders>
              <w:top w:val="nil"/>
              <w:left w:val="nil"/>
              <w:bottom w:val="nil"/>
              <w:right w:val="nil"/>
            </w:tcBorders>
            <w:shd w:val="clear" w:color="auto" w:fill="auto"/>
            <w:noWrap/>
            <w:vAlign w:val="bottom"/>
            <w:hideMark/>
          </w:tcPr>
          <w:p w14:paraId="2575D09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139</w:t>
            </w:r>
          </w:p>
        </w:tc>
        <w:tc>
          <w:tcPr>
            <w:tcW w:w="1306" w:type="dxa"/>
            <w:tcBorders>
              <w:top w:val="nil"/>
              <w:left w:val="nil"/>
              <w:bottom w:val="nil"/>
              <w:right w:val="nil"/>
            </w:tcBorders>
            <w:shd w:val="clear" w:color="auto" w:fill="DAEEF3" w:themeFill="accent5" w:themeFillTint="33"/>
            <w:noWrap/>
            <w:vAlign w:val="bottom"/>
            <w:hideMark/>
          </w:tcPr>
          <w:p w14:paraId="33CFFEE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92</w:t>
            </w:r>
          </w:p>
        </w:tc>
        <w:tc>
          <w:tcPr>
            <w:tcW w:w="1305" w:type="dxa"/>
            <w:tcBorders>
              <w:top w:val="nil"/>
              <w:left w:val="nil"/>
              <w:bottom w:val="nil"/>
              <w:right w:val="nil"/>
            </w:tcBorders>
            <w:shd w:val="clear" w:color="auto" w:fill="auto"/>
            <w:noWrap/>
            <w:vAlign w:val="bottom"/>
            <w:hideMark/>
          </w:tcPr>
          <w:p w14:paraId="4D73D4A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127</w:t>
            </w:r>
          </w:p>
        </w:tc>
        <w:tc>
          <w:tcPr>
            <w:tcW w:w="1306" w:type="dxa"/>
            <w:tcBorders>
              <w:top w:val="nil"/>
              <w:left w:val="nil"/>
              <w:bottom w:val="nil"/>
              <w:right w:val="nil"/>
            </w:tcBorders>
            <w:shd w:val="clear" w:color="auto" w:fill="DAEEF3" w:themeFill="accent5" w:themeFillTint="33"/>
            <w:noWrap/>
            <w:vAlign w:val="bottom"/>
            <w:hideMark/>
          </w:tcPr>
          <w:p w14:paraId="6FB16BC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78</w:t>
            </w:r>
          </w:p>
        </w:tc>
        <w:tc>
          <w:tcPr>
            <w:tcW w:w="1305" w:type="dxa"/>
            <w:tcBorders>
              <w:top w:val="nil"/>
              <w:left w:val="nil"/>
              <w:bottom w:val="nil"/>
              <w:right w:val="nil"/>
            </w:tcBorders>
            <w:shd w:val="clear" w:color="auto" w:fill="auto"/>
            <w:noWrap/>
            <w:vAlign w:val="bottom"/>
            <w:hideMark/>
          </w:tcPr>
          <w:p w14:paraId="0481513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w:t>
            </w:r>
          </w:p>
        </w:tc>
        <w:tc>
          <w:tcPr>
            <w:tcW w:w="1306" w:type="dxa"/>
            <w:tcBorders>
              <w:top w:val="nil"/>
              <w:left w:val="nil"/>
              <w:bottom w:val="nil"/>
              <w:right w:val="nil"/>
            </w:tcBorders>
            <w:shd w:val="clear" w:color="auto" w:fill="DAEEF3" w:themeFill="accent5" w:themeFillTint="33"/>
            <w:noWrap/>
            <w:vAlign w:val="bottom"/>
            <w:hideMark/>
          </w:tcPr>
          <w:p w14:paraId="7016932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69</w:t>
            </w:r>
          </w:p>
        </w:tc>
        <w:tc>
          <w:tcPr>
            <w:tcW w:w="1305" w:type="dxa"/>
            <w:tcBorders>
              <w:top w:val="nil"/>
              <w:left w:val="nil"/>
              <w:bottom w:val="nil"/>
              <w:right w:val="nil"/>
            </w:tcBorders>
            <w:shd w:val="clear" w:color="auto" w:fill="auto"/>
            <w:noWrap/>
            <w:vAlign w:val="bottom"/>
            <w:hideMark/>
          </w:tcPr>
          <w:p w14:paraId="2D186B5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84</w:t>
            </w:r>
          </w:p>
        </w:tc>
        <w:tc>
          <w:tcPr>
            <w:tcW w:w="1306" w:type="dxa"/>
            <w:tcBorders>
              <w:top w:val="nil"/>
              <w:left w:val="nil"/>
              <w:bottom w:val="nil"/>
              <w:right w:val="single" w:sz="4" w:space="0" w:color="auto"/>
            </w:tcBorders>
            <w:shd w:val="clear" w:color="auto" w:fill="DAEEF3" w:themeFill="accent5" w:themeFillTint="33"/>
            <w:noWrap/>
            <w:vAlign w:val="bottom"/>
            <w:hideMark/>
          </w:tcPr>
          <w:p w14:paraId="1CDB456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92</w:t>
            </w:r>
          </w:p>
        </w:tc>
      </w:tr>
      <w:tr w:rsidR="00876EFC" w:rsidRPr="001565F1" w14:paraId="43EE6F75" w14:textId="77777777" w:rsidTr="00B77B32">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44FE6B43"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149" w:type="dxa"/>
            <w:tcBorders>
              <w:top w:val="nil"/>
              <w:left w:val="nil"/>
              <w:bottom w:val="nil"/>
              <w:right w:val="nil"/>
            </w:tcBorders>
            <w:shd w:val="clear" w:color="auto" w:fill="auto"/>
            <w:noWrap/>
            <w:vAlign w:val="bottom"/>
            <w:hideMark/>
          </w:tcPr>
          <w:p w14:paraId="6F65BA4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88</w:t>
            </w:r>
          </w:p>
        </w:tc>
        <w:tc>
          <w:tcPr>
            <w:tcW w:w="1306" w:type="dxa"/>
            <w:tcBorders>
              <w:top w:val="nil"/>
              <w:left w:val="nil"/>
              <w:bottom w:val="nil"/>
              <w:right w:val="nil"/>
            </w:tcBorders>
            <w:shd w:val="clear" w:color="auto" w:fill="DAEEF3" w:themeFill="accent5" w:themeFillTint="33"/>
            <w:noWrap/>
            <w:vAlign w:val="bottom"/>
            <w:hideMark/>
          </w:tcPr>
          <w:p w14:paraId="2CA77CC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77</w:t>
            </w:r>
          </w:p>
        </w:tc>
        <w:tc>
          <w:tcPr>
            <w:tcW w:w="1305" w:type="dxa"/>
            <w:tcBorders>
              <w:top w:val="nil"/>
              <w:left w:val="nil"/>
              <w:bottom w:val="nil"/>
              <w:right w:val="nil"/>
            </w:tcBorders>
            <w:shd w:val="clear" w:color="auto" w:fill="auto"/>
            <w:noWrap/>
            <w:vAlign w:val="bottom"/>
            <w:hideMark/>
          </w:tcPr>
          <w:p w14:paraId="306A891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w:t>
            </w:r>
          </w:p>
        </w:tc>
        <w:tc>
          <w:tcPr>
            <w:tcW w:w="1306" w:type="dxa"/>
            <w:tcBorders>
              <w:top w:val="nil"/>
              <w:left w:val="nil"/>
              <w:bottom w:val="nil"/>
              <w:right w:val="nil"/>
            </w:tcBorders>
            <w:shd w:val="clear" w:color="auto" w:fill="DAEEF3" w:themeFill="accent5" w:themeFillTint="33"/>
            <w:noWrap/>
            <w:vAlign w:val="bottom"/>
            <w:hideMark/>
          </w:tcPr>
          <w:p w14:paraId="0219933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w:t>
            </w:r>
          </w:p>
        </w:tc>
        <w:tc>
          <w:tcPr>
            <w:tcW w:w="1305" w:type="dxa"/>
            <w:tcBorders>
              <w:top w:val="nil"/>
              <w:left w:val="nil"/>
              <w:bottom w:val="nil"/>
              <w:right w:val="nil"/>
            </w:tcBorders>
            <w:shd w:val="clear" w:color="auto" w:fill="auto"/>
            <w:noWrap/>
            <w:vAlign w:val="bottom"/>
            <w:hideMark/>
          </w:tcPr>
          <w:p w14:paraId="2A32763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w:t>
            </w:r>
          </w:p>
        </w:tc>
        <w:tc>
          <w:tcPr>
            <w:tcW w:w="1306" w:type="dxa"/>
            <w:tcBorders>
              <w:top w:val="nil"/>
              <w:left w:val="nil"/>
              <w:bottom w:val="nil"/>
              <w:right w:val="nil"/>
            </w:tcBorders>
            <w:shd w:val="clear" w:color="auto" w:fill="DAEEF3" w:themeFill="accent5" w:themeFillTint="33"/>
            <w:noWrap/>
            <w:vAlign w:val="bottom"/>
            <w:hideMark/>
          </w:tcPr>
          <w:p w14:paraId="6CEEA4E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49</w:t>
            </w:r>
          </w:p>
        </w:tc>
        <w:tc>
          <w:tcPr>
            <w:tcW w:w="1305" w:type="dxa"/>
            <w:tcBorders>
              <w:top w:val="nil"/>
              <w:left w:val="nil"/>
              <w:bottom w:val="nil"/>
              <w:right w:val="nil"/>
            </w:tcBorders>
            <w:shd w:val="clear" w:color="auto" w:fill="auto"/>
            <w:noWrap/>
            <w:vAlign w:val="bottom"/>
            <w:hideMark/>
          </w:tcPr>
          <w:p w14:paraId="1A3A13B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43</w:t>
            </w:r>
          </w:p>
        </w:tc>
        <w:tc>
          <w:tcPr>
            <w:tcW w:w="1306" w:type="dxa"/>
            <w:tcBorders>
              <w:top w:val="nil"/>
              <w:left w:val="nil"/>
              <w:bottom w:val="nil"/>
              <w:right w:val="nil"/>
            </w:tcBorders>
            <w:shd w:val="clear" w:color="auto" w:fill="DAEEF3" w:themeFill="accent5" w:themeFillTint="33"/>
            <w:noWrap/>
            <w:vAlign w:val="bottom"/>
            <w:hideMark/>
          </w:tcPr>
          <w:p w14:paraId="4113BBA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76</w:t>
            </w:r>
          </w:p>
        </w:tc>
        <w:tc>
          <w:tcPr>
            <w:tcW w:w="1305" w:type="dxa"/>
            <w:tcBorders>
              <w:top w:val="nil"/>
              <w:left w:val="nil"/>
              <w:bottom w:val="nil"/>
              <w:right w:val="nil"/>
            </w:tcBorders>
            <w:shd w:val="clear" w:color="auto" w:fill="auto"/>
            <w:noWrap/>
            <w:vAlign w:val="bottom"/>
            <w:hideMark/>
          </w:tcPr>
          <w:p w14:paraId="2D13FEB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62</w:t>
            </w:r>
          </w:p>
        </w:tc>
        <w:tc>
          <w:tcPr>
            <w:tcW w:w="1306" w:type="dxa"/>
            <w:tcBorders>
              <w:top w:val="nil"/>
              <w:left w:val="nil"/>
              <w:bottom w:val="nil"/>
              <w:right w:val="single" w:sz="4" w:space="0" w:color="auto"/>
            </w:tcBorders>
            <w:shd w:val="clear" w:color="auto" w:fill="DAEEF3" w:themeFill="accent5" w:themeFillTint="33"/>
            <w:noWrap/>
            <w:vAlign w:val="bottom"/>
            <w:hideMark/>
          </w:tcPr>
          <w:p w14:paraId="7320948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61</w:t>
            </w:r>
          </w:p>
        </w:tc>
      </w:tr>
      <w:tr w:rsidR="00876EFC" w:rsidRPr="00DA0360" w14:paraId="6FB764C1" w14:textId="77777777" w:rsidTr="00B77B32">
        <w:trPr>
          <w:trHeight w:val="204"/>
        </w:trPr>
        <w:tc>
          <w:tcPr>
            <w:tcW w:w="1858" w:type="dxa"/>
            <w:tcBorders>
              <w:top w:val="nil"/>
              <w:left w:val="single" w:sz="4" w:space="0" w:color="auto"/>
              <w:bottom w:val="single" w:sz="4" w:space="0" w:color="auto"/>
              <w:right w:val="nil"/>
            </w:tcBorders>
            <w:shd w:val="clear" w:color="auto" w:fill="DAEEF3" w:themeFill="accent5" w:themeFillTint="33"/>
            <w:noWrap/>
            <w:vAlign w:val="bottom"/>
            <w:hideMark/>
          </w:tcPr>
          <w:p w14:paraId="2D36BDBD"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149" w:type="dxa"/>
            <w:tcBorders>
              <w:top w:val="nil"/>
              <w:left w:val="nil"/>
              <w:bottom w:val="single" w:sz="4" w:space="0" w:color="auto"/>
              <w:right w:val="nil"/>
            </w:tcBorders>
            <w:shd w:val="clear" w:color="auto" w:fill="auto"/>
            <w:noWrap/>
            <w:vAlign w:val="bottom"/>
            <w:hideMark/>
          </w:tcPr>
          <w:p w14:paraId="2819B42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461</w:t>
            </w:r>
          </w:p>
        </w:tc>
        <w:tc>
          <w:tcPr>
            <w:tcW w:w="1306" w:type="dxa"/>
            <w:tcBorders>
              <w:top w:val="nil"/>
              <w:left w:val="nil"/>
              <w:bottom w:val="single" w:sz="4" w:space="0" w:color="auto"/>
              <w:right w:val="nil"/>
            </w:tcBorders>
            <w:shd w:val="clear" w:color="auto" w:fill="DAEEF3" w:themeFill="accent5" w:themeFillTint="33"/>
            <w:noWrap/>
            <w:vAlign w:val="bottom"/>
            <w:hideMark/>
          </w:tcPr>
          <w:p w14:paraId="7D213AB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401</w:t>
            </w:r>
          </w:p>
        </w:tc>
        <w:tc>
          <w:tcPr>
            <w:tcW w:w="1305" w:type="dxa"/>
            <w:tcBorders>
              <w:top w:val="nil"/>
              <w:left w:val="nil"/>
              <w:bottom w:val="single" w:sz="4" w:space="0" w:color="auto"/>
              <w:right w:val="nil"/>
            </w:tcBorders>
            <w:shd w:val="clear" w:color="auto" w:fill="auto"/>
            <w:noWrap/>
            <w:vAlign w:val="bottom"/>
            <w:hideMark/>
          </w:tcPr>
          <w:p w14:paraId="7ED69D0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384</w:t>
            </w:r>
          </w:p>
        </w:tc>
        <w:tc>
          <w:tcPr>
            <w:tcW w:w="1306" w:type="dxa"/>
            <w:tcBorders>
              <w:top w:val="nil"/>
              <w:left w:val="nil"/>
              <w:bottom w:val="single" w:sz="4" w:space="0" w:color="auto"/>
              <w:right w:val="nil"/>
            </w:tcBorders>
            <w:shd w:val="clear" w:color="auto" w:fill="DAEEF3" w:themeFill="accent5" w:themeFillTint="33"/>
            <w:noWrap/>
            <w:vAlign w:val="bottom"/>
            <w:hideMark/>
          </w:tcPr>
          <w:p w14:paraId="0A52FCD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338</w:t>
            </w:r>
          </w:p>
        </w:tc>
        <w:tc>
          <w:tcPr>
            <w:tcW w:w="1305" w:type="dxa"/>
            <w:tcBorders>
              <w:top w:val="nil"/>
              <w:left w:val="nil"/>
              <w:bottom w:val="single" w:sz="4" w:space="0" w:color="auto"/>
              <w:right w:val="nil"/>
            </w:tcBorders>
            <w:shd w:val="clear" w:color="auto" w:fill="auto"/>
            <w:noWrap/>
            <w:vAlign w:val="bottom"/>
            <w:hideMark/>
          </w:tcPr>
          <w:p w14:paraId="2CBBBD1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623</w:t>
            </w:r>
          </w:p>
        </w:tc>
        <w:tc>
          <w:tcPr>
            <w:tcW w:w="1306" w:type="dxa"/>
            <w:tcBorders>
              <w:top w:val="nil"/>
              <w:left w:val="nil"/>
              <w:bottom w:val="single" w:sz="4" w:space="0" w:color="auto"/>
              <w:right w:val="nil"/>
            </w:tcBorders>
            <w:shd w:val="clear" w:color="auto" w:fill="DAEEF3" w:themeFill="accent5" w:themeFillTint="33"/>
            <w:noWrap/>
            <w:vAlign w:val="bottom"/>
            <w:hideMark/>
          </w:tcPr>
          <w:p w14:paraId="39512F0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403</w:t>
            </w:r>
          </w:p>
        </w:tc>
        <w:tc>
          <w:tcPr>
            <w:tcW w:w="1305" w:type="dxa"/>
            <w:tcBorders>
              <w:top w:val="nil"/>
              <w:left w:val="nil"/>
              <w:bottom w:val="single" w:sz="4" w:space="0" w:color="auto"/>
              <w:right w:val="nil"/>
            </w:tcBorders>
            <w:shd w:val="clear" w:color="auto" w:fill="auto"/>
            <w:noWrap/>
            <w:vAlign w:val="bottom"/>
            <w:hideMark/>
          </w:tcPr>
          <w:p w14:paraId="7A8546E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237</w:t>
            </w:r>
          </w:p>
        </w:tc>
        <w:tc>
          <w:tcPr>
            <w:tcW w:w="1306" w:type="dxa"/>
            <w:tcBorders>
              <w:top w:val="nil"/>
              <w:left w:val="nil"/>
              <w:bottom w:val="single" w:sz="4" w:space="0" w:color="auto"/>
              <w:right w:val="nil"/>
            </w:tcBorders>
            <w:shd w:val="clear" w:color="auto" w:fill="DAEEF3" w:themeFill="accent5" w:themeFillTint="33"/>
            <w:noWrap/>
            <w:vAlign w:val="bottom"/>
            <w:hideMark/>
          </w:tcPr>
          <w:p w14:paraId="65FDEA5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300</w:t>
            </w:r>
          </w:p>
        </w:tc>
        <w:tc>
          <w:tcPr>
            <w:tcW w:w="1305" w:type="dxa"/>
            <w:tcBorders>
              <w:top w:val="nil"/>
              <w:left w:val="nil"/>
              <w:bottom w:val="single" w:sz="4" w:space="0" w:color="auto"/>
              <w:right w:val="nil"/>
            </w:tcBorders>
            <w:shd w:val="clear" w:color="auto" w:fill="auto"/>
            <w:noWrap/>
            <w:vAlign w:val="bottom"/>
            <w:hideMark/>
          </w:tcPr>
          <w:p w14:paraId="59136D4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359</w:t>
            </w:r>
          </w:p>
        </w:tc>
        <w:tc>
          <w:tcPr>
            <w:tcW w:w="1306" w:type="dxa"/>
            <w:tcBorders>
              <w:top w:val="nil"/>
              <w:left w:val="nil"/>
              <w:bottom w:val="single" w:sz="4" w:space="0" w:color="auto"/>
              <w:right w:val="single" w:sz="4" w:space="0" w:color="auto"/>
            </w:tcBorders>
            <w:shd w:val="clear" w:color="auto" w:fill="DAEEF3" w:themeFill="accent5" w:themeFillTint="33"/>
            <w:noWrap/>
            <w:vAlign w:val="bottom"/>
            <w:hideMark/>
          </w:tcPr>
          <w:p w14:paraId="5953678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374</w:t>
            </w:r>
          </w:p>
        </w:tc>
      </w:tr>
      <w:tr w:rsidR="00876EFC" w:rsidRPr="00DA0360" w14:paraId="18F8FB6F" w14:textId="77777777" w:rsidTr="00B77B32">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69A14196"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Physical Abuse</w:t>
            </w:r>
          </w:p>
        </w:tc>
        <w:tc>
          <w:tcPr>
            <w:tcW w:w="1149" w:type="dxa"/>
            <w:tcBorders>
              <w:top w:val="nil"/>
              <w:left w:val="nil"/>
              <w:bottom w:val="nil"/>
              <w:right w:val="nil"/>
            </w:tcBorders>
            <w:shd w:val="clear" w:color="auto" w:fill="auto"/>
            <w:noWrap/>
            <w:vAlign w:val="bottom"/>
            <w:hideMark/>
          </w:tcPr>
          <w:p w14:paraId="6A5E12E6"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E5DFEC" w:themeFill="accent4" w:themeFillTint="33"/>
            <w:noWrap/>
            <w:vAlign w:val="bottom"/>
            <w:hideMark/>
          </w:tcPr>
          <w:p w14:paraId="3607E19D"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676718A1"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E5DFEC" w:themeFill="accent4" w:themeFillTint="33"/>
            <w:noWrap/>
            <w:vAlign w:val="bottom"/>
            <w:hideMark/>
          </w:tcPr>
          <w:p w14:paraId="7928B519"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29B86D67"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E5DFEC" w:themeFill="accent4" w:themeFillTint="33"/>
            <w:noWrap/>
            <w:vAlign w:val="bottom"/>
            <w:hideMark/>
          </w:tcPr>
          <w:p w14:paraId="2349E2DC"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6490CE9D"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E5DFEC" w:themeFill="accent4" w:themeFillTint="33"/>
            <w:noWrap/>
            <w:vAlign w:val="bottom"/>
            <w:hideMark/>
          </w:tcPr>
          <w:p w14:paraId="22533BD2"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6E2AB882"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single" w:sz="4" w:space="0" w:color="auto"/>
            </w:tcBorders>
            <w:shd w:val="clear" w:color="auto" w:fill="E5DFEC" w:themeFill="accent4" w:themeFillTint="33"/>
            <w:noWrap/>
            <w:vAlign w:val="bottom"/>
            <w:hideMark/>
          </w:tcPr>
          <w:p w14:paraId="77F54F88"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43D0AB28" w14:textId="77777777" w:rsidTr="00B77B32">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22D2A1E0"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149" w:type="dxa"/>
            <w:tcBorders>
              <w:top w:val="nil"/>
              <w:left w:val="nil"/>
              <w:bottom w:val="nil"/>
              <w:right w:val="nil"/>
            </w:tcBorders>
            <w:shd w:val="clear" w:color="auto" w:fill="auto"/>
            <w:noWrap/>
            <w:vAlign w:val="bottom"/>
            <w:hideMark/>
          </w:tcPr>
          <w:p w14:paraId="0598CBF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141</w:t>
            </w:r>
          </w:p>
        </w:tc>
        <w:tc>
          <w:tcPr>
            <w:tcW w:w="1306" w:type="dxa"/>
            <w:tcBorders>
              <w:top w:val="nil"/>
              <w:left w:val="nil"/>
              <w:bottom w:val="nil"/>
              <w:right w:val="nil"/>
            </w:tcBorders>
            <w:shd w:val="clear" w:color="auto" w:fill="E5DFEC" w:themeFill="accent4" w:themeFillTint="33"/>
            <w:noWrap/>
            <w:vAlign w:val="bottom"/>
            <w:hideMark/>
          </w:tcPr>
          <w:p w14:paraId="51D5A86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147</w:t>
            </w:r>
          </w:p>
        </w:tc>
        <w:tc>
          <w:tcPr>
            <w:tcW w:w="1305" w:type="dxa"/>
            <w:tcBorders>
              <w:top w:val="nil"/>
              <w:left w:val="nil"/>
              <w:bottom w:val="nil"/>
              <w:right w:val="nil"/>
            </w:tcBorders>
            <w:shd w:val="clear" w:color="auto" w:fill="auto"/>
            <w:noWrap/>
            <w:vAlign w:val="bottom"/>
            <w:hideMark/>
          </w:tcPr>
          <w:p w14:paraId="0CAA8A4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121</w:t>
            </w:r>
          </w:p>
        </w:tc>
        <w:tc>
          <w:tcPr>
            <w:tcW w:w="1306" w:type="dxa"/>
            <w:tcBorders>
              <w:top w:val="nil"/>
              <w:left w:val="nil"/>
              <w:bottom w:val="nil"/>
              <w:right w:val="nil"/>
            </w:tcBorders>
            <w:shd w:val="clear" w:color="auto" w:fill="E5DFEC" w:themeFill="accent4" w:themeFillTint="33"/>
            <w:noWrap/>
            <w:vAlign w:val="bottom"/>
            <w:hideMark/>
          </w:tcPr>
          <w:p w14:paraId="0587A03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170</w:t>
            </w:r>
          </w:p>
        </w:tc>
        <w:tc>
          <w:tcPr>
            <w:tcW w:w="1305" w:type="dxa"/>
            <w:tcBorders>
              <w:top w:val="nil"/>
              <w:left w:val="nil"/>
              <w:bottom w:val="nil"/>
              <w:right w:val="nil"/>
            </w:tcBorders>
            <w:shd w:val="clear" w:color="auto" w:fill="auto"/>
            <w:noWrap/>
            <w:vAlign w:val="bottom"/>
            <w:hideMark/>
          </w:tcPr>
          <w:p w14:paraId="3F1ADA7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155</w:t>
            </w:r>
          </w:p>
        </w:tc>
        <w:tc>
          <w:tcPr>
            <w:tcW w:w="1306" w:type="dxa"/>
            <w:tcBorders>
              <w:top w:val="nil"/>
              <w:left w:val="nil"/>
              <w:bottom w:val="nil"/>
              <w:right w:val="nil"/>
            </w:tcBorders>
            <w:shd w:val="clear" w:color="auto" w:fill="E5DFEC" w:themeFill="accent4" w:themeFillTint="33"/>
            <w:noWrap/>
            <w:vAlign w:val="bottom"/>
            <w:hideMark/>
          </w:tcPr>
          <w:p w14:paraId="043CCC3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206</w:t>
            </w:r>
          </w:p>
        </w:tc>
        <w:tc>
          <w:tcPr>
            <w:tcW w:w="1305" w:type="dxa"/>
            <w:tcBorders>
              <w:top w:val="nil"/>
              <w:left w:val="nil"/>
              <w:bottom w:val="nil"/>
              <w:right w:val="nil"/>
            </w:tcBorders>
            <w:shd w:val="clear" w:color="auto" w:fill="auto"/>
            <w:noWrap/>
            <w:vAlign w:val="bottom"/>
            <w:hideMark/>
          </w:tcPr>
          <w:p w14:paraId="2B726B6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224</w:t>
            </w:r>
          </w:p>
        </w:tc>
        <w:tc>
          <w:tcPr>
            <w:tcW w:w="1306" w:type="dxa"/>
            <w:tcBorders>
              <w:top w:val="nil"/>
              <w:left w:val="nil"/>
              <w:bottom w:val="nil"/>
              <w:right w:val="nil"/>
            </w:tcBorders>
            <w:shd w:val="clear" w:color="auto" w:fill="E5DFEC" w:themeFill="accent4" w:themeFillTint="33"/>
            <w:noWrap/>
            <w:vAlign w:val="bottom"/>
            <w:hideMark/>
          </w:tcPr>
          <w:p w14:paraId="5F8E8AE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280</w:t>
            </w:r>
          </w:p>
        </w:tc>
        <w:tc>
          <w:tcPr>
            <w:tcW w:w="1305" w:type="dxa"/>
            <w:tcBorders>
              <w:top w:val="nil"/>
              <w:left w:val="nil"/>
              <w:bottom w:val="nil"/>
              <w:right w:val="nil"/>
            </w:tcBorders>
            <w:shd w:val="clear" w:color="auto" w:fill="auto"/>
            <w:noWrap/>
            <w:vAlign w:val="bottom"/>
            <w:hideMark/>
          </w:tcPr>
          <w:p w14:paraId="7A73CD3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221</w:t>
            </w:r>
          </w:p>
        </w:tc>
        <w:tc>
          <w:tcPr>
            <w:tcW w:w="1306" w:type="dxa"/>
            <w:tcBorders>
              <w:top w:val="nil"/>
              <w:left w:val="nil"/>
              <w:bottom w:val="nil"/>
              <w:right w:val="single" w:sz="4" w:space="0" w:color="auto"/>
            </w:tcBorders>
            <w:shd w:val="clear" w:color="auto" w:fill="E5DFEC" w:themeFill="accent4" w:themeFillTint="33"/>
            <w:noWrap/>
            <w:vAlign w:val="bottom"/>
            <w:hideMark/>
          </w:tcPr>
          <w:p w14:paraId="4795404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210</w:t>
            </w:r>
          </w:p>
        </w:tc>
      </w:tr>
      <w:tr w:rsidR="000E61DB" w:rsidRPr="001565F1" w14:paraId="147DEB24" w14:textId="77777777" w:rsidTr="00B77B32">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3742E790"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149" w:type="dxa"/>
            <w:tcBorders>
              <w:top w:val="nil"/>
              <w:left w:val="nil"/>
              <w:bottom w:val="nil"/>
              <w:right w:val="nil"/>
            </w:tcBorders>
            <w:shd w:val="clear" w:color="auto" w:fill="auto"/>
            <w:noWrap/>
            <w:vAlign w:val="bottom"/>
            <w:hideMark/>
          </w:tcPr>
          <w:p w14:paraId="1CBA447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123</w:t>
            </w:r>
          </w:p>
        </w:tc>
        <w:tc>
          <w:tcPr>
            <w:tcW w:w="1306" w:type="dxa"/>
            <w:tcBorders>
              <w:top w:val="nil"/>
              <w:left w:val="nil"/>
              <w:bottom w:val="nil"/>
              <w:right w:val="nil"/>
            </w:tcBorders>
            <w:shd w:val="clear" w:color="auto" w:fill="E5DFEC" w:themeFill="accent4" w:themeFillTint="33"/>
            <w:noWrap/>
            <w:vAlign w:val="bottom"/>
            <w:hideMark/>
          </w:tcPr>
          <w:p w14:paraId="30E1A28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144</w:t>
            </w:r>
          </w:p>
        </w:tc>
        <w:tc>
          <w:tcPr>
            <w:tcW w:w="1305" w:type="dxa"/>
            <w:tcBorders>
              <w:top w:val="nil"/>
              <w:left w:val="nil"/>
              <w:bottom w:val="nil"/>
              <w:right w:val="nil"/>
            </w:tcBorders>
            <w:shd w:val="clear" w:color="auto" w:fill="auto"/>
            <w:noWrap/>
            <w:vAlign w:val="bottom"/>
            <w:hideMark/>
          </w:tcPr>
          <w:p w14:paraId="5B252DA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97</w:t>
            </w:r>
          </w:p>
        </w:tc>
        <w:tc>
          <w:tcPr>
            <w:tcW w:w="1306" w:type="dxa"/>
            <w:tcBorders>
              <w:top w:val="nil"/>
              <w:left w:val="nil"/>
              <w:bottom w:val="nil"/>
              <w:right w:val="nil"/>
            </w:tcBorders>
            <w:shd w:val="clear" w:color="auto" w:fill="E5DFEC" w:themeFill="accent4" w:themeFillTint="33"/>
            <w:noWrap/>
            <w:vAlign w:val="bottom"/>
            <w:hideMark/>
          </w:tcPr>
          <w:p w14:paraId="3C55F96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116</w:t>
            </w:r>
          </w:p>
        </w:tc>
        <w:tc>
          <w:tcPr>
            <w:tcW w:w="1305" w:type="dxa"/>
            <w:tcBorders>
              <w:top w:val="nil"/>
              <w:left w:val="nil"/>
              <w:bottom w:val="nil"/>
              <w:right w:val="nil"/>
            </w:tcBorders>
            <w:shd w:val="clear" w:color="auto" w:fill="auto"/>
            <w:noWrap/>
            <w:vAlign w:val="bottom"/>
            <w:hideMark/>
          </w:tcPr>
          <w:p w14:paraId="494D96B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198</w:t>
            </w:r>
          </w:p>
        </w:tc>
        <w:tc>
          <w:tcPr>
            <w:tcW w:w="1306" w:type="dxa"/>
            <w:tcBorders>
              <w:top w:val="nil"/>
              <w:left w:val="nil"/>
              <w:bottom w:val="nil"/>
              <w:right w:val="nil"/>
            </w:tcBorders>
            <w:shd w:val="clear" w:color="auto" w:fill="E5DFEC" w:themeFill="accent4" w:themeFillTint="33"/>
            <w:noWrap/>
            <w:vAlign w:val="bottom"/>
            <w:hideMark/>
          </w:tcPr>
          <w:p w14:paraId="409AFFE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224</w:t>
            </w:r>
          </w:p>
        </w:tc>
        <w:tc>
          <w:tcPr>
            <w:tcW w:w="1305" w:type="dxa"/>
            <w:tcBorders>
              <w:top w:val="nil"/>
              <w:left w:val="nil"/>
              <w:bottom w:val="nil"/>
              <w:right w:val="nil"/>
            </w:tcBorders>
            <w:shd w:val="clear" w:color="auto" w:fill="auto"/>
            <w:noWrap/>
            <w:vAlign w:val="bottom"/>
            <w:hideMark/>
          </w:tcPr>
          <w:p w14:paraId="1559426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199</w:t>
            </w:r>
          </w:p>
        </w:tc>
        <w:tc>
          <w:tcPr>
            <w:tcW w:w="1306" w:type="dxa"/>
            <w:tcBorders>
              <w:top w:val="nil"/>
              <w:left w:val="nil"/>
              <w:bottom w:val="nil"/>
              <w:right w:val="nil"/>
            </w:tcBorders>
            <w:shd w:val="clear" w:color="auto" w:fill="E5DFEC" w:themeFill="accent4" w:themeFillTint="33"/>
            <w:noWrap/>
            <w:vAlign w:val="bottom"/>
            <w:hideMark/>
          </w:tcPr>
          <w:p w14:paraId="1C5617D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250</w:t>
            </w:r>
          </w:p>
        </w:tc>
        <w:tc>
          <w:tcPr>
            <w:tcW w:w="1305" w:type="dxa"/>
            <w:tcBorders>
              <w:top w:val="nil"/>
              <w:left w:val="nil"/>
              <w:bottom w:val="nil"/>
              <w:right w:val="nil"/>
            </w:tcBorders>
            <w:shd w:val="clear" w:color="auto" w:fill="auto"/>
            <w:noWrap/>
            <w:vAlign w:val="bottom"/>
            <w:hideMark/>
          </w:tcPr>
          <w:p w14:paraId="2DDCFDC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176</w:t>
            </w:r>
          </w:p>
        </w:tc>
        <w:tc>
          <w:tcPr>
            <w:tcW w:w="1306" w:type="dxa"/>
            <w:tcBorders>
              <w:top w:val="nil"/>
              <w:left w:val="nil"/>
              <w:bottom w:val="nil"/>
              <w:right w:val="single" w:sz="4" w:space="0" w:color="auto"/>
            </w:tcBorders>
            <w:shd w:val="clear" w:color="auto" w:fill="E5DFEC" w:themeFill="accent4" w:themeFillTint="33"/>
            <w:noWrap/>
            <w:vAlign w:val="bottom"/>
            <w:hideMark/>
          </w:tcPr>
          <w:p w14:paraId="11FF918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218</w:t>
            </w:r>
          </w:p>
        </w:tc>
      </w:tr>
      <w:tr w:rsidR="00876EFC" w:rsidRPr="001565F1" w14:paraId="5095AF64" w14:textId="77777777" w:rsidTr="00B77B32">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3DB27F6C"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149" w:type="dxa"/>
            <w:tcBorders>
              <w:top w:val="nil"/>
              <w:left w:val="nil"/>
              <w:bottom w:val="nil"/>
              <w:right w:val="nil"/>
            </w:tcBorders>
            <w:shd w:val="clear" w:color="auto" w:fill="auto"/>
            <w:noWrap/>
            <w:vAlign w:val="bottom"/>
            <w:hideMark/>
          </w:tcPr>
          <w:p w14:paraId="03CF26A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77</w:t>
            </w:r>
          </w:p>
        </w:tc>
        <w:tc>
          <w:tcPr>
            <w:tcW w:w="1306" w:type="dxa"/>
            <w:tcBorders>
              <w:top w:val="nil"/>
              <w:left w:val="nil"/>
              <w:bottom w:val="nil"/>
              <w:right w:val="nil"/>
            </w:tcBorders>
            <w:shd w:val="clear" w:color="auto" w:fill="E5DFEC" w:themeFill="accent4" w:themeFillTint="33"/>
            <w:noWrap/>
            <w:vAlign w:val="bottom"/>
            <w:hideMark/>
          </w:tcPr>
          <w:p w14:paraId="3D0BAFE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99</w:t>
            </w:r>
          </w:p>
        </w:tc>
        <w:tc>
          <w:tcPr>
            <w:tcW w:w="1305" w:type="dxa"/>
            <w:tcBorders>
              <w:top w:val="nil"/>
              <w:left w:val="nil"/>
              <w:bottom w:val="nil"/>
              <w:right w:val="nil"/>
            </w:tcBorders>
            <w:shd w:val="clear" w:color="auto" w:fill="auto"/>
            <w:noWrap/>
            <w:vAlign w:val="bottom"/>
            <w:hideMark/>
          </w:tcPr>
          <w:p w14:paraId="046766A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75</w:t>
            </w:r>
          </w:p>
        </w:tc>
        <w:tc>
          <w:tcPr>
            <w:tcW w:w="1306" w:type="dxa"/>
            <w:tcBorders>
              <w:top w:val="nil"/>
              <w:left w:val="nil"/>
              <w:bottom w:val="nil"/>
              <w:right w:val="nil"/>
            </w:tcBorders>
            <w:shd w:val="clear" w:color="auto" w:fill="E5DFEC" w:themeFill="accent4" w:themeFillTint="33"/>
            <w:noWrap/>
            <w:vAlign w:val="bottom"/>
            <w:hideMark/>
          </w:tcPr>
          <w:p w14:paraId="0DDA616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87</w:t>
            </w:r>
          </w:p>
        </w:tc>
        <w:tc>
          <w:tcPr>
            <w:tcW w:w="1305" w:type="dxa"/>
            <w:tcBorders>
              <w:top w:val="nil"/>
              <w:left w:val="nil"/>
              <w:bottom w:val="nil"/>
              <w:right w:val="nil"/>
            </w:tcBorders>
            <w:shd w:val="clear" w:color="auto" w:fill="auto"/>
            <w:noWrap/>
            <w:vAlign w:val="bottom"/>
            <w:hideMark/>
          </w:tcPr>
          <w:p w14:paraId="0DD65CA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136</w:t>
            </w:r>
          </w:p>
        </w:tc>
        <w:tc>
          <w:tcPr>
            <w:tcW w:w="1306" w:type="dxa"/>
            <w:tcBorders>
              <w:top w:val="nil"/>
              <w:left w:val="nil"/>
              <w:bottom w:val="nil"/>
              <w:right w:val="nil"/>
            </w:tcBorders>
            <w:shd w:val="clear" w:color="auto" w:fill="E5DFEC" w:themeFill="accent4" w:themeFillTint="33"/>
            <w:noWrap/>
            <w:vAlign w:val="bottom"/>
            <w:hideMark/>
          </w:tcPr>
          <w:p w14:paraId="73ACE55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137</w:t>
            </w:r>
          </w:p>
        </w:tc>
        <w:tc>
          <w:tcPr>
            <w:tcW w:w="1305" w:type="dxa"/>
            <w:tcBorders>
              <w:top w:val="nil"/>
              <w:left w:val="nil"/>
              <w:bottom w:val="nil"/>
              <w:right w:val="nil"/>
            </w:tcBorders>
            <w:shd w:val="clear" w:color="auto" w:fill="auto"/>
            <w:noWrap/>
            <w:vAlign w:val="bottom"/>
            <w:hideMark/>
          </w:tcPr>
          <w:p w14:paraId="4AE6BAF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137</w:t>
            </w:r>
          </w:p>
        </w:tc>
        <w:tc>
          <w:tcPr>
            <w:tcW w:w="1306" w:type="dxa"/>
            <w:tcBorders>
              <w:top w:val="nil"/>
              <w:left w:val="nil"/>
              <w:bottom w:val="nil"/>
              <w:right w:val="nil"/>
            </w:tcBorders>
            <w:shd w:val="clear" w:color="auto" w:fill="E5DFEC" w:themeFill="accent4" w:themeFillTint="33"/>
            <w:noWrap/>
            <w:vAlign w:val="bottom"/>
            <w:hideMark/>
          </w:tcPr>
          <w:p w14:paraId="10A0059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153</w:t>
            </w:r>
          </w:p>
        </w:tc>
        <w:tc>
          <w:tcPr>
            <w:tcW w:w="1305" w:type="dxa"/>
            <w:tcBorders>
              <w:top w:val="nil"/>
              <w:left w:val="nil"/>
              <w:bottom w:val="nil"/>
              <w:right w:val="nil"/>
            </w:tcBorders>
            <w:shd w:val="clear" w:color="auto" w:fill="auto"/>
            <w:noWrap/>
            <w:vAlign w:val="bottom"/>
            <w:hideMark/>
          </w:tcPr>
          <w:p w14:paraId="6602C2C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122</w:t>
            </w:r>
          </w:p>
        </w:tc>
        <w:tc>
          <w:tcPr>
            <w:tcW w:w="1306" w:type="dxa"/>
            <w:tcBorders>
              <w:top w:val="nil"/>
              <w:left w:val="nil"/>
              <w:bottom w:val="nil"/>
              <w:right w:val="single" w:sz="4" w:space="0" w:color="auto"/>
            </w:tcBorders>
            <w:shd w:val="clear" w:color="auto" w:fill="E5DFEC" w:themeFill="accent4" w:themeFillTint="33"/>
            <w:noWrap/>
            <w:vAlign w:val="bottom"/>
            <w:hideMark/>
          </w:tcPr>
          <w:p w14:paraId="12F8099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142</w:t>
            </w:r>
          </w:p>
        </w:tc>
      </w:tr>
      <w:tr w:rsidR="00876EFC" w:rsidRPr="001565F1" w14:paraId="130A6BE4" w14:textId="77777777" w:rsidTr="00B77B32">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197663A0"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149" w:type="dxa"/>
            <w:tcBorders>
              <w:top w:val="nil"/>
              <w:left w:val="nil"/>
              <w:bottom w:val="nil"/>
              <w:right w:val="nil"/>
            </w:tcBorders>
            <w:shd w:val="clear" w:color="auto" w:fill="auto"/>
            <w:noWrap/>
            <w:vAlign w:val="bottom"/>
            <w:hideMark/>
          </w:tcPr>
          <w:p w14:paraId="6DD8B1D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46</w:t>
            </w:r>
          </w:p>
        </w:tc>
        <w:tc>
          <w:tcPr>
            <w:tcW w:w="1306" w:type="dxa"/>
            <w:tcBorders>
              <w:top w:val="nil"/>
              <w:left w:val="nil"/>
              <w:bottom w:val="nil"/>
              <w:right w:val="nil"/>
            </w:tcBorders>
            <w:shd w:val="clear" w:color="auto" w:fill="E5DFEC" w:themeFill="accent4" w:themeFillTint="33"/>
            <w:noWrap/>
            <w:vAlign w:val="bottom"/>
            <w:hideMark/>
          </w:tcPr>
          <w:p w14:paraId="2D2C42B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w:t>
            </w:r>
          </w:p>
        </w:tc>
        <w:tc>
          <w:tcPr>
            <w:tcW w:w="1305" w:type="dxa"/>
            <w:tcBorders>
              <w:top w:val="nil"/>
              <w:left w:val="nil"/>
              <w:bottom w:val="nil"/>
              <w:right w:val="nil"/>
            </w:tcBorders>
            <w:shd w:val="clear" w:color="auto" w:fill="auto"/>
            <w:noWrap/>
            <w:vAlign w:val="bottom"/>
            <w:hideMark/>
          </w:tcPr>
          <w:p w14:paraId="1608B28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w:t>
            </w:r>
          </w:p>
        </w:tc>
        <w:tc>
          <w:tcPr>
            <w:tcW w:w="1306" w:type="dxa"/>
            <w:tcBorders>
              <w:top w:val="nil"/>
              <w:left w:val="nil"/>
              <w:bottom w:val="nil"/>
              <w:right w:val="nil"/>
            </w:tcBorders>
            <w:shd w:val="clear" w:color="auto" w:fill="E5DFEC" w:themeFill="accent4" w:themeFillTint="33"/>
            <w:noWrap/>
            <w:vAlign w:val="bottom"/>
            <w:hideMark/>
          </w:tcPr>
          <w:p w14:paraId="66B5165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29</w:t>
            </w:r>
          </w:p>
        </w:tc>
        <w:tc>
          <w:tcPr>
            <w:tcW w:w="1305" w:type="dxa"/>
            <w:tcBorders>
              <w:top w:val="nil"/>
              <w:left w:val="nil"/>
              <w:bottom w:val="nil"/>
              <w:right w:val="nil"/>
            </w:tcBorders>
            <w:shd w:val="clear" w:color="auto" w:fill="auto"/>
            <w:noWrap/>
            <w:vAlign w:val="bottom"/>
            <w:hideMark/>
          </w:tcPr>
          <w:p w14:paraId="4C27F8A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62</w:t>
            </w:r>
          </w:p>
        </w:tc>
        <w:tc>
          <w:tcPr>
            <w:tcW w:w="1306" w:type="dxa"/>
            <w:tcBorders>
              <w:top w:val="nil"/>
              <w:left w:val="nil"/>
              <w:bottom w:val="nil"/>
              <w:right w:val="nil"/>
            </w:tcBorders>
            <w:shd w:val="clear" w:color="auto" w:fill="E5DFEC" w:themeFill="accent4" w:themeFillTint="33"/>
            <w:noWrap/>
            <w:vAlign w:val="bottom"/>
            <w:hideMark/>
          </w:tcPr>
          <w:p w14:paraId="347A023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87</w:t>
            </w:r>
          </w:p>
        </w:tc>
        <w:tc>
          <w:tcPr>
            <w:tcW w:w="1305" w:type="dxa"/>
            <w:tcBorders>
              <w:top w:val="nil"/>
              <w:left w:val="nil"/>
              <w:bottom w:val="nil"/>
              <w:right w:val="nil"/>
            </w:tcBorders>
            <w:shd w:val="clear" w:color="auto" w:fill="auto"/>
            <w:noWrap/>
            <w:vAlign w:val="bottom"/>
            <w:hideMark/>
          </w:tcPr>
          <w:p w14:paraId="47B3EDF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62</w:t>
            </w:r>
          </w:p>
        </w:tc>
        <w:tc>
          <w:tcPr>
            <w:tcW w:w="1306" w:type="dxa"/>
            <w:tcBorders>
              <w:top w:val="nil"/>
              <w:left w:val="nil"/>
              <w:bottom w:val="nil"/>
              <w:right w:val="nil"/>
            </w:tcBorders>
            <w:shd w:val="clear" w:color="auto" w:fill="E5DFEC" w:themeFill="accent4" w:themeFillTint="33"/>
            <w:noWrap/>
            <w:vAlign w:val="bottom"/>
            <w:hideMark/>
          </w:tcPr>
          <w:p w14:paraId="5CBE065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97</w:t>
            </w:r>
          </w:p>
        </w:tc>
        <w:tc>
          <w:tcPr>
            <w:tcW w:w="1305" w:type="dxa"/>
            <w:tcBorders>
              <w:top w:val="nil"/>
              <w:left w:val="nil"/>
              <w:bottom w:val="nil"/>
              <w:right w:val="nil"/>
            </w:tcBorders>
            <w:shd w:val="clear" w:color="auto" w:fill="auto"/>
            <w:noWrap/>
            <w:vAlign w:val="bottom"/>
            <w:hideMark/>
          </w:tcPr>
          <w:p w14:paraId="0105DBA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54</w:t>
            </w:r>
          </w:p>
        </w:tc>
        <w:tc>
          <w:tcPr>
            <w:tcW w:w="1306" w:type="dxa"/>
            <w:tcBorders>
              <w:top w:val="nil"/>
              <w:left w:val="nil"/>
              <w:bottom w:val="nil"/>
              <w:right w:val="single" w:sz="4" w:space="0" w:color="auto"/>
            </w:tcBorders>
            <w:shd w:val="clear" w:color="auto" w:fill="E5DFEC" w:themeFill="accent4" w:themeFillTint="33"/>
            <w:noWrap/>
            <w:vAlign w:val="bottom"/>
            <w:hideMark/>
          </w:tcPr>
          <w:p w14:paraId="58C830F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76</w:t>
            </w:r>
          </w:p>
        </w:tc>
      </w:tr>
      <w:tr w:rsidR="00876EFC" w:rsidRPr="00DA0360" w14:paraId="6A62CE4F" w14:textId="77777777" w:rsidTr="00B77B32">
        <w:trPr>
          <w:trHeight w:val="204"/>
        </w:trPr>
        <w:tc>
          <w:tcPr>
            <w:tcW w:w="1858" w:type="dxa"/>
            <w:tcBorders>
              <w:top w:val="nil"/>
              <w:left w:val="single" w:sz="4" w:space="0" w:color="auto"/>
              <w:bottom w:val="single" w:sz="4" w:space="0" w:color="auto"/>
              <w:right w:val="nil"/>
            </w:tcBorders>
            <w:shd w:val="clear" w:color="auto" w:fill="E5DFEC" w:themeFill="accent4" w:themeFillTint="33"/>
            <w:noWrap/>
            <w:vAlign w:val="bottom"/>
            <w:hideMark/>
          </w:tcPr>
          <w:p w14:paraId="11D9BCB5"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149" w:type="dxa"/>
            <w:tcBorders>
              <w:top w:val="nil"/>
              <w:left w:val="nil"/>
              <w:bottom w:val="single" w:sz="4" w:space="0" w:color="auto"/>
              <w:right w:val="nil"/>
            </w:tcBorders>
            <w:shd w:val="clear" w:color="auto" w:fill="auto"/>
            <w:noWrap/>
            <w:vAlign w:val="bottom"/>
            <w:hideMark/>
          </w:tcPr>
          <w:p w14:paraId="69292C0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264</w:t>
            </w:r>
          </w:p>
        </w:tc>
        <w:tc>
          <w:tcPr>
            <w:tcW w:w="1306" w:type="dxa"/>
            <w:tcBorders>
              <w:top w:val="nil"/>
              <w:left w:val="nil"/>
              <w:bottom w:val="single" w:sz="4" w:space="0" w:color="auto"/>
              <w:right w:val="nil"/>
            </w:tcBorders>
            <w:shd w:val="clear" w:color="auto" w:fill="E5DFEC" w:themeFill="accent4" w:themeFillTint="33"/>
            <w:noWrap/>
            <w:vAlign w:val="bottom"/>
            <w:hideMark/>
          </w:tcPr>
          <w:p w14:paraId="6B8B75FD"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291</w:t>
            </w:r>
          </w:p>
        </w:tc>
        <w:tc>
          <w:tcPr>
            <w:tcW w:w="1305" w:type="dxa"/>
            <w:tcBorders>
              <w:top w:val="nil"/>
              <w:left w:val="nil"/>
              <w:bottom w:val="single" w:sz="4" w:space="0" w:color="auto"/>
              <w:right w:val="nil"/>
            </w:tcBorders>
            <w:shd w:val="clear" w:color="auto" w:fill="auto"/>
            <w:noWrap/>
            <w:vAlign w:val="bottom"/>
            <w:hideMark/>
          </w:tcPr>
          <w:p w14:paraId="603A5C8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218</w:t>
            </w:r>
          </w:p>
        </w:tc>
        <w:tc>
          <w:tcPr>
            <w:tcW w:w="1306" w:type="dxa"/>
            <w:tcBorders>
              <w:top w:val="nil"/>
              <w:left w:val="nil"/>
              <w:bottom w:val="single" w:sz="4" w:space="0" w:color="auto"/>
              <w:right w:val="nil"/>
            </w:tcBorders>
            <w:shd w:val="clear" w:color="auto" w:fill="E5DFEC" w:themeFill="accent4" w:themeFillTint="33"/>
            <w:noWrap/>
            <w:vAlign w:val="bottom"/>
            <w:hideMark/>
          </w:tcPr>
          <w:p w14:paraId="39FB826D"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286</w:t>
            </w:r>
          </w:p>
        </w:tc>
        <w:tc>
          <w:tcPr>
            <w:tcW w:w="1305" w:type="dxa"/>
            <w:tcBorders>
              <w:top w:val="nil"/>
              <w:left w:val="nil"/>
              <w:bottom w:val="single" w:sz="4" w:space="0" w:color="auto"/>
              <w:right w:val="nil"/>
            </w:tcBorders>
            <w:shd w:val="clear" w:color="auto" w:fill="auto"/>
            <w:noWrap/>
            <w:vAlign w:val="bottom"/>
            <w:hideMark/>
          </w:tcPr>
          <w:p w14:paraId="00C766F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353</w:t>
            </w:r>
          </w:p>
        </w:tc>
        <w:tc>
          <w:tcPr>
            <w:tcW w:w="1306" w:type="dxa"/>
            <w:tcBorders>
              <w:top w:val="nil"/>
              <w:left w:val="nil"/>
              <w:bottom w:val="single" w:sz="4" w:space="0" w:color="auto"/>
              <w:right w:val="nil"/>
            </w:tcBorders>
            <w:shd w:val="clear" w:color="auto" w:fill="E5DFEC" w:themeFill="accent4" w:themeFillTint="33"/>
            <w:noWrap/>
            <w:vAlign w:val="bottom"/>
            <w:hideMark/>
          </w:tcPr>
          <w:p w14:paraId="7CC5E3A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430</w:t>
            </w:r>
          </w:p>
        </w:tc>
        <w:tc>
          <w:tcPr>
            <w:tcW w:w="1305" w:type="dxa"/>
            <w:tcBorders>
              <w:top w:val="nil"/>
              <w:left w:val="nil"/>
              <w:bottom w:val="single" w:sz="4" w:space="0" w:color="auto"/>
              <w:right w:val="nil"/>
            </w:tcBorders>
            <w:shd w:val="clear" w:color="auto" w:fill="auto"/>
            <w:noWrap/>
            <w:vAlign w:val="bottom"/>
            <w:hideMark/>
          </w:tcPr>
          <w:p w14:paraId="4EBA5F6C"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423</w:t>
            </w:r>
          </w:p>
        </w:tc>
        <w:tc>
          <w:tcPr>
            <w:tcW w:w="1306" w:type="dxa"/>
            <w:tcBorders>
              <w:top w:val="nil"/>
              <w:left w:val="nil"/>
              <w:bottom w:val="single" w:sz="4" w:space="0" w:color="auto"/>
              <w:right w:val="nil"/>
            </w:tcBorders>
            <w:shd w:val="clear" w:color="auto" w:fill="E5DFEC" w:themeFill="accent4" w:themeFillTint="33"/>
            <w:noWrap/>
            <w:vAlign w:val="bottom"/>
            <w:hideMark/>
          </w:tcPr>
          <w:p w14:paraId="5EEB7FA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530</w:t>
            </w:r>
          </w:p>
        </w:tc>
        <w:tc>
          <w:tcPr>
            <w:tcW w:w="1305" w:type="dxa"/>
            <w:tcBorders>
              <w:top w:val="nil"/>
              <w:left w:val="nil"/>
              <w:bottom w:val="single" w:sz="4" w:space="0" w:color="auto"/>
              <w:right w:val="nil"/>
            </w:tcBorders>
            <w:shd w:val="clear" w:color="auto" w:fill="auto"/>
            <w:noWrap/>
            <w:vAlign w:val="bottom"/>
            <w:hideMark/>
          </w:tcPr>
          <w:p w14:paraId="0B8C5C0C"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397</w:t>
            </w:r>
          </w:p>
        </w:tc>
        <w:tc>
          <w:tcPr>
            <w:tcW w:w="1306" w:type="dxa"/>
            <w:tcBorders>
              <w:top w:val="nil"/>
              <w:left w:val="nil"/>
              <w:bottom w:val="single" w:sz="4" w:space="0" w:color="auto"/>
              <w:right w:val="single" w:sz="4" w:space="0" w:color="auto"/>
            </w:tcBorders>
            <w:shd w:val="clear" w:color="auto" w:fill="E5DFEC" w:themeFill="accent4" w:themeFillTint="33"/>
            <w:noWrap/>
            <w:vAlign w:val="bottom"/>
            <w:hideMark/>
          </w:tcPr>
          <w:p w14:paraId="22B3E4F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428</w:t>
            </w:r>
          </w:p>
        </w:tc>
      </w:tr>
      <w:tr w:rsidR="00876EFC" w:rsidRPr="00DA0360" w14:paraId="2ECE402A" w14:textId="77777777" w:rsidTr="00B77B32">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6B91A7F4"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Sexual Abuse</w:t>
            </w:r>
          </w:p>
        </w:tc>
        <w:tc>
          <w:tcPr>
            <w:tcW w:w="1149" w:type="dxa"/>
            <w:tcBorders>
              <w:top w:val="nil"/>
              <w:left w:val="nil"/>
              <w:bottom w:val="nil"/>
              <w:right w:val="nil"/>
            </w:tcBorders>
            <w:shd w:val="clear" w:color="auto" w:fill="auto"/>
            <w:noWrap/>
            <w:vAlign w:val="bottom"/>
            <w:hideMark/>
          </w:tcPr>
          <w:p w14:paraId="4DE53420"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F2DBDB" w:themeFill="accent2" w:themeFillTint="33"/>
            <w:noWrap/>
            <w:vAlign w:val="bottom"/>
            <w:hideMark/>
          </w:tcPr>
          <w:p w14:paraId="6D0D8C75"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3BD266BB"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F2DBDB" w:themeFill="accent2" w:themeFillTint="33"/>
            <w:noWrap/>
            <w:vAlign w:val="bottom"/>
            <w:hideMark/>
          </w:tcPr>
          <w:p w14:paraId="11BBE216"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6FDD2AC6"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F2DBDB" w:themeFill="accent2" w:themeFillTint="33"/>
            <w:noWrap/>
            <w:vAlign w:val="bottom"/>
            <w:hideMark/>
          </w:tcPr>
          <w:p w14:paraId="12BEE465"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404CB0E9"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nil"/>
            </w:tcBorders>
            <w:shd w:val="clear" w:color="auto" w:fill="F2DBDB" w:themeFill="accent2" w:themeFillTint="33"/>
            <w:noWrap/>
            <w:vAlign w:val="bottom"/>
            <w:hideMark/>
          </w:tcPr>
          <w:p w14:paraId="592BB9A7" w14:textId="77777777" w:rsidR="00876EFC" w:rsidRPr="00DA0360" w:rsidRDefault="00876EFC" w:rsidP="00CE2FDF">
            <w:pPr>
              <w:spacing w:before="0" w:line="276" w:lineRule="auto"/>
              <w:jc w:val="right"/>
              <w:rPr>
                <w:rFonts w:eastAsia="Times New Roman" w:cs="Arial"/>
                <w:b/>
                <w:color w:val="FF0000"/>
                <w:lang w:eastAsia="en-AU"/>
              </w:rPr>
            </w:pPr>
          </w:p>
        </w:tc>
        <w:tc>
          <w:tcPr>
            <w:tcW w:w="1305" w:type="dxa"/>
            <w:tcBorders>
              <w:top w:val="nil"/>
              <w:left w:val="nil"/>
              <w:bottom w:val="nil"/>
              <w:right w:val="nil"/>
            </w:tcBorders>
            <w:shd w:val="clear" w:color="auto" w:fill="auto"/>
            <w:noWrap/>
            <w:vAlign w:val="bottom"/>
            <w:hideMark/>
          </w:tcPr>
          <w:p w14:paraId="7D7E21CB" w14:textId="77777777" w:rsidR="00876EFC" w:rsidRPr="00DA0360" w:rsidRDefault="00876EFC" w:rsidP="00CE2FDF">
            <w:pPr>
              <w:spacing w:before="0" w:line="276" w:lineRule="auto"/>
              <w:jc w:val="right"/>
              <w:rPr>
                <w:rFonts w:eastAsia="Times New Roman" w:cs="Arial"/>
                <w:b/>
                <w:color w:val="FF0000"/>
                <w:lang w:eastAsia="en-AU"/>
              </w:rPr>
            </w:pPr>
          </w:p>
        </w:tc>
        <w:tc>
          <w:tcPr>
            <w:tcW w:w="1306" w:type="dxa"/>
            <w:tcBorders>
              <w:top w:val="nil"/>
              <w:left w:val="nil"/>
              <w:bottom w:val="nil"/>
              <w:right w:val="single" w:sz="4" w:space="0" w:color="auto"/>
            </w:tcBorders>
            <w:shd w:val="clear" w:color="auto" w:fill="F2DBDB" w:themeFill="accent2" w:themeFillTint="33"/>
            <w:noWrap/>
            <w:vAlign w:val="bottom"/>
            <w:hideMark/>
          </w:tcPr>
          <w:p w14:paraId="6AE358B0"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2CBD1865" w14:textId="77777777" w:rsidTr="00B77B32">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39805836"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149" w:type="dxa"/>
            <w:tcBorders>
              <w:top w:val="nil"/>
              <w:left w:val="nil"/>
              <w:bottom w:val="nil"/>
              <w:right w:val="nil"/>
            </w:tcBorders>
            <w:shd w:val="clear" w:color="auto" w:fill="auto"/>
            <w:noWrap/>
            <w:vAlign w:val="bottom"/>
            <w:hideMark/>
          </w:tcPr>
          <w:p w14:paraId="0BC4D80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49</w:t>
            </w:r>
          </w:p>
        </w:tc>
        <w:tc>
          <w:tcPr>
            <w:tcW w:w="1306" w:type="dxa"/>
            <w:tcBorders>
              <w:top w:val="nil"/>
              <w:left w:val="nil"/>
              <w:bottom w:val="nil"/>
              <w:right w:val="nil"/>
            </w:tcBorders>
            <w:shd w:val="clear" w:color="auto" w:fill="F2DBDB" w:themeFill="accent2" w:themeFillTint="33"/>
            <w:noWrap/>
            <w:vAlign w:val="bottom"/>
            <w:hideMark/>
          </w:tcPr>
          <w:p w14:paraId="199F3D5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35</w:t>
            </w:r>
          </w:p>
        </w:tc>
        <w:tc>
          <w:tcPr>
            <w:tcW w:w="1305" w:type="dxa"/>
            <w:tcBorders>
              <w:top w:val="nil"/>
              <w:left w:val="nil"/>
              <w:bottom w:val="nil"/>
              <w:right w:val="nil"/>
            </w:tcBorders>
            <w:shd w:val="clear" w:color="auto" w:fill="auto"/>
            <w:noWrap/>
            <w:vAlign w:val="bottom"/>
            <w:hideMark/>
          </w:tcPr>
          <w:p w14:paraId="0CFFDA3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49</w:t>
            </w:r>
          </w:p>
        </w:tc>
        <w:tc>
          <w:tcPr>
            <w:tcW w:w="1306" w:type="dxa"/>
            <w:tcBorders>
              <w:top w:val="nil"/>
              <w:left w:val="nil"/>
              <w:bottom w:val="nil"/>
              <w:right w:val="nil"/>
            </w:tcBorders>
            <w:shd w:val="clear" w:color="auto" w:fill="F2DBDB" w:themeFill="accent2" w:themeFillTint="33"/>
            <w:noWrap/>
            <w:vAlign w:val="bottom"/>
            <w:hideMark/>
          </w:tcPr>
          <w:p w14:paraId="4E6333A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46</w:t>
            </w:r>
          </w:p>
        </w:tc>
        <w:tc>
          <w:tcPr>
            <w:tcW w:w="1305" w:type="dxa"/>
            <w:tcBorders>
              <w:top w:val="nil"/>
              <w:left w:val="nil"/>
              <w:bottom w:val="nil"/>
              <w:right w:val="nil"/>
            </w:tcBorders>
            <w:shd w:val="clear" w:color="auto" w:fill="auto"/>
            <w:noWrap/>
            <w:vAlign w:val="bottom"/>
            <w:hideMark/>
          </w:tcPr>
          <w:p w14:paraId="4EC0F53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37</w:t>
            </w:r>
          </w:p>
        </w:tc>
        <w:tc>
          <w:tcPr>
            <w:tcW w:w="1306" w:type="dxa"/>
            <w:tcBorders>
              <w:top w:val="nil"/>
              <w:left w:val="nil"/>
              <w:bottom w:val="nil"/>
              <w:right w:val="nil"/>
            </w:tcBorders>
            <w:shd w:val="clear" w:color="auto" w:fill="F2DBDB" w:themeFill="accent2" w:themeFillTint="33"/>
            <w:noWrap/>
            <w:vAlign w:val="bottom"/>
            <w:hideMark/>
          </w:tcPr>
          <w:p w14:paraId="5B8D1D1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55</w:t>
            </w:r>
          </w:p>
        </w:tc>
        <w:tc>
          <w:tcPr>
            <w:tcW w:w="1305" w:type="dxa"/>
            <w:tcBorders>
              <w:top w:val="nil"/>
              <w:left w:val="nil"/>
              <w:bottom w:val="nil"/>
              <w:right w:val="nil"/>
            </w:tcBorders>
            <w:shd w:val="clear" w:color="auto" w:fill="auto"/>
            <w:noWrap/>
            <w:vAlign w:val="bottom"/>
            <w:hideMark/>
          </w:tcPr>
          <w:p w14:paraId="4FA300A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54</w:t>
            </w:r>
          </w:p>
        </w:tc>
        <w:tc>
          <w:tcPr>
            <w:tcW w:w="1306" w:type="dxa"/>
            <w:tcBorders>
              <w:top w:val="nil"/>
              <w:left w:val="nil"/>
              <w:bottom w:val="nil"/>
              <w:right w:val="nil"/>
            </w:tcBorders>
            <w:shd w:val="clear" w:color="auto" w:fill="F2DBDB" w:themeFill="accent2" w:themeFillTint="33"/>
            <w:noWrap/>
            <w:vAlign w:val="bottom"/>
            <w:hideMark/>
          </w:tcPr>
          <w:p w14:paraId="3B5E0BE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w:t>
            </w:r>
          </w:p>
        </w:tc>
        <w:tc>
          <w:tcPr>
            <w:tcW w:w="1305" w:type="dxa"/>
            <w:tcBorders>
              <w:top w:val="nil"/>
              <w:left w:val="nil"/>
              <w:bottom w:val="nil"/>
              <w:right w:val="nil"/>
            </w:tcBorders>
            <w:shd w:val="clear" w:color="auto" w:fill="auto"/>
            <w:noWrap/>
            <w:vAlign w:val="bottom"/>
            <w:hideMark/>
          </w:tcPr>
          <w:p w14:paraId="21FC281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47</w:t>
            </w:r>
          </w:p>
        </w:tc>
        <w:tc>
          <w:tcPr>
            <w:tcW w:w="1306" w:type="dxa"/>
            <w:tcBorders>
              <w:top w:val="nil"/>
              <w:left w:val="nil"/>
              <w:bottom w:val="nil"/>
              <w:right w:val="single" w:sz="4" w:space="0" w:color="auto"/>
            </w:tcBorders>
            <w:shd w:val="clear" w:color="auto" w:fill="F2DBDB" w:themeFill="accent2" w:themeFillTint="33"/>
            <w:noWrap/>
            <w:vAlign w:val="bottom"/>
            <w:hideMark/>
          </w:tcPr>
          <w:p w14:paraId="619BB00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56</w:t>
            </w:r>
          </w:p>
        </w:tc>
      </w:tr>
      <w:tr w:rsidR="000E61DB" w:rsidRPr="001565F1" w14:paraId="12549D81" w14:textId="77777777" w:rsidTr="00B77B32">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6D5DAD56"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149" w:type="dxa"/>
            <w:tcBorders>
              <w:top w:val="nil"/>
              <w:left w:val="nil"/>
              <w:bottom w:val="nil"/>
              <w:right w:val="nil"/>
            </w:tcBorders>
            <w:shd w:val="clear" w:color="auto" w:fill="auto"/>
            <w:noWrap/>
            <w:vAlign w:val="bottom"/>
            <w:hideMark/>
          </w:tcPr>
          <w:p w14:paraId="3DCFA37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w:t>
            </w:r>
          </w:p>
        </w:tc>
        <w:tc>
          <w:tcPr>
            <w:tcW w:w="1306" w:type="dxa"/>
            <w:tcBorders>
              <w:top w:val="nil"/>
              <w:left w:val="nil"/>
              <w:bottom w:val="nil"/>
              <w:right w:val="nil"/>
            </w:tcBorders>
            <w:shd w:val="clear" w:color="auto" w:fill="F2DBDB" w:themeFill="accent2" w:themeFillTint="33"/>
            <w:noWrap/>
            <w:vAlign w:val="bottom"/>
            <w:hideMark/>
          </w:tcPr>
          <w:p w14:paraId="61BFFE4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w:t>
            </w:r>
          </w:p>
        </w:tc>
        <w:tc>
          <w:tcPr>
            <w:tcW w:w="1305" w:type="dxa"/>
            <w:tcBorders>
              <w:top w:val="nil"/>
              <w:left w:val="nil"/>
              <w:bottom w:val="nil"/>
              <w:right w:val="nil"/>
            </w:tcBorders>
            <w:shd w:val="clear" w:color="auto" w:fill="auto"/>
            <w:noWrap/>
            <w:vAlign w:val="bottom"/>
            <w:hideMark/>
          </w:tcPr>
          <w:p w14:paraId="1D8BAE8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32</w:t>
            </w:r>
          </w:p>
        </w:tc>
        <w:tc>
          <w:tcPr>
            <w:tcW w:w="1306" w:type="dxa"/>
            <w:tcBorders>
              <w:top w:val="nil"/>
              <w:left w:val="nil"/>
              <w:bottom w:val="nil"/>
              <w:right w:val="nil"/>
            </w:tcBorders>
            <w:shd w:val="clear" w:color="auto" w:fill="F2DBDB" w:themeFill="accent2" w:themeFillTint="33"/>
            <w:noWrap/>
            <w:vAlign w:val="bottom"/>
            <w:hideMark/>
          </w:tcPr>
          <w:p w14:paraId="12B37A1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w:t>
            </w:r>
          </w:p>
        </w:tc>
        <w:tc>
          <w:tcPr>
            <w:tcW w:w="1305" w:type="dxa"/>
            <w:tcBorders>
              <w:top w:val="nil"/>
              <w:left w:val="nil"/>
              <w:bottom w:val="nil"/>
              <w:right w:val="nil"/>
            </w:tcBorders>
            <w:shd w:val="clear" w:color="auto" w:fill="auto"/>
            <w:noWrap/>
            <w:vAlign w:val="bottom"/>
            <w:hideMark/>
          </w:tcPr>
          <w:p w14:paraId="0A5F804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w:t>
            </w:r>
          </w:p>
        </w:tc>
        <w:tc>
          <w:tcPr>
            <w:tcW w:w="1306" w:type="dxa"/>
            <w:tcBorders>
              <w:top w:val="nil"/>
              <w:left w:val="nil"/>
              <w:bottom w:val="nil"/>
              <w:right w:val="nil"/>
            </w:tcBorders>
            <w:shd w:val="clear" w:color="auto" w:fill="F2DBDB" w:themeFill="accent2" w:themeFillTint="33"/>
            <w:noWrap/>
            <w:vAlign w:val="bottom"/>
            <w:hideMark/>
          </w:tcPr>
          <w:p w14:paraId="0CC9C97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w:t>
            </w:r>
          </w:p>
        </w:tc>
        <w:tc>
          <w:tcPr>
            <w:tcW w:w="1305" w:type="dxa"/>
            <w:tcBorders>
              <w:top w:val="nil"/>
              <w:left w:val="nil"/>
              <w:bottom w:val="nil"/>
              <w:right w:val="nil"/>
            </w:tcBorders>
            <w:shd w:val="clear" w:color="auto" w:fill="auto"/>
            <w:noWrap/>
            <w:vAlign w:val="bottom"/>
            <w:hideMark/>
          </w:tcPr>
          <w:p w14:paraId="3441A1C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w:t>
            </w:r>
          </w:p>
        </w:tc>
        <w:tc>
          <w:tcPr>
            <w:tcW w:w="1306" w:type="dxa"/>
            <w:tcBorders>
              <w:top w:val="nil"/>
              <w:left w:val="nil"/>
              <w:bottom w:val="nil"/>
              <w:right w:val="nil"/>
            </w:tcBorders>
            <w:shd w:val="clear" w:color="auto" w:fill="F2DBDB" w:themeFill="accent2" w:themeFillTint="33"/>
            <w:noWrap/>
            <w:vAlign w:val="bottom"/>
            <w:hideMark/>
          </w:tcPr>
          <w:p w14:paraId="54E761A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w:t>
            </w:r>
          </w:p>
        </w:tc>
        <w:tc>
          <w:tcPr>
            <w:tcW w:w="1305" w:type="dxa"/>
            <w:tcBorders>
              <w:top w:val="nil"/>
              <w:left w:val="nil"/>
              <w:bottom w:val="nil"/>
              <w:right w:val="nil"/>
            </w:tcBorders>
            <w:shd w:val="clear" w:color="auto" w:fill="auto"/>
            <w:noWrap/>
            <w:vAlign w:val="bottom"/>
            <w:hideMark/>
          </w:tcPr>
          <w:p w14:paraId="4B9AE74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24</w:t>
            </w:r>
          </w:p>
        </w:tc>
        <w:tc>
          <w:tcPr>
            <w:tcW w:w="1306" w:type="dxa"/>
            <w:tcBorders>
              <w:top w:val="nil"/>
              <w:left w:val="nil"/>
              <w:bottom w:val="nil"/>
              <w:right w:val="single" w:sz="4" w:space="0" w:color="auto"/>
            </w:tcBorders>
            <w:shd w:val="clear" w:color="auto" w:fill="F2DBDB" w:themeFill="accent2" w:themeFillTint="33"/>
            <w:noWrap/>
            <w:vAlign w:val="bottom"/>
            <w:hideMark/>
          </w:tcPr>
          <w:p w14:paraId="10A7D9A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33</w:t>
            </w:r>
          </w:p>
        </w:tc>
      </w:tr>
      <w:tr w:rsidR="00876EFC" w:rsidRPr="001565F1" w14:paraId="7FC2D750" w14:textId="77777777" w:rsidTr="00B77B32">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532B1130"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149" w:type="dxa"/>
            <w:tcBorders>
              <w:top w:val="nil"/>
              <w:left w:val="nil"/>
              <w:bottom w:val="nil"/>
              <w:right w:val="nil"/>
            </w:tcBorders>
            <w:shd w:val="clear" w:color="auto" w:fill="auto"/>
            <w:noWrap/>
            <w:vAlign w:val="bottom"/>
            <w:hideMark/>
          </w:tcPr>
          <w:p w14:paraId="363F488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306" w:type="dxa"/>
            <w:tcBorders>
              <w:top w:val="nil"/>
              <w:left w:val="nil"/>
              <w:bottom w:val="nil"/>
              <w:right w:val="nil"/>
            </w:tcBorders>
            <w:shd w:val="clear" w:color="auto" w:fill="F2DBDB" w:themeFill="accent2" w:themeFillTint="33"/>
            <w:noWrap/>
            <w:vAlign w:val="bottom"/>
            <w:hideMark/>
          </w:tcPr>
          <w:p w14:paraId="34CE916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w:t>
            </w:r>
          </w:p>
        </w:tc>
        <w:tc>
          <w:tcPr>
            <w:tcW w:w="1305" w:type="dxa"/>
            <w:tcBorders>
              <w:top w:val="nil"/>
              <w:left w:val="nil"/>
              <w:bottom w:val="nil"/>
              <w:right w:val="nil"/>
            </w:tcBorders>
            <w:shd w:val="clear" w:color="auto" w:fill="auto"/>
            <w:noWrap/>
            <w:vAlign w:val="bottom"/>
            <w:hideMark/>
          </w:tcPr>
          <w:p w14:paraId="73ACE9E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w:t>
            </w:r>
          </w:p>
        </w:tc>
        <w:tc>
          <w:tcPr>
            <w:tcW w:w="1306" w:type="dxa"/>
            <w:tcBorders>
              <w:top w:val="nil"/>
              <w:left w:val="nil"/>
              <w:bottom w:val="nil"/>
              <w:right w:val="nil"/>
            </w:tcBorders>
            <w:shd w:val="clear" w:color="auto" w:fill="F2DBDB" w:themeFill="accent2" w:themeFillTint="33"/>
            <w:noWrap/>
            <w:vAlign w:val="bottom"/>
            <w:hideMark/>
          </w:tcPr>
          <w:p w14:paraId="4B95C8F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p>
        </w:tc>
        <w:tc>
          <w:tcPr>
            <w:tcW w:w="1305" w:type="dxa"/>
            <w:tcBorders>
              <w:top w:val="nil"/>
              <w:left w:val="nil"/>
              <w:bottom w:val="nil"/>
              <w:right w:val="nil"/>
            </w:tcBorders>
            <w:shd w:val="clear" w:color="auto" w:fill="auto"/>
            <w:noWrap/>
            <w:vAlign w:val="bottom"/>
            <w:hideMark/>
          </w:tcPr>
          <w:p w14:paraId="4C4C60C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w:t>
            </w:r>
          </w:p>
        </w:tc>
        <w:tc>
          <w:tcPr>
            <w:tcW w:w="1306" w:type="dxa"/>
            <w:tcBorders>
              <w:top w:val="nil"/>
              <w:left w:val="nil"/>
              <w:bottom w:val="nil"/>
              <w:right w:val="nil"/>
            </w:tcBorders>
            <w:shd w:val="clear" w:color="auto" w:fill="F2DBDB" w:themeFill="accent2" w:themeFillTint="33"/>
            <w:noWrap/>
            <w:vAlign w:val="bottom"/>
            <w:hideMark/>
          </w:tcPr>
          <w:p w14:paraId="292AC94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w:t>
            </w:r>
          </w:p>
        </w:tc>
        <w:tc>
          <w:tcPr>
            <w:tcW w:w="1305" w:type="dxa"/>
            <w:tcBorders>
              <w:top w:val="nil"/>
              <w:left w:val="nil"/>
              <w:bottom w:val="nil"/>
              <w:right w:val="nil"/>
            </w:tcBorders>
            <w:shd w:val="clear" w:color="auto" w:fill="auto"/>
            <w:noWrap/>
            <w:vAlign w:val="bottom"/>
            <w:hideMark/>
          </w:tcPr>
          <w:p w14:paraId="6979829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c>
          <w:tcPr>
            <w:tcW w:w="1306" w:type="dxa"/>
            <w:tcBorders>
              <w:top w:val="nil"/>
              <w:left w:val="nil"/>
              <w:bottom w:val="nil"/>
              <w:right w:val="nil"/>
            </w:tcBorders>
            <w:shd w:val="clear" w:color="auto" w:fill="F2DBDB" w:themeFill="accent2" w:themeFillTint="33"/>
            <w:noWrap/>
            <w:vAlign w:val="bottom"/>
            <w:hideMark/>
          </w:tcPr>
          <w:p w14:paraId="759398B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305" w:type="dxa"/>
            <w:tcBorders>
              <w:top w:val="nil"/>
              <w:left w:val="nil"/>
              <w:bottom w:val="nil"/>
              <w:right w:val="nil"/>
            </w:tcBorders>
            <w:shd w:val="clear" w:color="auto" w:fill="auto"/>
            <w:noWrap/>
            <w:vAlign w:val="bottom"/>
            <w:hideMark/>
          </w:tcPr>
          <w:p w14:paraId="3A57B29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p>
        </w:tc>
        <w:tc>
          <w:tcPr>
            <w:tcW w:w="1306" w:type="dxa"/>
            <w:tcBorders>
              <w:top w:val="nil"/>
              <w:left w:val="nil"/>
              <w:bottom w:val="nil"/>
              <w:right w:val="single" w:sz="4" w:space="0" w:color="auto"/>
            </w:tcBorders>
            <w:shd w:val="clear" w:color="auto" w:fill="F2DBDB" w:themeFill="accent2" w:themeFillTint="33"/>
            <w:noWrap/>
            <w:vAlign w:val="bottom"/>
            <w:hideMark/>
          </w:tcPr>
          <w:p w14:paraId="516A8D7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w:t>
            </w:r>
          </w:p>
        </w:tc>
      </w:tr>
      <w:tr w:rsidR="00876EFC" w:rsidRPr="001565F1" w14:paraId="68992896" w14:textId="77777777" w:rsidTr="00B77B32">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70CB0F45"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149" w:type="dxa"/>
            <w:tcBorders>
              <w:top w:val="nil"/>
              <w:left w:val="nil"/>
              <w:bottom w:val="nil"/>
              <w:right w:val="nil"/>
            </w:tcBorders>
            <w:shd w:val="clear" w:color="auto" w:fill="auto"/>
            <w:noWrap/>
            <w:vAlign w:val="bottom"/>
            <w:hideMark/>
          </w:tcPr>
          <w:p w14:paraId="3915C9F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c>
          <w:tcPr>
            <w:tcW w:w="1306" w:type="dxa"/>
            <w:tcBorders>
              <w:top w:val="nil"/>
              <w:left w:val="nil"/>
              <w:bottom w:val="nil"/>
              <w:right w:val="nil"/>
            </w:tcBorders>
            <w:shd w:val="clear" w:color="auto" w:fill="F2DBDB" w:themeFill="accent2" w:themeFillTint="33"/>
            <w:noWrap/>
            <w:vAlign w:val="bottom"/>
            <w:hideMark/>
          </w:tcPr>
          <w:p w14:paraId="13F20B5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305" w:type="dxa"/>
            <w:tcBorders>
              <w:top w:val="nil"/>
              <w:left w:val="nil"/>
              <w:bottom w:val="nil"/>
              <w:right w:val="nil"/>
            </w:tcBorders>
            <w:shd w:val="clear" w:color="auto" w:fill="auto"/>
            <w:noWrap/>
            <w:vAlign w:val="bottom"/>
            <w:hideMark/>
          </w:tcPr>
          <w:p w14:paraId="47A9865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p>
        </w:tc>
        <w:tc>
          <w:tcPr>
            <w:tcW w:w="1306" w:type="dxa"/>
            <w:tcBorders>
              <w:top w:val="nil"/>
              <w:left w:val="nil"/>
              <w:bottom w:val="nil"/>
              <w:right w:val="nil"/>
            </w:tcBorders>
            <w:shd w:val="clear" w:color="auto" w:fill="F2DBDB" w:themeFill="accent2" w:themeFillTint="33"/>
            <w:noWrap/>
            <w:vAlign w:val="bottom"/>
            <w:hideMark/>
          </w:tcPr>
          <w:p w14:paraId="4D94400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p>
        </w:tc>
        <w:tc>
          <w:tcPr>
            <w:tcW w:w="1305" w:type="dxa"/>
            <w:tcBorders>
              <w:top w:val="nil"/>
              <w:left w:val="nil"/>
              <w:bottom w:val="nil"/>
              <w:right w:val="nil"/>
            </w:tcBorders>
            <w:shd w:val="clear" w:color="auto" w:fill="auto"/>
            <w:noWrap/>
            <w:vAlign w:val="bottom"/>
            <w:hideMark/>
          </w:tcPr>
          <w:p w14:paraId="4B6926C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w:t>
            </w:r>
          </w:p>
        </w:tc>
        <w:tc>
          <w:tcPr>
            <w:tcW w:w="1306" w:type="dxa"/>
            <w:tcBorders>
              <w:top w:val="nil"/>
              <w:left w:val="nil"/>
              <w:bottom w:val="nil"/>
              <w:right w:val="nil"/>
            </w:tcBorders>
            <w:shd w:val="clear" w:color="auto" w:fill="F2DBDB" w:themeFill="accent2" w:themeFillTint="33"/>
            <w:noWrap/>
            <w:vAlign w:val="bottom"/>
            <w:hideMark/>
          </w:tcPr>
          <w:p w14:paraId="1C00AEA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w:t>
            </w:r>
          </w:p>
        </w:tc>
        <w:tc>
          <w:tcPr>
            <w:tcW w:w="1305" w:type="dxa"/>
            <w:tcBorders>
              <w:top w:val="nil"/>
              <w:left w:val="nil"/>
              <w:bottom w:val="nil"/>
              <w:right w:val="nil"/>
            </w:tcBorders>
            <w:shd w:val="clear" w:color="auto" w:fill="auto"/>
            <w:noWrap/>
            <w:vAlign w:val="bottom"/>
            <w:hideMark/>
          </w:tcPr>
          <w:p w14:paraId="61381B4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306" w:type="dxa"/>
            <w:tcBorders>
              <w:top w:val="nil"/>
              <w:left w:val="nil"/>
              <w:bottom w:val="nil"/>
              <w:right w:val="nil"/>
            </w:tcBorders>
            <w:shd w:val="clear" w:color="auto" w:fill="F2DBDB" w:themeFill="accent2" w:themeFillTint="33"/>
            <w:noWrap/>
            <w:vAlign w:val="bottom"/>
            <w:hideMark/>
          </w:tcPr>
          <w:p w14:paraId="407B1C8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w:t>
            </w:r>
          </w:p>
        </w:tc>
        <w:tc>
          <w:tcPr>
            <w:tcW w:w="1305" w:type="dxa"/>
            <w:tcBorders>
              <w:top w:val="nil"/>
              <w:left w:val="nil"/>
              <w:bottom w:val="nil"/>
              <w:right w:val="nil"/>
            </w:tcBorders>
            <w:shd w:val="clear" w:color="auto" w:fill="auto"/>
            <w:noWrap/>
            <w:vAlign w:val="bottom"/>
            <w:hideMark/>
          </w:tcPr>
          <w:p w14:paraId="4E02478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w:t>
            </w:r>
          </w:p>
        </w:tc>
        <w:tc>
          <w:tcPr>
            <w:tcW w:w="1306" w:type="dxa"/>
            <w:tcBorders>
              <w:top w:val="nil"/>
              <w:left w:val="nil"/>
              <w:bottom w:val="nil"/>
              <w:right w:val="single" w:sz="4" w:space="0" w:color="auto"/>
            </w:tcBorders>
            <w:shd w:val="clear" w:color="auto" w:fill="F2DBDB" w:themeFill="accent2" w:themeFillTint="33"/>
            <w:noWrap/>
            <w:vAlign w:val="bottom"/>
            <w:hideMark/>
          </w:tcPr>
          <w:p w14:paraId="487FC44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w:t>
            </w:r>
          </w:p>
        </w:tc>
      </w:tr>
      <w:tr w:rsidR="00876EFC" w:rsidRPr="00DA0360" w14:paraId="709648A4" w14:textId="77777777" w:rsidTr="00B77B32">
        <w:trPr>
          <w:trHeight w:val="204"/>
        </w:trPr>
        <w:tc>
          <w:tcPr>
            <w:tcW w:w="1858" w:type="dxa"/>
            <w:tcBorders>
              <w:top w:val="nil"/>
              <w:left w:val="single" w:sz="4" w:space="0" w:color="auto"/>
              <w:bottom w:val="single" w:sz="4" w:space="0" w:color="auto"/>
              <w:right w:val="nil"/>
            </w:tcBorders>
            <w:shd w:val="clear" w:color="auto" w:fill="F2DBDB" w:themeFill="accent2" w:themeFillTint="33"/>
            <w:noWrap/>
            <w:vAlign w:val="bottom"/>
            <w:hideMark/>
          </w:tcPr>
          <w:p w14:paraId="56B6F20F"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149" w:type="dxa"/>
            <w:tcBorders>
              <w:top w:val="nil"/>
              <w:left w:val="nil"/>
              <w:bottom w:val="single" w:sz="4" w:space="0" w:color="auto"/>
              <w:right w:val="nil"/>
            </w:tcBorders>
            <w:shd w:val="clear" w:color="auto" w:fill="auto"/>
            <w:noWrap/>
            <w:vAlign w:val="bottom"/>
            <w:hideMark/>
          </w:tcPr>
          <w:p w14:paraId="4371150C"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68</w:t>
            </w:r>
          </w:p>
        </w:tc>
        <w:tc>
          <w:tcPr>
            <w:tcW w:w="1306" w:type="dxa"/>
            <w:tcBorders>
              <w:top w:val="nil"/>
              <w:left w:val="nil"/>
              <w:bottom w:val="single" w:sz="4" w:space="0" w:color="auto"/>
              <w:right w:val="nil"/>
            </w:tcBorders>
            <w:shd w:val="clear" w:color="auto" w:fill="F2DBDB" w:themeFill="accent2" w:themeFillTint="33"/>
            <w:noWrap/>
            <w:vAlign w:val="bottom"/>
            <w:hideMark/>
          </w:tcPr>
          <w:p w14:paraId="644140E7"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57</w:t>
            </w:r>
          </w:p>
        </w:tc>
        <w:tc>
          <w:tcPr>
            <w:tcW w:w="1305" w:type="dxa"/>
            <w:tcBorders>
              <w:top w:val="nil"/>
              <w:left w:val="nil"/>
              <w:bottom w:val="single" w:sz="4" w:space="0" w:color="auto"/>
              <w:right w:val="nil"/>
            </w:tcBorders>
            <w:shd w:val="clear" w:color="auto" w:fill="auto"/>
            <w:noWrap/>
            <w:vAlign w:val="bottom"/>
            <w:hideMark/>
          </w:tcPr>
          <w:p w14:paraId="3663CC1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81</w:t>
            </w:r>
          </w:p>
        </w:tc>
        <w:tc>
          <w:tcPr>
            <w:tcW w:w="1306" w:type="dxa"/>
            <w:tcBorders>
              <w:top w:val="nil"/>
              <w:left w:val="nil"/>
              <w:bottom w:val="single" w:sz="4" w:space="0" w:color="auto"/>
              <w:right w:val="nil"/>
            </w:tcBorders>
            <w:shd w:val="clear" w:color="auto" w:fill="F2DBDB" w:themeFill="accent2" w:themeFillTint="33"/>
            <w:noWrap/>
            <w:vAlign w:val="bottom"/>
            <w:hideMark/>
          </w:tcPr>
          <w:p w14:paraId="2D985C1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68</w:t>
            </w:r>
          </w:p>
        </w:tc>
        <w:tc>
          <w:tcPr>
            <w:tcW w:w="1305" w:type="dxa"/>
            <w:tcBorders>
              <w:top w:val="nil"/>
              <w:left w:val="nil"/>
              <w:bottom w:val="single" w:sz="4" w:space="0" w:color="auto"/>
              <w:right w:val="nil"/>
            </w:tcBorders>
            <w:shd w:val="clear" w:color="auto" w:fill="auto"/>
            <w:noWrap/>
            <w:vAlign w:val="bottom"/>
            <w:hideMark/>
          </w:tcPr>
          <w:p w14:paraId="4912269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67</w:t>
            </w:r>
          </w:p>
        </w:tc>
        <w:tc>
          <w:tcPr>
            <w:tcW w:w="1306" w:type="dxa"/>
            <w:tcBorders>
              <w:top w:val="nil"/>
              <w:left w:val="nil"/>
              <w:bottom w:val="single" w:sz="4" w:space="0" w:color="auto"/>
              <w:right w:val="nil"/>
            </w:tcBorders>
            <w:shd w:val="clear" w:color="auto" w:fill="F2DBDB" w:themeFill="accent2" w:themeFillTint="33"/>
            <w:noWrap/>
            <w:vAlign w:val="bottom"/>
            <w:hideMark/>
          </w:tcPr>
          <w:p w14:paraId="585E495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80</w:t>
            </w:r>
          </w:p>
        </w:tc>
        <w:tc>
          <w:tcPr>
            <w:tcW w:w="1305" w:type="dxa"/>
            <w:tcBorders>
              <w:top w:val="nil"/>
              <w:left w:val="nil"/>
              <w:bottom w:val="single" w:sz="4" w:space="0" w:color="auto"/>
              <w:right w:val="nil"/>
            </w:tcBorders>
            <w:shd w:val="clear" w:color="auto" w:fill="auto"/>
            <w:noWrap/>
            <w:vAlign w:val="bottom"/>
            <w:hideMark/>
          </w:tcPr>
          <w:p w14:paraId="34305F14"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70</w:t>
            </w:r>
          </w:p>
        </w:tc>
        <w:tc>
          <w:tcPr>
            <w:tcW w:w="1306" w:type="dxa"/>
            <w:tcBorders>
              <w:top w:val="nil"/>
              <w:left w:val="nil"/>
              <w:bottom w:val="single" w:sz="4" w:space="0" w:color="auto"/>
              <w:right w:val="nil"/>
            </w:tcBorders>
            <w:shd w:val="clear" w:color="auto" w:fill="F2DBDB" w:themeFill="accent2" w:themeFillTint="33"/>
            <w:noWrap/>
            <w:vAlign w:val="bottom"/>
            <w:hideMark/>
          </w:tcPr>
          <w:p w14:paraId="3EBC5F41"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72</w:t>
            </w:r>
          </w:p>
        </w:tc>
        <w:tc>
          <w:tcPr>
            <w:tcW w:w="1305" w:type="dxa"/>
            <w:tcBorders>
              <w:top w:val="nil"/>
              <w:left w:val="nil"/>
              <w:bottom w:val="single" w:sz="4" w:space="0" w:color="auto"/>
              <w:right w:val="nil"/>
            </w:tcBorders>
            <w:shd w:val="clear" w:color="auto" w:fill="auto"/>
            <w:noWrap/>
            <w:vAlign w:val="bottom"/>
            <w:hideMark/>
          </w:tcPr>
          <w:p w14:paraId="5B9F040C"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71</w:t>
            </w:r>
          </w:p>
        </w:tc>
        <w:tc>
          <w:tcPr>
            <w:tcW w:w="1306" w:type="dxa"/>
            <w:tcBorders>
              <w:top w:val="nil"/>
              <w:left w:val="nil"/>
              <w:bottom w:val="single" w:sz="4" w:space="0" w:color="auto"/>
              <w:right w:val="single" w:sz="4" w:space="0" w:color="auto"/>
            </w:tcBorders>
            <w:shd w:val="clear" w:color="auto" w:fill="F2DBDB" w:themeFill="accent2" w:themeFillTint="33"/>
            <w:noWrap/>
            <w:vAlign w:val="bottom"/>
            <w:hideMark/>
          </w:tcPr>
          <w:p w14:paraId="7E6B2C7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89</w:t>
            </w:r>
          </w:p>
        </w:tc>
      </w:tr>
    </w:tbl>
    <w:p w14:paraId="1B87C7E4" w14:textId="77777777" w:rsidR="002F6188" w:rsidRDefault="002F6188" w:rsidP="0095311F">
      <w:pPr>
        <w:pStyle w:val="Figureheading"/>
      </w:pPr>
      <w:r>
        <w:lastRenderedPageBreak/>
        <w:t>2.6.5</w:t>
      </w:r>
      <w:r>
        <w:tab/>
        <w:t xml:space="preserve">Number of reports by police, by year, abuse type, and outcome </w:t>
      </w:r>
    </w:p>
    <w:tbl>
      <w:tblPr>
        <w:tblW w:w="14757" w:type="dxa"/>
        <w:tblInd w:w="93" w:type="dxa"/>
        <w:tblLayout w:type="fixed"/>
        <w:tblLook w:val="04A0" w:firstRow="1" w:lastRow="0" w:firstColumn="1" w:lastColumn="0" w:noHBand="0" w:noVBand="1"/>
      </w:tblPr>
      <w:tblGrid>
        <w:gridCol w:w="1876"/>
        <w:gridCol w:w="1288"/>
        <w:gridCol w:w="1288"/>
        <w:gridCol w:w="1288"/>
        <w:gridCol w:w="1288"/>
        <w:gridCol w:w="1288"/>
        <w:gridCol w:w="1288"/>
        <w:gridCol w:w="1288"/>
        <w:gridCol w:w="1288"/>
        <w:gridCol w:w="1288"/>
        <w:gridCol w:w="1289"/>
      </w:tblGrid>
      <w:tr w:rsidR="00876EFC" w:rsidRPr="001565F1" w14:paraId="5AA9E0F4" w14:textId="77777777" w:rsidTr="00561E44">
        <w:trPr>
          <w:trHeight w:val="324"/>
        </w:trPr>
        <w:tc>
          <w:tcPr>
            <w:tcW w:w="1876"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430C3106" w14:textId="77777777" w:rsidR="00876EFC" w:rsidRPr="001565F1" w:rsidRDefault="00876EFC" w:rsidP="00CE2FDF">
            <w:pPr>
              <w:spacing w:before="0" w:line="276" w:lineRule="auto"/>
              <w:rPr>
                <w:rFonts w:eastAsia="Times New Roman" w:cs="Arial"/>
                <w:b/>
                <w:bCs/>
                <w:color w:val="000000"/>
                <w:lang w:eastAsia="en-AU"/>
              </w:rPr>
            </w:pP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45C179B0"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2A662BDB"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2CAD3F03"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0D571063"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601C6594"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3C71C0C6"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72FD35E2"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770903A7"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88" w:type="dxa"/>
            <w:tcBorders>
              <w:top w:val="single" w:sz="4" w:space="0" w:color="auto"/>
              <w:left w:val="nil"/>
              <w:bottom w:val="single" w:sz="4" w:space="0" w:color="auto"/>
              <w:right w:val="nil"/>
            </w:tcBorders>
            <w:shd w:val="clear" w:color="auto" w:fill="D9D9D9" w:themeFill="background1" w:themeFillShade="D9"/>
            <w:noWrap/>
            <w:vAlign w:val="bottom"/>
            <w:hideMark/>
          </w:tcPr>
          <w:p w14:paraId="2FDE14E1"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8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5D3D546"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876EFC" w:rsidRPr="00DA0360" w14:paraId="2D18E467" w14:textId="77777777" w:rsidTr="00561E44">
        <w:trPr>
          <w:trHeight w:val="204"/>
        </w:trPr>
        <w:tc>
          <w:tcPr>
            <w:tcW w:w="1876" w:type="dxa"/>
            <w:tcBorders>
              <w:top w:val="single" w:sz="4" w:space="0" w:color="auto"/>
              <w:left w:val="single" w:sz="4" w:space="0" w:color="auto"/>
              <w:bottom w:val="nil"/>
              <w:right w:val="nil"/>
            </w:tcBorders>
            <w:shd w:val="clear" w:color="auto" w:fill="EAF1DD" w:themeFill="accent3" w:themeFillTint="33"/>
            <w:noWrap/>
            <w:vAlign w:val="bottom"/>
            <w:hideMark/>
          </w:tcPr>
          <w:p w14:paraId="4227DAAA"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Emotional Abuse</w:t>
            </w:r>
          </w:p>
        </w:tc>
        <w:tc>
          <w:tcPr>
            <w:tcW w:w="1288" w:type="dxa"/>
            <w:tcBorders>
              <w:top w:val="single" w:sz="4" w:space="0" w:color="auto"/>
              <w:left w:val="nil"/>
              <w:bottom w:val="nil"/>
              <w:right w:val="nil"/>
            </w:tcBorders>
            <w:shd w:val="clear" w:color="auto" w:fill="auto"/>
            <w:noWrap/>
            <w:vAlign w:val="bottom"/>
            <w:hideMark/>
          </w:tcPr>
          <w:p w14:paraId="0DFC866D"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EAF1DD" w:themeFill="accent3" w:themeFillTint="33"/>
            <w:noWrap/>
            <w:vAlign w:val="bottom"/>
            <w:hideMark/>
          </w:tcPr>
          <w:p w14:paraId="2BBDAED5"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auto"/>
            <w:noWrap/>
            <w:vAlign w:val="bottom"/>
            <w:hideMark/>
          </w:tcPr>
          <w:p w14:paraId="26E8F3CD"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EAF1DD" w:themeFill="accent3" w:themeFillTint="33"/>
            <w:noWrap/>
            <w:vAlign w:val="bottom"/>
            <w:hideMark/>
          </w:tcPr>
          <w:p w14:paraId="51DDD1D1"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auto"/>
            <w:noWrap/>
            <w:vAlign w:val="bottom"/>
            <w:hideMark/>
          </w:tcPr>
          <w:p w14:paraId="45C730AB"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EAF1DD" w:themeFill="accent3" w:themeFillTint="33"/>
            <w:noWrap/>
            <w:vAlign w:val="bottom"/>
            <w:hideMark/>
          </w:tcPr>
          <w:p w14:paraId="05A2DFA0"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auto"/>
            <w:noWrap/>
            <w:vAlign w:val="bottom"/>
            <w:hideMark/>
          </w:tcPr>
          <w:p w14:paraId="5469A5E3"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EAF1DD" w:themeFill="accent3" w:themeFillTint="33"/>
            <w:noWrap/>
            <w:vAlign w:val="bottom"/>
            <w:hideMark/>
          </w:tcPr>
          <w:p w14:paraId="740DC81C"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single" w:sz="4" w:space="0" w:color="auto"/>
              <w:left w:val="nil"/>
              <w:bottom w:val="nil"/>
              <w:right w:val="nil"/>
            </w:tcBorders>
            <w:shd w:val="clear" w:color="auto" w:fill="auto"/>
            <w:noWrap/>
            <w:vAlign w:val="bottom"/>
            <w:hideMark/>
          </w:tcPr>
          <w:p w14:paraId="4FC2C16C" w14:textId="77777777" w:rsidR="00876EFC" w:rsidRPr="00DA0360" w:rsidRDefault="00876EFC" w:rsidP="00CE2FDF">
            <w:pPr>
              <w:spacing w:before="0" w:line="276" w:lineRule="auto"/>
              <w:jc w:val="right"/>
              <w:rPr>
                <w:rFonts w:eastAsia="Times New Roman" w:cs="Arial"/>
                <w:b/>
                <w:color w:val="FF0000"/>
                <w:lang w:eastAsia="en-AU"/>
              </w:rPr>
            </w:pPr>
          </w:p>
        </w:tc>
        <w:tc>
          <w:tcPr>
            <w:tcW w:w="1289" w:type="dxa"/>
            <w:tcBorders>
              <w:top w:val="single" w:sz="4" w:space="0" w:color="auto"/>
              <w:left w:val="nil"/>
              <w:bottom w:val="nil"/>
              <w:right w:val="single" w:sz="4" w:space="0" w:color="auto"/>
            </w:tcBorders>
            <w:shd w:val="clear" w:color="auto" w:fill="EAF1DD" w:themeFill="accent3" w:themeFillTint="33"/>
            <w:noWrap/>
            <w:vAlign w:val="bottom"/>
            <w:hideMark/>
          </w:tcPr>
          <w:p w14:paraId="7D8331C2"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41BAA43A" w14:textId="77777777" w:rsidTr="00561E44">
        <w:trPr>
          <w:trHeight w:val="204"/>
        </w:trPr>
        <w:tc>
          <w:tcPr>
            <w:tcW w:w="1876" w:type="dxa"/>
            <w:tcBorders>
              <w:top w:val="nil"/>
              <w:left w:val="single" w:sz="4" w:space="0" w:color="auto"/>
              <w:bottom w:val="nil"/>
              <w:right w:val="nil"/>
            </w:tcBorders>
            <w:shd w:val="clear" w:color="auto" w:fill="EAF1DD" w:themeFill="accent3" w:themeFillTint="33"/>
            <w:noWrap/>
            <w:vAlign w:val="bottom"/>
            <w:hideMark/>
          </w:tcPr>
          <w:p w14:paraId="2EFEFFE3"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88" w:type="dxa"/>
            <w:tcBorders>
              <w:top w:val="nil"/>
              <w:left w:val="nil"/>
              <w:bottom w:val="nil"/>
              <w:right w:val="nil"/>
            </w:tcBorders>
            <w:shd w:val="clear" w:color="auto" w:fill="auto"/>
            <w:noWrap/>
            <w:vAlign w:val="bottom"/>
            <w:hideMark/>
          </w:tcPr>
          <w:p w14:paraId="07AB7159" w14:textId="77777777" w:rsidR="00876EFC" w:rsidRPr="001565F1" w:rsidRDefault="00F2448E" w:rsidP="00CE2FDF">
            <w:pPr>
              <w:spacing w:before="0" w:line="276" w:lineRule="auto"/>
              <w:jc w:val="right"/>
              <w:rPr>
                <w:rFonts w:eastAsia="Times New Roman" w:cs="Arial"/>
                <w:color w:val="000000"/>
                <w:lang w:eastAsia="en-AU"/>
              </w:rPr>
            </w:pPr>
            <w:r>
              <w:rPr>
                <w:rFonts w:eastAsia="Times New Roman" w:cs="Arial"/>
                <w:color w:val="000000"/>
                <w:lang w:eastAsia="en-AU"/>
              </w:rPr>
              <w:t>1,</w:t>
            </w:r>
            <w:r w:rsidR="00876EFC" w:rsidRPr="001565F1">
              <w:rPr>
                <w:rFonts w:eastAsia="Times New Roman" w:cs="Arial"/>
                <w:color w:val="000000"/>
                <w:lang w:eastAsia="en-AU"/>
              </w:rPr>
              <w:t>878</w:t>
            </w:r>
          </w:p>
        </w:tc>
        <w:tc>
          <w:tcPr>
            <w:tcW w:w="1288" w:type="dxa"/>
            <w:tcBorders>
              <w:top w:val="nil"/>
              <w:left w:val="nil"/>
              <w:bottom w:val="nil"/>
              <w:right w:val="nil"/>
            </w:tcBorders>
            <w:shd w:val="clear" w:color="auto" w:fill="EAF1DD" w:themeFill="accent3" w:themeFillTint="33"/>
            <w:noWrap/>
            <w:vAlign w:val="bottom"/>
            <w:hideMark/>
          </w:tcPr>
          <w:p w14:paraId="57281A8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800</w:t>
            </w:r>
          </w:p>
        </w:tc>
        <w:tc>
          <w:tcPr>
            <w:tcW w:w="1288" w:type="dxa"/>
            <w:tcBorders>
              <w:top w:val="nil"/>
              <w:left w:val="nil"/>
              <w:bottom w:val="nil"/>
              <w:right w:val="nil"/>
            </w:tcBorders>
            <w:shd w:val="clear" w:color="auto" w:fill="auto"/>
            <w:noWrap/>
            <w:vAlign w:val="bottom"/>
            <w:hideMark/>
          </w:tcPr>
          <w:p w14:paraId="388F8E6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286</w:t>
            </w:r>
          </w:p>
        </w:tc>
        <w:tc>
          <w:tcPr>
            <w:tcW w:w="1288" w:type="dxa"/>
            <w:tcBorders>
              <w:top w:val="nil"/>
              <w:left w:val="nil"/>
              <w:bottom w:val="nil"/>
              <w:right w:val="nil"/>
            </w:tcBorders>
            <w:shd w:val="clear" w:color="auto" w:fill="EAF1DD" w:themeFill="accent3" w:themeFillTint="33"/>
            <w:noWrap/>
            <w:vAlign w:val="bottom"/>
            <w:hideMark/>
          </w:tcPr>
          <w:p w14:paraId="7656F6E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623</w:t>
            </w:r>
          </w:p>
        </w:tc>
        <w:tc>
          <w:tcPr>
            <w:tcW w:w="1288" w:type="dxa"/>
            <w:tcBorders>
              <w:top w:val="nil"/>
              <w:left w:val="nil"/>
              <w:bottom w:val="nil"/>
              <w:right w:val="nil"/>
            </w:tcBorders>
            <w:shd w:val="clear" w:color="auto" w:fill="auto"/>
            <w:noWrap/>
            <w:vAlign w:val="bottom"/>
            <w:hideMark/>
          </w:tcPr>
          <w:p w14:paraId="014C0FC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774</w:t>
            </w:r>
          </w:p>
        </w:tc>
        <w:tc>
          <w:tcPr>
            <w:tcW w:w="1288" w:type="dxa"/>
            <w:tcBorders>
              <w:top w:val="nil"/>
              <w:left w:val="nil"/>
              <w:bottom w:val="nil"/>
              <w:right w:val="nil"/>
            </w:tcBorders>
            <w:shd w:val="clear" w:color="auto" w:fill="EAF1DD" w:themeFill="accent3" w:themeFillTint="33"/>
            <w:noWrap/>
            <w:vAlign w:val="bottom"/>
            <w:hideMark/>
          </w:tcPr>
          <w:p w14:paraId="5E06474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865</w:t>
            </w:r>
          </w:p>
        </w:tc>
        <w:tc>
          <w:tcPr>
            <w:tcW w:w="1288" w:type="dxa"/>
            <w:tcBorders>
              <w:top w:val="nil"/>
              <w:left w:val="nil"/>
              <w:bottom w:val="nil"/>
              <w:right w:val="nil"/>
            </w:tcBorders>
            <w:shd w:val="clear" w:color="auto" w:fill="auto"/>
            <w:noWrap/>
            <w:vAlign w:val="bottom"/>
            <w:hideMark/>
          </w:tcPr>
          <w:p w14:paraId="31E9E7B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F2448E">
              <w:rPr>
                <w:rFonts w:eastAsia="Times New Roman" w:cs="Arial"/>
                <w:color w:val="000000"/>
                <w:lang w:eastAsia="en-AU"/>
              </w:rPr>
              <w:t>,</w:t>
            </w:r>
            <w:r w:rsidRPr="001565F1">
              <w:rPr>
                <w:rFonts w:eastAsia="Times New Roman" w:cs="Arial"/>
                <w:color w:val="000000"/>
                <w:lang w:eastAsia="en-AU"/>
              </w:rPr>
              <w:t>817</w:t>
            </w:r>
          </w:p>
        </w:tc>
        <w:tc>
          <w:tcPr>
            <w:tcW w:w="1288" w:type="dxa"/>
            <w:tcBorders>
              <w:top w:val="nil"/>
              <w:left w:val="nil"/>
              <w:bottom w:val="nil"/>
              <w:right w:val="nil"/>
            </w:tcBorders>
            <w:shd w:val="clear" w:color="auto" w:fill="EAF1DD" w:themeFill="accent3" w:themeFillTint="33"/>
            <w:noWrap/>
            <w:vAlign w:val="bottom"/>
            <w:hideMark/>
          </w:tcPr>
          <w:p w14:paraId="756AD96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r w:rsidR="00F2448E">
              <w:rPr>
                <w:rFonts w:eastAsia="Times New Roman" w:cs="Arial"/>
                <w:color w:val="000000"/>
                <w:lang w:eastAsia="en-AU"/>
              </w:rPr>
              <w:t>,</w:t>
            </w:r>
            <w:r w:rsidRPr="001565F1">
              <w:rPr>
                <w:rFonts w:eastAsia="Times New Roman" w:cs="Arial"/>
                <w:color w:val="000000"/>
                <w:lang w:eastAsia="en-AU"/>
              </w:rPr>
              <w:t>088</w:t>
            </w:r>
          </w:p>
        </w:tc>
        <w:tc>
          <w:tcPr>
            <w:tcW w:w="1288" w:type="dxa"/>
            <w:tcBorders>
              <w:top w:val="nil"/>
              <w:left w:val="nil"/>
              <w:bottom w:val="nil"/>
              <w:right w:val="nil"/>
            </w:tcBorders>
            <w:shd w:val="clear" w:color="auto" w:fill="auto"/>
            <w:noWrap/>
            <w:vAlign w:val="bottom"/>
            <w:hideMark/>
          </w:tcPr>
          <w:p w14:paraId="1F24202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w:t>
            </w:r>
            <w:r w:rsidR="00F2448E">
              <w:rPr>
                <w:rFonts w:eastAsia="Times New Roman" w:cs="Arial"/>
                <w:color w:val="000000"/>
                <w:lang w:eastAsia="en-AU"/>
              </w:rPr>
              <w:t>,</w:t>
            </w:r>
            <w:r w:rsidRPr="001565F1">
              <w:rPr>
                <w:rFonts w:eastAsia="Times New Roman" w:cs="Arial"/>
                <w:color w:val="000000"/>
                <w:lang w:eastAsia="en-AU"/>
              </w:rPr>
              <w:t>938</w:t>
            </w:r>
          </w:p>
        </w:tc>
        <w:tc>
          <w:tcPr>
            <w:tcW w:w="1289" w:type="dxa"/>
            <w:tcBorders>
              <w:top w:val="nil"/>
              <w:left w:val="nil"/>
              <w:bottom w:val="nil"/>
              <w:right w:val="single" w:sz="4" w:space="0" w:color="auto"/>
            </w:tcBorders>
            <w:shd w:val="clear" w:color="auto" w:fill="EAF1DD" w:themeFill="accent3" w:themeFillTint="33"/>
            <w:noWrap/>
            <w:vAlign w:val="bottom"/>
            <w:hideMark/>
          </w:tcPr>
          <w:p w14:paraId="47F29E9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r w:rsidR="00F2448E">
              <w:rPr>
                <w:rFonts w:eastAsia="Times New Roman" w:cs="Arial"/>
                <w:color w:val="000000"/>
                <w:lang w:eastAsia="en-AU"/>
              </w:rPr>
              <w:t>,</w:t>
            </w:r>
            <w:r w:rsidRPr="001565F1">
              <w:rPr>
                <w:rFonts w:eastAsia="Times New Roman" w:cs="Arial"/>
                <w:color w:val="000000"/>
                <w:lang w:eastAsia="en-AU"/>
              </w:rPr>
              <w:t>042</w:t>
            </w:r>
          </w:p>
        </w:tc>
      </w:tr>
      <w:tr w:rsidR="000E61DB" w:rsidRPr="001565F1" w14:paraId="37681A7D" w14:textId="77777777" w:rsidTr="00561E44">
        <w:trPr>
          <w:trHeight w:val="204"/>
        </w:trPr>
        <w:tc>
          <w:tcPr>
            <w:tcW w:w="1876" w:type="dxa"/>
            <w:tcBorders>
              <w:top w:val="nil"/>
              <w:left w:val="single" w:sz="4" w:space="0" w:color="auto"/>
              <w:bottom w:val="nil"/>
              <w:right w:val="nil"/>
            </w:tcBorders>
            <w:shd w:val="clear" w:color="auto" w:fill="EAF1DD" w:themeFill="accent3" w:themeFillTint="33"/>
            <w:noWrap/>
            <w:vAlign w:val="bottom"/>
            <w:hideMark/>
          </w:tcPr>
          <w:p w14:paraId="303B26B4"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88" w:type="dxa"/>
            <w:tcBorders>
              <w:top w:val="nil"/>
              <w:left w:val="nil"/>
              <w:bottom w:val="nil"/>
              <w:right w:val="nil"/>
            </w:tcBorders>
            <w:shd w:val="clear" w:color="auto" w:fill="auto"/>
            <w:noWrap/>
            <w:vAlign w:val="bottom"/>
            <w:hideMark/>
          </w:tcPr>
          <w:p w14:paraId="684894D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920</w:t>
            </w:r>
          </w:p>
        </w:tc>
        <w:tc>
          <w:tcPr>
            <w:tcW w:w="1288" w:type="dxa"/>
            <w:tcBorders>
              <w:top w:val="nil"/>
              <w:left w:val="nil"/>
              <w:bottom w:val="nil"/>
              <w:right w:val="nil"/>
            </w:tcBorders>
            <w:shd w:val="clear" w:color="auto" w:fill="EAF1DD" w:themeFill="accent3" w:themeFillTint="33"/>
            <w:noWrap/>
            <w:vAlign w:val="bottom"/>
            <w:hideMark/>
          </w:tcPr>
          <w:p w14:paraId="4383DB7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058</w:t>
            </w:r>
          </w:p>
        </w:tc>
        <w:tc>
          <w:tcPr>
            <w:tcW w:w="1288" w:type="dxa"/>
            <w:tcBorders>
              <w:top w:val="nil"/>
              <w:left w:val="nil"/>
              <w:bottom w:val="nil"/>
              <w:right w:val="nil"/>
            </w:tcBorders>
            <w:shd w:val="clear" w:color="auto" w:fill="auto"/>
            <w:noWrap/>
            <w:vAlign w:val="bottom"/>
            <w:hideMark/>
          </w:tcPr>
          <w:p w14:paraId="3486733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033</w:t>
            </w:r>
          </w:p>
        </w:tc>
        <w:tc>
          <w:tcPr>
            <w:tcW w:w="1288" w:type="dxa"/>
            <w:tcBorders>
              <w:top w:val="nil"/>
              <w:left w:val="nil"/>
              <w:bottom w:val="nil"/>
              <w:right w:val="nil"/>
            </w:tcBorders>
            <w:shd w:val="clear" w:color="auto" w:fill="EAF1DD" w:themeFill="accent3" w:themeFillTint="33"/>
            <w:noWrap/>
            <w:vAlign w:val="bottom"/>
            <w:hideMark/>
          </w:tcPr>
          <w:p w14:paraId="24FFC84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072</w:t>
            </w:r>
          </w:p>
        </w:tc>
        <w:tc>
          <w:tcPr>
            <w:tcW w:w="1288" w:type="dxa"/>
            <w:tcBorders>
              <w:top w:val="nil"/>
              <w:left w:val="nil"/>
              <w:bottom w:val="nil"/>
              <w:right w:val="nil"/>
            </w:tcBorders>
            <w:shd w:val="clear" w:color="auto" w:fill="auto"/>
            <w:noWrap/>
            <w:vAlign w:val="bottom"/>
            <w:hideMark/>
          </w:tcPr>
          <w:p w14:paraId="03B3DCF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807</w:t>
            </w:r>
          </w:p>
        </w:tc>
        <w:tc>
          <w:tcPr>
            <w:tcW w:w="1288" w:type="dxa"/>
            <w:tcBorders>
              <w:top w:val="nil"/>
              <w:left w:val="nil"/>
              <w:bottom w:val="nil"/>
              <w:right w:val="nil"/>
            </w:tcBorders>
            <w:shd w:val="clear" w:color="auto" w:fill="EAF1DD" w:themeFill="accent3" w:themeFillTint="33"/>
            <w:noWrap/>
            <w:vAlign w:val="bottom"/>
            <w:hideMark/>
          </w:tcPr>
          <w:p w14:paraId="26316D1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901</w:t>
            </w:r>
          </w:p>
        </w:tc>
        <w:tc>
          <w:tcPr>
            <w:tcW w:w="1288" w:type="dxa"/>
            <w:tcBorders>
              <w:top w:val="nil"/>
              <w:left w:val="nil"/>
              <w:bottom w:val="nil"/>
              <w:right w:val="nil"/>
            </w:tcBorders>
            <w:shd w:val="clear" w:color="auto" w:fill="auto"/>
            <w:noWrap/>
            <w:vAlign w:val="bottom"/>
            <w:hideMark/>
          </w:tcPr>
          <w:p w14:paraId="5131DD8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141</w:t>
            </w:r>
          </w:p>
        </w:tc>
        <w:tc>
          <w:tcPr>
            <w:tcW w:w="1288" w:type="dxa"/>
            <w:tcBorders>
              <w:top w:val="nil"/>
              <w:left w:val="nil"/>
              <w:bottom w:val="nil"/>
              <w:right w:val="nil"/>
            </w:tcBorders>
            <w:shd w:val="clear" w:color="auto" w:fill="EAF1DD" w:themeFill="accent3" w:themeFillTint="33"/>
            <w:noWrap/>
            <w:vAlign w:val="bottom"/>
            <w:hideMark/>
          </w:tcPr>
          <w:p w14:paraId="010C27F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468</w:t>
            </w:r>
          </w:p>
        </w:tc>
        <w:tc>
          <w:tcPr>
            <w:tcW w:w="1288" w:type="dxa"/>
            <w:tcBorders>
              <w:top w:val="nil"/>
              <w:left w:val="nil"/>
              <w:bottom w:val="nil"/>
              <w:right w:val="nil"/>
            </w:tcBorders>
            <w:shd w:val="clear" w:color="auto" w:fill="auto"/>
            <w:noWrap/>
            <w:vAlign w:val="bottom"/>
            <w:hideMark/>
          </w:tcPr>
          <w:p w14:paraId="4A64D5E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512</w:t>
            </w:r>
          </w:p>
        </w:tc>
        <w:tc>
          <w:tcPr>
            <w:tcW w:w="1289" w:type="dxa"/>
            <w:tcBorders>
              <w:top w:val="nil"/>
              <w:left w:val="nil"/>
              <w:bottom w:val="nil"/>
              <w:right w:val="single" w:sz="4" w:space="0" w:color="auto"/>
            </w:tcBorders>
            <w:shd w:val="clear" w:color="auto" w:fill="EAF1DD" w:themeFill="accent3" w:themeFillTint="33"/>
            <w:noWrap/>
            <w:vAlign w:val="bottom"/>
            <w:hideMark/>
          </w:tcPr>
          <w:p w14:paraId="196E4C0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097</w:t>
            </w:r>
          </w:p>
        </w:tc>
      </w:tr>
      <w:tr w:rsidR="00876EFC" w:rsidRPr="001565F1" w14:paraId="02F1BDC9" w14:textId="77777777" w:rsidTr="00561E44">
        <w:trPr>
          <w:trHeight w:val="204"/>
        </w:trPr>
        <w:tc>
          <w:tcPr>
            <w:tcW w:w="1876" w:type="dxa"/>
            <w:tcBorders>
              <w:top w:val="nil"/>
              <w:left w:val="single" w:sz="4" w:space="0" w:color="auto"/>
              <w:bottom w:val="nil"/>
              <w:right w:val="nil"/>
            </w:tcBorders>
            <w:shd w:val="clear" w:color="auto" w:fill="EAF1DD" w:themeFill="accent3" w:themeFillTint="33"/>
            <w:noWrap/>
            <w:vAlign w:val="bottom"/>
            <w:hideMark/>
          </w:tcPr>
          <w:p w14:paraId="2FCCF4BE"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88" w:type="dxa"/>
            <w:tcBorders>
              <w:top w:val="nil"/>
              <w:left w:val="nil"/>
              <w:bottom w:val="nil"/>
              <w:right w:val="nil"/>
            </w:tcBorders>
            <w:shd w:val="clear" w:color="auto" w:fill="auto"/>
            <w:noWrap/>
            <w:vAlign w:val="bottom"/>
            <w:hideMark/>
          </w:tcPr>
          <w:p w14:paraId="64D5F3D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741</w:t>
            </w:r>
          </w:p>
        </w:tc>
        <w:tc>
          <w:tcPr>
            <w:tcW w:w="1288" w:type="dxa"/>
            <w:tcBorders>
              <w:top w:val="nil"/>
              <w:left w:val="nil"/>
              <w:bottom w:val="nil"/>
              <w:right w:val="nil"/>
            </w:tcBorders>
            <w:shd w:val="clear" w:color="auto" w:fill="EAF1DD" w:themeFill="accent3" w:themeFillTint="33"/>
            <w:noWrap/>
            <w:vAlign w:val="bottom"/>
            <w:hideMark/>
          </w:tcPr>
          <w:p w14:paraId="7EF9532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876</w:t>
            </w:r>
          </w:p>
        </w:tc>
        <w:tc>
          <w:tcPr>
            <w:tcW w:w="1288" w:type="dxa"/>
            <w:tcBorders>
              <w:top w:val="nil"/>
              <w:left w:val="nil"/>
              <w:bottom w:val="nil"/>
              <w:right w:val="nil"/>
            </w:tcBorders>
            <w:shd w:val="clear" w:color="auto" w:fill="auto"/>
            <w:noWrap/>
            <w:vAlign w:val="bottom"/>
            <w:hideMark/>
          </w:tcPr>
          <w:p w14:paraId="3DF6FDC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867</w:t>
            </w:r>
          </w:p>
        </w:tc>
        <w:tc>
          <w:tcPr>
            <w:tcW w:w="1288" w:type="dxa"/>
            <w:tcBorders>
              <w:top w:val="nil"/>
              <w:left w:val="nil"/>
              <w:bottom w:val="nil"/>
              <w:right w:val="nil"/>
            </w:tcBorders>
            <w:shd w:val="clear" w:color="auto" w:fill="EAF1DD" w:themeFill="accent3" w:themeFillTint="33"/>
            <w:noWrap/>
            <w:vAlign w:val="bottom"/>
            <w:hideMark/>
          </w:tcPr>
          <w:p w14:paraId="47722DE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885</w:t>
            </w:r>
          </w:p>
        </w:tc>
        <w:tc>
          <w:tcPr>
            <w:tcW w:w="1288" w:type="dxa"/>
            <w:tcBorders>
              <w:top w:val="nil"/>
              <w:left w:val="nil"/>
              <w:bottom w:val="nil"/>
              <w:right w:val="nil"/>
            </w:tcBorders>
            <w:shd w:val="clear" w:color="auto" w:fill="auto"/>
            <w:noWrap/>
            <w:vAlign w:val="bottom"/>
            <w:hideMark/>
          </w:tcPr>
          <w:p w14:paraId="0256FD3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603</w:t>
            </w:r>
          </w:p>
        </w:tc>
        <w:tc>
          <w:tcPr>
            <w:tcW w:w="1288" w:type="dxa"/>
            <w:tcBorders>
              <w:top w:val="nil"/>
              <w:left w:val="nil"/>
              <w:bottom w:val="nil"/>
              <w:right w:val="nil"/>
            </w:tcBorders>
            <w:shd w:val="clear" w:color="auto" w:fill="EAF1DD" w:themeFill="accent3" w:themeFillTint="33"/>
            <w:noWrap/>
            <w:vAlign w:val="bottom"/>
            <w:hideMark/>
          </w:tcPr>
          <w:p w14:paraId="5E3DC13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662</w:t>
            </w:r>
          </w:p>
        </w:tc>
        <w:tc>
          <w:tcPr>
            <w:tcW w:w="1288" w:type="dxa"/>
            <w:tcBorders>
              <w:top w:val="nil"/>
              <w:left w:val="nil"/>
              <w:bottom w:val="nil"/>
              <w:right w:val="nil"/>
            </w:tcBorders>
            <w:shd w:val="clear" w:color="auto" w:fill="auto"/>
            <w:noWrap/>
            <w:vAlign w:val="bottom"/>
            <w:hideMark/>
          </w:tcPr>
          <w:p w14:paraId="022AFDD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771</w:t>
            </w:r>
          </w:p>
        </w:tc>
        <w:tc>
          <w:tcPr>
            <w:tcW w:w="1288" w:type="dxa"/>
            <w:tcBorders>
              <w:top w:val="nil"/>
              <w:left w:val="nil"/>
              <w:bottom w:val="nil"/>
              <w:right w:val="nil"/>
            </w:tcBorders>
            <w:shd w:val="clear" w:color="auto" w:fill="EAF1DD" w:themeFill="accent3" w:themeFillTint="33"/>
            <w:noWrap/>
            <w:vAlign w:val="bottom"/>
            <w:hideMark/>
          </w:tcPr>
          <w:p w14:paraId="465989F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013</w:t>
            </w:r>
          </w:p>
        </w:tc>
        <w:tc>
          <w:tcPr>
            <w:tcW w:w="1288" w:type="dxa"/>
            <w:tcBorders>
              <w:top w:val="nil"/>
              <w:left w:val="nil"/>
              <w:bottom w:val="nil"/>
              <w:right w:val="nil"/>
            </w:tcBorders>
            <w:shd w:val="clear" w:color="auto" w:fill="auto"/>
            <w:noWrap/>
            <w:vAlign w:val="bottom"/>
            <w:hideMark/>
          </w:tcPr>
          <w:p w14:paraId="740F50B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105</w:t>
            </w:r>
          </w:p>
        </w:tc>
        <w:tc>
          <w:tcPr>
            <w:tcW w:w="1289" w:type="dxa"/>
            <w:tcBorders>
              <w:top w:val="nil"/>
              <w:left w:val="nil"/>
              <w:bottom w:val="nil"/>
              <w:right w:val="single" w:sz="4" w:space="0" w:color="auto"/>
            </w:tcBorders>
            <w:shd w:val="clear" w:color="auto" w:fill="EAF1DD" w:themeFill="accent3" w:themeFillTint="33"/>
            <w:noWrap/>
            <w:vAlign w:val="bottom"/>
            <w:hideMark/>
          </w:tcPr>
          <w:p w14:paraId="0A97F72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518</w:t>
            </w:r>
          </w:p>
        </w:tc>
      </w:tr>
      <w:tr w:rsidR="00876EFC" w:rsidRPr="001565F1" w14:paraId="2D329ECD" w14:textId="77777777" w:rsidTr="00561E44">
        <w:trPr>
          <w:trHeight w:val="204"/>
        </w:trPr>
        <w:tc>
          <w:tcPr>
            <w:tcW w:w="1876" w:type="dxa"/>
            <w:tcBorders>
              <w:top w:val="nil"/>
              <w:left w:val="single" w:sz="4" w:space="0" w:color="auto"/>
              <w:bottom w:val="nil"/>
              <w:right w:val="nil"/>
            </w:tcBorders>
            <w:shd w:val="clear" w:color="auto" w:fill="EAF1DD" w:themeFill="accent3" w:themeFillTint="33"/>
            <w:noWrap/>
            <w:vAlign w:val="bottom"/>
            <w:hideMark/>
          </w:tcPr>
          <w:p w14:paraId="0F0A6BFD"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88" w:type="dxa"/>
            <w:tcBorders>
              <w:top w:val="nil"/>
              <w:left w:val="nil"/>
              <w:bottom w:val="nil"/>
              <w:right w:val="nil"/>
            </w:tcBorders>
            <w:shd w:val="clear" w:color="auto" w:fill="auto"/>
            <w:noWrap/>
            <w:vAlign w:val="bottom"/>
            <w:hideMark/>
          </w:tcPr>
          <w:p w14:paraId="1DDD839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179</w:t>
            </w:r>
          </w:p>
        </w:tc>
        <w:tc>
          <w:tcPr>
            <w:tcW w:w="1288" w:type="dxa"/>
            <w:tcBorders>
              <w:top w:val="nil"/>
              <w:left w:val="nil"/>
              <w:bottom w:val="nil"/>
              <w:right w:val="nil"/>
            </w:tcBorders>
            <w:shd w:val="clear" w:color="auto" w:fill="EAF1DD" w:themeFill="accent3" w:themeFillTint="33"/>
            <w:noWrap/>
            <w:vAlign w:val="bottom"/>
            <w:hideMark/>
          </w:tcPr>
          <w:p w14:paraId="560DBE3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182</w:t>
            </w:r>
          </w:p>
        </w:tc>
        <w:tc>
          <w:tcPr>
            <w:tcW w:w="1288" w:type="dxa"/>
            <w:tcBorders>
              <w:top w:val="nil"/>
              <w:left w:val="nil"/>
              <w:bottom w:val="nil"/>
              <w:right w:val="nil"/>
            </w:tcBorders>
            <w:shd w:val="clear" w:color="auto" w:fill="auto"/>
            <w:noWrap/>
            <w:vAlign w:val="bottom"/>
            <w:hideMark/>
          </w:tcPr>
          <w:p w14:paraId="68477B6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166</w:t>
            </w:r>
          </w:p>
        </w:tc>
        <w:tc>
          <w:tcPr>
            <w:tcW w:w="1288" w:type="dxa"/>
            <w:tcBorders>
              <w:top w:val="nil"/>
              <w:left w:val="nil"/>
              <w:bottom w:val="nil"/>
              <w:right w:val="nil"/>
            </w:tcBorders>
            <w:shd w:val="clear" w:color="auto" w:fill="EAF1DD" w:themeFill="accent3" w:themeFillTint="33"/>
            <w:noWrap/>
            <w:vAlign w:val="bottom"/>
            <w:hideMark/>
          </w:tcPr>
          <w:p w14:paraId="1956117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187</w:t>
            </w:r>
          </w:p>
        </w:tc>
        <w:tc>
          <w:tcPr>
            <w:tcW w:w="1288" w:type="dxa"/>
            <w:tcBorders>
              <w:top w:val="nil"/>
              <w:left w:val="nil"/>
              <w:bottom w:val="nil"/>
              <w:right w:val="nil"/>
            </w:tcBorders>
            <w:shd w:val="clear" w:color="auto" w:fill="auto"/>
            <w:noWrap/>
            <w:vAlign w:val="bottom"/>
            <w:hideMark/>
          </w:tcPr>
          <w:p w14:paraId="15E7A23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204</w:t>
            </w:r>
          </w:p>
        </w:tc>
        <w:tc>
          <w:tcPr>
            <w:tcW w:w="1288" w:type="dxa"/>
            <w:tcBorders>
              <w:top w:val="nil"/>
              <w:left w:val="nil"/>
              <w:bottom w:val="nil"/>
              <w:right w:val="nil"/>
            </w:tcBorders>
            <w:shd w:val="clear" w:color="auto" w:fill="EAF1DD" w:themeFill="accent3" w:themeFillTint="33"/>
            <w:noWrap/>
            <w:vAlign w:val="bottom"/>
            <w:hideMark/>
          </w:tcPr>
          <w:p w14:paraId="72462DF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239</w:t>
            </w:r>
          </w:p>
        </w:tc>
        <w:tc>
          <w:tcPr>
            <w:tcW w:w="1288" w:type="dxa"/>
            <w:tcBorders>
              <w:top w:val="nil"/>
              <w:left w:val="nil"/>
              <w:bottom w:val="nil"/>
              <w:right w:val="nil"/>
            </w:tcBorders>
            <w:shd w:val="clear" w:color="auto" w:fill="auto"/>
            <w:noWrap/>
            <w:vAlign w:val="bottom"/>
            <w:hideMark/>
          </w:tcPr>
          <w:p w14:paraId="095DE90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370</w:t>
            </w:r>
          </w:p>
        </w:tc>
        <w:tc>
          <w:tcPr>
            <w:tcW w:w="1288" w:type="dxa"/>
            <w:tcBorders>
              <w:top w:val="nil"/>
              <w:left w:val="nil"/>
              <w:bottom w:val="nil"/>
              <w:right w:val="nil"/>
            </w:tcBorders>
            <w:shd w:val="clear" w:color="auto" w:fill="EAF1DD" w:themeFill="accent3" w:themeFillTint="33"/>
            <w:noWrap/>
            <w:vAlign w:val="bottom"/>
            <w:hideMark/>
          </w:tcPr>
          <w:p w14:paraId="72C1368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455</w:t>
            </w:r>
          </w:p>
        </w:tc>
        <w:tc>
          <w:tcPr>
            <w:tcW w:w="1288" w:type="dxa"/>
            <w:tcBorders>
              <w:top w:val="nil"/>
              <w:left w:val="nil"/>
              <w:bottom w:val="nil"/>
              <w:right w:val="nil"/>
            </w:tcBorders>
            <w:shd w:val="clear" w:color="auto" w:fill="auto"/>
            <w:noWrap/>
            <w:vAlign w:val="bottom"/>
            <w:hideMark/>
          </w:tcPr>
          <w:p w14:paraId="795712A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407</w:t>
            </w:r>
          </w:p>
        </w:tc>
        <w:tc>
          <w:tcPr>
            <w:tcW w:w="1289" w:type="dxa"/>
            <w:tcBorders>
              <w:top w:val="nil"/>
              <w:left w:val="nil"/>
              <w:bottom w:val="nil"/>
              <w:right w:val="single" w:sz="4" w:space="0" w:color="auto"/>
            </w:tcBorders>
            <w:shd w:val="clear" w:color="auto" w:fill="EAF1DD" w:themeFill="accent3" w:themeFillTint="33"/>
            <w:noWrap/>
            <w:vAlign w:val="bottom"/>
            <w:hideMark/>
          </w:tcPr>
          <w:p w14:paraId="1C741AB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579</w:t>
            </w:r>
          </w:p>
        </w:tc>
      </w:tr>
      <w:tr w:rsidR="00876EFC" w:rsidRPr="00DA0360" w14:paraId="009FD336" w14:textId="77777777" w:rsidTr="00561E44">
        <w:trPr>
          <w:trHeight w:val="204"/>
        </w:trPr>
        <w:tc>
          <w:tcPr>
            <w:tcW w:w="1876" w:type="dxa"/>
            <w:tcBorders>
              <w:top w:val="nil"/>
              <w:left w:val="single" w:sz="4" w:space="0" w:color="auto"/>
              <w:bottom w:val="single" w:sz="4" w:space="0" w:color="auto"/>
              <w:right w:val="nil"/>
            </w:tcBorders>
            <w:shd w:val="clear" w:color="auto" w:fill="EAF1DD" w:themeFill="accent3" w:themeFillTint="33"/>
            <w:noWrap/>
            <w:vAlign w:val="bottom"/>
            <w:hideMark/>
          </w:tcPr>
          <w:p w14:paraId="0A02E5A8"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88" w:type="dxa"/>
            <w:tcBorders>
              <w:top w:val="nil"/>
              <w:left w:val="nil"/>
              <w:bottom w:val="single" w:sz="4" w:space="0" w:color="auto"/>
              <w:right w:val="nil"/>
            </w:tcBorders>
            <w:shd w:val="clear" w:color="auto" w:fill="auto"/>
            <w:noWrap/>
            <w:vAlign w:val="bottom"/>
            <w:hideMark/>
          </w:tcPr>
          <w:p w14:paraId="2C3126F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798</w:t>
            </w:r>
          </w:p>
        </w:tc>
        <w:tc>
          <w:tcPr>
            <w:tcW w:w="1288" w:type="dxa"/>
            <w:tcBorders>
              <w:top w:val="nil"/>
              <w:left w:val="nil"/>
              <w:bottom w:val="single" w:sz="4" w:space="0" w:color="auto"/>
              <w:right w:val="nil"/>
            </w:tcBorders>
            <w:shd w:val="clear" w:color="auto" w:fill="EAF1DD" w:themeFill="accent3" w:themeFillTint="33"/>
            <w:noWrap/>
            <w:vAlign w:val="bottom"/>
            <w:hideMark/>
          </w:tcPr>
          <w:p w14:paraId="74AF94E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858</w:t>
            </w:r>
          </w:p>
        </w:tc>
        <w:tc>
          <w:tcPr>
            <w:tcW w:w="1288" w:type="dxa"/>
            <w:tcBorders>
              <w:top w:val="nil"/>
              <w:left w:val="nil"/>
              <w:bottom w:val="single" w:sz="4" w:space="0" w:color="auto"/>
              <w:right w:val="nil"/>
            </w:tcBorders>
            <w:shd w:val="clear" w:color="auto" w:fill="auto"/>
            <w:noWrap/>
            <w:vAlign w:val="bottom"/>
            <w:hideMark/>
          </w:tcPr>
          <w:p w14:paraId="0EF092AD"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319</w:t>
            </w:r>
          </w:p>
        </w:tc>
        <w:tc>
          <w:tcPr>
            <w:tcW w:w="1288" w:type="dxa"/>
            <w:tcBorders>
              <w:top w:val="nil"/>
              <w:left w:val="nil"/>
              <w:bottom w:val="single" w:sz="4" w:space="0" w:color="auto"/>
              <w:right w:val="nil"/>
            </w:tcBorders>
            <w:shd w:val="clear" w:color="auto" w:fill="EAF1DD" w:themeFill="accent3" w:themeFillTint="33"/>
            <w:noWrap/>
            <w:vAlign w:val="bottom"/>
            <w:hideMark/>
          </w:tcPr>
          <w:p w14:paraId="3E37BD3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695</w:t>
            </w:r>
          </w:p>
        </w:tc>
        <w:tc>
          <w:tcPr>
            <w:tcW w:w="1288" w:type="dxa"/>
            <w:tcBorders>
              <w:top w:val="nil"/>
              <w:left w:val="nil"/>
              <w:bottom w:val="single" w:sz="4" w:space="0" w:color="auto"/>
              <w:right w:val="nil"/>
            </w:tcBorders>
            <w:shd w:val="clear" w:color="auto" w:fill="auto"/>
            <w:noWrap/>
            <w:vAlign w:val="bottom"/>
            <w:hideMark/>
          </w:tcPr>
          <w:p w14:paraId="7B62633B"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581</w:t>
            </w:r>
          </w:p>
        </w:tc>
        <w:tc>
          <w:tcPr>
            <w:tcW w:w="1288" w:type="dxa"/>
            <w:tcBorders>
              <w:top w:val="nil"/>
              <w:left w:val="nil"/>
              <w:bottom w:val="single" w:sz="4" w:space="0" w:color="auto"/>
              <w:right w:val="nil"/>
            </w:tcBorders>
            <w:shd w:val="clear" w:color="auto" w:fill="EAF1DD" w:themeFill="accent3" w:themeFillTint="33"/>
            <w:noWrap/>
            <w:vAlign w:val="bottom"/>
            <w:hideMark/>
          </w:tcPr>
          <w:p w14:paraId="0885CB7E"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766</w:t>
            </w:r>
          </w:p>
        </w:tc>
        <w:tc>
          <w:tcPr>
            <w:tcW w:w="1288" w:type="dxa"/>
            <w:tcBorders>
              <w:top w:val="nil"/>
              <w:left w:val="nil"/>
              <w:bottom w:val="single" w:sz="4" w:space="0" w:color="auto"/>
              <w:right w:val="nil"/>
            </w:tcBorders>
            <w:shd w:val="clear" w:color="auto" w:fill="auto"/>
            <w:noWrap/>
            <w:vAlign w:val="bottom"/>
            <w:hideMark/>
          </w:tcPr>
          <w:p w14:paraId="0FDC5A6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w:t>
            </w:r>
            <w:r w:rsidR="00F2448E">
              <w:rPr>
                <w:rFonts w:eastAsia="Times New Roman" w:cs="Arial"/>
                <w:b/>
                <w:color w:val="000000"/>
                <w:lang w:eastAsia="en-AU"/>
              </w:rPr>
              <w:t>,</w:t>
            </w:r>
            <w:r w:rsidRPr="00DA0360">
              <w:rPr>
                <w:rFonts w:eastAsia="Times New Roman" w:cs="Arial"/>
                <w:b/>
                <w:color w:val="000000"/>
                <w:lang w:eastAsia="en-AU"/>
              </w:rPr>
              <w:t>958</w:t>
            </w:r>
          </w:p>
        </w:tc>
        <w:tc>
          <w:tcPr>
            <w:tcW w:w="1288" w:type="dxa"/>
            <w:tcBorders>
              <w:top w:val="nil"/>
              <w:left w:val="nil"/>
              <w:bottom w:val="single" w:sz="4" w:space="0" w:color="auto"/>
              <w:right w:val="nil"/>
            </w:tcBorders>
            <w:shd w:val="clear" w:color="auto" w:fill="EAF1DD" w:themeFill="accent3" w:themeFillTint="33"/>
            <w:noWrap/>
            <w:vAlign w:val="bottom"/>
            <w:hideMark/>
          </w:tcPr>
          <w:p w14:paraId="1384A25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w:t>
            </w:r>
            <w:r w:rsidR="00F2448E">
              <w:rPr>
                <w:rFonts w:eastAsia="Times New Roman" w:cs="Arial"/>
                <w:b/>
                <w:color w:val="000000"/>
                <w:lang w:eastAsia="en-AU"/>
              </w:rPr>
              <w:t>,</w:t>
            </w:r>
            <w:r w:rsidRPr="00DA0360">
              <w:rPr>
                <w:rFonts w:eastAsia="Times New Roman" w:cs="Arial"/>
                <w:b/>
                <w:color w:val="000000"/>
                <w:lang w:eastAsia="en-AU"/>
              </w:rPr>
              <w:t>556</w:t>
            </w:r>
          </w:p>
        </w:tc>
        <w:tc>
          <w:tcPr>
            <w:tcW w:w="1288" w:type="dxa"/>
            <w:tcBorders>
              <w:top w:val="nil"/>
              <w:left w:val="nil"/>
              <w:bottom w:val="single" w:sz="4" w:space="0" w:color="auto"/>
              <w:right w:val="nil"/>
            </w:tcBorders>
            <w:shd w:val="clear" w:color="auto" w:fill="auto"/>
            <w:noWrap/>
            <w:vAlign w:val="bottom"/>
            <w:hideMark/>
          </w:tcPr>
          <w:p w14:paraId="6253DE2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10</w:t>
            </w:r>
            <w:r w:rsidR="00F2448E">
              <w:rPr>
                <w:rFonts w:eastAsia="Times New Roman" w:cs="Arial"/>
                <w:b/>
                <w:color w:val="000000"/>
                <w:lang w:eastAsia="en-AU"/>
              </w:rPr>
              <w:t>,</w:t>
            </w:r>
            <w:r w:rsidRPr="00DA0360">
              <w:rPr>
                <w:rFonts w:eastAsia="Times New Roman" w:cs="Arial"/>
                <w:b/>
                <w:color w:val="000000"/>
                <w:lang w:eastAsia="en-AU"/>
              </w:rPr>
              <w:t>450</w:t>
            </w:r>
          </w:p>
        </w:tc>
        <w:tc>
          <w:tcPr>
            <w:tcW w:w="1289" w:type="dxa"/>
            <w:tcBorders>
              <w:top w:val="nil"/>
              <w:left w:val="nil"/>
              <w:bottom w:val="single" w:sz="4" w:space="0" w:color="auto"/>
              <w:right w:val="single" w:sz="4" w:space="0" w:color="auto"/>
            </w:tcBorders>
            <w:shd w:val="clear" w:color="auto" w:fill="EAF1DD" w:themeFill="accent3" w:themeFillTint="33"/>
            <w:noWrap/>
            <w:vAlign w:val="bottom"/>
            <w:hideMark/>
          </w:tcPr>
          <w:p w14:paraId="467E917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14</w:t>
            </w:r>
            <w:r w:rsidR="00F2448E">
              <w:rPr>
                <w:rFonts w:eastAsia="Times New Roman" w:cs="Arial"/>
                <w:b/>
                <w:color w:val="000000"/>
                <w:lang w:eastAsia="en-AU"/>
              </w:rPr>
              <w:t>,</w:t>
            </w:r>
            <w:r w:rsidRPr="00DA0360">
              <w:rPr>
                <w:rFonts w:eastAsia="Times New Roman" w:cs="Arial"/>
                <w:b/>
                <w:color w:val="000000"/>
                <w:lang w:eastAsia="en-AU"/>
              </w:rPr>
              <w:t>139</w:t>
            </w:r>
          </w:p>
        </w:tc>
      </w:tr>
      <w:tr w:rsidR="00876EFC" w:rsidRPr="00DA0360" w14:paraId="173CF63A"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0E766296"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Neglect</w:t>
            </w:r>
          </w:p>
        </w:tc>
        <w:tc>
          <w:tcPr>
            <w:tcW w:w="1288" w:type="dxa"/>
            <w:tcBorders>
              <w:top w:val="nil"/>
              <w:left w:val="nil"/>
              <w:bottom w:val="nil"/>
              <w:right w:val="nil"/>
            </w:tcBorders>
            <w:shd w:val="clear" w:color="auto" w:fill="auto"/>
            <w:noWrap/>
            <w:vAlign w:val="bottom"/>
            <w:hideMark/>
          </w:tcPr>
          <w:p w14:paraId="6EB0CF29"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DAEEF3" w:themeFill="accent5" w:themeFillTint="33"/>
            <w:noWrap/>
            <w:vAlign w:val="bottom"/>
            <w:hideMark/>
          </w:tcPr>
          <w:p w14:paraId="100845DB"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286C9849"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DAEEF3" w:themeFill="accent5" w:themeFillTint="33"/>
            <w:noWrap/>
            <w:vAlign w:val="bottom"/>
            <w:hideMark/>
          </w:tcPr>
          <w:p w14:paraId="691AE50F"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47D267A9"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DAEEF3" w:themeFill="accent5" w:themeFillTint="33"/>
            <w:noWrap/>
            <w:vAlign w:val="bottom"/>
            <w:hideMark/>
          </w:tcPr>
          <w:p w14:paraId="6DDF97DB"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35D1A81E"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DAEEF3" w:themeFill="accent5" w:themeFillTint="33"/>
            <w:noWrap/>
            <w:vAlign w:val="bottom"/>
            <w:hideMark/>
          </w:tcPr>
          <w:p w14:paraId="472B4E9B"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637363A1" w14:textId="77777777" w:rsidR="00876EFC" w:rsidRPr="00DA0360" w:rsidRDefault="00876EFC" w:rsidP="00CE2FDF">
            <w:pPr>
              <w:spacing w:before="0" w:line="276" w:lineRule="auto"/>
              <w:jc w:val="right"/>
              <w:rPr>
                <w:rFonts w:eastAsia="Times New Roman" w:cs="Arial"/>
                <w:b/>
                <w:color w:val="FF0000"/>
                <w:lang w:eastAsia="en-AU"/>
              </w:rPr>
            </w:pPr>
          </w:p>
        </w:tc>
        <w:tc>
          <w:tcPr>
            <w:tcW w:w="1289" w:type="dxa"/>
            <w:tcBorders>
              <w:top w:val="nil"/>
              <w:left w:val="nil"/>
              <w:bottom w:val="nil"/>
              <w:right w:val="single" w:sz="4" w:space="0" w:color="auto"/>
            </w:tcBorders>
            <w:shd w:val="clear" w:color="auto" w:fill="DAEEF3" w:themeFill="accent5" w:themeFillTint="33"/>
            <w:noWrap/>
            <w:vAlign w:val="bottom"/>
            <w:hideMark/>
          </w:tcPr>
          <w:p w14:paraId="5CC1F0BA"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112A4ED7"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18BEBCB4"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88" w:type="dxa"/>
            <w:tcBorders>
              <w:top w:val="nil"/>
              <w:left w:val="nil"/>
              <w:bottom w:val="nil"/>
              <w:right w:val="nil"/>
            </w:tcBorders>
            <w:shd w:val="clear" w:color="auto" w:fill="auto"/>
            <w:noWrap/>
            <w:vAlign w:val="bottom"/>
            <w:hideMark/>
          </w:tcPr>
          <w:p w14:paraId="685A109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058</w:t>
            </w:r>
          </w:p>
        </w:tc>
        <w:tc>
          <w:tcPr>
            <w:tcW w:w="1288" w:type="dxa"/>
            <w:tcBorders>
              <w:top w:val="nil"/>
              <w:left w:val="nil"/>
              <w:bottom w:val="nil"/>
              <w:right w:val="nil"/>
            </w:tcBorders>
            <w:shd w:val="clear" w:color="auto" w:fill="DAEEF3" w:themeFill="accent5" w:themeFillTint="33"/>
            <w:noWrap/>
            <w:vAlign w:val="bottom"/>
            <w:hideMark/>
          </w:tcPr>
          <w:p w14:paraId="623C655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971</w:t>
            </w:r>
          </w:p>
        </w:tc>
        <w:tc>
          <w:tcPr>
            <w:tcW w:w="1288" w:type="dxa"/>
            <w:tcBorders>
              <w:top w:val="nil"/>
              <w:left w:val="nil"/>
              <w:bottom w:val="nil"/>
              <w:right w:val="nil"/>
            </w:tcBorders>
            <w:shd w:val="clear" w:color="auto" w:fill="auto"/>
            <w:noWrap/>
            <w:vAlign w:val="bottom"/>
            <w:hideMark/>
          </w:tcPr>
          <w:p w14:paraId="4207F88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058</w:t>
            </w:r>
          </w:p>
        </w:tc>
        <w:tc>
          <w:tcPr>
            <w:tcW w:w="1288" w:type="dxa"/>
            <w:tcBorders>
              <w:top w:val="nil"/>
              <w:left w:val="nil"/>
              <w:bottom w:val="nil"/>
              <w:right w:val="nil"/>
            </w:tcBorders>
            <w:shd w:val="clear" w:color="auto" w:fill="DAEEF3" w:themeFill="accent5" w:themeFillTint="33"/>
            <w:noWrap/>
            <w:vAlign w:val="bottom"/>
            <w:hideMark/>
          </w:tcPr>
          <w:p w14:paraId="46D5D83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981</w:t>
            </w:r>
          </w:p>
        </w:tc>
        <w:tc>
          <w:tcPr>
            <w:tcW w:w="1288" w:type="dxa"/>
            <w:tcBorders>
              <w:top w:val="nil"/>
              <w:left w:val="nil"/>
              <w:bottom w:val="nil"/>
              <w:right w:val="nil"/>
            </w:tcBorders>
            <w:shd w:val="clear" w:color="auto" w:fill="auto"/>
            <w:noWrap/>
            <w:vAlign w:val="bottom"/>
            <w:hideMark/>
          </w:tcPr>
          <w:p w14:paraId="14D47DE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125</w:t>
            </w:r>
          </w:p>
        </w:tc>
        <w:tc>
          <w:tcPr>
            <w:tcW w:w="1288" w:type="dxa"/>
            <w:tcBorders>
              <w:top w:val="nil"/>
              <w:left w:val="nil"/>
              <w:bottom w:val="nil"/>
              <w:right w:val="nil"/>
            </w:tcBorders>
            <w:shd w:val="clear" w:color="auto" w:fill="DAEEF3" w:themeFill="accent5" w:themeFillTint="33"/>
            <w:noWrap/>
            <w:vAlign w:val="bottom"/>
            <w:hideMark/>
          </w:tcPr>
          <w:p w14:paraId="36EF3BD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010</w:t>
            </w:r>
          </w:p>
        </w:tc>
        <w:tc>
          <w:tcPr>
            <w:tcW w:w="1288" w:type="dxa"/>
            <w:tcBorders>
              <w:top w:val="nil"/>
              <w:left w:val="nil"/>
              <w:bottom w:val="nil"/>
              <w:right w:val="nil"/>
            </w:tcBorders>
            <w:shd w:val="clear" w:color="auto" w:fill="auto"/>
            <w:noWrap/>
            <w:vAlign w:val="bottom"/>
            <w:hideMark/>
          </w:tcPr>
          <w:p w14:paraId="12D8A6E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317</w:t>
            </w:r>
          </w:p>
        </w:tc>
        <w:tc>
          <w:tcPr>
            <w:tcW w:w="1288" w:type="dxa"/>
            <w:tcBorders>
              <w:top w:val="nil"/>
              <w:left w:val="nil"/>
              <w:bottom w:val="nil"/>
              <w:right w:val="nil"/>
            </w:tcBorders>
            <w:shd w:val="clear" w:color="auto" w:fill="DAEEF3" w:themeFill="accent5" w:themeFillTint="33"/>
            <w:noWrap/>
            <w:vAlign w:val="bottom"/>
            <w:hideMark/>
          </w:tcPr>
          <w:p w14:paraId="1C873A3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373</w:t>
            </w:r>
          </w:p>
        </w:tc>
        <w:tc>
          <w:tcPr>
            <w:tcW w:w="1288" w:type="dxa"/>
            <w:tcBorders>
              <w:top w:val="nil"/>
              <w:left w:val="nil"/>
              <w:bottom w:val="nil"/>
              <w:right w:val="nil"/>
            </w:tcBorders>
            <w:shd w:val="clear" w:color="auto" w:fill="auto"/>
            <w:noWrap/>
            <w:vAlign w:val="bottom"/>
            <w:hideMark/>
          </w:tcPr>
          <w:p w14:paraId="0AD225F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448</w:t>
            </w:r>
          </w:p>
        </w:tc>
        <w:tc>
          <w:tcPr>
            <w:tcW w:w="1289" w:type="dxa"/>
            <w:tcBorders>
              <w:top w:val="nil"/>
              <w:left w:val="nil"/>
              <w:bottom w:val="nil"/>
              <w:right w:val="single" w:sz="4" w:space="0" w:color="auto"/>
            </w:tcBorders>
            <w:shd w:val="clear" w:color="auto" w:fill="DAEEF3" w:themeFill="accent5" w:themeFillTint="33"/>
            <w:noWrap/>
            <w:vAlign w:val="bottom"/>
            <w:hideMark/>
          </w:tcPr>
          <w:p w14:paraId="3B06DBC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421</w:t>
            </w:r>
          </w:p>
        </w:tc>
      </w:tr>
      <w:tr w:rsidR="000E61DB" w:rsidRPr="001565F1" w14:paraId="1A8A1CDE"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1F1F5703"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88" w:type="dxa"/>
            <w:tcBorders>
              <w:top w:val="nil"/>
              <w:left w:val="nil"/>
              <w:bottom w:val="nil"/>
              <w:right w:val="nil"/>
            </w:tcBorders>
            <w:shd w:val="clear" w:color="auto" w:fill="auto"/>
            <w:noWrap/>
            <w:vAlign w:val="bottom"/>
            <w:hideMark/>
          </w:tcPr>
          <w:p w14:paraId="1059DDD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675</w:t>
            </w:r>
          </w:p>
        </w:tc>
        <w:tc>
          <w:tcPr>
            <w:tcW w:w="1288" w:type="dxa"/>
            <w:tcBorders>
              <w:top w:val="nil"/>
              <w:left w:val="nil"/>
              <w:bottom w:val="nil"/>
              <w:right w:val="nil"/>
            </w:tcBorders>
            <w:shd w:val="clear" w:color="auto" w:fill="DAEEF3" w:themeFill="accent5" w:themeFillTint="33"/>
            <w:noWrap/>
            <w:vAlign w:val="bottom"/>
            <w:hideMark/>
          </w:tcPr>
          <w:p w14:paraId="629F589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595</w:t>
            </w:r>
          </w:p>
        </w:tc>
        <w:tc>
          <w:tcPr>
            <w:tcW w:w="1288" w:type="dxa"/>
            <w:tcBorders>
              <w:top w:val="nil"/>
              <w:left w:val="nil"/>
              <w:bottom w:val="nil"/>
              <w:right w:val="nil"/>
            </w:tcBorders>
            <w:shd w:val="clear" w:color="auto" w:fill="auto"/>
            <w:noWrap/>
            <w:vAlign w:val="bottom"/>
            <w:hideMark/>
          </w:tcPr>
          <w:p w14:paraId="1616858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522</w:t>
            </w:r>
          </w:p>
        </w:tc>
        <w:tc>
          <w:tcPr>
            <w:tcW w:w="1288" w:type="dxa"/>
            <w:tcBorders>
              <w:top w:val="nil"/>
              <w:left w:val="nil"/>
              <w:bottom w:val="nil"/>
              <w:right w:val="nil"/>
            </w:tcBorders>
            <w:shd w:val="clear" w:color="auto" w:fill="DAEEF3" w:themeFill="accent5" w:themeFillTint="33"/>
            <w:noWrap/>
            <w:vAlign w:val="bottom"/>
            <w:hideMark/>
          </w:tcPr>
          <w:p w14:paraId="790C67D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452</w:t>
            </w:r>
          </w:p>
        </w:tc>
        <w:tc>
          <w:tcPr>
            <w:tcW w:w="1288" w:type="dxa"/>
            <w:tcBorders>
              <w:top w:val="nil"/>
              <w:left w:val="nil"/>
              <w:bottom w:val="nil"/>
              <w:right w:val="nil"/>
            </w:tcBorders>
            <w:shd w:val="clear" w:color="auto" w:fill="auto"/>
            <w:noWrap/>
            <w:vAlign w:val="bottom"/>
            <w:hideMark/>
          </w:tcPr>
          <w:p w14:paraId="6BF9D73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307</w:t>
            </w:r>
          </w:p>
        </w:tc>
        <w:tc>
          <w:tcPr>
            <w:tcW w:w="1288" w:type="dxa"/>
            <w:tcBorders>
              <w:top w:val="nil"/>
              <w:left w:val="nil"/>
              <w:bottom w:val="nil"/>
              <w:right w:val="nil"/>
            </w:tcBorders>
            <w:shd w:val="clear" w:color="auto" w:fill="DAEEF3" w:themeFill="accent5" w:themeFillTint="33"/>
            <w:noWrap/>
            <w:vAlign w:val="bottom"/>
            <w:hideMark/>
          </w:tcPr>
          <w:p w14:paraId="6AC12BF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265</w:t>
            </w:r>
          </w:p>
        </w:tc>
        <w:tc>
          <w:tcPr>
            <w:tcW w:w="1288" w:type="dxa"/>
            <w:tcBorders>
              <w:top w:val="nil"/>
              <w:left w:val="nil"/>
              <w:bottom w:val="nil"/>
              <w:right w:val="nil"/>
            </w:tcBorders>
            <w:shd w:val="clear" w:color="auto" w:fill="auto"/>
            <w:noWrap/>
            <w:vAlign w:val="bottom"/>
            <w:hideMark/>
          </w:tcPr>
          <w:p w14:paraId="0FC0B9B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190</w:t>
            </w:r>
          </w:p>
        </w:tc>
        <w:tc>
          <w:tcPr>
            <w:tcW w:w="1288" w:type="dxa"/>
            <w:tcBorders>
              <w:top w:val="nil"/>
              <w:left w:val="nil"/>
              <w:bottom w:val="nil"/>
              <w:right w:val="nil"/>
            </w:tcBorders>
            <w:shd w:val="clear" w:color="auto" w:fill="DAEEF3" w:themeFill="accent5" w:themeFillTint="33"/>
            <w:noWrap/>
            <w:vAlign w:val="bottom"/>
            <w:hideMark/>
          </w:tcPr>
          <w:p w14:paraId="6FA1552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215</w:t>
            </w:r>
          </w:p>
        </w:tc>
        <w:tc>
          <w:tcPr>
            <w:tcW w:w="1288" w:type="dxa"/>
            <w:tcBorders>
              <w:top w:val="nil"/>
              <w:left w:val="nil"/>
              <w:bottom w:val="nil"/>
              <w:right w:val="nil"/>
            </w:tcBorders>
            <w:shd w:val="clear" w:color="auto" w:fill="auto"/>
            <w:noWrap/>
            <w:vAlign w:val="bottom"/>
            <w:hideMark/>
          </w:tcPr>
          <w:p w14:paraId="1B4DAC4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302</w:t>
            </w:r>
          </w:p>
        </w:tc>
        <w:tc>
          <w:tcPr>
            <w:tcW w:w="1289" w:type="dxa"/>
            <w:tcBorders>
              <w:top w:val="nil"/>
              <w:left w:val="nil"/>
              <w:bottom w:val="nil"/>
              <w:right w:val="single" w:sz="4" w:space="0" w:color="auto"/>
            </w:tcBorders>
            <w:shd w:val="clear" w:color="auto" w:fill="DAEEF3" w:themeFill="accent5" w:themeFillTint="33"/>
            <w:noWrap/>
            <w:vAlign w:val="bottom"/>
            <w:hideMark/>
          </w:tcPr>
          <w:p w14:paraId="0DD75FF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200</w:t>
            </w:r>
          </w:p>
        </w:tc>
      </w:tr>
      <w:tr w:rsidR="00876EFC" w:rsidRPr="001565F1" w14:paraId="4C80C5E5"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3F822DB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88" w:type="dxa"/>
            <w:tcBorders>
              <w:top w:val="nil"/>
              <w:left w:val="nil"/>
              <w:bottom w:val="nil"/>
              <w:right w:val="nil"/>
            </w:tcBorders>
            <w:shd w:val="clear" w:color="auto" w:fill="auto"/>
            <w:noWrap/>
            <w:vAlign w:val="bottom"/>
            <w:hideMark/>
          </w:tcPr>
          <w:p w14:paraId="0020A0B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455</w:t>
            </w:r>
          </w:p>
        </w:tc>
        <w:tc>
          <w:tcPr>
            <w:tcW w:w="1288" w:type="dxa"/>
            <w:tcBorders>
              <w:top w:val="nil"/>
              <w:left w:val="nil"/>
              <w:bottom w:val="nil"/>
              <w:right w:val="nil"/>
            </w:tcBorders>
            <w:shd w:val="clear" w:color="auto" w:fill="DAEEF3" w:themeFill="accent5" w:themeFillTint="33"/>
            <w:noWrap/>
            <w:vAlign w:val="bottom"/>
            <w:hideMark/>
          </w:tcPr>
          <w:p w14:paraId="7EC37C0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452</w:t>
            </w:r>
          </w:p>
        </w:tc>
        <w:tc>
          <w:tcPr>
            <w:tcW w:w="1288" w:type="dxa"/>
            <w:tcBorders>
              <w:top w:val="nil"/>
              <w:left w:val="nil"/>
              <w:bottom w:val="nil"/>
              <w:right w:val="nil"/>
            </w:tcBorders>
            <w:shd w:val="clear" w:color="auto" w:fill="auto"/>
            <w:noWrap/>
            <w:vAlign w:val="bottom"/>
            <w:hideMark/>
          </w:tcPr>
          <w:p w14:paraId="2C790A2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411</w:t>
            </w:r>
          </w:p>
        </w:tc>
        <w:tc>
          <w:tcPr>
            <w:tcW w:w="1288" w:type="dxa"/>
            <w:tcBorders>
              <w:top w:val="nil"/>
              <w:left w:val="nil"/>
              <w:bottom w:val="nil"/>
              <w:right w:val="nil"/>
            </w:tcBorders>
            <w:shd w:val="clear" w:color="auto" w:fill="DAEEF3" w:themeFill="accent5" w:themeFillTint="33"/>
            <w:noWrap/>
            <w:vAlign w:val="bottom"/>
            <w:hideMark/>
          </w:tcPr>
          <w:p w14:paraId="3A886A7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345</w:t>
            </w:r>
          </w:p>
        </w:tc>
        <w:tc>
          <w:tcPr>
            <w:tcW w:w="1288" w:type="dxa"/>
            <w:tcBorders>
              <w:top w:val="nil"/>
              <w:left w:val="nil"/>
              <w:bottom w:val="nil"/>
              <w:right w:val="nil"/>
            </w:tcBorders>
            <w:shd w:val="clear" w:color="auto" w:fill="auto"/>
            <w:noWrap/>
            <w:vAlign w:val="bottom"/>
            <w:hideMark/>
          </w:tcPr>
          <w:p w14:paraId="1E6841D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239</w:t>
            </w:r>
          </w:p>
        </w:tc>
        <w:tc>
          <w:tcPr>
            <w:tcW w:w="1288" w:type="dxa"/>
            <w:tcBorders>
              <w:top w:val="nil"/>
              <w:left w:val="nil"/>
              <w:bottom w:val="nil"/>
              <w:right w:val="nil"/>
            </w:tcBorders>
            <w:shd w:val="clear" w:color="auto" w:fill="DAEEF3" w:themeFill="accent5" w:themeFillTint="33"/>
            <w:noWrap/>
            <w:vAlign w:val="bottom"/>
            <w:hideMark/>
          </w:tcPr>
          <w:p w14:paraId="20B20E2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198</w:t>
            </w:r>
          </w:p>
        </w:tc>
        <w:tc>
          <w:tcPr>
            <w:tcW w:w="1288" w:type="dxa"/>
            <w:tcBorders>
              <w:top w:val="nil"/>
              <w:left w:val="nil"/>
              <w:bottom w:val="nil"/>
              <w:right w:val="nil"/>
            </w:tcBorders>
            <w:shd w:val="clear" w:color="auto" w:fill="auto"/>
            <w:noWrap/>
            <w:vAlign w:val="bottom"/>
            <w:hideMark/>
          </w:tcPr>
          <w:p w14:paraId="69D5A11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131</w:t>
            </w:r>
          </w:p>
        </w:tc>
        <w:tc>
          <w:tcPr>
            <w:tcW w:w="1288" w:type="dxa"/>
            <w:tcBorders>
              <w:top w:val="nil"/>
              <w:left w:val="nil"/>
              <w:bottom w:val="nil"/>
              <w:right w:val="nil"/>
            </w:tcBorders>
            <w:shd w:val="clear" w:color="auto" w:fill="DAEEF3" w:themeFill="accent5" w:themeFillTint="33"/>
            <w:noWrap/>
            <w:vAlign w:val="bottom"/>
            <w:hideMark/>
          </w:tcPr>
          <w:p w14:paraId="4392E98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164</w:t>
            </w:r>
          </w:p>
        </w:tc>
        <w:tc>
          <w:tcPr>
            <w:tcW w:w="1288" w:type="dxa"/>
            <w:tcBorders>
              <w:top w:val="nil"/>
              <w:left w:val="nil"/>
              <w:bottom w:val="nil"/>
              <w:right w:val="nil"/>
            </w:tcBorders>
            <w:shd w:val="clear" w:color="auto" w:fill="auto"/>
            <w:noWrap/>
            <w:vAlign w:val="bottom"/>
            <w:hideMark/>
          </w:tcPr>
          <w:p w14:paraId="7615633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236</w:t>
            </w:r>
          </w:p>
        </w:tc>
        <w:tc>
          <w:tcPr>
            <w:tcW w:w="1289" w:type="dxa"/>
            <w:tcBorders>
              <w:top w:val="nil"/>
              <w:left w:val="nil"/>
              <w:bottom w:val="nil"/>
              <w:right w:val="single" w:sz="4" w:space="0" w:color="auto"/>
            </w:tcBorders>
            <w:shd w:val="clear" w:color="auto" w:fill="DAEEF3" w:themeFill="accent5" w:themeFillTint="33"/>
            <w:noWrap/>
            <w:vAlign w:val="bottom"/>
            <w:hideMark/>
          </w:tcPr>
          <w:p w14:paraId="2D8B1A6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151</w:t>
            </w:r>
          </w:p>
        </w:tc>
      </w:tr>
      <w:tr w:rsidR="00876EFC" w:rsidRPr="001565F1" w14:paraId="071FC97C" w14:textId="77777777" w:rsidTr="00561E44">
        <w:trPr>
          <w:trHeight w:val="204"/>
        </w:trPr>
        <w:tc>
          <w:tcPr>
            <w:tcW w:w="1876" w:type="dxa"/>
            <w:tcBorders>
              <w:top w:val="nil"/>
              <w:left w:val="single" w:sz="4" w:space="0" w:color="auto"/>
              <w:bottom w:val="nil"/>
              <w:right w:val="nil"/>
            </w:tcBorders>
            <w:shd w:val="clear" w:color="auto" w:fill="DAEEF3" w:themeFill="accent5" w:themeFillTint="33"/>
            <w:noWrap/>
            <w:vAlign w:val="bottom"/>
            <w:hideMark/>
          </w:tcPr>
          <w:p w14:paraId="0334D24A"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88" w:type="dxa"/>
            <w:tcBorders>
              <w:top w:val="nil"/>
              <w:left w:val="nil"/>
              <w:bottom w:val="nil"/>
              <w:right w:val="nil"/>
            </w:tcBorders>
            <w:shd w:val="clear" w:color="auto" w:fill="auto"/>
            <w:noWrap/>
            <w:vAlign w:val="bottom"/>
            <w:hideMark/>
          </w:tcPr>
          <w:p w14:paraId="1C740A2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220</w:t>
            </w:r>
          </w:p>
        </w:tc>
        <w:tc>
          <w:tcPr>
            <w:tcW w:w="1288" w:type="dxa"/>
            <w:tcBorders>
              <w:top w:val="nil"/>
              <w:left w:val="nil"/>
              <w:bottom w:val="nil"/>
              <w:right w:val="nil"/>
            </w:tcBorders>
            <w:shd w:val="clear" w:color="auto" w:fill="DAEEF3" w:themeFill="accent5" w:themeFillTint="33"/>
            <w:noWrap/>
            <w:vAlign w:val="bottom"/>
            <w:hideMark/>
          </w:tcPr>
          <w:p w14:paraId="2AB6F0B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143</w:t>
            </w:r>
          </w:p>
        </w:tc>
        <w:tc>
          <w:tcPr>
            <w:tcW w:w="1288" w:type="dxa"/>
            <w:tcBorders>
              <w:top w:val="nil"/>
              <w:left w:val="nil"/>
              <w:bottom w:val="nil"/>
              <w:right w:val="nil"/>
            </w:tcBorders>
            <w:shd w:val="clear" w:color="auto" w:fill="auto"/>
            <w:noWrap/>
            <w:vAlign w:val="bottom"/>
            <w:hideMark/>
          </w:tcPr>
          <w:p w14:paraId="473C4AF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111</w:t>
            </w:r>
          </w:p>
        </w:tc>
        <w:tc>
          <w:tcPr>
            <w:tcW w:w="1288" w:type="dxa"/>
            <w:tcBorders>
              <w:top w:val="nil"/>
              <w:left w:val="nil"/>
              <w:bottom w:val="nil"/>
              <w:right w:val="nil"/>
            </w:tcBorders>
            <w:shd w:val="clear" w:color="auto" w:fill="DAEEF3" w:themeFill="accent5" w:themeFillTint="33"/>
            <w:noWrap/>
            <w:vAlign w:val="bottom"/>
            <w:hideMark/>
          </w:tcPr>
          <w:p w14:paraId="6F155E1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107</w:t>
            </w:r>
          </w:p>
        </w:tc>
        <w:tc>
          <w:tcPr>
            <w:tcW w:w="1288" w:type="dxa"/>
            <w:tcBorders>
              <w:top w:val="nil"/>
              <w:left w:val="nil"/>
              <w:bottom w:val="nil"/>
              <w:right w:val="nil"/>
            </w:tcBorders>
            <w:shd w:val="clear" w:color="auto" w:fill="auto"/>
            <w:noWrap/>
            <w:vAlign w:val="bottom"/>
            <w:hideMark/>
          </w:tcPr>
          <w:p w14:paraId="21C8840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68</w:t>
            </w:r>
          </w:p>
        </w:tc>
        <w:tc>
          <w:tcPr>
            <w:tcW w:w="1288" w:type="dxa"/>
            <w:tcBorders>
              <w:top w:val="nil"/>
              <w:left w:val="nil"/>
              <w:bottom w:val="nil"/>
              <w:right w:val="nil"/>
            </w:tcBorders>
            <w:shd w:val="clear" w:color="auto" w:fill="DAEEF3" w:themeFill="accent5" w:themeFillTint="33"/>
            <w:noWrap/>
            <w:vAlign w:val="bottom"/>
            <w:hideMark/>
          </w:tcPr>
          <w:p w14:paraId="247F014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67</w:t>
            </w:r>
          </w:p>
        </w:tc>
        <w:tc>
          <w:tcPr>
            <w:tcW w:w="1288" w:type="dxa"/>
            <w:tcBorders>
              <w:top w:val="nil"/>
              <w:left w:val="nil"/>
              <w:bottom w:val="nil"/>
              <w:right w:val="nil"/>
            </w:tcBorders>
            <w:shd w:val="clear" w:color="auto" w:fill="auto"/>
            <w:noWrap/>
            <w:vAlign w:val="bottom"/>
            <w:hideMark/>
          </w:tcPr>
          <w:p w14:paraId="3761B63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w:t>
            </w:r>
          </w:p>
        </w:tc>
        <w:tc>
          <w:tcPr>
            <w:tcW w:w="1288" w:type="dxa"/>
            <w:tcBorders>
              <w:top w:val="nil"/>
              <w:left w:val="nil"/>
              <w:bottom w:val="nil"/>
              <w:right w:val="nil"/>
            </w:tcBorders>
            <w:shd w:val="clear" w:color="auto" w:fill="DAEEF3" w:themeFill="accent5" w:themeFillTint="33"/>
            <w:noWrap/>
            <w:vAlign w:val="bottom"/>
            <w:hideMark/>
          </w:tcPr>
          <w:p w14:paraId="3A996F7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51</w:t>
            </w:r>
          </w:p>
        </w:tc>
        <w:tc>
          <w:tcPr>
            <w:tcW w:w="1288" w:type="dxa"/>
            <w:tcBorders>
              <w:top w:val="nil"/>
              <w:left w:val="nil"/>
              <w:bottom w:val="nil"/>
              <w:right w:val="nil"/>
            </w:tcBorders>
            <w:shd w:val="clear" w:color="auto" w:fill="auto"/>
            <w:noWrap/>
            <w:vAlign w:val="bottom"/>
            <w:hideMark/>
          </w:tcPr>
          <w:p w14:paraId="2B562D9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w:t>
            </w:r>
          </w:p>
        </w:tc>
        <w:tc>
          <w:tcPr>
            <w:tcW w:w="1289" w:type="dxa"/>
            <w:tcBorders>
              <w:top w:val="nil"/>
              <w:left w:val="nil"/>
              <w:bottom w:val="nil"/>
              <w:right w:val="single" w:sz="4" w:space="0" w:color="auto"/>
            </w:tcBorders>
            <w:shd w:val="clear" w:color="auto" w:fill="DAEEF3" w:themeFill="accent5" w:themeFillTint="33"/>
            <w:noWrap/>
            <w:vAlign w:val="bottom"/>
            <w:hideMark/>
          </w:tcPr>
          <w:p w14:paraId="2420531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49</w:t>
            </w:r>
          </w:p>
        </w:tc>
      </w:tr>
      <w:tr w:rsidR="00876EFC" w:rsidRPr="00DA0360" w14:paraId="1771A538" w14:textId="77777777" w:rsidTr="00561E44">
        <w:trPr>
          <w:trHeight w:val="204"/>
        </w:trPr>
        <w:tc>
          <w:tcPr>
            <w:tcW w:w="1876" w:type="dxa"/>
            <w:tcBorders>
              <w:top w:val="nil"/>
              <w:left w:val="single" w:sz="4" w:space="0" w:color="auto"/>
              <w:bottom w:val="single" w:sz="4" w:space="0" w:color="auto"/>
              <w:right w:val="nil"/>
            </w:tcBorders>
            <w:shd w:val="clear" w:color="auto" w:fill="DAEEF3" w:themeFill="accent5" w:themeFillTint="33"/>
            <w:noWrap/>
            <w:vAlign w:val="bottom"/>
            <w:hideMark/>
          </w:tcPr>
          <w:p w14:paraId="69815BC2"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88" w:type="dxa"/>
            <w:tcBorders>
              <w:top w:val="nil"/>
              <w:left w:val="nil"/>
              <w:bottom w:val="single" w:sz="4" w:space="0" w:color="auto"/>
              <w:right w:val="nil"/>
            </w:tcBorders>
            <w:shd w:val="clear" w:color="auto" w:fill="auto"/>
            <w:noWrap/>
            <w:vAlign w:val="bottom"/>
            <w:hideMark/>
          </w:tcPr>
          <w:p w14:paraId="22AA06C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733</w:t>
            </w:r>
          </w:p>
        </w:tc>
        <w:tc>
          <w:tcPr>
            <w:tcW w:w="1288" w:type="dxa"/>
            <w:tcBorders>
              <w:top w:val="nil"/>
              <w:left w:val="nil"/>
              <w:bottom w:val="single" w:sz="4" w:space="0" w:color="auto"/>
              <w:right w:val="nil"/>
            </w:tcBorders>
            <w:shd w:val="clear" w:color="auto" w:fill="DAEEF3" w:themeFill="accent5" w:themeFillTint="33"/>
            <w:noWrap/>
            <w:vAlign w:val="bottom"/>
            <w:hideMark/>
          </w:tcPr>
          <w:p w14:paraId="6FD2F04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566</w:t>
            </w:r>
          </w:p>
        </w:tc>
        <w:tc>
          <w:tcPr>
            <w:tcW w:w="1288" w:type="dxa"/>
            <w:tcBorders>
              <w:top w:val="nil"/>
              <w:left w:val="nil"/>
              <w:bottom w:val="single" w:sz="4" w:space="0" w:color="auto"/>
              <w:right w:val="nil"/>
            </w:tcBorders>
            <w:shd w:val="clear" w:color="auto" w:fill="auto"/>
            <w:noWrap/>
            <w:vAlign w:val="bottom"/>
            <w:hideMark/>
          </w:tcPr>
          <w:p w14:paraId="0A59F5B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580</w:t>
            </w:r>
          </w:p>
        </w:tc>
        <w:tc>
          <w:tcPr>
            <w:tcW w:w="1288" w:type="dxa"/>
            <w:tcBorders>
              <w:top w:val="nil"/>
              <w:left w:val="nil"/>
              <w:bottom w:val="single" w:sz="4" w:space="0" w:color="auto"/>
              <w:right w:val="nil"/>
            </w:tcBorders>
            <w:shd w:val="clear" w:color="auto" w:fill="DAEEF3" w:themeFill="accent5" w:themeFillTint="33"/>
            <w:noWrap/>
            <w:vAlign w:val="bottom"/>
            <w:hideMark/>
          </w:tcPr>
          <w:p w14:paraId="38355B5B"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433</w:t>
            </w:r>
          </w:p>
        </w:tc>
        <w:tc>
          <w:tcPr>
            <w:tcW w:w="1288" w:type="dxa"/>
            <w:tcBorders>
              <w:top w:val="nil"/>
              <w:left w:val="nil"/>
              <w:bottom w:val="single" w:sz="4" w:space="0" w:color="auto"/>
              <w:right w:val="nil"/>
            </w:tcBorders>
            <w:shd w:val="clear" w:color="auto" w:fill="auto"/>
            <w:noWrap/>
            <w:vAlign w:val="bottom"/>
            <w:hideMark/>
          </w:tcPr>
          <w:p w14:paraId="71FE8A0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432</w:t>
            </w:r>
          </w:p>
        </w:tc>
        <w:tc>
          <w:tcPr>
            <w:tcW w:w="1288" w:type="dxa"/>
            <w:tcBorders>
              <w:top w:val="nil"/>
              <w:left w:val="nil"/>
              <w:bottom w:val="single" w:sz="4" w:space="0" w:color="auto"/>
              <w:right w:val="nil"/>
            </w:tcBorders>
            <w:shd w:val="clear" w:color="auto" w:fill="DAEEF3" w:themeFill="accent5" w:themeFillTint="33"/>
            <w:noWrap/>
            <w:vAlign w:val="bottom"/>
            <w:hideMark/>
          </w:tcPr>
          <w:p w14:paraId="4D01EB7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275</w:t>
            </w:r>
          </w:p>
        </w:tc>
        <w:tc>
          <w:tcPr>
            <w:tcW w:w="1288" w:type="dxa"/>
            <w:tcBorders>
              <w:top w:val="nil"/>
              <w:left w:val="nil"/>
              <w:bottom w:val="single" w:sz="4" w:space="0" w:color="auto"/>
              <w:right w:val="nil"/>
            </w:tcBorders>
            <w:shd w:val="clear" w:color="auto" w:fill="auto"/>
            <w:noWrap/>
            <w:vAlign w:val="bottom"/>
            <w:hideMark/>
          </w:tcPr>
          <w:p w14:paraId="5DB2DB44"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507</w:t>
            </w:r>
          </w:p>
        </w:tc>
        <w:tc>
          <w:tcPr>
            <w:tcW w:w="1288" w:type="dxa"/>
            <w:tcBorders>
              <w:top w:val="nil"/>
              <w:left w:val="nil"/>
              <w:bottom w:val="single" w:sz="4" w:space="0" w:color="auto"/>
              <w:right w:val="nil"/>
            </w:tcBorders>
            <w:shd w:val="clear" w:color="auto" w:fill="DAEEF3" w:themeFill="accent5" w:themeFillTint="33"/>
            <w:noWrap/>
            <w:vAlign w:val="bottom"/>
            <w:hideMark/>
          </w:tcPr>
          <w:p w14:paraId="3192B1E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588</w:t>
            </w:r>
          </w:p>
        </w:tc>
        <w:tc>
          <w:tcPr>
            <w:tcW w:w="1288" w:type="dxa"/>
            <w:tcBorders>
              <w:top w:val="nil"/>
              <w:left w:val="nil"/>
              <w:bottom w:val="single" w:sz="4" w:space="0" w:color="auto"/>
              <w:right w:val="nil"/>
            </w:tcBorders>
            <w:shd w:val="clear" w:color="auto" w:fill="auto"/>
            <w:noWrap/>
            <w:vAlign w:val="bottom"/>
            <w:hideMark/>
          </w:tcPr>
          <w:p w14:paraId="63BF712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750</w:t>
            </w:r>
          </w:p>
        </w:tc>
        <w:tc>
          <w:tcPr>
            <w:tcW w:w="1289" w:type="dxa"/>
            <w:tcBorders>
              <w:top w:val="nil"/>
              <w:left w:val="nil"/>
              <w:bottom w:val="single" w:sz="4" w:space="0" w:color="auto"/>
              <w:right w:val="single" w:sz="4" w:space="0" w:color="auto"/>
            </w:tcBorders>
            <w:shd w:val="clear" w:color="auto" w:fill="DAEEF3" w:themeFill="accent5" w:themeFillTint="33"/>
            <w:noWrap/>
            <w:vAlign w:val="bottom"/>
            <w:hideMark/>
          </w:tcPr>
          <w:p w14:paraId="4264287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621</w:t>
            </w:r>
          </w:p>
        </w:tc>
      </w:tr>
      <w:tr w:rsidR="00876EFC" w:rsidRPr="00DA0360" w14:paraId="67A34AC1"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7DDC0119"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Physical Abuse</w:t>
            </w:r>
          </w:p>
        </w:tc>
        <w:tc>
          <w:tcPr>
            <w:tcW w:w="1288" w:type="dxa"/>
            <w:tcBorders>
              <w:top w:val="nil"/>
              <w:left w:val="nil"/>
              <w:bottom w:val="nil"/>
              <w:right w:val="nil"/>
            </w:tcBorders>
            <w:shd w:val="clear" w:color="auto" w:fill="auto"/>
            <w:noWrap/>
            <w:vAlign w:val="bottom"/>
            <w:hideMark/>
          </w:tcPr>
          <w:p w14:paraId="7C231F47"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E5DFEC" w:themeFill="accent4" w:themeFillTint="33"/>
            <w:noWrap/>
            <w:vAlign w:val="bottom"/>
            <w:hideMark/>
          </w:tcPr>
          <w:p w14:paraId="6A73E917"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7BC212C2"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E5DFEC" w:themeFill="accent4" w:themeFillTint="33"/>
            <w:noWrap/>
            <w:vAlign w:val="bottom"/>
            <w:hideMark/>
          </w:tcPr>
          <w:p w14:paraId="5F56A2E5"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19B4264D"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E5DFEC" w:themeFill="accent4" w:themeFillTint="33"/>
            <w:noWrap/>
            <w:vAlign w:val="bottom"/>
            <w:hideMark/>
          </w:tcPr>
          <w:p w14:paraId="2F2E1C29"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16FB0F9D"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E5DFEC" w:themeFill="accent4" w:themeFillTint="33"/>
            <w:noWrap/>
            <w:vAlign w:val="bottom"/>
            <w:hideMark/>
          </w:tcPr>
          <w:p w14:paraId="3892AEC9"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6E482A10" w14:textId="77777777" w:rsidR="00876EFC" w:rsidRPr="00DA0360" w:rsidRDefault="00876EFC" w:rsidP="00CE2FDF">
            <w:pPr>
              <w:spacing w:before="0" w:line="276" w:lineRule="auto"/>
              <w:jc w:val="right"/>
              <w:rPr>
                <w:rFonts w:eastAsia="Times New Roman" w:cs="Arial"/>
                <w:b/>
                <w:color w:val="FF0000"/>
                <w:lang w:eastAsia="en-AU"/>
              </w:rPr>
            </w:pPr>
          </w:p>
        </w:tc>
        <w:tc>
          <w:tcPr>
            <w:tcW w:w="1289" w:type="dxa"/>
            <w:tcBorders>
              <w:top w:val="nil"/>
              <w:left w:val="nil"/>
              <w:bottom w:val="nil"/>
              <w:right w:val="single" w:sz="4" w:space="0" w:color="auto"/>
            </w:tcBorders>
            <w:shd w:val="clear" w:color="auto" w:fill="E5DFEC" w:themeFill="accent4" w:themeFillTint="33"/>
            <w:noWrap/>
            <w:vAlign w:val="bottom"/>
            <w:hideMark/>
          </w:tcPr>
          <w:p w14:paraId="618287DE"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2AC78618"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7E77B8A8"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88" w:type="dxa"/>
            <w:tcBorders>
              <w:top w:val="nil"/>
              <w:left w:val="nil"/>
              <w:bottom w:val="nil"/>
              <w:right w:val="nil"/>
            </w:tcBorders>
            <w:shd w:val="clear" w:color="auto" w:fill="auto"/>
            <w:noWrap/>
            <w:vAlign w:val="bottom"/>
            <w:hideMark/>
          </w:tcPr>
          <w:p w14:paraId="51F4107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629</w:t>
            </w:r>
          </w:p>
        </w:tc>
        <w:tc>
          <w:tcPr>
            <w:tcW w:w="1288" w:type="dxa"/>
            <w:tcBorders>
              <w:top w:val="nil"/>
              <w:left w:val="nil"/>
              <w:bottom w:val="nil"/>
              <w:right w:val="nil"/>
            </w:tcBorders>
            <w:shd w:val="clear" w:color="auto" w:fill="E5DFEC" w:themeFill="accent4" w:themeFillTint="33"/>
            <w:noWrap/>
            <w:vAlign w:val="bottom"/>
            <w:hideMark/>
          </w:tcPr>
          <w:p w14:paraId="1B28CD2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728</w:t>
            </w:r>
          </w:p>
        </w:tc>
        <w:tc>
          <w:tcPr>
            <w:tcW w:w="1288" w:type="dxa"/>
            <w:tcBorders>
              <w:top w:val="nil"/>
              <w:left w:val="nil"/>
              <w:bottom w:val="nil"/>
              <w:right w:val="nil"/>
            </w:tcBorders>
            <w:shd w:val="clear" w:color="auto" w:fill="auto"/>
            <w:noWrap/>
            <w:vAlign w:val="bottom"/>
            <w:hideMark/>
          </w:tcPr>
          <w:p w14:paraId="0752E07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762</w:t>
            </w:r>
          </w:p>
        </w:tc>
        <w:tc>
          <w:tcPr>
            <w:tcW w:w="1288" w:type="dxa"/>
            <w:tcBorders>
              <w:top w:val="nil"/>
              <w:left w:val="nil"/>
              <w:bottom w:val="nil"/>
              <w:right w:val="nil"/>
            </w:tcBorders>
            <w:shd w:val="clear" w:color="auto" w:fill="E5DFEC" w:themeFill="accent4" w:themeFillTint="33"/>
            <w:noWrap/>
            <w:vAlign w:val="bottom"/>
            <w:hideMark/>
          </w:tcPr>
          <w:p w14:paraId="11799E1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897</w:t>
            </w:r>
          </w:p>
        </w:tc>
        <w:tc>
          <w:tcPr>
            <w:tcW w:w="1288" w:type="dxa"/>
            <w:tcBorders>
              <w:top w:val="nil"/>
              <w:left w:val="nil"/>
              <w:bottom w:val="nil"/>
              <w:right w:val="nil"/>
            </w:tcBorders>
            <w:shd w:val="clear" w:color="auto" w:fill="auto"/>
            <w:noWrap/>
            <w:vAlign w:val="bottom"/>
            <w:hideMark/>
          </w:tcPr>
          <w:p w14:paraId="01B23A3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950</w:t>
            </w:r>
          </w:p>
        </w:tc>
        <w:tc>
          <w:tcPr>
            <w:tcW w:w="1288" w:type="dxa"/>
            <w:tcBorders>
              <w:top w:val="nil"/>
              <w:left w:val="nil"/>
              <w:bottom w:val="nil"/>
              <w:right w:val="nil"/>
            </w:tcBorders>
            <w:shd w:val="clear" w:color="auto" w:fill="E5DFEC" w:themeFill="accent4" w:themeFillTint="33"/>
            <w:noWrap/>
            <w:vAlign w:val="bottom"/>
            <w:hideMark/>
          </w:tcPr>
          <w:p w14:paraId="2D70E8E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549</w:t>
            </w:r>
          </w:p>
        </w:tc>
        <w:tc>
          <w:tcPr>
            <w:tcW w:w="1288" w:type="dxa"/>
            <w:tcBorders>
              <w:top w:val="nil"/>
              <w:left w:val="nil"/>
              <w:bottom w:val="nil"/>
              <w:right w:val="nil"/>
            </w:tcBorders>
            <w:shd w:val="clear" w:color="auto" w:fill="auto"/>
            <w:noWrap/>
            <w:vAlign w:val="bottom"/>
            <w:hideMark/>
          </w:tcPr>
          <w:p w14:paraId="5FA3252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884</w:t>
            </w:r>
          </w:p>
        </w:tc>
        <w:tc>
          <w:tcPr>
            <w:tcW w:w="1288" w:type="dxa"/>
            <w:tcBorders>
              <w:top w:val="nil"/>
              <w:left w:val="nil"/>
              <w:bottom w:val="nil"/>
              <w:right w:val="nil"/>
            </w:tcBorders>
            <w:shd w:val="clear" w:color="auto" w:fill="E5DFEC" w:themeFill="accent4" w:themeFillTint="33"/>
            <w:noWrap/>
            <w:vAlign w:val="bottom"/>
            <w:hideMark/>
          </w:tcPr>
          <w:p w14:paraId="10D648F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076</w:t>
            </w:r>
          </w:p>
        </w:tc>
        <w:tc>
          <w:tcPr>
            <w:tcW w:w="1288" w:type="dxa"/>
            <w:tcBorders>
              <w:top w:val="nil"/>
              <w:left w:val="nil"/>
              <w:bottom w:val="nil"/>
              <w:right w:val="nil"/>
            </w:tcBorders>
            <w:shd w:val="clear" w:color="auto" w:fill="auto"/>
            <w:noWrap/>
            <w:vAlign w:val="bottom"/>
            <w:hideMark/>
          </w:tcPr>
          <w:p w14:paraId="07B97A0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881</w:t>
            </w:r>
          </w:p>
        </w:tc>
        <w:tc>
          <w:tcPr>
            <w:tcW w:w="1289" w:type="dxa"/>
            <w:tcBorders>
              <w:top w:val="nil"/>
              <w:left w:val="nil"/>
              <w:bottom w:val="nil"/>
              <w:right w:val="single" w:sz="4" w:space="0" w:color="auto"/>
            </w:tcBorders>
            <w:shd w:val="clear" w:color="auto" w:fill="E5DFEC" w:themeFill="accent4" w:themeFillTint="33"/>
            <w:noWrap/>
            <w:vAlign w:val="bottom"/>
            <w:hideMark/>
          </w:tcPr>
          <w:p w14:paraId="718C348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230</w:t>
            </w:r>
          </w:p>
        </w:tc>
      </w:tr>
      <w:tr w:rsidR="000E61DB" w:rsidRPr="001565F1" w14:paraId="2E10DFAC"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43700DFA"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88" w:type="dxa"/>
            <w:tcBorders>
              <w:top w:val="nil"/>
              <w:left w:val="nil"/>
              <w:bottom w:val="nil"/>
              <w:right w:val="nil"/>
            </w:tcBorders>
            <w:shd w:val="clear" w:color="auto" w:fill="auto"/>
            <w:noWrap/>
            <w:vAlign w:val="bottom"/>
            <w:hideMark/>
          </w:tcPr>
          <w:p w14:paraId="3CD4FFB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528</w:t>
            </w:r>
          </w:p>
        </w:tc>
        <w:tc>
          <w:tcPr>
            <w:tcW w:w="1288" w:type="dxa"/>
            <w:tcBorders>
              <w:top w:val="nil"/>
              <w:left w:val="nil"/>
              <w:bottom w:val="nil"/>
              <w:right w:val="nil"/>
            </w:tcBorders>
            <w:shd w:val="clear" w:color="auto" w:fill="E5DFEC" w:themeFill="accent4" w:themeFillTint="33"/>
            <w:noWrap/>
            <w:vAlign w:val="bottom"/>
            <w:hideMark/>
          </w:tcPr>
          <w:p w14:paraId="52621B4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510</w:t>
            </w:r>
          </w:p>
        </w:tc>
        <w:tc>
          <w:tcPr>
            <w:tcW w:w="1288" w:type="dxa"/>
            <w:tcBorders>
              <w:top w:val="nil"/>
              <w:left w:val="nil"/>
              <w:bottom w:val="nil"/>
              <w:right w:val="nil"/>
            </w:tcBorders>
            <w:shd w:val="clear" w:color="auto" w:fill="auto"/>
            <w:noWrap/>
            <w:vAlign w:val="bottom"/>
            <w:hideMark/>
          </w:tcPr>
          <w:p w14:paraId="18BCE41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447</w:t>
            </w:r>
          </w:p>
        </w:tc>
        <w:tc>
          <w:tcPr>
            <w:tcW w:w="1288" w:type="dxa"/>
            <w:tcBorders>
              <w:top w:val="nil"/>
              <w:left w:val="nil"/>
              <w:bottom w:val="nil"/>
              <w:right w:val="nil"/>
            </w:tcBorders>
            <w:shd w:val="clear" w:color="auto" w:fill="E5DFEC" w:themeFill="accent4" w:themeFillTint="33"/>
            <w:noWrap/>
            <w:vAlign w:val="bottom"/>
            <w:hideMark/>
          </w:tcPr>
          <w:p w14:paraId="2187C8E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556</w:t>
            </w:r>
          </w:p>
        </w:tc>
        <w:tc>
          <w:tcPr>
            <w:tcW w:w="1288" w:type="dxa"/>
            <w:tcBorders>
              <w:top w:val="nil"/>
              <w:left w:val="nil"/>
              <w:bottom w:val="nil"/>
              <w:right w:val="nil"/>
            </w:tcBorders>
            <w:shd w:val="clear" w:color="auto" w:fill="auto"/>
            <w:noWrap/>
            <w:vAlign w:val="bottom"/>
            <w:hideMark/>
          </w:tcPr>
          <w:p w14:paraId="71344C9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969</w:t>
            </w:r>
          </w:p>
        </w:tc>
        <w:tc>
          <w:tcPr>
            <w:tcW w:w="1288" w:type="dxa"/>
            <w:tcBorders>
              <w:top w:val="nil"/>
              <w:left w:val="nil"/>
              <w:bottom w:val="nil"/>
              <w:right w:val="nil"/>
            </w:tcBorders>
            <w:shd w:val="clear" w:color="auto" w:fill="E5DFEC" w:themeFill="accent4" w:themeFillTint="33"/>
            <w:noWrap/>
            <w:vAlign w:val="bottom"/>
            <w:hideMark/>
          </w:tcPr>
          <w:p w14:paraId="7E6B3FE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057</w:t>
            </w:r>
          </w:p>
        </w:tc>
        <w:tc>
          <w:tcPr>
            <w:tcW w:w="1288" w:type="dxa"/>
            <w:tcBorders>
              <w:top w:val="nil"/>
              <w:left w:val="nil"/>
              <w:bottom w:val="nil"/>
              <w:right w:val="nil"/>
            </w:tcBorders>
            <w:shd w:val="clear" w:color="auto" w:fill="auto"/>
            <w:noWrap/>
            <w:vAlign w:val="bottom"/>
            <w:hideMark/>
          </w:tcPr>
          <w:p w14:paraId="737F754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935</w:t>
            </w:r>
          </w:p>
        </w:tc>
        <w:tc>
          <w:tcPr>
            <w:tcW w:w="1288" w:type="dxa"/>
            <w:tcBorders>
              <w:top w:val="nil"/>
              <w:left w:val="nil"/>
              <w:bottom w:val="nil"/>
              <w:right w:val="nil"/>
            </w:tcBorders>
            <w:shd w:val="clear" w:color="auto" w:fill="E5DFEC" w:themeFill="accent4" w:themeFillTint="33"/>
            <w:noWrap/>
            <w:vAlign w:val="bottom"/>
            <w:hideMark/>
          </w:tcPr>
          <w:p w14:paraId="7BC3287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078</w:t>
            </w:r>
          </w:p>
        </w:tc>
        <w:tc>
          <w:tcPr>
            <w:tcW w:w="1288" w:type="dxa"/>
            <w:tcBorders>
              <w:top w:val="nil"/>
              <w:left w:val="nil"/>
              <w:bottom w:val="nil"/>
              <w:right w:val="nil"/>
            </w:tcBorders>
            <w:shd w:val="clear" w:color="auto" w:fill="auto"/>
            <w:noWrap/>
            <w:vAlign w:val="bottom"/>
            <w:hideMark/>
          </w:tcPr>
          <w:p w14:paraId="08F3567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942</w:t>
            </w:r>
          </w:p>
        </w:tc>
        <w:tc>
          <w:tcPr>
            <w:tcW w:w="1289" w:type="dxa"/>
            <w:tcBorders>
              <w:top w:val="nil"/>
              <w:left w:val="nil"/>
              <w:bottom w:val="nil"/>
              <w:right w:val="single" w:sz="4" w:space="0" w:color="auto"/>
            </w:tcBorders>
            <w:shd w:val="clear" w:color="auto" w:fill="E5DFEC" w:themeFill="accent4" w:themeFillTint="33"/>
            <w:noWrap/>
            <w:vAlign w:val="bottom"/>
            <w:hideMark/>
          </w:tcPr>
          <w:p w14:paraId="7A47C30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222</w:t>
            </w:r>
          </w:p>
        </w:tc>
      </w:tr>
      <w:tr w:rsidR="00876EFC" w:rsidRPr="001565F1" w14:paraId="62306F2F"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586188F3"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88" w:type="dxa"/>
            <w:tcBorders>
              <w:top w:val="nil"/>
              <w:left w:val="nil"/>
              <w:bottom w:val="nil"/>
              <w:right w:val="nil"/>
            </w:tcBorders>
            <w:shd w:val="clear" w:color="auto" w:fill="auto"/>
            <w:noWrap/>
            <w:vAlign w:val="bottom"/>
            <w:hideMark/>
          </w:tcPr>
          <w:p w14:paraId="30CFA65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363</w:t>
            </w:r>
          </w:p>
        </w:tc>
        <w:tc>
          <w:tcPr>
            <w:tcW w:w="1288" w:type="dxa"/>
            <w:tcBorders>
              <w:top w:val="nil"/>
              <w:left w:val="nil"/>
              <w:bottom w:val="nil"/>
              <w:right w:val="nil"/>
            </w:tcBorders>
            <w:shd w:val="clear" w:color="auto" w:fill="E5DFEC" w:themeFill="accent4" w:themeFillTint="33"/>
            <w:noWrap/>
            <w:vAlign w:val="bottom"/>
            <w:hideMark/>
          </w:tcPr>
          <w:p w14:paraId="292D768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380</w:t>
            </w:r>
          </w:p>
        </w:tc>
        <w:tc>
          <w:tcPr>
            <w:tcW w:w="1288" w:type="dxa"/>
            <w:tcBorders>
              <w:top w:val="nil"/>
              <w:left w:val="nil"/>
              <w:bottom w:val="nil"/>
              <w:right w:val="nil"/>
            </w:tcBorders>
            <w:shd w:val="clear" w:color="auto" w:fill="auto"/>
            <w:noWrap/>
            <w:vAlign w:val="bottom"/>
            <w:hideMark/>
          </w:tcPr>
          <w:p w14:paraId="5028FCD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354</w:t>
            </w:r>
          </w:p>
        </w:tc>
        <w:tc>
          <w:tcPr>
            <w:tcW w:w="1288" w:type="dxa"/>
            <w:tcBorders>
              <w:top w:val="nil"/>
              <w:left w:val="nil"/>
              <w:bottom w:val="nil"/>
              <w:right w:val="nil"/>
            </w:tcBorders>
            <w:shd w:val="clear" w:color="auto" w:fill="E5DFEC" w:themeFill="accent4" w:themeFillTint="33"/>
            <w:noWrap/>
            <w:vAlign w:val="bottom"/>
            <w:hideMark/>
          </w:tcPr>
          <w:p w14:paraId="4F78E89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415</w:t>
            </w:r>
          </w:p>
        </w:tc>
        <w:tc>
          <w:tcPr>
            <w:tcW w:w="1288" w:type="dxa"/>
            <w:tcBorders>
              <w:top w:val="nil"/>
              <w:left w:val="nil"/>
              <w:bottom w:val="nil"/>
              <w:right w:val="nil"/>
            </w:tcBorders>
            <w:shd w:val="clear" w:color="auto" w:fill="auto"/>
            <w:noWrap/>
            <w:vAlign w:val="bottom"/>
            <w:hideMark/>
          </w:tcPr>
          <w:p w14:paraId="6C7F1DC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752</w:t>
            </w:r>
          </w:p>
        </w:tc>
        <w:tc>
          <w:tcPr>
            <w:tcW w:w="1288" w:type="dxa"/>
            <w:tcBorders>
              <w:top w:val="nil"/>
              <w:left w:val="nil"/>
              <w:bottom w:val="nil"/>
              <w:right w:val="nil"/>
            </w:tcBorders>
            <w:shd w:val="clear" w:color="auto" w:fill="E5DFEC" w:themeFill="accent4" w:themeFillTint="33"/>
            <w:noWrap/>
            <w:vAlign w:val="bottom"/>
            <w:hideMark/>
          </w:tcPr>
          <w:p w14:paraId="63A634F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752</w:t>
            </w:r>
          </w:p>
        </w:tc>
        <w:tc>
          <w:tcPr>
            <w:tcW w:w="1288" w:type="dxa"/>
            <w:tcBorders>
              <w:top w:val="nil"/>
              <w:left w:val="nil"/>
              <w:bottom w:val="nil"/>
              <w:right w:val="nil"/>
            </w:tcBorders>
            <w:shd w:val="clear" w:color="auto" w:fill="auto"/>
            <w:noWrap/>
            <w:vAlign w:val="bottom"/>
            <w:hideMark/>
          </w:tcPr>
          <w:p w14:paraId="7A4B6B5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703</w:t>
            </w:r>
          </w:p>
        </w:tc>
        <w:tc>
          <w:tcPr>
            <w:tcW w:w="1288" w:type="dxa"/>
            <w:tcBorders>
              <w:top w:val="nil"/>
              <w:left w:val="nil"/>
              <w:bottom w:val="nil"/>
              <w:right w:val="nil"/>
            </w:tcBorders>
            <w:shd w:val="clear" w:color="auto" w:fill="E5DFEC" w:themeFill="accent4" w:themeFillTint="33"/>
            <w:noWrap/>
            <w:vAlign w:val="bottom"/>
            <w:hideMark/>
          </w:tcPr>
          <w:p w14:paraId="3A626AA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749</w:t>
            </w:r>
          </w:p>
        </w:tc>
        <w:tc>
          <w:tcPr>
            <w:tcW w:w="1288" w:type="dxa"/>
            <w:tcBorders>
              <w:top w:val="nil"/>
              <w:left w:val="nil"/>
              <w:bottom w:val="nil"/>
              <w:right w:val="nil"/>
            </w:tcBorders>
            <w:shd w:val="clear" w:color="auto" w:fill="auto"/>
            <w:noWrap/>
            <w:vAlign w:val="bottom"/>
            <w:hideMark/>
          </w:tcPr>
          <w:p w14:paraId="6CA29EB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691</w:t>
            </w:r>
          </w:p>
        </w:tc>
        <w:tc>
          <w:tcPr>
            <w:tcW w:w="1289" w:type="dxa"/>
            <w:tcBorders>
              <w:top w:val="nil"/>
              <w:left w:val="nil"/>
              <w:bottom w:val="nil"/>
              <w:right w:val="single" w:sz="4" w:space="0" w:color="auto"/>
            </w:tcBorders>
            <w:shd w:val="clear" w:color="auto" w:fill="E5DFEC" w:themeFill="accent4" w:themeFillTint="33"/>
            <w:noWrap/>
            <w:vAlign w:val="bottom"/>
            <w:hideMark/>
          </w:tcPr>
          <w:p w14:paraId="35B0FEE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873</w:t>
            </w:r>
          </w:p>
        </w:tc>
      </w:tr>
      <w:tr w:rsidR="00876EFC" w:rsidRPr="001565F1" w14:paraId="536889CF" w14:textId="77777777" w:rsidTr="00561E44">
        <w:trPr>
          <w:trHeight w:val="204"/>
        </w:trPr>
        <w:tc>
          <w:tcPr>
            <w:tcW w:w="1876" w:type="dxa"/>
            <w:tcBorders>
              <w:top w:val="nil"/>
              <w:left w:val="single" w:sz="4" w:space="0" w:color="auto"/>
              <w:bottom w:val="nil"/>
              <w:right w:val="nil"/>
            </w:tcBorders>
            <w:shd w:val="clear" w:color="auto" w:fill="E5DFEC" w:themeFill="accent4" w:themeFillTint="33"/>
            <w:noWrap/>
            <w:vAlign w:val="bottom"/>
            <w:hideMark/>
          </w:tcPr>
          <w:p w14:paraId="77265AE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88" w:type="dxa"/>
            <w:tcBorders>
              <w:top w:val="nil"/>
              <w:left w:val="nil"/>
              <w:bottom w:val="nil"/>
              <w:right w:val="nil"/>
            </w:tcBorders>
            <w:shd w:val="clear" w:color="auto" w:fill="auto"/>
            <w:noWrap/>
            <w:vAlign w:val="bottom"/>
            <w:hideMark/>
          </w:tcPr>
          <w:p w14:paraId="157A414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165</w:t>
            </w:r>
          </w:p>
        </w:tc>
        <w:tc>
          <w:tcPr>
            <w:tcW w:w="1288" w:type="dxa"/>
            <w:tcBorders>
              <w:top w:val="nil"/>
              <w:left w:val="nil"/>
              <w:bottom w:val="nil"/>
              <w:right w:val="nil"/>
            </w:tcBorders>
            <w:shd w:val="clear" w:color="auto" w:fill="E5DFEC" w:themeFill="accent4" w:themeFillTint="33"/>
            <w:noWrap/>
            <w:vAlign w:val="bottom"/>
            <w:hideMark/>
          </w:tcPr>
          <w:p w14:paraId="0E27609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130</w:t>
            </w:r>
          </w:p>
        </w:tc>
        <w:tc>
          <w:tcPr>
            <w:tcW w:w="1288" w:type="dxa"/>
            <w:tcBorders>
              <w:top w:val="nil"/>
              <w:left w:val="nil"/>
              <w:bottom w:val="nil"/>
              <w:right w:val="nil"/>
            </w:tcBorders>
            <w:shd w:val="clear" w:color="auto" w:fill="auto"/>
            <w:noWrap/>
            <w:vAlign w:val="bottom"/>
            <w:hideMark/>
          </w:tcPr>
          <w:p w14:paraId="17B251B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w:t>
            </w:r>
          </w:p>
        </w:tc>
        <w:tc>
          <w:tcPr>
            <w:tcW w:w="1288" w:type="dxa"/>
            <w:tcBorders>
              <w:top w:val="nil"/>
              <w:left w:val="nil"/>
              <w:bottom w:val="nil"/>
              <w:right w:val="nil"/>
            </w:tcBorders>
            <w:shd w:val="clear" w:color="auto" w:fill="E5DFEC" w:themeFill="accent4" w:themeFillTint="33"/>
            <w:noWrap/>
            <w:vAlign w:val="bottom"/>
            <w:hideMark/>
          </w:tcPr>
          <w:p w14:paraId="2EF665F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141</w:t>
            </w:r>
          </w:p>
        </w:tc>
        <w:tc>
          <w:tcPr>
            <w:tcW w:w="1288" w:type="dxa"/>
            <w:tcBorders>
              <w:top w:val="nil"/>
              <w:left w:val="nil"/>
              <w:bottom w:val="nil"/>
              <w:right w:val="nil"/>
            </w:tcBorders>
            <w:shd w:val="clear" w:color="auto" w:fill="auto"/>
            <w:noWrap/>
            <w:vAlign w:val="bottom"/>
            <w:hideMark/>
          </w:tcPr>
          <w:p w14:paraId="3DB1EE2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217</w:t>
            </w:r>
          </w:p>
        </w:tc>
        <w:tc>
          <w:tcPr>
            <w:tcW w:w="1288" w:type="dxa"/>
            <w:tcBorders>
              <w:top w:val="nil"/>
              <w:left w:val="nil"/>
              <w:bottom w:val="nil"/>
              <w:right w:val="nil"/>
            </w:tcBorders>
            <w:shd w:val="clear" w:color="auto" w:fill="E5DFEC" w:themeFill="accent4" w:themeFillTint="33"/>
            <w:noWrap/>
            <w:vAlign w:val="bottom"/>
            <w:hideMark/>
          </w:tcPr>
          <w:p w14:paraId="6E09FD9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305</w:t>
            </w:r>
          </w:p>
        </w:tc>
        <w:tc>
          <w:tcPr>
            <w:tcW w:w="1288" w:type="dxa"/>
            <w:tcBorders>
              <w:top w:val="nil"/>
              <w:left w:val="nil"/>
              <w:bottom w:val="nil"/>
              <w:right w:val="nil"/>
            </w:tcBorders>
            <w:shd w:val="clear" w:color="auto" w:fill="auto"/>
            <w:noWrap/>
            <w:vAlign w:val="bottom"/>
            <w:hideMark/>
          </w:tcPr>
          <w:p w14:paraId="1052AF9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232</w:t>
            </w:r>
          </w:p>
        </w:tc>
        <w:tc>
          <w:tcPr>
            <w:tcW w:w="1288" w:type="dxa"/>
            <w:tcBorders>
              <w:top w:val="nil"/>
              <w:left w:val="nil"/>
              <w:bottom w:val="nil"/>
              <w:right w:val="nil"/>
            </w:tcBorders>
            <w:shd w:val="clear" w:color="auto" w:fill="E5DFEC" w:themeFill="accent4" w:themeFillTint="33"/>
            <w:noWrap/>
            <w:vAlign w:val="bottom"/>
            <w:hideMark/>
          </w:tcPr>
          <w:p w14:paraId="4F27525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329</w:t>
            </w:r>
          </w:p>
        </w:tc>
        <w:tc>
          <w:tcPr>
            <w:tcW w:w="1288" w:type="dxa"/>
            <w:tcBorders>
              <w:top w:val="nil"/>
              <w:left w:val="nil"/>
              <w:bottom w:val="nil"/>
              <w:right w:val="nil"/>
            </w:tcBorders>
            <w:shd w:val="clear" w:color="auto" w:fill="auto"/>
            <w:noWrap/>
            <w:vAlign w:val="bottom"/>
            <w:hideMark/>
          </w:tcPr>
          <w:p w14:paraId="328E40E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251</w:t>
            </w:r>
          </w:p>
        </w:tc>
        <w:tc>
          <w:tcPr>
            <w:tcW w:w="1289" w:type="dxa"/>
            <w:tcBorders>
              <w:top w:val="nil"/>
              <w:left w:val="nil"/>
              <w:bottom w:val="nil"/>
              <w:right w:val="single" w:sz="4" w:space="0" w:color="auto"/>
            </w:tcBorders>
            <w:shd w:val="clear" w:color="auto" w:fill="E5DFEC" w:themeFill="accent4" w:themeFillTint="33"/>
            <w:noWrap/>
            <w:vAlign w:val="bottom"/>
            <w:hideMark/>
          </w:tcPr>
          <w:p w14:paraId="165B9B7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349</w:t>
            </w:r>
          </w:p>
        </w:tc>
      </w:tr>
      <w:tr w:rsidR="00876EFC" w:rsidRPr="00DA0360" w14:paraId="119620FE" w14:textId="77777777" w:rsidTr="00561E44">
        <w:trPr>
          <w:trHeight w:val="204"/>
        </w:trPr>
        <w:tc>
          <w:tcPr>
            <w:tcW w:w="1876" w:type="dxa"/>
            <w:tcBorders>
              <w:top w:val="nil"/>
              <w:left w:val="single" w:sz="4" w:space="0" w:color="auto"/>
              <w:bottom w:val="single" w:sz="4" w:space="0" w:color="auto"/>
              <w:right w:val="nil"/>
            </w:tcBorders>
            <w:shd w:val="clear" w:color="auto" w:fill="E5DFEC" w:themeFill="accent4" w:themeFillTint="33"/>
            <w:noWrap/>
            <w:vAlign w:val="bottom"/>
            <w:hideMark/>
          </w:tcPr>
          <w:p w14:paraId="6C7BB904"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88" w:type="dxa"/>
            <w:tcBorders>
              <w:top w:val="nil"/>
              <w:left w:val="nil"/>
              <w:bottom w:val="single" w:sz="4" w:space="0" w:color="auto"/>
              <w:right w:val="nil"/>
            </w:tcBorders>
            <w:shd w:val="clear" w:color="auto" w:fill="auto"/>
            <w:noWrap/>
            <w:vAlign w:val="bottom"/>
            <w:hideMark/>
          </w:tcPr>
          <w:p w14:paraId="6175C117"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157</w:t>
            </w:r>
          </w:p>
        </w:tc>
        <w:tc>
          <w:tcPr>
            <w:tcW w:w="1288" w:type="dxa"/>
            <w:tcBorders>
              <w:top w:val="nil"/>
              <w:left w:val="nil"/>
              <w:bottom w:val="single" w:sz="4" w:space="0" w:color="auto"/>
              <w:right w:val="nil"/>
            </w:tcBorders>
            <w:shd w:val="clear" w:color="auto" w:fill="E5DFEC" w:themeFill="accent4" w:themeFillTint="33"/>
            <w:noWrap/>
            <w:vAlign w:val="bottom"/>
            <w:hideMark/>
          </w:tcPr>
          <w:p w14:paraId="7D7D8C4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238</w:t>
            </w:r>
          </w:p>
        </w:tc>
        <w:tc>
          <w:tcPr>
            <w:tcW w:w="1288" w:type="dxa"/>
            <w:tcBorders>
              <w:top w:val="nil"/>
              <w:left w:val="nil"/>
              <w:bottom w:val="single" w:sz="4" w:space="0" w:color="auto"/>
              <w:right w:val="nil"/>
            </w:tcBorders>
            <w:shd w:val="clear" w:color="auto" w:fill="auto"/>
            <w:noWrap/>
            <w:vAlign w:val="bottom"/>
            <w:hideMark/>
          </w:tcPr>
          <w:p w14:paraId="547AB84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209</w:t>
            </w:r>
          </w:p>
        </w:tc>
        <w:tc>
          <w:tcPr>
            <w:tcW w:w="1288" w:type="dxa"/>
            <w:tcBorders>
              <w:top w:val="nil"/>
              <w:left w:val="nil"/>
              <w:bottom w:val="single" w:sz="4" w:space="0" w:color="auto"/>
              <w:right w:val="nil"/>
            </w:tcBorders>
            <w:shd w:val="clear" w:color="auto" w:fill="E5DFEC" w:themeFill="accent4" w:themeFillTint="33"/>
            <w:noWrap/>
            <w:vAlign w:val="bottom"/>
            <w:hideMark/>
          </w:tcPr>
          <w:p w14:paraId="02FDA41E"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453</w:t>
            </w:r>
          </w:p>
        </w:tc>
        <w:tc>
          <w:tcPr>
            <w:tcW w:w="1288" w:type="dxa"/>
            <w:tcBorders>
              <w:top w:val="nil"/>
              <w:left w:val="nil"/>
              <w:bottom w:val="single" w:sz="4" w:space="0" w:color="auto"/>
              <w:right w:val="nil"/>
            </w:tcBorders>
            <w:shd w:val="clear" w:color="auto" w:fill="auto"/>
            <w:noWrap/>
            <w:vAlign w:val="bottom"/>
            <w:hideMark/>
          </w:tcPr>
          <w:p w14:paraId="578DB83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919</w:t>
            </w:r>
          </w:p>
        </w:tc>
        <w:tc>
          <w:tcPr>
            <w:tcW w:w="1288" w:type="dxa"/>
            <w:tcBorders>
              <w:top w:val="nil"/>
              <w:left w:val="nil"/>
              <w:bottom w:val="single" w:sz="4" w:space="0" w:color="auto"/>
              <w:right w:val="nil"/>
            </w:tcBorders>
            <w:shd w:val="clear" w:color="auto" w:fill="E5DFEC" w:themeFill="accent4" w:themeFillTint="33"/>
            <w:noWrap/>
            <w:vAlign w:val="bottom"/>
            <w:hideMark/>
          </w:tcPr>
          <w:p w14:paraId="72E0DAFD"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606</w:t>
            </w:r>
          </w:p>
        </w:tc>
        <w:tc>
          <w:tcPr>
            <w:tcW w:w="1288" w:type="dxa"/>
            <w:tcBorders>
              <w:top w:val="nil"/>
              <w:left w:val="nil"/>
              <w:bottom w:val="single" w:sz="4" w:space="0" w:color="auto"/>
              <w:right w:val="nil"/>
            </w:tcBorders>
            <w:shd w:val="clear" w:color="auto" w:fill="auto"/>
            <w:noWrap/>
            <w:vAlign w:val="bottom"/>
            <w:hideMark/>
          </w:tcPr>
          <w:p w14:paraId="373E17EB"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819</w:t>
            </w:r>
          </w:p>
        </w:tc>
        <w:tc>
          <w:tcPr>
            <w:tcW w:w="1288" w:type="dxa"/>
            <w:tcBorders>
              <w:top w:val="nil"/>
              <w:left w:val="nil"/>
              <w:bottom w:val="single" w:sz="4" w:space="0" w:color="auto"/>
              <w:right w:val="nil"/>
            </w:tcBorders>
            <w:shd w:val="clear" w:color="auto" w:fill="E5DFEC" w:themeFill="accent4" w:themeFillTint="33"/>
            <w:noWrap/>
            <w:vAlign w:val="bottom"/>
            <w:hideMark/>
          </w:tcPr>
          <w:p w14:paraId="64285D8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154</w:t>
            </w:r>
          </w:p>
        </w:tc>
        <w:tc>
          <w:tcPr>
            <w:tcW w:w="1288" w:type="dxa"/>
            <w:tcBorders>
              <w:top w:val="nil"/>
              <w:left w:val="nil"/>
              <w:bottom w:val="single" w:sz="4" w:space="0" w:color="auto"/>
              <w:right w:val="nil"/>
            </w:tcBorders>
            <w:shd w:val="clear" w:color="auto" w:fill="auto"/>
            <w:noWrap/>
            <w:vAlign w:val="bottom"/>
            <w:hideMark/>
          </w:tcPr>
          <w:p w14:paraId="7B98BEA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823</w:t>
            </w:r>
          </w:p>
        </w:tc>
        <w:tc>
          <w:tcPr>
            <w:tcW w:w="1289" w:type="dxa"/>
            <w:tcBorders>
              <w:top w:val="nil"/>
              <w:left w:val="nil"/>
              <w:bottom w:val="single" w:sz="4" w:space="0" w:color="auto"/>
              <w:right w:val="single" w:sz="4" w:space="0" w:color="auto"/>
            </w:tcBorders>
            <w:shd w:val="clear" w:color="auto" w:fill="E5DFEC" w:themeFill="accent4" w:themeFillTint="33"/>
            <w:noWrap/>
            <w:vAlign w:val="bottom"/>
            <w:hideMark/>
          </w:tcPr>
          <w:p w14:paraId="2DD64EB4"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452</w:t>
            </w:r>
          </w:p>
        </w:tc>
      </w:tr>
      <w:tr w:rsidR="00876EFC" w:rsidRPr="00DA0360" w14:paraId="4BFF4AA2"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477C5C55"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Sexual Abuse</w:t>
            </w:r>
          </w:p>
        </w:tc>
        <w:tc>
          <w:tcPr>
            <w:tcW w:w="1288" w:type="dxa"/>
            <w:tcBorders>
              <w:top w:val="nil"/>
              <w:left w:val="nil"/>
              <w:bottom w:val="nil"/>
              <w:right w:val="nil"/>
            </w:tcBorders>
            <w:shd w:val="clear" w:color="auto" w:fill="auto"/>
            <w:noWrap/>
            <w:vAlign w:val="bottom"/>
            <w:hideMark/>
          </w:tcPr>
          <w:p w14:paraId="08EEFB3B"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F2DBDB" w:themeFill="accent2" w:themeFillTint="33"/>
            <w:noWrap/>
            <w:vAlign w:val="bottom"/>
            <w:hideMark/>
          </w:tcPr>
          <w:p w14:paraId="5328AB73"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5A462A46"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F2DBDB" w:themeFill="accent2" w:themeFillTint="33"/>
            <w:noWrap/>
            <w:vAlign w:val="bottom"/>
            <w:hideMark/>
          </w:tcPr>
          <w:p w14:paraId="50D0B4EB"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71B96E04"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F2DBDB" w:themeFill="accent2" w:themeFillTint="33"/>
            <w:noWrap/>
            <w:vAlign w:val="bottom"/>
            <w:hideMark/>
          </w:tcPr>
          <w:p w14:paraId="71BE76B4"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32DCBCEB"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F2DBDB" w:themeFill="accent2" w:themeFillTint="33"/>
            <w:noWrap/>
            <w:vAlign w:val="bottom"/>
            <w:hideMark/>
          </w:tcPr>
          <w:p w14:paraId="59486201" w14:textId="77777777" w:rsidR="00876EFC" w:rsidRPr="00DA0360" w:rsidRDefault="00876EFC" w:rsidP="00CE2FDF">
            <w:pPr>
              <w:spacing w:before="0" w:line="276" w:lineRule="auto"/>
              <w:jc w:val="right"/>
              <w:rPr>
                <w:rFonts w:eastAsia="Times New Roman" w:cs="Arial"/>
                <w:b/>
                <w:color w:val="FF0000"/>
                <w:lang w:eastAsia="en-AU"/>
              </w:rPr>
            </w:pPr>
          </w:p>
        </w:tc>
        <w:tc>
          <w:tcPr>
            <w:tcW w:w="1288" w:type="dxa"/>
            <w:tcBorders>
              <w:top w:val="nil"/>
              <w:left w:val="nil"/>
              <w:bottom w:val="nil"/>
              <w:right w:val="nil"/>
            </w:tcBorders>
            <w:shd w:val="clear" w:color="auto" w:fill="auto"/>
            <w:noWrap/>
            <w:vAlign w:val="bottom"/>
            <w:hideMark/>
          </w:tcPr>
          <w:p w14:paraId="48E4AA03" w14:textId="77777777" w:rsidR="00876EFC" w:rsidRPr="00DA0360" w:rsidRDefault="00876EFC" w:rsidP="00CE2FDF">
            <w:pPr>
              <w:spacing w:before="0" w:line="276" w:lineRule="auto"/>
              <w:jc w:val="right"/>
              <w:rPr>
                <w:rFonts w:eastAsia="Times New Roman" w:cs="Arial"/>
                <w:b/>
                <w:color w:val="FF0000"/>
                <w:lang w:eastAsia="en-AU"/>
              </w:rPr>
            </w:pPr>
          </w:p>
        </w:tc>
        <w:tc>
          <w:tcPr>
            <w:tcW w:w="1289" w:type="dxa"/>
            <w:tcBorders>
              <w:top w:val="nil"/>
              <w:left w:val="nil"/>
              <w:bottom w:val="nil"/>
              <w:right w:val="single" w:sz="4" w:space="0" w:color="auto"/>
            </w:tcBorders>
            <w:shd w:val="clear" w:color="auto" w:fill="F2DBDB" w:themeFill="accent2" w:themeFillTint="33"/>
            <w:noWrap/>
            <w:vAlign w:val="bottom"/>
            <w:hideMark/>
          </w:tcPr>
          <w:p w14:paraId="075B1347"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0D7DE698"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1BDEF96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88" w:type="dxa"/>
            <w:tcBorders>
              <w:top w:val="nil"/>
              <w:left w:val="nil"/>
              <w:bottom w:val="nil"/>
              <w:right w:val="nil"/>
            </w:tcBorders>
            <w:shd w:val="clear" w:color="auto" w:fill="auto"/>
            <w:noWrap/>
            <w:vAlign w:val="bottom"/>
            <w:hideMark/>
          </w:tcPr>
          <w:p w14:paraId="5412A20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488</w:t>
            </w:r>
          </w:p>
        </w:tc>
        <w:tc>
          <w:tcPr>
            <w:tcW w:w="1288" w:type="dxa"/>
            <w:tcBorders>
              <w:top w:val="nil"/>
              <w:left w:val="nil"/>
              <w:bottom w:val="nil"/>
              <w:right w:val="nil"/>
            </w:tcBorders>
            <w:shd w:val="clear" w:color="auto" w:fill="F2DBDB" w:themeFill="accent2" w:themeFillTint="33"/>
            <w:noWrap/>
            <w:vAlign w:val="bottom"/>
            <w:hideMark/>
          </w:tcPr>
          <w:p w14:paraId="69DE0C6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473</w:t>
            </w:r>
          </w:p>
        </w:tc>
        <w:tc>
          <w:tcPr>
            <w:tcW w:w="1288" w:type="dxa"/>
            <w:tcBorders>
              <w:top w:val="nil"/>
              <w:left w:val="nil"/>
              <w:bottom w:val="nil"/>
              <w:right w:val="nil"/>
            </w:tcBorders>
            <w:shd w:val="clear" w:color="auto" w:fill="auto"/>
            <w:noWrap/>
            <w:vAlign w:val="bottom"/>
            <w:hideMark/>
          </w:tcPr>
          <w:p w14:paraId="068EB7E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503</w:t>
            </w:r>
          </w:p>
        </w:tc>
        <w:tc>
          <w:tcPr>
            <w:tcW w:w="1288" w:type="dxa"/>
            <w:tcBorders>
              <w:top w:val="nil"/>
              <w:left w:val="nil"/>
              <w:bottom w:val="nil"/>
              <w:right w:val="nil"/>
            </w:tcBorders>
            <w:shd w:val="clear" w:color="auto" w:fill="F2DBDB" w:themeFill="accent2" w:themeFillTint="33"/>
            <w:noWrap/>
            <w:vAlign w:val="bottom"/>
            <w:hideMark/>
          </w:tcPr>
          <w:p w14:paraId="2C32667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512</w:t>
            </w:r>
          </w:p>
        </w:tc>
        <w:tc>
          <w:tcPr>
            <w:tcW w:w="1288" w:type="dxa"/>
            <w:tcBorders>
              <w:top w:val="nil"/>
              <w:left w:val="nil"/>
              <w:bottom w:val="nil"/>
              <w:right w:val="nil"/>
            </w:tcBorders>
            <w:shd w:val="clear" w:color="auto" w:fill="auto"/>
            <w:noWrap/>
            <w:vAlign w:val="bottom"/>
            <w:hideMark/>
          </w:tcPr>
          <w:p w14:paraId="2491067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345</w:t>
            </w:r>
          </w:p>
        </w:tc>
        <w:tc>
          <w:tcPr>
            <w:tcW w:w="1288" w:type="dxa"/>
            <w:tcBorders>
              <w:top w:val="nil"/>
              <w:left w:val="nil"/>
              <w:bottom w:val="nil"/>
              <w:right w:val="nil"/>
            </w:tcBorders>
            <w:shd w:val="clear" w:color="auto" w:fill="F2DBDB" w:themeFill="accent2" w:themeFillTint="33"/>
            <w:noWrap/>
            <w:vAlign w:val="bottom"/>
            <w:hideMark/>
          </w:tcPr>
          <w:p w14:paraId="6AB2086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518</w:t>
            </w:r>
          </w:p>
        </w:tc>
        <w:tc>
          <w:tcPr>
            <w:tcW w:w="1288" w:type="dxa"/>
            <w:tcBorders>
              <w:top w:val="nil"/>
              <w:left w:val="nil"/>
              <w:bottom w:val="nil"/>
              <w:right w:val="nil"/>
            </w:tcBorders>
            <w:shd w:val="clear" w:color="auto" w:fill="auto"/>
            <w:noWrap/>
            <w:vAlign w:val="bottom"/>
            <w:hideMark/>
          </w:tcPr>
          <w:p w14:paraId="4AF8427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575</w:t>
            </w:r>
          </w:p>
        </w:tc>
        <w:tc>
          <w:tcPr>
            <w:tcW w:w="1288" w:type="dxa"/>
            <w:tcBorders>
              <w:top w:val="nil"/>
              <w:left w:val="nil"/>
              <w:bottom w:val="nil"/>
              <w:right w:val="nil"/>
            </w:tcBorders>
            <w:shd w:val="clear" w:color="auto" w:fill="F2DBDB" w:themeFill="accent2" w:themeFillTint="33"/>
            <w:noWrap/>
            <w:vAlign w:val="bottom"/>
            <w:hideMark/>
          </w:tcPr>
          <w:p w14:paraId="311A7ED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529</w:t>
            </w:r>
          </w:p>
        </w:tc>
        <w:tc>
          <w:tcPr>
            <w:tcW w:w="1288" w:type="dxa"/>
            <w:tcBorders>
              <w:top w:val="nil"/>
              <w:left w:val="nil"/>
              <w:bottom w:val="nil"/>
              <w:right w:val="nil"/>
            </w:tcBorders>
            <w:shd w:val="clear" w:color="auto" w:fill="auto"/>
            <w:noWrap/>
            <w:vAlign w:val="bottom"/>
            <w:hideMark/>
          </w:tcPr>
          <w:p w14:paraId="607FB22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705</w:t>
            </w:r>
          </w:p>
        </w:tc>
        <w:tc>
          <w:tcPr>
            <w:tcW w:w="1289" w:type="dxa"/>
            <w:tcBorders>
              <w:top w:val="nil"/>
              <w:left w:val="nil"/>
              <w:bottom w:val="nil"/>
              <w:right w:val="single" w:sz="4" w:space="0" w:color="auto"/>
            </w:tcBorders>
            <w:shd w:val="clear" w:color="auto" w:fill="F2DBDB" w:themeFill="accent2" w:themeFillTint="33"/>
            <w:noWrap/>
            <w:vAlign w:val="bottom"/>
            <w:hideMark/>
          </w:tcPr>
          <w:p w14:paraId="1DE24BA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207</w:t>
            </w:r>
          </w:p>
        </w:tc>
      </w:tr>
      <w:tr w:rsidR="000E61DB" w:rsidRPr="001565F1" w14:paraId="31F43D12"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32041848"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88" w:type="dxa"/>
            <w:tcBorders>
              <w:top w:val="nil"/>
              <w:left w:val="nil"/>
              <w:bottom w:val="nil"/>
              <w:right w:val="nil"/>
            </w:tcBorders>
            <w:shd w:val="clear" w:color="auto" w:fill="auto"/>
            <w:noWrap/>
            <w:vAlign w:val="bottom"/>
            <w:hideMark/>
          </w:tcPr>
          <w:p w14:paraId="62244B6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340</w:t>
            </w:r>
          </w:p>
        </w:tc>
        <w:tc>
          <w:tcPr>
            <w:tcW w:w="1288" w:type="dxa"/>
            <w:tcBorders>
              <w:top w:val="nil"/>
              <w:left w:val="nil"/>
              <w:bottom w:val="nil"/>
              <w:right w:val="nil"/>
            </w:tcBorders>
            <w:shd w:val="clear" w:color="auto" w:fill="F2DBDB" w:themeFill="accent2" w:themeFillTint="33"/>
            <w:noWrap/>
            <w:vAlign w:val="bottom"/>
            <w:hideMark/>
          </w:tcPr>
          <w:p w14:paraId="256ED3E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368</w:t>
            </w:r>
          </w:p>
        </w:tc>
        <w:tc>
          <w:tcPr>
            <w:tcW w:w="1288" w:type="dxa"/>
            <w:tcBorders>
              <w:top w:val="nil"/>
              <w:left w:val="nil"/>
              <w:bottom w:val="nil"/>
              <w:right w:val="nil"/>
            </w:tcBorders>
            <w:shd w:val="clear" w:color="auto" w:fill="auto"/>
            <w:noWrap/>
            <w:vAlign w:val="bottom"/>
            <w:hideMark/>
          </w:tcPr>
          <w:p w14:paraId="27C3A14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433</w:t>
            </w:r>
          </w:p>
        </w:tc>
        <w:tc>
          <w:tcPr>
            <w:tcW w:w="1288" w:type="dxa"/>
            <w:tcBorders>
              <w:top w:val="nil"/>
              <w:left w:val="nil"/>
              <w:bottom w:val="nil"/>
              <w:right w:val="nil"/>
            </w:tcBorders>
            <w:shd w:val="clear" w:color="auto" w:fill="F2DBDB" w:themeFill="accent2" w:themeFillTint="33"/>
            <w:noWrap/>
            <w:vAlign w:val="bottom"/>
            <w:hideMark/>
          </w:tcPr>
          <w:p w14:paraId="170E02C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298</w:t>
            </w:r>
          </w:p>
        </w:tc>
        <w:tc>
          <w:tcPr>
            <w:tcW w:w="1288" w:type="dxa"/>
            <w:tcBorders>
              <w:top w:val="nil"/>
              <w:left w:val="nil"/>
              <w:bottom w:val="nil"/>
              <w:right w:val="nil"/>
            </w:tcBorders>
            <w:shd w:val="clear" w:color="auto" w:fill="auto"/>
            <w:noWrap/>
            <w:vAlign w:val="bottom"/>
            <w:hideMark/>
          </w:tcPr>
          <w:p w14:paraId="0F8D1656" w14:textId="77777777" w:rsidR="000E61DB" w:rsidRPr="001565F1" w:rsidRDefault="005B447F" w:rsidP="00CE2FDF">
            <w:pPr>
              <w:spacing w:before="0" w:line="276" w:lineRule="auto"/>
              <w:jc w:val="right"/>
              <w:rPr>
                <w:rFonts w:eastAsia="Times New Roman" w:cs="Arial"/>
                <w:color w:val="000000"/>
                <w:lang w:eastAsia="en-AU"/>
              </w:rPr>
            </w:pPr>
            <w:r>
              <w:rPr>
                <w:rFonts w:eastAsia="Times New Roman" w:cs="Arial"/>
                <w:color w:val="000000"/>
                <w:lang w:eastAsia="en-AU"/>
              </w:rPr>
              <w:t>353</w:t>
            </w:r>
          </w:p>
        </w:tc>
        <w:tc>
          <w:tcPr>
            <w:tcW w:w="1288" w:type="dxa"/>
            <w:tcBorders>
              <w:top w:val="nil"/>
              <w:left w:val="nil"/>
              <w:bottom w:val="nil"/>
              <w:right w:val="nil"/>
            </w:tcBorders>
            <w:shd w:val="clear" w:color="auto" w:fill="F2DBDB" w:themeFill="accent2" w:themeFillTint="33"/>
            <w:noWrap/>
            <w:vAlign w:val="bottom"/>
            <w:hideMark/>
          </w:tcPr>
          <w:p w14:paraId="329EA1C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277</w:t>
            </w:r>
          </w:p>
        </w:tc>
        <w:tc>
          <w:tcPr>
            <w:tcW w:w="1288" w:type="dxa"/>
            <w:tcBorders>
              <w:top w:val="nil"/>
              <w:left w:val="nil"/>
              <w:bottom w:val="nil"/>
              <w:right w:val="nil"/>
            </w:tcBorders>
            <w:shd w:val="clear" w:color="auto" w:fill="auto"/>
            <w:noWrap/>
            <w:vAlign w:val="bottom"/>
            <w:hideMark/>
          </w:tcPr>
          <w:p w14:paraId="0AB0520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344</w:t>
            </w:r>
          </w:p>
        </w:tc>
        <w:tc>
          <w:tcPr>
            <w:tcW w:w="1288" w:type="dxa"/>
            <w:tcBorders>
              <w:top w:val="nil"/>
              <w:left w:val="nil"/>
              <w:bottom w:val="nil"/>
              <w:right w:val="nil"/>
            </w:tcBorders>
            <w:shd w:val="clear" w:color="auto" w:fill="F2DBDB" w:themeFill="accent2" w:themeFillTint="33"/>
            <w:noWrap/>
            <w:vAlign w:val="bottom"/>
            <w:hideMark/>
          </w:tcPr>
          <w:p w14:paraId="2947225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517</w:t>
            </w:r>
          </w:p>
        </w:tc>
        <w:tc>
          <w:tcPr>
            <w:tcW w:w="1288" w:type="dxa"/>
            <w:tcBorders>
              <w:top w:val="nil"/>
              <w:left w:val="nil"/>
              <w:bottom w:val="nil"/>
              <w:right w:val="nil"/>
            </w:tcBorders>
            <w:shd w:val="clear" w:color="auto" w:fill="auto"/>
            <w:noWrap/>
            <w:vAlign w:val="bottom"/>
            <w:hideMark/>
          </w:tcPr>
          <w:p w14:paraId="28FC667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066</w:t>
            </w:r>
          </w:p>
        </w:tc>
        <w:tc>
          <w:tcPr>
            <w:tcW w:w="1289" w:type="dxa"/>
            <w:tcBorders>
              <w:top w:val="nil"/>
              <w:left w:val="nil"/>
              <w:bottom w:val="nil"/>
              <w:right w:val="single" w:sz="4" w:space="0" w:color="auto"/>
            </w:tcBorders>
            <w:shd w:val="clear" w:color="auto" w:fill="F2DBDB" w:themeFill="accent2" w:themeFillTint="33"/>
            <w:noWrap/>
            <w:vAlign w:val="bottom"/>
            <w:hideMark/>
          </w:tcPr>
          <w:p w14:paraId="75F4231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573</w:t>
            </w:r>
          </w:p>
        </w:tc>
      </w:tr>
      <w:tr w:rsidR="00876EFC" w:rsidRPr="001565F1" w14:paraId="47B0A945"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01D7A918"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88" w:type="dxa"/>
            <w:tcBorders>
              <w:top w:val="nil"/>
              <w:left w:val="nil"/>
              <w:bottom w:val="nil"/>
              <w:right w:val="nil"/>
            </w:tcBorders>
            <w:shd w:val="clear" w:color="auto" w:fill="auto"/>
            <w:noWrap/>
            <w:vAlign w:val="bottom"/>
            <w:hideMark/>
          </w:tcPr>
          <w:p w14:paraId="497EB11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192</w:t>
            </w:r>
          </w:p>
        </w:tc>
        <w:tc>
          <w:tcPr>
            <w:tcW w:w="1288" w:type="dxa"/>
            <w:tcBorders>
              <w:top w:val="nil"/>
              <w:left w:val="nil"/>
              <w:bottom w:val="nil"/>
              <w:right w:val="nil"/>
            </w:tcBorders>
            <w:shd w:val="clear" w:color="auto" w:fill="F2DBDB" w:themeFill="accent2" w:themeFillTint="33"/>
            <w:noWrap/>
            <w:vAlign w:val="bottom"/>
            <w:hideMark/>
          </w:tcPr>
          <w:p w14:paraId="1C5DBCF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213</w:t>
            </w:r>
          </w:p>
        </w:tc>
        <w:tc>
          <w:tcPr>
            <w:tcW w:w="1288" w:type="dxa"/>
            <w:tcBorders>
              <w:top w:val="nil"/>
              <w:left w:val="nil"/>
              <w:bottom w:val="nil"/>
              <w:right w:val="nil"/>
            </w:tcBorders>
            <w:shd w:val="clear" w:color="auto" w:fill="auto"/>
            <w:noWrap/>
            <w:vAlign w:val="bottom"/>
            <w:hideMark/>
          </w:tcPr>
          <w:p w14:paraId="5327443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215</w:t>
            </w:r>
          </w:p>
        </w:tc>
        <w:tc>
          <w:tcPr>
            <w:tcW w:w="1288" w:type="dxa"/>
            <w:tcBorders>
              <w:top w:val="nil"/>
              <w:left w:val="nil"/>
              <w:bottom w:val="nil"/>
              <w:right w:val="nil"/>
            </w:tcBorders>
            <w:shd w:val="clear" w:color="auto" w:fill="F2DBDB" w:themeFill="accent2" w:themeFillTint="33"/>
            <w:noWrap/>
            <w:vAlign w:val="bottom"/>
            <w:hideMark/>
          </w:tcPr>
          <w:p w14:paraId="2471E9A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161</w:t>
            </w:r>
          </w:p>
        </w:tc>
        <w:tc>
          <w:tcPr>
            <w:tcW w:w="1288" w:type="dxa"/>
            <w:tcBorders>
              <w:top w:val="nil"/>
              <w:left w:val="nil"/>
              <w:bottom w:val="nil"/>
              <w:right w:val="nil"/>
            </w:tcBorders>
            <w:shd w:val="clear" w:color="auto" w:fill="auto"/>
            <w:noWrap/>
            <w:vAlign w:val="bottom"/>
            <w:hideMark/>
          </w:tcPr>
          <w:p w14:paraId="411E3B95" w14:textId="77777777" w:rsidR="00876EFC" w:rsidRPr="001565F1" w:rsidRDefault="005B447F" w:rsidP="00CE2FDF">
            <w:pPr>
              <w:spacing w:before="0" w:line="276" w:lineRule="auto"/>
              <w:jc w:val="right"/>
              <w:rPr>
                <w:rFonts w:eastAsia="Times New Roman" w:cs="Arial"/>
                <w:color w:val="000000"/>
                <w:lang w:eastAsia="en-AU"/>
              </w:rPr>
            </w:pPr>
            <w:r>
              <w:rPr>
                <w:rFonts w:eastAsia="Times New Roman" w:cs="Arial"/>
                <w:color w:val="000000"/>
                <w:lang w:eastAsia="en-AU"/>
              </w:rPr>
              <w:t>193</w:t>
            </w:r>
          </w:p>
        </w:tc>
        <w:tc>
          <w:tcPr>
            <w:tcW w:w="1288" w:type="dxa"/>
            <w:tcBorders>
              <w:top w:val="nil"/>
              <w:left w:val="nil"/>
              <w:bottom w:val="nil"/>
              <w:right w:val="nil"/>
            </w:tcBorders>
            <w:shd w:val="clear" w:color="auto" w:fill="F2DBDB" w:themeFill="accent2" w:themeFillTint="33"/>
            <w:noWrap/>
            <w:vAlign w:val="bottom"/>
            <w:hideMark/>
          </w:tcPr>
          <w:p w14:paraId="3FE0A3A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151</w:t>
            </w:r>
          </w:p>
        </w:tc>
        <w:tc>
          <w:tcPr>
            <w:tcW w:w="1288" w:type="dxa"/>
            <w:tcBorders>
              <w:top w:val="nil"/>
              <w:left w:val="nil"/>
              <w:bottom w:val="nil"/>
              <w:right w:val="nil"/>
            </w:tcBorders>
            <w:shd w:val="clear" w:color="auto" w:fill="auto"/>
            <w:noWrap/>
            <w:vAlign w:val="bottom"/>
            <w:hideMark/>
          </w:tcPr>
          <w:p w14:paraId="27F27C4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200</w:t>
            </w:r>
          </w:p>
        </w:tc>
        <w:tc>
          <w:tcPr>
            <w:tcW w:w="1288" w:type="dxa"/>
            <w:tcBorders>
              <w:top w:val="nil"/>
              <w:left w:val="nil"/>
              <w:bottom w:val="nil"/>
              <w:right w:val="nil"/>
            </w:tcBorders>
            <w:shd w:val="clear" w:color="auto" w:fill="F2DBDB" w:themeFill="accent2" w:themeFillTint="33"/>
            <w:noWrap/>
            <w:vAlign w:val="bottom"/>
            <w:hideMark/>
          </w:tcPr>
          <w:p w14:paraId="1C95B3D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399</w:t>
            </w:r>
          </w:p>
        </w:tc>
        <w:tc>
          <w:tcPr>
            <w:tcW w:w="1288" w:type="dxa"/>
            <w:tcBorders>
              <w:top w:val="nil"/>
              <w:left w:val="nil"/>
              <w:bottom w:val="nil"/>
              <w:right w:val="nil"/>
            </w:tcBorders>
            <w:shd w:val="clear" w:color="auto" w:fill="auto"/>
            <w:noWrap/>
            <w:vAlign w:val="bottom"/>
            <w:hideMark/>
          </w:tcPr>
          <w:p w14:paraId="3621EE7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424</w:t>
            </w:r>
          </w:p>
        </w:tc>
        <w:tc>
          <w:tcPr>
            <w:tcW w:w="1289" w:type="dxa"/>
            <w:tcBorders>
              <w:top w:val="nil"/>
              <w:left w:val="nil"/>
              <w:bottom w:val="nil"/>
              <w:right w:val="single" w:sz="4" w:space="0" w:color="auto"/>
            </w:tcBorders>
            <w:shd w:val="clear" w:color="auto" w:fill="F2DBDB" w:themeFill="accent2" w:themeFillTint="33"/>
            <w:noWrap/>
            <w:vAlign w:val="bottom"/>
            <w:hideMark/>
          </w:tcPr>
          <w:p w14:paraId="4EC71D0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689</w:t>
            </w:r>
          </w:p>
        </w:tc>
      </w:tr>
      <w:tr w:rsidR="00876EFC" w:rsidRPr="001565F1" w14:paraId="51310ADD" w14:textId="77777777" w:rsidTr="00561E44">
        <w:trPr>
          <w:trHeight w:val="204"/>
        </w:trPr>
        <w:tc>
          <w:tcPr>
            <w:tcW w:w="1876" w:type="dxa"/>
            <w:tcBorders>
              <w:top w:val="nil"/>
              <w:left w:val="single" w:sz="4" w:space="0" w:color="auto"/>
              <w:bottom w:val="nil"/>
              <w:right w:val="nil"/>
            </w:tcBorders>
            <w:shd w:val="clear" w:color="auto" w:fill="F2DBDB" w:themeFill="accent2" w:themeFillTint="33"/>
            <w:noWrap/>
            <w:vAlign w:val="bottom"/>
            <w:hideMark/>
          </w:tcPr>
          <w:p w14:paraId="5F5AAA36"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88" w:type="dxa"/>
            <w:tcBorders>
              <w:top w:val="nil"/>
              <w:left w:val="nil"/>
              <w:bottom w:val="nil"/>
              <w:right w:val="nil"/>
            </w:tcBorders>
            <w:shd w:val="clear" w:color="auto" w:fill="auto"/>
            <w:noWrap/>
            <w:vAlign w:val="bottom"/>
            <w:hideMark/>
          </w:tcPr>
          <w:p w14:paraId="3440B3E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148</w:t>
            </w:r>
          </w:p>
        </w:tc>
        <w:tc>
          <w:tcPr>
            <w:tcW w:w="1288" w:type="dxa"/>
            <w:tcBorders>
              <w:top w:val="nil"/>
              <w:left w:val="nil"/>
              <w:bottom w:val="nil"/>
              <w:right w:val="nil"/>
            </w:tcBorders>
            <w:shd w:val="clear" w:color="auto" w:fill="F2DBDB" w:themeFill="accent2" w:themeFillTint="33"/>
            <w:noWrap/>
            <w:vAlign w:val="bottom"/>
            <w:hideMark/>
          </w:tcPr>
          <w:p w14:paraId="3142A06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155</w:t>
            </w:r>
          </w:p>
        </w:tc>
        <w:tc>
          <w:tcPr>
            <w:tcW w:w="1288" w:type="dxa"/>
            <w:tcBorders>
              <w:top w:val="nil"/>
              <w:left w:val="nil"/>
              <w:bottom w:val="nil"/>
              <w:right w:val="nil"/>
            </w:tcBorders>
            <w:shd w:val="clear" w:color="auto" w:fill="auto"/>
            <w:noWrap/>
            <w:vAlign w:val="bottom"/>
            <w:hideMark/>
          </w:tcPr>
          <w:p w14:paraId="6410501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218</w:t>
            </w:r>
          </w:p>
        </w:tc>
        <w:tc>
          <w:tcPr>
            <w:tcW w:w="1288" w:type="dxa"/>
            <w:tcBorders>
              <w:top w:val="nil"/>
              <w:left w:val="nil"/>
              <w:bottom w:val="nil"/>
              <w:right w:val="nil"/>
            </w:tcBorders>
            <w:shd w:val="clear" w:color="auto" w:fill="F2DBDB" w:themeFill="accent2" w:themeFillTint="33"/>
            <w:noWrap/>
            <w:vAlign w:val="bottom"/>
            <w:hideMark/>
          </w:tcPr>
          <w:p w14:paraId="60DD061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137</w:t>
            </w:r>
          </w:p>
        </w:tc>
        <w:tc>
          <w:tcPr>
            <w:tcW w:w="1288" w:type="dxa"/>
            <w:tcBorders>
              <w:top w:val="nil"/>
              <w:left w:val="nil"/>
              <w:bottom w:val="nil"/>
              <w:right w:val="nil"/>
            </w:tcBorders>
            <w:shd w:val="clear" w:color="auto" w:fill="auto"/>
            <w:noWrap/>
            <w:vAlign w:val="bottom"/>
            <w:hideMark/>
          </w:tcPr>
          <w:p w14:paraId="1A3FF06F" w14:textId="77777777" w:rsidR="00876EFC" w:rsidRPr="001565F1" w:rsidRDefault="005B447F" w:rsidP="00CE2FDF">
            <w:pPr>
              <w:spacing w:before="0" w:line="276" w:lineRule="auto"/>
              <w:jc w:val="right"/>
              <w:rPr>
                <w:rFonts w:eastAsia="Times New Roman" w:cs="Arial"/>
                <w:color w:val="000000"/>
                <w:lang w:eastAsia="en-AU"/>
              </w:rPr>
            </w:pPr>
            <w:r>
              <w:rPr>
                <w:rFonts w:eastAsia="Times New Roman" w:cs="Arial"/>
                <w:color w:val="000000"/>
                <w:lang w:eastAsia="en-AU"/>
              </w:rPr>
              <w:t>158</w:t>
            </w:r>
          </w:p>
        </w:tc>
        <w:tc>
          <w:tcPr>
            <w:tcW w:w="1288" w:type="dxa"/>
            <w:tcBorders>
              <w:top w:val="nil"/>
              <w:left w:val="nil"/>
              <w:bottom w:val="nil"/>
              <w:right w:val="nil"/>
            </w:tcBorders>
            <w:shd w:val="clear" w:color="auto" w:fill="F2DBDB" w:themeFill="accent2" w:themeFillTint="33"/>
            <w:noWrap/>
            <w:vAlign w:val="bottom"/>
            <w:hideMark/>
          </w:tcPr>
          <w:p w14:paraId="21F795C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126</w:t>
            </w:r>
          </w:p>
        </w:tc>
        <w:tc>
          <w:tcPr>
            <w:tcW w:w="1288" w:type="dxa"/>
            <w:tcBorders>
              <w:top w:val="nil"/>
              <w:left w:val="nil"/>
              <w:bottom w:val="nil"/>
              <w:right w:val="nil"/>
            </w:tcBorders>
            <w:shd w:val="clear" w:color="auto" w:fill="auto"/>
            <w:noWrap/>
            <w:vAlign w:val="bottom"/>
            <w:hideMark/>
          </w:tcPr>
          <w:p w14:paraId="32391F9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144</w:t>
            </w:r>
          </w:p>
        </w:tc>
        <w:tc>
          <w:tcPr>
            <w:tcW w:w="1288" w:type="dxa"/>
            <w:tcBorders>
              <w:top w:val="nil"/>
              <w:left w:val="nil"/>
              <w:bottom w:val="nil"/>
              <w:right w:val="nil"/>
            </w:tcBorders>
            <w:shd w:val="clear" w:color="auto" w:fill="F2DBDB" w:themeFill="accent2" w:themeFillTint="33"/>
            <w:noWrap/>
            <w:vAlign w:val="bottom"/>
            <w:hideMark/>
          </w:tcPr>
          <w:p w14:paraId="547E0E8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118</w:t>
            </w:r>
          </w:p>
        </w:tc>
        <w:tc>
          <w:tcPr>
            <w:tcW w:w="1288" w:type="dxa"/>
            <w:tcBorders>
              <w:top w:val="nil"/>
              <w:left w:val="nil"/>
              <w:bottom w:val="nil"/>
              <w:right w:val="nil"/>
            </w:tcBorders>
            <w:shd w:val="clear" w:color="auto" w:fill="auto"/>
            <w:noWrap/>
            <w:vAlign w:val="bottom"/>
            <w:hideMark/>
          </w:tcPr>
          <w:p w14:paraId="0300BBC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642</w:t>
            </w:r>
          </w:p>
        </w:tc>
        <w:tc>
          <w:tcPr>
            <w:tcW w:w="1289" w:type="dxa"/>
            <w:tcBorders>
              <w:top w:val="nil"/>
              <w:left w:val="nil"/>
              <w:bottom w:val="nil"/>
              <w:right w:val="single" w:sz="4" w:space="0" w:color="auto"/>
            </w:tcBorders>
            <w:shd w:val="clear" w:color="auto" w:fill="F2DBDB" w:themeFill="accent2" w:themeFillTint="33"/>
            <w:noWrap/>
            <w:vAlign w:val="bottom"/>
            <w:hideMark/>
          </w:tcPr>
          <w:p w14:paraId="4E3137A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884</w:t>
            </w:r>
          </w:p>
        </w:tc>
      </w:tr>
      <w:tr w:rsidR="00876EFC" w:rsidRPr="00DA0360" w14:paraId="0E02998A" w14:textId="77777777" w:rsidTr="00561E44">
        <w:trPr>
          <w:trHeight w:val="204"/>
        </w:trPr>
        <w:tc>
          <w:tcPr>
            <w:tcW w:w="1876" w:type="dxa"/>
            <w:tcBorders>
              <w:top w:val="nil"/>
              <w:left w:val="single" w:sz="4" w:space="0" w:color="auto"/>
              <w:bottom w:val="single" w:sz="4" w:space="0" w:color="auto"/>
              <w:right w:val="nil"/>
            </w:tcBorders>
            <w:shd w:val="clear" w:color="auto" w:fill="F2DBDB" w:themeFill="accent2" w:themeFillTint="33"/>
            <w:noWrap/>
            <w:vAlign w:val="bottom"/>
            <w:hideMark/>
          </w:tcPr>
          <w:p w14:paraId="617AA12A"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88" w:type="dxa"/>
            <w:tcBorders>
              <w:top w:val="nil"/>
              <w:left w:val="nil"/>
              <w:bottom w:val="single" w:sz="4" w:space="0" w:color="auto"/>
              <w:right w:val="nil"/>
            </w:tcBorders>
            <w:shd w:val="clear" w:color="auto" w:fill="auto"/>
            <w:noWrap/>
            <w:vAlign w:val="bottom"/>
            <w:hideMark/>
          </w:tcPr>
          <w:p w14:paraId="3885C324"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828</w:t>
            </w:r>
          </w:p>
        </w:tc>
        <w:tc>
          <w:tcPr>
            <w:tcW w:w="1288" w:type="dxa"/>
            <w:tcBorders>
              <w:top w:val="nil"/>
              <w:left w:val="nil"/>
              <w:bottom w:val="single" w:sz="4" w:space="0" w:color="auto"/>
              <w:right w:val="nil"/>
            </w:tcBorders>
            <w:shd w:val="clear" w:color="auto" w:fill="F2DBDB" w:themeFill="accent2" w:themeFillTint="33"/>
            <w:noWrap/>
            <w:vAlign w:val="bottom"/>
            <w:hideMark/>
          </w:tcPr>
          <w:p w14:paraId="7E9C11B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841</w:t>
            </w:r>
          </w:p>
        </w:tc>
        <w:tc>
          <w:tcPr>
            <w:tcW w:w="1288" w:type="dxa"/>
            <w:tcBorders>
              <w:top w:val="nil"/>
              <w:left w:val="nil"/>
              <w:bottom w:val="single" w:sz="4" w:space="0" w:color="auto"/>
              <w:right w:val="nil"/>
            </w:tcBorders>
            <w:shd w:val="clear" w:color="auto" w:fill="auto"/>
            <w:noWrap/>
            <w:vAlign w:val="bottom"/>
            <w:hideMark/>
          </w:tcPr>
          <w:p w14:paraId="4460B14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936</w:t>
            </w:r>
          </w:p>
        </w:tc>
        <w:tc>
          <w:tcPr>
            <w:tcW w:w="1288" w:type="dxa"/>
            <w:tcBorders>
              <w:top w:val="nil"/>
              <w:left w:val="nil"/>
              <w:bottom w:val="single" w:sz="4" w:space="0" w:color="auto"/>
              <w:right w:val="nil"/>
            </w:tcBorders>
            <w:shd w:val="clear" w:color="auto" w:fill="F2DBDB" w:themeFill="accent2" w:themeFillTint="33"/>
            <w:noWrap/>
            <w:vAlign w:val="bottom"/>
            <w:hideMark/>
          </w:tcPr>
          <w:p w14:paraId="4C7E17A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810</w:t>
            </w:r>
          </w:p>
        </w:tc>
        <w:tc>
          <w:tcPr>
            <w:tcW w:w="1288" w:type="dxa"/>
            <w:tcBorders>
              <w:top w:val="nil"/>
              <w:left w:val="nil"/>
              <w:bottom w:val="single" w:sz="4" w:space="0" w:color="auto"/>
              <w:right w:val="nil"/>
            </w:tcBorders>
            <w:shd w:val="clear" w:color="auto" w:fill="auto"/>
            <w:noWrap/>
            <w:vAlign w:val="bottom"/>
            <w:hideMark/>
          </w:tcPr>
          <w:p w14:paraId="1C5E7594" w14:textId="77777777" w:rsidR="00876EFC" w:rsidRPr="00DA0360" w:rsidRDefault="005B447F" w:rsidP="00CE2FDF">
            <w:pPr>
              <w:spacing w:before="0" w:line="276" w:lineRule="auto"/>
              <w:jc w:val="right"/>
              <w:rPr>
                <w:rFonts w:eastAsia="Times New Roman" w:cs="Arial"/>
                <w:b/>
                <w:color w:val="000000"/>
                <w:lang w:eastAsia="en-AU"/>
              </w:rPr>
            </w:pPr>
            <w:r>
              <w:rPr>
                <w:rFonts w:eastAsia="Times New Roman" w:cs="Arial"/>
                <w:b/>
                <w:color w:val="000000"/>
                <w:lang w:eastAsia="en-AU"/>
              </w:rPr>
              <w:t>698</w:t>
            </w:r>
          </w:p>
        </w:tc>
        <w:tc>
          <w:tcPr>
            <w:tcW w:w="1288" w:type="dxa"/>
            <w:tcBorders>
              <w:top w:val="nil"/>
              <w:left w:val="nil"/>
              <w:bottom w:val="single" w:sz="4" w:space="0" w:color="auto"/>
              <w:right w:val="nil"/>
            </w:tcBorders>
            <w:shd w:val="clear" w:color="auto" w:fill="F2DBDB" w:themeFill="accent2" w:themeFillTint="33"/>
            <w:noWrap/>
            <w:vAlign w:val="bottom"/>
            <w:hideMark/>
          </w:tcPr>
          <w:p w14:paraId="6ED177AB"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795</w:t>
            </w:r>
          </w:p>
        </w:tc>
        <w:tc>
          <w:tcPr>
            <w:tcW w:w="1288" w:type="dxa"/>
            <w:tcBorders>
              <w:top w:val="nil"/>
              <w:left w:val="nil"/>
              <w:bottom w:val="single" w:sz="4" w:space="0" w:color="auto"/>
              <w:right w:val="nil"/>
            </w:tcBorders>
            <w:shd w:val="clear" w:color="auto" w:fill="auto"/>
            <w:noWrap/>
            <w:vAlign w:val="bottom"/>
            <w:hideMark/>
          </w:tcPr>
          <w:p w14:paraId="74E8D13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919</w:t>
            </w:r>
          </w:p>
        </w:tc>
        <w:tc>
          <w:tcPr>
            <w:tcW w:w="1288" w:type="dxa"/>
            <w:tcBorders>
              <w:top w:val="nil"/>
              <w:left w:val="nil"/>
              <w:bottom w:val="single" w:sz="4" w:space="0" w:color="auto"/>
              <w:right w:val="nil"/>
            </w:tcBorders>
            <w:shd w:val="clear" w:color="auto" w:fill="F2DBDB" w:themeFill="accent2" w:themeFillTint="33"/>
            <w:noWrap/>
            <w:vAlign w:val="bottom"/>
            <w:hideMark/>
          </w:tcPr>
          <w:p w14:paraId="22AEC24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046</w:t>
            </w:r>
          </w:p>
        </w:tc>
        <w:tc>
          <w:tcPr>
            <w:tcW w:w="1288" w:type="dxa"/>
            <w:tcBorders>
              <w:top w:val="nil"/>
              <w:left w:val="nil"/>
              <w:bottom w:val="single" w:sz="4" w:space="0" w:color="auto"/>
              <w:right w:val="nil"/>
            </w:tcBorders>
            <w:shd w:val="clear" w:color="auto" w:fill="auto"/>
            <w:noWrap/>
            <w:vAlign w:val="bottom"/>
            <w:hideMark/>
          </w:tcPr>
          <w:p w14:paraId="256030E1"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771</w:t>
            </w:r>
          </w:p>
        </w:tc>
        <w:tc>
          <w:tcPr>
            <w:tcW w:w="1289" w:type="dxa"/>
            <w:tcBorders>
              <w:top w:val="nil"/>
              <w:left w:val="nil"/>
              <w:bottom w:val="single" w:sz="4" w:space="0" w:color="auto"/>
              <w:right w:val="single" w:sz="4" w:space="0" w:color="auto"/>
            </w:tcBorders>
            <w:shd w:val="clear" w:color="auto" w:fill="F2DBDB" w:themeFill="accent2" w:themeFillTint="33"/>
            <w:noWrap/>
            <w:vAlign w:val="bottom"/>
            <w:hideMark/>
          </w:tcPr>
          <w:p w14:paraId="763FF0B7"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780</w:t>
            </w:r>
          </w:p>
        </w:tc>
      </w:tr>
    </w:tbl>
    <w:p w14:paraId="7D9545BC" w14:textId="77777777" w:rsidR="00441F98" w:rsidRDefault="00441F98" w:rsidP="0095311F">
      <w:pPr>
        <w:pStyle w:val="Figureheading"/>
      </w:pPr>
      <w:bookmarkStart w:id="90" w:name="_Toc382206779"/>
      <w:r>
        <w:lastRenderedPageBreak/>
        <w:t>2.6.6</w:t>
      </w:r>
      <w:r>
        <w:tab/>
        <w:t xml:space="preserve">Number of reports by school personnel, </w:t>
      </w:r>
      <w:bookmarkEnd w:id="90"/>
      <w:r>
        <w:t>by year, abuse type, and outcome</w:t>
      </w:r>
    </w:p>
    <w:tbl>
      <w:tblPr>
        <w:tblW w:w="14899" w:type="dxa"/>
        <w:tblInd w:w="93" w:type="dxa"/>
        <w:tblLayout w:type="fixed"/>
        <w:tblLook w:val="04A0" w:firstRow="1" w:lastRow="0" w:firstColumn="1" w:lastColumn="0" w:noHBand="0" w:noVBand="1"/>
      </w:tblPr>
      <w:tblGrid>
        <w:gridCol w:w="1858"/>
        <w:gridCol w:w="1163"/>
        <w:gridCol w:w="1320"/>
        <w:gridCol w:w="1320"/>
        <w:gridCol w:w="1319"/>
        <w:gridCol w:w="1320"/>
        <w:gridCol w:w="1320"/>
        <w:gridCol w:w="1319"/>
        <w:gridCol w:w="1320"/>
        <w:gridCol w:w="1320"/>
        <w:gridCol w:w="1320"/>
      </w:tblGrid>
      <w:tr w:rsidR="00876EFC" w:rsidRPr="001565F1" w14:paraId="7B9957A7" w14:textId="77777777" w:rsidTr="00F2448E">
        <w:trPr>
          <w:trHeight w:val="204"/>
        </w:trPr>
        <w:tc>
          <w:tcPr>
            <w:tcW w:w="1858"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2A14464" w14:textId="77777777" w:rsidR="00876EFC" w:rsidRPr="001565F1" w:rsidRDefault="00876EFC" w:rsidP="00CE2FDF">
            <w:pPr>
              <w:spacing w:before="0" w:line="276" w:lineRule="auto"/>
              <w:rPr>
                <w:rFonts w:eastAsia="Times New Roman" w:cs="Arial"/>
                <w:b/>
                <w:bCs/>
                <w:color w:val="000000"/>
                <w:lang w:eastAsia="en-AU"/>
              </w:rPr>
            </w:pPr>
          </w:p>
        </w:tc>
        <w:tc>
          <w:tcPr>
            <w:tcW w:w="1163" w:type="dxa"/>
            <w:tcBorders>
              <w:top w:val="single" w:sz="4" w:space="0" w:color="auto"/>
              <w:left w:val="nil"/>
              <w:bottom w:val="single" w:sz="4" w:space="0" w:color="auto"/>
              <w:right w:val="nil"/>
            </w:tcBorders>
            <w:shd w:val="clear" w:color="auto" w:fill="D9D9D9" w:themeFill="background1" w:themeFillShade="D9"/>
            <w:noWrap/>
            <w:vAlign w:val="bottom"/>
            <w:hideMark/>
          </w:tcPr>
          <w:p w14:paraId="5FC99D59"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320" w:type="dxa"/>
            <w:tcBorders>
              <w:top w:val="single" w:sz="4" w:space="0" w:color="auto"/>
              <w:left w:val="nil"/>
              <w:bottom w:val="single" w:sz="4" w:space="0" w:color="auto"/>
              <w:right w:val="nil"/>
            </w:tcBorders>
            <w:shd w:val="clear" w:color="auto" w:fill="D9D9D9" w:themeFill="background1" w:themeFillShade="D9"/>
            <w:noWrap/>
            <w:vAlign w:val="bottom"/>
            <w:hideMark/>
          </w:tcPr>
          <w:p w14:paraId="54A6442F"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320" w:type="dxa"/>
            <w:tcBorders>
              <w:top w:val="single" w:sz="4" w:space="0" w:color="auto"/>
              <w:left w:val="nil"/>
              <w:bottom w:val="single" w:sz="4" w:space="0" w:color="auto"/>
              <w:right w:val="nil"/>
            </w:tcBorders>
            <w:shd w:val="clear" w:color="auto" w:fill="D9D9D9" w:themeFill="background1" w:themeFillShade="D9"/>
            <w:noWrap/>
            <w:vAlign w:val="bottom"/>
            <w:hideMark/>
          </w:tcPr>
          <w:p w14:paraId="0992ABA6"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319" w:type="dxa"/>
            <w:tcBorders>
              <w:top w:val="single" w:sz="4" w:space="0" w:color="auto"/>
              <w:left w:val="nil"/>
              <w:bottom w:val="single" w:sz="4" w:space="0" w:color="auto"/>
              <w:right w:val="nil"/>
            </w:tcBorders>
            <w:shd w:val="clear" w:color="auto" w:fill="D9D9D9" w:themeFill="background1" w:themeFillShade="D9"/>
            <w:noWrap/>
            <w:vAlign w:val="bottom"/>
            <w:hideMark/>
          </w:tcPr>
          <w:p w14:paraId="5ACFBA59"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320" w:type="dxa"/>
            <w:tcBorders>
              <w:top w:val="single" w:sz="4" w:space="0" w:color="auto"/>
              <w:left w:val="nil"/>
              <w:bottom w:val="single" w:sz="4" w:space="0" w:color="auto"/>
              <w:right w:val="nil"/>
            </w:tcBorders>
            <w:shd w:val="clear" w:color="auto" w:fill="D9D9D9" w:themeFill="background1" w:themeFillShade="D9"/>
            <w:noWrap/>
            <w:vAlign w:val="bottom"/>
            <w:hideMark/>
          </w:tcPr>
          <w:p w14:paraId="6E2CC744"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320" w:type="dxa"/>
            <w:tcBorders>
              <w:top w:val="single" w:sz="4" w:space="0" w:color="auto"/>
              <w:left w:val="nil"/>
              <w:bottom w:val="single" w:sz="4" w:space="0" w:color="auto"/>
              <w:right w:val="nil"/>
            </w:tcBorders>
            <w:shd w:val="clear" w:color="auto" w:fill="D9D9D9" w:themeFill="background1" w:themeFillShade="D9"/>
            <w:noWrap/>
            <w:vAlign w:val="bottom"/>
            <w:hideMark/>
          </w:tcPr>
          <w:p w14:paraId="46E55ADD"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319" w:type="dxa"/>
            <w:tcBorders>
              <w:top w:val="single" w:sz="4" w:space="0" w:color="auto"/>
              <w:left w:val="nil"/>
              <w:bottom w:val="single" w:sz="4" w:space="0" w:color="auto"/>
              <w:right w:val="nil"/>
            </w:tcBorders>
            <w:shd w:val="clear" w:color="auto" w:fill="D9D9D9" w:themeFill="background1" w:themeFillShade="D9"/>
            <w:noWrap/>
            <w:vAlign w:val="bottom"/>
            <w:hideMark/>
          </w:tcPr>
          <w:p w14:paraId="67DB9E22"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320" w:type="dxa"/>
            <w:tcBorders>
              <w:top w:val="single" w:sz="4" w:space="0" w:color="auto"/>
              <w:left w:val="nil"/>
              <w:bottom w:val="single" w:sz="4" w:space="0" w:color="auto"/>
              <w:right w:val="nil"/>
            </w:tcBorders>
            <w:shd w:val="clear" w:color="auto" w:fill="D9D9D9" w:themeFill="background1" w:themeFillShade="D9"/>
            <w:noWrap/>
            <w:vAlign w:val="bottom"/>
            <w:hideMark/>
          </w:tcPr>
          <w:p w14:paraId="6F4E73FD"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320" w:type="dxa"/>
            <w:tcBorders>
              <w:top w:val="single" w:sz="4" w:space="0" w:color="auto"/>
              <w:left w:val="nil"/>
              <w:bottom w:val="single" w:sz="4" w:space="0" w:color="auto"/>
              <w:right w:val="nil"/>
            </w:tcBorders>
            <w:shd w:val="clear" w:color="auto" w:fill="D9D9D9" w:themeFill="background1" w:themeFillShade="D9"/>
            <w:noWrap/>
            <w:vAlign w:val="bottom"/>
            <w:hideMark/>
          </w:tcPr>
          <w:p w14:paraId="2FC4917E"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30E6DDC"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876EFC" w:rsidRPr="00DA0360" w14:paraId="6BB27536" w14:textId="77777777" w:rsidTr="00F2448E">
        <w:trPr>
          <w:trHeight w:val="204"/>
        </w:trPr>
        <w:tc>
          <w:tcPr>
            <w:tcW w:w="1858" w:type="dxa"/>
            <w:tcBorders>
              <w:top w:val="single" w:sz="4" w:space="0" w:color="auto"/>
              <w:left w:val="single" w:sz="4" w:space="0" w:color="auto"/>
              <w:bottom w:val="nil"/>
              <w:right w:val="nil"/>
            </w:tcBorders>
            <w:shd w:val="clear" w:color="auto" w:fill="EAF1DD" w:themeFill="accent3" w:themeFillTint="33"/>
            <w:noWrap/>
            <w:vAlign w:val="bottom"/>
            <w:hideMark/>
          </w:tcPr>
          <w:p w14:paraId="44C48D7D"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Emotional Abuse</w:t>
            </w:r>
          </w:p>
        </w:tc>
        <w:tc>
          <w:tcPr>
            <w:tcW w:w="1163" w:type="dxa"/>
            <w:tcBorders>
              <w:top w:val="single" w:sz="4" w:space="0" w:color="auto"/>
              <w:left w:val="nil"/>
              <w:bottom w:val="nil"/>
              <w:right w:val="nil"/>
            </w:tcBorders>
            <w:shd w:val="clear" w:color="auto" w:fill="auto"/>
            <w:noWrap/>
            <w:vAlign w:val="bottom"/>
            <w:hideMark/>
          </w:tcPr>
          <w:p w14:paraId="4374DCEF"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single" w:sz="4" w:space="0" w:color="auto"/>
              <w:left w:val="nil"/>
              <w:bottom w:val="nil"/>
              <w:right w:val="nil"/>
            </w:tcBorders>
            <w:shd w:val="clear" w:color="auto" w:fill="EAF1DD" w:themeFill="accent3" w:themeFillTint="33"/>
            <w:noWrap/>
            <w:vAlign w:val="bottom"/>
            <w:hideMark/>
          </w:tcPr>
          <w:p w14:paraId="754CA592"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single" w:sz="4" w:space="0" w:color="auto"/>
              <w:left w:val="nil"/>
              <w:bottom w:val="nil"/>
              <w:right w:val="nil"/>
            </w:tcBorders>
            <w:shd w:val="clear" w:color="auto" w:fill="auto"/>
            <w:noWrap/>
            <w:vAlign w:val="bottom"/>
            <w:hideMark/>
          </w:tcPr>
          <w:p w14:paraId="1878CFB2" w14:textId="77777777" w:rsidR="00876EFC" w:rsidRPr="00DA0360" w:rsidRDefault="00876EFC" w:rsidP="00CE2FDF">
            <w:pPr>
              <w:spacing w:before="0" w:line="276" w:lineRule="auto"/>
              <w:jc w:val="right"/>
              <w:rPr>
                <w:rFonts w:eastAsia="Times New Roman" w:cs="Arial"/>
                <w:b/>
                <w:color w:val="FF0000"/>
                <w:lang w:eastAsia="en-AU"/>
              </w:rPr>
            </w:pPr>
          </w:p>
        </w:tc>
        <w:tc>
          <w:tcPr>
            <w:tcW w:w="1319" w:type="dxa"/>
            <w:tcBorders>
              <w:top w:val="single" w:sz="4" w:space="0" w:color="auto"/>
              <w:left w:val="nil"/>
              <w:bottom w:val="nil"/>
              <w:right w:val="nil"/>
            </w:tcBorders>
            <w:shd w:val="clear" w:color="auto" w:fill="EAF1DD" w:themeFill="accent3" w:themeFillTint="33"/>
            <w:noWrap/>
            <w:vAlign w:val="bottom"/>
            <w:hideMark/>
          </w:tcPr>
          <w:p w14:paraId="6DC4AAAA"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single" w:sz="4" w:space="0" w:color="auto"/>
              <w:left w:val="nil"/>
              <w:bottom w:val="nil"/>
              <w:right w:val="nil"/>
            </w:tcBorders>
            <w:shd w:val="clear" w:color="auto" w:fill="auto"/>
            <w:noWrap/>
            <w:vAlign w:val="bottom"/>
            <w:hideMark/>
          </w:tcPr>
          <w:p w14:paraId="2CD43525"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single" w:sz="4" w:space="0" w:color="auto"/>
              <w:left w:val="nil"/>
              <w:bottom w:val="nil"/>
              <w:right w:val="nil"/>
            </w:tcBorders>
            <w:shd w:val="clear" w:color="auto" w:fill="EAF1DD" w:themeFill="accent3" w:themeFillTint="33"/>
            <w:noWrap/>
            <w:vAlign w:val="bottom"/>
            <w:hideMark/>
          </w:tcPr>
          <w:p w14:paraId="640789CE" w14:textId="77777777" w:rsidR="00876EFC" w:rsidRPr="00DA0360" w:rsidRDefault="00876EFC" w:rsidP="00CE2FDF">
            <w:pPr>
              <w:spacing w:before="0" w:line="276" w:lineRule="auto"/>
              <w:jc w:val="right"/>
              <w:rPr>
                <w:rFonts w:eastAsia="Times New Roman" w:cs="Arial"/>
                <w:b/>
                <w:color w:val="FF0000"/>
                <w:lang w:eastAsia="en-AU"/>
              </w:rPr>
            </w:pPr>
          </w:p>
        </w:tc>
        <w:tc>
          <w:tcPr>
            <w:tcW w:w="1319" w:type="dxa"/>
            <w:tcBorders>
              <w:top w:val="single" w:sz="4" w:space="0" w:color="auto"/>
              <w:left w:val="nil"/>
              <w:bottom w:val="nil"/>
              <w:right w:val="nil"/>
            </w:tcBorders>
            <w:shd w:val="clear" w:color="auto" w:fill="auto"/>
            <w:noWrap/>
            <w:vAlign w:val="bottom"/>
            <w:hideMark/>
          </w:tcPr>
          <w:p w14:paraId="103E9AFA"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single" w:sz="4" w:space="0" w:color="auto"/>
              <w:left w:val="nil"/>
              <w:bottom w:val="nil"/>
              <w:right w:val="nil"/>
            </w:tcBorders>
            <w:shd w:val="clear" w:color="auto" w:fill="EAF1DD" w:themeFill="accent3" w:themeFillTint="33"/>
            <w:noWrap/>
            <w:vAlign w:val="bottom"/>
            <w:hideMark/>
          </w:tcPr>
          <w:p w14:paraId="4CCC14F4"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single" w:sz="4" w:space="0" w:color="auto"/>
              <w:left w:val="nil"/>
              <w:bottom w:val="nil"/>
              <w:right w:val="nil"/>
            </w:tcBorders>
            <w:shd w:val="clear" w:color="auto" w:fill="auto"/>
            <w:noWrap/>
            <w:vAlign w:val="bottom"/>
            <w:hideMark/>
          </w:tcPr>
          <w:p w14:paraId="4C4CADF4"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single" w:sz="4" w:space="0" w:color="auto"/>
              <w:left w:val="nil"/>
              <w:bottom w:val="nil"/>
              <w:right w:val="single" w:sz="4" w:space="0" w:color="auto"/>
            </w:tcBorders>
            <w:shd w:val="clear" w:color="auto" w:fill="EAF1DD" w:themeFill="accent3" w:themeFillTint="33"/>
            <w:noWrap/>
            <w:vAlign w:val="bottom"/>
            <w:hideMark/>
          </w:tcPr>
          <w:p w14:paraId="34BA5743"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5FD4E65C" w14:textId="77777777" w:rsidTr="00F2448E">
        <w:trPr>
          <w:trHeight w:val="204"/>
        </w:trPr>
        <w:tc>
          <w:tcPr>
            <w:tcW w:w="1858" w:type="dxa"/>
            <w:tcBorders>
              <w:top w:val="nil"/>
              <w:left w:val="single" w:sz="4" w:space="0" w:color="auto"/>
              <w:bottom w:val="nil"/>
              <w:right w:val="nil"/>
            </w:tcBorders>
            <w:shd w:val="clear" w:color="auto" w:fill="EAF1DD" w:themeFill="accent3" w:themeFillTint="33"/>
            <w:noWrap/>
            <w:vAlign w:val="bottom"/>
            <w:hideMark/>
          </w:tcPr>
          <w:p w14:paraId="38478A95"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163" w:type="dxa"/>
            <w:tcBorders>
              <w:top w:val="nil"/>
              <w:left w:val="nil"/>
              <w:bottom w:val="nil"/>
              <w:right w:val="nil"/>
            </w:tcBorders>
            <w:shd w:val="clear" w:color="auto" w:fill="auto"/>
            <w:noWrap/>
            <w:vAlign w:val="bottom"/>
            <w:hideMark/>
          </w:tcPr>
          <w:p w14:paraId="2B9C5A9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597</w:t>
            </w:r>
          </w:p>
        </w:tc>
        <w:tc>
          <w:tcPr>
            <w:tcW w:w="1320" w:type="dxa"/>
            <w:tcBorders>
              <w:top w:val="nil"/>
              <w:left w:val="nil"/>
              <w:bottom w:val="nil"/>
              <w:right w:val="nil"/>
            </w:tcBorders>
            <w:shd w:val="clear" w:color="auto" w:fill="EAF1DD" w:themeFill="accent3" w:themeFillTint="33"/>
            <w:noWrap/>
            <w:vAlign w:val="bottom"/>
            <w:hideMark/>
          </w:tcPr>
          <w:p w14:paraId="284CDC6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469</w:t>
            </w:r>
          </w:p>
        </w:tc>
        <w:tc>
          <w:tcPr>
            <w:tcW w:w="1320" w:type="dxa"/>
            <w:tcBorders>
              <w:top w:val="nil"/>
              <w:left w:val="nil"/>
              <w:bottom w:val="nil"/>
              <w:right w:val="nil"/>
            </w:tcBorders>
            <w:shd w:val="clear" w:color="auto" w:fill="auto"/>
            <w:noWrap/>
            <w:vAlign w:val="bottom"/>
            <w:hideMark/>
          </w:tcPr>
          <w:p w14:paraId="27B02B1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582</w:t>
            </w:r>
          </w:p>
        </w:tc>
        <w:tc>
          <w:tcPr>
            <w:tcW w:w="1319" w:type="dxa"/>
            <w:tcBorders>
              <w:top w:val="nil"/>
              <w:left w:val="nil"/>
              <w:bottom w:val="nil"/>
              <w:right w:val="nil"/>
            </w:tcBorders>
            <w:shd w:val="clear" w:color="auto" w:fill="EAF1DD" w:themeFill="accent3" w:themeFillTint="33"/>
            <w:noWrap/>
            <w:vAlign w:val="bottom"/>
            <w:hideMark/>
          </w:tcPr>
          <w:p w14:paraId="2C71083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682</w:t>
            </w:r>
          </w:p>
        </w:tc>
        <w:tc>
          <w:tcPr>
            <w:tcW w:w="1320" w:type="dxa"/>
            <w:tcBorders>
              <w:top w:val="nil"/>
              <w:left w:val="nil"/>
              <w:bottom w:val="nil"/>
              <w:right w:val="nil"/>
            </w:tcBorders>
            <w:shd w:val="clear" w:color="auto" w:fill="auto"/>
            <w:noWrap/>
            <w:vAlign w:val="bottom"/>
            <w:hideMark/>
          </w:tcPr>
          <w:p w14:paraId="0755D69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726</w:t>
            </w:r>
          </w:p>
        </w:tc>
        <w:tc>
          <w:tcPr>
            <w:tcW w:w="1320" w:type="dxa"/>
            <w:tcBorders>
              <w:top w:val="nil"/>
              <w:left w:val="nil"/>
              <w:bottom w:val="nil"/>
              <w:right w:val="nil"/>
            </w:tcBorders>
            <w:shd w:val="clear" w:color="auto" w:fill="EAF1DD" w:themeFill="accent3" w:themeFillTint="33"/>
            <w:noWrap/>
            <w:vAlign w:val="bottom"/>
            <w:hideMark/>
          </w:tcPr>
          <w:p w14:paraId="03153A5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409</w:t>
            </w:r>
          </w:p>
        </w:tc>
        <w:tc>
          <w:tcPr>
            <w:tcW w:w="1319" w:type="dxa"/>
            <w:tcBorders>
              <w:top w:val="nil"/>
              <w:left w:val="nil"/>
              <w:bottom w:val="nil"/>
              <w:right w:val="nil"/>
            </w:tcBorders>
            <w:shd w:val="clear" w:color="auto" w:fill="auto"/>
            <w:noWrap/>
            <w:vAlign w:val="bottom"/>
            <w:hideMark/>
          </w:tcPr>
          <w:p w14:paraId="606AED6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990</w:t>
            </w:r>
          </w:p>
        </w:tc>
        <w:tc>
          <w:tcPr>
            <w:tcW w:w="1320" w:type="dxa"/>
            <w:tcBorders>
              <w:top w:val="nil"/>
              <w:left w:val="nil"/>
              <w:bottom w:val="nil"/>
              <w:right w:val="nil"/>
            </w:tcBorders>
            <w:shd w:val="clear" w:color="auto" w:fill="EAF1DD" w:themeFill="accent3" w:themeFillTint="33"/>
            <w:noWrap/>
            <w:vAlign w:val="bottom"/>
            <w:hideMark/>
          </w:tcPr>
          <w:p w14:paraId="01222FD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431</w:t>
            </w:r>
          </w:p>
        </w:tc>
        <w:tc>
          <w:tcPr>
            <w:tcW w:w="1320" w:type="dxa"/>
            <w:tcBorders>
              <w:top w:val="nil"/>
              <w:left w:val="nil"/>
              <w:bottom w:val="nil"/>
              <w:right w:val="nil"/>
            </w:tcBorders>
            <w:shd w:val="clear" w:color="auto" w:fill="auto"/>
            <w:noWrap/>
            <w:vAlign w:val="bottom"/>
            <w:hideMark/>
          </w:tcPr>
          <w:p w14:paraId="1791DDB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r w:rsidR="00F2448E">
              <w:rPr>
                <w:rFonts w:eastAsia="Times New Roman" w:cs="Arial"/>
                <w:color w:val="000000"/>
                <w:lang w:eastAsia="en-AU"/>
              </w:rPr>
              <w:t>,</w:t>
            </w:r>
            <w:r w:rsidRPr="001565F1">
              <w:rPr>
                <w:rFonts w:eastAsia="Times New Roman" w:cs="Arial"/>
                <w:color w:val="000000"/>
                <w:lang w:eastAsia="en-AU"/>
              </w:rPr>
              <w:t>166</w:t>
            </w:r>
          </w:p>
        </w:tc>
        <w:tc>
          <w:tcPr>
            <w:tcW w:w="1320" w:type="dxa"/>
            <w:tcBorders>
              <w:top w:val="nil"/>
              <w:left w:val="nil"/>
              <w:bottom w:val="nil"/>
              <w:right w:val="single" w:sz="4" w:space="0" w:color="auto"/>
            </w:tcBorders>
            <w:shd w:val="clear" w:color="auto" w:fill="EAF1DD" w:themeFill="accent3" w:themeFillTint="33"/>
            <w:noWrap/>
            <w:vAlign w:val="bottom"/>
            <w:hideMark/>
          </w:tcPr>
          <w:p w14:paraId="51F2849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r w:rsidR="00F2448E">
              <w:rPr>
                <w:rFonts w:eastAsia="Times New Roman" w:cs="Arial"/>
                <w:color w:val="000000"/>
                <w:lang w:eastAsia="en-AU"/>
              </w:rPr>
              <w:t>,</w:t>
            </w:r>
            <w:r w:rsidRPr="001565F1">
              <w:rPr>
                <w:rFonts w:eastAsia="Times New Roman" w:cs="Arial"/>
                <w:color w:val="000000"/>
                <w:lang w:eastAsia="en-AU"/>
              </w:rPr>
              <w:t>192</w:t>
            </w:r>
          </w:p>
        </w:tc>
      </w:tr>
      <w:tr w:rsidR="000E61DB" w:rsidRPr="001565F1" w14:paraId="21E6BC54" w14:textId="77777777" w:rsidTr="00F2448E">
        <w:trPr>
          <w:trHeight w:val="204"/>
        </w:trPr>
        <w:tc>
          <w:tcPr>
            <w:tcW w:w="1858" w:type="dxa"/>
            <w:tcBorders>
              <w:top w:val="nil"/>
              <w:left w:val="single" w:sz="4" w:space="0" w:color="auto"/>
              <w:bottom w:val="nil"/>
              <w:right w:val="nil"/>
            </w:tcBorders>
            <w:shd w:val="clear" w:color="auto" w:fill="EAF1DD" w:themeFill="accent3" w:themeFillTint="33"/>
            <w:noWrap/>
            <w:vAlign w:val="bottom"/>
            <w:hideMark/>
          </w:tcPr>
          <w:p w14:paraId="05964F9C"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163" w:type="dxa"/>
            <w:tcBorders>
              <w:top w:val="nil"/>
              <w:left w:val="nil"/>
              <w:bottom w:val="nil"/>
              <w:right w:val="nil"/>
            </w:tcBorders>
            <w:shd w:val="clear" w:color="auto" w:fill="auto"/>
            <w:noWrap/>
            <w:vAlign w:val="bottom"/>
            <w:hideMark/>
          </w:tcPr>
          <w:p w14:paraId="7278D4A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242</w:t>
            </w:r>
          </w:p>
        </w:tc>
        <w:tc>
          <w:tcPr>
            <w:tcW w:w="1320" w:type="dxa"/>
            <w:tcBorders>
              <w:top w:val="nil"/>
              <w:left w:val="nil"/>
              <w:bottom w:val="nil"/>
              <w:right w:val="nil"/>
            </w:tcBorders>
            <w:shd w:val="clear" w:color="auto" w:fill="EAF1DD" w:themeFill="accent3" w:themeFillTint="33"/>
            <w:noWrap/>
            <w:vAlign w:val="bottom"/>
            <w:hideMark/>
          </w:tcPr>
          <w:p w14:paraId="2082373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227</w:t>
            </w:r>
          </w:p>
        </w:tc>
        <w:tc>
          <w:tcPr>
            <w:tcW w:w="1320" w:type="dxa"/>
            <w:tcBorders>
              <w:top w:val="nil"/>
              <w:left w:val="nil"/>
              <w:bottom w:val="nil"/>
              <w:right w:val="nil"/>
            </w:tcBorders>
            <w:shd w:val="clear" w:color="auto" w:fill="auto"/>
            <w:noWrap/>
            <w:vAlign w:val="bottom"/>
            <w:hideMark/>
          </w:tcPr>
          <w:p w14:paraId="3E8C6C2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209</w:t>
            </w:r>
          </w:p>
        </w:tc>
        <w:tc>
          <w:tcPr>
            <w:tcW w:w="1319" w:type="dxa"/>
            <w:tcBorders>
              <w:top w:val="nil"/>
              <w:left w:val="nil"/>
              <w:bottom w:val="nil"/>
              <w:right w:val="nil"/>
            </w:tcBorders>
            <w:shd w:val="clear" w:color="auto" w:fill="EAF1DD" w:themeFill="accent3" w:themeFillTint="33"/>
            <w:noWrap/>
            <w:vAlign w:val="bottom"/>
            <w:hideMark/>
          </w:tcPr>
          <w:p w14:paraId="2C1EF39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240</w:t>
            </w:r>
          </w:p>
        </w:tc>
        <w:tc>
          <w:tcPr>
            <w:tcW w:w="1320" w:type="dxa"/>
            <w:tcBorders>
              <w:top w:val="nil"/>
              <w:left w:val="nil"/>
              <w:bottom w:val="nil"/>
              <w:right w:val="nil"/>
            </w:tcBorders>
            <w:shd w:val="clear" w:color="auto" w:fill="auto"/>
            <w:noWrap/>
            <w:vAlign w:val="bottom"/>
            <w:hideMark/>
          </w:tcPr>
          <w:p w14:paraId="3A7370E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185</w:t>
            </w:r>
          </w:p>
        </w:tc>
        <w:tc>
          <w:tcPr>
            <w:tcW w:w="1320" w:type="dxa"/>
            <w:tcBorders>
              <w:top w:val="nil"/>
              <w:left w:val="nil"/>
              <w:bottom w:val="nil"/>
              <w:right w:val="nil"/>
            </w:tcBorders>
            <w:shd w:val="clear" w:color="auto" w:fill="EAF1DD" w:themeFill="accent3" w:themeFillTint="33"/>
            <w:noWrap/>
            <w:vAlign w:val="bottom"/>
            <w:hideMark/>
          </w:tcPr>
          <w:p w14:paraId="79BFE6B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322</w:t>
            </w:r>
          </w:p>
        </w:tc>
        <w:tc>
          <w:tcPr>
            <w:tcW w:w="1319" w:type="dxa"/>
            <w:tcBorders>
              <w:top w:val="nil"/>
              <w:left w:val="nil"/>
              <w:bottom w:val="nil"/>
              <w:right w:val="nil"/>
            </w:tcBorders>
            <w:shd w:val="clear" w:color="auto" w:fill="auto"/>
            <w:noWrap/>
            <w:vAlign w:val="bottom"/>
            <w:hideMark/>
          </w:tcPr>
          <w:p w14:paraId="5204257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394</w:t>
            </w:r>
          </w:p>
        </w:tc>
        <w:tc>
          <w:tcPr>
            <w:tcW w:w="1320" w:type="dxa"/>
            <w:tcBorders>
              <w:top w:val="nil"/>
              <w:left w:val="nil"/>
              <w:bottom w:val="nil"/>
              <w:right w:val="nil"/>
            </w:tcBorders>
            <w:shd w:val="clear" w:color="auto" w:fill="EAF1DD" w:themeFill="accent3" w:themeFillTint="33"/>
            <w:noWrap/>
            <w:vAlign w:val="bottom"/>
            <w:hideMark/>
          </w:tcPr>
          <w:p w14:paraId="041F599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440</w:t>
            </w:r>
          </w:p>
        </w:tc>
        <w:tc>
          <w:tcPr>
            <w:tcW w:w="1320" w:type="dxa"/>
            <w:tcBorders>
              <w:top w:val="nil"/>
              <w:left w:val="nil"/>
              <w:bottom w:val="nil"/>
              <w:right w:val="nil"/>
            </w:tcBorders>
            <w:shd w:val="clear" w:color="auto" w:fill="auto"/>
            <w:noWrap/>
            <w:vAlign w:val="bottom"/>
            <w:hideMark/>
          </w:tcPr>
          <w:p w14:paraId="41BC071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587</w:t>
            </w:r>
          </w:p>
        </w:tc>
        <w:tc>
          <w:tcPr>
            <w:tcW w:w="1320" w:type="dxa"/>
            <w:tcBorders>
              <w:top w:val="nil"/>
              <w:left w:val="nil"/>
              <w:bottom w:val="nil"/>
              <w:right w:val="single" w:sz="4" w:space="0" w:color="auto"/>
            </w:tcBorders>
            <w:shd w:val="clear" w:color="auto" w:fill="EAF1DD" w:themeFill="accent3" w:themeFillTint="33"/>
            <w:noWrap/>
            <w:vAlign w:val="bottom"/>
            <w:hideMark/>
          </w:tcPr>
          <w:p w14:paraId="6569AB8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727</w:t>
            </w:r>
          </w:p>
        </w:tc>
      </w:tr>
      <w:tr w:rsidR="00876EFC" w:rsidRPr="001565F1" w14:paraId="29820845" w14:textId="77777777" w:rsidTr="00F2448E">
        <w:trPr>
          <w:trHeight w:val="204"/>
        </w:trPr>
        <w:tc>
          <w:tcPr>
            <w:tcW w:w="1858" w:type="dxa"/>
            <w:tcBorders>
              <w:top w:val="nil"/>
              <w:left w:val="single" w:sz="4" w:space="0" w:color="auto"/>
              <w:bottom w:val="nil"/>
              <w:right w:val="nil"/>
            </w:tcBorders>
            <w:shd w:val="clear" w:color="auto" w:fill="EAF1DD" w:themeFill="accent3" w:themeFillTint="33"/>
            <w:noWrap/>
            <w:vAlign w:val="bottom"/>
            <w:hideMark/>
          </w:tcPr>
          <w:p w14:paraId="2BD3AB46"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163" w:type="dxa"/>
            <w:tcBorders>
              <w:top w:val="nil"/>
              <w:left w:val="nil"/>
              <w:bottom w:val="nil"/>
              <w:right w:val="nil"/>
            </w:tcBorders>
            <w:shd w:val="clear" w:color="auto" w:fill="auto"/>
            <w:noWrap/>
            <w:vAlign w:val="bottom"/>
            <w:hideMark/>
          </w:tcPr>
          <w:p w14:paraId="725E5E3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154</w:t>
            </w:r>
          </w:p>
        </w:tc>
        <w:tc>
          <w:tcPr>
            <w:tcW w:w="1320" w:type="dxa"/>
            <w:tcBorders>
              <w:top w:val="nil"/>
              <w:left w:val="nil"/>
              <w:bottom w:val="nil"/>
              <w:right w:val="nil"/>
            </w:tcBorders>
            <w:shd w:val="clear" w:color="auto" w:fill="EAF1DD" w:themeFill="accent3" w:themeFillTint="33"/>
            <w:noWrap/>
            <w:vAlign w:val="bottom"/>
            <w:hideMark/>
          </w:tcPr>
          <w:p w14:paraId="2951504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134</w:t>
            </w:r>
          </w:p>
        </w:tc>
        <w:tc>
          <w:tcPr>
            <w:tcW w:w="1320" w:type="dxa"/>
            <w:tcBorders>
              <w:top w:val="nil"/>
              <w:left w:val="nil"/>
              <w:bottom w:val="nil"/>
              <w:right w:val="nil"/>
            </w:tcBorders>
            <w:shd w:val="clear" w:color="auto" w:fill="auto"/>
            <w:noWrap/>
            <w:vAlign w:val="bottom"/>
            <w:hideMark/>
          </w:tcPr>
          <w:p w14:paraId="2F80933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135</w:t>
            </w:r>
          </w:p>
        </w:tc>
        <w:tc>
          <w:tcPr>
            <w:tcW w:w="1319" w:type="dxa"/>
            <w:tcBorders>
              <w:top w:val="nil"/>
              <w:left w:val="nil"/>
              <w:bottom w:val="nil"/>
              <w:right w:val="nil"/>
            </w:tcBorders>
            <w:shd w:val="clear" w:color="auto" w:fill="EAF1DD" w:themeFill="accent3" w:themeFillTint="33"/>
            <w:noWrap/>
            <w:vAlign w:val="bottom"/>
            <w:hideMark/>
          </w:tcPr>
          <w:p w14:paraId="729CC1B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149</w:t>
            </w:r>
          </w:p>
        </w:tc>
        <w:tc>
          <w:tcPr>
            <w:tcW w:w="1320" w:type="dxa"/>
            <w:tcBorders>
              <w:top w:val="nil"/>
              <w:left w:val="nil"/>
              <w:bottom w:val="nil"/>
              <w:right w:val="nil"/>
            </w:tcBorders>
            <w:shd w:val="clear" w:color="auto" w:fill="auto"/>
            <w:noWrap/>
            <w:vAlign w:val="bottom"/>
            <w:hideMark/>
          </w:tcPr>
          <w:p w14:paraId="02C0FC7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94</w:t>
            </w:r>
          </w:p>
        </w:tc>
        <w:tc>
          <w:tcPr>
            <w:tcW w:w="1320" w:type="dxa"/>
            <w:tcBorders>
              <w:top w:val="nil"/>
              <w:left w:val="nil"/>
              <w:bottom w:val="nil"/>
              <w:right w:val="nil"/>
            </w:tcBorders>
            <w:shd w:val="clear" w:color="auto" w:fill="EAF1DD" w:themeFill="accent3" w:themeFillTint="33"/>
            <w:noWrap/>
            <w:vAlign w:val="bottom"/>
            <w:hideMark/>
          </w:tcPr>
          <w:p w14:paraId="40A28A3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187</w:t>
            </w:r>
          </w:p>
        </w:tc>
        <w:tc>
          <w:tcPr>
            <w:tcW w:w="1319" w:type="dxa"/>
            <w:tcBorders>
              <w:top w:val="nil"/>
              <w:left w:val="nil"/>
              <w:bottom w:val="nil"/>
              <w:right w:val="nil"/>
            </w:tcBorders>
            <w:shd w:val="clear" w:color="auto" w:fill="auto"/>
            <w:noWrap/>
            <w:vAlign w:val="bottom"/>
            <w:hideMark/>
          </w:tcPr>
          <w:p w14:paraId="369C6AA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200</w:t>
            </w:r>
          </w:p>
        </w:tc>
        <w:tc>
          <w:tcPr>
            <w:tcW w:w="1320" w:type="dxa"/>
            <w:tcBorders>
              <w:top w:val="nil"/>
              <w:left w:val="nil"/>
              <w:bottom w:val="nil"/>
              <w:right w:val="nil"/>
            </w:tcBorders>
            <w:shd w:val="clear" w:color="auto" w:fill="EAF1DD" w:themeFill="accent3" w:themeFillTint="33"/>
            <w:noWrap/>
            <w:vAlign w:val="bottom"/>
            <w:hideMark/>
          </w:tcPr>
          <w:p w14:paraId="29B41B8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257</w:t>
            </w:r>
          </w:p>
        </w:tc>
        <w:tc>
          <w:tcPr>
            <w:tcW w:w="1320" w:type="dxa"/>
            <w:tcBorders>
              <w:top w:val="nil"/>
              <w:left w:val="nil"/>
              <w:bottom w:val="nil"/>
              <w:right w:val="nil"/>
            </w:tcBorders>
            <w:shd w:val="clear" w:color="auto" w:fill="auto"/>
            <w:noWrap/>
            <w:vAlign w:val="bottom"/>
            <w:hideMark/>
          </w:tcPr>
          <w:p w14:paraId="7D91C15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356</w:t>
            </w:r>
          </w:p>
        </w:tc>
        <w:tc>
          <w:tcPr>
            <w:tcW w:w="1320" w:type="dxa"/>
            <w:tcBorders>
              <w:top w:val="nil"/>
              <w:left w:val="nil"/>
              <w:bottom w:val="nil"/>
              <w:right w:val="single" w:sz="4" w:space="0" w:color="auto"/>
            </w:tcBorders>
            <w:shd w:val="clear" w:color="auto" w:fill="EAF1DD" w:themeFill="accent3" w:themeFillTint="33"/>
            <w:noWrap/>
            <w:vAlign w:val="bottom"/>
            <w:hideMark/>
          </w:tcPr>
          <w:p w14:paraId="5BB4287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411</w:t>
            </w:r>
          </w:p>
        </w:tc>
      </w:tr>
      <w:tr w:rsidR="00876EFC" w:rsidRPr="001565F1" w14:paraId="29A18528" w14:textId="77777777" w:rsidTr="00F2448E">
        <w:trPr>
          <w:trHeight w:val="204"/>
        </w:trPr>
        <w:tc>
          <w:tcPr>
            <w:tcW w:w="1858" w:type="dxa"/>
            <w:tcBorders>
              <w:top w:val="nil"/>
              <w:left w:val="single" w:sz="4" w:space="0" w:color="auto"/>
              <w:bottom w:val="nil"/>
              <w:right w:val="nil"/>
            </w:tcBorders>
            <w:shd w:val="clear" w:color="auto" w:fill="EAF1DD" w:themeFill="accent3" w:themeFillTint="33"/>
            <w:noWrap/>
            <w:vAlign w:val="bottom"/>
            <w:hideMark/>
          </w:tcPr>
          <w:p w14:paraId="7C841621"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163" w:type="dxa"/>
            <w:tcBorders>
              <w:top w:val="nil"/>
              <w:left w:val="nil"/>
              <w:bottom w:val="nil"/>
              <w:right w:val="nil"/>
            </w:tcBorders>
            <w:shd w:val="clear" w:color="auto" w:fill="auto"/>
            <w:noWrap/>
            <w:vAlign w:val="bottom"/>
            <w:hideMark/>
          </w:tcPr>
          <w:p w14:paraId="7251F2B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88</w:t>
            </w:r>
          </w:p>
        </w:tc>
        <w:tc>
          <w:tcPr>
            <w:tcW w:w="1320" w:type="dxa"/>
            <w:tcBorders>
              <w:top w:val="nil"/>
              <w:left w:val="nil"/>
              <w:bottom w:val="nil"/>
              <w:right w:val="nil"/>
            </w:tcBorders>
            <w:shd w:val="clear" w:color="auto" w:fill="EAF1DD" w:themeFill="accent3" w:themeFillTint="33"/>
            <w:noWrap/>
            <w:vAlign w:val="bottom"/>
            <w:hideMark/>
          </w:tcPr>
          <w:p w14:paraId="4CDA152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w:t>
            </w:r>
          </w:p>
        </w:tc>
        <w:tc>
          <w:tcPr>
            <w:tcW w:w="1320" w:type="dxa"/>
            <w:tcBorders>
              <w:top w:val="nil"/>
              <w:left w:val="nil"/>
              <w:bottom w:val="nil"/>
              <w:right w:val="nil"/>
            </w:tcBorders>
            <w:shd w:val="clear" w:color="auto" w:fill="auto"/>
            <w:noWrap/>
            <w:vAlign w:val="bottom"/>
            <w:hideMark/>
          </w:tcPr>
          <w:p w14:paraId="656A409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74</w:t>
            </w:r>
          </w:p>
        </w:tc>
        <w:tc>
          <w:tcPr>
            <w:tcW w:w="1319" w:type="dxa"/>
            <w:tcBorders>
              <w:top w:val="nil"/>
              <w:left w:val="nil"/>
              <w:bottom w:val="nil"/>
              <w:right w:val="nil"/>
            </w:tcBorders>
            <w:shd w:val="clear" w:color="auto" w:fill="EAF1DD" w:themeFill="accent3" w:themeFillTint="33"/>
            <w:noWrap/>
            <w:vAlign w:val="bottom"/>
            <w:hideMark/>
          </w:tcPr>
          <w:p w14:paraId="383C253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91</w:t>
            </w:r>
          </w:p>
        </w:tc>
        <w:tc>
          <w:tcPr>
            <w:tcW w:w="1320" w:type="dxa"/>
            <w:tcBorders>
              <w:top w:val="nil"/>
              <w:left w:val="nil"/>
              <w:bottom w:val="nil"/>
              <w:right w:val="nil"/>
            </w:tcBorders>
            <w:shd w:val="clear" w:color="auto" w:fill="auto"/>
            <w:noWrap/>
            <w:vAlign w:val="bottom"/>
            <w:hideMark/>
          </w:tcPr>
          <w:p w14:paraId="766C725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91</w:t>
            </w:r>
          </w:p>
        </w:tc>
        <w:tc>
          <w:tcPr>
            <w:tcW w:w="1320" w:type="dxa"/>
            <w:tcBorders>
              <w:top w:val="nil"/>
              <w:left w:val="nil"/>
              <w:bottom w:val="nil"/>
              <w:right w:val="nil"/>
            </w:tcBorders>
            <w:shd w:val="clear" w:color="auto" w:fill="EAF1DD" w:themeFill="accent3" w:themeFillTint="33"/>
            <w:noWrap/>
            <w:vAlign w:val="bottom"/>
            <w:hideMark/>
          </w:tcPr>
          <w:p w14:paraId="396B58C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135</w:t>
            </w:r>
          </w:p>
        </w:tc>
        <w:tc>
          <w:tcPr>
            <w:tcW w:w="1319" w:type="dxa"/>
            <w:tcBorders>
              <w:top w:val="nil"/>
              <w:left w:val="nil"/>
              <w:bottom w:val="nil"/>
              <w:right w:val="nil"/>
            </w:tcBorders>
            <w:shd w:val="clear" w:color="auto" w:fill="auto"/>
            <w:noWrap/>
            <w:vAlign w:val="bottom"/>
            <w:hideMark/>
          </w:tcPr>
          <w:p w14:paraId="6638ECB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194</w:t>
            </w:r>
          </w:p>
        </w:tc>
        <w:tc>
          <w:tcPr>
            <w:tcW w:w="1320" w:type="dxa"/>
            <w:tcBorders>
              <w:top w:val="nil"/>
              <w:left w:val="nil"/>
              <w:bottom w:val="nil"/>
              <w:right w:val="nil"/>
            </w:tcBorders>
            <w:shd w:val="clear" w:color="auto" w:fill="EAF1DD" w:themeFill="accent3" w:themeFillTint="33"/>
            <w:noWrap/>
            <w:vAlign w:val="bottom"/>
            <w:hideMark/>
          </w:tcPr>
          <w:p w14:paraId="30DDBA9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183</w:t>
            </w:r>
          </w:p>
        </w:tc>
        <w:tc>
          <w:tcPr>
            <w:tcW w:w="1320" w:type="dxa"/>
            <w:tcBorders>
              <w:top w:val="nil"/>
              <w:left w:val="nil"/>
              <w:bottom w:val="nil"/>
              <w:right w:val="nil"/>
            </w:tcBorders>
            <w:shd w:val="clear" w:color="auto" w:fill="auto"/>
            <w:noWrap/>
            <w:vAlign w:val="bottom"/>
            <w:hideMark/>
          </w:tcPr>
          <w:p w14:paraId="454CF13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231</w:t>
            </w:r>
          </w:p>
        </w:tc>
        <w:tc>
          <w:tcPr>
            <w:tcW w:w="1320" w:type="dxa"/>
            <w:tcBorders>
              <w:top w:val="nil"/>
              <w:left w:val="nil"/>
              <w:bottom w:val="nil"/>
              <w:right w:val="single" w:sz="4" w:space="0" w:color="auto"/>
            </w:tcBorders>
            <w:shd w:val="clear" w:color="auto" w:fill="EAF1DD" w:themeFill="accent3" w:themeFillTint="33"/>
            <w:noWrap/>
            <w:vAlign w:val="bottom"/>
            <w:hideMark/>
          </w:tcPr>
          <w:p w14:paraId="33CF0FE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316</w:t>
            </w:r>
          </w:p>
        </w:tc>
      </w:tr>
      <w:tr w:rsidR="00876EFC" w:rsidRPr="00DA0360" w14:paraId="0CE57E02" w14:textId="77777777" w:rsidTr="00F2448E">
        <w:trPr>
          <w:trHeight w:val="204"/>
        </w:trPr>
        <w:tc>
          <w:tcPr>
            <w:tcW w:w="1858" w:type="dxa"/>
            <w:tcBorders>
              <w:top w:val="nil"/>
              <w:left w:val="single" w:sz="4" w:space="0" w:color="auto"/>
              <w:bottom w:val="single" w:sz="4" w:space="0" w:color="auto"/>
              <w:right w:val="nil"/>
            </w:tcBorders>
            <w:shd w:val="clear" w:color="auto" w:fill="EAF1DD" w:themeFill="accent3" w:themeFillTint="33"/>
            <w:noWrap/>
            <w:vAlign w:val="bottom"/>
            <w:hideMark/>
          </w:tcPr>
          <w:p w14:paraId="347E1584"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163" w:type="dxa"/>
            <w:tcBorders>
              <w:top w:val="nil"/>
              <w:left w:val="nil"/>
              <w:bottom w:val="single" w:sz="4" w:space="0" w:color="auto"/>
              <w:right w:val="nil"/>
            </w:tcBorders>
            <w:shd w:val="clear" w:color="auto" w:fill="auto"/>
            <w:noWrap/>
            <w:vAlign w:val="bottom"/>
            <w:hideMark/>
          </w:tcPr>
          <w:p w14:paraId="640C3574"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839</w:t>
            </w:r>
          </w:p>
        </w:tc>
        <w:tc>
          <w:tcPr>
            <w:tcW w:w="1320" w:type="dxa"/>
            <w:tcBorders>
              <w:top w:val="nil"/>
              <w:left w:val="nil"/>
              <w:bottom w:val="single" w:sz="4" w:space="0" w:color="auto"/>
              <w:right w:val="nil"/>
            </w:tcBorders>
            <w:shd w:val="clear" w:color="auto" w:fill="EAF1DD" w:themeFill="accent3" w:themeFillTint="33"/>
            <w:noWrap/>
            <w:vAlign w:val="bottom"/>
            <w:hideMark/>
          </w:tcPr>
          <w:p w14:paraId="436B8E7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696</w:t>
            </w:r>
          </w:p>
        </w:tc>
        <w:tc>
          <w:tcPr>
            <w:tcW w:w="1320" w:type="dxa"/>
            <w:tcBorders>
              <w:top w:val="nil"/>
              <w:left w:val="nil"/>
              <w:bottom w:val="single" w:sz="4" w:space="0" w:color="auto"/>
              <w:right w:val="nil"/>
            </w:tcBorders>
            <w:shd w:val="clear" w:color="auto" w:fill="auto"/>
            <w:noWrap/>
            <w:vAlign w:val="bottom"/>
            <w:hideMark/>
          </w:tcPr>
          <w:p w14:paraId="10443CB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791</w:t>
            </w:r>
          </w:p>
        </w:tc>
        <w:tc>
          <w:tcPr>
            <w:tcW w:w="1319" w:type="dxa"/>
            <w:tcBorders>
              <w:top w:val="nil"/>
              <w:left w:val="nil"/>
              <w:bottom w:val="single" w:sz="4" w:space="0" w:color="auto"/>
              <w:right w:val="nil"/>
            </w:tcBorders>
            <w:shd w:val="clear" w:color="auto" w:fill="EAF1DD" w:themeFill="accent3" w:themeFillTint="33"/>
            <w:noWrap/>
            <w:vAlign w:val="bottom"/>
            <w:hideMark/>
          </w:tcPr>
          <w:p w14:paraId="24DA5D7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922</w:t>
            </w:r>
          </w:p>
        </w:tc>
        <w:tc>
          <w:tcPr>
            <w:tcW w:w="1320" w:type="dxa"/>
            <w:tcBorders>
              <w:top w:val="nil"/>
              <w:left w:val="nil"/>
              <w:bottom w:val="single" w:sz="4" w:space="0" w:color="auto"/>
              <w:right w:val="nil"/>
            </w:tcBorders>
            <w:shd w:val="clear" w:color="auto" w:fill="auto"/>
            <w:noWrap/>
            <w:vAlign w:val="bottom"/>
            <w:hideMark/>
          </w:tcPr>
          <w:p w14:paraId="6840C3B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911</w:t>
            </w:r>
          </w:p>
        </w:tc>
        <w:tc>
          <w:tcPr>
            <w:tcW w:w="1320" w:type="dxa"/>
            <w:tcBorders>
              <w:top w:val="nil"/>
              <w:left w:val="nil"/>
              <w:bottom w:val="single" w:sz="4" w:space="0" w:color="auto"/>
              <w:right w:val="nil"/>
            </w:tcBorders>
            <w:shd w:val="clear" w:color="auto" w:fill="EAF1DD" w:themeFill="accent3" w:themeFillTint="33"/>
            <w:noWrap/>
            <w:vAlign w:val="bottom"/>
            <w:hideMark/>
          </w:tcPr>
          <w:p w14:paraId="17A2599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731</w:t>
            </w:r>
          </w:p>
        </w:tc>
        <w:tc>
          <w:tcPr>
            <w:tcW w:w="1319" w:type="dxa"/>
            <w:tcBorders>
              <w:top w:val="nil"/>
              <w:left w:val="nil"/>
              <w:bottom w:val="single" w:sz="4" w:space="0" w:color="auto"/>
              <w:right w:val="nil"/>
            </w:tcBorders>
            <w:shd w:val="clear" w:color="auto" w:fill="auto"/>
            <w:noWrap/>
            <w:vAlign w:val="bottom"/>
            <w:hideMark/>
          </w:tcPr>
          <w:p w14:paraId="4A53E29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384</w:t>
            </w:r>
          </w:p>
        </w:tc>
        <w:tc>
          <w:tcPr>
            <w:tcW w:w="1320" w:type="dxa"/>
            <w:tcBorders>
              <w:top w:val="nil"/>
              <w:left w:val="nil"/>
              <w:bottom w:val="single" w:sz="4" w:space="0" w:color="auto"/>
              <w:right w:val="nil"/>
            </w:tcBorders>
            <w:shd w:val="clear" w:color="auto" w:fill="EAF1DD" w:themeFill="accent3" w:themeFillTint="33"/>
            <w:noWrap/>
            <w:vAlign w:val="bottom"/>
            <w:hideMark/>
          </w:tcPr>
          <w:p w14:paraId="0F2810C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871</w:t>
            </w:r>
          </w:p>
        </w:tc>
        <w:tc>
          <w:tcPr>
            <w:tcW w:w="1320" w:type="dxa"/>
            <w:tcBorders>
              <w:top w:val="nil"/>
              <w:left w:val="nil"/>
              <w:bottom w:val="single" w:sz="4" w:space="0" w:color="auto"/>
              <w:right w:val="nil"/>
            </w:tcBorders>
            <w:shd w:val="clear" w:color="auto" w:fill="auto"/>
            <w:noWrap/>
            <w:vAlign w:val="bottom"/>
            <w:hideMark/>
          </w:tcPr>
          <w:p w14:paraId="0F17461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753</w:t>
            </w:r>
          </w:p>
        </w:tc>
        <w:tc>
          <w:tcPr>
            <w:tcW w:w="1320" w:type="dxa"/>
            <w:tcBorders>
              <w:top w:val="nil"/>
              <w:left w:val="nil"/>
              <w:bottom w:val="single" w:sz="4" w:space="0" w:color="auto"/>
              <w:right w:val="single" w:sz="4" w:space="0" w:color="auto"/>
            </w:tcBorders>
            <w:shd w:val="clear" w:color="auto" w:fill="EAF1DD" w:themeFill="accent3" w:themeFillTint="33"/>
            <w:noWrap/>
            <w:vAlign w:val="bottom"/>
            <w:hideMark/>
          </w:tcPr>
          <w:p w14:paraId="0AE84D2D"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w:t>
            </w:r>
            <w:r w:rsidR="00F2448E">
              <w:rPr>
                <w:rFonts w:eastAsia="Times New Roman" w:cs="Arial"/>
                <w:b/>
                <w:color w:val="000000"/>
                <w:lang w:eastAsia="en-AU"/>
              </w:rPr>
              <w:t>,</w:t>
            </w:r>
            <w:r w:rsidRPr="00DA0360">
              <w:rPr>
                <w:rFonts w:eastAsia="Times New Roman" w:cs="Arial"/>
                <w:b/>
                <w:color w:val="000000"/>
                <w:lang w:eastAsia="en-AU"/>
              </w:rPr>
              <w:t>919</w:t>
            </w:r>
          </w:p>
        </w:tc>
      </w:tr>
      <w:tr w:rsidR="00876EFC" w:rsidRPr="00DA0360" w14:paraId="6913D6B5" w14:textId="77777777" w:rsidTr="00F2448E">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5B1FD137"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Neglect</w:t>
            </w:r>
          </w:p>
        </w:tc>
        <w:tc>
          <w:tcPr>
            <w:tcW w:w="1163" w:type="dxa"/>
            <w:tcBorders>
              <w:top w:val="nil"/>
              <w:left w:val="nil"/>
              <w:bottom w:val="nil"/>
              <w:right w:val="nil"/>
            </w:tcBorders>
            <w:shd w:val="clear" w:color="auto" w:fill="auto"/>
            <w:noWrap/>
            <w:vAlign w:val="bottom"/>
            <w:hideMark/>
          </w:tcPr>
          <w:p w14:paraId="6EAA178D"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DAEEF3" w:themeFill="accent5" w:themeFillTint="33"/>
            <w:noWrap/>
            <w:vAlign w:val="bottom"/>
            <w:hideMark/>
          </w:tcPr>
          <w:p w14:paraId="0E565DA2"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auto"/>
            <w:noWrap/>
            <w:vAlign w:val="bottom"/>
            <w:hideMark/>
          </w:tcPr>
          <w:p w14:paraId="2252C86D" w14:textId="77777777" w:rsidR="00876EFC" w:rsidRPr="00DA0360" w:rsidRDefault="00876EFC" w:rsidP="00CE2FDF">
            <w:pPr>
              <w:spacing w:before="0" w:line="276" w:lineRule="auto"/>
              <w:jc w:val="right"/>
              <w:rPr>
                <w:rFonts w:eastAsia="Times New Roman" w:cs="Arial"/>
                <w:b/>
                <w:color w:val="FF0000"/>
                <w:lang w:eastAsia="en-AU"/>
              </w:rPr>
            </w:pPr>
          </w:p>
        </w:tc>
        <w:tc>
          <w:tcPr>
            <w:tcW w:w="1319" w:type="dxa"/>
            <w:tcBorders>
              <w:top w:val="nil"/>
              <w:left w:val="nil"/>
              <w:bottom w:val="nil"/>
              <w:right w:val="nil"/>
            </w:tcBorders>
            <w:shd w:val="clear" w:color="auto" w:fill="DAEEF3" w:themeFill="accent5" w:themeFillTint="33"/>
            <w:noWrap/>
            <w:vAlign w:val="bottom"/>
            <w:hideMark/>
          </w:tcPr>
          <w:p w14:paraId="5CDFB664"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auto"/>
            <w:noWrap/>
            <w:vAlign w:val="bottom"/>
            <w:hideMark/>
          </w:tcPr>
          <w:p w14:paraId="0D650E65"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DAEEF3" w:themeFill="accent5" w:themeFillTint="33"/>
            <w:noWrap/>
            <w:vAlign w:val="bottom"/>
            <w:hideMark/>
          </w:tcPr>
          <w:p w14:paraId="78E5FA07" w14:textId="77777777" w:rsidR="00876EFC" w:rsidRPr="00DA0360" w:rsidRDefault="00876EFC" w:rsidP="00CE2FDF">
            <w:pPr>
              <w:spacing w:before="0" w:line="276" w:lineRule="auto"/>
              <w:jc w:val="right"/>
              <w:rPr>
                <w:rFonts w:eastAsia="Times New Roman" w:cs="Arial"/>
                <w:b/>
                <w:color w:val="FF0000"/>
                <w:lang w:eastAsia="en-AU"/>
              </w:rPr>
            </w:pPr>
          </w:p>
        </w:tc>
        <w:tc>
          <w:tcPr>
            <w:tcW w:w="1319" w:type="dxa"/>
            <w:tcBorders>
              <w:top w:val="nil"/>
              <w:left w:val="nil"/>
              <w:bottom w:val="nil"/>
              <w:right w:val="nil"/>
            </w:tcBorders>
            <w:shd w:val="clear" w:color="auto" w:fill="auto"/>
            <w:noWrap/>
            <w:vAlign w:val="bottom"/>
            <w:hideMark/>
          </w:tcPr>
          <w:p w14:paraId="29B5C75F"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DAEEF3" w:themeFill="accent5" w:themeFillTint="33"/>
            <w:noWrap/>
            <w:vAlign w:val="bottom"/>
            <w:hideMark/>
          </w:tcPr>
          <w:p w14:paraId="3DAE3F7C"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auto"/>
            <w:noWrap/>
            <w:vAlign w:val="bottom"/>
            <w:hideMark/>
          </w:tcPr>
          <w:p w14:paraId="60C645D2"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single" w:sz="4" w:space="0" w:color="auto"/>
            </w:tcBorders>
            <w:shd w:val="clear" w:color="auto" w:fill="DAEEF3" w:themeFill="accent5" w:themeFillTint="33"/>
            <w:noWrap/>
            <w:vAlign w:val="bottom"/>
            <w:hideMark/>
          </w:tcPr>
          <w:p w14:paraId="317177F6"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127078A1" w14:textId="77777777" w:rsidTr="00F2448E">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3920BC64"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163" w:type="dxa"/>
            <w:tcBorders>
              <w:top w:val="nil"/>
              <w:left w:val="nil"/>
              <w:bottom w:val="nil"/>
              <w:right w:val="nil"/>
            </w:tcBorders>
            <w:shd w:val="clear" w:color="auto" w:fill="auto"/>
            <w:noWrap/>
            <w:vAlign w:val="bottom"/>
            <w:hideMark/>
          </w:tcPr>
          <w:p w14:paraId="37E80B9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657</w:t>
            </w:r>
          </w:p>
        </w:tc>
        <w:tc>
          <w:tcPr>
            <w:tcW w:w="1320" w:type="dxa"/>
            <w:tcBorders>
              <w:top w:val="nil"/>
              <w:left w:val="nil"/>
              <w:bottom w:val="nil"/>
              <w:right w:val="nil"/>
            </w:tcBorders>
            <w:shd w:val="clear" w:color="auto" w:fill="DAEEF3" w:themeFill="accent5" w:themeFillTint="33"/>
            <w:noWrap/>
            <w:vAlign w:val="bottom"/>
            <w:hideMark/>
          </w:tcPr>
          <w:p w14:paraId="5C12643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669</w:t>
            </w:r>
          </w:p>
        </w:tc>
        <w:tc>
          <w:tcPr>
            <w:tcW w:w="1320" w:type="dxa"/>
            <w:tcBorders>
              <w:top w:val="nil"/>
              <w:left w:val="nil"/>
              <w:bottom w:val="nil"/>
              <w:right w:val="nil"/>
            </w:tcBorders>
            <w:shd w:val="clear" w:color="auto" w:fill="auto"/>
            <w:noWrap/>
            <w:vAlign w:val="bottom"/>
            <w:hideMark/>
          </w:tcPr>
          <w:p w14:paraId="489B9E8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661</w:t>
            </w:r>
          </w:p>
        </w:tc>
        <w:tc>
          <w:tcPr>
            <w:tcW w:w="1319" w:type="dxa"/>
            <w:tcBorders>
              <w:top w:val="nil"/>
              <w:left w:val="nil"/>
              <w:bottom w:val="nil"/>
              <w:right w:val="nil"/>
            </w:tcBorders>
            <w:shd w:val="clear" w:color="auto" w:fill="DAEEF3" w:themeFill="accent5" w:themeFillTint="33"/>
            <w:noWrap/>
            <w:vAlign w:val="bottom"/>
            <w:hideMark/>
          </w:tcPr>
          <w:p w14:paraId="151E316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531</w:t>
            </w:r>
          </w:p>
        </w:tc>
        <w:tc>
          <w:tcPr>
            <w:tcW w:w="1320" w:type="dxa"/>
            <w:tcBorders>
              <w:top w:val="nil"/>
              <w:left w:val="nil"/>
              <w:bottom w:val="nil"/>
              <w:right w:val="nil"/>
            </w:tcBorders>
            <w:shd w:val="clear" w:color="auto" w:fill="auto"/>
            <w:noWrap/>
            <w:vAlign w:val="bottom"/>
            <w:hideMark/>
          </w:tcPr>
          <w:p w14:paraId="425A46B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260</w:t>
            </w:r>
          </w:p>
        </w:tc>
        <w:tc>
          <w:tcPr>
            <w:tcW w:w="1320" w:type="dxa"/>
            <w:tcBorders>
              <w:top w:val="nil"/>
              <w:left w:val="nil"/>
              <w:bottom w:val="nil"/>
              <w:right w:val="nil"/>
            </w:tcBorders>
            <w:shd w:val="clear" w:color="auto" w:fill="DAEEF3" w:themeFill="accent5" w:themeFillTint="33"/>
            <w:noWrap/>
            <w:vAlign w:val="bottom"/>
            <w:hideMark/>
          </w:tcPr>
          <w:p w14:paraId="1C587FF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715</w:t>
            </w:r>
          </w:p>
        </w:tc>
        <w:tc>
          <w:tcPr>
            <w:tcW w:w="1319" w:type="dxa"/>
            <w:tcBorders>
              <w:top w:val="nil"/>
              <w:left w:val="nil"/>
              <w:bottom w:val="nil"/>
              <w:right w:val="nil"/>
            </w:tcBorders>
            <w:shd w:val="clear" w:color="auto" w:fill="auto"/>
            <w:noWrap/>
            <w:vAlign w:val="bottom"/>
            <w:hideMark/>
          </w:tcPr>
          <w:p w14:paraId="0A325FF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426</w:t>
            </w:r>
          </w:p>
        </w:tc>
        <w:tc>
          <w:tcPr>
            <w:tcW w:w="1320" w:type="dxa"/>
            <w:tcBorders>
              <w:top w:val="nil"/>
              <w:left w:val="nil"/>
              <w:bottom w:val="nil"/>
              <w:right w:val="nil"/>
            </w:tcBorders>
            <w:shd w:val="clear" w:color="auto" w:fill="DAEEF3" w:themeFill="accent5" w:themeFillTint="33"/>
            <w:noWrap/>
            <w:vAlign w:val="bottom"/>
            <w:hideMark/>
          </w:tcPr>
          <w:p w14:paraId="4997EE1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439</w:t>
            </w:r>
          </w:p>
        </w:tc>
        <w:tc>
          <w:tcPr>
            <w:tcW w:w="1320" w:type="dxa"/>
            <w:tcBorders>
              <w:top w:val="nil"/>
              <w:left w:val="nil"/>
              <w:bottom w:val="nil"/>
              <w:right w:val="nil"/>
            </w:tcBorders>
            <w:shd w:val="clear" w:color="auto" w:fill="auto"/>
            <w:noWrap/>
            <w:vAlign w:val="bottom"/>
            <w:hideMark/>
          </w:tcPr>
          <w:p w14:paraId="6495585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523</w:t>
            </w:r>
          </w:p>
        </w:tc>
        <w:tc>
          <w:tcPr>
            <w:tcW w:w="1320" w:type="dxa"/>
            <w:tcBorders>
              <w:top w:val="nil"/>
              <w:left w:val="nil"/>
              <w:bottom w:val="nil"/>
              <w:right w:val="single" w:sz="4" w:space="0" w:color="auto"/>
            </w:tcBorders>
            <w:shd w:val="clear" w:color="auto" w:fill="DAEEF3" w:themeFill="accent5" w:themeFillTint="33"/>
            <w:noWrap/>
            <w:vAlign w:val="bottom"/>
            <w:hideMark/>
          </w:tcPr>
          <w:p w14:paraId="506A209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437</w:t>
            </w:r>
          </w:p>
        </w:tc>
      </w:tr>
      <w:tr w:rsidR="000E61DB" w:rsidRPr="001565F1" w14:paraId="31159035" w14:textId="77777777" w:rsidTr="00F2448E">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7FD06810"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163" w:type="dxa"/>
            <w:tcBorders>
              <w:top w:val="nil"/>
              <w:left w:val="nil"/>
              <w:bottom w:val="nil"/>
              <w:right w:val="nil"/>
            </w:tcBorders>
            <w:shd w:val="clear" w:color="auto" w:fill="auto"/>
            <w:noWrap/>
            <w:vAlign w:val="bottom"/>
            <w:hideMark/>
          </w:tcPr>
          <w:p w14:paraId="79353B2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200</w:t>
            </w:r>
          </w:p>
        </w:tc>
        <w:tc>
          <w:tcPr>
            <w:tcW w:w="1320" w:type="dxa"/>
            <w:tcBorders>
              <w:top w:val="nil"/>
              <w:left w:val="nil"/>
              <w:bottom w:val="nil"/>
              <w:right w:val="nil"/>
            </w:tcBorders>
            <w:shd w:val="clear" w:color="auto" w:fill="DAEEF3" w:themeFill="accent5" w:themeFillTint="33"/>
            <w:noWrap/>
            <w:vAlign w:val="bottom"/>
            <w:hideMark/>
          </w:tcPr>
          <w:p w14:paraId="0A2A2AA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214</w:t>
            </w:r>
          </w:p>
        </w:tc>
        <w:tc>
          <w:tcPr>
            <w:tcW w:w="1320" w:type="dxa"/>
            <w:tcBorders>
              <w:top w:val="nil"/>
              <w:left w:val="nil"/>
              <w:bottom w:val="nil"/>
              <w:right w:val="nil"/>
            </w:tcBorders>
            <w:shd w:val="clear" w:color="auto" w:fill="auto"/>
            <w:noWrap/>
            <w:vAlign w:val="bottom"/>
            <w:hideMark/>
          </w:tcPr>
          <w:p w14:paraId="0EB2C4B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190</w:t>
            </w:r>
          </w:p>
        </w:tc>
        <w:tc>
          <w:tcPr>
            <w:tcW w:w="1319" w:type="dxa"/>
            <w:tcBorders>
              <w:top w:val="nil"/>
              <w:left w:val="nil"/>
              <w:bottom w:val="nil"/>
              <w:right w:val="nil"/>
            </w:tcBorders>
            <w:shd w:val="clear" w:color="auto" w:fill="DAEEF3" w:themeFill="accent5" w:themeFillTint="33"/>
            <w:noWrap/>
            <w:vAlign w:val="bottom"/>
            <w:hideMark/>
          </w:tcPr>
          <w:p w14:paraId="7B30C8D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146</w:t>
            </w:r>
          </w:p>
        </w:tc>
        <w:tc>
          <w:tcPr>
            <w:tcW w:w="1320" w:type="dxa"/>
            <w:tcBorders>
              <w:top w:val="nil"/>
              <w:left w:val="nil"/>
              <w:bottom w:val="nil"/>
              <w:right w:val="nil"/>
            </w:tcBorders>
            <w:shd w:val="clear" w:color="auto" w:fill="auto"/>
            <w:noWrap/>
            <w:vAlign w:val="bottom"/>
            <w:hideMark/>
          </w:tcPr>
          <w:p w14:paraId="1994BFD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86</w:t>
            </w:r>
          </w:p>
        </w:tc>
        <w:tc>
          <w:tcPr>
            <w:tcW w:w="1320" w:type="dxa"/>
            <w:tcBorders>
              <w:top w:val="nil"/>
              <w:left w:val="nil"/>
              <w:bottom w:val="nil"/>
              <w:right w:val="nil"/>
            </w:tcBorders>
            <w:shd w:val="clear" w:color="auto" w:fill="DAEEF3" w:themeFill="accent5" w:themeFillTint="33"/>
            <w:noWrap/>
            <w:vAlign w:val="bottom"/>
            <w:hideMark/>
          </w:tcPr>
          <w:p w14:paraId="7A903A5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109</w:t>
            </w:r>
          </w:p>
        </w:tc>
        <w:tc>
          <w:tcPr>
            <w:tcW w:w="1319" w:type="dxa"/>
            <w:tcBorders>
              <w:top w:val="nil"/>
              <w:left w:val="nil"/>
              <w:bottom w:val="nil"/>
              <w:right w:val="nil"/>
            </w:tcBorders>
            <w:shd w:val="clear" w:color="auto" w:fill="auto"/>
            <w:noWrap/>
            <w:vAlign w:val="bottom"/>
            <w:hideMark/>
          </w:tcPr>
          <w:p w14:paraId="0A1B5EB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108</w:t>
            </w:r>
          </w:p>
        </w:tc>
        <w:tc>
          <w:tcPr>
            <w:tcW w:w="1320" w:type="dxa"/>
            <w:tcBorders>
              <w:top w:val="nil"/>
              <w:left w:val="nil"/>
              <w:bottom w:val="nil"/>
              <w:right w:val="nil"/>
            </w:tcBorders>
            <w:shd w:val="clear" w:color="auto" w:fill="DAEEF3" w:themeFill="accent5" w:themeFillTint="33"/>
            <w:noWrap/>
            <w:vAlign w:val="bottom"/>
            <w:hideMark/>
          </w:tcPr>
          <w:p w14:paraId="570D926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68</w:t>
            </w:r>
          </w:p>
        </w:tc>
        <w:tc>
          <w:tcPr>
            <w:tcW w:w="1320" w:type="dxa"/>
            <w:tcBorders>
              <w:top w:val="nil"/>
              <w:left w:val="nil"/>
              <w:bottom w:val="nil"/>
              <w:right w:val="nil"/>
            </w:tcBorders>
            <w:shd w:val="clear" w:color="auto" w:fill="auto"/>
            <w:noWrap/>
            <w:vAlign w:val="bottom"/>
            <w:hideMark/>
          </w:tcPr>
          <w:p w14:paraId="3EB595C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130</w:t>
            </w:r>
          </w:p>
        </w:tc>
        <w:tc>
          <w:tcPr>
            <w:tcW w:w="1320" w:type="dxa"/>
            <w:tcBorders>
              <w:top w:val="nil"/>
              <w:left w:val="nil"/>
              <w:bottom w:val="nil"/>
              <w:right w:val="single" w:sz="4" w:space="0" w:color="auto"/>
            </w:tcBorders>
            <w:shd w:val="clear" w:color="auto" w:fill="DAEEF3" w:themeFill="accent5" w:themeFillTint="33"/>
            <w:noWrap/>
            <w:vAlign w:val="bottom"/>
            <w:hideMark/>
          </w:tcPr>
          <w:p w14:paraId="573F43B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97</w:t>
            </w:r>
          </w:p>
        </w:tc>
      </w:tr>
      <w:tr w:rsidR="00876EFC" w:rsidRPr="001565F1" w14:paraId="483738F2" w14:textId="77777777" w:rsidTr="00F2448E">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234A1B18"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163" w:type="dxa"/>
            <w:tcBorders>
              <w:top w:val="nil"/>
              <w:left w:val="nil"/>
              <w:bottom w:val="nil"/>
              <w:right w:val="nil"/>
            </w:tcBorders>
            <w:shd w:val="clear" w:color="auto" w:fill="auto"/>
            <w:noWrap/>
            <w:vAlign w:val="bottom"/>
            <w:hideMark/>
          </w:tcPr>
          <w:p w14:paraId="6CFE396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113</w:t>
            </w:r>
          </w:p>
        </w:tc>
        <w:tc>
          <w:tcPr>
            <w:tcW w:w="1320" w:type="dxa"/>
            <w:tcBorders>
              <w:top w:val="nil"/>
              <w:left w:val="nil"/>
              <w:bottom w:val="nil"/>
              <w:right w:val="nil"/>
            </w:tcBorders>
            <w:shd w:val="clear" w:color="auto" w:fill="DAEEF3" w:themeFill="accent5" w:themeFillTint="33"/>
            <w:noWrap/>
            <w:vAlign w:val="bottom"/>
            <w:hideMark/>
          </w:tcPr>
          <w:p w14:paraId="6FEC8AB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113</w:t>
            </w:r>
          </w:p>
        </w:tc>
        <w:tc>
          <w:tcPr>
            <w:tcW w:w="1320" w:type="dxa"/>
            <w:tcBorders>
              <w:top w:val="nil"/>
              <w:left w:val="nil"/>
              <w:bottom w:val="nil"/>
              <w:right w:val="nil"/>
            </w:tcBorders>
            <w:shd w:val="clear" w:color="auto" w:fill="auto"/>
            <w:noWrap/>
            <w:vAlign w:val="bottom"/>
            <w:hideMark/>
          </w:tcPr>
          <w:p w14:paraId="6092832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113</w:t>
            </w:r>
          </w:p>
        </w:tc>
        <w:tc>
          <w:tcPr>
            <w:tcW w:w="1319" w:type="dxa"/>
            <w:tcBorders>
              <w:top w:val="nil"/>
              <w:left w:val="nil"/>
              <w:bottom w:val="nil"/>
              <w:right w:val="nil"/>
            </w:tcBorders>
            <w:shd w:val="clear" w:color="auto" w:fill="DAEEF3" w:themeFill="accent5" w:themeFillTint="33"/>
            <w:noWrap/>
            <w:vAlign w:val="bottom"/>
            <w:hideMark/>
          </w:tcPr>
          <w:p w14:paraId="6FBDF53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101</w:t>
            </w:r>
          </w:p>
        </w:tc>
        <w:tc>
          <w:tcPr>
            <w:tcW w:w="1320" w:type="dxa"/>
            <w:tcBorders>
              <w:top w:val="nil"/>
              <w:left w:val="nil"/>
              <w:bottom w:val="nil"/>
              <w:right w:val="nil"/>
            </w:tcBorders>
            <w:shd w:val="clear" w:color="auto" w:fill="auto"/>
            <w:noWrap/>
            <w:vAlign w:val="bottom"/>
            <w:hideMark/>
          </w:tcPr>
          <w:p w14:paraId="6575F3F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56</w:t>
            </w:r>
          </w:p>
        </w:tc>
        <w:tc>
          <w:tcPr>
            <w:tcW w:w="1320" w:type="dxa"/>
            <w:tcBorders>
              <w:top w:val="nil"/>
              <w:left w:val="nil"/>
              <w:bottom w:val="nil"/>
              <w:right w:val="nil"/>
            </w:tcBorders>
            <w:shd w:val="clear" w:color="auto" w:fill="DAEEF3" w:themeFill="accent5" w:themeFillTint="33"/>
            <w:noWrap/>
            <w:vAlign w:val="bottom"/>
            <w:hideMark/>
          </w:tcPr>
          <w:p w14:paraId="791DE7A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71</w:t>
            </w:r>
          </w:p>
        </w:tc>
        <w:tc>
          <w:tcPr>
            <w:tcW w:w="1319" w:type="dxa"/>
            <w:tcBorders>
              <w:top w:val="nil"/>
              <w:left w:val="nil"/>
              <w:bottom w:val="nil"/>
              <w:right w:val="nil"/>
            </w:tcBorders>
            <w:shd w:val="clear" w:color="auto" w:fill="auto"/>
            <w:noWrap/>
            <w:vAlign w:val="bottom"/>
            <w:hideMark/>
          </w:tcPr>
          <w:p w14:paraId="0B4DF5F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44</w:t>
            </w:r>
          </w:p>
        </w:tc>
        <w:tc>
          <w:tcPr>
            <w:tcW w:w="1320" w:type="dxa"/>
            <w:tcBorders>
              <w:top w:val="nil"/>
              <w:left w:val="nil"/>
              <w:bottom w:val="nil"/>
              <w:right w:val="nil"/>
            </w:tcBorders>
            <w:shd w:val="clear" w:color="auto" w:fill="DAEEF3" w:themeFill="accent5" w:themeFillTint="33"/>
            <w:noWrap/>
            <w:vAlign w:val="bottom"/>
            <w:hideMark/>
          </w:tcPr>
          <w:p w14:paraId="48E128F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38</w:t>
            </w:r>
          </w:p>
        </w:tc>
        <w:tc>
          <w:tcPr>
            <w:tcW w:w="1320" w:type="dxa"/>
            <w:tcBorders>
              <w:top w:val="nil"/>
              <w:left w:val="nil"/>
              <w:bottom w:val="nil"/>
              <w:right w:val="nil"/>
            </w:tcBorders>
            <w:shd w:val="clear" w:color="auto" w:fill="auto"/>
            <w:noWrap/>
            <w:vAlign w:val="bottom"/>
            <w:hideMark/>
          </w:tcPr>
          <w:p w14:paraId="00EC923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74</w:t>
            </w:r>
          </w:p>
        </w:tc>
        <w:tc>
          <w:tcPr>
            <w:tcW w:w="1320" w:type="dxa"/>
            <w:tcBorders>
              <w:top w:val="nil"/>
              <w:left w:val="nil"/>
              <w:bottom w:val="nil"/>
              <w:right w:val="single" w:sz="4" w:space="0" w:color="auto"/>
            </w:tcBorders>
            <w:shd w:val="clear" w:color="auto" w:fill="DAEEF3" w:themeFill="accent5" w:themeFillTint="33"/>
            <w:noWrap/>
            <w:vAlign w:val="bottom"/>
            <w:hideMark/>
          </w:tcPr>
          <w:p w14:paraId="0EB1708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48</w:t>
            </w:r>
          </w:p>
        </w:tc>
      </w:tr>
      <w:tr w:rsidR="00876EFC" w:rsidRPr="001565F1" w14:paraId="048FB45C" w14:textId="77777777" w:rsidTr="00F2448E">
        <w:trPr>
          <w:trHeight w:val="204"/>
        </w:trPr>
        <w:tc>
          <w:tcPr>
            <w:tcW w:w="1858" w:type="dxa"/>
            <w:tcBorders>
              <w:top w:val="nil"/>
              <w:left w:val="single" w:sz="4" w:space="0" w:color="auto"/>
              <w:bottom w:val="nil"/>
              <w:right w:val="nil"/>
            </w:tcBorders>
            <w:shd w:val="clear" w:color="auto" w:fill="DAEEF3" w:themeFill="accent5" w:themeFillTint="33"/>
            <w:noWrap/>
            <w:vAlign w:val="bottom"/>
            <w:hideMark/>
          </w:tcPr>
          <w:p w14:paraId="099086F4"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163" w:type="dxa"/>
            <w:tcBorders>
              <w:top w:val="nil"/>
              <w:left w:val="nil"/>
              <w:bottom w:val="nil"/>
              <w:right w:val="nil"/>
            </w:tcBorders>
            <w:shd w:val="clear" w:color="auto" w:fill="auto"/>
            <w:noWrap/>
            <w:vAlign w:val="bottom"/>
            <w:hideMark/>
          </w:tcPr>
          <w:p w14:paraId="0895F12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87</w:t>
            </w:r>
          </w:p>
        </w:tc>
        <w:tc>
          <w:tcPr>
            <w:tcW w:w="1320" w:type="dxa"/>
            <w:tcBorders>
              <w:top w:val="nil"/>
              <w:left w:val="nil"/>
              <w:bottom w:val="nil"/>
              <w:right w:val="nil"/>
            </w:tcBorders>
            <w:shd w:val="clear" w:color="auto" w:fill="DAEEF3" w:themeFill="accent5" w:themeFillTint="33"/>
            <w:noWrap/>
            <w:vAlign w:val="bottom"/>
            <w:hideMark/>
          </w:tcPr>
          <w:p w14:paraId="7B50DC4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101</w:t>
            </w:r>
          </w:p>
        </w:tc>
        <w:tc>
          <w:tcPr>
            <w:tcW w:w="1320" w:type="dxa"/>
            <w:tcBorders>
              <w:top w:val="nil"/>
              <w:left w:val="nil"/>
              <w:bottom w:val="nil"/>
              <w:right w:val="nil"/>
            </w:tcBorders>
            <w:shd w:val="clear" w:color="auto" w:fill="auto"/>
            <w:noWrap/>
            <w:vAlign w:val="bottom"/>
            <w:hideMark/>
          </w:tcPr>
          <w:p w14:paraId="681E6BD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77</w:t>
            </w:r>
          </w:p>
        </w:tc>
        <w:tc>
          <w:tcPr>
            <w:tcW w:w="1319" w:type="dxa"/>
            <w:tcBorders>
              <w:top w:val="nil"/>
              <w:left w:val="nil"/>
              <w:bottom w:val="nil"/>
              <w:right w:val="nil"/>
            </w:tcBorders>
            <w:shd w:val="clear" w:color="auto" w:fill="DAEEF3" w:themeFill="accent5" w:themeFillTint="33"/>
            <w:noWrap/>
            <w:vAlign w:val="bottom"/>
            <w:hideMark/>
          </w:tcPr>
          <w:p w14:paraId="721C538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45</w:t>
            </w:r>
          </w:p>
        </w:tc>
        <w:tc>
          <w:tcPr>
            <w:tcW w:w="1320" w:type="dxa"/>
            <w:tcBorders>
              <w:top w:val="nil"/>
              <w:left w:val="nil"/>
              <w:bottom w:val="nil"/>
              <w:right w:val="nil"/>
            </w:tcBorders>
            <w:shd w:val="clear" w:color="auto" w:fill="auto"/>
            <w:noWrap/>
            <w:vAlign w:val="bottom"/>
            <w:hideMark/>
          </w:tcPr>
          <w:p w14:paraId="43BE1B6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w:t>
            </w:r>
          </w:p>
        </w:tc>
        <w:tc>
          <w:tcPr>
            <w:tcW w:w="1320" w:type="dxa"/>
            <w:tcBorders>
              <w:top w:val="nil"/>
              <w:left w:val="nil"/>
              <w:bottom w:val="nil"/>
              <w:right w:val="nil"/>
            </w:tcBorders>
            <w:shd w:val="clear" w:color="auto" w:fill="DAEEF3" w:themeFill="accent5" w:themeFillTint="33"/>
            <w:noWrap/>
            <w:vAlign w:val="bottom"/>
            <w:hideMark/>
          </w:tcPr>
          <w:p w14:paraId="6F2DBD2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38</w:t>
            </w:r>
          </w:p>
        </w:tc>
        <w:tc>
          <w:tcPr>
            <w:tcW w:w="1319" w:type="dxa"/>
            <w:tcBorders>
              <w:top w:val="nil"/>
              <w:left w:val="nil"/>
              <w:bottom w:val="nil"/>
              <w:right w:val="nil"/>
            </w:tcBorders>
            <w:shd w:val="clear" w:color="auto" w:fill="auto"/>
            <w:noWrap/>
            <w:vAlign w:val="bottom"/>
            <w:hideMark/>
          </w:tcPr>
          <w:p w14:paraId="48BE0AE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64</w:t>
            </w:r>
          </w:p>
        </w:tc>
        <w:tc>
          <w:tcPr>
            <w:tcW w:w="1320" w:type="dxa"/>
            <w:tcBorders>
              <w:top w:val="nil"/>
              <w:left w:val="nil"/>
              <w:bottom w:val="nil"/>
              <w:right w:val="nil"/>
            </w:tcBorders>
            <w:shd w:val="clear" w:color="auto" w:fill="DAEEF3" w:themeFill="accent5" w:themeFillTint="33"/>
            <w:noWrap/>
            <w:vAlign w:val="bottom"/>
            <w:hideMark/>
          </w:tcPr>
          <w:p w14:paraId="3DB557C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w:t>
            </w:r>
          </w:p>
        </w:tc>
        <w:tc>
          <w:tcPr>
            <w:tcW w:w="1320" w:type="dxa"/>
            <w:tcBorders>
              <w:top w:val="nil"/>
              <w:left w:val="nil"/>
              <w:bottom w:val="nil"/>
              <w:right w:val="nil"/>
            </w:tcBorders>
            <w:shd w:val="clear" w:color="auto" w:fill="auto"/>
            <w:noWrap/>
            <w:vAlign w:val="bottom"/>
            <w:hideMark/>
          </w:tcPr>
          <w:p w14:paraId="70F60E1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56</w:t>
            </w:r>
          </w:p>
        </w:tc>
        <w:tc>
          <w:tcPr>
            <w:tcW w:w="1320" w:type="dxa"/>
            <w:tcBorders>
              <w:top w:val="nil"/>
              <w:left w:val="nil"/>
              <w:bottom w:val="nil"/>
              <w:right w:val="single" w:sz="4" w:space="0" w:color="auto"/>
            </w:tcBorders>
            <w:shd w:val="clear" w:color="auto" w:fill="DAEEF3" w:themeFill="accent5" w:themeFillTint="33"/>
            <w:noWrap/>
            <w:vAlign w:val="bottom"/>
            <w:hideMark/>
          </w:tcPr>
          <w:p w14:paraId="2A867DA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49</w:t>
            </w:r>
          </w:p>
        </w:tc>
      </w:tr>
      <w:tr w:rsidR="00876EFC" w:rsidRPr="00DA0360" w14:paraId="790C3858" w14:textId="77777777" w:rsidTr="00F2448E">
        <w:trPr>
          <w:trHeight w:val="204"/>
        </w:trPr>
        <w:tc>
          <w:tcPr>
            <w:tcW w:w="1858" w:type="dxa"/>
            <w:tcBorders>
              <w:top w:val="nil"/>
              <w:left w:val="single" w:sz="4" w:space="0" w:color="auto"/>
              <w:bottom w:val="single" w:sz="4" w:space="0" w:color="auto"/>
              <w:right w:val="nil"/>
            </w:tcBorders>
            <w:shd w:val="clear" w:color="auto" w:fill="DAEEF3" w:themeFill="accent5" w:themeFillTint="33"/>
            <w:noWrap/>
            <w:vAlign w:val="bottom"/>
            <w:hideMark/>
          </w:tcPr>
          <w:p w14:paraId="1806D97C"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163" w:type="dxa"/>
            <w:tcBorders>
              <w:top w:val="nil"/>
              <w:left w:val="nil"/>
              <w:bottom w:val="single" w:sz="4" w:space="0" w:color="auto"/>
              <w:right w:val="nil"/>
            </w:tcBorders>
            <w:shd w:val="clear" w:color="auto" w:fill="auto"/>
            <w:noWrap/>
            <w:vAlign w:val="bottom"/>
            <w:hideMark/>
          </w:tcPr>
          <w:p w14:paraId="59D21607"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857</w:t>
            </w:r>
          </w:p>
        </w:tc>
        <w:tc>
          <w:tcPr>
            <w:tcW w:w="1320" w:type="dxa"/>
            <w:tcBorders>
              <w:top w:val="nil"/>
              <w:left w:val="nil"/>
              <w:bottom w:val="single" w:sz="4" w:space="0" w:color="auto"/>
              <w:right w:val="nil"/>
            </w:tcBorders>
            <w:shd w:val="clear" w:color="auto" w:fill="DAEEF3" w:themeFill="accent5" w:themeFillTint="33"/>
            <w:noWrap/>
            <w:vAlign w:val="bottom"/>
            <w:hideMark/>
          </w:tcPr>
          <w:p w14:paraId="6BA3FC4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883</w:t>
            </w:r>
          </w:p>
        </w:tc>
        <w:tc>
          <w:tcPr>
            <w:tcW w:w="1320" w:type="dxa"/>
            <w:tcBorders>
              <w:top w:val="nil"/>
              <w:left w:val="nil"/>
              <w:bottom w:val="single" w:sz="4" w:space="0" w:color="auto"/>
              <w:right w:val="nil"/>
            </w:tcBorders>
            <w:shd w:val="clear" w:color="auto" w:fill="auto"/>
            <w:noWrap/>
            <w:vAlign w:val="bottom"/>
            <w:hideMark/>
          </w:tcPr>
          <w:p w14:paraId="0D124C0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851</w:t>
            </w:r>
          </w:p>
        </w:tc>
        <w:tc>
          <w:tcPr>
            <w:tcW w:w="1319" w:type="dxa"/>
            <w:tcBorders>
              <w:top w:val="nil"/>
              <w:left w:val="nil"/>
              <w:bottom w:val="single" w:sz="4" w:space="0" w:color="auto"/>
              <w:right w:val="nil"/>
            </w:tcBorders>
            <w:shd w:val="clear" w:color="auto" w:fill="DAEEF3" w:themeFill="accent5" w:themeFillTint="33"/>
            <w:noWrap/>
            <w:vAlign w:val="bottom"/>
            <w:hideMark/>
          </w:tcPr>
          <w:p w14:paraId="11FB2B0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677</w:t>
            </w:r>
          </w:p>
        </w:tc>
        <w:tc>
          <w:tcPr>
            <w:tcW w:w="1320" w:type="dxa"/>
            <w:tcBorders>
              <w:top w:val="nil"/>
              <w:left w:val="nil"/>
              <w:bottom w:val="single" w:sz="4" w:space="0" w:color="auto"/>
              <w:right w:val="nil"/>
            </w:tcBorders>
            <w:shd w:val="clear" w:color="auto" w:fill="auto"/>
            <w:noWrap/>
            <w:vAlign w:val="bottom"/>
            <w:hideMark/>
          </w:tcPr>
          <w:p w14:paraId="6BAE1211"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1346</w:t>
            </w:r>
          </w:p>
        </w:tc>
        <w:tc>
          <w:tcPr>
            <w:tcW w:w="1320" w:type="dxa"/>
            <w:tcBorders>
              <w:top w:val="nil"/>
              <w:left w:val="nil"/>
              <w:bottom w:val="single" w:sz="4" w:space="0" w:color="auto"/>
              <w:right w:val="nil"/>
            </w:tcBorders>
            <w:shd w:val="clear" w:color="auto" w:fill="DAEEF3" w:themeFill="accent5" w:themeFillTint="33"/>
            <w:noWrap/>
            <w:vAlign w:val="bottom"/>
            <w:hideMark/>
          </w:tcPr>
          <w:p w14:paraId="0FF7F94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824</w:t>
            </w:r>
          </w:p>
        </w:tc>
        <w:tc>
          <w:tcPr>
            <w:tcW w:w="1319" w:type="dxa"/>
            <w:tcBorders>
              <w:top w:val="nil"/>
              <w:left w:val="nil"/>
              <w:bottom w:val="single" w:sz="4" w:space="0" w:color="auto"/>
              <w:right w:val="nil"/>
            </w:tcBorders>
            <w:shd w:val="clear" w:color="auto" w:fill="auto"/>
            <w:noWrap/>
            <w:vAlign w:val="bottom"/>
            <w:hideMark/>
          </w:tcPr>
          <w:p w14:paraId="37240B2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534</w:t>
            </w:r>
          </w:p>
        </w:tc>
        <w:tc>
          <w:tcPr>
            <w:tcW w:w="1320" w:type="dxa"/>
            <w:tcBorders>
              <w:top w:val="nil"/>
              <w:left w:val="nil"/>
              <w:bottom w:val="single" w:sz="4" w:space="0" w:color="auto"/>
              <w:right w:val="nil"/>
            </w:tcBorders>
            <w:shd w:val="clear" w:color="auto" w:fill="DAEEF3" w:themeFill="accent5" w:themeFillTint="33"/>
            <w:noWrap/>
            <w:vAlign w:val="bottom"/>
            <w:hideMark/>
          </w:tcPr>
          <w:p w14:paraId="7CCD1E5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507</w:t>
            </w:r>
          </w:p>
        </w:tc>
        <w:tc>
          <w:tcPr>
            <w:tcW w:w="1320" w:type="dxa"/>
            <w:tcBorders>
              <w:top w:val="nil"/>
              <w:left w:val="nil"/>
              <w:bottom w:val="single" w:sz="4" w:space="0" w:color="auto"/>
              <w:right w:val="nil"/>
            </w:tcBorders>
            <w:shd w:val="clear" w:color="auto" w:fill="auto"/>
            <w:noWrap/>
            <w:vAlign w:val="bottom"/>
            <w:hideMark/>
          </w:tcPr>
          <w:p w14:paraId="64114EB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653</w:t>
            </w:r>
          </w:p>
        </w:tc>
        <w:tc>
          <w:tcPr>
            <w:tcW w:w="1320" w:type="dxa"/>
            <w:tcBorders>
              <w:top w:val="nil"/>
              <w:left w:val="nil"/>
              <w:bottom w:val="single" w:sz="4" w:space="0" w:color="auto"/>
              <w:right w:val="single" w:sz="4" w:space="0" w:color="auto"/>
            </w:tcBorders>
            <w:shd w:val="clear" w:color="auto" w:fill="DAEEF3" w:themeFill="accent5" w:themeFillTint="33"/>
            <w:noWrap/>
            <w:vAlign w:val="bottom"/>
            <w:hideMark/>
          </w:tcPr>
          <w:p w14:paraId="0705800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534</w:t>
            </w:r>
          </w:p>
        </w:tc>
      </w:tr>
      <w:tr w:rsidR="00876EFC" w:rsidRPr="00DA0360" w14:paraId="0C6E4CBA" w14:textId="77777777" w:rsidTr="00F2448E">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64DA7896"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Physical Abuse</w:t>
            </w:r>
          </w:p>
        </w:tc>
        <w:tc>
          <w:tcPr>
            <w:tcW w:w="1163" w:type="dxa"/>
            <w:tcBorders>
              <w:top w:val="nil"/>
              <w:left w:val="nil"/>
              <w:bottom w:val="nil"/>
              <w:right w:val="nil"/>
            </w:tcBorders>
            <w:shd w:val="clear" w:color="auto" w:fill="auto"/>
            <w:noWrap/>
            <w:vAlign w:val="bottom"/>
            <w:hideMark/>
          </w:tcPr>
          <w:p w14:paraId="2C50ECA2"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E5DFEC" w:themeFill="accent4" w:themeFillTint="33"/>
            <w:noWrap/>
            <w:vAlign w:val="bottom"/>
            <w:hideMark/>
          </w:tcPr>
          <w:p w14:paraId="3792CA09"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auto"/>
            <w:noWrap/>
            <w:vAlign w:val="bottom"/>
            <w:hideMark/>
          </w:tcPr>
          <w:p w14:paraId="155D842D" w14:textId="77777777" w:rsidR="00876EFC" w:rsidRPr="00DA0360" w:rsidRDefault="00876EFC" w:rsidP="00CE2FDF">
            <w:pPr>
              <w:spacing w:before="0" w:line="276" w:lineRule="auto"/>
              <w:jc w:val="right"/>
              <w:rPr>
                <w:rFonts w:eastAsia="Times New Roman" w:cs="Arial"/>
                <w:b/>
                <w:color w:val="FF0000"/>
                <w:lang w:eastAsia="en-AU"/>
              </w:rPr>
            </w:pPr>
          </w:p>
        </w:tc>
        <w:tc>
          <w:tcPr>
            <w:tcW w:w="1319" w:type="dxa"/>
            <w:tcBorders>
              <w:top w:val="nil"/>
              <w:left w:val="nil"/>
              <w:bottom w:val="nil"/>
              <w:right w:val="nil"/>
            </w:tcBorders>
            <w:shd w:val="clear" w:color="auto" w:fill="E5DFEC" w:themeFill="accent4" w:themeFillTint="33"/>
            <w:noWrap/>
            <w:vAlign w:val="bottom"/>
            <w:hideMark/>
          </w:tcPr>
          <w:p w14:paraId="3FA48212"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auto"/>
            <w:noWrap/>
            <w:vAlign w:val="bottom"/>
            <w:hideMark/>
          </w:tcPr>
          <w:p w14:paraId="251ED092"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E5DFEC" w:themeFill="accent4" w:themeFillTint="33"/>
            <w:noWrap/>
            <w:vAlign w:val="bottom"/>
            <w:hideMark/>
          </w:tcPr>
          <w:p w14:paraId="2A343753" w14:textId="77777777" w:rsidR="00876EFC" w:rsidRPr="00DA0360" w:rsidRDefault="00876EFC" w:rsidP="00CE2FDF">
            <w:pPr>
              <w:spacing w:before="0" w:line="276" w:lineRule="auto"/>
              <w:jc w:val="right"/>
              <w:rPr>
                <w:rFonts w:eastAsia="Times New Roman" w:cs="Arial"/>
                <w:b/>
                <w:color w:val="FF0000"/>
                <w:lang w:eastAsia="en-AU"/>
              </w:rPr>
            </w:pPr>
          </w:p>
        </w:tc>
        <w:tc>
          <w:tcPr>
            <w:tcW w:w="1319" w:type="dxa"/>
            <w:tcBorders>
              <w:top w:val="nil"/>
              <w:left w:val="nil"/>
              <w:bottom w:val="nil"/>
              <w:right w:val="nil"/>
            </w:tcBorders>
            <w:shd w:val="clear" w:color="auto" w:fill="auto"/>
            <w:noWrap/>
            <w:vAlign w:val="bottom"/>
            <w:hideMark/>
          </w:tcPr>
          <w:p w14:paraId="303B2D2A"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E5DFEC" w:themeFill="accent4" w:themeFillTint="33"/>
            <w:noWrap/>
            <w:vAlign w:val="bottom"/>
            <w:hideMark/>
          </w:tcPr>
          <w:p w14:paraId="69407F12"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auto"/>
            <w:noWrap/>
            <w:vAlign w:val="bottom"/>
            <w:hideMark/>
          </w:tcPr>
          <w:p w14:paraId="6A57B512"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single" w:sz="4" w:space="0" w:color="auto"/>
            </w:tcBorders>
            <w:shd w:val="clear" w:color="auto" w:fill="E5DFEC" w:themeFill="accent4" w:themeFillTint="33"/>
            <w:noWrap/>
            <w:vAlign w:val="bottom"/>
            <w:hideMark/>
          </w:tcPr>
          <w:p w14:paraId="41CA6415"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4E3A4561" w14:textId="77777777" w:rsidTr="00F2448E">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7E823FE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163" w:type="dxa"/>
            <w:tcBorders>
              <w:top w:val="nil"/>
              <w:left w:val="nil"/>
              <w:bottom w:val="nil"/>
              <w:right w:val="nil"/>
            </w:tcBorders>
            <w:shd w:val="clear" w:color="auto" w:fill="auto"/>
            <w:noWrap/>
            <w:vAlign w:val="bottom"/>
            <w:hideMark/>
          </w:tcPr>
          <w:p w14:paraId="65DA73E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801</w:t>
            </w:r>
          </w:p>
        </w:tc>
        <w:tc>
          <w:tcPr>
            <w:tcW w:w="1320" w:type="dxa"/>
            <w:tcBorders>
              <w:top w:val="nil"/>
              <w:left w:val="nil"/>
              <w:bottom w:val="nil"/>
              <w:right w:val="nil"/>
            </w:tcBorders>
            <w:shd w:val="clear" w:color="auto" w:fill="E5DFEC" w:themeFill="accent4" w:themeFillTint="33"/>
            <w:noWrap/>
            <w:vAlign w:val="bottom"/>
            <w:hideMark/>
          </w:tcPr>
          <w:p w14:paraId="089E6AC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857</w:t>
            </w:r>
          </w:p>
        </w:tc>
        <w:tc>
          <w:tcPr>
            <w:tcW w:w="1320" w:type="dxa"/>
            <w:tcBorders>
              <w:top w:val="nil"/>
              <w:left w:val="nil"/>
              <w:bottom w:val="nil"/>
              <w:right w:val="nil"/>
            </w:tcBorders>
            <w:shd w:val="clear" w:color="auto" w:fill="auto"/>
            <w:noWrap/>
            <w:vAlign w:val="bottom"/>
            <w:hideMark/>
          </w:tcPr>
          <w:p w14:paraId="4072E45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823</w:t>
            </w:r>
          </w:p>
        </w:tc>
        <w:tc>
          <w:tcPr>
            <w:tcW w:w="1319" w:type="dxa"/>
            <w:tcBorders>
              <w:top w:val="nil"/>
              <w:left w:val="nil"/>
              <w:bottom w:val="nil"/>
              <w:right w:val="nil"/>
            </w:tcBorders>
            <w:shd w:val="clear" w:color="auto" w:fill="E5DFEC" w:themeFill="accent4" w:themeFillTint="33"/>
            <w:noWrap/>
            <w:vAlign w:val="bottom"/>
            <w:hideMark/>
          </w:tcPr>
          <w:p w14:paraId="12AE3F6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140</w:t>
            </w:r>
          </w:p>
        </w:tc>
        <w:tc>
          <w:tcPr>
            <w:tcW w:w="1320" w:type="dxa"/>
            <w:tcBorders>
              <w:top w:val="nil"/>
              <w:left w:val="nil"/>
              <w:bottom w:val="nil"/>
              <w:right w:val="nil"/>
            </w:tcBorders>
            <w:shd w:val="clear" w:color="auto" w:fill="auto"/>
            <w:noWrap/>
            <w:vAlign w:val="bottom"/>
            <w:hideMark/>
          </w:tcPr>
          <w:p w14:paraId="41C3714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902</w:t>
            </w:r>
          </w:p>
        </w:tc>
        <w:tc>
          <w:tcPr>
            <w:tcW w:w="1320" w:type="dxa"/>
            <w:tcBorders>
              <w:top w:val="nil"/>
              <w:left w:val="nil"/>
              <w:bottom w:val="nil"/>
              <w:right w:val="nil"/>
            </w:tcBorders>
            <w:shd w:val="clear" w:color="auto" w:fill="E5DFEC" w:themeFill="accent4" w:themeFillTint="33"/>
            <w:noWrap/>
            <w:vAlign w:val="bottom"/>
            <w:hideMark/>
          </w:tcPr>
          <w:p w14:paraId="01DD1A8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633</w:t>
            </w:r>
          </w:p>
        </w:tc>
        <w:tc>
          <w:tcPr>
            <w:tcW w:w="1319" w:type="dxa"/>
            <w:tcBorders>
              <w:top w:val="nil"/>
              <w:left w:val="nil"/>
              <w:bottom w:val="nil"/>
              <w:right w:val="nil"/>
            </w:tcBorders>
            <w:shd w:val="clear" w:color="auto" w:fill="auto"/>
            <w:noWrap/>
            <w:vAlign w:val="bottom"/>
            <w:hideMark/>
          </w:tcPr>
          <w:p w14:paraId="1A4FFBF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979</w:t>
            </w:r>
          </w:p>
        </w:tc>
        <w:tc>
          <w:tcPr>
            <w:tcW w:w="1320" w:type="dxa"/>
            <w:tcBorders>
              <w:top w:val="nil"/>
              <w:left w:val="nil"/>
              <w:bottom w:val="nil"/>
              <w:right w:val="nil"/>
            </w:tcBorders>
            <w:shd w:val="clear" w:color="auto" w:fill="E5DFEC" w:themeFill="accent4" w:themeFillTint="33"/>
            <w:noWrap/>
            <w:vAlign w:val="bottom"/>
            <w:hideMark/>
          </w:tcPr>
          <w:p w14:paraId="098333A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078</w:t>
            </w:r>
          </w:p>
        </w:tc>
        <w:tc>
          <w:tcPr>
            <w:tcW w:w="1320" w:type="dxa"/>
            <w:tcBorders>
              <w:top w:val="nil"/>
              <w:left w:val="nil"/>
              <w:bottom w:val="nil"/>
              <w:right w:val="nil"/>
            </w:tcBorders>
            <w:shd w:val="clear" w:color="auto" w:fill="auto"/>
            <w:noWrap/>
            <w:vAlign w:val="bottom"/>
            <w:hideMark/>
          </w:tcPr>
          <w:p w14:paraId="0960E86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206</w:t>
            </w:r>
          </w:p>
        </w:tc>
        <w:tc>
          <w:tcPr>
            <w:tcW w:w="1320" w:type="dxa"/>
            <w:tcBorders>
              <w:top w:val="nil"/>
              <w:left w:val="nil"/>
              <w:bottom w:val="nil"/>
              <w:right w:val="single" w:sz="4" w:space="0" w:color="auto"/>
            </w:tcBorders>
            <w:shd w:val="clear" w:color="auto" w:fill="E5DFEC" w:themeFill="accent4" w:themeFillTint="33"/>
            <w:noWrap/>
            <w:vAlign w:val="bottom"/>
            <w:hideMark/>
          </w:tcPr>
          <w:p w14:paraId="65C1933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r w:rsidR="00F2448E">
              <w:rPr>
                <w:rFonts w:eastAsia="Times New Roman" w:cs="Arial"/>
                <w:color w:val="000000"/>
                <w:lang w:eastAsia="en-AU"/>
              </w:rPr>
              <w:t>,</w:t>
            </w:r>
            <w:r w:rsidRPr="001565F1">
              <w:rPr>
                <w:rFonts w:eastAsia="Times New Roman" w:cs="Arial"/>
                <w:color w:val="000000"/>
                <w:lang w:eastAsia="en-AU"/>
              </w:rPr>
              <w:t>308</w:t>
            </w:r>
          </w:p>
        </w:tc>
      </w:tr>
      <w:tr w:rsidR="000E61DB" w:rsidRPr="001565F1" w14:paraId="2ABC0FA3" w14:textId="77777777" w:rsidTr="00F2448E">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2C847940"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163" w:type="dxa"/>
            <w:tcBorders>
              <w:top w:val="nil"/>
              <w:left w:val="nil"/>
              <w:bottom w:val="nil"/>
              <w:right w:val="nil"/>
            </w:tcBorders>
            <w:shd w:val="clear" w:color="auto" w:fill="auto"/>
            <w:noWrap/>
            <w:vAlign w:val="bottom"/>
            <w:hideMark/>
          </w:tcPr>
          <w:p w14:paraId="712C4C0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729</w:t>
            </w:r>
          </w:p>
        </w:tc>
        <w:tc>
          <w:tcPr>
            <w:tcW w:w="1320" w:type="dxa"/>
            <w:tcBorders>
              <w:top w:val="nil"/>
              <w:left w:val="nil"/>
              <w:bottom w:val="nil"/>
              <w:right w:val="nil"/>
            </w:tcBorders>
            <w:shd w:val="clear" w:color="auto" w:fill="E5DFEC" w:themeFill="accent4" w:themeFillTint="33"/>
            <w:noWrap/>
            <w:vAlign w:val="bottom"/>
            <w:hideMark/>
          </w:tcPr>
          <w:p w14:paraId="4B6CFF0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681</w:t>
            </w:r>
          </w:p>
        </w:tc>
        <w:tc>
          <w:tcPr>
            <w:tcW w:w="1320" w:type="dxa"/>
            <w:tcBorders>
              <w:top w:val="nil"/>
              <w:left w:val="nil"/>
              <w:bottom w:val="nil"/>
              <w:right w:val="nil"/>
            </w:tcBorders>
            <w:shd w:val="clear" w:color="auto" w:fill="auto"/>
            <w:noWrap/>
            <w:vAlign w:val="bottom"/>
            <w:hideMark/>
          </w:tcPr>
          <w:p w14:paraId="2F80BE2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590</w:t>
            </w:r>
          </w:p>
        </w:tc>
        <w:tc>
          <w:tcPr>
            <w:tcW w:w="1319" w:type="dxa"/>
            <w:tcBorders>
              <w:top w:val="nil"/>
              <w:left w:val="nil"/>
              <w:bottom w:val="nil"/>
              <w:right w:val="nil"/>
            </w:tcBorders>
            <w:shd w:val="clear" w:color="auto" w:fill="E5DFEC" w:themeFill="accent4" w:themeFillTint="33"/>
            <w:noWrap/>
            <w:vAlign w:val="bottom"/>
            <w:hideMark/>
          </w:tcPr>
          <w:p w14:paraId="790AEB3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637</w:t>
            </w:r>
          </w:p>
        </w:tc>
        <w:tc>
          <w:tcPr>
            <w:tcW w:w="1320" w:type="dxa"/>
            <w:tcBorders>
              <w:top w:val="nil"/>
              <w:left w:val="nil"/>
              <w:bottom w:val="nil"/>
              <w:right w:val="nil"/>
            </w:tcBorders>
            <w:shd w:val="clear" w:color="auto" w:fill="auto"/>
            <w:noWrap/>
            <w:vAlign w:val="bottom"/>
            <w:hideMark/>
          </w:tcPr>
          <w:p w14:paraId="32EEF7D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837</w:t>
            </w:r>
          </w:p>
        </w:tc>
        <w:tc>
          <w:tcPr>
            <w:tcW w:w="1320" w:type="dxa"/>
            <w:tcBorders>
              <w:top w:val="nil"/>
              <w:left w:val="nil"/>
              <w:bottom w:val="nil"/>
              <w:right w:val="nil"/>
            </w:tcBorders>
            <w:shd w:val="clear" w:color="auto" w:fill="E5DFEC" w:themeFill="accent4" w:themeFillTint="33"/>
            <w:noWrap/>
            <w:vAlign w:val="bottom"/>
            <w:hideMark/>
          </w:tcPr>
          <w:p w14:paraId="14A7095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020</w:t>
            </w:r>
          </w:p>
        </w:tc>
        <w:tc>
          <w:tcPr>
            <w:tcW w:w="1319" w:type="dxa"/>
            <w:tcBorders>
              <w:top w:val="nil"/>
              <w:left w:val="nil"/>
              <w:bottom w:val="nil"/>
              <w:right w:val="nil"/>
            </w:tcBorders>
            <w:shd w:val="clear" w:color="auto" w:fill="auto"/>
            <w:noWrap/>
            <w:vAlign w:val="bottom"/>
            <w:hideMark/>
          </w:tcPr>
          <w:p w14:paraId="671E095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241</w:t>
            </w:r>
          </w:p>
        </w:tc>
        <w:tc>
          <w:tcPr>
            <w:tcW w:w="1320" w:type="dxa"/>
            <w:tcBorders>
              <w:top w:val="nil"/>
              <w:left w:val="nil"/>
              <w:bottom w:val="nil"/>
              <w:right w:val="nil"/>
            </w:tcBorders>
            <w:shd w:val="clear" w:color="auto" w:fill="E5DFEC" w:themeFill="accent4" w:themeFillTint="33"/>
            <w:noWrap/>
            <w:vAlign w:val="bottom"/>
            <w:hideMark/>
          </w:tcPr>
          <w:p w14:paraId="065984C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262</w:t>
            </w:r>
          </w:p>
        </w:tc>
        <w:tc>
          <w:tcPr>
            <w:tcW w:w="1320" w:type="dxa"/>
            <w:tcBorders>
              <w:top w:val="nil"/>
              <w:left w:val="nil"/>
              <w:bottom w:val="nil"/>
              <w:right w:val="nil"/>
            </w:tcBorders>
            <w:shd w:val="clear" w:color="auto" w:fill="auto"/>
            <w:noWrap/>
            <w:vAlign w:val="bottom"/>
            <w:hideMark/>
          </w:tcPr>
          <w:p w14:paraId="3346CFC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399</w:t>
            </w:r>
          </w:p>
        </w:tc>
        <w:tc>
          <w:tcPr>
            <w:tcW w:w="1320" w:type="dxa"/>
            <w:tcBorders>
              <w:top w:val="nil"/>
              <w:left w:val="nil"/>
              <w:bottom w:val="nil"/>
              <w:right w:val="single" w:sz="4" w:space="0" w:color="auto"/>
            </w:tcBorders>
            <w:shd w:val="clear" w:color="auto" w:fill="E5DFEC" w:themeFill="accent4" w:themeFillTint="33"/>
            <w:noWrap/>
            <w:vAlign w:val="bottom"/>
            <w:hideMark/>
          </w:tcPr>
          <w:p w14:paraId="3E9D11A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r w:rsidR="00F2448E">
              <w:rPr>
                <w:rFonts w:eastAsia="Times New Roman" w:cs="Arial"/>
                <w:color w:val="000000"/>
                <w:lang w:eastAsia="en-AU"/>
              </w:rPr>
              <w:t>,</w:t>
            </w:r>
            <w:r w:rsidRPr="001565F1">
              <w:rPr>
                <w:rFonts w:eastAsia="Times New Roman" w:cs="Arial"/>
                <w:color w:val="000000"/>
                <w:lang w:eastAsia="en-AU"/>
              </w:rPr>
              <w:t>655</w:t>
            </w:r>
          </w:p>
        </w:tc>
      </w:tr>
      <w:tr w:rsidR="00876EFC" w:rsidRPr="001565F1" w14:paraId="05F45465" w14:textId="77777777" w:rsidTr="00F2448E">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0BB0A860"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163" w:type="dxa"/>
            <w:tcBorders>
              <w:top w:val="nil"/>
              <w:left w:val="nil"/>
              <w:bottom w:val="nil"/>
              <w:right w:val="nil"/>
            </w:tcBorders>
            <w:shd w:val="clear" w:color="auto" w:fill="auto"/>
            <w:noWrap/>
            <w:vAlign w:val="bottom"/>
            <w:hideMark/>
          </w:tcPr>
          <w:p w14:paraId="13381B4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395</w:t>
            </w:r>
          </w:p>
        </w:tc>
        <w:tc>
          <w:tcPr>
            <w:tcW w:w="1320" w:type="dxa"/>
            <w:tcBorders>
              <w:top w:val="nil"/>
              <w:left w:val="nil"/>
              <w:bottom w:val="nil"/>
              <w:right w:val="nil"/>
            </w:tcBorders>
            <w:shd w:val="clear" w:color="auto" w:fill="E5DFEC" w:themeFill="accent4" w:themeFillTint="33"/>
            <w:noWrap/>
            <w:vAlign w:val="bottom"/>
            <w:hideMark/>
          </w:tcPr>
          <w:p w14:paraId="6A7B59A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407</w:t>
            </w:r>
          </w:p>
        </w:tc>
        <w:tc>
          <w:tcPr>
            <w:tcW w:w="1320" w:type="dxa"/>
            <w:tcBorders>
              <w:top w:val="nil"/>
              <w:left w:val="nil"/>
              <w:bottom w:val="nil"/>
              <w:right w:val="nil"/>
            </w:tcBorders>
            <w:shd w:val="clear" w:color="auto" w:fill="auto"/>
            <w:noWrap/>
            <w:vAlign w:val="bottom"/>
            <w:hideMark/>
          </w:tcPr>
          <w:p w14:paraId="192BDE0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407</w:t>
            </w:r>
          </w:p>
        </w:tc>
        <w:tc>
          <w:tcPr>
            <w:tcW w:w="1319" w:type="dxa"/>
            <w:tcBorders>
              <w:top w:val="nil"/>
              <w:left w:val="nil"/>
              <w:bottom w:val="nil"/>
              <w:right w:val="nil"/>
            </w:tcBorders>
            <w:shd w:val="clear" w:color="auto" w:fill="E5DFEC" w:themeFill="accent4" w:themeFillTint="33"/>
            <w:noWrap/>
            <w:vAlign w:val="bottom"/>
            <w:hideMark/>
          </w:tcPr>
          <w:p w14:paraId="42F14B0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411</w:t>
            </w:r>
          </w:p>
        </w:tc>
        <w:tc>
          <w:tcPr>
            <w:tcW w:w="1320" w:type="dxa"/>
            <w:tcBorders>
              <w:top w:val="nil"/>
              <w:left w:val="nil"/>
              <w:bottom w:val="nil"/>
              <w:right w:val="nil"/>
            </w:tcBorders>
            <w:shd w:val="clear" w:color="auto" w:fill="auto"/>
            <w:noWrap/>
            <w:vAlign w:val="bottom"/>
            <w:hideMark/>
          </w:tcPr>
          <w:p w14:paraId="3DD8CE0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531</w:t>
            </w:r>
          </w:p>
        </w:tc>
        <w:tc>
          <w:tcPr>
            <w:tcW w:w="1320" w:type="dxa"/>
            <w:tcBorders>
              <w:top w:val="nil"/>
              <w:left w:val="nil"/>
              <w:bottom w:val="nil"/>
              <w:right w:val="nil"/>
            </w:tcBorders>
            <w:shd w:val="clear" w:color="auto" w:fill="E5DFEC" w:themeFill="accent4" w:themeFillTint="33"/>
            <w:noWrap/>
            <w:vAlign w:val="bottom"/>
            <w:hideMark/>
          </w:tcPr>
          <w:p w14:paraId="41656F2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596</w:t>
            </w:r>
          </w:p>
        </w:tc>
        <w:tc>
          <w:tcPr>
            <w:tcW w:w="1319" w:type="dxa"/>
            <w:tcBorders>
              <w:top w:val="nil"/>
              <w:left w:val="nil"/>
              <w:bottom w:val="nil"/>
              <w:right w:val="nil"/>
            </w:tcBorders>
            <w:shd w:val="clear" w:color="auto" w:fill="auto"/>
            <w:noWrap/>
            <w:vAlign w:val="bottom"/>
            <w:hideMark/>
          </w:tcPr>
          <w:p w14:paraId="6B6658B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665</w:t>
            </w:r>
          </w:p>
        </w:tc>
        <w:tc>
          <w:tcPr>
            <w:tcW w:w="1320" w:type="dxa"/>
            <w:tcBorders>
              <w:top w:val="nil"/>
              <w:left w:val="nil"/>
              <w:bottom w:val="nil"/>
              <w:right w:val="nil"/>
            </w:tcBorders>
            <w:shd w:val="clear" w:color="auto" w:fill="E5DFEC" w:themeFill="accent4" w:themeFillTint="33"/>
            <w:noWrap/>
            <w:vAlign w:val="bottom"/>
            <w:hideMark/>
          </w:tcPr>
          <w:p w14:paraId="5065BEF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667</w:t>
            </w:r>
          </w:p>
        </w:tc>
        <w:tc>
          <w:tcPr>
            <w:tcW w:w="1320" w:type="dxa"/>
            <w:tcBorders>
              <w:top w:val="nil"/>
              <w:left w:val="nil"/>
              <w:bottom w:val="nil"/>
              <w:right w:val="nil"/>
            </w:tcBorders>
            <w:shd w:val="clear" w:color="auto" w:fill="auto"/>
            <w:noWrap/>
            <w:vAlign w:val="bottom"/>
            <w:hideMark/>
          </w:tcPr>
          <w:p w14:paraId="6A5AFD6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795</w:t>
            </w:r>
          </w:p>
        </w:tc>
        <w:tc>
          <w:tcPr>
            <w:tcW w:w="1320" w:type="dxa"/>
            <w:tcBorders>
              <w:top w:val="nil"/>
              <w:left w:val="nil"/>
              <w:bottom w:val="nil"/>
              <w:right w:val="single" w:sz="4" w:space="0" w:color="auto"/>
            </w:tcBorders>
            <w:shd w:val="clear" w:color="auto" w:fill="E5DFEC" w:themeFill="accent4" w:themeFillTint="33"/>
            <w:noWrap/>
            <w:vAlign w:val="bottom"/>
            <w:hideMark/>
          </w:tcPr>
          <w:p w14:paraId="3FB7B70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932</w:t>
            </w:r>
          </w:p>
        </w:tc>
      </w:tr>
      <w:tr w:rsidR="00876EFC" w:rsidRPr="001565F1" w14:paraId="75C64042" w14:textId="77777777" w:rsidTr="00F2448E">
        <w:trPr>
          <w:trHeight w:val="204"/>
        </w:trPr>
        <w:tc>
          <w:tcPr>
            <w:tcW w:w="1858" w:type="dxa"/>
            <w:tcBorders>
              <w:top w:val="nil"/>
              <w:left w:val="single" w:sz="4" w:space="0" w:color="auto"/>
              <w:bottom w:val="nil"/>
              <w:right w:val="nil"/>
            </w:tcBorders>
            <w:shd w:val="clear" w:color="auto" w:fill="E5DFEC" w:themeFill="accent4" w:themeFillTint="33"/>
            <w:noWrap/>
            <w:vAlign w:val="bottom"/>
            <w:hideMark/>
          </w:tcPr>
          <w:p w14:paraId="09564E8F"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163" w:type="dxa"/>
            <w:tcBorders>
              <w:top w:val="nil"/>
              <w:left w:val="nil"/>
              <w:bottom w:val="nil"/>
              <w:right w:val="nil"/>
            </w:tcBorders>
            <w:shd w:val="clear" w:color="auto" w:fill="auto"/>
            <w:noWrap/>
            <w:vAlign w:val="bottom"/>
            <w:hideMark/>
          </w:tcPr>
          <w:p w14:paraId="4F10695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334</w:t>
            </w:r>
          </w:p>
        </w:tc>
        <w:tc>
          <w:tcPr>
            <w:tcW w:w="1320" w:type="dxa"/>
            <w:tcBorders>
              <w:top w:val="nil"/>
              <w:left w:val="nil"/>
              <w:bottom w:val="nil"/>
              <w:right w:val="nil"/>
            </w:tcBorders>
            <w:shd w:val="clear" w:color="auto" w:fill="E5DFEC" w:themeFill="accent4" w:themeFillTint="33"/>
            <w:noWrap/>
            <w:vAlign w:val="bottom"/>
            <w:hideMark/>
          </w:tcPr>
          <w:p w14:paraId="43A5FA9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274</w:t>
            </w:r>
          </w:p>
        </w:tc>
        <w:tc>
          <w:tcPr>
            <w:tcW w:w="1320" w:type="dxa"/>
            <w:tcBorders>
              <w:top w:val="nil"/>
              <w:left w:val="nil"/>
              <w:bottom w:val="nil"/>
              <w:right w:val="nil"/>
            </w:tcBorders>
            <w:shd w:val="clear" w:color="auto" w:fill="auto"/>
            <w:noWrap/>
            <w:vAlign w:val="bottom"/>
            <w:hideMark/>
          </w:tcPr>
          <w:p w14:paraId="518B070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183</w:t>
            </w:r>
          </w:p>
        </w:tc>
        <w:tc>
          <w:tcPr>
            <w:tcW w:w="1319" w:type="dxa"/>
            <w:tcBorders>
              <w:top w:val="nil"/>
              <w:left w:val="nil"/>
              <w:bottom w:val="nil"/>
              <w:right w:val="nil"/>
            </w:tcBorders>
            <w:shd w:val="clear" w:color="auto" w:fill="E5DFEC" w:themeFill="accent4" w:themeFillTint="33"/>
            <w:noWrap/>
            <w:vAlign w:val="bottom"/>
            <w:hideMark/>
          </w:tcPr>
          <w:p w14:paraId="5D98D29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226</w:t>
            </w:r>
          </w:p>
        </w:tc>
        <w:tc>
          <w:tcPr>
            <w:tcW w:w="1320" w:type="dxa"/>
            <w:tcBorders>
              <w:top w:val="nil"/>
              <w:left w:val="nil"/>
              <w:bottom w:val="nil"/>
              <w:right w:val="nil"/>
            </w:tcBorders>
            <w:shd w:val="clear" w:color="auto" w:fill="auto"/>
            <w:noWrap/>
            <w:vAlign w:val="bottom"/>
            <w:hideMark/>
          </w:tcPr>
          <w:p w14:paraId="4AD4805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306</w:t>
            </w:r>
          </w:p>
        </w:tc>
        <w:tc>
          <w:tcPr>
            <w:tcW w:w="1320" w:type="dxa"/>
            <w:tcBorders>
              <w:top w:val="nil"/>
              <w:left w:val="nil"/>
              <w:bottom w:val="nil"/>
              <w:right w:val="nil"/>
            </w:tcBorders>
            <w:shd w:val="clear" w:color="auto" w:fill="E5DFEC" w:themeFill="accent4" w:themeFillTint="33"/>
            <w:noWrap/>
            <w:vAlign w:val="bottom"/>
            <w:hideMark/>
          </w:tcPr>
          <w:p w14:paraId="554B6E8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424</w:t>
            </w:r>
          </w:p>
        </w:tc>
        <w:tc>
          <w:tcPr>
            <w:tcW w:w="1319" w:type="dxa"/>
            <w:tcBorders>
              <w:top w:val="nil"/>
              <w:left w:val="nil"/>
              <w:bottom w:val="nil"/>
              <w:right w:val="nil"/>
            </w:tcBorders>
            <w:shd w:val="clear" w:color="auto" w:fill="auto"/>
            <w:noWrap/>
            <w:vAlign w:val="bottom"/>
            <w:hideMark/>
          </w:tcPr>
          <w:p w14:paraId="49DB24D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576</w:t>
            </w:r>
          </w:p>
        </w:tc>
        <w:tc>
          <w:tcPr>
            <w:tcW w:w="1320" w:type="dxa"/>
            <w:tcBorders>
              <w:top w:val="nil"/>
              <w:left w:val="nil"/>
              <w:bottom w:val="nil"/>
              <w:right w:val="nil"/>
            </w:tcBorders>
            <w:shd w:val="clear" w:color="auto" w:fill="E5DFEC" w:themeFill="accent4" w:themeFillTint="33"/>
            <w:noWrap/>
            <w:vAlign w:val="bottom"/>
            <w:hideMark/>
          </w:tcPr>
          <w:p w14:paraId="77219EC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595</w:t>
            </w:r>
          </w:p>
        </w:tc>
        <w:tc>
          <w:tcPr>
            <w:tcW w:w="1320" w:type="dxa"/>
            <w:tcBorders>
              <w:top w:val="nil"/>
              <w:left w:val="nil"/>
              <w:bottom w:val="nil"/>
              <w:right w:val="nil"/>
            </w:tcBorders>
            <w:shd w:val="clear" w:color="auto" w:fill="auto"/>
            <w:noWrap/>
            <w:vAlign w:val="bottom"/>
            <w:hideMark/>
          </w:tcPr>
          <w:p w14:paraId="5FD615F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604</w:t>
            </w:r>
          </w:p>
        </w:tc>
        <w:tc>
          <w:tcPr>
            <w:tcW w:w="1320" w:type="dxa"/>
            <w:tcBorders>
              <w:top w:val="nil"/>
              <w:left w:val="nil"/>
              <w:bottom w:val="nil"/>
              <w:right w:val="single" w:sz="4" w:space="0" w:color="auto"/>
            </w:tcBorders>
            <w:shd w:val="clear" w:color="auto" w:fill="E5DFEC" w:themeFill="accent4" w:themeFillTint="33"/>
            <w:noWrap/>
            <w:vAlign w:val="bottom"/>
            <w:hideMark/>
          </w:tcPr>
          <w:p w14:paraId="3316339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723</w:t>
            </w:r>
          </w:p>
        </w:tc>
      </w:tr>
      <w:tr w:rsidR="00876EFC" w:rsidRPr="00DA0360" w14:paraId="6A0F02AC" w14:textId="77777777" w:rsidTr="00F2448E">
        <w:trPr>
          <w:trHeight w:val="204"/>
        </w:trPr>
        <w:tc>
          <w:tcPr>
            <w:tcW w:w="1858" w:type="dxa"/>
            <w:tcBorders>
              <w:top w:val="nil"/>
              <w:left w:val="single" w:sz="4" w:space="0" w:color="auto"/>
              <w:bottom w:val="single" w:sz="4" w:space="0" w:color="auto"/>
              <w:right w:val="nil"/>
            </w:tcBorders>
            <w:shd w:val="clear" w:color="auto" w:fill="E5DFEC" w:themeFill="accent4" w:themeFillTint="33"/>
            <w:noWrap/>
            <w:vAlign w:val="bottom"/>
            <w:hideMark/>
          </w:tcPr>
          <w:p w14:paraId="519C0F59"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163" w:type="dxa"/>
            <w:tcBorders>
              <w:top w:val="nil"/>
              <w:left w:val="nil"/>
              <w:bottom w:val="single" w:sz="4" w:space="0" w:color="auto"/>
              <w:right w:val="nil"/>
            </w:tcBorders>
            <w:shd w:val="clear" w:color="auto" w:fill="auto"/>
            <w:noWrap/>
            <w:vAlign w:val="bottom"/>
            <w:hideMark/>
          </w:tcPr>
          <w:p w14:paraId="6B05AE6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530</w:t>
            </w:r>
          </w:p>
        </w:tc>
        <w:tc>
          <w:tcPr>
            <w:tcW w:w="1320" w:type="dxa"/>
            <w:tcBorders>
              <w:top w:val="nil"/>
              <w:left w:val="nil"/>
              <w:bottom w:val="single" w:sz="4" w:space="0" w:color="auto"/>
              <w:right w:val="nil"/>
            </w:tcBorders>
            <w:shd w:val="clear" w:color="auto" w:fill="E5DFEC" w:themeFill="accent4" w:themeFillTint="33"/>
            <w:noWrap/>
            <w:vAlign w:val="bottom"/>
            <w:hideMark/>
          </w:tcPr>
          <w:p w14:paraId="5400CD4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538</w:t>
            </w:r>
          </w:p>
        </w:tc>
        <w:tc>
          <w:tcPr>
            <w:tcW w:w="1320" w:type="dxa"/>
            <w:tcBorders>
              <w:top w:val="nil"/>
              <w:left w:val="nil"/>
              <w:bottom w:val="single" w:sz="4" w:space="0" w:color="auto"/>
              <w:right w:val="nil"/>
            </w:tcBorders>
            <w:shd w:val="clear" w:color="auto" w:fill="auto"/>
            <w:noWrap/>
            <w:vAlign w:val="bottom"/>
            <w:hideMark/>
          </w:tcPr>
          <w:p w14:paraId="3DCF320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413</w:t>
            </w:r>
          </w:p>
        </w:tc>
        <w:tc>
          <w:tcPr>
            <w:tcW w:w="1319" w:type="dxa"/>
            <w:tcBorders>
              <w:top w:val="nil"/>
              <w:left w:val="nil"/>
              <w:bottom w:val="single" w:sz="4" w:space="0" w:color="auto"/>
              <w:right w:val="nil"/>
            </w:tcBorders>
            <w:shd w:val="clear" w:color="auto" w:fill="E5DFEC" w:themeFill="accent4" w:themeFillTint="33"/>
            <w:noWrap/>
            <w:vAlign w:val="bottom"/>
            <w:hideMark/>
          </w:tcPr>
          <w:p w14:paraId="50BEC9E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777</w:t>
            </w:r>
          </w:p>
        </w:tc>
        <w:tc>
          <w:tcPr>
            <w:tcW w:w="1320" w:type="dxa"/>
            <w:tcBorders>
              <w:top w:val="nil"/>
              <w:left w:val="nil"/>
              <w:bottom w:val="single" w:sz="4" w:space="0" w:color="auto"/>
              <w:right w:val="nil"/>
            </w:tcBorders>
            <w:shd w:val="clear" w:color="auto" w:fill="auto"/>
            <w:noWrap/>
            <w:vAlign w:val="bottom"/>
            <w:hideMark/>
          </w:tcPr>
          <w:p w14:paraId="42536AF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739</w:t>
            </w:r>
          </w:p>
        </w:tc>
        <w:tc>
          <w:tcPr>
            <w:tcW w:w="1320" w:type="dxa"/>
            <w:tcBorders>
              <w:top w:val="nil"/>
              <w:left w:val="nil"/>
              <w:bottom w:val="single" w:sz="4" w:space="0" w:color="auto"/>
              <w:right w:val="nil"/>
            </w:tcBorders>
            <w:shd w:val="clear" w:color="auto" w:fill="E5DFEC" w:themeFill="accent4" w:themeFillTint="33"/>
            <w:noWrap/>
            <w:vAlign w:val="bottom"/>
            <w:hideMark/>
          </w:tcPr>
          <w:p w14:paraId="153B88B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w:t>
            </w:r>
            <w:r w:rsidR="00F2448E">
              <w:rPr>
                <w:rFonts w:eastAsia="Times New Roman" w:cs="Arial"/>
                <w:b/>
                <w:color w:val="000000"/>
                <w:lang w:eastAsia="en-AU"/>
              </w:rPr>
              <w:t>,</w:t>
            </w:r>
            <w:r w:rsidRPr="00DA0360">
              <w:rPr>
                <w:rFonts w:eastAsia="Times New Roman" w:cs="Arial"/>
                <w:b/>
                <w:color w:val="000000"/>
                <w:lang w:eastAsia="en-AU"/>
              </w:rPr>
              <w:t>653</w:t>
            </w:r>
          </w:p>
        </w:tc>
        <w:tc>
          <w:tcPr>
            <w:tcW w:w="1319" w:type="dxa"/>
            <w:tcBorders>
              <w:top w:val="nil"/>
              <w:left w:val="nil"/>
              <w:bottom w:val="single" w:sz="4" w:space="0" w:color="auto"/>
              <w:right w:val="nil"/>
            </w:tcBorders>
            <w:shd w:val="clear" w:color="auto" w:fill="auto"/>
            <w:noWrap/>
            <w:vAlign w:val="bottom"/>
            <w:hideMark/>
          </w:tcPr>
          <w:p w14:paraId="27F84EB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220</w:t>
            </w:r>
          </w:p>
        </w:tc>
        <w:tc>
          <w:tcPr>
            <w:tcW w:w="1320" w:type="dxa"/>
            <w:tcBorders>
              <w:top w:val="nil"/>
              <w:left w:val="nil"/>
              <w:bottom w:val="single" w:sz="4" w:space="0" w:color="auto"/>
              <w:right w:val="nil"/>
            </w:tcBorders>
            <w:shd w:val="clear" w:color="auto" w:fill="E5DFEC" w:themeFill="accent4" w:themeFillTint="33"/>
            <w:noWrap/>
            <w:vAlign w:val="bottom"/>
            <w:hideMark/>
          </w:tcPr>
          <w:p w14:paraId="7BF0767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340</w:t>
            </w:r>
          </w:p>
        </w:tc>
        <w:tc>
          <w:tcPr>
            <w:tcW w:w="1320" w:type="dxa"/>
            <w:tcBorders>
              <w:top w:val="nil"/>
              <w:left w:val="nil"/>
              <w:bottom w:val="single" w:sz="4" w:space="0" w:color="auto"/>
              <w:right w:val="nil"/>
            </w:tcBorders>
            <w:shd w:val="clear" w:color="auto" w:fill="auto"/>
            <w:noWrap/>
            <w:vAlign w:val="bottom"/>
            <w:hideMark/>
          </w:tcPr>
          <w:p w14:paraId="52FE28C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605</w:t>
            </w:r>
          </w:p>
        </w:tc>
        <w:tc>
          <w:tcPr>
            <w:tcW w:w="1320" w:type="dxa"/>
            <w:tcBorders>
              <w:top w:val="nil"/>
              <w:left w:val="nil"/>
              <w:bottom w:val="single" w:sz="4" w:space="0" w:color="auto"/>
              <w:right w:val="single" w:sz="4" w:space="0" w:color="auto"/>
            </w:tcBorders>
            <w:shd w:val="clear" w:color="auto" w:fill="E5DFEC" w:themeFill="accent4" w:themeFillTint="33"/>
            <w:noWrap/>
            <w:vAlign w:val="bottom"/>
            <w:hideMark/>
          </w:tcPr>
          <w:p w14:paraId="7B6EF08B"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w:t>
            </w:r>
            <w:r w:rsidR="00F2448E">
              <w:rPr>
                <w:rFonts w:eastAsia="Times New Roman" w:cs="Arial"/>
                <w:b/>
                <w:color w:val="000000"/>
                <w:lang w:eastAsia="en-AU"/>
              </w:rPr>
              <w:t>,</w:t>
            </w:r>
            <w:r w:rsidRPr="00DA0360">
              <w:rPr>
                <w:rFonts w:eastAsia="Times New Roman" w:cs="Arial"/>
                <w:b/>
                <w:color w:val="000000"/>
                <w:lang w:eastAsia="en-AU"/>
              </w:rPr>
              <w:t>963</w:t>
            </w:r>
          </w:p>
        </w:tc>
      </w:tr>
      <w:tr w:rsidR="00876EFC" w:rsidRPr="00DA0360" w14:paraId="76BF6DC0" w14:textId="77777777" w:rsidTr="00F2448E">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5CE67C31"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Sexual Abuse</w:t>
            </w:r>
          </w:p>
        </w:tc>
        <w:tc>
          <w:tcPr>
            <w:tcW w:w="1163" w:type="dxa"/>
            <w:tcBorders>
              <w:top w:val="nil"/>
              <w:left w:val="nil"/>
              <w:bottom w:val="nil"/>
              <w:right w:val="nil"/>
            </w:tcBorders>
            <w:shd w:val="clear" w:color="auto" w:fill="auto"/>
            <w:noWrap/>
            <w:vAlign w:val="bottom"/>
            <w:hideMark/>
          </w:tcPr>
          <w:p w14:paraId="1137395F"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F2DBDB" w:themeFill="accent2" w:themeFillTint="33"/>
            <w:noWrap/>
            <w:vAlign w:val="bottom"/>
            <w:hideMark/>
          </w:tcPr>
          <w:p w14:paraId="0EA0B5A0"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auto"/>
            <w:noWrap/>
            <w:vAlign w:val="bottom"/>
            <w:hideMark/>
          </w:tcPr>
          <w:p w14:paraId="466472DF" w14:textId="77777777" w:rsidR="00876EFC" w:rsidRPr="00DA0360" w:rsidRDefault="00876EFC" w:rsidP="00CE2FDF">
            <w:pPr>
              <w:spacing w:before="0" w:line="276" w:lineRule="auto"/>
              <w:jc w:val="right"/>
              <w:rPr>
                <w:rFonts w:eastAsia="Times New Roman" w:cs="Arial"/>
                <w:b/>
                <w:color w:val="FF0000"/>
                <w:lang w:eastAsia="en-AU"/>
              </w:rPr>
            </w:pPr>
          </w:p>
        </w:tc>
        <w:tc>
          <w:tcPr>
            <w:tcW w:w="1319" w:type="dxa"/>
            <w:tcBorders>
              <w:top w:val="nil"/>
              <w:left w:val="nil"/>
              <w:bottom w:val="nil"/>
              <w:right w:val="nil"/>
            </w:tcBorders>
            <w:shd w:val="clear" w:color="auto" w:fill="F2DBDB" w:themeFill="accent2" w:themeFillTint="33"/>
            <w:noWrap/>
            <w:vAlign w:val="bottom"/>
            <w:hideMark/>
          </w:tcPr>
          <w:p w14:paraId="1697B440"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auto"/>
            <w:noWrap/>
            <w:vAlign w:val="bottom"/>
            <w:hideMark/>
          </w:tcPr>
          <w:p w14:paraId="54EAA98E"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F2DBDB" w:themeFill="accent2" w:themeFillTint="33"/>
            <w:noWrap/>
            <w:vAlign w:val="bottom"/>
            <w:hideMark/>
          </w:tcPr>
          <w:p w14:paraId="4977902A" w14:textId="77777777" w:rsidR="00876EFC" w:rsidRPr="00DA0360" w:rsidRDefault="00876EFC" w:rsidP="00CE2FDF">
            <w:pPr>
              <w:spacing w:before="0" w:line="276" w:lineRule="auto"/>
              <w:jc w:val="right"/>
              <w:rPr>
                <w:rFonts w:eastAsia="Times New Roman" w:cs="Arial"/>
                <w:b/>
                <w:color w:val="FF0000"/>
                <w:lang w:eastAsia="en-AU"/>
              </w:rPr>
            </w:pPr>
          </w:p>
        </w:tc>
        <w:tc>
          <w:tcPr>
            <w:tcW w:w="1319" w:type="dxa"/>
            <w:tcBorders>
              <w:top w:val="nil"/>
              <w:left w:val="nil"/>
              <w:bottom w:val="nil"/>
              <w:right w:val="nil"/>
            </w:tcBorders>
            <w:shd w:val="clear" w:color="auto" w:fill="auto"/>
            <w:noWrap/>
            <w:vAlign w:val="bottom"/>
            <w:hideMark/>
          </w:tcPr>
          <w:p w14:paraId="0AE28476"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F2DBDB" w:themeFill="accent2" w:themeFillTint="33"/>
            <w:noWrap/>
            <w:vAlign w:val="bottom"/>
            <w:hideMark/>
          </w:tcPr>
          <w:p w14:paraId="2F00573E"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nil"/>
            </w:tcBorders>
            <w:shd w:val="clear" w:color="auto" w:fill="auto"/>
            <w:noWrap/>
            <w:vAlign w:val="bottom"/>
            <w:hideMark/>
          </w:tcPr>
          <w:p w14:paraId="3B1FBE17" w14:textId="77777777" w:rsidR="00876EFC" w:rsidRPr="00DA0360" w:rsidRDefault="00876EFC" w:rsidP="00CE2FDF">
            <w:pPr>
              <w:spacing w:before="0" w:line="276" w:lineRule="auto"/>
              <w:jc w:val="right"/>
              <w:rPr>
                <w:rFonts w:eastAsia="Times New Roman" w:cs="Arial"/>
                <w:b/>
                <w:color w:val="FF0000"/>
                <w:lang w:eastAsia="en-AU"/>
              </w:rPr>
            </w:pPr>
          </w:p>
        </w:tc>
        <w:tc>
          <w:tcPr>
            <w:tcW w:w="1320" w:type="dxa"/>
            <w:tcBorders>
              <w:top w:val="nil"/>
              <w:left w:val="nil"/>
              <w:bottom w:val="nil"/>
              <w:right w:val="single" w:sz="4" w:space="0" w:color="auto"/>
            </w:tcBorders>
            <w:shd w:val="clear" w:color="auto" w:fill="F2DBDB" w:themeFill="accent2" w:themeFillTint="33"/>
            <w:noWrap/>
            <w:vAlign w:val="bottom"/>
            <w:hideMark/>
          </w:tcPr>
          <w:p w14:paraId="4BCC46A8"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6472857A" w14:textId="77777777" w:rsidTr="00F2448E">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28E24CF9"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163" w:type="dxa"/>
            <w:tcBorders>
              <w:top w:val="nil"/>
              <w:left w:val="nil"/>
              <w:bottom w:val="nil"/>
              <w:right w:val="nil"/>
            </w:tcBorders>
            <w:shd w:val="clear" w:color="auto" w:fill="auto"/>
            <w:noWrap/>
            <w:vAlign w:val="bottom"/>
            <w:hideMark/>
          </w:tcPr>
          <w:p w14:paraId="0CAFA76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258</w:t>
            </w:r>
          </w:p>
        </w:tc>
        <w:tc>
          <w:tcPr>
            <w:tcW w:w="1320" w:type="dxa"/>
            <w:tcBorders>
              <w:top w:val="nil"/>
              <w:left w:val="nil"/>
              <w:bottom w:val="nil"/>
              <w:right w:val="nil"/>
            </w:tcBorders>
            <w:shd w:val="clear" w:color="auto" w:fill="F2DBDB" w:themeFill="accent2" w:themeFillTint="33"/>
            <w:noWrap/>
            <w:vAlign w:val="bottom"/>
            <w:hideMark/>
          </w:tcPr>
          <w:p w14:paraId="49B6D89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305</w:t>
            </w:r>
          </w:p>
        </w:tc>
        <w:tc>
          <w:tcPr>
            <w:tcW w:w="1320" w:type="dxa"/>
            <w:tcBorders>
              <w:top w:val="nil"/>
              <w:left w:val="nil"/>
              <w:bottom w:val="nil"/>
              <w:right w:val="nil"/>
            </w:tcBorders>
            <w:shd w:val="clear" w:color="auto" w:fill="auto"/>
            <w:noWrap/>
            <w:vAlign w:val="bottom"/>
            <w:hideMark/>
          </w:tcPr>
          <w:p w14:paraId="069EEF9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328</w:t>
            </w:r>
          </w:p>
        </w:tc>
        <w:tc>
          <w:tcPr>
            <w:tcW w:w="1319" w:type="dxa"/>
            <w:tcBorders>
              <w:top w:val="nil"/>
              <w:left w:val="nil"/>
              <w:bottom w:val="nil"/>
              <w:right w:val="nil"/>
            </w:tcBorders>
            <w:shd w:val="clear" w:color="auto" w:fill="F2DBDB" w:themeFill="accent2" w:themeFillTint="33"/>
            <w:noWrap/>
            <w:vAlign w:val="bottom"/>
            <w:hideMark/>
          </w:tcPr>
          <w:p w14:paraId="1A5A678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387</w:t>
            </w:r>
          </w:p>
        </w:tc>
        <w:tc>
          <w:tcPr>
            <w:tcW w:w="1320" w:type="dxa"/>
            <w:tcBorders>
              <w:top w:val="nil"/>
              <w:left w:val="nil"/>
              <w:bottom w:val="nil"/>
              <w:right w:val="nil"/>
            </w:tcBorders>
            <w:shd w:val="clear" w:color="auto" w:fill="auto"/>
            <w:noWrap/>
            <w:vAlign w:val="bottom"/>
            <w:hideMark/>
          </w:tcPr>
          <w:p w14:paraId="19432AB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265</w:t>
            </w:r>
          </w:p>
        </w:tc>
        <w:tc>
          <w:tcPr>
            <w:tcW w:w="1320" w:type="dxa"/>
            <w:tcBorders>
              <w:top w:val="nil"/>
              <w:left w:val="nil"/>
              <w:bottom w:val="nil"/>
              <w:right w:val="nil"/>
            </w:tcBorders>
            <w:shd w:val="clear" w:color="auto" w:fill="F2DBDB" w:themeFill="accent2" w:themeFillTint="33"/>
            <w:noWrap/>
            <w:vAlign w:val="bottom"/>
            <w:hideMark/>
          </w:tcPr>
          <w:p w14:paraId="40CAABE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460</w:t>
            </w:r>
          </w:p>
        </w:tc>
        <w:tc>
          <w:tcPr>
            <w:tcW w:w="1319" w:type="dxa"/>
            <w:tcBorders>
              <w:top w:val="nil"/>
              <w:left w:val="nil"/>
              <w:bottom w:val="nil"/>
              <w:right w:val="nil"/>
            </w:tcBorders>
            <w:shd w:val="clear" w:color="auto" w:fill="auto"/>
            <w:noWrap/>
            <w:vAlign w:val="bottom"/>
            <w:hideMark/>
          </w:tcPr>
          <w:p w14:paraId="3A31E60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429</w:t>
            </w:r>
          </w:p>
        </w:tc>
        <w:tc>
          <w:tcPr>
            <w:tcW w:w="1320" w:type="dxa"/>
            <w:tcBorders>
              <w:top w:val="nil"/>
              <w:left w:val="nil"/>
              <w:bottom w:val="nil"/>
              <w:right w:val="nil"/>
            </w:tcBorders>
            <w:shd w:val="clear" w:color="auto" w:fill="F2DBDB" w:themeFill="accent2" w:themeFillTint="33"/>
            <w:noWrap/>
            <w:vAlign w:val="bottom"/>
            <w:hideMark/>
          </w:tcPr>
          <w:p w14:paraId="2752995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545</w:t>
            </w:r>
          </w:p>
        </w:tc>
        <w:tc>
          <w:tcPr>
            <w:tcW w:w="1320" w:type="dxa"/>
            <w:tcBorders>
              <w:top w:val="nil"/>
              <w:left w:val="nil"/>
              <w:bottom w:val="nil"/>
              <w:right w:val="nil"/>
            </w:tcBorders>
            <w:shd w:val="clear" w:color="auto" w:fill="auto"/>
            <w:noWrap/>
            <w:vAlign w:val="bottom"/>
            <w:hideMark/>
          </w:tcPr>
          <w:p w14:paraId="26D0C58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564</w:t>
            </w:r>
          </w:p>
        </w:tc>
        <w:tc>
          <w:tcPr>
            <w:tcW w:w="1320" w:type="dxa"/>
            <w:tcBorders>
              <w:top w:val="nil"/>
              <w:left w:val="nil"/>
              <w:bottom w:val="nil"/>
              <w:right w:val="single" w:sz="4" w:space="0" w:color="auto"/>
            </w:tcBorders>
            <w:shd w:val="clear" w:color="auto" w:fill="F2DBDB" w:themeFill="accent2" w:themeFillTint="33"/>
            <w:noWrap/>
            <w:vAlign w:val="bottom"/>
            <w:hideMark/>
          </w:tcPr>
          <w:p w14:paraId="323633E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640</w:t>
            </w:r>
          </w:p>
        </w:tc>
      </w:tr>
      <w:tr w:rsidR="000E61DB" w:rsidRPr="001565F1" w14:paraId="78338738" w14:textId="77777777" w:rsidTr="00F2448E">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187781A0"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163" w:type="dxa"/>
            <w:tcBorders>
              <w:top w:val="nil"/>
              <w:left w:val="nil"/>
              <w:bottom w:val="nil"/>
              <w:right w:val="nil"/>
            </w:tcBorders>
            <w:shd w:val="clear" w:color="auto" w:fill="auto"/>
            <w:noWrap/>
            <w:vAlign w:val="bottom"/>
            <w:hideMark/>
          </w:tcPr>
          <w:p w14:paraId="3BB4849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173</w:t>
            </w:r>
          </w:p>
        </w:tc>
        <w:tc>
          <w:tcPr>
            <w:tcW w:w="1320" w:type="dxa"/>
            <w:tcBorders>
              <w:top w:val="nil"/>
              <w:left w:val="nil"/>
              <w:bottom w:val="nil"/>
              <w:right w:val="nil"/>
            </w:tcBorders>
            <w:shd w:val="clear" w:color="auto" w:fill="F2DBDB" w:themeFill="accent2" w:themeFillTint="33"/>
            <w:noWrap/>
            <w:vAlign w:val="bottom"/>
            <w:hideMark/>
          </w:tcPr>
          <w:p w14:paraId="175011F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165</w:t>
            </w:r>
          </w:p>
        </w:tc>
        <w:tc>
          <w:tcPr>
            <w:tcW w:w="1320" w:type="dxa"/>
            <w:tcBorders>
              <w:top w:val="nil"/>
              <w:left w:val="nil"/>
              <w:bottom w:val="nil"/>
              <w:right w:val="nil"/>
            </w:tcBorders>
            <w:shd w:val="clear" w:color="auto" w:fill="auto"/>
            <w:noWrap/>
            <w:vAlign w:val="bottom"/>
            <w:hideMark/>
          </w:tcPr>
          <w:p w14:paraId="75CDFA8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149</w:t>
            </w:r>
          </w:p>
        </w:tc>
        <w:tc>
          <w:tcPr>
            <w:tcW w:w="1319" w:type="dxa"/>
            <w:tcBorders>
              <w:top w:val="nil"/>
              <w:left w:val="nil"/>
              <w:bottom w:val="nil"/>
              <w:right w:val="nil"/>
            </w:tcBorders>
            <w:shd w:val="clear" w:color="auto" w:fill="F2DBDB" w:themeFill="accent2" w:themeFillTint="33"/>
            <w:noWrap/>
            <w:vAlign w:val="bottom"/>
            <w:hideMark/>
          </w:tcPr>
          <w:p w14:paraId="7A11306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150</w:t>
            </w:r>
          </w:p>
        </w:tc>
        <w:tc>
          <w:tcPr>
            <w:tcW w:w="1320" w:type="dxa"/>
            <w:tcBorders>
              <w:top w:val="nil"/>
              <w:left w:val="nil"/>
              <w:bottom w:val="nil"/>
              <w:right w:val="nil"/>
            </w:tcBorders>
            <w:shd w:val="clear" w:color="auto" w:fill="auto"/>
            <w:noWrap/>
            <w:vAlign w:val="bottom"/>
            <w:hideMark/>
          </w:tcPr>
          <w:p w14:paraId="007A1EE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155</w:t>
            </w:r>
          </w:p>
        </w:tc>
        <w:tc>
          <w:tcPr>
            <w:tcW w:w="1320" w:type="dxa"/>
            <w:tcBorders>
              <w:top w:val="nil"/>
              <w:left w:val="nil"/>
              <w:bottom w:val="nil"/>
              <w:right w:val="nil"/>
            </w:tcBorders>
            <w:shd w:val="clear" w:color="auto" w:fill="F2DBDB" w:themeFill="accent2" w:themeFillTint="33"/>
            <w:noWrap/>
            <w:vAlign w:val="bottom"/>
            <w:hideMark/>
          </w:tcPr>
          <w:p w14:paraId="6800752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232</w:t>
            </w:r>
          </w:p>
        </w:tc>
        <w:tc>
          <w:tcPr>
            <w:tcW w:w="1319" w:type="dxa"/>
            <w:tcBorders>
              <w:top w:val="nil"/>
              <w:left w:val="nil"/>
              <w:bottom w:val="nil"/>
              <w:right w:val="nil"/>
            </w:tcBorders>
            <w:shd w:val="clear" w:color="auto" w:fill="auto"/>
            <w:noWrap/>
            <w:vAlign w:val="bottom"/>
            <w:hideMark/>
          </w:tcPr>
          <w:p w14:paraId="749A84C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208</w:t>
            </w:r>
          </w:p>
        </w:tc>
        <w:tc>
          <w:tcPr>
            <w:tcW w:w="1320" w:type="dxa"/>
            <w:tcBorders>
              <w:top w:val="nil"/>
              <w:left w:val="nil"/>
              <w:bottom w:val="nil"/>
              <w:right w:val="nil"/>
            </w:tcBorders>
            <w:shd w:val="clear" w:color="auto" w:fill="F2DBDB" w:themeFill="accent2" w:themeFillTint="33"/>
            <w:noWrap/>
            <w:vAlign w:val="bottom"/>
            <w:hideMark/>
          </w:tcPr>
          <w:p w14:paraId="66E57D8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238</w:t>
            </w:r>
          </w:p>
        </w:tc>
        <w:tc>
          <w:tcPr>
            <w:tcW w:w="1320" w:type="dxa"/>
            <w:tcBorders>
              <w:top w:val="nil"/>
              <w:left w:val="nil"/>
              <w:bottom w:val="nil"/>
              <w:right w:val="nil"/>
            </w:tcBorders>
            <w:shd w:val="clear" w:color="auto" w:fill="auto"/>
            <w:noWrap/>
            <w:vAlign w:val="bottom"/>
            <w:hideMark/>
          </w:tcPr>
          <w:p w14:paraId="0D0E2C0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365</w:t>
            </w:r>
          </w:p>
        </w:tc>
        <w:tc>
          <w:tcPr>
            <w:tcW w:w="1320" w:type="dxa"/>
            <w:tcBorders>
              <w:top w:val="nil"/>
              <w:left w:val="nil"/>
              <w:bottom w:val="nil"/>
              <w:right w:val="single" w:sz="4" w:space="0" w:color="auto"/>
            </w:tcBorders>
            <w:shd w:val="clear" w:color="auto" w:fill="F2DBDB" w:themeFill="accent2" w:themeFillTint="33"/>
            <w:noWrap/>
            <w:vAlign w:val="bottom"/>
            <w:hideMark/>
          </w:tcPr>
          <w:p w14:paraId="73BB6C3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361</w:t>
            </w:r>
          </w:p>
        </w:tc>
      </w:tr>
      <w:tr w:rsidR="00876EFC" w:rsidRPr="001565F1" w14:paraId="4A05C3B7" w14:textId="77777777" w:rsidTr="00F2448E">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6BD75851"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163" w:type="dxa"/>
            <w:tcBorders>
              <w:top w:val="nil"/>
              <w:left w:val="nil"/>
              <w:bottom w:val="nil"/>
              <w:right w:val="nil"/>
            </w:tcBorders>
            <w:shd w:val="clear" w:color="auto" w:fill="auto"/>
            <w:noWrap/>
            <w:vAlign w:val="bottom"/>
            <w:hideMark/>
          </w:tcPr>
          <w:p w14:paraId="3F6407B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94</w:t>
            </w:r>
          </w:p>
        </w:tc>
        <w:tc>
          <w:tcPr>
            <w:tcW w:w="1320" w:type="dxa"/>
            <w:tcBorders>
              <w:top w:val="nil"/>
              <w:left w:val="nil"/>
              <w:bottom w:val="nil"/>
              <w:right w:val="nil"/>
            </w:tcBorders>
            <w:shd w:val="clear" w:color="auto" w:fill="F2DBDB" w:themeFill="accent2" w:themeFillTint="33"/>
            <w:noWrap/>
            <w:vAlign w:val="bottom"/>
            <w:hideMark/>
          </w:tcPr>
          <w:p w14:paraId="7B8823A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73</w:t>
            </w:r>
          </w:p>
        </w:tc>
        <w:tc>
          <w:tcPr>
            <w:tcW w:w="1320" w:type="dxa"/>
            <w:tcBorders>
              <w:top w:val="nil"/>
              <w:left w:val="nil"/>
              <w:bottom w:val="nil"/>
              <w:right w:val="nil"/>
            </w:tcBorders>
            <w:shd w:val="clear" w:color="auto" w:fill="auto"/>
            <w:noWrap/>
            <w:vAlign w:val="bottom"/>
            <w:hideMark/>
          </w:tcPr>
          <w:p w14:paraId="30CBF43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63</w:t>
            </w:r>
          </w:p>
        </w:tc>
        <w:tc>
          <w:tcPr>
            <w:tcW w:w="1319" w:type="dxa"/>
            <w:tcBorders>
              <w:top w:val="nil"/>
              <w:left w:val="nil"/>
              <w:bottom w:val="nil"/>
              <w:right w:val="nil"/>
            </w:tcBorders>
            <w:shd w:val="clear" w:color="auto" w:fill="F2DBDB" w:themeFill="accent2" w:themeFillTint="33"/>
            <w:noWrap/>
            <w:vAlign w:val="bottom"/>
            <w:hideMark/>
          </w:tcPr>
          <w:p w14:paraId="1B65A1B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62</w:t>
            </w:r>
          </w:p>
        </w:tc>
        <w:tc>
          <w:tcPr>
            <w:tcW w:w="1320" w:type="dxa"/>
            <w:tcBorders>
              <w:top w:val="nil"/>
              <w:left w:val="nil"/>
              <w:bottom w:val="nil"/>
              <w:right w:val="nil"/>
            </w:tcBorders>
            <w:shd w:val="clear" w:color="auto" w:fill="auto"/>
            <w:noWrap/>
            <w:vAlign w:val="bottom"/>
            <w:hideMark/>
          </w:tcPr>
          <w:p w14:paraId="24F92C3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70</w:t>
            </w:r>
          </w:p>
        </w:tc>
        <w:tc>
          <w:tcPr>
            <w:tcW w:w="1320" w:type="dxa"/>
            <w:tcBorders>
              <w:top w:val="nil"/>
              <w:left w:val="nil"/>
              <w:bottom w:val="nil"/>
              <w:right w:val="nil"/>
            </w:tcBorders>
            <w:shd w:val="clear" w:color="auto" w:fill="F2DBDB" w:themeFill="accent2" w:themeFillTint="33"/>
            <w:noWrap/>
            <w:vAlign w:val="bottom"/>
            <w:hideMark/>
          </w:tcPr>
          <w:p w14:paraId="0621175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121</w:t>
            </w:r>
          </w:p>
        </w:tc>
        <w:tc>
          <w:tcPr>
            <w:tcW w:w="1319" w:type="dxa"/>
            <w:tcBorders>
              <w:top w:val="nil"/>
              <w:left w:val="nil"/>
              <w:bottom w:val="nil"/>
              <w:right w:val="nil"/>
            </w:tcBorders>
            <w:shd w:val="clear" w:color="auto" w:fill="auto"/>
            <w:noWrap/>
            <w:vAlign w:val="bottom"/>
            <w:hideMark/>
          </w:tcPr>
          <w:p w14:paraId="3E8824C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93</w:t>
            </w:r>
          </w:p>
        </w:tc>
        <w:tc>
          <w:tcPr>
            <w:tcW w:w="1320" w:type="dxa"/>
            <w:tcBorders>
              <w:top w:val="nil"/>
              <w:left w:val="nil"/>
              <w:bottom w:val="nil"/>
              <w:right w:val="nil"/>
            </w:tcBorders>
            <w:shd w:val="clear" w:color="auto" w:fill="F2DBDB" w:themeFill="accent2" w:themeFillTint="33"/>
            <w:noWrap/>
            <w:vAlign w:val="bottom"/>
            <w:hideMark/>
          </w:tcPr>
          <w:p w14:paraId="07F8333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108</w:t>
            </w:r>
          </w:p>
        </w:tc>
        <w:tc>
          <w:tcPr>
            <w:tcW w:w="1320" w:type="dxa"/>
            <w:tcBorders>
              <w:top w:val="nil"/>
              <w:left w:val="nil"/>
              <w:bottom w:val="nil"/>
              <w:right w:val="nil"/>
            </w:tcBorders>
            <w:shd w:val="clear" w:color="auto" w:fill="auto"/>
            <w:noWrap/>
            <w:vAlign w:val="bottom"/>
            <w:hideMark/>
          </w:tcPr>
          <w:p w14:paraId="57D1E36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149</w:t>
            </w:r>
          </w:p>
        </w:tc>
        <w:tc>
          <w:tcPr>
            <w:tcW w:w="1320" w:type="dxa"/>
            <w:tcBorders>
              <w:top w:val="nil"/>
              <w:left w:val="nil"/>
              <w:bottom w:val="nil"/>
              <w:right w:val="single" w:sz="4" w:space="0" w:color="auto"/>
            </w:tcBorders>
            <w:shd w:val="clear" w:color="auto" w:fill="F2DBDB" w:themeFill="accent2" w:themeFillTint="33"/>
            <w:noWrap/>
            <w:vAlign w:val="bottom"/>
            <w:hideMark/>
          </w:tcPr>
          <w:p w14:paraId="2A0CD9A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124</w:t>
            </w:r>
          </w:p>
        </w:tc>
      </w:tr>
      <w:tr w:rsidR="00876EFC" w:rsidRPr="001565F1" w14:paraId="7B5E4E8D" w14:textId="77777777" w:rsidTr="00F2448E">
        <w:trPr>
          <w:trHeight w:val="204"/>
        </w:trPr>
        <w:tc>
          <w:tcPr>
            <w:tcW w:w="1858" w:type="dxa"/>
            <w:tcBorders>
              <w:top w:val="nil"/>
              <w:left w:val="single" w:sz="4" w:space="0" w:color="auto"/>
              <w:bottom w:val="nil"/>
              <w:right w:val="nil"/>
            </w:tcBorders>
            <w:shd w:val="clear" w:color="auto" w:fill="F2DBDB" w:themeFill="accent2" w:themeFillTint="33"/>
            <w:noWrap/>
            <w:vAlign w:val="bottom"/>
            <w:hideMark/>
          </w:tcPr>
          <w:p w14:paraId="5A320F3B"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163" w:type="dxa"/>
            <w:tcBorders>
              <w:top w:val="nil"/>
              <w:left w:val="nil"/>
              <w:bottom w:val="nil"/>
              <w:right w:val="nil"/>
            </w:tcBorders>
            <w:shd w:val="clear" w:color="auto" w:fill="auto"/>
            <w:noWrap/>
            <w:vAlign w:val="bottom"/>
            <w:hideMark/>
          </w:tcPr>
          <w:p w14:paraId="4D7F3CC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79</w:t>
            </w:r>
          </w:p>
        </w:tc>
        <w:tc>
          <w:tcPr>
            <w:tcW w:w="1320" w:type="dxa"/>
            <w:tcBorders>
              <w:top w:val="nil"/>
              <w:left w:val="nil"/>
              <w:bottom w:val="nil"/>
              <w:right w:val="nil"/>
            </w:tcBorders>
            <w:shd w:val="clear" w:color="auto" w:fill="F2DBDB" w:themeFill="accent2" w:themeFillTint="33"/>
            <w:noWrap/>
            <w:vAlign w:val="bottom"/>
            <w:hideMark/>
          </w:tcPr>
          <w:p w14:paraId="254B58D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92</w:t>
            </w:r>
          </w:p>
        </w:tc>
        <w:tc>
          <w:tcPr>
            <w:tcW w:w="1320" w:type="dxa"/>
            <w:tcBorders>
              <w:top w:val="nil"/>
              <w:left w:val="nil"/>
              <w:bottom w:val="nil"/>
              <w:right w:val="nil"/>
            </w:tcBorders>
            <w:shd w:val="clear" w:color="auto" w:fill="auto"/>
            <w:noWrap/>
            <w:vAlign w:val="bottom"/>
            <w:hideMark/>
          </w:tcPr>
          <w:p w14:paraId="569AF81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86</w:t>
            </w:r>
          </w:p>
        </w:tc>
        <w:tc>
          <w:tcPr>
            <w:tcW w:w="1319" w:type="dxa"/>
            <w:tcBorders>
              <w:top w:val="nil"/>
              <w:left w:val="nil"/>
              <w:bottom w:val="nil"/>
              <w:right w:val="nil"/>
            </w:tcBorders>
            <w:shd w:val="clear" w:color="auto" w:fill="F2DBDB" w:themeFill="accent2" w:themeFillTint="33"/>
            <w:noWrap/>
            <w:vAlign w:val="bottom"/>
            <w:hideMark/>
          </w:tcPr>
          <w:p w14:paraId="122C134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88</w:t>
            </w:r>
          </w:p>
        </w:tc>
        <w:tc>
          <w:tcPr>
            <w:tcW w:w="1320" w:type="dxa"/>
            <w:tcBorders>
              <w:top w:val="nil"/>
              <w:left w:val="nil"/>
              <w:bottom w:val="nil"/>
              <w:right w:val="nil"/>
            </w:tcBorders>
            <w:shd w:val="clear" w:color="auto" w:fill="auto"/>
            <w:noWrap/>
            <w:vAlign w:val="bottom"/>
            <w:hideMark/>
          </w:tcPr>
          <w:p w14:paraId="3FEC2F8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85</w:t>
            </w:r>
          </w:p>
        </w:tc>
        <w:tc>
          <w:tcPr>
            <w:tcW w:w="1320" w:type="dxa"/>
            <w:tcBorders>
              <w:top w:val="nil"/>
              <w:left w:val="nil"/>
              <w:bottom w:val="nil"/>
              <w:right w:val="nil"/>
            </w:tcBorders>
            <w:shd w:val="clear" w:color="auto" w:fill="F2DBDB" w:themeFill="accent2" w:themeFillTint="33"/>
            <w:noWrap/>
            <w:vAlign w:val="bottom"/>
            <w:hideMark/>
          </w:tcPr>
          <w:p w14:paraId="62E7683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111</w:t>
            </w:r>
          </w:p>
        </w:tc>
        <w:tc>
          <w:tcPr>
            <w:tcW w:w="1319" w:type="dxa"/>
            <w:tcBorders>
              <w:top w:val="nil"/>
              <w:left w:val="nil"/>
              <w:bottom w:val="nil"/>
              <w:right w:val="nil"/>
            </w:tcBorders>
            <w:shd w:val="clear" w:color="auto" w:fill="auto"/>
            <w:noWrap/>
            <w:vAlign w:val="bottom"/>
            <w:hideMark/>
          </w:tcPr>
          <w:p w14:paraId="6295E59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115</w:t>
            </w:r>
          </w:p>
        </w:tc>
        <w:tc>
          <w:tcPr>
            <w:tcW w:w="1320" w:type="dxa"/>
            <w:tcBorders>
              <w:top w:val="nil"/>
              <w:left w:val="nil"/>
              <w:bottom w:val="nil"/>
              <w:right w:val="nil"/>
            </w:tcBorders>
            <w:shd w:val="clear" w:color="auto" w:fill="F2DBDB" w:themeFill="accent2" w:themeFillTint="33"/>
            <w:noWrap/>
            <w:vAlign w:val="bottom"/>
            <w:hideMark/>
          </w:tcPr>
          <w:p w14:paraId="2B95A30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130</w:t>
            </w:r>
          </w:p>
        </w:tc>
        <w:tc>
          <w:tcPr>
            <w:tcW w:w="1320" w:type="dxa"/>
            <w:tcBorders>
              <w:top w:val="nil"/>
              <w:left w:val="nil"/>
              <w:bottom w:val="nil"/>
              <w:right w:val="nil"/>
            </w:tcBorders>
            <w:shd w:val="clear" w:color="auto" w:fill="auto"/>
            <w:noWrap/>
            <w:vAlign w:val="bottom"/>
            <w:hideMark/>
          </w:tcPr>
          <w:p w14:paraId="269B2C5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216</w:t>
            </w:r>
          </w:p>
        </w:tc>
        <w:tc>
          <w:tcPr>
            <w:tcW w:w="1320" w:type="dxa"/>
            <w:tcBorders>
              <w:top w:val="nil"/>
              <w:left w:val="nil"/>
              <w:bottom w:val="nil"/>
              <w:right w:val="single" w:sz="4" w:space="0" w:color="auto"/>
            </w:tcBorders>
            <w:shd w:val="clear" w:color="auto" w:fill="F2DBDB" w:themeFill="accent2" w:themeFillTint="33"/>
            <w:noWrap/>
            <w:vAlign w:val="bottom"/>
            <w:hideMark/>
          </w:tcPr>
          <w:p w14:paraId="2A00CA5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237</w:t>
            </w:r>
          </w:p>
        </w:tc>
      </w:tr>
      <w:tr w:rsidR="00876EFC" w:rsidRPr="00DA0360" w14:paraId="0345405A" w14:textId="77777777" w:rsidTr="00F2448E">
        <w:trPr>
          <w:trHeight w:val="204"/>
        </w:trPr>
        <w:tc>
          <w:tcPr>
            <w:tcW w:w="1858" w:type="dxa"/>
            <w:tcBorders>
              <w:top w:val="nil"/>
              <w:left w:val="single" w:sz="4" w:space="0" w:color="auto"/>
              <w:bottom w:val="single" w:sz="4" w:space="0" w:color="auto"/>
              <w:right w:val="nil"/>
            </w:tcBorders>
            <w:shd w:val="clear" w:color="auto" w:fill="F2DBDB" w:themeFill="accent2" w:themeFillTint="33"/>
            <w:noWrap/>
            <w:vAlign w:val="bottom"/>
            <w:hideMark/>
          </w:tcPr>
          <w:p w14:paraId="6BF88236"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163" w:type="dxa"/>
            <w:tcBorders>
              <w:top w:val="nil"/>
              <w:left w:val="nil"/>
              <w:bottom w:val="single" w:sz="4" w:space="0" w:color="auto"/>
              <w:right w:val="nil"/>
            </w:tcBorders>
            <w:shd w:val="clear" w:color="auto" w:fill="auto"/>
            <w:noWrap/>
            <w:vAlign w:val="bottom"/>
            <w:hideMark/>
          </w:tcPr>
          <w:p w14:paraId="37A84FB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431</w:t>
            </w:r>
          </w:p>
        </w:tc>
        <w:tc>
          <w:tcPr>
            <w:tcW w:w="1320" w:type="dxa"/>
            <w:tcBorders>
              <w:top w:val="nil"/>
              <w:left w:val="nil"/>
              <w:bottom w:val="single" w:sz="4" w:space="0" w:color="auto"/>
              <w:right w:val="nil"/>
            </w:tcBorders>
            <w:shd w:val="clear" w:color="auto" w:fill="F2DBDB" w:themeFill="accent2" w:themeFillTint="33"/>
            <w:noWrap/>
            <w:vAlign w:val="bottom"/>
            <w:hideMark/>
          </w:tcPr>
          <w:p w14:paraId="4F073AA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470</w:t>
            </w:r>
          </w:p>
        </w:tc>
        <w:tc>
          <w:tcPr>
            <w:tcW w:w="1320" w:type="dxa"/>
            <w:tcBorders>
              <w:top w:val="nil"/>
              <w:left w:val="nil"/>
              <w:bottom w:val="single" w:sz="4" w:space="0" w:color="auto"/>
              <w:right w:val="nil"/>
            </w:tcBorders>
            <w:shd w:val="clear" w:color="auto" w:fill="auto"/>
            <w:noWrap/>
            <w:vAlign w:val="bottom"/>
            <w:hideMark/>
          </w:tcPr>
          <w:p w14:paraId="63621FB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477</w:t>
            </w:r>
          </w:p>
        </w:tc>
        <w:tc>
          <w:tcPr>
            <w:tcW w:w="1319" w:type="dxa"/>
            <w:tcBorders>
              <w:top w:val="nil"/>
              <w:left w:val="nil"/>
              <w:bottom w:val="single" w:sz="4" w:space="0" w:color="auto"/>
              <w:right w:val="nil"/>
            </w:tcBorders>
            <w:shd w:val="clear" w:color="auto" w:fill="F2DBDB" w:themeFill="accent2" w:themeFillTint="33"/>
            <w:noWrap/>
            <w:vAlign w:val="bottom"/>
            <w:hideMark/>
          </w:tcPr>
          <w:p w14:paraId="466688E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537</w:t>
            </w:r>
          </w:p>
        </w:tc>
        <w:tc>
          <w:tcPr>
            <w:tcW w:w="1320" w:type="dxa"/>
            <w:tcBorders>
              <w:top w:val="nil"/>
              <w:left w:val="nil"/>
              <w:bottom w:val="single" w:sz="4" w:space="0" w:color="auto"/>
              <w:right w:val="nil"/>
            </w:tcBorders>
            <w:shd w:val="clear" w:color="auto" w:fill="auto"/>
            <w:noWrap/>
            <w:vAlign w:val="bottom"/>
            <w:hideMark/>
          </w:tcPr>
          <w:p w14:paraId="669F5B0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420</w:t>
            </w:r>
          </w:p>
        </w:tc>
        <w:tc>
          <w:tcPr>
            <w:tcW w:w="1320" w:type="dxa"/>
            <w:tcBorders>
              <w:top w:val="nil"/>
              <w:left w:val="nil"/>
              <w:bottom w:val="single" w:sz="4" w:space="0" w:color="auto"/>
              <w:right w:val="nil"/>
            </w:tcBorders>
            <w:shd w:val="clear" w:color="auto" w:fill="F2DBDB" w:themeFill="accent2" w:themeFillTint="33"/>
            <w:noWrap/>
            <w:vAlign w:val="bottom"/>
            <w:hideMark/>
          </w:tcPr>
          <w:p w14:paraId="0A73726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692</w:t>
            </w:r>
          </w:p>
        </w:tc>
        <w:tc>
          <w:tcPr>
            <w:tcW w:w="1319" w:type="dxa"/>
            <w:tcBorders>
              <w:top w:val="nil"/>
              <w:left w:val="nil"/>
              <w:bottom w:val="single" w:sz="4" w:space="0" w:color="auto"/>
              <w:right w:val="nil"/>
            </w:tcBorders>
            <w:shd w:val="clear" w:color="auto" w:fill="auto"/>
            <w:noWrap/>
            <w:vAlign w:val="bottom"/>
            <w:hideMark/>
          </w:tcPr>
          <w:p w14:paraId="09F8E457"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637</w:t>
            </w:r>
          </w:p>
        </w:tc>
        <w:tc>
          <w:tcPr>
            <w:tcW w:w="1320" w:type="dxa"/>
            <w:tcBorders>
              <w:top w:val="nil"/>
              <w:left w:val="nil"/>
              <w:bottom w:val="single" w:sz="4" w:space="0" w:color="auto"/>
              <w:right w:val="nil"/>
            </w:tcBorders>
            <w:shd w:val="clear" w:color="auto" w:fill="F2DBDB" w:themeFill="accent2" w:themeFillTint="33"/>
            <w:noWrap/>
            <w:vAlign w:val="bottom"/>
            <w:hideMark/>
          </w:tcPr>
          <w:p w14:paraId="2C5C87F1"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783</w:t>
            </w:r>
          </w:p>
        </w:tc>
        <w:tc>
          <w:tcPr>
            <w:tcW w:w="1320" w:type="dxa"/>
            <w:tcBorders>
              <w:top w:val="nil"/>
              <w:left w:val="nil"/>
              <w:bottom w:val="single" w:sz="4" w:space="0" w:color="auto"/>
              <w:right w:val="nil"/>
            </w:tcBorders>
            <w:shd w:val="clear" w:color="auto" w:fill="auto"/>
            <w:noWrap/>
            <w:vAlign w:val="bottom"/>
            <w:hideMark/>
          </w:tcPr>
          <w:p w14:paraId="74D7F41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929</w:t>
            </w:r>
          </w:p>
        </w:tc>
        <w:tc>
          <w:tcPr>
            <w:tcW w:w="1320" w:type="dxa"/>
            <w:tcBorders>
              <w:top w:val="nil"/>
              <w:left w:val="nil"/>
              <w:bottom w:val="single" w:sz="4" w:space="0" w:color="auto"/>
              <w:right w:val="single" w:sz="4" w:space="0" w:color="auto"/>
            </w:tcBorders>
            <w:shd w:val="clear" w:color="auto" w:fill="F2DBDB" w:themeFill="accent2" w:themeFillTint="33"/>
            <w:noWrap/>
            <w:vAlign w:val="bottom"/>
            <w:hideMark/>
          </w:tcPr>
          <w:p w14:paraId="1BBB80B4"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w:t>
            </w:r>
            <w:r w:rsidR="00F2448E">
              <w:rPr>
                <w:rFonts w:eastAsia="Times New Roman" w:cs="Arial"/>
                <w:b/>
                <w:color w:val="000000"/>
                <w:lang w:eastAsia="en-AU"/>
              </w:rPr>
              <w:t>,</w:t>
            </w:r>
            <w:r w:rsidRPr="00DA0360">
              <w:rPr>
                <w:rFonts w:eastAsia="Times New Roman" w:cs="Arial"/>
                <w:b/>
                <w:color w:val="000000"/>
                <w:lang w:eastAsia="en-AU"/>
              </w:rPr>
              <w:t>001</w:t>
            </w:r>
          </w:p>
        </w:tc>
      </w:tr>
    </w:tbl>
    <w:p w14:paraId="486A38C1" w14:textId="77777777" w:rsidR="00876EFC" w:rsidRDefault="00981A1C" w:rsidP="0095311F">
      <w:pPr>
        <w:pStyle w:val="Figureheading"/>
      </w:pPr>
      <w:r>
        <w:lastRenderedPageBreak/>
        <w:t>2.6.7</w:t>
      </w:r>
      <w:r w:rsidR="00876EFC">
        <w:tab/>
      </w:r>
      <w:r w:rsidR="00441F98">
        <w:t>Number</w:t>
      </w:r>
      <w:r w:rsidR="00876EFC">
        <w:t xml:space="preserve"> of report</w:t>
      </w:r>
      <w:r w:rsidR="00441F98">
        <w:t>s</w:t>
      </w:r>
      <w:r w:rsidR="00876EFC">
        <w:t xml:space="preserve"> by psychiatrists</w:t>
      </w:r>
      <w:r w:rsidR="00441F98">
        <w:t>,</w:t>
      </w:r>
      <w:r w:rsidR="00876EFC">
        <w:t xml:space="preserve"> </w:t>
      </w:r>
      <w:r w:rsidR="00441F98">
        <w:t>by year, abuse type, and outcome</w:t>
      </w:r>
      <w:r w:rsidR="00876EFC">
        <w:t xml:space="preserve"> </w:t>
      </w:r>
    </w:p>
    <w:tbl>
      <w:tblPr>
        <w:tblW w:w="14757" w:type="dxa"/>
        <w:tblInd w:w="93" w:type="dxa"/>
        <w:tblLayout w:type="fixed"/>
        <w:tblLook w:val="04A0" w:firstRow="1" w:lastRow="0" w:firstColumn="1" w:lastColumn="0" w:noHBand="0" w:noVBand="1"/>
      </w:tblPr>
      <w:tblGrid>
        <w:gridCol w:w="2221"/>
        <w:gridCol w:w="1253"/>
        <w:gridCol w:w="1254"/>
        <w:gridCol w:w="1253"/>
        <w:gridCol w:w="1254"/>
        <w:gridCol w:w="1254"/>
        <w:gridCol w:w="1253"/>
        <w:gridCol w:w="1254"/>
        <w:gridCol w:w="1253"/>
        <w:gridCol w:w="1254"/>
        <w:gridCol w:w="1254"/>
      </w:tblGrid>
      <w:tr w:rsidR="00876EFC" w:rsidRPr="001565F1" w14:paraId="6B2314B4" w14:textId="77777777" w:rsidTr="00561E44">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E1017A9" w14:textId="77777777" w:rsidR="00876EFC" w:rsidRPr="001565F1" w:rsidRDefault="00876EFC" w:rsidP="00CE2FDF">
            <w:pPr>
              <w:spacing w:before="0" w:line="276" w:lineRule="auto"/>
              <w:rPr>
                <w:rFonts w:eastAsia="Times New Roman" w:cs="Arial"/>
                <w:b/>
                <w:bCs/>
                <w:color w:val="000000"/>
                <w:lang w:eastAsia="en-AU"/>
              </w:rPr>
            </w:pPr>
          </w:p>
        </w:tc>
        <w:tc>
          <w:tcPr>
            <w:tcW w:w="1253" w:type="dxa"/>
            <w:tcBorders>
              <w:top w:val="single" w:sz="4" w:space="0" w:color="auto"/>
              <w:left w:val="nil"/>
              <w:bottom w:val="single" w:sz="4" w:space="0" w:color="auto"/>
              <w:right w:val="nil"/>
            </w:tcBorders>
            <w:shd w:val="clear" w:color="auto" w:fill="D9D9D9" w:themeFill="background1" w:themeFillShade="D9"/>
            <w:noWrap/>
            <w:vAlign w:val="bottom"/>
            <w:hideMark/>
          </w:tcPr>
          <w:p w14:paraId="3A68762D"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548A76A3"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53" w:type="dxa"/>
            <w:tcBorders>
              <w:top w:val="single" w:sz="4" w:space="0" w:color="auto"/>
              <w:left w:val="nil"/>
              <w:bottom w:val="single" w:sz="4" w:space="0" w:color="auto"/>
              <w:right w:val="nil"/>
            </w:tcBorders>
            <w:shd w:val="clear" w:color="auto" w:fill="D9D9D9" w:themeFill="background1" w:themeFillShade="D9"/>
            <w:noWrap/>
            <w:vAlign w:val="bottom"/>
            <w:hideMark/>
          </w:tcPr>
          <w:p w14:paraId="5EF62055"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234343E8"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6690EBC1"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53" w:type="dxa"/>
            <w:tcBorders>
              <w:top w:val="single" w:sz="4" w:space="0" w:color="auto"/>
              <w:left w:val="nil"/>
              <w:bottom w:val="single" w:sz="4" w:space="0" w:color="auto"/>
              <w:right w:val="nil"/>
            </w:tcBorders>
            <w:shd w:val="clear" w:color="auto" w:fill="D9D9D9" w:themeFill="background1" w:themeFillShade="D9"/>
            <w:noWrap/>
            <w:vAlign w:val="bottom"/>
            <w:hideMark/>
          </w:tcPr>
          <w:p w14:paraId="60B12819"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075C30E2"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53" w:type="dxa"/>
            <w:tcBorders>
              <w:top w:val="single" w:sz="4" w:space="0" w:color="auto"/>
              <w:left w:val="nil"/>
              <w:bottom w:val="single" w:sz="4" w:space="0" w:color="auto"/>
              <w:right w:val="nil"/>
            </w:tcBorders>
            <w:shd w:val="clear" w:color="auto" w:fill="D9D9D9" w:themeFill="background1" w:themeFillShade="D9"/>
            <w:noWrap/>
            <w:vAlign w:val="bottom"/>
            <w:hideMark/>
          </w:tcPr>
          <w:p w14:paraId="76CC13DB"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54" w:type="dxa"/>
            <w:tcBorders>
              <w:top w:val="single" w:sz="4" w:space="0" w:color="auto"/>
              <w:left w:val="nil"/>
              <w:bottom w:val="single" w:sz="4" w:space="0" w:color="auto"/>
              <w:right w:val="nil"/>
            </w:tcBorders>
            <w:shd w:val="clear" w:color="auto" w:fill="D9D9D9" w:themeFill="background1" w:themeFillShade="D9"/>
            <w:noWrap/>
            <w:vAlign w:val="bottom"/>
            <w:hideMark/>
          </w:tcPr>
          <w:p w14:paraId="0E22BCE3"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5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5B4FB8C" w14:textId="77777777" w:rsidR="00876EFC" w:rsidRPr="001565F1" w:rsidRDefault="00876EFC" w:rsidP="00CE2FDF">
            <w:pPr>
              <w:spacing w:before="0" w:line="276"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876EFC" w:rsidRPr="00DA0360" w14:paraId="3543CB68" w14:textId="77777777" w:rsidTr="00561E44">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3BDE3E58"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Emotional Abuse</w:t>
            </w:r>
          </w:p>
        </w:tc>
        <w:tc>
          <w:tcPr>
            <w:tcW w:w="1253" w:type="dxa"/>
            <w:tcBorders>
              <w:top w:val="single" w:sz="4" w:space="0" w:color="auto"/>
              <w:left w:val="nil"/>
              <w:bottom w:val="nil"/>
              <w:right w:val="nil"/>
            </w:tcBorders>
            <w:shd w:val="clear" w:color="auto" w:fill="auto"/>
            <w:noWrap/>
            <w:vAlign w:val="bottom"/>
            <w:hideMark/>
          </w:tcPr>
          <w:p w14:paraId="580A80AC"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EAF1DD" w:themeFill="accent3" w:themeFillTint="33"/>
            <w:noWrap/>
            <w:vAlign w:val="bottom"/>
            <w:hideMark/>
          </w:tcPr>
          <w:p w14:paraId="25F723FF"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single" w:sz="4" w:space="0" w:color="auto"/>
              <w:left w:val="nil"/>
              <w:bottom w:val="nil"/>
              <w:right w:val="nil"/>
            </w:tcBorders>
            <w:shd w:val="clear" w:color="auto" w:fill="auto"/>
            <w:noWrap/>
            <w:vAlign w:val="bottom"/>
            <w:hideMark/>
          </w:tcPr>
          <w:p w14:paraId="152CBB7D"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EAF1DD" w:themeFill="accent3" w:themeFillTint="33"/>
            <w:noWrap/>
            <w:vAlign w:val="bottom"/>
            <w:hideMark/>
          </w:tcPr>
          <w:p w14:paraId="702179AF"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auto"/>
            <w:noWrap/>
            <w:vAlign w:val="bottom"/>
            <w:hideMark/>
          </w:tcPr>
          <w:p w14:paraId="4F460F28"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single" w:sz="4" w:space="0" w:color="auto"/>
              <w:left w:val="nil"/>
              <w:bottom w:val="nil"/>
              <w:right w:val="nil"/>
            </w:tcBorders>
            <w:shd w:val="clear" w:color="auto" w:fill="EAF1DD" w:themeFill="accent3" w:themeFillTint="33"/>
            <w:noWrap/>
            <w:vAlign w:val="bottom"/>
            <w:hideMark/>
          </w:tcPr>
          <w:p w14:paraId="4DC0509D"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auto"/>
            <w:noWrap/>
            <w:vAlign w:val="bottom"/>
            <w:hideMark/>
          </w:tcPr>
          <w:p w14:paraId="65E18421"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single" w:sz="4" w:space="0" w:color="auto"/>
              <w:left w:val="nil"/>
              <w:bottom w:val="nil"/>
              <w:right w:val="nil"/>
            </w:tcBorders>
            <w:shd w:val="clear" w:color="auto" w:fill="EAF1DD" w:themeFill="accent3" w:themeFillTint="33"/>
            <w:noWrap/>
            <w:vAlign w:val="bottom"/>
            <w:hideMark/>
          </w:tcPr>
          <w:p w14:paraId="1796D1D0"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nil"/>
            </w:tcBorders>
            <w:shd w:val="clear" w:color="auto" w:fill="auto"/>
            <w:noWrap/>
            <w:vAlign w:val="bottom"/>
            <w:hideMark/>
          </w:tcPr>
          <w:p w14:paraId="0FFBDAA7"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single" w:sz="4" w:space="0" w:color="auto"/>
              <w:left w:val="nil"/>
              <w:bottom w:val="nil"/>
              <w:right w:val="single" w:sz="4" w:space="0" w:color="auto"/>
            </w:tcBorders>
            <w:shd w:val="clear" w:color="auto" w:fill="EAF1DD" w:themeFill="accent3" w:themeFillTint="33"/>
            <w:noWrap/>
            <w:vAlign w:val="bottom"/>
            <w:hideMark/>
          </w:tcPr>
          <w:p w14:paraId="4BFFF416"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78B33354"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4DF1F5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7EC1F5D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42</w:t>
            </w:r>
          </w:p>
        </w:tc>
        <w:tc>
          <w:tcPr>
            <w:tcW w:w="1254" w:type="dxa"/>
            <w:tcBorders>
              <w:top w:val="nil"/>
              <w:left w:val="nil"/>
              <w:bottom w:val="nil"/>
              <w:right w:val="nil"/>
            </w:tcBorders>
            <w:shd w:val="clear" w:color="auto" w:fill="EAF1DD" w:themeFill="accent3" w:themeFillTint="33"/>
            <w:noWrap/>
            <w:vAlign w:val="bottom"/>
            <w:hideMark/>
          </w:tcPr>
          <w:p w14:paraId="7200290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49</w:t>
            </w:r>
          </w:p>
        </w:tc>
        <w:tc>
          <w:tcPr>
            <w:tcW w:w="1253" w:type="dxa"/>
            <w:tcBorders>
              <w:top w:val="nil"/>
              <w:left w:val="nil"/>
              <w:bottom w:val="nil"/>
              <w:right w:val="nil"/>
            </w:tcBorders>
            <w:shd w:val="clear" w:color="auto" w:fill="auto"/>
            <w:noWrap/>
            <w:vAlign w:val="bottom"/>
            <w:hideMark/>
          </w:tcPr>
          <w:p w14:paraId="0B32736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41</w:t>
            </w:r>
          </w:p>
        </w:tc>
        <w:tc>
          <w:tcPr>
            <w:tcW w:w="1254" w:type="dxa"/>
            <w:tcBorders>
              <w:top w:val="nil"/>
              <w:left w:val="nil"/>
              <w:bottom w:val="nil"/>
              <w:right w:val="nil"/>
            </w:tcBorders>
            <w:shd w:val="clear" w:color="auto" w:fill="EAF1DD" w:themeFill="accent3" w:themeFillTint="33"/>
            <w:noWrap/>
            <w:vAlign w:val="bottom"/>
            <w:hideMark/>
          </w:tcPr>
          <w:p w14:paraId="2982982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50</w:t>
            </w:r>
          </w:p>
        </w:tc>
        <w:tc>
          <w:tcPr>
            <w:tcW w:w="1254" w:type="dxa"/>
            <w:tcBorders>
              <w:top w:val="nil"/>
              <w:left w:val="nil"/>
              <w:bottom w:val="nil"/>
              <w:right w:val="nil"/>
            </w:tcBorders>
            <w:shd w:val="clear" w:color="auto" w:fill="auto"/>
            <w:noWrap/>
            <w:vAlign w:val="bottom"/>
            <w:hideMark/>
          </w:tcPr>
          <w:p w14:paraId="1214DB0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w:t>
            </w:r>
          </w:p>
        </w:tc>
        <w:tc>
          <w:tcPr>
            <w:tcW w:w="1253" w:type="dxa"/>
            <w:tcBorders>
              <w:top w:val="nil"/>
              <w:left w:val="nil"/>
              <w:bottom w:val="nil"/>
              <w:right w:val="nil"/>
            </w:tcBorders>
            <w:shd w:val="clear" w:color="auto" w:fill="EAF1DD" w:themeFill="accent3" w:themeFillTint="33"/>
            <w:noWrap/>
            <w:vAlign w:val="bottom"/>
            <w:hideMark/>
          </w:tcPr>
          <w:p w14:paraId="4524605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57</w:t>
            </w:r>
          </w:p>
        </w:tc>
        <w:tc>
          <w:tcPr>
            <w:tcW w:w="1254" w:type="dxa"/>
            <w:tcBorders>
              <w:top w:val="nil"/>
              <w:left w:val="nil"/>
              <w:bottom w:val="nil"/>
              <w:right w:val="nil"/>
            </w:tcBorders>
            <w:shd w:val="clear" w:color="auto" w:fill="auto"/>
            <w:noWrap/>
            <w:vAlign w:val="bottom"/>
            <w:hideMark/>
          </w:tcPr>
          <w:p w14:paraId="1F916CB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71</w:t>
            </w:r>
          </w:p>
        </w:tc>
        <w:tc>
          <w:tcPr>
            <w:tcW w:w="1253" w:type="dxa"/>
            <w:tcBorders>
              <w:top w:val="nil"/>
              <w:left w:val="nil"/>
              <w:bottom w:val="nil"/>
              <w:right w:val="nil"/>
            </w:tcBorders>
            <w:shd w:val="clear" w:color="auto" w:fill="EAF1DD" w:themeFill="accent3" w:themeFillTint="33"/>
            <w:noWrap/>
            <w:vAlign w:val="bottom"/>
            <w:hideMark/>
          </w:tcPr>
          <w:p w14:paraId="290439F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65</w:t>
            </w:r>
          </w:p>
        </w:tc>
        <w:tc>
          <w:tcPr>
            <w:tcW w:w="1254" w:type="dxa"/>
            <w:tcBorders>
              <w:top w:val="nil"/>
              <w:left w:val="nil"/>
              <w:bottom w:val="nil"/>
              <w:right w:val="nil"/>
            </w:tcBorders>
            <w:shd w:val="clear" w:color="auto" w:fill="auto"/>
            <w:noWrap/>
            <w:vAlign w:val="bottom"/>
            <w:hideMark/>
          </w:tcPr>
          <w:p w14:paraId="222F926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84</w:t>
            </w:r>
          </w:p>
        </w:tc>
        <w:tc>
          <w:tcPr>
            <w:tcW w:w="1254" w:type="dxa"/>
            <w:tcBorders>
              <w:top w:val="nil"/>
              <w:left w:val="nil"/>
              <w:bottom w:val="nil"/>
              <w:right w:val="single" w:sz="4" w:space="0" w:color="auto"/>
            </w:tcBorders>
            <w:shd w:val="clear" w:color="auto" w:fill="EAF1DD" w:themeFill="accent3" w:themeFillTint="33"/>
            <w:noWrap/>
            <w:vAlign w:val="bottom"/>
            <w:hideMark/>
          </w:tcPr>
          <w:p w14:paraId="160FD6E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97</w:t>
            </w:r>
          </w:p>
        </w:tc>
      </w:tr>
      <w:tr w:rsidR="000E61DB" w:rsidRPr="001565F1" w14:paraId="4E215A8F"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DC50332"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5A185B5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33</w:t>
            </w:r>
          </w:p>
        </w:tc>
        <w:tc>
          <w:tcPr>
            <w:tcW w:w="1254" w:type="dxa"/>
            <w:tcBorders>
              <w:top w:val="nil"/>
              <w:left w:val="nil"/>
              <w:bottom w:val="nil"/>
              <w:right w:val="nil"/>
            </w:tcBorders>
            <w:shd w:val="clear" w:color="auto" w:fill="EAF1DD" w:themeFill="accent3" w:themeFillTint="33"/>
            <w:noWrap/>
            <w:vAlign w:val="bottom"/>
            <w:hideMark/>
          </w:tcPr>
          <w:p w14:paraId="73762CE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56</w:t>
            </w:r>
          </w:p>
        </w:tc>
        <w:tc>
          <w:tcPr>
            <w:tcW w:w="1253" w:type="dxa"/>
            <w:tcBorders>
              <w:top w:val="nil"/>
              <w:left w:val="nil"/>
              <w:bottom w:val="nil"/>
              <w:right w:val="nil"/>
            </w:tcBorders>
            <w:shd w:val="clear" w:color="auto" w:fill="auto"/>
            <w:noWrap/>
            <w:vAlign w:val="bottom"/>
            <w:hideMark/>
          </w:tcPr>
          <w:p w14:paraId="17A6124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w:t>
            </w:r>
          </w:p>
        </w:tc>
        <w:tc>
          <w:tcPr>
            <w:tcW w:w="1254" w:type="dxa"/>
            <w:tcBorders>
              <w:top w:val="nil"/>
              <w:left w:val="nil"/>
              <w:bottom w:val="nil"/>
              <w:right w:val="nil"/>
            </w:tcBorders>
            <w:shd w:val="clear" w:color="auto" w:fill="EAF1DD" w:themeFill="accent3" w:themeFillTint="33"/>
            <w:noWrap/>
            <w:vAlign w:val="bottom"/>
            <w:hideMark/>
          </w:tcPr>
          <w:p w14:paraId="5919199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27</w:t>
            </w:r>
          </w:p>
        </w:tc>
        <w:tc>
          <w:tcPr>
            <w:tcW w:w="1254" w:type="dxa"/>
            <w:tcBorders>
              <w:top w:val="nil"/>
              <w:left w:val="nil"/>
              <w:bottom w:val="nil"/>
              <w:right w:val="nil"/>
            </w:tcBorders>
            <w:shd w:val="clear" w:color="auto" w:fill="auto"/>
            <w:noWrap/>
            <w:vAlign w:val="bottom"/>
            <w:hideMark/>
          </w:tcPr>
          <w:p w14:paraId="32F6CAB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w:t>
            </w:r>
          </w:p>
        </w:tc>
        <w:tc>
          <w:tcPr>
            <w:tcW w:w="1253" w:type="dxa"/>
            <w:tcBorders>
              <w:top w:val="nil"/>
              <w:left w:val="nil"/>
              <w:bottom w:val="nil"/>
              <w:right w:val="nil"/>
            </w:tcBorders>
            <w:shd w:val="clear" w:color="auto" w:fill="EAF1DD" w:themeFill="accent3" w:themeFillTint="33"/>
            <w:noWrap/>
            <w:vAlign w:val="bottom"/>
            <w:hideMark/>
          </w:tcPr>
          <w:p w14:paraId="40CB655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w:t>
            </w:r>
          </w:p>
        </w:tc>
        <w:tc>
          <w:tcPr>
            <w:tcW w:w="1254" w:type="dxa"/>
            <w:tcBorders>
              <w:top w:val="nil"/>
              <w:left w:val="nil"/>
              <w:bottom w:val="nil"/>
              <w:right w:val="nil"/>
            </w:tcBorders>
            <w:shd w:val="clear" w:color="auto" w:fill="auto"/>
            <w:noWrap/>
            <w:vAlign w:val="bottom"/>
            <w:hideMark/>
          </w:tcPr>
          <w:p w14:paraId="55FB5714"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w:t>
            </w:r>
          </w:p>
        </w:tc>
        <w:tc>
          <w:tcPr>
            <w:tcW w:w="1253" w:type="dxa"/>
            <w:tcBorders>
              <w:top w:val="nil"/>
              <w:left w:val="nil"/>
              <w:bottom w:val="nil"/>
              <w:right w:val="nil"/>
            </w:tcBorders>
            <w:shd w:val="clear" w:color="auto" w:fill="EAF1DD" w:themeFill="accent3" w:themeFillTint="33"/>
            <w:noWrap/>
            <w:vAlign w:val="bottom"/>
            <w:hideMark/>
          </w:tcPr>
          <w:p w14:paraId="2648750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29</w:t>
            </w:r>
          </w:p>
        </w:tc>
        <w:tc>
          <w:tcPr>
            <w:tcW w:w="1254" w:type="dxa"/>
            <w:tcBorders>
              <w:top w:val="nil"/>
              <w:left w:val="nil"/>
              <w:bottom w:val="nil"/>
              <w:right w:val="nil"/>
            </w:tcBorders>
            <w:shd w:val="clear" w:color="auto" w:fill="auto"/>
            <w:noWrap/>
            <w:vAlign w:val="bottom"/>
            <w:hideMark/>
          </w:tcPr>
          <w:p w14:paraId="44BD7FE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39</w:t>
            </w:r>
          </w:p>
        </w:tc>
        <w:tc>
          <w:tcPr>
            <w:tcW w:w="1254" w:type="dxa"/>
            <w:tcBorders>
              <w:top w:val="nil"/>
              <w:left w:val="nil"/>
              <w:bottom w:val="nil"/>
              <w:right w:val="single" w:sz="4" w:space="0" w:color="auto"/>
            </w:tcBorders>
            <w:shd w:val="clear" w:color="auto" w:fill="EAF1DD" w:themeFill="accent3" w:themeFillTint="33"/>
            <w:noWrap/>
            <w:vAlign w:val="bottom"/>
            <w:hideMark/>
          </w:tcPr>
          <w:p w14:paraId="34E19BC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w:t>
            </w:r>
          </w:p>
        </w:tc>
      </w:tr>
      <w:tr w:rsidR="00876EFC" w:rsidRPr="001565F1" w14:paraId="3E21F6B2"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09C0E2B"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2DD868E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31</w:t>
            </w:r>
          </w:p>
        </w:tc>
        <w:tc>
          <w:tcPr>
            <w:tcW w:w="1254" w:type="dxa"/>
            <w:tcBorders>
              <w:top w:val="nil"/>
              <w:left w:val="nil"/>
              <w:bottom w:val="nil"/>
              <w:right w:val="nil"/>
            </w:tcBorders>
            <w:shd w:val="clear" w:color="auto" w:fill="EAF1DD" w:themeFill="accent3" w:themeFillTint="33"/>
            <w:noWrap/>
            <w:vAlign w:val="bottom"/>
            <w:hideMark/>
          </w:tcPr>
          <w:p w14:paraId="623C50E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43</w:t>
            </w:r>
          </w:p>
        </w:tc>
        <w:tc>
          <w:tcPr>
            <w:tcW w:w="1253" w:type="dxa"/>
            <w:tcBorders>
              <w:top w:val="nil"/>
              <w:left w:val="nil"/>
              <w:bottom w:val="nil"/>
              <w:right w:val="nil"/>
            </w:tcBorders>
            <w:shd w:val="clear" w:color="auto" w:fill="auto"/>
            <w:noWrap/>
            <w:vAlign w:val="bottom"/>
            <w:hideMark/>
          </w:tcPr>
          <w:p w14:paraId="3EF7E37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w:t>
            </w:r>
          </w:p>
        </w:tc>
        <w:tc>
          <w:tcPr>
            <w:tcW w:w="1254" w:type="dxa"/>
            <w:tcBorders>
              <w:top w:val="nil"/>
              <w:left w:val="nil"/>
              <w:bottom w:val="nil"/>
              <w:right w:val="nil"/>
            </w:tcBorders>
            <w:shd w:val="clear" w:color="auto" w:fill="EAF1DD" w:themeFill="accent3" w:themeFillTint="33"/>
            <w:noWrap/>
            <w:vAlign w:val="bottom"/>
            <w:hideMark/>
          </w:tcPr>
          <w:p w14:paraId="46DD2AC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254" w:type="dxa"/>
            <w:tcBorders>
              <w:top w:val="nil"/>
              <w:left w:val="nil"/>
              <w:bottom w:val="nil"/>
              <w:right w:val="nil"/>
            </w:tcBorders>
            <w:shd w:val="clear" w:color="auto" w:fill="auto"/>
            <w:noWrap/>
            <w:vAlign w:val="bottom"/>
            <w:hideMark/>
          </w:tcPr>
          <w:p w14:paraId="2DBE43F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w:t>
            </w:r>
          </w:p>
        </w:tc>
        <w:tc>
          <w:tcPr>
            <w:tcW w:w="1253" w:type="dxa"/>
            <w:tcBorders>
              <w:top w:val="nil"/>
              <w:left w:val="nil"/>
              <w:bottom w:val="nil"/>
              <w:right w:val="nil"/>
            </w:tcBorders>
            <w:shd w:val="clear" w:color="auto" w:fill="EAF1DD" w:themeFill="accent3" w:themeFillTint="33"/>
            <w:noWrap/>
            <w:vAlign w:val="bottom"/>
            <w:hideMark/>
          </w:tcPr>
          <w:p w14:paraId="774265B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auto"/>
            <w:noWrap/>
            <w:vAlign w:val="bottom"/>
            <w:hideMark/>
          </w:tcPr>
          <w:p w14:paraId="494541D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w:t>
            </w:r>
          </w:p>
        </w:tc>
        <w:tc>
          <w:tcPr>
            <w:tcW w:w="1253" w:type="dxa"/>
            <w:tcBorders>
              <w:top w:val="nil"/>
              <w:left w:val="nil"/>
              <w:bottom w:val="nil"/>
              <w:right w:val="nil"/>
            </w:tcBorders>
            <w:shd w:val="clear" w:color="auto" w:fill="EAF1DD" w:themeFill="accent3" w:themeFillTint="33"/>
            <w:noWrap/>
            <w:vAlign w:val="bottom"/>
            <w:hideMark/>
          </w:tcPr>
          <w:p w14:paraId="00FCF5F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w:t>
            </w:r>
          </w:p>
        </w:tc>
        <w:tc>
          <w:tcPr>
            <w:tcW w:w="1254" w:type="dxa"/>
            <w:tcBorders>
              <w:top w:val="nil"/>
              <w:left w:val="nil"/>
              <w:bottom w:val="nil"/>
              <w:right w:val="nil"/>
            </w:tcBorders>
            <w:shd w:val="clear" w:color="auto" w:fill="auto"/>
            <w:noWrap/>
            <w:vAlign w:val="bottom"/>
            <w:hideMark/>
          </w:tcPr>
          <w:p w14:paraId="0373973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28</w:t>
            </w:r>
          </w:p>
        </w:tc>
        <w:tc>
          <w:tcPr>
            <w:tcW w:w="1254" w:type="dxa"/>
            <w:tcBorders>
              <w:top w:val="nil"/>
              <w:left w:val="nil"/>
              <w:bottom w:val="nil"/>
              <w:right w:val="single" w:sz="4" w:space="0" w:color="auto"/>
            </w:tcBorders>
            <w:shd w:val="clear" w:color="auto" w:fill="EAF1DD" w:themeFill="accent3" w:themeFillTint="33"/>
            <w:noWrap/>
            <w:vAlign w:val="bottom"/>
            <w:hideMark/>
          </w:tcPr>
          <w:p w14:paraId="047CADB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w:t>
            </w:r>
          </w:p>
        </w:tc>
      </w:tr>
      <w:tr w:rsidR="00876EFC" w:rsidRPr="001565F1" w14:paraId="24D272F9" w14:textId="77777777" w:rsidTr="00561E44">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801ECB9"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3CE3465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c>
          <w:tcPr>
            <w:tcW w:w="1254" w:type="dxa"/>
            <w:tcBorders>
              <w:top w:val="nil"/>
              <w:left w:val="nil"/>
              <w:bottom w:val="nil"/>
              <w:right w:val="nil"/>
            </w:tcBorders>
            <w:shd w:val="clear" w:color="auto" w:fill="EAF1DD" w:themeFill="accent3" w:themeFillTint="33"/>
            <w:noWrap/>
            <w:vAlign w:val="bottom"/>
            <w:hideMark/>
          </w:tcPr>
          <w:p w14:paraId="760EE00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13</w:t>
            </w:r>
          </w:p>
        </w:tc>
        <w:tc>
          <w:tcPr>
            <w:tcW w:w="1253" w:type="dxa"/>
            <w:tcBorders>
              <w:top w:val="nil"/>
              <w:left w:val="nil"/>
              <w:bottom w:val="nil"/>
              <w:right w:val="nil"/>
            </w:tcBorders>
            <w:shd w:val="clear" w:color="auto" w:fill="auto"/>
            <w:noWrap/>
            <w:vAlign w:val="bottom"/>
            <w:hideMark/>
          </w:tcPr>
          <w:p w14:paraId="33B57DF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EAF1DD" w:themeFill="accent3" w:themeFillTint="33"/>
            <w:noWrap/>
            <w:vAlign w:val="bottom"/>
            <w:hideMark/>
          </w:tcPr>
          <w:p w14:paraId="54AECF6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w:t>
            </w:r>
          </w:p>
        </w:tc>
        <w:tc>
          <w:tcPr>
            <w:tcW w:w="1254" w:type="dxa"/>
            <w:tcBorders>
              <w:top w:val="nil"/>
              <w:left w:val="nil"/>
              <w:bottom w:val="nil"/>
              <w:right w:val="nil"/>
            </w:tcBorders>
            <w:shd w:val="clear" w:color="auto" w:fill="auto"/>
            <w:noWrap/>
            <w:vAlign w:val="bottom"/>
            <w:hideMark/>
          </w:tcPr>
          <w:p w14:paraId="5156F49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3" w:type="dxa"/>
            <w:tcBorders>
              <w:top w:val="nil"/>
              <w:left w:val="nil"/>
              <w:bottom w:val="nil"/>
              <w:right w:val="nil"/>
            </w:tcBorders>
            <w:shd w:val="clear" w:color="auto" w:fill="EAF1DD" w:themeFill="accent3" w:themeFillTint="33"/>
            <w:noWrap/>
            <w:vAlign w:val="bottom"/>
            <w:hideMark/>
          </w:tcPr>
          <w:p w14:paraId="0FF10BD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c>
          <w:tcPr>
            <w:tcW w:w="1254" w:type="dxa"/>
            <w:tcBorders>
              <w:top w:val="nil"/>
              <w:left w:val="nil"/>
              <w:bottom w:val="nil"/>
              <w:right w:val="nil"/>
            </w:tcBorders>
            <w:shd w:val="clear" w:color="auto" w:fill="auto"/>
            <w:noWrap/>
            <w:vAlign w:val="bottom"/>
            <w:hideMark/>
          </w:tcPr>
          <w:p w14:paraId="2D60BEB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p>
        </w:tc>
        <w:tc>
          <w:tcPr>
            <w:tcW w:w="1253" w:type="dxa"/>
            <w:tcBorders>
              <w:top w:val="nil"/>
              <w:left w:val="nil"/>
              <w:bottom w:val="nil"/>
              <w:right w:val="nil"/>
            </w:tcBorders>
            <w:shd w:val="clear" w:color="auto" w:fill="EAF1DD" w:themeFill="accent3" w:themeFillTint="33"/>
            <w:noWrap/>
            <w:vAlign w:val="bottom"/>
            <w:hideMark/>
          </w:tcPr>
          <w:p w14:paraId="7380D9A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w:t>
            </w:r>
          </w:p>
        </w:tc>
        <w:tc>
          <w:tcPr>
            <w:tcW w:w="1254" w:type="dxa"/>
            <w:tcBorders>
              <w:top w:val="nil"/>
              <w:left w:val="nil"/>
              <w:bottom w:val="nil"/>
              <w:right w:val="nil"/>
            </w:tcBorders>
            <w:shd w:val="clear" w:color="auto" w:fill="auto"/>
            <w:noWrap/>
            <w:vAlign w:val="bottom"/>
            <w:hideMark/>
          </w:tcPr>
          <w:p w14:paraId="312BBD5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p>
        </w:tc>
        <w:tc>
          <w:tcPr>
            <w:tcW w:w="1254" w:type="dxa"/>
            <w:tcBorders>
              <w:top w:val="nil"/>
              <w:left w:val="nil"/>
              <w:bottom w:val="nil"/>
              <w:right w:val="single" w:sz="4" w:space="0" w:color="auto"/>
            </w:tcBorders>
            <w:shd w:val="clear" w:color="auto" w:fill="EAF1DD" w:themeFill="accent3" w:themeFillTint="33"/>
            <w:noWrap/>
            <w:vAlign w:val="bottom"/>
            <w:hideMark/>
          </w:tcPr>
          <w:p w14:paraId="760B268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r>
      <w:tr w:rsidR="00876EFC" w:rsidRPr="00DA0360" w14:paraId="7C213E01" w14:textId="77777777" w:rsidTr="00561E44">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3891713B"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3EB1B5CE"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75</w:t>
            </w:r>
          </w:p>
        </w:tc>
        <w:tc>
          <w:tcPr>
            <w:tcW w:w="1254" w:type="dxa"/>
            <w:tcBorders>
              <w:top w:val="nil"/>
              <w:left w:val="nil"/>
              <w:bottom w:val="single" w:sz="4" w:space="0" w:color="auto"/>
              <w:right w:val="nil"/>
            </w:tcBorders>
            <w:shd w:val="clear" w:color="auto" w:fill="EAF1DD" w:themeFill="accent3" w:themeFillTint="33"/>
            <w:noWrap/>
            <w:vAlign w:val="bottom"/>
            <w:hideMark/>
          </w:tcPr>
          <w:p w14:paraId="429883B7"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105</w:t>
            </w:r>
          </w:p>
        </w:tc>
        <w:tc>
          <w:tcPr>
            <w:tcW w:w="1253" w:type="dxa"/>
            <w:tcBorders>
              <w:top w:val="nil"/>
              <w:left w:val="nil"/>
              <w:bottom w:val="single" w:sz="4" w:space="0" w:color="auto"/>
              <w:right w:val="nil"/>
            </w:tcBorders>
            <w:shd w:val="clear" w:color="auto" w:fill="auto"/>
            <w:noWrap/>
            <w:vAlign w:val="bottom"/>
            <w:hideMark/>
          </w:tcPr>
          <w:p w14:paraId="7001E230"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61</w:t>
            </w:r>
          </w:p>
        </w:tc>
        <w:tc>
          <w:tcPr>
            <w:tcW w:w="1254" w:type="dxa"/>
            <w:tcBorders>
              <w:top w:val="nil"/>
              <w:left w:val="nil"/>
              <w:bottom w:val="single" w:sz="4" w:space="0" w:color="auto"/>
              <w:right w:val="nil"/>
            </w:tcBorders>
            <w:shd w:val="clear" w:color="auto" w:fill="EAF1DD" w:themeFill="accent3" w:themeFillTint="33"/>
            <w:noWrap/>
            <w:vAlign w:val="bottom"/>
            <w:hideMark/>
          </w:tcPr>
          <w:p w14:paraId="134F3C0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77</w:t>
            </w:r>
          </w:p>
        </w:tc>
        <w:tc>
          <w:tcPr>
            <w:tcW w:w="1254" w:type="dxa"/>
            <w:tcBorders>
              <w:top w:val="nil"/>
              <w:left w:val="nil"/>
              <w:bottom w:val="single" w:sz="4" w:space="0" w:color="auto"/>
              <w:right w:val="nil"/>
            </w:tcBorders>
            <w:shd w:val="clear" w:color="auto" w:fill="auto"/>
            <w:noWrap/>
            <w:vAlign w:val="bottom"/>
            <w:hideMark/>
          </w:tcPr>
          <w:p w14:paraId="61BFBF3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38</w:t>
            </w:r>
          </w:p>
        </w:tc>
        <w:tc>
          <w:tcPr>
            <w:tcW w:w="1253" w:type="dxa"/>
            <w:tcBorders>
              <w:top w:val="nil"/>
              <w:left w:val="nil"/>
              <w:bottom w:val="single" w:sz="4" w:space="0" w:color="auto"/>
              <w:right w:val="nil"/>
            </w:tcBorders>
            <w:shd w:val="clear" w:color="auto" w:fill="EAF1DD" w:themeFill="accent3" w:themeFillTint="33"/>
            <w:noWrap/>
            <w:vAlign w:val="bottom"/>
            <w:hideMark/>
          </w:tcPr>
          <w:p w14:paraId="1417DB41"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70</w:t>
            </w:r>
          </w:p>
        </w:tc>
        <w:tc>
          <w:tcPr>
            <w:tcW w:w="1254" w:type="dxa"/>
            <w:tcBorders>
              <w:top w:val="nil"/>
              <w:left w:val="nil"/>
              <w:bottom w:val="single" w:sz="4" w:space="0" w:color="auto"/>
              <w:right w:val="nil"/>
            </w:tcBorders>
            <w:shd w:val="clear" w:color="auto" w:fill="auto"/>
            <w:noWrap/>
            <w:vAlign w:val="bottom"/>
            <w:hideMark/>
          </w:tcPr>
          <w:p w14:paraId="72431584"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90</w:t>
            </w:r>
          </w:p>
        </w:tc>
        <w:tc>
          <w:tcPr>
            <w:tcW w:w="1253" w:type="dxa"/>
            <w:tcBorders>
              <w:top w:val="nil"/>
              <w:left w:val="nil"/>
              <w:bottom w:val="single" w:sz="4" w:space="0" w:color="auto"/>
              <w:right w:val="nil"/>
            </w:tcBorders>
            <w:shd w:val="clear" w:color="auto" w:fill="EAF1DD" w:themeFill="accent3" w:themeFillTint="33"/>
            <w:noWrap/>
            <w:vAlign w:val="bottom"/>
            <w:hideMark/>
          </w:tcPr>
          <w:p w14:paraId="129D5F0B"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94</w:t>
            </w:r>
          </w:p>
        </w:tc>
        <w:tc>
          <w:tcPr>
            <w:tcW w:w="1254" w:type="dxa"/>
            <w:tcBorders>
              <w:top w:val="nil"/>
              <w:left w:val="nil"/>
              <w:bottom w:val="single" w:sz="4" w:space="0" w:color="auto"/>
              <w:right w:val="nil"/>
            </w:tcBorders>
            <w:shd w:val="clear" w:color="auto" w:fill="auto"/>
            <w:noWrap/>
            <w:vAlign w:val="bottom"/>
            <w:hideMark/>
          </w:tcPr>
          <w:p w14:paraId="3A53E6A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123</w:t>
            </w:r>
          </w:p>
        </w:tc>
        <w:tc>
          <w:tcPr>
            <w:tcW w:w="1254" w:type="dxa"/>
            <w:tcBorders>
              <w:top w:val="nil"/>
              <w:left w:val="nil"/>
              <w:bottom w:val="single" w:sz="4" w:space="0" w:color="auto"/>
              <w:right w:val="single" w:sz="4" w:space="0" w:color="auto"/>
            </w:tcBorders>
            <w:shd w:val="clear" w:color="auto" w:fill="EAF1DD" w:themeFill="accent3" w:themeFillTint="33"/>
            <w:noWrap/>
            <w:vAlign w:val="bottom"/>
            <w:hideMark/>
          </w:tcPr>
          <w:p w14:paraId="3FC4CE0A"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120</w:t>
            </w:r>
          </w:p>
        </w:tc>
      </w:tr>
      <w:tr w:rsidR="00876EFC" w:rsidRPr="00DA0360" w14:paraId="2BC1CBA3"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254AD8B"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Neglect</w:t>
            </w:r>
          </w:p>
        </w:tc>
        <w:tc>
          <w:tcPr>
            <w:tcW w:w="1253" w:type="dxa"/>
            <w:tcBorders>
              <w:top w:val="nil"/>
              <w:left w:val="nil"/>
              <w:bottom w:val="nil"/>
              <w:right w:val="nil"/>
            </w:tcBorders>
            <w:shd w:val="clear" w:color="auto" w:fill="auto"/>
            <w:noWrap/>
            <w:vAlign w:val="bottom"/>
            <w:hideMark/>
          </w:tcPr>
          <w:p w14:paraId="259266AB"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DAEEF3" w:themeFill="accent5" w:themeFillTint="33"/>
            <w:noWrap/>
            <w:vAlign w:val="bottom"/>
            <w:hideMark/>
          </w:tcPr>
          <w:p w14:paraId="7C79784C"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auto"/>
            <w:noWrap/>
            <w:vAlign w:val="bottom"/>
            <w:hideMark/>
          </w:tcPr>
          <w:p w14:paraId="5B08F511"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DAEEF3" w:themeFill="accent5" w:themeFillTint="33"/>
            <w:noWrap/>
            <w:vAlign w:val="bottom"/>
            <w:hideMark/>
          </w:tcPr>
          <w:p w14:paraId="01AE77F4"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1D3C78E6"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DAEEF3" w:themeFill="accent5" w:themeFillTint="33"/>
            <w:noWrap/>
            <w:vAlign w:val="bottom"/>
            <w:hideMark/>
          </w:tcPr>
          <w:p w14:paraId="33F6DE4F"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20BB4382"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DAEEF3" w:themeFill="accent5" w:themeFillTint="33"/>
            <w:noWrap/>
            <w:vAlign w:val="bottom"/>
            <w:hideMark/>
          </w:tcPr>
          <w:p w14:paraId="4B199EA7"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30E85100"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single" w:sz="4" w:space="0" w:color="auto"/>
            </w:tcBorders>
            <w:shd w:val="clear" w:color="auto" w:fill="DAEEF3" w:themeFill="accent5" w:themeFillTint="33"/>
            <w:noWrap/>
            <w:vAlign w:val="bottom"/>
            <w:hideMark/>
          </w:tcPr>
          <w:p w14:paraId="5B7828CB"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3C4BE90C"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4AE0887"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6389F47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w:t>
            </w:r>
          </w:p>
        </w:tc>
        <w:tc>
          <w:tcPr>
            <w:tcW w:w="1254" w:type="dxa"/>
            <w:tcBorders>
              <w:top w:val="nil"/>
              <w:left w:val="nil"/>
              <w:bottom w:val="nil"/>
              <w:right w:val="nil"/>
            </w:tcBorders>
            <w:shd w:val="clear" w:color="auto" w:fill="DAEEF3" w:themeFill="accent5" w:themeFillTint="33"/>
            <w:noWrap/>
            <w:vAlign w:val="bottom"/>
            <w:hideMark/>
          </w:tcPr>
          <w:p w14:paraId="3E754A4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w:t>
            </w:r>
          </w:p>
        </w:tc>
        <w:tc>
          <w:tcPr>
            <w:tcW w:w="1253" w:type="dxa"/>
            <w:tcBorders>
              <w:top w:val="nil"/>
              <w:left w:val="nil"/>
              <w:bottom w:val="nil"/>
              <w:right w:val="nil"/>
            </w:tcBorders>
            <w:shd w:val="clear" w:color="auto" w:fill="auto"/>
            <w:noWrap/>
            <w:vAlign w:val="bottom"/>
            <w:hideMark/>
          </w:tcPr>
          <w:p w14:paraId="34AEA09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22</w:t>
            </w:r>
          </w:p>
        </w:tc>
        <w:tc>
          <w:tcPr>
            <w:tcW w:w="1254" w:type="dxa"/>
            <w:tcBorders>
              <w:top w:val="nil"/>
              <w:left w:val="nil"/>
              <w:bottom w:val="nil"/>
              <w:right w:val="nil"/>
            </w:tcBorders>
            <w:shd w:val="clear" w:color="auto" w:fill="DAEEF3" w:themeFill="accent5" w:themeFillTint="33"/>
            <w:noWrap/>
            <w:vAlign w:val="bottom"/>
            <w:hideMark/>
          </w:tcPr>
          <w:p w14:paraId="2A52A54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25</w:t>
            </w:r>
          </w:p>
        </w:tc>
        <w:tc>
          <w:tcPr>
            <w:tcW w:w="1254" w:type="dxa"/>
            <w:tcBorders>
              <w:top w:val="nil"/>
              <w:left w:val="nil"/>
              <w:bottom w:val="nil"/>
              <w:right w:val="nil"/>
            </w:tcBorders>
            <w:shd w:val="clear" w:color="auto" w:fill="auto"/>
            <w:noWrap/>
            <w:vAlign w:val="bottom"/>
            <w:hideMark/>
          </w:tcPr>
          <w:p w14:paraId="3F9C77E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48</w:t>
            </w:r>
          </w:p>
        </w:tc>
        <w:tc>
          <w:tcPr>
            <w:tcW w:w="1253" w:type="dxa"/>
            <w:tcBorders>
              <w:top w:val="nil"/>
              <w:left w:val="nil"/>
              <w:bottom w:val="nil"/>
              <w:right w:val="nil"/>
            </w:tcBorders>
            <w:shd w:val="clear" w:color="auto" w:fill="DAEEF3" w:themeFill="accent5" w:themeFillTint="33"/>
            <w:noWrap/>
            <w:vAlign w:val="bottom"/>
            <w:hideMark/>
          </w:tcPr>
          <w:p w14:paraId="70AFC4B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26</w:t>
            </w:r>
          </w:p>
        </w:tc>
        <w:tc>
          <w:tcPr>
            <w:tcW w:w="1254" w:type="dxa"/>
            <w:tcBorders>
              <w:top w:val="nil"/>
              <w:left w:val="nil"/>
              <w:bottom w:val="nil"/>
              <w:right w:val="nil"/>
            </w:tcBorders>
            <w:shd w:val="clear" w:color="auto" w:fill="auto"/>
            <w:noWrap/>
            <w:vAlign w:val="bottom"/>
            <w:hideMark/>
          </w:tcPr>
          <w:p w14:paraId="221A490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w:t>
            </w:r>
          </w:p>
        </w:tc>
        <w:tc>
          <w:tcPr>
            <w:tcW w:w="1253" w:type="dxa"/>
            <w:tcBorders>
              <w:top w:val="nil"/>
              <w:left w:val="nil"/>
              <w:bottom w:val="nil"/>
              <w:right w:val="nil"/>
            </w:tcBorders>
            <w:shd w:val="clear" w:color="auto" w:fill="DAEEF3" w:themeFill="accent5" w:themeFillTint="33"/>
            <w:noWrap/>
            <w:vAlign w:val="bottom"/>
            <w:hideMark/>
          </w:tcPr>
          <w:p w14:paraId="657002A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c>
          <w:tcPr>
            <w:tcW w:w="1254" w:type="dxa"/>
            <w:tcBorders>
              <w:top w:val="nil"/>
              <w:left w:val="nil"/>
              <w:bottom w:val="nil"/>
              <w:right w:val="nil"/>
            </w:tcBorders>
            <w:shd w:val="clear" w:color="auto" w:fill="auto"/>
            <w:noWrap/>
            <w:vAlign w:val="bottom"/>
            <w:hideMark/>
          </w:tcPr>
          <w:p w14:paraId="1521D51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c>
          <w:tcPr>
            <w:tcW w:w="1254" w:type="dxa"/>
            <w:tcBorders>
              <w:top w:val="nil"/>
              <w:left w:val="nil"/>
              <w:bottom w:val="nil"/>
              <w:right w:val="single" w:sz="4" w:space="0" w:color="auto"/>
            </w:tcBorders>
            <w:shd w:val="clear" w:color="auto" w:fill="DAEEF3" w:themeFill="accent5" w:themeFillTint="33"/>
            <w:noWrap/>
            <w:vAlign w:val="bottom"/>
            <w:hideMark/>
          </w:tcPr>
          <w:p w14:paraId="4DF7F3A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r>
      <w:tr w:rsidR="000E61DB" w:rsidRPr="001565F1" w14:paraId="0DF9B36B"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73849D9"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5575F78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DAEEF3" w:themeFill="accent5" w:themeFillTint="33"/>
            <w:noWrap/>
            <w:vAlign w:val="bottom"/>
            <w:hideMark/>
          </w:tcPr>
          <w:p w14:paraId="29A5CCE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3" w:type="dxa"/>
            <w:tcBorders>
              <w:top w:val="nil"/>
              <w:left w:val="nil"/>
              <w:bottom w:val="nil"/>
              <w:right w:val="nil"/>
            </w:tcBorders>
            <w:shd w:val="clear" w:color="auto" w:fill="auto"/>
            <w:noWrap/>
            <w:vAlign w:val="bottom"/>
            <w:hideMark/>
          </w:tcPr>
          <w:p w14:paraId="58B1E7F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c>
          <w:tcPr>
            <w:tcW w:w="1254" w:type="dxa"/>
            <w:tcBorders>
              <w:top w:val="nil"/>
              <w:left w:val="nil"/>
              <w:bottom w:val="nil"/>
              <w:right w:val="nil"/>
            </w:tcBorders>
            <w:shd w:val="clear" w:color="auto" w:fill="DAEEF3" w:themeFill="accent5" w:themeFillTint="33"/>
            <w:noWrap/>
            <w:vAlign w:val="bottom"/>
            <w:hideMark/>
          </w:tcPr>
          <w:p w14:paraId="3C1C13B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c>
          <w:tcPr>
            <w:tcW w:w="1254" w:type="dxa"/>
            <w:tcBorders>
              <w:top w:val="nil"/>
              <w:left w:val="nil"/>
              <w:bottom w:val="nil"/>
              <w:right w:val="nil"/>
            </w:tcBorders>
            <w:shd w:val="clear" w:color="auto" w:fill="auto"/>
            <w:noWrap/>
            <w:vAlign w:val="bottom"/>
            <w:hideMark/>
          </w:tcPr>
          <w:p w14:paraId="1C2C52E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c>
          <w:tcPr>
            <w:tcW w:w="1253" w:type="dxa"/>
            <w:tcBorders>
              <w:top w:val="nil"/>
              <w:left w:val="nil"/>
              <w:bottom w:val="nil"/>
              <w:right w:val="nil"/>
            </w:tcBorders>
            <w:shd w:val="clear" w:color="auto" w:fill="DAEEF3" w:themeFill="accent5" w:themeFillTint="33"/>
            <w:noWrap/>
            <w:vAlign w:val="bottom"/>
            <w:hideMark/>
          </w:tcPr>
          <w:p w14:paraId="6B754D72"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w:t>
            </w:r>
          </w:p>
        </w:tc>
        <w:tc>
          <w:tcPr>
            <w:tcW w:w="1254" w:type="dxa"/>
            <w:tcBorders>
              <w:top w:val="nil"/>
              <w:left w:val="nil"/>
              <w:bottom w:val="nil"/>
              <w:right w:val="nil"/>
            </w:tcBorders>
            <w:shd w:val="clear" w:color="auto" w:fill="auto"/>
            <w:noWrap/>
            <w:vAlign w:val="bottom"/>
            <w:hideMark/>
          </w:tcPr>
          <w:p w14:paraId="0E28ECF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c>
          <w:tcPr>
            <w:tcW w:w="1253" w:type="dxa"/>
            <w:tcBorders>
              <w:top w:val="nil"/>
              <w:left w:val="nil"/>
              <w:bottom w:val="nil"/>
              <w:right w:val="nil"/>
            </w:tcBorders>
            <w:shd w:val="clear" w:color="auto" w:fill="DAEEF3" w:themeFill="accent5" w:themeFillTint="33"/>
            <w:noWrap/>
            <w:vAlign w:val="bottom"/>
            <w:hideMark/>
          </w:tcPr>
          <w:p w14:paraId="5317EF49"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p>
        </w:tc>
        <w:tc>
          <w:tcPr>
            <w:tcW w:w="1254" w:type="dxa"/>
            <w:tcBorders>
              <w:top w:val="nil"/>
              <w:left w:val="nil"/>
              <w:bottom w:val="nil"/>
              <w:right w:val="nil"/>
            </w:tcBorders>
            <w:shd w:val="clear" w:color="auto" w:fill="auto"/>
            <w:noWrap/>
            <w:vAlign w:val="bottom"/>
            <w:hideMark/>
          </w:tcPr>
          <w:p w14:paraId="5843B3C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c>
          <w:tcPr>
            <w:tcW w:w="1254" w:type="dxa"/>
            <w:tcBorders>
              <w:top w:val="nil"/>
              <w:left w:val="nil"/>
              <w:bottom w:val="nil"/>
              <w:right w:val="single" w:sz="4" w:space="0" w:color="auto"/>
            </w:tcBorders>
            <w:shd w:val="clear" w:color="auto" w:fill="DAEEF3" w:themeFill="accent5" w:themeFillTint="33"/>
            <w:noWrap/>
            <w:vAlign w:val="bottom"/>
            <w:hideMark/>
          </w:tcPr>
          <w:p w14:paraId="38541D6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r>
      <w:tr w:rsidR="00876EFC" w:rsidRPr="001565F1" w14:paraId="42B67A8C"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F64DB06"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1B33562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c>
          <w:tcPr>
            <w:tcW w:w="1254" w:type="dxa"/>
            <w:tcBorders>
              <w:top w:val="nil"/>
              <w:left w:val="nil"/>
              <w:bottom w:val="nil"/>
              <w:right w:val="nil"/>
            </w:tcBorders>
            <w:shd w:val="clear" w:color="auto" w:fill="DAEEF3" w:themeFill="accent5" w:themeFillTint="33"/>
            <w:noWrap/>
            <w:vAlign w:val="bottom"/>
            <w:hideMark/>
          </w:tcPr>
          <w:p w14:paraId="1B7C583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p>
        </w:tc>
        <w:tc>
          <w:tcPr>
            <w:tcW w:w="1253" w:type="dxa"/>
            <w:tcBorders>
              <w:top w:val="nil"/>
              <w:left w:val="nil"/>
              <w:bottom w:val="nil"/>
              <w:right w:val="nil"/>
            </w:tcBorders>
            <w:shd w:val="clear" w:color="auto" w:fill="auto"/>
            <w:noWrap/>
            <w:vAlign w:val="bottom"/>
            <w:hideMark/>
          </w:tcPr>
          <w:p w14:paraId="0C50946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DAEEF3" w:themeFill="accent5" w:themeFillTint="33"/>
            <w:noWrap/>
            <w:vAlign w:val="bottom"/>
            <w:hideMark/>
          </w:tcPr>
          <w:p w14:paraId="0A5A71F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p>
        </w:tc>
        <w:tc>
          <w:tcPr>
            <w:tcW w:w="1254" w:type="dxa"/>
            <w:tcBorders>
              <w:top w:val="nil"/>
              <w:left w:val="nil"/>
              <w:bottom w:val="nil"/>
              <w:right w:val="nil"/>
            </w:tcBorders>
            <w:shd w:val="clear" w:color="auto" w:fill="auto"/>
            <w:noWrap/>
            <w:vAlign w:val="bottom"/>
            <w:hideMark/>
          </w:tcPr>
          <w:p w14:paraId="4AD2C0D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3" w:type="dxa"/>
            <w:tcBorders>
              <w:top w:val="nil"/>
              <w:left w:val="nil"/>
              <w:bottom w:val="nil"/>
              <w:right w:val="nil"/>
            </w:tcBorders>
            <w:shd w:val="clear" w:color="auto" w:fill="DAEEF3" w:themeFill="accent5" w:themeFillTint="33"/>
            <w:noWrap/>
            <w:vAlign w:val="bottom"/>
            <w:hideMark/>
          </w:tcPr>
          <w:p w14:paraId="123C9CC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w:t>
            </w:r>
          </w:p>
        </w:tc>
        <w:tc>
          <w:tcPr>
            <w:tcW w:w="1254" w:type="dxa"/>
            <w:tcBorders>
              <w:top w:val="nil"/>
              <w:left w:val="nil"/>
              <w:bottom w:val="nil"/>
              <w:right w:val="nil"/>
            </w:tcBorders>
            <w:shd w:val="clear" w:color="auto" w:fill="auto"/>
            <w:noWrap/>
            <w:vAlign w:val="bottom"/>
            <w:hideMark/>
          </w:tcPr>
          <w:p w14:paraId="3A561E6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3" w:type="dxa"/>
            <w:tcBorders>
              <w:top w:val="nil"/>
              <w:left w:val="nil"/>
              <w:bottom w:val="nil"/>
              <w:right w:val="nil"/>
            </w:tcBorders>
            <w:shd w:val="clear" w:color="auto" w:fill="DAEEF3" w:themeFill="accent5" w:themeFillTint="33"/>
            <w:noWrap/>
            <w:vAlign w:val="bottom"/>
            <w:hideMark/>
          </w:tcPr>
          <w:p w14:paraId="14D95F8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auto"/>
            <w:noWrap/>
            <w:vAlign w:val="bottom"/>
            <w:hideMark/>
          </w:tcPr>
          <w:p w14:paraId="7231F55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4" w:type="dxa"/>
            <w:tcBorders>
              <w:top w:val="nil"/>
              <w:left w:val="nil"/>
              <w:bottom w:val="nil"/>
              <w:right w:val="single" w:sz="4" w:space="0" w:color="auto"/>
            </w:tcBorders>
            <w:shd w:val="clear" w:color="auto" w:fill="DAEEF3" w:themeFill="accent5" w:themeFillTint="33"/>
            <w:noWrap/>
            <w:vAlign w:val="bottom"/>
            <w:hideMark/>
          </w:tcPr>
          <w:p w14:paraId="019EC34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r>
      <w:tr w:rsidR="00876EFC" w:rsidRPr="001565F1" w14:paraId="74306C12" w14:textId="77777777" w:rsidTr="00561E44">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D881B15"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1983F23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c>
          <w:tcPr>
            <w:tcW w:w="1254" w:type="dxa"/>
            <w:tcBorders>
              <w:top w:val="nil"/>
              <w:left w:val="nil"/>
              <w:bottom w:val="nil"/>
              <w:right w:val="nil"/>
            </w:tcBorders>
            <w:shd w:val="clear" w:color="auto" w:fill="DAEEF3" w:themeFill="accent5" w:themeFillTint="33"/>
            <w:noWrap/>
            <w:vAlign w:val="bottom"/>
            <w:hideMark/>
          </w:tcPr>
          <w:p w14:paraId="75EFC59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p>
        </w:tc>
        <w:tc>
          <w:tcPr>
            <w:tcW w:w="1253" w:type="dxa"/>
            <w:tcBorders>
              <w:top w:val="nil"/>
              <w:left w:val="nil"/>
              <w:bottom w:val="nil"/>
              <w:right w:val="nil"/>
            </w:tcBorders>
            <w:shd w:val="clear" w:color="auto" w:fill="auto"/>
            <w:noWrap/>
            <w:vAlign w:val="bottom"/>
            <w:hideMark/>
          </w:tcPr>
          <w:p w14:paraId="0A7B8EF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p>
        </w:tc>
        <w:tc>
          <w:tcPr>
            <w:tcW w:w="1254" w:type="dxa"/>
            <w:tcBorders>
              <w:top w:val="nil"/>
              <w:left w:val="nil"/>
              <w:bottom w:val="nil"/>
              <w:right w:val="nil"/>
            </w:tcBorders>
            <w:shd w:val="clear" w:color="auto" w:fill="DAEEF3" w:themeFill="accent5" w:themeFillTint="33"/>
            <w:noWrap/>
            <w:vAlign w:val="bottom"/>
            <w:hideMark/>
          </w:tcPr>
          <w:p w14:paraId="412774D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p>
        </w:tc>
        <w:tc>
          <w:tcPr>
            <w:tcW w:w="1254" w:type="dxa"/>
            <w:tcBorders>
              <w:top w:val="nil"/>
              <w:left w:val="nil"/>
              <w:bottom w:val="nil"/>
              <w:right w:val="nil"/>
            </w:tcBorders>
            <w:shd w:val="clear" w:color="auto" w:fill="auto"/>
            <w:noWrap/>
            <w:vAlign w:val="bottom"/>
            <w:hideMark/>
          </w:tcPr>
          <w:p w14:paraId="21B9316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p>
        </w:tc>
        <w:tc>
          <w:tcPr>
            <w:tcW w:w="1253" w:type="dxa"/>
            <w:tcBorders>
              <w:top w:val="nil"/>
              <w:left w:val="nil"/>
              <w:bottom w:val="nil"/>
              <w:right w:val="nil"/>
            </w:tcBorders>
            <w:shd w:val="clear" w:color="auto" w:fill="DAEEF3" w:themeFill="accent5" w:themeFillTint="33"/>
            <w:noWrap/>
            <w:vAlign w:val="bottom"/>
            <w:hideMark/>
          </w:tcPr>
          <w:p w14:paraId="58A9B84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0</w:t>
            </w:r>
          </w:p>
        </w:tc>
        <w:tc>
          <w:tcPr>
            <w:tcW w:w="1254" w:type="dxa"/>
            <w:tcBorders>
              <w:top w:val="nil"/>
              <w:left w:val="nil"/>
              <w:bottom w:val="nil"/>
              <w:right w:val="nil"/>
            </w:tcBorders>
            <w:shd w:val="clear" w:color="auto" w:fill="auto"/>
            <w:noWrap/>
            <w:vAlign w:val="bottom"/>
            <w:hideMark/>
          </w:tcPr>
          <w:p w14:paraId="020E5C0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p>
        </w:tc>
        <w:tc>
          <w:tcPr>
            <w:tcW w:w="1253" w:type="dxa"/>
            <w:tcBorders>
              <w:top w:val="nil"/>
              <w:left w:val="nil"/>
              <w:bottom w:val="nil"/>
              <w:right w:val="nil"/>
            </w:tcBorders>
            <w:shd w:val="clear" w:color="auto" w:fill="DAEEF3" w:themeFill="accent5" w:themeFillTint="33"/>
            <w:noWrap/>
            <w:vAlign w:val="bottom"/>
            <w:hideMark/>
          </w:tcPr>
          <w:p w14:paraId="7BEE084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p>
        </w:tc>
        <w:tc>
          <w:tcPr>
            <w:tcW w:w="1254" w:type="dxa"/>
            <w:tcBorders>
              <w:top w:val="nil"/>
              <w:left w:val="nil"/>
              <w:bottom w:val="nil"/>
              <w:right w:val="nil"/>
            </w:tcBorders>
            <w:shd w:val="clear" w:color="auto" w:fill="auto"/>
            <w:noWrap/>
            <w:vAlign w:val="bottom"/>
            <w:hideMark/>
          </w:tcPr>
          <w:p w14:paraId="75C1914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p>
        </w:tc>
        <w:tc>
          <w:tcPr>
            <w:tcW w:w="1254" w:type="dxa"/>
            <w:tcBorders>
              <w:top w:val="nil"/>
              <w:left w:val="nil"/>
              <w:bottom w:val="nil"/>
              <w:right w:val="single" w:sz="4" w:space="0" w:color="auto"/>
            </w:tcBorders>
            <w:shd w:val="clear" w:color="auto" w:fill="DAEEF3" w:themeFill="accent5" w:themeFillTint="33"/>
            <w:noWrap/>
            <w:vAlign w:val="bottom"/>
            <w:hideMark/>
          </w:tcPr>
          <w:p w14:paraId="1DEEFB6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0</w:t>
            </w:r>
          </w:p>
        </w:tc>
      </w:tr>
      <w:tr w:rsidR="00876EFC" w:rsidRPr="00DA0360" w14:paraId="2F1777B5" w14:textId="77777777" w:rsidTr="00561E44">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00AEE8D4"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5126AAE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23</w:t>
            </w:r>
          </w:p>
        </w:tc>
        <w:tc>
          <w:tcPr>
            <w:tcW w:w="1254" w:type="dxa"/>
            <w:tcBorders>
              <w:top w:val="nil"/>
              <w:left w:val="nil"/>
              <w:bottom w:val="single" w:sz="4" w:space="0" w:color="auto"/>
              <w:right w:val="nil"/>
            </w:tcBorders>
            <w:shd w:val="clear" w:color="auto" w:fill="DAEEF3" w:themeFill="accent5" w:themeFillTint="33"/>
            <w:noWrap/>
            <w:vAlign w:val="bottom"/>
            <w:hideMark/>
          </w:tcPr>
          <w:p w14:paraId="537798B1"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23</w:t>
            </w:r>
          </w:p>
        </w:tc>
        <w:tc>
          <w:tcPr>
            <w:tcW w:w="1253" w:type="dxa"/>
            <w:tcBorders>
              <w:top w:val="nil"/>
              <w:left w:val="nil"/>
              <w:bottom w:val="single" w:sz="4" w:space="0" w:color="auto"/>
              <w:right w:val="nil"/>
            </w:tcBorders>
            <w:shd w:val="clear" w:color="auto" w:fill="auto"/>
            <w:noWrap/>
            <w:vAlign w:val="bottom"/>
            <w:hideMark/>
          </w:tcPr>
          <w:p w14:paraId="2E29A0C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29</w:t>
            </w:r>
          </w:p>
        </w:tc>
        <w:tc>
          <w:tcPr>
            <w:tcW w:w="1254" w:type="dxa"/>
            <w:tcBorders>
              <w:top w:val="nil"/>
              <w:left w:val="nil"/>
              <w:bottom w:val="single" w:sz="4" w:space="0" w:color="auto"/>
              <w:right w:val="nil"/>
            </w:tcBorders>
            <w:shd w:val="clear" w:color="auto" w:fill="DAEEF3" w:themeFill="accent5" w:themeFillTint="33"/>
            <w:noWrap/>
            <w:vAlign w:val="bottom"/>
            <w:hideMark/>
          </w:tcPr>
          <w:p w14:paraId="0E08FFE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27</w:t>
            </w:r>
          </w:p>
        </w:tc>
        <w:tc>
          <w:tcPr>
            <w:tcW w:w="1254" w:type="dxa"/>
            <w:tcBorders>
              <w:top w:val="nil"/>
              <w:left w:val="nil"/>
              <w:bottom w:val="single" w:sz="4" w:space="0" w:color="auto"/>
              <w:right w:val="nil"/>
            </w:tcBorders>
            <w:shd w:val="clear" w:color="auto" w:fill="auto"/>
            <w:noWrap/>
            <w:vAlign w:val="bottom"/>
            <w:hideMark/>
          </w:tcPr>
          <w:p w14:paraId="0A4D269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52</w:t>
            </w:r>
          </w:p>
        </w:tc>
        <w:tc>
          <w:tcPr>
            <w:tcW w:w="1253" w:type="dxa"/>
            <w:tcBorders>
              <w:top w:val="nil"/>
              <w:left w:val="nil"/>
              <w:bottom w:val="single" w:sz="4" w:space="0" w:color="auto"/>
              <w:right w:val="nil"/>
            </w:tcBorders>
            <w:shd w:val="clear" w:color="auto" w:fill="DAEEF3" w:themeFill="accent5" w:themeFillTint="33"/>
            <w:noWrap/>
            <w:vAlign w:val="bottom"/>
            <w:hideMark/>
          </w:tcPr>
          <w:p w14:paraId="4CCD5B9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35</w:t>
            </w:r>
          </w:p>
        </w:tc>
        <w:tc>
          <w:tcPr>
            <w:tcW w:w="1254" w:type="dxa"/>
            <w:tcBorders>
              <w:top w:val="nil"/>
              <w:left w:val="nil"/>
              <w:bottom w:val="single" w:sz="4" w:space="0" w:color="auto"/>
              <w:right w:val="nil"/>
            </w:tcBorders>
            <w:shd w:val="clear" w:color="auto" w:fill="auto"/>
            <w:noWrap/>
            <w:vAlign w:val="bottom"/>
            <w:hideMark/>
          </w:tcPr>
          <w:p w14:paraId="7D40BF8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14</w:t>
            </w:r>
          </w:p>
        </w:tc>
        <w:tc>
          <w:tcPr>
            <w:tcW w:w="1253" w:type="dxa"/>
            <w:tcBorders>
              <w:top w:val="nil"/>
              <w:left w:val="nil"/>
              <w:bottom w:val="single" w:sz="4" w:space="0" w:color="auto"/>
              <w:right w:val="nil"/>
            </w:tcBorders>
            <w:shd w:val="clear" w:color="auto" w:fill="DAEEF3" w:themeFill="accent5" w:themeFillTint="33"/>
            <w:noWrap/>
            <w:vAlign w:val="bottom"/>
            <w:hideMark/>
          </w:tcPr>
          <w:p w14:paraId="38004C9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18</w:t>
            </w:r>
          </w:p>
        </w:tc>
        <w:tc>
          <w:tcPr>
            <w:tcW w:w="1254" w:type="dxa"/>
            <w:tcBorders>
              <w:top w:val="nil"/>
              <w:left w:val="nil"/>
              <w:bottom w:val="single" w:sz="4" w:space="0" w:color="auto"/>
              <w:right w:val="nil"/>
            </w:tcBorders>
            <w:shd w:val="clear" w:color="auto" w:fill="auto"/>
            <w:noWrap/>
            <w:vAlign w:val="bottom"/>
            <w:hideMark/>
          </w:tcPr>
          <w:p w14:paraId="7E86759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11</w:t>
            </w:r>
          </w:p>
        </w:tc>
        <w:tc>
          <w:tcPr>
            <w:tcW w:w="1254" w:type="dxa"/>
            <w:tcBorders>
              <w:top w:val="nil"/>
              <w:left w:val="nil"/>
              <w:bottom w:val="single" w:sz="4" w:space="0" w:color="auto"/>
              <w:right w:val="single" w:sz="4" w:space="0" w:color="auto"/>
            </w:tcBorders>
            <w:shd w:val="clear" w:color="auto" w:fill="DAEEF3" w:themeFill="accent5" w:themeFillTint="33"/>
            <w:noWrap/>
            <w:vAlign w:val="bottom"/>
            <w:hideMark/>
          </w:tcPr>
          <w:p w14:paraId="075A5264"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14</w:t>
            </w:r>
          </w:p>
        </w:tc>
      </w:tr>
      <w:tr w:rsidR="00876EFC" w:rsidRPr="00DA0360" w14:paraId="4CA92F8F"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2582921"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Physical Abuse</w:t>
            </w:r>
          </w:p>
        </w:tc>
        <w:tc>
          <w:tcPr>
            <w:tcW w:w="1253" w:type="dxa"/>
            <w:tcBorders>
              <w:top w:val="nil"/>
              <w:left w:val="nil"/>
              <w:bottom w:val="nil"/>
              <w:right w:val="nil"/>
            </w:tcBorders>
            <w:shd w:val="clear" w:color="auto" w:fill="auto"/>
            <w:noWrap/>
            <w:vAlign w:val="bottom"/>
            <w:hideMark/>
          </w:tcPr>
          <w:p w14:paraId="7B2EB0AD"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E5DFEC" w:themeFill="accent4" w:themeFillTint="33"/>
            <w:noWrap/>
            <w:vAlign w:val="bottom"/>
            <w:hideMark/>
          </w:tcPr>
          <w:p w14:paraId="493CC6F2"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auto"/>
            <w:noWrap/>
            <w:vAlign w:val="bottom"/>
            <w:hideMark/>
          </w:tcPr>
          <w:p w14:paraId="3BA9138C"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E5DFEC" w:themeFill="accent4" w:themeFillTint="33"/>
            <w:noWrap/>
            <w:vAlign w:val="bottom"/>
            <w:hideMark/>
          </w:tcPr>
          <w:p w14:paraId="605FAF55"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51D6490A"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E5DFEC" w:themeFill="accent4" w:themeFillTint="33"/>
            <w:noWrap/>
            <w:vAlign w:val="bottom"/>
            <w:hideMark/>
          </w:tcPr>
          <w:p w14:paraId="24BCD376"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7B090CA3"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E5DFEC" w:themeFill="accent4" w:themeFillTint="33"/>
            <w:noWrap/>
            <w:vAlign w:val="bottom"/>
            <w:hideMark/>
          </w:tcPr>
          <w:p w14:paraId="2536C0F4"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40950E4F"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single" w:sz="4" w:space="0" w:color="auto"/>
            </w:tcBorders>
            <w:shd w:val="clear" w:color="auto" w:fill="E5DFEC" w:themeFill="accent4" w:themeFillTint="33"/>
            <w:noWrap/>
            <w:vAlign w:val="bottom"/>
            <w:hideMark/>
          </w:tcPr>
          <w:p w14:paraId="3152B2FC"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3717F288"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1925BC4"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36D7276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w:t>
            </w:r>
          </w:p>
        </w:tc>
        <w:tc>
          <w:tcPr>
            <w:tcW w:w="1254" w:type="dxa"/>
            <w:tcBorders>
              <w:top w:val="nil"/>
              <w:left w:val="nil"/>
              <w:bottom w:val="nil"/>
              <w:right w:val="nil"/>
            </w:tcBorders>
            <w:shd w:val="clear" w:color="auto" w:fill="E5DFEC" w:themeFill="accent4" w:themeFillTint="33"/>
            <w:noWrap/>
            <w:vAlign w:val="bottom"/>
            <w:hideMark/>
          </w:tcPr>
          <w:p w14:paraId="770E580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48</w:t>
            </w:r>
          </w:p>
        </w:tc>
        <w:tc>
          <w:tcPr>
            <w:tcW w:w="1253" w:type="dxa"/>
            <w:tcBorders>
              <w:top w:val="nil"/>
              <w:left w:val="nil"/>
              <w:bottom w:val="nil"/>
              <w:right w:val="nil"/>
            </w:tcBorders>
            <w:shd w:val="clear" w:color="auto" w:fill="auto"/>
            <w:noWrap/>
            <w:vAlign w:val="bottom"/>
            <w:hideMark/>
          </w:tcPr>
          <w:p w14:paraId="7C54E42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18</w:t>
            </w:r>
          </w:p>
        </w:tc>
        <w:tc>
          <w:tcPr>
            <w:tcW w:w="1254" w:type="dxa"/>
            <w:tcBorders>
              <w:top w:val="nil"/>
              <w:left w:val="nil"/>
              <w:bottom w:val="nil"/>
              <w:right w:val="nil"/>
            </w:tcBorders>
            <w:shd w:val="clear" w:color="auto" w:fill="E5DFEC" w:themeFill="accent4" w:themeFillTint="33"/>
            <w:noWrap/>
            <w:vAlign w:val="bottom"/>
            <w:hideMark/>
          </w:tcPr>
          <w:p w14:paraId="5FC2A37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41</w:t>
            </w:r>
          </w:p>
        </w:tc>
        <w:tc>
          <w:tcPr>
            <w:tcW w:w="1254" w:type="dxa"/>
            <w:tcBorders>
              <w:top w:val="nil"/>
              <w:left w:val="nil"/>
              <w:bottom w:val="nil"/>
              <w:right w:val="nil"/>
            </w:tcBorders>
            <w:shd w:val="clear" w:color="auto" w:fill="auto"/>
            <w:noWrap/>
            <w:vAlign w:val="bottom"/>
            <w:hideMark/>
          </w:tcPr>
          <w:p w14:paraId="49069FB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w:t>
            </w:r>
          </w:p>
        </w:tc>
        <w:tc>
          <w:tcPr>
            <w:tcW w:w="1253" w:type="dxa"/>
            <w:tcBorders>
              <w:top w:val="nil"/>
              <w:left w:val="nil"/>
              <w:bottom w:val="nil"/>
              <w:right w:val="nil"/>
            </w:tcBorders>
            <w:shd w:val="clear" w:color="auto" w:fill="E5DFEC" w:themeFill="accent4" w:themeFillTint="33"/>
            <w:noWrap/>
            <w:vAlign w:val="bottom"/>
            <w:hideMark/>
          </w:tcPr>
          <w:p w14:paraId="1E2B11B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42</w:t>
            </w:r>
          </w:p>
        </w:tc>
        <w:tc>
          <w:tcPr>
            <w:tcW w:w="1254" w:type="dxa"/>
            <w:tcBorders>
              <w:top w:val="nil"/>
              <w:left w:val="nil"/>
              <w:bottom w:val="nil"/>
              <w:right w:val="nil"/>
            </w:tcBorders>
            <w:shd w:val="clear" w:color="auto" w:fill="auto"/>
            <w:noWrap/>
            <w:vAlign w:val="bottom"/>
            <w:hideMark/>
          </w:tcPr>
          <w:p w14:paraId="7554781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41</w:t>
            </w:r>
          </w:p>
        </w:tc>
        <w:tc>
          <w:tcPr>
            <w:tcW w:w="1253" w:type="dxa"/>
            <w:tcBorders>
              <w:top w:val="nil"/>
              <w:left w:val="nil"/>
              <w:bottom w:val="nil"/>
              <w:right w:val="nil"/>
            </w:tcBorders>
            <w:shd w:val="clear" w:color="auto" w:fill="E5DFEC" w:themeFill="accent4" w:themeFillTint="33"/>
            <w:noWrap/>
            <w:vAlign w:val="bottom"/>
            <w:hideMark/>
          </w:tcPr>
          <w:p w14:paraId="448F206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49</w:t>
            </w:r>
          </w:p>
        </w:tc>
        <w:tc>
          <w:tcPr>
            <w:tcW w:w="1254" w:type="dxa"/>
            <w:tcBorders>
              <w:top w:val="nil"/>
              <w:left w:val="nil"/>
              <w:bottom w:val="nil"/>
              <w:right w:val="nil"/>
            </w:tcBorders>
            <w:shd w:val="clear" w:color="auto" w:fill="auto"/>
            <w:noWrap/>
            <w:vAlign w:val="bottom"/>
            <w:hideMark/>
          </w:tcPr>
          <w:p w14:paraId="41DB15E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38</w:t>
            </w:r>
          </w:p>
        </w:tc>
        <w:tc>
          <w:tcPr>
            <w:tcW w:w="1254" w:type="dxa"/>
            <w:tcBorders>
              <w:top w:val="nil"/>
              <w:left w:val="nil"/>
              <w:bottom w:val="nil"/>
              <w:right w:val="single" w:sz="4" w:space="0" w:color="auto"/>
            </w:tcBorders>
            <w:shd w:val="clear" w:color="auto" w:fill="E5DFEC" w:themeFill="accent4" w:themeFillTint="33"/>
            <w:noWrap/>
            <w:vAlign w:val="bottom"/>
            <w:hideMark/>
          </w:tcPr>
          <w:p w14:paraId="0CE48D9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16</w:t>
            </w:r>
          </w:p>
        </w:tc>
      </w:tr>
      <w:tr w:rsidR="000E61DB" w:rsidRPr="001565F1" w14:paraId="68C66A03"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CC012BD"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5F9BB38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c>
          <w:tcPr>
            <w:tcW w:w="1254" w:type="dxa"/>
            <w:tcBorders>
              <w:top w:val="nil"/>
              <w:left w:val="nil"/>
              <w:bottom w:val="nil"/>
              <w:right w:val="nil"/>
            </w:tcBorders>
            <w:shd w:val="clear" w:color="auto" w:fill="E5DFEC" w:themeFill="accent4" w:themeFillTint="33"/>
            <w:noWrap/>
            <w:vAlign w:val="bottom"/>
            <w:hideMark/>
          </w:tcPr>
          <w:p w14:paraId="73422358"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w:t>
            </w:r>
          </w:p>
        </w:tc>
        <w:tc>
          <w:tcPr>
            <w:tcW w:w="1253" w:type="dxa"/>
            <w:tcBorders>
              <w:top w:val="nil"/>
              <w:left w:val="nil"/>
              <w:bottom w:val="nil"/>
              <w:right w:val="nil"/>
            </w:tcBorders>
            <w:shd w:val="clear" w:color="auto" w:fill="auto"/>
            <w:noWrap/>
            <w:vAlign w:val="bottom"/>
            <w:hideMark/>
          </w:tcPr>
          <w:p w14:paraId="4B52CBB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w:t>
            </w:r>
          </w:p>
        </w:tc>
        <w:tc>
          <w:tcPr>
            <w:tcW w:w="1254" w:type="dxa"/>
            <w:tcBorders>
              <w:top w:val="nil"/>
              <w:left w:val="nil"/>
              <w:bottom w:val="nil"/>
              <w:right w:val="nil"/>
            </w:tcBorders>
            <w:shd w:val="clear" w:color="auto" w:fill="E5DFEC" w:themeFill="accent4" w:themeFillTint="33"/>
            <w:noWrap/>
            <w:vAlign w:val="bottom"/>
            <w:hideMark/>
          </w:tcPr>
          <w:p w14:paraId="425F441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26</w:t>
            </w:r>
          </w:p>
        </w:tc>
        <w:tc>
          <w:tcPr>
            <w:tcW w:w="1254" w:type="dxa"/>
            <w:tcBorders>
              <w:top w:val="nil"/>
              <w:left w:val="nil"/>
              <w:bottom w:val="nil"/>
              <w:right w:val="nil"/>
            </w:tcBorders>
            <w:shd w:val="clear" w:color="auto" w:fill="auto"/>
            <w:noWrap/>
            <w:vAlign w:val="bottom"/>
            <w:hideMark/>
          </w:tcPr>
          <w:p w14:paraId="5BC3064F"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w:t>
            </w:r>
          </w:p>
        </w:tc>
        <w:tc>
          <w:tcPr>
            <w:tcW w:w="1253" w:type="dxa"/>
            <w:tcBorders>
              <w:top w:val="nil"/>
              <w:left w:val="nil"/>
              <w:bottom w:val="nil"/>
              <w:right w:val="nil"/>
            </w:tcBorders>
            <w:shd w:val="clear" w:color="auto" w:fill="E5DFEC" w:themeFill="accent4" w:themeFillTint="33"/>
            <w:noWrap/>
            <w:vAlign w:val="bottom"/>
            <w:hideMark/>
          </w:tcPr>
          <w:p w14:paraId="63D5DF2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w:t>
            </w:r>
          </w:p>
        </w:tc>
        <w:tc>
          <w:tcPr>
            <w:tcW w:w="1254" w:type="dxa"/>
            <w:tcBorders>
              <w:top w:val="nil"/>
              <w:left w:val="nil"/>
              <w:bottom w:val="nil"/>
              <w:right w:val="nil"/>
            </w:tcBorders>
            <w:shd w:val="clear" w:color="auto" w:fill="auto"/>
            <w:noWrap/>
            <w:vAlign w:val="bottom"/>
            <w:hideMark/>
          </w:tcPr>
          <w:p w14:paraId="1EDE24C6"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36</w:t>
            </w:r>
          </w:p>
        </w:tc>
        <w:tc>
          <w:tcPr>
            <w:tcW w:w="1253" w:type="dxa"/>
            <w:tcBorders>
              <w:top w:val="nil"/>
              <w:left w:val="nil"/>
              <w:bottom w:val="nil"/>
              <w:right w:val="nil"/>
            </w:tcBorders>
            <w:shd w:val="clear" w:color="auto" w:fill="E5DFEC" w:themeFill="accent4" w:themeFillTint="33"/>
            <w:noWrap/>
            <w:vAlign w:val="bottom"/>
            <w:hideMark/>
          </w:tcPr>
          <w:p w14:paraId="4B35785A"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w:t>
            </w:r>
          </w:p>
        </w:tc>
        <w:tc>
          <w:tcPr>
            <w:tcW w:w="1254" w:type="dxa"/>
            <w:tcBorders>
              <w:top w:val="nil"/>
              <w:left w:val="nil"/>
              <w:bottom w:val="nil"/>
              <w:right w:val="nil"/>
            </w:tcBorders>
            <w:shd w:val="clear" w:color="auto" w:fill="auto"/>
            <w:noWrap/>
            <w:vAlign w:val="bottom"/>
            <w:hideMark/>
          </w:tcPr>
          <w:p w14:paraId="5D56E5EB"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p>
        </w:tc>
        <w:tc>
          <w:tcPr>
            <w:tcW w:w="1254" w:type="dxa"/>
            <w:tcBorders>
              <w:top w:val="nil"/>
              <w:left w:val="nil"/>
              <w:bottom w:val="nil"/>
              <w:right w:val="single" w:sz="4" w:space="0" w:color="auto"/>
            </w:tcBorders>
            <w:shd w:val="clear" w:color="auto" w:fill="E5DFEC" w:themeFill="accent4" w:themeFillTint="33"/>
            <w:noWrap/>
            <w:vAlign w:val="bottom"/>
            <w:hideMark/>
          </w:tcPr>
          <w:p w14:paraId="69BF3E50"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r>
      <w:tr w:rsidR="00876EFC" w:rsidRPr="001565F1" w14:paraId="081628A7"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EDDE4F6"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41A56C1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c>
          <w:tcPr>
            <w:tcW w:w="1254" w:type="dxa"/>
            <w:tcBorders>
              <w:top w:val="nil"/>
              <w:left w:val="nil"/>
              <w:bottom w:val="nil"/>
              <w:right w:val="nil"/>
            </w:tcBorders>
            <w:shd w:val="clear" w:color="auto" w:fill="E5DFEC" w:themeFill="accent4" w:themeFillTint="33"/>
            <w:noWrap/>
            <w:vAlign w:val="bottom"/>
            <w:hideMark/>
          </w:tcPr>
          <w:p w14:paraId="0231579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253" w:type="dxa"/>
            <w:tcBorders>
              <w:top w:val="nil"/>
              <w:left w:val="nil"/>
              <w:bottom w:val="nil"/>
              <w:right w:val="nil"/>
            </w:tcBorders>
            <w:shd w:val="clear" w:color="auto" w:fill="auto"/>
            <w:noWrap/>
            <w:vAlign w:val="bottom"/>
            <w:hideMark/>
          </w:tcPr>
          <w:p w14:paraId="39FA51D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c>
          <w:tcPr>
            <w:tcW w:w="1254" w:type="dxa"/>
            <w:tcBorders>
              <w:top w:val="nil"/>
              <w:left w:val="nil"/>
              <w:bottom w:val="nil"/>
              <w:right w:val="nil"/>
            </w:tcBorders>
            <w:shd w:val="clear" w:color="auto" w:fill="E5DFEC" w:themeFill="accent4" w:themeFillTint="33"/>
            <w:noWrap/>
            <w:vAlign w:val="bottom"/>
            <w:hideMark/>
          </w:tcPr>
          <w:p w14:paraId="5323577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20</w:t>
            </w:r>
          </w:p>
        </w:tc>
        <w:tc>
          <w:tcPr>
            <w:tcW w:w="1254" w:type="dxa"/>
            <w:tcBorders>
              <w:top w:val="nil"/>
              <w:left w:val="nil"/>
              <w:bottom w:val="nil"/>
              <w:right w:val="nil"/>
            </w:tcBorders>
            <w:shd w:val="clear" w:color="auto" w:fill="auto"/>
            <w:noWrap/>
            <w:vAlign w:val="bottom"/>
            <w:hideMark/>
          </w:tcPr>
          <w:p w14:paraId="0DE03CD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p>
        </w:tc>
        <w:tc>
          <w:tcPr>
            <w:tcW w:w="1253" w:type="dxa"/>
            <w:tcBorders>
              <w:top w:val="nil"/>
              <w:left w:val="nil"/>
              <w:bottom w:val="nil"/>
              <w:right w:val="nil"/>
            </w:tcBorders>
            <w:shd w:val="clear" w:color="auto" w:fill="E5DFEC" w:themeFill="accent4" w:themeFillTint="33"/>
            <w:noWrap/>
            <w:vAlign w:val="bottom"/>
            <w:hideMark/>
          </w:tcPr>
          <w:p w14:paraId="6E8AC33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254" w:type="dxa"/>
            <w:tcBorders>
              <w:top w:val="nil"/>
              <w:left w:val="nil"/>
              <w:bottom w:val="nil"/>
              <w:right w:val="nil"/>
            </w:tcBorders>
            <w:shd w:val="clear" w:color="auto" w:fill="auto"/>
            <w:noWrap/>
            <w:vAlign w:val="bottom"/>
            <w:hideMark/>
          </w:tcPr>
          <w:p w14:paraId="5C6F2CC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19</w:t>
            </w:r>
          </w:p>
        </w:tc>
        <w:tc>
          <w:tcPr>
            <w:tcW w:w="1253" w:type="dxa"/>
            <w:tcBorders>
              <w:top w:val="nil"/>
              <w:left w:val="nil"/>
              <w:bottom w:val="nil"/>
              <w:right w:val="nil"/>
            </w:tcBorders>
            <w:shd w:val="clear" w:color="auto" w:fill="E5DFEC" w:themeFill="accent4" w:themeFillTint="33"/>
            <w:noWrap/>
            <w:vAlign w:val="bottom"/>
            <w:hideMark/>
          </w:tcPr>
          <w:p w14:paraId="3014CEF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15</w:t>
            </w:r>
          </w:p>
        </w:tc>
        <w:tc>
          <w:tcPr>
            <w:tcW w:w="1254" w:type="dxa"/>
            <w:tcBorders>
              <w:top w:val="nil"/>
              <w:left w:val="nil"/>
              <w:bottom w:val="nil"/>
              <w:right w:val="nil"/>
            </w:tcBorders>
            <w:shd w:val="clear" w:color="auto" w:fill="auto"/>
            <w:noWrap/>
            <w:vAlign w:val="bottom"/>
            <w:hideMark/>
          </w:tcPr>
          <w:p w14:paraId="2955A8D0"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4" w:type="dxa"/>
            <w:tcBorders>
              <w:top w:val="nil"/>
              <w:left w:val="nil"/>
              <w:bottom w:val="nil"/>
              <w:right w:val="single" w:sz="4" w:space="0" w:color="auto"/>
            </w:tcBorders>
            <w:shd w:val="clear" w:color="auto" w:fill="E5DFEC" w:themeFill="accent4" w:themeFillTint="33"/>
            <w:noWrap/>
            <w:vAlign w:val="bottom"/>
            <w:hideMark/>
          </w:tcPr>
          <w:p w14:paraId="5639F26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r>
      <w:tr w:rsidR="00876EFC" w:rsidRPr="001565F1" w14:paraId="1667E04D" w14:textId="77777777" w:rsidTr="00561E44">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522351B"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1C5C2D9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4" w:type="dxa"/>
            <w:tcBorders>
              <w:top w:val="nil"/>
              <w:left w:val="nil"/>
              <w:bottom w:val="nil"/>
              <w:right w:val="nil"/>
            </w:tcBorders>
            <w:shd w:val="clear" w:color="auto" w:fill="E5DFEC" w:themeFill="accent4" w:themeFillTint="33"/>
            <w:noWrap/>
            <w:vAlign w:val="bottom"/>
            <w:hideMark/>
          </w:tcPr>
          <w:p w14:paraId="174ED3F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w:t>
            </w:r>
          </w:p>
        </w:tc>
        <w:tc>
          <w:tcPr>
            <w:tcW w:w="1253" w:type="dxa"/>
            <w:tcBorders>
              <w:top w:val="nil"/>
              <w:left w:val="nil"/>
              <w:bottom w:val="nil"/>
              <w:right w:val="nil"/>
            </w:tcBorders>
            <w:shd w:val="clear" w:color="auto" w:fill="auto"/>
            <w:noWrap/>
            <w:vAlign w:val="bottom"/>
            <w:hideMark/>
          </w:tcPr>
          <w:p w14:paraId="4625EB0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c>
          <w:tcPr>
            <w:tcW w:w="1254" w:type="dxa"/>
            <w:tcBorders>
              <w:top w:val="nil"/>
              <w:left w:val="nil"/>
              <w:bottom w:val="nil"/>
              <w:right w:val="nil"/>
            </w:tcBorders>
            <w:shd w:val="clear" w:color="auto" w:fill="E5DFEC" w:themeFill="accent4" w:themeFillTint="33"/>
            <w:noWrap/>
            <w:vAlign w:val="bottom"/>
            <w:hideMark/>
          </w:tcPr>
          <w:p w14:paraId="37B6CFB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auto"/>
            <w:noWrap/>
            <w:vAlign w:val="bottom"/>
            <w:hideMark/>
          </w:tcPr>
          <w:p w14:paraId="7B4AE38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c>
          <w:tcPr>
            <w:tcW w:w="1253" w:type="dxa"/>
            <w:tcBorders>
              <w:top w:val="nil"/>
              <w:left w:val="nil"/>
              <w:bottom w:val="nil"/>
              <w:right w:val="nil"/>
            </w:tcBorders>
            <w:shd w:val="clear" w:color="auto" w:fill="E5DFEC" w:themeFill="accent4" w:themeFillTint="33"/>
            <w:noWrap/>
            <w:vAlign w:val="bottom"/>
            <w:hideMark/>
          </w:tcPr>
          <w:p w14:paraId="0307F2FD"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4" w:type="dxa"/>
            <w:tcBorders>
              <w:top w:val="nil"/>
              <w:left w:val="nil"/>
              <w:bottom w:val="nil"/>
              <w:right w:val="nil"/>
            </w:tcBorders>
            <w:shd w:val="clear" w:color="auto" w:fill="auto"/>
            <w:noWrap/>
            <w:vAlign w:val="bottom"/>
            <w:hideMark/>
          </w:tcPr>
          <w:p w14:paraId="63017CE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17</w:t>
            </w:r>
          </w:p>
        </w:tc>
        <w:tc>
          <w:tcPr>
            <w:tcW w:w="1253" w:type="dxa"/>
            <w:tcBorders>
              <w:top w:val="nil"/>
              <w:left w:val="nil"/>
              <w:bottom w:val="nil"/>
              <w:right w:val="nil"/>
            </w:tcBorders>
            <w:shd w:val="clear" w:color="auto" w:fill="E5DFEC" w:themeFill="accent4" w:themeFillTint="33"/>
            <w:noWrap/>
            <w:vAlign w:val="bottom"/>
            <w:hideMark/>
          </w:tcPr>
          <w:p w14:paraId="4B2144B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c>
          <w:tcPr>
            <w:tcW w:w="1254" w:type="dxa"/>
            <w:tcBorders>
              <w:top w:val="nil"/>
              <w:left w:val="nil"/>
              <w:bottom w:val="nil"/>
              <w:right w:val="nil"/>
            </w:tcBorders>
            <w:shd w:val="clear" w:color="auto" w:fill="auto"/>
            <w:noWrap/>
            <w:vAlign w:val="bottom"/>
            <w:hideMark/>
          </w:tcPr>
          <w:p w14:paraId="56571EEA"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w:t>
            </w:r>
          </w:p>
        </w:tc>
        <w:tc>
          <w:tcPr>
            <w:tcW w:w="1254" w:type="dxa"/>
            <w:tcBorders>
              <w:top w:val="nil"/>
              <w:left w:val="nil"/>
              <w:bottom w:val="nil"/>
              <w:right w:val="single" w:sz="4" w:space="0" w:color="auto"/>
            </w:tcBorders>
            <w:shd w:val="clear" w:color="auto" w:fill="E5DFEC" w:themeFill="accent4" w:themeFillTint="33"/>
            <w:noWrap/>
            <w:vAlign w:val="bottom"/>
            <w:hideMark/>
          </w:tcPr>
          <w:p w14:paraId="6749D47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r>
      <w:tr w:rsidR="00876EFC" w:rsidRPr="00DA0360" w14:paraId="0432027D" w14:textId="77777777" w:rsidTr="00561E44">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2A149702"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72F1E19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23</w:t>
            </w:r>
          </w:p>
        </w:tc>
        <w:tc>
          <w:tcPr>
            <w:tcW w:w="1254" w:type="dxa"/>
            <w:tcBorders>
              <w:top w:val="nil"/>
              <w:left w:val="nil"/>
              <w:bottom w:val="single" w:sz="4" w:space="0" w:color="auto"/>
              <w:right w:val="nil"/>
            </w:tcBorders>
            <w:shd w:val="clear" w:color="auto" w:fill="E5DFEC" w:themeFill="accent4" w:themeFillTint="33"/>
            <w:noWrap/>
            <w:vAlign w:val="bottom"/>
            <w:hideMark/>
          </w:tcPr>
          <w:p w14:paraId="44678092"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68</w:t>
            </w:r>
          </w:p>
        </w:tc>
        <w:tc>
          <w:tcPr>
            <w:tcW w:w="1253" w:type="dxa"/>
            <w:tcBorders>
              <w:top w:val="nil"/>
              <w:left w:val="nil"/>
              <w:bottom w:val="single" w:sz="4" w:space="0" w:color="auto"/>
              <w:right w:val="nil"/>
            </w:tcBorders>
            <w:shd w:val="clear" w:color="auto" w:fill="auto"/>
            <w:noWrap/>
            <w:vAlign w:val="bottom"/>
            <w:hideMark/>
          </w:tcPr>
          <w:p w14:paraId="51BC357C"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27</w:t>
            </w:r>
          </w:p>
        </w:tc>
        <w:tc>
          <w:tcPr>
            <w:tcW w:w="1254" w:type="dxa"/>
            <w:tcBorders>
              <w:top w:val="nil"/>
              <w:left w:val="nil"/>
              <w:bottom w:val="single" w:sz="4" w:space="0" w:color="auto"/>
              <w:right w:val="nil"/>
            </w:tcBorders>
            <w:shd w:val="clear" w:color="auto" w:fill="E5DFEC" w:themeFill="accent4" w:themeFillTint="33"/>
            <w:noWrap/>
            <w:vAlign w:val="bottom"/>
            <w:hideMark/>
          </w:tcPr>
          <w:p w14:paraId="3C5CA4B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67</w:t>
            </w:r>
          </w:p>
        </w:tc>
        <w:tc>
          <w:tcPr>
            <w:tcW w:w="1254" w:type="dxa"/>
            <w:tcBorders>
              <w:top w:val="nil"/>
              <w:left w:val="nil"/>
              <w:bottom w:val="single" w:sz="4" w:space="0" w:color="auto"/>
              <w:right w:val="nil"/>
            </w:tcBorders>
            <w:shd w:val="clear" w:color="auto" w:fill="auto"/>
            <w:noWrap/>
            <w:vAlign w:val="bottom"/>
            <w:hideMark/>
          </w:tcPr>
          <w:p w14:paraId="49281C68"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38</w:t>
            </w:r>
          </w:p>
        </w:tc>
        <w:tc>
          <w:tcPr>
            <w:tcW w:w="1253" w:type="dxa"/>
            <w:tcBorders>
              <w:top w:val="nil"/>
              <w:left w:val="nil"/>
              <w:bottom w:val="single" w:sz="4" w:space="0" w:color="auto"/>
              <w:right w:val="nil"/>
            </w:tcBorders>
            <w:shd w:val="clear" w:color="auto" w:fill="E5DFEC" w:themeFill="accent4" w:themeFillTint="33"/>
            <w:noWrap/>
            <w:vAlign w:val="bottom"/>
            <w:hideMark/>
          </w:tcPr>
          <w:p w14:paraId="22D69B66"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57</w:t>
            </w:r>
          </w:p>
        </w:tc>
        <w:tc>
          <w:tcPr>
            <w:tcW w:w="1254" w:type="dxa"/>
            <w:tcBorders>
              <w:top w:val="nil"/>
              <w:left w:val="nil"/>
              <w:bottom w:val="single" w:sz="4" w:space="0" w:color="auto"/>
              <w:right w:val="nil"/>
            </w:tcBorders>
            <w:shd w:val="clear" w:color="auto" w:fill="auto"/>
            <w:noWrap/>
            <w:vAlign w:val="bottom"/>
            <w:hideMark/>
          </w:tcPr>
          <w:p w14:paraId="1E1454D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77</w:t>
            </w:r>
          </w:p>
        </w:tc>
        <w:tc>
          <w:tcPr>
            <w:tcW w:w="1253" w:type="dxa"/>
            <w:tcBorders>
              <w:top w:val="nil"/>
              <w:left w:val="nil"/>
              <w:bottom w:val="single" w:sz="4" w:space="0" w:color="auto"/>
              <w:right w:val="nil"/>
            </w:tcBorders>
            <w:shd w:val="clear" w:color="auto" w:fill="E5DFEC" w:themeFill="accent4" w:themeFillTint="33"/>
            <w:noWrap/>
            <w:vAlign w:val="bottom"/>
            <w:hideMark/>
          </w:tcPr>
          <w:p w14:paraId="0D06E20C"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68</w:t>
            </w:r>
          </w:p>
        </w:tc>
        <w:tc>
          <w:tcPr>
            <w:tcW w:w="1254" w:type="dxa"/>
            <w:tcBorders>
              <w:top w:val="nil"/>
              <w:left w:val="nil"/>
              <w:bottom w:val="single" w:sz="4" w:space="0" w:color="auto"/>
              <w:right w:val="nil"/>
            </w:tcBorders>
            <w:shd w:val="clear" w:color="auto" w:fill="auto"/>
            <w:noWrap/>
            <w:vAlign w:val="bottom"/>
            <w:hideMark/>
          </w:tcPr>
          <w:p w14:paraId="5C1A8D19"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49</w:t>
            </w:r>
          </w:p>
        </w:tc>
        <w:tc>
          <w:tcPr>
            <w:tcW w:w="1254" w:type="dxa"/>
            <w:tcBorders>
              <w:top w:val="nil"/>
              <w:left w:val="nil"/>
              <w:bottom w:val="single" w:sz="4" w:space="0" w:color="auto"/>
              <w:right w:val="single" w:sz="4" w:space="0" w:color="auto"/>
            </w:tcBorders>
            <w:shd w:val="clear" w:color="auto" w:fill="E5DFEC" w:themeFill="accent4" w:themeFillTint="33"/>
            <w:noWrap/>
            <w:vAlign w:val="bottom"/>
            <w:hideMark/>
          </w:tcPr>
          <w:p w14:paraId="01A3CE67"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22</w:t>
            </w:r>
          </w:p>
        </w:tc>
      </w:tr>
      <w:tr w:rsidR="00876EFC" w:rsidRPr="00DA0360" w14:paraId="30829109"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D962A50"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Sexual Abuse</w:t>
            </w:r>
          </w:p>
        </w:tc>
        <w:tc>
          <w:tcPr>
            <w:tcW w:w="1253" w:type="dxa"/>
            <w:tcBorders>
              <w:top w:val="nil"/>
              <w:left w:val="nil"/>
              <w:bottom w:val="nil"/>
              <w:right w:val="nil"/>
            </w:tcBorders>
            <w:shd w:val="clear" w:color="auto" w:fill="auto"/>
            <w:noWrap/>
            <w:vAlign w:val="bottom"/>
            <w:hideMark/>
          </w:tcPr>
          <w:p w14:paraId="54E2072D"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F2DBDB" w:themeFill="accent2" w:themeFillTint="33"/>
            <w:noWrap/>
            <w:vAlign w:val="bottom"/>
            <w:hideMark/>
          </w:tcPr>
          <w:p w14:paraId="7E3A282F"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auto"/>
            <w:noWrap/>
            <w:vAlign w:val="bottom"/>
            <w:hideMark/>
          </w:tcPr>
          <w:p w14:paraId="18249980"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F2DBDB" w:themeFill="accent2" w:themeFillTint="33"/>
            <w:noWrap/>
            <w:vAlign w:val="bottom"/>
            <w:hideMark/>
          </w:tcPr>
          <w:p w14:paraId="4F2171E1"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511AAF49"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F2DBDB" w:themeFill="accent2" w:themeFillTint="33"/>
            <w:noWrap/>
            <w:vAlign w:val="bottom"/>
            <w:hideMark/>
          </w:tcPr>
          <w:p w14:paraId="07C3689A"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6E9090B1" w14:textId="77777777" w:rsidR="00876EFC" w:rsidRPr="00DA0360" w:rsidRDefault="00876EFC" w:rsidP="00CE2FDF">
            <w:pPr>
              <w:spacing w:before="0" w:line="276" w:lineRule="auto"/>
              <w:jc w:val="right"/>
              <w:rPr>
                <w:rFonts w:eastAsia="Times New Roman" w:cs="Arial"/>
                <w:b/>
                <w:color w:val="FF0000"/>
                <w:lang w:eastAsia="en-AU"/>
              </w:rPr>
            </w:pPr>
          </w:p>
        </w:tc>
        <w:tc>
          <w:tcPr>
            <w:tcW w:w="1253" w:type="dxa"/>
            <w:tcBorders>
              <w:top w:val="nil"/>
              <w:left w:val="nil"/>
              <w:bottom w:val="nil"/>
              <w:right w:val="nil"/>
            </w:tcBorders>
            <w:shd w:val="clear" w:color="auto" w:fill="F2DBDB" w:themeFill="accent2" w:themeFillTint="33"/>
            <w:noWrap/>
            <w:vAlign w:val="bottom"/>
            <w:hideMark/>
          </w:tcPr>
          <w:p w14:paraId="3B0BD1B5"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nil"/>
            </w:tcBorders>
            <w:shd w:val="clear" w:color="auto" w:fill="auto"/>
            <w:noWrap/>
            <w:vAlign w:val="bottom"/>
            <w:hideMark/>
          </w:tcPr>
          <w:p w14:paraId="4F78ECE3" w14:textId="77777777" w:rsidR="00876EFC" w:rsidRPr="00DA0360" w:rsidRDefault="00876EFC" w:rsidP="00CE2FDF">
            <w:pPr>
              <w:spacing w:before="0" w:line="276" w:lineRule="auto"/>
              <w:jc w:val="right"/>
              <w:rPr>
                <w:rFonts w:eastAsia="Times New Roman" w:cs="Arial"/>
                <w:b/>
                <w:color w:val="FF0000"/>
                <w:lang w:eastAsia="en-AU"/>
              </w:rPr>
            </w:pPr>
          </w:p>
        </w:tc>
        <w:tc>
          <w:tcPr>
            <w:tcW w:w="1254" w:type="dxa"/>
            <w:tcBorders>
              <w:top w:val="nil"/>
              <w:left w:val="nil"/>
              <w:bottom w:val="nil"/>
              <w:right w:val="single" w:sz="4" w:space="0" w:color="auto"/>
            </w:tcBorders>
            <w:shd w:val="clear" w:color="auto" w:fill="F2DBDB" w:themeFill="accent2" w:themeFillTint="33"/>
            <w:noWrap/>
            <w:vAlign w:val="bottom"/>
            <w:hideMark/>
          </w:tcPr>
          <w:p w14:paraId="6D249C06" w14:textId="77777777" w:rsidR="00876EFC" w:rsidRPr="00DA0360" w:rsidRDefault="00876EFC" w:rsidP="00CE2FDF">
            <w:pPr>
              <w:spacing w:before="0" w:line="276" w:lineRule="auto"/>
              <w:jc w:val="right"/>
              <w:rPr>
                <w:rFonts w:eastAsia="Times New Roman" w:cs="Arial"/>
                <w:b/>
                <w:color w:val="FF0000"/>
                <w:lang w:eastAsia="en-AU"/>
              </w:rPr>
            </w:pPr>
          </w:p>
        </w:tc>
      </w:tr>
      <w:tr w:rsidR="00876EFC" w:rsidRPr="001565F1" w14:paraId="168EEA6A"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C02CDAE"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Investigated</w:t>
            </w:r>
          </w:p>
        </w:tc>
        <w:tc>
          <w:tcPr>
            <w:tcW w:w="1253" w:type="dxa"/>
            <w:tcBorders>
              <w:top w:val="nil"/>
              <w:left w:val="nil"/>
              <w:bottom w:val="nil"/>
              <w:right w:val="nil"/>
            </w:tcBorders>
            <w:shd w:val="clear" w:color="auto" w:fill="auto"/>
            <w:noWrap/>
            <w:vAlign w:val="bottom"/>
            <w:hideMark/>
          </w:tcPr>
          <w:p w14:paraId="329943A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23</w:t>
            </w:r>
          </w:p>
        </w:tc>
        <w:tc>
          <w:tcPr>
            <w:tcW w:w="1254" w:type="dxa"/>
            <w:tcBorders>
              <w:top w:val="nil"/>
              <w:left w:val="nil"/>
              <w:bottom w:val="nil"/>
              <w:right w:val="nil"/>
            </w:tcBorders>
            <w:shd w:val="clear" w:color="auto" w:fill="F2DBDB" w:themeFill="accent2" w:themeFillTint="33"/>
            <w:noWrap/>
            <w:vAlign w:val="bottom"/>
            <w:hideMark/>
          </w:tcPr>
          <w:p w14:paraId="3CC56DC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w:t>
            </w:r>
          </w:p>
        </w:tc>
        <w:tc>
          <w:tcPr>
            <w:tcW w:w="1253" w:type="dxa"/>
            <w:tcBorders>
              <w:top w:val="nil"/>
              <w:left w:val="nil"/>
              <w:bottom w:val="nil"/>
              <w:right w:val="nil"/>
            </w:tcBorders>
            <w:shd w:val="clear" w:color="auto" w:fill="auto"/>
            <w:noWrap/>
            <w:vAlign w:val="bottom"/>
            <w:hideMark/>
          </w:tcPr>
          <w:p w14:paraId="7D106A4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254" w:type="dxa"/>
            <w:tcBorders>
              <w:top w:val="nil"/>
              <w:left w:val="nil"/>
              <w:bottom w:val="nil"/>
              <w:right w:val="nil"/>
            </w:tcBorders>
            <w:shd w:val="clear" w:color="auto" w:fill="F2DBDB" w:themeFill="accent2" w:themeFillTint="33"/>
            <w:noWrap/>
            <w:vAlign w:val="bottom"/>
            <w:hideMark/>
          </w:tcPr>
          <w:p w14:paraId="79C994C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254" w:type="dxa"/>
            <w:tcBorders>
              <w:top w:val="nil"/>
              <w:left w:val="nil"/>
              <w:bottom w:val="nil"/>
              <w:right w:val="nil"/>
            </w:tcBorders>
            <w:shd w:val="clear" w:color="auto" w:fill="auto"/>
            <w:noWrap/>
            <w:vAlign w:val="bottom"/>
            <w:hideMark/>
          </w:tcPr>
          <w:p w14:paraId="455DB40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w:t>
            </w:r>
          </w:p>
        </w:tc>
        <w:tc>
          <w:tcPr>
            <w:tcW w:w="1253" w:type="dxa"/>
            <w:tcBorders>
              <w:top w:val="nil"/>
              <w:left w:val="nil"/>
              <w:bottom w:val="nil"/>
              <w:right w:val="nil"/>
            </w:tcBorders>
            <w:shd w:val="clear" w:color="auto" w:fill="F2DBDB" w:themeFill="accent2" w:themeFillTint="33"/>
            <w:noWrap/>
            <w:vAlign w:val="bottom"/>
            <w:hideMark/>
          </w:tcPr>
          <w:p w14:paraId="36CFE4E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11</w:t>
            </w:r>
          </w:p>
        </w:tc>
        <w:tc>
          <w:tcPr>
            <w:tcW w:w="1254" w:type="dxa"/>
            <w:tcBorders>
              <w:top w:val="nil"/>
              <w:left w:val="nil"/>
              <w:bottom w:val="nil"/>
              <w:right w:val="nil"/>
            </w:tcBorders>
            <w:shd w:val="clear" w:color="auto" w:fill="auto"/>
            <w:noWrap/>
            <w:vAlign w:val="bottom"/>
            <w:hideMark/>
          </w:tcPr>
          <w:p w14:paraId="608E5261"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14</w:t>
            </w:r>
          </w:p>
        </w:tc>
        <w:tc>
          <w:tcPr>
            <w:tcW w:w="1253" w:type="dxa"/>
            <w:tcBorders>
              <w:top w:val="nil"/>
              <w:left w:val="nil"/>
              <w:bottom w:val="nil"/>
              <w:right w:val="nil"/>
            </w:tcBorders>
            <w:shd w:val="clear" w:color="auto" w:fill="F2DBDB" w:themeFill="accent2" w:themeFillTint="33"/>
            <w:noWrap/>
            <w:vAlign w:val="bottom"/>
            <w:hideMark/>
          </w:tcPr>
          <w:p w14:paraId="4EFB3DDC"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w:t>
            </w:r>
          </w:p>
        </w:tc>
        <w:tc>
          <w:tcPr>
            <w:tcW w:w="1254" w:type="dxa"/>
            <w:tcBorders>
              <w:top w:val="nil"/>
              <w:left w:val="nil"/>
              <w:bottom w:val="nil"/>
              <w:right w:val="nil"/>
            </w:tcBorders>
            <w:shd w:val="clear" w:color="auto" w:fill="auto"/>
            <w:noWrap/>
            <w:vAlign w:val="bottom"/>
            <w:hideMark/>
          </w:tcPr>
          <w:p w14:paraId="17810CF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254" w:type="dxa"/>
            <w:tcBorders>
              <w:top w:val="nil"/>
              <w:left w:val="nil"/>
              <w:bottom w:val="nil"/>
              <w:right w:val="single" w:sz="4" w:space="0" w:color="auto"/>
            </w:tcBorders>
            <w:shd w:val="clear" w:color="auto" w:fill="F2DBDB" w:themeFill="accent2" w:themeFillTint="33"/>
            <w:noWrap/>
            <w:vAlign w:val="bottom"/>
            <w:hideMark/>
          </w:tcPr>
          <w:p w14:paraId="4CDB5D1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10</w:t>
            </w:r>
          </w:p>
        </w:tc>
      </w:tr>
      <w:tr w:rsidR="000E61DB" w:rsidRPr="001565F1" w14:paraId="6531EA30"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3C39AAF" w14:textId="77777777" w:rsidR="000E61DB" w:rsidRPr="001565F1" w:rsidRDefault="000E61DB" w:rsidP="00CE2FDF">
            <w:pPr>
              <w:spacing w:before="0" w:line="276" w:lineRule="auto"/>
              <w:rPr>
                <w:rFonts w:eastAsia="Times New Roman" w:cs="Arial"/>
                <w:color w:val="000000"/>
                <w:lang w:eastAsia="en-AU"/>
              </w:rPr>
            </w:pPr>
            <w:r w:rsidRPr="001565F1">
              <w:rPr>
                <w:rFonts w:eastAsia="Times New Roman" w:cs="Arial"/>
                <w:color w:val="000000"/>
                <w:lang w:eastAsia="en-AU"/>
              </w:rPr>
              <w:t>Investigated</w:t>
            </w:r>
          </w:p>
        </w:tc>
        <w:tc>
          <w:tcPr>
            <w:tcW w:w="1253" w:type="dxa"/>
            <w:tcBorders>
              <w:top w:val="nil"/>
              <w:left w:val="nil"/>
              <w:bottom w:val="nil"/>
              <w:right w:val="nil"/>
            </w:tcBorders>
            <w:shd w:val="clear" w:color="auto" w:fill="auto"/>
            <w:noWrap/>
            <w:vAlign w:val="bottom"/>
            <w:hideMark/>
          </w:tcPr>
          <w:p w14:paraId="0211EB91"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F2DBDB" w:themeFill="accent2" w:themeFillTint="33"/>
            <w:noWrap/>
            <w:vAlign w:val="bottom"/>
            <w:hideMark/>
          </w:tcPr>
          <w:p w14:paraId="0486D1C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9</w:t>
            </w:r>
          </w:p>
        </w:tc>
        <w:tc>
          <w:tcPr>
            <w:tcW w:w="1253" w:type="dxa"/>
            <w:tcBorders>
              <w:top w:val="nil"/>
              <w:left w:val="nil"/>
              <w:bottom w:val="nil"/>
              <w:right w:val="nil"/>
            </w:tcBorders>
            <w:shd w:val="clear" w:color="auto" w:fill="auto"/>
            <w:noWrap/>
            <w:vAlign w:val="bottom"/>
            <w:hideMark/>
          </w:tcPr>
          <w:p w14:paraId="432B5AD3"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F2DBDB" w:themeFill="accent2" w:themeFillTint="33"/>
            <w:noWrap/>
            <w:vAlign w:val="bottom"/>
            <w:hideMark/>
          </w:tcPr>
          <w:p w14:paraId="714827B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254" w:type="dxa"/>
            <w:tcBorders>
              <w:top w:val="nil"/>
              <w:left w:val="nil"/>
              <w:bottom w:val="nil"/>
              <w:right w:val="nil"/>
            </w:tcBorders>
            <w:shd w:val="clear" w:color="auto" w:fill="auto"/>
            <w:noWrap/>
            <w:vAlign w:val="bottom"/>
            <w:hideMark/>
          </w:tcPr>
          <w:p w14:paraId="78283E37"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p>
        </w:tc>
        <w:tc>
          <w:tcPr>
            <w:tcW w:w="1253" w:type="dxa"/>
            <w:tcBorders>
              <w:top w:val="nil"/>
              <w:left w:val="nil"/>
              <w:bottom w:val="nil"/>
              <w:right w:val="nil"/>
            </w:tcBorders>
            <w:shd w:val="clear" w:color="auto" w:fill="F2DBDB" w:themeFill="accent2" w:themeFillTint="33"/>
            <w:noWrap/>
            <w:vAlign w:val="bottom"/>
            <w:hideMark/>
          </w:tcPr>
          <w:p w14:paraId="3AE7C0BD"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0</w:t>
            </w:r>
          </w:p>
        </w:tc>
        <w:tc>
          <w:tcPr>
            <w:tcW w:w="1254" w:type="dxa"/>
            <w:tcBorders>
              <w:top w:val="nil"/>
              <w:left w:val="nil"/>
              <w:bottom w:val="nil"/>
              <w:right w:val="nil"/>
            </w:tcBorders>
            <w:shd w:val="clear" w:color="auto" w:fill="auto"/>
            <w:noWrap/>
            <w:vAlign w:val="bottom"/>
            <w:hideMark/>
          </w:tcPr>
          <w:p w14:paraId="67D9D6C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3" w:type="dxa"/>
            <w:tcBorders>
              <w:top w:val="nil"/>
              <w:left w:val="nil"/>
              <w:bottom w:val="nil"/>
              <w:right w:val="nil"/>
            </w:tcBorders>
            <w:shd w:val="clear" w:color="auto" w:fill="F2DBDB" w:themeFill="accent2" w:themeFillTint="33"/>
            <w:noWrap/>
            <w:vAlign w:val="bottom"/>
            <w:hideMark/>
          </w:tcPr>
          <w:p w14:paraId="2B1121AE"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12</w:t>
            </w:r>
          </w:p>
        </w:tc>
        <w:tc>
          <w:tcPr>
            <w:tcW w:w="1254" w:type="dxa"/>
            <w:tcBorders>
              <w:top w:val="nil"/>
              <w:left w:val="nil"/>
              <w:bottom w:val="nil"/>
              <w:right w:val="nil"/>
            </w:tcBorders>
            <w:shd w:val="clear" w:color="auto" w:fill="auto"/>
            <w:noWrap/>
            <w:vAlign w:val="bottom"/>
            <w:hideMark/>
          </w:tcPr>
          <w:p w14:paraId="4B45C915"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4" w:type="dxa"/>
            <w:tcBorders>
              <w:top w:val="nil"/>
              <w:left w:val="nil"/>
              <w:bottom w:val="nil"/>
              <w:right w:val="single" w:sz="4" w:space="0" w:color="auto"/>
            </w:tcBorders>
            <w:shd w:val="clear" w:color="auto" w:fill="F2DBDB" w:themeFill="accent2" w:themeFillTint="33"/>
            <w:noWrap/>
            <w:vAlign w:val="bottom"/>
            <w:hideMark/>
          </w:tcPr>
          <w:p w14:paraId="4F3FFF4C" w14:textId="77777777" w:rsidR="000E61DB" w:rsidRPr="001565F1" w:rsidRDefault="000E61DB"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8</w:t>
            </w:r>
          </w:p>
        </w:tc>
      </w:tr>
      <w:tr w:rsidR="00876EFC" w:rsidRPr="001565F1" w14:paraId="7969FD27"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6F21CA3"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Substantiated</w:t>
            </w:r>
          </w:p>
        </w:tc>
        <w:tc>
          <w:tcPr>
            <w:tcW w:w="1253" w:type="dxa"/>
            <w:tcBorders>
              <w:top w:val="nil"/>
              <w:left w:val="nil"/>
              <w:bottom w:val="nil"/>
              <w:right w:val="nil"/>
            </w:tcBorders>
            <w:shd w:val="clear" w:color="auto" w:fill="auto"/>
            <w:noWrap/>
            <w:vAlign w:val="bottom"/>
            <w:hideMark/>
          </w:tcPr>
          <w:p w14:paraId="514173F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F2DBDB" w:themeFill="accent2" w:themeFillTint="33"/>
            <w:noWrap/>
            <w:vAlign w:val="bottom"/>
            <w:hideMark/>
          </w:tcPr>
          <w:p w14:paraId="570A303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3" w:type="dxa"/>
            <w:tcBorders>
              <w:top w:val="nil"/>
              <w:left w:val="nil"/>
              <w:bottom w:val="nil"/>
              <w:right w:val="nil"/>
            </w:tcBorders>
            <w:shd w:val="clear" w:color="auto" w:fill="auto"/>
            <w:noWrap/>
            <w:vAlign w:val="bottom"/>
            <w:hideMark/>
          </w:tcPr>
          <w:p w14:paraId="3CE82F8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c>
          <w:tcPr>
            <w:tcW w:w="1254" w:type="dxa"/>
            <w:tcBorders>
              <w:top w:val="nil"/>
              <w:left w:val="nil"/>
              <w:bottom w:val="nil"/>
              <w:right w:val="nil"/>
            </w:tcBorders>
            <w:shd w:val="clear" w:color="auto" w:fill="F2DBDB" w:themeFill="accent2" w:themeFillTint="33"/>
            <w:noWrap/>
            <w:vAlign w:val="bottom"/>
            <w:hideMark/>
          </w:tcPr>
          <w:p w14:paraId="32752D4F"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c>
          <w:tcPr>
            <w:tcW w:w="1254" w:type="dxa"/>
            <w:tcBorders>
              <w:top w:val="nil"/>
              <w:left w:val="nil"/>
              <w:bottom w:val="nil"/>
              <w:right w:val="nil"/>
            </w:tcBorders>
            <w:shd w:val="clear" w:color="auto" w:fill="auto"/>
            <w:noWrap/>
            <w:vAlign w:val="bottom"/>
            <w:hideMark/>
          </w:tcPr>
          <w:p w14:paraId="5457F78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c>
          <w:tcPr>
            <w:tcW w:w="1253" w:type="dxa"/>
            <w:tcBorders>
              <w:top w:val="nil"/>
              <w:left w:val="nil"/>
              <w:bottom w:val="nil"/>
              <w:right w:val="nil"/>
            </w:tcBorders>
            <w:shd w:val="clear" w:color="auto" w:fill="F2DBDB" w:themeFill="accent2" w:themeFillTint="33"/>
            <w:noWrap/>
            <w:vAlign w:val="bottom"/>
            <w:hideMark/>
          </w:tcPr>
          <w:p w14:paraId="4DC0E3D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0</w:t>
            </w:r>
          </w:p>
        </w:tc>
        <w:tc>
          <w:tcPr>
            <w:tcW w:w="1254" w:type="dxa"/>
            <w:tcBorders>
              <w:top w:val="nil"/>
              <w:left w:val="nil"/>
              <w:bottom w:val="nil"/>
              <w:right w:val="nil"/>
            </w:tcBorders>
            <w:shd w:val="clear" w:color="auto" w:fill="auto"/>
            <w:noWrap/>
            <w:vAlign w:val="bottom"/>
            <w:hideMark/>
          </w:tcPr>
          <w:p w14:paraId="7BF1A677"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2</w:t>
            </w:r>
          </w:p>
        </w:tc>
        <w:tc>
          <w:tcPr>
            <w:tcW w:w="1253" w:type="dxa"/>
            <w:tcBorders>
              <w:top w:val="nil"/>
              <w:left w:val="nil"/>
              <w:bottom w:val="nil"/>
              <w:right w:val="nil"/>
            </w:tcBorders>
            <w:shd w:val="clear" w:color="auto" w:fill="F2DBDB" w:themeFill="accent2" w:themeFillTint="33"/>
            <w:noWrap/>
            <w:vAlign w:val="bottom"/>
            <w:hideMark/>
          </w:tcPr>
          <w:p w14:paraId="008C0AA3"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auto"/>
            <w:noWrap/>
            <w:vAlign w:val="bottom"/>
            <w:hideMark/>
          </w:tcPr>
          <w:p w14:paraId="1780B5C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0</w:t>
            </w:r>
          </w:p>
        </w:tc>
        <w:tc>
          <w:tcPr>
            <w:tcW w:w="1254" w:type="dxa"/>
            <w:tcBorders>
              <w:top w:val="nil"/>
              <w:left w:val="nil"/>
              <w:bottom w:val="nil"/>
              <w:right w:val="single" w:sz="4" w:space="0" w:color="auto"/>
            </w:tcBorders>
            <w:shd w:val="clear" w:color="auto" w:fill="F2DBDB" w:themeFill="accent2" w:themeFillTint="33"/>
            <w:noWrap/>
            <w:vAlign w:val="bottom"/>
            <w:hideMark/>
          </w:tcPr>
          <w:p w14:paraId="3FCB683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p>
        </w:tc>
      </w:tr>
      <w:tr w:rsidR="00876EFC" w:rsidRPr="001565F1" w14:paraId="77D46B27" w14:textId="77777777" w:rsidTr="00561E44">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221AA5D" w14:textId="77777777" w:rsidR="00876EFC" w:rsidRPr="001565F1" w:rsidRDefault="00876EFC" w:rsidP="00CE2FDF">
            <w:pPr>
              <w:spacing w:before="0" w:line="276" w:lineRule="auto"/>
              <w:rPr>
                <w:rFonts w:eastAsia="Times New Roman" w:cs="Arial"/>
                <w:color w:val="000000"/>
                <w:lang w:eastAsia="en-AU"/>
              </w:rPr>
            </w:pPr>
            <w:r w:rsidRPr="001565F1">
              <w:rPr>
                <w:rFonts w:eastAsia="Times New Roman" w:cs="Arial"/>
                <w:color w:val="000000"/>
                <w:lang w:eastAsia="en-AU"/>
              </w:rPr>
              <w:t>Not Substantiated</w:t>
            </w:r>
          </w:p>
        </w:tc>
        <w:tc>
          <w:tcPr>
            <w:tcW w:w="1253" w:type="dxa"/>
            <w:tcBorders>
              <w:top w:val="nil"/>
              <w:left w:val="nil"/>
              <w:bottom w:val="nil"/>
              <w:right w:val="nil"/>
            </w:tcBorders>
            <w:shd w:val="clear" w:color="auto" w:fill="auto"/>
            <w:noWrap/>
            <w:vAlign w:val="bottom"/>
            <w:hideMark/>
          </w:tcPr>
          <w:p w14:paraId="1091B2E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0</w:t>
            </w:r>
          </w:p>
        </w:tc>
        <w:tc>
          <w:tcPr>
            <w:tcW w:w="1254" w:type="dxa"/>
            <w:tcBorders>
              <w:top w:val="nil"/>
              <w:left w:val="nil"/>
              <w:bottom w:val="nil"/>
              <w:right w:val="nil"/>
            </w:tcBorders>
            <w:shd w:val="clear" w:color="auto" w:fill="F2DBDB" w:themeFill="accent2" w:themeFillTint="33"/>
            <w:noWrap/>
            <w:vAlign w:val="bottom"/>
            <w:hideMark/>
          </w:tcPr>
          <w:p w14:paraId="4088871B"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3" w:type="dxa"/>
            <w:tcBorders>
              <w:top w:val="nil"/>
              <w:left w:val="nil"/>
              <w:bottom w:val="nil"/>
              <w:right w:val="nil"/>
            </w:tcBorders>
            <w:shd w:val="clear" w:color="auto" w:fill="auto"/>
            <w:noWrap/>
            <w:vAlign w:val="bottom"/>
            <w:hideMark/>
          </w:tcPr>
          <w:p w14:paraId="50B3EC14"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4</w:t>
            </w:r>
          </w:p>
        </w:tc>
        <w:tc>
          <w:tcPr>
            <w:tcW w:w="1254" w:type="dxa"/>
            <w:tcBorders>
              <w:top w:val="nil"/>
              <w:left w:val="nil"/>
              <w:bottom w:val="nil"/>
              <w:right w:val="nil"/>
            </w:tcBorders>
            <w:shd w:val="clear" w:color="auto" w:fill="F2DBDB" w:themeFill="accent2" w:themeFillTint="33"/>
            <w:noWrap/>
            <w:vAlign w:val="bottom"/>
            <w:hideMark/>
          </w:tcPr>
          <w:p w14:paraId="217489DE"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5</w:t>
            </w:r>
          </w:p>
        </w:tc>
        <w:tc>
          <w:tcPr>
            <w:tcW w:w="1254" w:type="dxa"/>
            <w:tcBorders>
              <w:top w:val="nil"/>
              <w:left w:val="nil"/>
              <w:bottom w:val="nil"/>
              <w:right w:val="nil"/>
            </w:tcBorders>
            <w:shd w:val="clear" w:color="auto" w:fill="auto"/>
            <w:noWrap/>
            <w:vAlign w:val="bottom"/>
            <w:hideMark/>
          </w:tcPr>
          <w:p w14:paraId="0ED9D1E2"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3" w:type="dxa"/>
            <w:tcBorders>
              <w:top w:val="nil"/>
              <w:left w:val="nil"/>
              <w:bottom w:val="nil"/>
              <w:right w:val="nil"/>
            </w:tcBorders>
            <w:shd w:val="clear" w:color="auto" w:fill="F2DBDB" w:themeFill="accent2" w:themeFillTint="33"/>
            <w:noWrap/>
            <w:vAlign w:val="bottom"/>
            <w:hideMark/>
          </w:tcPr>
          <w:p w14:paraId="5555827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0</w:t>
            </w:r>
          </w:p>
        </w:tc>
        <w:tc>
          <w:tcPr>
            <w:tcW w:w="1254" w:type="dxa"/>
            <w:tcBorders>
              <w:top w:val="nil"/>
              <w:left w:val="nil"/>
              <w:bottom w:val="nil"/>
              <w:right w:val="nil"/>
            </w:tcBorders>
            <w:shd w:val="clear" w:color="auto" w:fill="auto"/>
            <w:noWrap/>
            <w:vAlign w:val="bottom"/>
            <w:hideMark/>
          </w:tcPr>
          <w:p w14:paraId="4C7B3EB6"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1</w:t>
            </w:r>
          </w:p>
        </w:tc>
        <w:tc>
          <w:tcPr>
            <w:tcW w:w="1253" w:type="dxa"/>
            <w:tcBorders>
              <w:top w:val="nil"/>
              <w:left w:val="nil"/>
              <w:bottom w:val="nil"/>
              <w:right w:val="nil"/>
            </w:tcBorders>
            <w:shd w:val="clear" w:color="auto" w:fill="F2DBDB" w:themeFill="accent2" w:themeFillTint="33"/>
            <w:noWrap/>
            <w:vAlign w:val="bottom"/>
            <w:hideMark/>
          </w:tcPr>
          <w:p w14:paraId="2F21B565"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6</w:t>
            </w:r>
          </w:p>
        </w:tc>
        <w:tc>
          <w:tcPr>
            <w:tcW w:w="1254" w:type="dxa"/>
            <w:tcBorders>
              <w:top w:val="nil"/>
              <w:left w:val="nil"/>
              <w:bottom w:val="nil"/>
              <w:right w:val="nil"/>
            </w:tcBorders>
            <w:shd w:val="clear" w:color="auto" w:fill="auto"/>
            <w:noWrap/>
            <w:vAlign w:val="bottom"/>
            <w:hideMark/>
          </w:tcPr>
          <w:p w14:paraId="3B389F09"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3</w:t>
            </w:r>
          </w:p>
        </w:tc>
        <w:tc>
          <w:tcPr>
            <w:tcW w:w="1254" w:type="dxa"/>
            <w:tcBorders>
              <w:top w:val="nil"/>
              <w:left w:val="nil"/>
              <w:bottom w:val="nil"/>
              <w:right w:val="single" w:sz="4" w:space="0" w:color="auto"/>
            </w:tcBorders>
            <w:shd w:val="clear" w:color="auto" w:fill="F2DBDB" w:themeFill="accent2" w:themeFillTint="33"/>
            <w:noWrap/>
            <w:vAlign w:val="bottom"/>
            <w:hideMark/>
          </w:tcPr>
          <w:p w14:paraId="0639F0B8" w14:textId="77777777" w:rsidR="00876EFC" w:rsidRPr="001565F1" w:rsidRDefault="00876EFC" w:rsidP="00CE2FDF">
            <w:pPr>
              <w:spacing w:before="0" w:line="276" w:lineRule="auto"/>
              <w:jc w:val="right"/>
              <w:rPr>
                <w:rFonts w:eastAsia="Times New Roman" w:cs="Arial"/>
                <w:color w:val="000000"/>
                <w:lang w:eastAsia="en-AU"/>
              </w:rPr>
            </w:pPr>
            <w:r w:rsidRPr="001565F1">
              <w:rPr>
                <w:rFonts w:eastAsia="Times New Roman" w:cs="Arial"/>
                <w:color w:val="000000"/>
                <w:lang w:eastAsia="en-AU"/>
              </w:rPr>
              <w:t>7</w:t>
            </w:r>
          </w:p>
        </w:tc>
      </w:tr>
      <w:tr w:rsidR="00876EFC" w:rsidRPr="00DA0360" w14:paraId="4F3DDBD5" w14:textId="77777777" w:rsidTr="00561E44">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2B1FACBB" w14:textId="77777777" w:rsidR="00876EFC" w:rsidRPr="00DA0360" w:rsidRDefault="00876EFC" w:rsidP="00CE2FDF">
            <w:pPr>
              <w:spacing w:before="0" w:line="276" w:lineRule="auto"/>
              <w:rPr>
                <w:rFonts w:eastAsia="Times New Roman" w:cs="Arial"/>
                <w:b/>
                <w:color w:val="000000"/>
                <w:lang w:eastAsia="en-AU"/>
              </w:rPr>
            </w:pPr>
            <w:r w:rsidRPr="00DA0360">
              <w:rPr>
                <w:rFonts w:eastAsia="Times New Roman" w:cs="Arial"/>
                <w:b/>
                <w:color w:val="000000"/>
                <w:lang w:eastAsia="en-AU"/>
              </w:rPr>
              <w:t>Total reports:</w:t>
            </w:r>
          </w:p>
        </w:tc>
        <w:tc>
          <w:tcPr>
            <w:tcW w:w="1253" w:type="dxa"/>
            <w:tcBorders>
              <w:top w:val="nil"/>
              <w:left w:val="nil"/>
              <w:bottom w:val="single" w:sz="4" w:space="0" w:color="auto"/>
              <w:right w:val="nil"/>
            </w:tcBorders>
            <w:shd w:val="clear" w:color="auto" w:fill="auto"/>
            <w:noWrap/>
            <w:vAlign w:val="bottom"/>
            <w:hideMark/>
          </w:tcPr>
          <w:p w14:paraId="79325B9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29</w:t>
            </w:r>
          </w:p>
        </w:tc>
        <w:tc>
          <w:tcPr>
            <w:tcW w:w="1254" w:type="dxa"/>
            <w:tcBorders>
              <w:top w:val="nil"/>
              <w:left w:val="nil"/>
              <w:bottom w:val="single" w:sz="4" w:space="0" w:color="auto"/>
              <w:right w:val="nil"/>
            </w:tcBorders>
            <w:shd w:val="clear" w:color="auto" w:fill="F2DBDB" w:themeFill="accent2" w:themeFillTint="33"/>
            <w:noWrap/>
            <w:vAlign w:val="bottom"/>
            <w:hideMark/>
          </w:tcPr>
          <w:p w14:paraId="1BF1CCDD"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23</w:t>
            </w:r>
          </w:p>
        </w:tc>
        <w:tc>
          <w:tcPr>
            <w:tcW w:w="1253" w:type="dxa"/>
            <w:tcBorders>
              <w:top w:val="nil"/>
              <w:left w:val="nil"/>
              <w:bottom w:val="single" w:sz="4" w:space="0" w:color="auto"/>
              <w:right w:val="nil"/>
            </w:tcBorders>
            <w:shd w:val="clear" w:color="auto" w:fill="auto"/>
            <w:noWrap/>
            <w:vAlign w:val="bottom"/>
            <w:hideMark/>
          </w:tcPr>
          <w:p w14:paraId="264CF58E"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18</w:t>
            </w:r>
          </w:p>
        </w:tc>
        <w:tc>
          <w:tcPr>
            <w:tcW w:w="1254" w:type="dxa"/>
            <w:tcBorders>
              <w:top w:val="nil"/>
              <w:left w:val="nil"/>
              <w:bottom w:val="single" w:sz="4" w:space="0" w:color="auto"/>
              <w:right w:val="nil"/>
            </w:tcBorders>
            <w:shd w:val="clear" w:color="auto" w:fill="F2DBDB" w:themeFill="accent2" w:themeFillTint="33"/>
            <w:noWrap/>
            <w:vAlign w:val="bottom"/>
            <w:hideMark/>
          </w:tcPr>
          <w:p w14:paraId="7175160F"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24</w:t>
            </w:r>
          </w:p>
        </w:tc>
        <w:tc>
          <w:tcPr>
            <w:tcW w:w="1254" w:type="dxa"/>
            <w:tcBorders>
              <w:top w:val="nil"/>
              <w:left w:val="nil"/>
              <w:bottom w:val="single" w:sz="4" w:space="0" w:color="auto"/>
              <w:right w:val="nil"/>
            </w:tcBorders>
            <w:shd w:val="clear" w:color="auto" w:fill="auto"/>
            <w:noWrap/>
            <w:vAlign w:val="bottom"/>
            <w:hideMark/>
          </w:tcPr>
          <w:p w14:paraId="33DC369C"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13</w:t>
            </w:r>
          </w:p>
        </w:tc>
        <w:tc>
          <w:tcPr>
            <w:tcW w:w="1253" w:type="dxa"/>
            <w:tcBorders>
              <w:top w:val="nil"/>
              <w:left w:val="nil"/>
              <w:bottom w:val="single" w:sz="4" w:space="0" w:color="auto"/>
              <w:right w:val="nil"/>
            </w:tcBorders>
            <w:shd w:val="clear" w:color="auto" w:fill="F2DBDB" w:themeFill="accent2" w:themeFillTint="33"/>
            <w:noWrap/>
            <w:vAlign w:val="bottom"/>
            <w:hideMark/>
          </w:tcPr>
          <w:p w14:paraId="2227CD93"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11</w:t>
            </w:r>
          </w:p>
        </w:tc>
        <w:tc>
          <w:tcPr>
            <w:tcW w:w="1254" w:type="dxa"/>
            <w:tcBorders>
              <w:top w:val="nil"/>
              <w:left w:val="nil"/>
              <w:bottom w:val="single" w:sz="4" w:space="0" w:color="auto"/>
              <w:right w:val="nil"/>
            </w:tcBorders>
            <w:shd w:val="clear" w:color="auto" w:fill="auto"/>
            <w:noWrap/>
            <w:vAlign w:val="bottom"/>
            <w:hideMark/>
          </w:tcPr>
          <w:p w14:paraId="6C063E24"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17</w:t>
            </w:r>
          </w:p>
        </w:tc>
        <w:tc>
          <w:tcPr>
            <w:tcW w:w="1253" w:type="dxa"/>
            <w:tcBorders>
              <w:top w:val="nil"/>
              <w:left w:val="nil"/>
              <w:bottom w:val="single" w:sz="4" w:space="0" w:color="auto"/>
              <w:right w:val="nil"/>
            </w:tcBorders>
            <w:shd w:val="clear" w:color="auto" w:fill="F2DBDB" w:themeFill="accent2" w:themeFillTint="33"/>
            <w:noWrap/>
            <w:vAlign w:val="bottom"/>
            <w:hideMark/>
          </w:tcPr>
          <w:p w14:paraId="468ADEB1"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21</w:t>
            </w:r>
          </w:p>
        </w:tc>
        <w:tc>
          <w:tcPr>
            <w:tcW w:w="1254" w:type="dxa"/>
            <w:tcBorders>
              <w:top w:val="nil"/>
              <w:left w:val="nil"/>
              <w:bottom w:val="single" w:sz="4" w:space="0" w:color="auto"/>
              <w:right w:val="nil"/>
            </w:tcBorders>
            <w:shd w:val="clear" w:color="auto" w:fill="auto"/>
            <w:noWrap/>
            <w:vAlign w:val="bottom"/>
            <w:hideMark/>
          </w:tcPr>
          <w:p w14:paraId="588E10A1"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15</w:t>
            </w:r>
          </w:p>
        </w:tc>
        <w:tc>
          <w:tcPr>
            <w:tcW w:w="1254" w:type="dxa"/>
            <w:tcBorders>
              <w:top w:val="nil"/>
              <w:left w:val="nil"/>
              <w:bottom w:val="single" w:sz="4" w:space="0" w:color="auto"/>
              <w:right w:val="single" w:sz="4" w:space="0" w:color="auto"/>
            </w:tcBorders>
            <w:shd w:val="clear" w:color="auto" w:fill="F2DBDB" w:themeFill="accent2" w:themeFillTint="33"/>
            <w:noWrap/>
            <w:vAlign w:val="bottom"/>
            <w:hideMark/>
          </w:tcPr>
          <w:p w14:paraId="5D20D2A5" w14:textId="77777777" w:rsidR="00876EFC" w:rsidRPr="00DA0360" w:rsidRDefault="00876EFC" w:rsidP="00CE2FDF">
            <w:pPr>
              <w:spacing w:before="0" w:line="276" w:lineRule="auto"/>
              <w:jc w:val="right"/>
              <w:rPr>
                <w:rFonts w:eastAsia="Times New Roman" w:cs="Arial"/>
                <w:b/>
                <w:color w:val="000000"/>
                <w:lang w:eastAsia="en-AU"/>
              </w:rPr>
            </w:pPr>
            <w:r w:rsidRPr="00DA0360">
              <w:rPr>
                <w:rFonts w:eastAsia="Times New Roman" w:cs="Arial"/>
                <w:b/>
                <w:color w:val="000000"/>
                <w:lang w:eastAsia="en-AU"/>
              </w:rPr>
              <w:t>18</w:t>
            </w:r>
          </w:p>
        </w:tc>
      </w:tr>
    </w:tbl>
    <w:p w14:paraId="673595BF" w14:textId="77777777" w:rsidR="006D535F" w:rsidRDefault="006D535F" w:rsidP="00C002A6">
      <w:pPr>
        <w:sectPr w:rsidR="006D535F" w:rsidSect="00DA4027">
          <w:headerReference w:type="default" r:id="rId67"/>
          <w:footerReference w:type="default" r:id="rId68"/>
          <w:pgSz w:w="16838" w:h="11906" w:orient="landscape"/>
          <w:pgMar w:top="1440" w:right="1134" w:bottom="1134" w:left="1134" w:header="709" w:footer="709" w:gutter="0"/>
          <w:cols w:space="708"/>
          <w:docGrid w:linePitch="360"/>
        </w:sectPr>
      </w:pPr>
    </w:p>
    <w:p w14:paraId="0B264DB8" w14:textId="5AAF65A2" w:rsidR="002F5547" w:rsidRDefault="00BC058E" w:rsidP="005E613E">
      <w:pPr>
        <w:pStyle w:val="Heading2"/>
        <w:sectPr w:rsidR="002F5547" w:rsidSect="002F5547">
          <w:headerReference w:type="default" r:id="rId69"/>
          <w:footerReference w:type="default" r:id="rId70"/>
          <w:pgSz w:w="11906" w:h="16838"/>
          <w:pgMar w:top="1440" w:right="1440" w:bottom="1440" w:left="1440" w:header="706" w:footer="706" w:gutter="0"/>
          <w:cols w:space="708"/>
          <w:vAlign w:val="center"/>
          <w:docGrid w:linePitch="360"/>
        </w:sectPr>
      </w:pPr>
      <w:r w:rsidRPr="00BC058E">
        <w:lastRenderedPageBreak/>
        <w:t>Stage 2</w:t>
      </w:r>
      <w:r w:rsidR="005E613E" w:rsidRPr="00BC058E">
        <w:t xml:space="preserve"> Part</w:t>
      </w:r>
      <w:r w:rsidRPr="00BC058E">
        <w:t xml:space="preserve"> </w:t>
      </w:r>
      <w:r>
        <w:t>3</w:t>
      </w:r>
      <w:r w:rsidRPr="00BC058E">
        <w:t xml:space="preserve">: </w:t>
      </w:r>
      <w:r w:rsidR="005E613E">
        <w:br/>
      </w:r>
      <w:r>
        <w:t xml:space="preserve">Reports of distinct </w:t>
      </w:r>
      <w:r w:rsidR="005E613E">
        <w:br/>
      </w:r>
      <w:r>
        <w:t>children</w:t>
      </w:r>
    </w:p>
    <w:p w14:paraId="11A662EB" w14:textId="15D1CCC6" w:rsidR="00C36AB4" w:rsidRDefault="003A194E" w:rsidP="00B871BE">
      <w:pPr>
        <w:pStyle w:val="Heading3"/>
        <w:pBdr>
          <w:bottom w:val="single" w:sz="8" w:space="1" w:color="365F91"/>
        </w:pBdr>
      </w:pPr>
      <w:bookmarkStart w:id="91" w:name="_Toc435716769"/>
      <w:r>
        <w:lastRenderedPageBreak/>
        <w:t>Stage 2 Part 3: Reports of Distinct Children</w:t>
      </w:r>
      <w:bookmarkEnd w:id="91"/>
      <w:r>
        <w:t xml:space="preserve"> </w:t>
      </w:r>
    </w:p>
    <w:p w14:paraId="68A1A6C0" w14:textId="77777777" w:rsidR="00441F98" w:rsidRPr="009C69F6" w:rsidRDefault="00441F98" w:rsidP="009C69F6">
      <w:pPr>
        <w:pStyle w:val="Heading4"/>
        <w:spacing w:before="360" w:after="360"/>
      </w:pPr>
      <w:bookmarkStart w:id="92" w:name="_Toc435716770"/>
      <w:r w:rsidRPr="009C69F6">
        <w:t>P</w:t>
      </w:r>
      <w:r w:rsidR="001073A3" w:rsidRPr="009C69F6">
        <w:t>art</w:t>
      </w:r>
      <w:r w:rsidRPr="009C69F6">
        <w:t xml:space="preserve"> 3</w:t>
      </w:r>
      <w:r w:rsidRPr="009C69F6">
        <w:rPr>
          <w:rStyle w:val="Heading3Char"/>
          <w:rFonts w:eastAsiaTheme="minorHAnsi" w:cstheme="minorBidi"/>
          <w:b/>
          <w:bCs w:val="0"/>
          <w:color w:val="000000" w:themeColor="text1"/>
          <w:sz w:val="32"/>
        </w:rPr>
        <w:t>:</w:t>
      </w:r>
      <w:r w:rsidRPr="009C69F6">
        <w:t xml:space="preserve"> </w:t>
      </w:r>
      <w:r w:rsidR="00C72EC7" w:rsidRPr="009C69F6">
        <w:t>Reports of distinct children</w:t>
      </w:r>
      <w:bookmarkEnd w:id="92"/>
    </w:p>
    <w:p w14:paraId="1C870F16" w14:textId="77777777" w:rsidR="00261C0C" w:rsidRDefault="00261C0C" w:rsidP="005E613E">
      <w:pPr>
        <w:pStyle w:val="Paragraph"/>
        <w:jc w:val="both"/>
      </w:pPr>
      <w:r>
        <w:t xml:space="preserve">This section presents data on the number of distinct children involved in reports over the decade.  It enables an estimation of the breadth of the child protection net, both overall, and by abuse type and reporter type.  Table 3.1 shows the total number of reports made regarding distinct individual children over the decade. For example, 109,926 children were subject to only one report over the decade, representing 55% of children in all reports; 37,369 children were each the subject of two reports; 19,281 children were the subject of three reports, and so on. In </w:t>
      </w:r>
      <w:r w:rsidRPr="00261C0C">
        <w:t>total</w:t>
      </w:r>
      <w:r>
        <w:t xml:space="preserve">, over the decade, 454,120 reports </w:t>
      </w:r>
      <w:proofErr w:type="gramStart"/>
      <w:r>
        <w:t>were made</w:t>
      </w:r>
      <w:proofErr w:type="gramEnd"/>
      <w:r>
        <w:t>, involving 201,389 distinct children.</w:t>
      </w:r>
    </w:p>
    <w:p w14:paraId="045A71B9" w14:textId="77777777" w:rsidR="00261C0C" w:rsidRDefault="00261C0C" w:rsidP="005E613E">
      <w:pPr>
        <w:pStyle w:val="Paragraph"/>
        <w:jc w:val="both"/>
        <w:rPr>
          <w:rFonts w:eastAsia="Times New Roman" w:cs="Times New Roman"/>
          <w:color w:val="000000"/>
          <w:sz w:val="28"/>
          <w:lang w:eastAsia="en-AU"/>
        </w:rPr>
      </w:pPr>
      <w:r>
        <w:t>Table 3.3 outlines yearly differences between the numbers of notifications compared to the number of children in the reports, for the decade. Subsequent tables provide detailed annual breakdowns. Tables 3.8 to 3.12 compare the yearly number of notifications to the number of children in the reports, by abuse type and outcome of report. Tables 3.13 to 3.32 show year-by-year analyses of children subject to a notification compared with the total number of reports by abuse type, outcome of report, and reporter group.</w:t>
      </w:r>
    </w:p>
    <w:p w14:paraId="1CC97890" w14:textId="77777777" w:rsidR="00981A1C" w:rsidRDefault="00981A1C" w:rsidP="00B15586"/>
    <w:p w14:paraId="7822E22F" w14:textId="77777777" w:rsidR="00893498" w:rsidRDefault="00893498" w:rsidP="00B15586">
      <w:pPr>
        <w:spacing w:after="200" w:line="276" w:lineRule="auto"/>
      </w:pPr>
      <w:r>
        <w:br w:type="page"/>
      </w:r>
    </w:p>
    <w:p w14:paraId="6D4C15EA" w14:textId="77777777" w:rsidR="00B17919" w:rsidRDefault="00B17919" w:rsidP="009C69F6">
      <w:pPr>
        <w:pStyle w:val="Figureheading"/>
        <w:ind w:left="720" w:hanging="720"/>
      </w:pPr>
      <w:r>
        <w:lastRenderedPageBreak/>
        <w:t>3.1</w:t>
      </w:r>
      <w:r>
        <w:tab/>
        <w:t>Number of reports for each child who was the subject of a report, over the decade</w:t>
      </w:r>
    </w:p>
    <w:tbl>
      <w:tblPr>
        <w:tblStyle w:val="LightShading-Accent11"/>
        <w:tblW w:w="9322" w:type="dxa"/>
        <w:tblLook w:val="04A0" w:firstRow="1" w:lastRow="0" w:firstColumn="1" w:lastColumn="0" w:noHBand="0" w:noVBand="1"/>
        <w:tblCaption w:val="Number of reports for each child who was the subject of a report, over the decade"/>
      </w:tblPr>
      <w:tblGrid>
        <w:gridCol w:w="1668"/>
        <w:gridCol w:w="2126"/>
        <w:gridCol w:w="2268"/>
        <w:gridCol w:w="425"/>
        <w:gridCol w:w="1504"/>
        <w:gridCol w:w="1331"/>
      </w:tblGrid>
      <w:tr w:rsidR="007454E2" w:rsidRPr="00561E44" w14:paraId="6C2706DA" w14:textId="77777777" w:rsidTr="001143B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68" w:type="dxa"/>
            <w:shd w:val="clear" w:color="auto" w:fill="8DB3E2" w:themeFill="text2" w:themeFillTint="66"/>
            <w:noWrap/>
            <w:vAlign w:val="center"/>
            <w:hideMark/>
          </w:tcPr>
          <w:p w14:paraId="1AF1A121" w14:textId="77777777" w:rsidR="007454E2" w:rsidRPr="008E6B95" w:rsidRDefault="007454E2" w:rsidP="00CE2FDF">
            <w:pPr>
              <w:spacing w:before="0" w:line="276" w:lineRule="auto"/>
              <w:jc w:val="right"/>
              <w:rPr>
                <w:rFonts w:eastAsia="Times New Roman" w:cs="Times New Roman"/>
                <w:color w:val="auto"/>
                <w:lang w:eastAsia="en-AU"/>
              </w:rPr>
            </w:pPr>
            <w:r w:rsidRPr="008E6B95">
              <w:rPr>
                <w:rFonts w:eastAsia="Times New Roman" w:cs="Times New Roman"/>
                <w:bCs w:val="0"/>
                <w:color w:val="auto"/>
                <w:lang w:eastAsia="en-AU"/>
              </w:rPr>
              <w:t xml:space="preserve">Number </w:t>
            </w:r>
            <w:r>
              <w:rPr>
                <w:rFonts w:eastAsia="Times New Roman" w:cs="Times New Roman"/>
                <w:bCs w:val="0"/>
                <w:color w:val="auto"/>
                <w:lang w:eastAsia="en-AU"/>
              </w:rPr>
              <w:t xml:space="preserve">(x) </w:t>
            </w:r>
            <w:r w:rsidRPr="008E6B95">
              <w:rPr>
                <w:rFonts w:eastAsia="Times New Roman" w:cs="Times New Roman"/>
                <w:bCs w:val="0"/>
                <w:color w:val="auto"/>
                <w:lang w:eastAsia="en-AU"/>
              </w:rPr>
              <w:t>of reports per child</w:t>
            </w:r>
          </w:p>
        </w:tc>
        <w:tc>
          <w:tcPr>
            <w:tcW w:w="2126" w:type="dxa"/>
            <w:shd w:val="clear" w:color="auto" w:fill="8DB3E2" w:themeFill="text2" w:themeFillTint="66"/>
            <w:noWrap/>
            <w:vAlign w:val="center"/>
            <w:hideMark/>
          </w:tcPr>
          <w:p w14:paraId="42BF30DA" w14:textId="77777777" w:rsidR="007454E2" w:rsidRPr="008E6B95" w:rsidRDefault="007454E2"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lang w:eastAsia="en-AU"/>
              </w:rPr>
            </w:pPr>
            <w:r>
              <w:rPr>
                <w:rFonts w:eastAsia="Times New Roman" w:cs="Times New Roman"/>
                <w:bCs w:val="0"/>
                <w:color w:val="auto"/>
                <w:lang w:eastAsia="en-AU"/>
              </w:rPr>
              <w:t>Number of children the subject of x reports</w:t>
            </w:r>
          </w:p>
        </w:tc>
        <w:tc>
          <w:tcPr>
            <w:tcW w:w="2693" w:type="dxa"/>
            <w:gridSpan w:val="2"/>
            <w:shd w:val="clear" w:color="auto" w:fill="8DB3E2" w:themeFill="text2" w:themeFillTint="66"/>
            <w:vAlign w:val="center"/>
          </w:tcPr>
          <w:p w14:paraId="3BC1E813" w14:textId="77777777" w:rsidR="007454E2" w:rsidRPr="008E6B95" w:rsidRDefault="007454E2" w:rsidP="00CE2FDF">
            <w:pPr>
              <w:spacing w:before="0" w:line="276" w:lineRule="auto"/>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lang w:eastAsia="en-AU"/>
              </w:rPr>
            </w:pPr>
            <w:r>
              <w:rPr>
                <w:rFonts w:eastAsia="Times New Roman" w:cs="Times New Roman"/>
                <w:color w:val="auto"/>
                <w:lang w:eastAsia="en-AU"/>
              </w:rPr>
              <w:t>Proportion of all children involved in reports, by frequency of report experience</w:t>
            </w:r>
          </w:p>
        </w:tc>
        <w:tc>
          <w:tcPr>
            <w:tcW w:w="2835" w:type="dxa"/>
            <w:gridSpan w:val="2"/>
            <w:shd w:val="clear" w:color="auto" w:fill="8DB3E2" w:themeFill="text2" w:themeFillTint="66"/>
            <w:noWrap/>
            <w:vAlign w:val="center"/>
            <w:hideMark/>
          </w:tcPr>
          <w:p w14:paraId="18F0E251" w14:textId="77777777" w:rsidR="007454E2" w:rsidRPr="00561E44" w:rsidRDefault="007454E2"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lang w:eastAsia="en-AU"/>
              </w:rPr>
            </w:pPr>
            <w:r>
              <w:rPr>
                <w:rFonts w:eastAsia="Times New Roman" w:cs="Times New Roman"/>
                <w:bCs w:val="0"/>
                <w:color w:val="auto"/>
                <w:lang w:eastAsia="en-AU"/>
              </w:rPr>
              <w:t>Total number and % of reports made about children the subject of x reports</w:t>
            </w:r>
          </w:p>
        </w:tc>
      </w:tr>
      <w:tr w:rsidR="003F1D6B" w:rsidRPr="000509CD" w14:paraId="5D4CD735"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03ED9B3"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w:t>
            </w:r>
          </w:p>
        </w:tc>
        <w:tc>
          <w:tcPr>
            <w:tcW w:w="2126" w:type="dxa"/>
            <w:noWrap/>
            <w:hideMark/>
          </w:tcPr>
          <w:p w14:paraId="76326F48"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109,926</w:t>
            </w:r>
          </w:p>
        </w:tc>
        <w:tc>
          <w:tcPr>
            <w:tcW w:w="2268" w:type="dxa"/>
            <w:vAlign w:val="bottom"/>
          </w:tcPr>
          <w:p w14:paraId="07E41366" w14:textId="77777777" w:rsidR="003F1D6B" w:rsidRDefault="003F1D6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55%</w:t>
            </w:r>
          </w:p>
        </w:tc>
        <w:tc>
          <w:tcPr>
            <w:tcW w:w="1929" w:type="dxa"/>
            <w:gridSpan w:val="2"/>
            <w:noWrap/>
            <w:hideMark/>
          </w:tcPr>
          <w:p w14:paraId="53C8D571"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109,926</w:t>
            </w:r>
          </w:p>
        </w:tc>
        <w:tc>
          <w:tcPr>
            <w:tcW w:w="1331" w:type="dxa"/>
            <w:vAlign w:val="bottom"/>
          </w:tcPr>
          <w:p w14:paraId="5AB14264" w14:textId="77777777" w:rsidR="003F1D6B" w:rsidRDefault="003F1D6B" w:rsidP="00CE2FD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24%</w:t>
            </w:r>
          </w:p>
        </w:tc>
      </w:tr>
      <w:tr w:rsidR="003F1D6B" w:rsidRPr="000509CD" w14:paraId="29FB8E9E"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7E90722"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w:t>
            </w:r>
          </w:p>
        </w:tc>
        <w:tc>
          <w:tcPr>
            <w:tcW w:w="2126" w:type="dxa"/>
            <w:noWrap/>
            <w:hideMark/>
          </w:tcPr>
          <w:p w14:paraId="71C39F5B"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37,369</w:t>
            </w:r>
          </w:p>
        </w:tc>
        <w:tc>
          <w:tcPr>
            <w:tcW w:w="2268" w:type="dxa"/>
            <w:vAlign w:val="bottom"/>
          </w:tcPr>
          <w:p w14:paraId="78C5577F" w14:textId="77777777" w:rsidR="003F1D6B" w:rsidRDefault="003F1D6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w:t>
            </w:r>
          </w:p>
        </w:tc>
        <w:tc>
          <w:tcPr>
            <w:tcW w:w="1929" w:type="dxa"/>
            <w:gridSpan w:val="2"/>
            <w:noWrap/>
            <w:hideMark/>
          </w:tcPr>
          <w:p w14:paraId="45BAA3A4"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74,738</w:t>
            </w:r>
          </w:p>
        </w:tc>
        <w:tc>
          <w:tcPr>
            <w:tcW w:w="1331" w:type="dxa"/>
            <w:vAlign w:val="bottom"/>
          </w:tcPr>
          <w:p w14:paraId="242491D6" w14:textId="77777777" w:rsidR="003F1D6B" w:rsidRDefault="003F1D6B" w:rsidP="00CE2FD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w:t>
            </w:r>
          </w:p>
        </w:tc>
      </w:tr>
      <w:tr w:rsidR="003F1D6B" w:rsidRPr="000509CD" w14:paraId="42B6F678"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29B0F01"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3</w:t>
            </w:r>
          </w:p>
        </w:tc>
        <w:tc>
          <w:tcPr>
            <w:tcW w:w="2126" w:type="dxa"/>
            <w:noWrap/>
            <w:hideMark/>
          </w:tcPr>
          <w:p w14:paraId="019B5768"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19,281</w:t>
            </w:r>
          </w:p>
        </w:tc>
        <w:tc>
          <w:tcPr>
            <w:tcW w:w="2268" w:type="dxa"/>
            <w:vAlign w:val="bottom"/>
          </w:tcPr>
          <w:p w14:paraId="3F74F38B" w14:textId="77777777" w:rsidR="003F1D6B" w:rsidRDefault="003F1D6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w:t>
            </w:r>
          </w:p>
        </w:tc>
        <w:tc>
          <w:tcPr>
            <w:tcW w:w="1929" w:type="dxa"/>
            <w:gridSpan w:val="2"/>
            <w:noWrap/>
            <w:hideMark/>
          </w:tcPr>
          <w:p w14:paraId="04AFEF45"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57,843</w:t>
            </w:r>
          </w:p>
        </w:tc>
        <w:tc>
          <w:tcPr>
            <w:tcW w:w="1331" w:type="dxa"/>
            <w:vAlign w:val="bottom"/>
          </w:tcPr>
          <w:p w14:paraId="6C7AEBDA" w14:textId="77777777" w:rsidR="003F1D6B" w:rsidRDefault="003F1D6B" w:rsidP="00CE2FD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13%</w:t>
            </w:r>
          </w:p>
        </w:tc>
      </w:tr>
      <w:tr w:rsidR="003F1D6B" w:rsidRPr="000509CD" w14:paraId="1C20DF12"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001A1F35"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4</w:t>
            </w:r>
          </w:p>
        </w:tc>
        <w:tc>
          <w:tcPr>
            <w:tcW w:w="2126" w:type="dxa"/>
            <w:noWrap/>
            <w:hideMark/>
          </w:tcPr>
          <w:p w14:paraId="052BDDEB"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11,604</w:t>
            </w:r>
          </w:p>
        </w:tc>
        <w:tc>
          <w:tcPr>
            <w:tcW w:w="2268" w:type="dxa"/>
            <w:vAlign w:val="bottom"/>
          </w:tcPr>
          <w:p w14:paraId="7EED338C" w14:textId="77777777" w:rsidR="003F1D6B" w:rsidRDefault="003F1D6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w:t>
            </w:r>
          </w:p>
        </w:tc>
        <w:tc>
          <w:tcPr>
            <w:tcW w:w="1929" w:type="dxa"/>
            <w:gridSpan w:val="2"/>
            <w:noWrap/>
            <w:hideMark/>
          </w:tcPr>
          <w:p w14:paraId="6CDF6C64"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46,416</w:t>
            </w:r>
          </w:p>
        </w:tc>
        <w:tc>
          <w:tcPr>
            <w:tcW w:w="1331" w:type="dxa"/>
            <w:vAlign w:val="bottom"/>
          </w:tcPr>
          <w:p w14:paraId="524E2CFE" w14:textId="77777777" w:rsidR="003F1D6B" w:rsidRDefault="003F1D6B" w:rsidP="00CE2FD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w:t>
            </w:r>
          </w:p>
        </w:tc>
      </w:tr>
      <w:tr w:rsidR="003F1D6B" w:rsidRPr="000509CD" w14:paraId="7A00567D"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41A845D"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5</w:t>
            </w:r>
          </w:p>
        </w:tc>
        <w:tc>
          <w:tcPr>
            <w:tcW w:w="2126" w:type="dxa"/>
            <w:noWrap/>
            <w:hideMark/>
          </w:tcPr>
          <w:p w14:paraId="7854C0EB"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7,434</w:t>
            </w:r>
          </w:p>
        </w:tc>
        <w:tc>
          <w:tcPr>
            <w:tcW w:w="2268" w:type="dxa"/>
            <w:vAlign w:val="bottom"/>
          </w:tcPr>
          <w:p w14:paraId="6679EF1B" w14:textId="77777777" w:rsidR="003F1D6B" w:rsidRDefault="003F1D6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c>
          <w:tcPr>
            <w:tcW w:w="1929" w:type="dxa"/>
            <w:gridSpan w:val="2"/>
            <w:noWrap/>
            <w:hideMark/>
          </w:tcPr>
          <w:p w14:paraId="6ED6C2D6"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37,170</w:t>
            </w:r>
          </w:p>
        </w:tc>
        <w:tc>
          <w:tcPr>
            <w:tcW w:w="1331" w:type="dxa"/>
            <w:vAlign w:val="bottom"/>
          </w:tcPr>
          <w:p w14:paraId="3FFD7863" w14:textId="77777777" w:rsidR="003F1D6B" w:rsidRDefault="003F1D6B" w:rsidP="00CE2FD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w:t>
            </w:r>
          </w:p>
        </w:tc>
      </w:tr>
      <w:tr w:rsidR="003F1D6B" w:rsidRPr="000509CD" w14:paraId="12A888A8"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A02E228"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6</w:t>
            </w:r>
          </w:p>
        </w:tc>
        <w:tc>
          <w:tcPr>
            <w:tcW w:w="2126" w:type="dxa"/>
            <w:noWrap/>
            <w:hideMark/>
          </w:tcPr>
          <w:p w14:paraId="5BAB1656"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4,923</w:t>
            </w:r>
          </w:p>
        </w:tc>
        <w:tc>
          <w:tcPr>
            <w:tcW w:w="2268" w:type="dxa"/>
            <w:vAlign w:val="bottom"/>
          </w:tcPr>
          <w:p w14:paraId="4D84BA2E" w14:textId="77777777" w:rsidR="003F1D6B" w:rsidRDefault="003F1D6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w:t>
            </w:r>
          </w:p>
        </w:tc>
        <w:tc>
          <w:tcPr>
            <w:tcW w:w="1929" w:type="dxa"/>
            <w:gridSpan w:val="2"/>
            <w:noWrap/>
            <w:hideMark/>
          </w:tcPr>
          <w:p w14:paraId="77E767D9"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29,538</w:t>
            </w:r>
          </w:p>
        </w:tc>
        <w:tc>
          <w:tcPr>
            <w:tcW w:w="1331" w:type="dxa"/>
            <w:vAlign w:val="bottom"/>
          </w:tcPr>
          <w:p w14:paraId="0387FAAE" w14:textId="77777777" w:rsidR="003F1D6B" w:rsidRDefault="003F1D6B" w:rsidP="00CE2FD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w:t>
            </w:r>
          </w:p>
        </w:tc>
      </w:tr>
      <w:tr w:rsidR="003F1D6B" w:rsidRPr="000509CD" w14:paraId="2A705062"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68F4548"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7</w:t>
            </w:r>
          </w:p>
        </w:tc>
        <w:tc>
          <w:tcPr>
            <w:tcW w:w="2126" w:type="dxa"/>
            <w:noWrap/>
            <w:hideMark/>
          </w:tcPr>
          <w:p w14:paraId="2161DA76"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3,512</w:t>
            </w:r>
          </w:p>
        </w:tc>
        <w:tc>
          <w:tcPr>
            <w:tcW w:w="2268" w:type="dxa"/>
            <w:vAlign w:val="bottom"/>
          </w:tcPr>
          <w:p w14:paraId="4206ABA5" w14:textId="77777777" w:rsidR="003F1D6B" w:rsidRDefault="003F1D6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w:t>
            </w:r>
          </w:p>
        </w:tc>
        <w:tc>
          <w:tcPr>
            <w:tcW w:w="1929" w:type="dxa"/>
            <w:gridSpan w:val="2"/>
            <w:noWrap/>
            <w:hideMark/>
          </w:tcPr>
          <w:p w14:paraId="14F3BD6C"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24,584</w:t>
            </w:r>
          </w:p>
        </w:tc>
        <w:tc>
          <w:tcPr>
            <w:tcW w:w="1331" w:type="dxa"/>
            <w:vAlign w:val="bottom"/>
          </w:tcPr>
          <w:p w14:paraId="65B6A1F6" w14:textId="77777777" w:rsidR="003F1D6B" w:rsidRDefault="003F1D6B" w:rsidP="00CE2FD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w:t>
            </w:r>
          </w:p>
        </w:tc>
      </w:tr>
      <w:tr w:rsidR="003F1D6B" w:rsidRPr="000509CD" w14:paraId="1D366B80"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1C8764D"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8</w:t>
            </w:r>
          </w:p>
        </w:tc>
        <w:tc>
          <w:tcPr>
            <w:tcW w:w="2126" w:type="dxa"/>
            <w:noWrap/>
            <w:hideMark/>
          </w:tcPr>
          <w:p w14:paraId="726F3260"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2,332</w:t>
            </w:r>
          </w:p>
        </w:tc>
        <w:tc>
          <w:tcPr>
            <w:tcW w:w="2268" w:type="dxa"/>
            <w:vAlign w:val="bottom"/>
          </w:tcPr>
          <w:p w14:paraId="2EEC74E0" w14:textId="77777777" w:rsidR="003F1D6B" w:rsidRDefault="003F1D6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929" w:type="dxa"/>
            <w:gridSpan w:val="2"/>
            <w:noWrap/>
            <w:hideMark/>
          </w:tcPr>
          <w:p w14:paraId="404C93B6"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18,656</w:t>
            </w:r>
          </w:p>
        </w:tc>
        <w:tc>
          <w:tcPr>
            <w:tcW w:w="1331" w:type="dxa"/>
            <w:vAlign w:val="bottom"/>
          </w:tcPr>
          <w:p w14:paraId="54CB7AE4" w14:textId="77777777" w:rsidR="003F1D6B" w:rsidRDefault="003F1D6B" w:rsidP="00CE2FD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r>
      <w:tr w:rsidR="003F1D6B" w:rsidRPr="000509CD" w14:paraId="1FEC19E3"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4BC6CBD7"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9</w:t>
            </w:r>
          </w:p>
        </w:tc>
        <w:tc>
          <w:tcPr>
            <w:tcW w:w="2126" w:type="dxa"/>
            <w:noWrap/>
            <w:hideMark/>
          </w:tcPr>
          <w:p w14:paraId="2486D5BE"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1,633</w:t>
            </w:r>
          </w:p>
        </w:tc>
        <w:tc>
          <w:tcPr>
            <w:tcW w:w="2268" w:type="dxa"/>
            <w:vAlign w:val="bottom"/>
          </w:tcPr>
          <w:p w14:paraId="63C29D4F" w14:textId="77777777" w:rsidR="003F1D6B" w:rsidRDefault="003F1D6B"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1929" w:type="dxa"/>
            <w:gridSpan w:val="2"/>
            <w:noWrap/>
            <w:hideMark/>
          </w:tcPr>
          <w:p w14:paraId="3C19BDE2"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14,697</w:t>
            </w:r>
          </w:p>
        </w:tc>
        <w:tc>
          <w:tcPr>
            <w:tcW w:w="1331" w:type="dxa"/>
            <w:vAlign w:val="bottom"/>
          </w:tcPr>
          <w:p w14:paraId="42966D4E" w14:textId="77777777" w:rsidR="003F1D6B" w:rsidRDefault="003F1D6B" w:rsidP="00CE2FD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w:t>
            </w:r>
          </w:p>
        </w:tc>
      </w:tr>
      <w:tr w:rsidR="003F1D6B" w:rsidRPr="000509CD" w14:paraId="2ACDD45C"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FA9D70E"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10</w:t>
            </w:r>
          </w:p>
        </w:tc>
        <w:tc>
          <w:tcPr>
            <w:tcW w:w="2126" w:type="dxa"/>
            <w:noWrap/>
            <w:hideMark/>
          </w:tcPr>
          <w:p w14:paraId="71AC19C3"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1,145</w:t>
            </w:r>
          </w:p>
        </w:tc>
        <w:tc>
          <w:tcPr>
            <w:tcW w:w="2268" w:type="dxa"/>
            <w:vAlign w:val="bottom"/>
          </w:tcPr>
          <w:p w14:paraId="72653A55" w14:textId="77777777" w:rsidR="003F1D6B" w:rsidRDefault="003F1D6B"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c>
          <w:tcPr>
            <w:tcW w:w="1929" w:type="dxa"/>
            <w:gridSpan w:val="2"/>
            <w:noWrap/>
            <w:hideMark/>
          </w:tcPr>
          <w:p w14:paraId="307BCFAF"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11,450</w:t>
            </w:r>
          </w:p>
        </w:tc>
        <w:tc>
          <w:tcPr>
            <w:tcW w:w="1331" w:type="dxa"/>
            <w:vAlign w:val="bottom"/>
          </w:tcPr>
          <w:p w14:paraId="18DB2958" w14:textId="77777777" w:rsidR="003F1D6B" w:rsidRDefault="003F1D6B" w:rsidP="00CE2FD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w:t>
            </w:r>
          </w:p>
        </w:tc>
      </w:tr>
      <w:tr w:rsidR="003F1D6B" w:rsidRPr="000509CD" w14:paraId="79E59402"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5589A86"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11</w:t>
            </w:r>
          </w:p>
        </w:tc>
        <w:tc>
          <w:tcPr>
            <w:tcW w:w="2126" w:type="dxa"/>
            <w:noWrap/>
            <w:hideMark/>
          </w:tcPr>
          <w:p w14:paraId="232CDD00"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732</w:t>
            </w:r>
          </w:p>
        </w:tc>
        <w:tc>
          <w:tcPr>
            <w:tcW w:w="2268" w:type="dxa"/>
            <w:vAlign w:val="center"/>
          </w:tcPr>
          <w:p w14:paraId="0B270612"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73209570"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8,052</w:t>
            </w:r>
          </w:p>
        </w:tc>
        <w:tc>
          <w:tcPr>
            <w:tcW w:w="1331" w:type="dxa"/>
            <w:vAlign w:val="bottom"/>
          </w:tcPr>
          <w:p w14:paraId="4411CCAB" w14:textId="77777777" w:rsidR="003F1D6B" w:rsidRDefault="003F1D6B" w:rsidP="00CE2FD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w:t>
            </w:r>
          </w:p>
        </w:tc>
      </w:tr>
      <w:tr w:rsidR="003F1D6B" w:rsidRPr="000509CD" w14:paraId="11155976"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76C1366"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12</w:t>
            </w:r>
          </w:p>
        </w:tc>
        <w:tc>
          <w:tcPr>
            <w:tcW w:w="2126" w:type="dxa"/>
            <w:noWrap/>
            <w:hideMark/>
          </w:tcPr>
          <w:p w14:paraId="083127DE"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488</w:t>
            </w:r>
          </w:p>
        </w:tc>
        <w:tc>
          <w:tcPr>
            <w:tcW w:w="2268" w:type="dxa"/>
            <w:vAlign w:val="center"/>
          </w:tcPr>
          <w:p w14:paraId="60D33435"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2186B6D0"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5,856</w:t>
            </w:r>
          </w:p>
        </w:tc>
        <w:tc>
          <w:tcPr>
            <w:tcW w:w="1331" w:type="dxa"/>
            <w:vAlign w:val="bottom"/>
          </w:tcPr>
          <w:p w14:paraId="48201012" w14:textId="77777777" w:rsidR="003F1D6B" w:rsidRDefault="003F1D6B" w:rsidP="00CE2FD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3F1D6B" w:rsidRPr="000509CD" w14:paraId="42CC382D"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B15ABF3"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13</w:t>
            </w:r>
          </w:p>
        </w:tc>
        <w:tc>
          <w:tcPr>
            <w:tcW w:w="2126" w:type="dxa"/>
            <w:noWrap/>
            <w:hideMark/>
          </w:tcPr>
          <w:p w14:paraId="0972904D"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339</w:t>
            </w:r>
          </w:p>
        </w:tc>
        <w:tc>
          <w:tcPr>
            <w:tcW w:w="2268" w:type="dxa"/>
            <w:vAlign w:val="center"/>
          </w:tcPr>
          <w:p w14:paraId="0B1699BD" w14:textId="77777777" w:rsidR="003F1D6B"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7D14B13D" w14:textId="77777777" w:rsidR="003F1D6B" w:rsidRPr="000509CD" w:rsidRDefault="003F1D6B"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4,407</w:t>
            </w:r>
          </w:p>
        </w:tc>
        <w:tc>
          <w:tcPr>
            <w:tcW w:w="1331" w:type="dxa"/>
            <w:vAlign w:val="bottom"/>
          </w:tcPr>
          <w:p w14:paraId="1DE0593D" w14:textId="77777777" w:rsidR="003F1D6B" w:rsidRDefault="003F1D6B" w:rsidP="00CE2FDF">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r>
      <w:tr w:rsidR="003F1D6B" w:rsidRPr="000509CD" w14:paraId="35326BF3"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2F93E6F9" w14:textId="77777777" w:rsidR="003F1D6B" w:rsidRPr="000509CD" w:rsidRDefault="003F1D6B"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14</w:t>
            </w:r>
          </w:p>
        </w:tc>
        <w:tc>
          <w:tcPr>
            <w:tcW w:w="2126" w:type="dxa"/>
            <w:noWrap/>
            <w:hideMark/>
          </w:tcPr>
          <w:p w14:paraId="5810A304"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215</w:t>
            </w:r>
          </w:p>
        </w:tc>
        <w:tc>
          <w:tcPr>
            <w:tcW w:w="2268" w:type="dxa"/>
            <w:vAlign w:val="center"/>
          </w:tcPr>
          <w:p w14:paraId="114AB203" w14:textId="77777777" w:rsidR="003F1D6B"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799BE398" w14:textId="77777777" w:rsidR="003F1D6B" w:rsidRPr="000509CD" w:rsidRDefault="003F1D6B"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3,010</w:t>
            </w:r>
          </w:p>
        </w:tc>
        <w:tc>
          <w:tcPr>
            <w:tcW w:w="1331" w:type="dxa"/>
            <w:vAlign w:val="bottom"/>
          </w:tcPr>
          <w:p w14:paraId="6C773B7F" w14:textId="77777777" w:rsidR="003F1D6B" w:rsidRDefault="003F1D6B" w:rsidP="00CE2FDF">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p>
        </w:tc>
      </w:tr>
      <w:tr w:rsidR="00876EFC" w:rsidRPr="000509CD" w14:paraId="66FE8B2B"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A642A02"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15</w:t>
            </w:r>
          </w:p>
        </w:tc>
        <w:tc>
          <w:tcPr>
            <w:tcW w:w="2126" w:type="dxa"/>
            <w:noWrap/>
            <w:hideMark/>
          </w:tcPr>
          <w:p w14:paraId="1FAC7BAD"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148</w:t>
            </w:r>
          </w:p>
        </w:tc>
        <w:tc>
          <w:tcPr>
            <w:tcW w:w="2268" w:type="dxa"/>
            <w:vAlign w:val="center"/>
          </w:tcPr>
          <w:p w14:paraId="3711535F" w14:textId="77777777" w:rsidR="00876EFC"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2EB82DD8"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2,220</w:t>
            </w:r>
          </w:p>
        </w:tc>
        <w:tc>
          <w:tcPr>
            <w:tcW w:w="1331" w:type="dxa"/>
            <w:vAlign w:val="center"/>
          </w:tcPr>
          <w:p w14:paraId="6AC37223" w14:textId="77777777" w:rsidR="00876EFC" w:rsidRDefault="00876EFC"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4ADF39B1"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4E2DE462"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16</w:t>
            </w:r>
          </w:p>
        </w:tc>
        <w:tc>
          <w:tcPr>
            <w:tcW w:w="2126" w:type="dxa"/>
            <w:noWrap/>
            <w:hideMark/>
          </w:tcPr>
          <w:p w14:paraId="519F75CB"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94</w:t>
            </w:r>
          </w:p>
        </w:tc>
        <w:tc>
          <w:tcPr>
            <w:tcW w:w="2268" w:type="dxa"/>
            <w:vAlign w:val="center"/>
          </w:tcPr>
          <w:p w14:paraId="6D76BFB0" w14:textId="77777777" w:rsidR="00876EFC"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7FA4C60F"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1,504</w:t>
            </w:r>
          </w:p>
        </w:tc>
        <w:tc>
          <w:tcPr>
            <w:tcW w:w="1331" w:type="dxa"/>
            <w:vAlign w:val="center"/>
          </w:tcPr>
          <w:p w14:paraId="6F4F28DB" w14:textId="77777777" w:rsidR="00876EFC" w:rsidRDefault="00876EFC" w:rsidP="00CE2FDF">
            <w:pPr>
              <w:tabs>
                <w:tab w:val="left" w:pos="1134"/>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71744788"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0B516EF"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17</w:t>
            </w:r>
          </w:p>
        </w:tc>
        <w:tc>
          <w:tcPr>
            <w:tcW w:w="2126" w:type="dxa"/>
            <w:noWrap/>
            <w:hideMark/>
          </w:tcPr>
          <w:p w14:paraId="6E3DD4A5"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70</w:t>
            </w:r>
          </w:p>
        </w:tc>
        <w:tc>
          <w:tcPr>
            <w:tcW w:w="2268" w:type="dxa"/>
            <w:vAlign w:val="center"/>
          </w:tcPr>
          <w:p w14:paraId="5513A7AA" w14:textId="77777777" w:rsidR="00876EFC"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6E1409FC"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1,190</w:t>
            </w:r>
          </w:p>
        </w:tc>
        <w:tc>
          <w:tcPr>
            <w:tcW w:w="1331" w:type="dxa"/>
            <w:vAlign w:val="center"/>
          </w:tcPr>
          <w:p w14:paraId="11CFF199" w14:textId="77777777" w:rsidR="00876EFC" w:rsidRDefault="00876EFC"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0C339AF8"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4E91B27"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18</w:t>
            </w:r>
          </w:p>
        </w:tc>
        <w:tc>
          <w:tcPr>
            <w:tcW w:w="2126" w:type="dxa"/>
            <w:noWrap/>
            <w:hideMark/>
          </w:tcPr>
          <w:p w14:paraId="4DC36CA0"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61</w:t>
            </w:r>
          </w:p>
        </w:tc>
        <w:tc>
          <w:tcPr>
            <w:tcW w:w="2268" w:type="dxa"/>
            <w:vAlign w:val="center"/>
          </w:tcPr>
          <w:p w14:paraId="5D2B1E93" w14:textId="77777777" w:rsidR="00876EFC"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5A40CF2F"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1,098</w:t>
            </w:r>
          </w:p>
        </w:tc>
        <w:tc>
          <w:tcPr>
            <w:tcW w:w="1331" w:type="dxa"/>
            <w:vAlign w:val="center"/>
          </w:tcPr>
          <w:p w14:paraId="0359197E" w14:textId="77777777" w:rsidR="00876EFC" w:rsidRDefault="00876EFC" w:rsidP="00CE2FDF">
            <w:pPr>
              <w:tabs>
                <w:tab w:val="left" w:pos="1134"/>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35E98923"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2CCC54E"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19</w:t>
            </w:r>
          </w:p>
        </w:tc>
        <w:tc>
          <w:tcPr>
            <w:tcW w:w="2126" w:type="dxa"/>
            <w:noWrap/>
            <w:hideMark/>
          </w:tcPr>
          <w:p w14:paraId="74BA176D"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34</w:t>
            </w:r>
          </w:p>
        </w:tc>
        <w:tc>
          <w:tcPr>
            <w:tcW w:w="2268" w:type="dxa"/>
            <w:vAlign w:val="center"/>
          </w:tcPr>
          <w:p w14:paraId="2221A57D" w14:textId="77777777" w:rsidR="00876EFC"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7FD66DAB"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646</w:t>
            </w:r>
          </w:p>
        </w:tc>
        <w:tc>
          <w:tcPr>
            <w:tcW w:w="1331" w:type="dxa"/>
            <w:vAlign w:val="center"/>
          </w:tcPr>
          <w:p w14:paraId="603A4157" w14:textId="77777777" w:rsidR="00876EFC" w:rsidRDefault="00876EFC"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009E454D"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5B3ED815"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20</w:t>
            </w:r>
          </w:p>
        </w:tc>
        <w:tc>
          <w:tcPr>
            <w:tcW w:w="2126" w:type="dxa"/>
            <w:noWrap/>
            <w:hideMark/>
          </w:tcPr>
          <w:p w14:paraId="14F48BB4"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11</w:t>
            </w:r>
          </w:p>
        </w:tc>
        <w:tc>
          <w:tcPr>
            <w:tcW w:w="2268" w:type="dxa"/>
            <w:vAlign w:val="center"/>
          </w:tcPr>
          <w:p w14:paraId="04A0255A" w14:textId="77777777" w:rsidR="00876EFC"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0EC5A093"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220</w:t>
            </w:r>
          </w:p>
        </w:tc>
        <w:tc>
          <w:tcPr>
            <w:tcW w:w="1331" w:type="dxa"/>
            <w:vAlign w:val="center"/>
          </w:tcPr>
          <w:p w14:paraId="4EADE7B1" w14:textId="77777777" w:rsidR="00876EFC" w:rsidRDefault="00876EFC" w:rsidP="00CE2FDF">
            <w:pPr>
              <w:tabs>
                <w:tab w:val="left" w:pos="1134"/>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0A5301BE"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52D53FD6"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21</w:t>
            </w:r>
          </w:p>
        </w:tc>
        <w:tc>
          <w:tcPr>
            <w:tcW w:w="2126" w:type="dxa"/>
            <w:noWrap/>
            <w:hideMark/>
          </w:tcPr>
          <w:p w14:paraId="59FEDCAB"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5</w:t>
            </w:r>
          </w:p>
        </w:tc>
        <w:tc>
          <w:tcPr>
            <w:tcW w:w="2268" w:type="dxa"/>
            <w:vAlign w:val="center"/>
          </w:tcPr>
          <w:p w14:paraId="21646EF4" w14:textId="77777777" w:rsidR="00876EFC"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25015086"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105</w:t>
            </w:r>
          </w:p>
        </w:tc>
        <w:tc>
          <w:tcPr>
            <w:tcW w:w="1331" w:type="dxa"/>
            <w:vAlign w:val="center"/>
          </w:tcPr>
          <w:p w14:paraId="3E7ADBE7" w14:textId="77777777" w:rsidR="00876EFC" w:rsidRDefault="00876EFC"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07C806D9"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2D767AD1"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22</w:t>
            </w:r>
          </w:p>
        </w:tc>
        <w:tc>
          <w:tcPr>
            <w:tcW w:w="2126" w:type="dxa"/>
            <w:noWrap/>
            <w:hideMark/>
          </w:tcPr>
          <w:p w14:paraId="35525E85"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12</w:t>
            </w:r>
          </w:p>
        </w:tc>
        <w:tc>
          <w:tcPr>
            <w:tcW w:w="2268" w:type="dxa"/>
            <w:vAlign w:val="center"/>
          </w:tcPr>
          <w:p w14:paraId="3400EFCE" w14:textId="77777777" w:rsidR="00876EFC"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22FC835C"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264</w:t>
            </w:r>
          </w:p>
        </w:tc>
        <w:tc>
          <w:tcPr>
            <w:tcW w:w="1331" w:type="dxa"/>
            <w:vAlign w:val="center"/>
          </w:tcPr>
          <w:p w14:paraId="4C482BE0" w14:textId="77777777" w:rsidR="00876EFC" w:rsidRDefault="00876EFC" w:rsidP="00CE2FDF">
            <w:pPr>
              <w:tabs>
                <w:tab w:val="left" w:pos="1134"/>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64DC5A8E"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FBB5779"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23</w:t>
            </w:r>
          </w:p>
        </w:tc>
        <w:tc>
          <w:tcPr>
            <w:tcW w:w="2126" w:type="dxa"/>
            <w:noWrap/>
            <w:hideMark/>
          </w:tcPr>
          <w:p w14:paraId="71178FFA"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5</w:t>
            </w:r>
          </w:p>
        </w:tc>
        <w:tc>
          <w:tcPr>
            <w:tcW w:w="2268" w:type="dxa"/>
            <w:vAlign w:val="center"/>
          </w:tcPr>
          <w:p w14:paraId="2FFB4D8D" w14:textId="77777777" w:rsidR="00876EFC"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56DAEB12"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115</w:t>
            </w:r>
          </w:p>
        </w:tc>
        <w:tc>
          <w:tcPr>
            <w:tcW w:w="1331" w:type="dxa"/>
            <w:vAlign w:val="center"/>
          </w:tcPr>
          <w:p w14:paraId="2778EB01" w14:textId="77777777" w:rsidR="00876EFC" w:rsidRDefault="00876EFC"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2CFC5AF4"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48AE794"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24</w:t>
            </w:r>
          </w:p>
        </w:tc>
        <w:tc>
          <w:tcPr>
            <w:tcW w:w="2126" w:type="dxa"/>
            <w:noWrap/>
            <w:hideMark/>
          </w:tcPr>
          <w:p w14:paraId="0FE30B7C"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w:t>
            </w:r>
          </w:p>
        </w:tc>
        <w:tc>
          <w:tcPr>
            <w:tcW w:w="2268" w:type="dxa"/>
            <w:vAlign w:val="center"/>
          </w:tcPr>
          <w:p w14:paraId="143C4B1F" w14:textId="77777777" w:rsidR="00876EFC"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681AAB24"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48</w:t>
            </w:r>
          </w:p>
        </w:tc>
        <w:tc>
          <w:tcPr>
            <w:tcW w:w="1331" w:type="dxa"/>
            <w:vAlign w:val="center"/>
          </w:tcPr>
          <w:p w14:paraId="62247DD6" w14:textId="77777777" w:rsidR="00876EFC" w:rsidRDefault="00876EFC" w:rsidP="00CE2FDF">
            <w:pPr>
              <w:tabs>
                <w:tab w:val="left" w:pos="1134"/>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207D27ED"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839FECE"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25</w:t>
            </w:r>
          </w:p>
        </w:tc>
        <w:tc>
          <w:tcPr>
            <w:tcW w:w="2126" w:type="dxa"/>
            <w:noWrap/>
            <w:hideMark/>
          </w:tcPr>
          <w:p w14:paraId="13F11F92"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9</w:t>
            </w:r>
          </w:p>
        </w:tc>
        <w:tc>
          <w:tcPr>
            <w:tcW w:w="2268" w:type="dxa"/>
            <w:vAlign w:val="center"/>
          </w:tcPr>
          <w:p w14:paraId="2454EBBF" w14:textId="77777777" w:rsidR="00876EFC"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68E4D1B4"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225</w:t>
            </w:r>
          </w:p>
        </w:tc>
        <w:tc>
          <w:tcPr>
            <w:tcW w:w="1331" w:type="dxa"/>
            <w:vAlign w:val="center"/>
          </w:tcPr>
          <w:p w14:paraId="2D4DE5FF" w14:textId="77777777" w:rsidR="00876EFC" w:rsidRDefault="00876EFC"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66FF987D"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C718317"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26</w:t>
            </w:r>
          </w:p>
        </w:tc>
        <w:tc>
          <w:tcPr>
            <w:tcW w:w="2126" w:type="dxa"/>
            <w:noWrap/>
            <w:hideMark/>
          </w:tcPr>
          <w:p w14:paraId="29BEFAF3"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w:t>
            </w:r>
          </w:p>
        </w:tc>
        <w:tc>
          <w:tcPr>
            <w:tcW w:w="2268" w:type="dxa"/>
            <w:vAlign w:val="center"/>
          </w:tcPr>
          <w:p w14:paraId="1EADFDD8" w14:textId="77777777" w:rsidR="00876EFC"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13EFF87A"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26</w:t>
            </w:r>
          </w:p>
        </w:tc>
        <w:tc>
          <w:tcPr>
            <w:tcW w:w="1331" w:type="dxa"/>
            <w:vAlign w:val="center"/>
          </w:tcPr>
          <w:p w14:paraId="781C0BDA" w14:textId="77777777" w:rsidR="00876EFC" w:rsidRDefault="00876EFC" w:rsidP="00CE2FDF">
            <w:pPr>
              <w:tabs>
                <w:tab w:val="left" w:pos="1134"/>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6274C7C5"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689DBA2"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27</w:t>
            </w:r>
          </w:p>
        </w:tc>
        <w:tc>
          <w:tcPr>
            <w:tcW w:w="2126" w:type="dxa"/>
            <w:noWrap/>
            <w:hideMark/>
          </w:tcPr>
          <w:p w14:paraId="21BBC918"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w:t>
            </w:r>
          </w:p>
        </w:tc>
        <w:tc>
          <w:tcPr>
            <w:tcW w:w="2268" w:type="dxa"/>
            <w:vAlign w:val="center"/>
          </w:tcPr>
          <w:p w14:paraId="3C1E5F48" w14:textId="77777777" w:rsidR="00876EFC"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743A2485"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27</w:t>
            </w:r>
          </w:p>
        </w:tc>
        <w:tc>
          <w:tcPr>
            <w:tcW w:w="1331" w:type="dxa"/>
            <w:vAlign w:val="center"/>
          </w:tcPr>
          <w:p w14:paraId="7597FA93" w14:textId="77777777" w:rsidR="00876EFC" w:rsidRDefault="00876EFC"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26ACD688"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520BFD6"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29</w:t>
            </w:r>
          </w:p>
        </w:tc>
        <w:tc>
          <w:tcPr>
            <w:tcW w:w="2126" w:type="dxa"/>
            <w:noWrap/>
            <w:hideMark/>
          </w:tcPr>
          <w:p w14:paraId="446C4477"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1</w:t>
            </w:r>
          </w:p>
        </w:tc>
        <w:tc>
          <w:tcPr>
            <w:tcW w:w="2268" w:type="dxa"/>
            <w:vAlign w:val="center"/>
          </w:tcPr>
          <w:p w14:paraId="088B6D43" w14:textId="77777777" w:rsidR="00876EFC"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67EB699F" w14:textId="77777777" w:rsidR="00876EFC" w:rsidRPr="000509CD"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29</w:t>
            </w:r>
          </w:p>
        </w:tc>
        <w:tc>
          <w:tcPr>
            <w:tcW w:w="1331" w:type="dxa"/>
            <w:vAlign w:val="center"/>
          </w:tcPr>
          <w:p w14:paraId="4D3FE123" w14:textId="77777777" w:rsidR="00876EFC" w:rsidRDefault="00876EFC" w:rsidP="00CE2FDF">
            <w:pPr>
              <w:tabs>
                <w:tab w:val="left" w:pos="1134"/>
              </w:tabs>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AU"/>
              </w:rPr>
            </w:pPr>
          </w:p>
        </w:tc>
      </w:tr>
      <w:tr w:rsidR="00876EFC" w:rsidRPr="000509CD" w14:paraId="3E805D4A" w14:textId="77777777" w:rsidTr="007454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4FAED893" w14:textId="77777777" w:rsidR="00876EFC" w:rsidRPr="000509CD" w:rsidRDefault="00876EFC" w:rsidP="00CE2FDF">
            <w:pPr>
              <w:tabs>
                <w:tab w:val="left" w:pos="1134"/>
              </w:tabs>
              <w:spacing w:before="0" w:line="276" w:lineRule="auto"/>
              <w:jc w:val="right"/>
              <w:rPr>
                <w:rFonts w:ascii="Calibri" w:eastAsia="Times New Roman" w:hAnsi="Calibri" w:cs="Times New Roman"/>
                <w:color w:val="000000"/>
                <w:lang w:eastAsia="en-AU"/>
              </w:rPr>
            </w:pPr>
            <w:r w:rsidRPr="000509CD">
              <w:rPr>
                <w:rFonts w:ascii="Calibri" w:eastAsia="Times New Roman" w:hAnsi="Calibri" w:cs="Times New Roman"/>
                <w:color w:val="000000"/>
                <w:lang w:eastAsia="en-AU"/>
              </w:rPr>
              <w:t>30</w:t>
            </w:r>
          </w:p>
        </w:tc>
        <w:tc>
          <w:tcPr>
            <w:tcW w:w="2126" w:type="dxa"/>
            <w:noWrap/>
            <w:hideMark/>
          </w:tcPr>
          <w:p w14:paraId="01B76FF3"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2</w:t>
            </w:r>
          </w:p>
        </w:tc>
        <w:tc>
          <w:tcPr>
            <w:tcW w:w="2268" w:type="dxa"/>
            <w:vAlign w:val="center"/>
          </w:tcPr>
          <w:p w14:paraId="754E6A02" w14:textId="77777777" w:rsidR="00876EFC"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c>
          <w:tcPr>
            <w:tcW w:w="1929" w:type="dxa"/>
            <w:gridSpan w:val="2"/>
            <w:noWrap/>
            <w:hideMark/>
          </w:tcPr>
          <w:p w14:paraId="5C45B96D" w14:textId="77777777" w:rsidR="00876EFC" w:rsidRPr="000509CD" w:rsidRDefault="00876EFC"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r>
              <w:rPr>
                <w:rFonts w:ascii="Calibri" w:eastAsia="Times New Roman" w:hAnsi="Calibri" w:cs="Times New Roman"/>
                <w:color w:val="000000"/>
                <w:lang w:eastAsia="en-AU"/>
              </w:rPr>
              <w:t>60</w:t>
            </w:r>
          </w:p>
        </w:tc>
        <w:tc>
          <w:tcPr>
            <w:tcW w:w="1331" w:type="dxa"/>
            <w:vAlign w:val="center"/>
          </w:tcPr>
          <w:p w14:paraId="79E76E53" w14:textId="77777777" w:rsidR="00876EFC" w:rsidRDefault="00876EFC" w:rsidP="00CE2FDF">
            <w:pPr>
              <w:tabs>
                <w:tab w:val="left" w:pos="1134"/>
              </w:tabs>
              <w:spacing w:before="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AU"/>
              </w:rPr>
            </w:pPr>
          </w:p>
        </w:tc>
      </w:tr>
      <w:tr w:rsidR="00876EFC" w:rsidRPr="007454E2" w14:paraId="2ECBAA42" w14:textId="77777777" w:rsidTr="007454E2">
        <w:trPr>
          <w:trHeight w:val="300"/>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D87B287" w14:textId="77777777" w:rsidR="00876EFC" w:rsidRPr="007454E2" w:rsidRDefault="007454E2" w:rsidP="00CE2FDF">
            <w:pPr>
              <w:tabs>
                <w:tab w:val="left" w:pos="1134"/>
              </w:tabs>
              <w:spacing w:before="0" w:line="276" w:lineRule="auto"/>
              <w:jc w:val="right"/>
              <w:rPr>
                <w:rFonts w:ascii="Calibri" w:eastAsia="Times New Roman" w:hAnsi="Calibri" w:cs="Times New Roman"/>
                <w:color w:val="000000"/>
                <w:lang w:eastAsia="en-AU"/>
              </w:rPr>
            </w:pPr>
            <w:r w:rsidRPr="007454E2">
              <w:rPr>
                <w:rFonts w:ascii="Calibri" w:eastAsia="Times New Roman" w:hAnsi="Calibri" w:cs="Times New Roman"/>
                <w:color w:val="000000"/>
                <w:lang w:eastAsia="en-AU"/>
              </w:rPr>
              <w:t>Total number of children:</w:t>
            </w:r>
          </w:p>
        </w:tc>
        <w:tc>
          <w:tcPr>
            <w:tcW w:w="2126" w:type="dxa"/>
            <w:noWrap/>
            <w:vAlign w:val="center"/>
            <w:hideMark/>
          </w:tcPr>
          <w:p w14:paraId="39D8CC4B" w14:textId="77777777" w:rsidR="00876EFC" w:rsidRPr="007454E2"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n-AU"/>
              </w:rPr>
            </w:pPr>
            <w:r w:rsidRPr="007454E2">
              <w:rPr>
                <w:rFonts w:ascii="Calibri" w:eastAsia="Times New Roman" w:hAnsi="Calibri" w:cs="Times New Roman"/>
                <w:b/>
                <w:color w:val="000000"/>
                <w:lang w:eastAsia="en-AU"/>
              </w:rPr>
              <w:t>201,389</w:t>
            </w:r>
          </w:p>
        </w:tc>
        <w:tc>
          <w:tcPr>
            <w:tcW w:w="2268" w:type="dxa"/>
            <w:vAlign w:val="center"/>
          </w:tcPr>
          <w:p w14:paraId="4D223EA0" w14:textId="77777777" w:rsidR="00876EFC" w:rsidRPr="007454E2" w:rsidRDefault="007454E2"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n-AU"/>
              </w:rPr>
            </w:pPr>
            <w:r w:rsidRPr="007454E2">
              <w:rPr>
                <w:rFonts w:ascii="Calibri" w:eastAsia="Times New Roman" w:hAnsi="Calibri" w:cs="Times New Roman"/>
                <w:b/>
                <w:color w:val="000000"/>
                <w:lang w:eastAsia="en-AU"/>
              </w:rPr>
              <w:t>Total number of reports</w:t>
            </w:r>
          </w:p>
        </w:tc>
        <w:tc>
          <w:tcPr>
            <w:tcW w:w="1929" w:type="dxa"/>
            <w:gridSpan w:val="2"/>
            <w:noWrap/>
            <w:vAlign w:val="center"/>
            <w:hideMark/>
          </w:tcPr>
          <w:p w14:paraId="35C950C0" w14:textId="77777777" w:rsidR="00876EFC" w:rsidRPr="007454E2"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n-AU"/>
              </w:rPr>
            </w:pPr>
            <w:r w:rsidRPr="007454E2">
              <w:rPr>
                <w:rFonts w:ascii="Calibri" w:eastAsia="Times New Roman" w:hAnsi="Calibri" w:cs="Times New Roman"/>
                <w:b/>
                <w:color w:val="000000"/>
                <w:lang w:eastAsia="en-AU"/>
              </w:rPr>
              <w:t>454,120</w:t>
            </w:r>
          </w:p>
        </w:tc>
        <w:tc>
          <w:tcPr>
            <w:tcW w:w="1331" w:type="dxa"/>
            <w:vAlign w:val="center"/>
          </w:tcPr>
          <w:p w14:paraId="072B9A50" w14:textId="77777777" w:rsidR="00876EFC" w:rsidRPr="007454E2" w:rsidRDefault="00876EFC"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n-AU"/>
              </w:rPr>
            </w:pPr>
          </w:p>
        </w:tc>
      </w:tr>
    </w:tbl>
    <w:p w14:paraId="564F6C7C" w14:textId="77777777" w:rsidR="00876EFC" w:rsidRDefault="00876EFC" w:rsidP="00B15586"/>
    <w:p w14:paraId="4001A7F7" w14:textId="77777777" w:rsidR="00F2448E" w:rsidRDefault="00F2448E" w:rsidP="00B15586"/>
    <w:p w14:paraId="1A957D2F" w14:textId="77777777" w:rsidR="001073A3" w:rsidRDefault="001073A3" w:rsidP="00B15586">
      <w:pPr>
        <w:spacing w:after="200" w:line="276" w:lineRule="auto"/>
        <w:rPr>
          <w:rFonts w:ascii="Calibri" w:eastAsiaTheme="majorEastAsia" w:hAnsi="Calibri" w:cstheme="majorBidi"/>
          <w:b/>
          <w:bCs/>
          <w:color w:val="17365D" w:themeColor="text2" w:themeShade="BF"/>
          <w:spacing w:val="5"/>
          <w:kern w:val="28"/>
          <w:sz w:val="36"/>
          <w:szCs w:val="26"/>
        </w:rPr>
      </w:pPr>
      <w:r>
        <w:br w:type="page"/>
      </w:r>
    </w:p>
    <w:p w14:paraId="73F02E5E" w14:textId="77777777" w:rsidR="00B17919" w:rsidRDefault="00B17919" w:rsidP="0095311F">
      <w:pPr>
        <w:pStyle w:val="Figureheading"/>
      </w:pPr>
      <w:r>
        <w:lastRenderedPageBreak/>
        <w:t>3.2</w:t>
      </w:r>
      <w:r>
        <w:tab/>
        <w:t>Total number of children and total number of reports, over the decade</w:t>
      </w:r>
    </w:p>
    <w:tbl>
      <w:tblPr>
        <w:tblW w:w="9322" w:type="dxa"/>
        <w:tblLook w:val="04A0" w:firstRow="1" w:lastRow="0" w:firstColumn="1" w:lastColumn="0" w:noHBand="0" w:noVBand="1"/>
      </w:tblPr>
      <w:tblGrid>
        <w:gridCol w:w="4219"/>
        <w:gridCol w:w="5103"/>
      </w:tblGrid>
      <w:tr w:rsidR="00B17919" w:rsidRPr="008E6B95" w14:paraId="1A1E8BAE" w14:textId="77777777" w:rsidTr="00B349CA">
        <w:trPr>
          <w:trHeight w:val="436"/>
        </w:trPr>
        <w:tc>
          <w:tcPr>
            <w:tcW w:w="4219" w:type="dxa"/>
            <w:tcBorders>
              <w:top w:val="single" w:sz="4" w:space="0" w:color="auto"/>
              <w:left w:val="single" w:sz="4" w:space="0" w:color="auto"/>
            </w:tcBorders>
            <w:shd w:val="clear" w:color="auto" w:fill="B8CCE4" w:themeFill="accent1" w:themeFillTint="66"/>
            <w:noWrap/>
            <w:vAlign w:val="center"/>
            <w:hideMark/>
          </w:tcPr>
          <w:p w14:paraId="602FB220" w14:textId="77777777" w:rsidR="00B17919" w:rsidRPr="008E6B95" w:rsidRDefault="00B17919" w:rsidP="00CE2FDF">
            <w:pPr>
              <w:keepNext/>
              <w:tabs>
                <w:tab w:val="left" w:pos="1134"/>
              </w:tabs>
              <w:spacing w:before="0" w:line="276" w:lineRule="auto"/>
              <w:rPr>
                <w:rFonts w:eastAsia="Times New Roman" w:cs="Arial"/>
                <w:lang w:eastAsia="en-AU"/>
              </w:rPr>
            </w:pPr>
            <w:r w:rsidRPr="008E6B95">
              <w:rPr>
                <w:rFonts w:eastAsia="Times New Roman" w:cs="Arial"/>
                <w:lang w:eastAsia="en-AU"/>
              </w:rPr>
              <w:t>Total number of reports</w:t>
            </w:r>
          </w:p>
        </w:tc>
        <w:tc>
          <w:tcPr>
            <w:tcW w:w="5103" w:type="dxa"/>
            <w:tcBorders>
              <w:top w:val="single" w:sz="4" w:space="0" w:color="auto"/>
              <w:right w:val="single" w:sz="4" w:space="0" w:color="auto"/>
            </w:tcBorders>
            <w:shd w:val="clear" w:color="auto" w:fill="B8CCE4" w:themeFill="accent1" w:themeFillTint="66"/>
            <w:noWrap/>
            <w:vAlign w:val="center"/>
          </w:tcPr>
          <w:p w14:paraId="20D157B5" w14:textId="77777777" w:rsidR="00B17919" w:rsidRPr="008E6B95" w:rsidRDefault="00B17919" w:rsidP="00CE2FDF">
            <w:pPr>
              <w:spacing w:before="0" w:line="276" w:lineRule="auto"/>
              <w:jc w:val="right"/>
              <w:rPr>
                <w:rFonts w:cs="Arial"/>
              </w:rPr>
            </w:pPr>
            <w:r>
              <w:rPr>
                <w:rFonts w:cs="Arial"/>
              </w:rPr>
              <w:t>454,120</w:t>
            </w:r>
          </w:p>
        </w:tc>
      </w:tr>
      <w:tr w:rsidR="00B17919" w:rsidRPr="008E6B95" w14:paraId="4DAB9A70" w14:textId="77777777" w:rsidTr="00B349CA">
        <w:trPr>
          <w:trHeight w:val="553"/>
        </w:trPr>
        <w:tc>
          <w:tcPr>
            <w:tcW w:w="4219" w:type="dxa"/>
            <w:tcBorders>
              <w:left w:val="single" w:sz="4" w:space="0" w:color="auto"/>
            </w:tcBorders>
            <w:shd w:val="clear" w:color="auto" w:fill="auto"/>
            <w:vAlign w:val="center"/>
            <w:hideMark/>
          </w:tcPr>
          <w:p w14:paraId="20E14C48" w14:textId="77777777" w:rsidR="00B17919" w:rsidRPr="008E6B95" w:rsidRDefault="00B17919" w:rsidP="00CE2FDF">
            <w:pPr>
              <w:keepNext/>
              <w:tabs>
                <w:tab w:val="left" w:pos="1134"/>
              </w:tabs>
              <w:spacing w:before="0" w:line="276" w:lineRule="auto"/>
              <w:rPr>
                <w:rFonts w:eastAsia="Times New Roman" w:cs="Arial"/>
                <w:lang w:eastAsia="en-AU"/>
              </w:rPr>
            </w:pPr>
            <w:r w:rsidRPr="008E6B95">
              <w:rPr>
                <w:rFonts w:eastAsia="Times New Roman" w:cs="Arial"/>
                <w:lang w:eastAsia="en-AU"/>
              </w:rPr>
              <w:t>Total number of multiple reports</w:t>
            </w:r>
          </w:p>
        </w:tc>
        <w:tc>
          <w:tcPr>
            <w:tcW w:w="5103" w:type="dxa"/>
            <w:tcBorders>
              <w:right w:val="single" w:sz="4" w:space="0" w:color="auto"/>
            </w:tcBorders>
            <w:shd w:val="clear" w:color="auto" w:fill="auto"/>
            <w:vAlign w:val="center"/>
          </w:tcPr>
          <w:p w14:paraId="7E38373A" w14:textId="77777777" w:rsidR="00B17919" w:rsidRPr="008E6B95" w:rsidRDefault="00B17919" w:rsidP="00CE2FDF">
            <w:pPr>
              <w:keepNext/>
              <w:tabs>
                <w:tab w:val="left" w:pos="1134"/>
              </w:tabs>
              <w:spacing w:before="0" w:line="276" w:lineRule="auto"/>
              <w:jc w:val="right"/>
              <w:rPr>
                <w:rFonts w:eastAsia="Times New Roman" w:cs="Arial"/>
                <w:lang w:eastAsia="en-AU"/>
              </w:rPr>
            </w:pPr>
            <w:r>
              <w:rPr>
                <w:rFonts w:eastAsia="Times New Roman" w:cs="Arial"/>
                <w:lang w:eastAsia="en-AU"/>
              </w:rPr>
              <w:t>252,731</w:t>
            </w:r>
          </w:p>
        </w:tc>
      </w:tr>
      <w:tr w:rsidR="00B17919" w:rsidRPr="008E6B95" w14:paraId="1C24229A" w14:textId="77777777" w:rsidTr="00B349CA">
        <w:trPr>
          <w:trHeight w:val="419"/>
        </w:trPr>
        <w:tc>
          <w:tcPr>
            <w:tcW w:w="4219" w:type="dxa"/>
            <w:tcBorders>
              <w:left w:val="single" w:sz="4" w:space="0" w:color="auto"/>
              <w:bottom w:val="single" w:sz="4" w:space="0" w:color="auto"/>
            </w:tcBorders>
            <w:shd w:val="clear" w:color="auto" w:fill="B8CCE4" w:themeFill="accent1" w:themeFillTint="66"/>
            <w:vAlign w:val="center"/>
            <w:hideMark/>
          </w:tcPr>
          <w:p w14:paraId="4B50A9F5" w14:textId="77777777" w:rsidR="00B17919" w:rsidRPr="008E6B95" w:rsidRDefault="00B17919" w:rsidP="00CE2FDF">
            <w:pPr>
              <w:tabs>
                <w:tab w:val="left" w:pos="1134"/>
              </w:tabs>
              <w:spacing w:before="0" w:line="276" w:lineRule="auto"/>
              <w:rPr>
                <w:rFonts w:eastAsia="Times New Roman" w:cs="Arial"/>
                <w:lang w:eastAsia="en-AU"/>
              </w:rPr>
            </w:pPr>
            <w:r w:rsidRPr="008E6B95">
              <w:rPr>
                <w:rFonts w:eastAsia="Times New Roman" w:cs="Arial"/>
                <w:lang w:eastAsia="en-AU"/>
              </w:rPr>
              <w:t>Total number of children subject to a report</w:t>
            </w:r>
          </w:p>
        </w:tc>
        <w:tc>
          <w:tcPr>
            <w:tcW w:w="5103" w:type="dxa"/>
            <w:tcBorders>
              <w:bottom w:val="single" w:sz="4" w:space="0" w:color="auto"/>
              <w:right w:val="single" w:sz="4" w:space="0" w:color="auto"/>
            </w:tcBorders>
            <w:shd w:val="clear" w:color="auto" w:fill="B8CCE4" w:themeFill="accent1" w:themeFillTint="66"/>
            <w:vAlign w:val="center"/>
          </w:tcPr>
          <w:p w14:paraId="7094EBBA" w14:textId="77777777" w:rsidR="00B17919" w:rsidRPr="008E6B95" w:rsidRDefault="00B17919" w:rsidP="00CE2FDF">
            <w:pPr>
              <w:spacing w:before="0" w:line="276" w:lineRule="auto"/>
              <w:jc w:val="right"/>
              <w:rPr>
                <w:rFonts w:cs="Arial"/>
              </w:rPr>
            </w:pPr>
            <w:r>
              <w:rPr>
                <w:rFonts w:cs="Arial"/>
              </w:rPr>
              <w:t>201,389</w:t>
            </w:r>
          </w:p>
        </w:tc>
      </w:tr>
    </w:tbl>
    <w:p w14:paraId="3150344E" w14:textId="77777777" w:rsidR="00B17919" w:rsidRDefault="00B17919" w:rsidP="00B15586"/>
    <w:p w14:paraId="6CF35D50" w14:textId="77777777" w:rsidR="00893498" w:rsidRPr="001073A3" w:rsidRDefault="00893498" w:rsidP="00B15586"/>
    <w:p w14:paraId="4F4FC31E" w14:textId="77777777" w:rsidR="002E033A" w:rsidRPr="001073A3" w:rsidRDefault="002E033A" w:rsidP="00B15586"/>
    <w:p w14:paraId="41FD35E2" w14:textId="77777777" w:rsidR="002E033A" w:rsidRDefault="002E033A" w:rsidP="00B15586">
      <w:pPr>
        <w:sectPr w:rsidR="002E033A" w:rsidSect="001F55E6">
          <w:pgSz w:w="11906" w:h="16838"/>
          <w:pgMar w:top="1440" w:right="1440" w:bottom="1440" w:left="1440" w:header="708" w:footer="708" w:gutter="0"/>
          <w:cols w:space="708"/>
          <w:docGrid w:linePitch="360"/>
        </w:sectPr>
      </w:pPr>
    </w:p>
    <w:p w14:paraId="2A08ECBB" w14:textId="77777777" w:rsidR="00B17919" w:rsidRDefault="00B17919" w:rsidP="0095311F">
      <w:pPr>
        <w:pStyle w:val="Figureheading"/>
      </w:pPr>
      <w:r>
        <w:lastRenderedPageBreak/>
        <w:t>3.3</w:t>
      </w:r>
      <w:r>
        <w:tab/>
        <w:t>Total number of children and total number of reports, by year</w:t>
      </w:r>
    </w:p>
    <w:tbl>
      <w:tblPr>
        <w:tblStyle w:val="LightShading-Accent12"/>
        <w:tblW w:w="14567" w:type="dxa"/>
        <w:tblLayout w:type="fixed"/>
        <w:tblLook w:val="04A0" w:firstRow="1" w:lastRow="0" w:firstColumn="1" w:lastColumn="0" w:noHBand="0" w:noVBand="1"/>
        <w:tblCaption w:val="Total number of children and total number of reports, by year"/>
      </w:tblPr>
      <w:tblGrid>
        <w:gridCol w:w="2554"/>
        <w:gridCol w:w="1092"/>
        <w:gridCol w:w="1092"/>
        <w:gridCol w:w="1092"/>
        <w:gridCol w:w="1092"/>
        <w:gridCol w:w="1092"/>
        <w:gridCol w:w="1092"/>
        <w:gridCol w:w="1092"/>
        <w:gridCol w:w="1092"/>
        <w:gridCol w:w="1092"/>
        <w:gridCol w:w="1092"/>
        <w:gridCol w:w="1093"/>
      </w:tblGrid>
      <w:tr w:rsidR="001E71A9" w:rsidRPr="001E71A9" w14:paraId="10BD2C52" w14:textId="77777777" w:rsidTr="001143BB">
        <w:trPr>
          <w:cnfStyle w:val="100000000000" w:firstRow="1" w:lastRow="0" w:firstColumn="0" w:lastColumn="0" w:oddVBand="0" w:evenVBand="0" w:oddHBand="0" w:evenHBand="0" w:firstRowFirstColumn="0" w:firstRowLastColumn="0" w:lastRowFirstColumn="0" w:lastRowLastColumn="0"/>
          <w:trHeight w:val="564"/>
          <w:tblHeader/>
        </w:trPr>
        <w:tc>
          <w:tcPr>
            <w:cnfStyle w:val="001000000000" w:firstRow="0" w:lastRow="0" w:firstColumn="1" w:lastColumn="0" w:oddVBand="0" w:evenVBand="0" w:oddHBand="0" w:evenHBand="0" w:firstRowFirstColumn="0" w:firstRowLastColumn="0" w:lastRowFirstColumn="0" w:lastRowLastColumn="0"/>
            <w:tcW w:w="255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36E7C4E" w14:textId="77777777" w:rsidR="001E71A9" w:rsidRPr="001E71A9" w:rsidRDefault="001E71A9" w:rsidP="00CE2FDF">
            <w:pPr>
              <w:tabs>
                <w:tab w:val="left" w:pos="1134"/>
              </w:tabs>
              <w:spacing w:before="0" w:line="276" w:lineRule="auto"/>
              <w:jc w:val="center"/>
              <w:rPr>
                <w:rFonts w:eastAsia="Times New Roman" w:cs="Arial"/>
                <w:bCs w:val="0"/>
                <w:color w:val="000000"/>
                <w:lang w:eastAsia="en-AU"/>
              </w:rPr>
            </w:pPr>
          </w:p>
        </w:tc>
        <w:tc>
          <w:tcPr>
            <w:tcW w:w="1092" w:type="dxa"/>
            <w:tcBorders>
              <w:top w:val="single" w:sz="4" w:space="0" w:color="auto"/>
              <w:left w:val="single" w:sz="4" w:space="0" w:color="auto"/>
              <w:bottom w:val="single" w:sz="4" w:space="0" w:color="auto"/>
            </w:tcBorders>
            <w:shd w:val="clear" w:color="auto" w:fill="8DB3E2" w:themeFill="text2" w:themeFillTint="66"/>
            <w:vAlign w:val="center"/>
            <w:hideMark/>
          </w:tcPr>
          <w:p w14:paraId="30A382EB"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2003</w:t>
            </w:r>
          </w:p>
        </w:tc>
        <w:tc>
          <w:tcPr>
            <w:tcW w:w="1092" w:type="dxa"/>
            <w:tcBorders>
              <w:top w:val="single" w:sz="4" w:space="0" w:color="auto"/>
              <w:bottom w:val="single" w:sz="4" w:space="0" w:color="auto"/>
            </w:tcBorders>
            <w:shd w:val="clear" w:color="auto" w:fill="8DB3E2" w:themeFill="text2" w:themeFillTint="66"/>
            <w:vAlign w:val="center"/>
            <w:hideMark/>
          </w:tcPr>
          <w:p w14:paraId="0BE24F42"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2004</w:t>
            </w:r>
          </w:p>
        </w:tc>
        <w:tc>
          <w:tcPr>
            <w:tcW w:w="1092" w:type="dxa"/>
            <w:tcBorders>
              <w:top w:val="single" w:sz="4" w:space="0" w:color="auto"/>
              <w:bottom w:val="single" w:sz="4" w:space="0" w:color="auto"/>
            </w:tcBorders>
            <w:shd w:val="clear" w:color="auto" w:fill="8DB3E2" w:themeFill="text2" w:themeFillTint="66"/>
            <w:vAlign w:val="center"/>
            <w:hideMark/>
          </w:tcPr>
          <w:p w14:paraId="0407614F"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2005</w:t>
            </w:r>
          </w:p>
        </w:tc>
        <w:tc>
          <w:tcPr>
            <w:tcW w:w="1092" w:type="dxa"/>
            <w:tcBorders>
              <w:top w:val="single" w:sz="4" w:space="0" w:color="auto"/>
              <w:bottom w:val="single" w:sz="4" w:space="0" w:color="auto"/>
            </w:tcBorders>
            <w:shd w:val="clear" w:color="auto" w:fill="8DB3E2" w:themeFill="text2" w:themeFillTint="66"/>
            <w:vAlign w:val="center"/>
            <w:hideMark/>
          </w:tcPr>
          <w:p w14:paraId="2A2CCE5F"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2006</w:t>
            </w:r>
          </w:p>
        </w:tc>
        <w:tc>
          <w:tcPr>
            <w:tcW w:w="1092" w:type="dxa"/>
            <w:tcBorders>
              <w:top w:val="single" w:sz="4" w:space="0" w:color="auto"/>
              <w:bottom w:val="single" w:sz="4" w:space="0" w:color="auto"/>
            </w:tcBorders>
            <w:shd w:val="clear" w:color="auto" w:fill="8DB3E2" w:themeFill="text2" w:themeFillTint="66"/>
            <w:vAlign w:val="center"/>
            <w:hideMark/>
          </w:tcPr>
          <w:p w14:paraId="13F5CE9B"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2007</w:t>
            </w:r>
          </w:p>
        </w:tc>
        <w:tc>
          <w:tcPr>
            <w:tcW w:w="1092" w:type="dxa"/>
            <w:tcBorders>
              <w:top w:val="single" w:sz="4" w:space="0" w:color="auto"/>
              <w:bottom w:val="single" w:sz="4" w:space="0" w:color="auto"/>
            </w:tcBorders>
            <w:shd w:val="clear" w:color="auto" w:fill="8DB3E2" w:themeFill="text2" w:themeFillTint="66"/>
            <w:vAlign w:val="center"/>
            <w:hideMark/>
          </w:tcPr>
          <w:p w14:paraId="5803DDB5"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2008</w:t>
            </w:r>
          </w:p>
        </w:tc>
        <w:tc>
          <w:tcPr>
            <w:tcW w:w="1092" w:type="dxa"/>
            <w:tcBorders>
              <w:top w:val="single" w:sz="4" w:space="0" w:color="auto"/>
              <w:bottom w:val="single" w:sz="4" w:space="0" w:color="auto"/>
            </w:tcBorders>
            <w:shd w:val="clear" w:color="auto" w:fill="8DB3E2" w:themeFill="text2" w:themeFillTint="66"/>
            <w:vAlign w:val="center"/>
            <w:hideMark/>
          </w:tcPr>
          <w:p w14:paraId="275D5AF2"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2009</w:t>
            </w:r>
          </w:p>
        </w:tc>
        <w:tc>
          <w:tcPr>
            <w:tcW w:w="1092" w:type="dxa"/>
            <w:tcBorders>
              <w:top w:val="single" w:sz="4" w:space="0" w:color="auto"/>
              <w:bottom w:val="single" w:sz="4" w:space="0" w:color="auto"/>
            </w:tcBorders>
            <w:shd w:val="clear" w:color="auto" w:fill="8DB3E2" w:themeFill="text2" w:themeFillTint="66"/>
            <w:vAlign w:val="center"/>
            <w:hideMark/>
          </w:tcPr>
          <w:p w14:paraId="4376C8DC"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2010</w:t>
            </w:r>
          </w:p>
        </w:tc>
        <w:tc>
          <w:tcPr>
            <w:tcW w:w="1092" w:type="dxa"/>
            <w:tcBorders>
              <w:top w:val="single" w:sz="4" w:space="0" w:color="auto"/>
              <w:bottom w:val="single" w:sz="4" w:space="0" w:color="auto"/>
            </w:tcBorders>
            <w:shd w:val="clear" w:color="auto" w:fill="8DB3E2" w:themeFill="text2" w:themeFillTint="66"/>
            <w:vAlign w:val="center"/>
            <w:hideMark/>
          </w:tcPr>
          <w:p w14:paraId="3F047CAF"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2011</w:t>
            </w:r>
          </w:p>
        </w:tc>
        <w:tc>
          <w:tcPr>
            <w:tcW w:w="1092" w:type="dxa"/>
            <w:tcBorders>
              <w:top w:val="single" w:sz="4" w:space="0" w:color="auto"/>
              <w:bottom w:val="single" w:sz="4" w:space="0" w:color="auto"/>
              <w:right w:val="single" w:sz="4" w:space="0" w:color="auto"/>
            </w:tcBorders>
            <w:shd w:val="clear" w:color="auto" w:fill="8DB3E2" w:themeFill="text2" w:themeFillTint="66"/>
            <w:vAlign w:val="center"/>
            <w:hideMark/>
          </w:tcPr>
          <w:p w14:paraId="2A301A78"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2012</w:t>
            </w:r>
          </w:p>
        </w:tc>
        <w:tc>
          <w:tcPr>
            <w:tcW w:w="109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2743FB8" w14:textId="77777777" w:rsidR="001E71A9" w:rsidRPr="001E71A9" w:rsidRDefault="001E71A9" w:rsidP="00CE2FDF">
            <w:pPr>
              <w:tabs>
                <w:tab w:val="left" w:pos="1134"/>
              </w:tabs>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lang w:eastAsia="en-AU"/>
              </w:rPr>
            </w:pPr>
            <w:r w:rsidRPr="001E71A9">
              <w:rPr>
                <w:rFonts w:eastAsia="Times New Roman" w:cs="Arial"/>
                <w:bCs w:val="0"/>
                <w:color w:val="000000"/>
                <w:lang w:eastAsia="en-AU"/>
              </w:rPr>
              <w:t>Totals</w:t>
            </w:r>
          </w:p>
        </w:tc>
      </w:tr>
      <w:tr w:rsidR="001E71A9" w:rsidRPr="001E71A9" w14:paraId="7B66FDF5" w14:textId="77777777" w:rsidTr="00F2448E">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9FB4A" w14:textId="77777777" w:rsidR="001E71A9" w:rsidRPr="001E71A9" w:rsidRDefault="001E71A9" w:rsidP="00CE2FDF">
            <w:pPr>
              <w:tabs>
                <w:tab w:val="left" w:pos="1134"/>
              </w:tabs>
              <w:spacing w:before="0" w:line="276" w:lineRule="auto"/>
              <w:rPr>
                <w:rFonts w:eastAsia="Times New Roman" w:cs="Arial"/>
                <w:b w:val="0"/>
                <w:bCs w:val="0"/>
                <w:color w:val="000000"/>
                <w:lang w:eastAsia="en-AU"/>
              </w:rPr>
            </w:pPr>
            <w:r w:rsidRPr="001E71A9">
              <w:rPr>
                <w:rFonts w:eastAsia="Times New Roman" w:cs="Arial"/>
                <w:color w:val="000000"/>
                <w:lang w:eastAsia="en-AU"/>
              </w:rPr>
              <w:t>Total reports</w:t>
            </w:r>
          </w:p>
        </w:tc>
        <w:tc>
          <w:tcPr>
            <w:tcW w:w="1092" w:type="dxa"/>
            <w:tcBorders>
              <w:top w:val="single" w:sz="4" w:space="0" w:color="auto"/>
              <w:left w:val="single" w:sz="4" w:space="0" w:color="auto"/>
              <w:bottom w:val="single" w:sz="4" w:space="0" w:color="auto"/>
            </w:tcBorders>
            <w:shd w:val="clear" w:color="auto" w:fill="auto"/>
            <w:vAlign w:val="center"/>
            <w:hideMark/>
          </w:tcPr>
          <w:p w14:paraId="4B0A13E2"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37,267</w:t>
            </w:r>
          </w:p>
        </w:tc>
        <w:tc>
          <w:tcPr>
            <w:tcW w:w="1092" w:type="dxa"/>
            <w:tcBorders>
              <w:top w:val="single" w:sz="4" w:space="0" w:color="auto"/>
              <w:bottom w:val="single" w:sz="4" w:space="0" w:color="auto"/>
            </w:tcBorders>
            <w:shd w:val="clear" w:color="auto" w:fill="auto"/>
            <w:vAlign w:val="center"/>
            <w:hideMark/>
          </w:tcPr>
          <w:p w14:paraId="5CA9A250"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37,649</w:t>
            </w:r>
          </w:p>
        </w:tc>
        <w:tc>
          <w:tcPr>
            <w:tcW w:w="1092" w:type="dxa"/>
            <w:tcBorders>
              <w:top w:val="single" w:sz="4" w:space="0" w:color="auto"/>
              <w:bottom w:val="single" w:sz="4" w:space="0" w:color="auto"/>
            </w:tcBorders>
            <w:shd w:val="clear" w:color="auto" w:fill="auto"/>
            <w:vAlign w:val="center"/>
            <w:hideMark/>
          </w:tcPr>
          <w:p w14:paraId="72C4AF66"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36,657</w:t>
            </w:r>
          </w:p>
        </w:tc>
        <w:tc>
          <w:tcPr>
            <w:tcW w:w="1092" w:type="dxa"/>
            <w:tcBorders>
              <w:top w:val="single" w:sz="4" w:space="0" w:color="auto"/>
              <w:bottom w:val="single" w:sz="4" w:space="0" w:color="auto"/>
            </w:tcBorders>
            <w:shd w:val="clear" w:color="auto" w:fill="auto"/>
            <w:vAlign w:val="center"/>
            <w:hideMark/>
          </w:tcPr>
          <w:p w14:paraId="7E89E22C"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37693</w:t>
            </w:r>
          </w:p>
        </w:tc>
        <w:tc>
          <w:tcPr>
            <w:tcW w:w="1092" w:type="dxa"/>
            <w:tcBorders>
              <w:top w:val="single" w:sz="4" w:space="0" w:color="auto"/>
              <w:bottom w:val="single" w:sz="4" w:space="0" w:color="auto"/>
            </w:tcBorders>
            <w:shd w:val="clear" w:color="auto" w:fill="auto"/>
            <w:vAlign w:val="center"/>
            <w:hideMark/>
          </w:tcPr>
          <w:p w14:paraId="0AB6B796"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38774</w:t>
            </w:r>
          </w:p>
        </w:tc>
        <w:tc>
          <w:tcPr>
            <w:tcW w:w="1092" w:type="dxa"/>
            <w:tcBorders>
              <w:top w:val="single" w:sz="4" w:space="0" w:color="auto"/>
              <w:bottom w:val="single" w:sz="4" w:space="0" w:color="auto"/>
            </w:tcBorders>
            <w:shd w:val="clear" w:color="auto" w:fill="auto"/>
            <w:vAlign w:val="center"/>
            <w:hideMark/>
          </w:tcPr>
          <w:p w14:paraId="1EADA3E0"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41695</w:t>
            </w:r>
          </w:p>
        </w:tc>
        <w:tc>
          <w:tcPr>
            <w:tcW w:w="1092" w:type="dxa"/>
            <w:tcBorders>
              <w:top w:val="single" w:sz="4" w:space="0" w:color="auto"/>
              <w:bottom w:val="single" w:sz="4" w:space="0" w:color="auto"/>
            </w:tcBorders>
            <w:shd w:val="clear" w:color="auto" w:fill="auto"/>
            <w:vAlign w:val="center"/>
            <w:hideMark/>
          </w:tcPr>
          <w:p w14:paraId="06748C90"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44770</w:t>
            </w:r>
          </w:p>
        </w:tc>
        <w:tc>
          <w:tcPr>
            <w:tcW w:w="1092" w:type="dxa"/>
            <w:tcBorders>
              <w:top w:val="single" w:sz="4" w:space="0" w:color="auto"/>
              <w:bottom w:val="single" w:sz="4" w:space="0" w:color="auto"/>
            </w:tcBorders>
            <w:shd w:val="clear" w:color="auto" w:fill="auto"/>
            <w:vAlign w:val="center"/>
            <w:hideMark/>
          </w:tcPr>
          <w:p w14:paraId="40412F07"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52035</w:t>
            </w:r>
          </w:p>
        </w:tc>
        <w:tc>
          <w:tcPr>
            <w:tcW w:w="1092" w:type="dxa"/>
            <w:tcBorders>
              <w:top w:val="single" w:sz="4" w:space="0" w:color="auto"/>
              <w:bottom w:val="single" w:sz="4" w:space="0" w:color="auto"/>
            </w:tcBorders>
            <w:shd w:val="clear" w:color="auto" w:fill="auto"/>
            <w:vAlign w:val="center"/>
            <w:hideMark/>
          </w:tcPr>
          <w:p w14:paraId="1FB5FAA8"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58932</w:t>
            </w:r>
          </w:p>
        </w:tc>
        <w:tc>
          <w:tcPr>
            <w:tcW w:w="1092" w:type="dxa"/>
            <w:tcBorders>
              <w:top w:val="single" w:sz="4" w:space="0" w:color="auto"/>
              <w:bottom w:val="single" w:sz="4" w:space="0" w:color="auto"/>
              <w:right w:val="single" w:sz="4" w:space="0" w:color="auto"/>
            </w:tcBorders>
            <w:shd w:val="clear" w:color="auto" w:fill="auto"/>
            <w:vAlign w:val="center"/>
            <w:hideMark/>
          </w:tcPr>
          <w:p w14:paraId="235DD414" w14:textId="77777777" w:rsidR="001E71A9" w:rsidRPr="001E71A9" w:rsidRDefault="001E71A9"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1E71A9">
              <w:rPr>
                <w:rFonts w:eastAsia="Times New Roman" w:cs="Arial"/>
                <w:color w:val="000000"/>
                <w:lang w:eastAsia="en-AU"/>
              </w:rPr>
              <w:t>68648</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14:paraId="619DBCF5" w14:textId="77777777" w:rsidR="001E71A9" w:rsidRPr="001E71A9" w:rsidRDefault="00982808" w:rsidP="00CE2FDF">
            <w:pPr>
              <w:tabs>
                <w:tab w:val="left" w:pos="1134"/>
              </w:tabs>
              <w:spacing w:before="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fldChar w:fldCharType="begin"/>
            </w:r>
            <w:r w:rsidR="001E71A9" w:rsidRPr="001E71A9">
              <w:rPr>
                <w:rFonts w:eastAsia="Times New Roman" w:cs="Arial"/>
                <w:b/>
                <w:color w:val="000000"/>
                <w:lang w:eastAsia="en-AU"/>
              </w:rPr>
              <w:instrText xml:space="preserve"> =SUM(LEFT) </w:instrText>
            </w:r>
            <w:r w:rsidRPr="001E71A9">
              <w:rPr>
                <w:rFonts w:eastAsia="Times New Roman" w:cs="Arial"/>
                <w:b/>
                <w:color w:val="000000"/>
                <w:lang w:eastAsia="en-AU"/>
              </w:rPr>
              <w:fldChar w:fldCharType="separate"/>
            </w:r>
            <w:r w:rsidR="001E71A9" w:rsidRPr="001E71A9">
              <w:rPr>
                <w:rFonts w:eastAsia="Times New Roman" w:cs="Arial"/>
                <w:b/>
                <w:noProof/>
                <w:color w:val="000000"/>
                <w:lang w:eastAsia="en-AU"/>
              </w:rPr>
              <w:t>454,120</w:t>
            </w:r>
            <w:r w:rsidRPr="001E71A9">
              <w:rPr>
                <w:rFonts w:eastAsia="Times New Roman" w:cs="Arial"/>
                <w:b/>
                <w:color w:val="000000"/>
                <w:lang w:eastAsia="en-AU"/>
              </w:rPr>
              <w:fldChar w:fldCharType="end"/>
            </w:r>
          </w:p>
        </w:tc>
      </w:tr>
      <w:tr w:rsidR="00F2448E" w:rsidRPr="001E71A9" w14:paraId="3C8D21FD" w14:textId="77777777" w:rsidTr="00F2448E">
        <w:trPr>
          <w:trHeight w:val="768"/>
        </w:trPr>
        <w:tc>
          <w:tcPr>
            <w:cnfStyle w:val="001000000000" w:firstRow="0" w:lastRow="0" w:firstColumn="1" w:lastColumn="0" w:oddVBand="0" w:evenVBand="0" w:oddHBand="0" w:evenHBand="0" w:firstRowFirstColumn="0" w:firstRowLastColumn="0" w:lastRowFirstColumn="0" w:lastRowLastColumn="0"/>
            <w:tcW w:w="2554" w:type="dxa"/>
            <w:tcBorders>
              <w:top w:val="single" w:sz="4" w:space="0" w:color="auto"/>
              <w:left w:val="single" w:sz="4" w:space="0" w:color="auto"/>
              <w:bottom w:val="single" w:sz="4" w:space="0" w:color="auto"/>
              <w:right w:val="single" w:sz="4" w:space="0" w:color="auto"/>
            </w:tcBorders>
            <w:vAlign w:val="center"/>
            <w:hideMark/>
          </w:tcPr>
          <w:p w14:paraId="3929A2FB" w14:textId="77777777" w:rsidR="001E71A9" w:rsidRPr="001E71A9" w:rsidRDefault="001E71A9" w:rsidP="00CE2FDF">
            <w:pPr>
              <w:tabs>
                <w:tab w:val="left" w:pos="1134"/>
              </w:tabs>
              <w:spacing w:before="0" w:line="276" w:lineRule="auto"/>
              <w:rPr>
                <w:rFonts w:eastAsia="Times New Roman" w:cs="Arial"/>
                <w:b w:val="0"/>
                <w:bCs w:val="0"/>
                <w:color w:val="000000"/>
                <w:lang w:eastAsia="en-AU"/>
              </w:rPr>
            </w:pPr>
            <w:r w:rsidRPr="001E71A9">
              <w:rPr>
                <w:rFonts w:eastAsia="Times New Roman" w:cs="Arial"/>
                <w:color w:val="000000"/>
                <w:lang w:eastAsia="en-AU"/>
              </w:rPr>
              <w:t>Distinct children</w:t>
            </w:r>
            <w:r w:rsidR="00953AC4">
              <w:rPr>
                <w:rFonts w:eastAsia="Times New Roman" w:cs="Arial"/>
                <w:color w:val="000000"/>
                <w:lang w:eastAsia="en-AU"/>
              </w:rPr>
              <w:t xml:space="preserve"> in</w:t>
            </w:r>
            <w:r w:rsidRPr="001E71A9">
              <w:rPr>
                <w:rFonts w:eastAsia="Times New Roman" w:cs="Arial"/>
                <w:color w:val="000000"/>
                <w:lang w:eastAsia="en-AU"/>
              </w:rPr>
              <w:t xml:space="preserve"> reports</w:t>
            </w:r>
          </w:p>
        </w:tc>
        <w:tc>
          <w:tcPr>
            <w:tcW w:w="1092" w:type="dxa"/>
            <w:tcBorders>
              <w:top w:val="single" w:sz="4" w:space="0" w:color="auto"/>
              <w:left w:val="single" w:sz="4" w:space="0" w:color="auto"/>
              <w:bottom w:val="single" w:sz="4" w:space="0" w:color="auto"/>
            </w:tcBorders>
            <w:vAlign w:val="center"/>
            <w:hideMark/>
          </w:tcPr>
          <w:p w14:paraId="0D5E3E25"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28,028</w:t>
            </w:r>
          </w:p>
        </w:tc>
        <w:tc>
          <w:tcPr>
            <w:tcW w:w="1092" w:type="dxa"/>
            <w:tcBorders>
              <w:top w:val="single" w:sz="4" w:space="0" w:color="auto"/>
              <w:bottom w:val="single" w:sz="4" w:space="0" w:color="auto"/>
            </w:tcBorders>
            <w:vAlign w:val="center"/>
            <w:hideMark/>
          </w:tcPr>
          <w:p w14:paraId="7382C570"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28,461</w:t>
            </w:r>
          </w:p>
        </w:tc>
        <w:tc>
          <w:tcPr>
            <w:tcW w:w="1092" w:type="dxa"/>
            <w:tcBorders>
              <w:top w:val="single" w:sz="4" w:space="0" w:color="auto"/>
              <w:bottom w:val="single" w:sz="4" w:space="0" w:color="auto"/>
            </w:tcBorders>
            <w:vAlign w:val="center"/>
            <w:hideMark/>
          </w:tcPr>
          <w:p w14:paraId="7ADD5C22"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28,240</w:t>
            </w:r>
          </w:p>
        </w:tc>
        <w:tc>
          <w:tcPr>
            <w:tcW w:w="1092" w:type="dxa"/>
            <w:tcBorders>
              <w:top w:val="single" w:sz="4" w:space="0" w:color="auto"/>
              <w:bottom w:val="single" w:sz="4" w:space="0" w:color="auto"/>
            </w:tcBorders>
            <w:vAlign w:val="center"/>
            <w:hideMark/>
          </w:tcPr>
          <w:p w14:paraId="19248DB3"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29,524</w:t>
            </w:r>
          </w:p>
        </w:tc>
        <w:tc>
          <w:tcPr>
            <w:tcW w:w="1092" w:type="dxa"/>
            <w:tcBorders>
              <w:top w:val="single" w:sz="4" w:space="0" w:color="auto"/>
              <w:bottom w:val="single" w:sz="4" w:space="0" w:color="auto"/>
            </w:tcBorders>
            <w:vAlign w:val="center"/>
            <w:hideMark/>
          </w:tcPr>
          <w:p w14:paraId="2A5CBD8E"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30,392</w:t>
            </w:r>
          </w:p>
        </w:tc>
        <w:tc>
          <w:tcPr>
            <w:tcW w:w="1092" w:type="dxa"/>
            <w:tcBorders>
              <w:top w:val="single" w:sz="4" w:space="0" w:color="auto"/>
              <w:bottom w:val="single" w:sz="4" w:space="0" w:color="auto"/>
            </w:tcBorders>
            <w:vAlign w:val="center"/>
            <w:hideMark/>
          </w:tcPr>
          <w:p w14:paraId="42E0CCE6"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32,424</w:t>
            </w:r>
          </w:p>
        </w:tc>
        <w:tc>
          <w:tcPr>
            <w:tcW w:w="1092" w:type="dxa"/>
            <w:tcBorders>
              <w:top w:val="single" w:sz="4" w:space="0" w:color="auto"/>
              <w:bottom w:val="single" w:sz="4" w:space="0" w:color="auto"/>
            </w:tcBorders>
            <w:vAlign w:val="center"/>
            <w:hideMark/>
          </w:tcPr>
          <w:p w14:paraId="45216500"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34,781</w:t>
            </w:r>
          </w:p>
        </w:tc>
        <w:tc>
          <w:tcPr>
            <w:tcW w:w="1092" w:type="dxa"/>
            <w:tcBorders>
              <w:top w:val="single" w:sz="4" w:space="0" w:color="auto"/>
              <w:bottom w:val="single" w:sz="4" w:space="0" w:color="auto"/>
            </w:tcBorders>
            <w:vAlign w:val="center"/>
            <w:hideMark/>
          </w:tcPr>
          <w:p w14:paraId="2D2C9BD9"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39,689</w:t>
            </w:r>
          </w:p>
        </w:tc>
        <w:tc>
          <w:tcPr>
            <w:tcW w:w="1092" w:type="dxa"/>
            <w:tcBorders>
              <w:top w:val="single" w:sz="4" w:space="0" w:color="auto"/>
              <w:bottom w:val="single" w:sz="4" w:space="0" w:color="auto"/>
            </w:tcBorders>
            <w:vAlign w:val="center"/>
            <w:hideMark/>
          </w:tcPr>
          <w:p w14:paraId="2363AE6C"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43,478</w:t>
            </w:r>
          </w:p>
        </w:tc>
        <w:tc>
          <w:tcPr>
            <w:tcW w:w="1092" w:type="dxa"/>
            <w:tcBorders>
              <w:top w:val="single" w:sz="4" w:space="0" w:color="auto"/>
              <w:bottom w:val="single" w:sz="4" w:space="0" w:color="auto"/>
              <w:right w:val="single" w:sz="4" w:space="0" w:color="auto"/>
            </w:tcBorders>
            <w:vAlign w:val="center"/>
            <w:hideMark/>
          </w:tcPr>
          <w:p w14:paraId="42272FDD" w14:textId="77777777" w:rsidR="001E71A9" w:rsidRPr="001E71A9" w:rsidRDefault="001E71A9"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1E71A9">
              <w:rPr>
                <w:rFonts w:eastAsia="Times New Roman" w:cs="Arial"/>
                <w:b/>
                <w:color w:val="000000"/>
                <w:lang w:eastAsia="en-AU"/>
              </w:rPr>
              <w:t>49,667</w:t>
            </w:r>
          </w:p>
        </w:tc>
        <w:tc>
          <w:tcPr>
            <w:tcW w:w="1093" w:type="dxa"/>
            <w:tcBorders>
              <w:top w:val="single" w:sz="4" w:space="0" w:color="auto"/>
              <w:left w:val="single" w:sz="4" w:space="0" w:color="auto"/>
              <w:bottom w:val="single" w:sz="4" w:space="0" w:color="auto"/>
              <w:right w:val="single" w:sz="4" w:space="0" w:color="auto"/>
            </w:tcBorders>
            <w:vAlign w:val="center"/>
          </w:tcPr>
          <w:p w14:paraId="746407D3" w14:textId="77777777" w:rsidR="001E71A9" w:rsidRPr="001E71A9" w:rsidRDefault="007454E2" w:rsidP="00CE2FDF">
            <w:pPr>
              <w:tabs>
                <w:tab w:val="left" w:pos="1134"/>
              </w:tabs>
              <w:spacing w:before="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Pr>
                <w:rFonts w:eastAsia="Times New Roman" w:cs="Arial"/>
                <w:b/>
                <w:color w:val="000000"/>
                <w:lang w:eastAsia="en-AU"/>
              </w:rPr>
              <w:t>201,398</w:t>
            </w:r>
          </w:p>
        </w:tc>
      </w:tr>
    </w:tbl>
    <w:p w14:paraId="5F1A6A0B" w14:textId="77777777" w:rsidR="00B17919" w:rsidRPr="00893498" w:rsidRDefault="00B17919" w:rsidP="00287177">
      <w:pPr>
        <w:pStyle w:val="Heading6"/>
        <w:spacing w:before="240" w:after="240"/>
      </w:pPr>
      <w:r w:rsidRPr="00893498">
        <w:t>Line graph for table 3.3: Total number of children and total number of reports, by year</w:t>
      </w:r>
    </w:p>
    <w:p w14:paraId="1363135F" w14:textId="77777777" w:rsidR="00981A1C" w:rsidRDefault="00981A1C" w:rsidP="00B15586">
      <w:pPr>
        <w:pStyle w:val="Style1"/>
      </w:pPr>
      <w:r w:rsidRPr="002E033A">
        <w:rPr>
          <w:noProof/>
          <w:lang w:eastAsia="en-AU"/>
        </w:rPr>
        <w:drawing>
          <wp:inline distT="0" distB="0" distL="0" distR="0" wp14:anchorId="40B5F4FD" wp14:editId="44E34780">
            <wp:extent cx="9144000" cy="1924050"/>
            <wp:effectExtent l="0" t="0" r="0" b="0"/>
            <wp:docPr id="2" name="Chart 74" descr="Shows that from 2003 to 2012 the number of total reports and total children per year rose from 37,267 to 68,648, and the total number of distinct children in reports rose from 28,028 to 49,667." title="Line graph for tabl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AEAE227" w14:textId="77777777" w:rsidR="00F2448E" w:rsidRDefault="00F2448E" w:rsidP="00B15586">
      <w:pPr>
        <w:pStyle w:val="Style1"/>
      </w:pPr>
    </w:p>
    <w:p w14:paraId="7FF2C64F" w14:textId="77777777" w:rsidR="00893498" w:rsidRDefault="00893498" w:rsidP="00B15586">
      <w:pPr>
        <w:spacing w:after="200" w:line="276" w:lineRule="auto"/>
        <w:rPr>
          <w:rFonts w:ascii="Calibri" w:eastAsiaTheme="majorEastAsia" w:hAnsi="Calibri" w:cstheme="majorBidi"/>
          <w:b/>
          <w:bCs/>
          <w:color w:val="17365D" w:themeColor="text2" w:themeShade="BF"/>
          <w:spacing w:val="5"/>
          <w:kern w:val="28"/>
          <w:sz w:val="36"/>
          <w:szCs w:val="26"/>
        </w:rPr>
      </w:pPr>
      <w:r>
        <w:br w:type="page"/>
      </w:r>
    </w:p>
    <w:p w14:paraId="1FAEC43B" w14:textId="77777777" w:rsidR="00B17919" w:rsidRDefault="00B17919" w:rsidP="0095311F">
      <w:pPr>
        <w:pStyle w:val="Figureheading"/>
      </w:pPr>
      <w:r w:rsidRPr="001F4E97">
        <w:lastRenderedPageBreak/>
        <w:t>3.4</w:t>
      </w:r>
      <w:r w:rsidRPr="001F4E97">
        <w:tab/>
        <w:t>Number of distinct children with multiple reports, by year</w:t>
      </w:r>
    </w:p>
    <w:tbl>
      <w:tblPr>
        <w:tblW w:w="147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3"/>
        <w:gridCol w:w="1073"/>
        <w:gridCol w:w="1074"/>
        <w:gridCol w:w="1074"/>
        <w:gridCol w:w="1074"/>
        <w:gridCol w:w="1074"/>
        <w:gridCol w:w="1073"/>
        <w:gridCol w:w="1074"/>
        <w:gridCol w:w="1074"/>
        <w:gridCol w:w="1074"/>
        <w:gridCol w:w="1074"/>
        <w:gridCol w:w="1074"/>
      </w:tblGrid>
      <w:tr w:rsidR="001E71A9" w:rsidRPr="00A5287D" w14:paraId="30B12D33" w14:textId="77777777" w:rsidTr="00F2448E">
        <w:trPr>
          <w:trHeight w:val="330"/>
        </w:trPr>
        <w:tc>
          <w:tcPr>
            <w:tcW w:w="2943" w:type="dxa"/>
            <w:tcBorders>
              <w:top w:val="single" w:sz="4" w:space="0" w:color="auto"/>
              <w:bottom w:val="single" w:sz="4" w:space="0" w:color="auto"/>
              <w:right w:val="single" w:sz="4" w:space="0" w:color="auto"/>
            </w:tcBorders>
            <w:shd w:val="clear" w:color="auto" w:fill="8DB3E2" w:themeFill="text2" w:themeFillTint="66"/>
            <w:vAlign w:val="center"/>
            <w:hideMark/>
          </w:tcPr>
          <w:p w14:paraId="0EAAC4E8" w14:textId="77777777" w:rsidR="001E71A9" w:rsidRPr="00F2448E" w:rsidRDefault="001E71A9" w:rsidP="00CE2FDF">
            <w:pPr>
              <w:tabs>
                <w:tab w:val="left" w:pos="1134"/>
              </w:tabs>
              <w:spacing w:before="0" w:line="276" w:lineRule="auto"/>
              <w:rPr>
                <w:rFonts w:ascii="Calibri" w:hAnsi="Calibri" w:cs="Arial"/>
                <w:b/>
                <w:bCs/>
                <w:sz w:val="20"/>
              </w:rPr>
            </w:pPr>
          </w:p>
        </w:tc>
        <w:tc>
          <w:tcPr>
            <w:tcW w:w="1073" w:type="dxa"/>
            <w:tcBorders>
              <w:top w:val="single" w:sz="4" w:space="0" w:color="auto"/>
              <w:left w:val="single" w:sz="4" w:space="0" w:color="auto"/>
              <w:bottom w:val="single" w:sz="4" w:space="0" w:color="auto"/>
            </w:tcBorders>
            <w:shd w:val="clear" w:color="auto" w:fill="8DB3E2" w:themeFill="text2" w:themeFillTint="66"/>
            <w:vAlign w:val="center"/>
            <w:hideMark/>
          </w:tcPr>
          <w:p w14:paraId="4850B7F8"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2003</w:t>
            </w:r>
          </w:p>
        </w:tc>
        <w:tc>
          <w:tcPr>
            <w:tcW w:w="1074" w:type="dxa"/>
            <w:tcBorders>
              <w:top w:val="single" w:sz="4" w:space="0" w:color="auto"/>
              <w:bottom w:val="single" w:sz="4" w:space="0" w:color="auto"/>
            </w:tcBorders>
            <w:shd w:val="clear" w:color="auto" w:fill="8DB3E2" w:themeFill="text2" w:themeFillTint="66"/>
            <w:vAlign w:val="center"/>
            <w:hideMark/>
          </w:tcPr>
          <w:p w14:paraId="5BAE8E11"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2004</w:t>
            </w:r>
          </w:p>
        </w:tc>
        <w:tc>
          <w:tcPr>
            <w:tcW w:w="1074" w:type="dxa"/>
            <w:tcBorders>
              <w:top w:val="single" w:sz="4" w:space="0" w:color="auto"/>
              <w:bottom w:val="single" w:sz="4" w:space="0" w:color="auto"/>
            </w:tcBorders>
            <w:shd w:val="clear" w:color="auto" w:fill="8DB3E2" w:themeFill="text2" w:themeFillTint="66"/>
            <w:vAlign w:val="center"/>
            <w:hideMark/>
          </w:tcPr>
          <w:p w14:paraId="528D0E5F"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2005</w:t>
            </w:r>
          </w:p>
        </w:tc>
        <w:tc>
          <w:tcPr>
            <w:tcW w:w="1074" w:type="dxa"/>
            <w:tcBorders>
              <w:top w:val="single" w:sz="4" w:space="0" w:color="auto"/>
              <w:bottom w:val="single" w:sz="4" w:space="0" w:color="auto"/>
            </w:tcBorders>
            <w:shd w:val="clear" w:color="auto" w:fill="8DB3E2" w:themeFill="text2" w:themeFillTint="66"/>
            <w:vAlign w:val="center"/>
            <w:hideMark/>
          </w:tcPr>
          <w:p w14:paraId="086D3772"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2006</w:t>
            </w:r>
          </w:p>
        </w:tc>
        <w:tc>
          <w:tcPr>
            <w:tcW w:w="1074" w:type="dxa"/>
            <w:tcBorders>
              <w:top w:val="single" w:sz="4" w:space="0" w:color="auto"/>
              <w:bottom w:val="single" w:sz="4" w:space="0" w:color="auto"/>
            </w:tcBorders>
            <w:shd w:val="clear" w:color="auto" w:fill="8DB3E2" w:themeFill="text2" w:themeFillTint="66"/>
            <w:vAlign w:val="center"/>
            <w:hideMark/>
          </w:tcPr>
          <w:p w14:paraId="60F4B73A"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2007</w:t>
            </w:r>
          </w:p>
        </w:tc>
        <w:tc>
          <w:tcPr>
            <w:tcW w:w="1073" w:type="dxa"/>
            <w:tcBorders>
              <w:top w:val="single" w:sz="4" w:space="0" w:color="auto"/>
              <w:bottom w:val="single" w:sz="4" w:space="0" w:color="auto"/>
            </w:tcBorders>
            <w:shd w:val="clear" w:color="auto" w:fill="8DB3E2" w:themeFill="text2" w:themeFillTint="66"/>
            <w:vAlign w:val="center"/>
            <w:hideMark/>
          </w:tcPr>
          <w:p w14:paraId="2726095C"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2008</w:t>
            </w:r>
          </w:p>
        </w:tc>
        <w:tc>
          <w:tcPr>
            <w:tcW w:w="1074" w:type="dxa"/>
            <w:tcBorders>
              <w:top w:val="single" w:sz="4" w:space="0" w:color="auto"/>
              <w:bottom w:val="single" w:sz="4" w:space="0" w:color="auto"/>
            </w:tcBorders>
            <w:shd w:val="clear" w:color="auto" w:fill="8DB3E2" w:themeFill="text2" w:themeFillTint="66"/>
            <w:vAlign w:val="center"/>
            <w:hideMark/>
          </w:tcPr>
          <w:p w14:paraId="7941C75D"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2009</w:t>
            </w:r>
          </w:p>
        </w:tc>
        <w:tc>
          <w:tcPr>
            <w:tcW w:w="1074" w:type="dxa"/>
            <w:tcBorders>
              <w:top w:val="single" w:sz="4" w:space="0" w:color="auto"/>
              <w:bottom w:val="single" w:sz="4" w:space="0" w:color="auto"/>
            </w:tcBorders>
            <w:shd w:val="clear" w:color="auto" w:fill="8DB3E2" w:themeFill="text2" w:themeFillTint="66"/>
            <w:vAlign w:val="center"/>
            <w:hideMark/>
          </w:tcPr>
          <w:p w14:paraId="6B8A3CC9"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2010</w:t>
            </w:r>
          </w:p>
        </w:tc>
        <w:tc>
          <w:tcPr>
            <w:tcW w:w="1074" w:type="dxa"/>
            <w:tcBorders>
              <w:top w:val="single" w:sz="4" w:space="0" w:color="auto"/>
              <w:bottom w:val="single" w:sz="4" w:space="0" w:color="auto"/>
            </w:tcBorders>
            <w:shd w:val="clear" w:color="auto" w:fill="8DB3E2" w:themeFill="text2" w:themeFillTint="66"/>
            <w:vAlign w:val="center"/>
            <w:hideMark/>
          </w:tcPr>
          <w:p w14:paraId="314ACA8E"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2011</w:t>
            </w:r>
          </w:p>
        </w:tc>
        <w:tc>
          <w:tcPr>
            <w:tcW w:w="1074" w:type="dxa"/>
            <w:tcBorders>
              <w:top w:val="single" w:sz="4" w:space="0" w:color="auto"/>
              <w:bottom w:val="single" w:sz="4" w:space="0" w:color="auto"/>
              <w:right w:val="single" w:sz="4" w:space="0" w:color="auto"/>
            </w:tcBorders>
            <w:shd w:val="clear" w:color="auto" w:fill="8DB3E2" w:themeFill="text2" w:themeFillTint="66"/>
            <w:vAlign w:val="center"/>
            <w:hideMark/>
          </w:tcPr>
          <w:p w14:paraId="1D4973D8" w14:textId="77777777" w:rsidR="001E71A9" w:rsidRPr="001E71A9" w:rsidRDefault="001E71A9" w:rsidP="00CE2FDF">
            <w:pPr>
              <w:tabs>
                <w:tab w:val="left" w:pos="1134"/>
              </w:tabs>
              <w:spacing w:before="0" w:line="276" w:lineRule="auto"/>
              <w:jc w:val="right"/>
              <w:rPr>
                <w:rFonts w:eastAsia="Times New Roman" w:cs="Arial"/>
                <w:b/>
                <w:bCs/>
                <w:color w:val="000000"/>
                <w:lang w:eastAsia="en-AU"/>
              </w:rPr>
            </w:pPr>
            <w:r w:rsidRPr="001E71A9">
              <w:rPr>
                <w:rFonts w:eastAsia="Times New Roman" w:cs="Arial"/>
                <w:b/>
                <w:bCs/>
                <w:color w:val="000000"/>
                <w:lang w:eastAsia="en-AU"/>
              </w:rPr>
              <w:t>2012</w:t>
            </w:r>
          </w:p>
        </w:tc>
        <w:tc>
          <w:tcPr>
            <w:tcW w:w="1074" w:type="dxa"/>
            <w:tcBorders>
              <w:top w:val="single" w:sz="4" w:space="0" w:color="auto"/>
              <w:left w:val="single" w:sz="4" w:space="0" w:color="auto"/>
              <w:bottom w:val="single" w:sz="4" w:space="0" w:color="auto"/>
            </w:tcBorders>
            <w:shd w:val="clear" w:color="auto" w:fill="8DB3E2" w:themeFill="text2" w:themeFillTint="66"/>
            <w:vAlign w:val="center"/>
            <w:hideMark/>
          </w:tcPr>
          <w:p w14:paraId="25EDD92C" w14:textId="77777777" w:rsidR="001E71A9" w:rsidRPr="00BF0D27" w:rsidRDefault="001E71A9" w:rsidP="00CE2FDF">
            <w:pPr>
              <w:tabs>
                <w:tab w:val="left" w:pos="1134"/>
              </w:tabs>
              <w:spacing w:before="0" w:line="276" w:lineRule="auto"/>
              <w:jc w:val="right"/>
              <w:rPr>
                <w:rFonts w:ascii="Calibri" w:hAnsi="Calibri" w:cs="Arial"/>
                <w:b/>
                <w:bCs/>
              </w:rPr>
            </w:pPr>
            <w:r w:rsidRPr="00BF0D27">
              <w:rPr>
                <w:rFonts w:ascii="Calibri" w:hAnsi="Calibri" w:cs="Arial"/>
                <w:b/>
                <w:bCs/>
              </w:rPr>
              <w:t>Totals</w:t>
            </w:r>
          </w:p>
        </w:tc>
      </w:tr>
      <w:tr w:rsidR="001E71A9" w:rsidRPr="00A5287D" w14:paraId="4045B185" w14:textId="77777777" w:rsidTr="007454E2">
        <w:trPr>
          <w:trHeight w:val="768"/>
        </w:trPr>
        <w:tc>
          <w:tcPr>
            <w:tcW w:w="2943" w:type="dxa"/>
            <w:tcBorders>
              <w:top w:val="single" w:sz="4" w:space="0" w:color="auto"/>
              <w:right w:val="single" w:sz="4" w:space="0" w:color="auto"/>
            </w:tcBorders>
            <w:vAlign w:val="center"/>
            <w:hideMark/>
          </w:tcPr>
          <w:p w14:paraId="181FCA8E" w14:textId="77777777" w:rsidR="001E71A9" w:rsidRPr="00F2448E" w:rsidRDefault="00B17919" w:rsidP="00CE2FDF">
            <w:pPr>
              <w:tabs>
                <w:tab w:val="left" w:pos="1134"/>
              </w:tabs>
              <w:spacing w:before="0" w:line="276" w:lineRule="auto"/>
              <w:rPr>
                <w:rFonts w:ascii="Calibri" w:hAnsi="Calibri" w:cs="Arial"/>
                <w:b/>
                <w:bCs/>
                <w:sz w:val="20"/>
              </w:rPr>
            </w:pPr>
            <w:r w:rsidRPr="00F2448E">
              <w:rPr>
                <w:rFonts w:cs="Arial"/>
                <w:sz w:val="20"/>
              </w:rPr>
              <w:t>Number of children with more than one report</w:t>
            </w:r>
          </w:p>
        </w:tc>
        <w:tc>
          <w:tcPr>
            <w:tcW w:w="1073" w:type="dxa"/>
            <w:tcBorders>
              <w:top w:val="single" w:sz="4" w:space="0" w:color="auto"/>
              <w:left w:val="single" w:sz="4" w:space="0" w:color="auto"/>
            </w:tcBorders>
            <w:vAlign w:val="center"/>
            <w:hideMark/>
          </w:tcPr>
          <w:p w14:paraId="16AA78F0"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6,579</w:t>
            </w:r>
          </w:p>
        </w:tc>
        <w:tc>
          <w:tcPr>
            <w:tcW w:w="1074" w:type="dxa"/>
            <w:tcBorders>
              <w:top w:val="single" w:sz="4" w:space="0" w:color="auto"/>
            </w:tcBorders>
            <w:vAlign w:val="center"/>
            <w:hideMark/>
          </w:tcPr>
          <w:p w14:paraId="24EE5061"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6,773</w:t>
            </w:r>
          </w:p>
        </w:tc>
        <w:tc>
          <w:tcPr>
            <w:tcW w:w="1074" w:type="dxa"/>
            <w:tcBorders>
              <w:top w:val="single" w:sz="4" w:space="0" w:color="auto"/>
            </w:tcBorders>
            <w:vAlign w:val="center"/>
            <w:hideMark/>
          </w:tcPr>
          <w:p w14:paraId="658E4DC3"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6,090</w:t>
            </w:r>
          </w:p>
        </w:tc>
        <w:tc>
          <w:tcPr>
            <w:tcW w:w="1074" w:type="dxa"/>
            <w:tcBorders>
              <w:top w:val="single" w:sz="4" w:space="0" w:color="auto"/>
            </w:tcBorders>
            <w:vAlign w:val="center"/>
            <w:hideMark/>
          </w:tcPr>
          <w:p w14:paraId="1F4A1858"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6,137</w:t>
            </w:r>
          </w:p>
        </w:tc>
        <w:tc>
          <w:tcPr>
            <w:tcW w:w="1074" w:type="dxa"/>
            <w:tcBorders>
              <w:top w:val="single" w:sz="4" w:space="0" w:color="auto"/>
            </w:tcBorders>
            <w:vAlign w:val="center"/>
            <w:hideMark/>
          </w:tcPr>
          <w:p w14:paraId="7894AE06"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6,289</w:t>
            </w:r>
          </w:p>
        </w:tc>
        <w:tc>
          <w:tcPr>
            <w:tcW w:w="1073" w:type="dxa"/>
            <w:tcBorders>
              <w:top w:val="single" w:sz="4" w:space="0" w:color="auto"/>
            </w:tcBorders>
            <w:vAlign w:val="center"/>
            <w:hideMark/>
          </w:tcPr>
          <w:p w14:paraId="7AE51603"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6,841</w:t>
            </w:r>
          </w:p>
        </w:tc>
        <w:tc>
          <w:tcPr>
            <w:tcW w:w="1074" w:type="dxa"/>
            <w:tcBorders>
              <w:top w:val="single" w:sz="4" w:space="0" w:color="auto"/>
            </w:tcBorders>
            <w:vAlign w:val="center"/>
            <w:hideMark/>
          </w:tcPr>
          <w:p w14:paraId="418A586B"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7,455</w:t>
            </w:r>
          </w:p>
        </w:tc>
        <w:tc>
          <w:tcPr>
            <w:tcW w:w="1074" w:type="dxa"/>
            <w:tcBorders>
              <w:top w:val="single" w:sz="4" w:space="0" w:color="auto"/>
            </w:tcBorders>
            <w:vAlign w:val="center"/>
            <w:hideMark/>
          </w:tcPr>
          <w:p w14:paraId="736EC6ED"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8,923</w:t>
            </w:r>
          </w:p>
        </w:tc>
        <w:tc>
          <w:tcPr>
            <w:tcW w:w="1074" w:type="dxa"/>
            <w:tcBorders>
              <w:top w:val="single" w:sz="4" w:space="0" w:color="auto"/>
            </w:tcBorders>
            <w:vAlign w:val="center"/>
            <w:hideMark/>
          </w:tcPr>
          <w:p w14:paraId="7BD26BEE"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10,678</w:t>
            </w:r>
          </w:p>
        </w:tc>
        <w:tc>
          <w:tcPr>
            <w:tcW w:w="1074" w:type="dxa"/>
            <w:tcBorders>
              <w:top w:val="single" w:sz="4" w:space="0" w:color="auto"/>
              <w:right w:val="single" w:sz="4" w:space="0" w:color="auto"/>
            </w:tcBorders>
            <w:vAlign w:val="center"/>
            <w:hideMark/>
          </w:tcPr>
          <w:p w14:paraId="528370C9"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12,872</w:t>
            </w:r>
          </w:p>
        </w:tc>
        <w:tc>
          <w:tcPr>
            <w:tcW w:w="1074" w:type="dxa"/>
            <w:tcBorders>
              <w:top w:val="single" w:sz="4" w:space="0" w:color="auto"/>
              <w:left w:val="single" w:sz="4" w:space="0" w:color="auto"/>
            </w:tcBorders>
            <w:vAlign w:val="center"/>
          </w:tcPr>
          <w:p w14:paraId="178ABB72" w14:textId="77777777" w:rsidR="001E71A9" w:rsidRPr="00A5287D" w:rsidRDefault="007454E2" w:rsidP="00CE2FDF">
            <w:pPr>
              <w:tabs>
                <w:tab w:val="left" w:pos="1134"/>
              </w:tabs>
              <w:spacing w:before="0" w:line="276" w:lineRule="auto"/>
              <w:jc w:val="right"/>
              <w:rPr>
                <w:rFonts w:ascii="Calibri" w:hAnsi="Calibri" w:cs="Arial"/>
                <w:b/>
              </w:rPr>
            </w:pPr>
            <w:r>
              <w:rPr>
                <w:rFonts w:ascii="Calibri" w:hAnsi="Calibri" w:cs="Arial"/>
                <w:b/>
              </w:rPr>
              <w:t>435,657</w:t>
            </w:r>
          </w:p>
        </w:tc>
      </w:tr>
      <w:tr w:rsidR="001E71A9" w:rsidRPr="00A5287D" w14:paraId="1B6AAD61" w14:textId="77777777" w:rsidTr="007454E2">
        <w:trPr>
          <w:trHeight w:val="612"/>
        </w:trPr>
        <w:tc>
          <w:tcPr>
            <w:tcW w:w="2943" w:type="dxa"/>
            <w:tcBorders>
              <w:bottom w:val="single" w:sz="4" w:space="0" w:color="auto"/>
              <w:right w:val="single" w:sz="4" w:space="0" w:color="auto"/>
            </w:tcBorders>
            <w:shd w:val="clear" w:color="auto" w:fill="DBE5F1" w:themeFill="accent1" w:themeFillTint="33"/>
            <w:vAlign w:val="center"/>
            <w:hideMark/>
          </w:tcPr>
          <w:p w14:paraId="4CB8227E" w14:textId="77777777" w:rsidR="001E71A9" w:rsidRPr="00F2448E" w:rsidRDefault="00B17919" w:rsidP="00CE2FDF">
            <w:pPr>
              <w:tabs>
                <w:tab w:val="left" w:pos="1134"/>
              </w:tabs>
              <w:spacing w:before="0" w:line="276" w:lineRule="auto"/>
              <w:rPr>
                <w:rFonts w:ascii="Calibri" w:hAnsi="Calibri" w:cs="Arial"/>
                <w:b/>
                <w:bCs/>
                <w:sz w:val="20"/>
              </w:rPr>
            </w:pPr>
            <w:r w:rsidRPr="00F2448E">
              <w:rPr>
                <w:rFonts w:cs="Arial"/>
                <w:sz w:val="20"/>
              </w:rPr>
              <w:t>Number of reports for children with more than one report</w:t>
            </w:r>
          </w:p>
        </w:tc>
        <w:tc>
          <w:tcPr>
            <w:tcW w:w="1073" w:type="dxa"/>
            <w:tcBorders>
              <w:left w:val="single" w:sz="4" w:space="0" w:color="auto"/>
              <w:bottom w:val="single" w:sz="4" w:space="0" w:color="auto"/>
            </w:tcBorders>
            <w:shd w:val="clear" w:color="auto" w:fill="DBE5F1" w:themeFill="accent1" w:themeFillTint="33"/>
            <w:vAlign w:val="center"/>
            <w:hideMark/>
          </w:tcPr>
          <w:p w14:paraId="4F101A2F"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15,818</w:t>
            </w:r>
          </w:p>
        </w:tc>
        <w:tc>
          <w:tcPr>
            <w:tcW w:w="1074" w:type="dxa"/>
            <w:tcBorders>
              <w:bottom w:val="single" w:sz="4" w:space="0" w:color="auto"/>
            </w:tcBorders>
            <w:shd w:val="clear" w:color="auto" w:fill="DBE5F1" w:themeFill="accent1" w:themeFillTint="33"/>
            <w:vAlign w:val="center"/>
            <w:hideMark/>
          </w:tcPr>
          <w:p w14:paraId="37C951D2"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15,961</w:t>
            </w:r>
          </w:p>
        </w:tc>
        <w:tc>
          <w:tcPr>
            <w:tcW w:w="1074" w:type="dxa"/>
            <w:tcBorders>
              <w:bottom w:val="single" w:sz="4" w:space="0" w:color="auto"/>
            </w:tcBorders>
            <w:shd w:val="clear" w:color="auto" w:fill="DBE5F1" w:themeFill="accent1" w:themeFillTint="33"/>
            <w:vAlign w:val="center"/>
            <w:hideMark/>
          </w:tcPr>
          <w:p w14:paraId="4154A979"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14,507</w:t>
            </w:r>
          </w:p>
        </w:tc>
        <w:tc>
          <w:tcPr>
            <w:tcW w:w="1074" w:type="dxa"/>
            <w:tcBorders>
              <w:bottom w:val="single" w:sz="4" w:space="0" w:color="auto"/>
            </w:tcBorders>
            <w:shd w:val="clear" w:color="auto" w:fill="DBE5F1" w:themeFill="accent1" w:themeFillTint="33"/>
            <w:vAlign w:val="center"/>
            <w:hideMark/>
          </w:tcPr>
          <w:p w14:paraId="67F66C08"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14,306</w:t>
            </w:r>
          </w:p>
        </w:tc>
        <w:tc>
          <w:tcPr>
            <w:tcW w:w="1074" w:type="dxa"/>
            <w:tcBorders>
              <w:bottom w:val="single" w:sz="4" w:space="0" w:color="auto"/>
            </w:tcBorders>
            <w:shd w:val="clear" w:color="auto" w:fill="DBE5F1" w:themeFill="accent1" w:themeFillTint="33"/>
            <w:vAlign w:val="center"/>
            <w:hideMark/>
          </w:tcPr>
          <w:p w14:paraId="739B7061"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14,671</w:t>
            </w:r>
          </w:p>
        </w:tc>
        <w:tc>
          <w:tcPr>
            <w:tcW w:w="1073" w:type="dxa"/>
            <w:tcBorders>
              <w:bottom w:val="single" w:sz="4" w:space="0" w:color="auto"/>
            </w:tcBorders>
            <w:shd w:val="clear" w:color="auto" w:fill="DBE5F1" w:themeFill="accent1" w:themeFillTint="33"/>
            <w:vAlign w:val="center"/>
            <w:hideMark/>
          </w:tcPr>
          <w:p w14:paraId="2D3334A6"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16,112</w:t>
            </w:r>
          </w:p>
        </w:tc>
        <w:tc>
          <w:tcPr>
            <w:tcW w:w="1074" w:type="dxa"/>
            <w:tcBorders>
              <w:bottom w:val="single" w:sz="4" w:space="0" w:color="auto"/>
            </w:tcBorders>
            <w:shd w:val="clear" w:color="auto" w:fill="DBE5F1" w:themeFill="accent1" w:themeFillTint="33"/>
            <w:vAlign w:val="center"/>
            <w:hideMark/>
          </w:tcPr>
          <w:p w14:paraId="20777E14"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17,444</w:t>
            </w:r>
          </w:p>
        </w:tc>
        <w:tc>
          <w:tcPr>
            <w:tcW w:w="1074" w:type="dxa"/>
            <w:tcBorders>
              <w:bottom w:val="single" w:sz="4" w:space="0" w:color="auto"/>
            </w:tcBorders>
            <w:shd w:val="clear" w:color="auto" w:fill="DBE5F1" w:themeFill="accent1" w:themeFillTint="33"/>
            <w:vAlign w:val="center"/>
            <w:hideMark/>
          </w:tcPr>
          <w:p w14:paraId="232C7A78"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21,269</w:t>
            </w:r>
          </w:p>
        </w:tc>
        <w:tc>
          <w:tcPr>
            <w:tcW w:w="1074" w:type="dxa"/>
            <w:tcBorders>
              <w:bottom w:val="single" w:sz="4" w:space="0" w:color="auto"/>
            </w:tcBorders>
            <w:shd w:val="clear" w:color="auto" w:fill="DBE5F1" w:themeFill="accent1" w:themeFillTint="33"/>
            <w:vAlign w:val="center"/>
            <w:hideMark/>
          </w:tcPr>
          <w:p w14:paraId="7C62FFB8"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26,132</w:t>
            </w:r>
          </w:p>
        </w:tc>
        <w:tc>
          <w:tcPr>
            <w:tcW w:w="1074" w:type="dxa"/>
            <w:tcBorders>
              <w:bottom w:val="single" w:sz="4" w:space="0" w:color="auto"/>
              <w:right w:val="single" w:sz="4" w:space="0" w:color="auto"/>
            </w:tcBorders>
            <w:shd w:val="clear" w:color="auto" w:fill="DBE5F1" w:themeFill="accent1" w:themeFillTint="33"/>
            <w:vAlign w:val="center"/>
            <w:hideMark/>
          </w:tcPr>
          <w:p w14:paraId="7CF92389" w14:textId="77777777" w:rsidR="001E71A9" w:rsidRPr="00A5287D" w:rsidRDefault="001E71A9" w:rsidP="00CE2FDF">
            <w:pPr>
              <w:tabs>
                <w:tab w:val="left" w:pos="1134"/>
              </w:tabs>
              <w:spacing w:before="0" w:line="276" w:lineRule="auto"/>
              <w:jc w:val="right"/>
              <w:rPr>
                <w:rFonts w:ascii="Calibri" w:hAnsi="Calibri" w:cs="Arial"/>
              </w:rPr>
            </w:pPr>
            <w:r w:rsidRPr="00A5287D">
              <w:rPr>
                <w:rFonts w:ascii="Calibri" w:hAnsi="Calibri" w:cs="Arial"/>
              </w:rPr>
              <w:t>31,853</w:t>
            </w:r>
          </w:p>
        </w:tc>
        <w:tc>
          <w:tcPr>
            <w:tcW w:w="1074" w:type="dxa"/>
            <w:tcBorders>
              <w:left w:val="single" w:sz="4" w:space="0" w:color="auto"/>
              <w:bottom w:val="single" w:sz="4" w:space="0" w:color="auto"/>
            </w:tcBorders>
            <w:shd w:val="clear" w:color="auto" w:fill="DBE5F1" w:themeFill="accent1" w:themeFillTint="33"/>
            <w:vAlign w:val="center"/>
          </w:tcPr>
          <w:p w14:paraId="7CD53BF9" w14:textId="77777777" w:rsidR="001E71A9" w:rsidRPr="00A5287D" w:rsidRDefault="007454E2" w:rsidP="00CE2FDF">
            <w:pPr>
              <w:tabs>
                <w:tab w:val="left" w:pos="1134"/>
              </w:tabs>
              <w:spacing w:before="0" w:line="276" w:lineRule="auto"/>
              <w:jc w:val="right"/>
              <w:rPr>
                <w:rFonts w:ascii="Calibri" w:hAnsi="Calibri" w:cs="Arial"/>
                <w:b/>
              </w:rPr>
            </w:pPr>
            <w:r>
              <w:rPr>
                <w:rFonts w:ascii="Calibri" w:hAnsi="Calibri" w:cs="Arial"/>
                <w:b/>
              </w:rPr>
              <w:t>344,194</w:t>
            </w:r>
          </w:p>
        </w:tc>
      </w:tr>
    </w:tbl>
    <w:p w14:paraId="668A27B2" w14:textId="77777777" w:rsidR="00F2448E" w:rsidRDefault="00F2448E" w:rsidP="00B15586">
      <w:pPr>
        <w:spacing w:after="200" w:line="276" w:lineRule="auto"/>
        <w:rPr>
          <w:rFonts w:asciiTheme="majorHAnsi" w:eastAsiaTheme="majorEastAsia" w:hAnsiTheme="majorHAnsi" w:cstheme="majorBidi"/>
          <w:b/>
          <w:bCs/>
          <w:color w:val="17365D" w:themeColor="text2" w:themeShade="BF"/>
          <w:sz w:val="24"/>
          <w:szCs w:val="26"/>
        </w:rPr>
      </w:pPr>
      <w:r>
        <w:br w:type="page"/>
      </w:r>
    </w:p>
    <w:p w14:paraId="5D21C01D" w14:textId="77777777" w:rsidR="00441F98" w:rsidRDefault="00441F98" w:rsidP="0095311F">
      <w:pPr>
        <w:pStyle w:val="Figureheading"/>
      </w:pPr>
      <w:r>
        <w:lastRenderedPageBreak/>
        <w:t>3.5</w:t>
      </w:r>
      <w:r>
        <w:tab/>
        <w:t>Number</w:t>
      </w:r>
      <w:r w:rsidRPr="001F4E97">
        <w:t xml:space="preserve"> of distinct child</w:t>
      </w:r>
      <w:r>
        <w:t xml:space="preserve">ren in reports, by </w:t>
      </w:r>
      <w:r w:rsidRPr="001F4E97">
        <w:t>reporter group, by year,</w:t>
      </w:r>
      <w:r>
        <w:t xml:space="preserve"> with percentage change</w:t>
      </w:r>
    </w:p>
    <w:tbl>
      <w:tblPr>
        <w:tblStyle w:val="TableGrid"/>
        <w:tblW w:w="14425" w:type="dxa"/>
        <w:tblLayout w:type="fixed"/>
        <w:tblLook w:val="04A0" w:firstRow="1" w:lastRow="0" w:firstColumn="1" w:lastColumn="0" w:noHBand="0" w:noVBand="1"/>
        <w:tblCaption w:val="Number of distinct children in reports, by reporter group, by year, with percentage change"/>
      </w:tblPr>
      <w:tblGrid>
        <w:gridCol w:w="2518"/>
        <w:gridCol w:w="1077"/>
        <w:gridCol w:w="1077"/>
        <w:gridCol w:w="1077"/>
        <w:gridCol w:w="1078"/>
        <w:gridCol w:w="1077"/>
        <w:gridCol w:w="1077"/>
        <w:gridCol w:w="1078"/>
        <w:gridCol w:w="1077"/>
        <w:gridCol w:w="1077"/>
        <w:gridCol w:w="1078"/>
        <w:gridCol w:w="1134"/>
      </w:tblGrid>
      <w:tr w:rsidR="00F2448E" w:rsidRPr="00F2448E" w14:paraId="7618195C" w14:textId="77777777" w:rsidTr="001143BB">
        <w:trPr>
          <w:trHeight w:val="552"/>
          <w:tblHeader/>
        </w:trPr>
        <w:tc>
          <w:tcPr>
            <w:tcW w:w="2518" w:type="dxa"/>
            <w:tcBorders>
              <w:bottom w:val="single" w:sz="4" w:space="0" w:color="auto"/>
            </w:tcBorders>
            <w:shd w:val="clear" w:color="auto" w:fill="95B3D7" w:themeFill="accent1" w:themeFillTint="99"/>
            <w:vAlign w:val="center"/>
            <w:hideMark/>
          </w:tcPr>
          <w:p w14:paraId="72D3FA50" w14:textId="77777777" w:rsidR="00BF0D27" w:rsidRPr="00F2448E" w:rsidRDefault="00BF0D27" w:rsidP="00CE2FDF">
            <w:pPr>
              <w:spacing w:before="0" w:after="60" w:line="276" w:lineRule="auto"/>
              <w:rPr>
                <w:rFonts w:eastAsia="Times New Roman" w:cs="Arial"/>
                <w:b/>
                <w:bCs/>
                <w:lang w:eastAsia="en-AU"/>
              </w:rPr>
            </w:pPr>
          </w:p>
        </w:tc>
        <w:tc>
          <w:tcPr>
            <w:tcW w:w="1077" w:type="dxa"/>
            <w:tcBorders>
              <w:bottom w:val="single" w:sz="4" w:space="0" w:color="auto"/>
            </w:tcBorders>
            <w:shd w:val="clear" w:color="auto" w:fill="95B3D7" w:themeFill="accent1" w:themeFillTint="99"/>
            <w:vAlign w:val="center"/>
            <w:hideMark/>
          </w:tcPr>
          <w:p w14:paraId="4936D0D7"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2003</w:t>
            </w:r>
          </w:p>
        </w:tc>
        <w:tc>
          <w:tcPr>
            <w:tcW w:w="1077" w:type="dxa"/>
            <w:tcBorders>
              <w:bottom w:val="single" w:sz="4" w:space="0" w:color="auto"/>
            </w:tcBorders>
            <w:shd w:val="clear" w:color="auto" w:fill="95B3D7" w:themeFill="accent1" w:themeFillTint="99"/>
            <w:vAlign w:val="center"/>
            <w:hideMark/>
          </w:tcPr>
          <w:p w14:paraId="56F692A8"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2004</w:t>
            </w:r>
          </w:p>
        </w:tc>
        <w:tc>
          <w:tcPr>
            <w:tcW w:w="1077" w:type="dxa"/>
            <w:tcBorders>
              <w:bottom w:val="single" w:sz="4" w:space="0" w:color="auto"/>
            </w:tcBorders>
            <w:shd w:val="clear" w:color="auto" w:fill="95B3D7" w:themeFill="accent1" w:themeFillTint="99"/>
            <w:vAlign w:val="center"/>
            <w:hideMark/>
          </w:tcPr>
          <w:p w14:paraId="4C652CF8"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2005</w:t>
            </w:r>
          </w:p>
        </w:tc>
        <w:tc>
          <w:tcPr>
            <w:tcW w:w="1078" w:type="dxa"/>
            <w:tcBorders>
              <w:bottom w:val="single" w:sz="4" w:space="0" w:color="auto"/>
            </w:tcBorders>
            <w:shd w:val="clear" w:color="auto" w:fill="95B3D7" w:themeFill="accent1" w:themeFillTint="99"/>
            <w:vAlign w:val="center"/>
            <w:hideMark/>
          </w:tcPr>
          <w:p w14:paraId="607AFC2F"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2006</w:t>
            </w:r>
          </w:p>
        </w:tc>
        <w:tc>
          <w:tcPr>
            <w:tcW w:w="1077" w:type="dxa"/>
            <w:tcBorders>
              <w:bottom w:val="single" w:sz="4" w:space="0" w:color="auto"/>
            </w:tcBorders>
            <w:shd w:val="clear" w:color="auto" w:fill="95B3D7" w:themeFill="accent1" w:themeFillTint="99"/>
            <w:vAlign w:val="center"/>
            <w:hideMark/>
          </w:tcPr>
          <w:p w14:paraId="69298BF6"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2007</w:t>
            </w:r>
          </w:p>
        </w:tc>
        <w:tc>
          <w:tcPr>
            <w:tcW w:w="1077" w:type="dxa"/>
            <w:tcBorders>
              <w:bottom w:val="single" w:sz="4" w:space="0" w:color="auto"/>
            </w:tcBorders>
            <w:shd w:val="clear" w:color="auto" w:fill="95B3D7" w:themeFill="accent1" w:themeFillTint="99"/>
            <w:vAlign w:val="center"/>
            <w:hideMark/>
          </w:tcPr>
          <w:p w14:paraId="79EB43FD"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2008</w:t>
            </w:r>
          </w:p>
        </w:tc>
        <w:tc>
          <w:tcPr>
            <w:tcW w:w="1078" w:type="dxa"/>
            <w:tcBorders>
              <w:bottom w:val="single" w:sz="4" w:space="0" w:color="auto"/>
            </w:tcBorders>
            <w:shd w:val="clear" w:color="auto" w:fill="95B3D7" w:themeFill="accent1" w:themeFillTint="99"/>
            <w:vAlign w:val="center"/>
            <w:hideMark/>
          </w:tcPr>
          <w:p w14:paraId="519C4921"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2009</w:t>
            </w:r>
          </w:p>
        </w:tc>
        <w:tc>
          <w:tcPr>
            <w:tcW w:w="1077" w:type="dxa"/>
            <w:tcBorders>
              <w:bottom w:val="single" w:sz="4" w:space="0" w:color="auto"/>
            </w:tcBorders>
            <w:shd w:val="clear" w:color="auto" w:fill="95B3D7" w:themeFill="accent1" w:themeFillTint="99"/>
            <w:vAlign w:val="center"/>
            <w:hideMark/>
          </w:tcPr>
          <w:p w14:paraId="73AE5984"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2010</w:t>
            </w:r>
          </w:p>
        </w:tc>
        <w:tc>
          <w:tcPr>
            <w:tcW w:w="1077" w:type="dxa"/>
            <w:tcBorders>
              <w:bottom w:val="single" w:sz="4" w:space="0" w:color="auto"/>
            </w:tcBorders>
            <w:shd w:val="clear" w:color="auto" w:fill="95B3D7" w:themeFill="accent1" w:themeFillTint="99"/>
            <w:vAlign w:val="center"/>
            <w:hideMark/>
          </w:tcPr>
          <w:p w14:paraId="02AD17B1"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2011</w:t>
            </w:r>
          </w:p>
        </w:tc>
        <w:tc>
          <w:tcPr>
            <w:tcW w:w="1078" w:type="dxa"/>
            <w:tcBorders>
              <w:bottom w:val="single" w:sz="4" w:space="0" w:color="auto"/>
            </w:tcBorders>
            <w:shd w:val="clear" w:color="auto" w:fill="95B3D7" w:themeFill="accent1" w:themeFillTint="99"/>
            <w:vAlign w:val="center"/>
            <w:hideMark/>
          </w:tcPr>
          <w:p w14:paraId="457282CB" w14:textId="77777777" w:rsidR="00BF0D27" w:rsidRPr="00F2448E" w:rsidRDefault="00BF0D27" w:rsidP="00CE2FDF">
            <w:pPr>
              <w:spacing w:before="0" w:after="60" w:line="276" w:lineRule="auto"/>
              <w:jc w:val="right"/>
              <w:rPr>
                <w:rFonts w:eastAsia="Times New Roman" w:cs="Arial"/>
                <w:b/>
                <w:bCs/>
                <w:lang w:eastAsia="en-AU"/>
              </w:rPr>
            </w:pPr>
            <w:r w:rsidRPr="00F2448E">
              <w:rPr>
                <w:rFonts w:eastAsia="Times New Roman" w:cs="Arial"/>
                <w:b/>
                <w:bCs/>
                <w:lang w:eastAsia="en-AU"/>
              </w:rPr>
              <w:t>2012</w:t>
            </w:r>
          </w:p>
        </w:tc>
        <w:tc>
          <w:tcPr>
            <w:tcW w:w="1134" w:type="dxa"/>
            <w:tcBorders>
              <w:bottom w:val="single" w:sz="4" w:space="0" w:color="auto"/>
            </w:tcBorders>
            <w:shd w:val="clear" w:color="auto" w:fill="95B3D7" w:themeFill="accent1" w:themeFillTint="99"/>
            <w:noWrap/>
            <w:vAlign w:val="center"/>
            <w:hideMark/>
          </w:tcPr>
          <w:p w14:paraId="55108701" w14:textId="77777777" w:rsidR="00BF0D27" w:rsidRPr="00F2448E" w:rsidRDefault="00AC4C50" w:rsidP="00CE2FDF">
            <w:pPr>
              <w:spacing w:before="0" w:after="60" w:line="276" w:lineRule="auto"/>
              <w:jc w:val="right"/>
              <w:rPr>
                <w:rFonts w:eastAsia="Times New Roman" w:cs="Arial"/>
                <w:b/>
                <w:lang w:eastAsia="en-AU"/>
              </w:rPr>
            </w:pPr>
            <w:r w:rsidRPr="00F2448E">
              <w:rPr>
                <w:rFonts w:eastAsia="Times New Roman" w:cs="Arial"/>
                <w:b/>
                <w:lang w:eastAsia="en-AU"/>
              </w:rPr>
              <w:t>% change</w:t>
            </w:r>
          </w:p>
        </w:tc>
      </w:tr>
      <w:tr w:rsidR="00561E44" w:rsidRPr="00F2448E" w14:paraId="4C29A016" w14:textId="77777777" w:rsidTr="00F2448E">
        <w:trPr>
          <w:trHeight w:val="276"/>
        </w:trPr>
        <w:tc>
          <w:tcPr>
            <w:tcW w:w="2518" w:type="dxa"/>
            <w:tcBorders>
              <w:bottom w:val="nil"/>
            </w:tcBorders>
            <w:hideMark/>
          </w:tcPr>
          <w:p w14:paraId="1591E31F" w14:textId="77777777" w:rsidR="00BF0D27" w:rsidRPr="00F2448E" w:rsidRDefault="00BF0D27" w:rsidP="00CE2FDF">
            <w:pPr>
              <w:spacing w:before="0" w:after="60" w:line="276" w:lineRule="auto"/>
              <w:rPr>
                <w:rFonts w:eastAsia="Times New Roman" w:cs="Arial"/>
                <w:b/>
                <w:bCs/>
                <w:lang w:eastAsia="en-AU"/>
              </w:rPr>
            </w:pPr>
            <w:r w:rsidRPr="00F2448E">
              <w:rPr>
                <w:rFonts w:eastAsia="Times New Roman" w:cs="Arial"/>
                <w:b/>
                <w:lang w:eastAsia="en-AU"/>
              </w:rPr>
              <w:t>Doctors</w:t>
            </w:r>
          </w:p>
        </w:tc>
        <w:tc>
          <w:tcPr>
            <w:tcW w:w="1077" w:type="dxa"/>
            <w:tcBorders>
              <w:bottom w:val="nil"/>
            </w:tcBorders>
            <w:vAlign w:val="center"/>
            <w:hideMark/>
          </w:tcPr>
          <w:p w14:paraId="18C2EA1D"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1,008</w:t>
            </w:r>
          </w:p>
        </w:tc>
        <w:tc>
          <w:tcPr>
            <w:tcW w:w="1077" w:type="dxa"/>
            <w:tcBorders>
              <w:bottom w:val="nil"/>
            </w:tcBorders>
            <w:vAlign w:val="center"/>
            <w:hideMark/>
          </w:tcPr>
          <w:p w14:paraId="089C29D0"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897</w:t>
            </w:r>
          </w:p>
        </w:tc>
        <w:tc>
          <w:tcPr>
            <w:tcW w:w="1077" w:type="dxa"/>
            <w:tcBorders>
              <w:bottom w:val="nil"/>
            </w:tcBorders>
            <w:vAlign w:val="center"/>
            <w:hideMark/>
          </w:tcPr>
          <w:p w14:paraId="69FCCAC8"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864</w:t>
            </w:r>
          </w:p>
        </w:tc>
        <w:tc>
          <w:tcPr>
            <w:tcW w:w="1078" w:type="dxa"/>
            <w:tcBorders>
              <w:bottom w:val="nil"/>
            </w:tcBorders>
            <w:vAlign w:val="center"/>
            <w:hideMark/>
          </w:tcPr>
          <w:p w14:paraId="21FC39AB"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849</w:t>
            </w:r>
          </w:p>
        </w:tc>
        <w:tc>
          <w:tcPr>
            <w:tcW w:w="1077" w:type="dxa"/>
            <w:tcBorders>
              <w:bottom w:val="nil"/>
            </w:tcBorders>
            <w:vAlign w:val="center"/>
            <w:hideMark/>
          </w:tcPr>
          <w:p w14:paraId="643D14E2"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841</w:t>
            </w:r>
          </w:p>
        </w:tc>
        <w:tc>
          <w:tcPr>
            <w:tcW w:w="1077" w:type="dxa"/>
            <w:tcBorders>
              <w:bottom w:val="nil"/>
            </w:tcBorders>
            <w:vAlign w:val="center"/>
            <w:hideMark/>
          </w:tcPr>
          <w:p w14:paraId="1657120C"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943</w:t>
            </w:r>
          </w:p>
        </w:tc>
        <w:tc>
          <w:tcPr>
            <w:tcW w:w="1078" w:type="dxa"/>
            <w:tcBorders>
              <w:bottom w:val="nil"/>
            </w:tcBorders>
            <w:vAlign w:val="center"/>
            <w:hideMark/>
          </w:tcPr>
          <w:p w14:paraId="255C1813"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1,053</w:t>
            </w:r>
          </w:p>
        </w:tc>
        <w:tc>
          <w:tcPr>
            <w:tcW w:w="1077" w:type="dxa"/>
            <w:tcBorders>
              <w:bottom w:val="nil"/>
            </w:tcBorders>
            <w:vAlign w:val="center"/>
            <w:hideMark/>
          </w:tcPr>
          <w:p w14:paraId="59144FD7"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1,094</w:t>
            </w:r>
          </w:p>
        </w:tc>
        <w:tc>
          <w:tcPr>
            <w:tcW w:w="1077" w:type="dxa"/>
            <w:tcBorders>
              <w:bottom w:val="nil"/>
            </w:tcBorders>
            <w:vAlign w:val="center"/>
            <w:hideMark/>
          </w:tcPr>
          <w:p w14:paraId="7B47DB1F"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1,151</w:t>
            </w:r>
          </w:p>
        </w:tc>
        <w:tc>
          <w:tcPr>
            <w:tcW w:w="1078" w:type="dxa"/>
            <w:tcBorders>
              <w:bottom w:val="nil"/>
            </w:tcBorders>
            <w:vAlign w:val="center"/>
            <w:hideMark/>
          </w:tcPr>
          <w:p w14:paraId="0EAE234F"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1,244</w:t>
            </w:r>
          </w:p>
        </w:tc>
        <w:tc>
          <w:tcPr>
            <w:tcW w:w="1134" w:type="dxa"/>
            <w:tcBorders>
              <w:bottom w:val="nil"/>
            </w:tcBorders>
            <w:noWrap/>
            <w:vAlign w:val="center"/>
            <w:hideMark/>
          </w:tcPr>
          <w:p w14:paraId="498D48AB"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23.4%</w:t>
            </w:r>
          </w:p>
        </w:tc>
      </w:tr>
      <w:tr w:rsidR="00F2448E" w:rsidRPr="00F2448E" w14:paraId="6F320113" w14:textId="77777777" w:rsidTr="00F2448E">
        <w:trPr>
          <w:trHeight w:val="276"/>
        </w:trPr>
        <w:tc>
          <w:tcPr>
            <w:tcW w:w="2518" w:type="dxa"/>
            <w:tcBorders>
              <w:bottom w:val="nil"/>
            </w:tcBorders>
            <w:shd w:val="clear" w:color="auto" w:fill="DBE5F1" w:themeFill="accent1" w:themeFillTint="33"/>
            <w:hideMark/>
          </w:tcPr>
          <w:p w14:paraId="73EF4F45" w14:textId="77777777" w:rsidR="00BF0D27" w:rsidRPr="00F2448E" w:rsidRDefault="00BF0D27" w:rsidP="00CE2FDF">
            <w:pPr>
              <w:spacing w:before="0" w:after="60" w:line="276" w:lineRule="auto"/>
              <w:rPr>
                <w:rFonts w:eastAsia="Times New Roman" w:cs="Arial"/>
                <w:b/>
                <w:bCs/>
                <w:lang w:eastAsia="en-AU"/>
              </w:rPr>
            </w:pPr>
            <w:r w:rsidRPr="00F2448E">
              <w:rPr>
                <w:rFonts w:eastAsia="Times New Roman" w:cs="Arial"/>
                <w:b/>
                <w:lang w:eastAsia="en-AU"/>
              </w:rPr>
              <w:t>Nurses</w:t>
            </w:r>
          </w:p>
        </w:tc>
        <w:tc>
          <w:tcPr>
            <w:tcW w:w="1077" w:type="dxa"/>
            <w:tcBorders>
              <w:bottom w:val="nil"/>
            </w:tcBorders>
            <w:shd w:val="clear" w:color="auto" w:fill="DBE5F1" w:themeFill="accent1" w:themeFillTint="33"/>
            <w:vAlign w:val="center"/>
            <w:hideMark/>
          </w:tcPr>
          <w:p w14:paraId="3EC0FDC2"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1,313</w:t>
            </w:r>
          </w:p>
        </w:tc>
        <w:tc>
          <w:tcPr>
            <w:tcW w:w="1077" w:type="dxa"/>
            <w:tcBorders>
              <w:bottom w:val="nil"/>
            </w:tcBorders>
            <w:shd w:val="clear" w:color="auto" w:fill="DBE5F1" w:themeFill="accent1" w:themeFillTint="33"/>
            <w:vAlign w:val="center"/>
            <w:hideMark/>
          </w:tcPr>
          <w:p w14:paraId="0CD3C057"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1,337</w:t>
            </w:r>
          </w:p>
        </w:tc>
        <w:tc>
          <w:tcPr>
            <w:tcW w:w="1077" w:type="dxa"/>
            <w:tcBorders>
              <w:bottom w:val="nil"/>
            </w:tcBorders>
            <w:shd w:val="clear" w:color="auto" w:fill="DBE5F1" w:themeFill="accent1" w:themeFillTint="33"/>
            <w:vAlign w:val="center"/>
            <w:hideMark/>
          </w:tcPr>
          <w:p w14:paraId="32867A4F"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1,313</w:t>
            </w:r>
          </w:p>
        </w:tc>
        <w:tc>
          <w:tcPr>
            <w:tcW w:w="1078" w:type="dxa"/>
            <w:tcBorders>
              <w:bottom w:val="nil"/>
            </w:tcBorders>
            <w:shd w:val="clear" w:color="auto" w:fill="DBE5F1" w:themeFill="accent1" w:themeFillTint="33"/>
            <w:vAlign w:val="center"/>
            <w:hideMark/>
          </w:tcPr>
          <w:p w14:paraId="6C0F0515"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1,336</w:t>
            </w:r>
          </w:p>
        </w:tc>
        <w:tc>
          <w:tcPr>
            <w:tcW w:w="1077" w:type="dxa"/>
            <w:tcBorders>
              <w:bottom w:val="nil"/>
            </w:tcBorders>
            <w:shd w:val="clear" w:color="auto" w:fill="DBE5F1" w:themeFill="accent1" w:themeFillTint="33"/>
            <w:vAlign w:val="center"/>
            <w:hideMark/>
          </w:tcPr>
          <w:p w14:paraId="1742F569"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1,331</w:t>
            </w:r>
          </w:p>
        </w:tc>
        <w:tc>
          <w:tcPr>
            <w:tcW w:w="1077" w:type="dxa"/>
            <w:tcBorders>
              <w:bottom w:val="nil"/>
            </w:tcBorders>
            <w:shd w:val="clear" w:color="auto" w:fill="DBE5F1" w:themeFill="accent1" w:themeFillTint="33"/>
            <w:vAlign w:val="center"/>
            <w:hideMark/>
          </w:tcPr>
          <w:p w14:paraId="7ECD7D81"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1,384</w:t>
            </w:r>
          </w:p>
        </w:tc>
        <w:tc>
          <w:tcPr>
            <w:tcW w:w="1078" w:type="dxa"/>
            <w:tcBorders>
              <w:bottom w:val="nil"/>
            </w:tcBorders>
            <w:shd w:val="clear" w:color="auto" w:fill="DBE5F1" w:themeFill="accent1" w:themeFillTint="33"/>
            <w:vAlign w:val="center"/>
            <w:hideMark/>
          </w:tcPr>
          <w:p w14:paraId="2C54BF31"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1,238</w:t>
            </w:r>
          </w:p>
        </w:tc>
        <w:tc>
          <w:tcPr>
            <w:tcW w:w="1077" w:type="dxa"/>
            <w:tcBorders>
              <w:bottom w:val="nil"/>
            </w:tcBorders>
            <w:shd w:val="clear" w:color="auto" w:fill="DBE5F1" w:themeFill="accent1" w:themeFillTint="33"/>
            <w:vAlign w:val="center"/>
            <w:hideMark/>
          </w:tcPr>
          <w:p w14:paraId="4A37820F"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1,564</w:t>
            </w:r>
          </w:p>
        </w:tc>
        <w:tc>
          <w:tcPr>
            <w:tcW w:w="1077" w:type="dxa"/>
            <w:tcBorders>
              <w:bottom w:val="nil"/>
            </w:tcBorders>
            <w:shd w:val="clear" w:color="auto" w:fill="DBE5F1" w:themeFill="accent1" w:themeFillTint="33"/>
            <w:vAlign w:val="center"/>
            <w:hideMark/>
          </w:tcPr>
          <w:p w14:paraId="4E854952"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1,687</w:t>
            </w:r>
          </w:p>
        </w:tc>
        <w:tc>
          <w:tcPr>
            <w:tcW w:w="1078" w:type="dxa"/>
            <w:tcBorders>
              <w:bottom w:val="nil"/>
            </w:tcBorders>
            <w:shd w:val="clear" w:color="auto" w:fill="DBE5F1" w:themeFill="accent1" w:themeFillTint="33"/>
            <w:vAlign w:val="center"/>
            <w:hideMark/>
          </w:tcPr>
          <w:p w14:paraId="6A5AC0C1"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2,039</w:t>
            </w:r>
          </w:p>
        </w:tc>
        <w:tc>
          <w:tcPr>
            <w:tcW w:w="1134" w:type="dxa"/>
            <w:tcBorders>
              <w:bottom w:val="nil"/>
            </w:tcBorders>
            <w:shd w:val="clear" w:color="auto" w:fill="DBE5F1" w:themeFill="accent1" w:themeFillTint="33"/>
            <w:noWrap/>
            <w:vAlign w:val="center"/>
            <w:hideMark/>
          </w:tcPr>
          <w:p w14:paraId="36A19085"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55.3%</w:t>
            </w:r>
          </w:p>
        </w:tc>
      </w:tr>
      <w:tr w:rsidR="00561E44" w:rsidRPr="00F2448E" w14:paraId="33FA93B1" w14:textId="77777777" w:rsidTr="00F2448E">
        <w:trPr>
          <w:trHeight w:val="276"/>
        </w:trPr>
        <w:tc>
          <w:tcPr>
            <w:tcW w:w="2518" w:type="dxa"/>
            <w:tcBorders>
              <w:bottom w:val="nil"/>
            </w:tcBorders>
            <w:hideMark/>
          </w:tcPr>
          <w:p w14:paraId="6C603008" w14:textId="77777777" w:rsidR="00BF0D27" w:rsidRPr="00F2448E" w:rsidRDefault="00BF0D27" w:rsidP="00CE2FDF">
            <w:pPr>
              <w:spacing w:before="0" w:after="60" w:line="276" w:lineRule="auto"/>
              <w:rPr>
                <w:rFonts w:eastAsia="Times New Roman" w:cs="Arial"/>
                <w:b/>
                <w:bCs/>
                <w:lang w:eastAsia="en-AU"/>
              </w:rPr>
            </w:pPr>
            <w:r w:rsidRPr="00F2448E">
              <w:rPr>
                <w:rFonts w:eastAsia="Times New Roman" w:cs="Arial"/>
                <w:b/>
                <w:lang w:eastAsia="en-AU"/>
              </w:rPr>
              <w:t>Police</w:t>
            </w:r>
          </w:p>
        </w:tc>
        <w:tc>
          <w:tcPr>
            <w:tcW w:w="1077" w:type="dxa"/>
            <w:tcBorders>
              <w:bottom w:val="nil"/>
            </w:tcBorders>
            <w:vAlign w:val="center"/>
            <w:hideMark/>
          </w:tcPr>
          <w:p w14:paraId="411FA61B"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6,057</w:t>
            </w:r>
          </w:p>
        </w:tc>
        <w:tc>
          <w:tcPr>
            <w:tcW w:w="1077" w:type="dxa"/>
            <w:tcBorders>
              <w:bottom w:val="nil"/>
            </w:tcBorders>
            <w:vAlign w:val="center"/>
            <w:hideMark/>
          </w:tcPr>
          <w:p w14:paraId="763435BE"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6,087</w:t>
            </w:r>
          </w:p>
        </w:tc>
        <w:tc>
          <w:tcPr>
            <w:tcW w:w="1077" w:type="dxa"/>
            <w:tcBorders>
              <w:bottom w:val="nil"/>
            </w:tcBorders>
            <w:vAlign w:val="center"/>
            <w:hideMark/>
          </w:tcPr>
          <w:p w14:paraId="4BFEB55B"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6,558</w:t>
            </w:r>
          </w:p>
        </w:tc>
        <w:tc>
          <w:tcPr>
            <w:tcW w:w="1078" w:type="dxa"/>
            <w:tcBorders>
              <w:bottom w:val="nil"/>
            </w:tcBorders>
            <w:vAlign w:val="center"/>
            <w:hideMark/>
          </w:tcPr>
          <w:p w14:paraId="05803D4D"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6,929</w:t>
            </w:r>
          </w:p>
        </w:tc>
        <w:tc>
          <w:tcPr>
            <w:tcW w:w="1077" w:type="dxa"/>
            <w:tcBorders>
              <w:bottom w:val="nil"/>
            </w:tcBorders>
            <w:vAlign w:val="center"/>
            <w:hideMark/>
          </w:tcPr>
          <w:p w14:paraId="23BC7343"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7,110</w:t>
            </w:r>
          </w:p>
        </w:tc>
        <w:tc>
          <w:tcPr>
            <w:tcW w:w="1077" w:type="dxa"/>
            <w:tcBorders>
              <w:bottom w:val="nil"/>
            </w:tcBorders>
            <w:vAlign w:val="center"/>
            <w:hideMark/>
          </w:tcPr>
          <w:p w14:paraId="0F9EA556"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7,889</w:t>
            </w:r>
          </w:p>
        </w:tc>
        <w:tc>
          <w:tcPr>
            <w:tcW w:w="1078" w:type="dxa"/>
            <w:tcBorders>
              <w:bottom w:val="nil"/>
            </w:tcBorders>
            <w:vAlign w:val="center"/>
            <w:hideMark/>
          </w:tcPr>
          <w:p w14:paraId="54399F78"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9,457</w:t>
            </w:r>
          </w:p>
        </w:tc>
        <w:tc>
          <w:tcPr>
            <w:tcW w:w="1077" w:type="dxa"/>
            <w:tcBorders>
              <w:bottom w:val="nil"/>
            </w:tcBorders>
            <w:vAlign w:val="center"/>
            <w:hideMark/>
          </w:tcPr>
          <w:p w14:paraId="41A7A685"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13,077</w:t>
            </w:r>
          </w:p>
        </w:tc>
        <w:tc>
          <w:tcPr>
            <w:tcW w:w="1077" w:type="dxa"/>
            <w:tcBorders>
              <w:bottom w:val="nil"/>
            </w:tcBorders>
            <w:vAlign w:val="center"/>
            <w:hideMark/>
          </w:tcPr>
          <w:p w14:paraId="57AC13AF"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14,186</w:t>
            </w:r>
          </w:p>
        </w:tc>
        <w:tc>
          <w:tcPr>
            <w:tcW w:w="1078" w:type="dxa"/>
            <w:tcBorders>
              <w:bottom w:val="nil"/>
            </w:tcBorders>
            <w:vAlign w:val="center"/>
            <w:hideMark/>
          </w:tcPr>
          <w:p w14:paraId="7F7BF278"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18,457</w:t>
            </w:r>
          </w:p>
        </w:tc>
        <w:tc>
          <w:tcPr>
            <w:tcW w:w="1134" w:type="dxa"/>
            <w:tcBorders>
              <w:bottom w:val="nil"/>
            </w:tcBorders>
            <w:noWrap/>
            <w:vAlign w:val="center"/>
            <w:hideMark/>
          </w:tcPr>
          <w:p w14:paraId="5111D3E3"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204.7%</w:t>
            </w:r>
          </w:p>
        </w:tc>
      </w:tr>
      <w:tr w:rsidR="00F2448E" w:rsidRPr="00F2448E" w14:paraId="0D996B3A" w14:textId="77777777" w:rsidTr="00F2448E">
        <w:trPr>
          <w:trHeight w:val="276"/>
        </w:trPr>
        <w:tc>
          <w:tcPr>
            <w:tcW w:w="2518" w:type="dxa"/>
            <w:tcBorders>
              <w:bottom w:val="nil"/>
            </w:tcBorders>
            <w:shd w:val="clear" w:color="auto" w:fill="DBE5F1" w:themeFill="accent1" w:themeFillTint="33"/>
            <w:hideMark/>
          </w:tcPr>
          <w:p w14:paraId="2F00BA2E" w14:textId="77777777" w:rsidR="00BF0D27" w:rsidRPr="00F2448E" w:rsidRDefault="00AC4C50" w:rsidP="00CE2FDF">
            <w:pPr>
              <w:spacing w:before="0" w:after="60" w:line="276" w:lineRule="auto"/>
              <w:rPr>
                <w:rFonts w:eastAsia="Times New Roman" w:cs="Arial"/>
                <w:b/>
                <w:bCs/>
                <w:lang w:eastAsia="en-AU"/>
              </w:rPr>
            </w:pPr>
            <w:r w:rsidRPr="00F2448E">
              <w:rPr>
                <w:rFonts w:eastAsia="Times New Roman" w:cs="Arial"/>
                <w:b/>
                <w:lang w:eastAsia="en-AU"/>
              </w:rPr>
              <w:t>School personnel</w:t>
            </w:r>
          </w:p>
        </w:tc>
        <w:tc>
          <w:tcPr>
            <w:tcW w:w="1077" w:type="dxa"/>
            <w:tcBorders>
              <w:bottom w:val="nil"/>
            </w:tcBorders>
            <w:shd w:val="clear" w:color="auto" w:fill="DBE5F1" w:themeFill="accent1" w:themeFillTint="33"/>
            <w:vAlign w:val="center"/>
            <w:hideMark/>
          </w:tcPr>
          <w:p w14:paraId="49F33820"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337</w:t>
            </w:r>
          </w:p>
        </w:tc>
        <w:tc>
          <w:tcPr>
            <w:tcW w:w="1077" w:type="dxa"/>
            <w:tcBorders>
              <w:bottom w:val="nil"/>
            </w:tcBorders>
            <w:shd w:val="clear" w:color="auto" w:fill="DBE5F1" w:themeFill="accent1" w:themeFillTint="33"/>
            <w:vAlign w:val="center"/>
            <w:hideMark/>
          </w:tcPr>
          <w:p w14:paraId="12BCED0F"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3,361</w:t>
            </w:r>
          </w:p>
        </w:tc>
        <w:tc>
          <w:tcPr>
            <w:tcW w:w="1077" w:type="dxa"/>
            <w:tcBorders>
              <w:bottom w:val="nil"/>
            </w:tcBorders>
            <w:shd w:val="clear" w:color="auto" w:fill="DBE5F1" w:themeFill="accent1" w:themeFillTint="33"/>
            <w:vAlign w:val="center"/>
            <w:hideMark/>
          </w:tcPr>
          <w:p w14:paraId="74DF0C39"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3,312</w:t>
            </w:r>
          </w:p>
        </w:tc>
        <w:tc>
          <w:tcPr>
            <w:tcW w:w="1078" w:type="dxa"/>
            <w:tcBorders>
              <w:bottom w:val="nil"/>
            </w:tcBorders>
            <w:shd w:val="clear" w:color="auto" w:fill="DBE5F1" w:themeFill="accent1" w:themeFillTint="33"/>
            <w:vAlign w:val="center"/>
            <w:hideMark/>
          </w:tcPr>
          <w:p w14:paraId="2BE4D441"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3,656</w:t>
            </w:r>
          </w:p>
        </w:tc>
        <w:tc>
          <w:tcPr>
            <w:tcW w:w="1077" w:type="dxa"/>
            <w:tcBorders>
              <w:bottom w:val="nil"/>
            </w:tcBorders>
            <w:shd w:val="clear" w:color="auto" w:fill="DBE5F1" w:themeFill="accent1" w:themeFillTint="33"/>
            <w:vAlign w:val="center"/>
            <w:hideMark/>
          </w:tcPr>
          <w:p w14:paraId="04AF8AAC"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4,104</w:t>
            </w:r>
          </w:p>
        </w:tc>
        <w:tc>
          <w:tcPr>
            <w:tcW w:w="1077" w:type="dxa"/>
            <w:tcBorders>
              <w:bottom w:val="nil"/>
            </w:tcBorders>
            <w:shd w:val="clear" w:color="auto" w:fill="DBE5F1" w:themeFill="accent1" w:themeFillTint="33"/>
            <w:vAlign w:val="center"/>
            <w:hideMark/>
          </w:tcPr>
          <w:p w14:paraId="5D679FC8"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5,457</w:t>
            </w:r>
          </w:p>
        </w:tc>
        <w:tc>
          <w:tcPr>
            <w:tcW w:w="1078" w:type="dxa"/>
            <w:tcBorders>
              <w:bottom w:val="nil"/>
            </w:tcBorders>
            <w:shd w:val="clear" w:color="auto" w:fill="DBE5F1" w:themeFill="accent1" w:themeFillTint="33"/>
            <w:vAlign w:val="center"/>
            <w:hideMark/>
          </w:tcPr>
          <w:p w14:paraId="6B699771"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6,200</w:t>
            </w:r>
          </w:p>
        </w:tc>
        <w:tc>
          <w:tcPr>
            <w:tcW w:w="1077" w:type="dxa"/>
            <w:tcBorders>
              <w:bottom w:val="nil"/>
            </w:tcBorders>
            <w:shd w:val="clear" w:color="auto" w:fill="DBE5F1" w:themeFill="accent1" w:themeFillTint="33"/>
            <w:vAlign w:val="center"/>
            <w:hideMark/>
          </w:tcPr>
          <w:p w14:paraId="4CE3B772"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6,857</w:t>
            </w:r>
          </w:p>
        </w:tc>
        <w:tc>
          <w:tcPr>
            <w:tcW w:w="1077" w:type="dxa"/>
            <w:tcBorders>
              <w:bottom w:val="nil"/>
            </w:tcBorders>
            <w:shd w:val="clear" w:color="auto" w:fill="DBE5F1" w:themeFill="accent1" w:themeFillTint="33"/>
            <w:vAlign w:val="center"/>
            <w:hideMark/>
          </w:tcPr>
          <w:p w14:paraId="570171BF"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8,077</w:t>
            </w:r>
          </w:p>
        </w:tc>
        <w:tc>
          <w:tcPr>
            <w:tcW w:w="1078" w:type="dxa"/>
            <w:tcBorders>
              <w:bottom w:val="nil"/>
            </w:tcBorders>
            <w:shd w:val="clear" w:color="auto" w:fill="DBE5F1" w:themeFill="accent1" w:themeFillTint="33"/>
            <w:vAlign w:val="center"/>
            <w:hideMark/>
          </w:tcPr>
          <w:p w14:paraId="6D75845A"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9,243</w:t>
            </w:r>
          </w:p>
        </w:tc>
        <w:tc>
          <w:tcPr>
            <w:tcW w:w="1134" w:type="dxa"/>
            <w:tcBorders>
              <w:bottom w:val="nil"/>
            </w:tcBorders>
            <w:shd w:val="clear" w:color="auto" w:fill="DBE5F1" w:themeFill="accent1" w:themeFillTint="33"/>
            <w:noWrap/>
            <w:vAlign w:val="center"/>
            <w:hideMark/>
          </w:tcPr>
          <w:p w14:paraId="506353FA" w14:textId="77777777" w:rsidR="00BF0D27" w:rsidRPr="00F2448E" w:rsidRDefault="00BF0D27" w:rsidP="00CE2FDF">
            <w:pPr>
              <w:spacing w:before="0" w:after="60" w:line="276" w:lineRule="auto"/>
              <w:jc w:val="right"/>
              <w:rPr>
                <w:rFonts w:eastAsia="Times New Roman" w:cs="Arial"/>
                <w:lang w:eastAsia="en-AU"/>
              </w:rPr>
            </w:pPr>
            <w:r w:rsidRPr="00F2448E">
              <w:rPr>
                <w:rFonts w:eastAsia="Times New Roman" w:cs="Arial"/>
                <w:lang w:eastAsia="en-AU"/>
              </w:rPr>
              <w:t>177.0%</w:t>
            </w:r>
          </w:p>
        </w:tc>
      </w:tr>
      <w:tr w:rsidR="00561E44" w:rsidRPr="00F2448E" w14:paraId="7303AEDC" w14:textId="77777777" w:rsidTr="00F2448E">
        <w:trPr>
          <w:trHeight w:val="276"/>
        </w:trPr>
        <w:tc>
          <w:tcPr>
            <w:tcW w:w="2518" w:type="dxa"/>
            <w:tcBorders>
              <w:bottom w:val="nil"/>
            </w:tcBorders>
            <w:shd w:val="clear" w:color="auto" w:fill="auto"/>
            <w:hideMark/>
          </w:tcPr>
          <w:p w14:paraId="51B33589" w14:textId="77777777" w:rsidR="00244F16" w:rsidRPr="00F2448E" w:rsidRDefault="00244F16" w:rsidP="00CE2FDF">
            <w:pPr>
              <w:spacing w:before="0" w:after="60" w:line="276" w:lineRule="auto"/>
              <w:rPr>
                <w:rFonts w:eastAsia="Times New Roman" w:cs="Arial"/>
                <w:b/>
                <w:bCs/>
                <w:lang w:eastAsia="en-AU"/>
              </w:rPr>
            </w:pPr>
            <w:r w:rsidRPr="00F2448E">
              <w:rPr>
                <w:rFonts w:eastAsia="Times New Roman" w:cs="Arial"/>
                <w:b/>
                <w:lang w:eastAsia="en-AU"/>
              </w:rPr>
              <w:t>Psychiatrists</w:t>
            </w:r>
          </w:p>
        </w:tc>
        <w:tc>
          <w:tcPr>
            <w:tcW w:w="1077" w:type="dxa"/>
            <w:tcBorders>
              <w:bottom w:val="nil"/>
            </w:tcBorders>
            <w:shd w:val="clear" w:color="auto" w:fill="auto"/>
            <w:vAlign w:val="center"/>
            <w:hideMark/>
          </w:tcPr>
          <w:p w14:paraId="63199BB7"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147</w:t>
            </w:r>
          </w:p>
        </w:tc>
        <w:tc>
          <w:tcPr>
            <w:tcW w:w="1077" w:type="dxa"/>
            <w:tcBorders>
              <w:bottom w:val="nil"/>
            </w:tcBorders>
            <w:shd w:val="clear" w:color="auto" w:fill="auto"/>
            <w:vAlign w:val="center"/>
            <w:hideMark/>
          </w:tcPr>
          <w:p w14:paraId="6877983D"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214</w:t>
            </w:r>
          </w:p>
        </w:tc>
        <w:tc>
          <w:tcPr>
            <w:tcW w:w="1077" w:type="dxa"/>
            <w:tcBorders>
              <w:bottom w:val="nil"/>
            </w:tcBorders>
            <w:shd w:val="clear" w:color="auto" w:fill="auto"/>
            <w:vAlign w:val="center"/>
            <w:hideMark/>
          </w:tcPr>
          <w:p w14:paraId="4F18576B"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134</w:t>
            </w:r>
          </w:p>
        </w:tc>
        <w:tc>
          <w:tcPr>
            <w:tcW w:w="1078" w:type="dxa"/>
            <w:tcBorders>
              <w:bottom w:val="nil"/>
            </w:tcBorders>
            <w:shd w:val="clear" w:color="auto" w:fill="auto"/>
            <w:vAlign w:val="center"/>
            <w:hideMark/>
          </w:tcPr>
          <w:p w14:paraId="73DE75FD"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190</w:t>
            </w:r>
          </w:p>
        </w:tc>
        <w:tc>
          <w:tcPr>
            <w:tcW w:w="1077" w:type="dxa"/>
            <w:tcBorders>
              <w:bottom w:val="nil"/>
            </w:tcBorders>
            <w:shd w:val="clear" w:color="auto" w:fill="auto"/>
            <w:vAlign w:val="center"/>
            <w:hideMark/>
          </w:tcPr>
          <w:p w14:paraId="38616E1C"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136</w:t>
            </w:r>
          </w:p>
        </w:tc>
        <w:tc>
          <w:tcPr>
            <w:tcW w:w="1077" w:type="dxa"/>
            <w:tcBorders>
              <w:bottom w:val="nil"/>
            </w:tcBorders>
            <w:shd w:val="clear" w:color="auto" w:fill="auto"/>
            <w:vAlign w:val="center"/>
            <w:hideMark/>
          </w:tcPr>
          <w:p w14:paraId="0CCA041D"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172</w:t>
            </w:r>
          </w:p>
        </w:tc>
        <w:tc>
          <w:tcPr>
            <w:tcW w:w="1078" w:type="dxa"/>
            <w:tcBorders>
              <w:bottom w:val="nil"/>
            </w:tcBorders>
            <w:shd w:val="clear" w:color="auto" w:fill="auto"/>
            <w:vAlign w:val="center"/>
            <w:hideMark/>
          </w:tcPr>
          <w:p w14:paraId="3D0C7B24"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192</w:t>
            </w:r>
          </w:p>
        </w:tc>
        <w:tc>
          <w:tcPr>
            <w:tcW w:w="1077" w:type="dxa"/>
            <w:tcBorders>
              <w:bottom w:val="nil"/>
            </w:tcBorders>
            <w:shd w:val="clear" w:color="auto" w:fill="auto"/>
            <w:vAlign w:val="center"/>
            <w:hideMark/>
          </w:tcPr>
          <w:p w14:paraId="22DCED2C"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196</w:t>
            </w:r>
          </w:p>
        </w:tc>
        <w:tc>
          <w:tcPr>
            <w:tcW w:w="1077" w:type="dxa"/>
            <w:tcBorders>
              <w:bottom w:val="nil"/>
            </w:tcBorders>
            <w:shd w:val="clear" w:color="auto" w:fill="auto"/>
            <w:vAlign w:val="center"/>
            <w:hideMark/>
          </w:tcPr>
          <w:p w14:paraId="10836357"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190</w:t>
            </w:r>
          </w:p>
        </w:tc>
        <w:tc>
          <w:tcPr>
            <w:tcW w:w="1078" w:type="dxa"/>
            <w:tcBorders>
              <w:bottom w:val="nil"/>
            </w:tcBorders>
            <w:shd w:val="clear" w:color="auto" w:fill="auto"/>
            <w:vAlign w:val="center"/>
            <w:hideMark/>
          </w:tcPr>
          <w:p w14:paraId="1B86B67B"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172</w:t>
            </w:r>
          </w:p>
        </w:tc>
        <w:tc>
          <w:tcPr>
            <w:tcW w:w="1134" w:type="dxa"/>
            <w:tcBorders>
              <w:bottom w:val="nil"/>
            </w:tcBorders>
            <w:shd w:val="clear" w:color="auto" w:fill="auto"/>
            <w:noWrap/>
            <w:vAlign w:val="center"/>
            <w:hideMark/>
          </w:tcPr>
          <w:p w14:paraId="1A13572A" w14:textId="77777777" w:rsidR="00244F16" w:rsidRPr="00F2448E" w:rsidRDefault="00244F16" w:rsidP="00CE2FDF">
            <w:pPr>
              <w:spacing w:before="0" w:after="60" w:line="276" w:lineRule="auto"/>
              <w:jc w:val="right"/>
              <w:rPr>
                <w:rFonts w:eastAsia="Times New Roman" w:cs="Arial"/>
                <w:lang w:eastAsia="en-AU"/>
              </w:rPr>
            </w:pPr>
            <w:r w:rsidRPr="00F2448E">
              <w:rPr>
                <w:rFonts w:eastAsia="Times New Roman" w:cs="Arial"/>
                <w:lang w:eastAsia="en-AU"/>
              </w:rPr>
              <w:t>17.0%</w:t>
            </w:r>
          </w:p>
        </w:tc>
      </w:tr>
      <w:tr w:rsidR="00F2448E" w:rsidRPr="00F2448E" w14:paraId="2BF9D35D" w14:textId="77777777" w:rsidTr="00F2448E">
        <w:trPr>
          <w:trHeight w:val="283"/>
        </w:trPr>
        <w:tc>
          <w:tcPr>
            <w:tcW w:w="2518" w:type="dxa"/>
            <w:shd w:val="clear" w:color="auto" w:fill="DBE5F1" w:themeFill="accent1" w:themeFillTint="33"/>
            <w:vAlign w:val="center"/>
            <w:hideMark/>
          </w:tcPr>
          <w:p w14:paraId="6F582E7F" w14:textId="77777777" w:rsidR="00441F98" w:rsidRPr="00F2448E" w:rsidRDefault="00441F98" w:rsidP="00CE2FDF">
            <w:pPr>
              <w:spacing w:before="0" w:after="60" w:line="276" w:lineRule="auto"/>
              <w:rPr>
                <w:rFonts w:eastAsia="Times New Roman" w:cs="Arial"/>
                <w:b/>
                <w:color w:val="000000"/>
                <w:lang w:eastAsia="en-AU"/>
              </w:rPr>
            </w:pPr>
            <w:r w:rsidRPr="00F2448E">
              <w:rPr>
                <w:rFonts w:eastAsia="Times New Roman" w:cs="Arial"/>
                <w:b/>
                <w:color w:val="000000"/>
                <w:lang w:eastAsia="en-AU"/>
              </w:rPr>
              <w:t>Major mandated reporter groups combined</w:t>
            </w:r>
          </w:p>
        </w:tc>
        <w:tc>
          <w:tcPr>
            <w:tcW w:w="1077" w:type="dxa"/>
            <w:tcBorders>
              <w:bottom w:val="nil"/>
            </w:tcBorders>
            <w:shd w:val="clear" w:color="auto" w:fill="DBE5F1" w:themeFill="accent1" w:themeFillTint="33"/>
            <w:vAlign w:val="center"/>
            <w:hideMark/>
          </w:tcPr>
          <w:p w14:paraId="24FCB2A7"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11,374</w:t>
            </w:r>
          </w:p>
        </w:tc>
        <w:tc>
          <w:tcPr>
            <w:tcW w:w="1077" w:type="dxa"/>
            <w:tcBorders>
              <w:bottom w:val="nil"/>
            </w:tcBorders>
            <w:shd w:val="clear" w:color="auto" w:fill="DBE5F1" w:themeFill="accent1" w:themeFillTint="33"/>
            <w:vAlign w:val="center"/>
            <w:hideMark/>
          </w:tcPr>
          <w:p w14:paraId="0D5E7588"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11,413</w:t>
            </w:r>
          </w:p>
        </w:tc>
        <w:tc>
          <w:tcPr>
            <w:tcW w:w="1077" w:type="dxa"/>
            <w:tcBorders>
              <w:bottom w:val="nil"/>
            </w:tcBorders>
            <w:shd w:val="clear" w:color="auto" w:fill="DBE5F1" w:themeFill="accent1" w:themeFillTint="33"/>
            <w:vAlign w:val="center"/>
            <w:hideMark/>
          </w:tcPr>
          <w:p w14:paraId="7BCF931B"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11,768</w:t>
            </w:r>
          </w:p>
        </w:tc>
        <w:tc>
          <w:tcPr>
            <w:tcW w:w="1078" w:type="dxa"/>
            <w:tcBorders>
              <w:bottom w:val="nil"/>
            </w:tcBorders>
            <w:shd w:val="clear" w:color="auto" w:fill="DBE5F1" w:themeFill="accent1" w:themeFillTint="33"/>
            <w:vAlign w:val="center"/>
            <w:hideMark/>
          </w:tcPr>
          <w:p w14:paraId="654B758E"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12,489</w:t>
            </w:r>
          </w:p>
        </w:tc>
        <w:tc>
          <w:tcPr>
            <w:tcW w:w="1077" w:type="dxa"/>
            <w:tcBorders>
              <w:bottom w:val="nil"/>
            </w:tcBorders>
            <w:shd w:val="clear" w:color="auto" w:fill="DBE5F1" w:themeFill="accent1" w:themeFillTint="33"/>
            <w:vAlign w:val="center"/>
            <w:hideMark/>
          </w:tcPr>
          <w:p w14:paraId="1AE9C771"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13,074</w:t>
            </w:r>
          </w:p>
        </w:tc>
        <w:tc>
          <w:tcPr>
            <w:tcW w:w="1077" w:type="dxa"/>
            <w:tcBorders>
              <w:bottom w:val="nil"/>
            </w:tcBorders>
            <w:shd w:val="clear" w:color="auto" w:fill="DBE5F1" w:themeFill="accent1" w:themeFillTint="33"/>
            <w:vAlign w:val="center"/>
            <w:hideMark/>
          </w:tcPr>
          <w:p w14:paraId="15950163"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15,278</w:t>
            </w:r>
          </w:p>
        </w:tc>
        <w:tc>
          <w:tcPr>
            <w:tcW w:w="1078" w:type="dxa"/>
            <w:tcBorders>
              <w:bottom w:val="nil"/>
            </w:tcBorders>
            <w:shd w:val="clear" w:color="auto" w:fill="DBE5F1" w:themeFill="accent1" w:themeFillTint="33"/>
            <w:vAlign w:val="center"/>
            <w:hideMark/>
          </w:tcPr>
          <w:p w14:paraId="1062E372"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17,456</w:t>
            </w:r>
          </w:p>
        </w:tc>
        <w:tc>
          <w:tcPr>
            <w:tcW w:w="1077" w:type="dxa"/>
            <w:tcBorders>
              <w:bottom w:val="nil"/>
            </w:tcBorders>
            <w:shd w:val="clear" w:color="auto" w:fill="DBE5F1" w:themeFill="accent1" w:themeFillTint="33"/>
            <w:vAlign w:val="center"/>
            <w:hideMark/>
          </w:tcPr>
          <w:p w14:paraId="3CBC53E5"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21,819</w:t>
            </w:r>
          </w:p>
        </w:tc>
        <w:tc>
          <w:tcPr>
            <w:tcW w:w="1077" w:type="dxa"/>
            <w:tcBorders>
              <w:bottom w:val="nil"/>
            </w:tcBorders>
            <w:shd w:val="clear" w:color="auto" w:fill="DBE5F1" w:themeFill="accent1" w:themeFillTint="33"/>
            <w:vAlign w:val="center"/>
            <w:hideMark/>
          </w:tcPr>
          <w:p w14:paraId="1FEB5CF9"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24,056</w:t>
            </w:r>
          </w:p>
        </w:tc>
        <w:tc>
          <w:tcPr>
            <w:tcW w:w="1078" w:type="dxa"/>
            <w:tcBorders>
              <w:bottom w:val="nil"/>
            </w:tcBorders>
            <w:shd w:val="clear" w:color="auto" w:fill="DBE5F1" w:themeFill="accent1" w:themeFillTint="33"/>
            <w:vAlign w:val="center"/>
            <w:hideMark/>
          </w:tcPr>
          <w:p w14:paraId="235A7BB3"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29,498</w:t>
            </w:r>
          </w:p>
        </w:tc>
        <w:tc>
          <w:tcPr>
            <w:tcW w:w="1134" w:type="dxa"/>
            <w:tcBorders>
              <w:bottom w:val="nil"/>
            </w:tcBorders>
            <w:shd w:val="clear" w:color="auto" w:fill="DBE5F1" w:themeFill="accent1" w:themeFillTint="33"/>
            <w:noWrap/>
            <w:vAlign w:val="center"/>
            <w:hideMark/>
          </w:tcPr>
          <w:p w14:paraId="61484131"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159.4%</w:t>
            </w:r>
          </w:p>
        </w:tc>
      </w:tr>
      <w:tr w:rsidR="00441F98" w:rsidRPr="00F2448E" w14:paraId="24AC1BC1" w14:textId="77777777" w:rsidTr="00F2448E">
        <w:trPr>
          <w:trHeight w:val="276"/>
        </w:trPr>
        <w:tc>
          <w:tcPr>
            <w:tcW w:w="2518" w:type="dxa"/>
            <w:tcBorders>
              <w:bottom w:val="nil"/>
            </w:tcBorders>
            <w:vAlign w:val="center"/>
            <w:hideMark/>
          </w:tcPr>
          <w:p w14:paraId="2A2E531B" w14:textId="77777777" w:rsidR="00441F98" w:rsidRPr="00F2448E" w:rsidRDefault="00441F98" w:rsidP="00CE2FDF">
            <w:pPr>
              <w:spacing w:before="0" w:after="60" w:line="276" w:lineRule="auto"/>
              <w:rPr>
                <w:rFonts w:eastAsia="Times New Roman" w:cs="Arial"/>
                <w:b/>
                <w:color w:val="000000"/>
                <w:lang w:eastAsia="en-AU"/>
              </w:rPr>
            </w:pPr>
            <w:r w:rsidRPr="00F2448E">
              <w:rPr>
                <w:rFonts w:eastAsia="Times New Roman" w:cs="Arial"/>
                <w:b/>
                <w:color w:val="000000"/>
                <w:lang w:eastAsia="en-AU"/>
              </w:rPr>
              <w:t>Other reporter groups combined</w:t>
            </w:r>
          </w:p>
        </w:tc>
        <w:tc>
          <w:tcPr>
            <w:tcW w:w="1077" w:type="dxa"/>
            <w:tcBorders>
              <w:bottom w:val="nil"/>
            </w:tcBorders>
            <w:vAlign w:val="center"/>
            <w:hideMark/>
          </w:tcPr>
          <w:p w14:paraId="4E36EEC0"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19,395</w:t>
            </w:r>
          </w:p>
        </w:tc>
        <w:tc>
          <w:tcPr>
            <w:tcW w:w="1077" w:type="dxa"/>
            <w:tcBorders>
              <w:bottom w:val="nil"/>
            </w:tcBorders>
            <w:vAlign w:val="center"/>
            <w:hideMark/>
          </w:tcPr>
          <w:p w14:paraId="2C722194"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19,884</w:t>
            </w:r>
          </w:p>
        </w:tc>
        <w:tc>
          <w:tcPr>
            <w:tcW w:w="1077" w:type="dxa"/>
            <w:tcBorders>
              <w:bottom w:val="nil"/>
            </w:tcBorders>
            <w:vAlign w:val="center"/>
            <w:hideMark/>
          </w:tcPr>
          <w:p w14:paraId="317EFED6"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19,022</w:t>
            </w:r>
          </w:p>
        </w:tc>
        <w:tc>
          <w:tcPr>
            <w:tcW w:w="1078" w:type="dxa"/>
            <w:tcBorders>
              <w:bottom w:val="nil"/>
            </w:tcBorders>
            <w:vAlign w:val="center"/>
            <w:hideMark/>
          </w:tcPr>
          <w:p w14:paraId="700329F0"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19,640</w:t>
            </w:r>
          </w:p>
        </w:tc>
        <w:tc>
          <w:tcPr>
            <w:tcW w:w="1077" w:type="dxa"/>
            <w:tcBorders>
              <w:bottom w:val="nil"/>
            </w:tcBorders>
            <w:vAlign w:val="center"/>
            <w:hideMark/>
          </w:tcPr>
          <w:p w14:paraId="446CBFFE"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19,868</w:t>
            </w:r>
          </w:p>
        </w:tc>
        <w:tc>
          <w:tcPr>
            <w:tcW w:w="1077" w:type="dxa"/>
            <w:tcBorders>
              <w:bottom w:val="nil"/>
            </w:tcBorders>
            <w:vAlign w:val="center"/>
            <w:hideMark/>
          </w:tcPr>
          <w:p w14:paraId="1B0E4B04"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20,244</w:t>
            </w:r>
          </w:p>
        </w:tc>
        <w:tc>
          <w:tcPr>
            <w:tcW w:w="1078" w:type="dxa"/>
            <w:tcBorders>
              <w:bottom w:val="nil"/>
            </w:tcBorders>
            <w:vAlign w:val="center"/>
            <w:hideMark/>
          </w:tcPr>
          <w:p w14:paraId="0E60A6D5"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20,520</w:t>
            </w:r>
          </w:p>
        </w:tc>
        <w:tc>
          <w:tcPr>
            <w:tcW w:w="1077" w:type="dxa"/>
            <w:tcBorders>
              <w:bottom w:val="nil"/>
            </w:tcBorders>
            <w:vAlign w:val="center"/>
            <w:hideMark/>
          </w:tcPr>
          <w:p w14:paraId="2CECECB5"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21,930</w:t>
            </w:r>
          </w:p>
        </w:tc>
        <w:tc>
          <w:tcPr>
            <w:tcW w:w="1077" w:type="dxa"/>
            <w:tcBorders>
              <w:bottom w:val="nil"/>
            </w:tcBorders>
            <w:vAlign w:val="center"/>
            <w:hideMark/>
          </w:tcPr>
          <w:p w14:paraId="18419F7E"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24,399</w:t>
            </w:r>
          </w:p>
        </w:tc>
        <w:tc>
          <w:tcPr>
            <w:tcW w:w="1078" w:type="dxa"/>
            <w:tcBorders>
              <w:bottom w:val="nil"/>
            </w:tcBorders>
            <w:vAlign w:val="center"/>
            <w:hideMark/>
          </w:tcPr>
          <w:p w14:paraId="2890600B"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26,219</w:t>
            </w:r>
          </w:p>
        </w:tc>
        <w:tc>
          <w:tcPr>
            <w:tcW w:w="1134" w:type="dxa"/>
            <w:tcBorders>
              <w:bottom w:val="nil"/>
            </w:tcBorders>
            <w:noWrap/>
            <w:vAlign w:val="center"/>
            <w:hideMark/>
          </w:tcPr>
          <w:p w14:paraId="45C15379"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35.2%</w:t>
            </w:r>
          </w:p>
        </w:tc>
      </w:tr>
      <w:tr w:rsidR="00F2448E" w:rsidRPr="00F2448E" w14:paraId="0031EA55" w14:textId="77777777" w:rsidTr="00F2448E">
        <w:trPr>
          <w:trHeight w:val="276"/>
        </w:trPr>
        <w:tc>
          <w:tcPr>
            <w:tcW w:w="2518" w:type="dxa"/>
            <w:shd w:val="clear" w:color="auto" w:fill="B8CCE4" w:themeFill="accent1" w:themeFillTint="66"/>
            <w:noWrap/>
          </w:tcPr>
          <w:p w14:paraId="79B189EF" w14:textId="77777777" w:rsidR="00A019DF" w:rsidRPr="00F2448E" w:rsidRDefault="00441F98" w:rsidP="00CE2FDF">
            <w:pPr>
              <w:spacing w:before="0" w:after="60" w:line="276" w:lineRule="auto"/>
              <w:rPr>
                <w:rFonts w:eastAsia="Times New Roman" w:cs="Arial"/>
                <w:b/>
                <w:lang w:eastAsia="en-AU"/>
              </w:rPr>
            </w:pPr>
            <w:r w:rsidRPr="00F2448E">
              <w:rPr>
                <w:rFonts w:eastAsia="Times New Roman" w:cs="Arial"/>
                <w:b/>
                <w:lang w:eastAsia="en-AU"/>
              </w:rPr>
              <w:t>Distinct children in reports</w:t>
            </w:r>
          </w:p>
        </w:tc>
        <w:tc>
          <w:tcPr>
            <w:tcW w:w="1077" w:type="dxa"/>
            <w:shd w:val="clear" w:color="auto" w:fill="B8CCE4" w:themeFill="accent1" w:themeFillTint="66"/>
            <w:vAlign w:val="center"/>
            <w:hideMark/>
          </w:tcPr>
          <w:p w14:paraId="2B059953"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28,028</w:t>
            </w:r>
          </w:p>
        </w:tc>
        <w:tc>
          <w:tcPr>
            <w:tcW w:w="1077" w:type="dxa"/>
            <w:shd w:val="clear" w:color="auto" w:fill="B8CCE4" w:themeFill="accent1" w:themeFillTint="66"/>
            <w:vAlign w:val="center"/>
            <w:hideMark/>
          </w:tcPr>
          <w:p w14:paraId="10D7D69A"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28,461</w:t>
            </w:r>
          </w:p>
        </w:tc>
        <w:tc>
          <w:tcPr>
            <w:tcW w:w="1077" w:type="dxa"/>
            <w:shd w:val="clear" w:color="auto" w:fill="B8CCE4" w:themeFill="accent1" w:themeFillTint="66"/>
            <w:vAlign w:val="center"/>
            <w:hideMark/>
          </w:tcPr>
          <w:p w14:paraId="4350966E"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28,240</w:t>
            </w:r>
          </w:p>
        </w:tc>
        <w:tc>
          <w:tcPr>
            <w:tcW w:w="1078" w:type="dxa"/>
            <w:shd w:val="clear" w:color="auto" w:fill="B8CCE4" w:themeFill="accent1" w:themeFillTint="66"/>
            <w:vAlign w:val="center"/>
            <w:hideMark/>
          </w:tcPr>
          <w:p w14:paraId="05A7D48E"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29,524</w:t>
            </w:r>
          </w:p>
        </w:tc>
        <w:tc>
          <w:tcPr>
            <w:tcW w:w="1077" w:type="dxa"/>
            <w:shd w:val="clear" w:color="auto" w:fill="B8CCE4" w:themeFill="accent1" w:themeFillTint="66"/>
            <w:vAlign w:val="center"/>
            <w:hideMark/>
          </w:tcPr>
          <w:p w14:paraId="1291EFDB"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30,392</w:t>
            </w:r>
          </w:p>
        </w:tc>
        <w:tc>
          <w:tcPr>
            <w:tcW w:w="1077" w:type="dxa"/>
            <w:shd w:val="clear" w:color="auto" w:fill="B8CCE4" w:themeFill="accent1" w:themeFillTint="66"/>
            <w:vAlign w:val="center"/>
            <w:hideMark/>
          </w:tcPr>
          <w:p w14:paraId="03AB54BE"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32,424</w:t>
            </w:r>
          </w:p>
        </w:tc>
        <w:tc>
          <w:tcPr>
            <w:tcW w:w="1078" w:type="dxa"/>
            <w:shd w:val="clear" w:color="auto" w:fill="B8CCE4" w:themeFill="accent1" w:themeFillTint="66"/>
            <w:vAlign w:val="center"/>
            <w:hideMark/>
          </w:tcPr>
          <w:p w14:paraId="5EDEA8A1"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34,781</w:t>
            </w:r>
          </w:p>
        </w:tc>
        <w:tc>
          <w:tcPr>
            <w:tcW w:w="1077" w:type="dxa"/>
            <w:shd w:val="clear" w:color="auto" w:fill="B8CCE4" w:themeFill="accent1" w:themeFillTint="66"/>
            <w:vAlign w:val="center"/>
            <w:hideMark/>
          </w:tcPr>
          <w:p w14:paraId="1EF81DC1"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39,689</w:t>
            </w:r>
          </w:p>
        </w:tc>
        <w:tc>
          <w:tcPr>
            <w:tcW w:w="1077" w:type="dxa"/>
            <w:shd w:val="clear" w:color="auto" w:fill="B8CCE4" w:themeFill="accent1" w:themeFillTint="66"/>
            <w:vAlign w:val="center"/>
            <w:hideMark/>
          </w:tcPr>
          <w:p w14:paraId="2F9A32DB"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43,478</w:t>
            </w:r>
          </w:p>
        </w:tc>
        <w:tc>
          <w:tcPr>
            <w:tcW w:w="1078" w:type="dxa"/>
            <w:shd w:val="clear" w:color="auto" w:fill="B8CCE4" w:themeFill="accent1" w:themeFillTint="66"/>
            <w:noWrap/>
            <w:vAlign w:val="center"/>
            <w:hideMark/>
          </w:tcPr>
          <w:p w14:paraId="499DC8CF"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49,667</w:t>
            </w:r>
          </w:p>
        </w:tc>
        <w:tc>
          <w:tcPr>
            <w:tcW w:w="1134" w:type="dxa"/>
            <w:shd w:val="clear" w:color="auto" w:fill="B8CCE4" w:themeFill="accent1" w:themeFillTint="66"/>
            <w:noWrap/>
            <w:vAlign w:val="center"/>
            <w:hideMark/>
          </w:tcPr>
          <w:p w14:paraId="452D9174"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77%</w:t>
            </w:r>
          </w:p>
        </w:tc>
      </w:tr>
      <w:tr w:rsidR="00F2448E" w:rsidRPr="00F2448E" w14:paraId="08A1323B" w14:textId="77777777" w:rsidTr="00F2448E">
        <w:trPr>
          <w:trHeight w:val="276"/>
        </w:trPr>
        <w:tc>
          <w:tcPr>
            <w:tcW w:w="2518" w:type="dxa"/>
            <w:shd w:val="clear" w:color="auto" w:fill="B8CCE4" w:themeFill="accent1" w:themeFillTint="66"/>
            <w:noWrap/>
          </w:tcPr>
          <w:p w14:paraId="15F77488" w14:textId="77777777" w:rsidR="00A019DF" w:rsidRPr="00F2448E" w:rsidRDefault="00441F98" w:rsidP="00CE2FDF">
            <w:pPr>
              <w:spacing w:before="0" w:after="60" w:line="276" w:lineRule="auto"/>
              <w:rPr>
                <w:rFonts w:eastAsia="Times New Roman" w:cs="Arial"/>
                <w:b/>
                <w:lang w:eastAsia="en-AU"/>
              </w:rPr>
            </w:pPr>
            <w:r w:rsidRPr="00F2448E">
              <w:rPr>
                <w:rFonts w:eastAsia="Times New Roman" w:cs="Arial"/>
                <w:b/>
                <w:lang w:eastAsia="en-AU"/>
              </w:rPr>
              <w:t>Total reports</w:t>
            </w:r>
          </w:p>
        </w:tc>
        <w:tc>
          <w:tcPr>
            <w:tcW w:w="1077" w:type="dxa"/>
            <w:shd w:val="clear" w:color="auto" w:fill="B8CCE4" w:themeFill="accent1" w:themeFillTint="66"/>
            <w:vAlign w:val="center"/>
          </w:tcPr>
          <w:p w14:paraId="513E3AFB"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37,267</w:t>
            </w:r>
          </w:p>
        </w:tc>
        <w:tc>
          <w:tcPr>
            <w:tcW w:w="1077" w:type="dxa"/>
            <w:shd w:val="clear" w:color="auto" w:fill="B8CCE4" w:themeFill="accent1" w:themeFillTint="66"/>
            <w:vAlign w:val="center"/>
          </w:tcPr>
          <w:p w14:paraId="5B699285"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37,649</w:t>
            </w:r>
          </w:p>
        </w:tc>
        <w:tc>
          <w:tcPr>
            <w:tcW w:w="1077" w:type="dxa"/>
            <w:shd w:val="clear" w:color="auto" w:fill="B8CCE4" w:themeFill="accent1" w:themeFillTint="66"/>
            <w:vAlign w:val="center"/>
          </w:tcPr>
          <w:p w14:paraId="7C26D47A"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36,657</w:t>
            </w:r>
          </w:p>
        </w:tc>
        <w:tc>
          <w:tcPr>
            <w:tcW w:w="1078" w:type="dxa"/>
            <w:shd w:val="clear" w:color="auto" w:fill="B8CCE4" w:themeFill="accent1" w:themeFillTint="66"/>
            <w:vAlign w:val="center"/>
          </w:tcPr>
          <w:p w14:paraId="78B23631"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37,693</w:t>
            </w:r>
          </w:p>
        </w:tc>
        <w:tc>
          <w:tcPr>
            <w:tcW w:w="1077" w:type="dxa"/>
            <w:shd w:val="clear" w:color="auto" w:fill="B8CCE4" w:themeFill="accent1" w:themeFillTint="66"/>
            <w:vAlign w:val="center"/>
          </w:tcPr>
          <w:p w14:paraId="67D5E8F7"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38,774</w:t>
            </w:r>
          </w:p>
        </w:tc>
        <w:tc>
          <w:tcPr>
            <w:tcW w:w="1077" w:type="dxa"/>
            <w:shd w:val="clear" w:color="auto" w:fill="B8CCE4" w:themeFill="accent1" w:themeFillTint="66"/>
            <w:vAlign w:val="center"/>
          </w:tcPr>
          <w:p w14:paraId="14572C9E"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41,695</w:t>
            </w:r>
          </w:p>
        </w:tc>
        <w:tc>
          <w:tcPr>
            <w:tcW w:w="1078" w:type="dxa"/>
            <w:shd w:val="clear" w:color="auto" w:fill="B8CCE4" w:themeFill="accent1" w:themeFillTint="66"/>
            <w:vAlign w:val="center"/>
          </w:tcPr>
          <w:p w14:paraId="6F57578D"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44,770</w:t>
            </w:r>
          </w:p>
        </w:tc>
        <w:tc>
          <w:tcPr>
            <w:tcW w:w="1077" w:type="dxa"/>
            <w:shd w:val="clear" w:color="auto" w:fill="B8CCE4" w:themeFill="accent1" w:themeFillTint="66"/>
            <w:vAlign w:val="center"/>
          </w:tcPr>
          <w:p w14:paraId="04C6B83C"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52,035</w:t>
            </w:r>
          </w:p>
        </w:tc>
        <w:tc>
          <w:tcPr>
            <w:tcW w:w="1077" w:type="dxa"/>
            <w:shd w:val="clear" w:color="auto" w:fill="B8CCE4" w:themeFill="accent1" w:themeFillTint="66"/>
            <w:vAlign w:val="center"/>
          </w:tcPr>
          <w:p w14:paraId="56967A96"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58,932</w:t>
            </w:r>
          </w:p>
        </w:tc>
        <w:tc>
          <w:tcPr>
            <w:tcW w:w="1078" w:type="dxa"/>
            <w:shd w:val="clear" w:color="auto" w:fill="B8CCE4" w:themeFill="accent1" w:themeFillTint="66"/>
            <w:noWrap/>
            <w:vAlign w:val="center"/>
          </w:tcPr>
          <w:p w14:paraId="65E9AD73"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68,648</w:t>
            </w:r>
          </w:p>
        </w:tc>
        <w:tc>
          <w:tcPr>
            <w:tcW w:w="1134" w:type="dxa"/>
            <w:shd w:val="clear" w:color="auto" w:fill="B8CCE4" w:themeFill="accent1" w:themeFillTint="66"/>
            <w:noWrap/>
            <w:vAlign w:val="center"/>
          </w:tcPr>
          <w:p w14:paraId="50AFF044" w14:textId="77777777" w:rsidR="00A019DF" w:rsidRPr="00F2448E" w:rsidRDefault="00A019DF" w:rsidP="00CE2FDF">
            <w:pPr>
              <w:spacing w:before="0" w:after="60" w:line="276" w:lineRule="auto"/>
              <w:jc w:val="right"/>
              <w:rPr>
                <w:rFonts w:eastAsia="Times New Roman" w:cs="Arial"/>
                <w:b/>
                <w:lang w:eastAsia="en-AU"/>
              </w:rPr>
            </w:pPr>
            <w:r w:rsidRPr="00F2448E">
              <w:rPr>
                <w:rFonts w:eastAsia="Times New Roman" w:cs="Arial"/>
                <w:b/>
                <w:lang w:eastAsia="en-AU"/>
              </w:rPr>
              <w:t>84%</w:t>
            </w:r>
          </w:p>
        </w:tc>
      </w:tr>
    </w:tbl>
    <w:p w14:paraId="2B10A686" w14:textId="77777777" w:rsidR="00F2448E" w:rsidRDefault="00F2448E" w:rsidP="00B15586">
      <w:pPr>
        <w:spacing w:after="200" w:line="276" w:lineRule="auto"/>
        <w:rPr>
          <w:rFonts w:asciiTheme="majorHAnsi" w:eastAsiaTheme="majorEastAsia" w:hAnsiTheme="majorHAnsi" w:cstheme="majorBidi"/>
          <w:b/>
          <w:bCs/>
          <w:i/>
          <w:color w:val="17365D" w:themeColor="text2" w:themeShade="BF"/>
          <w:szCs w:val="26"/>
        </w:rPr>
      </w:pPr>
      <w:r>
        <w:br w:type="page"/>
      </w:r>
    </w:p>
    <w:p w14:paraId="71BB5A81" w14:textId="4DB011B8" w:rsidR="00441F98" w:rsidRPr="00287177" w:rsidRDefault="00441F98" w:rsidP="00287177">
      <w:pPr>
        <w:pStyle w:val="Heading6"/>
      </w:pPr>
      <w:r w:rsidRPr="00287177">
        <w:lastRenderedPageBreak/>
        <w:t>Line graph for table 3.5: Number of distinct children in reports, by reporter group, by year</w:t>
      </w:r>
    </w:p>
    <w:p w14:paraId="4D8A31CF" w14:textId="77777777" w:rsidR="00F2448E" w:rsidRDefault="00F2448E" w:rsidP="00B15586">
      <w:r>
        <w:rPr>
          <w:noProof/>
          <w:lang w:eastAsia="en-AU"/>
        </w:rPr>
        <w:drawing>
          <wp:inline distT="0" distB="0" distL="0" distR="0" wp14:anchorId="3602DD1F" wp14:editId="03747160">
            <wp:extent cx="9029700" cy="4810125"/>
            <wp:effectExtent l="0" t="0" r="0" b="9525"/>
            <wp:docPr id="7" name="Chart 7" descr="Shows a vast increase in the number of distinct children in reports from all reporter groups." title="Line graph for tabl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br w:type="page"/>
      </w:r>
    </w:p>
    <w:p w14:paraId="49A5A538" w14:textId="77777777" w:rsidR="00441F98" w:rsidRDefault="00441F98" w:rsidP="0095311F">
      <w:pPr>
        <w:pStyle w:val="Figureheading"/>
      </w:pPr>
      <w:bookmarkStart w:id="93" w:name="_Toc382206791"/>
      <w:r w:rsidRPr="00371AA2">
        <w:lastRenderedPageBreak/>
        <w:t>3.5.1</w:t>
      </w:r>
      <w:r w:rsidRPr="00371AA2">
        <w:tab/>
        <w:t>Number of distinct children in reports, by reporter group, by year, as a percentage of all reports</w:t>
      </w:r>
      <w:bookmarkEnd w:id="93"/>
    </w:p>
    <w:tbl>
      <w:tblPr>
        <w:tblStyle w:val="TableGrid"/>
        <w:tblW w:w="14142" w:type="dxa"/>
        <w:tblLayout w:type="fixed"/>
        <w:tblLook w:val="04A0" w:firstRow="1" w:lastRow="0" w:firstColumn="1" w:lastColumn="0" w:noHBand="0" w:noVBand="1"/>
        <w:tblCaption w:val="Number of distinct children in reports, by reporter group, by year, as a percentage of all reports"/>
      </w:tblPr>
      <w:tblGrid>
        <w:gridCol w:w="2235"/>
        <w:gridCol w:w="1190"/>
        <w:gridCol w:w="1191"/>
        <w:gridCol w:w="1191"/>
        <w:gridCol w:w="1190"/>
        <w:gridCol w:w="1191"/>
        <w:gridCol w:w="1191"/>
        <w:gridCol w:w="1190"/>
        <w:gridCol w:w="1191"/>
        <w:gridCol w:w="1191"/>
        <w:gridCol w:w="1191"/>
      </w:tblGrid>
      <w:tr w:rsidR="009654BA" w:rsidRPr="00383A85" w14:paraId="46E4B568" w14:textId="77777777" w:rsidTr="001143BB">
        <w:trPr>
          <w:trHeight w:val="552"/>
          <w:tblHeader/>
        </w:trPr>
        <w:tc>
          <w:tcPr>
            <w:tcW w:w="2235" w:type="dxa"/>
            <w:tcBorders>
              <w:bottom w:val="single" w:sz="4" w:space="0" w:color="auto"/>
            </w:tcBorders>
            <w:shd w:val="clear" w:color="auto" w:fill="95B3D7" w:themeFill="accent1" w:themeFillTint="99"/>
            <w:vAlign w:val="center"/>
            <w:hideMark/>
          </w:tcPr>
          <w:p w14:paraId="72C03912" w14:textId="77777777" w:rsidR="009654BA" w:rsidRPr="00383A85" w:rsidRDefault="009654BA" w:rsidP="00CE2FDF">
            <w:pPr>
              <w:spacing w:before="0" w:line="276" w:lineRule="auto"/>
              <w:rPr>
                <w:rFonts w:eastAsia="Times New Roman" w:cs="Arial"/>
                <w:b/>
                <w:bCs/>
                <w:color w:val="000000"/>
                <w:lang w:eastAsia="en-AU"/>
              </w:rPr>
            </w:pPr>
          </w:p>
        </w:tc>
        <w:tc>
          <w:tcPr>
            <w:tcW w:w="1190" w:type="dxa"/>
            <w:tcBorders>
              <w:bottom w:val="single" w:sz="4" w:space="0" w:color="auto"/>
            </w:tcBorders>
            <w:shd w:val="clear" w:color="auto" w:fill="95B3D7" w:themeFill="accent1" w:themeFillTint="99"/>
            <w:vAlign w:val="center"/>
            <w:hideMark/>
          </w:tcPr>
          <w:p w14:paraId="535A5EAD"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2003</w:t>
            </w:r>
          </w:p>
        </w:tc>
        <w:tc>
          <w:tcPr>
            <w:tcW w:w="1191" w:type="dxa"/>
            <w:tcBorders>
              <w:bottom w:val="single" w:sz="4" w:space="0" w:color="auto"/>
            </w:tcBorders>
            <w:shd w:val="clear" w:color="auto" w:fill="95B3D7" w:themeFill="accent1" w:themeFillTint="99"/>
            <w:vAlign w:val="center"/>
            <w:hideMark/>
          </w:tcPr>
          <w:p w14:paraId="4CEEE57E"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2004</w:t>
            </w:r>
          </w:p>
        </w:tc>
        <w:tc>
          <w:tcPr>
            <w:tcW w:w="1191" w:type="dxa"/>
            <w:tcBorders>
              <w:bottom w:val="single" w:sz="4" w:space="0" w:color="auto"/>
            </w:tcBorders>
            <w:shd w:val="clear" w:color="auto" w:fill="95B3D7" w:themeFill="accent1" w:themeFillTint="99"/>
            <w:vAlign w:val="center"/>
            <w:hideMark/>
          </w:tcPr>
          <w:p w14:paraId="03E6FA07"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2005</w:t>
            </w:r>
          </w:p>
        </w:tc>
        <w:tc>
          <w:tcPr>
            <w:tcW w:w="1190" w:type="dxa"/>
            <w:tcBorders>
              <w:bottom w:val="single" w:sz="4" w:space="0" w:color="auto"/>
            </w:tcBorders>
            <w:shd w:val="clear" w:color="auto" w:fill="95B3D7" w:themeFill="accent1" w:themeFillTint="99"/>
            <w:vAlign w:val="center"/>
            <w:hideMark/>
          </w:tcPr>
          <w:p w14:paraId="4F129D8F"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2006</w:t>
            </w:r>
          </w:p>
        </w:tc>
        <w:tc>
          <w:tcPr>
            <w:tcW w:w="1191" w:type="dxa"/>
            <w:tcBorders>
              <w:bottom w:val="single" w:sz="4" w:space="0" w:color="auto"/>
            </w:tcBorders>
            <w:shd w:val="clear" w:color="auto" w:fill="95B3D7" w:themeFill="accent1" w:themeFillTint="99"/>
            <w:vAlign w:val="center"/>
            <w:hideMark/>
          </w:tcPr>
          <w:p w14:paraId="18334793"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2007</w:t>
            </w:r>
          </w:p>
        </w:tc>
        <w:tc>
          <w:tcPr>
            <w:tcW w:w="1191" w:type="dxa"/>
            <w:tcBorders>
              <w:bottom w:val="single" w:sz="4" w:space="0" w:color="auto"/>
            </w:tcBorders>
            <w:shd w:val="clear" w:color="auto" w:fill="95B3D7" w:themeFill="accent1" w:themeFillTint="99"/>
            <w:vAlign w:val="center"/>
            <w:hideMark/>
          </w:tcPr>
          <w:p w14:paraId="024D96F7"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2008</w:t>
            </w:r>
          </w:p>
        </w:tc>
        <w:tc>
          <w:tcPr>
            <w:tcW w:w="1190" w:type="dxa"/>
            <w:tcBorders>
              <w:bottom w:val="single" w:sz="4" w:space="0" w:color="auto"/>
            </w:tcBorders>
            <w:shd w:val="clear" w:color="auto" w:fill="95B3D7" w:themeFill="accent1" w:themeFillTint="99"/>
            <w:vAlign w:val="center"/>
            <w:hideMark/>
          </w:tcPr>
          <w:p w14:paraId="75A53CEC"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2009</w:t>
            </w:r>
          </w:p>
        </w:tc>
        <w:tc>
          <w:tcPr>
            <w:tcW w:w="1191" w:type="dxa"/>
            <w:tcBorders>
              <w:bottom w:val="single" w:sz="4" w:space="0" w:color="auto"/>
            </w:tcBorders>
            <w:shd w:val="clear" w:color="auto" w:fill="95B3D7" w:themeFill="accent1" w:themeFillTint="99"/>
            <w:vAlign w:val="center"/>
            <w:hideMark/>
          </w:tcPr>
          <w:p w14:paraId="5F1F169B"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2010</w:t>
            </w:r>
          </w:p>
        </w:tc>
        <w:tc>
          <w:tcPr>
            <w:tcW w:w="1191" w:type="dxa"/>
            <w:tcBorders>
              <w:bottom w:val="single" w:sz="4" w:space="0" w:color="auto"/>
            </w:tcBorders>
            <w:shd w:val="clear" w:color="auto" w:fill="95B3D7" w:themeFill="accent1" w:themeFillTint="99"/>
            <w:vAlign w:val="center"/>
            <w:hideMark/>
          </w:tcPr>
          <w:p w14:paraId="46B3263A"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2011</w:t>
            </w:r>
          </w:p>
        </w:tc>
        <w:tc>
          <w:tcPr>
            <w:tcW w:w="1191" w:type="dxa"/>
            <w:tcBorders>
              <w:bottom w:val="single" w:sz="4" w:space="0" w:color="auto"/>
            </w:tcBorders>
            <w:shd w:val="clear" w:color="auto" w:fill="95B3D7" w:themeFill="accent1" w:themeFillTint="99"/>
            <w:vAlign w:val="center"/>
            <w:hideMark/>
          </w:tcPr>
          <w:p w14:paraId="61CE6AD1" w14:textId="77777777" w:rsidR="009654BA" w:rsidRPr="00383A85" w:rsidRDefault="009654BA" w:rsidP="00CE2FDF">
            <w:pPr>
              <w:spacing w:before="0" w:line="276" w:lineRule="auto"/>
              <w:jc w:val="right"/>
              <w:rPr>
                <w:rFonts w:eastAsia="Times New Roman" w:cs="Arial"/>
                <w:b/>
                <w:bCs/>
                <w:color w:val="000000"/>
                <w:lang w:eastAsia="en-AU"/>
              </w:rPr>
            </w:pPr>
            <w:r w:rsidRPr="00383A85">
              <w:rPr>
                <w:rFonts w:eastAsia="Times New Roman" w:cs="Arial"/>
                <w:b/>
                <w:bCs/>
                <w:color w:val="000000"/>
                <w:lang w:eastAsia="en-AU"/>
              </w:rPr>
              <w:t>2012</w:t>
            </w:r>
          </w:p>
        </w:tc>
      </w:tr>
      <w:tr w:rsidR="009654BA" w:rsidRPr="00383A85" w14:paraId="2D4A1B6A" w14:textId="77777777" w:rsidTr="00F2448E">
        <w:trPr>
          <w:trHeight w:val="276"/>
        </w:trPr>
        <w:tc>
          <w:tcPr>
            <w:tcW w:w="2235" w:type="dxa"/>
            <w:tcBorders>
              <w:top w:val="nil"/>
              <w:bottom w:val="single" w:sz="4" w:space="0" w:color="auto"/>
            </w:tcBorders>
            <w:vAlign w:val="center"/>
            <w:hideMark/>
          </w:tcPr>
          <w:p w14:paraId="4F103CAF" w14:textId="77777777" w:rsidR="009654BA" w:rsidRPr="00383A85" w:rsidRDefault="009654BA" w:rsidP="00CE2FDF">
            <w:pPr>
              <w:spacing w:before="0" w:after="60" w:line="276" w:lineRule="auto"/>
              <w:rPr>
                <w:rFonts w:eastAsia="Times New Roman" w:cs="Arial"/>
                <w:b/>
                <w:color w:val="000000"/>
                <w:lang w:eastAsia="en-AU"/>
              </w:rPr>
            </w:pPr>
            <w:r w:rsidRPr="00383A85">
              <w:rPr>
                <w:rFonts w:eastAsia="Times New Roman" w:cs="Arial"/>
                <w:b/>
                <w:color w:val="000000"/>
                <w:lang w:eastAsia="en-AU"/>
              </w:rPr>
              <w:t>Doctors</w:t>
            </w:r>
          </w:p>
        </w:tc>
        <w:tc>
          <w:tcPr>
            <w:tcW w:w="1190" w:type="dxa"/>
            <w:tcBorders>
              <w:top w:val="nil"/>
              <w:bottom w:val="single" w:sz="4" w:space="0" w:color="auto"/>
            </w:tcBorders>
            <w:vAlign w:val="center"/>
            <w:hideMark/>
          </w:tcPr>
          <w:p w14:paraId="3CF4E09D"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3.6%</w:t>
            </w:r>
          </w:p>
        </w:tc>
        <w:tc>
          <w:tcPr>
            <w:tcW w:w="1191" w:type="dxa"/>
            <w:tcBorders>
              <w:top w:val="nil"/>
              <w:bottom w:val="single" w:sz="4" w:space="0" w:color="auto"/>
            </w:tcBorders>
            <w:vAlign w:val="center"/>
            <w:hideMark/>
          </w:tcPr>
          <w:p w14:paraId="1959B51D"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3.2%</w:t>
            </w:r>
          </w:p>
        </w:tc>
        <w:tc>
          <w:tcPr>
            <w:tcW w:w="1191" w:type="dxa"/>
            <w:tcBorders>
              <w:top w:val="nil"/>
              <w:bottom w:val="single" w:sz="4" w:space="0" w:color="auto"/>
            </w:tcBorders>
            <w:vAlign w:val="center"/>
            <w:hideMark/>
          </w:tcPr>
          <w:p w14:paraId="2185D75A"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3.1%</w:t>
            </w:r>
          </w:p>
        </w:tc>
        <w:tc>
          <w:tcPr>
            <w:tcW w:w="1190" w:type="dxa"/>
            <w:tcBorders>
              <w:top w:val="nil"/>
              <w:bottom w:val="single" w:sz="4" w:space="0" w:color="auto"/>
            </w:tcBorders>
            <w:vAlign w:val="center"/>
            <w:hideMark/>
          </w:tcPr>
          <w:p w14:paraId="26A36BEB"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2.9%</w:t>
            </w:r>
          </w:p>
        </w:tc>
        <w:tc>
          <w:tcPr>
            <w:tcW w:w="1191" w:type="dxa"/>
            <w:tcBorders>
              <w:top w:val="nil"/>
              <w:bottom w:val="single" w:sz="4" w:space="0" w:color="auto"/>
            </w:tcBorders>
            <w:vAlign w:val="center"/>
            <w:hideMark/>
          </w:tcPr>
          <w:p w14:paraId="666FD024"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2.8%</w:t>
            </w:r>
          </w:p>
        </w:tc>
        <w:tc>
          <w:tcPr>
            <w:tcW w:w="1191" w:type="dxa"/>
            <w:tcBorders>
              <w:top w:val="nil"/>
              <w:bottom w:val="single" w:sz="4" w:space="0" w:color="auto"/>
            </w:tcBorders>
            <w:vAlign w:val="center"/>
            <w:hideMark/>
          </w:tcPr>
          <w:p w14:paraId="6A90D0A3"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2.9%</w:t>
            </w:r>
          </w:p>
        </w:tc>
        <w:tc>
          <w:tcPr>
            <w:tcW w:w="1190" w:type="dxa"/>
            <w:tcBorders>
              <w:top w:val="nil"/>
              <w:bottom w:val="single" w:sz="4" w:space="0" w:color="auto"/>
            </w:tcBorders>
            <w:vAlign w:val="center"/>
            <w:hideMark/>
          </w:tcPr>
          <w:p w14:paraId="50A0FC11"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3.0%</w:t>
            </w:r>
          </w:p>
        </w:tc>
        <w:tc>
          <w:tcPr>
            <w:tcW w:w="1191" w:type="dxa"/>
            <w:tcBorders>
              <w:top w:val="nil"/>
              <w:bottom w:val="single" w:sz="4" w:space="0" w:color="auto"/>
            </w:tcBorders>
            <w:vAlign w:val="center"/>
            <w:hideMark/>
          </w:tcPr>
          <w:p w14:paraId="4AF305DF"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2.8%</w:t>
            </w:r>
          </w:p>
        </w:tc>
        <w:tc>
          <w:tcPr>
            <w:tcW w:w="1191" w:type="dxa"/>
            <w:tcBorders>
              <w:top w:val="nil"/>
              <w:bottom w:val="single" w:sz="4" w:space="0" w:color="auto"/>
            </w:tcBorders>
            <w:vAlign w:val="center"/>
            <w:hideMark/>
          </w:tcPr>
          <w:p w14:paraId="683512DA"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2.6%</w:t>
            </w:r>
          </w:p>
        </w:tc>
        <w:tc>
          <w:tcPr>
            <w:tcW w:w="1191" w:type="dxa"/>
            <w:tcBorders>
              <w:top w:val="nil"/>
              <w:bottom w:val="single" w:sz="4" w:space="0" w:color="auto"/>
            </w:tcBorders>
            <w:vAlign w:val="center"/>
            <w:hideMark/>
          </w:tcPr>
          <w:p w14:paraId="5721230A"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2.5%</w:t>
            </w:r>
          </w:p>
        </w:tc>
      </w:tr>
      <w:tr w:rsidR="009654BA" w:rsidRPr="00383A85" w14:paraId="6B862D52" w14:textId="77777777" w:rsidTr="00F2448E">
        <w:trPr>
          <w:trHeight w:val="276"/>
        </w:trPr>
        <w:tc>
          <w:tcPr>
            <w:tcW w:w="2235" w:type="dxa"/>
            <w:tcBorders>
              <w:top w:val="nil"/>
              <w:bottom w:val="single" w:sz="4" w:space="0" w:color="auto"/>
            </w:tcBorders>
            <w:shd w:val="clear" w:color="auto" w:fill="DBE5F1" w:themeFill="accent1" w:themeFillTint="33"/>
            <w:vAlign w:val="center"/>
            <w:hideMark/>
          </w:tcPr>
          <w:p w14:paraId="0F0A70C0" w14:textId="77777777" w:rsidR="009654BA" w:rsidRPr="00383A85" w:rsidRDefault="009654BA" w:rsidP="00CE2FDF">
            <w:pPr>
              <w:spacing w:before="0" w:after="60" w:line="276" w:lineRule="auto"/>
              <w:rPr>
                <w:rFonts w:eastAsia="Times New Roman" w:cs="Arial"/>
                <w:b/>
                <w:color w:val="000000"/>
                <w:lang w:eastAsia="en-AU"/>
              </w:rPr>
            </w:pPr>
            <w:r w:rsidRPr="00383A85">
              <w:rPr>
                <w:rFonts w:eastAsia="Times New Roman" w:cs="Arial"/>
                <w:b/>
                <w:color w:val="000000"/>
                <w:lang w:eastAsia="en-AU"/>
              </w:rPr>
              <w:t>Nurses</w:t>
            </w:r>
          </w:p>
        </w:tc>
        <w:tc>
          <w:tcPr>
            <w:tcW w:w="1190" w:type="dxa"/>
            <w:tcBorders>
              <w:top w:val="nil"/>
              <w:bottom w:val="single" w:sz="4" w:space="0" w:color="auto"/>
            </w:tcBorders>
            <w:shd w:val="clear" w:color="auto" w:fill="DBE5F1" w:themeFill="accent1" w:themeFillTint="33"/>
            <w:vAlign w:val="center"/>
            <w:hideMark/>
          </w:tcPr>
          <w:p w14:paraId="1E9434EB"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4.7%</w:t>
            </w:r>
          </w:p>
        </w:tc>
        <w:tc>
          <w:tcPr>
            <w:tcW w:w="1191" w:type="dxa"/>
            <w:tcBorders>
              <w:top w:val="nil"/>
              <w:bottom w:val="single" w:sz="4" w:space="0" w:color="auto"/>
            </w:tcBorders>
            <w:shd w:val="clear" w:color="auto" w:fill="DBE5F1" w:themeFill="accent1" w:themeFillTint="33"/>
            <w:vAlign w:val="center"/>
            <w:hideMark/>
          </w:tcPr>
          <w:p w14:paraId="36BED391"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4.7%</w:t>
            </w:r>
          </w:p>
        </w:tc>
        <w:tc>
          <w:tcPr>
            <w:tcW w:w="1191" w:type="dxa"/>
            <w:tcBorders>
              <w:top w:val="nil"/>
              <w:bottom w:val="single" w:sz="4" w:space="0" w:color="auto"/>
            </w:tcBorders>
            <w:shd w:val="clear" w:color="auto" w:fill="DBE5F1" w:themeFill="accent1" w:themeFillTint="33"/>
            <w:vAlign w:val="center"/>
            <w:hideMark/>
          </w:tcPr>
          <w:p w14:paraId="51C7445B"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4.6%</w:t>
            </w:r>
          </w:p>
        </w:tc>
        <w:tc>
          <w:tcPr>
            <w:tcW w:w="1190" w:type="dxa"/>
            <w:tcBorders>
              <w:top w:val="nil"/>
              <w:bottom w:val="single" w:sz="4" w:space="0" w:color="auto"/>
            </w:tcBorders>
            <w:shd w:val="clear" w:color="auto" w:fill="DBE5F1" w:themeFill="accent1" w:themeFillTint="33"/>
            <w:vAlign w:val="center"/>
            <w:hideMark/>
          </w:tcPr>
          <w:p w14:paraId="6496395D"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4.5%</w:t>
            </w:r>
          </w:p>
        </w:tc>
        <w:tc>
          <w:tcPr>
            <w:tcW w:w="1191" w:type="dxa"/>
            <w:tcBorders>
              <w:top w:val="nil"/>
              <w:bottom w:val="single" w:sz="4" w:space="0" w:color="auto"/>
            </w:tcBorders>
            <w:shd w:val="clear" w:color="auto" w:fill="DBE5F1" w:themeFill="accent1" w:themeFillTint="33"/>
            <w:vAlign w:val="center"/>
            <w:hideMark/>
          </w:tcPr>
          <w:p w14:paraId="72238A9C"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4.4%</w:t>
            </w:r>
          </w:p>
        </w:tc>
        <w:tc>
          <w:tcPr>
            <w:tcW w:w="1191" w:type="dxa"/>
            <w:tcBorders>
              <w:top w:val="nil"/>
              <w:bottom w:val="single" w:sz="4" w:space="0" w:color="auto"/>
            </w:tcBorders>
            <w:shd w:val="clear" w:color="auto" w:fill="DBE5F1" w:themeFill="accent1" w:themeFillTint="33"/>
            <w:vAlign w:val="center"/>
            <w:hideMark/>
          </w:tcPr>
          <w:p w14:paraId="58897D1B"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4.3%</w:t>
            </w:r>
          </w:p>
        </w:tc>
        <w:tc>
          <w:tcPr>
            <w:tcW w:w="1190" w:type="dxa"/>
            <w:tcBorders>
              <w:top w:val="nil"/>
              <w:bottom w:val="single" w:sz="4" w:space="0" w:color="auto"/>
            </w:tcBorders>
            <w:shd w:val="clear" w:color="auto" w:fill="DBE5F1" w:themeFill="accent1" w:themeFillTint="33"/>
            <w:vAlign w:val="center"/>
            <w:hideMark/>
          </w:tcPr>
          <w:p w14:paraId="2D914728"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3.6%</w:t>
            </w:r>
          </w:p>
        </w:tc>
        <w:tc>
          <w:tcPr>
            <w:tcW w:w="1191" w:type="dxa"/>
            <w:tcBorders>
              <w:top w:val="nil"/>
              <w:bottom w:val="single" w:sz="4" w:space="0" w:color="auto"/>
            </w:tcBorders>
            <w:shd w:val="clear" w:color="auto" w:fill="DBE5F1" w:themeFill="accent1" w:themeFillTint="33"/>
            <w:vAlign w:val="center"/>
            <w:hideMark/>
          </w:tcPr>
          <w:p w14:paraId="396394E9"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3.9%</w:t>
            </w:r>
          </w:p>
        </w:tc>
        <w:tc>
          <w:tcPr>
            <w:tcW w:w="1191" w:type="dxa"/>
            <w:tcBorders>
              <w:top w:val="nil"/>
              <w:bottom w:val="single" w:sz="4" w:space="0" w:color="auto"/>
            </w:tcBorders>
            <w:shd w:val="clear" w:color="auto" w:fill="DBE5F1" w:themeFill="accent1" w:themeFillTint="33"/>
            <w:vAlign w:val="center"/>
            <w:hideMark/>
          </w:tcPr>
          <w:p w14:paraId="3C547E25"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3.9%</w:t>
            </w:r>
          </w:p>
        </w:tc>
        <w:tc>
          <w:tcPr>
            <w:tcW w:w="1191" w:type="dxa"/>
            <w:tcBorders>
              <w:top w:val="nil"/>
              <w:bottom w:val="single" w:sz="4" w:space="0" w:color="auto"/>
            </w:tcBorders>
            <w:shd w:val="clear" w:color="auto" w:fill="DBE5F1" w:themeFill="accent1" w:themeFillTint="33"/>
            <w:vAlign w:val="center"/>
            <w:hideMark/>
          </w:tcPr>
          <w:p w14:paraId="10782092"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4.1%</w:t>
            </w:r>
          </w:p>
        </w:tc>
      </w:tr>
      <w:tr w:rsidR="009654BA" w:rsidRPr="00383A85" w14:paraId="3781076D" w14:textId="77777777" w:rsidTr="00F2448E">
        <w:trPr>
          <w:trHeight w:val="276"/>
        </w:trPr>
        <w:tc>
          <w:tcPr>
            <w:tcW w:w="2235" w:type="dxa"/>
            <w:tcBorders>
              <w:top w:val="nil"/>
              <w:bottom w:val="single" w:sz="4" w:space="0" w:color="auto"/>
            </w:tcBorders>
            <w:vAlign w:val="center"/>
            <w:hideMark/>
          </w:tcPr>
          <w:p w14:paraId="15858A0B" w14:textId="77777777" w:rsidR="009654BA" w:rsidRPr="00383A85" w:rsidRDefault="009654BA" w:rsidP="00CE2FDF">
            <w:pPr>
              <w:spacing w:before="0" w:after="60" w:line="276" w:lineRule="auto"/>
              <w:rPr>
                <w:rFonts w:eastAsia="Times New Roman" w:cs="Arial"/>
                <w:b/>
                <w:color w:val="000000"/>
                <w:lang w:eastAsia="en-AU"/>
              </w:rPr>
            </w:pPr>
            <w:r w:rsidRPr="00383A85">
              <w:rPr>
                <w:rFonts w:eastAsia="Times New Roman" w:cs="Arial"/>
                <w:b/>
                <w:color w:val="000000"/>
                <w:lang w:eastAsia="en-AU"/>
              </w:rPr>
              <w:t>Police</w:t>
            </w:r>
          </w:p>
        </w:tc>
        <w:tc>
          <w:tcPr>
            <w:tcW w:w="1190" w:type="dxa"/>
            <w:tcBorders>
              <w:top w:val="nil"/>
              <w:bottom w:val="single" w:sz="4" w:space="0" w:color="auto"/>
            </w:tcBorders>
            <w:vAlign w:val="center"/>
            <w:hideMark/>
          </w:tcPr>
          <w:p w14:paraId="3F0D8729"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21.6%</w:t>
            </w:r>
          </w:p>
        </w:tc>
        <w:tc>
          <w:tcPr>
            <w:tcW w:w="1191" w:type="dxa"/>
            <w:tcBorders>
              <w:top w:val="nil"/>
              <w:bottom w:val="single" w:sz="4" w:space="0" w:color="auto"/>
            </w:tcBorders>
            <w:vAlign w:val="center"/>
            <w:hideMark/>
          </w:tcPr>
          <w:p w14:paraId="05070E75"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21.4%</w:t>
            </w:r>
          </w:p>
        </w:tc>
        <w:tc>
          <w:tcPr>
            <w:tcW w:w="1191" w:type="dxa"/>
            <w:tcBorders>
              <w:top w:val="nil"/>
              <w:bottom w:val="single" w:sz="4" w:space="0" w:color="auto"/>
            </w:tcBorders>
            <w:vAlign w:val="center"/>
            <w:hideMark/>
          </w:tcPr>
          <w:p w14:paraId="7AC25AD1"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23.2%</w:t>
            </w:r>
          </w:p>
        </w:tc>
        <w:tc>
          <w:tcPr>
            <w:tcW w:w="1190" w:type="dxa"/>
            <w:tcBorders>
              <w:top w:val="nil"/>
              <w:bottom w:val="single" w:sz="4" w:space="0" w:color="auto"/>
            </w:tcBorders>
            <w:vAlign w:val="center"/>
            <w:hideMark/>
          </w:tcPr>
          <w:p w14:paraId="0D230C99"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23.5%</w:t>
            </w:r>
          </w:p>
        </w:tc>
        <w:tc>
          <w:tcPr>
            <w:tcW w:w="1191" w:type="dxa"/>
            <w:tcBorders>
              <w:top w:val="nil"/>
              <w:bottom w:val="single" w:sz="4" w:space="0" w:color="auto"/>
            </w:tcBorders>
            <w:vAlign w:val="center"/>
            <w:hideMark/>
          </w:tcPr>
          <w:p w14:paraId="14A7090D"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23.4%</w:t>
            </w:r>
          </w:p>
        </w:tc>
        <w:tc>
          <w:tcPr>
            <w:tcW w:w="1191" w:type="dxa"/>
            <w:tcBorders>
              <w:top w:val="nil"/>
              <w:bottom w:val="single" w:sz="4" w:space="0" w:color="auto"/>
            </w:tcBorders>
            <w:vAlign w:val="center"/>
            <w:hideMark/>
          </w:tcPr>
          <w:p w14:paraId="6712E56D"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24.3%</w:t>
            </w:r>
          </w:p>
        </w:tc>
        <w:tc>
          <w:tcPr>
            <w:tcW w:w="1190" w:type="dxa"/>
            <w:tcBorders>
              <w:top w:val="nil"/>
              <w:bottom w:val="single" w:sz="4" w:space="0" w:color="auto"/>
            </w:tcBorders>
            <w:vAlign w:val="center"/>
            <w:hideMark/>
          </w:tcPr>
          <w:p w14:paraId="5AF87F28"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27.2%</w:t>
            </w:r>
          </w:p>
        </w:tc>
        <w:tc>
          <w:tcPr>
            <w:tcW w:w="1191" w:type="dxa"/>
            <w:tcBorders>
              <w:top w:val="nil"/>
              <w:bottom w:val="single" w:sz="4" w:space="0" w:color="auto"/>
            </w:tcBorders>
            <w:vAlign w:val="center"/>
            <w:hideMark/>
          </w:tcPr>
          <w:p w14:paraId="0A330557"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32.9%</w:t>
            </w:r>
          </w:p>
        </w:tc>
        <w:tc>
          <w:tcPr>
            <w:tcW w:w="1191" w:type="dxa"/>
            <w:tcBorders>
              <w:top w:val="nil"/>
              <w:bottom w:val="single" w:sz="4" w:space="0" w:color="auto"/>
            </w:tcBorders>
            <w:vAlign w:val="center"/>
            <w:hideMark/>
          </w:tcPr>
          <w:p w14:paraId="62608BFB"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32.6%</w:t>
            </w:r>
          </w:p>
        </w:tc>
        <w:tc>
          <w:tcPr>
            <w:tcW w:w="1191" w:type="dxa"/>
            <w:tcBorders>
              <w:top w:val="nil"/>
              <w:bottom w:val="single" w:sz="4" w:space="0" w:color="auto"/>
            </w:tcBorders>
            <w:vAlign w:val="center"/>
            <w:hideMark/>
          </w:tcPr>
          <w:p w14:paraId="2CE710EC"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37.2%</w:t>
            </w:r>
          </w:p>
        </w:tc>
      </w:tr>
      <w:tr w:rsidR="009654BA" w:rsidRPr="00383A85" w14:paraId="19A50DD4" w14:textId="77777777" w:rsidTr="00F2448E">
        <w:trPr>
          <w:trHeight w:val="370"/>
        </w:trPr>
        <w:tc>
          <w:tcPr>
            <w:tcW w:w="2235" w:type="dxa"/>
            <w:tcBorders>
              <w:top w:val="nil"/>
              <w:bottom w:val="single" w:sz="4" w:space="0" w:color="auto"/>
            </w:tcBorders>
            <w:shd w:val="clear" w:color="auto" w:fill="DBE5F1" w:themeFill="accent1" w:themeFillTint="33"/>
            <w:vAlign w:val="center"/>
            <w:hideMark/>
          </w:tcPr>
          <w:p w14:paraId="6C06A455" w14:textId="77777777" w:rsidR="009654BA" w:rsidRPr="00383A85" w:rsidRDefault="00AC4C50" w:rsidP="00CE2FDF">
            <w:pPr>
              <w:spacing w:before="0" w:after="60" w:line="276" w:lineRule="auto"/>
              <w:rPr>
                <w:rFonts w:eastAsia="Times New Roman" w:cs="Arial"/>
                <w:b/>
                <w:color w:val="000000"/>
                <w:lang w:eastAsia="en-AU"/>
              </w:rPr>
            </w:pPr>
            <w:r>
              <w:rPr>
                <w:rFonts w:eastAsia="Times New Roman" w:cs="Arial"/>
                <w:b/>
                <w:lang w:eastAsia="en-AU"/>
              </w:rPr>
              <w:t>School personnel</w:t>
            </w:r>
          </w:p>
        </w:tc>
        <w:tc>
          <w:tcPr>
            <w:tcW w:w="1190" w:type="dxa"/>
            <w:tcBorders>
              <w:top w:val="nil"/>
              <w:bottom w:val="single" w:sz="4" w:space="0" w:color="auto"/>
            </w:tcBorders>
            <w:shd w:val="clear" w:color="auto" w:fill="DBE5F1" w:themeFill="accent1" w:themeFillTint="33"/>
            <w:vAlign w:val="center"/>
            <w:hideMark/>
          </w:tcPr>
          <w:p w14:paraId="55DB3282"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11.9%</w:t>
            </w:r>
          </w:p>
        </w:tc>
        <w:tc>
          <w:tcPr>
            <w:tcW w:w="1191" w:type="dxa"/>
            <w:tcBorders>
              <w:top w:val="nil"/>
              <w:bottom w:val="single" w:sz="4" w:space="0" w:color="auto"/>
            </w:tcBorders>
            <w:shd w:val="clear" w:color="auto" w:fill="DBE5F1" w:themeFill="accent1" w:themeFillTint="33"/>
            <w:vAlign w:val="center"/>
            <w:hideMark/>
          </w:tcPr>
          <w:p w14:paraId="552D9924"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11.8%</w:t>
            </w:r>
          </w:p>
        </w:tc>
        <w:tc>
          <w:tcPr>
            <w:tcW w:w="1191" w:type="dxa"/>
            <w:tcBorders>
              <w:top w:val="nil"/>
              <w:bottom w:val="single" w:sz="4" w:space="0" w:color="auto"/>
            </w:tcBorders>
            <w:shd w:val="clear" w:color="auto" w:fill="DBE5F1" w:themeFill="accent1" w:themeFillTint="33"/>
            <w:vAlign w:val="center"/>
            <w:hideMark/>
          </w:tcPr>
          <w:p w14:paraId="5158D3D7"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11.7%</w:t>
            </w:r>
          </w:p>
        </w:tc>
        <w:tc>
          <w:tcPr>
            <w:tcW w:w="1190" w:type="dxa"/>
            <w:tcBorders>
              <w:top w:val="nil"/>
              <w:bottom w:val="single" w:sz="4" w:space="0" w:color="auto"/>
            </w:tcBorders>
            <w:shd w:val="clear" w:color="auto" w:fill="DBE5F1" w:themeFill="accent1" w:themeFillTint="33"/>
            <w:vAlign w:val="center"/>
            <w:hideMark/>
          </w:tcPr>
          <w:p w14:paraId="57C3D02C"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12.4%</w:t>
            </w:r>
          </w:p>
        </w:tc>
        <w:tc>
          <w:tcPr>
            <w:tcW w:w="1191" w:type="dxa"/>
            <w:tcBorders>
              <w:top w:val="nil"/>
              <w:bottom w:val="single" w:sz="4" w:space="0" w:color="auto"/>
            </w:tcBorders>
            <w:shd w:val="clear" w:color="auto" w:fill="DBE5F1" w:themeFill="accent1" w:themeFillTint="33"/>
            <w:vAlign w:val="center"/>
            <w:hideMark/>
          </w:tcPr>
          <w:p w14:paraId="0E160580"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13.5%</w:t>
            </w:r>
          </w:p>
        </w:tc>
        <w:tc>
          <w:tcPr>
            <w:tcW w:w="1191" w:type="dxa"/>
            <w:tcBorders>
              <w:top w:val="nil"/>
              <w:bottom w:val="single" w:sz="4" w:space="0" w:color="auto"/>
            </w:tcBorders>
            <w:shd w:val="clear" w:color="auto" w:fill="DBE5F1" w:themeFill="accent1" w:themeFillTint="33"/>
            <w:vAlign w:val="center"/>
            <w:hideMark/>
          </w:tcPr>
          <w:p w14:paraId="7DDDA6FC"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16.8%</w:t>
            </w:r>
          </w:p>
        </w:tc>
        <w:tc>
          <w:tcPr>
            <w:tcW w:w="1190" w:type="dxa"/>
            <w:tcBorders>
              <w:top w:val="nil"/>
              <w:bottom w:val="single" w:sz="4" w:space="0" w:color="auto"/>
            </w:tcBorders>
            <w:shd w:val="clear" w:color="auto" w:fill="DBE5F1" w:themeFill="accent1" w:themeFillTint="33"/>
            <w:vAlign w:val="center"/>
            <w:hideMark/>
          </w:tcPr>
          <w:p w14:paraId="3B5C072F"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17.8%</w:t>
            </w:r>
          </w:p>
        </w:tc>
        <w:tc>
          <w:tcPr>
            <w:tcW w:w="1191" w:type="dxa"/>
            <w:tcBorders>
              <w:top w:val="nil"/>
              <w:bottom w:val="single" w:sz="4" w:space="0" w:color="auto"/>
            </w:tcBorders>
            <w:shd w:val="clear" w:color="auto" w:fill="DBE5F1" w:themeFill="accent1" w:themeFillTint="33"/>
            <w:vAlign w:val="center"/>
            <w:hideMark/>
          </w:tcPr>
          <w:p w14:paraId="548C76CE"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17.3%</w:t>
            </w:r>
          </w:p>
        </w:tc>
        <w:tc>
          <w:tcPr>
            <w:tcW w:w="1191" w:type="dxa"/>
            <w:tcBorders>
              <w:top w:val="nil"/>
              <w:bottom w:val="single" w:sz="4" w:space="0" w:color="auto"/>
            </w:tcBorders>
            <w:shd w:val="clear" w:color="auto" w:fill="DBE5F1" w:themeFill="accent1" w:themeFillTint="33"/>
            <w:vAlign w:val="center"/>
            <w:hideMark/>
          </w:tcPr>
          <w:p w14:paraId="2BB6A9C9"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18.6%</w:t>
            </w:r>
          </w:p>
        </w:tc>
        <w:tc>
          <w:tcPr>
            <w:tcW w:w="1191" w:type="dxa"/>
            <w:tcBorders>
              <w:top w:val="nil"/>
              <w:bottom w:val="single" w:sz="4" w:space="0" w:color="auto"/>
            </w:tcBorders>
            <w:shd w:val="clear" w:color="auto" w:fill="DBE5F1" w:themeFill="accent1" w:themeFillTint="33"/>
            <w:vAlign w:val="center"/>
            <w:hideMark/>
          </w:tcPr>
          <w:p w14:paraId="199C3B8B"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18.6%</w:t>
            </w:r>
          </w:p>
        </w:tc>
      </w:tr>
      <w:tr w:rsidR="009654BA" w:rsidRPr="00383A85" w14:paraId="06D08BF9" w14:textId="77777777" w:rsidTr="00F2448E">
        <w:trPr>
          <w:trHeight w:val="276"/>
        </w:trPr>
        <w:tc>
          <w:tcPr>
            <w:tcW w:w="2235" w:type="dxa"/>
            <w:tcBorders>
              <w:top w:val="nil"/>
              <w:bottom w:val="single" w:sz="4" w:space="0" w:color="auto"/>
            </w:tcBorders>
            <w:shd w:val="clear" w:color="auto" w:fill="auto"/>
            <w:vAlign w:val="center"/>
            <w:hideMark/>
          </w:tcPr>
          <w:p w14:paraId="6C1038AF" w14:textId="77777777" w:rsidR="009654BA" w:rsidRPr="00383A85" w:rsidRDefault="009654BA" w:rsidP="00CE2FDF">
            <w:pPr>
              <w:spacing w:before="0" w:after="60" w:line="276" w:lineRule="auto"/>
              <w:rPr>
                <w:rFonts w:eastAsia="Times New Roman" w:cs="Arial"/>
                <w:b/>
                <w:color w:val="000000"/>
                <w:lang w:eastAsia="en-AU"/>
              </w:rPr>
            </w:pPr>
            <w:r w:rsidRPr="00383A85">
              <w:rPr>
                <w:rFonts w:eastAsia="Times New Roman" w:cs="Arial"/>
                <w:b/>
                <w:color w:val="000000"/>
                <w:lang w:eastAsia="en-AU"/>
              </w:rPr>
              <w:t>Psychiatrists</w:t>
            </w:r>
          </w:p>
        </w:tc>
        <w:tc>
          <w:tcPr>
            <w:tcW w:w="1190" w:type="dxa"/>
            <w:tcBorders>
              <w:top w:val="nil"/>
              <w:bottom w:val="single" w:sz="4" w:space="0" w:color="auto"/>
            </w:tcBorders>
            <w:shd w:val="clear" w:color="auto" w:fill="auto"/>
            <w:vAlign w:val="center"/>
            <w:hideMark/>
          </w:tcPr>
          <w:p w14:paraId="455B7408"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0.5%</w:t>
            </w:r>
          </w:p>
        </w:tc>
        <w:tc>
          <w:tcPr>
            <w:tcW w:w="1191" w:type="dxa"/>
            <w:tcBorders>
              <w:top w:val="nil"/>
              <w:bottom w:val="single" w:sz="4" w:space="0" w:color="auto"/>
            </w:tcBorders>
            <w:shd w:val="clear" w:color="auto" w:fill="auto"/>
            <w:vAlign w:val="center"/>
            <w:hideMark/>
          </w:tcPr>
          <w:p w14:paraId="607F2475"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0.8%</w:t>
            </w:r>
          </w:p>
        </w:tc>
        <w:tc>
          <w:tcPr>
            <w:tcW w:w="1191" w:type="dxa"/>
            <w:tcBorders>
              <w:top w:val="nil"/>
              <w:bottom w:val="single" w:sz="4" w:space="0" w:color="auto"/>
            </w:tcBorders>
            <w:shd w:val="clear" w:color="auto" w:fill="auto"/>
            <w:vAlign w:val="center"/>
            <w:hideMark/>
          </w:tcPr>
          <w:p w14:paraId="08A67646"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0.5%</w:t>
            </w:r>
          </w:p>
        </w:tc>
        <w:tc>
          <w:tcPr>
            <w:tcW w:w="1190" w:type="dxa"/>
            <w:tcBorders>
              <w:top w:val="nil"/>
              <w:bottom w:val="single" w:sz="4" w:space="0" w:color="auto"/>
            </w:tcBorders>
            <w:shd w:val="clear" w:color="auto" w:fill="auto"/>
            <w:vAlign w:val="center"/>
            <w:hideMark/>
          </w:tcPr>
          <w:p w14:paraId="7513FFC4"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0.6%</w:t>
            </w:r>
          </w:p>
        </w:tc>
        <w:tc>
          <w:tcPr>
            <w:tcW w:w="1191" w:type="dxa"/>
            <w:tcBorders>
              <w:top w:val="nil"/>
              <w:bottom w:val="single" w:sz="4" w:space="0" w:color="auto"/>
            </w:tcBorders>
            <w:shd w:val="clear" w:color="auto" w:fill="auto"/>
            <w:vAlign w:val="center"/>
            <w:hideMark/>
          </w:tcPr>
          <w:p w14:paraId="1B480614"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0.4%</w:t>
            </w:r>
          </w:p>
        </w:tc>
        <w:tc>
          <w:tcPr>
            <w:tcW w:w="1191" w:type="dxa"/>
            <w:tcBorders>
              <w:top w:val="nil"/>
              <w:bottom w:val="single" w:sz="4" w:space="0" w:color="auto"/>
            </w:tcBorders>
            <w:shd w:val="clear" w:color="auto" w:fill="auto"/>
            <w:vAlign w:val="center"/>
            <w:hideMark/>
          </w:tcPr>
          <w:p w14:paraId="351DFB1E"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0.5%</w:t>
            </w:r>
          </w:p>
        </w:tc>
        <w:tc>
          <w:tcPr>
            <w:tcW w:w="1190" w:type="dxa"/>
            <w:tcBorders>
              <w:top w:val="nil"/>
              <w:bottom w:val="single" w:sz="4" w:space="0" w:color="auto"/>
            </w:tcBorders>
            <w:shd w:val="clear" w:color="auto" w:fill="auto"/>
            <w:vAlign w:val="center"/>
            <w:hideMark/>
          </w:tcPr>
          <w:p w14:paraId="5A377D2C"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0.6%</w:t>
            </w:r>
          </w:p>
        </w:tc>
        <w:tc>
          <w:tcPr>
            <w:tcW w:w="1191" w:type="dxa"/>
            <w:tcBorders>
              <w:top w:val="nil"/>
              <w:bottom w:val="single" w:sz="4" w:space="0" w:color="auto"/>
            </w:tcBorders>
            <w:shd w:val="clear" w:color="auto" w:fill="auto"/>
            <w:vAlign w:val="center"/>
            <w:hideMark/>
          </w:tcPr>
          <w:p w14:paraId="1DC9E192"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0.5%</w:t>
            </w:r>
          </w:p>
        </w:tc>
        <w:tc>
          <w:tcPr>
            <w:tcW w:w="1191" w:type="dxa"/>
            <w:tcBorders>
              <w:top w:val="nil"/>
              <w:bottom w:val="single" w:sz="4" w:space="0" w:color="auto"/>
            </w:tcBorders>
            <w:shd w:val="clear" w:color="auto" w:fill="auto"/>
            <w:vAlign w:val="center"/>
            <w:hideMark/>
          </w:tcPr>
          <w:p w14:paraId="64DF56AF"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0.4%</w:t>
            </w:r>
          </w:p>
        </w:tc>
        <w:tc>
          <w:tcPr>
            <w:tcW w:w="1191" w:type="dxa"/>
            <w:tcBorders>
              <w:top w:val="nil"/>
              <w:bottom w:val="single" w:sz="4" w:space="0" w:color="auto"/>
            </w:tcBorders>
            <w:shd w:val="clear" w:color="auto" w:fill="auto"/>
            <w:vAlign w:val="center"/>
            <w:hideMark/>
          </w:tcPr>
          <w:p w14:paraId="670D5DB3" w14:textId="77777777" w:rsidR="009654BA"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0.3%</w:t>
            </w:r>
          </w:p>
        </w:tc>
      </w:tr>
      <w:tr w:rsidR="00441F98" w:rsidRPr="00383A85" w14:paraId="6EC14CF8" w14:textId="77777777" w:rsidTr="00F2448E">
        <w:trPr>
          <w:trHeight w:val="276"/>
        </w:trPr>
        <w:tc>
          <w:tcPr>
            <w:tcW w:w="2235" w:type="dxa"/>
            <w:tcBorders>
              <w:bottom w:val="single" w:sz="4" w:space="0" w:color="auto"/>
            </w:tcBorders>
            <w:shd w:val="clear" w:color="auto" w:fill="DBE5F1" w:themeFill="accent1" w:themeFillTint="33"/>
            <w:vAlign w:val="center"/>
            <w:hideMark/>
          </w:tcPr>
          <w:p w14:paraId="0996912C" w14:textId="77777777" w:rsidR="00441F98" w:rsidRPr="00441F98" w:rsidRDefault="00441F98" w:rsidP="00CE2FDF">
            <w:pPr>
              <w:keepNext/>
              <w:spacing w:before="0" w:after="60" w:line="276" w:lineRule="auto"/>
              <w:rPr>
                <w:rFonts w:eastAsia="Times New Roman" w:cs="Arial"/>
                <w:b/>
                <w:color w:val="000000"/>
                <w:lang w:eastAsia="en-AU"/>
              </w:rPr>
            </w:pPr>
            <w:r w:rsidRPr="00441F98">
              <w:rPr>
                <w:rFonts w:eastAsia="Times New Roman" w:cs="Arial"/>
                <w:b/>
                <w:color w:val="000000"/>
                <w:lang w:eastAsia="en-AU"/>
              </w:rPr>
              <w:t>Major mandated reporter groups combined</w:t>
            </w:r>
          </w:p>
        </w:tc>
        <w:tc>
          <w:tcPr>
            <w:tcW w:w="1190" w:type="dxa"/>
            <w:tcBorders>
              <w:top w:val="nil"/>
              <w:bottom w:val="single" w:sz="4" w:space="0" w:color="auto"/>
            </w:tcBorders>
            <w:shd w:val="clear" w:color="auto" w:fill="DBE5F1" w:themeFill="accent1" w:themeFillTint="33"/>
            <w:vAlign w:val="center"/>
            <w:hideMark/>
          </w:tcPr>
          <w:p w14:paraId="704C03EC" w14:textId="77777777" w:rsidR="00441F98"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40.6%</w:t>
            </w:r>
          </w:p>
        </w:tc>
        <w:tc>
          <w:tcPr>
            <w:tcW w:w="1191" w:type="dxa"/>
            <w:tcBorders>
              <w:top w:val="nil"/>
              <w:bottom w:val="single" w:sz="4" w:space="0" w:color="auto"/>
            </w:tcBorders>
            <w:shd w:val="clear" w:color="auto" w:fill="DBE5F1" w:themeFill="accent1" w:themeFillTint="33"/>
            <w:vAlign w:val="center"/>
            <w:hideMark/>
          </w:tcPr>
          <w:p w14:paraId="2F3F64C1" w14:textId="77777777" w:rsidR="00441F98"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40.1%</w:t>
            </w:r>
          </w:p>
        </w:tc>
        <w:tc>
          <w:tcPr>
            <w:tcW w:w="1191" w:type="dxa"/>
            <w:tcBorders>
              <w:top w:val="nil"/>
              <w:bottom w:val="single" w:sz="4" w:space="0" w:color="auto"/>
            </w:tcBorders>
            <w:shd w:val="clear" w:color="auto" w:fill="DBE5F1" w:themeFill="accent1" w:themeFillTint="33"/>
            <w:vAlign w:val="center"/>
            <w:hideMark/>
          </w:tcPr>
          <w:p w14:paraId="2E0908DF" w14:textId="77777777" w:rsidR="00441F98"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41.7%</w:t>
            </w:r>
          </w:p>
        </w:tc>
        <w:tc>
          <w:tcPr>
            <w:tcW w:w="1190" w:type="dxa"/>
            <w:tcBorders>
              <w:top w:val="nil"/>
              <w:bottom w:val="single" w:sz="4" w:space="0" w:color="auto"/>
            </w:tcBorders>
            <w:shd w:val="clear" w:color="auto" w:fill="DBE5F1" w:themeFill="accent1" w:themeFillTint="33"/>
            <w:vAlign w:val="center"/>
            <w:hideMark/>
          </w:tcPr>
          <w:p w14:paraId="2BA614CD" w14:textId="77777777" w:rsidR="00441F98"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42.3%</w:t>
            </w:r>
          </w:p>
        </w:tc>
        <w:tc>
          <w:tcPr>
            <w:tcW w:w="1191" w:type="dxa"/>
            <w:tcBorders>
              <w:top w:val="nil"/>
              <w:bottom w:val="single" w:sz="4" w:space="0" w:color="auto"/>
            </w:tcBorders>
            <w:shd w:val="clear" w:color="auto" w:fill="DBE5F1" w:themeFill="accent1" w:themeFillTint="33"/>
            <w:vAlign w:val="center"/>
            <w:hideMark/>
          </w:tcPr>
          <w:p w14:paraId="1D78C262" w14:textId="77777777" w:rsidR="00441F98"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43.0%</w:t>
            </w:r>
          </w:p>
        </w:tc>
        <w:tc>
          <w:tcPr>
            <w:tcW w:w="1191" w:type="dxa"/>
            <w:tcBorders>
              <w:top w:val="nil"/>
              <w:bottom w:val="single" w:sz="4" w:space="0" w:color="auto"/>
            </w:tcBorders>
            <w:shd w:val="clear" w:color="auto" w:fill="DBE5F1" w:themeFill="accent1" w:themeFillTint="33"/>
            <w:vAlign w:val="center"/>
            <w:hideMark/>
          </w:tcPr>
          <w:p w14:paraId="3CC5EF23" w14:textId="77777777" w:rsidR="00441F98"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47.1%</w:t>
            </w:r>
          </w:p>
        </w:tc>
        <w:tc>
          <w:tcPr>
            <w:tcW w:w="1190" w:type="dxa"/>
            <w:tcBorders>
              <w:top w:val="nil"/>
              <w:bottom w:val="single" w:sz="4" w:space="0" w:color="auto"/>
            </w:tcBorders>
            <w:shd w:val="clear" w:color="auto" w:fill="DBE5F1" w:themeFill="accent1" w:themeFillTint="33"/>
            <w:vAlign w:val="center"/>
            <w:hideMark/>
          </w:tcPr>
          <w:p w14:paraId="1073DAC6" w14:textId="77777777" w:rsidR="00441F98"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50.2%</w:t>
            </w:r>
          </w:p>
        </w:tc>
        <w:tc>
          <w:tcPr>
            <w:tcW w:w="1191" w:type="dxa"/>
            <w:tcBorders>
              <w:top w:val="nil"/>
              <w:bottom w:val="single" w:sz="4" w:space="0" w:color="auto"/>
            </w:tcBorders>
            <w:shd w:val="clear" w:color="auto" w:fill="DBE5F1" w:themeFill="accent1" w:themeFillTint="33"/>
            <w:vAlign w:val="center"/>
            <w:hideMark/>
          </w:tcPr>
          <w:p w14:paraId="479C953A"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w:t>
            </w:r>
            <w:r w:rsidR="00F2448E">
              <w:rPr>
                <w:rFonts w:eastAsia="Times New Roman" w:cs="Arial"/>
                <w:color w:val="000000"/>
                <w:lang w:eastAsia="en-AU"/>
              </w:rPr>
              <w:t>5.0%</w:t>
            </w:r>
          </w:p>
        </w:tc>
        <w:tc>
          <w:tcPr>
            <w:tcW w:w="1191" w:type="dxa"/>
            <w:tcBorders>
              <w:top w:val="nil"/>
              <w:bottom w:val="single" w:sz="4" w:space="0" w:color="auto"/>
            </w:tcBorders>
            <w:shd w:val="clear" w:color="auto" w:fill="DBE5F1" w:themeFill="accent1" w:themeFillTint="33"/>
            <w:vAlign w:val="center"/>
            <w:hideMark/>
          </w:tcPr>
          <w:p w14:paraId="5D15ADDB" w14:textId="77777777" w:rsidR="00441F98"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55.3%</w:t>
            </w:r>
          </w:p>
        </w:tc>
        <w:tc>
          <w:tcPr>
            <w:tcW w:w="1191" w:type="dxa"/>
            <w:tcBorders>
              <w:top w:val="nil"/>
              <w:bottom w:val="single" w:sz="4" w:space="0" w:color="auto"/>
            </w:tcBorders>
            <w:shd w:val="clear" w:color="auto" w:fill="DBE5F1" w:themeFill="accent1" w:themeFillTint="33"/>
            <w:vAlign w:val="center"/>
            <w:hideMark/>
          </w:tcPr>
          <w:p w14:paraId="23BB97F5" w14:textId="77777777" w:rsidR="00441F98" w:rsidRPr="00383A85" w:rsidRDefault="00F2448E" w:rsidP="00CE2FDF">
            <w:pPr>
              <w:spacing w:before="0" w:after="60" w:line="276" w:lineRule="auto"/>
              <w:jc w:val="right"/>
              <w:rPr>
                <w:rFonts w:eastAsia="Times New Roman" w:cs="Arial"/>
                <w:color w:val="000000"/>
                <w:lang w:eastAsia="en-AU"/>
              </w:rPr>
            </w:pPr>
            <w:r>
              <w:rPr>
                <w:rFonts w:eastAsia="Times New Roman" w:cs="Arial"/>
                <w:color w:val="000000"/>
                <w:lang w:eastAsia="en-AU"/>
              </w:rPr>
              <w:t>59.4%</w:t>
            </w:r>
          </w:p>
        </w:tc>
      </w:tr>
      <w:tr w:rsidR="00441F98" w:rsidRPr="00383A85" w14:paraId="3F3FE191" w14:textId="77777777" w:rsidTr="00F2448E">
        <w:trPr>
          <w:trHeight w:val="276"/>
        </w:trPr>
        <w:tc>
          <w:tcPr>
            <w:tcW w:w="2235" w:type="dxa"/>
            <w:tcBorders>
              <w:top w:val="nil"/>
            </w:tcBorders>
            <w:noWrap/>
            <w:vAlign w:val="center"/>
            <w:hideMark/>
          </w:tcPr>
          <w:p w14:paraId="08B2C46D" w14:textId="77777777" w:rsidR="00441F98" w:rsidRPr="00441F98" w:rsidRDefault="00441F98" w:rsidP="00CE2FDF">
            <w:pPr>
              <w:keepNext/>
              <w:spacing w:before="0" w:after="60" w:line="276" w:lineRule="auto"/>
              <w:rPr>
                <w:rFonts w:eastAsia="Times New Roman" w:cs="Arial"/>
                <w:b/>
                <w:color w:val="000000"/>
                <w:lang w:eastAsia="en-AU"/>
              </w:rPr>
            </w:pPr>
            <w:r w:rsidRPr="00441F98">
              <w:rPr>
                <w:rFonts w:eastAsia="Times New Roman" w:cs="Arial"/>
                <w:b/>
                <w:color w:val="000000"/>
                <w:lang w:eastAsia="en-AU"/>
              </w:rPr>
              <w:t>Other reporter groups combined</w:t>
            </w:r>
          </w:p>
        </w:tc>
        <w:tc>
          <w:tcPr>
            <w:tcW w:w="1190" w:type="dxa"/>
            <w:tcBorders>
              <w:top w:val="nil"/>
            </w:tcBorders>
            <w:vAlign w:val="center"/>
            <w:hideMark/>
          </w:tcPr>
          <w:p w14:paraId="4D2646AA"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69.2%</w:t>
            </w:r>
          </w:p>
        </w:tc>
        <w:tc>
          <w:tcPr>
            <w:tcW w:w="1191" w:type="dxa"/>
            <w:tcBorders>
              <w:top w:val="nil"/>
            </w:tcBorders>
            <w:vAlign w:val="center"/>
            <w:hideMark/>
          </w:tcPr>
          <w:p w14:paraId="5071C305"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69.9%</w:t>
            </w:r>
          </w:p>
        </w:tc>
        <w:tc>
          <w:tcPr>
            <w:tcW w:w="1191" w:type="dxa"/>
            <w:tcBorders>
              <w:top w:val="nil"/>
            </w:tcBorders>
            <w:vAlign w:val="center"/>
            <w:hideMark/>
          </w:tcPr>
          <w:p w14:paraId="375379CC"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67.4%</w:t>
            </w:r>
          </w:p>
        </w:tc>
        <w:tc>
          <w:tcPr>
            <w:tcW w:w="1190" w:type="dxa"/>
            <w:tcBorders>
              <w:top w:val="nil"/>
            </w:tcBorders>
            <w:vAlign w:val="center"/>
            <w:hideMark/>
          </w:tcPr>
          <w:p w14:paraId="18745EEE"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66.5%</w:t>
            </w:r>
          </w:p>
        </w:tc>
        <w:tc>
          <w:tcPr>
            <w:tcW w:w="1191" w:type="dxa"/>
            <w:tcBorders>
              <w:top w:val="nil"/>
            </w:tcBorders>
            <w:vAlign w:val="center"/>
            <w:hideMark/>
          </w:tcPr>
          <w:p w14:paraId="436A7F71"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65.4%</w:t>
            </w:r>
          </w:p>
        </w:tc>
        <w:tc>
          <w:tcPr>
            <w:tcW w:w="1191" w:type="dxa"/>
            <w:tcBorders>
              <w:top w:val="nil"/>
            </w:tcBorders>
            <w:vAlign w:val="center"/>
            <w:hideMark/>
          </w:tcPr>
          <w:p w14:paraId="67A7E79E"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62.4%</w:t>
            </w:r>
          </w:p>
        </w:tc>
        <w:tc>
          <w:tcPr>
            <w:tcW w:w="1190" w:type="dxa"/>
            <w:tcBorders>
              <w:top w:val="nil"/>
            </w:tcBorders>
            <w:vAlign w:val="center"/>
            <w:hideMark/>
          </w:tcPr>
          <w:p w14:paraId="2F6D82DF"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59.0%</w:t>
            </w:r>
          </w:p>
        </w:tc>
        <w:tc>
          <w:tcPr>
            <w:tcW w:w="1191" w:type="dxa"/>
            <w:tcBorders>
              <w:top w:val="nil"/>
            </w:tcBorders>
            <w:vAlign w:val="center"/>
            <w:hideMark/>
          </w:tcPr>
          <w:p w14:paraId="17428320"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55.3%</w:t>
            </w:r>
          </w:p>
        </w:tc>
        <w:tc>
          <w:tcPr>
            <w:tcW w:w="1191" w:type="dxa"/>
            <w:tcBorders>
              <w:top w:val="nil"/>
            </w:tcBorders>
            <w:vAlign w:val="center"/>
            <w:hideMark/>
          </w:tcPr>
          <w:p w14:paraId="6DAD1B7E"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56.1%</w:t>
            </w:r>
          </w:p>
        </w:tc>
        <w:tc>
          <w:tcPr>
            <w:tcW w:w="1191" w:type="dxa"/>
            <w:tcBorders>
              <w:top w:val="nil"/>
            </w:tcBorders>
            <w:noWrap/>
            <w:vAlign w:val="center"/>
            <w:hideMark/>
          </w:tcPr>
          <w:p w14:paraId="2504ABCF"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52.8%</w:t>
            </w:r>
          </w:p>
        </w:tc>
      </w:tr>
      <w:tr w:rsidR="00441F98" w:rsidRPr="00383A85" w14:paraId="0726D3B6" w14:textId="77777777" w:rsidTr="00F2448E">
        <w:trPr>
          <w:trHeight w:val="276"/>
        </w:trPr>
        <w:tc>
          <w:tcPr>
            <w:tcW w:w="2235" w:type="dxa"/>
            <w:shd w:val="clear" w:color="auto" w:fill="B8CCE4" w:themeFill="accent1" w:themeFillTint="66"/>
            <w:noWrap/>
            <w:vAlign w:val="center"/>
            <w:hideMark/>
          </w:tcPr>
          <w:p w14:paraId="10BD4874" w14:textId="77777777" w:rsidR="00441F98" w:rsidRPr="00441F98" w:rsidRDefault="00441F98" w:rsidP="00CE2FDF">
            <w:pPr>
              <w:spacing w:before="0" w:after="60" w:line="276" w:lineRule="auto"/>
              <w:rPr>
                <w:rFonts w:eastAsia="Times New Roman" w:cs="Arial"/>
                <w:b/>
                <w:lang w:eastAsia="en-AU"/>
              </w:rPr>
            </w:pPr>
            <w:r w:rsidRPr="00441F98">
              <w:rPr>
                <w:rFonts w:eastAsia="Times New Roman" w:cs="Arial"/>
                <w:b/>
                <w:lang w:eastAsia="en-AU"/>
              </w:rPr>
              <w:t>Distinct children in reports</w:t>
            </w:r>
          </w:p>
        </w:tc>
        <w:tc>
          <w:tcPr>
            <w:tcW w:w="1190" w:type="dxa"/>
            <w:shd w:val="clear" w:color="auto" w:fill="B8CCE4" w:themeFill="accent1" w:themeFillTint="66"/>
            <w:vAlign w:val="center"/>
            <w:hideMark/>
          </w:tcPr>
          <w:p w14:paraId="48913646"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28,028</w:t>
            </w:r>
          </w:p>
        </w:tc>
        <w:tc>
          <w:tcPr>
            <w:tcW w:w="1191" w:type="dxa"/>
            <w:shd w:val="clear" w:color="auto" w:fill="B8CCE4" w:themeFill="accent1" w:themeFillTint="66"/>
            <w:vAlign w:val="center"/>
            <w:hideMark/>
          </w:tcPr>
          <w:p w14:paraId="05DBF4C0"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28,461</w:t>
            </w:r>
          </w:p>
        </w:tc>
        <w:tc>
          <w:tcPr>
            <w:tcW w:w="1191" w:type="dxa"/>
            <w:shd w:val="clear" w:color="auto" w:fill="B8CCE4" w:themeFill="accent1" w:themeFillTint="66"/>
            <w:vAlign w:val="center"/>
            <w:hideMark/>
          </w:tcPr>
          <w:p w14:paraId="62490AA4"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28,240</w:t>
            </w:r>
          </w:p>
        </w:tc>
        <w:tc>
          <w:tcPr>
            <w:tcW w:w="1190" w:type="dxa"/>
            <w:shd w:val="clear" w:color="auto" w:fill="B8CCE4" w:themeFill="accent1" w:themeFillTint="66"/>
            <w:vAlign w:val="center"/>
            <w:hideMark/>
          </w:tcPr>
          <w:p w14:paraId="272A2BD1"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29,524</w:t>
            </w:r>
          </w:p>
        </w:tc>
        <w:tc>
          <w:tcPr>
            <w:tcW w:w="1191" w:type="dxa"/>
            <w:shd w:val="clear" w:color="auto" w:fill="B8CCE4" w:themeFill="accent1" w:themeFillTint="66"/>
            <w:vAlign w:val="center"/>
            <w:hideMark/>
          </w:tcPr>
          <w:p w14:paraId="17DFBC88"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30,392</w:t>
            </w:r>
          </w:p>
        </w:tc>
        <w:tc>
          <w:tcPr>
            <w:tcW w:w="1191" w:type="dxa"/>
            <w:shd w:val="clear" w:color="auto" w:fill="B8CCE4" w:themeFill="accent1" w:themeFillTint="66"/>
            <w:vAlign w:val="center"/>
            <w:hideMark/>
          </w:tcPr>
          <w:p w14:paraId="7D506B72"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32,424</w:t>
            </w:r>
          </w:p>
        </w:tc>
        <w:tc>
          <w:tcPr>
            <w:tcW w:w="1190" w:type="dxa"/>
            <w:shd w:val="clear" w:color="auto" w:fill="B8CCE4" w:themeFill="accent1" w:themeFillTint="66"/>
            <w:vAlign w:val="center"/>
            <w:hideMark/>
          </w:tcPr>
          <w:p w14:paraId="1136DD8B"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34,781</w:t>
            </w:r>
          </w:p>
        </w:tc>
        <w:tc>
          <w:tcPr>
            <w:tcW w:w="1191" w:type="dxa"/>
            <w:shd w:val="clear" w:color="auto" w:fill="B8CCE4" w:themeFill="accent1" w:themeFillTint="66"/>
            <w:vAlign w:val="center"/>
            <w:hideMark/>
          </w:tcPr>
          <w:p w14:paraId="00DDCAFB"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39,689</w:t>
            </w:r>
          </w:p>
        </w:tc>
        <w:tc>
          <w:tcPr>
            <w:tcW w:w="1191" w:type="dxa"/>
            <w:shd w:val="clear" w:color="auto" w:fill="B8CCE4" w:themeFill="accent1" w:themeFillTint="66"/>
            <w:vAlign w:val="center"/>
            <w:hideMark/>
          </w:tcPr>
          <w:p w14:paraId="57C0BC79"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43,478</w:t>
            </w:r>
          </w:p>
        </w:tc>
        <w:tc>
          <w:tcPr>
            <w:tcW w:w="1191" w:type="dxa"/>
            <w:shd w:val="clear" w:color="auto" w:fill="B8CCE4" w:themeFill="accent1" w:themeFillTint="66"/>
            <w:noWrap/>
            <w:vAlign w:val="center"/>
            <w:hideMark/>
          </w:tcPr>
          <w:p w14:paraId="180B5E21" w14:textId="77777777" w:rsidR="00441F98" w:rsidRPr="00383A85"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49,667</w:t>
            </w:r>
          </w:p>
        </w:tc>
      </w:tr>
      <w:tr w:rsidR="00441F98" w:rsidRPr="00383A85" w14:paraId="4E8A2AA0" w14:textId="77777777" w:rsidTr="00F2448E">
        <w:trPr>
          <w:trHeight w:val="276"/>
        </w:trPr>
        <w:tc>
          <w:tcPr>
            <w:tcW w:w="2235" w:type="dxa"/>
            <w:shd w:val="clear" w:color="auto" w:fill="B8CCE4" w:themeFill="accent1" w:themeFillTint="66"/>
            <w:noWrap/>
            <w:vAlign w:val="center"/>
          </w:tcPr>
          <w:p w14:paraId="779497AC" w14:textId="77777777" w:rsidR="00441F98" w:rsidRPr="00441F98" w:rsidRDefault="00441F98" w:rsidP="00CE2FDF">
            <w:pPr>
              <w:spacing w:before="0" w:after="60" w:line="276" w:lineRule="auto"/>
              <w:rPr>
                <w:rFonts w:eastAsia="Times New Roman" w:cs="Arial"/>
                <w:b/>
                <w:lang w:eastAsia="en-AU"/>
              </w:rPr>
            </w:pPr>
            <w:r w:rsidRPr="00441F98">
              <w:rPr>
                <w:rFonts w:eastAsia="Times New Roman" w:cs="Arial"/>
                <w:b/>
                <w:lang w:eastAsia="en-AU"/>
              </w:rPr>
              <w:t>Total reports</w:t>
            </w:r>
          </w:p>
        </w:tc>
        <w:tc>
          <w:tcPr>
            <w:tcW w:w="1190" w:type="dxa"/>
            <w:shd w:val="clear" w:color="auto" w:fill="B8CCE4" w:themeFill="accent1" w:themeFillTint="66"/>
            <w:vAlign w:val="center"/>
          </w:tcPr>
          <w:p w14:paraId="1A8BA848"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37,267</w:t>
            </w:r>
          </w:p>
        </w:tc>
        <w:tc>
          <w:tcPr>
            <w:tcW w:w="1191" w:type="dxa"/>
            <w:shd w:val="clear" w:color="auto" w:fill="B8CCE4" w:themeFill="accent1" w:themeFillTint="66"/>
            <w:vAlign w:val="center"/>
          </w:tcPr>
          <w:p w14:paraId="7AC3A34D"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37,649</w:t>
            </w:r>
          </w:p>
        </w:tc>
        <w:tc>
          <w:tcPr>
            <w:tcW w:w="1191" w:type="dxa"/>
            <w:shd w:val="clear" w:color="auto" w:fill="B8CCE4" w:themeFill="accent1" w:themeFillTint="66"/>
            <w:vAlign w:val="center"/>
          </w:tcPr>
          <w:p w14:paraId="3E5CB650"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36,657</w:t>
            </w:r>
          </w:p>
        </w:tc>
        <w:tc>
          <w:tcPr>
            <w:tcW w:w="1190" w:type="dxa"/>
            <w:shd w:val="clear" w:color="auto" w:fill="B8CCE4" w:themeFill="accent1" w:themeFillTint="66"/>
            <w:vAlign w:val="center"/>
          </w:tcPr>
          <w:p w14:paraId="05CADFED"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37,693</w:t>
            </w:r>
          </w:p>
        </w:tc>
        <w:tc>
          <w:tcPr>
            <w:tcW w:w="1191" w:type="dxa"/>
            <w:shd w:val="clear" w:color="auto" w:fill="B8CCE4" w:themeFill="accent1" w:themeFillTint="66"/>
            <w:vAlign w:val="center"/>
          </w:tcPr>
          <w:p w14:paraId="52FD37CD"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38,774</w:t>
            </w:r>
          </w:p>
        </w:tc>
        <w:tc>
          <w:tcPr>
            <w:tcW w:w="1191" w:type="dxa"/>
            <w:shd w:val="clear" w:color="auto" w:fill="B8CCE4" w:themeFill="accent1" w:themeFillTint="66"/>
            <w:vAlign w:val="center"/>
          </w:tcPr>
          <w:p w14:paraId="57528FDC"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41,695</w:t>
            </w:r>
          </w:p>
        </w:tc>
        <w:tc>
          <w:tcPr>
            <w:tcW w:w="1190" w:type="dxa"/>
            <w:shd w:val="clear" w:color="auto" w:fill="B8CCE4" w:themeFill="accent1" w:themeFillTint="66"/>
            <w:vAlign w:val="center"/>
          </w:tcPr>
          <w:p w14:paraId="1565C357"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44,770</w:t>
            </w:r>
          </w:p>
        </w:tc>
        <w:tc>
          <w:tcPr>
            <w:tcW w:w="1191" w:type="dxa"/>
            <w:shd w:val="clear" w:color="auto" w:fill="B8CCE4" w:themeFill="accent1" w:themeFillTint="66"/>
            <w:vAlign w:val="center"/>
          </w:tcPr>
          <w:p w14:paraId="7C03A0F7"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52,035</w:t>
            </w:r>
          </w:p>
        </w:tc>
        <w:tc>
          <w:tcPr>
            <w:tcW w:w="1191" w:type="dxa"/>
            <w:shd w:val="clear" w:color="auto" w:fill="B8CCE4" w:themeFill="accent1" w:themeFillTint="66"/>
            <w:vAlign w:val="center"/>
          </w:tcPr>
          <w:p w14:paraId="3243250F"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58,932</w:t>
            </w:r>
          </w:p>
        </w:tc>
        <w:tc>
          <w:tcPr>
            <w:tcW w:w="1191" w:type="dxa"/>
            <w:shd w:val="clear" w:color="auto" w:fill="B8CCE4" w:themeFill="accent1" w:themeFillTint="66"/>
            <w:noWrap/>
            <w:vAlign w:val="center"/>
          </w:tcPr>
          <w:p w14:paraId="54F177B4" w14:textId="77777777" w:rsidR="00441F98" w:rsidRDefault="00441F98" w:rsidP="00CE2FDF">
            <w:pPr>
              <w:spacing w:before="0" w:after="60" w:line="276" w:lineRule="auto"/>
              <w:jc w:val="right"/>
              <w:rPr>
                <w:rFonts w:eastAsia="Times New Roman" w:cs="Arial"/>
                <w:b/>
                <w:color w:val="000000"/>
                <w:lang w:eastAsia="en-AU"/>
              </w:rPr>
            </w:pPr>
            <w:r>
              <w:rPr>
                <w:rFonts w:eastAsia="Times New Roman" w:cs="Arial"/>
                <w:b/>
                <w:color w:val="000000"/>
                <w:lang w:eastAsia="en-AU"/>
              </w:rPr>
              <w:t>68,648</w:t>
            </w:r>
          </w:p>
        </w:tc>
      </w:tr>
    </w:tbl>
    <w:p w14:paraId="25922E18" w14:textId="77777777" w:rsidR="00F2448E" w:rsidRDefault="00F2448E" w:rsidP="00B15586">
      <w:pPr>
        <w:spacing w:after="200" w:line="276" w:lineRule="auto"/>
        <w:rPr>
          <w:rFonts w:asciiTheme="majorHAnsi" w:eastAsiaTheme="majorEastAsia" w:hAnsiTheme="majorHAnsi" w:cstheme="majorBidi"/>
          <w:b/>
          <w:bCs/>
          <w:color w:val="17365D" w:themeColor="text2" w:themeShade="BF"/>
          <w:sz w:val="24"/>
          <w:szCs w:val="26"/>
        </w:rPr>
      </w:pPr>
      <w:bookmarkStart w:id="94" w:name="_Toc382206792"/>
      <w:r>
        <w:br w:type="page"/>
      </w:r>
    </w:p>
    <w:p w14:paraId="73FF0CC2" w14:textId="77777777" w:rsidR="00441F98" w:rsidRDefault="00441F98" w:rsidP="008E707A">
      <w:pPr>
        <w:pStyle w:val="Figureheading"/>
        <w:ind w:left="540" w:hanging="630"/>
      </w:pPr>
      <w:r w:rsidRPr="001F4E97">
        <w:lastRenderedPageBreak/>
        <w:t>3.6</w:t>
      </w:r>
      <w:r w:rsidRPr="001F4E97">
        <w:tab/>
      </w:r>
      <w:r>
        <w:t xml:space="preserve">Number of distinct children in reports, </w:t>
      </w:r>
      <w:r w:rsidRPr="001F4E97">
        <w:t xml:space="preserve">by abuse type, by year, </w:t>
      </w:r>
      <w:r>
        <w:t>as a percentage</w:t>
      </w:r>
      <w:r w:rsidRPr="001F4E97">
        <w:t xml:space="preserve"> of all report</w:t>
      </w:r>
      <w:r>
        <w:t>s</w:t>
      </w:r>
      <w:r w:rsidRPr="001F4E97">
        <w:t xml:space="preserve">, </w:t>
      </w:r>
      <w:bookmarkEnd w:id="94"/>
      <w:r>
        <w:t>with percentage change</w:t>
      </w:r>
    </w:p>
    <w:tbl>
      <w:tblPr>
        <w:tblStyle w:val="TableGrid"/>
        <w:tblW w:w="14142" w:type="dxa"/>
        <w:tblLayout w:type="fixed"/>
        <w:tblLook w:val="04A0" w:firstRow="1" w:lastRow="0" w:firstColumn="1" w:lastColumn="0" w:noHBand="0" w:noVBand="1"/>
        <w:tblCaption w:val="Number of distinct children in reports, by abuse type, by year, as a percentage of all reports, with percentage change"/>
      </w:tblPr>
      <w:tblGrid>
        <w:gridCol w:w="2235"/>
        <w:gridCol w:w="1082"/>
        <w:gridCol w:w="1082"/>
        <w:gridCol w:w="1083"/>
        <w:gridCol w:w="1082"/>
        <w:gridCol w:w="1083"/>
        <w:gridCol w:w="1082"/>
        <w:gridCol w:w="1083"/>
        <w:gridCol w:w="1082"/>
        <w:gridCol w:w="1083"/>
        <w:gridCol w:w="1082"/>
        <w:gridCol w:w="1083"/>
      </w:tblGrid>
      <w:tr w:rsidR="00BF0D27" w:rsidRPr="00383A85" w14:paraId="23840FD6" w14:textId="77777777" w:rsidTr="001143BB">
        <w:trPr>
          <w:trHeight w:val="552"/>
          <w:tblHeader/>
        </w:trPr>
        <w:tc>
          <w:tcPr>
            <w:tcW w:w="2235" w:type="dxa"/>
            <w:tcBorders>
              <w:bottom w:val="single" w:sz="4" w:space="0" w:color="auto"/>
            </w:tcBorders>
            <w:shd w:val="clear" w:color="auto" w:fill="95B3D7" w:themeFill="accent1" w:themeFillTint="99"/>
            <w:vAlign w:val="center"/>
            <w:hideMark/>
          </w:tcPr>
          <w:p w14:paraId="1A99579B" w14:textId="77777777" w:rsidR="00BF0D27" w:rsidRPr="00383A85" w:rsidRDefault="00BF0D27" w:rsidP="00CE2FDF">
            <w:pPr>
              <w:keepNext/>
              <w:spacing w:before="0" w:line="276" w:lineRule="auto"/>
              <w:rPr>
                <w:rFonts w:eastAsia="Times New Roman" w:cs="Arial"/>
                <w:b/>
                <w:bCs/>
                <w:color w:val="000000"/>
                <w:lang w:eastAsia="en-AU"/>
              </w:rPr>
            </w:pPr>
          </w:p>
        </w:tc>
        <w:tc>
          <w:tcPr>
            <w:tcW w:w="1082" w:type="dxa"/>
            <w:tcBorders>
              <w:bottom w:val="single" w:sz="4" w:space="0" w:color="auto"/>
            </w:tcBorders>
            <w:shd w:val="clear" w:color="auto" w:fill="95B3D7" w:themeFill="accent1" w:themeFillTint="99"/>
            <w:vAlign w:val="center"/>
            <w:hideMark/>
          </w:tcPr>
          <w:p w14:paraId="07C282CB"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2003</w:t>
            </w:r>
          </w:p>
        </w:tc>
        <w:tc>
          <w:tcPr>
            <w:tcW w:w="1082" w:type="dxa"/>
            <w:tcBorders>
              <w:bottom w:val="single" w:sz="4" w:space="0" w:color="auto"/>
            </w:tcBorders>
            <w:shd w:val="clear" w:color="auto" w:fill="95B3D7" w:themeFill="accent1" w:themeFillTint="99"/>
            <w:vAlign w:val="center"/>
            <w:hideMark/>
          </w:tcPr>
          <w:p w14:paraId="4C206309"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2004</w:t>
            </w:r>
          </w:p>
        </w:tc>
        <w:tc>
          <w:tcPr>
            <w:tcW w:w="1083" w:type="dxa"/>
            <w:tcBorders>
              <w:bottom w:val="single" w:sz="4" w:space="0" w:color="auto"/>
            </w:tcBorders>
            <w:shd w:val="clear" w:color="auto" w:fill="95B3D7" w:themeFill="accent1" w:themeFillTint="99"/>
            <w:vAlign w:val="center"/>
            <w:hideMark/>
          </w:tcPr>
          <w:p w14:paraId="11844071"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2005</w:t>
            </w:r>
          </w:p>
        </w:tc>
        <w:tc>
          <w:tcPr>
            <w:tcW w:w="1082" w:type="dxa"/>
            <w:tcBorders>
              <w:bottom w:val="single" w:sz="4" w:space="0" w:color="auto"/>
            </w:tcBorders>
            <w:shd w:val="clear" w:color="auto" w:fill="95B3D7" w:themeFill="accent1" w:themeFillTint="99"/>
            <w:vAlign w:val="center"/>
            <w:hideMark/>
          </w:tcPr>
          <w:p w14:paraId="19A8DF4F"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2006</w:t>
            </w:r>
          </w:p>
        </w:tc>
        <w:tc>
          <w:tcPr>
            <w:tcW w:w="1083" w:type="dxa"/>
            <w:tcBorders>
              <w:bottom w:val="single" w:sz="4" w:space="0" w:color="auto"/>
            </w:tcBorders>
            <w:shd w:val="clear" w:color="auto" w:fill="95B3D7" w:themeFill="accent1" w:themeFillTint="99"/>
            <w:vAlign w:val="center"/>
            <w:hideMark/>
          </w:tcPr>
          <w:p w14:paraId="7E8B8C46"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2007</w:t>
            </w:r>
          </w:p>
        </w:tc>
        <w:tc>
          <w:tcPr>
            <w:tcW w:w="1082" w:type="dxa"/>
            <w:tcBorders>
              <w:bottom w:val="single" w:sz="4" w:space="0" w:color="auto"/>
            </w:tcBorders>
            <w:shd w:val="clear" w:color="auto" w:fill="95B3D7" w:themeFill="accent1" w:themeFillTint="99"/>
            <w:vAlign w:val="center"/>
            <w:hideMark/>
          </w:tcPr>
          <w:p w14:paraId="4A914A92"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2008</w:t>
            </w:r>
          </w:p>
        </w:tc>
        <w:tc>
          <w:tcPr>
            <w:tcW w:w="1083" w:type="dxa"/>
            <w:tcBorders>
              <w:bottom w:val="single" w:sz="4" w:space="0" w:color="auto"/>
            </w:tcBorders>
            <w:shd w:val="clear" w:color="auto" w:fill="95B3D7" w:themeFill="accent1" w:themeFillTint="99"/>
            <w:vAlign w:val="center"/>
            <w:hideMark/>
          </w:tcPr>
          <w:p w14:paraId="42E6A7AB"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2009</w:t>
            </w:r>
          </w:p>
        </w:tc>
        <w:tc>
          <w:tcPr>
            <w:tcW w:w="1082" w:type="dxa"/>
            <w:tcBorders>
              <w:bottom w:val="single" w:sz="4" w:space="0" w:color="auto"/>
            </w:tcBorders>
            <w:shd w:val="clear" w:color="auto" w:fill="95B3D7" w:themeFill="accent1" w:themeFillTint="99"/>
            <w:vAlign w:val="center"/>
            <w:hideMark/>
          </w:tcPr>
          <w:p w14:paraId="25BB22CA"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2010</w:t>
            </w:r>
          </w:p>
        </w:tc>
        <w:tc>
          <w:tcPr>
            <w:tcW w:w="1083" w:type="dxa"/>
            <w:tcBorders>
              <w:bottom w:val="single" w:sz="4" w:space="0" w:color="auto"/>
            </w:tcBorders>
            <w:shd w:val="clear" w:color="auto" w:fill="95B3D7" w:themeFill="accent1" w:themeFillTint="99"/>
            <w:vAlign w:val="center"/>
            <w:hideMark/>
          </w:tcPr>
          <w:p w14:paraId="173266CB"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2011</w:t>
            </w:r>
          </w:p>
        </w:tc>
        <w:tc>
          <w:tcPr>
            <w:tcW w:w="1082" w:type="dxa"/>
            <w:tcBorders>
              <w:bottom w:val="single" w:sz="4" w:space="0" w:color="auto"/>
            </w:tcBorders>
            <w:shd w:val="clear" w:color="auto" w:fill="95B3D7" w:themeFill="accent1" w:themeFillTint="99"/>
            <w:vAlign w:val="center"/>
            <w:hideMark/>
          </w:tcPr>
          <w:p w14:paraId="039E3132" w14:textId="77777777" w:rsidR="00BF0D27" w:rsidRPr="00561E44" w:rsidRDefault="00BF0D27" w:rsidP="00CE2FDF">
            <w:pPr>
              <w:keepNext/>
              <w:spacing w:before="0" w:line="276" w:lineRule="auto"/>
              <w:jc w:val="right"/>
              <w:rPr>
                <w:rFonts w:eastAsia="Times New Roman" w:cs="Arial"/>
                <w:b/>
                <w:bCs/>
                <w:lang w:eastAsia="en-AU"/>
              </w:rPr>
            </w:pPr>
            <w:r w:rsidRPr="00561E44">
              <w:rPr>
                <w:rFonts w:eastAsia="Times New Roman" w:cs="Arial"/>
                <w:b/>
                <w:bCs/>
                <w:lang w:eastAsia="en-AU"/>
              </w:rPr>
              <w:t>2012</w:t>
            </w:r>
          </w:p>
        </w:tc>
        <w:tc>
          <w:tcPr>
            <w:tcW w:w="1083" w:type="dxa"/>
            <w:tcBorders>
              <w:bottom w:val="single" w:sz="4" w:space="0" w:color="auto"/>
            </w:tcBorders>
            <w:shd w:val="clear" w:color="auto" w:fill="95B3D7" w:themeFill="accent1" w:themeFillTint="99"/>
            <w:noWrap/>
            <w:vAlign w:val="center"/>
            <w:hideMark/>
          </w:tcPr>
          <w:p w14:paraId="66D20E86" w14:textId="77777777" w:rsidR="00BF0D27" w:rsidRPr="00561E44" w:rsidRDefault="00AC4C50" w:rsidP="00CE2FDF">
            <w:pPr>
              <w:keepNext/>
              <w:spacing w:before="0" w:line="276" w:lineRule="auto"/>
              <w:jc w:val="right"/>
              <w:rPr>
                <w:rFonts w:eastAsia="Times New Roman" w:cs="Arial"/>
                <w:b/>
                <w:lang w:eastAsia="en-AU"/>
              </w:rPr>
            </w:pPr>
            <w:r>
              <w:rPr>
                <w:rFonts w:eastAsia="Times New Roman" w:cs="Arial"/>
                <w:b/>
                <w:lang w:eastAsia="en-AU"/>
              </w:rPr>
              <w:t>% change</w:t>
            </w:r>
          </w:p>
        </w:tc>
      </w:tr>
      <w:tr w:rsidR="00441F98" w:rsidRPr="00383A85" w14:paraId="016614AF" w14:textId="77777777" w:rsidTr="00F2448E">
        <w:trPr>
          <w:trHeight w:val="276"/>
        </w:trPr>
        <w:tc>
          <w:tcPr>
            <w:tcW w:w="2235" w:type="dxa"/>
            <w:vMerge w:val="restart"/>
            <w:vAlign w:val="center"/>
            <w:hideMark/>
          </w:tcPr>
          <w:p w14:paraId="1C604076" w14:textId="77777777" w:rsidR="00441F98" w:rsidRPr="00383A85" w:rsidRDefault="00441F98" w:rsidP="00CE2FDF">
            <w:pPr>
              <w:spacing w:before="0" w:after="60" w:line="276" w:lineRule="auto"/>
              <w:rPr>
                <w:rFonts w:eastAsia="Times New Roman" w:cs="Arial"/>
                <w:b/>
                <w:bCs/>
                <w:color w:val="000000"/>
                <w:lang w:eastAsia="en-AU"/>
              </w:rPr>
            </w:pPr>
            <w:r>
              <w:rPr>
                <w:rFonts w:eastAsia="Times New Roman" w:cs="Arial"/>
                <w:b/>
                <w:bCs/>
                <w:color w:val="000000"/>
                <w:lang w:eastAsia="en-AU"/>
              </w:rPr>
              <w:t>Emotional abuse</w:t>
            </w:r>
          </w:p>
        </w:tc>
        <w:tc>
          <w:tcPr>
            <w:tcW w:w="1082" w:type="dxa"/>
            <w:tcBorders>
              <w:bottom w:val="nil"/>
            </w:tcBorders>
            <w:vAlign w:val="center"/>
            <w:hideMark/>
          </w:tcPr>
          <w:p w14:paraId="3395BFCA"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10,214</w:t>
            </w:r>
          </w:p>
        </w:tc>
        <w:tc>
          <w:tcPr>
            <w:tcW w:w="1082" w:type="dxa"/>
            <w:tcBorders>
              <w:bottom w:val="nil"/>
            </w:tcBorders>
            <w:vAlign w:val="center"/>
            <w:hideMark/>
          </w:tcPr>
          <w:p w14:paraId="12EB88D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10,243</w:t>
            </w:r>
          </w:p>
        </w:tc>
        <w:tc>
          <w:tcPr>
            <w:tcW w:w="1083" w:type="dxa"/>
            <w:tcBorders>
              <w:bottom w:val="nil"/>
            </w:tcBorders>
            <w:vAlign w:val="center"/>
            <w:hideMark/>
          </w:tcPr>
          <w:p w14:paraId="70EC8AFF"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10,450</w:t>
            </w:r>
          </w:p>
        </w:tc>
        <w:tc>
          <w:tcPr>
            <w:tcW w:w="1082" w:type="dxa"/>
            <w:tcBorders>
              <w:bottom w:val="nil"/>
            </w:tcBorders>
            <w:vAlign w:val="center"/>
            <w:hideMark/>
          </w:tcPr>
          <w:p w14:paraId="3D9D470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11,718</w:t>
            </w:r>
          </w:p>
        </w:tc>
        <w:tc>
          <w:tcPr>
            <w:tcW w:w="1083" w:type="dxa"/>
            <w:tcBorders>
              <w:bottom w:val="nil"/>
            </w:tcBorders>
            <w:vAlign w:val="center"/>
            <w:hideMark/>
          </w:tcPr>
          <w:p w14:paraId="55B9E0A1"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9,527</w:t>
            </w:r>
          </w:p>
        </w:tc>
        <w:tc>
          <w:tcPr>
            <w:tcW w:w="1082" w:type="dxa"/>
            <w:tcBorders>
              <w:bottom w:val="nil"/>
            </w:tcBorders>
            <w:vAlign w:val="center"/>
            <w:hideMark/>
          </w:tcPr>
          <w:p w14:paraId="56EB7693"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14,105</w:t>
            </w:r>
          </w:p>
        </w:tc>
        <w:tc>
          <w:tcPr>
            <w:tcW w:w="1083" w:type="dxa"/>
            <w:tcBorders>
              <w:bottom w:val="nil"/>
            </w:tcBorders>
            <w:vAlign w:val="center"/>
            <w:hideMark/>
          </w:tcPr>
          <w:p w14:paraId="2230C96F"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18,424</w:t>
            </w:r>
          </w:p>
        </w:tc>
        <w:tc>
          <w:tcPr>
            <w:tcW w:w="1082" w:type="dxa"/>
            <w:tcBorders>
              <w:bottom w:val="nil"/>
            </w:tcBorders>
            <w:vAlign w:val="center"/>
            <w:hideMark/>
          </w:tcPr>
          <w:p w14:paraId="44AC6D9B"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21,953</w:t>
            </w:r>
          </w:p>
        </w:tc>
        <w:tc>
          <w:tcPr>
            <w:tcW w:w="1083" w:type="dxa"/>
            <w:tcBorders>
              <w:bottom w:val="nil"/>
            </w:tcBorders>
            <w:vAlign w:val="center"/>
            <w:hideMark/>
          </w:tcPr>
          <w:p w14:paraId="25F5BBB0"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26,332</w:t>
            </w:r>
          </w:p>
        </w:tc>
        <w:tc>
          <w:tcPr>
            <w:tcW w:w="1082" w:type="dxa"/>
            <w:tcBorders>
              <w:bottom w:val="nil"/>
            </w:tcBorders>
            <w:vAlign w:val="center"/>
            <w:hideMark/>
          </w:tcPr>
          <w:p w14:paraId="5F2E0363"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32,119</w:t>
            </w:r>
          </w:p>
        </w:tc>
        <w:tc>
          <w:tcPr>
            <w:tcW w:w="1083" w:type="dxa"/>
            <w:tcBorders>
              <w:bottom w:val="nil"/>
            </w:tcBorders>
            <w:noWrap/>
            <w:vAlign w:val="center"/>
            <w:hideMark/>
          </w:tcPr>
          <w:p w14:paraId="0344CC81"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214%</w:t>
            </w:r>
          </w:p>
        </w:tc>
      </w:tr>
      <w:tr w:rsidR="00441F98" w:rsidRPr="00383A85" w14:paraId="73707E21" w14:textId="77777777" w:rsidTr="00F2448E">
        <w:trPr>
          <w:trHeight w:val="276"/>
        </w:trPr>
        <w:tc>
          <w:tcPr>
            <w:tcW w:w="2235" w:type="dxa"/>
            <w:vMerge/>
            <w:tcBorders>
              <w:bottom w:val="single" w:sz="4" w:space="0" w:color="auto"/>
            </w:tcBorders>
            <w:vAlign w:val="center"/>
            <w:hideMark/>
          </w:tcPr>
          <w:p w14:paraId="44342A4F" w14:textId="77777777" w:rsidR="00441F98" w:rsidRPr="00383A85" w:rsidRDefault="00441F98" w:rsidP="00CE2FDF">
            <w:pPr>
              <w:spacing w:before="0" w:after="60" w:line="276" w:lineRule="auto"/>
              <w:rPr>
                <w:rFonts w:eastAsia="Times New Roman" w:cs="Arial"/>
                <w:b/>
                <w:color w:val="000000"/>
                <w:lang w:eastAsia="en-AU"/>
              </w:rPr>
            </w:pPr>
          </w:p>
        </w:tc>
        <w:tc>
          <w:tcPr>
            <w:tcW w:w="1082" w:type="dxa"/>
            <w:tcBorders>
              <w:top w:val="nil"/>
              <w:bottom w:val="single" w:sz="4" w:space="0" w:color="auto"/>
            </w:tcBorders>
            <w:vAlign w:val="center"/>
            <w:hideMark/>
          </w:tcPr>
          <w:p w14:paraId="2047F409"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(27%)</w:t>
            </w:r>
          </w:p>
        </w:tc>
        <w:tc>
          <w:tcPr>
            <w:tcW w:w="1082" w:type="dxa"/>
            <w:tcBorders>
              <w:top w:val="nil"/>
              <w:bottom w:val="single" w:sz="4" w:space="0" w:color="auto"/>
            </w:tcBorders>
            <w:vAlign w:val="center"/>
            <w:hideMark/>
          </w:tcPr>
          <w:p w14:paraId="0369ADC1"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(27%)</w:t>
            </w:r>
          </w:p>
        </w:tc>
        <w:tc>
          <w:tcPr>
            <w:tcW w:w="1083" w:type="dxa"/>
            <w:tcBorders>
              <w:top w:val="nil"/>
              <w:bottom w:val="single" w:sz="4" w:space="0" w:color="auto"/>
            </w:tcBorders>
            <w:vAlign w:val="center"/>
            <w:hideMark/>
          </w:tcPr>
          <w:p w14:paraId="083B663C"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(29%)</w:t>
            </w:r>
          </w:p>
        </w:tc>
        <w:tc>
          <w:tcPr>
            <w:tcW w:w="1082" w:type="dxa"/>
            <w:tcBorders>
              <w:top w:val="nil"/>
              <w:bottom w:val="single" w:sz="4" w:space="0" w:color="auto"/>
            </w:tcBorders>
            <w:vAlign w:val="center"/>
            <w:hideMark/>
          </w:tcPr>
          <w:p w14:paraId="69CDCA36"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(31%)</w:t>
            </w:r>
          </w:p>
        </w:tc>
        <w:tc>
          <w:tcPr>
            <w:tcW w:w="1083" w:type="dxa"/>
            <w:tcBorders>
              <w:top w:val="nil"/>
              <w:bottom w:val="single" w:sz="4" w:space="0" w:color="auto"/>
            </w:tcBorders>
            <w:vAlign w:val="center"/>
            <w:hideMark/>
          </w:tcPr>
          <w:p w14:paraId="16D35F39"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(25%)</w:t>
            </w:r>
          </w:p>
        </w:tc>
        <w:tc>
          <w:tcPr>
            <w:tcW w:w="1082" w:type="dxa"/>
            <w:tcBorders>
              <w:top w:val="nil"/>
              <w:bottom w:val="single" w:sz="4" w:space="0" w:color="auto"/>
            </w:tcBorders>
            <w:vAlign w:val="center"/>
            <w:hideMark/>
          </w:tcPr>
          <w:p w14:paraId="45F8CCDF"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(34%)</w:t>
            </w:r>
          </w:p>
        </w:tc>
        <w:tc>
          <w:tcPr>
            <w:tcW w:w="1083" w:type="dxa"/>
            <w:tcBorders>
              <w:top w:val="nil"/>
              <w:bottom w:val="single" w:sz="4" w:space="0" w:color="auto"/>
            </w:tcBorders>
            <w:vAlign w:val="center"/>
            <w:hideMark/>
          </w:tcPr>
          <w:p w14:paraId="74D86591"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(41%)</w:t>
            </w:r>
          </w:p>
        </w:tc>
        <w:tc>
          <w:tcPr>
            <w:tcW w:w="1082" w:type="dxa"/>
            <w:tcBorders>
              <w:top w:val="nil"/>
              <w:bottom w:val="single" w:sz="4" w:space="0" w:color="auto"/>
            </w:tcBorders>
            <w:vAlign w:val="center"/>
            <w:hideMark/>
          </w:tcPr>
          <w:p w14:paraId="2CBD74B9"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(42%)</w:t>
            </w:r>
          </w:p>
        </w:tc>
        <w:tc>
          <w:tcPr>
            <w:tcW w:w="1083" w:type="dxa"/>
            <w:tcBorders>
              <w:top w:val="nil"/>
              <w:bottom w:val="single" w:sz="4" w:space="0" w:color="auto"/>
            </w:tcBorders>
            <w:vAlign w:val="center"/>
            <w:hideMark/>
          </w:tcPr>
          <w:p w14:paraId="7B339939"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(45%)</w:t>
            </w:r>
          </w:p>
        </w:tc>
        <w:tc>
          <w:tcPr>
            <w:tcW w:w="1082" w:type="dxa"/>
            <w:tcBorders>
              <w:top w:val="nil"/>
              <w:bottom w:val="single" w:sz="4" w:space="0" w:color="auto"/>
            </w:tcBorders>
            <w:vAlign w:val="center"/>
            <w:hideMark/>
          </w:tcPr>
          <w:p w14:paraId="058A0C8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(47%)</w:t>
            </w:r>
          </w:p>
        </w:tc>
        <w:tc>
          <w:tcPr>
            <w:tcW w:w="1083" w:type="dxa"/>
            <w:tcBorders>
              <w:top w:val="nil"/>
              <w:bottom w:val="single" w:sz="4" w:space="0" w:color="auto"/>
            </w:tcBorders>
            <w:noWrap/>
            <w:vAlign w:val="center"/>
            <w:hideMark/>
          </w:tcPr>
          <w:p w14:paraId="1C0E80D0" w14:textId="77777777" w:rsidR="00441F98" w:rsidRPr="00561E44" w:rsidRDefault="00441F98" w:rsidP="00CE2FDF">
            <w:pPr>
              <w:spacing w:before="0" w:after="60" w:line="276" w:lineRule="auto"/>
              <w:jc w:val="right"/>
              <w:rPr>
                <w:rFonts w:eastAsia="Times New Roman" w:cs="Arial"/>
                <w:lang w:eastAsia="en-AU"/>
              </w:rPr>
            </w:pPr>
          </w:p>
        </w:tc>
      </w:tr>
      <w:tr w:rsidR="00441F98" w:rsidRPr="00383A85" w14:paraId="5990B28F" w14:textId="77777777" w:rsidTr="00F2448E">
        <w:trPr>
          <w:trHeight w:val="276"/>
        </w:trPr>
        <w:tc>
          <w:tcPr>
            <w:tcW w:w="2235" w:type="dxa"/>
            <w:vMerge w:val="restart"/>
            <w:shd w:val="clear" w:color="auto" w:fill="DBE5F1" w:themeFill="accent1" w:themeFillTint="33"/>
            <w:vAlign w:val="center"/>
            <w:hideMark/>
          </w:tcPr>
          <w:p w14:paraId="3DA3BEA3" w14:textId="77777777" w:rsidR="00441F98" w:rsidRPr="00383A85" w:rsidRDefault="00441F98" w:rsidP="00CE2FDF">
            <w:pPr>
              <w:spacing w:before="0" w:after="60" w:line="276" w:lineRule="auto"/>
              <w:rPr>
                <w:rFonts w:eastAsia="Times New Roman" w:cs="Arial"/>
                <w:b/>
                <w:bCs/>
                <w:color w:val="000000"/>
                <w:lang w:eastAsia="en-AU"/>
              </w:rPr>
            </w:pPr>
            <w:r>
              <w:rPr>
                <w:rFonts w:eastAsia="Times New Roman" w:cs="Arial"/>
                <w:b/>
                <w:bCs/>
                <w:color w:val="000000"/>
                <w:lang w:eastAsia="en-AU"/>
              </w:rPr>
              <w:t>Neglect</w:t>
            </w:r>
          </w:p>
        </w:tc>
        <w:tc>
          <w:tcPr>
            <w:tcW w:w="1082" w:type="dxa"/>
            <w:tcBorders>
              <w:bottom w:val="nil"/>
            </w:tcBorders>
            <w:shd w:val="clear" w:color="auto" w:fill="DBE5F1" w:themeFill="accent1" w:themeFillTint="33"/>
            <w:vAlign w:val="center"/>
            <w:hideMark/>
          </w:tcPr>
          <w:p w14:paraId="4DD5366D"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10,109</w:t>
            </w:r>
          </w:p>
        </w:tc>
        <w:tc>
          <w:tcPr>
            <w:tcW w:w="1082" w:type="dxa"/>
            <w:tcBorders>
              <w:bottom w:val="nil"/>
            </w:tcBorders>
            <w:shd w:val="clear" w:color="auto" w:fill="DBE5F1" w:themeFill="accent1" w:themeFillTint="33"/>
            <w:vAlign w:val="center"/>
            <w:hideMark/>
          </w:tcPr>
          <w:p w14:paraId="0795CAD1"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9,934</w:t>
            </w:r>
          </w:p>
        </w:tc>
        <w:tc>
          <w:tcPr>
            <w:tcW w:w="1083" w:type="dxa"/>
            <w:tcBorders>
              <w:bottom w:val="nil"/>
            </w:tcBorders>
            <w:shd w:val="clear" w:color="auto" w:fill="DBE5F1" w:themeFill="accent1" w:themeFillTint="33"/>
            <w:vAlign w:val="center"/>
            <w:hideMark/>
          </w:tcPr>
          <w:p w14:paraId="189277E3"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9,619</w:t>
            </w:r>
          </w:p>
        </w:tc>
        <w:tc>
          <w:tcPr>
            <w:tcW w:w="1082" w:type="dxa"/>
            <w:tcBorders>
              <w:bottom w:val="nil"/>
            </w:tcBorders>
            <w:shd w:val="clear" w:color="auto" w:fill="DBE5F1" w:themeFill="accent1" w:themeFillTint="33"/>
            <w:vAlign w:val="center"/>
            <w:hideMark/>
          </w:tcPr>
          <w:p w14:paraId="460E0FA3"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8,480</w:t>
            </w:r>
          </w:p>
        </w:tc>
        <w:tc>
          <w:tcPr>
            <w:tcW w:w="1083" w:type="dxa"/>
            <w:tcBorders>
              <w:bottom w:val="nil"/>
            </w:tcBorders>
            <w:shd w:val="clear" w:color="auto" w:fill="DBE5F1" w:themeFill="accent1" w:themeFillTint="33"/>
            <w:vAlign w:val="center"/>
            <w:hideMark/>
          </w:tcPr>
          <w:p w14:paraId="247AC7B1"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12,644</w:t>
            </w:r>
          </w:p>
        </w:tc>
        <w:tc>
          <w:tcPr>
            <w:tcW w:w="1082" w:type="dxa"/>
            <w:tcBorders>
              <w:bottom w:val="nil"/>
            </w:tcBorders>
            <w:shd w:val="clear" w:color="auto" w:fill="DBE5F1" w:themeFill="accent1" w:themeFillTint="33"/>
            <w:vAlign w:val="center"/>
            <w:hideMark/>
          </w:tcPr>
          <w:p w14:paraId="154BA539"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7,784</w:t>
            </w:r>
          </w:p>
        </w:tc>
        <w:tc>
          <w:tcPr>
            <w:tcW w:w="1083" w:type="dxa"/>
            <w:tcBorders>
              <w:bottom w:val="nil"/>
            </w:tcBorders>
            <w:shd w:val="clear" w:color="auto" w:fill="DBE5F1" w:themeFill="accent1" w:themeFillTint="33"/>
            <w:vAlign w:val="center"/>
            <w:hideMark/>
          </w:tcPr>
          <w:p w14:paraId="120E3FF8"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3,874</w:t>
            </w:r>
          </w:p>
        </w:tc>
        <w:tc>
          <w:tcPr>
            <w:tcW w:w="1082" w:type="dxa"/>
            <w:tcBorders>
              <w:bottom w:val="nil"/>
            </w:tcBorders>
            <w:shd w:val="clear" w:color="auto" w:fill="DBE5F1" w:themeFill="accent1" w:themeFillTint="33"/>
            <w:vAlign w:val="center"/>
            <w:hideMark/>
          </w:tcPr>
          <w:p w14:paraId="47B8D2C7"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4,499</w:t>
            </w:r>
          </w:p>
        </w:tc>
        <w:tc>
          <w:tcPr>
            <w:tcW w:w="1083" w:type="dxa"/>
            <w:tcBorders>
              <w:bottom w:val="nil"/>
            </w:tcBorders>
            <w:shd w:val="clear" w:color="auto" w:fill="DBE5F1" w:themeFill="accent1" w:themeFillTint="33"/>
            <w:vAlign w:val="center"/>
            <w:hideMark/>
          </w:tcPr>
          <w:p w14:paraId="187AF34A"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5,286</w:t>
            </w:r>
          </w:p>
        </w:tc>
        <w:tc>
          <w:tcPr>
            <w:tcW w:w="1082" w:type="dxa"/>
            <w:tcBorders>
              <w:bottom w:val="nil"/>
            </w:tcBorders>
            <w:shd w:val="clear" w:color="auto" w:fill="DBE5F1" w:themeFill="accent1" w:themeFillTint="33"/>
            <w:vAlign w:val="center"/>
            <w:hideMark/>
          </w:tcPr>
          <w:p w14:paraId="3FD40CF0"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4,584</w:t>
            </w:r>
          </w:p>
        </w:tc>
        <w:tc>
          <w:tcPr>
            <w:tcW w:w="1083" w:type="dxa"/>
            <w:tcBorders>
              <w:bottom w:val="nil"/>
            </w:tcBorders>
            <w:shd w:val="clear" w:color="auto" w:fill="DBE5F1" w:themeFill="accent1" w:themeFillTint="33"/>
            <w:noWrap/>
            <w:vAlign w:val="center"/>
            <w:hideMark/>
          </w:tcPr>
          <w:p w14:paraId="45012FB9"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-55%</w:t>
            </w:r>
          </w:p>
        </w:tc>
      </w:tr>
      <w:tr w:rsidR="00441F98" w:rsidRPr="00383A85" w14:paraId="246B559A" w14:textId="77777777" w:rsidTr="00F2448E">
        <w:trPr>
          <w:trHeight w:val="276"/>
        </w:trPr>
        <w:tc>
          <w:tcPr>
            <w:tcW w:w="2235" w:type="dxa"/>
            <w:vMerge/>
            <w:tcBorders>
              <w:bottom w:val="single" w:sz="4" w:space="0" w:color="auto"/>
            </w:tcBorders>
            <w:shd w:val="clear" w:color="auto" w:fill="DBE5F1" w:themeFill="accent1" w:themeFillTint="33"/>
            <w:vAlign w:val="center"/>
            <w:hideMark/>
          </w:tcPr>
          <w:p w14:paraId="1F1EF670" w14:textId="77777777" w:rsidR="00441F98" w:rsidRPr="00383A85" w:rsidRDefault="00441F98" w:rsidP="00CE2FDF">
            <w:pPr>
              <w:spacing w:before="0" w:after="60" w:line="276" w:lineRule="auto"/>
              <w:rPr>
                <w:rFonts w:eastAsia="Times New Roman" w:cs="Arial"/>
                <w:b/>
                <w:color w:val="000000"/>
                <w:lang w:eastAsia="en-AU"/>
              </w:rPr>
            </w:pPr>
          </w:p>
        </w:tc>
        <w:tc>
          <w:tcPr>
            <w:tcW w:w="1082" w:type="dxa"/>
            <w:tcBorders>
              <w:top w:val="nil"/>
              <w:bottom w:val="single" w:sz="4" w:space="0" w:color="auto"/>
            </w:tcBorders>
            <w:shd w:val="clear" w:color="auto" w:fill="DBE5F1" w:themeFill="accent1" w:themeFillTint="33"/>
            <w:vAlign w:val="center"/>
            <w:hideMark/>
          </w:tcPr>
          <w:p w14:paraId="01E0DC0A"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(27%)</w:t>
            </w:r>
          </w:p>
        </w:tc>
        <w:tc>
          <w:tcPr>
            <w:tcW w:w="1082" w:type="dxa"/>
            <w:tcBorders>
              <w:top w:val="nil"/>
              <w:bottom w:val="single" w:sz="4" w:space="0" w:color="auto"/>
            </w:tcBorders>
            <w:shd w:val="clear" w:color="auto" w:fill="DBE5F1" w:themeFill="accent1" w:themeFillTint="33"/>
            <w:vAlign w:val="center"/>
            <w:hideMark/>
          </w:tcPr>
          <w:p w14:paraId="2A662BB3"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(26%)</w:t>
            </w:r>
          </w:p>
        </w:tc>
        <w:tc>
          <w:tcPr>
            <w:tcW w:w="1083" w:type="dxa"/>
            <w:tcBorders>
              <w:top w:val="nil"/>
              <w:bottom w:val="single" w:sz="4" w:space="0" w:color="auto"/>
            </w:tcBorders>
            <w:shd w:val="clear" w:color="auto" w:fill="DBE5F1" w:themeFill="accent1" w:themeFillTint="33"/>
            <w:vAlign w:val="center"/>
            <w:hideMark/>
          </w:tcPr>
          <w:p w14:paraId="2CA7311F"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(26%)</w:t>
            </w:r>
          </w:p>
        </w:tc>
        <w:tc>
          <w:tcPr>
            <w:tcW w:w="1082" w:type="dxa"/>
            <w:tcBorders>
              <w:top w:val="nil"/>
              <w:bottom w:val="single" w:sz="4" w:space="0" w:color="auto"/>
            </w:tcBorders>
            <w:shd w:val="clear" w:color="auto" w:fill="DBE5F1" w:themeFill="accent1" w:themeFillTint="33"/>
            <w:vAlign w:val="center"/>
            <w:hideMark/>
          </w:tcPr>
          <w:p w14:paraId="25143A7F"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(22%)</w:t>
            </w:r>
          </w:p>
        </w:tc>
        <w:tc>
          <w:tcPr>
            <w:tcW w:w="1083" w:type="dxa"/>
            <w:tcBorders>
              <w:top w:val="nil"/>
              <w:bottom w:val="single" w:sz="4" w:space="0" w:color="auto"/>
            </w:tcBorders>
            <w:shd w:val="clear" w:color="auto" w:fill="DBE5F1" w:themeFill="accent1" w:themeFillTint="33"/>
            <w:vAlign w:val="center"/>
            <w:hideMark/>
          </w:tcPr>
          <w:p w14:paraId="1414D183"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(33%)</w:t>
            </w:r>
          </w:p>
        </w:tc>
        <w:tc>
          <w:tcPr>
            <w:tcW w:w="1082" w:type="dxa"/>
            <w:tcBorders>
              <w:top w:val="nil"/>
              <w:bottom w:val="single" w:sz="4" w:space="0" w:color="auto"/>
            </w:tcBorders>
            <w:shd w:val="clear" w:color="auto" w:fill="DBE5F1" w:themeFill="accent1" w:themeFillTint="33"/>
            <w:vAlign w:val="center"/>
            <w:hideMark/>
          </w:tcPr>
          <w:p w14:paraId="7DB64AFB"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(19%)</w:t>
            </w:r>
          </w:p>
        </w:tc>
        <w:tc>
          <w:tcPr>
            <w:tcW w:w="1083" w:type="dxa"/>
            <w:tcBorders>
              <w:top w:val="nil"/>
              <w:bottom w:val="single" w:sz="4" w:space="0" w:color="auto"/>
            </w:tcBorders>
            <w:shd w:val="clear" w:color="auto" w:fill="DBE5F1" w:themeFill="accent1" w:themeFillTint="33"/>
            <w:vAlign w:val="center"/>
            <w:hideMark/>
          </w:tcPr>
          <w:p w14:paraId="55676875"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w:t>
            </w:r>
          </w:p>
        </w:tc>
        <w:tc>
          <w:tcPr>
            <w:tcW w:w="1082" w:type="dxa"/>
            <w:tcBorders>
              <w:top w:val="nil"/>
              <w:bottom w:val="single" w:sz="4" w:space="0" w:color="auto"/>
            </w:tcBorders>
            <w:shd w:val="clear" w:color="auto" w:fill="DBE5F1" w:themeFill="accent1" w:themeFillTint="33"/>
            <w:vAlign w:val="center"/>
            <w:hideMark/>
          </w:tcPr>
          <w:p w14:paraId="7B1F3248"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w:t>
            </w:r>
          </w:p>
        </w:tc>
        <w:tc>
          <w:tcPr>
            <w:tcW w:w="1083" w:type="dxa"/>
            <w:tcBorders>
              <w:top w:val="nil"/>
              <w:bottom w:val="single" w:sz="4" w:space="0" w:color="auto"/>
            </w:tcBorders>
            <w:shd w:val="clear" w:color="auto" w:fill="DBE5F1" w:themeFill="accent1" w:themeFillTint="33"/>
            <w:vAlign w:val="center"/>
            <w:hideMark/>
          </w:tcPr>
          <w:p w14:paraId="76D8F5EE"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w:t>
            </w:r>
          </w:p>
        </w:tc>
        <w:tc>
          <w:tcPr>
            <w:tcW w:w="1082" w:type="dxa"/>
            <w:tcBorders>
              <w:top w:val="nil"/>
              <w:bottom w:val="single" w:sz="4" w:space="0" w:color="auto"/>
            </w:tcBorders>
            <w:shd w:val="clear" w:color="auto" w:fill="DBE5F1" w:themeFill="accent1" w:themeFillTint="33"/>
            <w:vAlign w:val="center"/>
            <w:hideMark/>
          </w:tcPr>
          <w:p w14:paraId="7C5F9C60"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(7%)</w:t>
            </w:r>
          </w:p>
        </w:tc>
        <w:tc>
          <w:tcPr>
            <w:tcW w:w="1083" w:type="dxa"/>
            <w:tcBorders>
              <w:top w:val="nil"/>
              <w:bottom w:val="single" w:sz="4" w:space="0" w:color="auto"/>
            </w:tcBorders>
            <w:shd w:val="clear" w:color="auto" w:fill="DBE5F1" w:themeFill="accent1" w:themeFillTint="33"/>
            <w:noWrap/>
            <w:vAlign w:val="center"/>
            <w:hideMark/>
          </w:tcPr>
          <w:p w14:paraId="7AFF04E2" w14:textId="77777777" w:rsidR="00441F98" w:rsidRPr="00561E44" w:rsidRDefault="00441F98" w:rsidP="00CE2FDF">
            <w:pPr>
              <w:spacing w:before="0" w:after="60" w:line="276" w:lineRule="auto"/>
              <w:jc w:val="right"/>
              <w:rPr>
                <w:rFonts w:eastAsia="Times New Roman" w:cs="Arial"/>
                <w:lang w:eastAsia="en-AU"/>
              </w:rPr>
            </w:pPr>
          </w:p>
        </w:tc>
      </w:tr>
      <w:tr w:rsidR="00441F98" w:rsidRPr="00383A85" w14:paraId="74040DE0" w14:textId="77777777" w:rsidTr="00F2448E">
        <w:trPr>
          <w:trHeight w:val="276"/>
        </w:trPr>
        <w:tc>
          <w:tcPr>
            <w:tcW w:w="2235" w:type="dxa"/>
            <w:vMerge w:val="restart"/>
            <w:vAlign w:val="center"/>
            <w:hideMark/>
          </w:tcPr>
          <w:p w14:paraId="44BFC664" w14:textId="77777777" w:rsidR="00441F98" w:rsidRPr="00383A85" w:rsidRDefault="00441F98" w:rsidP="00CE2FDF">
            <w:pPr>
              <w:spacing w:before="0" w:after="60" w:line="276" w:lineRule="auto"/>
              <w:rPr>
                <w:rFonts w:eastAsia="Times New Roman" w:cs="Arial"/>
                <w:b/>
                <w:bCs/>
                <w:color w:val="000000"/>
                <w:lang w:eastAsia="en-AU"/>
              </w:rPr>
            </w:pPr>
            <w:r>
              <w:rPr>
                <w:rFonts w:eastAsia="Times New Roman" w:cs="Arial"/>
                <w:b/>
                <w:bCs/>
                <w:color w:val="000000"/>
                <w:lang w:eastAsia="en-AU"/>
              </w:rPr>
              <w:t>Physical abuse</w:t>
            </w:r>
          </w:p>
        </w:tc>
        <w:tc>
          <w:tcPr>
            <w:tcW w:w="1082" w:type="dxa"/>
            <w:tcBorders>
              <w:bottom w:val="nil"/>
            </w:tcBorders>
            <w:vAlign w:val="center"/>
            <w:hideMark/>
          </w:tcPr>
          <w:p w14:paraId="0C2AD52E"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8,084</w:t>
            </w:r>
          </w:p>
        </w:tc>
        <w:tc>
          <w:tcPr>
            <w:tcW w:w="1082" w:type="dxa"/>
            <w:tcBorders>
              <w:bottom w:val="nil"/>
            </w:tcBorders>
            <w:vAlign w:val="center"/>
            <w:hideMark/>
          </w:tcPr>
          <w:p w14:paraId="6240F9EF"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8,682</w:t>
            </w:r>
          </w:p>
        </w:tc>
        <w:tc>
          <w:tcPr>
            <w:tcW w:w="1083" w:type="dxa"/>
            <w:tcBorders>
              <w:bottom w:val="nil"/>
            </w:tcBorders>
            <w:vAlign w:val="center"/>
            <w:hideMark/>
          </w:tcPr>
          <w:p w14:paraId="71C136D0"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8,091</w:t>
            </w:r>
          </w:p>
        </w:tc>
        <w:tc>
          <w:tcPr>
            <w:tcW w:w="1082" w:type="dxa"/>
            <w:tcBorders>
              <w:bottom w:val="nil"/>
            </w:tcBorders>
            <w:vAlign w:val="center"/>
            <w:hideMark/>
          </w:tcPr>
          <w:p w14:paraId="1C60C678"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9,402</w:t>
            </w:r>
          </w:p>
        </w:tc>
        <w:tc>
          <w:tcPr>
            <w:tcW w:w="1083" w:type="dxa"/>
            <w:tcBorders>
              <w:bottom w:val="nil"/>
            </w:tcBorders>
            <w:vAlign w:val="center"/>
            <w:hideMark/>
          </w:tcPr>
          <w:p w14:paraId="47AABBA4"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9,340</w:t>
            </w:r>
          </w:p>
        </w:tc>
        <w:tc>
          <w:tcPr>
            <w:tcW w:w="1082" w:type="dxa"/>
            <w:tcBorders>
              <w:bottom w:val="nil"/>
            </w:tcBorders>
            <w:vAlign w:val="center"/>
            <w:hideMark/>
          </w:tcPr>
          <w:p w14:paraId="7BED5871"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11,724</w:t>
            </w:r>
          </w:p>
        </w:tc>
        <w:tc>
          <w:tcPr>
            <w:tcW w:w="1083" w:type="dxa"/>
            <w:tcBorders>
              <w:bottom w:val="nil"/>
            </w:tcBorders>
            <w:vAlign w:val="center"/>
            <w:hideMark/>
          </w:tcPr>
          <w:p w14:paraId="5B66ED65"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13,364</w:t>
            </w:r>
          </w:p>
        </w:tc>
        <w:tc>
          <w:tcPr>
            <w:tcW w:w="1082" w:type="dxa"/>
            <w:tcBorders>
              <w:bottom w:val="nil"/>
            </w:tcBorders>
            <w:vAlign w:val="center"/>
            <w:hideMark/>
          </w:tcPr>
          <w:p w14:paraId="16AE2FC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13,595</w:t>
            </w:r>
          </w:p>
        </w:tc>
        <w:tc>
          <w:tcPr>
            <w:tcW w:w="1083" w:type="dxa"/>
            <w:tcBorders>
              <w:bottom w:val="nil"/>
            </w:tcBorders>
            <w:vAlign w:val="center"/>
            <w:hideMark/>
          </w:tcPr>
          <w:p w14:paraId="336AE6D1"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12,720</w:t>
            </w:r>
          </w:p>
        </w:tc>
        <w:tc>
          <w:tcPr>
            <w:tcW w:w="1082" w:type="dxa"/>
            <w:tcBorders>
              <w:bottom w:val="nil"/>
            </w:tcBorders>
            <w:vAlign w:val="center"/>
            <w:hideMark/>
          </w:tcPr>
          <w:p w14:paraId="2725A264"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13,604</w:t>
            </w:r>
          </w:p>
        </w:tc>
        <w:tc>
          <w:tcPr>
            <w:tcW w:w="1083" w:type="dxa"/>
            <w:tcBorders>
              <w:bottom w:val="nil"/>
            </w:tcBorders>
            <w:noWrap/>
            <w:vAlign w:val="center"/>
            <w:hideMark/>
          </w:tcPr>
          <w:p w14:paraId="69D38E39"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68%</w:t>
            </w:r>
          </w:p>
        </w:tc>
      </w:tr>
      <w:tr w:rsidR="00441F98" w:rsidRPr="00383A85" w14:paraId="2B8C2F5D" w14:textId="77777777" w:rsidTr="00F2448E">
        <w:trPr>
          <w:trHeight w:val="276"/>
        </w:trPr>
        <w:tc>
          <w:tcPr>
            <w:tcW w:w="2235" w:type="dxa"/>
            <w:vMerge/>
            <w:tcBorders>
              <w:bottom w:val="single" w:sz="4" w:space="0" w:color="auto"/>
            </w:tcBorders>
            <w:vAlign w:val="center"/>
            <w:hideMark/>
          </w:tcPr>
          <w:p w14:paraId="5A953D2A" w14:textId="77777777" w:rsidR="00441F98" w:rsidRPr="00383A85" w:rsidRDefault="00441F98" w:rsidP="00CE2FDF">
            <w:pPr>
              <w:spacing w:before="0" w:after="60" w:line="276" w:lineRule="auto"/>
              <w:rPr>
                <w:rFonts w:eastAsia="Times New Roman" w:cs="Arial"/>
                <w:b/>
                <w:color w:val="000000"/>
                <w:lang w:eastAsia="en-AU"/>
              </w:rPr>
            </w:pPr>
          </w:p>
        </w:tc>
        <w:tc>
          <w:tcPr>
            <w:tcW w:w="1082" w:type="dxa"/>
            <w:tcBorders>
              <w:top w:val="nil"/>
              <w:bottom w:val="single" w:sz="4" w:space="0" w:color="auto"/>
            </w:tcBorders>
            <w:vAlign w:val="center"/>
            <w:hideMark/>
          </w:tcPr>
          <w:p w14:paraId="2A585897"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(22%)</w:t>
            </w:r>
          </w:p>
        </w:tc>
        <w:tc>
          <w:tcPr>
            <w:tcW w:w="1082" w:type="dxa"/>
            <w:tcBorders>
              <w:top w:val="nil"/>
              <w:bottom w:val="single" w:sz="4" w:space="0" w:color="auto"/>
            </w:tcBorders>
            <w:vAlign w:val="center"/>
            <w:hideMark/>
          </w:tcPr>
          <w:p w14:paraId="1A4B54A7"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(23%)</w:t>
            </w:r>
          </w:p>
        </w:tc>
        <w:tc>
          <w:tcPr>
            <w:tcW w:w="1083" w:type="dxa"/>
            <w:tcBorders>
              <w:top w:val="nil"/>
              <w:bottom w:val="single" w:sz="4" w:space="0" w:color="auto"/>
            </w:tcBorders>
            <w:vAlign w:val="center"/>
            <w:hideMark/>
          </w:tcPr>
          <w:p w14:paraId="56FB3C3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(22%)</w:t>
            </w:r>
          </w:p>
        </w:tc>
        <w:tc>
          <w:tcPr>
            <w:tcW w:w="1082" w:type="dxa"/>
            <w:tcBorders>
              <w:top w:val="nil"/>
              <w:bottom w:val="single" w:sz="4" w:space="0" w:color="auto"/>
            </w:tcBorders>
            <w:vAlign w:val="center"/>
            <w:hideMark/>
          </w:tcPr>
          <w:p w14:paraId="7F412679"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(25%)</w:t>
            </w:r>
          </w:p>
        </w:tc>
        <w:tc>
          <w:tcPr>
            <w:tcW w:w="1083" w:type="dxa"/>
            <w:tcBorders>
              <w:top w:val="nil"/>
              <w:bottom w:val="single" w:sz="4" w:space="0" w:color="auto"/>
            </w:tcBorders>
            <w:vAlign w:val="center"/>
            <w:hideMark/>
          </w:tcPr>
          <w:p w14:paraId="016DE7C6"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(24%)</w:t>
            </w:r>
          </w:p>
        </w:tc>
        <w:tc>
          <w:tcPr>
            <w:tcW w:w="1082" w:type="dxa"/>
            <w:tcBorders>
              <w:top w:val="nil"/>
              <w:bottom w:val="single" w:sz="4" w:space="0" w:color="auto"/>
            </w:tcBorders>
            <w:vAlign w:val="center"/>
            <w:hideMark/>
          </w:tcPr>
          <w:p w14:paraId="70613520"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(28%)</w:t>
            </w:r>
          </w:p>
        </w:tc>
        <w:tc>
          <w:tcPr>
            <w:tcW w:w="1083" w:type="dxa"/>
            <w:tcBorders>
              <w:top w:val="nil"/>
              <w:bottom w:val="single" w:sz="4" w:space="0" w:color="auto"/>
            </w:tcBorders>
            <w:vAlign w:val="center"/>
            <w:hideMark/>
          </w:tcPr>
          <w:p w14:paraId="5C3FEE2E"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(30%)</w:t>
            </w:r>
          </w:p>
        </w:tc>
        <w:tc>
          <w:tcPr>
            <w:tcW w:w="1082" w:type="dxa"/>
            <w:tcBorders>
              <w:top w:val="nil"/>
              <w:bottom w:val="single" w:sz="4" w:space="0" w:color="auto"/>
            </w:tcBorders>
            <w:vAlign w:val="center"/>
            <w:hideMark/>
          </w:tcPr>
          <w:p w14:paraId="1BA15320"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(26%)</w:t>
            </w:r>
          </w:p>
        </w:tc>
        <w:tc>
          <w:tcPr>
            <w:tcW w:w="1083" w:type="dxa"/>
            <w:tcBorders>
              <w:top w:val="nil"/>
              <w:bottom w:val="single" w:sz="4" w:space="0" w:color="auto"/>
            </w:tcBorders>
            <w:vAlign w:val="center"/>
            <w:hideMark/>
          </w:tcPr>
          <w:p w14:paraId="16FEA22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(22%)</w:t>
            </w:r>
          </w:p>
        </w:tc>
        <w:tc>
          <w:tcPr>
            <w:tcW w:w="1082" w:type="dxa"/>
            <w:tcBorders>
              <w:top w:val="nil"/>
              <w:bottom w:val="single" w:sz="4" w:space="0" w:color="auto"/>
            </w:tcBorders>
            <w:vAlign w:val="center"/>
            <w:hideMark/>
          </w:tcPr>
          <w:p w14:paraId="419EABF9"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(20%)</w:t>
            </w:r>
          </w:p>
        </w:tc>
        <w:tc>
          <w:tcPr>
            <w:tcW w:w="1083" w:type="dxa"/>
            <w:tcBorders>
              <w:top w:val="nil"/>
              <w:bottom w:val="single" w:sz="4" w:space="0" w:color="auto"/>
            </w:tcBorders>
            <w:noWrap/>
            <w:vAlign w:val="center"/>
            <w:hideMark/>
          </w:tcPr>
          <w:p w14:paraId="7F383D14" w14:textId="77777777" w:rsidR="00441F98" w:rsidRPr="00561E44" w:rsidRDefault="00441F98" w:rsidP="00CE2FDF">
            <w:pPr>
              <w:spacing w:before="0" w:after="60" w:line="276" w:lineRule="auto"/>
              <w:jc w:val="right"/>
              <w:rPr>
                <w:rFonts w:eastAsia="Times New Roman" w:cs="Arial"/>
                <w:lang w:eastAsia="en-AU"/>
              </w:rPr>
            </w:pPr>
          </w:p>
        </w:tc>
      </w:tr>
      <w:tr w:rsidR="00441F98" w:rsidRPr="00383A85" w14:paraId="07C4225D" w14:textId="77777777" w:rsidTr="00F2448E">
        <w:trPr>
          <w:trHeight w:val="276"/>
        </w:trPr>
        <w:tc>
          <w:tcPr>
            <w:tcW w:w="2235" w:type="dxa"/>
            <w:vMerge w:val="restart"/>
            <w:shd w:val="clear" w:color="auto" w:fill="DBE5F1" w:themeFill="accent1" w:themeFillTint="33"/>
            <w:vAlign w:val="center"/>
            <w:hideMark/>
          </w:tcPr>
          <w:p w14:paraId="3C01C971" w14:textId="77777777" w:rsidR="00441F98" w:rsidRPr="00383A85" w:rsidRDefault="00441F98" w:rsidP="00CE2FDF">
            <w:pPr>
              <w:spacing w:before="0" w:after="60" w:line="276" w:lineRule="auto"/>
              <w:rPr>
                <w:rFonts w:eastAsia="Times New Roman" w:cs="Arial"/>
                <w:b/>
                <w:bCs/>
                <w:color w:val="000000"/>
                <w:lang w:eastAsia="en-AU"/>
              </w:rPr>
            </w:pPr>
            <w:r>
              <w:rPr>
                <w:rFonts w:eastAsia="Times New Roman" w:cs="Arial"/>
                <w:b/>
                <w:bCs/>
                <w:color w:val="000000"/>
                <w:lang w:eastAsia="en-AU"/>
              </w:rPr>
              <w:t>Sexual abuse</w:t>
            </w:r>
          </w:p>
        </w:tc>
        <w:tc>
          <w:tcPr>
            <w:tcW w:w="1082" w:type="dxa"/>
            <w:tcBorders>
              <w:bottom w:val="nil"/>
            </w:tcBorders>
            <w:shd w:val="clear" w:color="auto" w:fill="DBE5F1" w:themeFill="accent1" w:themeFillTint="33"/>
            <w:vAlign w:val="center"/>
            <w:hideMark/>
          </w:tcPr>
          <w:p w14:paraId="2B99D8E8"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4,002</w:t>
            </w:r>
          </w:p>
        </w:tc>
        <w:tc>
          <w:tcPr>
            <w:tcW w:w="1082" w:type="dxa"/>
            <w:tcBorders>
              <w:bottom w:val="nil"/>
            </w:tcBorders>
            <w:shd w:val="clear" w:color="auto" w:fill="DBE5F1" w:themeFill="accent1" w:themeFillTint="33"/>
            <w:vAlign w:val="center"/>
            <w:hideMark/>
          </w:tcPr>
          <w:p w14:paraId="4823027D"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4,226</w:t>
            </w:r>
          </w:p>
        </w:tc>
        <w:tc>
          <w:tcPr>
            <w:tcW w:w="1083" w:type="dxa"/>
            <w:tcBorders>
              <w:bottom w:val="nil"/>
            </w:tcBorders>
            <w:shd w:val="clear" w:color="auto" w:fill="DBE5F1" w:themeFill="accent1" w:themeFillTint="33"/>
            <w:vAlign w:val="center"/>
            <w:hideMark/>
          </w:tcPr>
          <w:p w14:paraId="022356D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4,142</w:t>
            </w:r>
          </w:p>
        </w:tc>
        <w:tc>
          <w:tcPr>
            <w:tcW w:w="1082" w:type="dxa"/>
            <w:tcBorders>
              <w:bottom w:val="nil"/>
            </w:tcBorders>
            <w:shd w:val="clear" w:color="auto" w:fill="DBE5F1" w:themeFill="accent1" w:themeFillTint="33"/>
            <w:vAlign w:val="center"/>
            <w:hideMark/>
          </w:tcPr>
          <w:p w14:paraId="20C66EDD"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4,083</w:t>
            </w:r>
          </w:p>
        </w:tc>
        <w:tc>
          <w:tcPr>
            <w:tcW w:w="1083" w:type="dxa"/>
            <w:tcBorders>
              <w:bottom w:val="nil"/>
            </w:tcBorders>
            <w:shd w:val="clear" w:color="auto" w:fill="DBE5F1" w:themeFill="accent1" w:themeFillTint="33"/>
            <w:vAlign w:val="center"/>
            <w:hideMark/>
          </w:tcPr>
          <w:p w14:paraId="7797CD15"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2,932</w:t>
            </w:r>
          </w:p>
        </w:tc>
        <w:tc>
          <w:tcPr>
            <w:tcW w:w="1082" w:type="dxa"/>
            <w:tcBorders>
              <w:bottom w:val="nil"/>
            </w:tcBorders>
            <w:shd w:val="clear" w:color="auto" w:fill="DBE5F1" w:themeFill="accent1" w:themeFillTint="33"/>
            <w:vAlign w:val="center"/>
            <w:hideMark/>
          </w:tcPr>
          <w:p w14:paraId="15A38356"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3,777</w:t>
            </w:r>
          </w:p>
        </w:tc>
        <w:tc>
          <w:tcPr>
            <w:tcW w:w="1083" w:type="dxa"/>
            <w:tcBorders>
              <w:bottom w:val="nil"/>
            </w:tcBorders>
            <w:shd w:val="clear" w:color="auto" w:fill="DBE5F1" w:themeFill="accent1" w:themeFillTint="33"/>
            <w:vAlign w:val="center"/>
            <w:hideMark/>
          </w:tcPr>
          <w:p w14:paraId="3CF23284"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3,832</w:t>
            </w:r>
          </w:p>
        </w:tc>
        <w:tc>
          <w:tcPr>
            <w:tcW w:w="1082" w:type="dxa"/>
            <w:tcBorders>
              <w:bottom w:val="nil"/>
            </w:tcBorders>
            <w:shd w:val="clear" w:color="auto" w:fill="DBE5F1" w:themeFill="accent1" w:themeFillTint="33"/>
            <w:vAlign w:val="center"/>
            <w:hideMark/>
          </w:tcPr>
          <w:p w14:paraId="3288B53D"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5,445</w:t>
            </w:r>
          </w:p>
        </w:tc>
        <w:tc>
          <w:tcPr>
            <w:tcW w:w="1083" w:type="dxa"/>
            <w:tcBorders>
              <w:bottom w:val="nil"/>
            </w:tcBorders>
            <w:shd w:val="clear" w:color="auto" w:fill="DBE5F1" w:themeFill="accent1" w:themeFillTint="33"/>
            <w:vAlign w:val="center"/>
            <w:hideMark/>
          </w:tcPr>
          <w:p w14:paraId="419DC358"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5,682</w:t>
            </w:r>
          </w:p>
        </w:tc>
        <w:tc>
          <w:tcPr>
            <w:tcW w:w="1082" w:type="dxa"/>
            <w:tcBorders>
              <w:bottom w:val="nil"/>
            </w:tcBorders>
            <w:shd w:val="clear" w:color="auto" w:fill="DBE5F1" w:themeFill="accent1" w:themeFillTint="33"/>
            <w:vAlign w:val="center"/>
            <w:hideMark/>
          </w:tcPr>
          <w:p w14:paraId="5C5BED2B"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6,775</w:t>
            </w:r>
          </w:p>
        </w:tc>
        <w:tc>
          <w:tcPr>
            <w:tcW w:w="1083" w:type="dxa"/>
            <w:tcBorders>
              <w:bottom w:val="nil"/>
            </w:tcBorders>
            <w:shd w:val="clear" w:color="auto" w:fill="DBE5F1" w:themeFill="accent1" w:themeFillTint="33"/>
            <w:noWrap/>
            <w:vAlign w:val="center"/>
            <w:hideMark/>
          </w:tcPr>
          <w:p w14:paraId="4DA68188"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69%</w:t>
            </w:r>
          </w:p>
        </w:tc>
      </w:tr>
      <w:tr w:rsidR="00441F98" w:rsidRPr="00383A85" w14:paraId="1282AF63" w14:textId="77777777" w:rsidTr="00F2448E">
        <w:trPr>
          <w:trHeight w:val="276"/>
        </w:trPr>
        <w:tc>
          <w:tcPr>
            <w:tcW w:w="2235" w:type="dxa"/>
            <w:vMerge/>
            <w:tcBorders>
              <w:bottom w:val="single" w:sz="4" w:space="0" w:color="auto"/>
            </w:tcBorders>
            <w:shd w:val="clear" w:color="auto" w:fill="DBE5F1" w:themeFill="accent1" w:themeFillTint="33"/>
            <w:hideMark/>
          </w:tcPr>
          <w:p w14:paraId="0A67091A" w14:textId="77777777" w:rsidR="00441F98" w:rsidRPr="00383A85" w:rsidRDefault="00441F98" w:rsidP="00CE2FDF">
            <w:pPr>
              <w:spacing w:before="0" w:after="60" w:line="276" w:lineRule="auto"/>
              <w:rPr>
                <w:rFonts w:eastAsia="Times New Roman" w:cs="Arial"/>
                <w:b/>
                <w:color w:val="000000"/>
                <w:lang w:eastAsia="en-AU"/>
              </w:rPr>
            </w:pPr>
          </w:p>
        </w:tc>
        <w:tc>
          <w:tcPr>
            <w:tcW w:w="1082" w:type="dxa"/>
            <w:tcBorders>
              <w:top w:val="nil"/>
              <w:bottom w:val="single" w:sz="4" w:space="0" w:color="auto"/>
            </w:tcBorders>
            <w:shd w:val="clear" w:color="auto" w:fill="DBE5F1" w:themeFill="accent1" w:themeFillTint="33"/>
            <w:vAlign w:val="center"/>
            <w:hideMark/>
          </w:tcPr>
          <w:p w14:paraId="2DD4F094"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(11%)</w:t>
            </w:r>
          </w:p>
        </w:tc>
        <w:tc>
          <w:tcPr>
            <w:tcW w:w="1082" w:type="dxa"/>
            <w:tcBorders>
              <w:top w:val="nil"/>
              <w:bottom w:val="single" w:sz="4" w:space="0" w:color="auto"/>
            </w:tcBorders>
            <w:shd w:val="clear" w:color="auto" w:fill="DBE5F1" w:themeFill="accent1" w:themeFillTint="33"/>
            <w:vAlign w:val="center"/>
            <w:hideMark/>
          </w:tcPr>
          <w:p w14:paraId="5D1E3834"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(11%)</w:t>
            </w:r>
          </w:p>
        </w:tc>
        <w:tc>
          <w:tcPr>
            <w:tcW w:w="1083" w:type="dxa"/>
            <w:tcBorders>
              <w:top w:val="nil"/>
              <w:bottom w:val="single" w:sz="4" w:space="0" w:color="auto"/>
            </w:tcBorders>
            <w:shd w:val="clear" w:color="auto" w:fill="DBE5F1" w:themeFill="accent1" w:themeFillTint="33"/>
            <w:vAlign w:val="center"/>
            <w:hideMark/>
          </w:tcPr>
          <w:p w14:paraId="6B5F05F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(11%)</w:t>
            </w:r>
          </w:p>
        </w:tc>
        <w:tc>
          <w:tcPr>
            <w:tcW w:w="1082" w:type="dxa"/>
            <w:tcBorders>
              <w:top w:val="nil"/>
              <w:bottom w:val="single" w:sz="4" w:space="0" w:color="auto"/>
            </w:tcBorders>
            <w:shd w:val="clear" w:color="auto" w:fill="DBE5F1" w:themeFill="accent1" w:themeFillTint="33"/>
            <w:vAlign w:val="center"/>
            <w:hideMark/>
          </w:tcPr>
          <w:p w14:paraId="3773F3B3"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(11%)</w:t>
            </w:r>
          </w:p>
        </w:tc>
        <w:tc>
          <w:tcPr>
            <w:tcW w:w="1083" w:type="dxa"/>
            <w:tcBorders>
              <w:top w:val="nil"/>
              <w:bottom w:val="single" w:sz="4" w:space="0" w:color="auto"/>
            </w:tcBorders>
            <w:shd w:val="clear" w:color="auto" w:fill="DBE5F1" w:themeFill="accent1" w:themeFillTint="33"/>
            <w:vAlign w:val="center"/>
            <w:hideMark/>
          </w:tcPr>
          <w:p w14:paraId="7658EB5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(8%)</w:t>
            </w:r>
          </w:p>
        </w:tc>
        <w:tc>
          <w:tcPr>
            <w:tcW w:w="1082" w:type="dxa"/>
            <w:tcBorders>
              <w:top w:val="nil"/>
              <w:bottom w:val="single" w:sz="4" w:space="0" w:color="auto"/>
            </w:tcBorders>
            <w:shd w:val="clear" w:color="auto" w:fill="DBE5F1" w:themeFill="accent1" w:themeFillTint="33"/>
            <w:vAlign w:val="center"/>
            <w:hideMark/>
          </w:tcPr>
          <w:p w14:paraId="4C48AC10"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w:t>
            </w:r>
          </w:p>
        </w:tc>
        <w:tc>
          <w:tcPr>
            <w:tcW w:w="1083" w:type="dxa"/>
            <w:tcBorders>
              <w:top w:val="nil"/>
              <w:bottom w:val="single" w:sz="4" w:space="0" w:color="auto"/>
            </w:tcBorders>
            <w:shd w:val="clear" w:color="auto" w:fill="DBE5F1" w:themeFill="accent1" w:themeFillTint="33"/>
            <w:vAlign w:val="center"/>
            <w:hideMark/>
          </w:tcPr>
          <w:p w14:paraId="1AFDC4A5"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(9%)</w:t>
            </w:r>
          </w:p>
        </w:tc>
        <w:tc>
          <w:tcPr>
            <w:tcW w:w="1082" w:type="dxa"/>
            <w:tcBorders>
              <w:top w:val="nil"/>
              <w:bottom w:val="single" w:sz="4" w:space="0" w:color="auto"/>
            </w:tcBorders>
            <w:shd w:val="clear" w:color="auto" w:fill="DBE5F1" w:themeFill="accent1" w:themeFillTint="33"/>
            <w:vAlign w:val="center"/>
            <w:hideMark/>
          </w:tcPr>
          <w:p w14:paraId="146DB7D3"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(10%)</w:t>
            </w:r>
          </w:p>
        </w:tc>
        <w:tc>
          <w:tcPr>
            <w:tcW w:w="1083" w:type="dxa"/>
            <w:tcBorders>
              <w:top w:val="nil"/>
              <w:bottom w:val="single" w:sz="4" w:space="0" w:color="auto"/>
            </w:tcBorders>
            <w:shd w:val="clear" w:color="auto" w:fill="DBE5F1" w:themeFill="accent1" w:themeFillTint="33"/>
            <w:vAlign w:val="center"/>
            <w:hideMark/>
          </w:tcPr>
          <w:p w14:paraId="5031D0E0"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(10%)</w:t>
            </w:r>
          </w:p>
        </w:tc>
        <w:tc>
          <w:tcPr>
            <w:tcW w:w="1082" w:type="dxa"/>
            <w:tcBorders>
              <w:top w:val="nil"/>
              <w:bottom w:val="single" w:sz="4" w:space="0" w:color="auto"/>
            </w:tcBorders>
            <w:shd w:val="clear" w:color="auto" w:fill="DBE5F1" w:themeFill="accent1" w:themeFillTint="33"/>
            <w:vAlign w:val="center"/>
            <w:hideMark/>
          </w:tcPr>
          <w:p w14:paraId="2226F632" w14:textId="77777777" w:rsidR="00441F98" w:rsidRPr="00561E44" w:rsidRDefault="00441F98" w:rsidP="00CE2FDF">
            <w:pPr>
              <w:spacing w:before="0" w:after="60" w:line="276" w:lineRule="auto"/>
              <w:jc w:val="right"/>
              <w:rPr>
                <w:rFonts w:eastAsia="Times New Roman" w:cs="Arial"/>
                <w:lang w:eastAsia="en-AU"/>
              </w:rPr>
            </w:pPr>
            <w:r w:rsidRPr="00561E44">
              <w:rPr>
                <w:rFonts w:eastAsia="Times New Roman" w:cs="Arial"/>
                <w:lang w:eastAsia="en-AU"/>
              </w:rPr>
              <w:t>(10%)</w:t>
            </w:r>
          </w:p>
        </w:tc>
        <w:tc>
          <w:tcPr>
            <w:tcW w:w="1083" w:type="dxa"/>
            <w:tcBorders>
              <w:top w:val="nil"/>
              <w:bottom w:val="single" w:sz="4" w:space="0" w:color="auto"/>
            </w:tcBorders>
            <w:shd w:val="clear" w:color="auto" w:fill="DBE5F1" w:themeFill="accent1" w:themeFillTint="33"/>
            <w:noWrap/>
            <w:vAlign w:val="center"/>
            <w:hideMark/>
          </w:tcPr>
          <w:p w14:paraId="4BBFA751" w14:textId="77777777" w:rsidR="00441F98" w:rsidRPr="00561E44" w:rsidRDefault="00441F98" w:rsidP="00CE2FDF">
            <w:pPr>
              <w:spacing w:before="0" w:after="60" w:line="276" w:lineRule="auto"/>
              <w:jc w:val="right"/>
              <w:rPr>
                <w:rFonts w:eastAsia="Times New Roman" w:cs="Arial"/>
                <w:lang w:eastAsia="en-AU"/>
              </w:rPr>
            </w:pPr>
          </w:p>
        </w:tc>
      </w:tr>
      <w:tr w:rsidR="00AA7CBD" w:rsidRPr="00383A85" w14:paraId="6AFAEB44" w14:textId="77777777" w:rsidTr="00F2448E">
        <w:trPr>
          <w:trHeight w:val="276"/>
        </w:trPr>
        <w:tc>
          <w:tcPr>
            <w:tcW w:w="2235" w:type="dxa"/>
            <w:shd w:val="clear" w:color="auto" w:fill="B8CCE4" w:themeFill="accent1" w:themeFillTint="66"/>
            <w:noWrap/>
            <w:hideMark/>
          </w:tcPr>
          <w:p w14:paraId="3A8F1E17" w14:textId="77777777" w:rsidR="00AA7CBD" w:rsidRPr="00383A85" w:rsidRDefault="00BD389C" w:rsidP="00CE2FDF">
            <w:pPr>
              <w:spacing w:before="0" w:after="60" w:line="276" w:lineRule="auto"/>
              <w:rPr>
                <w:rFonts w:eastAsia="Times New Roman" w:cs="Arial"/>
                <w:b/>
                <w:color w:val="000000"/>
                <w:lang w:eastAsia="en-AU"/>
              </w:rPr>
            </w:pPr>
            <w:r>
              <w:rPr>
                <w:rFonts w:eastAsia="Times New Roman" w:cs="Arial"/>
                <w:b/>
                <w:color w:val="000000"/>
                <w:lang w:eastAsia="en-AU"/>
              </w:rPr>
              <w:t>Total reports</w:t>
            </w:r>
          </w:p>
        </w:tc>
        <w:tc>
          <w:tcPr>
            <w:tcW w:w="1082" w:type="dxa"/>
            <w:shd w:val="clear" w:color="auto" w:fill="B8CCE4" w:themeFill="accent1" w:themeFillTint="66"/>
            <w:vAlign w:val="center"/>
            <w:hideMark/>
          </w:tcPr>
          <w:p w14:paraId="1F8229E1" w14:textId="77777777" w:rsidR="00AA7CBD" w:rsidRPr="00561E44" w:rsidRDefault="00AA7CBD" w:rsidP="00CE2FDF">
            <w:pPr>
              <w:spacing w:before="0" w:after="60" w:line="276" w:lineRule="auto"/>
              <w:jc w:val="right"/>
              <w:rPr>
                <w:lang w:eastAsia="en-AU"/>
              </w:rPr>
            </w:pPr>
            <w:r w:rsidRPr="00561E44">
              <w:rPr>
                <w:lang w:eastAsia="en-AU"/>
              </w:rPr>
              <w:t>37,267</w:t>
            </w:r>
          </w:p>
        </w:tc>
        <w:tc>
          <w:tcPr>
            <w:tcW w:w="1082" w:type="dxa"/>
            <w:shd w:val="clear" w:color="auto" w:fill="B8CCE4" w:themeFill="accent1" w:themeFillTint="66"/>
            <w:vAlign w:val="center"/>
            <w:hideMark/>
          </w:tcPr>
          <w:p w14:paraId="5F8D6831" w14:textId="77777777" w:rsidR="00AA7CBD" w:rsidRPr="00561E44" w:rsidRDefault="00AA7CBD" w:rsidP="00CE2FDF">
            <w:pPr>
              <w:spacing w:before="0" w:after="60" w:line="276" w:lineRule="auto"/>
              <w:jc w:val="right"/>
              <w:rPr>
                <w:lang w:eastAsia="en-AU"/>
              </w:rPr>
            </w:pPr>
            <w:r w:rsidRPr="00561E44">
              <w:rPr>
                <w:lang w:eastAsia="en-AU"/>
              </w:rPr>
              <w:t>37,649</w:t>
            </w:r>
          </w:p>
        </w:tc>
        <w:tc>
          <w:tcPr>
            <w:tcW w:w="1083" w:type="dxa"/>
            <w:shd w:val="clear" w:color="auto" w:fill="B8CCE4" w:themeFill="accent1" w:themeFillTint="66"/>
            <w:vAlign w:val="center"/>
            <w:hideMark/>
          </w:tcPr>
          <w:p w14:paraId="4EE2F644" w14:textId="77777777" w:rsidR="00AA7CBD" w:rsidRPr="00561E44" w:rsidRDefault="00AA7CBD" w:rsidP="00CE2FDF">
            <w:pPr>
              <w:spacing w:before="0" w:after="60" w:line="276" w:lineRule="auto"/>
              <w:jc w:val="right"/>
              <w:rPr>
                <w:lang w:eastAsia="en-AU"/>
              </w:rPr>
            </w:pPr>
            <w:r w:rsidRPr="00561E44">
              <w:rPr>
                <w:lang w:eastAsia="en-AU"/>
              </w:rPr>
              <w:t>36,657</w:t>
            </w:r>
          </w:p>
        </w:tc>
        <w:tc>
          <w:tcPr>
            <w:tcW w:w="1082" w:type="dxa"/>
            <w:shd w:val="clear" w:color="auto" w:fill="B8CCE4" w:themeFill="accent1" w:themeFillTint="66"/>
            <w:vAlign w:val="center"/>
            <w:hideMark/>
          </w:tcPr>
          <w:p w14:paraId="740E8011" w14:textId="77777777" w:rsidR="00AA7CBD" w:rsidRPr="00561E44" w:rsidRDefault="00AA7CBD" w:rsidP="00CE2FDF">
            <w:pPr>
              <w:spacing w:before="0" w:after="60" w:line="276" w:lineRule="auto"/>
              <w:jc w:val="right"/>
              <w:rPr>
                <w:lang w:eastAsia="en-AU"/>
              </w:rPr>
            </w:pPr>
            <w:r w:rsidRPr="00561E44">
              <w:rPr>
                <w:lang w:eastAsia="en-AU"/>
              </w:rPr>
              <w:t>37,693</w:t>
            </w:r>
          </w:p>
        </w:tc>
        <w:tc>
          <w:tcPr>
            <w:tcW w:w="1083" w:type="dxa"/>
            <w:shd w:val="clear" w:color="auto" w:fill="B8CCE4" w:themeFill="accent1" w:themeFillTint="66"/>
            <w:vAlign w:val="center"/>
            <w:hideMark/>
          </w:tcPr>
          <w:p w14:paraId="6B54058F" w14:textId="77777777" w:rsidR="00AA7CBD" w:rsidRPr="00561E44" w:rsidRDefault="00AA7CBD" w:rsidP="00CE2FDF">
            <w:pPr>
              <w:spacing w:before="0" w:after="60" w:line="276" w:lineRule="auto"/>
              <w:jc w:val="right"/>
              <w:rPr>
                <w:lang w:eastAsia="en-AU"/>
              </w:rPr>
            </w:pPr>
            <w:r w:rsidRPr="00561E44">
              <w:rPr>
                <w:lang w:eastAsia="en-AU"/>
              </w:rPr>
              <w:t>38,774</w:t>
            </w:r>
          </w:p>
        </w:tc>
        <w:tc>
          <w:tcPr>
            <w:tcW w:w="1082" w:type="dxa"/>
            <w:shd w:val="clear" w:color="auto" w:fill="B8CCE4" w:themeFill="accent1" w:themeFillTint="66"/>
            <w:vAlign w:val="center"/>
            <w:hideMark/>
          </w:tcPr>
          <w:p w14:paraId="116622AF" w14:textId="77777777" w:rsidR="00AA7CBD" w:rsidRPr="00561E44" w:rsidRDefault="00AA7CBD" w:rsidP="00CE2FDF">
            <w:pPr>
              <w:spacing w:before="0" w:after="60" w:line="276" w:lineRule="auto"/>
              <w:jc w:val="right"/>
              <w:rPr>
                <w:lang w:eastAsia="en-AU"/>
              </w:rPr>
            </w:pPr>
            <w:r w:rsidRPr="00561E44">
              <w:rPr>
                <w:lang w:eastAsia="en-AU"/>
              </w:rPr>
              <w:t>41,695</w:t>
            </w:r>
          </w:p>
        </w:tc>
        <w:tc>
          <w:tcPr>
            <w:tcW w:w="1083" w:type="dxa"/>
            <w:shd w:val="clear" w:color="auto" w:fill="B8CCE4" w:themeFill="accent1" w:themeFillTint="66"/>
            <w:vAlign w:val="center"/>
            <w:hideMark/>
          </w:tcPr>
          <w:p w14:paraId="164D3E10" w14:textId="77777777" w:rsidR="00AA7CBD" w:rsidRPr="00561E44" w:rsidRDefault="00AA7CBD" w:rsidP="00CE2FDF">
            <w:pPr>
              <w:spacing w:before="0" w:after="60" w:line="276" w:lineRule="auto"/>
              <w:jc w:val="right"/>
              <w:rPr>
                <w:lang w:eastAsia="en-AU"/>
              </w:rPr>
            </w:pPr>
            <w:r w:rsidRPr="00561E44">
              <w:rPr>
                <w:lang w:eastAsia="en-AU"/>
              </w:rPr>
              <w:t>44,770</w:t>
            </w:r>
          </w:p>
        </w:tc>
        <w:tc>
          <w:tcPr>
            <w:tcW w:w="1082" w:type="dxa"/>
            <w:shd w:val="clear" w:color="auto" w:fill="B8CCE4" w:themeFill="accent1" w:themeFillTint="66"/>
            <w:vAlign w:val="center"/>
            <w:hideMark/>
          </w:tcPr>
          <w:p w14:paraId="2C529EEA" w14:textId="77777777" w:rsidR="00AA7CBD" w:rsidRPr="00561E44" w:rsidRDefault="00AA7CBD" w:rsidP="00CE2FDF">
            <w:pPr>
              <w:spacing w:before="0" w:after="60" w:line="276" w:lineRule="auto"/>
              <w:jc w:val="right"/>
              <w:rPr>
                <w:lang w:eastAsia="en-AU"/>
              </w:rPr>
            </w:pPr>
            <w:r w:rsidRPr="00561E44">
              <w:rPr>
                <w:lang w:eastAsia="en-AU"/>
              </w:rPr>
              <w:t>52,035</w:t>
            </w:r>
          </w:p>
        </w:tc>
        <w:tc>
          <w:tcPr>
            <w:tcW w:w="1083" w:type="dxa"/>
            <w:shd w:val="clear" w:color="auto" w:fill="B8CCE4" w:themeFill="accent1" w:themeFillTint="66"/>
            <w:vAlign w:val="center"/>
            <w:hideMark/>
          </w:tcPr>
          <w:p w14:paraId="78A74C33" w14:textId="77777777" w:rsidR="00AA7CBD" w:rsidRPr="00561E44" w:rsidRDefault="00AA7CBD" w:rsidP="00CE2FDF">
            <w:pPr>
              <w:spacing w:before="0" w:after="60" w:line="276" w:lineRule="auto"/>
              <w:jc w:val="right"/>
              <w:rPr>
                <w:lang w:eastAsia="en-AU"/>
              </w:rPr>
            </w:pPr>
            <w:r w:rsidRPr="00561E44">
              <w:rPr>
                <w:lang w:eastAsia="en-AU"/>
              </w:rPr>
              <w:t>58,932</w:t>
            </w:r>
          </w:p>
        </w:tc>
        <w:tc>
          <w:tcPr>
            <w:tcW w:w="1082" w:type="dxa"/>
            <w:shd w:val="clear" w:color="auto" w:fill="B8CCE4" w:themeFill="accent1" w:themeFillTint="66"/>
            <w:noWrap/>
            <w:vAlign w:val="center"/>
            <w:hideMark/>
          </w:tcPr>
          <w:p w14:paraId="45232E86" w14:textId="77777777" w:rsidR="00AA7CBD" w:rsidRPr="00561E44" w:rsidRDefault="00AA7CBD" w:rsidP="00CE2FDF">
            <w:pPr>
              <w:spacing w:before="0" w:after="60" w:line="276" w:lineRule="auto"/>
              <w:jc w:val="right"/>
              <w:rPr>
                <w:lang w:eastAsia="en-AU"/>
              </w:rPr>
            </w:pPr>
            <w:r w:rsidRPr="00561E44">
              <w:rPr>
                <w:lang w:eastAsia="en-AU"/>
              </w:rPr>
              <w:t>68,648</w:t>
            </w:r>
          </w:p>
        </w:tc>
        <w:tc>
          <w:tcPr>
            <w:tcW w:w="1083" w:type="dxa"/>
            <w:shd w:val="clear" w:color="auto" w:fill="B8CCE4" w:themeFill="accent1" w:themeFillTint="66"/>
            <w:noWrap/>
            <w:vAlign w:val="center"/>
            <w:hideMark/>
          </w:tcPr>
          <w:p w14:paraId="71BC9707" w14:textId="77777777" w:rsidR="00AA7CBD" w:rsidRPr="00561E44" w:rsidRDefault="00AA7CBD" w:rsidP="00CE2FDF">
            <w:pPr>
              <w:spacing w:before="0" w:after="60" w:line="276" w:lineRule="auto"/>
              <w:jc w:val="right"/>
              <w:rPr>
                <w:rFonts w:eastAsia="Times New Roman" w:cs="Arial"/>
                <w:b/>
                <w:lang w:eastAsia="en-AU"/>
              </w:rPr>
            </w:pPr>
          </w:p>
        </w:tc>
      </w:tr>
    </w:tbl>
    <w:p w14:paraId="37207622" w14:textId="77777777" w:rsidR="00B17919" w:rsidRDefault="00B17919" w:rsidP="00B15586"/>
    <w:p w14:paraId="7360B583" w14:textId="77777777" w:rsidR="00893498" w:rsidRPr="00893498" w:rsidRDefault="00893498" w:rsidP="00B15586"/>
    <w:p w14:paraId="45727C47" w14:textId="77777777" w:rsidR="003A46B1" w:rsidRDefault="00893498" w:rsidP="00287177">
      <w:pPr>
        <w:pStyle w:val="Heading6"/>
        <w:rPr>
          <w:rStyle w:val="Heading6Char"/>
          <w:b/>
        </w:rPr>
      </w:pPr>
      <w:r w:rsidRPr="0006220F">
        <w:br w:type="page"/>
      </w:r>
      <w:r w:rsidR="00B17919" w:rsidRPr="0006220F">
        <w:rPr>
          <w:rStyle w:val="Heading6Char"/>
          <w:b/>
        </w:rPr>
        <w:lastRenderedPageBreak/>
        <w:t>Line graph for table 3.6: Number of distinct children in reports, by abuse type, by year</w:t>
      </w:r>
    </w:p>
    <w:p w14:paraId="256E54E9" w14:textId="77777777" w:rsidR="003A46B1" w:rsidRDefault="003A46B1" w:rsidP="00287177">
      <w:pPr>
        <w:pStyle w:val="Heading6"/>
        <w:rPr>
          <w:rStyle w:val="FigureheadingChar"/>
          <w:b/>
        </w:rPr>
        <w:sectPr w:rsidR="003A46B1" w:rsidSect="002E033A">
          <w:headerReference w:type="default" r:id="rId73"/>
          <w:footerReference w:type="default" r:id="rId74"/>
          <w:pgSz w:w="16838" w:h="11906" w:orient="landscape"/>
          <w:pgMar w:top="1440" w:right="1440" w:bottom="1440" w:left="1440" w:header="708" w:footer="708" w:gutter="0"/>
          <w:cols w:space="708"/>
          <w:docGrid w:linePitch="360"/>
        </w:sectPr>
      </w:pPr>
      <w:r w:rsidRPr="0006220F">
        <w:rPr>
          <w:rStyle w:val="Heading6Char"/>
          <w:b/>
          <w:noProof/>
          <w:lang w:eastAsia="en-AU"/>
        </w:rPr>
        <w:drawing>
          <wp:inline distT="0" distB="0" distL="0" distR="0" wp14:anchorId="5B810AD8" wp14:editId="612A466B">
            <wp:extent cx="8863330" cy="4645870"/>
            <wp:effectExtent l="0" t="0" r="13970" b="2540"/>
            <wp:docPr id="8" name="Chart 1" descr="Shows over the decade that Emotional Abuse was the dominant reported abuse type, followed by Physical Abuse, Sexual Abuse and then Neglect. " title="Line graph for tabl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1A06D9D" w14:textId="4CCEB116" w:rsidR="00441F98" w:rsidRPr="0006220F" w:rsidRDefault="00441F98" w:rsidP="0038455E">
      <w:pPr>
        <w:pStyle w:val="Heading6"/>
        <w:ind w:left="720" w:hanging="720"/>
        <w:rPr>
          <w:rStyle w:val="FigureheadingChar"/>
          <w:b/>
        </w:rPr>
      </w:pPr>
      <w:r w:rsidRPr="0006220F">
        <w:rPr>
          <w:rStyle w:val="FigureheadingChar"/>
          <w:b/>
        </w:rPr>
        <w:lastRenderedPageBreak/>
        <w:t>3.7</w:t>
      </w:r>
      <w:r w:rsidRPr="0006220F">
        <w:rPr>
          <w:rStyle w:val="FigureheadingChar"/>
          <w:b/>
        </w:rPr>
        <w:tab/>
        <w:t>Number of distinct children in reports, by outcome of reports, by year, as a percentage of all reporting, with percentage change</w:t>
      </w:r>
    </w:p>
    <w:tbl>
      <w:tblPr>
        <w:tblStyle w:val="TableGrid"/>
        <w:tblW w:w="5000" w:type="pct"/>
        <w:tblLook w:val="04A0" w:firstRow="1" w:lastRow="0" w:firstColumn="1" w:lastColumn="0" w:noHBand="0" w:noVBand="1"/>
        <w:tblCaption w:val="Number of distinct children in reports, by outcome of reports, by year, as a percentage of all reporting, with percentage change"/>
      </w:tblPr>
      <w:tblGrid>
        <w:gridCol w:w="2428"/>
        <w:gridCol w:w="1077"/>
        <w:gridCol w:w="1080"/>
        <w:gridCol w:w="1077"/>
        <w:gridCol w:w="1080"/>
        <w:gridCol w:w="1080"/>
        <w:gridCol w:w="1077"/>
        <w:gridCol w:w="1080"/>
        <w:gridCol w:w="1080"/>
        <w:gridCol w:w="1077"/>
        <w:gridCol w:w="958"/>
        <w:gridCol w:w="1080"/>
      </w:tblGrid>
      <w:tr w:rsidR="00BF0D27" w:rsidRPr="00383A85" w14:paraId="49E02E54" w14:textId="77777777" w:rsidTr="006C4E15">
        <w:trPr>
          <w:trHeight w:val="552"/>
          <w:tblHeader/>
        </w:trPr>
        <w:tc>
          <w:tcPr>
            <w:tcW w:w="856" w:type="pct"/>
            <w:tcBorders>
              <w:bottom w:val="single" w:sz="4" w:space="0" w:color="auto"/>
            </w:tcBorders>
            <w:shd w:val="clear" w:color="auto" w:fill="95B3D7" w:themeFill="accent1" w:themeFillTint="99"/>
            <w:vAlign w:val="center"/>
            <w:hideMark/>
          </w:tcPr>
          <w:p w14:paraId="1299FB87" w14:textId="77777777" w:rsidR="00BF0D27" w:rsidRPr="00383A85" w:rsidRDefault="00BF0D27" w:rsidP="00CE2FDF">
            <w:pPr>
              <w:spacing w:before="0" w:after="60" w:line="276" w:lineRule="auto"/>
              <w:rPr>
                <w:rFonts w:eastAsia="Times New Roman" w:cs="Arial"/>
                <w:b/>
                <w:bCs/>
                <w:color w:val="000000"/>
                <w:lang w:eastAsia="en-AU"/>
              </w:rPr>
            </w:pPr>
          </w:p>
        </w:tc>
        <w:tc>
          <w:tcPr>
            <w:tcW w:w="380" w:type="pct"/>
            <w:tcBorders>
              <w:bottom w:val="single" w:sz="4" w:space="0" w:color="auto"/>
            </w:tcBorders>
            <w:shd w:val="clear" w:color="auto" w:fill="95B3D7" w:themeFill="accent1" w:themeFillTint="99"/>
            <w:vAlign w:val="center"/>
            <w:hideMark/>
          </w:tcPr>
          <w:p w14:paraId="38531534"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2003</w:t>
            </w:r>
          </w:p>
        </w:tc>
        <w:tc>
          <w:tcPr>
            <w:tcW w:w="381" w:type="pct"/>
            <w:tcBorders>
              <w:bottom w:val="single" w:sz="4" w:space="0" w:color="auto"/>
            </w:tcBorders>
            <w:shd w:val="clear" w:color="auto" w:fill="95B3D7" w:themeFill="accent1" w:themeFillTint="99"/>
            <w:vAlign w:val="center"/>
            <w:hideMark/>
          </w:tcPr>
          <w:p w14:paraId="66613757"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2004</w:t>
            </w:r>
          </w:p>
        </w:tc>
        <w:tc>
          <w:tcPr>
            <w:tcW w:w="380" w:type="pct"/>
            <w:tcBorders>
              <w:bottom w:val="single" w:sz="4" w:space="0" w:color="auto"/>
            </w:tcBorders>
            <w:shd w:val="clear" w:color="auto" w:fill="95B3D7" w:themeFill="accent1" w:themeFillTint="99"/>
            <w:vAlign w:val="center"/>
            <w:hideMark/>
          </w:tcPr>
          <w:p w14:paraId="3A950170"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2005</w:t>
            </w:r>
          </w:p>
        </w:tc>
        <w:tc>
          <w:tcPr>
            <w:tcW w:w="381" w:type="pct"/>
            <w:tcBorders>
              <w:bottom w:val="single" w:sz="4" w:space="0" w:color="auto"/>
            </w:tcBorders>
            <w:shd w:val="clear" w:color="auto" w:fill="95B3D7" w:themeFill="accent1" w:themeFillTint="99"/>
            <w:vAlign w:val="center"/>
            <w:hideMark/>
          </w:tcPr>
          <w:p w14:paraId="0164F0B2"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2006</w:t>
            </w:r>
          </w:p>
        </w:tc>
        <w:tc>
          <w:tcPr>
            <w:tcW w:w="381" w:type="pct"/>
            <w:tcBorders>
              <w:bottom w:val="single" w:sz="4" w:space="0" w:color="auto"/>
            </w:tcBorders>
            <w:shd w:val="clear" w:color="auto" w:fill="95B3D7" w:themeFill="accent1" w:themeFillTint="99"/>
            <w:vAlign w:val="center"/>
            <w:hideMark/>
          </w:tcPr>
          <w:p w14:paraId="18728953"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2007</w:t>
            </w:r>
          </w:p>
        </w:tc>
        <w:tc>
          <w:tcPr>
            <w:tcW w:w="380" w:type="pct"/>
            <w:tcBorders>
              <w:bottom w:val="single" w:sz="4" w:space="0" w:color="auto"/>
            </w:tcBorders>
            <w:shd w:val="clear" w:color="auto" w:fill="95B3D7" w:themeFill="accent1" w:themeFillTint="99"/>
            <w:vAlign w:val="center"/>
            <w:hideMark/>
          </w:tcPr>
          <w:p w14:paraId="7D0AF284"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2008</w:t>
            </w:r>
          </w:p>
        </w:tc>
        <w:tc>
          <w:tcPr>
            <w:tcW w:w="381" w:type="pct"/>
            <w:tcBorders>
              <w:bottom w:val="single" w:sz="4" w:space="0" w:color="auto"/>
            </w:tcBorders>
            <w:shd w:val="clear" w:color="auto" w:fill="95B3D7" w:themeFill="accent1" w:themeFillTint="99"/>
            <w:vAlign w:val="center"/>
            <w:hideMark/>
          </w:tcPr>
          <w:p w14:paraId="2806B498"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2009</w:t>
            </w:r>
          </w:p>
        </w:tc>
        <w:tc>
          <w:tcPr>
            <w:tcW w:w="381" w:type="pct"/>
            <w:tcBorders>
              <w:bottom w:val="single" w:sz="4" w:space="0" w:color="auto"/>
            </w:tcBorders>
            <w:shd w:val="clear" w:color="auto" w:fill="95B3D7" w:themeFill="accent1" w:themeFillTint="99"/>
            <w:vAlign w:val="center"/>
            <w:hideMark/>
          </w:tcPr>
          <w:p w14:paraId="244AE60A"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2010</w:t>
            </w:r>
          </w:p>
        </w:tc>
        <w:tc>
          <w:tcPr>
            <w:tcW w:w="380" w:type="pct"/>
            <w:tcBorders>
              <w:bottom w:val="single" w:sz="4" w:space="0" w:color="auto"/>
            </w:tcBorders>
            <w:shd w:val="clear" w:color="auto" w:fill="95B3D7" w:themeFill="accent1" w:themeFillTint="99"/>
            <w:vAlign w:val="center"/>
            <w:hideMark/>
          </w:tcPr>
          <w:p w14:paraId="6867D7A9"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2011</w:t>
            </w:r>
          </w:p>
        </w:tc>
        <w:tc>
          <w:tcPr>
            <w:tcW w:w="338" w:type="pct"/>
            <w:tcBorders>
              <w:bottom w:val="single" w:sz="4" w:space="0" w:color="auto"/>
            </w:tcBorders>
            <w:shd w:val="clear" w:color="auto" w:fill="95B3D7" w:themeFill="accent1" w:themeFillTint="99"/>
            <w:vAlign w:val="center"/>
            <w:hideMark/>
          </w:tcPr>
          <w:p w14:paraId="72C959EA" w14:textId="77777777" w:rsidR="00BF0D27" w:rsidRPr="00383A85" w:rsidRDefault="00BF0D27" w:rsidP="00CE2FDF">
            <w:pPr>
              <w:spacing w:before="0" w:after="60" w:line="276" w:lineRule="auto"/>
              <w:jc w:val="right"/>
              <w:rPr>
                <w:rFonts w:eastAsia="Times New Roman" w:cs="Arial"/>
                <w:b/>
                <w:bCs/>
                <w:color w:val="000000"/>
                <w:lang w:eastAsia="en-AU"/>
              </w:rPr>
            </w:pPr>
            <w:r w:rsidRPr="00383A85">
              <w:rPr>
                <w:rFonts w:eastAsia="Times New Roman" w:cs="Arial"/>
                <w:b/>
                <w:bCs/>
                <w:color w:val="000000"/>
                <w:lang w:eastAsia="en-AU"/>
              </w:rPr>
              <w:t>2012</w:t>
            </w:r>
          </w:p>
        </w:tc>
        <w:tc>
          <w:tcPr>
            <w:tcW w:w="381" w:type="pct"/>
            <w:tcBorders>
              <w:bottom w:val="single" w:sz="4" w:space="0" w:color="auto"/>
            </w:tcBorders>
            <w:shd w:val="clear" w:color="auto" w:fill="95B3D7" w:themeFill="accent1" w:themeFillTint="99"/>
            <w:noWrap/>
            <w:vAlign w:val="center"/>
            <w:hideMark/>
          </w:tcPr>
          <w:p w14:paraId="318B58F3" w14:textId="77777777" w:rsidR="00BF0D27" w:rsidRPr="00F2448E" w:rsidRDefault="00AC4C50" w:rsidP="00CE2FDF">
            <w:pPr>
              <w:spacing w:before="0" w:after="60" w:line="276" w:lineRule="auto"/>
              <w:jc w:val="right"/>
              <w:rPr>
                <w:rFonts w:eastAsia="Times New Roman" w:cs="Arial"/>
                <w:b/>
                <w:lang w:eastAsia="en-AU"/>
              </w:rPr>
            </w:pPr>
            <w:r w:rsidRPr="00F2448E">
              <w:rPr>
                <w:rFonts w:eastAsia="Times New Roman" w:cs="Arial"/>
                <w:b/>
                <w:lang w:eastAsia="en-AU"/>
              </w:rPr>
              <w:t>% change</w:t>
            </w:r>
          </w:p>
        </w:tc>
      </w:tr>
      <w:tr w:rsidR="00441F98" w:rsidRPr="00383A85" w14:paraId="06D231B5" w14:textId="77777777" w:rsidTr="006C4E15">
        <w:trPr>
          <w:trHeight w:val="276"/>
        </w:trPr>
        <w:tc>
          <w:tcPr>
            <w:tcW w:w="856" w:type="pct"/>
            <w:vMerge w:val="restart"/>
            <w:vAlign w:val="center"/>
            <w:hideMark/>
          </w:tcPr>
          <w:p w14:paraId="385E345E" w14:textId="77777777" w:rsidR="00441F98" w:rsidRPr="00383A85" w:rsidRDefault="00441F98" w:rsidP="00CE2FDF">
            <w:pPr>
              <w:spacing w:before="0" w:after="60" w:line="276" w:lineRule="auto"/>
              <w:rPr>
                <w:rFonts w:eastAsia="Times New Roman" w:cs="Arial"/>
                <w:b/>
                <w:bCs/>
                <w:color w:val="000000"/>
                <w:lang w:eastAsia="en-AU"/>
              </w:rPr>
            </w:pPr>
            <w:r>
              <w:rPr>
                <w:rFonts w:eastAsia="Times New Roman" w:cs="Arial"/>
                <w:b/>
                <w:bCs/>
                <w:color w:val="000000"/>
                <w:lang w:eastAsia="en-AU"/>
              </w:rPr>
              <w:t>Not investigated</w:t>
            </w:r>
          </w:p>
        </w:tc>
        <w:tc>
          <w:tcPr>
            <w:tcW w:w="380" w:type="pct"/>
            <w:tcBorders>
              <w:bottom w:val="nil"/>
            </w:tcBorders>
            <w:hideMark/>
          </w:tcPr>
          <w:p w14:paraId="110BCA8D"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19,882</w:t>
            </w:r>
          </w:p>
        </w:tc>
        <w:tc>
          <w:tcPr>
            <w:tcW w:w="381" w:type="pct"/>
            <w:tcBorders>
              <w:bottom w:val="nil"/>
            </w:tcBorders>
            <w:hideMark/>
          </w:tcPr>
          <w:p w14:paraId="0C6632E1"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20,366</w:t>
            </w:r>
          </w:p>
        </w:tc>
        <w:tc>
          <w:tcPr>
            <w:tcW w:w="380" w:type="pct"/>
            <w:tcBorders>
              <w:bottom w:val="nil"/>
            </w:tcBorders>
            <w:hideMark/>
          </w:tcPr>
          <w:p w14:paraId="47BAA94B"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20,522</w:t>
            </w:r>
          </w:p>
        </w:tc>
        <w:tc>
          <w:tcPr>
            <w:tcW w:w="381" w:type="pct"/>
            <w:tcBorders>
              <w:bottom w:val="nil"/>
            </w:tcBorders>
            <w:hideMark/>
          </w:tcPr>
          <w:p w14:paraId="5EFD8DFE"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21,499</w:t>
            </w:r>
          </w:p>
        </w:tc>
        <w:tc>
          <w:tcPr>
            <w:tcW w:w="381" w:type="pct"/>
            <w:tcBorders>
              <w:bottom w:val="nil"/>
            </w:tcBorders>
            <w:hideMark/>
          </w:tcPr>
          <w:p w14:paraId="403D2AC1"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22,737</w:t>
            </w:r>
          </w:p>
        </w:tc>
        <w:tc>
          <w:tcPr>
            <w:tcW w:w="380" w:type="pct"/>
            <w:tcBorders>
              <w:bottom w:val="nil"/>
            </w:tcBorders>
            <w:hideMark/>
          </w:tcPr>
          <w:p w14:paraId="059E1405"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24,603</w:t>
            </w:r>
          </w:p>
        </w:tc>
        <w:tc>
          <w:tcPr>
            <w:tcW w:w="381" w:type="pct"/>
            <w:tcBorders>
              <w:bottom w:val="nil"/>
            </w:tcBorders>
            <w:hideMark/>
          </w:tcPr>
          <w:p w14:paraId="1C72B87E"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26,997</w:t>
            </w:r>
          </w:p>
        </w:tc>
        <w:tc>
          <w:tcPr>
            <w:tcW w:w="381" w:type="pct"/>
            <w:tcBorders>
              <w:bottom w:val="nil"/>
            </w:tcBorders>
            <w:hideMark/>
          </w:tcPr>
          <w:p w14:paraId="781C87D8"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29,989</w:t>
            </w:r>
          </w:p>
        </w:tc>
        <w:tc>
          <w:tcPr>
            <w:tcW w:w="380" w:type="pct"/>
            <w:tcBorders>
              <w:bottom w:val="nil"/>
            </w:tcBorders>
            <w:hideMark/>
          </w:tcPr>
          <w:p w14:paraId="7994740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33,861</w:t>
            </w:r>
          </w:p>
        </w:tc>
        <w:tc>
          <w:tcPr>
            <w:tcW w:w="338" w:type="pct"/>
            <w:tcBorders>
              <w:bottom w:val="nil"/>
            </w:tcBorders>
            <w:hideMark/>
          </w:tcPr>
          <w:p w14:paraId="4F336B6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39,075</w:t>
            </w:r>
          </w:p>
        </w:tc>
        <w:tc>
          <w:tcPr>
            <w:tcW w:w="381" w:type="pct"/>
            <w:tcBorders>
              <w:bottom w:val="nil"/>
            </w:tcBorders>
            <w:noWrap/>
            <w:hideMark/>
          </w:tcPr>
          <w:p w14:paraId="02AB75C8"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97%</w:t>
            </w:r>
          </w:p>
        </w:tc>
      </w:tr>
      <w:tr w:rsidR="00441F98" w:rsidRPr="00383A85" w14:paraId="249612E4" w14:textId="77777777" w:rsidTr="006C4E15">
        <w:trPr>
          <w:trHeight w:val="276"/>
        </w:trPr>
        <w:tc>
          <w:tcPr>
            <w:tcW w:w="856" w:type="pct"/>
            <w:vMerge/>
            <w:tcBorders>
              <w:bottom w:val="single" w:sz="4" w:space="0" w:color="auto"/>
            </w:tcBorders>
            <w:vAlign w:val="center"/>
            <w:hideMark/>
          </w:tcPr>
          <w:p w14:paraId="48C99B23" w14:textId="77777777" w:rsidR="00441F98" w:rsidRPr="00383A85" w:rsidRDefault="00441F98" w:rsidP="00CE2FDF">
            <w:pPr>
              <w:spacing w:before="0" w:after="60" w:line="276" w:lineRule="auto"/>
              <w:rPr>
                <w:rFonts w:eastAsia="Times New Roman" w:cs="Arial"/>
                <w:b/>
                <w:color w:val="000000"/>
                <w:lang w:eastAsia="en-AU"/>
              </w:rPr>
            </w:pPr>
          </w:p>
        </w:tc>
        <w:tc>
          <w:tcPr>
            <w:tcW w:w="380" w:type="pct"/>
            <w:tcBorders>
              <w:top w:val="nil"/>
              <w:bottom w:val="single" w:sz="4" w:space="0" w:color="auto"/>
            </w:tcBorders>
            <w:hideMark/>
          </w:tcPr>
          <w:p w14:paraId="795168E4"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(53%)</w:t>
            </w:r>
          </w:p>
        </w:tc>
        <w:tc>
          <w:tcPr>
            <w:tcW w:w="381" w:type="pct"/>
            <w:tcBorders>
              <w:top w:val="nil"/>
              <w:bottom w:val="single" w:sz="4" w:space="0" w:color="auto"/>
            </w:tcBorders>
            <w:hideMark/>
          </w:tcPr>
          <w:p w14:paraId="4331E5EB"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(54%)</w:t>
            </w:r>
          </w:p>
        </w:tc>
        <w:tc>
          <w:tcPr>
            <w:tcW w:w="380" w:type="pct"/>
            <w:tcBorders>
              <w:top w:val="nil"/>
              <w:bottom w:val="single" w:sz="4" w:space="0" w:color="auto"/>
            </w:tcBorders>
            <w:hideMark/>
          </w:tcPr>
          <w:p w14:paraId="6C4E4235"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(56%)</w:t>
            </w:r>
          </w:p>
        </w:tc>
        <w:tc>
          <w:tcPr>
            <w:tcW w:w="381" w:type="pct"/>
            <w:tcBorders>
              <w:top w:val="nil"/>
              <w:bottom w:val="single" w:sz="4" w:space="0" w:color="auto"/>
            </w:tcBorders>
            <w:hideMark/>
          </w:tcPr>
          <w:p w14:paraId="114EE34B"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(57%)</w:t>
            </w:r>
          </w:p>
        </w:tc>
        <w:tc>
          <w:tcPr>
            <w:tcW w:w="381" w:type="pct"/>
            <w:tcBorders>
              <w:top w:val="nil"/>
              <w:bottom w:val="single" w:sz="4" w:space="0" w:color="auto"/>
            </w:tcBorders>
            <w:hideMark/>
          </w:tcPr>
          <w:p w14:paraId="1A72676D"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(59%)</w:t>
            </w:r>
          </w:p>
        </w:tc>
        <w:tc>
          <w:tcPr>
            <w:tcW w:w="380" w:type="pct"/>
            <w:tcBorders>
              <w:top w:val="nil"/>
              <w:bottom w:val="single" w:sz="4" w:space="0" w:color="auto"/>
            </w:tcBorders>
            <w:hideMark/>
          </w:tcPr>
          <w:p w14:paraId="31F67666"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(59%)</w:t>
            </w:r>
          </w:p>
        </w:tc>
        <w:tc>
          <w:tcPr>
            <w:tcW w:w="381" w:type="pct"/>
            <w:tcBorders>
              <w:top w:val="nil"/>
              <w:bottom w:val="single" w:sz="4" w:space="0" w:color="auto"/>
            </w:tcBorders>
            <w:hideMark/>
          </w:tcPr>
          <w:p w14:paraId="5728EA90"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(60%)</w:t>
            </w:r>
          </w:p>
        </w:tc>
        <w:tc>
          <w:tcPr>
            <w:tcW w:w="381" w:type="pct"/>
            <w:tcBorders>
              <w:top w:val="nil"/>
              <w:bottom w:val="single" w:sz="4" w:space="0" w:color="auto"/>
            </w:tcBorders>
            <w:hideMark/>
          </w:tcPr>
          <w:p w14:paraId="57BB8967"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(58%)</w:t>
            </w:r>
          </w:p>
        </w:tc>
        <w:tc>
          <w:tcPr>
            <w:tcW w:w="380" w:type="pct"/>
            <w:tcBorders>
              <w:top w:val="nil"/>
              <w:bottom w:val="single" w:sz="4" w:space="0" w:color="auto"/>
            </w:tcBorders>
            <w:hideMark/>
          </w:tcPr>
          <w:p w14:paraId="50930E4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(57%)</w:t>
            </w:r>
          </w:p>
        </w:tc>
        <w:tc>
          <w:tcPr>
            <w:tcW w:w="338" w:type="pct"/>
            <w:tcBorders>
              <w:top w:val="nil"/>
              <w:bottom w:val="single" w:sz="4" w:space="0" w:color="auto"/>
            </w:tcBorders>
            <w:hideMark/>
          </w:tcPr>
          <w:p w14:paraId="3496CBA6"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(57%)</w:t>
            </w:r>
          </w:p>
        </w:tc>
        <w:tc>
          <w:tcPr>
            <w:tcW w:w="381" w:type="pct"/>
            <w:tcBorders>
              <w:top w:val="nil"/>
              <w:bottom w:val="single" w:sz="4" w:space="0" w:color="auto"/>
            </w:tcBorders>
            <w:noWrap/>
            <w:hideMark/>
          </w:tcPr>
          <w:p w14:paraId="180F78B2" w14:textId="77777777" w:rsidR="00441F98" w:rsidRPr="00F2448E" w:rsidRDefault="00441F98" w:rsidP="00CE2FDF">
            <w:pPr>
              <w:spacing w:before="0" w:after="60" w:line="276" w:lineRule="auto"/>
              <w:jc w:val="right"/>
              <w:rPr>
                <w:rFonts w:eastAsia="Times New Roman" w:cs="Arial"/>
                <w:lang w:eastAsia="en-AU"/>
              </w:rPr>
            </w:pPr>
          </w:p>
        </w:tc>
      </w:tr>
      <w:tr w:rsidR="00441F98" w:rsidRPr="00383A85" w14:paraId="0496BC73" w14:textId="77777777" w:rsidTr="006C4E15">
        <w:trPr>
          <w:trHeight w:val="276"/>
        </w:trPr>
        <w:tc>
          <w:tcPr>
            <w:tcW w:w="856" w:type="pct"/>
            <w:vMerge w:val="restart"/>
            <w:shd w:val="clear" w:color="auto" w:fill="DBE5F1" w:themeFill="accent1" w:themeFillTint="33"/>
            <w:vAlign w:val="center"/>
            <w:hideMark/>
          </w:tcPr>
          <w:p w14:paraId="2C5F8095" w14:textId="77777777" w:rsidR="00441F98" w:rsidRPr="00383A85" w:rsidRDefault="00441F98" w:rsidP="00CE2FDF">
            <w:pPr>
              <w:spacing w:before="0" w:after="60" w:line="276" w:lineRule="auto"/>
              <w:rPr>
                <w:rFonts w:eastAsia="Times New Roman" w:cs="Arial"/>
                <w:b/>
                <w:bCs/>
                <w:color w:val="000000"/>
                <w:lang w:eastAsia="en-AU"/>
              </w:rPr>
            </w:pPr>
            <w:r>
              <w:rPr>
                <w:rFonts w:eastAsia="Times New Roman" w:cs="Arial"/>
                <w:b/>
                <w:bCs/>
                <w:color w:val="000000"/>
                <w:lang w:eastAsia="en-AU"/>
              </w:rPr>
              <w:t>Investigated</w:t>
            </w:r>
          </w:p>
        </w:tc>
        <w:tc>
          <w:tcPr>
            <w:tcW w:w="380" w:type="pct"/>
            <w:tcBorders>
              <w:bottom w:val="nil"/>
            </w:tcBorders>
            <w:shd w:val="clear" w:color="auto" w:fill="DBE5F1" w:themeFill="accent1" w:themeFillTint="33"/>
            <w:hideMark/>
          </w:tcPr>
          <w:p w14:paraId="66D4A01B"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11,175</w:t>
            </w:r>
          </w:p>
        </w:tc>
        <w:tc>
          <w:tcPr>
            <w:tcW w:w="381" w:type="pct"/>
            <w:tcBorders>
              <w:bottom w:val="nil"/>
            </w:tcBorders>
            <w:shd w:val="clear" w:color="auto" w:fill="DBE5F1" w:themeFill="accent1" w:themeFillTint="33"/>
            <w:hideMark/>
          </w:tcPr>
          <w:p w14:paraId="060F0CB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11,354</w:t>
            </w:r>
          </w:p>
        </w:tc>
        <w:tc>
          <w:tcPr>
            <w:tcW w:w="380" w:type="pct"/>
            <w:tcBorders>
              <w:bottom w:val="nil"/>
            </w:tcBorders>
            <w:shd w:val="clear" w:color="auto" w:fill="DBE5F1" w:themeFill="accent1" w:themeFillTint="33"/>
            <w:hideMark/>
          </w:tcPr>
          <w:p w14:paraId="0A66B6D3"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10,491</w:t>
            </w:r>
          </w:p>
        </w:tc>
        <w:tc>
          <w:tcPr>
            <w:tcW w:w="381" w:type="pct"/>
            <w:tcBorders>
              <w:bottom w:val="nil"/>
            </w:tcBorders>
            <w:shd w:val="clear" w:color="auto" w:fill="DBE5F1" w:themeFill="accent1" w:themeFillTint="33"/>
            <w:hideMark/>
          </w:tcPr>
          <w:p w14:paraId="21806BEF"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10,764</w:t>
            </w:r>
          </w:p>
        </w:tc>
        <w:tc>
          <w:tcPr>
            <w:tcW w:w="381" w:type="pct"/>
            <w:tcBorders>
              <w:bottom w:val="nil"/>
            </w:tcBorders>
            <w:shd w:val="clear" w:color="auto" w:fill="DBE5F1" w:themeFill="accent1" w:themeFillTint="33"/>
            <w:hideMark/>
          </w:tcPr>
          <w:p w14:paraId="56B97AE7"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10,472</w:t>
            </w:r>
          </w:p>
        </w:tc>
        <w:tc>
          <w:tcPr>
            <w:tcW w:w="380" w:type="pct"/>
            <w:tcBorders>
              <w:bottom w:val="nil"/>
            </w:tcBorders>
            <w:shd w:val="clear" w:color="auto" w:fill="DBE5F1" w:themeFill="accent1" w:themeFillTint="33"/>
            <w:hideMark/>
          </w:tcPr>
          <w:p w14:paraId="24ACC9E9"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10,841</w:t>
            </w:r>
          </w:p>
        </w:tc>
        <w:tc>
          <w:tcPr>
            <w:tcW w:w="381" w:type="pct"/>
            <w:tcBorders>
              <w:bottom w:val="nil"/>
            </w:tcBorders>
            <w:shd w:val="clear" w:color="auto" w:fill="DBE5F1" w:themeFill="accent1" w:themeFillTint="33"/>
            <w:hideMark/>
          </w:tcPr>
          <w:p w14:paraId="13CAA8E5"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10,945</w:t>
            </w:r>
          </w:p>
        </w:tc>
        <w:tc>
          <w:tcPr>
            <w:tcW w:w="381" w:type="pct"/>
            <w:tcBorders>
              <w:bottom w:val="nil"/>
            </w:tcBorders>
            <w:shd w:val="clear" w:color="auto" w:fill="DBE5F1" w:themeFill="accent1" w:themeFillTint="33"/>
            <w:hideMark/>
          </w:tcPr>
          <w:p w14:paraId="60BE03F9"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13,306</w:t>
            </w:r>
          </w:p>
        </w:tc>
        <w:tc>
          <w:tcPr>
            <w:tcW w:w="380" w:type="pct"/>
            <w:tcBorders>
              <w:bottom w:val="nil"/>
            </w:tcBorders>
            <w:shd w:val="clear" w:color="auto" w:fill="DBE5F1" w:themeFill="accent1" w:themeFillTint="33"/>
            <w:hideMark/>
          </w:tcPr>
          <w:p w14:paraId="74AB5CCB"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13,962</w:t>
            </w:r>
          </w:p>
        </w:tc>
        <w:tc>
          <w:tcPr>
            <w:tcW w:w="338" w:type="pct"/>
            <w:tcBorders>
              <w:bottom w:val="nil"/>
            </w:tcBorders>
            <w:shd w:val="clear" w:color="auto" w:fill="DBE5F1" w:themeFill="accent1" w:themeFillTint="33"/>
            <w:hideMark/>
          </w:tcPr>
          <w:p w14:paraId="6D13C2D1"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15,795</w:t>
            </w:r>
          </w:p>
        </w:tc>
        <w:tc>
          <w:tcPr>
            <w:tcW w:w="381" w:type="pct"/>
            <w:tcBorders>
              <w:bottom w:val="nil"/>
            </w:tcBorders>
            <w:shd w:val="clear" w:color="auto" w:fill="DBE5F1" w:themeFill="accent1" w:themeFillTint="33"/>
            <w:noWrap/>
            <w:hideMark/>
          </w:tcPr>
          <w:p w14:paraId="2A25BB7F"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41%</w:t>
            </w:r>
          </w:p>
        </w:tc>
      </w:tr>
      <w:tr w:rsidR="00441F98" w:rsidRPr="00383A85" w14:paraId="2311B525" w14:textId="77777777" w:rsidTr="006C4E15">
        <w:trPr>
          <w:trHeight w:val="276"/>
        </w:trPr>
        <w:tc>
          <w:tcPr>
            <w:tcW w:w="856" w:type="pct"/>
            <w:vMerge/>
            <w:tcBorders>
              <w:bottom w:val="single" w:sz="4" w:space="0" w:color="auto"/>
            </w:tcBorders>
            <w:shd w:val="clear" w:color="auto" w:fill="DBE5F1" w:themeFill="accent1" w:themeFillTint="33"/>
            <w:vAlign w:val="center"/>
            <w:hideMark/>
          </w:tcPr>
          <w:p w14:paraId="25C83BEE" w14:textId="77777777" w:rsidR="00441F98" w:rsidRPr="00383A85" w:rsidRDefault="00441F98" w:rsidP="00CE2FDF">
            <w:pPr>
              <w:spacing w:before="0" w:after="60" w:line="276" w:lineRule="auto"/>
              <w:rPr>
                <w:rFonts w:eastAsia="Times New Roman" w:cs="Arial"/>
                <w:b/>
                <w:color w:val="000000"/>
                <w:lang w:eastAsia="en-AU"/>
              </w:rPr>
            </w:pPr>
          </w:p>
        </w:tc>
        <w:tc>
          <w:tcPr>
            <w:tcW w:w="380" w:type="pct"/>
            <w:tcBorders>
              <w:top w:val="nil"/>
              <w:bottom w:val="single" w:sz="4" w:space="0" w:color="auto"/>
            </w:tcBorders>
            <w:shd w:val="clear" w:color="auto" w:fill="DBE5F1" w:themeFill="accent1" w:themeFillTint="33"/>
            <w:hideMark/>
          </w:tcPr>
          <w:p w14:paraId="0DAFDD20"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(30%)</w:t>
            </w:r>
          </w:p>
        </w:tc>
        <w:tc>
          <w:tcPr>
            <w:tcW w:w="381" w:type="pct"/>
            <w:tcBorders>
              <w:top w:val="nil"/>
              <w:bottom w:val="single" w:sz="4" w:space="0" w:color="auto"/>
            </w:tcBorders>
            <w:shd w:val="clear" w:color="auto" w:fill="DBE5F1" w:themeFill="accent1" w:themeFillTint="33"/>
            <w:hideMark/>
          </w:tcPr>
          <w:p w14:paraId="2EC2C8ED"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(30%)</w:t>
            </w:r>
          </w:p>
        </w:tc>
        <w:tc>
          <w:tcPr>
            <w:tcW w:w="380" w:type="pct"/>
            <w:tcBorders>
              <w:top w:val="nil"/>
              <w:bottom w:val="single" w:sz="4" w:space="0" w:color="auto"/>
            </w:tcBorders>
            <w:shd w:val="clear" w:color="auto" w:fill="DBE5F1" w:themeFill="accent1" w:themeFillTint="33"/>
            <w:hideMark/>
          </w:tcPr>
          <w:p w14:paraId="01A2FDB3"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(29%)</w:t>
            </w:r>
          </w:p>
        </w:tc>
        <w:tc>
          <w:tcPr>
            <w:tcW w:w="381" w:type="pct"/>
            <w:tcBorders>
              <w:top w:val="nil"/>
              <w:bottom w:val="single" w:sz="4" w:space="0" w:color="auto"/>
            </w:tcBorders>
            <w:shd w:val="clear" w:color="auto" w:fill="DBE5F1" w:themeFill="accent1" w:themeFillTint="33"/>
            <w:hideMark/>
          </w:tcPr>
          <w:p w14:paraId="64EB6815"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(29%)</w:t>
            </w:r>
          </w:p>
        </w:tc>
        <w:tc>
          <w:tcPr>
            <w:tcW w:w="381" w:type="pct"/>
            <w:tcBorders>
              <w:top w:val="nil"/>
              <w:bottom w:val="single" w:sz="4" w:space="0" w:color="auto"/>
            </w:tcBorders>
            <w:shd w:val="clear" w:color="auto" w:fill="DBE5F1" w:themeFill="accent1" w:themeFillTint="33"/>
            <w:hideMark/>
          </w:tcPr>
          <w:p w14:paraId="3604E657"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(27%)</w:t>
            </w:r>
          </w:p>
        </w:tc>
        <w:tc>
          <w:tcPr>
            <w:tcW w:w="380" w:type="pct"/>
            <w:tcBorders>
              <w:top w:val="nil"/>
              <w:bottom w:val="single" w:sz="4" w:space="0" w:color="auto"/>
            </w:tcBorders>
            <w:shd w:val="clear" w:color="auto" w:fill="DBE5F1" w:themeFill="accent1" w:themeFillTint="33"/>
            <w:hideMark/>
          </w:tcPr>
          <w:p w14:paraId="75056E7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(26%)</w:t>
            </w:r>
          </w:p>
        </w:tc>
        <w:tc>
          <w:tcPr>
            <w:tcW w:w="381" w:type="pct"/>
            <w:tcBorders>
              <w:top w:val="nil"/>
              <w:bottom w:val="single" w:sz="4" w:space="0" w:color="auto"/>
            </w:tcBorders>
            <w:shd w:val="clear" w:color="auto" w:fill="DBE5F1" w:themeFill="accent1" w:themeFillTint="33"/>
            <w:hideMark/>
          </w:tcPr>
          <w:p w14:paraId="6C6AF94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(24%)</w:t>
            </w:r>
          </w:p>
        </w:tc>
        <w:tc>
          <w:tcPr>
            <w:tcW w:w="381" w:type="pct"/>
            <w:tcBorders>
              <w:top w:val="nil"/>
              <w:bottom w:val="single" w:sz="4" w:space="0" w:color="auto"/>
            </w:tcBorders>
            <w:shd w:val="clear" w:color="auto" w:fill="DBE5F1" w:themeFill="accent1" w:themeFillTint="33"/>
            <w:hideMark/>
          </w:tcPr>
          <w:p w14:paraId="5EE93DE7"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(26%)</w:t>
            </w:r>
          </w:p>
        </w:tc>
        <w:tc>
          <w:tcPr>
            <w:tcW w:w="380" w:type="pct"/>
            <w:tcBorders>
              <w:top w:val="nil"/>
              <w:bottom w:val="single" w:sz="4" w:space="0" w:color="auto"/>
            </w:tcBorders>
            <w:shd w:val="clear" w:color="auto" w:fill="DBE5F1" w:themeFill="accent1" w:themeFillTint="33"/>
            <w:hideMark/>
          </w:tcPr>
          <w:p w14:paraId="34F8BA89"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(24%)</w:t>
            </w:r>
          </w:p>
        </w:tc>
        <w:tc>
          <w:tcPr>
            <w:tcW w:w="338" w:type="pct"/>
            <w:tcBorders>
              <w:top w:val="nil"/>
              <w:bottom w:val="single" w:sz="4" w:space="0" w:color="auto"/>
            </w:tcBorders>
            <w:shd w:val="clear" w:color="auto" w:fill="DBE5F1" w:themeFill="accent1" w:themeFillTint="33"/>
            <w:hideMark/>
          </w:tcPr>
          <w:p w14:paraId="4518D7A9"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(23%)</w:t>
            </w:r>
          </w:p>
        </w:tc>
        <w:tc>
          <w:tcPr>
            <w:tcW w:w="381" w:type="pct"/>
            <w:tcBorders>
              <w:top w:val="nil"/>
              <w:bottom w:val="single" w:sz="4" w:space="0" w:color="auto"/>
            </w:tcBorders>
            <w:shd w:val="clear" w:color="auto" w:fill="DBE5F1" w:themeFill="accent1" w:themeFillTint="33"/>
            <w:noWrap/>
            <w:hideMark/>
          </w:tcPr>
          <w:p w14:paraId="65164995" w14:textId="77777777" w:rsidR="00441F98" w:rsidRPr="00F2448E" w:rsidRDefault="00441F98" w:rsidP="00CE2FDF">
            <w:pPr>
              <w:spacing w:before="0" w:after="60" w:line="276" w:lineRule="auto"/>
              <w:jc w:val="right"/>
              <w:rPr>
                <w:rFonts w:eastAsia="Times New Roman" w:cs="Arial"/>
                <w:lang w:eastAsia="en-AU"/>
              </w:rPr>
            </w:pPr>
          </w:p>
        </w:tc>
      </w:tr>
      <w:tr w:rsidR="00441F98" w:rsidRPr="00383A85" w14:paraId="2B795080" w14:textId="77777777" w:rsidTr="006C4E15">
        <w:trPr>
          <w:trHeight w:val="276"/>
        </w:trPr>
        <w:tc>
          <w:tcPr>
            <w:tcW w:w="856" w:type="pct"/>
            <w:vMerge w:val="restart"/>
            <w:vAlign w:val="center"/>
            <w:hideMark/>
          </w:tcPr>
          <w:p w14:paraId="795F0203" w14:textId="77777777" w:rsidR="00441F98" w:rsidRPr="00383A85" w:rsidRDefault="00441F98" w:rsidP="00CE2FDF">
            <w:pPr>
              <w:spacing w:before="0" w:after="60" w:line="276" w:lineRule="auto"/>
              <w:rPr>
                <w:rFonts w:eastAsia="Times New Roman" w:cs="Arial"/>
                <w:b/>
                <w:bCs/>
                <w:color w:val="000000"/>
                <w:lang w:eastAsia="en-AU"/>
              </w:rPr>
            </w:pPr>
            <w:r>
              <w:rPr>
                <w:rFonts w:eastAsia="Times New Roman" w:cs="Arial"/>
                <w:b/>
                <w:bCs/>
                <w:color w:val="000000"/>
                <w:lang w:eastAsia="en-AU"/>
              </w:rPr>
              <w:t>Substantiated</w:t>
            </w:r>
          </w:p>
        </w:tc>
        <w:tc>
          <w:tcPr>
            <w:tcW w:w="380" w:type="pct"/>
            <w:tcBorders>
              <w:bottom w:val="nil"/>
            </w:tcBorders>
            <w:hideMark/>
          </w:tcPr>
          <w:p w14:paraId="4CDD286C"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7,020</w:t>
            </w:r>
          </w:p>
        </w:tc>
        <w:tc>
          <w:tcPr>
            <w:tcW w:w="381" w:type="pct"/>
            <w:tcBorders>
              <w:bottom w:val="nil"/>
            </w:tcBorders>
            <w:hideMark/>
          </w:tcPr>
          <w:p w14:paraId="5B649079"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7,554</w:t>
            </w:r>
          </w:p>
        </w:tc>
        <w:tc>
          <w:tcPr>
            <w:tcW w:w="380" w:type="pct"/>
            <w:tcBorders>
              <w:bottom w:val="nil"/>
            </w:tcBorders>
            <w:hideMark/>
          </w:tcPr>
          <w:p w14:paraId="3C07589C"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7,195</w:t>
            </w:r>
          </w:p>
        </w:tc>
        <w:tc>
          <w:tcPr>
            <w:tcW w:w="381" w:type="pct"/>
            <w:tcBorders>
              <w:bottom w:val="nil"/>
            </w:tcBorders>
            <w:hideMark/>
          </w:tcPr>
          <w:p w14:paraId="00DF2CAC"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7,208</w:t>
            </w:r>
          </w:p>
        </w:tc>
        <w:tc>
          <w:tcPr>
            <w:tcW w:w="381" w:type="pct"/>
            <w:tcBorders>
              <w:bottom w:val="nil"/>
            </w:tcBorders>
            <w:hideMark/>
          </w:tcPr>
          <w:p w14:paraId="0CC1675A"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6,876</w:t>
            </w:r>
          </w:p>
        </w:tc>
        <w:tc>
          <w:tcPr>
            <w:tcW w:w="380" w:type="pct"/>
            <w:tcBorders>
              <w:bottom w:val="nil"/>
            </w:tcBorders>
            <w:hideMark/>
          </w:tcPr>
          <w:p w14:paraId="72A6A94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6,818</w:t>
            </w:r>
          </w:p>
        </w:tc>
        <w:tc>
          <w:tcPr>
            <w:tcW w:w="381" w:type="pct"/>
            <w:tcBorders>
              <w:bottom w:val="nil"/>
            </w:tcBorders>
            <w:hideMark/>
          </w:tcPr>
          <w:p w14:paraId="7EB82BD7"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6,541</w:t>
            </w:r>
          </w:p>
        </w:tc>
        <w:tc>
          <w:tcPr>
            <w:tcW w:w="381" w:type="pct"/>
            <w:tcBorders>
              <w:bottom w:val="nil"/>
            </w:tcBorders>
            <w:hideMark/>
          </w:tcPr>
          <w:p w14:paraId="7A76DE0C"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7,401</w:t>
            </w:r>
          </w:p>
        </w:tc>
        <w:tc>
          <w:tcPr>
            <w:tcW w:w="380" w:type="pct"/>
            <w:tcBorders>
              <w:bottom w:val="nil"/>
            </w:tcBorders>
            <w:hideMark/>
          </w:tcPr>
          <w:p w14:paraId="3D3177CF"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8,600</w:t>
            </w:r>
          </w:p>
        </w:tc>
        <w:tc>
          <w:tcPr>
            <w:tcW w:w="338" w:type="pct"/>
            <w:tcBorders>
              <w:bottom w:val="nil"/>
            </w:tcBorders>
            <w:hideMark/>
          </w:tcPr>
          <w:p w14:paraId="2DCE070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9,776</w:t>
            </w:r>
          </w:p>
        </w:tc>
        <w:tc>
          <w:tcPr>
            <w:tcW w:w="381" w:type="pct"/>
            <w:tcBorders>
              <w:bottom w:val="nil"/>
            </w:tcBorders>
            <w:noWrap/>
            <w:hideMark/>
          </w:tcPr>
          <w:p w14:paraId="53EFA427"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39%</w:t>
            </w:r>
          </w:p>
        </w:tc>
      </w:tr>
      <w:tr w:rsidR="00441F98" w:rsidRPr="00383A85" w14:paraId="32BBD56D" w14:textId="77777777" w:rsidTr="006C4E15">
        <w:trPr>
          <w:trHeight w:val="276"/>
        </w:trPr>
        <w:tc>
          <w:tcPr>
            <w:tcW w:w="856" w:type="pct"/>
            <w:vMerge/>
            <w:tcBorders>
              <w:bottom w:val="single" w:sz="4" w:space="0" w:color="auto"/>
            </w:tcBorders>
            <w:vAlign w:val="center"/>
            <w:hideMark/>
          </w:tcPr>
          <w:p w14:paraId="6811FA4A" w14:textId="77777777" w:rsidR="00441F98" w:rsidRPr="00383A85" w:rsidRDefault="00441F98" w:rsidP="00CE2FDF">
            <w:pPr>
              <w:spacing w:before="0" w:after="60" w:line="276" w:lineRule="auto"/>
              <w:rPr>
                <w:rFonts w:eastAsia="Times New Roman" w:cs="Arial"/>
                <w:b/>
                <w:color w:val="000000"/>
                <w:lang w:eastAsia="en-AU"/>
              </w:rPr>
            </w:pPr>
          </w:p>
        </w:tc>
        <w:tc>
          <w:tcPr>
            <w:tcW w:w="380" w:type="pct"/>
            <w:tcBorders>
              <w:top w:val="nil"/>
              <w:bottom w:val="single" w:sz="4" w:space="0" w:color="auto"/>
            </w:tcBorders>
            <w:hideMark/>
          </w:tcPr>
          <w:p w14:paraId="14BBE724"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(19%)</w:t>
            </w:r>
          </w:p>
        </w:tc>
        <w:tc>
          <w:tcPr>
            <w:tcW w:w="381" w:type="pct"/>
            <w:tcBorders>
              <w:top w:val="nil"/>
              <w:bottom w:val="single" w:sz="4" w:space="0" w:color="auto"/>
            </w:tcBorders>
            <w:hideMark/>
          </w:tcPr>
          <w:p w14:paraId="079F0608"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(20%)</w:t>
            </w:r>
          </w:p>
        </w:tc>
        <w:tc>
          <w:tcPr>
            <w:tcW w:w="380" w:type="pct"/>
            <w:tcBorders>
              <w:top w:val="nil"/>
              <w:bottom w:val="single" w:sz="4" w:space="0" w:color="auto"/>
            </w:tcBorders>
            <w:hideMark/>
          </w:tcPr>
          <w:p w14:paraId="7AB70BFD"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(20%)</w:t>
            </w:r>
          </w:p>
        </w:tc>
        <w:tc>
          <w:tcPr>
            <w:tcW w:w="381" w:type="pct"/>
            <w:tcBorders>
              <w:top w:val="nil"/>
              <w:bottom w:val="single" w:sz="4" w:space="0" w:color="auto"/>
            </w:tcBorders>
            <w:hideMark/>
          </w:tcPr>
          <w:p w14:paraId="5B53D3C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(19%)</w:t>
            </w:r>
          </w:p>
        </w:tc>
        <w:tc>
          <w:tcPr>
            <w:tcW w:w="381" w:type="pct"/>
            <w:tcBorders>
              <w:top w:val="nil"/>
              <w:bottom w:val="single" w:sz="4" w:space="0" w:color="auto"/>
            </w:tcBorders>
            <w:hideMark/>
          </w:tcPr>
          <w:p w14:paraId="39EF9437"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(18%)</w:t>
            </w:r>
          </w:p>
        </w:tc>
        <w:tc>
          <w:tcPr>
            <w:tcW w:w="380" w:type="pct"/>
            <w:tcBorders>
              <w:top w:val="nil"/>
              <w:bottom w:val="single" w:sz="4" w:space="0" w:color="auto"/>
            </w:tcBorders>
            <w:hideMark/>
          </w:tcPr>
          <w:p w14:paraId="3715DA8C"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(16%)</w:t>
            </w:r>
          </w:p>
        </w:tc>
        <w:tc>
          <w:tcPr>
            <w:tcW w:w="381" w:type="pct"/>
            <w:tcBorders>
              <w:top w:val="nil"/>
              <w:bottom w:val="single" w:sz="4" w:space="0" w:color="auto"/>
            </w:tcBorders>
            <w:hideMark/>
          </w:tcPr>
          <w:p w14:paraId="5C6DFB28"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(15%)</w:t>
            </w:r>
          </w:p>
        </w:tc>
        <w:tc>
          <w:tcPr>
            <w:tcW w:w="381" w:type="pct"/>
            <w:tcBorders>
              <w:top w:val="nil"/>
              <w:bottom w:val="single" w:sz="4" w:space="0" w:color="auto"/>
            </w:tcBorders>
            <w:hideMark/>
          </w:tcPr>
          <w:p w14:paraId="0249269F"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(14%)</w:t>
            </w:r>
          </w:p>
        </w:tc>
        <w:tc>
          <w:tcPr>
            <w:tcW w:w="380" w:type="pct"/>
            <w:tcBorders>
              <w:top w:val="nil"/>
              <w:bottom w:val="single" w:sz="4" w:space="0" w:color="auto"/>
            </w:tcBorders>
            <w:hideMark/>
          </w:tcPr>
          <w:p w14:paraId="4B5B4341"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(15%)</w:t>
            </w:r>
          </w:p>
        </w:tc>
        <w:tc>
          <w:tcPr>
            <w:tcW w:w="338" w:type="pct"/>
            <w:tcBorders>
              <w:top w:val="nil"/>
              <w:bottom w:val="single" w:sz="4" w:space="0" w:color="auto"/>
            </w:tcBorders>
            <w:hideMark/>
          </w:tcPr>
          <w:p w14:paraId="072FF5E0"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(14%)</w:t>
            </w:r>
          </w:p>
        </w:tc>
        <w:tc>
          <w:tcPr>
            <w:tcW w:w="381" w:type="pct"/>
            <w:tcBorders>
              <w:top w:val="nil"/>
              <w:bottom w:val="single" w:sz="4" w:space="0" w:color="auto"/>
            </w:tcBorders>
            <w:noWrap/>
            <w:hideMark/>
          </w:tcPr>
          <w:p w14:paraId="55F85403" w14:textId="77777777" w:rsidR="00441F98" w:rsidRPr="00F2448E" w:rsidRDefault="00441F98" w:rsidP="00CE2FDF">
            <w:pPr>
              <w:spacing w:before="0" w:after="60" w:line="276" w:lineRule="auto"/>
              <w:jc w:val="right"/>
              <w:rPr>
                <w:rFonts w:eastAsia="Times New Roman" w:cs="Arial"/>
                <w:lang w:eastAsia="en-AU"/>
              </w:rPr>
            </w:pPr>
          </w:p>
        </w:tc>
      </w:tr>
      <w:tr w:rsidR="00441F98" w:rsidRPr="00383A85" w14:paraId="02D48792" w14:textId="77777777" w:rsidTr="006C4E15">
        <w:trPr>
          <w:trHeight w:val="276"/>
        </w:trPr>
        <w:tc>
          <w:tcPr>
            <w:tcW w:w="856" w:type="pct"/>
            <w:vMerge w:val="restart"/>
            <w:shd w:val="clear" w:color="auto" w:fill="DBE5F1" w:themeFill="accent1" w:themeFillTint="33"/>
            <w:vAlign w:val="center"/>
            <w:hideMark/>
          </w:tcPr>
          <w:p w14:paraId="6AF7845F" w14:textId="77777777" w:rsidR="00441F98" w:rsidRPr="00383A85" w:rsidRDefault="00441F98" w:rsidP="00CE2FDF">
            <w:pPr>
              <w:spacing w:before="0" w:after="60" w:line="276" w:lineRule="auto"/>
              <w:rPr>
                <w:rFonts w:eastAsia="Times New Roman" w:cs="Arial"/>
                <w:b/>
                <w:bCs/>
                <w:color w:val="000000"/>
                <w:lang w:eastAsia="en-AU"/>
              </w:rPr>
            </w:pPr>
            <w:r>
              <w:rPr>
                <w:rFonts w:eastAsia="Times New Roman" w:cs="Arial"/>
                <w:b/>
                <w:bCs/>
                <w:color w:val="000000"/>
                <w:lang w:eastAsia="en-AU"/>
              </w:rPr>
              <w:t>Not substantiated</w:t>
            </w:r>
          </w:p>
        </w:tc>
        <w:tc>
          <w:tcPr>
            <w:tcW w:w="380" w:type="pct"/>
            <w:tcBorders>
              <w:bottom w:val="nil"/>
            </w:tcBorders>
            <w:shd w:val="clear" w:color="auto" w:fill="DBE5F1" w:themeFill="accent1" w:themeFillTint="33"/>
            <w:hideMark/>
          </w:tcPr>
          <w:p w14:paraId="349E1F2F"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4,724</w:t>
            </w:r>
          </w:p>
        </w:tc>
        <w:tc>
          <w:tcPr>
            <w:tcW w:w="381" w:type="pct"/>
            <w:tcBorders>
              <w:bottom w:val="nil"/>
            </w:tcBorders>
            <w:shd w:val="clear" w:color="auto" w:fill="DBE5F1" w:themeFill="accent1" w:themeFillTint="33"/>
            <w:hideMark/>
          </w:tcPr>
          <w:p w14:paraId="311F0C7E"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4,304</w:t>
            </w:r>
          </w:p>
        </w:tc>
        <w:tc>
          <w:tcPr>
            <w:tcW w:w="380" w:type="pct"/>
            <w:tcBorders>
              <w:bottom w:val="nil"/>
            </w:tcBorders>
            <w:shd w:val="clear" w:color="auto" w:fill="DBE5F1" w:themeFill="accent1" w:themeFillTint="33"/>
            <w:hideMark/>
          </w:tcPr>
          <w:p w14:paraId="0F2EFD04"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3,699</w:t>
            </w:r>
          </w:p>
        </w:tc>
        <w:tc>
          <w:tcPr>
            <w:tcW w:w="381" w:type="pct"/>
            <w:tcBorders>
              <w:bottom w:val="nil"/>
            </w:tcBorders>
            <w:shd w:val="clear" w:color="auto" w:fill="DBE5F1" w:themeFill="accent1" w:themeFillTint="33"/>
            <w:hideMark/>
          </w:tcPr>
          <w:p w14:paraId="18AD419F"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3,896</w:t>
            </w:r>
          </w:p>
        </w:tc>
        <w:tc>
          <w:tcPr>
            <w:tcW w:w="381" w:type="pct"/>
            <w:tcBorders>
              <w:bottom w:val="nil"/>
            </w:tcBorders>
            <w:shd w:val="clear" w:color="auto" w:fill="DBE5F1" w:themeFill="accent1" w:themeFillTint="33"/>
            <w:hideMark/>
          </w:tcPr>
          <w:p w14:paraId="49BB28F5"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3,876</w:t>
            </w:r>
          </w:p>
        </w:tc>
        <w:tc>
          <w:tcPr>
            <w:tcW w:w="380" w:type="pct"/>
            <w:tcBorders>
              <w:bottom w:val="nil"/>
            </w:tcBorders>
            <w:shd w:val="clear" w:color="auto" w:fill="DBE5F1" w:themeFill="accent1" w:themeFillTint="33"/>
            <w:hideMark/>
          </w:tcPr>
          <w:p w14:paraId="2C1F21B0"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4,316</w:t>
            </w:r>
          </w:p>
        </w:tc>
        <w:tc>
          <w:tcPr>
            <w:tcW w:w="381" w:type="pct"/>
            <w:tcBorders>
              <w:bottom w:val="nil"/>
            </w:tcBorders>
            <w:shd w:val="clear" w:color="auto" w:fill="DBE5F1" w:themeFill="accent1" w:themeFillTint="33"/>
            <w:hideMark/>
          </w:tcPr>
          <w:p w14:paraId="415C18E1"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4,721</w:t>
            </w:r>
          </w:p>
        </w:tc>
        <w:tc>
          <w:tcPr>
            <w:tcW w:w="381" w:type="pct"/>
            <w:tcBorders>
              <w:bottom w:val="nil"/>
            </w:tcBorders>
            <w:shd w:val="clear" w:color="auto" w:fill="DBE5F1" w:themeFill="accent1" w:themeFillTint="33"/>
            <w:hideMark/>
          </w:tcPr>
          <w:p w14:paraId="05335592"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6,313</w:t>
            </w:r>
          </w:p>
        </w:tc>
        <w:tc>
          <w:tcPr>
            <w:tcW w:w="380" w:type="pct"/>
            <w:tcBorders>
              <w:bottom w:val="nil"/>
            </w:tcBorders>
            <w:shd w:val="clear" w:color="auto" w:fill="DBE5F1" w:themeFill="accent1" w:themeFillTint="33"/>
            <w:hideMark/>
          </w:tcPr>
          <w:p w14:paraId="1D666FBF"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5,792</w:t>
            </w:r>
          </w:p>
        </w:tc>
        <w:tc>
          <w:tcPr>
            <w:tcW w:w="338" w:type="pct"/>
            <w:tcBorders>
              <w:bottom w:val="nil"/>
            </w:tcBorders>
            <w:shd w:val="clear" w:color="auto" w:fill="DBE5F1" w:themeFill="accent1" w:themeFillTint="33"/>
            <w:hideMark/>
          </w:tcPr>
          <w:p w14:paraId="7DD9C494"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6,545</w:t>
            </w:r>
          </w:p>
        </w:tc>
        <w:tc>
          <w:tcPr>
            <w:tcW w:w="381" w:type="pct"/>
            <w:tcBorders>
              <w:bottom w:val="nil"/>
            </w:tcBorders>
            <w:shd w:val="clear" w:color="auto" w:fill="DBE5F1" w:themeFill="accent1" w:themeFillTint="33"/>
            <w:noWrap/>
            <w:hideMark/>
          </w:tcPr>
          <w:p w14:paraId="26576BEF" w14:textId="77777777" w:rsidR="00441F98" w:rsidRPr="00F2448E" w:rsidRDefault="00441F98" w:rsidP="00CE2FDF">
            <w:pPr>
              <w:spacing w:before="0" w:after="60" w:line="276" w:lineRule="auto"/>
              <w:jc w:val="right"/>
              <w:rPr>
                <w:rFonts w:eastAsia="Times New Roman" w:cs="Arial"/>
                <w:lang w:eastAsia="en-AU"/>
              </w:rPr>
            </w:pPr>
            <w:r w:rsidRPr="00F2448E">
              <w:rPr>
                <w:rFonts w:eastAsia="Times New Roman" w:cs="Arial"/>
                <w:lang w:eastAsia="en-AU"/>
              </w:rPr>
              <w:t>39%</w:t>
            </w:r>
          </w:p>
        </w:tc>
      </w:tr>
      <w:tr w:rsidR="00441F98" w:rsidRPr="00383A85" w14:paraId="0FA0DD06" w14:textId="77777777" w:rsidTr="006C4E15">
        <w:trPr>
          <w:trHeight w:val="276"/>
        </w:trPr>
        <w:tc>
          <w:tcPr>
            <w:tcW w:w="856" w:type="pct"/>
            <w:vMerge/>
            <w:tcBorders>
              <w:bottom w:val="single" w:sz="4" w:space="0" w:color="auto"/>
            </w:tcBorders>
            <w:shd w:val="clear" w:color="auto" w:fill="DBE5F1" w:themeFill="accent1" w:themeFillTint="33"/>
            <w:hideMark/>
          </w:tcPr>
          <w:p w14:paraId="2E61940D" w14:textId="77777777" w:rsidR="00441F98" w:rsidRPr="00383A85" w:rsidRDefault="00441F98" w:rsidP="00CE2FDF">
            <w:pPr>
              <w:spacing w:before="0" w:after="60" w:line="276" w:lineRule="auto"/>
              <w:rPr>
                <w:rFonts w:eastAsia="Times New Roman" w:cs="Arial"/>
                <w:b/>
                <w:color w:val="000000"/>
                <w:lang w:eastAsia="en-AU"/>
              </w:rPr>
            </w:pPr>
          </w:p>
        </w:tc>
        <w:tc>
          <w:tcPr>
            <w:tcW w:w="380" w:type="pct"/>
            <w:tcBorders>
              <w:top w:val="nil"/>
              <w:bottom w:val="single" w:sz="4" w:space="0" w:color="auto"/>
            </w:tcBorders>
            <w:shd w:val="clear" w:color="auto" w:fill="DBE5F1" w:themeFill="accent1" w:themeFillTint="33"/>
            <w:hideMark/>
          </w:tcPr>
          <w:p w14:paraId="70799069"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(13%)</w:t>
            </w:r>
          </w:p>
        </w:tc>
        <w:tc>
          <w:tcPr>
            <w:tcW w:w="381" w:type="pct"/>
            <w:tcBorders>
              <w:top w:val="nil"/>
              <w:bottom w:val="single" w:sz="4" w:space="0" w:color="auto"/>
            </w:tcBorders>
            <w:shd w:val="clear" w:color="auto" w:fill="DBE5F1" w:themeFill="accent1" w:themeFillTint="33"/>
            <w:hideMark/>
          </w:tcPr>
          <w:p w14:paraId="02A60D40"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(11%)</w:t>
            </w:r>
          </w:p>
        </w:tc>
        <w:tc>
          <w:tcPr>
            <w:tcW w:w="380" w:type="pct"/>
            <w:tcBorders>
              <w:top w:val="nil"/>
              <w:bottom w:val="single" w:sz="4" w:space="0" w:color="auto"/>
            </w:tcBorders>
            <w:shd w:val="clear" w:color="auto" w:fill="DBE5F1" w:themeFill="accent1" w:themeFillTint="33"/>
            <w:hideMark/>
          </w:tcPr>
          <w:p w14:paraId="37570287"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w:t>
            </w:r>
          </w:p>
        </w:tc>
        <w:tc>
          <w:tcPr>
            <w:tcW w:w="381" w:type="pct"/>
            <w:tcBorders>
              <w:top w:val="nil"/>
              <w:bottom w:val="single" w:sz="4" w:space="0" w:color="auto"/>
            </w:tcBorders>
            <w:shd w:val="clear" w:color="auto" w:fill="DBE5F1" w:themeFill="accent1" w:themeFillTint="33"/>
            <w:hideMark/>
          </w:tcPr>
          <w:p w14:paraId="2008CA51"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w:t>
            </w:r>
          </w:p>
        </w:tc>
        <w:tc>
          <w:tcPr>
            <w:tcW w:w="381" w:type="pct"/>
            <w:tcBorders>
              <w:top w:val="nil"/>
              <w:bottom w:val="single" w:sz="4" w:space="0" w:color="auto"/>
            </w:tcBorders>
            <w:shd w:val="clear" w:color="auto" w:fill="DBE5F1" w:themeFill="accent1" w:themeFillTint="33"/>
            <w:hideMark/>
          </w:tcPr>
          <w:p w14:paraId="0C4644AB"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w:t>
            </w:r>
          </w:p>
        </w:tc>
        <w:tc>
          <w:tcPr>
            <w:tcW w:w="380" w:type="pct"/>
            <w:tcBorders>
              <w:top w:val="nil"/>
              <w:bottom w:val="single" w:sz="4" w:space="0" w:color="auto"/>
            </w:tcBorders>
            <w:shd w:val="clear" w:color="auto" w:fill="DBE5F1" w:themeFill="accent1" w:themeFillTint="33"/>
            <w:hideMark/>
          </w:tcPr>
          <w:p w14:paraId="7EC51348"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w:t>
            </w:r>
          </w:p>
        </w:tc>
        <w:tc>
          <w:tcPr>
            <w:tcW w:w="381" w:type="pct"/>
            <w:tcBorders>
              <w:top w:val="nil"/>
              <w:bottom w:val="single" w:sz="4" w:space="0" w:color="auto"/>
            </w:tcBorders>
            <w:shd w:val="clear" w:color="auto" w:fill="DBE5F1" w:themeFill="accent1" w:themeFillTint="33"/>
            <w:hideMark/>
          </w:tcPr>
          <w:p w14:paraId="6981B614"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(11%)</w:t>
            </w:r>
          </w:p>
        </w:tc>
        <w:tc>
          <w:tcPr>
            <w:tcW w:w="381" w:type="pct"/>
            <w:tcBorders>
              <w:top w:val="nil"/>
              <w:bottom w:val="single" w:sz="4" w:space="0" w:color="auto"/>
            </w:tcBorders>
            <w:shd w:val="clear" w:color="auto" w:fill="DBE5F1" w:themeFill="accent1" w:themeFillTint="33"/>
            <w:hideMark/>
          </w:tcPr>
          <w:p w14:paraId="30330019"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(12%)</w:t>
            </w:r>
          </w:p>
        </w:tc>
        <w:tc>
          <w:tcPr>
            <w:tcW w:w="380" w:type="pct"/>
            <w:tcBorders>
              <w:top w:val="nil"/>
              <w:bottom w:val="single" w:sz="4" w:space="0" w:color="auto"/>
            </w:tcBorders>
            <w:shd w:val="clear" w:color="auto" w:fill="DBE5F1" w:themeFill="accent1" w:themeFillTint="33"/>
            <w:hideMark/>
          </w:tcPr>
          <w:p w14:paraId="2F9788F6"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w:t>
            </w:r>
          </w:p>
        </w:tc>
        <w:tc>
          <w:tcPr>
            <w:tcW w:w="338" w:type="pct"/>
            <w:tcBorders>
              <w:top w:val="nil"/>
              <w:bottom w:val="single" w:sz="4" w:space="0" w:color="auto"/>
            </w:tcBorders>
            <w:shd w:val="clear" w:color="auto" w:fill="DBE5F1" w:themeFill="accent1" w:themeFillTint="33"/>
            <w:hideMark/>
          </w:tcPr>
          <w:p w14:paraId="636E22F3" w14:textId="77777777" w:rsidR="00441F98" w:rsidRPr="00383A85" w:rsidRDefault="00441F98" w:rsidP="00CE2FDF">
            <w:pPr>
              <w:spacing w:before="0" w:after="60" w:line="276" w:lineRule="auto"/>
              <w:jc w:val="right"/>
              <w:rPr>
                <w:rFonts w:eastAsia="Times New Roman" w:cs="Arial"/>
                <w:color w:val="000000"/>
                <w:lang w:eastAsia="en-AU"/>
              </w:rPr>
            </w:pPr>
            <w:r>
              <w:rPr>
                <w:rFonts w:eastAsia="Times New Roman" w:cs="Arial"/>
                <w:color w:val="000000"/>
                <w:lang w:eastAsia="en-AU"/>
              </w:rPr>
              <w:t>(10%)</w:t>
            </w:r>
          </w:p>
        </w:tc>
        <w:tc>
          <w:tcPr>
            <w:tcW w:w="381" w:type="pct"/>
            <w:tcBorders>
              <w:top w:val="nil"/>
              <w:bottom w:val="single" w:sz="4" w:space="0" w:color="auto"/>
            </w:tcBorders>
            <w:shd w:val="clear" w:color="auto" w:fill="DBE5F1" w:themeFill="accent1" w:themeFillTint="33"/>
            <w:noWrap/>
            <w:hideMark/>
          </w:tcPr>
          <w:p w14:paraId="133FBF76" w14:textId="77777777" w:rsidR="00441F98" w:rsidRPr="00F2448E" w:rsidRDefault="00441F98" w:rsidP="00CE2FDF">
            <w:pPr>
              <w:spacing w:before="0" w:after="60" w:line="276" w:lineRule="auto"/>
              <w:jc w:val="right"/>
              <w:rPr>
                <w:rFonts w:eastAsia="Times New Roman" w:cs="Arial"/>
                <w:lang w:eastAsia="en-AU"/>
              </w:rPr>
            </w:pPr>
          </w:p>
        </w:tc>
      </w:tr>
      <w:tr w:rsidR="00BD25B9" w:rsidRPr="00383A85" w14:paraId="1E29CDCE" w14:textId="77777777" w:rsidTr="006C4E15">
        <w:trPr>
          <w:trHeight w:val="276"/>
        </w:trPr>
        <w:tc>
          <w:tcPr>
            <w:tcW w:w="856" w:type="pct"/>
            <w:shd w:val="clear" w:color="auto" w:fill="B8CCE4" w:themeFill="accent1" w:themeFillTint="66"/>
            <w:noWrap/>
            <w:hideMark/>
          </w:tcPr>
          <w:p w14:paraId="294BE9C6" w14:textId="77777777" w:rsidR="00BD25B9" w:rsidRPr="00383A85" w:rsidRDefault="00441F98" w:rsidP="00CE2FDF">
            <w:pPr>
              <w:spacing w:before="0" w:after="60" w:line="276" w:lineRule="auto"/>
              <w:rPr>
                <w:rFonts w:eastAsia="Times New Roman" w:cs="Arial"/>
                <w:b/>
                <w:color w:val="000000"/>
                <w:lang w:eastAsia="en-AU"/>
              </w:rPr>
            </w:pPr>
            <w:r>
              <w:rPr>
                <w:rFonts w:eastAsia="Times New Roman" w:cs="Arial"/>
                <w:b/>
                <w:color w:val="000000"/>
                <w:lang w:eastAsia="en-AU"/>
              </w:rPr>
              <w:t>Total reports</w:t>
            </w:r>
          </w:p>
        </w:tc>
        <w:tc>
          <w:tcPr>
            <w:tcW w:w="380" w:type="pct"/>
            <w:shd w:val="clear" w:color="auto" w:fill="B8CCE4" w:themeFill="accent1" w:themeFillTint="66"/>
            <w:vAlign w:val="center"/>
            <w:hideMark/>
          </w:tcPr>
          <w:p w14:paraId="60542C6A" w14:textId="77777777" w:rsidR="00BD25B9" w:rsidRPr="00472921" w:rsidRDefault="00BD25B9" w:rsidP="00CE2FDF">
            <w:pPr>
              <w:spacing w:before="0" w:after="60" w:line="276" w:lineRule="auto"/>
              <w:jc w:val="right"/>
              <w:rPr>
                <w:lang w:eastAsia="en-AU"/>
              </w:rPr>
            </w:pPr>
            <w:r w:rsidRPr="00472921">
              <w:rPr>
                <w:lang w:eastAsia="en-AU"/>
              </w:rPr>
              <w:t>37,267</w:t>
            </w:r>
          </w:p>
        </w:tc>
        <w:tc>
          <w:tcPr>
            <w:tcW w:w="381" w:type="pct"/>
            <w:shd w:val="clear" w:color="auto" w:fill="B8CCE4" w:themeFill="accent1" w:themeFillTint="66"/>
            <w:vAlign w:val="center"/>
            <w:hideMark/>
          </w:tcPr>
          <w:p w14:paraId="1838D665" w14:textId="77777777" w:rsidR="00BD25B9" w:rsidRPr="00472921" w:rsidRDefault="00BD25B9" w:rsidP="00CE2FDF">
            <w:pPr>
              <w:spacing w:before="0" w:after="60" w:line="276" w:lineRule="auto"/>
              <w:jc w:val="right"/>
              <w:rPr>
                <w:lang w:eastAsia="en-AU"/>
              </w:rPr>
            </w:pPr>
            <w:r w:rsidRPr="00472921">
              <w:rPr>
                <w:lang w:eastAsia="en-AU"/>
              </w:rPr>
              <w:t>37,649</w:t>
            </w:r>
          </w:p>
        </w:tc>
        <w:tc>
          <w:tcPr>
            <w:tcW w:w="380" w:type="pct"/>
            <w:shd w:val="clear" w:color="auto" w:fill="B8CCE4" w:themeFill="accent1" w:themeFillTint="66"/>
            <w:vAlign w:val="center"/>
            <w:hideMark/>
          </w:tcPr>
          <w:p w14:paraId="5785AC25" w14:textId="77777777" w:rsidR="00BD25B9" w:rsidRPr="00BD25B9" w:rsidRDefault="00BD25B9" w:rsidP="00CE2FDF">
            <w:pPr>
              <w:spacing w:before="0" w:after="60" w:line="276" w:lineRule="auto"/>
              <w:jc w:val="right"/>
              <w:rPr>
                <w:lang w:eastAsia="en-AU"/>
              </w:rPr>
            </w:pPr>
            <w:r w:rsidRPr="00BD25B9">
              <w:rPr>
                <w:lang w:eastAsia="en-AU"/>
              </w:rPr>
              <w:t>36,657</w:t>
            </w:r>
          </w:p>
        </w:tc>
        <w:tc>
          <w:tcPr>
            <w:tcW w:w="381" w:type="pct"/>
            <w:shd w:val="clear" w:color="auto" w:fill="B8CCE4" w:themeFill="accent1" w:themeFillTint="66"/>
            <w:vAlign w:val="center"/>
            <w:hideMark/>
          </w:tcPr>
          <w:p w14:paraId="3E29DDE9" w14:textId="77777777" w:rsidR="00BD25B9" w:rsidRPr="00BD25B9" w:rsidRDefault="00BD25B9" w:rsidP="00CE2FDF">
            <w:pPr>
              <w:spacing w:before="0" w:after="60" w:line="276" w:lineRule="auto"/>
              <w:jc w:val="right"/>
              <w:rPr>
                <w:lang w:eastAsia="en-AU"/>
              </w:rPr>
            </w:pPr>
            <w:r w:rsidRPr="00BD25B9">
              <w:rPr>
                <w:lang w:eastAsia="en-AU"/>
              </w:rPr>
              <w:t>37,693</w:t>
            </w:r>
          </w:p>
        </w:tc>
        <w:tc>
          <w:tcPr>
            <w:tcW w:w="381" w:type="pct"/>
            <w:shd w:val="clear" w:color="auto" w:fill="B8CCE4" w:themeFill="accent1" w:themeFillTint="66"/>
            <w:vAlign w:val="center"/>
            <w:hideMark/>
          </w:tcPr>
          <w:p w14:paraId="6732FEA5" w14:textId="77777777" w:rsidR="00BD25B9" w:rsidRPr="00BD25B9" w:rsidRDefault="00BD25B9" w:rsidP="00CE2FDF">
            <w:pPr>
              <w:spacing w:before="0" w:after="60" w:line="276" w:lineRule="auto"/>
              <w:jc w:val="right"/>
              <w:rPr>
                <w:lang w:eastAsia="en-AU"/>
              </w:rPr>
            </w:pPr>
            <w:r w:rsidRPr="00BD25B9">
              <w:rPr>
                <w:lang w:eastAsia="en-AU"/>
              </w:rPr>
              <w:t>38,774</w:t>
            </w:r>
          </w:p>
        </w:tc>
        <w:tc>
          <w:tcPr>
            <w:tcW w:w="380" w:type="pct"/>
            <w:shd w:val="clear" w:color="auto" w:fill="B8CCE4" w:themeFill="accent1" w:themeFillTint="66"/>
            <w:vAlign w:val="center"/>
            <w:hideMark/>
          </w:tcPr>
          <w:p w14:paraId="2A5FF954" w14:textId="77777777" w:rsidR="00BD25B9" w:rsidRPr="00BD25B9" w:rsidRDefault="00BD25B9" w:rsidP="00CE2FDF">
            <w:pPr>
              <w:spacing w:before="0" w:after="60" w:line="276" w:lineRule="auto"/>
              <w:jc w:val="right"/>
              <w:rPr>
                <w:lang w:eastAsia="en-AU"/>
              </w:rPr>
            </w:pPr>
            <w:r w:rsidRPr="00BD25B9">
              <w:rPr>
                <w:lang w:eastAsia="en-AU"/>
              </w:rPr>
              <w:t>41,695</w:t>
            </w:r>
          </w:p>
        </w:tc>
        <w:tc>
          <w:tcPr>
            <w:tcW w:w="381" w:type="pct"/>
            <w:shd w:val="clear" w:color="auto" w:fill="B8CCE4" w:themeFill="accent1" w:themeFillTint="66"/>
            <w:vAlign w:val="center"/>
            <w:hideMark/>
          </w:tcPr>
          <w:p w14:paraId="3EECC8E2" w14:textId="77777777" w:rsidR="00BD25B9" w:rsidRPr="00BD25B9" w:rsidRDefault="00BD25B9" w:rsidP="00CE2FDF">
            <w:pPr>
              <w:spacing w:before="0" w:after="60" w:line="276" w:lineRule="auto"/>
              <w:jc w:val="right"/>
              <w:rPr>
                <w:lang w:eastAsia="en-AU"/>
              </w:rPr>
            </w:pPr>
            <w:r w:rsidRPr="00BD25B9">
              <w:rPr>
                <w:lang w:eastAsia="en-AU"/>
              </w:rPr>
              <w:t>44,770</w:t>
            </w:r>
          </w:p>
        </w:tc>
        <w:tc>
          <w:tcPr>
            <w:tcW w:w="381" w:type="pct"/>
            <w:shd w:val="clear" w:color="auto" w:fill="B8CCE4" w:themeFill="accent1" w:themeFillTint="66"/>
            <w:vAlign w:val="center"/>
            <w:hideMark/>
          </w:tcPr>
          <w:p w14:paraId="1CE356E0" w14:textId="77777777" w:rsidR="00BD25B9" w:rsidRPr="00BD25B9" w:rsidRDefault="00BD25B9" w:rsidP="00CE2FDF">
            <w:pPr>
              <w:spacing w:before="0" w:after="60" w:line="276" w:lineRule="auto"/>
              <w:jc w:val="right"/>
              <w:rPr>
                <w:lang w:eastAsia="en-AU"/>
              </w:rPr>
            </w:pPr>
            <w:r w:rsidRPr="00BD25B9">
              <w:rPr>
                <w:lang w:eastAsia="en-AU"/>
              </w:rPr>
              <w:t>52,035</w:t>
            </w:r>
          </w:p>
        </w:tc>
        <w:tc>
          <w:tcPr>
            <w:tcW w:w="380" w:type="pct"/>
            <w:shd w:val="clear" w:color="auto" w:fill="B8CCE4" w:themeFill="accent1" w:themeFillTint="66"/>
            <w:vAlign w:val="center"/>
            <w:hideMark/>
          </w:tcPr>
          <w:p w14:paraId="5888A1DF" w14:textId="77777777" w:rsidR="00BD25B9" w:rsidRPr="00BD25B9" w:rsidRDefault="00BD25B9" w:rsidP="00CE2FDF">
            <w:pPr>
              <w:spacing w:before="0" w:after="60" w:line="276" w:lineRule="auto"/>
              <w:jc w:val="right"/>
              <w:rPr>
                <w:lang w:eastAsia="en-AU"/>
              </w:rPr>
            </w:pPr>
            <w:r w:rsidRPr="00BD25B9">
              <w:rPr>
                <w:lang w:eastAsia="en-AU"/>
              </w:rPr>
              <w:t>58,932</w:t>
            </w:r>
          </w:p>
        </w:tc>
        <w:tc>
          <w:tcPr>
            <w:tcW w:w="338" w:type="pct"/>
            <w:shd w:val="clear" w:color="auto" w:fill="B8CCE4" w:themeFill="accent1" w:themeFillTint="66"/>
            <w:noWrap/>
            <w:vAlign w:val="center"/>
            <w:hideMark/>
          </w:tcPr>
          <w:p w14:paraId="0CB6C154" w14:textId="77777777" w:rsidR="00BD25B9" w:rsidRPr="00472921" w:rsidRDefault="00BD25B9" w:rsidP="00CE2FDF">
            <w:pPr>
              <w:spacing w:before="0" w:after="60" w:line="276" w:lineRule="auto"/>
              <w:jc w:val="right"/>
              <w:rPr>
                <w:lang w:eastAsia="en-AU"/>
              </w:rPr>
            </w:pPr>
            <w:r w:rsidRPr="00472921">
              <w:rPr>
                <w:lang w:eastAsia="en-AU"/>
              </w:rPr>
              <w:t>68,648</w:t>
            </w:r>
          </w:p>
        </w:tc>
        <w:tc>
          <w:tcPr>
            <w:tcW w:w="381" w:type="pct"/>
            <w:shd w:val="clear" w:color="auto" w:fill="B8CCE4" w:themeFill="accent1" w:themeFillTint="66"/>
            <w:noWrap/>
            <w:hideMark/>
          </w:tcPr>
          <w:p w14:paraId="5A237AC5" w14:textId="77777777" w:rsidR="00BD25B9" w:rsidRPr="00F2448E" w:rsidRDefault="00BD25B9" w:rsidP="00CE2FDF">
            <w:pPr>
              <w:spacing w:before="0" w:after="60" w:line="276" w:lineRule="auto"/>
              <w:jc w:val="right"/>
              <w:rPr>
                <w:rFonts w:eastAsia="Times New Roman" w:cs="Arial"/>
                <w:b/>
                <w:lang w:eastAsia="en-AU"/>
              </w:rPr>
            </w:pPr>
          </w:p>
        </w:tc>
      </w:tr>
    </w:tbl>
    <w:p w14:paraId="44C92370" w14:textId="77777777" w:rsidR="00441F98" w:rsidRPr="00893498" w:rsidRDefault="00441F98" w:rsidP="00B15586">
      <w:bookmarkStart w:id="95" w:name="_Toc382206796"/>
    </w:p>
    <w:p w14:paraId="73616417" w14:textId="77777777" w:rsidR="00893498" w:rsidRDefault="00893498" w:rsidP="00B15586">
      <w:pPr>
        <w:spacing w:after="200" w:line="276" w:lineRule="auto"/>
        <w:rPr>
          <w:b/>
          <w:i/>
          <w:sz w:val="24"/>
          <w:szCs w:val="24"/>
        </w:rPr>
      </w:pPr>
      <w:r>
        <w:rPr>
          <w:b/>
          <w:i/>
          <w:sz w:val="24"/>
          <w:szCs w:val="24"/>
        </w:rPr>
        <w:br w:type="page"/>
      </w:r>
    </w:p>
    <w:p w14:paraId="682F88EF" w14:textId="77777777" w:rsidR="00731080" w:rsidRDefault="00441F98" w:rsidP="00287177">
      <w:pPr>
        <w:pStyle w:val="Heading6"/>
      </w:pPr>
      <w:r w:rsidRPr="00287177">
        <w:lastRenderedPageBreak/>
        <w:t>Line graph for table 3.7: Number of distinct children in reports, by outcome of reports, by year</w:t>
      </w:r>
      <w:bookmarkEnd w:id="95"/>
    </w:p>
    <w:p w14:paraId="77DDD586" w14:textId="02A5221A" w:rsidR="00BF0D27" w:rsidRDefault="00731080" w:rsidP="00287177">
      <w:pPr>
        <w:pStyle w:val="Heading6"/>
      </w:pPr>
      <w:r w:rsidRPr="006B5899">
        <w:rPr>
          <w:noProof/>
          <w:lang w:eastAsia="en-AU"/>
        </w:rPr>
        <w:drawing>
          <wp:inline distT="0" distB="0" distL="0" distR="0" wp14:anchorId="25E9348E" wp14:editId="4C28D867">
            <wp:extent cx="8863330" cy="4422471"/>
            <wp:effectExtent l="0" t="0" r="13970" b="16510"/>
            <wp:docPr id="10" name="Chart 3" descr="Indicates that the number of distinct children in reports that were Not Investigated, Substantiated and Not-Substantiated has risen. Distinct children in Investigated reports have fallen." title="Line graph for tabl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4557FC7" w14:textId="77777777" w:rsidR="006B5899" w:rsidRDefault="006B5899" w:rsidP="00B15586"/>
    <w:p w14:paraId="6802D71D" w14:textId="75AA964C" w:rsidR="00441F98" w:rsidRDefault="00441F98" w:rsidP="0095311F">
      <w:pPr>
        <w:pStyle w:val="Figureheading"/>
      </w:pPr>
      <w:bookmarkStart w:id="96" w:name="_Toc382206798"/>
      <w:r>
        <w:lastRenderedPageBreak/>
        <w:t>3.8</w:t>
      </w:r>
      <w:r>
        <w:tab/>
        <w:t>Number of reports, and distinct children in reports, by outcome, by year</w:t>
      </w:r>
      <w:bookmarkEnd w:id="96"/>
    </w:p>
    <w:tbl>
      <w:tblPr>
        <w:tblStyle w:val="LightShading-Accent3"/>
        <w:tblW w:w="14394"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Number of reports, and distinct children in reports, by outcome, by year"/>
      </w:tblPr>
      <w:tblGrid>
        <w:gridCol w:w="993"/>
        <w:gridCol w:w="1340"/>
        <w:gridCol w:w="1340"/>
        <w:gridCol w:w="1340"/>
        <w:gridCol w:w="1340"/>
        <w:gridCol w:w="1340"/>
        <w:gridCol w:w="1340"/>
        <w:gridCol w:w="1340"/>
        <w:gridCol w:w="1340"/>
        <w:gridCol w:w="1340"/>
        <w:gridCol w:w="1341"/>
      </w:tblGrid>
      <w:tr w:rsidR="00F2448E" w:rsidRPr="00BF0D27" w14:paraId="7CCCC9E6" w14:textId="77777777" w:rsidTr="001143B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right w:val="single" w:sz="4" w:space="0" w:color="auto"/>
            </w:tcBorders>
            <w:shd w:val="clear" w:color="auto" w:fill="8DB3E2" w:themeFill="text2" w:themeFillTint="66"/>
            <w:vAlign w:val="center"/>
          </w:tcPr>
          <w:p w14:paraId="50036640" w14:textId="77777777" w:rsidR="00ED2BE2" w:rsidRPr="00BF0D27" w:rsidRDefault="00ED2BE2" w:rsidP="00CE2FDF">
            <w:pPr>
              <w:spacing w:before="0" w:after="60" w:line="276" w:lineRule="auto"/>
              <w:jc w:val="center"/>
              <w:rPr>
                <w:rFonts w:eastAsia="Times New Roman" w:cs="Arial"/>
                <w:bCs w:val="0"/>
                <w:color w:val="auto"/>
                <w:sz w:val="20"/>
                <w:szCs w:val="20"/>
                <w:lang w:eastAsia="en-AU"/>
              </w:rPr>
            </w:pPr>
          </w:p>
        </w:tc>
        <w:tc>
          <w:tcPr>
            <w:tcW w:w="268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D76829D" w14:textId="77777777" w:rsidR="00ED2BE2" w:rsidRPr="00BF0D27" w:rsidRDefault="00ED2BE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Not investigated</w:t>
            </w:r>
          </w:p>
        </w:tc>
        <w:tc>
          <w:tcPr>
            <w:tcW w:w="268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67D80F3" w14:textId="77777777" w:rsidR="00ED2BE2" w:rsidRPr="00BF0D27" w:rsidRDefault="00ED2BE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Investigated</w:t>
            </w:r>
          </w:p>
        </w:tc>
        <w:tc>
          <w:tcPr>
            <w:tcW w:w="268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7C8C1CC" w14:textId="77777777" w:rsidR="00ED2BE2" w:rsidRPr="00BF0D27" w:rsidRDefault="00ED2BE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Substantiated</w:t>
            </w:r>
          </w:p>
        </w:tc>
        <w:tc>
          <w:tcPr>
            <w:tcW w:w="268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BBF6894" w14:textId="77777777" w:rsidR="00ED2BE2" w:rsidRPr="00BF0D27" w:rsidRDefault="00ED2BE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Not substantiated</w:t>
            </w:r>
          </w:p>
        </w:tc>
        <w:tc>
          <w:tcPr>
            <w:tcW w:w="2681"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91BDBD2" w14:textId="77777777" w:rsidR="00ED2BE2" w:rsidRPr="00BF0D27" w:rsidRDefault="00ED2BE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Total</w:t>
            </w:r>
          </w:p>
        </w:tc>
      </w:tr>
      <w:tr w:rsidR="002418F8" w:rsidRPr="00441F98" w14:paraId="5C323E9A" w14:textId="77777777" w:rsidTr="007122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bottom w:val="single" w:sz="4" w:space="0" w:color="auto"/>
              <w:right w:val="single" w:sz="4" w:space="0" w:color="auto"/>
            </w:tcBorders>
            <w:shd w:val="clear" w:color="auto" w:fill="8DB3E2" w:themeFill="text2" w:themeFillTint="66"/>
            <w:vAlign w:val="center"/>
          </w:tcPr>
          <w:p w14:paraId="576A68C0" w14:textId="77777777" w:rsidR="00441F98" w:rsidRPr="00441F98" w:rsidRDefault="00441F98" w:rsidP="00CE2FDF">
            <w:pPr>
              <w:spacing w:before="0" w:after="60" w:line="276" w:lineRule="auto"/>
              <w:rPr>
                <w:rFonts w:eastAsia="Times New Roman" w:cs="Arial"/>
                <w:color w:val="auto"/>
                <w:sz w:val="20"/>
                <w:szCs w:val="20"/>
                <w:lang w:eastAsia="en-AU"/>
              </w:rPr>
            </w:pPr>
          </w:p>
        </w:tc>
        <w:tc>
          <w:tcPr>
            <w:tcW w:w="1340" w:type="dxa"/>
            <w:tcBorders>
              <w:top w:val="single" w:sz="4" w:space="0" w:color="auto"/>
              <w:left w:val="single" w:sz="4" w:space="0" w:color="auto"/>
              <w:bottom w:val="single" w:sz="4" w:space="0" w:color="auto"/>
            </w:tcBorders>
            <w:shd w:val="clear" w:color="auto" w:fill="8DB3E2" w:themeFill="text2" w:themeFillTint="66"/>
            <w:hideMark/>
          </w:tcPr>
          <w:p w14:paraId="284172AE"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40" w:type="dxa"/>
            <w:tcBorders>
              <w:top w:val="single" w:sz="4" w:space="0" w:color="auto"/>
              <w:bottom w:val="single" w:sz="4" w:space="0" w:color="auto"/>
              <w:right w:val="single" w:sz="4" w:space="0" w:color="auto"/>
            </w:tcBorders>
            <w:shd w:val="clear" w:color="auto" w:fill="8DB3E2" w:themeFill="text2" w:themeFillTint="66"/>
          </w:tcPr>
          <w:p w14:paraId="71D94A62"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c>
          <w:tcPr>
            <w:tcW w:w="1340" w:type="dxa"/>
            <w:tcBorders>
              <w:top w:val="single" w:sz="4" w:space="0" w:color="auto"/>
              <w:left w:val="single" w:sz="4" w:space="0" w:color="auto"/>
              <w:bottom w:val="single" w:sz="4" w:space="0" w:color="auto"/>
            </w:tcBorders>
            <w:shd w:val="clear" w:color="auto" w:fill="8DB3E2" w:themeFill="text2" w:themeFillTint="66"/>
          </w:tcPr>
          <w:p w14:paraId="38079540"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40" w:type="dxa"/>
            <w:tcBorders>
              <w:top w:val="single" w:sz="4" w:space="0" w:color="auto"/>
              <w:bottom w:val="single" w:sz="4" w:space="0" w:color="auto"/>
              <w:right w:val="single" w:sz="4" w:space="0" w:color="auto"/>
            </w:tcBorders>
            <w:shd w:val="clear" w:color="auto" w:fill="8DB3E2" w:themeFill="text2" w:themeFillTint="66"/>
          </w:tcPr>
          <w:p w14:paraId="15F597A3"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c>
          <w:tcPr>
            <w:tcW w:w="1340" w:type="dxa"/>
            <w:tcBorders>
              <w:top w:val="single" w:sz="4" w:space="0" w:color="auto"/>
              <w:left w:val="single" w:sz="4" w:space="0" w:color="auto"/>
              <w:bottom w:val="single" w:sz="4" w:space="0" w:color="auto"/>
            </w:tcBorders>
            <w:shd w:val="clear" w:color="auto" w:fill="8DB3E2" w:themeFill="text2" w:themeFillTint="66"/>
            <w:hideMark/>
          </w:tcPr>
          <w:p w14:paraId="09C70476"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40" w:type="dxa"/>
            <w:tcBorders>
              <w:top w:val="single" w:sz="4" w:space="0" w:color="auto"/>
              <w:bottom w:val="single" w:sz="4" w:space="0" w:color="auto"/>
              <w:right w:val="single" w:sz="4" w:space="0" w:color="auto"/>
            </w:tcBorders>
            <w:shd w:val="clear" w:color="auto" w:fill="8DB3E2" w:themeFill="text2" w:themeFillTint="66"/>
          </w:tcPr>
          <w:p w14:paraId="3302D7D8"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c>
          <w:tcPr>
            <w:tcW w:w="1340" w:type="dxa"/>
            <w:tcBorders>
              <w:top w:val="single" w:sz="4" w:space="0" w:color="auto"/>
              <w:left w:val="single" w:sz="4" w:space="0" w:color="auto"/>
              <w:bottom w:val="single" w:sz="4" w:space="0" w:color="auto"/>
            </w:tcBorders>
            <w:shd w:val="clear" w:color="auto" w:fill="8DB3E2" w:themeFill="text2" w:themeFillTint="66"/>
            <w:hideMark/>
          </w:tcPr>
          <w:p w14:paraId="0F1F3D0F"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40" w:type="dxa"/>
            <w:tcBorders>
              <w:top w:val="single" w:sz="4" w:space="0" w:color="auto"/>
              <w:bottom w:val="single" w:sz="4" w:space="0" w:color="auto"/>
              <w:right w:val="single" w:sz="4" w:space="0" w:color="auto"/>
            </w:tcBorders>
            <w:shd w:val="clear" w:color="auto" w:fill="8DB3E2" w:themeFill="text2" w:themeFillTint="66"/>
          </w:tcPr>
          <w:p w14:paraId="3C7615C8"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c>
          <w:tcPr>
            <w:tcW w:w="1340" w:type="dxa"/>
            <w:tcBorders>
              <w:top w:val="single" w:sz="4" w:space="0" w:color="auto"/>
              <w:left w:val="single" w:sz="4" w:space="0" w:color="auto"/>
              <w:bottom w:val="single" w:sz="4" w:space="0" w:color="auto"/>
            </w:tcBorders>
            <w:shd w:val="clear" w:color="auto" w:fill="8DB3E2" w:themeFill="text2" w:themeFillTint="66"/>
          </w:tcPr>
          <w:p w14:paraId="192E6F60"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41" w:type="dxa"/>
            <w:tcBorders>
              <w:top w:val="single" w:sz="4" w:space="0" w:color="auto"/>
              <w:bottom w:val="single" w:sz="4" w:space="0" w:color="auto"/>
              <w:right w:val="single" w:sz="4" w:space="0" w:color="auto"/>
            </w:tcBorders>
            <w:shd w:val="clear" w:color="auto" w:fill="8DB3E2" w:themeFill="text2" w:themeFillTint="66"/>
          </w:tcPr>
          <w:p w14:paraId="257387EC"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r>
      <w:tr w:rsidR="00441F98" w:rsidRPr="00BF0D27" w14:paraId="51B8D056"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right w:val="single" w:sz="4" w:space="0" w:color="auto"/>
            </w:tcBorders>
            <w:shd w:val="clear" w:color="auto" w:fill="auto"/>
          </w:tcPr>
          <w:p w14:paraId="0E9879EF"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2003</w:t>
            </w:r>
          </w:p>
        </w:tc>
        <w:tc>
          <w:tcPr>
            <w:tcW w:w="1340" w:type="dxa"/>
            <w:tcBorders>
              <w:top w:val="single" w:sz="4" w:space="0" w:color="auto"/>
              <w:left w:val="single" w:sz="4" w:space="0" w:color="auto"/>
            </w:tcBorders>
            <w:shd w:val="clear" w:color="auto" w:fill="auto"/>
            <w:noWrap/>
            <w:vAlign w:val="center"/>
            <w:hideMark/>
          </w:tcPr>
          <w:p w14:paraId="0A8A6D17"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24799</w:t>
            </w:r>
          </w:p>
        </w:tc>
        <w:tc>
          <w:tcPr>
            <w:tcW w:w="1340" w:type="dxa"/>
            <w:tcBorders>
              <w:top w:val="single" w:sz="4" w:space="0" w:color="auto"/>
              <w:right w:val="single" w:sz="4" w:space="0" w:color="auto"/>
            </w:tcBorders>
            <w:shd w:val="clear" w:color="auto" w:fill="auto"/>
            <w:vAlign w:val="center"/>
          </w:tcPr>
          <w:p w14:paraId="7B87C5B9"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19882</w:t>
            </w:r>
          </w:p>
        </w:tc>
        <w:tc>
          <w:tcPr>
            <w:tcW w:w="1340" w:type="dxa"/>
            <w:tcBorders>
              <w:top w:val="single" w:sz="4" w:space="0" w:color="auto"/>
              <w:left w:val="single" w:sz="4" w:space="0" w:color="auto"/>
            </w:tcBorders>
            <w:shd w:val="clear" w:color="auto" w:fill="auto"/>
            <w:vAlign w:val="center"/>
          </w:tcPr>
          <w:p w14:paraId="22B93728"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12468</w:t>
            </w:r>
          </w:p>
        </w:tc>
        <w:tc>
          <w:tcPr>
            <w:tcW w:w="1340" w:type="dxa"/>
            <w:tcBorders>
              <w:top w:val="single" w:sz="4" w:space="0" w:color="auto"/>
              <w:right w:val="single" w:sz="4" w:space="0" w:color="auto"/>
            </w:tcBorders>
            <w:shd w:val="clear" w:color="auto" w:fill="auto"/>
            <w:vAlign w:val="center"/>
          </w:tcPr>
          <w:p w14:paraId="3685B134"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11175</w:t>
            </w:r>
          </w:p>
        </w:tc>
        <w:tc>
          <w:tcPr>
            <w:tcW w:w="1340" w:type="dxa"/>
            <w:tcBorders>
              <w:top w:val="single" w:sz="4" w:space="0" w:color="auto"/>
              <w:left w:val="single" w:sz="4" w:space="0" w:color="auto"/>
            </w:tcBorders>
            <w:shd w:val="clear" w:color="auto" w:fill="auto"/>
            <w:noWrap/>
            <w:vAlign w:val="center"/>
            <w:hideMark/>
          </w:tcPr>
          <w:p w14:paraId="41EBF028"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7411</w:t>
            </w:r>
          </w:p>
        </w:tc>
        <w:tc>
          <w:tcPr>
            <w:tcW w:w="1340" w:type="dxa"/>
            <w:tcBorders>
              <w:top w:val="single" w:sz="4" w:space="0" w:color="auto"/>
              <w:right w:val="single" w:sz="4" w:space="0" w:color="auto"/>
            </w:tcBorders>
            <w:shd w:val="clear" w:color="auto" w:fill="auto"/>
            <w:vAlign w:val="center"/>
          </w:tcPr>
          <w:p w14:paraId="13690753"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7020</w:t>
            </w:r>
          </w:p>
        </w:tc>
        <w:tc>
          <w:tcPr>
            <w:tcW w:w="1340" w:type="dxa"/>
            <w:tcBorders>
              <w:top w:val="single" w:sz="4" w:space="0" w:color="auto"/>
              <w:left w:val="single" w:sz="4" w:space="0" w:color="auto"/>
            </w:tcBorders>
            <w:shd w:val="clear" w:color="auto" w:fill="auto"/>
            <w:noWrap/>
            <w:vAlign w:val="center"/>
            <w:hideMark/>
          </w:tcPr>
          <w:p w14:paraId="3F4AB7FF"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5057</w:t>
            </w:r>
          </w:p>
        </w:tc>
        <w:tc>
          <w:tcPr>
            <w:tcW w:w="1340" w:type="dxa"/>
            <w:tcBorders>
              <w:top w:val="single" w:sz="4" w:space="0" w:color="auto"/>
              <w:right w:val="single" w:sz="4" w:space="0" w:color="auto"/>
            </w:tcBorders>
            <w:shd w:val="clear" w:color="auto" w:fill="auto"/>
            <w:vAlign w:val="center"/>
          </w:tcPr>
          <w:p w14:paraId="308177FF"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4724</w:t>
            </w:r>
          </w:p>
        </w:tc>
        <w:tc>
          <w:tcPr>
            <w:tcW w:w="1340" w:type="dxa"/>
            <w:tcBorders>
              <w:top w:val="single" w:sz="4" w:space="0" w:color="auto"/>
              <w:left w:val="single" w:sz="4" w:space="0" w:color="auto"/>
            </w:tcBorders>
            <w:shd w:val="clear" w:color="auto" w:fill="auto"/>
            <w:vAlign w:val="center"/>
          </w:tcPr>
          <w:p w14:paraId="71E53A9D"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7B717D">
              <w:rPr>
                <w:b/>
                <w:color w:val="auto"/>
              </w:rPr>
              <w:t>37267</w:t>
            </w:r>
          </w:p>
        </w:tc>
        <w:tc>
          <w:tcPr>
            <w:tcW w:w="1341" w:type="dxa"/>
            <w:tcBorders>
              <w:top w:val="single" w:sz="4" w:space="0" w:color="auto"/>
            </w:tcBorders>
            <w:shd w:val="clear" w:color="auto" w:fill="auto"/>
            <w:vAlign w:val="center"/>
          </w:tcPr>
          <w:p w14:paraId="02069618"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7B717D">
              <w:rPr>
                <w:b/>
                <w:color w:val="auto"/>
              </w:rPr>
              <w:t>28028</w:t>
            </w:r>
          </w:p>
        </w:tc>
      </w:tr>
      <w:tr w:rsidR="00481618" w:rsidRPr="00BF0D27" w14:paraId="4FEDFEB3" w14:textId="77777777" w:rsidTr="0071223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shd w:val="clear" w:color="auto" w:fill="B8CCE4" w:themeFill="accent1" w:themeFillTint="66"/>
          </w:tcPr>
          <w:p w14:paraId="3A1D673C"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2004</w:t>
            </w:r>
          </w:p>
        </w:tc>
        <w:tc>
          <w:tcPr>
            <w:tcW w:w="1340" w:type="dxa"/>
            <w:tcBorders>
              <w:left w:val="single" w:sz="4" w:space="0" w:color="auto"/>
            </w:tcBorders>
            <w:shd w:val="clear" w:color="auto" w:fill="B8CCE4" w:themeFill="accent1" w:themeFillTint="66"/>
            <w:noWrap/>
            <w:vAlign w:val="center"/>
            <w:hideMark/>
          </w:tcPr>
          <w:p w14:paraId="150E3A2C"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25242</w:t>
            </w:r>
          </w:p>
        </w:tc>
        <w:tc>
          <w:tcPr>
            <w:tcW w:w="1340" w:type="dxa"/>
            <w:tcBorders>
              <w:right w:val="single" w:sz="4" w:space="0" w:color="auto"/>
            </w:tcBorders>
            <w:shd w:val="clear" w:color="auto" w:fill="B8CCE4" w:themeFill="accent1" w:themeFillTint="66"/>
            <w:vAlign w:val="center"/>
          </w:tcPr>
          <w:p w14:paraId="5DDA6780"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20366</w:t>
            </w:r>
          </w:p>
        </w:tc>
        <w:tc>
          <w:tcPr>
            <w:tcW w:w="1340" w:type="dxa"/>
            <w:tcBorders>
              <w:left w:val="single" w:sz="4" w:space="0" w:color="auto"/>
            </w:tcBorders>
            <w:shd w:val="clear" w:color="auto" w:fill="B8CCE4" w:themeFill="accent1" w:themeFillTint="66"/>
            <w:vAlign w:val="center"/>
          </w:tcPr>
          <w:p w14:paraId="1EC17836"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12407</w:t>
            </w:r>
          </w:p>
        </w:tc>
        <w:tc>
          <w:tcPr>
            <w:tcW w:w="1340" w:type="dxa"/>
            <w:tcBorders>
              <w:right w:val="single" w:sz="4" w:space="0" w:color="auto"/>
            </w:tcBorders>
            <w:shd w:val="clear" w:color="auto" w:fill="B8CCE4" w:themeFill="accent1" w:themeFillTint="66"/>
            <w:vAlign w:val="center"/>
          </w:tcPr>
          <w:p w14:paraId="7F2D79DE"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11354</w:t>
            </w:r>
          </w:p>
        </w:tc>
        <w:tc>
          <w:tcPr>
            <w:tcW w:w="1340" w:type="dxa"/>
            <w:tcBorders>
              <w:left w:val="single" w:sz="4" w:space="0" w:color="auto"/>
            </w:tcBorders>
            <w:shd w:val="clear" w:color="auto" w:fill="B8CCE4" w:themeFill="accent1" w:themeFillTint="66"/>
            <w:noWrap/>
            <w:vAlign w:val="center"/>
            <w:hideMark/>
          </w:tcPr>
          <w:p w14:paraId="0EA93A14"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7912</w:t>
            </w:r>
          </w:p>
        </w:tc>
        <w:tc>
          <w:tcPr>
            <w:tcW w:w="1340" w:type="dxa"/>
            <w:tcBorders>
              <w:right w:val="single" w:sz="4" w:space="0" w:color="auto"/>
            </w:tcBorders>
            <w:shd w:val="clear" w:color="auto" w:fill="B8CCE4" w:themeFill="accent1" w:themeFillTint="66"/>
            <w:vAlign w:val="center"/>
          </w:tcPr>
          <w:p w14:paraId="0D25D1A2"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7553</w:t>
            </w:r>
          </w:p>
        </w:tc>
        <w:tc>
          <w:tcPr>
            <w:tcW w:w="1340" w:type="dxa"/>
            <w:tcBorders>
              <w:left w:val="single" w:sz="4" w:space="0" w:color="auto"/>
            </w:tcBorders>
            <w:shd w:val="clear" w:color="auto" w:fill="B8CCE4" w:themeFill="accent1" w:themeFillTint="66"/>
            <w:noWrap/>
            <w:vAlign w:val="center"/>
            <w:hideMark/>
          </w:tcPr>
          <w:p w14:paraId="7EE7E873"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4495</w:t>
            </w:r>
          </w:p>
        </w:tc>
        <w:tc>
          <w:tcPr>
            <w:tcW w:w="1340" w:type="dxa"/>
            <w:tcBorders>
              <w:right w:val="single" w:sz="4" w:space="0" w:color="auto"/>
            </w:tcBorders>
            <w:shd w:val="clear" w:color="auto" w:fill="B8CCE4" w:themeFill="accent1" w:themeFillTint="66"/>
            <w:vAlign w:val="center"/>
          </w:tcPr>
          <w:p w14:paraId="21CD7140"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4304</w:t>
            </w:r>
          </w:p>
        </w:tc>
        <w:tc>
          <w:tcPr>
            <w:tcW w:w="1340" w:type="dxa"/>
            <w:tcBorders>
              <w:left w:val="single" w:sz="4" w:space="0" w:color="auto"/>
            </w:tcBorders>
            <w:shd w:val="clear" w:color="auto" w:fill="B8CCE4" w:themeFill="accent1" w:themeFillTint="66"/>
            <w:vAlign w:val="center"/>
          </w:tcPr>
          <w:p w14:paraId="617E6643"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rPr>
            </w:pPr>
            <w:r w:rsidRPr="007B717D">
              <w:rPr>
                <w:rFonts w:cs="Arial"/>
                <w:b/>
                <w:color w:val="auto"/>
              </w:rPr>
              <w:t>37649</w:t>
            </w:r>
          </w:p>
        </w:tc>
        <w:tc>
          <w:tcPr>
            <w:tcW w:w="1341" w:type="dxa"/>
            <w:tcBorders>
              <w:right w:val="single" w:sz="4" w:space="0" w:color="auto"/>
            </w:tcBorders>
            <w:shd w:val="clear" w:color="auto" w:fill="B8CCE4" w:themeFill="accent1" w:themeFillTint="66"/>
            <w:vAlign w:val="center"/>
          </w:tcPr>
          <w:p w14:paraId="4925F327"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rPr>
            </w:pPr>
            <w:r w:rsidRPr="007B717D">
              <w:rPr>
                <w:rFonts w:cs="Arial"/>
                <w:b/>
                <w:color w:val="auto"/>
              </w:rPr>
              <w:t>28461</w:t>
            </w:r>
          </w:p>
        </w:tc>
      </w:tr>
      <w:tr w:rsidR="00441F98" w:rsidRPr="00BF0D27" w14:paraId="367D530C"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shd w:val="clear" w:color="auto" w:fill="auto"/>
          </w:tcPr>
          <w:p w14:paraId="78510991"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2005</w:t>
            </w:r>
          </w:p>
        </w:tc>
        <w:tc>
          <w:tcPr>
            <w:tcW w:w="1340" w:type="dxa"/>
            <w:tcBorders>
              <w:left w:val="single" w:sz="4" w:space="0" w:color="auto"/>
            </w:tcBorders>
            <w:shd w:val="clear" w:color="auto" w:fill="auto"/>
            <w:noWrap/>
            <w:vAlign w:val="center"/>
            <w:hideMark/>
          </w:tcPr>
          <w:p w14:paraId="57E8F922"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25317</w:t>
            </w:r>
          </w:p>
        </w:tc>
        <w:tc>
          <w:tcPr>
            <w:tcW w:w="1340" w:type="dxa"/>
            <w:tcBorders>
              <w:right w:val="single" w:sz="4" w:space="0" w:color="auto"/>
            </w:tcBorders>
            <w:shd w:val="clear" w:color="auto" w:fill="auto"/>
            <w:vAlign w:val="center"/>
          </w:tcPr>
          <w:p w14:paraId="1FAA7820"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20522</w:t>
            </w:r>
          </w:p>
        </w:tc>
        <w:tc>
          <w:tcPr>
            <w:tcW w:w="1340" w:type="dxa"/>
            <w:tcBorders>
              <w:left w:val="single" w:sz="4" w:space="0" w:color="auto"/>
            </w:tcBorders>
            <w:shd w:val="clear" w:color="auto" w:fill="auto"/>
            <w:vAlign w:val="center"/>
          </w:tcPr>
          <w:p w14:paraId="69CF373E"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11340</w:t>
            </w:r>
          </w:p>
        </w:tc>
        <w:tc>
          <w:tcPr>
            <w:tcW w:w="1340" w:type="dxa"/>
            <w:tcBorders>
              <w:right w:val="single" w:sz="4" w:space="0" w:color="auto"/>
            </w:tcBorders>
            <w:shd w:val="clear" w:color="auto" w:fill="auto"/>
            <w:vAlign w:val="center"/>
          </w:tcPr>
          <w:p w14:paraId="4D873AA3"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10491</w:t>
            </w:r>
          </w:p>
        </w:tc>
        <w:tc>
          <w:tcPr>
            <w:tcW w:w="1340" w:type="dxa"/>
            <w:tcBorders>
              <w:left w:val="single" w:sz="4" w:space="0" w:color="auto"/>
            </w:tcBorders>
            <w:shd w:val="clear" w:color="auto" w:fill="auto"/>
            <w:noWrap/>
            <w:vAlign w:val="center"/>
            <w:hideMark/>
          </w:tcPr>
          <w:p w14:paraId="57E15562"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7504</w:t>
            </w:r>
          </w:p>
        </w:tc>
        <w:tc>
          <w:tcPr>
            <w:tcW w:w="1340" w:type="dxa"/>
            <w:tcBorders>
              <w:right w:val="single" w:sz="4" w:space="0" w:color="auto"/>
            </w:tcBorders>
            <w:shd w:val="clear" w:color="auto" w:fill="auto"/>
            <w:vAlign w:val="center"/>
          </w:tcPr>
          <w:p w14:paraId="7A956617"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7195</w:t>
            </w:r>
          </w:p>
        </w:tc>
        <w:tc>
          <w:tcPr>
            <w:tcW w:w="1340" w:type="dxa"/>
            <w:tcBorders>
              <w:left w:val="single" w:sz="4" w:space="0" w:color="auto"/>
            </w:tcBorders>
            <w:shd w:val="clear" w:color="auto" w:fill="auto"/>
            <w:noWrap/>
            <w:vAlign w:val="center"/>
            <w:hideMark/>
          </w:tcPr>
          <w:p w14:paraId="507A8A39"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3836</w:t>
            </w:r>
          </w:p>
        </w:tc>
        <w:tc>
          <w:tcPr>
            <w:tcW w:w="1340" w:type="dxa"/>
            <w:tcBorders>
              <w:right w:val="single" w:sz="4" w:space="0" w:color="auto"/>
            </w:tcBorders>
            <w:shd w:val="clear" w:color="auto" w:fill="auto"/>
            <w:vAlign w:val="center"/>
          </w:tcPr>
          <w:p w14:paraId="08158EF1"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3699</w:t>
            </w:r>
          </w:p>
        </w:tc>
        <w:tc>
          <w:tcPr>
            <w:tcW w:w="1340" w:type="dxa"/>
            <w:tcBorders>
              <w:left w:val="single" w:sz="4" w:space="0" w:color="auto"/>
            </w:tcBorders>
            <w:shd w:val="clear" w:color="auto" w:fill="auto"/>
            <w:vAlign w:val="center"/>
          </w:tcPr>
          <w:p w14:paraId="3E196C0C"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7B717D">
              <w:rPr>
                <w:b/>
                <w:color w:val="auto"/>
              </w:rPr>
              <w:t>36657</w:t>
            </w:r>
          </w:p>
        </w:tc>
        <w:tc>
          <w:tcPr>
            <w:tcW w:w="1341" w:type="dxa"/>
            <w:shd w:val="clear" w:color="auto" w:fill="auto"/>
            <w:vAlign w:val="center"/>
          </w:tcPr>
          <w:p w14:paraId="7052E08C"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7B717D">
              <w:rPr>
                <w:b/>
                <w:color w:val="auto"/>
              </w:rPr>
              <w:t>28240</w:t>
            </w:r>
          </w:p>
        </w:tc>
      </w:tr>
      <w:tr w:rsidR="00481618" w:rsidRPr="00BF0D27" w14:paraId="7805F674" w14:textId="77777777" w:rsidTr="0071223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shd w:val="clear" w:color="auto" w:fill="B8CCE4" w:themeFill="accent1" w:themeFillTint="66"/>
          </w:tcPr>
          <w:p w14:paraId="00E7B454"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2006</w:t>
            </w:r>
          </w:p>
        </w:tc>
        <w:tc>
          <w:tcPr>
            <w:tcW w:w="1340" w:type="dxa"/>
            <w:tcBorders>
              <w:left w:val="single" w:sz="4" w:space="0" w:color="auto"/>
            </w:tcBorders>
            <w:shd w:val="clear" w:color="auto" w:fill="B8CCE4" w:themeFill="accent1" w:themeFillTint="66"/>
            <w:noWrap/>
            <w:vAlign w:val="center"/>
            <w:hideMark/>
          </w:tcPr>
          <w:p w14:paraId="53FD9A22"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26176</w:t>
            </w:r>
          </w:p>
        </w:tc>
        <w:tc>
          <w:tcPr>
            <w:tcW w:w="1340" w:type="dxa"/>
            <w:tcBorders>
              <w:right w:val="single" w:sz="4" w:space="0" w:color="auto"/>
            </w:tcBorders>
            <w:shd w:val="clear" w:color="auto" w:fill="B8CCE4" w:themeFill="accent1" w:themeFillTint="66"/>
            <w:vAlign w:val="center"/>
          </w:tcPr>
          <w:p w14:paraId="430EFD38"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21499</w:t>
            </w:r>
          </w:p>
        </w:tc>
        <w:tc>
          <w:tcPr>
            <w:tcW w:w="1340" w:type="dxa"/>
            <w:tcBorders>
              <w:left w:val="single" w:sz="4" w:space="0" w:color="auto"/>
            </w:tcBorders>
            <w:shd w:val="clear" w:color="auto" w:fill="B8CCE4" w:themeFill="accent1" w:themeFillTint="66"/>
            <w:vAlign w:val="center"/>
          </w:tcPr>
          <w:p w14:paraId="31151DBE"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11517</w:t>
            </w:r>
          </w:p>
        </w:tc>
        <w:tc>
          <w:tcPr>
            <w:tcW w:w="1340" w:type="dxa"/>
            <w:tcBorders>
              <w:right w:val="single" w:sz="4" w:space="0" w:color="auto"/>
            </w:tcBorders>
            <w:shd w:val="clear" w:color="auto" w:fill="B8CCE4" w:themeFill="accent1" w:themeFillTint="66"/>
            <w:vAlign w:val="center"/>
          </w:tcPr>
          <w:p w14:paraId="1222D80B"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10764</w:t>
            </w:r>
          </w:p>
        </w:tc>
        <w:tc>
          <w:tcPr>
            <w:tcW w:w="1340" w:type="dxa"/>
            <w:tcBorders>
              <w:left w:val="single" w:sz="4" w:space="0" w:color="auto"/>
            </w:tcBorders>
            <w:shd w:val="clear" w:color="auto" w:fill="B8CCE4" w:themeFill="accent1" w:themeFillTint="66"/>
            <w:noWrap/>
            <w:vAlign w:val="center"/>
            <w:hideMark/>
          </w:tcPr>
          <w:p w14:paraId="5DC6E58D"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7488</w:t>
            </w:r>
          </w:p>
        </w:tc>
        <w:tc>
          <w:tcPr>
            <w:tcW w:w="1340" w:type="dxa"/>
            <w:tcBorders>
              <w:right w:val="single" w:sz="4" w:space="0" w:color="auto"/>
            </w:tcBorders>
            <w:shd w:val="clear" w:color="auto" w:fill="B8CCE4" w:themeFill="accent1" w:themeFillTint="66"/>
            <w:vAlign w:val="center"/>
          </w:tcPr>
          <w:p w14:paraId="32613DF8"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7208</w:t>
            </w:r>
          </w:p>
        </w:tc>
        <w:tc>
          <w:tcPr>
            <w:tcW w:w="1340" w:type="dxa"/>
            <w:tcBorders>
              <w:left w:val="single" w:sz="4" w:space="0" w:color="auto"/>
            </w:tcBorders>
            <w:shd w:val="clear" w:color="auto" w:fill="B8CCE4" w:themeFill="accent1" w:themeFillTint="66"/>
            <w:noWrap/>
            <w:vAlign w:val="center"/>
            <w:hideMark/>
          </w:tcPr>
          <w:p w14:paraId="57933493"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4029</w:t>
            </w:r>
          </w:p>
        </w:tc>
        <w:tc>
          <w:tcPr>
            <w:tcW w:w="1340" w:type="dxa"/>
            <w:tcBorders>
              <w:right w:val="single" w:sz="4" w:space="0" w:color="auto"/>
            </w:tcBorders>
            <w:shd w:val="clear" w:color="auto" w:fill="B8CCE4" w:themeFill="accent1" w:themeFillTint="66"/>
            <w:vAlign w:val="center"/>
          </w:tcPr>
          <w:p w14:paraId="4554D14E"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3896</w:t>
            </w:r>
          </w:p>
        </w:tc>
        <w:tc>
          <w:tcPr>
            <w:tcW w:w="1340" w:type="dxa"/>
            <w:tcBorders>
              <w:left w:val="single" w:sz="4" w:space="0" w:color="auto"/>
            </w:tcBorders>
            <w:shd w:val="clear" w:color="auto" w:fill="B8CCE4" w:themeFill="accent1" w:themeFillTint="66"/>
            <w:vAlign w:val="center"/>
          </w:tcPr>
          <w:p w14:paraId="61EE785F"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7B717D">
              <w:rPr>
                <w:b/>
                <w:color w:val="auto"/>
              </w:rPr>
              <w:t>37693</w:t>
            </w:r>
          </w:p>
        </w:tc>
        <w:tc>
          <w:tcPr>
            <w:tcW w:w="1341" w:type="dxa"/>
            <w:tcBorders>
              <w:right w:val="single" w:sz="4" w:space="0" w:color="auto"/>
            </w:tcBorders>
            <w:shd w:val="clear" w:color="auto" w:fill="B8CCE4" w:themeFill="accent1" w:themeFillTint="66"/>
            <w:vAlign w:val="center"/>
          </w:tcPr>
          <w:p w14:paraId="148CC8F4"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7B717D">
              <w:rPr>
                <w:b/>
                <w:color w:val="auto"/>
              </w:rPr>
              <w:t>29524</w:t>
            </w:r>
          </w:p>
        </w:tc>
      </w:tr>
      <w:tr w:rsidR="00441F98" w:rsidRPr="00BF0D27" w14:paraId="37005842"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shd w:val="clear" w:color="auto" w:fill="auto"/>
          </w:tcPr>
          <w:p w14:paraId="17CCBABA"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2007</w:t>
            </w:r>
          </w:p>
        </w:tc>
        <w:tc>
          <w:tcPr>
            <w:tcW w:w="1340" w:type="dxa"/>
            <w:tcBorders>
              <w:left w:val="single" w:sz="4" w:space="0" w:color="auto"/>
            </w:tcBorders>
            <w:shd w:val="clear" w:color="auto" w:fill="auto"/>
            <w:noWrap/>
            <w:vAlign w:val="center"/>
            <w:hideMark/>
          </w:tcPr>
          <w:p w14:paraId="24242B58"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27638</w:t>
            </w:r>
          </w:p>
        </w:tc>
        <w:tc>
          <w:tcPr>
            <w:tcW w:w="1340" w:type="dxa"/>
            <w:tcBorders>
              <w:right w:val="single" w:sz="4" w:space="0" w:color="auto"/>
            </w:tcBorders>
            <w:shd w:val="clear" w:color="auto" w:fill="auto"/>
            <w:vAlign w:val="center"/>
          </w:tcPr>
          <w:p w14:paraId="1A9F842C"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22737</w:t>
            </w:r>
          </w:p>
        </w:tc>
        <w:tc>
          <w:tcPr>
            <w:tcW w:w="1340" w:type="dxa"/>
            <w:tcBorders>
              <w:left w:val="single" w:sz="4" w:space="0" w:color="auto"/>
            </w:tcBorders>
            <w:shd w:val="clear" w:color="auto" w:fill="auto"/>
            <w:vAlign w:val="center"/>
          </w:tcPr>
          <w:p w14:paraId="749E3E1C"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11136</w:t>
            </w:r>
          </w:p>
        </w:tc>
        <w:tc>
          <w:tcPr>
            <w:tcW w:w="1340" w:type="dxa"/>
            <w:tcBorders>
              <w:right w:val="single" w:sz="4" w:space="0" w:color="auto"/>
            </w:tcBorders>
            <w:shd w:val="clear" w:color="auto" w:fill="auto"/>
            <w:vAlign w:val="center"/>
          </w:tcPr>
          <w:p w14:paraId="75C1A5DD"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10472</w:t>
            </w:r>
          </w:p>
        </w:tc>
        <w:tc>
          <w:tcPr>
            <w:tcW w:w="1340" w:type="dxa"/>
            <w:tcBorders>
              <w:left w:val="single" w:sz="4" w:space="0" w:color="auto"/>
            </w:tcBorders>
            <w:shd w:val="clear" w:color="auto" w:fill="auto"/>
            <w:noWrap/>
            <w:vAlign w:val="center"/>
            <w:hideMark/>
          </w:tcPr>
          <w:p w14:paraId="21050C7E"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7132</w:t>
            </w:r>
          </w:p>
        </w:tc>
        <w:tc>
          <w:tcPr>
            <w:tcW w:w="1340" w:type="dxa"/>
            <w:tcBorders>
              <w:right w:val="single" w:sz="4" w:space="0" w:color="auto"/>
            </w:tcBorders>
            <w:shd w:val="clear" w:color="auto" w:fill="auto"/>
            <w:vAlign w:val="center"/>
          </w:tcPr>
          <w:p w14:paraId="59BD0554"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6876</w:t>
            </w:r>
          </w:p>
        </w:tc>
        <w:tc>
          <w:tcPr>
            <w:tcW w:w="1340" w:type="dxa"/>
            <w:tcBorders>
              <w:left w:val="single" w:sz="4" w:space="0" w:color="auto"/>
            </w:tcBorders>
            <w:shd w:val="clear" w:color="auto" w:fill="auto"/>
            <w:noWrap/>
            <w:vAlign w:val="center"/>
            <w:hideMark/>
          </w:tcPr>
          <w:p w14:paraId="43825343"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4004</w:t>
            </w:r>
          </w:p>
        </w:tc>
        <w:tc>
          <w:tcPr>
            <w:tcW w:w="1340" w:type="dxa"/>
            <w:tcBorders>
              <w:right w:val="single" w:sz="4" w:space="0" w:color="auto"/>
            </w:tcBorders>
            <w:shd w:val="clear" w:color="auto" w:fill="auto"/>
            <w:vAlign w:val="center"/>
          </w:tcPr>
          <w:p w14:paraId="79C112D1"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3876</w:t>
            </w:r>
          </w:p>
        </w:tc>
        <w:tc>
          <w:tcPr>
            <w:tcW w:w="1340" w:type="dxa"/>
            <w:tcBorders>
              <w:left w:val="single" w:sz="4" w:space="0" w:color="auto"/>
            </w:tcBorders>
            <w:shd w:val="clear" w:color="auto" w:fill="auto"/>
            <w:vAlign w:val="center"/>
          </w:tcPr>
          <w:p w14:paraId="7EFBE830"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7B717D">
              <w:rPr>
                <w:b/>
                <w:color w:val="auto"/>
              </w:rPr>
              <w:t>38774</w:t>
            </w:r>
          </w:p>
        </w:tc>
        <w:tc>
          <w:tcPr>
            <w:tcW w:w="1341" w:type="dxa"/>
            <w:shd w:val="clear" w:color="auto" w:fill="auto"/>
            <w:vAlign w:val="center"/>
          </w:tcPr>
          <w:p w14:paraId="21077AD7"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7B717D">
              <w:rPr>
                <w:b/>
                <w:color w:val="auto"/>
              </w:rPr>
              <w:t>30392</w:t>
            </w:r>
          </w:p>
        </w:tc>
      </w:tr>
      <w:tr w:rsidR="00481618" w:rsidRPr="00BF0D27" w14:paraId="7A01B853" w14:textId="77777777" w:rsidTr="0071223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shd w:val="clear" w:color="auto" w:fill="B8CCE4" w:themeFill="accent1" w:themeFillTint="66"/>
          </w:tcPr>
          <w:p w14:paraId="2346A0C3"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2008</w:t>
            </w:r>
          </w:p>
        </w:tc>
        <w:tc>
          <w:tcPr>
            <w:tcW w:w="1340" w:type="dxa"/>
            <w:tcBorders>
              <w:left w:val="single" w:sz="4" w:space="0" w:color="auto"/>
            </w:tcBorders>
            <w:shd w:val="clear" w:color="auto" w:fill="B8CCE4" w:themeFill="accent1" w:themeFillTint="66"/>
            <w:noWrap/>
            <w:vAlign w:val="center"/>
            <w:hideMark/>
          </w:tcPr>
          <w:p w14:paraId="679228F0"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30229</w:t>
            </w:r>
          </w:p>
        </w:tc>
        <w:tc>
          <w:tcPr>
            <w:tcW w:w="1340" w:type="dxa"/>
            <w:tcBorders>
              <w:right w:val="single" w:sz="4" w:space="0" w:color="auto"/>
            </w:tcBorders>
            <w:shd w:val="clear" w:color="auto" w:fill="B8CCE4" w:themeFill="accent1" w:themeFillTint="66"/>
            <w:vAlign w:val="center"/>
          </w:tcPr>
          <w:p w14:paraId="6D395FB1"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24603</w:t>
            </w:r>
          </w:p>
        </w:tc>
        <w:tc>
          <w:tcPr>
            <w:tcW w:w="1340" w:type="dxa"/>
            <w:tcBorders>
              <w:left w:val="single" w:sz="4" w:space="0" w:color="auto"/>
            </w:tcBorders>
            <w:shd w:val="clear" w:color="auto" w:fill="B8CCE4" w:themeFill="accent1" w:themeFillTint="66"/>
            <w:vAlign w:val="center"/>
          </w:tcPr>
          <w:p w14:paraId="4D1907B4"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11466</w:t>
            </w:r>
          </w:p>
        </w:tc>
        <w:tc>
          <w:tcPr>
            <w:tcW w:w="1340" w:type="dxa"/>
            <w:tcBorders>
              <w:right w:val="single" w:sz="4" w:space="0" w:color="auto"/>
            </w:tcBorders>
            <w:shd w:val="clear" w:color="auto" w:fill="B8CCE4" w:themeFill="accent1" w:themeFillTint="66"/>
            <w:vAlign w:val="center"/>
          </w:tcPr>
          <w:p w14:paraId="54496EB7"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10841</w:t>
            </w:r>
          </w:p>
        </w:tc>
        <w:tc>
          <w:tcPr>
            <w:tcW w:w="1340" w:type="dxa"/>
            <w:tcBorders>
              <w:left w:val="single" w:sz="4" w:space="0" w:color="auto"/>
            </w:tcBorders>
            <w:shd w:val="clear" w:color="auto" w:fill="B8CCE4" w:themeFill="accent1" w:themeFillTint="66"/>
            <w:noWrap/>
            <w:vAlign w:val="center"/>
            <w:hideMark/>
          </w:tcPr>
          <w:p w14:paraId="202932A8"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7019</w:t>
            </w:r>
          </w:p>
        </w:tc>
        <w:tc>
          <w:tcPr>
            <w:tcW w:w="1340" w:type="dxa"/>
            <w:tcBorders>
              <w:right w:val="single" w:sz="4" w:space="0" w:color="auto"/>
            </w:tcBorders>
            <w:shd w:val="clear" w:color="auto" w:fill="B8CCE4" w:themeFill="accent1" w:themeFillTint="66"/>
            <w:vAlign w:val="center"/>
          </w:tcPr>
          <w:p w14:paraId="67891824"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6818</w:t>
            </w:r>
          </w:p>
        </w:tc>
        <w:tc>
          <w:tcPr>
            <w:tcW w:w="1340" w:type="dxa"/>
            <w:tcBorders>
              <w:left w:val="single" w:sz="4" w:space="0" w:color="auto"/>
            </w:tcBorders>
            <w:shd w:val="clear" w:color="auto" w:fill="B8CCE4" w:themeFill="accent1" w:themeFillTint="66"/>
            <w:noWrap/>
            <w:vAlign w:val="center"/>
            <w:hideMark/>
          </w:tcPr>
          <w:p w14:paraId="1170175D"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4447</w:t>
            </w:r>
          </w:p>
        </w:tc>
        <w:tc>
          <w:tcPr>
            <w:tcW w:w="1340" w:type="dxa"/>
            <w:tcBorders>
              <w:right w:val="single" w:sz="4" w:space="0" w:color="auto"/>
            </w:tcBorders>
            <w:shd w:val="clear" w:color="auto" w:fill="B8CCE4" w:themeFill="accent1" w:themeFillTint="66"/>
            <w:vAlign w:val="center"/>
          </w:tcPr>
          <w:p w14:paraId="143D0F0C"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4316</w:t>
            </w:r>
          </w:p>
        </w:tc>
        <w:tc>
          <w:tcPr>
            <w:tcW w:w="1340" w:type="dxa"/>
            <w:tcBorders>
              <w:left w:val="single" w:sz="4" w:space="0" w:color="auto"/>
            </w:tcBorders>
            <w:shd w:val="clear" w:color="auto" w:fill="B8CCE4" w:themeFill="accent1" w:themeFillTint="66"/>
            <w:vAlign w:val="center"/>
          </w:tcPr>
          <w:p w14:paraId="0577050C"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7B717D">
              <w:rPr>
                <w:b/>
                <w:color w:val="auto"/>
              </w:rPr>
              <w:t>41695</w:t>
            </w:r>
          </w:p>
        </w:tc>
        <w:tc>
          <w:tcPr>
            <w:tcW w:w="1341" w:type="dxa"/>
            <w:tcBorders>
              <w:right w:val="single" w:sz="4" w:space="0" w:color="auto"/>
            </w:tcBorders>
            <w:shd w:val="clear" w:color="auto" w:fill="B8CCE4" w:themeFill="accent1" w:themeFillTint="66"/>
            <w:vAlign w:val="center"/>
          </w:tcPr>
          <w:p w14:paraId="42094DFD"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7B717D">
              <w:rPr>
                <w:b/>
                <w:color w:val="auto"/>
              </w:rPr>
              <w:t>32424</w:t>
            </w:r>
          </w:p>
        </w:tc>
      </w:tr>
      <w:tr w:rsidR="00441F98" w:rsidRPr="00BF0D27" w14:paraId="5FC8AE1B"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shd w:val="clear" w:color="auto" w:fill="auto"/>
          </w:tcPr>
          <w:p w14:paraId="2F094B0E"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2009</w:t>
            </w:r>
          </w:p>
        </w:tc>
        <w:tc>
          <w:tcPr>
            <w:tcW w:w="1340" w:type="dxa"/>
            <w:tcBorders>
              <w:left w:val="single" w:sz="4" w:space="0" w:color="auto"/>
            </w:tcBorders>
            <w:shd w:val="clear" w:color="auto" w:fill="auto"/>
            <w:noWrap/>
            <w:vAlign w:val="center"/>
            <w:hideMark/>
          </w:tcPr>
          <w:p w14:paraId="12911827"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33101</w:t>
            </w:r>
          </w:p>
        </w:tc>
        <w:tc>
          <w:tcPr>
            <w:tcW w:w="1340" w:type="dxa"/>
            <w:tcBorders>
              <w:right w:val="single" w:sz="4" w:space="0" w:color="auto"/>
            </w:tcBorders>
            <w:shd w:val="clear" w:color="auto" w:fill="auto"/>
            <w:vAlign w:val="center"/>
          </w:tcPr>
          <w:p w14:paraId="63584F41"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26997</w:t>
            </w:r>
          </w:p>
        </w:tc>
        <w:tc>
          <w:tcPr>
            <w:tcW w:w="1340" w:type="dxa"/>
            <w:tcBorders>
              <w:left w:val="single" w:sz="4" w:space="0" w:color="auto"/>
            </w:tcBorders>
            <w:shd w:val="clear" w:color="auto" w:fill="auto"/>
            <w:vAlign w:val="center"/>
          </w:tcPr>
          <w:p w14:paraId="4DE56E91"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11669</w:t>
            </w:r>
          </w:p>
        </w:tc>
        <w:tc>
          <w:tcPr>
            <w:tcW w:w="1340" w:type="dxa"/>
            <w:tcBorders>
              <w:right w:val="single" w:sz="4" w:space="0" w:color="auto"/>
            </w:tcBorders>
            <w:shd w:val="clear" w:color="auto" w:fill="auto"/>
            <w:vAlign w:val="center"/>
          </w:tcPr>
          <w:p w14:paraId="75CF9779"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10945</w:t>
            </w:r>
          </w:p>
        </w:tc>
        <w:tc>
          <w:tcPr>
            <w:tcW w:w="1340" w:type="dxa"/>
            <w:tcBorders>
              <w:left w:val="single" w:sz="4" w:space="0" w:color="auto"/>
            </w:tcBorders>
            <w:shd w:val="clear" w:color="auto" w:fill="auto"/>
            <w:noWrap/>
            <w:vAlign w:val="center"/>
            <w:hideMark/>
          </w:tcPr>
          <w:p w14:paraId="37F30541"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6782</w:t>
            </w:r>
          </w:p>
        </w:tc>
        <w:tc>
          <w:tcPr>
            <w:tcW w:w="1340" w:type="dxa"/>
            <w:tcBorders>
              <w:right w:val="single" w:sz="4" w:space="0" w:color="auto"/>
            </w:tcBorders>
            <w:shd w:val="clear" w:color="auto" w:fill="auto"/>
            <w:vAlign w:val="center"/>
          </w:tcPr>
          <w:p w14:paraId="011D51AE"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6541</w:t>
            </w:r>
          </w:p>
        </w:tc>
        <w:tc>
          <w:tcPr>
            <w:tcW w:w="1340" w:type="dxa"/>
            <w:tcBorders>
              <w:left w:val="single" w:sz="4" w:space="0" w:color="auto"/>
            </w:tcBorders>
            <w:shd w:val="clear" w:color="auto" w:fill="auto"/>
            <w:noWrap/>
            <w:vAlign w:val="center"/>
            <w:hideMark/>
          </w:tcPr>
          <w:p w14:paraId="5CD32320"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4887</w:t>
            </w:r>
          </w:p>
        </w:tc>
        <w:tc>
          <w:tcPr>
            <w:tcW w:w="1340" w:type="dxa"/>
            <w:tcBorders>
              <w:right w:val="single" w:sz="4" w:space="0" w:color="auto"/>
            </w:tcBorders>
            <w:shd w:val="clear" w:color="auto" w:fill="auto"/>
            <w:vAlign w:val="center"/>
          </w:tcPr>
          <w:p w14:paraId="2AF77531"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7B717D">
              <w:rPr>
                <w:color w:val="auto"/>
              </w:rPr>
              <w:t>4721</w:t>
            </w:r>
          </w:p>
        </w:tc>
        <w:tc>
          <w:tcPr>
            <w:tcW w:w="1340" w:type="dxa"/>
            <w:tcBorders>
              <w:left w:val="single" w:sz="4" w:space="0" w:color="auto"/>
            </w:tcBorders>
            <w:shd w:val="clear" w:color="auto" w:fill="auto"/>
            <w:vAlign w:val="center"/>
          </w:tcPr>
          <w:p w14:paraId="7257B3B0"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7B717D">
              <w:rPr>
                <w:b/>
                <w:color w:val="auto"/>
              </w:rPr>
              <w:t>44770</w:t>
            </w:r>
          </w:p>
        </w:tc>
        <w:tc>
          <w:tcPr>
            <w:tcW w:w="1341" w:type="dxa"/>
            <w:shd w:val="clear" w:color="auto" w:fill="auto"/>
            <w:vAlign w:val="center"/>
          </w:tcPr>
          <w:p w14:paraId="29954D71"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b/>
                <w:color w:val="auto"/>
              </w:rPr>
            </w:pPr>
            <w:r w:rsidRPr="007B717D">
              <w:rPr>
                <w:b/>
                <w:color w:val="auto"/>
              </w:rPr>
              <w:t>34781</w:t>
            </w:r>
          </w:p>
        </w:tc>
      </w:tr>
      <w:tr w:rsidR="00481618" w:rsidRPr="00BF0D27" w14:paraId="6AF7D39C" w14:textId="77777777" w:rsidTr="0071223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shd w:val="clear" w:color="auto" w:fill="B8CCE4" w:themeFill="accent1" w:themeFillTint="66"/>
          </w:tcPr>
          <w:p w14:paraId="30CC3BA5"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2010</w:t>
            </w:r>
          </w:p>
        </w:tc>
        <w:tc>
          <w:tcPr>
            <w:tcW w:w="1340" w:type="dxa"/>
            <w:tcBorders>
              <w:left w:val="single" w:sz="4" w:space="0" w:color="auto"/>
            </w:tcBorders>
            <w:shd w:val="clear" w:color="auto" w:fill="B8CCE4" w:themeFill="accent1" w:themeFillTint="66"/>
            <w:noWrap/>
            <w:vAlign w:val="center"/>
            <w:hideMark/>
          </w:tcPr>
          <w:p w14:paraId="2618E9C2"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37775</w:t>
            </w:r>
          </w:p>
        </w:tc>
        <w:tc>
          <w:tcPr>
            <w:tcW w:w="1340" w:type="dxa"/>
            <w:tcBorders>
              <w:right w:val="single" w:sz="4" w:space="0" w:color="auto"/>
            </w:tcBorders>
            <w:shd w:val="clear" w:color="auto" w:fill="B8CCE4" w:themeFill="accent1" w:themeFillTint="66"/>
            <w:vAlign w:val="center"/>
          </w:tcPr>
          <w:p w14:paraId="24CC6F86"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29989</w:t>
            </w:r>
          </w:p>
        </w:tc>
        <w:tc>
          <w:tcPr>
            <w:tcW w:w="1340" w:type="dxa"/>
            <w:tcBorders>
              <w:left w:val="single" w:sz="4" w:space="0" w:color="auto"/>
            </w:tcBorders>
            <w:shd w:val="clear" w:color="auto" w:fill="B8CCE4" w:themeFill="accent1" w:themeFillTint="66"/>
            <w:vAlign w:val="center"/>
          </w:tcPr>
          <w:p w14:paraId="51DF3C6C"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14260</w:t>
            </w:r>
          </w:p>
        </w:tc>
        <w:tc>
          <w:tcPr>
            <w:tcW w:w="1340" w:type="dxa"/>
            <w:tcBorders>
              <w:right w:val="single" w:sz="4" w:space="0" w:color="auto"/>
            </w:tcBorders>
            <w:shd w:val="clear" w:color="auto" w:fill="B8CCE4" w:themeFill="accent1" w:themeFillTint="66"/>
            <w:vAlign w:val="center"/>
          </w:tcPr>
          <w:p w14:paraId="7C1DE5C7"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13306</w:t>
            </w:r>
          </w:p>
        </w:tc>
        <w:tc>
          <w:tcPr>
            <w:tcW w:w="1340" w:type="dxa"/>
            <w:tcBorders>
              <w:left w:val="single" w:sz="4" w:space="0" w:color="auto"/>
            </w:tcBorders>
            <w:shd w:val="clear" w:color="auto" w:fill="B8CCE4" w:themeFill="accent1" w:themeFillTint="66"/>
            <w:noWrap/>
            <w:vAlign w:val="center"/>
            <w:hideMark/>
          </w:tcPr>
          <w:p w14:paraId="22050EBD"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7686</w:t>
            </w:r>
          </w:p>
        </w:tc>
        <w:tc>
          <w:tcPr>
            <w:tcW w:w="1340" w:type="dxa"/>
            <w:tcBorders>
              <w:right w:val="single" w:sz="4" w:space="0" w:color="auto"/>
            </w:tcBorders>
            <w:shd w:val="clear" w:color="auto" w:fill="B8CCE4" w:themeFill="accent1" w:themeFillTint="66"/>
            <w:vAlign w:val="center"/>
          </w:tcPr>
          <w:p w14:paraId="37131D7C"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7401</w:t>
            </w:r>
          </w:p>
        </w:tc>
        <w:tc>
          <w:tcPr>
            <w:tcW w:w="1340" w:type="dxa"/>
            <w:tcBorders>
              <w:left w:val="single" w:sz="4" w:space="0" w:color="auto"/>
            </w:tcBorders>
            <w:shd w:val="clear" w:color="auto" w:fill="B8CCE4" w:themeFill="accent1" w:themeFillTint="66"/>
            <w:noWrap/>
            <w:vAlign w:val="center"/>
            <w:hideMark/>
          </w:tcPr>
          <w:p w14:paraId="735EFA0E"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6574</w:t>
            </w:r>
          </w:p>
        </w:tc>
        <w:tc>
          <w:tcPr>
            <w:tcW w:w="1340" w:type="dxa"/>
            <w:tcBorders>
              <w:right w:val="single" w:sz="4" w:space="0" w:color="auto"/>
            </w:tcBorders>
            <w:shd w:val="clear" w:color="auto" w:fill="B8CCE4" w:themeFill="accent1" w:themeFillTint="66"/>
            <w:vAlign w:val="center"/>
          </w:tcPr>
          <w:p w14:paraId="1DABED63"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sidRPr="007B717D">
              <w:rPr>
                <w:color w:val="auto"/>
              </w:rPr>
              <w:t>6313</w:t>
            </w:r>
          </w:p>
        </w:tc>
        <w:tc>
          <w:tcPr>
            <w:tcW w:w="1340" w:type="dxa"/>
            <w:tcBorders>
              <w:left w:val="single" w:sz="4" w:space="0" w:color="auto"/>
            </w:tcBorders>
            <w:shd w:val="clear" w:color="auto" w:fill="B8CCE4" w:themeFill="accent1" w:themeFillTint="66"/>
            <w:vAlign w:val="center"/>
          </w:tcPr>
          <w:p w14:paraId="67BEC402"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7B717D">
              <w:rPr>
                <w:b/>
                <w:color w:val="auto"/>
              </w:rPr>
              <w:t>52035</w:t>
            </w:r>
          </w:p>
        </w:tc>
        <w:tc>
          <w:tcPr>
            <w:tcW w:w="1341" w:type="dxa"/>
            <w:tcBorders>
              <w:right w:val="single" w:sz="4" w:space="0" w:color="auto"/>
            </w:tcBorders>
            <w:shd w:val="clear" w:color="auto" w:fill="B8CCE4" w:themeFill="accent1" w:themeFillTint="66"/>
            <w:vAlign w:val="center"/>
          </w:tcPr>
          <w:p w14:paraId="1C7260CA"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b/>
                <w:color w:val="auto"/>
              </w:rPr>
            </w:pPr>
            <w:r w:rsidRPr="007B717D">
              <w:rPr>
                <w:b/>
                <w:color w:val="auto"/>
              </w:rPr>
              <w:t>39689</w:t>
            </w:r>
          </w:p>
        </w:tc>
      </w:tr>
      <w:tr w:rsidR="00441F98" w:rsidRPr="00BF0D27" w14:paraId="718F9776"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4" w:space="0" w:color="auto"/>
            </w:tcBorders>
            <w:shd w:val="clear" w:color="auto" w:fill="auto"/>
          </w:tcPr>
          <w:p w14:paraId="407E0AA6"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2011</w:t>
            </w:r>
          </w:p>
        </w:tc>
        <w:tc>
          <w:tcPr>
            <w:tcW w:w="1340" w:type="dxa"/>
            <w:tcBorders>
              <w:left w:val="single" w:sz="4" w:space="0" w:color="auto"/>
              <w:bottom w:val="nil"/>
            </w:tcBorders>
            <w:shd w:val="clear" w:color="auto" w:fill="auto"/>
            <w:noWrap/>
            <w:vAlign w:val="center"/>
            <w:hideMark/>
          </w:tcPr>
          <w:p w14:paraId="3E6B4943"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rPr>
            </w:pPr>
            <w:r w:rsidRPr="007B717D">
              <w:rPr>
                <w:rFonts w:cs="Arial"/>
                <w:color w:val="auto"/>
              </w:rPr>
              <w:t>43939</w:t>
            </w:r>
          </w:p>
        </w:tc>
        <w:tc>
          <w:tcPr>
            <w:tcW w:w="1340" w:type="dxa"/>
            <w:tcBorders>
              <w:bottom w:val="nil"/>
              <w:right w:val="single" w:sz="4" w:space="0" w:color="auto"/>
            </w:tcBorders>
            <w:shd w:val="clear" w:color="auto" w:fill="auto"/>
            <w:vAlign w:val="center"/>
          </w:tcPr>
          <w:p w14:paraId="34E669B4"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rPr>
            </w:pPr>
            <w:r w:rsidRPr="007B717D">
              <w:rPr>
                <w:rFonts w:cs="Arial"/>
                <w:color w:val="auto"/>
              </w:rPr>
              <w:t>33861</w:t>
            </w:r>
          </w:p>
        </w:tc>
        <w:tc>
          <w:tcPr>
            <w:tcW w:w="1340" w:type="dxa"/>
            <w:tcBorders>
              <w:left w:val="single" w:sz="4" w:space="0" w:color="auto"/>
              <w:bottom w:val="nil"/>
            </w:tcBorders>
            <w:shd w:val="clear" w:color="auto" w:fill="auto"/>
            <w:vAlign w:val="center"/>
          </w:tcPr>
          <w:p w14:paraId="0671FA7B"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rPr>
            </w:pPr>
            <w:r w:rsidRPr="007B717D">
              <w:rPr>
                <w:rFonts w:cs="Arial"/>
                <w:color w:val="auto"/>
              </w:rPr>
              <w:t>14993</w:t>
            </w:r>
          </w:p>
        </w:tc>
        <w:tc>
          <w:tcPr>
            <w:tcW w:w="1340" w:type="dxa"/>
            <w:tcBorders>
              <w:bottom w:val="nil"/>
              <w:right w:val="single" w:sz="4" w:space="0" w:color="auto"/>
            </w:tcBorders>
            <w:shd w:val="clear" w:color="auto" w:fill="auto"/>
            <w:vAlign w:val="center"/>
          </w:tcPr>
          <w:p w14:paraId="5DA2FD39"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rPr>
            </w:pPr>
            <w:r w:rsidRPr="007B717D">
              <w:rPr>
                <w:rFonts w:cs="Arial"/>
                <w:color w:val="auto"/>
              </w:rPr>
              <w:t>13962</w:t>
            </w:r>
          </w:p>
        </w:tc>
        <w:tc>
          <w:tcPr>
            <w:tcW w:w="1340" w:type="dxa"/>
            <w:tcBorders>
              <w:left w:val="single" w:sz="4" w:space="0" w:color="auto"/>
              <w:bottom w:val="nil"/>
            </w:tcBorders>
            <w:shd w:val="clear" w:color="auto" w:fill="auto"/>
            <w:noWrap/>
            <w:vAlign w:val="center"/>
            <w:hideMark/>
          </w:tcPr>
          <w:p w14:paraId="50D96AEB"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rPr>
            </w:pPr>
            <w:r w:rsidRPr="007B717D">
              <w:rPr>
                <w:rFonts w:cs="Arial"/>
                <w:color w:val="auto"/>
              </w:rPr>
              <w:t>8936</w:t>
            </w:r>
          </w:p>
        </w:tc>
        <w:tc>
          <w:tcPr>
            <w:tcW w:w="1340" w:type="dxa"/>
            <w:tcBorders>
              <w:bottom w:val="nil"/>
              <w:right w:val="single" w:sz="4" w:space="0" w:color="auto"/>
            </w:tcBorders>
            <w:shd w:val="clear" w:color="auto" w:fill="auto"/>
            <w:vAlign w:val="center"/>
          </w:tcPr>
          <w:p w14:paraId="3FE792D6"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rPr>
            </w:pPr>
            <w:r w:rsidRPr="007B717D">
              <w:rPr>
                <w:rFonts w:cs="Arial"/>
                <w:color w:val="auto"/>
              </w:rPr>
              <w:t>8600</w:t>
            </w:r>
          </w:p>
        </w:tc>
        <w:tc>
          <w:tcPr>
            <w:tcW w:w="1340" w:type="dxa"/>
            <w:tcBorders>
              <w:left w:val="single" w:sz="4" w:space="0" w:color="auto"/>
              <w:bottom w:val="nil"/>
            </w:tcBorders>
            <w:shd w:val="clear" w:color="auto" w:fill="auto"/>
            <w:noWrap/>
            <w:vAlign w:val="center"/>
            <w:hideMark/>
          </w:tcPr>
          <w:p w14:paraId="31F8F0F0"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rPr>
            </w:pPr>
            <w:r w:rsidRPr="007B717D">
              <w:rPr>
                <w:rFonts w:cs="Arial"/>
                <w:color w:val="auto"/>
              </w:rPr>
              <w:t>6057</w:t>
            </w:r>
          </w:p>
        </w:tc>
        <w:tc>
          <w:tcPr>
            <w:tcW w:w="1340" w:type="dxa"/>
            <w:tcBorders>
              <w:bottom w:val="nil"/>
              <w:right w:val="single" w:sz="4" w:space="0" w:color="auto"/>
            </w:tcBorders>
            <w:shd w:val="clear" w:color="auto" w:fill="auto"/>
            <w:vAlign w:val="center"/>
          </w:tcPr>
          <w:p w14:paraId="363FEED2"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rPr>
            </w:pPr>
            <w:r w:rsidRPr="007B717D">
              <w:rPr>
                <w:rFonts w:cs="Arial"/>
                <w:color w:val="auto"/>
              </w:rPr>
              <w:t>5792</w:t>
            </w:r>
          </w:p>
        </w:tc>
        <w:tc>
          <w:tcPr>
            <w:tcW w:w="1340" w:type="dxa"/>
            <w:tcBorders>
              <w:left w:val="single" w:sz="4" w:space="0" w:color="auto"/>
              <w:bottom w:val="nil"/>
            </w:tcBorders>
            <w:shd w:val="clear" w:color="auto" w:fill="auto"/>
            <w:vAlign w:val="center"/>
          </w:tcPr>
          <w:p w14:paraId="4DB9BAA4"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rPr>
            </w:pPr>
            <w:r w:rsidRPr="007B717D">
              <w:rPr>
                <w:rFonts w:cs="Arial"/>
                <w:b/>
                <w:color w:val="auto"/>
              </w:rPr>
              <w:t>58932</w:t>
            </w:r>
          </w:p>
        </w:tc>
        <w:tc>
          <w:tcPr>
            <w:tcW w:w="1341" w:type="dxa"/>
            <w:tcBorders>
              <w:bottom w:val="nil"/>
            </w:tcBorders>
            <w:shd w:val="clear" w:color="auto" w:fill="auto"/>
            <w:vAlign w:val="center"/>
          </w:tcPr>
          <w:p w14:paraId="693A02F0"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rPr>
            </w:pPr>
            <w:r w:rsidRPr="007B717D">
              <w:rPr>
                <w:rFonts w:cs="Arial"/>
                <w:b/>
                <w:color w:val="auto"/>
              </w:rPr>
              <w:t>43478</w:t>
            </w:r>
          </w:p>
        </w:tc>
      </w:tr>
      <w:tr w:rsidR="002418F8" w:rsidRPr="00BF0D27" w14:paraId="5D60FD41" w14:textId="77777777" w:rsidTr="0071223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single" w:sz="4" w:space="0" w:color="auto"/>
              <w:right w:val="single" w:sz="4" w:space="0" w:color="auto"/>
            </w:tcBorders>
            <w:shd w:val="clear" w:color="auto" w:fill="B8CCE4" w:themeFill="accent1" w:themeFillTint="66"/>
          </w:tcPr>
          <w:p w14:paraId="2CB287C0" w14:textId="77777777" w:rsidR="007B717D" w:rsidRPr="00BF0D27" w:rsidRDefault="007B717D" w:rsidP="00CE2FDF">
            <w:pPr>
              <w:spacing w:before="0" w:after="60" w:line="276" w:lineRule="auto"/>
              <w:rPr>
                <w:rFonts w:cs="Arial"/>
                <w:b w:val="0"/>
                <w:bCs w:val="0"/>
                <w:color w:val="auto"/>
                <w:sz w:val="20"/>
                <w:szCs w:val="20"/>
              </w:rPr>
            </w:pPr>
            <w:r w:rsidRPr="00BF0D27">
              <w:rPr>
                <w:rFonts w:cs="Arial"/>
                <w:color w:val="auto"/>
                <w:sz w:val="20"/>
                <w:szCs w:val="20"/>
              </w:rPr>
              <w:t>2012</w:t>
            </w:r>
          </w:p>
        </w:tc>
        <w:tc>
          <w:tcPr>
            <w:tcW w:w="1340" w:type="dxa"/>
            <w:tcBorders>
              <w:top w:val="nil"/>
              <w:left w:val="single" w:sz="4" w:space="0" w:color="auto"/>
              <w:bottom w:val="single" w:sz="4" w:space="0" w:color="auto"/>
            </w:tcBorders>
            <w:shd w:val="clear" w:color="auto" w:fill="B8CCE4" w:themeFill="accent1" w:themeFillTint="66"/>
            <w:noWrap/>
            <w:vAlign w:val="center"/>
            <w:hideMark/>
          </w:tcPr>
          <w:p w14:paraId="580E8A38"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51588</w:t>
            </w:r>
          </w:p>
        </w:tc>
        <w:tc>
          <w:tcPr>
            <w:tcW w:w="1340" w:type="dxa"/>
            <w:tcBorders>
              <w:top w:val="nil"/>
              <w:bottom w:val="single" w:sz="4" w:space="0" w:color="auto"/>
              <w:right w:val="single" w:sz="4" w:space="0" w:color="auto"/>
            </w:tcBorders>
            <w:shd w:val="clear" w:color="auto" w:fill="B8CCE4" w:themeFill="accent1" w:themeFillTint="66"/>
            <w:vAlign w:val="center"/>
          </w:tcPr>
          <w:p w14:paraId="40D96C65"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39075</w:t>
            </w:r>
          </w:p>
        </w:tc>
        <w:tc>
          <w:tcPr>
            <w:tcW w:w="1340" w:type="dxa"/>
            <w:tcBorders>
              <w:top w:val="nil"/>
              <w:left w:val="single" w:sz="4" w:space="0" w:color="auto"/>
              <w:bottom w:val="single" w:sz="4" w:space="0" w:color="auto"/>
            </w:tcBorders>
            <w:shd w:val="clear" w:color="auto" w:fill="B8CCE4" w:themeFill="accent1" w:themeFillTint="66"/>
            <w:vAlign w:val="center"/>
          </w:tcPr>
          <w:p w14:paraId="702047AA"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17060</w:t>
            </w:r>
          </w:p>
        </w:tc>
        <w:tc>
          <w:tcPr>
            <w:tcW w:w="1340" w:type="dxa"/>
            <w:tcBorders>
              <w:top w:val="nil"/>
              <w:bottom w:val="single" w:sz="4" w:space="0" w:color="auto"/>
              <w:right w:val="single" w:sz="4" w:space="0" w:color="auto"/>
            </w:tcBorders>
            <w:shd w:val="clear" w:color="auto" w:fill="B8CCE4" w:themeFill="accent1" w:themeFillTint="66"/>
            <w:vAlign w:val="center"/>
          </w:tcPr>
          <w:p w14:paraId="216A30F5"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15795</w:t>
            </w:r>
          </w:p>
        </w:tc>
        <w:tc>
          <w:tcPr>
            <w:tcW w:w="1340" w:type="dxa"/>
            <w:tcBorders>
              <w:top w:val="nil"/>
              <w:left w:val="single" w:sz="4" w:space="0" w:color="auto"/>
              <w:bottom w:val="single" w:sz="4" w:space="0" w:color="auto"/>
            </w:tcBorders>
            <w:shd w:val="clear" w:color="auto" w:fill="B8CCE4" w:themeFill="accent1" w:themeFillTint="66"/>
            <w:noWrap/>
            <w:vAlign w:val="center"/>
            <w:hideMark/>
          </w:tcPr>
          <w:p w14:paraId="01E4E593"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10198</w:t>
            </w:r>
          </w:p>
        </w:tc>
        <w:tc>
          <w:tcPr>
            <w:tcW w:w="1340" w:type="dxa"/>
            <w:tcBorders>
              <w:top w:val="nil"/>
              <w:bottom w:val="single" w:sz="4" w:space="0" w:color="auto"/>
              <w:right w:val="single" w:sz="4" w:space="0" w:color="auto"/>
            </w:tcBorders>
            <w:shd w:val="clear" w:color="auto" w:fill="B8CCE4" w:themeFill="accent1" w:themeFillTint="66"/>
            <w:vAlign w:val="center"/>
          </w:tcPr>
          <w:p w14:paraId="4547DF37"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9776</w:t>
            </w:r>
          </w:p>
        </w:tc>
        <w:tc>
          <w:tcPr>
            <w:tcW w:w="1340" w:type="dxa"/>
            <w:tcBorders>
              <w:top w:val="nil"/>
              <w:left w:val="single" w:sz="4" w:space="0" w:color="auto"/>
              <w:bottom w:val="single" w:sz="4" w:space="0" w:color="auto"/>
            </w:tcBorders>
            <w:shd w:val="clear" w:color="auto" w:fill="B8CCE4" w:themeFill="accent1" w:themeFillTint="66"/>
            <w:noWrap/>
            <w:vAlign w:val="center"/>
            <w:hideMark/>
          </w:tcPr>
          <w:p w14:paraId="714B1E44"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6862</w:t>
            </w:r>
          </w:p>
        </w:tc>
        <w:tc>
          <w:tcPr>
            <w:tcW w:w="1340" w:type="dxa"/>
            <w:tcBorders>
              <w:top w:val="nil"/>
              <w:bottom w:val="single" w:sz="4" w:space="0" w:color="auto"/>
              <w:right w:val="single" w:sz="4" w:space="0" w:color="auto"/>
            </w:tcBorders>
            <w:shd w:val="clear" w:color="auto" w:fill="B8CCE4" w:themeFill="accent1" w:themeFillTint="66"/>
            <w:vAlign w:val="center"/>
          </w:tcPr>
          <w:p w14:paraId="69D50D03"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rPr>
            </w:pPr>
            <w:r w:rsidRPr="007B717D">
              <w:rPr>
                <w:rFonts w:cs="Arial"/>
                <w:color w:val="auto"/>
              </w:rPr>
              <w:t>6545</w:t>
            </w:r>
          </w:p>
        </w:tc>
        <w:tc>
          <w:tcPr>
            <w:tcW w:w="1340" w:type="dxa"/>
            <w:tcBorders>
              <w:top w:val="nil"/>
              <w:left w:val="single" w:sz="4" w:space="0" w:color="auto"/>
              <w:bottom w:val="single" w:sz="4" w:space="0" w:color="auto"/>
            </w:tcBorders>
            <w:shd w:val="clear" w:color="auto" w:fill="B8CCE4" w:themeFill="accent1" w:themeFillTint="66"/>
            <w:vAlign w:val="center"/>
          </w:tcPr>
          <w:p w14:paraId="2D61251A"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rPr>
            </w:pPr>
            <w:r w:rsidRPr="007B717D">
              <w:rPr>
                <w:rFonts w:cs="Arial"/>
                <w:b/>
                <w:color w:val="auto"/>
              </w:rPr>
              <w:t>68648</w:t>
            </w:r>
          </w:p>
        </w:tc>
        <w:tc>
          <w:tcPr>
            <w:tcW w:w="1341" w:type="dxa"/>
            <w:tcBorders>
              <w:top w:val="nil"/>
              <w:bottom w:val="single" w:sz="4" w:space="0" w:color="auto"/>
              <w:right w:val="single" w:sz="4" w:space="0" w:color="auto"/>
            </w:tcBorders>
            <w:shd w:val="clear" w:color="auto" w:fill="B8CCE4" w:themeFill="accent1" w:themeFillTint="66"/>
            <w:vAlign w:val="center"/>
          </w:tcPr>
          <w:p w14:paraId="02D91756" w14:textId="77777777" w:rsidR="007B717D" w:rsidRPr="007B717D" w:rsidRDefault="007B717D" w:rsidP="00CE2FDF">
            <w:pPr>
              <w:spacing w:before="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rPr>
            </w:pPr>
            <w:r w:rsidRPr="007B717D">
              <w:rPr>
                <w:rFonts w:cs="Arial"/>
                <w:b/>
                <w:color w:val="auto"/>
              </w:rPr>
              <w:t>49667</w:t>
            </w:r>
          </w:p>
        </w:tc>
      </w:tr>
      <w:tr w:rsidR="002418F8" w:rsidRPr="00ED2BE2" w14:paraId="25499688"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right w:val="single" w:sz="4" w:space="0" w:color="auto"/>
            </w:tcBorders>
            <w:shd w:val="clear" w:color="auto" w:fill="95B3D7" w:themeFill="accent1" w:themeFillTint="99"/>
          </w:tcPr>
          <w:p w14:paraId="6CE09D99" w14:textId="77777777" w:rsidR="007B717D" w:rsidRPr="00ED2BE2" w:rsidRDefault="007B717D" w:rsidP="00CE2FDF">
            <w:pPr>
              <w:spacing w:before="0" w:after="60" w:line="276" w:lineRule="auto"/>
              <w:rPr>
                <w:rFonts w:cs="Arial"/>
                <w:bCs w:val="0"/>
                <w:color w:val="auto"/>
                <w:sz w:val="20"/>
                <w:szCs w:val="20"/>
              </w:rPr>
            </w:pPr>
            <w:r w:rsidRPr="00ED2BE2">
              <w:rPr>
                <w:rFonts w:cs="Arial"/>
                <w:color w:val="auto"/>
                <w:sz w:val="20"/>
                <w:szCs w:val="20"/>
              </w:rPr>
              <w:t>Totals:</w:t>
            </w:r>
          </w:p>
        </w:tc>
        <w:tc>
          <w:tcPr>
            <w:tcW w:w="1340"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000AF883"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noProof/>
                <w:color w:val="auto"/>
              </w:rPr>
              <w:t>325804</w:t>
            </w:r>
          </w:p>
        </w:tc>
        <w:tc>
          <w:tcPr>
            <w:tcW w:w="1340" w:type="dxa"/>
            <w:tcBorders>
              <w:top w:val="single" w:sz="4" w:space="0" w:color="auto"/>
              <w:bottom w:val="single" w:sz="4" w:space="0" w:color="auto"/>
              <w:right w:val="single" w:sz="4" w:space="0" w:color="auto"/>
            </w:tcBorders>
            <w:shd w:val="clear" w:color="auto" w:fill="95B3D7" w:themeFill="accent1" w:themeFillTint="99"/>
            <w:vAlign w:val="center"/>
          </w:tcPr>
          <w:p w14:paraId="3FEC6BDE"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color w:val="auto"/>
              </w:rPr>
              <w:t>169356</w:t>
            </w:r>
          </w:p>
        </w:tc>
        <w:tc>
          <w:tcPr>
            <w:tcW w:w="1340" w:type="dxa"/>
            <w:tcBorders>
              <w:top w:val="single" w:sz="4" w:space="0" w:color="auto"/>
              <w:left w:val="single" w:sz="4" w:space="0" w:color="auto"/>
              <w:bottom w:val="single" w:sz="4" w:space="0" w:color="auto"/>
            </w:tcBorders>
            <w:shd w:val="clear" w:color="auto" w:fill="95B3D7" w:themeFill="accent1" w:themeFillTint="99"/>
            <w:vAlign w:val="center"/>
          </w:tcPr>
          <w:p w14:paraId="6BF2F8EA"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noProof/>
                <w:color w:val="auto"/>
              </w:rPr>
              <w:t>128316</w:t>
            </w:r>
          </w:p>
        </w:tc>
        <w:tc>
          <w:tcPr>
            <w:tcW w:w="1340" w:type="dxa"/>
            <w:tcBorders>
              <w:top w:val="single" w:sz="4" w:space="0" w:color="auto"/>
              <w:bottom w:val="single" w:sz="4" w:space="0" w:color="auto"/>
              <w:right w:val="single" w:sz="4" w:space="0" w:color="auto"/>
            </w:tcBorders>
            <w:shd w:val="clear" w:color="auto" w:fill="95B3D7" w:themeFill="accent1" w:themeFillTint="99"/>
            <w:vAlign w:val="center"/>
          </w:tcPr>
          <w:p w14:paraId="63442B9B"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color w:val="auto"/>
              </w:rPr>
              <w:t>82369</w:t>
            </w:r>
          </w:p>
        </w:tc>
        <w:tc>
          <w:tcPr>
            <w:tcW w:w="1340"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4949CA3A"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noProof/>
                <w:color w:val="auto"/>
              </w:rPr>
              <w:t>78068</w:t>
            </w:r>
          </w:p>
        </w:tc>
        <w:tc>
          <w:tcPr>
            <w:tcW w:w="1340" w:type="dxa"/>
            <w:tcBorders>
              <w:top w:val="single" w:sz="4" w:space="0" w:color="auto"/>
              <w:bottom w:val="single" w:sz="4" w:space="0" w:color="auto"/>
              <w:right w:val="single" w:sz="4" w:space="0" w:color="auto"/>
            </w:tcBorders>
            <w:shd w:val="clear" w:color="auto" w:fill="95B3D7" w:themeFill="accent1" w:themeFillTint="99"/>
            <w:vAlign w:val="center"/>
          </w:tcPr>
          <w:p w14:paraId="2EDFE2A5"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color w:val="auto"/>
              </w:rPr>
              <w:t>56667</w:t>
            </w:r>
          </w:p>
        </w:tc>
        <w:tc>
          <w:tcPr>
            <w:tcW w:w="1340"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5E06AA08"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noProof/>
                <w:color w:val="auto"/>
              </w:rPr>
              <w:t>50248</w:t>
            </w:r>
          </w:p>
        </w:tc>
        <w:tc>
          <w:tcPr>
            <w:tcW w:w="1340" w:type="dxa"/>
            <w:tcBorders>
              <w:top w:val="single" w:sz="4" w:space="0" w:color="auto"/>
              <w:bottom w:val="single" w:sz="4" w:space="0" w:color="auto"/>
              <w:right w:val="single" w:sz="4" w:space="0" w:color="auto"/>
            </w:tcBorders>
            <w:shd w:val="clear" w:color="auto" w:fill="95B3D7" w:themeFill="accent1" w:themeFillTint="99"/>
            <w:vAlign w:val="center"/>
          </w:tcPr>
          <w:p w14:paraId="40B5E9CB"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color w:val="auto"/>
              </w:rPr>
              <w:t>10580</w:t>
            </w:r>
          </w:p>
        </w:tc>
        <w:tc>
          <w:tcPr>
            <w:tcW w:w="1340" w:type="dxa"/>
            <w:tcBorders>
              <w:top w:val="single" w:sz="4" w:space="0" w:color="auto"/>
              <w:left w:val="single" w:sz="4" w:space="0" w:color="auto"/>
              <w:bottom w:val="single" w:sz="4" w:space="0" w:color="auto"/>
            </w:tcBorders>
            <w:shd w:val="clear" w:color="auto" w:fill="95B3D7" w:themeFill="accent1" w:themeFillTint="99"/>
            <w:vAlign w:val="center"/>
          </w:tcPr>
          <w:p w14:paraId="1DD6F860"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noProof/>
                <w:color w:val="auto"/>
              </w:rPr>
              <w:t>454120</w:t>
            </w:r>
          </w:p>
        </w:tc>
        <w:tc>
          <w:tcPr>
            <w:tcW w:w="1341" w:type="dxa"/>
            <w:tcBorders>
              <w:top w:val="single" w:sz="4" w:space="0" w:color="auto"/>
              <w:bottom w:val="single" w:sz="4" w:space="0" w:color="auto"/>
            </w:tcBorders>
            <w:shd w:val="clear" w:color="auto" w:fill="95B3D7" w:themeFill="accent1" w:themeFillTint="99"/>
            <w:vAlign w:val="center"/>
          </w:tcPr>
          <w:p w14:paraId="5B03365E" w14:textId="77777777" w:rsidR="007B717D" w:rsidRPr="007B717D" w:rsidRDefault="007B717D" w:rsidP="00CE2FDF">
            <w:pPr>
              <w:spacing w:before="0" w:line="276" w:lineRule="auto"/>
              <w:jc w:val="right"/>
              <w:cnfStyle w:val="000000000000" w:firstRow="0" w:lastRow="0" w:firstColumn="0" w:lastColumn="0" w:oddVBand="0" w:evenVBand="0" w:oddHBand="0" w:evenHBand="0" w:firstRowFirstColumn="0" w:firstRowLastColumn="0" w:lastRowFirstColumn="0" w:lastRowLastColumn="0"/>
              <w:rPr>
                <w:rFonts w:cs="Arial"/>
                <w:b/>
                <w:bCs/>
                <w:color w:val="auto"/>
              </w:rPr>
            </w:pPr>
            <w:r w:rsidRPr="007B717D">
              <w:rPr>
                <w:rFonts w:cs="Arial"/>
                <w:b/>
                <w:bCs/>
                <w:color w:val="auto"/>
              </w:rPr>
              <w:t>201406</w:t>
            </w:r>
          </w:p>
        </w:tc>
      </w:tr>
    </w:tbl>
    <w:p w14:paraId="1320A5D8" w14:textId="77777777" w:rsidR="00D5447C" w:rsidRDefault="00D5447C" w:rsidP="00B15586"/>
    <w:p w14:paraId="6686F90D" w14:textId="77777777" w:rsidR="00D5447C" w:rsidRDefault="00D5447C" w:rsidP="00B15586"/>
    <w:p w14:paraId="630D60A8" w14:textId="77777777" w:rsidR="00441F98" w:rsidRDefault="00441F98" w:rsidP="00B15586">
      <w:pPr>
        <w:spacing w:after="200" w:line="276" w:lineRule="auto"/>
        <w:rPr>
          <w:rFonts w:asciiTheme="majorHAnsi" w:eastAsiaTheme="majorEastAsia" w:hAnsiTheme="majorHAnsi" w:cstheme="majorBidi"/>
          <w:b/>
          <w:bCs/>
          <w:color w:val="17365D" w:themeColor="text2" w:themeShade="BF"/>
          <w:sz w:val="26"/>
          <w:szCs w:val="26"/>
        </w:rPr>
      </w:pPr>
      <w:r>
        <w:br w:type="page"/>
      </w:r>
    </w:p>
    <w:p w14:paraId="1341ED51" w14:textId="77777777" w:rsidR="00441F98" w:rsidRDefault="00441F98" w:rsidP="0095311F">
      <w:pPr>
        <w:pStyle w:val="Figureheading"/>
      </w:pPr>
      <w:r>
        <w:lastRenderedPageBreak/>
        <w:t>3.9</w:t>
      </w:r>
      <w:r>
        <w:tab/>
        <w:t>Number of reports of emotional abuse, and distinct children in reports, by outcome, by year</w:t>
      </w:r>
    </w:p>
    <w:tbl>
      <w:tblPr>
        <w:tblStyle w:val="LightShading-Accent3"/>
        <w:tblW w:w="14259" w:type="dxa"/>
        <w:tblInd w:w="-34" w:type="dxa"/>
        <w:tblLayout w:type="fixed"/>
        <w:tblLook w:val="04A0" w:firstRow="1" w:lastRow="0" w:firstColumn="1" w:lastColumn="0" w:noHBand="0" w:noVBand="1"/>
        <w:tblCaption w:val="Number of reports of emotional abuse, and distinct children in reports, by outcome, by year"/>
      </w:tblPr>
      <w:tblGrid>
        <w:gridCol w:w="993"/>
        <w:gridCol w:w="1326"/>
        <w:gridCol w:w="1327"/>
        <w:gridCol w:w="1326"/>
        <w:gridCol w:w="1327"/>
        <w:gridCol w:w="1327"/>
        <w:gridCol w:w="1326"/>
        <w:gridCol w:w="1327"/>
        <w:gridCol w:w="1326"/>
        <w:gridCol w:w="1327"/>
        <w:gridCol w:w="1327"/>
      </w:tblGrid>
      <w:tr w:rsidR="00491382" w:rsidRPr="00BF0D27" w14:paraId="225B062A" w14:textId="77777777" w:rsidTr="001143B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nil"/>
              <w:right w:val="single" w:sz="4" w:space="0" w:color="auto"/>
            </w:tcBorders>
            <w:shd w:val="clear" w:color="auto" w:fill="C2D69B" w:themeFill="accent3" w:themeFillTint="99"/>
            <w:vAlign w:val="center"/>
          </w:tcPr>
          <w:p w14:paraId="6339FF8F" w14:textId="77777777" w:rsidR="00D5447C" w:rsidRPr="00BF0D27" w:rsidRDefault="00D5447C" w:rsidP="00CE2FDF">
            <w:pPr>
              <w:spacing w:before="0" w:after="60" w:line="276" w:lineRule="auto"/>
              <w:jc w:val="center"/>
              <w:rPr>
                <w:rFonts w:eastAsia="Times New Roman" w:cs="Arial"/>
                <w:bCs w:val="0"/>
                <w:color w:val="auto"/>
                <w:sz w:val="20"/>
                <w:szCs w:val="20"/>
                <w:lang w:eastAsia="en-AU"/>
              </w:rPr>
            </w:pPr>
          </w:p>
        </w:tc>
        <w:tc>
          <w:tcPr>
            <w:tcW w:w="265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30E0790" w14:textId="77777777" w:rsidR="00491382" w:rsidRPr="00BF0D27" w:rsidRDefault="0049138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Not investigated</w:t>
            </w:r>
          </w:p>
        </w:tc>
        <w:tc>
          <w:tcPr>
            <w:tcW w:w="2653" w:type="dxa"/>
            <w:gridSpan w:val="2"/>
            <w:tcBorders>
              <w:top w:val="single" w:sz="4" w:space="0" w:color="auto"/>
              <w:bottom w:val="single" w:sz="4" w:space="0" w:color="auto"/>
            </w:tcBorders>
            <w:shd w:val="clear" w:color="auto" w:fill="C2D69B" w:themeFill="accent3" w:themeFillTint="99"/>
            <w:vAlign w:val="center"/>
          </w:tcPr>
          <w:p w14:paraId="0C44E766" w14:textId="77777777" w:rsidR="00491382" w:rsidRPr="00BF0D27" w:rsidRDefault="0049138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Investigated</w:t>
            </w:r>
          </w:p>
        </w:tc>
        <w:tc>
          <w:tcPr>
            <w:tcW w:w="265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6DDD7D" w14:textId="77777777" w:rsidR="00491382" w:rsidRPr="00BF0D27" w:rsidRDefault="0049138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Substantiated</w:t>
            </w:r>
          </w:p>
        </w:tc>
        <w:tc>
          <w:tcPr>
            <w:tcW w:w="265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3D6EF68" w14:textId="77777777" w:rsidR="00491382" w:rsidRPr="00BF0D27" w:rsidRDefault="0049138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Not substantiated</w:t>
            </w:r>
          </w:p>
        </w:tc>
        <w:tc>
          <w:tcPr>
            <w:tcW w:w="265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7AB514F" w14:textId="77777777" w:rsidR="00491382" w:rsidRPr="00BF0D27" w:rsidRDefault="00491382" w:rsidP="00CE2FDF">
            <w:pPr>
              <w:spacing w:before="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Total</w:t>
            </w:r>
          </w:p>
        </w:tc>
      </w:tr>
      <w:tr w:rsidR="002418F8" w:rsidRPr="00441F98" w14:paraId="7BD42EF9" w14:textId="77777777" w:rsidTr="00F244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single" w:sz="4" w:space="0" w:color="auto"/>
              <w:right w:val="single" w:sz="4" w:space="0" w:color="auto"/>
            </w:tcBorders>
            <w:shd w:val="clear" w:color="auto" w:fill="C2D69B" w:themeFill="accent3" w:themeFillTint="99"/>
            <w:vAlign w:val="center"/>
          </w:tcPr>
          <w:p w14:paraId="19083128" w14:textId="77777777" w:rsidR="00441F98" w:rsidRPr="00441F98" w:rsidRDefault="00441F98" w:rsidP="00CE2FDF">
            <w:pPr>
              <w:spacing w:before="0" w:after="60" w:line="276" w:lineRule="auto"/>
              <w:rPr>
                <w:rFonts w:eastAsia="Times New Roman" w:cs="Arial"/>
                <w:color w:val="auto"/>
                <w:sz w:val="20"/>
                <w:szCs w:val="20"/>
                <w:lang w:eastAsia="en-AU"/>
              </w:rPr>
            </w:pPr>
          </w:p>
        </w:tc>
        <w:tc>
          <w:tcPr>
            <w:tcW w:w="1326" w:type="dxa"/>
            <w:tcBorders>
              <w:top w:val="single" w:sz="4" w:space="0" w:color="auto"/>
              <w:left w:val="single" w:sz="4" w:space="0" w:color="auto"/>
              <w:bottom w:val="single" w:sz="4" w:space="0" w:color="auto"/>
            </w:tcBorders>
            <w:shd w:val="clear" w:color="auto" w:fill="C2D69B" w:themeFill="accent3" w:themeFillTint="99"/>
            <w:hideMark/>
          </w:tcPr>
          <w:p w14:paraId="6A529256"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27" w:type="dxa"/>
            <w:tcBorders>
              <w:top w:val="single" w:sz="4" w:space="0" w:color="auto"/>
              <w:bottom w:val="single" w:sz="4" w:space="0" w:color="auto"/>
              <w:right w:val="single" w:sz="4" w:space="0" w:color="auto"/>
            </w:tcBorders>
            <w:shd w:val="clear" w:color="auto" w:fill="C2D69B" w:themeFill="accent3" w:themeFillTint="99"/>
          </w:tcPr>
          <w:p w14:paraId="7CC4E007"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c>
          <w:tcPr>
            <w:tcW w:w="1326" w:type="dxa"/>
            <w:tcBorders>
              <w:top w:val="single" w:sz="4" w:space="0" w:color="auto"/>
              <w:bottom w:val="single" w:sz="4" w:space="0" w:color="auto"/>
            </w:tcBorders>
            <w:shd w:val="clear" w:color="auto" w:fill="C2D69B" w:themeFill="accent3" w:themeFillTint="99"/>
          </w:tcPr>
          <w:p w14:paraId="27D3773D"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27" w:type="dxa"/>
            <w:tcBorders>
              <w:top w:val="single" w:sz="4" w:space="0" w:color="auto"/>
              <w:bottom w:val="single" w:sz="4" w:space="0" w:color="auto"/>
            </w:tcBorders>
            <w:shd w:val="clear" w:color="auto" w:fill="C2D69B" w:themeFill="accent3" w:themeFillTint="99"/>
          </w:tcPr>
          <w:p w14:paraId="76921B06"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c>
          <w:tcPr>
            <w:tcW w:w="1327" w:type="dxa"/>
            <w:tcBorders>
              <w:top w:val="single" w:sz="4" w:space="0" w:color="auto"/>
              <w:left w:val="single" w:sz="4" w:space="0" w:color="auto"/>
              <w:bottom w:val="single" w:sz="4" w:space="0" w:color="auto"/>
            </w:tcBorders>
            <w:shd w:val="clear" w:color="auto" w:fill="C2D69B" w:themeFill="accent3" w:themeFillTint="99"/>
            <w:hideMark/>
          </w:tcPr>
          <w:p w14:paraId="5E23BA67"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26" w:type="dxa"/>
            <w:tcBorders>
              <w:top w:val="single" w:sz="4" w:space="0" w:color="auto"/>
              <w:bottom w:val="single" w:sz="4" w:space="0" w:color="auto"/>
              <w:right w:val="single" w:sz="4" w:space="0" w:color="auto"/>
            </w:tcBorders>
            <w:shd w:val="clear" w:color="auto" w:fill="C2D69B" w:themeFill="accent3" w:themeFillTint="99"/>
          </w:tcPr>
          <w:p w14:paraId="1BB2D9C3"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c>
          <w:tcPr>
            <w:tcW w:w="1327" w:type="dxa"/>
            <w:tcBorders>
              <w:top w:val="single" w:sz="4" w:space="0" w:color="auto"/>
              <w:left w:val="single" w:sz="4" w:space="0" w:color="auto"/>
              <w:bottom w:val="single" w:sz="4" w:space="0" w:color="auto"/>
            </w:tcBorders>
            <w:shd w:val="clear" w:color="auto" w:fill="C2D69B" w:themeFill="accent3" w:themeFillTint="99"/>
            <w:hideMark/>
          </w:tcPr>
          <w:p w14:paraId="3758C73C"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26" w:type="dxa"/>
            <w:tcBorders>
              <w:top w:val="single" w:sz="4" w:space="0" w:color="auto"/>
              <w:bottom w:val="single" w:sz="4" w:space="0" w:color="auto"/>
              <w:right w:val="single" w:sz="4" w:space="0" w:color="auto"/>
            </w:tcBorders>
            <w:shd w:val="clear" w:color="auto" w:fill="C2D69B" w:themeFill="accent3" w:themeFillTint="99"/>
          </w:tcPr>
          <w:p w14:paraId="63E027E1"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c>
          <w:tcPr>
            <w:tcW w:w="1327" w:type="dxa"/>
            <w:tcBorders>
              <w:top w:val="single" w:sz="4" w:space="0" w:color="auto"/>
              <w:left w:val="single" w:sz="4" w:space="0" w:color="auto"/>
              <w:bottom w:val="single" w:sz="4" w:space="0" w:color="auto"/>
            </w:tcBorders>
            <w:shd w:val="clear" w:color="auto" w:fill="C2D69B" w:themeFill="accent3" w:themeFillTint="99"/>
          </w:tcPr>
          <w:p w14:paraId="2966CFD6"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441F98">
              <w:rPr>
                <w:rFonts w:eastAsia="Times New Roman" w:cs="Arial"/>
                <w:b/>
                <w:color w:val="auto"/>
                <w:sz w:val="20"/>
                <w:szCs w:val="20"/>
                <w:lang w:eastAsia="en-AU"/>
              </w:rPr>
              <w:t>Reports</w:t>
            </w:r>
          </w:p>
        </w:tc>
        <w:tc>
          <w:tcPr>
            <w:tcW w:w="1327" w:type="dxa"/>
            <w:tcBorders>
              <w:top w:val="single" w:sz="4" w:space="0" w:color="auto"/>
              <w:bottom w:val="single" w:sz="4" w:space="0" w:color="auto"/>
              <w:right w:val="single" w:sz="4" w:space="0" w:color="auto"/>
            </w:tcBorders>
            <w:shd w:val="clear" w:color="auto" w:fill="C2D69B" w:themeFill="accent3" w:themeFillTint="99"/>
          </w:tcPr>
          <w:p w14:paraId="68400A33" w14:textId="77777777" w:rsidR="00441F98" w:rsidRPr="00441F98" w:rsidRDefault="00441F98"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sidRPr="00441F98">
              <w:rPr>
                <w:rFonts w:eastAsia="Times New Roman" w:cs="Arial"/>
                <w:b/>
                <w:bCs/>
                <w:color w:val="auto"/>
                <w:sz w:val="20"/>
                <w:szCs w:val="20"/>
                <w:lang w:eastAsia="en-AU"/>
              </w:rPr>
              <w:t>Children</w:t>
            </w:r>
          </w:p>
        </w:tc>
      </w:tr>
      <w:tr w:rsidR="00491382" w:rsidRPr="00BF0D27" w14:paraId="71771D31"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nil"/>
              <w:right w:val="single" w:sz="4" w:space="0" w:color="auto"/>
            </w:tcBorders>
          </w:tcPr>
          <w:p w14:paraId="161B0E9B"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2003</w:t>
            </w:r>
          </w:p>
        </w:tc>
        <w:tc>
          <w:tcPr>
            <w:tcW w:w="1326" w:type="dxa"/>
            <w:tcBorders>
              <w:top w:val="single" w:sz="4" w:space="0" w:color="auto"/>
              <w:left w:val="single" w:sz="4" w:space="0" w:color="auto"/>
              <w:bottom w:val="nil"/>
            </w:tcBorders>
            <w:noWrap/>
            <w:hideMark/>
          </w:tcPr>
          <w:p w14:paraId="270C056F"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w:t>
            </w:r>
            <w:r>
              <w:rPr>
                <w:rFonts w:eastAsia="Times New Roman" w:cs="Arial"/>
                <w:color w:val="auto"/>
                <w:sz w:val="20"/>
                <w:szCs w:val="20"/>
                <w:lang w:eastAsia="en-AU"/>
              </w:rPr>
              <w:t>,</w:t>
            </w:r>
            <w:r w:rsidRPr="00BF0D27">
              <w:rPr>
                <w:rFonts w:eastAsia="Times New Roman" w:cs="Arial"/>
                <w:color w:val="auto"/>
                <w:sz w:val="20"/>
                <w:szCs w:val="20"/>
                <w:lang w:eastAsia="en-AU"/>
              </w:rPr>
              <w:t>050</w:t>
            </w:r>
          </w:p>
        </w:tc>
        <w:tc>
          <w:tcPr>
            <w:tcW w:w="1327" w:type="dxa"/>
            <w:tcBorders>
              <w:top w:val="single" w:sz="4" w:space="0" w:color="auto"/>
              <w:bottom w:val="nil"/>
              <w:right w:val="single" w:sz="4" w:space="0" w:color="auto"/>
            </w:tcBorders>
          </w:tcPr>
          <w:p w14:paraId="133944D9"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304</w:t>
            </w:r>
          </w:p>
        </w:tc>
        <w:tc>
          <w:tcPr>
            <w:tcW w:w="1326" w:type="dxa"/>
            <w:tcBorders>
              <w:top w:val="single" w:sz="4" w:space="0" w:color="auto"/>
              <w:bottom w:val="nil"/>
            </w:tcBorders>
          </w:tcPr>
          <w:p w14:paraId="1713044A"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699</w:t>
            </w:r>
          </w:p>
        </w:tc>
        <w:tc>
          <w:tcPr>
            <w:tcW w:w="1327" w:type="dxa"/>
            <w:tcBorders>
              <w:top w:val="single" w:sz="4" w:space="0" w:color="auto"/>
              <w:bottom w:val="nil"/>
            </w:tcBorders>
          </w:tcPr>
          <w:p w14:paraId="4F983AFC"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465</w:t>
            </w:r>
          </w:p>
        </w:tc>
        <w:tc>
          <w:tcPr>
            <w:tcW w:w="1327" w:type="dxa"/>
            <w:tcBorders>
              <w:top w:val="single" w:sz="4" w:space="0" w:color="auto"/>
              <w:left w:val="single" w:sz="4" w:space="0" w:color="auto"/>
              <w:bottom w:val="nil"/>
            </w:tcBorders>
            <w:noWrap/>
            <w:hideMark/>
          </w:tcPr>
          <w:p w14:paraId="1E1BC6EA"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557</w:t>
            </w:r>
          </w:p>
        </w:tc>
        <w:tc>
          <w:tcPr>
            <w:tcW w:w="1326" w:type="dxa"/>
            <w:tcBorders>
              <w:top w:val="single" w:sz="4" w:space="0" w:color="auto"/>
              <w:bottom w:val="nil"/>
              <w:right w:val="single" w:sz="4" w:space="0" w:color="auto"/>
            </w:tcBorders>
          </w:tcPr>
          <w:p w14:paraId="2AAAD208"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473</w:t>
            </w:r>
          </w:p>
        </w:tc>
        <w:tc>
          <w:tcPr>
            <w:tcW w:w="1327" w:type="dxa"/>
            <w:tcBorders>
              <w:top w:val="single" w:sz="4" w:space="0" w:color="auto"/>
              <w:left w:val="single" w:sz="4" w:space="0" w:color="auto"/>
              <w:bottom w:val="nil"/>
              <w:right w:val="nil"/>
            </w:tcBorders>
            <w:noWrap/>
            <w:hideMark/>
          </w:tcPr>
          <w:p w14:paraId="76483A45"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142</w:t>
            </w:r>
          </w:p>
        </w:tc>
        <w:tc>
          <w:tcPr>
            <w:tcW w:w="1326" w:type="dxa"/>
            <w:tcBorders>
              <w:top w:val="single" w:sz="4" w:space="0" w:color="auto"/>
              <w:left w:val="nil"/>
              <w:bottom w:val="nil"/>
              <w:right w:val="single" w:sz="4" w:space="0" w:color="auto"/>
            </w:tcBorders>
          </w:tcPr>
          <w:p w14:paraId="4BF06034"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104</w:t>
            </w:r>
          </w:p>
        </w:tc>
        <w:tc>
          <w:tcPr>
            <w:tcW w:w="1327" w:type="dxa"/>
            <w:tcBorders>
              <w:top w:val="single" w:sz="4" w:space="0" w:color="auto"/>
              <w:left w:val="single" w:sz="4" w:space="0" w:color="auto"/>
              <w:bottom w:val="nil"/>
              <w:right w:val="nil"/>
            </w:tcBorders>
          </w:tcPr>
          <w:p w14:paraId="5FA77D89"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11</w:t>
            </w:r>
            <w:r>
              <w:rPr>
                <w:rFonts w:eastAsia="Times New Roman" w:cs="Arial"/>
                <w:b/>
                <w:color w:val="auto"/>
                <w:sz w:val="20"/>
                <w:szCs w:val="20"/>
                <w:lang w:eastAsia="en-AU"/>
              </w:rPr>
              <w:t>,</w:t>
            </w:r>
            <w:r w:rsidRPr="00BF0D27">
              <w:rPr>
                <w:rFonts w:eastAsia="Times New Roman" w:cs="Arial"/>
                <w:b/>
                <w:color w:val="auto"/>
                <w:sz w:val="20"/>
                <w:szCs w:val="20"/>
                <w:lang w:eastAsia="en-AU"/>
              </w:rPr>
              <w:t>749</w:t>
            </w:r>
          </w:p>
        </w:tc>
        <w:tc>
          <w:tcPr>
            <w:tcW w:w="1327" w:type="dxa"/>
            <w:tcBorders>
              <w:top w:val="single" w:sz="4" w:space="0" w:color="auto"/>
              <w:left w:val="nil"/>
              <w:bottom w:val="nil"/>
              <w:right w:val="single" w:sz="4" w:space="0" w:color="auto"/>
            </w:tcBorders>
          </w:tcPr>
          <w:p w14:paraId="3787D806"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10</w:t>
            </w:r>
            <w:r>
              <w:rPr>
                <w:rFonts w:eastAsia="Times New Roman" w:cs="Arial"/>
                <w:b/>
                <w:color w:val="auto"/>
                <w:sz w:val="20"/>
                <w:szCs w:val="20"/>
                <w:lang w:eastAsia="en-AU"/>
              </w:rPr>
              <w:t>,</w:t>
            </w:r>
            <w:r w:rsidRPr="00BF0D27">
              <w:rPr>
                <w:rFonts w:eastAsia="Times New Roman" w:cs="Arial"/>
                <w:b/>
                <w:color w:val="auto"/>
                <w:sz w:val="20"/>
                <w:szCs w:val="20"/>
                <w:lang w:eastAsia="en-AU"/>
              </w:rPr>
              <w:t>214</w:t>
            </w:r>
          </w:p>
        </w:tc>
      </w:tr>
      <w:tr w:rsidR="00441F98" w:rsidRPr="00BF0D27" w14:paraId="35FE96FA"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tcPr>
          <w:p w14:paraId="01A7D7CB"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2004</w:t>
            </w:r>
          </w:p>
        </w:tc>
        <w:tc>
          <w:tcPr>
            <w:tcW w:w="1326" w:type="dxa"/>
            <w:tcBorders>
              <w:top w:val="nil"/>
              <w:left w:val="single" w:sz="4" w:space="0" w:color="auto"/>
              <w:bottom w:val="nil"/>
            </w:tcBorders>
            <w:noWrap/>
            <w:hideMark/>
          </w:tcPr>
          <w:p w14:paraId="1F0E24F2"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709</w:t>
            </w:r>
          </w:p>
        </w:tc>
        <w:tc>
          <w:tcPr>
            <w:tcW w:w="1327" w:type="dxa"/>
            <w:tcBorders>
              <w:top w:val="nil"/>
              <w:bottom w:val="nil"/>
              <w:right w:val="single" w:sz="4" w:space="0" w:color="auto"/>
            </w:tcBorders>
          </w:tcPr>
          <w:p w14:paraId="7CAC131B"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053</w:t>
            </w:r>
          </w:p>
        </w:tc>
        <w:tc>
          <w:tcPr>
            <w:tcW w:w="1326" w:type="dxa"/>
            <w:tcBorders>
              <w:top w:val="nil"/>
              <w:bottom w:val="nil"/>
            </w:tcBorders>
          </w:tcPr>
          <w:p w14:paraId="7065EB2E"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909</w:t>
            </w:r>
          </w:p>
        </w:tc>
        <w:tc>
          <w:tcPr>
            <w:tcW w:w="1327" w:type="dxa"/>
            <w:tcBorders>
              <w:top w:val="nil"/>
              <w:bottom w:val="nil"/>
            </w:tcBorders>
          </w:tcPr>
          <w:p w14:paraId="10FC2964"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736</w:t>
            </w:r>
          </w:p>
        </w:tc>
        <w:tc>
          <w:tcPr>
            <w:tcW w:w="1327" w:type="dxa"/>
            <w:tcBorders>
              <w:top w:val="nil"/>
              <w:left w:val="single" w:sz="4" w:space="0" w:color="auto"/>
              <w:bottom w:val="nil"/>
            </w:tcBorders>
            <w:noWrap/>
            <w:hideMark/>
          </w:tcPr>
          <w:p w14:paraId="34CCA789"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821</w:t>
            </w:r>
          </w:p>
        </w:tc>
        <w:tc>
          <w:tcPr>
            <w:tcW w:w="1326" w:type="dxa"/>
            <w:tcBorders>
              <w:top w:val="nil"/>
              <w:bottom w:val="nil"/>
              <w:right w:val="single" w:sz="4" w:space="0" w:color="auto"/>
            </w:tcBorders>
          </w:tcPr>
          <w:p w14:paraId="2A44142E"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733</w:t>
            </w:r>
          </w:p>
        </w:tc>
        <w:tc>
          <w:tcPr>
            <w:tcW w:w="1327" w:type="dxa"/>
            <w:tcBorders>
              <w:top w:val="nil"/>
              <w:left w:val="single" w:sz="4" w:space="0" w:color="auto"/>
              <w:bottom w:val="nil"/>
            </w:tcBorders>
            <w:noWrap/>
            <w:hideMark/>
          </w:tcPr>
          <w:p w14:paraId="10C6E149"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088</w:t>
            </w:r>
          </w:p>
        </w:tc>
        <w:tc>
          <w:tcPr>
            <w:tcW w:w="1326" w:type="dxa"/>
            <w:tcBorders>
              <w:top w:val="nil"/>
              <w:bottom w:val="nil"/>
              <w:right w:val="single" w:sz="4" w:space="0" w:color="auto"/>
            </w:tcBorders>
          </w:tcPr>
          <w:p w14:paraId="38BD6651"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079</w:t>
            </w:r>
          </w:p>
        </w:tc>
        <w:tc>
          <w:tcPr>
            <w:tcW w:w="1327" w:type="dxa"/>
            <w:tcBorders>
              <w:top w:val="nil"/>
              <w:left w:val="single" w:sz="4" w:space="0" w:color="auto"/>
              <w:bottom w:val="nil"/>
            </w:tcBorders>
          </w:tcPr>
          <w:p w14:paraId="550AFF20"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11</w:t>
            </w:r>
            <w:r>
              <w:rPr>
                <w:rFonts w:eastAsia="Times New Roman" w:cs="Arial"/>
                <w:b/>
                <w:color w:val="auto"/>
                <w:sz w:val="20"/>
                <w:szCs w:val="20"/>
                <w:lang w:eastAsia="en-AU"/>
              </w:rPr>
              <w:t>,</w:t>
            </w:r>
            <w:r w:rsidRPr="00BF0D27">
              <w:rPr>
                <w:rFonts w:eastAsia="Times New Roman" w:cs="Arial"/>
                <w:b/>
                <w:color w:val="auto"/>
                <w:sz w:val="20"/>
                <w:szCs w:val="20"/>
                <w:lang w:eastAsia="en-AU"/>
              </w:rPr>
              <w:t>618</w:t>
            </w:r>
          </w:p>
        </w:tc>
        <w:tc>
          <w:tcPr>
            <w:tcW w:w="1327" w:type="dxa"/>
            <w:tcBorders>
              <w:top w:val="nil"/>
              <w:bottom w:val="nil"/>
              <w:right w:val="single" w:sz="4" w:space="0" w:color="auto"/>
            </w:tcBorders>
          </w:tcPr>
          <w:p w14:paraId="21EA5654"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10</w:t>
            </w:r>
            <w:r>
              <w:rPr>
                <w:rFonts w:eastAsia="Times New Roman" w:cs="Arial"/>
                <w:b/>
                <w:color w:val="auto"/>
                <w:sz w:val="20"/>
                <w:szCs w:val="20"/>
                <w:lang w:eastAsia="en-AU"/>
              </w:rPr>
              <w:t>,</w:t>
            </w:r>
            <w:r w:rsidRPr="00BF0D27">
              <w:rPr>
                <w:rFonts w:eastAsia="Times New Roman" w:cs="Arial"/>
                <w:b/>
                <w:color w:val="auto"/>
                <w:sz w:val="20"/>
                <w:szCs w:val="20"/>
                <w:lang w:eastAsia="en-AU"/>
              </w:rPr>
              <w:t>243</w:t>
            </w:r>
          </w:p>
        </w:tc>
      </w:tr>
      <w:tr w:rsidR="00441F98" w:rsidRPr="00BF0D27" w14:paraId="6AF8BE6D"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tcPr>
          <w:p w14:paraId="02F2D316"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2005</w:t>
            </w:r>
          </w:p>
        </w:tc>
        <w:tc>
          <w:tcPr>
            <w:tcW w:w="1326" w:type="dxa"/>
            <w:tcBorders>
              <w:top w:val="nil"/>
              <w:left w:val="single" w:sz="4" w:space="0" w:color="auto"/>
              <w:bottom w:val="nil"/>
            </w:tcBorders>
            <w:noWrap/>
            <w:hideMark/>
          </w:tcPr>
          <w:p w14:paraId="38989370"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w:t>
            </w:r>
            <w:r>
              <w:rPr>
                <w:rFonts w:eastAsia="Times New Roman" w:cs="Arial"/>
                <w:color w:val="auto"/>
                <w:sz w:val="20"/>
                <w:szCs w:val="20"/>
                <w:lang w:eastAsia="en-AU"/>
              </w:rPr>
              <w:t>,</w:t>
            </w:r>
            <w:r w:rsidRPr="00BF0D27">
              <w:rPr>
                <w:rFonts w:eastAsia="Times New Roman" w:cs="Arial"/>
                <w:color w:val="auto"/>
                <w:sz w:val="20"/>
                <w:szCs w:val="20"/>
                <w:lang w:eastAsia="en-AU"/>
              </w:rPr>
              <w:t>383</w:t>
            </w:r>
          </w:p>
        </w:tc>
        <w:tc>
          <w:tcPr>
            <w:tcW w:w="1327" w:type="dxa"/>
            <w:tcBorders>
              <w:top w:val="nil"/>
              <w:bottom w:val="nil"/>
              <w:right w:val="single" w:sz="4" w:space="0" w:color="auto"/>
            </w:tcBorders>
          </w:tcPr>
          <w:p w14:paraId="505CFC1E"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597</w:t>
            </w:r>
          </w:p>
        </w:tc>
        <w:tc>
          <w:tcPr>
            <w:tcW w:w="1326" w:type="dxa"/>
            <w:tcBorders>
              <w:top w:val="nil"/>
              <w:bottom w:val="nil"/>
            </w:tcBorders>
          </w:tcPr>
          <w:p w14:paraId="1A40DFDF"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522</w:t>
            </w:r>
          </w:p>
        </w:tc>
        <w:tc>
          <w:tcPr>
            <w:tcW w:w="1327" w:type="dxa"/>
            <w:tcBorders>
              <w:top w:val="nil"/>
              <w:bottom w:val="nil"/>
            </w:tcBorders>
          </w:tcPr>
          <w:p w14:paraId="45D920BD"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375</w:t>
            </w:r>
          </w:p>
        </w:tc>
        <w:tc>
          <w:tcPr>
            <w:tcW w:w="1327" w:type="dxa"/>
            <w:tcBorders>
              <w:top w:val="nil"/>
              <w:left w:val="single" w:sz="4" w:space="0" w:color="auto"/>
              <w:bottom w:val="nil"/>
            </w:tcBorders>
            <w:noWrap/>
            <w:hideMark/>
          </w:tcPr>
          <w:p w14:paraId="35C9CB60"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608</w:t>
            </w:r>
          </w:p>
        </w:tc>
        <w:tc>
          <w:tcPr>
            <w:tcW w:w="1326" w:type="dxa"/>
            <w:tcBorders>
              <w:top w:val="nil"/>
              <w:bottom w:val="nil"/>
              <w:right w:val="single" w:sz="4" w:space="0" w:color="auto"/>
            </w:tcBorders>
          </w:tcPr>
          <w:p w14:paraId="198BFE1D"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545</w:t>
            </w:r>
          </w:p>
        </w:tc>
        <w:tc>
          <w:tcPr>
            <w:tcW w:w="1327" w:type="dxa"/>
            <w:tcBorders>
              <w:top w:val="nil"/>
              <w:left w:val="single" w:sz="4" w:space="0" w:color="auto"/>
              <w:bottom w:val="nil"/>
              <w:right w:val="nil"/>
            </w:tcBorders>
            <w:noWrap/>
            <w:hideMark/>
          </w:tcPr>
          <w:p w14:paraId="2AA06904"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914</w:t>
            </w:r>
          </w:p>
        </w:tc>
        <w:tc>
          <w:tcPr>
            <w:tcW w:w="1326" w:type="dxa"/>
            <w:tcBorders>
              <w:top w:val="nil"/>
              <w:left w:val="nil"/>
              <w:bottom w:val="nil"/>
              <w:right w:val="single" w:sz="4" w:space="0" w:color="auto"/>
            </w:tcBorders>
          </w:tcPr>
          <w:p w14:paraId="66E9870E"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889</w:t>
            </w:r>
          </w:p>
        </w:tc>
        <w:tc>
          <w:tcPr>
            <w:tcW w:w="1327" w:type="dxa"/>
            <w:tcBorders>
              <w:top w:val="nil"/>
              <w:left w:val="single" w:sz="4" w:space="0" w:color="auto"/>
              <w:bottom w:val="nil"/>
              <w:right w:val="nil"/>
            </w:tcBorders>
          </w:tcPr>
          <w:p w14:paraId="27EF24AA"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11</w:t>
            </w:r>
            <w:r>
              <w:rPr>
                <w:rFonts w:eastAsia="Times New Roman" w:cs="Arial"/>
                <w:b/>
                <w:color w:val="auto"/>
                <w:sz w:val="20"/>
                <w:szCs w:val="20"/>
                <w:lang w:eastAsia="en-AU"/>
              </w:rPr>
              <w:t>,</w:t>
            </w:r>
            <w:r w:rsidRPr="00BF0D27">
              <w:rPr>
                <w:rFonts w:eastAsia="Times New Roman" w:cs="Arial"/>
                <w:b/>
                <w:color w:val="auto"/>
                <w:sz w:val="20"/>
                <w:szCs w:val="20"/>
                <w:lang w:eastAsia="en-AU"/>
              </w:rPr>
              <w:t>905</w:t>
            </w:r>
          </w:p>
        </w:tc>
        <w:tc>
          <w:tcPr>
            <w:tcW w:w="1327" w:type="dxa"/>
            <w:tcBorders>
              <w:top w:val="nil"/>
              <w:left w:val="nil"/>
              <w:bottom w:val="nil"/>
              <w:right w:val="single" w:sz="4" w:space="0" w:color="auto"/>
            </w:tcBorders>
          </w:tcPr>
          <w:p w14:paraId="1C5E5BE9"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10</w:t>
            </w:r>
            <w:r>
              <w:rPr>
                <w:rFonts w:eastAsia="Times New Roman" w:cs="Arial"/>
                <w:b/>
                <w:color w:val="auto"/>
                <w:sz w:val="20"/>
                <w:szCs w:val="20"/>
                <w:lang w:eastAsia="en-AU"/>
              </w:rPr>
              <w:t>,</w:t>
            </w:r>
            <w:r w:rsidRPr="00BF0D27">
              <w:rPr>
                <w:rFonts w:eastAsia="Times New Roman" w:cs="Arial"/>
                <w:b/>
                <w:color w:val="auto"/>
                <w:sz w:val="20"/>
                <w:szCs w:val="20"/>
                <w:lang w:eastAsia="en-AU"/>
              </w:rPr>
              <w:t>450</w:t>
            </w:r>
          </w:p>
        </w:tc>
      </w:tr>
      <w:tr w:rsidR="00441F98" w:rsidRPr="00BF0D27" w14:paraId="5087E086"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tcPr>
          <w:p w14:paraId="63AE520F"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2006</w:t>
            </w:r>
          </w:p>
        </w:tc>
        <w:tc>
          <w:tcPr>
            <w:tcW w:w="1326" w:type="dxa"/>
            <w:tcBorders>
              <w:top w:val="nil"/>
              <w:left w:val="single" w:sz="4" w:space="0" w:color="auto"/>
              <w:bottom w:val="nil"/>
            </w:tcBorders>
            <w:noWrap/>
            <w:hideMark/>
          </w:tcPr>
          <w:p w14:paraId="318EEA08"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w:t>
            </w:r>
            <w:r>
              <w:rPr>
                <w:rFonts w:eastAsia="Times New Roman" w:cs="Arial"/>
                <w:color w:val="auto"/>
                <w:sz w:val="20"/>
                <w:szCs w:val="20"/>
                <w:lang w:eastAsia="en-AU"/>
              </w:rPr>
              <w:t>,</w:t>
            </w:r>
            <w:r w:rsidRPr="00BF0D27">
              <w:rPr>
                <w:rFonts w:eastAsia="Times New Roman" w:cs="Arial"/>
                <w:color w:val="auto"/>
                <w:sz w:val="20"/>
                <w:szCs w:val="20"/>
                <w:lang w:eastAsia="en-AU"/>
              </w:rPr>
              <w:t>422</w:t>
            </w:r>
          </w:p>
        </w:tc>
        <w:tc>
          <w:tcPr>
            <w:tcW w:w="1327" w:type="dxa"/>
            <w:tcBorders>
              <w:top w:val="nil"/>
              <w:bottom w:val="nil"/>
              <w:right w:val="single" w:sz="4" w:space="0" w:color="auto"/>
            </w:tcBorders>
          </w:tcPr>
          <w:p w14:paraId="52B513EA"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w:t>
            </w:r>
            <w:r>
              <w:rPr>
                <w:rFonts w:eastAsia="Times New Roman" w:cs="Arial"/>
                <w:color w:val="auto"/>
                <w:sz w:val="20"/>
                <w:szCs w:val="20"/>
                <w:lang w:eastAsia="en-AU"/>
              </w:rPr>
              <w:t>,</w:t>
            </w:r>
            <w:r w:rsidRPr="00BF0D27">
              <w:rPr>
                <w:rFonts w:eastAsia="Times New Roman" w:cs="Arial"/>
                <w:color w:val="auto"/>
                <w:sz w:val="20"/>
                <w:szCs w:val="20"/>
                <w:lang w:eastAsia="en-AU"/>
              </w:rPr>
              <w:t>605</w:t>
            </w:r>
          </w:p>
        </w:tc>
        <w:tc>
          <w:tcPr>
            <w:tcW w:w="1326" w:type="dxa"/>
            <w:tcBorders>
              <w:top w:val="nil"/>
              <w:bottom w:val="nil"/>
            </w:tcBorders>
          </w:tcPr>
          <w:p w14:paraId="07C9DE24"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790</w:t>
            </w:r>
          </w:p>
        </w:tc>
        <w:tc>
          <w:tcPr>
            <w:tcW w:w="1327" w:type="dxa"/>
            <w:tcBorders>
              <w:top w:val="nil"/>
              <w:bottom w:val="nil"/>
            </w:tcBorders>
          </w:tcPr>
          <w:p w14:paraId="665BAE4B"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624</w:t>
            </w:r>
          </w:p>
        </w:tc>
        <w:tc>
          <w:tcPr>
            <w:tcW w:w="1327" w:type="dxa"/>
            <w:tcBorders>
              <w:top w:val="nil"/>
              <w:left w:val="single" w:sz="4" w:space="0" w:color="auto"/>
              <w:bottom w:val="nil"/>
            </w:tcBorders>
            <w:noWrap/>
            <w:hideMark/>
          </w:tcPr>
          <w:p w14:paraId="663A5B52"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779</w:t>
            </w:r>
          </w:p>
        </w:tc>
        <w:tc>
          <w:tcPr>
            <w:tcW w:w="1326" w:type="dxa"/>
            <w:tcBorders>
              <w:top w:val="nil"/>
              <w:bottom w:val="nil"/>
              <w:right w:val="single" w:sz="4" w:space="0" w:color="auto"/>
            </w:tcBorders>
          </w:tcPr>
          <w:p w14:paraId="67CE3E17"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700</w:t>
            </w:r>
          </w:p>
        </w:tc>
        <w:tc>
          <w:tcPr>
            <w:tcW w:w="1327" w:type="dxa"/>
            <w:tcBorders>
              <w:top w:val="nil"/>
              <w:left w:val="single" w:sz="4" w:space="0" w:color="auto"/>
              <w:bottom w:val="nil"/>
            </w:tcBorders>
            <w:noWrap/>
            <w:hideMark/>
          </w:tcPr>
          <w:p w14:paraId="6E30E85F"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011</w:t>
            </w:r>
          </w:p>
        </w:tc>
        <w:tc>
          <w:tcPr>
            <w:tcW w:w="1326" w:type="dxa"/>
            <w:tcBorders>
              <w:top w:val="nil"/>
              <w:bottom w:val="nil"/>
              <w:right w:val="single" w:sz="4" w:space="0" w:color="auto"/>
            </w:tcBorders>
          </w:tcPr>
          <w:p w14:paraId="654F738E"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996</w:t>
            </w:r>
          </w:p>
        </w:tc>
        <w:tc>
          <w:tcPr>
            <w:tcW w:w="1327" w:type="dxa"/>
            <w:tcBorders>
              <w:top w:val="nil"/>
              <w:left w:val="single" w:sz="4" w:space="0" w:color="auto"/>
              <w:bottom w:val="nil"/>
            </w:tcBorders>
          </w:tcPr>
          <w:p w14:paraId="3410EFEB"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13</w:t>
            </w:r>
            <w:r>
              <w:rPr>
                <w:rFonts w:eastAsia="Times New Roman" w:cs="Arial"/>
                <w:b/>
                <w:color w:val="auto"/>
                <w:sz w:val="20"/>
                <w:szCs w:val="20"/>
                <w:lang w:eastAsia="en-AU"/>
              </w:rPr>
              <w:t>,</w:t>
            </w:r>
            <w:r w:rsidRPr="00BF0D27">
              <w:rPr>
                <w:rFonts w:eastAsia="Times New Roman" w:cs="Arial"/>
                <w:b/>
                <w:color w:val="auto"/>
                <w:sz w:val="20"/>
                <w:szCs w:val="20"/>
                <w:lang w:eastAsia="en-AU"/>
              </w:rPr>
              <w:t>212</w:t>
            </w:r>
          </w:p>
        </w:tc>
        <w:tc>
          <w:tcPr>
            <w:tcW w:w="1327" w:type="dxa"/>
            <w:tcBorders>
              <w:top w:val="nil"/>
              <w:bottom w:val="nil"/>
              <w:right w:val="single" w:sz="4" w:space="0" w:color="auto"/>
            </w:tcBorders>
          </w:tcPr>
          <w:p w14:paraId="08D0E257"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11</w:t>
            </w:r>
            <w:r>
              <w:rPr>
                <w:rFonts w:eastAsia="Times New Roman" w:cs="Arial"/>
                <w:b/>
                <w:color w:val="auto"/>
                <w:sz w:val="20"/>
                <w:szCs w:val="20"/>
                <w:lang w:eastAsia="en-AU"/>
              </w:rPr>
              <w:t>,</w:t>
            </w:r>
            <w:r w:rsidRPr="00BF0D27">
              <w:rPr>
                <w:rFonts w:eastAsia="Times New Roman" w:cs="Arial"/>
                <w:b/>
                <w:color w:val="auto"/>
                <w:sz w:val="20"/>
                <w:szCs w:val="20"/>
                <w:lang w:eastAsia="en-AU"/>
              </w:rPr>
              <w:t>718</w:t>
            </w:r>
          </w:p>
        </w:tc>
      </w:tr>
      <w:tr w:rsidR="00441F98" w:rsidRPr="00BF0D27" w14:paraId="53B5C051"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tcPr>
          <w:p w14:paraId="07BD4202"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2007</w:t>
            </w:r>
          </w:p>
        </w:tc>
        <w:tc>
          <w:tcPr>
            <w:tcW w:w="1326" w:type="dxa"/>
            <w:tcBorders>
              <w:top w:val="nil"/>
              <w:left w:val="single" w:sz="4" w:space="0" w:color="auto"/>
              <w:bottom w:val="nil"/>
            </w:tcBorders>
            <w:noWrap/>
            <w:hideMark/>
          </w:tcPr>
          <w:p w14:paraId="029A0B97"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582</w:t>
            </w:r>
          </w:p>
        </w:tc>
        <w:tc>
          <w:tcPr>
            <w:tcW w:w="1327" w:type="dxa"/>
            <w:tcBorders>
              <w:top w:val="nil"/>
              <w:bottom w:val="nil"/>
              <w:right w:val="single" w:sz="4" w:space="0" w:color="auto"/>
            </w:tcBorders>
          </w:tcPr>
          <w:p w14:paraId="6ABB508E"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w:t>
            </w:r>
            <w:r>
              <w:rPr>
                <w:rFonts w:eastAsia="Times New Roman" w:cs="Arial"/>
                <w:color w:val="auto"/>
                <w:sz w:val="20"/>
                <w:szCs w:val="20"/>
                <w:lang w:eastAsia="en-AU"/>
              </w:rPr>
              <w:t>,</w:t>
            </w:r>
            <w:r w:rsidRPr="00BF0D27">
              <w:rPr>
                <w:rFonts w:eastAsia="Times New Roman" w:cs="Arial"/>
                <w:color w:val="auto"/>
                <w:sz w:val="20"/>
                <w:szCs w:val="20"/>
                <w:lang w:eastAsia="en-AU"/>
              </w:rPr>
              <w:t>911</w:t>
            </w:r>
          </w:p>
        </w:tc>
        <w:tc>
          <w:tcPr>
            <w:tcW w:w="1326" w:type="dxa"/>
            <w:tcBorders>
              <w:top w:val="nil"/>
              <w:bottom w:val="nil"/>
            </w:tcBorders>
          </w:tcPr>
          <w:p w14:paraId="2F0E5A57"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098</w:t>
            </w:r>
          </w:p>
        </w:tc>
        <w:tc>
          <w:tcPr>
            <w:tcW w:w="1327" w:type="dxa"/>
            <w:tcBorders>
              <w:top w:val="nil"/>
              <w:bottom w:val="nil"/>
            </w:tcBorders>
          </w:tcPr>
          <w:p w14:paraId="54AC84A9"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000</w:t>
            </w:r>
          </w:p>
        </w:tc>
        <w:tc>
          <w:tcPr>
            <w:tcW w:w="1327" w:type="dxa"/>
            <w:tcBorders>
              <w:top w:val="nil"/>
              <w:left w:val="single" w:sz="4" w:space="0" w:color="auto"/>
              <w:bottom w:val="nil"/>
            </w:tcBorders>
            <w:noWrap/>
            <w:hideMark/>
          </w:tcPr>
          <w:p w14:paraId="796A250D"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055</w:t>
            </w:r>
          </w:p>
        </w:tc>
        <w:tc>
          <w:tcPr>
            <w:tcW w:w="1326" w:type="dxa"/>
            <w:tcBorders>
              <w:top w:val="nil"/>
              <w:bottom w:val="nil"/>
              <w:right w:val="single" w:sz="4" w:space="0" w:color="auto"/>
            </w:tcBorders>
          </w:tcPr>
          <w:p w14:paraId="781C65DF"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018</w:t>
            </w:r>
          </w:p>
        </w:tc>
        <w:tc>
          <w:tcPr>
            <w:tcW w:w="1327" w:type="dxa"/>
            <w:tcBorders>
              <w:top w:val="nil"/>
              <w:left w:val="single" w:sz="4" w:space="0" w:color="auto"/>
              <w:bottom w:val="nil"/>
              <w:right w:val="nil"/>
            </w:tcBorders>
            <w:noWrap/>
            <w:hideMark/>
          </w:tcPr>
          <w:p w14:paraId="747D097B"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043</w:t>
            </w:r>
          </w:p>
        </w:tc>
        <w:tc>
          <w:tcPr>
            <w:tcW w:w="1326" w:type="dxa"/>
            <w:tcBorders>
              <w:top w:val="nil"/>
              <w:left w:val="nil"/>
              <w:bottom w:val="nil"/>
              <w:right w:val="single" w:sz="4" w:space="0" w:color="auto"/>
            </w:tcBorders>
          </w:tcPr>
          <w:p w14:paraId="7BE19C0E"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030</w:t>
            </w:r>
          </w:p>
        </w:tc>
        <w:tc>
          <w:tcPr>
            <w:tcW w:w="1327" w:type="dxa"/>
            <w:tcBorders>
              <w:top w:val="nil"/>
              <w:left w:val="single" w:sz="4" w:space="0" w:color="auto"/>
              <w:bottom w:val="nil"/>
              <w:right w:val="nil"/>
            </w:tcBorders>
          </w:tcPr>
          <w:p w14:paraId="192CC657"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10</w:t>
            </w:r>
            <w:r>
              <w:rPr>
                <w:rFonts w:eastAsia="Times New Roman" w:cs="Arial"/>
                <w:b/>
                <w:color w:val="auto"/>
                <w:sz w:val="20"/>
                <w:szCs w:val="20"/>
                <w:lang w:eastAsia="en-AU"/>
              </w:rPr>
              <w:t>,</w:t>
            </w:r>
            <w:r w:rsidRPr="00BF0D27">
              <w:rPr>
                <w:rFonts w:eastAsia="Times New Roman" w:cs="Arial"/>
                <w:b/>
                <w:color w:val="auto"/>
                <w:sz w:val="20"/>
                <w:szCs w:val="20"/>
                <w:lang w:eastAsia="en-AU"/>
              </w:rPr>
              <w:t>680</w:t>
            </w:r>
          </w:p>
        </w:tc>
        <w:tc>
          <w:tcPr>
            <w:tcW w:w="1327" w:type="dxa"/>
            <w:tcBorders>
              <w:top w:val="nil"/>
              <w:left w:val="nil"/>
              <w:bottom w:val="nil"/>
              <w:right w:val="single" w:sz="4" w:space="0" w:color="auto"/>
            </w:tcBorders>
          </w:tcPr>
          <w:p w14:paraId="65C1B7D1"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9</w:t>
            </w:r>
            <w:r>
              <w:rPr>
                <w:rFonts w:eastAsia="Times New Roman" w:cs="Arial"/>
                <w:b/>
                <w:color w:val="auto"/>
                <w:sz w:val="20"/>
                <w:szCs w:val="20"/>
                <w:lang w:eastAsia="en-AU"/>
              </w:rPr>
              <w:t>,</w:t>
            </w:r>
            <w:r w:rsidRPr="00BF0D27">
              <w:rPr>
                <w:rFonts w:eastAsia="Times New Roman" w:cs="Arial"/>
                <w:b/>
                <w:color w:val="auto"/>
                <w:sz w:val="20"/>
                <w:szCs w:val="20"/>
                <w:lang w:eastAsia="en-AU"/>
              </w:rPr>
              <w:t>527</w:t>
            </w:r>
          </w:p>
        </w:tc>
      </w:tr>
      <w:tr w:rsidR="00441F98" w:rsidRPr="00BF0D27" w14:paraId="701D84EA"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tcPr>
          <w:p w14:paraId="7E9FB2C5"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2008</w:t>
            </w:r>
          </w:p>
        </w:tc>
        <w:tc>
          <w:tcPr>
            <w:tcW w:w="1326" w:type="dxa"/>
            <w:tcBorders>
              <w:top w:val="nil"/>
              <w:left w:val="single" w:sz="4" w:space="0" w:color="auto"/>
              <w:bottom w:val="nil"/>
            </w:tcBorders>
            <w:noWrap/>
            <w:hideMark/>
          </w:tcPr>
          <w:p w14:paraId="4F9A3D7B"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12</w:t>
            </w:r>
            <w:r>
              <w:rPr>
                <w:rFonts w:eastAsia="Times New Roman" w:cs="Arial"/>
                <w:color w:val="auto"/>
                <w:sz w:val="20"/>
                <w:szCs w:val="20"/>
                <w:lang w:eastAsia="en-AU"/>
              </w:rPr>
              <w:t>,</w:t>
            </w:r>
            <w:r w:rsidRPr="00BF0D27">
              <w:rPr>
                <w:rFonts w:eastAsia="Times New Roman" w:cs="Arial"/>
                <w:color w:val="auto"/>
                <w:sz w:val="20"/>
                <w:szCs w:val="20"/>
                <w:lang w:eastAsia="en-AU"/>
              </w:rPr>
              <w:t>240</w:t>
            </w:r>
          </w:p>
        </w:tc>
        <w:tc>
          <w:tcPr>
            <w:tcW w:w="1327" w:type="dxa"/>
            <w:tcBorders>
              <w:top w:val="nil"/>
              <w:bottom w:val="nil"/>
              <w:right w:val="single" w:sz="4" w:space="0" w:color="auto"/>
            </w:tcBorders>
          </w:tcPr>
          <w:p w14:paraId="6B3572B8"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10</w:t>
            </w:r>
            <w:r>
              <w:rPr>
                <w:rFonts w:eastAsia="Times New Roman" w:cs="Arial"/>
                <w:color w:val="auto"/>
                <w:sz w:val="20"/>
                <w:szCs w:val="20"/>
                <w:lang w:eastAsia="en-AU"/>
              </w:rPr>
              <w:t>,</w:t>
            </w:r>
            <w:r w:rsidRPr="00BF0D27">
              <w:rPr>
                <w:rFonts w:eastAsia="Times New Roman" w:cs="Arial"/>
                <w:color w:val="auto"/>
                <w:sz w:val="20"/>
                <w:szCs w:val="20"/>
                <w:lang w:eastAsia="en-AU"/>
              </w:rPr>
              <w:t>941</w:t>
            </w:r>
          </w:p>
        </w:tc>
        <w:tc>
          <w:tcPr>
            <w:tcW w:w="1326" w:type="dxa"/>
            <w:tcBorders>
              <w:top w:val="nil"/>
              <w:bottom w:val="nil"/>
            </w:tcBorders>
          </w:tcPr>
          <w:p w14:paraId="7C7EF147"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841</w:t>
            </w:r>
          </w:p>
        </w:tc>
        <w:tc>
          <w:tcPr>
            <w:tcW w:w="1327" w:type="dxa"/>
            <w:tcBorders>
              <w:top w:val="nil"/>
              <w:bottom w:val="nil"/>
            </w:tcBorders>
          </w:tcPr>
          <w:p w14:paraId="2CFB3B7D"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741</w:t>
            </w:r>
          </w:p>
        </w:tc>
        <w:tc>
          <w:tcPr>
            <w:tcW w:w="1327" w:type="dxa"/>
            <w:tcBorders>
              <w:top w:val="nil"/>
              <w:left w:val="single" w:sz="4" w:space="0" w:color="auto"/>
              <w:bottom w:val="nil"/>
            </w:tcBorders>
            <w:noWrap/>
            <w:hideMark/>
          </w:tcPr>
          <w:p w14:paraId="3D25E647"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351</w:t>
            </w:r>
          </w:p>
        </w:tc>
        <w:tc>
          <w:tcPr>
            <w:tcW w:w="1326" w:type="dxa"/>
            <w:tcBorders>
              <w:top w:val="nil"/>
              <w:bottom w:val="nil"/>
              <w:right w:val="single" w:sz="4" w:space="0" w:color="auto"/>
            </w:tcBorders>
          </w:tcPr>
          <w:p w14:paraId="720010A6"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324</w:t>
            </w:r>
          </w:p>
        </w:tc>
        <w:tc>
          <w:tcPr>
            <w:tcW w:w="1327" w:type="dxa"/>
            <w:tcBorders>
              <w:top w:val="nil"/>
              <w:left w:val="single" w:sz="4" w:space="0" w:color="auto"/>
              <w:bottom w:val="nil"/>
            </w:tcBorders>
            <w:noWrap/>
            <w:hideMark/>
          </w:tcPr>
          <w:p w14:paraId="078BAEDD"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490</w:t>
            </w:r>
          </w:p>
        </w:tc>
        <w:tc>
          <w:tcPr>
            <w:tcW w:w="1326" w:type="dxa"/>
            <w:tcBorders>
              <w:top w:val="nil"/>
              <w:bottom w:val="nil"/>
              <w:right w:val="single" w:sz="4" w:space="0" w:color="auto"/>
            </w:tcBorders>
          </w:tcPr>
          <w:p w14:paraId="14BFFFD2"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461</w:t>
            </w:r>
          </w:p>
        </w:tc>
        <w:tc>
          <w:tcPr>
            <w:tcW w:w="1327" w:type="dxa"/>
            <w:tcBorders>
              <w:top w:val="nil"/>
              <w:left w:val="single" w:sz="4" w:space="0" w:color="auto"/>
              <w:bottom w:val="nil"/>
            </w:tcBorders>
          </w:tcPr>
          <w:p w14:paraId="24C5E339"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16</w:t>
            </w:r>
            <w:r>
              <w:rPr>
                <w:rFonts w:eastAsia="Times New Roman" w:cs="Arial"/>
                <w:b/>
                <w:color w:val="auto"/>
                <w:sz w:val="20"/>
                <w:szCs w:val="20"/>
                <w:lang w:eastAsia="en-AU"/>
              </w:rPr>
              <w:t>,</w:t>
            </w:r>
            <w:r w:rsidRPr="00BF0D27">
              <w:rPr>
                <w:rFonts w:eastAsia="Times New Roman" w:cs="Arial"/>
                <w:b/>
                <w:color w:val="auto"/>
                <w:sz w:val="20"/>
                <w:szCs w:val="20"/>
                <w:lang w:eastAsia="en-AU"/>
              </w:rPr>
              <w:t>081</w:t>
            </w:r>
          </w:p>
        </w:tc>
        <w:tc>
          <w:tcPr>
            <w:tcW w:w="1327" w:type="dxa"/>
            <w:tcBorders>
              <w:top w:val="nil"/>
              <w:bottom w:val="nil"/>
              <w:right w:val="single" w:sz="4" w:space="0" w:color="auto"/>
            </w:tcBorders>
          </w:tcPr>
          <w:p w14:paraId="56AAC391"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14</w:t>
            </w:r>
            <w:r>
              <w:rPr>
                <w:rFonts w:eastAsia="Times New Roman" w:cs="Arial"/>
                <w:b/>
                <w:color w:val="auto"/>
                <w:sz w:val="20"/>
                <w:szCs w:val="20"/>
                <w:lang w:eastAsia="en-AU"/>
              </w:rPr>
              <w:t>,</w:t>
            </w:r>
            <w:r w:rsidRPr="00BF0D27">
              <w:rPr>
                <w:rFonts w:eastAsia="Times New Roman" w:cs="Arial"/>
                <w:b/>
                <w:color w:val="auto"/>
                <w:sz w:val="20"/>
                <w:szCs w:val="20"/>
                <w:lang w:eastAsia="en-AU"/>
              </w:rPr>
              <w:t>105</w:t>
            </w:r>
          </w:p>
        </w:tc>
      </w:tr>
      <w:tr w:rsidR="00441F98" w:rsidRPr="00BF0D27" w14:paraId="10C881BC"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tcPr>
          <w:p w14:paraId="3780ECC9"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2009</w:t>
            </w:r>
          </w:p>
        </w:tc>
        <w:tc>
          <w:tcPr>
            <w:tcW w:w="1326" w:type="dxa"/>
            <w:tcBorders>
              <w:top w:val="nil"/>
              <w:left w:val="single" w:sz="4" w:space="0" w:color="auto"/>
              <w:bottom w:val="nil"/>
            </w:tcBorders>
            <w:noWrap/>
            <w:hideMark/>
          </w:tcPr>
          <w:p w14:paraId="6808A486"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17</w:t>
            </w:r>
            <w:r>
              <w:rPr>
                <w:rFonts w:eastAsia="Times New Roman" w:cs="Arial"/>
                <w:color w:val="auto"/>
                <w:sz w:val="20"/>
                <w:szCs w:val="20"/>
                <w:lang w:eastAsia="en-AU"/>
              </w:rPr>
              <w:t>,</w:t>
            </w:r>
            <w:r w:rsidRPr="00BF0D27">
              <w:rPr>
                <w:rFonts w:eastAsia="Times New Roman" w:cs="Arial"/>
                <w:color w:val="auto"/>
                <w:sz w:val="20"/>
                <w:szCs w:val="20"/>
                <w:lang w:eastAsia="en-AU"/>
              </w:rPr>
              <w:t>448</w:t>
            </w:r>
          </w:p>
        </w:tc>
        <w:tc>
          <w:tcPr>
            <w:tcW w:w="1327" w:type="dxa"/>
            <w:tcBorders>
              <w:top w:val="nil"/>
              <w:bottom w:val="nil"/>
              <w:right w:val="single" w:sz="4" w:space="0" w:color="auto"/>
            </w:tcBorders>
          </w:tcPr>
          <w:p w14:paraId="2E9C89CA"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15</w:t>
            </w:r>
            <w:r>
              <w:rPr>
                <w:rFonts w:eastAsia="Times New Roman" w:cs="Arial"/>
                <w:color w:val="auto"/>
                <w:sz w:val="20"/>
                <w:szCs w:val="20"/>
                <w:lang w:eastAsia="en-AU"/>
              </w:rPr>
              <w:t>,</w:t>
            </w:r>
            <w:r w:rsidRPr="00BF0D27">
              <w:rPr>
                <w:rFonts w:eastAsia="Times New Roman" w:cs="Arial"/>
                <w:color w:val="auto"/>
                <w:sz w:val="20"/>
                <w:szCs w:val="20"/>
                <w:lang w:eastAsia="en-AU"/>
              </w:rPr>
              <w:t>204</w:t>
            </w:r>
          </w:p>
        </w:tc>
        <w:tc>
          <w:tcPr>
            <w:tcW w:w="1326" w:type="dxa"/>
            <w:tcBorders>
              <w:top w:val="nil"/>
              <w:bottom w:val="nil"/>
            </w:tcBorders>
          </w:tcPr>
          <w:p w14:paraId="465ECD72"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311</w:t>
            </w:r>
          </w:p>
        </w:tc>
        <w:tc>
          <w:tcPr>
            <w:tcW w:w="1327" w:type="dxa"/>
            <w:tcBorders>
              <w:top w:val="nil"/>
              <w:bottom w:val="nil"/>
            </w:tcBorders>
          </w:tcPr>
          <w:p w14:paraId="3DFC57B2"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136</w:t>
            </w:r>
          </w:p>
        </w:tc>
        <w:tc>
          <w:tcPr>
            <w:tcW w:w="1327" w:type="dxa"/>
            <w:tcBorders>
              <w:top w:val="nil"/>
              <w:left w:val="single" w:sz="4" w:space="0" w:color="auto"/>
              <w:bottom w:val="nil"/>
            </w:tcBorders>
            <w:noWrap/>
            <w:hideMark/>
          </w:tcPr>
          <w:p w14:paraId="14BD13DE"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536</w:t>
            </w:r>
          </w:p>
        </w:tc>
        <w:tc>
          <w:tcPr>
            <w:tcW w:w="1326" w:type="dxa"/>
            <w:tcBorders>
              <w:top w:val="nil"/>
              <w:bottom w:val="nil"/>
              <w:right w:val="single" w:sz="4" w:space="0" w:color="auto"/>
            </w:tcBorders>
          </w:tcPr>
          <w:p w14:paraId="34AFFB13"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484</w:t>
            </w:r>
          </w:p>
        </w:tc>
        <w:tc>
          <w:tcPr>
            <w:tcW w:w="1327" w:type="dxa"/>
            <w:tcBorders>
              <w:top w:val="nil"/>
              <w:left w:val="single" w:sz="4" w:space="0" w:color="auto"/>
              <w:bottom w:val="nil"/>
              <w:right w:val="nil"/>
            </w:tcBorders>
            <w:noWrap/>
            <w:hideMark/>
          </w:tcPr>
          <w:p w14:paraId="5E3FD00F"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775</w:t>
            </w:r>
          </w:p>
        </w:tc>
        <w:tc>
          <w:tcPr>
            <w:tcW w:w="1326" w:type="dxa"/>
            <w:tcBorders>
              <w:top w:val="nil"/>
              <w:left w:val="nil"/>
              <w:bottom w:val="nil"/>
              <w:right w:val="single" w:sz="4" w:space="0" w:color="auto"/>
            </w:tcBorders>
          </w:tcPr>
          <w:p w14:paraId="511DA637"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736</w:t>
            </w:r>
          </w:p>
        </w:tc>
        <w:tc>
          <w:tcPr>
            <w:tcW w:w="1327" w:type="dxa"/>
            <w:tcBorders>
              <w:top w:val="nil"/>
              <w:left w:val="single" w:sz="4" w:space="0" w:color="auto"/>
              <w:bottom w:val="nil"/>
              <w:right w:val="nil"/>
            </w:tcBorders>
          </w:tcPr>
          <w:p w14:paraId="797E72DB"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21</w:t>
            </w:r>
            <w:r>
              <w:rPr>
                <w:rFonts w:eastAsia="Times New Roman" w:cs="Arial"/>
                <w:b/>
                <w:color w:val="auto"/>
                <w:sz w:val="20"/>
                <w:szCs w:val="20"/>
                <w:lang w:eastAsia="en-AU"/>
              </w:rPr>
              <w:t>,</w:t>
            </w:r>
            <w:r w:rsidRPr="00BF0D27">
              <w:rPr>
                <w:rFonts w:eastAsia="Times New Roman" w:cs="Arial"/>
                <w:b/>
                <w:color w:val="auto"/>
                <w:sz w:val="20"/>
                <w:szCs w:val="20"/>
                <w:lang w:eastAsia="en-AU"/>
              </w:rPr>
              <w:t>759</w:t>
            </w:r>
          </w:p>
        </w:tc>
        <w:tc>
          <w:tcPr>
            <w:tcW w:w="1327" w:type="dxa"/>
            <w:tcBorders>
              <w:top w:val="nil"/>
              <w:left w:val="nil"/>
              <w:bottom w:val="nil"/>
              <w:right w:val="single" w:sz="4" w:space="0" w:color="auto"/>
            </w:tcBorders>
          </w:tcPr>
          <w:p w14:paraId="03092476"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18</w:t>
            </w:r>
            <w:r>
              <w:rPr>
                <w:rFonts w:eastAsia="Times New Roman" w:cs="Arial"/>
                <w:b/>
                <w:color w:val="auto"/>
                <w:sz w:val="20"/>
                <w:szCs w:val="20"/>
                <w:lang w:eastAsia="en-AU"/>
              </w:rPr>
              <w:t>,</w:t>
            </w:r>
            <w:r w:rsidRPr="00BF0D27">
              <w:rPr>
                <w:rFonts w:eastAsia="Times New Roman" w:cs="Arial"/>
                <w:b/>
                <w:color w:val="auto"/>
                <w:sz w:val="20"/>
                <w:szCs w:val="20"/>
                <w:lang w:eastAsia="en-AU"/>
              </w:rPr>
              <w:t>424</w:t>
            </w:r>
          </w:p>
        </w:tc>
      </w:tr>
      <w:tr w:rsidR="00441F98" w:rsidRPr="00BF0D27" w14:paraId="523C5643"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tcPr>
          <w:p w14:paraId="7725CBFB"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2010</w:t>
            </w:r>
          </w:p>
        </w:tc>
        <w:tc>
          <w:tcPr>
            <w:tcW w:w="1326" w:type="dxa"/>
            <w:tcBorders>
              <w:top w:val="nil"/>
              <w:left w:val="single" w:sz="4" w:space="0" w:color="auto"/>
              <w:bottom w:val="nil"/>
            </w:tcBorders>
            <w:noWrap/>
            <w:hideMark/>
          </w:tcPr>
          <w:p w14:paraId="000F665B"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21</w:t>
            </w:r>
            <w:r>
              <w:rPr>
                <w:rFonts w:eastAsia="Times New Roman" w:cs="Arial"/>
                <w:color w:val="auto"/>
                <w:sz w:val="20"/>
                <w:szCs w:val="20"/>
                <w:lang w:eastAsia="en-AU"/>
              </w:rPr>
              <w:t>,</w:t>
            </w:r>
            <w:r w:rsidRPr="00BF0D27">
              <w:rPr>
                <w:rFonts w:eastAsia="Times New Roman" w:cs="Arial"/>
                <w:color w:val="auto"/>
                <w:sz w:val="20"/>
                <w:szCs w:val="20"/>
                <w:lang w:eastAsia="en-AU"/>
              </w:rPr>
              <w:t>438</w:t>
            </w:r>
          </w:p>
        </w:tc>
        <w:tc>
          <w:tcPr>
            <w:tcW w:w="1327" w:type="dxa"/>
            <w:tcBorders>
              <w:top w:val="nil"/>
              <w:bottom w:val="nil"/>
              <w:right w:val="single" w:sz="4" w:space="0" w:color="auto"/>
            </w:tcBorders>
          </w:tcPr>
          <w:p w14:paraId="69D6626F"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18</w:t>
            </w:r>
            <w:r>
              <w:rPr>
                <w:rFonts w:eastAsia="Times New Roman" w:cs="Arial"/>
                <w:color w:val="auto"/>
                <w:sz w:val="20"/>
                <w:szCs w:val="20"/>
                <w:lang w:eastAsia="en-AU"/>
              </w:rPr>
              <w:t>,</w:t>
            </w:r>
            <w:r w:rsidRPr="00BF0D27">
              <w:rPr>
                <w:rFonts w:eastAsia="Times New Roman" w:cs="Arial"/>
                <w:color w:val="auto"/>
                <w:sz w:val="20"/>
                <w:szCs w:val="20"/>
                <w:lang w:eastAsia="en-AU"/>
              </w:rPr>
              <w:t>360</w:t>
            </w:r>
          </w:p>
        </w:tc>
        <w:tc>
          <w:tcPr>
            <w:tcW w:w="1326" w:type="dxa"/>
            <w:tcBorders>
              <w:top w:val="nil"/>
              <w:bottom w:val="nil"/>
            </w:tcBorders>
          </w:tcPr>
          <w:p w14:paraId="608B3110"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902</w:t>
            </w:r>
          </w:p>
        </w:tc>
        <w:tc>
          <w:tcPr>
            <w:tcW w:w="1327" w:type="dxa"/>
            <w:tcBorders>
              <w:top w:val="nil"/>
              <w:bottom w:val="nil"/>
            </w:tcBorders>
          </w:tcPr>
          <w:p w14:paraId="56E61A23"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676</w:t>
            </w:r>
          </w:p>
        </w:tc>
        <w:tc>
          <w:tcPr>
            <w:tcW w:w="1327" w:type="dxa"/>
            <w:tcBorders>
              <w:top w:val="nil"/>
              <w:left w:val="single" w:sz="4" w:space="0" w:color="auto"/>
              <w:bottom w:val="nil"/>
            </w:tcBorders>
            <w:noWrap/>
            <w:hideMark/>
          </w:tcPr>
          <w:p w14:paraId="54859D0F"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995</w:t>
            </w:r>
          </w:p>
        </w:tc>
        <w:tc>
          <w:tcPr>
            <w:tcW w:w="1326" w:type="dxa"/>
            <w:tcBorders>
              <w:top w:val="nil"/>
              <w:bottom w:val="nil"/>
              <w:right w:val="single" w:sz="4" w:space="0" w:color="auto"/>
            </w:tcBorders>
          </w:tcPr>
          <w:p w14:paraId="24E73B51"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908</w:t>
            </w:r>
          </w:p>
        </w:tc>
        <w:tc>
          <w:tcPr>
            <w:tcW w:w="1327" w:type="dxa"/>
            <w:tcBorders>
              <w:top w:val="nil"/>
              <w:left w:val="single" w:sz="4" w:space="0" w:color="auto"/>
              <w:bottom w:val="nil"/>
            </w:tcBorders>
            <w:noWrap/>
            <w:hideMark/>
          </w:tcPr>
          <w:p w14:paraId="55DB575C"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907</w:t>
            </w:r>
          </w:p>
        </w:tc>
        <w:tc>
          <w:tcPr>
            <w:tcW w:w="1326" w:type="dxa"/>
            <w:tcBorders>
              <w:top w:val="nil"/>
              <w:bottom w:val="nil"/>
              <w:right w:val="single" w:sz="4" w:space="0" w:color="auto"/>
            </w:tcBorders>
          </w:tcPr>
          <w:p w14:paraId="5AB34275"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843</w:t>
            </w:r>
          </w:p>
        </w:tc>
        <w:tc>
          <w:tcPr>
            <w:tcW w:w="1327" w:type="dxa"/>
            <w:tcBorders>
              <w:top w:val="nil"/>
              <w:left w:val="single" w:sz="4" w:space="0" w:color="auto"/>
              <w:bottom w:val="nil"/>
            </w:tcBorders>
          </w:tcPr>
          <w:p w14:paraId="2A095AC5"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26</w:t>
            </w:r>
            <w:r>
              <w:rPr>
                <w:rFonts w:eastAsia="Times New Roman" w:cs="Arial"/>
                <w:b/>
                <w:color w:val="auto"/>
                <w:sz w:val="20"/>
                <w:szCs w:val="20"/>
                <w:lang w:eastAsia="en-AU"/>
              </w:rPr>
              <w:t>,</w:t>
            </w:r>
            <w:r w:rsidRPr="00BF0D27">
              <w:rPr>
                <w:rFonts w:eastAsia="Times New Roman" w:cs="Arial"/>
                <w:b/>
                <w:color w:val="auto"/>
                <w:sz w:val="20"/>
                <w:szCs w:val="20"/>
                <w:lang w:eastAsia="en-AU"/>
              </w:rPr>
              <w:t>340</w:t>
            </w:r>
          </w:p>
        </w:tc>
        <w:tc>
          <w:tcPr>
            <w:tcW w:w="1327" w:type="dxa"/>
            <w:tcBorders>
              <w:top w:val="nil"/>
              <w:bottom w:val="nil"/>
              <w:right w:val="single" w:sz="4" w:space="0" w:color="auto"/>
            </w:tcBorders>
          </w:tcPr>
          <w:p w14:paraId="43EC105B"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21</w:t>
            </w:r>
            <w:r>
              <w:rPr>
                <w:rFonts w:eastAsia="Times New Roman" w:cs="Arial"/>
                <w:b/>
                <w:color w:val="auto"/>
                <w:sz w:val="20"/>
                <w:szCs w:val="20"/>
                <w:lang w:eastAsia="en-AU"/>
              </w:rPr>
              <w:t>,</w:t>
            </w:r>
            <w:r w:rsidRPr="00BF0D27">
              <w:rPr>
                <w:rFonts w:eastAsia="Times New Roman" w:cs="Arial"/>
                <w:b/>
                <w:color w:val="auto"/>
                <w:sz w:val="20"/>
                <w:szCs w:val="20"/>
                <w:lang w:eastAsia="en-AU"/>
              </w:rPr>
              <w:t>953</w:t>
            </w:r>
          </w:p>
        </w:tc>
      </w:tr>
      <w:tr w:rsidR="00441F98" w:rsidRPr="00BF0D27" w14:paraId="4352F2E7"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tcPr>
          <w:p w14:paraId="6FC6350F" w14:textId="77777777" w:rsidR="00491382" w:rsidRPr="00BF0D27" w:rsidRDefault="00491382" w:rsidP="00CE2FDF">
            <w:pPr>
              <w:keepNext/>
              <w:spacing w:before="0" w:after="60" w:line="276" w:lineRule="auto"/>
              <w:rPr>
                <w:rFonts w:cs="Arial"/>
                <w:b w:val="0"/>
                <w:bCs w:val="0"/>
                <w:color w:val="auto"/>
                <w:sz w:val="20"/>
                <w:szCs w:val="20"/>
              </w:rPr>
            </w:pPr>
            <w:r w:rsidRPr="00BF0D27">
              <w:rPr>
                <w:rFonts w:cs="Arial"/>
                <w:color w:val="auto"/>
                <w:sz w:val="20"/>
                <w:szCs w:val="20"/>
              </w:rPr>
              <w:t>2011</w:t>
            </w:r>
          </w:p>
        </w:tc>
        <w:tc>
          <w:tcPr>
            <w:tcW w:w="1326" w:type="dxa"/>
            <w:tcBorders>
              <w:top w:val="nil"/>
              <w:left w:val="single" w:sz="4" w:space="0" w:color="auto"/>
              <w:bottom w:val="nil"/>
            </w:tcBorders>
            <w:noWrap/>
            <w:hideMark/>
          </w:tcPr>
          <w:p w14:paraId="21EE6FCB"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27</w:t>
            </w:r>
            <w:r>
              <w:rPr>
                <w:rFonts w:eastAsia="Times New Roman" w:cs="Arial"/>
                <w:color w:val="auto"/>
                <w:sz w:val="20"/>
                <w:szCs w:val="20"/>
                <w:lang w:eastAsia="en-AU"/>
              </w:rPr>
              <w:t>,</w:t>
            </w:r>
            <w:r w:rsidRPr="00BF0D27">
              <w:rPr>
                <w:rFonts w:eastAsia="Times New Roman" w:cs="Arial"/>
                <w:color w:val="auto"/>
                <w:sz w:val="20"/>
                <w:szCs w:val="20"/>
                <w:lang w:eastAsia="en-AU"/>
              </w:rPr>
              <w:t>208</w:t>
            </w:r>
          </w:p>
        </w:tc>
        <w:tc>
          <w:tcPr>
            <w:tcW w:w="1327" w:type="dxa"/>
            <w:tcBorders>
              <w:top w:val="nil"/>
              <w:bottom w:val="nil"/>
              <w:right w:val="single" w:sz="4" w:space="0" w:color="auto"/>
            </w:tcBorders>
          </w:tcPr>
          <w:p w14:paraId="53439596"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22</w:t>
            </w:r>
            <w:r>
              <w:rPr>
                <w:rFonts w:eastAsia="Times New Roman" w:cs="Arial"/>
                <w:color w:val="auto"/>
                <w:sz w:val="20"/>
                <w:szCs w:val="20"/>
                <w:lang w:eastAsia="en-AU"/>
              </w:rPr>
              <w:t>,</w:t>
            </w:r>
            <w:r w:rsidRPr="00BF0D27">
              <w:rPr>
                <w:rFonts w:eastAsia="Times New Roman" w:cs="Arial"/>
                <w:color w:val="auto"/>
                <w:sz w:val="20"/>
                <w:szCs w:val="20"/>
                <w:lang w:eastAsia="en-AU"/>
              </w:rPr>
              <w:t>429</w:t>
            </w:r>
          </w:p>
        </w:tc>
        <w:tc>
          <w:tcPr>
            <w:tcW w:w="1326" w:type="dxa"/>
            <w:tcBorders>
              <w:top w:val="nil"/>
              <w:bottom w:val="nil"/>
            </w:tcBorders>
          </w:tcPr>
          <w:p w14:paraId="62CE8956"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795</w:t>
            </w:r>
          </w:p>
        </w:tc>
        <w:tc>
          <w:tcPr>
            <w:tcW w:w="1327" w:type="dxa"/>
            <w:tcBorders>
              <w:top w:val="nil"/>
              <w:bottom w:val="nil"/>
            </w:tcBorders>
          </w:tcPr>
          <w:p w14:paraId="28778D06"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552</w:t>
            </w:r>
          </w:p>
        </w:tc>
        <w:tc>
          <w:tcPr>
            <w:tcW w:w="1327" w:type="dxa"/>
            <w:tcBorders>
              <w:top w:val="nil"/>
              <w:left w:val="single" w:sz="4" w:space="0" w:color="auto"/>
              <w:bottom w:val="nil"/>
            </w:tcBorders>
            <w:noWrap/>
            <w:hideMark/>
          </w:tcPr>
          <w:p w14:paraId="0D69DE6C"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787</w:t>
            </w:r>
          </w:p>
        </w:tc>
        <w:tc>
          <w:tcPr>
            <w:tcW w:w="1326" w:type="dxa"/>
            <w:tcBorders>
              <w:top w:val="nil"/>
              <w:bottom w:val="nil"/>
              <w:right w:val="single" w:sz="4" w:space="0" w:color="auto"/>
            </w:tcBorders>
          </w:tcPr>
          <w:p w14:paraId="31869466"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696</w:t>
            </w:r>
          </w:p>
        </w:tc>
        <w:tc>
          <w:tcPr>
            <w:tcW w:w="1327" w:type="dxa"/>
            <w:tcBorders>
              <w:top w:val="nil"/>
              <w:left w:val="single" w:sz="4" w:space="0" w:color="auto"/>
              <w:bottom w:val="nil"/>
              <w:right w:val="nil"/>
            </w:tcBorders>
            <w:noWrap/>
            <w:hideMark/>
          </w:tcPr>
          <w:p w14:paraId="12F7EB9E"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008</w:t>
            </w:r>
          </w:p>
        </w:tc>
        <w:tc>
          <w:tcPr>
            <w:tcW w:w="1326" w:type="dxa"/>
            <w:tcBorders>
              <w:top w:val="nil"/>
              <w:left w:val="nil"/>
              <w:bottom w:val="nil"/>
              <w:right w:val="single" w:sz="4" w:space="0" w:color="auto"/>
            </w:tcBorders>
          </w:tcPr>
          <w:p w14:paraId="4C16C8B7"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954</w:t>
            </w:r>
          </w:p>
        </w:tc>
        <w:tc>
          <w:tcPr>
            <w:tcW w:w="1327" w:type="dxa"/>
            <w:tcBorders>
              <w:top w:val="nil"/>
              <w:left w:val="single" w:sz="4" w:space="0" w:color="auto"/>
              <w:bottom w:val="nil"/>
              <w:right w:val="nil"/>
            </w:tcBorders>
          </w:tcPr>
          <w:p w14:paraId="211EF6CA"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33</w:t>
            </w:r>
            <w:r>
              <w:rPr>
                <w:rFonts w:eastAsia="Times New Roman" w:cs="Arial"/>
                <w:b/>
                <w:color w:val="auto"/>
                <w:sz w:val="20"/>
                <w:szCs w:val="20"/>
                <w:lang w:eastAsia="en-AU"/>
              </w:rPr>
              <w:t>,</w:t>
            </w:r>
            <w:r w:rsidRPr="00BF0D27">
              <w:rPr>
                <w:rFonts w:eastAsia="Times New Roman" w:cs="Arial"/>
                <w:b/>
                <w:color w:val="auto"/>
                <w:sz w:val="20"/>
                <w:szCs w:val="20"/>
                <w:lang w:eastAsia="en-AU"/>
              </w:rPr>
              <w:t>003</w:t>
            </w:r>
          </w:p>
        </w:tc>
        <w:tc>
          <w:tcPr>
            <w:tcW w:w="1327" w:type="dxa"/>
            <w:tcBorders>
              <w:top w:val="nil"/>
              <w:left w:val="nil"/>
              <w:bottom w:val="nil"/>
              <w:right w:val="single" w:sz="4" w:space="0" w:color="auto"/>
            </w:tcBorders>
          </w:tcPr>
          <w:p w14:paraId="3BEE62D9" w14:textId="77777777" w:rsidR="00491382" w:rsidRPr="00BF0D27" w:rsidRDefault="00491382"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26</w:t>
            </w:r>
            <w:r>
              <w:rPr>
                <w:rFonts w:eastAsia="Times New Roman" w:cs="Arial"/>
                <w:b/>
                <w:color w:val="auto"/>
                <w:sz w:val="20"/>
                <w:szCs w:val="20"/>
                <w:lang w:eastAsia="en-AU"/>
              </w:rPr>
              <w:t>,</w:t>
            </w:r>
            <w:r w:rsidRPr="00BF0D27">
              <w:rPr>
                <w:rFonts w:eastAsia="Times New Roman" w:cs="Arial"/>
                <w:b/>
                <w:color w:val="auto"/>
                <w:sz w:val="20"/>
                <w:szCs w:val="20"/>
                <w:lang w:eastAsia="en-AU"/>
              </w:rPr>
              <w:t>332</w:t>
            </w:r>
          </w:p>
        </w:tc>
      </w:tr>
      <w:tr w:rsidR="00441F98" w:rsidRPr="00BF0D27" w14:paraId="2089D9C1"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single" w:sz="4" w:space="0" w:color="auto"/>
              <w:right w:val="single" w:sz="4" w:space="0" w:color="auto"/>
            </w:tcBorders>
          </w:tcPr>
          <w:p w14:paraId="603D5A1D"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2012</w:t>
            </w:r>
          </w:p>
        </w:tc>
        <w:tc>
          <w:tcPr>
            <w:tcW w:w="1326" w:type="dxa"/>
            <w:tcBorders>
              <w:top w:val="nil"/>
              <w:left w:val="single" w:sz="4" w:space="0" w:color="auto"/>
              <w:bottom w:val="single" w:sz="4" w:space="0" w:color="auto"/>
            </w:tcBorders>
            <w:noWrap/>
            <w:hideMark/>
          </w:tcPr>
          <w:p w14:paraId="2CB6EE57"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34</w:t>
            </w:r>
            <w:r>
              <w:rPr>
                <w:rFonts w:eastAsia="Times New Roman" w:cs="Arial"/>
                <w:color w:val="auto"/>
                <w:sz w:val="20"/>
                <w:szCs w:val="20"/>
                <w:lang w:eastAsia="en-AU"/>
              </w:rPr>
              <w:t>,</w:t>
            </w:r>
            <w:r w:rsidRPr="00BF0D27">
              <w:rPr>
                <w:rFonts w:eastAsia="Times New Roman" w:cs="Arial"/>
                <w:color w:val="auto"/>
                <w:sz w:val="20"/>
                <w:szCs w:val="20"/>
                <w:lang w:eastAsia="en-AU"/>
              </w:rPr>
              <w:t>450</w:t>
            </w:r>
          </w:p>
        </w:tc>
        <w:tc>
          <w:tcPr>
            <w:tcW w:w="1327" w:type="dxa"/>
            <w:tcBorders>
              <w:top w:val="nil"/>
              <w:bottom w:val="single" w:sz="4" w:space="0" w:color="auto"/>
              <w:right w:val="single" w:sz="4" w:space="0" w:color="auto"/>
            </w:tcBorders>
          </w:tcPr>
          <w:p w14:paraId="00E2575A"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27</w:t>
            </w:r>
            <w:r>
              <w:rPr>
                <w:rFonts w:eastAsia="Times New Roman" w:cs="Arial"/>
                <w:color w:val="auto"/>
                <w:sz w:val="20"/>
                <w:szCs w:val="20"/>
                <w:lang w:eastAsia="en-AU"/>
              </w:rPr>
              <w:t>,</w:t>
            </w:r>
            <w:r w:rsidRPr="00BF0D27">
              <w:rPr>
                <w:rFonts w:eastAsia="Times New Roman" w:cs="Arial"/>
                <w:color w:val="auto"/>
                <w:sz w:val="20"/>
                <w:szCs w:val="20"/>
                <w:lang w:eastAsia="en-AU"/>
              </w:rPr>
              <w:t>549</w:t>
            </w:r>
          </w:p>
        </w:tc>
        <w:tc>
          <w:tcPr>
            <w:tcW w:w="1326" w:type="dxa"/>
            <w:tcBorders>
              <w:top w:val="nil"/>
              <w:bottom w:val="single" w:sz="4" w:space="0" w:color="auto"/>
            </w:tcBorders>
          </w:tcPr>
          <w:p w14:paraId="063DBFB6"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030</w:t>
            </w:r>
          </w:p>
        </w:tc>
        <w:tc>
          <w:tcPr>
            <w:tcW w:w="1327" w:type="dxa"/>
            <w:tcBorders>
              <w:top w:val="nil"/>
              <w:bottom w:val="single" w:sz="4" w:space="0" w:color="auto"/>
            </w:tcBorders>
          </w:tcPr>
          <w:p w14:paraId="09F05C73"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w:t>
            </w:r>
            <w:r>
              <w:rPr>
                <w:rFonts w:eastAsia="Times New Roman" w:cs="Arial"/>
                <w:color w:val="auto"/>
                <w:sz w:val="20"/>
                <w:szCs w:val="20"/>
                <w:lang w:eastAsia="en-AU"/>
              </w:rPr>
              <w:t>,</w:t>
            </w:r>
            <w:r w:rsidRPr="00BF0D27">
              <w:rPr>
                <w:rFonts w:eastAsia="Times New Roman" w:cs="Arial"/>
                <w:color w:val="auto"/>
                <w:sz w:val="20"/>
                <w:szCs w:val="20"/>
                <w:lang w:eastAsia="en-AU"/>
              </w:rPr>
              <w:t>708</w:t>
            </w:r>
          </w:p>
        </w:tc>
        <w:tc>
          <w:tcPr>
            <w:tcW w:w="1327" w:type="dxa"/>
            <w:tcBorders>
              <w:top w:val="nil"/>
              <w:left w:val="single" w:sz="4" w:space="0" w:color="auto"/>
              <w:bottom w:val="single" w:sz="4" w:space="0" w:color="auto"/>
            </w:tcBorders>
            <w:noWrap/>
            <w:hideMark/>
          </w:tcPr>
          <w:p w14:paraId="651750A5"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617</w:t>
            </w:r>
          </w:p>
        </w:tc>
        <w:tc>
          <w:tcPr>
            <w:tcW w:w="1326" w:type="dxa"/>
            <w:tcBorders>
              <w:top w:val="nil"/>
              <w:bottom w:val="single" w:sz="4" w:space="0" w:color="auto"/>
              <w:right w:val="single" w:sz="4" w:space="0" w:color="auto"/>
            </w:tcBorders>
          </w:tcPr>
          <w:p w14:paraId="4A7DB299"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457</w:t>
            </w:r>
          </w:p>
        </w:tc>
        <w:tc>
          <w:tcPr>
            <w:tcW w:w="1327" w:type="dxa"/>
            <w:tcBorders>
              <w:top w:val="nil"/>
              <w:left w:val="single" w:sz="4" w:space="0" w:color="auto"/>
              <w:bottom w:val="single" w:sz="4" w:space="0" w:color="auto"/>
            </w:tcBorders>
            <w:noWrap/>
            <w:hideMark/>
          </w:tcPr>
          <w:p w14:paraId="53396FC6"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413</w:t>
            </w:r>
          </w:p>
        </w:tc>
        <w:tc>
          <w:tcPr>
            <w:tcW w:w="1326" w:type="dxa"/>
            <w:tcBorders>
              <w:top w:val="nil"/>
              <w:bottom w:val="single" w:sz="4" w:space="0" w:color="auto"/>
              <w:right w:val="single" w:sz="4" w:space="0" w:color="auto"/>
            </w:tcBorders>
          </w:tcPr>
          <w:p w14:paraId="5D81D0C0"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360</w:t>
            </w:r>
          </w:p>
        </w:tc>
        <w:tc>
          <w:tcPr>
            <w:tcW w:w="1327" w:type="dxa"/>
            <w:tcBorders>
              <w:top w:val="nil"/>
              <w:left w:val="single" w:sz="4" w:space="0" w:color="auto"/>
              <w:bottom w:val="single" w:sz="4" w:space="0" w:color="auto"/>
            </w:tcBorders>
          </w:tcPr>
          <w:p w14:paraId="58323D13"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41</w:t>
            </w:r>
            <w:r>
              <w:rPr>
                <w:rFonts w:eastAsia="Times New Roman" w:cs="Arial"/>
                <w:b/>
                <w:color w:val="auto"/>
                <w:sz w:val="20"/>
                <w:szCs w:val="20"/>
                <w:lang w:eastAsia="en-AU"/>
              </w:rPr>
              <w:t>,</w:t>
            </w:r>
            <w:r w:rsidRPr="00BF0D27">
              <w:rPr>
                <w:rFonts w:eastAsia="Times New Roman" w:cs="Arial"/>
                <w:b/>
                <w:color w:val="auto"/>
                <w:sz w:val="20"/>
                <w:szCs w:val="20"/>
                <w:lang w:eastAsia="en-AU"/>
              </w:rPr>
              <w:t>480</w:t>
            </w:r>
          </w:p>
        </w:tc>
        <w:tc>
          <w:tcPr>
            <w:tcW w:w="1327" w:type="dxa"/>
            <w:tcBorders>
              <w:top w:val="nil"/>
              <w:bottom w:val="single" w:sz="4" w:space="0" w:color="auto"/>
              <w:right w:val="single" w:sz="4" w:space="0" w:color="auto"/>
            </w:tcBorders>
          </w:tcPr>
          <w:p w14:paraId="1A5DEE40" w14:textId="77777777" w:rsidR="00491382" w:rsidRPr="00BF0D27" w:rsidRDefault="00491382"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32</w:t>
            </w:r>
            <w:r>
              <w:rPr>
                <w:rFonts w:eastAsia="Times New Roman" w:cs="Arial"/>
                <w:b/>
                <w:color w:val="auto"/>
                <w:sz w:val="20"/>
                <w:szCs w:val="20"/>
                <w:lang w:eastAsia="en-AU"/>
              </w:rPr>
              <w:t>,</w:t>
            </w:r>
            <w:r w:rsidRPr="00BF0D27">
              <w:rPr>
                <w:rFonts w:eastAsia="Times New Roman" w:cs="Arial"/>
                <w:b/>
                <w:color w:val="auto"/>
                <w:sz w:val="20"/>
                <w:szCs w:val="20"/>
                <w:lang w:eastAsia="en-AU"/>
              </w:rPr>
              <w:t>119</w:t>
            </w:r>
          </w:p>
        </w:tc>
      </w:tr>
      <w:tr w:rsidR="002418F8" w:rsidRPr="00BF0D27" w14:paraId="3385CBEA"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373860C" w14:textId="77777777" w:rsidR="00491382" w:rsidRPr="00BF0D27" w:rsidRDefault="00491382" w:rsidP="00CE2FDF">
            <w:pPr>
              <w:spacing w:before="0" w:after="60" w:line="276" w:lineRule="auto"/>
              <w:rPr>
                <w:rFonts w:cs="Arial"/>
                <w:b w:val="0"/>
                <w:bCs w:val="0"/>
                <w:color w:val="auto"/>
                <w:sz w:val="20"/>
                <w:szCs w:val="20"/>
              </w:rPr>
            </w:pPr>
            <w:r w:rsidRPr="00BF0D27">
              <w:rPr>
                <w:rFonts w:cs="Arial"/>
                <w:color w:val="auto"/>
                <w:sz w:val="20"/>
                <w:szCs w:val="20"/>
              </w:rPr>
              <w:t>Totals:</w:t>
            </w:r>
          </w:p>
        </w:tc>
        <w:tc>
          <w:tcPr>
            <w:tcW w:w="1326" w:type="dxa"/>
            <w:tcBorders>
              <w:top w:val="single" w:sz="4" w:space="0" w:color="auto"/>
              <w:left w:val="single" w:sz="4" w:space="0" w:color="auto"/>
              <w:bottom w:val="single" w:sz="4" w:space="0" w:color="auto"/>
            </w:tcBorders>
            <w:shd w:val="clear" w:color="auto" w:fill="C2D69B" w:themeFill="accent3" w:themeFillTint="99"/>
            <w:noWrap/>
            <w:hideMark/>
          </w:tcPr>
          <w:p w14:paraId="61EA5865"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153</w:t>
            </w:r>
            <w:r>
              <w:rPr>
                <w:rFonts w:eastAsia="Times New Roman" w:cs="Arial"/>
                <w:b/>
                <w:color w:val="auto"/>
                <w:sz w:val="20"/>
                <w:szCs w:val="20"/>
                <w:lang w:eastAsia="en-AU"/>
              </w:rPr>
              <w:t>,</w:t>
            </w:r>
            <w:r w:rsidRPr="00BF0D27">
              <w:rPr>
                <w:rFonts w:eastAsia="Times New Roman" w:cs="Arial"/>
                <w:b/>
                <w:color w:val="auto"/>
                <w:sz w:val="20"/>
                <w:szCs w:val="20"/>
                <w:lang w:eastAsia="en-AU"/>
              </w:rPr>
              <w:t>930</w:t>
            </w:r>
          </w:p>
        </w:tc>
        <w:tc>
          <w:tcPr>
            <w:tcW w:w="1327" w:type="dxa"/>
            <w:tcBorders>
              <w:top w:val="single" w:sz="4" w:space="0" w:color="auto"/>
              <w:bottom w:val="single" w:sz="4" w:space="0" w:color="auto"/>
              <w:right w:val="single" w:sz="4" w:space="0" w:color="auto"/>
            </w:tcBorders>
            <w:shd w:val="clear" w:color="auto" w:fill="C2D69B" w:themeFill="accent3" w:themeFillTint="99"/>
          </w:tcPr>
          <w:p w14:paraId="764DF2F4" w14:textId="77777777" w:rsidR="00491382"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491382"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491382" w:rsidRPr="00BF0D27">
              <w:rPr>
                <w:rFonts w:eastAsia="Times New Roman" w:cs="Arial"/>
                <w:b/>
                <w:noProof/>
                <w:color w:val="auto"/>
                <w:sz w:val="20"/>
                <w:szCs w:val="20"/>
                <w:lang w:eastAsia="en-AU"/>
              </w:rPr>
              <w:t>131</w:t>
            </w:r>
            <w:r w:rsidR="00491382">
              <w:rPr>
                <w:rFonts w:eastAsia="Times New Roman" w:cs="Arial"/>
                <w:b/>
                <w:noProof/>
                <w:color w:val="auto"/>
                <w:sz w:val="20"/>
                <w:szCs w:val="20"/>
                <w:lang w:eastAsia="en-AU"/>
              </w:rPr>
              <w:t>,</w:t>
            </w:r>
            <w:r w:rsidR="00491382" w:rsidRPr="00BF0D27">
              <w:rPr>
                <w:rFonts w:eastAsia="Times New Roman" w:cs="Arial"/>
                <w:b/>
                <w:noProof/>
                <w:color w:val="auto"/>
                <w:sz w:val="20"/>
                <w:szCs w:val="20"/>
                <w:lang w:eastAsia="en-AU"/>
              </w:rPr>
              <w:t>953</w:t>
            </w:r>
            <w:r w:rsidRPr="00BF0D27">
              <w:rPr>
                <w:rFonts w:eastAsia="Times New Roman" w:cs="Arial"/>
                <w:b/>
                <w:sz w:val="20"/>
                <w:szCs w:val="20"/>
                <w:lang w:eastAsia="en-AU"/>
              </w:rPr>
              <w:fldChar w:fldCharType="end"/>
            </w:r>
          </w:p>
        </w:tc>
        <w:tc>
          <w:tcPr>
            <w:tcW w:w="1326" w:type="dxa"/>
            <w:tcBorders>
              <w:top w:val="single" w:sz="4" w:space="0" w:color="auto"/>
              <w:bottom w:val="single" w:sz="4" w:space="0" w:color="auto"/>
            </w:tcBorders>
            <w:shd w:val="clear" w:color="auto" w:fill="C2D69B" w:themeFill="accent3" w:themeFillTint="99"/>
          </w:tcPr>
          <w:p w14:paraId="276E79CC"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43</w:t>
            </w:r>
            <w:r>
              <w:rPr>
                <w:rFonts w:eastAsia="Times New Roman" w:cs="Arial"/>
                <w:b/>
                <w:color w:val="auto"/>
                <w:sz w:val="20"/>
                <w:szCs w:val="20"/>
                <w:lang w:eastAsia="en-AU"/>
              </w:rPr>
              <w:t>,</w:t>
            </w:r>
            <w:r w:rsidRPr="00BF0D27">
              <w:rPr>
                <w:rFonts w:eastAsia="Times New Roman" w:cs="Arial"/>
                <w:b/>
                <w:color w:val="auto"/>
                <w:sz w:val="20"/>
                <w:szCs w:val="20"/>
                <w:lang w:eastAsia="en-AU"/>
              </w:rPr>
              <w:t>897</w:t>
            </w:r>
          </w:p>
        </w:tc>
        <w:tc>
          <w:tcPr>
            <w:tcW w:w="1327" w:type="dxa"/>
            <w:tcBorders>
              <w:top w:val="single" w:sz="4" w:space="0" w:color="auto"/>
              <w:bottom w:val="single" w:sz="4" w:space="0" w:color="auto"/>
            </w:tcBorders>
            <w:shd w:val="clear" w:color="auto" w:fill="C2D69B" w:themeFill="accent3" w:themeFillTint="99"/>
          </w:tcPr>
          <w:p w14:paraId="54434406" w14:textId="77777777" w:rsidR="00491382"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491382"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491382" w:rsidRPr="00BF0D27">
              <w:rPr>
                <w:rFonts w:eastAsia="Times New Roman" w:cs="Arial"/>
                <w:b/>
                <w:noProof/>
                <w:color w:val="auto"/>
                <w:sz w:val="20"/>
                <w:szCs w:val="20"/>
                <w:lang w:eastAsia="en-AU"/>
              </w:rPr>
              <w:t>42</w:t>
            </w:r>
            <w:r w:rsidR="00491382">
              <w:rPr>
                <w:rFonts w:eastAsia="Times New Roman" w:cs="Arial"/>
                <w:b/>
                <w:noProof/>
                <w:color w:val="auto"/>
                <w:sz w:val="20"/>
                <w:szCs w:val="20"/>
                <w:lang w:eastAsia="en-AU"/>
              </w:rPr>
              <w:t>,</w:t>
            </w:r>
            <w:r w:rsidR="00491382" w:rsidRPr="00BF0D27">
              <w:rPr>
                <w:rFonts w:eastAsia="Times New Roman" w:cs="Arial"/>
                <w:b/>
                <w:noProof/>
                <w:color w:val="auto"/>
                <w:sz w:val="20"/>
                <w:szCs w:val="20"/>
                <w:lang w:eastAsia="en-AU"/>
              </w:rPr>
              <w:t>013</w:t>
            </w:r>
            <w:r w:rsidRPr="00BF0D27">
              <w:rPr>
                <w:rFonts w:eastAsia="Times New Roman" w:cs="Arial"/>
                <w:b/>
                <w:sz w:val="20"/>
                <w:szCs w:val="20"/>
                <w:lang w:eastAsia="en-AU"/>
              </w:rPr>
              <w:fldChar w:fldCharType="end"/>
            </w:r>
          </w:p>
        </w:tc>
        <w:tc>
          <w:tcPr>
            <w:tcW w:w="1327" w:type="dxa"/>
            <w:tcBorders>
              <w:top w:val="single" w:sz="4" w:space="0" w:color="auto"/>
              <w:left w:val="single" w:sz="4" w:space="0" w:color="auto"/>
              <w:bottom w:val="single" w:sz="4" w:space="0" w:color="auto"/>
            </w:tcBorders>
            <w:shd w:val="clear" w:color="auto" w:fill="C2D69B" w:themeFill="accent3" w:themeFillTint="99"/>
            <w:noWrap/>
            <w:hideMark/>
          </w:tcPr>
          <w:p w14:paraId="33958DDF"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29</w:t>
            </w:r>
            <w:r>
              <w:rPr>
                <w:rFonts w:eastAsia="Times New Roman" w:cs="Arial"/>
                <w:b/>
                <w:color w:val="auto"/>
                <w:sz w:val="20"/>
                <w:szCs w:val="20"/>
                <w:lang w:eastAsia="en-AU"/>
              </w:rPr>
              <w:t>,</w:t>
            </w:r>
            <w:r w:rsidRPr="00BF0D27">
              <w:rPr>
                <w:rFonts w:eastAsia="Times New Roman" w:cs="Arial"/>
                <w:b/>
                <w:color w:val="auto"/>
                <w:sz w:val="20"/>
                <w:szCs w:val="20"/>
                <w:lang w:eastAsia="en-AU"/>
              </w:rPr>
              <w:t>106</w:t>
            </w:r>
          </w:p>
        </w:tc>
        <w:tc>
          <w:tcPr>
            <w:tcW w:w="1326" w:type="dxa"/>
            <w:tcBorders>
              <w:top w:val="single" w:sz="4" w:space="0" w:color="auto"/>
              <w:bottom w:val="single" w:sz="4" w:space="0" w:color="auto"/>
              <w:right w:val="single" w:sz="4" w:space="0" w:color="auto"/>
            </w:tcBorders>
            <w:shd w:val="clear" w:color="auto" w:fill="C2D69B" w:themeFill="accent3" w:themeFillTint="99"/>
          </w:tcPr>
          <w:p w14:paraId="0B7068E0" w14:textId="77777777" w:rsidR="00491382"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491382"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491382" w:rsidRPr="00BF0D27">
              <w:rPr>
                <w:rFonts w:eastAsia="Times New Roman" w:cs="Arial"/>
                <w:b/>
                <w:noProof/>
                <w:color w:val="auto"/>
                <w:sz w:val="20"/>
                <w:szCs w:val="20"/>
                <w:lang w:eastAsia="en-AU"/>
              </w:rPr>
              <w:t>28</w:t>
            </w:r>
            <w:r w:rsidR="00491382">
              <w:rPr>
                <w:rFonts w:eastAsia="Times New Roman" w:cs="Arial"/>
                <w:b/>
                <w:noProof/>
                <w:color w:val="auto"/>
                <w:sz w:val="20"/>
                <w:szCs w:val="20"/>
                <w:lang w:eastAsia="en-AU"/>
              </w:rPr>
              <w:t>,</w:t>
            </w:r>
            <w:r w:rsidR="00491382" w:rsidRPr="00BF0D27">
              <w:rPr>
                <w:rFonts w:eastAsia="Times New Roman" w:cs="Arial"/>
                <w:b/>
                <w:noProof/>
                <w:color w:val="auto"/>
                <w:sz w:val="20"/>
                <w:szCs w:val="20"/>
                <w:lang w:eastAsia="en-AU"/>
              </w:rPr>
              <w:t>338</w:t>
            </w:r>
            <w:r w:rsidRPr="00BF0D27">
              <w:rPr>
                <w:rFonts w:eastAsia="Times New Roman" w:cs="Arial"/>
                <w:b/>
                <w:sz w:val="20"/>
                <w:szCs w:val="20"/>
                <w:lang w:eastAsia="en-AU"/>
              </w:rPr>
              <w:fldChar w:fldCharType="end"/>
            </w:r>
          </w:p>
        </w:tc>
        <w:tc>
          <w:tcPr>
            <w:tcW w:w="1327" w:type="dxa"/>
            <w:tcBorders>
              <w:top w:val="single" w:sz="4" w:space="0" w:color="auto"/>
              <w:left w:val="single" w:sz="4" w:space="0" w:color="auto"/>
              <w:bottom w:val="single" w:sz="4" w:space="0" w:color="auto"/>
              <w:right w:val="nil"/>
            </w:tcBorders>
            <w:shd w:val="clear" w:color="auto" w:fill="C2D69B" w:themeFill="accent3" w:themeFillTint="99"/>
            <w:noWrap/>
            <w:hideMark/>
          </w:tcPr>
          <w:p w14:paraId="72740A13"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14</w:t>
            </w:r>
            <w:r>
              <w:rPr>
                <w:rFonts w:eastAsia="Times New Roman" w:cs="Arial"/>
                <w:b/>
                <w:color w:val="auto"/>
                <w:sz w:val="20"/>
                <w:szCs w:val="20"/>
                <w:lang w:eastAsia="en-AU"/>
              </w:rPr>
              <w:t>,</w:t>
            </w:r>
            <w:r w:rsidRPr="00BF0D27">
              <w:rPr>
                <w:rFonts w:eastAsia="Times New Roman" w:cs="Arial"/>
                <w:b/>
                <w:color w:val="auto"/>
                <w:sz w:val="20"/>
                <w:szCs w:val="20"/>
                <w:lang w:eastAsia="en-AU"/>
              </w:rPr>
              <w:t>791</w:t>
            </w:r>
          </w:p>
        </w:tc>
        <w:tc>
          <w:tcPr>
            <w:tcW w:w="1326" w:type="dxa"/>
            <w:tcBorders>
              <w:top w:val="single" w:sz="4" w:space="0" w:color="auto"/>
              <w:left w:val="nil"/>
              <w:bottom w:val="single" w:sz="4" w:space="0" w:color="auto"/>
              <w:right w:val="single" w:sz="4" w:space="0" w:color="auto"/>
            </w:tcBorders>
            <w:shd w:val="clear" w:color="auto" w:fill="C2D69B" w:themeFill="accent3" w:themeFillTint="99"/>
          </w:tcPr>
          <w:p w14:paraId="68B37DA6" w14:textId="77777777" w:rsidR="00491382"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491382"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491382" w:rsidRPr="00BF0D27">
              <w:rPr>
                <w:rFonts w:eastAsia="Times New Roman" w:cs="Arial"/>
                <w:b/>
                <w:noProof/>
                <w:color w:val="auto"/>
                <w:sz w:val="20"/>
                <w:szCs w:val="20"/>
                <w:lang w:eastAsia="en-AU"/>
              </w:rPr>
              <w:t>14</w:t>
            </w:r>
            <w:r w:rsidR="00491382">
              <w:rPr>
                <w:rFonts w:eastAsia="Times New Roman" w:cs="Arial"/>
                <w:b/>
                <w:noProof/>
                <w:color w:val="auto"/>
                <w:sz w:val="20"/>
                <w:szCs w:val="20"/>
                <w:lang w:eastAsia="en-AU"/>
              </w:rPr>
              <w:t>,</w:t>
            </w:r>
            <w:r w:rsidR="00491382" w:rsidRPr="00BF0D27">
              <w:rPr>
                <w:rFonts w:eastAsia="Times New Roman" w:cs="Arial"/>
                <w:b/>
                <w:noProof/>
                <w:color w:val="auto"/>
                <w:sz w:val="20"/>
                <w:szCs w:val="20"/>
                <w:lang w:eastAsia="en-AU"/>
              </w:rPr>
              <w:t>452</w:t>
            </w:r>
            <w:r w:rsidRPr="00BF0D27">
              <w:rPr>
                <w:rFonts w:eastAsia="Times New Roman" w:cs="Arial"/>
                <w:b/>
                <w:sz w:val="20"/>
                <w:szCs w:val="20"/>
                <w:lang w:eastAsia="en-AU"/>
              </w:rPr>
              <w:fldChar w:fldCharType="end"/>
            </w:r>
          </w:p>
        </w:tc>
        <w:tc>
          <w:tcPr>
            <w:tcW w:w="1327" w:type="dxa"/>
            <w:tcBorders>
              <w:top w:val="single" w:sz="4" w:space="0" w:color="auto"/>
              <w:left w:val="single" w:sz="4" w:space="0" w:color="auto"/>
              <w:bottom w:val="single" w:sz="4" w:space="0" w:color="auto"/>
              <w:right w:val="nil"/>
            </w:tcBorders>
            <w:shd w:val="clear" w:color="auto" w:fill="C2D69B" w:themeFill="accent3" w:themeFillTint="99"/>
          </w:tcPr>
          <w:p w14:paraId="48E84828" w14:textId="77777777" w:rsidR="00491382" w:rsidRPr="00BF0D27" w:rsidRDefault="00491382"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197</w:t>
            </w:r>
            <w:r>
              <w:rPr>
                <w:rFonts w:eastAsia="Times New Roman" w:cs="Arial"/>
                <w:b/>
                <w:color w:val="auto"/>
                <w:sz w:val="20"/>
                <w:szCs w:val="20"/>
                <w:lang w:eastAsia="en-AU"/>
              </w:rPr>
              <w:t>,</w:t>
            </w:r>
            <w:r w:rsidRPr="00BF0D27">
              <w:rPr>
                <w:rFonts w:eastAsia="Times New Roman" w:cs="Arial"/>
                <w:b/>
                <w:color w:val="auto"/>
                <w:sz w:val="20"/>
                <w:szCs w:val="20"/>
                <w:lang w:eastAsia="en-AU"/>
              </w:rPr>
              <w:t>827</w:t>
            </w:r>
          </w:p>
        </w:tc>
        <w:tc>
          <w:tcPr>
            <w:tcW w:w="1327" w:type="dxa"/>
            <w:tcBorders>
              <w:top w:val="single" w:sz="4" w:space="0" w:color="auto"/>
              <w:left w:val="nil"/>
              <w:bottom w:val="single" w:sz="4" w:space="0" w:color="auto"/>
              <w:right w:val="single" w:sz="4" w:space="0" w:color="auto"/>
            </w:tcBorders>
            <w:shd w:val="clear" w:color="auto" w:fill="C2D69B" w:themeFill="accent3" w:themeFillTint="99"/>
          </w:tcPr>
          <w:p w14:paraId="1225143B" w14:textId="77777777" w:rsidR="00491382"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491382"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491382" w:rsidRPr="00BF0D27">
              <w:rPr>
                <w:rFonts w:eastAsia="Times New Roman" w:cs="Arial"/>
                <w:b/>
                <w:noProof/>
                <w:color w:val="auto"/>
                <w:sz w:val="20"/>
                <w:szCs w:val="20"/>
                <w:lang w:eastAsia="en-AU"/>
              </w:rPr>
              <w:t>165</w:t>
            </w:r>
            <w:r w:rsidR="00491382">
              <w:rPr>
                <w:rFonts w:eastAsia="Times New Roman" w:cs="Arial"/>
                <w:b/>
                <w:noProof/>
                <w:color w:val="auto"/>
                <w:sz w:val="20"/>
                <w:szCs w:val="20"/>
                <w:lang w:eastAsia="en-AU"/>
              </w:rPr>
              <w:t>,</w:t>
            </w:r>
            <w:r w:rsidR="00491382" w:rsidRPr="00BF0D27">
              <w:rPr>
                <w:rFonts w:eastAsia="Times New Roman" w:cs="Arial"/>
                <w:b/>
                <w:noProof/>
                <w:color w:val="auto"/>
                <w:sz w:val="20"/>
                <w:szCs w:val="20"/>
                <w:lang w:eastAsia="en-AU"/>
              </w:rPr>
              <w:t>085</w:t>
            </w:r>
            <w:r w:rsidRPr="00BF0D27">
              <w:rPr>
                <w:rFonts w:eastAsia="Times New Roman" w:cs="Arial"/>
                <w:b/>
                <w:sz w:val="20"/>
                <w:szCs w:val="20"/>
                <w:lang w:eastAsia="en-AU"/>
              </w:rPr>
              <w:fldChar w:fldCharType="end"/>
            </w:r>
          </w:p>
        </w:tc>
      </w:tr>
    </w:tbl>
    <w:p w14:paraId="2EEC977E" w14:textId="77777777" w:rsidR="00441F98" w:rsidRDefault="00441F98" w:rsidP="00B15586">
      <w:pPr>
        <w:spacing w:after="200" w:line="276" w:lineRule="auto"/>
        <w:rPr>
          <w:rFonts w:asciiTheme="majorHAnsi" w:eastAsiaTheme="majorEastAsia" w:hAnsiTheme="majorHAnsi" w:cstheme="majorBidi"/>
          <w:b/>
          <w:bCs/>
          <w:color w:val="17365D" w:themeColor="text2" w:themeShade="BF"/>
          <w:sz w:val="26"/>
          <w:szCs w:val="26"/>
        </w:rPr>
      </w:pPr>
      <w:r>
        <w:br w:type="page"/>
      </w:r>
    </w:p>
    <w:p w14:paraId="457C7B30" w14:textId="77777777" w:rsidR="00EE4C8A" w:rsidRDefault="00EE4C8A" w:rsidP="0095311F">
      <w:pPr>
        <w:pStyle w:val="Figureheading"/>
      </w:pPr>
      <w:r>
        <w:lastRenderedPageBreak/>
        <w:t>3.10</w:t>
      </w:r>
      <w:r>
        <w:tab/>
        <w:t>Number of reports of neglect, and distinct children in reports, by outcome, by year</w:t>
      </w:r>
    </w:p>
    <w:tbl>
      <w:tblPr>
        <w:tblStyle w:val="LightShading-Accent5"/>
        <w:tblW w:w="143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Number of reports of neglect, and distinct children in reports, by outcome, by year"/>
      </w:tblPr>
      <w:tblGrid>
        <w:gridCol w:w="993"/>
        <w:gridCol w:w="1339"/>
        <w:gridCol w:w="1340"/>
        <w:gridCol w:w="1340"/>
        <w:gridCol w:w="1340"/>
        <w:gridCol w:w="1340"/>
        <w:gridCol w:w="1339"/>
        <w:gridCol w:w="1340"/>
        <w:gridCol w:w="1340"/>
        <w:gridCol w:w="1340"/>
        <w:gridCol w:w="1340"/>
      </w:tblGrid>
      <w:tr w:rsidR="00EE4C8A" w:rsidRPr="00BF0D27" w14:paraId="22B9C16E" w14:textId="77777777" w:rsidTr="001143B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nil"/>
              <w:right w:val="single" w:sz="4" w:space="0" w:color="auto"/>
            </w:tcBorders>
            <w:shd w:val="clear" w:color="auto" w:fill="B6DDE8" w:themeFill="accent5" w:themeFillTint="66"/>
            <w:noWrap/>
            <w:hideMark/>
          </w:tcPr>
          <w:p w14:paraId="538EC60A" w14:textId="77777777" w:rsidR="00D7469D" w:rsidRPr="00BF0D27" w:rsidRDefault="00D7469D" w:rsidP="00CE2FDF">
            <w:pPr>
              <w:keepNext/>
              <w:spacing w:before="0" w:line="276" w:lineRule="auto"/>
              <w:jc w:val="center"/>
              <w:rPr>
                <w:rFonts w:eastAsia="Times New Roman" w:cs="Arial"/>
                <w:bCs w:val="0"/>
                <w:color w:val="auto"/>
                <w:sz w:val="20"/>
                <w:szCs w:val="20"/>
                <w:lang w:eastAsia="en-AU"/>
              </w:rPr>
            </w:pPr>
          </w:p>
        </w:tc>
        <w:tc>
          <w:tcPr>
            <w:tcW w:w="267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750532A" w14:textId="77777777" w:rsidR="00D7469D" w:rsidRPr="00BF0D27" w:rsidRDefault="00D7469D" w:rsidP="00CE2FDF">
            <w:pPr>
              <w:keepNext/>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Not investigated</w:t>
            </w:r>
          </w:p>
        </w:tc>
        <w:tc>
          <w:tcPr>
            <w:tcW w:w="268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F932A74" w14:textId="77777777" w:rsidR="00D7469D" w:rsidRPr="00BF0D27" w:rsidRDefault="00D7469D" w:rsidP="00CE2FDF">
            <w:pPr>
              <w:keepNext/>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Investigated</w:t>
            </w:r>
          </w:p>
        </w:tc>
        <w:tc>
          <w:tcPr>
            <w:tcW w:w="267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BD086D2" w14:textId="77777777" w:rsidR="00D7469D" w:rsidRPr="00BF0D27" w:rsidRDefault="00D7469D" w:rsidP="00CE2FDF">
            <w:pPr>
              <w:keepNext/>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Substantiated</w:t>
            </w:r>
          </w:p>
        </w:tc>
        <w:tc>
          <w:tcPr>
            <w:tcW w:w="268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D10898" w14:textId="77777777" w:rsidR="00D7469D" w:rsidRPr="00BF0D27" w:rsidRDefault="00D7469D" w:rsidP="00CE2FDF">
            <w:pPr>
              <w:keepNext/>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Not substantiated</w:t>
            </w:r>
          </w:p>
        </w:tc>
        <w:tc>
          <w:tcPr>
            <w:tcW w:w="268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343950D" w14:textId="77777777" w:rsidR="00D7469D" w:rsidRPr="00BF0D27" w:rsidRDefault="00D7469D" w:rsidP="00CE2FDF">
            <w:pPr>
              <w:keepNext/>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Total</w:t>
            </w:r>
          </w:p>
        </w:tc>
      </w:tr>
      <w:tr w:rsidR="002418F8" w:rsidRPr="00BF0D27" w14:paraId="07F99B56" w14:textId="77777777" w:rsidTr="007122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single" w:sz="4" w:space="0" w:color="auto"/>
              <w:right w:val="single" w:sz="4" w:space="0" w:color="auto"/>
            </w:tcBorders>
            <w:shd w:val="clear" w:color="auto" w:fill="B6DDE8" w:themeFill="accent5" w:themeFillTint="66"/>
            <w:noWrap/>
            <w:hideMark/>
          </w:tcPr>
          <w:p w14:paraId="4B3E6B28" w14:textId="77777777" w:rsidR="00D574FC" w:rsidRPr="00BF0D27" w:rsidRDefault="00D574FC" w:rsidP="00CE2FDF">
            <w:pPr>
              <w:keepNext/>
              <w:spacing w:before="0" w:after="60" w:line="276" w:lineRule="auto"/>
              <w:rPr>
                <w:rFonts w:eastAsia="Times New Roman" w:cs="Arial"/>
                <w:color w:val="auto"/>
                <w:sz w:val="20"/>
                <w:szCs w:val="20"/>
                <w:lang w:eastAsia="en-AU"/>
              </w:rPr>
            </w:pPr>
          </w:p>
        </w:tc>
        <w:tc>
          <w:tcPr>
            <w:tcW w:w="1339" w:type="dxa"/>
            <w:tcBorders>
              <w:top w:val="single" w:sz="4" w:space="0" w:color="auto"/>
              <w:left w:val="single" w:sz="4" w:space="0" w:color="auto"/>
              <w:bottom w:val="single" w:sz="4" w:space="0" w:color="auto"/>
            </w:tcBorders>
            <w:shd w:val="clear" w:color="auto" w:fill="B6DDE8" w:themeFill="accent5" w:themeFillTint="66"/>
            <w:vAlign w:val="center"/>
          </w:tcPr>
          <w:p w14:paraId="34A1C156"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40" w:type="dxa"/>
            <w:tcBorders>
              <w:top w:val="single" w:sz="4" w:space="0" w:color="auto"/>
              <w:bottom w:val="single" w:sz="4" w:space="0" w:color="auto"/>
              <w:right w:val="single" w:sz="4" w:space="0" w:color="auto"/>
            </w:tcBorders>
            <w:shd w:val="clear" w:color="auto" w:fill="B6DDE8" w:themeFill="accent5" w:themeFillTint="66"/>
            <w:vAlign w:val="center"/>
          </w:tcPr>
          <w:p w14:paraId="3C82D7FC"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340" w:type="dxa"/>
            <w:tcBorders>
              <w:top w:val="single" w:sz="4" w:space="0" w:color="auto"/>
              <w:left w:val="single" w:sz="4" w:space="0" w:color="auto"/>
              <w:bottom w:val="single" w:sz="4" w:space="0" w:color="auto"/>
            </w:tcBorders>
            <w:shd w:val="clear" w:color="auto" w:fill="B6DDE8" w:themeFill="accent5" w:themeFillTint="66"/>
            <w:vAlign w:val="center"/>
          </w:tcPr>
          <w:p w14:paraId="02A4ACED"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40" w:type="dxa"/>
            <w:tcBorders>
              <w:top w:val="single" w:sz="4" w:space="0" w:color="auto"/>
              <w:bottom w:val="single" w:sz="4" w:space="0" w:color="auto"/>
              <w:right w:val="single" w:sz="4" w:space="0" w:color="auto"/>
            </w:tcBorders>
            <w:shd w:val="clear" w:color="auto" w:fill="B6DDE8" w:themeFill="accent5" w:themeFillTint="66"/>
            <w:vAlign w:val="center"/>
          </w:tcPr>
          <w:p w14:paraId="028AB36D"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340" w:type="dxa"/>
            <w:tcBorders>
              <w:top w:val="single" w:sz="4" w:space="0" w:color="auto"/>
              <w:left w:val="single" w:sz="4" w:space="0" w:color="auto"/>
              <w:bottom w:val="single" w:sz="4" w:space="0" w:color="auto"/>
            </w:tcBorders>
            <w:shd w:val="clear" w:color="auto" w:fill="B6DDE8" w:themeFill="accent5" w:themeFillTint="66"/>
            <w:vAlign w:val="center"/>
          </w:tcPr>
          <w:p w14:paraId="1E122056"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39" w:type="dxa"/>
            <w:tcBorders>
              <w:top w:val="single" w:sz="4" w:space="0" w:color="auto"/>
              <w:bottom w:val="single" w:sz="4" w:space="0" w:color="auto"/>
              <w:right w:val="single" w:sz="4" w:space="0" w:color="auto"/>
            </w:tcBorders>
            <w:shd w:val="clear" w:color="auto" w:fill="B6DDE8" w:themeFill="accent5" w:themeFillTint="66"/>
            <w:vAlign w:val="center"/>
          </w:tcPr>
          <w:p w14:paraId="386F5582"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340" w:type="dxa"/>
            <w:tcBorders>
              <w:top w:val="single" w:sz="4" w:space="0" w:color="auto"/>
              <w:left w:val="single" w:sz="4" w:space="0" w:color="auto"/>
              <w:bottom w:val="single" w:sz="4" w:space="0" w:color="auto"/>
            </w:tcBorders>
            <w:shd w:val="clear" w:color="auto" w:fill="B6DDE8" w:themeFill="accent5" w:themeFillTint="66"/>
            <w:vAlign w:val="center"/>
          </w:tcPr>
          <w:p w14:paraId="22303F5C"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40" w:type="dxa"/>
            <w:tcBorders>
              <w:top w:val="single" w:sz="4" w:space="0" w:color="auto"/>
              <w:bottom w:val="single" w:sz="4" w:space="0" w:color="auto"/>
              <w:right w:val="single" w:sz="4" w:space="0" w:color="auto"/>
            </w:tcBorders>
            <w:shd w:val="clear" w:color="auto" w:fill="B6DDE8" w:themeFill="accent5" w:themeFillTint="66"/>
            <w:vAlign w:val="center"/>
          </w:tcPr>
          <w:p w14:paraId="2FFB6BD0"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340" w:type="dxa"/>
            <w:tcBorders>
              <w:top w:val="single" w:sz="4" w:space="0" w:color="auto"/>
              <w:left w:val="single" w:sz="4" w:space="0" w:color="auto"/>
              <w:bottom w:val="single" w:sz="4" w:space="0" w:color="auto"/>
            </w:tcBorders>
            <w:shd w:val="clear" w:color="auto" w:fill="B6DDE8" w:themeFill="accent5" w:themeFillTint="66"/>
            <w:vAlign w:val="center"/>
          </w:tcPr>
          <w:p w14:paraId="5B63D7AA"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40" w:type="dxa"/>
            <w:tcBorders>
              <w:top w:val="single" w:sz="4" w:space="0" w:color="auto"/>
              <w:bottom w:val="single" w:sz="4" w:space="0" w:color="auto"/>
              <w:right w:val="single" w:sz="4" w:space="0" w:color="auto"/>
            </w:tcBorders>
            <w:shd w:val="clear" w:color="auto" w:fill="B6DDE8" w:themeFill="accent5" w:themeFillTint="66"/>
            <w:vAlign w:val="center"/>
          </w:tcPr>
          <w:p w14:paraId="20556B14"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r>
      <w:tr w:rsidR="00EE4C8A" w:rsidRPr="00BF0D27" w14:paraId="4696F7F9"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right w:val="single" w:sz="4" w:space="0" w:color="auto"/>
            </w:tcBorders>
            <w:noWrap/>
            <w:hideMark/>
          </w:tcPr>
          <w:p w14:paraId="0DC8E725" w14:textId="77777777" w:rsidR="00D7469D" w:rsidRPr="00BF0D27" w:rsidRDefault="00D7469D" w:rsidP="00CE2FDF">
            <w:pPr>
              <w:keepNext/>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2003</w:t>
            </w:r>
          </w:p>
        </w:tc>
        <w:tc>
          <w:tcPr>
            <w:tcW w:w="1339" w:type="dxa"/>
            <w:tcBorders>
              <w:top w:val="single" w:sz="4" w:space="0" w:color="auto"/>
              <w:left w:val="single" w:sz="4" w:space="0" w:color="auto"/>
            </w:tcBorders>
          </w:tcPr>
          <w:p w14:paraId="6F58330E"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8</w:t>
            </w:r>
            <w:r>
              <w:rPr>
                <w:rFonts w:cs="Arial"/>
                <w:color w:val="auto"/>
                <w:sz w:val="20"/>
                <w:szCs w:val="20"/>
              </w:rPr>
              <w:t>,</w:t>
            </w:r>
            <w:r w:rsidRPr="00BF0D27">
              <w:rPr>
                <w:rFonts w:cs="Arial"/>
                <w:color w:val="auto"/>
                <w:sz w:val="20"/>
                <w:szCs w:val="20"/>
              </w:rPr>
              <w:t>553</w:t>
            </w:r>
          </w:p>
        </w:tc>
        <w:tc>
          <w:tcPr>
            <w:tcW w:w="1340" w:type="dxa"/>
            <w:tcBorders>
              <w:top w:val="single" w:sz="4" w:space="0" w:color="auto"/>
              <w:right w:val="single" w:sz="4" w:space="0" w:color="auto"/>
            </w:tcBorders>
          </w:tcPr>
          <w:p w14:paraId="25AB9E44"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474</w:t>
            </w:r>
          </w:p>
        </w:tc>
        <w:tc>
          <w:tcPr>
            <w:tcW w:w="1340" w:type="dxa"/>
            <w:tcBorders>
              <w:top w:val="single" w:sz="4" w:space="0" w:color="auto"/>
              <w:left w:val="single" w:sz="4" w:space="0" w:color="auto"/>
            </w:tcBorders>
          </w:tcPr>
          <w:p w14:paraId="43E36C0C"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3</w:t>
            </w:r>
            <w:r>
              <w:rPr>
                <w:rFonts w:cs="Arial"/>
                <w:color w:val="auto"/>
                <w:sz w:val="20"/>
                <w:szCs w:val="20"/>
              </w:rPr>
              <w:t>,</w:t>
            </w:r>
            <w:r w:rsidRPr="00BF0D27">
              <w:rPr>
                <w:rFonts w:cs="Arial"/>
                <w:color w:val="auto"/>
                <w:sz w:val="20"/>
                <w:szCs w:val="20"/>
              </w:rPr>
              <w:t>476</w:t>
            </w:r>
          </w:p>
        </w:tc>
        <w:tc>
          <w:tcPr>
            <w:tcW w:w="1340" w:type="dxa"/>
            <w:tcBorders>
              <w:top w:val="single" w:sz="4" w:space="0" w:color="auto"/>
              <w:right w:val="single" w:sz="4" w:space="0" w:color="auto"/>
            </w:tcBorders>
          </w:tcPr>
          <w:p w14:paraId="06B4DDEE"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289</w:t>
            </w:r>
          </w:p>
        </w:tc>
        <w:tc>
          <w:tcPr>
            <w:tcW w:w="1340" w:type="dxa"/>
            <w:tcBorders>
              <w:top w:val="single" w:sz="4" w:space="0" w:color="auto"/>
              <w:left w:val="single" w:sz="4" w:space="0" w:color="auto"/>
            </w:tcBorders>
          </w:tcPr>
          <w:p w14:paraId="63B2B792"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2</w:t>
            </w:r>
            <w:r>
              <w:rPr>
                <w:rFonts w:cs="Arial"/>
                <w:color w:val="auto"/>
                <w:sz w:val="20"/>
                <w:szCs w:val="20"/>
              </w:rPr>
              <w:t>,</w:t>
            </w:r>
            <w:r w:rsidRPr="00BF0D27">
              <w:rPr>
                <w:rFonts w:cs="Arial"/>
                <w:color w:val="auto"/>
                <w:sz w:val="20"/>
                <w:szCs w:val="20"/>
              </w:rPr>
              <w:t>013</w:t>
            </w:r>
          </w:p>
        </w:tc>
        <w:tc>
          <w:tcPr>
            <w:tcW w:w="1339" w:type="dxa"/>
            <w:tcBorders>
              <w:top w:val="single" w:sz="4" w:space="0" w:color="auto"/>
              <w:right w:val="single" w:sz="4" w:space="0" w:color="auto"/>
            </w:tcBorders>
          </w:tcPr>
          <w:p w14:paraId="5A393A26"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967</w:t>
            </w:r>
          </w:p>
        </w:tc>
        <w:tc>
          <w:tcPr>
            <w:tcW w:w="1340" w:type="dxa"/>
            <w:tcBorders>
              <w:top w:val="single" w:sz="4" w:space="0" w:color="auto"/>
              <w:left w:val="single" w:sz="4" w:space="0" w:color="auto"/>
            </w:tcBorders>
          </w:tcPr>
          <w:p w14:paraId="6078A309"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463</w:t>
            </w:r>
          </w:p>
        </w:tc>
        <w:tc>
          <w:tcPr>
            <w:tcW w:w="1340" w:type="dxa"/>
            <w:tcBorders>
              <w:top w:val="single" w:sz="4" w:space="0" w:color="auto"/>
              <w:right w:val="single" w:sz="4" w:space="0" w:color="auto"/>
            </w:tcBorders>
          </w:tcPr>
          <w:p w14:paraId="0F138B4E"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410</w:t>
            </w:r>
          </w:p>
        </w:tc>
        <w:tc>
          <w:tcPr>
            <w:tcW w:w="1340" w:type="dxa"/>
            <w:tcBorders>
              <w:top w:val="single" w:sz="4" w:space="0" w:color="auto"/>
              <w:left w:val="single" w:sz="4" w:space="0" w:color="auto"/>
            </w:tcBorders>
          </w:tcPr>
          <w:p w14:paraId="7BD3EC8D"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12</w:t>
            </w:r>
            <w:r>
              <w:rPr>
                <w:rFonts w:cs="Arial"/>
                <w:b/>
                <w:color w:val="auto"/>
                <w:sz w:val="20"/>
                <w:szCs w:val="20"/>
              </w:rPr>
              <w:t>,</w:t>
            </w:r>
            <w:r w:rsidRPr="00BF0D27">
              <w:rPr>
                <w:rFonts w:cs="Arial"/>
                <w:b/>
                <w:color w:val="auto"/>
                <w:sz w:val="20"/>
                <w:szCs w:val="20"/>
              </w:rPr>
              <w:t>029</w:t>
            </w:r>
          </w:p>
        </w:tc>
        <w:tc>
          <w:tcPr>
            <w:tcW w:w="1340" w:type="dxa"/>
            <w:tcBorders>
              <w:top w:val="single" w:sz="4" w:space="0" w:color="auto"/>
            </w:tcBorders>
          </w:tcPr>
          <w:p w14:paraId="0C26C66D"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10</w:t>
            </w:r>
            <w:r>
              <w:rPr>
                <w:rFonts w:cs="Arial"/>
                <w:b/>
                <w:color w:val="auto"/>
                <w:sz w:val="20"/>
                <w:szCs w:val="20"/>
              </w:rPr>
              <w:t>,</w:t>
            </w:r>
            <w:r w:rsidRPr="00BF0D27">
              <w:rPr>
                <w:rFonts w:cs="Arial"/>
                <w:b/>
                <w:color w:val="auto"/>
                <w:sz w:val="20"/>
                <w:szCs w:val="20"/>
              </w:rPr>
              <w:t>109</w:t>
            </w:r>
          </w:p>
        </w:tc>
      </w:tr>
      <w:tr w:rsidR="00EE4C8A" w:rsidRPr="00BF0D27" w14:paraId="628F4896"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none" w:sz="0" w:space="0" w:color="auto"/>
              <w:right w:val="single" w:sz="4" w:space="0" w:color="auto"/>
            </w:tcBorders>
            <w:noWrap/>
            <w:hideMark/>
          </w:tcPr>
          <w:p w14:paraId="28B3E406" w14:textId="77777777" w:rsidR="00D7469D" w:rsidRPr="00BF0D27" w:rsidRDefault="00D7469D" w:rsidP="00CE2FDF">
            <w:pPr>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2004</w:t>
            </w:r>
          </w:p>
        </w:tc>
        <w:tc>
          <w:tcPr>
            <w:tcW w:w="1339" w:type="dxa"/>
            <w:tcBorders>
              <w:left w:val="single" w:sz="4" w:space="0" w:color="auto"/>
              <w:right w:val="none" w:sz="0" w:space="0" w:color="auto"/>
            </w:tcBorders>
          </w:tcPr>
          <w:p w14:paraId="183F887C"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8</w:t>
            </w:r>
            <w:r>
              <w:rPr>
                <w:rFonts w:cs="Arial"/>
                <w:color w:val="auto"/>
                <w:sz w:val="20"/>
                <w:szCs w:val="20"/>
              </w:rPr>
              <w:t>,</w:t>
            </w:r>
            <w:r w:rsidRPr="00BF0D27">
              <w:rPr>
                <w:rFonts w:cs="Arial"/>
                <w:color w:val="auto"/>
                <w:sz w:val="20"/>
                <w:szCs w:val="20"/>
              </w:rPr>
              <w:t>563</w:t>
            </w:r>
          </w:p>
        </w:tc>
        <w:tc>
          <w:tcPr>
            <w:tcW w:w="1340" w:type="dxa"/>
            <w:tcBorders>
              <w:left w:val="none" w:sz="0" w:space="0" w:color="auto"/>
              <w:right w:val="single" w:sz="4" w:space="0" w:color="auto"/>
            </w:tcBorders>
          </w:tcPr>
          <w:p w14:paraId="5863A967"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499</w:t>
            </w:r>
          </w:p>
        </w:tc>
        <w:tc>
          <w:tcPr>
            <w:tcW w:w="1340" w:type="dxa"/>
            <w:tcBorders>
              <w:left w:val="single" w:sz="4" w:space="0" w:color="auto"/>
              <w:right w:val="none" w:sz="0" w:space="0" w:color="auto"/>
            </w:tcBorders>
          </w:tcPr>
          <w:p w14:paraId="0266C2A4"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3</w:t>
            </w:r>
            <w:r>
              <w:rPr>
                <w:rFonts w:cs="Arial"/>
                <w:color w:val="auto"/>
                <w:sz w:val="20"/>
                <w:szCs w:val="20"/>
              </w:rPr>
              <w:t>,</w:t>
            </w:r>
            <w:r w:rsidRPr="00BF0D27">
              <w:rPr>
                <w:rFonts w:cs="Arial"/>
                <w:color w:val="auto"/>
                <w:sz w:val="20"/>
                <w:szCs w:val="20"/>
              </w:rPr>
              <w:t>139</w:t>
            </w:r>
          </w:p>
        </w:tc>
        <w:tc>
          <w:tcPr>
            <w:tcW w:w="1340" w:type="dxa"/>
            <w:tcBorders>
              <w:left w:val="none" w:sz="0" w:space="0" w:color="auto"/>
              <w:right w:val="single" w:sz="4" w:space="0" w:color="auto"/>
            </w:tcBorders>
          </w:tcPr>
          <w:p w14:paraId="3B45C879"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997</w:t>
            </w:r>
          </w:p>
        </w:tc>
        <w:tc>
          <w:tcPr>
            <w:tcW w:w="1340" w:type="dxa"/>
            <w:tcBorders>
              <w:left w:val="single" w:sz="4" w:space="0" w:color="auto"/>
              <w:right w:val="none" w:sz="0" w:space="0" w:color="auto"/>
            </w:tcBorders>
          </w:tcPr>
          <w:p w14:paraId="7F289AF4"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966</w:t>
            </w:r>
          </w:p>
        </w:tc>
        <w:tc>
          <w:tcPr>
            <w:tcW w:w="1339" w:type="dxa"/>
            <w:tcBorders>
              <w:left w:val="none" w:sz="0" w:space="0" w:color="auto"/>
              <w:right w:val="single" w:sz="4" w:space="0" w:color="auto"/>
            </w:tcBorders>
          </w:tcPr>
          <w:p w14:paraId="53CD810B"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929</w:t>
            </w:r>
          </w:p>
        </w:tc>
        <w:tc>
          <w:tcPr>
            <w:tcW w:w="1340" w:type="dxa"/>
            <w:tcBorders>
              <w:left w:val="single" w:sz="4" w:space="0" w:color="auto"/>
              <w:right w:val="none" w:sz="0" w:space="0" w:color="auto"/>
            </w:tcBorders>
          </w:tcPr>
          <w:p w14:paraId="0DDC6D53"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173</w:t>
            </w:r>
          </w:p>
        </w:tc>
        <w:tc>
          <w:tcPr>
            <w:tcW w:w="1340" w:type="dxa"/>
            <w:tcBorders>
              <w:left w:val="none" w:sz="0" w:space="0" w:color="auto"/>
              <w:right w:val="single" w:sz="4" w:space="0" w:color="auto"/>
            </w:tcBorders>
          </w:tcPr>
          <w:p w14:paraId="5C5AB2F6"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137</w:t>
            </w:r>
          </w:p>
        </w:tc>
        <w:tc>
          <w:tcPr>
            <w:tcW w:w="1340" w:type="dxa"/>
            <w:tcBorders>
              <w:left w:val="single" w:sz="4" w:space="0" w:color="auto"/>
              <w:right w:val="none" w:sz="0" w:space="0" w:color="auto"/>
            </w:tcBorders>
          </w:tcPr>
          <w:p w14:paraId="1E906ED8"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11</w:t>
            </w:r>
            <w:r>
              <w:rPr>
                <w:rFonts w:cs="Arial"/>
                <w:b/>
                <w:color w:val="auto"/>
                <w:sz w:val="20"/>
                <w:szCs w:val="20"/>
              </w:rPr>
              <w:t>,</w:t>
            </w:r>
            <w:r w:rsidRPr="00BF0D27">
              <w:rPr>
                <w:rFonts w:cs="Arial"/>
                <w:b/>
                <w:color w:val="auto"/>
                <w:sz w:val="20"/>
                <w:szCs w:val="20"/>
              </w:rPr>
              <w:t>702</w:t>
            </w:r>
          </w:p>
        </w:tc>
        <w:tc>
          <w:tcPr>
            <w:tcW w:w="1340" w:type="dxa"/>
            <w:tcBorders>
              <w:left w:val="none" w:sz="0" w:space="0" w:color="auto"/>
              <w:right w:val="none" w:sz="0" w:space="0" w:color="auto"/>
            </w:tcBorders>
          </w:tcPr>
          <w:p w14:paraId="25F92864"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9</w:t>
            </w:r>
            <w:r>
              <w:rPr>
                <w:rFonts w:cs="Arial"/>
                <w:b/>
                <w:color w:val="auto"/>
                <w:sz w:val="20"/>
                <w:szCs w:val="20"/>
              </w:rPr>
              <w:t>,</w:t>
            </w:r>
            <w:r w:rsidRPr="00BF0D27">
              <w:rPr>
                <w:rFonts w:cs="Arial"/>
                <w:b/>
                <w:color w:val="auto"/>
                <w:sz w:val="20"/>
                <w:szCs w:val="20"/>
              </w:rPr>
              <w:t>934</w:t>
            </w:r>
          </w:p>
        </w:tc>
      </w:tr>
      <w:tr w:rsidR="00EE4C8A" w:rsidRPr="00BF0D27" w14:paraId="2B3206CE"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4" w:space="0" w:color="auto"/>
            </w:tcBorders>
            <w:noWrap/>
            <w:hideMark/>
          </w:tcPr>
          <w:p w14:paraId="2DE08E8A" w14:textId="77777777" w:rsidR="00D7469D" w:rsidRPr="00BF0D27" w:rsidRDefault="00D7469D" w:rsidP="00CE2FDF">
            <w:pPr>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2005</w:t>
            </w:r>
          </w:p>
        </w:tc>
        <w:tc>
          <w:tcPr>
            <w:tcW w:w="1339" w:type="dxa"/>
            <w:tcBorders>
              <w:left w:val="single" w:sz="4" w:space="0" w:color="auto"/>
            </w:tcBorders>
          </w:tcPr>
          <w:p w14:paraId="1AC91B21"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8</w:t>
            </w:r>
            <w:r>
              <w:rPr>
                <w:rFonts w:cs="Arial"/>
                <w:color w:val="auto"/>
                <w:sz w:val="20"/>
                <w:szCs w:val="20"/>
              </w:rPr>
              <w:t>,</w:t>
            </w:r>
            <w:r w:rsidRPr="00BF0D27">
              <w:rPr>
                <w:rFonts w:cs="Arial"/>
                <w:color w:val="auto"/>
                <w:sz w:val="20"/>
                <w:szCs w:val="20"/>
              </w:rPr>
              <w:t>320</w:t>
            </w:r>
          </w:p>
        </w:tc>
        <w:tc>
          <w:tcPr>
            <w:tcW w:w="1340" w:type="dxa"/>
            <w:tcBorders>
              <w:right w:val="single" w:sz="4" w:space="0" w:color="auto"/>
            </w:tcBorders>
          </w:tcPr>
          <w:p w14:paraId="3022700B"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351</w:t>
            </w:r>
          </w:p>
        </w:tc>
        <w:tc>
          <w:tcPr>
            <w:tcW w:w="1340" w:type="dxa"/>
            <w:tcBorders>
              <w:left w:val="single" w:sz="4" w:space="0" w:color="auto"/>
            </w:tcBorders>
          </w:tcPr>
          <w:p w14:paraId="34313289"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2</w:t>
            </w:r>
            <w:r>
              <w:rPr>
                <w:rFonts w:cs="Arial"/>
                <w:color w:val="auto"/>
                <w:sz w:val="20"/>
                <w:szCs w:val="20"/>
              </w:rPr>
              <w:t>,</w:t>
            </w:r>
            <w:r w:rsidRPr="00BF0D27">
              <w:rPr>
                <w:rFonts w:cs="Arial"/>
                <w:color w:val="auto"/>
                <w:sz w:val="20"/>
                <w:szCs w:val="20"/>
              </w:rPr>
              <w:t>975</w:t>
            </w:r>
          </w:p>
        </w:tc>
        <w:tc>
          <w:tcPr>
            <w:tcW w:w="1340" w:type="dxa"/>
            <w:tcBorders>
              <w:right w:val="single" w:sz="4" w:space="0" w:color="auto"/>
            </w:tcBorders>
          </w:tcPr>
          <w:p w14:paraId="5E6C71C2"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847</w:t>
            </w:r>
          </w:p>
        </w:tc>
        <w:tc>
          <w:tcPr>
            <w:tcW w:w="1340" w:type="dxa"/>
            <w:tcBorders>
              <w:left w:val="single" w:sz="4" w:space="0" w:color="auto"/>
            </w:tcBorders>
          </w:tcPr>
          <w:p w14:paraId="0154FDF7"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955</w:t>
            </w:r>
          </w:p>
        </w:tc>
        <w:tc>
          <w:tcPr>
            <w:tcW w:w="1339" w:type="dxa"/>
            <w:tcBorders>
              <w:right w:val="single" w:sz="4" w:space="0" w:color="auto"/>
            </w:tcBorders>
          </w:tcPr>
          <w:p w14:paraId="349FA215"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921</w:t>
            </w:r>
          </w:p>
        </w:tc>
        <w:tc>
          <w:tcPr>
            <w:tcW w:w="1340" w:type="dxa"/>
            <w:tcBorders>
              <w:left w:val="single" w:sz="4" w:space="0" w:color="auto"/>
            </w:tcBorders>
          </w:tcPr>
          <w:p w14:paraId="6B19BFB1"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020</w:t>
            </w:r>
          </w:p>
        </w:tc>
        <w:tc>
          <w:tcPr>
            <w:tcW w:w="1340" w:type="dxa"/>
            <w:tcBorders>
              <w:right w:val="single" w:sz="4" w:space="0" w:color="auto"/>
            </w:tcBorders>
          </w:tcPr>
          <w:p w14:paraId="55DBDA41"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998</w:t>
            </w:r>
          </w:p>
        </w:tc>
        <w:tc>
          <w:tcPr>
            <w:tcW w:w="1340" w:type="dxa"/>
            <w:tcBorders>
              <w:left w:val="single" w:sz="4" w:space="0" w:color="auto"/>
            </w:tcBorders>
          </w:tcPr>
          <w:p w14:paraId="6E50D5E3"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11</w:t>
            </w:r>
            <w:r>
              <w:rPr>
                <w:rFonts w:cs="Arial"/>
                <w:b/>
                <w:color w:val="auto"/>
                <w:sz w:val="20"/>
                <w:szCs w:val="20"/>
              </w:rPr>
              <w:t>,</w:t>
            </w:r>
            <w:r w:rsidRPr="00BF0D27">
              <w:rPr>
                <w:rFonts w:cs="Arial"/>
                <w:b/>
                <w:color w:val="auto"/>
                <w:sz w:val="20"/>
                <w:szCs w:val="20"/>
              </w:rPr>
              <w:t>295</w:t>
            </w:r>
          </w:p>
        </w:tc>
        <w:tc>
          <w:tcPr>
            <w:tcW w:w="1340" w:type="dxa"/>
            <w:tcBorders>
              <w:bottom w:val="nil"/>
            </w:tcBorders>
          </w:tcPr>
          <w:p w14:paraId="2E2A6359"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9</w:t>
            </w:r>
            <w:r>
              <w:rPr>
                <w:rFonts w:cs="Arial"/>
                <w:b/>
                <w:color w:val="auto"/>
                <w:sz w:val="20"/>
                <w:szCs w:val="20"/>
              </w:rPr>
              <w:t>,</w:t>
            </w:r>
            <w:r w:rsidRPr="00BF0D27">
              <w:rPr>
                <w:rFonts w:cs="Arial"/>
                <w:b/>
                <w:color w:val="auto"/>
                <w:sz w:val="20"/>
                <w:szCs w:val="20"/>
              </w:rPr>
              <w:t>619</w:t>
            </w:r>
          </w:p>
        </w:tc>
      </w:tr>
      <w:tr w:rsidR="00EE4C8A" w:rsidRPr="00BF0D27" w14:paraId="273E75CF"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noWrap/>
            <w:hideMark/>
          </w:tcPr>
          <w:p w14:paraId="393BCC87" w14:textId="77777777" w:rsidR="00D7469D" w:rsidRPr="00BF0D27" w:rsidRDefault="00D7469D" w:rsidP="00CE2FDF">
            <w:pPr>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2006</w:t>
            </w:r>
          </w:p>
        </w:tc>
        <w:tc>
          <w:tcPr>
            <w:tcW w:w="1339" w:type="dxa"/>
            <w:tcBorders>
              <w:left w:val="single" w:sz="4" w:space="0" w:color="auto"/>
            </w:tcBorders>
          </w:tcPr>
          <w:p w14:paraId="462219A7"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6</w:t>
            </w:r>
            <w:r>
              <w:rPr>
                <w:rFonts w:cs="Arial"/>
                <w:color w:val="auto"/>
                <w:sz w:val="20"/>
                <w:szCs w:val="20"/>
              </w:rPr>
              <w:t>,</w:t>
            </w:r>
            <w:r w:rsidRPr="00BF0D27">
              <w:rPr>
                <w:rFonts w:cs="Arial"/>
                <w:color w:val="auto"/>
                <w:sz w:val="20"/>
                <w:szCs w:val="20"/>
              </w:rPr>
              <w:t>992</w:t>
            </w:r>
          </w:p>
        </w:tc>
        <w:tc>
          <w:tcPr>
            <w:tcW w:w="1340" w:type="dxa"/>
            <w:tcBorders>
              <w:right w:val="single" w:sz="4" w:space="0" w:color="auto"/>
            </w:tcBorders>
          </w:tcPr>
          <w:p w14:paraId="253F07DE"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w:t>
            </w:r>
            <w:r>
              <w:rPr>
                <w:rFonts w:eastAsia="Times New Roman" w:cs="Arial"/>
                <w:color w:val="auto"/>
                <w:sz w:val="20"/>
                <w:szCs w:val="20"/>
                <w:lang w:eastAsia="en-AU"/>
              </w:rPr>
              <w:t>,</w:t>
            </w:r>
            <w:r w:rsidRPr="00BF0D27">
              <w:rPr>
                <w:rFonts w:eastAsia="Times New Roman" w:cs="Arial"/>
                <w:color w:val="auto"/>
                <w:sz w:val="20"/>
                <w:szCs w:val="20"/>
                <w:lang w:eastAsia="en-AU"/>
              </w:rPr>
              <w:t>312</w:t>
            </w:r>
          </w:p>
        </w:tc>
        <w:tc>
          <w:tcPr>
            <w:tcW w:w="1340" w:type="dxa"/>
            <w:tcBorders>
              <w:left w:val="single" w:sz="4" w:space="0" w:color="auto"/>
            </w:tcBorders>
          </w:tcPr>
          <w:p w14:paraId="7E1D8E36"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2</w:t>
            </w:r>
            <w:r>
              <w:rPr>
                <w:rFonts w:cs="Arial"/>
                <w:color w:val="auto"/>
                <w:sz w:val="20"/>
                <w:szCs w:val="20"/>
              </w:rPr>
              <w:t>,</w:t>
            </w:r>
            <w:r w:rsidRPr="00BF0D27">
              <w:rPr>
                <w:rFonts w:cs="Arial"/>
                <w:color w:val="auto"/>
                <w:sz w:val="20"/>
                <w:szCs w:val="20"/>
              </w:rPr>
              <w:t>633</w:t>
            </w:r>
          </w:p>
        </w:tc>
        <w:tc>
          <w:tcPr>
            <w:tcW w:w="1340" w:type="dxa"/>
            <w:tcBorders>
              <w:right w:val="single" w:sz="4" w:space="0" w:color="auto"/>
            </w:tcBorders>
          </w:tcPr>
          <w:p w14:paraId="4EE5A128"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550</w:t>
            </w:r>
          </w:p>
        </w:tc>
        <w:tc>
          <w:tcPr>
            <w:tcW w:w="1340" w:type="dxa"/>
            <w:tcBorders>
              <w:left w:val="single" w:sz="4" w:space="0" w:color="auto"/>
            </w:tcBorders>
          </w:tcPr>
          <w:p w14:paraId="5A6458F7"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750</w:t>
            </w:r>
          </w:p>
        </w:tc>
        <w:tc>
          <w:tcPr>
            <w:tcW w:w="1339" w:type="dxa"/>
            <w:tcBorders>
              <w:right w:val="single" w:sz="4" w:space="0" w:color="auto"/>
            </w:tcBorders>
          </w:tcPr>
          <w:p w14:paraId="56B5E8FA"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713</w:t>
            </w:r>
          </w:p>
        </w:tc>
        <w:tc>
          <w:tcPr>
            <w:tcW w:w="1340" w:type="dxa"/>
            <w:tcBorders>
              <w:left w:val="single" w:sz="4" w:space="0" w:color="auto"/>
            </w:tcBorders>
          </w:tcPr>
          <w:p w14:paraId="1BB79238"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883</w:t>
            </w:r>
          </w:p>
        </w:tc>
        <w:tc>
          <w:tcPr>
            <w:tcW w:w="1340" w:type="dxa"/>
            <w:tcBorders>
              <w:right w:val="single" w:sz="4" w:space="0" w:color="auto"/>
            </w:tcBorders>
          </w:tcPr>
          <w:p w14:paraId="6C712830"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865</w:t>
            </w:r>
          </w:p>
        </w:tc>
        <w:tc>
          <w:tcPr>
            <w:tcW w:w="1340" w:type="dxa"/>
            <w:tcBorders>
              <w:left w:val="single" w:sz="4" w:space="0" w:color="auto"/>
            </w:tcBorders>
          </w:tcPr>
          <w:p w14:paraId="4C1F9BF8"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9</w:t>
            </w:r>
            <w:r>
              <w:rPr>
                <w:rFonts w:cs="Arial"/>
                <w:b/>
                <w:color w:val="auto"/>
                <w:sz w:val="20"/>
                <w:szCs w:val="20"/>
              </w:rPr>
              <w:t>,</w:t>
            </w:r>
            <w:r w:rsidRPr="00BF0D27">
              <w:rPr>
                <w:rFonts w:cs="Arial"/>
                <w:b/>
                <w:color w:val="auto"/>
                <w:sz w:val="20"/>
                <w:szCs w:val="20"/>
              </w:rPr>
              <w:t>625</w:t>
            </w:r>
          </w:p>
        </w:tc>
        <w:tc>
          <w:tcPr>
            <w:tcW w:w="1340" w:type="dxa"/>
            <w:tcBorders>
              <w:top w:val="nil"/>
              <w:bottom w:val="nil"/>
              <w:right w:val="single" w:sz="4" w:space="0" w:color="auto"/>
            </w:tcBorders>
          </w:tcPr>
          <w:p w14:paraId="73AF4D89"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8</w:t>
            </w:r>
            <w:r>
              <w:rPr>
                <w:rFonts w:cs="Arial"/>
                <w:b/>
                <w:color w:val="auto"/>
                <w:sz w:val="20"/>
                <w:szCs w:val="20"/>
              </w:rPr>
              <w:t>,</w:t>
            </w:r>
            <w:r w:rsidRPr="00BF0D27">
              <w:rPr>
                <w:rFonts w:cs="Arial"/>
                <w:b/>
                <w:color w:val="auto"/>
                <w:sz w:val="20"/>
                <w:szCs w:val="20"/>
              </w:rPr>
              <w:t>480</w:t>
            </w:r>
          </w:p>
        </w:tc>
      </w:tr>
      <w:tr w:rsidR="00EE4C8A" w:rsidRPr="00BF0D27" w14:paraId="19346ABD"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right w:val="single" w:sz="4" w:space="0" w:color="auto"/>
            </w:tcBorders>
            <w:noWrap/>
            <w:hideMark/>
          </w:tcPr>
          <w:p w14:paraId="223A558D" w14:textId="77777777" w:rsidR="00D7469D" w:rsidRPr="00BF0D27" w:rsidRDefault="00D7469D" w:rsidP="00CE2FDF">
            <w:pPr>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2007</w:t>
            </w:r>
          </w:p>
        </w:tc>
        <w:tc>
          <w:tcPr>
            <w:tcW w:w="1339" w:type="dxa"/>
            <w:tcBorders>
              <w:left w:val="single" w:sz="4" w:space="0" w:color="auto"/>
            </w:tcBorders>
          </w:tcPr>
          <w:p w14:paraId="32F0C369"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13</w:t>
            </w:r>
            <w:r>
              <w:rPr>
                <w:rFonts w:cs="Arial"/>
                <w:color w:val="auto"/>
                <w:sz w:val="20"/>
                <w:szCs w:val="20"/>
              </w:rPr>
              <w:t>,</w:t>
            </w:r>
            <w:r w:rsidRPr="00BF0D27">
              <w:rPr>
                <w:rFonts w:cs="Arial"/>
                <w:color w:val="auto"/>
                <w:sz w:val="20"/>
                <w:szCs w:val="20"/>
              </w:rPr>
              <w:t>058</w:t>
            </w:r>
          </w:p>
        </w:tc>
        <w:tc>
          <w:tcPr>
            <w:tcW w:w="1340" w:type="dxa"/>
            <w:tcBorders>
              <w:right w:val="single" w:sz="4" w:space="0" w:color="auto"/>
            </w:tcBorders>
          </w:tcPr>
          <w:p w14:paraId="59856E08"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11</w:t>
            </w:r>
            <w:r>
              <w:rPr>
                <w:rFonts w:eastAsia="Times New Roman" w:cs="Arial"/>
                <w:color w:val="auto"/>
                <w:sz w:val="20"/>
                <w:szCs w:val="20"/>
                <w:lang w:eastAsia="en-AU"/>
              </w:rPr>
              <w:t>,</w:t>
            </w:r>
            <w:r w:rsidRPr="00BF0D27">
              <w:rPr>
                <w:rFonts w:eastAsia="Times New Roman" w:cs="Arial"/>
                <w:color w:val="auto"/>
                <w:sz w:val="20"/>
                <w:szCs w:val="20"/>
                <w:lang w:eastAsia="en-AU"/>
              </w:rPr>
              <w:t>242</w:t>
            </w:r>
          </w:p>
        </w:tc>
        <w:tc>
          <w:tcPr>
            <w:tcW w:w="1340" w:type="dxa"/>
            <w:tcBorders>
              <w:left w:val="single" w:sz="4" w:space="0" w:color="auto"/>
            </w:tcBorders>
          </w:tcPr>
          <w:p w14:paraId="6EDB0F68"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720</w:t>
            </w:r>
          </w:p>
        </w:tc>
        <w:tc>
          <w:tcPr>
            <w:tcW w:w="1340" w:type="dxa"/>
            <w:tcBorders>
              <w:right w:val="single" w:sz="4" w:space="0" w:color="auto"/>
            </w:tcBorders>
          </w:tcPr>
          <w:p w14:paraId="64EAF533"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686</w:t>
            </w:r>
          </w:p>
        </w:tc>
        <w:tc>
          <w:tcPr>
            <w:tcW w:w="1340" w:type="dxa"/>
            <w:tcBorders>
              <w:left w:val="single" w:sz="4" w:space="0" w:color="auto"/>
            </w:tcBorders>
          </w:tcPr>
          <w:p w14:paraId="24CD9F70"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193</w:t>
            </w:r>
          </w:p>
        </w:tc>
        <w:tc>
          <w:tcPr>
            <w:tcW w:w="1339" w:type="dxa"/>
            <w:tcBorders>
              <w:right w:val="single" w:sz="4" w:space="0" w:color="auto"/>
            </w:tcBorders>
          </w:tcPr>
          <w:p w14:paraId="7F6A5377"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186</w:t>
            </w:r>
          </w:p>
        </w:tc>
        <w:tc>
          <w:tcPr>
            <w:tcW w:w="1340" w:type="dxa"/>
            <w:tcBorders>
              <w:left w:val="single" w:sz="4" w:space="0" w:color="auto"/>
            </w:tcBorders>
          </w:tcPr>
          <w:p w14:paraId="2D10FCE2"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527</w:t>
            </w:r>
          </w:p>
        </w:tc>
        <w:tc>
          <w:tcPr>
            <w:tcW w:w="1340" w:type="dxa"/>
            <w:tcBorders>
              <w:right w:val="single" w:sz="4" w:space="0" w:color="auto"/>
            </w:tcBorders>
          </w:tcPr>
          <w:p w14:paraId="7FC23F4B"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523</w:t>
            </w:r>
          </w:p>
        </w:tc>
        <w:tc>
          <w:tcPr>
            <w:tcW w:w="1340" w:type="dxa"/>
            <w:tcBorders>
              <w:left w:val="single" w:sz="4" w:space="0" w:color="auto"/>
            </w:tcBorders>
          </w:tcPr>
          <w:p w14:paraId="5A030E3D"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14</w:t>
            </w:r>
            <w:r>
              <w:rPr>
                <w:rFonts w:cs="Arial"/>
                <w:b/>
                <w:color w:val="auto"/>
                <w:sz w:val="20"/>
                <w:szCs w:val="20"/>
              </w:rPr>
              <w:t>,</w:t>
            </w:r>
            <w:r w:rsidRPr="00BF0D27">
              <w:rPr>
                <w:rFonts w:cs="Arial"/>
                <w:b/>
                <w:color w:val="auto"/>
                <w:sz w:val="20"/>
                <w:szCs w:val="20"/>
              </w:rPr>
              <w:t>778</w:t>
            </w:r>
          </w:p>
        </w:tc>
        <w:tc>
          <w:tcPr>
            <w:tcW w:w="1340" w:type="dxa"/>
            <w:tcBorders>
              <w:top w:val="nil"/>
            </w:tcBorders>
          </w:tcPr>
          <w:p w14:paraId="42462CE0"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12</w:t>
            </w:r>
            <w:r>
              <w:rPr>
                <w:rFonts w:cs="Arial"/>
                <w:b/>
                <w:color w:val="auto"/>
                <w:sz w:val="20"/>
                <w:szCs w:val="20"/>
              </w:rPr>
              <w:t>,</w:t>
            </w:r>
            <w:r w:rsidRPr="00BF0D27">
              <w:rPr>
                <w:rFonts w:cs="Arial"/>
                <w:b/>
                <w:color w:val="auto"/>
                <w:sz w:val="20"/>
                <w:szCs w:val="20"/>
              </w:rPr>
              <w:t>644</w:t>
            </w:r>
          </w:p>
        </w:tc>
      </w:tr>
      <w:tr w:rsidR="00EE4C8A" w:rsidRPr="00BF0D27" w14:paraId="38269C60"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none" w:sz="0" w:space="0" w:color="auto"/>
              <w:right w:val="single" w:sz="4" w:space="0" w:color="auto"/>
            </w:tcBorders>
            <w:noWrap/>
            <w:hideMark/>
          </w:tcPr>
          <w:p w14:paraId="0AEF9494" w14:textId="77777777" w:rsidR="00D7469D" w:rsidRPr="00BF0D27" w:rsidRDefault="00D7469D" w:rsidP="00CE2FDF">
            <w:pPr>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2008</w:t>
            </w:r>
          </w:p>
        </w:tc>
        <w:tc>
          <w:tcPr>
            <w:tcW w:w="1339" w:type="dxa"/>
            <w:tcBorders>
              <w:left w:val="single" w:sz="4" w:space="0" w:color="auto"/>
              <w:right w:val="none" w:sz="0" w:space="0" w:color="auto"/>
            </w:tcBorders>
          </w:tcPr>
          <w:p w14:paraId="2423A2EC"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7</w:t>
            </w:r>
            <w:r>
              <w:rPr>
                <w:rFonts w:cs="Arial"/>
                <w:color w:val="auto"/>
                <w:sz w:val="20"/>
                <w:szCs w:val="20"/>
              </w:rPr>
              <w:t>,</w:t>
            </w:r>
            <w:r w:rsidRPr="00BF0D27">
              <w:rPr>
                <w:rFonts w:cs="Arial"/>
                <w:color w:val="auto"/>
                <w:sz w:val="20"/>
                <w:szCs w:val="20"/>
              </w:rPr>
              <w:t>105</w:t>
            </w:r>
          </w:p>
        </w:tc>
        <w:tc>
          <w:tcPr>
            <w:tcW w:w="1340" w:type="dxa"/>
            <w:tcBorders>
              <w:left w:val="none" w:sz="0" w:space="0" w:color="auto"/>
              <w:right w:val="single" w:sz="4" w:space="0" w:color="auto"/>
            </w:tcBorders>
          </w:tcPr>
          <w:p w14:paraId="062DF135"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w:t>
            </w:r>
            <w:r>
              <w:rPr>
                <w:rFonts w:eastAsia="Times New Roman" w:cs="Arial"/>
                <w:color w:val="auto"/>
                <w:sz w:val="20"/>
                <w:szCs w:val="20"/>
                <w:lang w:eastAsia="en-AU"/>
              </w:rPr>
              <w:t>,</w:t>
            </w:r>
            <w:r w:rsidRPr="00BF0D27">
              <w:rPr>
                <w:rFonts w:eastAsia="Times New Roman" w:cs="Arial"/>
                <w:color w:val="auto"/>
                <w:sz w:val="20"/>
                <w:szCs w:val="20"/>
                <w:lang w:eastAsia="en-AU"/>
              </w:rPr>
              <w:t>502</w:t>
            </w:r>
          </w:p>
        </w:tc>
        <w:tc>
          <w:tcPr>
            <w:tcW w:w="1340" w:type="dxa"/>
            <w:tcBorders>
              <w:left w:val="single" w:sz="4" w:space="0" w:color="auto"/>
              <w:right w:val="none" w:sz="0" w:space="0" w:color="auto"/>
            </w:tcBorders>
          </w:tcPr>
          <w:p w14:paraId="2B8B3DF2"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496</w:t>
            </w:r>
          </w:p>
        </w:tc>
        <w:tc>
          <w:tcPr>
            <w:tcW w:w="1340" w:type="dxa"/>
            <w:tcBorders>
              <w:left w:val="none" w:sz="0" w:space="0" w:color="auto"/>
              <w:right w:val="single" w:sz="4" w:space="0" w:color="auto"/>
            </w:tcBorders>
          </w:tcPr>
          <w:p w14:paraId="17D42F87"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485</w:t>
            </w:r>
          </w:p>
        </w:tc>
        <w:tc>
          <w:tcPr>
            <w:tcW w:w="1340" w:type="dxa"/>
            <w:tcBorders>
              <w:left w:val="single" w:sz="4" w:space="0" w:color="auto"/>
              <w:right w:val="none" w:sz="0" w:space="0" w:color="auto"/>
            </w:tcBorders>
          </w:tcPr>
          <w:p w14:paraId="423013E0"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973</w:t>
            </w:r>
          </w:p>
        </w:tc>
        <w:tc>
          <w:tcPr>
            <w:tcW w:w="1339" w:type="dxa"/>
            <w:tcBorders>
              <w:left w:val="none" w:sz="0" w:space="0" w:color="auto"/>
              <w:right w:val="single" w:sz="4" w:space="0" w:color="auto"/>
            </w:tcBorders>
          </w:tcPr>
          <w:p w14:paraId="49775D4E"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971</w:t>
            </w:r>
          </w:p>
        </w:tc>
        <w:tc>
          <w:tcPr>
            <w:tcW w:w="1340" w:type="dxa"/>
            <w:tcBorders>
              <w:left w:val="single" w:sz="4" w:space="0" w:color="auto"/>
              <w:right w:val="none" w:sz="0" w:space="0" w:color="auto"/>
            </w:tcBorders>
          </w:tcPr>
          <w:p w14:paraId="03434684"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523</w:t>
            </w:r>
          </w:p>
        </w:tc>
        <w:tc>
          <w:tcPr>
            <w:tcW w:w="1340" w:type="dxa"/>
            <w:tcBorders>
              <w:left w:val="none" w:sz="0" w:space="0" w:color="auto"/>
              <w:right w:val="single" w:sz="4" w:space="0" w:color="auto"/>
            </w:tcBorders>
          </w:tcPr>
          <w:p w14:paraId="46F4ECE0"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518</w:t>
            </w:r>
          </w:p>
        </w:tc>
        <w:tc>
          <w:tcPr>
            <w:tcW w:w="1340" w:type="dxa"/>
            <w:tcBorders>
              <w:left w:val="single" w:sz="4" w:space="0" w:color="auto"/>
              <w:right w:val="none" w:sz="0" w:space="0" w:color="auto"/>
            </w:tcBorders>
          </w:tcPr>
          <w:p w14:paraId="3D302CB0"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8</w:t>
            </w:r>
            <w:r>
              <w:rPr>
                <w:rFonts w:cs="Arial"/>
                <w:b/>
                <w:color w:val="auto"/>
                <w:sz w:val="20"/>
                <w:szCs w:val="20"/>
              </w:rPr>
              <w:t>,</w:t>
            </w:r>
            <w:r w:rsidRPr="00BF0D27">
              <w:rPr>
                <w:rFonts w:cs="Arial"/>
                <w:b/>
                <w:color w:val="auto"/>
                <w:sz w:val="20"/>
                <w:szCs w:val="20"/>
              </w:rPr>
              <w:t>601</w:t>
            </w:r>
          </w:p>
        </w:tc>
        <w:tc>
          <w:tcPr>
            <w:tcW w:w="1340" w:type="dxa"/>
            <w:tcBorders>
              <w:left w:val="none" w:sz="0" w:space="0" w:color="auto"/>
              <w:right w:val="none" w:sz="0" w:space="0" w:color="auto"/>
            </w:tcBorders>
          </w:tcPr>
          <w:p w14:paraId="7C2F2836"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7</w:t>
            </w:r>
            <w:r>
              <w:rPr>
                <w:rFonts w:cs="Arial"/>
                <w:b/>
                <w:color w:val="auto"/>
                <w:sz w:val="20"/>
                <w:szCs w:val="20"/>
              </w:rPr>
              <w:t>,</w:t>
            </w:r>
            <w:r w:rsidRPr="00BF0D27">
              <w:rPr>
                <w:rFonts w:cs="Arial"/>
                <w:b/>
                <w:color w:val="auto"/>
                <w:sz w:val="20"/>
                <w:szCs w:val="20"/>
              </w:rPr>
              <w:t>784</w:t>
            </w:r>
          </w:p>
        </w:tc>
      </w:tr>
      <w:tr w:rsidR="00EE4C8A" w:rsidRPr="00BF0D27" w14:paraId="270410D7"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4" w:space="0" w:color="auto"/>
            </w:tcBorders>
            <w:noWrap/>
            <w:hideMark/>
          </w:tcPr>
          <w:p w14:paraId="3C49D2FC" w14:textId="77777777" w:rsidR="00D7469D" w:rsidRPr="00BF0D27" w:rsidRDefault="00D7469D" w:rsidP="00CE2FDF">
            <w:pPr>
              <w:keepNext/>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2009</w:t>
            </w:r>
          </w:p>
        </w:tc>
        <w:tc>
          <w:tcPr>
            <w:tcW w:w="1339" w:type="dxa"/>
            <w:tcBorders>
              <w:left w:val="single" w:sz="4" w:space="0" w:color="auto"/>
            </w:tcBorders>
          </w:tcPr>
          <w:p w14:paraId="772FEBA7"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2</w:t>
            </w:r>
            <w:r>
              <w:rPr>
                <w:rFonts w:cs="Arial"/>
                <w:color w:val="auto"/>
                <w:sz w:val="20"/>
                <w:szCs w:val="20"/>
              </w:rPr>
              <w:t>,</w:t>
            </w:r>
            <w:r w:rsidRPr="00BF0D27">
              <w:rPr>
                <w:rFonts w:cs="Arial"/>
                <w:color w:val="auto"/>
                <w:sz w:val="20"/>
                <w:szCs w:val="20"/>
              </w:rPr>
              <w:t>870</w:t>
            </w:r>
          </w:p>
        </w:tc>
        <w:tc>
          <w:tcPr>
            <w:tcW w:w="1340" w:type="dxa"/>
            <w:tcBorders>
              <w:right w:val="single" w:sz="4" w:space="0" w:color="auto"/>
            </w:tcBorders>
          </w:tcPr>
          <w:p w14:paraId="04706B45"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785</w:t>
            </w:r>
          </w:p>
        </w:tc>
        <w:tc>
          <w:tcPr>
            <w:tcW w:w="1340" w:type="dxa"/>
            <w:tcBorders>
              <w:left w:val="single" w:sz="4" w:space="0" w:color="auto"/>
            </w:tcBorders>
          </w:tcPr>
          <w:p w14:paraId="67CFE472"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187</w:t>
            </w:r>
          </w:p>
        </w:tc>
        <w:tc>
          <w:tcPr>
            <w:tcW w:w="1340" w:type="dxa"/>
            <w:tcBorders>
              <w:right w:val="single" w:sz="4" w:space="0" w:color="auto"/>
            </w:tcBorders>
          </w:tcPr>
          <w:p w14:paraId="2D7BD3F7"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177</w:t>
            </w:r>
          </w:p>
        </w:tc>
        <w:tc>
          <w:tcPr>
            <w:tcW w:w="1340" w:type="dxa"/>
            <w:tcBorders>
              <w:left w:val="single" w:sz="4" w:space="0" w:color="auto"/>
            </w:tcBorders>
          </w:tcPr>
          <w:p w14:paraId="027F6973"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678</w:t>
            </w:r>
          </w:p>
        </w:tc>
        <w:tc>
          <w:tcPr>
            <w:tcW w:w="1339" w:type="dxa"/>
            <w:tcBorders>
              <w:right w:val="single" w:sz="4" w:space="0" w:color="auto"/>
            </w:tcBorders>
          </w:tcPr>
          <w:p w14:paraId="6CFD1586"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675</w:t>
            </w:r>
          </w:p>
        </w:tc>
        <w:tc>
          <w:tcPr>
            <w:tcW w:w="1340" w:type="dxa"/>
            <w:tcBorders>
              <w:left w:val="single" w:sz="4" w:space="0" w:color="auto"/>
            </w:tcBorders>
          </w:tcPr>
          <w:p w14:paraId="442FB117"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509</w:t>
            </w:r>
          </w:p>
        </w:tc>
        <w:tc>
          <w:tcPr>
            <w:tcW w:w="1340" w:type="dxa"/>
            <w:tcBorders>
              <w:right w:val="single" w:sz="4" w:space="0" w:color="auto"/>
            </w:tcBorders>
          </w:tcPr>
          <w:p w14:paraId="74A9900D"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505</w:t>
            </w:r>
          </w:p>
        </w:tc>
        <w:tc>
          <w:tcPr>
            <w:tcW w:w="1340" w:type="dxa"/>
            <w:tcBorders>
              <w:left w:val="single" w:sz="4" w:space="0" w:color="auto"/>
            </w:tcBorders>
          </w:tcPr>
          <w:p w14:paraId="2808349E"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4</w:t>
            </w:r>
            <w:r>
              <w:rPr>
                <w:rFonts w:cs="Arial"/>
                <w:b/>
                <w:color w:val="auto"/>
                <w:sz w:val="20"/>
                <w:szCs w:val="20"/>
              </w:rPr>
              <w:t>,</w:t>
            </w:r>
            <w:r w:rsidRPr="00BF0D27">
              <w:rPr>
                <w:rFonts w:cs="Arial"/>
                <w:b/>
                <w:color w:val="auto"/>
                <w:sz w:val="20"/>
                <w:szCs w:val="20"/>
              </w:rPr>
              <w:t>057</w:t>
            </w:r>
          </w:p>
        </w:tc>
        <w:tc>
          <w:tcPr>
            <w:tcW w:w="1340" w:type="dxa"/>
            <w:tcBorders>
              <w:bottom w:val="nil"/>
            </w:tcBorders>
          </w:tcPr>
          <w:p w14:paraId="5DD74878" w14:textId="77777777" w:rsidR="00D7469D" w:rsidRPr="00BF0D27" w:rsidRDefault="00D7469D"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3</w:t>
            </w:r>
            <w:r>
              <w:rPr>
                <w:rFonts w:cs="Arial"/>
                <w:b/>
                <w:color w:val="auto"/>
                <w:sz w:val="20"/>
                <w:szCs w:val="20"/>
              </w:rPr>
              <w:t>,</w:t>
            </w:r>
            <w:r w:rsidRPr="00BF0D27">
              <w:rPr>
                <w:rFonts w:cs="Arial"/>
                <w:b/>
                <w:color w:val="auto"/>
                <w:sz w:val="20"/>
                <w:szCs w:val="20"/>
              </w:rPr>
              <w:t>874</w:t>
            </w:r>
          </w:p>
        </w:tc>
      </w:tr>
      <w:tr w:rsidR="00EE4C8A" w:rsidRPr="00BF0D27" w14:paraId="12F4800C"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noWrap/>
            <w:hideMark/>
          </w:tcPr>
          <w:p w14:paraId="6206DB80" w14:textId="77777777" w:rsidR="00D7469D" w:rsidRPr="00BF0D27" w:rsidRDefault="00D7469D" w:rsidP="00CE2FDF">
            <w:pPr>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2010</w:t>
            </w:r>
          </w:p>
        </w:tc>
        <w:tc>
          <w:tcPr>
            <w:tcW w:w="1339" w:type="dxa"/>
            <w:tcBorders>
              <w:left w:val="single" w:sz="4" w:space="0" w:color="auto"/>
            </w:tcBorders>
          </w:tcPr>
          <w:p w14:paraId="3C1F9DB5"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3</w:t>
            </w:r>
            <w:r>
              <w:rPr>
                <w:rFonts w:cs="Arial"/>
                <w:color w:val="auto"/>
                <w:sz w:val="20"/>
                <w:szCs w:val="20"/>
              </w:rPr>
              <w:t>,</w:t>
            </w:r>
            <w:r w:rsidRPr="00BF0D27">
              <w:rPr>
                <w:rFonts w:cs="Arial"/>
                <w:color w:val="auto"/>
                <w:sz w:val="20"/>
                <w:szCs w:val="20"/>
              </w:rPr>
              <w:t>375</w:t>
            </w:r>
          </w:p>
        </w:tc>
        <w:tc>
          <w:tcPr>
            <w:tcW w:w="1340" w:type="dxa"/>
            <w:tcBorders>
              <w:right w:val="single" w:sz="4" w:space="0" w:color="auto"/>
            </w:tcBorders>
          </w:tcPr>
          <w:p w14:paraId="23F20B49"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196</w:t>
            </w:r>
          </w:p>
        </w:tc>
        <w:tc>
          <w:tcPr>
            <w:tcW w:w="1340" w:type="dxa"/>
            <w:tcBorders>
              <w:left w:val="single" w:sz="4" w:space="0" w:color="auto"/>
            </w:tcBorders>
          </w:tcPr>
          <w:p w14:paraId="17A7C3E4"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400</w:t>
            </w:r>
          </w:p>
        </w:tc>
        <w:tc>
          <w:tcPr>
            <w:tcW w:w="1340" w:type="dxa"/>
            <w:tcBorders>
              <w:right w:val="single" w:sz="4" w:space="0" w:color="auto"/>
            </w:tcBorders>
          </w:tcPr>
          <w:p w14:paraId="1A12C98A"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388</w:t>
            </w:r>
          </w:p>
        </w:tc>
        <w:tc>
          <w:tcPr>
            <w:tcW w:w="1340" w:type="dxa"/>
            <w:tcBorders>
              <w:left w:val="single" w:sz="4" w:space="0" w:color="auto"/>
            </w:tcBorders>
          </w:tcPr>
          <w:p w14:paraId="5DCA6017"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839</w:t>
            </w:r>
          </w:p>
        </w:tc>
        <w:tc>
          <w:tcPr>
            <w:tcW w:w="1339" w:type="dxa"/>
            <w:tcBorders>
              <w:right w:val="single" w:sz="4" w:space="0" w:color="auto"/>
            </w:tcBorders>
          </w:tcPr>
          <w:p w14:paraId="37D52B99"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832</w:t>
            </w:r>
          </w:p>
        </w:tc>
        <w:tc>
          <w:tcPr>
            <w:tcW w:w="1340" w:type="dxa"/>
            <w:tcBorders>
              <w:left w:val="single" w:sz="4" w:space="0" w:color="auto"/>
            </w:tcBorders>
          </w:tcPr>
          <w:p w14:paraId="07F64CE0"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561</w:t>
            </w:r>
          </w:p>
        </w:tc>
        <w:tc>
          <w:tcPr>
            <w:tcW w:w="1340" w:type="dxa"/>
            <w:tcBorders>
              <w:right w:val="single" w:sz="4" w:space="0" w:color="auto"/>
            </w:tcBorders>
          </w:tcPr>
          <w:p w14:paraId="0EEFDB02"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559</w:t>
            </w:r>
          </w:p>
        </w:tc>
        <w:tc>
          <w:tcPr>
            <w:tcW w:w="1340" w:type="dxa"/>
            <w:tcBorders>
              <w:left w:val="single" w:sz="4" w:space="0" w:color="auto"/>
            </w:tcBorders>
          </w:tcPr>
          <w:p w14:paraId="22B1A6F5"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4</w:t>
            </w:r>
            <w:r>
              <w:rPr>
                <w:rFonts w:cs="Arial"/>
                <w:b/>
                <w:color w:val="auto"/>
                <w:sz w:val="20"/>
                <w:szCs w:val="20"/>
              </w:rPr>
              <w:t>,</w:t>
            </w:r>
            <w:r w:rsidRPr="00BF0D27">
              <w:rPr>
                <w:rFonts w:cs="Arial"/>
                <w:b/>
                <w:color w:val="auto"/>
                <w:sz w:val="20"/>
                <w:szCs w:val="20"/>
              </w:rPr>
              <w:t>775</w:t>
            </w:r>
          </w:p>
        </w:tc>
        <w:tc>
          <w:tcPr>
            <w:tcW w:w="1340" w:type="dxa"/>
            <w:tcBorders>
              <w:top w:val="nil"/>
              <w:bottom w:val="nil"/>
              <w:right w:val="single" w:sz="4" w:space="0" w:color="auto"/>
            </w:tcBorders>
          </w:tcPr>
          <w:p w14:paraId="145EC692"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4</w:t>
            </w:r>
            <w:r>
              <w:rPr>
                <w:rFonts w:cs="Arial"/>
                <w:b/>
                <w:color w:val="auto"/>
                <w:sz w:val="20"/>
                <w:szCs w:val="20"/>
              </w:rPr>
              <w:t>,</w:t>
            </w:r>
            <w:r w:rsidRPr="00BF0D27">
              <w:rPr>
                <w:rFonts w:cs="Arial"/>
                <w:b/>
                <w:color w:val="auto"/>
                <w:sz w:val="20"/>
                <w:szCs w:val="20"/>
              </w:rPr>
              <w:t>499</w:t>
            </w:r>
          </w:p>
        </w:tc>
      </w:tr>
      <w:tr w:rsidR="00EE4C8A" w:rsidRPr="00BF0D27" w14:paraId="766A0972"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right w:val="single" w:sz="4" w:space="0" w:color="auto"/>
            </w:tcBorders>
            <w:noWrap/>
            <w:hideMark/>
          </w:tcPr>
          <w:p w14:paraId="48E0F7E4" w14:textId="77777777" w:rsidR="00D7469D" w:rsidRPr="00BF0D27" w:rsidRDefault="00D7469D" w:rsidP="00CE2FDF">
            <w:pPr>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2011</w:t>
            </w:r>
          </w:p>
        </w:tc>
        <w:tc>
          <w:tcPr>
            <w:tcW w:w="1339" w:type="dxa"/>
            <w:tcBorders>
              <w:left w:val="single" w:sz="4" w:space="0" w:color="auto"/>
              <w:bottom w:val="nil"/>
            </w:tcBorders>
          </w:tcPr>
          <w:p w14:paraId="7992D41F"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4</w:t>
            </w:r>
            <w:r>
              <w:rPr>
                <w:rFonts w:cs="Arial"/>
                <w:color w:val="auto"/>
                <w:sz w:val="20"/>
                <w:szCs w:val="20"/>
              </w:rPr>
              <w:t>,</w:t>
            </w:r>
            <w:r w:rsidRPr="00BF0D27">
              <w:rPr>
                <w:rFonts w:cs="Arial"/>
                <w:color w:val="auto"/>
                <w:sz w:val="20"/>
                <w:szCs w:val="20"/>
              </w:rPr>
              <w:t>025</w:t>
            </w:r>
          </w:p>
        </w:tc>
        <w:tc>
          <w:tcPr>
            <w:tcW w:w="1340" w:type="dxa"/>
            <w:tcBorders>
              <w:bottom w:val="nil"/>
              <w:right w:val="single" w:sz="4" w:space="0" w:color="auto"/>
            </w:tcBorders>
          </w:tcPr>
          <w:p w14:paraId="10E0917D"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811</w:t>
            </w:r>
          </w:p>
        </w:tc>
        <w:tc>
          <w:tcPr>
            <w:tcW w:w="1340" w:type="dxa"/>
            <w:tcBorders>
              <w:left w:val="single" w:sz="4" w:space="0" w:color="auto"/>
              <w:bottom w:val="nil"/>
            </w:tcBorders>
          </w:tcPr>
          <w:p w14:paraId="123A355D"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650</w:t>
            </w:r>
          </w:p>
        </w:tc>
        <w:tc>
          <w:tcPr>
            <w:tcW w:w="1340" w:type="dxa"/>
            <w:tcBorders>
              <w:bottom w:val="nil"/>
              <w:right w:val="single" w:sz="4" w:space="0" w:color="auto"/>
            </w:tcBorders>
          </w:tcPr>
          <w:p w14:paraId="5E1DF92A"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618</w:t>
            </w:r>
          </w:p>
        </w:tc>
        <w:tc>
          <w:tcPr>
            <w:tcW w:w="1340" w:type="dxa"/>
            <w:tcBorders>
              <w:left w:val="single" w:sz="4" w:space="0" w:color="auto"/>
              <w:bottom w:val="nil"/>
            </w:tcBorders>
          </w:tcPr>
          <w:p w14:paraId="3EECABEE"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064</w:t>
            </w:r>
          </w:p>
        </w:tc>
        <w:tc>
          <w:tcPr>
            <w:tcW w:w="1339" w:type="dxa"/>
            <w:tcBorders>
              <w:bottom w:val="nil"/>
              <w:right w:val="single" w:sz="4" w:space="0" w:color="auto"/>
            </w:tcBorders>
          </w:tcPr>
          <w:p w14:paraId="188CA3FA"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058</w:t>
            </w:r>
          </w:p>
        </w:tc>
        <w:tc>
          <w:tcPr>
            <w:tcW w:w="1340" w:type="dxa"/>
            <w:tcBorders>
              <w:left w:val="single" w:sz="4" w:space="0" w:color="auto"/>
              <w:bottom w:val="nil"/>
            </w:tcBorders>
          </w:tcPr>
          <w:p w14:paraId="667B717B"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586</w:t>
            </w:r>
          </w:p>
        </w:tc>
        <w:tc>
          <w:tcPr>
            <w:tcW w:w="1340" w:type="dxa"/>
            <w:tcBorders>
              <w:bottom w:val="nil"/>
              <w:right w:val="single" w:sz="4" w:space="0" w:color="auto"/>
            </w:tcBorders>
          </w:tcPr>
          <w:p w14:paraId="28BD5659"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BF0D27">
              <w:rPr>
                <w:rFonts w:cs="Arial"/>
                <w:color w:val="auto"/>
                <w:sz w:val="20"/>
                <w:szCs w:val="20"/>
              </w:rPr>
              <w:t>570</w:t>
            </w:r>
          </w:p>
        </w:tc>
        <w:tc>
          <w:tcPr>
            <w:tcW w:w="1340" w:type="dxa"/>
            <w:tcBorders>
              <w:left w:val="single" w:sz="4" w:space="0" w:color="auto"/>
              <w:bottom w:val="nil"/>
            </w:tcBorders>
          </w:tcPr>
          <w:p w14:paraId="02A665EF"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5</w:t>
            </w:r>
            <w:r>
              <w:rPr>
                <w:rFonts w:cs="Arial"/>
                <w:b/>
                <w:color w:val="auto"/>
                <w:sz w:val="20"/>
                <w:szCs w:val="20"/>
              </w:rPr>
              <w:t>,</w:t>
            </w:r>
            <w:r w:rsidRPr="00BF0D27">
              <w:rPr>
                <w:rFonts w:cs="Arial"/>
                <w:b/>
                <w:color w:val="auto"/>
                <w:sz w:val="20"/>
                <w:szCs w:val="20"/>
              </w:rPr>
              <w:t>675</w:t>
            </w:r>
          </w:p>
        </w:tc>
        <w:tc>
          <w:tcPr>
            <w:tcW w:w="1340" w:type="dxa"/>
            <w:tcBorders>
              <w:top w:val="nil"/>
              <w:bottom w:val="nil"/>
            </w:tcBorders>
          </w:tcPr>
          <w:p w14:paraId="44A12DE2"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5</w:t>
            </w:r>
            <w:r>
              <w:rPr>
                <w:rFonts w:cs="Arial"/>
                <w:b/>
                <w:color w:val="auto"/>
                <w:sz w:val="20"/>
                <w:szCs w:val="20"/>
              </w:rPr>
              <w:t>,</w:t>
            </w:r>
            <w:r w:rsidRPr="00BF0D27">
              <w:rPr>
                <w:rFonts w:cs="Arial"/>
                <w:b/>
                <w:color w:val="auto"/>
                <w:sz w:val="20"/>
                <w:szCs w:val="20"/>
              </w:rPr>
              <w:t>286</w:t>
            </w:r>
          </w:p>
        </w:tc>
      </w:tr>
      <w:tr w:rsidR="00712236" w:rsidRPr="00BF0D27" w14:paraId="4CC4A5DF" w14:textId="77777777" w:rsidTr="0071223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single" w:sz="4" w:space="0" w:color="auto"/>
              <w:right w:val="single" w:sz="4" w:space="0" w:color="auto"/>
            </w:tcBorders>
            <w:noWrap/>
            <w:hideMark/>
          </w:tcPr>
          <w:p w14:paraId="5CF96328" w14:textId="77777777" w:rsidR="00D7469D" w:rsidRPr="00BF0D27" w:rsidRDefault="00D7469D" w:rsidP="00CE2FDF">
            <w:pPr>
              <w:spacing w:before="0" w:after="60" w:line="276" w:lineRule="auto"/>
              <w:rPr>
                <w:rFonts w:eastAsia="Times New Roman" w:cs="Arial"/>
                <w:b w:val="0"/>
                <w:bCs w:val="0"/>
                <w:color w:val="auto"/>
                <w:sz w:val="20"/>
                <w:szCs w:val="20"/>
                <w:lang w:eastAsia="en-AU"/>
              </w:rPr>
            </w:pPr>
            <w:r w:rsidRPr="00BF0D27">
              <w:rPr>
                <w:rFonts w:eastAsia="Times New Roman" w:cs="Arial"/>
                <w:color w:val="auto"/>
                <w:sz w:val="20"/>
                <w:szCs w:val="20"/>
                <w:lang w:eastAsia="en-AU"/>
              </w:rPr>
              <w:t>2012</w:t>
            </w:r>
          </w:p>
        </w:tc>
        <w:tc>
          <w:tcPr>
            <w:tcW w:w="1339" w:type="dxa"/>
            <w:tcBorders>
              <w:top w:val="nil"/>
              <w:left w:val="single" w:sz="4" w:space="0" w:color="auto"/>
              <w:bottom w:val="single" w:sz="4" w:space="0" w:color="auto"/>
            </w:tcBorders>
          </w:tcPr>
          <w:p w14:paraId="665DE266"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3</w:t>
            </w:r>
            <w:r>
              <w:rPr>
                <w:rFonts w:cs="Arial"/>
                <w:color w:val="auto"/>
                <w:sz w:val="20"/>
                <w:szCs w:val="20"/>
              </w:rPr>
              <w:t>,</w:t>
            </w:r>
            <w:r w:rsidRPr="00BF0D27">
              <w:rPr>
                <w:rFonts w:cs="Arial"/>
                <w:color w:val="auto"/>
                <w:sz w:val="20"/>
                <w:szCs w:val="20"/>
              </w:rPr>
              <w:t>553</w:t>
            </w:r>
          </w:p>
        </w:tc>
        <w:tc>
          <w:tcPr>
            <w:tcW w:w="1340" w:type="dxa"/>
            <w:tcBorders>
              <w:top w:val="nil"/>
              <w:bottom w:val="single" w:sz="4" w:space="0" w:color="auto"/>
              <w:right w:val="single" w:sz="4" w:space="0" w:color="auto"/>
            </w:tcBorders>
          </w:tcPr>
          <w:p w14:paraId="3AC36056"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356</w:t>
            </w:r>
          </w:p>
        </w:tc>
        <w:tc>
          <w:tcPr>
            <w:tcW w:w="1340" w:type="dxa"/>
            <w:tcBorders>
              <w:top w:val="nil"/>
              <w:left w:val="single" w:sz="4" w:space="0" w:color="auto"/>
              <w:bottom w:val="single" w:sz="4" w:space="0" w:color="auto"/>
            </w:tcBorders>
          </w:tcPr>
          <w:p w14:paraId="745391B0"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1</w:t>
            </w:r>
            <w:r>
              <w:rPr>
                <w:rFonts w:cs="Arial"/>
                <w:color w:val="auto"/>
                <w:sz w:val="20"/>
                <w:szCs w:val="20"/>
              </w:rPr>
              <w:t>,</w:t>
            </w:r>
            <w:r w:rsidRPr="00BF0D27">
              <w:rPr>
                <w:rFonts w:cs="Arial"/>
                <w:color w:val="auto"/>
                <w:sz w:val="20"/>
                <w:szCs w:val="20"/>
              </w:rPr>
              <w:t>349</w:t>
            </w:r>
          </w:p>
        </w:tc>
        <w:tc>
          <w:tcPr>
            <w:tcW w:w="1340" w:type="dxa"/>
            <w:tcBorders>
              <w:top w:val="nil"/>
              <w:bottom w:val="single" w:sz="4" w:space="0" w:color="auto"/>
              <w:right w:val="single" w:sz="4" w:space="0" w:color="auto"/>
            </w:tcBorders>
          </w:tcPr>
          <w:p w14:paraId="450913F5"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326</w:t>
            </w:r>
          </w:p>
        </w:tc>
        <w:tc>
          <w:tcPr>
            <w:tcW w:w="1340" w:type="dxa"/>
            <w:tcBorders>
              <w:top w:val="nil"/>
              <w:left w:val="single" w:sz="4" w:space="0" w:color="auto"/>
              <w:bottom w:val="single" w:sz="4" w:space="0" w:color="auto"/>
            </w:tcBorders>
          </w:tcPr>
          <w:p w14:paraId="084F8423"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883</w:t>
            </w:r>
          </w:p>
        </w:tc>
        <w:tc>
          <w:tcPr>
            <w:tcW w:w="1339" w:type="dxa"/>
            <w:tcBorders>
              <w:top w:val="nil"/>
              <w:bottom w:val="single" w:sz="4" w:space="0" w:color="auto"/>
              <w:right w:val="single" w:sz="4" w:space="0" w:color="auto"/>
            </w:tcBorders>
          </w:tcPr>
          <w:p w14:paraId="6D8CD5EE"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876</w:t>
            </w:r>
          </w:p>
        </w:tc>
        <w:tc>
          <w:tcPr>
            <w:tcW w:w="1340" w:type="dxa"/>
            <w:tcBorders>
              <w:top w:val="nil"/>
              <w:left w:val="single" w:sz="4" w:space="0" w:color="auto"/>
              <w:bottom w:val="single" w:sz="4" w:space="0" w:color="auto"/>
            </w:tcBorders>
          </w:tcPr>
          <w:p w14:paraId="4EF7F389"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466</w:t>
            </w:r>
          </w:p>
        </w:tc>
        <w:tc>
          <w:tcPr>
            <w:tcW w:w="1340" w:type="dxa"/>
            <w:tcBorders>
              <w:top w:val="nil"/>
              <w:bottom w:val="single" w:sz="4" w:space="0" w:color="auto"/>
              <w:right w:val="single" w:sz="4" w:space="0" w:color="auto"/>
            </w:tcBorders>
          </w:tcPr>
          <w:p w14:paraId="1946B426"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BF0D27">
              <w:rPr>
                <w:rFonts w:cs="Arial"/>
                <w:color w:val="auto"/>
                <w:sz w:val="20"/>
                <w:szCs w:val="20"/>
              </w:rPr>
              <w:t>456</w:t>
            </w:r>
          </w:p>
        </w:tc>
        <w:tc>
          <w:tcPr>
            <w:tcW w:w="1340" w:type="dxa"/>
            <w:tcBorders>
              <w:top w:val="nil"/>
              <w:left w:val="single" w:sz="4" w:space="0" w:color="auto"/>
              <w:bottom w:val="single" w:sz="4" w:space="0" w:color="auto"/>
            </w:tcBorders>
          </w:tcPr>
          <w:p w14:paraId="4879E66D"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4</w:t>
            </w:r>
            <w:r>
              <w:rPr>
                <w:rFonts w:cs="Arial"/>
                <w:b/>
                <w:color w:val="auto"/>
                <w:sz w:val="20"/>
                <w:szCs w:val="20"/>
              </w:rPr>
              <w:t>,</w:t>
            </w:r>
            <w:r w:rsidRPr="00BF0D27">
              <w:rPr>
                <w:rFonts w:cs="Arial"/>
                <w:b/>
                <w:color w:val="auto"/>
                <w:sz w:val="20"/>
                <w:szCs w:val="20"/>
              </w:rPr>
              <w:t>902</w:t>
            </w:r>
          </w:p>
        </w:tc>
        <w:tc>
          <w:tcPr>
            <w:tcW w:w="1340" w:type="dxa"/>
            <w:tcBorders>
              <w:top w:val="nil"/>
              <w:bottom w:val="single" w:sz="4" w:space="0" w:color="auto"/>
              <w:right w:val="single" w:sz="4" w:space="0" w:color="auto"/>
            </w:tcBorders>
          </w:tcPr>
          <w:p w14:paraId="0789CE86" w14:textId="77777777" w:rsidR="00D7469D" w:rsidRPr="00BF0D27" w:rsidRDefault="00D7469D"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sidRPr="00BF0D27">
              <w:rPr>
                <w:rFonts w:cs="Arial"/>
                <w:b/>
                <w:color w:val="auto"/>
                <w:sz w:val="20"/>
                <w:szCs w:val="20"/>
              </w:rPr>
              <w:t>4</w:t>
            </w:r>
            <w:r>
              <w:rPr>
                <w:rFonts w:cs="Arial"/>
                <w:b/>
                <w:color w:val="auto"/>
                <w:sz w:val="20"/>
                <w:szCs w:val="20"/>
              </w:rPr>
              <w:t>,</w:t>
            </w:r>
            <w:r w:rsidRPr="00BF0D27">
              <w:rPr>
                <w:rFonts w:cs="Arial"/>
                <w:b/>
                <w:color w:val="auto"/>
                <w:sz w:val="20"/>
                <w:szCs w:val="20"/>
              </w:rPr>
              <w:t>584</w:t>
            </w:r>
          </w:p>
        </w:tc>
      </w:tr>
      <w:tr w:rsidR="002418F8" w:rsidRPr="00BF0D27" w14:paraId="59142FAE"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right w:val="single" w:sz="4" w:space="0" w:color="auto"/>
            </w:tcBorders>
            <w:shd w:val="clear" w:color="auto" w:fill="92CDDC" w:themeFill="accent5" w:themeFillTint="99"/>
            <w:noWrap/>
          </w:tcPr>
          <w:p w14:paraId="2F1C48E2" w14:textId="77777777" w:rsidR="00D7469D" w:rsidRPr="00BF0D27" w:rsidRDefault="00D7469D" w:rsidP="00CE2FDF">
            <w:pPr>
              <w:spacing w:before="0" w:after="60" w:line="276" w:lineRule="auto"/>
              <w:rPr>
                <w:rFonts w:eastAsia="Times New Roman" w:cs="Arial"/>
                <w:bCs w:val="0"/>
                <w:color w:val="auto"/>
                <w:sz w:val="20"/>
                <w:szCs w:val="20"/>
                <w:lang w:eastAsia="en-AU"/>
              </w:rPr>
            </w:pPr>
            <w:r w:rsidRPr="00BF0D27">
              <w:rPr>
                <w:rFonts w:eastAsia="Times New Roman" w:cs="Arial"/>
                <w:color w:val="auto"/>
                <w:sz w:val="20"/>
                <w:szCs w:val="20"/>
                <w:lang w:eastAsia="en-AU"/>
              </w:rPr>
              <w:t>Totals:</w:t>
            </w:r>
          </w:p>
        </w:tc>
        <w:tc>
          <w:tcPr>
            <w:tcW w:w="1339" w:type="dxa"/>
            <w:tcBorders>
              <w:top w:val="single" w:sz="4" w:space="0" w:color="auto"/>
              <w:left w:val="single" w:sz="4" w:space="0" w:color="auto"/>
              <w:bottom w:val="single" w:sz="4" w:space="0" w:color="auto"/>
            </w:tcBorders>
            <w:shd w:val="clear" w:color="auto" w:fill="92CDDC" w:themeFill="accent5" w:themeFillTint="99"/>
          </w:tcPr>
          <w:p w14:paraId="6B24DD04" w14:textId="77777777" w:rsidR="00D7469D"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sz w:val="20"/>
                <w:szCs w:val="20"/>
              </w:rPr>
              <w:fldChar w:fldCharType="begin"/>
            </w:r>
            <w:r w:rsidR="00D7469D" w:rsidRPr="00BF0D27">
              <w:rPr>
                <w:rFonts w:cs="Arial"/>
                <w:b/>
                <w:color w:val="auto"/>
                <w:sz w:val="20"/>
                <w:szCs w:val="20"/>
              </w:rPr>
              <w:instrText xml:space="preserve"> =SUM(ABOVE) </w:instrText>
            </w:r>
            <w:r w:rsidRPr="00BF0D27">
              <w:rPr>
                <w:rFonts w:cs="Arial"/>
                <w:b/>
                <w:sz w:val="20"/>
                <w:szCs w:val="20"/>
              </w:rPr>
              <w:fldChar w:fldCharType="separate"/>
            </w:r>
            <w:r w:rsidR="00D7469D" w:rsidRPr="00BF0D27">
              <w:rPr>
                <w:rFonts w:cs="Arial"/>
                <w:b/>
                <w:noProof/>
                <w:color w:val="auto"/>
                <w:sz w:val="20"/>
                <w:szCs w:val="20"/>
              </w:rPr>
              <w:t>66</w:t>
            </w:r>
            <w:r w:rsidR="00D7469D">
              <w:rPr>
                <w:rFonts w:cs="Arial"/>
                <w:b/>
                <w:noProof/>
                <w:color w:val="auto"/>
                <w:sz w:val="20"/>
                <w:szCs w:val="20"/>
              </w:rPr>
              <w:t>,</w:t>
            </w:r>
            <w:r w:rsidR="00D7469D" w:rsidRPr="00BF0D27">
              <w:rPr>
                <w:rFonts w:cs="Arial"/>
                <w:b/>
                <w:noProof/>
                <w:color w:val="auto"/>
                <w:sz w:val="20"/>
                <w:szCs w:val="20"/>
              </w:rPr>
              <w:t>414</w:t>
            </w:r>
            <w:r w:rsidRPr="00BF0D27">
              <w:rPr>
                <w:rFonts w:cs="Arial"/>
                <w:b/>
                <w:sz w:val="20"/>
                <w:szCs w:val="20"/>
              </w:rPr>
              <w:fldChar w:fldCharType="end"/>
            </w:r>
          </w:p>
        </w:tc>
        <w:tc>
          <w:tcPr>
            <w:tcW w:w="1340" w:type="dxa"/>
            <w:tcBorders>
              <w:top w:val="single" w:sz="4" w:space="0" w:color="auto"/>
              <w:bottom w:val="single" w:sz="4" w:space="0" w:color="auto"/>
              <w:right w:val="single" w:sz="4" w:space="0" w:color="auto"/>
            </w:tcBorders>
            <w:shd w:val="clear" w:color="auto" w:fill="92CDDC" w:themeFill="accent5" w:themeFillTint="99"/>
          </w:tcPr>
          <w:p w14:paraId="003FD745" w14:textId="77777777" w:rsidR="00D7469D"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D7469D"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D7469D" w:rsidRPr="00BF0D27">
              <w:rPr>
                <w:rFonts w:eastAsia="Times New Roman" w:cs="Arial"/>
                <w:b/>
                <w:noProof/>
                <w:color w:val="auto"/>
                <w:sz w:val="20"/>
                <w:szCs w:val="20"/>
                <w:lang w:eastAsia="en-AU"/>
              </w:rPr>
              <w:t>59</w:t>
            </w:r>
            <w:r w:rsidR="00D7469D">
              <w:rPr>
                <w:rFonts w:eastAsia="Times New Roman" w:cs="Arial"/>
                <w:b/>
                <w:noProof/>
                <w:color w:val="auto"/>
                <w:sz w:val="20"/>
                <w:szCs w:val="20"/>
                <w:lang w:eastAsia="en-AU"/>
              </w:rPr>
              <w:t>,</w:t>
            </w:r>
            <w:r w:rsidR="00D7469D" w:rsidRPr="00BF0D27">
              <w:rPr>
                <w:rFonts w:eastAsia="Times New Roman" w:cs="Arial"/>
                <w:b/>
                <w:noProof/>
                <w:color w:val="auto"/>
                <w:sz w:val="20"/>
                <w:szCs w:val="20"/>
                <w:lang w:eastAsia="en-AU"/>
              </w:rPr>
              <w:t>528</w:t>
            </w:r>
            <w:r w:rsidRPr="00BF0D27">
              <w:rPr>
                <w:rFonts w:eastAsia="Times New Roman" w:cs="Arial"/>
                <w:b/>
                <w:sz w:val="20"/>
                <w:szCs w:val="20"/>
                <w:lang w:eastAsia="en-AU"/>
              </w:rPr>
              <w:fldChar w:fldCharType="end"/>
            </w:r>
          </w:p>
        </w:tc>
        <w:tc>
          <w:tcPr>
            <w:tcW w:w="1340" w:type="dxa"/>
            <w:tcBorders>
              <w:top w:val="single" w:sz="4" w:space="0" w:color="auto"/>
              <w:left w:val="single" w:sz="4" w:space="0" w:color="auto"/>
              <w:bottom w:val="single" w:sz="4" w:space="0" w:color="auto"/>
            </w:tcBorders>
            <w:shd w:val="clear" w:color="auto" w:fill="92CDDC" w:themeFill="accent5" w:themeFillTint="99"/>
          </w:tcPr>
          <w:p w14:paraId="2C322C70" w14:textId="77777777" w:rsidR="00D7469D"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sz w:val="20"/>
                <w:szCs w:val="20"/>
              </w:rPr>
              <w:fldChar w:fldCharType="begin"/>
            </w:r>
            <w:r w:rsidR="00D7469D" w:rsidRPr="00BF0D27">
              <w:rPr>
                <w:rFonts w:cs="Arial"/>
                <w:b/>
                <w:color w:val="auto"/>
                <w:sz w:val="20"/>
                <w:szCs w:val="20"/>
              </w:rPr>
              <w:instrText xml:space="preserve"> =SUM(ABOVE) </w:instrText>
            </w:r>
            <w:r w:rsidRPr="00BF0D27">
              <w:rPr>
                <w:rFonts w:cs="Arial"/>
                <w:b/>
                <w:sz w:val="20"/>
                <w:szCs w:val="20"/>
              </w:rPr>
              <w:fldChar w:fldCharType="separate"/>
            </w:r>
            <w:r w:rsidR="00D7469D" w:rsidRPr="00BF0D27">
              <w:rPr>
                <w:rFonts w:cs="Arial"/>
                <w:b/>
                <w:noProof/>
                <w:color w:val="auto"/>
                <w:sz w:val="20"/>
                <w:szCs w:val="20"/>
              </w:rPr>
              <w:t>21</w:t>
            </w:r>
            <w:r w:rsidR="00D7469D">
              <w:rPr>
                <w:rFonts w:cs="Arial"/>
                <w:b/>
                <w:noProof/>
                <w:color w:val="auto"/>
                <w:sz w:val="20"/>
                <w:szCs w:val="20"/>
              </w:rPr>
              <w:t>,</w:t>
            </w:r>
            <w:r w:rsidR="00D7469D" w:rsidRPr="00BF0D27">
              <w:rPr>
                <w:rFonts w:cs="Arial"/>
                <w:b/>
                <w:noProof/>
                <w:color w:val="auto"/>
                <w:sz w:val="20"/>
                <w:szCs w:val="20"/>
              </w:rPr>
              <w:t>025</w:t>
            </w:r>
            <w:r w:rsidRPr="00BF0D27">
              <w:rPr>
                <w:rFonts w:cs="Arial"/>
                <w:b/>
                <w:sz w:val="20"/>
                <w:szCs w:val="20"/>
              </w:rPr>
              <w:fldChar w:fldCharType="end"/>
            </w:r>
          </w:p>
        </w:tc>
        <w:tc>
          <w:tcPr>
            <w:tcW w:w="1340" w:type="dxa"/>
            <w:tcBorders>
              <w:top w:val="single" w:sz="4" w:space="0" w:color="auto"/>
              <w:bottom w:val="single" w:sz="4" w:space="0" w:color="auto"/>
              <w:right w:val="single" w:sz="4" w:space="0" w:color="auto"/>
            </w:tcBorders>
            <w:shd w:val="clear" w:color="auto" w:fill="92CDDC" w:themeFill="accent5" w:themeFillTint="99"/>
          </w:tcPr>
          <w:p w14:paraId="1BDF8B46" w14:textId="77777777" w:rsidR="00D7469D"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D7469D"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D7469D" w:rsidRPr="00BF0D27">
              <w:rPr>
                <w:rFonts w:eastAsia="Times New Roman" w:cs="Arial"/>
                <w:b/>
                <w:noProof/>
                <w:color w:val="auto"/>
                <w:sz w:val="20"/>
                <w:szCs w:val="20"/>
                <w:lang w:eastAsia="en-AU"/>
              </w:rPr>
              <w:t>20</w:t>
            </w:r>
            <w:r w:rsidR="00D7469D">
              <w:rPr>
                <w:rFonts w:eastAsia="Times New Roman" w:cs="Arial"/>
                <w:b/>
                <w:noProof/>
                <w:color w:val="auto"/>
                <w:sz w:val="20"/>
                <w:szCs w:val="20"/>
                <w:lang w:eastAsia="en-AU"/>
              </w:rPr>
              <w:t>,</w:t>
            </w:r>
            <w:r w:rsidR="00D7469D" w:rsidRPr="00BF0D27">
              <w:rPr>
                <w:rFonts w:eastAsia="Times New Roman" w:cs="Arial"/>
                <w:b/>
                <w:noProof/>
                <w:color w:val="auto"/>
                <w:sz w:val="20"/>
                <w:szCs w:val="20"/>
                <w:lang w:eastAsia="en-AU"/>
              </w:rPr>
              <w:t>363</w:t>
            </w:r>
            <w:r w:rsidRPr="00BF0D27">
              <w:rPr>
                <w:rFonts w:eastAsia="Times New Roman" w:cs="Arial"/>
                <w:b/>
                <w:sz w:val="20"/>
                <w:szCs w:val="20"/>
                <w:lang w:eastAsia="en-AU"/>
              </w:rPr>
              <w:fldChar w:fldCharType="end"/>
            </w:r>
          </w:p>
        </w:tc>
        <w:tc>
          <w:tcPr>
            <w:tcW w:w="1340" w:type="dxa"/>
            <w:tcBorders>
              <w:top w:val="single" w:sz="4" w:space="0" w:color="auto"/>
              <w:left w:val="single" w:sz="4" w:space="0" w:color="auto"/>
              <w:bottom w:val="single" w:sz="4" w:space="0" w:color="auto"/>
            </w:tcBorders>
            <w:shd w:val="clear" w:color="auto" w:fill="92CDDC" w:themeFill="accent5" w:themeFillTint="99"/>
          </w:tcPr>
          <w:p w14:paraId="69EEC256" w14:textId="77777777" w:rsidR="00D7469D"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sz w:val="20"/>
                <w:szCs w:val="20"/>
              </w:rPr>
              <w:fldChar w:fldCharType="begin"/>
            </w:r>
            <w:r w:rsidR="00D7469D" w:rsidRPr="00BF0D27">
              <w:rPr>
                <w:rFonts w:cs="Arial"/>
                <w:b/>
                <w:color w:val="auto"/>
                <w:sz w:val="20"/>
                <w:szCs w:val="20"/>
              </w:rPr>
              <w:instrText xml:space="preserve"> =SUM(ABOVE) </w:instrText>
            </w:r>
            <w:r w:rsidRPr="00BF0D27">
              <w:rPr>
                <w:rFonts w:cs="Arial"/>
                <w:b/>
                <w:sz w:val="20"/>
                <w:szCs w:val="20"/>
              </w:rPr>
              <w:fldChar w:fldCharType="separate"/>
            </w:r>
            <w:r w:rsidR="00D7469D" w:rsidRPr="00BF0D27">
              <w:rPr>
                <w:rFonts w:cs="Arial"/>
                <w:b/>
                <w:noProof/>
                <w:color w:val="auto"/>
                <w:sz w:val="20"/>
                <w:szCs w:val="20"/>
              </w:rPr>
              <w:t>13</w:t>
            </w:r>
            <w:r w:rsidR="00D7469D">
              <w:rPr>
                <w:rFonts w:cs="Arial"/>
                <w:b/>
                <w:noProof/>
                <w:color w:val="auto"/>
                <w:sz w:val="20"/>
                <w:szCs w:val="20"/>
              </w:rPr>
              <w:t>,</w:t>
            </w:r>
            <w:r w:rsidR="00D7469D" w:rsidRPr="00BF0D27">
              <w:rPr>
                <w:rFonts w:cs="Arial"/>
                <w:b/>
                <w:noProof/>
                <w:color w:val="auto"/>
                <w:sz w:val="20"/>
                <w:szCs w:val="20"/>
              </w:rPr>
              <w:t>314</w:t>
            </w:r>
            <w:r w:rsidRPr="00BF0D27">
              <w:rPr>
                <w:rFonts w:cs="Arial"/>
                <w:b/>
                <w:sz w:val="20"/>
                <w:szCs w:val="20"/>
              </w:rPr>
              <w:fldChar w:fldCharType="end"/>
            </w:r>
          </w:p>
        </w:tc>
        <w:tc>
          <w:tcPr>
            <w:tcW w:w="1339" w:type="dxa"/>
            <w:tcBorders>
              <w:top w:val="single" w:sz="4" w:space="0" w:color="auto"/>
              <w:bottom w:val="single" w:sz="4" w:space="0" w:color="auto"/>
              <w:right w:val="single" w:sz="4" w:space="0" w:color="auto"/>
            </w:tcBorders>
            <w:shd w:val="clear" w:color="auto" w:fill="92CDDC" w:themeFill="accent5" w:themeFillTint="99"/>
          </w:tcPr>
          <w:p w14:paraId="07A24925" w14:textId="77777777" w:rsidR="00D7469D"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D7469D"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D7469D" w:rsidRPr="00BF0D27">
              <w:rPr>
                <w:rFonts w:eastAsia="Times New Roman" w:cs="Arial"/>
                <w:b/>
                <w:noProof/>
                <w:color w:val="auto"/>
                <w:sz w:val="20"/>
                <w:szCs w:val="20"/>
                <w:lang w:eastAsia="en-AU"/>
              </w:rPr>
              <w:t>13</w:t>
            </w:r>
            <w:r w:rsidR="00D7469D">
              <w:rPr>
                <w:rFonts w:eastAsia="Times New Roman" w:cs="Arial"/>
                <w:b/>
                <w:noProof/>
                <w:color w:val="auto"/>
                <w:sz w:val="20"/>
                <w:szCs w:val="20"/>
                <w:lang w:eastAsia="en-AU"/>
              </w:rPr>
              <w:t>,</w:t>
            </w:r>
            <w:r w:rsidR="00D7469D" w:rsidRPr="00BF0D27">
              <w:rPr>
                <w:rFonts w:eastAsia="Times New Roman" w:cs="Arial"/>
                <w:b/>
                <w:noProof/>
                <w:color w:val="auto"/>
                <w:sz w:val="20"/>
                <w:szCs w:val="20"/>
                <w:lang w:eastAsia="en-AU"/>
              </w:rPr>
              <w:t>128</w:t>
            </w:r>
            <w:r w:rsidRPr="00BF0D27">
              <w:rPr>
                <w:rFonts w:eastAsia="Times New Roman" w:cs="Arial"/>
                <w:b/>
                <w:sz w:val="20"/>
                <w:szCs w:val="20"/>
                <w:lang w:eastAsia="en-AU"/>
              </w:rPr>
              <w:fldChar w:fldCharType="end"/>
            </w:r>
          </w:p>
        </w:tc>
        <w:tc>
          <w:tcPr>
            <w:tcW w:w="1340" w:type="dxa"/>
            <w:tcBorders>
              <w:top w:val="single" w:sz="4" w:space="0" w:color="auto"/>
              <w:left w:val="single" w:sz="4" w:space="0" w:color="auto"/>
              <w:bottom w:val="single" w:sz="4" w:space="0" w:color="auto"/>
            </w:tcBorders>
            <w:shd w:val="clear" w:color="auto" w:fill="92CDDC" w:themeFill="accent5" w:themeFillTint="99"/>
          </w:tcPr>
          <w:p w14:paraId="77DCB321"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7</w:t>
            </w:r>
            <w:r>
              <w:rPr>
                <w:rFonts w:cs="Arial"/>
                <w:b/>
                <w:color w:val="auto"/>
                <w:sz w:val="20"/>
                <w:szCs w:val="20"/>
              </w:rPr>
              <w:t>,</w:t>
            </w:r>
            <w:r w:rsidRPr="00BF0D27">
              <w:rPr>
                <w:rFonts w:cs="Arial"/>
                <w:b/>
                <w:color w:val="auto"/>
                <w:sz w:val="20"/>
                <w:szCs w:val="20"/>
              </w:rPr>
              <w:t>711</w:t>
            </w:r>
          </w:p>
        </w:tc>
        <w:tc>
          <w:tcPr>
            <w:tcW w:w="1340" w:type="dxa"/>
            <w:tcBorders>
              <w:top w:val="single" w:sz="4" w:space="0" w:color="auto"/>
              <w:bottom w:val="single" w:sz="4" w:space="0" w:color="auto"/>
              <w:right w:val="single" w:sz="4" w:space="0" w:color="auto"/>
            </w:tcBorders>
            <w:shd w:val="clear" w:color="auto" w:fill="92CDDC" w:themeFill="accent5" w:themeFillTint="99"/>
          </w:tcPr>
          <w:p w14:paraId="68D0FD03" w14:textId="77777777" w:rsidR="00D7469D"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sz w:val="20"/>
                <w:szCs w:val="20"/>
              </w:rPr>
              <w:fldChar w:fldCharType="begin"/>
            </w:r>
            <w:r w:rsidR="00D7469D" w:rsidRPr="00BF0D27">
              <w:rPr>
                <w:rFonts w:cs="Arial"/>
                <w:b/>
                <w:color w:val="auto"/>
                <w:sz w:val="20"/>
                <w:szCs w:val="20"/>
              </w:rPr>
              <w:instrText xml:space="preserve"> =SUM(ABOVE) </w:instrText>
            </w:r>
            <w:r w:rsidRPr="00BF0D27">
              <w:rPr>
                <w:rFonts w:cs="Arial"/>
                <w:b/>
                <w:sz w:val="20"/>
                <w:szCs w:val="20"/>
              </w:rPr>
              <w:fldChar w:fldCharType="separate"/>
            </w:r>
            <w:r w:rsidR="00D7469D" w:rsidRPr="00BF0D27">
              <w:rPr>
                <w:rFonts w:cs="Arial"/>
                <w:b/>
                <w:noProof/>
                <w:color w:val="auto"/>
                <w:sz w:val="20"/>
                <w:szCs w:val="20"/>
              </w:rPr>
              <w:t>7</w:t>
            </w:r>
            <w:r w:rsidR="00D7469D">
              <w:rPr>
                <w:rFonts w:cs="Arial"/>
                <w:b/>
                <w:noProof/>
                <w:color w:val="auto"/>
                <w:sz w:val="20"/>
                <w:szCs w:val="20"/>
              </w:rPr>
              <w:t>,</w:t>
            </w:r>
            <w:r w:rsidR="00D7469D" w:rsidRPr="00BF0D27">
              <w:rPr>
                <w:rFonts w:cs="Arial"/>
                <w:b/>
                <w:noProof/>
                <w:color w:val="auto"/>
                <w:sz w:val="20"/>
                <w:szCs w:val="20"/>
              </w:rPr>
              <w:t>541</w:t>
            </w:r>
            <w:r w:rsidRPr="00BF0D27">
              <w:rPr>
                <w:rFonts w:cs="Arial"/>
                <w:b/>
                <w:sz w:val="20"/>
                <w:szCs w:val="20"/>
              </w:rPr>
              <w:fldChar w:fldCharType="end"/>
            </w:r>
          </w:p>
        </w:tc>
        <w:tc>
          <w:tcPr>
            <w:tcW w:w="1340" w:type="dxa"/>
            <w:tcBorders>
              <w:top w:val="single" w:sz="4" w:space="0" w:color="auto"/>
              <w:left w:val="single" w:sz="4" w:space="0" w:color="auto"/>
              <w:bottom w:val="single" w:sz="4" w:space="0" w:color="auto"/>
            </w:tcBorders>
            <w:shd w:val="clear" w:color="auto" w:fill="92CDDC" w:themeFill="accent5" w:themeFillTint="99"/>
          </w:tcPr>
          <w:p w14:paraId="34873807" w14:textId="77777777" w:rsidR="00D7469D" w:rsidRPr="00BF0D27" w:rsidRDefault="00D7469D"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color w:val="auto"/>
                <w:sz w:val="20"/>
                <w:szCs w:val="20"/>
              </w:rPr>
              <w:t>87</w:t>
            </w:r>
            <w:r>
              <w:rPr>
                <w:rFonts w:cs="Arial"/>
                <w:b/>
                <w:color w:val="auto"/>
                <w:sz w:val="20"/>
                <w:szCs w:val="20"/>
              </w:rPr>
              <w:t>,</w:t>
            </w:r>
            <w:r w:rsidRPr="00BF0D27">
              <w:rPr>
                <w:rFonts w:cs="Arial"/>
                <w:b/>
                <w:color w:val="auto"/>
                <w:sz w:val="20"/>
                <w:szCs w:val="20"/>
              </w:rPr>
              <w:t>439</w:t>
            </w:r>
          </w:p>
        </w:tc>
        <w:tc>
          <w:tcPr>
            <w:tcW w:w="1340" w:type="dxa"/>
            <w:tcBorders>
              <w:top w:val="single" w:sz="4" w:space="0" w:color="auto"/>
              <w:bottom w:val="single" w:sz="4" w:space="0" w:color="auto"/>
            </w:tcBorders>
            <w:shd w:val="clear" w:color="auto" w:fill="92CDDC" w:themeFill="accent5" w:themeFillTint="99"/>
          </w:tcPr>
          <w:p w14:paraId="427D3983" w14:textId="77777777" w:rsidR="00D7469D"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BF0D27">
              <w:rPr>
                <w:rFonts w:cs="Arial"/>
                <w:b/>
                <w:sz w:val="20"/>
                <w:szCs w:val="20"/>
              </w:rPr>
              <w:fldChar w:fldCharType="begin"/>
            </w:r>
            <w:r w:rsidR="00D7469D" w:rsidRPr="00BF0D27">
              <w:rPr>
                <w:rFonts w:cs="Arial"/>
                <w:b/>
                <w:color w:val="auto"/>
                <w:sz w:val="20"/>
                <w:szCs w:val="20"/>
              </w:rPr>
              <w:instrText xml:space="preserve"> =SUM(ABOVE) </w:instrText>
            </w:r>
            <w:r w:rsidRPr="00BF0D27">
              <w:rPr>
                <w:rFonts w:cs="Arial"/>
                <w:b/>
                <w:sz w:val="20"/>
                <w:szCs w:val="20"/>
              </w:rPr>
              <w:fldChar w:fldCharType="separate"/>
            </w:r>
            <w:r w:rsidR="00D7469D" w:rsidRPr="00BF0D27">
              <w:rPr>
                <w:rFonts w:cs="Arial"/>
                <w:b/>
                <w:noProof/>
                <w:color w:val="auto"/>
                <w:sz w:val="20"/>
                <w:szCs w:val="20"/>
              </w:rPr>
              <w:t>76</w:t>
            </w:r>
            <w:r w:rsidR="00D7469D">
              <w:rPr>
                <w:rFonts w:cs="Arial"/>
                <w:b/>
                <w:noProof/>
                <w:color w:val="auto"/>
                <w:sz w:val="20"/>
                <w:szCs w:val="20"/>
              </w:rPr>
              <w:t>,</w:t>
            </w:r>
            <w:r w:rsidR="00D7469D" w:rsidRPr="00BF0D27">
              <w:rPr>
                <w:rFonts w:cs="Arial"/>
                <w:b/>
                <w:noProof/>
                <w:color w:val="auto"/>
                <w:sz w:val="20"/>
                <w:szCs w:val="20"/>
              </w:rPr>
              <w:t>813</w:t>
            </w:r>
            <w:r w:rsidRPr="00BF0D27">
              <w:rPr>
                <w:rFonts w:cs="Arial"/>
                <w:b/>
                <w:sz w:val="20"/>
                <w:szCs w:val="20"/>
              </w:rPr>
              <w:fldChar w:fldCharType="end"/>
            </w:r>
          </w:p>
        </w:tc>
      </w:tr>
    </w:tbl>
    <w:p w14:paraId="7675FEEC" w14:textId="77777777" w:rsidR="00EE4C8A" w:rsidRDefault="00EE4C8A" w:rsidP="00B15586">
      <w:pPr>
        <w:spacing w:after="200" w:line="276" w:lineRule="auto"/>
        <w:rPr>
          <w:rFonts w:asciiTheme="majorHAnsi" w:eastAsiaTheme="majorEastAsia" w:hAnsiTheme="majorHAnsi" w:cstheme="majorBidi"/>
          <w:b/>
          <w:bCs/>
          <w:color w:val="17365D" w:themeColor="text2" w:themeShade="BF"/>
          <w:sz w:val="26"/>
          <w:szCs w:val="26"/>
        </w:rPr>
      </w:pPr>
      <w:r>
        <w:br w:type="page"/>
      </w:r>
    </w:p>
    <w:p w14:paraId="27C1A656" w14:textId="77777777" w:rsidR="001A00F8" w:rsidRDefault="001A00F8" w:rsidP="0095311F">
      <w:pPr>
        <w:pStyle w:val="Figureheading"/>
      </w:pPr>
      <w:bookmarkStart w:id="97" w:name="_Toc382206801"/>
      <w:r>
        <w:lastRenderedPageBreak/>
        <w:t>3.11</w:t>
      </w:r>
      <w:r>
        <w:tab/>
        <w:t xml:space="preserve">Number of reports of physical abuse, </w:t>
      </w:r>
      <w:bookmarkEnd w:id="97"/>
      <w:r>
        <w:t>and distinct children in reports, by outcome, by year</w:t>
      </w:r>
    </w:p>
    <w:tbl>
      <w:tblPr>
        <w:tblStyle w:val="LightShading-Accent4"/>
        <w:tblW w:w="14033"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Number of reports of physical abuse, and distinct children in reports, by outcome, by year"/>
      </w:tblPr>
      <w:tblGrid>
        <w:gridCol w:w="993"/>
        <w:gridCol w:w="1304"/>
        <w:gridCol w:w="1304"/>
        <w:gridCol w:w="1304"/>
        <w:gridCol w:w="1304"/>
        <w:gridCol w:w="1304"/>
        <w:gridCol w:w="1304"/>
        <w:gridCol w:w="1304"/>
        <w:gridCol w:w="1304"/>
        <w:gridCol w:w="1304"/>
        <w:gridCol w:w="1304"/>
      </w:tblGrid>
      <w:tr w:rsidR="001A00F8" w:rsidRPr="00BF0D27" w14:paraId="23740DCA" w14:textId="77777777" w:rsidTr="001143B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nil"/>
              <w:right w:val="single" w:sz="4" w:space="0" w:color="auto"/>
            </w:tcBorders>
            <w:shd w:val="clear" w:color="auto" w:fill="B2A1C7" w:themeFill="accent4" w:themeFillTint="99"/>
            <w:vAlign w:val="center"/>
          </w:tcPr>
          <w:p w14:paraId="4B16FBCC" w14:textId="77777777" w:rsidR="006B1B40" w:rsidRPr="00BF0D27" w:rsidRDefault="006B1B40" w:rsidP="00CE2FDF">
            <w:pPr>
              <w:spacing w:before="0" w:line="276" w:lineRule="auto"/>
              <w:jc w:val="center"/>
              <w:rPr>
                <w:rFonts w:eastAsia="Times New Roman" w:cs="Arial"/>
                <w:bCs w:val="0"/>
                <w:color w:val="auto"/>
                <w:sz w:val="20"/>
                <w:szCs w:val="20"/>
                <w:lang w:eastAsia="en-AU"/>
              </w:rPr>
            </w:pPr>
          </w:p>
        </w:tc>
        <w:tc>
          <w:tcPr>
            <w:tcW w:w="2608"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4BC690AF" w14:textId="77777777" w:rsidR="006B1B40" w:rsidRPr="00BF0D27" w:rsidRDefault="006B1B40"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Not investigated</w:t>
            </w:r>
          </w:p>
        </w:tc>
        <w:tc>
          <w:tcPr>
            <w:tcW w:w="2608"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BA95FAB" w14:textId="77777777" w:rsidR="006B1B40" w:rsidRPr="00BF0D27" w:rsidRDefault="006B1B40"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Investigated</w:t>
            </w:r>
          </w:p>
        </w:tc>
        <w:tc>
          <w:tcPr>
            <w:tcW w:w="2608"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4BC7F1A5" w14:textId="77777777" w:rsidR="006B1B40" w:rsidRPr="00BF0D27" w:rsidRDefault="006B1B40"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Substantiated</w:t>
            </w:r>
          </w:p>
        </w:tc>
        <w:tc>
          <w:tcPr>
            <w:tcW w:w="2608"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508E2E91" w14:textId="77777777" w:rsidR="006B1B40" w:rsidRPr="00BF0D27" w:rsidRDefault="006B1B40"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Not substantiated</w:t>
            </w:r>
          </w:p>
        </w:tc>
        <w:tc>
          <w:tcPr>
            <w:tcW w:w="2608"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99D5287" w14:textId="77777777" w:rsidR="006B1B40" w:rsidRPr="00BF0D27" w:rsidRDefault="006B1B40"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Total</w:t>
            </w:r>
          </w:p>
        </w:tc>
      </w:tr>
      <w:tr w:rsidR="002418F8" w:rsidRPr="00BF0D27" w14:paraId="197E221B" w14:textId="77777777" w:rsidTr="007122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single" w:sz="4" w:space="0" w:color="auto"/>
              <w:right w:val="single" w:sz="4" w:space="0" w:color="auto"/>
            </w:tcBorders>
            <w:shd w:val="clear" w:color="auto" w:fill="B2A1C7" w:themeFill="accent4" w:themeFillTint="99"/>
            <w:vAlign w:val="center"/>
          </w:tcPr>
          <w:p w14:paraId="3641C4E4" w14:textId="77777777" w:rsidR="00D574FC" w:rsidRPr="00BF0D27" w:rsidRDefault="00D574FC" w:rsidP="00CE2FDF">
            <w:pPr>
              <w:spacing w:before="0" w:after="60" w:line="276" w:lineRule="auto"/>
              <w:rPr>
                <w:rFonts w:eastAsia="Times New Roman" w:cs="Arial"/>
                <w:color w:val="auto"/>
                <w:sz w:val="20"/>
                <w:szCs w:val="20"/>
                <w:lang w:eastAsia="en-AU"/>
              </w:rPr>
            </w:pPr>
          </w:p>
        </w:tc>
        <w:tc>
          <w:tcPr>
            <w:tcW w:w="1304"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142B35BF"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04" w:type="dxa"/>
            <w:tcBorders>
              <w:top w:val="single" w:sz="4" w:space="0" w:color="auto"/>
              <w:bottom w:val="single" w:sz="4" w:space="0" w:color="auto"/>
              <w:right w:val="single" w:sz="4" w:space="0" w:color="auto"/>
            </w:tcBorders>
            <w:shd w:val="clear" w:color="auto" w:fill="B2A1C7" w:themeFill="accent4" w:themeFillTint="99"/>
            <w:vAlign w:val="center"/>
          </w:tcPr>
          <w:p w14:paraId="58B9AED6"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304" w:type="dxa"/>
            <w:tcBorders>
              <w:top w:val="single" w:sz="4" w:space="0" w:color="auto"/>
              <w:left w:val="single" w:sz="4" w:space="0" w:color="auto"/>
              <w:bottom w:val="single" w:sz="4" w:space="0" w:color="auto"/>
            </w:tcBorders>
            <w:shd w:val="clear" w:color="auto" w:fill="B2A1C7" w:themeFill="accent4" w:themeFillTint="99"/>
            <w:vAlign w:val="center"/>
          </w:tcPr>
          <w:p w14:paraId="66752866"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04" w:type="dxa"/>
            <w:tcBorders>
              <w:top w:val="single" w:sz="4" w:space="0" w:color="auto"/>
              <w:bottom w:val="single" w:sz="4" w:space="0" w:color="auto"/>
              <w:right w:val="single" w:sz="4" w:space="0" w:color="auto"/>
            </w:tcBorders>
            <w:shd w:val="clear" w:color="auto" w:fill="B2A1C7" w:themeFill="accent4" w:themeFillTint="99"/>
            <w:vAlign w:val="center"/>
          </w:tcPr>
          <w:p w14:paraId="379BB708"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304"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6BC98FE9"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04" w:type="dxa"/>
            <w:tcBorders>
              <w:top w:val="single" w:sz="4" w:space="0" w:color="auto"/>
              <w:bottom w:val="single" w:sz="4" w:space="0" w:color="auto"/>
              <w:right w:val="single" w:sz="4" w:space="0" w:color="auto"/>
            </w:tcBorders>
            <w:shd w:val="clear" w:color="auto" w:fill="B2A1C7" w:themeFill="accent4" w:themeFillTint="99"/>
            <w:vAlign w:val="center"/>
          </w:tcPr>
          <w:p w14:paraId="2EA2CDF7"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304"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36C43AFF"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04" w:type="dxa"/>
            <w:tcBorders>
              <w:top w:val="single" w:sz="4" w:space="0" w:color="auto"/>
              <w:bottom w:val="single" w:sz="4" w:space="0" w:color="auto"/>
              <w:right w:val="single" w:sz="4" w:space="0" w:color="auto"/>
            </w:tcBorders>
            <w:shd w:val="clear" w:color="auto" w:fill="B2A1C7" w:themeFill="accent4" w:themeFillTint="99"/>
            <w:vAlign w:val="center"/>
          </w:tcPr>
          <w:p w14:paraId="2118204E"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304" w:type="dxa"/>
            <w:tcBorders>
              <w:top w:val="single" w:sz="4" w:space="0" w:color="auto"/>
              <w:left w:val="single" w:sz="4" w:space="0" w:color="auto"/>
              <w:bottom w:val="single" w:sz="4" w:space="0" w:color="auto"/>
            </w:tcBorders>
            <w:shd w:val="clear" w:color="auto" w:fill="B2A1C7" w:themeFill="accent4" w:themeFillTint="99"/>
            <w:vAlign w:val="center"/>
          </w:tcPr>
          <w:p w14:paraId="359C17BE"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304" w:type="dxa"/>
            <w:tcBorders>
              <w:top w:val="single" w:sz="4" w:space="0" w:color="auto"/>
              <w:bottom w:val="single" w:sz="4" w:space="0" w:color="auto"/>
              <w:right w:val="single" w:sz="4" w:space="0" w:color="auto"/>
            </w:tcBorders>
            <w:shd w:val="clear" w:color="auto" w:fill="B2A1C7" w:themeFill="accent4" w:themeFillTint="99"/>
            <w:vAlign w:val="center"/>
          </w:tcPr>
          <w:p w14:paraId="4047B1D5"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r>
      <w:tr w:rsidR="001A00F8" w:rsidRPr="00BF0D27" w14:paraId="0EC80CD0"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right w:val="single" w:sz="4" w:space="0" w:color="auto"/>
            </w:tcBorders>
          </w:tcPr>
          <w:p w14:paraId="16EF249A" w14:textId="77777777" w:rsidR="006B1B40" w:rsidRPr="00BF0D27" w:rsidRDefault="006B1B40" w:rsidP="00CE2FDF">
            <w:pPr>
              <w:spacing w:before="0" w:after="60" w:line="276" w:lineRule="auto"/>
              <w:rPr>
                <w:rFonts w:cs="Arial"/>
                <w:b w:val="0"/>
                <w:bCs w:val="0"/>
                <w:color w:val="auto"/>
                <w:sz w:val="20"/>
                <w:szCs w:val="20"/>
              </w:rPr>
            </w:pPr>
            <w:r w:rsidRPr="00BF0D27">
              <w:rPr>
                <w:rFonts w:cs="Arial"/>
                <w:color w:val="auto"/>
                <w:sz w:val="20"/>
                <w:szCs w:val="20"/>
              </w:rPr>
              <w:t>2003</w:t>
            </w:r>
          </w:p>
        </w:tc>
        <w:tc>
          <w:tcPr>
            <w:tcW w:w="1304" w:type="dxa"/>
            <w:tcBorders>
              <w:top w:val="single" w:sz="4" w:space="0" w:color="auto"/>
              <w:left w:val="single" w:sz="4" w:space="0" w:color="auto"/>
              <w:bottom w:val="nil"/>
            </w:tcBorders>
            <w:noWrap/>
            <w:hideMark/>
          </w:tcPr>
          <w:p w14:paraId="6F5BE3A9"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455</w:t>
            </w:r>
          </w:p>
        </w:tc>
        <w:tc>
          <w:tcPr>
            <w:tcW w:w="1304" w:type="dxa"/>
            <w:tcBorders>
              <w:top w:val="single" w:sz="4" w:space="0" w:color="auto"/>
              <w:bottom w:val="nil"/>
              <w:right w:val="single" w:sz="4" w:space="0" w:color="auto"/>
            </w:tcBorders>
          </w:tcPr>
          <w:p w14:paraId="3339C1AE"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001</w:t>
            </w:r>
          </w:p>
        </w:tc>
        <w:tc>
          <w:tcPr>
            <w:tcW w:w="1304" w:type="dxa"/>
            <w:tcBorders>
              <w:top w:val="single" w:sz="4" w:space="0" w:color="auto"/>
              <w:left w:val="single" w:sz="4" w:space="0" w:color="auto"/>
              <w:bottom w:val="nil"/>
            </w:tcBorders>
          </w:tcPr>
          <w:p w14:paraId="49C810A5"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593</w:t>
            </w:r>
          </w:p>
        </w:tc>
        <w:tc>
          <w:tcPr>
            <w:tcW w:w="1304" w:type="dxa"/>
            <w:tcBorders>
              <w:top w:val="single" w:sz="4" w:space="0" w:color="auto"/>
              <w:bottom w:val="nil"/>
              <w:right w:val="single" w:sz="4" w:space="0" w:color="auto"/>
            </w:tcBorders>
          </w:tcPr>
          <w:p w14:paraId="1B335B04"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431</w:t>
            </w:r>
          </w:p>
        </w:tc>
        <w:tc>
          <w:tcPr>
            <w:tcW w:w="1304" w:type="dxa"/>
            <w:tcBorders>
              <w:top w:val="single" w:sz="4" w:space="0" w:color="auto"/>
              <w:left w:val="single" w:sz="4" w:space="0" w:color="auto"/>
              <w:bottom w:val="nil"/>
            </w:tcBorders>
            <w:noWrap/>
            <w:hideMark/>
          </w:tcPr>
          <w:p w14:paraId="1C377076"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076</w:t>
            </w:r>
          </w:p>
        </w:tc>
        <w:tc>
          <w:tcPr>
            <w:tcW w:w="1304" w:type="dxa"/>
            <w:tcBorders>
              <w:top w:val="single" w:sz="4" w:space="0" w:color="auto"/>
              <w:bottom w:val="nil"/>
              <w:right w:val="single" w:sz="4" w:space="0" w:color="auto"/>
            </w:tcBorders>
          </w:tcPr>
          <w:p w14:paraId="15E227B3"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033</w:t>
            </w:r>
          </w:p>
        </w:tc>
        <w:tc>
          <w:tcPr>
            <w:tcW w:w="1304" w:type="dxa"/>
            <w:tcBorders>
              <w:top w:val="single" w:sz="4" w:space="0" w:color="auto"/>
              <w:left w:val="single" w:sz="4" w:space="0" w:color="auto"/>
              <w:bottom w:val="nil"/>
            </w:tcBorders>
            <w:noWrap/>
            <w:hideMark/>
          </w:tcPr>
          <w:p w14:paraId="2019C6C9"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517</w:t>
            </w:r>
          </w:p>
        </w:tc>
        <w:tc>
          <w:tcPr>
            <w:tcW w:w="1304" w:type="dxa"/>
            <w:tcBorders>
              <w:top w:val="single" w:sz="4" w:space="0" w:color="auto"/>
              <w:bottom w:val="nil"/>
              <w:right w:val="single" w:sz="4" w:space="0" w:color="auto"/>
            </w:tcBorders>
          </w:tcPr>
          <w:p w14:paraId="17EBCECF"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469</w:t>
            </w:r>
          </w:p>
        </w:tc>
        <w:tc>
          <w:tcPr>
            <w:tcW w:w="1304" w:type="dxa"/>
            <w:tcBorders>
              <w:top w:val="single" w:sz="4" w:space="0" w:color="auto"/>
              <w:left w:val="single" w:sz="4" w:space="0" w:color="auto"/>
            </w:tcBorders>
          </w:tcPr>
          <w:p w14:paraId="4C69A11B"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9</w:t>
            </w:r>
            <w:r>
              <w:rPr>
                <w:rFonts w:eastAsia="Times New Roman" w:cs="Arial"/>
                <w:b/>
                <w:color w:val="auto"/>
                <w:sz w:val="20"/>
                <w:szCs w:val="20"/>
                <w:lang w:eastAsia="en-AU"/>
              </w:rPr>
              <w:t>,</w:t>
            </w:r>
            <w:r w:rsidRPr="00BF0D27">
              <w:rPr>
                <w:rFonts w:eastAsia="Times New Roman" w:cs="Arial"/>
                <w:b/>
                <w:color w:val="auto"/>
                <w:sz w:val="20"/>
                <w:szCs w:val="20"/>
                <w:lang w:eastAsia="en-AU"/>
              </w:rPr>
              <w:t>048</w:t>
            </w:r>
          </w:p>
        </w:tc>
        <w:tc>
          <w:tcPr>
            <w:tcW w:w="1304" w:type="dxa"/>
            <w:tcBorders>
              <w:top w:val="single" w:sz="4" w:space="0" w:color="auto"/>
            </w:tcBorders>
          </w:tcPr>
          <w:p w14:paraId="0B5674B5"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8</w:t>
            </w:r>
            <w:r>
              <w:rPr>
                <w:rFonts w:eastAsia="Times New Roman" w:cs="Arial"/>
                <w:b/>
                <w:color w:val="auto"/>
                <w:sz w:val="20"/>
                <w:szCs w:val="20"/>
                <w:lang w:eastAsia="en-AU"/>
              </w:rPr>
              <w:t>,</w:t>
            </w:r>
            <w:r w:rsidRPr="00BF0D27">
              <w:rPr>
                <w:rFonts w:eastAsia="Times New Roman" w:cs="Arial"/>
                <w:b/>
                <w:color w:val="auto"/>
                <w:sz w:val="20"/>
                <w:szCs w:val="20"/>
                <w:lang w:eastAsia="en-AU"/>
              </w:rPr>
              <w:t>084</w:t>
            </w:r>
          </w:p>
        </w:tc>
      </w:tr>
      <w:tr w:rsidR="001A00F8" w:rsidRPr="00BF0D27" w14:paraId="1A37051F"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none" w:sz="0" w:space="0" w:color="auto"/>
              <w:right w:val="single" w:sz="4" w:space="0" w:color="auto"/>
            </w:tcBorders>
          </w:tcPr>
          <w:p w14:paraId="2BA03EDC" w14:textId="77777777" w:rsidR="006B1B40" w:rsidRPr="00BF0D27" w:rsidRDefault="006B1B40" w:rsidP="00CE2FDF">
            <w:pPr>
              <w:spacing w:before="0" w:after="60" w:line="276" w:lineRule="auto"/>
              <w:rPr>
                <w:rFonts w:cs="Arial"/>
                <w:b w:val="0"/>
                <w:bCs w:val="0"/>
                <w:color w:val="auto"/>
                <w:sz w:val="20"/>
                <w:szCs w:val="20"/>
              </w:rPr>
            </w:pPr>
            <w:r w:rsidRPr="00BF0D27">
              <w:rPr>
                <w:rFonts w:cs="Arial"/>
                <w:color w:val="auto"/>
                <w:sz w:val="20"/>
                <w:szCs w:val="20"/>
              </w:rPr>
              <w:t>2004</w:t>
            </w:r>
          </w:p>
        </w:tc>
        <w:tc>
          <w:tcPr>
            <w:tcW w:w="1304" w:type="dxa"/>
            <w:tcBorders>
              <w:top w:val="nil"/>
              <w:left w:val="single" w:sz="4" w:space="0" w:color="auto"/>
              <w:bottom w:val="nil"/>
              <w:right w:val="none" w:sz="0" w:space="0" w:color="auto"/>
            </w:tcBorders>
            <w:noWrap/>
            <w:hideMark/>
          </w:tcPr>
          <w:p w14:paraId="3D9859B6"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w:t>
            </w:r>
            <w:r>
              <w:rPr>
                <w:rFonts w:eastAsia="Times New Roman" w:cs="Arial"/>
                <w:color w:val="auto"/>
                <w:sz w:val="20"/>
                <w:szCs w:val="20"/>
                <w:lang w:eastAsia="en-AU"/>
              </w:rPr>
              <w:t>,</w:t>
            </w:r>
            <w:r w:rsidRPr="00BF0D27">
              <w:rPr>
                <w:rFonts w:eastAsia="Times New Roman" w:cs="Arial"/>
                <w:color w:val="auto"/>
                <w:sz w:val="20"/>
                <w:szCs w:val="20"/>
                <w:lang w:eastAsia="en-AU"/>
              </w:rPr>
              <w:t>170</w:t>
            </w:r>
          </w:p>
        </w:tc>
        <w:tc>
          <w:tcPr>
            <w:tcW w:w="1304" w:type="dxa"/>
            <w:tcBorders>
              <w:top w:val="nil"/>
              <w:left w:val="none" w:sz="0" w:space="0" w:color="auto"/>
              <w:bottom w:val="nil"/>
              <w:right w:val="single" w:sz="4" w:space="0" w:color="auto"/>
            </w:tcBorders>
          </w:tcPr>
          <w:p w14:paraId="18B66227"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630</w:t>
            </w:r>
          </w:p>
        </w:tc>
        <w:tc>
          <w:tcPr>
            <w:tcW w:w="1304" w:type="dxa"/>
            <w:tcBorders>
              <w:top w:val="nil"/>
              <w:left w:val="single" w:sz="4" w:space="0" w:color="auto"/>
              <w:bottom w:val="nil"/>
              <w:right w:val="none" w:sz="0" w:space="0" w:color="auto"/>
            </w:tcBorders>
          </w:tcPr>
          <w:p w14:paraId="27E02D23"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527</w:t>
            </w:r>
          </w:p>
        </w:tc>
        <w:tc>
          <w:tcPr>
            <w:tcW w:w="1304" w:type="dxa"/>
            <w:tcBorders>
              <w:top w:val="nil"/>
              <w:left w:val="none" w:sz="0" w:space="0" w:color="auto"/>
              <w:bottom w:val="nil"/>
              <w:right w:val="single" w:sz="4" w:space="0" w:color="auto"/>
            </w:tcBorders>
          </w:tcPr>
          <w:p w14:paraId="5E306FAE"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419</w:t>
            </w:r>
          </w:p>
        </w:tc>
        <w:tc>
          <w:tcPr>
            <w:tcW w:w="1304" w:type="dxa"/>
            <w:tcBorders>
              <w:top w:val="nil"/>
              <w:left w:val="single" w:sz="4" w:space="0" w:color="auto"/>
              <w:bottom w:val="nil"/>
              <w:right w:val="none" w:sz="0" w:space="0" w:color="auto"/>
            </w:tcBorders>
            <w:noWrap/>
            <w:hideMark/>
          </w:tcPr>
          <w:p w14:paraId="0339497F"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221</w:t>
            </w:r>
          </w:p>
        </w:tc>
        <w:tc>
          <w:tcPr>
            <w:tcW w:w="1304" w:type="dxa"/>
            <w:tcBorders>
              <w:top w:val="nil"/>
              <w:left w:val="none" w:sz="0" w:space="0" w:color="auto"/>
              <w:bottom w:val="nil"/>
              <w:right w:val="single" w:sz="4" w:space="0" w:color="auto"/>
            </w:tcBorders>
          </w:tcPr>
          <w:p w14:paraId="47C53419"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179</w:t>
            </w:r>
          </w:p>
        </w:tc>
        <w:tc>
          <w:tcPr>
            <w:tcW w:w="1304" w:type="dxa"/>
            <w:tcBorders>
              <w:top w:val="nil"/>
              <w:left w:val="single" w:sz="4" w:space="0" w:color="auto"/>
              <w:bottom w:val="nil"/>
              <w:right w:val="none" w:sz="0" w:space="0" w:color="auto"/>
            </w:tcBorders>
            <w:noWrap/>
            <w:hideMark/>
          </w:tcPr>
          <w:p w14:paraId="736C8E4E"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306</w:t>
            </w:r>
          </w:p>
        </w:tc>
        <w:tc>
          <w:tcPr>
            <w:tcW w:w="1304" w:type="dxa"/>
            <w:tcBorders>
              <w:top w:val="nil"/>
              <w:left w:val="none" w:sz="0" w:space="0" w:color="auto"/>
              <w:bottom w:val="nil"/>
              <w:right w:val="single" w:sz="4" w:space="0" w:color="auto"/>
            </w:tcBorders>
          </w:tcPr>
          <w:p w14:paraId="269C3468"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289</w:t>
            </w:r>
          </w:p>
        </w:tc>
        <w:tc>
          <w:tcPr>
            <w:tcW w:w="1304" w:type="dxa"/>
            <w:tcBorders>
              <w:left w:val="single" w:sz="4" w:space="0" w:color="auto"/>
              <w:right w:val="none" w:sz="0" w:space="0" w:color="auto"/>
            </w:tcBorders>
          </w:tcPr>
          <w:p w14:paraId="51934D2D"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9</w:t>
            </w:r>
            <w:r>
              <w:rPr>
                <w:rFonts w:eastAsia="Times New Roman" w:cs="Arial"/>
                <w:b/>
                <w:color w:val="auto"/>
                <w:sz w:val="20"/>
                <w:szCs w:val="20"/>
                <w:lang w:eastAsia="en-AU"/>
              </w:rPr>
              <w:t>,</w:t>
            </w:r>
            <w:r w:rsidRPr="00BF0D27">
              <w:rPr>
                <w:rFonts w:eastAsia="Times New Roman" w:cs="Arial"/>
                <w:b/>
                <w:color w:val="auto"/>
                <w:sz w:val="20"/>
                <w:szCs w:val="20"/>
                <w:lang w:eastAsia="en-AU"/>
              </w:rPr>
              <w:t>697</w:t>
            </w:r>
          </w:p>
        </w:tc>
        <w:tc>
          <w:tcPr>
            <w:tcW w:w="1304" w:type="dxa"/>
            <w:tcBorders>
              <w:left w:val="none" w:sz="0" w:space="0" w:color="auto"/>
              <w:right w:val="none" w:sz="0" w:space="0" w:color="auto"/>
            </w:tcBorders>
          </w:tcPr>
          <w:p w14:paraId="1B04978F"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8</w:t>
            </w:r>
            <w:r>
              <w:rPr>
                <w:rFonts w:eastAsia="Times New Roman" w:cs="Arial"/>
                <w:b/>
                <w:color w:val="auto"/>
                <w:sz w:val="20"/>
                <w:szCs w:val="20"/>
                <w:lang w:eastAsia="en-AU"/>
              </w:rPr>
              <w:t>,</w:t>
            </w:r>
            <w:r w:rsidRPr="00BF0D27">
              <w:rPr>
                <w:rFonts w:eastAsia="Times New Roman" w:cs="Arial"/>
                <w:b/>
                <w:color w:val="auto"/>
                <w:sz w:val="20"/>
                <w:szCs w:val="20"/>
                <w:lang w:eastAsia="en-AU"/>
              </w:rPr>
              <w:t>682</w:t>
            </w:r>
          </w:p>
        </w:tc>
      </w:tr>
      <w:tr w:rsidR="001A00F8" w:rsidRPr="00BF0D27" w14:paraId="7BC54F6D"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tcPr>
          <w:p w14:paraId="4BCC2444" w14:textId="77777777" w:rsidR="006B1B40" w:rsidRPr="00BF0D27" w:rsidRDefault="006B1B40" w:rsidP="00CE2FDF">
            <w:pPr>
              <w:spacing w:before="0" w:after="60" w:line="276" w:lineRule="auto"/>
              <w:rPr>
                <w:rFonts w:cs="Arial"/>
                <w:b w:val="0"/>
                <w:bCs w:val="0"/>
                <w:color w:val="auto"/>
                <w:sz w:val="20"/>
                <w:szCs w:val="20"/>
              </w:rPr>
            </w:pPr>
            <w:r w:rsidRPr="00BF0D27">
              <w:rPr>
                <w:rFonts w:cs="Arial"/>
                <w:color w:val="auto"/>
                <w:sz w:val="20"/>
                <w:szCs w:val="20"/>
              </w:rPr>
              <w:t>2005</w:t>
            </w:r>
          </w:p>
        </w:tc>
        <w:tc>
          <w:tcPr>
            <w:tcW w:w="1304" w:type="dxa"/>
            <w:tcBorders>
              <w:top w:val="nil"/>
              <w:left w:val="single" w:sz="4" w:space="0" w:color="auto"/>
              <w:bottom w:val="nil"/>
            </w:tcBorders>
            <w:noWrap/>
            <w:hideMark/>
          </w:tcPr>
          <w:p w14:paraId="719832C5"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789</w:t>
            </w:r>
          </w:p>
        </w:tc>
        <w:tc>
          <w:tcPr>
            <w:tcW w:w="1304" w:type="dxa"/>
            <w:tcBorders>
              <w:top w:val="nil"/>
              <w:bottom w:val="nil"/>
              <w:right w:val="single" w:sz="4" w:space="0" w:color="auto"/>
            </w:tcBorders>
          </w:tcPr>
          <w:p w14:paraId="76E0A93F"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321</w:t>
            </w:r>
          </w:p>
        </w:tc>
        <w:tc>
          <w:tcPr>
            <w:tcW w:w="1304" w:type="dxa"/>
            <w:tcBorders>
              <w:top w:val="nil"/>
              <w:left w:val="single" w:sz="4" w:space="0" w:color="auto"/>
              <w:bottom w:val="nil"/>
            </w:tcBorders>
          </w:tcPr>
          <w:p w14:paraId="23C9D57E"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141</w:t>
            </w:r>
          </w:p>
        </w:tc>
        <w:tc>
          <w:tcPr>
            <w:tcW w:w="1304" w:type="dxa"/>
            <w:tcBorders>
              <w:top w:val="nil"/>
              <w:bottom w:val="nil"/>
              <w:right w:val="single" w:sz="4" w:space="0" w:color="auto"/>
            </w:tcBorders>
          </w:tcPr>
          <w:p w14:paraId="11100324"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063</w:t>
            </w:r>
          </w:p>
        </w:tc>
        <w:tc>
          <w:tcPr>
            <w:tcW w:w="1304" w:type="dxa"/>
            <w:tcBorders>
              <w:top w:val="nil"/>
              <w:left w:val="single" w:sz="4" w:space="0" w:color="auto"/>
              <w:bottom w:val="nil"/>
            </w:tcBorders>
            <w:noWrap/>
            <w:hideMark/>
          </w:tcPr>
          <w:p w14:paraId="2E5530AE"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112</w:t>
            </w:r>
          </w:p>
        </w:tc>
        <w:tc>
          <w:tcPr>
            <w:tcW w:w="1304" w:type="dxa"/>
            <w:tcBorders>
              <w:top w:val="nil"/>
              <w:bottom w:val="nil"/>
              <w:right w:val="single" w:sz="4" w:space="0" w:color="auto"/>
            </w:tcBorders>
          </w:tcPr>
          <w:p w14:paraId="15394A52"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080</w:t>
            </w:r>
          </w:p>
        </w:tc>
        <w:tc>
          <w:tcPr>
            <w:tcW w:w="1304" w:type="dxa"/>
            <w:tcBorders>
              <w:top w:val="nil"/>
              <w:left w:val="single" w:sz="4" w:space="0" w:color="auto"/>
              <w:bottom w:val="nil"/>
            </w:tcBorders>
            <w:noWrap/>
            <w:hideMark/>
          </w:tcPr>
          <w:p w14:paraId="51E4EDBA"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029</w:t>
            </w:r>
          </w:p>
        </w:tc>
        <w:tc>
          <w:tcPr>
            <w:tcW w:w="1304" w:type="dxa"/>
            <w:tcBorders>
              <w:top w:val="nil"/>
              <w:bottom w:val="nil"/>
              <w:right w:val="single" w:sz="4" w:space="0" w:color="auto"/>
            </w:tcBorders>
          </w:tcPr>
          <w:p w14:paraId="5680CC6A"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017</w:t>
            </w:r>
          </w:p>
        </w:tc>
        <w:tc>
          <w:tcPr>
            <w:tcW w:w="1304" w:type="dxa"/>
            <w:tcBorders>
              <w:left w:val="single" w:sz="4" w:space="0" w:color="auto"/>
            </w:tcBorders>
          </w:tcPr>
          <w:p w14:paraId="262EE22A"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8</w:t>
            </w:r>
            <w:r>
              <w:rPr>
                <w:rFonts w:eastAsia="Times New Roman" w:cs="Arial"/>
                <w:b/>
                <w:color w:val="auto"/>
                <w:sz w:val="20"/>
                <w:szCs w:val="20"/>
                <w:lang w:eastAsia="en-AU"/>
              </w:rPr>
              <w:t>,</w:t>
            </w:r>
            <w:r w:rsidRPr="00BF0D27">
              <w:rPr>
                <w:rFonts w:eastAsia="Times New Roman" w:cs="Arial"/>
                <w:b/>
                <w:color w:val="auto"/>
                <w:sz w:val="20"/>
                <w:szCs w:val="20"/>
                <w:lang w:eastAsia="en-AU"/>
              </w:rPr>
              <w:t>930</w:t>
            </w:r>
          </w:p>
        </w:tc>
        <w:tc>
          <w:tcPr>
            <w:tcW w:w="1304" w:type="dxa"/>
          </w:tcPr>
          <w:p w14:paraId="6FA72F0F"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8</w:t>
            </w:r>
            <w:r>
              <w:rPr>
                <w:rFonts w:eastAsia="Times New Roman" w:cs="Arial"/>
                <w:b/>
                <w:color w:val="auto"/>
                <w:sz w:val="20"/>
                <w:szCs w:val="20"/>
                <w:lang w:eastAsia="en-AU"/>
              </w:rPr>
              <w:t>,</w:t>
            </w:r>
            <w:r w:rsidRPr="00BF0D27">
              <w:rPr>
                <w:rFonts w:eastAsia="Times New Roman" w:cs="Arial"/>
                <w:b/>
                <w:color w:val="auto"/>
                <w:sz w:val="20"/>
                <w:szCs w:val="20"/>
                <w:lang w:eastAsia="en-AU"/>
              </w:rPr>
              <w:t>091</w:t>
            </w:r>
          </w:p>
        </w:tc>
      </w:tr>
      <w:tr w:rsidR="001A00F8" w:rsidRPr="00BF0D27" w14:paraId="6F6BB7EA"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none" w:sz="0" w:space="0" w:color="auto"/>
              <w:right w:val="single" w:sz="4" w:space="0" w:color="auto"/>
            </w:tcBorders>
          </w:tcPr>
          <w:p w14:paraId="5B8507E6" w14:textId="77777777" w:rsidR="006B1B40" w:rsidRPr="00BF0D27" w:rsidRDefault="006B1B40" w:rsidP="00CE2FDF">
            <w:pPr>
              <w:spacing w:before="0" w:after="60" w:line="276" w:lineRule="auto"/>
              <w:rPr>
                <w:rFonts w:cs="Arial"/>
                <w:b w:val="0"/>
                <w:bCs w:val="0"/>
                <w:color w:val="auto"/>
                <w:sz w:val="20"/>
                <w:szCs w:val="20"/>
              </w:rPr>
            </w:pPr>
            <w:r w:rsidRPr="00BF0D27">
              <w:rPr>
                <w:rFonts w:cs="Arial"/>
                <w:color w:val="auto"/>
                <w:sz w:val="20"/>
                <w:szCs w:val="20"/>
              </w:rPr>
              <w:t>2006</w:t>
            </w:r>
          </w:p>
        </w:tc>
        <w:tc>
          <w:tcPr>
            <w:tcW w:w="1304" w:type="dxa"/>
            <w:tcBorders>
              <w:top w:val="nil"/>
              <w:left w:val="single" w:sz="4" w:space="0" w:color="auto"/>
              <w:bottom w:val="nil"/>
              <w:right w:val="none" w:sz="0" w:space="0" w:color="auto"/>
            </w:tcBorders>
            <w:noWrap/>
            <w:hideMark/>
          </w:tcPr>
          <w:p w14:paraId="198CF3C6"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w:t>
            </w:r>
            <w:r>
              <w:rPr>
                <w:rFonts w:eastAsia="Times New Roman" w:cs="Arial"/>
                <w:color w:val="auto"/>
                <w:sz w:val="20"/>
                <w:szCs w:val="20"/>
                <w:lang w:eastAsia="en-AU"/>
              </w:rPr>
              <w:t>,</w:t>
            </w:r>
            <w:r w:rsidRPr="00BF0D27">
              <w:rPr>
                <w:rFonts w:eastAsia="Times New Roman" w:cs="Arial"/>
                <w:color w:val="auto"/>
                <w:sz w:val="20"/>
                <w:szCs w:val="20"/>
                <w:lang w:eastAsia="en-AU"/>
              </w:rPr>
              <w:t>879</w:t>
            </w:r>
          </w:p>
        </w:tc>
        <w:tc>
          <w:tcPr>
            <w:tcW w:w="1304" w:type="dxa"/>
            <w:tcBorders>
              <w:top w:val="nil"/>
              <w:left w:val="none" w:sz="0" w:space="0" w:color="auto"/>
              <w:bottom w:val="nil"/>
              <w:right w:val="single" w:sz="4" w:space="0" w:color="auto"/>
            </w:tcBorders>
          </w:tcPr>
          <w:p w14:paraId="4F70B803"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w:t>
            </w:r>
            <w:r>
              <w:rPr>
                <w:rFonts w:eastAsia="Times New Roman" w:cs="Arial"/>
                <w:color w:val="auto"/>
                <w:sz w:val="20"/>
                <w:szCs w:val="20"/>
                <w:lang w:eastAsia="en-AU"/>
              </w:rPr>
              <w:t>,</w:t>
            </w:r>
            <w:r w:rsidRPr="00BF0D27">
              <w:rPr>
                <w:rFonts w:eastAsia="Times New Roman" w:cs="Arial"/>
                <w:color w:val="auto"/>
                <w:sz w:val="20"/>
                <w:szCs w:val="20"/>
                <w:lang w:eastAsia="en-AU"/>
              </w:rPr>
              <w:t>316</w:t>
            </w:r>
          </w:p>
        </w:tc>
        <w:tc>
          <w:tcPr>
            <w:tcW w:w="1304" w:type="dxa"/>
            <w:tcBorders>
              <w:top w:val="nil"/>
              <w:left w:val="single" w:sz="4" w:space="0" w:color="auto"/>
              <w:bottom w:val="nil"/>
              <w:right w:val="none" w:sz="0" w:space="0" w:color="auto"/>
            </w:tcBorders>
          </w:tcPr>
          <w:p w14:paraId="32503710"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503</w:t>
            </w:r>
          </w:p>
        </w:tc>
        <w:tc>
          <w:tcPr>
            <w:tcW w:w="1304" w:type="dxa"/>
            <w:tcBorders>
              <w:top w:val="nil"/>
              <w:left w:val="none" w:sz="0" w:space="0" w:color="auto"/>
              <w:bottom w:val="nil"/>
              <w:right w:val="single" w:sz="4" w:space="0" w:color="auto"/>
            </w:tcBorders>
          </w:tcPr>
          <w:p w14:paraId="4A5D30D6"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429</w:t>
            </w:r>
          </w:p>
        </w:tc>
        <w:tc>
          <w:tcPr>
            <w:tcW w:w="1304" w:type="dxa"/>
            <w:tcBorders>
              <w:top w:val="nil"/>
              <w:left w:val="single" w:sz="4" w:space="0" w:color="auto"/>
              <w:bottom w:val="nil"/>
              <w:right w:val="none" w:sz="0" w:space="0" w:color="auto"/>
            </w:tcBorders>
            <w:noWrap/>
            <w:hideMark/>
          </w:tcPr>
          <w:p w14:paraId="74275B47"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186</w:t>
            </w:r>
          </w:p>
        </w:tc>
        <w:tc>
          <w:tcPr>
            <w:tcW w:w="1304" w:type="dxa"/>
            <w:tcBorders>
              <w:top w:val="nil"/>
              <w:left w:val="none" w:sz="0" w:space="0" w:color="auto"/>
              <w:bottom w:val="nil"/>
              <w:right w:val="single" w:sz="4" w:space="0" w:color="auto"/>
            </w:tcBorders>
          </w:tcPr>
          <w:p w14:paraId="24E5B552"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163</w:t>
            </w:r>
          </w:p>
        </w:tc>
        <w:tc>
          <w:tcPr>
            <w:tcW w:w="1304" w:type="dxa"/>
            <w:tcBorders>
              <w:top w:val="nil"/>
              <w:left w:val="single" w:sz="4" w:space="0" w:color="auto"/>
              <w:bottom w:val="nil"/>
              <w:right w:val="none" w:sz="0" w:space="0" w:color="auto"/>
            </w:tcBorders>
            <w:noWrap/>
            <w:hideMark/>
          </w:tcPr>
          <w:p w14:paraId="1B69CE74"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317</w:t>
            </w:r>
          </w:p>
        </w:tc>
        <w:tc>
          <w:tcPr>
            <w:tcW w:w="1304" w:type="dxa"/>
            <w:tcBorders>
              <w:top w:val="nil"/>
              <w:left w:val="none" w:sz="0" w:space="0" w:color="auto"/>
              <w:bottom w:val="nil"/>
              <w:right w:val="single" w:sz="4" w:space="0" w:color="auto"/>
            </w:tcBorders>
          </w:tcPr>
          <w:p w14:paraId="4521EC71"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300</w:t>
            </w:r>
          </w:p>
        </w:tc>
        <w:tc>
          <w:tcPr>
            <w:tcW w:w="1304" w:type="dxa"/>
            <w:tcBorders>
              <w:left w:val="single" w:sz="4" w:space="0" w:color="auto"/>
              <w:right w:val="none" w:sz="0" w:space="0" w:color="auto"/>
            </w:tcBorders>
          </w:tcPr>
          <w:p w14:paraId="41787CA6"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10</w:t>
            </w:r>
            <w:r>
              <w:rPr>
                <w:rFonts w:eastAsia="Times New Roman" w:cs="Arial"/>
                <w:b/>
                <w:color w:val="auto"/>
                <w:sz w:val="20"/>
                <w:szCs w:val="20"/>
                <w:lang w:eastAsia="en-AU"/>
              </w:rPr>
              <w:t>,</w:t>
            </w:r>
            <w:r w:rsidRPr="00BF0D27">
              <w:rPr>
                <w:rFonts w:eastAsia="Times New Roman" w:cs="Arial"/>
                <w:b/>
                <w:color w:val="auto"/>
                <w:sz w:val="20"/>
                <w:szCs w:val="20"/>
                <w:lang w:eastAsia="en-AU"/>
              </w:rPr>
              <w:t>382</w:t>
            </w:r>
          </w:p>
        </w:tc>
        <w:tc>
          <w:tcPr>
            <w:tcW w:w="1304" w:type="dxa"/>
            <w:tcBorders>
              <w:left w:val="none" w:sz="0" w:space="0" w:color="auto"/>
              <w:right w:val="none" w:sz="0" w:space="0" w:color="auto"/>
            </w:tcBorders>
          </w:tcPr>
          <w:p w14:paraId="4652BEBA"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9</w:t>
            </w:r>
            <w:r>
              <w:rPr>
                <w:rFonts w:eastAsia="Times New Roman" w:cs="Arial"/>
                <w:b/>
                <w:color w:val="auto"/>
                <w:sz w:val="20"/>
                <w:szCs w:val="20"/>
                <w:lang w:eastAsia="en-AU"/>
              </w:rPr>
              <w:t>,</w:t>
            </w:r>
            <w:r w:rsidRPr="00BF0D27">
              <w:rPr>
                <w:rFonts w:eastAsia="Times New Roman" w:cs="Arial"/>
                <w:b/>
                <w:color w:val="auto"/>
                <w:sz w:val="20"/>
                <w:szCs w:val="20"/>
                <w:lang w:eastAsia="en-AU"/>
              </w:rPr>
              <w:t>402</w:t>
            </w:r>
          </w:p>
        </w:tc>
      </w:tr>
      <w:tr w:rsidR="001A00F8" w:rsidRPr="00BF0D27" w14:paraId="2953D972"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tcPr>
          <w:p w14:paraId="127B7DC1" w14:textId="77777777" w:rsidR="006B1B40" w:rsidRPr="00BF0D27" w:rsidRDefault="006B1B40" w:rsidP="00CE2FDF">
            <w:pPr>
              <w:keepNext/>
              <w:spacing w:before="0" w:after="60" w:line="276" w:lineRule="auto"/>
              <w:rPr>
                <w:rFonts w:cs="Arial"/>
                <w:b w:val="0"/>
                <w:bCs w:val="0"/>
                <w:color w:val="auto"/>
                <w:sz w:val="20"/>
                <w:szCs w:val="20"/>
              </w:rPr>
            </w:pPr>
            <w:r w:rsidRPr="00BF0D27">
              <w:rPr>
                <w:rFonts w:cs="Arial"/>
                <w:color w:val="auto"/>
                <w:sz w:val="20"/>
                <w:szCs w:val="20"/>
              </w:rPr>
              <w:t>2007</w:t>
            </w:r>
          </w:p>
        </w:tc>
        <w:tc>
          <w:tcPr>
            <w:tcW w:w="1304" w:type="dxa"/>
            <w:tcBorders>
              <w:top w:val="nil"/>
              <w:left w:val="single" w:sz="4" w:space="0" w:color="auto"/>
              <w:bottom w:val="nil"/>
            </w:tcBorders>
            <w:noWrap/>
            <w:hideMark/>
          </w:tcPr>
          <w:p w14:paraId="2693FE67"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330</w:t>
            </w:r>
          </w:p>
        </w:tc>
        <w:tc>
          <w:tcPr>
            <w:tcW w:w="1304" w:type="dxa"/>
            <w:tcBorders>
              <w:top w:val="nil"/>
              <w:bottom w:val="nil"/>
              <w:right w:val="single" w:sz="4" w:space="0" w:color="auto"/>
            </w:tcBorders>
          </w:tcPr>
          <w:p w14:paraId="16936C1E"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973</w:t>
            </w:r>
          </w:p>
        </w:tc>
        <w:tc>
          <w:tcPr>
            <w:tcW w:w="1304" w:type="dxa"/>
            <w:tcBorders>
              <w:top w:val="nil"/>
              <w:left w:val="single" w:sz="4" w:space="0" w:color="auto"/>
              <w:bottom w:val="nil"/>
            </w:tcBorders>
          </w:tcPr>
          <w:p w14:paraId="30A7854E"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873</w:t>
            </w:r>
          </w:p>
        </w:tc>
        <w:tc>
          <w:tcPr>
            <w:tcW w:w="1304" w:type="dxa"/>
            <w:tcBorders>
              <w:top w:val="nil"/>
              <w:bottom w:val="nil"/>
              <w:right w:val="single" w:sz="4" w:space="0" w:color="auto"/>
            </w:tcBorders>
          </w:tcPr>
          <w:p w14:paraId="25B1C2FA"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766</w:t>
            </w:r>
          </w:p>
        </w:tc>
        <w:tc>
          <w:tcPr>
            <w:tcW w:w="1304" w:type="dxa"/>
            <w:tcBorders>
              <w:top w:val="nil"/>
              <w:left w:val="single" w:sz="4" w:space="0" w:color="auto"/>
              <w:bottom w:val="nil"/>
            </w:tcBorders>
            <w:noWrap/>
            <w:hideMark/>
          </w:tcPr>
          <w:p w14:paraId="2F91A8CB"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213</w:t>
            </w:r>
          </w:p>
        </w:tc>
        <w:tc>
          <w:tcPr>
            <w:tcW w:w="1304" w:type="dxa"/>
            <w:tcBorders>
              <w:top w:val="nil"/>
              <w:bottom w:val="nil"/>
              <w:right w:val="single" w:sz="4" w:space="0" w:color="auto"/>
            </w:tcBorders>
          </w:tcPr>
          <w:p w14:paraId="02054187"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171</w:t>
            </w:r>
          </w:p>
        </w:tc>
        <w:tc>
          <w:tcPr>
            <w:tcW w:w="1304" w:type="dxa"/>
            <w:tcBorders>
              <w:top w:val="nil"/>
              <w:left w:val="single" w:sz="4" w:space="0" w:color="auto"/>
              <w:bottom w:val="nil"/>
            </w:tcBorders>
            <w:noWrap/>
            <w:hideMark/>
          </w:tcPr>
          <w:p w14:paraId="1EAF79FD"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660</w:t>
            </w:r>
          </w:p>
        </w:tc>
        <w:tc>
          <w:tcPr>
            <w:tcW w:w="1304" w:type="dxa"/>
            <w:tcBorders>
              <w:top w:val="nil"/>
              <w:bottom w:val="nil"/>
              <w:right w:val="single" w:sz="4" w:space="0" w:color="auto"/>
            </w:tcBorders>
          </w:tcPr>
          <w:p w14:paraId="4CE79D41"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641</w:t>
            </w:r>
          </w:p>
        </w:tc>
        <w:tc>
          <w:tcPr>
            <w:tcW w:w="1304" w:type="dxa"/>
            <w:tcBorders>
              <w:left w:val="single" w:sz="4" w:space="0" w:color="auto"/>
            </w:tcBorders>
          </w:tcPr>
          <w:p w14:paraId="6C8895E3"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10</w:t>
            </w:r>
            <w:r>
              <w:rPr>
                <w:rFonts w:eastAsia="Times New Roman" w:cs="Arial"/>
                <w:b/>
                <w:color w:val="auto"/>
                <w:sz w:val="20"/>
                <w:szCs w:val="20"/>
                <w:lang w:eastAsia="en-AU"/>
              </w:rPr>
              <w:t>,</w:t>
            </w:r>
            <w:r w:rsidRPr="00BF0D27">
              <w:rPr>
                <w:rFonts w:eastAsia="Times New Roman" w:cs="Arial"/>
                <w:b/>
                <w:color w:val="auto"/>
                <w:sz w:val="20"/>
                <w:szCs w:val="20"/>
                <w:lang w:eastAsia="en-AU"/>
              </w:rPr>
              <w:t>203</w:t>
            </w:r>
          </w:p>
        </w:tc>
        <w:tc>
          <w:tcPr>
            <w:tcW w:w="1304" w:type="dxa"/>
          </w:tcPr>
          <w:p w14:paraId="4EEB060C" w14:textId="77777777" w:rsidR="006B1B40" w:rsidRPr="00BF0D27" w:rsidRDefault="006B1B40"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9</w:t>
            </w:r>
            <w:r>
              <w:rPr>
                <w:rFonts w:eastAsia="Times New Roman" w:cs="Arial"/>
                <w:b/>
                <w:color w:val="auto"/>
                <w:sz w:val="20"/>
                <w:szCs w:val="20"/>
                <w:lang w:eastAsia="en-AU"/>
              </w:rPr>
              <w:t>,</w:t>
            </w:r>
            <w:r w:rsidRPr="00BF0D27">
              <w:rPr>
                <w:rFonts w:eastAsia="Times New Roman" w:cs="Arial"/>
                <w:b/>
                <w:color w:val="auto"/>
                <w:sz w:val="20"/>
                <w:szCs w:val="20"/>
                <w:lang w:eastAsia="en-AU"/>
              </w:rPr>
              <w:t>340</w:t>
            </w:r>
          </w:p>
        </w:tc>
      </w:tr>
      <w:tr w:rsidR="001A00F8" w:rsidRPr="00BF0D27" w14:paraId="246F33D8"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none" w:sz="0" w:space="0" w:color="auto"/>
              <w:right w:val="single" w:sz="4" w:space="0" w:color="auto"/>
            </w:tcBorders>
          </w:tcPr>
          <w:p w14:paraId="10C9B126" w14:textId="77777777" w:rsidR="006B1B40" w:rsidRPr="00BF0D27" w:rsidRDefault="006B1B40" w:rsidP="00CE2FDF">
            <w:pPr>
              <w:spacing w:before="0" w:after="60" w:line="276" w:lineRule="auto"/>
              <w:rPr>
                <w:rFonts w:cs="Arial"/>
                <w:b w:val="0"/>
                <w:bCs w:val="0"/>
                <w:color w:val="auto"/>
                <w:sz w:val="20"/>
                <w:szCs w:val="20"/>
              </w:rPr>
            </w:pPr>
            <w:r w:rsidRPr="00BF0D27">
              <w:rPr>
                <w:rFonts w:cs="Arial"/>
                <w:color w:val="auto"/>
                <w:sz w:val="20"/>
                <w:szCs w:val="20"/>
              </w:rPr>
              <w:t>2008</w:t>
            </w:r>
          </w:p>
        </w:tc>
        <w:tc>
          <w:tcPr>
            <w:tcW w:w="1304" w:type="dxa"/>
            <w:tcBorders>
              <w:top w:val="nil"/>
              <w:left w:val="single" w:sz="4" w:space="0" w:color="auto"/>
              <w:bottom w:val="nil"/>
              <w:right w:val="none" w:sz="0" w:space="0" w:color="auto"/>
            </w:tcBorders>
            <w:noWrap/>
            <w:hideMark/>
          </w:tcPr>
          <w:p w14:paraId="249DC444"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w:t>
            </w:r>
            <w:r>
              <w:rPr>
                <w:rFonts w:eastAsia="Times New Roman" w:cs="Arial"/>
                <w:color w:val="auto"/>
                <w:sz w:val="20"/>
                <w:szCs w:val="20"/>
                <w:lang w:eastAsia="en-AU"/>
              </w:rPr>
              <w:t>,</w:t>
            </w:r>
            <w:r w:rsidRPr="00BF0D27">
              <w:rPr>
                <w:rFonts w:eastAsia="Times New Roman" w:cs="Arial"/>
                <w:color w:val="auto"/>
                <w:sz w:val="20"/>
                <w:szCs w:val="20"/>
                <w:lang w:eastAsia="en-AU"/>
              </w:rPr>
              <w:t>087</w:t>
            </w:r>
          </w:p>
        </w:tc>
        <w:tc>
          <w:tcPr>
            <w:tcW w:w="1304" w:type="dxa"/>
            <w:tcBorders>
              <w:top w:val="nil"/>
              <w:left w:val="none" w:sz="0" w:space="0" w:color="auto"/>
              <w:bottom w:val="nil"/>
              <w:right w:val="single" w:sz="4" w:space="0" w:color="auto"/>
            </w:tcBorders>
          </w:tcPr>
          <w:p w14:paraId="537F26CA"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w:t>
            </w:r>
            <w:r>
              <w:rPr>
                <w:rFonts w:eastAsia="Times New Roman" w:cs="Arial"/>
                <w:color w:val="auto"/>
                <w:sz w:val="20"/>
                <w:szCs w:val="20"/>
                <w:lang w:eastAsia="en-AU"/>
              </w:rPr>
              <w:t>,</w:t>
            </w:r>
            <w:r w:rsidRPr="00BF0D27">
              <w:rPr>
                <w:rFonts w:eastAsia="Times New Roman" w:cs="Arial"/>
                <w:color w:val="auto"/>
                <w:sz w:val="20"/>
                <w:szCs w:val="20"/>
                <w:lang w:eastAsia="en-AU"/>
              </w:rPr>
              <w:t>471</w:t>
            </w:r>
          </w:p>
        </w:tc>
        <w:tc>
          <w:tcPr>
            <w:tcW w:w="1304" w:type="dxa"/>
            <w:tcBorders>
              <w:top w:val="nil"/>
              <w:left w:val="single" w:sz="4" w:space="0" w:color="auto"/>
              <w:bottom w:val="nil"/>
              <w:right w:val="none" w:sz="0" w:space="0" w:color="auto"/>
            </w:tcBorders>
          </w:tcPr>
          <w:p w14:paraId="4FFFF52A"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800</w:t>
            </w:r>
          </w:p>
        </w:tc>
        <w:tc>
          <w:tcPr>
            <w:tcW w:w="1304" w:type="dxa"/>
            <w:tcBorders>
              <w:top w:val="nil"/>
              <w:left w:val="none" w:sz="0" w:space="0" w:color="auto"/>
              <w:bottom w:val="nil"/>
              <w:right w:val="single" w:sz="4" w:space="0" w:color="auto"/>
            </w:tcBorders>
          </w:tcPr>
          <w:p w14:paraId="296D27AC"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678</w:t>
            </w:r>
          </w:p>
        </w:tc>
        <w:tc>
          <w:tcPr>
            <w:tcW w:w="1304" w:type="dxa"/>
            <w:tcBorders>
              <w:top w:val="nil"/>
              <w:left w:val="single" w:sz="4" w:space="0" w:color="auto"/>
              <w:bottom w:val="nil"/>
              <w:right w:val="none" w:sz="0" w:space="0" w:color="auto"/>
            </w:tcBorders>
            <w:noWrap/>
            <w:hideMark/>
          </w:tcPr>
          <w:p w14:paraId="5B97BC09"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061</w:t>
            </w:r>
          </w:p>
        </w:tc>
        <w:tc>
          <w:tcPr>
            <w:tcW w:w="1304" w:type="dxa"/>
            <w:tcBorders>
              <w:top w:val="nil"/>
              <w:left w:val="none" w:sz="0" w:space="0" w:color="auto"/>
              <w:bottom w:val="nil"/>
              <w:right w:val="single" w:sz="4" w:space="0" w:color="auto"/>
            </w:tcBorders>
          </w:tcPr>
          <w:p w14:paraId="67159B34"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999</w:t>
            </w:r>
          </w:p>
        </w:tc>
        <w:tc>
          <w:tcPr>
            <w:tcW w:w="1304" w:type="dxa"/>
            <w:tcBorders>
              <w:top w:val="nil"/>
              <w:left w:val="single" w:sz="4" w:space="0" w:color="auto"/>
              <w:bottom w:val="nil"/>
              <w:right w:val="none" w:sz="0" w:space="0" w:color="auto"/>
            </w:tcBorders>
            <w:noWrap/>
            <w:hideMark/>
          </w:tcPr>
          <w:p w14:paraId="42F01659"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739</w:t>
            </w:r>
          </w:p>
        </w:tc>
        <w:tc>
          <w:tcPr>
            <w:tcW w:w="1304" w:type="dxa"/>
            <w:tcBorders>
              <w:top w:val="nil"/>
              <w:left w:val="none" w:sz="0" w:space="0" w:color="auto"/>
              <w:bottom w:val="nil"/>
              <w:right w:val="single" w:sz="4" w:space="0" w:color="auto"/>
            </w:tcBorders>
          </w:tcPr>
          <w:p w14:paraId="0F9622DC"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730</w:t>
            </w:r>
          </w:p>
        </w:tc>
        <w:tc>
          <w:tcPr>
            <w:tcW w:w="1304" w:type="dxa"/>
            <w:tcBorders>
              <w:left w:val="single" w:sz="4" w:space="0" w:color="auto"/>
              <w:right w:val="none" w:sz="0" w:space="0" w:color="auto"/>
            </w:tcBorders>
          </w:tcPr>
          <w:p w14:paraId="0DC41330"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12</w:t>
            </w:r>
            <w:r>
              <w:rPr>
                <w:rFonts w:eastAsia="Times New Roman" w:cs="Arial"/>
                <w:b/>
                <w:color w:val="auto"/>
                <w:sz w:val="20"/>
                <w:szCs w:val="20"/>
                <w:lang w:eastAsia="en-AU"/>
              </w:rPr>
              <w:t>,</w:t>
            </w:r>
            <w:r w:rsidRPr="00BF0D27">
              <w:rPr>
                <w:rFonts w:eastAsia="Times New Roman" w:cs="Arial"/>
                <w:b/>
                <w:color w:val="auto"/>
                <w:sz w:val="20"/>
                <w:szCs w:val="20"/>
                <w:lang w:eastAsia="en-AU"/>
              </w:rPr>
              <w:t>887</w:t>
            </w:r>
          </w:p>
        </w:tc>
        <w:tc>
          <w:tcPr>
            <w:tcW w:w="1304" w:type="dxa"/>
            <w:tcBorders>
              <w:left w:val="none" w:sz="0" w:space="0" w:color="auto"/>
              <w:right w:val="none" w:sz="0" w:space="0" w:color="auto"/>
            </w:tcBorders>
          </w:tcPr>
          <w:p w14:paraId="3620D3EE"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11</w:t>
            </w:r>
            <w:r>
              <w:rPr>
                <w:rFonts w:eastAsia="Times New Roman" w:cs="Arial"/>
                <w:b/>
                <w:color w:val="auto"/>
                <w:sz w:val="20"/>
                <w:szCs w:val="20"/>
                <w:lang w:eastAsia="en-AU"/>
              </w:rPr>
              <w:t>,</w:t>
            </w:r>
            <w:r w:rsidRPr="00BF0D27">
              <w:rPr>
                <w:rFonts w:eastAsia="Times New Roman" w:cs="Arial"/>
                <w:b/>
                <w:color w:val="auto"/>
                <w:sz w:val="20"/>
                <w:szCs w:val="20"/>
                <w:lang w:eastAsia="en-AU"/>
              </w:rPr>
              <w:t>724</w:t>
            </w:r>
          </w:p>
        </w:tc>
      </w:tr>
      <w:tr w:rsidR="001A00F8" w:rsidRPr="00BF0D27" w14:paraId="4235B9DC"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auto"/>
            </w:tcBorders>
          </w:tcPr>
          <w:p w14:paraId="5924ABE6" w14:textId="77777777" w:rsidR="006B1B40" w:rsidRPr="00BF0D27" w:rsidRDefault="006B1B40" w:rsidP="00CE2FDF">
            <w:pPr>
              <w:spacing w:before="0" w:after="60" w:line="276" w:lineRule="auto"/>
              <w:rPr>
                <w:rFonts w:cs="Arial"/>
                <w:b w:val="0"/>
                <w:bCs w:val="0"/>
                <w:color w:val="auto"/>
                <w:sz w:val="20"/>
                <w:szCs w:val="20"/>
              </w:rPr>
            </w:pPr>
            <w:r w:rsidRPr="00BF0D27">
              <w:rPr>
                <w:rFonts w:cs="Arial"/>
                <w:color w:val="auto"/>
                <w:sz w:val="20"/>
                <w:szCs w:val="20"/>
              </w:rPr>
              <w:t>2009</w:t>
            </w:r>
          </w:p>
        </w:tc>
        <w:tc>
          <w:tcPr>
            <w:tcW w:w="1304" w:type="dxa"/>
            <w:tcBorders>
              <w:top w:val="nil"/>
              <w:left w:val="single" w:sz="4" w:space="0" w:color="auto"/>
              <w:bottom w:val="nil"/>
            </w:tcBorders>
            <w:noWrap/>
            <w:hideMark/>
          </w:tcPr>
          <w:p w14:paraId="6EE38CDD"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w:t>
            </w:r>
            <w:r>
              <w:rPr>
                <w:rFonts w:eastAsia="Times New Roman" w:cs="Arial"/>
                <w:color w:val="auto"/>
                <w:sz w:val="20"/>
                <w:szCs w:val="20"/>
                <w:lang w:eastAsia="en-AU"/>
              </w:rPr>
              <w:t>,</w:t>
            </w:r>
            <w:r w:rsidRPr="00BF0D27">
              <w:rPr>
                <w:rFonts w:eastAsia="Times New Roman" w:cs="Arial"/>
                <w:color w:val="auto"/>
                <w:sz w:val="20"/>
                <w:szCs w:val="20"/>
                <w:lang w:eastAsia="en-AU"/>
              </w:rPr>
              <w:t>912</w:t>
            </w:r>
          </w:p>
        </w:tc>
        <w:tc>
          <w:tcPr>
            <w:tcW w:w="1304" w:type="dxa"/>
            <w:tcBorders>
              <w:top w:val="nil"/>
              <w:bottom w:val="nil"/>
              <w:right w:val="single" w:sz="4" w:space="0" w:color="auto"/>
            </w:tcBorders>
          </w:tcPr>
          <w:p w14:paraId="2A9FF339"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w:t>
            </w:r>
            <w:r>
              <w:rPr>
                <w:rFonts w:eastAsia="Times New Roman" w:cs="Arial"/>
                <w:color w:val="auto"/>
                <w:sz w:val="20"/>
                <w:szCs w:val="20"/>
                <w:lang w:eastAsia="en-AU"/>
              </w:rPr>
              <w:t>,</w:t>
            </w:r>
            <w:r w:rsidRPr="00BF0D27">
              <w:rPr>
                <w:rFonts w:eastAsia="Times New Roman" w:cs="Arial"/>
                <w:color w:val="auto"/>
                <w:sz w:val="20"/>
                <w:szCs w:val="20"/>
                <w:lang w:eastAsia="en-AU"/>
              </w:rPr>
              <w:t>217</w:t>
            </w:r>
          </w:p>
        </w:tc>
        <w:tc>
          <w:tcPr>
            <w:tcW w:w="1304" w:type="dxa"/>
            <w:tcBorders>
              <w:top w:val="nil"/>
              <w:left w:val="single" w:sz="4" w:space="0" w:color="auto"/>
              <w:bottom w:val="nil"/>
            </w:tcBorders>
          </w:tcPr>
          <w:p w14:paraId="55428BC7"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869</w:t>
            </w:r>
          </w:p>
        </w:tc>
        <w:tc>
          <w:tcPr>
            <w:tcW w:w="1304" w:type="dxa"/>
            <w:tcBorders>
              <w:top w:val="nil"/>
              <w:bottom w:val="nil"/>
              <w:right w:val="single" w:sz="4" w:space="0" w:color="auto"/>
            </w:tcBorders>
          </w:tcPr>
          <w:p w14:paraId="74F9225D"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728</w:t>
            </w:r>
          </w:p>
        </w:tc>
        <w:tc>
          <w:tcPr>
            <w:tcW w:w="1304" w:type="dxa"/>
            <w:tcBorders>
              <w:top w:val="nil"/>
              <w:left w:val="single" w:sz="4" w:space="0" w:color="auto"/>
              <w:bottom w:val="nil"/>
            </w:tcBorders>
            <w:noWrap/>
            <w:hideMark/>
          </w:tcPr>
          <w:p w14:paraId="14A83828"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913</w:t>
            </w:r>
          </w:p>
        </w:tc>
        <w:tc>
          <w:tcPr>
            <w:tcW w:w="1304" w:type="dxa"/>
            <w:tcBorders>
              <w:top w:val="nil"/>
              <w:bottom w:val="nil"/>
              <w:right w:val="single" w:sz="4" w:space="0" w:color="auto"/>
            </w:tcBorders>
          </w:tcPr>
          <w:p w14:paraId="147F1F71"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871</w:t>
            </w:r>
          </w:p>
        </w:tc>
        <w:tc>
          <w:tcPr>
            <w:tcW w:w="1304" w:type="dxa"/>
            <w:tcBorders>
              <w:top w:val="nil"/>
              <w:left w:val="single" w:sz="4" w:space="0" w:color="auto"/>
              <w:bottom w:val="nil"/>
            </w:tcBorders>
            <w:noWrap/>
            <w:hideMark/>
          </w:tcPr>
          <w:p w14:paraId="6BE5DB69"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956</w:t>
            </w:r>
          </w:p>
        </w:tc>
        <w:tc>
          <w:tcPr>
            <w:tcW w:w="1304" w:type="dxa"/>
            <w:tcBorders>
              <w:top w:val="nil"/>
              <w:bottom w:val="nil"/>
              <w:right w:val="single" w:sz="4" w:space="0" w:color="auto"/>
            </w:tcBorders>
          </w:tcPr>
          <w:p w14:paraId="6C1F2F2C"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909</w:t>
            </w:r>
          </w:p>
        </w:tc>
        <w:tc>
          <w:tcPr>
            <w:tcW w:w="1304" w:type="dxa"/>
            <w:tcBorders>
              <w:left w:val="single" w:sz="4" w:space="0" w:color="auto"/>
            </w:tcBorders>
          </w:tcPr>
          <w:p w14:paraId="036197B6"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14</w:t>
            </w:r>
            <w:r>
              <w:rPr>
                <w:rFonts w:eastAsia="Times New Roman" w:cs="Arial"/>
                <w:b/>
                <w:color w:val="auto"/>
                <w:sz w:val="20"/>
                <w:szCs w:val="20"/>
                <w:lang w:eastAsia="en-AU"/>
              </w:rPr>
              <w:t>,</w:t>
            </w:r>
            <w:r w:rsidRPr="00BF0D27">
              <w:rPr>
                <w:rFonts w:eastAsia="Times New Roman" w:cs="Arial"/>
                <w:b/>
                <w:color w:val="auto"/>
                <w:sz w:val="20"/>
                <w:szCs w:val="20"/>
                <w:lang w:eastAsia="en-AU"/>
              </w:rPr>
              <w:t>781</w:t>
            </w:r>
          </w:p>
        </w:tc>
        <w:tc>
          <w:tcPr>
            <w:tcW w:w="1304" w:type="dxa"/>
          </w:tcPr>
          <w:p w14:paraId="5205C3CF"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13</w:t>
            </w:r>
            <w:r>
              <w:rPr>
                <w:rFonts w:eastAsia="Times New Roman" w:cs="Arial"/>
                <w:b/>
                <w:color w:val="auto"/>
                <w:sz w:val="20"/>
                <w:szCs w:val="20"/>
                <w:lang w:eastAsia="en-AU"/>
              </w:rPr>
              <w:t>,</w:t>
            </w:r>
            <w:r w:rsidRPr="00BF0D27">
              <w:rPr>
                <w:rFonts w:eastAsia="Times New Roman" w:cs="Arial"/>
                <w:b/>
                <w:color w:val="auto"/>
                <w:sz w:val="20"/>
                <w:szCs w:val="20"/>
                <w:lang w:eastAsia="en-AU"/>
              </w:rPr>
              <w:t>364</w:t>
            </w:r>
          </w:p>
        </w:tc>
      </w:tr>
      <w:tr w:rsidR="001A00F8" w:rsidRPr="00BF0D27" w14:paraId="57180EC8"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none" w:sz="0" w:space="0" w:color="auto"/>
              <w:right w:val="single" w:sz="4" w:space="0" w:color="auto"/>
            </w:tcBorders>
          </w:tcPr>
          <w:p w14:paraId="222808B6" w14:textId="77777777" w:rsidR="006B1B40" w:rsidRPr="00BF0D27" w:rsidRDefault="006B1B40" w:rsidP="00CE2FDF">
            <w:pPr>
              <w:spacing w:before="0" w:after="60" w:line="276" w:lineRule="auto"/>
              <w:rPr>
                <w:rFonts w:cs="Arial"/>
                <w:b w:val="0"/>
                <w:bCs w:val="0"/>
                <w:color w:val="auto"/>
                <w:sz w:val="20"/>
                <w:szCs w:val="20"/>
              </w:rPr>
            </w:pPr>
            <w:r w:rsidRPr="00BF0D27">
              <w:rPr>
                <w:rFonts w:cs="Arial"/>
                <w:color w:val="auto"/>
                <w:sz w:val="20"/>
                <w:szCs w:val="20"/>
              </w:rPr>
              <w:t>2010</w:t>
            </w:r>
          </w:p>
        </w:tc>
        <w:tc>
          <w:tcPr>
            <w:tcW w:w="1304" w:type="dxa"/>
            <w:tcBorders>
              <w:top w:val="nil"/>
              <w:left w:val="single" w:sz="4" w:space="0" w:color="auto"/>
              <w:bottom w:val="nil"/>
              <w:right w:val="none" w:sz="0" w:space="0" w:color="auto"/>
            </w:tcBorders>
            <w:noWrap/>
            <w:hideMark/>
          </w:tcPr>
          <w:p w14:paraId="74E2F525"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10</w:t>
            </w:r>
            <w:r>
              <w:rPr>
                <w:rFonts w:eastAsia="Times New Roman" w:cs="Arial"/>
                <w:color w:val="auto"/>
                <w:sz w:val="20"/>
                <w:szCs w:val="20"/>
                <w:lang w:eastAsia="en-AU"/>
              </w:rPr>
              <w:t>,</w:t>
            </w:r>
            <w:r w:rsidRPr="00BF0D27">
              <w:rPr>
                <w:rFonts w:eastAsia="Times New Roman" w:cs="Arial"/>
                <w:color w:val="auto"/>
                <w:sz w:val="20"/>
                <w:szCs w:val="20"/>
                <w:lang w:eastAsia="en-AU"/>
              </w:rPr>
              <w:t>027</w:t>
            </w:r>
          </w:p>
        </w:tc>
        <w:tc>
          <w:tcPr>
            <w:tcW w:w="1304" w:type="dxa"/>
            <w:tcBorders>
              <w:top w:val="nil"/>
              <w:left w:val="none" w:sz="0" w:space="0" w:color="auto"/>
              <w:bottom w:val="nil"/>
              <w:right w:val="single" w:sz="4" w:space="0" w:color="auto"/>
            </w:tcBorders>
          </w:tcPr>
          <w:p w14:paraId="41E39423"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w:t>
            </w:r>
            <w:r>
              <w:rPr>
                <w:rFonts w:eastAsia="Times New Roman" w:cs="Arial"/>
                <w:color w:val="auto"/>
                <w:sz w:val="20"/>
                <w:szCs w:val="20"/>
                <w:lang w:eastAsia="en-AU"/>
              </w:rPr>
              <w:t>,</w:t>
            </w:r>
            <w:r w:rsidRPr="00BF0D27">
              <w:rPr>
                <w:rFonts w:eastAsia="Times New Roman" w:cs="Arial"/>
                <w:color w:val="auto"/>
                <w:sz w:val="20"/>
                <w:szCs w:val="20"/>
                <w:lang w:eastAsia="en-AU"/>
              </w:rPr>
              <w:t>200</w:t>
            </w:r>
          </w:p>
        </w:tc>
        <w:tc>
          <w:tcPr>
            <w:tcW w:w="1304" w:type="dxa"/>
            <w:tcBorders>
              <w:top w:val="nil"/>
              <w:left w:val="single" w:sz="4" w:space="0" w:color="auto"/>
              <w:bottom w:val="nil"/>
              <w:right w:val="none" w:sz="0" w:space="0" w:color="auto"/>
            </w:tcBorders>
          </w:tcPr>
          <w:p w14:paraId="52B6DAC1"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023</w:t>
            </w:r>
          </w:p>
        </w:tc>
        <w:tc>
          <w:tcPr>
            <w:tcW w:w="1304" w:type="dxa"/>
            <w:tcBorders>
              <w:top w:val="nil"/>
              <w:left w:val="none" w:sz="0" w:space="0" w:color="auto"/>
              <w:bottom w:val="nil"/>
              <w:right w:val="single" w:sz="4" w:space="0" w:color="auto"/>
            </w:tcBorders>
          </w:tcPr>
          <w:p w14:paraId="4BF3085C"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887</w:t>
            </w:r>
          </w:p>
        </w:tc>
        <w:tc>
          <w:tcPr>
            <w:tcW w:w="1304" w:type="dxa"/>
            <w:tcBorders>
              <w:top w:val="nil"/>
              <w:left w:val="single" w:sz="4" w:space="0" w:color="auto"/>
              <w:bottom w:val="nil"/>
              <w:right w:val="none" w:sz="0" w:space="0" w:color="auto"/>
            </w:tcBorders>
            <w:noWrap/>
            <w:hideMark/>
          </w:tcPr>
          <w:p w14:paraId="4594A0FD"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863</w:t>
            </w:r>
          </w:p>
        </w:tc>
        <w:tc>
          <w:tcPr>
            <w:tcW w:w="1304" w:type="dxa"/>
            <w:tcBorders>
              <w:top w:val="nil"/>
              <w:left w:val="none" w:sz="0" w:space="0" w:color="auto"/>
              <w:bottom w:val="nil"/>
              <w:right w:val="single" w:sz="4" w:space="0" w:color="auto"/>
            </w:tcBorders>
          </w:tcPr>
          <w:p w14:paraId="71F0F581"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825</w:t>
            </w:r>
          </w:p>
        </w:tc>
        <w:tc>
          <w:tcPr>
            <w:tcW w:w="1304" w:type="dxa"/>
            <w:tcBorders>
              <w:top w:val="nil"/>
              <w:left w:val="single" w:sz="4" w:space="0" w:color="auto"/>
              <w:bottom w:val="nil"/>
              <w:right w:val="none" w:sz="0" w:space="0" w:color="auto"/>
            </w:tcBorders>
            <w:noWrap/>
            <w:hideMark/>
          </w:tcPr>
          <w:p w14:paraId="44074FC6"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160</w:t>
            </w:r>
          </w:p>
        </w:tc>
        <w:tc>
          <w:tcPr>
            <w:tcW w:w="1304" w:type="dxa"/>
            <w:tcBorders>
              <w:top w:val="nil"/>
              <w:left w:val="none" w:sz="0" w:space="0" w:color="auto"/>
              <w:bottom w:val="nil"/>
              <w:right w:val="single" w:sz="4" w:space="0" w:color="auto"/>
            </w:tcBorders>
          </w:tcPr>
          <w:p w14:paraId="678C26C9"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135</w:t>
            </w:r>
          </w:p>
        </w:tc>
        <w:tc>
          <w:tcPr>
            <w:tcW w:w="1304" w:type="dxa"/>
            <w:tcBorders>
              <w:left w:val="single" w:sz="4" w:space="0" w:color="auto"/>
              <w:right w:val="none" w:sz="0" w:space="0" w:color="auto"/>
            </w:tcBorders>
          </w:tcPr>
          <w:p w14:paraId="06B8CE48"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15</w:t>
            </w:r>
            <w:r>
              <w:rPr>
                <w:rFonts w:eastAsia="Times New Roman" w:cs="Arial"/>
                <w:b/>
                <w:color w:val="auto"/>
                <w:sz w:val="20"/>
                <w:szCs w:val="20"/>
                <w:lang w:eastAsia="en-AU"/>
              </w:rPr>
              <w:t>,</w:t>
            </w:r>
            <w:r w:rsidRPr="00BF0D27">
              <w:rPr>
                <w:rFonts w:eastAsia="Times New Roman" w:cs="Arial"/>
                <w:b/>
                <w:color w:val="auto"/>
                <w:sz w:val="20"/>
                <w:szCs w:val="20"/>
                <w:lang w:eastAsia="en-AU"/>
              </w:rPr>
              <w:t>050</w:t>
            </w:r>
          </w:p>
        </w:tc>
        <w:tc>
          <w:tcPr>
            <w:tcW w:w="1304" w:type="dxa"/>
            <w:tcBorders>
              <w:left w:val="none" w:sz="0" w:space="0" w:color="auto"/>
              <w:right w:val="none" w:sz="0" w:space="0" w:color="auto"/>
            </w:tcBorders>
          </w:tcPr>
          <w:p w14:paraId="7ACE4ACA"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13</w:t>
            </w:r>
            <w:r>
              <w:rPr>
                <w:rFonts w:eastAsia="Times New Roman" w:cs="Arial"/>
                <w:b/>
                <w:color w:val="auto"/>
                <w:sz w:val="20"/>
                <w:szCs w:val="20"/>
                <w:lang w:eastAsia="en-AU"/>
              </w:rPr>
              <w:t>,</w:t>
            </w:r>
            <w:r w:rsidRPr="00BF0D27">
              <w:rPr>
                <w:rFonts w:eastAsia="Times New Roman" w:cs="Arial"/>
                <w:b/>
                <w:color w:val="auto"/>
                <w:sz w:val="20"/>
                <w:szCs w:val="20"/>
                <w:lang w:eastAsia="en-AU"/>
              </w:rPr>
              <w:t>595</w:t>
            </w:r>
          </w:p>
        </w:tc>
      </w:tr>
      <w:tr w:rsidR="001A00F8" w:rsidRPr="00BF0D27" w14:paraId="588CD060"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single" w:sz="4" w:space="0" w:color="auto"/>
            </w:tcBorders>
          </w:tcPr>
          <w:p w14:paraId="50FC01F8" w14:textId="77777777" w:rsidR="006B1B40" w:rsidRPr="00BF0D27" w:rsidRDefault="006B1B40" w:rsidP="00CE2FDF">
            <w:pPr>
              <w:spacing w:before="0" w:after="60" w:line="276" w:lineRule="auto"/>
              <w:rPr>
                <w:rFonts w:cs="Arial"/>
                <w:b w:val="0"/>
                <w:bCs w:val="0"/>
                <w:color w:val="auto"/>
                <w:sz w:val="20"/>
                <w:szCs w:val="20"/>
              </w:rPr>
            </w:pPr>
            <w:r w:rsidRPr="00BF0D27">
              <w:rPr>
                <w:rFonts w:cs="Arial"/>
                <w:color w:val="auto"/>
                <w:sz w:val="20"/>
                <w:szCs w:val="20"/>
              </w:rPr>
              <w:t>2011</w:t>
            </w:r>
          </w:p>
        </w:tc>
        <w:tc>
          <w:tcPr>
            <w:tcW w:w="1304" w:type="dxa"/>
            <w:tcBorders>
              <w:top w:val="nil"/>
              <w:left w:val="single" w:sz="4" w:space="0" w:color="auto"/>
              <w:bottom w:val="nil"/>
            </w:tcBorders>
            <w:noWrap/>
            <w:hideMark/>
          </w:tcPr>
          <w:p w14:paraId="6EE475D6"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w:t>
            </w:r>
            <w:r>
              <w:rPr>
                <w:rFonts w:eastAsia="Times New Roman" w:cs="Arial"/>
                <w:color w:val="auto"/>
                <w:sz w:val="20"/>
                <w:szCs w:val="20"/>
                <w:lang w:eastAsia="en-AU"/>
              </w:rPr>
              <w:t>,</w:t>
            </w:r>
            <w:r w:rsidRPr="00BF0D27">
              <w:rPr>
                <w:rFonts w:eastAsia="Times New Roman" w:cs="Arial"/>
                <w:color w:val="auto"/>
                <w:sz w:val="20"/>
                <w:szCs w:val="20"/>
                <w:lang w:eastAsia="en-AU"/>
              </w:rPr>
              <w:t>339</w:t>
            </w:r>
          </w:p>
        </w:tc>
        <w:tc>
          <w:tcPr>
            <w:tcW w:w="1304" w:type="dxa"/>
            <w:tcBorders>
              <w:top w:val="nil"/>
              <w:bottom w:val="nil"/>
              <w:right w:val="single" w:sz="4" w:space="0" w:color="auto"/>
            </w:tcBorders>
          </w:tcPr>
          <w:p w14:paraId="4D897E6A"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w:t>
            </w:r>
            <w:r>
              <w:rPr>
                <w:rFonts w:eastAsia="Times New Roman" w:cs="Arial"/>
                <w:color w:val="auto"/>
                <w:sz w:val="20"/>
                <w:szCs w:val="20"/>
                <w:lang w:eastAsia="en-AU"/>
              </w:rPr>
              <w:t>,</w:t>
            </w:r>
            <w:r w:rsidRPr="00BF0D27">
              <w:rPr>
                <w:rFonts w:eastAsia="Times New Roman" w:cs="Arial"/>
                <w:color w:val="auto"/>
                <w:sz w:val="20"/>
                <w:szCs w:val="20"/>
                <w:lang w:eastAsia="en-AU"/>
              </w:rPr>
              <w:t>659</w:t>
            </w:r>
          </w:p>
        </w:tc>
        <w:tc>
          <w:tcPr>
            <w:tcW w:w="1304" w:type="dxa"/>
            <w:tcBorders>
              <w:top w:val="nil"/>
              <w:left w:val="single" w:sz="4" w:space="0" w:color="auto"/>
              <w:bottom w:val="nil"/>
            </w:tcBorders>
          </w:tcPr>
          <w:p w14:paraId="2EC38319"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650</w:t>
            </w:r>
          </w:p>
        </w:tc>
        <w:tc>
          <w:tcPr>
            <w:tcW w:w="1304" w:type="dxa"/>
            <w:tcBorders>
              <w:top w:val="nil"/>
              <w:bottom w:val="nil"/>
              <w:right w:val="single" w:sz="4" w:space="0" w:color="auto"/>
            </w:tcBorders>
          </w:tcPr>
          <w:p w14:paraId="1D8920B7"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4</w:t>
            </w:r>
            <w:r>
              <w:rPr>
                <w:rFonts w:eastAsia="Times New Roman" w:cs="Arial"/>
                <w:color w:val="auto"/>
                <w:sz w:val="20"/>
                <w:szCs w:val="20"/>
                <w:lang w:eastAsia="en-AU"/>
              </w:rPr>
              <w:t>,</w:t>
            </w:r>
            <w:r w:rsidRPr="00BF0D27">
              <w:rPr>
                <w:rFonts w:eastAsia="Times New Roman" w:cs="Arial"/>
                <w:color w:val="auto"/>
                <w:sz w:val="20"/>
                <w:szCs w:val="20"/>
                <w:lang w:eastAsia="en-AU"/>
              </w:rPr>
              <w:t>529</w:t>
            </w:r>
          </w:p>
        </w:tc>
        <w:tc>
          <w:tcPr>
            <w:tcW w:w="1304" w:type="dxa"/>
            <w:tcBorders>
              <w:top w:val="nil"/>
              <w:left w:val="single" w:sz="4" w:space="0" w:color="auto"/>
              <w:bottom w:val="nil"/>
            </w:tcBorders>
            <w:noWrap/>
            <w:hideMark/>
          </w:tcPr>
          <w:p w14:paraId="30B8BCA9"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855</w:t>
            </w:r>
          </w:p>
        </w:tc>
        <w:tc>
          <w:tcPr>
            <w:tcW w:w="1304" w:type="dxa"/>
            <w:tcBorders>
              <w:top w:val="nil"/>
              <w:bottom w:val="nil"/>
              <w:right w:val="single" w:sz="4" w:space="0" w:color="auto"/>
            </w:tcBorders>
          </w:tcPr>
          <w:p w14:paraId="3A2A715E"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817</w:t>
            </w:r>
          </w:p>
        </w:tc>
        <w:tc>
          <w:tcPr>
            <w:tcW w:w="1304" w:type="dxa"/>
            <w:tcBorders>
              <w:top w:val="nil"/>
              <w:left w:val="single" w:sz="4" w:space="0" w:color="auto"/>
              <w:bottom w:val="nil"/>
            </w:tcBorders>
            <w:noWrap/>
            <w:hideMark/>
          </w:tcPr>
          <w:p w14:paraId="094BF20D"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795</w:t>
            </w:r>
          </w:p>
        </w:tc>
        <w:tc>
          <w:tcPr>
            <w:tcW w:w="1304" w:type="dxa"/>
            <w:tcBorders>
              <w:top w:val="nil"/>
              <w:bottom w:val="nil"/>
              <w:right w:val="single" w:sz="4" w:space="0" w:color="auto"/>
            </w:tcBorders>
          </w:tcPr>
          <w:p w14:paraId="41919A77"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770</w:t>
            </w:r>
          </w:p>
        </w:tc>
        <w:tc>
          <w:tcPr>
            <w:tcW w:w="1304" w:type="dxa"/>
            <w:tcBorders>
              <w:left w:val="single" w:sz="4" w:space="0" w:color="auto"/>
              <w:bottom w:val="nil"/>
            </w:tcBorders>
          </w:tcPr>
          <w:p w14:paraId="09DF947C"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13</w:t>
            </w:r>
            <w:r>
              <w:rPr>
                <w:rFonts w:eastAsia="Times New Roman" w:cs="Arial"/>
                <w:b/>
                <w:color w:val="auto"/>
                <w:sz w:val="20"/>
                <w:szCs w:val="20"/>
                <w:lang w:eastAsia="en-AU"/>
              </w:rPr>
              <w:t>,</w:t>
            </w:r>
            <w:r w:rsidRPr="00BF0D27">
              <w:rPr>
                <w:rFonts w:eastAsia="Times New Roman" w:cs="Arial"/>
                <w:b/>
                <w:color w:val="auto"/>
                <w:sz w:val="20"/>
                <w:szCs w:val="20"/>
                <w:lang w:eastAsia="en-AU"/>
              </w:rPr>
              <w:t>989</w:t>
            </w:r>
          </w:p>
        </w:tc>
        <w:tc>
          <w:tcPr>
            <w:tcW w:w="1304" w:type="dxa"/>
            <w:tcBorders>
              <w:bottom w:val="nil"/>
            </w:tcBorders>
          </w:tcPr>
          <w:p w14:paraId="615016F0"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12</w:t>
            </w:r>
            <w:r>
              <w:rPr>
                <w:rFonts w:eastAsia="Times New Roman" w:cs="Arial"/>
                <w:b/>
                <w:color w:val="auto"/>
                <w:sz w:val="20"/>
                <w:szCs w:val="20"/>
                <w:lang w:eastAsia="en-AU"/>
              </w:rPr>
              <w:t>,</w:t>
            </w:r>
            <w:r w:rsidRPr="00BF0D27">
              <w:rPr>
                <w:rFonts w:eastAsia="Times New Roman" w:cs="Arial"/>
                <w:b/>
                <w:color w:val="auto"/>
                <w:sz w:val="20"/>
                <w:szCs w:val="20"/>
                <w:lang w:eastAsia="en-AU"/>
              </w:rPr>
              <w:t>720</w:t>
            </w:r>
          </w:p>
        </w:tc>
      </w:tr>
      <w:tr w:rsidR="00712236" w:rsidRPr="00BF0D27" w14:paraId="25D2BF19" w14:textId="77777777" w:rsidTr="0071223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single" w:sz="4" w:space="0" w:color="auto"/>
              <w:right w:val="single" w:sz="4" w:space="0" w:color="auto"/>
            </w:tcBorders>
          </w:tcPr>
          <w:p w14:paraId="2D22CEE3" w14:textId="77777777" w:rsidR="006B1B40" w:rsidRPr="00BF0D27" w:rsidRDefault="006B1B40" w:rsidP="00CE2FDF">
            <w:pPr>
              <w:spacing w:before="0" w:after="60" w:line="276" w:lineRule="auto"/>
              <w:rPr>
                <w:rFonts w:cs="Arial"/>
                <w:b w:val="0"/>
                <w:bCs w:val="0"/>
                <w:color w:val="auto"/>
                <w:sz w:val="20"/>
                <w:szCs w:val="20"/>
              </w:rPr>
            </w:pPr>
            <w:r w:rsidRPr="00BF0D27">
              <w:rPr>
                <w:rFonts w:cs="Arial"/>
                <w:color w:val="auto"/>
                <w:sz w:val="20"/>
                <w:szCs w:val="20"/>
              </w:rPr>
              <w:t>2012</w:t>
            </w:r>
          </w:p>
        </w:tc>
        <w:tc>
          <w:tcPr>
            <w:tcW w:w="1304" w:type="dxa"/>
            <w:tcBorders>
              <w:top w:val="nil"/>
              <w:left w:val="single" w:sz="4" w:space="0" w:color="auto"/>
              <w:bottom w:val="single" w:sz="4" w:space="0" w:color="auto"/>
            </w:tcBorders>
            <w:noWrap/>
            <w:hideMark/>
          </w:tcPr>
          <w:p w14:paraId="2B67B667"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w:t>
            </w:r>
            <w:r>
              <w:rPr>
                <w:rFonts w:eastAsia="Times New Roman" w:cs="Arial"/>
                <w:color w:val="auto"/>
                <w:sz w:val="20"/>
                <w:szCs w:val="20"/>
                <w:lang w:eastAsia="en-AU"/>
              </w:rPr>
              <w:t>,</w:t>
            </w:r>
            <w:r w:rsidRPr="00BF0D27">
              <w:rPr>
                <w:rFonts w:eastAsia="Times New Roman" w:cs="Arial"/>
                <w:color w:val="auto"/>
                <w:sz w:val="20"/>
                <w:szCs w:val="20"/>
                <w:lang w:eastAsia="en-AU"/>
              </w:rPr>
              <w:t>682</w:t>
            </w:r>
          </w:p>
        </w:tc>
        <w:tc>
          <w:tcPr>
            <w:tcW w:w="1304" w:type="dxa"/>
            <w:tcBorders>
              <w:top w:val="nil"/>
              <w:bottom w:val="single" w:sz="4" w:space="0" w:color="auto"/>
              <w:right w:val="single" w:sz="4" w:space="0" w:color="auto"/>
            </w:tcBorders>
          </w:tcPr>
          <w:p w14:paraId="44CD6263"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w:t>
            </w:r>
            <w:r>
              <w:rPr>
                <w:rFonts w:eastAsia="Times New Roman" w:cs="Arial"/>
                <w:color w:val="auto"/>
                <w:sz w:val="20"/>
                <w:szCs w:val="20"/>
                <w:lang w:eastAsia="en-AU"/>
              </w:rPr>
              <w:t>,</w:t>
            </w:r>
            <w:r w:rsidRPr="00BF0D27">
              <w:rPr>
                <w:rFonts w:eastAsia="Times New Roman" w:cs="Arial"/>
                <w:color w:val="auto"/>
                <w:sz w:val="20"/>
                <w:szCs w:val="20"/>
                <w:lang w:eastAsia="en-AU"/>
              </w:rPr>
              <w:t>993</w:t>
            </w:r>
          </w:p>
        </w:tc>
        <w:tc>
          <w:tcPr>
            <w:tcW w:w="1304" w:type="dxa"/>
            <w:tcBorders>
              <w:top w:val="nil"/>
              <w:left w:val="single" w:sz="4" w:space="0" w:color="auto"/>
              <w:bottom w:val="single" w:sz="4" w:space="0" w:color="auto"/>
            </w:tcBorders>
          </w:tcPr>
          <w:p w14:paraId="1644490F"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237</w:t>
            </w:r>
          </w:p>
        </w:tc>
        <w:tc>
          <w:tcPr>
            <w:tcW w:w="1304" w:type="dxa"/>
            <w:tcBorders>
              <w:top w:val="nil"/>
              <w:bottom w:val="single" w:sz="4" w:space="0" w:color="auto"/>
              <w:right w:val="single" w:sz="4" w:space="0" w:color="auto"/>
            </w:tcBorders>
          </w:tcPr>
          <w:p w14:paraId="54B376CD"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5</w:t>
            </w:r>
            <w:r>
              <w:rPr>
                <w:rFonts w:eastAsia="Times New Roman" w:cs="Arial"/>
                <w:color w:val="auto"/>
                <w:sz w:val="20"/>
                <w:szCs w:val="20"/>
                <w:lang w:eastAsia="en-AU"/>
              </w:rPr>
              <w:t>,</w:t>
            </w:r>
            <w:r w:rsidRPr="00BF0D27">
              <w:rPr>
                <w:rFonts w:eastAsia="Times New Roman" w:cs="Arial"/>
                <w:color w:val="auto"/>
                <w:sz w:val="20"/>
                <w:szCs w:val="20"/>
                <w:lang w:eastAsia="en-AU"/>
              </w:rPr>
              <w:t>073</w:t>
            </w:r>
          </w:p>
        </w:tc>
        <w:tc>
          <w:tcPr>
            <w:tcW w:w="1304" w:type="dxa"/>
            <w:tcBorders>
              <w:top w:val="nil"/>
              <w:left w:val="single" w:sz="4" w:space="0" w:color="auto"/>
              <w:bottom w:val="single" w:sz="4" w:space="0" w:color="auto"/>
            </w:tcBorders>
            <w:noWrap/>
            <w:hideMark/>
          </w:tcPr>
          <w:p w14:paraId="03E172B7"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235</w:t>
            </w:r>
          </w:p>
        </w:tc>
        <w:tc>
          <w:tcPr>
            <w:tcW w:w="1304" w:type="dxa"/>
            <w:tcBorders>
              <w:top w:val="nil"/>
              <w:bottom w:val="single" w:sz="4" w:space="0" w:color="auto"/>
              <w:right w:val="single" w:sz="4" w:space="0" w:color="auto"/>
            </w:tcBorders>
          </w:tcPr>
          <w:p w14:paraId="7AFA7A98"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192</w:t>
            </w:r>
          </w:p>
        </w:tc>
        <w:tc>
          <w:tcPr>
            <w:tcW w:w="1304" w:type="dxa"/>
            <w:tcBorders>
              <w:top w:val="nil"/>
              <w:left w:val="single" w:sz="4" w:space="0" w:color="auto"/>
              <w:bottom w:val="single" w:sz="4" w:space="0" w:color="auto"/>
            </w:tcBorders>
            <w:noWrap/>
            <w:hideMark/>
          </w:tcPr>
          <w:p w14:paraId="763E082F"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002</w:t>
            </w:r>
          </w:p>
        </w:tc>
        <w:tc>
          <w:tcPr>
            <w:tcW w:w="1304" w:type="dxa"/>
            <w:tcBorders>
              <w:top w:val="nil"/>
              <w:bottom w:val="single" w:sz="4" w:space="0" w:color="auto"/>
              <w:right w:val="single" w:sz="4" w:space="0" w:color="auto"/>
            </w:tcBorders>
          </w:tcPr>
          <w:p w14:paraId="44CCF3BA"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938</w:t>
            </w:r>
          </w:p>
        </w:tc>
        <w:tc>
          <w:tcPr>
            <w:tcW w:w="1304" w:type="dxa"/>
            <w:tcBorders>
              <w:top w:val="nil"/>
              <w:left w:val="single" w:sz="4" w:space="0" w:color="auto"/>
              <w:bottom w:val="single" w:sz="4" w:space="0" w:color="auto"/>
            </w:tcBorders>
          </w:tcPr>
          <w:p w14:paraId="05AEFBC5"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14</w:t>
            </w:r>
            <w:r>
              <w:rPr>
                <w:rFonts w:eastAsia="Times New Roman" w:cs="Arial"/>
                <w:b/>
                <w:color w:val="auto"/>
                <w:sz w:val="20"/>
                <w:szCs w:val="20"/>
                <w:lang w:eastAsia="en-AU"/>
              </w:rPr>
              <w:t>,</w:t>
            </w:r>
            <w:r w:rsidRPr="00BF0D27">
              <w:rPr>
                <w:rFonts w:eastAsia="Times New Roman" w:cs="Arial"/>
                <w:b/>
                <w:color w:val="auto"/>
                <w:sz w:val="20"/>
                <w:szCs w:val="20"/>
                <w:lang w:eastAsia="en-AU"/>
              </w:rPr>
              <w:t>919</w:t>
            </w:r>
          </w:p>
        </w:tc>
        <w:tc>
          <w:tcPr>
            <w:tcW w:w="1304" w:type="dxa"/>
            <w:tcBorders>
              <w:top w:val="nil"/>
              <w:bottom w:val="single" w:sz="4" w:space="0" w:color="auto"/>
              <w:right w:val="single" w:sz="4" w:space="0" w:color="auto"/>
            </w:tcBorders>
          </w:tcPr>
          <w:p w14:paraId="24FD55D6" w14:textId="77777777" w:rsidR="006B1B40" w:rsidRPr="00BF0D27" w:rsidRDefault="006B1B40"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13</w:t>
            </w:r>
            <w:r>
              <w:rPr>
                <w:rFonts w:eastAsia="Times New Roman" w:cs="Arial"/>
                <w:b/>
                <w:color w:val="auto"/>
                <w:sz w:val="20"/>
                <w:szCs w:val="20"/>
                <w:lang w:eastAsia="en-AU"/>
              </w:rPr>
              <w:t>,</w:t>
            </w:r>
            <w:r w:rsidRPr="00BF0D27">
              <w:rPr>
                <w:rFonts w:eastAsia="Times New Roman" w:cs="Arial"/>
                <w:b/>
                <w:color w:val="auto"/>
                <w:sz w:val="20"/>
                <w:szCs w:val="20"/>
                <w:lang w:eastAsia="en-AU"/>
              </w:rPr>
              <w:t>604</w:t>
            </w:r>
          </w:p>
        </w:tc>
      </w:tr>
      <w:tr w:rsidR="002418F8" w:rsidRPr="00BF0D27" w14:paraId="2B5C8C64"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right w:val="single" w:sz="4" w:space="0" w:color="auto"/>
            </w:tcBorders>
            <w:shd w:val="clear" w:color="auto" w:fill="B2A1C7" w:themeFill="accent4" w:themeFillTint="99"/>
          </w:tcPr>
          <w:p w14:paraId="20F9D915" w14:textId="77777777" w:rsidR="006B1B40" w:rsidRPr="00BF0D27" w:rsidRDefault="006B1B40" w:rsidP="00CE2FDF">
            <w:pPr>
              <w:spacing w:before="0" w:after="60" w:line="276" w:lineRule="auto"/>
              <w:rPr>
                <w:rFonts w:cs="Arial"/>
                <w:bCs w:val="0"/>
                <w:color w:val="auto"/>
                <w:sz w:val="20"/>
                <w:szCs w:val="20"/>
              </w:rPr>
            </w:pPr>
            <w:r w:rsidRPr="00BF0D27">
              <w:rPr>
                <w:rFonts w:cs="Arial"/>
                <w:color w:val="auto"/>
                <w:sz w:val="20"/>
                <w:szCs w:val="20"/>
              </w:rPr>
              <w:t>Totals:</w:t>
            </w:r>
          </w:p>
        </w:tc>
        <w:tc>
          <w:tcPr>
            <w:tcW w:w="1304" w:type="dxa"/>
            <w:tcBorders>
              <w:top w:val="single" w:sz="4" w:space="0" w:color="auto"/>
              <w:left w:val="single" w:sz="4" w:space="0" w:color="auto"/>
              <w:bottom w:val="single" w:sz="4" w:space="0" w:color="auto"/>
            </w:tcBorders>
            <w:shd w:val="clear" w:color="auto" w:fill="B2A1C7" w:themeFill="accent4" w:themeFillTint="99"/>
            <w:noWrap/>
            <w:hideMark/>
          </w:tcPr>
          <w:p w14:paraId="2C09BA8B"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76</w:t>
            </w:r>
            <w:r>
              <w:rPr>
                <w:rFonts w:eastAsia="Times New Roman" w:cs="Arial"/>
                <w:b/>
                <w:color w:val="auto"/>
                <w:sz w:val="20"/>
                <w:szCs w:val="20"/>
                <w:lang w:eastAsia="en-AU"/>
              </w:rPr>
              <w:t>,</w:t>
            </w:r>
            <w:r w:rsidRPr="00BF0D27">
              <w:rPr>
                <w:rFonts w:eastAsia="Times New Roman" w:cs="Arial"/>
                <w:b/>
                <w:color w:val="auto"/>
                <w:sz w:val="20"/>
                <w:szCs w:val="20"/>
                <w:lang w:eastAsia="en-AU"/>
              </w:rPr>
              <w:t>670</w:t>
            </w:r>
          </w:p>
        </w:tc>
        <w:tc>
          <w:tcPr>
            <w:tcW w:w="1304" w:type="dxa"/>
            <w:tcBorders>
              <w:top w:val="single" w:sz="4" w:space="0" w:color="auto"/>
              <w:bottom w:val="single" w:sz="4" w:space="0" w:color="auto"/>
              <w:right w:val="single" w:sz="4" w:space="0" w:color="auto"/>
            </w:tcBorders>
            <w:shd w:val="clear" w:color="auto" w:fill="B2A1C7" w:themeFill="accent4" w:themeFillTint="99"/>
          </w:tcPr>
          <w:p w14:paraId="0C463E04" w14:textId="77777777" w:rsidR="006B1B40"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6B1B40"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6B1B40" w:rsidRPr="00BF0D27">
              <w:rPr>
                <w:rFonts w:eastAsia="Times New Roman" w:cs="Arial"/>
                <w:b/>
                <w:noProof/>
                <w:color w:val="auto"/>
                <w:sz w:val="20"/>
                <w:szCs w:val="20"/>
                <w:lang w:eastAsia="en-AU"/>
              </w:rPr>
              <w:t>70</w:t>
            </w:r>
            <w:r w:rsidR="006B1B40">
              <w:rPr>
                <w:rFonts w:eastAsia="Times New Roman" w:cs="Arial"/>
                <w:b/>
                <w:noProof/>
                <w:color w:val="auto"/>
                <w:sz w:val="20"/>
                <w:szCs w:val="20"/>
                <w:lang w:eastAsia="en-AU"/>
              </w:rPr>
              <w:t>,</w:t>
            </w:r>
            <w:r w:rsidR="006B1B40" w:rsidRPr="00BF0D27">
              <w:rPr>
                <w:rFonts w:eastAsia="Times New Roman" w:cs="Arial"/>
                <w:b/>
                <w:noProof/>
                <w:color w:val="auto"/>
                <w:sz w:val="20"/>
                <w:szCs w:val="20"/>
                <w:lang w:eastAsia="en-AU"/>
              </w:rPr>
              <w:t>781</w:t>
            </w:r>
            <w:r w:rsidRPr="00BF0D27">
              <w:rPr>
                <w:rFonts w:eastAsia="Times New Roman" w:cs="Arial"/>
                <w:b/>
                <w:sz w:val="20"/>
                <w:szCs w:val="20"/>
                <w:lang w:eastAsia="en-AU"/>
              </w:rPr>
              <w:fldChar w:fldCharType="end"/>
            </w:r>
          </w:p>
        </w:tc>
        <w:tc>
          <w:tcPr>
            <w:tcW w:w="1304" w:type="dxa"/>
            <w:tcBorders>
              <w:top w:val="single" w:sz="4" w:space="0" w:color="auto"/>
              <w:left w:val="single" w:sz="4" w:space="0" w:color="auto"/>
              <w:bottom w:val="single" w:sz="4" w:space="0" w:color="auto"/>
            </w:tcBorders>
            <w:shd w:val="clear" w:color="auto" w:fill="B2A1C7" w:themeFill="accent4" w:themeFillTint="99"/>
          </w:tcPr>
          <w:p w14:paraId="7DC5D8EB"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43</w:t>
            </w:r>
            <w:r>
              <w:rPr>
                <w:rFonts w:eastAsia="Times New Roman" w:cs="Arial"/>
                <w:b/>
                <w:color w:val="auto"/>
                <w:sz w:val="20"/>
                <w:szCs w:val="20"/>
                <w:lang w:eastAsia="en-AU"/>
              </w:rPr>
              <w:t>,</w:t>
            </w:r>
            <w:r w:rsidRPr="00BF0D27">
              <w:rPr>
                <w:rFonts w:eastAsia="Times New Roman" w:cs="Arial"/>
                <w:b/>
                <w:color w:val="auto"/>
                <w:sz w:val="20"/>
                <w:szCs w:val="20"/>
                <w:lang w:eastAsia="en-AU"/>
              </w:rPr>
              <w:t>216</w:t>
            </w:r>
          </w:p>
        </w:tc>
        <w:tc>
          <w:tcPr>
            <w:tcW w:w="1304" w:type="dxa"/>
            <w:tcBorders>
              <w:top w:val="single" w:sz="4" w:space="0" w:color="auto"/>
              <w:bottom w:val="single" w:sz="4" w:space="0" w:color="auto"/>
              <w:right w:val="single" w:sz="4" w:space="0" w:color="auto"/>
            </w:tcBorders>
            <w:shd w:val="clear" w:color="auto" w:fill="B2A1C7" w:themeFill="accent4" w:themeFillTint="99"/>
          </w:tcPr>
          <w:p w14:paraId="2A1FBBCA" w14:textId="77777777" w:rsidR="006B1B40"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6B1B40"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6B1B40" w:rsidRPr="00BF0D27">
              <w:rPr>
                <w:rFonts w:eastAsia="Times New Roman" w:cs="Arial"/>
                <w:b/>
                <w:noProof/>
                <w:color w:val="auto"/>
                <w:sz w:val="20"/>
                <w:szCs w:val="20"/>
                <w:lang w:eastAsia="en-AU"/>
              </w:rPr>
              <w:t>42</w:t>
            </w:r>
            <w:r w:rsidR="006B1B40">
              <w:rPr>
                <w:rFonts w:eastAsia="Times New Roman" w:cs="Arial"/>
                <w:b/>
                <w:noProof/>
                <w:color w:val="auto"/>
                <w:sz w:val="20"/>
                <w:szCs w:val="20"/>
                <w:lang w:eastAsia="en-AU"/>
              </w:rPr>
              <w:t>,</w:t>
            </w:r>
            <w:r w:rsidR="006B1B40" w:rsidRPr="00BF0D27">
              <w:rPr>
                <w:rFonts w:eastAsia="Times New Roman" w:cs="Arial"/>
                <w:b/>
                <w:noProof/>
                <w:color w:val="auto"/>
                <w:sz w:val="20"/>
                <w:szCs w:val="20"/>
                <w:lang w:eastAsia="en-AU"/>
              </w:rPr>
              <w:t>003</w:t>
            </w:r>
            <w:r w:rsidRPr="00BF0D27">
              <w:rPr>
                <w:rFonts w:eastAsia="Times New Roman" w:cs="Arial"/>
                <w:b/>
                <w:sz w:val="20"/>
                <w:szCs w:val="20"/>
                <w:lang w:eastAsia="en-AU"/>
              </w:rPr>
              <w:fldChar w:fldCharType="end"/>
            </w:r>
          </w:p>
        </w:tc>
        <w:tc>
          <w:tcPr>
            <w:tcW w:w="1304" w:type="dxa"/>
            <w:tcBorders>
              <w:top w:val="single" w:sz="4" w:space="0" w:color="auto"/>
              <w:left w:val="single" w:sz="4" w:space="0" w:color="auto"/>
              <w:bottom w:val="single" w:sz="4" w:space="0" w:color="auto"/>
            </w:tcBorders>
            <w:shd w:val="clear" w:color="auto" w:fill="B2A1C7" w:themeFill="accent4" w:themeFillTint="99"/>
            <w:noWrap/>
            <w:hideMark/>
          </w:tcPr>
          <w:p w14:paraId="1E73F725"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26</w:t>
            </w:r>
            <w:r>
              <w:rPr>
                <w:rFonts w:eastAsia="Times New Roman" w:cs="Arial"/>
                <w:b/>
                <w:color w:val="auto"/>
                <w:sz w:val="20"/>
                <w:szCs w:val="20"/>
                <w:lang w:eastAsia="en-AU"/>
              </w:rPr>
              <w:t>,</w:t>
            </w:r>
            <w:r w:rsidRPr="00BF0D27">
              <w:rPr>
                <w:rFonts w:eastAsia="Times New Roman" w:cs="Arial"/>
                <w:b/>
                <w:color w:val="auto"/>
                <w:sz w:val="20"/>
                <w:szCs w:val="20"/>
                <w:lang w:eastAsia="en-AU"/>
              </w:rPr>
              <w:t>735</w:t>
            </w:r>
          </w:p>
        </w:tc>
        <w:tc>
          <w:tcPr>
            <w:tcW w:w="1304" w:type="dxa"/>
            <w:tcBorders>
              <w:top w:val="single" w:sz="4" w:space="0" w:color="auto"/>
              <w:bottom w:val="single" w:sz="4" w:space="0" w:color="auto"/>
              <w:right w:val="single" w:sz="4" w:space="0" w:color="auto"/>
            </w:tcBorders>
            <w:shd w:val="clear" w:color="auto" w:fill="B2A1C7" w:themeFill="accent4" w:themeFillTint="99"/>
          </w:tcPr>
          <w:p w14:paraId="61DD1A36" w14:textId="77777777" w:rsidR="006B1B40"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6B1B40"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6B1B40" w:rsidRPr="00BF0D27">
              <w:rPr>
                <w:rFonts w:eastAsia="Times New Roman" w:cs="Arial"/>
                <w:b/>
                <w:noProof/>
                <w:color w:val="auto"/>
                <w:sz w:val="20"/>
                <w:szCs w:val="20"/>
                <w:lang w:eastAsia="en-AU"/>
              </w:rPr>
              <w:t>26</w:t>
            </w:r>
            <w:r w:rsidR="006B1B40">
              <w:rPr>
                <w:rFonts w:eastAsia="Times New Roman" w:cs="Arial"/>
                <w:b/>
                <w:noProof/>
                <w:color w:val="auto"/>
                <w:sz w:val="20"/>
                <w:szCs w:val="20"/>
                <w:lang w:eastAsia="en-AU"/>
              </w:rPr>
              <w:t>,</w:t>
            </w:r>
            <w:r w:rsidR="006B1B40" w:rsidRPr="00BF0D27">
              <w:rPr>
                <w:rFonts w:eastAsia="Times New Roman" w:cs="Arial"/>
                <w:b/>
                <w:noProof/>
                <w:color w:val="auto"/>
                <w:sz w:val="20"/>
                <w:szCs w:val="20"/>
                <w:lang w:eastAsia="en-AU"/>
              </w:rPr>
              <w:t>330</w:t>
            </w:r>
            <w:r w:rsidRPr="00BF0D27">
              <w:rPr>
                <w:rFonts w:eastAsia="Times New Roman" w:cs="Arial"/>
                <w:b/>
                <w:sz w:val="20"/>
                <w:szCs w:val="20"/>
                <w:lang w:eastAsia="en-AU"/>
              </w:rPr>
              <w:fldChar w:fldCharType="end"/>
            </w:r>
          </w:p>
        </w:tc>
        <w:tc>
          <w:tcPr>
            <w:tcW w:w="1304" w:type="dxa"/>
            <w:tcBorders>
              <w:top w:val="single" w:sz="4" w:space="0" w:color="auto"/>
              <w:left w:val="single" w:sz="4" w:space="0" w:color="auto"/>
              <w:bottom w:val="single" w:sz="4" w:space="0" w:color="auto"/>
            </w:tcBorders>
            <w:shd w:val="clear" w:color="auto" w:fill="B2A1C7" w:themeFill="accent4" w:themeFillTint="99"/>
            <w:noWrap/>
            <w:hideMark/>
          </w:tcPr>
          <w:p w14:paraId="7A43664D"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16</w:t>
            </w:r>
            <w:r>
              <w:rPr>
                <w:rFonts w:eastAsia="Times New Roman" w:cs="Arial"/>
                <w:b/>
                <w:color w:val="auto"/>
                <w:sz w:val="20"/>
                <w:szCs w:val="20"/>
                <w:lang w:eastAsia="en-AU"/>
              </w:rPr>
              <w:t>,</w:t>
            </w:r>
            <w:r w:rsidRPr="00BF0D27">
              <w:rPr>
                <w:rFonts w:eastAsia="Times New Roman" w:cs="Arial"/>
                <w:b/>
                <w:color w:val="auto"/>
                <w:sz w:val="20"/>
                <w:szCs w:val="20"/>
                <w:lang w:eastAsia="en-AU"/>
              </w:rPr>
              <w:t>481</w:t>
            </w:r>
          </w:p>
        </w:tc>
        <w:tc>
          <w:tcPr>
            <w:tcW w:w="1304" w:type="dxa"/>
            <w:tcBorders>
              <w:top w:val="single" w:sz="4" w:space="0" w:color="auto"/>
              <w:bottom w:val="single" w:sz="4" w:space="0" w:color="auto"/>
              <w:right w:val="single" w:sz="4" w:space="0" w:color="auto"/>
            </w:tcBorders>
            <w:shd w:val="clear" w:color="auto" w:fill="B2A1C7" w:themeFill="accent4" w:themeFillTint="99"/>
          </w:tcPr>
          <w:p w14:paraId="06B88C44" w14:textId="77777777" w:rsidR="006B1B40"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6B1B40"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6B1B40" w:rsidRPr="00BF0D27">
              <w:rPr>
                <w:rFonts w:eastAsia="Times New Roman" w:cs="Arial"/>
                <w:b/>
                <w:noProof/>
                <w:color w:val="auto"/>
                <w:sz w:val="20"/>
                <w:szCs w:val="20"/>
                <w:lang w:eastAsia="en-AU"/>
              </w:rPr>
              <w:t>16</w:t>
            </w:r>
            <w:r w:rsidR="006B1B40">
              <w:rPr>
                <w:rFonts w:eastAsia="Times New Roman" w:cs="Arial"/>
                <w:b/>
                <w:noProof/>
                <w:color w:val="auto"/>
                <w:sz w:val="20"/>
                <w:szCs w:val="20"/>
                <w:lang w:eastAsia="en-AU"/>
              </w:rPr>
              <w:t>,</w:t>
            </w:r>
            <w:r w:rsidR="006B1B40" w:rsidRPr="00BF0D27">
              <w:rPr>
                <w:rFonts w:eastAsia="Times New Roman" w:cs="Arial"/>
                <w:b/>
                <w:noProof/>
                <w:color w:val="auto"/>
                <w:sz w:val="20"/>
                <w:szCs w:val="20"/>
                <w:lang w:eastAsia="en-AU"/>
              </w:rPr>
              <w:t>198</w:t>
            </w:r>
            <w:r w:rsidRPr="00BF0D27">
              <w:rPr>
                <w:rFonts w:eastAsia="Times New Roman" w:cs="Arial"/>
                <w:b/>
                <w:sz w:val="20"/>
                <w:szCs w:val="20"/>
                <w:lang w:eastAsia="en-AU"/>
              </w:rPr>
              <w:fldChar w:fldCharType="end"/>
            </w:r>
          </w:p>
        </w:tc>
        <w:tc>
          <w:tcPr>
            <w:tcW w:w="1304" w:type="dxa"/>
            <w:tcBorders>
              <w:top w:val="single" w:sz="4" w:space="0" w:color="auto"/>
              <w:left w:val="single" w:sz="4" w:space="0" w:color="auto"/>
              <w:bottom w:val="single" w:sz="4" w:space="0" w:color="auto"/>
            </w:tcBorders>
            <w:shd w:val="clear" w:color="auto" w:fill="B2A1C7" w:themeFill="accent4" w:themeFillTint="99"/>
          </w:tcPr>
          <w:p w14:paraId="70E9BC94" w14:textId="77777777" w:rsidR="006B1B40" w:rsidRPr="00BF0D27" w:rsidRDefault="006B1B40"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119</w:t>
            </w:r>
            <w:r>
              <w:rPr>
                <w:rFonts w:eastAsia="Times New Roman" w:cs="Arial"/>
                <w:b/>
                <w:color w:val="auto"/>
                <w:sz w:val="20"/>
                <w:szCs w:val="20"/>
                <w:lang w:eastAsia="en-AU"/>
              </w:rPr>
              <w:t>,</w:t>
            </w:r>
            <w:r w:rsidRPr="00BF0D27">
              <w:rPr>
                <w:rFonts w:eastAsia="Times New Roman" w:cs="Arial"/>
                <w:b/>
                <w:color w:val="auto"/>
                <w:sz w:val="20"/>
                <w:szCs w:val="20"/>
                <w:lang w:eastAsia="en-AU"/>
              </w:rPr>
              <w:t>886</w:t>
            </w:r>
          </w:p>
        </w:tc>
        <w:tc>
          <w:tcPr>
            <w:tcW w:w="1304" w:type="dxa"/>
            <w:tcBorders>
              <w:top w:val="single" w:sz="4" w:space="0" w:color="auto"/>
              <w:bottom w:val="single" w:sz="4" w:space="0" w:color="auto"/>
            </w:tcBorders>
            <w:shd w:val="clear" w:color="auto" w:fill="B2A1C7" w:themeFill="accent4" w:themeFillTint="99"/>
          </w:tcPr>
          <w:p w14:paraId="51F47C97" w14:textId="77777777" w:rsidR="006B1B40"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6B1B40"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6B1B40" w:rsidRPr="00BF0D27">
              <w:rPr>
                <w:rFonts w:eastAsia="Times New Roman" w:cs="Arial"/>
                <w:b/>
                <w:noProof/>
                <w:color w:val="auto"/>
                <w:sz w:val="20"/>
                <w:szCs w:val="20"/>
                <w:lang w:eastAsia="en-AU"/>
              </w:rPr>
              <w:t>108</w:t>
            </w:r>
            <w:r w:rsidR="006B1B40">
              <w:rPr>
                <w:rFonts w:eastAsia="Times New Roman" w:cs="Arial"/>
                <w:b/>
                <w:noProof/>
                <w:color w:val="auto"/>
                <w:sz w:val="20"/>
                <w:szCs w:val="20"/>
                <w:lang w:eastAsia="en-AU"/>
              </w:rPr>
              <w:t>,</w:t>
            </w:r>
            <w:r w:rsidR="006B1B40" w:rsidRPr="00BF0D27">
              <w:rPr>
                <w:rFonts w:eastAsia="Times New Roman" w:cs="Arial"/>
                <w:b/>
                <w:noProof/>
                <w:color w:val="auto"/>
                <w:sz w:val="20"/>
                <w:szCs w:val="20"/>
                <w:lang w:eastAsia="en-AU"/>
              </w:rPr>
              <w:t>606</w:t>
            </w:r>
            <w:r w:rsidRPr="00BF0D27">
              <w:rPr>
                <w:rFonts w:eastAsia="Times New Roman" w:cs="Arial"/>
                <w:b/>
                <w:sz w:val="20"/>
                <w:szCs w:val="20"/>
                <w:lang w:eastAsia="en-AU"/>
              </w:rPr>
              <w:fldChar w:fldCharType="end"/>
            </w:r>
          </w:p>
        </w:tc>
      </w:tr>
    </w:tbl>
    <w:p w14:paraId="1882A283" w14:textId="77777777" w:rsidR="001A00F8" w:rsidRDefault="001A00F8" w:rsidP="00B15586">
      <w:pPr>
        <w:spacing w:after="200" w:line="276" w:lineRule="auto"/>
        <w:rPr>
          <w:rFonts w:asciiTheme="majorHAnsi" w:eastAsiaTheme="majorEastAsia" w:hAnsiTheme="majorHAnsi" w:cstheme="majorBidi"/>
          <w:b/>
          <w:bCs/>
          <w:color w:val="17365D" w:themeColor="text2" w:themeShade="BF"/>
          <w:sz w:val="26"/>
          <w:szCs w:val="26"/>
        </w:rPr>
      </w:pPr>
      <w:r>
        <w:br w:type="page"/>
      </w:r>
    </w:p>
    <w:p w14:paraId="66A12852" w14:textId="77777777" w:rsidR="00D574FC" w:rsidRDefault="00D574FC" w:rsidP="0095311F">
      <w:pPr>
        <w:pStyle w:val="Figureheading"/>
      </w:pPr>
      <w:bookmarkStart w:id="98" w:name="_Toc382206802"/>
      <w:r>
        <w:lastRenderedPageBreak/>
        <w:t>3.12</w:t>
      </w:r>
      <w:r>
        <w:tab/>
        <w:t xml:space="preserve">Number of reports of sexual abuse, </w:t>
      </w:r>
      <w:bookmarkEnd w:id="98"/>
      <w:r>
        <w:t>and distinct children in reports, by outcome, by year</w:t>
      </w:r>
    </w:p>
    <w:tbl>
      <w:tblPr>
        <w:tblStyle w:val="LightShading-Accent2"/>
        <w:tblW w:w="13892" w:type="dxa"/>
        <w:tblInd w:w="-34" w:type="dxa"/>
        <w:tblLayout w:type="fixed"/>
        <w:tblLook w:val="04A0" w:firstRow="1" w:lastRow="0" w:firstColumn="1" w:lastColumn="0" w:noHBand="0" w:noVBand="1"/>
        <w:tblCaption w:val="Number of reports of sexual abuse, and distinct children in reports, by outcome, by year"/>
      </w:tblPr>
      <w:tblGrid>
        <w:gridCol w:w="993"/>
        <w:gridCol w:w="1289"/>
        <w:gridCol w:w="1290"/>
        <w:gridCol w:w="1290"/>
        <w:gridCol w:w="1290"/>
        <w:gridCol w:w="1290"/>
        <w:gridCol w:w="1290"/>
        <w:gridCol w:w="1290"/>
        <w:gridCol w:w="1290"/>
        <w:gridCol w:w="1290"/>
        <w:gridCol w:w="1290"/>
      </w:tblGrid>
      <w:tr w:rsidR="001037BE" w:rsidRPr="00BF0D27" w14:paraId="60AC7DB8" w14:textId="77777777" w:rsidTr="001143B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nil"/>
              <w:right w:val="single" w:sz="4" w:space="0" w:color="auto"/>
            </w:tcBorders>
            <w:shd w:val="clear" w:color="auto" w:fill="D99594" w:themeFill="accent2" w:themeFillTint="99"/>
            <w:vAlign w:val="center"/>
          </w:tcPr>
          <w:p w14:paraId="4F94BC7C" w14:textId="77777777" w:rsidR="001037BE" w:rsidRPr="00BF0D27" w:rsidRDefault="001037BE" w:rsidP="00CE2FDF">
            <w:pPr>
              <w:spacing w:before="0" w:line="276" w:lineRule="auto"/>
              <w:jc w:val="center"/>
              <w:rPr>
                <w:rFonts w:eastAsia="Times New Roman" w:cs="Arial"/>
                <w:bCs w:val="0"/>
                <w:color w:val="auto"/>
                <w:sz w:val="20"/>
                <w:szCs w:val="20"/>
                <w:lang w:eastAsia="en-AU"/>
              </w:rPr>
            </w:pPr>
          </w:p>
        </w:tc>
        <w:tc>
          <w:tcPr>
            <w:tcW w:w="257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80FD411" w14:textId="77777777" w:rsidR="001037BE" w:rsidRPr="00BF0D27" w:rsidRDefault="001037BE"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Not investigated</w:t>
            </w:r>
          </w:p>
        </w:tc>
        <w:tc>
          <w:tcPr>
            <w:tcW w:w="2580" w:type="dxa"/>
            <w:gridSpan w:val="2"/>
            <w:tcBorders>
              <w:top w:val="single" w:sz="4" w:space="0" w:color="auto"/>
              <w:bottom w:val="single" w:sz="4" w:space="0" w:color="auto"/>
            </w:tcBorders>
            <w:shd w:val="clear" w:color="auto" w:fill="D99594" w:themeFill="accent2" w:themeFillTint="99"/>
            <w:vAlign w:val="center"/>
          </w:tcPr>
          <w:p w14:paraId="32473CAF" w14:textId="77777777" w:rsidR="001037BE" w:rsidRPr="00BF0D27" w:rsidRDefault="001037BE"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Investigated</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1EFDB5D" w14:textId="77777777" w:rsidR="001037BE" w:rsidRPr="00BF0D27" w:rsidRDefault="001037BE"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BF0D27">
              <w:rPr>
                <w:rFonts w:eastAsia="Times New Roman" w:cs="Arial"/>
                <w:color w:val="auto"/>
                <w:sz w:val="20"/>
                <w:szCs w:val="20"/>
                <w:lang w:eastAsia="en-AU"/>
              </w:rPr>
              <w:t>Substantiated</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9BF7E2A" w14:textId="77777777" w:rsidR="001037BE" w:rsidRPr="00BF0D27" w:rsidRDefault="001037BE"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Not substantiated</w:t>
            </w:r>
          </w:p>
        </w:tc>
        <w:tc>
          <w:tcPr>
            <w:tcW w:w="258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6257E301" w14:textId="77777777" w:rsidR="001037BE" w:rsidRPr="00BF0D27" w:rsidRDefault="001037BE" w:rsidP="00CE2FDF">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Total</w:t>
            </w:r>
          </w:p>
        </w:tc>
      </w:tr>
      <w:tr w:rsidR="002418F8" w:rsidRPr="00BF0D27" w14:paraId="478E6689" w14:textId="77777777" w:rsidTr="00F244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single" w:sz="4" w:space="0" w:color="auto"/>
              <w:right w:val="single" w:sz="4" w:space="0" w:color="auto"/>
            </w:tcBorders>
            <w:shd w:val="clear" w:color="auto" w:fill="D99594" w:themeFill="accent2" w:themeFillTint="99"/>
            <w:vAlign w:val="center"/>
          </w:tcPr>
          <w:p w14:paraId="545FEC4F" w14:textId="77777777" w:rsidR="00D574FC" w:rsidRPr="00BF0D27" w:rsidRDefault="00D574FC" w:rsidP="00CE2FDF">
            <w:pPr>
              <w:spacing w:before="0" w:after="60" w:line="276" w:lineRule="auto"/>
              <w:rPr>
                <w:rFonts w:eastAsia="Times New Roman" w:cs="Arial"/>
                <w:color w:val="auto"/>
                <w:sz w:val="20"/>
                <w:szCs w:val="20"/>
                <w:lang w:eastAsia="en-AU"/>
              </w:rPr>
            </w:pPr>
          </w:p>
        </w:tc>
        <w:tc>
          <w:tcPr>
            <w:tcW w:w="1289" w:type="dxa"/>
            <w:tcBorders>
              <w:top w:val="single" w:sz="4" w:space="0" w:color="auto"/>
              <w:left w:val="single" w:sz="4" w:space="0" w:color="auto"/>
              <w:bottom w:val="single" w:sz="4" w:space="0" w:color="auto"/>
            </w:tcBorders>
            <w:shd w:val="clear" w:color="auto" w:fill="D99594" w:themeFill="accent2" w:themeFillTint="99"/>
            <w:vAlign w:val="center"/>
            <w:hideMark/>
          </w:tcPr>
          <w:p w14:paraId="7EF98530"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290" w:type="dxa"/>
            <w:tcBorders>
              <w:top w:val="single" w:sz="4" w:space="0" w:color="auto"/>
              <w:bottom w:val="single" w:sz="4" w:space="0" w:color="auto"/>
              <w:right w:val="single" w:sz="4" w:space="0" w:color="auto"/>
            </w:tcBorders>
            <w:shd w:val="clear" w:color="auto" w:fill="D99594" w:themeFill="accent2" w:themeFillTint="99"/>
            <w:vAlign w:val="center"/>
          </w:tcPr>
          <w:p w14:paraId="45777142"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290" w:type="dxa"/>
            <w:tcBorders>
              <w:top w:val="single" w:sz="4" w:space="0" w:color="auto"/>
              <w:bottom w:val="single" w:sz="4" w:space="0" w:color="auto"/>
            </w:tcBorders>
            <w:shd w:val="clear" w:color="auto" w:fill="D99594" w:themeFill="accent2" w:themeFillTint="99"/>
            <w:vAlign w:val="center"/>
          </w:tcPr>
          <w:p w14:paraId="1240BD55"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290" w:type="dxa"/>
            <w:tcBorders>
              <w:top w:val="single" w:sz="4" w:space="0" w:color="auto"/>
              <w:bottom w:val="single" w:sz="4" w:space="0" w:color="auto"/>
            </w:tcBorders>
            <w:shd w:val="clear" w:color="auto" w:fill="D99594" w:themeFill="accent2" w:themeFillTint="99"/>
            <w:vAlign w:val="center"/>
          </w:tcPr>
          <w:p w14:paraId="58AC1CE0"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290" w:type="dxa"/>
            <w:tcBorders>
              <w:top w:val="single" w:sz="4" w:space="0" w:color="auto"/>
              <w:left w:val="single" w:sz="4" w:space="0" w:color="auto"/>
              <w:bottom w:val="single" w:sz="4" w:space="0" w:color="auto"/>
            </w:tcBorders>
            <w:shd w:val="clear" w:color="auto" w:fill="D99594" w:themeFill="accent2" w:themeFillTint="99"/>
            <w:vAlign w:val="center"/>
            <w:hideMark/>
          </w:tcPr>
          <w:p w14:paraId="5DDCA3A7"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290" w:type="dxa"/>
            <w:tcBorders>
              <w:top w:val="single" w:sz="4" w:space="0" w:color="auto"/>
              <w:bottom w:val="single" w:sz="4" w:space="0" w:color="auto"/>
              <w:right w:val="single" w:sz="4" w:space="0" w:color="auto"/>
            </w:tcBorders>
            <w:shd w:val="clear" w:color="auto" w:fill="D99594" w:themeFill="accent2" w:themeFillTint="99"/>
            <w:vAlign w:val="center"/>
          </w:tcPr>
          <w:p w14:paraId="747F152E"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290" w:type="dxa"/>
            <w:tcBorders>
              <w:top w:val="single" w:sz="4" w:space="0" w:color="auto"/>
              <w:left w:val="single" w:sz="4" w:space="0" w:color="auto"/>
              <w:bottom w:val="single" w:sz="4" w:space="0" w:color="auto"/>
            </w:tcBorders>
            <w:shd w:val="clear" w:color="auto" w:fill="D99594" w:themeFill="accent2" w:themeFillTint="99"/>
            <w:vAlign w:val="center"/>
            <w:hideMark/>
          </w:tcPr>
          <w:p w14:paraId="4A5C8BE8"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290" w:type="dxa"/>
            <w:tcBorders>
              <w:top w:val="single" w:sz="4" w:space="0" w:color="auto"/>
              <w:bottom w:val="single" w:sz="4" w:space="0" w:color="auto"/>
              <w:right w:val="single" w:sz="4" w:space="0" w:color="auto"/>
            </w:tcBorders>
            <w:shd w:val="clear" w:color="auto" w:fill="D99594" w:themeFill="accent2" w:themeFillTint="99"/>
            <w:vAlign w:val="center"/>
          </w:tcPr>
          <w:p w14:paraId="5B702968"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c>
          <w:tcPr>
            <w:tcW w:w="1290" w:type="dxa"/>
            <w:tcBorders>
              <w:top w:val="single" w:sz="4" w:space="0" w:color="auto"/>
              <w:left w:val="single" w:sz="4" w:space="0" w:color="auto"/>
              <w:bottom w:val="single" w:sz="4" w:space="0" w:color="auto"/>
            </w:tcBorders>
            <w:shd w:val="clear" w:color="auto" w:fill="D99594" w:themeFill="accent2" w:themeFillTint="99"/>
            <w:vAlign w:val="center"/>
          </w:tcPr>
          <w:p w14:paraId="78F16AB9"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Pr>
                <w:rFonts w:eastAsia="Times New Roman" w:cs="Arial"/>
                <w:b/>
                <w:color w:val="auto"/>
                <w:sz w:val="20"/>
                <w:szCs w:val="20"/>
                <w:lang w:eastAsia="en-AU"/>
              </w:rPr>
              <w:t>Reports</w:t>
            </w:r>
          </w:p>
        </w:tc>
        <w:tc>
          <w:tcPr>
            <w:tcW w:w="1290" w:type="dxa"/>
            <w:tcBorders>
              <w:top w:val="single" w:sz="4" w:space="0" w:color="auto"/>
              <w:bottom w:val="single" w:sz="4" w:space="0" w:color="auto"/>
              <w:right w:val="single" w:sz="4" w:space="0" w:color="auto"/>
            </w:tcBorders>
            <w:shd w:val="clear" w:color="auto" w:fill="D99594" w:themeFill="accent2" w:themeFillTint="99"/>
            <w:vAlign w:val="center"/>
          </w:tcPr>
          <w:p w14:paraId="60982348" w14:textId="77777777" w:rsidR="00D574FC" w:rsidRPr="00BF0D27" w:rsidRDefault="00D574FC"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en-AU"/>
              </w:rPr>
            </w:pPr>
            <w:r>
              <w:rPr>
                <w:rFonts w:eastAsia="Times New Roman" w:cs="Arial"/>
                <w:b/>
                <w:bCs/>
                <w:color w:val="auto"/>
                <w:sz w:val="20"/>
                <w:szCs w:val="20"/>
                <w:lang w:eastAsia="en-AU"/>
              </w:rPr>
              <w:t>Children</w:t>
            </w:r>
          </w:p>
        </w:tc>
      </w:tr>
      <w:tr w:rsidR="00F2448E" w:rsidRPr="00BF0D27" w14:paraId="75DCF6DF"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nil"/>
              <w:right w:val="single" w:sz="4" w:space="0" w:color="auto"/>
            </w:tcBorders>
          </w:tcPr>
          <w:p w14:paraId="3D006665" w14:textId="77777777" w:rsidR="001037BE" w:rsidRPr="00BF0D27" w:rsidRDefault="001037BE" w:rsidP="00CE2FDF">
            <w:pPr>
              <w:spacing w:before="0" w:after="60" w:line="276" w:lineRule="auto"/>
              <w:rPr>
                <w:rFonts w:cs="Arial"/>
                <w:b w:val="0"/>
                <w:bCs w:val="0"/>
                <w:color w:val="auto"/>
                <w:sz w:val="20"/>
                <w:szCs w:val="20"/>
              </w:rPr>
            </w:pPr>
            <w:r w:rsidRPr="00BF0D27">
              <w:rPr>
                <w:rFonts w:cs="Arial"/>
                <w:color w:val="auto"/>
                <w:sz w:val="20"/>
                <w:szCs w:val="20"/>
              </w:rPr>
              <w:t>2003</w:t>
            </w:r>
          </w:p>
        </w:tc>
        <w:tc>
          <w:tcPr>
            <w:tcW w:w="1289" w:type="dxa"/>
            <w:tcBorders>
              <w:top w:val="single" w:sz="4" w:space="0" w:color="auto"/>
              <w:left w:val="single" w:sz="4" w:space="0" w:color="auto"/>
              <w:bottom w:val="nil"/>
            </w:tcBorders>
            <w:noWrap/>
            <w:hideMark/>
          </w:tcPr>
          <w:p w14:paraId="5364F540"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741</w:t>
            </w:r>
          </w:p>
        </w:tc>
        <w:tc>
          <w:tcPr>
            <w:tcW w:w="1290" w:type="dxa"/>
            <w:tcBorders>
              <w:top w:val="single" w:sz="4" w:space="0" w:color="auto"/>
              <w:bottom w:val="nil"/>
              <w:right w:val="single" w:sz="4" w:space="0" w:color="auto"/>
            </w:tcBorders>
          </w:tcPr>
          <w:p w14:paraId="632179CE"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537</w:t>
            </w:r>
          </w:p>
        </w:tc>
        <w:tc>
          <w:tcPr>
            <w:tcW w:w="1290" w:type="dxa"/>
            <w:tcBorders>
              <w:top w:val="single" w:sz="4" w:space="0" w:color="auto"/>
              <w:bottom w:val="nil"/>
            </w:tcBorders>
          </w:tcPr>
          <w:p w14:paraId="164AC0B6"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700</w:t>
            </w:r>
          </w:p>
        </w:tc>
        <w:tc>
          <w:tcPr>
            <w:tcW w:w="1290" w:type="dxa"/>
            <w:tcBorders>
              <w:top w:val="single" w:sz="4" w:space="0" w:color="auto"/>
              <w:bottom w:val="nil"/>
            </w:tcBorders>
          </w:tcPr>
          <w:p w14:paraId="4CCFB6AC"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640</w:t>
            </w:r>
          </w:p>
        </w:tc>
        <w:tc>
          <w:tcPr>
            <w:tcW w:w="1290" w:type="dxa"/>
            <w:tcBorders>
              <w:top w:val="single" w:sz="4" w:space="0" w:color="auto"/>
              <w:left w:val="single" w:sz="4" w:space="0" w:color="auto"/>
              <w:bottom w:val="nil"/>
            </w:tcBorders>
            <w:noWrap/>
            <w:hideMark/>
          </w:tcPr>
          <w:p w14:paraId="579FB2EF"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765</w:t>
            </w:r>
          </w:p>
        </w:tc>
        <w:tc>
          <w:tcPr>
            <w:tcW w:w="1290" w:type="dxa"/>
            <w:tcBorders>
              <w:top w:val="single" w:sz="4" w:space="0" w:color="auto"/>
              <w:bottom w:val="nil"/>
              <w:right w:val="single" w:sz="4" w:space="0" w:color="auto"/>
            </w:tcBorders>
          </w:tcPr>
          <w:p w14:paraId="24A05B7C"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756</w:t>
            </w:r>
          </w:p>
        </w:tc>
        <w:tc>
          <w:tcPr>
            <w:tcW w:w="1290" w:type="dxa"/>
            <w:tcBorders>
              <w:top w:val="single" w:sz="4" w:space="0" w:color="auto"/>
              <w:left w:val="single" w:sz="4" w:space="0" w:color="auto"/>
              <w:bottom w:val="nil"/>
              <w:right w:val="nil"/>
            </w:tcBorders>
            <w:noWrap/>
            <w:hideMark/>
          </w:tcPr>
          <w:p w14:paraId="36E263A9"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935</w:t>
            </w:r>
          </w:p>
        </w:tc>
        <w:tc>
          <w:tcPr>
            <w:tcW w:w="1290" w:type="dxa"/>
            <w:tcBorders>
              <w:top w:val="single" w:sz="4" w:space="0" w:color="auto"/>
              <w:left w:val="nil"/>
              <w:bottom w:val="nil"/>
              <w:right w:val="single" w:sz="4" w:space="0" w:color="auto"/>
            </w:tcBorders>
          </w:tcPr>
          <w:p w14:paraId="26162C67"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912</w:t>
            </w:r>
          </w:p>
        </w:tc>
        <w:tc>
          <w:tcPr>
            <w:tcW w:w="1290" w:type="dxa"/>
            <w:tcBorders>
              <w:top w:val="single" w:sz="4" w:space="0" w:color="auto"/>
              <w:left w:val="single" w:sz="4" w:space="0" w:color="auto"/>
              <w:bottom w:val="nil"/>
              <w:right w:val="nil"/>
            </w:tcBorders>
          </w:tcPr>
          <w:p w14:paraId="3BB2355F"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441</w:t>
            </w:r>
          </w:p>
        </w:tc>
        <w:tc>
          <w:tcPr>
            <w:tcW w:w="1290" w:type="dxa"/>
            <w:tcBorders>
              <w:top w:val="single" w:sz="4" w:space="0" w:color="auto"/>
              <w:left w:val="nil"/>
              <w:bottom w:val="nil"/>
              <w:right w:val="single" w:sz="4" w:space="0" w:color="auto"/>
            </w:tcBorders>
          </w:tcPr>
          <w:p w14:paraId="3EB66211"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002</w:t>
            </w:r>
          </w:p>
        </w:tc>
      </w:tr>
      <w:tr w:rsidR="00F2448E" w:rsidRPr="00BF0D27" w14:paraId="71B98EC7"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bottom w:val="nil"/>
              <w:right w:val="single" w:sz="4" w:space="0" w:color="auto"/>
            </w:tcBorders>
          </w:tcPr>
          <w:p w14:paraId="38F7BAE7" w14:textId="77777777" w:rsidR="001037BE" w:rsidRPr="00BF0D27" w:rsidRDefault="001037BE" w:rsidP="00CE2FDF">
            <w:pPr>
              <w:spacing w:before="0" w:after="60" w:line="276" w:lineRule="auto"/>
              <w:rPr>
                <w:rFonts w:cs="Arial"/>
                <w:b w:val="0"/>
                <w:bCs w:val="0"/>
                <w:color w:val="auto"/>
                <w:sz w:val="20"/>
                <w:szCs w:val="20"/>
              </w:rPr>
            </w:pPr>
            <w:r w:rsidRPr="00BF0D27">
              <w:rPr>
                <w:rFonts w:cs="Arial"/>
                <w:color w:val="auto"/>
                <w:sz w:val="20"/>
                <w:szCs w:val="20"/>
              </w:rPr>
              <w:t>2004</w:t>
            </w:r>
          </w:p>
        </w:tc>
        <w:tc>
          <w:tcPr>
            <w:tcW w:w="1289" w:type="dxa"/>
            <w:tcBorders>
              <w:top w:val="nil"/>
              <w:left w:val="single" w:sz="4" w:space="0" w:color="auto"/>
              <w:bottom w:val="nil"/>
            </w:tcBorders>
            <w:noWrap/>
            <w:hideMark/>
          </w:tcPr>
          <w:p w14:paraId="12CA0D5B"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800</w:t>
            </w:r>
          </w:p>
        </w:tc>
        <w:tc>
          <w:tcPr>
            <w:tcW w:w="1290" w:type="dxa"/>
            <w:tcBorders>
              <w:top w:val="nil"/>
              <w:bottom w:val="nil"/>
              <w:right w:val="single" w:sz="4" w:space="0" w:color="auto"/>
            </w:tcBorders>
          </w:tcPr>
          <w:p w14:paraId="6C6F22F0"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623</w:t>
            </w:r>
          </w:p>
        </w:tc>
        <w:tc>
          <w:tcPr>
            <w:tcW w:w="1290" w:type="dxa"/>
            <w:tcBorders>
              <w:top w:val="nil"/>
              <w:bottom w:val="nil"/>
            </w:tcBorders>
          </w:tcPr>
          <w:p w14:paraId="7E9C4AF1"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832</w:t>
            </w:r>
          </w:p>
        </w:tc>
        <w:tc>
          <w:tcPr>
            <w:tcW w:w="1290" w:type="dxa"/>
            <w:tcBorders>
              <w:top w:val="nil"/>
              <w:bottom w:val="nil"/>
            </w:tcBorders>
          </w:tcPr>
          <w:p w14:paraId="4CF40632"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779</w:t>
            </w:r>
          </w:p>
        </w:tc>
        <w:tc>
          <w:tcPr>
            <w:tcW w:w="1290" w:type="dxa"/>
            <w:tcBorders>
              <w:top w:val="nil"/>
              <w:left w:val="single" w:sz="4" w:space="0" w:color="auto"/>
              <w:bottom w:val="nil"/>
            </w:tcBorders>
            <w:noWrap/>
            <w:hideMark/>
          </w:tcPr>
          <w:p w14:paraId="489E95BD"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904</w:t>
            </w:r>
          </w:p>
        </w:tc>
        <w:tc>
          <w:tcPr>
            <w:tcW w:w="1290" w:type="dxa"/>
            <w:tcBorders>
              <w:top w:val="nil"/>
              <w:bottom w:val="nil"/>
              <w:right w:val="single" w:sz="4" w:space="0" w:color="auto"/>
            </w:tcBorders>
          </w:tcPr>
          <w:p w14:paraId="06E34AE1"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890</w:t>
            </w:r>
          </w:p>
        </w:tc>
        <w:tc>
          <w:tcPr>
            <w:tcW w:w="1290" w:type="dxa"/>
            <w:tcBorders>
              <w:top w:val="nil"/>
              <w:left w:val="single" w:sz="4" w:space="0" w:color="auto"/>
              <w:bottom w:val="nil"/>
            </w:tcBorders>
            <w:noWrap/>
            <w:hideMark/>
          </w:tcPr>
          <w:p w14:paraId="58BC5DB2"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928</w:t>
            </w:r>
          </w:p>
        </w:tc>
        <w:tc>
          <w:tcPr>
            <w:tcW w:w="1290" w:type="dxa"/>
            <w:tcBorders>
              <w:top w:val="nil"/>
              <w:bottom w:val="nil"/>
              <w:right w:val="single" w:sz="4" w:space="0" w:color="auto"/>
            </w:tcBorders>
          </w:tcPr>
          <w:p w14:paraId="4D636C33"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912</w:t>
            </w:r>
          </w:p>
        </w:tc>
        <w:tc>
          <w:tcPr>
            <w:tcW w:w="1290" w:type="dxa"/>
            <w:tcBorders>
              <w:top w:val="nil"/>
              <w:left w:val="single" w:sz="4" w:space="0" w:color="auto"/>
              <w:bottom w:val="nil"/>
            </w:tcBorders>
          </w:tcPr>
          <w:p w14:paraId="7A3AC800"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632</w:t>
            </w:r>
          </w:p>
        </w:tc>
        <w:tc>
          <w:tcPr>
            <w:tcW w:w="1290" w:type="dxa"/>
            <w:tcBorders>
              <w:top w:val="nil"/>
              <w:bottom w:val="nil"/>
              <w:right w:val="single" w:sz="4" w:space="0" w:color="auto"/>
            </w:tcBorders>
          </w:tcPr>
          <w:p w14:paraId="3C17A249"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226</w:t>
            </w:r>
          </w:p>
        </w:tc>
      </w:tr>
      <w:tr w:rsidR="00D574FC" w:rsidRPr="00BF0D27" w14:paraId="36BCD6F3"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nil"/>
              <w:left w:val="single" w:sz="4" w:space="0" w:color="auto"/>
              <w:right w:val="single" w:sz="4" w:space="0" w:color="auto"/>
            </w:tcBorders>
          </w:tcPr>
          <w:p w14:paraId="76A75456" w14:textId="77777777" w:rsidR="001037BE" w:rsidRPr="00BF0D27" w:rsidRDefault="001037BE" w:rsidP="00CE2FDF">
            <w:pPr>
              <w:keepNext/>
              <w:spacing w:before="0" w:after="60" w:line="276" w:lineRule="auto"/>
              <w:rPr>
                <w:rFonts w:cs="Arial"/>
                <w:b w:val="0"/>
                <w:bCs w:val="0"/>
                <w:color w:val="auto"/>
                <w:sz w:val="20"/>
                <w:szCs w:val="20"/>
              </w:rPr>
            </w:pPr>
            <w:r w:rsidRPr="00BF0D27">
              <w:rPr>
                <w:rFonts w:cs="Arial"/>
                <w:color w:val="auto"/>
                <w:sz w:val="20"/>
                <w:szCs w:val="20"/>
              </w:rPr>
              <w:t>2005</w:t>
            </w:r>
          </w:p>
        </w:tc>
        <w:tc>
          <w:tcPr>
            <w:tcW w:w="1289" w:type="dxa"/>
            <w:tcBorders>
              <w:top w:val="nil"/>
              <w:left w:val="single" w:sz="4" w:space="0" w:color="auto"/>
            </w:tcBorders>
            <w:noWrap/>
            <w:hideMark/>
          </w:tcPr>
          <w:p w14:paraId="0C5B64C0"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825</w:t>
            </w:r>
          </w:p>
        </w:tc>
        <w:tc>
          <w:tcPr>
            <w:tcW w:w="1290" w:type="dxa"/>
            <w:tcBorders>
              <w:top w:val="nil"/>
              <w:right w:val="single" w:sz="4" w:space="0" w:color="auto"/>
            </w:tcBorders>
          </w:tcPr>
          <w:p w14:paraId="2934D6D1"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623</w:t>
            </w:r>
          </w:p>
        </w:tc>
        <w:tc>
          <w:tcPr>
            <w:tcW w:w="1290" w:type="dxa"/>
            <w:tcBorders>
              <w:top w:val="nil"/>
            </w:tcBorders>
          </w:tcPr>
          <w:p w14:paraId="6B21EB30"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702</w:t>
            </w:r>
          </w:p>
        </w:tc>
        <w:tc>
          <w:tcPr>
            <w:tcW w:w="1290" w:type="dxa"/>
            <w:tcBorders>
              <w:top w:val="nil"/>
            </w:tcBorders>
          </w:tcPr>
          <w:p w14:paraId="0F48736C"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662</w:t>
            </w:r>
          </w:p>
        </w:tc>
        <w:tc>
          <w:tcPr>
            <w:tcW w:w="1290" w:type="dxa"/>
            <w:tcBorders>
              <w:top w:val="nil"/>
              <w:left w:val="single" w:sz="4" w:space="0" w:color="auto"/>
            </w:tcBorders>
            <w:noWrap/>
            <w:hideMark/>
          </w:tcPr>
          <w:p w14:paraId="6980A7C3"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829</w:t>
            </w:r>
          </w:p>
        </w:tc>
        <w:tc>
          <w:tcPr>
            <w:tcW w:w="1290" w:type="dxa"/>
            <w:tcBorders>
              <w:top w:val="nil"/>
              <w:right w:val="single" w:sz="4" w:space="0" w:color="auto"/>
            </w:tcBorders>
          </w:tcPr>
          <w:p w14:paraId="07B0C028"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819</w:t>
            </w:r>
          </w:p>
        </w:tc>
        <w:tc>
          <w:tcPr>
            <w:tcW w:w="1290" w:type="dxa"/>
            <w:tcBorders>
              <w:top w:val="nil"/>
              <w:left w:val="single" w:sz="4" w:space="0" w:color="auto"/>
              <w:right w:val="nil"/>
            </w:tcBorders>
            <w:noWrap/>
            <w:hideMark/>
          </w:tcPr>
          <w:p w14:paraId="22C8699E"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873</w:t>
            </w:r>
          </w:p>
        </w:tc>
        <w:tc>
          <w:tcPr>
            <w:tcW w:w="1290" w:type="dxa"/>
            <w:tcBorders>
              <w:top w:val="nil"/>
              <w:left w:val="nil"/>
              <w:right w:val="single" w:sz="4" w:space="0" w:color="auto"/>
            </w:tcBorders>
          </w:tcPr>
          <w:p w14:paraId="7D8896E1"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864</w:t>
            </w:r>
          </w:p>
        </w:tc>
        <w:tc>
          <w:tcPr>
            <w:tcW w:w="1290" w:type="dxa"/>
            <w:tcBorders>
              <w:top w:val="nil"/>
              <w:left w:val="single" w:sz="4" w:space="0" w:color="auto"/>
              <w:right w:val="nil"/>
            </w:tcBorders>
          </w:tcPr>
          <w:p w14:paraId="7C1136B0"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527</w:t>
            </w:r>
          </w:p>
        </w:tc>
        <w:tc>
          <w:tcPr>
            <w:tcW w:w="1290" w:type="dxa"/>
            <w:tcBorders>
              <w:top w:val="nil"/>
              <w:left w:val="nil"/>
              <w:right w:val="single" w:sz="4" w:space="0" w:color="auto"/>
            </w:tcBorders>
          </w:tcPr>
          <w:p w14:paraId="3B6BEF01" w14:textId="77777777" w:rsidR="001037BE" w:rsidRPr="00BF0D27" w:rsidRDefault="001037BE" w:rsidP="00CE2FDF">
            <w:pPr>
              <w:keepNext/>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142</w:t>
            </w:r>
          </w:p>
        </w:tc>
      </w:tr>
      <w:tr w:rsidR="00D574FC" w:rsidRPr="00BF0D27" w14:paraId="190B736F"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058EFD1A" w14:textId="77777777" w:rsidR="001037BE" w:rsidRPr="00BF0D27" w:rsidRDefault="001037BE" w:rsidP="00CE2FDF">
            <w:pPr>
              <w:spacing w:before="0" w:after="60" w:line="276" w:lineRule="auto"/>
              <w:rPr>
                <w:rFonts w:cs="Arial"/>
                <w:b w:val="0"/>
                <w:bCs w:val="0"/>
                <w:color w:val="auto"/>
                <w:sz w:val="20"/>
                <w:szCs w:val="20"/>
              </w:rPr>
            </w:pPr>
            <w:r w:rsidRPr="00BF0D27">
              <w:rPr>
                <w:rFonts w:cs="Arial"/>
                <w:color w:val="auto"/>
                <w:sz w:val="20"/>
                <w:szCs w:val="20"/>
              </w:rPr>
              <w:t>2006</w:t>
            </w:r>
          </w:p>
        </w:tc>
        <w:tc>
          <w:tcPr>
            <w:tcW w:w="1289" w:type="dxa"/>
            <w:tcBorders>
              <w:left w:val="single" w:sz="4" w:space="0" w:color="auto"/>
            </w:tcBorders>
            <w:noWrap/>
            <w:hideMark/>
          </w:tcPr>
          <w:p w14:paraId="5990733C"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883</w:t>
            </w:r>
          </w:p>
        </w:tc>
        <w:tc>
          <w:tcPr>
            <w:tcW w:w="1290" w:type="dxa"/>
            <w:tcBorders>
              <w:right w:val="single" w:sz="4" w:space="0" w:color="auto"/>
            </w:tcBorders>
          </w:tcPr>
          <w:p w14:paraId="15A1A5C2"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684</w:t>
            </w:r>
          </w:p>
        </w:tc>
        <w:tc>
          <w:tcPr>
            <w:tcW w:w="1290" w:type="dxa"/>
          </w:tcPr>
          <w:p w14:paraId="7560B899"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591</w:t>
            </w:r>
          </w:p>
        </w:tc>
        <w:tc>
          <w:tcPr>
            <w:tcW w:w="1290" w:type="dxa"/>
          </w:tcPr>
          <w:p w14:paraId="1A96BD78"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560</w:t>
            </w:r>
          </w:p>
        </w:tc>
        <w:tc>
          <w:tcPr>
            <w:tcW w:w="1290" w:type="dxa"/>
            <w:tcBorders>
              <w:left w:val="single" w:sz="4" w:space="0" w:color="auto"/>
            </w:tcBorders>
            <w:noWrap/>
            <w:hideMark/>
          </w:tcPr>
          <w:p w14:paraId="23EF700C"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773</w:t>
            </w:r>
          </w:p>
        </w:tc>
        <w:tc>
          <w:tcPr>
            <w:tcW w:w="1290" w:type="dxa"/>
            <w:tcBorders>
              <w:right w:val="single" w:sz="4" w:space="0" w:color="auto"/>
            </w:tcBorders>
          </w:tcPr>
          <w:p w14:paraId="33AA52D4"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767</w:t>
            </w:r>
          </w:p>
        </w:tc>
        <w:tc>
          <w:tcPr>
            <w:tcW w:w="1290" w:type="dxa"/>
            <w:tcBorders>
              <w:left w:val="single" w:sz="4" w:space="0" w:color="auto"/>
            </w:tcBorders>
            <w:noWrap/>
            <w:hideMark/>
          </w:tcPr>
          <w:p w14:paraId="28385A05"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818</w:t>
            </w:r>
          </w:p>
        </w:tc>
        <w:tc>
          <w:tcPr>
            <w:tcW w:w="1290" w:type="dxa"/>
            <w:tcBorders>
              <w:right w:val="single" w:sz="4" w:space="0" w:color="auto"/>
            </w:tcBorders>
          </w:tcPr>
          <w:p w14:paraId="14E244D7"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812</w:t>
            </w:r>
          </w:p>
        </w:tc>
        <w:tc>
          <w:tcPr>
            <w:tcW w:w="1290" w:type="dxa"/>
            <w:tcBorders>
              <w:left w:val="single" w:sz="4" w:space="0" w:color="auto"/>
            </w:tcBorders>
          </w:tcPr>
          <w:p w14:paraId="4777A979"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474</w:t>
            </w:r>
          </w:p>
        </w:tc>
        <w:tc>
          <w:tcPr>
            <w:tcW w:w="1290" w:type="dxa"/>
            <w:tcBorders>
              <w:right w:val="single" w:sz="4" w:space="0" w:color="auto"/>
            </w:tcBorders>
          </w:tcPr>
          <w:p w14:paraId="54AD57BB"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083</w:t>
            </w:r>
          </w:p>
        </w:tc>
      </w:tr>
      <w:tr w:rsidR="00D574FC" w:rsidRPr="00BF0D27" w14:paraId="74EA4586"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67581C46" w14:textId="77777777" w:rsidR="001037BE" w:rsidRPr="00BF0D27" w:rsidRDefault="001037BE" w:rsidP="00CE2FDF">
            <w:pPr>
              <w:spacing w:before="0" w:after="60" w:line="276" w:lineRule="auto"/>
              <w:rPr>
                <w:rFonts w:cs="Arial"/>
                <w:b w:val="0"/>
                <w:bCs w:val="0"/>
                <w:color w:val="auto"/>
                <w:sz w:val="20"/>
                <w:szCs w:val="20"/>
              </w:rPr>
            </w:pPr>
            <w:r w:rsidRPr="00BF0D27">
              <w:rPr>
                <w:rFonts w:cs="Arial"/>
                <w:color w:val="auto"/>
                <w:sz w:val="20"/>
                <w:szCs w:val="20"/>
              </w:rPr>
              <w:t>2007</w:t>
            </w:r>
          </w:p>
        </w:tc>
        <w:tc>
          <w:tcPr>
            <w:tcW w:w="1289" w:type="dxa"/>
            <w:tcBorders>
              <w:left w:val="single" w:sz="4" w:space="0" w:color="auto"/>
            </w:tcBorders>
            <w:noWrap/>
            <w:hideMark/>
          </w:tcPr>
          <w:p w14:paraId="3A41970D"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668</w:t>
            </w:r>
          </w:p>
        </w:tc>
        <w:tc>
          <w:tcPr>
            <w:tcW w:w="1290" w:type="dxa"/>
            <w:tcBorders>
              <w:right w:val="single" w:sz="4" w:space="0" w:color="auto"/>
            </w:tcBorders>
          </w:tcPr>
          <w:p w14:paraId="014C9D9A"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593</w:t>
            </w:r>
          </w:p>
        </w:tc>
        <w:tc>
          <w:tcPr>
            <w:tcW w:w="1290" w:type="dxa"/>
          </w:tcPr>
          <w:p w14:paraId="7346C22F"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445</w:t>
            </w:r>
          </w:p>
        </w:tc>
        <w:tc>
          <w:tcPr>
            <w:tcW w:w="1290" w:type="dxa"/>
          </w:tcPr>
          <w:p w14:paraId="7C94697A"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419</w:t>
            </w:r>
          </w:p>
        </w:tc>
        <w:tc>
          <w:tcPr>
            <w:tcW w:w="1290" w:type="dxa"/>
            <w:tcBorders>
              <w:left w:val="single" w:sz="4" w:space="0" w:color="auto"/>
            </w:tcBorders>
            <w:noWrap/>
            <w:hideMark/>
          </w:tcPr>
          <w:p w14:paraId="649F61FB"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671</w:t>
            </w:r>
          </w:p>
        </w:tc>
        <w:tc>
          <w:tcPr>
            <w:tcW w:w="1290" w:type="dxa"/>
            <w:tcBorders>
              <w:right w:val="single" w:sz="4" w:space="0" w:color="auto"/>
            </w:tcBorders>
          </w:tcPr>
          <w:p w14:paraId="517ED358"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668</w:t>
            </w:r>
          </w:p>
        </w:tc>
        <w:tc>
          <w:tcPr>
            <w:tcW w:w="1290" w:type="dxa"/>
            <w:tcBorders>
              <w:left w:val="single" w:sz="4" w:space="0" w:color="auto"/>
              <w:right w:val="nil"/>
            </w:tcBorders>
            <w:noWrap/>
            <w:hideMark/>
          </w:tcPr>
          <w:p w14:paraId="097EA5CC"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774</w:t>
            </w:r>
          </w:p>
        </w:tc>
        <w:tc>
          <w:tcPr>
            <w:tcW w:w="1290" w:type="dxa"/>
            <w:tcBorders>
              <w:left w:val="nil"/>
              <w:right w:val="single" w:sz="4" w:space="0" w:color="auto"/>
            </w:tcBorders>
          </w:tcPr>
          <w:p w14:paraId="5AAB39E1"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764</w:t>
            </w:r>
          </w:p>
        </w:tc>
        <w:tc>
          <w:tcPr>
            <w:tcW w:w="1290" w:type="dxa"/>
            <w:tcBorders>
              <w:left w:val="single" w:sz="4" w:space="0" w:color="auto"/>
              <w:right w:val="nil"/>
            </w:tcBorders>
          </w:tcPr>
          <w:p w14:paraId="75D86479"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3</w:t>
            </w:r>
            <w:r>
              <w:rPr>
                <w:rFonts w:eastAsia="Times New Roman" w:cs="Arial"/>
                <w:b/>
                <w:color w:val="auto"/>
                <w:sz w:val="20"/>
                <w:szCs w:val="20"/>
                <w:lang w:eastAsia="en-AU"/>
              </w:rPr>
              <w:t>,</w:t>
            </w:r>
            <w:r w:rsidRPr="00BF0D27">
              <w:rPr>
                <w:rFonts w:eastAsia="Times New Roman" w:cs="Arial"/>
                <w:b/>
                <w:color w:val="auto"/>
                <w:sz w:val="20"/>
                <w:szCs w:val="20"/>
                <w:lang w:eastAsia="en-AU"/>
              </w:rPr>
              <w:t>113</w:t>
            </w:r>
          </w:p>
        </w:tc>
        <w:tc>
          <w:tcPr>
            <w:tcW w:w="1290" w:type="dxa"/>
            <w:tcBorders>
              <w:left w:val="nil"/>
              <w:right w:val="single" w:sz="4" w:space="0" w:color="auto"/>
            </w:tcBorders>
          </w:tcPr>
          <w:p w14:paraId="099359D7"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2</w:t>
            </w:r>
            <w:r>
              <w:rPr>
                <w:rFonts w:eastAsia="Times New Roman" w:cs="Arial"/>
                <w:b/>
                <w:color w:val="auto"/>
                <w:sz w:val="20"/>
                <w:szCs w:val="20"/>
                <w:lang w:eastAsia="en-AU"/>
              </w:rPr>
              <w:t>,</w:t>
            </w:r>
            <w:r w:rsidRPr="00BF0D27">
              <w:rPr>
                <w:rFonts w:eastAsia="Times New Roman" w:cs="Arial"/>
                <w:b/>
                <w:color w:val="auto"/>
                <w:sz w:val="20"/>
                <w:szCs w:val="20"/>
                <w:lang w:eastAsia="en-AU"/>
              </w:rPr>
              <w:t>932</w:t>
            </w:r>
          </w:p>
        </w:tc>
      </w:tr>
      <w:tr w:rsidR="00F2448E" w:rsidRPr="00BF0D27" w14:paraId="3A743A37"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5A7A1D44" w14:textId="77777777" w:rsidR="001037BE" w:rsidRPr="00BF0D27" w:rsidRDefault="001037BE" w:rsidP="00CE2FDF">
            <w:pPr>
              <w:spacing w:before="0" w:after="60" w:line="276" w:lineRule="auto"/>
              <w:rPr>
                <w:rFonts w:cs="Arial"/>
                <w:b w:val="0"/>
                <w:bCs w:val="0"/>
                <w:color w:val="auto"/>
                <w:sz w:val="20"/>
                <w:szCs w:val="20"/>
              </w:rPr>
            </w:pPr>
            <w:r w:rsidRPr="00BF0D27">
              <w:rPr>
                <w:rFonts w:cs="Arial"/>
                <w:color w:val="auto"/>
                <w:sz w:val="20"/>
                <w:szCs w:val="20"/>
              </w:rPr>
              <w:t>2008</w:t>
            </w:r>
          </w:p>
        </w:tc>
        <w:tc>
          <w:tcPr>
            <w:tcW w:w="1289" w:type="dxa"/>
            <w:tcBorders>
              <w:left w:val="single" w:sz="4" w:space="0" w:color="auto"/>
            </w:tcBorders>
            <w:noWrap/>
            <w:hideMark/>
          </w:tcPr>
          <w:p w14:paraId="19C18FA6"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797</w:t>
            </w:r>
          </w:p>
        </w:tc>
        <w:tc>
          <w:tcPr>
            <w:tcW w:w="1290" w:type="dxa"/>
            <w:tcBorders>
              <w:right w:val="single" w:sz="4" w:space="0" w:color="auto"/>
            </w:tcBorders>
          </w:tcPr>
          <w:p w14:paraId="31B093E5"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645</w:t>
            </w:r>
          </w:p>
        </w:tc>
        <w:tc>
          <w:tcPr>
            <w:tcW w:w="1290" w:type="dxa"/>
          </w:tcPr>
          <w:p w14:paraId="5E2681B2"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329</w:t>
            </w:r>
          </w:p>
        </w:tc>
        <w:tc>
          <w:tcPr>
            <w:tcW w:w="1290" w:type="dxa"/>
          </w:tcPr>
          <w:p w14:paraId="064A6AC6"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308</w:t>
            </w:r>
          </w:p>
        </w:tc>
        <w:tc>
          <w:tcPr>
            <w:tcW w:w="1290" w:type="dxa"/>
            <w:tcBorders>
              <w:left w:val="single" w:sz="4" w:space="0" w:color="auto"/>
            </w:tcBorders>
            <w:noWrap/>
            <w:hideMark/>
          </w:tcPr>
          <w:p w14:paraId="6FEEF0FD"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634</w:t>
            </w:r>
          </w:p>
        </w:tc>
        <w:tc>
          <w:tcPr>
            <w:tcW w:w="1290" w:type="dxa"/>
            <w:tcBorders>
              <w:right w:val="single" w:sz="4" w:space="0" w:color="auto"/>
            </w:tcBorders>
          </w:tcPr>
          <w:p w14:paraId="3CA0098E"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632</w:t>
            </w:r>
          </w:p>
        </w:tc>
        <w:tc>
          <w:tcPr>
            <w:tcW w:w="1290" w:type="dxa"/>
            <w:tcBorders>
              <w:left w:val="single" w:sz="4" w:space="0" w:color="auto"/>
            </w:tcBorders>
            <w:noWrap/>
            <w:hideMark/>
          </w:tcPr>
          <w:p w14:paraId="629B58F0"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695</w:t>
            </w:r>
          </w:p>
        </w:tc>
        <w:tc>
          <w:tcPr>
            <w:tcW w:w="1290" w:type="dxa"/>
            <w:tcBorders>
              <w:right w:val="single" w:sz="4" w:space="0" w:color="auto"/>
            </w:tcBorders>
          </w:tcPr>
          <w:p w14:paraId="7CAFCC8B"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686</w:t>
            </w:r>
          </w:p>
        </w:tc>
        <w:tc>
          <w:tcPr>
            <w:tcW w:w="1290" w:type="dxa"/>
            <w:tcBorders>
              <w:left w:val="single" w:sz="4" w:space="0" w:color="auto"/>
            </w:tcBorders>
          </w:tcPr>
          <w:p w14:paraId="7F46FD22"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126</w:t>
            </w:r>
          </w:p>
        </w:tc>
        <w:tc>
          <w:tcPr>
            <w:tcW w:w="1290" w:type="dxa"/>
            <w:tcBorders>
              <w:right w:val="single" w:sz="4" w:space="0" w:color="auto"/>
            </w:tcBorders>
          </w:tcPr>
          <w:p w14:paraId="6169FF4E"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3</w:t>
            </w:r>
            <w:r>
              <w:rPr>
                <w:rFonts w:eastAsia="Times New Roman" w:cs="Arial"/>
                <w:b/>
                <w:color w:val="auto"/>
                <w:sz w:val="20"/>
                <w:szCs w:val="20"/>
                <w:lang w:eastAsia="en-AU"/>
              </w:rPr>
              <w:t>,</w:t>
            </w:r>
            <w:r w:rsidRPr="00BF0D27">
              <w:rPr>
                <w:rFonts w:eastAsia="Times New Roman" w:cs="Arial"/>
                <w:b/>
                <w:color w:val="auto"/>
                <w:sz w:val="20"/>
                <w:szCs w:val="20"/>
                <w:lang w:eastAsia="en-AU"/>
              </w:rPr>
              <w:t>777</w:t>
            </w:r>
          </w:p>
        </w:tc>
      </w:tr>
      <w:tr w:rsidR="00D574FC" w:rsidRPr="00BF0D27" w14:paraId="21A8CB09"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17EA1285" w14:textId="77777777" w:rsidR="001037BE" w:rsidRPr="00BF0D27" w:rsidRDefault="001037BE" w:rsidP="00CE2FDF">
            <w:pPr>
              <w:spacing w:before="0" w:after="60" w:line="276" w:lineRule="auto"/>
              <w:rPr>
                <w:rFonts w:cs="Arial"/>
                <w:b w:val="0"/>
                <w:bCs w:val="0"/>
                <w:color w:val="auto"/>
                <w:sz w:val="20"/>
                <w:szCs w:val="20"/>
              </w:rPr>
            </w:pPr>
            <w:r w:rsidRPr="00BF0D27">
              <w:rPr>
                <w:rFonts w:cs="Arial"/>
                <w:color w:val="auto"/>
                <w:sz w:val="20"/>
                <w:szCs w:val="20"/>
              </w:rPr>
              <w:t>2009</w:t>
            </w:r>
          </w:p>
        </w:tc>
        <w:tc>
          <w:tcPr>
            <w:tcW w:w="1289" w:type="dxa"/>
            <w:tcBorders>
              <w:left w:val="single" w:sz="4" w:space="0" w:color="auto"/>
            </w:tcBorders>
            <w:noWrap/>
            <w:hideMark/>
          </w:tcPr>
          <w:p w14:paraId="09D5372F"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871</w:t>
            </w:r>
          </w:p>
        </w:tc>
        <w:tc>
          <w:tcPr>
            <w:tcW w:w="1290" w:type="dxa"/>
            <w:tcBorders>
              <w:right w:val="single" w:sz="4" w:space="0" w:color="auto"/>
            </w:tcBorders>
          </w:tcPr>
          <w:p w14:paraId="53B2C8C2"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685</w:t>
            </w:r>
          </w:p>
        </w:tc>
        <w:tc>
          <w:tcPr>
            <w:tcW w:w="1290" w:type="dxa"/>
          </w:tcPr>
          <w:p w14:paraId="0CCCADA5"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302</w:t>
            </w:r>
          </w:p>
        </w:tc>
        <w:tc>
          <w:tcPr>
            <w:tcW w:w="1290" w:type="dxa"/>
          </w:tcPr>
          <w:p w14:paraId="232E4D63"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274</w:t>
            </w:r>
          </w:p>
        </w:tc>
        <w:tc>
          <w:tcPr>
            <w:tcW w:w="1290" w:type="dxa"/>
            <w:tcBorders>
              <w:left w:val="single" w:sz="4" w:space="0" w:color="auto"/>
            </w:tcBorders>
            <w:noWrap/>
            <w:hideMark/>
          </w:tcPr>
          <w:p w14:paraId="425B9C84"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655</w:t>
            </w:r>
          </w:p>
        </w:tc>
        <w:tc>
          <w:tcPr>
            <w:tcW w:w="1290" w:type="dxa"/>
            <w:tcBorders>
              <w:right w:val="single" w:sz="4" w:space="0" w:color="auto"/>
            </w:tcBorders>
          </w:tcPr>
          <w:p w14:paraId="4F904DB7"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647</w:t>
            </w:r>
          </w:p>
        </w:tc>
        <w:tc>
          <w:tcPr>
            <w:tcW w:w="1290" w:type="dxa"/>
            <w:tcBorders>
              <w:left w:val="single" w:sz="4" w:space="0" w:color="auto"/>
              <w:right w:val="nil"/>
            </w:tcBorders>
            <w:noWrap/>
            <w:hideMark/>
          </w:tcPr>
          <w:p w14:paraId="6E02568B"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647</w:t>
            </w:r>
          </w:p>
        </w:tc>
        <w:tc>
          <w:tcPr>
            <w:tcW w:w="1290" w:type="dxa"/>
            <w:tcBorders>
              <w:left w:val="nil"/>
              <w:right w:val="single" w:sz="4" w:space="0" w:color="auto"/>
            </w:tcBorders>
          </w:tcPr>
          <w:p w14:paraId="6ABF165E"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639</w:t>
            </w:r>
          </w:p>
        </w:tc>
        <w:tc>
          <w:tcPr>
            <w:tcW w:w="1290" w:type="dxa"/>
            <w:tcBorders>
              <w:left w:val="single" w:sz="4" w:space="0" w:color="auto"/>
              <w:right w:val="nil"/>
            </w:tcBorders>
          </w:tcPr>
          <w:p w14:paraId="3FCA085D"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w:t>
            </w:r>
            <w:r>
              <w:rPr>
                <w:rFonts w:eastAsia="Times New Roman" w:cs="Arial"/>
                <w:b/>
                <w:color w:val="auto"/>
                <w:sz w:val="20"/>
                <w:szCs w:val="20"/>
                <w:lang w:eastAsia="en-AU"/>
              </w:rPr>
              <w:t>,</w:t>
            </w:r>
            <w:r w:rsidRPr="00BF0D27">
              <w:rPr>
                <w:rFonts w:eastAsia="Times New Roman" w:cs="Arial"/>
                <w:b/>
                <w:color w:val="auto"/>
                <w:sz w:val="20"/>
                <w:szCs w:val="20"/>
                <w:lang w:eastAsia="en-AU"/>
              </w:rPr>
              <w:t>173</w:t>
            </w:r>
          </w:p>
        </w:tc>
        <w:tc>
          <w:tcPr>
            <w:tcW w:w="1290" w:type="dxa"/>
            <w:tcBorders>
              <w:left w:val="nil"/>
              <w:right w:val="single" w:sz="4" w:space="0" w:color="auto"/>
            </w:tcBorders>
          </w:tcPr>
          <w:p w14:paraId="44AFA70F"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3</w:t>
            </w:r>
            <w:r>
              <w:rPr>
                <w:rFonts w:eastAsia="Times New Roman" w:cs="Arial"/>
                <w:b/>
                <w:color w:val="auto"/>
                <w:sz w:val="20"/>
                <w:szCs w:val="20"/>
                <w:lang w:eastAsia="en-AU"/>
              </w:rPr>
              <w:t>,</w:t>
            </w:r>
            <w:r w:rsidRPr="00BF0D27">
              <w:rPr>
                <w:rFonts w:eastAsia="Times New Roman" w:cs="Arial"/>
                <w:b/>
                <w:color w:val="auto"/>
                <w:sz w:val="20"/>
                <w:szCs w:val="20"/>
                <w:lang w:eastAsia="en-AU"/>
              </w:rPr>
              <w:t>832</w:t>
            </w:r>
          </w:p>
        </w:tc>
      </w:tr>
      <w:tr w:rsidR="00D574FC" w:rsidRPr="00BF0D27" w14:paraId="3326ADD9"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6381D0EA" w14:textId="77777777" w:rsidR="001037BE" w:rsidRPr="00BF0D27" w:rsidRDefault="001037BE" w:rsidP="00CE2FDF">
            <w:pPr>
              <w:spacing w:before="0" w:after="60" w:line="276" w:lineRule="auto"/>
              <w:rPr>
                <w:rFonts w:cs="Arial"/>
                <w:b w:val="0"/>
                <w:bCs w:val="0"/>
                <w:color w:val="auto"/>
                <w:sz w:val="20"/>
                <w:szCs w:val="20"/>
              </w:rPr>
            </w:pPr>
            <w:r w:rsidRPr="00BF0D27">
              <w:rPr>
                <w:rFonts w:cs="Arial"/>
                <w:color w:val="auto"/>
                <w:sz w:val="20"/>
                <w:szCs w:val="20"/>
              </w:rPr>
              <w:t>2010</w:t>
            </w:r>
          </w:p>
        </w:tc>
        <w:tc>
          <w:tcPr>
            <w:tcW w:w="1289" w:type="dxa"/>
            <w:tcBorders>
              <w:left w:val="single" w:sz="4" w:space="0" w:color="auto"/>
            </w:tcBorders>
            <w:noWrap/>
            <w:hideMark/>
          </w:tcPr>
          <w:p w14:paraId="06388724"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935</w:t>
            </w:r>
          </w:p>
        </w:tc>
        <w:tc>
          <w:tcPr>
            <w:tcW w:w="1290" w:type="dxa"/>
            <w:tcBorders>
              <w:right w:val="single" w:sz="4" w:space="0" w:color="auto"/>
            </w:tcBorders>
          </w:tcPr>
          <w:p w14:paraId="41A5134B"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733</w:t>
            </w:r>
          </w:p>
        </w:tc>
        <w:tc>
          <w:tcPr>
            <w:tcW w:w="1290" w:type="dxa"/>
          </w:tcPr>
          <w:p w14:paraId="74E20C52"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935</w:t>
            </w:r>
          </w:p>
        </w:tc>
        <w:tc>
          <w:tcPr>
            <w:tcW w:w="1290" w:type="dxa"/>
          </w:tcPr>
          <w:p w14:paraId="1EFF8B18"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882</w:t>
            </w:r>
          </w:p>
        </w:tc>
        <w:tc>
          <w:tcPr>
            <w:tcW w:w="1290" w:type="dxa"/>
            <w:tcBorders>
              <w:left w:val="single" w:sz="4" w:space="0" w:color="auto"/>
            </w:tcBorders>
            <w:noWrap/>
            <w:hideMark/>
          </w:tcPr>
          <w:p w14:paraId="4C87E15F"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989</w:t>
            </w:r>
          </w:p>
        </w:tc>
        <w:tc>
          <w:tcPr>
            <w:tcW w:w="1290" w:type="dxa"/>
            <w:tcBorders>
              <w:right w:val="single" w:sz="4" w:space="0" w:color="auto"/>
            </w:tcBorders>
          </w:tcPr>
          <w:p w14:paraId="13DDE88F"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984</w:t>
            </w:r>
          </w:p>
        </w:tc>
        <w:tc>
          <w:tcPr>
            <w:tcW w:w="1290" w:type="dxa"/>
            <w:tcBorders>
              <w:left w:val="single" w:sz="4" w:space="0" w:color="auto"/>
            </w:tcBorders>
            <w:noWrap/>
            <w:hideMark/>
          </w:tcPr>
          <w:p w14:paraId="432F70C5"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1946</w:t>
            </w:r>
          </w:p>
        </w:tc>
        <w:tc>
          <w:tcPr>
            <w:tcW w:w="1290" w:type="dxa"/>
            <w:tcBorders>
              <w:right w:val="single" w:sz="4" w:space="0" w:color="auto"/>
            </w:tcBorders>
          </w:tcPr>
          <w:p w14:paraId="0E05FF99"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924</w:t>
            </w:r>
          </w:p>
        </w:tc>
        <w:tc>
          <w:tcPr>
            <w:tcW w:w="1290" w:type="dxa"/>
            <w:tcBorders>
              <w:left w:val="single" w:sz="4" w:space="0" w:color="auto"/>
            </w:tcBorders>
          </w:tcPr>
          <w:p w14:paraId="172B55BE"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5</w:t>
            </w:r>
            <w:r>
              <w:rPr>
                <w:rFonts w:eastAsia="Times New Roman" w:cs="Arial"/>
                <w:b/>
                <w:color w:val="auto"/>
                <w:sz w:val="20"/>
                <w:szCs w:val="20"/>
                <w:lang w:eastAsia="en-AU"/>
              </w:rPr>
              <w:t>,</w:t>
            </w:r>
            <w:r w:rsidRPr="00BF0D27">
              <w:rPr>
                <w:rFonts w:eastAsia="Times New Roman" w:cs="Arial"/>
                <w:b/>
                <w:color w:val="auto"/>
                <w:sz w:val="20"/>
                <w:szCs w:val="20"/>
                <w:lang w:eastAsia="en-AU"/>
              </w:rPr>
              <w:t>870</w:t>
            </w:r>
          </w:p>
        </w:tc>
        <w:tc>
          <w:tcPr>
            <w:tcW w:w="1290" w:type="dxa"/>
            <w:tcBorders>
              <w:right w:val="single" w:sz="4" w:space="0" w:color="auto"/>
            </w:tcBorders>
          </w:tcPr>
          <w:p w14:paraId="74852699"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5</w:t>
            </w:r>
            <w:r>
              <w:rPr>
                <w:rFonts w:eastAsia="Times New Roman" w:cs="Arial"/>
                <w:b/>
                <w:color w:val="auto"/>
                <w:sz w:val="20"/>
                <w:szCs w:val="20"/>
                <w:lang w:eastAsia="en-AU"/>
              </w:rPr>
              <w:t>,</w:t>
            </w:r>
            <w:r w:rsidRPr="00BF0D27">
              <w:rPr>
                <w:rFonts w:eastAsia="Times New Roman" w:cs="Arial"/>
                <w:b/>
                <w:color w:val="auto"/>
                <w:sz w:val="20"/>
                <w:szCs w:val="20"/>
                <w:lang w:eastAsia="en-AU"/>
              </w:rPr>
              <w:t>445</w:t>
            </w:r>
          </w:p>
        </w:tc>
      </w:tr>
      <w:tr w:rsidR="00D574FC" w:rsidRPr="00BF0D27" w14:paraId="5FF6192C"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right w:val="single" w:sz="4" w:space="0" w:color="auto"/>
            </w:tcBorders>
          </w:tcPr>
          <w:p w14:paraId="6DE837D2" w14:textId="77777777" w:rsidR="001037BE" w:rsidRPr="00BF0D27" w:rsidRDefault="001037BE" w:rsidP="00CE2FDF">
            <w:pPr>
              <w:spacing w:before="0" w:after="60" w:line="276" w:lineRule="auto"/>
              <w:rPr>
                <w:rFonts w:cs="Arial"/>
                <w:b w:val="0"/>
                <w:bCs w:val="0"/>
                <w:color w:val="auto"/>
                <w:sz w:val="20"/>
                <w:szCs w:val="20"/>
              </w:rPr>
            </w:pPr>
            <w:r w:rsidRPr="00BF0D27">
              <w:rPr>
                <w:rFonts w:cs="Arial"/>
                <w:color w:val="auto"/>
                <w:sz w:val="20"/>
                <w:szCs w:val="20"/>
              </w:rPr>
              <w:t>2011</w:t>
            </w:r>
          </w:p>
        </w:tc>
        <w:tc>
          <w:tcPr>
            <w:tcW w:w="1289" w:type="dxa"/>
            <w:tcBorders>
              <w:left w:val="single" w:sz="4" w:space="0" w:color="auto"/>
            </w:tcBorders>
            <w:noWrap/>
            <w:hideMark/>
          </w:tcPr>
          <w:p w14:paraId="00B252E7"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367</w:t>
            </w:r>
          </w:p>
        </w:tc>
        <w:tc>
          <w:tcPr>
            <w:tcW w:w="1290" w:type="dxa"/>
            <w:tcBorders>
              <w:right w:val="single" w:sz="4" w:space="0" w:color="auto"/>
            </w:tcBorders>
          </w:tcPr>
          <w:p w14:paraId="542312B3"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111</w:t>
            </w:r>
          </w:p>
        </w:tc>
        <w:tc>
          <w:tcPr>
            <w:tcW w:w="1290" w:type="dxa"/>
          </w:tcPr>
          <w:p w14:paraId="6091525D"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898</w:t>
            </w:r>
          </w:p>
        </w:tc>
        <w:tc>
          <w:tcPr>
            <w:tcW w:w="1290" w:type="dxa"/>
          </w:tcPr>
          <w:p w14:paraId="4211B052"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2</w:t>
            </w:r>
            <w:r>
              <w:rPr>
                <w:rFonts w:eastAsia="Times New Roman" w:cs="Arial"/>
                <w:color w:val="auto"/>
                <w:sz w:val="20"/>
                <w:szCs w:val="20"/>
                <w:lang w:eastAsia="en-AU"/>
              </w:rPr>
              <w:t>,</w:t>
            </w:r>
            <w:r w:rsidRPr="00BF0D27">
              <w:rPr>
                <w:rFonts w:eastAsia="Times New Roman" w:cs="Arial"/>
                <w:color w:val="auto"/>
                <w:sz w:val="20"/>
                <w:szCs w:val="20"/>
                <w:lang w:eastAsia="en-AU"/>
              </w:rPr>
              <w:t>817</w:t>
            </w:r>
          </w:p>
        </w:tc>
        <w:tc>
          <w:tcPr>
            <w:tcW w:w="1290" w:type="dxa"/>
            <w:tcBorders>
              <w:left w:val="single" w:sz="4" w:space="0" w:color="auto"/>
            </w:tcBorders>
            <w:noWrap/>
            <w:hideMark/>
          </w:tcPr>
          <w:p w14:paraId="3BA62144"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230</w:t>
            </w:r>
          </w:p>
        </w:tc>
        <w:tc>
          <w:tcPr>
            <w:tcW w:w="1290" w:type="dxa"/>
            <w:tcBorders>
              <w:right w:val="single" w:sz="4" w:space="0" w:color="auto"/>
            </w:tcBorders>
          </w:tcPr>
          <w:p w14:paraId="6F57019F"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218</w:t>
            </w:r>
          </w:p>
        </w:tc>
        <w:tc>
          <w:tcPr>
            <w:tcW w:w="1290" w:type="dxa"/>
            <w:tcBorders>
              <w:left w:val="single" w:sz="4" w:space="0" w:color="auto"/>
              <w:right w:val="nil"/>
            </w:tcBorders>
            <w:noWrap/>
            <w:hideMark/>
          </w:tcPr>
          <w:p w14:paraId="77E61B62"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668</w:t>
            </w:r>
          </w:p>
        </w:tc>
        <w:tc>
          <w:tcPr>
            <w:tcW w:w="1290" w:type="dxa"/>
            <w:tcBorders>
              <w:left w:val="nil"/>
              <w:right w:val="single" w:sz="4" w:space="0" w:color="auto"/>
            </w:tcBorders>
          </w:tcPr>
          <w:p w14:paraId="51B56AB9"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632</w:t>
            </w:r>
          </w:p>
        </w:tc>
        <w:tc>
          <w:tcPr>
            <w:tcW w:w="1290" w:type="dxa"/>
            <w:tcBorders>
              <w:left w:val="single" w:sz="4" w:space="0" w:color="auto"/>
              <w:right w:val="nil"/>
            </w:tcBorders>
          </w:tcPr>
          <w:p w14:paraId="37CC193E"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6</w:t>
            </w:r>
            <w:r>
              <w:rPr>
                <w:rFonts w:eastAsia="Times New Roman" w:cs="Arial"/>
                <w:b/>
                <w:color w:val="auto"/>
                <w:sz w:val="20"/>
                <w:szCs w:val="20"/>
                <w:lang w:eastAsia="en-AU"/>
              </w:rPr>
              <w:t>,</w:t>
            </w:r>
            <w:r w:rsidRPr="00BF0D27">
              <w:rPr>
                <w:rFonts w:eastAsia="Times New Roman" w:cs="Arial"/>
                <w:b/>
                <w:color w:val="auto"/>
                <w:sz w:val="20"/>
                <w:szCs w:val="20"/>
                <w:lang w:eastAsia="en-AU"/>
              </w:rPr>
              <w:t>265</w:t>
            </w:r>
          </w:p>
        </w:tc>
        <w:tc>
          <w:tcPr>
            <w:tcW w:w="1290" w:type="dxa"/>
            <w:tcBorders>
              <w:left w:val="nil"/>
              <w:right w:val="single" w:sz="4" w:space="0" w:color="auto"/>
            </w:tcBorders>
          </w:tcPr>
          <w:p w14:paraId="2BF137CA"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5</w:t>
            </w:r>
            <w:r>
              <w:rPr>
                <w:rFonts w:eastAsia="Times New Roman" w:cs="Arial"/>
                <w:b/>
                <w:color w:val="auto"/>
                <w:sz w:val="20"/>
                <w:szCs w:val="20"/>
                <w:lang w:eastAsia="en-AU"/>
              </w:rPr>
              <w:t>,</w:t>
            </w:r>
            <w:r w:rsidRPr="00BF0D27">
              <w:rPr>
                <w:rFonts w:eastAsia="Times New Roman" w:cs="Arial"/>
                <w:b/>
                <w:color w:val="auto"/>
                <w:sz w:val="20"/>
                <w:szCs w:val="20"/>
                <w:lang w:eastAsia="en-AU"/>
              </w:rPr>
              <w:t>682</w:t>
            </w:r>
          </w:p>
        </w:tc>
      </w:tr>
      <w:tr w:rsidR="00F2448E" w:rsidRPr="00BF0D27" w14:paraId="3FD489FB" w14:textId="77777777" w:rsidTr="00F2448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auto"/>
              <w:bottom w:val="single" w:sz="4" w:space="0" w:color="auto"/>
              <w:right w:val="single" w:sz="4" w:space="0" w:color="auto"/>
            </w:tcBorders>
          </w:tcPr>
          <w:p w14:paraId="7F309030" w14:textId="77777777" w:rsidR="001037BE" w:rsidRPr="00BF0D27" w:rsidRDefault="001037BE" w:rsidP="00CE2FDF">
            <w:pPr>
              <w:spacing w:before="0" w:after="60" w:line="276" w:lineRule="auto"/>
              <w:rPr>
                <w:rFonts w:cs="Arial"/>
                <w:b w:val="0"/>
                <w:bCs w:val="0"/>
                <w:color w:val="auto"/>
                <w:sz w:val="20"/>
                <w:szCs w:val="20"/>
              </w:rPr>
            </w:pPr>
            <w:r w:rsidRPr="00BF0D27">
              <w:rPr>
                <w:rFonts w:cs="Arial"/>
                <w:color w:val="auto"/>
                <w:sz w:val="20"/>
                <w:szCs w:val="20"/>
              </w:rPr>
              <w:t>2012</w:t>
            </w:r>
          </w:p>
        </w:tc>
        <w:tc>
          <w:tcPr>
            <w:tcW w:w="1289" w:type="dxa"/>
            <w:tcBorders>
              <w:left w:val="single" w:sz="4" w:space="0" w:color="auto"/>
              <w:bottom w:val="single" w:sz="4" w:space="0" w:color="auto"/>
            </w:tcBorders>
            <w:noWrap/>
            <w:hideMark/>
          </w:tcPr>
          <w:p w14:paraId="05186E2A"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903</w:t>
            </w:r>
          </w:p>
        </w:tc>
        <w:tc>
          <w:tcPr>
            <w:tcW w:w="1290" w:type="dxa"/>
            <w:tcBorders>
              <w:bottom w:val="single" w:sz="4" w:space="0" w:color="auto"/>
              <w:right w:val="single" w:sz="4" w:space="0" w:color="auto"/>
            </w:tcBorders>
          </w:tcPr>
          <w:p w14:paraId="1546E3F4"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652</w:t>
            </w:r>
          </w:p>
        </w:tc>
        <w:tc>
          <w:tcPr>
            <w:tcW w:w="1290" w:type="dxa"/>
            <w:tcBorders>
              <w:bottom w:val="single" w:sz="4" w:space="0" w:color="auto"/>
            </w:tcBorders>
          </w:tcPr>
          <w:p w14:paraId="5BA3BEF0"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444</w:t>
            </w:r>
          </w:p>
        </w:tc>
        <w:tc>
          <w:tcPr>
            <w:tcW w:w="1290" w:type="dxa"/>
            <w:tcBorders>
              <w:bottom w:val="single" w:sz="4" w:space="0" w:color="auto"/>
            </w:tcBorders>
          </w:tcPr>
          <w:p w14:paraId="33E0D8FA"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3</w:t>
            </w:r>
            <w:r>
              <w:rPr>
                <w:rFonts w:eastAsia="Times New Roman" w:cs="Arial"/>
                <w:color w:val="auto"/>
                <w:sz w:val="20"/>
                <w:szCs w:val="20"/>
                <w:lang w:eastAsia="en-AU"/>
              </w:rPr>
              <w:t>,</w:t>
            </w:r>
            <w:r w:rsidRPr="00BF0D27">
              <w:rPr>
                <w:rFonts w:eastAsia="Times New Roman" w:cs="Arial"/>
                <w:color w:val="auto"/>
                <w:sz w:val="20"/>
                <w:szCs w:val="20"/>
                <w:lang w:eastAsia="en-AU"/>
              </w:rPr>
              <w:t>357</w:t>
            </w:r>
          </w:p>
        </w:tc>
        <w:tc>
          <w:tcPr>
            <w:tcW w:w="1290" w:type="dxa"/>
            <w:tcBorders>
              <w:left w:val="single" w:sz="4" w:space="0" w:color="auto"/>
              <w:bottom w:val="single" w:sz="4" w:space="0" w:color="auto"/>
            </w:tcBorders>
            <w:noWrap/>
            <w:hideMark/>
          </w:tcPr>
          <w:p w14:paraId="53F0B5DA"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463</w:t>
            </w:r>
          </w:p>
        </w:tc>
        <w:tc>
          <w:tcPr>
            <w:tcW w:w="1290" w:type="dxa"/>
            <w:tcBorders>
              <w:bottom w:val="single" w:sz="4" w:space="0" w:color="auto"/>
              <w:right w:val="single" w:sz="4" w:space="0" w:color="auto"/>
            </w:tcBorders>
          </w:tcPr>
          <w:p w14:paraId="547D4D87"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452</w:t>
            </w:r>
          </w:p>
        </w:tc>
        <w:tc>
          <w:tcPr>
            <w:tcW w:w="1290" w:type="dxa"/>
            <w:tcBorders>
              <w:left w:val="single" w:sz="4" w:space="0" w:color="auto"/>
              <w:bottom w:val="single" w:sz="4" w:space="0" w:color="auto"/>
            </w:tcBorders>
            <w:noWrap/>
            <w:hideMark/>
          </w:tcPr>
          <w:p w14:paraId="66140C02"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981</w:t>
            </w:r>
          </w:p>
        </w:tc>
        <w:tc>
          <w:tcPr>
            <w:tcW w:w="1290" w:type="dxa"/>
            <w:tcBorders>
              <w:bottom w:val="single" w:sz="4" w:space="0" w:color="auto"/>
              <w:right w:val="single" w:sz="4" w:space="0" w:color="auto"/>
            </w:tcBorders>
          </w:tcPr>
          <w:p w14:paraId="2A1D8C02"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AU"/>
              </w:rPr>
            </w:pPr>
            <w:r w:rsidRPr="00BF0D27">
              <w:rPr>
                <w:rFonts w:eastAsia="Times New Roman" w:cs="Arial"/>
                <w:color w:val="auto"/>
                <w:sz w:val="20"/>
                <w:szCs w:val="20"/>
                <w:lang w:eastAsia="en-AU"/>
              </w:rPr>
              <w:t>1</w:t>
            </w:r>
            <w:r>
              <w:rPr>
                <w:rFonts w:eastAsia="Times New Roman" w:cs="Arial"/>
                <w:color w:val="auto"/>
                <w:sz w:val="20"/>
                <w:szCs w:val="20"/>
                <w:lang w:eastAsia="en-AU"/>
              </w:rPr>
              <w:t>,</w:t>
            </w:r>
            <w:r w:rsidRPr="00BF0D27">
              <w:rPr>
                <w:rFonts w:eastAsia="Times New Roman" w:cs="Arial"/>
                <w:color w:val="auto"/>
                <w:sz w:val="20"/>
                <w:szCs w:val="20"/>
                <w:lang w:eastAsia="en-AU"/>
              </w:rPr>
              <w:t>945</w:t>
            </w:r>
          </w:p>
        </w:tc>
        <w:tc>
          <w:tcPr>
            <w:tcW w:w="1290" w:type="dxa"/>
            <w:tcBorders>
              <w:left w:val="single" w:sz="4" w:space="0" w:color="auto"/>
              <w:bottom w:val="single" w:sz="4" w:space="0" w:color="auto"/>
            </w:tcBorders>
          </w:tcPr>
          <w:p w14:paraId="4A90F60D"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7</w:t>
            </w:r>
            <w:r>
              <w:rPr>
                <w:rFonts w:eastAsia="Times New Roman" w:cs="Arial"/>
                <w:b/>
                <w:color w:val="auto"/>
                <w:sz w:val="20"/>
                <w:szCs w:val="20"/>
                <w:lang w:eastAsia="en-AU"/>
              </w:rPr>
              <w:t>,</w:t>
            </w:r>
            <w:r w:rsidRPr="00BF0D27">
              <w:rPr>
                <w:rFonts w:eastAsia="Times New Roman" w:cs="Arial"/>
                <w:b/>
                <w:color w:val="auto"/>
                <w:sz w:val="20"/>
                <w:szCs w:val="20"/>
                <w:lang w:eastAsia="en-AU"/>
              </w:rPr>
              <w:t>347</w:t>
            </w:r>
          </w:p>
        </w:tc>
        <w:tc>
          <w:tcPr>
            <w:tcW w:w="1290" w:type="dxa"/>
            <w:tcBorders>
              <w:bottom w:val="single" w:sz="4" w:space="0" w:color="auto"/>
              <w:right w:val="single" w:sz="4" w:space="0" w:color="auto"/>
            </w:tcBorders>
          </w:tcPr>
          <w:p w14:paraId="363C3BF2" w14:textId="77777777" w:rsidR="001037BE" w:rsidRPr="00BF0D27" w:rsidRDefault="001037BE" w:rsidP="00CE2FDF">
            <w:pPr>
              <w:spacing w:before="0" w:after="6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6</w:t>
            </w:r>
            <w:r>
              <w:rPr>
                <w:rFonts w:eastAsia="Times New Roman" w:cs="Arial"/>
                <w:b/>
                <w:color w:val="auto"/>
                <w:sz w:val="20"/>
                <w:szCs w:val="20"/>
                <w:lang w:eastAsia="en-AU"/>
              </w:rPr>
              <w:t>,</w:t>
            </w:r>
            <w:r w:rsidRPr="00BF0D27">
              <w:rPr>
                <w:rFonts w:eastAsia="Times New Roman" w:cs="Arial"/>
                <w:b/>
                <w:color w:val="auto"/>
                <w:sz w:val="20"/>
                <w:szCs w:val="20"/>
                <w:lang w:eastAsia="en-AU"/>
              </w:rPr>
              <w:t>775</w:t>
            </w:r>
          </w:p>
        </w:tc>
      </w:tr>
      <w:tr w:rsidR="002418F8" w:rsidRPr="00BF0D27" w14:paraId="5E46DF01" w14:textId="77777777" w:rsidTr="00F2448E">
        <w:trPr>
          <w:trHeight w:val="27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7BE3E92" w14:textId="77777777" w:rsidR="001037BE" w:rsidRPr="00BF0D27" w:rsidRDefault="001037BE" w:rsidP="00CE2FDF">
            <w:pPr>
              <w:spacing w:before="0" w:after="60" w:line="276" w:lineRule="auto"/>
              <w:rPr>
                <w:rFonts w:cs="Arial"/>
                <w:bCs w:val="0"/>
                <w:color w:val="auto"/>
                <w:sz w:val="20"/>
                <w:szCs w:val="20"/>
              </w:rPr>
            </w:pPr>
            <w:r w:rsidRPr="00BF0D27">
              <w:rPr>
                <w:rFonts w:cs="Arial"/>
                <w:color w:val="auto"/>
                <w:sz w:val="20"/>
                <w:szCs w:val="20"/>
              </w:rPr>
              <w:t>Totals:</w:t>
            </w:r>
          </w:p>
        </w:tc>
        <w:tc>
          <w:tcPr>
            <w:tcW w:w="1289" w:type="dxa"/>
            <w:tcBorders>
              <w:top w:val="single" w:sz="4" w:space="0" w:color="auto"/>
              <w:left w:val="single" w:sz="4" w:space="0" w:color="auto"/>
              <w:bottom w:val="single" w:sz="4" w:space="0" w:color="auto"/>
            </w:tcBorders>
            <w:shd w:val="clear" w:color="auto" w:fill="D99594" w:themeFill="accent2" w:themeFillTint="99"/>
            <w:noWrap/>
            <w:hideMark/>
          </w:tcPr>
          <w:p w14:paraId="38733F75"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28</w:t>
            </w:r>
            <w:r>
              <w:rPr>
                <w:rFonts w:eastAsia="Times New Roman" w:cs="Arial"/>
                <w:b/>
                <w:color w:val="auto"/>
                <w:sz w:val="20"/>
                <w:szCs w:val="20"/>
                <w:lang w:eastAsia="en-AU"/>
              </w:rPr>
              <w:t>,</w:t>
            </w:r>
            <w:r w:rsidRPr="00BF0D27">
              <w:rPr>
                <w:rFonts w:eastAsia="Times New Roman" w:cs="Arial"/>
                <w:b/>
                <w:color w:val="auto"/>
                <w:sz w:val="20"/>
                <w:szCs w:val="20"/>
                <w:lang w:eastAsia="en-AU"/>
              </w:rPr>
              <w:t>790</w:t>
            </w:r>
          </w:p>
        </w:tc>
        <w:tc>
          <w:tcPr>
            <w:tcW w:w="1290" w:type="dxa"/>
            <w:tcBorders>
              <w:top w:val="single" w:sz="4" w:space="0" w:color="auto"/>
              <w:bottom w:val="single" w:sz="4" w:space="0" w:color="auto"/>
              <w:right w:val="single" w:sz="4" w:space="0" w:color="auto"/>
            </w:tcBorders>
            <w:shd w:val="clear" w:color="auto" w:fill="D99594" w:themeFill="accent2" w:themeFillTint="99"/>
          </w:tcPr>
          <w:p w14:paraId="38562BDE" w14:textId="77777777" w:rsidR="001037BE"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1037BE"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1037BE" w:rsidRPr="00BF0D27">
              <w:rPr>
                <w:rFonts w:eastAsia="Times New Roman" w:cs="Arial"/>
                <w:b/>
                <w:noProof/>
                <w:color w:val="auto"/>
                <w:sz w:val="20"/>
                <w:szCs w:val="20"/>
                <w:lang w:eastAsia="en-AU"/>
              </w:rPr>
              <w:t>26</w:t>
            </w:r>
            <w:r w:rsidR="001037BE">
              <w:rPr>
                <w:rFonts w:eastAsia="Times New Roman" w:cs="Arial"/>
                <w:b/>
                <w:noProof/>
                <w:color w:val="auto"/>
                <w:sz w:val="20"/>
                <w:szCs w:val="20"/>
                <w:lang w:eastAsia="en-AU"/>
              </w:rPr>
              <w:t>,</w:t>
            </w:r>
            <w:r w:rsidR="001037BE" w:rsidRPr="00BF0D27">
              <w:rPr>
                <w:rFonts w:eastAsia="Times New Roman" w:cs="Arial"/>
                <w:b/>
                <w:noProof/>
                <w:color w:val="auto"/>
                <w:sz w:val="20"/>
                <w:szCs w:val="20"/>
                <w:lang w:eastAsia="en-AU"/>
              </w:rPr>
              <w:t>886</w:t>
            </w:r>
            <w:r w:rsidRPr="00BF0D27">
              <w:rPr>
                <w:rFonts w:eastAsia="Times New Roman" w:cs="Arial"/>
                <w:b/>
                <w:sz w:val="20"/>
                <w:szCs w:val="20"/>
                <w:lang w:eastAsia="en-AU"/>
              </w:rPr>
              <w:fldChar w:fldCharType="end"/>
            </w:r>
          </w:p>
        </w:tc>
        <w:tc>
          <w:tcPr>
            <w:tcW w:w="1290" w:type="dxa"/>
            <w:tcBorders>
              <w:top w:val="single" w:sz="4" w:space="0" w:color="auto"/>
              <w:bottom w:val="single" w:sz="4" w:space="0" w:color="auto"/>
            </w:tcBorders>
            <w:shd w:val="clear" w:color="auto" w:fill="D99594" w:themeFill="accent2" w:themeFillTint="99"/>
          </w:tcPr>
          <w:p w14:paraId="5CDDBE9C"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20</w:t>
            </w:r>
            <w:r>
              <w:rPr>
                <w:rFonts w:eastAsia="Times New Roman" w:cs="Arial"/>
                <w:b/>
                <w:color w:val="auto"/>
                <w:sz w:val="20"/>
                <w:szCs w:val="20"/>
                <w:lang w:eastAsia="en-AU"/>
              </w:rPr>
              <w:t>,</w:t>
            </w:r>
            <w:r w:rsidRPr="00BF0D27">
              <w:rPr>
                <w:rFonts w:eastAsia="Times New Roman" w:cs="Arial"/>
                <w:b/>
                <w:color w:val="auto"/>
                <w:sz w:val="20"/>
                <w:szCs w:val="20"/>
                <w:lang w:eastAsia="en-AU"/>
              </w:rPr>
              <w:t>178</w:t>
            </w:r>
          </w:p>
        </w:tc>
        <w:tc>
          <w:tcPr>
            <w:tcW w:w="1290" w:type="dxa"/>
            <w:tcBorders>
              <w:top w:val="single" w:sz="4" w:space="0" w:color="auto"/>
              <w:bottom w:val="single" w:sz="4" w:space="0" w:color="auto"/>
            </w:tcBorders>
            <w:shd w:val="clear" w:color="auto" w:fill="D99594" w:themeFill="accent2" w:themeFillTint="99"/>
          </w:tcPr>
          <w:p w14:paraId="41E65424" w14:textId="77777777" w:rsidR="001037BE"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1037BE"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1037BE" w:rsidRPr="00BF0D27">
              <w:rPr>
                <w:rFonts w:eastAsia="Times New Roman" w:cs="Arial"/>
                <w:b/>
                <w:noProof/>
                <w:color w:val="auto"/>
                <w:sz w:val="20"/>
                <w:szCs w:val="20"/>
                <w:lang w:eastAsia="en-AU"/>
              </w:rPr>
              <w:t>19</w:t>
            </w:r>
            <w:r w:rsidR="001037BE">
              <w:rPr>
                <w:rFonts w:eastAsia="Times New Roman" w:cs="Arial"/>
                <w:b/>
                <w:noProof/>
                <w:color w:val="auto"/>
                <w:sz w:val="20"/>
                <w:szCs w:val="20"/>
                <w:lang w:eastAsia="en-AU"/>
              </w:rPr>
              <w:t>,</w:t>
            </w:r>
            <w:r w:rsidR="001037BE" w:rsidRPr="00BF0D27">
              <w:rPr>
                <w:rFonts w:eastAsia="Times New Roman" w:cs="Arial"/>
                <w:b/>
                <w:noProof/>
                <w:color w:val="auto"/>
                <w:sz w:val="20"/>
                <w:szCs w:val="20"/>
                <w:lang w:eastAsia="en-AU"/>
              </w:rPr>
              <w:t>698</w:t>
            </w:r>
            <w:r w:rsidRPr="00BF0D27">
              <w:rPr>
                <w:rFonts w:eastAsia="Times New Roman" w:cs="Arial"/>
                <w:b/>
                <w:sz w:val="20"/>
                <w:szCs w:val="20"/>
                <w:lang w:eastAsia="en-AU"/>
              </w:rPr>
              <w:fldChar w:fldCharType="end"/>
            </w:r>
          </w:p>
        </w:tc>
        <w:tc>
          <w:tcPr>
            <w:tcW w:w="1290" w:type="dxa"/>
            <w:tcBorders>
              <w:top w:val="single" w:sz="4" w:space="0" w:color="auto"/>
              <w:left w:val="single" w:sz="4" w:space="0" w:color="auto"/>
              <w:bottom w:val="single" w:sz="4" w:space="0" w:color="auto"/>
            </w:tcBorders>
            <w:shd w:val="clear" w:color="auto" w:fill="D99594" w:themeFill="accent2" w:themeFillTint="99"/>
            <w:noWrap/>
            <w:hideMark/>
          </w:tcPr>
          <w:p w14:paraId="3C36D161"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8</w:t>
            </w:r>
            <w:r>
              <w:rPr>
                <w:rFonts w:eastAsia="Times New Roman" w:cs="Arial"/>
                <w:b/>
                <w:color w:val="auto"/>
                <w:sz w:val="20"/>
                <w:szCs w:val="20"/>
                <w:lang w:eastAsia="en-AU"/>
              </w:rPr>
              <w:t>,</w:t>
            </w:r>
            <w:r w:rsidRPr="00BF0D27">
              <w:rPr>
                <w:rFonts w:eastAsia="Times New Roman" w:cs="Arial"/>
                <w:b/>
                <w:color w:val="auto"/>
                <w:sz w:val="20"/>
                <w:szCs w:val="20"/>
                <w:lang w:eastAsia="en-AU"/>
              </w:rPr>
              <w:t>913</w:t>
            </w:r>
          </w:p>
        </w:tc>
        <w:tc>
          <w:tcPr>
            <w:tcW w:w="1290" w:type="dxa"/>
            <w:tcBorders>
              <w:top w:val="single" w:sz="4" w:space="0" w:color="auto"/>
              <w:bottom w:val="single" w:sz="4" w:space="0" w:color="auto"/>
              <w:right w:val="single" w:sz="4" w:space="0" w:color="auto"/>
            </w:tcBorders>
            <w:shd w:val="clear" w:color="auto" w:fill="D99594" w:themeFill="accent2" w:themeFillTint="99"/>
          </w:tcPr>
          <w:p w14:paraId="1E0B4A16" w14:textId="77777777" w:rsidR="001037BE"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1037BE"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1037BE" w:rsidRPr="00BF0D27">
              <w:rPr>
                <w:rFonts w:eastAsia="Times New Roman" w:cs="Arial"/>
                <w:b/>
                <w:noProof/>
                <w:color w:val="auto"/>
                <w:sz w:val="20"/>
                <w:szCs w:val="20"/>
                <w:lang w:eastAsia="en-AU"/>
              </w:rPr>
              <w:t>8</w:t>
            </w:r>
            <w:r w:rsidR="001037BE">
              <w:rPr>
                <w:rFonts w:eastAsia="Times New Roman" w:cs="Arial"/>
                <w:b/>
                <w:noProof/>
                <w:color w:val="auto"/>
                <w:sz w:val="20"/>
                <w:szCs w:val="20"/>
                <w:lang w:eastAsia="en-AU"/>
              </w:rPr>
              <w:t>,</w:t>
            </w:r>
            <w:r w:rsidR="001037BE" w:rsidRPr="00BF0D27">
              <w:rPr>
                <w:rFonts w:eastAsia="Times New Roman" w:cs="Arial"/>
                <w:b/>
                <w:noProof/>
                <w:color w:val="auto"/>
                <w:sz w:val="20"/>
                <w:szCs w:val="20"/>
                <w:lang w:eastAsia="en-AU"/>
              </w:rPr>
              <w:t>833</w:t>
            </w:r>
            <w:r w:rsidRPr="00BF0D27">
              <w:rPr>
                <w:rFonts w:eastAsia="Times New Roman" w:cs="Arial"/>
                <w:b/>
                <w:sz w:val="20"/>
                <w:szCs w:val="20"/>
                <w:lang w:eastAsia="en-AU"/>
              </w:rPr>
              <w:fldChar w:fldCharType="end"/>
            </w:r>
          </w:p>
        </w:tc>
        <w:tc>
          <w:tcPr>
            <w:tcW w:w="1290" w:type="dxa"/>
            <w:tcBorders>
              <w:top w:val="single" w:sz="4" w:space="0" w:color="auto"/>
              <w:left w:val="single" w:sz="4" w:space="0" w:color="auto"/>
              <w:bottom w:val="single" w:sz="4" w:space="0" w:color="auto"/>
              <w:right w:val="nil"/>
            </w:tcBorders>
            <w:shd w:val="clear" w:color="auto" w:fill="D99594" w:themeFill="accent2" w:themeFillTint="99"/>
            <w:noWrap/>
            <w:hideMark/>
          </w:tcPr>
          <w:p w14:paraId="3225EB49"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11</w:t>
            </w:r>
            <w:r>
              <w:rPr>
                <w:rFonts w:eastAsia="Times New Roman" w:cs="Arial"/>
                <w:b/>
                <w:color w:val="auto"/>
                <w:sz w:val="20"/>
                <w:szCs w:val="20"/>
                <w:lang w:eastAsia="en-AU"/>
              </w:rPr>
              <w:t>,</w:t>
            </w:r>
            <w:r w:rsidRPr="00BF0D27">
              <w:rPr>
                <w:rFonts w:eastAsia="Times New Roman" w:cs="Arial"/>
                <w:b/>
                <w:color w:val="auto"/>
                <w:sz w:val="20"/>
                <w:szCs w:val="20"/>
                <w:lang w:eastAsia="en-AU"/>
              </w:rPr>
              <w:t>265</w:t>
            </w:r>
          </w:p>
        </w:tc>
        <w:tc>
          <w:tcPr>
            <w:tcW w:w="1290" w:type="dxa"/>
            <w:tcBorders>
              <w:top w:val="single" w:sz="4" w:space="0" w:color="auto"/>
              <w:left w:val="nil"/>
              <w:bottom w:val="single" w:sz="4" w:space="0" w:color="auto"/>
              <w:right w:val="single" w:sz="4" w:space="0" w:color="auto"/>
            </w:tcBorders>
            <w:shd w:val="clear" w:color="auto" w:fill="D99594" w:themeFill="accent2" w:themeFillTint="99"/>
          </w:tcPr>
          <w:p w14:paraId="73C01952" w14:textId="77777777" w:rsidR="001037BE"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1037BE"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1037BE" w:rsidRPr="00BF0D27">
              <w:rPr>
                <w:rFonts w:eastAsia="Times New Roman" w:cs="Arial"/>
                <w:b/>
                <w:noProof/>
                <w:color w:val="auto"/>
                <w:sz w:val="20"/>
                <w:szCs w:val="20"/>
                <w:lang w:eastAsia="en-AU"/>
              </w:rPr>
              <w:t>11</w:t>
            </w:r>
            <w:r w:rsidR="001037BE">
              <w:rPr>
                <w:rFonts w:eastAsia="Times New Roman" w:cs="Arial"/>
                <w:b/>
                <w:noProof/>
                <w:color w:val="auto"/>
                <w:sz w:val="20"/>
                <w:szCs w:val="20"/>
                <w:lang w:eastAsia="en-AU"/>
              </w:rPr>
              <w:t>,</w:t>
            </w:r>
            <w:r w:rsidR="001037BE" w:rsidRPr="00BF0D27">
              <w:rPr>
                <w:rFonts w:eastAsia="Times New Roman" w:cs="Arial"/>
                <w:b/>
                <w:noProof/>
                <w:color w:val="auto"/>
                <w:sz w:val="20"/>
                <w:szCs w:val="20"/>
                <w:lang w:eastAsia="en-AU"/>
              </w:rPr>
              <w:t>090</w:t>
            </w:r>
            <w:r w:rsidRPr="00BF0D27">
              <w:rPr>
                <w:rFonts w:eastAsia="Times New Roman" w:cs="Arial"/>
                <w:b/>
                <w:sz w:val="20"/>
                <w:szCs w:val="20"/>
                <w:lang w:eastAsia="en-AU"/>
              </w:rPr>
              <w:fldChar w:fldCharType="end"/>
            </w:r>
          </w:p>
        </w:tc>
        <w:tc>
          <w:tcPr>
            <w:tcW w:w="1290" w:type="dxa"/>
            <w:tcBorders>
              <w:top w:val="single" w:sz="4" w:space="0" w:color="auto"/>
              <w:left w:val="single" w:sz="4" w:space="0" w:color="auto"/>
              <w:bottom w:val="single" w:sz="4" w:space="0" w:color="auto"/>
              <w:right w:val="nil"/>
            </w:tcBorders>
            <w:shd w:val="clear" w:color="auto" w:fill="D99594" w:themeFill="accent2" w:themeFillTint="99"/>
          </w:tcPr>
          <w:p w14:paraId="2B985BC5" w14:textId="77777777" w:rsidR="001037BE" w:rsidRPr="00BF0D27" w:rsidRDefault="001037BE"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color w:val="auto"/>
                <w:sz w:val="20"/>
                <w:szCs w:val="20"/>
                <w:lang w:eastAsia="en-AU"/>
              </w:rPr>
              <w:t>48</w:t>
            </w:r>
            <w:r>
              <w:rPr>
                <w:rFonts w:eastAsia="Times New Roman" w:cs="Arial"/>
                <w:b/>
                <w:color w:val="auto"/>
                <w:sz w:val="20"/>
                <w:szCs w:val="20"/>
                <w:lang w:eastAsia="en-AU"/>
              </w:rPr>
              <w:t>,</w:t>
            </w:r>
            <w:r w:rsidRPr="00BF0D27">
              <w:rPr>
                <w:rFonts w:eastAsia="Times New Roman" w:cs="Arial"/>
                <w:b/>
                <w:color w:val="auto"/>
                <w:sz w:val="20"/>
                <w:szCs w:val="20"/>
                <w:lang w:eastAsia="en-AU"/>
              </w:rPr>
              <w:t>968</w:t>
            </w:r>
          </w:p>
        </w:tc>
        <w:tc>
          <w:tcPr>
            <w:tcW w:w="1290" w:type="dxa"/>
            <w:tcBorders>
              <w:top w:val="single" w:sz="4" w:space="0" w:color="auto"/>
              <w:left w:val="nil"/>
              <w:bottom w:val="single" w:sz="4" w:space="0" w:color="auto"/>
              <w:right w:val="single" w:sz="4" w:space="0" w:color="auto"/>
            </w:tcBorders>
            <w:shd w:val="clear" w:color="auto" w:fill="D99594" w:themeFill="accent2" w:themeFillTint="99"/>
          </w:tcPr>
          <w:p w14:paraId="0F056D82" w14:textId="77777777" w:rsidR="001037BE" w:rsidRPr="00BF0D27" w:rsidRDefault="00982808" w:rsidP="00CE2FDF">
            <w:pPr>
              <w:spacing w:before="0" w:after="6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auto"/>
                <w:sz w:val="20"/>
                <w:szCs w:val="20"/>
                <w:lang w:eastAsia="en-AU"/>
              </w:rPr>
            </w:pPr>
            <w:r w:rsidRPr="00BF0D27">
              <w:rPr>
                <w:rFonts w:eastAsia="Times New Roman" w:cs="Arial"/>
                <w:b/>
                <w:sz w:val="20"/>
                <w:szCs w:val="20"/>
                <w:lang w:eastAsia="en-AU"/>
              </w:rPr>
              <w:fldChar w:fldCharType="begin"/>
            </w:r>
            <w:r w:rsidR="001037BE" w:rsidRPr="00BF0D27">
              <w:rPr>
                <w:rFonts w:eastAsia="Times New Roman" w:cs="Arial"/>
                <w:b/>
                <w:color w:val="auto"/>
                <w:sz w:val="20"/>
                <w:szCs w:val="20"/>
                <w:lang w:eastAsia="en-AU"/>
              </w:rPr>
              <w:instrText xml:space="preserve"> =SUM(ABOVE) </w:instrText>
            </w:r>
            <w:r w:rsidRPr="00BF0D27">
              <w:rPr>
                <w:rFonts w:eastAsia="Times New Roman" w:cs="Arial"/>
                <w:b/>
                <w:sz w:val="20"/>
                <w:szCs w:val="20"/>
                <w:lang w:eastAsia="en-AU"/>
              </w:rPr>
              <w:fldChar w:fldCharType="separate"/>
            </w:r>
            <w:r w:rsidR="001037BE" w:rsidRPr="00BF0D27">
              <w:rPr>
                <w:rFonts w:eastAsia="Times New Roman" w:cs="Arial"/>
                <w:b/>
                <w:noProof/>
                <w:color w:val="auto"/>
                <w:sz w:val="20"/>
                <w:szCs w:val="20"/>
                <w:lang w:eastAsia="en-AU"/>
              </w:rPr>
              <w:t>44</w:t>
            </w:r>
            <w:r w:rsidR="001037BE">
              <w:rPr>
                <w:rFonts w:eastAsia="Times New Roman" w:cs="Arial"/>
                <w:b/>
                <w:noProof/>
                <w:color w:val="auto"/>
                <w:sz w:val="20"/>
                <w:szCs w:val="20"/>
                <w:lang w:eastAsia="en-AU"/>
              </w:rPr>
              <w:t>,</w:t>
            </w:r>
            <w:r w:rsidR="001037BE" w:rsidRPr="00BF0D27">
              <w:rPr>
                <w:rFonts w:eastAsia="Times New Roman" w:cs="Arial"/>
                <w:b/>
                <w:noProof/>
                <w:color w:val="auto"/>
                <w:sz w:val="20"/>
                <w:szCs w:val="20"/>
                <w:lang w:eastAsia="en-AU"/>
              </w:rPr>
              <w:t>896</w:t>
            </w:r>
            <w:r w:rsidRPr="00BF0D27">
              <w:rPr>
                <w:rFonts w:eastAsia="Times New Roman" w:cs="Arial"/>
                <w:b/>
                <w:sz w:val="20"/>
                <w:szCs w:val="20"/>
                <w:lang w:eastAsia="en-AU"/>
              </w:rPr>
              <w:fldChar w:fldCharType="end"/>
            </w:r>
          </w:p>
        </w:tc>
      </w:tr>
    </w:tbl>
    <w:p w14:paraId="5FE60DD7" w14:textId="77777777" w:rsidR="009654BA" w:rsidRDefault="009654BA" w:rsidP="00B15586">
      <w:pPr>
        <w:spacing w:after="200" w:line="276" w:lineRule="auto"/>
      </w:pPr>
      <w:r>
        <w:br w:type="page"/>
      </w:r>
    </w:p>
    <w:p w14:paraId="17ADE133" w14:textId="77777777" w:rsidR="001E5E82" w:rsidRDefault="001E5E82" w:rsidP="0095311F">
      <w:pPr>
        <w:pStyle w:val="Figureheading"/>
      </w:pPr>
      <w:bookmarkStart w:id="99" w:name="_Toc382206803"/>
      <w:r>
        <w:lastRenderedPageBreak/>
        <w:t>3.13</w:t>
      </w:r>
      <w:r>
        <w:tab/>
        <w:t>Number of reports for 2003, by abuse type, by number of distinct children</w:t>
      </w:r>
      <w:bookmarkEnd w:id="99"/>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70"/>
        <w:gridCol w:w="1471"/>
        <w:gridCol w:w="1471"/>
        <w:gridCol w:w="1471"/>
        <w:gridCol w:w="1470"/>
        <w:gridCol w:w="1471"/>
        <w:gridCol w:w="1471"/>
        <w:gridCol w:w="1471"/>
      </w:tblGrid>
      <w:tr w:rsidR="001E5E82" w:rsidRPr="00F44E7A" w14:paraId="437D67C1" w14:textId="77777777" w:rsidTr="00F2448E">
        <w:trPr>
          <w:trHeight w:val="365"/>
        </w:trPr>
        <w:tc>
          <w:tcPr>
            <w:tcW w:w="2660" w:type="dxa"/>
            <w:shd w:val="clear" w:color="auto" w:fill="B8CCE4" w:themeFill="accent1" w:themeFillTint="66"/>
            <w:noWrap/>
            <w:hideMark/>
          </w:tcPr>
          <w:p w14:paraId="04A5312E" w14:textId="77777777" w:rsidR="001E5E82" w:rsidRPr="00F44E7A" w:rsidRDefault="001E5E82" w:rsidP="00CE2FDF">
            <w:pPr>
              <w:spacing w:before="0" w:line="276" w:lineRule="auto"/>
              <w:rPr>
                <w:rFonts w:eastAsia="Times New Roman" w:cs="Arial"/>
                <w:b/>
                <w:lang w:eastAsia="en-AU"/>
              </w:rPr>
            </w:pPr>
          </w:p>
        </w:tc>
        <w:tc>
          <w:tcPr>
            <w:tcW w:w="2941" w:type="dxa"/>
            <w:gridSpan w:val="2"/>
            <w:shd w:val="clear" w:color="auto" w:fill="B8CCE4" w:themeFill="accent1" w:themeFillTint="66"/>
            <w:noWrap/>
            <w:vAlign w:val="center"/>
            <w:hideMark/>
          </w:tcPr>
          <w:p w14:paraId="505C6868" w14:textId="77777777" w:rsidR="001E5E82" w:rsidRPr="00F44E7A" w:rsidRDefault="001E5E82"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041E4E8D" w14:textId="77777777" w:rsidR="001E5E82" w:rsidRPr="00F44E7A" w:rsidRDefault="001E5E82"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19B838DD" w14:textId="77777777" w:rsidR="001E5E82" w:rsidRPr="00F44E7A" w:rsidRDefault="001E5E82"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4B6A2E42" w14:textId="77777777" w:rsidR="001E5E82" w:rsidRPr="00F44E7A" w:rsidRDefault="001E5E82"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1E5E82" w:rsidRPr="00F44E7A" w14:paraId="1A102F1C" w14:textId="77777777" w:rsidTr="00F2448E">
        <w:trPr>
          <w:trHeight w:val="271"/>
        </w:trPr>
        <w:tc>
          <w:tcPr>
            <w:tcW w:w="2660" w:type="dxa"/>
            <w:shd w:val="clear" w:color="auto" w:fill="B8CCE4" w:themeFill="accent1" w:themeFillTint="66"/>
            <w:noWrap/>
            <w:hideMark/>
          </w:tcPr>
          <w:p w14:paraId="3D021F6B" w14:textId="77777777" w:rsidR="001E5E82" w:rsidRPr="00F44E7A" w:rsidRDefault="001E5E82" w:rsidP="00CE2FDF">
            <w:pPr>
              <w:spacing w:before="0" w:line="276"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157C3094" w14:textId="77777777" w:rsidR="001E5E82" w:rsidRPr="00F44E7A" w:rsidRDefault="001E5E8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58605609" w14:textId="77777777" w:rsidR="001E5E82" w:rsidRPr="00F44E7A" w:rsidRDefault="001E5E82"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02D180EC" w14:textId="77777777" w:rsidR="001E5E82" w:rsidRPr="00F44E7A" w:rsidRDefault="001E5E8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3A4B958E" w14:textId="77777777" w:rsidR="001E5E82" w:rsidRPr="00F44E7A" w:rsidRDefault="001E5E82" w:rsidP="00CE2FDF">
            <w:pPr>
              <w:spacing w:before="0" w:line="276"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00B54ECB" w14:textId="77777777" w:rsidR="001E5E82" w:rsidRPr="00F44E7A" w:rsidRDefault="001E5E8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469C82EF" w14:textId="77777777" w:rsidR="001E5E82" w:rsidRPr="00F44E7A" w:rsidRDefault="001E5E82"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7D57E5B6" w14:textId="77777777" w:rsidR="001E5E82" w:rsidRPr="00F44E7A" w:rsidRDefault="001E5E8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30146916" w14:textId="77777777" w:rsidR="001E5E82" w:rsidRPr="00F44E7A" w:rsidRDefault="001E5E82" w:rsidP="00CE2FDF">
            <w:pPr>
              <w:spacing w:before="0" w:line="276" w:lineRule="auto"/>
              <w:jc w:val="right"/>
              <w:rPr>
                <w:rFonts w:eastAsia="Times New Roman" w:cs="Arial"/>
                <w:b/>
                <w:lang w:eastAsia="en-AU"/>
              </w:rPr>
            </w:pPr>
            <w:r>
              <w:rPr>
                <w:rFonts w:eastAsia="Times New Roman" w:cs="Arial"/>
                <w:b/>
                <w:lang w:eastAsia="en-AU"/>
              </w:rPr>
              <w:t>Children</w:t>
            </w:r>
          </w:p>
        </w:tc>
      </w:tr>
      <w:tr w:rsidR="001E5E82" w:rsidRPr="003324F1" w14:paraId="1C2636FD" w14:textId="77777777" w:rsidTr="00F2448E">
        <w:trPr>
          <w:trHeight w:val="276"/>
        </w:trPr>
        <w:tc>
          <w:tcPr>
            <w:tcW w:w="2660" w:type="dxa"/>
            <w:noWrap/>
            <w:hideMark/>
          </w:tcPr>
          <w:p w14:paraId="79EC0EE6" w14:textId="77777777" w:rsidR="001E5E82" w:rsidRPr="00F44E7A" w:rsidRDefault="001E5E82" w:rsidP="00CE2FDF">
            <w:pPr>
              <w:spacing w:before="0" w:line="276" w:lineRule="auto"/>
              <w:rPr>
                <w:rFonts w:eastAsia="Times New Roman" w:cs="Arial"/>
                <w:b/>
                <w:lang w:eastAsia="en-AU"/>
              </w:rPr>
            </w:pPr>
            <w:r w:rsidRPr="00F44E7A">
              <w:rPr>
                <w:rFonts w:eastAsia="Times New Roman" w:cs="Arial"/>
                <w:b/>
                <w:lang w:eastAsia="en-AU"/>
              </w:rPr>
              <w:t>Doctors</w:t>
            </w:r>
          </w:p>
        </w:tc>
        <w:tc>
          <w:tcPr>
            <w:tcW w:w="1470" w:type="dxa"/>
            <w:tcBorders>
              <w:right w:val="nil"/>
            </w:tcBorders>
            <w:noWrap/>
            <w:vAlign w:val="center"/>
          </w:tcPr>
          <w:p w14:paraId="70048390"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207</w:t>
            </w:r>
          </w:p>
        </w:tc>
        <w:tc>
          <w:tcPr>
            <w:tcW w:w="1471" w:type="dxa"/>
            <w:tcBorders>
              <w:left w:val="nil"/>
            </w:tcBorders>
            <w:vAlign w:val="center"/>
          </w:tcPr>
          <w:p w14:paraId="78382ECF"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206</w:t>
            </w:r>
          </w:p>
        </w:tc>
        <w:tc>
          <w:tcPr>
            <w:tcW w:w="1471" w:type="dxa"/>
            <w:tcBorders>
              <w:right w:val="nil"/>
            </w:tcBorders>
            <w:noWrap/>
            <w:vAlign w:val="center"/>
          </w:tcPr>
          <w:p w14:paraId="1E68B303"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202</w:t>
            </w:r>
          </w:p>
        </w:tc>
        <w:tc>
          <w:tcPr>
            <w:tcW w:w="1471" w:type="dxa"/>
            <w:tcBorders>
              <w:left w:val="nil"/>
            </w:tcBorders>
            <w:vAlign w:val="center"/>
          </w:tcPr>
          <w:p w14:paraId="31A83EA7"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202</w:t>
            </w:r>
          </w:p>
        </w:tc>
        <w:tc>
          <w:tcPr>
            <w:tcW w:w="1470" w:type="dxa"/>
            <w:tcBorders>
              <w:right w:val="nil"/>
            </w:tcBorders>
            <w:noWrap/>
            <w:vAlign w:val="center"/>
          </w:tcPr>
          <w:p w14:paraId="1E7847DD"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382</w:t>
            </w:r>
          </w:p>
        </w:tc>
        <w:tc>
          <w:tcPr>
            <w:tcW w:w="1471" w:type="dxa"/>
            <w:tcBorders>
              <w:left w:val="nil"/>
            </w:tcBorders>
            <w:vAlign w:val="center"/>
          </w:tcPr>
          <w:p w14:paraId="0769AFCC"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382</w:t>
            </w:r>
          </w:p>
        </w:tc>
        <w:tc>
          <w:tcPr>
            <w:tcW w:w="1471" w:type="dxa"/>
            <w:tcBorders>
              <w:right w:val="nil"/>
            </w:tcBorders>
            <w:noWrap/>
            <w:vAlign w:val="center"/>
          </w:tcPr>
          <w:p w14:paraId="7C89D5A9"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222</w:t>
            </w:r>
          </w:p>
        </w:tc>
        <w:tc>
          <w:tcPr>
            <w:tcW w:w="1471" w:type="dxa"/>
            <w:tcBorders>
              <w:left w:val="nil"/>
            </w:tcBorders>
            <w:vAlign w:val="center"/>
          </w:tcPr>
          <w:p w14:paraId="4ED6A935" w14:textId="77777777" w:rsidR="001E5E82" w:rsidRPr="001E5E82" w:rsidRDefault="001E5E82" w:rsidP="00CE2FDF">
            <w:pPr>
              <w:spacing w:before="0" w:line="276" w:lineRule="auto"/>
              <w:jc w:val="right"/>
              <w:rPr>
                <w:rFonts w:eastAsia="Times New Roman" w:cs="Arial"/>
                <w:lang w:eastAsia="en-AU"/>
              </w:rPr>
            </w:pPr>
            <w:r w:rsidRPr="001E5E82">
              <w:rPr>
                <w:rFonts w:eastAsia="Times New Roman" w:cs="Arial"/>
                <w:lang w:eastAsia="en-AU"/>
              </w:rPr>
              <w:t>222</w:t>
            </w:r>
          </w:p>
        </w:tc>
      </w:tr>
      <w:tr w:rsidR="001E5E82" w:rsidRPr="003324F1" w14:paraId="033F290F" w14:textId="77777777" w:rsidTr="00F2448E">
        <w:trPr>
          <w:trHeight w:val="276"/>
        </w:trPr>
        <w:tc>
          <w:tcPr>
            <w:tcW w:w="2660" w:type="dxa"/>
            <w:shd w:val="clear" w:color="auto" w:fill="DBE5F1" w:themeFill="accent1" w:themeFillTint="33"/>
            <w:noWrap/>
            <w:hideMark/>
          </w:tcPr>
          <w:p w14:paraId="01184E7F" w14:textId="77777777" w:rsidR="001E5E82" w:rsidRPr="00F44E7A" w:rsidRDefault="001E5E82" w:rsidP="00CE2FDF">
            <w:pPr>
              <w:spacing w:before="0" w:line="276" w:lineRule="auto"/>
              <w:rPr>
                <w:rFonts w:eastAsia="Times New Roman" w:cs="Arial"/>
                <w:b/>
                <w:lang w:eastAsia="en-AU"/>
              </w:rPr>
            </w:pPr>
            <w:r w:rsidRPr="00F44E7A">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1C8815A9"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571</w:t>
            </w:r>
          </w:p>
        </w:tc>
        <w:tc>
          <w:tcPr>
            <w:tcW w:w="1471" w:type="dxa"/>
            <w:tcBorders>
              <w:left w:val="nil"/>
            </w:tcBorders>
            <w:shd w:val="clear" w:color="auto" w:fill="DBE5F1" w:themeFill="accent1" w:themeFillTint="33"/>
            <w:vAlign w:val="center"/>
          </w:tcPr>
          <w:p w14:paraId="2BB3BEBA"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563</w:t>
            </w:r>
          </w:p>
        </w:tc>
        <w:tc>
          <w:tcPr>
            <w:tcW w:w="1471" w:type="dxa"/>
            <w:tcBorders>
              <w:right w:val="nil"/>
            </w:tcBorders>
            <w:shd w:val="clear" w:color="auto" w:fill="DBE5F1" w:themeFill="accent1" w:themeFillTint="33"/>
            <w:noWrap/>
            <w:vAlign w:val="center"/>
          </w:tcPr>
          <w:p w14:paraId="29A8ABBE"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461</w:t>
            </w:r>
          </w:p>
        </w:tc>
        <w:tc>
          <w:tcPr>
            <w:tcW w:w="1471" w:type="dxa"/>
            <w:tcBorders>
              <w:left w:val="nil"/>
            </w:tcBorders>
            <w:shd w:val="clear" w:color="auto" w:fill="DBE5F1" w:themeFill="accent1" w:themeFillTint="33"/>
            <w:vAlign w:val="center"/>
          </w:tcPr>
          <w:p w14:paraId="46D162C4"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445</w:t>
            </w:r>
          </w:p>
        </w:tc>
        <w:tc>
          <w:tcPr>
            <w:tcW w:w="1470" w:type="dxa"/>
            <w:tcBorders>
              <w:right w:val="nil"/>
            </w:tcBorders>
            <w:shd w:val="clear" w:color="auto" w:fill="DBE5F1" w:themeFill="accent1" w:themeFillTint="33"/>
            <w:noWrap/>
            <w:vAlign w:val="center"/>
          </w:tcPr>
          <w:p w14:paraId="69C6C704"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264</w:t>
            </w:r>
          </w:p>
        </w:tc>
        <w:tc>
          <w:tcPr>
            <w:tcW w:w="1471" w:type="dxa"/>
            <w:tcBorders>
              <w:left w:val="nil"/>
            </w:tcBorders>
            <w:shd w:val="clear" w:color="auto" w:fill="DBE5F1" w:themeFill="accent1" w:themeFillTint="33"/>
            <w:vAlign w:val="center"/>
          </w:tcPr>
          <w:p w14:paraId="09CDC377"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257</w:t>
            </w:r>
          </w:p>
        </w:tc>
        <w:tc>
          <w:tcPr>
            <w:tcW w:w="1471" w:type="dxa"/>
            <w:tcBorders>
              <w:right w:val="nil"/>
            </w:tcBorders>
            <w:shd w:val="clear" w:color="auto" w:fill="DBE5F1" w:themeFill="accent1" w:themeFillTint="33"/>
            <w:noWrap/>
            <w:vAlign w:val="center"/>
          </w:tcPr>
          <w:p w14:paraId="35D06BFF"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68</w:t>
            </w:r>
          </w:p>
        </w:tc>
        <w:tc>
          <w:tcPr>
            <w:tcW w:w="1471" w:type="dxa"/>
            <w:tcBorders>
              <w:left w:val="nil"/>
            </w:tcBorders>
            <w:shd w:val="clear" w:color="auto" w:fill="DBE5F1" w:themeFill="accent1" w:themeFillTint="33"/>
            <w:vAlign w:val="center"/>
          </w:tcPr>
          <w:p w14:paraId="17CBDF38" w14:textId="77777777" w:rsidR="001E5E82" w:rsidRPr="001E5E82" w:rsidRDefault="001E5E82" w:rsidP="00CE2FDF">
            <w:pPr>
              <w:spacing w:before="0" w:line="276" w:lineRule="auto"/>
              <w:jc w:val="right"/>
              <w:rPr>
                <w:rFonts w:eastAsia="Times New Roman" w:cs="Arial"/>
                <w:lang w:eastAsia="en-AU"/>
              </w:rPr>
            </w:pPr>
            <w:r w:rsidRPr="001E5E82">
              <w:rPr>
                <w:rFonts w:eastAsia="Times New Roman" w:cs="Arial"/>
                <w:lang w:eastAsia="en-AU"/>
              </w:rPr>
              <w:t>68</w:t>
            </w:r>
          </w:p>
        </w:tc>
      </w:tr>
      <w:tr w:rsidR="001E5E82" w:rsidRPr="003324F1" w14:paraId="39A7CFAF" w14:textId="77777777" w:rsidTr="00F2448E">
        <w:trPr>
          <w:trHeight w:val="276"/>
        </w:trPr>
        <w:tc>
          <w:tcPr>
            <w:tcW w:w="2660" w:type="dxa"/>
            <w:noWrap/>
            <w:hideMark/>
          </w:tcPr>
          <w:p w14:paraId="2916E364" w14:textId="77777777" w:rsidR="001E5E82" w:rsidRPr="00F44E7A" w:rsidRDefault="001E5E82" w:rsidP="00CE2FDF">
            <w:pPr>
              <w:spacing w:before="0" w:line="276"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noWrap/>
            <w:vAlign w:val="center"/>
          </w:tcPr>
          <w:p w14:paraId="6E1E3CFC"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w:t>
            </w:r>
            <w:r>
              <w:rPr>
                <w:rFonts w:eastAsia="Times New Roman" w:cs="Arial"/>
                <w:lang w:eastAsia="en-AU"/>
              </w:rPr>
              <w:t>,</w:t>
            </w:r>
            <w:r w:rsidRPr="003324F1">
              <w:rPr>
                <w:rFonts w:eastAsia="Times New Roman" w:cs="Arial"/>
                <w:lang w:eastAsia="en-AU"/>
              </w:rPr>
              <w:t>798</w:t>
            </w:r>
          </w:p>
        </w:tc>
        <w:tc>
          <w:tcPr>
            <w:tcW w:w="1471" w:type="dxa"/>
            <w:tcBorders>
              <w:left w:val="nil"/>
            </w:tcBorders>
            <w:vAlign w:val="center"/>
          </w:tcPr>
          <w:p w14:paraId="19166F3C"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w:t>
            </w:r>
            <w:r>
              <w:rPr>
                <w:rFonts w:eastAsia="Times New Roman" w:cs="Arial"/>
                <w:lang w:eastAsia="en-AU"/>
              </w:rPr>
              <w:t>,</w:t>
            </w:r>
            <w:r w:rsidRPr="003324F1">
              <w:rPr>
                <w:rFonts w:eastAsia="Times New Roman" w:cs="Arial"/>
                <w:lang w:eastAsia="en-AU"/>
              </w:rPr>
              <w:t>671</w:t>
            </w:r>
          </w:p>
        </w:tc>
        <w:tc>
          <w:tcPr>
            <w:tcW w:w="1471" w:type="dxa"/>
            <w:tcBorders>
              <w:right w:val="nil"/>
            </w:tcBorders>
            <w:noWrap/>
            <w:vAlign w:val="center"/>
          </w:tcPr>
          <w:p w14:paraId="0CB602A1"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733</w:t>
            </w:r>
          </w:p>
        </w:tc>
        <w:tc>
          <w:tcPr>
            <w:tcW w:w="1471" w:type="dxa"/>
            <w:tcBorders>
              <w:left w:val="nil"/>
            </w:tcBorders>
            <w:vAlign w:val="center"/>
          </w:tcPr>
          <w:p w14:paraId="3D8F85F2"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660</w:t>
            </w:r>
          </w:p>
        </w:tc>
        <w:tc>
          <w:tcPr>
            <w:tcW w:w="1470" w:type="dxa"/>
            <w:tcBorders>
              <w:right w:val="nil"/>
            </w:tcBorders>
            <w:noWrap/>
            <w:vAlign w:val="center"/>
          </w:tcPr>
          <w:p w14:paraId="46127C3D"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157</w:t>
            </w:r>
          </w:p>
        </w:tc>
        <w:tc>
          <w:tcPr>
            <w:tcW w:w="1471" w:type="dxa"/>
            <w:tcBorders>
              <w:left w:val="nil"/>
            </w:tcBorders>
            <w:vAlign w:val="center"/>
          </w:tcPr>
          <w:p w14:paraId="4E351C82"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117</w:t>
            </w:r>
          </w:p>
        </w:tc>
        <w:tc>
          <w:tcPr>
            <w:tcW w:w="1471" w:type="dxa"/>
            <w:tcBorders>
              <w:right w:val="nil"/>
            </w:tcBorders>
            <w:noWrap/>
            <w:vAlign w:val="center"/>
          </w:tcPr>
          <w:p w14:paraId="669373BA"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828</w:t>
            </w:r>
          </w:p>
        </w:tc>
        <w:tc>
          <w:tcPr>
            <w:tcW w:w="1471" w:type="dxa"/>
            <w:tcBorders>
              <w:left w:val="nil"/>
            </w:tcBorders>
            <w:vAlign w:val="center"/>
          </w:tcPr>
          <w:p w14:paraId="41CB91DE" w14:textId="77777777" w:rsidR="001E5E82" w:rsidRPr="001E5E82" w:rsidRDefault="001E5E82" w:rsidP="00CE2FDF">
            <w:pPr>
              <w:spacing w:before="0" w:line="276" w:lineRule="auto"/>
              <w:jc w:val="right"/>
              <w:rPr>
                <w:rFonts w:eastAsia="Times New Roman" w:cs="Arial"/>
                <w:lang w:eastAsia="en-AU"/>
              </w:rPr>
            </w:pPr>
            <w:r w:rsidRPr="001E5E82">
              <w:rPr>
                <w:rFonts w:eastAsia="Times New Roman" w:cs="Arial"/>
                <w:lang w:eastAsia="en-AU"/>
              </w:rPr>
              <w:t>808</w:t>
            </w:r>
          </w:p>
        </w:tc>
      </w:tr>
      <w:tr w:rsidR="001E5E82" w:rsidRPr="003324F1" w14:paraId="54208D5F" w14:textId="77777777" w:rsidTr="00F2448E">
        <w:trPr>
          <w:trHeight w:val="276"/>
        </w:trPr>
        <w:tc>
          <w:tcPr>
            <w:tcW w:w="2660" w:type="dxa"/>
            <w:shd w:val="clear" w:color="auto" w:fill="DBE5F1" w:themeFill="accent1" w:themeFillTint="33"/>
            <w:noWrap/>
            <w:hideMark/>
          </w:tcPr>
          <w:p w14:paraId="75D744D6" w14:textId="77777777" w:rsidR="001E5E82" w:rsidRPr="00F44E7A" w:rsidRDefault="001E5E82" w:rsidP="00CE2FDF">
            <w:pPr>
              <w:spacing w:before="0" w:line="276"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DBE5F1" w:themeFill="accent1" w:themeFillTint="33"/>
            <w:noWrap/>
            <w:vAlign w:val="center"/>
          </w:tcPr>
          <w:p w14:paraId="5E78C4E5"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839</w:t>
            </w:r>
          </w:p>
        </w:tc>
        <w:tc>
          <w:tcPr>
            <w:tcW w:w="1471" w:type="dxa"/>
            <w:tcBorders>
              <w:left w:val="nil"/>
            </w:tcBorders>
            <w:shd w:val="clear" w:color="auto" w:fill="DBE5F1" w:themeFill="accent1" w:themeFillTint="33"/>
            <w:vAlign w:val="center"/>
          </w:tcPr>
          <w:p w14:paraId="5A266878"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810</w:t>
            </w:r>
          </w:p>
        </w:tc>
        <w:tc>
          <w:tcPr>
            <w:tcW w:w="1471" w:type="dxa"/>
            <w:tcBorders>
              <w:right w:val="nil"/>
            </w:tcBorders>
            <w:shd w:val="clear" w:color="auto" w:fill="DBE5F1" w:themeFill="accent1" w:themeFillTint="33"/>
            <w:noWrap/>
            <w:vAlign w:val="center"/>
          </w:tcPr>
          <w:p w14:paraId="0E82B749"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857</w:t>
            </w:r>
          </w:p>
        </w:tc>
        <w:tc>
          <w:tcPr>
            <w:tcW w:w="1471" w:type="dxa"/>
            <w:tcBorders>
              <w:left w:val="nil"/>
            </w:tcBorders>
            <w:shd w:val="clear" w:color="auto" w:fill="DBE5F1" w:themeFill="accent1" w:themeFillTint="33"/>
            <w:vAlign w:val="center"/>
          </w:tcPr>
          <w:p w14:paraId="47BE3061"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797</w:t>
            </w:r>
          </w:p>
        </w:tc>
        <w:tc>
          <w:tcPr>
            <w:tcW w:w="1470" w:type="dxa"/>
            <w:tcBorders>
              <w:right w:val="nil"/>
            </w:tcBorders>
            <w:shd w:val="clear" w:color="auto" w:fill="DBE5F1" w:themeFill="accent1" w:themeFillTint="33"/>
            <w:noWrap/>
            <w:vAlign w:val="center"/>
          </w:tcPr>
          <w:p w14:paraId="6652D04E"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530</w:t>
            </w:r>
          </w:p>
        </w:tc>
        <w:tc>
          <w:tcPr>
            <w:tcW w:w="1471" w:type="dxa"/>
            <w:tcBorders>
              <w:left w:val="nil"/>
            </w:tcBorders>
            <w:shd w:val="clear" w:color="auto" w:fill="DBE5F1" w:themeFill="accent1" w:themeFillTint="33"/>
            <w:vAlign w:val="center"/>
          </w:tcPr>
          <w:p w14:paraId="120E1CBA"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457</w:t>
            </w:r>
          </w:p>
        </w:tc>
        <w:tc>
          <w:tcPr>
            <w:tcW w:w="1471" w:type="dxa"/>
            <w:tcBorders>
              <w:right w:val="nil"/>
            </w:tcBorders>
            <w:shd w:val="clear" w:color="auto" w:fill="DBE5F1" w:themeFill="accent1" w:themeFillTint="33"/>
            <w:noWrap/>
            <w:vAlign w:val="center"/>
          </w:tcPr>
          <w:p w14:paraId="4270BD9F"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431</w:t>
            </w:r>
          </w:p>
        </w:tc>
        <w:tc>
          <w:tcPr>
            <w:tcW w:w="1471" w:type="dxa"/>
            <w:tcBorders>
              <w:left w:val="nil"/>
            </w:tcBorders>
            <w:shd w:val="clear" w:color="auto" w:fill="DBE5F1" w:themeFill="accent1" w:themeFillTint="33"/>
            <w:vAlign w:val="center"/>
          </w:tcPr>
          <w:p w14:paraId="7A27637C" w14:textId="77777777" w:rsidR="001E5E82" w:rsidRPr="001E5E82" w:rsidRDefault="001E5E82" w:rsidP="00CE2FDF">
            <w:pPr>
              <w:spacing w:before="0" w:line="276" w:lineRule="auto"/>
              <w:jc w:val="right"/>
              <w:rPr>
                <w:rFonts w:eastAsia="Times New Roman" w:cs="Arial"/>
                <w:lang w:eastAsia="en-AU"/>
              </w:rPr>
            </w:pPr>
            <w:r w:rsidRPr="001E5E82">
              <w:rPr>
                <w:rFonts w:eastAsia="Times New Roman" w:cs="Arial"/>
                <w:lang w:eastAsia="en-AU"/>
              </w:rPr>
              <w:t>420</w:t>
            </w:r>
          </w:p>
        </w:tc>
      </w:tr>
      <w:tr w:rsidR="001E5E82" w:rsidRPr="003324F1" w14:paraId="79979257" w14:textId="77777777" w:rsidTr="00F2448E">
        <w:trPr>
          <w:trHeight w:val="276"/>
        </w:trPr>
        <w:tc>
          <w:tcPr>
            <w:tcW w:w="2660" w:type="dxa"/>
            <w:shd w:val="clear" w:color="auto" w:fill="auto"/>
            <w:noWrap/>
            <w:hideMark/>
          </w:tcPr>
          <w:p w14:paraId="7FDC6321" w14:textId="77777777" w:rsidR="001E5E82" w:rsidRPr="00F44E7A" w:rsidRDefault="001E5E82" w:rsidP="00CE2FDF">
            <w:pPr>
              <w:spacing w:before="0" w:line="276" w:lineRule="auto"/>
              <w:rPr>
                <w:rFonts w:eastAsia="Times New Roman" w:cs="Arial"/>
                <w:b/>
                <w:lang w:eastAsia="en-AU"/>
              </w:rPr>
            </w:pPr>
            <w:r>
              <w:rPr>
                <w:rFonts w:eastAsia="Times New Roman" w:cs="Arial"/>
                <w:b/>
                <w:lang w:eastAsia="en-AU"/>
              </w:rPr>
              <w:t>Psychiatrists</w:t>
            </w:r>
          </w:p>
        </w:tc>
        <w:tc>
          <w:tcPr>
            <w:tcW w:w="1470" w:type="dxa"/>
            <w:tcBorders>
              <w:right w:val="nil"/>
            </w:tcBorders>
            <w:shd w:val="clear" w:color="auto" w:fill="auto"/>
            <w:noWrap/>
            <w:vAlign w:val="center"/>
          </w:tcPr>
          <w:p w14:paraId="44D3DF3A"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75</w:t>
            </w:r>
          </w:p>
        </w:tc>
        <w:tc>
          <w:tcPr>
            <w:tcW w:w="1471" w:type="dxa"/>
            <w:tcBorders>
              <w:left w:val="nil"/>
            </w:tcBorders>
            <w:shd w:val="clear" w:color="auto" w:fill="auto"/>
            <w:vAlign w:val="center"/>
          </w:tcPr>
          <w:p w14:paraId="0F277FD3"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75</w:t>
            </w:r>
          </w:p>
        </w:tc>
        <w:tc>
          <w:tcPr>
            <w:tcW w:w="1471" w:type="dxa"/>
            <w:tcBorders>
              <w:right w:val="nil"/>
            </w:tcBorders>
            <w:shd w:val="clear" w:color="auto" w:fill="auto"/>
            <w:noWrap/>
            <w:vAlign w:val="center"/>
          </w:tcPr>
          <w:p w14:paraId="795F8DA0"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23</w:t>
            </w:r>
          </w:p>
        </w:tc>
        <w:tc>
          <w:tcPr>
            <w:tcW w:w="1471" w:type="dxa"/>
            <w:tcBorders>
              <w:left w:val="nil"/>
            </w:tcBorders>
            <w:shd w:val="clear" w:color="auto" w:fill="auto"/>
            <w:vAlign w:val="center"/>
          </w:tcPr>
          <w:p w14:paraId="61C93A5E"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23</w:t>
            </w:r>
          </w:p>
        </w:tc>
        <w:tc>
          <w:tcPr>
            <w:tcW w:w="1470" w:type="dxa"/>
            <w:tcBorders>
              <w:right w:val="nil"/>
            </w:tcBorders>
            <w:shd w:val="clear" w:color="auto" w:fill="auto"/>
            <w:noWrap/>
            <w:vAlign w:val="center"/>
          </w:tcPr>
          <w:p w14:paraId="7FD1231A"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23</w:t>
            </w:r>
          </w:p>
        </w:tc>
        <w:tc>
          <w:tcPr>
            <w:tcW w:w="1471" w:type="dxa"/>
            <w:tcBorders>
              <w:left w:val="nil"/>
            </w:tcBorders>
            <w:shd w:val="clear" w:color="auto" w:fill="auto"/>
            <w:vAlign w:val="center"/>
          </w:tcPr>
          <w:p w14:paraId="153C9F6C"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21</w:t>
            </w:r>
          </w:p>
        </w:tc>
        <w:tc>
          <w:tcPr>
            <w:tcW w:w="1471" w:type="dxa"/>
            <w:tcBorders>
              <w:right w:val="nil"/>
            </w:tcBorders>
            <w:shd w:val="clear" w:color="auto" w:fill="auto"/>
            <w:noWrap/>
            <w:vAlign w:val="center"/>
          </w:tcPr>
          <w:p w14:paraId="51BCB931"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29</w:t>
            </w:r>
          </w:p>
        </w:tc>
        <w:tc>
          <w:tcPr>
            <w:tcW w:w="1471" w:type="dxa"/>
            <w:tcBorders>
              <w:left w:val="nil"/>
            </w:tcBorders>
            <w:shd w:val="clear" w:color="auto" w:fill="auto"/>
            <w:vAlign w:val="center"/>
          </w:tcPr>
          <w:p w14:paraId="5019672A" w14:textId="77777777" w:rsidR="001E5E82" w:rsidRPr="001E5E82" w:rsidRDefault="001E5E82" w:rsidP="00CE2FDF">
            <w:pPr>
              <w:spacing w:before="0" w:line="276" w:lineRule="auto"/>
              <w:jc w:val="right"/>
              <w:rPr>
                <w:rFonts w:eastAsia="Times New Roman" w:cs="Arial"/>
                <w:lang w:eastAsia="en-AU"/>
              </w:rPr>
            </w:pPr>
            <w:r w:rsidRPr="001E5E82">
              <w:rPr>
                <w:rFonts w:eastAsia="Times New Roman" w:cs="Arial"/>
                <w:lang w:eastAsia="en-AU"/>
              </w:rPr>
              <w:t>28</w:t>
            </w:r>
          </w:p>
        </w:tc>
      </w:tr>
      <w:tr w:rsidR="001E5E82" w:rsidRPr="003324F1" w14:paraId="2648CD9E" w14:textId="77777777" w:rsidTr="00F2448E">
        <w:trPr>
          <w:trHeight w:val="276"/>
        </w:trPr>
        <w:tc>
          <w:tcPr>
            <w:tcW w:w="2660" w:type="dxa"/>
            <w:shd w:val="clear" w:color="auto" w:fill="DBE5F1" w:themeFill="accent1" w:themeFillTint="33"/>
            <w:noWrap/>
            <w:hideMark/>
          </w:tcPr>
          <w:p w14:paraId="46D61CE0" w14:textId="77777777" w:rsidR="001E5E82" w:rsidRPr="00F44E7A" w:rsidRDefault="001E5E82"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470" w:type="dxa"/>
            <w:tcBorders>
              <w:right w:val="nil"/>
            </w:tcBorders>
            <w:shd w:val="clear" w:color="auto" w:fill="DBE5F1" w:themeFill="accent1" w:themeFillTint="33"/>
            <w:noWrap/>
            <w:vAlign w:val="center"/>
          </w:tcPr>
          <w:p w14:paraId="1F1E8E3A"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w:t>
            </w:r>
            <w:r>
              <w:rPr>
                <w:rFonts w:eastAsia="Times New Roman" w:cs="Arial"/>
                <w:lang w:eastAsia="en-AU"/>
              </w:rPr>
              <w:t>,</w:t>
            </w:r>
            <w:r w:rsidRPr="003324F1">
              <w:rPr>
                <w:rFonts w:eastAsia="Times New Roman" w:cs="Arial"/>
                <w:lang w:eastAsia="en-AU"/>
              </w:rPr>
              <w:t>490</w:t>
            </w:r>
          </w:p>
        </w:tc>
        <w:tc>
          <w:tcPr>
            <w:tcW w:w="1471" w:type="dxa"/>
            <w:tcBorders>
              <w:left w:val="nil"/>
            </w:tcBorders>
            <w:shd w:val="clear" w:color="auto" w:fill="DBE5F1" w:themeFill="accent1" w:themeFillTint="33"/>
            <w:vAlign w:val="center"/>
          </w:tcPr>
          <w:p w14:paraId="7242FA2B"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w:t>
            </w:r>
            <w:r>
              <w:rPr>
                <w:rFonts w:eastAsia="Times New Roman" w:cs="Arial"/>
                <w:lang w:eastAsia="en-AU"/>
              </w:rPr>
              <w:t>,</w:t>
            </w:r>
            <w:r w:rsidRPr="003324F1">
              <w:rPr>
                <w:rFonts w:eastAsia="Times New Roman" w:cs="Arial"/>
                <w:lang w:eastAsia="en-AU"/>
              </w:rPr>
              <w:t>244</w:t>
            </w:r>
          </w:p>
        </w:tc>
        <w:tc>
          <w:tcPr>
            <w:tcW w:w="1471" w:type="dxa"/>
            <w:tcBorders>
              <w:right w:val="nil"/>
            </w:tcBorders>
            <w:shd w:val="clear" w:color="auto" w:fill="DBE5F1" w:themeFill="accent1" w:themeFillTint="33"/>
            <w:noWrap/>
            <w:vAlign w:val="center"/>
          </w:tcPr>
          <w:p w14:paraId="0E843F2E"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w:t>
            </w:r>
            <w:r>
              <w:rPr>
                <w:rFonts w:eastAsia="Times New Roman" w:cs="Arial"/>
                <w:lang w:eastAsia="en-AU"/>
              </w:rPr>
              <w:t>,</w:t>
            </w:r>
            <w:r w:rsidRPr="003324F1">
              <w:rPr>
                <w:rFonts w:eastAsia="Times New Roman" w:cs="Arial"/>
                <w:lang w:eastAsia="en-AU"/>
              </w:rPr>
              <w:t>276</w:t>
            </w:r>
          </w:p>
        </w:tc>
        <w:tc>
          <w:tcPr>
            <w:tcW w:w="1471" w:type="dxa"/>
            <w:tcBorders>
              <w:left w:val="nil"/>
            </w:tcBorders>
            <w:shd w:val="clear" w:color="auto" w:fill="DBE5F1" w:themeFill="accent1" w:themeFillTint="33"/>
            <w:vAlign w:val="center"/>
          </w:tcPr>
          <w:p w14:paraId="02788F6C"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w:t>
            </w:r>
            <w:r>
              <w:rPr>
                <w:rFonts w:eastAsia="Times New Roman" w:cs="Arial"/>
                <w:lang w:eastAsia="en-AU"/>
              </w:rPr>
              <w:t>,</w:t>
            </w:r>
            <w:r w:rsidRPr="003324F1">
              <w:rPr>
                <w:rFonts w:eastAsia="Times New Roman" w:cs="Arial"/>
                <w:lang w:eastAsia="en-AU"/>
              </w:rPr>
              <w:t>064</w:t>
            </w:r>
          </w:p>
        </w:tc>
        <w:tc>
          <w:tcPr>
            <w:tcW w:w="1470" w:type="dxa"/>
            <w:tcBorders>
              <w:right w:val="nil"/>
            </w:tcBorders>
            <w:shd w:val="clear" w:color="auto" w:fill="DBE5F1" w:themeFill="accent1" w:themeFillTint="33"/>
            <w:noWrap/>
            <w:vAlign w:val="center"/>
          </w:tcPr>
          <w:p w14:paraId="6622CF30"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w:t>
            </w:r>
            <w:r>
              <w:rPr>
                <w:rFonts w:eastAsia="Times New Roman" w:cs="Arial"/>
                <w:lang w:eastAsia="en-AU"/>
              </w:rPr>
              <w:t>,</w:t>
            </w:r>
            <w:r w:rsidRPr="003324F1">
              <w:rPr>
                <w:rFonts w:eastAsia="Times New Roman" w:cs="Arial"/>
                <w:lang w:eastAsia="en-AU"/>
              </w:rPr>
              <w:t>356</w:t>
            </w:r>
          </w:p>
        </w:tc>
        <w:tc>
          <w:tcPr>
            <w:tcW w:w="1471" w:type="dxa"/>
            <w:tcBorders>
              <w:left w:val="nil"/>
            </w:tcBorders>
            <w:shd w:val="clear" w:color="auto" w:fill="DBE5F1" w:themeFill="accent1" w:themeFillTint="33"/>
            <w:vAlign w:val="center"/>
          </w:tcPr>
          <w:p w14:paraId="6073640B"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w:t>
            </w:r>
            <w:r>
              <w:rPr>
                <w:rFonts w:eastAsia="Times New Roman" w:cs="Arial"/>
                <w:lang w:eastAsia="en-AU"/>
              </w:rPr>
              <w:t>,</w:t>
            </w:r>
            <w:r w:rsidRPr="003324F1">
              <w:rPr>
                <w:rFonts w:eastAsia="Times New Roman" w:cs="Arial"/>
                <w:lang w:eastAsia="en-AU"/>
              </w:rPr>
              <w:t>191</w:t>
            </w:r>
          </w:p>
        </w:tc>
        <w:tc>
          <w:tcPr>
            <w:tcW w:w="1471" w:type="dxa"/>
            <w:tcBorders>
              <w:right w:val="nil"/>
            </w:tcBorders>
            <w:shd w:val="clear" w:color="auto" w:fill="DBE5F1" w:themeFill="accent1" w:themeFillTint="33"/>
            <w:noWrap/>
            <w:vAlign w:val="center"/>
          </w:tcPr>
          <w:p w14:paraId="45D1D14A"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578</w:t>
            </w:r>
          </w:p>
        </w:tc>
        <w:tc>
          <w:tcPr>
            <w:tcW w:w="1471" w:type="dxa"/>
            <w:tcBorders>
              <w:left w:val="nil"/>
            </w:tcBorders>
            <w:shd w:val="clear" w:color="auto" w:fill="DBE5F1" w:themeFill="accent1" w:themeFillTint="33"/>
            <w:vAlign w:val="center"/>
          </w:tcPr>
          <w:p w14:paraId="1D56CED0" w14:textId="77777777" w:rsidR="001E5E82" w:rsidRPr="001E5E82" w:rsidRDefault="001E5E82" w:rsidP="00CE2FDF">
            <w:pPr>
              <w:spacing w:before="0" w:line="276" w:lineRule="auto"/>
              <w:jc w:val="right"/>
              <w:rPr>
                <w:rFonts w:eastAsia="Times New Roman" w:cs="Arial"/>
                <w:lang w:eastAsia="en-AU"/>
              </w:rPr>
            </w:pPr>
            <w:r w:rsidRPr="001E5E82">
              <w:rPr>
                <w:rFonts w:eastAsia="Times New Roman" w:cs="Arial"/>
                <w:lang w:eastAsia="en-AU"/>
              </w:rPr>
              <w:t>1,528</w:t>
            </w:r>
          </w:p>
        </w:tc>
      </w:tr>
      <w:tr w:rsidR="004B00EC" w:rsidRPr="003324F1" w14:paraId="720813F3" w14:textId="77777777" w:rsidTr="00F2448E">
        <w:trPr>
          <w:trHeight w:val="276"/>
        </w:trPr>
        <w:tc>
          <w:tcPr>
            <w:tcW w:w="2660" w:type="dxa"/>
            <w:shd w:val="clear" w:color="auto" w:fill="auto"/>
            <w:noWrap/>
            <w:hideMark/>
          </w:tcPr>
          <w:p w14:paraId="5204E7E3" w14:textId="77777777" w:rsidR="001E5E82" w:rsidRPr="00F44E7A" w:rsidRDefault="001E5E82"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2140BFDD"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w:t>
            </w:r>
            <w:r>
              <w:rPr>
                <w:rFonts w:eastAsia="Times New Roman" w:cs="Arial"/>
                <w:lang w:eastAsia="en-AU"/>
              </w:rPr>
              <w:t>,</w:t>
            </w:r>
            <w:r w:rsidRPr="003324F1">
              <w:rPr>
                <w:rFonts w:eastAsia="Times New Roman" w:cs="Arial"/>
                <w:lang w:eastAsia="en-AU"/>
              </w:rPr>
              <w:t>259</w:t>
            </w:r>
          </w:p>
        </w:tc>
        <w:tc>
          <w:tcPr>
            <w:tcW w:w="1471" w:type="dxa"/>
            <w:tcBorders>
              <w:left w:val="nil"/>
            </w:tcBorders>
            <w:shd w:val="clear" w:color="auto" w:fill="auto"/>
            <w:vAlign w:val="center"/>
          </w:tcPr>
          <w:p w14:paraId="4C0D574D"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6</w:t>
            </w:r>
            <w:r>
              <w:rPr>
                <w:rFonts w:eastAsia="Times New Roman" w:cs="Arial"/>
                <w:lang w:eastAsia="en-AU"/>
              </w:rPr>
              <w:t>,</w:t>
            </w:r>
            <w:r w:rsidRPr="003324F1">
              <w:rPr>
                <w:rFonts w:eastAsia="Times New Roman" w:cs="Arial"/>
                <w:lang w:eastAsia="en-AU"/>
              </w:rPr>
              <w:t>519</w:t>
            </w:r>
          </w:p>
        </w:tc>
        <w:tc>
          <w:tcPr>
            <w:tcW w:w="1471" w:type="dxa"/>
            <w:tcBorders>
              <w:right w:val="nil"/>
            </w:tcBorders>
            <w:shd w:val="clear" w:color="auto" w:fill="auto"/>
            <w:noWrap/>
            <w:vAlign w:val="center"/>
          </w:tcPr>
          <w:p w14:paraId="36DB12E5"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8</w:t>
            </w:r>
            <w:r>
              <w:rPr>
                <w:rFonts w:eastAsia="Times New Roman" w:cs="Arial"/>
                <w:lang w:eastAsia="en-AU"/>
              </w:rPr>
              <w:t>,</w:t>
            </w:r>
            <w:r w:rsidRPr="003324F1">
              <w:rPr>
                <w:rFonts w:eastAsia="Times New Roman" w:cs="Arial"/>
                <w:lang w:eastAsia="en-AU"/>
              </w:rPr>
              <w:t>753</w:t>
            </w:r>
          </w:p>
        </w:tc>
        <w:tc>
          <w:tcPr>
            <w:tcW w:w="1471" w:type="dxa"/>
            <w:tcBorders>
              <w:left w:val="nil"/>
            </w:tcBorders>
            <w:shd w:val="clear" w:color="auto" w:fill="auto"/>
            <w:vAlign w:val="center"/>
          </w:tcPr>
          <w:p w14:paraId="0D70A094"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w:t>
            </w:r>
            <w:r>
              <w:rPr>
                <w:rFonts w:eastAsia="Times New Roman" w:cs="Arial"/>
                <w:lang w:eastAsia="en-AU"/>
              </w:rPr>
              <w:t>,</w:t>
            </w:r>
            <w:r w:rsidRPr="003324F1">
              <w:rPr>
                <w:rFonts w:eastAsia="Times New Roman" w:cs="Arial"/>
                <w:lang w:eastAsia="en-AU"/>
              </w:rPr>
              <w:t>579</w:t>
            </w:r>
          </w:p>
        </w:tc>
        <w:tc>
          <w:tcPr>
            <w:tcW w:w="1470" w:type="dxa"/>
            <w:tcBorders>
              <w:right w:val="nil"/>
            </w:tcBorders>
            <w:shd w:val="clear" w:color="auto" w:fill="auto"/>
            <w:noWrap/>
            <w:vAlign w:val="center"/>
          </w:tcPr>
          <w:p w14:paraId="34CD08E3"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w:t>
            </w:r>
            <w:r>
              <w:rPr>
                <w:rFonts w:eastAsia="Times New Roman" w:cs="Arial"/>
                <w:lang w:eastAsia="en-AU"/>
              </w:rPr>
              <w:t>,</w:t>
            </w:r>
            <w:r w:rsidRPr="003324F1">
              <w:rPr>
                <w:rFonts w:eastAsia="Times New Roman" w:cs="Arial"/>
                <w:lang w:eastAsia="en-AU"/>
              </w:rPr>
              <w:t>692</w:t>
            </w:r>
          </w:p>
        </w:tc>
        <w:tc>
          <w:tcPr>
            <w:tcW w:w="1471" w:type="dxa"/>
            <w:tcBorders>
              <w:left w:val="nil"/>
            </w:tcBorders>
            <w:shd w:val="clear" w:color="auto" w:fill="auto"/>
            <w:vAlign w:val="center"/>
          </w:tcPr>
          <w:p w14:paraId="38DAAC01"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w:t>
            </w:r>
            <w:r>
              <w:rPr>
                <w:rFonts w:eastAsia="Times New Roman" w:cs="Arial"/>
                <w:lang w:eastAsia="en-AU"/>
              </w:rPr>
              <w:t>,</w:t>
            </w:r>
            <w:r w:rsidRPr="003324F1">
              <w:rPr>
                <w:rFonts w:eastAsia="Times New Roman" w:cs="Arial"/>
                <w:lang w:eastAsia="en-AU"/>
              </w:rPr>
              <w:t>202</w:t>
            </w:r>
          </w:p>
        </w:tc>
        <w:tc>
          <w:tcPr>
            <w:tcW w:w="1471" w:type="dxa"/>
            <w:tcBorders>
              <w:right w:val="nil"/>
            </w:tcBorders>
            <w:shd w:val="clear" w:color="auto" w:fill="auto"/>
            <w:noWrap/>
            <w:vAlign w:val="center"/>
          </w:tcPr>
          <w:p w14:paraId="38057D67"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w:t>
            </w:r>
            <w:r>
              <w:rPr>
                <w:rFonts w:eastAsia="Times New Roman" w:cs="Arial"/>
                <w:lang w:eastAsia="en-AU"/>
              </w:rPr>
              <w:t>,</w:t>
            </w:r>
            <w:r w:rsidRPr="003324F1">
              <w:rPr>
                <w:rFonts w:eastAsia="Times New Roman" w:cs="Arial"/>
                <w:lang w:eastAsia="en-AU"/>
              </w:rPr>
              <w:t>863</w:t>
            </w:r>
          </w:p>
        </w:tc>
        <w:tc>
          <w:tcPr>
            <w:tcW w:w="1471" w:type="dxa"/>
            <w:tcBorders>
              <w:left w:val="nil"/>
            </w:tcBorders>
            <w:shd w:val="clear" w:color="auto" w:fill="auto"/>
            <w:vAlign w:val="center"/>
          </w:tcPr>
          <w:p w14:paraId="45A8A67E" w14:textId="77777777" w:rsidR="001E5E82" w:rsidRPr="001E5E82" w:rsidRDefault="001E5E82" w:rsidP="00CE2FDF">
            <w:pPr>
              <w:spacing w:before="0" w:line="276" w:lineRule="auto"/>
              <w:jc w:val="right"/>
              <w:rPr>
                <w:rFonts w:eastAsia="Times New Roman" w:cs="Arial"/>
                <w:lang w:eastAsia="en-AU"/>
              </w:rPr>
            </w:pPr>
            <w:r w:rsidRPr="001E5E82">
              <w:rPr>
                <w:rFonts w:eastAsia="Times New Roman" w:cs="Arial"/>
                <w:lang w:eastAsia="en-AU"/>
              </w:rPr>
              <w:t>2,615</w:t>
            </w:r>
          </w:p>
        </w:tc>
      </w:tr>
      <w:tr w:rsidR="001E5E82" w:rsidRPr="00FD6E8E" w14:paraId="4B1EBE89" w14:textId="77777777" w:rsidTr="00F2448E">
        <w:trPr>
          <w:trHeight w:val="276"/>
        </w:trPr>
        <w:tc>
          <w:tcPr>
            <w:tcW w:w="2660" w:type="dxa"/>
            <w:shd w:val="clear" w:color="auto" w:fill="B8CCE4" w:themeFill="accent1" w:themeFillTint="66"/>
            <w:noWrap/>
            <w:hideMark/>
          </w:tcPr>
          <w:p w14:paraId="3AF24BDC" w14:textId="77777777" w:rsidR="001E5E82" w:rsidRPr="00FD6E8E" w:rsidRDefault="001E5E82" w:rsidP="00CE2FDF">
            <w:pPr>
              <w:spacing w:before="0" w:line="276" w:lineRule="auto"/>
              <w:rPr>
                <w:rFonts w:eastAsia="Times New Roman" w:cs="Arial"/>
                <w:b/>
                <w:lang w:eastAsia="en-AU"/>
              </w:rPr>
            </w:pPr>
            <w:r w:rsidRPr="00FD6E8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7C55170D"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11</w:t>
            </w:r>
            <w:r>
              <w:rPr>
                <w:rFonts w:eastAsia="Times New Roman" w:cs="Arial"/>
                <w:b/>
                <w:lang w:eastAsia="en-AU"/>
              </w:rPr>
              <w:t>,</w:t>
            </w:r>
            <w:r w:rsidRPr="003324F1">
              <w:rPr>
                <w:rFonts w:eastAsia="Times New Roman" w:cs="Arial"/>
                <w:b/>
                <w:lang w:eastAsia="en-AU"/>
              </w:rPr>
              <w:t>749</w:t>
            </w:r>
          </w:p>
        </w:tc>
        <w:tc>
          <w:tcPr>
            <w:tcW w:w="1471" w:type="dxa"/>
            <w:tcBorders>
              <w:left w:val="nil"/>
            </w:tcBorders>
            <w:shd w:val="clear" w:color="auto" w:fill="B8CCE4" w:themeFill="accent1" w:themeFillTint="66"/>
            <w:vAlign w:val="center"/>
          </w:tcPr>
          <w:p w14:paraId="67624FA5"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10</w:t>
            </w:r>
            <w:r>
              <w:rPr>
                <w:rFonts w:eastAsia="Times New Roman" w:cs="Arial"/>
                <w:b/>
                <w:lang w:eastAsia="en-AU"/>
              </w:rPr>
              <w:t>,</w:t>
            </w:r>
            <w:r w:rsidRPr="003324F1">
              <w:rPr>
                <w:rFonts w:eastAsia="Times New Roman" w:cs="Arial"/>
                <w:b/>
                <w:lang w:eastAsia="en-AU"/>
              </w:rPr>
              <w:t>214</w:t>
            </w:r>
          </w:p>
        </w:tc>
        <w:tc>
          <w:tcPr>
            <w:tcW w:w="1471" w:type="dxa"/>
            <w:tcBorders>
              <w:right w:val="nil"/>
            </w:tcBorders>
            <w:shd w:val="clear" w:color="auto" w:fill="B8CCE4" w:themeFill="accent1" w:themeFillTint="66"/>
            <w:noWrap/>
            <w:vAlign w:val="center"/>
          </w:tcPr>
          <w:p w14:paraId="41966BF2"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12</w:t>
            </w:r>
            <w:r>
              <w:rPr>
                <w:rFonts w:eastAsia="Times New Roman" w:cs="Arial"/>
                <w:b/>
                <w:lang w:eastAsia="en-AU"/>
              </w:rPr>
              <w:t>,</w:t>
            </w:r>
            <w:r w:rsidRPr="003324F1">
              <w:rPr>
                <w:rFonts w:eastAsia="Times New Roman" w:cs="Arial"/>
                <w:b/>
                <w:lang w:eastAsia="en-AU"/>
              </w:rPr>
              <w:t>029</w:t>
            </w:r>
          </w:p>
        </w:tc>
        <w:tc>
          <w:tcPr>
            <w:tcW w:w="1471" w:type="dxa"/>
            <w:tcBorders>
              <w:left w:val="nil"/>
            </w:tcBorders>
            <w:shd w:val="clear" w:color="auto" w:fill="B8CCE4" w:themeFill="accent1" w:themeFillTint="66"/>
            <w:vAlign w:val="center"/>
          </w:tcPr>
          <w:p w14:paraId="42B7F82F"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10</w:t>
            </w:r>
            <w:r>
              <w:rPr>
                <w:rFonts w:eastAsia="Times New Roman" w:cs="Arial"/>
                <w:b/>
                <w:lang w:eastAsia="en-AU"/>
              </w:rPr>
              <w:t>,</w:t>
            </w:r>
            <w:r w:rsidRPr="003324F1">
              <w:rPr>
                <w:rFonts w:eastAsia="Times New Roman" w:cs="Arial"/>
                <w:b/>
                <w:lang w:eastAsia="en-AU"/>
              </w:rPr>
              <w:t>109</w:t>
            </w:r>
          </w:p>
        </w:tc>
        <w:tc>
          <w:tcPr>
            <w:tcW w:w="1470" w:type="dxa"/>
            <w:tcBorders>
              <w:right w:val="nil"/>
            </w:tcBorders>
            <w:shd w:val="clear" w:color="auto" w:fill="B8CCE4" w:themeFill="accent1" w:themeFillTint="66"/>
            <w:noWrap/>
            <w:vAlign w:val="center"/>
          </w:tcPr>
          <w:p w14:paraId="26B8F1AD"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9</w:t>
            </w:r>
            <w:r>
              <w:rPr>
                <w:rFonts w:eastAsia="Times New Roman" w:cs="Arial"/>
                <w:b/>
                <w:lang w:eastAsia="en-AU"/>
              </w:rPr>
              <w:t>,</w:t>
            </w:r>
            <w:r w:rsidRPr="003324F1">
              <w:rPr>
                <w:rFonts w:eastAsia="Times New Roman" w:cs="Arial"/>
                <w:b/>
                <w:lang w:eastAsia="en-AU"/>
              </w:rPr>
              <w:t>048</w:t>
            </w:r>
          </w:p>
        </w:tc>
        <w:tc>
          <w:tcPr>
            <w:tcW w:w="1471" w:type="dxa"/>
            <w:tcBorders>
              <w:left w:val="nil"/>
            </w:tcBorders>
            <w:shd w:val="clear" w:color="auto" w:fill="B8CCE4" w:themeFill="accent1" w:themeFillTint="66"/>
            <w:vAlign w:val="center"/>
          </w:tcPr>
          <w:p w14:paraId="201C4215"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8</w:t>
            </w:r>
            <w:r>
              <w:rPr>
                <w:rFonts w:eastAsia="Times New Roman" w:cs="Arial"/>
                <w:b/>
                <w:lang w:eastAsia="en-AU"/>
              </w:rPr>
              <w:t>,</w:t>
            </w:r>
            <w:r w:rsidRPr="003324F1">
              <w:rPr>
                <w:rFonts w:eastAsia="Times New Roman" w:cs="Arial"/>
                <w:b/>
                <w:lang w:eastAsia="en-AU"/>
              </w:rPr>
              <w:t>084</w:t>
            </w:r>
          </w:p>
        </w:tc>
        <w:tc>
          <w:tcPr>
            <w:tcW w:w="1471" w:type="dxa"/>
            <w:tcBorders>
              <w:right w:val="nil"/>
            </w:tcBorders>
            <w:shd w:val="clear" w:color="auto" w:fill="B8CCE4" w:themeFill="accent1" w:themeFillTint="66"/>
            <w:noWrap/>
            <w:vAlign w:val="center"/>
          </w:tcPr>
          <w:p w14:paraId="771FD6FF"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4</w:t>
            </w:r>
            <w:r>
              <w:rPr>
                <w:rFonts w:eastAsia="Times New Roman" w:cs="Arial"/>
                <w:b/>
                <w:lang w:eastAsia="en-AU"/>
              </w:rPr>
              <w:t>,</w:t>
            </w:r>
            <w:r w:rsidRPr="003324F1">
              <w:rPr>
                <w:rFonts w:eastAsia="Times New Roman" w:cs="Arial"/>
                <w:b/>
                <w:lang w:eastAsia="en-AU"/>
              </w:rPr>
              <w:t>441</w:t>
            </w:r>
          </w:p>
        </w:tc>
        <w:tc>
          <w:tcPr>
            <w:tcW w:w="1471" w:type="dxa"/>
            <w:tcBorders>
              <w:left w:val="nil"/>
            </w:tcBorders>
            <w:shd w:val="clear" w:color="auto" w:fill="B8CCE4" w:themeFill="accent1" w:themeFillTint="66"/>
            <w:vAlign w:val="center"/>
          </w:tcPr>
          <w:p w14:paraId="1B87FDC2"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4</w:t>
            </w:r>
            <w:r>
              <w:rPr>
                <w:rFonts w:eastAsia="Times New Roman" w:cs="Arial"/>
                <w:b/>
                <w:lang w:eastAsia="en-AU"/>
              </w:rPr>
              <w:t>,</w:t>
            </w:r>
            <w:r w:rsidRPr="003324F1">
              <w:rPr>
                <w:rFonts w:eastAsia="Times New Roman" w:cs="Arial"/>
                <w:b/>
                <w:lang w:eastAsia="en-AU"/>
              </w:rPr>
              <w:t>002</w:t>
            </w:r>
          </w:p>
        </w:tc>
      </w:tr>
    </w:tbl>
    <w:p w14:paraId="75807D69" w14:textId="77777777" w:rsidR="001E5E82" w:rsidRDefault="001E5E82" w:rsidP="00B15586"/>
    <w:p w14:paraId="5D5817B5" w14:textId="77777777" w:rsidR="001E5E82" w:rsidRDefault="001E5E82" w:rsidP="0095311F">
      <w:pPr>
        <w:pStyle w:val="Figureheading"/>
      </w:pPr>
      <w:bookmarkStart w:id="100" w:name="_Toc382206804"/>
      <w:r>
        <w:t>3.14</w:t>
      </w:r>
      <w:r>
        <w:tab/>
      </w:r>
      <w:bookmarkEnd w:id="100"/>
      <w:r>
        <w:t>Number of reports for 2003, 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76"/>
        <w:gridCol w:w="1177"/>
        <w:gridCol w:w="1176"/>
        <w:gridCol w:w="1177"/>
        <w:gridCol w:w="1177"/>
        <w:gridCol w:w="1176"/>
        <w:gridCol w:w="1177"/>
        <w:gridCol w:w="1176"/>
        <w:gridCol w:w="1177"/>
        <w:gridCol w:w="1177"/>
      </w:tblGrid>
      <w:tr w:rsidR="001E5E82" w:rsidRPr="00F44E7A" w14:paraId="412184DB" w14:textId="77777777" w:rsidTr="00F2448E">
        <w:trPr>
          <w:trHeight w:val="329"/>
        </w:trPr>
        <w:tc>
          <w:tcPr>
            <w:tcW w:w="2660" w:type="dxa"/>
            <w:shd w:val="clear" w:color="auto" w:fill="B8CCE4" w:themeFill="accent1" w:themeFillTint="66"/>
            <w:noWrap/>
            <w:hideMark/>
          </w:tcPr>
          <w:p w14:paraId="1792709E" w14:textId="77777777" w:rsidR="001E5E82" w:rsidRPr="00F44E7A" w:rsidRDefault="001E5E82" w:rsidP="00CE2FDF">
            <w:pPr>
              <w:keepNext/>
              <w:spacing w:before="0" w:line="276" w:lineRule="auto"/>
              <w:jc w:val="center"/>
              <w:rPr>
                <w:rFonts w:eastAsia="Times New Roman" w:cs="Arial"/>
                <w:b/>
                <w:lang w:eastAsia="en-AU"/>
              </w:rPr>
            </w:pPr>
          </w:p>
        </w:tc>
        <w:tc>
          <w:tcPr>
            <w:tcW w:w="2353" w:type="dxa"/>
            <w:gridSpan w:val="2"/>
            <w:shd w:val="clear" w:color="auto" w:fill="B8CCE4" w:themeFill="accent1" w:themeFillTint="66"/>
            <w:noWrap/>
            <w:hideMark/>
          </w:tcPr>
          <w:p w14:paraId="67F72C85" w14:textId="77777777" w:rsidR="001E5E82" w:rsidRPr="00F44E7A" w:rsidRDefault="001E5E82"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1073E354" w14:textId="77777777" w:rsidR="001E5E82" w:rsidRPr="00F44E7A" w:rsidRDefault="001E5E82"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48E4CE67" w14:textId="77777777" w:rsidR="001E5E82" w:rsidRPr="00F44E7A" w:rsidRDefault="001E5E82"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0CCF2ACD" w14:textId="77777777" w:rsidR="001E5E82" w:rsidRPr="00F44E7A" w:rsidRDefault="001E5E82"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02A9A4BC" w14:textId="77777777" w:rsidR="001E5E82" w:rsidRPr="00F44E7A" w:rsidRDefault="001E5E82"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1E5E82" w:rsidRPr="00F44E7A" w14:paraId="240F43A9" w14:textId="77777777" w:rsidTr="00F2448E">
        <w:trPr>
          <w:trHeight w:val="264"/>
        </w:trPr>
        <w:tc>
          <w:tcPr>
            <w:tcW w:w="2660" w:type="dxa"/>
            <w:shd w:val="clear" w:color="auto" w:fill="B8CCE4" w:themeFill="accent1" w:themeFillTint="66"/>
            <w:noWrap/>
            <w:hideMark/>
          </w:tcPr>
          <w:p w14:paraId="3DF2A71E" w14:textId="77777777" w:rsidR="001E5E82" w:rsidRPr="00F44E7A" w:rsidRDefault="001E5E82" w:rsidP="00CE2FDF">
            <w:pPr>
              <w:keepNext/>
              <w:spacing w:before="0" w:line="276"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21020769" w14:textId="77777777" w:rsidR="001E5E82" w:rsidRPr="00F44E7A" w:rsidRDefault="001E5E8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65E314FE" w14:textId="77777777" w:rsidR="001E5E82" w:rsidRPr="00F44E7A" w:rsidRDefault="001E5E8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53A949E9" w14:textId="77777777" w:rsidR="001E5E82" w:rsidRPr="00F44E7A" w:rsidRDefault="001E5E8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2085503B" w14:textId="77777777" w:rsidR="001E5E82" w:rsidRPr="00F44E7A" w:rsidRDefault="001E5E8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3563A015" w14:textId="77777777" w:rsidR="001E5E82" w:rsidRPr="00F44E7A" w:rsidRDefault="001E5E8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4A010565" w14:textId="77777777" w:rsidR="001E5E82" w:rsidRPr="00F44E7A" w:rsidRDefault="001E5E8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2438BD46" w14:textId="77777777" w:rsidR="001E5E82" w:rsidRPr="00F44E7A" w:rsidRDefault="001E5E8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2FC1E825" w14:textId="77777777" w:rsidR="001E5E82" w:rsidRPr="00F44E7A" w:rsidRDefault="001E5E8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3CF39262" w14:textId="77777777" w:rsidR="001E5E82" w:rsidRPr="00F44E7A" w:rsidRDefault="001E5E8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67438341" w14:textId="77777777" w:rsidR="001E5E82" w:rsidRPr="00F44E7A" w:rsidRDefault="001E5E82"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1E5E82" w:rsidRPr="003324F1" w14:paraId="0510A2AD" w14:textId="77777777" w:rsidTr="00F2448E">
        <w:trPr>
          <w:trHeight w:val="276"/>
        </w:trPr>
        <w:tc>
          <w:tcPr>
            <w:tcW w:w="2660" w:type="dxa"/>
            <w:noWrap/>
            <w:hideMark/>
          </w:tcPr>
          <w:p w14:paraId="78A36536" w14:textId="77777777" w:rsidR="001E5E82" w:rsidRPr="00F44E7A" w:rsidRDefault="001E5E82"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1176" w:type="dxa"/>
            <w:tcBorders>
              <w:right w:val="nil"/>
            </w:tcBorders>
            <w:noWrap/>
            <w:vAlign w:val="center"/>
          </w:tcPr>
          <w:p w14:paraId="2F6EB903"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582</w:t>
            </w:r>
          </w:p>
        </w:tc>
        <w:tc>
          <w:tcPr>
            <w:tcW w:w="1177" w:type="dxa"/>
            <w:tcBorders>
              <w:left w:val="nil"/>
            </w:tcBorders>
            <w:vAlign w:val="center"/>
          </w:tcPr>
          <w:p w14:paraId="45BC6D40"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581</w:t>
            </w:r>
          </w:p>
        </w:tc>
        <w:tc>
          <w:tcPr>
            <w:tcW w:w="1176" w:type="dxa"/>
            <w:tcBorders>
              <w:right w:val="nil"/>
            </w:tcBorders>
            <w:noWrap/>
            <w:vAlign w:val="center"/>
          </w:tcPr>
          <w:p w14:paraId="68B7FCD3"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431</w:t>
            </w:r>
          </w:p>
        </w:tc>
        <w:tc>
          <w:tcPr>
            <w:tcW w:w="1177" w:type="dxa"/>
            <w:tcBorders>
              <w:left w:val="nil"/>
            </w:tcBorders>
            <w:vAlign w:val="center"/>
          </w:tcPr>
          <w:p w14:paraId="756B1CEA"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431</w:t>
            </w:r>
          </w:p>
        </w:tc>
        <w:tc>
          <w:tcPr>
            <w:tcW w:w="1177" w:type="dxa"/>
            <w:tcBorders>
              <w:right w:val="nil"/>
            </w:tcBorders>
            <w:noWrap/>
            <w:vAlign w:val="center"/>
          </w:tcPr>
          <w:p w14:paraId="29413D49"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264</w:t>
            </w:r>
          </w:p>
        </w:tc>
        <w:tc>
          <w:tcPr>
            <w:tcW w:w="1176" w:type="dxa"/>
            <w:tcBorders>
              <w:left w:val="nil"/>
            </w:tcBorders>
            <w:vAlign w:val="center"/>
          </w:tcPr>
          <w:p w14:paraId="46D8F229"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264</w:t>
            </w:r>
          </w:p>
        </w:tc>
        <w:tc>
          <w:tcPr>
            <w:tcW w:w="1177" w:type="dxa"/>
            <w:tcBorders>
              <w:right w:val="nil"/>
            </w:tcBorders>
            <w:noWrap/>
            <w:vAlign w:val="center"/>
          </w:tcPr>
          <w:p w14:paraId="0BCEE42B"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167</w:t>
            </w:r>
          </w:p>
        </w:tc>
        <w:tc>
          <w:tcPr>
            <w:tcW w:w="1176" w:type="dxa"/>
            <w:tcBorders>
              <w:left w:val="nil"/>
            </w:tcBorders>
            <w:vAlign w:val="center"/>
          </w:tcPr>
          <w:p w14:paraId="1B13EDDC"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167</w:t>
            </w:r>
          </w:p>
        </w:tc>
        <w:tc>
          <w:tcPr>
            <w:tcW w:w="1177" w:type="dxa"/>
            <w:tcBorders>
              <w:right w:val="nil"/>
            </w:tcBorders>
            <w:noWrap/>
            <w:vAlign w:val="center"/>
          </w:tcPr>
          <w:p w14:paraId="6698D927"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w:t>
            </w:r>
            <w:r>
              <w:rPr>
                <w:rFonts w:eastAsia="Times New Roman" w:cs="Arial"/>
                <w:b/>
                <w:lang w:eastAsia="en-AU"/>
              </w:rPr>
              <w:t>,</w:t>
            </w:r>
            <w:r w:rsidRPr="003324F1">
              <w:rPr>
                <w:rFonts w:eastAsia="Times New Roman" w:cs="Arial"/>
                <w:b/>
                <w:lang w:eastAsia="en-AU"/>
              </w:rPr>
              <w:t>013</w:t>
            </w:r>
          </w:p>
        </w:tc>
        <w:tc>
          <w:tcPr>
            <w:tcW w:w="1177" w:type="dxa"/>
            <w:tcBorders>
              <w:left w:val="nil"/>
            </w:tcBorders>
            <w:vAlign w:val="center"/>
          </w:tcPr>
          <w:p w14:paraId="10CF8AE8"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w:t>
            </w:r>
            <w:r>
              <w:rPr>
                <w:rFonts w:eastAsia="Times New Roman" w:cs="Arial"/>
                <w:b/>
                <w:lang w:eastAsia="en-AU"/>
              </w:rPr>
              <w:t>,</w:t>
            </w:r>
            <w:r w:rsidRPr="003324F1">
              <w:rPr>
                <w:rFonts w:eastAsia="Times New Roman" w:cs="Arial"/>
                <w:b/>
                <w:lang w:eastAsia="en-AU"/>
              </w:rPr>
              <w:t>008</w:t>
            </w:r>
          </w:p>
        </w:tc>
      </w:tr>
      <w:tr w:rsidR="001E5E82" w:rsidRPr="003324F1" w14:paraId="6CCD69B4" w14:textId="77777777" w:rsidTr="00F2448E">
        <w:trPr>
          <w:trHeight w:val="276"/>
        </w:trPr>
        <w:tc>
          <w:tcPr>
            <w:tcW w:w="2660" w:type="dxa"/>
            <w:shd w:val="clear" w:color="auto" w:fill="DBE5F1" w:themeFill="accent1" w:themeFillTint="33"/>
            <w:noWrap/>
            <w:hideMark/>
          </w:tcPr>
          <w:p w14:paraId="6A3D89C2" w14:textId="77777777" w:rsidR="001E5E82" w:rsidRPr="00F44E7A" w:rsidRDefault="001E5E82"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55DAB92F"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757</w:t>
            </w:r>
          </w:p>
        </w:tc>
        <w:tc>
          <w:tcPr>
            <w:tcW w:w="1177" w:type="dxa"/>
            <w:tcBorders>
              <w:left w:val="nil"/>
            </w:tcBorders>
            <w:shd w:val="clear" w:color="auto" w:fill="DBE5F1" w:themeFill="accent1" w:themeFillTint="33"/>
            <w:vAlign w:val="center"/>
          </w:tcPr>
          <w:p w14:paraId="42FF1485"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729</w:t>
            </w:r>
          </w:p>
        </w:tc>
        <w:tc>
          <w:tcPr>
            <w:tcW w:w="1176" w:type="dxa"/>
            <w:tcBorders>
              <w:right w:val="nil"/>
            </w:tcBorders>
            <w:shd w:val="clear" w:color="auto" w:fill="DBE5F1" w:themeFill="accent1" w:themeFillTint="33"/>
            <w:noWrap/>
            <w:vAlign w:val="center"/>
          </w:tcPr>
          <w:p w14:paraId="4EC300FE"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607</w:t>
            </w:r>
          </w:p>
        </w:tc>
        <w:tc>
          <w:tcPr>
            <w:tcW w:w="1177" w:type="dxa"/>
            <w:tcBorders>
              <w:left w:val="nil"/>
            </w:tcBorders>
            <w:shd w:val="clear" w:color="auto" w:fill="DBE5F1" w:themeFill="accent1" w:themeFillTint="33"/>
            <w:vAlign w:val="center"/>
          </w:tcPr>
          <w:p w14:paraId="2A09DF79"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599</w:t>
            </w:r>
          </w:p>
        </w:tc>
        <w:tc>
          <w:tcPr>
            <w:tcW w:w="1177" w:type="dxa"/>
            <w:tcBorders>
              <w:right w:val="nil"/>
            </w:tcBorders>
            <w:shd w:val="clear" w:color="auto" w:fill="DBE5F1" w:themeFill="accent1" w:themeFillTint="33"/>
            <w:noWrap/>
            <w:vAlign w:val="center"/>
          </w:tcPr>
          <w:p w14:paraId="57CEFE92"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398</w:t>
            </w:r>
          </w:p>
        </w:tc>
        <w:tc>
          <w:tcPr>
            <w:tcW w:w="1176" w:type="dxa"/>
            <w:tcBorders>
              <w:left w:val="nil"/>
            </w:tcBorders>
            <w:shd w:val="clear" w:color="auto" w:fill="DBE5F1" w:themeFill="accent1" w:themeFillTint="33"/>
            <w:vAlign w:val="center"/>
          </w:tcPr>
          <w:p w14:paraId="3B090A2B"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396</w:t>
            </w:r>
          </w:p>
        </w:tc>
        <w:tc>
          <w:tcPr>
            <w:tcW w:w="1177" w:type="dxa"/>
            <w:tcBorders>
              <w:right w:val="nil"/>
            </w:tcBorders>
            <w:shd w:val="clear" w:color="auto" w:fill="DBE5F1" w:themeFill="accent1" w:themeFillTint="33"/>
            <w:noWrap/>
            <w:vAlign w:val="center"/>
          </w:tcPr>
          <w:p w14:paraId="64D7F95F"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209</w:t>
            </w:r>
          </w:p>
        </w:tc>
        <w:tc>
          <w:tcPr>
            <w:tcW w:w="1176" w:type="dxa"/>
            <w:tcBorders>
              <w:left w:val="nil"/>
            </w:tcBorders>
            <w:shd w:val="clear" w:color="auto" w:fill="DBE5F1" w:themeFill="accent1" w:themeFillTint="33"/>
            <w:vAlign w:val="center"/>
          </w:tcPr>
          <w:p w14:paraId="4C86A4FA"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206</w:t>
            </w:r>
          </w:p>
        </w:tc>
        <w:tc>
          <w:tcPr>
            <w:tcW w:w="1177" w:type="dxa"/>
            <w:tcBorders>
              <w:right w:val="nil"/>
            </w:tcBorders>
            <w:shd w:val="clear" w:color="auto" w:fill="DBE5F1" w:themeFill="accent1" w:themeFillTint="33"/>
            <w:noWrap/>
            <w:vAlign w:val="center"/>
          </w:tcPr>
          <w:p w14:paraId="6473E123"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w:t>
            </w:r>
            <w:r>
              <w:rPr>
                <w:rFonts w:eastAsia="Times New Roman" w:cs="Arial"/>
                <w:b/>
                <w:lang w:eastAsia="en-AU"/>
              </w:rPr>
              <w:t>,</w:t>
            </w:r>
            <w:r w:rsidRPr="003324F1">
              <w:rPr>
                <w:rFonts w:eastAsia="Times New Roman" w:cs="Arial"/>
                <w:b/>
                <w:lang w:eastAsia="en-AU"/>
              </w:rPr>
              <w:t>364</w:t>
            </w:r>
          </w:p>
        </w:tc>
        <w:tc>
          <w:tcPr>
            <w:tcW w:w="1177" w:type="dxa"/>
            <w:tcBorders>
              <w:left w:val="nil"/>
            </w:tcBorders>
            <w:shd w:val="clear" w:color="auto" w:fill="DBE5F1" w:themeFill="accent1" w:themeFillTint="33"/>
            <w:vAlign w:val="center"/>
          </w:tcPr>
          <w:p w14:paraId="4C90DF25"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w:t>
            </w:r>
            <w:r>
              <w:rPr>
                <w:rFonts w:eastAsia="Times New Roman" w:cs="Arial"/>
                <w:b/>
                <w:lang w:eastAsia="en-AU"/>
              </w:rPr>
              <w:t>,</w:t>
            </w:r>
            <w:r w:rsidRPr="003324F1">
              <w:rPr>
                <w:rFonts w:eastAsia="Times New Roman" w:cs="Arial"/>
                <w:b/>
                <w:lang w:eastAsia="en-AU"/>
              </w:rPr>
              <w:t>313</w:t>
            </w:r>
          </w:p>
        </w:tc>
      </w:tr>
      <w:tr w:rsidR="001E5E82" w:rsidRPr="003324F1" w14:paraId="00017113" w14:textId="77777777" w:rsidTr="00F2448E">
        <w:trPr>
          <w:trHeight w:val="276"/>
        </w:trPr>
        <w:tc>
          <w:tcPr>
            <w:tcW w:w="2660" w:type="dxa"/>
            <w:noWrap/>
            <w:hideMark/>
          </w:tcPr>
          <w:p w14:paraId="1F5D0160" w14:textId="77777777" w:rsidR="001E5E82" w:rsidRPr="00F44E7A" w:rsidRDefault="001E5E82" w:rsidP="00CE2FDF">
            <w:pPr>
              <w:spacing w:before="0" w:line="276"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noWrap/>
            <w:vAlign w:val="center"/>
          </w:tcPr>
          <w:p w14:paraId="4E0A7167"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w:t>
            </w:r>
            <w:r>
              <w:rPr>
                <w:rFonts w:eastAsia="Times New Roman" w:cs="Arial"/>
                <w:lang w:eastAsia="en-AU"/>
              </w:rPr>
              <w:t>,</w:t>
            </w:r>
            <w:r w:rsidRPr="003324F1">
              <w:rPr>
                <w:rFonts w:eastAsia="Times New Roman" w:cs="Arial"/>
                <w:lang w:eastAsia="en-AU"/>
              </w:rPr>
              <w:t>053</w:t>
            </w:r>
          </w:p>
        </w:tc>
        <w:tc>
          <w:tcPr>
            <w:tcW w:w="1177" w:type="dxa"/>
            <w:tcBorders>
              <w:left w:val="nil"/>
            </w:tcBorders>
            <w:vAlign w:val="center"/>
          </w:tcPr>
          <w:p w14:paraId="01AD58BC"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w:t>
            </w:r>
            <w:r>
              <w:rPr>
                <w:rFonts w:eastAsia="Times New Roman" w:cs="Arial"/>
                <w:lang w:eastAsia="en-AU"/>
              </w:rPr>
              <w:t>,</w:t>
            </w:r>
            <w:r w:rsidRPr="003324F1">
              <w:rPr>
                <w:rFonts w:eastAsia="Times New Roman" w:cs="Arial"/>
                <w:lang w:eastAsia="en-AU"/>
              </w:rPr>
              <w:t>869</w:t>
            </w:r>
          </w:p>
        </w:tc>
        <w:tc>
          <w:tcPr>
            <w:tcW w:w="1176" w:type="dxa"/>
            <w:tcBorders>
              <w:right w:val="nil"/>
            </w:tcBorders>
            <w:noWrap/>
            <w:vAlign w:val="center"/>
          </w:tcPr>
          <w:p w14:paraId="7231CF61"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w:t>
            </w:r>
            <w:r>
              <w:rPr>
                <w:rFonts w:eastAsia="Times New Roman" w:cs="Arial"/>
                <w:lang w:eastAsia="en-AU"/>
              </w:rPr>
              <w:t>,</w:t>
            </w:r>
            <w:r w:rsidRPr="003324F1">
              <w:rPr>
                <w:rFonts w:eastAsia="Times New Roman" w:cs="Arial"/>
                <w:lang w:eastAsia="en-AU"/>
              </w:rPr>
              <w:t>463</w:t>
            </w:r>
          </w:p>
        </w:tc>
        <w:tc>
          <w:tcPr>
            <w:tcW w:w="1177" w:type="dxa"/>
            <w:tcBorders>
              <w:left w:val="nil"/>
            </w:tcBorders>
            <w:vAlign w:val="center"/>
          </w:tcPr>
          <w:p w14:paraId="7BEDA716"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w:t>
            </w:r>
            <w:r>
              <w:rPr>
                <w:rFonts w:eastAsia="Times New Roman" w:cs="Arial"/>
                <w:lang w:eastAsia="en-AU"/>
              </w:rPr>
              <w:t>,</w:t>
            </w:r>
            <w:r w:rsidRPr="003324F1">
              <w:rPr>
                <w:rFonts w:eastAsia="Times New Roman" w:cs="Arial"/>
                <w:lang w:eastAsia="en-AU"/>
              </w:rPr>
              <w:t>397</w:t>
            </w:r>
          </w:p>
        </w:tc>
        <w:tc>
          <w:tcPr>
            <w:tcW w:w="1177" w:type="dxa"/>
            <w:tcBorders>
              <w:right w:val="nil"/>
            </w:tcBorders>
            <w:noWrap/>
            <w:vAlign w:val="center"/>
          </w:tcPr>
          <w:p w14:paraId="672FE8A8"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751</w:t>
            </w:r>
          </w:p>
        </w:tc>
        <w:tc>
          <w:tcPr>
            <w:tcW w:w="1176" w:type="dxa"/>
            <w:tcBorders>
              <w:left w:val="nil"/>
            </w:tcBorders>
            <w:vAlign w:val="center"/>
          </w:tcPr>
          <w:p w14:paraId="33FD6400"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711</w:t>
            </w:r>
          </w:p>
        </w:tc>
        <w:tc>
          <w:tcPr>
            <w:tcW w:w="1177" w:type="dxa"/>
            <w:tcBorders>
              <w:right w:val="nil"/>
            </w:tcBorders>
            <w:noWrap/>
            <w:vAlign w:val="center"/>
          </w:tcPr>
          <w:p w14:paraId="1AF22E37"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712</w:t>
            </w:r>
          </w:p>
        </w:tc>
        <w:tc>
          <w:tcPr>
            <w:tcW w:w="1176" w:type="dxa"/>
            <w:tcBorders>
              <w:left w:val="nil"/>
            </w:tcBorders>
            <w:vAlign w:val="center"/>
          </w:tcPr>
          <w:p w14:paraId="57E3C221"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705</w:t>
            </w:r>
          </w:p>
        </w:tc>
        <w:tc>
          <w:tcPr>
            <w:tcW w:w="1177" w:type="dxa"/>
            <w:tcBorders>
              <w:right w:val="nil"/>
            </w:tcBorders>
            <w:noWrap/>
            <w:vAlign w:val="center"/>
          </w:tcPr>
          <w:p w14:paraId="579B5722"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6</w:t>
            </w:r>
            <w:r>
              <w:rPr>
                <w:rFonts w:eastAsia="Times New Roman" w:cs="Arial"/>
                <w:b/>
                <w:lang w:eastAsia="en-AU"/>
              </w:rPr>
              <w:t>,</w:t>
            </w:r>
            <w:r w:rsidRPr="003324F1">
              <w:rPr>
                <w:rFonts w:eastAsia="Times New Roman" w:cs="Arial"/>
                <w:b/>
                <w:lang w:eastAsia="en-AU"/>
              </w:rPr>
              <w:t>516</w:t>
            </w:r>
          </w:p>
        </w:tc>
        <w:tc>
          <w:tcPr>
            <w:tcW w:w="1177" w:type="dxa"/>
            <w:tcBorders>
              <w:left w:val="nil"/>
            </w:tcBorders>
            <w:vAlign w:val="center"/>
          </w:tcPr>
          <w:p w14:paraId="7D6AA9CF"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6</w:t>
            </w:r>
            <w:r>
              <w:rPr>
                <w:rFonts w:eastAsia="Times New Roman" w:cs="Arial"/>
                <w:b/>
                <w:lang w:eastAsia="en-AU"/>
              </w:rPr>
              <w:t>,</w:t>
            </w:r>
            <w:r w:rsidRPr="003324F1">
              <w:rPr>
                <w:rFonts w:eastAsia="Times New Roman" w:cs="Arial"/>
                <w:b/>
                <w:lang w:eastAsia="en-AU"/>
              </w:rPr>
              <w:t>057</w:t>
            </w:r>
          </w:p>
        </w:tc>
      </w:tr>
      <w:tr w:rsidR="001E5E82" w:rsidRPr="003324F1" w14:paraId="7A0745B4" w14:textId="77777777" w:rsidTr="00F2448E">
        <w:trPr>
          <w:trHeight w:val="276"/>
        </w:trPr>
        <w:tc>
          <w:tcPr>
            <w:tcW w:w="2660" w:type="dxa"/>
            <w:shd w:val="clear" w:color="auto" w:fill="DBE5F1" w:themeFill="accent1" w:themeFillTint="33"/>
            <w:noWrap/>
            <w:hideMark/>
          </w:tcPr>
          <w:p w14:paraId="525B9794" w14:textId="77777777" w:rsidR="001E5E82" w:rsidRPr="00F44E7A" w:rsidRDefault="001E5E82" w:rsidP="00CE2FDF">
            <w:pPr>
              <w:spacing w:before="0" w:line="276"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DBE5F1" w:themeFill="accent1" w:themeFillTint="33"/>
            <w:noWrap/>
            <w:vAlign w:val="center"/>
          </w:tcPr>
          <w:p w14:paraId="1ED2F305"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w:t>
            </w:r>
            <w:r>
              <w:rPr>
                <w:rFonts w:eastAsia="Times New Roman" w:cs="Arial"/>
                <w:lang w:eastAsia="en-AU"/>
              </w:rPr>
              <w:t>,</w:t>
            </w:r>
            <w:r w:rsidRPr="003324F1">
              <w:rPr>
                <w:rFonts w:eastAsia="Times New Roman" w:cs="Arial"/>
                <w:lang w:eastAsia="en-AU"/>
              </w:rPr>
              <w:t>313</w:t>
            </w:r>
          </w:p>
        </w:tc>
        <w:tc>
          <w:tcPr>
            <w:tcW w:w="1177" w:type="dxa"/>
            <w:tcBorders>
              <w:left w:val="nil"/>
            </w:tcBorders>
            <w:shd w:val="clear" w:color="auto" w:fill="DBE5F1" w:themeFill="accent1" w:themeFillTint="33"/>
            <w:vAlign w:val="center"/>
          </w:tcPr>
          <w:p w14:paraId="1DC1B786"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2</w:t>
            </w:r>
            <w:r>
              <w:rPr>
                <w:rFonts w:eastAsia="Times New Roman" w:cs="Arial"/>
                <w:lang w:eastAsia="en-AU"/>
              </w:rPr>
              <w:t>,</w:t>
            </w:r>
            <w:r w:rsidRPr="003324F1">
              <w:rPr>
                <w:rFonts w:eastAsia="Times New Roman" w:cs="Arial"/>
                <w:lang w:eastAsia="en-AU"/>
              </w:rPr>
              <w:t>138</w:t>
            </w:r>
          </w:p>
        </w:tc>
        <w:tc>
          <w:tcPr>
            <w:tcW w:w="1176" w:type="dxa"/>
            <w:tcBorders>
              <w:right w:val="nil"/>
            </w:tcBorders>
            <w:shd w:val="clear" w:color="auto" w:fill="DBE5F1" w:themeFill="accent1" w:themeFillTint="33"/>
            <w:noWrap/>
            <w:vAlign w:val="center"/>
          </w:tcPr>
          <w:p w14:paraId="2BAA45B4"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344</w:t>
            </w:r>
          </w:p>
        </w:tc>
        <w:tc>
          <w:tcPr>
            <w:tcW w:w="1177" w:type="dxa"/>
            <w:tcBorders>
              <w:left w:val="nil"/>
            </w:tcBorders>
            <w:shd w:val="clear" w:color="auto" w:fill="DBE5F1" w:themeFill="accent1" w:themeFillTint="33"/>
            <w:vAlign w:val="center"/>
          </w:tcPr>
          <w:p w14:paraId="3E40E2CE"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307</w:t>
            </w:r>
          </w:p>
        </w:tc>
        <w:tc>
          <w:tcPr>
            <w:tcW w:w="1177" w:type="dxa"/>
            <w:tcBorders>
              <w:right w:val="nil"/>
            </w:tcBorders>
            <w:shd w:val="clear" w:color="auto" w:fill="DBE5F1" w:themeFill="accent1" w:themeFillTint="33"/>
            <w:noWrap/>
            <w:vAlign w:val="center"/>
          </w:tcPr>
          <w:p w14:paraId="5A49DF90"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756</w:t>
            </w:r>
          </w:p>
        </w:tc>
        <w:tc>
          <w:tcPr>
            <w:tcW w:w="1176" w:type="dxa"/>
            <w:tcBorders>
              <w:left w:val="nil"/>
            </w:tcBorders>
            <w:shd w:val="clear" w:color="auto" w:fill="DBE5F1" w:themeFill="accent1" w:themeFillTint="33"/>
            <w:vAlign w:val="center"/>
          </w:tcPr>
          <w:p w14:paraId="5F127246"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747</w:t>
            </w:r>
          </w:p>
        </w:tc>
        <w:tc>
          <w:tcPr>
            <w:tcW w:w="1177" w:type="dxa"/>
            <w:tcBorders>
              <w:right w:val="nil"/>
            </w:tcBorders>
            <w:shd w:val="clear" w:color="auto" w:fill="DBE5F1" w:themeFill="accent1" w:themeFillTint="33"/>
            <w:noWrap/>
            <w:vAlign w:val="center"/>
          </w:tcPr>
          <w:p w14:paraId="61B6D4E6"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588</w:t>
            </w:r>
          </w:p>
        </w:tc>
        <w:tc>
          <w:tcPr>
            <w:tcW w:w="1176" w:type="dxa"/>
            <w:tcBorders>
              <w:left w:val="nil"/>
            </w:tcBorders>
            <w:shd w:val="clear" w:color="auto" w:fill="DBE5F1" w:themeFill="accent1" w:themeFillTint="33"/>
            <w:vAlign w:val="center"/>
          </w:tcPr>
          <w:p w14:paraId="3E1263DB"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578</w:t>
            </w:r>
          </w:p>
        </w:tc>
        <w:tc>
          <w:tcPr>
            <w:tcW w:w="1177" w:type="dxa"/>
            <w:tcBorders>
              <w:right w:val="nil"/>
            </w:tcBorders>
            <w:shd w:val="clear" w:color="auto" w:fill="DBE5F1" w:themeFill="accent1" w:themeFillTint="33"/>
            <w:noWrap/>
            <w:vAlign w:val="center"/>
          </w:tcPr>
          <w:p w14:paraId="628D9C67"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3</w:t>
            </w:r>
            <w:r>
              <w:rPr>
                <w:rFonts w:eastAsia="Times New Roman" w:cs="Arial"/>
                <w:b/>
                <w:lang w:eastAsia="en-AU"/>
              </w:rPr>
              <w:t>,</w:t>
            </w:r>
            <w:r w:rsidRPr="003324F1">
              <w:rPr>
                <w:rFonts w:eastAsia="Times New Roman" w:cs="Arial"/>
                <w:b/>
                <w:lang w:eastAsia="en-AU"/>
              </w:rPr>
              <w:t>657</w:t>
            </w:r>
          </w:p>
        </w:tc>
        <w:tc>
          <w:tcPr>
            <w:tcW w:w="1177" w:type="dxa"/>
            <w:tcBorders>
              <w:left w:val="nil"/>
            </w:tcBorders>
            <w:shd w:val="clear" w:color="auto" w:fill="DBE5F1" w:themeFill="accent1" w:themeFillTint="33"/>
            <w:vAlign w:val="center"/>
          </w:tcPr>
          <w:p w14:paraId="6DB5FF12"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3</w:t>
            </w:r>
            <w:r>
              <w:rPr>
                <w:rFonts w:eastAsia="Times New Roman" w:cs="Arial"/>
                <w:b/>
                <w:lang w:eastAsia="en-AU"/>
              </w:rPr>
              <w:t>,</w:t>
            </w:r>
            <w:r w:rsidRPr="003324F1">
              <w:rPr>
                <w:rFonts w:eastAsia="Times New Roman" w:cs="Arial"/>
                <w:b/>
                <w:lang w:eastAsia="en-AU"/>
              </w:rPr>
              <w:t>337</w:t>
            </w:r>
          </w:p>
        </w:tc>
      </w:tr>
      <w:tr w:rsidR="001E5E82" w:rsidRPr="003324F1" w14:paraId="682708EC" w14:textId="77777777" w:rsidTr="00F2448E">
        <w:trPr>
          <w:trHeight w:val="276"/>
        </w:trPr>
        <w:tc>
          <w:tcPr>
            <w:tcW w:w="2660" w:type="dxa"/>
            <w:shd w:val="clear" w:color="auto" w:fill="auto"/>
            <w:noWrap/>
            <w:hideMark/>
          </w:tcPr>
          <w:p w14:paraId="040A0773" w14:textId="77777777" w:rsidR="001E5E82" w:rsidRPr="00F44E7A" w:rsidRDefault="001E5E82" w:rsidP="00CE2FDF">
            <w:pPr>
              <w:spacing w:before="0" w:line="276" w:lineRule="auto"/>
              <w:rPr>
                <w:rFonts w:eastAsia="Times New Roman" w:cs="Arial"/>
                <w:b/>
                <w:lang w:eastAsia="en-AU"/>
              </w:rPr>
            </w:pPr>
            <w:r>
              <w:rPr>
                <w:rFonts w:eastAsia="Times New Roman" w:cs="Arial"/>
                <w:b/>
                <w:lang w:eastAsia="en-AU"/>
              </w:rPr>
              <w:t>Psychiatrists</w:t>
            </w:r>
          </w:p>
        </w:tc>
        <w:tc>
          <w:tcPr>
            <w:tcW w:w="1176" w:type="dxa"/>
            <w:tcBorders>
              <w:right w:val="nil"/>
            </w:tcBorders>
            <w:shd w:val="clear" w:color="auto" w:fill="auto"/>
            <w:noWrap/>
            <w:vAlign w:val="center"/>
          </w:tcPr>
          <w:p w14:paraId="0FCC8067"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98</w:t>
            </w:r>
          </w:p>
        </w:tc>
        <w:tc>
          <w:tcPr>
            <w:tcW w:w="1177" w:type="dxa"/>
            <w:tcBorders>
              <w:left w:val="nil"/>
            </w:tcBorders>
            <w:shd w:val="clear" w:color="auto" w:fill="auto"/>
            <w:vAlign w:val="center"/>
          </w:tcPr>
          <w:p w14:paraId="336696AE"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97</w:t>
            </w:r>
          </w:p>
        </w:tc>
        <w:tc>
          <w:tcPr>
            <w:tcW w:w="1176" w:type="dxa"/>
            <w:tcBorders>
              <w:right w:val="nil"/>
            </w:tcBorders>
            <w:shd w:val="clear" w:color="auto" w:fill="auto"/>
            <w:noWrap/>
            <w:vAlign w:val="center"/>
          </w:tcPr>
          <w:p w14:paraId="01AF71F3"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52</w:t>
            </w:r>
          </w:p>
        </w:tc>
        <w:tc>
          <w:tcPr>
            <w:tcW w:w="1177" w:type="dxa"/>
            <w:tcBorders>
              <w:left w:val="nil"/>
            </w:tcBorders>
            <w:shd w:val="clear" w:color="auto" w:fill="auto"/>
            <w:vAlign w:val="center"/>
          </w:tcPr>
          <w:p w14:paraId="42B3177F"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52</w:t>
            </w:r>
          </w:p>
        </w:tc>
        <w:tc>
          <w:tcPr>
            <w:tcW w:w="1177" w:type="dxa"/>
            <w:tcBorders>
              <w:right w:val="nil"/>
            </w:tcBorders>
            <w:shd w:val="clear" w:color="auto" w:fill="auto"/>
            <w:noWrap/>
            <w:vAlign w:val="center"/>
          </w:tcPr>
          <w:p w14:paraId="6B994106"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43</w:t>
            </w:r>
          </w:p>
        </w:tc>
        <w:tc>
          <w:tcPr>
            <w:tcW w:w="1176" w:type="dxa"/>
            <w:tcBorders>
              <w:left w:val="nil"/>
            </w:tcBorders>
            <w:shd w:val="clear" w:color="auto" w:fill="auto"/>
            <w:vAlign w:val="center"/>
          </w:tcPr>
          <w:p w14:paraId="71606482"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43</w:t>
            </w:r>
          </w:p>
        </w:tc>
        <w:tc>
          <w:tcPr>
            <w:tcW w:w="1177" w:type="dxa"/>
            <w:tcBorders>
              <w:right w:val="nil"/>
            </w:tcBorders>
            <w:shd w:val="clear" w:color="auto" w:fill="auto"/>
            <w:noWrap/>
            <w:vAlign w:val="center"/>
          </w:tcPr>
          <w:p w14:paraId="19FCCDA2"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9</w:t>
            </w:r>
          </w:p>
        </w:tc>
        <w:tc>
          <w:tcPr>
            <w:tcW w:w="1176" w:type="dxa"/>
            <w:tcBorders>
              <w:left w:val="nil"/>
            </w:tcBorders>
            <w:shd w:val="clear" w:color="auto" w:fill="auto"/>
            <w:vAlign w:val="center"/>
          </w:tcPr>
          <w:p w14:paraId="126983D1"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9</w:t>
            </w:r>
          </w:p>
        </w:tc>
        <w:tc>
          <w:tcPr>
            <w:tcW w:w="1177" w:type="dxa"/>
            <w:tcBorders>
              <w:right w:val="nil"/>
            </w:tcBorders>
            <w:shd w:val="clear" w:color="auto" w:fill="auto"/>
            <w:noWrap/>
            <w:vAlign w:val="center"/>
          </w:tcPr>
          <w:p w14:paraId="74F292BC"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150</w:t>
            </w:r>
          </w:p>
        </w:tc>
        <w:tc>
          <w:tcPr>
            <w:tcW w:w="1177" w:type="dxa"/>
            <w:tcBorders>
              <w:left w:val="nil"/>
            </w:tcBorders>
            <w:shd w:val="clear" w:color="auto" w:fill="auto"/>
            <w:vAlign w:val="center"/>
          </w:tcPr>
          <w:p w14:paraId="18F41DC7"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147</w:t>
            </w:r>
          </w:p>
        </w:tc>
      </w:tr>
      <w:tr w:rsidR="001E5E82" w:rsidRPr="003324F1" w14:paraId="25A3BAF8" w14:textId="77777777" w:rsidTr="00F2448E">
        <w:trPr>
          <w:trHeight w:val="276"/>
        </w:trPr>
        <w:tc>
          <w:tcPr>
            <w:tcW w:w="2660" w:type="dxa"/>
            <w:shd w:val="clear" w:color="auto" w:fill="DBE5F1" w:themeFill="accent1" w:themeFillTint="33"/>
            <w:noWrap/>
            <w:hideMark/>
          </w:tcPr>
          <w:p w14:paraId="3C8E3754" w14:textId="77777777" w:rsidR="001E5E82" w:rsidRPr="00F44E7A" w:rsidRDefault="001E5E82"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176" w:type="dxa"/>
            <w:tcBorders>
              <w:right w:val="nil"/>
            </w:tcBorders>
            <w:shd w:val="clear" w:color="auto" w:fill="DBE5F1" w:themeFill="accent1" w:themeFillTint="33"/>
            <w:noWrap/>
            <w:vAlign w:val="center"/>
          </w:tcPr>
          <w:p w14:paraId="36ED5314"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w:t>
            </w:r>
            <w:r>
              <w:rPr>
                <w:rFonts w:eastAsia="Times New Roman" w:cs="Arial"/>
                <w:lang w:eastAsia="en-AU"/>
              </w:rPr>
              <w:t>,</w:t>
            </w:r>
            <w:r w:rsidRPr="003324F1">
              <w:rPr>
                <w:rFonts w:eastAsia="Times New Roman" w:cs="Arial"/>
                <w:lang w:eastAsia="en-AU"/>
              </w:rPr>
              <w:t>803</w:t>
            </w:r>
          </w:p>
        </w:tc>
        <w:tc>
          <w:tcPr>
            <w:tcW w:w="1177" w:type="dxa"/>
            <w:tcBorders>
              <w:left w:val="nil"/>
            </w:tcBorders>
            <w:shd w:val="clear" w:color="auto" w:fill="DBE5F1" w:themeFill="accent1" w:themeFillTint="33"/>
            <w:vAlign w:val="center"/>
          </w:tcPr>
          <w:p w14:paraId="4998FDA2"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w:t>
            </w:r>
            <w:r>
              <w:rPr>
                <w:rFonts w:eastAsia="Times New Roman" w:cs="Arial"/>
                <w:lang w:eastAsia="en-AU"/>
              </w:rPr>
              <w:t>,</w:t>
            </w:r>
            <w:r w:rsidRPr="003324F1">
              <w:rPr>
                <w:rFonts w:eastAsia="Times New Roman" w:cs="Arial"/>
                <w:lang w:eastAsia="en-AU"/>
              </w:rPr>
              <w:t>177</w:t>
            </w:r>
          </w:p>
        </w:tc>
        <w:tc>
          <w:tcPr>
            <w:tcW w:w="1176" w:type="dxa"/>
            <w:tcBorders>
              <w:right w:val="nil"/>
            </w:tcBorders>
            <w:shd w:val="clear" w:color="auto" w:fill="DBE5F1" w:themeFill="accent1" w:themeFillTint="33"/>
            <w:noWrap/>
            <w:vAlign w:val="center"/>
          </w:tcPr>
          <w:p w14:paraId="0D4701C0"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w:t>
            </w:r>
            <w:r>
              <w:rPr>
                <w:rFonts w:eastAsia="Times New Roman" w:cs="Arial"/>
                <w:lang w:eastAsia="en-AU"/>
              </w:rPr>
              <w:t>,</w:t>
            </w:r>
            <w:r w:rsidRPr="003324F1">
              <w:rPr>
                <w:rFonts w:eastAsia="Times New Roman" w:cs="Arial"/>
                <w:lang w:eastAsia="en-AU"/>
              </w:rPr>
              <w:t>897</w:t>
            </w:r>
          </w:p>
        </w:tc>
        <w:tc>
          <w:tcPr>
            <w:tcW w:w="1177" w:type="dxa"/>
            <w:tcBorders>
              <w:left w:val="nil"/>
            </w:tcBorders>
            <w:shd w:val="clear" w:color="auto" w:fill="DBE5F1" w:themeFill="accent1" w:themeFillTint="33"/>
            <w:vAlign w:val="center"/>
          </w:tcPr>
          <w:p w14:paraId="781AEAAE"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w:t>
            </w:r>
            <w:r>
              <w:rPr>
                <w:rFonts w:eastAsia="Times New Roman" w:cs="Arial"/>
                <w:lang w:eastAsia="en-AU"/>
              </w:rPr>
              <w:t>,</w:t>
            </w:r>
            <w:r w:rsidRPr="003324F1">
              <w:rPr>
                <w:rFonts w:eastAsia="Times New Roman" w:cs="Arial"/>
                <w:lang w:eastAsia="en-AU"/>
              </w:rPr>
              <w:t>730</w:t>
            </w:r>
          </w:p>
        </w:tc>
        <w:tc>
          <w:tcPr>
            <w:tcW w:w="1177" w:type="dxa"/>
            <w:tcBorders>
              <w:right w:val="nil"/>
            </w:tcBorders>
            <w:shd w:val="clear" w:color="auto" w:fill="DBE5F1" w:themeFill="accent1" w:themeFillTint="33"/>
            <w:noWrap/>
            <w:vAlign w:val="center"/>
          </w:tcPr>
          <w:p w14:paraId="3BA9FD70"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w:t>
            </w:r>
            <w:r>
              <w:rPr>
                <w:rFonts w:eastAsia="Times New Roman" w:cs="Arial"/>
                <w:lang w:eastAsia="en-AU"/>
              </w:rPr>
              <w:t>,</w:t>
            </w:r>
            <w:r w:rsidRPr="003324F1">
              <w:rPr>
                <w:rFonts w:eastAsia="Times New Roman" w:cs="Arial"/>
                <w:lang w:eastAsia="en-AU"/>
              </w:rPr>
              <w:t>212</w:t>
            </w:r>
          </w:p>
        </w:tc>
        <w:tc>
          <w:tcPr>
            <w:tcW w:w="1176" w:type="dxa"/>
            <w:tcBorders>
              <w:left w:val="nil"/>
            </w:tcBorders>
            <w:shd w:val="clear" w:color="auto" w:fill="DBE5F1" w:themeFill="accent1" w:themeFillTint="33"/>
            <w:vAlign w:val="center"/>
          </w:tcPr>
          <w:p w14:paraId="036C7EA5"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w:t>
            </w:r>
            <w:r>
              <w:rPr>
                <w:rFonts w:eastAsia="Times New Roman" w:cs="Arial"/>
                <w:lang w:eastAsia="en-AU"/>
              </w:rPr>
              <w:t>,</w:t>
            </w:r>
            <w:r w:rsidRPr="003324F1">
              <w:rPr>
                <w:rFonts w:eastAsia="Times New Roman" w:cs="Arial"/>
                <w:lang w:eastAsia="en-AU"/>
              </w:rPr>
              <w:t>149</w:t>
            </w:r>
          </w:p>
        </w:tc>
        <w:tc>
          <w:tcPr>
            <w:tcW w:w="1177" w:type="dxa"/>
            <w:tcBorders>
              <w:right w:val="nil"/>
            </w:tcBorders>
            <w:shd w:val="clear" w:color="auto" w:fill="DBE5F1" w:themeFill="accent1" w:themeFillTint="33"/>
            <w:noWrap/>
            <w:vAlign w:val="center"/>
          </w:tcPr>
          <w:p w14:paraId="744321F5"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685</w:t>
            </w:r>
          </w:p>
        </w:tc>
        <w:tc>
          <w:tcPr>
            <w:tcW w:w="1176" w:type="dxa"/>
            <w:tcBorders>
              <w:left w:val="nil"/>
            </w:tcBorders>
            <w:shd w:val="clear" w:color="auto" w:fill="DBE5F1" w:themeFill="accent1" w:themeFillTint="33"/>
            <w:vAlign w:val="center"/>
          </w:tcPr>
          <w:p w14:paraId="4E7A9FAD"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w:t>
            </w:r>
            <w:r>
              <w:rPr>
                <w:rFonts w:eastAsia="Times New Roman" w:cs="Arial"/>
                <w:lang w:eastAsia="en-AU"/>
              </w:rPr>
              <w:t>,</w:t>
            </w:r>
            <w:r w:rsidRPr="003324F1">
              <w:rPr>
                <w:rFonts w:eastAsia="Times New Roman" w:cs="Arial"/>
                <w:lang w:eastAsia="en-AU"/>
              </w:rPr>
              <w:t>652</w:t>
            </w:r>
          </w:p>
        </w:tc>
        <w:tc>
          <w:tcPr>
            <w:tcW w:w="1177" w:type="dxa"/>
            <w:tcBorders>
              <w:right w:val="nil"/>
            </w:tcBorders>
            <w:shd w:val="clear" w:color="auto" w:fill="DBE5F1" w:themeFill="accent1" w:themeFillTint="33"/>
            <w:noWrap/>
            <w:vAlign w:val="center"/>
          </w:tcPr>
          <w:p w14:paraId="514C8A6F"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12</w:t>
            </w:r>
            <w:r>
              <w:rPr>
                <w:rFonts w:eastAsia="Times New Roman" w:cs="Arial"/>
                <w:b/>
                <w:lang w:eastAsia="en-AU"/>
              </w:rPr>
              <w:t>,</w:t>
            </w:r>
            <w:r w:rsidRPr="003324F1">
              <w:rPr>
                <w:rFonts w:eastAsia="Times New Roman" w:cs="Arial"/>
                <w:b/>
                <w:lang w:eastAsia="en-AU"/>
              </w:rPr>
              <w:t>700</w:t>
            </w:r>
          </w:p>
        </w:tc>
        <w:tc>
          <w:tcPr>
            <w:tcW w:w="1177" w:type="dxa"/>
            <w:tcBorders>
              <w:left w:val="nil"/>
            </w:tcBorders>
            <w:shd w:val="clear" w:color="auto" w:fill="DBE5F1" w:themeFill="accent1" w:themeFillTint="33"/>
            <w:vAlign w:val="center"/>
          </w:tcPr>
          <w:p w14:paraId="0067B552"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11</w:t>
            </w:r>
            <w:r>
              <w:rPr>
                <w:rFonts w:eastAsia="Times New Roman" w:cs="Arial"/>
                <w:b/>
                <w:lang w:eastAsia="en-AU"/>
              </w:rPr>
              <w:t>,</w:t>
            </w:r>
            <w:r w:rsidRPr="003324F1">
              <w:rPr>
                <w:rFonts w:eastAsia="Times New Roman" w:cs="Arial"/>
                <w:b/>
                <w:lang w:eastAsia="en-AU"/>
              </w:rPr>
              <w:t>374</w:t>
            </w:r>
          </w:p>
        </w:tc>
      </w:tr>
      <w:tr w:rsidR="001E5E82" w:rsidRPr="003324F1" w14:paraId="019FDF6E" w14:textId="77777777" w:rsidTr="00F2448E">
        <w:trPr>
          <w:trHeight w:val="276"/>
        </w:trPr>
        <w:tc>
          <w:tcPr>
            <w:tcW w:w="2660" w:type="dxa"/>
            <w:shd w:val="clear" w:color="auto" w:fill="auto"/>
            <w:noWrap/>
            <w:hideMark/>
          </w:tcPr>
          <w:p w14:paraId="15488E12" w14:textId="77777777" w:rsidR="001E5E82" w:rsidRPr="00F44E7A" w:rsidRDefault="001E5E82"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1176" w:type="dxa"/>
            <w:tcBorders>
              <w:right w:val="nil"/>
            </w:tcBorders>
            <w:shd w:val="clear" w:color="auto" w:fill="auto"/>
            <w:noWrap/>
            <w:vAlign w:val="center"/>
          </w:tcPr>
          <w:p w14:paraId="1B7EFF77"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16</w:t>
            </w:r>
            <w:r>
              <w:rPr>
                <w:rFonts w:eastAsia="Times New Roman" w:cs="Arial"/>
                <w:lang w:eastAsia="en-AU"/>
              </w:rPr>
              <w:t>,</w:t>
            </w:r>
            <w:r w:rsidRPr="003324F1">
              <w:rPr>
                <w:rFonts w:eastAsia="Times New Roman" w:cs="Arial"/>
                <w:lang w:eastAsia="en-AU"/>
              </w:rPr>
              <w:t>996</w:t>
            </w:r>
          </w:p>
        </w:tc>
        <w:tc>
          <w:tcPr>
            <w:tcW w:w="1177" w:type="dxa"/>
            <w:tcBorders>
              <w:left w:val="nil"/>
            </w:tcBorders>
            <w:shd w:val="clear" w:color="auto" w:fill="auto"/>
            <w:vAlign w:val="center"/>
          </w:tcPr>
          <w:p w14:paraId="721B312C"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14</w:t>
            </w:r>
            <w:r>
              <w:rPr>
                <w:rFonts w:eastAsia="Times New Roman" w:cs="Arial"/>
                <w:lang w:eastAsia="en-AU"/>
              </w:rPr>
              <w:t>,</w:t>
            </w:r>
            <w:r w:rsidRPr="003324F1">
              <w:rPr>
                <w:rFonts w:eastAsia="Times New Roman" w:cs="Arial"/>
                <w:lang w:eastAsia="en-AU"/>
              </w:rPr>
              <w:t>029</w:t>
            </w:r>
          </w:p>
        </w:tc>
        <w:tc>
          <w:tcPr>
            <w:tcW w:w="1176" w:type="dxa"/>
            <w:tcBorders>
              <w:right w:val="nil"/>
            </w:tcBorders>
            <w:shd w:val="clear" w:color="auto" w:fill="auto"/>
            <w:noWrap/>
            <w:vAlign w:val="center"/>
          </w:tcPr>
          <w:p w14:paraId="183A66FD"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7</w:t>
            </w:r>
            <w:r>
              <w:rPr>
                <w:rFonts w:eastAsia="Times New Roman" w:cs="Arial"/>
                <w:lang w:eastAsia="en-AU"/>
              </w:rPr>
              <w:t>,</w:t>
            </w:r>
            <w:r w:rsidRPr="003324F1">
              <w:rPr>
                <w:rFonts w:eastAsia="Times New Roman" w:cs="Arial"/>
                <w:lang w:eastAsia="en-AU"/>
              </w:rPr>
              <w:t>571</w:t>
            </w:r>
          </w:p>
        </w:tc>
        <w:tc>
          <w:tcPr>
            <w:tcW w:w="1177" w:type="dxa"/>
            <w:tcBorders>
              <w:left w:val="nil"/>
            </w:tcBorders>
            <w:shd w:val="clear" w:color="auto" w:fill="auto"/>
            <w:vAlign w:val="center"/>
          </w:tcPr>
          <w:p w14:paraId="138DB115"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6</w:t>
            </w:r>
            <w:r>
              <w:rPr>
                <w:rFonts w:eastAsia="Times New Roman" w:cs="Arial"/>
                <w:lang w:eastAsia="en-AU"/>
              </w:rPr>
              <w:t>,</w:t>
            </w:r>
            <w:r w:rsidRPr="003324F1">
              <w:rPr>
                <w:rFonts w:eastAsia="Times New Roman" w:cs="Arial"/>
                <w:lang w:eastAsia="en-AU"/>
              </w:rPr>
              <w:t>988</w:t>
            </w:r>
          </w:p>
        </w:tc>
        <w:tc>
          <w:tcPr>
            <w:tcW w:w="1177" w:type="dxa"/>
            <w:tcBorders>
              <w:right w:val="nil"/>
            </w:tcBorders>
            <w:shd w:val="clear" w:color="auto" w:fill="auto"/>
            <w:noWrap/>
            <w:vAlign w:val="center"/>
          </w:tcPr>
          <w:p w14:paraId="3DCF3CCF"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w:t>
            </w:r>
            <w:r>
              <w:rPr>
                <w:rFonts w:eastAsia="Times New Roman" w:cs="Arial"/>
                <w:lang w:eastAsia="en-AU"/>
              </w:rPr>
              <w:t>,</w:t>
            </w:r>
            <w:r w:rsidRPr="003324F1">
              <w:rPr>
                <w:rFonts w:eastAsia="Times New Roman" w:cs="Arial"/>
                <w:lang w:eastAsia="en-AU"/>
              </w:rPr>
              <w:t>199</w:t>
            </w:r>
          </w:p>
        </w:tc>
        <w:tc>
          <w:tcPr>
            <w:tcW w:w="1176" w:type="dxa"/>
            <w:tcBorders>
              <w:left w:val="nil"/>
            </w:tcBorders>
            <w:shd w:val="clear" w:color="auto" w:fill="auto"/>
            <w:vAlign w:val="center"/>
          </w:tcPr>
          <w:p w14:paraId="525CA44B"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4</w:t>
            </w:r>
            <w:r>
              <w:rPr>
                <w:rFonts w:eastAsia="Times New Roman" w:cs="Arial"/>
                <w:lang w:eastAsia="en-AU"/>
              </w:rPr>
              <w:t>,</w:t>
            </w:r>
            <w:r w:rsidRPr="003324F1">
              <w:rPr>
                <w:rFonts w:eastAsia="Times New Roman" w:cs="Arial"/>
                <w:lang w:eastAsia="en-AU"/>
              </w:rPr>
              <w:t>034</w:t>
            </w:r>
          </w:p>
        </w:tc>
        <w:tc>
          <w:tcPr>
            <w:tcW w:w="1177" w:type="dxa"/>
            <w:tcBorders>
              <w:right w:val="nil"/>
            </w:tcBorders>
            <w:shd w:val="clear" w:color="auto" w:fill="auto"/>
            <w:noWrap/>
            <w:vAlign w:val="center"/>
          </w:tcPr>
          <w:p w14:paraId="4717BBF2"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w:t>
            </w:r>
            <w:r>
              <w:rPr>
                <w:rFonts w:eastAsia="Times New Roman" w:cs="Arial"/>
                <w:lang w:eastAsia="en-AU"/>
              </w:rPr>
              <w:t>,</w:t>
            </w:r>
            <w:r w:rsidRPr="003324F1">
              <w:rPr>
                <w:rFonts w:eastAsia="Times New Roman" w:cs="Arial"/>
                <w:lang w:eastAsia="en-AU"/>
              </w:rPr>
              <w:t>372</w:t>
            </w:r>
          </w:p>
        </w:tc>
        <w:tc>
          <w:tcPr>
            <w:tcW w:w="1176" w:type="dxa"/>
            <w:tcBorders>
              <w:left w:val="nil"/>
            </w:tcBorders>
            <w:shd w:val="clear" w:color="auto" w:fill="auto"/>
            <w:vAlign w:val="center"/>
          </w:tcPr>
          <w:p w14:paraId="7491FF90" w14:textId="77777777" w:rsidR="001E5E82" w:rsidRPr="003324F1" w:rsidRDefault="001E5E82" w:rsidP="00CE2FDF">
            <w:pPr>
              <w:spacing w:before="0" w:line="276" w:lineRule="auto"/>
              <w:jc w:val="right"/>
              <w:rPr>
                <w:rFonts w:eastAsia="Times New Roman" w:cs="Arial"/>
                <w:lang w:eastAsia="en-AU"/>
              </w:rPr>
            </w:pPr>
            <w:r w:rsidRPr="003324F1">
              <w:rPr>
                <w:rFonts w:eastAsia="Times New Roman" w:cs="Arial"/>
                <w:lang w:eastAsia="en-AU"/>
              </w:rPr>
              <w:t>3</w:t>
            </w:r>
            <w:r>
              <w:rPr>
                <w:rFonts w:eastAsia="Times New Roman" w:cs="Arial"/>
                <w:lang w:eastAsia="en-AU"/>
              </w:rPr>
              <w:t>,</w:t>
            </w:r>
            <w:r w:rsidRPr="003324F1">
              <w:rPr>
                <w:rFonts w:eastAsia="Times New Roman" w:cs="Arial"/>
                <w:lang w:eastAsia="en-AU"/>
              </w:rPr>
              <w:t>209</w:t>
            </w:r>
          </w:p>
        </w:tc>
        <w:tc>
          <w:tcPr>
            <w:tcW w:w="1177" w:type="dxa"/>
            <w:tcBorders>
              <w:right w:val="nil"/>
            </w:tcBorders>
            <w:shd w:val="clear" w:color="auto" w:fill="auto"/>
            <w:noWrap/>
            <w:vAlign w:val="center"/>
          </w:tcPr>
          <w:p w14:paraId="2006308C"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24</w:t>
            </w:r>
            <w:r>
              <w:rPr>
                <w:rFonts w:eastAsia="Times New Roman" w:cs="Arial"/>
                <w:b/>
                <w:lang w:eastAsia="en-AU"/>
              </w:rPr>
              <w:t>,</w:t>
            </w:r>
            <w:r w:rsidRPr="003324F1">
              <w:rPr>
                <w:rFonts w:eastAsia="Times New Roman" w:cs="Arial"/>
                <w:b/>
                <w:lang w:eastAsia="en-AU"/>
              </w:rPr>
              <w:t>567</w:t>
            </w:r>
          </w:p>
        </w:tc>
        <w:tc>
          <w:tcPr>
            <w:tcW w:w="1177" w:type="dxa"/>
            <w:tcBorders>
              <w:left w:val="nil"/>
            </w:tcBorders>
            <w:shd w:val="clear" w:color="auto" w:fill="auto"/>
            <w:vAlign w:val="center"/>
          </w:tcPr>
          <w:p w14:paraId="288140CE"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19</w:t>
            </w:r>
            <w:r>
              <w:rPr>
                <w:rFonts w:eastAsia="Times New Roman" w:cs="Arial"/>
                <w:b/>
                <w:lang w:eastAsia="en-AU"/>
              </w:rPr>
              <w:t>,</w:t>
            </w:r>
            <w:r w:rsidRPr="003324F1">
              <w:rPr>
                <w:rFonts w:eastAsia="Times New Roman" w:cs="Arial"/>
                <w:b/>
                <w:lang w:eastAsia="en-AU"/>
              </w:rPr>
              <w:t>395</w:t>
            </w:r>
          </w:p>
        </w:tc>
      </w:tr>
      <w:tr w:rsidR="001E5E82" w:rsidRPr="00FD6E8E" w14:paraId="74B89562" w14:textId="77777777" w:rsidTr="00F2448E">
        <w:trPr>
          <w:trHeight w:val="276"/>
        </w:trPr>
        <w:tc>
          <w:tcPr>
            <w:tcW w:w="2660" w:type="dxa"/>
            <w:shd w:val="clear" w:color="auto" w:fill="B8CCE4" w:themeFill="accent1" w:themeFillTint="66"/>
            <w:noWrap/>
            <w:hideMark/>
          </w:tcPr>
          <w:p w14:paraId="6D4B221A" w14:textId="77777777" w:rsidR="001E5E82" w:rsidRPr="00FD6E8E" w:rsidRDefault="001E5E82"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1176" w:type="dxa"/>
            <w:tcBorders>
              <w:right w:val="nil"/>
            </w:tcBorders>
            <w:shd w:val="clear" w:color="auto" w:fill="B8CCE4" w:themeFill="accent1" w:themeFillTint="66"/>
            <w:noWrap/>
            <w:vAlign w:val="center"/>
          </w:tcPr>
          <w:p w14:paraId="7668208D"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24</w:t>
            </w:r>
            <w:r>
              <w:rPr>
                <w:rFonts w:eastAsia="Times New Roman" w:cs="Arial"/>
                <w:b/>
                <w:lang w:eastAsia="en-AU"/>
              </w:rPr>
              <w:t>,</w:t>
            </w:r>
            <w:r w:rsidRPr="003324F1">
              <w:rPr>
                <w:rFonts w:eastAsia="Times New Roman" w:cs="Arial"/>
                <w:b/>
                <w:lang w:eastAsia="en-AU"/>
              </w:rPr>
              <w:t>799</w:t>
            </w:r>
          </w:p>
        </w:tc>
        <w:tc>
          <w:tcPr>
            <w:tcW w:w="1177" w:type="dxa"/>
            <w:tcBorders>
              <w:left w:val="nil"/>
            </w:tcBorders>
            <w:shd w:val="clear" w:color="auto" w:fill="B8CCE4" w:themeFill="accent1" w:themeFillTint="66"/>
            <w:vAlign w:val="center"/>
          </w:tcPr>
          <w:p w14:paraId="13B5B630"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19</w:t>
            </w:r>
            <w:r>
              <w:rPr>
                <w:rFonts w:eastAsia="Times New Roman" w:cs="Arial"/>
                <w:b/>
                <w:lang w:eastAsia="en-AU"/>
              </w:rPr>
              <w:t>,</w:t>
            </w:r>
            <w:r w:rsidRPr="003324F1">
              <w:rPr>
                <w:rFonts w:eastAsia="Times New Roman" w:cs="Arial"/>
                <w:b/>
                <w:lang w:eastAsia="en-AU"/>
              </w:rPr>
              <w:t>882</w:t>
            </w:r>
          </w:p>
        </w:tc>
        <w:tc>
          <w:tcPr>
            <w:tcW w:w="1176" w:type="dxa"/>
            <w:tcBorders>
              <w:right w:val="nil"/>
            </w:tcBorders>
            <w:shd w:val="clear" w:color="auto" w:fill="B8CCE4" w:themeFill="accent1" w:themeFillTint="66"/>
            <w:noWrap/>
            <w:vAlign w:val="center"/>
          </w:tcPr>
          <w:p w14:paraId="3D1B17BE"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12</w:t>
            </w:r>
            <w:r>
              <w:rPr>
                <w:rFonts w:eastAsia="Times New Roman" w:cs="Arial"/>
                <w:b/>
                <w:lang w:eastAsia="en-AU"/>
              </w:rPr>
              <w:t>,</w:t>
            </w:r>
            <w:r w:rsidRPr="003324F1">
              <w:rPr>
                <w:rFonts w:eastAsia="Times New Roman" w:cs="Arial"/>
                <w:b/>
                <w:lang w:eastAsia="en-AU"/>
              </w:rPr>
              <w:t>468</w:t>
            </w:r>
          </w:p>
        </w:tc>
        <w:tc>
          <w:tcPr>
            <w:tcW w:w="1177" w:type="dxa"/>
            <w:tcBorders>
              <w:left w:val="nil"/>
            </w:tcBorders>
            <w:shd w:val="clear" w:color="auto" w:fill="B8CCE4" w:themeFill="accent1" w:themeFillTint="66"/>
            <w:vAlign w:val="center"/>
          </w:tcPr>
          <w:p w14:paraId="536AB8BA"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11</w:t>
            </w:r>
            <w:r>
              <w:rPr>
                <w:rFonts w:eastAsia="Times New Roman" w:cs="Arial"/>
                <w:b/>
                <w:lang w:eastAsia="en-AU"/>
              </w:rPr>
              <w:t>,</w:t>
            </w:r>
            <w:r w:rsidRPr="003324F1">
              <w:rPr>
                <w:rFonts w:eastAsia="Times New Roman" w:cs="Arial"/>
                <w:b/>
                <w:lang w:eastAsia="en-AU"/>
              </w:rPr>
              <w:t>175</w:t>
            </w:r>
          </w:p>
        </w:tc>
        <w:tc>
          <w:tcPr>
            <w:tcW w:w="1177" w:type="dxa"/>
            <w:tcBorders>
              <w:right w:val="nil"/>
            </w:tcBorders>
            <w:shd w:val="clear" w:color="auto" w:fill="B8CCE4" w:themeFill="accent1" w:themeFillTint="66"/>
            <w:noWrap/>
            <w:vAlign w:val="center"/>
          </w:tcPr>
          <w:p w14:paraId="403D9634"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7</w:t>
            </w:r>
            <w:r>
              <w:rPr>
                <w:rFonts w:eastAsia="Times New Roman" w:cs="Arial"/>
                <w:b/>
                <w:lang w:eastAsia="en-AU"/>
              </w:rPr>
              <w:t>,</w:t>
            </w:r>
            <w:r w:rsidRPr="003324F1">
              <w:rPr>
                <w:rFonts w:eastAsia="Times New Roman" w:cs="Arial"/>
                <w:b/>
                <w:lang w:eastAsia="en-AU"/>
              </w:rPr>
              <w:t>411</w:t>
            </w:r>
          </w:p>
        </w:tc>
        <w:tc>
          <w:tcPr>
            <w:tcW w:w="1176" w:type="dxa"/>
            <w:tcBorders>
              <w:left w:val="nil"/>
            </w:tcBorders>
            <w:shd w:val="clear" w:color="auto" w:fill="B8CCE4" w:themeFill="accent1" w:themeFillTint="66"/>
            <w:vAlign w:val="center"/>
          </w:tcPr>
          <w:p w14:paraId="15B8328B"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7</w:t>
            </w:r>
            <w:r>
              <w:rPr>
                <w:rFonts w:eastAsia="Times New Roman" w:cs="Arial"/>
                <w:b/>
                <w:lang w:eastAsia="en-AU"/>
              </w:rPr>
              <w:t>,</w:t>
            </w:r>
            <w:r w:rsidRPr="003324F1">
              <w:rPr>
                <w:rFonts w:eastAsia="Times New Roman" w:cs="Arial"/>
                <w:b/>
                <w:lang w:eastAsia="en-AU"/>
              </w:rPr>
              <w:t>020</w:t>
            </w:r>
          </w:p>
        </w:tc>
        <w:tc>
          <w:tcPr>
            <w:tcW w:w="1177" w:type="dxa"/>
            <w:tcBorders>
              <w:right w:val="nil"/>
            </w:tcBorders>
            <w:shd w:val="clear" w:color="auto" w:fill="B8CCE4" w:themeFill="accent1" w:themeFillTint="66"/>
            <w:noWrap/>
            <w:vAlign w:val="center"/>
          </w:tcPr>
          <w:p w14:paraId="5677B651"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5</w:t>
            </w:r>
            <w:r>
              <w:rPr>
                <w:rFonts w:eastAsia="Times New Roman" w:cs="Arial"/>
                <w:b/>
                <w:lang w:eastAsia="en-AU"/>
              </w:rPr>
              <w:t>,</w:t>
            </w:r>
            <w:r w:rsidRPr="003324F1">
              <w:rPr>
                <w:rFonts w:eastAsia="Times New Roman" w:cs="Arial"/>
                <w:b/>
                <w:lang w:eastAsia="en-AU"/>
              </w:rPr>
              <w:t>057</w:t>
            </w:r>
          </w:p>
        </w:tc>
        <w:tc>
          <w:tcPr>
            <w:tcW w:w="1176" w:type="dxa"/>
            <w:tcBorders>
              <w:left w:val="nil"/>
            </w:tcBorders>
            <w:shd w:val="clear" w:color="auto" w:fill="B8CCE4" w:themeFill="accent1" w:themeFillTint="66"/>
            <w:vAlign w:val="center"/>
          </w:tcPr>
          <w:p w14:paraId="499A27A1"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4</w:t>
            </w:r>
            <w:r>
              <w:rPr>
                <w:rFonts w:eastAsia="Times New Roman" w:cs="Arial"/>
                <w:b/>
                <w:lang w:eastAsia="en-AU"/>
              </w:rPr>
              <w:t>,</w:t>
            </w:r>
            <w:r w:rsidRPr="003324F1">
              <w:rPr>
                <w:rFonts w:eastAsia="Times New Roman" w:cs="Arial"/>
                <w:b/>
                <w:lang w:eastAsia="en-AU"/>
              </w:rPr>
              <w:t>724</w:t>
            </w:r>
          </w:p>
        </w:tc>
        <w:tc>
          <w:tcPr>
            <w:tcW w:w="1177" w:type="dxa"/>
            <w:tcBorders>
              <w:right w:val="nil"/>
            </w:tcBorders>
            <w:shd w:val="clear" w:color="auto" w:fill="B8CCE4" w:themeFill="accent1" w:themeFillTint="66"/>
            <w:noWrap/>
            <w:vAlign w:val="center"/>
          </w:tcPr>
          <w:p w14:paraId="39EF1C09"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37</w:t>
            </w:r>
            <w:r>
              <w:rPr>
                <w:rFonts w:eastAsia="Times New Roman" w:cs="Arial"/>
                <w:b/>
                <w:lang w:eastAsia="en-AU"/>
              </w:rPr>
              <w:t>,</w:t>
            </w:r>
            <w:r w:rsidRPr="003324F1">
              <w:rPr>
                <w:rFonts w:eastAsia="Times New Roman" w:cs="Arial"/>
                <w:b/>
                <w:lang w:eastAsia="en-AU"/>
              </w:rPr>
              <w:t>267</w:t>
            </w:r>
          </w:p>
        </w:tc>
        <w:tc>
          <w:tcPr>
            <w:tcW w:w="1177" w:type="dxa"/>
            <w:tcBorders>
              <w:left w:val="nil"/>
            </w:tcBorders>
            <w:shd w:val="clear" w:color="auto" w:fill="B8CCE4" w:themeFill="accent1" w:themeFillTint="66"/>
            <w:vAlign w:val="center"/>
          </w:tcPr>
          <w:p w14:paraId="2513693A" w14:textId="77777777" w:rsidR="001E5E82" w:rsidRPr="003324F1" w:rsidRDefault="001E5E82" w:rsidP="00CE2FDF">
            <w:pPr>
              <w:spacing w:before="0" w:line="276" w:lineRule="auto"/>
              <w:jc w:val="right"/>
              <w:rPr>
                <w:rFonts w:eastAsia="Times New Roman" w:cs="Arial"/>
                <w:b/>
                <w:lang w:eastAsia="en-AU"/>
              </w:rPr>
            </w:pPr>
            <w:r w:rsidRPr="003324F1">
              <w:rPr>
                <w:rFonts w:eastAsia="Times New Roman" w:cs="Arial"/>
                <w:b/>
                <w:lang w:eastAsia="en-AU"/>
              </w:rPr>
              <w:t>28</w:t>
            </w:r>
            <w:r>
              <w:rPr>
                <w:rFonts w:eastAsia="Times New Roman" w:cs="Arial"/>
                <w:b/>
                <w:lang w:eastAsia="en-AU"/>
              </w:rPr>
              <w:t>,</w:t>
            </w:r>
            <w:r w:rsidRPr="003324F1">
              <w:rPr>
                <w:rFonts w:eastAsia="Times New Roman" w:cs="Arial"/>
                <w:b/>
                <w:lang w:eastAsia="en-AU"/>
              </w:rPr>
              <w:t>028</w:t>
            </w:r>
          </w:p>
        </w:tc>
      </w:tr>
    </w:tbl>
    <w:p w14:paraId="6847BD18" w14:textId="77777777" w:rsidR="001E5E82" w:rsidRDefault="001E5E82" w:rsidP="00B15586">
      <w:pPr>
        <w:rPr>
          <w:rFonts w:asciiTheme="majorHAnsi" w:eastAsiaTheme="majorEastAsia" w:hAnsiTheme="majorHAnsi" w:cstheme="majorBidi"/>
          <w:color w:val="17365D" w:themeColor="text2" w:themeShade="BF"/>
          <w:sz w:val="26"/>
          <w:szCs w:val="26"/>
        </w:rPr>
      </w:pPr>
      <w:r>
        <w:br w:type="page"/>
      </w:r>
    </w:p>
    <w:p w14:paraId="232E4286" w14:textId="77777777" w:rsidR="00F35497" w:rsidRDefault="00F35497" w:rsidP="0095311F">
      <w:pPr>
        <w:pStyle w:val="Figureheading"/>
      </w:pPr>
      <w:r>
        <w:lastRenderedPageBreak/>
        <w:t>3.15</w:t>
      </w:r>
      <w:r>
        <w:tab/>
        <w:t>Number of reports for 2004, by abuse type,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23"/>
        <w:gridCol w:w="1506"/>
        <w:gridCol w:w="1506"/>
        <w:gridCol w:w="1506"/>
        <w:gridCol w:w="1506"/>
        <w:gridCol w:w="1506"/>
        <w:gridCol w:w="1506"/>
        <w:gridCol w:w="1507"/>
      </w:tblGrid>
      <w:tr w:rsidR="00F35497" w:rsidRPr="00F44E7A" w14:paraId="592939AD" w14:textId="77777777" w:rsidTr="00137AE1">
        <w:trPr>
          <w:trHeight w:val="365"/>
          <w:tblHeader/>
        </w:trPr>
        <w:tc>
          <w:tcPr>
            <w:tcW w:w="2660" w:type="dxa"/>
            <w:shd w:val="clear" w:color="auto" w:fill="B8CCE4" w:themeFill="accent1" w:themeFillTint="66"/>
            <w:noWrap/>
            <w:hideMark/>
          </w:tcPr>
          <w:p w14:paraId="40BACB5F" w14:textId="77777777" w:rsidR="00F35497" w:rsidRPr="00F44E7A" w:rsidRDefault="00F35497" w:rsidP="00CE2FDF">
            <w:pPr>
              <w:spacing w:before="0" w:line="276" w:lineRule="auto"/>
              <w:rPr>
                <w:rFonts w:eastAsia="Times New Roman" w:cs="Arial"/>
                <w:b/>
                <w:lang w:eastAsia="en-AU"/>
              </w:rPr>
            </w:pPr>
          </w:p>
        </w:tc>
        <w:tc>
          <w:tcPr>
            <w:tcW w:w="2729" w:type="dxa"/>
            <w:gridSpan w:val="2"/>
            <w:shd w:val="clear" w:color="auto" w:fill="B8CCE4" w:themeFill="accent1" w:themeFillTint="66"/>
            <w:noWrap/>
            <w:vAlign w:val="center"/>
            <w:hideMark/>
          </w:tcPr>
          <w:p w14:paraId="5918DA4B" w14:textId="77777777" w:rsidR="00F35497" w:rsidRPr="00F44E7A" w:rsidRDefault="00F35497"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3012" w:type="dxa"/>
            <w:gridSpan w:val="2"/>
            <w:shd w:val="clear" w:color="auto" w:fill="B8CCE4" w:themeFill="accent1" w:themeFillTint="66"/>
            <w:noWrap/>
            <w:vAlign w:val="center"/>
            <w:hideMark/>
          </w:tcPr>
          <w:p w14:paraId="297B66D5" w14:textId="77777777" w:rsidR="00F35497" w:rsidRPr="00F44E7A" w:rsidRDefault="00F35497"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3012" w:type="dxa"/>
            <w:gridSpan w:val="2"/>
            <w:shd w:val="clear" w:color="auto" w:fill="B8CCE4" w:themeFill="accent1" w:themeFillTint="66"/>
            <w:noWrap/>
            <w:vAlign w:val="center"/>
            <w:hideMark/>
          </w:tcPr>
          <w:p w14:paraId="7E24CF51" w14:textId="77777777" w:rsidR="00F35497" w:rsidRPr="00F44E7A" w:rsidRDefault="00F35497"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3013" w:type="dxa"/>
            <w:gridSpan w:val="2"/>
            <w:shd w:val="clear" w:color="auto" w:fill="B8CCE4" w:themeFill="accent1" w:themeFillTint="66"/>
            <w:noWrap/>
            <w:vAlign w:val="center"/>
            <w:hideMark/>
          </w:tcPr>
          <w:p w14:paraId="653263BD" w14:textId="77777777" w:rsidR="00F35497" w:rsidRPr="00F44E7A" w:rsidRDefault="00F35497"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F35497" w:rsidRPr="00F44E7A" w14:paraId="65E0945B" w14:textId="77777777" w:rsidTr="00137AE1">
        <w:trPr>
          <w:trHeight w:val="271"/>
          <w:tblHeader/>
        </w:trPr>
        <w:tc>
          <w:tcPr>
            <w:tcW w:w="2660" w:type="dxa"/>
            <w:shd w:val="clear" w:color="auto" w:fill="B8CCE4" w:themeFill="accent1" w:themeFillTint="66"/>
            <w:noWrap/>
            <w:hideMark/>
          </w:tcPr>
          <w:p w14:paraId="1D9690E5" w14:textId="77777777" w:rsidR="00F35497" w:rsidRPr="00F44E7A" w:rsidRDefault="00F35497" w:rsidP="00CE2FDF">
            <w:pPr>
              <w:spacing w:before="0" w:line="276" w:lineRule="auto"/>
              <w:rPr>
                <w:rFonts w:eastAsia="Times New Roman" w:cs="Arial"/>
                <w:b/>
                <w:lang w:eastAsia="en-AU"/>
              </w:rPr>
            </w:pPr>
          </w:p>
        </w:tc>
        <w:tc>
          <w:tcPr>
            <w:tcW w:w="1223" w:type="dxa"/>
            <w:tcBorders>
              <w:right w:val="nil"/>
            </w:tcBorders>
            <w:shd w:val="clear" w:color="auto" w:fill="B8CCE4" w:themeFill="accent1" w:themeFillTint="66"/>
            <w:noWrap/>
            <w:vAlign w:val="center"/>
            <w:hideMark/>
          </w:tcPr>
          <w:p w14:paraId="34415C03" w14:textId="77777777" w:rsidR="00F35497" w:rsidRPr="00F44E7A" w:rsidRDefault="00F35497"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4A73A91E" w14:textId="77777777" w:rsidR="00F35497" w:rsidRPr="00F44E7A" w:rsidRDefault="00F35497" w:rsidP="00CE2FDF">
            <w:pPr>
              <w:spacing w:before="0" w:line="276"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522BCF6B" w14:textId="77777777" w:rsidR="00F35497" w:rsidRPr="00F44E7A" w:rsidRDefault="00F35497"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75C12ECF" w14:textId="77777777" w:rsidR="00F35497" w:rsidRPr="00F44E7A" w:rsidRDefault="00F35497" w:rsidP="00CE2FDF">
            <w:pPr>
              <w:spacing w:before="0" w:line="276"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0F2DAD78" w14:textId="77777777" w:rsidR="00F35497" w:rsidRPr="00F44E7A" w:rsidRDefault="00F35497"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6" w:type="dxa"/>
            <w:tcBorders>
              <w:left w:val="nil"/>
            </w:tcBorders>
            <w:shd w:val="clear" w:color="auto" w:fill="B8CCE4" w:themeFill="accent1" w:themeFillTint="66"/>
            <w:vAlign w:val="center"/>
          </w:tcPr>
          <w:p w14:paraId="66648838" w14:textId="77777777" w:rsidR="00F35497" w:rsidRPr="00F44E7A" w:rsidRDefault="00F35497" w:rsidP="00CE2FDF">
            <w:pPr>
              <w:spacing w:before="0" w:line="276" w:lineRule="auto"/>
              <w:jc w:val="right"/>
              <w:rPr>
                <w:rFonts w:eastAsia="Times New Roman" w:cs="Arial"/>
                <w:b/>
                <w:lang w:eastAsia="en-AU"/>
              </w:rPr>
            </w:pPr>
            <w:r>
              <w:rPr>
                <w:rFonts w:eastAsia="Times New Roman" w:cs="Arial"/>
                <w:b/>
                <w:lang w:eastAsia="en-AU"/>
              </w:rPr>
              <w:t>Children</w:t>
            </w:r>
          </w:p>
        </w:tc>
        <w:tc>
          <w:tcPr>
            <w:tcW w:w="1506" w:type="dxa"/>
            <w:tcBorders>
              <w:right w:val="nil"/>
            </w:tcBorders>
            <w:shd w:val="clear" w:color="auto" w:fill="B8CCE4" w:themeFill="accent1" w:themeFillTint="66"/>
            <w:noWrap/>
            <w:vAlign w:val="center"/>
            <w:hideMark/>
          </w:tcPr>
          <w:p w14:paraId="39CAABF4" w14:textId="77777777" w:rsidR="00F35497" w:rsidRPr="00F44E7A" w:rsidRDefault="00F35497"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507" w:type="dxa"/>
            <w:tcBorders>
              <w:left w:val="nil"/>
            </w:tcBorders>
            <w:shd w:val="clear" w:color="auto" w:fill="B8CCE4" w:themeFill="accent1" w:themeFillTint="66"/>
            <w:vAlign w:val="center"/>
          </w:tcPr>
          <w:p w14:paraId="2F3380CA" w14:textId="77777777" w:rsidR="00F35497" w:rsidRPr="00F44E7A" w:rsidRDefault="00F35497" w:rsidP="00CE2FDF">
            <w:pPr>
              <w:spacing w:before="0" w:line="276" w:lineRule="auto"/>
              <w:jc w:val="right"/>
              <w:rPr>
                <w:rFonts w:eastAsia="Times New Roman" w:cs="Arial"/>
                <w:b/>
                <w:lang w:eastAsia="en-AU"/>
              </w:rPr>
            </w:pPr>
            <w:r>
              <w:rPr>
                <w:rFonts w:eastAsia="Times New Roman" w:cs="Arial"/>
                <w:b/>
                <w:lang w:eastAsia="en-AU"/>
              </w:rPr>
              <w:t>Children</w:t>
            </w:r>
          </w:p>
        </w:tc>
      </w:tr>
      <w:tr w:rsidR="00F35497" w:rsidRPr="003324F1" w14:paraId="71AA4A66" w14:textId="77777777" w:rsidTr="00F2448E">
        <w:trPr>
          <w:trHeight w:val="276"/>
        </w:trPr>
        <w:tc>
          <w:tcPr>
            <w:tcW w:w="2660" w:type="dxa"/>
            <w:noWrap/>
            <w:hideMark/>
          </w:tcPr>
          <w:p w14:paraId="73A85221" w14:textId="77777777" w:rsidR="00F35497" w:rsidRPr="00F44E7A" w:rsidRDefault="00F35497" w:rsidP="00CE2FDF">
            <w:pPr>
              <w:spacing w:before="0" w:line="276" w:lineRule="auto"/>
              <w:rPr>
                <w:rFonts w:eastAsia="Times New Roman" w:cs="Arial"/>
                <w:b/>
                <w:lang w:eastAsia="en-AU"/>
              </w:rPr>
            </w:pPr>
            <w:r w:rsidRPr="00F44E7A">
              <w:rPr>
                <w:rFonts w:eastAsia="Times New Roman" w:cs="Arial"/>
                <w:b/>
                <w:lang w:eastAsia="en-AU"/>
              </w:rPr>
              <w:t>Doctors</w:t>
            </w:r>
          </w:p>
        </w:tc>
        <w:tc>
          <w:tcPr>
            <w:tcW w:w="1223" w:type="dxa"/>
            <w:tcBorders>
              <w:right w:val="nil"/>
            </w:tcBorders>
            <w:noWrap/>
            <w:vAlign w:val="center"/>
          </w:tcPr>
          <w:p w14:paraId="1B63AB7C"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218</w:t>
            </w:r>
          </w:p>
        </w:tc>
        <w:tc>
          <w:tcPr>
            <w:tcW w:w="1506" w:type="dxa"/>
            <w:tcBorders>
              <w:left w:val="nil"/>
            </w:tcBorders>
            <w:vAlign w:val="center"/>
          </w:tcPr>
          <w:p w14:paraId="59B67250"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216</w:t>
            </w:r>
          </w:p>
        </w:tc>
        <w:tc>
          <w:tcPr>
            <w:tcW w:w="1506" w:type="dxa"/>
            <w:tcBorders>
              <w:right w:val="nil"/>
            </w:tcBorders>
            <w:noWrap/>
            <w:vAlign w:val="center"/>
          </w:tcPr>
          <w:p w14:paraId="474C3EB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175</w:t>
            </w:r>
          </w:p>
        </w:tc>
        <w:tc>
          <w:tcPr>
            <w:tcW w:w="1506" w:type="dxa"/>
            <w:tcBorders>
              <w:left w:val="nil"/>
            </w:tcBorders>
            <w:vAlign w:val="center"/>
          </w:tcPr>
          <w:p w14:paraId="530F5357"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174</w:t>
            </w:r>
          </w:p>
        </w:tc>
        <w:tc>
          <w:tcPr>
            <w:tcW w:w="1506" w:type="dxa"/>
            <w:tcBorders>
              <w:right w:val="nil"/>
            </w:tcBorders>
            <w:noWrap/>
            <w:vAlign w:val="center"/>
          </w:tcPr>
          <w:p w14:paraId="0DFD0E6B"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331</w:t>
            </w:r>
          </w:p>
        </w:tc>
        <w:tc>
          <w:tcPr>
            <w:tcW w:w="1506" w:type="dxa"/>
            <w:tcBorders>
              <w:left w:val="nil"/>
            </w:tcBorders>
            <w:vAlign w:val="center"/>
          </w:tcPr>
          <w:p w14:paraId="401EE23B"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323</w:t>
            </w:r>
          </w:p>
        </w:tc>
        <w:tc>
          <w:tcPr>
            <w:tcW w:w="1506" w:type="dxa"/>
            <w:tcBorders>
              <w:right w:val="nil"/>
            </w:tcBorders>
            <w:noWrap/>
            <w:vAlign w:val="center"/>
          </w:tcPr>
          <w:p w14:paraId="7BD9D695"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193</w:t>
            </w:r>
          </w:p>
        </w:tc>
        <w:tc>
          <w:tcPr>
            <w:tcW w:w="1507" w:type="dxa"/>
            <w:tcBorders>
              <w:left w:val="nil"/>
            </w:tcBorders>
            <w:vAlign w:val="center"/>
          </w:tcPr>
          <w:p w14:paraId="6F0A1A92"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191</w:t>
            </w:r>
          </w:p>
        </w:tc>
      </w:tr>
      <w:tr w:rsidR="00F35497" w:rsidRPr="003324F1" w14:paraId="11E3D4B0" w14:textId="77777777" w:rsidTr="00F2448E">
        <w:trPr>
          <w:trHeight w:val="276"/>
        </w:trPr>
        <w:tc>
          <w:tcPr>
            <w:tcW w:w="2660" w:type="dxa"/>
            <w:shd w:val="clear" w:color="auto" w:fill="DBE5F1" w:themeFill="accent1" w:themeFillTint="33"/>
            <w:noWrap/>
            <w:hideMark/>
          </w:tcPr>
          <w:p w14:paraId="2CF51288" w14:textId="77777777" w:rsidR="00F35497" w:rsidRPr="00F44E7A" w:rsidRDefault="00F35497" w:rsidP="00CE2FDF">
            <w:pPr>
              <w:spacing w:before="0" w:line="276" w:lineRule="auto"/>
              <w:rPr>
                <w:rFonts w:eastAsia="Times New Roman" w:cs="Arial"/>
                <w:b/>
                <w:lang w:eastAsia="en-AU"/>
              </w:rPr>
            </w:pPr>
            <w:r w:rsidRPr="00F44E7A">
              <w:rPr>
                <w:rFonts w:eastAsia="Times New Roman" w:cs="Arial"/>
                <w:b/>
                <w:lang w:eastAsia="en-AU"/>
              </w:rPr>
              <w:t>Nurses</w:t>
            </w:r>
          </w:p>
        </w:tc>
        <w:tc>
          <w:tcPr>
            <w:tcW w:w="1223" w:type="dxa"/>
            <w:tcBorders>
              <w:right w:val="nil"/>
            </w:tcBorders>
            <w:shd w:val="clear" w:color="auto" w:fill="DBE5F1" w:themeFill="accent1" w:themeFillTint="33"/>
            <w:noWrap/>
            <w:vAlign w:val="center"/>
          </w:tcPr>
          <w:p w14:paraId="50D4BF66"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641</w:t>
            </w:r>
          </w:p>
        </w:tc>
        <w:tc>
          <w:tcPr>
            <w:tcW w:w="1506" w:type="dxa"/>
            <w:tcBorders>
              <w:left w:val="nil"/>
            </w:tcBorders>
            <w:shd w:val="clear" w:color="auto" w:fill="DBE5F1" w:themeFill="accent1" w:themeFillTint="33"/>
            <w:vAlign w:val="center"/>
          </w:tcPr>
          <w:p w14:paraId="0CBF9DA6"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623</w:t>
            </w:r>
          </w:p>
        </w:tc>
        <w:tc>
          <w:tcPr>
            <w:tcW w:w="1506" w:type="dxa"/>
            <w:tcBorders>
              <w:right w:val="nil"/>
            </w:tcBorders>
            <w:shd w:val="clear" w:color="auto" w:fill="DBE5F1" w:themeFill="accent1" w:themeFillTint="33"/>
            <w:noWrap/>
            <w:vAlign w:val="center"/>
          </w:tcPr>
          <w:p w14:paraId="2E0FAADE"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401</w:t>
            </w:r>
          </w:p>
        </w:tc>
        <w:tc>
          <w:tcPr>
            <w:tcW w:w="1506" w:type="dxa"/>
            <w:tcBorders>
              <w:left w:val="nil"/>
            </w:tcBorders>
            <w:shd w:val="clear" w:color="auto" w:fill="DBE5F1" w:themeFill="accent1" w:themeFillTint="33"/>
            <w:vAlign w:val="center"/>
          </w:tcPr>
          <w:p w14:paraId="2A1ADE0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392</w:t>
            </w:r>
          </w:p>
        </w:tc>
        <w:tc>
          <w:tcPr>
            <w:tcW w:w="1506" w:type="dxa"/>
            <w:tcBorders>
              <w:right w:val="nil"/>
            </w:tcBorders>
            <w:shd w:val="clear" w:color="auto" w:fill="DBE5F1" w:themeFill="accent1" w:themeFillTint="33"/>
            <w:noWrap/>
            <w:vAlign w:val="center"/>
          </w:tcPr>
          <w:p w14:paraId="63C41159"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291</w:t>
            </w:r>
          </w:p>
        </w:tc>
        <w:tc>
          <w:tcPr>
            <w:tcW w:w="1506" w:type="dxa"/>
            <w:tcBorders>
              <w:left w:val="nil"/>
            </w:tcBorders>
            <w:shd w:val="clear" w:color="auto" w:fill="DBE5F1" w:themeFill="accent1" w:themeFillTint="33"/>
            <w:vAlign w:val="center"/>
          </w:tcPr>
          <w:p w14:paraId="73DA71A0"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287</w:t>
            </w:r>
          </w:p>
        </w:tc>
        <w:tc>
          <w:tcPr>
            <w:tcW w:w="1506" w:type="dxa"/>
            <w:tcBorders>
              <w:right w:val="nil"/>
            </w:tcBorders>
            <w:shd w:val="clear" w:color="auto" w:fill="DBE5F1" w:themeFill="accent1" w:themeFillTint="33"/>
            <w:noWrap/>
            <w:vAlign w:val="center"/>
          </w:tcPr>
          <w:p w14:paraId="1E45EF5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57</w:t>
            </w:r>
          </w:p>
        </w:tc>
        <w:tc>
          <w:tcPr>
            <w:tcW w:w="1507" w:type="dxa"/>
            <w:tcBorders>
              <w:left w:val="nil"/>
            </w:tcBorders>
            <w:shd w:val="clear" w:color="auto" w:fill="DBE5F1" w:themeFill="accent1" w:themeFillTint="33"/>
            <w:vAlign w:val="center"/>
          </w:tcPr>
          <w:p w14:paraId="7BFC1CA5"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57</w:t>
            </w:r>
          </w:p>
        </w:tc>
      </w:tr>
      <w:tr w:rsidR="00F35497" w:rsidRPr="003324F1" w14:paraId="4FA4BF74" w14:textId="77777777" w:rsidTr="00F2448E">
        <w:trPr>
          <w:trHeight w:val="276"/>
        </w:trPr>
        <w:tc>
          <w:tcPr>
            <w:tcW w:w="2660" w:type="dxa"/>
            <w:noWrap/>
            <w:hideMark/>
          </w:tcPr>
          <w:p w14:paraId="6C632965" w14:textId="77777777" w:rsidR="00F35497" w:rsidRPr="00F44E7A" w:rsidRDefault="00F35497" w:rsidP="00CE2FDF">
            <w:pPr>
              <w:spacing w:before="0" w:line="276" w:lineRule="auto"/>
              <w:rPr>
                <w:rFonts w:eastAsia="Times New Roman" w:cs="Arial"/>
                <w:b/>
                <w:lang w:eastAsia="en-AU"/>
              </w:rPr>
            </w:pPr>
            <w:r w:rsidRPr="00F44E7A">
              <w:rPr>
                <w:rFonts w:eastAsia="Times New Roman" w:cs="Arial"/>
                <w:b/>
                <w:lang w:eastAsia="en-AU"/>
              </w:rPr>
              <w:t>Police</w:t>
            </w:r>
          </w:p>
        </w:tc>
        <w:tc>
          <w:tcPr>
            <w:tcW w:w="1223" w:type="dxa"/>
            <w:tcBorders>
              <w:right w:val="nil"/>
            </w:tcBorders>
            <w:noWrap/>
            <w:vAlign w:val="center"/>
          </w:tcPr>
          <w:p w14:paraId="3337F02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w:t>
            </w:r>
            <w:r>
              <w:rPr>
                <w:rFonts w:eastAsia="Times New Roman" w:cs="Arial"/>
                <w:lang w:eastAsia="en-AU"/>
              </w:rPr>
              <w:t>,</w:t>
            </w:r>
            <w:r w:rsidRPr="00E65B10">
              <w:rPr>
                <w:rFonts w:eastAsia="Times New Roman" w:cs="Arial"/>
                <w:lang w:eastAsia="en-AU"/>
              </w:rPr>
              <w:t>858</w:t>
            </w:r>
          </w:p>
        </w:tc>
        <w:tc>
          <w:tcPr>
            <w:tcW w:w="1506" w:type="dxa"/>
            <w:tcBorders>
              <w:left w:val="nil"/>
            </w:tcBorders>
            <w:vAlign w:val="center"/>
          </w:tcPr>
          <w:p w14:paraId="04047703"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w:t>
            </w:r>
            <w:r>
              <w:rPr>
                <w:rFonts w:eastAsia="Times New Roman" w:cs="Arial"/>
                <w:lang w:eastAsia="en-AU"/>
              </w:rPr>
              <w:t>,</w:t>
            </w:r>
            <w:r w:rsidRPr="00E65B10">
              <w:rPr>
                <w:rFonts w:eastAsia="Times New Roman" w:cs="Arial"/>
                <w:lang w:eastAsia="en-AU"/>
              </w:rPr>
              <w:t>755</w:t>
            </w:r>
          </w:p>
        </w:tc>
        <w:tc>
          <w:tcPr>
            <w:tcW w:w="1506" w:type="dxa"/>
            <w:tcBorders>
              <w:right w:val="nil"/>
            </w:tcBorders>
            <w:noWrap/>
            <w:vAlign w:val="center"/>
          </w:tcPr>
          <w:p w14:paraId="3A56711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566</w:t>
            </w:r>
          </w:p>
        </w:tc>
        <w:tc>
          <w:tcPr>
            <w:tcW w:w="1506" w:type="dxa"/>
            <w:tcBorders>
              <w:left w:val="nil"/>
            </w:tcBorders>
            <w:vAlign w:val="center"/>
          </w:tcPr>
          <w:p w14:paraId="213CCE9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503</w:t>
            </w:r>
          </w:p>
        </w:tc>
        <w:tc>
          <w:tcPr>
            <w:tcW w:w="1506" w:type="dxa"/>
            <w:tcBorders>
              <w:right w:val="nil"/>
            </w:tcBorders>
            <w:noWrap/>
            <w:vAlign w:val="center"/>
          </w:tcPr>
          <w:p w14:paraId="34CDD417"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238</w:t>
            </w:r>
          </w:p>
        </w:tc>
        <w:tc>
          <w:tcPr>
            <w:tcW w:w="1506" w:type="dxa"/>
            <w:tcBorders>
              <w:left w:val="nil"/>
            </w:tcBorders>
            <w:vAlign w:val="center"/>
          </w:tcPr>
          <w:p w14:paraId="574E4567"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212</w:t>
            </w:r>
          </w:p>
        </w:tc>
        <w:tc>
          <w:tcPr>
            <w:tcW w:w="1506" w:type="dxa"/>
            <w:tcBorders>
              <w:right w:val="nil"/>
            </w:tcBorders>
            <w:noWrap/>
            <w:vAlign w:val="center"/>
          </w:tcPr>
          <w:p w14:paraId="70C97275"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841</w:t>
            </w:r>
          </w:p>
        </w:tc>
        <w:tc>
          <w:tcPr>
            <w:tcW w:w="1507" w:type="dxa"/>
            <w:tcBorders>
              <w:left w:val="nil"/>
            </w:tcBorders>
            <w:vAlign w:val="center"/>
          </w:tcPr>
          <w:p w14:paraId="7B38DDDF"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822</w:t>
            </w:r>
          </w:p>
        </w:tc>
      </w:tr>
      <w:tr w:rsidR="00F35497" w:rsidRPr="003324F1" w14:paraId="4BDB5DCB" w14:textId="77777777" w:rsidTr="00F2448E">
        <w:trPr>
          <w:trHeight w:val="276"/>
        </w:trPr>
        <w:tc>
          <w:tcPr>
            <w:tcW w:w="2660" w:type="dxa"/>
            <w:shd w:val="clear" w:color="auto" w:fill="DBE5F1" w:themeFill="accent1" w:themeFillTint="33"/>
            <w:noWrap/>
            <w:hideMark/>
          </w:tcPr>
          <w:p w14:paraId="7E51A053" w14:textId="77777777" w:rsidR="00F35497" w:rsidRPr="00F44E7A" w:rsidRDefault="00F35497" w:rsidP="00CE2FDF">
            <w:pPr>
              <w:spacing w:before="0" w:line="276" w:lineRule="auto"/>
              <w:rPr>
                <w:rFonts w:eastAsia="Times New Roman" w:cs="Arial"/>
                <w:b/>
                <w:lang w:eastAsia="en-AU"/>
              </w:rPr>
            </w:pPr>
            <w:r>
              <w:rPr>
                <w:rFonts w:eastAsia="Times New Roman" w:cs="Arial"/>
                <w:b/>
                <w:lang w:eastAsia="en-AU"/>
              </w:rPr>
              <w:t>School personnel</w:t>
            </w:r>
          </w:p>
        </w:tc>
        <w:tc>
          <w:tcPr>
            <w:tcW w:w="1223" w:type="dxa"/>
            <w:tcBorders>
              <w:right w:val="nil"/>
            </w:tcBorders>
            <w:shd w:val="clear" w:color="auto" w:fill="DBE5F1" w:themeFill="accent1" w:themeFillTint="33"/>
            <w:noWrap/>
            <w:vAlign w:val="center"/>
          </w:tcPr>
          <w:p w14:paraId="1C809288"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696</w:t>
            </w:r>
          </w:p>
        </w:tc>
        <w:tc>
          <w:tcPr>
            <w:tcW w:w="1506" w:type="dxa"/>
            <w:tcBorders>
              <w:left w:val="nil"/>
            </w:tcBorders>
            <w:shd w:val="clear" w:color="auto" w:fill="DBE5F1" w:themeFill="accent1" w:themeFillTint="33"/>
            <w:vAlign w:val="center"/>
          </w:tcPr>
          <w:p w14:paraId="0B8220FC"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670</w:t>
            </w:r>
          </w:p>
        </w:tc>
        <w:tc>
          <w:tcPr>
            <w:tcW w:w="1506" w:type="dxa"/>
            <w:tcBorders>
              <w:right w:val="nil"/>
            </w:tcBorders>
            <w:shd w:val="clear" w:color="auto" w:fill="DBE5F1" w:themeFill="accent1" w:themeFillTint="33"/>
            <w:noWrap/>
            <w:vAlign w:val="center"/>
          </w:tcPr>
          <w:p w14:paraId="1A381228"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883</w:t>
            </w:r>
          </w:p>
        </w:tc>
        <w:tc>
          <w:tcPr>
            <w:tcW w:w="1506" w:type="dxa"/>
            <w:tcBorders>
              <w:left w:val="nil"/>
            </w:tcBorders>
            <w:shd w:val="clear" w:color="auto" w:fill="DBE5F1" w:themeFill="accent1" w:themeFillTint="33"/>
            <w:vAlign w:val="center"/>
          </w:tcPr>
          <w:p w14:paraId="741D3B41"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839</w:t>
            </w:r>
          </w:p>
        </w:tc>
        <w:tc>
          <w:tcPr>
            <w:tcW w:w="1506" w:type="dxa"/>
            <w:tcBorders>
              <w:right w:val="nil"/>
            </w:tcBorders>
            <w:shd w:val="clear" w:color="auto" w:fill="DBE5F1" w:themeFill="accent1" w:themeFillTint="33"/>
            <w:noWrap/>
            <w:vAlign w:val="center"/>
          </w:tcPr>
          <w:p w14:paraId="20772BB2"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538</w:t>
            </w:r>
          </w:p>
        </w:tc>
        <w:tc>
          <w:tcPr>
            <w:tcW w:w="1506" w:type="dxa"/>
            <w:tcBorders>
              <w:left w:val="nil"/>
            </w:tcBorders>
            <w:shd w:val="clear" w:color="auto" w:fill="DBE5F1" w:themeFill="accent1" w:themeFillTint="33"/>
            <w:vAlign w:val="center"/>
          </w:tcPr>
          <w:p w14:paraId="16D4018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481</w:t>
            </w:r>
          </w:p>
        </w:tc>
        <w:tc>
          <w:tcPr>
            <w:tcW w:w="1506" w:type="dxa"/>
            <w:tcBorders>
              <w:right w:val="nil"/>
            </w:tcBorders>
            <w:shd w:val="clear" w:color="auto" w:fill="DBE5F1" w:themeFill="accent1" w:themeFillTint="33"/>
            <w:noWrap/>
            <w:vAlign w:val="center"/>
          </w:tcPr>
          <w:p w14:paraId="5E4BD59C"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470</w:t>
            </w:r>
          </w:p>
        </w:tc>
        <w:tc>
          <w:tcPr>
            <w:tcW w:w="1507" w:type="dxa"/>
            <w:tcBorders>
              <w:left w:val="nil"/>
            </w:tcBorders>
            <w:shd w:val="clear" w:color="auto" w:fill="DBE5F1" w:themeFill="accent1" w:themeFillTint="33"/>
            <w:vAlign w:val="center"/>
          </w:tcPr>
          <w:p w14:paraId="1E4EB0A5"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462</w:t>
            </w:r>
          </w:p>
        </w:tc>
      </w:tr>
      <w:tr w:rsidR="00F35497" w:rsidRPr="003324F1" w14:paraId="6BD1E9C0" w14:textId="77777777" w:rsidTr="00F2448E">
        <w:trPr>
          <w:trHeight w:val="276"/>
        </w:trPr>
        <w:tc>
          <w:tcPr>
            <w:tcW w:w="2660" w:type="dxa"/>
            <w:shd w:val="clear" w:color="auto" w:fill="auto"/>
            <w:noWrap/>
            <w:hideMark/>
          </w:tcPr>
          <w:p w14:paraId="39AA02E6" w14:textId="77777777" w:rsidR="00F35497" w:rsidRPr="00F44E7A" w:rsidRDefault="00F35497" w:rsidP="00CE2FDF">
            <w:pPr>
              <w:spacing w:before="0" w:line="276" w:lineRule="auto"/>
              <w:rPr>
                <w:rFonts w:eastAsia="Times New Roman" w:cs="Arial"/>
                <w:b/>
                <w:lang w:eastAsia="en-AU"/>
              </w:rPr>
            </w:pPr>
            <w:r>
              <w:rPr>
                <w:rFonts w:eastAsia="Times New Roman" w:cs="Arial"/>
                <w:b/>
                <w:lang w:eastAsia="en-AU"/>
              </w:rPr>
              <w:t>Psychiatrists</w:t>
            </w:r>
          </w:p>
        </w:tc>
        <w:tc>
          <w:tcPr>
            <w:tcW w:w="1223" w:type="dxa"/>
            <w:tcBorders>
              <w:right w:val="nil"/>
            </w:tcBorders>
            <w:shd w:val="clear" w:color="auto" w:fill="auto"/>
            <w:noWrap/>
            <w:vAlign w:val="center"/>
          </w:tcPr>
          <w:p w14:paraId="4A3DF657"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105</w:t>
            </w:r>
          </w:p>
        </w:tc>
        <w:tc>
          <w:tcPr>
            <w:tcW w:w="1506" w:type="dxa"/>
            <w:tcBorders>
              <w:left w:val="nil"/>
            </w:tcBorders>
            <w:shd w:val="clear" w:color="auto" w:fill="auto"/>
            <w:vAlign w:val="center"/>
          </w:tcPr>
          <w:p w14:paraId="462037B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103</w:t>
            </w:r>
          </w:p>
        </w:tc>
        <w:tc>
          <w:tcPr>
            <w:tcW w:w="1506" w:type="dxa"/>
            <w:tcBorders>
              <w:right w:val="nil"/>
            </w:tcBorders>
            <w:shd w:val="clear" w:color="auto" w:fill="auto"/>
            <w:noWrap/>
            <w:vAlign w:val="center"/>
          </w:tcPr>
          <w:p w14:paraId="5D05D4E6"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23</w:t>
            </w:r>
          </w:p>
        </w:tc>
        <w:tc>
          <w:tcPr>
            <w:tcW w:w="1506" w:type="dxa"/>
            <w:tcBorders>
              <w:left w:val="nil"/>
            </w:tcBorders>
            <w:shd w:val="clear" w:color="auto" w:fill="auto"/>
            <w:vAlign w:val="center"/>
          </w:tcPr>
          <w:p w14:paraId="43C55398"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23</w:t>
            </w:r>
          </w:p>
        </w:tc>
        <w:tc>
          <w:tcPr>
            <w:tcW w:w="1506" w:type="dxa"/>
            <w:tcBorders>
              <w:right w:val="nil"/>
            </w:tcBorders>
            <w:shd w:val="clear" w:color="auto" w:fill="auto"/>
            <w:noWrap/>
            <w:vAlign w:val="center"/>
          </w:tcPr>
          <w:p w14:paraId="0424D879"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68</w:t>
            </w:r>
          </w:p>
        </w:tc>
        <w:tc>
          <w:tcPr>
            <w:tcW w:w="1506" w:type="dxa"/>
            <w:tcBorders>
              <w:left w:val="nil"/>
            </w:tcBorders>
            <w:shd w:val="clear" w:color="auto" w:fill="auto"/>
            <w:vAlign w:val="center"/>
          </w:tcPr>
          <w:p w14:paraId="14913CCD"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68</w:t>
            </w:r>
          </w:p>
        </w:tc>
        <w:tc>
          <w:tcPr>
            <w:tcW w:w="1506" w:type="dxa"/>
            <w:tcBorders>
              <w:right w:val="nil"/>
            </w:tcBorders>
            <w:shd w:val="clear" w:color="auto" w:fill="auto"/>
            <w:noWrap/>
            <w:vAlign w:val="center"/>
          </w:tcPr>
          <w:p w14:paraId="22D649B5"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23</w:t>
            </w:r>
          </w:p>
        </w:tc>
        <w:tc>
          <w:tcPr>
            <w:tcW w:w="1507" w:type="dxa"/>
            <w:tcBorders>
              <w:left w:val="nil"/>
            </w:tcBorders>
            <w:shd w:val="clear" w:color="auto" w:fill="auto"/>
            <w:vAlign w:val="center"/>
          </w:tcPr>
          <w:p w14:paraId="11D6784D"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23</w:t>
            </w:r>
          </w:p>
        </w:tc>
      </w:tr>
      <w:tr w:rsidR="00F35497" w:rsidRPr="003324F1" w14:paraId="175FCB78" w14:textId="77777777" w:rsidTr="00F2448E">
        <w:trPr>
          <w:trHeight w:val="276"/>
        </w:trPr>
        <w:tc>
          <w:tcPr>
            <w:tcW w:w="2660" w:type="dxa"/>
            <w:shd w:val="clear" w:color="auto" w:fill="DBE5F1" w:themeFill="accent1" w:themeFillTint="33"/>
            <w:noWrap/>
            <w:hideMark/>
          </w:tcPr>
          <w:p w14:paraId="6F016B66" w14:textId="77777777" w:rsidR="00F35497" w:rsidRPr="00F44E7A" w:rsidRDefault="00F35497"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223" w:type="dxa"/>
            <w:tcBorders>
              <w:right w:val="nil"/>
            </w:tcBorders>
            <w:shd w:val="clear" w:color="auto" w:fill="DBE5F1" w:themeFill="accent1" w:themeFillTint="33"/>
            <w:noWrap/>
            <w:vAlign w:val="center"/>
          </w:tcPr>
          <w:p w14:paraId="2482239D"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4</w:t>
            </w:r>
            <w:r>
              <w:rPr>
                <w:rFonts w:eastAsia="Times New Roman" w:cs="Arial"/>
                <w:lang w:eastAsia="en-AU"/>
              </w:rPr>
              <w:t>,</w:t>
            </w:r>
            <w:r w:rsidRPr="00E65B10">
              <w:rPr>
                <w:rFonts w:eastAsia="Times New Roman" w:cs="Arial"/>
                <w:lang w:eastAsia="en-AU"/>
              </w:rPr>
              <w:t>518</w:t>
            </w:r>
          </w:p>
        </w:tc>
        <w:tc>
          <w:tcPr>
            <w:tcW w:w="1506" w:type="dxa"/>
            <w:tcBorders>
              <w:left w:val="nil"/>
            </w:tcBorders>
            <w:shd w:val="clear" w:color="auto" w:fill="DBE5F1" w:themeFill="accent1" w:themeFillTint="33"/>
            <w:vAlign w:val="center"/>
          </w:tcPr>
          <w:p w14:paraId="2F9D05BE"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4</w:t>
            </w:r>
            <w:r>
              <w:rPr>
                <w:rFonts w:eastAsia="Times New Roman" w:cs="Arial"/>
                <w:lang w:eastAsia="en-AU"/>
              </w:rPr>
              <w:t>,</w:t>
            </w:r>
            <w:r w:rsidRPr="00E65B10">
              <w:rPr>
                <w:rFonts w:eastAsia="Times New Roman" w:cs="Arial"/>
                <w:lang w:eastAsia="en-AU"/>
              </w:rPr>
              <w:t>300</w:t>
            </w:r>
          </w:p>
        </w:tc>
        <w:tc>
          <w:tcPr>
            <w:tcW w:w="1506" w:type="dxa"/>
            <w:tcBorders>
              <w:right w:val="nil"/>
            </w:tcBorders>
            <w:shd w:val="clear" w:color="auto" w:fill="DBE5F1" w:themeFill="accent1" w:themeFillTint="33"/>
            <w:noWrap/>
            <w:vAlign w:val="center"/>
          </w:tcPr>
          <w:p w14:paraId="35F21D58"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w:t>
            </w:r>
            <w:r>
              <w:rPr>
                <w:rFonts w:eastAsia="Times New Roman" w:cs="Arial"/>
                <w:lang w:eastAsia="en-AU"/>
              </w:rPr>
              <w:t>,</w:t>
            </w:r>
            <w:r w:rsidRPr="00E65B10">
              <w:rPr>
                <w:rFonts w:eastAsia="Times New Roman" w:cs="Arial"/>
                <w:lang w:eastAsia="en-AU"/>
              </w:rPr>
              <w:t>048</w:t>
            </w:r>
          </w:p>
        </w:tc>
        <w:tc>
          <w:tcPr>
            <w:tcW w:w="1506" w:type="dxa"/>
            <w:tcBorders>
              <w:left w:val="nil"/>
            </w:tcBorders>
            <w:shd w:val="clear" w:color="auto" w:fill="DBE5F1" w:themeFill="accent1" w:themeFillTint="33"/>
            <w:vAlign w:val="center"/>
          </w:tcPr>
          <w:p w14:paraId="245C9236"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w:t>
            </w:r>
            <w:r>
              <w:rPr>
                <w:rFonts w:eastAsia="Times New Roman" w:cs="Arial"/>
                <w:lang w:eastAsia="en-AU"/>
              </w:rPr>
              <w:t>,</w:t>
            </w:r>
            <w:r w:rsidRPr="00E65B10">
              <w:rPr>
                <w:rFonts w:eastAsia="Times New Roman" w:cs="Arial"/>
                <w:lang w:eastAsia="en-AU"/>
              </w:rPr>
              <w:t>862</w:t>
            </w:r>
          </w:p>
        </w:tc>
        <w:tc>
          <w:tcPr>
            <w:tcW w:w="1506" w:type="dxa"/>
            <w:tcBorders>
              <w:right w:val="nil"/>
            </w:tcBorders>
            <w:shd w:val="clear" w:color="auto" w:fill="DBE5F1" w:themeFill="accent1" w:themeFillTint="33"/>
            <w:noWrap/>
            <w:vAlign w:val="center"/>
          </w:tcPr>
          <w:p w14:paraId="0E61E1E9"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w:t>
            </w:r>
            <w:r>
              <w:rPr>
                <w:rFonts w:eastAsia="Times New Roman" w:cs="Arial"/>
                <w:lang w:eastAsia="en-AU"/>
              </w:rPr>
              <w:t>,</w:t>
            </w:r>
            <w:r w:rsidRPr="00E65B10">
              <w:rPr>
                <w:rFonts w:eastAsia="Times New Roman" w:cs="Arial"/>
                <w:lang w:eastAsia="en-AU"/>
              </w:rPr>
              <w:t>466</w:t>
            </w:r>
          </w:p>
        </w:tc>
        <w:tc>
          <w:tcPr>
            <w:tcW w:w="1506" w:type="dxa"/>
            <w:tcBorders>
              <w:left w:val="nil"/>
            </w:tcBorders>
            <w:shd w:val="clear" w:color="auto" w:fill="DBE5F1" w:themeFill="accent1" w:themeFillTint="33"/>
            <w:vAlign w:val="center"/>
          </w:tcPr>
          <w:p w14:paraId="5C245546"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w:t>
            </w:r>
            <w:r>
              <w:rPr>
                <w:rFonts w:eastAsia="Times New Roman" w:cs="Arial"/>
                <w:lang w:eastAsia="en-AU"/>
              </w:rPr>
              <w:t>,</w:t>
            </w:r>
            <w:r w:rsidRPr="00E65B10">
              <w:rPr>
                <w:rFonts w:eastAsia="Times New Roman" w:cs="Arial"/>
                <w:lang w:eastAsia="en-AU"/>
              </w:rPr>
              <w:t>313</w:t>
            </w:r>
          </w:p>
        </w:tc>
        <w:tc>
          <w:tcPr>
            <w:tcW w:w="1506" w:type="dxa"/>
            <w:tcBorders>
              <w:right w:val="nil"/>
            </w:tcBorders>
            <w:shd w:val="clear" w:color="auto" w:fill="DBE5F1" w:themeFill="accent1" w:themeFillTint="33"/>
            <w:noWrap/>
            <w:vAlign w:val="center"/>
          </w:tcPr>
          <w:p w14:paraId="78E85005"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584</w:t>
            </w:r>
          </w:p>
        </w:tc>
        <w:tc>
          <w:tcPr>
            <w:tcW w:w="1507" w:type="dxa"/>
            <w:tcBorders>
              <w:left w:val="nil"/>
            </w:tcBorders>
            <w:shd w:val="clear" w:color="auto" w:fill="DBE5F1" w:themeFill="accent1" w:themeFillTint="33"/>
            <w:vAlign w:val="center"/>
          </w:tcPr>
          <w:p w14:paraId="0352B7BF"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543</w:t>
            </w:r>
          </w:p>
        </w:tc>
      </w:tr>
      <w:tr w:rsidR="00F35497" w:rsidRPr="003324F1" w14:paraId="58D25F1B" w14:textId="77777777" w:rsidTr="00F2448E">
        <w:trPr>
          <w:trHeight w:val="276"/>
        </w:trPr>
        <w:tc>
          <w:tcPr>
            <w:tcW w:w="2660" w:type="dxa"/>
            <w:shd w:val="clear" w:color="auto" w:fill="auto"/>
            <w:noWrap/>
            <w:hideMark/>
          </w:tcPr>
          <w:p w14:paraId="510D6D19" w14:textId="77777777" w:rsidR="00F35497" w:rsidRPr="00F44E7A" w:rsidRDefault="00F35497"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223" w:type="dxa"/>
            <w:tcBorders>
              <w:right w:val="nil"/>
            </w:tcBorders>
            <w:shd w:val="clear" w:color="auto" w:fill="auto"/>
            <w:noWrap/>
            <w:vAlign w:val="center"/>
          </w:tcPr>
          <w:p w14:paraId="0B1F32E6"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7</w:t>
            </w:r>
            <w:r>
              <w:rPr>
                <w:rFonts w:eastAsia="Times New Roman" w:cs="Arial"/>
                <w:lang w:eastAsia="en-AU"/>
              </w:rPr>
              <w:t>,</w:t>
            </w:r>
            <w:r w:rsidRPr="00E65B10">
              <w:rPr>
                <w:rFonts w:eastAsia="Times New Roman" w:cs="Arial"/>
                <w:lang w:eastAsia="en-AU"/>
              </w:rPr>
              <w:t>100</w:t>
            </w:r>
          </w:p>
        </w:tc>
        <w:tc>
          <w:tcPr>
            <w:tcW w:w="1506" w:type="dxa"/>
            <w:tcBorders>
              <w:left w:val="nil"/>
            </w:tcBorders>
            <w:shd w:val="clear" w:color="auto" w:fill="auto"/>
            <w:vAlign w:val="center"/>
          </w:tcPr>
          <w:p w14:paraId="46F05AB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w:t>
            </w:r>
            <w:r>
              <w:rPr>
                <w:rFonts w:eastAsia="Times New Roman" w:cs="Arial"/>
                <w:lang w:eastAsia="en-AU"/>
              </w:rPr>
              <w:t>,</w:t>
            </w:r>
            <w:r w:rsidRPr="00E65B10">
              <w:rPr>
                <w:rFonts w:eastAsia="Times New Roman" w:cs="Arial"/>
                <w:lang w:eastAsia="en-AU"/>
              </w:rPr>
              <w:t>417</w:t>
            </w:r>
          </w:p>
        </w:tc>
        <w:tc>
          <w:tcPr>
            <w:tcW w:w="1506" w:type="dxa"/>
            <w:tcBorders>
              <w:right w:val="nil"/>
            </w:tcBorders>
            <w:shd w:val="clear" w:color="auto" w:fill="auto"/>
            <w:noWrap/>
            <w:vAlign w:val="center"/>
          </w:tcPr>
          <w:p w14:paraId="0DD55BC1"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8</w:t>
            </w:r>
            <w:r>
              <w:rPr>
                <w:rFonts w:eastAsia="Times New Roman" w:cs="Arial"/>
                <w:lang w:eastAsia="en-AU"/>
              </w:rPr>
              <w:t>,</w:t>
            </w:r>
            <w:r w:rsidRPr="00E65B10">
              <w:rPr>
                <w:rFonts w:eastAsia="Times New Roman" w:cs="Arial"/>
                <w:lang w:eastAsia="en-AU"/>
              </w:rPr>
              <w:t>654</w:t>
            </w:r>
          </w:p>
        </w:tc>
        <w:tc>
          <w:tcPr>
            <w:tcW w:w="1506" w:type="dxa"/>
            <w:tcBorders>
              <w:left w:val="nil"/>
            </w:tcBorders>
            <w:shd w:val="clear" w:color="auto" w:fill="auto"/>
            <w:vAlign w:val="center"/>
          </w:tcPr>
          <w:p w14:paraId="4D2DA7D8"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7</w:t>
            </w:r>
            <w:r>
              <w:rPr>
                <w:rFonts w:eastAsia="Times New Roman" w:cs="Arial"/>
                <w:lang w:eastAsia="en-AU"/>
              </w:rPr>
              <w:t>,</w:t>
            </w:r>
            <w:r w:rsidRPr="00E65B10">
              <w:rPr>
                <w:rFonts w:eastAsia="Times New Roman" w:cs="Arial"/>
                <w:lang w:eastAsia="en-AU"/>
              </w:rPr>
              <w:t>558</w:t>
            </w:r>
          </w:p>
        </w:tc>
        <w:tc>
          <w:tcPr>
            <w:tcW w:w="1506" w:type="dxa"/>
            <w:tcBorders>
              <w:right w:val="nil"/>
            </w:tcBorders>
            <w:shd w:val="clear" w:color="auto" w:fill="auto"/>
            <w:noWrap/>
            <w:vAlign w:val="center"/>
          </w:tcPr>
          <w:p w14:paraId="6B8CF42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w:t>
            </w:r>
            <w:r>
              <w:rPr>
                <w:rFonts w:eastAsia="Times New Roman" w:cs="Arial"/>
                <w:lang w:eastAsia="en-AU"/>
              </w:rPr>
              <w:t>,</w:t>
            </w:r>
            <w:r w:rsidRPr="00E65B10">
              <w:rPr>
                <w:rFonts w:eastAsia="Times New Roman" w:cs="Arial"/>
                <w:lang w:eastAsia="en-AU"/>
              </w:rPr>
              <w:t>231</w:t>
            </w:r>
          </w:p>
        </w:tc>
        <w:tc>
          <w:tcPr>
            <w:tcW w:w="1506" w:type="dxa"/>
            <w:tcBorders>
              <w:left w:val="nil"/>
            </w:tcBorders>
            <w:shd w:val="clear" w:color="auto" w:fill="auto"/>
            <w:vAlign w:val="center"/>
          </w:tcPr>
          <w:p w14:paraId="197FE247"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5</w:t>
            </w:r>
            <w:r>
              <w:rPr>
                <w:rFonts w:eastAsia="Times New Roman" w:cs="Arial"/>
                <w:lang w:eastAsia="en-AU"/>
              </w:rPr>
              <w:t>,</w:t>
            </w:r>
            <w:r w:rsidRPr="00E65B10">
              <w:rPr>
                <w:rFonts w:eastAsia="Times New Roman" w:cs="Arial"/>
                <w:lang w:eastAsia="en-AU"/>
              </w:rPr>
              <w:t>696</w:t>
            </w:r>
          </w:p>
        </w:tc>
        <w:tc>
          <w:tcPr>
            <w:tcW w:w="1506" w:type="dxa"/>
            <w:tcBorders>
              <w:right w:val="nil"/>
            </w:tcBorders>
            <w:shd w:val="clear" w:color="auto" w:fill="auto"/>
            <w:noWrap/>
            <w:vAlign w:val="center"/>
          </w:tcPr>
          <w:p w14:paraId="5A186A60"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w:t>
            </w:r>
            <w:r>
              <w:rPr>
                <w:rFonts w:eastAsia="Times New Roman" w:cs="Arial"/>
                <w:lang w:eastAsia="en-AU"/>
              </w:rPr>
              <w:t>,</w:t>
            </w:r>
            <w:r w:rsidRPr="00E65B10">
              <w:rPr>
                <w:rFonts w:eastAsia="Times New Roman" w:cs="Arial"/>
                <w:lang w:eastAsia="en-AU"/>
              </w:rPr>
              <w:t>048</w:t>
            </w:r>
          </w:p>
        </w:tc>
        <w:tc>
          <w:tcPr>
            <w:tcW w:w="1507" w:type="dxa"/>
            <w:tcBorders>
              <w:left w:val="nil"/>
            </w:tcBorders>
            <w:shd w:val="clear" w:color="auto" w:fill="auto"/>
            <w:vAlign w:val="center"/>
          </w:tcPr>
          <w:p w14:paraId="75B5C1A2"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w:t>
            </w:r>
            <w:r>
              <w:rPr>
                <w:rFonts w:eastAsia="Times New Roman" w:cs="Arial"/>
                <w:lang w:eastAsia="en-AU"/>
              </w:rPr>
              <w:t>,</w:t>
            </w:r>
            <w:r w:rsidRPr="00E65B10">
              <w:rPr>
                <w:rFonts w:eastAsia="Times New Roman" w:cs="Arial"/>
                <w:lang w:eastAsia="en-AU"/>
              </w:rPr>
              <w:t>812</w:t>
            </w:r>
          </w:p>
        </w:tc>
      </w:tr>
      <w:tr w:rsidR="00F35497" w:rsidRPr="00FD6E8E" w14:paraId="797A2FE3" w14:textId="77777777" w:rsidTr="00F2448E">
        <w:trPr>
          <w:trHeight w:val="276"/>
        </w:trPr>
        <w:tc>
          <w:tcPr>
            <w:tcW w:w="2660" w:type="dxa"/>
            <w:shd w:val="clear" w:color="auto" w:fill="B8CCE4" w:themeFill="accent1" w:themeFillTint="66"/>
            <w:noWrap/>
            <w:hideMark/>
          </w:tcPr>
          <w:p w14:paraId="1997875F" w14:textId="77777777" w:rsidR="00F35497" w:rsidRPr="00FD6E8E" w:rsidRDefault="00F35497" w:rsidP="00CE2FDF">
            <w:pPr>
              <w:spacing w:before="0" w:line="276" w:lineRule="auto"/>
              <w:rPr>
                <w:rFonts w:eastAsia="Times New Roman" w:cs="Arial"/>
                <w:b/>
                <w:lang w:eastAsia="en-AU"/>
              </w:rPr>
            </w:pPr>
            <w:r w:rsidRPr="00FD6E8E">
              <w:rPr>
                <w:rFonts w:eastAsia="Times New Roman" w:cs="Arial"/>
                <w:b/>
                <w:lang w:eastAsia="en-AU"/>
              </w:rPr>
              <w:t>Totals:</w:t>
            </w:r>
          </w:p>
        </w:tc>
        <w:tc>
          <w:tcPr>
            <w:tcW w:w="1223" w:type="dxa"/>
            <w:tcBorders>
              <w:right w:val="nil"/>
            </w:tcBorders>
            <w:shd w:val="clear" w:color="auto" w:fill="B8CCE4" w:themeFill="accent1" w:themeFillTint="66"/>
            <w:noWrap/>
            <w:vAlign w:val="center"/>
          </w:tcPr>
          <w:p w14:paraId="653104F3"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11</w:t>
            </w:r>
            <w:r>
              <w:rPr>
                <w:rFonts w:eastAsia="Times New Roman" w:cs="Arial"/>
                <w:b/>
                <w:lang w:eastAsia="en-AU"/>
              </w:rPr>
              <w:t>,</w:t>
            </w:r>
            <w:r w:rsidRPr="00E65B10">
              <w:rPr>
                <w:rFonts w:eastAsia="Times New Roman" w:cs="Arial"/>
                <w:b/>
                <w:lang w:eastAsia="en-AU"/>
              </w:rPr>
              <w:t>618</w:t>
            </w:r>
          </w:p>
        </w:tc>
        <w:tc>
          <w:tcPr>
            <w:tcW w:w="1506" w:type="dxa"/>
            <w:tcBorders>
              <w:left w:val="nil"/>
            </w:tcBorders>
            <w:shd w:val="clear" w:color="auto" w:fill="B8CCE4" w:themeFill="accent1" w:themeFillTint="66"/>
            <w:vAlign w:val="center"/>
          </w:tcPr>
          <w:p w14:paraId="2497DC62"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10</w:t>
            </w:r>
            <w:r>
              <w:rPr>
                <w:rFonts w:eastAsia="Times New Roman" w:cs="Arial"/>
                <w:b/>
                <w:lang w:eastAsia="en-AU"/>
              </w:rPr>
              <w:t>,</w:t>
            </w:r>
            <w:r w:rsidRPr="00E65B10">
              <w:rPr>
                <w:rFonts w:eastAsia="Times New Roman" w:cs="Arial"/>
                <w:b/>
                <w:lang w:eastAsia="en-AU"/>
              </w:rPr>
              <w:t>243</w:t>
            </w:r>
          </w:p>
        </w:tc>
        <w:tc>
          <w:tcPr>
            <w:tcW w:w="1506" w:type="dxa"/>
            <w:tcBorders>
              <w:right w:val="nil"/>
            </w:tcBorders>
            <w:shd w:val="clear" w:color="auto" w:fill="B8CCE4" w:themeFill="accent1" w:themeFillTint="66"/>
            <w:noWrap/>
            <w:vAlign w:val="center"/>
          </w:tcPr>
          <w:p w14:paraId="70EE69F9"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11</w:t>
            </w:r>
            <w:r>
              <w:rPr>
                <w:rFonts w:eastAsia="Times New Roman" w:cs="Arial"/>
                <w:b/>
                <w:lang w:eastAsia="en-AU"/>
              </w:rPr>
              <w:t>,</w:t>
            </w:r>
            <w:r w:rsidRPr="00E65B10">
              <w:rPr>
                <w:rFonts w:eastAsia="Times New Roman" w:cs="Arial"/>
                <w:b/>
                <w:lang w:eastAsia="en-AU"/>
              </w:rPr>
              <w:t>702</w:t>
            </w:r>
          </w:p>
        </w:tc>
        <w:tc>
          <w:tcPr>
            <w:tcW w:w="1506" w:type="dxa"/>
            <w:tcBorders>
              <w:left w:val="nil"/>
            </w:tcBorders>
            <w:shd w:val="clear" w:color="auto" w:fill="B8CCE4" w:themeFill="accent1" w:themeFillTint="66"/>
            <w:vAlign w:val="center"/>
          </w:tcPr>
          <w:p w14:paraId="05647583"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9</w:t>
            </w:r>
            <w:r>
              <w:rPr>
                <w:rFonts w:eastAsia="Times New Roman" w:cs="Arial"/>
                <w:b/>
                <w:lang w:eastAsia="en-AU"/>
              </w:rPr>
              <w:t>,</w:t>
            </w:r>
            <w:r w:rsidRPr="00E65B10">
              <w:rPr>
                <w:rFonts w:eastAsia="Times New Roman" w:cs="Arial"/>
                <w:b/>
                <w:lang w:eastAsia="en-AU"/>
              </w:rPr>
              <w:t>934</w:t>
            </w:r>
          </w:p>
        </w:tc>
        <w:tc>
          <w:tcPr>
            <w:tcW w:w="1506" w:type="dxa"/>
            <w:tcBorders>
              <w:right w:val="nil"/>
            </w:tcBorders>
            <w:shd w:val="clear" w:color="auto" w:fill="B8CCE4" w:themeFill="accent1" w:themeFillTint="66"/>
            <w:noWrap/>
            <w:vAlign w:val="center"/>
          </w:tcPr>
          <w:p w14:paraId="79FCE666"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9</w:t>
            </w:r>
            <w:r>
              <w:rPr>
                <w:rFonts w:eastAsia="Times New Roman" w:cs="Arial"/>
                <w:b/>
                <w:lang w:eastAsia="en-AU"/>
              </w:rPr>
              <w:t>,</w:t>
            </w:r>
            <w:r w:rsidRPr="00E65B10">
              <w:rPr>
                <w:rFonts w:eastAsia="Times New Roman" w:cs="Arial"/>
                <w:b/>
                <w:lang w:eastAsia="en-AU"/>
              </w:rPr>
              <w:t>697</w:t>
            </w:r>
          </w:p>
        </w:tc>
        <w:tc>
          <w:tcPr>
            <w:tcW w:w="1506" w:type="dxa"/>
            <w:tcBorders>
              <w:left w:val="nil"/>
            </w:tcBorders>
            <w:shd w:val="clear" w:color="auto" w:fill="B8CCE4" w:themeFill="accent1" w:themeFillTint="66"/>
            <w:vAlign w:val="center"/>
          </w:tcPr>
          <w:p w14:paraId="761FBFA7"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8</w:t>
            </w:r>
            <w:r>
              <w:rPr>
                <w:rFonts w:eastAsia="Times New Roman" w:cs="Arial"/>
                <w:b/>
                <w:lang w:eastAsia="en-AU"/>
              </w:rPr>
              <w:t>,</w:t>
            </w:r>
            <w:r w:rsidRPr="00E65B10">
              <w:rPr>
                <w:rFonts w:eastAsia="Times New Roman" w:cs="Arial"/>
                <w:b/>
                <w:lang w:eastAsia="en-AU"/>
              </w:rPr>
              <w:t>682</w:t>
            </w:r>
          </w:p>
        </w:tc>
        <w:tc>
          <w:tcPr>
            <w:tcW w:w="1506" w:type="dxa"/>
            <w:tcBorders>
              <w:right w:val="nil"/>
            </w:tcBorders>
            <w:shd w:val="clear" w:color="auto" w:fill="B8CCE4" w:themeFill="accent1" w:themeFillTint="66"/>
            <w:noWrap/>
            <w:vAlign w:val="center"/>
          </w:tcPr>
          <w:p w14:paraId="3B085963"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4</w:t>
            </w:r>
            <w:r>
              <w:rPr>
                <w:rFonts w:eastAsia="Times New Roman" w:cs="Arial"/>
                <w:b/>
                <w:lang w:eastAsia="en-AU"/>
              </w:rPr>
              <w:t>,</w:t>
            </w:r>
            <w:r w:rsidRPr="00E65B10">
              <w:rPr>
                <w:rFonts w:eastAsia="Times New Roman" w:cs="Arial"/>
                <w:b/>
                <w:lang w:eastAsia="en-AU"/>
              </w:rPr>
              <w:t>632</w:t>
            </w:r>
          </w:p>
        </w:tc>
        <w:tc>
          <w:tcPr>
            <w:tcW w:w="1507" w:type="dxa"/>
            <w:tcBorders>
              <w:left w:val="nil"/>
            </w:tcBorders>
            <w:shd w:val="clear" w:color="auto" w:fill="B8CCE4" w:themeFill="accent1" w:themeFillTint="66"/>
            <w:vAlign w:val="center"/>
          </w:tcPr>
          <w:p w14:paraId="4A59FE36"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4</w:t>
            </w:r>
            <w:r>
              <w:rPr>
                <w:rFonts w:eastAsia="Times New Roman" w:cs="Arial"/>
                <w:b/>
                <w:lang w:eastAsia="en-AU"/>
              </w:rPr>
              <w:t>,</w:t>
            </w:r>
            <w:r w:rsidRPr="00E65B10">
              <w:rPr>
                <w:rFonts w:eastAsia="Times New Roman" w:cs="Arial"/>
                <w:b/>
                <w:lang w:eastAsia="en-AU"/>
              </w:rPr>
              <w:t>226</w:t>
            </w:r>
          </w:p>
        </w:tc>
      </w:tr>
    </w:tbl>
    <w:p w14:paraId="5F8C023C" w14:textId="77777777" w:rsidR="00F35497" w:rsidRDefault="00F35497" w:rsidP="00B15586"/>
    <w:p w14:paraId="193EB1DC" w14:textId="77777777" w:rsidR="00F35497" w:rsidRDefault="00F35497" w:rsidP="0095311F">
      <w:pPr>
        <w:pStyle w:val="Figureheading"/>
      </w:pPr>
      <w:r>
        <w:t>3.16</w:t>
      </w:r>
      <w:r>
        <w:tab/>
        <w:t>Number of reports for 2004, 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93"/>
        <w:gridCol w:w="1275"/>
        <w:gridCol w:w="1063"/>
        <w:gridCol w:w="1205"/>
        <w:gridCol w:w="1205"/>
        <w:gridCol w:w="1205"/>
        <w:gridCol w:w="1205"/>
        <w:gridCol w:w="1205"/>
        <w:gridCol w:w="1205"/>
        <w:gridCol w:w="1205"/>
      </w:tblGrid>
      <w:tr w:rsidR="00F35497" w:rsidRPr="00F44E7A" w14:paraId="30B6EC02" w14:textId="77777777" w:rsidTr="00137AE1">
        <w:trPr>
          <w:trHeight w:val="329"/>
          <w:tblHeader/>
        </w:trPr>
        <w:tc>
          <w:tcPr>
            <w:tcW w:w="2660" w:type="dxa"/>
            <w:shd w:val="clear" w:color="auto" w:fill="B8CCE4" w:themeFill="accent1" w:themeFillTint="66"/>
            <w:noWrap/>
            <w:hideMark/>
          </w:tcPr>
          <w:p w14:paraId="1539F448" w14:textId="77777777" w:rsidR="00F35497" w:rsidRPr="00F44E7A" w:rsidRDefault="00F35497" w:rsidP="00CE2FDF">
            <w:pPr>
              <w:keepNext/>
              <w:spacing w:before="0" w:line="276" w:lineRule="auto"/>
              <w:jc w:val="center"/>
              <w:rPr>
                <w:rFonts w:eastAsia="Times New Roman" w:cs="Arial"/>
                <w:b/>
                <w:lang w:eastAsia="en-AU"/>
              </w:rPr>
            </w:pPr>
          </w:p>
        </w:tc>
        <w:tc>
          <w:tcPr>
            <w:tcW w:w="2268" w:type="dxa"/>
            <w:gridSpan w:val="2"/>
            <w:shd w:val="clear" w:color="auto" w:fill="B8CCE4" w:themeFill="accent1" w:themeFillTint="66"/>
            <w:noWrap/>
            <w:hideMark/>
          </w:tcPr>
          <w:p w14:paraId="6B5D19D6" w14:textId="77777777" w:rsidR="00F35497" w:rsidRPr="00F44E7A" w:rsidRDefault="00F35497"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268" w:type="dxa"/>
            <w:gridSpan w:val="2"/>
            <w:shd w:val="clear" w:color="auto" w:fill="B8CCE4" w:themeFill="accent1" w:themeFillTint="66"/>
            <w:noWrap/>
            <w:hideMark/>
          </w:tcPr>
          <w:p w14:paraId="6DB522F9" w14:textId="77777777" w:rsidR="00F35497" w:rsidRPr="00F44E7A" w:rsidRDefault="00F35497"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410" w:type="dxa"/>
            <w:gridSpan w:val="2"/>
            <w:shd w:val="clear" w:color="auto" w:fill="B8CCE4" w:themeFill="accent1" w:themeFillTint="66"/>
            <w:noWrap/>
            <w:hideMark/>
          </w:tcPr>
          <w:p w14:paraId="590B8A97" w14:textId="77777777" w:rsidR="00F35497" w:rsidRPr="00F44E7A" w:rsidRDefault="00F35497"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410" w:type="dxa"/>
            <w:gridSpan w:val="2"/>
            <w:shd w:val="clear" w:color="auto" w:fill="B8CCE4" w:themeFill="accent1" w:themeFillTint="66"/>
            <w:noWrap/>
            <w:hideMark/>
          </w:tcPr>
          <w:p w14:paraId="2AD09E7F" w14:textId="77777777" w:rsidR="00F35497" w:rsidRPr="00F44E7A" w:rsidRDefault="00F35497"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410" w:type="dxa"/>
            <w:gridSpan w:val="2"/>
            <w:shd w:val="clear" w:color="auto" w:fill="B8CCE4" w:themeFill="accent1" w:themeFillTint="66"/>
            <w:noWrap/>
            <w:hideMark/>
          </w:tcPr>
          <w:p w14:paraId="205D273C" w14:textId="77777777" w:rsidR="00F35497" w:rsidRPr="00F44E7A" w:rsidRDefault="00F35497"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F35497" w:rsidRPr="00F44E7A" w14:paraId="324E33AE" w14:textId="77777777" w:rsidTr="00137AE1">
        <w:trPr>
          <w:trHeight w:val="264"/>
          <w:tblHeader/>
        </w:trPr>
        <w:tc>
          <w:tcPr>
            <w:tcW w:w="2660" w:type="dxa"/>
            <w:shd w:val="clear" w:color="auto" w:fill="B8CCE4" w:themeFill="accent1" w:themeFillTint="66"/>
            <w:noWrap/>
            <w:hideMark/>
          </w:tcPr>
          <w:p w14:paraId="7488DFF1" w14:textId="77777777" w:rsidR="00F35497" w:rsidRPr="00F44E7A" w:rsidRDefault="00F35497" w:rsidP="00CE2FDF">
            <w:pPr>
              <w:keepNext/>
              <w:spacing w:before="0" w:line="276" w:lineRule="auto"/>
              <w:rPr>
                <w:rFonts w:eastAsia="Times New Roman" w:cs="Arial"/>
                <w:b/>
                <w:lang w:eastAsia="en-AU"/>
              </w:rPr>
            </w:pPr>
          </w:p>
        </w:tc>
        <w:tc>
          <w:tcPr>
            <w:tcW w:w="993" w:type="dxa"/>
            <w:tcBorders>
              <w:right w:val="nil"/>
            </w:tcBorders>
            <w:shd w:val="clear" w:color="auto" w:fill="B8CCE4" w:themeFill="accent1" w:themeFillTint="66"/>
            <w:noWrap/>
            <w:vAlign w:val="center"/>
            <w:hideMark/>
          </w:tcPr>
          <w:p w14:paraId="42040AE0" w14:textId="77777777" w:rsidR="00F35497" w:rsidRPr="00F44E7A" w:rsidRDefault="00F3549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275" w:type="dxa"/>
            <w:tcBorders>
              <w:left w:val="nil"/>
            </w:tcBorders>
            <w:shd w:val="clear" w:color="auto" w:fill="B8CCE4" w:themeFill="accent1" w:themeFillTint="66"/>
            <w:vAlign w:val="center"/>
          </w:tcPr>
          <w:p w14:paraId="302203A0" w14:textId="77777777" w:rsidR="00F35497" w:rsidRPr="00F44E7A" w:rsidRDefault="00F35497"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063" w:type="dxa"/>
            <w:tcBorders>
              <w:right w:val="nil"/>
            </w:tcBorders>
            <w:shd w:val="clear" w:color="auto" w:fill="B8CCE4" w:themeFill="accent1" w:themeFillTint="66"/>
            <w:noWrap/>
            <w:vAlign w:val="center"/>
            <w:hideMark/>
          </w:tcPr>
          <w:p w14:paraId="23F1D935" w14:textId="77777777" w:rsidR="00F35497" w:rsidRPr="00F44E7A" w:rsidRDefault="00F3549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1026960E" w14:textId="77777777" w:rsidR="00F35497" w:rsidRPr="00F44E7A" w:rsidRDefault="00F35497"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33575BB9" w14:textId="77777777" w:rsidR="00F35497" w:rsidRPr="00F44E7A" w:rsidRDefault="00F3549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39668A5F" w14:textId="77777777" w:rsidR="00F35497" w:rsidRPr="00F44E7A" w:rsidRDefault="00F35497"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2DD720E6" w14:textId="77777777" w:rsidR="00F35497" w:rsidRPr="00F44E7A" w:rsidRDefault="00F3549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3115EED9" w14:textId="77777777" w:rsidR="00F35497" w:rsidRPr="00F44E7A" w:rsidRDefault="00F35497"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205" w:type="dxa"/>
            <w:tcBorders>
              <w:right w:val="nil"/>
            </w:tcBorders>
            <w:shd w:val="clear" w:color="auto" w:fill="B8CCE4" w:themeFill="accent1" w:themeFillTint="66"/>
            <w:noWrap/>
            <w:vAlign w:val="center"/>
            <w:hideMark/>
          </w:tcPr>
          <w:p w14:paraId="3178C5C3" w14:textId="77777777" w:rsidR="00F35497" w:rsidRPr="00F44E7A" w:rsidRDefault="00F3549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205" w:type="dxa"/>
            <w:tcBorders>
              <w:left w:val="nil"/>
            </w:tcBorders>
            <w:shd w:val="clear" w:color="auto" w:fill="B8CCE4" w:themeFill="accent1" w:themeFillTint="66"/>
            <w:vAlign w:val="center"/>
          </w:tcPr>
          <w:p w14:paraId="014795E5" w14:textId="77777777" w:rsidR="00F35497" w:rsidRPr="00F44E7A" w:rsidRDefault="00F35497"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F35497" w:rsidRPr="003324F1" w14:paraId="76E0FEEE" w14:textId="77777777" w:rsidTr="00F2448E">
        <w:trPr>
          <w:trHeight w:val="276"/>
        </w:trPr>
        <w:tc>
          <w:tcPr>
            <w:tcW w:w="2660" w:type="dxa"/>
            <w:noWrap/>
            <w:hideMark/>
          </w:tcPr>
          <w:p w14:paraId="7D216A9B" w14:textId="77777777" w:rsidR="00F35497" w:rsidRPr="00F44E7A" w:rsidRDefault="00F35497"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993" w:type="dxa"/>
            <w:tcBorders>
              <w:right w:val="nil"/>
            </w:tcBorders>
            <w:noWrap/>
            <w:vAlign w:val="center"/>
          </w:tcPr>
          <w:p w14:paraId="0603C432"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571</w:t>
            </w:r>
          </w:p>
        </w:tc>
        <w:tc>
          <w:tcPr>
            <w:tcW w:w="1275" w:type="dxa"/>
            <w:tcBorders>
              <w:left w:val="nil"/>
            </w:tcBorders>
            <w:vAlign w:val="center"/>
          </w:tcPr>
          <w:p w14:paraId="598A620B"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558</w:t>
            </w:r>
          </w:p>
        </w:tc>
        <w:tc>
          <w:tcPr>
            <w:tcW w:w="1063" w:type="dxa"/>
            <w:tcBorders>
              <w:right w:val="nil"/>
            </w:tcBorders>
            <w:noWrap/>
            <w:vAlign w:val="center"/>
          </w:tcPr>
          <w:p w14:paraId="2CE01C76"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346</w:t>
            </w:r>
          </w:p>
        </w:tc>
        <w:tc>
          <w:tcPr>
            <w:tcW w:w="1205" w:type="dxa"/>
            <w:tcBorders>
              <w:left w:val="nil"/>
            </w:tcBorders>
            <w:vAlign w:val="center"/>
          </w:tcPr>
          <w:p w14:paraId="2CB093E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343</w:t>
            </w:r>
          </w:p>
        </w:tc>
        <w:tc>
          <w:tcPr>
            <w:tcW w:w="1205" w:type="dxa"/>
            <w:tcBorders>
              <w:right w:val="nil"/>
            </w:tcBorders>
            <w:noWrap/>
            <w:vAlign w:val="center"/>
          </w:tcPr>
          <w:p w14:paraId="0D264E13"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218</w:t>
            </w:r>
          </w:p>
        </w:tc>
        <w:tc>
          <w:tcPr>
            <w:tcW w:w="1205" w:type="dxa"/>
            <w:tcBorders>
              <w:left w:val="nil"/>
            </w:tcBorders>
            <w:vAlign w:val="center"/>
          </w:tcPr>
          <w:p w14:paraId="118DE3E1"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218</w:t>
            </w:r>
          </w:p>
        </w:tc>
        <w:tc>
          <w:tcPr>
            <w:tcW w:w="1205" w:type="dxa"/>
            <w:tcBorders>
              <w:right w:val="nil"/>
            </w:tcBorders>
            <w:noWrap/>
            <w:vAlign w:val="center"/>
          </w:tcPr>
          <w:p w14:paraId="0B6BF25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128</w:t>
            </w:r>
          </w:p>
        </w:tc>
        <w:tc>
          <w:tcPr>
            <w:tcW w:w="1205" w:type="dxa"/>
            <w:tcBorders>
              <w:left w:val="nil"/>
            </w:tcBorders>
            <w:vAlign w:val="center"/>
          </w:tcPr>
          <w:p w14:paraId="473C2DD9"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128</w:t>
            </w:r>
          </w:p>
        </w:tc>
        <w:tc>
          <w:tcPr>
            <w:tcW w:w="1205" w:type="dxa"/>
            <w:tcBorders>
              <w:right w:val="nil"/>
            </w:tcBorders>
            <w:noWrap/>
            <w:vAlign w:val="center"/>
          </w:tcPr>
          <w:p w14:paraId="6AB7B38C"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917</w:t>
            </w:r>
          </w:p>
        </w:tc>
        <w:tc>
          <w:tcPr>
            <w:tcW w:w="1205" w:type="dxa"/>
            <w:tcBorders>
              <w:left w:val="nil"/>
            </w:tcBorders>
            <w:vAlign w:val="center"/>
          </w:tcPr>
          <w:p w14:paraId="246FFA45"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897</w:t>
            </w:r>
          </w:p>
        </w:tc>
      </w:tr>
      <w:tr w:rsidR="00F35497" w:rsidRPr="003324F1" w14:paraId="61EF7EF1" w14:textId="77777777" w:rsidTr="00F2448E">
        <w:trPr>
          <w:trHeight w:val="276"/>
        </w:trPr>
        <w:tc>
          <w:tcPr>
            <w:tcW w:w="2660" w:type="dxa"/>
            <w:shd w:val="clear" w:color="auto" w:fill="DBE5F1" w:themeFill="accent1" w:themeFillTint="33"/>
            <w:noWrap/>
            <w:hideMark/>
          </w:tcPr>
          <w:p w14:paraId="30A0F6CF" w14:textId="77777777" w:rsidR="00F35497" w:rsidRPr="00F44E7A" w:rsidRDefault="00F35497"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993" w:type="dxa"/>
            <w:tcBorders>
              <w:right w:val="nil"/>
            </w:tcBorders>
            <w:shd w:val="clear" w:color="auto" w:fill="DBE5F1" w:themeFill="accent1" w:themeFillTint="33"/>
            <w:noWrap/>
            <w:vAlign w:val="center"/>
          </w:tcPr>
          <w:p w14:paraId="2A2930E7"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792</w:t>
            </w:r>
          </w:p>
        </w:tc>
        <w:tc>
          <w:tcPr>
            <w:tcW w:w="1275" w:type="dxa"/>
            <w:tcBorders>
              <w:left w:val="nil"/>
            </w:tcBorders>
            <w:shd w:val="clear" w:color="auto" w:fill="DBE5F1" w:themeFill="accent1" w:themeFillTint="33"/>
            <w:vAlign w:val="center"/>
          </w:tcPr>
          <w:p w14:paraId="0945CF42"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773</w:t>
            </w:r>
          </w:p>
        </w:tc>
        <w:tc>
          <w:tcPr>
            <w:tcW w:w="1063" w:type="dxa"/>
            <w:tcBorders>
              <w:right w:val="nil"/>
            </w:tcBorders>
            <w:shd w:val="clear" w:color="auto" w:fill="DBE5F1" w:themeFill="accent1" w:themeFillTint="33"/>
            <w:noWrap/>
            <w:vAlign w:val="center"/>
          </w:tcPr>
          <w:p w14:paraId="562CD970"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598</w:t>
            </w:r>
          </w:p>
        </w:tc>
        <w:tc>
          <w:tcPr>
            <w:tcW w:w="1205" w:type="dxa"/>
            <w:tcBorders>
              <w:left w:val="nil"/>
            </w:tcBorders>
            <w:shd w:val="clear" w:color="auto" w:fill="DBE5F1" w:themeFill="accent1" w:themeFillTint="33"/>
            <w:vAlign w:val="center"/>
          </w:tcPr>
          <w:p w14:paraId="119E7BF3"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594</w:t>
            </w:r>
          </w:p>
        </w:tc>
        <w:tc>
          <w:tcPr>
            <w:tcW w:w="1205" w:type="dxa"/>
            <w:tcBorders>
              <w:right w:val="nil"/>
            </w:tcBorders>
            <w:shd w:val="clear" w:color="auto" w:fill="DBE5F1" w:themeFill="accent1" w:themeFillTint="33"/>
            <w:noWrap/>
            <w:vAlign w:val="center"/>
          </w:tcPr>
          <w:p w14:paraId="0805E017"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418</w:t>
            </w:r>
          </w:p>
        </w:tc>
        <w:tc>
          <w:tcPr>
            <w:tcW w:w="1205" w:type="dxa"/>
            <w:tcBorders>
              <w:left w:val="nil"/>
            </w:tcBorders>
            <w:shd w:val="clear" w:color="auto" w:fill="DBE5F1" w:themeFill="accent1" w:themeFillTint="33"/>
            <w:vAlign w:val="center"/>
          </w:tcPr>
          <w:p w14:paraId="6472786B"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418</w:t>
            </w:r>
          </w:p>
        </w:tc>
        <w:tc>
          <w:tcPr>
            <w:tcW w:w="1205" w:type="dxa"/>
            <w:tcBorders>
              <w:right w:val="nil"/>
            </w:tcBorders>
            <w:shd w:val="clear" w:color="auto" w:fill="DBE5F1" w:themeFill="accent1" w:themeFillTint="33"/>
            <w:noWrap/>
            <w:vAlign w:val="center"/>
          </w:tcPr>
          <w:p w14:paraId="1682853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180</w:t>
            </w:r>
          </w:p>
        </w:tc>
        <w:tc>
          <w:tcPr>
            <w:tcW w:w="1205" w:type="dxa"/>
            <w:tcBorders>
              <w:left w:val="nil"/>
            </w:tcBorders>
            <w:shd w:val="clear" w:color="auto" w:fill="DBE5F1" w:themeFill="accent1" w:themeFillTint="33"/>
            <w:vAlign w:val="center"/>
          </w:tcPr>
          <w:p w14:paraId="283CD7AF"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180</w:t>
            </w:r>
          </w:p>
        </w:tc>
        <w:tc>
          <w:tcPr>
            <w:tcW w:w="1205" w:type="dxa"/>
            <w:tcBorders>
              <w:right w:val="nil"/>
            </w:tcBorders>
            <w:shd w:val="clear" w:color="auto" w:fill="DBE5F1" w:themeFill="accent1" w:themeFillTint="33"/>
            <w:noWrap/>
            <w:vAlign w:val="center"/>
          </w:tcPr>
          <w:p w14:paraId="412B2C77"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1</w:t>
            </w:r>
            <w:r>
              <w:rPr>
                <w:rFonts w:eastAsia="Times New Roman" w:cs="Arial"/>
                <w:b/>
                <w:lang w:eastAsia="en-AU"/>
              </w:rPr>
              <w:t>,</w:t>
            </w:r>
            <w:r w:rsidRPr="00E65B10">
              <w:rPr>
                <w:rFonts w:eastAsia="Times New Roman" w:cs="Arial"/>
                <w:b/>
                <w:lang w:eastAsia="en-AU"/>
              </w:rPr>
              <w:t>390</w:t>
            </w:r>
          </w:p>
        </w:tc>
        <w:tc>
          <w:tcPr>
            <w:tcW w:w="1205" w:type="dxa"/>
            <w:tcBorders>
              <w:left w:val="nil"/>
            </w:tcBorders>
            <w:shd w:val="clear" w:color="auto" w:fill="DBE5F1" w:themeFill="accent1" w:themeFillTint="33"/>
            <w:vAlign w:val="center"/>
          </w:tcPr>
          <w:p w14:paraId="3055AD8B"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1</w:t>
            </w:r>
            <w:r>
              <w:rPr>
                <w:rFonts w:eastAsia="Times New Roman" w:cs="Arial"/>
                <w:b/>
                <w:lang w:eastAsia="en-AU"/>
              </w:rPr>
              <w:t>,</w:t>
            </w:r>
            <w:r w:rsidRPr="00E65B10">
              <w:rPr>
                <w:rFonts w:eastAsia="Times New Roman" w:cs="Arial"/>
                <w:b/>
                <w:lang w:eastAsia="en-AU"/>
              </w:rPr>
              <w:t>337</w:t>
            </w:r>
          </w:p>
        </w:tc>
      </w:tr>
      <w:tr w:rsidR="00F35497" w:rsidRPr="003324F1" w14:paraId="1576ED7B" w14:textId="77777777" w:rsidTr="00F2448E">
        <w:trPr>
          <w:trHeight w:val="276"/>
        </w:trPr>
        <w:tc>
          <w:tcPr>
            <w:tcW w:w="2660" w:type="dxa"/>
            <w:noWrap/>
            <w:hideMark/>
          </w:tcPr>
          <w:p w14:paraId="3BE5CE66" w14:textId="77777777" w:rsidR="00F35497" w:rsidRPr="00F44E7A" w:rsidRDefault="00F35497" w:rsidP="00CE2FDF">
            <w:pPr>
              <w:spacing w:before="0" w:line="276" w:lineRule="auto"/>
              <w:rPr>
                <w:rFonts w:eastAsia="Times New Roman" w:cs="Arial"/>
                <w:b/>
                <w:lang w:eastAsia="en-AU"/>
              </w:rPr>
            </w:pPr>
            <w:r w:rsidRPr="00F44E7A">
              <w:rPr>
                <w:rFonts w:eastAsia="Times New Roman" w:cs="Arial"/>
                <w:b/>
                <w:lang w:eastAsia="en-AU"/>
              </w:rPr>
              <w:t>Police</w:t>
            </w:r>
          </w:p>
        </w:tc>
        <w:tc>
          <w:tcPr>
            <w:tcW w:w="993" w:type="dxa"/>
            <w:tcBorders>
              <w:right w:val="nil"/>
            </w:tcBorders>
            <w:noWrap/>
            <w:vAlign w:val="center"/>
          </w:tcPr>
          <w:p w14:paraId="7A2BF9A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w:t>
            </w:r>
            <w:r>
              <w:rPr>
                <w:rFonts w:eastAsia="Times New Roman" w:cs="Arial"/>
                <w:lang w:eastAsia="en-AU"/>
              </w:rPr>
              <w:t>,</w:t>
            </w:r>
            <w:r w:rsidRPr="00E65B10">
              <w:rPr>
                <w:rFonts w:eastAsia="Times New Roman" w:cs="Arial"/>
                <w:lang w:eastAsia="en-AU"/>
              </w:rPr>
              <w:t>972</w:t>
            </w:r>
          </w:p>
        </w:tc>
        <w:tc>
          <w:tcPr>
            <w:tcW w:w="1275" w:type="dxa"/>
            <w:tcBorders>
              <w:left w:val="nil"/>
            </w:tcBorders>
            <w:vAlign w:val="center"/>
          </w:tcPr>
          <w:p w14:paraId="0414F993"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w:t>
            </w:r>
            <w:r>
              <w:rPr>
                <w:rFonts w:eastAsia="Times New Roman" w:cs="Arial"/>
                <w:lang w:eastAsia="en-AU"/>
              </w:rPr>
              <w:t>,</w:t>
            </w:r>
            <w:r w:rsidRPr="00E65B10">
              <w:rPr>
                <w:rFonts w:eastAsia="Times New Roman" w:cs="Arial"/>
                <w:lang w:eastAsia="en-AU"/>
              </w:rPr>
              <w:t>798</w:t>
            </w:r>
          </w:p>
        </w:tc>
        <w:tc>
          <w:tcPr>
            <w:tcW w:w="1063" w:type="dxa"/>
            <w:tcBorders>
              <w:right w:val="nil"/>
            </w:tcBorders>
            <w:noWrap/>
            <w:vAlign w:val="center"/>
          </w:tcPr>
          <w:p w14:paraId="33B72C95"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w:t>
            </w:r>
            <w:r>
              <w:rPr>
                <w:rFonts w:eastAsia="Times New Roman" w:cs="Arial"/>
                <w:lang w:eastAsia="en-AU"/>
              </w:rPr>
              <w:t>,</w:t>
            </w:r>
            <w:r w:rsidRPr="00E65B10">
              <w:rPr>
                <w:rFonts w:eastAsia="Times New Roman" w:cs="Arial"/>
                <w:lang w:eastAsia="en-AU"/>
              </w:rPr>
              <w:t>531</w:t>
            </w:r>
          </w:p>
        </w:tc>
        <w:tc>
          <w:tcPr>
            <w:tcW w:w="1205" w:type="dxa"/>
            <w:tcBorders>
              <w:left w:val="nil"/>
            </w:tcBorders>
            <w:vAlign w:val="center"/>
          </w:tcPr>
          <w:p w14:paraId="1536221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w:t>
            </w:r>
            <w:r>
              <w:rPr>
                <w:rFonts w:eastAsia="Times New Roman" w:cs="Arial"/>
                <w:lang w:eastAsia="en-AU"/>
              </w:rPr>
              <w:t>,</w:t>
            </w:r>
            <w:r w:rsidRPr="00E65B10">
              <w:rPr>
                <w:rFonts w:eastAsia="Times New Roman" w:cs="Arial"/>
                <w:lang w:eastAsia="en-AU"/>
              </w:rPr>
              <w:t>463</w:t>
            </w:r>
          </w:p>
        </w:tc>
        <w:tc>
          <w:tcPr>
            <w:tcW w:w="1205" w:type="dxa"/>
            <w:tcBorders>
              <w:right w:val="nil"/>
            </w:tcBorders>
            <w:noWrap/>
            <w:vAlign w:val="center"/>
          </w:tcPr>
          <w:p w14:paraId="58C70E58"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921</w:t>
            </w:r>
          </w:p>
        </w:tc>
        <w:tc>
          <w:tcPr>
            <w:tcW w:w="1205" w:type="dxa"/>
            <w:tcBorders>
              <w:left w:val="nil"/>
            </w:tcBorders>
            <w:vAlign w:val="center"/>
          </w:tcPr>
          <w:p w14:paraId="677E2A12"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876</w:t>
            </w:r>
          </w:p>
        </w:tc>
        <w:tc>
          <w:tcPr>
            <w:tcW w:w="1205" w:type="dxa"/>
            <w:tcBorders>
              <w:right w:val="nil"/>
            </w:tcBorders>
            <w:noWrap/>
            <w:vAlign w:val="center"/>
          </w:tcPr>
          <w:p w14:paraId="6E20E827"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610</w:t>
            </w:r>
          </w:p>
        </w:tc>
        <w:tc>
          <w:tcPr>
            <w:tcW w:w="1205" w:type="dxa"/>
            <w:tcBorders>
              <w:left w:val="nil"/>
            </w:tcBorders>
            <w:vAlign w:val="center"/>
          </w:tcPr>
          <w:p w14:paraId="7F77046B"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607</w:t>
            </w:r>
          </w:p>
        </w:tc>
        <w:tc>
          <w:tcPr>
            <w:tcW w:w="1205" w:type="dxa"/>
            <w:tcBorders>
              <w:right w:val="nil"/>
            </w:tcBorders>
            <w:noWrap/>
            <w:vAlign w:val="center"/>
          </w:tcPr>
          <w:p w14:paraId="13F17E93"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6</w:t>
            </w:r>
            <w:r>
              <w:rPr>
                <w:rFonts w:eastAsia="Times New Roman" w:cs="Arial"/>
                <w:b/>
                <w:lang w:eastAsia="en-AU"/>
              </w:rPr>
              <w:t>,</w:t>
            </w:r>
            <w:r w:rsidRPr="00E65B10">
              <w:rPr>
                <w:rFonts w:eastAsia="Times New Roman" w:cs="Arial"/>
                <w:b/>
                <w:lang w:eastAsia="en-AU"/>
              </w:rPr>
              <w:t>503</w:t>
            </w:r>
          </w:p>
        </w:tc>
        <w:tc>
          <w:tcPr>
            <w:tcW w:w="1205" w:type="dxa"/>
            <w:tcBorders>
              <w:left w:val="nil"/>
            </w:tcBorders>
            <w:vAlign w:val="center"/>
          </w:tcPr>
          <w:p w14:paraId="32919110"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6</w:t>
            </w:r>
            <w:r>
              <w:rPr>
                <w:rFonts w:eastAsia="Times New Roman" w:cs="Arial"/>
                <w:b/>
                <w:lang w:eastAsia="en-AU"/>
              </w:rPr>
              <w:t>,</w:t>
            </w:r>
            <w:r w:rsidRPr="00E65B10">
              <w:rPr>
                <w:rFonts w:eastAsia="Times New Roman" w:cs="Arial"/>
                <w:b/>
                <w:lang w:eastAsia="en-AU"/>
              </w:rPr>
              <w:t>087</w:t>
            </w:r>
          </w:p>
        </w:tc>
      </w:tr>
      <w:tr w:rsidR="00F35497" w:rsidRPr="003324F1" w14:paraId="2D276A61" w14:textId="77777777" w:rsidTr="00F2448E">
        <w:trPr>
          <w:trHeight w:val="276"/>
        </w:trPr>
        <w:tc>
          <w:tcPr>
            <w:tcW w:w="2660" w:type="dxa"/>
            <w:shd w:val="clear" w:color="auto" w:fill="DBE5F1" w:themeFill="accent1" w:themeFillTint="33"/>
            <w:noWrap/>
            <w:hideMark/>
          </w:tcPr>
          <w:p w14:paraId="0E8132EC" w14:textId="77777777" w:rsidR="00F35497" w:rsidRPr="00F44E7A" w:rsidRDefault="00F35497" w:rsidP="00CE2FDF">
            <w:pPr>
              <w:spacing w:before="0" w:line="276" w:lineRule="auto"/>
              <w:rPr>
                <w:rFonts w:eastAsia="Times New Roman" w:cs="Arial"/>
                <w:b/>
                <w:lang w:eastAsia="en-AU"/>
              </w:rPr>
            </w:pPr>
            <w:r>
              <w:rPr>
                <w:rFonts w:eastAsia="Times New Roman" w:cs="Arial"/>
                <w:b/>
                <w:lang w:eastAsia="en-AU"/>
              </w:rPr>
              <w:t>School personnel</w:t>
            </w:r>
          </w:p>
        </w:tc>
        <w:tc>
          <w:tcPr>
            <w:tcW w:w="993" w:type="dxa"/>
            <w:tcBorders>
              <w:right w:val="nil"/>
            </w:tcBorders>
            <w:shd w:val="clear" w:color="auto" w:fill="DBE5F1" w:themeFill="accent1" w:themeFillTint="33"/>
            <w:noWrap/>
            <w:vAlign w:val="center"/>
          </w:tcPr>
          <w:p w14:paraId="0D8B33CC"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w:t>
            </w:r>
            <w:r>
              <w:rPr>
                <w:rFonts w:eastAsia="Times New Roman" w:cs="Arial"/>
                <w:lang w:eastAsia="en-AU"/>
              </w:rPr>
              <w:t>,</w:t>
            </w:r>
            <w:r w:rsidRPr="00E65B10">
              <w:rPr>
                <w:rFonts w:eastAsia="Times New Roman" w:cs="Arial"/>
                <w:lang w:eastAsia="en-AU"/>
              </w:rPr>
              <w:t>300</w:t>
            </w:r>
          </w:p>
        </w:tc>
        <w:tc>
          <w:tcPr>
            <w:tcW w:w="1275" w:type="dxa"/>
            <w:tcBorders>
              <w:left w:val="nil"/>
            </w:tcBorders>
            <w:shd w:val="clear" w:color="auto" w:fill="DBE5F1" w:themeFill="accent1" w:themeFillTint="33"/>
            <w:vAlign w:val="center"/>
          </w:tcPr>
          <w:p w14:paraId="304EC518"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w:t>
            </w:r>
            <w:r>
              <w:rPr>
                <w:rFonts w:eastAsia="Times New Roman" w:cs="Arial"/>
                <w:lang w:eastAsia="en-AU"/>
              </w:rPr>
              <w:t>,</w:t>
            </w:r>
            <w:r w:rsidRPr="00E65B10">
              <w:rPr>
                <w:rFonts w:eastAsia="Times New Roman" w:cs="Arial"/>
                <w:lang w:eastAsia="en-AU"/>
              </w:rPr>
              <w:t>180</w:t>
            </w:r>
          </w:p>
        </w:tc>
        <w:tc>
          <w:tcPr>
            <w:tcW w:w="1063" w:type="dxa"/>
            <w:tcBorders>
              <w:right w:val="nil"/>
            </w:tcBorders>
            <w:shd w:val="clear" w:color="auto" w:fill="DBE5F1" w:themeFill="accent1" w:themeFillTint="33"/>
            <w:noWrap/>
            <w:vAlign w:val="center"/>
          </w:tcPr>
          <w:p w14:paraId="58EBF518"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287</w:t>
            </w:r>
          </w:p>
        </w:tc>
        <w:tc>
          <w:tcPr>
            <w:tcW w:w="1205" w:type="dxa"/>
            <w:tcBorders>
              <w:left w:val="nil"/>
            </w:tcBorders>
            <w:shd w:val="clear" w:color="auto" w:fill="DBE5F1" w:themeFill="accent1" w:themeFillTint="33"/>
            <w:vAlign w:val="center"/>
          </w:tcPr>
          <w:p w14:paraId="6F268F9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260</w:t>
            </w:r>
          </w:p>
        </w:tc>
        <w:tc>
          <w:tcPr>
            <w:tcW w:w="1205" w:type="dxa"/>
            <w:tcBorders>
              <w:right w:val="nil"/>
            </w:tcBorders>
            <w:shd w:val="clear" w:color="auto" w:fill="DBE5F1" w:themeFill="accent1" w:themeFillTint="33"/>
            <w:noWrap/>
            <w:vAlign w:val="center"/>
          </w:tcPr>
          <w:p w14:paraId="355F1641"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727</w:t>
            </w:r>
          </w:p>
        </w:tc>
        <w:tc>
          <w:tcPr>
            <w:tcW w:w="1205" w:type="dxa"/>
            <w:tcBorders>
              <w:left w:val="nil"/>
            </w:tcBorders>
            <w:shd w:val="clear" w:color="auto" w:fill="DBE5F1" w:themeFill="accent1" w:themeFillTint="33"/>
            <w:vAlign w:val="center"/>
          </w:tcPr>
          <w:p w14:paraId="1BE58E43"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725</w:t>
            </w:r>
          </w:p>
        </w:tc>
        <w:tc>
          <w:tcPr>
            <w:tcW w:w="1205" w:type="dxa"/>
            <w:tcBorders>
              <w:right w:val="nil"/>
            </w:tcBorders>
            <w:shd w:val="clear" w:color="auto" w:fill="DBE5F1" w:themeFill="accent1" w:themeFillTint="33"/>
            <w:noWrap/>
            <w:vAlign w:val="center"/>
          </w:tcPr>
          <w:p w14:paraId="508F613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560</w:t>
            </w:r>
          </w:p>
        </w:tc>
        <w:tc>
          <w:tcPr>
            <w:tcW w:w="1205" w:type="dxa"/>
            <w:tcBorders>
              <w:left w:val="nil"/>
            </w:tcBorders>
            <w:shd w:val="clear" w:color="auto" w:fill="DBE5F1" w:themeFill="accent1" w:themeFillTint="33"/>
            <w:vAlign w:val="center"/>
          </w:tcPr>
          <w:p w14:paraId="2791D373"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555</w:t>
            </w:r>
          </w:p>
        </w:tc>
        <w:tc>
          <w:tcPr>
            <w:tcW w:w="1205" w:type="dxa"/>
            <w:tcBorders>
              <w:right w:val="nil"/>
            </w:tcBorders>
            <w:shd w:val="clear" w:color="auto" w:fill="DBE5F1" w:themeFill="accent1" w:themeFillTint="33"/>
            <w:noWrap/>
            <w:vAlign w:val="center"/>
          </w:tcPr>
          <w:p w14:paraId="2069B367"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3</w:t>
            </w:r>
            <w:r>
              <w:rPr>
                <w:rFonts w:eastAsia="Times New Roman" w:cs="Arial"/>
                <w:b/>
                <w:lang w:eastAsia="en-AU"/>
              </w:rPr>
              <w:t>,</w:t>
            </w:r>
            <w:r w:rsidRPr="00E65B10">
              <w:rPr>
                <w:rFonts w:eastAsia="Times New Roman" w:cs="Arial"/>
                <w:b/>
                <w:lang w:eastAsia="en-AU"/>
              </w:rPr>
              <w:t>587</w:t>
            </w:r>
          </w:p>
        </w:tc>
        <w:tc>
          <w:tcPr>
            <w:tcW w:w="1205" w:type="dxa"/>
            <w:tcBorders>
              <w:left w:val="nil"/>
            </w:tcBorders>
            <w:shd w:val="clear" w:color="auto" w:fill="DBE5F1" w:themeFill="accent1" w:themeFillTint="33"/>
            <w:vAlign w:val="center"/>
          </w:tcPr>
          <w:p w14:paraId="12143AFB"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3</w:t>
            </w:r>
            <w:r>
              <w:rPr>
                <w:rFonts w:eastAsia="Times New Roman" w:cs="Arial"/>
                <w:b/>
                <w:lang w:eastAsia="en-AU"/>
              </w:rPr>
              <w:t>,</w:t>
            </w:r>
            <w:r w:rsidRPr="00E65B10">
              <w:rPr>
                <w:rFonts w:eastAsia="Times New Roman" w:cs="Arial"/>
                <w:b/>
                <w:lang w:eastAsia="en-AU"/>
              </w:rPr>
              <w:t>361</w:t>
            </w:r>
          </w:p>
        </w:tc>
      </w:tr>
      <w:tr w:rsidR="00F35497" w:rsidRPr="003324F1" w14:paraId="4750F3AA" w14:textId="77777777" w:rsidTr="00F2448E">
        <w:trPr>
          <w:trHeight w:val="276"/>
        </w:trPr>
        <w:tc>
          <w:tcPr>
            <w:tcW w:w="2660" w:type="dxa"/>
            <w:shd w:val="clear" w:color="auto" w:fill="auto"/>
            <w:noWrap/>
            <w:hideMark/>
          </w:tcPr>
          <w:p w14:paraId="5C28D1BF" w14:textId="77777777" w:rsidR="00F35497" w:rsidRPr="00F44E7A" w:rsidRDefault="00F35497" w:rsidP="00CE2FDF">
            <w:pPr>
              <w:spacing w:before="0" w:line="276" w:lineRule="auto"/>
              <w:rPr>
                <w:rFonts w:eastAsia="Times New Roman" w:cs="Arial"/>
                <w:b/>
                <w:lang w:eastAsia="en-AU"/>
              </w:rPr>
            </w:pPr>
            <w:r>
              <w:rPr>
                <w:rFonts w:eastAsia="Times New Roman" w:cs="Arial"/>
                <w:b/>
                <w:lang w:eastAsia="en-AU"/>
              </w:rPr>
              <w:t>Psychiatrists</w:t>
            </w:r>
          </w:p>
        </w:tc>
        <w:tc>
          <w:tcPr>
            <w:tcW w:w="993" w:type="dxa"/>
            <w:tcBorders>
              <w:right w:val="nil"/>
            </w:tcBorders>
            <w:shd w:val="clear" w:color="auto" w:fill="auto"/>
            <w:noWrap/>
            <w:vAlign w:val="center"/>
          </w:tcPr>
          <w:p w14:paraId="2503634E"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128</w:t>
            </w:r>
          </w:p>
        </w:tc>
        <w:tc>
          <w:tcPr>
            <w:tcW w:w="1275" w:type="dxa"/>
            <w:tcBorders>
              <w:left w:val="nil"/>
            </w:tcBorders>
            <w:shd w:val="clear" w:color="auto" w:fill="auto"/>
            <w:vAlign w:val="center"/>
          </w:tcPr>
          <w:p w14:paraId="0E0575C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127</w:t>
            </w:r>
          </w:p>
        </w:tc>
        <w:tc>
          <w:tcPr>
            <w:tcW w:w="1063" w:type="dxa"/>
            <w:tcBorders>
              <w:right w:val="nil"/>
            </w:tcBorders>
            <w:shd w:val="clear" w:color="auto" w:fill="auto"/>
            <w:noWrap/>
            <w:vAlign w:val="center"/>
          </w:tcPr>
          <w:p w14:paraId="028480AE"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91</w:t>
            </w:r>
          </w:p>
        </w:tc>
        <w:tc>
          <w:tcPr>
            <w:tcW w:w="1205" w:type="dxa"/>
            <w:tcBorders>
              <w:left w:val="nil"/>
            </w:tcBorders>
            <w:shd w:val="clear" w:color="auto" w:fill="auto"/>
            <w:vAlign w:val="center"/>
          </w:tcPr>
          <w:p w14:paraId="304952D4"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91</w:t>
            </w:r>
          </w:p>
        </w:tc>
        <w:tc>
          <w:tcPr>
            <w:tcW w:w="1205" w:type="dxa"/>
            <w:tcBorders>
              <w:right w:val="nil"/>
            </w:tcBorders>
            <w:shd w:val="clear" w:color="auto" w:fill="auto"/>
            <w:noWrap/>
            <w:vAlign w:val="center"/>
          </w:tcPr>
          <w:p w14:paraId="07FB4AA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63</w:t>
            </w:r>
          </w:p>
        </w:tc>
        <w:tc>
          <w:tcPr>
            <w:tcW w:w="1205" w:type="dxa"/>
            <w:tcBorders>
              <w:left w:val="nil"/>
            </w:tcBorders>
            <w:shd w:val="clear" w:color="auto" w:fill="auto"/>
            <w:vAlign w:val="center"/>
          </w:tcPr>
          <w:p w14:paraId="4E6C165A"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63</w:t>
            </w:r>
          </w:p>
        </w:tc>
        <w:tc>
          <w:tcPr>
            <w:tcW w:w="1205" w:type="dxa"/>
            <w:tcBorders>
              <w:right w:val="nil"/>
            </w:tcBorders>
            <w:shd w:val="clear" w:color="auto" w:fill="auto"/>
            <w:noWrap/>
            <w:vAlign w:val="center"/>
          </w:tcPr>
          <w:p w14:paraId="23A2562F"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28</w:t>
            </w:r>
          </w:p>
        </w:tc>
        <w:tc>
          <w:tcPr>
            <w:tcW w:w="1205" w:type="dxa"/>
            <w:tcBorders>
              <w:left w:val="nil"/>
            </w:tcBorders>
            <w:shd w:val="clear" w:color="auto" w:fill="auto"/>
            <w:vAlign w:val="center"/>
          </w:tcPr>
          <w:p w14:paraId="25D11A99"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28</w:t>
            </w:r>
          </w:p>
        </w:tc>
        <w:tc>
          <w:tcPr>
            <w:tcW w:w="1205" w:type="dxa"/>
            <w:tcBorders>
              <w:right w:val="nil"/>
            </w:tcBorders>
            <w:shd w:val="clear" w:color="auto" w:fill="auto"/>
            <w:noWrap/>
            <w:vAlign w:val="center"/>
          </w:tcPr>
          <w:p w14:paraId="61F62B08"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219</w:t>
            </w:r>
          </w:p>
        </w:tc>
        <w:tc>
          <w:tcPr>
            <w:tcW w:w="1205" w:type="dxa"/>
            <w:tcBorders>
              <w:left w:val="nil"/>
            </w:tcBorders>
            <w:shd w:val="clear" w:color="auto" w:fill="auto"/>
            <w:vAlign w:val="center"/>
          </w:tcPr>
          <w:p w14:paraId="3BDDCEBD"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214</w:t>
            </w:r>
          </w:p>
        </w:tc>
      </w:tr>
      <w:tr w:rsidR="00F35497" w:rsidRPr="003324F1" w14:paraId="6D204E97" w14:textId="77777777" w:rsidTr="00F2448E">
        <w:trPr>
          <w:trHeight w:val="276"/>
        </w:trPr>
        <w:tc>
          <w:tcPr>
            <w:tcW w:w="2660" w:type="dxa"/>
            <w:shd w:val="clear" w:color="auto" w:fill="DBE5F1" w:themeFill="accent1" w:themeFillTint="33"/>
            <w:noWrap/>
            <w:hideMark/>
          </w:tcPr>
          <w:p w14:paraId="07A093C8" w14:textId="77777777" w:rsidR="00F35497" w:rsidRPr="00F44E7A" w:rsidRDefault="00F35497"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993" w:type="dxa"/>
            <w:tcBorders>
              <w:right w:val="nil"/>
            </w:tcBorders>
            <w:shd w:val="clear" w:color="auto" w:fill="DBE5F1" w:themeFill="accent1" w:themeFillTint="33"/>
            <w:noWrap/>
            <w:vAlign w:val="center"/>
          </w:tcPr>
          <w:p w14:paraId="36521D06"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7</w:t>
            </w:r>
            <w:r>
              <w:rPr>
                <w:rFonts w:eastAsia="Times New Roman" w:cs="Arial"/>
                <w:lang w:eastAsia="en-AU"/>
              </w:rPr>
              <w:t>,</w:t>
            </w:r>
            <w:r w:rsidRPr="00E65B10">
              <w:rPr>
                <w:rFonts w:eastAsia="Times New Roman" w:cs="Arial"/>
                <w:lang w:eastAsia="en-AU"/>
              </w:rPr>
              <w:t>763</w:t>
            </w:r>
          </w:p>
        </w:tc>
        <w:tc>
          <w:tcPr>
            <w:tcW w:w="1275" w:type="dxa"/>
            <w:tcBorders>
              <w:left w:val="nil"/>
            </w:tcBorders>
            <w:shd w:val="clear" w:color="auto" w:fill="DBE5F1" w:themeFill="accent1" w:themeFillTint="33"/>
            <w:vAlign w:val="center"/>
          </w:tcPr>
          <w:p w14:paraId="07303FF5"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7</w:t>
            </w:r>
            <w:r>
              <w:rPr>
                <w:rFonts w:eastAsia="Times New Roman" w:cs="Arial"/>
                <w:lang w:eastAsia="en-AU"/>
              </w:rPr>
              <w:t>,</w:t>
            </w:r>
            <w:r w:rsidRPr="00E65B10">
              <w:rPr>
                <w:rFonts w:eastAsia="Times New Roman" w:cs="Arial"/>
                <w:lang w:eastAsia="en-AU"/>
              </w:rPr>
              <w:t>219</w:t>
            </w:r>
          </w:p>
        </w:tc>
        <w:tc>
          <w:tcPr>
            <w:tcW w:w="1063" w:type="dxa"/>
            <w:tcBorders>
              <w:right w:val="nil"/>
            </w:tcBorders>
            <w:shd w:val="clear" w:color="auto" w:fill="DBE5F1" w:themeFill="accent1" w:themeFillTint="33"/>
            <w:noWrap/>
            <w:vAlign w:val="center"/>
          </w:tcPr>
          <w:p w14:paraId="61124623"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4</w:t>
            </w:r>
            <w:r>
              <w:rPr>
                <w:rFonts w:eastAsia="Times New Roman" w:cs="Arial"/>
                <w:lang w:eastAsia="en-AU"/>
              </w:rPr>
              <w:t>,</w:t>
            </w:r>
            <w:r w:rsidRPr="00E65B10">
              <w:rPr>
                <w:rFonts w:eastAsia="Times New Roman" w:cs="Arial"/>
                <w:lang w:eastAsia="en-AU"/>
              </w:rPr>
              <w:t>853</w:t>
            </w:r>
          </w:p>
        </w:tc>
        <w:tc>
          <w:tcPr>
            <w:tcW w:w="1205" w:type="dxa"/>
            <w:tcBorders>
              <w:left w:val="nil"/>
            </w:tcBorders>
            <w:shd w:val="clear" w:color="auto" w:fill="DBE5F1" w:themeFill="accent1" w:themeFillTint="33"/>
            <w:vAlign w:val="center"/>
          </w:tcPr>
          <w:p w14:paraId="15198608"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4</w:t>
            </w:r>
            <w:r>
              <w:rPr>
                <w:rFonts w:eastAsia="Times New Roman" w:cs="Arial"/>
                <w:lang w:eastAsia="en-AU"/>
              </w:rPr>
              <w:t>,</w:t>
            </w:r>
            <w:r w:rsidRPr="00E65B10">
              <w:rPr>
                <w:rFonts w:eastAsia="Times New Roman" w:cs="Arial"/>
                <w:lang w:eastAsia="en-AU"/>
              </w:rPr>
              <w:t>670</w:t>
            </w:r>
          </w:p>
        </w:tc>
        <w:tc>
          <w:tcPr>
            <w:tcW w:w="1205" w:type="dxa"/>
            <w:tcBorders>
              <w:right w:val="nil"/>
            </w:tcBorders>
            <w:shd w:val="clear" w:color="auto" w:fill="DBE5F1" w:themeFill="accent1" w:themeFillTint="33"/>
            <w:noWrap/>
            <w:vAlign w:val="center"/>
          </w:tcPr>
          <w:p w14:paraId="0F37A82B"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w:t>
            </w:r>
            <w:r>
              <w:rPr>
                <w:rFonts w:eastAsia="Times New Roman" w:cs="Arial"/>
                <w:lang w:eastAsia="en-AU"/>
              </w:rPr>
              <w:t>,</w:t>
            </w:r>
            <w:r w:rsidRPr="00E65B10">
              <w:rPr>
                <w:rFonts w:eastAsia="Times New Roman" w:cs="Arial"/>
                <w:lang w:eastAsia="en-AU"/>
              </w:rPr>
              <w:t>347</w:t>
            </w:r>
          </w:p>
        </w:tc>
        <w:tc>
          <w:tcPr>
            <w:tcW w:w="1205" w:type="dxa"/>
            <w:tcBorders>
              <w:left w:val="nil"/>
            </w:tcBorders>
            <w:shd w:val="clear" w:color="auto" w:fill="DBE5F1" w:themeFill="accent1" w:themeFillTint="33"/>
            <w:vAlign w:val="center"/>
          </w:tcPr>
          <w:p w14:paraId="653B2321"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3</w:t>
            </w:r>
            <w:r>
              <w:rPr>
                <w:rFonts w:eastAsia="Times New Roman" w:cs="Arial"/>
                <w:lang w:eastAsia="en-AU"/>
              </w:rPr>
              <w:t>,</w:t>
            </w:r>
            <w:r w:rsidRPr="00E65B10">
              <w:rPr>
                <w:rFonts w:eastAsia="Times New Roman" w:cs="Arial"/>
                <w:lang w:eastAsia="en-AU"/>
              </w:rPr>
              <w:t>272</w:t>
            </w:r>
          </w:p>
        </w:tc>
        <w:tc>
          <w:tcPr>
            <w:tcW w:w="1205" w:type="dxa"/>
            <w:tcBorders>
              <w:right w:val="nil"/>
            </w:tcBorders>
            <w:shd w:val="clear" w:color="auto" w:fill="DBE5F1" w:themeFill="accent1" w:themeFillTint="33"/>
            <w:noWrap/>
            <w:vAlign w:val="center"/>
          </w:tcPr>
          <w:p w14:paraId="28BF9AF5"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506</w:t>
            </w:r>
          </w:p>
        </w:tc>
        <w:tc>
          <w:tcPr>
            <w:tcW w:w="1205" w:type="dxa"/>
            <w:tcBorders>
              <w:left w:val="nil"/>
            </w:tcBorders>
            <w:shd w:val="clear" w:color="auto" w:fill="DBE5F1" w:themeFill="accent1" w:themeFillTint="33"/>
            <w:vAlign w:val="center"/>
          </w:tcPr>
          <w:p w14:paraId="59A8670B" w14:textId="77777777" w:rsidR="00F35497" w:rsidRPr="00E65B10" w:rsidRDefault="00F35497" w:rsidP="00CE2FDF">
            <w:pPr>
              <w:spacing w:before="0" w:line="276" w:lineRule="auto"/>
              <w:jc w:val="right"/>
              <w:rPr>
                <w:rFonts w:eastAsia="Times New Roman" w:cs="Arial"/>
                <w:lang w:eastAsia="en-AU"/>
              </w:rPr>
            </w:pPr>
            <w:r w:rsidRPr="00E65B10">
              <w:rPr>
                <w:rFonts w:eastAsia="Times New Roman" w:cs="Arial"/>
                <w:lang w:eastAsia="en-AU"/>
              </w:rPr>
              <w:t>1</w:t>
            </w:r>
            <w:r>
              <w:rPr>
                <w:rFonts w:eastAsia="Times New Roman" w:cs="Arial"/>
                <w:lang w:eastAsia="en-AU"/>
              </w:rPr>
              <w:t>,</w:t>
            </w:r>
            <w:r w:rsidRPr="00E65B10">
              <w:rPr>
                <w:rFonts w:eastAsia="Times New Roman" w:cs="Arial"/>
                <w:lang w:eastAsia="en-AU"/>
              </w:rPr>
              <w:t>487</w:t>
            </w:r>
          </w:p>
        </w:tc>
        <w:tc>
          <w:tcPr>
            <w:tcW w:w="1205" w:type="dxa"/>
            <w:tcBorders>
              <w:right w:val="nil"/>
            </w:tcBorders>
            <w:shd w:val="clear" w:color="auto" w:fill="DBE5F1" w:themeFill="accent1" w:themeFillTint="33"/>
            <w:noWrap/>
            <w:vAlign w:val="center"/>
          </w:tcPr>
          <w:p w14:paraId="2C85FA1F"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12</w:t>
            </w:r>
            <w:r>
              <w:rPr>
                <w:rFonts w:eastAsia="Times New Roman" w:cs="Arial"/>
                <w:b/>
                <w:lang w:eastAsia="en-AU"/>
              </w:rPr>
              <w:t>,</w:t>
            </w:r>
            <w:r w:rsidRPr="00E65B10">
              <w:rPr>
                <w:rFonts w:eastAsia="Times New Roman" w:cs="Arial"/>
                <w:b/>
                <w:lang w:eastAsia="en-AU"/>
              </w:rPr>
              <w:t>616</w:t>
            </w:r>
          </w:p>
        </w:tc>
        <w:tc>
          <w:tcPr>
            <w:tcW w:w="1205" w:type="dxa"/>
            <w:tcBorders>
              <w:left w:val="nil"/>
            </w:tcBorders>
            <w:shd w:val="clear" w:color="auto" w:fill="DBE5F1" w:themeFill="accent1" w:themeFillTint="33"/>
            <w:vAlign w:val="center"/>
          </w:tcPr>
          <w:p w14:paraId="2AD94B08"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11</w:t>
            </w:r>
            <w:r>
              <w:rPr>
                <w:rFonts w:eastAsia="Times New Roman" w:cs="Arial"/>
                <w:b/>
                <w:lang w:eastAsia="en-AU"/>
              </w:rPr>
              <w:t>,</w:t>
            </w:r>
            <w:r w:rsidRPr="00E65B10">
              <w:rPr>
                <w:rFonts w:eastAsia="Times New Roman" w:cs="Arial"/>
                <w:b/>
                <w:lang w:eastAsia="en-AU"/>
              </w:rPr>
              <w:t>413</w:t>
            </w:r>
          </w:p>
        </w:tc>
      </w:tr>
      <w:tr w:rsidR="00F35497" w:rsidRPr="003324F1" w14:paraId="3ED6BFFA" w14:textId="77777777" w:rsidTr="00F2448E">
        <w:trPr>
          <w:trHeight w:val="276"/>
        </w:trPr>
        <w:tc>
          <w:tcPr>
            <w:tcW w:w="2660" w:type="dxa"/>
            <w:shd w:val="clear" w:color="auto" w:fill="auto"/>
            <w:noWrap/>
            <w:hideMark/>
          </w:tcPr>
          <w:p w14:paraId="0B73EB26" w14:textId="77777777" w:rsidR="00F35497" w:rsidRPr="00F44E7A" w:rsidRDefault="00F35497"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993" w:type="dxa"/>
            <w:tcBorders>
              <w:right w:val="nil"/>
            </w:tcBorders>
            <w:shd w:val="clear" w:color="auto" w:fill="auto"/>
            <w:noWrap/>
            <w:vAlign w:val="center"/>
          </w:tcPr>
          <w:p w14:paraId="7910C0AE" w14:textId="77777777" w:rsidR="00F35497" w:rsidRPr="00E64860" w:rsidRDefault="00F35497" w:rsidP="00CE2FDF">
            <w:pPr>
              <w:spacing w:before="0" w:line="276" w:lineRule="auto"/>
              <w:jc w:val="right"/>
              <w:rPr>
                <w:rFonts w:eastAsia="Times New Roman" w:cs="Arial"/>
                <w:lang w:eastAsia="en-AU"/>
              </w:rPr>
            </w:pPr>
            <w:r w:rsidRPr="00E64860">
              <w:rPr>
                <w:rFonts w:eastAsia="Times New Roman" w:cs="Arial"/>
                <w:lang w:eastAsia="en-AU"/>
              </w:rPr>
              <w:t>17</w:t>
            </w:r>
            <w:r>
              <w:rPr>
                <w:rFonts w:eastAsia="Times New Roman" w:cs="Arial"/>
                <w:lang w:eastAsia="en-AU"/>
              </w:rPr>
              <w:t>,</w:t>
            </w:r>
            <w:r w:rsidRPr="00E64860">
              <w:rPr>
                <w:rFonts w:eastAsia="Times New Roman" w:cs="Arial"/>
                <w:lang w:eastAsia="en-AU"/>
              </w:rPr>
              <w:t>479</w:t>
            </w:r>
          </w:p>
        </w:tc>
        <w:tc>
          <w:tcPr>
            <w:tcW w:w="1275" w:type="dxa"/>
            <w:tcBorders>
              <w:left w:val="nil"/>
            </w:tcBorders>
            <w:shd w:val="clear" w:color="auto" w:fill="auto"/>
            <w:vAlign w:val="center"/>
          </w:tcPr>
          <w:p w14:paraId="12BCD60A" w14:textId="77777777" w:rsidR="00F35497" w:rsidRPr="00E64860" w:rsidRDefault="00F35497" w:rsidP="00CE2FDF">
            <w:pPr>
              <w:spacing w:before="0" w:line="276" w:lineRule="auto"/>
              <w:jc w:val="right"/>
              <w:rPr>
                <w:rFonts w:eastAsia="Times New Roman" w:cs="Arial"/>
                <w:lang w:eastAsia="en-AU"/>
              </w:rPr>
            </w:pPr>
            <w:r w:rsidRPr="00E64860">
              <w:rPr>
                <w:rFonts w:eastAsia="Times New Roman" w:cs="Arial"/>
                <w:lang w:eastAsia="en-AU"/>
              </w:rPr>
              <w:t>14</w:t>
            </w:r>
            <w:r>
              <w:rPr>
                <w:rFonts w:eastAsia="Times New Roman" w:cs="Arial"/>
                <w:lang w:eastAsia="en-AU"/>
              </w:rPr>
              <w:t>,</w:t>
            </w:r>
            <w:r w:rsidRPr="00E64860">
              <w:rPr>
                <w:rFonts w:eastAsia="Times New Roman" w:cs="Arial"/>
                <w:lang w:eastAsia="en-AU"/>
              </w:rPr>
              <w:t>571</w:t>
            </w:r>
          </w:p>
        </w:tc>
        <w:tc>
          <w:tcPr>
            <w:tcW w:w="1063" w:type="dxa"/>
            <w:tcBorders>
              <w:right w:val="nil"/>
            </w:tcBorders>
            <w:shd w:val="clear" w:color="auto" w:fill="auto"/>
            <w:noWrap/>
            <w:vAlign w:val="center"/>
          </w:tcPr>
          <w:p w14:paraId="716BF6CD" w14:textId="77777777" w:rsidR="00F35497" w:rsidRPr="00E64860" w:rsidRDefault="00F35497" w:rsidP="00CE2FDF">
            <w:pPr>
              <w:spacing w:before="0" w:line="276" w:lineRule="auto"/>
              <w:jc w:val="right"/>
              <w:rPr>
                <w:rFonts w:eastAsia="Times New Roman" w:cs="Arial"/>
                <w:lang w:eastAsia="en-AU"/>
              </w:rPr>
            </w:pPr>
            <w:r w:rsidRPr="00E64860">
              <w:rPr>
                <w:rFonts w:eastAsia="Times New Roman" w:cs="Arial"/>
                <w:lang w:eastAsia="en-AU"/>
              </w:rPr>
              <w:t>7</w:t>
            </w:r>
            <w:r>
              <w:rPr>
                <w:rFonts w:eastAsia="Times New Roman" w:cs="Arial"/>
                <w:lang w:eastAsia="en-AU"/>
              </w:rPr>
              <w:t>,</w:t>
            </w:r>
            <w:r w:rsidRPr="00E64860">
              <w:rPr>
                <w:rFonts w:eastAsia="Times New Roman" w:cs="Arial"/>
                <w:lang w:eastAsia="en-AU"/>
              </w:rPr>
              <w:t>554</w:t>
            </w:r>
          </w:p>
        </w:tc>
        <w:tc>
          <w:tcPr>
            <w:tcW w:w="1205" w:type="dxa"/>
            <w:tcBorders>
              <w:left w:val="nil"/>
            </w:tcBorders>
            <w:shd w:val="clear" w:color="auto" w:fill="auto"/>
            <w:vAlign w:val="center"/>
          </w:tcPr>
          <w:p w14:paraId="55E80704" w14:textId="77777777" w:rsidR="00F35497" w:rsidRPr="00E64860" w:rsidRDefault="00F35497" w:rsidP="00CE2FDF">
            <w:pPr>
              <w:spacing w:before="0" w:line="276" w:lineRule="auto"/>
              <w:jc w:val="right"/>
              <w:rPr>
                <w:rFonts w:eastAsia="Times New Roman" w:cs="Arial"/>
                <w:lang w:eastAsia="en-AU"/>
              </w:rPr>
            </w:pPr>
            <w:r w:rsidRPr="00E64860">
              <w:rPr>
                <w:rFonts w:eastAsia="Times New Roman" w:cs="Arial"/>
                <w:lang w:eastAsia="en-AU"/>
              </w:rPr>
              <w:t>7</w:t>
            </w:r>
            <w:r>
              <w:rPr>
                <w:rFonts w:eastAsia="Times New Roman" w:cs="Arial"/>
                <w:lang w:eastAsia="en-AU"/>
              </w:rPr>
              <w:t>,</w:t>
            </w:r>
            <w:r w:rsidRPr="00E64860">
              <w:rPr>
                <w:rFonts w:eastAsia="Times New Roman" w:cs="Arial"/>
                <w:lang w:eastAsia="en-AU"/>
              </w:rPr>
              <w:t>075</w:t>
            </w:r>
          </w:p>
        </w:tc>
        <w:tc>
          <w:tcPr>
            <w:tcW w:w="1205" w:type="dxa"/>
            <w:tcBorders>
              <w:right w:val="nil"/>
            </w:tcBorders>
            <w:shd w:val="clear" w:color="auto" w:fill="auto"/>
            <w:noWrap/>
            <w:vAlign w:val="center"/>
          </w:tcPr>
          <w:p w14:paraId="4161F7B3" w14:textId="77777777" w:rsidR="00F35497" w:rsidRPr="00E64860" w:rsidRDefault="00F35497" w:rsidP="00CE2FDF">
            <w:pPr>
              <w:spacing w:before="0" w:line="276" w:lineRule="auto"/>
              <w:jc w:val="right"/>
              <w:rPr>
                <w:rFonts w:eastAsia="Times New Roman" w:cs="Arial"/>
                <w:lang w:eastAsia="en-AU"/>
              </w:rPr>
            </w:pPr>
            <w:r w:rsidRPr="00E64860">
              <w:rPr>
                <w:rFonts w:eastAsia="Times New Roman" w:cs="Arial"/>
                <w:lang w:eastAsia="en-AU"/>
              </w:rPr>
              <w:t>4</w:t>
            </w:r>
            <w:r>
              <w:rPr>
                <w:rFonts w:eastAsia="Times New Roman" w:cs="Arial"/>
                <w:lang w:eastAsia="en-AU"/>
              </w:rPr>
              <w:t>,</w:t>
            </w:r>
            <w:r w:rsidRPr="00E64860">
              <w:rPr>
                <w:rFonts w:eastAsia="Times New Roman" w:cs="Arial"/>
                <w:lang w:eastAsia="en-AU"/>
              </w:rPr>
              <w:t>565</w:t>
            </w:r>
          </w:p>
        </w:tc>
        <w:tc>
          <w:tcPr>
            <w:tcW w:w="1205" w:type="dxa"/>
            <w:tcBorders>
              <w:left w:val="nil"/>
            </w:tcBorders>
            <w:shd w:val="clear" w:color="auto" w:fill="auto"/>
            <w:vAlign w:val="center"/>
          </w:tcPr>
          <w:p w14:paraId="6668604C" w14:textId="77777777" w:rsidR="00F35497" w:rsidRPr="00E64860" w:rsidRDefault="00F35497" w:rsidP="00CE2FDF">
            <w:pPr>
              <w:spacing w:before="0" w:line="276" w:lineRule="auto"/>
              <w:jc w:val="right"/>
              <w:rPr>
                <w:rFonts w:eastAsia="Times New Roman" w:cs="Arial"/>
                <w:lang w:eastAsia="en-AU"/>
              </w:rPr>
            </w:pPr>
            <w:r w:rsidRPr="00E64860">
              <w:rPr>
                <w:rFonts w:eastAsia="Times New Roman" w:cs="Arial"/>
                <w:lang w:eastAsia="en-AU"/>
              </w:rPr>
              <w:t>4</w:t>
            </w:r>
            <w:r>
              <w:rPr>
                <w:rFonts w:eastAsia="Times New Roman" w:cs="Arial"/>
                <w:lang w:eastAsia="en-AU"/>
              </w:rPr>
              <w:t>,</w:t>
            </w:r>
            <w:r w:rsidRPr="00E64860">
              <w:rPr>
                <w:rFonts w:eastAsia="Times New Roman" w:cs="Arial"/>
                <w:lang w:eastAsia="en-AU"/>
              </w:rPr>
              <w:t>411</w:t>
            </w:r>
          </w:p>
        </w:tc>
        <w:tc>
          <w:tcPr>
            <w:tcW w:w="1205" w:type="dxa"/>
            <w:tcBorders>
              <w:right w:val="nil"/>
            </w:tcBorders>
            <w:shd w:val="clear" w:color="auto" w:fill="auto"/>
            <w:noWrap/>
            <w:vAlign w:val="center"/>
          </w:tcPr>
          <w:p w14:paraId="4D432E62" w14:textId="77777777" w:rsidR="00F35497" w:rsidRPr="00E64860" w:rsidRDefault="00F35497" w:rsidP="00CE2FDF">
            <w:pPr>
              <w:spacing w:before="0" w:line="276" w:lineRule="auto"/>
              <w:jc w:val="right"/>
              <w:rPr>
                <w:rFonts w:eastAsia="Times New Roman" w:cs="Arial"/>
                <w:lang w:eastAsia="en-AU"/>
              </w:rPr>
            </w:pPr>
            <w:r w:rsidRPr="00E64860">
              <w:rPr>
                <w:rFonts w:eastAsia="Times New Roman" w:cs="Arial"/>
                <w:lang w:eastAsia="en-AU"/>
              </w:rPr>
              <w:t>2</w:t>
            </w:r>
            <w:r>
              <w:rPr>
                <w:rFonts w:eastAsia="Times New Roman" w:cs="Arial"/>
                <w:lang w:eastAsia="en-AU"/>
              </w:rPr>
              <w:t>,</w:t>
            </w:r>
            <w:r w:rsidRPr="00E64860">
              <w:rPr>
                <w:rFonts w:eastAsia="Times New Roman" w:cs="Arial"/>
                <w:lang w:eastAsia="en-AU"/>
              </w:rPr>
              <w:t>989</w:t>
            </w:r>
          </w:p>
        </w:tc>
        <w:tc>
          <w:tcPr>
            <w:tcW w:w="1205" w:type="dxa"/>
            <w:tcBorders>
              <w:left w:val="nil"/>
            </w:tcBorders>
            <w:shd w:val="clear" w:color="auto" w:fill="auto"/>
            <w:vAlign w:val="center"/>
          </w:tcPr>
          <w:p w14:paraId="25573939" w14:textId="77777777" w:rsidR="00F35497" w:rsidRPr="00E64860" w:rsidRDefault="00F35497" w:rsidP="00CE2FDF">
            <w:pPr>
              <w:spacing w:before="0" w:line="276" w:lineRule="auto"/>
              <w:jc w:val="right"/>
              <w:rPr>
                <w:rFonts w:eastAsia="Times New Roman" w:cs="Arial"/>
                <w:lang w:eastAsia="en-AU"/>
              </w:rPr>
            </w:pPr>
            <w:r w:rsidRPr="00E64860">
              <w:rPr>
                <w:rFonts w:eastAsia="Times New Roman" w:cs="Arial"/>
                <w:lang w:eastAsia="en-AU"/>
              </w:rPr>
              <w:t>2</w:t>
            </w:r>
            <w:r>
              <w:rPr>
                <w:rFonts w:eastAsia="Times New Roman" w:cs="Arial"/>
                <w:lang w:eastAsia="en-AU"/>
              </w:rPr>
              <w:t>,</w:t>
            </w:r>
            <w:r w:rsidRPr="00E64860">
              <w:rPr>
                <w:rFonts w:eastAsia="Times New Roman" w:cs="Arial"/>
                <w:lang w:eastAsia="en-AU"/>
              </w:rPr>
              <w:t>890</w:t>
            </w:r>
          </w:p>
        </w:tc>
        <w:tc>
          <w:tcPr>
            <w:tcW w:w="1205" w:type="dxa"/>
            <w:tcBorders>
              <w:right w:val="nil"/>
            </w:tcBorders>
            <w:shd w:val="clear" w:color="auto" w:fill="auto"/>
            <w:noWrap/>
            <w:vAlign w:val="center"/>
          </w:tcPr>
          <w:p w14:paraId="1E3B0E76" w14:textId="77777777" w:rsidR="00F35497" w:rsidRPr="00E64860" w:rsidRDefault="00F35497" w:rsidP="00CE2FDF">
            <w:pPr>
              <w:spacing w:before="0" w:line="276" w:lineRule="auto"/>
              <w:jc w:val="right"/>
              <w:rPr>
                <w:rFonts w:eastAsia="Times New Roman" w:cs="Arial"/>
                <w:b/>
                <w:lang w:eastAsia="en-AU"/>
              </w:rPr>
            </w:pPr>
            <w:r w:rsidRPr="00E64860">
              <w:rPr>
                <w:rFonts w:eastAsia="Times New Roman" w:cs="Arial"/>
                <w:b/>
                <w:lang w:eastAsia="en-AU"/>
              </w:rPr>
              <w:t>25</w:t>
            </w:r>
            <w:r>
              <w:rPr>
                <w:rFonts w:eastAsia="Times New Roman" w:cs="Arial"/>
                <w:b/>
                <w:lang w:eastAsia="en-AU"/>
              </w:rPr>
              <w:t>,</w:t>
            </w:r>
            <w:r w:rsidRPr="00E64860">
              <w:rPr>
                <w:rFonts w:eastAsia="Times New Roman" w:cs="Arial"/>
                <w:b/>
                <w:lang w:eastAsia="en-AU"/>
              </w:rPr>
              <w:t>033</w:t>
            </w:r>
          </w:p>
        </w:tc>
        <w:tc>
          <w:tcPr>
            <w:tcW w:w="1205" w:type="dxa"/>
            <w:tcBorders>
              <w:left w:val="nil"/>
            </w:tcBorders>
            <w:shd w:val="clear" w:color="auto" w:fill="auto"/>
            <w:vAlign w:val="center"/>
          </w:tcPr>
          <w:p w14:paraId="5AA674AC" w14:textId="77777777" w:rsidR="00F35497" w:rsidRPr="00E64860" w:rsidRDefault="00F35497" w:rsidP="00CE2FDF">
            <w:pPr>
              <w:spacing w:before="0" w:line="276" w:lineRule="auto"/>
              <w:jc w:val="right"/>
              <w:rPr>
                <w:rFonts w:eastAsia="Times New Roman" w:cs="Arial"/>
                <w:b/>
                <w:lang w:eastAsia="en-AU"/>
              </w:rPr>
            </w:pPr>
            <w:r w:rsidRPr="00E64860">
              <w:rPr>
                <w:rFonts w:eastAsia="Times New Roman" w:cs="Arial"/>
                <w:b/>
                <w:lang w:eastAsia="en-AU"/>
              </w:rPr>
              <w:t>19</w:t>
            </w:r>
            <w:r>
              <w:rPr>
                <w:rFonts w:eastAsia="Times New Roman" w:cs="Arial"/>
                <w:b/>
                <w:lang w:eastAsia="en-AU"/>
              </w:rPr>
              <w:t>,</w:t>
            </w:r>
            <w:r w:rsidRPr="00E64860">
              <w:rPr>
                <w:rFonts w:eastAsia="Times New Roman" w:cs="Arial"/>
                <w:b/>
                <w:lang w:eastAsia="en-AU"/>
              </w:rPr>
              <w:t>884</w:t>
            </w:r>
          </w:p>
        </w:tc>
      </w:tr>
      <w:tr w:rsidR="00F35497" w:rsidRPr="00FD6E8E" w14:paraId="3B82FFB4" w14:textId="77777777" w:rsidTr="00F2448E">
        <w:trPr>
          <w:trHeight w:val="276"/>
        </w:trPr>
        <w:tc>
          <w:tcPr>
            <w:tcW w:w="2660" w:type="dxa"/>
            <w:shd w:val="clear" w:color="auto" w:fill="B8CCE4" w:themeFill="accent1" w:themeFillTint="66"/>
            <w:noWrap/>
            <w:hideMark/>
          </w:tcPr>
          <w:p w14:paraId="4F8FBD53" w14:textId="77777777" w:rsidR="00F35497" w:rsidRPr="00FD6E8E" w:rsidRDefault="00F35497"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993" w:type="dxa"/>
            <w:tcBorders>
              <w:right w:val="nil"/>
            </w:tcBorders>
            <w:shd w:val="clear" w:color="auto" w:fill="B8CCE4" w:themeFill="accent1" w:themeFillTint="66"/>
            <w:noWrap/>
            <w:vAlign w:val="center"/>
          </w:tcPr>
          <w:p w14:paraId="585EFB62"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25</w:t>
            </w:r>
            <w:r>
              <w:rPr>
                <w:rFonts w:eastAsia="Times New Roman" w:cs="Arial"/>
                <w:b/>
                <w:lang w:eastAsia="en-AU"/>
              </w:rPr>
              <w:t>,</w:t>
            </w:r>
            <w:r w:rsidRPr="00E65B10">
              <w:rPr>
                <w:rFonts w:eastAsia="Times New Roman" w:cs="Arial"/>
                <w:b/>
                <w:lang w:eastAsia="en-AU"/>
              </w:rPr>
              <w:t>242</w:t>
            </w:r>
          </w:p>
        </w:tc>
        <w:tc>
          <w:tcPr>
            <w:tcW w:w="1275" w:type="dxa"/>
            <w:tcBorders>
              <w:left w:val="nil"/>
            </w:tcBorders>
            <w:shd w:val="clear" w:color="auto" w:fill="B8CCE4" w:themeFill="accent1" w:themeFillTint="66"/>
            <w:vAlign w:val="center"/>
          </w:tcPr>
          <w:p w14:paraId="4EDEBD76"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20</w:t>
            </w:r>
            <w:r>
              <w:rPr>
                <w:rFonts w:eastAsia="Times New Roman" w:cs="Arial"/>
                <w:b/>
                <w:lang w:eastAsia="en-AU"/>
              </w:rPr>
              <w:t>,</w:t>
            </w:r>
            <w:r w:rsidRPr="00E65B10">
              <w:rPr>
                <w:rFonts w:eastAsia="Times New Roman" w:cs="Arial"/>
                <w:b/>
                <w:lang w:eastAsia="en-AU"/>
              </w:rPr>
              <w:t>366</w:t>
            </w:r>
          </w:p>
        </w:tc>
        <w:tc>
          <w:tcPr>
            <w:tcW w:w="1063" w:type="dxa"/>
            <w:tcBorders>
              <w:right w:val="nil"/>
            </w:tcBorders>
            <w:shd w:val="clear" w:color="auto" w:fill="B8CCE4" w:themeFill="accent1" w:themeFillTint="66"/>
            <w:noWrap/>
            <w:vAlign w:val="center"/>
          </w:tcPr>
          <w:p w14:paraId="5217300F"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12</w:t>
            </w:r>
            <w:r>
              <w:rPr>
                <w:rFonts w:eastAsia="Times New Roman" w:cs="Arial"/>
                <w:b/>
                <w:lang w:eastAsia="en-AU"/>
              </w:rPr>
              <w:t>,</w:t>
            </w:r>
            <w:r w:rsidRPr="00E65B10">
              <w:rPr>
                <w:rFonts w:eastAsia="Times New Roman" w:cs="Arial"/>
                <w:b/>
                <w:lang w:eastAsia="en-AU"/>
              </w:rPr>
              <w:t>407</w:t>
            </w:r>
          </w:p>
        </w:tc>
        <w:tc>
          <w:tcPr>
            <w:tcW w:w="1205" w:type="dxa"/>
            <w:tcBorders>
              <w:left w:val="nil"/>
            </w:tcBorders>
            <w:shd w:val="clear" w:color="auto" w:fill="B8CCE4" w:themeFill="accent1" w:themeFillTint="66"/>
            <w:vAlign w:val="center"/>
          </w:tcPr>
          <w:p w14:paraId="5E9B8145"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11</w:t>
            </w:r>
            <w:r>
              <w:rPr>
                <w:rFonts w:eastAsia="Times New Roman" w:cs="Arial"/>
                <w:b/>
                <w:lang w:eastAsia="en-AU"/>
              </w:rPr>
              <w:t>,</w:t>
            </w:r>
            <w:r w:rsidRPr="00E65B10">
              <w:rPr>
                <w:rFonts w:eastAsia="Times New Roman" w:cs="Arial"/>
                <w:b/>
                <w:lang w:eastAsia="en-AU"/>
              </w:rPr>
              <w:t>354</w:t>
            </w:r>
          </w:p>
        </w:tc>
        <w:tc>
          <w:tcPr>
            <w:tcW w:w="1205" w:type="dxa"/>
            <w:tcBorders>
              <w:right w:val="nil"/>
            </w:tcBorders>
            <w:shd w:val="clear" w:color="auto" w:fill="B8CCE4" w:themeFill="accent1" w:themeFillTint="66"/>
            <w:noWrap/>
            <w:vAlign w:val="center"/>
          </w:tcPr>
          <w:p w14:paraId="0EBB1B65"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7</w:t>
            </w:r>
            <w:r>
              <w:rPr>
                <w:rFonts w:eastAsia="Times New Roman" w:cs="Arial"/>
                <w:b/>
                <w:lang w:eastAsia="en-AU"/>
              </w:rPr>
              <w:t>,</w:t>
            </w:r>
            <w:r w:rsidRPr="00E65B10">
              <w:rPr>
                <w:rFonts w:eastAsia="Times New Roman" w:cs="Arial"/>
                <w:b/>
                <w:lang w:eastAsia="en-AU"/>
              </w:rPr>
              <w:t>912</w:t>
            </w:r>
          </w:p>
        </w:tc>
        <w:tc>
          <w:tcPr>
            <w:tcW w:w="1205" w:type="dxa"/>
            <w:tcBorders>
              <w:left w:val="nil"/>
            </w:tcBorders>
            <w:shd w:val="clear" w:color="auto" w:fill="B8CCE4" w:themeFill="accent1" w:themeFillTint="66"/>
            <w:vAlign w:val="center"/>
          </w:tcPr>
          <w:p w14:paraId="3B16B7AD"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7</w:t>
            </w:r>
            <w:r>
              <w:rPr>
                <w:rFonts w:eastAsia="Times New Roman" w:cs="Arial"/>
                <w:b/>
                <w:lang w:eastAsia="en-AU"/>
              </w:rPr>
              <w:t>,</w:t>
            </w:r>
            <w:r w:rsidRPr="00E65B10">
              <w:rPr>
                <w:rFonts w:eastAsia="Times New Roman" w:cs="Arial"/>
                <w:b/>
                <w:lang w:eastAsia="en-AU"/>
              </w:rPr>
              <w:t>553</w:t>
            </w:r>
          </w:p>
        </w:tc>
        <w:tc>
          <w:tcPr>
            <w:tcW w:w="1205" w:type="dxa"/>
            <w:tcBorders>
              <w:right w:val="nil"/>
            </w:tcBorders>
            <w:shd w:val="clear" w:color="auto" w:fill="B8CCE4" w:themeFill="accent1" w:themeFillTint="66"/>
            <w:noWrap/>
            <w:vAlign w:val="center"/>
          </w:tcPr>
          <w:p w14:paraId="71913459"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4</w:t>
            </w:r>
            <w:r>
              <w:rPr>
                <w:rFonts w:eastAsia="Times New Roman" w:cs="Arial"/>
                <w:b/>
                <w:lang w:eastAsia="en-AU"/>
              </w:rPr>
              <w:t>,</w:t>
            </w:r>
            <w:r w:rsidRPr="00E65B10">
              <w:rPr>
                <w:rFonts w:eastAsia="Times New Roman" w:cs="Arial"/>
                <w:b/>
                <w:lang w:eastAsia="en-AU"/>
              </w:rPr>
              <w:t>495</w:t>
            </w:r>
          </w:p>
        </w:tc>
        <w:tc>
          <w:tcPr>
            <w:tcW w:w="1205" w:type="dxa"/>
            <w:tcBorders>
              <w:left w:val="nil"/>
            </w:tcBorders>
            <w:shd w:val="clear" w:color="auto" w:fill="B8CCE4" w:themeFill="accent1" w:themeFillTint="66"/>
            <w:vAlign w:val="center"/>
          </w:tcPr>
          <w:p w14:paraId="6A9225A1"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4</w:t>
            </w:r>
            <w:r>
              <w:rPr>
                <w:rFonts w:eastAsia="Times New Roman" w:cs="Arial"/>
                <w:b/>
                <w:lang w:eastAsia="en-AU"/>
              </w:rPr>
              <w:t>,</w:t>
            </w:r>
            <w:r w:rsidRPr="00E65B10">
              <w:rPr>
                <w:rFonts w:eastAsia="Times New Roman" w:cs="Arial"/>
                <w:b/>
                <w:lang w:eastAsia="en-AU"/>
              </w:rPr>
              <w:t>304</w:t>
            </w:r>
          </w:p>
        </w:tc>
        <w:tc>
          <w:tcPr>
            <w:tcW w:w="1205" w:type="dxa"/>
            <w:tcBorders>
              <w:right w:val="nil"/>
            </w:tcBorders>
            <w:shd w:val="clear" w:color="auto" w:fill="B8CCE4" w:themeFill="accent1" w:themeFillTint="66"/>
            <w:noWrap/>
            <w:vAlign w:val="center"/>
          </w:tcPr>
          <w:p w14:paraId="03BA6F87"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37</w:t>
            </w:r>
            <w:r>
              <w:rPr>
                <w:rFonts w:eastAsia="Times New Roman" w:cs="Arial"/>
                <w:b/>
                <w:lang w:eastAsia="en-AU"/>
              </w:rPr>
              <w:t>,</w:t>
            </w:r>
            <w:r w:rsidRPr="00E65B10">
              <w:rPr>
                <w:rFonts w:eastAsia="Times New Roman" w:cs="Arial"/>
                <w:b/>
                <w:lang w:eastAsia="en-AU"/>
              </w:rPr>
              <w:t>649</w:t>
            </w:r>
          </w:p>
        </w:tc>
        <w:tc>
          <w:tcPr>
            <w:tcW w:w="1205" w:type="dxa"/>
            <w:tcBorders>
              <w:left w:val="nil"/>
            </w:tcBorders>
            <w:shd w:val="clear" w:color="auto" w:fill="B8CCE4" w:themeFill="accent1" w:themeFillTint="66"/>
            <w:vAlign w:val="center"/>
          </w:tcPr>
          <w:p w14:paraId="22553FF3" w14:textId="77777777" w:rsidR="00F35497" w:rsidRPr="00E65B10" w:rsidRDefault="00F35497" w:rsidP="00CE2FDF">
            <w:pPr>
              <w:spacing w:before="0" w:line="276" w:lineRule="auto"/>
              <w:jc w:val="right"/>
              <w:rPr>
                <w:rFonts w:eastAsia="Times New Roman" w:cs="Arial"/>
                <w:b/>
                <w:lang w:eastAsia="en-AU"/>
              </w:rPr>
            </w:pPr>
            <w:r w:rsidRPr="00E65B10">
              <w:rPr>
                <w:rFonts w:eastAsia="Times New Roman" w:cs="Arial"/>
                <w:b/>
                <w:lang w:eastAsia="en-AU"/>
              </w:rPr>
              <w:t>28</w:t>
            </w:r>
            <w:r>
              <w:rPr>
                <w:rFonts w:eastAsia="Times New Roman" w:cs="Arial"/>
                <w:b/>
                <w:lang w:eastAsia="en-AU"/>
              </w:rPr>
              <w:t>,</w:t>
            </w:r>
            <w:r w:rsidRPr="00E65B10">
              <w:rPr>
                <w:rFonts w:eastAsia="Times New Roman" w:cs="Arial"/>
                <w:b/>
                <w:lang w:eastAsia="en-AU"/>
              </w:rPr>
              <w:t>461</w:t>
            </w:r>
          </w:p>
        </w:tc>
      </w:tr>
    </w:tbl>
    <w:p w14:paraId="2B987F99" w14:textId="77777777" w:rsidR="00F35497" w:rsidRDefault="00F35497" w:rsidP="00B15586">
      <w:pPr>
        <w:rPr>
          <w:rFonts w:asciiTheme="majorHAnsi" w:eastAsiaTheme="majorEastAsia" w:hAnsiTheme="majorHAnsi" w:cstheme="majorBidi"/>
          <w:color w:val="17365D" w:themeColor="text2" w:themeShade="BF"/>
          <w:sz w:val="26"/>
          <w:szCs w:val="26"/>
        </w:rPr>
      </w:pPr>
      <w:r>
        <w:br w:type="page"/>
      </w:r>
    </w:p>
    <w:p w14:paraId="1463D6F1" w14:textId="77777777" w:rsidR="004B00EC" w:rsidRDefault="004B00EC" w:rsidP="0095311F">
      <w:pPr>
        <w:pStyle w:val="Figureheading"/>
      </w:pPr>
      <w:r>
        <w:lastRenderedPageBreak/>
        <w:t>3.17</w:t>
      </w:r>
      <w:r>
        <w:tab/>
        <w:t>Number of reports for 2005, by abuse type,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70"/>
        <w:gridCol w:w="1471"/>
        <w:gridCol w:w="1471"/>
        <w:gridCol w:w="1471"/>
        <w:gridCol w:w="1470"/>
        <w:gridCol w:w="1471"/>
        <w:gridCol w:w="1471"/>
        <w:gridCol w:w="1471"/>
      </w:tblGrid>
      <w:tr w:rsidR="004B00EC" w:rsidRPr="00F44E7A" w14:paraId="311584A3" w14:textId="77777777" w:rsidTr="00137AE1">
        <w:trPr>
          <w:trHeight w:val="365"/>
          <w:tblHeader/>
        </w:trPr>
        <w:tc>
          <w:tcPr>
            <w:tcW w:w="2660" w:type="dxa"/>
            <w:shd w:val="clear" w:color="auto" w:fill="B8CCE4" w:themeFill="accent1" w:themeFillTint="66"/>
            <w:noWrap/>
            <w:hideMark/>
          </w:tcPr>
          <w:p w14:paraId="5539A488" w14:textId="77777777" w:rsidR="004B00EC" w:rsidRPr="00F44E7A" w:rsidRDefault="004B00EC" w:rsidP="00CE2FDF">
            <w:pPr>
              <w:spacing w:before="0" w:line="276" w:lineRule="auto"/>
              <w:rPr>
                <w:rFonts w:eastAsia="Times New Roman" w:cs="Arial"/>
                <w:b/>
                <w:lang w:eastAsia="en-AU"/>
              </w:rPr>
            </w:pPr>
          </w:p>
        </w:tc>
        <w:tc>
          <w:tcPr>
            <w:tcW w:w="2941" w:type="dxa"/>
            <w:gridSpan w:val="2"/>
            <w:shd w:val="clear" w:color="auto" w:fill="B8CCE4" w:themeFill="accent1" w:themeFillTint="66"/>
            <w:noWrap/>
            <w:vAlign w:val="center"/>
            <w:hideMark/>
          </w:tcPr>
          <w:p w14:paraId="1F69CC1A" w14:textId="77777777" w:rsidR="004B00EC" w:rsidRPr="00F44E7A" w:rsidRDefault="004B00EC"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38C7BAFE" w14:textId="77777777" w:rsidR="004B00EC" w:rsidRPr="00F44E7A" w:rsidRDefault="004B00EC"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615D68EE" w14:textId="77777777" w:rsidR="004B00EC" w:rsidRPr="00F44E7A" w:rsidRDefault="004B00EC"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578F5750" w14:textId="77777777" w:rsidR="004B00EC" w:rsidRPr="00F44E7A" w:rsidRDefault="004B00EC"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4B00EC" w:rsidRPr="00F44E7A" w14:paraId="2C407607" w14:textId="77777777" w:rsidTr="00137AE1">
        <w:trPr>
          <w:trHeight w:val="271"/>
          <w:tblHeader/>
        </w:trPr>
        <w:tc>
          <w:tcPr>
            <w:tcW w:w="2660" w:type="dxa"/>
            <w:shd w:val="clear" w:color="auto" w:fill="B8CCE4" w:themeFill="accent1" w:themeFillTint="66"/>
            <w:noWrap/>
            <w:hideMark/>
          </w:tcPr>
          <w:p w14:paraId="218E1C43" w14:textId="77777777" w:rsidR="004B00EC" w:rsidRPr="00F44E7A" w:rsidRDefault="004B00EC" w:rsidP="00CE2FDF">
            <w:pPr>
              <w:spacing w:before="0" w:line="276"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63DEEEE9" w14:textId="77777777" w:rsidR="004B00EC" w:rsidRPr="00F44E7A" w:rsidRDefault="004B00EC"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7A803FCD" w14:textId="77777777" w:rsidR="004B00EC" w:rsidRPr="00F44E7A" w:rsidRDefault="004B00EC"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251C8F8A" w14:textId="77777777" w:rsidR="004B00EC" w:rsidRPr="00F44E7A" w:rsidRDefault="004B00EC"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53BB628B" w14:textId="77777777" w:rsidR="004B00EC" w:rsidRPr="00F44E7A" w:rsidRDefault="004B00EC" w:rsidP="00CE2FDF">
            <w:pPr>
              <w:spacing w:before="0" w:line="276"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56C05E4A" w14:textId="77777777" w:rsidR="004B00EC" w:rsidRPr="00F44E7A" w:rsidRDefault="004B00EC"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2CEE1706" w14:textId="77777777" w:rsidR="004B00EC" w:rsidRPr="00F44E7A" w:rsidRDefault="004B00EC"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44F6085D" w14:textId="77777777" w:rsidR="004B00EC" w:rsidRPr="00F44E7A" w:rsidRDefault="004B00EC"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2DABA0B1" w14:textId="77777777" w:rsidR="004B00EC" w:rsidRPr="00F44E7A" w:rsidRDefault="004B00EC" w:rsidP="00CE2FDF">
            <w:pPr>
              <w:spacing w:before="0" w:line="276" w:lineRule="auto"/>
              <w:jc w:val="right"/>
              <w:rPr>
                <w:rFonts w:eastAsia="Times New Roman" w:cs="Arial"/>
                <w:b/>
                <w:lang w:eastAsia="en-AU"/>
              </w:rPr>
            </w:pPr>
            <w:r>
              <w:rPr>
                <w:rFonts w:eastAsia="Times New Roman" w:cs="Arial"/>
                <w:b/>
                <w:lang w:eastAsia="en-AU"/>
              </w:rPr>
              <w:t>Children</w:t>
            </w:r>
          </w:p>
        </w:tc>
      </w:tr>
      <w:tr w:rsidR="004B00EC" w:rsidRPr="003324F1" w14:paraId="620615C5" w14:textId="77777777" w:rsidTr="00F2448E">
        <w:trPr>
          <w:trHeight w:val="276"/>
        </w:trPr>
        <w:tc>
          <w:tcPr>
            <w:tcW w:w="2660" w:type="dxa"/>
            <w:noWrap/>
            <w:hideMark/>
          </w:tcPr>
          <w:p w14:paraId="3FFCA836" w14:textId="77777777" w:rsidR="004B00EC" w:rsidRPr="00F44E7A" w:rsidRDefault="004B00EC" w:rsidP="00CE2FDF">
            <w:pPr>
              <w:spacing w:before="0" w:line="276" w:lineRule="auto"/>
              <w:rPr>
                <w:rFonts w:eastAsia="Times New Roman" w:cs="Arial"/>
                <w:b/>
                <w:lang w:eastAsia="en-AU"/>
              </w:rPr>
            </w:pPr>
            <w:r w:rsidRPr="00F44E7A">
              <w:rPr>
                <w:rFonts w:eastAsia="Times New Roman" w:cs="Arial"/>
                <w:b/>
                <w:lang w:eastAsia="en-AU"/>
              </w:rPr>
              <w:t>Doctors</w:t>
            </w:r>
          </w:p>
        </w:tc>
        <w:tc>
          <w:tcPr>
            <w:tcW w:w="1470" w:type="dxa"/>
            <w:tcBorders>
              <w:right w:val="nil"/>
            </w:tcBorders>
            <w:noWrap/>
            <w:vAlign w:val="center"/>
          </w:tcPr>
          <w:p w14:paraId="5ACDE5E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225</w:t>
            </w:r>
          </w:p>
        </w:tc>
        <w:tc>
          <w:tcPr>
            <w:tcW w:w="1471" w:type="dxa"/>
            <w:tcBorders>
              <w:left w:val="nil"/>
            </w:tcBorders>
            <w:vAlign w:val="center"/>
          </w:tcPr>
          <w:p w14:paraId="27F990E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224</w:t>
            </w:r>
          </w:p>
        </w:tc>
        <w:tc>
          <w:tcPr>
            <w:tcW w:w="1471" w:type="dxa"/>
            <w:tcBorders>
              <w:right w:val="nil"/>
            </w:tcBorders>
            <w:noWrap/>
            <w:vAlign w:val="center"/>
          </w:tcPr>
          <w:p w14:paraId="2C39D54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177</w:t>
            </w:r>
          </w:p>
        </w:tc>
        <w:tc>
          <w:tcPr>
            <w:tcW w:w="1471" w:type="dxa"/>
            <w:tcBorders>
              <w:left w:val="nil"/>
            </w:tcBorders>
            <w:vAlign w:val="center"/>
          </w:tcPr>
          <w:p w14:paraId="41B7BDF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170</w:t>
            </w:r>
          </w:p>
        </w:tc>
        <w:tc>
          <w:tcPr>
            <w:tcW w:w="1470" w:type="dxa"/>
            <w:tcBorders>
              <w:right w:val="nil"/>
            </w:tcBorders>
            <w:noWrap/>
            <w:vAlign w:val="center"/>
          </w:tcPr>
          <w:p w14:paraId="40FF76E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276</w:t>
            </w:r>
          </w:p>
        </w:tc>
        <w:tc>
          <w:tcPr>
            <w:tcW w:w="1471" w:type="dxa"/>
            <w:tcBorders>
              <w:left w:val="nil"/>
            </w:tcBorders>
            <w:vAlign w:val="center"/>
          </w:tcPr>
          <w:p w14:paraId="23819BB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276</w:t>
            </w:r>
          </w:p>
        </w:tc>
        <w:tc>
          <w:tcPr>
            <w:tcW w:w="1471" w:type="dxa"/>
            <w:tcBorders>
              <w:right w:val="nil"/>
            </w:tcBorders>
            <w:noWrap/>
            <w:vAlign w:val="center"/>
          </w:tcPr>
          <w:p w14:paraId="3E408C5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203</w:t>
            </w:r>
          </w:p>
        </w:tc>
        <w:tc>
          <w:tcPr>
            <w:tcW w:w="1471" w:type="dxa"/>
            <w:tcBorders>
              <w:left w:val="nil"/>
            </w:tcBorders>
            <w:vAlign w:val="center"/>
          </w:tcPr>
          <w:p w14:paraId="4D55721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200</w:t>
            </w:r>
          </w:p>
        </w:tc>
      </w:tr>
      <w:tr w:rsidR="004B00EC" w:rsidRPr="003324F1" w14:paraId="1B037661" w14:textId="77777777" w:rsidTr="00F2448E">
        <w:trPr>
          <w:trHeight w:val="276"/>
        </w:trPr>
        <w:tc>
          <w:tcPr>
            <w:tcW w:w="2660" w:type="dxa"/>
            <w:shd w:val="clear" w:color="auto" w:fill="DBE5F1" w:themeFill="accent1" w:themeFillTint="33"/>
            <w:noWrap/>
            <w:hideMark/>
          </w:tcPr>
          <w:p w14:paraId="1E7E22BA" w14:textId="77777777" w:rsidR="004B00EC" w:rsidRPr="00F44E7A" w:rsidRDefault="004B00EC" w:rsidP="00CE2FDF">
            <w:pPr>
              <w:spacing w:before="0" w:line="276" w:lineRule="auto"/>
              <w:rPr>
                <w:rFonts w:eastAsia="Times New Roman" w:cs="Arial"/>
                <w:b/>
                <w:lang w:eastAsia="en-AU"/>
              </w:rPr>
            </w:pPr>
            <w:r w:rsidRPr="00F44E7A">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6806EC38"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673</w:t>
            </w:r>
          </w:p>
        </w:tc>
        <w:tc>
          <w:tcPr>
            <w:tcW w:w="1471" w:type="dxa"/>
            <w:tcBorders>
              <w:left w:val="nil"/>
            </w:tcBorders>
            <w:shd w:val="clear" w:color="auto" w:fill="DBE5F1" w:themeFill="accent1" w:themeFillTint="33"/>
            <w:vAlign w:val="center"/>
          </w:tcPr>
          <w:p w14:paraId="6CA1187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655</w:t>
            </w:r>
          </w:p>
        </w:tc>
        <w:tc>
          <w:tcPr>
            <w:tcW w:w="1471" w:type="dxa"/>
            <w:tcBorders>
              <w:right w:val="nil"/>
            </w:tcBorders>
            <w:shd w:val="clear" w:color="auto" w:fill="DBE5F1" w:themeFill="accent1" w:themeFillTint="33"/>
            <w:noWrap/>
            <w:vAlign w:val="center"/>
          </w:tcPr>
          <w:p w14:paraId="7B33FA7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384</w:t>
            </w:r>
          </w:p>
        </w:tc>
        <w:tc>
          <w:tcPr>
            <w:tcW w:w="1471" w:type="dxa"/>
            <w:tcBorders>
              <w:left w:val="nil"/>
            </w:tcBorders>
            <w:shd w:val="clear" w:color="auto" w:fill="DBE5F1" w:themeFill="accent1" w:themeFillTint="33"/>
            <w:vAlign w:val="center"/>
          </w:tcPr>
          <w:p w14:paraId="141DCAC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382</w:t>
            </w:r>
          </w:p>
        </w:tc>
        <w:tc>
          <w:tcPr>
            <w:tcW w:w="1470" w:type="dxa"/>
            <w:tcBorders>
              <w:right w:val="nil"/>
            </w:tcBorders>
            <w:shd w:val="clear" w:color="auto" w:fill="DBE5F1" w:themeFill="accent1" w:themeFillTint="33"/>
            <w:noWrap/>
            <w:vAlign w:val="center"/>
          </w:tcPr>
          <w:p w14:paraId="55F8284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218</w:t>
            </w:r>
          </w:p>
        </w:tc>
        <w:tc>
          <w:tcPr>
            <w:tcW w:w="1471" w:type="dxa"/>
            <w:tcBorders>
              <w:left w:val="nil"/>
            </w:tcBorders>
            <w:shd w:val="clear" w:color="auto" w:fill="DBE5F1" w:themeFill="accent1" w:themeFillTint="33"/>
            <w:vAlign w:val="center"/>
          </w:tcPr>
          <w:p w14:paraId="2C2D0CC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217</w:t>
            </w:r>
          </w:p>
        </w:tc>
        <w:tc>
          <w:tcPr>
            <w:tcW w:w="1471" w:type="dxa"/>
            <w:tcBorders>
              <w:right w:val="nil"/>
            </w:tcBorders>
            <w:shd w:val="clear" w:color="auto" w:fill="DBE5F1" w:themeFill="accent1" w:themeFillTint="33"/>
            <w:noWrap/>
            <w:vAlign w:val="center"/>
          </w:tcPr>
          <w:p w14:paraId="5750B70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81</w:t>
            </w:r>
          </w:p>
        </w:tc>
        <w:tc>
          <w:tcPr>
            <w:tcW w:w="1471" w:type="dxa"/>
            <w:tcBorders>
              <w:left w:val="nil"/>
            </w:tcBorders>
            <w:shd w:val="clear" w:color="auto" w:fill="DBE5F1" w:themeFill="accent1" w:themeFillTint="33"/>
            <w:vAlign w:val="center"/>
          </w:tcPr>
          <w:p w14:paraId="4E89E42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78</w:t>
            </w:r>
          </w:p>
        </w:tc>
      </w:tr>
      <w:tr w:rsidR="004B00EC" w:rsidRPr="003324F1" w14:paraId="7EA9052D" w14:textId="77777777" w:rsidTr="00F2448E">
        <w:trPr>
          <w:trHeight w:val="276"/>
        </w:trPr>
        <w:tc>
          <w:tcPr>
            <w:tcW w:w="2660" w:type="dxa"/>
            <w:noWrap/>
            <w:hideMark/>
          </w:tcPr>
          <w:p w14:paraId="6EE12D85" w14:textId="77777777" w:rsidR="004B00EC" w:rsidRPr="00F44E7A" w:rsidRDefault="004B00EC" w:rsidP="00CE2FDF">
            <w:pPr>
              <w:spacing w:before="0" w:line="276"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noWrap/>
            <w:vAlign w:val="center"/>
          </w:tcPr>
          <w:p w14:paraId="4F9C2FB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319</w:t>
            </w:r>
          </w:p>
        </w:tc>
        <w:tc>
          <w:tcPr>
            <w:tcW w:w="1471" w:type="dxa"/>
            <w:tcBorders>
              <w:left w:val="nil"/>
            </w:tcBorders>
            <w:vAlign w:val="center"/>
          </w:tcPr>
          <w:p w14:paraId="35DE743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167</w:t>
            </w:r>
          </w:p>
        </w:tc>
        <w:tc>
          <w:tcPr>
            <w:tcW w:w="1471" w:type="dxa"/>
            <w:tcBorders>
              <w:right w:val="nil"/>
            </w:tcBorders>
            <w:noWrap/>
            <w:vAlign w:val="center"/>
          </w:tcPr>
          <w:p w14:paraId="321C3BF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580</w:t>
            </w:r>
          </w:p>
        </w:tc>
        <w:tc>
          <w:tcPr>
            <w:tcW w:w="1471" w:type="dxa"/>
            <w:tcBorders>
              <w:left w:val="nil"/>
            </w:tcBorders>
            <w:vAlign w:val="center"/>
          </w:tcPr>
          <w:p w14:paraId="0034529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525</w:t>
            </w:r>
          </w:p>
        </w:tc>
        <w:tc>
          <w:tcPr>
            <w:tcW w:w="1470" w:type="dxa"/>
            <w:tcBorders>
              <w:right w:val="nil"/>
            </w:tcBorders>
            <w:noWrap/>
            <w:vAlign w:val="center"/>
          </w:tcPr>
          <w:p w14:paraId="7251FE2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209</w:t>
            </w:r>
          </w:p>
        </w:tc>
        <w:tc>
          <w:tcPr>
            <w:tcW w:w="1471" w:type="dxa"/>
            <w:tcBorders>
              <w:left w:val="nil"/>
            </w:tcBorders>
            <w:vAlign w:val="center"/>
          </w:tcPr>
          <w:p w14:paraId="4E8F924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177</w:t>
            </w:r>
          </w:p>
        </w:tc>
        <w:tc>
          <w:tcPr>
            <w:tcW w:w="1471" w:type="dxa"/>
            <w:tcBorders>
              <w:right w:val="nil"/>
            </w:tcBorders>
            <w:noWrap/>
            <w:vAlign w:val="center"/>
          </w:tcPr>
          <w:p w14:paraId="74EAB47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936</w:t>
            </w:r>
          </w:p>
        </w:tc>
        <w:tc>
          <w:tcPr>
            <w:tcW w:w="1471" w:type="dxa"/>
            <w:tcBorders>
              <w:left w:val="nil"/>
            </w:tcBorders>
            <w:vAlign w:val="center"/>
          </w:tcPr>
          <w:p w14:paraId="6B1ACFF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919</w:t>
            </w:r>
          </w:p>
        </w:tc>
      </w:tr>
      <w:tr w:rsidR="004B00EC" w:rsidRPr="003324F1" w14:paraId="7521860E" w14:textId="77777777" w:rsidTr="00F2448E">
        <w:trPr>
          <w:trHeight w:val="276"/>
        </w:trPr>
        <w:tc>
          <w:tcPr>
            <w:tcW w:w="2660" w:type="dxa"/>
            <w:shd w:val="clear" w:color="auto" w:fill="DBE5F1" w:themeFill="accent1" w:themeFillTint="33"/>
            <w:noWrap/>
            <w:hideMark/>
          </w:tcPr>
          <w:p w14:paraId="35389672"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DBE5F1" w:themeFill="accent1" w:themeFillTint="33"/>
            <w:noWrap/>
            <w:vAlign w:val="center"/>
          </w:tcPr>
          <w:p w14:paraId="56F05A1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791</w:t>
            </w:r>
          </w:p>
        </w:tc>
        <w:tc>
          <w:tcPr>
            <w:tcW w:w="1471" w:type="dxa"/>
            <w:tcBorders>
              <w:left w:val="nil"/>
            </w:tcBorders>
            <w:shd w:val="clear" w:color="auto" w:fill="DBE5F1" w:themeFill="accent1" w:themeFillTint="33"/>
            <w:vAlign w:val="center"/>
          </w:tcPr>
          <w:p w14:paraId="5DBC496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772</w:t>
            </w:r>
          </w:p>
        </w:tc>
        <w:tc>
          <w:tcPr>
            <w:tcW w:w="1471" w:type="dxa"/>
            <w:tcBorders>
              <w:right w:val="nil"/>
            </w:tcBorders>
            <w:shd w:val="clear" w:color="auto" w:fill="DBE5F1" w:themeFill="accent1" w:themeFillTint="33"/>
            <w:noWrap/>
            <w:vAlign w:val="center"/>
          </w:tcPr>
          <w:p w14:paraId="1B586DE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851</w:t>
            </w:r>
          </w:p>
        </w:tc>
        <w:tc>
          <w:tcPr>
            <w:tcW w:w="1471" w:type="dxa"/>
            <w:tcBorders>
              <w:left w:val="nil"/>
            </w:tcBorders>
            <w:shd w:val="clear" w:color="auto" w:fill="DBE5F1" w:themeFill="accent1" w:themeFillTint="33"/>
            <w:vAlign w:val="center"/>
          </w:tcPr>
          <w:p w14:paraId="2A7CF1F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810</w:t>
            </w:r>
          </w:p>
        </w:tc>
        <w:tc>
          <w:tcPr>
            <w:tcW w:w="1470" w:type="dxa"/>
            <w:tcBorders>
              <w:right w:val="nil"/>
            </w:tcBorders>
            <w:shd w:val="clear" w:color="auto" w:fill="DBE5F1" w:themeFill="accent1" w:themeFillTint="33"/>
            <w:noWrap/>
            <w:vAlign w:val="center"/>
          </w:tcPr>
          <w:p w14:paraId="165B494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413</w:t>
            </w:r>
          </w:p>
        </w:tc>
        <w:tc>
          <w:tcPr>
            <w:tcW w:w="1471" w:type="dxa"/>
            <w:tcBorders>
              <w:left w:val="nil"/>
            </w:tcBorders>
            <w:shd w:val="clear" w:color="auto" w:fill="DBE5F1" w:themeFill="accent1" w:themeFillTint="33"/>
            <w:vAlign w:val="center"/>
          </w:tcPr>
          <w:p w14:paraId="4717EE2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380</w:t>
            </w:r>
          </w:p>
        </w:tc>
        <w:tc>
          <w:tcPr>
            <w:tcW w:w="1471" w:type="dxa"/>
            <w:tcBorders>
              <w:right w:val="nil"/>
            </w:tcBorders>
            <w:shd w:val="clear" w:color="auto" w:fill="DBE5F1" w:themeFill="accent1" w:themeFillTint="33"/>
            <w:noWrap/>
            <w:vAlign w:val="center"/>
          </w:tcPr>
          <w:p w14:paraId="7C175C0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477</w:t>
            </w:r>
          </w:p>
        </w:tc>
        <w:tc>
          <w:tcPr>
            <w:tcW w:w="1471" w:type="dxa"/>
            <w:tcBorders>
              <w:left w:val="nil"/>
            </w:tcBorders>
            <w:shd w:val="clear" w:color="auto" w:fill="DBE5F1" w:themeFill="accent1" w:themeFillTint="33"/>
            <w:vAlign w:val="center"/>
          </w:tcPr>
          <w:p w14:paraId="2733466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470</w:t>
            </w:r>
          </w:p>
        </w:tc>
      </w:tr>
      <w:tr w:rsidR="004B00EC" w:rsidRPr="003324F1" w14:paraId="47F5F7C0" w14:textId="77777777" w:rsidTr="00F2448E">
        <w:trPr>
          <w:trHeight w:val="276"/>
        </w:trPr>
        <w:tc>
          <w:tcPr>
            <w:tcW w:w="2660" w:type="dxa"/>
            <w:shd w:val="clear" w:color="auto" w:fill="auto"/>
            <w:noWrap/>
            <w:hideMark/>
          </w:tcPr>
          <w:p w14:paraId="2220CBB6"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Psychiatrists</w:t>
            </w:r>
          </w:p>
        </w:tc>
        <w:tc>
          <w:tcPr>
            <w:tcW w:w="1470" w:type="dxa"/>
            <w:tcBorders>
              <w:right w:val="nil"/>
            </w:tcBorders>
            <w:shd w:val="clear" w:color="auto" w:fill="auto"/>
            <w:noWrap/>
            <w:vAlign w:val="center"/>
          </w:tcPr>
          <w:p w14:paraId="5F33CC1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61</w:t>
            </w:r>
          </w:p>
        </w:tc>
        <w:tc>
          <w:tcPr>
            <w:tcW w:w="1471" w:type="dxa"/>
            <w:tcBorders>
              <w:left w:val="nil"/>
            </w:tcBorders>
            <w:shd w:val="clear" w:color="auto" w:fill="auto"/>
            <w:vAlign w:val="center"/>
          </w:tcPr>
          <w:p w14:paraId="6128CF4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61</w:t>
            </w:r>
          </w:p>
        </w:tc>
        <w:tc>
          <w:tcPr>
            <w:tcW w:w="1471" w:type="dxa"/>
            <w:tcBorders>
              <w:right w:val="nil"/>
            </w:tcBorders>
            <w:shd w:val="clear" w:color="auto" w:fill="auto"/>
            <w:noWrap/>
            <w:vAlign w:val="center"/>
          </w:tcPr>
          <w:p w14:paraId="75A43FC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29</w:t>
            </w:r>
          </w:p>
        </w:tc>
        <w:tc>
          <w:tcPr>
            <w:tcW w:w="1471" w:type="dxa"/>
            <w:tcBorders>
              <w:left w:val="nil"/>
            </w:tcBorders>
            <w:shd w:val="clear" w:color="auto" w:fill="auto"/>
            <w:vAlign w:val="center"/>
          </w:tcPr>
          <w:p w14:paraId="39300B4A"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28</w:t>
            </w:r>
          </w:p>
        </w:tc>
        <w:tc>
          <w:tcPr>
            <w:tcW w:w="1470" w:type="dxa"/>
            <w:tcBorders>
              <w:right w:val="nil"/>
            </w:tcBorders>
            <w:shd w:val="clear" w:color="auto" w:fill="auto"/>
            <w:noWrap/>
            <w:vAlign w:val="center"/>
          </w:tcPr>
          <w:p w14:paraId="032DE6B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27</w:t>
            </w:r>
          </w:p>
        </w:tc>
        <w:tc>
          <w:tcPr>
            <w:tcW w:w="1471" w:type="dxa"/>
            <w:tcBorders>
              <w:left w:val="nil"/>
            </w:tcBorders>
            <w:shd w:val="clear" w:color="auto" w:fill="auto"/>
            <w:vAlign w:val="center"/>
          </w:tcPr>
          <w:p w14:paraId="12F96D6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27</w:t>
            </w:r>
          </w:p>
        </w:tc>
        <w:tc>
          <w:tcPr>
            <w:tcW w:w="1471" w:type="dxa"/>
            <w:tcBorders>
              <w:right w:val="nil"/>
            </w:tcBorders>
            <w:shd w:val="clear" w:color="auto" w:fill="auto"/>
            <w:noWrap/>
            <w:vAlign w:val="center"/>
          </w:tcPr>
          <w:p w14:paraId="05E6B74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18</w:t>
            </w:r>
          </w:p>
        </w:tc>
        <w:tc>
          <w:tcPr>
            <w:tcW w:w="1471" w:type="dxa"/>
            <w:tcBorders>
              <w:left w:val="nil"/>
            </w:tcBorders>
            <w:shd w:val="clear" w:color="auto" w:fill="auto"/>
            <w:vAlign w:val="center"/>
          </w:tcPr>
          <w:p w14:paraId="7F10F0E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18</w:t>
            </w:r>
          </w:p>
        </w:tc>
      </w:tr>
      <w:tr w:rsidR="004B00EC" w:rsidRPr="003324F1" w14:paraId="60CB24EE" w14:textId="77777777" w:rsidTr="00F2448E">
        <w:trPr>
          <w:trHeight w:val="276"/>
        </w:trPr>
        <w:tc>
          <w:tcPr>
            <w:tcW w:w="2660" w:type="dxa"/>
            <w:shd w:val="clear" w:color="auto" w:fill="DBE5F1" w:themeFill="accent1" w:themeFillTint="33"/>
            <w:noWrap/>
            <w:hideMark/>
          </w:tcPr>
          <w:p w14:paraId="422E5F16"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470" w:type="dxa"/>
            <w:tcBorders>
              <w:right w:val="nil"/>
            </w:tcBorders>
            <w:shd w:val="clear" w:color="auto" w:fill="DBE5F1" w:themeFill="accent1" w:themeFillTint="33"/>
            <w:noWrap/>
            <w:vAlign w:val="center"/>
          </w:tcPr>
          <w:p w14:paraId="08029CC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069</w:t>
            </w:r>
          </w:p>
        </w:tc>
        <w:tc>
          <w:tcPr>
            <w:tcW w:w="1471" w:type="dxa"/>
            <w:tcBorders>
              <w:left w:val="nil"/>
            </w:tcBorders>
            <w:shd w:val="clear" w:color="auto" w:fill="DBE5F1" w:themeFill="accent1" w:themeFillTint="33"/>
            <w:vAlign w:val="center"/>
          </w:tcPr>
          <w:p w14:paraId="6744F9D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777</w:t>
            </w:r>
          </w:p>
        </w:tc>
        <w:tc>
          <w:tcPr>
            <w:tcW w:w="1471" w:type="dxa"/>
            <w:tcBorders>
              <w:right w:val="nil"/>
            </w:tcBorders>
            <w:shd w:val="clear" w:color="auto" w:fill="DBE5F1" w:themeFill="accent1" w:themeFillTint="33"/>
            <w:noWrap/>
            <w:vAlign w:val="center"/>
          </w:tcPr>
          <w:p w14:paraId="5C32C4B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021</w:t>
            </w:r>
          </w:p>
        </w:tc>
        <w:tc>
          <w:tcPr>
            <w:tcW w:w="1471" w:type="dxa"/>
            <w:tcBorders>
              <w:left w:val="nil"/>
            </w:tcBorders>
            <w:shd w:val="clear" w:color="auto" w:fill="DBE5F1" w:themeFill="accent1" w:themeFillTint="33"/>
            <w:vAlign w:val="center"/>
          </w:tcPr>
          <w:p w14:paraId="22B17F1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869</w:t>
            </w:r>
          </w:p>
        </w:tc>
        <w:tc>
          <w:tcPr>
            <w:tcW w:w="1470" w:type="dxa"/>
            <w:tcBorders>
              <w:right w:val="nil"/>
            </w:tcBorders>
            <w:shd w:val="clear" w:color="auto" w:fill="DBE5F1" w:themeFill="accent1" w:themeFillTint="33"/>
            <w:noWrap/>
            <w:vAlign w:val="center"/>
          </w:tcPr>
          <w:p w14:paraId="0E66653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143</w:t>
            </w:r>
          </w:p>
        </w:tc>
        <w:tc>
          <w:tcPr>
            <w:tcW w:w="1471" w:type="dxa"/>
            <w:tcBorders>
              <w:left w:val="nil"/>
            </w:tcBorders>
            <w:shd w:val="clear" w:color="auto" w:fill="DBE5F1" w:themeFill="accent1" w:themeFillTint="33"/>
            <w:vAlign w:val="center"/>
          </w:tcPr>
          <w:p w14:paraId="09449A4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035</w:t>
            </w:r>
          </w:p>
        </w:tc>
        <w:tc>
          <w:tcPr>
            <w:tcW w:w="1471" w:type="dxa"/>
            <w:tcBorders>
              <w:right w:val="nil"/>
            </w:tcBorders>
            <w:shd w:val="clear" w:color="auto" w:fill="DBE5F1" w:themeFill="accent1" w:themeFillTint="33"/>
            <w:noWrap/>
            <w:vAlign w:val="center"/>
          </w:tcPr>
          <w:p w14:paraId="27DEBC2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715</w:t>
            </w:r>
          </w:p>
        </w:tc>
        <w:tc>
          <w:tcPr>
            <w:tcW w:w="1471" w:type="dxa"/>
            <w:tcBorders>
              <w:left w:val="nil"/>
            </w:tcBorders>
            <w:shd w:val="clear" w:color="auto" w:fill="DBE5F1" w:themeFill="accent1" w:themeFillTint="33"/>
            <w:vAlign w:val="center"/>
          </w:tcPr>
          <w:p w14:paraId="26E6014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666</w:t>
            </w:r>
          </w:p>
        </w:tc>
      </w:tr>
      <w:tr w:rsidR="004B00EC" w:rsidRPr="003324F1" w14:paraId="59975D21" w14:textId="77777777" w:rsidTr="00F2448E">
        <w:trPr>
          <w:trHeight w:val="276"/>
        </w:trPr>
        <w:tc>
          <w:tcPr>
            <w:tcW w:w="2660" w:type="dxa"/>
            <w:shd w:val="clear" w:color="auto" w:fill="auto"/>
            <w:noWrap/>
            <w:hideMark/>
          </w:tcPr>
          <w:p w14:paraId="6C54A423"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0629BF3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836</w:t>
            </w:r>
          </w:p>
        </w:tc>
        <w:tc>
          <w:tcPr>
            <w:tcW w:w="1471" w:type="dxa"/>
            <w:tcBorders>
              <w:left w:val="nil"/>
            </w:tcBorders>
            <w:shd w:val="clear" w:color="auto" w:fill="auto"/>
            <w:vAlign w:val="center"/>
          </w:tcPr>
          <w:p w14:paraId="0A99550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161</w:t>
            </w:r>
          </w:p>
        </w:tc>
        <w:tc>
          <w:tcPr>
            <w:tcW w:w="1471" w:type="dxa"/>
            <w:tcBorders>
              <w:right w:val="nil"/>
            </w:tcBorders>
            <w:shd w:val="clear" w:color="auto" w:fill="auto"/>
            <w:noWrap/>
            <w:vAlign w:val="center"/>
          </w:tcPr>
          <w:p w14:paraId="3760DD2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8</w:t>
            </w:r>
            <w:r>
              <w:rPr>
                <w:rFonts w:eastAsia="Times New Roman" w:cs="Arial"/>
                <w:lang w:eastAsia="en-AU"/>
              </w:rPr>
              <w:t>,</w:t>
            </w:r>
            <w:r w:rsidRPr="00676396">
              <w:rPr>
                <w:rFonts w:eastAsia="Times New Roman" w:cs="Arial"/>
                <w:lang w:eastAsia="en-AU"/>
              </w:rPr>
              <w:t>274</w:t>
            </w:r>
          </w:p>
        </w:tc>
        <w:tc>
          <w:tcPr>
            <w:tcW w:w="1471" w:type="dxa"/>
            <w:tcBorders>
              <w:left w:val="nil"/>
            </w:tcBorders>
            <w:shd w:val="clear" w:color="auto" w:fill="auto"/>
            <w:vAlign w:val="center"/>
          </w:tcPr>
          <w:p w14:paraId="1A108CD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261</w:t>
            </w:r>
          </w:p>
        </w:tc>
        <w:tc>
          <w:tcPr>
            <w:tcW w:w="1470" w:type="dxa"/>
            <w:tcBorders>
              <w:right w:val="nil"/>
            </w:tcBorders>
            <w:shd w:val="clear" w:color="auto" w:fill="auto"/>
            <w:noWrap/>
            <w:vAlign w:val="center"/>
          </w:tcPr>
          <w:p w14:paraId="07F8CB8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787</w:t>
            </w:r>
          </w:p>
        </w:tc>
        <w:tc>
          <w:tcPr>
            <w:tcW w:w="1471" w:type="dxa"/>
            <w:tcBorders>
              <w:left w:val="nil"/>
            </w:tcBorders>
            <w:shd w:val="clear" w:color="auto" w:fill="auto"/>
            <w:vAlign w:val="center"/>
          </w:tcPr>
          <w:p w14:paraId="6EA4102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333</w:t>
            </w:r>
          </w:p>
        </w:tc>
        <w:tc>
          <w:tcPr>
            <w:tcW w:w="1471" w:type="dxa"/>
            <w:tcBorders>
              <w:right w:val="nil"/>
            </w:tcBorders>
            <w:shd w:val="clear" w:color="auto" w:fill="auto"/>
            <w:noWrap/>
            <w:vAlign w:val="center"/>
          </w:tcPr>
          <w:p w14:paraId="270D289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812</w:t>
            </w:r>
          </w:p>
        </w:tc>
        <w:tc>
          <w:tcPr>
            <w:tcW w:w="1471" w:type="dxa"/>
            <w:tcBorders>
              <w:left w:val="nil"/>
            </w:tcBorders>
            <w:shd w:val="clear" w:color="auto" w:fill="auto"/>
            <w:vAlign w:val="center"/>
          </w:tcPr>
          <w:p w14:paraId="3EDA590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608</w:t>
            </w:r>
          </w:p>
        </w:tc>
      </w:tr>
      <w:tr w:rsidR="004B00EC" w:rsidRPr="00FD6E8E" w14:paraId="5F4091CA" w14:textId="77777777" w:rsidTr="00F2448E">
        <w:trPr>
          <w:trHeight w:val="276"/>
        </w:trPr>
        <w:tc>
          <w:tcPr>
            <w:tcW w:w="2660" w:type="dxa"/>
            <w:shd w:val="clear" w:color="auto" w:fill="B8CCE4" w:themeFill="accent1" w:themeFillTint="66"/>
            <w:noWrap/>
            <w:hideMark/>
          </w:tcPr>
          <w:p w14:paraId="1EDC9C2C" w14:textId="77777777" w:rsidR="004B00EC" w:rsidRPr="00FD6E8E" w:rsidRDefault="004B00EC" w:rsidP="00CE2FDF">
            <w:pPr>
              <w:spacing w:before="0" w:line="276" w:lineRule="auto"/>
              <w:rPr>
                <w:rFonts w:eastAsia="Times New Roman" w:cs="Arial"/>
                <w:b/>
                <w:lang w:eastAsia="en-AU"/>
              </w:rPr>
            </w:pPr>
            <w:r w:rsidRPr="00FD6E8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10600E04"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905</w:t>
            </w:r>
          </w:p>
        </w:tc>
        <w:tc>
          <w:tcPr>
            <w:tcW w:w="1471" w:type="dxa"/>
            <w:tcBorders>
              <w:left w:val="nil"/>
            </w:tcBorders>
            <w:shd w:val="clear" w:color="auto" w:fill="B8CCE4" w:themeFill="accent1" w:themeFillTint="66"/>
            <w:vAlign w:val="center"/>
          </w:tcPr>
          <w:p w14:paraId="5006749C"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450</w:t>
            </w:r>
          </w:p>
        </w:tc>
        <w:tc>
          <w:tcPr>
            <w:tcW w:w="1471" w:type="dxa"/>
            <w:tcBorders>
              <w:right w:val="nil"/>
            </w:tcBorders>
            <w:shd w:val="clear" w:color="auto" w:fill="B8CCE4" w:themeFill="accent1" w:themeFillTint="66"/>
            <w:noWrap/>
            <w:vAlign w:val="center"/>
          </w:tcPr>
          <w:p w14:paraId="22B4779D"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295</w:t>
            </w:r>
          </w:p>
        </w:tc>
        <w:tc>
          <w:tcPr>
            <w:tcW w:w="1471" w:type="dxa"/>
            <w:tcBorders>
              <w:left w:val="nil"/>
            </w:tcBorders>
            <w:shd w:val="clear" w:color="auto" w:fill="B8CCE4" w:themeFill="accent1" w:themeFillTint="66"/>
            <w:vAlign w:val="center"/>
          </w:tcPr>
          <w:p w14:paraId="005D8DF1"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9</w:t>
            </w:r>
            <w:r>
              <w:rPr>
                <w:rFonts w:eastAsia="Times New Roman" w:cs="Arial"/>
                <w:b/>
                <w:lang w:eastAsia="en-AU"/>
              </w:rPr>
              <w:t>,</w:t>
            </w:r>
            <w:r w:rsidRPr="00676396">
              <w:rPr>
                <w:rFonts w:eastAsia="Times New Roman" w:cs="Arial"/>
                <w:b/>
                <w:lang w:eastAsia="en-AU"/>
              </w:rPr>
              <w:t>619</w:t>
            </w:r>
          </w:p>
        </w:tc>
        <w:tc>
          <w:tcPr>
            <w:tcW w:w="1470" w:type="dxa"/>
            <w:tcBorders>
              <w:right w:val="nil"/>
            </w:tcBorders>
            <w:shd w:val="clear" w:color="auto" w:fill="B8CCE4" w:themeFill="accent1" w:themeFillTint="66"/>
            <w:noWrap/>
            <w:vAlign w:val="center"/>
          </w:tcPr>
          <w:p w14:paraId="201B0A1B"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8</w:t>
            </w:r>
            <w:r>
              <w:rPr>
                <w:rFonts w:eastAsia="Times New Roman" w:cs="Arial"/>
                <w:b/>
                <w:lang w:eastAsia="en-AU"/>
              </w:rPr>
              <w:t>,</w:t>
            </w:r>
            <w:r w:rsidRPr="00676396">
              <w:rPr>
                <w:rFonts w:eastAsia="Times New Roman" w:cs="Arial"/>
                <w:b/>
                <w:lang w:eastAsia="en-AU"/>
              </w:rPr>
              <w:t>930</w:t>
            </w:r>
          </w:p>
        </w:tc>
        <w:tc>
          <w:tcPr>
            <w:tcW w:w="1471" w:type="dxa"/>
            <w:tcBorders>
              <w:left w:val="nil"/>
            </w:tcBorders>
            <w:shd w:val="clear" w:color="auto" w:fill="B8CCE4" w:themeFill="accent1" w:themeFillTint="66"/>
            <w:vAlign w:val="center"/>
          </w:tcPr>
          <w:p w14:paraId="485F6016"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8</w:t>
            </w:r>
            <w:r>
              <w:rPr>
                <w:rFonts w:eastAsia="Times New Roman" w:cs="Arial"/>
                <w:b/>
                <w:lang w:eastAsia="en-AU"/>
              </w:rPr>
              <w:t>,</w:t>
            </w:r>
            <w:r w:rsidRPr="00676396">
              <w:rPr>
                <w:rFonts w:eastAsia="Times New Roman" w:cs="Arial"/>
                <w:b/>
                <w:lang w:eastAsia="en-AU"/>
              </w:rPr>
              <w:t>091</w:t>
            </w:r>
          </w:p>
        </w:tc>
        <w:tc>
          <w:tcPr>
            <w:tcW w:w="1471" w:type="dxa"/>
            <w:tcBorders>
              <w:right w:val="nil"/>
            </w:tcBorders>
            <w:shd w:val="clear" w:color="auto" w:fill="B8CCE4" w:themeFill="accent1" w:themeFillTint="66"/>
            <w:noWrap/>
            <w:vAlign w:val="center"/>
          </w:tcPr>
          <w:p w14:paraId="0DF60FA6"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527</w:t>
            </w:r>
          </w:p>
        </w:tc>
        <w:tc>
          <w:tcPr>
            <w:tcW w:w="1471" w:type="dxa"/>
            <w:tcBorders>
              <w:left w:val="nil"/>
            </w:tcBorders>
            <w:shd w:val="clear" w:color="auto" w:fill="B8CCE4" w:themeFill="accent1" w:themeFillTint="66"/>
            <w:vAlign w:val="center"/>
          </w:tcPr>
          <w:p w14:paraId="33C31D1C"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142</w:t>
            </w:r>
          </w:p>
        </w:tc>
      </w:tr>
    </w:tbl>
    <w:p w14:paraId="4B25CB53" w14:textId="77777777" w:rsidR="004B00EC" w:rsidRDefault="004B00EC" w:rsidP="00B15586"/>
    <w:p w14:paraId="03F5F9EF" w14:textId="77777777" w:rsidR="004B00EC" w:rsidRDefault="004B00EC" w:rsidP="0095311F">
      <w:pPr>
        <w:pStyle w:val="Figureheading"/>
      </w:pPr>
      <w:r>
        <w:t>3.18</w:t>
      </w:r>
      <w:r>
        <w:tab/>
        <w:t>Number of reports for 2005, 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76"/>
        <w:gridCol w:w="1177"/>
        <w:gridCol w:w="1176"/>
        <w:gridCol w:w="1177"/>
        <w:gridCol w:w="1177"/>
        <w:gridCol w:w="1176"/>
        <w:gridCol w:w="1177"/>
        <w:gridCol w:w="1176"/>
        <w:gridCol w:w="1177"/>
        <w:gridCol w:w="1177"/>
      </w:tblGrid>
      <w:tr w:rsidR="004B00EC" w:rsidRPr="00F44E7A" w14:paraId="579686B2" w14:textId="77777777" w:rsidTr="00137AE1">
        <w:trPr>
          <w:trHeight w:val="329"/>
          <w:tblHeader/>
        </w:trPr>
        <w:tc>
          <w:tcPr>
            <w:tcW w:w="2660" w:type="dxa"/>
            <w:shd w:val="clear" w:color="auto" w:fill="B8CCE4" w:themeFill="accent1" w:themeFillTint="66"/>
            <w:noWrap/>
            <w:hideMark/>
          </w:tcPr>
          <w:p w14:paraId="0E8203F1" w14:textId="77777777" w:rsidR="004B00EC" w:rsidRPr="00F44E7A" w:rsidRDefault="004B00EC" w:rsidP="00CE2FDF">
            <w:pPr>
              <w:keepNext/>
              <w:spacing w:before="0" w:line="276" w:lineRule="auto"/>
              <w:jc w:val="center"/>
              <w:rPr>
                <w:rFonts w:eastAsia="Times New Roman" w:cs="Arial"/>
                <w:b/>
                <w:lang w:eastAsia="en-AU"/>
              </w:rPr>
            </w:pPr>
          </w:p>
        </w:tc>
        <w:tc>
          <w:tcPr>
            <w:tcW w:w="2353" w:type="dxa"/>
            <w:gridSpan w:val="2"/>
            <w:shd w:val="clear" w:color="auto" w:fill="B8CCE4" w:themeFill="accent1" w:themeFillTint="66"/>
            <w:noWrap/>
            <w:hideMark/>
          </w:tcPr>
          <w:p w14:paraId="2CDDFE48" w14:textId="77777777" w:rsidR="004B00EC" w:rsidRPr="00F44E7A" w:rsidRDefault="004B00EC"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5B70DFCE" w14:textId="77777777" w:rsidR="004B00EC" w:rsidRPr="00F44E7A" w:rsidRDefault="004B00EC"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1446BEE6" w14:textId="77777777" w:rsidR="004B00EC" w:rsidRPr="00F44E7A" w:rsidRDefault="004B00EC"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791647F5" w14:textId="77777777" w:rsidR="004B00EC" w:rsidRPr="00F44E7A" w:rsidRDefault="004B00EC"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66D36A01" w14:textId="77777777" w:rsidR="004B00EC" w:rsidRPr="00F44E7A" w:rsidRDefault="004B00EC"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4B00EC" w:rsidRPr="00F44E7A" w14:paraId="7B21D894" w14:textId="77777777" w:rsidTr="00137AE1">
        <w:trPr>
          <w:trHeight w:val="264"/>
          <w:tblHeader/>
        </w:trPr>
        <w:tc>
          <w:tcPr>
            <w:tcW w:w="2660" w:type="dxa"/>
            <w:shd w:val="clear" w:color="auto" w:fill="B8CCE4" w:themeFill="accent1" w:themeFillTint="66"/>
            <w:noWrap/>
            <w:hideMark/>
          </w:tcPr>
          <w:p w14:paraId="44BA4ECE" w14:textId="77777777" w:rsidR="004B00EC" w:rsidRPr="00F44E7A" w:rsidRDefault="004B00EC" w:rsidP="00CE2FDF">
            <w:pPr>
              <w:keepNext/>
              <w:spacing w:before="0" w:line="276"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3A6DFD24"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289532C9"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7ECA014A"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26A05D89"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713108BD"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01292ECE"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23F536EE"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114914BE"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3BAD788E"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08F6B246"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4B00EC" w:rsidRPr="003324F1" w14:paraId="4C0A9912" w14:textId="77777777" w:rsidTr="00F2448E">
        <w:trPr>
          <w:trHeight w:val="276"/>
        </w:trPr>
        <w:tc>
          <w:tcPr>
            <w:tcW w:w="2660" w:type="dxa"/>
            <w:noWrap/>
            <w:hideMark/>
          </w:tcPr>
          <w:p w14:paraId="5C7EABF6" w14:textId="77777777" w:rsidR="004B00EC" w:rsidRPr="00F44E7A" w:rsidRDefault="004B00EC"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1176" w:type="dxa"/>
            <w:tcBorders>
              <w:right w:val="nil"/>
            </w:tcBorders>
            <w:noWrap/>
            <w:vAlign w:val="center"/>
          </w:tcPr>
          <w:p w14:paraId="0297E28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557</w:t>
            </w:r>
          </w:p>
        </w:tc>
        <w:tc>
          <w:tcPr>
            <w:tcW w:w="1177" w:type="dxa"/>
            <w:tcBorders>
              <w:left w:val="nil"/>
            </w:tcBorders>
            <w:vAlign w:val="center"/>
          </w:tcPr>
          <w:p w14:paraId="17D8EBB8"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546</w:t>
            </w:r>
          </w:p>
        </w:tc>
        <w:tc>
          <w:tcPr>
            <w:tcW w:w="1176" w:type="dxa"/>
            <w:tcBorders>
              <w:right w:val="nil"/>
            </w:tcBorders>
            <w:noWrap/>
            <w:vAlign w:val="center"/>
          </w:tcPr>
          <w:p w14:paraId="77D7B38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324</w:t>
            </w:r>
          </w:p>
        </w:tc>
        <w:tc>
          <w:tcPr>
            <w:tcW w:w="1177" w:type="dxa"/>
            <w:tcBorders>
              <w:left w:val="nil"/>
            </w:tcBorders>
            <w:vAlign w:val="center"/>
          </w:tcPr>
          <w:p w14:paraId="29104AE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324</w:t>
            </w:r>
          </w:p>
        </w:tc>
        <w:tc>
          <w:tcPr>
            <w:tcW w:w="1177" w:type="dxa"/>
            <w:tcBorders>
              <w:right w:val="nil"/>
            </w:tcBorders>
            <w:noWrap/>
            <w:vAlign w:val="center"/>
          </w:tcPr>
          <w:p w14:paraId="7115F3DA"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210</w:t>
            </w:r>
          </w:p>
        </w:tc>
        <w:tc>
          <w:tcPr>
            <w:tcW w:w="1176" w:type="dxa"/>
            <w:tcBorders>
              <w:left w:val="nil"/>
            </w:tcBorders>
            <w:vAlign w:val="center"/>
          </w:tcPr>
          <w:p w14:paraId="7238E90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210</w:t>
            </w:r>
          </w:p>
        </w:tc>
        <w:tc>
          <w:tcPr>
            <w:tcW w:w="1177" w:type="dxa"/>
            <w:tcBorders>
              <w:right w:val="nil"/>
            </w:tcBorders>
            <w:noWrap/>
            <w:vAlign w:val="center"/>
          </w:tcPr>
          <w:p w14:paraId="0C50B50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114</w:t>
            </w:r>
          </w:p>
        </w:tc>
        <w:tc>
          <w:tcPr>
            <w:tcW w:w="1176" w:type="dxa"/>
            <w:tcBorders>
              <w:left w:val="nil"/>
            </w:tcBorders>
            <w:vAlign w:val="center"/>
          </w:tcPr>
          <w:p w14:paraId="0F3E387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114</w:t>
            </w:r>
          </w:p>
        </w:tc>
        <w:tc>
          <w:tcPr>
            <w:tcW w:w="1177" w:type="dxa"/>
            <w:tcBorders>
              <w:right w:val="nil"/>
            </w:tcBorders>
            <w:noWrap/>
            <w:vAlign w:val="center"/>
          </w:tcPr>
          <w:p w14:paraId="610831E6"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881</w:t>
            </w:r>
          </w:p>
        </w:tc>
        <w:tc>
          <w:tcPr>
            <w:tcW w:w="1177" w:type="dxa"/>
            <w:tcBorders>
              <w:left w:val="nil"/>
            </w:tcBorders>
            <w:vAlign w:val="center"/>
          </w:tcPr>
          <w:p w14:paraId="126F1F25"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864</w:t>
            </w:r>
          </w:p>
        </w:tc>
      </w:tr>
      <w:tr w:rsidR="004B00EC" w:rsidRPr="003324F1" w14:paraId="129B9528" w14:textId="77777777" w:rsidTr="00F2448E">
        <w:trPr>
          <w:trHeight w:val="276"/>
        </w:trPr>
        <w:tc>
          <w:tcPr>
            <w:tcW w:w="2660" w:type="dxa"/>
            <w:shd w:val="clear" w:color="auto" w:fill="DBE5F1" w:themeFill="accent1" w:themeFillTint="33"/>
            <w:noWrap/>
            <w:hideMark/>
          </w:tcPr>
          <w:p w14:paraId="4D9F1E15" w14:textId="77777777" w:rsidR="004B00EC" w:rsidRPr="00F44E7A" w:rsidRDefault="004B00EC"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6C51DD9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747</w:t>
            </w:r>
          </w:p>
        </w:tc>
        <w:tc>
          <w:tcPr>
            <w:tcW w:w="1177" w:type="dxa"/>
            <w:tcBorders>
              <w:left w:val="nil"/>
            </w:tcBorders>
            <w:shd w:val="clear" w:color="auto" w:fill="DBE5F1" w:themeFill="accent1" w:themeFillTint="33"/>
            <w:vAlign w:val="center"/>
          </w:tcPr>
          <w:p w14:paraId="1BAF2BD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729</w:t>
            </w:r>
          </w:p>
        </w:tc>
        <w:tc>
          <w:tcPr>
            <w:tcW w:w="1176" w:type="dxa"/>
            <w:tcBorders>
              <w:right w:val="nil"/>
            </w:tcBorders>
            <w:shd w:val="clear" w:color="auto" w:fill="DBE5F1" w:themeFill="accent1" w:themeFillTint="33"/>
            <w:noWrap/>
            <w:vAlign w:val="center"/>
          </w:tcPr>
          <w:p w14:paraId="2A31E1A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609</w:t>
            </w:r>
          </w:p>
        </w:tc>
        <w:tc>
          <w:tcPr>
            <w:tcW w:w="1177" w:type="dxa"/>
            <w:tcBorders>
              <w:left w:val="nil"/>
            </w:tcBorders>
            <w:shd w:val="clear" w:color="auto" w:fill="DBE5F1" w:themeFill="accent1" w:themeFillTint="33"/>
            <w:vAlign w:val="center"/>
          </w:tcPr>
          <w:p w14:paraId="56AA718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602</w:t>
            </w:r>
          </w:p>
        </w:tc>
        <w:tc>
          <w:tcPr>
            <w:tcW w:w="1177" w:type="dxa"/>
            <w:tcBorders>
              <w:right w:val="nil"/>
            </w:tcBorders>
            <w:shd w:val="clear" w:color="auto" w:fill="DBE5F1" w:themeFill="accent1" w:themeFillTint="33"/>
            <w:noWrap/>
            <w:vAlign w:val="center"/>
          </w:tcPr>
          <w:p w14:paraId="63D201D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450</w:t>
            </w:r>
          </w:p>
        </w:tc>
        <w:tc>
          <w:tcPr>
            <w:tcW w:w="1176" w:type="dxa"/>
            <w:tcBorders>
              <w:left w:val="nil"/>
            </w:tcBorders>
            <w:shd w:val="clear" w:color="auto" w:fill="DBE5F1" w:themeFill="accent1" w:themeFillTint="33"/>
            <w:vAlign w:val="center"/>
          </w:tcPr>
          <w:p w14:paraId="0A9C642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446</w:t>
            </w:r>
          </w:p>
        </w:tc>
        <w:tc>
          <w:tcPr>
            <w:tcW w:w="1177" w:type="dxa"/>
            <w:tcBorders>
              <w:right w:val="nil"/>
            </w:tcBorders>
            <w:shd w:val="clear" w:color="auto" w:fill="DBE5F1" w:themeFill="accent1" w:themeFillTint="33"/>
            <w:noWrap/>
            <w:vAlign w:val="center"/>
          </w:tcPr>
          <w:p w14:paraId="2CB9F81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159</w:t>
            </w:r>
          </w:p>
        </w:tc>
        <w:tc>
          <w:tcPr>
            <w:tcW w:w="1176" w:type="dxa"/>
            <w:tcBorders>
              <w:left w:val="nil"/>
            </w:tcBorders>
            <w:shd w:val="clear" w:color="auto" w:fill="DBE5F1" w:themeFill="accent1" w:themeFillTint="33"/>
            <w:vAlign w:val="center"/>
          </w:tcPr>
          <w:p w14:paraId="75705E3A"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159</w:t>
            </w:r>
          </w:p>
        </w:tc>
        <w:tc>
          <w:tcPr>
            <w:tcW w:w="1177" w:type="dxa"/>
            <w:tcBorders>
              <w:right w:val="nil"/>
            </w:tcBorders>
            <w:shd w:val="clear" w:color="auto" w:fill="DBE5F1" w:themeFill="accent1" w:themeFillTint="33"/>
            <w:noWrap/>
            <w:vAlign w:val="center"/>
          </w:tcPr>
          <w:p w14:paraId="72DBD446"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356</w:t>
            </w:r>
          </w:p>
        </w:tc>
        <w:tc>
          <w:tcPr>
            <w:tcW w:w="1177" w:type="dxa"/>
            <w:tcBorders>
              <w:left w:val="nil"/>
            </w:tcBorders>
            <w:shd w:val="clear" w:color="auto" w:fill="DBE5F1" w:themeFill="accent1" w:themeFillTint="33"/>
            <w:vAlign w:val="center"/>
          </w:tcPr>
          <w:p w14:paraId="766B6F59"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313</w:t>
            </w:r>
          </w:p>
        </w:tc>
      </w:tr>
      <w:tr w:rsidR="004B00EC" w:rsidRPr="003324F1" w14:paraId="77409DAA" w14:textId="77777777" w:rsidTr="00F2448E">
        <w:trPr>
          <w:trHeight w:val="276"/>
        </w:trPr>
        <w:tc>
          <w:tcPr>
            <w:tcW w:w="2660" w:type="dxa"/>
            <w:noWrap/>
            <w:hideMark/>
          </w:tcPr>
          <w:p w14:paraId="75B5E1B1" w14:textId="77777777" w:rsidR="004B00EC" w:rsidRPr="00F44E7A" w:rsidRDefault="004B00EC" w:rsidP="00CE2FDF">
            <w:pPr>
              <w:spacing w:before="0" w:line="276"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noWrap/>
            <w:vAlign w:val="center"/>
          </w:tcPr>
          <w:p w14:paraId="5DA02C0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609</w:t>
            </w:r>
          </w:p>
        </w:tc>
        <w:tc>
          <w:tcPr>
            <w:tcW w:w="1177" w:type="dxa"/>
            <w:tcBorders>
              <w:left w:val="nil"/>
            </w:tcBorders>
            <w:vAlign w:val="center"/>
          </w:tcPr>
          <w:p w14:paraId="64C6C62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387</w:t>
            </w:r>
          </w:p>
        </w:tc>
        <w:tc>
          <w:tcPr>
            <w:tcW w:w="1176" w:type="dxa"/>
            <w:tcBorders>
              <w:right w:val="nil"/>
            </w:tcBorders>
            <w:noWrap/>
            <w:vAlign w:val="center"/>
          </w:tcPr>
          <w:p w14:paraId="38AD122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435</w:t>
            </w:r>
          </w:p>
        </w:tc>
        <w:tc>
          <w:tcPr>
            <w:tcW w:w="1177" w:type="dxa"/>
            <w:tcBorders>
              <w:left w:val="nil"/>
            </w:tcBorders>
            <w:vAlign w:val="center"/>
          </w:tcPr>
          <w:p w14:paraId="629D196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374</w:t>
            </w:r>
          </w:p>
        </w:tc>
        <w:tc>
          <w:tcPr>
            <w:tcW w:w="1177" w:type="dxa"/>
            <w:tcBorders>
              <w:right w:val="nil"/>
            </w:tcBorders>
            <w:noWrap/>
            <w:vAlign w:val="center"/>
          </w:tcPr>
          <w:p w14:paraId="3FE59FE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847</w:t>
            </w:r>
          </w:p>
        </w:tc>
        <w:tc>
          <w:tcPr>
            <w:tcW w:w="1176" w:type="dxa"/>
            <w:tcBorders>
              <w:left w:val="nil"/>
            </w:tcBorders>
            <w:vAlign w:val="center"/>
          </w:tcPr>
          <w:p w14:paraId="6735107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807</w:t>
            </w:r>
          </w:p>
        </w:tc>
        <w:tc>
          <w:tcPr>
            <w:tcW w:w="1177" w:type="dxa"/>
            <w:tcBorders>
              <w:right w:val="nil"/>
            </w:tcBorders>
            <w:noWrap/>
            <w:vAlign w:val="center"/>
          </w:tcPr>
          <w:p w14:paraId="79C5054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588</w:t>
            </w:r>
          </w:p>
        </w:tc>
        <w:tc>
          <w:tcPr>
            <w:tcW w:w="1176" w:type="dxa"/>
            <w:tcBorders>
              <w:left w:val="nil"/>
            </w:tcBorders>
            <w:vAlign w:val="center"/>
          </w:tcPr>
          <w:p w14:paraId="1669995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583</w:t>
            </w:r>
          </w:p>
        </w:tc>
        <w:tc>
          <w:tcPr>
            <w:tcW w:w="1177" w:type="dxa"/>
            <w:tcBorders>
              <w:right w:val="nil"/>
            </w:tcBorders>
            <w:noWrap/>
            <w:vAlign w:val="center"/>
          </w:tcPr>
          <w:p w14:paraId="6C2D73C0"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044</w:t>
            </w:r>
          </w:p>
        </w:tc>
        <w:tc>
          <w:tcPr>
            <w:tcW w:w="1177" w:type="dxa"/>
            <w:tcBorders>
              <w:left w:val="nil"/>
            </w:tcBorders>
            <w:vAlign w:val="center"/>
          </w:tcPr>
          <w:p w14:paraId="26BE8D54"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558</w:t>
            </w:r>
          </w:p>
        </w:tc>
      </w:tr>
      <w:tr w:rsidR="004B00EC" w:rsidRPr="003324F1" w14:paraId="7095D2C3" w14:textId="77777777" w:rsidTr="00F2448E">
        <w:trPr>
          <w:trHeight w:val="276"/>
        </w:trPr>
        <w:tc>
          <w:tcPr>
            <w:tcW w:w="2660" w:type="dxa"/>
            <w:shd w:val="clear" w:color="auto" w:fill="DBE5F1" w:themeFill="accent1" w:themeFillTint="33"/>
            <w:noWrap/>
            <w:hideMark/>
          </w:tcPr>
          <w:p w14:paraId="04ED6DE9"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DBE5F1" w:themeFill="accent1" w:themeFillTint="33"/>
            <w:noWrap/>
            <w:vAlign w:val="center"/>
          </w:tcPr>
          <w:p w14:paraId="239E2D88"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394</w:t>
            </w:r>
          </w:p>
        </w:tc>
        <w:tc>
          <w:tcPr>
            <w:tcW w:w="1177" w:type="dxa"/>
            <w:tcBorders>
              <w:left w:val="nil"/>
            </w:tcBorders>
            <w:shd w:val="clear" w:color="auto" w:fill="DBE5F1" w:themeFill="accent1" w:themeFillTint="33"/>
            <w:vAlign w:val="center"/>
          </w:tcPr>
          <w:p w14:paraId="0645827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269</w:t>
            </w:r>
          </w:p>
        </w:tc>
        <w:tc>
          <w:tcPr>
            <w:tcW w:w="1176" w:type="dxa"/>
            <w:tcBorders>
              <w:right w:val="nil"/>
            </w:tcBorders>
            <w:shd w:val="clear" w:color="auto" w:fill="DBE5F1" w:themeFill="accent1" w:themeFillTint="33"/>
            <w:noWrap/>
            <w:vAlign w:val="center"/>
          </w:tcPr>
          <w:p w14:paraId="33ABC53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138</w:t>
            </w:r>
          </w:p>
        </w:tc>
        <w:tc>
          <w:tcPr>
            <w:tcW w:w="1177" w:type="dxa"/>
            <w:tcBorders>
              <w:left w:val="nil"/>
            </w:tcBorders>
            <w:shd w:val="clear" w:color="auto" w:fill="DBE5F1" w:themeFill="accent1" w:themeFillTint="33"/>
            <w:vAlign w:val="center"/>
          </w:tcPr>
          <w:p w14:paraId="5FB96D4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123</w:t>
            </w:r>
          </w:p>
        </w:tc>
        <w:tc>
          <w:tcPr>
            <w:tcW w:w="1177" w:type="dxa"/>
            <w:tcBorders>
              <w:right w:val="nil"/>
            </w:tcBorders>
            <w:shd w:val="clear" w:color="auto" w:fill="DBE5F1" w:themeFill="accent1" w:themeFillTint="33"/>
            <w:noWrap/>
            <w:vAlign w:val="center"/>
          </w:tcPr>
          <w:p w14:paraId="67A118C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718</w:t>
            </w:r>
          </w:p>
        </w:tc>
        <w:tc>
          <w:tcPr>
            <w:tcW w:w="1176" w:type="dxa"/>
            <w:tcBorders>
              <w:left w:val="nil"/>
            </w:tcBorders>
            <w:shd w:val="clear" w:color="auto" w:fill="DBE5F1" w:themeFill="accent1" w:themeFillTint="33"/>
            <w:vAlign w:val="center"/>
          </w:tcPr>
          <w:p w14:paraId="2A404CA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714</w:t>
            </w:r>
          </w:p>
        </w:tc>
        <w:tc>
          <w:tcPr>
            <w:tcW w:w="1177" w:type="dxa"/>
            <w:tcBorders>
              <w:right w:val="nil"/>
            </w:tcBorders>
            <w:shd w:val="clear" w:color="auto" w:fill="DBE5F1" w:themeFill="accent1" w:themeFillTint="33"/>
            <w:noWrap/>
            <w:vAlign w:val="center"/>
          </w:tcPr>
          <w:p w14:paraId="7FCA868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420</w:t>
            </w:r>
          </w:p>
        </w:tc>
        <w:tc>
          <w:tcPr>
            <w:tcW w:w="1176" w:type="dxa"/>
            <w:tcBorders>
              <w:left w:val="nil"/>
            </w:tcBorders>
            <w:shd w:val="clear" w:color="auto" w:fill="DBE5F1" w:themeFill="accent1" w:themeFillTint="33"/>
            <w:vAlign w:val="center"/>
          </w:tcPr>
          <w:p w14:paraId="1796CDC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416</w:t>
            </w:r>
          </w:p>
        </w:tc>
        <w:tc>
          <w:tcPr>
            <w:tcW w:w="1177" w:type="dxa"/>
            <w:tcBorders>
              <w:right w:val="nil"/>
            </w:tcBorders>
            <w:shd w:val="clear" w:color="auto" w:fill="DBE5F1" w:themeFill="accent1" w:themeFillTint="33"/>
            <w:noWrap/>
            <w:vAlign w:val="center"/>
          </w:tcPr>
          <w:p w14:paraId="0F61B0CD"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532</w:t>
            </w:r>
          </w:p>
        </w:tc>
        <w:tc>
          <w:tcPr>
            <w:tcW w:w="1177" w:type="dxa"/>
            <w:tcBorders>
              <w:left w:val="nil"/>
            </w:tcBorders>
            <w:shd w:val="clear" w:color="auto" w:fill="DBE5F1" w:themeFill="accent1" w:themeFillTint="33"/>
            <w:vAlign w:val="center"/>
          </w:tcPr>
          <w:p w14:paraId="31C869F6"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312</w:t>
            </w:r>
          </w:p>
        </w:tc>
      </w:tr>
      <w:tr w:rsidR="004B00EC" w:rsidRPr="003324F1" w14:paraId="57972A05" w14:textId="77777777" w:rsidTr="00F2448E">
        <w:trPr>
          <w:trHeight w:val="276"/>
        </w:trPr>
        <w:tc>
          <w:tcPr>
            <w:tcW w:w="2660" w:type="dxa"/>
            <w:shd w:val="clear" w:color="auto" w:fill="auto"/>
            <w:noWrap/>
            <w:hideMark/>
          </w:tcPr>
          <w:p w14:paraId="3EC37F39"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Psychiatrists</w:t>
            </w:r>
          </w:p>
        </w:tc>
        <w:tc>
          <w:tcPr>
            <w:tcW w:w="1176" w:type="dxa"/>
            <w:tcBorders>
              <w:right w:val="nil"/>
            </w:tcBorders>
            <w:shd w:val="clear" w:color="auto" w:fill="auto"/>
            <w:noWrap/>
            <w:vAlign w:val="center"/>
          </w:tcPr>
          <w:p w14:paraId="6CF4754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93</w:t>
            </w:r>
          </w:p>
        </w:tc>
        <w:tc>
          <w:tcPr>
            <w:tcW w:w="1177" w:type="dxa"/>
            <w:tcBorders>
              <w:left w:val="nil"/>
            </w:tcBorders>
            <w:shd w:val="clear" w:color="auto" w:fill="auto"/>
            <w:vAlign w:val="center"/>
          </w:tcPr>
          <w:p w14:paraId="7943771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93</w:t>
            </w:r>
          </w:p>
        </w:tc>
        <w:tc>
          <w:tcPr>
            <w:tcW w:w="1176" w:type="dxa"/>
            <w:tcBorders>
              <w:right w:val="nil"/>
            </w:tcBorders>
            <w:shd w:val="clear" w:color="auto" w:fill="auto"/>
            <w:noWrap/>
            <w:vAlign w:val="center"/>
          </w:tcPr>
          <w:p w14:paraId="2C3C68A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42</w:t>
            </w:r>
          </w:p>
        </w:tc>
        <w:tc>
          <w:tcPr>
            <w:tcW w:w="1177" w:type="dxa"/>
            <w:tcBorders>
              <w:left w:val="nil"/>
            </w:tcBorders>
            <w:shd w:val="clear" w:color="auto" w:fill="auto"/>
            <w:vAlign w:val="center"/>
          </w:tcPr>
          <w:p w14:paraId="24868FA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42</w:t>
            </w:r>
          </w:p>
        </w:tc>
        <w:tc>
          <w:tcPr>
            <w:tcW w:w="1177" w:type="dxa"/>
            <w:tcBorders>
              <w:right w:val="nil"/>
            </w:tcBorders>
            <w:shd w:val="clear" w:color="auto" w:fill="auto"/>
            <w:noWrap/>
            <w:vAlign w:val="center"/>
          </w:tcPr>
          <w:p w14:paraId="5942B99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29</w:t>
            </w:r>
          </w:p>
        </w:tc>
        <w:tc>
          <w:tcPr>
            <w:tcW w:w="1176" w:type="dxa"/>
            <w:tcBorders>
              <w:left w:val="nil"/>
            </w:tcBorders>
            <w:shd w:val="clear" w:color="auto" w:fill="auto"/>
            <w:vAlign w:val="center"/>
          </w:tcPr>
          <w:p w14:paraId="6FD786B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29</w:t>
            </w:r>
          </w:p>
        </w:tc>
        <w:tc>
          <w:tcPr>
            <w:tcW w:w="1177" w:type="dxa"/>
            <w:tcBorders>
              <w:right w:val="nil"/>
            </w:tcBorders>
            <w:shd w:val="clear" w:color="auto" w:fill="auto"/>
            <w:noWrap/>
            <w:vAlign w:val="center"/>
          </w:tcPr>
          <w:p w14:paraId="3A58DE2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13</w:t>
            </w:r>
          </w:p>
        </w:tc>
        <w:tc>
          <w:tcPr>
            <w:tcW w:w="1176" w:type="dxa"/>
            <w:tcBorders>
              <w:left w:val="nil"/>
            </w:tcBorders>
            <w:shd w:val="clear" w:color="auto" w:fill="auto"/>
            <w:vAlign w:val="center"/>
          </w:tcPr>
          <w:p w14:paraId="7E500BD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13</w:t>
            </w:r>
          </w:p>
        </w:tc>
        <w:tc>
          <w:tcPr>
            <w:tcW w:w="1177" w:type="dxa"/>
            <w:tcBorders>
              <w:right w:val="nil"/>
            </w:tcBorders>
            <w:shd w:val="clear" w:color="auto" w:fill="auto"/>
            <w:noWrap/>
            <w:vAlign w:val="center"/>
          </w:tcPr>
          <w:p w14:paraId="5FE2E004"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135</w:t>
            </w:r>
          </w:p>
        </w:tc>
        <w:tc>
          <w:tcPr>
            <w:tcW w:w="1177" w:type="dxa"/>
            <w:tcBorders>
              <w:left w:val="nil"/>
            </w:tcBorders>
            <w:shd w:val="clear" w:color="auto" w:fill="auto"/>
            <w:vAlign w:val="center"/>
          </w:tcPr>
          <w:p w14:paraId="1DB8DA30"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134</w:t>
            </w:r>
          </w:p>
        </w:tc>
      </w:tr>
      <w:tr w:rsidR="004B00EC" w:rsidRPr="003324F1" w14:paraId="5BBA0922" w14:textId="77777777" w:rsidTr="00F2448E">
        <w:trPr>
          <w:trHeight w:val="276"/>
        </w:trPr>
        <w:tc>
          <w:tcPr>
            <w:tcW w:w="2660" w:type="dxa"/>
            <w:shd w:val="clear" w:color="auto" w:fill="DBE5F1" w:themeFill="accent1" w:themeFillTint="33"/>
            <w:noWrap/>
            <w:hideMark/>
          </w:tcPr>
          <w:p w14:paraId="5D33DFB3"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176" w:type="dxa"/>
            <w:tcBorders>
              <w:right w:val="nil"/>
            </w:tcBorders>
            <w:shd w:val="clear" w:color="auto" w:fill="DBE5F1" w:themeFill="accent1" w:themeFillTint="33"/>
            <w:noWrap/>
            <w:vAlign w:val="center"/>
          </w:tcPr>
          <w:p w14:paraId="2A19C6B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8</w:t>
            </w:r>
            <w:r>
              <w:rPr>
                <w:rFonts w:eastAsia="Times New Roman" w:cs="Arial"/>
                <w:lang w:eastAsia="en-AU"/>
              </w:rPr>
              <w:t>,</w:t>
            </w:r>
            <w:r w:rsidRPr="00676396">
              <w:rPr>
                <w:rFonts w:eastAsia="Times New Roman" w:cs="Arial"/>
                <w:lang w:eastAsia="en-AU"/>
              </w:rPr>
              <w:t>400</w:t>
            </w:r>
          </w:p>
        </w:tc>
        <w:tc>
          <w:tcPr>
            <w:tcW w:w="1177" w:type="dxa"/>
            <w:tcBorders>
              <w:left w:val="nil"/>
            </w:tcBorders>
            <w:shd w:val="clear" w:color="auto" w:fill="DBE5F1" w:themeFill="accent1" w:themeFillTint="33"/>
            <w:vAlign w:val="center"/>
          </w:tcPr>
          <w:p w14:paraId="39E961E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821</w:t>
            </w:r>
          </w:p>
        </w:tc>
        <w:tc>
          <w:tcPr>
            <w:tcW w:w="1176" w:type="dxa"/>
            <w:tcBorders>
              <w:right w:val="nil"/>
            </w:tcBorders>
            <w:shd w:val="clear" w:color="auto" w:fill="DBE5F1" w:themeFill="accent1" w:themeFillTint="33"/>
            <w:noWrap/>
            <w:vAlign w:val="center"/>
          </w:tcPr>
          <w:p w14:paraId="495CB0D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548</w:t>
            </w:r>
          </w:p>
        </w:tc>
        <w:tc>
          <w:tcPr>
            <w:tcW w:w="1177" w:type="dxa"/>
            <w:tcBorders>
              <w:left w:val="nil"/>
            </w:tcBorders>
            <w:shd w:val="clear" w:color="auto" w:fill="DBE5F1" w:themeFill="accent1" w:themeFillTint="33"/>
            <w:vAlign w:val="center"/>
          </w:tcPr>
          <w:p w14:paraId="03F8A8C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421</w:t>
            </w:r>
          </w:p>
        </w:tc>
        <w:tc>
          <w:tcPr>
            <w:tcW w:w="1177" w:type="dxa"/>
            <w:tcBorders>
              <w:right w:val="nil"/>
            </w:tcBorders>
            <w:shd w:val="clear" w:color="auto" w:fill="DBE5F1" w:themeFill="accent1" w:themeFillTint="33"/>
            <w:noWrap/>
            <w:vAlign w:val="center"/>
          </w:tcPr>
          <w:p w14:paraId="756FCC7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254</w:t>
            </w:r>
          </w:p>
        </w:tc>
        <w:tc>
          <w:tcPr>
            <w:tcW w:w="1176" w:type="dxa"/>
            <w:tcBorders>
              <w:left w:val="nil"/>
            </w:tcBorders>
            <w:shd w:val="clear" w:color="auto" w:fill="DBE5F1" w:themeFill="accent1" w:themeFillTint="33"/>
            <w:vAlign w:val="center"/>
          </w:tcPr>
          <w:p w14:paraId="5D0483F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190</w:t>
            </w:r>
          </w:p>
        </w:tc>
        <w:tc>
          <w:tcPr>
            <w:tcW w:w="1177" w:type="dxa"/>
            <w:tcBorders>
              <w:right w:val="nil"/>
            </w:tcBorders>
            <w:shd w:val="clear" w:color="auto" w:fill="DBE5F1" w:themeFill="accent1" w:themeFillTint="33"/>
            <w:noWrap/>
            <w:vAlign w:val="center"/>
          </w:tcPr>
          <w:p w14:paraId="1148841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294</w:t>
            </w:r>
          </w:p>
        </w:tc>
        <w:tc>
          <w:tcPr>
            <w:tcW w:w="1176" w:type="dxa"/>
            <w:tcBorders>
              <w:left w:val="nil"/>
            </w:tcBorders>
            <w:shd w:val="clear" w:color="auto" w:fill="DBE5F1" w:themeFill="accent1" w:themeFillTint="33"/>
            <w:vAlign w:val="center"/>
          </w:tcPr>
          <w:p w14:paraId="2601020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281</w:t>
            </w:r>
          </w:p>
        </w:tc>
        <w:tc>
          <w:tcPr>
            <w:tcW w:w="1177" w:type="dxa"/>
            <w:tcBorders>
              <w:right w:val="nil"/>
            </w:tcBorders>
            <w:shd w:val="clear" w:color="auto" w:fill="DBE5F1" w:themeFill="accent1" w:themeFillTint="33"/>
            <w:noWrap/>
            <w:vAlign w:val="center"/>
          </w:tcPr>
          <w:p w14:paraId="0FB7E146"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12</w:t>
            </w:r>
            <w:r>
              <w:rPr>
                <w:rFonts w:eastAsia="Times New Roman" w:cs="Arial"/>
                <w:b/>
                <w:lang w:eastAsia="en-AU"/>
              </w:rPr>
              <w:t>,</w:t>
            </w:r>
            <w:r w:rsidRPr="00676396">
              <w:rPr>
                <w:rFonts w:eastAsia="Times New Roman" w:cs="Arial"/>
                <w:b/>
                <w:lang w:eastAsia="en-AU"/>
              </w:rPr>
              <w:t>948</w:t>
            </w:r>
          </w:p>
        </w:tc>
        <w:tc>
          <w:tcPr>
            <w:tcW w:w="1177" w:type="dxa"/>
            <w:tcBorders>
              <w:left w:val="nil"/>
            </w:tcBorders>
            <w:shd w:val="clear" w:color="auto" w:fill="DBE5F1" w:themeFill="accent1" w:themeFillTint="33"/>
            <w:vAlign w:val="center"/>
          </w:tcPr>
          <w:p w14:paraId="1C49F148"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768</w:t>
            </w:r>
          </w:p>
        </w:tc>
      </w:tr>
      <w:tr w:rsidR="004B00EC" w:rsidRPr="003324F1" w14:paraId="1E3660F6" w14:textId="77777777" w:rsidTr="00F2448E">
        <w:trPr>
          <w:trHeight w:val="276"/>
        </w:trPr>
        <w:tc>
          <w:tcPr>
            <w:tcW w:w="2660" w:type="dxa"/>
            <w:shd w:val="clear" w:color="auto" w:fill="auto"/>
            <w:noWrap/>
            <w:hideMark/>
          </w:tcPr>
          <w:p w14:paraId="0AFD3D1D"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1176" w:type="dxa"/>
            <w:tcBorders>
              <w:right w:val="nil"/>
            </w:tcBorders>
            <w:shd w:val="clear" w:color="auto" w:fill="auto"/>
            <w:noWrap/>
            <w:vAlign w:val="center"/>
          </w:tcPr>
          <w:p w14:paraId="301E3A4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16</w:t>
            </w:r>
            <w:r>
              <w:rPr>
                <w:rFonts w:eastAsia="Times New Roman" w:cs="Arial"/>
                <w:lang w:eastAsia="en-AU"/>
              </w:rPr>
              <w:t>,</w:t>
            </w:r>
            <w:r w:rsidRPr="00676396">
              <w:rPr>
                <w:rFonts w:eastAsia="Times New Roman" w:cs="Arial"/>
                <w:lang w:eastAsia="en-AU"/>
              </w:rPr>
              <w:t>917</w:t>
            </w:r>
          </w:p>
        </w:tc>
        <w:tc>
          <w:tcPr>
            <w:tcW w:w="1177" w:type="dxa"/>
            <w:tcBorders>
              <w:left w:val="nil"/>
            </w:tcBorders>
            <w:shd w:val="clear" w:color="auto" w:fill="auto"/>
            <w:vAlign w:val="center"/>
          </w:tcPr>
          <w:p w14:paraId="12ADBCB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14</w:t>
            </w:r>
            <w:r>
              <w:rPr>
                <w:rFonts w:eastAsia="Times New Roman" w:cs="Arial"/>
                <w:lang w:eastAsia="en-AU"/>
              </w:rPr>
              <w:t>,</w:t>
            </w:r>
            <w:r w:rsidRPr="00676396">
              <w:rPr>
                <w:rFonts w:eastAsia="Times New Roman" w:cs="Arial"/>
                <w:lang w:eastAsia="en-AU"/>
              </w:rPr>
              <w:t>085</w:t>
            </w:r>
          </w:p>
        </w:tc>
        <w:tc>
          <w:tcPr>
            <w:tcW w:w="1176" w:type="dxa"/>
            <w:tcBorders>
              <w:right w:val="nil"/>
            </w:tcBorders>
            <w:shd w:val="clear" w:color="auto" w:fill="auto"/>
            <w:noWrap/>
            <w:vAlign w:val="center"/>
          </w:tcPr>
          <w:p w14:paraId="2E2D579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792</w:t>
            </w:r>
          </w:p>
        </w:tc>
        <w:tc>
          <w:tcPr>
            <w:tcW w:w="1177" w:type="dxa"/>
            <w:tcBorders>
              <w:left w:val="nil"/>
            </w:tcBorders>
            <w:shd w:val="clear" w:color="auto" w:fill="auto"/>
            <w:vAlign w:val="center"/>
          </w:tcPr>
          <w:p w14:paraId="1C858AD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447</w:t>
            </w:r>
          </w:p>
        </w:tc>
        <w:tc>
          <w:tcPr>
            <w:tcW w:w="1177" w:type="dxa"/>
            <w:tcBorders>
              <w:right w:val="nil"/>
            </w:tcBorders>
            <w:shd w:val="clear" w:color="auto" w:fill="auto"/>
            <w:noWrap/>
            <w:vAlign w:val="center"/>
          </w:tcPr>
          <w:p w14:paraId="4A2CAEFA"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250</w:t>
            </w:r>
          </w:p>
        </w:tc>
        <w:tc>
          <w:tcPr>
            <w:tcW w:w="1176" w:type="dxa"/>
            <w:tcBorders>
              <w:left w:val="nil"/>
            </w:tcBorders>
            <w:shd w:val="clear" w:color="auto" w:fill="auto"/>
            <w:vAlign w:val="center"/>
          </w:tcPr>
          <w:p w14:paraId="2F41883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143</w:t>
            </w:r>
          </w:p>
        </w:tc>
        <w:tc>
          <w:tcPr>
            <w:tcW w:w="1177" w:type="dxa"/>
            <w:tcBorders>
              <w:right w:val="nil"/>
            </w:tcBorders>
            <w:shd w:val="clear" w:color="auto" w:fill="auto"/>
            <w:noWrap/>
            <w:vAlign w:val="center"/>
          </w:tcPr>
          <w:p w14:paraId="0014305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542</w:t>
            </w:r>
          </w:p>
        </w:tc>
        <w:tc>
          <w:tcPr>
            <w:tcW w:w="1176" w:type="dxa"/>
            <w:tcBorders>
              <w:left w:val="nil"/>
            </w:tcBorders>
            <w:shd w:val="clear" w:color="auto" w:fill="auto"/>
            <w:vAlign w:val="center"/>
          </w:tcPr>
          <w:p w14:paraId="218FBC4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473</w:t>
            </w:r>
          </w:p>
        </w:tc>
        <w:tc>
          <w:tcPr>
            <w:tcW w:w="1177" w:type="dxa"/>
            <w:tcBorders>
              <w:right w:val="nil"/>
            </w:tcBorders>
            <w:shd w:val="clear" w:color="auto" w:fill="auto"/>
            <w:noWrap/>
            <w:vAlign w:val="center"/>
          </w:tcPr>
          <w:p w14:paraId="2236792A"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23</w:t>
            </w:r>
            <w:r>
              <w:rPr>
                <w:rFonts w:eastAsia="Times New Roman" w:cs="Arial"/>
                <w:b/>
                <w:lang w:eastAsia="en-AU"/>
              </w:rPr>
              <w:t>,</w:t>
            </w:r>
            <w:r w:rsidRPr="00676396">
              <w:rPr>
                <w:rFonts w:eastAsia="Times New Roman" w:cs="Arial"/>
                <w:b/>
                <w:lang w:eastAsia="en-AU"/>
              </w:rPr>
              <w:t>709</w:t>
            </w:r>
          </w:p>
        </w:tc>
        <w:tc>
          <w:tcPr>
            <w:tcW w:w="1177" w:type="dxa"/>
            <w:tcBorders>
              <w:left w:val="nil"/>
            </w:tcBorders>
            <w:shd w:val="clear" w:color="auto" w:fill="auto"/>
            <w:vAlign w:val="center"/>
          </w:tcPr>
          <w:p w14:paraId="1ED2F60F"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19</w:t>
            </w:r>
            <w:r>
              <w:rPr>
                <w:rFonts w:eastAsia="Times New Roman" w:cs="Arial"/>
                <w:b/>
                <w:lang w:eastAsia="en-AU"/>
              </w:rPr>
              <w:t>,</w:t>
            </w:r>
            <w:r w:rsidRPr="00676396">
              <w:rPr>
                <w:rFonts w:eastAsia="Times New Roman" w:cs="Arial"/>
                <w:b/>
                <w:lang w:eastAsia="en-AU"/>
              </w:rPr>
              <w:t>022</w:t>
            </w:r>
          </w:p>
        </w:tc>
      </w:tr>
      <w:tr w:rsidR="004B00EC" w:rsidRPr="00FD6E8E" w14:paraId="157EA67A" w14:textId="77777777" w:rsidTr="00F2448E">
        <w:trPr>
          <w:trHeight w:val="276"/>
        </w:trPr>
        <w:tc>
          <w:tcPr>
            <w:tcW w:w="2660" w:type="dxa"/>
            <w:shd w:val="clear" w:color="auto" w:fill="B8CCE4" w:themeFill="accent1" w:themeFillTint="66"/>
            <w:noWrap/>
            <w:hideMark/>
          </w:tcPr>
          <w:p w14:paraId="27328A18" w14:textId="77777777" w:rsidR="004B00EC" w:rsidRPr="00FD6E8E" w:rsidRDefault="004B00EC"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1176" w:type="dxa"/>
            <w:tcBorders>
              <w:right w:val="nil"/>
            </w:tcBorders>
            <w:shd w:val="clear" w:color="auto" w:fill="B8CCE4" w:themeFill="accent1" w:themeFillTint="66"/>
            <w:noWrap/>
            <w:vAlign w:val="center"/>
          </w:tcPr>
          <w:p w14:paraId="58E8948E"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25</w:t>
            </w:r>
            <w:r>
              <w:rPr>
                <w:rFonts w:eastAsia="Times New Roman" w:cs="Arial"/>
                <w:b/>
                <w:lang w:eastAsia="en-AU"/>
              </w:rPr>
              <w:t>,</w:t>
            </w:r>
            <w:r w:rsidRPr="00676396">
              <w:rPr>
                <w:rFonts w:eastAsia="Times New Roman" w:cs="Arial"/>
                <w:b/>
                <w:lang w:eastAsia="en-AU"/>
              </w:rPr>
              <w:t>317</w:t>
            </w:r>
          </w:p>
        </w:tc>
        <w:tc>
          <w:tcPr>
            <w:tcW w:w="1177" w:type="dxa"/>
            <w:tcBorders>
              <w:left w:val="nil"/>
            </w:tcBorders>
            <w:shd w:val="clear" w:color="auto" w:fill="B8CCE4" w:themeFill="accent1" w:themeFillTint="66"/>
            <w:vAlign w:val="center"/>
          </w:tcPr>
          <w:p w14:paraId="6D98039E"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20</w:t>
            </w:r>
            <w:r>
              <w:rPr>
                <w:rFonts w:eastAsia="Times New Roman" w:cs="Arial"/>
                <w:b/>
                <w:lang w:eastAsia="en-AU"/>
              </w:rPr>
              <w:t>,</w:t>
            </w:r>
            <w:r w:rsidRPr="00676396">
              <w:rPr>
                <w:rFonts w:eastAsia="Times New Roman" w:cs="Arial"/>
                <w:b/>
                <w:lang w:eastAsia="en-AU"/>
              </w:rPr>
              <w:t>522</w:t>
            </w:r>
          </w:p>
        </w:tc>
        <w:tc>
          <w:tcPr>
            <w:tcW w:w="1176" w:type="dxa"/>
            <w:tcBorders>
              <w:right w:val="nil"/>
            </w:tcBorders>
            <w:shd w:val="clear" w:color="auto" w:fill="B8CCE4" w:themeFill="accent1" w:themeFillTint="66"/>
            <w:noWrap/>
            <w:vAlign w:val="center"/>
          </w:tcPr>
          <w:p w14:paraId="7BCFC426"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340</w:t>
            </w:r>
          </w:p>
        </w:tc>
        <w:tc>
          <w:tcPr>
            <w:tcW w:w="1177" w:type="dxa"/>
            <w:tcBorders>
              <w:left w:val="nil"/>
            </w:tcBorders>
            <w:shd w:val="clear" w:color="auto" w:fill="B8CCE4" w:themeFill="accent1" w:themeFillTint="66"/>
            <w:vAlign w:val="center"/>
          </w:tcPr>
          <w:p w14:paraId="6CA4DA77"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491</w:t>
            </w:r>
          </w:p>
        </w:tc>
        <w:tc>
          <w:tcPr>
            <w:tcW w:w="1177" w:type="dxa"/>
            <w:tcBorders>
              <w:right w:val="nil"/>
            </w:tcBorders>
            <w:shd w:val="clear" w:color="auto" w:fill="B8CCE4" w:themeFill="accent1" w:themeFillTint="66"/>
            <w:noWrap/>
            <w:vAlign w:val="center"/>
          </w:tcPr>
          <w:p w14:paraId="0B5E0065"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504</w:t>
            </w:r>
          </w:p>
        </w:tc>
        <w:tc>
          <w:tcPr>
            <w:tcW w:w="1176" w:type="dxa"/>
            <w:tcBorders>
              <w:left w:val="nil"/>
            </w:tcBorders>
            <w:shd w:val="clear" w:color="auto" w:fill="B8CCE4" w:themeFill="accent1" w:themeFillTint="66"/>
            <w:vAlign w:val="center"/>
          </w:tcPr>
          <w:p w14:paraId="3041CB3B"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195</w:t>
            </w:r>
          </w:p>
        </w:tc>
        <w:tc>
          <w:tcPr>
            <w:tcW w:w="1177" w:type="dxa"/>
            <w:tcBorders>
              <w:right w:val="nil"/>
            </w:tcBorders>
            <w:shd w:val="clear" w:color="auto" w:fill="B8CCE4" w:themeFill="accent1" w:themeFillTint="66"/>
            <w:noWrap/>
            <w:vAlign w:val="center"/>
          </w:tcPr>
          <w:p w14:paraId="671E542C"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836</w:t>
            </w:r>
          </w:p>
        </w:tc>
        <w:tc>
          <w:tcPr>
            <w:tcW w:w="1176" w:type="dxa"/>
            <w:tcBorders>
              <w:left w:val="nil"/>
            </w:tcBorders>
            <w:shd w:val="clear" w:color="auto" w:fill="B8CCE4" w:themeFill="accent1" w:themeFillTint="66"/>
            <w:vAlign w:val="center"/>
          </w:tcPr>
          <w:p w14:paraId="11900F9A"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699</w:t>
            </w:r>
          </w:p>
        </w:tc>
        <w:tc>
          <w:tcPr>
            <w:tcW w:w="1177" w:type="dxa"/>
            <w:tcBorders>
              <w:right w:val="nil"/>
            </w:tcBorders>
            <w:shd w:val="clear" w:color="auto" w:fill="B8CCE4" w:themeFill="accent1" w:themeFillTint="66"/>
            <w:noWrap/>
            <w:vAlign w:val="center"/>
          </w:tcPr>
          <w:p w14:paraId="5EB344D6"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36</w:t>
            </w:r>
            <w:r>
              <w:rPr>
                <w:rFonts w:eastAsia="Times New Roman" w:cs="Arial"/>
                <w:b/>
                <w:lang w:eastAsia="en-AU"/>
              </w:rPr>
              <w:t>,</w:t>
            </w:r>
            <w:r w:rsidRPr="00676396">
              <w:rPr>
                <w:rFonts w:eastAsia="Times New Roman" w:cs="Arial"/>
                <w:b/>
                <w:lang w:eastAsia="en-AU"/>
              </w:rPr>
              <w:t>657</w:t>
            </w:r>
          </w:p>
        </w:tc>
        <w:tc>
          <w:tcPr>
            <w:tcW w:w="1177" w:type="dxa"/>
            <w:tcBorders>
              <w:left w:val="nil"/>
            </w:tcBorders>
            <w:shd w:val="clear" w:color="auto" w:fill="B8CCE4" w:themeFill="accent1" w:themeFillTint="66"/>
            <w:vAlign w:val="center"/>
          </w:tcPr>
          <w:p w14:paraId="1E64A0EF"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28</w:t>
            </w:r>
            <w:r>
              <w:rPr>
                <w:rFonts w:eastAsia="Times New Roman" w:cs="Arial"/>
                <w:b/>
                <w:lang w:eastAsia="en-AU"/>
              </w:rPr>
              <w:t>,</w:t>
            </w:r>
            <w:r w:rsidRPr="00676396">
              <w:rPr>
                <w:rFonts w:eastAsia="Times New Roman" w:cs="Arial"/>
                <w:b/>
                <w:lang w:eastAsia="en-AU"/>
              </w:rPr>
              <w:t>240</w:t>
            </w:r>
          </w:p>
        </w:tc>
      </w:tr>
    </w:tbl>
    <w:p w14:paraId="36C54BE5" w14:textId="77777777" w:rsidR="004B00EC" w:rsidRDefault="004B00EC" w:rsidP="00B15586">
      <w:pPr>
        <w:rPr>
          <w:rFonts w:asciiTheme="majorHAnsi" w:eastAsiaTheme="majorEastAsia" w:hAnsiTheme="majorHAnsi" w:cstheme="majorBidi"/>
          <w:color w:val="17365D" w:themeColor="text2" w:themeShade="BF"/>
          <w:sz w:val="26"/>
          <w:szCs w:val="26"/>
        </w:rPr>
      </w:pPr>
      <w:r>
        <w:br w:type="page"/>
      </w:r>
    </w:p>
    <w:p w14:paraId="49FD6529" w14:textId="77777777" w:rsidR="00A269A5" w:rsidRDefault="00A269A5" w:rsidP="0095311F">
      <w:pPr>
        <w:pStyle w:val="Figureheading"/>
      </w:pPr>
      <w:r>
        <w:lastRenderedPageBreak/>
        <w:t>3.1</w:t>
      </w:r>
      <w:r w:rsidR="007B717D">
        <w:t>9</w:t>
      </w:r>
      <w:r>
        <w:tab/>
      </w:r>
      <w:r w:rsidR="004B00EC" w:rsidRPr="00D74CC3">
        <w:t xml:space="preserve">Number of reports </w:t>
      </w:r>
      <w:r>
        <w:t xml:space="preserve">for 2006, </w:t>
      </w:r>
      <w:r w:rsidR="004B00EC" w:rsidRPr="00D74CC3">
        <w:t>by abuse type,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70"/>
        <w:gridCol w:w="1471"/>
        <w:gridCol w:w="1471"/>
        <w:gridCol w:w="1471"/>
        <w:gridCol w:w="1470"/>
        <w:gridCol w:w="1471"/>
        <w:gridCol w:w="1471"/>
        <w:gridCol w:w="1471"/>
      </w:tblGrid>
      <w:tr w:rsidR="004B00EC" w:rsidRPr="00F44E7A" w14:paraId="019C18FE" w14:textId="77777777" w:rsidTr="00137AE1">
        <w:trPr>
          <w:trHeight w:val="365"/>
          <w:tblHeader/>
        </w:trPr>
        <w:tc>
          <w:tcPr>
            <w:tcW w:w="2660" w:type="dxa"/>
            <w:shd w:val="clear" w:color="auto" w:fill="B8CCE4" w:themeFill="accent1" w:themeFillTint="66"/>
            <w:noWrap/>
            <w:hideMark/>
          </w:tcPr>
          <w:p w14:paraId="191EAEFD" w14:textId="77777777" w:rsidR="004B00EC" w:rsidRPr="00F44E7A" w:rsidRDefault="004B00EC" w:rsidP="00CE2FDF">
            <w:pPr>
              <w:spacing w:before="0" w:line="276" w:lineRule="auto"/>
              <w:rPr>
                <w:rFonts w:eastAsia="Times New Roman" w:cs="Arial"/>
                <w:b/>
                <w:lang w:eastAsia="en-AU"/>
              </w:rPr>
            </w:pPr>
          </w:p>
        </w:tc>
        <w:tc>
          <w:tcPr>
            <w:tcW w:w="2941" w:type="dxa"/>
            <w:gridSpan w:val="2"/>
            <w:shd w:val="clear" w:color="auto" w:fill="B8CCE4" w:themeFill="accent1" w:themeFillTint="66"/>
            <w:noWrap/>
            <w:vAlign w:val="center"/>
            <w:hideMark/>
          </w:tcPr>
          <w:p w14:paraId="492BD243" w14:textId="77777777" w:rsidR="004B00EC" w:rsidRPr="00F44E7A" w:rsidRDefault="004B00EC"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312E3094" w14:textId="77777777" w:rsidR="004B00EC" w:rsidRPr="00F44E7A" w:rsidRDefault="004B00EC"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540A683E" w14:textId="77777777" w:rsidR="004B00EC" w:rsidRPr="00F44E7A" w:rsidRDefault="004B00EC"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2E4E017E" w14:textId="77777777" w:rsidR="004B00EC" w:rsidRPr="00F44E7A" w:rsidRDefault="004B00EC"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4B00EC" w:rsidRPr="00F44E7A" w14:paraId="2D08AF8C" w14:textId="77777777" w:rsidTr="00137AE1">
        <w:trPr>
          <w:trHeight w:val="271"/>
          <w:tblHeader/>
        </w:trPr>
        <w:tc>
          <w:tcPr>
            <w:tcW w:w="2660" w:type="dxa"/>
            <w:shd w:val="clear" w:color="auto" w:fill="B8CCE4" w:themeFill="accent1" w:themeFillTint="66"/>
            <w:noWrap/>
            <w:hideMark/>
          </w:tcPr>
          <w:p w14:paraId="5C77700F" w14:textId="77777777" w:rsidR="004B00EC" w:rsidRPr="00F44E7A" w:rsidRDefault="004B00EC" w:rsidP="00CE2FDF">
            <w:pPr>
              <w:spacing w:before="0" w:line="276"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6D12DA98" w14:textId="77777777" w:rsidR="004B00EC" w:rsidRPr="00F44E7A" w:rsidRDefault="004B00EC"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0758FB26" w14:textId="77777777" w:rsidR="004B00EC" w:rsidRPr="00F44E7A" w:rsidRDefault="004B00EC"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7BA79314" w14:textId="77777777" w:rsidR="004B00EC" w:rsidRPr="00F44E7A" w:rsidRDefault="004B00EC"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6C261E5" w14:textId="77777777" w:rsidR="004B00EC" w:rsidRPr="00F44E7A" w:rsidRDefault="004B00EC" w:rsidP="00CE2FDF">
            <w:pPr>
              <w:spacing w:before="0" w:line="276"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4A32834E" w14:textId="77777777" w:rsidR="004B00EC" w:rsidRPr="00F44E7A" w:rsidRDefault="004B00EC"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0EE41D82" w14:textId="77777777" w:rsidR="004B00EC" w:rsidRPr="00F44E7A" w:rsidRDefault="004B00EC"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604CB35B" w14:textId="77777777" w:rsidR="004B00EC" w:rsidRPr="00F44E7A" w:rsidRDefault="004B00EC"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79898D8F" w14:textId="77777777" w:rsidR="004B00EC" w:rsidRPr="00F44E7A" w:rsidRDefault="004B00EC" w:rsidP="00CE2FDF">
            <w:pPr>
              <w:spacing w:before="0" w:line="276" w:lineRule="auto"/>
              <w:jc w:val="right"/>
              <w:rPr>
                <w:rFonts w:eastAsia="Times New Roman" w:cs="Arial"/>
                <w:b/>
                <w:lang w:eastAsia="en-AU"/>
              </w:rPr>
            </w:pPr>
            <w:r>
              <w:rPr>
                <w:rFonts w:eastAsia="Times New Roman" w:cs="Arial"/>
                <w:b/>
                <w:lang w:eastAsia="en-AU"/>
              </w:rPr>
              <w:t>Children</w:t>
            </w:r>
          </w:p>
        </w:tc>
      </w:tr>
      <w:tr w:rsidR="004B00EC" w:rsidRPr="003324F1" w14:paraId="76549BFE" w14:textId="77777777" w:rsidTr="00F2448E">
        <w:trPr>
          <w:trHeight w:val="276"/>
        </w:trPr>
        <w:tc>
          <w:tcPr>
            <w:tcW w:w="2660" w:type="dxa"/>
            <w:noWrap/>
            <w:hideMark/>
          </w:tcPr>
          <w:p w14:paraId="4143466E" w14:textId="77777777" w:rsidR="004B00EC" w:rsidRPr="00F44E7A" w:rsidRDefault="004B00EC" w:rsidP="00CE2FDF">
            <w:pPr>
              <w:spacing w:before="0" w:line="276" w:lineRule="auto"/>
              <w:rPr>
                <w:rFonts w:eastAsia="Times New Roman" w:cs="Arial"/>
                <w:b/>
                <w:lang w:eastAsia="en-AU"/>
              </w:rPr>
            </w:pPr>
            <w:r w:rsidRPr="00F44E7A">
              <w:rPr>
                <w:rFonts w:eastAsia="Times New Roman" w:cs="Arial"/>
                <w:b/>
                <w:lang w:eastAsia="en-AU"/>
              </w:rPr>
              <w:t>Doctors</w:t>
            </w:r>
          </w:p>
        </w:tc>
        <w:tc>
          <w:tcPr>
            <w:tcW w:w="1470" w:type="dxa"/>
            <w:tcBorders>
              <w:right w:val="nil"/>
            </w:tcBorders>
            <w:noWrap/>
            <w:vAlign w:val="center"/>
          </w:tcPr>
          <w:p w14:paraId="4CF1C91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207</w:t>
            </w:r>
          </w:p>
        </w:tc>
        <w:tc>
          <w:tcPr>
            <w:tcW w:w="1471" w:type="dxa"/>
            <w:tcBorders>
              <w:left w:val="nil"/>
            </w:tcBorders>
            <w:vAlign w:val="center"/>
          </w:tcPr>
          <w:p w14:paraId="72BD77F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207</w:t>
            </w:r>
          </w:p>
        </w:tc>
        <w:tc>
          <w:tcPr>
            <w:tcW w:w="1471" w:type="dxa"/>
            <w:tcBorders>
              <w:right w:val="nil"/>
            </w:tcBorders>
            <w:noWrap/>
            <w:vAlign w:val="center"/>
          </w:tcPr>
          <w:p w14:paraId="69B0001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173</w:t>
            </w:r>
          </w:p>
        </w:tc>
        <w:tc>
          <w:tcPr>
            <w:tcW w:w="1471" w:type="dxa"/>
            <w:tcBorders>
              <w:left w:val="nil"/>
            </w:tcBorders>
            <w:vAlign w:val="center"/>
          </w:tcPr>
          <w:p w14:paraId="1FFF750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169</w:t>
            </w:r>
          </w:p>
        </w:tc>
        <w:tc>
          <w:tcPr>
            <w:tcW w:w="1470" w:type="dxa"/>
            <w:tcBorders>
              <w:right w:val="nil"/>
            </w:tcBorders>
            <w:noWrap/>
            <w:vAlign w:val="center"/>
          </w:tcPr>
          <w:p w14:paraId="26385F4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302</w:t>
            </w:r>
          </w:p>
        </w:tc>
        <w:tc>
          <w:tcPr>
            <w:tcW w:w="1471" w:type="dxa"/>
            <w:tcBorders>
              <w:left w:val="nil"/>
            </w:tcBorders>
            <w:vAlign w:val="center"/>
          </w:tcPr>
          <w:p w14:paraId="5BAB542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300</w:t>
            </w:r>
          </w:p>
        </w:tc>
        <w:tc>
          <w:tcPr>
            <w:tcW w:w="1471" w:type="dxa"/>
            <w:tcBorders>
              <w:right w:val="nil"/>
            </w:tcBorders>
            <w:noWrap/>
            <w:vAlign w:val="center"/>
          </w:tcPr>
          <w:p w14:paraId="56C8023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185</w:t>
            </w:r>
          </w:p>
        </w:tc>
        <w:tc>
          <w:tcPr>
            <w:tcW w:w="1471" w:type="dxa"/>
            <w:tcBorders>
              <w:left w:val="nil"/>
            </w:tcBorders>
            <w:vAlign w:val="center"/>
          </w:tcPr>
          <w:p w14:paraId="520A75C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185</w:t>
            </w:r>
          </w:p>
        </w:tc>
      </w:tr>
      <w:tr w:rsidR="004B00EC" w:rsidRPr="003324F1" w14:paraId="59BED4E3" w14:textId="77777777" w:rsidTr="00F2448E">
        <w:trPr>
          <w:trHeight w:val="276"/>
        </w:trPr>
        <w:tc>
          <w:tcPr>
            <w:tcW w:w="2660" w:type="dxa"/>
            <w:shd w:val="clear" w:color="auto" w:fill="DBE5F1" w:themeFill="accent1" w:themeFillTint="33"/>
            <w:noWrap/>
            <w:hideMark/>
          </w:tcPr>
          <w:p w14:paraId="26F15D88" w14:textId="77777777" w:rsidR="004B00EC" w:rsidRPr="00F44E7A" w:rsidRDefault="004B00EC" w:rsidP="00CE2FDF">
            <w:pPr>
              <w:spacing w:before="0" w:line="276" w:lineRule="auto"/>
              <w:rPr>
                <w:rFonts w:eastAsia="Times New Roman" w:cs="Arial"/>
                <w:b/>
                <w:lang w:eastAsia="en-AU"/>
              </w:rPr>
            </w:pPr>
            <w:r w:rsidRPr="00F44E7A">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149DE06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698</w:t>
            </w:r>
          </w:p>
        </w:tc>
        <w:tc>
          <w:tcPr>
            <w:tcW w:w="1471" w:type="dxa"/>
            <w:tcBorders>
              <w:left w:val="nil"/>
            </w:tcBorders>
            <w:shd w:val="clear" w:color="auto" w:fill="DBE5F1" w:themeFill="accent1" w:themeFillTint="33"/>
            <w:vAlign w:val="center"/>
          </w:tcPr>
          <w:p w14:paraId="07B7B46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679</w:t>
            </w:r>
          </w:p>
        </w:tc>
        <w:tc>
          <w:tcPr>
            <w:tcW w:w="1471" w:type="dxa"/>
            <w:tcBorders>
              <w:right w:val="nil"/>
            </w:tcBorders>
            <w:shd w:val="clear" w:color="auto" w:fill="DBE5F1" w:themeFill="accent1" w:themeFillTint="33"/>
            <w:noWrap/>
            <w:vAlign w:val="center"/>
          </w:tcPr>
          <w:p w14:paraId="2D8FAD9A"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338</w:t>
            </w:r>
          </w:p>
        </w:tc>
        <w:tc>
          <w:tcPr>
            <w:tcW w:w="1471" w:type="dxa"/>
            <w:tcBorders>
              <w:left w:val="nil"/>
            </w:tcBorders>
            <w:shd w:val="clear" w:color="auto" w:fill="DBE5F1" w:themeFill="accent1" w:themeFillTint="33"/>
            <w:vAlign w:val="center"/>
          </w:tcPr>
          <w:p w14:paraId="7C03C7E8"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327</w:t>
            </w:r>
          </w:p>
        </w:tc>
        <w:tc>
          <w:tcPr>
            <w:tcW w:w="1470" w:type="dxa"/>
            <w:tcBorders>
              <w:right w:val="nil"/>
            </w:tcBorders>
            <w:shd w:val="clear" w:color="auto" w:fill="DBE5F1" w:themeFill="accent1" w:themeFillTint="33"/>
            <w:noWrap/>
            <w:vAlign w:val="center"/>
          </w:tcPr>
          <w:p w14:paraId="3818FCC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286</w:t>
            </w:r>
          </w:p>
        </w:tc>
        <w:tc>
          <w:tcPr>
            <w:tcW w:w="1471" w:type="dxa"/>
            <w:tcBorders>
              <w:left w:val="nil"/>
            </w:tcBorders>
            <w:shd w:val="clear" w:color="auto" w:fill="DBE5F1" w:themeFill="accent1" w:themeFillTint="33"/>
            <w:vAlign w:val="center"/>
          </w:tcPr>
          <w:p w14:paraId="31A53A2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281</w:t>
            </w:r>
          </w:p>
        </w:tc>
        <w:tc>
          <w:tcPr>
            <w:tcW w:w="1471" w:type="dxa"/>
            <w:tcBorders>
              <w:right w:val="nil"/>
            </w:tcBorders>
            <w:shd w:val="clear" w:color="auto" w:fill="DBE5F1" w:themeFill="accent1" w:themeFillTint="33"/>
            <w:noWrap/>
            <w:vAlign w:val="center"/>
          </w:tcPr>
          <w:p w14:paraId="2AB3B87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68</w:t>
            </w:r>
          </w:p>
        </w:tc>
        <w:tc>
          <w:tcPr>
            <w:tcW w:w="1471" w:type="dxa"/>
            <w:tcBorders>
              <w:left w:val="nil"/>
            </w:tcBorders>
            <w:shd w:val="clear" w:color="auto" w:fill="DBE5F1" w:themeFill="accent1" w:themeFillTint="33"/>
            <w:vAlign w:val="center"/>
          </w:tcPr>
          <w:p w14:paraId="4BB78038"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66</w:t>
            </w:r>
          </w:p>
        </w:tc>
      </w:tr>
      <w:tr w:rsidR="004B00EC" w:rsidRPr="003324F1" w14:paraId="688F451C" w14:textId="77777777" w:rsidTr="00F2448E">
        <w:trPr>
          <w:trHeight w:val="276"/>
        </w:trPr>
        <w:tc>
          <w:tcPr>
            <w:tcW w:w="2660" w:type="dxa"/>
            <w:noWrap/>
            <w:hideMark/>
          </w:tcPr>
          <w:p w14:paraId="08F9DB90" w14:textId="77777777" w:rsidR="004B00EC" w:rsidRPr="00F44E7A" w:rsidRDefault="004B00EC" w:rsidP="00CE2FDF">
            <w:pPr>
              <w:spacing w:before="0" w:line="276"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noWrap/>
            <w:vAlign w:val="center"/>
          </w:tcPr>
          <w:p w14:paraId="7468E7A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695</w:t>
            </w:r>
          </w:p>
        </w:tc>
        <w:tc>
          <w:tcPr>
            <w:tcW w:w="1471" w:type="dxa"/>
            <w:tcBorders>
              <w:left w:val="nil"/>
            </w:tcBorders>
            <w:vAlign w:val="center"/>
          </w:tcPr>
          <w:p w14:paraId="778B97F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540</w:t>
            </w:r>
          </w:p>
        </w:tc>
        <w:tc>
          <w:tcPr>
            <w:tcW w:w="1471" w:type="dxa"/>
            <w:tcBorders>
              <w:right w:val="nil"/>
            </w:tcBorders>
            <w:noWrap/>
            <w:vAlign w:val="center"/>
          </w:tcPr>
          <w:p w14:paraId="415164F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433</w:t>
            </w:r>
          </w:p>
        </w:tc>
        <w:tc>
          <w:tcPr>
            <w:tcW w:w="1471" w:type="dxa"/>
            <w:tcBorders>
              <w:left w:val="nil"/>
            </w:tcBorders>
            <w:vAlign w:val="center"/>
          </w:tcPr>
          <w:p w14:paraId="6A9A9B1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388</w:t>
            </w:r>
          </w:p>
        </w:tc>
        <w:tc>
          <w:tcPr>
            <w:tcW w:w="1470" w:type="dxa"/>
            <w:tcBorders>
              <w:right w:val="nil"/>
            </w:tcBorders>
            <w:noWrap/>
            <w:vAlign w:val="center"/>
          </w:tcPr>
          <w:p w14:paraId="483D836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453</w:t>
            </w:r>
          </w:p>
        </w:tc>
        <w:tc>
          <w:tcPr>
            <w:tcW w:w="1471" w:type="dxa"/>
            <w:tcBorders>
              <w:left w:val="nil"/>
            </w:tcBorders>
            <w:vAlign w:val="center"/>
          </w:tcPr>
          <w:p w14:paraId="7AE6AE0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425</w:t>
            </w:r>
          </w:p>
        </w:tc>
        <w:tc>
          <w:tcPr>
            <w:tcW w:w="1471" w:type="dxa"/>
            <w:tcBorders>
              <w:right w:val="nil"/>
            </w:tcBorders>
            <w:noWrap/>
            <w:vAlign w:val="center"/>
          </w:tcPr>
          <w:p w14:paraId="7EB02C4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810</w:t>
            </w:r>
          </w:p>
        </w:tc>
        <w:tc>
          <w:tcPr>
            <w:tcW w:w="1471" w:type="dxa"/>
            <w:tcBorders>
              <w:left w:val="nil"/>
            </w:tcBorders>
            <w:vAlign w:val="center"/>
          </w:tcPr>
          <w:p w14:paraId="47A037F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792</w:t>
            </w:r>
          </w:p>
        </w:tc>
      </w:tr>
      <w:tr w:rsidR="004B00EC" w:rsidRPr="003324F1" w14:paraId="47C9BA67" w14:textId="77777777" w:rsidTr="00F2448E">
        <w:trPr>
          <w:trHeight w:val="276"/>
        </w:trPr>
        <w:tc>
          <w:tcPr>
            <w:tcW w:w="2660" w:type="dxa"/>
            <w:shd w:val="clear" w:color="auto" w:fill="DBE5F1" w:themeFill="accent1" w:themeFillTint="33"/>
            <w:noWrap/>
            <w:hideMark/>
          </w:tcPr>
          <w:p w14:paraId="5B5B2939"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DBE5F1" w:themeFill="accent1" w:themeFillTint="33"/>
            <w:noWrap/>
            <w:vAlign w:val="center"/>
          </w:tcPr>
          <w:p w14:paraId="534958A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922</w:t>
            </w:r>
          </w:p>
        </w:tc>
        <w:tc>
          <w:tcPr>
            <w:tcW w:w="1471" w:type="dxa"/>
            <w:tcBorders>
              <w:left w:val="nil"/>
            </w:tcBorders>
            <w:shd w:val="clear" w:color="auto" w:fill="DBE5F1" w:themeFill="accent1" w:themeFillTint="33"/>
            <w:vAlign w:val="center"/>
          </w:tcPr>
          <w:p w14:paraId="3FDBF768"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895</w:t>
            </w:r>
          </w:p>
        </w:tc>
        <w:tc>
          <w:tcPr>
            <w:tcW w:w="1471" w:type="dxa"/>
            <w:tcBorders>
              <w:right w:val="nil"/>
            </w:tcBorders>
            <w:shd w:val="clear" w:color="auto" w:fill="DBE5F1" w:themeFill="accent1" w:themeFillTint="33"/>
            <w:noWrap/>
            <w:vAlign w:val="center"/>
          </w:tcPr>
          <w:p w14:paraId="74AF35B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677</w:t>
            </w:r>
          </w:p>
        </w:tc>
        <w:tc>
          <w:tcPr>
            <w:tcW w:w="1471" w:type="dxa"/>
            <w:tcBorders>
              <w:left w:val="nil"/>
            </w:tcBorders>
            <w:shd w:val="clear" w:color="auto" w:fill="DBE5F1" w:themeFill="accent1" w:themeFillTint="33"/>
            <w:vAlign w:val="center"/>
          </w:tcPr>
          <w:p w14:paraId="00AC544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652</w:t>
            </w:r>
          </w:p>
        </w:tc>
        <w:tc>
          <w:tcPr>
            <w:tcW w:w="1470" w:type="dxa"/>
            <w:tcBorders>
              <w:right w:val="nil"/>
            </w:tcBorders>
            <w:shd w:val="clear" w:color="auto" w:fill="DBE5F1" w:themeFill="accent1" w:themeFillTint="33"/>
            <w:noWrap/>
            <w:vAlign w:val="center"/>
          </w:tcPr>
          <w:p w14:paraId="6E2A9EA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777</w:t>
            </w:r>
          </w:p>
        </w:tc>
        <w:tc>
          <w:tcPr>
            <w:tcW w:w="1471" w:type="dxa"/>
            <w:tcBorders>
              <w:left w:val="nil"/>
            </w:tcBorders>
            <w:shd w:val="clear" w:color="auto" w:fill="DBE5F1" w:themeFill="accent1" w:themeFillTint="33"/>
            <w:vAlign w:val="center"/>
          </w:tcPr>
          <w:p w14:paraId="7416667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709</w:t>
            </w:r>
          </w:p>
        </w:tc>
        <w:tc>
          <w:tcPr>
            <w:tcW w:w="1471" w:type="dxa"/>
            <w:tcBorders>
              <w:right w:val="nil"/>
            </w:tcBorders>
            <w:shd w:val="clear" w:color="auto" w:fill="DBE5F1" w:themeFill="accent1" w:themeFillTint="33"/>
            <w:noWrap/>
            <w:vAlign w:val="center"/>
          </w:tcPr>
          <w:p w14:paraId="1A65757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537</w:t>
            </w:r>
          </w:p>
        </w:tc>
        <w:tc>
          <w:tcPr>
            <w:tcW w:w="1471" w:type="dxa"/>
            <w:tcBorders>
              <w:left w:val="nil"/>
            </w:tcBorders>
            <w:shd w:val="clear" w:color="auto" w:fill="DBE5F1" w:themeFill="accent1" w:themeFillTint="33"/>
            <w:vAlign w:val="center"/>
          </w:tcPr>
          <w:p w14:paraId="415728E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528</w:t>
            </w:r>
          </w:p>
        </w:tc>
      </w:tr>
      <w:tr w:rsidR="004B00EC" w:rsidRPr="003324F1" w14:paraId="31E4E7EC" w14:textId="77777777" w:rsidTr="00F2448E">
        <w:trPr>
          <w:trHeight w:val="276"/>
        </w:trPr>
        <w:tc>
          <w:tcPr>
            <w:tcW w:w="2660" w:type="dxa"/>
            <w:shd w:val="clear" w:color="auto" w:fill="auto"/>
            <w:noWrap/>
            <w:hideMark/>
          </w:tcPr>
          <w:p w14:paraId="2100E500"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Psychiatrists</w:t>
            </w:r>
          </w:p>
        </w:tc>
        <w:tc>
          <w:tcPr>
            <w:tcW w:w="1470" w:type="dxa"/>
            <w:tcBorders>
              <w:right w:val="nil"/>
            </w:tcBorders>
            <w:shd w:val="clear" w:color="auto" w:fill="auto"/>
            <w:noWrap/>
            <w:vAlign w:val="center"/>
          </w:tcPr>
          <w:p w14:paraId="3A5DF3D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77</w:t>
            </w:r>
          </w:p>
        </w:tc>
        <w:tc>
          <w:tcPr>
            <w:tcW w:w="1471" w:type="dxa"/>
            <w:tcBorders>
              <w:left w:val="nil"/>
            </w:tcBorders>
            <w:shd w:val="clear" w:color="auto" w:fill="auto"/>
            <w:vAlign w:val="center"/>
          </w:tcPr>
          <w:p w14:paraId="4160337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77</w:t>
            </w:r>
          </w:p>
        </w:tc>
        <w:tc>
          <w:tcPr>
            <w:tcW w:w="1471" w:type="dxa"/>
            <w:tcBorders>
              <w:right w:val="nil"/>
            </w:tcBorders>
            <w:shd w:val="clear" w:color="auto" w:fill="auto"/>
            <w:noWrap/>
            <w:vAlign w:val="center"/>
          </w:tcPr>
          <w:p w14:paraId="22A3CE4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27</w:t>
            </w:r>
          </w:p>
        </w:tc>
        <w:tc>
          <w:tcPr>
            <w:tcW w:w="1471" w:type="dxa"/>
            <w:tcBorders>
              <w:left w:val="nil"/>
            </w:tcBorders>
            <w:shd w:val="clear" w:color="auto" w:fill="auto"/>
            <w:vAlign w:val="center"/>
          </w:tcPr>
          <w:p w14:paraId="012C3B8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27</w:t>
            </w:r>
          </w:p>
        </w:tc>
        <w:tc>
          <w:tcPr>
            <w:tcW w:w="1470" w:type="dxa"/>
            <w:tcBorders>
              <w:right w:val="nil"/>
            </w:tcBorders>
            <w:shd w:val="clear" w:color="auto" w:fill="auto"/>
            <w:noWrap/>
            <w:vAlign w:val="center"/>
          </w:tcPr>
          <w:p w14:paraId="18F562F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67</w:t>
            </w:r>
          </w:p>
        </w:tc>
        <w:tc>
          <w:tcPr>
            <w:tcW w:w="1471" w:type="dxa"/>
            <w:tcBorders>
              <w:left w:val="nil"/>
            </w:tcBorders>
            <w:shd w:val="clear" w:color="auto" w:fill="auto"/>
            <w:vAlign w:val="center"/>
          </w:tcPr>
          <w:p w14:paraId="18E1A5C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66</w:t>
            </w:r>
          </w:p>
        </w:tc>
        <w:tc>
          <w:tcPr>
            <w:tcW w:w="1471" w:type="dxa"/>
            <w:tcBorders>
              <w:right w:val="nil"/>
            </w:tcBorders>
            <w:shd w:val="clear" w:color="auto" w:fill="auto"/>
            <w:noWrap/>
            <w:vAlign w:val="center"/>
          </w:tcPr>
          <w:p w14:paraId="23A1635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24</w:t>
            </w:r>
          </w:p>
        </w:tc>
        <w:tc>
          <w:tcPr>
            <w:tcW w:w="1471" w:type="dxa"/>
            <w:tcBorders>
              <w:left w:val="nil"/>
            </w:tcBorders>
            <w:shd w:val="clear" w:color="auto" w:fill="auto"/>
            <w:vAlign w:val="center"/>
          </w:tcPr>
          <w:p w14:paraId="016C46C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23</w:t>
            </w:r>
          </w:p>
        </w:tc>
      </w:tr>
      <w:tr w:rsidR="004B00EC" w:rsidRPr="003324F1" w14:paraId="47D93436" w14:textId="77777777" w:rsidTr="00F2448E">
        <w:trPr>
          <w:trHeight w:val="276"/>
        </w:trPr>
        <w:tc>
          <w:tcPr>
            <w:tcW w:w="2660" w:type="dxa"/>
            <w:shd w:val="clear" w:color="auto" w:fill="DBE5F1" w:themeFill="accent1" w:themeFillTint="33"/>
            <w:noWrap/>
            <w:hideMark/>
          </w:tcPr>
          <w:p w14:paraId="35A228D5"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470" w:type="dxa"/>
            <w:tcBorders>
              <w:right w:val="nil"/>
            </w:tcBorders>
            <w:shd w:val="clear" w:color="auto" w:fill="DBE5F1" w:themeFill="accent1" w:themeFillTint="33"/>
            <w:noWrap/>
            <w:vAlign w:val="center"/>
          </w:tcPr>
          <w:p w14:paraId="290543C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599</w:t>
            </w:r>
          </w:p>
        </w:tc>
        <w:tc>
          <w:tcPr>
            <w:tcW w:w="1471" w:type="dxa"/>
            <w:tcBorders>
              <w:left w:val="nil"/>
            </w:tcBorders>
            <w:shd w:val="clear" w:color="auto" w:fill="DBE5F1" w:themeFill="accent1" w:themeFillTint="33"/>
            <w:vAlign w:val="center"/>
          </w:tcPr>
          <w:p w14:paraId="4A05FF4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300</w:t>
            </w:r>
          </w:p>
        </w:tc>
        <w:tc>
          <w:tcPr>
            <w:tcW w:w="1471" w:type="dxa"/>
            <w:tcBorders>
              <w:right w:val="nil"/>
            </w:tcBorders>
            <w:shd w:val="clear" w:color="auto" w:fill="DBE5F1" w:themeFill="accent1" w:themeFillTint="33"/>
            <w:noWrap/>
            <w:vAlign w:val="center"/>
          </w:tcPr>
          <w:p w14:paraId="6320679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648</w:t>
            </w:r>
          </w:p>
        </w:tc>
        <w:tc>
          <w:tcPr>
            <w:tcW w:w="1471" w:type="dxa"/>
            <w:tcBorders>
              <w:left w:val="nil"/>
            </w:tcBorders>
            <w:shd w:val="clear" w:color="auto" w:fill="DBE5F1" w:themeFill="accent1" w:themeFillTint="33"/>
            <w:vAlign w:val="center"/>
          </w:tcPr>
          <w:p w14:paraId="6D34042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524</w:t>
            </w:r>
          </w:p>
        </w:tc>
        <w:tc>
          <w:tcPr>
            <w:tcW w:w="1470" w:type="dxa"/>
            <w:tcBorders>
              <w:right w:val="nil"/>
            </w:tcBorders>
            <w:shd w:val="clear" w:color="auto" w:fill="DBE5F1" w:themeFill="accent1" w:themeFillTint="33"/>
            <w:noWrap/>
            <w:vAlign w:val="center"/>
          </w:tcPr>
          <w:p w14:paraId="7F8FE0E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885</w:t>
            </w:r>
          </w:p>
        </w:tc>
        <w:tc>
          <w:tcPr>
            <w:tcW w:w="1471" w:type="dxa"/>
            <w:tcBorders>
              <w:left w:val="nil"/>
            </w:tcBorders>
            <w:shd w:val="clear" w:color="auto" w:fill="DBE5F1" w:themeFill="accent1" w:themeFillTint="33"/>
            <w:vAlign w:val="center"/>
          </w:tcPr>
          <w:p w14:paraId="4DB4A3B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723</w:t>
            </w:r>
          </w:p>
        </w:tc>
        <w:tc>
          <w:tcPr>
            <w:tcW w:w="1471" w:type="dxa"/>
            <w:tcBorders>
              <w:right w:val="nil"/>
            </w:tcBorders>
            <w:shd w:val="clear" w:color="auto" w:fill="DBE5F1" w:themeFill="accent1" w:themeFillTint="33"/>
            <w:noWrap/>
            <w:vAlign w:val="center"/>
          </w:tcPr>
          <w:p w14:paraId="25F95F3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624</w:t>
            </w:r>
          </w:p>
        </w:tc>
        <w:tc>
          <w:tcPr>
            <w:tcW w:w="1471" w:type="dxa"/>
            <w:tcBorders>
              <w:left w:val="nil"/>
            </w:tcBorders>
            <w:shd w:val="clear" w:color="auto" w:fill="DBE5F1" w:themeFill="accent1" w:themeFillTint="33"/>
            <w:vAlign w:val="center"/>
          </w:tcPr>
          <w:p w14:paraId="6AC5F87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582</w:t>
            </w:r>
          </w:p>
        </w:tc>
      </w:tr>
      <w:tr w:rsidR="004B00EC" w:rsidRPr="003324F1" w14:paraId="47423F51" w14:textId="77777777" w:rsidTr="00F2448E">
        <w:trPr>
          <w:trHeight w:val="276"/>
        </w:trPr>
        <w:tc>
          <w:tcPr>
            <w:tcW w:w="2660" w:type="dxa"/>
            <w:shd w:val="clear" w:color="auto" w:fill="auto"/>
            <w:noWrap/>
            <w:hideMark/>
          </w:tcPr>
          <w:p w14:paraId="72B4CCC3"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1D204A2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613</w:t>
            </w:r>
          </w:p>
        </w:tc>
        <w:tc>
          <w:tcPr>
            <w:tcW w:w="1471" w:type="dxa"/>
            <w:tcBorders>
              <w:left w:val="nil"/>
            </w:tcBorders>
            <w:shd w:val="clear" w:color="auto" w:fill="auto"/>
            <w:vAlign w:val="center"/>
          </w:tcPr>
          <w:p w14:paraId="7ACA8B9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009</w:t>
            </w:r>
          </w:p>
        </w:tc>
        <w:tc>
          <w:tcPr>
            <w:tcW w:w="1471" w:type="dxa"/>
            <w:tcBorders>
              <w:right w:val="nil"/>
            </w:tcBorders>
            <w:shd w:val="clear" w:color="auto" w:fill="auto"/>
            <w:noWrap/>
            <w:vAlign w:val="center"/>
          </w:tcPr>
          <w:p w14:paraId="4759371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977</w:t>
            </w:r>
          </w:p>
        </w:tc>
        <w:tc>
          <w:tcPr>
            <w:tcW w:w="1471" w:type="dxa"/>
            <w:tcBorders>
              <w:left w:val="nil"/>
            </w:tcBorders>
            <w:shd w:val="clear" w:color="auto" w:fill="auto"/>
            <w:vAlign w:val="center"/>
          </w:tcPr>
          <w:p w14:paraId="44A3E358"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296</w:t>
            </w:r>
          </w:p>
        </w:tc>
        <w:tc>
          <w:tcPr>
            <w:tcW w:w="1470" w:type="dxa"/>
            <w:tcBorders>
              <w:right w:val="nil"/>
            </w:tcBorders>
            <w:shd w:val="clear" w:color="auto" w:fill="auto"/>
            <w:noWrap/>
            <w:vAlign w:val="center"/>
          </w:tcPr>
          <w:p w14:paraId="5E558D5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497</w:t>
            </w:r>
          </w:p>
        </w:tc>
        <w:tc>
          <w:tcPr>
            <w:tcW w:w="1471" w:type="dxa"/>
            <w:tcBorders>
              <w:left w:val="nil"/>
            </w:tcBorders>
            <w:shd w:val="clear" w:color="auto" w:fill="auto"/>
            <w:vAlign w:val="center"/>
          </w:tcPr>
          <w:p w14:paraId="131B614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985</w:t>
            </w:r>
          </w:p>
        </w:tc>
        <w:tc>
          <w:tcPr>
            <w:tcW w:w="1471" w:type="dxa"/>
            <w:tcBorders>
              <w:right w:val="nil"/>
            </w:tcBorders>
            <w:shd w:val="clear" w:color="auto" w:fill="auto"/>
            <w:noWrap/>
            <w:vAlign w:val="center"/>
          </w:tcPr>
          <w:p w14:paraId="1C6F962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850</w:t>
            </w:r>
          </w:p>
        </w:tc>
        <w:tc>
          <w:tcPr>
            <w:tcW w:w="1471" w:type="dxa"/>
            <w:tcBorders>
              <w:left w:val="nil"/>
            </w:tcBorders>
            <w:shd w:val="clear" w:color="auto" w:fill="auto"/>
            <w:vAlign w:val="center"/>
          </w:tcPr>
          <w:p w14:paraId="7FDFC98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643</w:t>
            </w:r>
          </w:p>
        </w:tc>
      </w:tr>
      <w:tr w:rsidR="004B00EC" w:rsidRPr="00FD6E8E" w14:paraId="508CD891" w14:textId="77777777" w:rsidTr="00F2448E">
        <w:trPr>
          <w:trHeight w:val="276"/>
        </w:trPr>
        <w:tc>
          <w:tcPr>
            <w:tcW w:w="2660" w:type="dxa"/>
            <w:shd w:val="clear" w:color="auto" w:fill="B8CCE4" w:themeFill="accent1" w:themeFillTint="66"/>
            <w:noWrap/>
            <w:hideMark/>
          </w:tcPr>
          <w:p w14:paraId="5383DE2A" w14:textId="77777777" w:rsidR="004B00EC" w:rsidRPr="00FD6E8E" w:rsidRDefault="004B00EC" w:rsidP="00CE2FDF">
            <w:pPr>
              <w:spacing w:before="0" w:line="276" w:lineRule="auto"/>
              <w:rPr>
                <w:rFonts w:eastAsia="Times New Roman" w:cs="Arial"/>
                <w:b/>
                <w:lang w:eastAsia="en-AU"/>
              </w:rPr>
            </w:pPr>
            <w:r w:rsidRPr="00FD6E8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04EEE600"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212</w:t>
            </w:r>
          </w:p>
        </w:tc>
        <w:tc>
          <w:tcPr>
            <w:tcW w:w="1471" w:type="dxa"/>
            <w:tcBorders>
              <w:left w:val="nil"/>
            </w:tcBorders>
            <w:shd w:val="clear" w:color="auto" w:fill="B8CCE4" w:themeFill="accent1" w:themeFillTint="66"/>
            <w:vAlign w:val="center"/>
          </w:tcPr>
          <w:p w14:paraId="5BFA4153"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718</w:t>
            </w:r>
          </w:p>
        </w:tc>
        <w:tc>
          <w:tcPr>
            <w:tcW w:w="1471" w:type="dxa"/>
            <w:tcBorders>
              <w:right w:val="nil"/>
            </w:tcBorders>
            <w:shd w:val="clear" w:color="auto" w:fill="B8CCE4" w:themeFill="accent1" w:themeFillTint="66"/>
            <w:noWrap/>
            <w:vAlign w:val="center"/>
          </w:tcPr>
          <w:p w14:paraId="2AA8F741"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9</w:t>
            </w:r>
            <w:r>
              <w:rPr>
                <w:rFonts w:eastAsia="Times New Roman" w:cs="Arial"/>
                <w:b/>
                <w:lang w:eastAsia="en-AU"/>
              </w:rPr>
              <w:t>,</w:t>
            </w:r>
            <w:r w:rsidRPr="00676396">
              <w:rPr>
                <w:rFonts w:eastAsia="Times New Roman" w:cs="Arial"/>
                <w:b/>
                <w:lang w:eastAsia="en-AU"/>
              </w:rPr>
              <w:t>625</w:t>
            </w:r>
          </w:p>
        </w:tc>
        <w:tc>
          <w:tcPr>
            <w:tcW w:w="1471" w:type="dxa"/>
            <w:tcBorders>
              <w:left w:val="nil"/>
            </w:tcBorders>
            <w:shd w:val="clear" w:color="auto" w:fill="B8CCE4" w:themeFill="accent1" w:themeFillTint="66"/>
            <w:vAlign w:val="center"/>
          </w:tcPr>
          <w:p w14:paraId="2F2233E2"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8</w:t>
            </w:r>
            <w:r>
              <w:rPr>
                <w:rFonts w:eastAsia="Times New Roman" w:cs="Arial"/>
                <w:b/>
                <w:lang w:eastAsia="en-AU"/>
              </w:rPr>
              <w:t>,</w:t>
            </w:r>
            <w:r w:rsidRPr="00676396">
              <w:rPr>
                <w:rFonts w:eastAsia="Times New Roman" w:cs="Arial"/>
                <w:b/>
                <w:lang w:eastAsia="en-AU"/>
              </w:rPr>
              <w:t>480</w:t>
            </w:r>
          </w:p>
        </w:tc>
        <w:tc>
          <w:tcPr>
            <w:tcW w:w="1470" w:type="dxa"/>
            <w:tcBorders>
              <w:right w:val="nil"/>
            </w:tcBorders>
            <w:shd w:val="clear" w:color="auto" w:fill="B8CCE4" w:themeFill="accent1" w:themeFillTint="66"/>
            <w:noWrap/>
            <w:vAlign w:val="center"/>
          </w:tcPr>
          <w:p w14:paraId="4E2D3294"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382</w:t>
            </w:r>
          </w:p>
        </w:tc>
        <w:tc>
          <w:tcPr>
            <w:tcW w:w="1471" w:type="dxa"/>
            <w:tcBorders>
              <w:left w:val="nil"/>
            </w:tcBorders>
            <w:shd w:val="clear" w:color="auto" w:fill="B8CCE4" w:themeFill="accent1" w:themeFillTint="66"/>
            <w:vAlign w:val="center"/>
          </w:tcPr>
          <w:p w14:paraId="36FA2A90"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9</w:t>
            </w:r>
            <w:r>
              <w:rPr>
                <w:rFonts w:eastAsia="Times New Roman" w:cs="Arial"/>
                <w:b/>
                <w:lang w:eastAsia="en-AU"/>
              </w:rPr>
              <w:t>,</w:t>
            </w:r>
            <w:r w:rsidRPr="00676396">
              <w:rPr>
                <w:rFonts w:eastAsia="Times New Roman" w:cs="Arial"/>
                <w:b/>
                <w:lang w:eastAsia="en-AU"/>
              </w:rPr>
              <w:t>402</w:t>
            </w:r>
          </w:p>
        </w:tc>
        <w:tc>
          <w:tcPr>
            <w:tcW w:w="1471" w:type="dxa"/>
            <w:tcBorders>
              <w:right w:val="nil"/>
            </w:tcBorders>
            <w:shd w:val="clear" w:color="auto" w:fill="B8CCE4" w:themeFill="accent1" w:themeFillTint="66"/>
            <w:noWrap/>
            <w:vAlign w:val="center"/>
          </w:tcPr>
          <w:p w14:paraId="363FA523"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474</w:t>
            </w:r>
          </w:p>
        </w:tc>
        <w:tc>
          <w:tcPr>
            <w:tcW w:w="1471" w:type="dxa"/>
            <w:tcBorders>
              <w:left w:val="nil"/>
            </w:tcBorders>
            <w:shd w:val="clear" w:color="auto" w:fill="B8CCE4" w:themeFill="accent1" w:themeFillTint="66"/>
            <w:vAlign w:val="center"/>
          </w:tcPr>
          <w:p w14:paraId="42AF0CDA"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083</w:t>
            </w:r>
          </w:p>
        </w:tc>
      </w:tr>
    </w:tbl>
    <w:p w14:paraId="465D168E" w14:textId="77777777" w:rsidR="004B00EC" w:rsidRDefault="004B00EC" w:rsidP="00B15586"/>
    <w:p w14:paraId="7C37244B" w14:textId="77777777" w:rsidR="00A269A5" w:rsidRDefault="00A269A5" w:rsidP="0095311F">
      <w:pPr>
        <w:pStyle w:val="Figureheading"/>
      </w:pPr>
      <w:r>
        <w:t>3.</w:t>
      </w:r>
      <w:r w:rsidR="007B717D">
        <w:t>20</w:t>
      </w:r>
      <w:r>
        <w:tab/>
      </w:r>
      <w:r w:rsidR="004B00EC" w:rsidRPr="00D74CC3">
        <w:t xml:space="preserve">Number of reports </w:t>
      </w:r>
      <w:r>
        <w:t xml:space="preserve">for 2006, </w:t>
      </w:r>
      <w:r w:rsidR="004B00EC" w:rsidRPr="00D74CC3">
        <w:t>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76"/>
        <w:gridCol w:w="1177"/>
        <w:gridCol w:w="1176"/>
        <w:gridCol w:w="1177"/>
        <w:gridCol w:w="1177"/>
        <w:gridCol w:w="1176"/>
        <w:gridCol w:w="1177"/>
        <w:gridCol w:w="1176"/>
        <w:gridCol w:w="1177"/>
        <w:gridCol w:w="1177"/>
      </w:tblGrid>
      <w:tr w:rsidR="004B00EC" w:rsidRPr="00F44E7A" w14:paraId="10098F42" w14:textId="77777777" w:rsidTr="00137AE1">
        <w:trPr>
          <w:trHeight w:val="329"/>
          <w:tblHeader/>
        </w:trPr>
        <w:tc>
          <w:tcPr>
            <w:tcW w:w="2660" w:type="dxa"/>
            <w:shd w:val="clear" w:color="auto" w:fill="B8CCE4" w:themeFill="accent1" w:themeFillTint="66"/>
            <w:noWrap/>
            <w:hideMark/>
          </w:tcPr>
          <w:p w14:paraId="6A7841DC" w14:textId="77777777" w:rsidR="004B00EC" w:rsidRPr="00F44E7A" w:rsidRDefault="004B00EC" w:rsidP="00CE2FDF">
            <w:pPr>
              <w:keepNext/>
              <w:spacing w:before="0" w:line="276" w:lineRule="auto"/>
              <w:jc w:val="center"/>
              <w:rPr>
                <w:rFonts w:eastAsia="Times New Roman" w:cs="Arial"/>
                <w:b/>
                <w:lang w:eastAsia="en-AU"/>
              </w:rPr>
            </w:pPr>
          </w:p>
        </w:tc>
        <w:tc>
          <w:tcPr>
            <w:tcW w:w="2353" w:type="dxa"/>
            <w:gridSpan w:val="2"/>
            <w:shd w:val="clear" w:color="auto" w:fill="B8CCE4" w:themeFill="accent1" w:themeFillTint="66"/>
            <w:noWrap/>
            <w:hideMark/>
          </w:tcPr>
          <w:p w14:paraId="2283956D" w14:textId="77777777" w:rsidR="004B00EC" w:rsidRPr="00F44E7A" w:rsidRDefault="004B00EC"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2D083DC8" w14:textId="77777777" w:rsidR="004B00EC" w:rsidRPr="00F44E7A" w:rsidRDefault="004B00EC"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3036EA90" w14:textId="77777777" w:rsidR="004B00EC" w:rsidRPr="00F44E7A" w:rsidRDefault="004B00EC"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45D16609" w14:textId="77777777" w:rsidR="004B00EC" w:rsidRPr="00F44E7A" w:rsidRDefault="004B00EC"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0D444B4D" w14:textId="77777777" w:rsidR="004B00EC" w:rsidRPr="00F44E7A" w:rsidRDefault="004B00EC"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4B00EC" w:rsidRPr="00F44E7A" w14:paraId="396C2909" w14:textId="77777777" w:rsidTr="00137AE1">
        <w:trPr>
          <w:trHeight w:val="264"/>
          <w:tblHeader/>
        </w:trPr>
        <w:tc>
          <w:tcPr>
            <w:tcW w:w="2660" w:type="dxa"/>
            <w:shd w:val="clear" w:color="auto" w:fill="B8CCE4" w:themeFill="accent1" w:themeFillTint="66"/>
            <w:noWrap/>
            <w:hideMark/>
          </w:tcPr>
          <w:p w14:paraId="59C998FD" w14:textId="77777777" w:rsidR="004B00EC" w:rsidRPr="00F44E7A" w:rsidRDefault="004B00EC" w:rsidP="00CE2FDF">
            <w:pPr>
              <w:keepNext/>
              <w:spacing w:before="0" w:line="276"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25FEFCBA"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423224BE"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18B85735"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72F638FC"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AF5063E"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54FD6B8A"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19136015"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1759BC08"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88F2D6F" w14:textId="77777777" w:rsidR="004B00EC" w:rsidRPr="00F44E7A" w:rsidRDefault="004B00EC"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57CEF3CF" w14:textId="77777777" w:rsidR="004B00EC" w:rsidRPr="00F44E7A" w:rsidRDefault="004B00EC"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4B00EC" w:rsidRPr="003324F1" w14:paraId="4CAAD6E9" w14:textId="77777777" w:rsidTr="00F2448E">
        <w:trPr>
          <w:trHeight w:val="276"/>
        </w:trPr>
        <w:tc>
          <w:tcPr>
            <w:tcW w:w="2660" w:type="dxa"/>
            <w:noWrap/>
            <w:hideMark/>
          </w:tcPr>
          <w:p w14:paraId="056F1A23" w14:textId="77777777" w:rsidR="004B00EC" w:rsidRPr="00F44E7A" w:rsidRDefault="004B00EC"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1176" w:type="dxa"/>
            <w:tcBorders>
              <w:right w:val="nil"/>
            </w:tcBorders>
            <w:noWrap/>
            <w:vAlign w:val="center"/>
          </w:tcPr>
          <w:p w14:paraId="124A585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543</w:t>
            </w:r>
          </w:p>
        </w:tc>
        <w:tc>
          <w:tcPr>
            <w:tcW w:w="1177" w:type="dxa"/>
            <w:tcBorders>
              <w:left w:val="nil"/>
            </w:tcBorders>
            <w:vAlign w:val="center"/>
          </w:tcPr>
          <w:p w14:paraId="492C51E8"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534</w:t>
            </w:r>
          </w:p>
        </w:tc>
        <w:tc>
          <w:tcPr>
            <w:tcW w:w="1176" w:type="dxa"/>
            <w:tcBorders>
              <w:right w:val="nil"/>
            </w:tcBorders>
            <w:noWrap/>
            <w:vAlign w:val="center"/>
          </w:tcPr>
          <w:p w14:paraId="444F099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324</w:t>
            </w:r>
          </w:p>
        </w:tc>
        <w:tc>
          <w:tcPr>
            <w:tcW w:w="1177" w:type="dxa"/>
            <w:tcBorders>
              <w:left w:val="nil"/>
            </w:tcBorders>
            <w:vAlign w:val="center"/>
          </w:tcPr>
          <w:p w14:paraId="2730F88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322</w:t>
            </w:r>
          </w:p>
        </w:tc>
        <w:tc>
          <w:tcPr>
            <w:tcW w:w="1177" w:type="dxa"/>
            <w:tcBorders>
              <w:right w:val="nil"/>
            </w:tcBorders>
            <w:noWrap/>
            <w:vAlign w:val="center"/>
          </w:tcPr>
          <w:p w14:paraId="1CBAE56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204</w:t>
            </w:r>
          </w:p>
        </w:tc>
        <w:tc>
          <w:tcPr>
            <w:tcW w:w="1176" w:type="dxa"/>
            <w:tcBorders>
              <w:left w:val="nil"/>
            </w:tcBorders>
            <w:vAlign w:val="center"/>
          </w:tcPr>
          <w:p w14:paraId="48FF672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203</w:t>
            </w:r>
          </w:p>
        </w:tc>
        <w:tc>
          <w:tcPr>
            <w:tcW w:w="1177" w:type="dxa"/>
            <w:tcBorders>
              <w:right w:val="nil"/>
            </w:tcBorders>
            <w:noWrap/>
            <w:vAlign w:val="center"/>
          </w:tcPr>
          <w:p w14:paraId="092508A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120</w:t>
            </w:r>
          </w:p>
        </w:tc>
        <w:tc>
          <w:tcPr>
            <w:tcW w:w="1176" w:type="dxa"/>
            <w:tcBorders>
              <w:left w:val="nil"/>
            </w:tcBorders>
            <w:vAlign w:val="center"/>
          </w:tcPr>
          <w:p w14:paraId="6CC8CA93"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119</w:t>
            </w:r>
          </w:p>
        </w:tc>
        <w:tc>
          <w:tcPr>
            <w:tcW w:w="1177" w:type="dxa"/>
            <w:tcBorders>
              <w:right w:val="nil"/>
            </w:tcBorders>
            <w:noWrap/>
            <w:vAlign w:val="center"/>
          </w:tcPr>
          <w:p w14:paraId="6E104B2E"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867</w:t>
            </w:r>
          </w:p>
        </w:tc>
        <w:tc>
          <w:tcPr>
            <w:tcW w:w="1177" w:type="dxa"/>
            <w:tcBorders>
              <w:left w:val="nil"/>
            </w:tcBorders>
            <w:vAlign w:val="center"/>
          </w:tcPr>
          <w:p w14:paraId="02212591"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849</w:t>
            </w:r>
          </w:p>
        </w:tc>
      </w:tr>
      <w:tr w:rsidR="004B00EC" w:rsidRPr="003324F1" w14:paraId="75B56DE6" w14:textId="77777777" w:rsidTr="00F2448E">
        <w:trPr>
          <w:trHeight w:val="276"/>
        </w:trPr>
        <w:tc>
          <w:tcPr>
            <w:tcW w:w="2660" w:type="dxa"/>
            <w:shd w:val="clear" w:color="auto" w:fill="DBE5F1" w:themeFill="accent1" w:themeFillTint="33"/>
            <w:noWrap/>
            <w:hideMark/>
          </w:tcPr>
          <w:p w14:paraId="51037B11" w14:textId="77777777" w:rsidR="004B00EC" w:rsidRPr="00F44E7A" w:rsidRDefault="004B00EC"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0D95248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819</w:t>
            </w:r>
          </w:p>
        </w:tc>
        <w:tc>
          <w:tcPr>
            <w:tcW w:w="1177" w:type="dxa"/>
            <w:tcBorders>
              <w:left w:val="nil"/>
            </w:tcBorders>
            <w:shd w:val="clear" w:color="auto" w:fill="DBE5F1" w:themeFill="accent1" w:themeFillTint="33"/>
            <w:vAlign w:val="center"/>
          </w:tcPr>
          <w:p w14:paraId="2DA7115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794</w:t>
            </w:r>
          </w:p>
        </w:tc>
        <w:tc>
          <w:tcPr>
            <w:tcW w:w="1176" w:type="dxa"/>
            <w:tcBorders>
              <w:right w:val="nil"/>
            </w:tcBorders>
            <w:shd w:val="clear" w:color="auto" w:fill="DBE5F1" w:themeFill="accent1" w:themeFillTint="33"/>
            <w:noWrap/>
            <w:vAlign w:val="center"/>
          </w:tcPr>
          <w:p w14:paraId="7D51A06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571</w:t>
            </w:r>
          </w:p>
        </w:tc>
        <w:tc>
          <w:tcPr>
            <w:tcW w:w="1177" w:type="dxa"/>
            <w:tcBorders>
              <w:left w:val="nil"/>
            </w:tcBorders>
            <w:shd w:val="clear" w:color="auto" w:fill="DBE5F1" w:themeFill="accent1" w:themeFillTint="33"/>
            <w:vAlign w:val="center"/>
          </w:tcPr>
          <w:p w14:paraId="3F829EA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566</w:t>
            </w:r>
          </w:p>
        </w:tc>
        <w:tc>
          <w:tcPr>
            <w:tcW w:w="1177" w:type="dxa"/>
            <w:tcBorders>
              <w:right w:val="nil"/>
            </w:tcBorders>
            <w:shd w:val="clear" w:color="auto" w:fill="DBE5F1" w:themeFill="accent1" w:themeFillTint="33"/>
            <w:noWrap/>
            <w:vAlign w:val="center"/>
          </w:tcPr>
          <w:p w14:paraId="110D386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390</w:t>
            </w:r>
          </w:p>
        </w:tc>
        <w:tc>
          <w:tcPr>
            <w:tcW w:w="1176" w:type="dxa"/>
            <w:tcBorders>
              <w:left w:val="nil"/>
            </w:tcBorders>
            <w:shd w:val="clear" w:color="auto" w:fill="DBE5F1" w:themeFill="accent1" w:themeFillTint="33"/>
            <w:vAlign w:val="center"/>
          </w:tcPr>
          <w:p w14:paraId="433A533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389</w:t>
            </w:r>
          </w:p>
        </w:tc>
        <w:tc>
          <w:tcPr>
            <w:tcW w:w="1177" w:type="dxa"/>
            <w:tcBorders>
              <w:right w:val="nil"/>
            </w:tcBorders>
            <w:shd w:val="clear" w:color="auto" w:fill="DBE5F1" w:themeFill="accent1" w:themeFillTint="33"/>
            <w:noWrap/>
            <w:vAlign w:val="center"/>
          </w:tcPr>
          <w:p w14:paraId="2F971F8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181</w:t>
            </w:r>
          </w:p>
        </w:tc>
        <w:tc>
          <w:tcPr>
            <w:tcW w:w="1176" w:type="dxa"/>
            <w:tcBorders>
              <w:left w:val="nil"/>
            </w:tcBorders>
            <w:shd w:val="clear" w:color="auto" w:fill="DBE5F1" w:themeFill="accent1" w:themeFillTint="33"/>
            <w:vAlign w:val="center"/>
          </w:tcPr>
          <w:p w14:paraId="53A0460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181</w:t>
            </w:r>
          </w:p>
        </w:tc>
        <w:tc>
          <w:tcPr>
            <w:tcW w:w="1177" w:type="dxa"/>
            <w:tcBorders>
              <w:right w:val="nil"/>
            </w:tcBorders>
            <w:shd w:val="clear" w:color="auto" w:fill="DBE5F1" w:themeFill="accent1" w:themeFillTint="33"/>
            <w:noWrap/>
            <w:vAlign w:val="center"/>
          </w:tcPr>
          <w:p w14:paraId="46AB0376"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390</w:t>
            </w:r>
          </w:p>
        </w:tc>
        <w:tc>
          <w:tcPr>
            <w:tcW w:w="1177" w:type="dxa"/>
            <w:tcBorders>
              <w:left w:val="nil"/>
            </w:tcBorders>
            <w:shd w:val="clear" w:color="auto" w:fill="DBE5F1" w:themeFill="accent1" w:themeFillTint="33"/>
            <w:vAlign w:val="center"/>
          </w:tcPr>
          <w:p w14:paraId="29B090F2"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336</w:t>
            </w:r>
          </w:p>
        </w:tc>
      </w:tr>
      <w:tr w:rsidR="004B00EC" w:rsidRPr="003324F1" w14:paraId="39563AD2" w14:textId="77777777" w:rsidTr="00F2448E">
        <w:trPr>
          <w:trHeight w:val="276"/>
        </w:trPr>
        <w:tc>
          <w:tcPr>
            <w:tcW w:w="2660" w:type="dxa"/>
            <w:noWrap/>
            <w:hideMark/>
          </w:tcPr>
          <w:p w14:paraId="4C461687" w14:textId="77777777" w:rsidR="004B00EC" w:rsidRPr="00F44E7A" w:rsidRDefault="004B00EC" w:rsidP="00CE2FDF">
            <w:pPr>
              <w:spacing w:before="0" w:line="276"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noWrap/>
            <w:vAlign w:val="center"/>
          </w:tcPr>
          <w:p w14:paraId="37DB0A3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013</w:t>
            </w:r>
          </w:p>
        </w:tc>
        <w:tc>
          <w:tcPr>
            <w:tcW w:w="1177" w:type="dxa"/>
            <w:tcBorders>
              <w:left w:val="nil"/>
            </w:tcBorders>
            <w:vAlign w:val="center"/>
          </w:tcPr>
          <w:p w14:paraId="6922C8C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798</w:t>
            </w:r>
          </w:p>
        </w:tc>
        <w:tc>
          <w:tcPr>
            <w:tcW w:w="1176" w:type="dxa"/>
            <w:tcBorders>
              <w:right w:val="nil"/>
            </w:tcBorders>
            <w:noWrap/>
            <w:vAlign w:val="center"/>
          </w:tcPr>
          <w:p w14:paraId="767D3F0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378</w:t>
            </w:r>
          </w:p>
        </w:tc>
        <w:tc>
          <w:tcPr>
            <w:tcW w:w="1177" w:type="dxa"/>
            <w:tcBorders>
              <w:left w:val="nil"/>
            </w:tcBorders>
            <w:vAlign w:val="center"/>
          </w:tcPr>
          <w:p w14:paraId="3DE6D27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319</w:t>
            </w:r>
          </w:p>
        </w:tc>
        <w:tc>
          <w:tcPr>
            <w:tcW w:w="1177" w:type="dxa"/>
            <w:tcBorders>
              <w:right w:val="nil"/>
            </w:tcBorders>
            <w:noWrap/>
            <w:vAlign w:val="center"/>
          </w:tcPr>
          <w:p w14:paraId="5B26106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806</w:t>
            </w:r>
          </w:p>
        </w:tc>
        <w:tc>
          <w:tcPr>
            <w:tcW w:w="1176" w:type="dxa"/>
            <w:tcBorders>
              <w:left w:val="nil"/>
            </w:tcBorders>
            <w:vAlign w:val="center"/>
          </w:tcPr>
          <w:p w14:paraId="5E50171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768</w:t>
            </w:r>
          </w:p>
        </w:tc>
        <w:tc>
          <w:tcPr>
            <w:tcW w:w="1177" w:type="dxa"/>
            <w:tcBorders>
              <w:right w:val="nil"/>
            </w:tcBorders>
            <w:noWrap/>
            <w:vAlign w:val="center"/>
          </w:tcPr>
          <w:p w14:paraId="41926E66"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572</w:t>
            </w:r>
          </w:p>
        </w:tc>
        <w:tc>
          <w:tcPr>
            <w:tcW w:w="1176" w:type="dxa"/>
            <w:tcBorders>
              <w:left w:val="nil"/>
            </w:tcBorders>
            <w:vAlign w:val="center"/>
          </w:tcPr>
          <w:p w14:paraId="29A21CD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570</w:t>
            </w:r>
          </w:p>
        </w:tc>
        <w:tc>
          <w:tcPr>
            <w:tcW w:w="1177" w:type="dxa"/>
            <w:tcBorders>
              <w:right w:val="nil"/>
            </w:tcBorders>
            <w:noWrap/>
            <w:vAlign w:val="center"/>
          </w:tcPr>
          <w:p w14:paraId="4B3A3402"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391</w:t>
            </w:r>
          </w:p>
        </w:tc>
        <w:tc>
          <w:tcPr>
            <w:tcW w:w="1177" w:type="dxa"/>
            <w:tcBorders>
              <w:left w:val="nil"/>
            </w:tcBorders>
            <w:vAlign w:val="center"/>
          </w:tcPr>
          <w:p w14:paraId="12EA15E2"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929</w:t>
            </w:r>
          </w:p>
        </w:tc>
      </w:tr>
      <w:tr w:rsidR="004B00EC" w:rsidRPr="003324F1" w14:paraId="73033BC0" w14:textId="77777777" w:rsidTr="00F2448E">
        <w:trPr>
          <w:trHeight w:val="276"/>
        </w:trPr>
        <w:tc>
          <w:tcPr>
            <w:tcW w:w="2660" w:type="dxa"/>
            <w:shd w:val="clear" w:color="auto" w:fill="DBE5F1" w:themeFill="accent1" w:themeFillTint="33"/>
            <w:noWrap/>
            <w:hideMark/>
          </w:tcPr>
          <w:p w14:paraId="3C1B5B36"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DBE5F1" w:themeFill="accent1" w:themeFillTint="33"/>
            <w:noWrap/>
            <w:vAlign w:val="center"/>
          </w:tcPr>
          <w:p w14:paraId="0087070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740</w:t>
            </w:r>
          </w:p>
        </w:tc>
        <w:tc>
          <w:tcPr>
            <w:tcW w:w="1177" w:type="dxa"/>
            <w:tcBorders>
              <w:left w:val="nil"/>
            </w:tcBorders>
            <w:shd w:val="clear" w:color="auto" w:fill="DBE5F1" w:themeFill="accent1" w:themeFillTint="33"/>
            <w:vAlign w:val="center"/>
          </w:tcPr>
          <w:p w14:paraId="57264EC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258</w:t>
            </w:r>
          </w:p>
        </w:tc>
        <w:tc>
          <w:tcPr>
            <w:tcW w:w="1176" w:type="dxa"/>
            <w:tcBorders>
              <w:right w:val="nil"/>
            </w:tcBorders>
            <w:shd w:val="clear" w:color="auto" w:fill="DBE5F1" w:themeFill="accent1" w:themeFillTint="33"/>
            <w:noWrap/>
            <w:vAlign w:val="center"/>
          </w:tcPr>
          <w:p w14:paraId="73A9B01D"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173</w:t>
            </w:r>
          </w:p>
        </w:tc>
        <w:tc>
          <w:tcPr>
            <w:tcW w:w="1177" w:type="dxa"/>
            <w:tcBorders>
              <w:left w:val="nil"/>
            </w:tcBorders>
            <w:shd w:val="clear" w:color="auto" w:fill="DBE5F1" w:themeFill="accent1" w:themeFillTint="33"/>
            <w:vAlign w:val="center"/>
          </w:tcPr>
          <w:p w14:paraId="4FD64331"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158</w:t>
            </w:r>
          </w:p>
        </w:tc>
        <w:tc>
          <w:tcPr>
            <w:tcW w:w="1177" w:type="dxa"/>
            <w:tcBorders>
              <w:right w:val="nil"/>
            </w:tcBorders>
            <w:shd w:val="clear" w:color="auto" w:fill="DBE5F1" w:themeFill="accent1" w:themeFillTint="33"/>
            <w:noWrap/>
            <w:vAlign w:val="center"/>
          </w:tcPr>
          <w:p w14:paraId="69DC95FA"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723</w:t>
            </w:r>
          </w:p>
        </w:tc>
        <w:tc>
          <w:tcPr>
            <w:tcW w:w="1176" w:type="dxa"/>
            <w:tcBorders>
              <w:left w:val="nil"/>
            </w:tcBorders>
            <w:shd w:val="clear" w:color="auto" w:fill="DBE5F1" w:themeFill="accent1" w:themeFillTint="33"/>
            <w:vAlign w:val="center"/>
          </w:tcPr>
          <w:p w14:paraId="4E72763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722</w:t>
            </w:r>
          </w:p>
        </w:tc>
        <w:tc>
          <w:tcPr>
            <w:tcW w:w="1177" w:type="dxa"/>
            <w:tcBorders>
              <w:right w:val="nil"/>
            </w:tcBorders>
            <w:shd w:val="clear" w:color="auto" w:fill="DBE5F1" w:themeFill="accent1" w:themeFillTint="33"/>
            <w:noWrap/>
            <w:vAlign w:val="center"/>
          </w:tcPr>
          <w:p w14:paraId="182E8A2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450</w:t>
            </w:r>
          </w:p>
        </w:tc>
        <w:tc>
          <w:tcPr>
            <w:tcW w:w="1176" w:type="dxa"/>
            <w:tcBorders>
              <w:left w:val="nil"/>
            </w:tcBorders>
            <w:shd w:val="clear" w:color="auto" w:fill="DBE5F1" w:themeFill="accent1" w:themeFillTint="33"/>
            <w:vAlign w:val="center"/>
          </w:tcPr>
          <w:p w14:paraId="4C77CAE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448</w:t>
            </w:r>
          </w:p>
        </w:tc>
        <w:tc>
          <w:tcPr>
            <w:tcW w:w="1177" w:type="dxa"/>
            <w:tcBorders>
              <w:right w:val="nil"/>
            </w:tcBorders>
            <w:shd w:val="clear" w:color="auto" w:fill="DBE5F1" w:themeFill="accent1" w:themeFillTint="33"/>
            <w:noWrap/>
            <w:vAlign w:val="center"/>
          </w:tcPr>
          <w:p w14:paraId="2AAF9845"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913</w:t>
            </w:r>
          </w:p>
        </w:tc>
        <w:tc>
          <w:tcPr>
            <w:tcW w:w="1177" w:type="dxa"/>
            <w:tcBorders>
              <w:left w:val="nil"/>
            </w:tcBorders>
            <w:shd w:val="clear" w:color="auto" w:fill="DBE5F1" w:themeFill="accent1" w:themeFillTint="33"/>
            <w:vAlign w:val="center"/>
          </w:tcPr>
          <w:p w14:paraId="2D716A2E"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656</w:t>
            </w:r>
          </w:p>
        </w:tc>
      </w:tr>
      <w:tr w:rsidR="004B00EC" w:rsidRPr="003324F1" w14:paraId="58CA762A" w14:textId="77777777" w:rsidTr="00F2448E">
        <w:trPr>
          <w:trHeight w:val="276"/>
        </w:trPr>
        <w:tc>
          <w:tcPr>
            <w:tcW w:w="2660" w:type="dxa"/>
            <w:shd w:val="clear" w:color="auto" w:fill="auto"/>
            <w:noWrap/>
            <w:hideMark/>
          </w:tcPr>
          <w:p w14:paraId="5E183B2B"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Psychiatrists</w:t>
            </w:r>
          </w:p>
        </w:tc>
        <w:tc>
          <w:tcPr>
            <w:tcW w:w="1176" w:type="dxa"/>
            <w:tcBorders>
              <w:right w:val="nil"/>
            </w:tcBorders>
            <w:shd w:val="clear" w:color="auto" w:fill="auto"/>
            <w:noWrap/>
            <w:vAlign w:val="center"/>
          </w:tcPr>
          <w:p w14:paraId="62A2DBBA"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128</w:t>
            </w:r>
          </w:p>
        </w:tc>
        <w:tc>
          <w:tcPr>
            <w:tcW w:w="1177" w:type="dxa"/>
            <w:tcBorders>
              <w:left w:val="nil"/>
            </w:tcBorders>
            <w:shd w:val="clear" w:color="auto" w:fill="auto"/>
            <w:vAlign w:val="center"/>
          </w:tcPr>
          <w:p w14:paraId="1CD4591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124</w:t>
            </w:r>
          </w:p>
        </w:tc>
        <w:tc>
          <w:tcPr>
            <w:tcW w:w="1176" w:type="dxa"/>
            <w:tcBorders>
              <w:right w:val="nil"/>
            </w:tcBorders>
            <w:shd w:val="clear" w:color="auto" w:fill="auto"/>
            <w:noWrap/>
            <w:vAlign w:val="center"/>
          </w:tcPr>
          <w:p w14:paraId="196BB8FB"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67</w:t>
            </w:r>
          </w:p>
        </w:tc>
        <w:tc>
          <w:tcPr>
            <w:tcW w:w="1177" w:type="dxa"/>
            <w:tcBorders>
              <w:left w:val="nil"/>
            </w:tcBorders>
            <w:shd w:val="clear" w:color="auto" w:fill="auto"/>
            <w:vAlign w:val="center"/>
          </w:tcPr>
          <w:p w14:paraId="54A429E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67</w:t>
            </w:r>
          </w:p>
        </w:tc>
        <w:tc>
          <w:tcPr>
            <w:tcW w:w="1177" w:type="dxa"/>
            <w:tcBorders>
              <w:right w:val="nil"/>
            </w:tcBorders>
            <w:shd w:val="clear" w:color="auto" w:fill="auto"/>
            <w:noWrap/>
            <w:vAlign w:val="center"/>
          </w:tcPr>
          <w:p w14:paraId="38E98ADE"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40</w:t>
            </w:r>
          </w:p>
        </w:tc>
        <w:tc>
          <w:tcPr>
            <w:tcW w:w="1176" w:type="dxa"/>
            <w:tcBorders>
              <w:left w:val="nil"/>
            </w:tcBorders>
            <w:shd w:val="clear" w:color="auto" w:fill="auto"/>
            <w:vAlign w:val="center"/>
          </w:tcPr>
          <w:p w14:paraId="728146B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40</w:t>
            </w:r>
          </w:p>
        </w:tc>
        <w:tc>
          <w:tcPr>
            <w:tcW w:w="1177" w:type="dxa"/>
            <w:tcBorders>
              <w:right w:val="nil"/>
            </w:tcBorders>
            <w:shd w:val="clear" w:color="auto" w:fill="auto"/>
            <w:noWrap/>
            <w:vAlign w:val="center"/>
          </w:tcPr>
          <w:p w14:paraId="6482625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27</w:t>
            </w:r>
          </w:p>
        </w:tc>
        <w:tc>
          <w:tcPr>
            <w:tcW w:w="1176" w:type="dxa"/>
            <w:tcBorders>
              <w:left w:val="nil"/>
            </w:tcBorders>
            <w:shd w:val="clear" w:color="auto" w:fill="auto"/>
            <w:vAlign w:val="center"/>
          </w:tcPr>
          <w:p w14:paraId="7903CD0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27</w:t>
            </w:r>
          </w:p>
        </w:tc>
        <w:tc>
          <w:tcPr>
            <w:tcW w:w="1177" w:type="dxa"/>
            <w:tcBorders>
              <w:right w:val="nil"/>
            </w:tcBorders>
            <w:shd w:val="clear" w:color="auto" w:fill="auto"/>
            <w:noWrap/>
            <w:vAlign w:val="center"/>
          </w:tcPr>
          <w:p w14:paraId="21DD06BE"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195</w:t>
            </w:r>
          </w:p>
        </w:tc>
        <w:tc>
          <w:tcPr>
            <w:tcW w:w="1177" w:type="dxa"/>
            <w:tcBorders>
              <w:left w:val="nil"/>
            </w:tcBorders>
            <w:shd w:val="clear" w:color="auto" w:fill="auto"/>
            <w:vAlign w:val="center"/>
          </w:tcPr>
          <w:p w14:paraId="37587D44"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190</w:t>
            </w:r>
          </w:p>
        </w:tc>
      </w:tr>
      <w:tr w:rsidR="004B00EC" w:rsidRPr="003324F1" w14:paraId="42401D40" w14:textId="77777777" w:rsidTr="00F2448E">
        <w:trPr>
          <w:trHeight w:val="276"/>
        </w:trPr>
        <w:tc>
          <w:tcPr>
            <w:tcW w:w="2660" w:type="dxa"/>
            <w:shd w:val="clear" w:color="auto" w:fill="DBE5F1" w:themeFill="accent1" w:themeFillTint="33"/>
            <w:noWrap/>
            <w:hideMark/>
          </w:tcPr>
          <w:p w14:paraId="6A2408A4"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176" w:type="dxa"/>
            <w:tcBorders>
              <w:right w:val="nil"/>
            </w:tcBorders>
            <w:shd w:val="clear" w:color="auto" w:fill="DBE5F1" w:themeFill="accent1" w:themeFillTint="33"/>
            <w:noWrap/>
            <w:vAlign w:val="center"/>
          </w:tcPr>
          <w:p w14:paraId="036C5E30"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9</w:t>
            </w:r>
            <w:r>
              <w:rPr>
                <w:rFonts w:eastAsia="Times New Roman" w:cs="Arial"/>
                <w:lang w:eastAsia="en-AU"/>
              </w:rPr>
              <w:t>,</w:t>
            </w:r>
            <w:r w:rsidRPr="00676396">
              <w:rPr>
                <w:rFonts w:eastAsia="Times New Roman" w:cs="Arial"/>
                <w:lang w:eastAsia="en-AU"/>
              </w:rPr>
              <w:t>243</w:t>
            </w:r>
          </w:p>
        </w:tc>
        <w:tc>
          <w:tcPr>
            <w:tcW w:w="1177" w:type="dxa"/>
            <w:tcBorders>
              <w:left w:val="nil"/>
            </w:tcBorders>
            <w:shd w:val="clear" w:color="auto" w:fill="DBE5F1" w:themeFill="accent1" w:themeFillTint="33"/>
            <w:vAlign w:val="center"/>
          </w:tcPr>
          <w:p w14:paraId="6F660C6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8</w:t>
            </w:r>
            <w:r>
              <w:rPr>
                <w:rFonts w:eastAsia="Times New Roman" w:cs="Arial"/>
                <w:lang w:eastAsia="en-AU"/>
              </w:rPr>
              <w:t>,</w:t>
            </w:r>
            <w:r w:rsidRPr="00676396">
              <w:rPr>
                <w:rFonts w:eastAsia="Times New Roman" w:cs="Arial"/>
                <w:lang w:eastAsia="en-AU"/>
              </w:rPr>
              <w:t>616</w:t>
            </w:r>
          </w:p>
        </w:tc>
        <w:tc>
          <w:tcPr>
            <w:tcW w:w="1176" w:type="dxa"/>
            <w:tcBorders>
              <w:right w:val="nil"/>
            </w:tcBorders>
            <w:shd w:val="clear" w:color="auto" w:fill="DBE5F1" w:themeFill="accent1" w:themeFillTint="33"/>
            <w:noWrap/>
            <w:vAlign w:val="center"/>
          </w:tcPr>
          <w:p w14:paraId="38F70218"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513</w:t>
            </w:r>
          </w:p>
        </w:tc>
        <w:tc>
          <w:tcPr>
            <w:tcW w:w="1177" w:type="dxa"/>
            <w:tcBorders>
              <w:left w:val="nil"/>
            </w:tcBorders>
            <w:shd w:val="clear" w:color="auto" w:fill="DBE5F1" w:themeFill="accent1" w:themeFillTint="33"/>
            <w:vAlign w:val="center"/>
          </w:tcPr>
          <w:p w14:paraId="7718268F"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382</w:t>
            </w:r>
          </w:p>
        </w:tc>
        <w:tc>
          <w:tcPr>
            <w:tcW w:w="1177" w:type="dxa"/>
            <w:tcBorders>
              <w:right w:val="nil"/>
            </w:tcBorders>
            <w:shd w:val="clear" w:color="auto" w:fill="DBE5F1" w:themeFill="accent1" w:themeFillTint="33"/>
            <w:noWrap/>
            <w:vAlign w:val="center"/>
          </w:tcPr>
          <w:p w14:paraId="748C45F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163</w:t>
            </w:r>
          </w:p>
        </w:tc>
        <w:tc>
          <w:tcPr>
            <w:tcW w:w="1176" w:type="dxa"/>
            <w:tcBorders>
              <w:left w:val="nil"/>
            </w:tcBorders>
            <w:shd w:val="clear" w:color="auto" w:fill="DBE5F1" w:themeFill="accent1" w:themeFillTint="33"/>
            <w:vAlign w:val="center"/>
          </w:tcPr>
          <w:p w14:paraId="4465050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106</w:t>
            </w:r>
          </w:p>
        </w:tc>
        <w:tc>
          <w:tcPr>
            <w:tcW w:w="1177" w:type="dxa"/>
            <w:tcBorders>
              <w:right w:val="nil"/>
            </w:tcBorders>
            <w:shd w:val="clear" w:color="auto" w:fill="DBE5F1" w:themeFill="accent1" w:themeFillTint="33"/>
            <w:noWrap/>
            <w:vAlign w:val="center"/>
          </w:tcPr>
          <w:p w14:paraId="727F81F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350</w:t>
            </w:r>
          </w:p>
        </w:tc>
        <w:tc>
          <w:tcPr>
            <w:tcW w:w="1176" w:type="dxa"/>
            <w:tcBorders>
              <w:left w:val="nil"/>
            </w:tcBorders>
            <w:shd w:val="clear" w:color="auto" w:fill="DBE5F1" w:themeFill="accent1" w:themeFillTint="33"/>
            <w:vAlign w:val="center"/>
          </w:tcPr>
          <w:p w14:paraId="20AA9E94"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338</w:t>
            </w:r>
          </w:p>
        </w:tc>
        <w:tc>
          <w:tcPr>
            <w:tcW w:w="1177" w:type="dxa"/>
            <w:tcBorders>
              <w:right w:val="nil"/>
            </w:tcBorders>
            <w:shd w:val="clear" w:color="auto" w:fill="DBE5F1" w:themeFill="accent1" w:themeFillTint="33"/>
            <w:noWrap/>
            <w:vAlign w:val="center"/>
          </w:tcPr>
          <w:p w14:paraId="4C925B52"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756</w:t>
            </w:r>
          </w:p>
        </w:tc>
        <w:tc>
          <w:tcPr>
            <w:tcW w:w="1177" w:type="dxa"/>
            <w:tcBorders>
              <w:left w:val="nil"/>
            </w:tcBorders>
            <w:shd w:val="clear" w:color="auto" w:fill="DBE5F1" w:themeFill="accent1" w:themeFillTint="33"/>
            <w:vAlign w:val="center"/>
          </w:tcPr>
          <w:p w14:paraId="25C6448A"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12</w:t>
            </w:r>
            <w:r>
              <w:rPr>
                <w:rFonts w:eastAsia="Times New Roman" w:cs="Arial"/>
                <w:b/>
                <w:lang w:eastAsia="en-AU"/>
              </w:rPr>
              <w:t>,</w:t>
            </w:r>
            <w:r w:rsidRPr="00676396">
              <w:rPr>
                <w:rFonts w:eastAsia="Times New Roman" w:cs="Arial"/>
                <w:b/>
                <w:lang w:eastAsia="en-AU"/>
              </w:rPr>
              <w:t>489</w:t>
            </w:r>
          </w:p>
        </w:tc>
      </w:tr>
      <w:tr w:rsidR="004B00EC" w:rsidRPr="003324F1" w14:paraId="0B09A1C2" w14:textId="77777777" w:rsidTr="00F2448E">
        <w:trPr>
          <w:trHeight w:val="276"/>
        </w:trPr>
        <w:tc>
          <w:tcPr>
            <w:tcW w:w="2660" w:type="dxa"/>
            <w:shd w:val="clear" w:color="auto" w:fill="auto"/>
            <w:noWrap/>
            <w:hideMark/>
          </w:tcPr>
          <w:p w14:paraId="30AF0627" w14:textId="77777777" w:rsidR="004B00EC" w:rsidRPr="00F44E7A" w:rsidRDefault="004B00EC"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1176" w:type="dxa"/>
            <w:tcBorders>
              <w:right w:val="nil"/>
            </w:tcBorders>
            <w:shd w:val="clear" w:color="auto" w:fill="auto"/>
            <w:noWrap/>
            <w:vAlign w:val="center"/>
          </w:tcPr>
          <w:p w14:paraId="458BE13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16</w:t>
            </w:r>
            <w:r>
              <w:rPr>
                <w:rFonts w:eastAsia="Times New Roman" w:cs="Arial"/>
                <w:lang w:eastAsia="en-AU"/>
              </w:rPr>
              <w:t>,</w:t>
            </w:r>
            <w:r w:rsidRPr="00676396">
              <w:rPr>
                <w:rFonts w:eastAsia="Times New Roman" w:cs="Arial"/>
                <w:lang w:eastAsia="en-AU"/>
              </w:rPr>
              <w:t>933</w:t>
            </w:r>
          </w:p>
        </w:tc>
        <w:tc>
          <w:tcPr>
            <w:tcW w:w="1177" w:type="dxa"/>
            <w:tcBorders>
              <w:left w:val="nil"/>
            </w:tcBorders>
            <w:shd w:val="clear" w:color="auto" w:fill="auto"/>
            <w:vAlign w:val="center"/>
          </w:tcPr>
          <w:p w14:paraId="224B7C55"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14</w:t>
            </w:r>
            <w:r>
              <w:rPr>
                <w:rFonts w:eastAsia="Times New Roman" w:cs="Arial"/>
                <w:lang w:eastAsia="en-AU"/>
              </w:rPr>
              <w:t>,</w:t>
            </w:r>
            <w:r w:rsidRPr="00676396">
              <w:rPr>
                <w:rFonts w:eastAsia="Times New Roman" w:cs="Arial"/>
                <w:lang w:eastAsia="en-AU"/>
              </w:rPr>
              <w:t>290</w:t>
            </w:r>
          </w:p>
        </w:tc>
        <w:tc>
          <w:tcPr>
            <w:tcW w:w="1176" w:type="dxa"/>
            <w:tcBorders>
              <w:right w:val="nil"/>
            </w:tcBorders>
            <w:shd w:val="clear" w:color="auto" w:fill="auto"/>
            <w:noWrap/>
            <w:vAlign w:val="center"/>
          </w:tcPr>
          <w:p w14:paraId="44ED86B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004</w:t>
            </w:r>
          </w:p>
        </w:tc>
        <w:tc>
          <w:tcPr>
            <w:tcW w:w="1177" w:type="dxa"/>
            <w:tcBorders>
              <w:left w:val="nil"/>
            </w:tcBorders>
            <w:shd w:val="clear" w:color="auto" w:fill="auto"/>
            <w:vAlign w:val="center"/>
          </w:tcPr>
          <w:p w14:paraId="67552EE2"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656</w:t>
            </w:r>
          </w:p>
        </w:tc>
        <w:tc>
          <w:tcPr>
            <w:tcW w:w="1177" w:type="dxa"/>
            <w:tcBorders>
              <w:right w:val="nil"/>
            </w:tcBorders>
            <w:shd w:val="clear" w:color="auto" w:fill="auto"/>
            <w:noWrap/>
            <w:vAlign w:val="center"/>
          </w:tcPr>
          <w:p w14:paraId="49F4743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325</w:t>
            </w:r>
          </w:p>
        </w:tc>
        <w:tc>
          <w:tcPr>
            <w:tcW w:w="1176" w:type="dxa"/>
            <w:tcBorders>
              <w:left w:val="nil"/>
            </w:tcBorders>
            <w:shd w:val="clear" w:color="auto" w:fill="auto"/>
            <w:vAlign w:val="center"/>
          </w:tcPr>
          <w:p w14:paraId="421BFD5C"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217</w:t>
            </w:r>
          </w:p>
        </w:tc>
        <w:tc>
          <w:tcPr>
            <w:tcW w:w="1177" w:type="dxa"/>
            <w:tcBorders>
              <w:right w:val="nil"/>
            </w:tcBorders>
            <w:shd w:val="clear" w:color="auto" w:fill="auto"/>
            <w:noWrap/>
            <w:vAlign w:val="center"/>
          </w:tcPr>
          <w:p w14:paraId="46D38AE9"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679</w:t>
            </w:r>
          </w:p>
        </w:tc>
        <w:tc>
          <w:tcPr>
            <w:tcW w:w="1176" w:type="dxa"/>
            <w:tcBorders>
              <w:left w:val="nil"/>
            </w:tcBorders>
            <w:shd w:val="clear" w:color="auto" w:fill="auto"/>
            <w:vAlign w:val="center"/>
          </w:tcPr>
          <w:p w14:paraId="3C84FA57" w14:textId="77777777" w:rsidR="004B00EC" w:rsidRPr="00676396" w:rsidRDefault="004B00EC"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596</w:t>
            </w:r>
          </w:p>
        </w:tc>
        <w:tc>
          <w:tcPr>
            <w:tcW w:w="1177" w:type="dxa"/>
            <w:tcBorders>
              <w:right w:val="nil"/>
            </w:tcBorders>
            <w:shd w:val="clear" w:color="auto" w:fill="auto"/>
            <w:noWrap/>
            <w:vAlign w:val="center"/>
          </w:tcPr>
          <w:p w14:paraId="5484B272"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23</w:t>
            </w:r>
            <w:r>
              <w:rPr>
                <w:rFonts w:eastAsia="Times New Roman" w:cs="Arial"/>
                <w:b/>
                <w:lang w:eastAsia="en-AU"/>
              </w:rPr>
              <w:t>,</w:t>
            </w:r>
            <w:r w:rsidRPr="00676396">
              <w:rPr>
                <w:rFonts w:eastAsia="Times New Roman" w:cs="Arial"/>
                <w:b/>
                <w:lang w:eastAsia="en-AU"/>
              </w:rPr>
              <w:t>937</w:t>
            </w:r>
          </w:p>
        </w:tc>
        <w:tc>
          <w:tcPr>
            <w:tcW w:w="1177" w:type="dxa"/>
            <w:tcBorders>
              <w:left w:val="nil"/>
            </w:tcBorders>
            <w:shd w:val="clear" w:color="auto" w:fill="auto"/>
            <w:vAlign w:val="center"/>
          </w:tcPr>
          <w:p w14:paraId="01BEAD43"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19</w:t>
            </w:r>
            <w:r>
              <w:rPr>
                <w:rFonts w:eastAsia="Times New Roman" w:cs="Arial"/>
                <w:b/>
                <w:lang w:eastAsia="en-AU"/>
              </w:rPr>
              <w:t>,</w:t>
            </w:r>
            <w:r w:rsidRPr="00676396">
              <w:rPr>
                <w:rFonts w:eastAsia="Times New Roman" w:cs="Arial"/>
                <w:b/>
                <w:lang w:eastAsia="en-AU"/>
              </w:rPr>
              <w:t>640</w:t>
            </w:r>
          </w:p>
        </w:tc>
      </w:tr>
      <w:tr w:rsidR="004B00EC" w:rsidRPr="00FD6E8E" w14:paraId="133B69EA" w14:textId="77777777" w:rsidTr="00F2448E">
        <w:trPr>
          <w:trHeight w:val="276"/>
        </w:trPr>
        <w:tc>
          <w:tcPr>
            <w:tcW w:w="2660" w:type="dxa"/>
            <w:shd w:val="clear" w:color="auto" w:fill="B8CCE4" w:themeFill="accent1" w:themeFillTint="66"/>
            <w:noWrap/>
            <w:hideMark/>
          </w:tcPr>
          <w:p w14:paraId="0B8F4EB9" w14:textId="77777777" w:rsidR="004B00EC" w:rsidRPr="00FD6E8E" w:rsidRDefault="004B00EC"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1176" w:type="dxa"/>
            <w:tcBorders>
              <w:right w:val="nil"/>
            </w:tcBorders>
            <w:shd w:val="clear" w:color="auto" w:fill="B8CCE4" w:themeFill="accent1" w:themeFillTint="66"/>
            <w:noWrap/>
            <w:vAlign w:val="center"/>
          </w:tcPr>
          <w:p w14:paraId="13CBBF01"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26</w:t>
            </w:r>
            <w:r>
              <w:rPr>
                <w:rFonts w:eastAsia="Times New Roman" w:cs="Arial"/>
                <w:b/>
                <w:lang w:eastAsia="en-AU"/>
              </w:rPr>
              <w:t>,</w:t>
            </w:r>
            <w:r w:rsidRPr="00676396">
              <w:rPr>
                <w:rFonts w:eastAsia="Times New Roman" w:cs="Arial"/>
                <w:b/>
                <w:lang w:eastAsia="en-AU"/>
              </w:rPr>
              <w:t>176</w:t>
            </w:r>
          </w:p>
        </w:tc>
        <w:tc>
          <w:tcPr>
            <w:tcW w:w="1177" w:type="dxa"/>
            <w:tcBorders>
              <w:left w:val="nil"/>
            </w:tcBorders>
            <w:shd w:val="clear" w:color="auto" w:fill="B8CCE4" w:themeFill="accent1" w:themeFillTint="66"/>
            <w:vAlign w:val="center"/>
          </w:tcPr>
          <w:p w14:paraId="0A6B4F9A"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21</w:t>
            </w:r>
            <w:r>
              <w:rPr>
                <w:rFonts w:eastAsia="Times New Roman" w:cs="Arial"/>
                <w:b/>
                <w:lang w:eastAsia="en-AU"/>
              </w:rPr>
              <w:t>,</w:t>
            </w:r>
            <w:r w:rsidRPr="00676396">
              <w:rPr>
                <w:rFonts w:eastAsia="Times New Roman" w:cs="Arial"/>
                <w:b/>
                <w:lang w:eastAsia="en-AU"/>
              </w:rPr>
              <w:t>499</w:t>
            </w:r>
          </w:p>
        </w:tc>
        <w:tc>
          <w:tcPr>
            <w:tcW w:w="1176" w:type="dxa"/>
            <w:tcBorders>
              <w:right w:val="nil"/>
            </w:tcBorders>
            <w:shd w:val="clear" w:color="auto" w:fill="B8CCE4" w:themeFill="accent1" w:themeFillTint="66"/>
            <w:noWrap/>
            <w:vAlign w:val="center"/>
          </w:tcPr>
          <w:p w14:paraId="51D98968"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517</w:t>
            </w:r>
          </w:p>
        </w:tc>
        <w:tc>
          <w:tcPr>
            <w:tcW w:w="1177" w:type="dxa"/>
            <w:tcBorders>
              <w:left w:val="nil"/>
            </w:tcBorders>
            <w:shd w:val="clear" w:color="auto" w:fill="B8CCE4" w:themeFill="accent1" w:themeFillTint="66"/>
            <w:vAlign w:val="center"/>
          </w:tcPr>
          <w:p w14:paraId="2179390B"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764</w:t>
            </w:r>
          </w:p>
        </w:tc>
        <w:tc>
          <w:tcPr>
            <w:tcW w:w="1177" w:type="dxa"/>
            <w:tcBorders>
              <w:right w:val="nil"/>
            </w:tcBorders>
            <w:shd w:val="clear" w:color="auto" w:fill="B8CCE4" w:themeFill="accent1" w:themeFillTint="66"/>
            <w:noWrap/>
            <w:vAlign w:val="center"/>
          </w:tcPr>
          <w:p w14:paraId="428E21CE"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488</w:t>
            </w:r>
          </w:p>
        </w:tc>
        <w:tc>
          <w:tcPr>
            <w:tcW w:w="1176" w:type="dxa"/>
            <w:tcBorders>
              <w:left w:val="nil"/>
            </w:tcBorders>
            <w:shd w:val="clear" w:color="auto" w:fill="B8CCE4" w:themeFill="accent1" w:themeFillTint="66"/>
            <w:vAlign w:val="center"/>
          </w:tcPr>
          <w:p w14:paraId="61B3A843"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208</w:t>
            </w:r>
          </w:p>
        </w:tc>
        <w:tc>
          <w:tcPr>
            <w:tcW w:w="1177" w:type="dxa"/>
            <w:tcBorders>
              <w:right w:val="nil"/>
            </w:tcBorders>
            <w:shd w:val="clear" w:color="auto" w:fill="B8CCE4" w:themeFill="accent1" w:themeFillTint="66"/>
            <w:noWrap/>
            <w:vAlign w:val="center"/>
          </w:tcPr>
          <w:p w14:paraId="444AF6AB"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029</w:t>
            </w:r>
          </w:p>
        </w:tc>
        <w:tc>
          <w:tcPr>
            <w:tcW w:w="1176" w:type="dxa"/>
            <w:tcBorders>
              <w:left w:val="nil"/>
            </w:tcBorders>
            <w:shd w:val="clear" w:color="auto" w:fill="B8CCE4" w:themeFill="accent1" w:themeFillTint="66"/>
            <w:vAlign w:val="center"/>
          </w:tcPr>
          <w:p w14:paraId="0AE5E048"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896</w:t>
            </w:r>
          </w:p>
        </w:tc>
        <w:tc>
          <w:tcPr>
            <w:tcW w:w="1177" w:type="dxa"/>
            <w:tcBorders>
              <w:right w:val="nil"/>
            </w:tcBorders>
            <w:shd w:val="clear" w:color="auto" w:fill="B8CCE4" w:themeFill="accent1" w:themeFillTint="66"/>
            <w:noWrap/>
            <w:vAlign w:val="center"/>
          </w:tcPr>
          <w:p w14:paraId="2FD9DBAF"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37</w:t>
            </w:r>
            <w:r>
              <w:rPr>
                <w:rFonts w:eastAsia="Times New Roman" w:cs="Arial"/>
                <w:b/>
                <w:lang w:eastAsia="en-AU"/>
              </w:rPr>
              <w:t>,</w:t>
            </w:r>
            <w:r w:rsidRPr="00676396">
              <w:rPr>
                <w:rFonts w:eastAsia="Times New Roman" w:cs="Arial"/>
                <w:b/>
                <w:lang w:eastAsia="en-AU"/>
              </w:rPr>
              <w:t>693</w:t>
            </w:r>
          </w:p>
        </w:tc>
        <w:tc>
          <w:tcPr>
            <w:tcW w:w="1177" w:type="dxa"/>
            <w:tcBorders>
              <w:left w:val="nil"/>
            </w:tcBorders>
            <w:shd w:val="clear" w:color="auto" w:fill="B8CCE4" w:themeFill="accent1" w:themeFillTint="66"/>
            <w:vAlign w:val="center"/>
          </w:tcPr>
          <w:p w14:paraId="53CDA4E3" w14:textId="77777777" w:rsidR="004B00EC" w:rsidRPr="00676396" w:rsidRDefault="004B00EC" w:rsidP="00CE2FDF">
            <w:pPr>
              <w:spacing w:before="0" w:line="276" w:lineRule="auto"/>
              <w:jc w:val="right"/>
              <w:rPr>
                <w:rFonts w:eastAsia="Times New Roman" w:cs="Arial"/>
                <w:b/>
                <w:lang w:eastAsia="en-AU"/>
              </w:rPr>
            </w:pPr>
            <w:r w:rsidRPr="00676396">
              <w:rPr>
                <w:rFonts w:eastAsia="Times New Roman" w:cs="Arial"/>
                <w:b/>
                <w:lang w:eastAsia="en-AU"/>
              </w:rPr>
              <w:t>29</w:t>
            </w:r>
            <w:r>
              <w:rPr>
                <w:rFonts w:eastAsia="Times New Roman" w:cs="Arial"/>
                <w:b/>
                <w:lang w:eastAsia="en-AU"/>
              </w:rPr>
              <w:t>,</w:t>
            </w:r>
            <w:r w:rsidRPr="00676396">
              <w:rPr>
                <w:rFonts w:eastAsia="Times New Roman" w:cs="Arial"/>
                <w:b/>
                <w:lang w:eastAsia="en-AU"/>
              </w:rPr>
              <w:t>524</w:t>
            </w:r>
          </w:p>
        </w:tc>
      </w:tr>
    </w:tbl>
    <w:p w14:paraId="695AFA7D" w14:textId="77777777" w:rsidR="009654BA" w:rsidRDefault="009654BA" w:rsidP="00B15586">
      <w:pPr>
        <w:spacing w:after="200" w:line="276" w:lineRule="auto"/>
      </w:pPr>
      <w:r>
        <w:br w:type="page"/>
      </w:r>
    </w:p>
    <w:p w14:paraId="62488E5C" w14:textId="77777777" w:rsidR="00A269A5" w:rsidRDefault="00A269A5" w:rsidP="0095311F">
      <w:pPr>
        <w:pStyle w:val="Figureheading"/>
      </w:pPr>
      <w:r>
        <w:lastRenderedPageBreak/>
        <w:t>3.</w:t>
      </w:r>
      <w:r w:rsidR="007B717D">
        <w:t>21</w:t>
      </w:r>
      <w:r>
        <w:tab/>
      </w:r>
      <w:r w:rsidR="001F31E2" w:rsidRPr="00D74CC3">
        <w:t xml:space="preserve">Number of reports </w:t>
      </w:r>
      <w:r>
        <w:t xml:space="preserve">for 2007, </w:t>
      </w:r>
      <w:r w:rsidR="001F31E2" w:rsidRPr="00D74CC3">
        <w:t>by abuse type,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70"/>
        <w:gridCol w:w="1471"/>
        <w:gridCol w:w="1471"/>
        <w:gridCol w:w="1471"/>
        <w:gridCol w:w="1470"/>
        <w:gridCol w:w="1471"/>
        <w:gridCol w:w="1471"/>
        <w:gridCol w:w="1471"/>
      </w:tblGrid>
      <w:tr w:rsidR="001F31E2" w:rsidRPr="00F44E7A" w14:paraId="3558EE20" w14:textId="77777777" w:rsidTr="00137AE1">
        <w:trPr>
          <w:trHeight w:val="365"/>
          <w:tblHeader/>
        </w:trPr>
        <w:tc>
          <w:tcPr>
            <w:tcW w:w="2660" w:type="dxa"/>
            <w:shd w:val="clear" w:color="auto" w:fill="B8CCE4" w:themeFill="accent1" w:themeFillTint="66"/>
            <w:noWrap/>
            <w:hideMark/>
          </w:tcPr>
          <w:p w14:paraId="148A506B" w14:textId="77777777" w:rsidR="001F31E2" w:rsidRPr="00F44E7A" w:rsidRDefault="001F31E2" w:rsidP="00CE2FDF">
            <w:pPr>
              <w:spacing w:before="0" w:line="276" w:lineRule="auto"/>
              <w:rPr>
                <w:rFonts w:eastAsia="Times New Roman" w:cs="Arial"/>
                <w:b/>
                <w:lang w:eastAsia="en-AU"/>
              </w:rPr>
            </w:pPr>
          </w:p>
        </w:tc>
        <w:tc>
          <w:tcPr>
            <w:tcW w:w="2941" w:type="dxa"/>
            <w:gridSpan w:val="2"/>
            <w:shd w:val="clear" w:color="auto" w:fill="B8CCE4" w:themeFill="accent1" w:themeFillTint="66"/>
            <w:noWrap/>
            <w:vAlign w:val="center"/>
            <w:hideMark/>
          </w:tcPr>
          <w:p w14:paraId="193BC90D" w14:textId="77777777" w:rsidR="001F31E2" w:rsidRPr="00F44E7A" w:rsidRDefault="001F31E2"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259CC9B2" w14:textId="77777777" w:rsidR="001F31E2" w:rsidRPr="00F44E7A" w:rsidRDefault="001F31E2"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0AF28091" w14:textId="77777777" w:rsidR="001F31E2" w:rsidRPr="00F44E7A" w:rsidRDefault="001F31E2"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143AF86B" w14:textId="77777777" w:rsidR="001F31E2" w:rsidRPr="00F44E7A" w:rsidRDefault="001F31E2"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1F31E2" w:rsidRPr="00F44E7A" w14:paraId="707D5852" w14:textId="77777777" w:rsidTr="00137AE1">
        <w:trPr>
          <w:trHeight w:val="271"/>
          <w:tblHeader/>
        </w:trPr>
        <w:tc>
          <w:tcPr>
            <w:tcW w:w="2660" w:type="dxa"/>
            <w:shd w:val="clear" w:color="auto" w:fill="B8CCE4" w:themeFill="accent1" w:themeFillTint="66"/>
            <w:noWrap/>
            <w:hideMark/>
          </w:tcPr>
          <w:p w14:paraId="2FB3FF84" w14:textId="77777777" w:rsidR="001F31E2" w:rsidRPr="00F44E7A" w:rsidRDefault="001F31E2" w:rsidP="00CE2FDF">
            <w:pPr>
              <w:spacing w:before="0" w:line="276"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275E4625" w14:textId="77777777" w:rsidR="001F31E2" w:rsidRPr="00F44E7A" w:rsidRDefault="001F31E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6B5AF17" w14:textId="77777777" w:rsidR="001F31E2" w:rsidRPr="00F44E7A" w:rsidRDefault="001F31E2"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630AE14A" w14:textId="77777777" w:rsidR="001F31E2" w:rsidRPr="00F44E7A" w:rsidRDefault="001F31E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3371CF37" w14:textId="77777777" w:rsidR="001F31E2" w:rsidRPr="00F44E7A" w:rsidRDefault="001F31E2" w:rsidP="00CE2FDF">
            <w:pPr>
              <w:spacing w:before="0" w:line="276"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30274A12" w14:textId="77777777" w:rsidR="001F31E2" w:rsidRPr="00F44E7A" w:rsidRDefault="001F31E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E516D40" w14:textId="77777777" w:rsidR="001F31E2" w:rsidRPr="00F44E7A" w:rsidRDefault="001F31E2"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44D932DA" w14:textId="77777777" w:rsidR="001F31E2" w:rsidRPr="00F44E7A" w:rsidRDefault="001F31E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5B809FBF" w14:textId="77777777" w:rsidR="001F31E2" w:rsidRPr="00F44E7A" w:rsidRDefault="001F31E2" w:rsidP="00CE2FDF">
            <w:pPr>
              <w:spacing w:before="0" w:line="276" w:lineRule="auto"/>
              <w:jc w:val="right"/>
              <w:rPr>
                <w:rFonts w:eastAsia="Times New Roman" w:cs="Arial"/>
                <w:b/>
                <w:lang w:eastAsia="en-AU"/>
              </w:rPr>
            </w:pPr>
            <w:r>
              <w:rPr>
                <w:rFonts w:eastAsia="Times New Roman" w:cs="Arial"/>
                <w:b/>
                <w:lang w:eastAsia="en-AU"/>
              </w:rPr>
              <w:t>Children</w:t>
            </w:r>
          </w:p>
        </w:tc>
      </w:tr>
      <w:tr w:rsidR="001F31E2" w:rsidRPr="003324F1" w14:paraId="1D3053E1" w14:textId="77777777" w:rsidTr="00F2448E">
        <w:trPr>
          <w:trHeight w:val="276"/>
        </w:trPr>
        <w:tc>
          <w:tcPr>
            <w:tcW w:w="2660" w:type="dxa"/>
            <w:noWrap/>
            <w:hideMark/>
          </w:tcPr>
          <w:p w14:paraId="13B23E3F" w14:textId="77777777" w:rsidR="001F31E2" w:rsidRPr="00F44E7A" w:rsidRDefault="001F31E2" w:rsidP="00CE2FDF">
            <w:pPr>
              <w:spacing w:before="0" w:line="276" w:lineRule="auto"/>
              <w:rPr>
                <w:rFonts w:eastAsia="Times New Roman" w:cs="Arial"/>
                <w:b/>
                <w:lang w:eastAsia="en-AU"/>
              </w:rPr>
            </w:pPr>
            <w:r w:rsidRPr="00F44E7A">
              <w:rPr>
                <w:rFonts w:eastAsia="Times New Roman" w:cs="Arial"/>
                <w:b/>
                <w:lang w:eastAsia="en-AU"/>
              </w:rPr>
              <w:t>Doctors</w:t>
            </w:r>
          </w:p>
        </w:tc>
        <w:tc>
          <w:tcPr>
            <w:tcW w:w="1470" w:type="dxa"/>
            <w:tcBorders>
              <w:right w:val="nil"/>
            </w:tcBorders>
            <w:noWrap/>
            <w:vAlign w:val="center"/>
          </w:tcPr>
          <w:p w14:paraId="380AC57D"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143</w:t>
            </w:r>
          </w:p>
        </w:tc>
        <w:tc>
          <w:tcPr>
            <w:tcW w:w="1471" w:type="dxa"/>
            <w:tcBorders>
              <w:left w:val="nil"/>
            </w:tcBorders>
            <w:vAlign w:val="center"/>
          </w:tcPr>
          <w:p w14:paraId="104714A5"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143</w:t>
            </w:r>
          </w:p>
        </w:tc>
        <w:tc>
          <w:tcPr>
            <w:tcW w:w="1471" w:type="dxa"/>
            <w:tcBorders>
              <w:right w:val="nil"/>
            </w:tcBorders>
            <w:noWrap/>
            <w:vAlign w:val="center"/>
          </w:tcPr>
          <w:p w14:paraId="11EFB551"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320</w:t>
            </w:r>
          </w:p>
        </w:tc>
        <w:tc>
          <w:tcPr>
            <w:tcW w:w="1471" w:type="dxa"/>
            <w:tcBorders>
              <w:left w:val="nil"/>
            </w:tcBorders>
            <w:vAlign w:val="center"/>
          </w:tcPr>
          <w:p w14:paraId="340BA0D2"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318</w:t>
            </w:r>
          </w:p>
        </w:tc>
        <w:tc>
          <w:tcPr>
            <w:tcW w:w="1470" w:type="dxa"/>
            <w:tcBorders>
              <w:right w:val="nil"/>
            </w:tcBorders>
            <w:noWrap/>
            <w:vAlign w:val="center"/>
          </w:tcPr>
          <w:p w14:paraId="3D255B3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267</w:t>
            </w:r>
          </w:p>
        </w:tc>
        <w:tc>
          <w:tcPr>
            <w:tcW w:w="1471" w:type="dxa"/>
            <w:tcBorders>
              <w:left w:val="nil"/>
            </w:tcBorders>
            <w:vAlign w:val="center"/>
          </w:tcPr>
          <w:p w14:paraId="5D28953B"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267</w:t>
            </w:r>
          </w:p>
        </w:tc>
        <w:tc>
          <w:tcPr>
            <w:tcW w:w="1471" w:type="dxa"/>
            <w:tcBorders>
              <w:right w:val="nil"/>
            </w:tcBorders>
            <w:noWrap/>
            <w:vAlign w:val="center"/>
          </w:tcPr>
          <w:p w14:paraId="78F1F33D"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116</w:t>
            </w:r>
          </w:p>
        </w:tc>
        <w:tc>
          <w:tcPr>
            <w:tcW w:w="1471" w:type="dxa"/>
            <w:tcBorders>
              <w:left w:val="nil"/>
            </w:tcBorders>
            <w:vAlign w:val="center"/>
          </w:tcPr>
          <w:p w14:paraId="750D6032"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114</w:t>
            </w:r>
          </w:p>
        </w:tc>
      </w:tr>
      <w:tr w:rsidR="001F31E2" w:rsidRPr="003324F1" w14:paraId="1F869F4B" w14:textId="77777777" w:rsidTr="00F2448E">
        <w:trPr>
          <w:trHeight w:val="276"/>
        </w:trPr>
        <w:tc>
          <w:tcPr>
            <w:tcW w:w="2660" w:type="dxa"/>
            <w:shd w:val="clear" w:color="auto" w:fill="DBE5F1" w:themeFill="accent1" w:themeFillTint="33"/>
            <w:noWrap/>
            <w:hideMark/>
          </w:tcPr>
          <w:p w14:paraId="620EA000" w14:textId="77777777" w:rsidR="001F31E2" w:rsidRPr="00F44E7A" w:rsidRDefault="001F31E2" w:rsidP="00CE2FDF">
            <w:pPr>
              <w:spacing w:before="0" w:line="276" w:lineRule="auto"/>
              <w:rPr>
                <w:rFonts w:eastAsia="Times New Roman" w:cs="Arial"/>
                <w:b/>
                <w:lang w:eastAsia="en-AU"/>
              </w:rPr>
            </w:pPr>
            <w:r w:rsidRPr="00F44E7A">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661D01DB"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329</w:t>
            </w:r>
          </w:p>
        </w:tc>
        <w:tc>
          <w:tcPr>
            <w:tcW w:w="1471" w:type="dxa"/>
            <w:tcBorders>
              <w:left w:val="nil"/>
            </w:tcBorders>
            <w:shd w:val="clear" w:color="auto" w:fill="DBE5F1" w:themeFill="accent1" w:themeFillTint="33"/>
            <w:vAlign w:val="center"/>
          </w:tcPr>
          <w:p w14:paraId="01DD10F2"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322</w:t>
            </w:r>
          </w:p>
        </w:tc>
        <w:tc>
          <w:tcPr>
            <w:tcW w:w="1471" w:type="dxa"/>
            <w:tcBorders>
              <w:right w:val="nil"/>
            </w:tcBorders>
            <w:shd w:val="clear" w:color="auto" w:fill="DBE5F1" w:themeFill="accent1" w:themeFillTint="33"/>
            <w:noWrap/>
            <w:vAlign w:val="center"/>
          </w:tcPr>
          <w:p w14:paraId="18DFB3FC"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623</w:t>
            </w:r>
          </w:p>
        </w:tc>
        <w:tc>
          <w:tcPr>
            <w:tcW w:w="1471" w:type="dxa"/>
            <w:tcBorders>
              <w:left w:val="nil"/>
            </w:tcBorders>
            <w:shd w:val="clear" w:color="auto" w:fill="DBE5F1" w:themeFill="accent1" w:themeFillTint="33"/>
            <w:vAlign w:val="center"/>
          </w:tcPr>
          <w:p w14:paraId="59089A7F"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617</w:t>
            </w:r>
          </w:p>
        </w:tc>
        <w:tc>
          <w:tcPr>
            <w:tcW w:w="1470" w:type="dxa"/>
            <w:tcBorders>
              <w:right w:val="nil"/>
            </w:tcBorders>
            <w:shd w:val="clear" w:color="auto" w:fill="DBE5F1" w:themeFill="accent1" w:themeFillTint="33"/>
            <w:noWrap/>
            <w:vAlign w:val="center"/>
          </w:tcPr>
          <w:p w14:paraId="3A1BE3B6"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353</w:t>
            </w:r>
          </w:p>
        </w:tc>
        <w:tc>
          <w:tcPr>
            <w:tcW w:w="1471" w:type="dxa"/>
            <w:tcBorders>
              <w:left w:val="nil"/>
            </w:tcBorders>
            <w:shd w:val="clear" w:color="auto" w:fill="DBE5F1" w:themeFill="accent1" w:themeFillTint="33"/>
            <w:vAlign w:val="center"/>
          </w:tcPr>
          <w:p w14:paraId="5AFB9455"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352</w:t>
            </w:r>
          </w:p>
        </w:tc>
        <w:tc>
          <w:tcPr>
            <w:tcW w:w="1471" w:type="dxa"/>
            <w:tcBorders>
              <w:right w:val="nil"/>
            </w:tcBorders>
            <w:shd w:val="clear" w:color="auto" w:fill="DBE5F1" w:themeFill="accent1" w:themeFillTint="33"/>
            <w:noWrap/>
            <w:vAlign w:val="center"/>
          </w:tcPr>
          <w:p w14:paraId="00766B35"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67</w:t>
            </w:r>
          </w:p>
        </w:tc>
        <w:tc>
          <w:tcPr>
            <w:tcW w:w="1471" w:type="dxa"/>
            <w:tcBorders>
              <w:left w:val="nil"/>
            </w:tcBorders>
            <w:shd w:val="clear" w:color="auto" w:fill="DBE5F1" w:themeFill="accent1" w:themeFillTint="33"/>
            <w:vAlign w:val="center"/>
          </w:tcPr>
          <w:p w14:paraId="59FB7A10"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67</w:t>
            </w:r>
          </w:p>
        </w:tc>
      </w:tr>
      <w:tr w:rsidR="001F31E2" w:rsidRPr="003324F1" w14:paraId="3022C8EE" w14:textId="77777777" w:rsidTr="00F2448E">
        <w:trPr>
          <w:trHeight w:val="276"/>
        </w:trPr>
        <w:tc>
          <w:tcPr>
            <w:tcW w:w="2660" w:type="dxa"/>
            <w:noWrap/>
            <w:hideMark/>
          </w:tcPr>
          <w:p w14:paraId="0A99B945" w14:textId="77777777" w:rsidR="001F31E2" w:rsidRPr="00F44E7A" w:rsidRDefault="001F31E2" w:rsidP="00CE2FDF">
            <w:pPr>
              <w:spacing w:before="0" w:line="276"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noWrap/>
            <w:vAlign w:val="center"/>
          </w:tcPr>
          <w:p w14:paraId="4665484F"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581</w:t>
            </w:r>
          </w:p>
        </w:tc>
        <w:tc>
          <w:tcPr>
            <w:tcW w:w="1471" w:type="dxa"/>
            <w:tcBorders>
              <w:left w:val="nil"/>
            </w:tcBorders>
            <w:vAlign w:val="center"/>
          </w:tcPr>
          <w:p w14:paraId="3693DA0A"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481</w:t>
            </w:r>
          </w:p>
        </w:tc>
        <w:tc>
          <w:tcPr>
            <w:tcW w:w="1471" w:type="dxa"/>
            <w:tcBorders>
              <w:right w:val="nil"/>
            </w:tcBorders>
            <w:noWrap/>
            <w:vAlign w:val="center"/>
          </w:tcPr>
          <w:p w14:paraId="61207537"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432</w:t>
            </w:r>
          </w:p>
        </w:tc>
        <w:tc>
          <w:tcPr>
            <w:tcW w:w="1471" w:type="dxa"/>
            <w:tcBorders>
              <w:left w:val="nil"/>
            </w:tcBorders>
            <w:vAlign w:val="center"/>
          </w:tcPr>
          <w:p w14:paraId="353DB90A"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357</w:t>
            </w:r>
          </w:p>
        </w:tc>
        <w:tc>
          <w:tcPr>
            <w:tcW w:w="1470" w:type="dxa"/>
            <w:tcBorders>
              <w:right w:val="nil"/>
            </w:tcBorders>
            <w:noWrap/>
            <w:vAlign w:val="center"/>
          </w:tcPr>
          <w:p w14:paraId="1BF08A5A"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919</w:t>
            </w:r>
          </w:p>
        </w:tc>
        <w:tc>
          <w:tcPr>
            <w:tcW w:w="1471" w:type="dxa"/>
            <w:tcBorders>
              <w:left w:val="nil"/>
            </w:tcBorders>
            <w:vAlign w:val="center"/>
          </w:tcPr>
          <w:p w14:paraId="75F870BD"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877</w:t>
            </w:r>
          </w:p>
        </w:tc>
        <w:tc>
          <w:tcPr>
            <w:tcW w:w="1471" w:type="dxa"/>
            <w:tcBorders>
              <w:right w:val="nil"/>
            </w:tcBorders>
            <w:noWrap/>
            <w:vAlign w:val="center"/>
          </w:tcPr>
          <w:p w14:paraId="5709FEE4"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698</w:t>
            </w:r>
          </w:p>
        </w:tc>
        <w:tc>
          <w:tcPr>
            <w:tcW w:w="1471" w:type="dxa"/>
            <w:tcBorders>
              <w:left w:val="nil"/>
            </w:tcBorders>
            <w:vAlign w:val="center"/>
          </w:tcPr>
          <w:p w14:paraId="358450F6"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674</w:t>
            </w:r>
          </w:p>
        </w:tc>
      </w:tr>
      <w:tr w:rsidR="001F31E2" w:rsidRPr="003324F1" w14:paraId="6580AAE5" w14:textId="77777777" w:rsidTr="00F2448E">
        <w:trPr>
          <w:trHeight w:val="276"/>
        </w:trPr>
        <w:tc>
          <w:tcPr>
            <w:tcW w:w="2660" w:type="dxa"/>
            <w:shd w:val="clear" w:color="auto" w:fill="DBE5F1" w:themeFill="accent1" w:themeFillTint="33"/>
            <w:noWrap/>
            <w:hideMark/>
          </w:tcPr>
          <w:p w14:paraId="41832AF4" w14:textId="77777777" w:rsidR="001F31E2" w:rsidRPr="00F44E7A" w:rsidRDefault="001F31E2" w:rsidP="00CE2FDF">
            <w:pPr>
              <w:spacing w:before="0" w:line="276"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DBE5F1" w:themeFill="accent1" w:themeFillTint="33"/>
            <w:noWrap/>
            <w:vAlign w:val="center"/>
          </w:tcPr>
          <w:p w14:paraId="601399F9"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911</w:t>
            </w:r>
          </w:p>
        </w:tc>
        <w:tc>
          <w:tcPr>
            <w:tcW w:w="1471" w:type="dxa"/>
            <w:tcBorders>
              <w:left w:val="nil"/>
            </w:tcBorders>
            <w:shd w:val="clear" w:color="auto" w:fill="DBE5F1" w:themeFill="accent1" w:themeFillTint="33"/>
            <w:vAlign w:val="center"/>
          </w:tcPr>
          <w:p w14:paraId="6B06BC4C"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890</w:t>
            </w:r>
          </w:p>
        </w:tc>
        <w:tc>
          <w:tcPr>
            <w:tcW w:w="1471" w:type="dxa"/>
            <w:tcBorders>
              <w:right w:val="nil"/>
            </w:tcBorders>
            <w:shd w:val="clear" w:color="auto" w:fill="DBE5F1" w:themeFill="accent1" w:themeFillTint="33"/>
            <w:noWrap/>
            <w:vAlign w:val="center"/>
          </w:tcPr>
          <w:p w14:paraId="7C729D7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346</w:t>
            </w:r>
          </w:p>
        </w:tc>
        <w:tc>
          <w:tcPr>
            <w:tcW w:w="1471" w:type="dxa"/>
            <w:tcBorders>
              <w:left w:val="nil"/>
            </w:tcBorders>
            <w:shd w:val="clear" w:color="auto" w:fill="DBE5F1" w:themeFill="accent1" w:themeFillTint="33"/>
            <w:vAlign w:val="center"/>
          </w:tcPr>
          <w:p w14:paraId="540F5011"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295</w:t>
            </w:r>
          </w:p>
        </w:tc>
        <w:tc>
          <w:tcPr>
            <w:tcW w:w="1470" w:type="dxa"/>
            <w:tcBorders>
              <w:right w:val="nil"/>
            </w:tcBorders>
            <w:shd w:val="clear" w:color="auto" w:fill="DBE5F1" w:themeFill="accent1" w:themeFillTint="33"/>
            <w:noWrap/>
            <w:vAlign w:val="center"/>
          </w:tcPr>
          <w:p w14:paraId="6A7F8FCA"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739</w:t>
            </w:r>
          </w:p>
        </w:tc>
        <w:tc>
          <w:tcPr>
            <w:tcW w:w="1471" w:type="dxa"/>
            <w:tcBorders>
              <w:left w:val="nil"/>
            </w:tcBorders>
            <w:shd w:val="clear" w:color="auto" w:fill="DBE5F1" w:themeFill="accent1" w:themeFillTint="33"/>
            <w:vAlign w:val="center"/>
          </w:tcPr>
          <w:p w14:paraId="3ABC1CA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671</w:t>
            </w:r>
          </w:p>
        </w:tc>
        <w:tc>
          <w:tcPr>
            <w:tcW w:w="1471" w:type="dxa"/>
            <w:tcBorders>
              <w:right w:val="nil"/>
            </w:tcBorders>
            <w:shd w:val="clear" w:color="auto" w:fill="DBE5F1" w:themeFill="accent1" w:themeFillTint="33"/>
            <w:noWrap/>
            <w:vAlign w:val="center"/>
          </w:tcPr>
          <w:p w14:paraId="5DA37467"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420</w:t>
            </w:r>
          </w:p>
        </w:tc>
        <w:tc>
          <w:tcPr>
            <w:tcW w:w="1471" w:type="dxa"/>
            <w:tcBorders>
              <w:left w:val="nil"/>
            </w:tcBorders>
            <w:shd w:val="clear" w:color="auto" w:fill="DBE5F1" w:themeFill="accent1" w:themeFillTint="33"/>
            <w:vAlign w:val="center"/>
          </w:tcPr>
          <w:p w14:paraId="62B56F6E"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407</w:t>
            </w:r>
          </w:p>
        </w:tc>
      </w:tr>
      <w:tr w:rsidR="001F31E2" w:rsidRPr="003324F1" w14:paraId="755F1CFF" w14:textId="77777777" w:rsidTr="00F2448E">
        <w:trPr>
          <w:trHeight w:val="276"/>
        </w:trPr>
        <w:tc>
          <w:tcPr>
            <w:tcW w:w="2660" w:type="dxa"/>
            <w:shd w:val="clear" w:color="auto" w:fill="auto"/>
            <w:noWrap/>
            <w:hideMark/>
          </w:tcPr>
          <w:p w14:paraId="14290E87" w14:textId="77777777" w:rsidR="001F31E2" w:rsidRPr="00F44E7A" w:rsidRDefault="001F31E2" w:rsidP="00CE2FDF">
            <w:pPr>
              <w:spacing w:before="0" w:line="276" w:lineRule="auto"/>
              <w:rPr>
                <w:rFonts w:eastAsia="Times New Roman" w:cs="Arial"/>
                <w:b/>
                <w:lang w:eastAsia="en-AU"/>
              </w:rPr>
            </w:pPr>
            <w:r>
              <w:rPr>
                <w:rFonts w:eastAsia="Times New Roman" w:cs="Arial"/>
                <w:b/>
                <w:lang w:eastAsia="en-AU"/>
              </w:rPr>
              <w:t>Psychiatrists</w:t>
            </w:r>
          </w:p>
        </w:tc>
        <w:tc>
          <w:tcPr>
            <w:tcW w:w="1470" w:type="dxa"/>
            <w:tcBorders>
              <w:right w:val="nil"/>
            </w:tcBorders>
            <w:shd w:val="clear" w:color="auto" w:fill="auto"/>
            <w:noWrap/>
            <w:vAlign w:val="center"/>
          </w:tcPr>
          <w:p w14:paraId="061F03C6"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38</w:t>
            </w:r>
          </w:p>
        </w:tc>
        <w:tc>
          <w:tcPr>
            <w:tcW w:w="1471" w:type="dxa"/>
            <w:tcBorders>
              <w:left w:val="nil"/>
            </w:tcBorders>
            <w:shd w:val="clear" w:color="auto" w:fill="auto"/>
            <w:vAlign w:val="center"/>
          </w:tcPr>
          <w:p w14:paraId="6EE07547"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38</w:t>
            </w:r>
          </w:p>
        </w:tc>
        <w:tc>
          <w:tcPr>
            <w:tcW w:w="1471" w:type="dxa"/>
            <w:tcBorders>
              <w:right w:val="nil"/>
            </w:tcBorders>
            <w:shd w:val="clear" w:color="auto" w:fill="auto"/>
            <w:noWrap/>
            <w:vAlign w:val="center"/>
          </w:tcPr>
          <w:p w14:paraId="34002765"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52</w:t>
            </w:r>
          </w:p>
        </w:tc>
        <w:tc>
          <w:tcPr>
            <w:tcW w:w="1471" w:type="dxa"/>
            <w:tcBorders>
              <w:left w:val="nil"/>
            </w:tcBorders>
            <w:shd w:val="clear" w:color="auto" w:fill="auto"/>
            <w:vAlign w:val="center"/>
          </w:tcPr>
          <w:p w14:paraId="04F41840"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51</w:t>
            </w:r>
          </w:p>
        </w:tc>
        <w:tc>
          <w:tcPr>
            <w:tcW w:w="1470" w:type="dxa"/>
            <w:tcBorders>
              <w:right w:val="nil"/>
            </w:tcBorders>
            <w:shd w:val="clear" w:color="auto" w:fill="auto"/>
            <w:noWrap/>
            <w:vAlign w:val="center"/>
          </w:tcPr>
          <w:p w14:paraId="2352F876"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38</w:t>
            </w:r>
          </w:p>
        </w:tc>
        <w:tc>
          <w:tcPr>
            <w:tcW w:w="1471" w:type="dxa"/>
            <w:tcBorders>
              <w:left w:val="nil"/>
            </w:tcBorders>
            <w:shd w:val="clear" w:color="auto" w:fill="auto"/>
            <w:vAlign w:val="center"/>
          </w:tcPr>
          <w:p w14:paraId="41129CF6"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38</w:t>
            </w:r>
          </w:p>
        </w:tc>
        <w:tc>
          <w:tcPr>
            <w:tcW w:w="1471" w:type="dxa"/>
            <w:tcBorders>
              <w:right w:val="nil"/>
            </w:tcBorders>
            <w:shd w:val="clear" w:color="auto" w:fill="auto"/>
            <w:noWrap/>
            <w:vAlign w:val="center"/>
          </w:tcPr>
          <w:p w14:paraId="021C57E5"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13</w:t>
            </w:r>
          </w:p>
        </w:tc>
        <w:tc>
          <w:tcPr>
            <w:tcW w:w="1471" w:type="dxa"/>
            <w:tcBorders>
              <w:left w:val="nil"/>
            </w:tcBorders>
            <w:shd w:val="clear" w:color="auto" w:fill="auto"/>
            <w:vAlign w:val="center"/>
          </w:tcPr>
          <w:p w14:paraId="1464AD75"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13</w:t>
            </w:r>
          </w:p>
        </w:tc>
      </w:tr>
      <w:tr w:rsidR="001F31E2" w:rsidRPr="003324F1" w14:paraId="06A47045" w14:textId="77777777" w:rsidTr="00F2448E">
        <w:trPr>
          <w:trHeight w:val="276"/>
        </w:trPr>
        <w:tc>
          <w:tcPr>
            <w:tcW w:w="2660" w:type="dxa"/>
            <w:shd w:val="clear" w:color="auto" w:fill="DBE5F1" w:themeFill="accent1" w:themeFillTint="33"/>
            <w:noWrap/>
            <w:hideMark/>
          </w:tcPr>
          <w:p w14:paraId="5CE85C05" w14:textId="77777777" w:rsidR="001F31E2" w:rsidRPr="00F44E7A" w:rsidRDefault="001F31E2"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470" w:type="dxa"/>
            <w:tcBorders>
              <w:right w:val="nil"/>
            </w:tcBorders>
            <w:shd w:val="clear" w:color="auto" w:fill="DBE5F1" w:themeFill="accent1" w:themeFillTint="33"/>
            <w:noWrap/>
            <w:vAlign w:val="center"/>
          </w:tcPr>
          <w:p w14:paraId="591F0F8B"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002</w:t>
            </w:r>
          </w:p>
        </w:tc>
        <w:tc>
          <w:tcPr>
            <w:tcW w:w="1471" w:type="dxa"/>
            <w:tcBorders>
              <w:left w:val="nil"/>
            </w:tcBorders>
            <w:shd w:val="clear" w:color="auto" w:fill="DBE5F1" w:themeFill="accent1" w:themeFillTint="33"/>
            <w:vAlign w:val="center"/>
          </w:tcPr>
          <w:p w14:paraId="17A43EA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821</w:t>
            </w:r>
          </w:p>
        </w:tc>
        <w:tc>
          <w:tcPr>
            <w:tcW w:w="1471" w:type="dxa"/>
            <w:tcBorders>
              <w:right w:val="nil"/>
            </w:tcBorders>
            <w:shd w:val="clear" w:color="auto" w:fill="DBE5F1" w:themeFill="accent1" w:themeFillTint="33"/>
            <w:noWrap/>
            <w:vAlign w:val="center"/>
          </w:tcPr>
          <w:p w14:paraId="13039F5A"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773</w:t>
            </w:r>
          </w:p>
        </w:tc>
        <w:tc>
          <w:tcPr>
            <w:tcW w:w="1471" w:type="dxa"/>
            <w:tcBorders>
              <w:left w:val="nil"/>
            </w:tcBorders>
            <w:shd w:val="clear" w:color="auto" w:fill="DBE5F1" w:themeFill="accent1" w:themeFillTint="33"/>
            <w:vAlign w:val="center"/>
          </w:tcPr>
          <w:p w14:paraId="0D04F2A6"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564</w:t>
            </w:r>
          </w:p>
        </w:tc>
        <w:tc>
          <w:tcPr>
            <w:tcW w:w="1470" w:type="dxa"/>
            <w:tcBorders>
              <w:right w:val="nil"/>
            </w:tcBorders>
            <w:shd w:val="clear" w:color="auto" w:fill="DBE5F1" w:themeFill="accent1" w:themeFillTint="33"/>
            <w:noWrap/>
            <w:vAlign w:val="center"/>
          </w:tcPr>
          <w:p w14:paraId="11DD9191"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316</w:t>
            </w:r>
          </w:p>
        </w:tc>
        <w:tc>
          <w:tcPr>
            <w:tcW w:w="1471" w:type="dxa"/>
            <w:tcBorders>
              <w:left w:val="nil"/>
            </w:tcBorders>
            <w:shd w:val="clear" w:color="auto" w:fill="DBE5F1" w:themeFill="accent1" w:themeFillTint="33"/>
            <w:vAlign w:val="center"/>
          </w:tcPr>
          <w:p w14:paraId="7C26112F"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129</w:t>
            </w:r>
          </w:p>
        </w:tc>
        <w:tc>
          <w:tcPr>
            <w:tcW w:w="1471" w:type="dxa"/>
            <w:tcBorders>
              <w:right w:val="nil"/>
            </w:tcBorders>
            <w:shd w:val="clear" w:color="auto" w:fill="DBE5F1" w:themeFill="accent1" w:themeFillTint="33"/>
            <w:noWrap/>
            <w:vAlign w:val="center"/>
          </w:tcPr>
          <w:p w14:paraId="5B6E2A0A"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314</w:t>
            </w:r>
          </w:p>
        </w:tc>
        <w:tc>
          <w:tcPr>
            <w:tcW w:w="1471" w:type="dxa"/>
            <w:tcBorders>
              <w:left w:val="nil"/>
            </w:tcBorders>
            <w:shd w:val="clear" w:color="auto" w:fill="DBE5F1" w:themeFill="accent1" w:themeFillTint="33"/>
            <w:vAlign w:val="center"/>
          </w:tcPr>
          <w:p w14:paraId="2C4FA61D"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264</w:t>
            </w:r>
          </w:p>
        </w:tc>
      </w:tr>
      <w:tr w:rsidR="001F31E2" w:rsidRPr="003324F1" w14:paraId="7D67A82B" w14:textId="77777777" w:rsidTr="00F2448E">
        <w:trPr>
          <w:trHeight w:val="276"/>
        </w:trPr>
        <w:tc>
          <w:tcPr>
            <w:tcW w:w="2660" w:type="dxa"/>
            <w:shd w:val="clear" w:color="auto" w:fill="auto"/>
            <w:noWrap/>
            <w:hideMark/>
          </w:tcPr>
          <w:p w14:paraId="6D73B059" w14:textId="77777777" w:rsidR="001F31E2" w:rsidRPr="00F44E7A" w:rsidRDefault="001F31E2"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0A4149C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678</w:t>
            </w:r>
          </w:p>
        </w:tc>
        <w:tc>
          <w:tcPr>
            <w:tcW w:w="1471" w:type="dxa"/>
            <w:tcBorders>
              <w:left w:val="nil"/>
            </w:tcBorders>
            <w:shd w:val="clear" w:color="auto" w:fill="auto"/>
            <w:vAlign w:val="center"/>
          </w:tcPr>
          <w:p w14:paraId="05B76209"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094</w:t>
            </w:r>
          </w:p>
        </w:tc>
        <w:tc>
          <w:tcPr>
            <w:tcW w:w="1471" w:type="dxa"/>
            <w:tcBorders>
              <w:right w:val="nil"/>
            </w:tcBorders>
            <w:shd w:val="clear" w:color="auto" w:fill="auto"/>
            <w:noWrap/>
            <w:vAlign w:val="center"/>
          </w:tcPr>
          <w:p w14:paraId="67389C7A"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10</w:t>
            </w:r>
            <w:r>
              <w:rPr>
                <w:rFonts w:eastAsia="Times New Roman" w:cs="Arial"/>
                <w:lang w:eastAsia="en-AU"/>
              </w:rPr>
              <w:t>,</w:t>
            </w:r>
            <w:r w:rsidRPr="00676396">
              <w:rPr>
                <w:rFonts w:eastAsia="Times New Roman" w:cs="Arial"/>
                <w:lang w:eastAsia="en-AU"/>
              </w:rPr>
              <w:t>005</w:t>
            </w:r>
          </w:p>
        </w:tc>
        <w:tc>
          <w:tcPr>
            <w:tcW w:w="1471" w:type="dxa"/>
            <w:tcBorders>
              <w:left w:val="nil"/>
            </w:tcBorders>
            <w:shd w:val="clear" w:color="auto" w:fill="auto"/>
            <w:vAlign w:val="center"/>
          </w:tcPr>
          <w:p w14:paraId="01D7F0C8"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8</w:t>
            </w:r>
            <w:r>
              <w:rPr>
                <w:rFonts w:eastAsia="Times New Roman" w:cs="Arial"/>
                <w:lang w:eastAsia="en-AU"/>
              </w:rPr>
              <w:t>,</w:t>
            </w:r>
            <w:r w:rsidRPr="00676396">
              <w:rPr>
                <w:rFonts w:eastAsia="Times New Roman" w:cs="Arial"/>
                <w:lang w:eastAsia="en-AU"/>
              </w:rPr>
              <w:t>672</w:t>
            </w:r>
          </w:p>
        </w:tc>
        <w:tc>
          <w:tcPr>
            <w:tcW w:w="1470" w:type="dxa"/>
            <w:tcBorders>
              <w:right w:val="nil"/>
            </w:tcBorders>
            <w:shd w:val="clear" w:color="auto" w:fill="auto"/>
            <w:noWrap/>
            <w:vAlign w:val="center"/>
          </w:tcPr>
          <w:p w14:paraId="543CD0D1"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887</w:t>
            </w:r>
          </w:p>
        </w:tc>
        <w:tc>
          <w:tcPr>
            <w:tcW w:w="1471" w:type="dxa"/>
            <w:tcBorders>
              <w:left w:val="nil"/>
            </w:tcBorders>
            <w:shd w:val="clear" w:color="auto" w:fill="auto"/>
            <w:vAlign w:val="center"/>
          </w:tcPr>
          <w:p w14:paraId="3C23C98E"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537</w:t>
            </w:r>
          </w:p>
        </w:tc>
        <w:tc>
          <w:tcPr>
            <w:tcW w:w="1471" w:type="dxa"/>
            <w:tcBorders>
              <w:right w:val="nil"/>
            </w:tcBorders>
            <w:shd w:val="clear" w:color="auto" w:fill="auto"/>
            <w:noWrap/>
            <w:vAlign w:val="center"/>
          </w:tcPr>
          <w:p w14:paraId="43F81F15"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799</w:t>
            </w:r>
          </w:p>
        </w:tc>
        <w:tc>
          <w:tcPr>
            <w:tcW w:w="1471" w:type="dxa"/>
            <w:tcBorders>
              <w:left w:val="nil"/>
            </w:tcBorders>
            <w:shd w:val="clear" w:color="auto" w:fill="auto"/>
            <w:vAlign w:val="center"/>
          </w:tcPr>
          <w:p w14:paraId="20CD41F2"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731</w:t>
            </w:r>
          </w:p>
        </w:tc>
      </w:tr>
      <w:tr w:rsidR="001F31E2" w:rsidRPr="00FD6E8E" w14:paraId="5653F959" w14:textId="77777777" w:rsidTr="00F2448E">
        <w:trPr>
          <w:trHeight w:val="276"/>
        </w:trPr>
        <w:tc>
          <w:tcPr>
            <w:tcW w:w="2660" w:type="dxa"/>
            <w:shd w:val="clear" w:color="auto" w:fill="B8CCE4" w:themeFill="accent1" w:themeFillTint="66"/>
            <w:noWrap/>
            <w:hideMark/>
          </w:tcPr>
          <w:p w14:paraId="0CAB6FDD" w14:textId="77777777" w:rsidR="001F31E2" w:rsidRPr="00FD6E8E" w:rsidRDefault="001F31E2" w:rsidP="00CE2FDF">
            <w:pPr>
              <w:spacing w:before="0" w:line="276" w:lineRule="auto"/>
              <w:rPr>
                <w:rFonts w:eastAsia="Times New Roman" w:cs="Arial"/>
                <w:b/>
                <w:lang w:eastAsia="en-AU"/>
              </w:rPr>
            </w:pPr>
            <w:r w:rsidRPr="00FD6E8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27EF16AD"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680</w:t>
            </w:r>
          </w:p>
        </w:tc>
        <w:tc>
          <w:tcPr>
            <w:tcW w:w="1471" w:type="dxa"/>
            <w:tcBorders>
              <w:left w:val="nil"/>
            </w:tcBorders>
            <w:shd w:val="clear" w:color="auto" w:fill="B8CCE4" w:themeFill="accent1" w:themeFillTint="66"/>
            <w:vAlign w:val="center"/>
          </w:tcPr>
          <w:p w14:paraId="1A45B6D4"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9</w:t>
            </w:r>
            <w:r>
              <w:rPr>
                <w:rFonts w:eastAsia="Times New Roman" w:cs="Arial"/>
                <w:b/>
                <w:lang w:eastAsia="en-AU"/>
              </w:rPr>
              <w:t>,</w:t>
            </w:r>
            <w:r w:rsidRPr="00676396">
              <w:rPr>
                <w:rFonts w:eastAsia="Times New Roman" w:cs="Arial"/>
                <w:b/>
                <w:lang w:eastAsia="en-AU"/>
              </w:rPr>
              <w:t>527</w:t>
            </w:r>
          </w:p>
        </w:tc>
        <w:tc>
          <w:tcPr>
            <w:tcW w:w="1471" w:type="dxa"/>
            <w:tcBorders>
              <w:right w:val="nil"/>
            </w:tcBorders>
            <w:shd w:val="clear" w:color="auto" w:fill="B8CCE4" w:themeFill="accent1" w:themeFillTint="66"/>
            <w:noWrap/>
            <w:vAlign w:val="center"/>
          </w:tcPr>
          <w:p w14:paraId="7F839D88"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14</w:t>
            </w:r>
            <w:r>
              <w:rPr>
                <w:rFonts w:eastAsia="Times New Roman" w:cs="Arial"/>
                <w:b/>
                <w:lang w:eastAsia="en-AU"/>
              </w:rPr>
              <w:t>,</w:t>
            </w:r>
            <w:r w:rsidRPr="00676396">
              <w:rPr>
                <w:rFonts w:eastAsia="Times New Roman" w:cs="Arial"/>
                <w:b/>
                <w:lang w:eastAsia="en-AU"/>
              </w:rPr>
              <w:t>778</w:t>
            </w:r>
          </w:p>
        </w:tc>
        <w:tc>
          <w:tcPr>
            <w:tcW w:w="1471" w:type="dxa"/>
            <w:tcBorders>
              <w:left w:val="nil"/>
            </w:tcBorders>
            <w:shd w:val="clear" w:color="auto" w:fill="B8CCE4" w:themeFill="accent1" w:themeFillTint="66"/>
            <w:vAlign w:val="center"/>
          </w:tcPr>
          <w:p w14:paraId="773F6549"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12</w:t>
            </w:r>
            <w:r>
              <w:rPr>
                <w:rFonts w:eastAsia="Times New Roman" w:cs="Arial"/>
                <w:b/>
                <w:lang w:eastAsia="en-AU"/>
              </w:rPr>
              <w:t>,</w:t>
            </w:r>
            <w:r w:rsidRPr="00676396">
              <w:rPr>
                <w:rFonts w:eastAsia="Times New Roman" w:cs="Arial"/>
                <w:b/>
                <w:lang w:eastAsia="en-AU"/>
              </w:rPr>
              <w:t>644</w:t>
            </w:r>
          </w:p>
        </w:tc>
        <w:tc>
          <w:tcPr>
            <w:tcW w:w="1470" w:type="dxa"/>
            <w:tcBorders>
              <w:right w:val="nil"/>
            </w:tcBorders>
            <w:shd w:val="clear" w:color="auto" w:fill="B8CCE4" w:themeFill="accent1" w:themeFillTint="66"/>
            <w:noWrap/>
            <w:vAlign w:val="center"/>
          </w:tcPr>
          <w:p w14:paraId="561D9D86"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203</w:t>
            </w:r>
          </w:p>
        </w:tc>
        <w:tc>
          <w:tcPr>
            <w:tcW w:w="1471" w:type="dxa"/>
            <w:tcBorders>
              <w:left w:val="nil"/>
            </w:tcBorders>
            <w:shd w:val="clear" w:color="auto" w:fill="B8CCE4" w:themeFill="accent1" w:themeFillTint="66"/>
            <w:vAlign w:val="center"/>
          </w:tcPr>
          <w:p w14:paraId="49310F32"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9</w:t>
            </w:r>
            <w:r>
              <w:rPr>
                <w:rFonts w:eastAsia="Times New Roman" w:cs="Arial"/>
                <w:b/>
                <w:lang w:eastAsia="en-AU"/>
              </w:rPr>
              <w:t>,</w:t>
            </w:r>
            <w:r w:rsidRPr="00676396">
              <w:rPr>
                <w:rFonts w:eastAsia="Times New Roman" w:cs="Arial"/>
                <w:b/>
                <w:lang w:eastAsia="en-AU"/>
              </w:rPr>
              <w:t>340</w:t>
            </w:r>
          </w:p>
        </w:tc>
        <w:tc>
          <w:tcPr>
            <w:tcW w:w="1471" w:type="dxa"/>
            <w:tcBorders>
              <w:right w:val="nil"/>
            </w:tcBorders>
            <w:shd w:val="clear" w:color="auto" w:fill="B8CCE4" w:themeFill="accent1" w:themeFillTint="66"/>
            <w:noWrap/>
            <w:vAlign w:val="center"/>
          </w:tcPr>
          <w:p w14:paraId="7A20D21E"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113</w:t>
            </w:r>
          </w:p>
        </w:tc>
        <w:tc>
          <w:tcPr>
            <w:tcW w:w="1471" w:type="dxa"/>
            <w:tcBorders>
              <w:left w:val="nil"/>
            </w:tcBorders>
            <w:shd w:val="clear" w:color="auto" w:fill="B8CCE4" w:themeFill="accent1" w:themeFillTint="66"/>
            <w:vAlign w:val="center"/>
          </w:tcPr>
          <w:p w14:paraId="5829CABF"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2</w:t>
            </w:r>
            <w:r>
              <w:rPr>
                <w:rFonts w:eastAsia="Times New Roman" w:cs="Arial"/>
                <w:b/>
                <w:lang w:eastAsia="en-AU"/>
              </w:rPr>
              <w:t>,</w:t>
            </w:r>
            <w:r w:rsidRPr="00676396">
              <w:rPr>
                <w:rFonts w:eastAsia="Times New Roman" w:cs="Arial"/>
                <w:b/>
                <w:lang w:eastAsia="en-AU"/>
              </w:rPr>
              <w:t>932</w:t>
            </w:r>
          </w:p>
        </w:tc>
      </w:tr>
    </w:tbl>
    <w:p w14:paraId="6E919DC0" w14:textId="77777777" w:rsidR="001F31E2" w:rsidRDefault="001F31E2" w:rsidP="00B15586"/>
    <w:p w14:paraId="635DC775" w14:textId="77777777" w:rsidR="00A269A5" w:rsidRDefault="00A269A5" w:rsidP="0095311F">
      <w:pPr>
        <w:pStyle w:val="Figureheading"/>
      </w:pPr>
      <w:r>
        <w:t>3.2</w:t>
      </w:r>
      <w:r w:rsidR="007B717D">
        <w:t>2</w:t>
      </w:r>
      <w:r>
        <w:tab/>
      </w:r>
      <w:r w:rsidR="001F31E2" w:rsidRPr="00D74CC3">
        <w:t xml:space="preserve">Number of reports </w:t>
      </w:r>
      <w:r>
        <w:t xml:space="preserve">for 2007, </w:t>
      </w:r>
      <w:r w:rsidR="001F31E2" w:rsidRPr="00D74CC3">
        <w:t>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76"/>
        <w:gridCol w:w="1177"/>
        <w:gridCol w:w="1176"/>
        <w:gridCol w:w="1177"/>
        <w:gridCol w:w="1177"/>
        <w:gridCol w:w="1176"/>
        <w:gridCol w:w="1177"/>
        <w:gridCol w:w="1176"/>
        <w:gridCol w:w="1177"/>
        <w:gridCol w:w="1177"/>
      </w:tblGrid>
      <w:tr w:rsidR="001F31E2" w:rsidRPr="00F44E7A" w14:paraId="2A74A744" w14:textId="77777777" w:rsidTr="00137AE1">
        <w:trPr>
          <w:trHeight w:val="329"/>
          <w:tblHeader/>
        </w:trPr>
        <w:tc>
          <w:tcPr>
            <w:tcW w:w="2660" w:type="dxa"/>
            <w:shd w:val="clear" w:color="auto" w:fill="B8CCE4" w:themeFill="accent1" w:themeFillTint="66"/>
            <w:noWrap/>
            <w:hideMark/>
          </w:tcPr>
          <w:p w14:paraId="1FB9C553" w14:textId="77777777" w:rsidR="001F31E2" w:rsidRPr="00F44E7A" w:rsidRDefault="001F31E2" w:rsidP="00CE2FDF">
            <w:pPr>
              <w:keepNext/>
              <w:spacing w:before="0" w:line="276" w:lineRule="auto"/>
              <w:jc w:val="center"/>
              <w:rPr>
                <w:rFonts w:eastAsia="Times New Roman" w:cs="Arial"/>
                <w:b/>
                <w:lang w:eastAsia="en-AU"/>
              </w:rPr>
            </w:pPr>
          </w:p>
        </w:tc>
        <w:tc>
          <w:tcPr>
            <w:tcW w:w="2353" w:type="dxa"/>
            <w:gridSpan w:val="2"/>
            <w:shd w:val="clear" w:color="auto" w:fill="B8CCE4" w:themeFill="accent1" w:themeFillTint="66"/>
            <w:noWrap/>
            <w:hideMark/>
          </w:tcPr>
          <w:p w14:paraId="34D3B142" w14:textId="77777777" w:rsidR="001F31E2" w:rsidRPr="00F44E7A" w:rsidRDefault="001F31E2"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3843FBFB" w14:textId="77777777" w:rsidR="001F31E2" w:rsidRPr="00F44E7A" w:rsidRDefault="001F31E2"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23269F35" w14:textId="77777777" w:rsidR="001F31E2" w:rsidRPr="00F44E7A" w:rsidRDefault="001F31E2"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1BB6719F" w14:textId="77777777" w:rsidR="001F31E2" w:rsidRPr="00F44E7A" w:rsidRDefault="001F31E2"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4131B189" w14:textId="77777777" w:rsidR="001F31E2" w:rsidRPr="00F44E7A" w:rsidRDefault="001F31E2"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1F31E2" w:rsidRPr="00F44E7A" w14:paraId="0E93E771" w14:textId="77777777" w:rsidTr="00137AE1">
        <w:trPr>
          <w:trHeight w:val="264"/>
          <w:tblHeader/>
        </w:trPr>
        <w:tc>
          <w:tcPr>
            <w:tcW w:w="2660" w:type="dxa"/>
            <w:shd w:val="clear" w:color="auto" w:fill="B8CCE4" w:themeFill="accent1" w:themeFillTint="66"/>
            <w:noWrap/>
            <w:hideMark/>
          </w:tcPr>
          <w:p w14:paraId="5841B504" w14:textId="77777777" w:rsidR="001F31E2" w:rsidRPr="00F44E7A" w:rsidRDefault="001F31E2" w:rsidP="00CE2FDF">
            <w:pPr>
              <w:keepNext/>
              <w:spacing w:before="0" w:line="276"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6BCA4812" w14:textId="77777777" w:rsidR="001F31E2" w:rsidRPr="00F44E7A" w:rsidRDefault="001F31E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4A3BD0C7" w14:textId="77777777" w:rsidR="001F31E2" w:rsidRPr="00F44E7A" w:rsidRDefault="001F31E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73C52E0B" w14:textId="77777777" w:rsidR="001F31E2" w:rsidRPr="00F44E7A" w:rsidRDefault="001F31E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6E844E56" w14:textId="77777777" w:rsidR="001F31E2" w:rsidRPr="00F44E7A" w:rsidRDefault="001F31E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4BE1A46" w14:textId="77777777" w:rsidR="001F31E2" w:rsidRPr="00F44E7A" w:rsidRDefault="001F31E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6C02D1F5" w14:textId="77777777" w:rsidR="001F31E2" w:rsidRPr="00F44E7A" w:rsidRDefault="001F31E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433D9EBD" w14:textId="77777777" w:rsidR="001F31E2" w:rsidRPr="00F44E7A" w:rsidRDefault="001F31E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2DFF8085" w14:textId="77777777" w:rsidR="001F31E2" w:rsidRPr="00F44E7A" w:rsidRDefault="001F31E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3DF22936" w14:textId="77777777" w:rsidR="001F31E2" w:rsidRPr="00F44E7A" w:rsidRDefault="001F31E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0E23CD9E" w14:textId="77777777" w:rsidR="001F31E2" w:rsidRPr="00F44E7A" w:rsidRDefault="001F31E2"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1F31E2" w:rsidRPr="003324F1" w14:paraId="66C311A9" w14:textId="77777777" w:rsidTr="00F2448E">
        <w:trPr>
          <w:trHeight w:val="276"/>
        </w:trPr>
        <w:tc>
          <w:tcPr>
            <w:tcW w:w="2660" w:type="dxa"/>
            <w:noWrap/>
            <w:hideMark/>
          </w:tcPr>
          <w:p w14:paraId="5B2280A3" w14:textId="77777777" w:rsidR="001F31E2" w:rsidRPr="00F44E7A" w:rsidRDefault="001F31E2"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1176" w:type="dxa"/>
            <w:tcBorders>
              <w:right w:val="nil"/>
            </w:tcBorders>
            <w:noWrap/>
            <w:vAlign w:val="center"/>
          </w:tcPr>
          <w:p w14:paraId="55ADDBF5"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539</w:t>
            </w:r>
          </w:p>
        </w:tc>
        <w:tc>
          <w:tcPr>
            <w:tcW w:w="1177" w:type="dxa"/>
            <w:tcBorders>
              <w:left w:val="nil"/>
            </w:tcBorders>
            <w:vAlign w:val="center"/>
          </w:tcPr>
          <w:p w14:paraId="09DC31AE"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537</w:t>
            </w:r>
          </w:p>
        </w:tc>
        <w:tc>
          <w:tcPr>
            <w:tcW w:w="1176" w:type="dxa"/>
            <w:tcBorders>
              <w:right w:val="nil"/>
            </w:tcBorders>
            <w:noWrap/>
            <w:vAlign w:val="center"/>
          </w:tcPr>
          <w:p w14:paraId="5F6A945C"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307</w:t>
            </w:r>
          </w:p>
        </w:tc>
        <w:tc>
          <w:tcPr>
            <w:tcW w:w="1177" w:type="dxa"/>
            <w:tcBorders>
              <w:left w:val="nil"/>
            </w:tcBorders>
            <w:vAlign w:val="center"/>
          </w:tcPr>
          <w:p w14:paraId="16CA777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307</w:t>
            </w:r>
          </w:p>
        </w:tc>
        <w:tc>
          <w:tcPr>
            <w:tcW w:w="1177" w:type="dxa"/>
            <w:tcBorders>
              <w:right w:val="nil"/>
            </w:tcBorders>
            <w:noWrap/>
            <w:vAlign w:val="center"/>
          </w:tcPr>
          <w:p w14:paraId="70552B1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208</w:t>
            </w:r>
          </w:p>
        </w:tc>
        <w:tc>
          <w:tcPr>
            <w:tcW w:w="1176" w:type="dxa"/>
            <w:tcBorders>
              <w:left w:val="nil"/>
            </w:tcBorders>
            <w:vAlign w:val="center"/>
          </w:tcPr>
          <w:p w14:paraId="0E626FDE"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208</w:t>
            </w:r>
          </w:p>
        </w:tc>
        <w:tc>
          <w:tcPr>
            <w:tcW w:w="1177" w:type="dxa"/>
            <w:tcBorders>
              <w:right w:val="nil"/>
            </w:tcBorders>
            <w:noWrap/>
            <w:vAlign w:val="center"/>
          </w:tcPr>
          <w:p w14:paraId="716A43C7"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99</w:t>
            </w:r>
          </w:p>
        </w:tc>
        <w:tc>
          <w:tcPr>
            <w:tcW w:w="1176" w:type="dxa"/>
            <w:tcBorders>
              <w:left w:val="nil"/>
            </w:tcBorders>
            <w:vAlign w:val="center"/>
          </w:tcPr>
          <w:p w14:paraId="14B728F9"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99</w:t>
            </w:r>
          </w:p>
        </w:tc>
        <w:tc>
          <w:tcPr>
            <w:tcW w:w="1177" w:type="dxa"/>
            <w:tcBorders>
              <w:right w:val="nil"/>
            </w:tcBorders>
            <w:noWrap/>
            <w:vAlign w:val="center"/>
          </w:tcPr>
          <w:p w14:paraId="51AB9FB7"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846</w:t>
            </w:r>
          </w:p>
        </w:tc>
        <w:tc>
          <w:tcPr>
            <w:tcW w:w="1177" w:type="dxa"/>
            <w:tcBorders>
              <w:left w:val="nil"/>
            </w:tcBorders>
            <w:vAlign w:val="center"/>
          </w:tcPr>
          <w:p w14:paraId="401AFF5B"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841</w:t>
            </w:r>
          </w:p>
        </w:tc>
      </w:tr>
      <w:tr w:rsidR="001F31E2" w:rsidRPr="003324F1" w14:paraId="6F249BE8" w14:textId="77777777" w:rsidTr="00F2448E">
        <w:trPr>
          <w:trHeight w:val="276"/>
        </w:trPr>
        <w:tc>
          <w:tcPr>
            <w:tcW w:w="2660" w:type="dxa"/>
            <w:shd w:val="clear" w:color="auto" w:fill="DBE5F1" w:themeFill="accent1" w:themeFillTint="33"/>
            <w:noWrap/>
            <w:hideMark/>
          </w:tcPr>
          <w:p w14:paraId="648964CC" w14:textId="77777777" w:rsidR="001F31E2" w:rsidRPr="00F44E7A" w:rsidRDefault="001F31E2"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05ECCF3D"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802</w:t>
            </w:r>
          </w:p>
        </w:tc>
        <w:tc>
          <w:tcPr>
            <w:tcW w:w="1177" w:type="dxa"/>
            <w:tcBorders>
              <w:left w:val="nil"/>
            </w:tcBorders>
            <w:shd w:val="clear" w:color="auto" w:fill="DBE5F1" w:themeFill="accent1" w:themeFillTint="33"/>
            <w:vAlign w:val="center"/>
          </w:tcPr>
          <w:p w14:paraId="68D70491"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787</w:t>
            </w:r>
          </w:p>
        </w:tc>
        <w:tc>
          <w:tcPr>
            <w:tcW w:w="1176" w:type="dxa"/>
            <w:tcBorders>
              <w:right w:val="nil"/>
            </w:tcBorders>
            <w:shd w:val="clear" w:color="auto" w:fill="DBE5F1" w:themeFill="accent1" w:themeFillTint="33"/>
            <w:noWrap/>
            <w:vAlign w:val="center"/>
          </w:tcPr>
          <w:p w14:paraId="1BD70B5D"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570</w:t>
            </w:r>
          </w:p>
        </w:tc>
        <w:tc>
          <w:tcPr>
            <w:tcW w:w="1177" w:type="dxa"/>
            <w:tcBorders>
              <w:left w:val="nil"/>
            </w:tcBorders>
            <w:shd w:val="clear" w:color="auto" w:fill="DBE5F1" w:themeFill="accent1" w:themeFillTint="33"/>
            <w:vAlign w:val="center"/>
          </w:tcPr>
          <w:p w14:paraId="23DBBCB6"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563</w:t>
            </w:r>
          </w:p>
        </w:tc>
        <w:tc>
          <w:tcPr>
            <w:tcW w:w="1177" w:type="dxa"/>
            <w:tcBorders>
              <w:right w:val="nil"/>
            </w:tcBorders>
            <w:shd w:val="clear" w:color="auto" w:fill="DBE5F1" w:themeFill="accent1" w:themeFillTint="33"/>
            <w:noWrap/>
            <w:vAlign w:val="center"/>
          </w:tcPr>
          <w:p w14:paraId="3FE3685C"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393</w:t>
            </w:r>
          </w:p>
        </w:tc>
        <w:tc>
          <w:tcPr>
            <w:tcW w:w="1176" w:type="dxa"/>
            <w:tcBorders>
              <w:left w:val="nil"/>
            </w:tcBorders>
            <w:shd w:val="clear" w:color="auto" w:fill="DBE5F1" w:themeFill="accent1" w:themeFillTint="33"/>
            <w:vAlign w:val="center"/>
          </w:tcPr>
          <w:p w14:paraId="12276DE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390</w:t>
            </w:r>
          </w:p>
        </w:tc>
        <w:tc>
          <w:tcPr>
            <w:tcW w:w="1177" w:type="dxa"/>
            <w:tcBorders>
              <w:right w:val="nil"/>
            </w:tcBorders>
            <w:shd w:val="clear" w:color="auto" w:fill="DBE5F1" w:themeFill="accent1" w:themeFillTint="33"/>
            <w:noWrap/>
            <w:vAlign w:val="center"/>
          </w:tcPr>
          <w:p w14:paraId="0DAF567D"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177</w:t>
            </w:r>
          </w:p>
        </w:tc>
        <w:tc>
          <w:tcPr>
            <w:tcW w:w="1176" w:type="dxa"/>
            <w:tcBorders>
              <w:left w:val="nil"/>
            </w:tcBorders>
            <w:shd w:val="clear" w:color="auto" w:fill="DBE5F1" w:themeFill="accent1" w:themeFillTint="33"/>
            <w:vAlign w:val="center"/>
          </w:tcPr>
          <w:p w14:paraId="1A95B5A8"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176</w:t>
            </w:r>
          </w:p>
        </w:tc>
        <w:tc>
          <w:tcPr>
            <w:tcW w:w="1177" w:type="dxa"/>
            <w:tcBorders>
              <w:right w:val="nil"/>
            </w:tcBorders>
            <w:shd w:val="clear" w:color="auto" w:fill="DBE5F1" w:themeFill="accent1" w:themeFillTint="33"/>
            <w:noWrap/>
            <w:vAlign w:val="center"/>
          </w:tcPr>
          <w:p w14:paraId="7C66A301"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372</w:t>
            </w:r>
          </w:p>
        </w:tc>
        <w:tc>
          <w:tcPr>
            <w:tcW w:w="1177" w:type="dxa"/>
            <w:tcBorders>
              <w:left w:val="nil"/>
            </w:tcBorders>
            <w:shd w:val="clear" w:color="auto" w:fill="DBE5F1" w:themeFill="accent1" w:themeFillTint="33"/>
            <w:vAlign w:val="center"/>
          </w:tcPr>
          <w:p w14:paraId="08884751"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331</w:t>
            </w:r>
          </w:p>
        </w:tc>
      </w:tr>
      <w:tr w:rsidR="001F31E2" w:rsidRPr="003324F1" w14:paraId="1B882FE0" w14:textId="77777777" w:rsidTr="00F2448E">
        <w:trPr>
          <w:trHeight w:val="276"/>
        </w:trPr>
        <w:tc>
          <w:tcPr>
            <w:tcW w:w="2660" w:type="dxa"/>
            <w:noWrap/>
            <w:hideMark/>
          </w:tcPr>
          <w:p w14:paraId="6A7DF6EF" w14:textId="77777777" w:rsidR="001F31E2" w:rsidRPr="00F44E7A" w:rsidRDefault="001F31E2" w:rsidP="00CE2FDF">
            <w:pPr>
              <w:spacing w:before="0" w:line="276"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noWrap/>
            <w:vAlign w:val="center"/>
          </w:tcPr>
          <w:p w14:paraId="7D771F2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194</w:t>
            </w:r>
          </w:p>
        </w:tc>
        <w:tc>
          <w:tcPr>
            <w:tcW w:w="1177" w:type="dxa"/>
            <w:tcBorders>
              <w:left w:val="nil"/>
            </w:tcBorders>
            <w:vAlign w:val="center"/>
          </w:tcPr>
          <w:p w14:paraId="5DF28CA1"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964</w:t>
            </w:r>
          </w:p>
        </w:tc>
        <w:tc>
          <w:tcPr>
            <w:tcW w:w="1176" w:type="dxa"/>
            <w:tcBorders>
              <w:right w:val="nil"/>
            </w:tcBorders>
            <w:noWrap/>
            <w:vAlign w:val="center"/>
          </w:tcPr>
          <w:p w14:paraId="3D09F3B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436</w:t>
            </w:r>
          </w:p>
        </w:tc>
        <w:tc>
          <w:tcPr>
            <w:tcW w:w="1177" w:type="dxa"/>
            <w:tcBorders>
              <w:left w:val="nil"/>
            </w:tcBorders>
            <w:vAlign w:val="center"/>
          </w:tcPr>
          <w:p w14:paraId="41D6F37E"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370</w:t>
            </w:r>
          </w:p>
        </w:tc>
        <w:tc>
          <w:tcPr>
            <w:tcW w:w="1177" w:type="dxa"/>
            <w:tcBorders>
              <w:right w:val="nil"/>
            </w:tcBorders>
            <w:noWrap/>
            <w:vAlign w:val="center"/>
          </w:tcPr>
          <w:p w14:paraId="6E47FDF7"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789</w:t>
            </w:r>
          </w:p>
        </w:tc>
        <w:tc>
          <w:tcPr>
            <w:tcW w:w="1176" w:type="dxa"/>
            <w:tcBorders>
              <w:left w:val="nil"/>
            </w:tcBorders>
            <w:vAlign w:val="center"/>
          </w:tcPr>
          <w:p w14:paraId="5AE6DAB9"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752</w:t>
            </w:r>
          </w:p>
        </w:tc>
        <w:tc>
          <w:tcPr>
            <w:tcW w:w="1177" w:type="dxa"/>
            <w:tcBorders>
              <w:right w:val="nil"/>
            </w:tcBorders>
            <w:noWrap/>
            <w:vAlign w:val="center"/>
          </w:tcPr>
          <w:p w14:paraId="6561DDEC"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647</w:t>
            </w:r>
          </w:p>
        </w:tc>
        <w:tc>
          <w:tcPr>
            <w:tcW w:w="1176" w:type="dxa"/>
            <w:tcBorders>
              <w:left w:val="nil"/>
            </w:tcBorders>
            <w:vAlign w:val="center"/>
          </w:tcPr>
          <w:p w14:paraId="768B8418"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643</w:t>
            </w:r>
          </w:p>
        </w:tc>
        <w:tc>
          <w:tcPr>
            <w:tcW w:w="1177" w:type="dxa"/>
            <w:tcBorders>
              <w:right w:val="nil"/>
            </w:tcBorders>
            <w:noWrap/>
            <w:vAlign w:val="center"/>
          </w:tcPr>
          <w:p w14:paraId="615772FF"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630</w:t>
            </w:r>
          </w:p>
        </w:tc>
        <w:tc>
          <w:tcPr>
            <w:tcW w:w="1177" w:type="dxa"/>
            <w:tcBorders>
              <w:left w:val="nil"/>
            </w:tcBorders>
            <w:vAlign w:val="center"/>
          </w:tcPr>
          <w:p w14:paraId="72E3783A"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110</w:t>
            </w:r>
          </w:p>
        </w:tc>
      </w:tr>
      <w:tr w:rsidR="001F31E2" w:rsidRPr="003324F1" w14:paraId="7A82397D" w14:textId="77777777" w:rsidTr="00F2448E">
        <w:trPr>
          <w:trHeight w:val="276"/>
        </w:trPr>
        <w:tc>
          <w:tcPr>
            <w:tcW w:w="2660" w:type="dxa"/>
            <w:shd w:val="clear" w:color="auto" w:fill="DBE5F1" w:themeFill="accent1" w:themeFillTint="33"/>
            <w:noWrap/>
            <w:hideMark/>
          </w:tcPr>
          <w:p w14:paraId="52A15FF1" w14:textId="77777777" w:rsidR="001F31E2" w:rsidRPr="00F44E7A" w:rsidRDefault="001F31E2" w:rsidP="00CE2FDF">
            <w:pPr>
              <w:spacing w:before="0" w:line="276"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DBE5F1" w:themeFill="accent1" w:themeFillTint="33"/>
            <w:noWrap/>
            <w:vAlign w:val="center"/>
          </w:tcPr>
          <w:p w14:paraId="13EA89E7"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153</w:t>
            </w:r>
          </w:p>
        </w:tc>
        <w:tc>
          <w:tcPr>
            <w:tcW w:w="1177" w:type="dxa"/>
            <w:tcBorders>
              <w:left w:val="nil"/>
            </w:tcBorders>
            <w:shd w:val="clear" w:color="auto" w:fill="DBE5F1" w:themeFill="accent1" w:themeFillTint="33"/>
            <w:vAlign w:val="center"/>
          </w:tcPr>
          <w:p w14:paraId="27B9253B"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980</w:t>
            </w:r>
          </w:p>
        </w:tc>
        <w:tc>
          <w:tcPr>
            <w:tcW w:w="1176" w:type="dxa"/>
            <w:tcBorders>
              <w:right w:val="nil"/>
            </w:tcBorders>
            <w:shd w:val="clear" w:color="auto" w:fill="DBE5F1" w:themeFill="accent1" w:themeFillTint="33"/>
            <w:noWrap/>
            <w:vAlign w:val="center"/>
          </w:tcPr>
          <w:p w14:paraId="04D618C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263</w:t>
            </w:r>
          </w:p>
        </w:tc>
        <w:tc>
          <w:tcPr>
            <w:tcW w:w="1177" w:type="dxa"/>
            <w:tcBorders>
              <w:left w:val="nil"/>
            </w:tcBorders>
            <w:shd w:val="clear" w:color="auto" w:fill="DBE5F1" w:themeFill="accent1" w:themeFillTint="33"/>
            <w:vAlign w:val="center"/>
          </w:tcPr>
          <w:p w14:paraId="24809987"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241</w:t>
            </w:r>
          </w:p>
        </w:tc>
        <w:tc>
          <w:tcPr>
            <w:tcW w:w="1177" w:type="dxa"/>
            <w:tcBorders>
              <w:right w:val="nil"/>
            </w:tcBorders>
            <w:shd w:val="clear" w:color="auto" w:fill="DBE5F1" w:themeFill="accent1" w:themeFillTint="33"/>
            <w:noWrap/>
            <w:vAlign w:val="center"/>
          </w:tcPr>
          <w:p w14:paraId="748E9BB8"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751</w:t>
            </w:r>
          </w:p>
        </w:tc>
        <w:tc>
          <w:tcPr>
            <w:tcW w:w="1176" w:type="dxa"/>
            <w:tcBorders>
              <w:left w:val="nil"/>
            </w:tcBorders>
            <w:shd w:val="clear" w:color="auto" w:fill="DBE5F1" w:themeFill="accent1" w:themeFillTint="33"/>
            <w:vAlign w:val="center"/>
          </w:tcPr>
          <w:p w14:paraId="1DF8CD38"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736</w:t>
            </w:r>
          </w:p>
        </w:tc>
        <w:tc>
          <w:tcPr>
            <w:tcW w:w="1177" w:type="dxa"/>
            <w:tcBorders>
              <w:right w:val="nil"/>
            </w:tcBorders>
            <w:shd w:val="clear" w:color="auto" w:fill="DBE5F1" w:themeFill="accent1" w:themeFillTint="33"/>
            <w:noWrap/>
            <w:vAlign w:val="center"/>
          </w:tcPr>
          <w:p w14:paraId="6CE59C0E"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512</w:t>
            </w:r>
          </w:p>
        </w:tc>
        <w:tc>
          <w:tcPr>
            <w:tcW w:w="1176" w:type="dxa"/>
            <w:tcBorders>
              <w:left w:val="nil"/>
            </w:tcBorders>
            <w:shd w:val="clear" w:color="auto" w:fill="DBE5F1" w:themeFill="accent1" w:themeFillTint="33"/>
            <w:vAlign w:val="center"/>
          </w:tcPr>
          <w:p w14:paraId="3FA0C690"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508</w:t>
            </w:r>
          </w:p>
        </w:tc>
        <w:tc>
          <w:tcPr>
            <w:tcW w:w="1177" w:type="dxa"/>
            <w:tcBorders>
              <w:right w:val="nil"/>
            </w:tcBorders>
            <w:shd w:val="clear" w:color="auto" w:fill="DBE5F1" w:themeFill="accent1" w:themeFillTint="33"/>
            <w:noWrap/>
            <w:vAlign w:val="center"/>
          </w:tcPr>
          <w:p w14:paraId="15EE575C"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416</w:t>
            </w:r>
          </w:p>
        </w:tc>
        <w:tc>
          <w:tcPr>
            <w:tcW w:w="1177" w:type="dxa"/>
            <w:tcBorders>
              <w:left w:val="nil"/>
            </w:tcBorders>
            <w:shd w:val="clear" w:color="auto" w:fill="DBE5F1" w:themeFill="accent1" w:themeFillTint="33"/>
            <w:vAlign w:val="center"/>
          </w:tcPr>
          <w:p w14:paraId="739A1E1D"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104</w:t>
            </w:r>
          </w:p>
        </w:tc>
      </w:tr>
      <w:tr w:rsidR="001F31E2" w:rsidRPr="003324F1" w14:paraId="5B341278" w14:textId="77777777" w:rsidTr="00F2448E">
        <w:trPr>
          <w:trHeight w:val="276"/>
        </w:trPr>
        <w:tc>
          <w:tcPr>
            <w:tcW w:w="2660" w:type="dxa"/>
            <w:shd w:val="clear" w:color="auto" w:fill="auto"/>
            <w:noWrap/>
            <w:hideMark/>
          </w:tcPr>
          <w:p w14:paraId="70E47375" w14:textId="77777777" w:rsidR="001F31E2" w:rsidRPr="00F44E7A" w:rsidRDefault="001F31E2" w:rsidP="00CE2FDF">
            <w:pPr>
              <w:spacing w:before="0" w:line="276" w:lineRule="auto"/>
              <w:rPr>
                <w:rFonts w:eastAsia="Times New Roman" w:cs="Arial"/>
                <w:b/>
                <w:lang w:eastAsia="en-AU"/>
              </w:rPr>
            </w:pPr>
            <w:r>
              <w:rPr>
                <w:rFonts w:eastAsia="Times New Roman" w:cs="Arial"/>
                <w:b/>
                <w:lang w:eastAsia="en-AU"/>
              </w:rPr>
              <w:t>Psychiatrists</w:t>
            </w:r>
          </w:p>
        </w:tc>
        <w:tc>
          <w:tcPr>
            <w:tcW w:w="1176" w:type="dxa"/>
            <w:tcBorders>
              <w:right w:val="nil"/>
            </w:tcBorders>
            <w:shd w:val="clear" w:color="auto" w:fill="auto"/>
            <w:noWrap/>
            <w:vAlign w:val="center"/>
          </w:tcPr>
          <w:p w14:paraId="072E43DF"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97</w:t>
            </w:r>
          </w:p>
        </w:tc>
        <w:tc>
          <w:tcPr>
            <w:tcW w:w="1177" w:type="dxa"/>
            <w:tcBorders>
              <w:left w:val="nil"/>
            </w:tcBorders>
            <w:shd w:val="clear" w:color="auto" w:fill="auto"/>
            <w:vAlign w:val="center"/>
          </w:tcPr>
          <w:p w14:paraId="14EE78F0"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94</w:t>
            </w:r>
          </w:p>
        </w:tc>
        <w:tc>
          <w:tcPr>
            <w:tcW w:w="1176" w:type="dxa"/>
            <w:tcBorders>
              <w:right w:val="nil"/>
            </w:tcBorders>
            <w:shd w:val="clear" w:color="auto" w:fill="auto"/>
            <w:noWrap/>
            <w:vAlign w:val="center"/>
          </w:tcPr>
          <w:p w14:paraId="1BA2482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44</w:t>
            </w:r>
          </w:p>
        </w:tc>
        <w:tc>
          <w:tcPr>
            <w:tcW w:w="1177" w:type="dxa"/>
            <w:tcBorders>
              <w:left w:val="nil"/>
            </w:tcBorders>
            <w:shd w:val="clear" w:color="auto" w:fill="auto"/>
            <w:vAlign w:val="center"/>
          </w:tcPr>
          <w:p w14:paraId="3BB61BFD"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44</w:t>
            </w:r>
          </w:p>
        </w:tc>
        <w:tc>
          <w:tcPr>
            <w:tcW w:w="1177" w:type="dxa"/>
            <w:tcBorders>
              <w:right w:val="nil"/>
            </w:tcBorders>
            <w:shd w:val="clear" w:color="auto" w:fill="auto"/>
            <w:noWrap/>
            <w:vAlign w:val="center"/>
          </w:tcPr>
          <w:p w14:paraId="545C985E"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30</w:t>
            </w:r>
          </w:p>
        </w:tc>
        <w:tc>
          <w:tcPr>
            <w:tcW w:w="1176" w:type="dxa"/>
            <w:tcBorders>
              <w:left w:val="nil"/>
            </w:tcBorders>
            <w:shd w:val="clear" w:color="auto" w:fill="auto"/>
            <w:vAlign w:val="center"/>
          </w:tcPr>
          <w:p w14:paraId="7F4E37B8"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30</w:t>
            </w:r>
          </w:p>
        </w:tc>
        <w:tc>
          <w:tcPr>
            <w:tcW w:w="1177" w:type="dxa"/>
            <w:tcBorders>
              <w:right w:val="nil"/>
            </w:tcBorders>
            <w:shd w:val="clear" w:color="auto" w:fill="auto"/>
            <w:noWrap/>
            <w:vAlign w:val="center"/>
          </w:tcPr>
          <w:p w14:paraId="76BC8B6C"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14</w:t>
            </w:r>
          </w:p>
        </w:tc>
        <w:tc>
          <w:tcPr>
            <w:tcW w:w="1176" w:type="dxa"/>
            <w:tcBorders>
              <w:left w:val="nil"/>
            </w:tcBorders>
            <w:shd w:val="clear" w:color="auto" w:fill="auto"/>
            <w:vAlign w:val="center"/>
          </w:tcPr>
          <w:p w14:paraId="3A3D988F"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14</w:t>
            </w:r>
          </w:p>
        </w:tc>
        <w:tc>
          <w:tcPr>
            <w:tcW w:w="1177" w:type="dxa"/>
            <w:tcBorders>
              <w:right w:val="nil"/>
            </w:tcBorders>
            <w:shd w:val="clear" w:color="auto" w:fill="auto"/>
            <w:noWrap/>
            <w:vAlign w:val="center"/>
          </w:tcPr>
          <w:p w14:paraId="68127632"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141</w:t>
            </w:r>
          </w:p>
        </w:tc>
        <w:tc>
          <w:tcPr>
            <w:tcW w:w="1177" w:type="dxa"/>
            <w:tcBorders>
              <w:left w:val="nil"/>
            </w:tcBorders>
            <w:shd w:val="clear" w:color="auto" w:fill="auto"/>
            <w:vAlign w:val="center"/>
          </w:tcPr>
          <w:p w14:paraId="274D4A9C"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136</w:t>
            </w:r>
          </w:p>
        </w:tc>
      </w:tr>
      <w:tr w:rsidR="001F31E2" w:rsidRPr="003324F1" w14:paraId="380CB586" w14:textId="77777777" w:rsidTr="00F2448E">
        <w:trPr>
          <w:trHeight w:val="276"/>
        </w:trPr>
        <w:tc>
          <w:tcPr>
            <w:tcW w:w="2660" w:type="dxa"/>
            <w:shd w:val="clear" w:color="auto" w:fill="DBE5F1" w:themeFill="accent1" w:themeFillTint="33"/>
            <w:noWrap/>
            <w:hideMark/>
          </w:tcPr>
          <w:p w14:paraId="77B57097" w14:textId="77777777" w:rsidR="001F31E2" w:rsidRPr="00F44E7A" w:rsidRDefault="001F31E2"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176" w:type="dxa"/>
            <w:tcBorders>
              <w:right w:val="nil"/>
            </w:tcBorders>
            <w:shd w:val="clear" w:color="auto" w:fill="DBE5F1" w:themeFill="accent1" w:themeFillTint="33"/>
            <w:noWrap/>
            <w:vAlign w:val="center"/>
          </w:tcPr>
          <w:p w14:paraId="06AD3962"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9</w:t>
            </w:r>
            <w:r>
              <w:rPr>
                <w:rFonts w:eastAsia="Times New Roman" w:cs="Arial"/>
                <w:lang w:eastAsia="en-AU"/>
              </w:rPr>
              <w:t>,</w:t>
            </w:r>
            <w:r w:rsidRPr="00676396">
              <w:rPr>
                <w:rFonts w:eastAsia="Times New Roman" w:cs="Arial"/>
                <w:lang w:eastAsia="en-AU"/>
              </w:rPr>
              <w:t>785</w:t>
            </w:r>
          </w:p>
        </w:tc>
        <w:tc>
          <w:tcPr>
            <w:tcW w:w="1177" w:type="dxa"/>
            <w:tcBorders>
              <w:left w:val="nil"/>
            </w:tcBorders>
            <w:shd w:val="clear" w:color="auto" w:fill="DBE5F1" w:themeFill="accent1" w:themeFillTint="33"/>
            <w:vAlign w:val="center"/>
          </w:tcPr>
          <w:p w14:paraId="3E7F2710"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9</w:t>
            </w:r>
            <w:r>
              <w:rPr>
                <w:rFonts w:eastAsia="Times New Roman" w:cs="Arial"/>
                <w:lang w:eastAsia="en-AU"/>
              </w:rPr>
              <w:t>,</w:t>
            </w:r>
            <w:r w:rsidRPr="00676396">
              <w:rPr>
                <w:rFonts w:eastAsia="Times New Roman" w:cs="Arial"/>
                <w:lang w:eastAsia="en-AU"/>
              </w:rPr>
              <w:t>155</w:t>
            </w:r>
          </w:p>
        </w:tc>
        <w:tc>
          <w:tcPr>
            <w:tcW w:w="1176" w:type="dxa"/>
            <w:tcBorders>
              <w:right w:val="nil"/>
            </w:tcBorders>
            <w:shd w:val="clear" w:color="auto" w:fill="DBE5F1" w:themeFill="accent1" w:themeFillTint="33"/>
            <w:noWrap/>
            <w:vAlign w:val="center"/>
          </w:tcPr>
          <w:p w14:paraId="2F0A6F1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620</w:t>
            </w:r>
          </w:p>
        </w:tc>
        <w:tc>
          <w:tcPr>
            <w:tcW w:w="1177" w:type="dxa"/>
            <w:tcBorders>
              <w:left w:val="nil"/>
            </w:tcBorders>
            <w:shd w:val="clear" w:color="auto" w:fill="DBE5F1" w:themeFill="accent1" w:themeFillTint="33"/>
            <w:vAlign w:val="center"/>
          </w:tcPr>
          <w:p w14:paraId="3E53F2B6"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462</w:t>
            </w:r>
          </w:p>
        </w:tc>
        <w:tc>
          <w:tcPr>
            <w:tcW w:w="1177" w:type="dxa"/>
            <w:tcBorders>
              <w:right w:val="nil"/>
            </w:tcBorders>
            <w:shd w:val="clear" w:color="auto" w:fill="DBE5F1" w:themeFill="accent1" w:themeFillTint="33"/>
            <w:noWrap/>
            <w:vAlign w:val="center"/>
          </w:tcPr>
          <w:p w14:paraId="3592FC8C"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171</w:t>
            </w:r>
          </w:p>
        </w:tc>
        <w:tc>
          <w:tcPr>
            <w:tcW w:w="1176" w:type="dxa"/>
            <w:tcBorders>
              <w:left w:val="nil"/>
            </w:tcBorders>
            <w:shd w:val="clear" w:color="auto" w:fill="DBE5F1" w:themeFill="accent1" w:themeFillTint="33"/>
            <w:vAlign w:val="center"/>
          </w:tcPr>
          <w:p w14:paraId="62EF44D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093</w:t>
            </w:r>
          </w:p>
        </w:tc>
        <w:tc>
          <w:tcPr>
            <w:tcW w:w="1177" w:type="dxa"/>
            <w:tcBorders>
              <w:right w:val="nil"/>
            </w:tcBorders>
            <w:shd w:val="clear" w:color="auto" w:fill="DBE5F1" w:themeFill="accent1" w:themeFillTint="33"/>
            <w:noWrap/>
            <w:vAlign w:val="center"/>
          </w:tcPr>
          <w:p w14:paraId="103034D0"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449</w:t>
            </w:r>
          </w:p>
        </w:tc>
        <w:tc>
          <w:tcPr>
            <w:tcW w:w="1176" w:type="dxa"/>
            <w:tcBorders>
              <w:left w:val="nil"/>
            </w:tcBorders>
            <w:shd w:val="clear" w:color="auto" w:fill="DBE5F1" w:themeFill="accent1" w:themeFillTint="33"/>
            <w:vAlign w:val="center"/>
          </w:tcPr>
          <w:p w14:paraId="2466C118"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424</w:t>
            </w:r>
          </w:p>
        </w:tc>
        <w:tc>
          <w:tcPr>
            <w:tcW w:w="1177" w:type="dxa"/>
            <w:tcBorders>
              <w:right w:val="nil"/>
            </w:tcBorders>
            <w:shd w:val="clear" w:color="auto" w:fill="DBE5F1" w:themeFill="accent1" w:themeFillTint="33"/>
            <w:noWrap/>
            <w:vAlign w:val="center"/>
          </w:tcPr>
          <w:p w14:paraId="150A6BAC"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14</w:t>
            </w:r>
            <w:r>
              <w:rPr>
                <w:rFonts w:eastAsia="Times New Roman" w:cs="Arial"/>
                <w:b/>
                <w:lang w:eastAsia="en-AU"/>
              </w:rPr>
              <w:t>,</w:t>
            </w:r>
            <w:r w:rsidRPr="00676396">
              <w:rPr>
                <w:rFonts w:eastAsia="Times New Roman" w:cs="Arial"/>
                <w:b/>
                <w:lang w:eastAsia="en-AU"/>
              </w:rPr>
              <w:t>405</w:t>
            </w:r>
          </w:p>
        </w:tc>
        <w:tc>
          <w:tcPr>
            <w:tcW w:w="1177" w:type="dxa"/>
            <w:tcBorders>
              <w:left w:val="nil"/>
            </w:tcBorders>
            <w:shd w:val="clear" w:color="auto" w:fill="DBE5F1" w:themeFill="accent1" w:themeFillTint="33"/>
            <w:vAlign w:val="center"/>
          </w:tcPr>
          <w:p w14:paraId="4BD15091"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074</w:t>
            </w:r>
          </w:p>
        </w:tc>
      </w:tr>
      <w:tr w:rsidR="001F31E2" w:rsidRPr="003324F1" w14:paraId="17506DC0" w14:textId="77777777" w:rsidTr="00F2448E">
        <w:trPr>
          <w:trHeight w:val="276"/>
        </w:trPr>
        <w:tc>
          <w:tcPr>
            <w:tcW w:w="2660" w:type="dxa"/>
            <w:shd w:val="clear" w:color="auto" w:fill="auto"/>
            <w:noWrap/>
            <w:hideMark/>
          </w:tcPr>
          <w:p w14:paraId="5A9CB044" w14:textId="77777777" w:rsidR="001F31E2" w:rsidRPr="00F44E7A" w:rsidRDefault="001F31E2"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1176" w:type="dxa"/>
            <w:tcBorders>
              <w:right w:val="nil"/>
            </w:tcBorders>
            <w:shd w:val="clear" w:color="auto" w:fill="auto"/>
            <w:noWrap/>
            <w:vAlign w:val="center"/>
          </w:tcPr>
          <w:p w14:paraId="482311B2"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17</w:t>
            </w:r>
            <w:r>
              <w:rPr>
                <w:rFonts w:eastAsia="Times New Roman" w:cs="Arial"/>
                <w:lang w:eastAsia="en-AU"/>
              </w:rPr>
              <w:t>,</w:t>
            </w:r>
            <w:r w:rsidRPr="00676396">
              <w:rPr>
                <w:rFonts w:eastAsia="Times New Roman" w:cs="Arial"/>
                <w:lang w:eastAsia="en-AU"/>
              </w:rPr>
              <w:t>853</w:t>
            </w:r>
          </w:p>
        </w:tc>
        <w:tc>
          <w:tcPr>
            <w:tcW w:w="1177" w:type="dxa"/>
            <w:tcBorders>
              <w:left w:val="nil"/>
            </w:tcBorders>
            <w:shd w:val="clear" w:color="auto" w:fill="auto"/>
            <w:vAlign w:val="center"/>
          </w:tcPr>
          <w:p w14:paraId="046AB036"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15</w:t>
            </w:r>
            <w:r>
              <w:rPr>
                <w:rFonts w:eastAsia="Times New Roman" w:cs="Arial"/>
                <w:lang w:eastAsia="en-AU"/>
              </w:rPr>
              <w:t>,</w:t>
            </w:r>
            <w:r w:rsidRPr="00676396">
              <w:rPr>
                <w:rFonts w:eastAsia="Times New Roman" w:cs="Arial"/>
                <w:lang w:eastAsia="en-AU"/>
              </w:rPr>
              <w:t>042</w:t>
            </w:r>
          </w:p>
        </w:tc>
        <w:tc>
          <w:tcPr>
            <w:tcW w:w="1176" w:type="dxa"/>
            <w:tcBorders>
              <w:right w:val="nil"/>
            </w:tcBorders>
            <w:shd w:val="clear" w:color="auto" w:fill="auto"/>
            <w:noWrap/>
            <w:vAlign w:val="center"/>
          </w:tcPr>
          <w:p w14:paraId="0BF6B33B"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516</w:t>
            </w:r>
          </w:p>
        </w:tc>
        <w:tc>
          <w:tcPr>
            <w:tcW w:w="1177" w:type="dxa"/>
            <w:tcBorders>
              <w:left w:val="nil"/>
            </w:tcBorders>
            <w:shd w:val="clear" w:color="auto" w:fill="auto"/>
            <w:vAlign w:val="center"/>
          </w:tcPr>
          <w:p w14:paraId="124686F9"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267</w:t>
            </w:r>
          </w:p>
        </w:tc>
        <w:tc>
          <w:tcPr>
            <w:tcW w:w="1177" w:type="dxa"/>
            <w:tcBorders>
              <w:right w:val="nil"/>
            </w:tcBorders>
            <w:shd w:val="clear" w:color="auto" w:fill="auto"/>
            <w:noWrap/>
            <w:vAlign w:val="center"/>
          </w:tcPr>
          <w:p w14:paraId="36B4BC33"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961</w:t>
            </w:r>
          </w:p>
        </w:tc>
        <w:tc>
          <w:tcPr>
            <w:tcW w:w="1176" w:type="dxa"/>
            <w:tcBorders>
              <w:left w:val="nil"/>
            </w:tcBorders>
            <w:shd w:val="clear" w:color="auto" w:fill="auto"/>
            <w:vAlign w:val="center"/>
          </w:tcPr>
          <w:p w14:paraId="4EA4BDC7"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885</w:t>
            </w:r>
          </w:p>
        </w:tc>
        <w:tc>
          <w:tcPr>
            <w:tcW w:w="1177" w:type="dxa"/>
            <w:tcBorders>
              <w:right w:val="nil"/>
            </w:tcBorders>
            <w:shd w:val="clear" w:color="auto" w:fill="auto"/>
            <w:noWrap/>
            <w:vAlign w:val="center"/>
          </w:tcPr>
          <w:p w14:paraId="21115F8D"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555</w:t>
            </w:r>
          </w:p>
        </w:tc>
        <w:tc>
          <w:tcPr>
            <w:tcW w:w="1176" w:type="dxa"/>
            <w:tcBorders>
              <w:left w:val="nil"/>
            </w:tcBorders>
            <w:shd w:val="clear" w:color="auto" w:fill="auto"/>
            <w:vAlign w:val="center"/>
          </w:tcPr>
          <w:p w14:paraId="328B590C" w14:textId="77777777" w:rsidR="001F31E2" w:rsidRPr="00676396" w:rsidRDefault="001F31E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491</w:t>
            </w:r>
          </w:p>
        </w:tc>
        <w:tc>
          <w:tcPr>
            <w:tcW w:w="1177" w:type="dxa"/>
            <w:tcBorders>
              <w:right w:val="nil"/>
            </w:tcBorders>
            <w:shd w:val="clear" w:color="auto" w:fill="auto"/>
            <w:noWrap/>
            <w:vAlign w:val="center"/>
          </w:tcPr>
          <w:p w14:paraId="26E3FD60"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24</w:t>
            </w:r>
            <w:r>
              <w:rPr>
                <w:rFonts w:eastAsia="Times New Roman" w:cs="Arial"/>
                <w:b/>
                <w:lang w:eastAsia="en-AU"/>
              </w:rPr>
              <w:t>,</w:t>
            </w:r>
            <w:r w:rsidRPr="00676396">
              <w:rPr>
                <w:rFonts w:eastAsia="Times New Roman" w:cs="Arial"/>
                <w:b/>
                <w:lang w:eastAsia="en-AU"/>
              </w:rPr>
              <w:t>369</w:t>
            </w:r>
          </w:p>
        </w:tc>
        <w:tc>
          <w:tcPr>
            <w:tcW w:w="1177" w:type="dxa"/>
            <w:tcBorders>
              <w:left w:val="nil"/>
            </w:tcBorders>
            <w:shd w:val="clear" w:color="auto" w:fill="auto"/>
            <w:vAlign w:val="center"/>
          </w:tcPr>
          <w:p w14:paraId="137C0174"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19</w:t>
            </w:r>
            <w:r>
              <w:rPr>
                <w:rFonts w:eastAsia="Times New Roman" w:cs="Arial"/>
                <w:b/>
                <w:lang w:eastAsia="en-AU"/>
              </w:rPr>
              <w:t>,</w:t>
            </w:r>
            <w:r w:rsidRPr="00676396">
              <w:rPr>
                <w:rFonts w:eastAsia="Times New Roman" w:cs="Arial"/>
                <w:b/>
                <w:lang w:eastAsia="en-AU"/>
              </w:rPr>
              <w:t>868</w:t>
            </w:r>
          </w:p>
        </w:tc>
      </w:tr>
      <w:tr w:rsidR="001F31E2" w:rsidRPr="00FD6E8E" w14:paraId="580B768F" w14:textId="77777777" w:rsidTr="00F2448E">
        <w:trPr>
          <w:trHeight w:val="276"/>
        </w:trPr>
        <w:tc>
          <w:tcPr>
            <w:tcW w:w="2660" w:type="dxa"/>
            <w:shd w:val="clear" w:color="auto" w:fill="B8CCE4" w:themeFill="accent1" w:themeFillTint="66"/>
            <w:noWrap/>
            <w:hideMark/>
          </w:tcPr>
          <w:p w14:paraId="038F117B" w14:textId="77777777" w:rsidR="001F31E2" w:rsidRPr="00FD6E8E" w:rsidRDefault="001F31E2"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1176" w:type="dxa"/>
            <w:tcBorders>
              <w:right w:val="nil"/>
            </w:tcBorders>
            <w:shd w:val="clear" w:color="auto" w:fill="B8CCE4" w:themeFill="accent1" w:themeFillTint="66"/>
            <w:noWrap/>
            <w:vAlign w:val="center"/>
          </w:tcPr>
          <w:p w14:paraId="229E4E0A"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27</w:t>
            </w:r>
            <w:r>
              <w:rPr>
                <w:rFonts w:eastAsia="Times New Roman" w:cs="Arial"/>
                <w:b/>
                <w:lang w:eastAsia="en-AU"/>
              </w:rPr>
              <w:t>,</w:t>
            </w:r>
            <w:r w:rsidRPr="00676396">
              <w:rPr>
                <w:rFonts w:eastAsia="Times New Roman" w:cs="Arial"/>
                <w:b/>
                <w:lang w:eastAsia="en-AU"/>
              </w:rPr>
              <w:t>638</w:t>
            </w:r>
          </w:p>
        </w:tc>
        <w:tc>
          <w:tcPr>
            <w:tcW w:w="1177" w:type="dxa"/>
            <w:tcBorders>
              <w:left w:val="nil"/>
            </w:tcBorders>
            <w:shd w:val="clear" w:color="auto" w:fill="B8CCE4" w:themeFill="accent1" w:themeFillTint="66"/>
            <w:vAlign w:val="center"/>
          </w:tcPr>
          <w:p w14:paraId="2E248B82"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22</w:t>
            </w:r>
            <w:r>
              <w:rPr>
                <w:rFonts w:eastAsia="Times New Roman" w:cs="Arial"/>
                <w:b/>
                <w:lang w:eastAsia="en-AU"/>
              </w:rPr>
              <w:t>,</w:t>
            </w:r>
            <w:r w:rsidRPr="00676396">
              <w:rPr>
                <w:rFonts w:eastAsia="Times New Roman" w:cs="Arial"/>
                <w:b/>
                <w:lang w:eastAsia="en-AU"/>
              </w:rPr>
              <w:t>737</w:t>
            </w:r>
          </w:p>
        </w:tc>
        <w:tc>
          <w:tcPr>
            <w:tcW w:w="1176" w:type="dxa"/>
            <w:tcBorders>
              <w:right w:val="nil"/>
            </w:tcBorders>
            <w:shd w:val="clear" w:color="auto" w:fill="B8CCE4" w:themeFill="accent1" w:themeFillTint="66"/>
            <w:noWrap/>
            <w:vAlign w:val="center"/>
          </w:tcPr>
          <w:p w14:paraId="4B08C4B4"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136</w:t>
            </w:r>
          </w:p>
        </w:tc>
        <w:tc>
          <w:tcPr>
            <w:tcW w:w="1177" w:type="dxa"/>
            <w:tcBorders>
              <w:left w:val="nil"/>
            </w:tcBorders>
            <w:shd w:val="clear" w:color="auto" w:fill="B8CCE4" w:themeFill="accent1" w:themeFillTint="66"/>
            <w:vAlign w:val="center"/>
          </w:tcPr>
          <w:p w14:paraId="2A6F1C5C"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472</w:t>
            </w:r>
          </w:p>
        </w:tc>
        <w:tc>
          <w:tcPr>
            <w:tcW w:w="1177" w:type="dxa"/>
            <w:tcBorders>
              <w:right w:val="nil"/>
            </w:tcBorders>
            <w:shd w:val="clear" w:color="auto" w:fill="B8CCE4" w:themeFill="accent1" w:themeFillTint="66"/>
            <w:noWrap/>
            <w:vAlign w:val="center"/>
          </w:tcPr>
          <w:p w14:paraId="039FCFA4"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132</w:t>
            </w:r>
          </w:p>
        </w:tc>
        <w:tc>
          <w:tcPr>
            <w:tcW w:w="1176" w:type="dxa"/>
            <w:tcBorders>
              <w:left w:val="nil"/>
            </w:tcBorders>
            <w:shd w:val="clear" w:color="auto" w:fill="B8CCE4" w:themeFill="accent1" w:themeFillTint="66"/>
            <w:vAlign w:val="center"/>
          </w:tcPr>
          <w:p w14:paraId="24ED6E5E"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876</w:t>
            </w:r>
          </w:p>
        </w:tc>
        <w:tc>
          <w:tcPr>
            <w:tcW w:w="1177" w:type="dxa"/>
            <w:tcBorders>
              <w:right w:val="nil"/>
            </w:tcBorders>
            <w:shd w:val="clear" w:color="auto" w:fill="B8CCE4" w:themeFill="accent1" w:themeFillTint="66"/>
            <w:noWrap/>
            <w:vAlign w:val="center"/>
          </w:tcPr>
          <w:p w14:paraId="43AFD0EF"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004</w:t>
            </w:r>
          </w:p>
        </w:tc>
        <w:tc>
          <w:tcPr>
            <w:tcW w:w="1176" w:type="dxa"/>
            <w:tcBorders>
              <w:left w:val="nil"/>
            </w:tcBorders>
            <w:shd w:val="clear" w:color="auto" w:fill="B8CCE4" w:themeFill="accent1" w:themeFillTint="66"/>
            <w:vAlign w:val="center"/>
          </w:tcPr>
          <w:p w14:paraId="4AEF30EC"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876</w:t>
            </w:r>
          </w:p>
        </w:tc>
        <w:tc>
          <w:tcPr>
            <w:tcW w:w="1177" w:type="dxa"/>
            <w:tcBorders>
              <w:right w:val="nil"/>
            </w:tcBorders>
            <w:shd w:val="clear" w:color="auto" w:fill="B8CCE4" w:themeFill="accent1" w:themeFillTint="66"/>
            <w:noWrap/>
            <w:vAlign w:val="center"/>
          </w:tcPr>
          <w:p w14:paraId="5534AE3E"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38</w:t>
            </w:r>
            <w:r>
              <w:rPr>
                <w:rFonts w:eastAsia="Times New Roman" w:cs="Arial"/>
                <w:b/>
                <w:lang w:eastAsia="en-AU"/>
              </w:rPr>
              <w:t>,</w:t>
            </w:r>
            <w:r w:rsidRPr="00676396">
              <w:rPr>
                <w:rFonts w:eastAsia="Times New Roman" w:cs="Arial"/>
                <w:b/>
                <w:lang w:eastAsia="en-AU"/>
              </w:rPr>
              <w:t>774</w:t>
            </w:r>
          </w:p>
        </w:tc>
        <w:tc>
          <w:tcPr>
            <w:tcW w:w="1177" w:type="dxa"/>
            <w:tcBorders>
              <w:left w:val="nil"/>
            </w:tcBorders>
            <w:shd w:val="clear" w:color="auto" w:fill="B8CCE4" w:themeFill="accent1" w:themeFillTint="66"/>
            <w:vAlign w:val="center"/>
          </w:tcPr>
          <w:p w14:paraId="610D5890" w14:textId="77777777" w:rsidR="001F31E2" w:rsidRPr="00676396" w:rsidRDefault="001F31E2" w:rsidP="00CE2FDF">
            <w:pPr>
              <w:spacing w:before="0" w:line="276" w:lineRule="auto"/>
              <w:jc w:val="right"/>
              <w:rPr>
                <w:rFonts w:eastAsia="Times New Roman" w:cs="Arial"/>
                <w:b/>
                <w:lang w:eastAsia="en-AU"/>
              </w:rPr>
            </w:pPr>
            <w:r w:rsidRPr="00676396">
              <w:rPr>
                <w:rFonts w:eastAsia="Times New Roman" w:cs="Arial"/>
                <w:b/>
                <w:lang w:eastAsia="en-AU"/>
              </w:rPr>
              <w:t>30</w:t>
            </w:r>
            <w:r>
              <w:rPr>
                <w:rFonts w:eastAsia="Times New Roman" w:cs="Arial"/>
                <w:b/>
                <w:lang w:eastAsia="en-AU"/>
              </w:rPr>
              <w:t>,</w:t>
            </w:r>
            <w:r w:rsidRPr="00676396">
              <w:rPr>
                <w:rFonts w:eastAsia="Times New Roman" w:cs="Arial"/>
                <w:b/>
                <w:lang w:eastAsia="en-AU"/>
              </w:rPr>
              <w:t>392</w:t>
            </w:r>
          </w:p>
        </w:tc>
      </w:tr>
    </w:tbl>
    <w:p w14:paraId="4AD03B84" w14:textId="77777777" w:rsidR="009654BA" w:rsidRDefault="009654BA" w:rsidP="00B15586">
      <w:pPr>
        <w:spacing w:after="200" w:line="276" w:lineRule="auto"/>
      </w:pPr>
      <w:r>
        <w:br w:type="page"/>
      </w:r>
    </w:p>
    <w:p w14:paraId="3188228D" w14:textId="77777777" w:rsidR="00A269A5" w:rsidRDefault="00A269A5" w:rsidP="0095311F">
      <w:pPr>
        <w:pStyle w:val="Figureheading"/>
      </w:pPr>
      <w:r>
        <w:lastRenderedPageBreak/>
        <w:t>3.2</w:t>
      </w:r>
      <w:r w:rsidR="007B717D">
        <w:t>3</w:t>
      </w:r>
      <w:r>
        <w:tab/>
      </w:r>
      <w:r w:rsidR="006B3CC1" w:rsidRPr="00D74CC3">
        <w:t xml:space="preserve">Number of reports </w:t>
      </w:r>
      <w:r>
        <w:t xml:space="preserve">for 2008, </w:t>
      </w:r>
      <w:r w:rsidR="006B3CC1" w:rsidRPr="00D74CC3">
        <w:t>by abuse type,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70"/>
        <w:gridCol w:w="1471"/>
        <w:gridCol w:w="1471"/>
        <w:gridCol w:w="1471"/>
        <w:gridCol w:w="1470"/>
        <w:gridCol w:w="1471"/>
        <w:gridCol w:w="1471"/>
        <w:gridCol w:w="1471"/>
      </w:tblGrid>
      <w:tr w:rsidR="006B3CC1" w:rsidRPr="00F44E7A" w14:paraId="7F6E80BF" w14:textId="77777777" w:rsidTr="00137AE1">
        <w:trPr>
          <w:trHeight w:val="365"/>
          <w:tblHeader/>
        </w:trPr>
        <w:tc>
          <w:tcPr>
            <w:tcW w:w="2660" w:type="dxa"/>
            <w:shd w:val="clear" w:color="auto" w:fill="B8CCE4" w:themeFill="accent1" w:themeFillTint="66"/>
            <w:noWrap/>
            <w:hideMark/>
          </w:tcPr>
          <w:p w14:paraId="4EA24EC4" w14:textId="77777777" w:rsidR="006B3CC1" w:rsidRPr="00F44E7A" w:rsidRDefault="006B3CC1" w:rsidP="00CE2FDF">
            <w:pPr>
              <w:spacing w:before="0" w:line="276" w:lineRule="auto"/>
              <w:rPr>
                <w:rFonts w:eastAsia="Times New Roman" w:cs="Arial"/>
                <w:b/>
                <w:lang w:eastAsia="en-AU"/>
              </w:rPr>
            </w:pPr>
          </w:p>
        </w:tc>
        <w:tc>
          <w:tcPr>
            <w:tcW w:w="2941" w:type="dxa"/>
            <w:gridSpan w:val="2"/>
            <w:shd w:val="clear" w:color="auto" w:fill="B8CCE4" w:themeFill="accent1" w:themeFillTint="66"/>
            <w:noWrap/>
            <w:vAlign w:val="center"/>
            <w:hideMark/>
          </w:tcPr>
          <w:p w14:paraId="43B4A359" w14:textId="77777777" w:rsidR="006B3CC1" w:rsidRPr="00F44E7A" w:rsidRDefault="006B3CC1"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03EB67A0" w14:textId="77777777" w:rsidR="006B3CC1" w:rsidRPr="00F44E7A" w:rsidRDefault="006B3CC1"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78F313E1" w14:textId="77777777" w:rsidR="006B3CC1" w:rsidRPr="00F44E7A" w:rsidRDefault="006B3CC1"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204E85C4" w14:textId="77777777" w:rsidR="006B3CC1" w:rsidRPr="00F44E7A" w:rsidRDefault="006B3CC1"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6B3CC1" w:rsidRPr="00F44E7A" w14:paraId="1565092F" w14:textId="77777777" w:rsidTr="00137AE1">
        <w:trPr>
          <w:trHeight w:val="271"/>
          <w:tblHeader/>
        </w:trPr>
        <w:tc>
          <w:tcPr>
            <w:tcW w:w="2660" w:type="dxa"/>
            <w:shd w:val="clear" w:color="auto" w:fill="B8CCE4" w:themeFill="accent1" w:themeFillTint="66"/>
            <w:noWrap/>
            <w:hideMark/>
          </w:tcPr>
          <w:p w14:paraId="4D4E29B4" w14:textId="77777777" w:rsidR="006B3CC1" w:rsidRPr="00F44E7A" w:rsidRDefault="006B3CC1" w:rsidP="00CE2FDF">
            <w:pPr>
              <w:spacing w:before="0" w:line="276"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4AA2C438" w14:textId="77777777" w:rsidR="006B3CC1" w:rsidRPr="00F44E7A" w:rsidRDefault="006B3CC1"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14E6C69" w14:textId="77777777" w:rsidR="006B3CC1" w:rsidRPr="00F44E7A" w:rsidRDefault="006B3CC1"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18A1F0B5" w14:textId="77777777" w:rsidR="006B3CC1" w:rsidRPr="00F44E7A" w:rsidRDefault="006B3CC1"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179C0D33" w14:textId="77777777" w:rsidR="006B3CC1" w:rsidRPr="00F44E7A" w:rsidRDefault="006B3CC1" w:rsidP="00CE2FDF">
            <w:pPr>
              <w:spacing w:before="0" w:line="276"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58B30EE7" w14:textId="77777777" w:rsidR="006B3CC1" w:rsidRPr="00F44E7A" w:rsidRDefault="006B3CC1"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84FA8A7" w14:textId="77777777" w:rsidR="006B3CC1" w:rsidRPr="00F44E7A" w:rsidRDefault="006B3CC1"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53060EB8" w14:textId="77777777" w:rsidR="006B3CC1" w:rsidRPr="00F44E7A" w:rsidRDefault="006B3CC1"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2A6F92F2" w14:textId="77777777" w:rsidR="006B3CC1" w:rsidRPr="00F44E7A" w:rsidRDefault="006B3CC1" w:rsidP="00CE2FDF">
            <w:pPr>
              <w:spacing w:before="0" w:line="276" w:lineRule="auto"/>
              <w:jc w:val="right"/>
              <w:rPr>
                <w:rFonts w:eastAsia="Times New Roman" w:cs="Arial"/>
                <w:b/>
                <w:lang w:eastAsia="en-AU"/>
              </w:rPr>
            </w:pPr>
            <w:r>
              <w:rPr>
                <w:rFonts w:eastAsia="Times New Roman" w:cs="Arial"/>
                <w:b/>
                <w:lang w:eastAsia="en-AU"/>
              </w:rPr>
              <w:t>Children</w:t>
            </w:r>
          </w:p>
        </w:tc>
      </w:tr>
      <w:tr w:rsidR="006B3CC1" w:rsidRPr="003324F1" w14:paraId="3FA1D15D" w14:textId="77777777" w:rsidTr="00F2448E">
        <w:trPr>
          <w:trHeight w:val="276"/>
        </w:trPr>
        <w:tc>
          <w:tcPr>
            <w:tcW w:w="2660" w:type="dxa"/>
            <w:noWrap/>
            <w:hideMark/>
          </w:tcPr>
          <w:p w14:paraId="601E1D8C" w14:textId="77777777" w:rsidR="006B3CC1" w:rsidRPr="00F44E7A" w:rsidRDefault="006B3CC1" w:rsidP="00CE2FDF">
            <w:pPr>
              <w:spacing w:before="0" w:line="276" w:lineRule="auto"/>
              <w:rPr>
                <w:rFonts w:eastAsia="Times New Roman" w:cs="Arial"/>
                <w:b/>
                <w:lang w:eastAsia="en-AU"/>
              </w:rPr>
            </w:pPr>
            <w:r w:rsidRPr="00F44E7A">
              <w:rPr>
                <w:rFonts w:eastAsia="Times New Roman" w:cs="Arial"/>
                <w:b/>
                <w:lang w:eastAsia="en-AU"/>
              </w:rPr>
              <w:t>Doctors</w:t>
            </w:r>
          </w:p>
        </w:tc>
        <w:tc>
          <w:tcPr>
            <w:tcW w:w="1470" w:type="dxa"/>
            <w:tcBorders>
              <w:right w:val="nil"/>
            </w:tcBorders>
            <w:noWrap/>
            <w:vAlign w:val="center"/>
          </w:tcPr>
          <w:p w14:paraId="7E607D0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198</w:t>
            </w:r>
          </w:p>
        </w:tc>
        <w:tc>
          <w:tcPr>
            <w:tcW w:w="1471" w:type="dxa"/>
            <w:tcBorders>
              <w:left w:val="nil"/>
            </w:tcBorders>
            <w:vAlign w:val="center"/>
          </w:tcPr>
          <w:p w14:paraId="56A8F7A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197</w:t>
            </w:r>
          </w:p>
        </w:tc>
        <w:tc>
          <w:tcPr>
            <w:tcW w:w="1471" w:type="dxa"/>
            <w:tcBorders>
              <w:right w:val="nil"/>
            </w:tcBorders>
            <w:noWrap/>
            <w:vAlign w:val="center"/>
          </w:tcPr>
          <w:p w14:paraId="2B312BB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215</w:t>
            </w:r>
          </w:p>
        </w:tc>
        <w:tc>
          <w:tcPr>
            <w:tcW w:w="1471" w:type="dxa"/>
            <w:tcBorders>
              <w:left w:val="nil"/>
            </w:tcBorders>
            <w:vAlign w:val="center"/>
          </w:tcPr>
          <w:p w14:paraId="1866DCD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210</w:t>
            </w:r>
          </w:p>
        </w:tc>
        <w:tc>
          <w:tcPr>
            <w:tcW w:w="1470" w:type="dxa"/>
            <w:tcBorders>
              <w:right w:val="nil"/>
            </w:tcBorders>
            <w:noWrap/>
            <w:vAlign w:val="center"/>
          </w:tcPr>
          <w:p w14:paraId="3D337B1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381</w:t>
            </w:r>
          </w:p>
        </w:tc>
        <w:tc>
          <w:tcPr>
            <w:tcW w:w="1471" w:type="dxa"/>
            <w:tcBorders>
              <w:left w:val="nil"/>
            </w:tcBorders>
            <w:vAlign w:val="center"/>
          </w:tcPr>
          <w:p w14:paraId="7B05669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370</w:t>
            </w:r>
          </w:p>
        </w:tc>
        <w:tc>
          <w:tcPr>
            <w:tcW w:w="1471" w:type="dxa"/>
            <w:tcBorders>
              <w:right w:val="nil"/>
            </w:tcBorders>
            <w:noWrap/>
            <w:vAlign w:val="center"/>
          </w:tcPr>
          <w:p w14:paraId="193E5F4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171</w:t>
            </w:r>
          </w:p>
        </w:tc>
        <w:tc>
          <w:tcPr>
            <w:tcW w:w="1471" w:type="dxa"/>
            <w:tcBorders>
              <w:left w:val="nil"/>
            </w:tcBorders>
            <w:vAlign w:val="center"/>
          </w:tcPr>
          <w:p w14:paraId="08DA740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171</w:t>
            </w:r>
          </w:p>
        </w:tc>
      </w:tr>
      <w:tr w:rsidR="006B3CC1" w:rsidRPr="003324F1" w14:paraId="7680FD5B" w14:textId="77777777" w:rsidTr="00F2448E">
        <w:trPr>
          <w:trHeight w:val="276"/>
        </w:trPr>
        <w:tc>
          <w:tcPr>
            <w:tcW w:w="2660" w:type="dxa"/>
            <w:shd w:val="clear" w:color="auto" w:fill="DBE5F1" w:themeFill="accent1" w:themeFillTint="33"/>
            <w:noWrap/>
            <w:hideMark/>
          </w:tcPr>
          <w:p w14:paraId="3DE9A5B1" w14:textId="77777777" w:rsidR="006B3CC1" w:rsidRPr="00F44E7A" w:rsidRDefault="006B3CC1" w:rsidP="00CE2FDF">
            <w:pPr>
              <w:spacing w:before="0" w:line="276" w:lineRule="auto"/>
              <w:rPr>
                <w:rFonts w:eastAsia="Times New Roman" w:cs="Arial"/>
                <w:b/>
                <w:lang w:eastAsia="en-AU"/>
              </w:rPr>
            </w:pPr>
            <w:r w:rsidRPr="00F44E7A">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4786470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525</w:t>
            </w:r>
          </w:p>
        </w:tc>
        <w:tc>
          <w:tcPr>
            <w:tcW w:w="1471" w:type="dxa"/>
            <w:tcBorders>
              <w:left w:val="nil"/>
            </w:tcBorders>
            <w:shd w:val="clear" w:color="auto" w:fill="DBE5F1" w:themeFill="accent1" w:themeFillTint="33"/>
            <w:vAlign w:val="center"/>
          </w:tcPr>
          <w:p w14:paraId="055F953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510</w:t>
            </w:r>
          </w:p>
        </w:tc>
        <w:tc>
          <w:tcPr>
            <w:tcW w:w="1471" w:type="dxa"/>
            <w:tcBorders>
              <w:right w:val="nil"/>
            </w:tcBorders>
            <w:shd w:val="clear" w:color="auto" w:fill="DBE5F1" w:themeFill="accent1" w:themeFillTint="33"/>
            <w:noWrap/>
            <w:vAlign w:val="center"/>
          </w:tcPr>
          <w:p w14:paraId="3EEBFEE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403</w:t>
            </w:r>
          </w:p>
        </w:tc>
        <w:tc>
          <w:tcPr>
            <w:tcW w:w="1471" w:type="dxa"/>
            <w:tcBorders>
              <w:left w:val="nil"/>
            </w:tcBorders>
            <w:shd w:val="clear" w:color="auto" w:fill="DBE5F1" w:themeFill="accent1" w:themeFillTint="33"/>
            <w:vAlign w:val="center"/>
          </w:tcPr>
          <w:p w14:paraId="7E9EA5E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401</w:t>
            </w:r>
          </w:p>
        </w:tc>
        <w:tc>
          <w:tcPr>
            <w:tcW w:w="1470" w:type="dxa"/>
            <w:tcBorders>
              <w:right w:val="nil"/>
            </w:tcBorders>
            <w:shd w:val="clear" w:color="auto" w:fill="DBE5F1" w:themeFill="accent1" w:themeFillTint="33"/>
            <w:noWrap/>
            <w:vAlign w:val="center"/>
          </w:tcPr>
          <w:p w14:paraId="2750764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430</w:t>
            </w:r>
          </w:p>
        </w:tc>
        <w:tc>
          <w:tcPr>
            <w:tcW w:w="1471" w:type="dxa"/>
            <w:tcBorders>
              <w:left w:val="nil"/>
            </w:tcBorders>
            <w:shd w:val="clear" w:color="auto" w:fill="DBE5F1" w:themeFill="accent1" w:themeFillTint="33"/>
            <w:vAlign w:val="center"/>
          </w:tcPr>
          <w:p w14:paraId="54D63AF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426</w:t>
            </w:r>
          </w:p>
        </w:tc>
        <w:tc>
          <w:tcPr>
            <w:tcW w:w="1471" w:type="dxa"/>
            <w:tcBorders>
              <w:right w:val="nil"/>
            </w:tcBorders>
            <w:shd w:val="clear" w:color="auto" w:fill="DBE5F1" w:themeFill="accent1" w:themeFillTint="33"/>
            <w:noWrap/>
            <w:vAlign w:val="center"/>
          </w:tcPr>
          <w:p w14:paraId="39A0DFE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80</w:t>
            </w:r>
          </w:p>
        </w:tc>
        <w:tc>
          <w:tcPr>
            <w:tcW w:w="1471" w:type="dxa"/>
            <w:tcBorders>
              <w:left w:val="nil"/>
            </w:tcBorders>
            <w:shd w:val="clear" w:color="auto" w:fill="DBE5F1" w:themeFill="accent1" w:themeFillTint="33"/>
            <w:vAlign w:val="center"/>
          </w:tcPr>
          <w:p w14:paraId="6BBAC0B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80</w:t>
            </w:r>
          </w:p>
        </w:tc>
      </w:tr>
      <w:tr w:rsidR="006B3CC1" w:rsidRPr="003324F1" w14:paraId="46A96BD3" w14:textId="77777777" w:rsidTr="00F2448E">
        <w:trPr>
          <w:trHeight w:val="276"/>
        </w:trPr>
        <w:tc>
          <w:tcPr>
            <w:tcW w:w="2660" w:type="dxa"/>
            <w:noWrap/>
            <w:hideMark/>
          </w:tcPr>
          <w:p w14:paraId="4D847F13" w14:textId="77777777" w:rsidR="006B3CC1" w:rsidRPr="00F44E7A" w:rsidRDefault="006B3CC1" w:rsidP="00CE2FDF">
            <w:pPr>
              <w:spacing w:before="0" w:line="276"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noWrap/>
            <w:vAlign w:val="center"/>
          </w:tcPr>
          <w:p w14:paraId="6F0BCED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766</w:t>
            </w:r>
          </w:p>
        </w:tc>
        <w:tc>
          <w:tcPr>
            <w:tcW w:w="1471" w:type="dxa"/>
            <w:tcBorders>
              <w:left w:val="nil"/>
            </w:tcBorders>
            <w:vAlign w:val="center"/>
          </w:tcPr>
          <w:p w14:paraId="330B379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605</w:t>
            </w:r>
          </w:p>
        </w:tc>
        <w:tc>
          <w:tcPr>
            <w:tcW w:w="1471" w:type="dxa"/>
            <w:tcBorders>
              <w:right w:val="nil"/>
            </w:tcBorders>
            <w:noWrap/>
            <w:vAlign w:val="center"/>
          </w:tcPr>
          <w:p w14:paraId="5060974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275</w:t>
            </w:r>
          </w:p>
        </w:tc>
        <w:tc>
          <w:tcPr>
            <w:tcW w:w="1471" w:type="dxa"/>
            <w:tcBorders>
              <w:left w:val="nil"/>
            </w:tcBorders>
            <w:vAlign w:val="center"/>
          </w:tcPr>
          <w:p w14:paraId="2497C56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261</w:t>
            </w:r>
          </w:p>
        </w:tc>
        <w:tc>
          <w:tcPr>
            <w:tcW w:w="1470" w:type="dxa"/>
            <w:tcBorders>
              <w:right w:val="nil"/>
            </w:tcBorders>
            <w:noWrap/>
            <w:vAlign w:val="center"/>
          </w:tcPr>
          <w:p w14:paraId="6D7CAEA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606</w:t>
            </w:r>
          </w:p>
        </w:tc>
        <w:tc>
          <w:tcPr>
            <w:tcW w:w="1471" w:type="dxa"/>
            <w:tcBorders>
              <w:left w:val="nil"/>
            </w:tcBorders>
            <w:vAlign w:val="center"/>
          </w:tcPr>
          <w:p w14:paraId="6344F2E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553</w:t>
            </w:r>
          </w:p>
        </w:tc>
        <w:tc>
          <w:tcPr>
            <w:tcW w:w="1471" w:type="dxa"/>
            <w:tcBorders>
              <w:right w:val="nil"/>
            </w:tcBorders>
            <w:noWrap/>
            <w:vAlign w:val="center"/>
          </w:tcPr>
          <w:p w14:paraId="6727E85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795</w:t>
            </w:r>
          </w:p>
        </w:tc>
        <w:tc>
          <w:tcPr>
            <w:tcW w:w="1471" w:type="dxa"/>
            <w:tcBorders>
              <w:left w:val="nil"/>
            </w:tcBorders>
            <w:vAlign w:val="center"/>
          </w:tcPr>
          <w:p w14:paraId="0108B8E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779</w:t>
            </w:r>
          </w:p>
        </w:tc>
      </w:tr>
      <w:tr w:rsidR="006B3CC1" w:rsidRPr="003324F1" w14:paraId="14DA3D01" w14:textId="77777777" w:rsidTr="00F2448E">
        <w:trPr>
          <w:trHeight w:val="276"/>
        </w:trPr>
        <w:tc>
          <w:tcPr>
            <w:tcW w:w="2660" w:type="dxa"/>
            <w:shd w:val="clear" w:color="auto" w:fill="DBE5F1" w:themeFill="accent1" w:themeFillTint="33"/>
            <w:noWrap/>
            <w:hideMark/>
          </w:tcPr>
          <w:p w14:paraId="6C9A608E"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DBE5F1" w:themeFill="accent1" w:themeFillTint="33"/>
            <w:noWrap/>
            <w:vAlign w:val="center"/>
          </w:tcPr>
          <w:p w14:paraId="79772A4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731</w:t>
            </w:r>
          </w:p>
        </w:tc>
        <w:tc>
          <w:tcPr>
            <w:tcW w:w="1471" w:type="dxa"/>
            <w:tcBorders>
              <w:left w:val="nil"/>
            </w:tcBorders>
            <w:shd w:val="clear" w:color="auto" w:fill="DBE5F1" w:themeFill="accent1" w:themeFillTint="33"/>
            <w:vAlign w:val="center"/>
          </w:tcPr>
          <w:p w14:paraId="6B9D1DC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665</w:t>
            </w:r>
          </w:p>
        </w:tc>
        <w:tc>
          <w:tcPr>
            <w:tcW w:w="1471" w:type="dxa"/>
            <w:tcBorders>
              <w:right w:val="nil"/>
            </w:tcBorders>
            <w:shd w:val="clear" w:color="auto" w:fill="DBE5F1" w:themeFill="accent1" w:themeFillTint="33"/>
            <w:noWrap/>
            <w:vAlign w:val="center"/>
          </w:tcPr>
          <w:p w14:paraId="058C92F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824</w:t>
            </w:r>
          </w:p>
        </w:tc>
        <w:tc>
          <w:tcPr>
            <w:tcW w:w="1471" w:type="dxa"/>
            <w:tcBorders>
              <w:left w:val="nil"/>
            </w:tcBorders>
            <w:shd w:val="clear" w:color="auto" w:fill="DBE5F1" w:themeFill="accent1" w:themeFillTint="33"/>
            <w:vAlign w:val="center"/>
          </w:tcPr>
          <w:p w14:paraId="7CEE092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805</w:t>
            </w:r>
          </w:p>
        </w:tc>
        <w:tc>
          <w:tcPr>
            <w:tcW w:w="1470" w:type="dxa"/>
            <w:tcBorders>
              <w:right w:val="nil"/>
            </w:tcBorders>
            <w:shd w:val="clear" w:color="auto" w:fill="DBE5F1" w:themeFill="accent1" w:themeFillTint="33"/>
            <w:noWrap/>
            <w:vAlign w:val="center"/>
          </w:tcPr>
          <w:p w14:paraId="52E31D8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653</w:t>
            </w:r>
          </w:p>
        </w:tc>
        <w:tc>
          <w:tcPr>
            <w:tcW w:w="1471" w:type="dxa"/>
            <w:tcBorders>
              <w:left w:val="nil"/>
            </w:tcBorders>
            <w:shd w:val="clear" w:color="auto" w:fill="DBE5F1" w:themeFill="accent1" w:themeFillTint="33"/>
            <w:vAlign w:val="center"/>
          </w:tcPr>
          <w:p w14:paraId="6DF17D2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544</w:t>
            </w:r>
          </w:p>
        </w:tc>
        <w:tc>
          <w:tcPr>
            <w:tcW w:w="1471" w:type="dxa"/>
            <w:tcBorders>
              <w:right w:val="nil"/>
            </w:tcBorders>
            <w:shd w:val="clear" w:color="auto" w:fill="DBE5F1" w:themeFill="accent1" w:themeFillTint="33"/>
            <w:noWrap/>
            <w:vAlign w:val="center"/>
          </w:tcPr>
          <w:p w14:paraId="645BB76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692</w:t>
            </w:r>
          </w:p>
        </w:tc>
        <w:tc>
          <w:tcPr>
            <w:tcW w:w="1471" w:type="dxa"/>
            <w:tcBorders>
              <w:left w:val="nil"/>
            </w:tcBorders>
            <w:shd w:val="clear" w:color="auto" w:fill="DBE5F1" w:themeFill="accent1" w:themeFillTint="33"/>
            <w:vAlign w:val="center"/>
          </w:tcPr>
          <w:p w14:paraId="2D96FFA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659</w:t>
            </w:r>
          </w:p>
        </w:tc>
      </w:tr>
      <w:tr w:rsidR="006B3CC1" w:rsidRPr="003324F1" w14:paraId="40897661" w14:textId="77777777" w:rsidTr="00F2448E">
        <w:trPr>
          <w:trHeight w:val="276"/>
        </w:trPr>
        <w:tc>
          <w:tcPr>
            <w:tcW w:w="2660" w:type="dxa"/>
            <w:shd w:val="clear" w:color="auto" w:fill="auto"/>
            <w:noWrap/>
            <w:hideMark/>
          </w:tcPr>
          <w:p w14:paraId="1362FD99"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Psychiatrists</w:t>
            </w:r>
          </w:p>
        </w:tc>
        <w:tc>
          <w:tcPr>
            <w:tcW w:w="1470" w:type="dxa"/>
            <w:tcBorders>
              <w:right w:val="nil"/>
            </w:tcBorders>
            <w:shd w:val="clear" w:color="auto" w:fill="auto"/>
            <w:noWrap/>
            <w:vAlign w:val="center"/>
          </w:tcPr>
          <w:p w14:paraId="57A78CD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70</w:t>
            </w:r>
          </w:p>
        </w:tc>
        <w:tc>
          <w:tcPr>
            <w:tcW w:w="1471" w:type="dxa"/>
            <w:tcBorders>
              <w:left w:val="nil"/>
            </w:tcBorders>
            <w:shd w:val="clear" w:color="auto" w:fill="auto"/>
            <w:vAlign w:val="center"/>
          </w:tcPr>
          <w:p w14:paraId="51D28E5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70</w:t>
            </w:r>
          </w:p>
        </w:tc>
        <w:tc>
          <w:tcPr>
            <w:tcW w:w="1471" w:type="dxa"/>
            <w:tcBorders>
              <w:right w:val="nil"/>
            </w:tcBorders>
            <w:shd w:val="clear" w:color="auto" w:fill="auto"/>
            <w:noWrap/>
            <w:vAlign w:val="center"/>
          </w:tcPr>
          <w:p w14:paraId="15AB539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35</w:t>
            </w:r>
          </w:p>
        </w:tc>
        <w:tc>
          <w:tcPr>
            <w:tcW w:w="1471" w:type="dxa"/>
            <w:tcBorders>
              <w:left w:val="nil"/>
            </w:tcBorders>
            <w:shd w:val="clear" w:color="auto" w:fill="auto"/>
            <w:vAlign w:val="center"/>
          </w:tcPr>
          <w:p w14:paraId="68B33D6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35</w:t>
            </w:r>
          </w:p>
        </w:tc>
        <w:tc>
          <w:tcPr>
            <w:tcW w:w="1470" w:type="dxa"/>
            <w:tcBorders>
              <w:right w:val="nil"/>
            </w:tcBorders>
            <w:shd w:val="clear" w:color="auto" w:fill="auto"/>
            <w:noWrap/>
            <w:vAlign w:val="center"/>
          </w:tcPr>
          <w:p w14:paraId="3F472E9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57</w:t>
            </w:r>
          </w:p>
        </w:tc>
        <w:tc>
          <w:tcPr>
            <w:tcW w:w="1471" w:type="dxa"/>
            <w:tcBorders>
              <w:left w:val="nil"/>
            </w:tcBorders>
            <w:shd w:val="clear" w:color="auto" w:fill="auto"/>
            <w:vAlign w:val="center"/>
          </w:tcPr>
          <w:p w14:paraId="28D3746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57</w:t>
            </w:r>
          </w:p>
        </w:tc>
        <w:tc>
          <w:tcPr>
            <w:tcW w:w="1471" w:type="dxa"/>
            <w:tcBorders>
              <w:right w:val="nil"/>
            </w:tcBorders>
            <w:shd w:val="clear" w:color="auto" w:fill="auto"/>
            <w:noWrap/>
            <w:vAlign w:val="center"/>
          </w:tcPr>
          <w:p w14:paraId="5326796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11</w:t>
            </w:r>
          </w:p>
        </w:tc>
        <w:tc>
          <w:tcPr>
            <w:tcW w:w="1471" w:type="dxa"/>
            <w:tcBorders>
              <w:left w:val="nil"/>
            </w:tcBorders>
            <w:shd w:val="clear" w:color="auto" w:fill="auto"/>
            <w:vAlign w:val="center"/>
          </w:tcPr>
          <w:p w14:paraId="060D1FC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11</w:t>
            </w:r>
          </w:p>
        </w:tc>
      </w:tr>
      <w:tr w:rsidR="006B3CC1" w:rsidRPr="003324F1" w14:paraId="15248FB7" w14:textId="77777777" w:rsidTr="00F2448E">
        <w:trPr>
          <w:trHeight w:val="276"/>
        </w:trPr>
        <w:tc>
          <w:tcPr>
            <w:tcW w:w="2660" w:type="dxa"/>
            <w:shd w:val="clear" w:color="auto" w:fill="DBE5F1" w:themeFill="accent1" w:themeFillTint="33"/>
            <w:noWrap/>
            <w:hideMark/>
          </w:tcPr>
          <w:p w14:paraId="748F3396"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470" w:type="dxa"/>
            <w:tcBorders>
              <w:right w:val="nil"/>
            </w:tcBorders>
            <w:shd w:val="clear" w:color="auto" w:fill="DBE5F1" w:themeFill="accent1" w:themeFillTint="33"/>
            <w:noWrap/>
            <w:vAlign w:val="center"/>
          </w:tcPr>
          <w:p w14:paraId="34BB053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290</w:t>
            </w:r>
          </w:p>
        </w:tc>
        <w:tc>
          <w:tcPr>
            <w:tcW w:w="1471" w:type="dxa"/>
            <w:tcBorders>
              <w:left w:val="nil"/>
            </w:tcBorders>
            <w:shd w:val="clear" w:color="auto" w:fill="DBE5F1" w:themeFill="accent1" w:themeFillTint="33"/>
            <w:vAlign w:val="center"/>
          </w:tcPr>
          <w:p w14:paraId="05C3F56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950</w:t>
            </w:r>
          </w:p>
        </w:tc>
        <w:tc>
          <w:tcPr>
            <w:tcW w:w="1471" w:type="dxa"/>
            <w:tcBorders>
              <w:right w:val="nil"/>
            </w:tcBorders>
            <w:shd w:val="clear" w:color="auto" w:fill="DBE5F1" w:themeFill="accent1" w:themeFillTint="33"/>
            <w:noWrap/>
            <w:vAlign w:val="center"/>
          </w:tcPr>
          <w:p w14:paraId="49AA7C3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752</w:t>
            </w:r>
          </w:p>
        </w:tc>
        <w:tc>
          <w:tcPr>
            <w:tcW w:w="1471" w:type="dxa"/>
            <w:tcBorders>
              <w:left w:val="nil"/>
            </w:tcBorders>
            <w:shd w:val="clear" w:color="auto" w:fill="DBE5F1" w:themeFill="accent1" w:themeFillTint="33"/>
            <w:vAlign w:val="center"/>
          </w:tcPr>
          <w:p w14:paraId="2C6CE16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684</w:t>
            </w:r>
          </w:p>
        </w:tc>
        <w:tc>
          <w:tcPr>
            <w:tcW w:w="1470" w:type="dxa"/>
            <w:tcBorders>
              <w:right w:val="nil"/>
            </w:tcBorders>
            <w:shd w:val="clear" w:color="auto" w:fill="DBE5F1" w:themeFill="accent1" w:themeFillTint="33"/>
            <w:noWrap/>
            <w:vAlign w:val="center"/>
          </w:tcPr>
          <w:p w14:paraId="680F79C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127</w:t>
            </w:r>
          </w:p>
        </w:tc>
        <w:tc>
          <w:tcPr>
            <w:tcW w:w="1471" w:type="dxa"/>
            <w:tcBorders>
              <w:left w:val="nil"/>
            </w:tcBorders>
            <w:shd w:val="clear" w:color="auto" w:fill="DBE5F1" w:themeFill="accent1" w:themeFillTint="33"/>
            <w:vAlign w:val="center"/>
          </w:tcPr>
          <w:p w14:paraId="34BF362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879</w:t>
            </w:r>
          </w:p>
        </w:tc>
        <w:tc>
          <w:tcPr>
            <w:tcW w:w="1471" w:type="dxa"/>
            <w:tcBorders>
              <w:right w:val="nil"/>
            </w:tcBorders>
            <w:shd w:val="clear" w:color="auto" w:fill="DBE5F1" w:themeFill="accent1" w:themeFillTint="33"/>
            <w:noWrap/>
            <w:vAlign w:val="center"/>
          </w:tcPr>
          <w:p w14:paraId="268C9FB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749</w:t>
            </w:r>
          </w:p>
        </w:tc>
        <w:tc>
          <w:tcPr>
            <w:tcW w:w="1471" w:type="dxa"/>
            <w:tcBorders>
              <w:left w:val="nil"/>
            </w:tcBorders>
            <w:shd w:val="clear" w:color="auto" w:fill="DBE5F1" w:themeFill="accent1" w:themeFillTint="33"/>
            <w:vAlign w:val="center"/>
          </w:tcPr>
          <w:p w14:paraId="7BD77EB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678</w:t>
            </w:r>
          </w:p>
        </w:tc>
      </w:tr>
      <w:tr w:rsidR="006B3CC1" w:rsidRPr="003324F1" w14:paraId="7BA7FD54" w14:textId="77777777" w:rsidTr="00F2448E">
        <w:trPr>
          <w:trHeight w:val="276"/>
        </w:trPr>
        <w:tc>
          <w:tcPr>
            <w:tcW w:w="2660" w:type="dxa"/>
            <w:shd w:val="clear" w:color="auto" w:fill="auto"/>
            <w:noWrap/>
            <w:hideMark/>
          </w:tcPr>
          <w:p w14:paraId="36AA2E88"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39C7E31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w:t>
            </w:r>
            <w:r>
              <w:rPr>
                <w:rFonts w:eastAsia="Times New Roman" w:cs="Arial"/>
                <w:lang w:eastAsia="en-AU"/>
              </w:rPr>
              <w:t>,</w:t>
            </w:r>
            <w:r w:rsidRPr="00676396">
              <w:rPr>
                <w:rFonts w:eastAsia="Times New Roman" w:cs="Arial"/>
                <w:lang w:eastAsia="en-AU"/>
              </w:rPr>
              <w:t>791</w:t>
            </w:r>
          </w:p>
        </w:tc>
        <w:tc>
          <w:tcPr>
            <w:tcW w:w="1471" w:type="dxa"/>
            <w:tcBorders>
              <w:left w:val="nil"/>
            </w:tcBorders>
            <w:shd w:val="clear" w:color="auto" w:fill="auto"/>
            <w:vAlign w:val="center"/>
          </w:tcPr>
          <w:p w14:paraId="445F8800"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w:t>
            </w:r>
            <w:r>
              <w:rPr>
                <w:rFonts w:eastAsia="Times New Roman" w:cs="Arial"/>
                <w:lang w:eastAsia="en-AU"/>
              </w:rPr>
              <w:t>,</w:t>
            </w:r>
            <w:r w:rsidRPr="00676396">
              <w:rPr>
                <w:rFonts w:eastAsia="Times New Roman" w:cs="Arial"/>
                <w:lang w:eastAsia="en-AU"/>
              </w:rPr>
              <w:t>877</w:t>
            </w:r>
          </w:p>
        </w:tc>
        <w:tc>
          <w:tcPr>
            <w:tcW w:w="1471" w:type="dxa"/>
            <w:tcBorders>
              <w:right w:val="nil"/>
            </w:tcBorders>
            <w:shd w:val="clear" w:color="auto" w:fill="auto"/>
            <w:noWrap/>
            <w:vAlign w:val="center"/>
          </w:tcPr>
          <w:p w14:paraId="1FF14D0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849</w:t>
            </w:r>
          </w:p>
        </w:tc>
        <w:tc>
          <w:tcPr>
            <w:tcW w:w="1471" w:type="dxa"/>
            <w:tcBorders>
              <w:left w:val="nil"/>
            </w:tcBorders>
            <w:shd w:val="clear" w:color="auto" w:fill="auto"/>
            <w:vAlign w:val="center"/>
          </w:tcPr>
          <w:p w14:paraId="0723F38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378</w:t>
            </w:r>
          </w:p>
        </w:tc>
        <w:tc>
          <w:tcPr>
            <w:tcW w:w="1470" w:type="dxa"/>
            <w:tcBorders>
              <w:right w:val="nil"/>
            </w:tcBorders>
            <w:shd w:val="clear" w:color="auto" w:fill="auto"/>
            <w:noWrap/>
            <w:vAlign w:val="center"/>
          </w:tcPr>
          <w:p w14:paraId="09419B6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760</w:t>
            </w:r>
          </w:p>
        </w:tc>
        <w:tc>
          <w:tcPr>
            <w:tcW w:w="1471" w:type="dxa"/>
            <w:tcBorders>
              <w:left w:val="nil"/>
            </w:tcBorders>
            <w:shd w:val="clear" w:color="auto" w:fill="auto"/>
            <w:vAlign w:val="center"/>
          </w:tcPr>
          <w:p w14:paraId="34F32B0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272</w:t>
            </w:r>
          </w:p>
        </w:tc>
        <w:tc>
          <w:tcPr>
            <w:tcW w:w="1471" w:type="dxa"/>
            <w:tcBorders>
              <w:right w:val="nil"/>
            </w:tcBorders>
            <w:shd w:val="clear" w:color="auto" w:fill="auto"/>
            <w:noWrap/>
            <w:vAlign w:val="center"/>
          </w:tcPr>
          <w:p w14:paraId="6FC5EA3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377</w:t>
            </w:r>
          </w:p>
        </w:tc>
        <w:tc>
          <w:tcPr>
            <w:tcW w:w="1471" w:type="dxa"/>
            <w:tcBorders>
              <w:left w:val="nil"/>
            </w:tcBorders>
            <w:shd w:val="clear" w:color="auto" w:fill="auto"/>
            <w:vAlign w:val="center"/>
          </w:tcPr>
          <w:p w14:paraId="16B6BE1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203</w:t>
            </w:r>
          </w:p>
        </w:tc>
      </w:tr>
      <w:tr w:rsidR="006B3CC1" w:rsidRPr="00FD6E8E" w14:paraId="20DB3ADB" w14:textId="77777777" w:rsidTr="00F2448E">
        <w:trPr>
          <w:trHeight w:val="276"/>
        </w:trPr>
        <w:tc>
          <w:tcPr>
            <w:tcW w:w="2660" w:type="dxa"/>
            <w:shd w:val="clear" w:color="auto" w:fill="B8CCE4" w:themeFill="accent1" w:themeFillTint="66"/>
            <w:noWrap/>
            <w:hideMark/>
          </w:tcPr>
          <w:p w14:paraId="76AE7274" w14:textId="77777777" w:rsidR="006B3CC1" w:rsidRPr="00FD6E8E" w:rsidRDefault="006B3CC1" w:rsidP="00CE2FDF">
            <w:pPr>
              <w:spacing w:before="0" w:line="276" w:lineRule="auto"/>
              <w:rPr>
                <w:rFonts w:eastAsia="Times New Roman" w:cs="Arial"/>
                <w:b/>
                <w:lang w:eastAsia="en-AU"/>
              </w:rPr>
            </w:pPr>
            <w:r w:rsidRPr="00FD6E8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1D69BE8F"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16</w:t>
            </w:r>
            <w:r>
              <w:rPr>
                <w:rFonts w:eastAsia="Times New Roman" w:cs="Arial"/>
                <w:b/>
                <w:lang w:eastAsia="en-AU"/>
              </w:rPr>
              <w:t>,</w:t>
            </w:r>
            <w:r w:rsidRPr="00676396">
              <w:rPr>
                <w:rFonts w:eastAsia="Times New Roman" w:cs="Arial"/>
                <w:b/>
                <w:lang w:eastAsia="en-AU"/>
              </w:rPr>
              <w:t>081</w:t>
            </w:r>
          </w:p>
        </w:tc>
        <w:tc>
          <w:tcPr>
            <w:tcW w:w="1471" w:type="dxa"/>
            <w:tcBorders>
              <w:left w:val="nil"/>
            </w:tcBorders>
            <w:shd w:val="clear" w:color="auto" w:fill="B8CCE4" w:themeFill="accent1" w:themeFillTint="66"/>
            <w:vAlign w:val="center"/>
          </w:tcPr>
          <w:p w14:paraId="7CC03582"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14</w:t>
            </w:r>
            <w:r>
              <w:rPr>
                <w:rFonts w:eastAsia="Times New Roman" w:cs="Arial"/>
                <w:b/>
                <w:lang w:eastAsia="en-AU"/>
              </w:rPr>
              <w:t>,</w:t>
            </w:r>
            <w:r w:rsidRPr="00676396">
              <w:rPr>
                <w:rFonts w:eastAsia="Times New Roman" w:cs="Arial"/>
                <w:b/>
                <w:lang w:eastAsia="en-AU"/>
              </w:rPr>
              <w:t>105</w:t>
            </w:r>
          </w:p>
        </w:tc>
        <w:tc>
          <w:tcPr>
            <w:tcW w:w="1471" w:type="dxa"/>
            <w:tcBorders>
              <w:right w:val="nil"/>
            </w:tcBorders>
            <w:shd w:val="clear" w:color="auto" w:fill="B8CCE4" w:themeFill="accent1" w:themeFillTint="66"/>
            <w:noWrap/>
            <w:vAlign w:val="center"/>
          </w:tcPr>
          <w:p w14:paraId="74D1B9F4"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8</w:t>
            </w:r>
            <w:r>
              <w:rPr>
                <w:rFonts w:eastAsia="Times New Roman" w:cs="Arial"/>
                <w:b/>
                <w:lang w:eastAsia="en-AU"/>
              </w:rPr>
              <w:t>,</w:t>
            </w:r>
            <w:r w:rsidRPr="00676396">
              <w:rPr>
                <w:rFonts w:eastAsia="Times New Roman" w:cs="Arial"/>
                <w:b/>
                <w:lang w:eastAsia="en-AU"/>
              </w:rPr>
              <w:t>601</w:t>
            </w:r>
          </w:p>
        </w:tc>
        <w:tc>
          <w:tcPr>
            <w:tcW w:w="1471" w:type="dxa"/>
            <w:tcBorders>
              <w:left w:val="nil"/>
            </w:tcBorders>
            <w:shd w:val="clear" w:color="auto" w:fill="B8CCE4" w:themeFill="accent1" w:themeFillTint="66"/>
            <w:vAlign w:val="center"/>
          </w:tcPr>
          <w:p w14:paraId="2CD7BE0D"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784</w:t>
            </w:r>
          </w:p>
        </w:tc>
        <w:tc>
          <w:tcPr>
            <w:tcW w:w="1470" w:type="dxa"/>
            <w:tcBorders>
              <w:right w:val="nil"/>
            </w:tcBorders>
            <w:shd w:val="clear" w:color="auto" w:fill="B8CCE4" w:themeFill="accent1" w:themeFillTint="66"/>
            <w:noWrap/>
            <w:vAlign w:val="center"/>
          </w:tcPr>
          <w:p w14:paraId="6BA2CEAA"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12</w:t>
            </w:r>
            <w:r>
              <w:rPr>
                <w:rFonts w:eastAsia="Times New Roman" w:cs="Arial"/>
                <w:b/>
                <w:lang w:eastAsia="en-AU"/>
              </w:rPr>
              <w:t>,</w:t>
            </w:r>
            <w:r w:rsidRPr="00676396">
              <w:rPr>
                <w:rFonts w:eastAsia="Times New Roman" w:cs="Arial"/>
                <w:b/>
                <w:lang w:eastAsia="en-AU"/>
              </w:rPr>
              <w:t>887</w:t>
            </w:r>
          </w:p>
        </w:tc>
        <w:tc>
          <w:tcPr>
            <w:tcW w:w="1471" w:type="dxa"/>
            <w:tcBorders>
              <w:left w:val="nil"/>
            </w:tcBorders>
            <w:shd w:val="clear" w:color="auto" w:fill="B8CCE4" w:themeFill="accent1" w:themeFillTint="66"/>
            <w:vAlign w:val="center"/>
          </w:tcPr>
          <w:p w14:paraId="5FDF36B5"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724</w:t>
            </w:r>
          </w:p>
        </w:tc>
        <w:tc>
          <w:tcPr>
            <w:tcW w:w="1471" w:type="dxa"/>
            <w:tcBorders>
              <w:right w:val="nil"/>
            </w:tcBorders>
            <w:shd w:val="clear" w:color="auto" w:fill="B8CCE4" w:themeFill="accent1" w:themeFillTint="66"/>
            <w:noWrap/>
            <w:vAlign w:val="center"/>
          </w:tcPr>
          <w:p w14:paraId="1142ADC6"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126</w:t>
            </w:r>
          </w:p>
        </w:tc>
        <w:tc>
          <w:tcPr>
            <w:tcW w:w="1471" w:type="dxa"/>
            <w:tcBorders>
              <w:left w:val="nil"/>
            </w:tcBorders>
            <w:shd w:val="clear" w:color="auto" w:fill="B8CCE4" w:themeFill="accent1" w:themeFillTint="66"/>
            <w:vAlign w:val="center"/>
          </w:tcPr>
          <w:p w14:paraId="46114D9C"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777</w:t>
            </w:r>
          </w:p>
        </w:tc>
      </w:tr>
    </w:tbl>
    <w:p w14:paraId="156DAD97" w14:textId="77777777" w:rsidR="006B3CC1" w:rsidRDefault="006B3CC1" w:rsidP="00B15586"/>
    <w:p w14:paraId="2BA93F04" w14:textId="77777777" w:rsidR="00A269A5" w:rsidRDefault="00A269A5" w:rsidP="005E613E">
      <w:pPr>
        <w:pStyle w:val="Figureheading"/>
        <w:spacing w:before="0"/>
      </w:pPr>
      <w:r>
        <w:t>3.2</w:t>
      </w:r>
      <w:r w:rsidR="007B717D">
        <w:t>4</w:t>
      </w:r>
      <w:r>
        <w:tab/>
      </w:r>
      <w:r w:rsidR="006B3CC1" w:rsidRPr="00D74CC3">
        <w:t xml:space="preserve">Number of reports </w:t>
      </w:r>
      <w:r>
        <w:t xml:space="preserve">for 2008, </w:t>
      </w:r>
      <w:r w:rsidR="006B3CC1" w:rsidRPr="00D74CC3">
        <w:t>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76"/>
        <w:gridCol w:w="1177"/>
        <w:gridCol w:w="1176"/>
        <w:gridCol w:w="1177"/>
        <w:gridCol w:w="1177"/>
        <w:gridCol w:w="1176"/>
        <w:gridCol w:w="1177"/>
        <w:gridCol w:w="1176"/>
        <w:gridCol w:w="1177"/>
        <w:gridCol w:w="1177"/>
      </w:tblGrid>
      <w:tr w:rsidR="006B3CC1" w:rsidRPr="00F44E7A" w14:paraId="1DC18A3C" w14:textId="77777777" w:rsidTr="00137AE1">
        <w:trPr>
          <w:trHeight w:val="329"/>
          <w:tblHeader/>
        </w:trPr>
        <w:tc>
          <w:tcPr>
            <w:tcW w:w="2660" w:type="dxa"/>
            <w:shd w:val="clear" w:color="auto" w:fill="B8CCE4" w:themeFill="accent1" w:themeFillTint="66"/>
            <w:noWrap/>
            <w:hideMark/>
          </w:tcPr>
          <w:p w14:paraId="16E34908" w14:textId="77777777" w:rsidR="006B3CC1" w:rsidRPr="00F44E7A" w:rsidRDefault="006B3CC1" w:rsidP="00CE2FDF">
            <w:pPr>
              <w:keepNext/>
              <w:spacing w:before="0" w:line="276" w:lineRule="auto"/>
              <w:jc w:val="center"/>
              <w:rPr>
                <w:rFonts w:eastAsia="Times New Roman" w:cs="Arial"/>
                <w:b/>
                <w:lang w:eastAsia="en-AU"/>
              </w:rPr>
            </w:pPr>
          </w:p>
        </w:tc>
        <w:tc>
          <w:tcPr>
            <w:tcW w:w="2353" w:type="dxa"/>
            <w:gridSpan w:val="2"/>
            <w:shd w:val="clear" w:color="auto" w:fill="B8CCE4" w:themeFill="accent1" w:themeFillTint="66"/>
            <w:noWrap/>
            <w:hideMark/>
          </w:tcPr>
          <w:p w14:paraId="287583CF" w14:textId="77777777" w:rsidR="006B3CC1" w:rsidRPr="00F44E7A" w:rsidRDefault="006B3CC1"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3F4E761D" w14:textId="77777777" w:rsidR="006B3CC1" w:rsidRPr="00F44E7A" w:rsidRDefault="006B3CC1"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40160F2D" w14:textId="77777777" w:rsidR="006B3CC1" w:rsidRPr="00F44E7A" w:rsidRDefault="006B3CC1"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2951069E" w14:textId="77777777" w:rsidR="006B3CC1" w:rsidRPr="00F44E7A" w:rsidRDefault="006B3CC1"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2477AA00" w14:textId="77777777" w:rsidR="006B3CC1" w:rsidRPr="00F44E7A" w:rsidRDefault="006B3CC1"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6B3CC1" w:rsidRPr="00F44E7A" w14:paraId="1E20B2F8" w14:textId="77777777" w:rsidTr="00137AE1">
        <w:trPr>
          <w:trHeight w:val="264"/>
          <w:tblHeader/>
        </w:trPr>
        <w:tc>
          <w:tcPr>
            <w:tcW w:w="2660" w:type="dxa"/>
            <w:shd w:val="clear" w:color="auto" w:fill="B8CCE4" w:themeFill="accent1" w:themeFillTint="66"/>
            <w:noWrap/>
            <w:hideMark/>
          </w:tcPr>
          <w:p w14:paraId="24E0D72C" w14:textId="77777777" w:rsidR="006B3CC1" w:rsidRPr="00F44E7A" w:rsidRDefault="006B3CC1" w:rsidP="00CE2FDF">
            <w:pPr>
              <w:keepNext/>
              <w:spacing w:before="0" w:line="276"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60AB6F60"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2BDC9F27"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49D25683"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254DB409"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31008BF2"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7D05921C"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59C33C26"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31E760F0"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147E9694"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576378DE"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6B3CC1" w:rsidRPr="003324F1" w14:paraId="74465E98" w14:textId="77777777" w:rsidTr="00F2448E">
        <w:trPr>
          <w:trHeight w:val="276"/>
        </w:trPr>
        <w:tc>
          <w:tcPr>
            <w:tcW w:w="2660" w:type="dxa"/>
            <w:noWrap/>
            <w:hideMark/>
          </w:tcPr>
          <w:p w14:paraId="677E9129" w14:textId="77777777" w:rsidR="006B3CC1" w:rsidRPr="00F44E7A" w:rsidRDefault="006B3CC1"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1176" w:type="dxa"/>
            <w:tcBorders>
              <w:right w:val="nil"/>
            </w:tcBorders>
            <w:noWrap/>
            <w:vAlign w:val="center"/>
          </w:tcPr>
          <w:p w14:paraId="7D93AD2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668</w:t>
            </w:r>
          </w:p>
        </w:tc>
        <w:tc>
          <w:tcPr>
            <w:tcW w:w="1177" w:type="dxa"/>
            <w:tcBorders>
              <w:left w:val="nil"/>
            </w:tcBorders>
            <w:vAlign w:val="center"/>
          </w:tcPr>
          <w:p w14:paraId="2566BA8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654</w:t>
            </w:r>
          </w:p>
        </w:tc>
        <w:tc>
          <w:tcPr>
            <w:tcW w:w="1176" w:type="dxa"/>
            <w:tcBorders>
              <w:right w:val="nil"/>
            </w:tcBorders>
            <w:noWrap/>
            <w:vAlign w:val="center"/>
          </w:tcPr>
          <w:p w14:paraId="710E0B7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297</w:t>
            </w:r>
          </w:p>
        </w:tc>
        <w:tc>
          <w:tcPr>
            <w:tcW w:w="1177" w:type="dxa"/>
            <w:tcBorders>
              <w:left w:val="nil"/>
            </w:tcBorders>
            <w:vAlign w:val="center"/>
          </w:tcPr>
          <w:p w14:paraId="42DB49F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296</w:t>
            </w:r>
          </w:p>
        </w:tc>
        <w:tc>
          <w:tcPr>
            <w:tcW w:w="1177" w:type="dxa"/>
            <w:tcBorders>
              <w:right w:val="nil"/>
            </w:tcBorders>
            <w:noWrap/>
            <w:vAlign w:val="center"/>
          </w:tcPr>
          <w:p w14:paraId="71B28D1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172</w:t>
            </w:r>
          </w:p>
        </w:tc>
        <w:tc>
          <w:tcPr>
            <w:tcW w:w="1176" w:type="dxa"/>
            <w:tcBorders>
              <w:left w:val="nil"/>
            </w:tcBorders>
            <w:vAlign w:val="center"/>
          </w:tcPr>
          <w:p w14:paraId="69DB497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172</w:t>
            </w:r>
          </w:p>
        </w:tc>
        <w:tc>
          <w:tcPr>
            <w:tcW w:w="1177" w:type="dxa"/>
            <w:tcBorders>
              <w:right w:val="nil"/>
            </w:tcBorders>
            <w:noWrap/>
            <w:vAlign w:val="center"/>
          </w:tcPr>
          <w:p w14:paraId="1C9EA810"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125</w:t>
            </w:r>
          </w:p>
        </w:tc>
        <w:tc>
          <w:tcPr>
            <w:tcW w:w="1176" w:type="dxa"/>
            <w:tcBorders>
              <w:left w:val="nil"/>
            </w:tcBorders>
            <w:vAlign w:val="center"/>
          </w:tcPr>
          <w:p w14:paraId="0DA2200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124</w:t>
            </w:r>
          </w:p>
        </w:tc>
        <w:tc>
          <w:tcPr>
            <w:tcW w:w="1177" w:type="dxa"/>
            <w:tcBorders>
              <w:right w:val="nil"/>
            </w:tcBorders>
            <w:noWrap/>
            <w:vAlign w:val="center"/>
          </w:tcPr>
          <w:p w14:paraId="1FB307C1"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965</w:t>
            </w:r>
          </w:p>
        </w:tc>
        <w:tc>
          <w:tcPr>
            <w:tcW w:w="1177" w:type="dxa"/>
            <w:tcBorders>
              <w:left w:val="nil"/>
            </w:tcBorders>
            <w:vAlign w:val="center"/>
          </w:tcPr>
          <w:p w14:paraId="323D49D6"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943</w:t>
            </w:r>
          </w:p>
        </w:tc>
      </w:tr>
      <w:tr w:rsidR="006B3CC1" w:rsidRPr="003324F1" w14:paraId="1A029C96" w14:textId="77777777" w:rsidTr="00F2448E">
        <w:trPr>
          <w:trHeight w:val="276"/>
        </w:trPr>
        <w:tc>
          <w:tcPr>
            <w:tcW w:w="2660" w:type="dxa"/>
            <w:shd w:val="clear" w:color="auto" w:fill="DBE5F1" w:themeFill="accent1" w:themeFillTint="33"/>
            <w:noWrap/>
            <w:hideMark/>
          </w:tcPr>
          <w:p w14:paraId="4AA7F4D7" w14:textId="77777777" w:rsidR="006B3CC1" w:rsidRPr="00F44E7A" w:rsidRDefault="006B3CC1"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2868AD4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838</w:t>
            </w:r>
          </w:p>
        </w:tc>
        <w:tc>
          <w:tcPr>
            <w:tcW w:w="1177" w:type="dxa"/>
            <w:tcBorders>
              <w:left w:val="nil"/>
            </w:tcBorders>
            <w:shd w:val="clear" w:color="auto" w:fill="DBE5F1" w:themeFill="accent1" w:themeFillTint="33"/>
            <w:vAlign w:val="center"/>
          </w:tcPr>
          <w:p w14:paraId="52CB659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818</w:t>
            </w:r>
          </w:p>
        </w:tc>
        <w:tc>
          <w:tcPr>
            <w:tcW w:w="1176" w:type="dxa"/>
            <w:tcBorders>
              <w:right w:val="nil"/>
            </w:tcBorders>
            <w:shd w:val="clear" w:color="auto" w:fill="DBE5F1" w:themeFill="accent1" w:themeFillTint="33"/>
            <w:noWrap/>
            <w:vAlign w:val="center"/>
          </w:tcPr>
          <w:p w14:paraId="60051690"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600</w:t>
            </w:r>
          </w:p>
        </w:tc>
        <w:tc>
          <w:tcPr>
            <w:tcW w:w="1177" w:type="dxa"/>
            <w:tcBorders>
              <w:left w:val="nil"/>
            </w:tcBorders>
            <w:shd w:val="clear" w:color="auto" w:fill="DBE5F1" w:themeFill="accent1" w:themeFillTint="33"/>
            <w:vAlign w:val="center"/>
          </w:tcPr>
          <w:p w14:paraId="3E3F81C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596</w:t>
            </w:r>
          </w:p>
        </w:tc>
        <w:tc>
          <w:tcPr>
            <w:tcW w:w="1177" w:type="dxa"/>
            <w:tcBorders>
              <w:right w:val="nil"/>
            </w:tcBorders>
            <w:shd w:val="clear" w:color="auto" w:fill="DBE5F1" w:themeFill="accent1" w:themeFillTint="33"/>
            <w:noWrap/>
            <w:vAlign w:val="center"/>
          </w:tcPr>
          <w:p w14:paraId="2563A07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369</w:t>
            </w:r>
          </w:p>
        </w:tc>
        <w:tc>
          <w:tcPr>
            <w:tcW w:w="1176" w:type="dxa"/>
            <w:tcBorders>
              <w:left w:val="nil"/>
            </w:tcBorders>
            <w:shd w:val="clear" w:color="auto" w:fill="DBE5F1" w:themeFill="accent1" w:themeFillTint="33"/>
            <w:vAlign w:val="center"/>
          </w:tcPr>
          <w:p w14:paraId="7A0FCCE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366</w:t>
            </w:r>
          </w:p>
        </w:tc>
        <w:tc>
          <w:tcPr>
            <w:tcW w:w="1177" w:type="dxa"/>
            <w:tcBorders>
              <w:right w:val="nil"/>
            </w:tcBorders>
            <w:shd w:val="clear" w:color="auto" w:fill="DBE5F1" w:themeFill="accent1" w:themeFillTint="33"/>
            <w:noWrap/>
            <w:vAlign w:val="center"/>
          </w:tcPr>
          <w:p w14:paraId="4B345AF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231</w:t>
            </w:r>
          </w:p>
        </w:tc>
        <w:tc>
          <w:tcPr>
            <w:tcW w:w="1176" w:type="dxa"/>
            <w:tcBorders>
              <w:left w:val="nil"/>
            </w:tcBorders>
            <w:shd w:val="clear" w:color="auto" w:fill="DBE5F1" w:themeFill="accent1" w:themeFillTint="33"/>
            <w:vAlign w:val="center"/>
          </w:tcPr>
          <w:p w14:paraId="32926D4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230</w:t>
            </w:r>
          </w:p>
        </w:tc>
        <w:tc>
          <w:tcPr>
            <w:tcW w:w="1177" w:type="dxa"/>
            <w:tcBorders>
              <w:right w:val="nil"/>
            </w:tcBorders>
            <w:shd w:val="clear" w:color="auto" w:fill="DBE5F1" w:themeFill="accent1" w:themeFillTint="33"/>
            <w:noWrap/>
            <w:vAlign w:val="center"/>
          </w:tcPr>
          <w:p w14:paraId="367620F1"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438</w:t>
            </w:r>
          </w:p>
        </w:tc>
        <w:tc>
          <w:tcPr>
            <w:tcW w:w="1177" w:type="dxa"/>
            <w:tcBorders>
              <w:left w:val="nil"/>
            </w:tcBorders>
            <w:shd w:val="clear" w:color="auto" w:fill="DBE5F1" w:themeFill="accent1" w:themeFillTint="33"/>
            <w:vAlign w:val="center"/>
          </w:tcPr>
          <w:p w14:paraId="6CDA9E95"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384</w:t>
            </w:r>
          </w:p>
        </w:tc>
      </w:tr>
      <w:tr w:rsidR="006B3CC1" w:rsidRPr="003324F1" w14:paraId="12AF5C5C" w14:textId="77777777" w:rsidTr="00F2448E">
        <w:trPr>
          <w:trHeight w:val="276"/>
        </w:trPr>
        <w:tc>
          <w:tcPr>
            <w:tcW w:w="2660" w:type="dxa"/>
            <w:noWrap/>
            <w:hideMark/>
          </w:tcPr>
          <w:p w14:paraId="713DF40A" w14:textId="77777777" w:rsidR="006B3CC1" w:rsidRPr="00F44E7A" w:rsidRDefault="006B3CC1" w:rsidP="00CE2FDF">
            <w:pPr>
              <w:spacing w:before="0" w:line="276"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noWrap/>
            <w:vAlign w:val="center"/>
          </w:tcPr>
          <w:p w14:paraId="70C823C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942</w:t>
            </w:r>
          </w:p>
        </w:tc>
        <w:tc>
          <w:tcPr>
            <w:tcW w:w="1177" w:type="dxa"/>
            <w:tcBorders>
              <w:left w:val="nil"/>
            </w:tcBorders>
            <w:vAlign w:val="center"/>
          </w:tcPr>
          <w:p w14:paraId="4910BAB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664</w:t>
            </w:r>
          </w:p>
        </w:tc>
        <w:tc>
          <w:tcPr>
            <w:tcW w:w="1176" w:type="dxa"/>
            <w:tcBorders>
              <w:right w:val="nil"/>
            </w:tcBorders>
            <w:noWrap/>
            <w:vAlign w:val="center"/>
          </w:tcPr>
          <w:p w14:paraId="21D703D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500</w:t>
            </w:r>
          </w:p>
        </w:tc>
        <w:tc>
          <w:tcPr>
            <w:tcW w:w="1177" w:type="dxa"/>
            <w:tcBorders>
              <w:left w:val="nil"/>
            </w:tcBorders>
            <w:vAlign w:val="center"/>
          </w:tcPr>
          <w:p w14:paraId="50BA823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451</w:t>
            </w:r>
          </w:p>
        </w:tc>
        <w:tc>
          <w:tcPr>
            <w:tcW w:w="1177" w:type="dxa"/>
            <w:tcBorders>
              <w:right w:val="nil"/>
            </w:tcBorders>
            <w:noWrap/>
            <w:vAlign w:val="center"/>
          </w:tcPr>
          <w:p w14:paraId="1E22DD5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763</w:t>
            </w:r>
          </w:p>
        </w:tc>
        <w:tc>
          <w:tcPr>
            <w:tcW w:w="1176" w:type="dxa"/>
            <w:tcBorders>
              <w:left w:val="nil"/>
            </w:tcBorders>
            <w:vAlign w:val="center"/>
          </w:tcPr>
          <w:p w14:paraId="3A92062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739</w:t>
            </w:r>
          </w:p>
        </w:tc>
        <w:tc>
          <w:tcPr>
            <w:tcW w:w="1177" w:type="dxa"/>
            <w:tcBorders>
              <w:right w:val="nil"/>
            </w:tcBorders>
            <w:noWrap/>
            <w:vAlign w:val="center"/>
          </w:tcPr>
          <w:p w14:paraId="0F03052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737</w:t>
            </w:r>
          </w:p>
        </w:tc>
        <w:tc>
          <w:tcPr>
            <w:tcW w:w="1176" w:type="dxa"/>
            <w:tcBorders>
              <w:left w:val="nil"/>
            </w:tcBorders>
            <w:vAlign w:val="center"/>
          </w:tcPr>
          <w:p w14:paraId="01EA3E4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728</w:t>
            </w:r>
          </w:p>
        </w:tc>
        <w:tc>
          <w:tcPr>
            <w:tcW w:w="1177" w:type="dxa"/>
            <w:tcBorders>
              <w:right w:val="nil"/>
            </w:tcBorders>
            <w:noWrap/>
            <w:vAlign w:val="center"/>
          </w:tcPr>
          <w:p w14:paraId="12631237"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8</w:t>
            </w:r>
            <w:r>
              <w:rPr>
                <w:rFonts w:eastAsia="Times New Roman" w:cs="Arial"/>
                <w:b/>
                <w:lang w:eastAsia="en-AU"/>
              </w:rPr>
              <w:t>,</w:t>
            </w:r>
            <w:r w:rsidRPr="00676396">
              <w:rPr>
                <w:rFonts w:eastAsia="Times New Roman" w:cs="Arial"/>
                <w:b/>
                <w:lang w:eastAsia="en-AU"/>
              </w:rPr>
              <w:t>442</w:t>
            </w:r>
          </w:p>
        </w:tc>
        <w:tc>
          <w:tcPr>
            <w:tcW w:w="1177" w:type="dxa"/>
            <w:tcBorders>
              <w:left w:val="nil"/>
            </w:tcBorders>
            <w:vAlign w:val="center"/>
          </w:tcPr>
          <w:p w14:paraId="7DBE9036"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889</w:t>
            </w:r>
          </w:p>
        </w:tc>
      </w:tr>
      <w:tr w:rsidR="006B3CC1" w:rsidRPr="003324F1" w14:paraId="63297F00" w14:textId="77777777" w:rsidTr="00F2448E">
        <w:trPr>
          <w:trHeight w:val="276"/>
        </w:trPr>
        <w:tc>
          <w:tcPr>
            <w:tcW w:w="2660" w:type="dxa"/>
            <w:shd w:val="clear" w:color="auto" w:fill="DBE5F1" w:themeFill="accent1" w:themeFillTint="33"/>
            <w:noWrap/>
            <w:hideMark/>
          </w:tcPr>
          <w:p w14:paraId="6C76E8E5"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DBE5F1" w:themeFill="accent1" w:themeFillTint="33"/>
            <w:noWrap/>
            <w:vAlign w:val="center"/>
          </w:tcPr>
          <w:p w14:paraId="28D1913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217</w:t>
            </w:r>
          </w:p>
        </w:tc>
        <w:tc>
          <w:tcPr>
            <w:tcW w:w="1177" w:type="dxa"/>
            <w:tcBorders>
              <w:left w:val="nil"/>
            </w:tcBorders>
            <w:shd w:val="clear" w:color="auto" w:fill="DBE5F1" w:themeFill="accent1" w:themeFillTint="33"/>
            <w:vAlign w:val="center"/>
          </w:tcPr>
          <w:p w14:paraId="0ABD379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947</w:t>
            </w:r>
          </w:p>
        </w:tc>
        <w:tc>
          <w:tcPr>
            <w:tcW w:w="1176" w:type="dxa"/>
            <w:tcBorders>
              <w:right w:val="nil"/>
            </w:tcBorders>
            <w:shd w:val="clear" w:color="auto" w:fill="DBE5F1" w:themeFill="accent1" w:themeFillTint="33"/>
            <w:noWrap/>
            <w:vAlign w:val="center"/>
          </w:tcPr>
          <w:p w14:paraId="180B37D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683</w:t>
            </w:r>
          </w:p>
        </w:tc>
        <w:tc>
          <w:tcPr>
            <w:tcW w:w="1177" w:type="dxa"/>
            <w:tcBorders>
              <w:left w:val="nil"/>
            </w:tcBorders>
            <w:shd w:val="clear" w:color="auto" w:fill="DBE5F1" w:themeFill="accent1" w:themeFillTint="33"/>
            <w:vAlign w:val="center"/>
          </w:tcPr>
          <w:p w14:paraId="0169D04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657</w:t>
            </w:r>
          </w:p>
        </w:tc>
        <w:tc>
          <w:tcPr>
            <w:tcW w:w="1177" w:type="dxa"/>
            <w:tcBorders>
              <w:right w:val="nil"/>
            </w:tcBorders>
            <w:shd w:val="clear" w:color="auto" w:fill="DBE5F1" w:themeFill="accent1" w:themeFillTint="33"/>
            <w:noWrap/>
            <w:vAlign w:val="center"/>
          </w:tcPr>
          <w:p w14:paraId="53671A5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975</w:t>
            </w:r>
          </w:p>
        </w:tc>
        <w:tc>
          <w:tcPr>
            <w:tcW w:w="1176" w:type="dxa"/>
            <w:tcBorders>
              <w:left w:val="nil"/>
            </w:tcBorders>
            <w:shd w:val="clear" w:color="auto" w:fill="DBE5F1" w:themeFill="accent1" w:themeFillTint="33"/>
            <w:vAlign w:val="center"/>
          </w:tcPr>
          <w:p w14:paraId="356A557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971</w:t>
            </w:r>
          </w:p>
        </w:tc>
        <w:tc>
          <w:tcPr>
            <w:tcW w:w="1177" w:type="dxa"/>
            <w:tcBorders>
              <w:right w:val="nil"/>
            </w:tcBorders>
            <w:shd w:val="clear" w:color="auto" w:fill="DBE5F1" w:themeFill="accent1" w:themeFillTint="33"/>
            <w:noWrap/>
            <w:vAlign w:val="center"/>
          </w:tcPr>
          <w:p w14:paraId="4B5CD38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708</w:t>
            </w:r>
          </w:p>
        </w:tc>
        <w:tc>
          <w:tcPr>
            <w:tcW w:w="1176" w:type="dxa"/>
            <w:tcBorders>
              <w:left w:val="nil"/>
            </w:tcBorders>
            <w:shd w:val="clear" w:color="auto" w:fill="DBE5F1" w:themeFill="accent1" w:themeFillTint="33"/>
            <w:vAlign w:val="center"/>
          </w:tcPr>
          <w:p w14:paraId="432C999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700</w:t>
            </w:r>
          </w:p>
        </w:tc>
        <w:tc>
          <w:tcPr>
            <w:tcW w:w="1177" w:type="dxa"/>
            <w:tcBorders>
              <w:right w:val="nil"/>
            </w:tcBorders>
            <w:shd w:val="clear" w:color="auto" w:fill="DBE5F1" w:themeFill="accent1" w:themeFillTint="33"/>
            <w:noWrap/>
            <w:vAlign w:val="center"/>
          </w:tcPr>
          <w:p w14:paraId="210D401A"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5</w:t>
            </w:r>
            <w:r>
              <w:rPr>
                <w:rFonts w:eastAsia="Times New Roman" w:cs="Arial"/>
                <w:b/>
                <w:lang w:eastAsia="en-AU"/>
              </w:rPr>
              <w:t>,</w:t>
            </w:r>
            <w:r w:rsidRPr="00676396">
              <w:rPr>
                <w:rFonts w:eastAsia="Times New Roman" w:cs="Arial"/>
                <w:b/>
                <w:lang w:eastAsia="en-AU"/>
              </w:rPr>
              <w:t>900</w:t>
            </w:r>
          </w:p>
        </w:tc>
        <w:tc>
          <w:tcPr>
            <w:tcW w:w="1177" w:type="dxa"/>
            <w:tcBorders>
              <w:left w:val="nil"/>
            </w:tcBorders>
            <w:shd w:val="clear" w:color="auto" w:fill="DBE5F1" w:themeFill="accent1" w:themeFillTint="33"/>
            <w:vAlign w:val="center"/>
          </w:tcPr>
          <w:p w14:paraId="1460DDCB"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5</w:t>
            </w:r>
            <w:r>
              <w:rPr>
                <w:rFonts w:eastAsia="Times New Roman" w:cs="Arial"/>
                <w:b/>
                <w:lang w:eastAsia="en-AU"/>
              </w:rPr>
              <w:t>,</w:t>
            </w:r>
            <w:r w:rsidRPr="00676396">
              <w:rPr>
                <w:rFonts w:eastAsia="Times New Roman" w:cs="Arial"/>
                <w:b/>
                <w:lang w:eastAsia="en-AU"/>
              </w:rPr>
              <w:t>457</w:t>
            </w:r>
          </w:p>
        </w:tc>
      </w:tr>
      <w:tr w:rsidR="006B3CC1" w:rsidRPr="003324F1" w14:paraId="2CA99761" w14:textId="77777777" w:rsidTr="00F2448E">
        <w:trPr>
          <w:trHeight w:val="276"/>
        </w:trPr>
        <w:tc>
          <w:tcPr>
            <w:tcW w:w="2660" w:type="dxa"/>
            <w:shd w:val="clear" w:color="auto" w:fill="auto"/>
            <w:noWrap/>
            <w:hideMark/>
          </w:tcPr>
          <w:p w14:paraId="49F9FD10"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Psychiatrists</w:t>
            </w:r>
          </w:p>
        </w:tc>
        <w:tc>
          <w:tcPr>
            <w:tcW w:w="1176" w:type="dxa"/>
            <w:tcBorders>
              <w:right w:val="nil"/>
            </w:tcBorders>
            <w:shd w:val="clear" w:color="auto" w:fill="auto"/>
            <w:noWrap/>
            <w:vAlign w:val="center"/>
          </w:tcPr>
          <w:p w14:paraId="166E356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136</w:t>
            </w:r>
          </w:p>
        </w:tc>
        <w:tc>
          <w:tcPr>
            <w:tcW w:w="1177" w:type="dxa"/>
            <w:tcBorders>
              <w:left w:val="nil"/>
            </w:tcBorders>
            <w:shd w:val="clear" w:color="auto" w:fill="auto"/>
            <w:vAlign w:val="center"/>
          </w:tcPr>
          <w:p w14:paraId="1D030A5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135</w:t>
            </w:r>
          </w:p>
        </w:tc>
        <w:tc>
          <w:tcPr>
            <w:tcW w:w="1176" w:type="dxa"/>
            <w:tcBorders>
              <w:right w:val="nil"/>
            </w:tcBorders>
            <w:shd w:val="clear" w:color="auto" w:fill="auto"/>
            <w:noWrap/>
            <w:vAlign w:val="center"/>
          </w:tcPr>
          <w:p w14:paraId="18B1146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37</w:t>
            </w:r>
          </w:p>
        </w:tc>
        <w:tc>
          <w:tcPr>
            <w:tcW w:w="1177" w:type="dxa"/>
            <w:tcBorders>
              <w:left w:val="nil"/>
            </w:tcBorders>
            <w:shd w:val="clear" w:color="auto" w:fill="auto"/>
            <w:vAlign w:val="center"/>
          </w:tcPr>
          <w:p w14:paraId="5C68C15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37</w:t>
            </w:r>
          </w:p>
        </w:tc>
        <w:tc>
          <w:tcPr>
            <w:tcW w:w="1177" w:type="dxa"/>
            <w:tcBorders>
              <w:right w:val="nil"/>
            </w:tcBorders>
            <w:shd w:val="clear" w:color="auto" w:fill="auto"/>
            <w:noWrap/>
            <w:vAlign w:val="center"/>
          </w:tcPr>
          <w:p w14:paraId="39CDB4C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27</w:t>
            </w:r>
          </w:p>
        </w:tc>
        <w:tc>
          <w:tcPr>
            <w:tcW w:w="1176" w:type="dxa"/>
            <w:tcBorders>
              <w:left w:val="nil"/>
            </w:tcBorders>
            <w:shd w:val="clear" w:color="auto" w:fill="auto"/>
            <w:vAlign w:val="center"/>
          </w:tcPr>
          <w:p w14:paraId="239CA9B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27</w:t>
            </w:r>
          </w:p>
        </w:tc>
        <w:tc>
          <w:tcPr>
            <w:tcW w:w="1177" w:type="dxa"/>
            <w:tcBorders>
              <w:right w:val="nil"/>
            </w:tcBorders>
            <w:shd w:val="clear" w:color="auto" w:fill="auto"/>
            <w:noWrap/>
            <w:vAlign w:val="center"/>
          </w:tcPr>
          <w:p w14:paraId="4C274AD0"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10</w:t>
            </w:r>
          </w:p>
        </w:tc>
        <w:tc>
          <w:tcPr>
            <w:tcW w:w="1176" w:type="dxa"/>
            <w:tcBorders>
              <w:left w:val="nil"/>
            </w:tcBorders>
            <w:shd w:val="clear" w:color="auto" w:fill="auto"/>
            <w:vAlign w:val="center"/>
          </w:tcPr>
          <w:p w14:paraId="1A6DE10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10</w:t>
            </w:r>
          </w:p>
        </w:tc>
        <w:tc>
          <w:tcPr>
            <w:tcW w:w="1177" w:type="dxa"/>
            <w:tcBorders>
              <w:right w:val="nil"/>
            </w:tcBorders>
            <w:shd w:val="clear" w:color="auto" w:fill="auto"/>
            <w:noWrap/>
            <w:vAlign w:val="center"/>
          </w:tcPr>
          <w:p w14:paraId="045ED716"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173</w:t>
            </w:r>
          </w:p>
        </w:tc>
        <w:tc>
          <w:tcPr>
            <w:tcW w:w="1177" w:type="dxa"/>
            <w:tcBorders>
              <w:left w:val="nil"/>
            </w:tcBorders>
            <w:shd w:val="clear" w:color="auto" w:fill="auto"/>
            <w:vAlign w:val="center"/>
          </w:tcPr>
          <w:p w14:paraId="456E1F0A"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172</w:t>
            </w:r>
          </w:p>
        </w:tc>
      </w:tr>
      <w:tr w:rsidR="006B3CC1" w:rsidRPr="003324F1" w14:paraId="525485D2" w14:textId="77777777" w:rsidTr="00F2448E">
        <w:trPr>
          <w:trHeight w:val="276"/>
        </w:trPr>
        <w:tc>
          <w:tcPr>
            <w:tcW w:w="2660" w:type="dxa"/>
            <w:shd w:val="clear" w:color="auto" w:fill="DBE5F1" w:themeFill="accent1" w:themeFillTint="33"/>
            <w:noWrap/>
            <w:hideMark/>
          </w:tcPr>
          <w:p w14:paraId="0121286D"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176" w:type="dxa"/>
            <w:tcBorders>
              <w:right w:val="nil"/>
            </w:tcBorders>
            <w:shd w:val="clear" w:color="auto" w:fill="DBE5F1" w:themeFill="accent1" w:themeFillTint="33"/>
            <w:noWrap/>
            <w:vAlign w:val="center"/>
          </w:tcPr>
          <w:p w14:paraId="70189C4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11</w:t>
            </w:r>
            <w:r>
              <w:rPr>
                <w:rFonts w:eastAsia="Times New Roman" w:cs="Arial"/>
                <w:lang w:eastAsia="en-AU"/>
              </w:rPr>
              <w:t>,</w:t>
            </w:r>
            <w:r w:rsidRPr="00676396">
              <w:rPr>
                <w:rFonts w:eastAsia="Times New Roman" w:cs="Arial"/>
                <w:lang w:eastAsia="en-AU"/>
              </w:rPr>
              <w:t>801</w:t>
            </w:r>
          </w:p>
        </w:tc>
        <w:tc>
          <w:tcPr>
            <w:tcW w:w="1177" w:type="dxa"/>
            <w:tcBorders>
              <w:left w:val="nil"/>
            </w:tcBorders>
            <w:shd w:val="clear" w:color="auto" w:fill="DBE5F1" w:themeFill="accent1" w:themeFillTint="33"/>
            <w:vAlign w:val="center"/>
          </w:tcPr>
          <w:p w14:paraId="7B31842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10</w:t>
            </w:r>
            <w:r>
              <w:rPr>
                <w:rFonts w:eastAsia="Times New Roman" w:cs="Arial"/>
                <w:lang w:eastAsia="en-AU"/>
              </w:rPr>
              <w:t>,</w:t>
            </w:r>
            <w:r w:rsidRPr="00676396">
              <w:rPr>
                <w:rFonts w:eastAsia="Times New Roman" w:cs="Arial"/>
                <w:lang w:eastAsia="en-AU"/>
              </w:rPr>
              <w:t>898</w:t>
            </w:r>
          </w:p>
        </w:tc>
        <w:tc>
          <w:tcPr>
            <w:tcW w:w="1176" w:type="dxa"/>
            <w:tcBorders>
              <w:right w:val="nil"/>
            </w:tcBorders>
            <w:shd w:val="clear" w:color="auto" w:fill="DBE5F1" w:themeFill="accent1" w:themeFillTint="33"/>
            <w:noWrap/>
            <w:vAlign w:val="center"/>
          </w:tcPr>
          <w:p w14:paraId="35A892E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117</w:t>
            </w:r>
          </w:p>
        </w:tc>
        <w:tc>
          <w:tcPr>
            <w:tcW w:w="1177" w:type="dxa"/>
            <w:tcBorders>
              <w:left w:val="nil"/>
            </w:tcBorders>
            <w:shd w:val="clear" w:color="auto" w:fill="DBE5F1" w:themeFill="accent1" w:themeFillTint="33"/>
            <w:vAlign w:val="center"/>
          </w:tcPr>
          <w:p w14:paraId="1F19938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986</w:t>
            </w:r>
          </w:p>
        </w:tc>
        <w:tc>
          <w:tcPr>
            <w:tcW w:w="1177" w:type="dxa"/>
            <w:tcBorders>
              <w:right w:val="nil"/>
            </w:tcBorders>
            <w:shd w:val="clear" w:color="auto" w:fill="DBE5F1" w:themeFill="accent1" w:themeFillTint="33"/>
            <w:noWrap/>
            <w:vAlign w:val="center"/>
          </w:tcPr>
          <w:p w14:paraId="333E289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306</w:t>
            </w:r>
          </w:p>
        </w:tc>
        <w:tc>
          <w:tcPr>
            <w:tcW w:w="1176" w:type="dxa"/>
            <w:tcBorders>
              <w:left w:val="nil"/>
            </w:tcBorders>
            <w:shd w:val="clear" w:color="auto" w:fill="DBE5F1" w:themeFill="accent1" w:themeFillTint="33"/>
            <w:vAlign w:val="center"/>
          </w:tcPr>
          <w:p w14:paraId="72A814A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257</w:t>
            </w:r>
          </w:p>
        </w:tc>
        <w:tc>
          <w:tcPr>
            <w:tcW w:w="1177" w:type="dxa"/>
            <w:tcBorders>
              <w:right w:val="nil"/>
            </w:tcBorders>
            <w:shd w:val="clear" w:color="auto" w:fill="DBE5F1" w:themeFill="accent1" w:themeFillTint="33"/>
            <w:noWrap/>
            <w:vAlign w:val="center"/>
          </w:tcPr>
          <w:p w14:paraId="352E194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811</w:t>
            </w:r>
          </w:p>
        </w:tc>
        <w:tc>
          <w:tcPr>
            <w:tcW w:w="1176" w:type="dxa"/>
            <w:tcBorders>
              <w:left w:val="nil"/>
            </w:tcBorders>
            <w:shd w:val="clear" w:color="auto" w:fill="DBE5F1" w:themeFill="accent1" w:themeFillTint="33"/>
            <w:vAlign w:val="center"/>
          </w:tcPr>
          <w:p w14:paraId="448D5A8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787</w:t>
            </w:r>
          </w:p>
        </w:tc>
        <w:tc>
          <w:tcPr>
            <w:tcW w:w="1177" w:type="dxa"/>
            <w:tcBorders>
              <w:right w:val="nil"/>
            </w:tcBorders>
            <w:shd w:val="clear" w:color="auto" w:fill="DBE5F1" w:themeFill="accent1" w:themeFillTint="33"/>
            <w:noWrap/>
            <w:vAlign w:val="center"/>
          </w:tcPr>
          <w:p w14:paraId="7DD7497B"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16</w:t>
            </w:r>
            <w:r>
              <w:rPr>
                <w:rFonts w:eastAsia="Times New Roman" w:cs="Arial"/>
                <w:b/>
                <w:lang w:eastAsia="en-AU"/>
              </w:rPr>
              <w:t>,</w:t>
            </w:r>
            <w:r w:rsidRPr="00676396">
              <w:rPr>
                <w:rFonts w:eastAsia="Times New Roman" w:cs="Arial"/>
                <w:b/>
                <w:lang w:eastAsia="en-AU"/>
              </w:rPr>
              <w:t>918</w:t>
            </w:r>
          </w:p>
        </w:tc>
        <w:tc>
          <w:tcPr>
            <w:tcW w:w="1177" w:type="dxa"/>
            <w:tcBorders>
              <w:left w:val="nil"/>
            </w:tcBorders>
            <w:shd w:val="clear" w:color="auto" w:fill="DBE5F1" w:themeFill="accent1" w:themeFillTint="33"/>
            <w:vAlign w:val="center"/>
          </w:tcPr>
          <w:p w14:paraId="472ADC5C"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15</w:t>
            </w:r>
            <w:r>
              <w:rPr>
                <w:rFonts w:eastAsia="Times New Roman" w:cs="Arial"/>
                <w:b/>
                <w:lang w:eastAsia="en-AU"/>
              </w:rPr>
              <w:t>,</w:t>
            </w:r>
            <w:r w:rsidRPr="00676396">
              <w:rPr>
                <w:rFonts w:eastAsia="Times New Roman" w:cs="Arial"/>
                <w:b/>
                <w:lang w:eastAsia="en-AU"/>
              </w:rPr>
              <w:t>278</w:t>
            </w:r>
          </w:p>
        </w:tc>
      </w:tr>
      <w:tr w:rsidR="006B3CC1" w:rsidRPr="003324F1" w14:paraId="66CC83BC" w14:textId="77777777" w:rsidTr="00F2448E">
        <w:trPr>
          <w:trHeight w:val="276"/>
        </w:trPr>
        <w:tc>
          <w:tcPr>
            <w:tcW w:w="2660" w:type="dxa"/>
            <w:shd w:val="clear" w:color="auto" w:fill="auto"/>
            <w:noWrap/>
            <w:hideMark/>
          </w:tcPr>
          <w:p w14:paraId="0F9E9F4F"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1176" w:type="dxa"/>
            <w:tcBorders>
              <w:right w:val="nil"/>
            </w:tcBorders>
            <w:shd w:val="clear" w:color="auto" w:fill="auto"/>
            <w:noWrap/>
            <w:vAlign w:val="center"/>
          </w:tcPr>
          <w:p w14:paraId="5352614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18</w:t>
            </w:r>
            <w:r>
              <w:rPr>
                <w:rFonts w:eastAsia="Times New Roman" w:cs="Arial"/>
                <w:lang w:eastAsia="en-AU"/>
              </w:rPr>
              <w:t>,</w:t>
            </w:r>
            <w:r w:rsidRPr="00676396">
              <w:rPr>
                <w:rFonts w:eastAsia="Times New Roman" w:cs="Arial"/>
                <w:lang w:eastAsia="en-AU"/>
              </w:rPr>
              <w:t>428</w:t>
            </w:r>
          </w:p>
        </w:tc>
        <w:tc>
          <w:tcPr>
            <w:tcW w:w="1177" w:type="dxa"/>
            <w:tcBorders>
              <w:left w:val="nil"/>
            </w:tcBorders>
            <w:shd w:val="clear" w:color="auto" w:fill="auto"/>
            <w:vAlign w:val="center"/>
          </w:tcPr>
          <w:p w14:paraId="1A69E65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15</w:t>
            </w:r>
            <w:r>
              <w:rPr>
                <w:rFonts w:eastAsia="Times New Roman" w:cs="Arial"/>
                <w:lang w:eastAsia="en-AU"/>
              </w:rPr>
              <w:t>,</w:t>
            </w:r>
            <w:r w:rsidRPr="00676396">
              <w:rPr>
                <w:rFonts w:eastAsia="Times New Roman" w:cs="Arial"/>
                <w:lang w:eastAsia="en-AU"/>
              </w:rPr>
              <w:t>598</w:t>
            </w:r>
          </w:p>
        </w:tc>
        <w:tc>
          <w:tcPr>
            <w:tcW w:w="1176" w:type="dxa"/>
            <w:tcBorders>
              <w:right w:val="nil"/>
            </w:tcBorders>
            <w:shd w:val="clear" w:color="auto" w:fill="auto"/>
            <w:noWrap/>
            <w:vAlign w:val="center"/>
          </w:tcPr>
          <w:p w14:paraId="6BB738E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349</w:t>
            </w:r>
          </w:p>
        </w:tc>
        <w:tc>
          <w:tcPr>
            <w:tcW w:w="1177" w:type="dxa"/>
            <w:tcBorders>
              <w:left w:val="nil"/>
            </w:tcBorders>
            <w:shd w:val="clear" w:color="auto" w:fill="auto"/>
            <w:vAlign w:val="center"/>
          </w:tcPr>
          <w:p w14:paraId="6F0EDBD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098</w:t>
            </w:r>
          </w:p>
        </w:tc>
        <w:tc>
          <w:tcPr>
            <w:tcW w:w="1177" w:type="dxa"/>
            <w:tcBorders>
              <w:right w:val="nil"/>
            </w:tcBorders>
            <w:shd w:val="clear" w:color="auto" w:fill="auto"/>
            <w:noWrap/>
            <w:vAlign w:val="center"/>
          </w:tcPr>
          <w:p w14:paraId="2813E25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713</w:t>
            </w:r>
          </w:p>
        </w:tc>
        <w:tc>
          <w:tcPr>
            <w:tcW w:w="1176" w:type="dxa"/>
            <w:tcBorders>
              <w:left w:val="nil"/>
            </w:tcBorders>
            <w:shd w:val="clear" w:color="auto" w:fill="auto"/>
            <w:vAlign w:val="center"/>
          </w:tcPr>
          <w:p w14:paraId="1DDE7EA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644</w:t>
            </w:r>
          </w:p>
        </w:tc>
        <w:tc>
          <w:tcPr>
            <w:tcW w:w="1177" w:type="dxa"/>
            <w:tcBorders>
              <w:right w:val="nil"/>
            </w:tcBorders>
            <w:shd w:val="clear" w:color="auto" w:fill="auto"/>
            <w:noWrap/>
            <w:vAlign w:val="center"/>
          </w:tcPr>
          <w:p w14:paraId="7BAE2AE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636</w:t>
            </w:r>
          </w:p>
        </w:tc>
        <w:tc>
          <w:tcPr>
            <w:tcW w:w="1176" w:type="dxa"/>
            <w:tcBorders>
              <w:left w:val="nil"/>
            </w:tcBorders>
            <w:shd w:val="clear" w:color="auto" w:fill="auto"/>
            <w:vAlign w:val="center"/>
          </w:tcPr>
          <w:p w14:paraId="63B0D66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574</w:t>
            </w:r>
          </w:p>
        </w:tc>
        <w:tc>
          <w:tcPr>
            <w:tcW w:w="1177" w:type="dxa"/>
            <w:tcBorders>
              <w:right w:val="nil"/>
            </w:tcBorders>
            <w:shd w:val="clear" w:color="auto" w:fill="auto"/>
            <w:noWrap/>
            <w:vAlign w:val="center"/>
          </w:tcPr>
          <w:p w14:paraId="121D27D3"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24</w:t>
            </w:r>
            <w:r>
              <w:rPr>
                <w:rFonts w:eastAsia="Times New Roman" w:cs="Arial"/>
                <w:b/>
                <w:lang w:eastAsia="en-AU"/>
              </w:rPr>
              <w:t>,</w:t>
            </w:r>
            <w:r w:rsidRPr="00676396">
              <w:rPr>
                <w:rFonts w:eastAsia="Times New Roman" w:cs="Arial"/>
                <w:b/>
                <w:lang w:eastAsia="en-AU"/>
              </w:rPr>
              <w:t>777</w:t>
            </w:r>
          </w:p>
        </w:tc>
        <w:tc>
          <w:tcPr>
            <w:tcW w:w="1177" w:type="dxa"/>
            <w:tcBorders>
              <w:left w:val="nil"/>
            </w:tcBorders>
            <w:shd w:val="clear" w:color="auto" w:fill="auto"/>
            <w:vAlign w:val="center"/>
          </w:tcPr>
          <w:p w14:paraId="038D824D"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20</w:t>
            </w:r>
            <w:r>
              <w:rPr>
                <w:rFonts w:eastAsia="Times New Roman" w:cs="Arial"/>
                <w:b/>
                <w:lang w:eastAsia="en-AU"/>
              </w:rPr>
              <w:t>,</w:t>
            </w:r>
            <w:r w:rsidRPr="00676396">
              <w:rPr>
                <w:rFonts w:eastAsia="Times New Roman" w:cs="Arial"/>
                <w:b/>
                <w:lang w:eastAsia="en-AU"/>
              </w:rPr>
              <w:t>244</w:t>
            </w:r>
          </w:p>
        </w:tc>
      </w:tr>
      <w:tr w:rsidR="006B3CC1" w:rsidRPr="00FD6E8E" w14:paraId="6767D7F2" w14:textId="77777777" w:rsidTr="00F2448E">
        <w:trPr>
          <w:trHeight w:val="276"/>
        </w:trPr>
        <w:tc>
          <w:tcPr>
            <w:tcW w:w="2660" w:type="dxa"/>
            <w:shd w:val="clear" w:color="auto" w:fill="B8CCE4" w:themeFill="accent1" w:themeFillTint="66"/>
            <w:noWrap/>
            <w:hideMark/>
          </w:tcPr>
          <w:p w14:paraId="4EE6B33D" w14:textId="77777777" w:rsidR="006B3CC1" w:rsidRPr="00FD6E8E" w:rsidRDefault="006B3CC1"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1176" w:type="dxa"/>
            <w:tcBorders>
              <w:right w:val="nil"/>
            </w:tcBorders>
            <w:shd w:val="clear" w:color="auto" w:fill="B8CCE4" w:themeFill="accent1" w:themeFillTint="66"/>
            <w:noWrap/>
            <w:vAlign w:val="center"/>
          </w:tcPr>
          <w:p w14:paraId="0377133D"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30</w:t>
            </w:r>
            <w:r>
              <w:rPr>
                <w:rFonts w:eastAsia="Times New Roman" w:cs="Arial"/>
                <w:b/>
                <w:lang w:eastAsia="en-AU"/>
              </w:rPr>
              <w:t>,</w:t>
            </w:r>
            <w:r w:rsidRPr="00676396">
              <w:rPr>
                <w:rFonts w:eastAsia="Times New Roman" w:cs="Arial"/>
                <w:b/>
                <w:lang w:eastAsia="en-AU"/>
              </w:rPr>
              <w:t>229</w:t>
            </w:r>
          </w:p>
        </w:tc>
        <w:tc>
          <w:tcPr>
            <w:tcW w:w="1177" w:type="dxa"/>
            <w:tcBorders>
              <w:left w:val="nil"/>
            </w:tcBorders>
            <w:shd w:val="clear" w:color="auto" w:fill="B8CCE4" w:themeFill="accent1" w:themeFillTint="66"/>
            <w:vAlign w:val="center"/>
          </w:tcPr>
          <w:p w14:paraId="0A29CA1B"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24</w:t>
            </w:r>
            <w:r>
              <w:rPr>
                <w:rFonts w:eastAsia="Times New Roman" w:cs="Arial"/>
                <w:b/>
                <w:lang w:eastAsia="en-AU"/>
              </w:rPr>
              <w:t>,</w:t>
            </w:r>
            <w:r w:rsidRPr="00676396">
              <w:rPr>
                <w:rFonts w:eastAsia="Times New Roman" w:cs="Arial"/>
                <w:b/>
                <w:lang w:eastAsia="en-AU"/>
              </w:rPr>
              <w:t>603</w:t>
            </w:r>
          </w:p>
        </w:tc>
        <w:tc>
          <w:tcPr>
            <w:tcW w:w="1176" w:type="dxa"/>
            <w:tcBorders>
              <w:right w:val="nil"/>
            </w:tcBorders>
            <w:shd w:val="clear" w:color="auto" w:fill="B8CCE4" w:themeFill="accent1" w:themeFillTint="66"/>
            <w:noWrap/>
            <w:vAlign w:val="center"/>
          </w:tcPr>
          <w:p w14:paraId="003B111B"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466</w:t>
            </w:r>
          </w:p>
        </w:tc>
        <w:tc>
          <w:tcPr>
            <w:tcW w:w="1177" w:type="dxa"/>
            <w:tcBorders>
              <w:left w:val="nil"/>
            </w:tcBorders>
            <w:shd w:val="clear" w:color="auto" w:fill="B8CCE4" w:themeFill="accent1" w:themeFillTint="66"/>
            <w:vAlign w:val="center"/>
          </w:tcPr>
          <w:p w14:paraId="750BDB1F"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841</w:t>
            </w:r>
          </w:p>
        </w:tc>
        <w:tc>
          <w:tcPr>
            <w:tcW w:w="1177" w:type="dxa"/>
            <w:tcBorders>
              <w:right w:val="nil"/>
            </w:tcBorders>
            <w:shd w:val="clear" w:color="auto" w:fill="B8CCE4" w:themeFill="accent1" w:themeFillTint="66"/>
            <w:noWrap/>
            <w:vAlign w:val="center"/>
          </w:tcPr>
          <w:p w14:paraId="62E23BCF"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019</w:t>
            </w:r>
          </w:p>
        </w:tc>
        <w:tc>
          <w:tcPr>
            <w:tcW w:w="1176" w:type="dxa"/>
            <w:tcBorders>
              <w:left w:val="nil"/>
            </w:tcBorders>
            <w:shd w:val="clear" w:color="auto" w:fill="B8CCE4" w:themeFill="accent1" w:themeFillTint="66"/>
            <w:vAlign w:val="center"/>
          </w:tcPr>
          <w:p w14:paraId="1C1D4CB1"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818</w:t>
            </w:r>
          </w:p>
        </w:tc>
        <w:tc>
          <w:tcPr>
            <w:tcW w:w="1177" w:type="dxa"/>
            <w:tcBorders>
              <w:right w:val="nil"/>
            </w:tcBorders>
            <w:shd w:val="clear" w:color="auto" w:fill="B8CCE4" w:themeFill="accent1" w:themeFillTint="66"/>
            <w:noWrap/>
            <w:vAlign w:val="center"/>
          </w:tcPr>
          <w:p w14:paraId="2B13E9A2"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447</w:t>
            </w:r>
          </w:p>
        </w:tc>
        <w:tc>
          <w:tcPr>
            <w:tcW w:w="1176" w:type="dxa"/>
            <w:tcBorders>
              <w:left w:val="nil"/>
            </w:tcBorders>
            <w:shd w:val="clear" w:color="auto" w:fill="B8CCE4" w:themeFill="accent1" w:themeFillTint="66"/>
            <w:vAlign w:val="center"/>
          </w:tcPr>
          <w:p w14:paraId="35F6C2B2"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316</w:t>
            </w:r>
          </w:p>
        </w:tc>
        <w:tc>
          <w:tcPr>
            <w:tcW w:w="1177" w:type="dxa"/>
            <w:tcBorders>
              <w:right w:val="nil"/>
            </w:tcBorders>
            <w:shd w:val="clear" w:color="auto" w:fill="B8CCE4" w:themeFill="accent1" w:themeFillTint="66"/>
            <w:noWrap/>
            <w:vAlign w:val="center"/>
          </w:tcPr>
          <w:p w14:paraId="5697EE25"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41</w:t>
            </w:r>
            <w:r>
              <w:rPr>
                <w:rFonts w:eastAsia="Times New Roman" w:cs="Arial"/>
                <w:b/>
                <w:lang w:eastAsia="en-AU"/>
              </w:rPr>
              <w:t>,</w:t>
            </w:r>
            <w:r w:rsidRPr="00676396">
              <w:rPr>
                <w:rFonts w:eastAsia="Times New Roman" w:cs="Arial"/>
                <w:b/>
                <w:lang w:eastAsia="en-AU"/>
              </w:rPr>
              <w:t>695</w:t>
            </w:r>
          </w:p>
        </w:tc>
        <w:tc>
          <w:tcPr>
            <w:tcW w:w="1177" w:type="dxa"/>
            <w:tcBorders>
              <w:left w:val="nil"/>
            </w:tcBorders>
            <w:shd w:val="clear" w:color="auto" w:fill="B8CCE4" w:themeFill="accent1" w:themeFillTint="66"/>
            <w:vAlign w:val="center"/>
          </w:tcPr>
          <w:p w14:paraId="1D97E639"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32</w:t>
            </w:r>
            <w:r>
              <w:rPr>
                <w:rFonts w:eastAsia="Times New Roman" w:cs="Arial"/>
                <w:b/>
                <w:lang w:eastAsia="en-AU"/>
              </w:rPr>
              <w:t>,</w:t>
            </w:r>
            <w:r w:rsidRPr="00676396">
              <w:rPr>
                <w:rFonts w:eastAsia="Times New Roman" w:cs="Arial"/>
                <w:b/>
                <w:lang w:eastAsia="en-AU"/>
              </w:rPr>
              <w:t>424</w:t>
            </w:r>
          </w:p>
        </w:tc>
      </w:tr>
    </w:tbl>
    <w:p w14:paraId="15D44472" w14:textId="77777777" w:rsidR="009654BA" w:rsidRDefault="009654BA" w:rsidP="00B15586">
      <w:pPr>
        <w:spacing w:after="200" w:line="276" w:lineRule="auto"/>
      </w:pPr>
      <w:r>
        <w:br w:type="page"/>
      </w:r>
    </w:p>
    <w:p w14:paraId="0B52819D" w14:textId="77777777" w:rsidR="00A269A5" w:rsidRDefault="00A269A5" w:rsidP="0095311F">
      <w:pPr>
        <w:pStyle w:val="Figureheading"/>
      </w:pPr>
      <w:r>
        <w:lastRenderedPageBreak/>
        <w:t>3.2</w:t>
      </w:r>
      <w:r w:rsidR="007B717D">
        <w:t>5</w:t>
      </w:r>
      <w:r>
        <w:tab/>
      </w:r>
      <w:r w:rsidR="006B3CC1" w:rsidRPr="00D74CC3">
        <w:t xml:space="preserve">Number of reports </w:t>
      </w:r>
      <w:r>
        <w:t xml:space="preserve">for 2009, </w:t>
      </w:r>
      <w:r w:rsidR="006B3CC1" w:rsidRPr="00D74CC3">
        <w:t>by abuse type,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70"/>
        <w:gridCol w:w="1471"/>
        <w:gridCol w:w="1471"/>
        <w:gridCol w:w="1471"/>
        <w:gridCol w:w="1470"/>
        <w:gridCol w:w="1471"/>
        <w:gridCol w:w="1471"/>
        <w:gridCol w:w="1471"/>
      </w:tblGrid>
      <w:tr w:rsidR="006B3CC1" w:rsidRPr="00F44E7A" w14:paraId="28EF83FC" w14:textId="77777777" w:rsidTr="00137AE1">
        <w:trPr>
          <w:trHeight w:val="365"/>
          <w:tblHeader/>
        </w:trPr>
        <w:tc>
          <w:tcPr>
            <w:tcW w:w="2660" w:type="dxa"/>
            <w:shd w:val="clear" w:color="auto" w:fill="B8CCE4" w:themeFill="accent1" w:themeFillTint="66"/>
            <w:noWrap/>
            <w:hideMark/>
          </w:tcPr>
          <w:p w14:paraId="77432059" w14:textId="77777777" w:rsidR="006B3CC1" w:rsidRPr="00F44E7A" w:rsidRDefault="006B3CC1" w:rsidP="00CE2FDF">
            <w:pPr>
              <w:spacing w:before="0" w:line="276" w:lineRule="auto"/>
              <w:rPr>
                <w:rFonts w:eastAsia="Times New Roman" w:cs="Arial"/>
                <w:b/>
                <w:lang w:eastAsia="en-AU"/>
              </w:rPr>
            </w:pPr>
          </w:p>
        </w:tc>
        <w:tc>
          <w:tcPr>
            <w:tcW w:w="2941" w:type="dxa"/>
            <w:gridSpan w:val="2"/>
            <w:shd w:val="clear" w:color="auto" w:fill="B8CCE4" w:themeFill="accent1" w:themeFillTint="66"/>
            <w:noWrap/>
            <w:vAlign w:val="center"/>
            <w:hideMark/>
          </w:tcPr>
          <w:p w14:paraId="653CFF00" w14:textId="77777777" w:rsidR="006B3CC1" w:rsidRPr="00F44E7A" w:rsidRDefault="006B3CC1"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700F88D3" w14:textId="77777777" w:rsidR="006B3CC1" w:rsidRPr="00F44E7A" w:rsidRDefault="006B3CC1"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1F010116" w14:textId="77777777" w:rsidR="006B3CC1" w:rsidRPr="00F44E7A" w:rsidRDefault="006B3CC1"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04937B58" w14:textId="77777777" w:rsidR="006B3CC1" w:rsidRPr="00F44E7A" w:rsidRDefault="006B3CC1"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6B3CC1" w:rsidRPr="00F44E7A" w14:paraId="6128E14C" w14:textId="77777777" w:rsidTr="00137AE1">
        <w:trPr>
          <w:trHeight w:val="271"/>
          <w:tblHeader/>
        </w:trPr>
        <w:tc>
          <w:tcPr>
            <w:tcW w:w="2660" w:type="dxa"/>
            <w:shd w:val="clear" w:color="auto" w:fill="B8CCE4" w:themeFill="accent1" w:themeFillTint="66"/>
            <w:noWrap/>
            <w:hideMark/>
          </w:tcPr>
          <w:p w14:paraId="07A72A0D" w14:textId="77777777" w:rsidR="006B3CC1" w:rsidRPr="00F44E7A" w:rsidRDefault="006B3CC1" w:rsidP="00CE2FDF">
            <w:pPr>
              <w:spacing w:before="0" w:line="276"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3304DD7C" w14:textId="77777777" w:rsidR="006B3CC1" w:rsidRPr="00F44E7A" w:rsidRDefault="006B3CC1"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5CB1B0B1" w14:textId="77777777" w:rsidR="006B3CC1" w:rsidRPr="00F44E7A" w:rsidRDefault="006B3CC1"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27D45D8E" w14:textId="77777777" w:rsidR="006B3CC1" w:rsidRPr="00F44E7A" w:rsidRDefault="006B3CC1"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1915CF9A" w14:textId="77777777" w:rsidR="006B3CC1" w:rsidRPr="00F44E7A" w:rsidRDefault="006B3CC1" w:rsidP="00CE2FDF">
            <w:pPr>
              <w:spacing w:before="0" w:line="276"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74CA1791" w14:textId="77777777" w:rsidR="006B3CC1" w:rsidRPr="00F44E7A" w:rsidRDefault="006B3CC1"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07F7009A" w14:textId="77777777" w:rsidR="006B3CC1" w:rsidRPr="00F44E7A" w:rsidRDefault="006B3CC1"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29DECF37" w14:textId="77777777" w:rsidR="006B3CC1" w:rsidRPr="00F44E7A" w:rsidRDefault="006B3CC1"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3C03E74" w14:textId="77777777" w:rsidR="006B3CC1" w:rsidRPr="00F44E7A" w:rsidRDefault="006B3CC1" w:rsidP="00CE2FDF">
            <w:pPr>
              <w:spacing w:before="0" w:line="276" w:lineRule="auto"/>
              <w:jc w:val="right"/>
              <w:rPr>
                <w:rFonts w:eastAsia="Times New Roman" w:cs="Arial"/>
                <w:b/>
                <w:lang w:eastAsia="en-AU"/>
              </w:rPr>
            </w:pPr>
            <w:r>
              <w:rPr>
                <w:rFonts w:eastAsia="Times New Roman" w:cs="Arial"/>
                <w:b/>
                <w:lang w:eastAsia="en-AU"/>
              </w:rPr>
              <w:t>Children</w:t>
            </w:r>
          </w:p>
        </w:tc>
      </w:tr>
      <w:tr w:rsidR="006B3CC1" w:rsidRPr="003324F1" w14:paraId="575844D9" w14:textId="77777777" w:rsidTr="00F2448E">
        <w:trPr>
          <w:trHeight w:val="276"/>
        </w:trPr>
        <w:tc>
          <w:tcPr>
            <w:tcW w:w="2660" w:type="dxa"/>
            <w:noWrap/>
            <w:hideMark/>
          </w:tcPr>
          <w:p w14:paraId="785815CB" w14:textId="77777777" w:rsidR="006B3CC1" w:rsidRPr="00F44E7A" w:rsidRDefault="006B3CC1" w:rsidP="00CE2FDF">
            <w:pPr>
              <w:spacing w:before="0" w:line="276" w:lineRule="auto"/>
              <w:rPr>
                <w:rFonts w:eastAsia="Times New Roman" w:cs="Arial"/>
                <w:b/>
                <w:lang w:eastAsia="en-AU"/>
              </w:rPr>
            </w:pPr>
            <w:r w:rsidRPr="00F44E7A">
              <w:rPr>
                <w:rFonts w:eastAsia="Times New Roman" w:cs="Arial"/>
                <w:b/>
                <w:lang w:eastAsia="en-AU"/>
              </w:rPr>
              <w:t>Doctors</w:t>
            </w:r>
          </w:p>
        </w:tc>
        <w:tc>
          <w:tcPr>
            <w:tcW w:w="1470" w:type="dxa"/>
            <w:tcBorders>
              <w:right w:val="nil"/>
            </w:tcBorders>
            <w:noWrap/>
            <w:vAlign w:val="center"/>
          </w:tcPr>
          <w:p w14:paraId="6649103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310</w:t>
            </w:r>
          </w:p>
        </w:tc>
        <w:tc>
          <w:tcPr>
            <w:tcW w:w="1471" w:type="dxa"/>
            <w:tcBorders>
              <w:left w:val="nil"/>
            </w:tcBorders>
            <w:vAlign w:val="center"/>
          </w:tcPr>
          <w:p w14:paraId="1C01125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306</w:t>
            </w:r>
          </w:p>
        </w:tc>
        <w:tc>
          <w:tcPr>
            <w:tcW w:w="1471" w:type="dxa"/>
            <w:tcBorders>
              <w:right w:val="nil"/>
            </w:tcBorders>
            <w:noWrap/>
            <w:vAlign w:val="center"/>
          </w:tcPr>
          <w:p w14:paraId="702931B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132</w:t>
            </w:r>
          </w:p>
        </w:tc>
        <w:tc>
          <w:tcPr>
            <w:tcW w:w="1471" w:type="dxa"/>
            <w:tcBorders>
              <w:left w:val="nil"/>
            </w:tcBorders>
            <w:vAlign w:val="center"/>
          </w:tcPr>
          <w:p w14:paraId="7765872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132</w:t>
            </w:r>
          </w:p>
        </w:tc>
        <w:tc>
          <w:tcPr>
            <w:tcW w:w="1470" w:type="dxa"/>
            <w:tcBorders>
              <w:right w:val="nil"/>
            </w:tcBorders>
            <w:noWrap/>
            <w:vAlign w:val="center"/>
          </w:tcPr>
          <w:p w14:paraId="0CFEFA9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407</w:t>
            </w:r>
          </w:p>
        </w:tc>
        <w:tc>
          <w:tcPr>
            <w:tcW w:w="1471" w:type="dxa"/>
            <w:tcBorders>
              <w:left w:val="nil"/>
            </w:tcBorders>
            <w:vAlign w:val="center"/>
          </w:tcPr>
          <w:p w14:paraId="2CE09D2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405</w:t>
            </w:r>
          </w:p>
        </w:tc>
        <w:tc>
          <w:tcPr>
            <w:tcW w:w="1471" w:type="dxa"/>
            <w:tcBorders>
              <w:right w:val="nil"/>
            </w:tcBorders>
            <w:noWrap/>
            <w:vAlign w:val="center"/>
          </w:tcPr>
          <w:p w14:paraId="3FFA4F7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219</w:t>
            </w:r>
          </w:p>
        </w:tc>
        <w:tc>
          <w:tcPr>
            <w:tcW w:w="1471" w:type="dxa"/>
            <w:tcBorders>
              <w:left w:val="nil"/>
            </w:tcBorders>
            <w:vAlign w:val="center"/>
          </w:tcPr>
          <w:p w14:paraId="00C66D3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215</w:t>
            </w:r>
          </w:p>
        </w:tc>
      </w:tr>
      <w:tr w:rsidR="006B3CC1" w:rsidRPr="003324F1" w14:paraId="33B9007B" w14:textId="77777777" w:rsidTr="00F2448E">
        <w:trPr>
          <w:trHeight w:val="276"/>
        </w:trPr>
        <w:tc>
          <w:tcPr>
            <w:tcW w:w="2660" w:type="dxa"/>
            <w:shd w:val="clear" w:color="auto" w:fill="DBE5F1" w:themeFill="accent1" w:themeFillTint="33"/>
            <w:noWrap/>
            <w:hideMark/>
          </w:tcPr>
          <w:p w14:paraId="70561451" w14:textId="77777777" w:rsidR="006B3CC1" w:rsidRPr="00F44E7A" w:rsidRDefault="006B3CC1" w:rsidP="00CE2FDF">
            <w:pPr>
              <w:spacing w:before="0" w:line="276" w:lineRule="auto"/>
              <w:rPr>
                <w:rFonts w:eastAsia="Times New Roman" w:cs="Arial"/>
                <w:b/>
                <w:lang w:eastAsia="en-AU"/>
              </w:rPr>
            </w:pPr>
            <w:r w:rsidRPr="00F44E7A">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31566AC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529</w:t>
            </w:r>
          </w:p>
        </w:tc>
        <w:tc>
          <w:tcPr>
            <w:tcW w:w="1471" w:type="dxa"/>
            <w:tcBorders>
              <w:left w:val="nil"/>
            </w:tcBorders>
            <w:shd w:val="clear" w:color="auto" w:fill="DBE5F1" w:themeFill="accent1" w:themeFillTint="33"/>
            <w:vAlign w:val="center"/>
          </w:tcPr>
          <w:p w14:paraId="5B4B17C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527</w:t>
            </w:r>
          </w:p>
        </w:tc>
        <w:tc>
          <w:tcPr>
            <w:tcW w:w="1471" w:type="dxa"/>
            <w:tcBorders>
              <w:right w:val="nil"/>
            </w:tcBorders>
            <w:shd w:val="clear" w:color="auto" w:fill="DBE5F1" w:themeFill="accent1" w:themeFillTint="33"/>
            <w:noWrap/>
            <w:vAlign w:val="center"/>
          </w:tcPr>
          <w:p w14:paraId="6ADD068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237</w:t>
            </w:r>
          </w:p>
        </w:tc>
        <w:tc>
          <w:tcPr>
            <w:tcW w:w="1471" w:type="dxa"/>
            <w:tcBorders>
              <w:left w:val="nil"/>
            </w:tcBorders>
            <w:shd w:val="clear" w:color="auto" w:fill="DBE5F1" w:themeFill="accent1" w:themeFillTint="33"/>
            <w:vAlign w:val="center"/>
          </w:tcPr>
          <w:p w14:paraId="3C519C2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233</w:t>
            </w:r>
          </w:p>
        </w:tc>
        <w:tc>
          <w:tcPr>
            <w:tcW w:w="1470" w:type="dxa"/>
            <w:tcBorders>
              <w:right w:val="nil"/>
            </w:tcBorders>
            <w:shd w:val="clear" w:color="auto" w:fill="DBE5F1" w:themeFill="accent1" w:themeFillTint="33"/>
            <w:noWrap/>
            <w:vAlign w:val="center"/>
          </w:tcPr>
          <w:p w14:paraId="21E055E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423</w:t>
            </w:r>
          </w:p>
        </w:tc>
        <w:tc>
          <w:tcPr>
            <w:tcW w:w="1471" w:type="dxa"/>
            <w:tcBorders>
              <w:left w:val="nil"/>
            </w:tcBorders>
            <w:shd w:val="clear" w:color="auto" w:fill="DBE5F1" w:themeFill="accent1" w:themeFillTint="33"/>
            <w:vAlign w:val="center"/>
          </w:tcPr>
          <w:p w14:paraId="364CD25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418</w:t>
            </w:r>
          </w:p>
        </w:tc>
        <w:tc>
          <w:tcPr>
            <w:tcW w:w="1471" w:type="dxa"/>
            <w:tcBorders>
              <w:right w:val="nil"/>
            </w:tcBorders>
            <w:shd w:val="clear" w:color="auto" w:fill="DBE5F1" w:themeFill="accent1" w:themeFillTint="33"/>
            <w:noWrap/>
            <w:vAlign w:val="center"/>
          </w:tcPr>
          <w:p w14:paraId="3C2F2A4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70</w:t>
            </w:r>
          </w:p>
        </w:tc>
        <w:tc>
          <w:tcPr>
            <w:tcW w:w="1471" w:type="dxa"/>
            <w:tcBorders>
              <w:left w:val="nil"/>
            </w:tcBorders>
            <w:shd w:val="clear" w:color="auto" w:fill="DBE5F1" w:themeFill="accent1" w:themeFillTint="33"/>
            <w:vAlign w:val="center"/>
          </w:tcPr>
          <w:p w14:paraId="7874CBB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70</w:t>
            </w:r>
          </w:p>
        </w:tc>
      </w:tr>
      <w:tr w:rsidR="006B3CC1" w:rsidRPr="003324F1" w14:paraId="730B8887" w14:textId="77777777" w:rsidTr="00F2448E">
        <w:trPr>
          <w:trHeight w:val="276"/>
        </w:trPr>
        <w:tc>
          <w:tcPr>
            <w:tcW w:w="2660" w:type="dxa"/>
            <w:noWrap/>
            <w:hideMark/>
          </w:tcPr>
          <w:p w14:paraId="5B543B09" w14:textId="77777777" w:rsidR="006B3CC1" w:rsidRPr="00F44E7A" w:rsidRDefault="006B3CC1" w:rsidP="00CE2FDF">
            <w:pPr>
              <w:spacing w:before="0" w:line="276"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noWrap/>
            <w:vAlign w:val="center"/>
          </w:tcPr>
          <w:p w14:paraId="4969A5A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958</w:t>
            </w:r>
          </w:p>
        </w:tc>
        <w:tc>
          <w:tcPr>
            <w:tcW w:w="1471" w:type="dxa"/>
            <w:tcBorders>
              <w:left w:val="nil"/>
            </w:tcBorders>
            <w:vAlign w:val="center"/>
          </w:tcPr>
          <w:p w14:paraId="7503F7C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615</w:t>
            </w:r>
          </w:p>
        </w:tc>
        <w:tc>
          <w:tcPr>
            <w:tcW w:w="1471" w:type="dxa"/>
            <w:tcBorders>
              <w:right w:val="nil"/>
            </w:tcBorders>
            <w:noWrap/>
            <w:vAlign w:val="center"/>
          </w:tcPr>
          <w:p w14:paraId="3444F1B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507</w:t>
            </w:r>
          </w:p>
        </w:tc>
        <w:tc>
          <w:tcPr>
            <w:tcW w:w="1471" w:type="dxa"/>
            <w:tcBorders>
              <w:left w:val="nil"/>
            </w:tcBorders>
            <w:vAlign w:val="center"/>
          </w:tcPr>
          <w:p w14:paraId="53F9FFA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505</w:t>
            </w:r>
          </w:p>
        </w:tc>
        <w:tc>
          <w:tcPr>
            <w:tcW w:w="1470" w:type="dxa"/>
            <w:tcBorders>
              <w:right w:val="nil"/>
            </w:tcBorders>
            <w:noWrap/>
            <w:vAlign w:val="center"/>
          </w:tcPr>
          <w:p w14:paraId="38D275E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819</w:t>
            </w:r>
          </w:p>
        </w:tc>
        <w:tc>
          <w:tcPr>
            <w:tcW w:w="1471" w:type="dxa"/>
            <w:tcBorders>
              <w:left w:val="nil"/>
            </w:tcBorders>
            <w:vAlign w:val="center"/>
          </w:tcPr>
          <w:p w14:paraId="7D01E18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767</w:t>
            </w:r>
          </w:p>
        </w:tc>
        <w:tc>
          <w:tcPr>
            <w:tcW w:w="1471" w:type="dxa"/>
            <w:tcBorders>
              <w:right w:val="nil"/>
            </w:tcBorders>
            <w:noWrap/>
            <w:vAlign w:val="center"/>
          </w:tcPr>
          <w:p w14:paraId="4C35E43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919</w:t>
            </w:r>
          </w:p>
        </w:tc>
        <w:tc>
          <w:tcPr>
            <w:tcW w:w="1471" w:type="dxa"/>
            <w:tcBorders>
              <w:left w:val="nil"/>
            </w:tcBorders>
            <w:vAlign w:val="center"/>
          </w:tcPr>
          <w:p w14:paraId="4A81DD1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906</w:t>
            </w:r>
          </w:p>
        </w:tc>
      </w:tr>
      <w:tr w:rsidR="006B3CC1" w:rsidRPr="003324F1" w14:paraId="1629161B" w14:textId="77777777" w:rsidTr="00F2448E">
        <w:trPr>
          <w:trHeight w:val="276"/>
        </w:trPr>
        <w:tc>
          <w:tcPr>
            <w:tcW w:w="2660" w:type="dxa"/>
            <w:shd w:val="clear" w:color="auto" w:fill="DBE5F1" w:themeFill="accent1" w:themeFillTint="33"/>
            <w:noWrap/>
            <w:hideMark/>
          </w:tcPr>
          <w:p w14:paraId="1C81A6B2"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DBE5F1" w:themeFill="accent1" w:themeFillTint="33"/>
            <w:noWrap/>
            <w:vAlign w:val="center"/>
          </w:tcPr>
          <w:p w14:paraId="34E4B3A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384</w:t>
            </w:r>
          </w:p>
        </w:tc>
        <w:tc>
          <w:tcPr>
            <w:tcW w:w="1471" w:type="dxa"/>
            <w:tcBorders>
              <w:left w:val="nil"/>
            </w:tcBorders>
            <w:shd w:val="clear" w:color="auto" w:fill="DBE5F1" w:themeFill="accent1" w:themeFillTint="33"/>
            <w:vAlign w:val="center"/>
          </w:tcPr>
          <w:p w14:paraId="44CE232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257</w:t>
            </w:r>
          </w:p>
        </w:tc>
        <w:tc>
          <w:tcPr>
            <w:tcW w:w="1471" w:type="dxa"/>
            <w:tcBorders>
              <w:right w:val="nil"/>
            </w:tcBorders>
            <w:shd w:val="clear" w:color="auto" w:fill="DBE5F1" w:themeFill="accent1" w:themeFillTint="33"/>
            <w:noWrap/>
            <w:vAlign w:val="center"/>
          </w:tcPr>
          <w:p w14:paraId="3328770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534</w:t>
            </w:r>
          </w:p>
        </w:tc>
        <w:tc>
          <w:tcPr>
            <w:tcW w:w="1471" w:type="dxa"/>
            <w:tcBorders>
              <w:left w:val="nil"/>
            </w:tcBorders>
            <w:shd w:val="clear" w:color="auto" w:fill="DBE5F1" w:themeFill="accent1" w:themeFillTint="33"/>
            <w:vAlign w:val="center"/>
          </w:tcPr>
          <w:p w14:paraId="326BF14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514</w:t>
            </w:r>
          </w:p>
        </w:tc>
        <w:tc>
          <w:tcPr>
            <w:tcW w:w="1470" w:type="dxa"/>
            <w:tcBorders>
              <w:right w:val="nil"/>
            </w:tcBorders>
            <w:shd w:val="clear" w:color="auto" w:fill="DBE5F1" w:themeFill="accent1" w:themeFillTint="33"/>
            <w:noWrap/>
            <w:vAlign w:val="center"/>
          </w:tcPr>
          <w:p w14:paraId="7215376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220</w:t>
            </w:r>
          </w:p>
        </w:tc>
        <w:tc>
          <w:tcPr>
            <w:tcW w:w="1471" w:type="dxa"/>
            <w:tcBorders>
              <w:left w:val="nil"/>
            </w:tcBorders>
            <w:shd w:val="clear" w:color="auto" w:fill="DBE5F1" w:themeFill="accent1" w:themeFillTint="33"/>
            <w:vAlign w:val="center"/>
          </w:tcPr>
          <w:p w14:paraId="32FAF36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073</w:t>
            </w:r>
          </w:p>
        </w:tc>
        <w:tc>
          <w:tcPr>
            <w:tcW w:w="1471" w:type="dxa"/>
            <w:tcBorders>
              <w:right w:val="nil"/>
            </w:tcBorders>
            <w:shd w:val="clear" w:color="auto" w:fill="DBE5F1" w:themeFill="accent1" w:themeFillTint="33"/>
            <w:noWrap/>
            <w:vAlign w:val="center"/>
          </w:tcPr>
          <w:p w14:paraId="6058D530"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637</w:t>
            </w:r>
          </w:p>
        </w:tc>
        <w:tc>
          <w:tcPr>
            <w:tcW w:w="1471" w:type="dxa"/>
            <w:tcBorders>
              <w:left w:val="nil"/>
            </w:tcBorders>
            <w:shd w:val="clear" w:color="auto" w:fill="DBE5F1" w:themeFill="accent1" w:themeFillTint="33"/>
            <w:vAlign w:val="center"/>
          </w:tcPr>
          <w:p w14:paraId="4AF78EA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621</w:t>
            </w:r>
          </w:p>
        </w:tc>
      </w:tr>
      <w:tr w:rsidR="006B3CC1" w:rsidRPr="003324F1" w14:paraId="2CB0AF05" w14:textId="77777777" w:rsidTr="00F2448E">
        <w:trPr>
          <w:trHeight w:val="276"/>
        </w:trPr>
        <w:tc>
          <w:tcPr>
            <w:tcW w:w="2660" w:type="dxa"/>
            <w:shd w:val="clear" w:color="auto" w:fill="auto"/>
            <w:noWrap/>
            <w:hideMark/>
          </w:tcPr>
          <w:p w14:paraId="4141D76F"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Psychiatrists</w:t>
            </w:r>
          </w:p>
        </w:tc>
        <w:tc>
          <w:tcPr>
            <w:tcW w:w="1470" w:type="dxa"/>
            <w:tcBorders>
              <w:right w:val="nil"/>
            </w:tcBorders>
            <w:shd w:val="clear" w:color="auto" w:fill="auto"/>
            <w:noWrap/>
            <w:vAlign w:val="center"/>
          </w:tcPr>
          <w:p w14:paraId="15F29E0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90</w:t>
            </w:r>
          </w:p>
        </w:tc>
        <w:tc>
          <w:tcPr>
            <w:tcW w:w="1471" w:type="dxa"/>
            <w:tcBorders>
              <w:left w:val="nil"/>
            </w:tcBorders>
            <w:shd w:val="clear" w:color="auto" w:fill="auto"/>
            <w:vAlign w:val="center"/>
          </w:tcPr>
          <w:p w14:paraId="17A66C0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88</w:t>
            </w:r>
          </w:p>
        </w:tc>
        <w:tc>
          <w:tcPr>
            <w:tcW w:w="1471" w:type="dxa"/>
            <w:tcBorders>
              <w:right w:val="nil"/>
            </w:tcBorders>
            <w:shd w:val="clear" w:color="auto" w:fill="auto"/>
            <w:noWrap/>
            <w:vAlign w:val="center"/>
          </w:tcPr>
          <w:p w14:paraId="668B4CC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14</w:t>
            </w:r>
          </w:p>
        </w:tc>
        <w:tc>
          <w:tcPr>
            <w:tcW w:w="1471" w:type="dxa"/>
            <w:tcBorders>
              <w:left w:val="nil"/>
            </w:tcBorders>
            <w:shd w:val="clear" w:color="auto" w:fill="auto"/>
            <w:vAlign w:val="center"/>
          </w:tcPr>
          <w:p w14:paraId="090DD21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14</w:t>
            </w:r>
          </w:p>
        </w:tc>
        <w:tc>
          <w:tcPr>
            <w:tcW w:w="1470" w:type="dxa"/>
            <w:tcBorders>
              <w:right w:val="nil"/>
            </w:tcBorders>
            <w:shd w:val="clear" w:color="auto" w:fill="auto"/>
            <w:noWrap/>
            <w:vAlign w:val="center"/>
          </w:tcPr>
          <w:p w14:paraId="724103E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77</w:t>
            </w:r>
          </w:p>
        </w:tc>
        <w:tc>
          <w:tcPr>
            <w:tcW w:w="1471" w:type="dxa"/>
            <w:tcBorders>
              <w:left w:val="nil"/>
            </w:tcBorders>
            <w:shd w:val="clear" w:color="auto" w:fill="auto"/>
            <w:vAlign w:val="center"/>
          </w:tcPr>
          <w:p w14:paraId="4340CA4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77</w:t>
            </w:r>
          </w:p>
        </w:tc>
        <w:tc>
          <w:tcPr>
            <w:tcW w:w="1471" w:type="dxa"/>
            <w:tcBorders>
              <w:right w:val="nil"/>
            </w:tcBorders>
            <w:shd w:val="clear" w:color="auto" w:fill="auto"/>
            <w:noWrap/>
            <w:vAlign w:val="center"/>
          </w:tcPr>
          <w:p w14:paraId="279CF9B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17</w:t>
            </w:r>
          </w:p>
        </w:tc>
        <w:tc>
          <w:tcPr>
            <w:tcW w:w="1471" w:type="dxa"/>
            <w:tcBorders>
              <w:left w:val="nil"/>
            </w:tcBorders>
            <w:shd w:val="clear" w:color="auto" w:fill="auto"/>
            <w:vAlign w:val="center"/>
          </w:tcPr>
          <w:p w14:paraId="4C246E8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17</w:t>
            </w:r>
          </w:p>
        </w:tc>
      </w:tr>
      <w:tr w:rsidR="006B3CC1" w:rsidRPr="003324F1" w14:paraId="06DD0602" w14:textId="77777777" w:rsidTr="00F2448E">
        <w:trPr>
          <w:trHeight w:val="276"/>
        </w:trPr>
        <w:tc>
          <w:tcPr>
            <w:tcW w:w="2660" w:type="dxa"/>
            <w:shd w:val="clear" w:color="auto" w:fill="DBE5F1" w:themeFill="accent1" w:themeFillTint="33"/>
            <w:noWrap/>
            <w:hideMark/>
          </w:tcPr>
          <w:p w14:paraId="11373055"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470" w:type="dxa"/>
            <w:tcBorders>
              <w:right w:val="nil"/>
            </w:tcBorders>
            <w:shd w:val="clear" w:color="auto" w:fill="DBE5F1" w:themeFill="accent1" w:themeFillTint="33"/>
            <w:noWrap/>
            <w:vAlign w:val="center"/>
          </w:tcPr>
          <w:p w14:paraId="0D45D45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w:t>
            </w:r>
            <w:r>
              <w:rPr>
                <w:rFonts w:eastAsia="Times New Roman" w:cs="Arial"/>
                <w:lang w:eastAsia="en-AU"/>
              </w:rPr>
              <w:t>,</w:t>
            </w:r>
            <w:r w:rsidRPr="00676396">
              <w:rPr>
                <w:rFonts w:eastAsia="Times New Roman" w:cs="Arial"/>
                <w:lang w:eastAsia="en-AU"/>
              </w:rPr>
              <w:t>271</w:t>
            </w:r>
          </w:p>
        </w:tc>
        <w:tc>
          <w:tcPr>
            <w:tcW w:w="1471" w:type="dxa"/>
            <w:tcBorders>
              <w:left w:val="nil"/>
            </w:tcBorders>
            <w:shd w:val="clear" w:color="auto" w:fill="DBE5F1" w:themeFill="accent1" w:themeFillTint="33"/>
            <w:vAlign w:val="center"/>
          </w:tcPr>
          <w:p w14:paraId="4AF0E96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w:t>
            </w:r>
            <w:r>
              <w:rPr>
                <w:rFonts w:eastAsia="Times New Roman" w:cs="Arial"/>
                <w:lang w:eastAsia="en-AU"/>
              </w:rPr>
              <w:t>,</w:t>
            </w:r>
            <w:r w:rsidRPr="00676396">
              <w:rPr>
                <w:rFonts w:eastAsia="Times New Roman" w:cs="Arial"/>
                <w:lang w:eastAsia="en-AU"/>
              </w:rPr>
              <w:t>633</w:t>
            </w:r>
          </w:p>
        </w:tc>
        <w:tc>
          <w:tcPr>
            <w:tcW w:w="1471" w:type="dxa"/>
            <w:tcBorders>
              <w:right w:val="nil"/>
            </w:tcBorders>
            <w:shd w:val="clear" w:color="auto" w:fill="DBE5F1" w:themeFill="accent1" w:themeFillTint="33"/>
            <w:noWrap/>
            <w:vAlign w:val="center"/>
          </w:tcPr>
          <w:p w14:paraId="1737B4D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424</w:t>
            </w:r>
          </w:p>
        </w:tc>
        <w:tc>
          <w:tcPr>
            <w:tcW w:w="1471" w:type="dxa"/>
            <w:tcBorders>
              <w:left w:val="nil"/>
            </w:tcBorders>
            <w:shd w:val="clear" w:color="auto" w:fill="DBE5F1" w:themeFill="accent1" w:themeFillTint="33"/>
            <w:vAlign w:val="center"/>
          </w:tcPr>
          <w:p w14:paraId="4F2094E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390</w:t>
            </w:r>
          </w:p>
        </w:tc>
        <w:tc>
          <w:tcPr>
            <w:tcW w:w="1470" w:type="dxa"/>
            <w:tcBorders>
              <w:right w:val="nil"/>
            </w:tcBorders>
            <w:shd w:val="clear" w:color="auto" w:fill="DBE5F1" w:themeFill="accent1" w:themeFillTint="33"/>
            <w:noWrap/>
            <w:vAlign w:val="center"/>
          </w:tcPr>
          <w:p w14:paraId="2FFE7AF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946</w:t>
            </w:r>
          </w:p>
        </w:tc>
        <w:tc>
          <w:tcPr>
            <w:tcW w:w="1471" w:type="dxa"/>
            <w:tcBorders>
              <w:left w:val="nil"/>
            </w:tcBorders>
            <w:shd w:val="clear" w:color="auto" w:fill="DBE5F1" w:themeFill="accent1" w:themeFillTint="33"/>
            <w:vAlign w:val="center"/>
          </w:tcPr>
          <w:p w14:paraId="50BFAC3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639</w:t>
            </w:r>
          </w:p>
        </w:tc>
        <w:tc>
          <w:tcPr>
            <w:tcW w:w="1471" w:type="dxa"/>
            <w:tcBorders>
              <w:right w:val="nil"/>
            </w:tcBorders>
            <w:shd w:val="clear" w:color="auto" w:fill="DBE5F1" w:themeFill="accent1" w:themeFillTint="33"/>
            <w:noWrap/>
            <w:vAlign w:val="center"/>
          </w:tcPr>
          <w:p w14:paraId="643EC86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862</w:t>
            </w:r>
          </w:p>
        </w:tc>
        <w:tc>
          <w:tcPr>
            <w:tcW w:w="1471" w:type="dxa"/>
            <w:tcBorders>
              <w:left w:val="nil"/>
            </w:tcBorders>
            <w:shd w:val="clear" w:color="auto" w:fill="DBE5F1" w:themeFill="accent1" w:themeFillTint="33"/>
            <w:vAlign w:val="center"/>
          </w:tcPr>
          <w:p w14:paraId="579B962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804</w:t>
            </w:r>
          </w:p>
        </w:tc>
      </w:tr>
      <w:tr w:rsidR="006B3CC1" w:rsidRPr="003324F1" w14:paraId="4194F579" w14:textId="77777777" w:rsidTr="00F2448E">
        <w:trPr>
          <w:trHeight w:val="276"/>
        </w:trPr>
        <w:tc>
          <w:tcPr>
            <w:tcW w:w="2660" w:type="dxa"/>
            <w:shd w:val="clear" w:color="auto" w:fill="auto"/>
            <w:noWrap/>
            <w:hideMark/>
          </w:tcPr>
          <w:p w14:paraId="683C1D0B"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6533102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12</w:t>
            </w:r>
            <w:r>
              <w:rPr>
                <w:rFonts w:eastAsia="Times New Roman" w:cs="Arial"/>
                <w:lang w:eastAsia="en-AU"/>
              </w:rPr>
              <w:t>,</w:t>
            </w:r>
            <w:r w:rsidRPr="00676396">
              <w:rPr>
                <w:rFonts w:eastAsia="Times New Roman" w:cs="Arial"/>
                <w:lang w:eastAsia="en-AU"/>
              </w:rPr>
              <w:t>488</w:t>
            </w:r>
          </w:p>
        </w:tc>
        <w:tc>
          <w:tcPr>
            <w:tcW w:w="1471" w:type="dxa"/>
            <w:tcBorders>
              <w:left w:val="nil"/>
            </w:tcBorders>
            <w:shd w:val="clear" w:color="auto" w:fill="auto"/>
            <w:vAlign w:val="center"/>
          </w:tcPr>
          <w:p w14:paraId="73007EB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10</w:t>
            </w:r>
            <w:r>
              <w:rPr>
                <w:rFonts w:eastAsia="Times New Roman" w:cs="Arial"/>
                <w:lang w:eastAsia="en-AU"/>
              </w:rPr>
              <w:t>,</w:t>
            </w:r>
            <w:r w:rsidRPr="00676396">
              <w:rPr>
                <w:rFonts w:eastAsia="Times New Roman" w:cs="Arial"/>
                <w:lang w:eastAsia="en-AU"/>
              </w:rPr>
              <w:t>897</w:t>
            </w:r>
          </w:p>
        </w:tc>
        <w:tc>
          <w:tcPr>
            <w:tcW w:w="1471" w:type="dxa"/>
            <w:tcBorders>
              <w:right w:val="nil"/>
            </w:tcBorders>
            <w:shd w:val="clear" w:color="auto" w:fill="auto"/>
            <w:noWrap/>
            <w:vAlign w:val="center"/>
          </w:tcPr>
          <w:p w14:paraId="750B042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633</w:t>
            </w:r>
          </w:p>
        </w:tc>
        <w:tc>
          <w:tcPr>
            <w:tcW w:w="1471" w:type="dxa"/>
            <w:tcBorders>
              <w:left w:val="nil"/>
            </w:tcBorders>
            <w:shd w:val="clear" w:color="auto" w:fill="auto"/>
            <w:vAlign w:val="center"/>
          </w:tcPr>
          <w:p w14:paraId="42AC4BB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539</w:t>
            </w:r>
          </w:p>
        </w:tc>
        <w:tc>
          <w:tcPr>
            <w:tcW w:w="1470" w:type="dxa"/>
            <w:tcBorders>
              <w:right w:val="nil"/>
            </w:tcBorders>
            <w:shd w:val="clear" w:color="auto" w:fill="auto"/>
            <w:noWrap/>
            <w:vAlign w:val="center"/>
          </w:tcPr>
          <w:p w14:paraId="66E1F18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835</w:t>
            </w:r>
          </w:p>
        </w:tc>
        <w:tc>
          <w:tcPr>
            <w:tcW w:w="1471" w:type="dxa"/>
            <w:tcBorders>
              <w:left w:val="nil"/>
            </w:tcBorders>
            <w:shd w:val="clear" w:color="auto" w:fill="auto"/>
            <w:vAlign w:val="center"/>
          </w:tcPr>
          <w:p w14:paraId="04FB31B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214</w:t>
            </w:r>
          </w:p>
        </w:tc>
        <w:tc>
          <w:tcPr>
            <w:tcW w:w="1471" w:type="dxa"/>
            <w:tcBorders>
              <w:right w:val="nil"/>
            </w:tcBorders>
            <w:shd w:val="clear" w:color="auto" w:fill="auto"/>
            <w:noWrap/>
            <w:vAlign w:val="center"/>
          </w:tcPr>
          <w:p w14:paraId="33AF0E60"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311</w:t>
            </w:r>
          </w:p>
        </w:tc>
        <w:tc>
          <w:tcPr>
            <w:tcW w:w="1471" w:type="dxa"/>
            <w:tcBorders>
              <w:left w:val="nil"/>
            </w:tcBorders>
            <w:shd w:val="clear" w:color="auto" w:fill="auto"/>
            <w:vAlign w:val="center"/>
          </w:tcPr>
          <w:p w14:paraId="5DC74AF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152</w:t>
            </w:r>
          </w:p>
        </w:tc>
      </w:tr>
      <w:tr w:rsidR="006B3CC1" w:rsidRPr="00FD6E8E" w14:paraId="735A751E" w14:textId="77777777" w:rsidTr="00F2448E">
        <w:trPr>
          <w:trHeight w:val="276"/>
        </w:trPr>
        <w:tc>
          <w:tcPr>
            <w:tcW w:w="2660" w:type="dxa"/>
            <w:shd w:val="clear" w:color="auto" w:fill="B8CCE4" w:themeFill="accent1" w:themeFillTint="66"/>
            <w:noWrap/>
            <w:hideMark/>
          </w:tcPr>
          <w:p w14:paraId="0A99FED3" w14:textId="77777777" w:rsidR="006B3CC1" w:rsidRPr="00FD6E8E" w:rsidRDefault="006B3CC1" w:rsidP="00CE2FDF">
            <w:pPr>
              <w:spacing w:before="0" w:line="276" w:lineRule="auto"/>
              <w:rPr>
                <w:rFonts w:eastAsia="Times New Roman" w:cs="Arial"/>
                <w:b/>
                <w:lang w:eastAsia="en-AU"/>
              </w:rPr>
            </w:pPr>
            <w:r w:rsidRPr="00FD6E8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50D18C4A"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21</w:t>
            </w:r>
            <w:r>
              <w:rPr>
                <w:rFonts w:eastAsia="Times New Roman" w:cs="Arial"/>
                <w:b/>
                <w:lang w:eastAsia="en-AU"/>
              </w:rPr>
              <w:t>,</w:t>
            </w:r>
            <w:r w:rsidRPr="00676396">
              <w:rPr>
                <w:rFonts w:eastAsia="Times New Roman" w:cs="Arial"/>
                <w:b/>
                <w:lang w:eastAsia="en-AU"/>
              </w:rPr>
              <w:t>759</w:t>
            </w:r>
          </w:p>
        </w:tc>
        <w:tc>
          <w:tcPr>
            <w:tcW w:w="1471" w:type="dxa"/>
            <w:tcBorders>
              <w:left w:val="nil"/>
            </w:tcBorders>
            <w:shd w:val="clear" w:color="auto" w:fill="B8CCE4" w:themeFill="accent1" w:themeFillTint="66"/>
            <w:vAlign w:val="center"/>
          </w:tcPr>
          <w:p w14:paraId="11FFD019"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18</w:t>
            </w:r>
            <w:r>
              <w:rPr>
                <w:rFonts w:eastAsia="Times New Roman" w:cs="Arial"/>
                <w:b/>
                <w:lang w:eastAsia="en-AU"/>
              </w:rPr>
              <w:t>,</w:t>
            </w:r>
            <w:r w:rsidRPr="00676396">
              <w:rPr>
                <w:rFonts w:eastAsia="Times New Roman" w:cs="Arial"/>
                <w:b/>
                <w:lang w:eastAsia="en-AU"/>
              </w:rPr>
              <w:t>424</w:t>
            </w:r>
          </w:p>
        </w:tc>
        <w:tc>
          <w:tcPr>
            <w:tcW w:w="1471" w:type="dxa"/>
            <w:tcBorders>
              <w:right w:val="nil"/>
            </w:tcBorders>
            <w:shd w:val="clear" w:color="auto" w:fill="B8CCE4" w:themeFill="accent1" w:themeFillTint="66"/>
            <w:noWrap/>
            <w:vAlign w:val="center"/>
          </w:tcPr>
          <w:p w14:paraId="1DDF0110"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057</w:t>
            </w:r>
          </w:p>
        </w:tc>
        <w:tc>
          <w:tcPr>
            <w:tcW w:w="1471" w:type="dxa"/>
            <w:tcBorders>
              <w:left w:val="nil"/>
            </w:tcBorders>
            <w:shd w:val="clear" w:color="auto" w:fill="B8CCE4" w:themeFill="accent1" w:themeFillTint="66"/>
            <w:vAlign w:val="center"/>
          </w:tcPr>
          <w:p w14:paraId="0F387C36"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874</w:t>
            </w:r>
          </w:p>
        </w:tc>
        <w:tc>
          <w:tcPr>
            <w:tcW w:w="1470" w:type="dxa"/>
            <w:tcBorders>
              <w:right w:val="nil"/>
            </w:tcBorders>
            <w:shd w:val="clear" w:color="auto" w:fill="B8CCE4" w:themeFill="accent1" w:themeFillTint="66"/>
            <w:noWrap/>
            <w:vAlign w:val="center"/>
          </w:tcPr>
          <w:p w14:paraId="0501DC58"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14</w:t>
            </w:r>
            <w:r>
              <w:rPr>
                <w:rFonts w:eastAsia="Times New Roman" w:cs="Arial"/>
                <w:b/>
                <w:lang w:eastAsia="en-AU"/>
              </w:rPr>
              <w:t>,</w:t>
            </w:r>
            <w:r w:rsidRPr="00676396">
              <w:rPr>
                <w:rFonts w:eastAsia="Times New Roman" w:cs="Arial"/>
                <w:b/>
                <w:lang w:eastAsia="en-AU"/>
              </w:rPr>
              <w:t>781</w:t>
            </w:r>
          </w:p>
        </w:tc>
        <w:tc>
          <w:tcPr>
            <w:tcW w:w="1471" w:type="dxa"/>
            <w:tcBorders>
              <w:left w:val="nil"/>
            </w:tcBorders>
            <w:shd w:val="clear" w:color="auto" w:fill="B8CCE4" w:themeFill="accent1" w:themeFillTint="66"/>
            <w:vAlign w:val="center"/>
          </w:tcPr>
          <w:p w14:paraId="336EBC57"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364</w:t>
            </w:r>
          </w:p>
        </w:tc>
        <w:tc>
          <w:tcPr>
            <w:tcW w:w="1471" w:type="dxa"/>
            <w:tcBorders>
              <w:right w:val="nil"/>
            </w:tcBorders>
            <w:shd w:val="clear" w:color="auto" w:fill="B8CCE4" w:themeFill="accent1" w:themeFillTint="66"/>
            <w:noWrap/>
            <w:vAlign w:val="center"/>
          </w:tcPr>
          <w:p w14:paraId="3A3C1B11"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173</w:t>
            </w:r>
          </w:p>
        </w:tc>
        <w:tc>
          <w:tcPr>
            <w:tcW w:w="1471" w:type="dxa"/>
            <w:tcBorders>
              <w:left w:val="nil"/>
            </w:tcBorders>
            <w:shd w:val="clear" w:color="auto" w:fill="B8CCE4" w:themeFill="accent1" w:themeFillTint="66"/>
            <w:vAlign w:val="center"/>
          </w:tcPr>
          <w:p w14:paraId="2EE71D44"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3</w:t>
            </w:r>
            <w:r>
              <w:rPr>
                <w:rFonts w:eastAsia="Times New Roman" w:cs="Arial"/>
                <w:b/>
                <w:lang w:eastAsia="en-AU"/>
              </w:rPr>
              <w:t>,</w:t>
            </w:r>
            <w:r w:rsidRPr="00676396">
              <w:rPr>
                <w:rFonts w:eastAsia="Times New Roman" w:cs="Arial"/>
                <w:b/>
                <w:lang w:eastAsia="en-AU"/>
              </w:rPr>
              <w:t>832</w:t>
            </w:r>
          </w:p>
        </w:tc>
      </w:tr>
    </w:tbl>
    <w:p w14:paraId="704C01AC" w14:textId="77777777" w:rsidR="00A624B8" w:rsidRPr="00A624B8" w:rsidRDefault="00A624B8" w:rsidP="00B15586"/>
    <w:p w14:paraId="2EE91467" w14:textId="77777777" w:rsidR="00A269A5" w:rsidRDefault="00A269A5" w:rsidP="0095311F">
      <w:pPr>
        <w:pStyle w:val="Figureheading"/>
      </w:pPr>
      <w:r>
        <w:t>3.2</w:t>
      </w:r>
      <w:r w:rsidR="007B717D">
        <w:t>6</w:t>
      </w:r>
      <w:r>
        <w:tab/>
      </w:r>
      <w:r w:rsidR="006B3CC1" w:rsidRPr="00D74CC3">
        <w:t xml:space="preserve">Number of reports </w:t>
      </w:r>
      <w:r>
        <w:t xml:space="preserve">for 2009, </w:t>
      </w:r>
      <w:r w:rsidR="006B3CC1" w:rsidRPr="00D74CC3">
        <w:t>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76"/>
        <w:gridCol w:w="1177"/>
        <w:gridCol w:w="1176"/>
        <w:gridCol w:w="1177"/>
        <w:gridCol w:w="1177"/>
        <w:gridCol w:w="1176"/>
        <w:gridCol w:w="1177"/>
        <w:gridCol w:w="1176"/>
        <w:gridCol w:w="1177"/>
        <w:gridCol w:w="1177"/>
      </w:tblGrid>
      <w:tr w:rsidR="006B3CC1" w:rsidRPr="00F44E7A" w14:paraId="5AF6AEE3" w14:textId="77777777" w:rsidTr="00137AE1">
        <w:trPr>
          <w:trHeight w:val="329"/>
          <w:tblHeader/>
        </w:trPr>
        <w:tc>
          <w:tcPr>
            <w:tcW w:w="2660" w:type="dxa"/>
            <w:shd w:val="clear" w:color="auto" w:fill="B8CCE4" w:themeFill="accent1" w:themeFillTint="66"/>
            <w:noWrap/>
            <w:hideMark/>
          </w:tcPr>
          <w:p w14:paraId="3EC08311" w14:textId="77777777" w:rsidR="006B3CC1" w:rsidRPr="00F44E7A" w:rsidRDefault="006B3CC1" w:rsidP="00CE2FDF">
            <w:pPr>
              <w:keepNext/>
              <w:spacing w:before="0" w:line="276" w:lineRule="auto"/>
              <w:jc w:val="center"/>
              <w:rPr>
                <w:rFonts w:eastAsia="Times New Roman" w:cs="Arial"/>
                <w:b/>
                <w:lang w:eastAsia="en-AU"/>
              </w:rPr>
            </w:pPr>
          </w:p>
        </w:tc>
        <w:tc>
          <w:tcPr>
            <w:tcW w:w="2353" w:type="dxa"/>
            <w:gridSpan w:val="2"/>
            <w:shd w:val="clear" w:color="auto" w:fill="B8CCE4" w:themeFill="accent1" w:themeFillTint="66"/>
            <w:noWrap/>
            <w:hideMark/>
          </w:tcPr>
          <w:p w14:paraId="7A71003C" w14:textId="77777777" w:rsidR="006B3CC1" w:rsidRPr="00F44E7A" w:rsidRDefault="006B3CC1"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5C22EE90" w14:textId="77777777" w:rsidR="006B3CC1" w:rsidRPr="00F44E7A" w:rsidRDefault="006B3CC1"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4326F263" w14:textId="77777777" w:rsidR="006B3CC1" w:rsidRPr="00F44E7A" w:rsidRDefault="006B3CC1"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482DA545" w14:textId="77777777" w:rsidR="006B3CC1" w:rsidRPr="00F44E7A" w:rsidRDefault="006B3CC1"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1A2A11B9" w14:textId="77777777" w:rsidR="006B3CC1" w:rsidRPr="00F44E7A" w:rsidRDefault="006B3CC1"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6B3CC1" w:rsidRPr="00F44E7A" w14:paraId="09E84DCC" w14:textId="77777777" w:rsidTr="00137AE1">
        <w:trPr>
          <w:trHeight w:val="264"/>
          <w:tblHeader/>
        </w:trPr>
        <w:tc>
          <w:tcPr>
            <w:tcW w:w="2660" w:type="dxa"/>
            <w:shd w:val="clear" w:color="auto" w:fill="B8CCE4" w:themeFill="accent1" w:themeFillTint="66"/>
            <w:noWrap/>
            <w:hideMark/>
          </w:tcPr>
          <w:p w14:paraId="44A01BA6" w14:textId="77777777" w:rsidR="006B3CC1" w:rsidRPr="00F44E7A" w:rsidRDefault="006B3CC1" w:rsidP="00CE2FDF">
            <w:pPr>
              <w:keepNext/>
              <w:spacing w:before="0" w:line="276"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4D517955"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49A89D67"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64AB44FE"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1982B68B"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46A1A60C"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426BF300"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42561C45"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7C8751AA"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E54D559" w14:textId="77777777" w:rsidR="006B3CC1" w:rsidRPr="00F44E7A" w:rsidRDefault="006B3CC1"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4789BB6E" w14:textId="77777777" w:rsidR="006B3CC1" w:rsidRPr="00F44E7A" w:rsidRDefault="006B3CC1"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6B3CC1" w:rsidRPr="003324F1" w14:paraId="60EF18A1" w14:textId="77777777" w:rsidTr="00F2448E">
        <w:trPr>
          <w:trHeight w:val="276"/>
        </w:trPr>
        <w:tc>
          <w:tcPr>
            <w:tcW w:w="2660" w:type="dxa"/>
            <w:noWrap/>
            <w:hideMark/>
          </w:tcPr>
          <w:p w14:paraId="2FFD2EA0" w14:textId="77777777" w:rsidR="006B3CC1" w:rsidRPr="00F44E7A" w:rsidRDefault="006B3CC1"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1176" w:type="dxa"/>
            <w:tcBorders>
              <w:right w:val="nil"/>
            </w:tcBorders>
            <w:noWrap/>
            <w:vAlign w:val="center"/>
          </w:tcPr>
          <w:p w14:paraId="1EF28DB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746</w:t>
            </w:r>
          </w:p>
        </w:tc>
        <w:tc>
          <w:tcPr>
            <w:tcW w:w="1177" w:type="dxa"/>
            <w:tcBorders>
              <w:left w:val="nil"/>
            </w:tcBorders>
            <w:vAlign w:val="center"/>
          </w:tcPr>
          <w:p w14:paraId="5A3353E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738</w:t>
            </w:r>
          </w:p>
        </w:tc>
        <w:tc>
          <w:tcPr>
            <w:tcW w:w="1176" w:type="dxa"/>
            <w:tcBorders>
              <w:right w:val="nil"/>
            </w:tcBorders>
            <w:noWrap/>
            <w:vAlign w:val="center"/>
          </w:tcPr>
          <w:p w14:paraId="7E27E95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322</w:t>
            </w:r>
          </w:p>
        </w:tc>
        <w:tc>
          <w:tcPr>
            <w:tcW w:w="1177" w:type="dxa"/>
            <w:tcBorders>
              <w:left w:val="nil"/>
            </w:tcBorders>
            <w:vAlign w:val="center"/>
          </w:tcPr>
          <w:p w14:paraId="5C2F8F90"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322</w:t>
            </w:r>
          </w:p>
        </w:tc>
        <w:tc>
          <w:tcPr>
            <w:tcW w:w="1177" w:type="dxa"/>
            <w:tcBorders>
              <w:right w:val="nil"/>
            </w:tcBorders>
            <w:noWrap/>
            <w:vAlign w:val="center"/>
          </w:tcPr>
          <w:p w14:paraId="27A362F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188</w:t>
            </w:r>
          </w:p>
        </w:tc>
        <w:tc>
          <w:tcPr>
            <w:tcW w:w="1176" w:type="dxa"/>
            <w:tcBorders>
              <w:left w:val="nil"/>
            </w:tcBorders>
            <w:vAlign w:val="center"/>
          </w:tcPr>
          <w:p w14:paraId="4217E3B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188</w:t>
            </w:r>
          </w:p>
        </w:tc>
        <w:tc>
          <w:tcPr>
            <w:tcW w:w="1177" w:type="dxa"/>
            <w:tcBorders>
              <w:right w:val="nil"/>
            </w:tcBorders>
            <w:noWrap/>
            <w:vAlign w:val="center"/>
          </w:tcPr>
          <w:p w14:paraId="29888CD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134</w:t>
            </w:r>
          </w:p>
        </w:tc>
        <w:tc>
          <w:tcPr>
            <w:tcW w:w="1176" w:type="dxa"/>
            <w:tcBorders>
              <w:left w:val="nil"/>
            </w:tcBorders>
            <w:vAlign w:val="center"/>
          </w:tcPr>
          <w:p w14:paraId="76911E3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134</w:t>
            </w:r>
          </w:p>
        </w:tc>
        <w:tc>
          <w:tcPr>
            <w:tcW w:w="1177" w:type="dxa"/>
            <w:tcBorders>
              <w:right w:val="nil"/>
            </w:tcBorders>
            <w:noWrap/>
            <w:vAlign w:val="center"/>
          </w:tcPr>
          <w:p w14:paraId="38418165"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068</w:t>
            </w:r>
          </w:p>
        </w:tc>
        <w:tc>
          <w:tcPr>
            <w:tcW w:w="1177" w:type="dxa"/>
            <w:tcBorders>
              <w:left w:val="nil"/>
            </w:tcBorders>
            <w:vAlign w:val="center"/>
          </w:tcPr>
          <w:p w14:paraId="440DCFF1"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053</w:t>
            </w:r>
          </w:p>
        </w:tc>
      </w:tr>
      <w:tr w:rsidR="006B3CC1" w:rsidRPr="003324F1" w14:paraId="3B5EA16F" w14:textId="77777777" w:rsidTr="00F2448E">
        <w:trPr>
          <w:trHeight w:val="276"/>
        </w:trPr>
        <w:tc>
          <w:tcPr>
            <w:tcW w:w="2660" w:type="dxa"/>
            <w:shd w:val="clear" w:color="auto" w:fill="DBE5F1" w:themeFill="accent1" w:themeFillTint="33"/>
            <w:noWrap/>
            <w:hideMark/>
          </w:tcPr>
          <w:p w14:paraId="4F90CEA6" w14:textId="77777777" w:rsidR="006B3CC1" w:rsidRPr="00F44E7A" w:rsidRDefault="006B3CC1"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0154A14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744</w:t>
            </w:r>
          </w:p>
        </w:tc>
        <w:tc>
          <w:tcPr>
            <w:tcW w:w="1177" w:type="dxa"/>
            <w:tcBorders>
              <w:left w:val="nil"/>
            </w:tcBorders>
            <w:shd w:val="clear" w:color="auto" w:fill="DBE5F1" w:themeFill="accent1" w:themeFillTint="33"/>
            <w:vAlign w:val="center"/>
          </w:tcPr>
          <w:p w14:paraId="26BCEF80"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731</w:t>
            </w:r>
          </w:p>
        </w:tc>
        <w:tc>
          <w:tcPr>
            <w:tcW w:w="1176" w:type="dxa"/>
            <w:tcBorders>
              <w:right w:val="nil"/>
            </w:tcBorders>
            <w:shd w:val="clear" w:color="auto" w:fill="DBE5F1" w:themeFill="accent1" w:themeFillTint="33"/>
            <w:noWrap/>
            <w:vAlign w:val="center"/>
          </w:tcPr>
          <w:p w14:paraId="393CC3E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515</w:t>
            </w:r>
          </w:p>
        </w:tc>
        <w:tc>
          <w:tcPr>
            <w:tcW w:w="1177" w:type="dxa"/>
            <w:tcBorders>
              <w:left w:val="nil"/>
            </w:tcBorders>
            <w:shd w:val="clear" w:color="auto" w:fill="DBE5F1" w:themeFill="accent1" w:themeFillTint="33"/>
            <w:vAlign w:val="center"/>
          </w:tcPr>
          <w:p w14:paraId="6B33BE4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515</w:t>
            </w:r>
          </w:p>
        </w:tc>
        <w:tc>
          <w:tcPr>
            <w:tcW w:w="1177" w:type="dxa"/>
            <w:tcBorders>
              <w:right w:val="nil"/>
            </w:tcBorders>
            <w:shd w:val="clear" w:color="auto" w:fill="DBE5F1" w:themeFill="accent1" w:themeFillTint="33"/>
            <w:noWrap/>
            <w:vAlign w:val="center"/>
          </w:tcPr>
          <w:p w14:paraId="3B16C39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331</w:t>
            </w:r>
          </w:p>
        </w:tc>
        <w:tc>
          <w:tcPr>
            <w:tcW w:w="1176" w:type="dxa"/>
            <w:tcBorders>
              <w:left w:val="nil"/>
            </w:tcBorders>
            <w:shd w:val="clear" w:color="auto" w:fill="DBE5F1" w:themeFill="accent1" w:themeFillTint="33"/>
            <w:vAlign w:val="center"/>
          </w:tcPr>
          <w:p w14:paraId="735A5AF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331</w:t>
            </w:r>
          </w:p>
        </w:tc>
        <w:tc>
          <w:tcPr>
            <w:tcW w:w="1177" w:type="dxa"/>
            <w:tcBorders>
              <w:right w:val="nil"/>
            </w:tcBorders>
            <w:shd w:val="clear" w:color="auto" w:fill="DBE5F1" w:themeFill="accent1" w:themeFillTint="33"/>
            <w:noWrap/>
            <w:vAlign w:val="center"/>
          </w:tcPr>
          <w:p w14:paraId="6C615B4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184</w:t>
            </w:r>
          </w:p>
        </w:tc>
        <w:tc>
          <w:tcPr>
            <w:tcW w:w="1176" w:type="dxa"/>
            <w:tcBorders>
              <w:left w:val="nil"/>
            </w:tcBorders>
            <w:shd w:val="clear" w:color="auto" w:fill="DBE5F1" w:themeFill="accent1" w:themeFillTint="33"/>
            <w:vAlign w:val="center"/>
          </w:tcPr>
          <w:p w14:paraId="6DF8663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184</w:t>
            </w:r>
          </w:p>
        </w:tc>
        <w:tc>
          <w:tcPr>
            <w:tcW w:w="1177" w:type="dxa"/>
            <w:tcBorders>
              <w:right w:val="nil"/>
            </w:tcBorders>
            <w:shd w:val="clear" w:color="auto" w:fill="DBE5F1" w:themeFill="accent1" w:themeFillTint="33"/>
            <w:noWrap/>
            <w:vAlign w:val="center"/>
          </w:tcPr>
          <w:p w14:paraId="6D767D09"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259</w:t>
            </w:r>
          </w:p>
        </w:tc>
        <w:tc>
          <w:tcPr>
            <w:tcW w:w="1177" w:type="dxa"/>
            <w:tcBorders>
              <w:left w:val="nil"/>
            </w:tcBorders>
            <w:shd w:val="clear" w:color="auto" w:fill="DBE5F1" w:themeFill="accent1" w:themeFillTint="33"/>
            <w:vAlign w:val="center"/>
          </w:tcPr>
          <w:p w14:paraId="75A7A47F"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238</w:t>
            </w:r>
          </w:p>
        </w:tc>
      </w:tr>
      <w:tr w:rsidR="006B3CC1" w:rsidRPr="003324F1" w14:paraId="07076945" w14:textId="77777777" w:rsidTr="00F2448E">
        <w:trPr>
          <w:trHeight w:val="276"/>
        </w:trPr>
        <w:tc>
          <w:tcPr>
            <w:tcW w:w="2660" w:type="dxa"/>
            <w:noWrap/>
            <w:hideMark/>
          </w:tcPr>
          <w:p w14:paraId="3863FE8F" w14:textId="77777777" w:rsidR="006B3CC1" w:rsidRPr="00F44E7A" w:rsidRDefault="006B3CC1" w:rsidP="00CE2FDF">
            <w:pPr>
              <w:spacing w:before="0" w:line="276"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noWrap/>
            <w:vAlign w:val="center"/>
          </w:tcPr>
          <w:p w14:paraId="6F29889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593</w:t>
            </w:r>
          </w:p>
        </w:tc>
        <w:tc>
          <w:tcPr>
            <w:tcW w:w="1177" w:type="dxa"/>
            <w:tcBorders>
              <w:left w:val="nil"/>
            </w:tcBorders>
            <w:vAlign w:val="center"/>
          </w:tcPr>
          <w:p w14:paraId="276AF8F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179</w:t>
            </w:r>
          </w:p>
        </w:tc>
        <w:tc>
          <w:tcPr>
            <w:tcW w:w="1176" w:type="dxa"/>
            <w:tcBorders>
              <w:right w:val="nil"/>
            </w:tcBorders>
            <w:noWrap/>
            <w:vAlign w:val="center"/>
          </w:tcPr>
          <w:p w14:paraId="4DDE781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610</w:t>
            </w:r>
          </w:p>
        </w:tc>
        <w:tc>
          <w:tcPr>
            <w:tcW w:w="1177" w:type="dxa"/>
            <w:tcBorders>
              <w:left w:val="nil"/>
            </w:tcBorders>
            <w:vAlign w:val="center"/>
          </w:tcPr>
          <w:p w14:paraId="6AB2126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531</w:t>
            </w:r>
          </w:p>
        </w:tc>
        <w:tc>
          <w:tcPr>
            <w:tcW w:w="1177" w:type="dxa"/>
            <w:tcBorders>
              <w:right w:val="nil"/>
            </w:tcBorders>
            <w:noWrap/>
            <w:vAlign w:val="center"/>
          </w:tcPr>
          <w:p w14:paraId="4C79B40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805</w:t>
            </w:r>
          </w:p>
        </w:tc>
        <w:tc>
          <w:tcPr>
            <w:tcW w:w="1176" w:type="dxa"/>
            <w:tcBorders>
              <w:left w:val="nil"/>
            </w:tcBorders>
            <w:vAlign w:val="center"/>
          </w:tcPr>
          <w:p w14:paraId="73FCD8A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775</w:t>
            </w:r>
          </w:p>
        </w:tc>
        <w:tc>
          <w:tcPr>
            <w:tcW w:w="1177" w:type="dxa"/>
            <w:tcBorders>
              <w:right w:val="nil"/>
            </w:tcBorders>
            <w:noWrap/>
            <w:vAlign w:val="center"/>
          </w:tcPr>
          <w:p w14:paraId="46110DA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805</w:t>
            </w:r>
          </w:p>
        </w:tc>
        <w:tc>
          <w:tcPr>
            <w:tcW w:w="1176" w:type="dxa"/>
            <w:tcBorders>
              <w:left w:val="nil"/>
            </w:tcBorders>
            <w:vAlign w:val="center"/>
          </w:tcPr>
          <w:p w14:paraId="1746CC4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794</w:t>
            </w:r>
          </w:p>
        </w:tc>
        <w:tc>
          <w:tcPr>
            <w:tcW w:w="1177" w:type="dxa"/>
            <w:tcBorders>
              <w:right w:val="nil"/>
            </w:tcBorders>
            <w:noWrap/>
            <w:vAlign w:val="center"/>
          </w:tcPr>
          <w:p w14:paraId="12171071"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203</w:t>
            </w:r>
          </w:p>
        </w:tc>
        <w:tc>
          <w:tcPr>
            <w:tcW w:w="1177" w:type="dxa"/>
            <w:tcBorders>
              <w:left w:val="nil"/>
            </w:tcBorders>
            <w:vAlign w:val="center"/>
          </w:tcPr>
          <w:p w14:paraId="19DE7A52"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9</w:t>
            </w:r>
            <w:r>
              <w:rPr>
                <w:rFonts w:eastAsia="Times New Roman" w:cs="Arial"/>
                <w:b/>
                <w:lang w:eastAsia="en-AU"/>
              </w:rPr>
              <w:t>,</w:t>
            </w:r>
            <w:r w:rsidRPr="00676396">
              <w:rPr>
                <w:rFonts w:eastAsia="Times New Roman" w:cs="Arial"/>
                <w:b/>
                <w:lang w:eastAsia="en-AU"/>
              </w:rPr>
              <w:t>457</w:t>
            </w:r>
          </w:p>
        </w:tc>
      </w:tr>
      <w:tr w:rsidR="006B3CC1" w:rsidRPr="003324F1" w14:paraId="12DE1F44" w14:textId="77777777" w:rsidTr="00F2448E">
        <w:trPr>
          <w:trHeight w:val="276"/>
        </w:trPr>
        <w:tc>
          <w:tcPr>
            <w:tcW w:w="2660" w:type="dxa"/>
            <w:shd w:val="clear" w:color="auto" w:fill="DBE5F1" w:themeFill="accent1" w:themeFillTint="33"/>
            <w:noWrap/>
            <w:hideMark/>
          </w:tcPr>
          <w:p w14:paraId="425E2880"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DBE5F1" w:themeFill="accent1" w:themeFillTint="33"/>
            <w:noWrap/>
            <w:vAlign w:val="center"/>
          </w:tcPr>
          <w:p w14:paraId="3144855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824</w:t>
            </w:r>
          </w:p>
        </w:tc>
        <w:tc>
          <w:tcPr>
            <w:tcW w:w="1177" w:type="dxa"/>
            <w:tcBorders>
              <w:left w:val="nil"/>
            </w:tcBorders>
            <w:shd w:val="clear" w:color="auto" w:fill="DBE5F1" w:themeFill="accent1" w:themeFillTint="33"/>
            <w:vAlign w:val="center"/>
          </w:tcPr>
          <w:p w14:paraId="2CBB9E4A"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490</w:t>
            </w:r>
          </w:p>
        </w:tc>
        <w:tc>
          <w:tcPr>
            <w:tcW w:w="1176" w:type="dxa"/>
            <w:tcBorders>
              <w:right w:val="nil"/>
            </w:tcBorders>
            <w:shd w:val="clear" w:color="auto" w:fill="DBE5F1" w:themeFill="accent1" w:themeFillTint="33"/>
            <w:noWrap/>
            <w:vAlign w:val="center"/>
          </w:tcPr>
          <w:p w14:paraId="34B44E4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951</w:t>
            </w:r>
          </w:p>
        </w:tc>
        <w:tc>
          <w:tcPr>
            <w:tcW w:w="1177" w:type="dxa"/>
            <w:tcBorders>
              <w:left w:val="nil"/>
            </w:tcBorders>
            <w:shd w:val="clear" w:color="auto" w:fill="DBE5F1" w:themeFill="accent1" w:themeFillTint="33"/>
            <w:vAlign w:val="center"/>
          </w:tcPr>
          <w:p w14:paraId="042AF77F"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919</w:t>
            </w:r>
          </w:p>
        </w:tc>
        <w:tc>
          <w:tcPr>
            <w:tcW w:w="1177" w:type="dxa"/>
            <w:tcBorders>
              <w:right w:val="nil"/>
            </w:tcBorders>
            <w:shd w:val="clear" w:color="auto" w:fill="DBE5F1" w:themeFill="accent1" w:themeFillTint="33"/>
            <w:noWrap/>
            <w:vAlign w:val="center"/>
          </w:tcPr>
          <w:p w14:paraId="7F657B7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002</w:t>
            </w:r>
          </w:p>
        </w:tc>
        <w:tc>
          <w:tcPr>
            <w:tcW w:w="1176" w:type="dxa"/>
            <w:tcBorders>
              <w:left w:val="nil"/>
            </w:tcBorders>
            <w:shd w:val="clear" w:color="auto" w:fill="DBE5F1" w:themeFill="accent1" w:themeFillTint="33"/>
            <w:vAlign w:val="center"/>
          </w:tcPr>
          <w:p w14:paraId="733F0E4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998</w:t>
            </w:r>
          </w:p>
        </w:tc>
        <w:tc>
          <w:tcPr>
            <w:tcW w:w="1177" w:type="dxa"/>
            <w:tcBorders>
              <w:right w:val="nil"/>
            </w:tcBorders>
            <w:shd w:val="clear" w:color="auto" w:fill="DBE5F1" w:themeFill="accent1" w:themeFillTint="33"/>
            <w:noWrap/>
            <w:vAlign w:val="center"/>
          </w:tcPr>
          <w:p w14:paraId="55147A1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949</w:t>
            </w:r>
          </w:p>
        </w:tc>
        <w:tc>
          <w:tcPr>
            <w:tcW w:w="1176" w:type="dxa"/>
            <w:tcBorders>
              <w:left w:val="nil"/>
            </w:tcBorders>
            <w:shd w:val="clear" w:color="auto" w:fill="DBE5F1" w:themeFill="accent1" w:themeFillTint="33"/>
            <w:vAlign w:val="center"/>
          </w:tcPr>
          <w:p w14:paraId="0D9D71CC"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936</w:t>
            </w:r>
          </w:p>
        </w:tc>
        <w:tc>
          <w:tcPr>
            <w:tcW w:w="1177" w:type="dxa"/>
            <w:tcBorders>
              <w:right w:val="nil"/>
            </w:tcBorders>
            <w:shd w:val="clear" w:color="auto" w:fill="DBE5F1" w:themeFill="accent1" w:themeFillTint="33"/>
            <w:noWrap/>
            <w:vAlign w:val="center"/>
          </w:tcPr>
          <w:p w14:paraId="6C23489E"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775</w:t>
            </w:r>
          </w:p>
        </w:tc>
        <w:tc>
          <w:tcPr>
            <w:tcW w:w="1177" w:type="dxa"/>
            <w:tcBorders>
              <w:left w:val="nil"/>
            </w:tcBorders>
            <w:shd w:val="clear" w:color="auto" w:fill="DBE5F1" w:themeFill="accent1" w:themeFillTint="33"/>
            <w:vAlign w:val="center"/>
          </w:tcPr>
          <w:p w14:paraId="20A5C75E"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200</w:t>
            </w:r>
          </w:p>
        </w:tc>
      </w:tr>
      <w:tr w:rsidR="006B3CC1" w:rsidRPr="003324F1" w14:paraId="64A6FEA3" w14:textId="77777777" w:rsidTr="00F2448E">
        <w:trPr>
          <w:trHeight w:val="276"/>
        </w:trPr>
        <w:tc>
          <w:tcPr>
            <w:tcW w:w="2660" w:type="dxa"/>
            <w:shd w:val="clear" w:color="auto" w:fill="auto"/>
            <w:noWrap/>
            <w:hideMark/>
          </w:tcPr>
          <w:p w14:paraId="6E623D6E"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Psychiatrists</w:t>
            </w:r>
          </w:p>
        </w:tc>
        <w:tc>
          <w:tcPr>
            <w:tcW w:w="1176" w:type="dxa"/>
            <w:tcBorders>
              <w:right w:val="nil"/>
            </w:tcBorders>
            <w:shd w:val="clear" w:color="auto" w:fill="auto"/>
            <w:noWrap/>
            <w:vAlign w:val="center"/>
          </w:tcPr>
          <w:p w14:paraId="49DB9AF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136</w:t>
            </w:r>
          </w:p>
        </w:tc>
        <w:tc>
          <w:tcPr>
            <w:tcW w:w="1177" w:type="dxa"/>
            <w:tcBorders>
              <w:left w:val="nil"/>
            </w:tcBorders>
            <w:shd w:val="clear" w:color="auto" w:fill="auto"/>
            <w:vAlign w:val="center"/>
          </w:tcPr>
          <w:p w14:paraId="08D51F9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134</w:t>
            </w:r>
          </w:p>
        </w:tc>
        <w:tc>
          <w:tcPr>
            <w:tcW w:w="1176" w:type="dxa"/>
            <w:tcBorders>
              <w:right w:val="nil"/>
            </w:tcBorders>
            <w:shd w:val="clear" w:color="auto" w:fill="auto"/>
            <w:noWrap/>
            <w:vAlign w:val="center"/>
          </w:tcPr>
          <w:p w14:paraId="7329DB9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62</w:t>
            </w:r>
          </w:p>
        </w:tc>
        <w:tc>
          <w:tcPr>
            <w:tcW w:w="1177" w:type="dxa"/>
            <w:tcBorders>
              <w:left w:val="nil"/>
            </w:tcBorders>
            <w:shd w:val="clear" w:color="auto" w:fill="auto"/>
            <w:vAlign w:val="center"/>
          </w:tcPr>
          <w:p w14:paraId="27DA13BD"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62</w:t>
            </w:r>
          </w:p>
        </w:tc>
        <w:tc>
          <w:tcPr>
            <w:tcW w:w="1177" w:type="dxa"/>
            <w:tcBorders>
              <w:right w:val="nil"/>
            </w:tcBorders>
            <w:shd w:val="clear" w:color="auto" w:fill="auto"/>
            <w:noWrap/>
            <w:vAlign w:val="center"/>
          </w:tcPr>
          <w:p w14:paraId="7433F21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38</w:t>
            </w:r>
          </w:p>
        </w:tc>
        <w:tc>
          <w:tcPr>
            <w:tcW w:w="1176" w:type="dxa"/>
            <w:tcBorders>
              <w:left w:val="nil"/>
            </w:tcBorders>
            <w:shd w:val="clear" w:color="auto" w:fill="auto"/>
            <w:vAlign w:val="center"/>
          </w:tcPr>
          <w:p w14:paraId="07DAE0D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38</w:t>
            </w:r>
          </w:p>
        </w:tc>
        <w:tc>
          <w:tcPr>
            <w:tcW w:w="1177" w:type="dxa"/>
            <w:tcBorders>
              <w:right w:val="nil"/>
            </w:tcBorders>
            <w:shd w:val="clear" w:color="auto" w:fill="auto"/>
            <w:noWrap/>
            <w:vAlign w:val="center"/>
          </w:tcPr>
          <w:p w14:paraId="72F0E123"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24</w:t>
            </w:r>
          </w:p>
        </w:tc>
        <w:tc>
          <w:tcPr>
            <w:tcW w:w="1176" w:type="dxa"/>
            <w:tcBorders>
              <w:left w:val="nil"/>
            </w:tcBorders>
            <w:shd w:val="clear" w:color="auto" w:fill="auto"/>
            <w:vAlign w:val="center"/>
          </w:tcPr>
          <w:p w14:paraId="1DF9E2A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24</w:t>
            </w:r>
          </w:p>
        </w:tc>
        <w:tc>
          <w:tcPr>
            <w:tcW w:w="1177" w:type="dxa"/>
            <w:tcBorders>
              <w:right w:val="nil"/>
            </w:tcBorders>
            <w:shd w:val="clear" w:color="auto" w:fill="auto"/>
            <w:noWrap/>
            <w:vAlign w:val="center"/>
          </w:tcPr>
          <w:p w14:paraId="167983C7"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198</w:t>
            </w:r>
          </w:p>
        </w:tc>
        <w:tc>
          <w:tcPr>
            <w:tcW w:w="1177" w:type="dxa"/>
            <w:tcBorders>
              <w:left w:val="nil"/>
            </w:tcBorders>
            <w:shd w:val="clear" w:color="auto" w:fill="auto"/>
            <w:vAlign w:val="center"/>
          </w:tcPr>
          <w:p w14:paraId="4EC131F9"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192</w:t>
            </w:r>
          </w:p>
        </w:tc>
      </w:tr>
      <w:tr w:rsidR="006B3CC1" w:rsidRPr="003324F1" w14:paraId="0241095A" w14:textId="77777777" w:rsidTr="00F2448E">
        <w:trPr>
          <w:trHeight w:val="276"/>
        </w:trPr>
        <w:tc>
          <w:tcPr>
            <w:tcW w:w="2660" w:type="dxa"/>
            <w:shd w:val="clear" w:color="auto" w:fill="DBE5F1" w:themeFill="accent1" w:themeFillTint="33"/>
            <w:noWrap/>
            <w:hideMark/>
          </w:tcPr>
          <w:p w14:paraId="7583A39B"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176" w:type="dxa"/>
            <w:tcBorders>
              <w:right w:val="nil"/>
            </w:tcBorders>
            <w:shd w:val="clear" w:color="auto" w:fill="DBE5F1" w:themeFill="accent1" w:themeFillTint="33"/>
            <w:noWrap/>
            <w:vAlign w:val="center"/>
          </w:tcPr>
          <w:p w14:paraId="56285CD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14</w:t>
            </w:r>
            <w:r>
              <w:rPr>
                <w:rFonts w:eastAsia="Times New Roman" w:cs="Arial"/>
                <w:lang w:eastAsia="en-AU"/>
              </w:rPr>
              <w:t>,</w:t>
            </w:r>
            <w:r w:rsidRPr="00676396">
              <w:rPr>
                <w:rFonts w:eastAsia="Times New Roman" w:cs="Arial"/>
                <w:lang w:eastAsia="en-AU"/>
              </w:rPr>
              <w:t>043</w:t>
            </w:r>
          </w:p>
        </w:tc>
        <w:tc>
          <w:tcPr>
            <w:tcW w:w="1177" w:type="dxa"/>
            <w:tcBorders>
              <w:left w:val="nil"/>
            </w:tcBorders>
            <w:shd w:val="clear" w:color="auto" w:fill="DBE5F1" w:themeFill="accent1" w:themeFillTint="33"/>
            <w:vAlign w:val="center"/>
          </w:tcPr>
          <w:p w14:paraId="657E240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12</w:t>
            </w:r>
            <w:r>
              <w:rPr>
                <w:rFonts w:eastAsia="Times New Roman" w:cs="Arial"/>
                <w:lang w:eastAsia="en-AU"/>
              </w:rPr>
              <w:t>,</w:t>
            </w:r>
            <w:r w:rsidRPr="00676396">
              <w:rPr>
                <w:rFonts w:eastAsia="Times New Roman" w:cs="Arial"/>
                <w:lang w:eastAsia="en-AU"/>
              </w:rPr>
              <w:t>945</w:t>
            </w:r>
          </w:p>
        </w:tc>
        <w:tc>
          <w:tcPr>
            <w:tcW w:w="1176" w:type="dxa"/>
            <w:tcBorders>
              <w:right w:val="nil"/>
            </w:tcBorders>
            <w:shd w:val="clear" w:color="auto" w:fill="DBE5F1" w:themeFill="accent1" w:themeFillTint="33"/>
            <w:noWrap/>
            <w:vAlign w:val="center"/>
          </w:tcPr>
          <w:p w14:paraId="333919C7"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460</w:t>
            </w:r>
          </w:p>
        </w:tc>
        <w:tc>
          <w:tcPr>
            <w:tcW w:w="1177" w:type="dxa"/>
            <w:tcBorders>
              <w:left w:val="nil"/>
            </w:tcBorders>
            <w:shd w:val="clear" w:color="auto" w:fill="DBE5F1" w:themeFill="accent1" w:themeFillTint="33"/>
            <w:vAlign w:val="center"/>
          </w:tcPr>
          <w:p w14:paraId="309EBD16"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287</w:t>
            </w:r>
          </w:p>
        </w:tc>
        <w:tc>
          <w:tcPr>
            <w:tcW w:w="1177" w:type="dxa"/>
            <w:tcBorders>
              <w:right w:val="nil"/>
            </w:tcBorders>
            <w:shd w:val="clear" w:color="auto" w:fill="DBE5F1" w:themeFill="accent1" w:themeFillTint="33"/>
            <w:noWrap/>
            <w:vAlign w:val="center"/>
          </w:tcPr>
          <w:p w14:paraId="54C8CE02"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364</w:t>
            </w:r>
          </w:p>
        </w:tc>
        <w:tc>
          <w:tcPr>
            <w:tcW w:w="1176" w:type="dxa"/>
            <w:tcBorders>
              <w:left w:val="nil"/>
            </w:tcBorders>
            <w:shd w:val="clear" w:color="auto" w:fill="DBE5F1" w:themeFill="accent1" w:themeFillTint="33"/>
            <w:vAlign w:val="center"/>
          </w:tcPr>
          <w:p w14:paraId="3693F479"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307</w:t>
            </w:r>
          </w:p>
        </w:tc>
        <w:tc>
          <w:tcPr>
            <w:tcW w:w="1177" w:type="dxa"/>
            <w:tcBorders>
              <w:right w:val="nil"/>
            </w:tcBorders>
            <w:shd w:val="clear" w:color="auto" w:fill="DBE5F1" w:themeFill="accent1" w:themeFillTint="33"/>
            <w:noWrap/>
            <w:vAlign w:val="center"/>
          </w:tcPr>
          <w:p w14:paraId="6516A650"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096</w:t>
            </w:r>
          </w:p>
        </w:tc>
        <w:tc>
          <w:tcPr>
            <w:tcW w:w="1176" w:type="dxa"/>
            <w:tcBorders>
              <w:left w:val="nil"/>
            </w:tcBorders>
            <w:shd w:val="clear" w:color="auto" w:fill="DBE5F1" w:themeFill="accent1" w:themeFillTint="33"/>
            <w:vAlign w:val="center"/>
          </w:tcPr>
          <w:p w14:paraId="30F73B8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064</w:t>
            </w:r>
          </w:p>
        </w:tc>
        <w:tc>
          <w:tcPr>
            <w:tcW w:w="1177" w:type="dxa"/>
            <w:tcBorders>
              <w:right w:val="nil"/>
            </w:tcBorders>
            <w:shd w:val="clear" w:color="auto" w:fill="DBE5F1" w:themeFill="accent1" w:themeFillTint="33"/>
            <w:noWrap/>
            <w:vAlign w:val="center"/>
          </w:tcPr>
          <w:p w14:paraId="17B39C89"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19</w:t>
            </w:r>
            <w:r>
              <w:rPr>
                <w:rFonts w:eastAsia="Times New Roman" w:cs="Arial"/>
                <w:b/>
                <w:lang w:eastAsia="en-AU"/>
              </w:rPr>
              <w:t>,</w:t>
            </w:r>
            <w:r w:rsidRPr="00676396">
              <w:rPr>
                <w:rFonts w:eastAsia="Times New Roman" w:cs="Arial"/>
                <w:b/>
                <w:lang w:eastAsia="en-AU"/>
              </w:rPr>
              <w:t>503</w:t>
            </w:r>
          </w:p>
        </w:tc>
        <w:tc>
          <w:tcPr>
            <w:tcW w:w="1177" w:type="dxa"/>
            <w:tcBorders>
              <w:left w:val="nil"/>
            </w:tcBorders>
            <w:shd w:val="clear" w:color="auto" w:fill="DBE5F1" w:themeFill="accent1" w:themeFillTint="33"/>
            <w:vAlign w:val="center"/>
          </w:tcPr>
          <w:p w14:paraId="6088FC39"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17</w:t>
            </w:r>
            <w:r>
              <w:rPr>
                <w:rFonts w:eastAsia="Times New Roman" w:cs="Arial"/>
                <w:b/>
                <w:lang w:eastAsia="en-AU"/>
              </w:rPr>
              <w:t>,</w:t>
            </w:r>
            <w:r w:rsidRPr="00676396">
              <w:rPr>
                <w:rFonts w:eastAsia="Times New Roman" w:cs="Arial"/>
                <w:b/>
                <w:lang w:eastAsia="en-AU"/>
              </w:rPr>
              <w:t>456</w:t>
            </w:r>
          </w:p>
        </w:tc>
      </w:tr>
      <w:tr w:rsidR="006B3CC1" w:rsidRPr="003324F1" w14:paraId="68996011" w14:textId="77777777" w:rsidTr="00F2448E">
        <w:trPr>
          <w:trHeight w:val="276"/>
        </w:trPr>
        <w:tc>
          <w:tcPr>
            <w:tcW w:w="2660" w:type="dxa"/>
            <w:shd w:val="clear" w:color="auto" w:fill="auto"/>
            <w:noWrap/>
            <w:hideMark/>
          </w:tcPr>
          <w:p w14:paraId="141071BA" w14:textId="77777777" w:rsidR="006B3CC1" w:rsidRPr="00F44E7A" w:rsidRDefault="006B3CC1"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1176" w:type="dxa"/>
            <w:tcBorders>
              <w:right w:val="nil"/>
            </w:tcBorders>
            <w:shd w:val="clear" w:color="auto" w:fill="auto"/>
            <w:noWrap/>
            <w:vAlign w:val="center"/>
          </w:tcPr>
          <w:p w14:paraId="55E7B09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19</w:t>
            </w:r>
            <w:r>
              <w:rPr>
                <w:rFonts w:eastAsia="Times New Roman" w:cs="Arial"/>
                <w:lang w:eastAsia="en-AU"/>
              </w:rPr>
              <w:t>,</w:t>
            </w:r>
            <w:r w:rsidRPr="00676396">
              <w:rPr>
                <w:rFonts w:eastAsia="Times New Roman" w:cs="Arial"/>
                <w:lang w:eastAsia="en-AU"/>
              </w:rPr>
              <w:t>058</w:t>
            </w:r>
          </w:p>
        </w:tc>
        <w:tc>
          <w:tcPr>
            <w:tcW w:w="1177" w:type="dxa"/>
            <w:tcBorders>
              <w:left w:val="nil"/>
            </w:tcBorders>
            <w:shd w:val="clear" w:color="auto" w:fill="auto"/>
            <w:vAlign w:val="center"/>
          </w:tcPr>
          <w:p w14:paraId="346F1874"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16</w:t>
            </w:r>
            <w:r>
              <w:rPr>
                <w:rFonts w:eastAsia="Times New Roman" w:cs="Arial"/>
                <w:lang w:eastAsia="en-AU"/>
              </w:rPr>
              <w:t>,</w:t>
            </w:r>
            <w:r w:rsidRPr="00676396">
              <w:rPr>
                <w:rFonts w:eastAsia="Times New Roman" w:cs="Arial"/>
                <w:lang w:eastAsia="en-AU"/>
              </w:rPr>
              <w:t>030</w:t>
            </w:r>
          </w:p>
        </w:tc>
        <w:tc>
          <w:tcPr>
            <w:tcW w:w="1176" w:type="dxa"/>
            <w:tcBorders>
              <w:right w:val="nil"/>
            </w:tcBorders>
            <w:shd w:val="clear" w:color="auto" w:fill="auto"/>
            <w:noWrap/>
            <w:vAlign w:val="center"/>
          </w:tcPr>
          <w:p w14:paraId="2509F46E"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209</w:t>
            </w:r>
          </w:p>
        </w:tc>
        <w:tc>
          <w:tcPr>
            <w:tcW w:w="1177" w:type="dxa"/>
            <w:tcBorders>
              <w:left w:val="nil"/>
            </w:tcBorders>
            <w:shd w:val="clear" w:color="auto" w:fill="auto"/>
            <w:vAlign w:val="center"/>
          </w:tcPr>
          <w:p w14:paraId="09F2F51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952</w:t>
            </w:r>
          </w:p>
        </w:tc>
        <w:tc>
          <w:tcPr>
            <w:tcW w:w="1177" w:type="dxa"/>
            <w:tcBorders>
              <w:right w:val="nil"/>
            </w:tcBorders>
            <w:shd w:val="clear" w:color="auto" w:fill="auto"/>
            <w:noWrap/>
            <w:vAlign w:val="center"/>
          </w:tcPr>
          <w:p w14:paraId="48B0E74B"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418</w:t>
            </w:r>
          </w:p>
        </w:tc>
        <w:tc>
          <w:tcPr>
            <w:tcW w:w="1176" w:type="dxa"/>
            <w:tcBorders>
              <w:left w:val="nil"/>
            </w:tcBorders>
            <w:shd w:val="clear" w:color="auto" w:fill="auto"/>
            <w:vAlign w:val="center"/>
          </w:tcPr>
          <w:p w14:paraId="45A5F8B8"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328</w:t>
            </w:r>
          </w:p>
        </w:tc>
        <w:tc>
          <w:tcPr>
            <w:tcW w:w="1177" w:type="dxa"/>
            <w:tcBorders>
              <w:right w:val="nil"/>
            </w:tcBorders>
            <w:shd w:val="clear" w:color="auto" w:fill="auto"/>
            <w:noWrap/>
            <w:vAlign w:val="center"/>
          </w:tcPr>
          <w:p w14:paraId="0B4387D5"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791</w:t>
            </w:r>
          </w:p>
        </w:tc>
        <w:tc>
          <w:tcPr>
            <w:tcW w:w="1176" w:type="dxa"/>
            <w:tcBorders>
              <w:left w:val="nil"/>
            </w:tcBorders>
            <w:shd w:val="clear" w:color="auto" w:fill="auto"/>
            <w:vAlign w:val="center"/>
          </w:tcPr>
          <w:p w14:paraId="38BEB9D1" w14:textId="77777777" w:rsidR="006B3CC1" w:rsidRPr="00676396" w:rsidRDefault="006B3CC1"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717</w:t>
            </w:r>
          </w:p>
        </w:tc>
        <w:tc>
          <w:tcPr>
            <w:tcW w:w="1177" w:type="dxa"/>
            <w:tcBorders>
              <w:right w:val="nil"/>
            </w:tcBorders>
            <w:shd w:val="clear" w:color="auto" w:fill="auto"/>
            <w:noWrap/>
            <w:vAlign w:val="center"/>
          </w:tcPr>
          <w:p w14:paraId="07EB4CB0"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25</w:t>
            </w:r>
            <w:r>
              <w:rPr>
                <w:rFonts w:eastAsia="Times New Roman" w:cs="Arial"/>
                <w:b/>
                <w:lang w:eastAsia="en-AU"/>
              </w:rPr>
              <w:t>,</w:t>
            </w:r>
            <w:r w:rsidRPr="00676396">
              <w:rPr>
                <w:rFonts w:eastAsia="Times New Roman" w:cs="Arial"/>
                <w:b/>
                <w:lang w:eastAsia="en-AU"/>
              </w:rPr>
              <w:t>267</w:t>
            </w:r>
          </w:p>
        </w:tc>
        <w:tc>
          <w:tcPr>
            <w:tcW w:w="1177" w:type="dxa"/>
            <w:tcBorders>
              <w:left w:val="nil"/>
            </w:tcBorders>
            <w:shd w:val="clear" w:color="auto" w:fill="auto"/>
            <w:vAlign w:val="center"/>
          </w:tcPr>
          <w:p w14:paraId="68E9B388"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20</w:t>
            </w:r>
            <w:r>
              <w:rPr>
                <w:rFonts w:eastAsia="Times New Roman" w:cs="Arial"/>
                <w:b/>
                <w:lang w:eastAsia="en-AU"/>
              </w:rPr>
              <w:t>,</w:t>
            </w:r>
            <w:r w:rsidRPr="00676396">
              <w:rPr>
                <w:rFonts w:eastAsia="Times New Roman" w:cs="Arial"/>
                <w:b/>
                <w:lang w:eastAsia="en-AU"/>
              </w:rPr>
              <w:t>520</w:t>
            </w:r>
          </w:p>
        </w:tc>
      </w:tr>
      <w:tr w:rsidR="006B3CC1" w:rsidRPr="00FD6E8E" w14:paraId="779E43EF" w14:textId="77777777" w:rsidTr="00F2448E">
        <w:trPr>
          <w:trHeight w:val="276"/>
        </w:trPr>
        <w:tc>
          <w:tcPr>
            <w:tcW w:w="2660" w:type="dxa"/>
            <w:shd w:val="clear" w:color="auto" w:fill="B8CCE4" w:themeFill="accent1" w:themeFillTint="66"/>
            <w:noWrap/>
            <w:hideMark/>
          </w:tcPr>
          <w:p w14:paraId="5F074916" w14:textId="77777777" w:rsidR="006B3CC1" w:rsidRPr="00FD6E8E" w:rsidRDefault="006B3CC1"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1176" w:type="dxa"/>
            <w:tcBorders>
              <w:right w:val="nil"/>
            </w:tcBorders>
            <w:shd w:val="clear" w:color="auto" w:fill="B8CCE4" w:themeFill="accent1" w:themeFillTint="66"/>
            <w:noWrap/>
            <w:vAlign w:val="center"/>
          </w:tcPr>
          <w:p w14:paraId="358BB3D3"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33</w:t>
            </w:r>
            <w:r>
              <w:rPr>
                <w:rFonts w:eastAsia="Times New Roman" w:cs="Arial"/>
                <w:b/>
                <w:lang w:eastAsia="en-AU"/>
              </w:rPr>
              <w:t>,</w:t>
            </w:r>
            <w:r w:rsidRPr="00676396">
              <w:rPr>
                <w:rFonts w:eastAsia="Times New Roman" w:cs="Arial"/>
                <w:b/>
                <w:lang w:eastAsia="en-AU"/>
              </w:rPr>
              <w:t>101</w:t>
            </w:r>
          </w:p>
        </w:tc>
        <w:tc>
          <w:tcPr>
            <w:tcW w:w="1177" w:type="dxa"/>
            <w:tcBorders>
              <w:left w:val="nil"/>
            </w:tcBorders>
            <w:shd w:val="clear" w:color="auto" w:fill="B8CCE4" w:themeFill="accent1" w:themeFillTint="66"/>
            <w:vAlign w:val="center"/>
          </w:tcPr>
          <w:p w14:paraId="4B7E6F88"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26</w:t>
            </w:r>
            <w:r>
              <w:rPr>
                <w:rFonts w:eastAsia="Times New Roman" w:cs="Arial"/>
                <w:b/>
                <w:lang w:eastAsia="en-AU"/>
              </w:rPr>
              <w:t>,</w:t>
            </w:r>
            <w:r w:rsidRPr="00676396">
              <w:rPr>
                <w:rFonts w:eastAsia="Times New Roman" w:cs="Arial"/>
                <w:b/>
                <w:lang w:eastAsia="en-AU"/>
              </w:rPr>
              <w:t>997</w:t>
            </w:r>
          </w:p>
        </w:tc>
        <w:tc>
          <w:tcPr>
            <w:tcW w:w="1176" w:type="dxa"/>
            <w:tcBorders>
              <w:right w:val="nil"/>
            </w:tcBorders>
            <w:shd w:val="clear" w:color="auto" w:fill="B8CCE4" w:themeFill="accent1" w:themeFillTint="66"/>
            <w:noWrap/>
            <w:vAlign w:val="center"/>
          </w:tcPr>
          <w:p w14:paraId="4C8991FE"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11</w:t>
            </w:r>
            <w:r>
              <w:rPr>
                <w:rFonts w:eastAsia="Times New Roman" w:cs="Arial"/>
                <w:b/>
                <w:lang w:eastAsia="en-AU"/>
              </w:rPr>
              <w:t>,</w:t>
            </w:r>
            <w:r w:rsidRPr="00676396">
              <w:rPr>
                <w:rFonts w:eastAsia="Times New Roman" w:cs="Arial"/>
                <w:b/>
                <w:lang w:eastAsia="en-AU"/>
              </w:rPr>
              <w:t>669</w:t>
            </w:r>
          </w:p>
        </w:tc>
        <w:tc>
          <w:tcPr>
            <w:tcW w:w="1177" w:type="dxa"/>
            <w:tcBorders>
              <w:left w:val="nil"/>
            </w:tcBorders>
            <w:shd w:val="clear" w:color="auto" w:fill="B8CCE4" w:themeFill="accent1" w:themeFillTint="66"/>
            <w:vAlign w:val="center"/>
          </w:tcPr>
          <w:p w14:paraId="54B29217"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945</w:t>
            </w:r>
          </w:p>
        </w:tc>
        <w:tc>
          <w:tcPr>
            <w:tcW w:w="1177" w:type="dxa"/>
            <w:tcBorders>
              <w:right w:val="nil"/>
            </w:tcBorders>
            <w:shd w:val="clear" w:color="auto" w:fill="B8CCE4" w:themeFill="accent1" w:themeFillTint="66"/>
            <w:noWrap/>
            <w:vAlign w:val="center"/>
          </w:tcPr>
          <w:p w14:paraId="619B6DDF"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782</w:t>
            </w:r>
          </w:p>
        </w:tc>
        <w:tc>
          <w:tcPr>
            <w:tcW w:w="1176" w:type="dxa"/>
            <w:tcBorders>
              <w:left w:val="nil"/>
            </w:tcBorders>
            <w:shd w:val="clear" w:color="auto" w:fill="B8CCE4" w:themeFill="accent1" w:themeFillTint="66"/>
            <w:vAlign w:val="center"/>
          </w:tcPr>
          <w:p w14:paraId="22D2E4F9"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541</w:t>
            </w:r>
          </w:p>
        </w:tc>
        <w:tc>
          <w:tcPr>
            <w:tcW w:w="1177" w:type="dxa"/>
            <w:tcBorders>
              <w:right w:val="nil"/>
            </w:tcBorders>
            <w:shd w:val="clear" w:color="auto" w:fill="B8CCE4" w:themeFill="accent1" w:themeFillTint="66"/>
            <w:noWrap/>
            <w:vAlign w:val="center"/>
          </w:tcPr>
          <w:p w14:paraId="0FA6D996"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887</w:t>
            </w:r>
          </w:p>
        </w:tc>
        <w:tc>
          <w:tcPr>
            <w:tcW w:w="1176" w:type="dxa"/>
            <w:tcBorders>
              <w:left w:val="nil"/>
            </w:tcBorders>
            <w:shd w:val="clear" w:color="auto" w:fill="B8CCE4" w:themeFill="accent1" w:themeFillTint="66"/>
            <w:vAlign w:val="center"/>
          </w:tcPr>
          <w:p w14:paraId="0EF5FAA7"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721</w:t>
            </w:r>
          </w:p>
        </w:tc>
        <w:tc>
          <w:tcPr>
            <w:tcW w:w="1177" w:type="dxa"/>
            <w:tcBorders>
              <w:right w:val="nil"/>
            </w:tcBorders>
            <w:shd w:val="clear" w:color="auto" w:fill="B8CCE4" w:themeFill="accent1" w:themeFillTint="66"/>
            <w:noWrap/>
            <w:vAlign w:val="center"/>
          </w:tcPr>
          <w:p w14:paraId="0D9DA420"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44</w:t>
            </w:r>
            <w:r>
              <w:rPr>
                <w:rFonts w:eastAsia="Times New Roman" w:cs="Arial"/>
                <w:b/>
                <w:lang w:eastAsia="en-AU"/>
              </w:rPr>
              <w:t>,</w:t>
            </w:r>
            <w:r w:rsidRPr="00676396">
              <w:rPr>
                <w:rFonts w:eastAsia="Times New Roman" w:cs="Arial"/>
                <w:b/>
                <w:lang w:eastAsia="en-AU"/>
              </w:rPr>
              <w:t>770</w:t>
            </w:r>
          </w:p>
        </w:tc>
        <w:tc>
          <w:tcPr>
            <w:tcW w:w="1177" w:type="dxa"/>
            <w:tcBorders>
              <w:left w:val="nil"/>
            </w:tcBorders>
            <w:shd w:val="clear" w:color="auto" w:fill="B8CCE4" w:themeFill="accent1" w:themeFillTint="66"/>
            <w:vAlign w:val="center"/>
          </w:tcPr>
          <w:p w14:paraId="73AE0FBA" w14:textId="77777777" w:rsidR="006B3CC1" w:rsidRPr="00676396" w:rsidRDefault="006B3CC1" w:rsidP="00CE2FDF">
            <w:pPr>
              <w:spacing w:before="0" w:line="276" w:lineRule="auto"/>
              <w:jc w:val="right"/>
              <w:rPr>
                <w:rFonts w:eastAsia="Times New Roman" w:cs="Arial"/>
                <w:b/>
                <w:lang w:eastAsia="en-AU"/>
              </w:rPr>
            </w:pPr>
            <w:r w:rsidRPr="00676396">
              <w:rPr>
                <w:rFonts w:eastAsia="Times New Roman" w:cs="Arial"/>
                <w:b/>
                <w:lang w:eastAsia="en-AU"/>
              </w:rPr>
              <w:t>34</w:t>
            </w:r>
            <w:r>
              <w:rPr>
                <w:rFonts w:eastAsia="Times New Roman" w:cs="Arial"/>
                <w:b/>
                <w:lang w:eastAsia="en-AU"/>
              </w:rPr>
              <w:t>,</w:t>
            </w:r>
            <w:r w:rsidRPr="00676396">
              <w:rPr>
                <w:rFonts w:eastAsia="Times New Roman" w:cs="Arial"/>
                <w:b/>
                <w:lang w:eastAsia="en-AU"/>
              </w:rPr>
              <w:t>781</w:t>
            </w:r>
          </w:p>
        </w:tc>
      </w:tr>
    </w:tbl>
    <w:p w14:paraId="0DA12149" w14:textId="77777777" w:rsidR="009654BA" w:rsidRDefault="009654BA" w:rsidP="00B15586">
      <w:pPr>
        <w:spacing w:after="200" w:line="276" w:lineRule="auto"/>
      </w:pPr>
      <w:r>
        <w:br w:type="page"/>
      </w:r>
    </w:p>
    <w:p w14:paraId="7986B1ED" w14:textId="77777777" w:rsidR="00A269A5" w:rsidRDefault="00A269A5" w:rsidP="0095311F">
      <w:pPr>
        <w:pStyle w:val="Figureheading"/>
      </w:pPr>
      <w:r>
        <w:lastRenderedPageBreak/>
        <w:t>3.2</w:t>
      </w:r>
      <w:r w:rsidR="007B717D">
        <w:t>7</w:t>
      </w:r>
      <w:r>
        <w:tab/>
      </w:r>
      <w:r w:rsidR="00F643B7" w:rsidRPr="00D74CC3">
        <w:t>Number of reports</w:t>
      </w:r>
      <w:r w:rsidR="00F643B7">
        <w:t xml:space="preserve"> </w:t>
      </w:r>
      <w:r>
        <w:t xml:space="preserve">for 2010, </w:t>
      </w:r>
      <w:r w:rsidR="00F643B7" w:rsidRPr="00D74CC3">
        <w:t>by abuse type,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70"/>
        <w:gridCol w:w="1471"/>
        <w:gridCol w:w="1471"/>
        <w:gridCol w:w="1471"/>
        <w:gridCol w:w="1470"/>
        <w:gridCol w:w="1471"/>
        <w:gridCol w:w="1471"/>
        <w:gridCol w:w="1471"/>
      </w:tblGrid>
      <w:tr w:rsidR="00F643B7" w:rsidRPr="00F44E7A" w14:paraId="6D9773EC" w14:textId="77777777" w:rsidTr="00137AE1">
        <w:trPr>
          <w:trHeight w:val="365"/>
          <w:tblHeader/>
        </w:trPr>
        <w:tc>
          <w:tcPr>
            <w:tcW w:w="2660" w:type="dxa"/>
            <w:shd w:val="clear" w:color="auto" w:fill="B8CCE4" w:themeFill="accent1" w:themeFillTint="66"/>
            <w:noWrap/>
            <w:hideMark/>
          </w:tcPr>
          <w:p w14:paraId="3F64CB15" w14:textId="77777777" w:rsidR="00F643B7" w:rsidRPr="00F44E7A" w:rsidRDefault="00F643B7" w:rsidP="00CE2FDF">
            <w:pPr>
              <w:spacing w:before="0" w:line="276" w:lineRule="auto"/>
              <w:rPr>
                <w:rFonts w:eastAsia="Times New Roman" w:cs="Arial"/>
                <w:b/>
                <w:lang w:eastAsia="en-AU"/>
              </w:rPr>
            </w:pPr>
          </w:p>
        </w:tc>
        <w:tc>
          <w:tcPr>
            <w:tcW w:w="2941" w:type="dxa"/>
            <w:gridSpan w:val="2"/>
            <w:shd w:val="clear" w:color="auto" w:fill="B8CCE4" w:themeFill="accent1" w:themeFillTint="66"/>
            <w:noWrap/>
            <w:vAlign w:val="center"/>
            <w:hideMark/>
          </w:tcPr>
          <w:p w14:paraId="18CFB362" w14:textId="77777777" w:rsidR="00F643B7" w:rsidRPr="00F44E7A" w:rsidRDefault="00F643B7"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73216667" w14:textId="77777777" w:rsidR="00F643B7" w:rsidRPr="00F44E7A" w:rsidRDefault="00F643B7"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63627946" w14:textId="77777777" w:rsidR="00F643B7" w:rsidRPr="00F44E7A" w:rsidRDefault="00F643B7"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53D35602" w14:textId="77777777" w:rsidR="00F643B7" w:rsidRPr="00F44E7A" w:rsidRDefault="00F643B7"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F643B7" w:rsidRPr="00F44E7A" w14:paraId="5DC7393C" w14:textId="77777777" w:rsidTr="00137AE1">
        <w:trPr>
          <w:trHeight w:val="271"/>
          <w:tblHeader/>
        </w:trPr>
        <w:tc>
          <w:tcPr>
            <w:tcW w:w="2660" w:type="dxa"/>
            <w:shd w:val="clear" w:color="auto" w:fill="B8CCE4" w:themeFill="accent1" w:themeFillTint="66"/>
            <w:noWrap/>
            <w:hideMark/>
          </w:tcPr>
          <w:p w14:paraId="664725D5" w14:textId="77777777" w:rsidR="00F643B7" w:rsidRPr="00F44E7A" w:rsidRDefault="00F643B7" w:rsidP="00CE2FDF">
            <w:pPr>
              <w:spacing w:before="0" w:line="276"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52835B62" w14:textId="77777777" w:rsidR="00F643B7" w:rsidRPr="00F44E7A" w:rsidRDefault="00F643B7"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145593DF" w14:textId="77777777" w:rsidR="00F643B7" w:rsidRPr="00F44E7A" w:rsidRDefault="00F643B7"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3216A09D" w14:textId="77777777" w:rsidR="00F643B7" w:rsidRPr="00F44E7A" w:rsidRDefault="00F643B7"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291C6F45" w14:textId="77777777" w:rsidR="00F643B7" w:rsidRPr="00F44E7A" w:rsidRDefault="00F643B7" w:rsidP="00CE2FDF">
            <w:pPr>
              <w:spacing w:before="0" w:line="276"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42E56170" w14:textId="77777777" w:rsidR="00F643B7" w:rsidRPr="00F44E7A" w:rsidRDefault="00F643B7"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74D7E871" w14:textId="77777777" w:rsidR="00F643B7" w:rsidRPr="00F44E7A" w:rsidRDefault="00F643B7"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19FD2054" w14:textId="77777777" w:rsidR="00F643B7" w:rsidRPr="00F44E7A" w:rsidRDefault="00F643B7"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1ECDF1F0" w14:textId="77777777" w:rsidR="00F643B7" w:rsidRPr="00F44E7A" w:rsidRDefault="00F643B7" w:rsidP="00CE2FDF">
            <w:pPr>
              <w:spacing w:before="0" w:line="276" w:lineRule="auto"/>
              <w:jc w:val="right"/>
              <w:rPr>
                <w:rFonts w:eastAsia="Times New Roman" w:cs="Arial"/>
                <w:b/>
                <w:lang w:eastAsia="en-AU"/>
              </w:rPr>
            </w:pPr>
            <w:r>
              <w:rPr>
                <w:rFonts w:eastAsia="Times New Roman" w:cs="Arial"/>
                <w:b/>
                <w:lang w:eastAsia="en-AU"/>
              </w:rPr>
              <w:t>Children</w:t>
            </w:r>
          </w:p>
        </w:tc>
      </w:tr>
      <w:tr w:rsidR="00F643B7" w:rsidRPr="003324F1" w14:paraId="7AD0CDD3" w14:textId="77777777" w:rsidTr="00F2448E">
        <w:trPr>
          <w:trHeight w:val="276"/>
        </w:trPr>
        <w:tc>
          <w:tcPr>
            <w:tcW w:w="2660" w:type="dxa"/>
            <w:noWrap/>
            <w:hideMark/>
          </w:tcPr>
          <w:p w14:paraId="3EEBA3B7" w14:textId="77777777" w:rsidR="00F643B7" w:rsidRPr="00F44E7A" w:rsidRDefault="00F643B7" w:rsidP="00CE2FDF">
            <w:pPr>
              <w:spacing w:before="0" w:line="276" w:lineRule="auto"/>
              <w:rPr>
                <w:rFonts w:eastAsia="Times New Roman" w:cs="Arial"/>
                <w:b/>
                <w:lang w:eastAsia="en-AU"/>
              </w:rPr>
            </w:pPr>
            <w:r w:rsidRPr="00F44E7A">
              <w:rPr>
                <w:rFonts w:eastAsia="Times New Roman" w:cs="Arial"/>
                <w:b/>
                <w:lang w:eastAsia="en-AU"/>
              </w:rPr>
              <w:t>Doctors</w:t>
            </w:r>
          </w:p>
        </w:tc>
        <w:tc>
          <w:tcPr>
            <w:tcW w:w="1470" w:type="dxa"/>
            <w:tcBorders>
              <w:right w:val="nil"/>
            </w:tcBorders>
            <w:noWrap/>
            <w:vAlign w:val="center"/>
          </w:tcPr>
          <w:p w14:paraId="70F4730D"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320</w:t>
            </w:r>
          </w:p>
        </w:tc>
        <w:tc>
          <w:tcPr>
            <w:tcW w:w="1471" w:type="dxa"/>
            <w:tcBorders>
              <w:left w:val="nil"/>
            </w:tcBorders>
            <w:vAlign w:val="center"/>
          </w:tcPr>
          <w:p w14:paraId="6CEEB62D"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318</w:t>
            </w:r>
          </w:p>
        </w:tc>
        <w:tc>
          <w:tcPr>
            <w:tcW w:w="1471" w:type="dxa"/>
            <w:tcBorders>
              <w:right w:val="nil"/>
            </w:tcBorders>
            <w:noWrap/>
            <w:vAlign w:val="center"/>
          </w:tcPr>
          <w:p w14:paraId="1CCFD15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167</w:t>
            </w:r>
          </w:p>
        </w:tc>
        <w:tc>
          <w:tcPr>
            <w:tcW w:w="1471" w:type="dxa"/>
            <w:tcBorders>
              <w:left w:val="nil"/>
            </w:tcBorders>
            <w:vAlign w:val="center"/>
          </w:tcPr>
          <w:p w14:paraId="6B9DB25E"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165</w:t>
            </w:r>
          </w:p>
        </w:tc>
        <w:tc>
          <w:tcPr>
            <w:tcW w:w="1470" w:type="dxa"/>
            <w:tcBorders>
              <w:right w:val="nil"/>
            </w:tcBorders>
            <w:noWrap/>
            <w:vAlign w:val="center"/>
          </w:tcPr>
          <w:p w14:paraId="1BD0A4DB"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427</w:t>
            </w:r>
          </w:p>
        </w:tc>
        <w:tc>
          <w:tcPr>
            <w:tcW w:w="1471" w:type="dxa"/>
            <w:tcBorders>
              <w:left w:val="nil"/>
            </w:tcBorders>
            <w:vAlign w:val="center"/>
          </w:tcPr>
          <w:p w14:paraId="2E511DD5"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427</w:t>
            </w:r>
          </w:p>
        </w:tc>
        <w:tc>
          <w:tcPr>
            <w:tcW w:w="1471" w:type="dxa"/>
            <w:tcBorders>
              <w:right w:val="nil"/>
            </w:tcBorders>
            <w:noWrap/>
            <w:vAlign w:val="center"/>
          </w:tcPr>
          <w:p w14:paraId="78F237A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191</w:t>
            </w:r>
          </w:p>
        </w:tc>
        <w:tc>
          <w:tcPr>
            <w:tcW w:w="1471" w:type="dxa"/>
            <w:tcBorders>
              <w:left w:val="nil"/>
            </w:tcBorders>
            <w:vAlign w:val="center"/>
          </w:tcPr>
          <w:p w14:paraId="7F4E52F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190</w:t>
            </w:r>
          </w:p>
        </w:tc>
      </w:tr>
      <w:tr w:rsidR="00F643B7" w:rsidRPr="003324F1" w14:paraId="231F350E" w14:textId="77777777" w:rsidTr="00F2448E">
        <w:trPr>
          <w:trHeight w:val="276"/>
        </w:trPr>
        <w:tc>
          <w:tcPr>
            <w:tcW w:w="2660" w:type="dxa"/>
            <w:shd w:val="clear" w:color="auto" w:fill="DBE5F1" w:themeFill="accent1" w:themeFillTint="33"/>
            <w:noWrap/>
            <w:hideMark/>
          </w:tcPr>
          <w:p w14:paraId="3775159C" w14:textId="77777777" w:rsidR="00F643B7" w:rsidRPr="00F44E7A" w:rsidRDefault="00F643B7" w:rsidP="00CE2FDF">
            <w:pPr>
              <w:spacing w:before="0" w:line="276" w:lineRule="auto"/>
              <w:rPr>
                <w:rFonts w:eastAsia="Times New Roman" w:cs="Arial"/>
                <w:b/>
                <w:lang w:eastAsia="en-AU"/>
              </w:rPr>
            </w:pPr>
            <w:r w:rsidRPr="00F44E7A">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21CAC23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706</w:t>
            </w:r>
          </w:p>
        </w:tc>
        <w:tc>
          <w:tcPr>
            <w:tcW w:w="1471" w:type="dxa"/>
            <w:tcBorders>
              <w:left w:val="nil"/>
            </w:tcBorders>
            <w:shd w:val="clear" w:color="auto" w:fill="DBE5F1" w:themeFill="accent1" w:themeFillTint="33"/>
            <w:vAlign w:val="center"/>
          </w:tcPr>
          <w:p w14:paraId="7A886DF8"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687</w:t>
            </w:r>
          </w:p>
        </w:tc>
        <w:tc>
          <w:tcPr>
            <w:tcW w:w="1471" w:type="dxa"/>
            <w:tcBorders>
              <w:right w:val="nil"/>
            </w:tcBorders>
            <w:shd w:val="clear" w:color="auto" w:fill="DBE5F1" w:themeFill="accent1" w:themeFillTint="33"/>
            <w:noWrap/>
            <w:vAlign w:val="center"/>
          </w:tcPr>
          <w:p w14:paraId="5EEFCEAF"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300</w:t>
            </w:r>
          </w:p>
        </w:tc>
        <w:tc>
          <w:tcPr>
            <w:tcW w:w="1471" w:type="dxa"/>
            <w:tcBorders>
              <w:left w:val="nil"/>
            </w:tcBorders>
            <w:shd w:val="clear" w:color="auto" w:fill="DBE5F1" w:themeFill="accent1" w:themeFillTint="33"/>
            <w:vAlign w:val="center"/>
          </w:tcPr>
          <w:p w14:paraId="30D8F8B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296</w:t>
            </w:r>
          </w:p>
        </w:tc>
        <w:tc>
          <w:tcPr>
            <w:tcW w:w="1470" w:type="dxa"/>
            <w:tcBorders>
              <w:right w:val="nil"/>
            </w:tcBorders>
            <w:shd w:val="clear" w:color="auto" w:fill="DBE5F1" w:themeFill="accent1" w:themeFillTint="33"/>
            <w:noWrap/>
            <w:vAlign w:val="center"/>
          </w:tcPr>
          <w:p w14:paraId="0EC9BECD"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530</w:t>
            </w:r>
          </w:p>
        </w:tc>
        <w:tc>
          <w:tcPr>
            <w:tcW w:w="1471" w:type="dxa"/>
            <w:tcBorders>
              <w:left w:val="nil"/>
            </w:tcBorders>
            <w:shd w:val="clear" w:color="auto" w:fill="DBE5F1" w:themeFill="accent1" w:themeFillTint="33"/>
            <w:vAlign w:val="center"/>
          </w:tcPr>
          <w:p w14:paraId="6CA974CB"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523</w:t>
            </w:r>
          </w:p>
        </w:tc>
        <w:tc>
          <w:tcPr>
            <w:tcW w:w="1471" w:type="dxa"/>
            <w:tcBorders>
              <w:right w:val="nil"/>
            </w:tcBorders>
            <w:shd w:val="clear" w:color="auto" w:fill="DBE5F1" w:themeFill="accent1" w:themeFillTint="33"/>
            <w:noWrap/>
            <w:vAlign w:val="center"/>
          </w:tcPr>
          <w:p w14:paraId="3BF2840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72</w:t>
            </w:r>
          </w:p>
        </w:tc>
        <w:tc>
          <w:tcPr>
            <w:tcW w:w="1471" w:type="dxa"/>
            <w:tcBorders>
              <w:left w:val="nil"/>
            </w:tcBorders>
            <w:shd w:val="clear" w:color="auto" w:fill="DBE5F1" w:themeFill="accent1" w:themeFillTint="33"/>
            <w:vAlign w:val="center"/>
          </w:tcPr>
          <w:p w14:paraId="61C0238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72</w:t>
            </w:r>
          </w:p>
        </w:tc>
      </w:tr>
      <w:tr w:rsidR="00F643B7" w:rsidRPr="003324F1" w14:paraId="50A84EE9" w14:textId="77777777" w:rsidTr="00F2448E">
        <w:trPr>
          <w:trHeight w:val="276"/>
        </w:trPr>
        <w:tc>
          <w:tcPr>
            <w:tcW w:w="2660" w:type="dxa"/>
            <w:noWrap/>
            <w:hideMark/>
          </w:tcPr>
          <w:p w14:paraId="7F43131A" w14:textId="77777777" w:rsidR="00F643B7" w:rsidRPr="00F44E7A" w:rsidRDefault="00F643B7" w:rsidP="00CE2FDF">
            <w:pPr>
              <w:spacing w:before="0" w:line="276"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noWrap/>
            <w:vAlign w:val="center"/>
          </w:tcPr>
          <w:p w14:paraId="4B40D56A"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8</w:t>
            </w:r>
            <w:r>
              <w:rPr>
                <w:rFonts w:eastAsia="Times New Roman" w:cs="Arial"/>
                <w:lang w:eastAsia="en-AU"/>
              </w:rPr>
              <w:t>,</w:t>
            </w:r>
            <w:r w:rsidRPr="00676396">
              <w:rPr>
                <w:rFonts w:eastAsia="Times New Roman" w:cs="Arial"/>
                <w:lang w:eastAsia="en-AU"/>
              </w:rPr>
              <w:t>556</w:t>
            </w:r>
          </w:p>
        </w:tc>
        <w:tc>
          <w:tcPr>
            <w:tcW w:w="1471" w:type="dxa"/>
            <w:tcBorders>
              <w:left w:val="nil"/>
            </w:tcBorders>
            <w:vAlign w:val="center"/>
          </w:tcPr>
          <w:p w14:paraId="11481ED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945</w:t>
            </w:r>
          </w:p>
        </w:tc>
        <w:tc>
          <w:tcPr>
            <w:tcW w:w="1471" w:type="dxa"/>
            <w:tcBorders>
              <w:right w:val="nil"/>
            </w:tcBorders>
            <w:noWrap/>
            <w:vAlign w:val="center"/>
          </w:tcPr>
          <w:p w14:paraId="16D42E6C"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588</w:t>
            </w:r>
          </w:p>
        </w:tc>
        <w:tc>
          <w:tcPr>
            <w:tcW w:w="1471" w:type="dxa"/>
            <w:tcBorders>
              <w:left w:val="nil"/>
            </w:tcBorders>
            <w:vAlign w:val="center"/>
          </w:tcPr>
          <w:p w14:paraId="6505929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580</w:t>
            </w:r>
          </w:p>
        </w:tc>
        <w:tc>
          <w:tcPr>
            <w:tcW w:w="1470" w:type="dxa"/>
            <w:tcBorders>
              <w:right w:val="nil"/>
            </w:tcBorders>
            <w:noWrap/>
            <w:vAlign w:val="center"/>
          </w:tcPr>
          <w:p w14:paraId="21D49A65"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154</w:t>
            </w:r>
          </w:p>
        </w:tc>
        <w:tc>
          <w:tcPr>
            <w:tcW w:w="1471" w:type="dxa"/>
            <w:tcBorders>
              <w:left w:val="nil"/>
            </w:tcBorders>
            <w:vAlign w:val="center"/>
          </w:tcPr>
          <w:p w14:paraId="7433E6BC"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075</w:t>
            </w:r>
          </w:p>
        </w:tc>
        <w:tc>
          <w:tcPr>
            <w:tcW w:w="1471" w:type="dxa"/>
            <w:tcBorders>
              <w:right w:val="nil"/>
            </w:tcBorders>
            <w:noWrap/>
            <w:vAlign w:val="center"/>
          </w:tcPr>
          <w:p w14:paraId="0627B688"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046</w:t>
            </w:r>
          </w:p>
        </w:tc>
        <w:tc>
          <w:tcPr>
            <w:tcW w:w="1471" w:type="dxa"/>
            <w:tcBorders>
              <w:left w:val="nil"/>
            </w:tcBorders>
            <w:vAlign w:val="center"/>
          </w:tcPr>
          <w:p w14:paraId="3C92392D"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004</w:t>
            </w:r>
          </w:p>
        </w:tc>
      </w:tr>
      <w:tr w:rsidR="00F643B7" w:rsidRPr="003324F1" w14:paraId="5D12427B" w14:textId="77777777" w:rsidTr="00F2448E">
        <w:trPr>
          <w:trHeight w:val="276"/>
        </w:trPr>
        <w:tc>
          <w:tcPr>
            <w:tcW w:w="2660" w:type="dxa"/>
            <w:shd w:val="clear" w:color="auto" w:fill="DBE5F1" w:themeFill="accent1" w:themeFillTint="33"/>
            <w:noWrap/>
            <w:hideMark/>
          </w:tcPr>
          <w:p w14:paraId="63E81922" w14:textId="77777777" w:rsidR="00F643B7" w:rsidRPr="00F44E7A" w:rsidRDefault="00F643B7" w:rsidP="00CE2FDF">
            <w:pPr>
              <w:spacing w:before="0" w:line="276"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DBE5F1" w:themeFill="accent1" w:themeFillTint="33"/>
            <w:noWrap/>
            <w:vAlign w:val="center"/>
          </w:tcPr>
          <w:p w14:paraId="5A191B0C"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871</w:t>
            </w:r>
          </w:p>
        </w:tc>
        <w:tc>
          <w:tcPr>
            <w:tcW w:w="1471" w:type="dxa"/>
            <w:tcBorders>
              <w:left w:val="nil"/>
            </w:tcBorders>
            <w:shd w:val="clear" w:color="auto" w:fill="DBE5F1" w:themeFill="accent1" w:themeFillTint="33"/>
            <w:vAlign w:val="center"/>
          </w:tcPr>
          <w:p w14:paraId="102F7234"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678</w:t>
            </w:r>
          </w:p>
        </w:tc>
        <w:tc>
          <w:tcPr>
            <w:tcW w:w="1471" w:type="dxa"/>
            <w:tcBorders>
              <w:right w:val="nil"/>
            </w:tcBorders>
            <w:shd w:val="clear" w:color="auto" w:fill="DBE5F1" w:themeFill="accent1" w:themeFillTint="33"/>
            <w:noWrap/>
            <w:vAlign w:val="center"/>
          </w:tcPr>
          <w:p w14:paraId="073CFC6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507</w:t>
            </w:r>
          </w:p>
        </w:tc>
        <w:tc>
          <w:tcPr>
            <w:tcW w:w="1471" w:type="dxa"/>
            <w:tcBorders>
              <w:left w:val="nil"/>
            </w:tcBorders>
            <w:shd w:val="clear" w:color="auto" w:fill="DBE5F1" w:themeFill="accent1" w:themeFillTint="33"/>
            <w:vAlign w:val="center"/>
          </w:tcPr>
          <w:p w14:paraId="49AAAD4A"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495</w:t>
            </w:r>
          </w:p>
        </w:tc>
        <w:tc>
          <w:tcPr>
            <w:tcW w:w="1470" w:type="dxa"/>
            <w:tcBorders>
              <w:right w:val="nil"/>
            </w:tcBorders>
            <w:shd w:val="clear" w:color="auto" w:fill="DBE5F1" w:themeFill="accent1" w:themeFillTint="33"/>
            <w:noWrap/>
            <w:vAlign w:val="center"/>
          </w:tcPr>
          <w:p w14:paraId="33C6D57D"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340</w:t>
            </w:r>
          </w:p>
        </w:tc>
        <w:tc>
          <w:tcPr>
            <w:tcW w:w="1471" w:type="dxa"/>
            <w:tcBorders>
              <w:left w:val="nil"/>
            </w:tcBorders>
            <w:shd w:val="clear" w:color="auto" w:fill="DBE5F1" w:themeFill="accent1" w:themeFillTint="33"/>
            <w:vAlign w:val="center"/>
          </w:tcPr>
          <w:p w14:paraId="6DF8DB92"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214</w:t>
            </w:r>
          </w:p>
        </w:tc>
        <w:tc>
          <w:tcPr>
            <w:tcW w:w="1471" w:type="dxa"/>
            <w:tcBorders>
              <w:right w:val="nil"/>
            </w:tcBorders>
            <w:shd w:val="clear" w:color="auto" w:fill="DBE5F1" w:themeFill="accent1" w:themeFillTint="33"/>
            <w:noWrap/>
            <w:vAlign w:val="center"/>
          </w:tcPr>
          <w:p w14:paraId="7F0C74F5"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783</w:t>
            </w:r>
          </w:p>
        </w:tc>
        <w:tc>
          <w:tcPr>
            <w:tcW w:w="1471" w:type="dxa"/>
            <w:tcBorders>
              <w:left w:val="nil"/>
            </w:tcBorders>
            <w:shd w:val="clear" w:color="auto" w:fill="DBE5F1" w:themeFill="accent1" w:themeFillTint="33"/>
            <w:vAlign w:val="center"/>
          </w:tcPr>
          <w:p w14:paraId="1BEFE43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773</w:t>
            </w:r>
          </w:p>
        </w:tc>
      </w:tr>
      <w:tr w:rsidR="00F643B7" w:rsidRPr="003324F1" w14:paraId="10A09818" w14:textId="77777777" w:rsidTr="00F2448E">
        <w:trPr>
          <w:trHeight w:val="276"/>
        </w:trPr>
        <w:tc>
          <w:tcPr>
            <w:tcW w:w="2660" w:type="dxa"/>
            <w:shd w:val="clear" w:color="auto" w:fill="auto"/>
            <w:noWrap/>
            <w:hideMark/>
          </w:tcPr>
          <w:p w14:paraId="208D4D3D" w14:textId="77777777" w:rsidR="00F643B7" w:rsidRPr="00F44E7A" w:rsidRDefault="00F643B7" w:rsidP="00CE2FDF">
            <w:pPr>
              <w:spacing w:before="0" w:line="276" w:lineRule="auto"/>
              <w:rPr>
                <w:rFonts w:eastAsia="Times New Roman" w:cs="Arial"/>
                <w:b/>
                <w:lang w:eastAsia="en-AU"/>
              </w:rPr>
            </w:pPr>
            <w:r>
              <w:rPr>
                <w:rFonts w:eastAsia="Times New Roman" w:cs="Arial"/>
                <w:b/>
                <w:lang w:eastAsia="en-AU"/>
              </w:rPr>
              <w:t>Psychiatrists</w:t>
            </w:r>
          </w:p>
        </w:tc>
        <w:tc>
          <w:tcPr>
            <w:tcW w:w="1470" w:type="dxa"/>
            <w:tcBorders>
              <w:right w:val="nil"/>
            </w:tcBorders>
            <w:shd w:val="clear" w:color="auto" w:fill="auto"/>
            <w:noWrap/>
            <w:vAlign w:val="center"/>
          </w:tcPr>
          <w:p w14:paraId="67D8EDDB"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94</w:t>
            </w:r>
          </w:p>
        </w:tc>
        <w:tc>
          <w:tcPr>
            <w:tcW w:w="1471" w:type="dxa"/>
            <w:tcBorders>
              <w:left w:val="nil"/>
            </w:tcBorders>
            <w:shd w:val="clear" w:color="auto" w:fill="auto"/>
            <w:vAlign w:val="center"/>
          </w:tcPr>
          <w:p w14:paraId="0829DC74"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94</w:t>
            </w:r>
          </w:p>
        </w:tc>
        <w:tc>
          <w:tcPr>
            <w:tcW w:w="1471" w:type="dxa"/>
            <w:tcBorders>
              <w:right w:val="nil"/>
            </w:tcBorders>
            <w:shd w:val="clear" w:color="auto" w:fill="auto"/>
            <w:noWrap/>
            <w:vAlign w:val="center"/>
          </w:tcPr>
          <w:p w14:paraId="48FB0536"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18</w:t>
            </w:r>
          </w:p>
        </w:tc>
        <w:tc>
          <w:tcPr>
            <w:tcW w:w="1471" w:type="dxa"/>
            <w:tcBorders>
              <w:left w:val="nil"/>
            </w:tcBorders>
            <w:shd w:val="clear" w:color="auto" w:fill="auto"/>
            <w:vAlign w:val="center"/>
          </w:tcPr>
          <w:p w14:paraId="6103D5DC"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18</w:t>
            </w:r>
          </w:p>
        </w:tc>
        <w:tc>
          <w:tcPr>
            <w:tcW w:w="1470" w:type="dxa"/>
            <w:tcBorders>
              <w:right w:val="nil"/>
            </w:tcBorders>
            <w:shd w:val="clear" w:color="auto" w:fill="auto"/>
            <w:noWrap/>
            <w:vAlign w:val="center"/>
          </w:tcPr>
          <w:p w14:paraId="6B3052AE"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68</w:t>
            </w:r>
          </w:p>
        </w:tc>
        <w:tc>
          <w:tcPr>
            <w:tcW w:w="1471" w:type="dxa"/>
            <w:tcBorders>
              <w:left w:val="nil"/>
            </w:tcBorders>
            <w:shd w:val="clear" w:color="auto" w:fill="auto"/>
            <w:vAlign w:val="center"/>
          </w:tcPr>
          <w:p w14:paraId="37E0BD6B"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68</w:t>
            </w:r>
          </w:p>
        </w:tc>
        <w:tc>
          <w:tcPr>
            <w:tcW w:w="1471" w:type="dxa"/>
            <w:tcBorders>
              <w:right w:val="nil"/>
            </w:tcBorders>
            <w:shd w:val="clear" w:color="auto" w:fill="auto"/>
            <w:noWrap/>
            <w:vAlign w:val="center"/>
          </w:tcPr>
          <w:p w14:paraId="43CF9467"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21</w:t>
            </w:r>
          </w:p>
        </w:tc>
        <w:tc>
          <w:tcPr>
            <w:tcW w:w="1471" w:type="dxa"/>
            <w:tcBorders>
              <w:left w:val="nil"/>
            </w:tcBorders>
            <w:shd w:val="clear" w:color="auto" w:fill="auto"/>
            <w:vAlign w:val="center"/>
          </w:tcPr>
          <w:p w14:paraId="0D7D07CA"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21</w:t>
            </w:r>
          </w:p>
        </w:tc>
      </w:tr>
      <w:tr w:rsidR="00F643B7" w:rsidRPr="003324F1" w14:paraId="3D7AC0A7" w14:textId="77777777" w:rsidTr="00F2448E">
        <w:trPr>
          <w:trHeight w:val="276"/>
        </w:trPr>
        <w:tc>
          <w:tcPr>
            <w:tcW w:w="2660" w:type="dxa"/>
            <w:shd w:val="clear" w:color="auto" w:fill="DBE5F1" w:themeFill="accent1" w:themeFillTint="33"/>
            <w:noWrap/>
            <w:hideMark/>
          </w:tcPr>
          <w:p w14:paraId="7BF77DAC" w14:textId="77777777" w:rsidR="00F643B7" w:rsidRPr="00F44E7A" w:rsidRDefault="00F643B7"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470" w:type="dxa"/>
            <w:tcBorders>
              <w:right w:val="nil"/>
            </w:tcBorders>
            <w:shd w:val="clear" w:color="auto" w:fill="DBE5F1" w:themeFill="accent1" w:themeFillTint="33"/>
            <w:noWrap/>
            <w:vAlign w:val="center"/>
          </w:tcPr>
          <w:p w14:paraId="609D2F16"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12</w:t>
            </w:r>
            <w:r>
              <w:rPr>
                <w:rFonts w:eastAsia="Times New Roman" w:cs="Arial"/>
                <w:lang w:eastAsia="en-AU"/>
              </w:rPr>
              <w:t>,</w:t>
            </w:r>
            <w:r w:rsidRPr="00676396">
              <w:rPr>
                <w:rFonts w:eastAsia="Times New Roman" w:cs="Arial"/>
                <w:lang w:eastAsia="en-AU"/>
              </w:rPr>
              <w:t>547</w:t>
            </w:r>
          </w:p>
        </w:tc>
        <w:tc>
          <w:tcPr>
            <w:tcW w:w="1471" w:type="dxa"/>
            <w:tcBorders>
              <w:left w:val="nil"/>
            </w:tcBorders>
            <w:shd w:val="clear" w:color="auto" w:fill="DBE5F1" w:themeFill="accent1" w:themeFillTint="33"/>
            <w:vAlign w:val="center"/>
          </w:tcPr>
          <w:p w14:paraId="092445B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11</w:t>
            </w:r>
            <w:r>
              <w:rPr>
                <w:rFonts w:eastAsia="Times New Roman" w:cs="Arial"/>
                <w:lang w:eastAsia="en-AU"/>
              </w:rPr>
              <w:t>,</w:t>
            </w:r>
            <w:r w:rsidRPr="00676396">
              <w:rPr>
                <w:rFonts w:eastAsia="Times New Roman" w:cs="Arial"/>
                <w:lang w:eastAsia="en-AU"/>
              </w:rPr>
              <w:t>436</w:t>
            </w:r>
          </w:p>
        </w:tc>
        <w:tc>
          <w:tcPr>
            <w:tcW w:w="1471" w:type="dxa"/>
            <w:tcBorders>
              <w:right w:val="nil"/>
            </w:tcBorders>
            <w:shd w:val="clear" w:color="auto" w:fill="DBE5F1" w:themeFill="accent1" w:themeFillTint="33"/>
            <w:noWrap/>
            <w:vAlign w:val="center"/>
          </w:tcPr>
          <w:p w14:paraId="4F937ECE"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580</w:t>
            </w:r>
          </w:p>
        </w:tc>
        <w:tc>
          <w:tcPr>
            <w:tcW w:w="1471" w:type="dxa"/>
            <w:tcBorders>
              <w:left w:val="nil"/>
            </w:tcBorders>
            <w:shd w:val="clear" w:color="auto" w:fill="DBE5F1" w:themeFill="accent1" w:themeFillTint="33"/>
            <w:vAlign w:val="center"/>
          </w:tcPr>
          <w:p w14:paraId="6874924E"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540</w:t>
            </w:r>
          </w:p>
        </w:tc>
        <w:tc>
          <w:tcPr>
            <w:tcW w:w="1470" w:type="dxa"/>
            <w:tcBorders>
              <w:right w:val="nil"/>
            </w:tcBorders>
            <w:shd w:val="clear" w:color="auto" w:fill="DBE5F1" w:themeFill="accent1" w:themeFillTint="33"/>
            <w:noWrap/>
            <w:vAlign w:val="center"/>
          </w:tcPr>
          <w:p w14:paraId="5B1DA2A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519</w:t>
            </w:r>
          </w:p>
        </w:tc>
        <w:tc>
          <w:tcPr>
            <w:tcW w:w="1471" w:type="dxa"/>
            <w:tcBorders>
              <w:left w:val="nil"/>
            </w:tcBorders>
            <w:shd w:val="clear" w:color="auto" w:fill="DBE5F1" w:themeFill="accent1" w:themeFillTint="33"/>
            <w:vAlign w:val="center"/>
          </w:tcPr>
          <w:p w14:paraId="1AF51B1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193</w:t>
            </w:r>
          </w:p>
        </w:tc>
        <w:tc>
          <w:tcPr>
            <w:tcW w:w="1471" w:type="dxa"/>
            <w:tcBorders>
              <w:right w:val="nil"/>
            </w:tcBorders>
            <w:shd w:val="clear" w:color="auto" w:fill="DBE5F1" w:themeFill="accent1" w:themeFillTint="33"/>
            <w:noWrap/>
            <w:vAlign w:val="center"/>
          </w:tcPr>
          <w:p w14:paraId="481BF21B"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113</w:t>
            </w:r>
          </w:p>
        </w:tc>
        <w:tc>
          <w:tcPr>
            <w:tcW w:w="1471" w:type="dxa"/>
            <w:tcBorders>
              <w:left w:val="nil"/>
            </w:tcBorders>
            <w:shd w:val="clear" w:color="auto" w:fill="DBE5F1" w:themeFill="accent1" w:themeFillTint="33"/>
            <w:vAlign w:val="center"/>
          </w:tcPr>
          <w:p w14:paraId="7323BF9C"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039</w:t>
            </w:r>
          </w:p>
        </w:tc>
      </w:tr>
      <w:tr w:rsidR="00F643B7" w:rsidRPr="003324F1" w14:paraId="76C0A69D" w14:textId="77777777" w:rsidTr="00F2448E">
        <w:trPr>
          <w:trHeight w:val="276"/>
        </w:trPr>
        <w:tc>
          <w:tcPr>
            <w:tcW w:w="2660" w:type="dxa"/>
            <w:shd w:val="clear" w:color="auto" w:fill="auto"/>
            <w:noWrap/>
            <w:hideMark/>
          </w:tcPr>
          <w:p w14:paraId="293D9F9C" w14:textId="77777777" w:rsidR="00F643B7" w:rsidRPr="00F44E7A" w:rsidRDefault="00F643B7"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3C20EE7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13</w:t>
            </w:r>
            <w:r>
              <w:rPr>
                <w:rFonts w:eastAsia="Times New Roman" w:cs="Arial"/>
                <w:lang w:eastAsia="en-AU"/>
              </w:rPr>
              <w:t>,</w:t>
            </w:r>
            <w:r w:rsidRPr="00676396">
              <w:rPr>
                <w:rFonts w:eastAsia="Times New Roman" w:cs="Arial"/>
                <w:lang w:eastAsia="en-AU"/>
              </w:rPr>
              <w:t>793</w:t>
            </w:r>
          </w:p>
        </w:tc>
        <w:tc>
          <w:tcPr>
            <w:tcW w:w="1471" w:type="dxa"/>
            <w:tcBorders>
              <w:left w:val="nil"/>
            </w:tcBorders>
            <w:shd w:val="clear" w:color="auto" w:fill="auto"/>
            <w:vAlign w:val="center"/>
          </w:tcPr>
          <w:p w14:paraId="56689641"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11</w:t>
            </w:r>
            <w:r>
              <w:rPr>
                <w:rFonts w:eastAsia="Times New Roman" w:cs="Arial"/>
                <w:lang w:eastAsia="en-AU"/>
              </w:rPr>
              <w:t>,</w:t>
            </w:r>
            <w:r w:rsidRPr="00676396">
              <w:rPr>
                <w:rFonts w:eastAsia="Times New Roman" w:cs="Arial"/>
                <w:lang w:eastAsia="en-AU"/>
              </w:rPr>
              <w:t>945</w:t>
            </w:r>
          </w:p>
        </w:tc>
        <w:tc>
          <w:tcPr>
            <w:tcW w:w="1471" w:type="dxa"/>
            <w:tcBorders>
              <w:right w:val="nil"/>
            </w:tcBorders>
            <w:shd w:val="clear" w:color="auto" w:fill="auto"/>
            <w:noWrap/>
            <w:vAlign w:val="center"/>
          </w:tcPr>
          <w:p w14:paraId="05592BB6"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195</w:t>
            </w:r>
          </w:p>
        </w:tc>
        <w:tc>
          <w:tcPr>
            <w:tcW w:w="1471" w:type="dxa"/>
            <w:tcBorders>
              <w:left w:val="nil"/>
            </w:tcBorders>
            <w:shd w:val="clear" w:color="auto" w:fill="auto"/>
            <w:vAlign w:val="center"/>
          </w:tcPr>
          <w:p w14:paraId="48EE8E67"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024</w:t>
            </w:r>
          </w:p>
        </w:tc>
        <w:tc>
          <w:tcPr>
            <w:tcW w:w="1470" w:type="dxa"/>
            <w:tcBorders>
              <w:right w:val="nil"/>
            </w:tcBorders>
            <w:shd w:val="clear" w:color="auto" w:fill="auto"/>
            <w:noWrap/>
            <w:vAlign w:val="center"/>
          </w:tcPr>
          <w:p w14:paraId="02D9E27C"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531</w:t>
            </w:r>
          </w:p>
        </w:tc>
        <w:tc>
          <w:tcPr>
            <w:tcW w:w="1471" w:type="dxa"/>
            <w:tcBorders>
              <w:left w:val="nil"/>
            </w:tcBorders>
            <w:shd w:val="clear" w:color="auto" w:fill="auto"/>
            <w:vAlign w:val="center"/>
          </w:tcPr>
          <w:p w14:paraId="7BD25316"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981</w:t>
            </w:r>
          </w:p>
        </w:tc>
        <w:tc>
          <w:tcPr>
            <w:tcW w:w="1471" w:type="dxa"/>
            <w:tcBorders>
              <w:right w:val="nil"/>
            </w:tcBorders>
            <w:shd w:val="clear" w:color="auto" w:fill="auto"/>
            <w:noWrap/>
            <w:vAlign w:val="center"/>
          </w:tcPr>
          <w:p w14:paraId="4ECA5AFF"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757</w:t>
            </w:r>
          </w:p>
        </w:tc>
        <w:tc>
          <w:tcPr>
            <w:tcW w:w="1471" w:type="dxa"/>
            <w:tcBorders>
              <w:left w:val="nil"/>
            </w:tcBorders>
            <w:shd w:val="clear" w:color="auto" w:fill="auto"/>
            <w:vAlign w:val="center"/>
          </w:tcPr>
          <w:p w14:paraId="4411B7B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577</w:t>
            </w:r>
          </w:p>
        </w:tc>
      </w:tr>
      <w:tr w:rsidR="00F643B7" w:rsidRPr="00FD6E8E" w14:paraId="3BE28518" w14:textId="77777777" w:rsidTr="00F2448E">
        <w:trPr>
          <w:trHeight w:val="276"/>
        </w:trPr>
        <w:tc>
          <w:tcPr>
            <w:tcW w:w="2660" w:type="dxa"/>
            <w:shd w:val="clear" w:color="auto" w:fill="B8CCE4" w:themeFill="accent1" w:themeFillTint="66"/>
            <w:noWrap/>
            <w:hideMark/>
          </w:tcPr>
          <w:p w14:paraId="57C4C068" w14:textId="77777777" w:rsidR="00F643B7" w:rsidRPr="00FD6E8E" w:rsidRDefault="00F643B7" w:rsidP="00CE2FDF">
            <w:pPr>
              <w:spacing w:before="0" w:line="276" w:lineRule="auto"/>
              <w:rPr>
                <w:rFonts w:eastAsia="Times New Roman" w:cs="Arial"/>
                <w:b/>
                <w:lang w:eastAsia="en-AU"/>
              </w:rPr>
            </w:pPr>
            <w:r w:rsidRPr="00FD6E8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32163ADC"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26</w:t>
            </w:r>
            <w:r>
              <w:rPr>
                <w:rFonts w:eastAsia="Times New Roman" w:cs="Arial"/>
                <w:b/>
                <w:lang w:eastAsia="en-AU"/>
              </w:rPr>
              <w:t>,</w:t>
            </w:r>
            <w:r w:rsidRPr="00676396">
              <w:rPr>
                <w:rFonts w:eastAsia="Times New Roman" w:cs="Arial"/>
                <w:b/>
                <w:lang w:eastAsia="en-AU"/>
              </w:rPr>
              <w:t>340</w:t>
            </w:r>
          </w:p>
        </w:tc>
        <w:tc>
          <w:tcPr>
            <w:tcW w:w="1471" w:type="dxa"/>
            <w:tcBorders>
              <w:left w:val="nil"/>
            </w:tcBorders>
            <w:shd w:val="clear" w:color="auto" w:fill="B8CCE4" w:themeFill="accent1" w:themeFillTint="66"/>
            <w:vAlign w:val="center"/>
          </w:tcPr>
          <w:p w14:paraId="19DCE50A"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21</w:t>
            </w:r>
            <w:r>
              <w:rPr>
                <w:rFonts w:eastAsia="Times New Roman" w:cs="Arial"/>
                <w:b/>
                <w:lang w:eastAsia="en-AU"/>
              </w:rPr>
              <w:t>,</w:t>
            </w:r>
            <w:r w:rsidRPr="00676396">
              <w:rPr>
                <w:rFonts w:eastAsia="Times New Roman" w:cs="Arial"/>
                <w:b/>
                <w:lang w:eastAsia="en-AU"/>
              </w:rPr>
              <w:t>953</w:t>
            </w:r>
          </w:p>
        </w:tc>
        <w:tc>
          <w:tcPr>
            <w:tcW w:w="1471" w:type="dxa"/>
            <w:tcBorders>
              <w:right w:val="nil"/>
            </w:tcBorders>
            <w:shd w:val="clear" w:color="auto" w:fill="B8CCE4" w:themeFill="accent1" w:themeFillTint="66"/>
            <w:noWrap/>
            <w:vAlign w:val="center"/>
          </w:tcPr>
          <w:p w14:paraId="4A4B5F50"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775</w:t>
            </w:r>
          </w:p>
        </w:tc>
        <w:tc>
          <w:tcPr>
            <w:tcW w:w="1471" w:type="dxa"/>
            <w:tcBorders>
              <w:left w:val="nil"/>
            </w:tcBorders>
            <w:shd w:val="clear" w:color="auto" w:fill="B8CCE4" w:themeFill="accent1" w:themeFillTint="66"/>
            <w:vAlign w:val="center"/>
          </w:tcPr>
          <w:p w14:paraId="4894601F"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499</w:t>
            </w:r>
          </w:p>
        </w:tc>
        <w:tc>
          <w:tcPr>
            <w:tcW w:w="1470" w:type="dxa"/>
            <w:tcBorders>
              <w:right w:val="nil"/>
            </w:tcBorders>
            <w:shd w:val="clear" w:color="auto" w:fill="B8CCE4" w:themeFill="accent1" w:themeFillTint="66"/>
            <w:noWrap/>
            <w:vAlign w:val="center"/>
          </w:tcPr>
          <w:p w14:paraId="7F3859DA"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15</w:t>
            </w:r>
            <w:r>
              <w:rPr>
                <w:rFonts w:eastAsia="Times New Roman" w:cs="Arial"/>
                <w:b/>
                <w:lang w:eastAsia="en-AU"/>
              </w:rPr>
              <w:t>,</w:t>
            </w:r>
            <w:r w:rsidRPr="00676396">
              <w:rPr>
                <w:rFonts w:eastAsia="Times New Roman" w:cs="Arial"/>
                <w:b/>
                <w:lang w:eastAsia="en-AU"/>
              </w:rPr>
              <w:t>050</w:t>
            </w:r>
          </w:p>
        </w:tc>
        <w:tc>
          <w:tcPr>
            <w:tcW w:w="1471" w:type="dxa"/>
            <w:tcBorders>
              <w:left w:val="nil"/>
            </w:tcBorders>
            <w:shd w:val="clear" w:color="auto" w:fill="B8CCE4" w:themeFill="accent1" w:themeFillTint="66"/>
            <w:vAlign w:val="center"/>
          </w:tcPr>
          <w:p w14:paraId="2FDC032C"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595</w:t>
            </w:r>
          </w:p>
        </w:tc>
        <w:tc>
          <w:tcPr>
            <w:tcW w:w="1471" w:type="dxa"/>
            <w:tcBorders>
              <w:right w:val="nil"/>
            </w:tcBorders>
            <w:shd w:val="clear" w:color="auto" w:fill="B8CCE4" w:themeFill="accent1" w:themeFillTint="66"/>
            <w:noWrap/>
            <w:vAlign w:val="center"/>
          </w:tcPr>
          <w:p w14:paraId="267275F1"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5</w:t>
            </w:r>
            <w:r>
              <w:rPr>
                <w:rFonts w:eastAsia="Times New Roman" w:cs="Arial"/>
                <w:b/>
                <w:lang w:eastAsia="en-AU"/>
              </w:rPr>
              <w:t>,</w:t>
            </w:r>
            <w:r w:rsidRPr="00676396">
              <w:rPr>
                <w:rFonts w:eastAsia="Times New Roman" w:cs="Arial"/>
                <w:b/>
                <w:lang w:eastAsia="en-AU"/>
              </w:rPr>
              <w:t>870</w:t>
            </w:r>
          </w:p>
        </w:tc>
        <w:tc>
          <w:tcPr>
            <w:tcW w:w="1471" w:type="dxa"/>
            <w:tcBorders>
              <w:left w:val="nil"/>
            </w:tcBorders>
            <w:shd w:val="clear" w:color="auto" w:fill="B8CCE4" w:themeFill="accent1" w:themeFillTint="66"/>
            <w:vAlign w:val="center"/>
          </w:tcPr>
          <w:p w14:paraId="102378EB"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5</w:t>
            </w:r>
            <w:r>
              <w:rPr>
                <w:rFonts w:eastAsia="Times New Roman" w:cs="Arial"/>
                <w:b/>
                <w:lang w:eastAsia="en-AU"/>
              </w:rPr>
              <w:t>,</w:t>
            </w:r>
            <w:r w:rsidRPr="00676396">
              <w:rPr>
                <w:rFonts w:eastAsia="Times New Roman" w:cs="Arial"/>
                <w:b/>
                <w:lang w:eastAsia="en-AU"/>
              </w:rPr>
              <w:t>445</w:t>
            </w:r>
          </w:p>
        </w:tc>
      </w:tr>
    </w:tbl>
    <w:p w14:paraId="7C18CC9F" w14:textId="77777777" w:rsidR="00F643B7" w:rsidRDefault="00F643B7" w:rsidP="00B15586"/>
    <w:p w14:paraId="5E6EE6F9" w14:textId="77777777" w:rsidR="00A269A5" w:rsidRDefault="00A269A5" w:rsidP="0095311F">
      <w:pPr>
        <w:pStyle w:val="Figureheading"/>
      </w:pPr>
      <w:r>
        <w:t>3.2</w:t>
      </w:r>
      <w:r w:rsidR="007B717D">
        <w:t>8</w:t>
      </w:r>
      <w:r>
        <w:tab/>
      </w:r>
      <w:r w:rsidR="00F643B7" w:rsidRPr="00D74CC3">
        <w:t>Number of reports</w:t>
      </w:r>
      <w:r w:rsidR="00F643B7">
        <w:t xml:space="preserve"> </w:t>
      </w:r>
      <w:r>
        <w:t xml:space="preserve">for 2010, </w:t>
      </w:r>
      <w:r w:rsidR="00F643B7" w:rsidRPr="00D74CC3">
        <w:t>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76"/>
        <w:gridCol w:w="1177"/>
        <w:gridCol w:w="1176"/>
        <w:gridCol w:w="1177"/>
        <w:gridCol w:w="1177"/>
        <w:gridCol w:w="1176"/>
        <w:gridCol w:w="1177"/>
        <w:gridCol w:w="1176"/>
        <w:gridCol w:w="1177"/>
        <w:gridCol w:w="1177"/>
      </w:tblGrid>
      <w:tr w:rsidR="00F643B7" w:rsidRPr="00F44E7A" w14:paraId="2B52C70D" w14:textId="77777777" w:rsidTr="00137AE1">
        <w:trPr>
          <w:trHeight w:val="329"/>
          <w:tblHeader/>
        </w:trPr>
        <w:tc>
          <w:tcPr>
            <w:tcW w:w="2660" w:type="dxa"/>
            <w:shd w:val="clear" w:color="auto" w:fill="B8CCE4" w:themeFill="accent1" w:themeFillTint="66"/>
            <w:noWrap/>
            <w:hideMark/>
          </w:tcPr>
          <w:p w14:paraId="5F9FB7FF" w14:textId="77777777" w:rsidR="00F643B7" w:rsidRPr="00F44E7A" w:rsidRDefault="00F643B7" w:rsidP="00CE2FDF">
            <w:pPr>
              <w:keepNext/>
              <w:spacing w:before="0" w:line="276" w:lineRule="auto"/>
              <w:jc w:val="center"/>
              <w:rPr>
                <w:rFonts w:eastAsia="Times New Roman" w:cs="Arial"/>
                <w:b/>
                <w:lang w:eastAsia="en-AU"/>
              </w:rPr>
            </w:pPr>
          </w:p>
        </w:tc>
        <w:tc>
          <w:tcPr>
            <w:tcW w:w="2353" w:type="dxa"/>
            <w:gridSpan w:val="2"/>
            <w:shd w:val="clear" w:color="auto" w:fill="B8CCE4" w:themeFill="accent1" w:themeFillTint="66"/>
            <w:noWrap/>
            <w:hideMark/>
          </w:tcPr>
          <w:p w14:paraId="0D628DCD" w14:textId="77777777" w:rsidR="00F643B7" w:rsidRPr="00F44E7A" w:rsidRDefault="00F643B7"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18E6B4FC" w14:textId="77777777" w:rsidR="00F643B7" w:rsidRPr="00F44E7A" w:rsidRDefault="00F643B7"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65B9F445" w14:textId="77777777" w:rsidR="00F643B7" w:rsidRPr="00F44E7A" w:rsidRDefault="00F643B7"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29DCFB45" w14:textId="77777777" w:rsidR="00F643B7" w:rsidRPr="00F44E7A" w:rsidRDefault="00F643B7"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1DA057BE" w14:textId="77777777" w:rsidR="00F643B7" w:rsidRPr="00F44E7A" w:rsidRDefault="00F643B7"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F643B7" w:rsidRPr="00F44E7A" w14:paraId="7702EDED" w14:textId="77777777" w:rsidTr="00137AE1">
        <w:trPr>
          <w:trHeight w:val="264"/>
          <w:tblHeader/>
        </w:trPr>
        <w:tc>
          <w:tcPr>
            <w:tcW w:w="2660" w:type="dxa"/>
            <w:shd w:val="clear" w:color="auto" w:fill="B8CCE4" w:themeFill="accent1" w:themeFillTint="66"/>
            <w:noWrap/>
            <w:hideMark/>
          </w:tcPr>
          <w:p w14:paraId="21AB0BF3" w14:textId="77777777" w:rsidR="00F643B7" w:rsidRPr="00F44E7A" w:rsidRDefault="00F643B7" w:rsidP="00CE2FDF">
            <w:pPr>
              <w:keepNext/>
              <w:spacing w:before="0" w:line="276"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39F63508" w14:textId="77777777" w:rsidR="00F643B7" w:rsidRPr="00F44E7A" w:rsidRDefault="00F643B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355D3FE2" w14:textId="77777777" w:rsidR="00F643B7" w:rsidRPr="00F44E7A" w:rsidRDefault="00F643B7"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5568A1FC" w14:textId="77777777" w:rsidR="00F643B7" w:rsidRPr="00F44E7A" w:rsidRDefault="00F643B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2A1B1511" w14:textId="77777777" w:rsidR="00F643B7" w:rsidRPr="00F44E7A" w:rsidRDefault="00F643B7"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C0402D1" w14:textId="77777777" w:rsidR="00F643B7" w:rsidRPr="00F44E7A" w:rsidRDefault="00F643B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70ECFD5D" w14:textId="77777777" w:rsidR="00F643B7" w:rsidRPr="00F44E7A" w:rsidRDefault="00F643B7"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4EC0D949" w14:textId="77777777" w:rsidR="00F643B7" w:rsidRPr="00F44E7A" w:rsidRDefault="00F643B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575CB323" w14:textId="77777777" w:rsidR="00F643B7" w:rsidRPr="00F44E7A" w:rsidRDefault="00F643B7"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1A513BF4" w14:textId="77777777" w:rsidR="00F643B7" w:rsidRPr="00F44E7A" w:rsidRDefault="00F643B7"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3975CB3E" w14:textId="77777777" w:rsidR="00F643B7" w:rsidRPr="00F44E7A" w:rsidRDefault="00F643B7"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F643B7" w:rsidRPr="003324F1" w14:paraId="2CD01095" w14:textId="77777777" w:rsidTr="00F2448E">
        <w:trPr>
          <w:trHeight w:val="276"/>
        </w:trPr>
        <w:tc>
          <w:tcPr>
            <w:tcW w:w="2660" w:type="dxa"/>
            <w:noWrap/>
            <w:hideMark/>
          </w:tcPr>
          <w:p w14:paraId="466E8639" w14:textId="77777777" w:rsidR="00F643B7" w:rsidRPr="00F44E7A" w:rsidRDefault="00F643B7"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1176" w:type="dxa"/>
            <w:tcBorders>
              <w:right w:val="nil"/>
            </w:tcBorders>
            <w:noWrap/>
            <w:vAlign w:val="center"/>
          </w:tcPr>
          <w:p w14:paraId="19200C8E"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728</w:t>
            </w:r>
          </w:p>
        </w:tc>
        <w:tc>
          <w:tcPr>
            <w:tcW w:w="1177" w:type="dxa"/>
            <w:tcBorders>
              <w:left w:val="nil"/>
            </w:tcBorders>
            <w:vAlign w:val="center"/>
          </w:tcPr>
          <w:p w14:paraId="7D8E60E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719</w:t>
            </w:r>
          </w:p>
        </w:tc>
        <w:tc>
          <w:tcPr>
            <w:tcW w:w="1176" w:type="dxa"/>
            <w:tcBorders>
              <w:right w:val="nil"/>
            </w:tcBorders>
            <w:noWrap/>
            <w:vAlign w:val="center"/>
          </w:tcPr>
          <w:p w14:paraId="5A27618B"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377</w:t>
            </w:r>
          </w:p>
        </w:tc>
        <w:tc>
          <w:tcPr>
            <w:tcW w:w="1177" w:type="dxa"/>
            <w:tcBorders>
              <w:left w:val="nil"/>
            </w:tcBorders>
            <w:vAlign w:val="center"/>
          </w:tcPr>
          <w:p w14:paraId="33D5E83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377</w:t>
            </w:r>
          </w:p>
        </w:tc>
        <w:tc>
          <w:tcPr>
            <w:tcW w:w="1177" w:type="dxa"/>
            <w:tcBorders>
              <w:right w:val="nil"/>
            </w:tcBorders>
            <w:noWrap/>
            <w:vAlign w:val="center"/>
          </w:tcPr>
          <w:p w14:paraId="3039595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201</w:t>
            </w:r>
          </w:p>
        </w:tc>
        <w:tc>
          <w:tcPr>
            <w:tcW w:w="1176" w:type="dxa"/>
            <w:tcBorders>
              <w:left w:val="nil"/>
            </w:tcBorders>
            <w:vAlign w:val="center"/>
          </w:tcPr>
          <w:p w14:paraId="232571FE"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201</w:t>
            </w:r>
          </w:p>
        </w:tc>
        <w:tc>
          <w:tcPr>
            <w:tcW w:w="1177" w:type="dxa"/>
            <w:tcBorders>
              <w:right w:val="nil"/>
            </w:tcBorders>
            <w:noWrap/>
            <w:vAlign w:val="center"/>
          </w:tcPr>
          <w:p w14:paraId="6E92DBC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176</w:t>
            </w:r>
          </w:p>
        </w:tc>
        <w:tc>
          <w:tcPr>
            <w:tcW w:w="1176" w:type="dxa"/>
            <w:tcBorders>
              <w:left w:val="nil"/>
            </w:tcBorders>
            <w:vAlign w:val="center"/>
          </w:tcPr>
          <w:p w14:paraId="1305B46A"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176</w:t>
            </w:r>
          </w:p>
        </w:tc>
        <w:tc>
          <w:tcPr>
            <w:tcW w:w="1177" w:type="dxa"/>
            <w:tcBorders>
              <w:right w:val="nil"/>
            </w:tcBorders>
            <w:noWrap/>
            <w:vAlign w:val="center"/>
          </w:tcPr>
          <w:p w14:paraId="5CE701A0"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105</w:t>
            </w:r>
          </w:p>
        </w:tc>
        <w:tc>
          <w:tcPr>
            <w:tcW w:w="1177" w:type="dxa"/>
            <w:tcBorders>
              <w:left w:val="nil"/>
            </w:tcBorders>
            <w:vAlign w:val="center"/>
          </w:tcPr>
          <w:p w14:paraId="25363D08"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094</w:t>
            </w:r>
          </w:p>
        </w:tc>
      </w:tr>
      <w:tr w:rsidR="00F643B7" w:rsidRPr="003324F1" w14:paraId="2C8197AB" w14:textId="77777777" w:rsidTr="00F2448E">
        <w:trPr>
          <w:trHeight w:val="276"/>
        </w:trPr>
        <w:tc>
          <w:tcPr>
            <w:tcW w:w="2660" w:type="dxa"/>
            <w:shd w:val="clear" w:color="auto" w:fill="DBE5F1" w:themeFill="accent1" w:themeFillTint="33"/>
            <w:noWrap/>
            <w:hideMark/>
          </w:tcPr>
          <w:p w14:paraId="4518F234" w14:textId="77777777" w:rsidR="00F643B7" w:rsidRPr="00F44E7A" w:rsidRDefault="00F643B7"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69109911"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968</w:t>
            </w:r>
          </w:p>
        </w:tc>
        <w:tc>
          <w:tcPr>
            <w:tcW w:w="1177" w:type="dxa"/>
            <w:tcBorders>
              <w:left w:val="nil"/>
            </w:tcBorders>
            <w:shd w:val="clear" w:color="auto" w:fill="DBE5F1" w:themeFill="accent1" w:themeFillTint="33"/>
            <w:vAlign w:val="center"/>
          </w:tcPr>
          <w:p w14:paraId="3CCD1BC2"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942</w:t>
            </w:r>
          </w:p>
        </w:tc>
        <w:tc>
          <w:tcPr>
            <w:tcW w:w="1176" w:type="dxa"/>
            <w:tcBorders>
              <w:right w:val="nil"/>
            </w:tcBorders>
            <w:shd w:val="clear" w:color="auto" w:fill="DBE5F1" w:themeFill="accent1" w:themeFillTint="33"/>
            <w:noWrap/>
            <w:vAlign w:val="center"/>
          </w:tcPr>
          <w:p w14:paraId="23AEC19D"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640</w:t>
            </w:r>
          </w:p>
        </w:tc>
        <w:tc>
          <w:tcPr>
            <w:tcW w:w="1177" w:type="dxa"/>
            <w:tcBorders>
              <w:left w:val="nil"/>
            </w:tcBorders>
            <w:shd w:val="clear" w:color="auto" w:fill="DBE5F1" w:themeFill="accent1" w:themeFillTint="33"/>
            <w:vAlign w:val="center"/>
          </w:tcPr>
          <w:p w14:paraId="0246593D"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638</w:t>
            </w:r>
          </w:p>
        </w:tc>
        <w:tc>
          <w:tcPr>
            <w:tcW w:w="1177" w:type="dxa"/>
            <w:tcBorders>
              <w:right w:val="nil"/>
            </w:tcBorders>
            <w:shd w:val="clear" w:color="auto" w:fill="DBE5F1" w:themeFill="accent1" w:themeFillTint="33"/>
            <w:noWrap/>
            <w:vAlign w:val="center"/>
          </w:tcPr>
          <w:p w14:paraId="5FDA2B4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371</w:t>
            </w:r>
          </w:p>
        </w:tc>
        <w:tc>
          <w:tcPr>
            <w:tcW w:w="1176" w:type="dxa"/>
            <w:tcBorders>
              <w:left w:val="nil"/>
            </w:tcBorders>
            <w:shd w:val="clear" w:color="auto" w:fill="DBE5F1" w:themeFill="accent1" w:themeFillTint="33"/>
            <w:vAlign w:val="center"/>
          </w:tcPr>
          <w:p w14:paraId="4FBB7D37"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370</w:t>
            </w:r>
          </w:p>
        </w:tc>
        <w:tc>
          <w:tcPr>
            <w:tcW w:w="1177" w:type="dxa"/>
            <w:tcBorders>
              <w:right w:val="nil"/>
            </w:tcBorders>
            <w:shd w:val="clear" w:color="auto" w:fill="DBE5F1" w:themeFill="accent1" w:themeFillTint="33"/>
            <w:noWrap/>
            <w:vAlign w:val="center"/>
          </w:tcPr>
          <w:p w14:paraId="66BF94D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269</w:t>
            </w:r>
          </w:p>
        </w:tc>
        <w:tc>
          <w:tcPr>
            <w:tcW w:w="1176" w:type="dxa"/>
            <w:tcBorders>
              <w:left w:val="nil"/>
            </w:tcBorders>
            <w:shd w:val="clear" w:color="auto" w:fill="DBE5F1" w:themeFill="accent1" w:themeFillTint="33"/>
            <w:vAlign w:val="center"/>
          </w:tcPr>
          <w:p w14:paraId="5EBD476E"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268</w:t>
            </w:r>
          </w:p>
        </w:tc>
        <w:tc>
          <w:tcPr>
            <w:tcW w:w="1177" w:type="dxa"/>
            <w:tcBorders>
              <w:right w:val="nil"/>
            </w:tcBorders>
            <w:shd w:val="clear" w:color="auto" w:fill="DBE5F1" w:themeFill="accent1" w:themeFillTint="33"/>
            <w:noWrap/>
            <w:vAlign w:val="center"/>
          </w:tcPr>
          <w:p w14:paraId="1E6A2C91"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608</w:t>
            </w:r>
          </w:p>
        </w:tc>
        <w:tc>
          <w:tcPr>
            <w:tcW w:w="1177" w:type="dxa"/>
            <w:tcBorders>
              <w:left w:val="nil"/>
            </w:tcBorders>
            <w:shd w:val="clear" w:color="auto" w:fill="DBE5F1" w:themeFill="accent1" w:themeFillTint="33"/>
            <w:vAlign w:val="center"/>
          </w:tcPr>
          <w:p w14:paraId="6A3C75D7"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564</w:t>
            </w:r>
          </w:p>
        </w:tc>
      </w:tr>
      <w:tr w:rsidR="00F643B7" w:rsidRPr="003324F1" w14:paraId="2FABE9D6" w14:textId="77777777" w:rsidTr="00F2448E">
        <w:trPr>
          <w:trHeight w:val="276"/>
        </w:trPr>
        <w:tc>
          <w:tcPr>
            <w:tcW w:w="2660" w:type="dxa"/>
            <w:noWrap/>
            <w:hideMark/>
          </w:tcPr>
          <w:p w14:paraId="02A43771" w14:textId="77777777" w:rsidR="00F643B7" w:rsidRPr="00F44E7A" w:rsidRDefault="00F643B7" w:rsidP="00CE2FDF">
            <w:pPr>
              <w:spacing w:before="0" w:line="276"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noWrap/>
            <w:vAlign w:val="center"/>
          </w:tcPr>
          <w:p w14:paraId="70EFA5FE"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10</w:t>
            </w:r>
            <w:r>
              <w:rPr>
                <w:rFonts w:eastAsia="Times New Roman" w:cs="Arial"/>
                <w:lang w:eastAsia="en-AU"/>
              </w:rPr>
              <w:t>,</w:t>
            </w:r>
            <w:r w:rsidRPr="00676396">
              <w:rPr>
                <w:rFonts w:eastAsia="Times New Roman" w:cs="Arial"/>
                <w:lang w:eastAsia="en-AU"/>
              </w:rPr>
              <w:t>066</w:t>
            </w:r>
          </w:p>
        </w:tc>
        <w:tc>
          <w:tcPr>
            <w:tcW w:w="1177" w:type="dxa"/>
            <w:tcBorders>
              <w:left w:val="nil"/>
            </w:tcBorders>
            <w:vAlign w:val="center"/>
          </w:tcPr>
          <w:p w14:paraId="34BFE71B"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9</w:t>
            </w:r>
            <w:r>
              <w:rPr>
                <w:rFonts w:eastAsia="Times New Roman" w:cs="Arial"/>
                <w:lang w:eastAsia="en-AU"/>
              </w:rPr>
              <w:t>,</w:t>
            </w:r>
            <w:r w:rsidRPr="00676396">
              <w:rPr>
                <w:rFonts w:eastAsia="Times New Roman" w:cs="Arial"/>
                <w:lang w:eastAsia="en-AU"/>
              </w:rPr>
              <w:t>328</w:t>
            </w:r>
          </w:p>
        </w:tc>
        <w:tc>
          <w:tcPr>
            <w:tcW w:w="1176" w:type="dxa"/>
            <w:tcBorders>
              <w:right w:val="nil"/>
            </w:tcBorders>
            <w:noWrap/>
            <w:vAlign w:val="center"/>
          </w:tcPr>
          <w:p w14:paraId="4111BB85"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278</w:t>
            </w:r>
          </w:p>
        </w:tc>
        <w:tc>
          <w:tcPr>
            <w:tcW w:w="1177" w:type="dxa"/>
            <w:tcBorders>
              <w:left w:val="nil"/>
            </w:tcBorders>
            <w:vAlign w:val="center"/>
          </w:tcPr>
          <w:p w14:paraId="6053A672"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167</w:t>
            </w:r>
          </w:p>
        </w:tc>
        <w:tc>
          <w:tcPr>
            <w:tcW w:w="1177" w:type="dxa"/>
            <w:tcBorders>
              <w:right w:val="nil"/>
            </w:tcBorders>
            <w:noWrap/>
            <w:vAlign w:val="center"/>
          </w:tcPr>
          <w:p w14:paraId="0425480C"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325</w:t>
            </w:r>
          </w:p>
        </w:tc>
        <w:tc>
          <w:tcPr>
            <w:tcW w:w="1176" w:type="dxa"/>
            <w:tcBorders>
              <w:left w:val="nil"/>
            </w:tcBorders>
            <w:vAlign w:val="center"/>
          </w:tcPr>
          <w:p w14:paraId="2549A5AA"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283</w:t>
            </w:r>
          </w:p>
        </w:tc>
        <w:tc>
          <w:tcPr>
            <w:tcW w:w="1177" w:type="dxa"/>
            <w:tcBorders>
              <w:right w:val="nil"/>
            </w:tcBorders>
            <w:noWrap/>
            <w:vAlign w:val="center"/>
          </w:tcPr>
          <w:p w14:paraId="1565322B"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953</w:t>
            </w:r>
          </w:p>
        </w:tc>
        <w:tc>
          <w:tcPr>
            <w:tcW w:w="1176" w:type="dxa"/>
            <w:tcBorders>
              <w:left w:val="nil"/>
            </w:tcBorders>
            <w:vAlign w:val="center"/>
          </w:tcPr>
          <w:p w14:paraId="66425311"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930</w:t>
            </w:r>
          </w:p>
        </w:tc>
        <w:tc>
          <w:tcPr>
            <w:tcW w:w="1177" w:type="dxa"/>
            <w:tcBorders>
              <w:right w:val="nil"/>
            </w:tcBorders>
            <w:noWrap/>
            <w:vAlign w:val="center"/>
          </w:tcPr>
          <w:p w14:paraId="19799CE7"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14</w:t>
            </w:r>
            <w:r>
              <w:rPr>
                <w:rFonts w:eastAsia="Times New Roman" w:cs="Arial"/>
                <w:b/>
                <w:lang w:eastAsia="en-AU"/>
              </w:rPr>
              <w:t>,</w:t>
            </w:r>
            <w:r w:rsidRPr="00676396">
              <w:rPr>
                <w:rFonts w:eastAsia="Times New Roman" w:cs="Arial"/>
                <w:b/>
                <w:lang w:eastAsia="en-AU"/>
              </w:rPr>
              <w:t>344</w:t>
            </w:r>
          </w:p>
        </w:tc>
        <w:tc>
          <w:tcPr>
            <w:tcW w:w="1177" w:type="dxa"/>
            <w:tcBorders>
              <w:left w:val="nil"/>
            </w:tcBorders>
            <w:vAlign w:val="center"/>
          </w:tcPr>
          <w:p w14:paraId="698508B5"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077</w:t>
            </w:r>
          </w:p>
        </w:tc>
      </w:tr>
      <w:tr w:rsidR="00F643B7" w:rsidRPr="003324F1" w14:paraId="5E86B79B" w14:textId="77777777" w:rsidTr="00F2448E">
        <w:trPr>
          <w:trHeight w:val="276"/>
        </w:trPr>
        <w:tc>
          <w:tcPr>
            <w:tcW w:w="2660" w:type="dxa"/>
            <w:shd w:val="clear" w:color="auto" w:fill="DBE5F1" w:themeFill="accent1" w:themeFillTint="33"/>
            <w:noWrap/>
            <w:hideMark/>
          </w:tcPr>
          <w:p w14:paraId="713687A9" w14:textId="77777777" w:rsidR="00F643B7" w:rsidRPr="00F44E7A" w:rsidRDefault="00F643B7" w:rsidP="00CE2FDF">
            <w:pPr>
              <w:spacing w:before="0" w:line="276"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DBE5F1" w:themeFill="accent1" w:themeFillTint="33"/>
            <w:noWrap/>
            <w:vAlign w:val="center"/>
          </w:tcPr>
          <w:p w14:paraId="53FF6531"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493</w:t>
            </w:r>
          </w:p>
        </w:tc>
        <w:tc>
          <w:tcPr>
            <w:tcW w:w="1177" w:type="dxa"/>
            <w:tcBorders>
              <w:left w:val="nil"/>
            </w:tcBorders>
            <w:shd w:val="clear" w:color="auto" w:fill="DBE5F1" w:themeFill="accent1" w:themeFillTint="33"/>
            <w:vAlign w:val="center"/>
          </w:tcPr>
          <w:p w14:paraId="07D9D9F4"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034</w:t>
            </w:r>
          </w:p>
        </w:tc>
        <w:tc>
          <w:tcPr>
            <w:tcW w:w="1176" w:type="dxa"/>
            <w:tcBorders>
              <w:right w:val="nil"/>
            </w:tcBorders>
            <w:shd w:val="clear" w:color="auto" w:fill="DBE5F1" w:themeFill="accent1" w:themeFillTint="33"/>
            <w:noWrap/>
            <w:vAlign w:val="center"/>
          </w:tcPr>
          <w:p w14:paraId="4B8B0E4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008</w:t>
            </w:r>
          </w:p>
        </w:tc>
        <w:tc>
          <w:tcPr>
            <w:tcW w:w="1177" w:type="dxa"/>
            <w:tcBorders>
              <w:left w:val="nil"/>
            </w:tcBorders>
            <w:shd w:val="clear" w:color="auto" w:fill="DBE5F1" w:themeFill="accent1" w:themeFillTint="33"/>
            <w:vAlign w:val="center"/>
          </w:tcPr>
          <w:p w14:paraId="30AE985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979</w:t>
            </w:r>
          </w:p>
        </w:tc>
        <w:tc>
          <w:tcPr>
            <w:tcW w:w="1177" w:type="dxa"/>
            <w:tcBorders>
              <w:right w:val="nil"/>
            </w:tcBorders>
            <w:shd w:val="clear" w:color="auto" w:fill="DBE5F1" w:themeFill="accent1" w:themeFillTint="33"/>
            <w:noWrap/>
            <w:vAlign w:val="center"/>
          </w:tcPr>
          <w:p w14:paraId="3516714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070</w:t>
            </w:r>
          </w:p>
        </w:tc>
        <w:tc>
          <w:tcPr>
            <w:tcW w:w="1176" w:type="dxa"/>
            <w:tcBorders>
              <w:left w:val="nil"/>
            </w:tcBorders>
            <w:shd w:val="clear" w:color="auto" w:fill="DBE5F1" w:themeFill="accent1" w:themeFillTint="33"/>
            <w:vAlign w:val="center"/>
          </w:tcPr>
          <w:p w14:paraId="3904BBC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066</w:t>
            </w:r>
          </w:p>
        </w:tc>
        <w:tc>
          <w:tcPr>
            <w:tcW w:w="1177" w:type="dxa"/>
            <w:tcBorders>
              <w:right w:val="nil"/>
            </w:tcBorders>
            <w:shd w:val="clear" w:color="auto" w:fill="DBE5F1" w:themeFill="accent1" w:themeFillTint="33"/>
            <w:noWrap/>
            <w:vAlign w:val="center"/>
          </w:tcPr>
          <w:p w14:paraId="05A4E5B1"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938</w:t>
            </w:r>
          </w:p>
        </w:tc>
        <w:tc>
          <w:tcPr>
            <w:tcW w:w="1176" w:type="dxa"/>
            <w:tcBorders>
              <w:left w:val="nil"/>
            </w:tcBorders>
            <w:shd w:val="clear" w:color="auto" w:fill="DBE5F1" w:themeFill="accent1" w:themeFillTint="33"/>
            <w:vAlign w:val="center"/>
          </w:tcPr>
          <w:p w14:paraId="220C585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927</w:t>
            </w:r>
          </w:p>
        </w:tc>
        <w:tc>
          <w:tcPr>
            <w:tcW w:w="1177" w:type="dxa"/>
            <w:tcBorders>
              <w:right w:val="nil"/>
            </w:tcBorders>
            <w:shd w:val="clear" w:color="auto" w:fill="DBE5F1" w:themeFill="accent1" w:themeFillTint="33"/>
            <w:noWrap/>
            <w:vAlign w:val="center"/>
          </w:tcPr>
          <w:p w14:paraId="4EA605C7"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501</w:t>
            </w:r>
          </w:p>
        </w:tc>
        <w:tc>
          <w:tcPr>
            <w:tcW w:w="1177" w:type="dxa"/>
            <w:tcBorders>
              <w:left w:val="nil"/>
            </w:tcBorders>
            <w:shd w:val="clear" w:color="auto" w:fill="DBE5F1" w:themeFill="accent1" w:themeFillTint="33"/>
            <w:vAlign w:val="center"/>
          </w:tcPr>
          <w:p w14:paraId="52388D04"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857</w:t>
            </w:r>
          </w:p>
        </w:tc>
      </w:tr>
      <w:tr w:rsidR="00F643B7" w:rsidRPr="003324F1" w14:paraId="2CD366BF" w14:textId="77777777" w:rsidTr="00F2448E">
        <w:trPr>
          <w:trHeight w:val="276"/>
        </w:trPr>
        <w:tc>
          <w:tcPr>
            <w:tcW w:w="2660" w:type="dxa"/>
            <w:shd w:val="clear" w:color="auto" w:fill="auto"/>
            <w:noWrap/>
            <w:hideMark/>
          </w:tcPr>
          <w:p w14:paraId="713E9763" w14:textId="77777777" w:rsidR="00F643B7" w:rsidRPr="00F44E7A" w:rsidRDefault="00F643B7" w:rsidP="00CE2FDF">
            <w:pPr>
              <w:spacing w:before="0" w:line="276" w:lineRule="auto"/>
              <w:rPr>
                <w:rFonts w:eastAsia="Times New Roman" w:cs="Arial"/>
                <w:b/>
                <w:lang w:eastAsia="en-AU"/>
              </w:rPr>
            </w:pPr>
            <w:r>
              <w:rPr>
                <w:rFonts w:eastAsia="Times New Roman" w:cs="Arial"/>
                <w:b/>
                <w:lang w:eastAsia="en-AU"/>
              </w:rPr>
              <w:t>Psychiatrists</w:t>
            </w:r>
          </w:p>
        </w:tc>
        <w:tc>
          <w:tcPr>
            <w:tcW w:w="1176" w:type="dxa"/>
            <w:tcBorders>
              <w:right w:val="nil"/>
            </w:tcBorders>
            <w:shd w:val="clear" w:color="auto" w:fill="auto"/>
            <w:noWrap/>
            <w:vAlign w:val="center"/>
          </w:tcPr>
          <w:p w14:paraId="0942A841"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130</w:t>
            </w:r>
          </w:p>
        </w:tc>
        <w:tc>
          <w:tcPr>
            <w:tcW w:w="1177" w:type="dxa"/>
            <w:tcBorders>
              <w:left w:val="nil"/>
            </w:tcBorders>
            <w:shd w:val="clear" w:color="auto" w:fill="auto"/>
            <w:vAlign w:val="center"/>
          </w:tcPr>
          <w:p w14:paraId="5D3D7FAE"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130</w:t>
            </w:r>
          </w:p>
        </w:tc>
        <w:tc>
          <w:tcPr>
            <w:tcW w:w="1176" w:type="dxa"/>
            <w:tcBorders>
              <w:right w:val="nil"/>
            </w:tcBorders>
            <w:shd w:val="clear" w:color="auto" w:fill="auto"/>
            <w:noWrap/>
            <w:vAlign w:val="center"/>
          </w:tcPr>
          <w:p w14:paraId="1B582DA6"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71</w:t>
            </w:r>
          </w:p>
        </w:tc>
        <w:tc>
          <w:tcPr>
            <w:tcW w:w="1177" w:type="dxa"/>
            <w:tcBorders>
              <w:left w:val="nil"/>
            </w:tcBorders>
            <w:shd w:val="clear" w:color="auto" w:fill="auto"/>
            <w:vAlign w:val="center"/>
          </w:tcPr>
          <w:p w14:paraId="20DC015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71</w:t>
            </w:r>
          </w:p>
        </w:tc>
        <w:tc>
          <w:tcPr>
            <w:tcW w:w="1177" w:type="dxa"/>
            <w:tcBorders>
              <w:right w:val="nil"/>
            </w:tcBorders>
            <w:shd w:val="clear" w:color="auto" w:fill="auto"/>
            <w:noWrap/>
            <w:vAlign w:val="center"/>
          </w:tcPr>
          <w:p w14:paraId="332B22E5"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46</w:t>
            </w:r>
          </w:p>
        </w:tc>
        <w:tc>
          <w:tcPr>
            <w:tcW w:w="1176" w:type="dxa"/>
            <w:tcBorders>
              <w:left w:val="nil"/>
            </w:tcBorders>
            <w:shd w:val="clear" w:color="auto" w:fill="auto"/>
            <w:vAlign w:val="center"/>
          </w:tcPr>
          <w:p w14:paraId="18E673F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46</w:t>
            </w:r>
          </w:p>
        </w:tc>
        <w:tc>
          <w:tcPr>
            <w:tcW w:w="1177" w:type="dxa"/>
            <w:tcBorders>
              <w:right w:val="nil"/>
            </w:tcBorders>
            <w:shd w:val="clear" w:color="auto" w:fill="auto"/>
            <w:noWrap/>
            <w:vAlign w:val="center"/>
          </w:tcPr>
          <w:p w14:paraId="5BFAF31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25</w:t>
            </w:r>
          </w:p>
        </w:tc>
        <w:tc>
          <w:tcPr>
            <w:tcW w:w="1176" w:type="dxa"/>
            <w:tcBorders>
              <w:left w:val="nil"/>
            </w:tcBorders>
            <w:shd w:val="clear" w:color="auto" w:fill="auto"/>
            <w:vAlign w:val="center"/>
          </w:tcPr>
          <w:p w14:paraId="454B9915"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25</w:t>
            </w:r>
          </w:p>
        </w:tc>
        <w:tc>
          <w:tcPr>
            <w:tcW w:w="1177" w:type="dxa"/>
            <w:tcBorders>
              <w:right w:val="nil"/>
            </w:tcBorders>
            <w:shd w:val="clear" w:color="auto" w:fill="auto"/>
            <w:noWrap/>
            <w:vAlign w:val="center"/>
          </w:tcPr>
          <w:p w14:paraId="003CA688"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201</w:t>
            </w:r>
          </w:p>
        </w:tc>
        <w:tc>
          <w:tcPr>
            <w:tcW w:w="1177" w:type="dxa"/>
            <w:tcBorders>
              <w:left w:val="nil"/>
            </w:tcBorders>
            <w:shd w:val="clear" w:color="auto" w:fill="auto"/>
            <w:vAlign w:val="center"/>
          </w:tcPr>
          <w:p w14:paraId="31CD5219"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196</w:t>
            </w:r>
          </w:p>
        </w:tc>
      </w:tr>
      <w:tr w:rsidR="00F643B7" w:rsidRPr="003324F1" w14:paraId="5598FE47" w14:textId="77777777" w:rsidTr="00F2448E">
        <w:trPr>
          <w:trHeight w:val="276"/>
        </w:trPr>
        <w:tc>
          <w:tcPr>
            <w:tcW w:w="2660" w:type="dxa"/>
            <w:shd w:val="clear" w:color="auto" w:fill="DBE5F1" w:themeFill="accent1" w:themeFillTint="33"/>
            <w:noWrap/>
            <w:hideMark/>
          </w:tcPr>
          <w:p w14:paraId="45197132" w14:textId="77777777" w:rsidR="00F643B7" w:rsidRPr="00F44E7A" w:rsidRDefault="00F643B7"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176" w:type="dxa"/>
            <w:tcBorders>
              <w:right w:val="nil"/>
            </w:tcBorders>
            <w:shd w:val="clear" w:color="auto" w:fill="DBE5F1" w:themeFill="accent1" w:themeFillTint="33"/>
            <w:noWrap/>
            <w:vAlign w:val="center"/>
          </w:tcPr>
          <w:p w14:paraId="7C1873C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17</w:t>
            </w:r>
            <w:r>
              <w:rPr>
                <w:rFonts w:eastAsia="Times New Roman" w:cs="Arial"/>
                <w:lang w:eastAsia="en-AU"/>
              </w:rPr>
              <w:t>,</w:t>
            </w:r>
            <w:r w:rsidRPr="00676396">
              <w:rPr>
                <w:rFonts w:eastAsia="Times New Roman" w:cs="Arial"/>
                <w:lang w:eastAsia="en-AU"/>
              </w:rPr>
              <w:t>385</w:t>
            </w:r>
          </w:p>
        </w:tc>
        <w:tc>
          <w:tcPr>
            <w:tcW w:w="1177" w:type="dxa"/>
            <w:tcBorders>
              <w:left w:val="nil"/>
            </w:tcBorders>
            <w:shd w:val="clear" w:color="auto" w:fill="DBE5F1" w:themeFill="accent1" w:themeFillTint="33"/>
            <w:vAlign w:val="center"/>
          </w:tcPr>
          <w:p w14:paraId="511DEF8F"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15</w:t>
            </w:r>
            <w:r>
              <w:rPr>
                <w:rFonts w:eastAsia="Times New Roman" w:cs="Arial"/>
                <w:lang w:eastAsia="en-AU"/>
              </w:rPr>
              <w:t>,</w:t>
            </w:r>
            <w:r w:rsidRPr="00676396">
              <w:rPr>
                <w:rFonts w:eastAsia="Times New Roman" w:cs="Arial"/>
                <w:lang w:eastAsia="en-AU"/>
              </w:rPr>
              <w:t>636</w:t>
            </w:r>
          </w:p>
        </w:tc>
        <w:tc>
          <w:tcPr>
            <w:tcW w:w="1176" w:type="dxa"/>
            <w:tcBorders>
              <w:right w:val="nil"/>
            </w:tcBorders>
            <w:shd w:val="clear" w:color="auto" w:fill="DBE5F1" w:themeFill="accent1" w:themeFillTint="33"/>
            <w:noWrap/>
            <w:vAlign w:val="center"/>
          </w:tcPr>
          <w:p w14:paraId="047C1433"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374</w:t>
            </w:r>
          </w:p>
        </w:tc>
        <w:tc>
          <w:tcPr>
            <w:tcW w:w="1177" w:type="dxa"/>
            <w:tcBorders>
              <w:left w:val="nil"/>
            </w:tcBorders>
            <w:shd w:val="clear" w:color="auto" w:fill="DBE5F1" w:themeFill="accent1" w:themeFillTint="33"/>
            <w:vAlign w:val="center"/>
          </w:tcPr>
          <w:p w14:paraId="271F947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143</w:t>
            </w:r>
          </w:p>
        </w:tc>
        <w:tc>
          <w:tcPr>
            <w:tcW w:w="1177" w:type="dxa"/>
            <w:tcBorders>
              <w:right w:val="nil"/>
            </w:tcBorders>
            <w:shd w:val="clear" w:color="auto" w:fill="DBE5F1" w:themeFill="accent1" w:themeFillTint="33"/>
            <w:noWrap/>
            <w:vAlign w:val="center"/>
          </w:tcPr>
          <w:p w14:paraId="018E511A"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013</w:t>
            </w:r>
          </w:p>
        </w:tc>
        <w:tc>
          <w:tcPr>
            <w:tcW w:w="1176" w:type="dxa"/>
            <w:tcBorders>
              <w:left w:val="nil"/>
            </w:tcBorders>
            <w:shd w:val="clear" w:color="auto" w:fill="DBE5F1" w:themeFill="accent1" w:themeFillTint="33"/>
            <w:vAlign w:val="center"/>
          </w:tcPr>
          <w:p w14:paraId="4BC9FFB4"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935</w:t>
            </w:r>
          </w:p>
        </w:tc>
        <w:tc>
          <w:tcPr>
            <w:tcW w:w="1177" w:type="dxa"/>
            <w:tcBorders>
              <w:right w:val="nil"/>
            </w:tcBorders>
            <w:shd w:val="clear" w:color="auto" w:fill="DBE5F1" w:themeFill="accent1" w:themeFillTint="33"/>
            <w:noWrap/>
            <w:vAlign w:val="center"/>
          </w:tcPr>
          <w:p w14:paraId="1F636B25"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361</w:t>
            </w:r>
          </w:p>
        </w:tc>
        <w:tc>
          <w:tcPr>
            <w:tcW w:w="1176" w:type="dxa"/>
            <w:tcBorders>
              <w:left w:val="nil"/>
            </w:tcBorders>
            <w:shd w:val="clear" w:color="auto" w:fill="DBE5F1" w:themeFill="accent1" w:themeFillTint="33"/>
            <w:vAlign w:val="center"/>
          </w:tcPr>
          <w:p w14:paraId="441225B6"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305</w:t>
            </w:r>
          </w:p>
        </w:tc>
        <w:tc>
          <w:tcPr>
            <w:tcW w:w="1177" w:type="dxa"/>
            <w:tcBorders>
              <w:right w:val="nil"/>
            </w:tcBorders>
            <w:shd w:val="clear" w:color="auto" w:fill="DBE5F1" w:themeFill="accent1" w:themeFillTint="33"/>
            <w:noWrap/>
            <w:vAlign w:val="center"/>
          </w:tcPr>
          <w:p w14:paraId="073D8499"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24</w:t>
            </w:r>
            <w:r>
              <w:rPr>
                <w:rFonts w:eastAsia="Times New Roman" w:cs="Arial"/>
                <w:b/>
                <w:lang w:eastAsia="en-AU"/>
              </w:rPr>
              <w:t>,</w:t>
            </w:r>
            <w:r w:rsidRPr="00676396">
              <w:rPr>
                <w:rFonts w:eastAsia="Times New Roman" w:cs="Arial"/>
                <w:b/>
                <w:lang w:eastAsia="en-AU"/>
              </w:rPr>
              <w:t>759</w:t>
            </w:r>
          </w:p>
        </w:tc>
        <w:tc>
          <w:tcPr>
            <w:tcW w:w="1177" w:type="dxa"/>
            <w:tcBorders>
              <w:left w:val="nil"/>
            </w:tcBorders>
            <w:shd w:val="clear" w:color="auto" w:fill="DBE5F1" w:themeFill="accent1" w:themeFillTint="33"/>
            <w:vAlign w:val="center"/>
          </w:tcPr>
          <w:p w14:paraId="5E148E03"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21</w:t>
            </w:r>
            <w:r>
              <w:rPr>
                <w:rFonts w:eastAsia="Times New Roman" w:cs="Arial"/>
                <w:b/>
                <w:lang w:eastAsia="en-AU"/>
              </w:rPr>
              <w:t>,</w:t>
            </w:r>
            <w:r w:rsidRPr="00676396">
              <w:rPr>
                <w:rFonts w:eastAsia="Times New Roman" w:cs="Arial"/>
                <w:b/>
                <w:lang w:eastAsia="en-AU"/>
              </w:rPr>
              <w:t>819</w:t>
            </w:r>
          </w:p>
        </w:tc>
      </w:tr>
      <w:tr w:rsidR="00F643B7" w:rsidRPr="003324F1" w14:paraId="6255F9B9" w14:textId="77777777" w:rsidTr="00F2448E">
        <w:trPr>
          <w:trHeight w:val="276"/>
        </w:trPr>
        <w:tc>
          <w:tcPr>
            <w:tcW w:w="2660" w:type="dxa"/>
            <w:shd w:val="clear" w:color="auto" w:fill="auto"/>
            <w:noWrap/>
            <w:hideMark/>
          </w:tcPr>
          <w:p w14:paraId="695FC6ED" w14:textId="77777777" w:rsidR="00F643B7" w:rsidRPr="00F44E7A" w:rsidRDefault="00F643B7"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1176" w:type="dxa"/>
            <w:tcBorders>
              <w:right w:val="nil"/>
            </w:tcBorders>
            <w:shd w:val="clear" w:color="auto" w:fill="auto"/>
            <w:noWrap/>
            <w:vAlign w:val="center"/>
          </w:tcPr>
          <w:p w14:paraId="1A5F69D6"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20</w:t>
            </w:r>
            <w:r>
              <w:rPr>
                <w:rFonts w:eastAsia="Times New Roman" w:cs="Arial"/>
                <w:lang w:eastAsia="en-AU"/>
              </w:rPr>
              <w:t>,</w:t>
            </w:r>
            <w:r w:rsidRPr="00676396">
              <w:rPr>
                <w:rFonts w:eastAsia="Times New Roman" w:cs="Arial"/>
                <w:lang w:eastAsia="en-AU"/>
              </w:rPr>
              <w:t>390</w:t>
            </w:r>
          </w:p>
        </w:tc>
        <w:tc>
          <w:tcPr>
            <w:tcW w:w="1177" w:type="dxa"/>
            <w:tcBorders>
              <w:left w:val="nil"/>
            </w:tcBorders>
            <w:shd w:val="clear" w:color="auto" w:fill="auto"/>
            <w:vAlign w:val="center"/>
          </w:tcPr>
          <w:p w14:paraId="596BF442"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16</w:t>
            </w:r>
            <w:r>
              <w:rPr>
                <w:rFonts w:eastAsia="Times New Roman" w:cs="Arial"/>
                <w:lang w:eastAsia="en-AU"/>
              </w:rPr>
              <w:t>,</w:t>
            </w:r>
            <w:r w:rsidRPr="00676396">
              <w:rPr>
                <w:rFonts w:eastAsia="Times New Roman" w:cs="Arial"/>
                <w:lang w:eastAsia="en-AU"/>
              </w:rPr>
              <w:t>817</w:t>
            </w:r>
          </w:p>
        </w:tc>
        <w:tc>
          <w:tcPr>
            <w:tcW w:w="1176" w:type="dxa"/>
            <w:tcBorders>
              <w:right w:val="nil"/>
            </w:tcBorders>
            <w:shd w:val="clear" w:color="auto" w:fill="auto"/>
            <w:noWrap/>
            <w:vAlign w:val="center"/>
          </w:tcPr>
          <w:p w14:paraId="1D8666B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886</w:t>
            </w:r>
          </w:p>
        </w:tc>
        <w:tc>
          <w:tcPr>
            <w:tcW w:w="1177" w:type="dxa"/>
            <w:tcBorders>
              <w:left w:val="nil"/>
            </w:tcBorders>
            <w:shd w:val="clear" w:color="auto" w:fill="auto"/>
            <w:vAlign w:val="center"/>
          </w:tcPr>
          <w:p w14:paraId="481E3831"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532</w:t>
            </w:r>
          </w:p>
        </w:tc>
        <w:tc>
          <w:tcPr>
            <w:tcW w:w="1177" w:type="dxa"/>
            <w:tcBorders>
              <w:right w:val="nil"/>
            </w:tcBorders>
            <w:shd w:val="clear" w:color="auto" w:fill="auto"/>
            <w:noWrap/>
            <w:vAlign w:val="center"/>
          </w:tcPr>
          <w:p w14:paraId="4A5E89DD"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673</w:t>
            </w:r>
          </w:p>
        </w:tc>
        <w:tc>
          <w:tcPr>
            <w:tcW w:w="1176" w:type="dxa"/>
            <w:tcBorders>
              <w:left w:val="nil"/>
            </w:tcBorders>
            <w:shd w:val="clear" w:color="auto" w:fill="auto"/>
            <w:vAlign w:val="center"/>
          </w:tcPr>
          <w:p w14:paraId="27DBC9DD"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589</w:t>
            </w:r>
          </w:p>
        </w:tc>
        <w:tc>
          <w:tcPr>
            <w:tcW w:w="1177" w:type="dxa"/>
            <w:tcBorders>
              <w:right w:val="nil"/>
            </w:tcBorders>
            <w:shd w:val="clear" w:color="auto" w:fill="auto"/>
            <w:noWrap/>
            <w:vAlign w:val="center"/>
          </w:tcPr>
          <w:p w14:paraId="35DBF050"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213</w:t>
            </w:r>
          </w:p>
        </w:tc>
        <w:tc>
          <w:tcPr>
            <w:tcW w:w="1176" w:type="dxa"/>
            <w:tcBorders>
              <w:left w:val="nil"/>
            </w:tcBorders>
            <w:shd w:val="clear" w:color="auto" w:fill="auto"/>
            <w:vAlign w:val="center"/>
          </w:tcPr>
          <w:p w14:paraId="519EFC69" w14:textId="77777777" w:rsidR="00F643B7" w:rsidRPr="00676396" w:rsidRDefault="00F643B7"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085</w:t>
            </w:r>
          </w:p>
        </w:tc>
        <w:tc>
          <w:tcPr>
            <w:tcW w:w="1177" w:type="dxa"/>
            <w:tcBorders>
              <w:right w:val="nil"/>
            </w:tcBorders>
            <w:shd w:val="clear" w:color="auto" w:fill="auto"/>
            <w:noWrap/>
            <w:vAlign w:val="center"/>
          </w:tcPr>
          <w:p w14:paraId="5B462FB2"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27</w:t>
            </w:r>
            <w:r>
              <w:rPr>
                <w:rFonts w:eastAsia="Times New Roman" w:cs="Arial"/>
                <w:b/>
                <w:lang w:eastAsia="en-AU"/>
              </w:rPr>
              <w:t>,</w:t>
            </w:r>
            <w:r w:rsidRPr="00676396">
              <w:rPr>
                <w:rFonts w:eastAsia="Times New Roman" w:cs="Arial"/>
                <w:b/>
                <w:lang w:eastAsia="en-AU"/>
              </w:rPr>
              <w:t>276</w:t>
            </w:r>
          </w:p>
        </w:tc>
        <w:tc>
          <w:tcPr>
            <w:tcW w:w="1177" w:type="dxa"/>
            <w:tcBorders>
              <w:left w:val="nil"/>
            </w:tcBorders>
            <w:shd w:val="clear" w:color="auto" w:fill="auto"/>
            <w:vAlign w:val="center"/>
          </w:tcPr>
          <w:p w14:paraId="2EA09A8E"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21</w:t>
            </w:r>
            <w:r>
              <w:rPr>
                <w:rFonts w:eastAsia="Times New Roman" w:cs="Arial"/>
                <w:b/>
                <w:lang w:eastAsia="en-AU"/>
              </w:rPr>
              <w:t>,</w:t>
            </w:r>
            <w:r w:rsidRPr="00676396">
              <w:rPr>
                <w:rFonts w:eastAsia="Times New Roman" w:cs="Arial"/>
                <w:b/>
                <w:lang w:eastAsia="en-AU"/>
              </w:rPr>
              <w:t>930</w:t>
            </w:r>
          </w:p>
        </w:tc>
      </w:tr>
      <w:tr w:rsidR="00F643B7" w:rsidRPr="00FD6E8E" w14:paraId="25561079" w14:textId="77777777" w:rsidTr="00F2448E">
        <w:trPr>
          <w:trHeight w:val="276"/>
        </w:trPr>
        <w:tc>
          <w:tcPr>
            <w:tcW w:w="2660" w:type="dxa"/>
            <w:shd w:val="clear" w:color="auto" w:fill="B8CCE4" w:themeFill="accent1" w:themeFillTint="66"/>
            <w:noWrap/>
            <w:hideMark/>
          </w:tcPr>
          <w:p w14:paraId="175A1AA2" w14:textId="77777777" w:rsidR="00F643B7" w:rsidRPr="00FD6E8E" w:rsidRDefault="00F643B7"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1176" w:type="dxa"/>
            <w:tcBorders>
              <w:right w:val="nil"/>
            </w:tcBorders>
            <w:shd w:val="clear" w:color="auto" w:fill="B8CCE4" w:themeFill="accent1" w:themeFillTint="66"/>
            <w:noWrap/>
            <w:vAlign w:val="center"/>
          </w:tcPr>
          <w:p w14:paraId="76BC65F5"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37</w:t>
            </w:r>
            <w:r>
              <w:rPr>
                <w:rFonts w:eastAsia="Times New Roman" w:cs="Arial"/>
                <w:b/>
                <w:lang w:eastAsia="en-AU"/>
              </w:rPr>
              <w:t>,</w:t>
            </w:r>
            <w:r w:rsidRPr="00676396">
              <w:rPr>
                <w:rFonts w:eastAsia="Times New Roman" w:cs="Arial"/>
                <w:b/>
                <w:lang w:eastAsia="en-AU"/>
              </w:rPr>
              <w:t>775</w:t>
            </w:r>
          </w:p>
        </w:tc>
        <w:tc>
          <w:tcPr>
            <w:tcW w:w="1177" w:type="dxa"/>
            <w:tcBorders>
              <w:left w:val="nil"/>
            </w:tcBorders>
            <w:shd w:val="clear" w:color="auto" w:fill="B8CCE4" w:themeFill="accent1" w:themeFillTint="66"/>
            <w:vAlign w:val="center"/>
          </w:tcPr>
          <w:p w14:paraId="34A04F2E"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29</w:t>
            </w:r>
            <w:r>
              <w:rPr>
                <w:rFonts w:eastAsia="Times New Roman" w:cs="Arial"/>
                <w:b/>
                <w:lang w:eastAsia="en-AU"/>
              </w:rPr>
              <w:t>,</w:t>
            </w:r>
            <w:r w:rsidRPr="00676396">
              <w:rPr>
                <w:rFonts w:eastAsia="Times New Roman" w:cs="Arial"/>
                <w:b/>
                <w:lang w:eastAsia="en-AU"/>
              </w:rPr>
              <w:t>989</w:t>
            </w:r>
          </w:p>
        </w:tc>
        <w:tc>
          <w:tcPr>
            <w:tcW w:w="1176" w:type="dxa"/>
            <w:tcBorders>
              <w:right w:val="nil"/>
            </w:tcBorders>
            <w:shd w:val="clear" w:color="auto" w:fill="B8CCE4" w:themeFill="accent1" w:themeFillTint="66"/>
            <w:noWrap/>
            <w:vAlign w:val="center"/>
          </w:tcPr>
          <w:p w14:paraId="050A7633"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14</w:t>
            </w:r>
            <w:r>
              <w:rPr>
                <w:rFonts w:eastAsia="Times New Roman" w:cs="Arial"/>
                <w:b/>
                <w:lang w:eastAsia="en-AU"/>
              </w:rPr>
              <w:t>,</w:t>
            </w:r>
            <w:r w:rsidRPr="00676396">
              <w:rPr>
                <w:rFonts w:eastAsia="Times New Roman" w:cs="Arial"/>
                <w:b/>
                <w:lang w:eastAsia="en-AU"/>
              </w:rPr>
              <w:t>260</w:t>
            </w:r>
          </w:p>
        </w:tc>
        <w:tc>
          <w:tcPr>
            <w:tcW w:w="1177" w:type="dxa"/>
            <w:tcBorders>
              <w:left w:val="nil"/>
            </w:tcBorders>
            <w:shd w:val="clear" w:color="auto" w:fill="B8CCE4" w:themeFill="accent1" w:themeFillTint="66"/>
            <w:vAlign w:val="center"/>
          </w:tcPr>
          <w:p w14:paraId="7D6537DF"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306</w:t>
            </w:r>
          </w:p>
        </w:tc>
        <w:tc>
          <w:tcPr>
            <w:tcW w:w="1177" w:type="dxa"/>
            <w:tcBorders>
              <w:right w:val="nil"/>
            </w:tcBorders>
            <w:shd w:val="clear" w:color="auto" w:fill="B8CCE4" w:themeFill="accent1" w:themeFillTint="66"/>
            <w:noWrap/>
            <w:vAlign w:val="center"/>
          </w:tcPr>
          <w:p w14:paraId="2F1D72CE"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686</w:t>
            </w:r>
          </w:p>
        </w:tc>
        <w:tc>
          <w:tcPr>
            <w:tcW w:w="1176" w:type="dxa"/>
            <w:tcBorders>
              <w:left w:val="nil"/>
            </w:tcBorders>
            <w:shd w:val="clear" w:color="auto" w:fill="B8CCE4" w:themeFill="accent1" w:themeFillTint="66"/>
            <w:vAlign w:val="center"/>
          </w:tcPr>
          <w:p w14:paraId="17CA0801"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401</w:t>
            </w:r>
          </w:p>
        </w:tc>
        <w:tc>
          <w:tcPr>
            <w:tcW w:w="1177" w:type="dxa"/>
            <w:tcBorders>
              <w:right w:val="nil"/>
            </w:tcBorders>
            <w:shd w:val="clear" w:color="auto" w:fill="B8CCE4" w:themeFill="accent1" w:themeFillTint="66"/>
            <w:noWrap/>
            <w:vAlign w:val="center"/>
          </w:tcPr>
          <w:p w14:paraId="3CA1C68F"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574</w:t>
            </w:r>
          </w:p>
        </w:tc>
        <w:tc>
          <w:tcPr>
            <w:tcW w:w="1176" w:type="dxa"/>
            <w:tcBorders>
              <w:left w:val="nil"/>
            </w:tcBorders>
            <w:shd w:val="clear" w:color="auto" w:fill="B8CCE4" w:themeFill="accent1" w:themeFillTint="66"/>
            <w:vAlign w:val="center"/>
          </w:tcPr>
          <w:p w14:paraId="254B3EA2"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313</w:t>
            </w:r>
          </w:p>
        </w:tc>
        <w:tc>
          <w:tcPr>
            <w:tcW w:w="1177" w:type="dxa"/>
            <w:tcBorders>
              <w:right w:val="nil"/>
            </w:tcBorders>
            <w:shd w:val="clear" w:color="auto" w:fill="B8CCE4" w:themeFill="accent1" w:themeFillTint="66"/>
            <w:noWrap/>
            <w:vAlign w:val="center"/>
          </w:tcPr>
          <w:p w14:paraId="52AE88CB"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52</w:t>
            </w:r>
            <w:r>
              <w:rPr>
                <w:rFonts w:eastAsia="Times New Roman" w:cs="Arial"/>
                <w:b/>
                <w:lang w:eastAsia="en-AU"/>
              </w:rPr>
              <w:t>,</w:t>
            </w:r>
            <w:r w:rsidRPr="00676396">
              <w:rPr>
                <w:rFonts w:eastAsia="Times New Roman" w:cs="Arial"/>
                <w:b/>
                <w:lang w:eastAsia="en-AU"/>
              </w:rPr>
              <w:t>035</w:t>
            </w:r>
          </w:p>
        </w:tc>
        <w:tc>
          <w:tcPr>
            <w:tcW w:w="1177" w:type="dxa"/>
            <w:tcBorders>
              <w:left w:val="nil"/>
            </w:tcBorders>
            <w:shd w:val="clear" w:color="auto" w:fill="B8CCE4" w:themeFill="accent1" w:themeFillTint="66"/>
            <w:vAlign w:val="center"/>
          </w:tcPr>
          <w:p w14:paraId="0CC2B994" w14:textId="77777777" w:rsidR="00F643B7" w:rsidRPr="00676396" w:rsidRDefault="00F643B7" w:rsidP="00CE2FDF">
            <w:pPr>
              <w:spacing w:before="0" w:line="276" w:lineRule="auto"/>
              <w:jc w:val="right"/>
              <w:rPr>
                <w:rFonts w:eastAsia="Times New Roman" w:cs="Arial"/>
                <w:b/>
                <w:lang w:eastAsia="en-AU"/>
              </w:rPr>
            </w:pPr>
            <w:r w:rsidRPr="00676396">
              <w:rPr>
                <w:rFonts w:eastAsia="Times New Roman" w:cs="Arial"/>
                <w:b/>
                <w:lang w:eastAsia="en-AU"/>
              </w:rPr>
              <w:t>39</w:t>
            </w:r>
            <w:r>
              <w:rPr>
                <w:rFonts w:eastAsia="Times New Roman" w:cs="Arial"/>
                <w:b/>
                <w:lang w:eastAsia="en-AU"/>
              </w:rPr>
              <w:t>,</w:t>
            </w:r>
            <w:r w:rsidRPr="00676396">
              <w:rPr>
                <w:rFonts w:eastAsia="Times New Roman" w:cs="Arial"/>
                <w:b/>
                <w:lang w:eastAsia="en-AU"/>
              </w:rPr>
              <w:t>689</w:t>
            </w:r>
          </w:p>
        </w:tc>
      </w:tr>
    </w:tbl>
    <w:p w14:paraId="71C2C427" w14:textId="77777777" w:rsidR="009654BA" w:rsidRDefault="009654BA" w:rsidP="00B15586">
      <w:pPr>
        <w:spacing w:after="200" w:line="276" w:lineRule="auto"/>
      </w:pPr>
      <w:r>
        <w:br w:type="page"/>
      </w:r>
    </w:p>
    <w:p w14:paraId="57EBEFF9" w14:textId="77777777" w:rsidR="00A269A5" w:rsidRDefault="00A269A5" w:rsidP="0095311F">
      <w:pPr>
        <w:pStyle w:val="Figureheading"/>
      </w:pPr>
      <w:r>
        <w:lastRenderedPageBreak/>
        <w:t>3.2</w:t>
      </w:r>
      <w:r w:rsidR="007B717D">
        <w:t>9</w:t>
      </w:r>
      <w:r>
        <w:tab/>
      </w:r>
      <w:r w:rsidR="00DE19E8" w:rsidRPr="00D74CC3">
        <w:t xml:space="preserve">Number of reports </w:t>
      </w:r>
      <w:r>
        <w:t xml:space="preserve">for 2011, </w:t>
      </w:r>
      <w:r w:rsidR="00DE19E8" w:rsidRPr="00D74CC3">
        <w:t>by abuse type,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70"/>
        <w:gridCol w:w="1471"/>
        <w:gridCol w:w="1471"/>
        <w:gridCol w:w="1471"/>
        <w:gridCol w:w="1470"/>
        <w:gridCol w:w="1471"/>
        <w:gridCol w:w="1471"/>
        <w:gridCol w:w="1471"/>
      </w:tblGrid>
      <w:tr w:rsidR="00DE19E8" w:rsidRPr="00F44E7A" w14:paraId="63D65CDF" w14:textId="77777777" w:rsidTr="00137AE1">
        <w:trPr>
          <w:trHeight w:val="365"/>
          <w:tblHeader/>
        </w:trPr>
        <w:tc>
          <w:tcPr>
            <w:tcW w:w="2660" w:type="dxa"/>
            <w:shd w:val="clear" w:color="auto" w:fill="B8CCE4" w:themeFill="accent1" w:themeFillTint="66"/>
            <w:noWrap/>
            <w:hideMark/>
          </w:tcPr>
          <w:p w14:paraId="1161FB34" w14:textId="77777777" w:rsidR="00DE19E8" w:rsidRPr="00F44E7A" w:rsidRDefault="00DE19E8" w:rsidP="00CE2FDF">
            <w:pPr>
              <w:spacing w:before="0" w:line="276" w:lineRule="auto"/>
              <w:rPr>
                <w:rFonts w:eastAsia="Times New Roman" w:cs="Arial"/>
                <w:b/>
                <w:lang w:eastAsia="en-AU"/>
              </w:rPr>
            </w:pPr>
          </w:p>
        </w:tc>
        <w:tc>
          <w:tcPr>
            <w:tcW w:w="2941" w:type="dxa"/>
            <w:gridSpan w:val="2"/>
            <w:shd w:val="clear" w:color="auto" w:fill="B8CCE4" w:themeFill="accent1" w:themeFillTint="66"/>
            <w:noWrap/>
            <w:vAlign w:val="center"/>
            <w:hideMark/>
          </w:tcPr>
          <w:p w14:paraId="76EEA1E6" w14:textId="77777777" w:rsidR="00DE19E8" w:rsidRPr="00F44E7A" w:rsidRDefault="00DE19E8"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3BC5F49C" w14:textId="77777777" w:rsidR="00DE19E8" w:rsidRPr="00F44E7A" w:rsidRDefault="00DE19E8"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3445C87C" w14:textId="77777777" w:rsidR="00DE19E8" w:rsidRPr="00F44E7A" w:rsidRDefault="00DE19E8"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7428FF48" w14:textId="77777777" w:rsidR="00DE19E8" w:rsidRPr="00F44E7A" w:rsidRDefault="00DE19E8"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DE19E8" w:rsidRPr="00F44E7A" w14:paraId="7FBFC8B1" w14:textId="77777777" w:rsidTr="00137AE1">
        <w:trPr>
          <w:trHeight w:val="271"/>
          <w:tblHeader/>
        </w:trPr>
        <w:tc>
          <w:tcPr>
            <w:tcW w:w="2660" w:type="dxa"/>
            <w:shd w:val="clear" w:color="auto" w:fill="B8CCE4" w:themeFill="accent1" w:themeFillTint="66"/>
            <w:noWrap/>
            <w:hideMark/>
          </w:tcPr>
          <w:p w14:paraId="31B5D09F" w14:textId="77777777" w:rsidR="00DE19E8" w:rsidRPr="00F44E7A" w:rsidRDefault="00DE19E8" w:rsidP="00CE2FDF">
            <w:pPr>
              <w:spacing w:before="0" w:line="276"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27113609" w14:textId="77777777" w:rsidR="00DE19E8" w:rsidRPr="00F44E7A" w:rsidRDefault="00DE19E8"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5A52BBAE" w14:textId="77777777" w:rsidR="00DE19E8" w:rsidRPr="00F44E7A" w:rsidRDefault="00DE19E8"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32F6D5D5" w14:textId="77777777" w:rsidR="00DE19E8" w:rsidRPr="00F44E7A" w:rsidRDefault="00DE19E8"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42761B21" w14:textId="77777777" w:rsidR="00DE19E8" w:rsidRPr="00F44E7A" w:rsidRDefault="00DE19E8" w:rsidP="00CE2FDF">
            <w:pPr>
              <w:spacing w:before="0" w:line="276"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47FB9728" w14:textId="77777777" w:rsidR="00DE19E8" w:rsidRPr="00F44E7A" w:rsidRDefault="00DE19E8"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19E2AF07" w14:textId="77777777" w:rsidR="00DE19E8" w:rsidRPr="00F44E7A" w:rsidRDefault="00DE19E8"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28615CB0" w14:textId="77777777" w:rsidR="00DE19E8" w:rsidRPr="00F44E7A" w:rsidRDefault="00DE19E8"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3A2D87CE" w14:textId="77777777" w:rsidR="00DE19E8" w:rsidRPr="00F44E7A" w:rsidRDefault="00DE19E8" w:rsidP="00CE2FDF">
            <w:pPr>
              <w:spacing w:before="0" w:line="276" w:lineRule="auto"/>
              <w:jc w:val="right"/>
              <w:rPr>
                <w:rFonts w:eastAsia="Times New Roman" w:cs="Arial"/>
                <w:b/>
                <w:lang w:eastAsia="en-AU"/>
              </w:rPr>
            </w:pPr>
            <w:r>
              <w:rPr>
                <w:rFonts w:eastAsia="Times New Roman" w:cs="Arial"/>
                <w:b/>
                <w:lang w:eastAsia="en-AU"/>
              </w:rPr>
              <w:t>Children</w:t>
            </w:r>
          </w:p>
        </w:tc>
      </w:tr>
      <w:tr w:rsidR="00DE19E8" w:rsidRPr="003324F1" w14:paraId="43B16215" w14:textId="77777777" w:rsidTr="00F2448E">
        <w:trPr>
          <w:trHeight w:val="276"/>
        </w:trPr>
        <w:tc>
          <w:tcPr>
            <w:tcW w:w="2660" w:type="dxa"/>
            <w:noWrap/>
            <w:hideMark/>
          </w:tcPr>
          <w:p w14:paraId="7B832CDA" w14:textId="77777777" w:rsidR="00DE19E8" w:rsidRPr="00F44E7A" w:rsidRDefault="00DE19E8" w:rsidP="00CE2FDF">
            <w:pPr>
              <w:spacing w:before="0" w:line="276" w:lineRule="auto"/>
              <w:rPr>
                <w:rFonts w:eastAsia="Times New Roman" w:cs="Arial"/>
                <w:b/>
                <w:lang w:eastAsia="en-AU"/>
              </w:rPr>
            </w:pPr>
            <w:r w:rsidRPr="00F44E7A">
              <w:rPr>
                <w:rFonts w:eastAsia="Times New Roman" w:cs="Arial"/>
                <w:b/>
                <w:lang w:eastAsia="en-AU"/>
              </w:rPr>
              <w:t>Doctors</w:t>
            </w:r>
          </w:p>
        </w:tc>
        <w:tc>
          <w:tcPr>
            <w:tcW w:w="1470" w:type="dxa"/>
            <w:tcBorders>
              <w:right w:val="nil"/>
            </w:tcBorders>
            <w:noWrap/>
            <w:vAlign w:val="center"/>
          </w:tcPr>
          <w:p w14:paraId="725C9F74"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373</w:t>
            </w:r>
          </w:p>
        </w:tc>
        <w:tc>
          <w:tcPr>
            <w:tcW w:w="1471" w:type="dxa"/>
            <w:tcBorders>
              <w:left w:val="nil"/>
            </w:tcBorders>
            <w:vAlign w:val="center"/>
          </w:tcPr>
          <w:p w14:paraId="665E1382"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367</w:t>
            </w:r>
          </w:p>
        </w:tc>
        <w:tc>
          <w:tcPr>
            <w:tcW w:w="1471" w:type="dxa"/>
            <w:tcBorders>
              <w:right w:val="nil"/>
            </w:tcBorders>
            <w:noWrap/>
            <w:vAlign w:val="center"/>
          </w:tcPr>
          <w:p w14:paraId="421F517F"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169</w:t>
            </w:r>
          </w:p>
        </w:tc>
        <w:tc>
          <w:tcPr>
            <w:tcW w:w="1471" w:type="dxa"/>
            <w:tcBorders>
              <w:left w:val="nil"/>
            </w:tcBorders>
            <w:vAlign w:val="center"/>
          </w:tcPr>
          <w:p w14:paraId="468644DC"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162</w:t>
            </w:r>
          </w:p>
        </w:tc>
        <w:tc>
          <w:tcPr>
            <w:tcW w:w="1470" w:type="dxa"/>
            <w:tcBorders>
              <w:right w:val="nil"/>
            </w:tcBorders>
            <w:noWrap/>
            <w:vAlign w:val="center"/>
          </w:tcPr>
          <w:p w14:paraId="280C8FF4"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442</w:t>
            </w:r>
          </w:p>
        </w:tc>
        <w:tc>
          <w:tcPr>
            <w:tcW w:w="1471" w:type="dxa"/>
            <w:tcBorders>
              <w:left w:val="nil"/>
            </w:tcBorders>
            <w:vAlign w:val="center"/>
          </w:tcPr>
          <w:p w14:paraId="04FB49ED"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433</w:t>
            </w:r>
          </w:p>
        </w:tc>
        <w:tc>
          <w:tcPr>
            <w:tcW w:w="1471" w:type="dxa"/>
            <w:tcBorders>
              <w:right w:val="nil"/>
            </w:tcBorders>
            <w:noWrap/>
            <w:vAlign w:val="center"/>
          </w:tcPr>
          <w:p w14:paraId="374FCB1C"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200</w:t>
            </w:r>
          </w:p>
        </w:tc>
        <w:tc>
          <w:tcPr>
            <w:tcW w:w="1471" w:type="dxa"/>
            <w:tcBorders>
              <w:left w:val="nil"/>
            </w:tcBorders>
            <w:vAlign w:val="center"/>
          </w:tcPr>
          <w:p w14:paraId="0B2FCBFD"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199</w:t>
            </w:r>
          </w:p>
        </w:tc>
      </w:tr>
      <w:tr w:rsidR="00DE19E8" w:rsidRPr="003324F1" w14:paraId="0680D7D2" w14:textId="77777777" w:rsidTr="00F2448E">
        <w:trPr>
          <w:trHeight w:val="276"/>
        </w:trPr>
        <w:tc>
          <w:tcPr>
            <w:tcW w:w="2660" w:type="dxa"/>
            <w:shd w:val="clear" w:color="auto" w:fill="DBE5F1" w:themeFill="accent1" w:themeFillTint="33"/>
            <w:noWrap/>
            <w:hideMark/>
          </w:tcPr>
          <w:p w14:paraId="070C89D0" w14:textId="77777777" w:rsidR="00DE19E8" w:rsidRPr="00F44E7A" w:rsidRDefault="00DE19E8" w:rsidP="00CE2FDF">
            <w:pPr>
              <w:spacing w:before="0" w:line="276" w:lineRule="auto"/>
              <w:rPr>
                <w:rFonts w:eastAsia="Times New Roman" w:cs="Arial"/>
                <w:b/>
                <w:lang w:eastAsia="en-AU"/>
              </w:rPr>
            </w:pPr>
            <w:r w:rsidRPr="00F44E7A">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070F9D4C"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936</w:t>
            </w:r>
          </w:p>
        </w:tc>
        <w:tc>
          <w:tcPr>
            <w:tcW w:w="1471" w:type="dxa"/>
            <w:tcBorders>
              <w:left w:val="nil"/>
            </w:tcBorders>
            <w:shd w:val="clear" w:color="auto" w:fill="DBE5F1" w:themeFill="accent1" w:themeFillTint="33"/>
            <w:vAlign w:val="center"/>
          </w:tcPr>
          <w:p w14:paraId="7D1230F1"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907</w:t>
            </w:r>
          </w:p>
        </w:tc>
        <w:tc>
          <w:tcPr>
            <w:tcW w:w="1471" w:type="dxa"/>
            <w:tcBorders>
              <w:right w:val="nil"/>
            </w:tcBorders>
            <w:shd w:val="clear" w:color="auto" w:fill="DBE5F1" w:themeFill="accent1" w:themeFillTint="33"/>
            <w:noWrap/>
            <w:vAlign w:val="center"/>
          </w:tcPr>
          <w:p w14:paraId="3DEC8091"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359</w:t>
            </w:r>
          </w:p>
        </w:tc>
        <w:tc>
          <w:tcPr>
            <w:tcW w:w="1471" w:type="dxa"/>
            <w:tcBorders>
              <w:left w:val="nil"/>
            </w:tcBorders>
            <w:shd w:val="clear" w:color="auto" w:fill="DBE5F1" w:themeFill="accent1" w:themeFillTint="33"/>
            <w:vAlign w:val="center"/>
          </w:tcPr>
          <w:p w14:paraId="350D0D9F"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355</w:t>
            </w:r>
          </w:p>
        </w:tc>
        <w:tc>
          <w:tcPr>
            <w:tcW w:w="1470" w:type="dxa"/>
            <w:tcBorders>
              <w:right w:val="nil"/>
            </w:tcBorders>
            <w:shd w:val="clear" w:color="auto" w:fill="DBE5F1" w:themeFill="accent1" w:themeFillTint="33"/>
            <w:noWrap/>
            <w:vAlign w:val="center"/>
          </w:tcPr>
          <w:p w14:paraId="50D06986"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397</w:t>
            </w:r>
          </w:p>
        </w:tc>
        <w:tc>
          <w:tcPr>
            <w:tcW w:w="1471" w:type="dxa"/>
            <w:tcBorders>
              <w:left w:val="nil"/>
            </w:tcBorders>
            <w:shd w:val="clear" w:color="auto" w:fill="DBE5F1" w:themeFill="accent1" w:themeFillTint="33"/>
            <w:vAlign w:val="center"/>
          </w:tcPr>
          <w:p w14:paraId="666D0E92"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392</w:t>
            </w:r>
          </w:p>
        </w:tc>
        <w:tc>
          <w:tcPr>
            <w:tcW w:w="1471" w:type="dxa"/>
            <w:tcBorders>
              <w:right w:val="nil"/>
            </w:tcBorders>
            <w:shd w:val="clear" w:color="auto" w:fill="DBE5F1" w:themeFill="accent1" w:themeFillTint="33"/>
            <w:noWrap/>
            <w:vAlign w:val="center"/>
          </w:tcPr>
          <w:p w14:paraId="00D4EF87"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71</w:t>
            </w:r>
          </w:p>
        </w:tc>
        <w:tc>
          <w:tcPr>
            <w:tcW w:w="1471" w:type="dxa"/>
            <w:tcBorders>
              <w:left w:val="nil"/>
            </w:tcBorders>
            <w:shd w:val="clear" w:color="auto" w:fill="DBE5F1" w:themeFill="accent1" w:themeFillTint="33"/>
            <w:vAlign w:val="center"/>
          </w:tcPr>
          <w:p w14:paraId="03F5C485"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70</w:t>
            </w:r>
          </w:p>
        </w:tc>
      </w:tr>
      <w:tr w:rsidR="00DE19E8" w:rsidRPr="003324F1" w14:paraId="125D1702" w14:textId="77777777" w:rsidTr="00F2448E">
        <w:trPr>
          <w:trHeight w:val="276"/>
        </w:trPr>
        <w:tc>
          <w:tcPr>
            <w:tcW w:w="2660" w:type="dxa"/>
            <w:noWrap/>
            <w:hideMark/>
          </w:tcPr>
          <w:p w14:paraId="17E4466D" w14:textId="77777777" w:rsidR="00DE19E8" w:rsidRPr="00F44E7A" w:rsidRDefault="00DE19E8" w:rsidP="00CE2FDF">
            <w:pPr>
              <w:spacing w:before="0" w:line="276"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noWrap/>
            <w:vAlign w:val="center"/>
          </w:tcPr>
          <w:p w14:paraId="2B6E8177"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10</w:t>
            </w:r>
            <w:r>
              <w:rPr>
                <w:rFonts w:eastAsia="Times New Roman" w:cs="Arial"/>
                <w:color w:val="000000"/>
                <w:lang w:eastAsia="en-AU"/>
              </w:rPr>
              <w:t>,</w:t>
            </w:r>
            <w:r w:rsidRPr="00676396">
              <w:rPr>
                <w:rFonts w:eastAsia="Times New Roman" w:cs="Arial"/>
                <w:color w:val="000000"/>
                <w:lang w:eastAsia="en-AU"/>
              </w:rPr>
              <w:t>450</w:t>
            </w:r>
          </w:p>
        </w:tc>
        <w:tc>
          <w:tcPr>
            <w:tcW w:w="1471" w:type="dxa"/>
            <w:tcBorders>
              <w:left w:val="nil"/>
            </w:tcBorders>
            <w:vAlign w:val="center"/>
          </w:tcPr>
          <w:p w14:paraId="49698DA5"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9</w:t>
            </w:r>
            <w:r>
              <w:rPr>
                <w:rFonts w:eastAsia="Times New Roman" w:cs="Arial"/>
                <w:color w:val="000000"/>
                <w:lang w:eastAsia="en-AU"/>
              </w:rPr>
              <w:t>,</w:t>
            </w:r>
            <w:r w:rsidRPr="00676396">
              <w:rPr>
                <w:rFonts w:eastAsia="Times New Roman" w:cs="Arial"/>
                <w:color w:val="000000"/>
                <w:lang w:eastAsia="en-AU"/>
              </w:rPr>
              <w:t>425</w:t>
            </w:r>
          </w:p>
        </w:tc>
        <w:tc>
          <w:tcPr>
            <w:tcW w:w="1471" w:type="dxa"/>
            <w:tcBorders>
              <w:right w:val="nil"/>
            </w:tcBorders>
            <w:noWrap/>
            <w:vAlign w:val="center"/>
          </w:tcPr>
          <w:p w14:paraId="716BBD7E"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750</w:t>
            </w:r>
          </w:p>
        </w:tc>
        <w:tc>
          <w:tcPr>
            <w:tcW w:w="1471" w:type="dxa"/>
            <w:tcBorders>
              <w:left w:val="nil"/>
            </w:tcBorders>
            <w:vAlign w:val="center"/>
          </w:tcPr>
          <w:p w14:paraId="4D5180B6"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744</w:t>
            </w:r>
          </w:p>
        </w:tc>
        <w:tc>
          <w:tcPr>
            <w:tcW w:w="1470" w:type="dxa"/>
            <w:tcBorders>
              <w:right w:val="nil"/>
            </w:tcBorders>
            <w:noWrap/>
            <w:vAlign w:val="center"/>
          </w:tcPr>
          <w:p w14:paraId="4AC39C5C"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2</w:t>
            </w:r>
            <w:r>
              <w:rPr>
                <w:rFonts w:eastAsia="Times New Roman" w:cs="Arial"/>
                <w:color w:val="000000"/>
                <w:lang w:eastAsia="en-AU"/>
              </w:rPr>
              <w:t>,</w:t>
            </w:r>
            <w:r w:rsidRPr="00676396">
              <w:rPr>
                <w:rFonts w:eastAsia="Times New Roman" w:cs="Arial"/>
                <w:color w:val="000000"/>
                <w:lang w:eastAsia="en-AU"/>
              </w:rPr>
              <w:t>823</w:t>
            </w:r>
          </w:p>
        </w:tc>
        <w:tc>
          <w:tcPr>
            <w:tcW w:w="1471" w:type="dxa"/>
            <w:tcBorders>
              <w:left w:val="nil"/>
            </w:tcBorders>
            <w:vAlign w:val="center"/>
          </w:tcPr>
          <w:p w14:paraId="4D5251E2"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2</w:t>
            </w:r>
            <w:r>
              <w:rPr>
                <w:rFonts w:eastAsia="Times New Roman" w:cs="Arial"/>
                <w:color w:val="000000"/>
                <w:lang w:eastAsia="en-AU"/>
              </w:rPr>
              <w:t>,</w:t>
            </w:r>
            <w:r w:rsidRPr="00676396">
              <w:rPr>
                <w:rFonts w:eastAsia="Times New Roman" w:cs="Arial"/>
                <w:color w:val="000000"/>
                <w:lang w:eastAsia="en-AU"/>
              </w:rPr>
              <w:t>770</w:t>
            </w:r>
          </w:p>
        </w:tc>
        <w:tc>
          <w:tcPr>
            <w:tcW w:w="1471" w:type="dxa"/>
            <w:tcBorders>
              <w:right w:val="nil"/>
            </w:tcBorders>
            <w:noWrap/>
            <w:vAlign w:val="center"/>
          </w:tcPr>
          <w:p w14:paraId="6A1C2A7C"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w:t>
            </w:r>
            <w:r>
              <w:rPr>
                <w:rFonts w:eastAsia="Times New Roman" w:cs="Arial"/>
                <w:color w:val="000000"/>
                <w:lang w:eastAsia="en-AU"/>
              </w:rPr>
              <w:t>,</w:t>
            </w:r>
            <w:r w:rsidRPr="00676396">
              <w:rPr>
                <w:rFonts w:eastAsia="Times New Roman" w:cs="Arial"/>
                <w:color w:val="000000"/>
                <w:lang w:eastAsia="en-AU"/>
              </w:rPr>
              <w:t>771</w:t>
            </w:r>
          </w:p>
        </w:tc>
        <w:tc>
          <w:tcPr>
            <w:tcW w:w="1471" w:type="dxa"/>
            <w:tcBorders>
              <w:left w:val="nil"/>
            </w:tcBorders>
            <w:vAlign w:val="center"/>
          </w:tcPr>
          <w:p w14:paraId="5596B9A7"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720</w:t>
            </w:r>
          </w:p>
        </w:tc>
      </w:tr>
      <w:tr w:rsidR="00DE19E8" w:rsidRPr="003324F1" w14:paraId="0A48967E" w14:textId="77777777" w:rsidTr="00F2448E">
        <w:trPr>
          <w:trHeight w:val="276"/>
        </w:trPr>
        <w:tc>
          <w:tcPr>
            <w:tcW w:w="2660" w:type="dxa"/>
            <w:shd w:val="clear" w:color="auto" w:fill="DBE5F1" w:themeFill="accent1" w:themeFillTint="33"/>
            <w:noWrap/>
            <w:hideMark/>
          </w:tcPr>
          <w:p w14:paraId="18486B51" w14:textId="77777777" w:rsidR="00DE19E8" w:rsidRPr="00F44E7A" w:rsidRDefault="00DE19E8" w:rsidP="00CE2FDF">
            <w:pPr>
              <w:spacing w:before="0" w:line="276"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DBE5F1" w:themeFill="accent1" w:themeFillTint="33"/>
            <w:noWrap/>
            <w:vAlign w:val="center"/>
          </w:tcPr>
          <w:p w14:paraId="2D49AFC2"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w:t>
            </w:r>
            <w:r>
              <w:rPr>
                <w:rFonts w:eastAsia="Times New Roman" w:cs="Arial"/>
                <w:color w:val="000000"/>
                <w:lang w:eastAsia="en-AU"/>
              </w:rPr>
              <w:t>,</w:t>
            </w:r>
            <w:r w:rsidRPr="00676396">
              <w:rPr>
                <w:rFonts w:eastAsia="Times New Roman" w:cs="Arial"/>
                <w:color w:val="000000"/>
                <w:lang w:eastAsia="en-AU"/>
              </w:rPr>
              <w:t>753</w:t>
            </w:r>
          </w:p>
        </w:tc>
        <w:tc>
          <w:tcPr>
            <w:tcW w:w="1471" w:type="dxa"/>
            <w:tcBorders>
              <w:left w:val="nil"/>
            </w:tcBorders>
            <w:shd w:val="clear" w:color="auto" w:fill="DBE5F1" w:themeFill="accent1" w:themeFillTint="33"/>
            <w:vAlign w:val="center"/>
          </w:tcPr>
          <w:p w14:paraId="7EE87B31"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w:t>
            </w:r>
            <w:r>
              <w:rPr>
                <w:rFonts w:eastAsia="Times New Roman" w:cs="Arial"/>
                <w:color w:val="000000"/>
                <w:lang w:eastAsia="en-AU"/>
              </w:rPr>
              <w:t>,</w:t>
            </w:r>
            <w:r w:rsidRPr="00676396">
              <w:rPr>
                <w:rFonts w:eastAsia="Times New Roman" w:cs="Arial"/>
                <w:color w:val="000000"/>
                <w:lang w:eastAsia="en-AU"/>
              </w:rPr>
              <w:t>507</w:t>
            </w:r>
          </w:p>
        </w:tc>
        <w:tc>
          <w:tcPr>
            <w:tcW w:w="1471" w:type="dxa"/>
            <w:tcBorders>
              <w:right w:val="nil"/>
            </w:tcBorders>
            <w:shd w:val="clear" w:color="auto" w:fill="DBE5F1" w:themeFill="accent1" w:themeFillTint="33"/>
            <w:noWrap/>
            <w:vAlign w:val="center"/>
          </w:tcPr>
          <w:p w14:paraId="37CAFF36"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653</w:t>
            </w:r>
          </w:p>
        </w:tc>
        <w:tc>
          <w:tcPr>
            <w:tcW w:w="1471" w:type="dxa"/>
            <w:tcBorders>
              <w:left w:val="nil"/>
            </w:tcBorders>
            <w:shd w:val="clear" w:color="auto" w:fill="DBE5F1" w:themeFill="accent1" w:themeFillTint="33"/>
            <w:vAlign w:val="center"/>
          </w:tcPr>
          <w:p w14:paraId="01AD9090"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635</w:t>
            </w:r>
          </w:p>
        </w:tc>
        <w:tc>
          <w:tcPr>
            <w:tcW w:w="1470" w:type="dxa"/>
            <w:tcBorders>
              <w:right w:val="nil"/>
            </w:tcBorders>
            <w:shd w:val="clear" w:color="auto" w:fill="DBE5F1" w:themeFill="accent1" w:themeFillTint="33"/>
            <w:noWrap/>
            <w:vAlign w:val="center"/>
          </w:tcPr>
          <w:p w14:paraId="7A8FA4E6"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w:t>
            </w:r>
            <w:r>
              <w:rPr>
                <w:rFonts w:eastAsia="Times New Roman" w:cs="Arial"/>
                <w:color w:val="000000"/>
                <w:lang w:eastAsia="en-AU"/>
              </w:rPr>
              <w:t>,</w:t>
            </w:r>
            <w:r w:rsidRPr="00676396">
              <w:rPr>
                <w:rFonts w:eastAsia="Times New Roman" w:cs="Arial"/>
                <w:color w:val="000000"/>
                <w:lang w:eastAsia="en-AU"/>
              </w:rPr>
              <w:t>605</w:t>
            </w:r>
          </w:p>
        </w:tc>
        <w:tc>
          <w:tcPr>
            <w:tcW w:w="1471" w:type="dxa"/>
            <w:tcBorders>
              <w:left w:val="nil"/>
            </w:tcBorders>
            <w:shd w:val="clear" w:color="auto" w:fill="DBE5F1" w:themeFill="accent1" w:themeFillTint="33"/>
            <w:vAlign w:val="center"/>
          </w:tcPr>
          <w:p w14:paraId="73B5FB6C"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w:t>
            </w:r>
            <w:r>
              <w:rPr>
                <w:rFonts w:eastAsia="Times New Roman" w:cs="Arial"/>
                <w:color w:val="000000"/>
                <w:lang w:eastAsia="en-AU"/>
              </w:rPr>
              <w:t>,</w:t>
            </w:r>
            <w:r w:rsidRPr="00676396">
              <w:rPr>
                <w:rFonts w:eastAsia="Times New Roman" w:cs="Arial"/>
                <w:color w:val="000000"/>
                <w:lang w:eastAsia="en-AU"/>
              </w:rPr>
              <w:t>415</w:t>
            </w:r>
          </w:p>
        </w:tc>
        <w:tc>
          <w:tcPr>
            <w:tcW w:w="1471" w:type="dxa"/>
            <w:tcBorders>
              <w:right w:val="nil"/>
            </w:tcBorders>
            <w:shd w:val="clear" w:color="auto" w:fill="DBE5F1" w:themeFill="accent1" w:themeFillTint="33"/>
            <w:noWrap/>
            <w:vAlign w:val="center"/>
          </w:tcPr>
          <w:p w14:paraId="277B5659"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929</w:t>
            </w:r>
          </w:p>
        </w:tc>
        <w:tc>
          <w:tcPr>
            <w:tcW w:w="1471" w:type="dxa"/>
            <w:tcBorders>
              <w:left w:val="nil"/>
            </w:tcBorders>
            <w:shd w:val="clear" w:color="auto" w:fill="DBE5F1" w:themeFill="accent1" w:themeFillTint="33"/>
            <w:vAlign w:val="center"/>
          </w:tcPr>
          <w:p w14:paraId="41AC4E67"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907</w:t>
            </w:r>
          </w:p>
        </w:tc>
      </w:tr>
      <w:tr w:rsidR="00DE19E8" w:rsidRPr="003324F1" w14:paraId="5CF44C6D" w14:textId="77777777" w:rsidTr="00F2448E">
        <w:trPr>
          <w:trHeight w:val="276"/>
        </w:trPr>
        <w:tc>
          <w:tcPr>
            <w:tcW w:w="2660" w:type="dxa"/>
            <w:shd w:val="clear" w:color="auto" w:fill="auto"/>
            <w:noWrap/>
            <w:hideMark/>
          </w:tcPr>
          <w:p w14:paraId="1DC227C8" w14:textId="77777777" w:rsidR="00DE19E8" w:rsidRPr="00F44E7A" w:rsidRDefault="00DE19E8" w:rsidP="00CE2FDF">
            <w:pPr>
              <w:spacing w:before="0" w:line="276" w:lineRule="auto"/>
              <w:rPr>
                <w:rFonts w:eastAsia="Times New Roman" w:cs="Arial"/>
                <w:b/>
                <w:lang w:eastAsia="en-AU"/>
              </w:rPr>
            </w:pPr>
            <w:r>
              <w:rPr>
                <w:rFonts w:eastAsia="Times New Roman" w:cs="Arial"/>
                <w:b/>
                <w:lang w:eastAsia="en-AU"/>
              </w:rPr>
              <w:t>Psychiatrists</w:t>
            </w:r>
          </w:p>
        </w:tc>
        <w:tc>
          <w:tcPr>
            <w:tcW w:w="1470" w:type="dxa"/>
            <w:tcBorders>
              <w:right w:val="nil"/>
            </w:tcBorders>
            <w:shd w:val="clear" w:color="auto" w:fill="auto"/>
            <w:noWrap/>
            <w:vAlign w:val="center"/>
          </w:tcPr>
          <w:p w14:paraId="3C7CEC7D"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123</w:t>
            </w:r>
          </w:p>
        </w:tc>
        <w:tc>
          <w:tcPr>
            <w:tcW w:w="1471" w:type="dxa"/>
            <w:tcBorders>
              <w:left w:val="nil"/>
            </w:tcBorders>
            <w:shd w:val="clear" w:color="auto" w:fill="auto"/>
            <w:vAlign w:val="center"/>
          </w:tcPr>
          <w:p w14:paraId="1F89402B"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117</w:t>
            </w:r>
          </w:p>
        </w:tc>
        <w:tc>
          <w:tcPr>
            <w:tcW w:w="1471" w:type="dxa"/>
            <w:tcBorders>
              <w:right w:val="nil"/>
            </w:tcBorders>
            <w:shd w:val="clear" w:color="auto" w:fill="auto"/>
            <w:noWrap/>
            <w:vAlign w:val="center"/>
          </w:tcPr>
          <w:p w14:paraId="6F6F7368"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11</w:t>
            </w:r>
          </w:p>
        </w:tc>
        <w:tc>
          <w:tcPr>
            <w:tcW w:w="1471" w:type="dxa"/>
            <w:tcBorders>
              <w:left w:val="nil"/>
            </w:tcBorders>
            <w:shd w:val="clear" w:color="auto" w:fill="auto"/>
            <w:vAlign w:val="center"/>
          </w:tcPr>
          <w:p w14:paraId="21AB490E"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11</w:t>
            </w:r>
          </w:p>
        </w:tc>
        <w:tc>
          <w:tcPr>
            <w:tcW w:w="1470" w:type="dxa"/>
            <w:tcBorders>
              <w:right w:val="nil"/>
            </w:tcBorders>
            <w:shd w:val="clear" w:color="auto" w:fill="auto"/>
            <w:noWrap/>
            <w:vAlign w:val="center"/>
          </w:tcPr>
          <w:p w14:paraId="431E63B2"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49</w:t>
            </w:r>
          </w:p>
        </w:tc>
        <w:tc>
          <w:tcPr>
            <w:tcW w:w="1471" w:type="dxa"/>
            <w:tcBorders>
              <w:left w:val="nil"/>
            </w:tcBorders>
            <w:shd w:val="clear" w:color="auto" w:fill="auto"/>
            <w:vAlign w:val="center"/>
          </w:tcPr>
          <w:p w14:paraId="7FE373AF"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49</w:t>
            </w:r>
          </w:p>
        </w:tc>
        <w:tc>
          <w:tcPr>
            <w:tcW w:w="1471" w:type="dxa"/>
            <w:tcBorders>
              <w:right w:val="nil"/>
            </w:tcBorders>
            <w:shd w:val="clear" w:color="auto" w:fill="auto"/>
            <w:noWrap/>
            <w:vAlign w:val="center"/>
          </w:tcPr>
          <w:p w14:paraId="53DA007A"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15</w:t>
            </w:r>
          </w:p>
        </w:tc>
        <w:tc>
          <w:tcPr>
            <w:tcW w:w="1471" w:type="dxa"/>
            <w:tcBorders>
              <w:left w:val="nil"/>
            </w:tcBorders>
            <w:shd w:val="clear" w:color="auto" w:fill="auto"/>
            <w:vAlign w:val="center"/>
          </w:tcPr>
          <w:p w14:paraId="6D51248E"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15</w:t>
            </w:r>
          </w:p>
        </w:tc>
      </w:tr>
      <w:tr w:rsidR="00DE19E8" w:rsidRPr="003324F1" w14:paraId="27D04B25" w14:textId="77777777" w:rsidTr="00F2448E">
        <w:trPr>
          <w:trHeight w:val="276"/>
        </w:trPr>
        <w:tc>
          <w:tcPr>
            <w:tcW w:w="2660" w:type="dxa"/>
            <w:shd w:val="clear" w:color="auto" w:fill="DBE5F1" w:themeFill="accent1" w:themeFillTint="33"/>
            <w:noWrap/>
            <w:hideMark/>
          </w:tcPr>
          <w:p w14:paraId="2324E0B8" w14:textId="77777777" w:rsidR="00DE19E8" w:rsidRPr="00F44E7A" w:rsidRDefault="00DE19E8"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470" w:type="dxa"/>
            <w:tcBorders>
              <w:right w:val="nil"/>
            </w:tcBorders>
            <w:shd w:val="clear" w:color="auto" w:fill="DBE5F1" w:themeFill="accent1" w:themeFillTint="33"/>
            <w:noWrap/>
            <w:vAlign w:val="center"/>
          </w:tcPr>
          <w:p w14:paraId="58CDB4A1"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15</w:t>
            </w:r>
            <w:r>
              <w:rPr>
                <w:rFonts w:eastAsia="Times New Roman" w:cs="Arial"/>
                <w:color w:val="000000"/>
                <w:lang w:eastAsia="en-AU"/>
              </w:rPr>
              <w:t>,</w:t>
            </w:r>
            <w:r w:rsidRPr="00676396">
              <w:rPr>
                <w:rFonts w:eastAsia="Times New Roman" w:cs="Arial"/>
                <w:color w:val="000000"/>
                <w:lang w:eastAsia="en-AU"/>
              </w:rPr>
              <w:t>635</w:t>
            </w:r>
          </w:p>
        </w:tc>
        <w:tc>
          <w:tcPr>
            <w:tcW w:w="1471" w:type="dxa"/>
            <w:tcBorders>
              <w:left w:val="nil"/>
            </w:tcBorders>
            <w:shd w:val="clear" w:color="auto" w:fill="DBE5F1" w:themeFill="accent1" w:themeFillTint="33"/>
            <w:vAlign w:val="center"/>
          </w:tcPr>
          <w:p w14:paraId="669770C2"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13</w:t>
            </w:r>
            <w:r>
              <w:rPr>
                <w:rFonts w:eastAsia="Times New Roman" w:cs="Arial"/>
                <w:color w:val="000000"/>
                <w:lang w:eastAsia="en-AU"/>
              </w:rPr>
              <w:t>,</w:t>
            </w:r>
            <w:r w:rsidRPr="00676396">
              <w:rPr>
                <w:rFonts w:eastAsia="Times New Roman" w:cs="Arial"/>
                <w:color w:val="000000"/>
                <w:lang w:eastAsia="en-AU"/>
              </w:rPr>
              <w:t>900</w:t>
            </w:r>
          </w:p>
        </w:tc>
        <w:tc>
          <w:tcPr>
            <w:tcW w:w="1471" w:type="dxa"/>
            <w:tcBorders>
              <w:right w:val="nil"/>
            </w:tcBorders>
            <w:shd w:val="clear" w:color="auto" w:fill="DBE5F1" w:themeFill="accent1" w:themeFillTint="33"/>
            <w:noWrap/>
            <w:vAlign w:val="center"/>
          </w:tcPr>
          <w:p w14:paraId="5ACDAE5F"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w:t>
            </w:r>
            <w:r>
              <w:rPr>
                <w:rFonts w:eastAsia="Times New Roman" w:cs="Arial"/>
                <w:color w:val="000000"/>
                <w:lang w:eastAsia="en-AU"/>
              </w:rPr>
              <w:t>,</w:t>
            </w:r>
            <w:r w:rsidRPr="00676396">
              <w:rPr>
                <w:rFonts w:eastAsia="Times New Roman" w:cs="Arial"/>
                <w:color w:val="000000"/>
                <w:lang w:eastAsia="en-AU"/>
              </w:rPr>
              <w:t>942</w:t>
            </w:r>
          </w:p>
        </w:tc>
        <w:tc>
          <w:tcPr>
            <w:tcW w:w="1471" w:type="dxa"/>
            <w:tcBorders>
              <w:left w:val="nil"/>
            </w:tcBorders>
            <w:shd w:val="clear" w:color="auto" w:fill="DBE5F1" w:themeFill="accent1" w:themeFillTint="33"/>
            <w:vAlign w:val="center"/>
          </w:tcPr>
          <w:p w14:paraId="1FA761EF"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w:t>
            </w:r>
            <w:r>
              <w:rPr>
                <w:rFonts w:eastAsia="Times New Roman" w:cs="Arial"/>
                <w:color w:val="000000"/>
                <w:lang w:eastAsia="en-AU"/>
              </w:rPr>
              <w:t>,</w:t>
            </w:r>
            <w:r w:rsidRPr="00676396">
              <w:rPr>
                <w:rFonts w:eastAsia="Times New Roman" w:cs="Arial"/>
                <w:color w:val="000000"/>
                <w:lang w:eastAsia="en-AU"/>
              </w:rPr>
              <w:t>894</w:t>
            </w:r>
          </w:p>
        </w:tc>
        <w:tc>
          <w:tcPr>
            <w:tcW w:w="1470" w:type="dxa"/>
            <w:tcBorders>
              <w:right w:val="nil"/>
            </w:tcBorders>
            <w:shd w:val="clear" w:color="auto" w:fill="DBE5F1" w:themeFill="accent1" w:themeFillTint="33"/>
            <w:noWrap/>
            <w:vAlign w:val="center"/>
          </w:tcPr>
          <w:p w14:paraId="7364C51E"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7</w:t>
            </w:r>
            <w:r>
              <w:rPr>
                <w:rFonts w:eastAsia="Times New Roman" w:cs="Arial"/>
                <w:color w:val="000000"/>
                <w:lang w:eastAsia="en-AU"/>
              </w:rPr>
              <w:t>,</w:t>
            </w:r>
            <w:r w:rsidRPr="00676396">
              <w:rPr>
                <w:rFonts w:eastAsia="Times New Roman" w:cs="Arial"/>
                <w:color w:val="000000"/>
                <w:lang w:eastAsia="en-AU"/>
              </w:rPr>
              <w:t>316</w:t>
            </w:r>
          </w:p>
        </w:tc>
        <w:tc>
          <w:tcPr>
            <w:tcW w:w="1471" w:type="dxa"/>
            <w:tcBorders>
              <w:left w:val="nil"/>
            </w:tcBorders>
            <w:shd w:val="clear" w:color="auto" w:fill="DBE5F1" w:themeFill="accent1" w:themeFillTint="33"/>
            <w:vAlign w:val="center"/>
          </w:tcPr>
          <w:p w14:paraId="7BEB120C"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6</w:t>
            </w:r>
            <w:r>
              <w:rPr>
                <w:rFonts w:eastAsia="Times New Roman" w:cs="Arial"/>
                <w:color w:val="000000"/>
                <w:lang w:eastAsia="en-AU"/>
              </w:rPr>
              <w:t>,</w:t>
            </w:r>
            <w:r w:rsidRPr="00676396">
              <w:rPr>
                <w:rFonts w:eastAsia="Times New Roman" w:cs="Arial"/>
                <w:color w:val="000000"/>
                <w:lang w:eastAsia="en-AU"/>
              </w:rPr>
              <w:t>948</w:t>
            </w:r>
          </w:p>
        </w:tc>
        <w:tc>
          <w:tcPr>
            <w:tcW w:w="1471" w:type="dxa"/>
            <w:tcBorders>
              <w:right w:val="nil"/>
            </w:tcBorders>
            <w:shd w:val="clear" w:color="auto" w:fill="DBE5F1" w:themeFill="accent1" w:themeFillTint="33"/>
            <w:noWrap/>
            <w:vAlign w:val="center"/>
          </w:tcPr>
          <w:p w14:paraId="042043D5"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2</w:t>
            </w:r>
            <w:r>
              <w:rPr>
                <w:rFonts w:eastAsia="Times New Roman" w:cs="Arial"/>
                <w:color w:val="000000"/>
                <w:lang w:eastAsia="en-AU"/>
              </w:rPr>
              <w:t>,</w:t>
            </w:r>
            <w:r w:rsidRPr="00676396">
              <w:rPr>
                <w:rFonts w:eastAsia="Times New Roman" w:cs="Arial"/>
                <w:color w:val="000000"/>
                <w:lang w:eastAsia="en-AU"/>
              </w:rPr>
              <w:t>986</w:t>
            </w:r>
          </w:p>
        </w:tc>
        <w:tc>
          <w:tcPr>
            <w:tcW w:w="1471" w:type="dxa"/>
            <w:tcBorders>
              <w:left w:val="nil"/>
            </w:tcBorders>
            <w:shd w:val="clear" w:color="auto" w:fill="DBE5F1" w:themeFill="accent1" w:themeFillTint="33"/>
            <w:vAlign w:val="center"/>
          </w:tcPr>
          <w:p w14:paraId="64D70464"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871</w:t>
            </w:r>
          </w:p>
        </w:tc>
      </w:tr>
      <w:tr w:rsidR="00DE19E8" w:rsidRPr="003324F1" w14:paraId="41BB6667" w14:textId="77777777" w:rsidTr="00F2448E">
        <w:trPr>
          <w:trHeight w:val="276"/>
        </w:trPr>
        <w:tc>
          <w:tcPr>
            <w:tcW w:w="2660" w:type="dxa"/>
            <w:shd w:val="clear" w:color="auto" w:fill="auto"/>
            <w:noWrap/>
            <w:hideMark/>
          </w:tcPr>
          <w:p w14:paraId="7CDF839C" w14:textId="77777777" w:rsidR="00DE19E8" w:rsidRPr="00F44E7A" w:rsidRDefault="00DE19E8"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25C8E837"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17</w:t>
            </w:r>
            <w:r>
              <w:rPr>
                <w:rFonts w:eastAsia="Times New Roman" w:cs="Arial"/>
                <w:color w:val="000000"/>
                <w:lang w:eastAsia="en-AU"/>
              </w:rPr>
              <w:t>,</w:t>
            </w:r>
            <w:r w:rsidRPr="00676396">
              <w:rPr>
                <w:rFonts w:eastAsia="Times New Roman" w:cs="Arial"/>
                <w:color w:val="000000"/>
                <w:lang w:eastAsia="en-AU"/>
              </w:rPr>
              <w:t>368</w:t>
            </w:r>
          </w:p>
        </w:tc>
        <w:tc>
          <w:tcPr>
            <w:tcW w:w="1471" w:type="dxa"/>
            <w:tcBorders>
              <w:left w:val="nil"/>
            </w:tcBorders>
            <w:shd w:val="clear" w:color="auto" w:fill="auto"/>
            <w:vAlign w:val="center"/>
          </w:tcPr>
          <w:p w14:paraId="2781593A"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14</w:t>
            </w:r>
            <w:r>
              <w:rPr>
                <w:rFonts w:eastAsia="Times New Roman" w:cs="Arial"/>
                <w:color w:val="000000"/>
                <w:lang w:eastAsia="en-AU"/>
              </w:rPr>
              <w:t>,</w:t>
            </w:r>
            <w:r w:rsidRPr="00676396">
              <w:rPr>
                <w:rFonts w:eastAsia="Times New Roman" w:cs="Arial"/>
                <w:color w:val="000000"/>
                <w:lang w:eastAsia="en-AU"/>
              </w:rPr>
              <w:t>593</w:t>
            </w:r>
          </w:p>
        </w:tc>
        <w:tc>
          <w:tcPr>
            <w:tcW w:w="1471" w:type="dxa"/>
            <w:tcBorders>
              <w:right w:val="nil"/>
            </w:tcBorders>
            <w:shd w:val="clear" w:color="auto" w:fill="auto"/>
            <w:noWrap/>
            <w:vAlign w:val="center"/>
          </w:tcPr>
          <w:p w14:paraId="2848D858"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w:t>
            </w:r>
            <w:r>
              <w:rPr>
                <w:rFonts w:eastAsia="Times New Roman" w:cs="Arial"/>
                <w:color w:val="000000"/>
                <w:lang w:eastAsia="en-AU"/>
              </w:rPr>
              <w:t>,</w:t>
            </w:r>
            <w:r w:rsidRPr="00676396">
              <w:rPr>
                <w:rFonts w:eastAsia="Times New Roman" w:cs="Arial"/>
                <w:color w:val="000000"/>
                <w:lang w:eastAsia="en-AU"/>
              </w:rPr>
              <w:t>733</w:t>
            </w:r>
          </w:p>
        </w:tc>
        <w:tc>
          <w:tcPr>
            <w:tcW w:w="1471" w:type="dxa"/>
            <w:tcBorders>
              <w:left w:val="nil"/>
            </w:tcBorders>
            <w:shd w:val="clear" w:color="auto" w:fill="auto"/>
            <w:vAlign w:val="center"/>
          </w:tcPr>
          <w:p w14:paraId="0DA06C62"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w:t>
            </w:r>
            <w:r>
              <w:rPr>
                <w:rFonts w:eastAsia="Times New Roman" w:cs="Arial"/>
                <w:color w:val="000000"/>
                <w:lang w:eastAsia="en-AU"/>
              </w:rPr>
              <w:t>,</w:t>
            </w:r>
            <w:r w:rsidRPr="00676396">
              <w:rPr>
                <w:rFonts w:eastAsia="Times New Roman" w:cs="Arial"/>
                <w:color w:val="000000"/>
                <w:lang w:eastAsia="en-AU"/>
              </w:rPr>
              <w:t>506</w:t>
            </w:r>
          </w:p>
        </w:tc>
        <w:tc>
          <w:tcPr>
            <w:tcW w:w="1470" w:type="dxa"/>
            <w:tcBorders>
              <w:right w:val="nil"/>
            </w:tcBorders>
            <w:shd w:val="clear" w:color="auto" w:fill="auto"/>
            <w:noWrap/>
            <w:vAlign w:val="center"/>
          </w:tcPr>
          <w:p w14:paraId="5E6A98DB"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6</w:t>
            </w:r>
            <w:r>
              <w:rPr>
                <w:rFonts w:eastAsia="Times New Roman" w:cs="Arial"/>
                <w:color w:val="000000"/>
                <w:lang w:eastAsia="en-AU"/>
              </w:rPr>
              <w:t>,</w:t>
            </w:r>
            <w:r w:rsidRPr="00676396">
              <w:rPr>
                <w:rFonts w:eastAsia="Times New Roman" w:cs="Arial"/>
                <w:color w:val="000000"/>
                <w:lang w:eastAsia="en-AU"/>
              </w:rPr>
              <w:t>673</w:t>
            </w:r>
          </w:p>
        </w:tc>
        <w:tc>
          <w:tcPr>
            <w:tcW w:w="1471" w:type="dxa"/>
            <w:tcBorders>
              <w:left w:val="nil"/>
            </w:tcBorders>
            <w:shd w:val="clear" w:color="auto" w:fill="auto"/>
            <w:vAlign w:val="center"/>
          </w:tcPr>
          <w:p w14:paraId="3A76FEAC"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6</w:t>
            </w:r>
            <w:r>
              <w:rPr>
                <w:rFonts w:eastAsia="Times New Roman" w:cs="Arial"/>
                <w:color w:val="000000"/>
                <w:lang w:eastAsia="en-AU"/>
              </w:rPr>
              <w:t>,</w:t>
            </w:r>
            <w:r w:rsidRPr="00676396">
              <w:rPr>
                <w:rFonts w:eastAsia="Times New Roman" w:cs="Arial"/>
                <w:color w:val="000000"/>
                <w:lang w:eastAsia="en-AU"/>
              </w:rPr>
              <w:t>201</w:t>
            </w:r>
          </w:p>
        </w:tc>
        <w:tc>
          <w:tcPr>
            <w:tcW w:w="1471" w:type="dxa"/>
            <w:tcBorders>
              <w:right w:val="nil"/>
            </w:tcBorders>
            <w:shd w:val="clear" w:color="auto" w:fill="auto"/>
            <w:noWrap/>
            <w:vAlign w:val="center"/>
          </w:tcPr>
          <w:p w14:paraId="0214E2A8" w14:textId="77777777" w:rsidR="00DE19E8" w:rsidRPr="00676396" w:rsidRDefault="00DE19E8" w:rsidP="00CE2FDF">
            <w:pPr>
              <w:spacing w:before="0" w:line="276" w:lineRule="auto"/>
              <w:jc w:val="right"/>
              <w:rPr>
                <w:rFonts w:eastAsia="Times New Roman" w:cs="Arial"/>
                <w:color w:val="000000"/>
                <w:lang w:eastAsia="en-AU"/>
              </w:rPr>
            </w:pPr>
            <w:r w:rsidRPr="00676396">
              <w:rPr>
                <w:rFonts w:eastAsia="Times New Roman" w:cs="Arial"/>
                <w:color w:val="000000"/>
                <w:lang w:eastAsia="en-AU"/>
              </w:rPr>
              <w:t>3</w:t>
            </w:r>
            <w:r>
              <w:rPr>
                <w:rFonts w:eastAsia="Times New Roman" w:cs="Arial"/>
                <w:color w:val="000000"/>
                <w:lang w:eastAsia="en-AU"/>
              </w:rPr>
              <w:t>,</w:t>
            </w:r>
            <w:r w:rsidRPr="00676396">
              <w:rPr>
                <w:rFonts w:eastAsia="Times New Roman" w:cs="Arial"/>
                <w:color w:val="000000"/>
                <w:lang w:eastAsia="en-AU"/>
              </w:rPr>
              <w:t>279</w:t>
            </w:r>
          </w:p>
        </w:tc>
        <w:tc>
          <w:tcPr>
            <w:tcW w:w="1471" w:type="dxa"/>
            <w:tcBorders>
              <w:left w:val="nil"/>
            </w:tcBorders>
            <w:shd w:val="clear" w:color="auto" w:fill="auto"/>
            <w:vAlign w:val="center"/>
          </w:tcPr>
          <w:p w14:paraId="7647F628"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007</w:t>
            </w:r>
          </w:p>
        </w:tc>
      </w:tr>
      <w:tr w:rsidR="00DE19E8" w:rsidRPr="00FD6E8E" w14:paraId="72BDEE00" w14:textId="77777777" w:rsidTr="00F2448E">
        <w:trPr>
          <w:trHeight w:val="276"/>
        </w:trPr>
        <w:tc>
          <w:tcPr>
            <w:tcW w:w="2660" w:type="dxa"/>
            <w:shd w:val="clear" w:color="auto" w:fill="B8CCE4" w:themeFill="accent1" w:themeFillTint="66"/>
            <w:noWrap/>
            <w:hideMark/>
          </w:tcPr>
          <w:p w14:paraId="4D54505D" w14:textId="77777777" w:rsidR="00DE19E8" w:rsidRPr="00FD6E8E" w:rsidRDefault="00DE19E8" w:rsidP="00CE2FDF">
            <w:pPr>
              <w:spacing w:before="0" w:line="276" w:lineRule="auto"/>
              <w:rPr>
                <w:rFonts w:eastAsia="Times New Roman" w:cs="Arial"/>
                <w:b/>
                <w:lang w:eastAsia="en-AU"/>
              </w:rPr>
            </w:pPr>
            <w:r w:rsidRPr="00FD6E8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369BDC8C"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33</w:t>
            </w:r>
            <w:r>
              <w:rPr>
                <w:rFonts w:eastAsia="Times New Roman" w:cs="Arial"/>
                <w:b/>
                <w:lang w:eastAsia="en-AU"/>
              </w:rPr>
              <w:t>,</w:t>
            </w:r>
            <w:r w:rsidRPr="00676396">
              <w:rPr>
                <w:rFonts w:eastAsia="Times New Roman" w:cs="Arial"/>
                <w:b/>
                <w:lang w:eastAsia="en-AU"/>
              </w:rPr>
              <w:t>003</w:t>
            </w:r>
          </w:p>
        </w:tc>
        <w:tc>
          <w:tcPr>
            <w:tcW w:w="1471" w:type="dxa"/>
            <w:tcBorders>
              <w:left w:val="nil"/>
            </w:tcBorders>
            <w:shd w:val="clear" w:color="auto" w:fill="B8CCE4" w:themeFill="accent1" w:themeFillTint="66"/>
            <w:vAlign w:val="center"/>
          </w:tcPr>
          <w:p w14:paraId="1468BBC2"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26</w:t>
            </w:r>
            <w:r>
              <w:rPr>
                <w:rFonts w:eastAsia="Times New Roman" w:cs="Arial"/>
                <w:b/>
                <w:lang w:eastAsia="en-AU"/>
              </w:rPr>
              <w:t>,</w:t>
            </w:r>
            <w:r w:rsidRPr="00676396">
              <w:rPr>
                <w:rFonts w:eastAsia="Times New Roman" w:cs="Arial"/>
                <w:b/>
                <w:lang w:eastAsia="en-AU"/>
              </w:rPr>
              <w:t>332</w:t>
            </w:r>
          </w:p>
        </w:tc>
        <w:tc>
          <w:tcPr>
            <w:tcW w:w="1471" w:type="dxa"/>
            <w:tcBorders>
              <w:right w:val="nil"/>
            </w:tcBorders>
            <w:shd w:val="clear" w:color="auto" w:fill="B8CCE4" w:themeFill="accent1" w:themeFillTint="66"/>
            <w:noWrap/>
            <w:vAlign w:val="center"/>
          </w:tcPr>
          <w:p w14:paraId="10F7AD3D"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5</w:t>
            </w:r>
            <w:r>
              <w:rPr>
                <w:rFonts w:eastAsia="Times New Roman" w:cs="Arial"/>
                <w:b/>
                <w:lang w:eastAsia="en-AU"/>
              </w:rPr>
              <w:t>,</w:t>
            </w:r>
            <w:r w:rsidRPr="00676396">
              <w:rPr>
                <w:rFonts w:eastAsia="Times New Roman" w:cs="Arial"/>
                <w:b/>
                <w:lang w:eastAsia="en-AU"/>
              </w:rPr>
              <w:t>675</w:t>
            </w:r>
          </w:p>
        </w:tc>
        <w:tc>
          <w:tcPr>
            <w:tcW w:w="1471" w:type="dxa"/>
            <w:tcBorders>
              <w:left w:val="nil"/>
            </w:tcBorders>
            <w:shd w:val="clear" w:color="auto" w:fill="B8CCE4" w:themeFill="accent1" w:themeFillTint="66"/>
            <w:vAlign w:val="center"/>
          </w:tcPr>
          <w:p w14:paraId="08BDB3A3"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5</w:t>
            </w:r>
            <w:r>
              <w:rPr>
                <w:rFonts w:eastAsia="Times New Roman" w:cs="Arial"/>
                <w:b/>
                <w:lang w:eastAsia="en-AU"/>
              </w:rPr>
              <w:t>,</w:t>
            </w:r>
            <w:r w:rsidRPr="00676396">
              <w:rPr>
                <w:rFonts w:eastAsia="Times New Roman" w:cs="Arial"/>
                <w:b/>
                <w:lang w:eastAsia="en-AU"/>
              </w:rPr>
              <w:t>286</w:t>
            </w:r>
          </w:p>
        </w:tc>
        <w:tc>
          <w:tcPr>
            <w:tcW w:w="1470" w:type="dxa"/>
            <w:tcBorders>
              <w:right w:val="nil"/>
            </w:tcBorders>
            <w:shd w:val="clear" w:color="auto" w:fill="B8CCE4" w:themeFill="accent1" w:themeFillTint="66"/>
            <w:noWrap/>
            <w:vAlign w:val="center"/>
          </w:tcPr>
          <w:p w14:paraId="70A129B6"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989</w:t>
            </w:r>
          </w:p>
        </w:tc>
        <w:tc>
          <w:tcPr>
            <w:tcW w:w="1471" w:type="dxa"/>
            <w:tcBorders>
              <w:left w:val="nil"/>
            </w:tcBorders>
            <w:shd w:val="clear" w:color="auto" w:fill="B8CCE4" w:themeFill="accent1" w:themeFillTint="66"/>
            <w:vAlign w:val="center"/>
          </w:tcPr>
          <w:p w14:paraId="71CA1F7A"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12</w:t>
            </w:r>
            <w:r>
              <w:rPr>
                <w:rFonts w:eastAsia="Times New Roman" w:cs="Arial"/>
                <w:b/>
                <w:lang w:eastAsia="en-AU"/>
              </w:rPr>
              <w:t>,</w:t>
            </w:r>
            <w:r w:rsidRPr="00676396">
              <w:rPr>
                <w:rFonts w:eastAsia="Times New Roman" w:cs="Arial"/>
                <w:b/>
                <w:lang w:eastAsia="en-AU"/>
              </w:rPr>
              <w:t>720</w:t>
            </w:r>
          </w:p>
        </w:tc>
        <w:tc>
          <w:tcPr>
            <w:tcW w:w="1471" w:type="dxa"/>
            <w:tcBorders>
              <w:right w:val="nil"/>
            </w:tcBorders>
            <w:shd w:val="clear" w:color="auto" w:fill="B8CCE4" w:themeFill="accent1" w:themeFillTint="66"/>
            <w:noWrap/>
            <w:vAlign w:val="center"/>
          </w:tcPr>
          <w:p w14:paraId="72268EF7"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265</w:t>
            </w:r>
          </w:p>
        </w:tc>
        <w:tc>
          <w:tcPr>
            <w:tcW w:w="1471" w:type="dxa"/>
            <w:tcBorders>
              <w:left w:val="nil"/>
            </w:tcBorders>
            <w:shd w:val="clear" w:color="auto" w:fill="B8CCE4" w:themeFill="accent1" w:themeFillTint="66"/>
            <w:vAlign w:val="center"/>
          </w:tcPr>
          <w:p w14:paraId="4C479F7A"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5</w:t>
            </w:r>
            <w:r>
              <w:rPr>
                <w:rFonts w:eastAsia="Times New Roman" w:cs="Arial"/>
                <w:b/>
                <w:lang w:eastAsia="en-AU"/>
              </w:rPr>
              <w:t>,</w:t>
            </w:r>
            <w:r w:rsidRPr="00676396">
              <w:rPr>
                <w:rFonts w:eastAsia="Times New Roman" w:cs="Arial"/>
                <w:b/>
                <w:lang w:eastAsia="en-AU"/>
              </w:rPr>
              <w:t>682</w:t>
            </w:r>
          </w:p>
        </w:tc>
      </w:tr>
    </w:tbl>
    <w:p w14:paraId="7B60584D" w14:textId="77777777" w:rsidR="00DE19E8" w:rsidRDefault="00DE19E8" w:rsidP="00B15586"/>
    <w:p w14:paraId="3A288E2A" w14:textId="77777777" w:rsidR="00A269A5" w:rsidRDefault="00A269A5" w:rsidP="0095311F">
      <w:pPr>
        <w:pStyle w:val="Figureheading"/>
      </w:pPr>
      <w:r>
        <w:t>3.</w:t>
      </w:r>
      <w:r w:rsidR="007B717D">
        <w:t>30</w:t>
      </w:r>
      <w:r>
        <w:tab/>
      </w:r>
      <w:r w:rsidR="00DE19E8" w:rsidRPr="00D74CC3">
        <w:t xml:space="preserve">Number of reports </w:t>
      </w:r>
      <w:r>
        <w:t xml:space="preserve">for 2011, </w:t>
      </w:r>
      <w:r w:rsidR="00DE19E8" w:rsidRPr="00D74CC3">
        <w:t>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76"/>
        <w:gridCol w:w="1177"/>
        <w:gridCol w:w="1176"/>
        <w:gridCol w:w="1177"/>
        <w:gridCol w:w="1177"/>
        <w:gridCol w:w="1176"/>
        <w:gridCol w:w="1177"/>
        <w:gridCol w:w="1176"/>
        <w:gridCol w:w="1177"/>
        <w:gridCol w:w="1177"/>
      </w:tblGrid>
      <w:tr w:rsidR="00DE19E8" w:rsidRPr="00F44E7A" w14:paraId="4FCF91F3" w14:textId="77777777" w:rsidTr="00137AE1">
        <w:trPr>
          <w:trHeight w:val="329"/>
          <w:tblHeader/>
        </w:trPr>
        <w:tc>
          <w:tcPr>
            <w:tcW w:w="2660" w:type="dxa"/>
            <w:shd w:val="clear" w:color="auto" w:fill="B8CCE4" w:themeFill="accent1" w:themeFillTint="66"/>
            <w:noWrap/>
            <w:hideMark/>
          </w:tcPr>
          <w:p w14:paraId="40E2B567" w14:textId="77777777" w:rsidR="00DE19E8" w:rsidRPr="00F44E7A" w:rsidRDefault="00DE19E8" w:rsidP="00CE2FDF">
            <w:pPr>
              <w:keepNext/>
              <w:spacing w:before="0" w:line="276" w:lineRule="auto"/>
              <w:jc w:val="center"/>
              <w:rPr>
                <w:rFonts w:eastAsia="Times New Roman" w:cs="Arial"/>
                <w:b/>
                <w:lang w:eastAsia="en-AU"/>
              </w:rPr>
            </w:pPr>
          </w:p>
        </w:tc>
        <w:tc>
          <w:tcPr>
            <w:tcW w:w="2353" w:type="dxa"/>
            <w:gridSpan w:val="2"/>
            <w:shd w:val="clear" w:color="auto" w:fill="B8CCE4" w:themeFill="accent1" w:themeFillTint="66"/>
            <w:noWrap/>
            <w:hideMark/>
          </w:tcPr>
          <w:p w14:paraId="54560995" w14:textId="77777777" w:rsidR="00DE19E8" w:rsidRPr="00F44E7A" w:rsidRDefault="00DE19E8"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03BA78D1" w14:textId="77777777" w:rsidR="00DE19E8" w:rsidRPr="00F44E7A" w:rsidRDefault="00DE19E8"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23B99BAE" w14:textId="77777777" w:rsidR="00DE19E8" w:rsidRPr="00F44E7A" w:rsidRDefault="00DE19E8"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22962D11" w14:textId="77777777" w:rsidR="00DE19E8" w:rsidRPr="00F44E7A" w:rsidRDefault="00DE19E8"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764BAA42" w14:textId="77777777" w:rsidR="00DE19E8" w:rsidRPr="00F44E7A" w:rsidRDefault="00DE19E8"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DE19E8" w:rsidRPr="00F44E7A" w14:paraId="001F3B72" w14:textId="77777777" w:rsidTr="00137AE1">
        <w:trPr>
          <w:trHeight w:val="264"/>
          <w:tblHeader/>
        </w:trPr>
        <w:tc>
          <w:tcPr>
            <w:tcW w:w="2660" w:type="dxa"/>
            <w:shd w:val="clear" w:color="auto" w:fill="B8CCE4" w:themeFill="accent1" w:themeFillTint="66"/>
            <w:noWrap/>
            <w:hideMark/>
          </w:tcPr>
          <w:p w14:paraId="691EE760" w14:textId="77777777" w:rsidR="00DE19E8" w:rsidRPr="00F44E7A" w:rsidRDefault="00DE19E8" w:rsidP="00CE2FDF">
            <w:pPr>
              <w:keepNext/>
              <w:spacing w:before="0" w:line="276"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619F2E62" w14:textId="77777777" w:rsidR="00DE19E8" w:rsidRPr="00F44E7A" w:rsidRDefault="00DE19E8"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32C33DA5" w14:textId="77777777" w:rsidR="00DE19E8" w:rsidRPr="00F44E7A" w:rsidRDefault="00DE19E8"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0720A6D5" w14:textId="77777777" w:rsidR="00DE19E8" w:rsidRPr="00F44E7A" w:rsidRDefault="00DE19E8"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0AACDC39" w14:textId="77777777" w:rsidR="00DE19E8" w:rsidRPr="00F44E7A" w:rsidRDefault="00DE19E8"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24893BF1" w14:textId="77777777" w:rsidR="00DE19E8" w:rsidRPr="00F44E7A" w:rsidRDefault="00DE19E8"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3FCD6019" w14:textId="77777777" w:rsidR="00DE19E8" w:rsidRPr="00F44E7A" w:rsidRDefault="00DE19E8"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44EC66DD" w14:textId="77777777" w:rsidR="00DE19E8" w:rsidRPr="00F44E7A" w:rsidRDefault="00DE19E8"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3C330693" w14:textId="77777777" w:rsidR="00DE19E8" w:rsidRPr="00F44E7A" w:rsidRDefault="00DE19E8"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0C900A86" w14:textId="77777777" w:rsidR="00DE19E8" w:rsidRPr="00F44E7A" w:rsidRDefault="00DE19E8"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0CF07759" w14:textId="77777777" w:rsidR="00DE19E8" w:rsidRPr="00F44E7A" w:rsidRDefault="00DE19E8"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DE19E8" w:rsidRPr="003324F1" w14:paraId="0E128611" w14:textId="77777777" w:rsidTr="00F2448E">
        <w:trPr>
          <w:trHeight w:val="276"/>
        </w:trPr>
        <w:tc>
          <w:tcPr>
            <w:tcW w:w="2660" w:type="dxa"/>
            <w:noWrap/>
            <w:hideMark/>
          </w:tcPr>
          <w:p w14:paraId="49383B09" w14:textId="77777777" w:rsidR="00DE19E8" w:rsidRPr="00F44E7A" w:rsidRDefault="00DE19E8"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1176" w:type="dxa"/>
            <w:tcBorders>
              <w:right w:val="nil"/>
            </w:tcBorders>
            <w:noWrap/>
            <w:vAlign w:val="center"/>
          </w:tcPr>
          <w:p w14:paraId="0D3DB213"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818</w:t>
            </w:r>
          </w:p>
        </w:tc>
        <w:tc>
          <w:tcPr>
            <w:tcW w:w="1177" w:type="dxa"/>
            <w:tcBorders>
              <w:left w:val="nil"/>
            </w:tcBorders>
            <w:vAlign w:val="center"/>
          </w:tcPr>
          <w:p w14:paraId="12E530B0"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794</w:t>
            </w:r>
          </w:p>
        </w:tc>
        <w:tc>
          <w:tcPr>
            <w:tcW w:w="1176" w:type="dxa"/>
            <w:tcBorders>
              <w:right w:val="nil"/>
            </w:tcBorders>
            <w:noWrap/>
            <w:vAlign w:val="center"/>
          </w:tcPr>
          <w:p w14:paraId="7D8982BC"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366</w:t>
            </w:r>
          </w:p>
        </w:tc>
        <w:tc>
          <w:tcPr>
            <w:tcW w:w="1177" w:type="dxa"/>
            <w:tcBorders>
              <w:left w:val="nil"/>
            </w:tcBorders>
            <w:vAlign w:val="center"/>
          </w:tcPr>
          <w:p w14:paraId="1F696C59"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365</w:t>
            </w:r>
          </w:p>
        </w:tc>
        <w:tc>
          <w:tcPr>
            <w:tcW w:w="1177" w:type="dxa"/>
            <w:tcBorders>
              <w:right w:val="nil"/>
            </w:tcBorders>
            <w:noWrap/>
            <w:vAlign w:val="center"/>
          </w:tcPr>
          <w:p w14:paraId="2A6E4429"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207</w:t>
            </w:r>
          </w:p>
        </w:tc>
        <w:tc>
          <w:tcPr>
            <w:tcW w:w="1176" w:type="dxa"/>
            <w:tcBorders>
              <w:left w:val="nil"/>
            </w:tcBorders>
            <w:vAlign w:val="center"/>
          </w:tcPr>
          <w:p w14:paraId="6339AAB7"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207</w:t>
            </w:r>
          </w:p>
        </w:tc>
        <w:tc>
          <w:tcPr>
            <w:tcW w:w="1177" w:type="dxa"/>
            <w:tcBorders>
              <w:right w:val="nil"/>
            </w:tcBorders>
            <w:noWrap/>
            <w:vAlign w:val="center"/>
          </w:tcPr>
          <w:p w14:paraId="365715CF"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159</w:t>
            </w:r>
          </w:p>
        </w:tc>
        <w:tc>
          <w:tcPr>
            <w:tcW w:w="1176" w:type="dxa"/>
            <w:tcBorders>
              <w:left w:val="nil"/>
            </w:tcBorders>
            <w:vAlign w:val="center"/>
          </w:tcPr>
          <w:p w14:paraId="45EC6C2F"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158</w:t>
            </w:r>
          </w:p>
        </w:tc>
        <w:tc>
          <w:tcPr>
            <w:tcW w:w="1177" w:type="dxa"/>
            <w:tcBorders>
              <w:right w:val="nil"/>
            </w:tcBorders>
            <w:noWrap/>
            <w:vAlign w:val="center"/>
          </w:tcPr>
          <w:p w14:paraId="19FF1394"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184</w:t>
            </w:r>
          </w:p>
        </w:tc>
        <w:tc>
          <w:tcPr>
            <w:tcW w:w="1177" w:type="dxa"/>
            <w:tcBorders>
              <w:left w:val="nil"/>
            </w:tcBorders>
            <w:vAlign w:val="center"/>
          </w:tcPr>
          <w:p w14:paraId="699ED9B3"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151</w:t>
            </w:r>
          </w:p>
        </w:tc>
      </w:tr>
      <w:tr w:rsidR="00DE19E8" w:rsidRPr="003324F1" w14:paraId="1E48C275" w14:textId="77777777" w:rsidTr="00F2448E">
        <w:trPr>
          <w:trHeight w:val="276"/>
        </w:trPr>
        <w:tc>
          <w:tcPr>
            <w:tcW w:w="2660" w:type="dxa"/>
            <w:shd w:val="clear" w:color="auto" w:fill="DBE5F1" w:themeFill="accent1" w:themeFillTint="33"/>
            <w:noWrap/>
            <w:hideMark/>
          </w:tcPr>
          <w:p w14:paraId="77ADEC13" w14:textId="77777777" w:rsidR="00DE19E8" w:rsidRPr="00F44E7A" w:rsidRDefault="00DE19E8"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6646940E"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094</w:t>
            </w:r>
          </w:p>
        </w:tc>
        <w:tc>
          <w:tcPr>
            <w:tcW w:w="1177" w:type="dxa"/>
            <w:tcBorders>
              <w:left w:val="nil"/>
            </w:tcBorders>
            <w:shd w:val="clear" w:color="auto" w:fill="DBE5F1" w:themeFill="accent1" w:themeFillTint="33"/>
            <w:vAlign w:val="center"/>
          </w:tcPr>
          <w:p w14:paraId="3CAAC05E"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060</w:t>
            </w:r>
          </w:p>
        </w:tc>
        <w:tc>
          <w:tcPr>
            <w:tcW w:w="1176" w:type="dxa"/>
            <w:tcBorders>
              <w:right w:val="nil"/>
            </w:tcBorders>
            <w:shd w:val="clear" w:color="auto" w:fill="DBE5F1" w:themeFill="accent1" w:themeFillTint="33"/>
            <w:noWrap/>
            <w:vAlign w:val="center"/>
          </w:tcPr>
          <w:p w14:paraId="7DA2A379"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669</w:t>
            </w:r>
          </w:p>
        </w:tc>
        <w:tc>
          <w:tcPr>
            <w:tcW w:w="1177" w:type="dxa"/>
            <w:tcBorders>
              <w:left w:val="nil"/>
            </w:tcBorders>
            <w:shd w:val="clear" w:color="auto" w:fill="DBE5F1" w:themeFill="accent1" w:themeFillTint="33"/>
            <w:vAlign w:val="center"/>
          </w:tcPr>
          <w:p w14:paraId="6366442D"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664</w:t>
            </w:r>
          </w:p>
        </w:tc>
        <w:tc>
          <w:tcPr>
            <w:tcW w:w="1177" w:type="dxa"/>
            <w:tcBorders>
              <w:right w:val="nil"/>
            </w:tcBorders>
            <w:shd w:val="clear" w:color="auto" w:fill="DBE5F1" w:themeFill="accent1" w:themeFillTint="33"/>
            <w:noWrap/>
            <w:vAlign w:val="center"/>
          </w:tcPr>
          <w:p w14:paraId="65526FDA"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451</w:t>
            </w:r>
          </w:p>
        </w:tc>
        <w:tc>
          <w:tcPr>
            <w:tcW w:w="1176" w:type="dxa"/>
            <w:tcBorders>
              <w:left w:val="nil"/>
            </w:tcBorders>
            <w:shd w:val="clear" w:color="auto" w:fill="DBE5F1" w:themeFill="accent1" w:themeFillTint="33"/>
            <w:vAlign w:val="center"/>
          </w:tcPr>
          <w:p w14:paraId="2699E18D"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451</w:t>
            </w:r>
          </w:p>
        </w:tc>
        <w:tc>
          <w:tcPr>
            <w:tcW w:w="1177" w:type="dxa"/>
            <w:tcBorders>
              <w:right w:val="nil"/>
            </w:tcBorders>
            <w:shd w:val="clear" w:color="auto" w:fill="DBE5F1" w:themeFill="accent1" w:themeFillTint="33"/>
            <w:noWrap/>
            <w:vAlign w:val="center"/>
          </w:tcPr>
          <w:p w14:paraId="786EB284"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218</w:t>
            </w:r>
          </w:p>
        </w:tc>
        <w:tc>
          <w:tcPr>
            <w:tcW w:w="1176" w:type="dxa"/>
            <w:tcBorders>
              <w:left w:val="nil"/>
            </w:tcBorders>
            <w:shd w:val="clear" w:color="auto" w:fill="DBE5F1" w:themeFill="accent1" w:themeFillTint="33"/>
            <w:vAlign w:val="center"/>
          </w:tcPr>
          <w:p w14:paraId="49C3590E"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216</w:t>
            </w:r>
          </w:p>
        </w:tc>
        <w:tc>
          <w:tcPr>
            <w:tcW w:w="1177" w:type="dxa"/>
            <w:tcBorders>
              <w:right w:val="nil"/>
            </w:tcBorders>
            <w:shd w:val="clear" w:color="auto" w:fill="DBE5F1" w:themeFill="accent1" w:themeFillTint="33"/>
            <w:noWrap/>
            <w:vAlign w:val="center"/>
          </w:tcPr>
          <w:p w14:paraId="663C4586"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763</w:t>
            </w:r>
          </w:p>
        </w:tc>
        <w:tc>
          <w:tcPr>
            <w:tcW w:w="1177" w:type="dxa"/>
            <w:tcBorders>
              <w:left w:val="nil"/>
            </w:tcBorders>
            <w:shd w:val="clear" w:color="auto" w:fill="DBE5F1" w:themeFill="accent1" w:themeFillTint="33"/>
            <w:vAlign w:val="center"/>
          </w:tcPr>
          <w:p w14:paraId="314424E9"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687</w:t>
            </w:r>
          </w:p>
        </w:tc>
      </w:tr>
      <w:tr w:rsidR="00DE19E8" w:rsidRPr="003324F1" w14:paraId="1F75E522" w14:textId="77777777" w:rsidTr="00F2448E">
        <w:trPr>
          <w:trHeight w:val="276"/>
        </w:trPr>
        <w:tc>
          <w:tcPr>
            <w:tcW w:w="2660" w:type="dxa"/>
            <w:noWrap/>
            <w:hideMark/>
          </w:tcPr>
          <w:p w14:paraId="6858C4BD" w14:textId="77777777" w:rsidR="00DE19E8" w:rsidRPr="00F44E7A" w:rsidRDefault="00DE19E8" w:rsidP="00CE2FDF">
            <w:pPr>
              <w:spacing w:before="0" w:line="276"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noWrap/>
            <w:vAlign w:val="center"/>
          </w:tcPr>
          <w:p w14:paraId="30807661"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11</w:t>
            </w:r>
            <w:r>
              <w:rPr>
                <w:rFonts w:eastAsia="Times New Roman" w:cs="Arial"/>
                <w:lang w:eastAsia="en-AU"/>
              </w:rPr>
              <w:t>,</w:t>
            </w:r>
            <w:r w:rsidRPr="00676396">
              <w:rPr>
                <w:rFonts w:eastAsia="Times New Roman" w:cs="Arial"/>
                <w:lang w:eastAsia="en-AU"/>
              </w:rPr>
              <w:t>972</w:t>
            </w:r>
          </w:p>
        </w:tc>
        <w:tc>
          <w:tcPr>
            <w:tcW w:w="1177" w:type="dxa"/>
            <w:tcBorders>
              <w:left w:val="nil"/>
            </w:tcBorders>
            <w:vAlign w:val="center"/>
          </w:tcPr>
          <w:p w14:paraId="4B4A3A69"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10</w:t>
            </w:r>
            <w:r>
              <w:rPr>
                <w:rFonts w:eastAsia="Times New Roman" w:cs="Arial"/>
                <w:lang w:eastAsia="en-AU"/>
              </w:rPr>
              <w:t>,</w:t>
            </w:r>
            <w:r w:rsidRPr="00676396">
              <w:rPr>
                <w:rFonts w:eastAsia="Times New Roman" w:cs="Arial"/>
                <w:lang w:eastAsia="en-AU"/>
              </w:rPr>
              <w:t>912</w:t>
            </w:r>
          </w:p>
        </w:tc>
        <w:tc>
          <w:tcPr>
            <w:tcW w:w="1176" w:type="dxa"/>
            <w:tcBorders>
              <w:right w:val="nil"/>
            </w:tcBorders>
            <w:noWrap/>
            <w:vAlign w:val="center"/>
          </w:tcPr>
          <w:p w14:paraId="79AF9972"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822</w:t>
            </w:r>
          </w:p>
        </w:tc>
        <w:tc>
          <w:tcPr>
            <w:tcW w:w="1177" w:type="dxa"/>
            <w:tcBorders>
              <w:left w:val="nil"/>
            </w:tcBorders>
            <w:vAlign w:val="center"/>
          </w:tcPr>
          <w:p w14:paraId="609E994E"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740</w:t>
            </w:r>
          </w:p>
        </w:tc>
        <w:tc>
          <w:tcPr>
            <w:tcW w:w="1177" w:type="dxa"/>
            <w:tcBorders>
              <w:right w:val="nil"/>
            </w:tcBorders>
            <w:noWrap/>
            <w:vAlign w:val="center"/>
          </w:tcPr>
          <w:p w14:paraId="3F6C3EF2"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456</w:t>
            </w:r>
          </w:p>
        </w:tc>
        <w:tc>
          <w:tcPr>
            <w:tcW w:w="1176" w:type="dxa"/>
            <w:tcBorders>
              <w:left w:val="nil"/>
            </w:tcBorders>
            <w:vAlign w:val="center"/>
          </w:tcPr>
          <w:p w14:paraId="36B79C30"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415</w:t>
            </w:r>
          </w:p>
        </w:tc>
        <w:tc>
          <w:tcPr>
            <w:tcW w:w="1177" w:type="dxa"/>
            <w:tcBorders>
              <w:right w:val="nil"/>
            </w:tcBorders>
            <w:noWrap/>
            <w:vAlign w:val="center"/>
          </w:tcPr>
          <w:p w14:paraId="3CEFA1D9"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366</w:t>
            </w:r>
          </w:p>
        </w:tc>
        <w:tc>
          <w:tcPr>
            <w:tcW w:w="1176" w:type="dxa"/>
            <w:tcBorders>
              <w:left w:val="nil"/>
            </w:tcBorders>
            <w:vAlign w:val="center"/>
          </w:tcPr>
          <w:p w14:paraId="5020D574"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358</w:t>
            </w:r>
          </w:p>
        </w:tc>
        <w:tc>
          <w:tcPr>
            <w:tcW w:w="1177" w:type="dxa"/>
            <w:tcBorders>
              <w:right w:val="nil"/>
            </w:tcBorders>
            <w:noWrap/>
            <w:vAlign w:val="center"/>
          </w:tcPr>
          <w:p w14:paraId="16A991E5"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15</w:t>
            </w:r>
            <w:r>
              <w:rPr>
                <w:rFonts w:eastAsia="Times New Roman" w:cs="Arial"/>
                <w:b/>
                <w:lang w:eastAsia="en-AU"/>
              </w:rPr>
              <w:t>,</w:t>
            </w:r>
            <w:r w:rsidRPr="00676396">
              <w:rPr>
                <w:rFonts w:eastAsia="Times New Roman" w:cs="Arial"/>
                <w:b/>
                <w:lang w:eastAsia="en-AU"/>
              </w:rPr>
              <w:t>794</w:t>
            </w:r>
          </w:p>
        </w:tc>
        <w:tc>
          <w:tcPr>
            <w:tcW w:w="1177" w:type="dxa"/>
            <w:tcBorders>
              <w:left w:val="nil"/>
            </w:tcBorders>
            <w:vAlign w:val="center"/>
          </w:tcPr>
          <w:p w14:paraId="024EAE00"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14</w:t>
            </w:r>
            <w:r>
              <w:rPr>
                <w:rFonts w:eastAsia="Times New Roman" w:cs="Arial"/>
                <w:b/>
                <w:lang w:eastAsia="en-AU"/>
              </w:rPr>
              <w:t>,</w:t>
            </w:r>
            <w:r w:rsidRPr="00676396">
              <w:rPr>
                <w:rFonts w:eastAsia="Times New Roman" w:cs="Arial"/>
                <w:b/>
                <w:lang w:eastAsia="en-AU"/>
              </w:rPr>
              <w:t>186</w:t>
            </w:r>
          </w:p>
        </w:tc>
      </w:tr>
      <w:tr w:rsidR="00DE19E8" w:rsidRPr="003324F1" w14:paraId="0606D0CF" w14:textId="77777777" w:rsidTr="00F2448E">
        <w:trPr>
          <w:trHeight w:val="276"/>
        </w:trPr>
        <w:tc>
          <w:tcPr>
            <w:tcW w:w="2660" w:type="dxa"/>
            <w:shd w:val="clear" w:color="auto" w:fill="DBE5F1" w:themeFill="accent1" w:themeFillTint="33"/>
            <w:noWrap/>
            <w:hideMark/>
          </w:tcPr>
          <w:p w14:paraId="08E40680" w14:textId="77777777" w:rsidR="00DE19E8" w:rsidRPr="00F44E7A" w:rsidRDefault="00DE19E8" w:rsidP="00CE2FDF">
            <w:pPr>
              <w:spacing w:before="0" w:line="276"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DBE5F1" w:themeFill="accent1" w:themeFillTint="33"/>
            <w:noWrap/>
            <w:vAlign w:val="center"/>
          </w:tcPr>
          <w:p w14:paraId="2EDA0902"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459</w:t>
            </w:r>
          </w:p>
        </w:tc>
        <w:tc>
          <w:tcPr>
            <w:tcW w:w="1177" w:type="dxa"/>
            <w:tcBorders>
              <w:left w:val="nil"/>
            </w:tcBorders>
            <w:shd w:val="clear" w:color="auto" w:fill="DBE5F1" w:themeFill="accent1" w:themeFillTint="33"/>
            <w:vAlign w:val="center"/>
          </w:tcPr>
          <w:p w14:paraId="7D986784"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930</w:t>
            </w:r>
          </w:p>
        </w:tc>
        <w:tc>
          <w:tcPr>
            <w:tcW w:w="1176" w:type="dxa"/>
            <w:tcBorders>
              <w:right w:val="nil"/>
            </w:tcBorders>
            <w:shd w:val="clear" w:color="auto" w:fill="DBE5F1" w:themeFill="accent1" w:themeFillTint="33"/>
            <w:noWrap/>
            <w:vAlign w:val="center"/>
          </w:tcPr>
          <w:p w14:paraId="5AC83254"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481</w:t>
            </w:r>
          </w:p>
        </w:tc>
        <w:tc>
          <w:tcPr>
            <w:tcW w:w="1177" w:type="dxa"/>
            <w:tcBorders>
              <w:left w:val="nil"/>
            </w:tcBorders>
            <w:shd w:val="clear" w:color="auto" w:fill="DBE5F1" w:themeFill="accent1" w:themeFillTint="33"/>
            <w:vAlign w:val="center"/>
          </w:tcPr>
          <w:p w14:paraId="4D3FB8A0"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420</w:t>
            </w:r>
          </w:p>
        </w:tc>
        <w:tc>
          <w:tcPr>
            <w:tcW w:w="1177" w:type="dxa"/>
            <w:tcBorders>
              <w:right w:val="nil"/>
            </w:tcBorders>
            <w:shd w:val="clear" w:color="auto" w:fill="DBE5F1" w:themeFill="accent1" w:themeFillTint="33"/>
            <w:noWrap/>
            <w:vAlign w:val="center"/>
          </w:tcPr>
          <w:p w14:paraId="209AB27C"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374</w:t>
            </w:r>
          </w:p>
        </w:tc>
        <w:tc>
          <w:tcPr>
            <w:tcW w:w="1176" w:type="dxa"/>
            <w:tcBorders>
              <w:left w:val="nil"/>
            </w:tcBorders>
            <w:shd w:val="clear" w:color="auto" w:fill="DBE5F1" w:themeFill="accent1" w:themeFillTint="33"/>
            <w:vAlign w:val="center"/>
          </w:tcPr>
          <w:p w14:paraId="69BE0926"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353</w:t>
            </w:r>
          </w:p>
        </w:tc>
        <w:tc>
          <w:tcPr>
            <w:tcW w:w="1177" w:type="dxa"/>
            <w:tcBorders>
              <w:right w:val="nil"/>
            </w:tcBorders>
            <w:shd w:val="clear" w:color="auto" w:fill="DBE5F1" w:themeFill="accent1" w:themeFillTint="33"/>
            <w:noWrap/>
            <w:vAlign w:val="center"/>
          </w:tcPr>
          <w:p w14:paraId="3A71E94C"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107</w:t>
            </w:r>
          </w:p>
        </w:tc>
        <w:tc>
          <w:tcPr>
            <w:tcW w:w="1176" w:type="dxa"/>
            <w:tcBorders>
              <w:left w:val="nil"/>
            </w:tcBorders>
            <w:shd w:val="clear" w:color="auto" w:fill="DBE5F1" w:themeFill="accent1" w:themeFillTint="33"/>
            <w:vAlign w:val="center"/>
          </w:tcPr>
          <w:p w14:paraId="3F0FD111"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094</w:t>
            </w:r>
          </w:p>
        </w:tc>
        <w:tc>
          <w:tcPr>
            <w:tcW w:w="1177" w:type="dxa"/>
            <w:tcBorders>
              <w:right w:val="nil"/>
            </w:tcBorders>
            <w:shd w:val="clear" w:color="auto" w:fill="DBE5F1" w:themeFill="accent1" w:themeFillTint="33"/>
            <w:noWrap/>
            <w:vAlign w:val="center"/>
          </w:tcPr>
          <w:p w14:paraId="5CD44574"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8</w:t>
            </w:r>
            <w:r>
              <w:rPr>
                <w:rFonts w:eastAsia="Times New Roman" w:cs="Arial"/>
                <w:b/>
                <w:lang w:eastAsia="en-AU"/>
              </w:rPr>
              <w:t>,</w:t>
            </w:r>
            <w:r w:rsidRPr="00676396">
              <w:rPr>
                <w:rFonts w:eastAsia="Times New Roman" w:cs="Arial"/>
                <w:b/>
                <w:lang w:eastAsia="en-AU"/>
              </w:rPr>
              <w:t>940</w:t>
            </w:r>
          </w:p>
        </w:tc>
        <w:tc>
          <w:tcPr>
            <w:tcW w:w="1177" w:type="dxa"/>
            <w:tcBorders>
              <w:left w:val="nil"/>
            </w:tcBorders>
            <w:shd w:val="clear" w:color="auto" w:fill="DBE5F1" w:themeFill="accent1" w:themeFillTint="33"/>
            <w:vAlign w:val="center"/>
          </w:tcPr>
          <w:p w14:paraId="56794988"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8</w:t>
            </w:r>
            <w:r>
              <w:rPr>
                <w:rFonts w:eastAsia="Times New Roman" w:cs="Arial"/>
                <w:b/>
                <w:lang w:eastAsia="en-AU"/>
              </w:rPr>
              <w:t>,</w:t>
            </w:r>
            <w:r w:rsidRPr="00676396">
              <w:rPr>
                <w:rFonts w:eastAsia="Times New Roman" w:cs="Arial"/>
                <w:b/>
                <w:lang w:eastAsia="en-AU"/>
              </w:rPr>
              <w:t>077</w:t>
            </w:r>
          </w:p>
        </w:tc>
      </w:tr>
      <w:tr w:rsidR="00DE19E8" w:rsidRPr="003324F1" w14:paraId="4FB9EBEF" w14:textId="77777777" w:rsidTr="00F2448E">
        <w:trPr>
          <w:trHeight w:val="276"/>
        </w:trPr>
        <w:tc>
          <w:tcPr>
            <w:tcW w:w="2660" w:type="dxa"/>
            <w:shd w:val="clear" w:color="auto" w:fill="auto"/>
            <w:noWrap/>
            <w:hideMark/>
          </w:tcPr>
          <w:p w14:paraId="4E8545FA" w14:textId="77777777" w:rsidR="00DE19E8" w:rsidRPr="00F44E7A" w:rsidRDefault="00DE19E8" w:rsidP="00CE2FDF">
            <w:pPr>
              <w:spacing w:before="0" w:line="276" w:lineRule="auto"/>
              <w:rPr>
                <w:rFonts w:eastAsia="Times New Roman" w:cs="Arial"/>
                <w:b/>
                <w:lang w:eastAsia="en-AU"/>
              </w:rPr>
            </w:pPr>
            <w:r>
              <w:rPr>
                <w:rFonts w:eastAsia="Times New Roman" w:cs="Arial"/>
                <w:b/>
                <w:lang w:eastAsia="en-AU"/>
              </w:rPr>
              <w:t>Psychiatrists</w:t>
            </w:r>
          </w:p>
        </w:tc>
        <w:tc>
          <w:tcPr>
            <w:tcW w:w="1176" w:type="dxa"/>
            <w:tcBorders>
              <w:right w:val="nil"/>
            </w:tcBorders>
            <w:shd w:val="clear" w:color="auto" w:fill="auto"/>
            <w:noWrap/>
            <w:vAlign w:val="center"/>
          </w:tcPr>
          <w:p w14:paraId="69DA6B2C"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141</w:t>
            </w:r>
          </w:p>
        </w:tc>
        <w:tc>
          <w:tcPr>
            <w:tcW w:w="1177" w:type="dxa"/>
            <w:tcBorders>
              <w:left w:val="nil"/>
            </w:tcBorders>
            <w:shd w:val="clear" w:color="auto" w:fill="auto"/>
            <w:vAlign w:val="center"/>
          </w:tcPr>
          <w:p w14:paraId="7B4E71A4"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140</w:t>
            </w:r>
          </w:p>
        </w:tc>
        <w:tc>
          <w:tcPr>
            <w:tcW w:w="1176" w:type="dxa"/>
            <w:tcBorders>
              <w:right w:val="nil"/>
            </w:tcBorders>
            <w:shd w:val="clear" w:color="auto" w:fill="auto"/>
            <w:noWrap/>
            <w:vAlign w:val="center"/>
          </w:tcPr>
          <w:p w14:paraId="0B6A87AF"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57</w:t>
            </w:r>
          </w:p>
        </w:tc>
        <w:tc>
          <w:tcPr>
            <w:tcW w:w="1177" w:type="dxa"/>
            <w:tcBorders>
              <w:left w:val="nil"/>
            </w:tcBorders>
            <w:shd w:val="clear" w:color="auto" w:fill="auto"/>
            <w:vAlign w:val="center"/>
          </w:tcPr>
          <w:p w14:paraId="10E3F5A8"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55</w:t>
            </w:r>
          </w:p>
        </w:tc>
        <w:tc>
          <w:tcPr>
            <w:tcW w:w="1177" w:type="dxa"/>
            <w:tcBorders>
              <w:right w:val="nil"/>
            </w:tcBorders>
            <w:shd w:val="clear" w:color="auto" w:fill="auto"/>
            <w:noWrap/>
            <w:vAlign w:val="center"/>
          </w:tcPr>
          <w:p w14:paraId="1453E089"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34</w:t>
            </w:r>
          </w:p>
        </w:tc>
        <w:tc>
          <w:tcPr>
            <w:tcW w:w="1176" w:type="dxa"/>
            <w:tcBorders>
              <w:left w:val="nil"/>
            </w:tcBorders>
            <w:shd w:val="clear" w:color="auto" w:fill="auto"/>
            <w:vAlign w:val="center"/>
          </w:tcPr>
          <w:p w14:paraId="70D9AB94"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32</w:t>
            </w:r>
          </w:p>
        </w:tc>
        <w:tc>
          <w:tcPr>
            <w:tcW w:w="1177" w:type="dxa"/>
            <w:tcBorders>
              <w:right w:val="nil"/>
            </w:tcBorders>
            <w:shd w:val="clear" w:color="auto" w:fill="auto"/>
            <w:noWrap/>
            <w:vAlign w:val="center"/>
          </w:tcPr>
          <w:p w14:paraId="6998355D"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23</w:t>
            </w:r>
          </w:p>
        </w:tc>
        <w:tc>
          <w:tcPr>
            <w:tcW w:w="1176" w:type="dxa"/>
            <w:tcBorders>
              <w:left w:val="nil"/>
            </w:tcBorders>
            <w:shd w:val="clear" w:color="auto" w:fill="auto"/>
            <w:vAlign w:val="center"/>
          </w:tcPr>
          <w:p w14:paraId="0F442082"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23</w:t>
            </w:r>
          </w:p>
        </w:tc>
        <w:tc>
          <w:tcPr>
            <w:tcW w:w="1177" w:type="dxa"/>
            <w:tcBorders>
              <w:right w:val="nil"/>
            </w:tcBorders>
            <w:shd w:val="clear" w:color="auto" w:fill="auto"/>
            <w:noWrap/>
            <w:vAlign w:val="center"/>
          </w:tcPr>
          <w:p w14:paraId="439FC809"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198</w:t>
            </w:r>
          </w:p>
        </w:tc>
        <w:tc>
          <w:tcPr>
            <w:tcW w:w="1177" w:type="dxa"/>
            <w:tcBorders>
              <w:left w:val="nil"/>
            </w:tcBorders>
            <w:shd w:val="clear" w:color="auto" w:fill="auto"/>
            <w:vAlign w:val="center"/>
          </w:tcPr>
          <w:p w14:paraId="63C9CC92"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190</w:t>
            </w:r>
          </w:p>
        </w:tc>
      </w:tr>
      <w:tr w:rsidR="00DE19E8" w:rsidRPr="003324F1" w14:paraId="0DF51A60" w14:textId="77777777" w:rsidTr="00F2448E">
        <w:trPr>
          <w:trHeight w:val="276"/>
        </w:trPr>
        <w:tc>
          <w:tcPr>
            <w:tcW w:w="2660" w:type="dxa"/>
            <w:shd w:val="clear" w:color="auto" w:fill="DBE5F1" w:themeFill="accent1" w:themeFillTint="33"/>
            <w:noWrap/>
            <w:hideMark/>
          </w:tcPr>
          <w:p w14:paraId="2A9D0312" w14:textId="77777777" w:rsidR="00DE19E8" w:rsidRPr="00F44E7A" w:rsidRDefault="00DE19E8"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176" w:type="dxa"/>
            <w:tcBorders>
              <w:right w:val="nil"/>
            </w:tcBorders>
            <w:shd w:val="clear" w:color="auto" w:fill="DBE5F1" w:themeFill="accent1" w:themeFillTint="33"/>
            <w:noWrap/>
            <w:vAlign w:val="center"/>
          </w:tcPr>
          <w:p w14:paraId="648B9BCF"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20</w:t>
            </w:r>
            <w:r>
              <w:rPr>
                <w:rFonts w:eastAsia="Times New Roman" w:cs="Arial"/>
                <w:lang w:eastAsia="en-AU"/>
              </w:rPr>
              <w:t>,</w:t>
            </w:r>
            <w:r w:rsidRPr="00676396">
              <w:rPr>
                <w:rFonts w:eastAsia="Times New Roman" w:cs="Arial"/>
                <w:lang w:eastAsia="en-AU"/>
              </w:rPr>
              <w:t>484</w:t>
            </w:r>
          </w:p>
        </w:tc>
        <w:tc>
          <w:tcPr>
            <w:tcW w:w="1177" w:type="dxa"/>
            <w:tcBorders>
              <w:left w:val="nil"/>
            </w:tcBorders>
            <w:shd w:val="clear" w:color="auto" w:fill="DBE5F1" w:themeFill="accent1" w:themeFillTint="33"/>
            <w:vAlign w:val="center"/>
          </w:tcPr>
          <w:p w14:paraId="5AE53EF9"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18</w:t>
            </w:r>
            <w:r>
              <w:rPr>
                <w:rFonts w:eastAsia="Times New Roman" w:cs="Arial"/>
                <w:lang w:eastAsia="en-AU"/>
              </w:rPr>
              <w:t>,</w:t>
            </w:r>
            <w:r w:rsidRPr="00676396">
              <w:rPr>
                <w:rFonts w:eastAsia="Times New Roman" w:cs="Arial"/>
                <w:lang w:eastAsia="en-AU"/>
              </w:rPr>
              <w:t>167</w:t>
            </w:r>
          </w:p>
        </w:tc>
        <w:tc>
          <w:tcPr>
            <w:tcW w:w="1176" w:type="dxa"/>
            <w:tcBorders>
              <w:right w:val="nil"/>
            </w:tcBorders>
            <w:shd w:val="clear" w:color="auto" w:fill="DBE5F1" w:themeFill="accent1" w:themeFillTint="33"/>
            <w:noWrap/>
            <w:vAlign w:val="center"/>
          </w:tcPr>
          <w:p w14:paraId="27ADAA14"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395</w:t>
            </w:r>
          </w:p>
        </w:tc>
        <w:tc>
          <w:tcPr>
            <w:tcW w:w="1177" w:type="dxa"/>
            <w:tcBorders>
              <w:left w:val="nil"/>
            </w:tcBorders>
            <w:shd w:val="clear" w:color="auto" w:fill="DBE5F1" w:themeFill="accent1" w:themeFillTint="33"/>
            <w:vAlign w:val="center"/>
          </w:tcPr>
          <w:p w14:paraId="4C629004"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143</w:t>
            </w:r>
          </w:p>
        </w:tc>
        <w:tc>
          <w:tcPr>
            <w:tcW w:w="1177" w:type="dxa"/>
            <w:tcBorders>
              <w:right w:val="nil"/>
            </w:tcBorders>
            <w:shd w:val="clear" w:color="auto" w:fill="DBE5F1" w:themeFill="accent1" w:themeFillTint="33"/>
            <w:noWrap/>
            <w:vAlign w:val="center"/>
          </w:tcPr>
          <w:p w14:paraId="7C3BBF9E"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522</w:t>
            </w:r>
          </w:p>
        </w:tc>
        <w:tc>
          <w:tcPr>
            <w:tcW w:w="1176" w:type="dxa"/>
            <w:tcBorders>
              <w:left w:val="nil"/>
            </w:tcBorders>
            <w:shd w:val="clear" w:color="auto" w:fill="DBE5F1" w:themeFill="accent1" w:themeFillTint="33"/>
            <w:vAlign w:val="center"/>
          </w:tcPr>
          <w:p w14:paraId="1B330C42"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414</w:t>
            </w:r>
          </w:p>
        </w:tc>
        <w:tc>
          <w:tcPr>
            <w:tcW w:w="1177" w:type="dxa"/>
            <w:tcBorders>
              <w:right w:val="nil"/>
            </w:tcBorders>
            <w:shd w:val="clear" w:color="auto" w:fill="DBE5F1" w:themeFill="accent1" w:themeFillTint="33"/>
            <w:noWrap/>
            <w:vAlign w:val="center"/>
          </w:tcPr>
          <w:p w14:paraId="1069FD32"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873</w:t>
            </w:r>
          </w:p>
        </w:tc>
        <w:tc>
          <w:tcPr>
            <w:tcW w:w="1176" w:type="dxa"/>
            <w:tcBorders>
              <w:left w:val="nil"/>
            </w:tcBorders>
            <w:shd w:val="clear" w:color="auto" w:fill="DBE5F1" w:themeFill="accent1" w:themeFillTint="33"/>
            <w:vAlign w:val="center"/>
          </w:tcPr>
          <w:p w14:paraId="4D232A00"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824</w:t>
            </w:r>
          </w:p>
        </w:tc>
        <w:tc>
          <w:tcPr>
            <w:tcW w:w="1177" w:type="dxa"/>
            <w:tcBorders>
              <w:right w:val="nil"/>
            </w:tcBorders>
            <w:shd w:val="clear" w:color="auto" w:fill="DBE5F1" w:themeFill="accent1" w:themeFillTint="33"/>
            <w:noWrap/>
            <w:vAlign w:val="center"/>
          </w:tcPr>
          <w:p w14:paraId="590F1CBD"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27</w:t>
            </w:r>
            <w:r>
              <w:rPr>
                <w:rFonts w:eastAsia="Times New Roman" w:cs="Arial"/>
                <w:b/>
                <w:lang w:eastAsia="en-AU"/>
              </w:rPr>
              <w:t>,</w:t>
            </w:r>
            <w:r w:rsidRPr="00676396">
              <w:rPr>
                <w:rFonts w:eastAsia="Times New Roman" w:cs="Arial"/>
                <w:b/>
                <w:lang w:eastAsia="en-AU"/>
              </w:rPr>
              <w:t>879</w:t>
            </w:r>
          </w:p>
        </w:tc>
        <w:tc>
          <w:tcPr>
            <w:tcW w:w="1177" w:type="dxa"/>
            <w:tcBorders>
              <w:left w:val="nil"/>
            </w:tcBorders>
            <w:shd w:val="clear" w:color="auto" w:fill="DBE5F1" w:themeFill="accent1" w:themeFillTint="33"/>
            <w:vAlign w:val="center"/>
          </w:tcPr>
          <w:p w14:paraId="33CE573A"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24</w:t>
            </w:r>
            <w:r>
              <w:rPr>
                <w:rFonts w:eastAsia="Times New Roman" w:cs="Arial"/>
                <w:b/>
                <w:lang w:eastAsia="en-AU"/>
              </w:rPr>
              <w:t>,</w:t>
            </w:r>
            <w:r w:rsidRPr="00676396">
              <w:rPr>
                <w:rFonts w:eastAsia="Times New Roman" w:cs="Arial"/>
                <w:b/>
                <w:lang w:eastAsia="en-AU"/>
              </w:rPr>
              <w:t>056</w:t>
            </w:r>
          </w:p>
        </w:tc>
      </w:tr>
      <w:tr w:rsidR="00DE19E8" w:rsidRPr="003324F1" w14:paraId="63AA8916" w14:textId="77777777" w:rsidTr="00F2448E">
        <w:trPr>
          <w:trHeight w:val="276"/>
        </w:trPr>
        <w:tc>
          <w:tcPr>
            <w:tcW w:w="2660" w:type="dxa"/>
            <w:shd w:val="clear" w:color="auto" w:fill="auto"/>
            <w:noWrap/>
            <w:hideMark/>
          </w:tcPr>
          <w:p w14:paraId="0F01813C" w14:textId="77777777" w:rsidR="00DE19E8" w:rsidRPr="00F44E7A" w:rsidRDefault="00DE19E8"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1176" w:type="dxa"/>
            <w:tcBorders>
              <w:right w:val="nil"/>
            </w:tcBorders>
            <w:shd w:val="clear" w:color="auto" w:fill="auto"/>
            <w:noWrap/>
            <w:vAlign w:val="center"/>
          </w:tcPr>
          <w:p w14:paraId="47C7A2A7"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23</w:t>
            </w:r>
            <w:r>
              <w:rPr>
                <w:rFonts w:eastAsia="Times New Roman" w:cs="Arial"/>
                <w:lang w:eastAsia="en-AU"/>
              </w:rPr>
              <w:t>,</w:t>
            </w:r>
            <w:r w:rsidRPr="00676396">
              <w:rPr>
                <w:rFonts w:eastAsia="Times New Roman" w:cs="Arial"/>
                <w:lang w:eastAsia="en-AU"/>
              </w:rPr>
              <w:t>455</w:t>
            </w:r>
          </w:p>
        </w:tc>
        <w:tc>
          <w:tcPr>
            <w:tcW w:w="1177" w:type="dxa"/>
            <w:tcBorders>
              <w:left w:val="nil"/>
            </w:tcBorders>
            <w:shd w:val="clear" w:color="auto" w:fill="auto"/>
            <w:vAlign w:val="center"/>
          </w:tcPr>
          <w:p w14:paraId="50B7C1ED"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18</w:t>
            </w:r>
            <w:r>
              <w:rPr>
                <w:rFonts w:eastAsia="Times New Roman" w:cs="Arial"/>
                <w:lang w:eastAsia="en-AU"/>
              </w:rPr>
              <w:t>,</w:t>
            </w:r>
            <w:r w:rsidRPr="00676396">
              <w:rPr>
                <w:rFonts w:eastAsia="Times New Roman" w:cs="Arial"/>
                <w:lang w:eastAsia="en-AU"/>
              </w:rPr>
              <w:t>893</w:t>
            </w:r>
          </w:p>
        </w:tc>
        <w:tc>
          <w:tcPr>
            <w:tcW w:w="1176" w:type="dxa"/>
            <w:tcBorders>
              <w:right w:val="nil"/>
            </w:tcBorders>
            <w:shd w:val="clear" w:color="auto" w:fill="auto"/>
            <w:noWrap/>
            <w:vAlign w:val="center"/>
          </w:tcPr>
          <w:p w14:paraId="34977219"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598</w:t>
            </w:r>
          </w:p>
        </w:tc>
        <w:tc>
          <w:tcPr>
            <w:tcW w:w="1177" w:type="dxa"/>
            <w:tcBorders>
              <w:left w:val="nil"/>
            </w:tcBorders>
            <w:shd w:val="clear" w:color="auto" w:fill="auto"/>
            <w:vAlign w:val="center"/>
          </w:tcPr>
          <w:p w14:paraId="3100EA1F"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262</w:t>
            </w:r>
          </w:p>
        </w:tc>
        <w:tc>
          <w:tcPr>
            <w:tcW w:w="1177" w:type="dxa"/>
            <w:tcBorders>
              <w:right w:val="nil"/>
            </w:tcBorders>
            <w:shd w:val="clear" w:color="auto" w:fill="auto"/>
            <w:noWrap/>
            <w:vAlign w:val="center"/>
          </w:tcPr>
          <w:p w14:paraId="0B227437"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414</w:t>
            </w:r>
          </w:p>
        </w:tc>
        <w:tc>
          <w:tcPr>
            <w:tcW w:w="1176" w:type="dxa"/>
            <w:tcBorders>
              <w:left w:val="nil"/>
            </w:tcBorders>
            <w:shd w:val="clear" w:color="auto" w:fill="auto"/>
            <w:vAlign w:val="center"/>
          </w:tcPr>
          <w:p w14:paraId="43D12A5C"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323</w:t>
            </w:r>
          </w:p>
        </w:tc>
        <w:tc>
          <w:tcPr>
            <w:tcW w:w="1177" w:type="dxa"/>
            <w:tcBorders>
              <w:right w:val="nil"/>
            </w:tcBorders>
            <w:shd w:val="clear" w:color="auto" w:fill="auto"/>
            <w:noWrap/>
            <w:vAlign w:val="center"/>
          </w:tcPr>
          <w:p w14:paraId="4A52F718"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184</w:t>
            </w:r>
          </w:p>
        </w:tc>
        <w:tc>
          <w:tcPr>
            <w:tcW w:w="1176" w:type="dxa"/>
            <w:tcBorders>
              <w:left w:val="nil"/>
            </w:tcBorders>
            <w:shd w:val="clear" w:color="auto" w:fill="auto"/>
            <w:vAlign w:val="center"/>
          </w:tcPr>
          <w:p w14:paraId="6BDE2E3B" w14:textId="77777777" w:rsidR="00DE19E8" w:rsidRPr="00676396" w:rsidRDefault="00DE19E8"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073</w:t>
            </w:r>
          </w:p>
        </w:tc>
        <w:tc>
          <w:tcPr>
            <w:tcW w:w="1177" w:type="dxa"/>
            <w:tcBorders>
              <w:right w:val="nil"/>
            </w:tcBorders>
            <w:shd w:val="clear" w:color="auto" w:fill="auto"/>
            <w:noWrap/>
            <w:vAlign w:val="center"/>
          </w:tcPr>
          <w:p w14:paraId="45A07775"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31</w:t>
            </w:r>
            <w:r>
              <w:rPr>
                <w:rFonts w:eastAsia="Times New Roman" w:cs="Arial"/>
                <w:b/>
                <w:lang w:eastAsia="en-AU"/>
              </w:rPr>
              <w:t>,</w:t>
            </w:r>
            <w:r w:rsidRPr="00676396">
              <w:rPr>
                <w:rFonts w:eastAsia="Times New Roman" w:cs="Arial"/>
                <w:b/>
                <w:lang w:eastAsia="en-AU"/>
              </w:rPr>
              <w:t>053</w:t>
            </w:r>
          </w:p>
        </w:tc>
        <w:tc>
          <w:tcPr>
            <w:tcW w:w="1177" w:type="dxa"/>
            <w:tcBorders>
              <w:left w:val="nil"/>
            </w:tcBorders>
            <w:shd w:val="clear" w:color="auto" w:fill="auto"/>
            <w:vAlign w:val="center"/>
          </w:tcPr>
          <w:p w14:paraId="38139E3E"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24</w:t>
            </w:r>
            <w:r>
              <w:rPr>
                <w:rFonts w:eastAsia="Times New Roman" w:cs="Arial"/>
                <w:b/>
                <w:lang w:eastAsia="en-AU"/>
              </w:rPr>
              <w:t>,</w:t>
            </w:r>
            <w:r w:rsidRPr="00676396">
              <w:rPr>
                <w:rFonts w:eastAsia="Times New Roman" w:cs="Arial"/>
                <w:b/>
                <w:lang w:eastAsia="en-AU"/>
              </w:rPr>
              <w:t>399</w:t>
            </w:r>
          </w:p>
        </w:tc>
      </w:tr>
      <w:tr w:rsidR="00DE19E8" w:rsidRPr="00FD6E8E" w14:paraId="3E2D7AB8" w14:textId="77777777" w:rsidTr="00F2448E">
        <w:trPr>
          <w:trHeight w:val="276"/>
        </w:trPr>
        <w:tc>
          <w:tcPr>
            <w:tcW w:w="2660" w:type="dxa"/>
            <w:shd w:val="clear" w:color="auto" w:fill="B8CCE4" w:themeFill="accent1" w:themeFillTint="66"/>
            <w:noWrap/>
            <w:hideMark/>
          </w:tcPr>
          <w:p w14:paraId="205A05A8" w14:textId="77777777" w:rsidR="00DE19E8" w:rsidRPr="00FD6E8E" w:rsidRDefault="00DE19E8"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1176" w:type="dxa"/>
            <w:tcBorders>
              <w:right w:val="nil"/>
            </w:tcBorders>
            <w:shd w:val="clear" w:color="auto" w:fill="B8CCE4" w:themeFill="accent1" w:themeFillTint="66"/>
            <w:noWrap/>
            <w:vAlign w:val="center"/>
          </w:tcPr>
          <w:p w14:paraId="3897D0C1"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43</w:t>
            </w:r>
            <w:r>
              <w:rPr>
                <w:rFonts w:eastAsia="Times New Roman" w:cs="Arial"/>
                <w:b/>
                <w:lang w:eastAsia="en-AU"/>
              </w:rPr>
              <w:t>,</w:t>
            </w:r>
            <w:r w:rsidRPr="00676396">
              <w:rPr>
                <w:rFonts w:eastAsia="Times New Roman" w:cs="Arial"/>
                <w:b/>
                <w:lang w:eastAsia="en-AU"/>
              </w:rPr>
              <w:t>939</w:t>
            </w:r>
          </w:p>
        </w:tc>
        <w:tc>
          <w:tcPr>
            <w:tcW w:w="1177" w:type="dxa"/>
            <w:tcBorders>
              <w:left w:val="nil"/>
            </w:tcBorders>
            <w:shd w:val="clear" w:color="auto" w:fill="B8CCE4" w:themeFill="accent1" w:themeFillTint="66"/>
            <w:vAlign w:val="center"/>
          </w:tcPr>
          <w:p w14:paraId="333043F8"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33</w:t>
            </w:r>
            <w:r>
              <w:rPr>
                <w:rFonts w:eastAsia="Times New Roman" w:cs="Arial"/>
                <w:b/>
                <w:lang w:eastAsia="en-AU"/>
              </w:rPr>
              <w:t>,</w:t>
            </w:r>
            <w:r w:rsidRPr="00676396">
              <w:rPr>
                <w:rFonts w:eastAsia="Times New Roman" w:cs="Arial"/>
                <w:b/>
                <w:lang w:eastAsia="en-AU"/>
              </w:rPr>
              <w:t>861</w:t>
            </w:r>
          </w:p>
        </w:tc>
        <w:tc>
          <w:tcPr>
            <w:tcW w:w="1176" w:type="dxa"/>
            <w:tcBorders>
              <w:right w:val="nil"/>
            </w:tcBorders>
            <w:shd w:val="clear" w:color="auto" w:fill="B8CCE4" w:themeFill="accent1" w:themeFillTint="66"/>
            <w:noWrap/>
            <w:vAlign w:val="center"/>
          </w:tcPr>
          <w:p w14:paraId="5DAC6259"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14</w:t>
            </w:r>
            <w:r>
              <w:rPr>
                <w:rFonts w:eastAsia="Times New Roman" w:cs="Arial"/>
                <w:b/>
                <w:lang w:eastAsia="en-AU"/>
              </w:rPr>
              <w:t>,</w:t>
            </w:r>
            <w:r w:rsidRPr="00676396">
              <w:rPr>
                <w:rFonts w:eastAsia="Times New Roman" w:cs="Arial"/>
                <w:b/>
                <w:lang w:eastAsia="en-AU"/>
              </w:rPr>
              <w:t>993</w:t>
            </w:r>
          </w:p>
        </w:tc>
        <w:tc>
          <w:tcPr>
            <w:tcW w:w="1177" w:type="dxa"/>
            <w:tcBorders>
              <w:left w:val="nil"/>
            </w:tcBorders>
            <w:shd w:val="clear" w:color="auto" w:fill="B8CCE4" w:themeFill="accent1" w:themeFillTint="66"/>
            <w:vAlign w:val="center"/>
          </w:tcPr>
          <w:p w14:paraId="3945E7B2"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962</w:t>
            </w:r>
          </w:p>
        </w:tc>
        <w:tc>
          <w:tcPr>
            <w:tcW w:w="1177" w:type="dxa"/>
            <w:tcBorders>
              <w:right w:val="nil"/>
            </w:tcBorders>
            <w:shd w:val="clear" w:color="auto" w:fill="B8CCE4" w:themeFill="accent1" w:themeFillTint="66"/>
            <w:noWrap/>
            <w:vAlign w:val="center"/>
          </w:tcPr>
          <w:p w14:paraId="49D658B4"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8</w:t>
            </w:r>
            <w:r>
              <w:rPr>
                <w:rFonts w:eastAsia="Times New Roman" w:cs="Arial"/>
                <w:b/>
                <w:lang w:eastAsia="en-AU"/>
              </w:rPr>
              <w:t>,</w:t>
            </w:r>
            <w:r w:rsidRPr="00676396">
              <w:rPr>
                <w:rFonts w:eastAsia="Times New Roman" w:cs="Arial"/>
                <w:b/>
                <w:lang w:eastAsia="en-AU"/>
              </w:rPr>
              <w:t>936</w:t>
            </w:r>
          </w:p>
        </w:tc>
        <w:tc>
          <w:tcPr>
            <w:tcW w:w="1176" w:type="dxa"/>
            <w:tcBorders>
              <w:left w:val="nil"/>
            </w:tcBorders>
            <w:shd w:val="clear" w:color="auto" w:fill="B8CCE4" w:themeFill="accent1" w:themeFillTint="66"/>
            <w:vAlign w:val="center"/>
          </w:tcPr>
          <w:p w14:paraId="3F15BE58"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8</w:t>
            </w:r>
            <w:r>
              <w:rPr>
                <w:rFonts w:eastAsia="Times New Roman" w:cs="Arial"/>
                <w:b/>
                <w:lang w:eastAsia="en-AU"/>
              </w:rPr>
              <w:t>,</w:t>
            </w:r>
            <w:r w:rsidRPr="00676396">
              <w:rPr>
                <w:rFonts w:eastAsia="Times New Roman" w:cs="Arial"/>
                <w:b/>
                <w:lang w:eastAsia="en-AU"/>
              </w:rPr>
              <w:t>600</w:t>
            </w:r>
          </w:p>
        </w:tc>
        <w:tc>
          <w:tcPr>
            <w:tcW w:w="1177" w:type="dxa"/>
            <w:tcBorders>
              <w:right w:val="nil"/>
            </w:tcBorders>
            <w:shd w:val="clear" w:color="auto" w:fill="B8CCE4" w:themeFill="accent1" w:themeFillTint="66"/>
            <w:noWrap/>
            <w:vAlign w:val="center"/>
          </w:tcPr>
          <w:p w14:paraId="4033FE5A"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057</w:t>
            </w:r>
          </w:p>
        </w:tc>
        <w:tc>
          <w:tcPr>
            <w:tcW w:w="1176" w:type="dxa"/>
            <w:tcBorders>
              <w:left w:val="nil"/>
            </w:tcBorders>
            <w:shd w:val="clear" w:color="auto" w:fill="B8CCE4" w:themeFill="accent1" w:themeFillTint="66"/>
            <w:vAlign w:val="center"/>
          </w:tcPr>
          <w:p w14:paraId="25B18802"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5</w:t>
            </w:r>
            <w:r>
              <w:rPr>
                <w:rFonts w:eastAsia="Times New Roman" w:cs="Arial"/>
                <w:b/>
                <w:lang w:eastAsia="en-AU"/>
              </w:rPr>
              <w:t>,</w:t>
            </w:r>
            <w:r w:rsidRPr="00676396">
              <w:rPr>
                <w:rFonts w:eastAsia="Times New Roman" w:cs="Arial"/>
                <w:b/>
                <w:lang w:eastAsia="en-AU"/>
              </w:rPr>
              <w:t>792</w:t>
            </w:r>
          </w:p>
        </w:tc>
        <w:tc>
          <w:tcPr>
            <w:tcW w:w="1177" w:type="dxa"/>
            <w:tcBorders>
              <w:right w:val="nil"/>
            </w:tcBorders>
            <w:shd w:val="clear" w:color="auto" w:fill="B8CCE4" w:themeFill="accent1" w:themeFillTint="66"/>
            <w:noWrap/>
            <w:vAlign w:val="center"/>
          </w:tcPr>
          <w:p w14:paraId="26BB68E1" w14:textId="77777777" w:rsidR="00DE19E8" w:rsidRPr="00676396" w:rsidRDefault="00DE19E8" w:rsidP="00CE2FDF">
            <w:pPr>
              <w:spacing w:before="0" w:line="276" w:lineRule="auto"/>
              <w:jc w:val="right"/>
              <w:rPr>
                <w:rFonts w:eastAsia="Times New Roman" w:cs="Arial"/>
                <w:b/>
                <w:lang w:eastAsia="en-AU"/>
              </w:rPr>
            </w:pPr>
            <w:r w:rsidRPr="00676396">
              <w:rPr>
                <w:rFonts w:eastAsia="Times New Roman" w:cs="Arial"/>
                <w:b/>
                <w:lang w:eastAsia="en-AU"/>
              </w:rPr>
              <w:t>58</w:t>
            </w:r>
            <w:r>
              <w:rPr>
                <w:rFonts w:eastAsia="Times New Roman" w:cs="Arial"/>
                <w:b/>
                <w:lang w:eastAsia="en-AU"/>
              </w:rPr>
              <w:t>,</w:t>
            </w:r>
            <w:r w:rsidRPr="00676396">
              <w:rPr>
                <w:rFonts w:eastAsia="Times New Roman" w:cs="Arial"/>
                <w:b/>
                <w:lang w:eastAsia="en-AU"/>
              </w:rPr>
              <w:t>932</w:t>
            </w:r>
          </w:p>
        </w:tc>
        <w:tc>
          <w:tcPr>
            <w:tcW w:w="1177" w:type="dxa"/>
            <w:tcBorders>
              <w:left w:val="nil"/>
            </w:tcBorders>
            <w:shd w:val="clear" w:color="auto" w:fill="B8CCE4" w:themeFill="accent1" w:themeFillTint="66"/>
            <w:vAlign w:val="center"/>
          </w:tcPr>
          <w:p w14:paraId="7EB34365" w14:textId="77777777" w:rsidR="00DE19E8" w:rsidRPr="00676396" w:rsidRDefault="00DE19E8" w:rsidP="00CE2FDF">
            <w:pPr>
              <w:spacing w:before="0" w:line="276" w:lineRule="auto"/>
              <w:jc w:val="right"/>
              <w:rPr>
                <w:rFonts w:eastAsia="Times New Roman" w:cs="Arial"/>
                <w:b/>
                <w:lang w:eastAsia="en-AU"/>
              </w:rPr>
            </w:pPr>
            <w:r>
              <w:rPr>
                <w:rFonts w:eastAsia="Times New Roman" w:cs="Arial"/>
                <w:b/>
                <w:lang w:eastAsia="en-AU"/>
              </w:rPr>
              <w:t>43,478</w:t>
            </w:r>
          </w:p>
        </w:tc>
      </w:tr>
    </w:tbl>
    <w:p w14:paraId="71C9B696" w14:textId="77777777" w:rsidR="009654BA" w:rsidRDefault="009654BA" w:rsidP="00B15586">
      <w:pPr>
        <w:spacing w:after="200" w:line="276" w:lineRule="auto"/>
      </w:pPr>
      <w:r>
        <w:br w:type="page"/>
      </w:r>
    </w:p>
    <w:p w14:paraId="626E9F36" w14:textId="77777777" w:rsidR="00A269A5" w:rsidRDefault="00A269A5" w:rsidP="0095311F">
      <w:pPr>
        <w:pStyle w:val="Figureheading"/>
      </w:pPr>
      <w:r>
        <w:lastRenderedPageBreak/>
        <w:t>3.3</w:t>
      </w:r>
      <w:r w:rsidR="007B717D">
        <w:t>1</w:t>
      </w:r>
      <w:r>
        <w:tab/>
      </w:r>
      <w:r w:rsidR="005039C2" w:rsidRPr="00D74CC3">
        <w:t xml:space="preserve">Number of reports </w:t>
      </w:r>
      <w:r>
        <w:t xml:space="preserve">for 2012, </w:t>
      </w:r>
      <w:r w:rsidR="005039C2" w:rsidRPr="00D74CC3">
        <w:t>by abuse type,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70"/>
        <w:gridCol w:w="1471"/>
        <w:gridCol w:w="1471"/>
        <w:gridCol w:w="1471"/>
        <w:gridCol w:w="1470"/>
        <w:gridCol w:w="1471"/>
        <w:gridCol w:w="1471"/>
        <w:gridCol w:w="1471"/>
      </w:tblGrid>
      <w:tr w:rsidR="005039C2" w:rsidRPr="00F44E7A" w14:paraId="360464E1" w14:textId="77777777" w:rsidTr="00137AE1">
        <w:trPr>
          <w:trHeight w:val="365"/>
          <w:tblHeader/>
        </w:trPr>
        <w:tc>
          <w:tcPr>
            <w:tcW w:w="2660" w:type="dxa"/>
            <w:shd w:val="clear" w:color="auto" w:fill="B8CCE4" w:themeFill="accent1" w:themeFillTint="66"/>
            <w:noWrap/>
            <w:hideMark/>
          </w:tcPr>
          <w:p w14:paraId="48DECB3C" w14:textId="77777777" w:rsidR="005039C2" w:rsidRPr="00F44E7A" w:rsidRDefault="005039C2" w:rsidP="00CE2FDF">
            <w:pPr>
              <w:spacing w:before="0" w:line="276" w:lineRule="auto"/>
              <w:rPr>
                <w:rFonts w:eastAsia="Times New Roman" w:cs="Arial"/>
                <w:b/>
                <w:lang w:eastAsia="en-AU"/>
              </w:rPr>
            </w:pPr>
          </w:p>
        </w:tc>
        <w:tc>
          <w:tcPr>
            <w:tcW w:w="2941" w:type="dxa"/>
            <w:gridSpan w:val="2"/>
            <w:shd w:val="clear" w:color="auto" w:fill="B8CCE4" w:themeFill="accent1" w:themeFillTint="66"/>
            <w:noWrap/>
            <w:vAlign w:val="center"/>
            <w:hideMark/>
          </w:tcPr>
          <w:p w14:paraId="262796DD" w14:textId="77777777" w:rsidR="005039C2" w:rsidRPr="00F44E7A" w:rsidRDefault="005039C2" w:rsidP="00CE2FDF">
            <w:pPr>
              <w:spacing w:before="0" w:line="276" w:lineRule="auto"/>
              <w:jc w:val="center"/>
              <w:rPr>
                <w:rFonts w:eastAsia="Times New Roman" w:cs="Arial"/>
                <w:b/>
                <w:lang w:eastAsia="en-AU"/>
              </w:rPr>
            </w:pPr>
            <w:r w:rsidRPr="00F44E7A">
              <w:rPr>
                <w:rFonts w:eastAsia="Times New Roman" w:cs="Arial"/>
                <w:b/>
                <w:lang w:eastAsia="en-AU"/>
              </w:rPr>
              <w:t>Emotional abuse</w:t>
            </w:r>
          </w:p>
        </w:tc>
        <w:tc>
          <w:tcPr>
            <w:tcW w:w="2942" w:type="dxa"/>
            <w:gridSpan w:val="2"/>
            <w:shd w:val="clear" w:color="auto" w:fill="B8CCE4" w:themeFill="accent1" w:themeFillTint="66"/>
            <w:noWrap/>
            <w:vAlign w:val="center"/>
            <w:hideMark/>
          </w:tcPr>
          <w:p w14:paraId="57D35C7F" w14:textId="77777777" w:rsidR="005039C2" w:rsidRPr="00F44E7A" w:rsidRDefault="005039C2" w:rsidP="00CE2FDF">
            <w:pPr>
              <w:spacing w:before="0" w:line="276" w:lineRule="auto"/>
              <w:jc w:val="center"/>
              <w:rPr>
                <w:rFonts w:eastAsia="Times New Roman" w:cs="Arial"/>
                <w:b/>
                <w:lang w:eastAsia="en-AU"/>
              </w:rPr>
            </w:pPr>
            <w:r w:rsidRPr="00F44E7A">
              <w:rPr>
                <w:rFonts w:eastAsia="Times New Roman" w:cs="Arial"/>
                <w:b/>
                <w:lang w:eastAsia="en-AU"/>
              </w:rPr>
              <w:t>Neglect</w:t>
            </w:r>
          </w:p>
        </w:tc>
        <w:tc>
          <w:tcPr>
            <w:tcW w:w="2941" w:type="dxa"/>
            <w:gridSpan w:val="2"/>
            <w:shd w:val="clear" w:color="auto" w:fill="B8CCE4" w:themeFill="accent1" w:themeFillTint="66"/>
            <w:noWrap/>
            <w:vAlign w:val="center"/>
            <w:hideMark/>
          </w:tcPr>
          <w:p w14:paraId="62906786" w14:textId="77777777" w:rsidR="005039C2" w:rsidRPr="00F44E7A" w:rsidRDefault="005039C2" w:rsidP="00CE2FDF">
            <w:pPr>
              <w:spacing w:before="0" w:line="276" w:lineRule="auto"/>
              <w:jc w:val="center"/>
              <w:rPr>
                <w:rFonts w:eastAsia="Times New Roman" w:cs="Arial"/>
                <w:b/>
                <w:lang w:eastAsia="en-AU"/>
              </w:rPr>
            </w:pPr>
            <w:r w:rsidRPr="00F44E7A">
              <w:rPr>
                <w:rFonts w:eastAsia="Times New Roman" w:cs="Arial"/>
                <w:b/>
                <w:lang w:eastAsia="en-AU"/>
              </w:rPr>
              <w:t>Physical abuse</w:t>
            </w:r>
          </w:p>
        </w:tc>
        <w:tc>
          <w:tcPr>
            <w:tcW w:w="2942" w:type="dxa"/>
            <w:gridSpan w:val="2"/>
            <w:shd w:val="clear" w:color="auto" w:fill="B8CCE4" w:themeFill="accent1" w:themeFillTint="66"/>
            <w:noWrap/>
            <w:vAlign w:val="center"/>
            <w:hideMark/>
          </w:tcPr>
          <w:p w14:paraId="58E07564" w14:textId="77777777" w:rsidR="005039C2" w:rsidRPr="00F44E7A" w:rsidRDefault="005039C2" w:rsidP="00CE2FDF">
            <w:pPr>
              <w:spacing w:before="0" w:line="276" w:lineRule="auto"/>
              <w:jc w:val="center"/>
              <w:rPr>
                <w:rFonts w:eastAsia="Times New Roman" w:cs="Arial"/>
                <w:b/>
                <w:lang w:eastAsia="en-AU"/>
              </w:rPr>
            </w:pPr>
            <w:r w:rsidRPr="00F44E7A">
              <w:rPr>
                <w:rFonts w:eastAsia="Times New Roman" w:cs="Arial"/>
                <w:b/>
                <w:lang w:eastAsia="en-AU"/>
              </w:rPr>
              <w:t>Sexual abuse</w:t>
            </w:r>
          </w:p>
        </w:tc>
      </w:tr>
      <w:tr w:rsidR="005039C2" w:rsidRPr="00F44E7A" w14:paraId="23797BBE" w14:textId="77777777" w:rsidTr="00137AE1">
        <w:trPr>
          <w:trHeight w:val="271"/>
          <w:tblHeader/>
        </w:trPr>
        <w:tc>
          <w:tcPr>
            <w:tcW w:w="2660" w:type="dxa"/>
            <w:shd w:val="clear" w:color="auto" w:fill="B8CCE4" w:themeFill="accent1" w:themeFillTint="66"/>
            <w:noWrap/>
            <w:hideMark/>
          </w:tcPr>
          <w:p w14:paraId="619EE6A0" w14:textId="77777777" w:rsidR="005039C2" w:rsidRPr="00F44E7A" w:rsidRDefault="005039C2" w:rsidP="00CE2FDF">
            <w:pPr>
              <w:spacing w:before="0" w:line="276" w:lineRule="auto"/>
              <w:rPr>
                <w:rFonts w:eastAsia="Times New Roman" w:cs="Arial"/>
                <w:b/>
                <w:lang w:eastAsia="en-AU"/>
              </w:rPr>
            </w:pPr>
          </w:p>
        </w:tc>
        <w:tc>
          <w:tcPr>
            <w:tcW w:w="1470" w:type="dxa"/>
            <w:tcBorders>
              <w:right w:val="nil"/>
            </w:tcBorders>
            <w:shd w:val="clear" w:color="auto" w:fill="B8CCE4" w:themeFill="accent1" w:themeFillTint="66"/>
            <w:noWrap/>
            <w:vAlign w:val="center"/>
            <w:hideMark/>
          </w:tcPr>
          <w:p w14:paraId="28026EA1" w14:textId="77777777" w:rsidR="005039C2" w:rsidRPr="00F44E7A" w:rsidRDefault="005039C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005ADC8D" w14:textId="77777777" w:rsidR="005039C2" w:rsidRPr="00F44E7A" w:rsidRDefault="005039C2"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38CBBA55" w14:textId="77777777" w:rsidR="005039C2" w:rsidRPr="00F44E7A" w:rsidRDefault="005039C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7AB80FB1" w14:textId="77777777" w:rsidR="005039C2" w:rsidRPr="00F44E7A" w:rsidRDefault="005039C2" w:rsidP="00CE2FDF">
            <w:pPr>
              <w:spacing w:before="0" w:line="276" w:lineRule="auto"/>
              <w:jc w:val="right"/>
              <w:rPr>
                <w:rFonts w:eastAsia="Times New Roman" w:cs="Arial"/>
                <w:b/>
                <w:lang w:eastAsia="en-AU"/>
              </w:rPr>
            </w:pPr>
            <w:r>
              <w:rPr>
                <w:rFonts w:eastAsia="Times New Roman" w:cs="Arial"/>
                <w:b/>
                <w:lang w:eastAsia="en-AU"/>
              </w:rPr>
              <w:t>Children</w:t>
            </w:r>
          </w:p>
        </w:tc>
        <w:tc>
          <w:tcPr>
            <w:tcW w:w="1470" w:type="dxa"/>
            <w:tcBorders>
              <w:right w:val="nil"/>
            </w:tcBorders>
            <w:shd w:val="clear" w:color="auto" w:fill="B8CCE4" w:themeFill="accent1" w:themeFillTint="66"/>
            <w:noWrap/>
            <w:vAlign w:val="center"/>
            <w:hideMark/>
          </w:tcPr>
          <w:p w14:paraId="023EE61A" w14:textId="77777777" w:rsidR="005039C2" w:rsidRPr="00F44E7A" w:rsidRDefault="005039C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420E1D08" w14:textId="77777777" w:rsidR="005039C2" w:rsidRPr="00F44E7A" w:rsidRDefault="005039C2" w:rsidP="00CE2FDF">
            <w:pPr>
              <w:spacing w:before="0" w:line="276" w:lineRule="auto"/>
              <w:jc w:val="right"/>
              <w:rPr>
                <w:rFonts w:eastAsia="Times New Roman" w:cs="Arial"/>
                <w:b/>
                <w:lang w:eastAsia="en-AU"/>
              </w:rPr>
            </w:pPr>
            <w:r>
              <w:rPr>
                <w:rFonts w:eastAsia="Times New Roman" w:cs="Arial"/>
                <w:b/>
                <w:lang w:eastAsia="en-AU"/>
              </w:rPr>
              <w:t>Children</w:t>
            </w:r>
          </w:p>
        </w:tc>
        <w:tc>
          <w:tcPr>
            <w:tcW w:w="1471" w:type="dxa"/>
            <w:tcBorders>
              <w:right w:val="nil"/>
            </w:tcBorders>
            <w:shd w:val="clear" w:color="auto" w:fill="B8CCE4" w:themeFill="accent1" w:themeFillTint="66"/>
            <w:noWrap/>
            <w:vAlign w:val="center"/>
            <w:hideMark/>
          </w:tcPr>
          <w:p w14:paraId="327C8E7B" w14:textId="77777777" w:rsidR="005039C2" w:rsidRPr="00F44E7A" w:rsidRDefault="005039C2" w:rsidP="00CE2FDF">
            <w:pPr>
              <w:spacing w:before="0" w:line="276" w:lineRule="auto"/>
              <w:jc w:val="right"/>
              <w:rPr>
                <w:rFonts w:eastAsia="Times New Roman" w:cs="Arial"/>
                <w:b/>
                <w:lang w:eastAsia="en-AU"/>
              </w:rPr>
            </w:pPr>
            <w:r w:rsidRPr="00F44E7A">
              <w:rPr>
                <w:rFonts w:eastAsia="Times New Roman" w:cs="Arial"/>
                <w:b/>
                <w:lang w:eastAsia="en-AU"/>
              </w:rPr>
              <w:t>Report</w:t>
            </w:r>
            <w:r>
              <w:rPr>
                <w:rFonts w:eastAsia="Times New Roman" w:cs="Arial"/>
                <w:b/>
                <w:lang w:eastAsia="en-AU"/>
              </w:rPr>
              <w:t>s</w:t>
            </w:r>
          </w:p>
        </w:tc>
        <w:tc>
          <w:tcPr>
            <w:tcW w:w="1471" w:type="dxa"/>
            <w:tcBorders>
              <w:left w:val="nil"/>
            </w:tcBorders>
            <w:shd w:val="clear" w:color="auto" w:fill="B8CCE4" w:themeFill="accent1" w:themeFillTint="66"/>
            <w:vAlign w:val="center"/>
          </w:tcPr>
          <w:p w14:paraId="6F72D59B" w14:textId="77777777" w:rsidR="005039C2" w:rsidRPr="00F44E7A" w:rsidRDefault="005039C2" w:rsidP="00CE2FDF">
            <w:pPr>
              <w:spacing w:before="0" w:line="276" w:lineRule="auto"/>
              <w:jc w:val="right"/>
              <w:rPr>
                <w:rFonts w:eastAsia="Times New Roman" w:cs="Arial"/>
                <w:b/>
                <w:lang w:eastAsia="en-AU"/>
              </w:rPr>
            </w:pPr>
            <w:r>
              <w:rPr>
                <w:rFonts w:eastAsia="Times New Roman" w:cs="Arial"/>
                <w:b/>
                <w:lang w:eastAsia="en-AU"/>
              </w:rPr>
              <w:t>Children</w:t>
            </w:r>
          </w:p>
        </w:tc>
      </w:tr>
      <w:tr w:rsidR="005039C2" w:rsidRPr="003324F1" w14:paraId="09B9CE71" w14:textId="77777777" w:rsidTr="00F2448E">
        <w:trPr>
          <w:trHeight w:val="276"/>
        </w:trPr>
        <w:tc>
          <w:tcPr>
            <w:tcW w:w="2660" w:type="dxa"/>
            <w:noWrap/>
            <w:hideMark/>
          </w:tcPr>
          <w:p w14:paraId="068CF92D" w14:textId="77777777" w:rsidR="005039C2" w:rsidRPr="00F44E7A" w:rsidRDefault="005039C2" w:rsidP="00CE2FDF">
            <w:pPr>
              <w:spacing w:before="0" w:line="276" w:lineRule="auto"/>
              <w:rPr>
                <w:rFonts w:eastAsia="Times New Roman" w:cs="Arial"/>
                <w:b/>
                <w:lang w:eastAsia="en-AU"/>
              </w:rPr>
            </w:pPr>
            <w:r w:rsidRPr="00F44E7A">
              <w:rPr>
                <w:rFonts w:eastAsia="Times New Roman" w:cs="Arial"/>
                <w:b/>
                <w:lang w:eastAsia="en-AU"/>
              </w:rPr>
              <w:t>Doctors</w:t>
            </w:r>
          </w:p>
        </w:tc>
        <w:tc>
          <w:tcPr>
            <w:tcW w:w="1470" w:type="dxa"/>
            <w:tcBorders>
              <w:right w:val="nil"/>
            </w:tcBorders>
            <w:noWrap/>
            <w:vAlign w:val="center"/>
          </w:tcPr>
          <w:p w14:paraId="693FDBF5"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452</w:t>
            </w:r>
          </w:p>
        </w:tc>
        <w:tc>
          <w:tcPr>
            <w:tcW w:w="1471" w:type="dxa"/>
            <w:tcBorders>
              <w:left w:val="nil"/>
            </w:tcBorders>
            <w:vAlign w:val="center"/>
          </w:tcPr>
          <w:p w14:paraId="51E6311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446</w:t>
            </w:r>
          </w:p>
        </w:tc>
        <w:tc>
          <w:tcPr>
            <w:tcW w:w="1471" w:type="dxa"/>
            <w:tcBorders>
              <w:right w:val="nil"/>
            </w:tcBorders>
            <w:noWrap/>
            <w:vAlign w:val="center"/>
          </w:tcPr>
          <w:p w14:paraId="06F59566"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149</w:t>
            </w:r>
          </w:p>
        </w:tc>
        <w:tc>
          <w:tcPr>
            <w:tcW w:w="1471" w:type="dxa"/>
            <w:tcBorders>
              <w:left w:val="nil"/>
            </w:tcBorders>
            <w:vAlign w:val="center"/>
          </w:tcPr>
          <w:p w14:paraId="1671285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147</w:t>
            </w:r>
          </w:p>
        </w:tc>
        <w:tc>
          <w:tcPr>
            <w:tcW w:w="1470" w:type="dxa"/>
            <w:tcBorders>
              <w:right w:val="nil"/>
            </w:tcBorders>
            <w:noWrap/>
            <w:vAlign w:val="center"/>
          </w:tcPr>
          <w:p w14:paraId="0E24A975"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427</w:t>
            </w:r>
          </w:p>
        </w:tc>
        <w:tc>
          <w:tcPr>
            <w:tcW w:w="1471" w:type="dxa"/>
            <w:tcBorders>
              <w:left w:val="nil"/>
            </w:tcBorders>
            <w:vAlign w:val="center"/>
          </w:tcPr>
          <w:p w14:paraId="2F85B4E9"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425</w:t>
            </w:r>
          </w:p>
        </w:tc>
        <w:tc>
          <w:tcPr>
            <w:tcW w:w="1471" w:type="dxa"/>
            <w:tcBorders>
              <w:right w:val="nil"/>
            </w:tcBorders>
            <w:noWrap/>
            <w:vAlign w:val="center"/>
          </w:tcPr>
          <w:p w14:paraId="377A2C75"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228</w:t>
            </w:r>
          </w:p>
        </w:tc>
        <w:tc>
          <w:tcPr>
            <w:tcW w:w="1471" w:type="dxa"/>
            <w:tcBorders>
              <w:left w:val="nil"/>
            </w:tcBorders>
            <w:vAlign w:val="center"/>
          </w:tcPr>
          <w:p w14:paraId="650847D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228</w:t>
            </w:r>
          </w:p>
        </w:tc>
      </w:tr>
      <w:tr w:rsidR="005039C2" w:rsidRPr="003324F1" w14:paraId="1921B8B4" w14:textId="77777777" w:rsidTr="00F2448E">
        <w:trPr>
          <w:trHeight w:val="276"/>
        </w:trPr>
        <w:tc>
          <w:tcPr>
            <w:tcW w:w="2660" w:type="dxa"/>
            <w:shd w:val="clear" w:color="auto" w:fill="DBE5F1" w:themeFill="accent1" w:themeFillTint="33"/>
            <w:noWrap/>
            <w:hideMark/>
          </w:tcPr>
          <w:p w14:paraId="383180C5" w14:textId="77777777" w:rsidR="005039C2" w:rsidRPr="00F44E7A" w:rsidRDefault="005039C2" w:rsidP="00CE2FDF">
            <w:pPr>
              <w:spacing w:before="0" w:line="276" w:lineRule="auto"/>
              <w:rPr>
                <w:rFonts w:eastAsia="Times New Roman" w:cs="Arial"/>
                <w:b/>
                <w:lang w:eastAsia="en-AU"/>
              </w:rPr>
            </w:pPr>
            <w:r w:rsidRPr="00F44E7A">
              <w:rPr>
                <w:rFonts w:eastAsia="Times New Roman" w:cs="Arial"/>
                <w:b/>
                <w:lang w:eastAsia="en-AU"/>
              </w:rPr>
              <w:t>Nurses</w:t>
            </w:r>
          </w:p>
        </w:tc>
        <w:tc>
          <w:tcPr>
            <w:tcW w:w="1470" w:type="dxa"/>
            <w:tcBorders>
              <w:right w:val="nil"/>
            </w:tcBorders>
            <w:shd w:val="clear" w:color="auto" w:fill="DBE5F1" w:themeFill="accent1" w:themeFillTint="33"/>
            <w:noWrap/>
            <w:vAlign w:val="center"/>
          </w:tcPr>
          <w:p w14:paraId="5E25D67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214</w:t>
            </w:r>
          </w:p>
        </w:tc>
        <w:tc>
          <w:tcPr>
            <w:tcW w:w="1471" w:type="dxa"/>
            <w:tcBorders>
              <w:left w:val="nil"/>
            </w:tcBorders>
            <w:shd w:val="clear" w:color="auto" w:fill="DBE5F1" w:themeFill="accent1" w:themeFillTint="33"/>
            <w:vAlign w:val="center"/>
          </w:tcPr>
          <w:p w14:paraId="6CA259D7"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173</w:t>
            </w:r>
          </w:p>
        </w:tc>
        <w:tc>
          <w:tcPr>
            <w:tcW w:w="1471" w:type="dxa"/>
            <w:tcBorders>
              <w:right w:val="nil"/>
            </w:tcBorders>
            <w:shd w:val="clear" w:color="auto" w:fill="DBE5F1" w:themeFill="accent1" w:themeFillTint="33"/>
            <w:noWrap/>
            <w:vAlign w:val="center"/>
          </w:tcPr>
          <w:p w14:paraId="2B5D848B"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374</w:t>
            </w:r>
          </w:p>
        </w:tc>
        <w:tc>
          <w:tcPr>
            <w:tcW w:w="1471" w:type="dxa"/>
            <w:tcBorders>
              <w:left w:val="nil"/>
            </w:tcBorders>
            <w:shd w:val="clear" w:color="auto" w:fill="DBE5F1" w:themeFill="accent1" w:themeFillTint="33"/>
            <w:vAlign w:val="center"/>
          </w:tcPr>
          <w:p w14:paraId="3DB290A7"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373</w:t>
            </w:r>
          </w:p>
        </w:tc>
        <w:tc>
          <w:tcPr>
            <w:tcW w:w="1470" w:type="dxa"/>
            <w:tcBorders>
              <w:right w:val="nil"/>
            </w:tcBorders>
            <w:shd w:val="clear" w:color="auto" w:fill="DBE5F1" w:themeFill="accent1" w:themeFillTint="33"/>
            <w:noWrap/>
            <w:vAlign w:val="center"/>
          </w:tcPr>
          <w:p w14:paraId="06642D70"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428</w:t>
            </w:r>
          </w:p>
        </w:tc>
        <w:tc>
          <w:tcPr>
            <w:tcW w:w="1471" w:type="dxa"/>
            <w:tcBorders>
              <w:left w:val="nil"/>
            </w:tcBorders>
            <w:shd w:val="clear" w:color="auto" w:fill="DBE5F1" w:themeFill="accent1" w:themeFillTint="33"/>
            <w:vAlign w:val="center"/>
          </w:tcPr>
          <w:p w14:paraId="4C2FE23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425</w:t>
            </w:r>
          </w:p>
        </w:tc>
        <w:tc>
          <w:tcPr>
            <w:tcW w:w="1471" w:type="dxa"/>
            <w:tcBorders>
              <w:right w:val="nil"/>
            </w:tcBorders>
            <w:shd w:val="clear" w:color="auto" w:fill="DBE5F1" w:themeFill="accent1" w:themeFillTint="33"/>
            <w:noWrap/>
            <w:vAlign w:val="center"/>
          </w:tcPr>
          <w:p w14:paraId="6405A76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89</w:t>
            </w:r>
          </w:p>
        </w:tc>
        <w:tc>
          <w:tcPr>
            <w:tcW w:w="1471" w:type="dxa"/>
            <w:tcBorders>
              <w:left w:val="nil"/>
            </w:tcBorders>
            <w:shd w:val="clear" w:color="auto" w:fill="DBE5F1" w:themeFill="accent1" w:themeFillTint="33"/>
            <w:vAlign w:val="center"/>
          </w:tcPr>
          <w:p w14:paraId="47F4E5D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89</w:t>
            </w:r>
          </w:p>
        </w:tc>
      </w:tr>
      <w:tr w:rsidR="005039C2" w:rsidRPr="003324F1" w14:paraId="69DBFDC3" w14:textId="77777777" w:rsidTr="00F2448E">
        <w:trPr>
          <w:trHeight w:val="276"/>
        </w:trPr>
        <w:tc>
          <w:tcPr>
            <w:tcW w:w="2660" w:type="dxa"/>
            <w:noWrap/>
            <w:hideMark/>
          </w:tcPr>
          <w:p w14:paraId="3DB79E31" w14:textId="77777777" w:rsidR="005039C2" w:rsidRPr="00F44E7A" w:rsidRDefault="005039C2" w:rsidP="00CE2FDF">
            <w:pPr>
              <w:spacing w:before="0" w:line="276" w:lineRule="auto"/>
              <w:rPr>
                <w:rFonts w:eastAsia="Times New Roman" w:cs="Arial"/>
                <w:b/>
                <w:lang w:eastAsia="en-AU"/>
              </w:rPr>
            </w:pPr>
            <w:r w:rsidRPr="00F44E7A">
              <w:rPr>
                <w:rFonts w:eastAsia="Times New Roman" w:cs="Arial"/>
                <w:b/>
                <w:lang w:eastAsia="en-AU"/>
              </w:rPr>
              <w:t>Police</w:t>
            </w:r>
          </w:p>
        </w:tc>
        <w:tc>
          <w:tcPr>
            <w:tcW w:w="1470" w:type="dxa"/>
            <w:tcBorders>
              <w:right w:val="nil"/>
            </w:tcBorders>
            <w:noWrap/>
            <w:vAlign w:val="center"/>
          </w:tcPr>
          <w:p w14:paraId="483C9E9C"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14</w:t>
            </w:r>
            <w:r>
              <w:rPr>
                <w:rFonts w:eastAsia="Times New Roman" w:cs="Arial"/>
                <w:lang w:eastAsia="en-AU"/>
              </w:rPr>
              <w:t>,</w:t>
            </w:r>
            <w:r w:rsidRPr="00676396">
              <w:rPr>
                <w:rFonts w:eastAsia="Times New Roman" w:cs="Arial"/>
                <w:lang w:eastAsia="en-AU"/>
              </w:rPr>
              <w:t>139</w:t>
            </w:r>
          </w:p>
        </w:tc>
        <w:tc>
          <w:tcPr>
            <w:tcW w:w="1471" w:type="dxa"/>
            <w:tcBorders>
              <w:left w:val="nil"/>
            </w:tcBorders>
            <w:vAlign w:val="center"/>
          </w:tcPr>
          <w:p w14:paraId="589D9439"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12</w:t>
            </w:r>
            <w:r>
              <w:rPr>
                <w:rFonts w:eastAsia="Times New Roman" w:cs="Arial"/>
                <w:lang w:eastAsia="en-AU"/>
              </w:rPr>
              <w:t>,</w:t>
            </w:r>
            <w:r w:rsidRPr="00676396">
              <w:rPr>
                <w:rFonts w:eastAsia="Times New Roman" w:cs="Arial"/>
                <w:lang w:eastAsia="en-AU"/>
              </w:rPr>
              <w:t>560</w:t>
            </w:r>
          </w:p>
        </w:tc>
        <w:tc>
          <w:tcPr>
            <w:tcW w:w="1471" w:type="dxa"/>
            <w:tcBorders>
              <w:right w:val="nil"/>
            </w:tcBorders>
            <w:noWrap/>
            <w:vAlign w:val="center"/>
          </w:tcPr>
          <w:p w14:paraId="304C2879"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621</w:t>
            </w:r>
          </w:p>
        </w:tc>
        <w:tc>
          <w:tcPr>
            <w:tcW w:w="1471" w:type="dxa"/>
            <w:tcBorders>
              <w:left w:val="nil"/>
            </w:tcBorders>
            <w:vAlign w:val="center"/>
          </w:tcPr>
          <w:p w14:paraId="74B974A8"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615</w:t>
            </w:r>
          </w:p>
        </w:tc>
        <w:tc>
          <w:tcPr>
            <w:tcW w:w="1470" w:type="dxa"/>
            <w:tcBorders>
              <w:right w:val="nil"/>
            </w:tcBorders>
            <w:noWrap/>
            <w:vAlign w:val="center"/>
          </w:tcPr>
          <w:p w14:paraId="09BD54E9"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452</w:t>
            </w:r>
          </w:p>
        </w:tc>
        <w:tc>
          <w:tcPr>
            <w:tcW w:w="1471" w:type="dxa"/>
            <w:tcBorders>
              <w:left w:val="nil"/>
            </w:tcBorders>
            <w:vAlign w:val="center"/>
          </w:tcPr>
          <w:p w14:paraId="3F6F1622"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372</w:t>
            </w:r>
          </w:p>
        </w:tc>
        <w:tc>
          <w:tcPr>
            <w:tcW w:w="1471" w:type="dxa"/>
            <w:tcBorders>
              <w:right w:val="nil"/>
            </w:tcBorders>
            <w:noWrap/>
            <w:vAlign w:val="center"/>
          </w:tcPr>
          <w:p w14:paraId="23B0E5A1"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780</w:t>
            </w:r>
          </w:p>
        </w:tc>
        <w:tc>
          <w:tcPr>
            <w:tcW w:w="1471" w:type="dxa"/>
            <w:tcBorders>
              <w:left w:val="nil"/>
            </w:tcBorders>
            <w:vAlign w:val="center"/>
          </w:tcPr>
          <w:p w14:paraId="54660BB5"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642</w:t>
            </w:r>
          </w:p>
        </w:tc>
      </w:tr>
      <w:tr w:rsidR="005039C2" w:rsidRPr="003324F1" w14:paraId="71D8AE3F" w14:textId="77777777" w:rsidTr="00F2448E">
        <w:trPr>
          <w:trHeight w:val="276"/>
        </w:trPr>
        <w:tc>
          <w:tcPr>
            <w:tcW w:w="2660" w:type="dxa"/>
            <w:shd w:val="clear" w:color="auto" w:fill="DBE5F1" w:themeFill="accent1" w:themeFillTint="33"/>
            <w:noWrap/>
            <w:hideMark/>
          </w:tcPr>
          <w:p w14:paraId="37A307F8" w14:textId="77777777" w:rsidR="005039C2" w:rsidRPr="00F44E7A" w:rsidRDefault="005039C2" w:rsidP="00CE2FDF">
            <w:pPr>
              <w:spacing w:before="0" w:line="276" w:lineRule="auto"/>
              <w:rPr>
                <w:rFonts w:eastAsia="Times New Roman" w:cs="Arial"/>
                <w:b/>
                <w:lang w:eastAsia="en-AU"/>
              </w:rPr>
            </w:pPr>
            <w:r>
              <w:rPr>
                <w:rFonts w:eastAsia="Times New Roman" w:cs="Arial"/>
                <w:b/>
                <w:lang w:eastAsia="en-AU"/>
              </w:rPr>
              <w:t>School personnel</w:t>
            </w:r>
          </w:p>
        </w:tc>
        <w:tc>
          <w:tcPr>
            <w:tcW w:w="1470" w:type="dxa"/>
            <w:tcBorders>
              <w:right w:val="nil"/>
            </w:tcBorders>
            <w:shd w:val="clear" w:color="auto" w:fill="DBE5F1" w:themeFill="accent1" w:themeFillTint="33"/>
            <w:noWrap/>
            <w:vAlign w:val="center"/>
          </w:tcPr>
          <w:p w14:paraId="04757EA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919</w:t>
            </w:r>
          </w:p>
        </w:tc>
        <w:tc>
          <w:tcPr>
            <w:tcW w:w="1471" w:type="dxa"/>
            <w:tcBorders>
              <w:left w:val="nil"/>
            </w:tcBorders>
            <w:shd w:val="clear" w:color="auto" w:fill="DBE5F1" w:themeFill="accent1" w:themeFillTint="33"/>
            <w:vAlign w:val="center"/>
          </w:tcPr>
          <w:p w14:paraId="2A897490"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474</w:t>
            </w:r>
          </w:p>
        </w:tc>
        <w:tc>
          <w:tcPr>
            <w:tcW w:w="1471" w:type="dxa"/>
            <w:tcBorders>
              <w:right w:val="nil"/>
            </w:tcBorders>
            <w:shd w:val="clear" w:color="auto" w:fill="DBE5F1" w:themeFill="accent1" w:themeFillTint="33"/>
            <w:noWrap/>
            <w:vAlign w:val="center"/>
          </w:tcPr>
          <w:p w14:paraId="76497740"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534</w:t>
            </w:r>
          </w:p>
        </w:tc>
        <w:tc>
          <w:tcPr>
            <w:tcW w:w="1471" w:type="dxa"/>
            <w:tcBorders>
              <w:left w:val="nil"/>
            </w:tcBorders>
            <w:shd w:val="clear" w:color="auto" w:fill="DBE5F1" w:themeFill="accent1" w:themeFillTint="33"/>
            <w:vAlign w:val="center"/>
          </w:tcPr>
          <w:p w14:paraId="7B70C244"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524</w:t>
            </w:r>
          </w:p>
        </w:tc>
        <w:tc>
          <w:tcPr>
            <w:tcW w:w="1470" w:type="dxa"/>
            <w:tcBorders>
              <w:right w:val="nil"/>
            </w:tcBorders>
            <w:shd w:val="clear" w:color="auto" w:fill="DBE5F1" w:themeFill="accent1" w:themeFillTint="33"/>
            <w:noWrap/>
            <w:vAlign w:val="center"/>
          </w:tcPr>
          <w:p w14:paraId="2FD999D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963</w:t>
            </w:r>
          </w:p>
        </w:tc>
        <w:tc>
          <w:tcPr>
            <w:tcW w:w="1471" w:type="dxa"/>
            <w:tcBorders>
              <w:left w:val="nil"/>
            </w:tcBorders>
            <w:shd w:val="clear" w:color="auto" w:fill="DBE5F1" w:themeFill="accent1" w:themeFillTint="33"/>
            <w:vAlign w:val="center"/>
          </w:tcPr>
          <w:p w14:paraId="49EEF584"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769</w:t>
            </w:r>
          </w:p>
        </w:tc>
        <w:tc>
          <w:tcPr>
            <w:tcW w:w="1471" w:type="dxa"/>
            <w:tcBorders>
              <w:right w:val="nil"/>
            </w:tcBorders>
            <w:shd w:val="clear" w:color="auto" w:fill="DBE5F1" w:themeFill="accent1" w:themeFillTint="33"/>
            <w:noWrap/>
            <w:vAlign w:val="center"/>
          </w:tcPr>
          <w:p w14:paraId="6F4D95D4"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001</w:t>
            </w:r>
          </w:p>
        </w:tc>
        <w:tc>
          <w:tcPr>
            <w:tcW w:w="1471" w:type="dxa"/>
            <w:tcBorders>
              <w:left w:val="nil"/>
            </w:tcBorders>
            <w:shd w:val="clear" w:color="auto" w:fill="DBE5F1" w:themeFill="accent1" w:themeFillTint="33"/>
            <w:vAlign w:val="center"/>
          </w:tcPr>
          <w:p w14:paraId="0E79CDCB"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975</w:t>
            </w:r>
          </w:p>
        </w:tc>
      </w:tr>
      <w:tr w:rsidR="005039C2" w:rsidRPr="003324F1" w14:paraId="42F46D33" w14:textId="77777777" w:rsidTr="00F2448E">
        <w:trPr>
          <w:trHeight w:val="276"/>
        </w:trPr>
        <w:tc>
          <w:tcPr>
            <w:tcW w:w="2660" w:type="dxa"/>
            <w:shd w:val="clear" w:color="auto" w:fill="auto"/>
            <w:noWrap/>
            <w:hideMark/>
          </w:tcPr>
          <w:p w14:paraId="20A1AE5C" w14:textId="77777777" w:rsidR="005039C2" w:rsidRPr="00F44E7A" w:rsidRDefault="005039C2" w:rsidP="00CE2FDF">
            <w:pPr>
              <w:spacing w:before="0" w:line="276" w:lineRule="auto"/>
              <w:rPr>
                <w:rFonts w:eastAsia="Times New Roman" w:cs="Arial"/>
                <w:b/>
                <w:lang w:eastAsia="en-AU"/>
              </w:rPr>
            </w:pPr>
            <w:r>
              <w:rPr>
                <w:rFonts w:eastAsia="Times New Roman" w:cs="Arial"/>
                <w:b/>
                <w:lang w:eastAsia="en-AU"/>
              </w:rPr>
              <w:t>Psychiatrists</w:t>
            </w:r>
          </w:p>
        </w:tc>
        <w:tc>
          <w:tcPr>
            <w:tcW w:w="1470" w:type="dxa"/>
            <w:tcBorders>
              <w:right w:val="nil"/>
            </w:tcBorders>
            <w:shd w:val="clear" w:color="auto" w:fill="auto"/>
            <w:noWrap/>
            <w:vAlign w:val="center"/>
          </w:tcPr>
          <w:p w14:paraId="75AAC27B"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120</w:t>
            </w:r>
          </w:p>
        </w:tc>
        <w:tc>
          <w:tcPr>
            <w:tcW w:w="1471" w:type="dxa"/>
            <w:tcBorders>
              <w:left w:val="nil"/>
            </w:tcBorders>
            <w:shd w:val="clear" w:color="auto" w:fill="auto"/>
            <w:vAlign w:val="center"/>
          </w:tcPr>
          <w:p w14:paraId="32F3D854"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118</w:t>
            </w:r>
          </w:p>
        </w:tc>
        <w:tc>
          <w:tcPr>
            <w:tcW w:w="1471" w:type="dxa"/>
            <w:tcBorders>
              <w:right w:val="nil"/>
            </w:tcBorders>
            <w:shd w:val="clear" w:color="auto" w:fill="auto"/>
            <w:noWrap/>
            <w:vAlign w:val="center"/>
          </w:tcPr>
          <w:p w14:paraId="4FBEDADE"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14</w:t>
            </w:r>
          </w:p>
        </w:tc>
        <w:tc>
          <w:tcPr>
            <w:tcW w:w="1471" w:type="dxa"/>
            <w:tcBorders>
              <w:left w:val="nil"/>
            </w:tcBorders>
            <w:shd w:val="clear" w:color="auto" w:fill="auto"/>
            <w:vAlign w:val="center"/>
          </w:tcPr>
          <w:p w14:paraId="67DF5402"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14</w:t>
            </w:r>
          </w:p>
        </w:tc>
        <w:tc>
          <w:tcPr>
            <w:tcW w:w="1470" w:type="dxa"/>
            <w:tcBorders>
              <w:right w:val="nil"/>
            </w:tcBorders>
            <w:shd w:val="clear" w:color="auto" w:fill="auto"/>
            <w:noWrap/>
            <w:vAlign w:val="center"/>
          </w:tcPr>
          <w:p w14:paraId="7DA6B700"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22</w:t>
            </w:r>
          </w:p>
        </w:tc>
        <w:tc>
          <w:tcPr>
            <w:tcW w:w="1471" w:type="dxa"/>
            <w:tcBorders>
              <w:left w:val="nil"/>
            </w:tcBorders>
            <w:shd w:val="clear" w:color="auto" w:fill="auto"/>
            <w:vAlign w:val="center"/>
          </w:tcPr>
          <w:p w14:paraId="7FC778E0"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22</w:t>
            </w:r>
          </w:p>
        </w:tc>
        <w:tc>
          <w:tcPr>
            <w:tcW w:w="1471" w:type="dxa"/>
            <w:tcBorders>
              <w:right w:val="nil"/>
            </w:tcBorders>
            <w:shd w:val="clear" w:color="auto" w:fill="auto"/>
            <w:noWrap/>
            <w:vAlign w:val="center"/>
          </w:tcPr>
          <w:p w14:paraId="22752F9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18</w:t>
            </w:r>
          </w:p>
        </w:tc>
        <w:tc>
          <w:tcPr>
            <w:tcW w:w="1471" w:type="dxa"/>
            <w:tcBorders>
              <w:left w:val="nil"/>
            </w:tcBorders>
            <w:shd w:val="clear" w:color="auto" w:fill="auto"/>
            <w:vAlign w:val="center"/>
          </w:tcPr>
          <w:p w14:paraId="04AEDA2C"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18</w:t>
            </w:r>
          </w:p>
        </w:tc>
      </w:tr>
      <w:tr w:rsidR="005039C2" w:rsidRPr="003324F1" w14:paraId="038B4FE8" w14:textId="77777777" w:rsidTr="00F2448E">
        <w:trPr>
          <w:trHeight w:val="276"/>
        </w:trPr>
        <w:tc>
          <w:tcPr>
            <w:tcW w:w="2660" w:type="dxa"/>
            <w:shd w:val="clear" w:color="auto" w:fill="DBE5F1" w:themeFill="accent1" w:themeFillTint="33"/>
            <w:noWrap/>
            <w:hideMark/>
          </w:tcPr>
          <w:p w14:paraId="360E259B" w14:textId="77777777" w:rsidR="005039C2" w:rsidRPr="00F44E7A" w:rsidRDefault="005039C2"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470" w:type="dxa"/>
            <w:tcBorders>
              <w:right w:val="nil"/>
            </w:tcBorders>
            <w:shd w:val="clear" w:color="auto" w:fill="DBE5F1" w:themeFill="accent1" w:themeFillTint="33"/>
            <w:noWrap/>
            <w:vAlign w:val="center"/>
          </w:tcPr>
          <w:p w14:paraId="57C56A3F"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20</w:t>
            </w:r>
            <w:r>
              <w:rPr>
                <w:rFonts w:eastAsia="Times New Roman" w:cs="Arial"/>
                <w:lang w:eastAsia="en-AU"/>
              </w:rPr>
              <w:t>,</w:t>
            </w:r>
            <w:r w:rsidRPr="00676396">
              <w:rPr>
                <w:rFonts w:eastAsia="Times New Roman" w:cs="Arial"/>
                <w:lang w:eastAsia="en-AU"/>
              </w:rPr>
              <w:t>844</w:t>
            </w:r>
          </w:p>
        </w:tc>
        <w:tc>
          <w:tcPr>
            <w:tcW w:w="1471" w:type="dxa"/>
            <w:tcBorders>
              <w:left w:val="nil"/>
            </w:tcBorders>
            <w:shd w:val="clear" w:color="auto" w:fill="DBE5F1" w:themeFill="accent1" w:themeFillTint="33"/>
            <w:vAlign w:val="center"/>
          </w:tcPr>
          <w:p w14:paraId="4B89E2E7"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18</w:t>
            </w:r>
            <w:r>
              <w:rPr>
                <w:rFonts w:eastAsia="Times New Roman" w:cs="Arial"/>
                <w:lang w:eastAsia="en-AU"/>
              </w:rPr>
              <w:t>,</w:t>
            </w:r>
            <w:r w:rsidRPr="00676396">
              <w:rPr>
                <w:rFonts w:eastAsia="Times New Roman" w:cs="Arial"/>
                <w:lang w:eastAsia="en-AU"/>
              </w:rPr>
              <w:t>094</w:t>
            </w:r>
          </w:p>
        </w:tc>
        <w:tc>
          <w:tcPr>
            <w:tcW w:w="1471" w:type="dxa"/>
            <w:tcBorders>
              <w:right w:val="nil"/>
            </w:tcBorders>
            <w:shd w:val="clear" w:color="auto" w:fill="DBE5F1" w:themeFill="accent1" w:themeFillTint="33"/>
            <w:noWrap/>
            <w:vAlign w:val="center"/>
          </w:tcPr>
          <w:p w14:paraId="03D2A6F7"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692</w:t>
            </w:r>
          </w:p>
        </w:tc>
        <w:tc>
          <w:tcPr>
            <w:tcW w:w="1471" w:type="dxa"/>
            <w:tcBorders>
              <w:left w:val="nil"/>
            </w:tcBorders>
            <w:shd w:val="clear" w:color="auto" w:fill="DBE5F1" w:themeFill="accent1" w:themeFillTint="33"/>
            <w:vAlign w:val="center"/>
          </w:tcPr>
          <w:p w14:paraId="435C0C8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650</w:t>
            </w:r>
          </w:p>
        </w:tc>
        <w:tc>
          <w:tcPr>
            <w:tcW w:w="1470" w:type="dxa"/>
            <w:tcBorders>
              <w:right w:val="nil"/>
            </w:tcBorders>
            <w:shd w:val="clear" w:color="auto" w:fill="DBE5F1" w:themeFill="accent1" w:themeFillTint="33"/>
            <w:noWrap/>
            <w:vAlign w:val="center"/>
          </w:tcPr>
          <w:p w14:paraId="3D5A4741"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8</w:t>
            </w:r>
            <w:r>
              <w:rPr>
                <w:rFonts w:eastAsia="Times New Roman" w:cs="Arial"/>
                <w:lang w:eastAsia="en-AU"/>
              </w:rPr>
              <w:t>,</w:t>
            </w:r>
            <w:r w:rsidRPr="00676396">
              <w:rPr>
                <w:rFonts w:eastAsia="Times New Roman" w:cs="Arial"/>
                <w:lang w:eastAsia="en-AU"/>
              </w:rPr>
              <w:t>292</w:t>
            </w:r>
          </w:p>
        </w:tc>
        <w:tc>
          <w:tcPr>
            <w:tcW w:w="1471" w:type="dxa"/>
            <w:tcBorders>
              <w:left w:val="nil"/>
            </w:tcBorders>
            <w:shd w:val="clear" w:color="auto" w:fill="DBE5F1" w:themeFill="accent1" w:themeFillTint="33"/>
            <w:vAlign w:val="center"/>
          </w:tcPr>
          <w:p w14:paraId="4B6C4DC6"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843</w:t>
            </w:r>
          </w:p>
        </w:tc>
        <w:tc>
          <w:tcPr>
            <w:tcW w:w="1471" w:type="dxa"/>
            <w:tcBorders>
              <w:right w:val="nil"/>
            </w:tcBorders>
            <w:shd w:val="clear" w:color="auto" w:fill="DBE5F1" w:themeFill="accent1" w:themeFillTint="33"/>
            <w:noWrap/>
            <w:vAlign w:val="center"/>
          </w:tcPr>
          <w:p w14:paraId="14F07182"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116</w:t>
            </w:r>
          </w:p>
        </w:tc>
        <w:tc>
          <w:tcPr>
            <w:tcW w:w="1471" w:type="dxa"/>
            <w:tcBorders>
              <w:left w:val="nil"/>
            </w:tcBorders>
            <w:shd w:val="clear" w:color="auto" w:fill="DBE5F1" w:themeFill="accent1" w:themeFillTint="33"/>
            <w:vAlign w:val="center"/>
          </w:tcPr>
          <w:p w14:paraId="673F5420"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911</w:t>
            </w:r>
          </w:p>
        </w:tc>
      </w:tr>
      <w:tr w:rsidR="005039C2" w:rsidRPr="003324F1" w14:paraId="26A09DCC" w14:textId="77777777" w:rsidTr="00F2448E">
        <w:trPr>
          <w:trHeight w:val="276"/>
        </w:trPr>
        <w:tc>
          <w:tcPr>
            <w:tcW w:w="2660" w:type="dxa"/>
            <w:shd w:val="clear" w:color="auto" w:fill="auto"/>
            <w:noWrap/>
            <w:hideMark/>
          </w:tcPr>
          <w:p w14:paraId="12852990" w14:textId="77777777" w:rsidR="005039C2" w:rsidRPr="00F44E7A" w:rsidRDefault="005039C2" w:rsidP="00CE2FDF">
            <w:pPr>
              <w:spacing w:before="0" w:line="276" w:lineRule="auto"/>
              <w:rPr>
                <w:rFonts w:eastAsia="Times New Roman" w:cs="Arial"/>
                <w:b/>
                <w:lang w:eastAsia="en-AU"/>
              </w:rPr>
            </w:pPr>
            <w:r>
              <w:rPr>
                <w:rFonts w:eastAsia="Times New Roman" w:cs="Arial"/>
                <w:b/>
                <w:lang w:eastAsia="en-AU"/>
              </w:rPr>
              <w:t>Other reporter groups combined</w:t>
            </w:r>
          </w:p>
        </w:tc>
        <w:tc>
          <w:tcPr>
            <w:tcW w:w="1470" w:type="dxa"/>
            <w:tcBorders>
              <w:right w:val="nil"/>
            </w:tcBorders>
            <w:shd w:val="clear" w:color="auto" w:fill="auto"/>
            <w:noWrap/>
            <w:vAlign w:val="center"/>
          </w:tcPr>
          <w:p w14:paraId="19982838"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20</w:t>
            </w:r>
            <w:r>
              <w:rPr>
                <w:rFonts w:eastAsia="Times New Roman" w:cs="Arial"/>
                <w:lang w:eastAsia="en-AU"/>
              </w:rPr>
              <w:t>,</w:t>
            </w:r>
            <w:r w:rsidRPr="00676396">
              <w:rPr>
                <w:rFonts w:eastAsia="Times New Roman" w:cs="Arial"/>
                <w:lang w:eastAsia="en-AU"/>
              </w:rPr>
              <w:t>636</w:t>
            </w:r>
          </w:p>
        </w:tc>
        <w:tc>
          <w:tcPr>
            <w:tcW w:w="1471" w:type="dxa"/>
            <w:tcBorders>
              <w:left w:val="nil"/>
            </w:tcBorders>
            <w:shd w:val="clear" w:color="auto" w:fill="auto"/>
            <w:vAlign w:val="center"/>
          </w:tcPr>
          <w:p w14:paraId="7D4BBAF1"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16</w:t>
            </w:r>
            <w:r>
              <w:rPr>
                <w:rFonts w:eastAsia="Times New Roman" w:cs="Arial"/>
                <w:lang w:eastAsia="en-AU"/>
              </w:rPr>
              <w:t>,</w:t>
            </w:r>
            <w:r w:rsidRPr="00676396">
              <w:rPr>
                <w:rFonts w:eastAsia="Times New Roman" w:cs="Arial"/>
                <w:lang w:eastAsia="en-AU"/>
              </w:rPr>
              <w:t>996</w:t>
            </w:r>
          </w:p>
        </w:tc>
        <w:tc>
          <w:tcPr>
            <w:tcW w:w="1471" w:type="dxa"/>
            <w:tcBorders>
              <w:right w:val="nil"/>
            </w:tcBorders>
            <w:shd w:val="clear" w:color="auto" w:fill="auto"/>
            <w:noWrap/>
            <w:vAlign w:val="center"/>
          </w:tcPr>
          <w:p w14:paraId="5D4F9E25"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210</w:t>
            </w:r>
          </w:p>
        </w:tc>
        <w:tc>
          <w:tcPr>
            <w:tcW w:w="1471" w:type="dxa"/>
            <w:tcBorders>
              <w:left w:val="nil"/>
            </w:tcBorders>
            <w:shd w:val="clear" w:color="auto" w:fill="auto"/>
            <w:vAlign w:val="center"/>
          </w:tcPr>
          <w:p w14:paraId="5272CF2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032</w:t>
            </w:r>
          </w:p>
        </w:tc>
        <w:tc>
          <w:tcPr>
            <w:tcW w:w="1470" w:type="dxa"/>
            <w:tcBorders>
              <w:right w:val="nil"/>
            </w:tcBorders>
            <w:shd w:val="clear" w:color="auto" w:fill="auto"/>
            <w:noWrap/>
            <w:vAlign w:val="center"/>
          </w:tcPr>
          <w:p w14:paraId="1982D41B"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627</w:t>
            </w:r>
          </w:p>
        </w:tc>
        <w:tc>
          <w:tcPr>
            <w:tcW w:w="1471" w:type="dxa"/>
            <w:tcBorders>
              <w:left w:val="nil"/>
            </w:tcBorders>
            <w:shd w:val="clear" w:color="auto" w:fill="auto"/>
            <w:vAlign w:val="center"/>
          </w:tcPr>
          <w:p w14:paraId="4B0FD2B8"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215</w:t>
            </w:r>
          </w:p>
        </w:tc>
        <w:tc>
          <w:tcPr>
            <w:tcW w:w="1471" w:type="dxa"/>
            <w:tcBorders>
              <w:right w:val="nil"/>
            </w:tcBorders>
            <w:shd w:val="clear" w:color="auto" w:fill="auto"/>
            <w:noWrap/>
            <w:vAlign w:val="center"/>
          </w:tcPr>
          <w:p w14:paraId="3913BE8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231</w:t>
            </w:r>
          </w:p>
        </w:tc>
        <w:tc>
          <w:tcPr>
            <w:tcW w:w="1471" w:type="dxa"/>
            <w:tcBorders>
              <w:left w:val="nil"/>
            </w:tcBorders>
            <w:shd w:val="clear" w:color="auto" w:fill="auto"/>
            <w:vAlign w:val="center"/>
          </w:tcPr>
          <w:p w14:paraId="4581FBAB"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027</w:t>
            </w:r>
          </w:p>
        </w:tc>
      </w:tr>
      <w:tr w:rsidR="005039C2" w:rsidRPr="00FD6E8E" w14:paraId="53924EE1" w14:textId="77777777" w:rsidTr="00F2448E">
        <w:trPr>
          <w:trHeight w:val="276"/>
        </w:trPr>
        <w:tc>
          <w:tcPr>
            <w:tcW w:w="2660" w:type="dxa"/>
            <w:shd w:val="clear" w:color="auto" w:fill="B8CCE4" w:themeFill="accent1" w:themeFillTint="66"/>
            <w:noWrap/>
            <w:hideMark/>
          </w:tcPr>
          <w:p w14:paraId="7AD26A4E" w14:textId="77777777" w:rsidR="005039C2" w:rsidRPr="00FD6E8E" w:rsidRDefault="005039C2" w:rsidP="00CE2FDF">
            <w:pPr>
              <w:spacing w:before="0" w:line="276" w:lineRule="auto"/>
              <w:rPr>
                <w:rFonts w:eastAsia="Times New Roman" w:cs="Arial"/>
                <w:b/>
                <w:lang w:eastAsia="en-AU"/>
              </w:rPr>
            </w:pPr>
            <w:r w:rsidRPr="00FD6E8E">
              <w:rPr>
                <w:rFonts w:eastAsia="Times New Roman" w:cs="Arial"/>
                <w:b/>
                <w:lang w:eastAsia="en-AU"/>
              </w:rPr>
              <w:t>Totals:</w:t>
            </w:r>
          </w:p>
        </w:tc>
        <w:tc>
          <w:tcPr>
            <w:tcW w:w="1470" w:type="dxa"/>
            <w:tcBorders>
              <w:right w:val="nil"/>
            </w:tcBorders>
            <w:shd w:val="clear" w:color="auto" w:fill="B8CCE4" w:themeFill="accent1" w:themeFillTint="66"/>
            <w:noWrap/>
            <w:vAlign w:val="center"/>
          </w:tcPr>
          <w:p w14:paraId="7545324F"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41</w:t>
            </w:r>
            <w:r>
              <w:rPr>
                <w:rFonts w:eastAsia="Times New Roman" w:cs="Arial"/>
                <w:b/>
                <w:lang w:eastAsia="en-AU"/>
              </w:rPr>
              <w:t>,</w:t>
            </w:r>
            <w:r w:rsidRPr="00676396">
              <w:rPr>
                <w:rFonts w:eastAsia="Times New Roman" w:cs="Arial"/>
                <w:b/>
                <w:lang w:eastAsia="en-AU"/>
              </w:rPr>
              <w:t>480</w:t>
            </w:r>
          </w:p>
        </w:tc>
        <w:tc>
          <w:tcPr>
            <w:tcW w:w="1471" w:type="dxa"/>
            <w:tcBorders>
              <w:left w:val="nil"/>
            </w:tcBorders>
            <w:shd w:val="clear" w:color="auto" w:fill="B8CCE4" w:themeFill="accent1" w:themeFillTint="66"/>
            <w:vAlign w:val="center"/>
          </w:tcPr>
          <w:p w14:paraId="7AA80A30"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32</w:t>
            </w:r>
            <w:r>
              <w:rPr>
                <w:rFonts w:eastAsia="Times New Roman" w:cs="Arial"/>
                <w:b/>
                <w:lang w:eastAsia="en-AU"/>
              </w:rPr>
              <w:t>,</w:t>
            </w:r>
            <w:r w:rsidRPr="00676396">
              <w:rPr>
                <w:rFonts w:eastAsia="Times New Roman" w:cs="Arial"/>
                <w:b/>
                <w:lang w:eastAsia="en-AU"/>
              </w:rPr>
              <w:t>119</w:t>
            </w:r>
          </w:p>
        </w:tc>
        <w:tc>
          <w:tcPr>
            <w:tcW w:w="1471" w:type="dxa"/>
            <w:tcBorders>
              <w:right w:val="nil"/>
            </w:tcBorders>
            <w:shd w:val="clear" w:color="auto" w:fill="B8CCE4" w:themeFill="accent1" w:themeFillTint="66"/>
            <w:noWrap/>
            <w:vAlign w:val="center"/>
          </w:tcPr>
          <w:p w14:paraId="1B9BDFA2"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902</w:t>
            </w:r>
          </w:p>
        </w:tc>
        <w:tc>
          <w:tcPr>
            <w:tcW w:w="1471" w:type="dxa"/>
            <w:tcBorders>
              <w:left w:val="nil"/>
            </w:tcBorders>
            <w:shd w:val="clear" w:color="auto" w:fill="B8CCE4" w:themeFill="accent1" w:themeFillTint="66"/>
            <w:vAlign w:val="center"/>
          </w:tcPr>
          <w:p w14:paraId="45DEF7A2"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4</w:t>
            </w:r>
            <w:r>
              <w:rPr>
                <w:rFonts w:eastAsia="Times New Roman" w:cs="Arial"/>
                <w:b/>
                <w:lang w:eastAsia="en-AU"/>
              </w:rPr>
              <w:t>,</w:t>
            </w:r>
            <w:r w:rsidRPr="00676396">
              <w:rPr>
                <w:rFonts w:eastAsia="Times New Roman" w:cs="Arial"/>
                <w:b/>
                <w:lang w:eastAsia="en-AU"/>
              </w:rPr>
              <w:t>584</w:t>
            </w:r>
          </w:p>
        </w:tc>
        <w:tc>
          <w:tcPr>
            <w:tcW w:w="1470" w:type="dxa"/>
            <w:tcBorders>
              <w:right w:val="nil"/>
            </w:tcBorders>
            <w:shd w:val="clear" w:color="auto" w:fill="B8CCE4" w:themeFill="accent1" w:themeFillTint="66"/>
            <w:noWrap/>
            <w:vAlign w:val="center"/>
          </w:tcPr>
          <w:p w14:paraId="15CEDB05"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14</w:t>
            </w:r>
            <w:r>
              <w:rPr>
                <w:rFonts w:eastAsia="Times New Roman" w:cs="Arial"/>
                <w:b/>
                <w:lang w:eastAsia="en-AU"/>
              </w:rPr>
              <w:t>,</w:t>
            </w:r>
            <w:r w:rsidRPr="00676396">
              <w:rPr>
                <w:rFonts w:eastAsia="Times New Roman" w:cs="Arial"/>
                <w:b/>
                <w:lang w:eastAsia="en-AU"/>
              </w:rPr>
              <w:t>919</w:t>
            </w:r>
          </w:p>
        </w:tc>
        <w:tc>
          <w:tcPr>
            <w:tcW w:w="1471" w:type="dxa"/>
            <w:tcBorders>
              <w:left w:val="nil"/>
            </w:tcBorders>
            <w:shd w:val="clear" w:color="auto" w:fill="B8CCE4" w:themeFill="accent1" w:themeFillTint="66"/>
            <w:vAlign w:val="center"/>
          </w:tcPr>
          <w:p w14:paraId="3BB50823"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13</w:t>
            </w:r>
            <w:r>
              <w:rPr>
                <w:rFonts w:eastAsia="Times New Roman" w:cs="Arial"/>
                <w:b/>
                <w:lang w:eastAsia="en-AU"/>
              </w:rPr>
              <w:t>,</w:t>
            </w:r>
            <w:r w:rsidRPr="00676396">
              <w:rPr>
                <w:rFonts w:eastAsia="Times New Roman" w:cs="Arial"/>
                <w:b/>
                <w:lang w:eastAsia="en-AU"/>
              </w:rPr>
              <w:t>604</w:t>
            </w:r>
          </w:p>
        </w:tc>
        <w:tc>
          <w:tcPr>
            <w:tcW w:w="1471" w:type="dxa"/>
            <w:tcBorders>
              <w:right w:val="nil"/>
            </w:tcBorders>
            <w:shd w:val="clear" w:color="auto" w:fill="B8CCE4" w:themeFill="accent1" w:themeFillTint="66"/>
            <w:noWrap/>
            <w:vAlign w:val="center"/>
          </w:tcPr>
          <w:p w14:paraId="2B05FED5"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7</w:t>
            </w:r>
            <w:r>
              <w:rPr>
                <w:rFonts w:eastAsia="Times New Roman" w:cs="Arial"/>
                <w:b/>
                <w:lang w:eastAsia="en-AU"/>
              </w:rPr>
              <w:t>,</w:t>
            </w:r>
            <w:r w:rsidRPr="00676396">
              <w:rPr>
                <w:rFonts w:eastAsia="Times New Roman" w:cs="Arial"/>
                <w:b/>
                <w:lang w:eastAsia="en-AU"/>
              </w:rPr>
              <w:t>347</w:t>
            </w:r>
          </w:p>
        </w:tc>
        <w:tc>
          <w:tcPr>
            <w:tcW w:w="1471" w:type="dxa"/>
            <w:tcBorders>
              <w:left w:val="nil"/>
            </w:tcBorders>
            <w:shd w:val="clear" w:color="auto" w:fill="B8CCE4" w:themeFill="accent1" w:themeFillTint="66"/>
            <w:vAlign w:val="center"/>
          </w:tcPr>
          <w:p w14:paraId="200DFC3C"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775</w:t>
            </w:r>
          </w:p>
        </w:tc>
      </w:tr>
    </w:tbl>
    <w:p w14:paraId="2EE8F9B6" w14:textId="26122411" w:rsidR="005039C2" w:rsidRDefault="000E7292" w:rsidP="00B15586">
      <w:pPr>
        <w:tabs>
          <w:tab w:val="left" w:pos="5285"/>
        </w:tabs>
      </w:pPr>
      <w:r>
        <w:tab/>
      </w:r>
    </w:p>
    <w:p w14:paraId="3AC08B24" w14:textId="77777777" w:rsidR="00A269A5" w:rsidRDefault="00A269A5" w:rsidP="0095311F">
      <w:pPr>
        <w:pStyle w:val="Figureheading"/>
      </w:pPr>
      <w:r>
        <w:t>3.3</w:t>
      </w:r>
      <w:r w:rsidR="007B717D">
        <w:t>2</w:t>
      </w:r>
      <w:r>
        <w:tab/>
      </w:r>
      <w:r w:rsidR="005039C2" w:rsidRPr="00D74CC3">
        <w:t xml:space="preserve">Number of reports </w:t>
      </w:r>
      <w:r>
        <w:t xml:space="preserve">for 2012, </w:t>
      </w:r>
      <w:r w:rsidR="005039C2" w:rsidRPr="00D74CC3">
        <w:t>by outcome of report, by number of distinct children</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176"/>
        <w:gridCol w:w="1177"/>
        <w:gridCol w:w="1176"/>
        <w:gridCol w:w="1177"/>
        <w:gridCol w:w="1177"/>
        <w:gridCol w:w="1176"/>
        <w:gridCol w:w="1177"/>
        <w:gridCol w:w="1176"/>
        <w:gridCol w:w="1177"/>
        <w:gridCol w:w="1177"/>
      </w:tblGrid>
      <w:tr w:rsidR="005039C2" w:rsidRPr="00F44E7A" w14:paraId="6BA0FBDF" w14:textId="77777777" w:rsidTr="00137AE1">
        <w:trPr>
          <w:trHeight w:val="329"/>
          <w:tblHeader/>
        </w:trPr>
        <w:tc>
          <w:tcPr>
            <w:tcW w:w="2660" w:type="dxa"/>
            <w:shd w:val="clear" w:color="auto" w:fill="B8CCE4" w:themeFill="accent1" w:themeFillTint="66"/>
            <w:noWrap/>
            <w:hideMark/>
          </w:tcPr>
          <w:p w14:paraId="07A6BD9F" w14:textId="77777777" w:rsidR="005039C2" w:rsidRPr="00F44E7A" w:rsidRDefault="005039C2" w:rsidP="00CE2FDF">
            <w:pPr>
              <w:keepNext/>
              <w:spacing w:before="0" w:line="276" w:lineRule="auto"/>
              <w:jc w:val="center"/>
              <w:rPr>
                <w:rFonts w:eastAsia="Times New Roman" w:cs="Arial"/>
                <w:b/>
                <w:lang w:eastAsia="en-AU"/>
              </w:rPr>
            </w:pPr>
          </w:p>
        </w:tc>
        <w:tc>
          <w:tcPr>
            <w:tcW w:w="2353" w:type="dxa"/>
            <w:gridSpan w:val="2"/>
            <w:shd w:val="clear" w:color="auto" w:fill="B8CCE4" w:themeFill="accent1" w:themeFillTint="66"/>
            <w:noWrap/>
            <w:hideMark/>
          </w:tcPr>
          <w:p w14:paraId="22C53290" w14:textId="77777777" w:rsidR="005039C2" w:rsidRPr="00F44E7A" w:rsidRDefault="005039C2" w:rsidP="00CE2FDF">
            <w:pPr>
              <w:keepNext/>
              <w:spacing w:before="0" w:line="276" w:lineRule="auto"/>
              <w:jc w:val="center"/>
              <w:rPr>
                <w:rFonts w:eastAsia="Times New Roman" w:cs="Arial"/>
                <w:b/>
                <w:lang w:eastAsia="en-AU"/>
              </w:rPr>
            </w:pPr>
            <w:r w:rsidRPr="00F44E7A">
              <w:rPr>
                <w:rFonts w:eastAsia="Times New Roman" w:cs="Arial"/>
                <w:b/>
                <w:lang w:eastAsia="en-AU"/>
              </w:rPr>
              <w:t>Not investigated</w:t>
            </w:r>
          </w:p>
        </w:tc>
        <w:tc>
          <w:tcPr>
            <w:tcW w:w="2353" w:type="dxa"/>
            <w:gridSpan w:val="2"/>
            <w:shd w:val="clear" w:color="auto" w:fill="B8CCE4" w:themeFill="accent1" w:themeFillTint="66"/>
            <w:noWrap/>
            <w:hideMark/>
          </w:tcPr>
          <w:p w14:paraId="023181D4" w14:textId="77777777" w:rsidR="005039C2" w:rsidRPr="00F44E7A" w:rsidRDefault="005039C2" w:rsidP="00CE2FDF">
            <w:pPr>
              <w:keepNext/>
              <w:spacing w:before="0" w:line="276" w:lineRule="auto"/>
              <w:jc w:val="center"/>
              <w:rPr>
                <w:rFonts w:eastAsia="Times New Roman" w:cs="Arial"/>
                <w:b/>
                <w:lang w:eastAsia="en-AU"/>
              </w:rPr>
            </w:pPr>
            <w:r w:rsidRPr="00F44E7A">
              <w:rPr>
                <w:rFonts w:eastAsia="Times New Roman" w:cs="Arial"/>
                <w:b/>
                <w:lang w:eastAsia="en-AU"/>
              </w:rPr>
              <w:t>Investigated</w:t>
            </w:r>
          </w:p>
        </w:tc>
        <w:tc>
          <w:tcPr>
            <w:tcW w:w="2353" w:type="dxa"/>
            <w:gridSpan w:val="2"/>
            <w:shd w:val="clear" w:color="auto" w:fill="B8CCE4" w:themeFill="accent1" w:themeFillTint="66"/>
            <w:noWrap/>
            <w:hideMark/>
          </w:tcPr>
          <w:p w14:paraId="404E4861" w14:textId="77777777" w:rsidR="005039C2" w:rsidRPr="00F44E7A" w:rsidRDefault="005039C2" w:rsidP="00CE2FDF">
            <w:pPr>
              <w:keepNext/>
              <w:spacing w:before="0" w:line="276" w:lineRule="auto"/>
              <w:jc w:val="center"/>
              <w:rPr>
                <w:rFonts w:eastAsia="Times New Roman" w:cs="Arial"/>
                <w:b/>
                <w:lang w:eastAsia="en-AU"/>
              </w:rPr>
            </w:pPr>
            <w:r w:rsidRPr="00F44E7A">
              <w:rPr>
                <w:rFonts w:eastAsia="Times New Roman" w:cs="Arial"/>
                <w:b/>
                <w:lang w:eastAsia="en-AU"/>
              </w:rPr>
              <w:t>Substantiated</w:t>
            </w:r>
          </w:p>
        </w:tc>
        <w:tc>
          <w:tcPr>
            <w:tcW w:w="2353" w:type="dxa"/>
            <w:gridSpan w:val="2"/>
            <w:shd w:val="clear" w:color="auto" w:fill="B8CCE4" w:themeFill="accent1" w:themeFillTint="66"/>
            <w:noWrap/>
            <w:hideMark/>
          </w:tcPr>
          <w:p w14:paraId="163B8B15" w14:textId="77777777" w:rsidR="005039C2" w:rsidRPr="00F44E7A" w:rsidRDefault="005039C2" w:rsidP="00CE2FDF">
            <w:pPr>
              <w:keepNext/>
              <w:spacing w:before="0" w:line="276" w:lineRule="auto"/>
              <w:jc w:val="center"/>
              <w:rPr>
                <w:rFonts w:eastAsia="Times New Roman" w:cs="Arial"/>
                <w:b/>
                <w:lang w:eastAsia="en-AU"/>
              </w:rPr>
            </w:pPr>
            <w:r w:rsidRPr="00F44E7A">
              <w:rPr>
                <w:rFonts w:eastAsia="Times New Roman" w:cs="Arial"/>
                <w:b/>
                <w:lang w:eastAsia="en-AU"/>
              </w:rPr>
              <w:t>Not substantiated</w:t>
            </w:r>
          </w:p>
        </w:tc>
        <w:tc>
          <w:tcPr>
            <w:tcW w:w="2354" w:type="dxa"/>
            <w:gridSpan w:val="2"/>
            <w:shd w:val="clear" w:color="auto" w:fill="B8CCE4" w:themeFill="accent1" w:themeFillTint="66"/>
            <w:noWrap/>
            <w:hideMark/>
          </w:tcPr>
          <w:p w14:paraId="055366F2" w14:textId="77777777" w:rsidR="005039C2" w:rsidRPr="00F44E7A" w:rsidRDefault="005039C2" w:rsidP="00CE2FDF">
            <w:pPr>
              <w:keepNext/>
              <w:spacing w:before="0" w:line="276" w:lineRule="auto"/>
              <w:jc w:val="center"/>
              <w:rPr>
                <w:rFonts w:eastAsia="Times New Roman" w:cs="Arial"/>
                <w:b/>
                <w:lang w:eastAsia="en-AU"/>
              </w:rPr>
            </w:pPr>
            <w:r>
              <w:rPr>
                <w:rFonts w:eastAsia="Times New Roman" w:cs="Arial"/>
                <w:b/>
                <w:lang w:eastAsia="en-AU"/>
              </w:rPr>
              <w:t>Totals</w:t>
            </w:r>
          </w:p>
        </w:tc>
      </w:tr>
      <w:tr w:rsidR="005039C2" w:rsidRPr="00F44E7A" w14:paraId="40E30916" w14:textId="77777777" w:rsidTr="00137AE1">
        <w:trPr>
          <w:trHeight w:val="264"/>
          <w:tblHeader/>
        </w:trPr>
        <w:tc>
          <w:tcPr>
            <w:tcW w:w="2660" w:type="dxa"/>
            <w:shd w:val="clear" w:color="auto" w:fill="B8CCE4" w:themeFill="accent1" w:themeFillTint="66"/>
            <w:noWrap/>
            <w:hideMark/>
          </w:tcPr>
          <w:p w14:paraId="19EB8F6D" w14:textId="77777777" w:rsidR="005039C2" w:rsidRPr="00F44E7A" w:rsidRDefault="005039C2" w:rsidP="00CE2FDF">
            <w:pPr>
              <w:keepNext/>
              <w:spacing w:before="0" w:line="276" w:lineRule="auto"/>
              <w:rPr>
                <w:rFonts w:eastAsia="Times New Roman" w:cs="Arial"/>
                <w:b/>
                <w:lang w:eastAsia="en-AU"/>
              </w:rPr>
            </w:pPr>
          </w:p>
        </w:tc>
        <w:tc>
          <w:tcPr>
            <w:tcW w:w="1176" w:type="dxa"/>
            <w:tcBorders>
              <w:right w:val="nil"/>
            </w:tcBorders>
            <w:shd w:val="clear" w:color="auto" w:fill="B8CCE4" w:themeFill="accent1" w:themeFillTint="66"/>
            <w:noWrap/>
            <w:vAlign w:val="center"/>
            <w:hideMark/>
          </w:tcPr>
          <w:p w14:paraId="7CEA1459" w14:textId="77777777" w:rsidR="005039C2" w:rsidRPr="00F44E7A" w:rsidRDefault="005039C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3B1B8CAC" w14:textId="77777777" w:rsidR="005039C2" w:rsidRPr="00F44E7A" w:rsidRDefault="005039C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6" w:type="dxa"/>
            <w:tcBorders>
              <w:right w:val="nil"/>
            </w:tcBorders>
            <w:shd w:val="clear" w:color="auto" w:fill="B8CCE4" w:themeFill="accent1" w:themeFillTint="66"/>
            <w:noWrap/>
            <w:vAlign w:val="center"/>
            <w:hideMark/>
          </w:tcPr>
          <w:p w14:paraId="2AF08385" w14:textId="77777777" w:rsidR="005039C2" w:rsidRPr="00F44E7A" w:rsidRDefault="005039C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67F24168" w14:textId="77777777" w:rsidR="005039C2" w:rsidRPr="00F44E7A" w:rsidRDefault="005039C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53C4268B" w14:textId="77777777" w:rsidR="005039C2" w:rsidRPr="00F44E7A" w:rsidRDefault="005039C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270794B0" w14:textId="77777777" w:rsidR="005039C2" w:rsidRPr="00F44E7A" w:rsidRDefault="005039C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68DFF6E2" w14:textId="77777777" w:rsidR="005039C2" w:rsidRPr="00F44E7A" w:rsidRDefault="005039C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6" w:type="dxa"/>
            <w:tcBorders>
              <w:left w:val="nil"/>
            </w:tcBorders>
            <w:shd w:val="clear" w:color="auto" w:fill="B8CCE4" w:themeFill="accent1" w:themeFillTint="66"/>
            <w:vAlign w:val="center"/>
          </w:tcPr>
          <w:p w14:paraId="730F18DC" w14:textId="77777777" w:rsidR="005039C2" w:rsidRPr="00F44E7A" w:rsidRDefault="005039C2" w:rsidP="00CE2FDF">
            <w:pPr>
              <w:keepNext/>
              <w:spacing w:before="0" w:line="276" w:lineRule="auto"/>
              <w:jc w:val="right"/>
              <w:rPr>
                <w:rFonts w:eastAsia="Times New Roman" w:cs="Arial"/>
                <w:b/>
                <w:lang w:eastAsia="en-AU"/>
              </w:rPr>
            </w:pPr>
            <w:r>
              <w:rPr>
                <w:rFonts w:eastAsia="Times New Roman" w:cs="Arial"/>
                <w:b/>
                <w:lang w:eastAsia="en-AU"/>
              </w:rPr>
              <w:t>Children</w:t>
            </w:r>
          </w:p>
        </w:tc>
        <w:tc>
          <w:tcPr>
            <w:tcW w:w="1177" w:type="dxa"/>
            <w:tcBorders>
              <w:right w:val="nil"/>
            </w:tcBorders>
            <w:shd w:val="clear" w:color="auto" w:fill="B8CCE4" w:themeFill="accent1" w:themeFillTint="66"/>
            <w:noWrap/>
            <w:vAlign w:val="center"/>
            <w:hideMark/>
          </w:tcPr>
          <w:p w14:paraId="2539AB2E" w14:textId="77777777" w:rsidR="005039C2" w:rsidRPr="00F44E7A" w:rsidRDefault="005039C2" w:rsidP="00CE2FDF">
            <w:pPr>
              <w:keepNext/>
              <w:spacing w:before="0" w:line="276" w:lineRule="auto"/>
              <w:jc w:val="right"/>
              <w:rPr>
                <w:rFonts w:eastAsia="Times New Roman" w:cs="Arial"/>
                <w:b/>
                <w:lang w:eastAsia="en-AU"/>
              </w:rPr>
            </w:pPr>
            <w:r w:rsidRPr="00F44E7A">
              <w:rPr>
                <w:rFonts w:eastAsia="Times New Roman" w:cs="Arial"/>
                <w:b/>
                <w:lang w:eastAsia="en-AU"/>
              </w:rPr>
              <w:t>Reports</w:t>
            </w:r>
          </w:p>
        </w:tc>
        <w:tc>
          <w:tcPr>
            <w:tcW w:w="1177" w:type="dxa"/>
            <w:tcBorders>
              <w:left w:val="nil"/>
            </w:tcBorders>
            <w:shd w:val="clear" w:color="auto" w:fill="B8CCE4" w:themeFill="accent1" w:themeFillTint="66"/>
            <w:vAlign w:val="center"/>
          </w:tcPr>
          <w:p w14:paraId="3068D5E9" w14:textId="77777777" w:rsidR="005039C2" w:rsidRPr="00F44E7A" w:rsidRDefault="005039C2" w:rsidP="00CE2FDF">
            <w:pPr>
              <w:keepNext/>
              <w:spacing w:before="0" w:line="276" w:lineRule="auto"/>
              <w:jc w:val="right"/>
              <w:rPr>
                <w:rFonts w:eastAsia="Times New Roman" w:cs="Arial"/>
                <w:b/>
                <w:lang w:eastAsia="en-AU"/>
              </w:rPr>
            </w:pPr>
            <w:r>
              <w:rPr>
                <w:rFonts w:eastAsia="Times New Roman" w:cs="Arial"/>
                <w:b/>
                <w:lang w:eastAsia="en-AU"/>
              </w:rPr>
              <w:t>Children</w:t>
            </w:r>
          </w:p>
        </w:tc>
      </w:tr>
      <w:tr w:rsidR="005039C2" w:rsidRPr="003324F1" w14:paraId="1F0E9E12" w14:textId="77777777" w:rsidTr="00F2448E">
        <w:trPr>
          <w:trHeight w:val="276"/>
        </w:trPr>
        <w:tc>
          <w:tcPr>
            <w:tcW w:w="2660" w:type="dxa"/>
            <w:noWrap/>
            <w:hideMark/>
          </w:tcPr>
          <w:p w14:paraId="60E068BB" w14:textId="77777777" w:rsidR="005039C2" w:rsidRPr="00F44E7A" w:rsidRDefault="005039C2" w:rsidP="00CE2FDF">
            <w:pPr>
              <w:keepNext/>
              <w:spacing w:before="0" w:line="276" w:lineRule="auto"/>
              <w:rPr>
                <w:rFonts w:eastAsia="Times New Roman" w:cs="Arial"/>
                <w:b/>
                <w:lang w:eastAsia="en-AU"/>
              </w:rPr>
            </w:pPr>
            <w:r w:rsidRPr="00F44E7A">
              <w:rPr>
                <w:rFonts w:eastAsia="Times New Roman" w:cs="Arial"/>
                <w:b/>
                <w:lang w:eastAsia="en-AU"/>
              </w:rPr>
              <w:t>Doctors</w:t>
            </w:r>
          </w:p>
        </w:tc>
        <w:tc>
          <w:tcPr>
            <w:tcW w:w="1176" w:type="dxa"/>
            <w:tcBorders>
              <w:right w:val="nil"/>
            </w:tcBorders>
            <w:noWrap/>
            <w:vAlign w:val="center"/>
          </w:tcPr>
          <w:p w14:paraId="1C1EC2A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793</w:t>
            </w:r>
          </w:p>
        </w:tc>
        <w:tc>
          <w:tcPr>
            <w:tcW w:w="1177" w:type="dxa"/>
            <w:tcBorders>
              <w:left w:val="nil"/>
            </w:tcBorders>
            <w:vAlign w:val="center"/>
          </w:tcPr>
          <w:p w14:paraId="631F1A2C"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789</w:t>
            </w:r>
          </w:p>
        </w:tc>
        <w:tc>
          <w:tcPr>
            <w:tcW w:w="1176" w:type="dxa"/>
            <w:tcBorders>
              <w:right w:val="nil"/>
            </w:tcBorders>
            <w:noWrap/>
            <w:vAlign w:val="center"/>
          </w:tcPr>
          <w:p w14:paraId="3B3BF415"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463</w:t>
            </w:r>
          </w:p>
        </w:tc>
        <w:tc>
          <w:tcPr>
            <w:tcW w:w="1177" w:type="dxa"/>
            <w:tcBorders>
              <w:left w:val="nil"/>
            </w:tcBorders>
            <w:vAlign w:val="center"/>
          </w:tcPr>
          <w:p w14:paraId="060FAB44"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463</w:t>
            </w:r>
          </w:p>
        </w:tc>
        <w:tc>
          <w:tcPr>
            <w:tcW w:w="1177" w:type="dxa"/>
            <w:tcBorders>
              <w:right w:val="nil"/>
            </w:tcBorders>
            <w:noWrap/>
            <w:vAlign w:val="center"/>
          </w:tcPr>
          <w:p w14:paraId="2229F6D1"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297</w:t>
            </w:r>
          </w:p>
        </w:tc>
        <w:tc>
          <w:tcPr>
            <w:tcW w:w="1176" w:type="dxa"/>
            <w:tcBorders>
              <w:left w:val="nil"/>
            </w:tcBorders>
            <w:vAlign w:val="center"/>
          </w:tcPr>
          <w:p w14:paraId="3EEE82B9"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297</w:t>
            </w:r>
          </w:p>
        </w:tc>
        <w:tc>
          <w:tcPr>
            <w:tcW w:w="1177" w:type="dxa"/>
            <w:tcBorders>
              <w:right w:val="nil"/>
            </w:tcBorders>
            <w:noWrap/>
            <w:vAlign w:val="center"/>
          </w:tcPr>
          <w:p w14:paraId="5F19C208"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166</w:t>
            </w:r>
          </w:p>
        </w:tc>
        <w:tc>
          <w:tcPr>
            <w:tcW w:w="1176" w:type="dxa"/>
            <w:tcBorders>
              <w:left w:val="nil"/>
            </w:tcBorders>
            <w:vAlign w:val="center"/>
          </w:tcPr>
          <w:p w14:paraId="7A358A0A"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166</w:t>
            </w:r>
          </w:p>
        </w:tc>
        <w:tc>
          <w:tcPr>
            <w:tcW w:w="1177" w:type="dxa"/>
            <w:tcBorders>
              <w:right w:val="nil"/>
            </w:tcBorders>
            <w:noWrap/>
            <w:vAlign w:val="center"/>
          </w:tcPr>
          <w:p w14:paraId="72FD995E"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256</w:t>
            </w:r>
          </w:p>
        </w:tc>
        <w:tc>
          <w:tcPr>
            <w:tcW w:w="1177" w:type="dxa"/>
            <w:tcBorders>
              <w:left w:val="nil"/>
            </w:tcBorders>
            <w:vAlign w:val="center"/>
          </w:tcPr>
          <w:p w14:paraId="05F18F2E"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w:t>
            </w:r>
            <w:r>
              <w:rPr>
                <w:rFonts w:eastAsia="Times New Roman" w:cs="Arial"/>
                <w:b/>
                <w:lang w:eastAsia="en-AU"/>
              </w:rPr>
              <w:t>,</w:t>
            </w:r>
            <w:r w:rsidRPr="00676396">
              <w:rPr>
                <w:rFonts w:eastAsia="Times New Roman" w:cs="Arial"/>
                <w:b/>
                <w:lang w:eastAsia="en-AU"/>
              </w:rPr>
              <w:t>244</w:t>
            </w:r>
          </w:p>
        </w:tc>
      </w:tr>
      <w:tr w:rsidR="005039C2" w:rsidRPr="003324F1" w14:paraId="2B8445FD" w14:textId="77777777" w:rsidTr="00F2448E">
        <w:trPr>
          <w:trHeight w:val="276"/>
        </w:trPr>
        <w:tc>
          <w:tcPr>
            <w:tcW w:w="2660" w:type="dxa"/>
            <w:shd w:val="clear" w:color="auto" w:fill="DBE5F1" w:themeFill="accent1" w:themeFillTint="33"/>
            <w:noWrap/>
            <w:hideMark/>
          </w:tcPr>
          <w:p w14:paraId="0ED2E186" w14:textId="77777777" w:rsidR="005039C2" w:rsidRPr="00F44E7A" w:rsidRDefault="005039C2" w:rsidP="00CE2FDF">
            <w:pPr>
              <w:keepNext/>
              <w:spacing w:before="0" w:line="276" w:lineRule="auto"/>
              <w:rPr>
                <w:rFonts w:eastAsia="Times New Roman" w:cs="Arial"/>
                <w:b/>
                <w:lang w:eastAsia="en-AU"/>
              </w:rPr>
            </w:pPr>
            <w:r w:rsidRPr="00F44E7A">
              <w:rPr>
                <w:rFonts w:eastAsia="Times New Roman" w:cs="Arial"/>
                <w:b/>
                <w:lang w:eastAsia="en-AU"/>
              </w:rPr>
              <w:t>Nurses</w:t>
            </w:r>
          </w:p>
        </w:tc>
        <w:tc>
          <w:tcPr>
            <w:tcW w:w="1176" w:type="dxa"/>
            <w:tcBorders>
              <w:right w:val="nil"/>
            </w:tcBorders>
            <w:shd w:val="clear" w:color="auto" w:fill="DBE5F1" w:themeFill="accent1" w:themeFillTint="33"/>
            <w:noWrap/>
            <w:vAlign w:val="center"/>
          </w:tcPr>
          <w:p w14:paraId="4B228202"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372</w:t>
            </w:r>
          </w:p>
        </w:tc>
        <w:tc>
          <w:tcPr>
            <w:tcW w:w="1177" w:type="dxa"/>
            <w:tcBorders>
              <w:left w:val="nil"/>
            </w:tcBorders>
            <w:shd w:val="clear" w:color="auto" w:fill="DBE5F1" w:themeFill="accent1" w:themeFillTint="33"/>
            <w:vAlign w:val="center"/>
          </w:tcPr>
          <w:p w14:paraId="05E266A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321</w:t>
            </w:r>
          </w:p>
        </w:tc>
        <w:tc>
          <w:tcPr>
            <w:tcW w:w="1176" w:type="dxa"/>
            <w:tcBorders>
              <w:right w:val="nil"/>
            </w:tcBorders>
            <w:shd w:val="clear" w:color="auto" w:fill="DBE5F1" w:themeFill="accent1" w:themeFillTint="33"/>
            <w:noWrap/>
            <w:vAlign w:val="center"/>
          </w:tcPr>
          <w:p w14:paraId="598841DF"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733</w:t>
            </w:r>
          </w:p>
        </w:tc>
        <w:tc>
          <w:tcPr>
            <w:tcW w:w="1177" w:type="dxa"/>
            <w:tcBorders>
              <w:left w:val="nil"/>
            </w:tcBorders>
            <w:shd w:val="clear" w:color="auto" w:fill="DBE5F1" w:themeFill="accent1" w:themeFillTint="33"/>
            <w:vAlign w:val="center"/>
          </w:tcPr>
          <w:p w14:paraId="5B53ECD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727</w:t>
            </w:r>
          </w:p>
        </w:tc>
        <w:tc>
          <w:tcPr>
            <w:tcW w:w="1177" w:type="dxa"/>
            <w:tcBorders>
              <w:right w:val="nil"/>
            </w:tcBorders>
            <w:shd w:val="clear" w:color="auto" w:fill="DBE5F1" w:themeFill="accent1" w:themeFillTint="33"/>
            <w:noWrap/>
            <w:vAlign w:val="center"/>
          </w:tcPr>
          <w:p w14:paraId="3DB2C6DB"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470</w:t>
            </w:r>
          </w:p>
        </w:tc>
        <w:tc>
          <w:tcPr>
            <w:tcW w:w="1176" w:type="dxa"/>
            <w:tcBorders>
              <w:left w:val="nil"/>
            </w:tcBorders>
            <w:shd w:val="clear" w:color="auto" w:fill="DBE5F1" w:themeFill="accent1" w:themeFillTint="33"/>
            <w:vAlign w:val="center"/>
          </w:tcPr>
          <w:p w14:paraId="0E83A0F8"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470</w:t>
            </w:r>
          </w:p>
        </w:tc>
        <w:tc>
          <w:tcPr>
            <w:tcW w:w="1177" w:type="dxa"/>
            <w:tcBorders>
              <w:right w:val="nil"/>
            </w:tcBorders>
            <w:shd w:val="clear" w:color="auto" w:fill="DBE5F1" w:themeFill="accent1" w:themeFillTint="33"/>
            <w:noWrap/>
            <w:vAlign w:val="center"/>
          </w:tcPr>
          <w:p w14:paraId="6AC302AA"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263</w:t>
            </w:r>
          </w:p>
        </w:tc>
        <w:tc>
          <w:tcPr>
            <w:tcW w:w="1176" w:type="dxa"/>
            <w:tcBorders>
              <w:left w:val="nil"/>
            </w:tcBorders>
            <w:shd w:val="clear" w:color="auto" w:fill="DBE5F1" w:themeFill="accent1" w:themeFillTint="33"/>
            <w:vAlign w:val="center"/>
          </w:tcPr>
          <w:p w14:paraId="564A12EA"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260</w:t>
            </w:r>
          </w:p>
        </w:tc>
        <w:tc>
          <w:tcPr>
            <w:tcW w:w="1177" w:type="dxa"/>
            <w:tcBorders>
              <w:right w:val="nil"/>
            </w:tcBorders>
            <w:shd w:val="clear" w:color="auto" w:fill="DBE5F1" w:themeFill="accent1" w:themeFillTint="33"/>
            <w:noWrap/>
            <w:vAlign w:val="center"/>
          </w:tcPr>
          <w:p w14:paraId="72C48F12"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2</w:t>
            </w:r>
            <w:r>
              <w:rPr>
                <w:rFonts w:eastAsia="Times New Roman" w:cs="Arial"/>
                <w:b/>
                <w:lang w:eastAsia="en-AU"/>
              </w:rPr>
              <w:t>,</w:t>
            </w:r>
            <w:r w:rsidRPr="00676396">
              <w:rPr>
                <w:rFonts w:eastAsia="Times New Roman" w:cs="Arial"/>
                <w:b/>
                <w:lang w:eastAsia="en-AU"/>
              </w:rPr>
              <w:t>105</w:t>
            </w:r>
          </w:p>
        </w:tc>
        <w:tc>
          <w:tcPr>
            <w:tcW w:w="1177" w:type="dxa"/>
            <w:tcBorders>
              <w:left w:val="nil"/>
            </w:tcBorders>
            <w:shd w:val="clear" w:color="auto" w:fill="DBE5F1" w:themeFill="accent1" w:themeFillTint="33"/>
            <w:vAlign w:val="center"/>
          </w:tcPr>
          <w:p w14:paraId="79B18D3D"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2</w:t>
            </w:r>
            <w:r>
              <w:rPr>
                <w:rFonts w:eastAsia="Times New Roman" w:cs="Arial"/>
                <w:b/>
                <w:lang w:eastAsia="en-AU"/>
              </w:rPr>
              <w:t>,</w:t>
            </w:r>
            <w:r w:rsidRPr="00676396">
              <w:rPr>
                <w:rFonts w:eastAsia="Times New Roman" w:cs="Arial"/>
                <w:b/>
                <w:lang w:eastAsia="en-AU"/>
              </w:rPr>
              <w:t>039</w:t>
            </w:r>
          </w:p>
        </w:tc>
      </w:tr>
      <w:tr w:rsidR="005039C2" w:rsidRPr="003324F1" w14:paraId="3D743FB2" w14:textId="77777777" w:rsidTr="00F2448E">
        <w:trPr>
          <w:trHeight w:val="276"/>
        </w:trPr>
        <w:tc>
          <w:tcPr>
            <w:tcW w:w="2660" w:type="dxa"/>
            <w:noWrap/>
            <w:hideMark/>
          </w:tcPr>
          <w:p w14:paraId="0C7DB2E3" w14:textId="77777777" w:rsidR="005039C2" w:rsidRPr="00F44E7A" w:rsidRDefault="005039C2" w:rsidP="00CE2FDF">
            <w:pPr>
              <w:spacing w:before="0" w:line="276" w:lineRule="auto"/>
              <w:rPr>
                <w:rFonts w:eastAsia="Times New Roman" w:cs="Arial"/>
                <w:b/>
                <w:lang w:eastAsia="en-AU"/>
              </w:rPr>
            </w:pPr>
            <w:r w:rsidRPr="00F44E7A">
              <w:rPr>
                <w:rFonts w:eastAsia="Times New Roman" w:cs="Arial"/>
                <w:b/>
                <w:lang w:eastAsia="en-AU"/>
              </w:rPr>
              <w:t>Police</w:t>
            </w:r>
          </w:p>
        </w:tc>
        <w:tc>
          <w:tcPr>
            <w:tcW w:w="1176" w:type="dxa"/>
            <w:tcBorders>
              <w:right w:val="nil"/>
            </w:tcBorders>
            <w:noWrap/>
            <w:vAlign w:val="center"/>
          </w:tcPr>
          <w:p w14:paraId="4D4455E0"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15</w:t>
            </w:r>
            <w:r>
              <w:rPr>
                <w:rFonts w:eastAsia="Times New Roman" w:cs="Arial"/>
                <w:lang w:eastAsia="en-AU"/>
              </w:rPr>
              <w:t>,</w:t>
            </w:r>
            <w:r w:rsidRPr="00676396">
              <w:rPr>
                <w:rFonts w:eastAsia="Times New Roman" w:cs="Arial"/>
                <w:lang w:eastAsia="en-AU"/>
              </w:rPr>
              <w:t>900</w:t>
            </w:r>
          </w:p>
        </w:tc>
        <w:tc>
          <w:tcPr>
            <w:tcW w:w="1177" w:type="dxa"/>
            <w:tcBorders>
              <w:left w:val="nil"/>
            </w:tcBorders>
            <w:vAlign w:val="center"/>
          </w:tcPr>
          <w:p w14:paraId="519F610B"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14</w:t>
            </w:r>
            <w:r>
              <w:rPr>
                <w:rFonts w:eastAsia="Times New Roman" w:cs="Arial"/>
                <w:lang w:eastAsia="en-AU"/>
              </w:rPr>
              <w:t>,</w:t>
            </w:r>
            <w:r w:rsidRPr="00676396">
              <w:rPr>
                <w:rFonts w:eastAsia="Times New Roman" w:cs="Arial"/>
                <w:lang w:eastAsia="en-AU"/>
              </w:rPr>
              <w:t>220</w:t>
            </w:r>
          </w:p>
        </w:tc>
        <w:tc>
          <w:tcPr>
            <w:tcW w:w="1176" w:type="dxa"/>
            <w:tcBorders>
              <w:right w:val="nil"/>
            </w:tcBorders>
            <w:noWrap/>
            <w:vAlign w:val="center"/>
          </w:tcPr>
          <w:p w14:paraId="6A5AC7B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092</w:t>
            </w:r>
          </w:p>
        </w:tc>
        <w:tc>
          <w:tcPr>
            <w:tcW w:w="1177" w:type="dxa"/>
            <w:tcBorders>
              <w:left w:val="nil"/>
            </w:tcBorders>
            <w:vAlign w:val="center"/>
          </w:tcPr>
          <w:p w14:paraId="37ABFCAA"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959</w:t>
            </w:r>
          </w:p>
        </w:tc>
        <w:tc>
          <w:tcPr>
            <w:tcW w:w="1177" w:type="dxa"/>
            <w:tcBorders>
              <w:right w:val="nil"/>
            </w:tcBorders>
            <w:noWrap/>
            <w:vAlign w:val="center"/>
          </w:tcPr>
          <w:p w14:paraId="5C08C90B"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231</w:t>
            </w:r>
          </w:p>
        </w:tc>
        <w:tc>
          <w:tcPr>
            <w:tcW w:w="1176" w:type="dxa"/>
            <w:tcBorders>
              <w:left w:val="nil"/>
            </w:tcBorders>
            <w:vAlign w:val="center"/>
          </w:tcPr>
          <w:p w14:paraId="5815892E"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159</w:t>
            </w:r>
          </w:p>
        </w:tc>
        <w:tc>
          <w:tcPr>
            <w:tcW w:w="1177" w:type="dxa"/>
            <w:tcBorders>
              <w:right w:val="nil"/>
            </w:tcBorders>
            <w:noWrap/>
            <w:vAlign w:val="center"/>
          </w:tcPr>
          <w:p w14:paraId="4D3C8FEA"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861</w:t>
            </w:r>
          </w:p>
        </w:tc>
        <w:tc>
          <w:tcPr>
            <w:tcW w:w="1176" w:type="dxa"/>
            <w:tcBorders>
              <w:left w:val="nil"/>
            </w:tcBorders>
            <w:vAlign w:val="center"/>
          </w:tcPr>
          <w:p w14:paraId="2769D48F"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840</w:t>
            </w:r>
          </w:p>
        </w:tc>
        <w:tc>
          <w:tcPr>
            <w:tcW w:w="1177" w:type="dxa"/>
            <w:tcBorders>
              <w:right w:val="nil"/>
            </w:tcBorders>
            <w:noWrap/>
            <w:vAlign w:val="center"/>
          </w:tcPr>
          <w:p w14:paraId="220C2F8B"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20</w:t>
            </w:r>
            <w:r>
              <w:rPr>
                <w:rFonts w:eastAsia="Times New Roman" w:cs="Arial"/>
                <w:b/>
                <w:lang w:eastAsia="en-AU"/>
              </w:rPr>
              <w:t>,</w:t>
            </w:r>
            <w:r w:rsidRPr="00676396">
              <w:rPr>
                <w:rFonts w:eastAsia="Times New Roman" w:cs="Arial"/>
                <w:b/>
                <w:lang w:eastAsia="en-AU"/>
              </w:rPr>
              <w:t>992</w:t>
            </w:r>
          </w:p>
        </w:tc>
        <w:tc>
          <w:tcPr>
            <w:tcW w:w="1177" w:type="dxa"/>
            <w:tcBorders>
              <w:left w:val="nil"/>
            </w:tcBorders>
            <w:vAlign w:val="center"/>
          </w:tcPr>
          <w:p w14:paraId="4888A6CF"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18</w:t>
            </w:r>
            <w:r>
              <w:rPr>
                <w:rFonts w:eastAsia="Times New Roman" w:cs="Arial"/>
                <w:b/>
                <w:lang w:eastAsia="en-AU"/>
              </w:rPr>
              <w:t>,</w:t>
            </w:r>
            <w:r w:rsidRPr="00676396">
              <w:rPr>
                <w:rFonts w:eastAsia="Times New Roman" w:cs="Arial"/>
                <w:b/>
                <w:lang w:eastAsia="en-AU"/>
              </w:rPr>
              <w:t>457</w:t>
            </w:r>
          </w:p>
        </w:tc>
      </w:tr>
      <w:tr w:rsidR="005039C2" w:rsidRPr="003324F1" w14:paraId="4396E046" w14:textId="77777777" w:rsidTr="00F2448E">
        <w:trPr>
          <w:trHeight w:val="276"/>
        </w:trPr>
        <w:tc>
          <w:tcPr>
            <w:tcW w:w="2660" w:type="dxa"/>
            <w:shd w:val="clear" w:color="auto" w:fill="DBE5F1" w:themeFill="accent1" w:themeFillTint="33"/>
            <w:noWrap/>
            <w:hideMark/>
          </w:tcPr>
          <w:p w14:paraId="2FBC6A1B" w14:textId="77777777" w:rsidR="005039C2" w:rsidRPr="00F44E7A" w:rsidRDefault="005039C2" w:rsidP="00CE2FDF">
            <w:pPr>
              <w:spacing w:before="0" w:line="276" w:lineRule="auto"/>
              <w:rPr>
                <w:rFonts w:eastAsia="Times New Roman" w:cs="Arial"/>
                <w:b/>
                <w:lang w:eastAsia="en-AU"/>
              </w:rPr>
            </w:pPr>
            <w:r>
              <w:rPr>
                <w:rFonts w:eastAsia="Times New Roman" w:cs="Arial"/>
                <w:b/>
                <w:lang w:eastAsia="en-AU"/>
              </w:rPr>
              <w:t>School personnel</w:t>
            </w:r>
          </w:p>
        </w:tc>
        <w:tc>
          <w:tcPr>
            <w:tcW w:w="1176" w:type="dxa"/>
            <w:tcBorders>
              <w:right w:val="nil"/>
            </w:tcBorders>
            <w:shd w:val="clear" w:color="auto" w:fill="DBE5F1" w:themeFill="accent1" w:themeFillTint="33"/>
            <w:noWrap/>
            <w:vAlign w:val="center"/>
          </w:tcPr>
          <w:p w14:paraId="6A3F4A80"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577</w:t>
            </w:r>
          </w:p>
        </w:tc>
        <w:tc>
          <w:tcPr>
            <w:tcW w:w="1177" w:type="dxa"/>
            <w:tcBorders>
              <w:left w:val="nil"/>
            </w:tcBorders>
            <w:shd w:val="clear" w:color="auto" w:fill="DBE5F1" w:themeFill="accent1" w:themeFillTint="33"/>
            <w:vAlign w:val="center"/>
          </w:tcPr>
          <w:p w14:paraId="1919EF49"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6</w:t>
            </w:r>
            <w:r>
              <w:rPr>
                <w:rFonts w:eastAsia="Times New Roman" w:cs="Arial"/>
                <w:lang w:eastAsia="en-AU"/>
              </w:rPr>
              <w:t>,</w:t>
            </w:r>
            <w:r w:rsidRPr="00676396">
              <w:rPr>
                <w:rFonts w:eastAsia="Times New Roman" w:cs="Arial"/>
                <w:lang w:eastAsia="en-AU"/>
              </w:rPr>
              <w:t>871</w:t>
            </w:r>
          </w:p>
        </w:tc>
        <w:tc>
          <w:tcPr>
            <w:tcW w:w="1176" w:type="dxa"/>
            <w:tcBorders>
              <w:right w:val="nil"/>
            </w:tcBorders>
            <w:shd w:val="clear" w:color="auto" w:fill="DBE5F1" w:themeFill="accent1" w:themeFillTint="33"/>
            <w:noWrap/>
            <w:vAlign w:val="center"/>
          </w:tcPr>
          <w:p w14:paraId="12FD94BF"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840</w:t>
            </w:r>
          </w:p>
        </w:tc>
        <w:tc>
          <w:tcPr>
            <w:tcW w:w="1177" w:type="dxa"/>
            <w:tcBorders>
              <w:left w:val="nil"/>
            </w:tcBorders>
            <w:shd w:val="clear" w:color="auto" w:fill="DBE5F1" w:themeFill="accent1" w:themeFillTint="33"/>
            <w:vAlign w:val="center"/>
          </w:tcPr>
          <w:p w14:paraId="254012F8"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w:t>
            </w:r>
            <w:r>
              <w:rPr>
                <w:rFonts w:eastAsia="Times New Roman" w:cs="Arial"/>
                <w:lang w:eastAsia="en-AU"/>
              </w:rPr>
              <w:t>,</w:t>
            </w:r>
            <w:r w:rsidRPr="00676396">
              <w:rPr>
                <w:rFonts w:eastAsia="Times New Roman" w:cs="Arial"/>
                <w:lang w:eastAsia="en-AU"/>
              </w:rPr>
              <w:t>749</w:t>
            </w:r>
          </w:p>
        </w:tc>
        <w:tc>
          <w:tcPr>
            <w:tcW w:w="1177" w:type="dxa"/>
            <w:tcBorders>
              <w:right w:val="nil"/>
            </w:tcBorders>
            <w:shd w:val="clear" w:color="auto" w:fill="DBE5F1" w:themeFill="accent1" w:themeFillTint="33"/>
            <w:noWrap/>
            <w:vAlign w:val="center"/>
          </w:tcPr>
          <w:p w14:paraId="262474AF"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515</w:t>
            </w:r>
          </w:p>
        </w:tc>
        <w:tc>
          <w:tcPr>
            <w:tcW w:w="1176" w:type="dxa"/>
            <w:tcBorders>
              <w:left w:val="nil"/>
            </w:tcBorders>
            <w:shd w:val="clear" w:color="auto" w:fill="DBE5F1" w:themeFill="accent1" w:themeFillTint="33"/>
            <w:vAlign w:val="center"/>
          </w:tcPr>
          <w:p w14:paraId="5F9D2714"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502</w:t>
            </w:r>
          </w:p>
        </w:tc>
        <w:tc>
          <w:tcPr>
            <w:tcW w:w="1177" w:type="dxa"/>
            <w:tcBorders>
              <w:right w:val="nil"/>
            </w:tcBorders>
            <w:shd w:val="clear" w:color="auto" w:fill="DBE5F1" w:themeFill="accent1" w:themeFillTint="33"/>
            <w:noWrap/>
            <w:vAlign w:val="center"/>
          </w:tcPr>
          <w:p w14:paraId="2AF10B60"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325</w:t>
            </w:r>
          </w:p>
        </w:tc>
        <w:tc>
          <w:tcPr>
            <w:tcW w:w="1176" w:type="dxa"/>
            <w:tcBorders>
              <w:left w:val="nil"/>
            </w:tcBorders>
            <w:shd w:val="clear" w:color="auto" w:fill="DBE5F1" w:themeFill="accent1" w:themeFillTint="33"/>
            <w:vAlign w:val="center"/>
          </w:tcPr>
          <w:p w14:paraId="7C4E24EF"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w:t>
            </w:r>
            <w:r>
              <w:rPr>
                <w:rFonts w:eastAsia="Times New Roman" w:cs="Arial"/>
                <w:lang w:eastAsia="en-AU"/>
              </w:rPr>
              <w:t>,</w:t>
            </w:r>
            <w:r w:rsidRPr="00676396">
              <w:rPr>
                <w:rFonts w:eastAsia="Times New Roman" w:cs="Arial"/>
                <w:lang w:eastAsia="en-AU"/>
              </w:rPr>
              <w:t>282</w:t>
            </w:r>
          </w:p>
        </w:tc>
        <w:tc>
          <w:tcPr>
            <w:tcW w:w="1177" w:type="dxa"/>
            <w:tcBorders>
              <w:right w:val="nil"/>
            </w:tcBorders>
            <w:shd w:val="clear" w:color="auto" w:fill="DBE5F1" w:themeFill="accent1" w:themeFillTint="33"/>
            <w:noWrap/>
            <w:vAlign w:val="center"/>
          </w:tcPr>
          <w:p w14:paraId="5CEBD477"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417</w:t>
            </w:r>
          </w:p>
        </w:tc>
        <w:tc>
          <w:tcPr>
            <w:tcW w:w="1177" w:type="dxa"/>
            <w:tcBorders>
              <w:left w:val="nil"/>
            </w:tcBorders>
            <w:shd w:val="clear" w:color="auto" w:fill="DBE5F1" w:themeFill="accent1" w:themeFillTint="33"/>
            <w:vAlign w:val="center"/>
          </w:tcPr>
          <w:p w14:paraId="5E42CBF2"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9</w:t>
            </w:r>
            <w:r>
              <w:rPr>
                <w:rFonts w:eastAsia="Times New Roman" w:cs="Arial"/>
                <w:b/>
                <w:lang w:eastAsia="en-AU"/>
              </w:rPr>
              <w:t>,</w:t>
            </w:r>
            <w:r w:rsidRPr="00676396">
              <w:rPr>
                <w:rFonts w:eastAsia="Times New Roman" w:cs="Arial"/>
                <w:b/>
                <w:lang w:eastAsia="en-AU"/>
              </w:rPr>
              <w:t>243</w:t>
            </w:r>
          </w:p>
        </w:tc>
      </w:tr>
      <w:tr w:rsidR="005039C2" w:rsidRPr="003324F1" w14:paraId="7541E298" w14:textId="77777777" w:rsidTr="00F2448E">
        <w:trPr>
          <w:trHeight w:val="276"/>
        </w:trPr>
        <w:tc>
          <w:tcPr>
            <w:tcW w:w="2660" w:type="dxa"/>
            <w:shd w:val="clear" w:color="auto" w:fill="auto"/>
            <w:noWrap/>
            <w:hideMark/>
          </w:tcPr>
          <w:p w14:paraId="0E26C3B6" w14:textId="77777777" w:rsidR="005039C2" w:rsidRPr="00F44E7A" w:rsidRDefault="005039C2" w:rsidP="00CE2FDF">
            <w:pPr>
              <w:spacing w:before="0" w:line="276" w:lineRule="auto"/>
              <w:rPr>
                <w:rFonts w:eastAsia="Times New Roman" w:cs="Arial"/>
                <w:b/>
                <w:lang w:eastAsia="en-AU"/>
              </w:rPr>
            </w:pPr>
            <w:r>
              <w:rPr>
                <w:rFonts w:eastAsia="Times New Roman" w:cs="Arial"/>
                <w:b/>
                <w:lang w:eastAsia="en-AU"/>
              </w:rPr>
              <w:t>Psychiatrists</w:t>
            </w:r>
          </w:p>
        </w:tc>
        <w:tc>
          <w:tcPr>
            <w:tcW w:w="1176" w:type="dxa"/>
            <w:tcBorders>
              <w:right w:val="nil"/>
            </w:tcBorders>
            <w:shd w:val="clear" w:color="auto" w:fill="auto"/>
            <w:noWrap/>
            <w:vAlign w:val="center"/>
          </w:tcPr>
          <w:p w14:paraId="002ECE46"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135</w:t>
            </w:r>
          </w:p>
        </w:tc>
        <w:tc>
          <w:tcPr>
            <w:tcW w:w="1177" w:type="dxa"/>
            <w:tcBorders>
              <w:left w:val="nil"/>
            </w:tcBorders>
            <w:shd w:val="clear" w:color="auto" w:fill="auto"/>
            <w:vAlign w:val="center"/>
          </w:tcPr>
          <w:p w14:paraId="1EAC0CE7"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135</w:t>
            </w:r>
          </w:p>
        </w:tc>
        <w:tc>
          <w:tcPr>
            <w:tcW w:w="1176" w:type="dxa"/>
            <w:tcBorders>
              <w:right w:val="nil"/>
            </w:tcBorders>
            <w:shd w:val="clear" w:color="auto" w:fill="auto"/>
            <w:noWrap/>
            <w:vAlign w:val="center"/>
          </w:tcPr>
          <w:p w14:paraId="4977B99C"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39</w:t>
            </w:r>
          </w:p>
        </w:tc>
        <w:tc>
          <w:tcPr>
            <w:tcW w:w="1177" w:type="dxa"/>
            <w:tcBorders>
              <w:left w:val="nil"/>
            </w:tcBorders>
            <w:shd w:val="clear" w:color="auto" w:fill="auto"/>
            <w:vAlign w:val="center"/>
          </w:tcPr>
          <w:p w14:paraId="111866AC"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39</w:t>
            </w:r>
          </w:p>
        </w:tc>
        <w:tc>
          <w:tcPr>
            <w:tcW w:w="1177" w:type="dxa"/>
            <w:tcBorders>
              <w:right w:val="nil"/>
            </w:tcBorders>
            <w:shd w:val="clear" w:color="auto" w:fill="auto"/>
            <w:noWrap/>
            <w:vAlign w:val="center"/>
          </w:tcPr>
          <w:p w14:paraId="70279585"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23</w:t>
            </w:r>
          </w:p>
        </w:tc>
        <w:tc>
          <w:tcPr>
            <w:tcW w:w="1176" w:type="dxa"/>
            <w:tcBorders>
              <w:left w:val="nil"/>
            </w:tcBorders>
            <w:shd w:val="clear" w:color="auto" w:fill="auto"/>
            <w:vAlign w:val="center"/>
          </w:tcPr>
          <w:p w14:paraId="39A002A2"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23</w:t>
            </w:r>
          </w:p>
        </w:tc>
        <w:tc>
          <w:tcPr>
            <w:tcW w:w="1177" w:type="dxa"/>
            <w:tcBorders>
              <w:right w:val="nil"/>
            </w:tcBorders>
            <w:shd w:val="clear" w:color="auto" w:fill="auto"/>
            <w:noWrap/>
            <w:vAlign w:val="center"/>
          </w:tcPr>
          <w:p w14:paraId="4A91C94F"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16</w:t>
            </w:r>
          </w:p>
        </w:tc>
        <w:tc>
          <w:tcPr>
            <w:tcW w:w="1176" w:type="dxa"/>
            <w:tcBorders>
              <w:left w:val="nil"/>
            </w:tcBorders>
            <w:shd w:val="clear" w:color="auto" w:fill="auto"/>
            <w:vAlign w:val="center"/>
          </w:tcPr>
          <w:p w14:paraId="55E4A7FA"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16</w:t>
            </w:r>
          </w:p>
        </w:tc>
        <w:tc>
          <w:tcPr>
            <w:tcW w:w="1177" w:type="dxa"/>
            <w:tcBorders>
              <w:right w:val="nil"/>
            </w:tcBorders>
            <w:shd w:val="clear" w:color="auto" w:fill="auto"/>
            <w:noWrap/>
            <w:vAlign w:val="center"/>
          </w:tcPr>
          <w:p w14:paraId="400CF837"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174</w:t>
            </w:r>
          </w:p>
        </w:tc>
        <w:tc>
          <w:tcPr>
            <w:tcW w:w="1177" w:type="dxa"/>
            <w:tcBorders>
              <w:left w:val="nil"/>
            </w:tcBorders>
            <w:shd w:val="clear" w:color="auto" w:fill="auto"/>
            <w:vAlign w:val="center"/>
          </w:tcPr>
          <w:p w14:paraId="4C9B1A04"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172</w:t>
            </w:r>
          </w:p>
        </w:tc>
      </w:tr>
      <w:tr w:rsidR="005039C2" w:rsidRPr="003324F1" w14:paraId="4ED13FB4" w14:textId="77777777" w:rsidTr="00F2448E">
        <w:trPr>
          <w:trHeight w:val="276"/>
        </w:trPr>
        <w:tc>
          <w:tcPr>
            <w:tcW w:w="2660" w:type="dxa"/>
            <w:shd w:val="clear" w:color="auto" w:fill="DBE5F1" w:themeFill="accent1" w:themeFillTint="33"/>
            <w:noWrap/>
            <w:hideMark/>
          </w:tcPr>
          <w:p w14:paraId="7B9EC492" w14:textId="77777777" w:rsidR="005039C2" w:rsidRPr="00F44E7A" w:rsidRDefault="005039C2" w:rsidP="00CE2FDF">
            <w:pPr>
              <w:spacing w:before="0" w:line="276" w:lineRule="auto"/>
              <w:rPr>
                <w:rFonts w:eastAsia="Times New Roman" w:cs="Arial"/>
                <w:b/>
                <w:lang w:eastAsia="en-AU"/>
              </w:rPr>
            </w:pPr>
            <w:r>
              <w:rPr>
                <w:rFonts w:eastAsia="Times New Roman" w:cs="Arial"/>
                <w:b/>
                <w:lang w:eastAsia="en-AU"/>
              </w:rPr>
              <w:t>Major mandated reporter groups combined</w:t>
            </w:r>
          </w:p>
        </w:tc>
        <w:tc>
          <w:tcPr>
            <w:tcW w:w="1176" w:type="dxa"/>
            <w:tcBorders>
              <w:right w:val="nil"/>
            </w:tcBorders>
            <w:shd w:val="clear" w:color="auto" w:fill="DBE5F1" w:themeFill="accent1" w:themeFillTint="33"/>
            <w:noWrap/>
            <w:vAlign w:val="center"/>
          </w:tcPr>
          <w:p w14:paraId="14E80FD9"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25</w:t>
            </w:r>
            <w:r>
              <w:rPr>
                <w:rFonts w:eastAsia="Times New Roman" w:cs="Arial"/>
                <w:lang w:eastAsia="en-AU"/>
              </w:rPr>
              <w:t>,</w:t>
            </w:r>
            <w:r w:rsidRPr="00676396">
              <w:rPr>
                <w:rFonts w:eastAsia="Times New Roman" w:cs="Arial"/>
                <w:lang w:eastAsia="en-AU"/>
              </w:rPr>
              <w:t>777</w:t>
            </w:r>
          </w:p>
        </w:tc>
        <w:tc>
          <w:tcPr>
            <w:tcW w:w="1177" w:type="dxa"/>
            <w:tcBorders>
              <w:left w:val="nil"/>
            </w:tcBorders>
            <w:shd w:val="clear" w:color="auto" w:fill="DBE5F1" w:themeFill="accent1" w:themeFillTint="33"/>
            <w:vAlign w:val="center"/>
          </w:tcPr>
          <w:p w14:paraId="25B4C695"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22</w:t>
            </w:r>
            <w:r>
              <w:rPr>
                <w:rFonts w:eastAsia="Times New Roman" w:cs="Arial"/>
                <w:lang w:eastAsia="en-AU"/>
              </w:rPr>
              <w:t>,</w:t>
            </w:r>
            <w:r w:rsidRPr="00676396">
              <w:rPr>
                <w:rFonts w:eastAsia="Times New Roman" w:cs="Arial"/>
                <w:lang w:eastAsia="en-AU"/>
              </w:rPr>
              <w:t>372</w:t>
            </w:r>
          </w:p>
        </w:tc>
        <w:tc>
          <w:tcPr>
            <w:tcW w:w="1176" w:type="dxa"/>
            <w:tcBorders>
              <w:right w:val="nil"/>
            </w:tcBorders>
            <w:shd w:val="clear" w:color="auto" w:fill="DBE5F1" w:themeFill="accent1" w:themeFillTint="33"/>
            <w:noWrap/>
            <w:vAlign w:val="center"/>
          </w:tcPr>
          <w:p w14:paraId="2333184C"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9</w:t>
            </w:r>
            <w:r>
              <w:rPr>
                <w:rFonts w:eastAsia="Times New Roman" w:cs="Arial"/>
                <w:lang w:eastAsia="en-AU"/>
              </w:rPr>
              <w:t>,</w:t>
            </w:r>
            <w:r w:rsidRPr="00676396">
              <w:rPr>
                <w:rFonts w:eastAsia="Times New Roman" w:cs="Arial"/>
                <w:lang w:eastAsia="en-AU"/>
              </w:rPr>
              <w:t>167</w:t>
            </w:r>
          </w:p>
        </w:tc>
        <w:tc>
          <w:tcPr>
            <w:tcW w:w="1177" w:type="dxa"/>
            <w:tcBorders>
              <w:left w:val="nil"/>
            </w:tcBorders>
            <w:shd w:val="clear" w:color="auto" w:fill="DBE5F1" w:themeFill="accent1" w:themeFillTint="33"/>
            <w:vAlign w:val="center"/>
          </w:tcPr>
          <w:p w14:paraId="7A37F119"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8</w:t>
            </w:r>
            <w:r>
              <w:rPr>
                <w:rFonts w:eastAsia="Times New Roman" w:cs="Arial"/>
                <w:lang w:eastAsia="en-AU"/>
              </w:rPr>
              <w:t>,</w:t>
            </w:r>
            <w:r w:rsidRPr="00676396">
              <w:rPr>
                <w:rFonts w:eastAsia="Times New Roman" w:cs="Arial"/>
                <w:lang w:eastAsia="en-AU"/>
              </w:rPr>
              <w:t>795</w:t>
            </w:r>
          </w:p>
        </w:tc>
        <w:tc>
          <w:tcPr>
            <w:tcW w:w="1177" w:type="dxa"/>
            <w:tcBorders>
              <w:right w:val="nil"/>
            </w:tcBorders>
            <w:shd w:val="clear" w:color="auto" w:fill="DBE5F1" w:themeFill="accent1" w:themeFillTint="33"/>
            <w:noWrap/>
            <w:vAlign w:val="center"/>
          </w:tcPr>
          <w:p w14:paraId="4F2955F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536</w:t>
            </w:r>
          </w:p>
        </w:tc>
        <w:tc>
          <w:tcPr>
            <w:tcW w:w="1176" w:type="dxa"/>
            <w:tcBorders>
              <w:left w:val="nil"/>
            </w:tcBorders>
            <w:shd w:val="clear" w:color="auto" w:fill="DBE5F1" w:themeFill="accent1" w:themeFillTint="33"/>
            <w:vAlign w:val="center"/>
          </w:tcPr>
          <w:p w14:paraId="7FD32D81"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5</w:t>
            </w:r>
            <w:r>
              <w:rPr>
                <w:rFonts w:eastAsia="Times New Roman" w:cs="Arial"/>
                <w:lang w:eastAsia="en-AU"/>
              </w:rPr>
              <w:t>,</w:t>
            </w:r>
            <w:r w:rsidRPr="00676396">
              <w:rPr>
                <w:rFonts w:eastAsia="Times New Roman" w:cs="Arial"/>
                <w:lang w:eastAsia="en-AU"/>
              </w:rPr>
              <w:t>407</w:t>
            </w:r>
          </w:p>
        </w:tc>
        <w:tc>
          <w:tcPr>
            <w:tcW w:w="1177" w:type="dxa"/>
            <w:tcBorders>
              <w:right w:val="nil"/>
            </w:tcBorders>
            <w:shd w:val="clear" w:color="auto" w:fill="DBE5F1" w:themeFill="accent1" w:themeFillTint="33"/>
            <w:noWrap/>
            <w:vAlign w:val="center"/>
          </w:tcPr>
          <w:p w14:paraId="6385B315"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631</w:t>
            </w:r>
          </w:p>
        </w:tc>
        <w:tc>
          <w:tcPr>
            <w:tcW w:w="1176" w:type="dxa"/>
            <w:tcBorders>
              <w:left w:val="nil"/>
            </w:tcBorders>
            <w:shd w:val="clear" w:color="auto" w:fill="DBE5F1" w:themeFill="accent1" w:themeFillTint="33"/>
            <w:vAlign w:val="center"/>
          </w:tcPr>
          <w:p w14:paraId="1B342B56"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530</w:t>
            </w:r>
          </w:p>
        </w:tc>
        <w:tc>
          <w:tcPr>
            <w:tcW w:w="1177" w:type="dxa"/>
            <w:tcBorders>
              <w:right w:val="nil"/>
            </w:tcBorders>
            <w:shd w:val="clear" w:color="auto" w:fill="DBE5F1" w:themeFill="accent1" w:themeFillTint="33"/>
            <w:noWrap/>
            <w:vAlign w:val="center"/>
          </w:tcPr>
          <w:p w14:paraId="3B6F3BA3"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34</w:t>
            </w:r>
            <w:r>
              <w:rPr>
                <w:rFonts w:eastAsia="Times New Roman" w:cs="Arial"/>
                <w:b/>
                <w:lang w:eastAsia="en-AU"/>
              </w:rPr>
              <w:t>,</w:t>
            </w:r>
            <w:r w:rsidRPr="00676396">
              <w:rPr>
                <w:rFonts w:eastAsia="Times New Roman" w:cs="Arial"/>
                <w:b/>
                <w:lang w:eastAsia="en-AU"/>
              </w:rPr>
              <w:t>944</w:t>
            </w:r>
          </w:p>
        </w:tc>
        <w:tc>
          <w:tcPr>
            <w:tcW w:w="1177" w:type="dxa"/>
            <w:tcBorders>
              <w:left w:val="nil"/>
            </w:tcBorders>
            <w:shd w:val="clear" w:color="auto" w:fill="DBE5F1" w:themeFill="accent1" w:themeFillTint="33"/>
            <w:vAlign w:val="center"/>
          </w:tcPr>
          <w:p w14:paraId="354FBB4D"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29</w:t>
            </w:r>
            <w:r>
              <w:rPr>
                <w:rFonts w:eastAsia="Times New Roman" w:cs="Arial"/>
                <w:b/>
                <w:lang w:eastAsia="en-AU"/>
              </w:rPr>
              <w:t>,</w:t>
            </w:r>
            <w:r w:rsidRPr="00676396">
              <w:rPr>
                <w:rFonts w:eastAsia="Times New Roman" w:cs="Arial"/>
                <w:b/>
                <w:lang w:eastAsia="en-AU"/>
              </w:rPr>
              <w:t>498</w:t>
            </w:r>
          </w:p>
        </w:tc>
      </w:tr>
      <w:tr w:rsidR="005039C2" w:rsidRPr="003324F1" w14:paraId="66AF1705" w14:textId="77777777" w:rsidTr="00F2448E">
        <w:trPr>
          <w:trHeight w:val="276"/>
        </w:trPr>
        <w:tc>
          <w:tcPr>
            <w:tcW w:w="2660" w:type="dxa"/>
            <w:shd w:val="clear" w:color="auto" w:fill="auto"/>
            <w:noWrap/>
            <w:hideMark/>
          </w:tcPr>
          <w:p w14:paraId="4C85C836" w14:textId="77777777" w:rsidR="005039C2" w:rsidRPr="00F44E7A" w:rsidRDefault="005039C2" w:rsidP="00CE2FDF">
            <w:pPr>
              <w:spacing w:before="0" w:line="276" w:lineRule="auto"/>
              <w:rPr>
                <w:rFonts w:eastAsia="Times New Roman" w:cs="Arial"/>
                <w:b/>
                <w:lang w:eastAsia="en-AU"/>
              </w:rPr>
            </w:pPr>
            <w:r>
              <w:rPr>
                <w:rFonts w:eastAsia="Times New Roman" w:cs="Arial"/>
                <w:b/>
                <w:lang w:eastAsia="en-AU"/>
              </w:rPr>
              <w:lastRenderedPageBreak/>
              <w:t>Other reporter groups combined</w:t>
            </w:r>
          </w:p>
        </w:tc>
        <w:tc>
          <w:tcPr>
            <w:tcW w:w="1176" w:type="dxa"/>
            <w:tcBorders>
              <w:right w:val="nil"/>
            </w:tcBorders>
            <w:shd w:val="clear" w:color="auto" w:fill="auto"/>
            <w:noWrap/>
            <w:vAlign w:val="center"/>
          </w:tcPr>
          <w:p w14:paraId="435EA811"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25</w:t>
            </w:r>
            <w:r>
              <w:rPr>
                <w:rFonts w:eastAsia="Times New Roman" w:cs="Arial"/>
                <w:lang w:eastAsia="en-AU"/>
              </w:rPr>
              <w:t>,</w:t>
            </w:r>
            <w:r w:rsidRPr="00676396">
              <w:rPr>
                <w:rFonts w:eastAsia="Times New Roman" w:cs="Arial"/>
                <w:lang w:eastAsia="en-AU"/>
              </w:rPr>
              <w:t>811</w:t>
            </w:r>
          </w:p>
        </w:tc>
        <w:tc>
          <w:tcPr>
            <w:tcW w:w="1177" w:type="dxa"/>
            <w:tcBorders>
              <w:left w:val="nil"/>
            </w:tcBorders>
            <w:shd w:val="clear" w:color="auto" w:fill="auto"/>
            <w:vAlign w:val="center"/>
          </w:tcPr>
          <w:p w14:paraId="216275F6"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20</w:t>
            </w:r>
            <w:r>
              <w:rPr>
                <w:rFonts w:eastAsia="Times New Roman" w:cs="Arial"/>
                <w:lang w:eastAsia="en-AU"/>
              </w:rPr>
              <w:t>,</w:t>
            </w:r>
            <w:r w:rsidRPr="00676396">
              <w:rPr>
                <w:rFonts w:eastAsia="Times New Roman" w:cs="Arial"/>
                <w:lang w:eastAsia="en-AU"/>
              </w:rPr>
              <w:t>613</w:t>
            </w:r>
          </w:p>
        </w:tc>
        <w:tc>
          <w:tcPr>
            <w:tcW w:w="1176" w:type="dxa"/>
            <w:tcBorders>
              <w:right w:val="nil"/>
            </w:tcBorders>
            <w:shd w:val="clear" w:color="auto" w:fill="auto"/>
            <w:noWrap/>
            <w:vAlign w:val="center"/>
          </w:tcPr>
          <w:p w14:paraId="5954136A"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893</w:t>
            </w:r>
          </w:p>
        </w:tc>
        <w:tc>
          <w:tcPr>
            <w:tcW w:w="1177" w:type="dxa"/>
            <w:tcBorders>
              <w:left w:val="nil"/>
            </w:tcBorders>
            <w:shd w:val="clear" w:color="auto" w:fill="auto"/>
            <w:vAlign w:val="center"/>
          </w:tcPr>
          <w:p w14:paraId="0979BA6E"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7</w:t>
            </w:r>
            <w:r>
              <w:rPr>
                <w:rFonts w:eastAsia="Times New Roman" w:cs="Arial"/>
                <w:lang w:eastAsia="en-AU"/>
              </w:rPr>
              <w:t>,</w:t>
            </w:r>
            <w:r w:rsidRPr="00676396">
              <w:rPr>
                <w:rFonts w:eastAsia="Times New Roman" w:cs="Arial"/>
                <w:lang w:eastAsia="en-AU"/>
              </w:rPr>
              <w:t>536</w:t>
            </w:r>
          </w:p>
        </w:tc>
        <w:tc>
          <w:tcPr>
            <w:tcW w:w="1177" w:type="dxa"/>
            <w:tcBorders>
              <w:right w:val="nil"/>
            </w:tcBorders>
            <w:shd w:val="clear" w:color="auto" w:fill="auto"/>
            <w:noWrap/>
            <w:vAlign w:val="center"/>
          </w:tcPr>
          <w:p w14:paraId="1DF1B72D"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662</w:t>
            </w:r>
          </w:p>
        </w:tc>
        <w:tc>
          <w:tcPr>
            <w:tcW w:w="1176" w:type="dxa"/>
            <w:tcBorders>
              <w:left w:val="nil"/>
            </w:tcBorders>
            <w:shd w:val="clear" w:color="auto" w:fill="auto"/>
            <w:vAlign w:val="center"/>
          </w:tcPr>
          <w:p w14:paraId="5D0CE913"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4</w:t>
            </w:r>
            <w:r>
              <w:rPr>
                <w:rFonts w:eastAsia="Times New Roman" w:cs="Arial"/>
                <w:lang w:eastAsia="en-AU"/>
              </w:rPr>
              <w:t>,</w:t>
            </w:r>
            <w:r w:rsidRPr="00676396">
              <w:rPr>
                <w:rFonts w:eastAsia="Times New Roman" w:cs="Arial"/>
                <w:lang w:eastAsia="en-AU"/>
              </w:rPr>
              <w:t>545</w:t>
            </w:r>
          </w:p>
        </w:tc>
        <w:tc>
          <w:tcPr>
            <w:tcW w:w="1177" w:type="dxa"/>
            <w:tcBorders>
              <w:right w:val="nil"/>
            </w:tcBorders>
            <w:shd w:val="clear" w:color="auto" w:fill="auto"/>
            <w:noWrap/>
            <w:vAlign w:val="center"/>
          </w:tcPr>
          <w:p w14:paraId="535672CA"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231</w:t>
            </w:r>
          </w:p>
        </w:tc>
        <w:tc>
          <w:tcPr>
            <w:tcW w:w="1176" w:type="dxa"/>
            <w:tcBorders>
              <w:left w:val="nil"/>
            </w:tcBorders>
            <w:shd w:val="clear" w:color="auto" w:fill="auto"/>
            <w:vAlign w:val="center"/>
          </w:tcPr>
          <w:p w14:paraId="367E9702" w14:textId="77777777" w:rsidR="005039C2" w:rsidRPr="00676396" w:rsidRDefault="005039C2" w:rsidP="00CE2FDF">
            <w:pPr>
              <w:spacing w:before="0" w:line="276" w:lineRule="auto"/>
              <w:jc w:val="right"/>
              <w:rPr>
                <w:rFonts w:eastAsia="Times New Roman" w:cs="Arial"/>
                <w:lang w:eastAsia="en-AU"/>
              </w:rPr>
            </w:pPr>
            <w:r w:rsidRPr="00676396">
              <w:rPr>
                <w:rFonts w:eastAsia="Times New Roman" w:cs="Arial"/>
                <w:lang w:eastAsia="en-AU"/>
              </w:rPr>
              <w:t>3</w:t>
            </w:r>
            <w:r>
              <w:rPr>
                <w:rFonts w:eastAsia="Times New Roman" w:cs="Arial"/>
                <w:lang w:eastAsia="en-AU"/>
              </w:rPr>
              <w:t>,</w:t>
            </w:r>
            <w:r w:rsidRPr="00676396">
              <w:rPr>
                <w:rFonts w:eastAsia="Times New Roman" w:cs="Arial"/>
                <w:lang w:eastAsia="en-AU"/>
              </w:rPr>
              <w:t>148</w:t>
            </w:r>
          </w:p>
        </w:tc>
        <w:tc>
          <w:tcPr>
            <w:tcW w:w="1177" w:type="dxa"/>
            <w:tcBorders>
              <w:right w:val="nil"/>
            </w:tcBorders>
            <w:shd w:val="clear" w:color="auto" w:fill="auto"/>
            <w:noWrap/>
            <w:vAlign w:val="center"/>
          </w:tcPr>
          <w:p w14:paraId="31740996"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33</w:t>
            </w:r>
            <w:r>
              <w:rPr>
                <w:rFonts w:eastAsia="Times New Roman" w:cs="Arial"/>
                <w:b/>
                <w:lang w:eastAsia="en-AU"/>
              </w:rPr>
              <w:t>,</w:t>
            </w:r>
            <w:r w:rsidRPr="00676396">
              <w:rPr>
                <w:rFonts w:eastAsia="Times New Roman" w:cs="Arial"/>
                <w:b/>
                <w:lang w:eastAsia="en-AU"/>
              </w:rPr>
              <w:t>704</w:t>
            </w:r>
          </w:p>
        </w:tc>
        <w:tc>
          <w:tcPr>
            <w:tcW w:w="1177" w:type="dxa"/>
            <w:tcBorders>
              <w:left w:val="nil"/>
            </w:tcBorders>
            <w:shd w:val="clear" w:color="auto" w:fill="auto"/>
            <w:vAlign w:val="center"/>
          </w:tcPr>
          <w:p w14:paraId="4BA07B82"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26</w:t>
            </w:r>
            <w:r>
              <w:rPr>
                <w:rFonts w:eastAsia="Times New Roman" w:cs="Arial"/>
                <w:b/>
                <w:lang w:eastAsia="en-AU"/>
              </w:rPr>
              <w:t>,</w:t>
            </w:r>
            <w:r w:rsidRPr="00676396">
              <w:rPr>
                <w:rFonts w:eastAsia="Times New Roman" w:cs="Arial"/>
                <w:b/>
                <w:lang w:eastAsia="en-AU"/>
              </w:rPr>
              <w:t>219</w:t>
            </w:r>
          </w:p>
        </w:tc>
      </w:tr>
      <w:tr w:rsidR="005039C2" w:rsidRPr="00FD6E8E" w14:paraId="5EC9DC31" w14:textId="77777777" w:rsidTr="00F2448E">
        <w:trPr>
          <w:trHeight w:val="276"/>
        </w:trPr>
        <w:tc>
          <w:tcPr>
            <w:tcW w:w="2660" w:type="dxa"/>
            <w:shd w:val="clear" w:color="auto" w:fill="B8CCE4" w:themeFill="accent1" w:themeFillTint="66"/>
            <w:noWrap/>
            <w:hideMark/>
          </w:tcPr>
          <w:p w14:paraId="66131120" w14:textId="77777777" w:rsidR="005039C2" w:rsidRPr="00FD6E8E" w:rsidRDefault="005039C2" w:rsidP="00CE2FDF">
            <w:pPr>
              <w:spacing w:before="0" w:line="276" w:lineRule="auto"/>
              <w:rPr>
                <w:rFonts w:eastAsia="Times New Roman" w:cs="Arial"/>
                <w:b/>
                <w:lang w:eastAsia="en-AU"/>
              </w:rPr>
            </w:pPr>
            <w:r>
              <w:rPr>
                <w:rFonts w:eastAsia="Times New Roman" w:cs="Arial"/>
                <w:b/>
                <w:lang w:eastAsia="en-AU"/>
              </w:rPr>
              <w:t>T</w:t>
            </w:r>
            <w:r w:rsidRPr="00FD6E8E">
              <w:rPr>
                <w:rFonts w:eastAsia="Times New Roman" w:cs="Arial"/>
                <w:b/>
                <w:lang w:eastAsia="en-AU"/>
              </w:rPr>
              <w:t>otals:</w:t>
            </w:r>
          </w:p>
        </w:tc>
        <w:tc>
          <w:tcPr>
            <w:tcW w:w="1176" w:type="dxa"/>
            <w:tcBorders>
              <w:right w:val="nil"/>
            </w:tcBorders>
            <w:shd w:val="clear" w:color="auto" w:fill="B8CCE4" w:themeFill="accent1" w:themeFillTint="66"/>
            <w:noWrap/>
            <w:vAlign w:val="center"/>
          </w:tcPr>
          <w:p w14:paraId="0484F190"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51</w:t>
            </w:r>
            <w:r>
              <w:rPr>
                <w:rFonts w:eastAsia="Times New Roman" w:cs="Arial"/>
                <w:b/>
                <w:lang w:eastAsia="en-AU"/>
              </w:rPr>
              <w:t>,</w:t>
            </w:r>
            <w:r w:rsidRPr="00676396">
              <w:rPr>
                <w:rFonts w:eastAsia="Times New Roman" w:cs="Arial"/>
                <w:b/>
                <w:lang w:eastAsia="en-AU"/>
              </w:rPr>
              <w:t>588</w:t>
            </w:r>
          </w:p>
        </w:tc>
        <w:tc>
          <w:tcPr>
            <w:tcW w:w="1177" w:type="dxa"/>
            <w:tcBorders>
              <w:left w:val="nil"/>
            </w:tcBorders>
            <w:shd w:val="clear" w:color="auto" w:fill="B8CCE4" w:themeFill="accent1" w:themeFillTint="66"/>
            <w:vAlign w:val="center"/>
          </w:tcPr>
          <w:p w14:paraId="7B33DB3B"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39</w:t>
            </w:r>
            <w:r>
              <w:rPr>
                <w:rFonts w:eastAsia="Times New Roman" w:cs="Arial"/>
                <w:b/>
                <w:lang w:eastAsia="en-AU"/>
              </w:rPr>
              <w:t>,</w:t>
            </w:r>
            <w:r w:rsidRPr="00676396">
              <w:rPr>
                <w:rFonts w:eastAsia="Times New Roman" w:cs="Arial"/>
                <w:b/>
                <w:lang w:eastAsia="en-AU"/>
              </w:rPr>
              <w:t>075</w:t>
            </w:r>
          </w:p>
        </w:tc>
        <w:tc>
          <w:tcPr>
            <w:tcW w:w="1176" w:type="dxa"/>
            <w:tcBorders>
              <w:right w:val="nil"/>
            </w:tcBorders>
            <w:shd w:val="clear" w:color="auto" w:fill="B8CCE4" w:themeFill="accent1" w:themeFillTint="66"/>
            <w:noWrap/>
            <w:vAlign w:val="center"/>
          </w:tcPr>
          <w:p w14:paraId="0F6E4FF0"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17</w:t>
            </w:r>
            <w:r>
              <w:rPr>
                <w:rFonts w:eastAsia="Times New Roman" w:cs="Arial"/>
                <w:b/>
                <w:lang w:eastAsia="en-AU"/>
              </w:rPr>
              <w:t>,</w:t>
            </w:r>
            <w:r w:rsidRPr="00676396">
              <w:rPr>
                <w:rFonts w:eastAsia="Times New Roman" w:cs="Arial"/>
                <w:b/>
                <w:lang w:eastAsia="en-AU"/>
              </w:rPr>
              <w:t>060</w:t>
            </w:r>
          </w:p>
        </w:tc>
        <w:tc>
          <w:tcPr>
            <w:tcW w:w="1177" w:type="dxa"/>
            <w:tcBorders>
              <w:left w:val="nil"/>
            </w:tcBorders>
            <w:shd w:val="clear" w:color="auto" w:fill="B8CCE4" w:themeFill="accent1" w:themeFillTint="66"/>
            <w:vAlign w:val="center"/>
          </w:tcPr>
          <w:p w14:paraId="15FD5413"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15</w:t>
            </w:r>
            <w:r>
              <w:rPr>
                <w:rFonts w:eastAsia="Times New Roman" w:cs="Arial"/>
                <w:b/>
                <w:lang w:eastAsia="en-AU"/>
              </w:rPr>
              <w:t>,</w:t>
            </w:r>
            <w:r w:rsidRPr="00676396">
              <w:rPr>
                <w:rFonts w:eastAsia="Times New Roman" w:cs="Arial"/>
                <w:b/>
                <w:lang w:eastAsia="en-AU"/>
              </w:rPr>
              <w:t>795</w:t>
            </w:r>
          </w:p>
        </w:tc>
        <w:tc>
          <w:tcPr>
            <w:tcW w:w="1177" w:type="dxa"/>
            <w:tcBorders>
              <w:right w:val="nil"/>
            </w:tcBorders>
            <w:shd w:val="clear" w:color="auto" w:fill="B8CCE4" w:themeFill="accent1" w:themeFillTint="66"/>
            <w:noWrap/>
            <w:vAlign w:val="center"/>
          </w:tcPr>
          <w:p w14:paraId="328F24FC"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10</w:t>
            </w:r>
            <w:r>
              <w:rPr>
                <w:rFonts w:eastAsia="Times New Roman" w:cs="Arial"/>
                <w:b/>
                <w:lang w:eastAsia="en-AU"/>
              </w:rPr>
              <w:t>,</w:t>
            </w:r>
            <w:r w:rsidRPr="00676396">
              <w:rPr>
                <w:rFonts w:eastAsia="Times New Roman" w:cs="Arial"/>
                <w:b/>
                <w:lang w:eastAsia="en-AU"/>
              </w:rPr>
              <w:t>198</w:t>
            </w:r>
          </w:p>
        </w:tc>
        <w:tc>
          <w:tcPr>
            <w:tcW w:w="1176" w:type="dxa"/>
            <w:tcBorders>
              <w:left w:val="nil"/>
            </w:tcBorders>
            <w:shd w:val="clear" w:color="auto" w:fill="B8CCE4" w:themeFill="accent1" w:themeFillTint="66"/>
            <w:vAlign w:val="center"/>
          </w:tcPr>
          <w:p w14:paraId="388AA759"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9</w:t>
            </w:r>
            <w:r>
              <w:rPr>
                <w:rFonts w:eastAsia="Times New Roman" w:cs="Arial"/>
                <w:b/>
                <w:lang w:eastAsia="en-AU"/>
              </w:rPr>
              <w:t>,</w:t>
            </w:r>
            <w:r w:rsidRPr="00676396">
              <w:rPr>
                <w:rFonts w:eastAsia="Times New Roman" w:cs="Arial"/>
                <w:b/>
                <w:lang w:eastAsia="en-AU"/>
              </w:rPr>
              <w:t>776</w:t>
            </w:r>
          </w:p>
        </w:tc>
        <w:tc>
          <w:tcPr>
            <w:tcW w:w="1177" w:type="dxa"/>
            <w:tcBorders>
              <w:right w:val="nil"/>
            </w:tcBorders>
            <w:shd w:val="clear" w:color="auto" w:fill="B8CCE4" w:themeFill="accent1" w:themeFillTint="66"/>
            <w:noWrap/>
            <w:vAlign w:val="center"/>
          </w:tcPr>
          <w:p w14:paraId="3A42C5F8"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862</w:t>
            </w:r>
          </w:p>
        </w:tc>
        <w:tc>
          <w:tcPr>
            <w:tcW w:w="1176" w:type="dxa"/>
            <w:tcBorders>
              <w:left w:val="nil"/>
            </w:tcBorders>
            <w:shd w:val="clear" w:color="auto" w:fill="B8CCE4" w:themeFill="accent1" w:themeFillTint="66"/>
            <w:vAlign w:val="center"/>
          </w:tcPr>
          <w:p w14:paraId="2EB17D42"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6</w:t>
            </w:r>
            <w:r>
              <w:rPr>
                <w:rFonts w:eastAsia="Times New Roman" w:cs="Arial"/>
                <w:b/>
                <w:lang w:eastAsia="en-AU"/>
              </w:rPr>
              <w:t>,</w:t>
            </w:r>
            <w:r w:rsidRPr="00676396">
              <w:rPr>
                <w:rFonts w:eastAsia="Times New Roman" w:cs="Arial"/>
                <w:b/>
                <w:lang w:eastAsia="en-AU"/>
              </w:rPr>
              <w:t>545</w:t>
            </w:r>
          </w:p>
        </w:tc>
        <w:tc>
          <w:tcPr>
            <w:tcW w:w="1177" w:type="dxa"/>
            <w:tcBorders>
              <w:right w:val="nil"/>
            </w:tcBorders>
            <w:shd w:val="clear" w:color="auto" w:fill="B8CCE4" w:themeFill="accent1" w:themeFillTint="66"/>
            <w:noWrap/>
            <w:vAlign w:val="center"/>
          </w:tcPr>
          <w:p w14:paraId="6A1F0F5C"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68</w:t>
            </w:r>
            <w:r>
              <w:rPr>
                <w:rFonts w:eastAsia="Times New Roman" w:cs="Arial"/>
                <w:b/>
                <w:lang w:eastAsia="en-AU"/>
              </w:rPr>
              <w:t>,</w:t>
            </w:r>
            <w:r w:rsidRPr="00676396">
              <w:rPr>
                <w:rFonts w:eastAsia="Times New Roman" w:cs="Arial"/>
                <w:b/>
                <w:lang w:eastAsia="en-AU"/>
              </w:rPr>
              <w:t>648</w:t>
            </w:r>
          </w:p>
        </w:tc>
        <w:tc>
          <w:tcPr>
            <w:tcW w:w="1177" w:type="dxa"/>
            <w:tcBorders>
              <w:left w:val="nil"/>
            </w:tcBorders>
            <w:shd w:val="clear" w:color="auto" w:fill="B8CCE4" w:themeFill="accent1" w:themeFillTint="66"/>
            <w:vAlign w:val="center"/>
          </w:tcPr>
          <w:p w14:paraId="449D3A14" w14:textId="77777777" w:rsidR="005039C2" w:rsidRPr="00676396" w:rsidRDefault="005039C2" w:rsidP="00CE2FDF">
            <w:pPr>
              <w:spacing w:before="0" w:line="276" w:lineRule="auto"/>
              <w:jc w:val="right"/>
              <w:rPr>
                <w:rFonts w:eastAsia="Times New Roman" w:cs="Arial"/>
                <w:b/>
                <w:lang w:eastAsia="en-AU"/>
              </w:rPr>
            </w:pPr>
            <w:r w:rsidRPr="00676396">
              <w:rPr>
                <w:rFonts w:eastAsia="Times New Roman" w:cs="Arial"/>
                <w:b/>
                <w:lang w:eastAsia="en-AU"/>
              </w:rPr>
              <w:t>49</w:t>
            </w:r>
            <w:r>
              <w:rPr>
                <w:rFonts w:eastAsia="Times New Roman" w:cs="Arial"/>
                <w:b/>
                <w:lang w:eastAsia="en-AU"/>
              </w:rPr>
              <w:t>,</w:t>
            </w:r>
            <w:r w:rsidRPr="00676396">
              <w:rPr>
                <w:rFonts w:eastAsia="Times New Roman" w:cs="Arial"/>
                <w:b/>
                <w:lang w:eastAsia="en-AU"/>
              </w:rPr>
              <w:t>667</w:t>
            </w:r>
          </w:p>
        </w:tc>
      </w:tr>
    </w:tbl>
    <w:p w14:paraId="0C59C3D6" w14:textId="77777777" w:rsidR="0052741C" w:rsidRDefault="0052741C" w:rsidP="00B15586">
      <w:pPr>
        <w:sectPr w:rsidR="0052741C" w:rsidSect="002E033A">
          <w:pgSz w:w="16838" w:h="11906" w:orient="landscape"/>
          <w:pgMar w:top="1440" w:right="1440" w:bottom="1440" w:left="1440" w:header="708" w:footer="708" w:gutter="0"/>
          <w:cols w:space="708"/>
          <w:docGrid w:linePitch="360"/>
        </w:sectPr>
      </w:pPr>
    </w:p>
    <w:p w14:paraId="6ABA92C7" w14:textId="77777777" w:rsidR="00953EF8" w:rsidRPr="009545F1" w:rsidRDefault="00BC058E" w:rsidP="001C5DD4">
      <w:pPr>
        <w:pStyle w:val="Heading4"/>
      </w:pPr>
      <w:bookmarkStart w:id="101" w:name="_Toc435716771"/>
      <w:r w:rsidRPr="009545F1">
        <w:lastRenderedPageBreak/>
        <w:t>Stage 2 Appendix 1</w:t>
      </w:r>
      <w:bookmarkEnd w:id="101"/>
    </w:p>
    <w:p w14:paraId="129DBDD1" w14:textId="15DAEE9E" w:rsidR="00953EF8" w:rsidRPr="00615C3D" w:rsidRDefault="00953EF8" w:rsidP="005E613E">
      <w:pPr>
        <w:pStyle w:val="Figureheading"/>
        <w:spacing w:before="0"/>
      </w:pPr>
      <w:bookmarkStart w:id="102" w:name="_Toc382206832"/>
      <w:r w:rsidRPr="00615C3D">
        <w:t>Numbers of children aged 16 years and under, by State and Territory, by year</w:t>
      </w:r>
      <w:bookmarkEnd w:id="102"/>
      <w:r w:rsidRPr="00615C3D">
        <w:t xml:space="preserve"> (2003-2012)</w:t>
      </w:r>
    </w:p>
    <w:tbl>
      <w:tblPr>
        <w:tblW w:w="141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4"/>
        <w:gridCol w:w="1414"/>
        <w:gridCol w:w="1414"/>
        <w:gridCol w:w="1414"/>
        <w:gridCol w:w="1415"/>
        <w:gridCol w:w="1414"/>
        <w:gridCol w:w="1414"/>
        <w:gridCol w:w="1414"/>
        <w:gridCol w:w="1414"/>
        <w:gridCol w:w="1415"/>
      </w:tblGrid>
      <w:tr w:rsidR="00953EF8" w:rsidRPr="00155DC5" w14:paraId="128A9F38" w14:textId="77777777" w:rsidTr="00B349CA">
        <w:trPr>
          <w:trHeight w:val="432"/>
        </w:trPr>
        <w:tc>
          <w:tcPr>
            <w:tcW w:w="1414" w:type="dxa"/>
            <w:tcBorders>
              <w:top w:val="single" w:sz="4" w:space="0" w:color="auto"/>
              <w:bottom w:val="single" w:sz="4" w:space="0" w:color="auto"/>
            </w:tcBorders>
            <w:shd w:val="clear" w:color="auto" w:fill="8DB3E2" w:themeFill="text2" w:themeFillTint="66"/>
            <w:vAlign w:val="center"/>
          </w:tcPr>
          <w:p w14:paraId="4887AABB" w14:textId="77777777" w:rsidR="00953EF8" w:rsidRPr="00155DC5" w:rsidRDefault="00953EF8" w:rsidP="00CE2FDF">
            <w:pPr>
              <w:spacing w:before="0" w:after="120" w:line="276" w:lineRule="auto"/>
              <w:jc w:val="right"/>
              <w:rPr>
                <w:b/>
                <w:lang w:eastAsia="en-AU"/>
              </w:rPr>
            </w:pPr>
          </w:p>
        </w:tc>
        <w:tc>
          <w:tcPr>
            <w:tcW w:w="1414" w:type="dxa"/>
            <w:tcBorders>
              <w:top w:val="single" w:sz="4" w:space="0" w:color="auto"/>
              <w:bottom w:val="single" w:sz="4" w:space="0" w:color="auto"/>
            </w:tcBorders>
            <w:shd w:val="clear" w:color="auto" w:fill="8DB3E2" w:themeFill="text2" w:themeFillTint="66"/>
            <w:vAlign w:val="center"/>
            <w:hideMark/>
          </w:tcPr>
          <w:p w14:paraId="17AD9D6E" w14:textId="77777777" w:rsidR="00953EF8" w:rsidRPr="00155DC5" w:rsidRDefault="00953EF8" w:rsidP="00CE2FDF">
            <w:pPr>
              <w:spacing w:before="0" w:after="120" w:line="276" w:lineRule="auto"/>
              <w:jc w:val="right"/>
              <w:rPr>
                <w:b/>
                <w:lang w:eastAsia="en-AU"/>
              </w:rPr>
            </w:pPr>
            <w:r w:rsidRPr="00155DC5">
              <w:rPr>
                <w:b/>
                <w:lang w:eastAsia="en-AU"/>
              </w:rPr>
              <w:t>NSW</w:t>
            </w:r>
          </w:p>
        </w:tc>
        <w:tc>
          <w:tcPr>
            <w:tcW w:w="1414" w:type="dxa"/>
            <w:tcBorders>
              <w:top w:val="single" w:sz="4" w:space="0" w:color="auto"/>
              <w:bottom w:val="single" w:sz="4" w:space="0" w:color="auto"/>
            </w:tcBorders>
            <w:shd w:val="clear" w:color="auto" w:fill="8DB3E2" w:themeFill="text2" w:themeFillTint="66"/>
            <w:vAlign w:val="center"/>
            <w:hideMark/>
          </w:tcPr>
          <w:p w14:paraId="7A7D4219" w14:textId="77777777" w:rsidR="00953EF8" w:rsidRPr="00155DC5" w:rsidRDefault="00953EF8" w:rsidP="00CE2FDF">
            <w:pPr>
              <w:spacing w:before="0" w:after="120" w:line="276" w:lineRule="auto"/>
              <w:jc w:val="right"/>
              <w:rPr>
                <w:b/>
                <w:lang w:eastAsia="en-AU"/>
              </w:rPr>
            </w:pPr>
            <w:r w:rsidRPr="00155DC5">
              <w:rPr>
                <w:b/>
                <w:lang w:eastAsia="en-AU"/>
              </w:rPr>
              <w:t>VIC</w:t>
            </w:r>
          </w:p>
        </w:tc>
        <w:tc>
          <w:tcPr>
            <w:tcW w:w="1414" w:type="dxa"/>
            <w:tcBorders>
              <w:top w:val="single" w:sz="4" w:space="0" w:color="auto"/>
              <w:bottom w:val="single" w:sz="4" w:space="0" w:color="auto"/>
            </w:tcBorders>
            <w:shd w:val="clear" w:color="auto" w:fill="8DB3E2" w:themeFill="text2" w:themeFillTint="66"/>
            <w:vAlign w:val="center"/>
            <w:hideMark/>
          </w:tcPr>
          <w:p w14:paraId="325DC1AD" w14:textId="77777777" w:rsidR="00953EF8" w:rsidRPr="00155DC5" w:rsidRDefault="00953EF8" w:rsidP="00CE2FDF">
            <w:pPr>
              <w:spacing w:before="0" w:after="120" w:line="276" w:lineRule="auto"/>
              <w:jc w:val="right"/>
              <w:rPr>
                <w:b/>
                <w:lang w:eastAsia="en-AU"/>
              </w:rPr>
            </w:pPr>
            <w:r w:rsidRPr="00155DC5">
              <w:rPr>
                <w:b/>
                <w:lang w:eastAsia="en-AU"/>
              </w:rPr>
              <w:t>QLD</w:t>
            </w:r>
          </w:p>
        </w:tc>
        <w:tc>
          <w:tcPr>
            <w:tcW w:w="1415" w:type="dxa"/>
            <w:tcBorders>
              <w:top w:val="single" w:sz="4" w:space="0" w:color="auto"/>
              <w:bottom w:val="single" w:sz="4" w:space="0" w:color="auto"/>
            </w:tcBorders>
            <w:shd w:val="clear" w:color="auto" w:fill="8DB3E2" w:themeFill="text2" w:themeFillTint="66"/>
            <w:vAlign w:val="center"/>
            <w:hideMark/>
          </w:tcPr>
          <w:p w14:paraId="51DBE8C8" w14:textId="77777777" w:rsidR="00953EF8" w:rsidRPr="00155DC5" w:rsidRDefault="00953EF8" w:rsidP="00CE2FDF">
            <w:pPr>
              <w:spacing w:before="0" w:after="120" w:line="276" w:lineRule="auto"/>
              <w:jc w:val="right"/>
              <w:rPr>
                <w:b/>
                <w:lang w:eastAsia="en-AU"/>
              </w:rPr>
            </w:pPr>
            <w:r w:rsidRPr="00155DC5">
              <w:rPr>
                <w:b/>
                <w:lang w:eastAsia="en-AU"/>
              </w:rPr>
              <w:t>SA</w:t>
            </w:r>
          </w:p>
        </w:tc>
        <w:tc>
          <w:tcPr>
            <w:tcW w:w="1414" w:type="dxa"/>
            <w:tcBorders>
              <w:top w:val="single" w:sz="4" w:space="0" w:color="auto"/>
              <w:bottom w:val="single" w:sz="4" w:space="0" w:color="auto"/>
            </w:tcBorders>
            <w:shd w:val="clear" w:color="auto" w:fill="8DB3E2" w:themeFill="text2" w:themeFillTint="66"/>
            <w:vAlign w:val="center"/>
            <w:hideMark/>
          </w:tcPr>
          <w:p w14:paraId="7C7E1FD0" w14:textId="77777777" w:rsidR="00953EF8" w:rsidRPr="00155DC5" w:rsidRDefault="00953EF8" w:rsidP="00CE2FDF">
            <w:pPr>
              <w:spacing w:before="0" w:after="120" w:line="276" w:lineRule="auto"/>
              <w:jc w:val="right"/>
              <w:rPr>
                <w:b/>
                <w:lang w:eastAsia="en-AU"/>
              </w:rPr>
            </w:pPr>
            <w:r w:rsidRPr="00155DC5">
              <w:rPr>
                <w:b/>
                <w:lang w:eastAsia="en-AU"/>
              </w:rPr>
              <w:t>WA</w:t>
            </w:r>
          </w:p>
        </w:tc>
        <w:tc>
          <w:tcPr>
            <w:tcW w:w="1414" w:type="dxa"/>
            <w:tcBorders>
              <w:top w:val="single" w:sz="4" w:space="0" w:color="auto"/>
              <w:bottom w:val="single" w:sz="4" w:space="0" w:color="auto"/>
            </w:tcBorders>
            <w:shd w:val="clear" w:color="auto" w:fill="8DB3E2" w:themeFill="text2" w:themeFillTint="66"/>
            <w:vAlign w:val="center"/>
            <w:hideMark/>
          </w:tcPr>
          <w:p w14:paraId="0D9762A1" w14:textId="77777777" w:rsidR="00953EF8" w:rsidRPr="00155DC5" w:rsidRDefault="00953EF8" w:rsidP="00CE2FDF">
            <w:pPr>
              <w:spacing w:before="0" w:after="120" w:line="276" w:lineRule="auto"/>
              <w:jc w:val="right"/>
              <w:rPr>
                <w:b/>
                <w:lang w:eastAsia="en-AU"/>
              </w:rPr>
            </w:pPr>
            <w:r w:rsidRPr="00155DC5">
              <w:rPr>
                <w:b/>
                <w:lang w:eastAsia="en-AU"/>
              </w:rPr>
              <w:t>TAS</w:t>
            </w:r>
          </w:p>
        </w:tc>
        <w:tc>
          <w:tcPr>
            <w:tcW w:w="1414" w:type="dxa"/>
            <w:tcBorders>
              <w:top w:val="single" w:sz="4" w:space="0" w:color="auto"/>
              <w:bottom w:val="single" w:sz="4" w:space="0" w:color="auto"/>
            </w:tcBorders>
            <w:shd w:val="clear" w:color="auto" w:fill="8DB3E2" w:themeFill="text2" w:themeFillTint="66"/>
            <w:vAlign w:val="center"/>
            <w:hideMark/>
          </w:tcPr>
          <w:p w14:paraId="03AF7BE8" w14:textId="77777777" w:rsidR="00953EF8" w:rsidRPr="00155DC5" w:rsidRDefault="00953EF8" w:rsidP="00CE2FDF">
            <w:pPr>
              <w:spacing w:before="0" w:after="120" w:line="276" w:lineRule="auto"/>
              <w:jc w:val="right"/>
              <w:rPr>
                <w:b/>
                <w:lang w:eastAsia="en-AU"/>
              </w:rPr>
            </w:pPr>
            <w:r w:rsidRPr="00155DC5">
              <w:rPr>
                <w:b/>
                <w:lang w:eastAsia="en-AU"/>
              </w:rPr>
              <w:t>NT</w:t>
            </w:r>
          </w:p>
        </w:tc>
        <w:tc>
          <w:tcPr>
            <w:tcW w:w="1414" w:type="dxa"/>
            <w:tcBorders>
              <w:top w:val="single" w:sz="4" w:space="0" w:color="auto"/>
              <w:bottom w:val="single" w:sz="4" w:space="0" w:color="auto"/>
            </w:tcBorders>
            <w:shd w:val="clear" w:color="auto" w:fill="8DB3E2" w:themeFill="text2" w:themeFillTint="66"/>
            <w:vAlign w:val="center"/>
            <w:hideMark/>
          </w:tcPr>
          <w:p w14:paraId="7E311658" w14:textId="77777777" w:rsidR="00953EF8" w:rsidRPr="00155DC5" w:rsidRDefault="00953EF8" w:rsidP="00CE2FDF">
            <w:pPr>
              <w:spacing w:before="0" w:after="120" w:line="276" w:lineRule="auto"/>
              <w:jc w:val="right"/>
              <w:rPr>
                <w:b/>
                <w:lang w:eastAsia="en-AU"/>
              </w:rPr>
            </w:pPr>
            <w:r w:rsidRPr="00155DC5">
              <w:rPr>
                <w:b/>
                <w:lang w:eastAsia="en-AU"/>
              </w:rPr>
              <w:t>ACT</w:t>
            </w:r>
          </w:p>
        </w:tc>
        <w:tc>
          <w:tcPr>
            <w:tcW w:w="1415" w:type="dxa"/>
            <w:tcBorders>
              <w:top w:val="single" w:sz="4" w:space="0" w:color="auto"/>
              <w:bottom w:val="single" w:sz="4" w:space="0" w:color="auto"/>
            </w:tcBorders>
            <w:shd w:val="clear" w:color="auto" w:fill="8DB3E2" w:themeFill="text2" w:themeFillTint="66"/>
            <w:vAlign w:val="center"/>
            <w:hideMark/>
          </w:tcPr>
          <w:p w14:paraId="3C332E79" w14:textId="77777777" w:rsidR="00953EF8" w:rsidRPr="00155DC5" w:rsidRDefault="00953EF8" w:rsidP="00CE2FDF">
            <w:pPr>
              <w:spacing w:before="0" w:after="120" w:line="276" w:lineRule="auto"/>
              <w:jc w:val="right"/>
              <w:rPr>
                <w:b/>
                <w:lang w:eastAsia="en-AU"/>
              </w:rPr>
            </w:pPr>
            <w:proofErr w:type="gramStart"/>
            <w:r w:rsidRPr="00155DC5">
              <w:rPr>
                <w:b/>
                <w:lang w:eastAsia="en-AU"/>
              </w:rPr>
              <w:t>AUS.</w:t>
            </w:r>
            <w:proofErr w:type="gramEnd"/>
          </w:p>
        </w:tc>
      </w:tr>
      <w:tr w:rsidR="00953EF8" w:rsidRPr="00155DC5" w14:paraId="572C08F3" w14:textId="77777777" w:rsidTr="00B349CA">
        <w:trPr>
          <w:trHeight w:val="288"/>
        </w:trPr>
        <w:tc>
          <w:tcPr>
            <w:tcW w:w="1414" w:type="dxa"/>
            <w:tcBorders>
              <w:top w:val="single" w:sz="4" w:space="0" w:color="auto"/>
            </w:tcBorders>
            <w:shd w:val="clear" w:color="auto" w:fill="C6D9F1" w:themeFill="text2" w:themeFillTint="33"/>
            <w:vAlign w:val="center"/>
          </w:tcPr>
          <w:p w14:paraId="6B0AD0DA" w14:textId="77777777" w:rsidR="00953EF8" w:rsidRPr="00155DC5" w:rsidRDefault="00953EF8" w:rsidP="00CE2FDF">
            <w:pPr>
              <w:keepNext/>
              <w:spacing w:before="0" w:after="120" w:line="276" w:lineRule="auto"/>
              <w:rPr>
                <w:lang w:eastAsia="en-AU"/>
              </w:rPr>
            </w:pPr>
            <w:r w:rsidRPr="00155DC5">
              <w:rPr>
                <w:lang w:eastAsia="en-AU"/>
              </w:rPr>
              <w:t>30 June 2003</w:t>
            </w:r>
          </w:p>
        </w:tc>
        <w:tc>
          <w:tcPr>
            <w:tcW w:w="1414" w:type="dxa"/>
            <w:tcBorders>
              <w:top w:val="single" w:sz="4" w:space="0" w:color="auto"/>
            </w:tcBorders>
            <w:shd w:val="clear" w:color="auto" w:fill="C6D9F1" w:themeFill="text2" w:themeFillTint="33"/>
            <w:noWrap/>
            <w:vAlign w:val="center"/>
          </w:tcPr>
          <w:p w14:paraId="18FB2D2A" w14:textId="77777777" w:rsidR="00953EF8" w:rsidRPr="00155DC5" w:rsidRDefault="00953EF8" w:rsidP="00CE2FDF">
            <w:pPr>
              <w:keepNext/>
              <w:spacing w:before="0" w:after="120" w:line="276" w:lineRule="auto"/>
              <w:jc w:val="right"/>
              <w:rPr>
                <w:b/>
                <w:lang w:eastAsia="en-AU"/>
              </w:rPr>
            </w:pPr>
            <w:r w:rsidRPr="00155DC5">
              <w:rPr>
                <w:b/>
                <w:lang w:eastAsia="en-AU"/>
              </w:rPr>
              <w:t>1,510,357</w:t>
            </w:r>
          </w:p>
        </w:tc>
        <w:tc>
          <w:tcPr>
            <w:tcW w:w="1414" w:type="dxa"/>
            <w:tcBorders>
              <w:top w:val="single" w:sz="4" w:space="0" w:color="auto"/>
            </w:tcBorders>
            <w:shd w:val="clear" w:color="auto" w:fill="C6D9F1" w:themeFill="text2" w:themeFillTint="33"/>
            <w:noWrap/>
            <w:vAlign w:val="center"/>
          </w:tcPr>
          <w:p w14:paraId="7700625F" w14:textId="77777777" w:rsidR="00953EF8" w:rsidRPr="00155DC5" w:rsidRDefault="00953EF8" w:rsidP="00CE2FDF">
            <w:pPr>
              <w:keepNext/>
              <w:spacing w:before="0" w:after="120" w:line="276" w:lineRule="auto"/>
              <w:jc w:val="right"/>
              <w:rPr>
                <w:lang w:eastAsia="en-AU"/>
              </w:rPr>
            </w:pPr>
            <w:r w:rsidRPr="00155DC5">
              <w:rPr>
                <w:lang w:eastAsia="en-AU"/>
              </w:rPr>
              <w:t>1,089,156</w:t>
            </w:r>
          </w:p>
        </w:tc>
        <w:tc>
          <w:tcPr>
            <w:tcW w:w="1414" w:type="dxa"/>
            <w:tcBorders>
              <w:top w:val="single" w:sz="4" w:space="0" w:color="auto"/>
            </w:tcBorders>
            <w:shd w:val="clear" w:color="auto" w:fill="C6D9F1" w:themeFill="text2" w:themeFillTint="33"/>
            <w:noWrap/>
            <w:vAlign w:val="center"/>
          </w:tcPr>
          <w:p w14:paraId="64CAC69A" w14:textId="77777777" w:rsidR="00953EF8" w:rsidRPr="00155DC5" w:rsidRDefault="00953EF8" w:rsidP="00CE2FDF">
            <w:pPr>
              <w:keepNext/>
              <w:spacing w:before="0" w:after="120" w:line="276" w:lineRule="auto"/>
              <w:jc w:val="right"/>
              <w:rPr>
                <w:b/>
                <w:lang w:eastAsia="en-AU"/>
              </w:rPr>
            </w:pPr>
            <w:r w:rsidRPr="00155DC5">
              <w:rPr>
                <w:b/>
                <w:lang w:eastAsia="en-AU"/>
              </w:rPr>
              <w:t>897,280</w:t>
            </w:r>
          </w:p>
        </w:tc>
        <w:tc>
          <w:tcPr>
            <w:tcW w:w="1415" w:type="dxa"/>
            <w:tcBorders>
              <w:top w:val="single" w:sz="4" w:space="0" w:color="auto"/>
            </w:tcBorders>
            <w:shd w:val="clear" w:color="auto" w:fill="C6D9F1" w:themeFill="text2" w:themeFillTint="33"/>
            <w:noWrap/>
            <w:vAlign w:val="center"/>
          </w:tcPr>
          <w:p w14:paraId="5231F7F5" w14:textId="77777777" w:rsidR="00953EF8" w:rsidRPr="00155DC5" w:rsidRDefault="00953EF8" w:rsidP="00CE2FDF">
            <w:pPr>
              <w:keepNext/>
              <w:spacing w:before="0" w:after="120" w:line="276" w:lineRule="auto"/>
              <w:jc w:val="right"/>
              <w:rPr>
                <w:lang w:eastAsia="en-AU"/>
              </w:rPr>
            </w:pPr>
            <w:r w:rsidRPr="00155DC5">
              <w:rPr>
                <w:lang w:eastAsia="en-AU"/>
              </w:rPr>
              <w:t>328,317</w:t>
            </w:r>
          </w:p>
        </w:tc>
        <w:tc>
          <w:tcPr>
            <w:tcW w:w="1414" w:type="dxa"/>
            <w:tcBorders>
              <w:top w:val="single" w:sz="4" w:space="0" w:color="auto"/>
            </w:tcBorders>
            <w:shd w:val="clear" w:color="auto" w:fill="C6D9F1" w:themeFill="text2" w:themeFillTint="33"/>
            <w:noWrap/>
            <w:vAlign w:val="center"/>
          </w:tcPr>
          <w:p w14:paraId="62024F10" w14:textId="77777777" w:rsidR="00953EF8" w:rsidRPr="00155DC5" w:rsidRDefault="00953EF8" w:rsidP="00CE2FDF">
            <w:pPr>
              <w:keepNext/>
              <w:spacing w:before="0" w:after="120" w:line="276" w:lineRule="auto"/>
              <w:jc w:val="right"/>
              <w:rPr>
                <w:b/>
                <w:lang w:eastAsia="en-AU"/>
              </w:rPr>
            </w:pPr>
            <w:r w:rsidRPr="00155DC5">
              <w:rPr>
                <w:b/>
                <w:lang w:eastAsia="en-AU"/>
              </w:rPr>
              <w:t>455,280</w:t>
            </w:r>
          </w:p>
        </w:tc>
        <w:tc>
          <w:tcPr>
            <w:tcW w:w="1414" w:type="dxa"/>
            <w:tcBorders>
              <w:top w:val="single" w:sz="4" w:space="0" w:color="auto"/>
            </w:tcBorders>
            <w:shd w:val="clear" w:color="auto" w:fill="C6D9F1" w:themeFill="text2" w:themeFillTint="33"/>
            <w:noWrap/>
            <w:vAlign w:val="center"/>
          </w:tcPr>
          <w:p w14:paraId="0DA00995" w14:textId="77777777" w:rsidR="00953EF8" w:rsidRPr="00155DC5" w:rsidRDefault="00953EF8" w:rsidP="00CE2FDF">
            <w:pPr>
              <w:keepNext/>
              <w:spacing w:before="0" w:after="120" w:line="276" w:lineRule="auto"/>
              <w:jc w:val="right"/>
              <w:rPr>
                <w:lang w:eastAsia="en-AU"/>
              </w:rPr>
            </w:pPr>
            <w:r w:rsidRPr="00155DC5">
              <w:rPr>
                <w:lang w:eastAsia="en-AU"/>
              </w:rPr>
              <w:t>111,057</w:t>
            </w:r>
          </w:p>
        </w:tc>
        <w:tc>
          <w:tcPr>
            <w:tcW w:w="1414" w:type="dxa"/>
            <w:tcBorders>
              <w:top w:val="single" w:sz="4" w:space="0" w:color="auto"/>
            </w:tcBorders>
            <w:shd w:val="clear" w:color="auto" w:fill="C6D9F1" w:themeFill="text2" w:themeFillTint="33"/>
            <w:noWrap/>
            <w:vAlign w:val="center"/>
          </w:tcPr>
          <w:p w14:paraId="4F9C5AC4" w14:textId="77777777" w:rsidR="00953EF8" w:rsidRPr="00155DC5" w:rsidRDefault="00953EF8" w:rsidP="00CE2FDF">
            <w:pPr>
              <w:keepNext/>
              <w:spacing w:before="0" w:after="120" w:line="276" w:lineRule="auto"/>
              <w:jc w:val="right"/>
              <w:rPr>
                <w:b/>
                <w:lang w:eastAsia="en-AU"/>
              </w:rPr>
            </w:pPr>
            <w:r w:rsidRPr="00155DC5">
              <w:rPr>
                <w:b/>
                <w:lang w:eastAsia="en-AU"/>
              </w:rPr>
              <w:t>56,373</w:t>
            </w:r>
          </w:p>
        </w:tc>
        <w:tc>
          <w:tcPr>
            <w:tcW w:w="1414" w:type="dxa"/>
            <w:tcBorders>
              <w:top w:val="single" w:sz="4" w:space="0" w:color="auto"/>
            </w:tcBorders>
            <w:shd w:val="clear" w:color="auto" w:fill="C6D9F1" w:themeFill="text2" w:themeFillTint="33"/>
            <w:noWrap/>
            <w:vAlign w:val="center"/>
          </w:tcPr>
          <w:p w14:paraId="3C52EF8A" w14:textId="77777777" w:rsidR="00953EF8" w:rsidRPr="00155DC5" w:rsidRDefault="00953EF8" w:rsidP="00CE2FDF">
            <w:pPr>
              <w:keepNext/>
              <w:spacing w:before="0" w:after="120" w:line="276" w:lineRule="auto"/>
              <w:jc w:val="right"/>
              <w:rPr>
                <w:lang w:eastAsia="en-AU"/>
              </w:rPr>
            </w:pPr>
            <w:r w:rsidRPr="00155DC5">
              <w:rPr>
                <w:lang w:eastAsia="en-AU"/>
              </w:rPr>
              <w:t>73,028</w:t>
            </w:r>
          </w:p>
        </w:tc>
        <w:tc>
          <w:tcPr>
            <w:tcW w:w="1415" w:type="dxa"/>
            <w:tcBorders>
              <w:top w:val="single" w:sz="4" w:space="0" w:color="auto"/>
            </w:tcBorders>
            <w:shd w:val="clear" w:color="auto" w:fill="C6D9F1" w:themeFill="text2" w:themeFillTint="33"/>
            <w:noWrap/>
            <w:vAlign w:val="center"/>
          </w:tcPr>
          <w:p w14:paraId="54BC4EE8" w14:textId="77777777" w:rsidR="00953EF8" w:rsidRPr="00155DC5" w:rsidRDefault="00953EF8" w:rsidP="00CE2FDF">
            <w:pPr>
              <w:keepNext/>
              <w:spacing w:before="0" w:after="120" w:line="276" w:lineRule="auto"/>
              <w:jc w:val="right"/>
              <w:rPr>
                <w:b/>
                <w:lang w:eastAsia="en-AU"/>
              </w:rPr>
            </w:pPr>
            <w:r w:rsidRPr="00155DC5">
              <w:rPr>
                <w:b/>
                <w:lang w:eastAsia="en-AU"/>
              </w:rPr>
              <w:t>4,521,754</w:t>
            </w:r>
          </w:p>
        </w:tc>
      </w:tr>
      <w:tr w:rsidR="00953EF8" w:rsidRPr="00155DC5" w14:paraId="0CDB4709" w14:textId="77777777" w:rsidTr="00B349CA">
        <w:trPr>
          <w:trHeight w:val="288"/>
        </w:trPr>
        <w:tc>
          <w:tcPr>
            <w:tcW w:w="1414" w:type="dxa"/>
            <w:vAlign w:val="center"/>
          </w:tcPr>
          <w:p w14:paraId="4F6036FB" w14:textId="77777777" w:rsidR="00953EF8" w:rsidRPr="00155DC5" w:rsidRDefault="00953EF8" w:rsidP="00CE2FDF">
            <w:pPr>
              <w:spacing w:before="0" w:after="120" w:line="276" w:lineRule="auto"/>
              <w:rPr>
                <w:lang w:eastAsia="en-AU"/>
              </w:rPr>
            </w:pPr>
            <w:r w:rsidRPr="00155DC5">
              <w:rPr>
                <w:lang w:eastAsia="en-AU"/>
              </w:rPr>
              <w:t>30 June 2004</w:t>
            </w:r>
          </w:p>
        </w:tc>
        <w:tc>
          <w:tcPr>
            <w:tcW w:w="1414" w:type="dxa"/>
            <w:noWrap/>
            <w:vAlign w:val="center"/>
          </w:tcPr>
          <w:p w14:paraId="392A19D2" w14:textId="77777777" w:rsidR="00953EF8" w:rsidRPr="00155DC5" w:rsidRDefault="00953EF8" w:rsidP="00CE2FDF">
            <w:pPr>
              <w:spacing w:before="0" w:after="120" w:line="276" w:lineRule="auto"/>
              <w:jc w:val="right"/>
              <w:rPr>
                <w:b/>
                <w:lang w:eastAsia="en-AU"/>
              </w:rPr>
            </w:pPr>
            <w:r w:rsidRPr="00155DC5">
              <w:rPr>
                <w:b/>
                <w:lang w:eastAsia="en-AU"/>
              </w:rPr>
              <w:t>1,503,923</w:t>
            </w:r>
          </w:p>
        </w:tc>
        <w:tc>
          <w:tcPr>
            <w:tcW w:w="1414" w:type="dxa"/>
            <w:noWrap/>
            <w:vAlign w:val="center"/>
          </w:tcPr>
          <w:p w14:paraId="1F2D5094" w14:textId="77777777" w:rsidR="00953EF8" w:rsidRPr="00155DC5" w:rsidRDefault="00953EF8" w:rsidP="00CE2FDF">
            <w:pPr>
              <w:spacing w:before="0" w:after="120" w:line="276" w:lineRule="auto"/>
              <w:jc w:val="right"/>
              <w:rPr>
                <w:lang w:eastAsia="en-AU"/>
              </w:rPr>
            </w:pPr>
            <w:r w:rsidRPr="00155DC5">
              <w:rPr>
                <w:lang w:eastAsia="en-AU"/>
              </w:rPr>
              <w:t>1,090,079</w:t>
            </w:r>
          </w:p>
        </w:tc>
        <w:tc>
          <w:tcPr>
            <w:tcW w:w="1414" w:type="dxa"/>
            <w:noWrap/>
            <w:vAlign w:val="center"/>
          </w:tcPr>
          <w:p w14:paraId="2878F597" w14:textId="77777777" w:rsidR="00953EF8" w:rsidRPr="00155DC5" w:rsidRDefault="00953EF8" w:rsidP="00CE2FDF">
            <w:pPr>
              <w:spacing w:before="0" w:after="120" w:line="276" w:lineRule="auto"/>
              <w:jc w:val="right"/>
              <w:rPr>
                <w:b/>
                <w:lang w:eastAsia="en-AU"/>
              </w:rPr>
            </w:pPr>
            <w:r w:rsidRPr="00155DC5">
              <w:rPr>
                <w:b/>
                <w:lang w:eastAsia="en-AU"/>
              </w:rPr>
              <w:t>908,157</w:t>
            </w:r>
          </w:p>
        </w:tc>
        <w:tc>
          <w:tcPr>
            <w:tcW w:w="1415" w:type="dxa"/>
            <w:noWrap/>
            <w:vAlign w:val="center"/>
          </w:tcPr>
          <w:p w14:paraId="437261B2" w14:textId="77777777" w:rsidR="00953EF8" w:rsidRPr="00155DC5" w:rsidRDefault="00953EF8" w:rsidP="00CE2FDF">
            <w:pPr>
              <w:spacing w:before="0" w:after="120" w:line="276" w:lineRule="auto"/>
              <w:jc w:val="right"/>
              <w:rPr>
                <w:lang w:eastAsia="en-AU"/>
              </w:rPr>
            </w:pPr>
            <w:r w:rsidRPr="00155DC5">
              <w:rPr>
                <w:lang w:eastAsia="en-AU"/>
              </w:rPr>
              <w:t>326,107</w:t>
            </w:r>
          </w:p>
        </w:tc>
        <w:tc>
          <w:tcPr>
            <w:tcW w:w="1414" w:type="dxa"/>
            <w:noWrap/>
            <w:vAlign w:val="center"/>
          </w:tcPr>
          <w:p w14:paraId="161ABA37" w14:textId="77777777" w:rsidR="00953EF8" w:rsidRPr="00155DC5" w:rsidRDefault="00953EF8" w:rsidP="00CE2FDF">
            <w:pPr>
              <w:spacing w:before="0" w:after="120" w:line="276" w:lineRule="auto"/>
              <w:jc w:val="right"/>
              <w:rPr>
                <w:b/>
                <w:lang w:eastAsia="en-AU"/>
              </w:rPr>
            </w:pPr>
            <w:r w:rsidRPr="00155DC5">
              <w:rPr>
                <w:b/>
                <w:lang w:eastAsia="en-AU"/>
              </w:rPr>
              <w:t>455,570</w:t>
            </w:r>
          </w:p>
        </w:tc>
        <w:tc>
          <w:tcPr>
            <w:tcW w:w="1414" w:type="dxa"/>
            <w:noWrap/>
            <w:vAlign w:val="center"/>
          </w:tcPr>
          <w:p w14:paraId="1A668D93" w14:textId="77777777" w:rsidR="00953EF8" w:rsidRPr="00155DC5" w:rsidRDefault="00953EF8" w:rsidP="00CE2FDF">
            <w:pPr>
              <w:spacing w:before="0" w:after="120" w:line="276" w:lineRule="auto"/>
              <w:jc w:val="right"/>
              <w:rPr>
                <w:lang w:eastAsia="en-AU"/>
              </w:rPr>
            </w:pPr>
            <w:r w:rsidRPr="00155DC5">
              <w:rPr>
                <w:lang w:eastAsia="en-AU"/>
              </w:rPr>
              <w:t>110,761</w:t>
            </w:r>
          </w:p>
        </w:tc>
        <w:tc>
          <w:tcPr>
            <w:tcW w:w="1414" w:type="dxa"/>
            <w:noWrap/>
            <w:vAlign w:val="center"/>
          </w:tcPr>
          <w:p w14:paraId="6B51FFB7" w14:textId="77777777" w:rsidR="00953EF8" w:rsidRPr="00155DC5" w:rsidRDefault="00953EF8" w:rsidP="00CE2FDF">
            <w:pPr>
              <w:spacing w:before="0" w:after="120" w:line="276" w:lineRule="auto"/>
              <w:jc w:val="right"/>
              <w:rPr>
                <w:b/>
                <w:lang w:eastAsia="en-AU"/>
              </w:rPr>
            </w:pPr>
            <w:r w:rsidRPr="00155DC5">
              <w:rPr>
                <w:b/>
                <w:lang w:eastAsia="en-AU"/>
              </w:rPr>
              <w:t>56,272</w:t>
            </w:r>
          </w:p>
        </w:tc>
        <w:tc>
          <w:tcPr>
            <w:tcW w:w="1414" w:type="dxa"/>
            <w:noWrap/>
            <w:vAlign w:val="center"/>
          </w:tcPr>
          <w:p w14:paraId="43CBFBFA" w14:textId="77777777" w:rsidR="00953EF8" w:rsidRPr="00155DC5" w:rsidRDefault="00953EF8" w:rsidP="00CE2FDF">
            <w:pPr>
              <w:spacing w:before="0" w:after="120" w:line="276" w:lineRule="auto"/>
              <w:jc w:val="right"/>
              <w:rPr>
                <w:lang w:eastAsia="en-AU"/>
              </w:rPr>
            </w:pPr>
            <w:r w:rsidRPr="00155DC5">
              <w:rPr>
                <w:lang w:eastAsia="en-AU"/>
              </w:rPr>
              <w:t>72,106</w:t>
            </w:r>
          </w:p>
        </w:tc>
        <w:tc>
          <w:tcPr>
            <w:tcW w:w="1415" w:type="dxa"/>
            <w:noWrap/>
            <w:vAlign w:val="center"/>
          </w:tcPr>
          <w:p w14:paraId="038E8043" w14:textId="77777777" w:rsidR="00953EF8" w:rsidRPr="00155DC5" w:rsidRDefault="00953EF8" w:rsidP="00CE2FDF">
            <w:pPr>
              <w:spacing w:before="0" w:after="120" w:line="276" w:lineRule="auto"/>
              <w:jc w:val="right"/>
              <w:rPr>
                <w:b/>
                <w:lang w:eastAsia="en-AU"/>
              </w:rPr>
            </w:pPr>
            <w:r w:rsidRPr="00155DC5">
              <w:rPr>
                <w:b/>
                <w:lang w:eastAsia="en-AU"/>
              </w:rPr>
              <w:t>4,523,855</w:t>
            </w:r>
          </w:p>
        </w:tc>
      </w:tr>
      <w:tr w:rsidR="00953EF8" w:rsidRPr="00155DC5" w14:paraId="17BAB482" w14:textId="77777777" w:rsidTr="00B349CA">
        <w:trPr>
          <w:trHeight w:val="288"/>
        </w:trPr>
        <w:tc>
          <w:tcPr>
            <w:tcW w:w="1414" w:type="dxa"/>
            <w:shd w:val="clear" w:color="auto" w:fill="C6D9F1" w:themeFill="text2" w:themeFillTint="33"/>
            <w:vAlign w:val="center"/>
          </w:tcPr>
          <w:p w14:paraId="5340DCB1" w14:textId="77777777" w:rsidR="00953EF8" w:rsidRPr="00155DC5" w:rsidRDefault="00953EF8" w:rsidP="00CE2FDF">
            <w:pPr>
              <w:spacing w:before="0" w:after="120" w:line="276" w:lineRule="auto"/>
              <w:rPr>
                <w:lang w:eastAsia="en-AU"/>
              </w:rPr>
            </w:pPr>
            <w:r w:rsidRPr="00155DC5">
              <w:rPr>
                <w:lang w:eastAsia="en-AU"/>
              </w:rPr>
              <w:t>30 June 2005</w:t>
            </w:r>
          </w:p>
        </w:tc>
        <w:tc>
          <w:tcPr>
            <w:tcW w:w="1414" w:type="dxa"/>
            <w:shd w:val="clear" w:color="auto" w:fill="C6D9F1" w:themeFill="text2" w:themeFillTint="33"/>
            <w:noWrap/>
            <w:vAlign w:val="center"/>
          </w:tcPr>
          <w:p w14:paraId="7A5F4385" w14:textId="77777777" w:rsidR="00953EF8" w:rsidRPr="00155DC5" w:rsidRDefault="00953EF8" w:rsidP="00CE2FDF">
            <w:pPr>
              <w:spacing w:before="0" w:after="120" w:line="276" w:lineRule="auto"/>
              <w:jc w:val="right"/>
              <w:rPr>
                <w:b/>
                <w:lang w:eastAsia="en-AU"/>
              </w:rPr>
            </w:pPr>
            <w:r w:rsidRPr="00155DC5">
              <w:rPr>
                <w:b/>
                <w:lang w:eastAsia="en-AU"/>
              </w:rPr>
              <w:t>1,498,148</w:t>
            </w:r>
          </w:p>
        </w:tc>
        <w:tc>
          <w:tcPr>
            <w:tcW w:w="1414" w:type="dxa"/>
            <w:shd w:val="clear" w:color="auto" w:fill="C6D9F1" w:themeFill="text2" w:themeFillTint="33"/>
            <w:noWrap/>
            <w:vAlign w:val="center"/>
          </w:tcPr>
          <w:p w14:paraId="33AE41A0" w14:textId="77777777" w:rsidR="00953EF8" w:rsidRPr="00155DC5" w:rsidRDefault="00953EF8" w:rsidP="00CE2FDF">
            <w:pPr>
              <w:spacing w:before="0" w:after="120" w:line="276" w:lineRule="auto"/>
              <w:jc w:val="right"/>
              <w:rPr>
                <w:lang w:eastAsia="en-AU"/>
              </w:rPr>
            </w:pPr>
            <w:r w:rsidRPr="00155DC5">
              <w:rPr>
                <w:lang w:eastAsia="en-AU"/>
              </w:rPr>
              <w:t>1,093,003</w:t>
            </w:r>
          </w:p>
        </w:tc>
        <w:tc>
          <w:tcPr>
            <w:tcW w:w="1414" w:type="dxa"/>
            <w:shd w:val="clear" w:color="auto" w:fill="C6D9F1" w:themeFill="text2" w:themeFillTint="33"/>
            <w:noWrap/>
            <w:vAlign w:val="center"/>
          </w:tcPr>
          <w:p w14:paraId="3F1857CA" w14:textId="77777777" w:rsidR="00953EF8" w:rsidRPr="00155DC5" w:rsidRDefault="00953EF8" w:rsidP="00CE2FDF">
            <w:pPr>
              <w:spacing w:before="0" w:after="120" w:line="276" w:lineRule="auto"/>
              <w:jc w:val="right"/>
              <w:rPr>
                <w:b/>
                <w:lang w:eastAsia="en-AU"/>
              </w:rPr>
            </w:pPr>
            <w:r w:rsidRPr="00155DC5">
              <w:rPr>
                <w:b/>
                <w:lang w:eastAsia="en-AU"/>
              </w:rPr>
              <w:t>921,796</w:t>
            </w:r>
          </w:p>
        </w:tc>
        <w:tc>
          <w:tcPr>
            <w:tcW w:w="1415" w:type="dxa"/>
            <w:shd w:val="clear" w:color="auto" w:fill="C6D9F1" w:themeFill="text2" w:themeFillTint="33"/>
            <w:noWrap/>
            <w:vAlign w:val="center"/>
          </w:tcPr>
          <w:p w14:paraId="23ECB0DC" w14:textId="77777777" w:rsidR="00953EF8" w:rsidRPr="00155DC5" w:rsidRDefault="00953EF8" w:rsidP="00CE2FDF">
            <w:pPr>
              <w:spacing w:before="0" w:after="120" w:line="276" w:lineRule="auto"/>
              <w:jc w:val="right"/>
              <w:rPr>
                <w:lang w:eastAsia="en-AU"/>
              </w:rPr>
            </w:pPr>
            <w:r w:rsidRPr="00155DC5">
              <w:rPr>
                <w:lang w:eastAsia="en-AU"/>
              </w:rPr>
              <w:t>324,903</w:t>
            </w:r>
          </w:p>
        </w:tc>
        <w:tc>
          <w:tcPr>
            <w:tcW w:w="1414" w:type="dxa"/>
            <w:shd w:val="clear" w:color="auto" w:fill="C6D9F1" w:themeFill="text2" w:themeFillTint="33"/>
            <w:noWrap/>
            <w:vAlign w:val="center"/>
          </w:tcPr>
          <w:p w14:paraId="4A499E8B" w14:textId="77777777" w:rsidR="00953EF8" w:rsidRPr="00155DC5" w:rsidRDefault="00953EF8" w:rsidP="00CE2FDF">
            <w:pPr>
              <w:spacing w:before="0" w:after="120" w:line="276" w:lineRule="auto"/>
              <w:jc w:val="right"/>
              <w:rPr>
                <w:b/>
                <w:lang w:eastAsia="en-AU"/>
              </w:rPr>
            </w:pPr>
            <w:r w:rsidRPr="00155DC5">
              <w:rPr>
                <w:b/>
                <w:lang w:eastAsia="en-AU"/>
              </w:rPr>
              <w:t>457,585</w:t>
            </w:r>
          </w:p>
        </w:tc>
        <w:tc>
          <w:tcPr>
            <w:tcW w:w="1414" w:type="dxa"/>
            <w:shd w:val="clear" w:color="auto" w:fill="C6D9F1" w:themeFill="text2" w:themeFillTint="33"/>
            <w:noWrap/>
            <w:vAlign w:val="center"/>
          </w:tcPr>
          <w:p w14:paraId="0554244C" w14:textId="77777777" w:rsidR="00953EF8" w:rsidRPr="00155DC5" w:rsidRDefault="00953EF8" w:rsidP="00CE2FDF">
            <w:pPr>
              <w:spacing w:before="0" w:after="120" w:line="276" w:lineRule="auto"/>
              <w:jc w:val="right"/>
              <w:rPr>
                <w:lang w:eastAsia="en-AU"/>
              </w:rPr>
            </w:pPr>
            <w:r w:rsidRPr="00155DC5">
              <w:rPr>
                <w:lang w:eastAsia="en-AU"/>
              </w:rPr>
              <w:t>110,482</w:t>
            </w:r>
          </w:p>
        </w:tc>
        <w:tc>
          <w:tcPr>
            <w:tcW w:w="1414" w:type="dxa"/>
            <w:shd w:val="clear" w:color="auto" w:fill="C6D9F1" w:themeFill="text2" w:themeFillTint="33"/>
            <w:noWrap/>
            <w:vAlign w:val="center"/>
          </w:tcPr>
          <w:p w14:paraId="08013D5F" w14:textId="77777777" w:rsidR="00953EF8" w:rsidRPr="00155DC5" w:rsidRDefault="00953EF8" w:rsidP="00CE2FDF">
            <w:pPr>
              <w:spacing w:before="0" w:after="120" w:line="276" w:lineRule="auto"/>
              <w:jc w:val="right"/>
              <w:rPr>
                <w:b/>
                <w:lang w:eastAsia="en-AU"/>
              </w:rPr>
            </w:pPr>
            <w:r w:rsidRPr="00155DC5">
              <w:rPr>
                <w:b/>
                <w:lang w:eastAsia="en-AU"/>
              </w:rPr>
              <w:t>56,499</w:t>
            </w:r>
          </w:p>
        </w:tc>
        <w:tc>
          <w:tcPr>
            <w:tcW w:w="1414" w:type="dxa"/>
            <w:shd w:val="clear" w:color="auto" w:fill="C6D9F1" w:themeFill="text2" w:themeFillTint="33"/>
            <w:noWrap/>
            <w:vAlign w:val="center"/>
          </w:tcPr>
          <w:p w14:paraId="329C1D1C" w14:textId="77777777" w:rsidR="00953EF8" w:rsidRPr="00155DC5" w:rsidRDefault="00953EF8" w:rsidP="00CE2FDF">
            <w:pPr>
              <w:spacing w:before="0" w:after="120" w:line="276" w:lineRule="auto"/>
              <w:jc w:val="right"/>
              <w:rPr>
                <w:lang w:eastAsia="en-AU"/>
              </w:rPr>
            </w:pPr>
            <w:r w:rsidRPr="00155DC5">
              <w:rPr>
                <w:lang w:eastAsia="en-AU"/>
              </w:rPr>
              <w:t>71,549</w:t>
            </w:r>
          </w:p>
        </w:tc>
        <w:tc>
          <w:tcPr>
            <w:tcW w:w="1415" w:type="dxa"/>
            <w:shd w:val="clear" w:color="auto" w:fill="C6D9F1" w:themeFill="text2" w:themeFillTint="33"/>
            <w:noWrap/>
            <w:vAlign w:val="center"/>
          </w:tcPr>
          <w:p w14:paraId="2A158C79" w14:textId="77777777" w:rsidR="00953EF8" w:rsidRPr="00155DC5" w:rsidRDefault="00953EF8" w:rsidP="00CE2FDF">
            <w:pPr>
              <w:spacing w:before="0" w:after="120" w:line="276" w:lineRule="auto"/>
              <w:jc w:val="right"/>
              <w:rPr>
                <w:b/>
                <w:lang w:eastAsia="en-AU"/>
              </w:rPr>
            </w:pPr>
            <w:r w:rsidRPr="00155DC5">
              <w:rPr>
                <w:b/>
                <w:lang w:eastAsia="en-AU"/>
              </w:rPr>
              <w:t>4,534,816</w:t>
            </w:r>
          </w:p>
        </w:tc>
      </w:tr>
      <w:tr w:rsidR="00953EF8" w:rsidRPr="00155DC5" w14:paraId="60D1466A" w14:textId="77777777" w:rsidTr="00B349CA">
        <w:trPr>
          <w:trHeight w:val="288"/>
        </w:trPr>
        <w:tc>
          <w:tcPr>
            <w:tcW w:w="1414" w:type="dxa"/>
            <w:vAlign w:val="center"/>
          </w:tcPr>
          <w:p w14:paraId="70AB9BB1" w14:textId="77777777" w:rsidR="00953EF8" w:rsidRPr="00155DC5" w:rsidRDefault="00953EF8" w:rsidP="00CE2FDF">
            <w:pPr>
              <w:spacing w:before="0" w:after="120" w:line="276" w:lineRule="auto"/>
              <w:rPr>
                <w:lang w:eastAsia="en-AU"/>
              </w:rPr>
            </w:pPr>
            <w:r w:rsidRPr="00155DC5">
              <w:rPr>
                <w:lang w:eastAsia="en-AU"/>
              </w:rPr>
              <w:t>30 June 2006</w:t>
            </w:r>
          </w:p>
        </w:tc>
        <w:tc>
          <w:tcPr>
            <w:tcW w:w="1414" w:type="dxa"/>
            <w:noWrap/>
            <w:vAlign w:val="center"/>
          </w:tcPr>
          <w:p w14:paraId="0280C58C" w14:textId="77777777" w:rsidR="00953EF8" w:rsidRPr="00155DC5" w:rsidRDefault="00953EF8" w:rsidP="00CE2FDF">
            <w:pPr>
              <w:spacing w:before="0" w:after="120" w:line="276" w:lineRule="auto"/>
              <w:jc w:val="right"/>
              <w:rPr>
                <w:b/>
                <w:lang w:eastAsia="en-AU"/>
              </w:rPr>
            </w:pPr>
            <w:r w:rsidRPr="00155DC5">
              <w:rPr>
                <w:b/>
                <w:lang w:eastAsia="en-AU"/>
              </w:rPr>
              <w:t>1,517,997</w:t>
            </w:r>
          </w:p>
        </w:tc>
        <w:tc>
          <w:tcPr>
            <w:tcW w:w="1414" w:type="dxa"/>
            <w:noWrap/>
            <w:vAlign w:val="center"/>
          </w:tcPr>
          <w:p w14:paraId="2127433C" w14:textId="77777777" w:rsidR="00953EF8" w:rsidRPr="00155DC5" w:rsidRDefault="00953EF8" w:rsidP="00CE2FDF">
            <w:pPr>
              <w:spacing w:before="0" w:after="120" w:line="276" w:lineRule="auto"/>
              <w:jc w:val="right"/>
              <w:rPr>
                <w:lang w:eastAsia="en-AU"/>
              </w:rPr>
            </w:pPr>
            <w:r w:rsidRPr="00155DC5">
              <w:rPr>
                <w:lang w:eastAsia="en-AU"/>
              </w:rPr>
              <w:t>1,112,123</w:t>
            </w:r>
          </w:p>
        </w:tc>
        <w:tc>
          <w:tcPr>
            <w:tcW w:w="1414" w:type="dxa"/>
            <w:noWrap/>
            <w:vAlign w:val="center"/>
          </w:tcPr>
          <w:p w14:paraId="7A4B1130" w14:textId="77777777" w:rsidR="00953EF8" w:rsidRPr="00155DC5" w:rsidRDefault="00953EF8" w:rsidP="00CE2FDF">
            <w:pPr>
              <w:spacing w:before="0" w:after="120" w:line="276" w:lineRule="auto"/>
              <w:jc w:val="right"/>
              <w:rPr>
                <w:b/>
                <w:lang w:eastAsia="en-AU"/>
              </w:rPr>
            </w:pPr>
            <w:r w:rsidRPr="00155DC5">
              <w:rPr>
                <w:b/>
                <w:lang w:eastAsia="en-AU"/>
              </w:rPr>
              <w:t>950,777</w:t>
            </w:r>
          </w:p>
        </w:tc>
        <w:tc>
          <w:tcPr>
            <w:tcW w:w="1415" w:type="dxa"/>
            <w:noWrap/>
            <w:vAlign w:val="center"/>
          </w:tcPr>
          <w:p w14:paraId="2CDF5EB7" w14:textId="77777777" w:rsidR="00953EF8" w:rsidRPr="00155DC5" w:rsidRDefault="00953EF8" w:rsidP="00CE2FDF">
            <w:pPr>
              <w:spacing w:before="0" w:after="120" w:line="276" w:lineRule="auto"/>
              <w:jc w:val="right"/>
              <w:rPr>
                <w:lang w:eastAsia="en-AU"/>
              </w:rPr>
            </w:pPr>
            <w:r w:rsidRPr="00155DC5">
              <w:rPr>
                <w:lang w:eastAsia="en-AU"/>
              </w:rPr>
              <w:t>328,980</w:t>
            </w:r>
          </w:p>
        </w:tc>
        <w:tc>
          <w:tcPr>
            <w:tcW w:w="1414" w:type="dxa"/>
            <w:noWrap/>
            <w:vAlign w:val="center"/>
          </w:tcPr>
          <w:p w14:paraId="10416B20" w14:textId="77777777" w:rsidR="00953EF8" w:rsidRPr="00155DC5" w:rsidRDefault="00953EF8" w:rsidP="00CE2FDF">
            <w:pPr>
              <w:spacing w:before="0" w:after="120" w:line="276" w:lineRule="auto"/>
              <w:jc w:val="right"/>
              <w:rPr>
                <w:b/>
                <w:lang w:eastAsia="en-AU"/>
              </w:rPr>
            </w:pPr>
            <w:r w:rsidRPr="00155DC5">
              <w:rPr>
                <w:b/>
                <w:lang w:eastAsia="en-AU"/>
              </w:rPr>
              <w:t>468,946</w:t>
            </w:r>
          </w:p>
        </w:tc>
        <w:tc>
          <w:tcPr>
            <w:tcW w:w="1414" w:type="dxa"/>
            <w:noWrap/>
            <w:vAlign w:val="center"/>
          </w:tcPr>
          <w:p w14:paraId="38B75988" w14:textId="77777777" w:rsidR="00953EF8" w:rsidRPr="00155DC5" w:rsidRDefault="00953EF8" w:rsidP="00CE2FDF">
            <w:pPr>
              <w:spacing w:before="0" w:after="120" w:line="276" w:lineRule="auto"/>
              <w:jc w:val="right"/>
              <w:rPr>
                <w:lang w:eastAsia="en-AU"/>
              </w:rPr>
            </w:pPr>
            <w:r w:rsidRPr="00155DC5">
              <w:rPr>
                <w:lang w:eastAsia="en-AU"/>
              </w:rPr>
              <w:t>110,501</w:t>
            </w:r>
          </w:p>
        </w:tc>
        <w:tc>
          <w:tcPr>
            <w:tcW w:w="1414" w:type="dxa"/>
            <w:noWrap/>
            <w:vAlign w:val="center"/>
          </w:tcPr>
          <w:p w14:paraId="6CF28501" w14:textId="77777777" w:rsidR="00953EF8" w:rsidRPr="00155DC5" w:rsidRDefault="00953EF8" w:rsidP="00CE2FDF">
            <w:pPr>
              <w:spacing w:before="0" w:after="120" w:line="276" w:lineRule="auto"/>
              <w:jc w:val="right"/>
              <w:rPr>
                <w:b/>
                <w:lang w:eastAsia="en-AU"/>
              </w:rPr>
            </w:pPr>
            <w:r w:rsidRPr="00155DC5">
              <w:rPr>
                <w:b/>
                <w:lang w:eastAsia="en-AU"/>
              </w:rPr>
              <w:t>58,149</w:t>
            </w:r>
          </w:p>
        </w:tc>
        <w:tc>
          <w:tcPr>
            <w:tcW w:w="1414" w:type="dxa"/>
            <w:noWrap/>
            <w:vAlign w:val="center"/>
          </w:tcPr>
          <w:p w14:paraId="2EE565F5" w14:textId="77777777" w:rsidR="00953EF8" w:rsidRPr="00155DC5" w:rsidRDefault="00953EF8" w:rsidP="00CE2FDF">
            <w:pPr>
              <w:spacing w:before="0" w:after="120" w:line="276" w:lineRule="auto"/>
              <w:jc w:val="right"/>
              <w:rPr>
                <w:lang w:eastAsia="en-AU"/>
              </w:rPr>
            </w:pPr>
            <w:r w:rsidRPr="00155DC5">
              <w:rPr>
                <w:lang w:eastAsia="en-AU"/>
              </w:rPr>
              <w:t>71,661</w:t>
            </w:r>
          </w:p>
        </w:tc>
        <w:tc>
          <w:tcPr>
            <w:tcW w:w="1415" w:type="dxa"/>
            <w:noWrap/>
            <w:vAlign w:val="center"/>
          </w:tcPr>
          <w:p w14:paraId="318545BE" w14:textId="77777777" w:rsidR="00953EF8" w:rsidRPr="00155DC5" w:rsidRDefault="00953EF8" w:rsidP="00CE2FDF">
            <w:pPr>
              <w:spacing w:before="0" w:after="120" w:line="276" w:lineRule="auto"/>
              <w:jc w:val="right"/>
              <w:rPr>
                <w:b/>
                <w:lang w:eastAsia="en-AU"/>
              </w:rPr>
            </w:pPr>
            <w:r w:rsidRPr="00155DC5">
              <w:rPr>
                <w:b/>
                <w:lang w:eastAsia="en-AU"/>
              </w:rPr>
              <w:t>4,619,744</w:t>
            </w:r>
          </w:p>
        </w:tc>
      </w:tr>
      <w:tr w:rsidR="00953EF8" w:rsidRPr="00155DC5" w14:paraId="259430D6" w14:textId="77777777" w:rsidTr="00B349CA">
        <w:trPr>
          <w:trHeight w:val="288"/>
        </w:trPr>
        <w:tc>
          <w:tcPr>
            <w:tcW w:w="1414" w:type="dxa"/>
            <w:shd w:val="clear" w:color="auto" w:fill="C6D9F1" w:themeFill="text2" w:themeFillTint="33"/>
            <w:vAlign w:val="center"/>
          </w:tcPr>
          <w:p w14:paraId="578739C8" w14:textId="77777777" w:rsidR="00953EF8" w:rsidRPr="00155DC5" w:rsidRDefault="00953EF8" w:rsidP="00CE2FDF">
            <w:pPr>
              <w:spacing w:before="0" w:after="120" w:line="276" w:lineRule="auto"/>
              <w:rPr>
                <w:lang w:eastAsia="en-AU"/>
              </w:rPr>
            </w:pPr>
            <w:r w:rsidRPr="00155DC5">
              <w:rPr>
                <w:lang w:eastAsia="en-AU"/>
              </w:rPr>
              <w:t>30 June 2007</w:t>
            </w:r>
          </w:p>
        </w:tc>
        <w:tc>
          <w:tcPr>
            <w:tcW w:w="1414" w:type="dxa"/>
            <w:shd w:val="clear" w:color="auto" w:fill="C6D9F1" w:themeFill="text2" w:themeFillTint="33"/>
            <w:noWrap/>
            <w:vAlign w:val="center"/>
          </w:tcPr>
          <w:p w14:paraId="79C08F5C" w14:textId="77777777" w:rsidR="00953EF8" w:rsidRPr="00155DC5" w:rsidRDefault="00953EF8" w:rsidP="00CE2FDF">
            <w:pPr>
              <w:spacing w:before="0" w:after="120" w:line="276" w:lineRule="auto"/>
              <w:jc w:val="right"/>
              <w:rPr>
                <w:b/>
                <w:lang w:eastAsia="en-AU"/>
              </w:rPr>
            </w:pPr>
            <w:r w:rsidRPr="00155DC5">
              <w:rPr>
                <w:b/>
                <w:lang w:eastAsia="en-AU"/>
              </w:rPr>
              <w:t>1,519,709</w:t>
            </w:r>
          </w:p>
        </w:tc>
        <w:tc>
          <w:tcPr>
            <w:tcW w:w="1414" w:type="dxa"/>
            <w:shd w:val="clear" w:color="auto" w:fill="C6D9F1" w:themeFill="text2" w:themeFillTint="33"/>
            <w:noWrap/>
            <w:vAlign w:val="center"/>
          </w:tcPr>
          <w:p w14:paraId="6B48B73A" w14:textId="77777777" w:rsidR="00953EF8" w:rsidRPr="00155DC5" w:rsidRDefault="00953EF8" w:rsidP="00CE2FDF">
            <w:pPr>
              <w:spacing w:before="0" w:after="120" w:line="276" w:lineRule="auto"/>
              <w:jc w:val="right"/>
              <w:rPr>
                <w:lang w:eastAsia="en-AU"/>
              </w:rPr>
            </w:pPr>
            <w:r w:rsidRPr="00155DC5">
              <w:rPr>
                <w:lang w:eastAsia="en-AU"/>
              </w:rPr>
              <w:t>1,119,696</w:t>
            </w:r>
          </w:p>
        </w:tc>
        <w:tc>
          <w:tcPr>
            <w:tcW w:w="1414" w:type="dxa"/>
            <w:shd w:val="clear" w:color="auto" w:fill="C6D9F1" w:themeFill="text2" w:themeFillTint="33"/>
            <w:noWrap/>
            <w:vAlign w:val="center"/>
          </w:tcPr>
          <w:p w14:paraId="5FAA212E" w14:textId="77777777" w:rsidR="00953EF8" w:rsidRPr="00155DC5" w:rsidRDefault="00953EF8" w:rsidP="00CE2FDF">
            <w:pPr>
              <w:spacing w:before="0" w:after="120" w:line="276" w:lineRule="auto"/>
              <w:jc w:val="right"/>
              <w:rPr>
                <w:b/>
                <w:lang w:eastAsia="en-AU"/>
              </w:rPr>
            </w:pPr>
            <w:r w:rsidRPr="00155DC5">
              <w:rPr>
                <w:b/>
                <w:lang w:eastAsia="en-AU"/>
              </w:rPr>
              <w:t>964,327</w:t>
            </w:r>
          </w:p>
        </w:tc>
        <w:tc>
          <w:tcPr>
            <w:tcW w:w="1415" w:type="dxa"/>
            <w:shd w:val="clear" w:color="auto" w:fill="C6D9F1" w:themeFill="text2" w:themeFillTint="33"/>
            <w:noWrap/>
            <w:vAlign w:val="center"/>
          </w:tcPr>
          <w:p w14:paraId="1CC7DE52" w14:textId="77777777" w:rsidR="00953EF8" w:rsidRPr="00155DC5" w:rsidRDefault="00953EF8" w:rsidP="00CE2FDF">
            <w:pPr>
              <w:spacing w:before="0" w:after="120" w:line="276" w:lineRule="auto"/>
              <w:jc w:val="right"/>
              <w:rPr>
                <w:lang w:eastAsia="en-AU"/>
              </w:rPr>
            </w:pPr>
            <w:r w:rsidRPr="00155DC5">
              <w:rPr>
                <w:lang w:eastAsia="en-AU"/>
              </w:rPr>
              <w:t>329,464</w:t>
            </w:r>
          </w:p>
        </w:tc>
        <w:tc>
          <w:tcPr>
            <w:tcW w:w="1414" w:type="dxa"/>
            <w:shd w:val="clear" w:color="auto" w:fill="C6D9F1" w:themeFill="text2" w:themeFillTint="33"/>
            <w:noWrap/>
            <w:vAlign w:val="center"/>
          </w:tcPr>
          <w:p w14:paraId="3AA8A5E3" w14:textId="77777777" w:rsidR="00953EF8" w:rsidRPr="00155DC5" w:rsidRDefault="00953EF8" w:rsidP="00CE2FDF">
            <w:pPr>
              <w:spacing w:before="0" w:after="120" w:line="276" w:lineRule="auto"/>
              <w:jc w:val="right"/>
              <w:rPr>
                <w:b/>
                <w:lang w:eastAsia="en-AU"/>
              </w:rPr>
            </w:pPr>
            <w:r w:rsidRPr="00155DC5">
              <w:rPr>
                <w:b/>
                <w:lang w:eastAsia="en-AU"/>
              </w:rPr>
              <w:t>475,801</w:t>
            </w:r>
          </w:p>
        </w:tc>
        <w:tc>
          <w:tcPr>
            <w:tcW w:w="1414" w:type="dxa"/>
            <w:shd w:val="clear" w:color="auto" w:fill="C6D9F1" w:themeFill="text2" w:themeFillTint="33"/>
            <w:noWrap/>
            <w:vAlign w:val="center"/>
          </w:tcPr>
          <w:p w14:paraId="72F0D4D9" w14:textId="77777777" w:rsidR="00953EF8" w:rsidRPr="00155DC5" w:rsidRDefault="00953EF8" w:rsidP="00CE2FDF">
            <w:pPr>
              <w:spacing w:before="0" w:after="120" w:line="276" w:lineRule="auto"/>
              <w:jc w:val="right"/>
              <w:rPr>
                <w:lang w:eastAsia="en-AU"/>
              </w:rPr>
            </w:pPr>
            <w:r w:rsidRPr="00155DC5">
              <w:rPr>
                <w:lang w:eastAsia="en-AU"/>
              </w:rPr>
              <w:t>110,459</w:t>
            </w:r>
          </w:p>
        </w:tc>
        <w:tc>
          <w:tcPr>
            <w:tcW w:w="1414" w:type="dxa"/>
            <w:shd w:val="clear" w:color="auto" w:fill="C6D9F1" w:themeFill="text2" w:themeFillTint="33"/>
            <w:noWrap/>
            <w:vAlign w:val="center"/>
          </w:tcPr>
          <w:p w14:paraId="1C226B71" w14:textId="77777777" w:rsidR="00953EF8" w:rsidRPr="00155DC5" w:rsidRDefault="00953EF8" w:rsidP="00CE2FDF">
            <w:pPr>
              <w:spacing w:before="0" w:after="120" w:line="276" w:lineRule="auto"/>
              <w:jc w:val="right"/>
              <w:rPr>
                <w:b/>
                <w:lang w:eastAsia="en-AU"/>
              </w:rPr>
            </w:pPr>
            <w:r w:rsidRPr="00155DC5">
              <w:rPr>
                <w:b/>
                <w:lang w:eastAsia="en-AU"/>
              </w:rPr>
              <w:t>58,348</w:t>
            </w:r>
          </w:p>
        </w:tc>
        <w:tc>
          <w:tcPr>
            <w:tcW w:w="1414" w:type="dxa"/>
            <w:shd w:val="clear" w:color="auto" w:fill="C6D9F1" w:themeFill="text2" w:themeFillTint="33"/>
            <w:noWrap/>
            <w:vAlign w:val="center"/>
          </w:tcPr>
          <w:p w14:paraId="6F808306" w14:textId="77777777" w:rsidR="00953EF8" w:rsidRPr="00155DC5" w:rsidRDefault="00953EF8" w:rsidP="00CE2FDF">
            <w:pPr>
              <w:spacing w:before="0" w:after="120" w:line="276" w:lineRule="auto"/>
              <w:jc w:val="right"/>
              <w:rPr>
                <w:lang w:eastAsia="en-AU"/>
              </w:rPr>
            </w:pPr>
            <w:r w:rsidRPr="00155DC5">
              <w:rPr>
                <w:lang w:eastAsia="en-AU"/>
              </w:rPr>
              <w:t>72,317</w:t>
            </w:r>
          </w:p>
        </w:tc>
        <w:tc>
          <w:tcPr>
            <w:tcW w:w="1415" w:type="dxa"/>
            <w:shd w:val="clear" w:color="auto" w:fill="C6D9F1" w:themeFill="text2" w:themeFillTint="33"/>
            <w:noWrap/>
            <w:vAlign w:val="center"/>
          </w:tcPr>
          <w:p w14:paraId="302F6721" w14:textId="77777777" w:rsidR="00953EF8" w:rsidRPr="00155DC5" w:rsidRDefault="00953EF8" w:rsidP="00CE2FDF">
            <w:pPr>
              <w:spacing w:before="0" w:after="120" w:line="276" w:lineRule="auto"/>
              <w:jc w:val="right"/>
              <w:rPr>
                <w:b/>
                <w:lang w:eastAsia="en-AU"/>
              </w:rPr>
            </w:pPr>
            <w:r w:rsidRPr="00155DC5">
              <w:rPr>
                <w:b/>
                <w:lang w:eastAsia="en-AU"/>
              </w:rPr>
              <w:t>4,650,728</w:t>
            </w:r>
          </w:p>
        </w:tc>
      </w:tr>
      <w:tr w:rsidR="00953EF8" w:rsidRPr="00155DC5" w14:paraId="314DB06B" w14:textId="77777777" w:rsidTr="00B349CA">
        <w:trPr>
          <w:trHeight w:val="288"/>
        </w:trPr>
        <w:tc>
          <w:tcPr>
            <w:tcW w:w="1414" w:type="dxa"/>
            <w:vAlign w:val="center"/>
          </w:tcPr>
          <w:p w14:paraId="41223F09" w14:textId="77777777" w:rsidR="00953EF8" w:rsidRPr="00155DC5" w:rsidRDefault="00953EF8" w:rsidP="00CE2FDF">
            <w:pPr>
              <w:keepNext/>
              <w:spacing w:before="0" w:after="120" w:line="276" w:lineRule="auto"/>
              <w:rPr>
                <w:lang w:eastAsia="en-AU"/>
              </w:rPr>
            </w:pPr>
            <w:r w:rsidRPr="00155DC5">
              <w:rPr>
                <w:lang w:eastAsia="en-AU"/>
              </w:rPr>
              <w:t>30 June 2008</w:t>
            </w:r>
          </w:p>
        </w:tc>
        <w:tc>
          <w:tcPr>
            <w:tcW w:w="1414" w:type="dxa"/>
            <w:noWrap/>
            <w:vAlign w:val="center"/>
          </w:tcPr>
          <w:p w14:paraId="59D90613" w14:textId="77777777" w:rsidR="00953EF8" w:rsidRPr="00155DC5" w:rsidRDefault="00953EF8" w:rsidP="00CE2FDF">
            <w:pPr>
              <w:keepNext/>
              <w:spacing w:before="0" w:after="120" w:line="276" w:lineRule="auto"/>
              <w:jc w:val="right"/>
              <w:rPr>
                <w:b/>
                <w:lang w:eastAsia="en-AU"/>
              </w:rPr>
            </w:pPr>
            <w:r w:rsidRPr="00155DC5">
              <w:rPr>
                <w:b/>
                <w:lang w:eastAsia="en-AU"/>
              </w:rPr>
              <w:t>1,524,136</w:t>
            </w:r>
          </w:p>
        </w:tc>
        <w:tc>
          <w:tcPr>
            <w:tcW w:w="1414" w:type="dxa"/>
            <w:noWrap/>
            <w:vAlign w:val="center"/>
          </w:tcPr>
          <w:p w14:paraId="75CADD84" w14:textId="77777777" w:rsidR="00953EF8" w:rsidRPr="00155DC5" w:rsidRDefault="00953EF8" w:rsidP="00CE2FDF">
            <w:pPr>
              <w:keepNext/>
              <w:spacing w:before="0" w:after="120" w:line="276" w:lineRule="auto"/>
              <w:jc w:val="right"/>
              <w:rPr>
                <w:lang w:eastAsia="en-AU"/>
              </w:rPr>
            </w:pPr>
            <w:r w:rsidRPr="00155DC5">
              <w:rPr>
                <w:lang w:eastAsia="en-AU"/>
              </w:rPr>
              <w:t>1,133,638</w:t>
            </w:r>
          </w:p>
        </w:tc>
        <w:tc>
          <w:tcPr>
            <w:tcW w:w="1414" w:type="dxa"/>
            <w:noWrap/>
            <w:vAlign w:val="center"/>
          </w:tcPr>
          <w:p w14:paraId="02A11043" w14:textId="77777777" w:rsidR="00953EF8" w:rsidRPr="00155DC5" w:rsidRDefault="00953EF8" w:rsidP="00CE2FDF">
            <w:pPr>
              <w:keepNext/>
              <w:spacing w:before="0" w:after="120" w:line="276" w:lineRule="auto"/>
              <w:jc w:val="right"/>
              <w:rPr>
                <w:b/>
                <w:lang w:eastAsia="en-AU"/>
              </w:rPr>
            </w:pPr>
            <w:r w:rsidRPr="00155DC5">
              <w:rPr>
                <w:b/>
                <w:lang w:eastAsia="en-AU"/>
              </w:rPr>
              <w:t>988,276</w:t>
            </w:r>
          </w:p>
        </w:tc>
        <w:tc>
          <w:tcPr>
            <w:tcW w:w="1415" w:type="dxa"/>
            <w:noWrap/>
            <w:vAlign w:val="center"/>
          </w:tcPr>
          <w:p w14:paraId="77F97ED4" w14:textId="77777777" w:rsidR="00953EF8" w:rsidRPr="00155DC5" w:rsidRDefault="00953EF8" w:rsidP="00CE2FDF">
            <w:pPr>
              <w:keepNext/>
              <w:spacing w:before="0" w:after="120" w:line="276" w:lineRule="auto"/>
              <w:jc w:val="right"/>
              <w:rPr>
                <w:lang w:eastAsia="en-AU"/>
              </w:rPr>
            </w:pPr>
            <w:r w:rsidRPr="00155DC5">
              <w:rPr>
                <w:lang w:eastAsia="en-AU"/>
              </w:rPr>
              <w:t>331,525</w:t>
            </w:r>
          </w:p>
        </w:tc>
        <w:tc>
          <w:tcPr>
            <w:tcW w:w="1414" w:type="dxa"/>
            <w:noWrap/>
            <w:vAlign w:val="center"/>
          </w:tcPr>
          <w:p w14:paraId="39837677" w14:textId="77777777" w:rsidR="00953EF8" w:rsidRPr="00155DC5" w:rsidRDefault="00953EF8" w:rsidP="00CE2FDF">
            <w:pPr>
              <w:keepNext/>
              <w:spacing w:before="0" w:after="120" w:line="276" w:lineRule="auto"/>
              <w:jc w:val="right"/>
              <w:rPr>
                <w:b/>
                <w:lang w:eastAsia="en-AU"/>
              </w:rPr>
            </w:pPr>
            <w:r w:rsidRPr="00155DC5">
              <w:rPr>
                <w:b/>
                <w:lang w:eastAsia="en-AU"/>
              </w:rPr>
              <w:t>487,786</w:t>
            </w:r>
          </w:p>
        </w:tc>
        <w:tc>
          <w:tcPr>
            <w:tcW w:w="1414" w:type="dxa"/>
            <w:noWrap/>
            <w:vAlign w:val="center"/>
          </w:tcPr>
          <w:p w14:paraId="03648FEC" w14:textId="77777777" w:rsidR="00953EF8" w:rsidRPr="00155DC5" w:rsidRDefault="00953EF8" w:rsidP="00CE2FDF">
            <w:pPr>
              <w:keepNext/>
              <w:spacing w:before="0" w:after="120" w:line="276" w:lineRule="auto"/>
              <w:jc w:val="right"/>
              <w:rPr>
                <w:lang w:eastAsia="en-AU"/>
              </w:rPr>
            </w:pPr>
            <w:r w:rsidRPr="00155DC5">
              <w:rPr>
                <w:lang w:eastAsia="en-AU"/>
              </w:rPr>
              <w:t>110,948</w:t>
            </w:r>
          </w:p>
        </w:tc>
        <w:tc>
          <w:tcPr>
            <w:tcW w:w="1414" w:type="dxa"/>
            <w:noWrap/>
            <w:vAlign w:val="center"/>
          </w:tcPr>
          <w:p w14:paraId="43F1F84C" w14:textId="77777777" w:rsidR="00953EF8" w:rsidRPr="00155DC5" w:rsidRDefault="00953EF8" w:rsidP="00CE2FDF">
            <w:pPr>
              <w:keepNext/>
              <w:spacing w:before="0" w:after="120" w:line="276" w:lineRule="auto"/>
              <w:jc w:val="right"/>
              <w:rPr>
                <w:b/>
                <w:lang w:eastAsia="en-AU"/>
              </w:rPr>
            </w:pPr>
            <w:r w:rsidRPr="00155DC5">
              <w:rPr>
                <w:b/>
                <w:lang w:eastAsia="en-AU"/>
              </w:rPr>
              <w:t>59,053</w:t>
            </w:r>
          </w:p>
        </w:tc>
        <w:tc>
          <w:tcPr>
            <w:tcW w:w="1414" w:type="dxa"/>
            <w:noWrap/>
            <w:vAlign w:val="center"/>
          </w:tcPr>
          <w:p w14:paraId="34CF51DA" w14:textId="77777777" w:rsidR="00953EF8" w:rsidRPr="00155DC5" w:rsidRDefault="00953EF8" w:rsidP="00CE2FDF">
            <w:pPr>
              <w:keepNext/>
              <w:spacing w:before="0" w:after="120" w:line="276" w:lineRule="auto"/>
              <w:jc w:val="right"/>
              <w:rPr>
                <w:lang w:eastAsia="en-AU"/>
              </w:rPr>
            </w:pPr>
            <w:r w:rsidRPr="00155DC5">
              <w:rPr>
                <w:lang w:eastAsia="en-AU"/>
              </w:rPr>
              <w:t>72,960</w:t>
            </w:r>
          </w:p>
        </w:tc>
        <w:tc>
          <w:tcPr>
            <w:tcW w:w="1415" w:type="dxa"/>
            <w:noWrap/>
            <w:vAlign w:val="center"/>
          </w:tcPr>
          <w:p w14:paraId="1083F4A9" w14:textId="77777777" w:rsidR="00953EF8" w:rsidRPr="00155DC5" w:rsidRDefault="00953EF8" w:rsidP="00CE2FDF">
            <w:pPr>
              <w:keepNext/>
              <w:spacing w:before="0" w:after="120" w:line="276" w:lineRule="auto"/>
              <w:jc w:val="right"/>
              <w:rPr>
                <w:b/>
                <w:lang w:eastAsia="en-AU"/>
              </w:rPr>
            </w:pPr>
            <w:r w:rsidRPr="00155DC5">
              <w:rPr>
                <w:b/>
                <w:lang w:eastAsia="en-AU"/>
              </w:rPr>
              <w:t>4,708,927</w:t>
            </w:r>
          </w:p>
        </w:tc>
      </w:tr>
      <w:tr w:rsidR="00953EF8" w:rsidRPr="00155DC5" w14:paraId="09CF2410" w14:textId="77777777" w:rsidTr="00B349CA">
        <w:trPr>
          <w:trHeight w:val="288"/>
        </w:trPr>
        <w:tc>
          <w:tcPr>
            <w:tcW w:w="1414" w:type="dxa"/>
            <w:shd w:val="clear" w:color="auto" w:fill="C6D9F1" w:themeFill="text2" w:themeFillTint="33"/>
            <w:vAlign w:val="center"/>
          </w:tcPr>
          <w:p w14:paraId="0C75B51E" w14:textId="77777777" w:rsidR="00953EF8" w:rsidRPr="00155DC5" w:rsidRDefault="00953EF8" w:rsidP="00CE2FDF">
            <w:pPr>
              <w:spacing w:before="0" w:after="120" w:line="276" w:lineRule="auto"/>
              <w:rPr>
                <w:lang w:eastAsia="en-AU"/>
              </w:rPr>
            </w:pPr>
            <w:r w:rsidRPr="00155DC5">
              <w:rPr>
                <w:lang w:eastAsia="en-AU"/>
              </w:rPr>
              <w:t>30 June 2009</w:t>
            </w:r>
          </w:p>
        </w:tc>
        <w:tc>
          <w:tcPr>
            <w:tcW w:w="1414" w:type="dxa"/>
            <w:shd w:val="clear" w:color="auto" w:fill="C6D9F1" w:themeFill="text2" w:themeFillTint="33"/>
            <w:noWrap/>
            <w:vAlign w:val="center"/>
          </w:tcPr>
          <w:p w14:paraId="1AB1F4E0" w14:textId="77777777" w:rsidR="00953EF8" w:rsidRPr="00155DC5" w:rsidRDefault="00953EF8" w:rsidP="00CE2FDF">
            <w:pPr>
              <w:spacing w:before="0" w:after="120" w:line="276" w:lineRule="auto"/>
              <w:jc w:val="right"/>
              <w:rPr>
                <w:b/>
                <w:lang w:eastAsia="en-AU"/>
              </w:rPr>
            </w:pPr>
            <w:r w:rsidRPr="00155DC5">
              <w:rPr>
                <w:b/>
                <w:lang w:eastAsia="en-AU"/>
              </w:rPr>
              <w:t>1,531,324</w:t>
            </w:r>
          </w:p>
        </w:tc>
        <w:tc>
          <w:tcPr>
            <w:tcW w:w="1414" w:type="dxa"/>
            <w:shd w:val="clear" w:color="auto" w:fill="C6D9F1" w:themeFill="text2" w:themeFillTint="33"/>
            <w:noWrap/>
            <w:vAlign w:val="center"/>
          </w:tcPr>
          <w:p w14:paraId="380BF8F6" w14:textId="77777777" w:rsidR="00953EF8" w:rsidRPr="00155DC5" w:rsidRDefault="00953EF8" w:rsidP="00CE2FDF">
            <w:pPr>
              <w:spacing w:before="0" w:after="120" w:line="276" w:lineRule="auto"/>
              <w:jc w:val="right"/>
              <w:rPr>
                <w:lang w:eastAsia="en-AU"/>
              </w:rPr>
            </w:pPr>
            <w:r w:rsidRPr="00155DC5">
              <w:rPr>
                <w:lang w:eastAsia="en-AU"/>
              </w:rPr>
              <w:t>1,147,242</w:t>
            </w:r>
          </w:p>
        </w:tc>
        <w:tc>
          <w:tcPr>
            <w:tcW w:w="1414" w:type="dxa"/>
            <w:shd w:val="clear" w:color="auto" w:fill="C6D9F1" w:themeFill="text2" w:themeFillTint="33"/>
            <w:noWrap/>
            <w:vAlign w:val="center"/>
          </w:tcPr>
          <w:p w14:paraId="3E5AC910" w14:textId="77777777" w:rsidR="00953EF8" w:rsidRPr="00155DC5" w:rsidRDefault="00953EF8" w:rsidP="00CE2FDF">
            <w:pPr>
              <w:spacing w:before="0" w:after="120" w:line="276" w:lineRule="auto"/>
              <w:jc w:val="right"/>
              <w:rPr>
                <w:b/>
                <w:lang w:eastAsia="en-AU"/>
              </w:rPr>
            </w:pPr>
            <w:r w:rsidRPr="00155DC5">
              <w:rPr>
                <w:b/>
                <w:lang w:eastAsia="en-AU"/>
              </w:rPr>
              <w:t>1,009,698</w:t>
            </w:r>
          </w:p>
        </w:tc>
        <w:tc>
          <w:tcPr>
            <w:tcW w:w="1415" w:type="dxa"/>
            <w:shd w:val="clear" w:color="auto" w:fill="C6D9F1" w:themeFill="text2" w:themeFillTint="33"/>
            <w:noWrap/>
            <w:vAlign w:val="center"/>
          </w:tcPr>
          <w:p w14:paraId="3BE04088" w14:textId="77777777" w:rsidR="00953EF8" w:rsidRPr="00155DC5" w:rsidRDefault="00953EF8" w:rsidP="00CE2FDF">
            <w:pPr>
              <w:spacing w:before="0" w:after="120" w:line="276" w:lineRule="auto"/>
              <w:jc w:val="right"/>
              <w:rPr>
                <w:lang w:eastAsia="en-AU"/>
              </w:rPr>
            </w:pPr>
            <w:r w:rsidRPr="00155DC5">
              <w:rPr>
                <w:lang w:eastAsia="en-AU"/>
              </w:rPr>
              <w:t>332,841</w:t>
            </w:r>
          </w:p>
        </w:tc>
        <w:tc>
          <w:tcPr>
            <w:tcW w:w="1414" w:type="dxa"/>
            <w:shd w:val="clear" w:color="auto" w:fill="C6D9F1" w:themeFill="text2" w:themeFillTint="33"/>
            <w:noWrap/>
            <w:vAlign w:val="center"/>
          </w:tcPr>
          <w:p w14:paraId="25187374" w14:textId="77777777" w:rsidR="00953EF8" w:rsidRPr="00155DC5" w:rsidRDefault="00953EF8" w:rsidP="00CE2FDF">
            <w:pPr>
              <w:spacing w:before="0" w:after="120" w:line="276" w:lineRule="auto"/>
              <w:jc w:val="right"/>
              <w:rPr>
                <w:b/>
                <w:lang w:eastAsia="en-AU"/>
              </w:rPr>
            </w:pPr>
            <w:r w:rsidRPr="00155DC5">
              <w:rPr>
                <w:b/>
                <w:lang w:eastAsia="en-AU"/>
              </w:rPr>
              <w:t>499,540</w:t>
            </w:r>
          </w:p>
        </w:tc>
        <w:tc>
          <w:tcPr>
            <w:tcW w:w="1414" w:type="dxa"/>
            <w:shd w:val="clear" w:color="auto" w:fill="C6D9F1" w:themeFill="text2" w:themeFillTint="33"/>
            <w:noWrap/>
            <w:vAlign w:val="center"/>
          </w:tcPr>
          <w:p w14:paraId="3611FF02" w14:textId="77777777" w:rsidR="00953EF8" w:rsidRPr="00155DC5" w:rsidRDefault="00953EF8" w:rsidP="00CE2FDF">
            <w:pPr>
              <w:spacing w:before="0" w:after="120" w:line="276" w:lineRule="auto"/>
              <w:jc w:val="right"/>
              <w:rPr>
                <w:lang w:eastAsia="en-AU"/>
              </w:rPr>
            </w:pPr>
            <w:r w:rsidRPr="00155DC5">
              <w:rPr>
                <w:lang w:eastAsia="en-AU"/>
              </w:rPr>
              <w:t>111,597</w:t>
            </w:r>
          </w:p>
        </w:tc>
        <w:tc>
          <w:tcPr>
            <w:tcW w:w="1414" w:type="dxa"/>
            <w:shd w:val="clear" w:color="auto" w:fill="C6D9F1" w:themeFill="text2" w:themeFillTint="33"/>
            <w:noWrap/>
            <w:vAlign w:val="center"/>
          </w:tcPr>
          <w:p w14:paraId="6B70CFB5" w14:textId="77777777" w:rsidR="00953EF8" w:rsidRPr="00155DC5" w:rsidRDefault="00953EF8" w:rsidP="00CE2FDF">
            <w:pPr>
              <w:spacing w:before="0" w:after="120" w:line="276" w:lineRule="auto"/>
              <w:jc w:val="right"/>
              <w:rPr>
                <w:b/>
                <w:lang w:eastAsia="en-AU"/>
              </w:rPr>
            </w:pPr>
            <w:r w:rsidRPr="00155DC5">
              <w:rPr>
                <w:b/>
                <w:lang w:eastAsia="en-AU"/>
              </w:rPr>
              <w:t>59,365</w:t>
            </w:r>
          </w:p>
        </w:tc>
        <w:tc>
          <w:tcPr>
            <w:tcW w:w="1414" w:type="dxa"/>
            <w:shd w:val="clear" w:color="auto" w:fill="C6D9F1" w:themeFill="text2" w:themeFillTint="33"/>
            <w:noWrap/>
            <w:vAlign w:val="center"/>
          </w:tcPr>
          <w:p w14:paraId="61DD46BE" w14:textId="77777777" w:rsidR="00953EF8" w:rsidRPr="00155DC5" w:rsidRDefault="00953EF8" w:rsidP="00CE2FDF">
            <w:pPr>
              <w:spacing w:before="0" w:after="120" w:line="276" w:lineRule="auto"/>
              <w:jc w:val="right"/>
              <w:rPr>
                <w:lang w:eastAsia="en-AU"/>
              </w:rPr>
            </w:pPr>
            <w:r w:rsidRPr="00155DC5">
              <w:rPr>
                <w:lang w:eastAsia="en-AU"/>
              </w:rPr>
              <w:t>73,836</w:t>
            </w:r>
          </w:p>
        </w:tc>
        <w:tc>
          <w:tcPr>
            <w:tcW w:w="1415" w:type="dxa"/>
            <w:shd w:val="clear" w:color="auto" w:fill="C6D9F1" w:themeFill="text2" w:themeFillTint="33"/>
            <w:noWrap/>
            <w:vAlign w:val="center"/>
          </w:tcPr>
          <w:p w14:paraId="00EFC7C3" w14:textId="77777777" w:rsidR="00953EF8" w:rsidRPr="00155DC5" w:rsidRDefault="00953EF8" w:rsidP="00CE2FDF">
            <w:pPr>
              <w:spacing w:before="0" w:after="120" w:line="276" w:lineRule="auto"/>
              <w:jc w:val="right"/>
              <w:rPr>
                <w:b/>
                <w:lang w:eastAsia="en-AU"/>
              </w:rPr>
            </w:pPr>
            <w:r w:rsidRPr="00155DC5">
              <w:rPr>
                <w:b/>
                <w:lang w:eastAsia="en-AU"/>
              </w:rPr>
              <w:t>4,766,307</w:t>
            </w:r>
          </w:p>
        </w:tc>
      </w:tr>
      <w:tr w:rsidR="00953EF8" w:rsidRPr="00155DC5" w14:paraId="615E5909" w14:textId="77777777" w:rsidTr="00B349CA">
        <w:trPr>
          <w:trHeight w:val="288"/>
        </w:trPr>
        <w:tc>
          <w:tcPr>
            <w:tcW w:w="1414" w:type="dxa"/>
            <w:vAlign w:val="center"/>
          </w:tcPr>
          <w:p w14:paraId="6AA73155" w14:textId="77777777" w:rsidR="00953EF8" w:rsidRPr="00155DC5" w:rsidRDefault="00953EF8" w:rsidP="00CE2FDF">
            <w:pPr>
              <w:spacing w:before="0" w:after="120" w:line="276" w:lineRule="auto"/>
              <w:rPr>
                <w:lang w:eastAsia="en-AU"/>
              </w:rPr>
            </w:pPr>
            <w:r w:rsidRPr="00155DC5">
              <w:rPr>
                <w:lang w:eastAsia="en-AU"/>
              </w:rPr>
              <w:t>30 June 2010</w:t>
            </w:r>
          </w:p>
        </w:tc>
        <w:tc>
          <w:tcPr>
            <w:tcW w:w="1414" w:type="dxa"/>
            <w:noWrap/>
            <w:vAlign w:val="center"/>
          </w:tcPr>
          <w:p w14:paraId="2B1C8613" w14:textId="77777777" w:rsidR="00953EF8" w:rsidRPr="00155DC5" w:rsidRDefault="00953EF8" w:rsidP="00CE2FDF">
            <w:pPr>
              <w:spacing w:before="0" w:after="120" w:line="276" w:lineRule="auto"/>
              <w:jc w:val="right"/>
              <w:rPr>
                <w:b/>
                <w:lang w:eastAsia="en-AU"/>
              </w:rPr>
            </w:pPr>
            <w:r w:rsidRPr="00155DC5">
              <w:rPr>
                <w:b/>
                <w:lang w:eastAsia="en-AU"/>
              </w:rPr>
              <w:t>1,532,503</w:t>
            </w:r>
          </w:p>
        </w:tc>
        <w:tc>
          <w:tcPr>
            <w:tcW w:w="1414" w:type="dxa"/>
            <w:noWrap/>
            <w:vAlign w:val="center"/>
          </w:tcPr>
          <w:p w14:paraId="00505030" w14:textId="77777777" w:rsidR="00953EF8" w:rsidRPr="00155DC5" w:rsidRDefault="00953EF8" w:rsidP="00CE2FDF">
            <w:pPr>
              <w:spacing w:before="0" w:after="120" w:line="276" w:lineRule="auto"/>
              <w:jc w:val="right"/>
              <w:rPr>
                <w:lang w:eastAsia="en-AU"/>
              </w:rPr>
            </w:pPr>
            <w:r w:rsidRPr="00155DC5">
              <w:rPr>
                <w:lang w:eastAsia="en-AU"/>
              </w:rPr>
              <w:t>1,139,649</w:t>
            </w:r>
          </w:p>
        </w:tc>
        <w:tc>
          <w:tcPr>
            <w:tcW w:w="1414" w:type="dxa"/>
            <w:noWrap/>
            <w:vAlign w:val="center"/>
          </w:tcPr>
          <w:p w14:paraId="2420E747" w14:textId="77777777" w:rsidR="00953EF8" w:rsidRPr="00155DC5" w:rsidRDefault="00953EF8" w:rsidP="00CE2FDF">
            <w:pPr>
              <w:spacing w:before="0" w:after="120" w:line="276" w:lineRule="auto"/>
              <w:jc w:val="right"/>
              <w:rPr>
                <w:b/>
                <w:lang w:eastAsia="en-AU"/>
              </w:rPr>
            </w:pPr>
            <w:r w:rsidRPr="00155DC5">
              <w:rPr>
                <w:b/>
                <w:lang w:eastAsia="en-AU"/>
              </w:rPr>
              <w:t>1,002,900</w:t>
            </w:r>
          </w:p>
        </w:tc>
        <w:tc>
          <w:tcPr>
            <w:tcW w:w="1415" w:type="dxa"/>
            <w:noWrap/>
            <w:vAlign w:val="center"/>
          </w:tcPr>
          <w:p w14:paraId="1D555E39" w14:textId="77777777" w:rsidR="00953EF8" w:rsidRPr="00155DC5" w:rsidRDefault="00953EF8" w:rsidP="00CE2FDF">
            <w:pPr>
              <w:spacing w:before="0" w:after="120" w:line="276" w:lineRule="auto"/>
              <w:jc w:val="right"/>
              <w:rPr>
                <w:lang w:eastAsia="en-AU"/>
              </w:rPr>
            </w:pPr>
            <w:r w:rsidRPr="00155DC5">
              <w:rPr>
                <w:lang w:eastAsia="en-AU"/>
              </w:rPr>
              <w:t>331,039</w:t>
            </w:r>
          </w:p>
        </w:tc>
        <w:tc>
          <w:tcPr>
            <w:tcW w:w="1414" w:type="dxa"/>
            <w:noWrap/>
            <w:vAlign w:val="center"/>
          </w:tcPr>
          <w:p w14:paraId="6F0C60E2" w14:textId="77777777" w:rsidR="00953EF8" w:rsidRPr="00155DC5" w:rsidRDefault="00953EF8" w:rsidP="00CE2FDF">
            <w:pPr>
              <w:spacing w:before="0" w:after="120" w:line="276" w:lineRule="auto"/>
              <w:jc w:val="right"/>
              <w:rPr>
                <w:b/>
                <w:lang w:eastAsia="en-AU"/>
              </w:rPr>
            </w:pPr>
            <w:r w:rsidRPr="00155DC5">
              <w:rPr>
                <w:b/>
                <w:lang w:eastAsia="en-AU"/>
              </w:rPr>
              <w:t>503,776</w:t>
            </w:r>
          </w:p>
        </w:tc>
        <w:tc>
          <w:tcPr>
            <w:tcW w:w="1414" w:type="dxa"/>
            <w:noWrap/>
            <w:vAlign w:val="center"/>
          </w:tcPr>
          <w:p w14:paraId="48EDB670" w14:textId="77777777" w:rsidR="00953EF8" w:rsidRPr="00155DC5" w:rsidRDefault="00953EF8" w:rsidP="00CE2FDF">
            <w:pPr>
              <w:spacing w:before="0" w:after="120" w:line="276" w:lineRule="auto"/>
              <w:jc w:val="right"/>
              <w:rPr>
                <w:lang w:eastAsia="en-AU"/>
              </w:rPr>
            </w:pPr>
            <w:r w:rsidRPr="00155DC5">
              <w:rPr>
                <w:lang w:eastAsia="en-AU"/>
              </w:rPr>
              <w:t>109,963</w:t>
            </w:r>
          </w:p>
        </w:tc>
        <w:tc>
          <w:tcPr>
            <w:tcW w:w="1414" w:type="dxa"/>
            <w:noWrap/>
            <w:vAlign w:val="center"/>
          </w:tcPr>
          <w:p w14:paraId="627CB5BC" w14:textId="77777777" w:rsidR="00953EF8" w:rsidRPr="00155DC5" w:rsidRDefault="00953EF8" w:rsidP="00CE2FDF">
            <w:pPr>
              <w:spacing w:before="0" w:after="120" w:line="276" w:lineRule="auto"/>
              <w:jc w:val="right"/>
              <w:rPr>
                <w:b/>
                <w:lang w:eastAsia="en-AU"/>
              </w:rPr>
            </w:pPr>
            <w:r w:rsidRPr="00155DC5">
              <w:rPr>
                <w:b/>
                <w:lang w:eastAsia="en-AU"/>
              </w:rPr>
              <w:t>59,316</w:t>
            </w:r>
          </w:p>
        </w:tc>
        <w:tc>
          <w:tcPr>
            <w:tcW w:w="1414" w:type="dxa"/>
            <w:noWrap/>
            <w:vAlign w:val="center"/>
          </w:tcPr>
          <w:p w14:paraId="6554DF56" w14:textId="77777777" w:rsidR="00953EF8" w:rsidRPr="00155DC5" w:rsidRDefault="00953EF8" w:rsidP="00CE2FDF">
            <w:pPr>
              <w:spacing w:before="0" w:after="120" w:line="276" w:lineRule="auto"/>
              <w:jc w:val="right"/>
              <w:rPr>
                <w:lang w:eastAsia="en-AU"/>
              </w:rPr>
            </w:pPr>
            <w:r w:rsidRPr="00155DC5">
              <w:rPr>
                <w:lang w:eastAsia="en-AU"/>
              </w:rPr>
              <w:t>74,411</w:t>
            </w:r>
          </w:p>
        </w:tc>
        <w:tc>
          <w:tcPr>
            <w:tcW w:w="1415" w:type="dxa"/>
            <w:noWrap/>
            <w:vAlign w:val="center"/>
          </w:tcPr>
          <w:p w14:paraId="0408D19E" w14:textId="77777777" w:rsidR="00953EF8" w:rsidRPr="00155DC5" w:rsidRDefault="00953EF8" w:rsidP="00CE2FDF">
            <w:pPr>
              <w:spacing w:before="0" w:after="120" w:line="276" w:lineRule="auto"/>
              <w:jc w:val="right"/>
              <w:rPr>
                <w:b/>
                <w:lang w:eastAsia="en-AU"/>
              </w:rPr>
            </w:pPr>
            <w:r w:rsidRPr="00155DC5">
              <w:rPr>
                <w:b/>
                <w:lang w:eastAsia="en-AU"/>
              </w:rPr>
              <w:t>4,754,126</w:t>
            </w:r>
          </w:p>
        </w:tc>
      </w:tr>
      <w:tr w:rsidR="00953EF8" w:rsidRPr="00155DC5" w14:paraId="4207CEB0" w14:textId="77777777" w:rsidTr="00B349CA">
        <w:trPr>
          <w:trHeight w:val="288"/>
        </w:trPr>
        <w:tc>
          <w:tcPr>
            <w:tcW w:w="1414" w:type="dxa"/>
            <w:shd w:val="clear" w:color="auto" w:fill="C6D9F1" w:themeFill="text2" w:themeFillTint="33"/>
            <w:vAlign w:val="center"/>
          </w:tcPr>
          <w:p w14:paraId="7B8AA8C6" w14:textId="77777777" w:rsidR="00953EF8" w:rsidRPr="00155DC5" w:rsidRDefault="00953EF8" w:rsidP="00CE2FDF">
            <w:pPr>
              <w:spacing w:before="0" w:after="120" w:line="276" w:lineRule="auto"/>
              <w:rPr>
                <w:lang w:eastAsia="en-AU"/>
              </w:rPr>
            </w:pPr>
            <w:r w:rsidRPr="00155DC5">
              <w:rPr>
                <w:lang w:eastAsia="en-AU"/>
              </w:rPr>
              <w:t>30 June 2011</w:t>
            </w:r>
          </w:p>
        </w:tc>
        <w:tc>
          <w:tcPr>
            <w:tcW w:w="1414" w:type="dxa"/>
            <w:shd w:val="clear" w:color="auto" w:fill="C6D9F1" w:themeFill="text2" w:themeFillTint="33"/>
            <w:noWrap/>
            <w:vAlign w:val="center"/>
          </w:tcPr>
          <w:p w14:paraId="1179B376" w14:textId="77777777" w:rsidR="00953EF8" w:rsidRPr="00155DC5" w:rsidRDefault="00953EF8" w:rsidP="00CE2FDF">
            <w:pPr>
              <w:spacing w:before="0" w:after="120" w:line="276" w:lineRule="auto"/>
              <w:jc w:val="right"/>
              <w:rPr>
                <w:b/>
                <w:lang w:eastAsia="en-AU"/>
              </w:rPr>
            </w:pPr>
            <w:r w:rsidRPr="00155DC5">
              <w:rPr>
                <w:b/>
                <w:lang w:eastAsia="en-AU"/>
              </w:rPr>
              <w:t>1,549,483</w:t>
            </w:r>
          </w:p>
        </w:tc>
        <w:tc>
          <w:tcPr>
            <w:tcW w:w="1414" w:type="dxa"/>
            <w:shd w:val="clear" w:color="auto" w:fill="C6D9F1" w:themeFill="text2" w:themeFillTint="33"/>
            <w:noWrap/>
            <w:vAlign w:val="center"/>
          </w:tcPr>
          <w:p w14:paraId="04E66F57" w14:textId="77777777" w:rsidR="00953EF8" w:rsidRPr="00155DC5" w:rsidRDefault="00953EF8" w:rsidP="00CE2FDF">
            <w:pPr>
              <w:spacing w:before="0" w:after="120" w:line="276" w:lineRule="auto"/>
              <w:jc w:val="right"/>
              <w:rPr>
                <w:lang w:eastAsia="en-AU"/>
              </w:rPr>
            </w:pPr>
            <w:r w:rsidRPr="00155DC5">
              <w:rPr>
                <w:lang w:eastAsia="en-AU"/>
              </w:rPr>
              <w:t>1,152,251</w:t>
            </w:r>
          </w:p>
        </w:tc>
        <w:tc>
          <w:tcPr>
            <w:tcW w:w="1414" w:type="dxa"/>
            <w:shd w:val="clear" w:color="auto" w:fill="C6D9F1" w:themeFill="text2" w:themeFillTint="33"/>
            <w:noWrap/>
            <w:vAlign w:val="center"/>
          </w:tcPr>
          <w:p w14:paraId="174A1C4C" w14:textId="77777777" w:rsidR="00953EF8" w:rsidRPr="00155DC5" w:rsidRDefault="00953EF8" w:rsidP="00CE2FDF">
            <w:pPr>
              <w:spacing w:before="0" w:after="120" w:line="276" w:lineRule="auto"/>
              <w:jc w:val="right"/>
              <w:rPr>
                <w:b/>
                <w:lang w:eastAsia="en-AU"/>
              </w:rPr>
            </w:pPr>
            <w:r w:rsidRPr="00155DC5">
              <w:rPr>
                <w:b/>
                <w:lang w:eastAsia="en-AU"/>
              </w:rPr>
              <w:t>1,012,373</w:t>
            </w:r>
          </w:p>
        </w:tc>
        <w:tc>
          <w:tcPr>
            <w:tcW w:w="1415" w:type="dxa"/>
            <w:shd w:val="clear" w:color="auto" w:fill="C6D9F1" w:themeFill="text2" w:themeFillTint="33"/>
            <w:noWrap/>
            <w:vAlign w:val="center"/>
          </w:tcPr>
          <w:p w14:paraId="112C5239" w14:textId="77777777" w:rsidR="00953EF8" w:rsidRPr="00155DC5" w:rsidRDefault="00953EF8" w:rsidP="00CE2FDF">
            <w:pPr>
              <w:spacing w:before="0" w:after="120" w:line="276" w:lineRule="auto"/>
              <w:jc w:val="right"/>
              <w:rPr>
                <w:lang w:eastAsia="en-AU"/>
              </w:rPr>
            </w:pPr>
            <w:r w:rsidRPr="00155DC5">
              <w:rPr>
                <w:lang w:eastAsia="en-AU"/>
              </w:rPr>
              <w:t>332,141</w:t>
            </w:r>
          </w:p>
        </w:tc>
        <w:tc>
          <w:tcPr>
            <w:tcW w:w="1414" w:type="dxa"/>
            <w:shd w:val="clear" w:color="auto" w:fill="C6D9F1" w:themeFill="text2" w:themeFillTint="33"/>
            <w:noWrap/>
            <w:vAlign w:val="center"/>
          </w:tcPr>
          <w:p w14:paraId="6C5B1A8A" w14:textId="77777777" w:rsidR="00953EF8" w:rsidRPr="00155DC5" w:rsidRDefault="00953EF8" w:rsidP="00CE2FDF">
            <w:pPr>
              <w:spacing w:before="0" w:after="120" w:line="276" w:lineRule="auto"/>
              <w:jc w:val="right"/>
              <w:rPr>
                <w:b/>
                <w:lang w:eastAsia="en-AU"/>
              </w:rPr>
            </w:pPr>
            <w:r w:rsidRPr="00155DC5">
              <w:rPr>
                <w:b/>
                <w:lang w:eastAsia="en-AU"/>
              </w:rPr>
              <w:t>513,985</w:t>
            </w:r>
          </w:p>
        </w:tc>
        <w:tc>
          <w:tcPr>
            <w:tcW w:w="1414" w:type="dxa"/>
            <w:shd w:val="clear" w:color="auto" w:fill="C6D9F1" w:themeFill="text2" w:themeFillTint="33"/>
            <w:noWrap/>
            <w:vAlign w:val="center"/>
          </w:tcPr>
          <w:p w14:paraId="7E16050F" w14:textId="77777777" w:rsidR="00953EF8" w:rsidRPr="00155DC5" w:rsidRDefault="00953EF8" w:rsidP="00CE2FDF">
            <w:pPr>
              <w:spacing w:before="0" w:after="120" w:line="276" w:lineRule="auto"/>
              <w:jc w:val="right"/>
              <w:rPr>
                <w:lang w:eastAsia="en-AU"/>
              </w:rPr>
            </w:pPr>
            <w:r w:rsidRPr="00155DC5">
              <w:rPr>
                <w:lang w:eastAsia="en-AU"/>
              </w:rPr>
              <w:t>109,760</w:t>
            </w:r>
          </w:p>
        </w:tc>
        <w:tc>
          <w:tcPr>
            <w:tcW w:w="1414" w:type="dxa"/>
            <w:shd w:val="clear" w:color="auto" w:fill="C6D9F1" w:themeFill="text2" w:themeFillTint="33"/>
            <w:noWrap/>
            <w:vAlign w:val="center"/>
          </w:tcPr>
          <w:p w14:paraId="2DCD0411" w14:textId="77777777" w:rsidR="00953EF8" w:rsidRPr="00155DC5" w:rsidRDefault="00953EF8" w:rsidP="00CE2FDF">
            <w:pPr>
              <w:spacing w:before="0" w:after="120" w:line="276" w:lineRule="auto"/>
              <w:jc w:val="right"/>
              <w:rPr>
                <w:b/>
                <w:lang w:eastAsia="en-AU"/>
              </w:rPr>
            </w:pPr>
            <w:r w:rsidRPr="00155DC5">
              <w:rPr>
                <w:b/>
                <w:lang w:eastAsia="en-AU"/>
              </w:rPr>
              <w:t>59,153</w:t>
            </w:r>
          </w:p>
        </w:tc>
        <w:tc>
          <w:tcPr>
            <w:tcW w:w="1414" w:type="dxa"/>
            <w:shd w:val="clear" w:color="auto" w:fill="C6D9F1" w:themeFill="text2" w:themeFillTint="33"/>
            <w:noWrap/>
            <w:vAlign w:val="center"/>
          </w:tcPr>
          <w:p w14:paraId="2D21BE25" w14:textId="77777777" w:rsidR="00953EF8" w:rsidRPr="00155DC5" w:rsidRDefault="00953EF8" w:rsidP="00CE2FDF">
            <w:pPr>
              <w:spacing w:before="0" w:after="120" w:line="276" w:lineRule="auto"/>
              <w:jc w:val="right"/>
              <w:rPr>
                <w:lang w:eastAsia="en-AU"/>
              </w:rPr>
            </w:pPr>
            <w:r w:rsidRPr="00155DC5">
              <w:rPr>
                <w:lang w:eastAsia="en-AU"/>
              </w:rPr>
              <w:t>75,694</w:t>
            </w:r>
          </w:p>
        </w:tc>
        <w:tc>
          <w:tcPr>
            <w:tcW w:w="1415" w:type="dxa"/>
            <w:shd w:val="clear" w:color="auto" w:fill="C6D9F1" w:themeFill="text2" w:themeFillTint="33"/>
            <w:noWrap/>
            <w:vAlign w:val="center"/>
          </w:tcPr>
          <w:p w14:paraId="02884D3D" w14:textId="77777777" w:rsidR="00953EF8" w:rsidRPr="00155DC5" w:rsidRDefault="00953EF8" w:rsidP="00CE2FDF">
            <w:pPr>
              <w:spacing w:before="0" w:after="120" w:line="276" w:lineRule="auto"/>
              <w:jc w:val="right"/>
              <w:rPr>
                <w:b/>
                <w:lang w:eastAsia="en-AU"/>
              </w:rPr>
            </w:pPr>
            <w:r w:rsidRPr="00155DC5">
              <w:rPr>
                <w:b/>
                <w:lang w:eastAsia="en-AU"/>
              </w:rPr>
              <w:t>4,805,414</w:t>
            </w:r>
          </w:p>
        </w:tc>
      </w:tr>
      <w:tr w:rsidR="00953EF8" w:rsidRPr="00155DC5" w14:paraId="7FDF9A84" w14:textId="77777777" w:rsidTr="00B349CA">
        <w:trPr>
          <w:trHeight w:val="288"/>
        </w:trPr>
        <w:tc>
          <w:tcPr>
            <w:tcW w:w="1414" w:type="dxa"/>
            <w:vAlign w:val="center"/>
          </w:tcPr>
          <w:p w14:paraId="40911240" w14:textId="77777777" w:rsidR="00953EF8" w:rsidRPr="00155DC5" w:rsidRDefault="00953EF8" w:rsidP="00CE2FDF">
            <w:pPr>
              <w:spacing w:before="0" w:after="120" w:line="276" w:lineRule="auto"/>
              <w:rPr>
                <w:lang w:eastAsia="en-AU"/>
              </w:rPr>
            </w:pPr>
            <w:r w:rsidRPr="00155DC5">
              <w:rPr>
                <w:lang w:eastAsia="en-AU"/>
              </w:rPr>
              <w:t>30 June 2012</w:t>
            </w:r>
          </w:p>
        </w:tc>
        <w:tc>
          <w:tcPr>
            <w:tcW w:w="1414" w:type="dxa"/>
            <w:noWrap/>
            <w:vAlign w:val="center"/>
            <w:hideMark/>
          </w:tcPr>
          <w:p w14:paraId="187609B4" w14:textId="77777777" w:rsidR="00953EF8" w:rsidRPr="00155DC5" w:rsidRDefault="00953EF8" w:rsidP="00CE2FDF">
            <w:pPr>
              <w:spacing w:before="0" w:after="120" w:line="276" w:lineRule="auto"/>
              <w:jc w:val="right"/>
              <w:rPr>
                <w:b/>
                <w:lang w:eastAsia="en-AU"/>
              </w:rPr>
            </w:pPr>
            <w:r w:rsidRPr="00155DC5">
              <w:rPr>
                <w:b/>
                <w:lang w:eastAsia="en-AU"/>
              </w:rPr>
              <w:t>1,562,381</w:t>
            </w:r>
          </w:p>
        </w:tc>
        <w:tc>
          <w:tcPr>
            <w:tcW w:w="1414" w:type="dxa"/>
            <w:noWrap/>
            <w:vAlign w:val="center"/>
            <w:hideMark/>
          </w:tcPr>
          <w:p w14:paraId="035EF9D0" w14:textId="77777777" w:rsidR="00953EF8" w:rsidRPr="00155DC5" w:rsidRDefault="00953EF8" w:rsidP="00CE2FDF">
            <w:pPr>
              <w:spacing w:before="0" w:after="120" w:line="276" w:lineRule="auto"/>
              <w:jc w:val="right"/>
              <w:rPr>
                <w:lang w:eastAsia="en-AU"/>
              </w:rPr>
            </w:pPr>
            <w:r w:rsidRPr="00155DC5">
              <w:rPr>
                <w:lang w:eastAsia="en-AU"/>
              </w:rPr>
              <w:t>1,168,144</w:t>
            </w:r>
          </w:p>
        </w:tc>
        <w:tc>
          <w:tcPr>
            <w:tcW w:w="1414" w:type="dxa"/>
            <w:noWrap/>
            <w:vAlign w:val="center"/>
            <w:hideMark/>
          </w:tcPr>
          <w:p w14:paraId="6DA2559C" w14:textId="77777777" w:rsidR="00953EF8" w:rsidRPr="00155DC5" w:rsidRDefault="00953EF8" w:rsidP="00CE2FDF">
            <w:pPr>
              <w:spacing w:before="0" w:after="120" w:line="276" w:lineRule="auto"/>
              <w:jc w:val="right"/>
              <w:rPr>
                <w:b/>
                <w:lang w:eastAsia="en-AU"/>
              </w:rPr>
            </w:pPr>
            <w:r w:rsidRPr="00155DC5">
              <w:rPr>
                <w:b/>
                <w:lang w:eastAsia="en-AU"/>
              </w:rPr>
              <w:t>1,029,397</w:t>
            </w:r>
          </w:p>
        </w:tc>
        <w:tc>
          <w:tcPr>
            <w:tcW w:w="1415" w:type="dxa"/>
            <w:noWrap/>
            <w:vAlign w:val="center"/>
            <w:hideMark/>
          </w:tcPr>
          <w:p w14:paraId="07BB3298" w14:textId="77777777" w:rsidR="00953EF8" w:rsidRPr="00155DC5" w:rsidRDefault="00953EF8" w:rsidP="00CE2FDF">
            <w:pPr>
              <w:spacing w:before="0" w:after="120" w:line="276" w:lineRule="auto"/>
              <w:jc w:val="right"/>
              <w:rPr>
                <w:lang w:eastAsia="en-AU"/>
              </w:rPr>
            </w:pPr>
            <w:r w:rsidRPr="00155DC5">
              <w:rPr>
                <w:lang w:eastAsia="en-AU"/>
              </w:rPr>
              <w:t>334,271</w:t>
            </w:r>
          </w:p>
        </w:tc>
        <w:tc>
          <w:tcPr>
            <w:tcW w:w="1414" w:type="dxa"/>
            <w:noWrap/>
            <w:vAlign w:val="center"/>
            <w:hideMark/>
          </w:tcPr>
          <w:p w14:paraId="33909A81" w14:textId="77777777" w:rsidR="00953EF8" w:rsidRPr="00155DC5" w:rsidRDefault="00953EF8" w:rsidP="00CE2FDF">
            <w:pPr>
              <w:spacing w:before="0" w:after="120" w:line="276" w:lineRule="auto"/>
              <w:jc w:val="right"/>
              <w:rPr>
                <w:b/>
                <w:lang w:eastAsia="en-AU"/>
              </w:rPr>
            </w:pPr>
            <w:r w:rsidRPr="00155DC5">
              <w:rPr>
                <w:b/>
                <w:lang w:eastAsia="en-AU"/>
              </w:rPr>
              <w:t>529,249</w:t>
            </w:r>
          </w:p>
        </w:tc>
        <w:tc>
          <w:tcPr>
            <w:tcW w:w="1414" w:type="dxa"/>
            <w:noWrap/>
            <w:vAlign w:val="center"/>
            <w:hideMark/>
          </w:tcPr>
          <w:p w14:paraId="4D8423EC" w14:textId="77777777" w:rsidR="00953EF8" w:rsidRPr="00155DC5" w:rsidRDefault="00953EF8" w:rsidP="00CE2FDF">
            <w:pPr>
              <w:spacing w:before="0" w:after="120" w:line="276" w:lineRule="auto"/>
              <w:jc w:val="right"/>
              <w:rPr>
                <w:lang w:eastAsia="en-AU"/>
              </w:rPr>
            </w:pPr>
            <w:r w:rsidRPr="00155DC5">
              <w:rPr>
                <w:lang w:eastAsia="en-AU"/>
              </w:rPr>
              <w:t>108,838</w:t>
            </w:r>
          </w:p>
        </w:tc>
        <w:tc>
          <w:tcPr>
            <w:tcW w:w="1414" w:type="dxa"/>
            <w:noWrap/>
            <w:vAlign w:val="center"/>
            <w:hideMark/>
          </w:tcPr>
          <w:p w14:paraId="61630580" w14:textId="77777777" w:rsidR="00953EF8" w:rsidRPr="00155DC5" w:rsidRDefault="00953EF8" w:rsidP="00CE2FDF">
            <w:pPr>
              <w:spacing w:before="0" w:after="120" w:line="276" w:lineRule="auto"/>
              <w:jc w:val="right"/>
              <w:rPr>
                <w:b/>
                <w:lang w:eastAsia="en-AU"/>
              </w:rPr>
            </w:pPr>
            <w:r w:rsidRPr="00155DC5">
              <w:rPr>
                <w:b/>
                <w:lang w:eastAsia="en-AU"/>
              </w:rPr>
              <w:t>59,520</w:t>
            </w:r>
          </w:p>
        </w:tc>
        <w:tc>
          <w:tcPr>
            <w:tcW w:w="1414" w:type="dxa"/>
            <w:noWrap/>
            <w:vAlign w:val="center"/>
            <w:hideMark/>
          </w:tcPr>
          <w:p w14:paraId="2ED6E780" w14:textId="77777777" w:rsidR="00953EF8" w:rsidRPr="00155DC5" w:rsidRDefault="00953EF8" w:rsidP="00CE2FDF">
            <w:pPr>
              <w:spacing w:before="0" w:after="120" w:line="276" w:lineRule="auto"/>
              <w:jc w:val="right"/>
              <w:rPr>
                <w:lang w:eastAsia="en-AU"/>
              </w:rPr>
            </w:pPr>
            <w:r w:rsidRPr="00155DC5">
              <w:rPr>
                <w:lang w:eastAsia="en-AU"/>
              </w:rPr>
              <w:t>77,409</w:t>
            </w:r>
          </w:p>
        </w:tc>
        <w:tc>
          <w:tcPr>
            <w:tcW w:w="1415" w:type="dxa"/>
            <w:noWrap/>
            <w:vAlign w:val="center"/>
            <w:hideMark/>
          </w:tcPr>
          <w:p w14:paraId="057BF7D7" w14:textId="77777777" w:rsidR="00953EF8" w:rsidRPr="00155DC5" w:rsidRDefault="00953EF8" w:rsidP="00CE2FDF">
            <w:pPr>
              <w:spacing w:before="0" w:after="120" w:line="276" w:lineRule="auto"/>
              <w:jc w:val="right"/>
              <w:rPr>
                <w:b/>
                <w:lang w:eastAsia="en-AU"/>
              </w:rPr>
            </w:pPr>
            <w:r w:rsidRPr="00155DC5">
              <w:rPr>
                <w:b/>
                <w:lang w:eastAsia="en-AU"/>
              </w:rPr>
              <w:t>4,869,756</w:t>
            </w:r>
          </w:p>
        </w:tc>
      </w:tr>
    </w:tbl>
    <w:p w14:paraId="4037A89F" w14:textId="77777777" w:rsidR="00953EF8" w:rsidRDefault="00953EF8" w:rsidP="00953EF8">
      <w:pPr>
        <w:pStyle w:val="12pt"/>
      </w:pPr>
      <w:r w:rsidRPr="00155DC5">
        <w:t>[Source:  Australian Bureau of Statistics]</w:t>
      </w:r>
    </w:p>
    <w:p w14:paraId="324CC08B" w14:textId="77777777" w:rsidR="00BC058E" w:rsidRPr="00C82801" w:rsidRDefault="00BC058E" w:rsidP="00C82801"/>
    <w:p w14:paraId="458353BC" w14:textId="77777777" w:rsidR="00BC058E" w:rsidRPr="00C82801" w:rsidRDefault="00BC058E" w:rsidP="00C82801"/>
    <w:p w14:paraId="5A3038D3" w14:textId="77777777" w:rsidR="007E77A8" w:rsidRDefault="007E77A8" w:rsidP="00C002A6">
      <w:pPr>
        <w:sectPr w:rsidR="007E77A8" w:rsidSect="0052741C">
          <w:headerReference w:type="default" r:id="rId77"/>
          <w:footerReference w:type="default" r:id="rId78"/>
          <w:pgSz w:w="16838" w:h="11906" w:orient="landscape"/>
          <w:pgMar w:top="1440" w:right="1440" w:bottom="1440" w:left="1440" w:header="708" w:footer="708" w:gutter="0"/>
          <w:cols w:space="708"/>
          <w:docGrid w:linePitch="360"/>
        </w:sectPr>
      </w:pPr>
    </w:p>
    <w:p w14:paraId="09022992" w14:textId="59BE6102" w:rsidR="00F85122" w:rsidRPr="00F85122" w:rsidRDefault="00F85122" w:rsidP="00F85122">
      <w:pPr>
        <w:pStyle w:val="Heading2"/>
        <w:sectPr w:rsidR="00F85122" w:rsidRPr="00F85122" w:rsidSect="00D650B4">
          <w:pgSz w:w="11909" w:h="16834" w:code="9"/>
          <w:pgMar w:top="1411" w:right="1138" w:bottom="1411" w:left="1138" w:header="706" w:footer="706" w:gutter="0"/>
          <w:cols w:space="708"/>
          <w:vAlign w:val="center"/>
          <w:docGrid w:linePitch="360"/>
        </w:sectPr>
      </w:pPr>
      <w:bookmarkStart w:id="103" w:name="_Toc435018522"/>
      <w:r w:rsidRPr="00F85122">
        <w:rPr>
          <w:rStyle w:val="Strong"/>
          <w:b/>
          <w:color w:val="365F91"/>
          <w:szCs w:val="28"/>
        </w:rPr>
        <w:lastRenderedPageBreak/>
        <w:t>Stage 3</w:t>
      </w:r>
      <w:r w:rsidR="00CF091D" w:rsidRPr="00F85122">
        <w:rPr>
          <w:rStyle w:val="Strong"/>
          <w:b/>
          <w:color w:val="365F91"/>
          <w:szCs w:val="28"/>
        </w:rPr>
        <w:t xml:space="preserve">: </w:t>
      </w:r>
      <w:r w:rsidRPr="00F85122">
        <w:rPr>
          <w:rStyle w:val="Strong"/>
          <w:b/>
          <w:color w:val="365F91"/>
          <w:szCs w:val="28"/>
        </w:rPr>
        <w:br/>
        <w:t>Two Literature Reviews</w:t>
      </w:r>
      <w:bookmarkEnd w:id="103"/>
    </w:p>
    <w:p w14:paraId="33017B50" w14:textId="00EF686B" w:rsidR="00F85122" w:rsidRPr="00F85122" w:rsidRDefault="003A194E" w:rsidP="00F85122">
      <w:pPr>
        <w:pStyle w:val="Heading3"/>
      </w:pPr>
      <w:bookmarkStart w:id="104" w:name="_Toc435716772"/>
      <w:bookmarkStart w:id="105" w:name="_Toc400110693"/>
      <w:bookmarkStart w:id="106" w:name="_Toc435018523"/>
      <w:bookmarkStart w:id="107" w:name="_Toc435457023"/>
      <w:r>
        <w:lastRenderedPageBreak/>
        <w:t>Stage 3: Two Literature Reviews</w:t>
      </w:r>
      <w:bookmarkEnd w:id="104"/>
      <w:r>
        <w:t xml:space="preserve"> </w:t>
      </w:r>
      <w:bookmarkEnd w:id="105"/>
      <w:bookmarkEnd w:id="106"/>
      <w:bookmarkEnd w:id="107"/>
    </w:p>
    <w:p w14:paraId="5AE48B85" w14:textId="77777777" w:rsidR="00F85122" w:rsidRPr="00F85122" w:rsidRDefault="00F85122" w:rsidP="00F85122">
      <w:pPr>
        <w:pStyle w:val="Heading4"/>
      </w:pPr>
      <w:bookmarkStart w:id="108" w:name="_Toc273951887"/>
      <w:bookmarkStart w:id="109" w:name="_Toc400110247"/>
      <w:bookmarkStart w:id="110" w:name="_Toc400110583"/>
      <w:bookmarkStart w:id="111" w:name="_Toc400110694"/>
      <w:bookmarkStart w:id="112" w:name="_Toc435457024"/>
      <w:bookmarkStart w:id="113" w:name="_Toc435716773"/>
      <w:r w:rsidRPr="00F85122">
        <w:t>Overview</w:t>
      </w:r>
      <w:bookmarkEnd w:id="108"/>
      <w:bookmarkEnd w:id="109"/>
      <w:bookmarkEnd w:id="110"/>
      <w:bookmarkEnd w:id="111"/>
      <w:bookmarkEnd w:id="112"/>
      <w:bookmarkEnd w:id="113"/>
    </w:p>
    <w:p w14:paraId="0CC956E5" w14:textId="77777777" w:rsidR="00F85122" w:rsidRPr="00F85122" w:rsidRDefault="00F85122" w:rsidP="00F85122">
      <w:pPr>
        <w:rPr>
          <w:rFonts w:ascii="Calibri" w:hAnsi="Calibri"/>
        </w:rPr>
      </w:pPr>
      <w:r w:rsidRPr="00F85122">
        <w:rPr>
          <w:rFonts w:ascii="Calibri" w:hAnsi="Calibri"/>
        </w:rPr>
        <w:t xml:space="preserve">Stage 3 was described broadly in the project brief </w:t>
      </w:r>
      <w:proofErr w:type="gramStart"/>
      <w:r w:rsidRPr="00F85122">
        <w:rPr>
          <w:rFonts w:ascii="Calibri" w:hAnsi="Calibri"/>
        </w:rPr>
        <w:t>as:</w:t>
      </w:r>
      <w:proofErr w:type="gramEnd"/>
      <w:r w:rsidRPr="00F85122">
        <w:rPr>
          <w:rFonts w:ascii="Calibri" w:hAnsi="Calibri"/>
        </w:rPr>
        <w:t xml:space="preserve"> “a documentary analysis of Australian and overseas literature on legal and contextual factors affecting reporting of child abuse and neglect” (p.2).</w:t>
      </w:r>
    </w:p>
    <w:p w14:paraId="2317400C" w14:textId="77777777" w:rsidR="00F85122" w:rsidRPr="00F85122" w:rsidRDefault="00F85122" w:rsidP="00F85122">
      <w:pPr>
        <w:rPr>
          <w:rFonts w:ascii="Calibri" w:hAnsi="Calibri"/>
        </w:rPr>
      </w:pPr>
      <w:r w:rsidRPr="00F85122">
        <w:rPr>
          <w:rFonts w:ascii="Calibri" w:hAnsi="Calibri"/>
        </w:rPr>
        <w:t xml:space="preserve">Two literature reviews </w:t>
      </w:r>
      <w:proofErr w:type="gramStart"/>
      <w:r w:rsidRPr="00F85122">
        <w:rPr>
          <w:rFonts w:ascii="Calibri" w:hAnsi="Calibri"/>
        </w:rPr>
        <w:t>were conducted</w:t>
      </w:r>
      <w:proofErr w:type="gramEnd"/>
      <w:r w:rsidRPr="00F85122">
        <w:rPr>
          <w:rFonts w:ascii="Calibri" w:hAnsi="Calibri"/>
        </w:rPr>
        <w:t>:</w:t>
      </w:r>
    </w:p>
    <w:p w14:paraId="4E00D052" w14:textId="77777777" w:rsidR="00F85122" w:rsidRPr="00F85122" w:rsidRDefault="00F85122" w:rsidP="00F85122">
      <w:pPr>
        <w:rPr>
          <w:rFonts w:ascii="Calibri" w:hAnsi="Calibri"/>
        </w:rPr>
      </w:pPr>
      <w:r w:rsidRPr="00F85122">
        <w:rPr>
          <w:rFonts w:ascii="Calibri" w:hAnsi="Calibri"/>
          <w:b/>
        </w:rPr>
        <w:t>Literature review 1:</w:t>
      </w:r>
      <w:r w:rsidRPr="00F85122">
        <w:rPr>
          <w:rFonts w:ascii="Calibri" w:hAnsi="Calibri"/>
        </w:rPr>
        <w:t xml:space="preserve"> Contextual factors influencing mandatory reporting of child abuse and neglect; and </w:t>
      </w:r>
    </w:p>
    <w:p w14:paraId="1044A9F7" w14:textId="77777777" w:rsidR="00F85122" w:rsidRPr="00F85122" w:rsidRDefault="00F85122" w:rsidP="00F85122">
      <w:pPr>
        <w:rPr>
          <w:rFonts w:ascii="Calibri" w:hAnsi="Calibri"/>
        </w:rPr>
      </w:pPr>
      <w:r w:rsidRPr="00F85122">
        <w:rPr>
          <w:rFonts w:ascii="Calibri" w:hAnsi="Calibri"/>
          <w:b/>
        </w:rPr>
        <w:t>Literature review 2:</w:t>
      </w:r>
      <w:r w:rsidRPr="00F85122">
        <w:rPr>
          <w:rFonts w:ascii="Calibri" w:hAnsi="Calibri"/>
        </w:rPr>
        <w:t xml:space="preserve"> Theoretical critiques of mandatory reporting laws.</w:t>
      </w:r>
    </w:p>
    <w:p w14:paraId="353929D8" w14:textId="77777777" w:rsidR="00F85122" w:rsidRPr="00F85122" w:rsidRDefault="00F85122" w:rsidP="005E613E">
      <w:pPr>
        <w:jc w:val="both"/>
        <w:rPr>
          <w:rFonts w:ascii="Calibri" w:hAnsi="Calibri"/>
        </w:rPr>
      </w:pPr>
      <w:r w:rsidRPr="00F85122">
        <w:rPr>
          <w:rFonts w:ascii="Calibri" w:hAnsi="Calibri"/>
        </w:rPr>
        <w:t xml:space="preserve">Stage 3 therefore contributes to the </w:t>
      </w:r>
      <w:r w:rsidRPr="00F85122">
        <w:rPr>
          <w:rFonts w:ascii="Calibri" w:hAnsi="Calibri"/>
          <w:i/>
        </w:rPr>
        <w:t>identification of</w:t>
      </w:r>
      <w:r w:rsidRPr="00F85122">
        <w:rPr>
          <w:rFonts w:ascii="Calibri" w:hAnsi="Calibri"/>
        </w:rPr>
        <w:t xml:space="preserve"> </w:t>
      </w:r>
      <w:r w:rsidRPr="00F85122">
        <w:rPr>
          <w:rFonts w:ascii="Calibri" w:hAnsi="Calibri"/>
          <w:i/>
        </w:rPr>
        <w:t>opportunities to harmonise the various statutory regimes</w:t>
      </w:r>
      <w:r w:rsidRPr="00F85122">
        <w:rPr>
          <w:rFonts w:ascii="Calibri" w:hAnsi="Calibri"/>
        </w:rPr>
        <w:t>. More specifically, findings from the review of factors influencing mandatory reporting may inform further work in developing strategies for policy and practice which can optimise the conditions for mandatory reporting; for example, in enhancing reporter training for specific professional groups and in specific domains. Findings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6D071763" w14:textId="77777777" w:rsidR="00F85122" w:rsidRPr="00F85122" w:rsidRDefault="00F85122" w:rsidP="005E613E">
      <w:pPr>
        <w:jc w:val="both"/>
        <w:rPr>
          <w:rFonts w:ascii="Calibri" w:hAnsi="Calibri"/>
        </w:rPr>
      </w:pPr>
      <w:r w:rsidRPr="00F85122">
        <w:rPr>
          <w:rFonts w:ascii="Calibri" w:hAnsi="Calibri"/>
        </w:rPr>
        <w:t xml:space="preserve">The reviews are in the form of </w:t>
      </w:r>
      <w:r w:rsidRPr="00F85122">
        <w:rPr>
          <w:rFonts w:ascii="Calibri" w:hAnsi="Calibri"/>
          <w:i/>
        </w:rPr>
        <w:t>systematized reviews</w:t>
      </w:r>
      <w:r w:rsidRPr="00F85122">
        <w:rPr>
          <w:rFonts w:ascii="Calibri" w:hAnsi="Calibri"/>
          <w:b/>
        </w:rPr>
        <w:t xml:space="preserve"> </w:t>
      </w:r>
      <w:r w:rsidRPr="00F85122">
        <w:rPr>
          <w:rFonts w:ascii="Calibri" w:hAnsi="Calibri"/>
        </w:rPr>
        <w:t xml:space="preserve">(Grant et al 2009) with </w:t>
      </w:r>
      <w:r w:rsidRPr="00F85122">
        <w:rPr>
          <w:rFonts w:ascii="Calibri" w:hAnsi="Calibri"/>
          <w:i/>
        </w:rPr>
        <w:t>rapid evidence synthesis</w:t>
      </w:r>
      <w:r w:rsidRPr="00F85122">
        <w:rPr>
          <w:rFonts w:ascii="Calibri" w:hAnsi="Calibri"/>
        </w:rPr>
        <w:t xml:space="preserve"> (</w:t>
      </w:r>
      <w:proofErr w:type="spellStart"/>
      <w:r w:rsidRPr="00F85122">
        <w:rPr>
          <w:rFonts w:ascii="Calibri" w:hAnsi="Calibri"/>
        </w:rPr>
        <w:t>Gannan</w:t>
      </w:r>
      <w:proofErr w:type="spellEnd"/>
      <w:r w:rsidRPr="00F85122">
        <w:rPr>
          <w:rFonts w:ascii="Calibri" w:hAnsi="Calibri"/>
        </w:rPr>
        <w:t xml:space="preserve">, </w:t>
      </w:r>
      <w:proofErr w:type="spellStart"/>
      <w:r w:rsidRPr="00F85122">
        <w:rPr>
          <w:rFonts w:ascii="Calibri" w:hAnsi="Calibri"/>
        </w:rPr>
        <w:t>Ciliska</w:t>
      </w:r>
      <w:proofErr w:type="spellEnd"/>
      <w:r w:rsidRPr="00F85122">
        <w:rPr>
          <w:rFonts w:ascii="Calibri" w:hAnsi="Calibri"/>
        </w:rPr>
        <w:t xml:space="preserve">, &amp; Thomas, 2010; </w:t>
      </w:r>
      <w:proofErr w:type="spellStart"/>
      <w:r w:rsidRPr="00F85122">
        <w:rPr>
          <w:rFonts w:ascii="Calibri" w:hAnsi="Calibri"/>
        </w:rPr>
        <w:t>Khangura</w:t>
      </w:r>
      <w:proofErr w:type="spellEnd"/>
      <w:r w:rsidRPr="00F85122">
        <w:rPr>
          <w:rFonts w:ascii="Calibri" w:hAnsi="Calibri"/>
        </w:rPr>
        <w:t xml:space="preserve">, </w:t>
      </w:r>
      <w:proofErr w:type="spellStart"/>
      <w:r w:rsidRPr="00F85122">
        <w:rPr>
          <w:rFonts w:ascii="Calibri" w:hAnsi="Calibri"/>
        </w:rPr>
        <w:t>Konnyu</w:t>
      </w:r>
      <w:proofErr w:type="spellEnd"/>
      <w:r w:rsidRPr="00F85122">
        <w:rPr>
          <w:rFonts w:ascii="Calibri" w:hAnsi="Calibri"/>
        </w:rPr>
        <w:t xml:space="preserve">, Cushman, </w:t>
      </w:r>
      <w:proofErr w:type="spellStart"/>
      <w:r w:rsidRPr="00F85122">
        <w:rPr>
          <w:rFonts w:ascii="Calibri" w:hAnsi="Calibri"/>
        </w:rPr>
        <w:t>Grimshaw</w:t>
      </w:r>
      <w:proofErr w:type="spellEnd"/>
      <w:r w:rsidRPr="00F85122">
        <w:rPr>
          <w:rFonts w:ascii="Calibri" w:hAnsi="Calibri"/>
        </w:rPr>
        <w:t xml:space="preserve">, &amp; </w:t>
      </w:r>
      <w:proofErr w:type="spellStart"/>
      <w:r w:rsidRPr="00F85122">
        <w:rPr>
          <w:rFonts w:ascii="Calibri" w:hAnsi="Calibri"/>
        </w:rPr>
        <w:t>Moher</w:t>
      </w:r>
      <w:proofErr w:type="spellEnd"/>
      <w:r w:rsidRPr="00F85122">
        <w:rPr>
          <w:rFonts w:ascii="Calibri" w:hAnsi="Calibri"/>
        </w:rPr>
        <w:t xml:space="preserve">, 2012). These are literature </w:t>
      </w:r>
      <w:proofErr w:type="gramStart"/>
      <w:r w:rsidRPr="00F85122">
        <w:rPr>
          <w:rFonts w:ascii="Calibri" w:hAnsi="Calibri"/>
        </w:rPr>
        <w:t>reviews which</w:t>
      </w:r>
      <w:proofErr w:type="gramEnd"/>
      <w:r w:rsidRPr="00F85122">
        <w:rPr>
          <w:rFonts w:ascii="Calibri" w:hAnsi="Calibri"/>
        </w:rPr>
        <w:t xml:space="preserve"> approach the rigour of traditional systematic reviews, while being less comprehensive due to constraints of time, personnel and finance. Like systematic reviews, they have as their purpose: the comprehensive searching for relevant literature across multiple databases using a carefully constructed search strategy; a narrative, thematic synthesis of results; and analysis of results, areas of uncertainty, and implications (Grant et al 2009). Unlike systematic reviews, they do not include a comprehensive evaluation of the methodological quality of studies and potential sources of bias (</w:t>
      </w:r>
      <w:proofErr w:type="spellStart"/>
      <w:r w:rsidRPr="00F85122">
        <w:rPr>
          <w:rFonts w:ascii="Calibri" w:hAnsi="Calibri"/>
        </w:rPr>
        <w:t>Gannan</w:t>
      </w:r>
      <w:proofErr w:type="spellEnd"/>
      <w:r w:rsidRPr="00F85122">
        <w:rPr>
          <w:rFonts w:ascii="Calibri" w:hAnsi="Calibri"/>
        </w:rPr>
        <w:t xml:space="preserve"> et al., 2010). Informed by our experience conducting reviews for the </w:t>
      </w:r>
      <w:r w:rsidRPr="00F85122">
        <w:rPr>
          <w:rFonts w:ascii="Calibri" w:hAnsi="Calibri"/>
          <w:i/>
        </w:rPr>
        <w:t>Cochrane Database of Systematic Reviews</w:t>
      </w:r>
      <w:r w:rsidRPr="00F85122">
        <w:rPr>
          <w:rFonts w:ascii="Calibri" w:hAnsi="Calibri"/>
        </w:rPr>
        <w:t xml:space="preserve">, our approach comprised the following </w:t>
      </w:r>
      <w:proofErr w:type="gramStart"/>
      <w:r w:rsidRPr="00F85122">
        <w:rPr>
          <w:rFonts w:ascii="Calibri" w:hAnsi="Calibri"/>
        </w:rPr>
        <w:t>5</w:t>
      </w:r>
      <w:proofErr w:type="gramEnd"/>
      <w:r w:rsidRPr="00F85122">
        <w:rPr>
          <w:rFonts w:ascii="Calibri" w:hAnsi="Calibri"/>
        </w:rPr>
        <w:t xml:space="preserve"> steps: (</w:t>
      </w:r>
      <w:proofErr w:type="spellStart"/>
      <w:r w:rsidRPr="00F85122">
        <w:rPr>
          <w:rFonts w:ascii="Calibri" w:hAnsi="Calibri"/>
        </w:rPr>
        <w:t>i</w:t>
      </w:r>
      <w:proofErr w:type="spellEnd"/>
      <w:r w:rsidRPr="00F85122">
        <w:rPr>
          <w:rFonts w:ascii="Calibri" w:hAnsi="Calibri"/>
        </w:rPr>
        <w:t>) question development and refinement, (ii) systematic literature search, (iii) screening and selection of studies, (iv) narrative synthesis of included studies, and (v) report production.</w:t>
      </w:r>
    </w:p>
    <w:p w14:paraId="44191B96" w14:textId="77777777" w:rsidR="00F85122" w:rsidRPr="00F85122" w:rsidRDefault="00F85122" w:rsidP="00F85122">
      <w:pPr>
        <w:spacing w:before="0"/>
        <w:rPr>
          <w:rFonts w:ascii="Calibri" w:hAnsi="Calibri"/>
        </w:rPr>
      </w:pPr>
      <w:r w:rsidRPr="00F85122">
        <w:rPr>
          <w:rFonts w:ascii="Calibri" w:hAnsi="Calibri"/>
        </w:rPr>
        <w:br w:type="page"/>
      </w:r>
    </w:p>
    <w:p w14:paraId="1244359E" w14:textId="77777777" w:rsidR="00F85122" w:rsidRPr="00F85122" w:rsidRDefault="00F85122" w:rsidP="00F85122">
      <w:pPr>
        <w:pStyle w:val="Heading4"/>
      </w:pPr>
      <w:bookmarkStart w:id="114" w:name="_Toc400110695"/>
      <w:bookmarkStart w:id="115" w:name="_Toc435457025"/>
      <w:bookmarkStart w:id="116" w:name="_Toc435716774"/>
      <w:r w:rsidRPr="00F85122">
        <w:lastRenderedPageBreak/>
        <w:t>3.1</w:t>
      </w:r>
      <w:r w:rsidRPr="00F85122">
        <w:tab/>
        <w:t>Literature review 1: Factors influencing mandatory reporting of child abuse and neglect</w:t>
      </w:r>
      <w:bookmarkEnd w:id="114"/>
      <w:bookmarkEnd w:id="115"/>
      <w:bookmarkEnd w:id="116"/>
    </w:p>
    <w:p w14:paraId="5DC9A5FE" w14:textId="77777777" w:rsidR="00F85122" w:rsidRPr="00F85122" w:rsidRDefault="00F85122" w:rsidP="00F85122">
      <w:pPr>
        <w:pStyle w:val="Heading5"/>
      </w:pPr>
      <w:bookmarkStart w:id="117" w:name="_Toc399665704"/>
      <w:bookmarkStart w:id="118" w:name="_Toc399667228"/>
      <w:bookmarkStart w:id="119" w:name="_Toc399668970"/>
      <w:bookmarkStart w:id="120" w:name="_Toc399676756"/>
      <w:bookmarkStart w:id="121" w:name="_Toc273951889"/>
      <w:bookmarkStart w:id="122" w:name="_Toc400108198"/>
      <w:bookmarkStart w:id="123" w:name="_Toc400110249"/>
      <w:bookmarkStart w:id="124" w:name="_Toc400110585"/>
      <w:bookmarkStart w:id="125" w:name="_Toc400110696"/>
      <w:r w:rsidRPr="00F85122">
        <w:t>Purpose</w:t>
      </w:r>
      <w:bookmarkEnd w:id="117"/>
      <w:bookmarkEnd w:id="118"/>
      <w:bookmarkEnd w:id="119"/>
      <w:bookmarkEnd w:id="120"/>
      <w:bookmarkEnd w:id="121"/>
      <w:bookmarkEnd w:id="122"/>
      <w:bookmarkEnd w:id="123"/>
      <w:bookmarkEnd w:id="124"/>
      <w:bookmarkEnd w:id="125"/>
    </w:p>
    <w:p w14:paraId="1BF1F8F0" w14:textId="77777777" w:rsidR="00F85122" w:rsidRPr="00F85122" w:rsidRDefault="00F85122" w:rsidP="00F85122">
      <w:pPr>
        <w:rPr>
          <w:rFonts w:ascii="Calibri" w:hAnsi="Calibri"/>
        </w:rPr>
      </w:pPr>
      <w:r w:rsidRPr="00F85122">
        <w:rPr>
          <w:rFonts w:ascii="Calibri" w:hAnsi="Calibri"/>
        </w:rPr>
        <w:t>The purpose of literature review 1 was to identify and synthesise the published literature on the factors influencing mandatory reporting of child abuse and neglect.</w:t>
      </w:r>
    </w:p>
    <w:p w14:paraId="2CE7C5BD" w14:textId="77777777" w:rsidR="00F85122" w:rsidRPr="00F85122" w:rsidRDefault="00F85122" w:rsidP="00F85122">
      <w:pPr>
        <w:pStyle w:val="Heading5"/>
      </w:pPr>
      <w:bookmarkStart w:id="126" w:name="_Toc399665705"/>
      <w:bookmarkStart w:id="127" w:name="_Toc399667229"/>
      <w:bookmarkStart w:id="128" w:name="_Toc399668971"/>
      <w:bookmarkStart w:id="129" w:name="_Toc399676757"/>
      <w:bookmarkStart w:id="130" w:name="_Toc273951890"/>
      <w:bookmarkStart w:id="131" w:name="_Toc400108199"/>
      <w:bookmarkStart w:id="132" w:name="_Toc400110250"/>
      <w:bookmarkStart w:id="133" w:name="_Toc400110586"/>
      <w:bookmarkStart w:id="134" w:name="_Toc400110697"/>
      <w:r w:rsidRPr="00F85122">
        <w:t>Background</w:t>
      </w:r>
      <w:bookmarkEnd w:id="126"/>
      <w:bookmarkEnd w:id="127"/>
      <w:bookmarkEnd w:id="128"/>
      <w:bookmarkEnd w:id="129"/>
      <w:bookmarkEnd w:id="130"/>
      <w:bookmarkEnd w:id="131"/>
      <w:bookmarkEnd w:id="132"/>
      <w:bookmarkEnd w:id="133"/>
      <w:bookmarkEnd w:id="134"/>
    </w:p>
    <w:p w14:paraId="5299A020" w14:textId="77777777" w:rsidR="00F85122" w:rsidRPr="00F85122" w:rsidRDefault="00F85122" w:rsidP="005E613E">
      <w:pPr>
        <w:jc w:val="both"/>
        <w:rPr>
          <w:rFonts w:ascii="Calibri" w:hAnsi="Calibri"/>
        </w:rPr>
      </w:pPr>
      <w:r w:rsidRPr="00F85122">
        <w:rPr>
          <w:rFonts w:ascii="Calibri" w:hAnsi="Calibri"/>
        </w:rPr>
        <w:t xml:space="preserve">Among the many challenges in mandatory reporting of child abuse and neglect </w:t>
      </w:r>
      <w:proofErr w:type="gramStart"/>
      <w:r w:rsidRPr="00F85122">
        <w:rPr>
          <w:rFonts w:ascii="Calibri" w:hAnsi="Calibri"/>
        </w:rPr>
        <w:t>is understanding</w:t>
      </w:r>
      <w:proofErr w:type="gramEnd"/>
      <w:r w:rsidRPr="00F85122">
        <w:rPr>
          <w:rFonts w:ascii="Calibri" w:hAnsi="Calibri"/>
        </w:rPr>
        <w:t xml:space="preserve"> what influences reporting practice (or behaviour). Gaining a better understanding of the factors responsible for reporting tendency can inform the design, content and methods for potential interventions to improve reporting practices among mandatory reporters. Many of the factors influencing mandatory reporting will be malleable, for example, via interventions targeting: legislative reform (e.g., in the wording of the statutes); institutional policy reform (e.g., internal procedures and guidelines for reporting); education and training; mentoring schemes; and organisational cultures.</w:t>
      </w:r>
    </w:p>
    <w:p w14:paraId="6AA0DBDE" w14:textId="77777777" w:rsidR="00F85122" w:rsidRPr="00F85122" w:rsidRDefault="00F85122" w:rsidP="005E613E">
      <w:pPr>
        <w:jc w:val="both"/>
        <w:rPr>
          <w:rFonts w:ascii="Calibri" w:hAnsi="Calibri"/>
        </w:rPr>
      </w:pPr>
      <w:r w:rsidRPr="00F85122">
        <w:rPr>
          <w:rFonts w:ascii="Calibri" w:hAnsi="Calibri"/>
        </w:rPr>
        <w:t xml:space="preserve">There is no definitive model that </w:t>
      </w:r>
      <w:proofErr w:type="gramStart"/>
      <w:r w:rsidRPr="00F85122">
        <w:rPr>
          <w:rFonts w:ascii="Calibri" w:hAnsi="Calibri"/>
        </w:rPr>
        <w:t>has yet been developed</w:t>
      </w:r>
      <w:proofErr w:type="gramEnd"/>
      <w:r w:rsidRPr="00F85122">
        <w:rPr>
          <w:rFonts w:ascii="Calibri" w:hAnsi="Calibri"/>
        </w:rPr>
        <w:t xml:space="preserve"> to conceptually depict the multitude of factors potentially affecting mandatory reporting of child abuse and neglect. In its simplest form, the process of reporting child maltreatment to statutory child protection authorities is conceptualised as a two-part process in which reporters must (</w:t>
      </w:r>
      <w:proofErr w:type="spellStart"/>
      <w:r w:rsidRPr="00F85122">
        <w:rPr>
          <w:rFonts w:ascii="Calibri" w:hAnsi="Calibri"/>
        </w:rPr>
        <w:t>i</w:t>
      </w:r>
      <w:proofErr w:type="spellEnd"/>
      <w:r w:rsidRPr="00F85122">
        <w:rPr>
          <w:rFonts w:ascii="Calibri" w:hAnsi="Calibri"/>
        </w:rPr>
        <w:t>) detect child abuse and/or neglect, and then (ii) report it.</w:t>
      </w:r>
    </w:p>
    <w:p w14:paraId="381FB13C" w14:textId="77777777" w:rsidR="00F85122" w:rsidRPr="00F85122" w:rsidRDefault="00F85122" w:rsidP="00F85122">
      <w:pPr>
        <w:pStyle w:val="Heading5"/>
      </w:pPr>
      <w:bookmarkStart w:id="135" w:name="_Toc399665706"/>
      <w:bookmarkStart w:id="136" w:name="_Toc399667230"/>
      <w:bookmarkStart w:id="137" w:name="_Toc399668972"/>
      <w:bookmarkStart w:id="138" w:name="_Toc399676758"/>
      <w:bookmarkStart w:id="139" w:name="_Toc273951891"/>
      <w:bookmarkStart w:id="140" w:name="_Toc400108200"/>
      <w:bookmarkStart w:id="141" w:name="_Toc400110251"/>
      <w:bookmarkStart w:id="142" w:name="_Toc400110587"/>
      <w:bookmarkStart w:id="143" w:name="_Toc400110698"/>
      <w:r w:rsidRPr="00F85122">
        <w:t>Approach</w:t>
      </w:r>
      <w:bookmarkEnd w:id="135"/>
      <w:bookmarkEnd w:id="136"/>
      <w:bookmarkEnd w:id="137"/>
      <w:bookmarkEnd w:id="138"/>
      <w:bookmarkEnd w:id="139"/>
      <w:bookmarkEnd w:id="140"/>
      <w:bookmarkEnd w:id="141"/>
      <w:bookmarkEnd w:id="142"/>
      <w:bookmarkEnd w:id="143"/>
    </w:p>
    <w:p w14:paraId="32DF1F9E" w14:textId="77777777" w:rsidR="00F85122" w:rsidRPr="00F85122" w:rsidRDefault="00F85122" w:rsidP="005E613E">
      <w:pPr>
        <w:jc w:val="both"/>
        <w:rPr>
          <w:rFonts w:ascii="Calibri" w:hAnsi="Calibri"/>
        </w:rPr>
      </w:pPr>
      <w:r w:rsidRPr="00F85122">
        <w:rPr>
          <w:rFonts w:ascii="Calibri" w:hAnsi="Calibri"/>
        </w:rPr>
        <w:t xml:space="preserve">Preliminary scoping of the evidence revealed no prior systematic reviews </w:t>
      </w:r>
      <w:proofErr w:type="gramStart"/>
      <w:r w:rsidRPr="00F85122">
        <w:rPr>
          <w:rFonts w:ascii="Calibri" w:hAnsi="Calibri"/>
        </w:rPr>
        <w:t>had been conducted</w:t>
      </w:r>
      <w:proofErr w:type="gramEnd"/>
      <w:r w:rsidRPr="00F85122">
        <w:rPr>
          <w:rFonts w:ascii="Calibri" w:hAnsi="Calibri"/>
        </w:rPr>
        <w:t xml:space="preserve"> on factors influencing mandatory reporting of child abuse and neglect. We located two previous narrative reviews: one of professionals’ reporting of suspected child abuse (</w:t>
      </w:r>
      <w:proofErr w:type="spellStart"/>
      <w:r w:rsidRPr="00F85122">
        <w:rPr>
          <w:rFonts w:ascii="Calibri" w:hAnsi="Calibri"/>
        </w:rPr>
        <w:t>Brosig</w:t>
      </w:r>
      <w:proofErr w:type="spellEnd"/>
      <w:r w:rsidRPr="00F85122">
        <w:rPr>
          <w:rFonts w:ascii="Calibri" w:hAnsi="Calibri"/>
        </w:rPr>
        <w:t xml:space="preserve"> &amp; </w:t>
      </w:r>
      <w:proofErr w:type="spellStart"/>
      <w:r w:rsidRPr="00F85122">
        <w:rPr>
          <w:rFonts w:ascii="Calibri" w:hAnsi="Calibri"/>
        </w:rPr>
        <w:t>Kalichman</w:t>
      </w:r>
      <w:proofErr w:type="spellEnd"/>
      <w:r w:rsidRPr="00F85122">
        <w:rPr>
          <w:rFonts w:ascii="Calibri" w:hAnsi="Calibri"/>
        </w:rPr>
        <w:t xml:space="preserve">, 1992) and another on barriers to reporting and educational interventions aiding reporting of child maltreatment (Alvarez, Kenny, Donohue, &amp; </w:t>
      </w:r>
      <w:proofErr w:type="spellStart"/>
      <w:r w:rsidRPr="00F85122">
        <w:rPr>
          <w:rFonts w:ascii="Calibri" w:hAnsi="Calibri"/>
        </w:rPr>
        <w:t>Carpin</w:t>
      </w:r>
      <w:proofErr w:type="spellEnd"/>
      <w:r w:rsidRPr="00F85122">
        <w:rPr>
          <w:rFonts w:ascii="Calibri" w:hAnsi="Calibri"/>
        </w:rPr>
        <w:t>, 2004).</w:t>
      </w:r>
    </w:p>
    <w:p w14:paraId="34CCBB8D" w14:textId="77777777" w:rsidR="00F85122" w:rsidRPr="00F85122" w:rsidRDefault="00F85122" w:rsidP="005E613E">
      <w:pPr>
        <w:jc w:val="both"/>
        <w:rPr>
          <w:rFonts w:ascii="Calibri" w:hAnsi="Calibri"/>
        </w:rPr>
      </w:pPr>
      <w:r w:rsidRPr="00F85122">
        <w:rPr>
          <w:rFonts w:ascii="Calibri" w:hAnsi="Calibri"/>
        </w:rPr>
        <w:t>This systematized review (Grant at al., 2009) comprises a systematic search strategy and rapid evidence synthesis. It provides a guide to the state of the current evidence base rather than a full systematic review and evaluation.</w:t>
      </w:r>
    </w:p>
    <w:p w14:paraId="2D43F12E" w14:textId="77777777" w:rsidR="00F85122" w:rsidRPr="00F85122" w:rsidRDefault="00F85122" w:rsidP="00F85122">
      <w:pPr>
        <w:pStyle w:val="Heading5"/>
      </w:pPr>
      <w:bookmarkStart w:id="144" w:name="_Toc399665707"/>
      <w:bookmarkStart w:id="145" w:name="_Toc399667231"/>
      <w:bookmarkStart w:id="146" w:name="_Toc399668973"/>
      <w:bookmarkStart w:id="147" w:name="_Toc399676759"/>
      <w:bookmarkStart w:id="148" w:name="_Toc273951892"/>
      <w:bookmarkStart w:id="149" w:name="_Toc400108201"/>
      <w:bookmarkStart w:id="150" w:name="_Toc400110252"/>
      <w:bookmarkStart w:id="151" w:name="_Toc400110588"/>
      <w:bookmarkStart w:id="152" w:name="_Toc400110699"/>
      <w:r w:rsidRPr="00F85122">
        <w:t>Inclusion and exclusion criteria</w:t>
      </w:r>
      <w:bookmarkEnd w:id="144"/>
      <w:bookmarkEnd w:id="145"/>
      <w:bookmarkEnd w:id="146"/>
      <w:bookmarkEnd w:id="147"/>
      <w:bookmarkEnd w:id="148"/>
      <w:bookmarkEnd w:id="149"/>
      <w:bookmarkEnd w:id="150"/>
      <w:bookmarkEnd w:id="151"/>
      <w:bookmarkEnd w:id="152"/>
    </w:p>
    <w:p w14:paraId="22884D33" w14:textId="77777777" w:rsidR="00F85122" w:rsidRPr="00F85122" w:rsidRDefault="00F85122" w:rsidP="005E613E">
      <w:pPr>
        <w:jc w:val="both"/>
        <w:rPr>
          <w:rFonts w:ascii="Calibri" w:hAnsi="Calibri"/>
        </w:rPr>
      </w:pPr>
      <w:proofErr w:type="gramStart"/>
      <w:r w:rsidRPr="00F85122">
        <w:rPr>
          <w:rFonts w:ascii="Calibri" w:hAnsi="Calibri"/>
        </w:rPr>
        <w:t>Literature was included or excluded based on six criteria: (</w:t>
      </w:r>
      <w:proofErr w:type="spellStart"/>
      <w:r w:rsidRPr="00F85122">
        <w:rPr>
          <w:rFonts w:ascii="Calibri" w:hAnsi="Calibri"/>
        </w:rPr>
        <w:t>i</w:t>
      </w:r>
      <w:proofErr w:type="spellEnd"/>
      <w:r w:rsidRPr="00F85122">
        <w:rPr>
          <w:rFonts w:ascii="Calibri" w:hAnsi="Calibri"/>
        </w:rPr>
        <w:t xml:space="preserve">) publication type (we included only primary research reports published in peer-reviewed journals and excluded books, book chapters, and theses); (ii) publication topic (we included only studies of factors affecting/ predicting/ determining/ associated with/ correlated with/ contributing to the reporting of child abuse and/or neglect by professionals required to </w:t>
      </w:r>
      <w:r w:rsidRPr="00F85122">
        <w:rPr>
          <w:rFonts w:ascii="Calibri" w:hAnsi="Calibri"/>
        </w:rPr>
        <w:lastRenderedPageBreak/>
        <w:t>report child abuse and neglect, including report barriers and facilitators); (iii) study type (we included only primary studies reporting original data and excluded other reviews and commentary); (iv) definitions (“mandatory reporting” was defined as the legislative obligation to report physical abuse, emotional abuse, sexual abuse, or neglect to statutory child protection authorities and “mandatory reporter” was defined as professionals required by law to report); (v) participant populations (we included studies with sub-populations of mandatory reporters: e.g. nurses, physicians, teachers and excluded studies with non-mandatory reporters and students); and (vi) outcomes (we included studies where reporting practice, behaviour, or tendency was investigated and reported).</w:t>
      </w:r>
      <w:proofErr w:type="gramEnd"/>
    </w:p>
    <w:p w14:paraId="62066F0C" w14:textId="77777777" w:rsidR="00F85122" w:rsidRPr="00F85122" w:rsidRDefault="00F85122" w:rsidP="005E613E">
      <w:pPr>
        <w:jc w:val="both"/>
        <w:rPr>
          <w:rFonts w:ascii="Calibri" w:hAnsi="Calibri"/>
        </w:rPr>
      </w:pPr>
      <w:r w:rsidRPr="00F85122">
        <w:rPr>
          <w:rFonts w:ascii="Calibri" w:hAnsi="Calibri"/>
        </w:rPr>
        <w:t xml:space="preserve">Only narrative synthesis was undertaken. Statistical data synthesis </w:t>
      </w:r>
      <w:proofErr w:type="gramStart"/>
      <w:r w:rsidRPr="00F85122">
        <w:rPr>
          <w:rFonts w:ascii="Calibri" w:hAnsi="Calibri"/>
        </w:rPr>
        <w:t>was not conducted</w:t>
      </w:r>
      <w:proofErr w:type="gramEnd"/>
      <w:r w:rsidRPr="00F85122">
        <w:rPr>
          <w:rFonts w:ascii="Calibri" w:hAnsi="Calibri"/>
        </w:rPr>
        <w:t>.</w:t>
      </w:r>
    </w:p>
    <w:p w14:paraId="2BDF112D" w14:textId="77777777" w:rsidR="00F85122" w:rsidRPr="00F85122" w:rsidRDefault="00F85122" w:rsidP="00F85122">
      <w:pPr>
        <w:pStyle w:val="Heading5"/>
      </w:pPr>
      <w:bookmarkStart w:id="153" w:name="_Toc399665708"/>
      <w:bookmarkStart w:id="154" w:name="_Toc399667232"/>
      <w:bookmarkStart w:id="155" w:name="_Toc399668974"/>
      <w:bookmarkStart w:id="156" w:name="_Toc399676760"/>
      <w:bookmarkStart w:id="157" w:name="_Toc273951893"/>
      <w:bookmarkStart w:id="158" w:name="_Toc400108202"/>
      <w:bookmarkStart w:id="159" w:name="_Toc400110253"/>
      <w:bookmarkStart w:id="160" w:name="_Toc400110589"/>
      <w:bookmarkStart w:id="161" w:name="_Toc400110700"/>
      <w:r w:rsidRPr="00F85122">
        <w:t>Overview of studies</w:t>
      </w:r>
      <w:bookmarkEnd w:id="153"/>
      <w:bookmarkEnd w:id="154"/>
      <w:bookmarkEnd w:id="155"/>
      <w:bookmarkEnd w:id="156"/>
      <w:bookmarkEnd w:id="157"/>
      <w:bookmarkEnd w:id="158"/>
      <w:bookmarkEnd w:id="159"/>
      <w:bookmarkEnd w:id="160"/>
      <w:bookmarkEnd w:id="161"/>
    </w:p>
    <w:p w14:paraId="27A2C1D1" w14:textId="77777777" w:rsidR="00F85122" w:rsidRPr="00F85122" w:rsidRDefault="00F85122" w:rsidP="005E613E">
      <w:pPr>
        <w:jc w:val="both"/>
        <w:rPr>
          <w:rFonts w:ascii="Calibri" w:hAnsi="Calibri"/>
        </w:rPr>
      </w:pPr>
      <w:r w:rsidRPr="00F85122">
        <w:rPr>
          <w:rFonts w:ascii="Calibri" w:hAnsi="Calibri"/>
        </w:rPr>
        <w:t xml:space="preserve">Seventy-two studies met the inclusion criteria. Most of the studies were conducted in the USA (n=48). Studies were also conducted in Australia (n=10), Taiwan (n=6), Canada (n=3), Israel (n=3), Sweden (n=2), Brazil (n=1) and Denmark (n=1). The first study </w:t>
      </w:r>
      <w:proofErr w:type="gramStart"/>
      <w:r w:rsidRPr="00F85122">
        <w:rPr>
          <w:rFonts w:ascii="Calibri" w:hAnsi="Calibri"/>
        </w:rPr>
        <w:t>was conducted</w:t>
      </w:r>
      <w:proofErr w:type="gramEnd"/>
      <w:r w:rsidRPr="00F85122">
        <w:rPr>
          <w:rFonts w:ascii="Calibri" w:hAnsi="Calibri"/>
        </w:rPr>
        <w:t xml:space="preserve"> in 1981 with US nurses and paediatricians (</w:t>
      </w:r>
      <w:proofErr w:type="spellStart"/>
      <w:r w:rsidRPr="00F85122">
        <w:rPr>
          <w:rFonts w:ascii="Calibri" w:hAnsi="Calibri"/>
        </w:rPr>
        <w:t>Nelpka</w:t>
      </w:r>
      <w:proofErr w:type="spellEnd"/>
      <w:r w:rsidRPr="00F85122">
        <w:rPr>
          <w:rFonts w:ascii="Calibri" w:hAnsi="Calibri"/>
        </w:rPr>
        <w:t xml:space="preserve">, O'Toole &amp; </w:t>
      </w:r>
      <w:proofErr w:type="spellStart"/>
      <w:r w:rsidRPr="00F85122">
        <w:rPr>
          <w:rFonts w:ascii="Calibri" w:hAnsi="Calibri"/>
        </w:rPr>
        <w:t>Turbett</w:t>
      </w:r>
      <w:proofErr w:type="spellEnd"/>
      <w:r w:rsidRPr="00F85122">
        <w:rPr>
          <w:rFonts w:ascii="Calibri" w:hAnsi="Calibri"/>
        </w:rPr>
        <w:t>, 1981).</w:t>
      </w:r>
    </w:p>
    <w:p w14:paraId="29F239EE" w14:textId="77777777" w:rsidR="00F85122" w:rsidRPr="00F85122" w:rsidRDefault="00F85122" w:rsidP="005E613E">
      <w:pPr>
        <w:jc w:val="both"/>
        <w:rPr>
          <w:rFonts w:ascii="Calibri" w:hAnsi="Calibri"/>
        </w:rPr>
      </w:pPr>
      <w:r w:rsidRPr="00F85122">
        <w:rPr>
          <w:rFonts w:ascii="Calibri" w:hAnsi="Calibri"/>
        </w:rPr>
        <w:t>Fifty of the 72 studies focused broadly on factors influencing reporting of child abuse or neglect/child maltreatment generally or as an undifferentiated phenomenon without specifying factors influencing reporting of specific maltreatment subtypes. Twenty-two studies focused on reporting for distinct maltreatment subtypes (physical abuse n=17; sexual abuse n=</w:t>
      </w:r>
      <w:proofErr w:type="gramStart"/>
      <w:r w:rsidRPr="00F85122">
        <w:rPr>
          <w:rFonts w:ascii="Calibri" w:hAnsi="Calibri"/>
        </w:rPr>
        <w:t>4</w:t>
      </w:r>
      <w:proofErr w:type="gramEnd"/>
      <w:r w:rsidRPr="00F85122">
        <w:rPr>
          <w:rFonts w:ascii="Calibri" w:hAnsi="Calibri"/>
        </w:rPr>
        <w:t>; and exposure to intimate partner violence n=1). No studies focused solely on mandatory reporting of emotional abuse or neglect.</w:t>
      </w:r>
    </w:p>
    <w:p w14:paraId="4CA5327B" w14:textId="77777777" w:rsidR="00F85122" w:rsidRPr="00F85122" w:rsidRDefault="00F85122" w:rsidP="005E613E">
      <w:pPr>
        <w:jc w:val="both"/>
        <w:rPr>
          <w:rFonts w:ascii="Calibri" w:hAnsi="Calibri"/>
        </w:rPr>
      </w:pPr>
      <w:r w:rsidRPr="00F85122">
        <w:rPr>
          <w:rFonts w:ascii="Calibri" w:hAnsi="Calibri"/>
        </w:rPr>
        <w:t xml:space="preserve">Of the 72 studies, 63 were quantitative, </w:t>
      </w:r>
      <w:proofErr w:type="gramStart"/>
      <w:r w:rsidRPr="00F85122">
        <w:rPr>
          <w:rFonts w:ascii="Calibri" w:hAnsi="Calibri"/>
        </w:rPr>
        <w:t>5</w:t>
      </w:r>
      <w:proofErr w:type="gramEnd"/>
      <w:r w:rsidRPr="00F85122">
        <w:rPr>
          <w:rFonts w:ascii="Calibri" w:hAnsi="Calibri"/>
        </w:rPr>
        <w:t xml:space="preserve"> were qualitative, 3 were mixed methods studies combining quantitative and qualitative methods, and 1 study employed an experimental design. The predominant study type was a cross-sectional survey providing a snapshot of reporting practice at one point in time. Participant self-report questionnaires and/or interviews </w:t>
      </w:r>
      <w:proofErr w:type="gramStart"/>
      <w:r w:rsidRPr="00F85122">
        <w:rPr>
          <w:rFonts w:ascii="Calibri" w:hAnsi="Calibri"/>
        </w:rPr>
        <w:t>were used</w:t>
      </w:r>
      <w:proofErr w:type="gramEnd"/>
      <w:r w:rsidRPr="00F85122">
        <w:rPr>
          <w:rFonts w:ascii="Calibri" w:hAnsi="Calibri"/>
        </w:rPr>
        <w:t xml:space="preserve"> in the majority of studies. Data on reporting practice were gathered in two ways: (</w:t>
      </w:r>
      <w:proofErr w:type="spellStart"/>
      <w:r w:rsidRPr="00F85122">
        <w:rPr>
          <w:rFonts w:ascii="Calibri" w:hAnsi="Calibri"/>
        </w:rPr>
        <w:t>i</w:t>
      </w:r>
      <w:proofErr w:type="spellEnd"/>
      <w:r w:rsidRPr="00F85122">
        <w:rPr>
          <w:rFonts w:ascii="Calibri" w:hAnsi="Calibri"/>
        </w:rPr>
        <w:t>) actual reporting, by asking participants to indicate whether, and how many cases of child abuse and neglect they had reported; and (ii) hypothetical reporting, by providing vignettes or scenarios and asking participants to indicate how likely they would be to report each case.</w:t>
      </w:r>
    </w:p>
    <w:p w14:paraId="788E7C69" w14:textId="77777777" w:rsidR="00F85122" w:rsidRPr="00F85122" w:rsidRDefault="00F85122" w:rsidP="005E613E">
      <w:pPr>
        <w:jc w:val="both"/>
        <w:rPr>
          <w:rFonts w:ascii="Calibri" w:hAnsi="Calibri"/>
        </w:rPr>
      </w:pPr>
      <w:r w:rsidRPr="00F85122">
        <w:rPr>
          <w:rFonts w:ascii="Calibri" w:hAnsi="Calibri"/>
        </w:rPr>
        <w:t xml:space="preserve">Studies sampled teachers (n=16), doctors (n=15), nurses (n=10), psychologists (n=7), school counsellors (n=3), dentists (n=2), </w:t>
      </w:r>
      <w:proofErr w:type="gramStart"/>
      <w:r w:rsidRPr="00F85122">
        <w:rPr>
          <w:rFonts w:ascii="Calibri" w:hAnsi="Calibri"/>
        </w:rPr>
        <w:t>child care</w:t>
      </w:r>
      <w:proofErr w:type="gramEnd"/>
      <w:r w:rsidRPr="00F85122">
        <w:rPr>
          <w:rFonts w:ascii="Calibri" w:hAnsi="Calibri"/>
        </w:rPr>
        <w:t xml:space="preserve"> workers (n=2), social workers (n=1), and police (n=1). Multiple professional groups (e.g. mental health practitioners, family therapists) were studied concurrently 15 studies. In total, over 24 000 mandated reporters participated in the 72 studies. Study sample sizes ranged from 10 participants in a </w:t>
      </w:r>
      <w:proofErr w:type="gramStart"/>
      <w:r w:rsidRPr="00F85122">
        <w:rPr>
          <w:rFonts w:ascii="Calibri" w:hAnsi="Calibri"/>
        </w:rPr>
        <w:t>small scale</w:t>
      </w:r>
      <w:proofErr w:type="gramEnd"/>
      <w:r w:rsidRPr="00F85122">
        <w:rPr>
          <w:rFonts w:ascii="Calibri" w:hAnsi="Calibri"/>
        </w:rPr>
        <w:t xml:space="preserve"> qualitative study (</w:t>
      </w:r>
      <w:proofErr w:type="spellStart"/>
      <w:r w:rsidRPr="00F85122">
        <w:rPr>
          <w:rFonts w:ascii="Calibri" w:hAnsi="Calibri"/>
        </w:rPr>
        <w:t>Nayda</w:t>
      </w:r>
      <w:proofErr w:type="spellEnd"/>
      <w:r w:rsidRPr="00F85122">
        <w:rPr>
          <w:rFonts w:ascii="Calibri" w:hAnsi="Calibri"/>
        </w:rPr>
        <w:t xml:space="preserve">, 2002) to 1412 participants in a large scale quantitative </w:t>
      </w:r>
      <w:r w:rsidRPr="00F85122">
        <w:rPr>
          <w:rFonts w:ascii="Calibri" w:hAnsi="Calibri"/>
        </w:rPr>
        <w:lastRenderedPageBreak/>
        <w:t>study (Crenshaw, Lichtenberg, &amp; Bartell, 1993). Response rates ranged from 11% (</w:t>
      </w:r>
      <w:proofErr w:type="spellStart"/>
      <w:r w:rsidRPr="00F85122">
        <w:rPr>
          <w:rFonts w:ascii="Calibri" w:hAnsi="Calibri"/>
        </w:rPr>
        <w:t>Herendeen</w:t>
      </w:r>
      <w:proofErr w:type="spellEnd"/>
      <w:r w:rsidRPr="00F85122">
        <w:rPr>
          <w:rFonts w:ascii="Calibri" w:hAnsi="Calibri"/>
        </w:rPr>
        <w:t xml:space="preserve"> et al., 2014) to 95% (</w:t>
      </w:r>
      <w:proofErr w:type="spellStart"/>
      <w:r w:rsidRPr="00F85122">
        <w:rPr>
          <w:rFonts w:ascii="Calibri" w:hAnsi="Calibri"/>
        </w:rPr>
        <w:t>Turbett</w:t>
      </w:r>
      <w:proofErr w:type="spellEnd"/>
      <w:r w:rsidRPr="00F85122">
        <w:rPr>
          <w:rFonts w:ascii="Calibri" w:hAnsi="Calibri"/>
        </w:rPr>
        <w:t xml:space="preserve"> &amp; O’Toole, 1983). Response rates </w:t>
      </w:r>
      <w:proofErr w:type="gramStart"/>
      <w:r w:rsidRPr="00F85122">
        <w:rPr>
          <w:rFonts w:ascii="Calibri" w:hAnsi="Calibri"/>
        </w:rPr>
        <w:t>were not reported</w:t>
      </w:r>
      <w:proofErr w:type="gramEnd"/>
      <w:r w:rsidRPr="00F85122">
        <w:rPr>
          <w:rFonts w:ascii="Calibri" w:hAnsi="Calibri"/>
        </w:rPr>
        <w:t xml:space="preserve"> in 16 of the studies. Purposive samples were reported in </w:t>
      </w:r>
      <w:proofErr w:type="gramStart"/>
      <w:r w:rsidRPr="00F85122">
        <w:rPr>
          <w:rFonts w:ascii="Calibri" w:hAnsi="Calibri"/>
        </w:rPr>
        <w:t>6</w:t>
      </w:r>
      <w:proofErr w:type="gramEnd"/>
      <w:r w:rsidRPr="00F85122">
        <w:rPr>
          <w:rFonts w:ascii="Calibri" w:hAnsi="Calibri"/>
        </w:rPr>
        <w:t xml:space="preserve"> studies. </w:t>
      </w:r>
      <w:proofErr w:type="gramStart"/>
      <w:r w:rsidRPr="00F85122">
        <w:rPr>
          <w:rFonts w:ascii="Calibri" w:hAnsi="Calibri"/>
        </w:rPr>
        <w:t>Typically</w:t>
      </w:r>
      <w:proofErr w:type="gramEnd"/>
      <w:r w:rsidRPr="00F85122">
        <w:rPr>
          <w:rFonts w:ascii="Calibri" w:hAnsi="Calibri"/>
        </w:rPr>
        <w:t xml:space="preserve"> in the quantitative studies, random samples were drawn from mailing lists of professional associations, or from records of professionals employed in departments/districts/regions.</w:t>
      </w:r>
    </w:p>
    <w:p w14:paraId="0D47BF49" w14:textId="77777777" w:rsidR="00F85122" w:rsidRPr="00F85122" w:rsidRDefault="00F85122" w:rsidP="00F85122">
      <w:pPr>
        <w:pStyle w:val="Heading5"/>
      </w:pPr>
      <w:bookmarkStart w:id="162" w:name="_Toc399665709"/>
      <w:bookmarkStart w:id="163" w:name="_Toc399667233"/>
      <w:bookmarkStart w:id="164" w:name="_Toc399668975"/>
      <w:bookmarkStart w:id="165" w:name="_Toc399676761"/>
      <w:bookmarkStart w:id="166" w:name="_Toc273951894"/>
      <w:bookmarkStart w:id="167" w:name="_Toc400108203"/>
      <w:bookmarkStart w:id="168" w:name="_Toc400110254"/>
      <w:bookmarkStart w:id="169" w:name="_Toc400110590"/>
      <w:bookmarkStart w:id="170" w:name="_Toc400110701"/>
      <w:r w:rsidRPr="00F85122">
        <w:t>Key findings</w:t>
      </w:r>
      <w:bookmarkEnd w:id="162"/>
      <w:bookmarkEnd w:id="163"/>
      <w:bookmarkEnd w:id="164"/>
      <w:bookmarkEnd w:id="165"/>
      <w:bookmarkEnd w:id="166"/>
      <w:bookmarkEnd w:id="167"/>
      <w:bookmarkEnd w:id="168"/>
      <w:bookmarkEnd w:id="169"/>
      <w:bookmarkEnd w:id="170"/>
    </w:p>
    <w:p w14:paraId="1481FFCE" w14:textId="77777777" w:rsidR="00F85122" w:rsidRPr="00F85122" w:rsidRDefault="00F85122" w:rsidP="00F85122">
      <w:pPr>
        <w:rPr>
          <w:rFonts w:ascii="Calibri" w:hAnsi="Calibri"/>
        </w:rPr>
      </w:pPr>
      <w:r w:rsidRPr="00F85122">
        <w:rPr>
          <w:rFonts w:ascii="Calibri" w:hAnsi="Calibri"/>
        </w:rPr>
        <w:t xml:space="preserve">The 72 studies identified factors influencing mandatory reporting of child abuse and neglect. These factors were categorised into </w:t>
      </w:r>
      <w:proofErr w:type="gramStart"/>
      <w:r w:rsidRPr="00F85122">
        <w:rPr>
          <w:rFonts w:ascii="Calibri" w:hAnsi="Calibri"/>
        </w:rPr>
        <w:t>4</w:t>
      </w:r>
      <w:proofErr w:type="gramEnd"/>
      <w:r w:rsidRPr="00F85122">
        <w:rPr>
          <w:rFonts w:ascii="Calibri" w:hAnsi="Calibri"/>
        </w:rPr>
        <w:t xml:space="preserve"> factor themes:</w:t>
      </w:r>
    </w:p>
    <w:p w14:paraId="5A3F42B9" w14:textId="77777777" w:rsidR="00F85122" w:rsidRPr="00F85122" w:rsidRDefault="00F85122" w:rsidP="00F85122">
      <w:pPr>
        <w:pStyle w:val="ListParagraph"/>
        <w:numPr>
          <w:ilvl w:val="0"/>
          <w:numId w:val="2"/>
        </w:numPr>
        <w:spacing w:before="0"/>
        <w:rPr>
          <w:rFonts w:ascii="Calibri" w:hAnsi="Calibri"/>
        </w:rPr>
      </w:pPr>
      <w:r w:rsidRPr="00F85122">
        <w:rPr>
          <w:rFonts w:ascii="Calibri" w:hAnsi="Calibri"/>
          <w:b/>
        </w:rPr>
        <w:t>case factors</w:t>
      </w:r>
      <w:r w:rsidRPr="00F85122">
        <w:rPr>
          <w:rFonts w:ascii="Calibri" w:hAnsi="Calibri"/>
        </w:rPr>
        <w:t xml:space="preserve"> (child factors; family factors);</w:t>
      </w:r>
    </w:p>
    <w:p w14:paraId="47EF9896" w14:textId="77777777" w:rsidR="00F85122" w:rsidRPr="00F85122" w:rsidRDefault="00F85122" w:rsidP="00F85122">
      <w:pPr>
        <w:pStyle w:val="ListParagraph"/>
        <w:numPr>
          <w:ilvl w:val="0"/>
          <w:numId w:val="2"/>
        </w:numPr>
        <w:spacing w:before="0"/>
        <w:rPr>
          <w:rFonts w:ascii="Calibri" w:hAnsi="Calibri"/>
        </w:rPr>
      </w:pPr>
      <w:r w:rsidRPr="00F85122">
        <w:rPr>
          <w:rFonts w:ascii="Calibri" w:hAnsi="Calibri"/>
          <w:b/>
        </w:rPr>
        <w:t>reporter factors</w:t>
      </w:r>
      <w:r w:rsidRPr="00F85122">
        <w:rPr>
          <w:rFonts w:ascii="Calibri" w:hAnsi="Calibri"/>
        </w:rPr>
        <w:t xml:space="preserve"> (socio-demographics, attitudes, knowledge, education/training, fears/concerns, beliefs, self-efficacy, and previous CPS experience);</w:t>
      </w:r>
    </w:p>
    <w:p w14:paraId="4DBD831D" w14:textId="77777777" w:rsidR="00F85122" w:rsidRPr="00F85122" w:rsidRDefault="00F85122" w:rsidP="00F85122">
      <w:pPr>
        <w:pStyle w:val="ListParagraph"/>
        <w:numPr>
          <w:ilvl w:val="0"/>
          <w:numId w:val="2"/>
        </w:numPr>
        <w:spacing w:before="0"/>
        <w:rPr>
          <w:rFonts w:ascii="Calibri" w:hAnsi="Calibri"/>
        </w:rPr>
      </w:pPr>
      <w:r w:rsidRPr="00F85122">
        <w:rPr>
          <w:rFonts w:ascii="Calibri" w:hAnsi="Calibri"/>
          <w:b/>
        </w:rPr>
        <w:t>organisational factors</w:t>
      </w:r>
      <w:r w:rsidRPr="00F85122">
        <w:rPr>
          <w:rFonts w:ascii="Calibri" w:hAnsi="Calibri"/>
        </w:rPr>
        <w:t xml:space="preserve"> (private v public, perceived social support, time pressure, and location); and </w:t>
      </w:r>
    </w:p>
    <w:p w14:paraId="7A5BDA74" w14:textId="77777777" w:rsidR="00F85122" w:rsidRPr="00F85122" w:rsidRDefault="00F85122" w:rsidP="00F85122">
      <w:pPr>
        <w:pStyle w:val="ListParagraph"/>
        <w:numPr>
          <w:ilvl w:val="0"/>
          <w:numId w:val="2"/>
        </w:numPr>
        <w:spacing w:before="0"/>
        <w:rPr>
          <w:rFonts w:ascii="Calibri" w:hAnsi="Calibri"/>
        </w:rPr>
      </w:pPr>
      <w:proofErr w:type="gramStart"/>
      <w:r w:rsidRPr="00F85122">
        <w:rPr>
          <w:rFonts w:ascii="Calibri" w:hAnsi="Calibri"/>
          <w:b/>
        </w:rPr>
        <w:t>jurisdictional</w:t>
      </w:r>
      <w:proofErr w:type="gramEnd"/>
      <w:r w:rsidRPr="00F85122">
        <w:rPr>
          <w:rFonts w:ascii="Calibri" w:hAnsi="Calibri"/>
          <w:b/>
        </w:rPr>
        <w:t xml:space="preserve"> factors</w:t>
      </w:r>
      <w:r w:rsidRPr="00F85122">
        <w:rPr>
          <w:rFonts w:ascii="Calibri" w:hAnsi="Calibri"/>
        </w:rPr>
        <w:t xml:space="preserve"> (wording of reporting law).</w:t>
      </w:r>
    </w:p>
    <w:p w14:paraId="30D89C10" w14:textId="77777777" w:rsidR="00F85122" w:rsidRPr="00F85122" w:rsidRDefault="00F85122" w:rsidP="00F85122">
      <w:pPr>
        <w:rPr>
          <w:rFonts w:ascii="Calibri" w:hAnsi="Calibri"/>
        </w:rPr>
      </w:pPr>
      <w:r w:rsidRPr="00F85122">
        <w:rPr>
          <w:rFonts w:ascii="Calibri" w:hAnsi="Calibri"/>
        </w:rPr>
        <w:t xml:space="preserve">These factor themes, relevant study findings, study authors, and study frequencies </w:t>
      </w:r>
      <w:proofErr w:type="gramStart"/>
      <w:r w:rsidRPr="00F85122">
        <w:rPr>
          <w:rFonts w:ascii="Calibri" w:hAnsi="Calibri"/>
        </w:rPr>
        <w:t>are shown</w:t>
      </w:r>
      <w:proofErr w:type="gramEnd"/>
      <w:r w:rsidRPr="00F85122">
        <w:rPr>
          <w:rFonts w:ascii="Calibri" w:hAnsi="Calibri"/>
        </w:rPr>
        <w:t xml:space="preserve"> in Table 3.1.</w:t>
      </w:r>
    </w:p>
    <w:p w14:paraId="00E7D879" w14:textId="77777777" w:rsidR="00F85122" w:rsidRPr="00F85122" w:rsidRDefault="00F85122" w:rsidP="005E613E">
      <w:pPr>
        <w:jc w:val="both"/>
        <w:rPr>
          <w:rFonts w:ascii="Calibri" w:hAnsi="Calibri"/>
        </w:rPr>
      </w:pPr>
      <w:r w:rsidRPr="00F85122">
        <w:rPr>
          <w:rFonts w:ascii="Calibri" w:hAnsi="Calibri"/>
        </w:rPr>
        <w:t xml:space="preserve">Apart from case characteristics, the major factors that appear to influence mandatory reporting are </w:t>
      </w:r>
      <w:r w:rsidRPr="00F85122">
        <w:rPr>
          <w:rFonts w:ascii="Calibri" w:hAnsi="Calibri"/>
          <w:b/>
          <w:i/>
        </w:rPr>
        <w:t>reporter attitudes</w:t>
      </w:r>
      <w:r w:rsidRPr="00F85122">
        <w:rPr>
          <w:rFonts w:ascii="Calibri" w:hAnsi="Calibri"/>
        </w:rPr>
        <w:t xml:space="preserve">, </w:t>
      </w:r>
      <w:r w:rsidRPr="00F85122">
        <w:rPr>
          <w:rFonts w:ascii="Calibri" w:hAnsi="Calibri"/>
          <w:b/>
          <w:i/>
        </w:rPr>
        <w:t>reporter knowledge</w:t>
      </w:r>
      <w:r w:rsidRPr="00F85122">
        <w:rPr>
          <w:rFonts w:ascii="Calibri" w:hAnsi="Calibri"/>
        </w:rPr>
        <w:t xml:space="preserve"> (encompassing education and training), </w:t>
      </w:r>
      <w:r w:rsidRPr="00F85122">
        <w:rPr>
          <w:rFonts w:ascii="Calibri" w:hAnsi="Calibri"/>
          <w:b/>
          <w:i/>
        </w:rPr>
        <w:t>reporter fears and concerns</w:t>
      </w:r>
      <w:r w:rsidRPr="00F85122">
        <w:rPr>
          <w:rFonts w:ascii="Calibri" w:hAnsi="Calibri"/>
        </w:rPr>
        <w:t xml:space="preserve"> about the effects of mandatory reporting, and </w:t>
      </w:r>
      <w:r w:rsidRPr="00F85122">
        <w:rPr>
          <w:rFonts w:ascii="Calibri" w:hAnsi="Calibri"/>
          <w:b/>
          <w:i/>
        </w:rPr>
        <w:t>reporter experience with and confidence in child protection services</w:t>
      </w:r>
      <w:r w:rsidRPr="00F85122">
        <w:rPr>
          <w:rFonts w:ascii="Calibri" w:hAnsi="Calibri"/>
        </w:rPr>
        <w:t xml:space="preserve"> (CPS). Emerging areas of research also point to the importance of workplace support for reporting, and the wording of the reporting statute.</w:t>
      </w:r>
    </w:p>
    <w:p w14:paraId="59685872" w14:textId="77777777" w:rsidR="00F85122" w:rsidRPr="00F85122" w:rsidRDefault="00F85122" w:rsidP="005E613E">
      <w:pPr>
        <w:jc w:val="both"/>
        <w:rPr>
          <w:rFonts w:ascii="Calibri" w:hAnsi="Calibri"/>
        </w:rPr>
      </w:pPr>
      <w:r w:rsidRPr="00F85122">
        <w:rPr>
          <w:rFonts w:ascii="Calibri" w:hAnsi="Calibri"/>
        </w:rPr>
        <w:t>There is a lack of research on factors influencing mandatory reporting, especially for the professional groups whose reporting has been most problematic (e.g. police). No studies have focused explicitly on factors influencing mandatory reporting of emotional abuse or neglect.</w:t>
      </w:r>
    </w:p>
    <w:p w14:paraId="1315F9FD" w14:textId="77777777" w:rsidR="00F85122" w:rsidRPr="00F85122" w:rsidRDefault="00F85122" w:rsidP="00F85122">
      <w:pPr>
        <w:spacing w:before="0"/>
        <w:rPr>
          <w:rFonts w:ascii="Calibri" w:hAnsi="Calibri"/>
        </w:rPr>
      </w:pPr>
    </w:p>
    <w:p w14:paraId="4D24256B" w14:textId="77777777" w:rsidR="00F85122" w:rsidRPr="00F85122" w:rsidRDefault="00F85122" w:rsidP="00F85122">
      <w:pPr>
        <w:pStyle w:val="Heading6"/>
        <w:rPr>
          <w:rFonts w:ascii="Calibri" w:hAnsi="Calibri"/>
          <w:i/>
        </w:rPr>
      </w:pPr>
      <w:r w:rsidRPr="00F85122">
        <w:rPr>
          <w:rFonts w:ascii="Calibri" w:hAnsi="Calibri"/>
          <w:i/>
        </w:rPr>
        <w:t>Case factors</w:t>
      </w:r>
    </w:p>
    <w:p w14:paraId="7EBC50C9" w14:textId="77777777" w:rsidR="00F85122" w:rsidRPr="00F85122" w:rsidRDefault="00F85122" w:rsidP="005E613E">
      <w:pPr>
        <w:jc w:val="both"/>
        <w:rPr>
          <w:rFonts w:ascii="Calibri" w:hAnsi="Calibri"/>
        </w:rPr>
      </w:pPr>
      <w:r w:rsidRPr="00F85122">
        <w:rPr>
          <w:rFonts w:ascii="Calibri" w:hAnsi="Calibri"/>
          <w:i/>
        </w:rPr>
        <w:t>Case factors (child factors)</w:t>
      </w:r>
      <w:r w:rsidRPr="00F85122">
        <w:rPr>
          <w:rFonts w:ascii="Calibri" w:hAnsi="Calibri"/>
        </w:rPr>
        <w:t xml:space="preserve"> influencing mandatory reporting include: (</w:t>
      </w:r>
      <w:proofErr w:type="spellStart"/>
      <w:r w:rsidRPr="00F85122">
        <w:rPr>
          <w:rFonts w:ascii="Calibri" w:hAnsi="Calibri"/>
        </w:rPr>
        <w:t>i</w:t>
      </w:r>
      <w:proofErr w:type="spellEnd"/>
      <w:r w:rsidRPr="00F85122">
        <w:rPr>
          <w:rFonts w:ascii="Calibri" w:hAnsi="Calibri"/>
        </w:rPr>
        <w:t xml:space="preserve">) the type of maltreatment; (ii) the seriousness/severity of the maltreatment: (iii) the observed effects of maltreatment on the child; (iv) certainty that maltreatment had occurred; (v) direct disclosure from the child; (vi) child age; (vii) the veracity of the child; and (viii) child ethnicity/race. More studies focused on maltreatment type and seriousness than other case characteristics. Physical and sexual abuse and </w:t>
      </w:r>
      <w:proofErr w:type="gramStart"/>
      <w:r w:rsidRPr="00F85122">
        <w:rPr>
          <w:rFonts w:ascii="Calibri" w:hAnsi="Calibri"/>
        </w:rPr>
        <w:t>more serious maltreatment</w:t>
      </w:r>
      <w:proofErr w:type="gramEnd"/>
      <w:r w:rsidRPr="00F85122">
        <w:rPr>
          <w:rFonts w:ascii="Calibri" w:hAnsi="Calibri"/>
        </w:rPr>
        <w:t xml:space="preserve"> were more likely to be reported than neglect and emotional abuse and less serious maltreatment by most professional groups studied. The importance of these case characteristics to reporting decisions points to a </w:t>
      </w:r>
      <w:r w:rsidRPr="00F85122">
        <w:rPr>
          <w:rFonts w:ascii="Calibri" w:hAnsi="Calibri"/>
        </w:rPr>
        <w:lastRenderedPageBreak/>
        <w:t>clear need for professional education and training about the use of case-related information in the formulation of professional judgements and actions.</w:t>
      </w:r>
    </w:p>
    <w:p w14:paraId="197423D6" w14:textId="77777777" w:rsidR="00F85122" w:rsidRPr="00F85122" w:rsidRDefault="00F85122" w:rsidP="005E613E">
      <w:pPr>
        <w:jc w:val="both"/>
        <w:rPr>
          <w:rFonts w:ascii="Calibri" w:hAnsi="Calibri"/>
        </w:rPr>
      </w:pPr>
      <w:r w:rsidRPr="00F85122">
        <w:rPr>
          <w:rFonts w:ascii="Calibri" w:hAnsi="Calibri"/>
          <w:i/>
        </w:rPr>
        <w:t>Case factors (family factors)</w:t>
      </w:r>
      <w:r w:rsidRPr="00F85122">
        <w:rPr>
          <w:rFonts w:ascii="Calibri" w:hAnsi="Calibri"/>
        </w:rPr>
        <w:t xml:space="preserve"> influencing mandatory reporting include: (</w:t>
      </w:r>
      <w:proofErr w:type="spellStart"/>
      <w:r w:rsidRPr="00F85122">
        <w:rPr>
          <w:rFonts w:ascii="Calibri" w:hAnsi="Calibri"/>
        </w:rPr>
        <w:t>i</w:t>
      </w:r>
      <w:proofErr w:type="spellEnd"/>
      <w:r w:rsidRPr="00F85122">
        <w:rPr>
          <w:rFonts w:ascii="Calibri" w:hAnsi="Calibri"/>
        </w:rPr>
        <w:t xml:space="preserve">) family hostility, disinterest, or resistance; (ii) family SES; (iii) family ethnicity; (iv) maltreatment co-occurrence with intimate partner violence; and (v) maltreatment co-occurrence with substance abuse. Family case variables </w:t>
      </w:r>
      <w:proofErr w:type="gramStart"/>
      <w:r w:rsidRPr="00F85122">
        <w:rPr>
          <w:rFonts w:ascii="Calibri" w:hAnsi="Calibri"/>
        </w:rPr>
        <w:t>were less frequently studied</w:t>
      </w:r>
      <w:proofErr w:type="gramEnd"/>
      <w:r w:rsidRPr="00F85122">
        <w:rPr>
          <w:rFonts w:ascii="Calibri" w:hAnsi="Calibri"/>
        </w:rPr>
        <w:t xml:space="preserve"> than child case variables. Family cooperativeness as indicated by the presence of parental hostility, resistance or disinterest is a significant influence on mandatory reporting of child abuse and neglect. The importance of these case characteristics to reporting decisions points to a clear need for professional education and training specific to reporter groups based on their “vantage point” (</w:t>
      </w:r>
      <w:proofErr w:type="spellStart"/>
      <w:r w:rsidRPr="00F85122">
        <w:rPr>
          <w:rFonts w:ascii="Calibri" w:hAnsi="Calibri"/>
        </w:rPr>
        <w:t>Giovannoni</w:t>
      </w:r>
      <w:proofErr w:type="spellEnd"/>
      <w:r w:rsidRPr="00F85122">
        <w:rPr>
          <w:rFonts w:ascii="Calibri" w:hAnsi="Calibri"/>
        </w:rPr>
        <w:t>, 1995, p.494) to observe children, parent(s), and families.</w:t>
      </w:r>
    </w:p>
    <w:p w14:paraId="178F831D" w14:textId="77777777" w:rsidR="00F85122" w:rsidRPr="00F85122" w:rsidRDefault="00F85122" w:rsidP="00F85122">
      <w:pPr>
        <w:spacing w:before="0"/>
        <w:rPr>
          <w:rFonts w:ascii="Calibri" w:hAnsi="Calibri"/>
        </w:rPr>
      </w:pPr>
    </w:p>
    <w:p w14:paraId="77A5B61D" w14:textId="77777777" w:rsidR="00F85122" w:rsidRPr="00F85122" w:rsidRDefault="00F85122" w:rsidP="00F85122">
      <w:pPr>
        <w:pStyle w:val="Heading6"/>
        <w:rPr>
          <w:rFonts w:ascii="Calibri" w:hAnsi="Calibri"/>
          <w:i/>
        </w:rPr>
      </w:pPr>
      <w:r w:rsidRPr="00F85122">
        <w:rPr>
          <w:rFonts w:ascii="Calibri" w:hAnsi="Calibri"/>
          <w:i/>
        </w:rPr>
        <w:t>Reporter factors</w:t>
      </w:r>
    </w:p>
    <w:p w14:paraId="2B487AC9" w14:textId="77777777" w:rsidR="00F85122" w:rsidRPr="00F85122" w:rsidRDefault="00F85122" w:rsidP="005E613E">
      <w:pPr>
        <w:jc w:val="both"/>
        <w:rPr>
          <w:rFonts w:ascii="Calibri" w:hAnsi="Calibri"/>
        </w:rPr>
      </w:pPr>
      <w:r w:rsidRPr="00F85122">
        <w:rPr>
          <w:rFonts w:ascii="Calibri" w:hAnsi="Calibri"/>
        </w:rPr>
        <w:t xml:space="preserve">Research reveals mixed findings with respect to the influence of reporter </w:t>
      </w:r>
      <w:r w:rsidRPr="00F85122">
        <w:rPr>
          <w:rFonts w:ascii="Calibri" w:hAnsi="Calibri"/>
          <w:b/>
          <w:i/>
        </w:rPr>
        <w:t>socio demographic characteristics</w:t>
      </w:r>
      <w:r w:rsidRPr="00F85122">
        <w:rPr>
          <w:rFonts w:ascii="Calibri" w:hAnsi="Calibri"/>
        </w:rPr>
        <w:t xml:space="preserve"> on mandatory reporting practice (including age, gender, ethnic background, parental status, qualifications and years of experience). In various studies, these factors </w:t>
      </w:r>
      <w:proofErr w:type="gramStart"/>
      <w:r w:rsidRPr="00F85122">
        <w:rPr>
          <w:rFonts w:ascii="Calibri" w:hAnsi="Calibri"/>
        </w:rPr>
        <w:t>were found</w:t>
      </w:r>
      <w:proofErr w:type="gramEnd"/>
      <w:r w:rsidRPr="00F85122">
        <w:rPr>
          <w:rFonts w:ascii="Calibri" w:hAnsi="Calibri"/>
        </w:rPr>
        <w:t xml:space="preserve"> to have a positive effect, negative effect, or no effect at all, indicating the influence of these variables may be more sensitive than other factors to reporter group membership and/or study location. The only Australian study included in this group of papers investigated factors influencing mandatory reporting with Queensland nurses (Fraser et al., 2010). This study found no association between likelihood to report and years of nursing experience, and a positive association between reporting of child sexual abuse and parental status.</w:t>
      </w:r>
    </w:p>
    <w:p w14:paraId="169B3B6D" w14:textId="77777777" w:rsidR="00F85122" w:rsidRPr="00F85122" w:rsidRDefault="00F85122" w:rsidP="005E613E">
      <w:pPr>
        <w:jc w:val="both"/>
        <w:rPr>
          <w:rFonts w:ascii="Calibri" w:hAnsi="Calibri"/>
        </w:rPr>
      </w:pPr>
      <w:r w:rsidRPr="00F85122">
        <w:rPr>
          <w:rFonts w:ascii="Calibri" w:hAnsi="Calibri"/>
        </w:rPr>
        <w:t xml:space="preserve">Reporter </w:t>
      </w:r>
      <w:r w:rsidRPr="00F85122">
        <w:rPr>
          <w:rFonts w:ascii="Calibri" w:hAnsi="Calibri"/>
          <w:b/>
          <w:i/>
        </w:rPr>
        <w:t>attitudes</w:t>
      </w:r>
      <w:r w:rsidRPr="00F85122">
        <w:rPr>
          <w:rFonts w:ascii="Calibri" w:hAnsi="Calibri"/>
        </w:rPr>
        <w:t xml:space="preserve"> towards mandatory reporting were the most frequently studied factor influencing reporting practice with twenty studies investigating this variable, typically alongside numerous other variables. Unlike the ambiguity found for socio-demographic characteristics, there was no ambiguity in these study findings. </w:t>
      </w:r>
      <w:proofErr w:type="gramStart"/>
      <w:r w:rsidRPr="00F85122">
        <w:rPr>
          <w:rFonts w:ascii="Calibri" w:hAnsi="Calibri"/>
        </w:rPr>
        <w:t>More positive attitudes towards the reporting duty</w:t>
      </w:r>
      <w:proofErr w:type="gramEnd"/>
      <w:r w:rsidRPr="00F85122">
        <w:rPr>
          <w:rFonts w:ascii="Calibri" w:hAnsi="Calibri"/>
        </w:rPr>
        <w:t xml:space="preserve"> significantly increased the likelihood that mandatory reporters would comply with their duty to report. This tendency has been reported in studies of both actual reporting practice (by asking participants to indicate whether they had reported cases of child abuse and neglect), and hypothetical reporting (by providing vignettes or scenarios and asking participants to indicate how likely they would be to report each case). It is clear that positive attitudes towards mandatory reporting act as facilitators to reporting. Cultivating positive attitudes towards mandatory reporting obligations, therefore, should be part of reporter induction. Many studies showed, for example, that mandatory reporters were keen to fulfil their mandatory reporting obligations, showed awareness of moral and ethical principles, and saw it as an important component of their professionalism.</w:t>
      </w:r>
    </w:p>
    <w:p w14:paraId="5C43863C" w14:textId="77777777" w:rsidR="00F85122" w:rsidRPr="00F85122" w:rsidRDefault="00F85122" w:rsidP="005E613E">
      <w:pPr>
        <w:jc w:val="both"/>
        <w:rPr>
          <w:rFonts w:ascii="Calibri" w:hAnsi="Calibri"/>
        </w:rPr>
      </w:pPr>
      <w:r w:rsidRPr="00F85122">
        <w:rPr>
          <w:rFonts w:ascii="Calibri" w:hAnsi="Calibri"/>
        </w:rPr>
        <w:lastRenderedPageBreak/>
        <w:t xml:space="preserve">Reporter </w:t>
      </w:r>
      <w:r w:rsidRPr="00F85122">
        <w:rPr>
          <w:rFonts w:ascii="Calibri" w:hAnsi="Calibri"/>
          <w:b/>
          <w:i/>
        </w:rPr>
        <w:t>knowledge</w:t>
      </w:r>
      <w:r w:rsidRPr="00F85122">
        <w:rPr>
          <w:rFonts w:ascii="Calibri" w:hAnsi="Calibri"/>
        </w:rPr>
        <w:t xml:space="preserve"> of warning signs and indicators and of the reporting law and procedures </w:t>
      </w:r>
      <w:proofErr w:type="gramStart"/>
      <w:r w:rsidRPr="00F85122">
        <w:rPr>
          <w:rFonts w:ascii="Calibri" w:hAnsi="Calibri"/>
        </w:rPr>
        <w:t>has been shown</w:t>
      </w:r>
      <w:proofErr w:type="gramEnd"/>
      <w:r w:rsidRPr="00F85122">
        <w:rPr>
          <w:rFonts w:ascii="Calibri" w:hAnsi="Calibri"/>
        </w:rPr>
        <w:t xml:space="preserve"> to influence mandatory reporting. Unambiguous findings suggest that reporting is associated with higher levels of knowledge.</w:t>
      </w:r>
    </w:p>
    <w:p w14:paraId="25818A22" w14:textId="77777777" w:rsidR="00F85122" w:rsidRPr="00F85122" w:rsidRDefault="00F85122" w:rsidP="005E613E">
      <w:pPr>
        <w:jc w:val="both"/>
        <w:rPr>
          <w:rFonts w:ascii="Calibri" w:hAnsi="Calibri"/>
        </w:rPr>
      </w:pPr>
      <w:r w:rsidRPr="00F85122">
        <w:rPr>
          <w:rFonts w:ascii="Calibri" w:hAnsi="Calibri"/>
        </w:rPr>
        <w:t xml:space="preserve">The influence of reporter </w:t>
      </w:r>
      <w:r w:rsidRPr="00F85122">
        <w:rPr>
          <w:rFonts w:ascii="Calibri" w:hAnsi="Calibri"/>
          <w:b/>
          <w:i/>
        </w:rPr>
        <w:t>education and training</w:t>
      </w:r>
      <w:r w:rsidRPr="00F85122">
        <w:rPr>
          <w:rFonts w:ascii="Calibri" w:hAnsi="Calibri"/>
        </w:rPr>
        <w:t xml:space="preserve"> has yielded mixed findings with three studies finding positive associations with reporting practice, one finding no association, and one finding an association only for neglect. This variable requires further investigation in future research as the inclusion criteria for this review did not easily fit studies of interventions for mandatory reporters; only one experimental intervention study was included (Hawkins &amp; McCallum, 2001). A full systematic review of the effectiveness of training interventions for mandatory reporters would shed further light on the role of this variable in shaping reporting practice, including detailing the contents and methods for the most effective education and training initiatives for specific reporter groups, and specific maltreatment sub-types.</w:t>
      </w:r>
    </w:p>
    <w:p w14:paraId="759D0820" w14:textId="77777777" w:rsidR="00F85122" w:rsidRPr="00F85122" w:rsidRDefault="00F85122" w:rsidP="005E613E">
      <w:pPr>
        <w:jc w:val="both"/>
        <w:rPr>
          <w:rFonts w:ascii="Calibri" w:hAnsi="Calibri"/>
        </w:rPr>
      </w:pPr>
      <w:r w:rsidRPr="00F85122">
        <w:rPr>
          <w:rFonts w:ascii="Calibri" w:hAnsi="Calibri"/>
        </w:rPr>
        <w:t xml:space="preserve">Reporter </w:t>
      </w:r>
      <w:r w:rsidRPr="00F85122">
        <w:rPr>
          <w:rFonts w:ascii="Calibri" w:hAnsi="Calibri"/>
          <w:b/>
          <w:i/>
        </w:rPr>
        <w:t>fears and concerns</w:t>
      </w:r>
      <w:r w:rsidRPr="00F85122">
        <w:rPr>
          <w:rFonts w:ascii="Calibri" w:hAnsi="Calibri"/>
        </w:rPr>
        <w:t xml:space="preserve"> featured heavily in the studies as a barrier to reporting in at least 14 studies. Fears and concerns can be categorised into four groups: (</w:t>
      </w:r>
      <w:proofErr w:type="spellStart"/>
      <w:r w:rsidRPr="00F85122">
        <w:rPr>
          <w:rFonts w:ascii="Calibri" w:hAnsi="Calibri"/>
        </w:rPr>
        <w:t>i</w:t>
      </w:r>
      <w:proofErr w:type="spellEnd"/>
      <w:r w:rsidRPr="00F85122">
        <w:rPr>
          <w:rFonts w:ascii="Calibri" w:hAnsi="Calibri"/>
        </w:rPr>
        <w:t>) child-oriented fears/concerns; (ii) family-oriented fears/concerns; (iii) legal fears/concerns</w:t>
      </w:r>
      <w:proofErr w:type="gramStart"/>
      <w:r w:rsidRPr="00F85122">
        <w:rPr>
          <w:rFonts w:ascii="Calibri" w:hAnsi="Calibri"/>
        </w:rPr>
        <w:t>;</w:t>
      </w:r>
      <w:proofErr w:type="gramEnd"/>
      <w:r w:rsidRPr="00F85122">
        <w:rPr>
          <w:rFonts w:ascii="Calibri" w:hAnsi="Calibri"/>
        </w:rPr>
        <w:t xml:space="preserve"> and (iv) self-oriented fears/concerns. Child-oriented fears and concerns were about reprisal against child from the family or alleged perpetrator, of altering the reporter’s relationship with the child, and that report would be negative for child. Family-oriented fears and concerns were about damage incurred by making inaccurate report or wrongly accusing the family, of intrusion into family privacy, of parental denial or disapproval of reports, of offending parent(s), of damage to relationships with parent(s), and of the negative consequences for the family. Legal fears and concerns included those relating to charges or possible legal suit, of court proceedings generally, of appearing as a witness in court, of legal ramifications for false reports. Self-oriented fears and concerns were about protection of their identity as a reporter, the confidentiality of reports, about retribution to themselves as reporters, and of danger to their personal safety. Only two of these studies </w:t>
      </w:r>
      <w:proofErr w:type="gramStart"/>
      <w:r w:rsidRPr="00F85122">
        <w:rPr>
          <w:rFonts w:ascii="Calibri" w:hAnsi="Calibri"/>
        </w:rPr>
        <w:t>were conducted</w:t>
      </w:r>
      <w:proofErr w:type="gramEnd"/>
      <w:r w:rsidRPr="00F85122">
        <w:rPr>
          <w:rFonts w:ascii="Calibri" w:hAnsi="Calibri"/>
        </w:rPr>
        <w:t xml:space="preserve"> in Australia (</w:t>
      </w:r>
      <w:proofErr w:type="spellStart"/>
      <w:r w:rsidRPr="00F85122">
        <w:rPr>
          <w:rFonts w:ascii="Calibri" w:hAnsi="Calibri"/>
        </w:rPr>
        <w:t>Nayda</w:t>
      </w:r>
      <w:proofErr w:type="spellEnd"/>
      <w:r w:rsidRPr="00F85122">
        <w:rPr>
          <w:rFonts w:ascii="Calibri" w:hAnsi="Calibri"/>
        </w:rPr>
        <w:t xml:space="preserve">, 2002; Van </w:t>
      </w:r>
      <w:proofErr w:type="spellStart"/>
      <w:r w:rsidRPr="00F85122">
        <w:rPr>
          <w:rFonts w:ascii="Calibri" w:hAnsi="Calibri"/>
        </w:rPr>
        <w:t>Haeringen</w:t>
      </w:r>
      <w:proofErr w:type="spellEnd"/>
      <w:r w:rsidRPr="00F85122">
        <w:rPr>
          <w:rFonts w:ascii="Calibri" w:hAnsi="Calibri"/>
        </w:rPr>
        <w:t xml:space="preserve"> et al., 1998). These studies were conducted more than a decade ago, with data drawn from relatively small samples of South Australian nurses (</w:t>
      </w:r>
      <w:proofErr w:type="spellStart"/>
      <w:r w:rsidRPr="00F85122">
        <w:rPr>
          <w:rFonts w:ascii="Calibri" w:hAnsi="Calibri"/>
        </w:rPr>
        <w:t>Nayda</w:t>
      </w:r>
      <w:proofErr w:type="spellEnd"/>
      <w:r w:rsidRPr="00F85122">
        <w:rPr>
          <w:rFonts w:ascii="Calibri" w:hAnsi="Calibri"/>
        </w:rPr>
        <w:t xml:space="preserve">, 2002), and Queensland doctors (Van </w:t>
      </w:r>
      <w:proofErr w:type="spellStart"/>
      <w:r w:rsidRPr="00F85122">
        <w:rPr>
          <w:rFonts w:ascii="Calibri" w:hAnsi="Calibri"/>
        </w:rPr>
        <w:t>Haeringen</w:t>
      </w:r>
      <w:proofErr w:type="spellEnd"/>
      <w:r w:rsidRPr="00F85122">
        <w:rPr>
          <w:rFonts w:ascii="Calibri" w:hAnsi="Calibri"/>
        </w:rPr>
        <w:t xml:space="preserve"> et al., 1998). Further investigation of the specific fears/concerns of a broader range of mandatory reporters in Australian contexts, including for different geographical locations may be warranted given findings from another </w:t>
      </w:r>
      <w:proofErr w:type="gramStart"/>
      <w:r w:rsidRPr="00F85122">
        <w:rPr>
          <w:rFonts w:ascii="Calibri" w:hAnsi="Calibri"/>
        </w:rPr>
        <w:t>small scale</w:t>
      </w:r>
      <w:proofErr w:type="gramEnd"/>
      <w:r w:rsidRPr="00F85122">
        <w:rPr>
          <w:rFonts w:ascii="Calibri" w:hAnsi="Calibri"/>
        </w:rPr>
        <w:t xml:space="preserve"> Australian study of rural practitioners in Victoria which found rural placement was a barrier to reporting. Fears and concerns could then be more explicitly addressed during reporter induction and further education and training, and targeted for greatest effect.</w:t>
      </w:r>
    </w:p>
    <w:p w14:paraId="244DA24C" w14:textId="77777777" w:rsidR="00F85122" w:rsidRPr="00F85122" w:rsidRDefault="00F85122" w:rsidP="005E613E">
      <w:pPr>
        <w:jc w:val="both"/>
        <w:rPr>
          <w:rFonts w:ascii="Calibri" w:hAnsi="Calibri"/>
        </w:rPr>
      </w:pPr>
      <w:r w:rsidRPr="00F85122">
        <w:rPr>
          <w:rFonts w:ascii="Calibri" w:hAnsi="Calibri"/>
        </w:rPr>
        <w:t xml:space="preserve">Reporters’ deeply held underlying </w:t>
      </w:r>
      <w:r w:rsidRPr="00F85122">
        <w:rPr>
          <w:rFonts w:ascii="Calibri" w:hAnsi="Calibri"/>
          <w:b/>
          <w:i/>
        </w:rPr>
        <w:t>beliefs</w:t>
      </w:r>
      <w:r w:rsidRPr="00F85122">
        <w:rPr>
          <w:rFonts w:ascii="Calibri" w:hAnsi="Calibri"/>
        </w:rPr>
        <w:t xml:space="preserve"> </w:t>
      </w:r>
      <w:proofErr w:type="gramStart"/>
      <w:r w:rsidRPr="00F85122">
        <w:rPr>
          <w:rFonts w:ascii="Calibri" w:hAnsi="Calibri"/>
        </w:rPr>
        <w:t>were also found</w:t>
      </w:r>
      <w:proofErr w:type="gramEnd"/>
      <w:r w:rsidRPr="00F85122">
        <w:rPr>
          <w:rFonts w:ascii="Calibri" w:hAnsi="Calibri"/>
        </w:rPr>
        <w:t xml:space="preserve"> to influence reporting practice. This was particularly evident in studies with participants from diverse cultures (e.g. Ben </w:t>
      </w:r>
      <w:proofErr w:type="spellStart"/>
      <w:r w:rsidRPr="00F85122">
        <w:rPr>
          <w:rFonts w:ascii="Calibri" w:hAnsi="Calibri"/>
        </w:rPr>
        <w:t>Natan</w:t>
      </w:r>
      <w:proofErr w:type="spellEnd"/>
      <w:r w:rsidRPr="00F85122">
        <w:rPr>
          <w:rFonts w:ascii="Calibri" w:hAnsi="Calibri"/>
        </w:rPr>
        <w:t xml:space="preserve"> et al., 2010; Haj-</w:t>
      </w:r>
      <w:proofErr w:type="spellStart"/>
      <w:r w:rsidRPr="00F85122">
        <w:rPr>
          <w:rFonts w:ascii="Calibri" w:hAnsi="Calibri"/>
        </w:rPr>
        <w:t>Yahia</w:t>
      </w:r>
      <w:proofErr w:type="spellEnd"/>
      <w:r w:rsidRPr="00F85122">
        <w:rPr>
          <w:rFonts w:ascii="Calibri" w:hAnsi="Calibri"/>
        </w:rPr>
        <w:t xml:space="preserve"> &amp; Attar Schwartz, 2008). Underlying beliefs about parental rights, cultural differences, preserving </w:t>
      </w:r>
      <w:r w:rsidRPr="00F85122">
        <w:rPr>
          <w:rFonts w:ascii="Calibri" w:hAnsi="Calibri"/>
        </w:rPr>
        <w:lastRenderedPageBreak/>
        <w:t xml:space="preserve">harmonious relationships, loyalty to parents, and deferral to professional hierarchies in reporting are some examples of these beliefs. Although less malleable, beliefs are thought to contribute to attitude formation and the strength of beliefs can be correlated with intention to perform </w:t>
      </w:r>
      <w:proofErr w:type="gramStart"/>
      <w:r w:rsidRPr="00F85122">
        <w:rPr>
          <w:rFonts w:ascii="Calibri" w:hAnsi="Calibri"/>
        </w:rPr>
        <w:t>a behaviour</w:t>
      </w:r>
      <w:proofErr w:type="gramEnd"/>
      <w:r w:rsidRPr="00F85122">
        <w:rPr>
          <w:rFonts w:ascii="Calibri" w:hAnsi="Calibri"/>
        </w:rPr>
        <w:t xml:space="preserve"> (such as reporting) (see for example </w:t>
      </w:r>
      <w:proofErr w:type="spellStart"/>
      <w:r w:rsidRPr="00F85122">
        <w:rPr>
          <w:rFonts w:ascii="Calibri" w:hAnsi="Calibri"/>
        </w:rPr>
        <w:t>Ajzen</w:t>
      </w:r>
      <w:proofErr w:type="spellEnd"/>
      <w:r w:rsidRPr="00F85122">
        <w:rPr>
          <w:rFonts w:ascii="Calibri" w:hAnsi="Calibri"/>
        </w:rPr>
        <w:t xml:space="preserve">, 2005). Only one of these studies </w:t>
      </w:r>
      <w:proofErr w:type="gramStart"/>
      <w:r w:rsidRPr="00F85122">
        <w:rPr>
          <w:rFonts w:ascii="Calibri" w:hAnsi="Calibri"/>
        </w:rPr>
        <w:t>was conducted</w:t>
      </w:r>
      <w:proofErr w:type="gramEnd"/>
      <w:r w:rsidRPr="00F85122">
        <w:rPr>
          <w:rFonts w:ascii="Calibri" w:hAnsi="Calibri"/>
        </w:rPr>
        <w:t xml:space="preserve"> in Australia (Schweitzer et al., 2006). This study, with Queensland doctors, found their belief that abuse was a once-off incident and unlikely to be repeated was a significant predictor of failure to report.</w:t>
      </w:r>
    </w:p>
    <w:p w14:paraId="5157FC06" w14:textId="77777777" w:rsidR="00F85122" w:rsidRPr="00F85122" w:rsidRDefault="00F85122" w:rsidP="005E613E">
      <w:pPr>
        <w:jc w:val="both"/>
        <w:rPr>
          <w:rFonts w:ascii="Calibri" w:hAnsi="Calibri"/>
        </w:rPr>
      </w:pPr>
      <w:r w:rsidRPr="00F85122">
        <w:rPr>
          <w:rFonts w:ascii="Calibri" w:hAnsi="Calibri"/>
        </w:rPr>
        <w:t xml:space="preserve">Reporter </w:t>
      </w:r>
      <w:r w:rsidRPr="00F85122">
        <w:rPr>
          <w:rFonts w:ascii="Calibri" w:hAnsi="Calibri"/>
          <w:b/>
          <w:i/>
        </w:rPr>
        <w:t>self-efficacy</w:t>
      </w:r>
      <w:r w:rsidRPr="00F85122">
        <w:rPr>
          <w:rFonts w:ascii="Calibri" w:hAnsi="Calibri"/>
        </w:rPr>
        <w:t xml:space="preserve"> with respect to reporting </w:t>
      </w:r>
      <w:proofErr w:type="gramStart"/>
      <w:r w:rsidRPr="00F85122">
        <w:rPr>
          <w:rFonts w:ascii="Calibri" w:hAnsi="Calibri"/>
        </w:rPr>
        <w:t>was also studied</w:t>
      </w:r>
      <w:proofErr w:type="gramEnd"/>
      <w:r w:rsidRPr="00F85122">
        <w:rPr>
          <w:rFonts w:ascii="Calibri" w:hAnsi="Calibri"/>
        </w:rPr>
        <w:t xml:space="preserve"> with higher reporting self-efficacy linked to greater likelihood of reporting. The link between reporting self-efficacy and education and training </w:t>
      </w:r>
      <w:proofErr w:type="gramStart"/>
      <w:r w:rsidRPr="00F85122">
        <w:rPr>
          <w:rFonts w:ascii="Calibri" w:hAnsi="Calibri"/>
        </w:rPr>
        <w:t>has not been explored</w:t>
      </w:r>
      <w:proofErr w:type="gramEnd"/>
      <w:r w:rsidRPr="00F85122">
        <w:rPr>
          <w:rFonts w:ascii="Calibri" w:hAnsi="Calibri"/>
        </w:rPr>
        <w:t>.</w:t>
      </w:r>
    </w:p>
    <w:p w14:paraId="376C57C9" w14:textId="77777777" w:rsidR="00F85122" w:rsidRPr="00F85122" w:rsidRDefault="00F85122" w:rsidP="005E613E">
      <w:pPr>
        <w:jc w:val="both"/>
        <w:rPr>
          <w:rFonts w:ascii="Calibri" w:hAnsi="Calibri"/>
        </w:rPr>
      </w:pPr>
      <w:r w:rsidRPr="00F85122">
        <w:rPr>
          <w:rFonts w:ascii="Calibri" w:hAnsi="Calibri"/>
        </w:rPr>
        <w:t xml:space="preserve">Previous </w:t>
      </w:r>
      <w:r w:rsidRPr="00F85122">
        <w:rPr>
          <w:rFonts w:ascii="Calibri" w:hAnsi="Calibri"/>
          <w:b/>
          <w:i/>
        </w:rPr>
        <w:t>experience with and confidence in the child protection system</w:t>
      </w:r>
      <w:r w:rsidRPr="00F85122">
        <w:rPr>
          <w:rFonts w:ascii="Calibri" w:hAnsi="Calibri"/>
        </w:rPr>
        <w:t xml:space="preserve"> (CPS) is a significant barrier to and facilitator of reporting. Negative experiences and lack of confidence in authorities as barriers to reporting </w:t>
      </w:r>
      <w:proofErr w:type="gramStart"/>
      <w:r w:rsidRPr="00F85122">
        <w:rPr>
          <w:rFonts w:ascii="Calibri" w:hAnsi="Calibri"/>
        </w:rPr>
        <w:t>were detailed</w:t>
      </w:r>
      <w:proofErr w:type="gramEnd"/>
      <w:r w:rsidRPr="00F85122">
        <w:rPr>
          <w:rFonts w:ascii="Calibri" w:hAnsi="Calibri"/>
        </w:rPr>
        <w:t xml:space="preserve"> in at least 13 studies. </w:t>
      </w:r>
      <w:proofErr w:type="gramStart"/>
      <w:r w:rsidRPr="00F85122">
        <w:rPr>
          <w:rFonts w:ascii="Calibri" w:hAnsi="Calibri"/>
        </w:rPr>
        <w:t>Specific issues identified included lack confidence in CPS, distrust of CPS, perceived inadequate or inappropriate responses from CPS including over-reactions, view that CPS would not investigate or would not take prompt action, delay in taking a report on the CPS hotline, feeling that CPS does not generally offer help, views of CPS inefficient, incompetent, slow, busy, underfunded, lack of feedback from CPS about reports, and lack of follow-up.</w:t>
      </w:r>
      <w:proofErr w:type="gramEnd"/>
      <w:r w:rsidRPr="00F85122">
        <w:rPr>
          <w:rFonts w:ascii="Calibri" w:hAnsi="Calibri"/>
        </w:rPr>
        <w:t xml:space="preserve"> Many of these issues relate to reporters’ perceptions of CPS roles and effectiveness. None of the included studies specifically investigated the impact of more effective communication between CPS and mandatory reporters and thus we do not know whether improving communication and collaboration could influence reporter perceptions of and confidence in CPS. Feedback mechanisms for mandatory reporters may be one way to create a communicative/collaborative alliance. Outside the field of child protection, the education literature indicates clearly and strongly the effectiveness of feedback (see for example Hattie, 2009). Feedback </w:t>
      </w:r>
      <w:proofErr w:type="gramStart"/>
      <w:r w:rsidRPr="00F85122">
        <w:rPr>
          <w:rFonts w:ascii="Calibri" w:hAnsi="Calibri"/>
        </w:rPr>
        <w:t>is linked</w:t>
      </w:r>
      <w:proofErr w:type="gramEnd"/>
      <w:r w:rsidRPr="00F85122">
        <w:rPr>
          <w:rFonts w:ascii="Calibri" w:hAnsi="Calibri"/>
        </w:rPr>
        <w:t xml:space="preserve"> to expectations, motivation, and task performance. Correctional review, focused on </w:t>
      </w:r>
      <w:proofErr w:type="gramStart"/>
      <w:r w:rsidRPr="00F85122">
        <w:rPr>
          <w:rFonts w:ascii="Calibri" w:hAnsi="Calibri"/>
        </w:rPr>
        <w:t>goals,</w:t>
      </w:r>
      <w:proofErr w:type="gramEnd"/>
      <w:r w:rsidRPr="00F85122">
        <w:rPr>
          <w:rFonts w:ascii="Calibri" w:hAnsi="Calibri"/>
        </w:rPr>
        <w:t xml:space="preserve"> and two-way feedback appear to be most effective. Extrinsic rewards are least effective.</w:t>
      </w:r>
    </w:p>
    <w:p w14:paraId="3FE5DEA2" w14:textId="77777777" w:rsidR="00F85122" w:rsidRPr="00F85122" w:rsidRDefault="00F85122" w:rsidP="00F85122">
      <w:pPr>
        <w:pStyle w:val="Heading6"/>
        <w:rPr>
          <w:rFonts w:ascii="Calibri" w:hAnsi="Calibri"/>
          <w:i/>
        </w:rPr>
      </w:pPr>
      <w:r w:rsidRPr="00F85122">
        <w:rPr>
          <w:rFonts w:ascii="Calibri" w:hAnsi="Calibri"/>
          <w:i/>
        </w:rPr>
        <w:t>Organisational/workplace factors</w:t>
      </w:r>
    </w:p>
    <w:p w14:paraId="709ACF88" w14:textId="77777777" w:rsidR="00F85122" w:rsidRPr="00F85122" w:rsidRDefault="00F85122" w:rsidP="005E613E">
      <w:pPr>
        <w:jc w:val="both"/>
        <w:rPr>
          <w:rFonts w:ascii="Calibri" w:hAnsi="Calibri"/>
        </w:rPr>
      </w:pPr>
      <w:r w:rsidRPr="00F85122">
        <w:rPr>
          <w:rFonts w:ascii="Calibri" w:hAnsi="Calibri"/>
        </w:rPr>
        <w:t xml:space="preserve">Organisational factors are characteristics of reporters’ workplaces that may facilitate or inhibit reporting. Factors identified included the public or private nature of the context (reported specifically in studies of doctors and dentists), aspects of workplace culture such as perceived social support for reporting, time constraints of an office visit (reported in studies of doctors) and the “hassle” involved in making reports (also reported in studies of doctors). Rural location was identified in an Australian study (Francis et al., 2012) as a barrier to reporting </w:t>
      </w:r>
      <w:proofErr w:type="gramStart"/>
      <w:r w:rsidRPr="00F85122">
        <w:rPr>
          <w:rFonts w:ascii="Calibri" w:hAnsi="Calibri"/>
        </w:rPr>
        <w:t>on account</w:t>
      </w:r>
      <w:proofErr w:type="gramEnd"/>
      <w:r w:rsidRPr="00F85122">
        <w:rPr>
          <w:rFonts w:ascii="Calibri" w:hAnsi="Calibri"/>
        </w:rPr>
        <w:t xml:space="preserve"> of living and working in a small community.</w:t>
      </w:r>
    </w:p>
    <w:p w14:paraId="7E1876B5" w14:textId="77777777" w:rsidR="00F85122" w:rsidRPr="00F85122" w:rsidRDefault="00F85122" w:rsidP="00F85122">
      <w:pPr>
        <w:spacing w:before="0"/>
        <w:rPr>
          <w:rFonts w:ascii="Calibri" w:hAnsi="Calibri"/>
        </w:rPr>
      </w:pPr>
    </w:p>
    <w:p w14:paraId="0B8F09F3" w14:textId="77777777" w:rsidR="00F85122" w:rsidRPr="00F85122" w:rsidRDefault="00F85122" w:rsidP="00F85122">
      <w:pPr>
        <w:pStyle w:val="Heading6"/>
        <w:rPr>
          <w:rFonts w:ascii="Calibri" w:hAnsi="Calibri"/>
          <w:i/>
        </w:rPr>
      </w:pPr>
      <w:r w:rsidRPr="00F85122">
        <w:rPr>
          <w:rFonts w:ascii="Calibri" w:hAnsi="Calibri"/>
          <w:i/>
        </w:rPr>
        <w:lastRenderedPageBreak/>
        <w:t>Jurisdictional factors</w:t>
      </w:r>
    </w:p>
    <w:p w14:paraId="097D5D10" w14:textId="77777777" w:rsidR="00F85122" w:rsidRPr="00F85122" w:rsidRDefault="00F85122" w:rsidP="005E613E">
      <w:pPr>
        <w:jc w:val="both"/>
        <w:rPr>
          <w:rFonts w:ascii="Calibri" w:hAnsi="Calibri"/>
        </w:rPr>
      </w:pPr>
      <w:r w:rsidRPr="00F85122">
        <w:rPr>
          <w:rFonts w:ascii="Calibri" w:hAnsi="Calibri"/>
        </w:rPr>
        <w:t>Only one study included in this review investigated jurisdictional factors influencing mandatory reporting (</w:t>
      </w:r>
      <w:proofErr w:type="spellStart"/>
      <w:r w:rsidRPr="00F85122">
        <w:rPr>
          <w:rFonts w:ascii="Calibri" w:hAnsi="Calibri"/>
        </w:rPr>
        <w:t>Brosig</w:t>
      </w:r>
      <w:proofErr w:type="spellEnd"/>
      <w:r w:rsidRPr="00F85122">
        <w:rPr>
          <w:rFonts w:ascii="Calibri" w:hAnsi="Calibri"/>
        </w:rPr>
        <w:t xml:space="preserve"> &amp; </w:t>
      </w:r>
      <w:proofErr w:type="spellStart"/>
      <w:r w:rsidRPr="00F85122">
        <w:rPr>
          <w:rFonts w:ascii="Calibri" w:hAnsi="Calibri"/>
        </w:rPr>
        <w:t>Kalichman</w:t>
      </w:r>
      <w:proofErr w:type="spellEnd"/>
      <w:r w:rsidRPr="00F85122">
        <w:rPr>
          <w:rFonts w:ascii="Calibri" w:hAnsi="Calibri"/>
        </w:rPr>
        <w:t xml:space="preserve">, 1992). This study with psychologists in the USA, found direct effects of statutory wording on clinicians’ hypothetical reporting practice as measured in vignettes. This study is part of a broader suite of studies conducted in the USA that have explored the effects of statutory wording on clinical practice. These studies were not included in the review as they did not meet inclusion criteria, but </w:t>
      </w:r>
      <w:proofErr w:type="gramStart"/>
      <w:r w:rsidRPr="00F85122">
        <w:rPr>
          <w:rFonts w:ascii="Calibri" w:hAnsi="Calibri"/>
        </w:rPr>
        <w:t>are mentioned</w:t>
      </w:r>
      <w:proofErr w:type="gramEnd"/>
      <w:r w:rsidRPr="00F85122">
        <w:rPr>
          <w:rFonts w:ascii="Calibri" w:hAnsi="Calibri"/>
        </w:rPr>
        <w:t xml:space="preserve"> here for completeness (see for example </w:t>
      </w:r>
      <w:proofErr w:type="spellStart"/>
      <w:r w:rsidRPr="00F85122">
        <w:rPr>
          <w:rFonts w:ascii="Calibri" w:hAnsi="Calibri"/>
        </w:rPr>
        <w:t>Brosig</w:t>
      </w:r>
      <w:proofErr w:type="spellEnd"/>
      <w:r w:rsidRPr="00F85122">
        <w:rPr>
          <w:rFonts w:ascii="Calibri" w:hAnsi="Calibri"/>
        </w:rPr>
        <w:t xml:space="preserve"> &amp; </w:t>
      </w:r>
      <w:proofErr w:type="spellStart"/>
      <w:r w:rsidRPr="00F85122">
        <w:rPr>
          <w:rFonts w:ascii="Calibri" w:hAnsi="Calibri"/>
        </w:rPr>
        <w:t>Kalichman</w:t>
      </w:r>
      <w:proofErr w:type="spellEnd"/>
      <w:r w:rsidRPr="00F85122">
        <w:rPr>
          <w:rFonts w:ascii="Calibri" w:hAnsi="Calibri"/>
        </w:rPr>
        <w:t>, 1992; Levi &amp; Brown, 2005; Levi et al., 2006; Crowell &amp; Levi, 2012).</w:t>
      </w:r>
    </w:p>
    <w:p w14:paraId="2967E19E" w14:textId="77777777" w:rsidR="00F85122" w:rsidRPr="00F85122" w:rsidRDefault="00F85122" w:rsidP="00F85122">
      <w:pPr>
        <w:pStyle w:val="Heading5"/>
      </w:pPr>
      <w:bookmarkStart w:id="171" w:name="_Toc399665710"/>
      <w:bookmarkStart w:id="172" w:name="_Toc399667234"/>
      <w:bookmarkStart w:id="173" w:name="_Toc399668976"/>
      <w:bookmarkStart w:id="174" w:name="_Toc399676762"/>
      <w:bookmarkStart w:id="175" w:name="_Toc273951895"/>
      <w:bookmarkStart w:id="176" w:name="_Toc400108204"/>
      <w:bookmarkStart w:id="177" w:name="_Toc400110255"/>
      <w:bookmarkStart w:id="178" w:name="_Toc400110591"/>
      <w:bookmarkStart w:id="179" w:name="_Toc400110702"/>
      <w:r w:rsidRPr="00F85122">
        <w:t>Summary</w:t>
      </w:r>
      <w:bookmarkEnd w:id="171"/>
      <w:bookmarkEnd w:id="172"/>
      <w:bookmarkEnd w:id="173"/>
      <w:bookmarkEnd w:id="174"/>
      <w:bookmarkEnd w:id="175"/>
      <w:bookmarkEnd w:id="176"/>
      <w:bookmarkEnd w:id="177"/>
      <w:bookmarkEnd w:id="178"/>
      <w:bookmarkEnd w:id="179"/>
    </w:p>
    <w:p w14:paraId="114723B9" w14:textId="77777777" w:rsidR="00F85122" w:rsidRPr="00F85122" w:rsidRDefault="00F85122" w:rsidP="005E613E">
      <w:pPr>
        <w:jc w:val="both"/>
        <w:rPr>
          <w:rFonts w:ascii="Calibri" w:hAnsi="Calibri"/>
        </w:rPr>
      </w:pPr>
      <w:proofErr w:type="gramStart"/>
      <w:r w:rsidRPr="00F85122">
        <w:rPr>
          <w:rFonts w:ascii="Calibri" w:hAnsi="Calibri"/>
        </w:rPr>
        <w:t>There is a lack of rigorous Australian research on factors influencing mandatory reporting, especially for the professional groups whose reporting has on occasion presented challenges (e.g., police).</w:t>
      </w:r>
      <w:proofErr w:type="gramEnd"/>
      <w:r w:rsidRPr="00F85122">
        <w:rPr>
          <w:rFonts w:ascii="Calibri" w:hAnsi="Calibri"/>
        </w:rPr>
        <w:t xml:space="preserve"> There is little research generally that differentiates factors influencing mandatory reporting of specific maltreatment sub-types. To our knowledge, there are no studies that have been conducted anywhere in the world, focusing solely on factors influencing mandatory reporting of emotional abuse or neglect. This is highly relevant given the rise in reports for emotional abuse and potential for systems burden.</w:t>
      </w:r>
    </w:p>
    <w:p w14:paraId="713221F5" w14:textId="77777777" w:rsidR="00F85122" w:rsidRPr="00F85122" w:rsidRDefault="00F85122" w:rsidP="005E613E">
      <w:pPr>
        <w:jc w:val="both"/>
        <w:rPr>
          <w:rFonts w:ascii="Calibri" w:hAnsi="Calibri"/>
        </w:rPr>
      </w:pPr>
      <w:r w:rsidRPr="00F85122">
        <w:rPr>
          <w:rFonts w:ascii="Calibri" w:hAnsi="Calibri"/>
        </w:rPr>
        <w:t xml:space="preserve">Mandatory reporting of child abuse and neglect </w:t>
      </w:r>
      <w:proofErr w:type="gramStart"/>
      <w:r w:rsidRPr="00F85122">
        <w:rPr>
          <w:rFonts w:ascii="Calibri" w:hAnsi="Calibri"/>
        </w:rPr>
        <w:t>is multiply determined</w:t>
      </w:r>
      <w:proofErr w:type="gramEnd"/>
      <w:r w:rsidRPr="00F85122">
        <w:rPr>
          <w:rFonts w:ascii="Calibri" w:hAnsi="Calibri"/>
        </w:rPr>
        <w:t xml:space="preserve"> by numerous interacting factors. Professionals’ reporting of child abuse and neglect is not only dependent upon what they can “see”: what </w:t>
      </w:r>
      <w:proofErr w:type="gramStart"/>
      <w:r w:rsidRPr="00F85122">
        <w:rPr>
          <w:rFonts w:ascii="Calibri" w:hAnsi="Calibri"/>
        </w:rPr>
        <w:t>has been described</w:t>
      </w:r>
      <w:proofErr w:type="gramEnd"/>
      <w:r w:rsidRPr="00F85122">
        <w:rPr>
          <w:rFonts w:ascii="Calibri" w:hAnsi="Calibri"/>
        </w:rPr>
        <w:t xml:space="preserve"> as their “vantage points” (</w:t>
      </w:r>
      <w:proofErr w:type="spellStart"/>
      <w:r w:rsidRPr="00F85122">
        <w:rPr>
          <w:rFonts w:ascii="Calibri" w:hAnsi="Calibri"/>
        </w:rPr>
        <w:t>Giovannoni</w:t>
      </w:r>
      <w:proofErr w:type="spellEnd"/>
      <w:r w:rsidRPr="00F85122">
        <w:rPr>
          <w:rFonts w:ascii="Calibri" w:hAnsi="Calibri"/>
        </w:rPr>
        <w:t xml:space="preserve">, 1995, p.494) or what they have the opportunity to observe, that is, case characteristics. Professionals’ reporting </w:t>
      </w:r>
      <w:proofErr w:type="gramStart"/>
      <w:r w:rsidRPr="00F85122">
        <w:rPr>
          <w:rFonts w:ascii="Calibri" w:hAnsi="Calibri"/>
        </w:rPr>
        <w:t>is also related</w:t>
      </w:r>
      <w:proofErr w:type="gramEnd"/>
      <w:r w:rsidRPr="00F85122">
        <w:rPr>
          <w:rFonts w:ascii="Calibri" w:hAnsi="Calibri"/>
        </w:rPr>
        <w:t xml:space="preserve"> to their own characteristics (such as socio-demographic features, knowledge, attitudes, and experiences), the characteristics of the organisations in which they work, and jurisdictional characteristics such as the wording of the statutes under which they work. The factors influencing reporting practice identified in this review suggest a complex and nuanced situation; mandatory reporting is clearly more complex than it </w:t>
      </w:r>
      <w:proofErr w:type="gramStart"/>
      <w:r w:rsidRPr="00F85122">
        <w:rPr>
          <w:rFonts w:ascii="Calibri" w:hAnsi="Calibri"/>
        </w:rPr>
        <w:t>is often depicted</w:t>
      </w:r>
      <w:proofErr w:type="gramEnd"/>
      <w:r w:rsidRPr="00F85122">
        <w:rPr>
          <w:rFonts w:ascii="Calibri" w:hAnsi="Calibri"/>
        </w:rPr>
        <w:t>. Yet many of the factors may be malleable via legislative reform, reworking of institutional reporting procedures and guidelines, improving education and training and enhancing organisational cultures.</w:t>
      </w:r>
    </w:p>
    <w:p w14:paraId="2B4DA539" w14:textId="77777777" w:rsidR="00F85122" w:rsidRPr="00F85122" w:rsidRDefault="00F85122" w:rsidP="00F85122">
      <w:pPr>
        <w:rPr>
          <w:rFonts w:ascii="Calibri" w:hAnsi="Calibri"/>
        </w:rPr>
      </w:pPr>
    </w:p>
    <w:p w14:paraId="5CC840DD" w14:textId="77777777" w:rsidR="00F85122" w:rsidRPr="00F85122" w:rsidRDefault="00F85122" w:rsidP="00F85122">
      <w:pPr>
        <w:rPr>
          <w:rFonts w:ascii="Calibri" w:hAnsi="Calibri"/>
        </w:rPr>
        <w:sectPr w:rsidR="00F85122" w:rsidRPr="00F85122" w:rsidSect="00D650B4">
          <w:pgSz w:w="11900" w:h="16840"/>
          <w:pgMar w:top="1418" w:right="1134" w:bottom="1134" w:left="1134" w:header="708" w:footer="708" w:gutter="0"/>
          <w:cols w:space="708"/>
          <w:docGrid w:linePitch="360"/>
        </w:sectPr>
      </w:pPr>
    </w:p>
    <w:p w14:paraId="096D513B" w14:textId="77777777" w:rsidR="00F85122" w:rsidRPr="00F85122" w:rsidRDefault="00F85122" w:rsidP="00F85122">
      <w:pPr>
        <w:pStyle w:val="Heading5"/>
      </w:pPr>
      <w:r w:rsidRPr="00F85122">
        <w:lastRenderedPageBreak/>
        <w:t>Table 3.1: Literature review 1: Factors influencing mandatory reporting of child abuse and neglect</w:t>
      </w:r>
    </w:p>
    <w:tbl>
      <w:tblPr>
        <w:tblStyle w:val="GridTable2Accent1"/>
        <w:tblW w:w="0" w:type="auto"/>
        <w:tblLook w:val="04A0" w:firstRow="1" w:lastRow="0" w:firstColumn="1" w:lastColumn="0" w:noHBand="0" w:noVBand="1"/>
        <w:tblCaption w:val="Literature review 1: Factors influencing mandatory reporting of child abuse and neglect"/>
      </w:tblPr>
      <w:tblGrid>
        <w:gridCol w:w="2660"/>
        <w:gridCol w:w="3208"/>
        <w:gridCol w:w="2250"/>
        <w:gridCol w:w="6210"/>
      </w:tblGrid>
      <w:tr w:rsidR="00F85122" w:rsidRPr="00F85122" w14:paraId="5041F870" w14:textId="77777777" w:rsidTr="001C79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41D1E9F9" w14:textId="77777777" w:rsidR="00F85122" w:rsidRPr="00F85122" w:rsidRDefault="00F85122" w:rsidP="00D650B4">
            <w:pPr>
              <w:spacing w:before="0" w:after="60" w:line="276" w:lineRule="auto"/>
              <w:rPr>
                <w:rFonts w:ascii="Calibri" w:hAnsi="Calibri"/>
              </w:rPr>
            </w:pPr>
            <w:r w:rsidRPr="00F85122">
              <w:rPr>
                <w:rFonts w:ascii="Calibri" w:hAnsi="Calibri"/>
              </w:rPr>
              <w:t>Factor theme</w:t>
            </w:r>
          </w:p>
        </w:tc>
        <w:tc>
          <w:tcPr>
            <w:tcW w:w="3208" w:type="dxa"/>
          </w:tcPr>
          <w:p w14:paraId="2D09CF5F" w14:textId="77777777" w:rsidR="00F85122" w:rsidRPr="00F85122" w:rsidRDefault="00F85122" w:rsidP="00D650B4">
            <w:pPr>
              <w:tabs>
                <w:tab w:val="center" w:pos="1876"/>
              </w:tabs>
              <w:spacing w:before="0" w:after="60"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Findings</w:t>
            </w:r>
            <w:r w:rsidRPr="00F85122">
              <w:rPr>
                <w:rFonts w:ascii="Calibri" w:hAnsi="Calibri"/>
              </w:rPr>
              <w:tab/>
            </w:r>
          </w:p>
        </w:tc>
        <w:tc>
          <w:tcPr>
            <w:tcW w:w="2250" w:type="dxa"/>
          </w:tcPr>
          <w:p w14:paraId="6C654826" w14:textId="77777777" w:rsidR="00F85122" w:rsidRPr="00F85122" w:rsidRDefault="00F85122" w:rsidP="00D650B4">
            <w:pPr>
              <w:spacing w:before="0" w:after="60"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Number of studies</w:t>
            </w:r>
          </w:p>
        </w:tc>
        <w:tc>
          <w:tcPr>
            <w:tcW w:w="6210" w:type="dxa"/>
          </w:tcPr>
          <w:p w14:paraId="048DD571" w14:textId="77777777" w:rsidR="00F85122" w:rsidRPr="00F85122" w:rsidRDefault="00F85122" w:rsidP="00D650B4">
            <w:pPr>
              <w:spacing w:before="0" w:after="60" w:line="276" w:lineRule="auto"/>
              <w:cnfStyle w:val="100000000000" w:firstRow="1"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Authors</w:t>
            </w:r>
          </w:p>
        </w:tc>
      </w:tr>
      <w:tr w:rsidR="00F85122" w:rsidRPr="00F85122" w14:paraId="1A47C50E" w14:textId="77777777" w:rsidTr="00D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0DE4B6DC" w14:textId="77777777" w:rsidR="00F85122" w:rsidRPr="00F85122" w:rsidRDefault="00F85122" w:rsidP="00D650B4">
            <w:pPr>
              <w:spacing w:after="60" w:line="276" w:lineRule="auto"/>
              <w:rPr>
                <w:rFonts w:ascii="Calibri" w:hAnsi="Calibri"/>
              </w:rPr>
            </w:pPr>
            <w:r w:rsidRPr="00F85122">
              <w:rPr>
                <w:rFonts w:ascii="Calibri" w:hAnsi="Calibri"/>
              </w:rPr>
              <w:t>Case factors (child)</w:t>
            </w:r>
          </w:p>
        </w:tc>
      </w:tr>
      <w:tr w:rsidR="00F85122" w:rsidRPr="00F85122" w14:paraId="17C5EA1F"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4E5F673A" w14:textId="77777777" w:rsidR="00F85122" w:rsidRPr="00F85122" w:rsidRDefault="00F85122" w:rsidP="00D650B4">
            <w:pPr>
              <w:spacing w:before="0" w:after="60" w:line="276" w:lineRule="auto"/>
              <w:rPr>
                <w:rFonts w:ascii="Calibri" w:hAnsi="Calibri"/>
                <w:b w:val="0"/>
              </w:rPr>
            </w:pPr>
          </w:p>
        </w:tc>
        <w:tc>
          <w:tcPr>
            <w:tcW w:w="3208" w:type="dxa"/>
          </w:tcPr>
          <w:p w14:paraId="3D07FE4D"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Type of maltreatment (physical and/or sexual abuse more likely to be reported)</w:t>
            </w:r>
          </w:p>
          <w:p w14:paraId="76B3AED4"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250" w:type="dxa"/>
          </w:tcPr>
          <w:p w14:paraId="6646F991"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10</w:t>
            </w:r>
          </w:p>
        </w:tc>
        <w:tc>
          <w:tcPr>
            <w:tcW w:w="6210" w:type="dxa"/>
          </w:tcPr>
          <w:p w14:paraId="4BE127EF"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Beck &amp; </w:t>
            </w:r>
            <w:proofErr w:type="spellStart"/>
            <w:r w:rsidRPr="00F85122">
              <w:rPr>
                <w:rFonts w:ascii="Calibri" w:hAnsi="Calibri"/>
              </w:rPr>
              <w:t>Ogloff</w:t>
            </w:r>
            <w:proofErr w:type="spellEnd"/>
            <w:r w:rsidRPr="00F85122">
              <w:rPr>
                <w:rFonts w:ascii="Calibri" w:hAnsi="Calibri"/>
              </w:rPr>
              <w:t xml:space="preserve"> (1995); Beck et al., (1994); Bryant &amp; </w:t>
            </w:r>
            <w:proofErr w:type="spellStart"/>
            <w:r w:rsidRPr="00F85122">
              <w:rPr>
                <w:rFonts w:ascii="Calibri" w:hAnsi="Calibri"/>
              </w:rPr>
              <w:t>Milsom</w:t>
            </w:r>
            <w:proofErr w:type="spellEnd"/>
            <w:r w:rsidRPr="00F85122">
              <w:rPr>
                <w:rFonts w:ascii="Calibri" w:hAnsi="Calibri"/>
              </w:rPr>
              <w:t xml:space="preserve"> (2005); Bryant (2009); </w:t>
            </w:r>
            <w:proofErr w:type="spellStart"/>
            <w:r w:rsidRPr="00F85122">
              <w:rPr>
                <w:rFonts w:ascii="Calibri" w:hAnsi="Calibri"/>
              </w:rPr>
              <w:t>Eisbach</w:t>
            </w:r>
            <w:proofErr w:type="spellEnd"/>
            <w:r w:rsidRPr="00F85122">
              <w:rPr>
                <w:rFonts w:ascii="Calibri" w:hAnsi="Calibri"/>
              </w:rPr>
              <w:t xml:space="preserve"> &amp; </w:t>
            </w:r>
            <w:proofErr w:type="spellStart"/>
            <w:r w:rsidRPr="00F85122">
              <w:rPr>
                <w:rFonts w:ascii="Calibri" w:hAnsi="Calibri"/>
              </w:rPr>
              <w:t>Driessnack</w:t>
            </w:r>
            <w:proofErr w:type="spellEnd"/>
            <w:r w:rsidRPr="00F85122">
              <w:rPr>
                <w:rFonts w:ascii="Calibri" w:hAnsi="Calibri"/>
              </w:rPr>
              <w:t xml:space="preserve"> (2010); O’Toole et al., (1994); O’Toole et al., (1999); </w:t>
            </w:r>
            <w:proofErr w:type="spellStart"/>
            <w:r w:rsidRPr="00F85122">
              <w:rPr>
                <w:rFonts w:ascii="Calibri" w:hAnsi="Calibri"/>
              </w:rPr>
              <w:t>Rindfleisch</w:t>
            </w:r>
            <w:proofErr w:type="spellEnd"/>
            <w:r w:rsidRPr="00F85122">
              <w:rPr>
                <w:rFonts w:ascii="Calibri" w:hAnsi="Calibri"/>
              </w:rPr>
              <w:t xml:space="preserve"> &amp; Bean (1988); </w:t>
            </w:r>
            <w:proofErr w:type="spellStart"/>
            <w:r w:rsidRPr="00F85122">
              <w:rPr>
                <w:rFonts w:ascii="Calibri" w:hAnsi="Calibri"/>
              </w:rPr>
              <w:t>Saulisbury</w:t>
            </w:r>
            <w:proofErr w:type="spellEnd"/>
            <w:r w:rsidRPr="00F85122">
              <w:rPr>
                <w:rFonts w:ascii="Calibri" w:hAnsi="Calibri"/>
              </w:rPr>
              <w:t xml:space="preserve"> &amp; Campbell (1985); Webster et al., (2005)</w:t>
            </w:r>
          </w:p>
        </w:tc>
      </w:tr>
      <w:tr w:rsidR="00F85122" w:rsidRPr="00F85122" w14:paraId="4104F4D9"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EB36920" w14:textId="77777777" w:rsidR="00F85122" w:rsidRPr="00F85122" w:rsidRDefault="00F85122" w:rsidP="00D650B4">
            <w:pPr>
              <w:spacing w:before="0" w:after="60" w:line="276" w:lineRule="auto"/>
              <w:rPr>
                <w:rFonts w:ascii="Calibri" w:hAnsi="Calibri"/>
              </w:rPr>
            </w:pPr>
          </w:p>
        </w:tc>
        <w:tc>
          <w:tcPr>
            <w:tcW w:w="3208" w:type="dxa"/>
          </w:tcPr>
          <w:p w14:paraId="63D4BD80"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Seriousness/severity of maltreatment (more serious/severe abuse more likely to be reported)</w:t>
            </w:r>
          </w:p>
        </w:tc>
        <w:tc>
          <w:tcPr>
            <w:tcW w:w="2250" w:type="dxa"/>
          </w:tcPr>
          <w:p w14:paraId="7376BF46"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13</w:t>
            </w:r>
          </w:p>
        </w:tc>
        <w:tc>
          <w:tcPr>
            <w:tcW w:w="6210" w:type="dxa"/>
          </w:tcPr>
          <w:p w14:paraId="2D94D039"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Ashton (1999); Crenshaw et al., (1995) </w:t>
            </w:r>
            <w:proofErr w:type="spellStart"/>
            <w:r w:rsidRPr="00F85122">
              <w:rPr>
                <w:rFonts w:ascii="Calibri" w:hAnsi="Calibri"/>
              </w:rPr>
              <w:t>Egu</w:t>
            </w:r>
            <w:proofErr w:type="spellEnd"/>
            <w:r w:rsidRPr="00F85122">
              <w:rPr>
                <w:rFonts w:ascii="Calibri" w:hAnsi="Calibri"/>
              </w:rPr>
              <w:t xml:space="preserve"> &amp; Weiss (2003); Flaherty et al., (2008); Hawkins &amp; McCallum (2001); O’Toole et al., (1994); O’Toole et al., (1999); </w:t>
            </w:r>
            <w:proofErr w:type="spellStart"/>
            <w:r w:rsidRPr="00F85122">
              <w:rPr>
                <w:rFonts w:ascii="Calibri" w:hAnsi="Calibri"/>
              </w:rPr>
              <w:t>Rindfleisch</w:t>
            </w:r>
            <w:proofErr w:type="spellEnd"/>
            <w:r w:rsidRPr="00F85122">
              <w:rPr>
                <w:rFonts w:ascii="Calibri" w:hAnsi="Calibri"/>
              </w:rPr>
              <w:t xml:space="preserve"> &amp; Bean (1988); </w:t>
            </w:r>
            <w:proofErr w:type="spellStart"/>
            <w:r w:rsidRPr="00F85122">
              <w:rPr>
                <w:rFonts w:ascii="Calibri" w:hAnsi="Calibri"/>
              </w:rPr>
              <w:t>Saulisbury</w:t>
            </w:r>
            <w:proofErr w:type="spellEnd"/>
            <w:r w:rsidRPr="00F85122">
              <w:rPr>
                <w:rFonts w:ascii="Calibri" w:hAnsi="Calibri"/>
              </w:rPr>
              <w:t xml:space="preserve"> &amp; Campbell (1985); </w:t>
            </w:r>
            <w:proofErr w:type="spellStart"/>
            <w:r w:rsidRPr="00F85122">
              <w:rPr>
                <w:rFonts w:ascii="Calibri" w:hAnsi="Calibri"/>
              </w:rPr>
              <w:t>Turbett</w:t>
            </w:r>
            <w:proofErr w:type="spellEnd"/>
            <w:r w:rsidRPr="00F85122">
              <w:rPr>
                <w:rFonts w:ascii="Calibri" w:hAnsi="Calibri"/>
              </w:rPr>
              <w:t xml:space="preserve"> &amp; O’Toole (1983); Willis &amp; Wells (1988); </w:t>
            </w:r>
            <w:proofErr w:type="spellStart"/>
            <w:r w:rsidRPr="00F85122">
              <w:rPr>
                <w:rFonts w:ascii="Calibri" w:hAnsi="Calibri"/>
              </w:rPr>
              <w:t>Zellman</w:t>
            </w:r>
            <w:proofErr w:type="spellEnd"/>
            <w:r w:rsidRPr="00F85122">
              <w:rPr>
                <w:rFonts w:ascii="Calibri" w:hAnsi="Calibri"/>
              </w:rPr>
              <w:t xml:space="preserve"> (1992); </w:t>
            </w:r>
            <w:proofErr w:type="spellStart"/>
            <w:r w:rsidRPr="00F85122">
              <w:rPr>
                <w:rFonts w:ascii="Calibri" w:hAnsi="Calibri"/>
              </w:rPr>
              <w:t>Zellman</w:t>
            </w:r>
            <w:proofErr w:type="spellEnd"/>
            <w:r w:rsidRPr="00F85122">
              <w:rPr>
                <w:rFonts w:ascii="Calibri" w:hAnsi="Calibri"/>
              </w:rPr>
              <w:t xml:space="preserve"> (1990a)</w:t>
            </w:r>
          </w:p>
        </w:tc>
      </w:tr>
      <w:tr w:rsidR="00F85122" w:rsidRPr="00F85122" w14:paraId="05938001"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7631F003" w14:textId="77777777" w:rsidR="00F85122" w:rsidRPr="00F85122" w:rsidRDefault="00F85122" w:rsidP="00D650B4">
            <w:pPr>
              <w:spacing w:before="0" w:after="60" w:line="276" w:lineRule="auto"/>
              <w:rPr>
                <w:rFonts w:ascii="Calibri" w:hAnsi="Calibri"/>
              </w:rPr>
            </w:pPr>
          </w:p>
        </w:tc>
        <w:tc>
          <w:tcPr>
            <w:tcW w:w="3208" w:type="dxa"/>
          </w:tcPr>
          <w:p w14:paraId="74D1925B"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Observed effects of maltreatment (clear negative effects more likely to be reported)</w:t>
            </w:r>
          </w:p>
        </w:tc>
        <w:tc>
          <w:tcPr>
            <w:tcW w:w="2250" w:type="dxa"/>
          </w:tcPr>
          <w:p w14:paraId="26E8A339"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6</w:t>
            </w:r>
          </w:p>
        </w:tc>
        <w:tc>
          <w:tcPr>
            <w:tcW w:w="6210" w:type="dxa"/>
          </w:tcPr>
          <w:p w14:paraId="45CA866B"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proofErr w:type="spellStart"/>
            <w:r w:rsidRPr="00F85122">
              <w:rPr>
                <w:rFonts w:ascii="Calibri" w:hAnsi="Calibri"/>
              </w:rPr>
              <w:t>Azevedo</w:t>
            </w:r>
            <w:proofErr w:type="spellEnd"/>
            <w:r w:rsidRPr="00F85122">
              <w:rPr>
                <w:rFonts w:ascii="Calibri" w:hAnsi="Calibri"/>
              </w:rPr>
              <w:t xml:space="preserve"> et al., (2012); </w:t>
            </w:r>
            <w:proofErr w:type="spellStart"/>
            <w:r w:rsidRPr="00F85122">
              <w:rPr>
                <w:rFonts w:ascii="Calibri" w:hAnsi="Calibri"/>
              </w:rPr>
              <w:t>Eisbach</w:t>
            </w:r>
            <w:proofErr w:type="spellEnd"/>
            <w:r w:rsidRPr="00F85122">
              <w:rPr>
                <w:rFonts w:ascii="Calibri" w:hAnsi="Calibri"/>
              </w:rPr>
              <w:t xml:space="preserve"> &amp; </w:t>
            </w:r>
            <w:proofErr w:type="spellStart"/>
            <w:r w:rsidRPr="00F85122">
              <w:rPr>
                <w:rFonts w:ascii="Calibri" w:hAnsi="Calibri"/>
              </w:rPr>
              <w:t>Driessnack</w:t>
            </w:r>
            <w:proofErr w:type="spellEnd"/>
            <w:r w:rsidRPr="00F85122">
              <w:rPr>
                <w:rFonts w:ascii="Calibri" w:hAnsi="Calibri"/>
              </w:rPr>
              <w:t xml:space="preserve"> (2010); Finlayson &amp; </w:t>
            </w:r>
            <w:proofErr w:type="spellStart"/>
            <w:r w:rsidRPr="00F85122">
              <w:rPr>
                <w:rFonts w:ascii="Calibri" w:hAnsi="Calibri"/>
              </w:rPr>
              <w:t>Koocher</w:t>
            </w:r>
            <w:proofErr w:type="spellEnd"/>
            <w:r w:rsidRPr="00F85122">
              <w:rPr>
                <w:rFonts w:ascii="Calibri" w:hAnsi="Calibri"/>
              </w:rPr>
              <w:t xml:space="preserve"> (1991); Flaherty et al., (2008); </w:t>
            </w:r>
            <w:proofErr w:type="spellStart"/>
            <w:r w:rsidRPr="00F85122">
              <w:rPr>
                <w:rFonts w:ascii="Calibri" w:hAnsi="Calibri"/>
              </w:rPr>
              <w:t>Sundell</w:t>
            </w:r>
            <w:proofErr w:type="spellEnd"/>
            <w:r w:rsidRPr="00F85122">
              <w:rPr>
                <w:rFonts w:ascii="Calibri" w:hAnsi="Calibri"/>
              </w:rPr>
              <w:t xml:space="preserve"> (1997); </w:t>
            </w:r>
            <w:proofErr w:type="spellStart"/>
            <w:r w:rsidRPr="00F85122">
              <w:rPr>
                <w:rFonts w:ascii="Calibri" w:hAnsi="Calibri"/>
              </w:rPr>
              <w:t>Turbett</w:t>
            </w:r>
            <w:proofErr w:type="spellEnd"/>
            <w:r w:rsidRPr="00F85122">
              <w:rPr>
                <w:rFonts w:ascii="Calibri" w:hAnsi="Calibri"/>
              </w:rPr>
              <w:t xml:space="preserve"> &amp; O’Toole (1983)</w:t>
            </w:r>
          </w:p>
        </w:tc>
      </w:tr>
      <w:tr w:rsidR="00F85122" w:rsidRPr="00F85122" w14:paraId="65DE4D5C"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6A264A2" w14:textId="77777777" w:rsidR="00F85122" w:rsidRPr="00F85122" w:rsidRDefault="00F85122" w:rsidP="00D650B4">
            <w:pPr>
              <w:spacing w:before="0" w:after="60" w:line="276" w:lineRule="auto"/>
              <w:rPr>
                <w:rFonts w:ascii="Calibri" w:hAnsi="Calibri"/>
              </w:rPr>
            </w:pPr>
          </w:p>
        </w:tc>
        <w:tc>
          <w:tcPr>
            <w:tcW w:w="3208" w:type="dxa"/>
          </w:tcPr>
          <w:p w14:paraId="1EFB4C28"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Certainty of maltreatment (greater certainty of occurrence more likely to be reported)</w:t>
            </w:r>
          </w:p>
        </w:tc>
        <w:tc>
          <w:tcPr>
            <w:tcW w:w="2250" w:type="dxa"/>
          </w:tcPr>
          <w:p w14:paraId="29A561F1"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8</w:t>
            </w:r>
          </w:p>
        </w:tc>
        <w:tc>
          <w:tcPr>
            <w:tcW w:w="6210" w:type="dxa"/>
          </w:tcPr>
          <w:p w14:paraId="48AB11FF"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Beck &amp; </w:t>
            </w:r>
            <w:proofErr w:type="spellStart"/>
            <w:r w:rsidRPr="00F85122">
              <w:rPr>
                <w:rFonts w:ascii="Calibri" w:hAnsi="Calibri"/>
              </w:rPr>
              <w:t>Ogloff</w:t>
            </w:r>
            <w:proofErr w:type="spellEnd"/>
            <w:r w:rsidRPr="00F85122">
              <w:rPr>
                <w:rFonts w:ascii="Calibri" w:hAnsi="Calibri"/>
              </w:rPr>
              <w:t xml:space="preserve"> (1995); Crenshaw et al., (1993); Holland (1999); </w:t>
            </w:r>
            <w:proofErr w:type="spellStart"/>
            <w:r w:rsidRPr="00F85122">
              <w:rPr>
                <w:rFonts w:ascii="Calibri" w:hAnsi="Calibri"/>
              </w:rPr>
              <w:t>Kalichman</w:t>
            </w:r>
            <w:proofErr w:type="spellEnd"/>
            <w:r w:rsidRPr="00F85122">
              <w:rPr>
                <w:rFonts w:ascii="Calibri" w:hAnsi="Calibri"/>
              </w:rPr>
              <w:t xml:space="preserve"> et al., (1988); </w:t>
            </w:r>
            <w:proofErr w:type="spellStart"/>
            <w:r w:rsidRPr="00F85122">
              <w:rPr>
                <w:rFonts w:ascii="Calibri" w:hAnsi="Calibri"/>
              </w:rPr>
              <w:t>Kalichman</w:t>
            </w:r>
            <w:proofErr w:type="spellEnd"/>
            <w:r w:rsidRPr="00F85122">
              <w:rPr>
                <w:rFonts w:ascii="Calibri" w:hAnsi="Calibri"/>
              </w:rPr>
              <w:t xml:space="preserve"> et al., (1990); </w:t>
            </w:r>
            <w:proofErr w:type="spellStart"/>
            <w:r w:rsidRPr="00F85122">
              <w:rPr>
                <w:rFonts w:ascii="Calibri" w:hAnsi="Calibri"/>
              </w:rPr>
              <w:t>Saulsbury</w:t>
            </w:r>
            <w:proofErr w:type="spellEnd"/>
            <w:r w:rsidRPr="00F85122">
              <w:rPr>
                <w:rFonts w:ascii="Calibri" w:hAnsi="Calibri"/>
              </w:rPr>
              <w:t xml:space="preserve"> &amp; Campbell (1985); </w:t>
            </w:r>
            <w:proofErr w:type="spellStart"/>
            <w:r w:rsidRPr="00F85122">
              <w:rPr>
                <w:rFonts w:ascii="Calibri" w:hAnsi="Calibri"/>
              </w:rPr>
              <w:t>Sundell</w:t>
            </w:r>
            <w:proofErr w:type="spellEnd"/>
            <w:r w:rsidRPr="00F85122">
              <w:rPr>
                <w:rFonts w:ascii="Calibri" w:hAnsi="Calibri"/>
              </w:rPr>
              <w:t xml:space="preserve"> (1997); Van </w:t>
            </w:r>
            <w:proofErr w:type="spellStart"/>
            <w:r w:rsidRPr="00F85122">
              <w:rPr>
                <w:rFonts w:ascii="Calibri" w:hAnsi="Calibri"/>
              </w:rPr>
              <w:t>Haeringen</w:t>
            </w:r>
            <w:proofErr w:type="spellEnd"/>
            <w:r w:rsidRPr="00F85122">
              <w:rPr>
                <w:rFonts w:ascii="Calibri" w:hAnsi="Calibri"/>
              </w:rPr>
              <w:t xml:space="preserve"> et al (1998)</w:t>
            </w:r>
          </w:p>
        </w:tc>
      </w:tr>
      <w:tr w:rsidR="00F85122" w:rsidRPr="00F85122" w14:paraId="18DBDF1E"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1C4AA794" w14:textId="77777777" w:rsidR="00F85122" w:rsidRPr="00F85122" w:rsidRDefault="00F85122" w:rsidP="00D650B4">
            <w:pPr>
              <w:spacing w:before="0" w:after="60" w:line="276" w:lineRule="auto"/>
              <w:rPr>
                <w:rFonts w:ascii="Calibri" w:hAnsi="Calibri"/>
              </w:rPr>
            </w:pPr>
          </w:p>
        </w:tc>
        <w:tc>
          <w:tcPr>
            <w:tcW w:w="3208" w:type="dxa"/>
          </w:tcPr>
          <w:p w14:paraId="770B947B"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Disclosure of maltreatment (direct child disclosure more </w:t>
            </w:r>
            <w:r w:rsidRPr="00F85122">
              <w:rPr>
                <w:rFonts w:ascii="Calibri" w:hAnsi="Calibri"/>
              </w:rPr>
              <w:lastRenderedPageBreak/>
              <w:t>likely to be reported)</w:t>
            </w:r>
          </w:p>
        </w:tc>
        <w:tc>
          <w:tcPr>
            <w:tcW w:w="2250" w:type="dxa"/>
          </w:tcPr>
          <w:p w14:paraId="124C29F9"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lastRenderedPageBreak/>
              <w:t>5</w:t>
            </w:r>
          </w:p>
        </w:tc>
        <w:tc>
          <w:tcPr>
            <w:tcW w:w="6210" w:type="dxa"/>
          </w:tcPr>
          <w:p w14:paraId="0EF2EF88"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Crenshaw et al., (1995); Finlayson &amp; </w:t>
            </w:r>
            <w:proofErr w:type="spellStart"/>
            <w:r w:rsidRPr="00F85122">
              <w:rPr>
                <w:rFonts w:ascii="Calibri" w:hAnsi="Calibri"/>
              </w:rPr>
              <w:t>Koocher</w:t>
            </w:r>
            <w:proofErr w:type="spellEnd"/>
            <w:r w:rsidRPr="00F85122">
              <w:rPr>
                <w:rFonts w:ascii="Calibri" w:hAnsi="Calibri"/>
              </w:rPr>
              <w:t xml:space="preserve"> (1991); </w:t>
            </w:r>
            <w:proofErr w:type="spellStart"/>
            <w:r w:rsidRPr="00F85122">
              <w:rPr>
                <w:rFonts w:ascii="Calibri" w:hAnsi="Calibri"/>
              </w:rPr>
              <w:t>Kalichman</w:t>
            </w:r>
            <w:proofErr w:type="spellEnd"/>
            <w:r w:rsidRPr="00F85122">
              <w:rPr>
                <w:rFonts w:ascii="Calibri" w:hAnsi="Calibri"/>
              </w:rPr>
              <w:t xml:space="preserve"> &amp; Craig (1991); </w:t>
            </w:r>
            <w:proofErr w:type="spellStart"/>
            <w:r w:rsidRPr="00F85122">
              <w:rPr>
                <w:rFonts w:ascii="Calibri" w:hAnsi="Calibri"/>
              </w:rPr>
              <w:t>Kalichman</w:t>
            </w:r>
            <w:proofErr w:type="spellEnd"/>
            <w:r w:rsidRPr="00F85122">
              <w:rPr>
                <w:rFonts w:ascii="Calibri" w:hAnsi="Calibri"/>
              </w:rPr>
              <w:t xml:space="preserve"> &amp; Craig (1993); </w:t>
            </w:r>
            <w:proofErr w:type="spellStart"/>
            <w:r w:rsidRPr="00F85122">
              <w:rPr>
                <w:rFonts w:ascii="Calibri" w:hAnsi="Calibri"/>
              </w:rPr>
              <w:lastRenderedPageBreak/>
              <w:t>Kalichman</w:t>
            </w:r>
            <w:proofErr w:type="spellEnd"/>
            <w:r w:rsidRPr="00F85122">
              <w:rPr>
                <w:rFonts w:ascii="Calibri" w:hAnsi="Calibri"/>
              </w:rPr>
              <w:t xml:space="preserve"> et al., (1988)</w:t>
            </w:r>
          </w:p>
        </w:tc>
      </w:tr>
      <w:tr w:rsidR="00F85122" w:rsidRPr="00F85122" w14:paraId="461B052D"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60B49E8" w14:textId="77777777" w:rsidR="00F85122" w:rsidRPr="00F85122" w:rsidRDefault="00F85122" w:rsidP="00D650B4">
            <w:pPr>
              <w:spacing w:before="0" w:after="60" w:line="276" w:lineRule="auto"/>
              <w:rPr>
                <w:rFonts w:ascii="Calibri" w:hAnsi="Calibri"/>
              </w:rPr>
            </w:pPr>
          </w:p>
        </w:tc>
        <w:tc>
          <w:tcPr>
            <w:tcW w:w="3208" w:type="dxa"/>
          </w:tcPr>
          <w:p w14:paraId="3A1F121D"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Age of child (younger children more likely to be reported)</w:t>
            </w:r>
          </w:p>
        </w:tc>
        <w:tc>
          <w:tcPr>
            <w:tcW w:w="2250" w:type="dxa"/>
          </w:tcPr>
          <w:p w14:paraId="5506AB4A"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4</w:t>
            </w:r>
          </w:p>
        </w:tc>
        <w:tc>
          <w:tcPr>
            <w:tcW w:w="6210" w:type="dxa"/>
          </w:tcPr>
          <w:p w14:paraId="7BE61E08"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proofErr w:type="spellStart"/>
            <w:r w:rsidRPr="00F85122">
              <w:rPr>
                <w:rFonts w:ascii="Calibri" w:hAnsi="Calibri"/>
              </w:rPr>
              <w:t>Janowski</w:t>
            </w:r>
            <w:proofErr w:type="spellEnd"/>
            <w:r w:rsidRPr="00F85122">
              <w:rPr>
                <w:rFonts w:ascii="Calibri" w:hAnsi="Calibri"/>
              </w:rPr>
              <w:t xml:space="preserve"> &amp; Martin (2003); </w:t>
            </w:r>
            <w:proofErr w:type="spellStart"/>
            <w:r w:rsidRPr="00F85122">
              <w:rPr>
                <w:rFonts w:ascii="Calibri" w:hAnsi="Calibri"/>
              </w:rPr>
              <w:t>Kalichman</w:t>
            </w:r>
            <w:proofErr w:type="spellEnd"/>
            <w:r w:rsidRPr="00F85122">
              <w:rPr>
                <w:rFonts w:ascii="Calibri" w:hAnsi="Calibri"/>
              </w:rPr>
              <w:t xml:space="preserve"> &amp; Craig (1991); O’Toole et al., (1994); Webster et al., (2005)</w:t>
            </w:r>
          </w:p>
        </w:tc>
      </w:tr>
      <w:tr w:rsidR="00F85122" w:rsidRPr="00F85122" w14:paraId="244A162F"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15A27B52" w14:textId="77777777" w:rsidR="00F85122" w:rsidRPr="00F85122" w:rsidRDefault="00F85122" w:rsidP="00D650B4">
            <w:pPr>
              <w:spacing w:before="0" w:after="60" w:line="276" w:lineRule="auto"/>
              <w:rPr>
                <w:rFonts w:ascii="Calibri" w:hAnsi="Calibri"/>
              </w:rPr>
            </w:pPr>
          </w:p>
        </w:tc>
        <w:tc>
          <w:tcPr>
            <w:tcW w:w="3208" w:type="dxa"/>
          </w:tcPr>
          <w:p w14:paraId="1561C8D1"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Veracity of child (more likely to be reported)</w:t>
            </w:r>
          </w:p>
        </w:tc>
        <w:tc>
          <w:tcPr>
            <w:tcW w:w="2250" w:type="dxa"/>
          </w:tcPr>
          <w:p w14:paraId="6361AD1A"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2</w:t>
            </w:r>
          </w:p>
        </w:tc>
        <w:tc>
          <w:tcPr>
            <w:tcW w:w="6210" w:type="dxa"/>
          </w:tcPr>
          <w:p w14:paraId="353A9A9C"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Crenshaw et al., (1995); </w:t>
            </w:r>
            <w:proofErr w:type="spellStart"/>
            <w:r w:rsidRPr="00F85122">
              <w:rPr>
                <w:rFonts w:ascii="Calibri" w:hAnsi="Calibri"/>
              </w:rPr>
              <w:t>Eisbach</w:t>
            </w:r>
            <w:proofErr w:type="spellEnd"/>
            <w:r w:rsidRPr="00F85122">
              <w:rPr>
                <w:rFonts w:ascii="Calibri" w:hAnsi="Calibri"/>
              </w:rPr>
              <w:t xml:space="preserve"> &amp; </w:t>
            </w:r>
            <w:proofErr w:type="spellStart"/>
            <w:r w:rsidRPr="00F85122">
              <w:rPr>
                <w:rFonts w:ascii="Calibri" w:hAnsi="Calibri"/>
              </w:rPr>
              <w:t>Briessnack</w:t>
            </w:r>
            <w:proofErr w:type="spellEnd"/>
            <w:r w:rsidRPr="00F85122">
              <w:rPr>
                <w:rFonts w:ascii="Calibri" w:hAnsi="Calibri"/>
              </w:rPr>
              <w:t xml:space="preserve"> (2010)</w:t>
            </w:r>
          </w:p>
        </w:tc>
      </w:tr>
      <w:tr w:rsidR="00F85122" w:rsidRPr="00F85122" w14:paraId="2BBD3BFB"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941D5CD" w14:textId="77777777" w:rsidR="00F85122" w:rsidRPr="00F85122" w:rsidRDefault="00F85122" w:rsidP="00D650B4">
            <w:pPr>
              <w:spacing w:before="0" w:after="60" w:line="276" w:lineRule="auto"/>
              <w:rPr>
                <w:rFonts w:ascii="Calibri" w:hAnsi="Calibri"/>
              </w:rPr>
            </w:pPr>
          </w:p>
        </w:tc>
        <w:tc>
          <w:tcPr>
            <w:tcW w:w="3208" w:type="dxa"/>
          </w:tcPr>
          <w:p w14:paraId="7DB3F34F"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Ethnicity/race (children of </w:t>
            </w:r>
            <w:proofErr w:type="spellStart"/>
            <w:r w:rsidRPr="00F85122">
              <w:rPr>
                <w:rFonts w:ascii="Calibri" w:hAnsi="Calibri"/>
              </w:rPr>
              <w:t>colour</w:t>
            </w:r>
            <w:proofErr w:type="spellEnd"/>
            <w:r w:rsidRPr="00F85122">
              <w:rPr>
                <w:rFonts w:ascii="Calibri" w:hAnsi="Calibri"/>
              </w:rPr>
              <w:t xml:space="preserve"> </w:t>
            </w:r>
            <w:r w:rsidRPr="00F85122">
              <w:rPr>
                <w:rFonts w:ascii="Calibri" w:hAnsi="Calibri"/>
                <w:u w:val="single"/>
              </w:rPr>
              <w:t>not</w:t>
            </w:r>
            <w:r w:rsidRPr="00F85122">
              <w:rPr>
                <w:rFonts w:ascii="Calibri" w:hAnsi="Calibri"/>
              </w:rPr>
              <w:t xml:space="preserve"> more likely to be reported)</w:t>
            </w:r>
          </w:p>
        </w:tc>
        <w:tc>
          <w:tcPr>
            <w:tcW w:w="2250" w:type="dxa"/>
          </w:tcPr>
          <w:p w14:paraId="7B8A15BB"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2</w:t>
            </w:r>
          </w:p>
        </w:tc>
        <w:tc>
          <w:tcPr>
            <w:tcW w:w="6210" w:type="dxa"/>
          </w:tcPr>
          <w:p w14:paraId="7B70A6D5"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proofErr w:type="spellStart"/>
            <w:r w:rsidRPr="00F85122">
              <w:rPr>
                <w:rFonts w:ascii="Calibri" w:hAnsi="Calibri"/>
              </w:rPr>
              <w:t>Egu</w:t>
            </w:r>
            <w:proofErr w:type="spellEnd"/>
            <w:r w:rsidRPr="00F85122">
              <w:rPr>
                <w:rFonts w:ascii="Calibri" w:hAnsi="Calibri"/>
              </w:rPr>
              <w:t xml:space="preserve"> &amp; Weiss (2003); Willis &amp; Wells (1988)</w:t>
            </w:r>
          </w:p>
        </w:tc>
      </w:tr>
      <w:tr w:rsidR="00F85122" w:rsidRPr="00F85122" w14:paraId="08E4E03D" w14:textId="77777777" w:rsidTr="00D650B4">
        <w:tc>
          <w:tcPr>
            <w:cnfStyle w:val="001000000000" w:firstRow="0" w:lastRow="0" w:firstColumn="1" w:lastColumn="0" w:oddVBand="0" w:evenVBand="0" w:oddHBand="0" w:evenHBand="0" w:firstRowFirstColumn="0" w:firstRowLastColumn="0" w:lastRowFirstColumn="0" w:lastRowLastColumn="0"/>
            <w:tcW w:w="14328" w:type="dxa"/>
            <w:gridSpan w:val="4"/>
          </w:tcPr>
          <w:p w14:paraId="15B2D6BD" w14:textId="77777777" w:rsidR="00F85122" w:rsidRPr="00F85122" w:rsidRDefault="00F85122" w:rsidP="00D650B4">
            <w:pPr>
              <w:spacing w:after="60" w:line="276" w:lineRule="auto"/>
              <w:rPr>
                <w:rFonts w:ascii="Calibri" w:hAnsi="Calibri"/>
              </w:rPr>
            </w:pPr>
            <w:r w:rsidRPr="00F85122">
              <w:rPr>
                <w:rFonts w:ascii="Calibri" w:hAnsi="Calibri"/>
              </w:rPr>
              <w:t>Case factors (family)</w:t>
            </w:r>
          </w:p>
        </w:tc>
      </w:tr>
      <w:tr w:rsidR="00F85122" w:rsidRPr="00F85122" w14:paraId="59C53F52"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F7B33E4" w14:textId="77777777" w:rsidR="00F85122" w:rsidRPr="00F85122" w:rsidRDefault="00F85122" w:rsidP="00D650B4">
            <w:pPr>
              <w:spacing w:before="0" w:after="60" w:line="276" w:lineRule="auto"/>
              <w:rPr>
                <w:rFonts w:ascii="Calibri" w:hAnsi="Calibri"/>
              </w:rPr>
            </w:pPr>
          </w:p>
        </w:tc>
        <w:tc>
          <w:tcPr>
            <w:tcW w:w="3208" w:type="dxa"/>
          </w:tcPr>
          <w:p w14:paraId="4482805A"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Family hostility/disinterest/resistance (more likely to be reported)</w:t>
            </w:r>
          </w:p>
        </w:tc>
        <w:tc>
          <w:tcPr>
            <w:tcW w:w="2250" w:type="dxa"/>
          </w:tcPr>
          <w:p w14:paraId="5D82E452"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7</w:t>
            </w:r>
          </w:p>
        </w:tc>
        <w:tc>
          <w:tcPr>
            <w:tcW w:w="6210" w:type="dxa"/>
          </w:tcPr>
          <w:p w14:paraId="017DFFA6"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proofErr w:type="spellStart"/>
            <w:r w:rsidRPr="00F85122">
              <w:rPr>
                <w:rFonts w:ascii="Calibri" w:hAnsi="Calibri"/>
              </w:rPr>
              <w:t>Azevedo</w:t>
            </w:r>
            <w:proofErr w:type="spellEnd"/>
            <w:r w:rsidRPr="00F85122">
              <w:rPr>
                <w:rFonts w:ascii="Calibri" w:hAnsi="Calibri"/>
              </w:rPr>
              <w:t xml:space="preserve"> et al., (2012); Crenshaw et al., (1995); </w:t>
            </w:r>
            <w:proofErr w:type="spellStart"/>
            <w:r w:rsidRPr="00F85122">
              <w:rPr>
                <w:rFonts w:ascii="Calibri" w:hAnsi="Calibri"/>
              </w:rPr>
              <w:t>Janowski</w:t>
            </w:r>
            <w:proofErr w:type="spellEnd"/>
            <w:r w:rsidRPr="00F85122">
              <w:rPr>
                <w:rFonts w:ascii="Calibri" w:hAnsi="Calibri"/>
              </w:rPr>
              <w:t xml:space="preserve"> &amp; Martin (2003); </w:t>
            </w:r>
            <w:proofErr w:type="spellStart"/>
            <w:r w:rsidRPr="00F85122">
              <w:rPr>
                <w:rFonts w:ascii="Calibri" w:hAnsi="Calibri"/>
              </w:rPr>
              <w:t>Kalichman</w:t>
            </w:r>
            <w:proofErr w:type="spellEnd"/>
            <w:r w:rsidRPr="00F85122">
              <w:rPr>
                <w:rFonts w:ascii="Calibri" w:hAnsi="Calibri"/>
              </w:rPr>
              <w:t xml:space="preserve"> &amp; Craig (1991); </w:t>
            </w:r>
            <w:proofErr w:type="spellStart"/>
            <w:r w:rsidRPr="00F85122">
              <w:rPr>
                <w:rFonts w:ascii="Calibri" w:hAnsi="Calibri"/>
              </w:rPr>
              <w:t>Kalichman</w:t>
            </w:r>
            <w:proofErr w:type="spellEnd"/>
            <w:r w:rsidRPr="00F85122">
              <w:rPr>
                <w:rFonts w:ascii="Calibri" w:hAnsi="Calibri"/>
              </w:rPr>
              <w:t xml:space="preserve"> et al., (1989); O’Toole et al., (1994); </w:t>
            </w:r>
            <w:proofErr w:type="spellStart"/>
            <w:r w:rsidRPr="00F85122">
              <w:rPr>
                <w:rFonts w:ascii="Calibri" w:hAnsi="Calibri"/>
              </w:rPr>
              <w:t>Sundell</w:t>
            </w:r>
            <w:proofErr w:type="spellEnd"/>
            <w:r w:rsidRPr="00F85122">
              <w:rPr>
                <w:rFonts w:ascii="Calibri" w:hAnsi="Calibri"/>
              </w:rPr>
              <w:t xml:space="preserve"> (1997)</w:t>
            </w:r>
          </w:p>
        </w:tc>
      </w:tr>
      <w:tr w:rsidR="00F85122" w:rsidRPr="00F85122" w14:paraId="07404686"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7F1B1995" w14:textId="77777777" w:rsidR="00F85122" w:rsidRPr="00F85122" w:rsidRDefault="00F85122" w:rsidP="00D650B4">
            <w:pPr>
              <w:spacing w:before="0" w:after="60" w:line="276" w:lineRule="auto"/>
              <w:rPr>
                <w:rFonts w:ascii="Calibri" w:hAnsi="Calibri"/>
              </w:rPr>
            </w:pPr>
          </w:p>
        </w:tc>
        <w:tc>
          <w:tcPr>
            <w:tcW w:w="3208" w:type="dxa"/>
          </w:tcPr>
          <w:p w14:paraId="4DB16AE7"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Family SES (generally, lower SES more likely to be reported)</w:t>
            </w:r>
          </w:p>
        </w:tc>
        <w:tc>
          <w:tcPr>
            <w:tcW w:w="2250" w:type="dxa"/>
          </w:tcPr>
          <w:p w14:paraId="2A5F10D6"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3</w:t>
            </w:r>
          </w:p>
        </w:tc>
        <w:tc>
          <w:tcPr>
            <w:tcW w:w="6210" w:type="dxa"/>
          </w:tcPr>
          <w:p w14:paraId="1C15B152"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Lane &amp; </w:t>
            </w:r>
            <w:proofErr w:type="spellStart"/>
            <w:r w:rsidRPr="00F85122">
              <w:rPr>
                <w:rFonts w:ascii="Calibri" w:hAnsi="Calibri"/>
              </w:rPr>
              <w:t>Dubowitz</w:t>
            </w:r>
            <w:proofErr w:type="spellEnd"/>
            <w:r w:rsidRPr="00F85122">
              <w:rPr>
                <w:rFonts w:ascii="Calibri" w:hAnsi="Calibri"/>
              </w:rPr>
              <w:t xml:space="preserve"> (2007); </w:t>
            </w:r>
            <w:proofErr w:type="spellStart"/>
            <w:r w:rsidRPr="00F85122">
              <w:rPr>
                <w:rFonts w:ascii="Calibri" w:hAnsi="Calibri"/>
              </w:rPr>
              <w:t>Nelpka</w:t>
            </w:r>
            <w:proofErr w:type="spellEnd"/>
            <w:r w:rsidRPr="00F85122">
              <w:rPr>
                <w:rFonts w:ascii="Calibri" w:hAnsi="Calibri"/>
              </w:rPr>
              <w:t xml:space="preserve"> et al., (1981) – positive &amp; negative </w:t>
            </w:r>
            <w:proofErr w:type="spellStart"/>
            <w:r w:rsidRPr="00F85122">
              <w:rPr>
                <w:rFonts w:ascii="Calibri" w:hAnsi="Calibri"/>
              </w:rPr>
              <w:t>assoc</w:t>
            </w:r>
            <w:proofErr w:type="spellEnd"/>
            <w:r w:rsidRPr="00F85122">
              <w:rPr>
                <w:rFonts w:ascii="Calibri" w:hAnsi="Calibri"/>
              </w:rPr>
              <w:t xml:space="preserve">; </w:t>
            </w:r>
            <w:proofErr w:type="spellStart"/>
            <w:r w:rsidRPr="00F85122">
              <w:rPr>
                <w:rFonts w:ascii="Calibri" w:hAnsi="Calibri"/>
              </w:rPr>
              <w:t>Turbett</w:t>
            </w:r>
            <w:proofErr w:type="spellEnd"/>
            <w:r w:rsidRPr="00F85122">
              <w:rPr>
                <w:rFonts w:ascii="Calibri" w:hAnsi="Calibri"/>
              </w:rPr>
              <w:t xml:space="preserve"> &amp; O’Toole, (1983)</w:t>
            </w:r>
          </w:p>
        </w:tc>
      </w:tr>
      <w:tr w:rsidR="00F85122" w:rsidRPr="00F85122" w14:paraId="64A994B5"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7DE2AD7" w14:textId="77777777" w:rsidR="00F85122" w:rsidRPr="00F85122" w:rsidRDefault="00F85122" w:rsidP="00D650B4">
            <w:pPr>
              <w:spacing w:before="0" w:after="60" w:line="276" w:lineRule="auto"/>
              <w:rPr>
                <w:rFonts w:ascii="Calibri" w:hAnsi="Calibri"/>
              </w:rPr>
            </w:pPr>
          </w:p>
        </w:tc>
        <w:tc>
          <w:tcPr>
            <w:tcW w:w="3208" w:type="dxa"/>
          </w:tcPr>
          <w:p w14:paraId="311E61BC"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Family ethnicity/race (families of </w:t>
            </w:r>
            <w:proofErr w:type="spellStart"/>
            <w:r w:rsidRPr="00F85122">
              <w:rPr>
                <w:rFonts w:ascii="Calibri" w:hAnsi="Calibri"/>
              </w:rPr>
              <w:t>colour</w:t>
            </w:r>
            <w:proofErr w:type="spellEnd"/>
            <w:r w:rsidRPr="00F85122">
              <w:rPr>
                <w:rFonts w:ascii="Calibri" w:hAnsi="Calibri"/>
              </w:rPr>
              <w:t xml:space="preserve"> </w:t>
            </w:r>
            <w:r w:rsidRPr="00F85122">
              <w:rPr>
                <w:rFonts w:ascii="Calibri" w:hAnsi="Calibri"/>
                <w:u w:val="single"/>
              </w:rPr>
              <w:t>not</w:t>
            </w:r>
            <w:r w:rsidRPr="00F85122">
              <w:rPr>
                <w:rFonts w:ascii="Calibri" w:hAnsi="Calibri"/>
              </w:rPr>
              <w:t xml:space="preserve"> more likely to be reported)</w:t>
            </w:r>
          </w:p>
        </w:tc>
        <w:tc>
          <w:tcPr>
            <w:tcW w:w="2250" w:type="dxa"/>
          </w:tcPr>
          <w:p w14:paraId="759824C9"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2</w:t>
            </w:r>
          </w:p>
        </w:tc>
        <w:tc>
          <w:tcPr>
            <w:tcW w:w="6210" w:type="dxa"/>
          </w:tcPr>
          <w:p w14:paraId="68C83BC3"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proofErr w:type="spellStart"/>
            <w:r w:rsidRPr="00F85122">
              <w:rPr>
                <w:rFonts w:ascii="Calibri" w:hAnsi="Calibri"/>
              </w:rPr>
              <w:t>Nelpka</w:t>
            </w:r>
            <w:proofErr w:type="spellEnd"/>
            <w:r w:rsidRPr="00F85122">
              <w:rPr>
                <w:rFonts w:ascii="Calibri" w:hAnsi="Calibri"/>
              </w:rPr>
              <w:t xml:space="preserve"> et al., (1981); </w:t>
            </w:r>
            <w:proofErr w:type="spellStart"/>
            <w:r w:rsidRPr="00F85122">
              <w:rPr>
                <w:rFonts w:ascii="Calibri" w:hAnsi="Calibri"/>
              </w:rPr>
              <w:t>Turbett</w:t>
            </w:r>
            <w:proofErr w:type="spellEnd"/>
            <w:r w:rsidRPr="00F85122">
              <w:rPr>
                <w:rFonts w:ascii="Calibri" w:hAnsi="Calibri"/>
              </w:rPr>
              <w:t xml:space="preserve"> &amp; O’Toole, (1983)</w:t>
            </w:r>
          </w:p>
        </w:tc>
      </w:tr>
      <w:tr w:rsidR="00F85122" w:rsidRPr="00F85122" w14:paraId="313F2D54"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58BAE108" w14:textId="77777777" w:rsidR="00F85122" w:rsidRPr="00F85122" w:rsidRDefault="00F85122" w:rsidP="00D650B4">
            <w:pPr>
              <w:spacing w:before="0" w:after="60" w:line="276" w:lineRule="auto"/>
              <w:rPr>
                <w:rFonts w:ascii="Calibri" w:hAnsi="Calibri"/>
              </w:rPr>
            </w:pPr>
          </w:p>
        </w:tc>
        <w:tc>
          <w:tcPr>
            <w:tcW w:w="3208" w:type="dxa"/>
          </w:tcPr>
          <w:p w14:paraId="1457E4B9"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Co-occurrence with intimate partner violence (more likely to be reported)</w:t>
            </w:r>
          </w:p>
        </w:tc>
        <w:tc>
          <w:tcPr>
            <w:tcW w:w="2250" w:type="dxa"/>
          </w:tcPr>
          <w:p w14:paraId="0AEE4781"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1</w:t>
            </w:r>
          </w:p>
        </w:tc>
        <w:tc>
          <w:tcPr>
            <w:tcW w:w="6210" w:type="dxa"/>
          </w:tcPr>
          <w:p w14:paraId="7239DF7A"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proofErr w:type="spellStart"/>
            <w:r w:rsidRPr="00F85122">
              <w:rPr>
                <w:rFonts w:ascii="Calibri" w:hAnsi="Calibri"/>
              </w:rPr>
              <w:t>Davidov</w:t>
            </w:r>
            <w:proofErr w:type="spellEnd"/>
            <w:r w:rsidRPr="00F85122">
              <w:rPr>
                <w:rFonts w:ascii="Calibri" w:hAnsi="Calibri"/>
              </w:rPr>
              <w:t xml:space="preserve"> et al., (2012)</w:t>
            </w:r>
          </w:p>
        </w:tc>
      </w:tr>
      <w:tr w:rsidR="00F85122" w:rsidRPr="00F85122" w14:paraId="2B51CA16"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FBAB978" w14:textId="77777777" w:rsidR="00F85122" w:rsidRPr="00F85122" w:rsidRDefault="00F85122" w:rsidP="00D650B4">
            <w:pPr>
              <w:spacing w:before="0" w:after="60" w:line="276" w:lineRule="auto"/>
              <w:rPr>
                <w:rFonts w:ascii="Calibri" w:hAnsi="Calibri"/>
              </w:rPr>
            </w:pPr>
          </w:p>
        </w:tc>
        <w:tc>
          <w:tcPr>
            <w:tcW w:w="3208" w:type="dxa"/>
          </w:tcPr>
          <w:p w14:paraId="196A1526"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Co-occurrence with substance abuse (more likely to be </w:t>
            </w:r>
            <w:r w:rsidRPr="00F85122">
              <w:rPr>
                <w:rFonts w:ascii="Calibri" w:hAnsi="Calibri"/>
              </w:rPr>
              <w:lastRenderedPageBreak/>
              <w:t>reported)</w:t>
            </w:r>
          </w:p>
          <w:p w14:paraId="15BA2381"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250" w:type="dxa"/>
          </w:tcPr>
          <w:p w14:paraId="20F0D765"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lastRenderedPageBreak/>
              <w:t>1</w:t>
            </w:r>
          </w:p>
        </w:tc>
        <w:tc>
          <w:tcPr>
            <w:tcW w:w="6210" w:type="dxa"/>
          </w:tcPr>
          <w:p w14:paraId="5283F4C3"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proofErr w:type="spellStart"/>
            <w:r w:rsidRPr="00F85122">
              <w:rPr>
                <w:rFonts w:ascii="Calibri" w:hAnsi="Calibri"/>
              </w:rPr>
              <w:t>Sundell</w:t>
            </w:r>
            <w:proofErr w:type="spellEnd"/>
            <w:r w:rsidRPr="00F85122">
              <w:rPr>
                <w:rFonts w:ascii="Calibri" w:hAnsi="Calibri"/>
              </w:rPr>
              <w:t xml:space="preserve"> (1997)</w:t>
            </w:r>
          </w:p>
        </w:tc>
      </w:tr>
      <w:tr w:rsidR="00F85122" w:rsidRPr="00F85122" w14:paraId="6FEA932C" w14:textId="77777777" w:rsidTr="00D650B4">
        <w:tc>
          <w:tcPr>
            <w:cnfStyle w:val="001000000000" w:firstRow="0" w:lastRow="0" w:firstColumn="1" w:lastColumn="0" w:oddVBand="0" w:evenVBand="0" w:oddHBand="0" w:evenHBand="0" w:firstRowFirstColumn="0" w:firstRowLastColumn="0" w:lastRowFirstColumn="0" w:lastRowLastColumn="0"/>
            <w:tcW w:w="14328" w:type="dxa"/>
            <w:gridSpan w:val="4"/>
          </w:tcPr>
          <w:p w14:paraId="7BC28162" w14:textId="77777777" w:rsidR="00F85122" w:rsidRPr="00F85122" w:rsidRDefault="00F85122" w:rsidP="00D650B4">
            <w:pPr>
              <w:spacing w:after="60" w:line="276" w:lineRule="auto"/>
              <w:rPr>
                <w:rFonts w:ascii="Calibri" w:hAnsi="Calibri"/>
              </w:rPr>
            </w:pPr>
            <w:r w:rsidRPr="00F85122">
              <w:rPr>
                <w:rFonts w:ascii="Calibri" w:hAnsi="Calibri"/>
              </w:rPr>
              <w:lastRenderedPageBreak/>
              <w:t>Reporter factors</w:t>
            </w:r>
          </w:p>
        </w:tc>
      </w:tr>
      <w:tr w:rsidR="00F85122" w:rsidRPr="00F85122" w14:paraId="482C1EF7"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51CE185" w14:textId="77777777" w:rsidR="00F85122" w:rsidRPr="00F85122" w:rsidRDefault="00F85122" w:rsidP="00D650B4">
            <w:pPr>
              <w:spacing w:before="0" w:after="60" w:line="276" w:lineRule="auto"/>
              <w:rPr>
                <w:rFonts w:ascii="Calibri" w:hAnsi="Calibri"/>
              </w:rPr>
            </w:pPr>
            <w:r w:rsidRPr="00F85122">
              <w:rPr>
                <w:rFonts w:ascii="Calibri" w:hAnsi="Calibri"/>
              </w:rPr>
              <w:t>Socio-demographics</w:t>
            </w:r>
          </w:p>
        </w:tc>
        <w:tc>
          <w:tcPr>
            <w:tcW w:w="3208" w:type="dxa"/>
          </w:tcPr>
          <w:p w14:paraId="10045967"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Age (no association)</w:t>
            </w:r>
          </w:p>
        </w:tc>
        <w:tc>
          <w:tcPr>
            <w:tcW w:w="2250" w:type="dxa"/>
          </w:tcPr>
          <w:p w14:paraId="11E66CBC"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4</w:t>
            </w:r>
          </w:p>
        </w:tc>
        <w:tc>
          <w:tcPr>
            <w:tcW w:w="6210" w:type="dxa"/>
          </w:tcPr>
          <w:p w14:paraId="4FE61122"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Ashton (1999) – no </w:t>
            </w:r>
            <w:proofErr w:type="spellStart"/>
            <w:r w:rsidRPr="00F85122">
              <w:rPr>
                <w:rFonts w:ascii="Calibri" w:hAnsi="Calibri"/>
              </w:rPr>
              <w:t>assoc</w:t>
            </w:r>
            <w:proofErr w:type="spellEnd"/>
            <w:r w:rsidRPr="00F85122">
              <w:rPr>
                <w:rFonts w:ascii="Calibri" w:hAnsi="Calibri"/>
              </w:rPr>
              <w:t xml:space="preserve">; Bryant &amp; </w:t>
            </w:r>
            <w:proofErr w:type="spellStart"/>
            <w:r w:rsidRPr="00F85122">
              <w:rPr>
                <w:rFonts w:ascii="Calibri" w:hAnsi="Calibri"/>
              </w:rPr>
              <w:t>Milsom</w:t>
            </w:r>
            <w:proofErr w:type="spellEnd"/>
            <w:r w:rsidRPr="00F85122">
              <w:rPr>
                <w:rFonts w:ascii="Calibri" w:hAnsi="Calibri"/>
              </w:rPr>
              <w:t xml:space="preserve"> (2005) – no </w:t>
            </w:r>
            <w:proofErr w:type="spellStart"/>
            <w:r w:rsidRPr="00F85122">
              <w:rPr>
                <w:rFonts w:ascii="Calibri" w:hAnsi="Calibri"/>
              </w:rPr>
              <w:t>assoc</w:t>
            </w:r>
            <w:proofErr w:type="spellEnd"/>
            <w:r w:rsidRPr="00F85122">
              <w:rPr>
                <w:rFonts w:ascii="Calibri" w:hAnsi="Calibri"/>
              </w:rPr>
              <w:t xml:space="preserve">; </w:t>
            </w:r>
            <w:proofErr w:type="spellStart"/>
            <w:r w:rsidRPr="00F85122">
              <w:rPr>
                <w:rFonts w:ascii="Calibri" w:hAnsi="Calibri"/>
              </w:rPr>
              <w:t>O;Toole</w:t>
            </w:r>
            <w:proofErr w:type="spellEnd"/>
            <w:r w:rsidRPr="00F85122">
              <w:rPr>
                <w:rFonts w:ascii="Calibri" w:hAnsi="Calibri"/>
              </w:rPr>
              <w:t xml:space="preserve"> et al., (1994) – no </w:t>
            </w:r>
            <w:proofErr w:type="spellStart"/>
            <w:r w:rsidRPr="00F85122">
              <w:rPr>
                <w:rFonts w:ascii="Calibri" w:hAnsi="Calibri"/>
              </w:rPr>
              <w:t>assoc</w:t>
            </w:r>
            <w:proofErr w:type="spellEnd"/>
            <w:r w:rsidRPr="00F85122">
              <w:rPr>
                <w:rFonts w:ascii="Calibri" w:hAnsi="Calibri"/>
              </w:rPr>
              <w:t xml:space="preserve">; </w:t>
            </w:r>
            <w:proofErr w:type="spellStart"/>
            <w:r w:rsidRPr="00F85122">
              <w:rPr>
                <w:rFonts w:ascii="Calibri" w:hAnsi="Calibri"/>
              </w:rPr>
              <w:t>Saulsbury</w:t>
            </w:r>
            <w:proofErr w:type="spellEnd"/>
            <w:r w:rsidRPr="00F85122">
              <w:rPr>
                <w:rFonts w:ascii="Calibri" w:hAnsi="Calibri"/>
              </w:rPr>
              <w:t xml:space="preserve"> &amp; Campbell (1985) – no </w:t>
            </w:r>
            <w:proofErr w:type="spellStart"/>
            <w:r w:rsidRPr="00F85122">
              <w:rPr>
                <w:rFonts w:ascii="Calibri" w:hAnsi="Calibri"/>
              </w:rPr>
              <w:t>assoc</w:t>
            </w:r>
            <w:proofErr w:type="spellEnd"/>
          </w:p>
        </w:tc>
      </w:tr>
      <w:tr w:rsidR="00F85122" w:rsidRPr="00F85122" w14:paraId="60381FA6"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5FACCCDC" w14:textId="77777777" w:rsidR="00F85122" w:rsidRPr="00F85122" w:rsidRDefault="00F85122" w:rsidP="00D650B4">
            <w:pPr>
              <w:spacing w:before="0" w:after="60" w:line="276" w:lineRule="auto"/>
              <w:rPr>
                <w:rFonts w:ascii="Calibri" w:hAnsi="Calibri"/>
              </w:rPr>
            </w:pPr>
          </w:p>
        </w:tc>
        <w:tc>
          <w:tcPr>
            <w:tcW w:w="3208" w:type="dxa"/>
          </w:tcPr>
          <w:p w14:paraId="033BF9AE"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Gender (mixed findings)</w:t>
            </w:r>
          </w:p>
        </w:tc>
        <w:tc>
          <w:tcPr>
            <w:tcW w:w="2250" w:type="dxa"/>
          </w:tcPr>
          <w:p w14:paraId="2EE62EF3"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6</w:t>
            </w:r>
          </w:p>
        </w:tc>
        <w:tc>
          <w:tcPr>
            <w:tcW w:w="6210" w:type="dxa"/>
          </w:tcPr>
          <w:p w14:paraId="4FA3F699"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Ashton (1999) – no </w:t>
            </w:r>
            <w:proofErr w:type="spellStart"/>
            <w:r w:rsidRPr="00F85122">
              <w:rPr>
                <w:rFonts w:ascii="Calibri" w:hAnsi="Calibri"/>
              </w:rPr>
              <w:t>assoc</w:t>
            </w:r>
            <w:proofErr w:type="spellEnd"/>
            <w:r w:rsidRPr="00F85122">
              <w:rPr>
                <w:rFonts w:ascii="Calibri" w:hAnsi="Calibri"/>
              </w:rPr>
              <w:t xml:space="preserve">; Bryant &amp; </w:t>
            </w:r>
            <w:proofErr w:type="spellStart"/>
            <w:r w:rsidRPr="00F85122">
              <w:rPr>
                <w:rFonts w:ascii="Calibri" w:hAnsi="Calibri"/>
              </w:rPr>
              <w:t>Milsom</w:t>
            </w:r>
            <w:proofErr w:type="spellEnd"/>
            <w:r w:rsidRPr="00F85122">
              <w:rPr>
                <w:rFonts w:ascii="Calibri" w:hAnsi="Calibri"/>
              </w:rPr>
              <w:t xml:space="preserve"> (2005) – no </w:t>
            </w:r>
            <w:proofErr w:type="spellStart"/>
            <w:r w:rsidRPr="00F85122">
              <w:rPr>
                <w:rFonts w:ascii="Calibri" w:hAnsi="Calibri"/>
              </w:rPr>
              <w:t>assoc</w:t>
            </w:r>
            <w:proofErr w:type="spellEnd"/>
            <w:r w:rsidRPr="00F85122">
              <w:rPr>
                <w:rFonts w:ascii="Calibri" w:hAnsi="Calibri"/>
              </w:rPr>
              <w:t xml:space="preserve">; Gunn et al., (2005) – male; Kenny (2001) – female; O’Toole et al (1994) – no </w:t>
            </w:r>
            <w:proofErr w:type="spellStart"/>
            <w:r w:rsidRPr="00F85122">
              <w:rPr>
                <w:rFonts w:ascii="Calibri" w:hAnsi="Calibri"/>
              </w:rPr>
              <w:t>assoc</w:t>
            </w:r>
            <w:proofErr w:type="spellEnd"/>
            <w:r w:rsidRPr="00F85122">
              <w:rPr>
                <w:rFonts w:ascii="Calibri" w:hAnsi="Calibri"/>
              </w:rPr>
              <w:t>; O’Toole et al., (1999) – male;</w:t>
            </w:r>
          </w:p>
        </w:tc>
      </w:tr>
      <w:tr w:rsidR="00F85122" w:rsidRPr="00F85122" w14:paraId="4177CA58"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4231BDD" w14:textId="77777777" w:rsidR="00F85122" w:rsidRPr="00F85122" w:rsidRDefault="00F85122" w:rsidP="00D650B4">
            <w:pPr>
              <w:spacing w:before="0" w:after="60" w:line="276" w:lineRule="auto"/>
              <w:rPr>
                <w:rFonts w:ascii="Calibri" w:hAnsi="Calibri"/>
              </w:rPr>
            </w:pPr>
          </w:p>
        </w:tc>
        <w:tc>
          <w:tcPr>
            <w:tcW w:w="3208" w:type="dxa"/>
          </w:tcPr>
          <w:p w14:paraId="31F0D117"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Ethnic background (mixed findings)</w:t>
            </w:r>
          </w:p>
        </w:tc>
        <w:tc>
          <w:tcPr>
            <w:tcW w:w="2250" w:type="dxa"/>
          </w:tcPr>
          <w:p w14:paraId="7E923718"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3</w:t>
            </w:r>
          </w:p>
        </w:tc>
        <w:tc>
          <w:tcPr>
            <w:tcW w:w="6210" w:type="dxa"/>
          </w:tcPr>
          <w:p w14:paraId="4A588875"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Ben </w:t>
            </w:r>
            <w:proofErr w:type="spellStart"/>
            <w:r w:rsidRPr="00F85122">
              <w:rPr>
                <w:rFonts w:ascii="Calibri" w:hAnsi="Calibri"/>
              </w:rPr>
              <w:t>Natan</w:t>
            </w:r>
            <w:proofErr w:type="spellEnd"/>
            <w:r w:rsidRPr="00F85122">
              <w:rPr>
                <w:rFonts w:ascii="Calibri" w:hAnsi="Calibri"/>
              </w:rPr>
              <w:t xml:space="preserve"> et al., (2012) – Jewish; </w:t>
            </w:r>
            <w:proofErr w:type="spellStart"/>
            <w:r w:rsidRPr="00F85122">
              <w:rPr>
                <w:rFonts w:ascii="Calibri" w:hAnsi="Calibri"/>
              </w:rPr>
              <w:t>O;Toole</w:t>
            </w:r>
            <w:proofErr w:type="spellEnd"/>
            <w:r w:rsidRPr="00F85122">
              <w:rPr>
                <w:rFonts w:ascii="Calibri" w:hAnsi="Calibri"/>
              </w:rPr>
              <w:t xml:space="preserve"> et al., (1994) – no </w:t>
            </w:r>
            <w:proofErr w:type="spellStart"/>
            <w:r w:rsidRPr="00F85122">
              <w:rPr>
                <w:rFonts w:ascii="Calibri" w:hAnsi="Calibri"/>
              </w:rPr>
              <w:t>assoc</w:t>
            </w:r>
            <w:proofErr w:type="spellEnd"/>
            <w:r w:rsidRPr="00F85122">
              <w:rPr>
                <w:rFonts w:ascii="Calibri" w:hAnsi="Calibri"/>
              </w:rPr>
              <w:t>; O’Toole et al., (1999) – non-white</w:t>
            </w:r>
          </w:p>
        </w:tc>
      </w:tr>
      <w:tr w:rsidR="00F85122" w:rsidRPr="00F85122" w14:paraId="51AAE879"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2B9A63A4" w14:textId="77777777" w:rsidR="00F85122" w:rsidRPr="00F85122" w:rsidRDefault="00F85122" w:rsidP="00D650B4">
            <w:pPr>
              <w:spacing w:before="0" w:after="60" w:line="276" w:lineRule="auto"/>
              <w:rPr>
                <w:rFonts w:ascii="Calibri" w:hAnsi="Calibri"/>
              </w:rPr>
            </w:pPr>
          </w:p>
        </w:tc>
        <w:tc>
          <w:tcPr>
            <w:tcW w:w="3208" w:type="dxa"/>
          </w:tcPr>
          <w:p w14:paraId="5CED63F7"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Parental status (mixed findings)</w:t>
            </w:r>
          </w:p>
        </w:tc>
        <w:tc>
          <w:tcPr>
            <w:tcW w:w="2250" w:type="dxa"/>
          </w:tcPr>
          <w:p w14:paraId="1A20EF52"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5</w:t>
            </w:r>
          </w:p>
        </w:tc>
        <w:tc>
          <w:tcPr>
            <w:tcW w:w="6210" w:type="dxa"/>
          </w:tcPr>
          <w:p w14:paraId="7C89E88A"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Ashton (1999) – no </w:t>
            </w:r>
            <w:proofErr w:type="spellStart"/>
            <w:r w:rsidRPr="00F85122">
              <w:rPr>
                <w:rFonts w:ascii="Calibri" w:hAnsi="Calibri"/>
              </w:rPr>
              <w:t>assoc</w:t>
            </w:r>
            <w:proofErr w:type="spellEnd"/>
            <w:r w:rsidRPr="00F85122">
              <w:rPr>
                <w:rFonts w:ascii="Calibri" w:hAnsi="Calibri"/>
              </w:rPr>
              <w:t xml:space="preserve">; Ben </w:t>
            </w:r>
            <w:proofErr w:type="spellStart"/>
            <w:r w:rsidRPr="00F85122">
              <w:rPr>
                <w:rFonts w:ascii="Calibri" w:hAnsi="Calibri"/>
              </w:rPr>
              <w:t>Natan</w:t>
            </w:r>
            <w:proofErr w:type="spellEnd"/>
            <w:r w:rsidRPr="00F85122">
              <w:rPr>
                <w:rFonts w:ascii="Calibri" w:hAnsi="Calibri"/>
              </w:rPr>
              <w:t xml:space="preserve"> et al., (2012) – positive </w:t>
            </w:r>
            <w:proofErr w:type="spellStart"/>
            <w:r w:rsidRPr="00F85122">
              <w:rPr>
                <w:rFonts w:ascii="Calibri" w:hAnsi="Calibri"/>
              </w:rPr>
              <w:t>assoc</w:t>
            </w:r>
            <w:proofErr w:type="spellEnd"/>
            <w:r w:rsidRPr="00F85122">
              <w:rPr>
                <w:rFonts w:ascii="Calibri" w:hAnsi="Calibri"/>
              </w:rPr>
              <w:t xml:space="preserve">; Fraser et al., (2010) – sexual abuse only; Nightingale &amp; Walker (1986) – positive </w:t>
            </w:r>
            <w:proofErr w:type="spellStart"/>
            <w:r w:rsidRPr="00F85122">
              <w:rPr>
                <w:rFonts w:ascii="Calibri" w:hAnsi="Calibri"/>
              </w:rPr>
              <w:t>assoc</w:t>
            </w:r>
            <w:proofErr w:type="spellEnd"/>
            <w:r w:rsidRPr="00F85122">
              <w:rPr>
                <w:rFonts w:ascii="Calibri" w:hAnsi="Calibri"/>
              </w:rPr>
              <w:t xml:space="preserve">; O’Toole et al., (1999) – negative </w:t>
            </w:r>
            <w:proofErr w:type="spellStart"/>
            <w:r w:rsidRPr="00F85122">
              <w:rPr>
                <w:rFonts w:ascii="Calibri" w:hAnsi="Calibri"/>
              </w:rPr>
              <w:t>assoc</w:t>
            </w:r>
            <w:proofErr w:type="spellEnd"/>
            <w:r w:rsidRPr="00F85122">
              <w:rPr>
                <w:rFonts w:ascii="Calibri" w:hAnsi="Calibri"/>
              </w:rPr>
              <w:t xml:space="preserve"> </w:t>
            </w:r>
          </w:p>
        </w:tc>
      </w:tr>
      <w:tr w:rsidR="00F85122" w:rsidRPr="00F85122" w14:paraId="055B5F8B"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4A54AFE" w14:textId="77777777" w:rsidR="00F85122" w:rsidRPr="00F85122" w:rsidRDefault="00F85122" w:rsidP="00D650B4">
            <w:pPr>
              <w:spacing w:before="0" w:after="60" w:line="276" w:lineRule="auto"/>
              <w:rPr>
                <w:rFonts w:ascii="Calibri" w:hAnsi="Calibri"/>
              </w:rPr>
            </w:pPr>
          </w:p>
        </w:tc>
        <w:tc>
          <w:tcPr>
            <w:tcW w:w="3208" w:type="dxa"/>
          </w:tcPr>
          <w:p w14:paraId="743AAE5D"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Qualifications (mixed findings)</w:t>
            </w:r>
          </w:p>
        </w:tc>
        <w:tc>
          <w:tcPr>
            <w:tcW w:w="2250" w:type="dxa"/>
          </w:tcPr>
          <w:p w14:paraId="0A40198E"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2</w:t>
            </w:r>
          </w:p>
        </w:tc>
        <w:tc>
          <w:tcPr>
            <w:tcW w:w="6210" w:type="dxa"/>
          </w:tcPr>
          <w:p w14:paraId="58210220"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Haj-</w:t>
            </w:r>
            <w:proofErr w:type="spellStart"/>
            <w:r w:rsidRPr="00F85122">
              <w:rPr>
                <w:rFonts w:ascii="Calibri" w:hAnsi="Calibri"/>
              </w:rPr>
              <w:t>Yahia</w:t>
            </w:r>
            <w:proofErr w:type="spellEnd"/>
            <w:r w:rsidRPr="00F85122">
              <w:rPr>
                <w:rFonts w:ascii="Calibri" w:hAnsi="Calibri"/>
              </w:rPr>
              <w:t xml:space="preserve"> &amp; Attar Schwartz (2008) – lower qualifications; O’Toole et al., (1994) – no </w:t>
            </w:r>
            <w:proofErr w:type="spellStart"/>
            <w:r w:rsidRPr="00F85122">
              <w:rPr>
                <w:rFonts w:ascii="Calibri" w:hAnsi="Calibri"/>
              </w:rPr>
              <w:t>assoc</w:t>
            </w:r>
            <w:proofErr w:type="spellEnd"/>
          </w:p>
        </w:tc>
      </w:tr>
      <w:tr w:rsidR="00F85122" w:rsidRPr="00F85122" w14:paraId="4F59DCF3"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1D6D09C7" w14:textId="77777777" w:rsidR="00F85122" w:rsidRPr="00F85122" w:rsidRDefault="00F85122" w:rsidP="00D650B4">
            <w:pPr>
              <w:spacing w:before="0" w:after="60" w:line="276" w:lineRule="auto"/>
              <w:rPr>
                <w:rFonts w:ascii="Calibri" w:hAnsi="Calibri"/>
              </w:rPr>
            </w:pPr>
          </w:p>
        </w:tc>
        <w:tc>
          <w:tcPr>
            <w:tcW w:w="3208" w:type="dxa"/>
          </w:tcPr>
          <w:p w14:paraId="7B1CC632"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Years of experience (mixed findings)</w:t>
            </w:r>
          </w:p>
        </w:tc>
        <w:tc>
          <w:tcPr>
            <w:tcW w:w="2250" w:type="dxa"/>
          </w:tcPr>
          <w:p w14:paraId="19EC6121"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15</w:t>
            </w:r>
          </w:p>
        </w:tc>
        <w:tc>
          <w:tcPr>
            <w:tcW w:w="6210" w:type="dxa"/>
          </w:tcPr>
          <w:p w14:paraId="1C56F74C"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Bryant &amp; </w:t>
            </w:r>
            <w:proofErr w:type="spellStart"/>
            <w:r w:rsidRPr="00F85122">
              <w:rPr>
                <w:rFonts w:ascii="Calibri" w:hAnsi="Calibri"/>
              </w:rPr>
              <w:t>Milsom</w:t>
            </w:r>
            <w:proofErr w:type="spellEnd"/>
            <w:r w:rsidRPr="00F85122">
              <w:rPr>
                <w:rFonts w:ascii="Calibri" w:hAnsi="Calibri"/>
              </w:rPr>
              <w:t xml:space="preserve"> (2005); Bryant (2009) – no </w:t>
            </w:r>
            <w:proofErr w:type="spellStart"/>
            <w:r w:rsidRPr="00F85122">
              <w:rPr>
                <w:rFonts w:ascii="Calibri" w:hAnsi="Calibri"/>
              </w:rPr>
              <w:t>assoc</w:t>
            </w:r>
            <w:proofErr w:type="spellEnd"/>
            <w:r w:rsidRPr="00F85122">
              <w:rPr>
                <w:rFonts w:ascii="Calibri" w:hAnsi="Calibri"/>
              </w:rPr>
              <w:t xml:space="preserve">; Fraser et al., (2010) – no </w:t>
            </w:r>
            <w:proofErr w:type="spellStart"/>
            <w:r w:rsidRPr="00F85122">
              <w:rPr>
                <w:rFonts w:ascii="Calibri" w:hAnsi="Calibri"/>
              </w:rPr>
              <w:t>assoc</w:t>
            </w:r>
            <w:proofErr w:type="spellEnd"/>
            <w:r w:rsidRPr="00F85122">
              <w:rPr>
                <w:rFonts w:ascii="Calibri" w:hAnsi="Calibri"/>
              </w:rPr>
              <w:t xml:space="preserve">; Goldman &amp; </w:t>
            </w:r>
            <w:proofErr w:type="spellStart"/>
            <w:r w:rsidRPr="00F85122">
              <w:rPr>
                <w:rFonts w:ascii="Calibri" w:hAnsi="Calibri"/>
              </w:rPr>
              <w:t>Padayachi</w:t>
            </w:r>
            <w:proofErr w:type="spellEnd"/>
            <w:r w:rsidRPr="00F85122">
              <w:rPr>
                <w:rFonts w:ascii="Calibri" w:hAnsi="Calibri"/>
              </w:rPr>
              <w:t xml:space="preserve"> (2005) – no </w:t>
            </w:r>
            <w:proofErr w:type="spellStart"/>
            <w:r w:rsidRPr="00F85122">
              <w:rPr>
                <w:rFonts w:ascii="Calibri" w:hAnsi="Calibri"/>
              </w:rPr>
              <w:t>assoc</w:t>
            </w:r>
            <w:proofErr w:type="spellEnd"/>
            <w:r w:rsidRPr="00F85122">
              <w:rPr>
                <w:rFonts w:ascii="Calibri" w:hAnsi="Calibri"/>
              </w:rPr>
              <w:t>; Gunn et al., (2005) – more years; Haj-</w:t>
            </w:r>
            <w:proofErr w:type="spellStart"/>
            <w:r w:rsidRPr="00F85122">
              <w:rPr>
                <w:rFonts w:ascii="Calibri" w:hAnsi="Calibri"/>
              </w:rPr>
              <w:t>Yahia</w:t>
            </w:r>
            <w:proofErr w:type="spellEnd"/>
            <w:r w:rsidRPr="00F85122">
              <w:rPr>
                <w:rFonts w:ascii="Calibri" w:hAnsi="Calibri"/>
              </w:rPr>
              <w:t xml:space="preserve"> &amp; Attar Schwartz (2008) – fewer years; Kenny (2001) – more years; Nightingale &amp; Walker (1986) – more years; O’Toole et al., (1994) – no </w:t>
            </w:r>
            <w:proofErr w:type="spellStart"/>
            <w:r w:rsidRPr="00F85122">
              <w:rPr>
                <w:rFonts w:ascii="Calibri" w:hAnsi="Calibri"/>
              </w:rPr>
              <w:t>assoc</w:t>
            </w:r>
            <w:proofErr w:type="spellEnd"/>
            <w:r w:rsidRPr="00F85122">
              <w:rPr>
                <w:rFonts w:ascii="Calibri" w:hAnsi="Calibri"/>
              </w:rPr>
              <w:t xml:space="preserve">; </w:t>
            </w:r>
            <w:proofErr w:type="spellStart"/>
            <w:r w:rsidRPr="00F85122">
              <w:rPr>
                <w:rFonts w:ascii="Calibri" w:hAnsi="Calibri"/>
              </w:rPr>
              <w:t>Saulsbury</w:t>
            </w:r>
            <w:proofErr w:type="spellEnd"/>
            <w:r w:rsidRPr="00F85122">
              <w:rPr>
                <w:rFonts w:ascii="Calibri" w:hAnsi="Calibri"/>
              </w:rPr>
              <w:t xml:space="preserve"> &amp; Campbell (1985) – no </w:t>
            </w:r>
            <w:proofErr w:type="spellStart"/>
            <w:r w:rsidRPr="00F85122">
              <w:rPr>
                <w:rFonts w:ascii="Calibri" w:hAnsi="Calibri"/>
              </w:rPr>
              <w:t>assoc</w:t>
            </w:r>
            <w:proofErr w:type="spellEnd"/>
          </w:p>
        </w:tc>
      </w:tr>
      <w:tr w:rsidR="00F85122" w:rsidRPr="00F85122" w14:paraId="2CAB80CF"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57E34E9" w14:textId="77777777" w:rsidR="00F85122" w:rsidRPr="00F85122" w:rsidRDefault="00F85122" w:rsidP="00D650B4">
            <w:pPr>
              <w:spacing w:before="0" w:after="60" w:line="276" w:lineRule="auto"/>
              <w:rPr>
                <w:rFonts w:ascii="Calibri" w:hAnsi="Calibri"/>
              </w:rPr>
            </w:pPr>
            <w:r w:rsidRPr="00F85122">
              <w:rPr>
                <w:rFonts w:ascii="Calibri" w:hAnsi="Calibri"/>
              </w:rPr>
              <w:lastRenderedPageBreak/>
              <w:t>Attitudes</w:t>
            </w:r>
          </w:p>
        </w:tc>
        <w:tc>
          <w:tcPr>
            <w:tcW w:w="3208" w:type="dxa"/>
          </w:tcPr>
          <w:p w14:paraId="15C0B84C"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Attitudes towards mandatory reporting (more positive attitudes, more likely to report)</w:t>
            </w:r>
          </w:p>
        </w:tc>
        <w:tc>
          <w:tcPr>
            <w:tcW w:w="2250" w:type="dxa"/>
          </w:tcPr>
          <w:p w14:paraId="1D6AF36F"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20</w:t>
            </w:r>
          </w:p>
        </w:tc>
        <w:tc>
          <w:tcPr>
            <w:tcW w:w="6210" w:type="dxa"/>
          </w:tcPr>
          <w:p w14:paraId="2B09A92A"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Beck &amp; </w:t>
            </w:r>
            <w:proofErr w:type="spellStart"/>
            <w:r w:rsidRPr="00F85122">
              <w:rPr>
                <w:rFonts w:ascii="Calibri" w:hAnsi="Calibri"/>
              </w:rPr>
              <w:t>Ogloff</w:t>
            </w:r>
            <w:proofErr w:type="spellEnd"/>
            <w:r w:rsidRPr="00F85122">
              <w:rPr>
                <w:rFonts w:ascii="Calibri" w:hAnsi="Calibri"/>
              </w:rPr>
              <w:t xml:space="preserve"> (1995); Ben </w:t>
            </w:r>
            <w:proofErr w:type="spellStart"/>
            <w:r w:rsidRPr="00F85122">
              <w:rPr>
                <w:rFonts w:ascii="Calibri" w:hAnsi="Calibri"/>
              </w:rPr>
              <w:t>Natan</w:t>
            </w:r>
            <w:proofErr w:type="spellEnd"/>
            <w:r w:rsidRPr="00F85122">
              <w:rPr>
                <w:rFonts w:ascii="Calibri" w:hAnsi="Calibri"/>
              </w:rPr>
              <w:t xml:space="preserve"> et al., (2012); Crenshaw et al., (1995); Crenshaw et al., (1993); Feng &amp; Levine (2005); Feng &amp; Wu (2005); Feng et al., (2010); Finlayson &amp; </w:t>
            </w:r>
            <w:proofErr w:type="spellStart"/>
            <w:r w:rsidRPr="00F85122">
              <w:rPr>
                <w:rFonts w:ascii="Calibri" w:hAnsi="Calibri"/>
              </w:rPr>
              <w:t>Koocher</w:t>
            </w:r>
            <w:proofErr w:type="spellEnd"/>
            <w:r w:rsidRPr="00F85122">
              <w:rPr>
                <w:rFonts w:ascii="Calibri" w:hAnsi="Calibri"/>
              </w:rPr>
              <w:t xml:space="preserve"> (1991); Flaherty et al., (2006); Fraser et al., (2010) – emotional abuse, sexual abuse &amp; neglect only; Goebbels et al., (2008); Haj-</w:t>
            </w:r>
            <w:proofErr w:type="spellStart"/>
            <w:r w:rsidRPr="00F85122">
              <w:rPr>
                <w:rFonts w:ascii="Calibri" w:hAnsi="Calibri"/>
              </w:rPr>
              <w:t>Yahia</w:t>
            </w:r>
            <w:proofErr w:type="spellEnd"/>
            <w:r w:rsidRPr="00F85122">
              <w:rPr>
                <w:rFonts w:ascii="Calibri" w:hAnsi="Calibri"/>
              </w:rPr>
              <w:t xml:space="preserve"> &amp; Attar Schwartz (2008); Hawkins &amp; McCallum (2001); </w:t>
            </w:r>
            <w:proofErr w:type="spellStart"/>
            <w:r w:rsidRPr="00F85122">
              <w:rPr>
                <w:rFonts w:ascii="Calibri" w:hAnsi="Calibri"/>
              </w:rPr>
              <w:t>Kalichman</w:t>
            </w:r>
            <w:proofErr w:type="spellEnd"/>
            <w:r w:rsidRPr="00F85122">
              <w:rPr>
                <w:rFonts w:ascii="Calibri" w:hAnsi="Calibri"/>
              </w:rPr>
              <w:t xml:space="preserve"> &amp; </w:t>
            </w:r>
            <w:proofErr w:type="spellStart"/>
            <w:r w:rsidRPr="00F85122">
              <w:rPr>
                <w:rFonts w:ascii="Calibri" w:hAnsi="Calibri"/>
              </w:rPr>
              <w:t>Brosig</w:t>
            </w:r>
            <w:proofErr w:type="spellEnd"/>
            <w:r w:rsidRPr="00F85122">
              <w:rPr>
                <w:rFonts w:ascii="Calibri" w:hAnsi="Calibri"/>
              </w:rPr>
              <w:t xml:space="preserve"> (1993); King et al., (1998); Lee et al., (2007); </w:t>
            </w:r>
            <w:proofErr w:type="spellStart"/>
            <w:r w:rsidRPr="00F85122">
              <w:rPr>
                <w:rFonts w:ascii="Calibri" w:hAnsi="Calibri"/>
              </w:rPr>
              <w:t>Renniger</w:t>
            </w:r>
            <w:proofErr w:type="spellEnd"/>
            <w:r w:rsidRPr="00F85122">
              <w:rPr>
                <w:rFonts w:ascii="Calibri" w:hAnsi="Calibri"/>
              </w:rPr>
              <w:t xml:space="preserve"> et al., (2002); </w:t>
            </w:r>
            <w:proofErr w:type="spellStart"/>
            <w:r w:rsidRPr="00F85122">
              <w:rPr>
                <w:rFonts w:ascii="Calibri" w:hAnsi="Calibri"/>
              </w:rPr>
              <w:t>Rindfleish</w:t>
            </w:r>
            <w:proofErr w:type="spellEnd"/>
            <w:r w:rsidRPr="00F85122">
              <w:rPr>
                <w:rFonts w:ascii="Calibri" w:hAnsi="Calibri"/>
              </w:rPr>
              <w:t xml:space="preserve"> &amp; Bean (1988); </w:t>
            </w:r>
            <w:proofErr w:type="spellStart"/>
            <w:r w:rsidRPr="00F85122">
              <w:rPr>
                <w:rFonts w:ascii="Calibri" w:hAnsi="Calibri"/>
              </w:rPr>
              <w:t>Zellman</w:t>
            </w:r>
            <w:proofErr w:type="spellEnd"/>
            <w:r w:rsidRPr="00F85122">
              <w:rPr>
                <w:rFonts w:ascii="Calibri" w:hAnsi="Calibri"/>
              </w:rPr>
              <w:t xml:space="preserve"> (1990a); </w:t>
            </w:r>
            <w:proofErr w:type="spellStart"/>
            <w:r w:rsidRPr="00F85122">
              <w:rPr>
                <w:rFonts w:ascii="Calibri" w:hAnsi="Calibri"/>
              </w:rPr>
              <w:t>Zellman</w:t>
            </w:r>
            <w:proofErr w:type="spellEnd"/>
            <w:r w:rsidRPr="00F85122">
              <w:rPr>
                <w:rFonts w:ascii="Calibri" w:hAnsi="Calibri"/>
              </w:rPr>
              <w:t xml:space="preserve"> (1990b)</w:t>
            </w:r>
          </w:p>
        </w:tc>
      </w:tr>
      <w:tr w:rsidR="00F85122" w:rsidRPr="00F85122" w14:paraId="560AC1C0"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4A7942CA" w14:textId="77777777" w:rsidR="00F85122" w:rsidRPr="00F85122" w:rsidRDefault="00F85122" w:rsidP="00D650B4">
            <w:pPr>
              <w:spacing w:before="0" w:after="60" w:line="276" w:lineRule="auto"/>
              <w:rPr>
                <w:rFonts w:ascii="Calibri" w:hAnsi="Calibri"/>
              </w:rPr>
            </w:pPr>
          </w:p>
        </w:tc>
        <w:tc>
          <w:tcPr>
            <w:tcW w:w="3208" w:type="dxa"/>
          </w:tcPr>
          <w:p w14:paraId="29042510"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Attitudes towards physical/corporal punishment (more positive attitudes, less likely to report)</w:t>
            </w:r>
          </w:p>
        </w:tc>
        <w:tc>
          <w:tcPr>
            <w:tcW w:w="2250" w:type="dxa"/>
          </w:tcPr>
          <w:p w14:paraId="1F0E9CF3"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3</w:t>
            </w:r>
          </w:p>
        </w:tc>
        <w:tc>
          <w:tcPr>
            <w:tcW w:w="6210" w:type="dxa"/>
          </w:tcPr>
          <w:p w14:paraId="0EA7CA5B"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Feng &amp; Levine (2005); Feng et al., (2010); Kenny (2004)</w:t>
            </w:r>
          </w:p>
        </w:tc>
      </w:tr>
      <w:tr w:rsidR="00F85122" w:rsidRPr="00F85122" w14:paraId="640D8D7A"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5B7C188" w14:textId="77777777" w:rsidR="00F85122" w:rsidRPr="00F85122" w:rsidRDefault="00F85122" w:rsidP="00D650B4">
            <w:pPr>
              <w:spacing w:before="0" w:after="60" w:line="276" w:lineRule="auto"/>
              <w:rPr>
                <w:rFonts w:ascii="Calibri" w:hAnsi="Calibri"/>
              </w:rPr>
            </w:pPr>
            <w:r w:rsidRPr="00F85122">
              <w:rPr>
                <w:rFonts w:ascii="Calibri" w:hAnsi="Calibri"/>
              </w:rPr>
              <w:t>Knowledge</w:t>
            </w:r>
          </w:p>
        </w:tc>
        <w:tc>
          <w:tcPr>
            <w:tcW w:w="3208" w:type="dxa"/>
          </w:tcPr>
          <w:p w14:paraId="258875FE"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Knowledge of warning signs &amp; indicators (greater knowledge more likely to report)</w:t>
            </w:r>
          </w:p>
        </w:tc>
        <w:tc>
          <w:tcPr>
            <w:tcW w:w="2250" w:type="dxa"/>
          </w:tcPr>
          <w:p w14:paraId="7F236736"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7</w:t>
            </w:r>
          </w:p>
        </w:tc>
        <w:tc>
          <w:tcPr>
            <w:tcW w:w="6210" w:type="dxa"/>
          </w:tcPr>
          <w:p w14:paraId="0C3B8FEF"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Beck et al., (1994); </w:t>
            </w:r>
            <w:proofErr w:type="spellStart"/>
            <w:r w:rsidRPr="00F85122">
              <w:rPr>
                <w:rFonts w:ascii="Calibri" w:hAnsi="Calibri"/>
              </w:rPr>
              <w:t>Eisbach</w:t>
            </w:r>
            <w:proofErr w:type="spellEnd"/>
            <w:r w:rsidRPr="00F85122">
              <w:rPr>
                <w:rFonts w:ascii="Calibri" w:hAnsi="Calibri"/>
              </w:rPr>
              <w:t xml:space="preserve"> &amp; </w:t>
            </w:r>
            <w:proofErr w:type="spellStart"/>
            <w:r w:rsidRPr="00F85122">
              <w:rPr>
                <w:rFonts w:ascii="Calibri" w:hAnsi="Calibri"/>
              </w:rPr>
              <w:t>Driessnack</w:t>
            </w:r>
            <w:proofErr w:type="spellEnd"/>
            <w:r w:rsidRPr="00F85122">
              <w:rPr>
                <w:rFonts w:ascii="Calibri" w:hAnsi="Calibri"/>
              </w:rPr>
              <w:t xml:space="preserve"> (2010); Haj-</w:t>
            </w:r>
            <w:proofErr w:type="spellStart"/>
            <w:r w:rsidRPr="00F85122">
              <w:rPr>
                <w:rFonts w:ascii="Calibri" w:hAnsi="Calibri"/>
              </w:rPr>
              <w:t>Yahia</w:t>
            </w:r>
            <w:proofErr w:type="spellEnd"/>
            <w:r w:rsidRPr="00F85122">
              <w:rPr>
                <w:rFonts w:ascii="Calibri" w:hAnsi="Calibri"/>
              </w:rPr>
              <w:t xml:space="preserve"> &amp; Attar Schwartz (2008) – physical abuse, emotional abuse, neglect only; Hawkins &amp; McCallum (2001); </w:t>
            </w:r>
            <w:proofErr w:type="spellStart"/>
            <w:r w:rsidRPr="00F85122">
              <w:rPr>
                <w:rFonts w:ascii="Calibri" w:hAnsi="Calibri"/>
              </w:rPr>
              <w:t>Janowski</w:t>
            </w:r>
            <w:proofErr w:type="spellEnd"/>
            <w:r w:rsidRPr="00F85122">
              <w:rPr>
                <w:rFonts w:ascii="Calibri" w:hAnsi="Calibri"/>
              </w:rPr>
              <w:t xml:space="preserve"> &amp; Martin (2003); Kenny (2004); Lee et al., (2007)</w:t>
            </w:r>
          </w:p>
        </w:tc>
      </w:tr>
      <w:tr w:rsidR="00F85122" w:rsidRPr="00F85122" w14:paraId="2949B97D"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76F9705C" w14:textId="77777777" w:rsidR="00F85122" w:rsidRPr="00F85122" w:rsidRDefault="00F85122" w:rsidP="00D650B4">
            <w:pPr>
              <w:spacing w:before="0" w:after="60" w:line="276" w:lineRule="auto"/>
              <w:rPr>
                <w:rFonts w:ascii="Calibri" w:hAnsi="Calibri"/>
              </w:rPr>
            </w:pPr>
          </w:p>
        </w:tc>
        <w:tc>
          <w:tcPr>
            <w:tcW w:w="3208" w:type="dxa"/>
          </w:tcPr>
          <w:p w14:paraId="5A5880F7"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Knowledge of reporting law / requirements / procedures (greater knowledge, more likely to report)</w:t>
            </w:r>
          </w:p>
        </w:tc>
        <w:tc>
          <w:tcPr>
            <w:tcW w:w="2250" w:type="dxa"/>
          </w:tcPr>
          <w:p w14:paraId="10587433"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4</w:t>
            </w:r>
          </w:p>
        </w:tc>
        <w:tc>
          <w:tcPr>
            <w:tcW w:w="6210" w:type="dxa"/>
          </w:tcPr>
          <w:p w14:paraId="2C6E94A8"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Feng &amp; Levine (2005); Gunn et al., (2005); Kenny (2004); </w:t>
            </w:r>
            <w:proofErr w:type="spellStart"/>
            <w:r w:rsidRPr="00F85122">
              <w:rPr>
                <w:rFonts w:ascii="Calibri" w:hAnsi="Calibri"/>
              </w:rPr>
              <w:t>Renniger</w:t>
            </w:r>
            <w:proofErr w:type="spellEnd"/>
            <w:r w:rsidRPr="00F85122">
              <w:rPr>
                <w:rFonts w:ascii="Calibri" w:hAnsi="Calibri"/>
              </w:rPr>
              <w:t xml:space="preserve"> et al., (2002)</w:t>
            </w:r>
          </w:p>
        </w:tc>
      </w:tr>
      <w:tr w:rsidR="00F85122" w:rsidRPr="00F85122" w14:paraId="2D8DFE2A"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C5DBCB1" w14:textId="77777777" w:rsidR="00F85122" w:rsidRPr="00F85122" w:rsidRDefault="00F85122" w:rsidP="00D650B4">
            <w:pPr>
              <w:spacing w:before="0" w:after="60" w:line="276" w:lineRule="auto"/>
              <w:rPr>
                <w:rFonts w:ascii="Calibri" w:hAnsi="Calibri"/>
              </w:rPr>
            </w:pPr>
            <w:r w:rsidRPr="00F85122">
              <w:rPr>
                <w:rFonts w:ascii="Calibri" w:hAnsi="Calibri"/>
              </w:rPr>
              <w:t>Education/training</w:t>
            </w:r>
          </w:p>
        </w:tc>
        <w:tc>
          <w:tcPr>
            <w:tcW w:w="3208" w:type="dxa"/>
          </w:tcPr>
          <w:p w14:paraId="031C8255"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Specific child protection training (more likely to report)</w:t>
            </w:r>
          </w:p>
        </w:tc>
        <w:tc>
          <w:tcPr>
            <w:tcW w:w="2250" w:type="dxa"/>
          </w:tcPr>
          <w:p w14:paraId="77C0BAE9"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5</w:t>
            </w:r>
          </w:p>
        </w:tc>
        <w:tc>
          <w:tcPr>
            <w:tcW w:w="6210" w:type="dxa"/>
          </w:tcPr>
          <w:p w14:paraId="37CF7A27"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Fraser et al., (2010) – neglect only; Goldman &amp; </w:t>
            </w:r>
            <w:proofErr w:type="spellStart"/>
            <w:r w:rsidRPr="00F85122">
              <w:rPr>
                <w:rFonts w:ascii="Calibri" w:hAnsi="Calibri"/>
              </w:rPr>
              <w:t>Padayachi</w:t>
            </w:r>
            <w:proofErr w:type="spellEnd"/>
            <w:r w:rsidRPr="00F85122">
              <w:rPr>
                <w:rFonts w:ascii="Calibri" w:hAnsi="Calibri"/>
              </w:rPr>
              <w:t xml:space="preserve"> (2005) – no association; Hawkins &amp; McCallum (2001); King et al., (1998); Nightingale &amp; Walker (1986)</w:t>
            </w:r>
          </w:p>
        </w:tc>
      </w:tr>
      <w:tr w:rsidR="00F85122" w:rsidRPr="00F85122" w14:paraId="00FAC028"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3B5C5C7D" w14:textId="77777777" w:rsidR="00F85122" w:rsidRPr="00F85122" w:rsidRDefault="00F85122" w:rsidP="00D650B4">
            <w:pPr>
              <w:spacing w:before="0" w:after="60" w:line="276" w:lineRule="auto"/>
              <w:rPr>
                <w:rFonts w:ascii="Calibri" w:hAnsi="Calibri"/>
              </w:rPr>
            </w:pPr>
          </w:p>
        </w:tc>
        <w:tc>
          <w:tcPr>
            <w:tcW w:w="3208" w:type="dxa"/>
          </w:tcPr>
          <w:p w14:paraId="6154E8F9"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Expertise / </w:t>
            </w:r>
            <w:proofErr w:type="spellStart"/>
            <w:r w:rsidRPr="00F85122">
              <w:rPr>
                <w:rFonts w:ascii="Calibri" w:hAnsi="Calibri"/>
              </w:rPr>
              <w:t>speciality</w:t>
            </w:r>
            <w:proofErr w:type="spellEnd"/>
            <w:r w:rsidRPr="00F85122">
              <w:rPr>
                <w:rFonts w:ascii="Calibri" w:hAnsi="Calibri"/>
              </w:rPr>
              <w:t xml:space="preserve"> (e.g. </w:t>
            </w:r>
            <w:proofErr w:type="spellStart"/>
            <w:r w:rsidRPr="00F85122">
              <w:rPr>
                <w:rFonts w:ascii="Calibri" w:hAnsi="Calibri"/>
              </w:rPr>
              <w:t>paediatrician</w:t>
            </w:r>
            <w:proofErr w:type="spellEnd"/>
            <w:r w:rsidRPr="00F85122">
              <w:rPr>
                <w:rFonts w:ascii="Calibri" w:hAnsi="Calibri"/>
              </w:rPr>
              <w:t xml:space="preserve"> v general practitioner; school counsellor v teacher) (greater expertise more likely to report)</w:t>
            </w:r>
          </w:p>
        </w:tc>
        <w:tc>
          <w:tcPr>
            <w:tcW w:w="2250" w:type="dxa"/>
          </w:tcPr>
          <w:p w14:paraId="117A6FD4"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5</w:t>
            </w:r>
          </w:p>
        </w:tc>
        <w:tc>
          <w:tcPr>
            <w:tcW w:w="6210" w:type="dxa"/>
          </w:tcPr>
          <w:p w14:paraId="2120C38D"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Kenny &amp; </w:t>
            </w:r>
            <w:proofErr w:type="spellStart"/>
            <w:r w:rsidRPr="00F85122">
              <w:rPr>
                <w:rFonts w:ascii="Calibri" w:hAnsi="Calibri"/>
              </w:rPr>
              <w:t>McEachern</w:t>
            </w:r>
            <w:proofErr w:type="spellEnd"/>
            <w:r w:rsidRPr="00F85122">
              <w:rPr>
                <w:rFonts w:ascii="Calibri" w:hAnsi="Calibri"/>
              </w:rPr>
              <w:t xml:space="preserve"> (2002); </w:t>
            </w:r>
            <w:proofErr w:type="spellStart"/>
            <w:r w:rsidRPr="00F85122">
              <w:rPr>
                <w:rFonts w:ascii="Calibri" w:hAnsi="Calibri"/>
              </w:rPr>
              <w:t>Rindfleisch</w:t>
            </w:r>
            <w:proofErr w:type="spellEnd"/>
            <w:r w:rsidRPr="00F85122">
              <w:rPr>
                <w:rFonts w:ascii="Calibri" w:hAnsi="Calibri"/>
              </w:rPr>
              <w:t xml:space="preserve"> &amp; Bean (1988); </w:t>
            </w:r>
            <w:proofErr w:type="spellStart"/>
            <w:r w:rsidRPr="00F85122">
              <w:rPr>
                <w:rFonts w:ascii="Calibri" w:hAnsi="Calibri"/>
              </w:rPr>
              <w:t>Uldum</w:t>
            </w:r>
            <w:proofErr w:type="spellEnd"/>
            <w:r w:rsidRPr="00F85122">
              <w:rPr>
                <w:rFonts w:ascii="Calibri" w:hAnsi="Calibri"/>
              </w:rPr>
              <w:t xml:space="preserve"> et al., (2010); Van </w:t>
            </w:r>
            <w:proofErr w:type="spellStart"/>
            <w:r w:rsidRPr="00F85122">
              <w:rPr>
                <w:rFonts w:ascii="Calibri" w:hAnsi="Calibri"/>
              </w:rPr>
              <w:t>Haeringen</w:t>
            </w:r>
            <w:proofErr w:type="spellEnd"/>
            <w:r w:rsidRPr="00F85122">
              <w:rPr>
                <w:rFonts w:ascii="Calibri" w:hAnsi="Calibri"/>
              </w:rPr>
              <w:t xml:space="preserve"> et al., (1998); Webster et al., (2005)</w:t>
            </w:r>
          </w:p>
        </w:tc>
      </w:tr>
      <w:tr w:rsidR="00F85122" w:rsidRPr="00F85122" w14:paraId="5675A554"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EAA8065" w14:textId="77777777" w:rsidR="00F85122" w:rsidRPr="00F85122" w:rsidRDefault="00F85122" w:rsidP="00D650B4">
            <w:pPr>
              <w:spacing w:before="0" w:after="60" w:line="276" w:lineRule="auto"/>
              <w:rPr>
                <w:rFonts w:ascii="Calibri" w:hAnsi="Calibri"/>
              </w:rPr>
            </w:pPr>
            <w:r w:rsidRPr="00F85122">
              <w:rPr>
                <w:rFonts w:ascii="Calibri" w:hAnsi="Calibri"/>
              </w:rPr>
              <w:t>Fears/concerns</w:t>
            </w:r>
          </w:p>
        </w:tc>
        <w:tc>
          <w:tcPr>
            <w:tcW w:w="3208" w:type="dxa"/>
          </w:tcPr>
          <w:p w14:paraId="5E0C6F91"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Fears/concerns: e.g. of inaccurate report; repercussions for child and/or family; damage to relationship with family; reporter identity disclosure; court proceedings/lawsuit; (more fears, less likely to report)</w:t>
            </w:r>
          </w:p>
        </w:tc>
        <w:tc>
          <w:tcPr>
            <w:tcW w:w="2250" w:type="dxa"/>
          </w:tcPr>
          <w:p w14:paraId="1E2100F5"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14</w:t>
            </w:r>
          </w:p>
        </w:tc>
        <w:tc>
          <w:tcPr>
            <w:tcW w:w="6210" w:type="dxa"/>
          </w:tcPr>
          <w:p w14:paraId="732E68C1"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Abrahams et al., (1989); </w:t>
            </w:r>
            <w:proofErr w:type="spellStart"/>
            <w:r w:rsidRPr="00F85122">
              <w:rPr>
                <w:rFonts w:ascii="Calibri" w:hAnsi="Calibri"/>
              </w:rPr>
              <w:t>Blaskett</w:t>
            </w:r>
            <w:proofErr w:type="spellEnd"/>
            <w:r w:rsidRPr="00F85122">
              <w:rPr>
                <w:rFonts w:ascii="Calibri" w:hAnsi="Calibri"/>
              </w:rPr>
              <w:t xml:space="preserve"> &amp; Taylor (2003); </w:t>
            </w:r>
            <w:proofErr w:type="spellStart"/>
            <w:r w:rsidRPr="00F85122">
              <w:rPr>
                <w:rFonts w:ascii="Calibri" w:hAnsi="Calibri"/>
              </w:rPr>
              <w:t>Borres</w:t>
            </w:r>
            <w:proofErr w:type="spellEnd"/>
            <w:r w:rsidRPr="00F85122">
              <w:rPr>
                <w:rFonts w:ascii="Calibri" w:hAnsi="Calibri"/>
              </w:rPr>
              <w:t xml:space="preserve"> &amp; Haag (2007); Crenshaw et al., (1995); Flaherty et al., (2004); Gunn et al., (2005); Hinson &amp; </w:t>
            </w:r>
            <w:proofErr w:type="spellStart"/>
            <w:r w:rsidRPr="00F85122">
              <w:rPr>
                <w:rFonts w:ascii="Calibri" w:hAnsi="Calibri"/>
              </w:rPr>
              <w:t>Fossey</w:t>
            </w:r>
            <w:proofErr w:type="spellEnd"/>
            <w:r w:rsidRPr="00F85122">
              <w:rPr>
                <w:rFonts w:ascii="Calibri" w:hAnsi="Calibri"/>
              </w:rPr>
              <w:t xml:space="preserve"> (2000); Hansen et al, (1997); </w:t>
            </w:r>
            <w:proofErr w:type="spellStart"/>
            <w:r w:rsidRPr="00F85122">
              <w:rPr>
                <w:rFonts w:ascii="Calibri" w:hAnsi="Calibri"/>
              </w:rPr>
              <w:t>Kalichman</w:t>
            </w:r>
            <w:proofErr w:type="spellEnd"/>
            <w:r w:rsidRPr="00F85122">
              <w:rPr>
                <w:rFonts w:ascii="Calibri" w:hAnsi="Calibri"/>
              </w:rPr>
              <w:t xml:space="preserve"> &amp; </w:t>
            </w:r>
            <w:proofErr w:type="spellStart"/>
            <w:r w:rsidRPr="00F85122">
              <w:rPr>
                <w:rFonts w:ascii="Calibri" w:hAnsi="Calibri"/>
              </w:rPr>
              <w:t>Brosig</w:t>
            </w:r>
            <w:proofErr w:type="spellEnd"/>
            <w:r w:rsidRPr="00F85122">
              <w:rPr>
                <w:rFonts w:ascii="Calibri" w:hAnsi="Calibri"/>
              </w:rPr>
              <w:t xml:space="preserve"> (1993); Kenny (2001); Morris et al., (1985); </w:t>
            </w:r>
            <w:proofErr w:type="spellStart"/>
            <w:r w:rsidRPr="00F85122">
              <w:rPr>
                <w:rFonts w:ascii="Calibri" w:hAnsi="Calibri"/>
              </w:rPr>
              <w:t>Nayda</w:t>
            </w:r>
            <w:proofErr w:type="spellEnd"/>
            <w:r w:rsidRPr="00F85122">
              <w:rPr>
                <w:rFonts w:ascii="Calibri" w:hAnsi="Calibri"/>
              </w:rPr>
              <w:t xml:space="preserve"> (2002); </w:t>
            </w:r>
            <w:proofErr w:type="spellStart"/>
            <w:r w:rsidRPr="00F85122">
              <w:rPr>
                <w:rFonts w:ascii="Calibri" w:hAnsi="Calibri"/>
              </w:rPr>
              <w:t>Uldum</w:t>
            </w:r>
            <w:proofErr w:type="spellEnd"/>
            <w:r w:rsidRPr="00F85122">
              <w:rPr>
                <w:rFonts w:ascii="Calibri" w:hAnsi="Calibri"/>
              </w:rPr>
              <w:t xml:space="preserve"> et al., (2010); Van </w:t>
            </w:r>
            <w:proofErr w:type="spellStart"/>
            <w:r w:rsidRPr="00F85122">
              <w:rPr>
                <w:rFonts w:ascii="Calibri" w:hAnsi="Calibri"/>
              </w:rPr>
              <w:t>Haeringen</w:t>
            </w:r>
            <w:proofErr w:type="spellEnd"/>
            <w:r w:rsidRPr="00F85122">
              <w:rPr>
                <w:rFonts w:ascii="Calibri" w:hAnsi="Calibri"/>
              </w:rPr>
              <w:t xml:space="preserve"> et al., (1998)</w:t>
            </w:r>
          </w:p>
        </w:tc>
      </w:tr>
      <w:tr w:rsidR="00F85122" w:rsidRPr="00F85122" w14:paraId="4C16C5DB"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7A547309" w14:textId="77777777" w:rsidR="00F85122" w:rsidRPr="00F85122" w:rsidRDefault="00F85122" w:rsidP="00D650B4">
            <w:pPr>
              <w:spacing w:before="0" w:after="60" w:line="276" w:lineRule="auto"/>
              <w:rPr>
                <w:rFonts w:ascii="Calibri" w:hAnsi="Calibri"/>
              </w:rPr>
            </w:pPr>
            <w:r w:rsidRPr="00F85122">
              <w:rPr>
                <w:rFonts w:ascii="Calibri" w:hAnsi="Calibri"/>
              </w:rPr>
              <w:t>Beliefs</w:t>
            </w:r>
          </w:p>
        </w:tc>
        <w:tc>
          <w:tcPr>
            <w:tcW w:w="3208" w:type="dxa"/>
          </w:tcPr>
          <w:p w14:paraId="14CE1336"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Beliefs: e.g. violating parent rights; cultural differences; abuse as a single incident; other professionals should report; therapy/treatment better than reporting (less likely to report)</w:t>
            </w:r>
          </w:p>
        </w:tc>
        <w:tc>
          <w:tcPr>
            <w:tcW w:w="2250" w:type="dxa"/>
          </w:tcPr>
          <w:p w14:paraId="40C3CAAB"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6</w:t>
            </w:r>
          </w:p>
        </w:tc>
        <w:tc>
          <w:tcPr>
            <w:tcW w:w="6210" w:type="dxa"/>
          </w:tcPr>
          <w:p w14:paraId="3242E9F9"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Ben </w:t>
            </w:r>
            <w:proofErr w:type="spellStart"/>
            <w:r w:rsidRPr="00F85122">
              <w:rPr>
                <w:rFonts w:ascii="Calibri" w:hAnsi="Calibri"/>
              </w:rPr>
              <w:t>Natan</w:t>
            </w:r>
            <w:proofErr w:type="spellEnd"/>
            <w:r w:rsidRPr="00F85122">
              <w:rPr>
                <w:rFonts w:ascii="Calibri" w:hAnsi="Calibri"/>
              </w:rPr>
              <w:t xml:space="preserve"> et al, (2010); Haj-</w:t>
            </w:r>
            <w:proofErr w:type="spellStart"/>
            <w:r w:rsidRPr="00F85122">
              <w:rPr>
                <w:rFonts w:ascii="Calibri" w:hAnsi="Calibri"/>
              </w:rPr>
              <w:t>Yahia</w:t>
            </w:r>
            <w:proofErr w:type="spellEnd"/>
            <w:r w:rsidRPr="00F85122">
              <w:rPr>
                <w:rFonts w:ascii="Calibri" w:hAnsi="Calibri"/>
              </w:rPr>
              <w:t xml:space="preserve"> &amp; Attar Schwartz (2008); Hansen et al, (1997); Holland (1999); </w:t>
            </w:r>
            <w:proofErr w:type="spellStart"/>
            <w:r w:rsidRPr="00F85122">
              <w:rPr>
                <w:rFonts w:ascii="Calibri" w:hAnsi="Calibri"/>
              </w:rPr>
              <w:t>Renniger</w:t>
            </w:r>
            <w:proofErr w:type="spellEnd"/>
            <w:r w:rsidRPr="00F85122">
              <w:rPr>
                <w:rFonts w:ascii="Calibri" w:hAnsi="Calibri"/>
              </w:rPr>
              <w:t xml:space="preserve"> et al., (2002); Schweitzer et al., 2006</w:t>
            </w:r>
          </w:p>
        </w:tc>
      </w:tr>
      <w:tr w:rsidR="00F85122" w:rsidRPr="00F85122" w14:paraId="1E08C03B"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0B13894" w14:textId="77777777" w:rsidR="00F85122" w:rsidRPr="00F85122" w:rsidRDefault="00F85122" w:rsidP="00D650B4">
            <w:pPr>
              <w:spacing w:before="0" w:after="60" w:line="276" w:lineRule="auto"/>
              <w:rPr>
                <w:rFonts w:ascii="Calibri" w:hAnsi="Calibri"/>
              </w:rPr>
            </w:pPr>
            <w:r w:rsidRPr="00F85122">
              <w:rPr>
                <w:rFonts w:ascii="Calibri" w:hAnsi="Calibri"/>
              </w:rPr>
              <w:t>Self-efficacy</w:t>
            </w:r>
          </w:p>
        </w:tc>
        <w:tc>
          <w:tcPr>
            <w:tcW w:w="3208" w:type="dxa"/>
          </w:tcPr>
          <w:p w14:paraId="49D44D52"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Perceived self-efficacy in reporting (higher self-efficacy, more likely to report)</w:t>
            </w:r>
          </w:p>
        </w:tc>
        <w:tc>
          <w:tcPr>
            <w:tcW w:w="2250" w:type="dxa"/>
          </w:tcPr>
          <w:p w14:paraId="70A72E89"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6</w:t>
            </w:r>
          </w:p>
        </w:tc>
        <w:tc>
          <w:tcPr>
            <w:tcW w:w="6210" w:type="dxa"/>
          </w:tcPr>
          <w:p w14:paraId="58B11F40"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 xml:space="preserve">Feng &amp; Wu (2005); Feng &amp; Levine (2005); Feng et al., (2010); Flaherty et al., (2006); Goebbels et al., (2008); </w:t>
            </w:r>
            <w:proofErr w:type="spellStart"/>
            <w:r w:rsidRPr="00F85122">
              <w:rPr>
                <w:rFonts w:ascii="Calibri" w:hAnsi="Calibri"/>
              </w:rPr>
              <w:t>Herendeen</w:t>
            </w:r>
            <w:proofErr w:type="spellEnd"/>
            <w:r w:rsidRPr="00F85122">
              <w:rPr>
                <w:rFonts w:ascii="Calibri" w:hAnsi="Calibri"/>
              </w:rPr>
              <w:t xml:space="preserve"> et al, (2014)</w:t>
            </w:r>
          </w:p>
        </w:tc>
      </w:tr>
      <w:tr w:rsidR="00F85122" w:rsidRPr="00F85122" w14:paraId="1F09A8E2"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50C35313" w14:textId="77777777" w:rsidR="00F85122" w:rsidRPr="00F85122" w:rsidRDefault="00F85122" w:rsidP="00D650B4">
            <w:pPr>
              <w:spacing w:before="0" w:after="60" w:line="276" w:lineRule="auto"/>
              <w:rPr>
                <w:rFonts w:ascii="Calibri" w:hAnsi="Calibri"/>
              </w:rPr>
            </w:pPr>
            <w:r w:rsidRPr="00F85122">
              <w:rPr>
                <w:rFonts w:ascii="Calibri" w:hAnsi="Calibri"/>
              </w:rPr>
              <w:t>Previous CPS experience</w:t>
            </w:r>
          </w:p>
        </w:tc>
        <w:tc>
          <w:tcPr>
            <w:tcW w:w="3208" w:type="dxa"/>
          </w:tcPr>
          <w:p w14:paraId="7056F038"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Previous experience of </w:t>
            </w:r>
            <w:r w:rsidRPr="00F85122">
              <w:rPr>
                <w:rFonts w:ascii="Calibri" w:hAnsi="Calibri"/>
              </w:rPr>
              <w:lastRenderedPageBreak/>
              <w:t>reporting / failing to report to CPS / confidence in CPS (negative experiences/lower confidence, less likely to report)</w:t>
            </w:r>
          </w:p>
        </w:tc>
        <w:tc>
          <w:tcPr>
            <w:tcW w:w="2250" w:type="dxa"/>
          </w:tcPr>
          <w:p w14:paraId="524A78E6"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lastRenderedPageBreak/>
              <w:t>13</w:t>
            </w:r>
          </w:p>
        </w:tc>
        <w:tc>
          <w:tcPr>
            <w:tcW w:w="6210" w:type="dxa"/>
          </w:tcPr>
          <w:p w14:paraId="0E0CE068"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proofErr w:type="spellStart"/>
            <w:r w:rsidRPr="00F85122">
              <w:rPr>
                <w:rFonts w:ascii="Calibri" w:hAnsi="Calibri"/>
              </w:rPr>
              <w:t>Eisbach</w:t>
            </w:r>
            <w:proofErr w:type="spellEnd"/>
            <w:r w:rsidRPr="00F85122">
              <w:rPr>
                <w:rFonts w:ascii="Calibri" w:hAnsi="Calibri"/>
              </w:rPr>
              <w:t xml:space="preserve"> &amp; </w:t>
            </w:r>
            <w:proofErr w:type="spellStart"/>
            <w:r w:rsidRPr="00F85122">
              <w:rPr>
                <w:rFonts w:ascii="Calibri" w:hAnsi="Calibri"/>
              </w:rPr>
              <w:t>Driessnack</w:t>
            </w:r>
            <w:proofErr w:type="spellEnd"/>
            <w:r w:rsidRPr="00F85122">
              <w:rPr>
                <w:rFonts w:ascii="Calibri" w:hAnsi="Calibri"/>
              </w:rPr>
              <w:t xml:space="preserve"> (2010); Finlayson &amp; </w:t>
            </w:r>
            <w:proofErr w:type="spellStart"/>
            <w:r w:rsidRPr="00F85122">
              <w:rPr>
                <w:rFonts w:ascii="Calibri" w:hAnsi="Calibri"/>
              </w:rPr>
              <w:t>Koocher</w:t>
            </w:r>
            <w:proofErr w:type="spellEnd"/>
            <w:r w:rsidRPr="00F85122">
              <w:rPr>
                <w:rFonts w:ascii="Calibri" w:hAnsi="Calibri"/>
              </w:rPr>
              <w:t xml:space="preserve"> (1991); </w:t>
            </w:r>
            <w:r w:rsidRPr="00F85122">
              <w:rPr>
                <w:rFonts w:ascii="Calibri" w:hAnsi="Calibri"/>
              </w:rPr>
              <w:lastRenderedPageBreak/>
              <w:t xml:space="preserve">Flaherty et al., (2004); Flaherty et al., (2008); Gunn et al.,( 2005); Hansen et al., (1997); Holland (1999); Jones et al., (2008); </w:t>
            </w:r>
            <w:proofErr w:type="spellStart"/>
            <w:r w:rsidRPr="00F85122">
              <w:rPr>
                <w:rFonts w:ascii="Calibri" w:hAnsi="Calibri"/>
              </w:rPr>
              <w:t>Kalichman</w:t>
            </w:r>
            <w:proofErr w:type="spellEnd"/>
            <w:r w:rsidRPr="00F85122">
              <w:rPr>
                <w:rFonts w:ascii="Calibri" w:hAnsi="Calibri"/>
              </w:rPr>
              <w:t xml:space="preserve"> et al., (1989); </w:t>
            </w:r>
            <w:proofErr w:type="spellStart"/>
            <w:r w:rsidRPr="00F85122">
              <w:rPr>
                <w:rFonts w:ascii="Calibri" w:hAnsi="Calibri"/>
              </w:rPr>
              <w:t>Nayda</w:t>
            </w:r>
            <w:proofErr w:type="spellEnd"/>
            <w:r w:rsidRPr="00F85122">
              <w:rPr>
                <w:rFonts w:ascii="Calibri" w:hAnsi="Calibri"/>
              </w:rPr>
              <w:t xml:space="preserve"> (2002); </w:t>
            </w:r>
            <w:proofErr w:type="spellStart"/>
            <w:r w:rsidRPr="00F85122">
              <w:rPr>
                <w:rFonts w:ascii="Calibri" w:hAnsi="Calibri"/>
              </w:rPr>
              <w:t>Sundell</w:t>
            </w:r>
            <w:proofErr w:type="spellEnd"/>
            <w:r w:rsidRPr="00F85122">
              <w:rPr>
                <w:rFonts w:ascii="Calibri" w:hAnsi="Calibri"/>
              </w:rPr>
              <w:t xml:space="preserve"> (1997); Webster et al., (2005); </w:t>
            </w:r>
            <w:proofErr w:type="spellStart"/>
            <w:r w:rsidRPr="00F85122">
              <w:rPr>
                <w:rFonts w:ascii="Calibri" w:hAnsi="Calibri"/>
              </w:rPr>
              <w:t>Zellman</w:t>
            </w:r>
            <w:proofErr w:type="spellEnd"/>
            <w:r w:rsidRPr="00F85122">
              <w:rPr>
                <w:rFonts w:ascii="Calibri" w:hAnsi="Calibri"/>
              </w:rPr>
              <w:t xml:space="preserve"> (1990b)</w:t>
            </w:r>
          </w:p>
        </w:tc>
      </w:tr>
      <w:tr w:rsidR="00F85122" w:rsidRPr="00F85122" w14:paraId="413E1A3E" w14:textId="77777777" w:rsidTr="00D65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50A0BB4B" w14:textId="77777777" w:rsidR="00F85122" w:rsidRPr="00F85122" w:rsidRDefault="00F85122" w:rsidP="00D650B4">
            <w:pPr>
              <w:spacing w:after="60" w:line="276" w:lineRule="auto"/>
              <w:rPr>
                <w:rFonts w:ascii="Calibri" w:hAnsi="Calibri"/>
              </w:rPr>
            </w:pPr>
            <w:r w:rsidRPr="00F85122">
              <w:rPr>
                <w:rFonts w:ascii="Calibri" w:hAnsi="Calibri"/>
              </w:rPr>
              <w:lastRenderedPageBreak/>
              <w:t>Organisational/workplace factors</w:t>
            </w:r>
          </w:p>
        </w:tc>
      </w:tr>
      <w:tr w:rsidR="00F85122" w:rsidRPr="00F85122" w14:paraId="1CA80D35"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068188E1" w14:textId="77777777" w:rsidR="00F85122" w:rsidRPr="00F85122" w:rsidRDefault="00F85122" w:rsidP="00D650B4">
            <w:pPr>
              <w:spacing w:before="0" w:after="60" w:line="276" w:lineRule="auto"/>
              <w:rPr>
                <w:rFonts w:ascii="Calibri" w:hAnsi="Calibri"/>
              </w:rPr>
            </w:pPr>
          </w:p>
        </w:tc>
        <w:tc>
          <w:tcPr>
            <w:tcW w:w="3208" w:type="dxa"/>
          </w:tcPr>
          <w:p w14:paraId="326CD6BD"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Private vs public (public, more likely to report)</w:t>
            </w:r>
          </w:p>
        </w:tc>
        <w:tc>
          <w:tcPr>
            <w:tcW w:w="2250" w:type="dxa"/>
          </w:tcPr>
          <w:p w14:paraId="1476D094"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2</w:t>
            </w:r>
          </w:p>
        </w:tc>
        <w:tc>
          <w:tcPr>
            <w:tcW w:w="6210" w:type="dxa"/>
          </w:tcPr>
          <w:p w14:paraId="2D2C6EEC"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 xml:space="preserve">Morris et al., (1985); </w:t>
            </w:r>
            <w:proofErr w:type="spellStart"/>
            <w:r w:rsidRPr="00F85122">
              <w:rPr>
                <w:rFonts w:ascii="Calibri" w:hAnsi="Calibri"/>
              </w:rPr>
              <w:t>Uldum</w:t>
            </w:r>
            <w:proofErr w:type="spellEnd"/>
            <w:r w:rsidRPr="00F85122">
              <w:rPr>
                <w:rFonts w:ascii="Calibri" w:hAnsi="Calibri"/>
              </w:rPr>
              <w:t xml:space="preserve"> et al., (2010)</w:t>
            </w:r>
          </w:p>
        </w:tc>
      </w:tr>
      <w:tr w:rsidR="00F85122" w:rsidRPr="00F85122" w14:paraId="75259C66"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60F69F1" w14:textId="77777777" w:rsidR="00F85122" w:rsidRPr="00F85122" w:rsidRDefault="00F85122" w:rsidP="00D650B4">
            <w:pPr>
              <w:spacing w:before="0" w:after="60" w:line="276" w:lineRule="auto"/>
              <w:rPr>
                <w:rFonts w:ascii="Calibri" w:hAnsi="Calibri"/>
              </w:rPr>
            </w:pPr>
          </w:p>
        </w:tc>
        <w:tc>
          <w:tcPr>
            <w:tcW w:w="3208" w:type="dxa"/>
          </w:tcPr>
          <w:p w14:paraId="48602B86"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Perceived social support for reporting (greater support, more likely to report)</w:t>
            </w:r>
          </w:p>
        </w:tc>
        <w:tc>
          <w:tcPr>
            <w:tcW w:w="2250" w:type="dxa"/>
          </w:tcPr>
          <w:p w14:paraId="2C729FF4"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1</w:t>
            </w:r>
          </w:p>
        </w:tc>
        <w:tc>
          <w:tcPr>
            <w:tcW w:w="6210" w:type="dxa"/>
          </w:tcPr>
          <w:p w14:paraId="446F192D"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Flaherty et al., (2008); Feng &amp; Wu (2005); Feng &amp; Levine (2005)</w:t>
            </w:r>
          </w:p>
        </w:tc>
      </w:tr>
      <w:tr w:rsidR="00F85122" w:rsidRPr="00F85122" w14:paraId="102A9FCF"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3EEDF914" w14:textId="77777777" w:rsidR="00F85122" w:rsidRPr="00F85122" w:rsidRDefault="00F85122" w:rsidP="00D650B4">
            <w:pPr>
              <w:spacing w:before="0" w:after="60" w:line="276" w:lineRule="auto"/>
              <w:rPr>
                <w:rFonts w:ascii="Calibri" w:hAnsi="Calibri"/>
              </w:rPr>
            </w:pPr>
          </w:p>
        </w:tc>
        <w:tc>
          <w:tcPr>
            <w:tcW w:w="3208" w:type="dxa"/>
          </w:tcPr>
          <w:p w14:paraId="4A795034" w14:textId="77777777" w:rsidR="00F85122" w:rsidRPr="00F85122" w:rsidRDefault="00F85122" w:rsidP="00D650B4">
            <w:pPr>
              <w:spacing w:before="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Time pressure and limitations (barrier to reporting)</w:t>
            </w:r>
          </w:p>
        </w:tc>
        <w:tc>
          <w:tcPr>
            <w:tcW w:w="2250" w:type="dxa"/>
          </w:tcPr>
          <w:p w14:paraId="2B06AFDC"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3</w:t>
            </w:r>
          </w:p>
        </w:tc>
        <w:tc>
          <w:tcPr>
            <w:tcW w:w="6210" w:type="dxa"/>
          </w:tcPr>
          <w:p w14:paraId="3A956403"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proofErr w:type="spellStart"/>
            <w:r w:rsidRPr="00F85122">
              <w:rPr>
                <w:rFonts w:ascii="Calibri" w:hAnsi="Calibri"/>
              </w:rPr>
              <w:t>Borres</w:t>
            </w:r>
            <w:proofErr w:type="spellEnd"/>
            <w:r w:rsidRPr="00F85122">
              <w:rPr>
                <w:rFonts w:ascii="Calibri" w:hAnsi="Calibri"/>
              </w:rPr>
              <w:t xml:space="preserve"> &amp; Haag (2007); Flaherty et al., (2004); Gunn et al., (2005)</w:t>
            </w:r>
          </w:p>
        </w:tc>
      </w:tr>
      <w:tr w:rsidR="00F85122" w:rsidRPr="00F85122" w14:paraId="34C7CDBF" w14:textId="77777777" w:rsidTr="00F8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E417E12" w14:textId="77777777" w:rsidR="00F85122" w:rsidRPr="00F85122" w:rsidRDefault="00F85122" w:rsidP="00D650B4">
            <w:pPr>
              <w:spacing w:before="0" w:after="60" w:line="276" w:lineRule="auto"/>
              <w:rPr>
                <w:rFonts w:ascii="Calibri" w:hAnsi="Calibri"/>
              </w:rPr>
            </w:pPr>
          </w:p>
        </w:tc>
        <w:tc>
          <w:tcPr>
            <w:tcW w:w="3208" w:type="dxa"/>
          </w:tcPr>
          <w:p w14:paraId="418E6962" w14:textId="77777777" w:rsidR="00F85122" w:rsidRPr="00F85122" w:rsidRDefault="00F85122" w:rsidP="00D650B4">
            <w:pPr>
              <w:spacing w:before="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Location (rural location, barrier to reporting)</w:t>
            </w:r>
          </w:p>
        </w:tc>
        <w:tc>
          <w:tcPr>
            <w:tcW w:w="2250" w:type="dxa"/>
          </w:tcPr>
          <w:p w14:paraId="0F6D9D36"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3</w:t>
            </w:r>
          </w:p>
        </w:tc>
        <w:tc>
          <w:tcPr>
            <w:tcW w:w="6210" w:type="dxa"/>
          </w:tcPr>
          <w:p w14:paraId="7B34D477" w14:textId="77777777" w:rsidR="00F85122" w:rsidRPr="00F85122" w:rsidRDefault="00F85122" w:rsidP="00D650B4">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85122">
              <w:rPr>
                <w:rFonts w:ascii="Calibri" w:hAnsi="Calibri"/>
              </w:rPr>
              <w:t>Francis et al., (2012); O’Toole et al., (1999); Webster et al., (2005)</w:t>
            </w:r>
          </w:p>
        </w:tc>
      </w:tr>
      <w:tr w:rsidR="00F85122" w:rsidRPr="00F85122" w14:paraId="23B75367" w14:textId="77777777" w:rsidTr="00F85122">
        <w:tc>
          <w:tcPr>
            <w:cnfStyle w:val="001000000000" w:firstRow="0" w:lastRow="0" w:firstColumn="1" w:lastColumn="0" w:oddVBand="0" w:evenVBand="0" w:oddHBand="0" w:evenHBand="0" w:firstRowFirstColumn="0" w:firstRowLastColumn="0" w:lastRowFirstColumn="0" w:lastRowLastColumn="0"/>
            <w:tcW w:w="2660" w:type="dxa"/>
          </w:tcPr>
          <w:p w14:paraId="702CDD3E" w14:textId="77777777" w:rsidR="00F85122" w:rsidRPr="00F85122" w:rsidRDefault="00F85122" w:rsidP="00D650B4">
            <w:pPr>
              <w:spacing w:before="0" w:after="60" w:line="276" w:lineRule="auto"/>
              <w:rPr>
                <w:rFonts w:ascii="Calibri" w:hAnsi="Calibri"/>
              </w:rPr>
            </w:pPr>
            <w:r w:rsidRPr="00F85122">
              <w:rPr>
                <w:rFonts w:ascii="Calibri" w:hAnsi="Calibri"/>
              </w:rPr>
              <w:t>Jurisdictional factors</w:t>
            </w:r>
          </w:p>
          <w:p w14:paraId="043090F5" w14:textId="77777777" w:rsidR="00F85122" w:rsidRPr="00F85122" w:rsidRDefault="00F85122" w:rsidP="00D650B4">
            <w:pPr>
              <w:spacing w:before="0" w:after="60" w:line="276" w:lineRule="auto"/>
              <w:rPr>
                <w:rFonts w:ascii="Calibri" w:hAnsi="Calibri"/>
              </w:rPr>
            </w:pPr>
          </w:p>
        </w:tc>
        <w:tc>
          <w:tcPr>
            <w:tcW w:w="3208" w:type="dxa"/>
          </w:tcPr>
          <w:p w14:paraId="5635BD2D"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Wording of reporting law (greater clarity)</w:t>
            </w:r>
          </w:p>
        </w:tc>
        <w:tc>
          <w:tcPr>
            <w:tcW w:w="2250" w:type="dxa"/>
          </w:tcPr>
          <w:p w14:paraId="66A74DB3"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F85122">
              <w:rPr>
                <w:rFonts w:ascii="Calibri" w:hAnsi="Calibri"/>
              </w:rPr>
              <w:t>1</w:t>
            </w:r>
          </w:p>
        </w:tc>
        <w:tc>
          <w:tcPr>
            <w:tcW w:w="6210" w:type="dxa"/>
          </w:tcPr>
          <w:p w14:paraId="3B5CAA83"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proofErr w:type="spellStart"/>
            <w:r w:rsidRPr="00F85122">
              <w:rPr>
                <w:rFonts w:ascii="Calibri" w:hAnsi="Calibri"/>
              </w:rPr>
              <w:t>Brosig</w:t>
            </w:r>
            <w:proofErr w:type="spellEnd"/>
            <w:r w:rsidRPr="00F85122">
              <w:rPr>
                <w:rFonts w:ascii="Calibri" w:hAnsi="Calibri"/>
              </w:rPr>
              <w:t xml:space="preserve"> &amp; </w:t>
            </w:r>
            <w:proofErr w:type="spellStart"/>
            <w:r w:rsidRPr="00F85122">
              <w:rPr>
                <w:rFonts w:ascii="Calibri" w:hAnsi="Calibri"/>
              </w:rPr>
              <w:t>Kalichman</w:t>
            </w:r>
            <w:proofErr w:type="spellEnd"/>
            <w:r w:rsidRPr="00F85122">
              <w:rPr>
                <w:rFonts w:ascii="Calibri" w:hAnsi="Calibri"/>
              </w:rPr>
              <w:t xml:space="preserve"> (1992)</w:t>
            </w:r>
          </w:p>
          <w:p w14:paraId="6D063F4D" w14:textId="77777777" w:rsidR="00F85122" w:rsidRPr="00F85122" w:rsidRDefault="00F85122" w:rsidP="00D650B4">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4B075595" w14:textId="77777777" w:rsidR="00F85122" w:rsidRPr="00F85122" w:rsidRDefault="00F85122" w:rsidP="00F85122">
      <w:pPr>
        <w:rPr>
          <w:rFonts w:ascii="Calibri" w:hAnsi="Calibri"/>
        </w:rPr>
      </w:pPr>
    </w:p>
    <w:p w14:paraId="736B13B0" w14:textId="77777777" w:rsidR="00F85122" w:rsidRPr="00F85122" w:rsidRDefault="00F85122" w:rsidP="00F85122">
      <w:pPr>
        <w:rPr>
          <w:rFonts w:ascii="Calibri" w:hAnsi="Calibri"/>
        </w:rPr>
        <w:sectPr w:rsidR="00F85122" w:rsidRPr="00F85122" w:rsidSect="00D650B4">
          <w:pgSz w:w="16840" w:h="11900" w:orient="landscape"/>
          <w:pgMar w:top="1134" w:right="1418" w:bottom="1134" w:left="1134" w:header="708" w:footer="708" w:gutter="0"/>
          <w:cols w:space="708"/>
          <w:docGrid w:linePitch="360"/>
        </w:sectPr>
      </w:pPr>
    </w:p>
    <w:p w14:paraId="6DDF299E" w14:textId="77777777" w:rsidR="00F85122" w:rsidRPr="00F85122" w:rsidRDefault="00F85122" w:rsidP="00F85122">
      <w:pPr>
        <w:pStyle w:val="Heading5"/>
      </w:pPr>
      <w:bookmarkStart w:id="180" w:name="_Toc399665711"/>
      <w:bookmarkStart w:id="181" w:name="_Toc399667235"/>
      <w:bookmarkStart w:id="182" w:name="_Toc399668977"/>
      <w:bookmarkStart w:id="183" w:name="_Toc399676763"/>
      <w:bookmarkStart w:id="184" w:name="_Toc273951896"/>
      <w:bookmarkStart w:id="185" w:name="_Toc400108205"/>
      <w:bookmarkStart w:id="186" w:name="_Toc400110256"/>
      <w:bookmarkStart w:id="187" w:name="_Toc400110592"/>
      <w:bookmarkStart w:id="188" w:name="_Toc400110703"/>
      <w:r w:rsidRPr="00F85122">
        <w:lastRenderedPageBreak/>
        <w:t>References (literature review 1)</w:t>
      </w:r>
      <w:bookmarkEnd w:id="180"/>
      <w:bookmarkEnd w:id="181"/>
      <w:bookmarkEnd w:id="182"/>
      <w:bookmarkEnd w:id="183"/>
      <w:bookmarkEnd w:id="184"/>
      <w:bookmarkEnd w:id="185"/>
      <w:bookmarkEnd w:id="186"/>
      <w:bookmarkEnd w:id="187"/>
      <w:bookmarkEnd w:id="188"/>
    </w:p>
    <w:p w14:paraId="254C74C8"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Abrahams, N., Casey, K., &amp; </w:t>
      </w:r>
      <w:proofErr w:type="spellStart"/>
      <w:r w:rsidRPr="00F85122">
        <w:rPr>
          <w:rFonts w:ascii="Calibri" w:hAnsi="Calibri" w:cs="Segoe UI"/>
        </w:rPr>
        <w:t>Daro</w:t>
      </w:r>
      <w:proofErr w:type="spellEnd"/>
      <w:r w:rsidRPr="00F85122">
        <w:rPr>
          <w:rFonts w:ascii="Calibri" w:hAnsi="Calibri" w:cs="Segoe UI"/>
        </w:rPr>
        <w:t>, D. (1992).</w:t>
      </w:r>
      <w:proofErr w:type="gramEnd"/>
      <w:r w:rsidRPr="00F85122">
        <w:rPr>
          <w:rFonts w:ascii="Calibri" w:hAnsi="Calibri" w:cs="Segoe UI"/>
        </w:rPr>
        <w:t xml:space="preserve"> </w:t>
      </w:r>
      <w:proofErr w:type="gramStart"/>
      <w:r w:rsidRPr="00F85122">
        <w:rPr>
          <w:rFonts w:ascii="Calibri" w:hAnsi="Calibri" w:cs="Segoe UI"/>
        </w:rPr>
        <w:t>Teachers' knowledge, attitudes, and beliefs about child abuse and its prevention.</w:t>
      </w:r>
      <w:proofErr w:type="gramEnd"/>
      <w:r w:rsidRPr="00F85122">
        <w:rPr>
          <w:rFonts w:ascii="Calibri" w:hAnsi="Calibri" w:cs="Segoe UI"/>
        </w:rPr>
        <w:t xml:space="preserve"> </w:t>
      </w:r>
      <w:r w:rsidRPr="00F85122">
        <w:rPr>
          <w:rFonts w:ascii="Calibri" w:hAnsi="Calibri" w:cs="Segoe UI"/>
          <w:i/>
          <w:iCs/>
        </w:rPr>
        <w:t>Child Abuse &amp; Neglect, 16</w:t>
      </w:r>
      <w:r w:rsidRPr="00F85122">
        <w:rPr>
          <w:rFonts w:ascii="Calibri" w:hAnsi="Calibri" w:cs="Segoe UI"/>
        </w:rPr>
        <w:t>(2), 229-238.</w:t>
      </w:r>
    </w:p>
    <w:p w14:paraId="0128E32B"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Alvarez, K. M., Kenny, M. C., Donohue, B., &amp; </w:t>
      </w:r>
      <w:proofErr w:type="spellStart"/>
      <w:r w:rsidRPr="00F85122">
        <w:rPr>
          <w:rFonts w:ascii="Calibri" w:hAnsi="Calibri" w:cs="Segoe UI"/>
        </w:rPr>
        <w:t>Carpin</w:t>
      </w:r>
      <w:proofErr w:type="spellEnd"/>
      <w:r w:rsidRPr="00F85122">
        <w:rPr>
          <w:rFonts w:ascii="Calibri" w:hAnsi="Calibri" w:cs="Segoe UI"/>
        </w:rPr>
        <w:t>, K. M. (2004).</w:t>
      </w:r>
      <w:proofErr w:type="gramEnd"/>
      <w:r w:rsidRPr="00F85122">
        <w:rPr>
          <w:rFonts w:ascii="Calibri" w:hAnsi="Calibri" w:cs="Segoe UI"/>
        </w:rPr>
        <w:t xml:space="preserve"> Why are professionals failing to initiate mandated reports of child maltreatment, and are there any empirically based training programs to assist professionals in the reporting process? </w:t>
      </w:r>
      <w:r w:rsidRPr="00F85122">
        <w:rPr>
          <w:rFonts w:ascii="Calibri" w:hAnsi="Calibri" w:cs="Segoe UI"/>
          <w:i/>
          <w:iCs/>
        </w:rPr>
        <w:t xml:space="preserve">Aggression and Violent </w:t>
      </w:r>
      <w:proofErr w:type="spellStart"/>
      <w:r w:rsidRPr="00F85122">
        <w:rPr>
          <w:rFonts w:ascii="Calibri" w:hAnsi="Calibri" w:cs="Segoe UI"/>
          <w:i/>
          <w:iCs/>
        </w:rPr>
        <w:t>Behavior</w:t>
      </w:r>
      <w:proofErr w:type="spellEnd"/>
      <w:r w:rsidRPr="00F85122">
        <w:rPr>
          <w:rFonts w:ascii="Calibri" w:hAnsi="Calibri" w:cs="Segoe UI"/>
          <w:i/>
          <w:iCs/>
        </w:rPr>
        <w:t>, 9</w:t>
      </w:r>
      <w:r w:rsidRPr="00F85122">
        <w:rPr>
          <w:rFonts w:ascii="Calibri" w:hAnsi="Calibri" w:cs="Segoe UI"/>
        </w:rPr>
        <w:t>(5), 563-578.</w:t>
      </w:r>
    </w:p>
    <w:p w14:paraId="189F992D"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Ashton, V. (1999).</w:t>
      </w:r>
      <w:proofErr w:type="gramEnd"/>
      <w:r w:rsidRPr="00F85122">
        <w:rPr>
          <w:rFonts w:ascii="Calibri" w:hAnsi="Calibri" w:cs="Segoe UI"/>
        </w:rPr>
        <w:t xml:space="preserve"> Worker judgements of seriousness about and reporting of suspected child maltreatment. </w:t>
      </w:r>
      <w:r w:rsidRPr="00F85122">
        <w:rPr>
          <w:rFonts w:ascii="Calibri" w:hAnsi="Calibri" w:cs="Segoe UI"/>
          <w:i/>
          <w:iCs/>
        </w:rPr>
        <w:t>Child Abuse &amp; Neglect, 23</w:t>
      </w:r>
      <w:r w:rsidRPr="00F85122">
        <w:rPr>
          <w:rFonts w:ascii="Calibri" w:hAnsi="Calibri" w:cs="Segoe UI"/>
        </w:rPr>
        <w:t>(6), 539-548.</w:t>
      </w:r>
    </w:p>
    <w:p w14:paraId="3DC421CD"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r w:rsidRPr="00F85122">
        <w:rPr>
          <w:rFonts w:ascii="Calibri" w:hAnsi="Calibri" w:cs="Segoe UI"/>
        </w:rPr>
        <w:t>Azevedo</w:t>
      </w:r>
      <w:proofErr w:type="spellEnd"/>
      <w:r w:rsidRPr="00F85122">
        <w:rPr>
          <w:rFonts w:ascii="Calibri" w:hAnsi="Calibri" w:cs="Segoe UI"/>
        </w:rPr>
        <w:t xml:space="preserve">, M. S., </w:t>
      </w:r>
      <w:proofErr w:type="spellStart"/>
      <w:r w:rsidRPr="00F85122">
        <w:rPr>
          <w:rFonts w:ascii="Calibri" w:hAnsi="Calibri" w:cs="Segoe UI"/>
        </w:rPr>
        <w:t>Goettems</w:t>
      </w:r>
      <w:proofErr w:type="spellEnd"/>
      <w:r w:rsidRPr="00F85122">
        <w:rPr>
          <w:rFonts w:ascii="Calibri" w:hAnsi="Calibri" w:cs="Segoe UI"/>
        </w:rPr>
        <w:t xml:space="preserve">, M. L., Brito, A., </w:t>
      </w:r>
      <w:proofErr w:type="spellStart"/>
      <w:r w:rsidRPr="00F85122">
        <w:rPr>
          <w:rFonts w:ascii="Calibri" w:hAnsi="Calibri" w:cs="Segoe UI"/>
        </w:rPr>
        <w:t>Possebon</w:t>
      </w:r>
      <w:proofErr w:type="spellEnd"/>
      <w:r w:rsidRPr="00F85122">
        <w:rPr>
          <w:rFonts w:ascii="Calibri" w:hAnsi="Calibri" w:cs="Segoe UI"/>
        </w:rPr>
        <w:t xml:space="preserve">, A. P., </w:t>
      </w:r>
      <w:proofErr w:type="spellStart"/>
      <w:r w:rsidRPr="00F85122">
        <w:rPr>
          <w:rFonts w:ascii="Calibri" w:hAnsi="Calibri" w:cs="Segoe UI"/>
        </w:rPr>
        <w:t>Domingues</w:t>
      </w:r>
      <w:proofErr w:type="spellEnd"/>
      <w:r w:rsidRPr="00F85122">
        <w:rPr>
          <w:rFonts w:ascii="Calibri" w:hAnsi="Calibri" w:cs="Segoe UI"/>
        </w:rPr>
        <w:t xml:space="preserve">, J., Demarco, F. F., &amp; </w:t>
      </w:r>
      <w:proofErr w:type="spellStart"/>
      <w:r w:rsidRPr="00F85122">
        <w:rPr>
          <w:rFonts w:ascii="Calibri" w:hAnsi="Calibri" w:cs="Segoe UI"/>
        </w:rPr>
        <w:t>Torriani</w:t>
      </w:r>
      <w:proofErr w:type="spellEnd"/>
      <w:r w:rsidRPr="00F85122">
        <w:rPr>
          <w:rFonts w:ascii="Calibri" w:hAnsi="Calibri" w:cs="Segoe UI"/>
        </w:rPr>
        <w:t xml:space="preserve">, D. D. (2012). </w:t>
      </w:r>
      <w:proofErr w:type="gramStart"/>
      <w:r w:rsidRPr="00F85122">
        <w:rPr>
          <w:rFonts w:ascii="Calibri" w:hAnsi="Calibri" w:cs="Segoe UI"/>
        </w:rPr>
        <w:t>Child maltreatment: A survey of dentists in southern Brazil.</w:t>
      </w:r>
      <w:proofErr w:type="gramEnd"/>
      <w:r w:rsidRPr="00F85122">
        <w:rPr>
          <w:rFonts w:ascii="Calibri" w:hAnsi="Calibri" w:cs="Segoe UI"/>
        </w:rPr>
        <w:t xml:space="preserve"> </w:t>
      </w:r>
      <w:r w:rsidRPr="00F85122">
        <w:rPr>
          <w:rFonts w:ascii="Calibri" w:hAnsi="Calibri" w:cs="Segoe UI"/>
          <w:i/>
          <w:iCs/>
        </w:rPr>
        <w:t>Brazilian Oral Research, 26</w:t>
      </w:r>
      <w:r w:rsidRPr="00F85122">
        <w:rPr>
          <w:rFonts w:ascii="Calibri" w:hAnsi="Calibri" w:cs="Segoe UI"/>
        </w:rPr>
        <w:t>(1), 5-11.</w:t>
      </w:r>
    </w:p>
    <w:p w14:paraId="28517B45"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Badger, L. W. (1989).</w:t>
      </w:r>
      <w:proofErr w:type="gramEnd"/>
      <w:r w:rsidRPr="00F85122">
        <w:rPr>
          <w:rFonts w:ascii="Calibri" w:hAnsi="Calibri" w:cs="Segoe UI"/>
        </w:rPr>
        <w:t xml:space="preserve"> Reporting of child abuse: Influence of characteristics of physician, practice, and community. </w:t>
      </w:r>
      <w:r w:rsidRPr="00F85122">
        <w:rPr>
          <w:rFonts w:ascii="Calibri" w:hAnsi="Calibri" w:cs="Segoe UI"/>
          <w:i/>
          <w:iCs/>
        </w:rPr>
        <w:t>Southern Medical Journal, 82</w:t>
      </w:r>
      <w:r w:rsidRPr="00F85122">
        <w:rPr>
          <w:rFonts w:ascii="Calibri" w:hAnsi="Calibri" w:cs="Segoe UI"/>
        </w:rPr>
        <w:t>(3), 281-286.</w:t>
      </w:r>
    </w:p>
    <w:p w14:paraId="58F2D44A"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Beck, K. A., &amp; </w:t>
      </w:r>
      <w:proofErr w:type="spellStart"/>
      <w:r w:rsidRPr="00F85122">
        <w:rPr>
          <w:rFonts w:ascii="Calibri" w:hAnsi="Calibri" w:cs="Segoe UI"/>
        </w:rPr>
        <w:t>Ogloff</w:t>
      </w:r>
      <w:proofErr w:type="spellEnd"/>
      <w:r w:rsidRPr="00F85122">
        <w:rPr>
          <w:rFonts w:ascii="Calibri" w:hAnsi="Calibri" w:cs="Segoe UI"/>
        </w:rPr>
        <w:t>, J. R. (1995).</w:t>
      </w:r>
      <w:proofErr w:type="gramEnd"/>
      <w:r w:rsidRPr="00F85122">
        <w:rPr>
          <w:rFonts w:ascii="Calibri" w:hAnsi="Calibri" w:cs="Segoe UI"/>
        </w:rPr>
        <w:t xml:space="preserve"> </w:t>
      </w:r>
      <w:proofErr w:type="gramStart"/>
      <w:r w:rsidRPr="00F85122">
        <w:rPr>
          <w:rFonts w:ascii="Calibri" w:hAnsi="Calibri" w:cs="Segoe UI"/>
        </w:rPr>
        <w:t>Child abuse reporting in British Columbia: Psychologists' knowledge of and compliance with the reporting law.</w:t>
      </w:r>
      <w:proofErr w:type="gramEnd"/>
      <w:r w:rsidRPr="00F85122">
        <w:rPr>
          <w:rFonts w:ascii="Calibri" w:hAnsi="Calibri" w:cs="Segoe UI"/>
        </w:rPr>
        <w:t xml:space="preserve"> </w:t>
      </w:r>
      <w:proofErr w:type="gramStart"/>
      <w:r w:rsidRPr="00F85122">
        <w:rPr>
          <w:rFonts w:ascii="Calibri" w:hAnsi="Calibri" w:cs="Segoe UI"/>
          <w:i/>
          <w:iCs/>
        </w:rPr>
        <w:t>Professional Psychology: Research and Practice, 26</w:t>
      </w:r>
      <w:r w:rsidRPr="00F85122">
        <w:rPr>
          <w:rFonts w:ascii="Calibri" w:hAnsi="Calibri" w:cs="Segoe UI"/>
        </w:rPr>
        <w:t>(3), 245.</w:t>
      </w:r>
      <w:proofErr w:type="gramEnd"/>
    </w:p>
    <w:p w14:paraId="76C70CFF"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Beck, K. A., </w:t>
      </w:r>
      <w:proofErr w:type="spellStart"/>
      <w:r w:rsidRPr="00F85122">
        <w:rPr>
          <w:rFonts w:ascii="Calibri" w:hAnsi="Calibri" w:cs="Segoe UI"/>
        </w:rPr>
        <w:t>Ogloff</w:t>
      </w:r>
      <w:proofErr w:type="spellEnd"/>
      <w:r w:rsidRPr="00F85122">
        <w:rPr>
          <w:rFonts w:ascii="Calibri" w:hAnsi="Calibri" w:cs="Segoe UI"/>
        </w:rPr>
        <w:t xml:space="preserve">, J. R., &amp; </w:t>
      </w:r>
      <w:proofErr w:type="spellStart"/>
      <w:r w:rsidRPr="00F85122">
        <w:rPr>
          <w:rFonts w:ascii="Calibri" w:hAnsi="Calibri" w:cs="Segoe UI"/>
        </w:rPr>
        <w:t>Corbishley</w:t>
      </w:r>
      <w:proofErr w:type="spellEnd"/>
      <w:r w:rsidRPr="00F85122">
        <w:rPr>
          <w:rFonts w:ascii="Calibri" w:hAnsi="Calibri" w:cs="Segoe UI"/>
        </w:rPr>
        <w:t>, A. (1994).</w:t>
      </w:r>
      <w:proofErr w:type="gramEnd"/>
      <w:r w:rsidRPr="00F85122">
        <w:rPr>
          <w:rFonts w:ascii="Calibri" w:hAnsi="Calibri" w:cs="Segoe UI"/>
        </w:rPr>
        <w:t xml:space="preserve"> Knowledge, compliance, and attitudes of teachers toward mandatory child abuse reporting in British Columbia. </w:t>
      </w:r>
      <w:proofErr w:type="gramStart"/>
      <w:r w:rsidRPr="00F85122">
        <w:rPr>
          <w:rFonts w:ascii="Calibri" w:hAnsi="Calibri" w:cs="Segoe UI"/>
          <w:i/>
          <w:iCs/>
        </w:rPr>
        <w:t>Canadian Journal of Education, 19</w:t>
      </w:r>
      <w:r w:rsidRPr="00F85122">
        <w:rPr>
          <w:rFonts w:ascii="Calibri" w:hAnsi="Calibri" w:cs="Segoe UI"/>
        </w:rPr>
        <w:t>(1), 15.</w:t>
      </w:r>
      <w:proofErr w:type="gramEnd"/>
    </w:p>
    <w:p w14:paraId="4D4A84FA"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Ben </w:t>
      </w:r>
      <w:proofErr w:type="spellStart"/>
      <w:r w:rsidRPr="00F85122">
        <w:rPr>
          <w:rFonts w:ascii="Calibri" w:hAnsi="Calibri" w:cs="Segoe UI"/>
        </w:rPr>
        <w:t>Natan</w:t>
      </w:r>
      <w:proofErr w:type="spellEnd"/>
      <w:r w:rsidRPr="00F85122">
        <w:rPr>
          <w:rFonts w:ascii="Calibri" w:hAnsi="Calibri" w:cs="Segoe UI"/>
        </w:rPr>
        <w:t xml:space="preserve">, M., </w:t>
      </w:r>
      <w:proofErr w:type="spellStart"/>
      <w:r w:rsidRPr="00F85122">
        <w:rPr>
          <w:rFonts w:ascii="Calibri" w:hAnsi="Calibri" w:cs="Segoe UI"/>
        </w:rPr>
        <w:t>Faour</w:t>
      </w:r>
      <w:proofErr w:type="spellEnd"/>
      <w:r w:rsidRPr="00F85122">
        <w:rPr>
          <w:rFonts w:ascii="Calibri" w:hAnsi="Calibri" w:cs="Segoe UI"/>
        </w:rPr>
        <w:t xml:space="preserve">, C., </w:t>
      </w:r>
      <w:proofErr w:type="spellStart"/>
      <w:r w:rsidRPr="00F85122">
        <w:rPr>
          <w:rFonts w:ascii="Calibri" w:hAnsi="Calibri" w:cs="Segoe UI"/>
        </w:rPr>
        <w:t>Naamhah</w:t>
      </w:r>
      <w:proofErr w:type="spellEnd"/>
      <w:r w:rsidRPr="00F85122">
        <w:rPr>
          <w:rFonts w:ascii="Calibri" w:hAnsi="Calibri" w:cs="Segoe UI"/>
        </w:rPr>
        <w:t xml:space="preserve">, S., </w:t>
      </w:r>
      <w:proofErr w:type="spellStart"/>
      <w:r w:rsidRPr="00F85122">
        <w:rPr>
          <w:rFonts w:ascii="Calibri" w:hAnsi="Calibri" w:cs="Segoe UI"/>
        </w:rPr>
        <w:t>Grinberg</w:t>
      </w:r>
      <w:proofErr w:type="spellEnd"/>
      <w:r w:rsidRPr="00F85122">
        <w:rPr>
          <w:rFonts w:ascii="Calibri" w:hAnsi="Calibri" w:cs="Segoe UI"/>
        </w:rPr>
        <w:t>, K., &amp; Klein-Kremer, A. (2012).</w:t>
      </w:r>
      <w:proofErr w:type="gramEnd"/>
      <w:r w:rsidRPr="00F85122">
        <w:rPr>
          <w:rFonts w:ascii="Calibri" w:hAnsi="Calibri" w:cs="Segoe UI"/>
        </w:rPr>
        <w:t xml:space="preserve"> </w:t>
      </w:r>
      <w:proofErr w:type="gramStart"/>
      <w:r w:rsidRPr="00F85122">
        <w:rPr>
          <w:rFonts w:ascii="Calibri" w:hAnsi="Calibri" w:cs="Segoe UI"/>
        </w:rPr>
        <w:t>Factors affecting medical and nursing staff reporting of child abuse.</w:t>
      </w:r>
      <w:proofErr w:type="gramEnd"/>
      <w:r w:rsidRPr="00F85122">
        <w:rPr>
          <w:rFonts w:ascii="Calibri" w:hAnsi="Calibri" w:cs="Segoe UI"/>
        </w:rPr>
        <w:t xml:space="preserve"> </w:t>
      </w:r>
      <w:r w:rsidRPr="00F85122">
        <w:rPr>
          <w:rFonts w:ascii="Calibri" w:hAnsi="Calibri" w:cs="Segoe UI"/>
          <w:i/>
          <w:iCs/>
        </w:rPr>
        <w:t>International Nursing Review, 59</w:t>
      </w:r>
      <w:r w:rsidRPr="00F85122">
        <w:rPr>
          <w:rFonts w:ascii="Calibri" w:hAnsi="Calibri" w:cs="Segoe UI"/>
        </w:rPr>
        <w:t>(3), 331-337.</w:t>
      </w:r>
    </w:p>
    <w:p w14:paraId="3EDC4BDA"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r w:rsidRPr="00F85122">
        <w:rPr>
          <w:rFonts w:ascii="Calibri" w:hAnsi="Calibri" w:cs="Segoe UI"/>
        </w:rPr>
        <w:t>Blaskett</w:t>
      </w:r>
      <w:proofErr w:type="spellEnd"/>
      <w:r w:rsidRPr="00F85122">
        <w:rPr>
          <w:rFonts w:ascii="Calibri" w:hAnsi="Calibri" w:cs="Segoe UI"/>
        </w:rPr>
        <w:t xml:space="preserve">, B., &amp; Taylor, S. (2003). </w:t>
      </w:r>
      <w:r w:rsidRPr="00F85122">
        <w:rPr>
          <w:rFonts w:ascii="Calibri" w:hAnsi="Calibri" w:cs="Segoe UI"/>
          <w:i/>
        </w:rPr>
        <w:t>Facilitators and inhibitors of mandatory reporting of suspected child abuse</w:t>
      </w:r>
      <w:r w:rsidRPr="00F85122">
        <w:rPr>
          <w:rFonts w:ascii="Calibri" w:hAnsi="Calibri" w:cs="Segoe UI"/>
        </w:rPr>
        <w:t>. Retrieved from http://crg.aic.gov.au/reports/200102-09.html</w:t>
      </w:r>
    </w:p>
    <w:p w14:paraId="2456CCA7"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Borres</w:t>
      </w:r>
      <w:proofErr w:type="spellEnd"/>
      <w:r w:rsidRPr="00F85122">
        <w:rPr>
          <w:rFonts w:ascii="Calibri" w:hAnsi="Calibri" w:cs="Segoe UI"/>
        </w:rPr>
        <w:t xml:space="preserve">, M. P., &amp; </w:t>
      </w:r>
      <w:proofErr w:type="spellStart"/>
      <w:r w:rsidRPr="00F85122">
        <w:rPr>
          <w:rFonts w:ascii="Calibri" w:hAnsi="Calibri" w:cs="Segoe UI"/>
        </w:rPr>
        <w:t>Hägg</w:t>
      </w:r>
      <w:proofErr w:type="spellEnd"/>
      <w:r w:rsidRPr="00F85122">
        <w:rPr>
          <w:rFonts w:ascii="Calibri" w:hAnsi="Calibri" w:cs="Segoe UI"/>
        </w:rPr>
        <w:t>, A. (2007).</w:t>
      </w:r>
      <w:proofErr w:type="gramEnd"/>
      <w:r w:rsidRPr="00F85122">
        <w:rPr>
          <w:rFonts w:ascii="Calibri" w:hAnsi="Calibri" w:cs="Segoe UI"/>
        </w:rPr>
        <w:t xml:space="preserve"> Child abuse study among Swedish physicians and medical students. </w:t>
      </w:r>
      <w:proofErr w:type="spellStart"/>
      <w:r w:rsidRPr="00F85122">
        <w:rPr>
          <w:rFonts w:ascii="Calibri" w:hAnsi="Calibri" w:cs="Segoe UI"/>
          <w:i/>
          <w:iCs/>
        </w:rPr>
        <w:t>Pediatrics</w:t>
      </w:r>
      <w:proofErr w:type="spellEnd"/>
      <w:r w:rsidRPr="00F85122">
        <w:rPr>
          <w:rFonts w:ascii="Calibri" w:hAnsi="Calibri" w:cs="Segoe UI"/>
          <w:i/>
          <w:iCs/>
        </w:rPr>
        <w:t xml:space="preserve"> International, 49</w:t>
      </w:r>
      <w:r w:rsidRPr="00F85122">
        <w:rPr>
          <w:rFonts w:ascii="Calibri" w:hAnsi="Calibri" w:cs="Segoe UI"/>
        </w:rPr>
        <w:t>(2), 177-182.</w:t>
      </w:r>
    </w:p>
    <w:p w14:paraId="30F5F012"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Brosig</w:t>
      </w:r>
      <w:proofErr w:type="spellEnd"/>
      <w:r w:rsidRPr="00F85122">
        <w:rPr>
          <w:rFonts w:ascii="Calibri" w:hAnsi="Calibri" w:cs="Segoe UI"/>
        </w:rPr>
        <w:t xml:space="preserve">, C. L., &amp; </w:t>
      </w:r>
      <w:proofErr w:type="spellStart"/>
      <w:r w:rsidRPr="00F85122">
        <w:rPr>
          <w:rFonts w:ascii="Calibri" w:hAnsi="Calibri" w:cs="Segoe UI"/>
        </w:rPr>
        <w:t>Kalichman</w:t>
      </w:r>
      <w:proofErr w:type="spellEnd"/>
      <w:r w:rsidRPr="00F85122">
        <w:rPr>
          <w:rFonts w:ascii="Calibri" w:hAnsi="Calibri" w:cs="Segoe UI"/>
        </w:rPr>
        <w:t>, S. C. (1992).</w:t>
      </w:r>
      <w:proofErr w:type="gramEnd"/>
      <w:r w:rsidRPr="00F85122">
        <w:rPr>
          <w:rFonts w:ascii="Calibri" w:hAnsi="Calibri" w:cs="Segoe UI"/>
        </w:rPr>
        <w:t xml:space="preserve"> </w:t>
      </w:r>
      <w:proofErr w:type="gramStart"/>
      <w:r w:rsidRPr="00F85122">
        <w:rPr>
          <w:rFonts w:ascii="Calibri" w:hAnsi="Calibri" w:cs="Segoe UI"/>
        </w:rPr>
        <w:t>Child abuse reporting decisions: Effects of statutory wording of reporting requirements.</w:t>
      </w:r>
      <w:proofErr w:type="gramEnd"/>
      <w:r w:rsidRPr="00F85122">
        <w:rPr>
          <w:rFonts w:ascii="Calibri" w:hAnsi="Calibri" w:cs="Segoe UI"/>
        </w:rPr>
        <w:t xml:space="preserve"> </w:t>
      </w:r>
      <w:r w:rsidRPr="00F85122">
        <w:rPr>
          <w:rFonts w:ascii="Calibri" w:hAnsi="Calibri" w:cs="Segoe UI"/>
          <w:i/>
          <w:iCs/>
        </w:rPr>
        <w:t>Professional Psychology: Research and Practice, 23</w:t>
      </w:r>
      <w:r w:rsidRPr="00F85122">
        <w:rPr>
          <w:rFonts w:ascii="Calibri" w:hAnsi="Calibri" w:cs="Segoe UI"/>
        </w:rPr>
        <w:t>(6), 486-492.</w:t>
      </w:r>
    </w:p>
    <w:p w14:paraId="6607AE5D"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Brosig</w:t>
      </w:r>
      <w:proofErr w:type="spellEnd"/>
      <w:r w:rsidRPr="00F85122">
        <w:rPr>
          <w:rFonts w:ascii="Calibri" w:hAnsi="Calibri" w:cs="Segoe UI"/>
        </w:rPr>
        <w:t xml:space="preserve">, C. L., &amp; </w:t>
      </w:r>
      <w:proofErr w:type="spellStart"/>
      <w:r w:rsidRPr="00F85122">
        <w:rPr>
          <w:rFonts w:ascii="Calibri" w:hAnsi="Calibri" w:cs="Segoe UI"/>
        </w:rPr>
        <w:t>Kalichman</w:t>
      </w:r>
      <w:proofErr w:type="spellEnd"/>
      <w:r w:rsidRPr="00F85122">
        <w:rPr>
          <w:rFonts w:ascii="Calibri" w:hAnsi="Calibri" w:cs="Segoe UI"/>
        </w:rPr>
        <w:t>, S. C. (1992).</w:t>
      </w:r>
      <w:proofErr w:type="gramEnd"/>
      <w:r w:rsidRPr="00F85122">
        <w:rPr>
          <w:rFonts w:ascii="Calibri" w:hAnsi="Calibri" w:cs="Segoe UI"/>
        </w:rPr>
        <w:t xml:space="preserve"> </w:t>
      </w:r>
      <w:proofErr w:type="gramStart"/>
      <w:r w:rsidRPr="00F85122">
        <w:rPr>
          <w:rFonts w:ascii="Calibri" w:hAnsi="Calibri" w:cs="Segoe UI"/>
        </w:rPr>
        <w:t>Clinicians' reporting of suspected child abuse: A review of the empirical literature.</w:t>
      </w:r>
      <w:proofErr w:type="gramEnd"/>
      <w:r w:rsidRPr="00F85122">
        <w:rPr>
          <w:rFonts w:ascii="Calibri" w:hAnsi="Calibri" w:cs="Segoe UI"/>
        </w:rPr>
        <w:t xml:space="preserve"> </w:t>
      </w:r>
      <w:r w:rsidRPr="00F85122">
        <w:rPr>
          <w:rFonts w:ascii="Calibri" w:hAnsi="Calibri" w:cs="Segoe UI"/>
          <w:i/>
          <w:iCs/>
        </w:rPr>
        <w:t>Clinical Psychology Review, 12</w:t>
      </w:r>
      <w:r w:rsidRPr="00F85122">
        <w:rPr>
          <w:rFonts w:ascii="Calibri" w:hAnsi="Calibri" w:cs="Segoe UI"/>
        </w:rPr>
        <w:t>(2), 155-168.</w:t>
      </w:r>
    </w:p>
    <w:p w14:paraId="4FB91F18"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Bryant, J., &amp; </w:t>
      </w:r>
      <w:proofErr w:type="spellStart"/>
      <w:r w:rsidRPr="00F85122">
        <w:rPr>
          <w:rFonts w:ascii="Calibri" w:hAnsi="Calibri" w:cs="Segoe UI"/>
        </w:rPr>
        <w:t>Milsom</w:t>
      </w:r>
      <w:proofErr w:type="spellEnd"/>
      <w:r w:rsidRPr="00F85122">
        <w:rPr>
          <w:rFonts w:ascii="Calibri" w:hAnsi="Calibri" w:cs="Segoe UI"/>
        </w:rPr>
        <w:t>, A. (2005).</w:t>
      </w:r>
      <w:proofErr w:type="gramEnd"/>
      <w:r w:rsidRPr="00F85122">
        <w:rPr>
          <w:rFonts w:ascii="Calibri" w:hAnsi="Calibri" w:cs="Segoe UI"/>
        </w:rPr>
        <w:t xml:space="preserve"> </w:t>
      </w:r>
      <w:proofErr w:type="gramStart"/>
      <w:r w:rsidRPr="00F85122">
        <w:rPr>
          <w:rFonts w:ascii="Calibri" w:hAnsi="Calibri" w:cs="Segoe UI"/>
        </w:rPr>
        <w:t xml:space="preserve">Child abuse reporting by school </w:t>
      </w:r>
      <w:proofErr w:type="spellStart"/>
      <w:r w:rsidRPr="00F85122">
        <w:rPr>
          <w:rFonts w:ascii="Calibri" w:hAnsi="Calibri" w:cs="Segoe UI"/>
        </w:rPr>
        <w:t>counselors</w:t>
      </w:r>
      <w:proofErr w:type="spellEnd"/>
      <w:r w:rsidRPr="00F85122">
        <w:rPr>
          <w:rFonts w:ascii="Calibri" w:hAnsi="Calibri" w:cs="Segoe UI"/>
        </w:rPr>
        <w:t>.</w:t>
      </w:r>
      <w:proofErr w:type="gramEnd"/>
      <w:r w:rsidRPr="00F85122">
        <w:rPr>
          <w:rFonts w:ascii="Calibri" w:hAnsi="Calibri" w:cs="Segoe UI"/>
        </w:rPr>
        <w:t xml:space="preserve"> </w:t>
      </w:r>
      <w:proofErr w:type="gramStart"/>
      <w:r w:rsidRPr="00F85122">
        <w:rPr>
          <w:rFonts w:ascii="Calibri" w:hAnsi="Calibri" w:cs="Segoe UI"/>
          <w:i/>
          <w:iCs/>
        </w:rPr>
        <w:t xml:space="preserve">Professional School </w:t>
      </w:r>
      <w:proofErr w:type="spellStart"/>
      <w:r w:rsidRPr="00F85122">
        <w:rPr>
          <w:rFonts w:ascii="Calibri" w:hAnsi="Calibri" w:cs="Segoe UI"/>
          <w:i/>
          <w:iCs/>
        </w:rPr>
        <w:t>Counseling</w:t>
      </w:r>
      <w:proofErr w:type="spellEnd"/>
      <w:r w:rsidRPr="00F85122">
        <w:rPr>
          <w:rFonts w:ascii="Calibri" w:hAnsi="Calibri" w:cs="Segoe UI"/>
          <w:i/>
          <w:iCs/>
        </w:rPr>
        <w:t>, 9</w:t>
      </w:r>
      <w:r w:rsidRPr="00F85122">
        <w:rPr>
          <w:rFonts w:ascii="Calibri" w:hAnsi="Calibri" w:cs="Segoe UI"/>
        </w:rPr>
        <w:t>(1), 63.</w:t>
      </w:r>
      <w:proofErr w:type="gramEnd"/>
    </w:p>
    <w:p w14:paraId="0BEAB87C"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lastRenderedPageBreak/>
        <w:t xml:space="preserve">Bryant, J. K. (2009). School </w:t>
      </w:r>
      <w:proofErr w:type="spellStart"/>
      <w:r w:rsidRPr="00F85122">
        <w:rPr>
          <w:rFonts w:ascii="Calibri" w:hAnsi="Calibri" w:cs="Segoe UI"/>
        </w:rPr>
        <w:t>counselors</w:t>
      </w:r>
      <w:proofErr w:type="spellEnd"/>
      <w:r w:rsidRPr="00F85122">
        <w:rPr>
          <w:rFonts w:ascii="Calibri" w:hAnsi="Calibri" w:cs="Segoe UI"/>
        </w:rPr>
        <w:t xml:space="preserve"> and child abuse reporting: A national survey. </w:t>
      </w:r>
      <w:r w:rsidRPr="00F85122">
        <w:rPr>
          <w:rFonts w:ascii="Calibri" w:hAnsi="Calibri" w:cs="Segoe UI"/>
          <w:i/>
          <w:iCs/>
        </w:rPr>
        <w:t xml:space="preserve">Professional School </w:t>
      </w:r>
      <w:proofErr w:type="spellStart"/>
      <w:r w:rsidRPr="00F85122">
        <w:rPr>
          <w:rFonts w:ascii="Calibri" w:hAnsi="Calibri" w:cs="Segoe UI"/>
          <w:i/>
          <w:iCs/>
        </w:rPr>
        <w:t>Counseling</w:t>
      </w:r>
      <w:proofErr w:type="spellEnd"/>
      <w:r w:rsidRPr="00F85122">
        <w:rPr>
          <w:rFonts w:ascii="Calibri" w:hAnsi="Calibri" w:cs="Segoe UI"/>
          <w:i/>
          <w:iCs/>
        </w:rPr>
        <w:t>, 12</w:t>
      </w:r>
      <w:r w:rsidRPr="00F85122">
        <w:rPr>
          <w:rFonts w:ascii="Calibri" w:hAnsi="Calibri" w:cs="Segoe UI"/>
        </w:rPr>
        <w:t>(5), 333-342.</w:t>
      </w:r>
    </w:p>
    <w:p w14:paraId="46B41B94"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Crenshaw, W. B., Crenshaw, L. M., &amp; Lichtenberg, J. W. (1995).</w:t>
      </w:r>
      <w:proofErr w:type="gramEnd"/>
      <w:r w:rsidRPr="00F85122">
        <w:rPr>
          <w:rFonts w:ascii="Calibri" w:hAnsi="Calibri" w:cs="Segoe UI"/>
        </w:rPr>
        <w:t xml:space="preserve"> </w:t>
      </w:r>
      <w:proofErr w:type="gramStart"/>
      <w:r w:rsidRPr="00F85122">
        <w:rPr>
          <w:rFonts w:ascii="Calibri" w:hAnsi="Calibri" w:cs="Segoe UI"/>
        </w:rPr>
        <w:t>When educators confront child abuse: An analysis of the decision to report.</w:t>
      </w:r>
      <w:proofErr w:type="gramEnd"/>
      <w:r w:rsidRPr="00F85122">
        <w:rPr>
          <w:rFonts w:ascii="Calibri" w:hAnsi="Calibri" w:cs="Segoe UI"/>
        </w:rPr>
        <w:t xml:space="preserve"> </w:t>
      </w:r>
      <w:r w:rsidRPr="00F85122">
        <w:rPr>
          <w:rFonts w:ascii="Calibri" w:hAnsi="Calibri" w:cs="Segoe UI"/>
          <w:i/>
          <w:iCs/>
        </w:rPr>
        <w:t>Child Abuse &amp; Neglect, 19</w:t>
      </w:r>
      <w:r w:rsidRPr="00F85122">
        <w:rPr>
          <w:rFonts w:ascii="Calibri" w:hAnsi="Calibri" w:cs="Segoe UI"/>
        </w:rPr>
        <w:t>(9), 1095-1113.</w:t>
      </w:r>
    </w:p>
    <w:p w14:paraId="0692CEE4"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Crenshaw, W. B., Lichtenberg, J. W., &amp; Bartell, P. A. (1994).</w:t>
      </w:r>
      <w:proofErr w:type="gramEnd"/>
      <w:r w:rsidRPr="00F85122">
        <w:rPr>
          <w:rFonts w:ascii="Calibri" w:hAnsi="Calibri" w:cs="Segoe UI"/>
        </w:rPr>
        <w:t xml:space="preserve"> </w:t>
      </w:r>
      <w:proofErr w:type="gramStart"/>
      <w:r w:rsidRPr="00F85122">
        <w:rPr>
          <w:rFonts w:ascii="Calibri" w:hAnsi="Calibri" w:cs="Segoe UI"/>
        </w:rPr>
        <w:t>Mental health providers and child sexual abuse: A multivariate analysis of the decision to report.</w:t>
      </w:r>
      <w:proofErr w:type="gramEnd"/>
      <w:r w:rsidRPr="00F85122">
        <w:rPr>
          <w:rFonts w:ascii="Calibri" w:hAnsi="Calibri" w:cs="Segoe UI"/>
        </w:rPr>
        <w:t xml:space="preserve"> </w:t>
      </w:r>
      <w:r w:rsidRPr="00F85122">
        <w:rPr>
          <w:rFonts w:ascii="Calibri" w:hAnsi="Calibri" w:cs="Segoe UI"/>
          <w:i/>
          <w:iCs/>
        </w:rPr>
        <w:t>Journal of Child Sexual Abuse, 2</w:t>
      </w:r>
      <w:r w:rsidRPr="00F85122">
        <w:rPr>
          <w:rFonts w:ascii="Calibri" w:hAnsi="Calibri" w:cs="Segoe UI"/>
        </w:rPr>
        <w:t>(4), 19-42.</w:t>
      </w:r>
    </w:p>
    <w:p w14:paraId="4917B74D" w14:textId="77777777" w:rsidR="00F85122" w:rsidRPr="00F85122" w:rsidRDefault="00F85122" w:rsidP="00F85122">
      <w:pPr>
        <w:spacing w:after="60"/>
        <w:ind w:left="720" w:hanging="720"/>
        <w:rPr>
          <w:rFonts w:ascii="Calibri" w:hAnsi="Calibri"/>
        </w:rPr>
      </w:pPr>
      <w:proofErr w:type="gramStart"/>
      <w:r w:rsidRPr="00F85122">
        <w:rPr>
          <w:rFonts w:ascii="Calibri" w:hAnsi="Calibri"/>
        </w:rPr>
        <w:t>Crowell, K., &amp; Levi, B. H. (2012).</w:t>
      </w:r>
      <w:proofErr w:type="gramEnd"/>
      <w:r w:rsidRPr="00F85122">
        <w:rPr>
          <w:rFonts w:ascii="Calibri" w:hAnsi="Calibri"/>
        </w:rPr>
        <w:t xml:space="preserve"> </w:t>
      </w:r>
      <w:proofErr w:type="gramStart"/>
      <w:r w:rsidRPr="00F85122">
        <w:rPr>
          <w:rFonts w:ascii="Calibri" w:hAnsi="Calibri"/>
        </w:rPr>
        <w:t>Mandated reporting thresholds for community professionals.</w:t>
      </w:r>
      <w:proofErr w:type="gramEnd"/>
      <w:r w:rsidRPr="00F85122">
        <w:rPr>
          <w:rFonts w:ascii="Calibri" w:hAnsi="Calibri"/>
        </w:rPr>
        <w:t xml:space="preserve"> </w:t>
      </w:r>
      <w:r w:rsidRPr="00F85122">
        <w:rPr>
          <w:rFonts w:ascii="Calibri" w:hAnsi="Calibri"/>
          <w:i/>
        </w:rPr>
        <w:t>Child Welfare</w:t>
      </w:r>
      <w:r w:rsidRPr="00F85122">
        <w:rPr>
          <w:rFonts w:ascii="Calibri" w:hAnsi="Calibri"/>
        </w:rPr>
        <w:t xml:space="preserve">, </w:t>
      </w:r>
      <w:r w:rsidRPr="00F85122">
        <w:rPr>
          <w:rFonts w:ascii="Calibri" w:hAnsi="Calibri"/>
          <w:i/>
        </w:rPr>
        <w:t>91</w:t>
      </w:r>
      <w:r w:rsidRPr="00F85122">
        <w:rPr>
          <w:rFonts w:ascii="Calibri" w:hAnsi="Calibri"/>
        </w:rPr>
        <w:t>(1), 35-53.</w:t>
      </w:r>
    </w:p>
    <w:p w14:paraId="2DDFE0D6"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r w:rsidRPr="00F85122">
        <w:rPr>
          <w:rFonts w:ascii="Calibri" w:hAnsi="Calibri" w:cs="Segoe UI"/>
        </w:rPr>
        <w:t>Davidov</w:t>
      </w:r>
      <w:proofErr w:type="spellEnd"/>
      <w:r w:rsidRPr="00F85122">
        <w:rPr>
          <w:rFonts w:ascii="Calibri" w:hAnsi="Calibri" w:cs="Segoe UI"/>
        </w:rPr>
        <w:t xml:space="preserve">, D. M., </w:t>
      </w:r>
      <w:proofErr w:type="spellStart"/>
      <w:r w:rsidRPr="00F85122">
        <w:rPr>
          <w:rFonts w:ascii="Calibri" w:hAnsi="Calibri" w:cs="Segoe UI"/>
        </w:rPr>
        <w:t>Nadorff</w:t>
      </w:r>
      <w:proofErr w:type="spellEnd"/>
      <w:r w:rsidRPr="00F85122">
        <w:rPr>
          <w:rFonts w:ascii="Calibri" w:hAnsi="Calibri" w:cs="Segoe UI"/>
        </w:rPr>
        <w:t xml:space="preserve">, M. R., Jack, S. M., &amp; </w:t>
      </w:r>
      <w:proofErr w:type="spellStart"/>
      <w:r w:rsidRPr="00F85122">
        <w:rPr>
          <w:rFonts w:ascii="Calibri" w:hAnsi="Calibri" w:cs="Segoe UI"/>
        </w:rPr>
        <w:t>Coben</w:t>
      </w:r>
      <w:proofErr w:type="spellEnd"/>
      <w:r w:rsidRPr="00F85122">
        <w:rPr>
          <w:rFonts w:ascii="Calibri" w:hAnsi="Calibri" w:cs="Segoe UI"/>
        </w:rPr>
        <w:t xml:space="preserve">, J. H. (2012). </w:t>
      </w:r>
      <w:proofErr w:type="gramStart"/>
      <w:r w:rsidRPr="00F85122">
        <w:rPr>
          <w:rFonts w:ascii="Calibri" w:hAnsi="Calibri" w:cs="Segoe UI"/>
        </w:rPr>
        <w:t>Nurse home visitors' perspectives of mandatory reporting of children's exposure to intimate partner violence to child protection agencies.</w:t>
      </w:r>
      <w:proofErr w:type="gramEnd"/>
      <w:r w:rsidRPr="00F85122">
        <w:rPr>
          <w:rFonts w:ascii="Calibri" w:hAnsi="Calibri" w:cs="Segoe UI"/>
        </w:rPr>
        <w:t xml:space="preserve"> </w:t>
      </w:r>
      <w:r w:rsidRPr="00F85122">
        <w:rPr>
          <w:rFonts w:ascii="Calibri" w:hAnsi="Calibri" w:cs="Segoe UI"/>
          <w:i/>
          <w:iCs/>
        </w:rPr>
        <w:t>Public Health Nursing, 29</w:t>
      </w:r>
      <w:r w:rsidRPr="00F85122">
        <w:rPr>
          <w:rFonts w:ascii="Calibri" w:hAnsi="Calibri" w:cs="Segoe UI"/>
        </w:rPr>
        <w:t>(5), 412-423.</w:t>
      </w:r>
    </w:p>
    <w:p w14:paraId="00C13FBF"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Egu</w:t>
      </w:r>
      <w:proofErr w:type="spellEnd"/>
      <w:r w:rsidRPr="00F85122">
        <w:rPr>
          <w:rFonts w:ascii="Calibri" w:hAnsi="Calibri" w:cs="Segoe UI"/>
        </w:rPr>
        <w:t>, C. L., &amp; Weiss, D. J. (2003).</w:t>
      </w:r>
      <w:proofErr w:type="gramEnd"/>
      <w:r w:rsidRPr="00F85122">
        <w:rPr>
          <w:rFonts w:ascii="Calibri" w:hAnsi="Calibri" w:cs="Segoe UI"/>
        </w:rPr>
        <w:t xml:space="preserve"> </w:t>
      </w:r>
      <w:proofErr w:type="gramStart"/>
      <w:r w:rsidRPr="00F85122">
        <w:rPr>
          <w:rFonts w:ascii="Calibri" w:hAnsi="Calibri" w:cs="Segoe UI"/>
        </w:rPr>
        <w:t>The role of race and severity of abuse in teachers' recognition or reporting of child abuse.</w:t>
      </w:r>
      <w:proofErr w:type="gramEnd"/>
      <w:r w:rsidRPr="00F85122">
        <w:rPr>
          <w:rFonts w:ascii="Calibri" w:hAnsi="Calibri" w:cs="Segoe UI"/>
        </w:rPr>
        <w:t xml:space="preserve"> </w:t>
      </w:r>
      <w:r w:rsidRPr="00F85122">
        <w:rPr>
          <w:rFonts w:ascii="Calibri" w:hAnsi="Calibri" w:cs="Segoe UI"/>
          <w:i/>
          <w:iCs/>
        </w:rPr>
        <w:t>Journal of Child and Family Studies, 12</w:t>
      </w:r>
      <w:r w:rsidRPr="00F85122">
        <w:rPr>
          <w:rFonts w:ascii="Calibri" w:hAnsi="Calibri" w:cs="Segoe UI"/>
        </w:rPr>
        <w:t>(4), 465-474.</w:t>
      </w:r>
    </w:p>
    <w:p w14:paraId="10B7393D"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Eisbach</w:t>
      </w:r>
      <w:proofErr w:type="spellEnd"/>
      <w:r w:rsidRPr="00F85122">
        <w:rPr>
          <w:rFonts w:ascii="Calibri" w:hAnsi="Calibri" w:cs="Segoe UI"/>
        </w:rPr>
        <w:t xml:space="preserve">, S. S., &amp; </w:t>
      </w:r>
      <w:proofErr w:type="spellStart"/>
      <w:r w:rsidRPr="00F85122">
        <w:rPr>
          <w:rFonts w:ascii="Calibri" w:hAnsi="Calibri" w:cs="Segoe UI"/>
        </w:rPr>
        <w:t>Driessnack</w:t>
      </w:r>
      <w:proofErr w:type="spellEnd"/>
      <w:r w:rsidRPr="00F85122">
        <w:rPr>
          <w:rFonts w:ascii="Calibri" w:hAnsi="Calibri" w:cs="Segoe UI"/>
        </w:rPr>
        <w:t>, M. (2010).</w:t>
      </w:r>
      <w:proofErr w:type="gramEnd"/>
      <w:r w:rsidRPr="00F85122">
        <w:rPr>
          <w:rFonts w:ascii="Calibri" w:hAnsi="Calibri" w:cs="Segoe UI"/>
        </w:rPr>
        <w:t xml:space="preserve"> Am I </w:t>
      </w:r>
      <w:proofErr w:type="gramStart"/>
      <w:r w:rsidRPr="00F85122">
        <w:rPr>
          <w:rFonts w:ascii="Calibri" w:hAnsi="Calibri" w:cs="Segoe UI"/>
        </w:rPr>
        <w:t>sure</w:t>
      </w:r>
      <w:proofErr w:type="gramEnd"/>
      <w:r w:rsidRPr="00F85122">
        <w:rPr>
          <w:rFonts w:ascii="Calibri" w:hAnsi="Calibri" w:cs="Segoe UI"/>
        </w:rPr>
        <w:t xml:space="preserve"> I want to go down this road? </w:t>
      </w:r>
      <w:proofErr w:type="gramStart"/>
      <w:r w:rsidRPr="00F85122">
        <w:rPr>
          <w:rFonts w:ascii="Calibri" w:hAnsi="Calibri" w:cs="Segoe UI"/>
        </w:rPr>
        <w:t>Hesitations in the reporting of child maltreatment by nurses.</w:t>
      </w:r>
      <w:proofErr w:type="gramEnd"/>
      <w:r w:rsidRPr="00F85122">
        <w:rPr>
          <w:rFonts w:ascii="Calibri" w:hAnsi="Calibri" w:cs="Segoe UI"/>
        </w:rPr>
        <w:t xml:space="preserve"> </w:t>
      </w:r>
      <w:r w:rsidRPr="00F85122">
        <w:rPr>
          <w:rFonts w:ascii="Calibri" w:hAnsi="Calibri" w:cs="Segoe UI"/>
          <w:i/>
          <w:iCs/>
        </w:rPr>
        <w:t xml:space="preserve">Journal </w:t>
      </w:r>
      <w:proofErr w:type="gramStart"/>
      <w:r w:rsidRPr="00F85122">
        <w:rPr>
          <w:rFonts w:ascii="Calibri" w:hAnsi="Calibri" w:cs="Segoe UI"/>
          <w:i/>
          <w:iCs/>
        </w:rPr>
        <w:t>For</w:t>
      </w:r>
      <w:proofErr w:type="gramEnd"/>
      <w:r w:rsidRPr="00F85122">
        <w:rPr>
          <w:rFonts w:ascii="Calibri" w:hAnsi="Calibri" w:cs="Segoe UI"/>
          <w:i/>
          <w:iCs/>
        </w:rPr>
        <w:t xml:space="preserve"> Specialists In </w:t>
      </w:r>
      <w:proofErr w:type="spellStart"/>
      <w:r w:rsidRPr="00F85122">
        <w:rPr>
          <w:rFonts w:ascii="Calibri" w:hAnsi="Calibri" w:cs="Segoe UI"/>
          <w:i/>
          <w:iCs/>
        </w:rPr>
        <w:t>Pediatric</w:t>
      </w:r>
      <w:proofErr w:type="spellEnd"/>
      <w:r w:rsidRPr="00F85122">
        <w:rPr>
          <w:rFonts w:ascii="Calibri" w:hAnsi="Calibri" w:cs="Segoe UI"/>
          <w:i/>
          <w:iCs/>
        </w:rPr>
        <w:t xml:space="preserve"> Nursing, 15</w:t>
      </w:r>
      <w:r w:rsidRPr="00F85122">
        <w:rPr>
          <w:rFonts w:ascii="Calibri" w:hAnsi="Calibri" w:cs="Segoe UI"/>
        </w:rPr>
        <w:t>(4), 317-323.</w:t>
      </w:r>
    </w:p>
    <w:p w14:paraId="601B8B23"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Feng, J.-Y., &amp; Wu, Y.-W.</w:t>
      </w:r>
      <w:proofErr w:type="gramEnd"/>
      <w:r w:rsidRPr="00F85122">
        <w:rPr>
          <w:rFonts w:ascii="Calibri" w:hAnsi="Calibri" w:cs="Segoe UI"/>
        </w:rPr>
        <w:t xml:space="preserve"> </w:t>
      </w:r>
      <w:proofErr w:type="gramStart"/>
      <w:r w:rsidRPr="00F85122">
        <w:rPr>
          <w:rFonts w:ascii="Calibri" w:hAnsi="Calibri" w:cs="Segoe UI"/>
        </w:rPr>
        <w:t>B. (2005).</w:t>
      </w:r>
      <w:proofErr w:type="gramEnd"/>
      <w:r w:rsidRPr="00F85122">
        <w:rPr>
          <w:rFonts w:ascii="Calibri" w:hAnsi="Calibri" w:cs="Segoe UI"/>
        </w:rPr>
        <w:t xml:space="preserve"> </w:t>
      </w:r>
      <w:proofErr w:type="gramStart"/>
      <w:r w:rsidRPr="00F85122">
        <w:rPr>
          <w:rFonts w:ascii="Calibri" w:hAnsi="Calibri" w:cs="Segoe UI"/>
        </w:rPr>
        <w:t>Nurses' intention to report child abuse in Taiwan: A test of the theory of planned behaviour.</w:t>
      </w:r>
      <w:proofErr w:type="gramEnd"/>
      <w:r w:rsidRPr="00F85122">
        <w:rPr>
          <w:rFonts w:ascii="Calibri" w:hAnsi="Calibri" w:cs="Segoe UI"/>
        </w:rPr>
        <w:t xml:space="preserve"> </w:t>
      </w:r>
      <w:r w:rsidRPr="00F85122">
        <w:rPr>
          <w:rFonts w:ascii="Calibri" w:hAnsi="Calibri" w:cs="Segoe UI"/>
          <w:i/>
          <w:iCs/>
        </w:rPr>
        <w:t xml:space="preserve">Research </w:t>
      </w:r>
      <w:proofErr w:type="gramStart"/>
      <w:r w:rsidRPr="00F85122">
        <w:rPr>
          <w:rFonts w:ascii="Calibri" w:hAnsi="Calibri" w:cs="Segoe UI"/>
          <w:i/>
          <w:iCs/>
        </w:rPr>
        <w:t>In</w:t>
      </w:r>
      <w:proofErr w:type="gramEnd"/>
      <w:r w:rsidRPr="00F85122">
        <w:rPr>
          <w:rFonts w:ascii="Calibri" w:hAnsi="Calibri" w:cs="Segoe UI"/>
          <w:i/>
          <w:iCs/>
        </w:rPr>
        <w:t xml:space="preserve"> Nursing &amp; Health, 28</w:t>
      </w:r>
      <w:r w:rsidRPr="00F85122">
        <w:rPr>
          <w:rFonts w:ascii="Calibri" w:hAnsi="Calibri" w:cs="Segoe UI"/>
        </w:rPr>
        <w:t>(4), 337-347.</w:t>
      </w:r>
    </w:p>
    <w:p w14:paraId="1BB5A8FA"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Feng, J.-Y., Wu, Y.-W.</w:t>
      </w:r>
      <w:proofErr w:type="gramEnd"/>
      <w:r w:rsidRPr="00F85122">
        <w:rPr>
          <w:rFonts w:ascii="Calibri" w:hAnsi="Calibri" w:cs="Segoe UI"/>
        </w:rPr>
        <w:t xml:space="preserve"> </w:t>
      </w:r>
      <w:proofErr w:type="gramStart"/>
      <w:r w:rsidRPr="00F85122">
        <w:rPr>
          <w:rFonts w:ascii="Calibri" w:hAnsi="Calibri" w:cs="Segoe UI"/>
        </w:rPr>
        <w:t xml:space="preserve">B., </w:t>
      </w:r>
      <w:proofErr w:type="spellStart"/>
      <w:r w:rsidRPr="00F85122">
        <w:rPr>
          <w:rFonts w:ascii="Calibri" w:hAnsi="Calibri" w:cs="Segoe UI"/>
        </w:rPr>
        <w:t>Fetzer</w:t>
      </w:r>
      <w:proofErr w:type="spellEnd"/>
      <w:r w:rsidRPr="00F85122">
        <w:rPr>
          <w:rFonts w:ascii="Calibri" w:hAnsi="Calibri" w:cs="Segoe UI"/>
        </w:rPr>
        <w:t>, S., &amp; Chang, H.-Y.</w:t>
      </w:r>
      <w:proofErr w:type="gramEnd"/>
      <w:r w:rsidRPr="00F85122">
        <w:rPr>
          <w:rFonts w:ascii="Calibri" w:hAnsi="Calibri" w:cs="Segoe UI"/>
        </w:rPr>
        <w:t xml:space="preserve"> </w:t>
      </w:r>
      <w:proofErr w:type="gramStart"/>
      <w:r w:rsidRPr="00F85122">
        <w:rPr>
          <w:rFonts w:ascii="Calibri" w:hAnsi="Calibri" w:cs="Segoe UI"/>
        </w:rPr>
        <w:t>(2012). Contextual effects on kindergarten teachers’ intention to report child abuse.</w:t>
      </w:r>
      <w:proofErr w:type="gramEnd"/>
      <w:r w:rsidRPr="00F85122">
        <w:rPr>
          <w:rFonts w:ascii="Calibri" w:hAnsi="Calibri" w:cs="Segoe UI"/>
        </w:rPr>
        <w:t xml:space="preserve"> </w:t>
      </w:r>
      <w:r w:rsidRPr="00F85122">
        <w:rPr>
          <w:rFonts w:ascii="Calibri" w:hAnsi="Calibri" w:cs="Segoe UI"/>
          <w:i/>
          <w:iCs/>
        </w:rPr>
        <w:t>Journal of Community Psychology, 40</w:t>
      </w:r>
      <w:r w:rsidRPr="00F85122">
        <w:rPr>
          <w:rFonts w:ascii="Calibri" w:hAnsi="Calibri" w:cs="Segoe UI"/>
        </w:rPr>
        <w:t>(7), 886-890.</w:t>
      </w:r>
    </w:p>
    <w:p w14:paraId="23204627"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Feng, J.-Y., Chen, S.-J., Wilk, N. C., Yang, W.-P., &amp; </w:t>
      </w:r>
      <w:proofErr w:type="spellStart"/>
      <w:r w:rsidRPr="00F85122">
        <w:rPr>
          <w:rFonts w:ascii="Calibri" w:hAnsi="Calibri" w:cs="Segoe UI"/>
        </w:rPr>
        <w:t>Fetzer</w:t>
      </w:r>
      <w:proofErr w:type="spellEnd"/>
      <w:r w:rsidRPr="00F85122">
        <w:rPr>
          <w:rFonts w:ascii="Calibri" w:hAnsi="Calibri" w:cs="Segoe UI"/>
        </w:rPr>
        <w:t xml:space="preserve">, S. (2009). </w:t>
      </w:r>
      <w:proofErr w:type="gramStart"/>
      <w:r w:rsidRPr="00F85122">
        <w:rPr>
          <w:rFonts w:ascii="Calibri" w:hAnsi="Calibri" w:cs="Segoe UI"/>
        </w:rPr>
        <w:t>Kindergarten teachers' experience of reporting child abuse in Taiwan: Dancing on the edge.</w:t>
      </w:r>
      <w:proofErr w:type="gramEnd"/>
      <w:r w:rsidRPr="00F85122">
        <w:rPr>
          <w:rFonts w:ascii="Calibri" w:hAnsi="Calibri" w:cs="Segoe UI"/>
        </w:rPr>
        <w:t xml:space="preserve"> </w:t>
      </w:r>
      <w:r w:rsidRPr="00F85122">
        <w:rPr>
          <w:rFonts w:ascii="Calibri" w:hAnsi="Calibri" w:cs="Segoe UI"/>
          <w:i/>
          <w:iCs/>
        </w:rPr>
        <w:t>Children and Youth Services Review, 31</w:t>
      </w:r>
      <w:r w:rsidRPr="00F85122">
        <w:rPr>
          <w:rFonts w:ascii="Calibri" w:hAnsi="Calibri" w:cs="Segoe UI"/>
        </w:rPr>
        <w:t>(3), 405-409.</w:t>
      </w:r>
    </w:p>
    <w:p w14:paraId="28301D03"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Feng, J.-Y., Huang, T.-Y., &amp; Wang, C.-J.</w:t>
      </w:r>
      <w:proofErr w:type="gramEnd"/>
      <w:r w:rsidRPr="00F85122">
        <w:rPr>
          <w:rFonts w:ascii="Calibri" w:hAnsi="Calibri" w:cs="Segoe UI"/>
        </w:rPr>
        <w:t xml:space="preserve"> </w:t>
      </w:r>
      <w:proofErr w:type="gramStart"/>
      <w:r w:rsidRPr="00F85122">
        <w:rPr>
          <w:rFonts w:ascii="Calibri" w:hAnsi="Calibri" w:cs="Segoe UI"/>
        </w:rPr>
        <w:t>(2010). Kindergarten teachers’ experience with reporting child abuse in Taiwan.</w:t>
      </w:r>
      <w:proofErr w:type="gramEnd"/>
      <w:r w:rsidRPr="00F85122">
        <w:rPr>
          <w:rFonts w:ascii="Calibri" w:hAnsi="Calibri" w:cs="Segoe UI"/>
        </w:rPr>
        <w:t xml:space="preserve"> </w:t>
      </w:r>
      <w:r w:rsidRPr="00F85122">
        <w:rPr>
          <w:rFonts w:ascii="Calibri" w:hAnsi="Calibri" w:cs="Segoe UI"/>
          <w:i/>
          <w:iCs/>
        </w:rPr>
        <w:t>Child Abuse &amp; Neglect, 34</w:t>
      </w:r>
      <w:r w:rsidRPr="00F85122">
        <w:rPr>
          <w:rFonts w:ascii="Calibri" w:hAnsi="Calibri" w:cs="Segoe UI"/>
        </w:rPr>
        <w:t>(2), 124-128.</w:t>
      </w:r>
    </w:p>
    <w:p w14:paraId="58D5C392"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Feng, J.-Y., &amp; Levine, M. (2005).</w:t>
      </w:r>
      <w:proofErr w:type="gramEnd"/>
      <w:r w:rsidRPr="00F85122">
        <w:rPr>
          <w:rFonts w:ascii="Calibri" w:hAnsi="Calibri" w:cs="Segoe UI"/>
        </w:rPr>
        <w:t xml:space="preserve"> Factors associated with nurses’ intention to report child abuse: A national survey of Taiwanese nurses. </w:t>
      </w:r>
      <w:r w:rsidRPr="00F85122">
        <w:rPr>
          <w:rFonts w:ascii="Calibri" w:hAnsi="Calibri" w:cs="Segoe UI"/>
          <w:i/>
          <w:iCs/>
        </w:rPr>
        <w:t>Child Abuse &amp; Neglect, 29</w:t>
      </w:r>
      <w:r w:rsidRPr="00F85122">
        <w:rPr>
          <w:rFonts w:ascii="Calibri" w:hAnsi="Calibri" w:cs="Segoe UI"/>
        </w:rPr>
        <w:t>(7), 783-795.</w:t>
      </w:r>
    </w:p>
    <w:p w14:paraId="1BBC9CD2"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Finlayson, L. M., &amp; </w:t>
      </w:r>
      <w:proofErr w:type="spellStart"/>
      <w:r w:rsidRPr="00F85122">
        <w:rPr>
          <w:rFonts w:ascii="Calibri" w:hAnsi="Calibri" w:cs="Segoe UI"/>
        </w:rPr>
        <w:t>Koocher</w:t>
      </w:r>
      <w:proofErr w:type="spellEnd"/>
      <w:r w:rsidRPr="00F85122">
        <w:rPr>
          <w:rFonts w:ascii="Calibri" w:hAnsi="Calibri" w:cs="Segoe UI"/>
        </w:rPr>
        <w:t>, G. P. (1991).</w:t>
      </w:r>
      <w:proofErr w:type="gramEnd"/>
      <w:r w:rsidRPr="00F85122">
        <w:rPr>
          <w:rFonts w:ascii="Calibri" w:hAnsi="Calibri" w:cs="Segoe UI"/>
        </w:rPr>
        <w:t xml:space="preserve"> Professional judgment and child abuse reporting in sexual abuse cases. </w:t>
      </w:r>
      <w:r w:rsidRPr="00F85122">
        <w:rPr>
          <w:rFonts w:ascii="Calibri" w:hAnsi="Calibri" w:cs="Segoe UI"/>
          <w:i/>
          <w:iCs/>
        </w:rPr>
        <w:t>Professional Psychology: Research and Practice, 22</w:t>
      </w:r>
      <w:r w:rsidRPr="00F85122">
        <w:rPr>
          <w:rFonts w:ascii="Calibri" w:hAnsi="Calibri" w:cs="Segoe UI"/>
        </w:rPr>
        <w:t>(6), 464-472.</w:t>
      </w:r>
    </w:p>
    <w:p w14:paraId="2DD8E388"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Flaherty, E. G., </w:t>
      </w:r>
      <w:proofErr w:type="spellStart"/>
      <w:r w:rsidRPr="00F85122">
        <w:rPr>
          <w:rFonts w:ascii="Calibri" w:hAnsi="Calibri" w:cs="Segoe UI"/>
        </w:rPr>
        <w:t>Sege</w:t>
      </w:r>
      <w:proofErr w:type="spellEnd"/>
      <w:r w:rsidRPr="00F85122">
        <w:rPr>
          <w:rFonts w:ascii="Calibri" w:hAnsi="Calibri" w:cs="Segoe UI"/>
        </w:rPr>
        <w:t xml:space="preserve">, R., Price, L. L., </w:t>
      </w:r>
      <w:proofErr w:type="spellStart"/>
      <w:r w:rsidRPr="00F85122">
        <w:rPr>
          <w:rFonts w:ascii="Calibri" w:hAnsi="Calibri" w:cs="Segoe UI"/>
        </w:rPr>
        <w:t>Christoffel</w:t>
      </w:r>
      <w:proofErr w:type="spellEnd"/>
      <w:r w:rsidRPr="00F85122">
        <w:rPr>
          <w:rFonts w:ascii="Calibri" w:hAnsi="Calibri" w:cs="Segoe UI"/>
        </w:rPr>
        <w:t xml:space="preserve">, K. K., Norton, D. P., &amp; O'Connor, K. G. (2006). </w:t>
      </w:r>
      <w:proofErr w:type="spellStart"/>
      <w:r w:rsidRPr="00F85122">
        <w:rPr>
          <w:rFonts w:ascii="Calibri" w:hAnsi="Calibri" w:cs="Segoe UI"/>
        </w:rPr>
        <w:t>Pediatrician</w:t>
      </w:r>
      <w:proofErr w:type="spellEnd"/>
      <w:r w:rsidRPr="00F85122">
        <w:rPr>
          <w:rFonts w:ascii="Calibri" w:hAnsi="Calibri" w:cs="Segoe UI"/>
        </w:rPr>
        <w:t xml:space="preserve"> characteristics associated with child abuse identification and </w:t>
      </w:r>
      <w:proofErr w:type="gramStart"/>
      <w:r w:rsidRPr="00F85122">
        <w:rPr>
          <w:rFonts w:ascii="Calibri" w:hAnsi="Calibri" w:cs="Segoe UI"/>
        </w:rPr>
        <w:t>reporting:</w:t>
      </w:r>
      <w:proofErr w:type="gramEnd"/>
      <w:r w:rsidRPr="00F85122">
        <w:rPr>
          <w:rFonts w:ascii="Calibri" w:hAnsi="Calibri" w:cs="Segoe UI"/>
        </w:rPr>
        <w:t xml:space="preserve"> Results from a national </w:t>
      </w:r>
      <w:r w:rsidRPr="00F85122">
        <w:rPr>
          <w:rFonts w:ascii="Calibri" w:hAnsi="Calibri" w:cs="Segoe UI"/>
        </w:rPr>
        <w:lastRenderedPageBreak/>
        <w:t xml:space="preserve">survey of paediatricians. </w:t>
      </w:r>
      <w:r w:rsidRPr="00F85122">
        <w:rPr>
          <w:rFonts w:ascii="Calibri" w:hAnsi="Calibri" w:cs="Segoe UI"/>
          <w:i/>
          <w:iCs/>
        </w:rPr>
        <w:t>Child Maltreatment, 11</w:t>
      </w:r>
      <w:r w:rsidRPr="00F85122">
        <w:rPr>
          <w:rFonts w:ascii="Calibri" w:hAnsi="Calibri" w:cs="Segoe UI"/>
        </w:rPr>
        <w:t>(4), 361-369.</w:t>
      </w:r>
    </w:p>
    <w:p w14:paraId="749D9791"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Flaherty, E. G., </w:t>
      </w:r>
      <w:proofErr w:type="spellStart"/>
      <w:r w:rsidRPr="00F85122">
        <w:rPr>
          <w:rFonts w:ascii="Calibri" w:hAnsi="Calibri" w:cs="Segoe UI"/>
        </w:rPr>
        <w:t>Sege</w:t>
      </w:r>
      <w:proofErr w:type="spellEnd"/>
      <w:r w:rsidRPr="00F85122">
        <w:rPr>
          <w:rFonts w:ascii="Calibri" w:hAnsi="Calibri" w:cs="Segoe UI"/>
        </w:rPr>
        <w:t xml:space="preserve">, R. D., Griffith, J., Price, L. L., Wasserman, R., </w:t>
      </w:r>
      <w:proofErr w:type="spellStart"/>
      <w:r w:rsidRPr="00F85122">
        <w:rPr>
          <w:rFonts w:ascii="Calibri" w:hAnsi="Calibri" w:cs="Segoe UI"/>
        </w:rPr>
        <w:t>Slora</w:t>
      </w:r>
      <w:proofErr w:type="spellEnd"/>
      <w:r w:rsidRPr="00F85122">
        <w:rPr>
          <w:rFonts w:ascii="Calibri" w:hAnsi="Calibri" w:cs="Segoe UI"/>
        </w:rPr>
        <w:t>, E</w:t>
      </w:r>
      <w:proofErr w:type="gramStart"/>
      <w:r w:rsidRPr="00F85122">
        <w:rPr>
          <w:rFonts w:ascii="Calibri" w:hAnsi="Calibri" w:cs="Segoe UI"/>
        </w:rPr>
        <w:t>., . . .</w:t>
      </w:r>
      <w:proofErr w:type="gramEnd"/>
      <w:r w:rsidRPr="00F85122">
        <w:rPr>
          <w:rFonts w:ascii="Calibri" w:hAnsi="Calibri" w:cs="Segoe UI"/>
        </w:rPr>
        <w:t xml:space="preserve"> </w:t>
      </w:r>
      <w:proofErr w:type="spellStart"/>
      <w:r w:rsidRPr="00F85122">
        <w:rPr>
          <w:rFonts w:ascii="Calibri" w:hAnsi="Calibri" w:cs="Segoe UI"/>
        </w:rPr>
        <w:t>Binns</w:t>
      </w:r>
      <w:proofErr w:type="spellEnd"/>
      <w:r w:rsidRPr="00F85122">
        <w:rPr>
          <w:rFonts w:ascii="Calibri" w:hAnsi="Calibri" w:cs="Segoe UI"/>
        </w:rPr>
        <w:t xml:space="preserve">, H. J. (2008). From suspicion of physical child abuse to reporting: Primary care clinician decision-making. </w:t>
      </w:r>
      <w:proofErr w:type="spellStart"/>
      <w:r w:rsidRPr="00F85122">
        <w:rPr>
          <w:rFonts w:ascii="Calibri" w:hAnsi="Calibri" w:cs="Segoe UI"/>
          <w:i/>
          <w:iCs/>
        </w:rPr>
        <w:t>Pediatrics</w:t>
      </w:r>
      <w:proofErr w:type="spellEnd"/>
      <w:r w:rsidRPr="00F85122">
        <w:rPr>
          <w:rFonts w:ascii="Calibri" w:hAnsi="Calibri" w:cs="Segoe UI"/>
          <w:i/>
          <w:iCs/>
        </w:rPr>
        <w:t>, 122</w:t>
      </w:r>
      <w:r w:rsidRPr="00F85122">
        <w:rPr>
          <w:rFonts w:ascii="Calibri" w:hAnsi="Calibri" w:cs="Segoe UI"/>
        </w:rPr>
        <w:t>(3), 611-619.</w:t>
      </w:r>
    </w:p>
    <w:p w14:paraId="5CCC9A99"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Francis, K., Chapman, Y., </w:t>
      </w:r>
      <w:proofErr w:type="spellStart"/>
      <w:r w:rsidRPr="00F85122">
        <w:rPr>
          <w:rFonts w:ascii="Calibri" w:hAnsi="Calibri" w:cs="Segoe UI"/>
        </w:rPr>
        <w:t>Sellick</w:t>
      </w:r>
      <w:proofErr w:type="spellEnd"/>
      <w:r w:rsidRPr="00F85122">
        <w:rPr>
          <w:rFonts w:ascii="Calibri" w:hAnsi="Calibri" w:cs="Segoe UI"/>
        </w:rPr>
        <w:t>, K., James, A., Miles, M., Jones, J., &amp; Grant, J. (2012).</w:t>
      </w:r>
      <w:proofErr w:type="gramEnd"/>
      <w:r w:rsidRPr="00F85122">
        <w:rPr>
          <w:rFonts w:ascii="Calibri" w:hAnsi="Calibri" w:cs="Segoe UI"/>
        </w:rPr>
        <w:t xml:space="preserve"> The decision-making processes adopted by rurally located mandated professionals when child abuse or neglect </w:t>
      </w:r>
      <w:proofErr w:type="gramStart"/>
      <w:r w:rsidRPr="00F85122">
        <w:rPr>
          <w:rFonts w:ascii="Calibri" w:hAnsi="Calibri" w:cs="Segoe UI"/>
        </w:rPr>
        <w:t>is suspected</w:t>
      </w:r>
      <w:proofErr w:type="gramEnd"/>
      <w:r w:rsidRPr="00F85122">
        <w:rPr>
          <w:rFonts w:ascii="Calibri" w:hAnsi="Calibri" w:cs="Segoe UI"/>
        </w:rPr>
        <w:t xml:space="preserve">. </w:t>
      </w:r>
      <w:r w:rsidRPr="00F85122">
        <w:rPr>
          <w:rFonts w:ascii="Calibri" w:hAnsi="Calibri" w:cs="Segoe UI"/>
          <w:i/>
          <w:iCs/>
        </w:rPr>
        <w:t>Contemporary Nurse: A Journal for the Australian Nursing Profession, 41</w:t>
      </w:r>
      <w:r w:rsidRPr="00F85122">
        <w:rPr>
          <w:rFonts w:ascii="Calibri" w:hAnsi="Calibri" w:cs="Segoe UI"/>
        </w:rPr>
        <w:t>(1), 58-69.</w:t>
      </w:r>
    </w:p>
    <w:p w14:paraId="3053C26A"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Fraser, J. A., Mathews, B., Walsh, K., Chen, L., &amp; Dunne, M. (2010).</w:t>
      </w:r>
      <w:proofErr w:type="gramEnd"/>
      <w:r w:rsidRPr="00F85122">
        <w:rPr>
          <w:rFonts w:ascii="Calibri" w:hAnsi="Calibri" w:cs="Segoe UI"/>
        </w:rPr>
        <w:t xml:space="preserve"> </w:t>
      </w:r>
      <w:proofErr w:type="gramStart"/>
      <w:r w:rsidRPr="00F85122">
        <w:rPr>
          <w:rFonts w:ascii="Calibri" w:hAnsi="Calibri" w:cs="Segoe UI"/>
        </w:rPr>
        <w:t>Factors influencing child abuse and neglect recognition and reporting by nurses: A multivariate analysis.</w:t>
      </w:r>
      <w:proofErr w:type="gramEnd"/>
      <w:r w:rsidRPr="00F85122">
        <w:rPr>
          <w:rFonts w:ascii="Calibri" w:hAnsi="Calibri" w:cs="Segoe UI"/>
        </w:rPr>
        <w:t xml:space="preserve"> </w:t>
      </w:r>
      <w:r w:rsidRPr="00F85122">
        <w:rPr>
          <w:rFonts w:ascii="Calibri" w:hAnsi="Calibri" w:cs="Segoe UI"/>
          <w:i/>
          <w:iCs/>
        </w:rPr>
        <w:t>International Journal of Nursing Studies, 47</w:t>
      </w:r>
      <w:r w:rsidRPr="00F85122">
        <w:rPr>
          <w:rFonts w:ascii="Calibri" w:hAnsi="Calibri" w:cs="Segoe UI"/>
        </w:rPr>
        <w:t>(2), 146-153.</w:t>
      </w:r>
    </w:p>
    <w:p w14:paraId="18562664"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Ganann</w:t>
      </w:r>
      <w:proofErr w:type="spellEnd"/>
      <w:r w:rsidRPr="00F85122">
        <w:rPr>
          <w:rFonts w:ascii="Calibri" w:hAnsi="Calibri" w:cs="Segoe UI"/>
        </w:rPr>
        <w:t xml:space="preserve">, R., </w:t>
      </w:r>
      <w:proofErr w:type="spellStart"/>
      <w:r w:rsidRPr="00F85122">
        <w:rPr>
          <w:rFonts w:ascii="Calibri" w:hAnsi="Calibri" w:cs="Segoe UI"/>
        </w:rPr>
        <w:t>Ciliska</w:t>
      </w:r>
      <w:proofErr w:type="spellEnd"/>
      <w:r w:rsidRPr="00F85122">
        <w:rPr>
          <w:rFonts w:ascii="Calibri" w:hAnsi="Calibri" w:cs="Segoe UI"/>
        </w:rPr>
        <w:t>, D., &amp; Thomas, H. (2009).</w:t>
      </w:r>
      <w:proofErr w:type="gramEnd"/>
      <w:r w:rsidRPr="00F85122">
        <w:rPr>
          <w:rFonts w:ascii="Calibri" w:hAnsi="Calibri" w:cs="Segoe UI"/>
        </w:rPr>
        <w:t xml:space="preserve"> </w:t>
      </w:r>
      <w:proofErr w:type="gramStart"/>
      <w:r w:rsidRPr="00F85122">
        <w:rPr>
          <w:rFonts w:ascii="Calibri" w:hAnsi="Calibri" w:cs="Segoe UI"/>
        </w:rPr>
        <w:t>Expediting systematic reviews: Methods and implications of rapid reviews.</w:t>
      </w:r>
      <w:proofErr w:type="gramEnd"/>
      <w:r w:rsidRPr="00F85122">
        <w:rPr>
          <w:rFonts w:ascii="Calibri" w:hAnsi="Calibri" w:cs="Segoe UI"/>
        </w:rPr>
        <w:t xml:space="preserve"> </w:t>
      </w:r>
      <w:proofErr w:type="gramStart"/>
      <w:r w:rsidRPr="00F85122">
        <w:rPr>
          <w:rFonts w:ascii="Calibri" w:hAnsi="Calibri" w:cs="Segoe UI"/>
          <w:i/>
          <w:iCs/>
        </w:rPr>
        <w:t>Implementation Science, 5</w:t>
      </w:r>
      <w:r w:rsidRPr="00F85122">
        <w:rPr>
          <w:rFonts w:ascii="Calibri" w:hAnsi="Calibri" w:cs="Segoe UI"/>
        </w:rPr>
        <w:t>(1), 56-19.</w:t>
      </w:r>
      <w:proofErr w:type="gramEnd"/>
    </w:p>
    <w:p w14:paraId="3C0B818D"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r w:rsidRPr="00F85122">
        <w:rPr>
          <w:rFonts w:ascii="Calibri" w:hAnsi="Calibri" w:cs="Segoe UI"/>
        </w:rPr>
        <w:t>Giovannoni</w:t>
      </w:r>
      <w:proofErr w:type="spellEnd"/>
      <w:r w:rsidRPr="00F85122">
        <w:rPr>
          <w:rFonts w:ascii="Calibri" w:hAnsi="Calibri" w:cs="Segoe UI"/>
        </w:rPr>
        <w:t xml:space="preserve">, J.M. (1995). </w:t>
      </w:r>
      <w:proofErr w:type="gramStart"/>
      <w:r w:rsidRPr="00F85122">
        <w:rPr>
          <w:rFonts w:ascii="Calibri" w:hAnsi="Calibri" w:cs="Segoe UI"/>
        </w:rPr>
        <w:t>Reports of child maltreatment from mandated and non-mandated reporters.</w:t>
      </w:r>
      <w:proofErr w:type="gramEnd"/>
      <w:r w:rsidRPr="00F85122">
        <w:rPr>
          <w:rFonts w:ascii="Calibri" w:hAnsi="Calibri" w:cs="Segoe UI"/>
        </w:rPr>
        <w:t xml:space="preserve"> </w:t>
      </w:r>
      <w:r w:rsidRPr="00F85122">
        <w:rPr>
          <w:rFonts w:ascii="Calibri" w:hAnsi="Calibri" w:cs="Segoe UI"/>
          <w:i/>
        </w:rPr>
        <w:t>Children and Youth Services Review</w:t>
      </w:r>
      <w:r w:rsidRPr="00F85122">
        <w:rPr>
          <w:rFonts w:ascii="Calibri" w:hAnsi="Calibri" w:cs="Segoe UI"/>
        </w:rPr>
        <w:t xml:space="preserve">, </w:t>
      </w:r>
      <w:r w:rsidRPr="00F85122">
        <w:rPr>
          <w:rFonts w:ascii="Calibri" w:hAnsi="Calibri" w:cs="Segoe UI"/>
          <w:i/>
        </w:rPr>
        <w:t>17</w:t>
      </w:r>
      <w:r w:rsidRPr="00F85122">
        <w:rPr>
          <w:rFonts w:ascii="Calibri" w:hAnsi="Calibri" w:cs="Segoe UI"/>
        </w:rPr>
        <w:t>(4), 487-501.</w:t>
      </w:r>
    </w:p>
    <w:p w14:paraId="2075D30B"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Goebbels, A. F. G., Nicholson, J. M., Walsh, K., &amp; De </w:t>
      </w:r>
      <w:proofErr w:type="spellStart"/>
      <w:r w:rsidRPr="00F85122">
        <w:rPr>
          <w:rFonts w:ascii="Calibri" w:hAnsi="Calibri" w:cs="Segoe UI"/>
        </w:rPr>
        <w:t>Vries</w:t>
      </w:r>
      <w:proofErr w:type="spellEnd"/>
      <w:r w:rsidRPr="00F85122">
        <w:rPr>
          <w:rFonts w:ascii="Calibri" w:hAnsi="Calibri" w:cs="Segoe UI"/>
        </w:rPr>
        <w:t>, H. (2008).</w:t>
      </w:r>
      <w:proofErr w:type="gramEnd"/>
      <w:r w:rsidRPr="00F85122">
        <w:rPr>
          <w:rFonts w:ascii="Calibri" w:hAnsi="Calibri" w:cs="Segoe UI"/>
        </w:rPr>
        <w:t xml:space="preserve"> </w:t>
      </w:r>
      <w:proofErr w:type="gramStart"/>
      <w:r w:rsidRPr="00F85122">
        <w:rPr>
          <w:rFonts w:ascii="Calibri" w:hAnsi="Calibri" w:cs="Segoe UI"/>
        </w:rPr>
        <w:t>Teachers' reporting of suspected child abuse and neglect: Behaviour and determinants.</w:t>
      </w:r>
      <w:proofErr w:type="gramEnd"/>
      <w:r w:rsidRPr="00F85122">
        <w:rPr>
          <w:rFonts w:ascii="Calibri" w:hAnsi="Calibri" w:cs="Segoe UI"/>
        </w:rPr>
        <w:t xml:space="preserve"> </w:t>
      </w:r>
      <w:r w:rsidRPr="00F85122">
        <w:rPr>
          <w:rFonts w:ascii="Calibri" w:hAnsi="Calibri" w:cs="Segoe UI"/>
          <w:i/>
          <w:iCs/>
        </w:rPr>
        <w:t>Health Education Research, 23</w:t>
      </w:r>
      <w:r w:rsidRPr="00F85122">
        <w:rPr>
          <w:rFonts w:ascii="Calibri" w:hAnsi="Calibri" w:cs="Segoe UI"/>
        </w:rPr>
        <w:t>(6), 941-951.</w:t>
      </w:r>
    </w:p>
    <w:p w14:paraId="632E1826"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Goldman, J. D. G., &amp; </w:t>
      </w:r>
      <w:proofErr w:type="spellStart"/>
      <w:r w:rsidRPr="00F85122">
        <w:rPr>
          <w:rFonts w:ascii="Calibri" w:hAnsi="Calibri" w:cs="Segoe UI"/>
        </w:rPr>
        <w:t>Padayachi</w:t>
      </w:r>
      <w:proofErr w:type="spellEnd"/>
      <w:r w:rsidRPr="00F85122">
        <w:rPr>
          <w:rFonts w:ascii="Calibri" w:hAnsi="Calibri" w:cs="Segoe UI"/>
        </w:rPr>
        <w:t>, U. K. (2005).</w:t>
      </w:r>
      <w:proofErr w:type="gramEnd"/>
      <w:r w:rsidRPr="00F85122">
        <w:rPr>
          <w:rFonts w:ascii="Calibri" w:hAnsi="Calibri" w:cs="Segoe UI"/>
        </w:rPr>
        <w:t xml:space="preserve"> </w:t>
      </w:r>
      <w:proofErr w:type="gramStart"/>
      <w:r w:rsidRPr="00F85122">
        <w:rPr>
          <w:rFonts w:ascii="Calibri" w:hAnsi="Calibri" w:cs="Segoe UI"/>
        </w:rPr>
        <w:t>Child sexual abuse reporting behaviour by school counsellors and their need for further education.</w:t>
      </w:r>
      <w:proofErr w:type="gramEnd"/>
      <w:r w:rsidRPr="00F85122">
        <w:rPr>
          <w:rFonts w:ascii="Calibri" w:hAnsi="Calibri" w:cs="Segoe UI"/>
        </w:rPr>
        <w:t xml:space="preserve"> </w:t>
      </w:r>
      <w:r w:rsidRPr="00F85122">
        <w:rPr>
          <w:rFonts w:ascii="Calibri" w:hAnsi="Calibri" w:cs="Segoe UI"/>
          <w:i/>
          <w:iCs/>
        </w:rPr>
        <w:t>Health Education Journal, 64</w:t>
      </w:r>
      <w:r w:rsidRPr="00F85122">
        <w:rPr>
          <w:rFonts w:ascii="Calibri" w:hAnsi="Calibri" w:cs="Segoe UI"/>
        </w:rPr>
        <w:t>(4), 302-322.</w:t>
      </w:r>
    </w:p>
    <w:p w14:paraId="7A614AC2"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Gunn, V. L., </w:t>
      </w:r>
      <w:proofErr w:type="spellStart"/>
      <w:r w:rsidRPr="00F85122">
        <w:rPr>
          <w:rFonts w:ascii="Calibri" w:hAnsi="Calibri" w:cs="Segoe UI"/>
        </w:rPr>
        <w:t>Hickson</w:t>
      </w:r>
      <w:proofErr w:type="spellEnd"/>
      <w:r w:rsidRPr="00F85122">
        <w:rPr>
          <w:rFonts w:ascii="Calibri" w:hAnsi="Calibri" w:cs="Segoe UI"/>
        </w:rPr>
        <w:t>, G. B., &amp; Cooper, W. O. (2005).</w:t>
      </w:r>
      <w:proofErr w:type="gramEnd"/>
      <w:r w:rsidRPr="00F85122">
        <w:rPr>
          <w:rFonts w:ascii="Calibri" w:hAnsi="Calibri" w:cs="Segoe UI"/>
        </w:rPr>
        <w:t xml:space="preserve"> Factors affecting </w:t>
      </w:r>
      <w:proofErr w:type="spellStart"/>
      <w:r w:rsidRPr="00F85122">
        <w:rPr>
          <w:rFonts w:ascii="Calibri" w:hAnsi="Calibri" w:cs="Segoe UI"/>
        </w:rPr>
        <w:t>pediatricians'</w:t>
      </w:r>
      <w:proofErr w:type="spellEnd"/>
      <w:r w:rsidRPr="00F85122">
        <w:rPr>
          <w:rFonts w:ascii="Calibri" w:hAnsi="Calibri" w:cs="Segoe UI"/>
        </w:rPr>
        <w:t xml:space="preserve"> reporting of suspected child maltreatment. </w:t>
      </w:r>
      <w:r w:rsidRPr="00F85122">
        <w:rPr>
          <w:rFonts w:ascii="Calibri" w:hAnsi="Calibri" w:cs="Segoe UI"/>
          <w:i/>
          <w:iCs/>
        </w:rPr>
        <w:t xml:space="preserve">Ambulatory </w:t>
      </w:r>
      <w:proofErr w:type="spellStart"/>
      <w:r w:rsidRPr="00F85122">
        <w:rPr>
          <w:rFonts w:ascii="Calibri" w:hAnsi="Calibri" w:cs="Segoe UI"/>
          <w:i/>
          <w:iCs/>
        </w:rPr>
        <w:t>Pediatrics</w:t>
      </w:r>
      <w:proofErr w:type="spellEnd"/>
      <w:r w:rsidRPr="00F85122">
        <w:rPr>
          <w:rFonts w:ascii="Calibri" w:hAnsi="Calibri" w:cs="Segoe UI"/>
          <w:i/>
          <w:iCs/>
        </w:rPr>
        <w:t xml:space="preserve">: The Official Journal of the Ambulatory </w:t>
      </w:r>
      <w:proofErr w:type="spellStart"/>
      <w:r w:rsidRPr="00F85122">
        <w:rPr>
          <w:rFonts w:ascii="Calibri" w:hAnsi="Calibri" w:cs="Segoe UI"/>
          <w:i/>
          <w:iCs/>
        </w:rPr>
        <w:t>Pediatric</w:t>
      </w:r>
      <w:proofErr w:type="spellEnd"/>
      <w:r w:rsidRPr="00F85122">
        <w:rPr>
          <w:rFonts w:ascii="Calibri" w:hAnsi="Calibri" w:cs="Segoe UI"/>
          <w:i/>
          <w:iCs/>
        </w:rPr>
        <w:t xml:space="preserve"> Association, 5</w:t>
      </w:r>
      <w:r w:rsidRPr="00F85122">
        <w:rPr>
          <w:rFonts w:ascii="Calibri" w:hAnsi="Calibri" w:cs="Segoe UI"/>
        </w:rPr>
        <w:t>(2), 96-101.</w:t>
      </w:r>
    </w:p>
    <w:p w14:paraId="017DF655"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Haj-</w:t>
      </w:r>
      <w:proofErr w:type="spellStart"/>
      <w:r w:rsidRPr="00F85122">
        <w:rPr>
          <w:rFonts w:ascii="Calibri" w:hAnsi="Calibri" w:cs="Segoe UI"/>
        </w:rPr>
        <w:t>Yahia</w:t>
      </w:r>
      <w:proofErr w:type="spellEnd"/>
      <w:r w:rsidRPr="00F85122">
        <w:rPr>
          <w:rFonts w:ascii="Calibri" w:hAnsi="Calibri" w:cs="Segoe UI"/>
        </w:rPr>
        <w:t xml:space="preserve">, M. M., &amp; Attar-Schwartz, S. (2008). Attitudes of Palestinian pre-school teachers from Israel towards reporting of suspected cases of child abuse and neglect. </w:t>
      </w:r>
      <w:r w:rsidRPr="00F85122">
        <w:rPr>
          <w:rFonts w:ascii="Calibri" w:hAnsi="Calibri" w:cs="Segoe UI"/>
          <w:i/>
          <w:iCs/>
        </w:rPr>
        <w:t>Child &amp; Family Social Work, 13</w:t>
      </w:r>
      <w:r w:rsidRPr="00F85122">
        <w:rPr>
          <w:rFonts w:ascii="Calibri" w:hAnsi="Calibri" w:cs="Segoe UI"/>
        </w:rPr>
        <w:t>(4), 378-390.</w:t>
      </w:r>
    </w:p>
    <w:p w14:paraId="585FC61D"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Hansen, D. J., </w:t>
      </w:r>
      <w:proofErr w:type="spellStart"/>
      <w:r w:rsidRPr="00F85122">
        <w:rPr>
          <w:rFonts w:ascii="Calibri" w:hAnsi="Calibri" w:cs="Segoe UI"/>
        </w:rPr>
        <w:t>Bumby</w:t>
      </w:r>
      <w:proofErr w:type="spellEnd"/>
      <w:r w:rsidRPr="00F85122">
        <w:rPr>
          <w:rFonts w:ascii="Calibri" w:hAnsi="Calibri" w:cs="Segoe UI"/>
        </w:rPr>
        <w:t xml:space="preserve">, K. M., Lundquist, L. M., Chandler, R. M., Le, P. T., &amp; </w:t>
      </w:r>
      <w:proofErr w:type="spellStart"/>
      <w:r w:rsidRPr="00F85122">
        <w:rPr>
          <w:rFonts w:ascii="Calibri" w:hAnsi="Calibri" w:cs="Segoe UI"/>
        </w:rPr>
        <w:t>Futa</w:t>
      </w:r>
      <w:proofErr w:type="spellEnd"/>
      <w:r w:rsidRPr="00F85122">
        <w:rPr>
          <w:rFonts w:ascii="Calibri" w:hAnsi="Calibri" w:cs="Segoe UI"/>
        </w:rPr>
        <w:t xml:space="preserve">, K. T. (1997). The influence of case and professional variables on the identification and reporting of child maltreatment: A study of licensed psychologists and certified </w:t>
      </w:r>
      <w:proofErr w:type="gramStart"/>
      <w:r w:rsidRPr="00F85122">
        <w:rPr>
          <w:rFonts w:ascii="Calibri" w:hAnsi="Calibri" w:cs="Segoe UI"/>
        </w:rPr>
        <w:t>masters</w:t>
      </w:r>
      <w:proofErr w:type="gramEnd"/>
      <w:r w:rsidRPr="00F85122">
        <w:rPr>
          <w:rFonts w:ascii="Calibri" w:hAnsi="Calibri" w:cs="Segoe UI"/>
        </w:rPr>
        <w:t xml:space="preserve"> social workers. </w:t>
      </w:r>
      <w:r w:rsidRPr="00F85122">
        <w:rPr>
          <w:rFonts w:ascii="Calibri" w:hAnsi="Calibri" w:cs="Segoe UI"/>
          <w:i/>
          <w:iCs/>
        </w:rPr>
        <w:t>Journal of Family Violence, 12</w:t>
      </w:r>
      <w:r w:rsidRPr="00F85122">
        <w:rPr>
          <w:rFonts w:ascii="Calibri" w:hAnsi="Calibri" w:cs="Segoe UI"/>
        </w:rPr>
        <w:t>(3), 313-332.</w:t>
      </w:r>
    </w:p>
    <w:p w14:paraId="6D4018F4"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Hattie, J., (2009). </w:t>
      </w:r>
      <w:proofErr w:type="gramStart"/>
      <w:r w:rsidRPr="00F85122">
        <w:rPr>
          <w:rFonts w:ascii="Calibri" w:hAnsi="Calibri" w:cs="Segoe UI"/>
          <w:i/>
        </w:rPr>
        <w:t>Visible learning: A synthesis of over 800 meta-analyses relating to achievement</w:t>
      </w:r>
      <w:r w:rsidRPr="00F85122">
        <w:rPr>
          <w:rFonts w:ascii="Calibri" w:hAnsi="Calibri" w:cs="Segoe UI"/>
        </w:rPr>
        <w:t>.</w:t>
      </w:r>
      <w:proofErr w:type="gramEnd"/>
      <w:r w:rsidRPr="00F85122">
        <w:rPr>
          <w:rFonts w:ascii="Calibri" w:hAnsi="Calibri" w:cs="Segoe UI"/>
        </w:rPr>
        <w:t xml:space="preserve"> </w:t>
      </w:r>
      <w:proofErr w:type="gramStart"/>
      <w:r w:rsidRPr="00F85122">
        <w:rPr>
          <w:rFonts w:ascii="Calibri" w:hAnsi="Calibri" w:cs="Segoe UI"/>
        </w:rPr>
        <w:t>London: Routledge.</w:t>
      </w:r>
      <w:proofErr w:type="gramEnd"/>
    </w:p>
    <w:p w14:paraId="4F0A4CD0"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lastRenderedPageBreak/>
        <w:t>Hawkins, R., &amp; McCallum, C. (2001).</w:t>
      </w:r>
      <w:proofErr w:type="gramEnd"/>
      <w:r w:rsidRPr="00F85122">
        <w:rPr>
          <w:rFonts w:ascii="Calibri" w:hAnsi="Calibri" w:cs="Segoe UI"/>
        </w:rPr>
        <w:t xml:space="preserve"> </w:t>
      </w:r>
      <w:proofErr w:type="gramStart"/>
      <w:r w:rsidRPr="00F85122">
        <w:rPr>
          <w:rFonts w:ascii="Calibri" w:hAnsi="Calibri" w:cs="Segoe UI"/>
        </w:rPr>
        <w:t>Effects of mandatory notification training on the tendency to report hypothetical cases of child abuse and neglect.</w:t>
      </w:r>
      <w:proofErr w:type="gramEnd"/>
      <w:r w:rsidRPr="00F85122">
        <w:rPr>
          <w:rFonts w:ascii="Calibri" w:hAnsi="Calibri" w:cs="Segoe UI"/>
        </w:rPr>
        <w:t xml:space="preserve"> </w:t>
      </w:r>
      <w:r w:rsidRPr="00F85122">
        <w:rPr>
          <w:rFonts w:ascii="Calibri" w:hAnsi="Calibri" w:cs="Segoe UI"/>
          <w:i/>
          <w:iCs/>
        </w:rPr>
        <w:t>Child Abuse Review, 10</w:t>
      </w:r>
      <w:r w:rsidRPr="00F85122">
        <w:rPr>
          <w:rFonts w:ascii="Calibri" w:hAnsi="Calibri" w:cs="Segoe UI"/>
        </w:rPr>
        <w:t>(5), 301-322.</w:t>
      </w:r>
    </w:p>
    <w:p w14:paraId="5931B149"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Herendeen</w:t>
      </w:r>
      <w:proofErr w:type="spellEnd"/>
      <w:r w:rsidRPr="00F85122">
        <w:rPr>
          <w:rFonts w:ascii="Calibri" w:hAnsi="Calibri" w:cs="Segoe UI"/>
        </w:rPr>
        <w:t>, P. A., Blevins, R., Anson, E., &amp; Smith, J. (2014).</w:t>
      </w:r>
      <w:proofErr w:type="gramEnd"/>
      <w:r w:rsidRPr="00F85122">
        <w:rPr>
          <w:rFonts w:ascii="Calibri" w:hAnsi="Calibri" w:cs="Segoe UI"/>
        </w:rPr>
        <w:t xml:space="preserve"> </w:t>
      </w:r>
      <w:proofErr w:type="gramStart"/>
      <w:r w:rsidRPr="00F85122">
        <w:rPr>
          <w:rFonts w:ascii="Calibri" w:hAnsi="Calibri" w:cs="Segoe UI"/>
        </w:rPr>
        <w:t>Barriers to and consequences of mandated reporting of child abuse by nurse practitioners.</w:t>
      </w:r>
      <w:proofErr w:type="gramEnd"/>
      <w:r w:rsidRPr="00F85122">
        <w:rPr>
          <w:rFonts w:ascii="Calibri" w:hAnsi="Calibri" w:cs="Segoe UI"/>
        </w:rPr>
        <w:t xml:space="preserve"> </w:t>
      </w:r>
      <w:r w:rsidRPr="00F85122">
        <w:rPr>
          <w:rFonts w:ascii="Calibri" w:hAnsi="Calibri" w:cs="Segoe UI"/>
          <w:i/>
          <w:iCs/>
        </w:rPr>
        <w:t xml:space="preserve">Journal of </w:t>
      </w:r>
      <w:proofErr w:type="spellStart"/>
      <w:r w:rsidRPr="00F85122">
        <w:rPr>
          <w:rFonts w:ascii="Calibri" w:hAnsi="Calibri" w:cs="Segoe UI"/>
          <w:i/>
          <w:iCs/>
        </w:rPr>
        <w:t>Pediatric</w:t>
      </w:r>
      <w:proofErr w:type="spellEnd"/>
      <w:r w:rsidRPr="00F85122">
        <w:rPr>
          <w:rFonts w:ascii="Calibri" w:hAnsi="Calibri" w:cs="Segoe UI"/>
          <w:i/>
          <w:iCs/>
        </w:rPr>
        <w:t xml:space="preserve"> Health Care, 28</w:t>
      </w:r>
      <w:r w:rsidRPr="00F85122">
        <w:rPr>
          <w:rFonts w:ascii="Calibri" w:hAnsi="Calibri" w:cs="Segoe UI"/>
        </w:rPr>
        <w:t>(1), 1-7.</w:t>
      </w:r>
    </w:p>
    <w:p w14:paraId="626B22AC"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Hinson, J., &amp; </w:t>
      </w:r>
      <w:proofErr w:type="spellStart"/>
      <w:r w:rsidRPr="00F85122">
        <w:rPr>
          <w:rFonts w:ascii="Calibri" w:hAnsi="Calibri" w:cs="Segoe UI"/>
        </w:rPr>
        <w:t>Fossey</w:t>
      </w:r>
      <w:proofErr w:type="spellEnd"/>
      <w:r w:rsidRPr="00F85122">
        <w:rPr>
          <w:rFonts w:ascii="Calibri" w:hAnsi="Calibri" w:cs="Segoe UI"/>
        </w:rPr>
        <w:t>, R. (2000).</w:t>
      </w:r>
      <w:proofErr w:type="gramEnd"/>
      <w:r w:rsidRPr="00F85122">
        <w:rPr>
          <w:rFonts w:ascii="Calibri" w:hAnsi="Calibri" w:cs="Segoe UI"/>
        </w:rPr>
        <w:t xml:space="preserve"> Child abuse: What teachers in the '90s know, think, and do. </w:t>
      </w:r>
      <w:r w:rsidRPr="00F85122">
        <w:rPr>
          <w:rFonts w:ascii="Calibri" w:hAnsi="Calibri" w:cs="Segoe UI"/>
          <w:i/>
          <w:iCs/>
        </w:rPr>
        <w:t>Journal of Education for Students Placed at Risk, 5</w:t>
      </w:r>
      <w:r w:rsidRPr="00F85122">
        <w:rPr>
          <w:rFonts w:ascii="Calibri" w:hAnsi="Calibri" w:cs="Segoe UI"/>
        </w:rPr>
        <w:t>(3), 251-266.</w:t>
      </w:r>
    </w:p>
    <w:p w14:paraId="431E0291"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Holland, G. (1999). </w:t>
      </w:r>
      <w:proofErr w:type="gramStart"/>
      <w:r w:rsidRPr="00F85122">
        <w:rPr>
          <w:rFonts w:ascii="Calibri" w:hAnsi="Calibri" w:cs="Segoe UI"/>
        </w:rPr>
        <w:t>Mandatory reporting of abuse: The influence of legislation on doctors' reporting behaviour.</w:t>
      </w:r>
      <w:proofErr w:type="gramEnd"/>
      <w:r w:rsidRPr="00F85122">
        <w:rPr>
          <w:rFonts w:ascii="Calibri" w:hAnsi="Calibri" w:cs="Segoe UI"/>
        </w:rPr>
        <w:t xml:space="preserve"> </w:t>
      </w:r>
      <w:proofErr w:type="gramStart"/>
      <w:r w:rsidRPr="00F85122">
        <w:rPr>
          <w:rFonts w:ascii="Calibri" w:hAnsi="Calibri" w:cs="Segoe UI"/>
          <w:i/>
          <w:iCs/>
        </w:rPr>
        <w:t>Youth Studies Australia, 18</w:t>
      </w:r>
      <w:r w:rsidRPr="00F85122">
        <w:rPr>
          <w:rFonts w:ascii="Calibri" w:hAnsi="Calibri" w:cs="Segoe UI"/>
        </w:rPr>
        <w:t>(2), 30.</w:t>
      </w:r>
      <w:proofErr w:type="gramEnd"/>
    </w:p>
    <w:p w14:paraId="71554598"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Jankowski, P. J., &amp; Martin, M. J. (2003).</w:t>
      </w:r>
      <w:proofErr w:type="gramEnd"/>
      <w:r w:rsidRPr="00F85122">
        <w:rPr>
          <w:rFonts w:ascii="Calibri" w:hAnsi="Calibri" w:cs="Segoe UI"/>
        </w:rPr>
        <w:t xml:space="preserve"> Reporting cases of child maltreatment: Decision-making processes of family therapists in Illinois. </w:t>
      </w:r>
      <w:r w:rsidRPr="00F85122">
        <w:rPr>
          <w:rFonts w:ascii="Calibri" w:hAnsi="Calibri" w:cs="Segoe UI"/>
          <w:i/>
          <w:iCs/>
        </w:rPr>
        <w:t>Contemporary Family Therapy, 25</w:t>
      </w:r>
      <w:r w:rsidRPr="00F85122">
        <w:rPr>
          <w:rFonts w:ascii="Calibri" w:hAnsi="Calibri" w:cs="Segoe UI"/>
        </w:rPr>
        <w:t>(3), 311-332.</w:t>
      </w:r>
    </w:p>
    <w:p w14:paraId="6F5BDF03"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Jones, R., Flaherty, E. G., </w:t>
      </w:r>
      <w:proofErr w:type="spellStart"/>
      <w:r w:rsidRPr="00F85122">
        <w:rPr>
          <w:rFonts w:ascii="Calibri" w:hAnsi="Calibri" w:cs="Segoe UI"/>
        </w:rPr>
        <w:t>Binns</w:t>
      </w:r>
      <w:proofErr w:type="spellEnd"/>
      <w:r w:rsidRPr="00F85122">
        <w:rPr>
          <w:rFonts w:ascii="Calibri" w:hAnsi="Calibri" w:cs="Segoe UI"/>
        </w:rPr>
        <w:t xml:space="preserve">, H. J., Price, L. L., </w:t>
      </w:r>
      <w:proofErr w:type="spellStart"/>
      <w:r w:rsidRPr="00F85122">
        <w:rPr>
          <w:rFonts w:ascii="Calibri" w:hAnsi="Calibri" w:cs="Segoe UI"/>
        </w:rPr>
        <w:t>Slora</w:t>
      </w:r>
      <w:proofErr w:type="spellEnd"/>
      <w:r w:rsidRPr="00F85122">
        <w:rPr>
          <w:rFonts w:ascii="Calibri" w:hAnsi="Calibri" w:cs="Segoe UI"/>
        </w:rPr>
        <w:t>, E., Abney, D</w:t>
      </w:r>
      <w:proofErr w:type="gramStart"/>
      <w:r w:rsidRPr="00F85122">
        <w:rPr>
          <w:rFonts w:ascii="Calibri" w:hAnsi="Calibri" w:cs="Segoe UI"/>
        </w:rPr>
        <w:t>., . . .</w:t>
      </w:r>
      <w:proofErr w:type="gramEnd"/>
      <w:r w:rsidRPr="00F85122">
        <w:rPr>
          <w:rFonts w:ascii="Calibri" w:hAnsi="Calibri" w:cs="Segoe UI"/>
        </w:rPr>
        <w:t xml:space="preserve"> </w:t>
      </w:r>
      <w:proofErr w:type="spellStart"/>
      <w:r w:rsidRPr="00F85122">
        <w:rPr>
          <w:rFonts w:ascii="Calibri" w:hAnsi="Calibri" w:cs="Segoe UI"/>
        </w:rPr>
        <w:t>Sege</w:t>
      </w:r>
      <w:proofErr w:type="spellEnd"/>
      <w:r w:rsidRPr="00F85122">
        <w:rPr>
          <w:rFonts w:ascii="Calibri" w:hAnsi="Calibri" w:cs="Segoe UI"/>
        </w:rPr>
        <w:t xml:space="preserve">, R. D. (2008). Clinicians' description of factors influencing their reporting of suspected child abuse: Report of the child abuse reporting </w:t>
      </w:r>
      <w:proofErr w:type="gramStart"/>
      <w:r w:rsidRPr="00F85122">
        <w:rPr>
          <w:rFonts w:ascii="Calibri" w:hAnsi="Calibri" w:cs="Segoe UI"/>
        </w:rPr>
        <w:t>experience study research group</w:t>
      </w:r>
      <w:proofErr w:type="gramEnd"/>
      <w:r w:rsidRPr="00F85122">
        <w:rPr>
          <w:rFonts w:ascii="Calibri" w:hAnsi="Calibri" w:cs="Segoe UI"/>
        </w:rPr>
        <w:t xml:space="preserve">. </w:t>
      </w:r>
      <w:proofErr w:type="spellStart"/>
      <w:r w:rsidRPr="00F85122">
        <w:rPr>
          <w:rFonts w:ascii="Calibri" w:hAnsi="Calibri" w:cs="Segoe UI"/>
          <w:i/>
          <w:iCs/>
        </w:rPr>
        <w:t>Pediatrics</w:t>
      </w:r>
      <w:proofErr w:type="spellEnd"/>
      <w:r w:rsidRPr="00F85122">
        <w:rPr>
          <w:rFonts w:ascii="Calibri" w:hAnsi="Calibri" w:cs="Segoe UI"/>
          <w:i/>
          <w:iCs/>
        </w:rPr>
        <w:t>, 122</w:t>
      </w:r>
      <w:r w:rsidRPr="00F85122">
        <w:rPr>
          <w:rFonts w:ascii="Calibri" w:hAnsi="Calibri" w:cs="Segoe UI"/>
        </w:rPr>
        <w:t>(2), 259-266.</w:t>
      </w:r>
    </w:p>
    <w:p w14:paraId="32876D9A"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Kalichman</w:t>
      </w:r>
      <w:proofErr w:type="spellEnd"/>
      <w:r w:rsidRPr="00F85122">
        <w:rPr>
          <w:rFonts w:ascii="Calibri" w:hAnsi="Calibri" w:cs="Segoe UI"/>
        </w:rPr>
        <w:t xml:space="preserve">, S. C., &amp; </w:t>
      </w:r>
      <w:proofErr w:type="spellStart"/>
      <w:r w:rsidRPr="00F85122">
        <w:rPr>
          <w:rFonts w:ascii="Calibri" w:hAnsi="Calibri" w:cs="Segoe UI"/>
        </w:rPr>
        <w:t>Brosig</w:t>
      </w:r>
      <w:proofErr w:type="spellEnd"/>
      <w:r w:rsidRPr="00F85122">
        <w:rPr>
          <w:rFonts w:ascii="Calibri" w:hAnsi="Calibri" w:cs="Segoe UI"/>
        </w:rPr>
        <w:t>, C. L. (1993).</w:t>
      </w:r>
      <w:proofErr w:type="gramEnd"/>
      <w:r w:rsidRPr="00F85122">
        <w:rPr>
          <w:rFonts w:ascii="Calibri" w:hAnsi="Calibri" w:cs="Segoe UI"/>
        </w:rPr>
        <w:t xml:space="preserve"> </w:t>
      </w:r>
      <w:proofErr w:type="gramStart"/>
      <w:r w:rsidRPr="00F85122">
        <w:rPr>
          <w:rFonts w:ascii="Calibri" w:hAnsi="Calibri" w:cs="Segoe UI"/>
        </w:rPr>
        <w:t>Practicing psychologists' interpretations of and compliance with child abuse reporting laws.</w:t>
      </w:r>
      <w:proofErr w:type="gramEnd"/>
      <w:r w:rsidRPr="00F85122">
        <w:rPr>
          <w:rFonts w:ascii="Calibri" w:hAnsi="Calibri" w:cs="Segoe UI"/>
        </w:rPr>
        <w:t xml:space="preserve"> </w:t>
      </w:r>
      <w:r w:rsidRPr="00F85122">
        <w:rPr>
          <w:rFonts w:ascii="Calibri" w:hAnsi="Calibri" w:cs="Segoe UI"/>
          <w:i/>
          <w:iCs/>
        </w:rPr>
        <w:t xml:space="preserve">Law and Human </w:t>
      </w:r>
      <w:proofErr w:type="spellStart"/>
      <w:r w:rsidRPr="00F85122">
        <w:rPr>
          <w:rFonts w:ascii="Calibri" w:hAnsi="Calibri" w:cs="Segoe UI"/>
          <w:i/>
          <w:iCs/>
        </w:rPr>
        <w:t>Behavior</w:t>
      </w:r>
      <w:proofErr w:type="spellEnd"/>
      <w:r w:rsidRPr="00F85122">
        <w:rPr>
          <w:rFonts w:ascii="Calibri" w:hAnsi="Calibri" w:cs="Segoe UI"/>
          <w:i/>
          <w:iCs/>
        </w:rPr>
        <w:t>, 17</w:t>
      </w:r>
      <w:r w:rsidRPr="00F85122">
        <w:rPr>
          <w:rFonts w:ascii="Calibri" w:hAnsi="Calibri" w:cs="Segoe UI"/>
        </w:rPr>
        <w:t>(1), 83-93.</w:t>
      </w:r>
    </w:p>
    <w:p w14:paraId="10847BFF"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Kalichman</w:t>
      </w:r>
      <w:proofErr w:type="spellEnd"/>
      <w:r w:rsidRPr="00F85122">
        <w:rPr>
          <w:rFonts w:ascii="Calibri" w:hAnsi="Calibri" w:cs="Segoe UI"/>
        </w:rPr>
        <w:t>, S. C., &amp; Craig, M. E. (1991).</w:t>
      </w:r>
      <w:proofErr w:type="gramEnd"/>
      <w:r w:rsidRPr="00F85122">
        <w:rPr>
          <w:rFonts w:ascii="Calibri" w:hAnsi="Calibri" w:cs="Segoe UI"/>
        </w:rPr>
        <w:t xml:space="preserve"> Professional psychologists' decisions to report suspected child abuse: Clinician and situation influences. </w:t>
      </w:r>
      <w:r w:rsidRPr="00F85122">
        <w:rPr>
          <w:rFonts w:ascii="Calibri" w:hAnsi="Calibri" w:cs="Segoe UI"/>
          <w:i/>
          <w:iCs/>
        </w:rPr>
        <w:t>Professional Psychology: Research and Practice, 22</w:t>
      </w:r>
      <w:r w:rsidRPr="00F85122">
        <w:rPr>
          <w:rFonts w:ascii="Calibri" w:hAnsi="Calibri" w:cs="Segoe UI"/>
        </w:rPr>
        <w:t>(1), 84-89.</w:t>
      </w:r>
    </w:p>
    <w:p w14:paraId="4595B150"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Kalichman</w:t>
      </w:r>
      <w:proofErr w:type="spellEnd"/>
      <w:r w:rsidRPr="00F85122">
        <w:rPr>
          <w:rFonts w:ascii="Calibri" w:hAnsi="Calibri" w:cs="Segoe UI"/>
        </w:rPr>
        <w:t xml:space="preserve">, S. C., Craig, M. E., &amp; </w:t>
      </w:r>
      <w:proofErr w:type="spellStart"/>
      <w:r w:rsidRPr="00F85122">
        <w:rPr>
          <w:rFonts w:ascii="Calibri" w:hAnsi="Calibri" w:cs="Segoe UI"/>
        </w:rPr>
        <w:t>Follingstad</w:t>
      </w:r>
      <w:proofErr w:type="spellEnd"/>
      <w:r w:rsidRPr="00F85122">
        <w:rPr>
          <w:rFonts w:ascii="Calibri" w:hAnsi="Calibri" w:cs="Segoe UI"/>
        </w:rPr>
        <w:t>, D. R. (1988).</w:t>
      </w:r>
      <w:proofErr w:type="gramEnd"/>
      <w:r w:rsidRPr="00F85122">
        <w:rPr>
          <w:rFonts w:ascii="Calibri" w:hAnsi="Calibri" w:cs="Segoe UI"/>
        </w:rPr>
        <w:t xml:space="preserve"> </w:t>
      </w:r>
      <w:proofErr w:type="gramStart"/>
      <w:r w:rsidRPr="00F85122">
        <w:rPr>
          <w:rFonts w:ascii="Calibri" w:hAnsi="Calibri" w:cs="Segoe UI"/>
        </w:rPr>
        <w:t>Mental health professionals and suspected cases of child abuse: An investigation of factors influencing reporting.</w:t>
      </w:r>
      <w:proofErr w:type="gramEnd"/>
      <w:r w:rsidRPr="00F85122">
        <w:rPr>
          <w:rFonts w:ascii="Calibri" w:hAnsi="Calibri" w:cs="Segoe UI"/>
        </w:rPr>
        <w:t xml:space="preserve"> </w:t>
      </w:r>
      <w:r w:rsidRPr="00F85122">
        <w:rPr>
          <w:rFonts w:ascii="Calibri" w:hAnsi="Calibri" w:cs="Segoe UI"/>
          <w:i/>
          <w:iCs/>
        </w:rPr>
        <w:t>Community Mental Health Journal, 24</w:t>
      </w:r>
      <w:r w:rsidRPr="00F85122">
        <w:rPr>
          <w:rFonts w:ascii="Calibri" w:hAnsi="Calibri" w:cs="Segoe UI"/>
        </w:rPr>
        <w:t>(1), 43-51.</w:t>
      </w:r>
    </w:p>
    <w:p w14:paraId="1AC03570"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Kalichman</w:t>
      </w:r>
      <w:proofErr w:type="spellEnd"/>
      <w:r w:rsidRPr="00F85122">
        <w:rPr>
          <w:rFonts w:ascii="Calibri" w:hAnsi="Calibri" w:cs="Segoe UI"/>
        </w:rPr>
        <w:t xml:space="preserve">, S. C., Craig, M. E., &amp; </w:t>
      </w:r>
      <w:proofErr w:type="spellStart"/>
      <w:r w:rsidRPr="00F85122">
        <w:rPr>
          <w:rFonts w:ascii="Calibri" w:hAnsi="Calibri" w:cs="Segoe UI"/>
        </w:rPr>
        <w:t>Follingstad</w:t>
      </w:r>
      <w:proofErr w:type="spellEnd"/>
      <w:r w:rsidRPr="00F85122">
        <w:rPr>
          <w:rFonts w:ascii="Calibri" w:hAnsi="Calibri" w:cs="Segoe UI"/>
        </w:rPr>
        <w:t>, D. R. (1989).</w:t>
      </w:r>
      <w:proofErr w:type="gramEnd"/>
      <w:r w:rsidRPr="00F85122">
        <w:rPr>
          <w:rFonts w:ascii="Calibri" w:hAnsi="Calibri" w:cs="Segoe UI"/>
        </w:rPr>
        <w:t xml:space="preserve"> </w:t>
      </w:r>
      <w:proofErr w:type="gramStart"/>
      <w:r w:rsidRPr="00F85122">
        <w:rPr>
          <w:rFonts w:ascii="Calibri" w:hAnsi="Calibri" w:cs="Segoe UI"/>
        </w:rPr>
        <w:t>Factors influencing the reporting of father-child sexual abuse: Study of licensed practicing psychologists.</w:t>
      </w:r>
      <w:proofErr w:type="gramEnd"/>
      <w:r w:rsidRPr="00F85122">
        <w:rPr>
          <w:rFonts w:ascii="Calibri" w:hAnsi="Calibri" w:cs="Segoe UI"/>
        </w:rPr>
        <w:t xml:space="preserve"> </w:t>
      </w:r>
      <w:r w:rsidRPr="00F85122">
        <w:rPr>
          <w:rFonts w:ascii="Calibri" w:hAnsi="Calibri" w:cs="Segoe UI"/>
          <w:i/>
          <w:iCs/>
        </w:rPr>
        <w:t>Professional Psychology: Research and Practice, 20</w:t>
      </w:r>
      <w:r w:rsidRPr="00F85122">
        <w:rPr>
          <w:rFonts w:ascii="Calibri" w:hAnsi="Calibri" w:cs="Segoe UI"/>
        </w:rPr>
        <w:t>(2), 84-89.</w:t>
      </w:r>
    </w:p>
    <w:p w14:paraId="5ACEC854"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Kalichman</w:t>
      </w:r>
      <w:proofErr w:type="spellEnd"/>
      <w:r w:rsidRPr="00F85122">
        <w:rPr>
          <w:rFonts w:ascii="Calibri" w:hAnsi="Calibri" w:cs="Segoe UI"/>
        </w:rPr>
        <w:t xml:space="preserve">, S. C., Craig, M. E., &amp; </w:t>
      </w:r>
      <w:proofErr w:type="spellStart"/>
      <w:r w:rsidRPr="00F85122">
        <w:rPr>
          <w:rFonts w:ascii="Calibri" w:hAnsi="Calibri" w:cs="Segoe UI"/>
        </w:rPr>
        <w:t>Follingstad</w:t>
      </w:r>
      <w:proofErr w:type="spellEnd"/>
      <w:r w:rsidRPr="00F85122">
        <w:rPr>
          <w:rFonts w:ascii="Calibri" w:hAnsi="Calibri" w:cs="Segoe UI"/>
        </w:rPr>
        <w:t>, D. R. (1990).</w:t>
      </w:r>
      <w:proofErr w:type="gramEnd"/>
      <w:r w:rsidRPr="00F85122">
        <w:rPr>
          <w:rFonts w:ascii="Calibri" w:hAnsi="Calibri" w:cs="Segoe UI"/>
        </w:rPr>
        <w:t xml:space="preserve"> </w:t>
      </w:r>
      <w:proofErr w:type="gramStart"/>
      <w:r w:rsidRPr="00F85122">
        <w:rPr>
          <w:rFonts w:ascii="Calibri" w:hAnsi="Calibri" w:cs="Segoe UI"/>
        </w:rPr>
        <w:t>Professionals' adherence to mandatory child abuse reporting laws: Effects of responsibility attribution, confidence ratings, and situational factors.</w:t>
      </w:r>
      <w:proofErr w:type="gramEnd"/>
      <w:r w:rsidRPr="00F85122">
        <w:rPr>
          <w:rFonts w:ascii="Calibri" w:hAnsi="Calibri" w:cs="Segoe UI"/>
        </w:rPr>
        <w:t xml:space="preserve"> </w:t>
      </w:r>
      <w:r w:rsidRPr="00F85122">
        <w:rPr>
          <w:rFonts w:ascii="Calibri" w:hAnsi="Calibri" w:cs="Segoe UI"/>
          <w:i/>
          <w:iCs/>
        </w:rPr>
        <w:t>Child Abuse &amp; Neglect, 14</w:t>
      </w:r>
      <w:r w:rsidRPr="00F85122">
        <w:rPr>
          <w:rFonts w:ascii="Calibri" w:hAnsi="Calibri" w:cs="Segoe UI"/>
        </w:rPr>
        <w:t>(1), 69-77.</w:t>
      </w:r>
    </w:p>
    <w:p w14:paraId="49E812A9"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Kenny, M. C. (2001). Child abuse reporting: Teachers' perceived deterrents. </w:t>
      </w:r>
      <w:r w:rsidRPr="00F85122">
        <w:rPr>
          <w:rFonts w:ascii="Calibri" w:hAnsi="Calibri" w:cs="Segoe UI"/>
          <w:i/>
          <w:iCs/>
        </w:rPr>
        <w:t>Child Abuse &amp; Neglect, 25</w:t>
      </w:r>
      <w:r w:rsidRPr="00F85122">
        <w:rPr>
          <w:rFonts w:ascii="Calibri" w:hAnsi="Calibri" w:cs="Segoe UI"/>
        </w:rPr>
        <w:t>(1), 81-92.</w:t>
      </w:r>
    </w:p>
    <w:p w14:paraId="6720B68F"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Kenny, M. C. (2004). </w:t>
      </w:r>
      <w:proofErr w:type="gramStart"/>
      <w:r w:rsidRPr="00F85122">
        <w:rPr>
          <w:rFonts w:ascii="Calibri" w:hAnsi="Calibri" w:cs="Segoe UI"/>
        </w:rPr>
        <w:t>Teachers' attitudes toward and knowledge of child maltreatment.</w:t>
      </w:r>
      <w:proofErr w:type="gramEnd"/>
      <w:r w:rsidRPr="00F85122">
        <w:rPr>
          <w:rFonts w:ascii="Calibri" w:hAnsi="Calibri" w:cs="Segoe UI"/>
        </w:rPr>
        <w:t xml:space="preserve"> </w:t>
      </w:r>
      <w:r w:rsidRPr="00F85122">
        <w:rPr>
          <w:rFonts w:ascii="Calibri" w:hAnsi="Calibri" w:cs="Segoe UI"/>
          <w:i/>
          <w:iCs/>
        </w:rPr>
        <w:t xml:space="preserve">Child Abuse &amp; </w:t>
      </w:r>
      <w:r w:rsidRPr="00F85122">
        <w:rPr>
          <w:rFonts w:ascii="Calibri" w:hAnsi="Calibri" w:cs="Segoe UI"/>
          <w:i/>
          <w:iCs/>
        </w:rPr>
        <w:lastRenderedPageBreak/>
        <w:t>Neglect, 28</w:t>
      </w:r>
      <w:r w:rsidRPr="00F85122">
        <w:rPr>
          <w:rFonts w:ascii="Calibri" w:hAnsi="Calibri" w:cs="Segoe UI"/>
        </w:rPr>
        <w:t>(12), 1311-1319.</w:t>
      </w:r>
    </w:p>
    <w:p w14:paraId="6D086BA1"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Kenny, M. C., &amp; </w:t>
      </w:r>
      <w:proofErr w:type="spellStart"/>
      <w:r w:rsidRPr="00F85122">
        <w:rPr>
          <w:rFonts w:ascii="Calibri" w:hAnsi="Calibri" w:cs="Segoe UI"/>
        </w:rPr>
        <w:t>McEachern</w:t>
      </w:r>
      <w:proofErr w:type="spellEnd"/>
      <w:r w:rsidRPr="00F85122">
        <w:rPr>
          <w:rFonts w:ascii="Calibri" w:hAnsi="Calibri" w:cs="Segoe UI"/>
        </w:rPr>
        <w:t>, A. G. (2002).</w:t>
      </w:r>
      <w:proofErr w:type="gramEnd"/>
      <w:r w:rsidRPr="00F85122">
        <w:rPr>
          <w:rFonts w:ascii="Calibri" w:hAnsi="Calibri" w:cs="Segoe UI"/>
        </w:rPr>
        <w:t xml:space="preserve"> Reporting suspected child </w:t>
      </w:r>
      <w:proofErr w:type="gramStart"/>
      <w:r w:rsidRPr="00F85122">
        <w:rPr>
          <w:rFonts w:ascii="Calibri" w:hAnsi="Calibri" w:cs="Segoe UI"/>
        </w:rPr>
        <w:t>abuse:</w:t>
      </w:r>
      <w:proofErr w:type="gramEnd"/>
      <w:r w:rsidRPr="00F85122">
        <w:rPr>
          <w:rFonts w:ascii="Calibri" w:hAnsi="Calibri" w:cs="Segoe UI"/>
        </w:rPr>
        <w:t xml:space="preserve"> A pilot comparison of middle and high school </w:t>
      </w:r>
      <w:proofErr w:type="spellStart"/>
      <w:r w:rsidRPr="00F85122">
        <w:rPr>
          <w:rFonts w:ascii="Calibri" w:hAnsi="Calibri" w:cs="Segoe UI"/>
        </w:rPr>
        <w:t>counselors</w:t>
      </w:r>
      <w:proofErr w:type="spellEnd"/>
      <w:r w:rsidRPr="00F85122">
        <w:rPr>
          <w:rFonts w:ascii="Calibri" w:hAnsi="Calibri" w:cs="Segoe UI"/>
        </w:rPr>
        <w:t xml:space="preserve"> and principals. </w:t>
      </w:r>
      <w:r w:rsidRPr="00F85122">
        <w:rPr>
          <w:rFonts w:ascii="Calibri" w:hAnsi="Calibri" w:cs="Segoe UI"/>
          <w:i/>
          <w:iCs/>
        </w:rPr>
        <w:t>Journal of Child Sexual Abuse, 11</w:t>
      </w:r>
      <w:r w:rsidRPr="00F85122">
        <w:rPr>
          <w:rFonts w:ascii="Calibri" w:hAnsi="Calibri" w:cs="Segoe UI"/>
        </w:rPr>
        <w:t>(2), 59-75.</w:t>
      </w:r>
    </w:p>
    <w:p w14:paraId="7715FDF7"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Khangura</w:t>
      </w:r>
      <w:proofErr w:type="spellEnd"/>
      <w:r w:rsidRPr="00F85122">
        <w:rPr>
          <w:rFonts w:ascii="Calibri" w:hAnsi="Calibri" w:cs="Segoe UI"/>
        </w:rPr>
        <w:t xml:space="preserve">, S., </w:t>
      </w:r>
      <w:proofErr w:type="spellStart"/>
      <w:r w:rsidRPr="00F85122">
        <w:rPr>
          <w:rFonts w:ascii="Calibri" w:hAnsi="Calibri" w:cs="Segoe UI"/>
        </w:rPr>
        <w:t>Konnyu</w:t>
      </w:r>
      <w:proofErr w:type="spellEnd"/>
      <w:r w:rsidRPr="00F85122">
        <w:rPr>
          <w:rFonts w:ascii="Calibri" w:hAnsi="Calibri" w:cs="Segoe UI"/>
        </w:rPr>
        <w:t xml:space="preserve">, K., Cushman, R., </w:t>
      </w:r>
      <w:proofErr w:type="spellStart"/>
      <w:r w:rsidRPr="00F85122">
        <w:rPr>
          <w:rFonts w:ascii="Calibri" w:hAnsi="Calibri" w:cs="Segoe UI"/>
        </w:rPr>
        <w:t>Grimshaw</w:t>
      </w:r>
      <w:proofErr w:type="spellEnd"/>
      <w:r w:rsidRPr="00F85122">
        <w:rPr>
          <w:rFonts w:ascii="Calibri" w:hAnsi="Calibri" w:cs="Segoe UI"/>
        </w:rPr>
        <w:t xml:space="preserve">, J., &amp; </w:t>
      </w:r>
      <w:proofErr w:type="spellStart"/>
      <w:r w:rsidRPr="00F85122">
        <w:rPr>
          <w:rFonts w:ascii="Calibri" w:hAnsi="Calibri" w:cs="Segoe UI"/>
        </w:rPr>
        <w:t>Moher</w:t>
      </w:r>
      <w:proofErr w:type="spellEnd"/>
      <w:r w:rsidRPr="00F85122">
        <w:rPr>
          <w:rFonts w:ascii="Calibri" w:hAnsi="Calibri" w:cs="Segoe UI"/>
        </w:rPr>
        <w:t>, D. (2012).</w:t>
      </w:r>
      <w:proofErr w:type="gramEnd"/>
      <w:r w:rsidRPr="00F85122">
        <w:rPr>
          <w:rFonts w:ascii="Calibri" w:hAnsi="Calibri" w:cs="Segoe UI"/>
        </w:rPr>
        <w:t xml:space="preserve"> </w:t>
      </w:r>
      <w:proofErr w:type="gramStart"/>
      <w:r w:rsidRPr="00F85122">
        <w:rPr>
          <w:rFonts w:ascii="Calibri" w:hAnsi="Calibri" w:cs="Segoe UI"/>
        </w:rPr>
        <w:t>Evidence summaries: The evolution of a rapid review approach.</w:t>
      </w:r>
      <w:proofErr w:type="gramEnd"/>
      <w:r w:rsidRPr="00F85122">
        <w:rPr>
          <w:rFonts w:ascii="Calibri" w:hAnsi="Calibri" w:cs="Segoe UI"/>
        </w:rPr>
        <w:t xml:space="preserve"> </w:t>
      </w:r>
      <w:proofErr w:type="gramStart"/>
      <w:r w:rsidRPr="00F85122">
        <w:rPr>
          <w:rFonts w:ascii="Calibri" w:hAnsi="Calibri" w:cs="Segoe UI"/>
          <w:i/>
          <w:iCs/>
        </w:rPr>
        <w:t>Systematic Reviews, 1</w:t>
      </w:r>
      <w:r w:rsidRPr="00F85122">
        <w:rPr>
          <w:rFonts w:ascii="Calibri" w:hAnsi="Calibri" w:cs="Segoe UI"/>
        </w:rPr>
        <w:t>(1), 10-10.</w:t>
      </w:r>
      <w:proofErr w:type="gramEnd"/>
    </w:p>
    <w:p w14:paraId="21BCDDF3"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King, G., Reece, R., </w:t>
      </w:r>
      <w:proofErr w:type="spellStart"/>
      <w:r w:rsidRPr="00F85122">
        <w:rPr>
          <w:rFonts w:ascii="Calibri" w:hAnsi="Calibri" w:cs="Segoe UI"/>
        </w:rPr>
        <w:t>Bendel</w:t>
      </w:r>
      <w:proofErr w:type="spellEnd"/>
      <w:r w:rsidRPr="00F85122">
        <w:rPr>
          <w:rFonts w:ascii="Calibri" w:hAnsi="Calibri" w:cs="Segoe UI"/>
        </w:rPr>
        <w:t>, R., &amp; Patel, V. (1998).</w:t>
      </w:r>
      <w:proofErr w:type="gramEnd"/>
      <w:r w:rsidRPr="00F85122">
        <w:rPr>
          <w:rFonts w:ascii="Calibri" w:hAnsi="Calibri" w:cs="Segoe UI"/>
        </w:rPr>
        <w:t xml:space="preserve"> </w:t>
      </w:r>
      <w:proofErr w:type="gramStart"/>
      <w:r w:rsidRPr="00F85122">
        <w:rPr>
          <w:rFonts w:ascii="Calibri" w:hAnsi="Calibri" w:cs="Segoe UI"/>
        </w:rPr>
        <w:t xml:space="preserve">The effects of </w:t>
      </w:r>
      <w:proofErr w:type="spellStart"/>
      <w:r w:rsidRPr="00F85122">
        <w:rPr>
          <w:rFonts w:ascii="Calibri" w:hAnsi="Calibri" w:cs="Segoe UI"/>
        </w:rPr>
        <w:t>sociodemographic</w:t>
      </w:r>
      <w:proofErr w:type="spellEnd"/>
      <w:r w:rsidRPr="00F85122">
        <w:rPr>
          <w:rFonts w:ascii="Calibri" w:hAnsi="Calibri" w:cs="Segoe UI"/>
        </w:rPr>
        <w:t xml:space="preserve"> variables, training, and attitudes on the lifetime reporting practices of mandated reporters.</w:t>
      </w:r>
      <w:proofErr w:type="gramEnd"/>
      <w:r w:rsidRPr="00F85122">
        <w:rPr>
          <w:rFonts w:ascii="Calibri" w:hAnsi="Calibri" w:cs="Segoe UI"/>
        </w:rPr>
        <w:t xml:space="preserve"> </w:t>
      </w:r>
      <w:r w:rsidRPr="00F85122">
        <w:rPr>
          <w:rFonts w:ascii="Calibri" w:hAnsi="Calibri" w:cs="Segoe UI"/>
          <w:i/>
          <w:iCs/>
        </w:rPr>
        <w:t>Child Maltreatment, 3</w:t>
      </w:r>
      <w:r w:rsidRPr="00F85122">
        <w:rPr>
          <w:rFonts w:ascii="Calibri" w:hAnsi="Calibri" w:cs="Segoe UI"/>
        </w:rPr>
        <w:t>(3), 276-283.</w:t>
      </w:r>
    </w:p>
    <w:p w14:paraId="659B786F"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Lane, W. G., &amp; </w:t>
      </w:r>
      <w:proofErr w:type="spellStart"/>
      <w:r w:rsidRPr="00F85122">
        <w:rPr>
          <w:rFonts w:ascii="Calibri" w:hAnsi="Calibri" w:cs="Segoe UI"/>
        </w:rPr>
        <w:t>Dubowitz</w:t>
      </w:r>
      <w:proofErr w:type="spellEnd"/>
      <w:r w:rsidRPr="00F85122">
        <w:rPr>
          <w:rFonts w:ascii="Calibri" w:hAnsi="Calibri" w:cs="Segoe UI"/>
        </w:rPr>
        <w:t xml:space="preserve">, H. (2007). What factors affect the identification and reporting of child abuse-related fractures? </w:t>
      </w:r>
      <w:r w:rsidRPr="00F85122">
        <w:rPr>
          <w:rFonts w:ascii="Calibri" w:hAnsi="Calibri" w:cs="Segoe UI"/>
          <w:i/>
          <w:iCs/>
        </w:rPr>
        <w:t xml:space="preserve">Clinical Orthopaedics and Related Research, </w:t>
      </w:r>
      <w:proofErr w:type="gramStart"/>
      <w:r w:rsidRPr="00F85122">
        <w:rPr>
          <w:rFonts w:ascii="Calibri" w:hAnsi="Calibri" w:cs="Segoe UI"/>
          <w:i/>
          <w:iCs/>
        </w:rPr>
        <w:t>PAP</w:t>
      </w:r>
      <w:r w:rsidRPr="00F85122">
        <w:rPr>
          <w:rFonts w:ascii="Calibri" w:hAnsi="Calibri" w:cs="Segoe UI"/>
        </w:rPr>
        <w:t>(</w:t>
      </w:r>
      <w:proofErr w:type="gramEnd"/>
      <w:r w:rsidRPr="00F85122">
        <w:rPr>
          <w:rFonts w:ascii="Calibri" w:hAnsi="Calibri" w:cs="Segoe UI"/>
        </w:rPr>
        <w:t>461), 219-225.</w:t>
      </w:r>
    </w:p>
    <w:p w14:paraId="18682D44"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Lee, P.-Y., Fraser, J. A., &amp; Chou, F.-H.</w:t>
      </w:r>
      <w:proofErr w:type="gramEnd"/>
      <w:r w:rsidRPr="00F85122">
        <w:rPr>
          <w:rFonts w:ascii="Calibri" w:hAnsi="Calibri" w:cs="Segoe UI"/>
        </w:rPr>
        <w:t xml:space="preserve"> </w:t>
      </w:r>
      <w:proofErr w:type="gramStart"/>
      <w:r w:rsidRPr="00F85122">
        <w:rPr>
          <w:rFonts w:ascii="Calibri" w:hAnsi="Calibri" w:cs="Segoe UI"/>
        </w:rPr>
        <w:t>(2007). Nurse reporting of known and suspected child abuse and neglect cases in Taiwan.</w:t>
      </w:r>
      <w:proofErr w:type="gramEnd"/>
      <w:r w:rsidRPr="00F85122">
        <w:rPr>
          <w:rFonts w:ascii="Calibri" w:hAnsi="Calibri" w:cs="Segoe UI"/>
        </w:rPr>
        <w:t xml:space="preserve"> </w:t>
      </w:r>
      <w:r w:rsidRPr="00F85122">
        <w:rPr>
          <w:rFonts w:ascii="Calibri" w:hAnsi="Calibri" w:cs="Segoe UI"/>
          <w:i/>
          <w:iCs/>
        </w:rPr>
        <w:t>The Kaohsiung Journal of Medical Sciences, 23</w:t>
      </w:r>
      <w:r w:rsidRPr="00F85122">
        <w:rPr>
          <w:rFonts w:ascii="Calibri" w:hAnsi="Calibri" w:cs="Segoe UI"/>
        </w:rPr>
        <w:t>(3), 128-137.</w:t>
      </w:r>
    </w:p>
    <w:p w14:paraId="6F9D559A" w14:textId="77777777" w:rsidR="00F85122" w:rsidRPr="00F85122" w:rsidRDefault="00F85122" w:rsidP="00F85122">
      <w:pPr>
        <w:spacing w:after="60"/>
        <w:ind w:left="720" w:hanging="720"/>
        <w:rPr>
          <w:rFonts w:ascii="Calibri" w:hAnsi="Calibri"/>
        </w:rPr>
      </w:pPr>
      <w:proofErr w:type="gramStart"/>
      <w:r w:rsidRPr="00F85122">
        <w:rPr>
          <w:rFonts w:ascii="Calibri" w:hAnsi="Calibri"/>
        </w:rPr>
        <w:t>Levi, B. H., &amp; Brown, G. (2005).</w:t>
      </w:r>
      <w:proofErr w:type="gramEnd"/>
      <w:r w:rsidRPr="00F85122">
        <w:rPr>
          <w:rFonts w:ascii="Calibri" w:hAnsi="Calibri"/>
        </w:rPr>
        <w:t xml:space="preserve"> </w:t>
      </w:r>
      <w:proofErr w:type="gramStart"/>
      <w:r w:rsidRPr="00F85122">
        <w:rPr>
          <w:rFonts w:ascii="Calibri" w:hAnsi="Calibri"/>
        </w:rPr>
        <w:t>Reasonable suspicion: A study of Pennsylvania paediatricians regarding child abuse.</w:t>
      </w:r>
      <w:proofErr w:type="gramEnd"/>
      <w:r w:rsidRPr="00F85122">
        <w:rPr>
          <w:rFonts w:ascii="Calibri" w:hAnsi="Calibri"/>
        </w:rPr>
        <w:t xml:space="preserve"> </w:t>
      </w:r>
      <w:proofErr w:type="spellStart"/>
      <w:r w:rsidRPr="00F85122">
        <w:rPr>
          <w:rFonts w:ascii="Calibri" w:hAnsi="Calibri"/>
          <w:i/>
        </w:rPr>
        <w:t>Pediatric</w:t>
      </w:r>
      <w:r w:rsidRPr="00F85122">
        <w:rPr>
          <w:rFonts w:ascii="Calibri" w:hAnsi="Calibri"/>
        </w:rPr>
        <w:t>s</w:t>
      </w:r>
      <w:proofErr w:type="spellEnd"/>
      <w:r w:rsidRPr="00F85122">
        <w:rPr>
          <w:rFonts w:ascii="Calibri" w:hAnsi="Calibri"/>
        </w:rPr>
        <w:t xml:space="preserve">, </w:t>
      </w:r>
      <w:r w:rsidRPr="00F85122">
        <w:rPr>
          <w:rFonts w:ascii="Calibri" w:hAnsi="Calibri"/>
          <w:i/>
        </w:rPr>
        <w:t>116</w:t>
      </w:r>
      <w:r w:rsidRPr="00F85122">
        <w:rPr>
          <w:rFonts w:ascii="Calibri" w:hAnsi="Calibri"/>
        </w:rPr>
        <w:t>(1), 211-212.</w:t>
      </w:r>
    </w:p>
    <w:p w14:paraId="01E9F53A" w14:textId="77777777" w:rsidR="00F85122" w:rsidRPr="00F85122" w:rsidRDefault="00F85122" w:rsidP="00F85122">
      <w:pPr>
        <w:spacing w:after="60"/>
        <w:ind w:left="720" w:hanging="720"/>
        <w:rPr>
          <w:rFonts w:ascii="Calibri" w:hAnsi="Calibri"/>
        </w:rPr>
      </w:pPr>
      <w:proofErr w:type="gramStart"/>
      <w:r w:rsidRPr="00F85122">
        <w:rPr>
          <w:rFonts w:ascii="Calibri" w:hAnsi="Calibri"/>
        </w:rPr>
        <w:t xml:space="preserve">Levi, B. H., Brown, G., &amp; </w:t>
      </w:r>
      <w:proofErr w:type="spellStart"/>
      <w:r w:rsidRPr="00F85122">
        <w:rPr>
          <w:rFonts w:ascii="Calibri" w:hAnsi="Calibri"/>
        </w:rPr>
        <w:t>Erb</w:t>
      </w:r>
      <w:proofErr w:type="spellEnd"/>
      <w:r w:rsidRPr="00F85122">
        <w:rPr>
          <w:rFonts w:ascii="Calibri" w:hAnsi="Calibri"/>
        </w:rPr>
        <w:t>, C. (2006).</w:t>
      </w:r>
      <w:proofErr w:type="gramEnd"/>
      <w:r w:rsidRPr="00F85122">
        <w:rPr>
          <w:rFonts w:ascii="Calibri" w:hAnsi="Calibri"/>
        </w:rPr>
        <w:t xml:space="preserve"> </w:t>
      </w:r>
      <w:proofErr w:type="gramStart"/>
      <w:r w:rsidRPr="00F85122">
        <w:rPr>
          <w:rFonts w:ascii="Calibri" w:hAnsi="Calibri"/>
        </w:rPr>
        <w:t xml:space="preserve">Reasonable suspicion: A pilot study of </w:t>
      </w:r>
      <w:proofErr w:type="spellStart"/>
      <w:r w:rsidRPr="00F85122">
        <w:rPr>
          <w:rFonts w:ascii="Calibri" w:hAnsi="Calibri"/>
        </w:rPr>
        <w:t>pediatric</w:t>
      </w:r>
      <w:proofErr w:type="spellEnd"/>
      <w:r w:rsidRPr="00F85122">
        <w:rPr>
          <w:rFonts w:ascii="Calibri" w:hAnsi="Calibri"/>
        </w:rPr>
        <w:t xml:space="preserve"> residents.</w:t>
      </w:r>
      <w:proofErr w:type="gramEnd"/>
      <w:r w:rsidRPr="00F85122">
        <w:rPr>
          <w:rFonts w:ascii="Calibri" w:hAnsi="Calibri"/>
        </w:rPr>
        <w:t xml:space="preserve"> </w:t>
      </w:r>
      <w:r w:rsidRPr="00F85122">
        <w:rPr>
          <w:rFonts w:ascii="Calibri" w:hAnsi="Calibri"/>
          <w:i/>
        </w:rPr>
        <w:t>Child Abuse &amp; Neglect</w:t>
      </w:r>
      <w:r w:rsidRPr="00F85122">
        <w:rPr>
          <w:rFonts w:ascii="Calibri" w:hAnsi="Calibri"/>
        </w:rPr>
        <w:t xml:space="preserve">, </w:t>
      </w:r>
      <w:r w:rsidRPr="00F85122">
        <w:rPr>
          <w:rFonts w:ascii="Calibri" w:hAnsi="Calibri"/>
          <w:i/>
        </w:rPr>
        <w:t>30</w:t>
      </w:r>
      <w:r w:rsidRPr="00F85122">
        <w:rPr>
          <w:rFonts w:ascii="Calibri" w:hAnsi="Calibri"/>
        </w:rPr>
        <w:t>(4), 345-356.</w:t>
      </w:r>
    </w:p>
    <w:p w14:paraId="0771645A" w14:textId="77777777" w:rsidR="00F85122" w:rsidRPr="00F85122" w:rsidRDefault="00F85122" w:rsidP="00F85122">
      <w:pPr>
        <w:spacing w:after="60"/>
        <w:ind w:left="720" w:hanging="720"/>
        <w:rPr>
          <w:rFonts w:ascii="Calibri" w:hAnsi="Calibri"/>
        </w:rPr>
      </w:pPr>
      <w:proofErr w:type="gramStart"/>
      <w:r w:rsidRPr="00F85122">
        <w:rPr>
          <w:rFonts w:ascii="Calibri" w:hAnsi="Calibri"/>
        </w:rPr>
        <w:t>McDaniel, M. (2006).</w:t>
      </w:r>
      <w:proofErr w:type="gramEnd"/>
      <w:r w:rsidRPr="00F85122">
        <w:rPr>
          <w:rFonts w:ascii="Calibri" w:hAnsi="Calibri"/>
        </w:rPr>
        <w:t xml:space="preserve"> In the eye of the beholder: The role of reporters in bringing families to the attention of child protective services. </w:t>
      </w:r>
      <w:r w:rsidRPr="00F85122">
        <w:rPr>
          <w:rFonts w:ascii="Calibri" w:hAnsi="Calibri"/>
          <w:i/>
        </w:rPr>
        <w:t>Children and Youth Services Review</w:t>
      </w:r>
      <w:r w:rsidRPr="00F85122">
        <w:rPr>
          <w:rFonts w:ascii="Calibri" w:hAnsi="Calibri"/>
        </w:rPr>
        <w:t xml:space="preserve">, </w:t>
      </w:r>
      <w:r w:rsidRPr="00F85122">
        <w:rPr>
          <w:rFonts w:ascii="Calibri" w:hAnsi="Calibri"/>
          <w:i/>
        </w:rPr>
        <w:t>28</w:t>
      </w:r>
      <w:r w:rsidRPr="00F85122">
        <w:rPr>
          <w:rFonts w:ascii="Calibri" w:hAnsi="Calibri"/>
        </w:rPr>
        <w:t>(3), 306-324.</w:t>
      </w:r>
    </w:p>
    <w:p w14:paraId="24237F9B"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Morris, J. L., Johnson, C. F., &amp; </w:t>
      </w:r>
      <w:proofErr w:type="spellStart"/>
      <w:r w:rsidRPr="00F85122">
        <w:rPr>
          <w:rFonts w:ascii="Calibri" w:hAnsi="Calibri" w:cs="Segoe UI"/>
        </w:rPr>
        <w:t>Clasen</w:t>
      </w:r>
      <w:proofErr w:type="spellEnd"/>
      <w:r w:rsidRPr="00F85122">
        <w:rPr>
          <w:rFonts w:ascii="Calibri" w:hAnsi="Calibri" w:cs="Segoe UI"/>
        </w:rPr>
        <w:t>, M. (1985).</w:t>
      </w:r>
      <w:proofErr w:type="gramEnd"/>
      <w:r w:rsidRPr="00F85122">
        <w:rPr>
          <w:rFonts w:ascii="Calibri" w:hAnsi="Calibri" w:cs="Segoe UI"/>
        </w:rPr>
        <w:t xml:space="preserve"> To report or not to report: Physicians' attitudes toward discipline and child abuse. </w:t>
      </w:r>
      <w:r w:rsidRPr="00F85122">
        <w:rPr>
          <w:rFonts w:ascii="Calibri" w:hAnsi="Calibri" w:cs="Segoe UI"/>
          <w:i/>
          <w:iCs/>
        </w:rPr>
        <w:t>American Journal of Diseases of Children, 139</w:t>
      </w:r>
      <w:r w:rsidRPr="00F85122">
        <w:rPr>
          <w:rFonts w:ascii="Calibri" w:hAnsi="Calibri" w:cs="Segoe UI"/>
        </w:rPr>
        <w:t>(2), 194-197.</w:t>
      </w:r>
    </w:p>
    <w:p w14:paraId="00E31C8B"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Nalepka</w:t>
      </w:r>
      <w:proofErr w:type="spellEnd"/>
      <w:r w:rsidRPr="00F85122">
        <w:rPr>
          <w:rFonts w:ascii="Calibri" w:hAnsi="Calibri" w:cs="Segoe UI"/>
        </w:rPr>
        <w:t xml:space="preserve">, C., O'Toole, R., &amp; </w:t>
      </w:r>
      <w:proofErr w:type="spellStart"/>
      <w:r w:rsidRPr="00F85122">
        <w:rPr>
          <w:rFonts w:ascii="Calibri" w:hAnsi="Calibri" w:cs="Segoe UI"/>
        </w:rPr>
        <w:t>Turbett</w:t>
      </w:r>
      <w:proofErr w:type="spellEnd"/>
      <w:r w:rsidRPr="00F85122">
        <w:rPr>
          <w:rFonts w:ascii="Calibri" w:hAnsi="Calibri" w:cs="Segoe UI"/>
        </w:rPr>
        <w:t>, J. P. (1981).</w:t>
      </w:r>
      <w:proofErr w:type="gramEnd"/>
      <w:r w:rsidRPr="00F85122">
        <w:rPr>
          <w:rFonts w:ascii="Calibri" w:hAnsi="Calibri" w:cs="Segoe UI"/>
        </w:rPr>
        <w:t xml:space="preserve"> </w:t>
      </w:r>
      <w:proofErr w:type="gramStart"/>
      <w:r w:rsidRPr="00F85122">
        <w:rPr>
          <w:rFonts w:ascii="Calibri" w:hAnsi="Calibri" w:cs="Segoe UI"/>
        </w:rPr>
        <w:t>Nurses' and physicians' recognition and reporting of child abuse.</w:t>
      </w:r>
      <w:proofErr w:type="gramEnd"/>
      <w:r w:rsidRPr="00F85122">
        <w:rPr>
          <w:rFonts w:ascii="Calibri" w:hAnsi="Calibri" w:cs="Segoe UI"/>
        </w:rPr>
        <w:t xml:space="preserve"> </w:t>
      </w:r>
      <w:r w:rsidRPr="00F85122">
        <w:rPr>
          <w:rFonts w:ascii="Calibri" w:hAnsi="Calibri" w:cs="Segoe UI"/>
          <w:i/>
          <w:iCs/>
        </w:rPr>
        <w:t xml:space="preserve">Issues </w:t>
      </w:r>
      <w:proofErr w:type="gramStart"/>
      <w:r w:rsidRPr="00F85122">
        <w:rPr>
          <w:rFonts w:ascii="Calibri" w:hAnsi="Calibri" w:cs="Segoe UI"/>
          <w:i/>
          <w:iCs/>
        </w:rPr>
        <w:t>In</w:t>
      </w:r>
      <w:proofErr w:type="gramEnd"/>
      <w:r w:rsidRPr="00F85122">
        <w:rPr>
          <w:rFonts w:ascii="Calibri" w:hAnsi="Calibri" w:cs="Segoe UI"/>
          <w:i/>
          <w:iCs/>
        </w:rPr>
        <w:t xml:space="preserve"> Comprehensive </w:t>
      </w:r>
      <w:proofErr w:type="spellStart"/>
      <w:r w:rsidRPr="00F85122">
        <w:rPr>
          <w:rFonts w:ascii="Calibri" w:hAnsi="Calibri" w:cs="Segoe UI"/>
          <w:i/>
          <w:iCs/>
        </w:rPr>
        <w:t>Pediatric</w:t>
      </w:r>
      <w:proofErr w:type="spellEnd"/>
      <w:r w:rsidRPr="00F85122">
        <w:rPr>
          <w:rFonts w:ascii="Calibri" w:hAnsi="Calibri" w:cs="Segoe UI"/>
          <w:i/>
          <w:iCs/>
        </w:rPr>
        <w:t xml:space="preserve"> Nursing, 5</w:t>
      </w:r>
      <w:r w:rsidRPr="00F85122">
        <w:rPr>
          <w:rFonts w:ascii="Calibri" w:hAnsi="Calibri" w:cs="Segoe UI"/>
        </w:rPr>
        <w:t>(1), 33-44.</w:t>
      </w:r>
    </w:p>
    <w:p w14:paraId="23CAB06A"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r w:rsidRPr="00F85122">
        <w:rPr>
          <w:rFonts w:ascii="Calibri" w:hAnsi="Calibri" w:cs="Segoe UI"/>
        </w:rPr>
        <w:t>Nayda</w:t>
      </w:r>
      <w:proofErr w:type="spellEnd"/>
      <w:r w:rsidRPr="00F85122">
        <w:rPr>
          <w:rFonts w:ascii="Calibri" w:hAnsi="Calibri" w:cs="Segoe UI"/>
        </w:rPr>
        <w:t xml:space="preserve">, R. (2002). </w:t>
      </w:r>
      <w:proofErr w:type="gramStart"/>
      <w:r w:rsidRPr="00F85122">
        <w:rPr>
          <w:rFonts w:ascii="Calibri" w:hAnsi="Calibri" w:cs="Segoe UI"/>
        </w:rPr>
        <w:t>Influences on registered nurses' decision‐making in cases of suspected child abuse.</w:t>
      </w:r>
      <w:proofErr w:type="gramEnd"/>
      <w:r w:rsidRPr="00F85122">
        <w:rPr>
          <w:rFonts w:ascii="Calibri" w:hAnsi="Calibri" w:cs="Segoe UI"/>
        </w:rPr>
        <w:t xml:space="preserve"> </w:t>
      </w:r>
      <w:r w:rsidRPr="00F85122">
        <w:rPr>
          <w:rFonts w:ascii="Calibri" w:hAnsi="Calibri" w:cs="Segoe UI"/>
          <w:i/>
          <w:iCs/>
        </w:rPr>
        <w:t>Child Abuse Review, 11</w:t>
      </w:r>
      <w:r w:rsidRPr="00F85122">
        <w:rPr>
          <w:rFonts w:ascii="Calibri" w:hAnsi="Calibri" w:cs="Segoe UI"/>
        </w:rPr>
        <w:t>(3), 168-178.</w:t>
      </w:r>
    </w:p>
    <w:p w14:paraId="31DE9F46"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Nightingale, N. N., &amp; Walker, E. F. (1986).</w:t>
      </w:r>
      <w:proofErr w:type="gramEnd"/>
      <w:r w:rsidRPr="00F85122">
        <w:rPr>
          <w:rFonts w:ascii="Calibri" w:hAnsi="Calibri" w:cs="Segoe UI"/>
        </w:rPr>
        <w:t xml:space="preserve"> Identification and reporting of child maltreatment by head start personnel: Attitudes and experiences. </w:t>
      </w:r>
      <w:r w:rsidRPr="00F85122">
        <w:rPr>
          <w:rFonts w:ascii="Calibri" w:hAnsi="Calibri" w:cs="Segoe UI"/>
          <w:i/>
          <w:iCs/>
        </w:rPr>
        <w:t>Child Abuse &amp; Neglect, 10</w:t>
      </w:r>
      <w:r w:rsidRPr="00F85122">
        <w:rPr>
          <w:rFonts w:ascii="Calibri" w:hAnsi="Calibri" w:cs="Segoe UI"/>
        </w:rPr>
        <w:t>(2), 191-199.</w:t>
      </w:r>
    </w:p>
    <w:p w14:paraId="44911613"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Offer-</w:t>
      </w:r>
      <w:proofErr w:type="spellStart"/>
      <w:r w:rsidRPr="00F85122">
        <w:rPr>
          <w:rFonts w:ascii="Calibri" w:hAnsi="Calibri" w:cs="Segoe UI"/>
        </w:rPr>
        <w:t>Shechter</w:t>
      </w:r>
      <w:proofErr w:type="spellEnd"/>
      <w:r w:rsidRPr="00F85122">
        <w:rPr>
          <w:rFonts w:ascii="Calibri" w:hAnsi="Calibri" w:cs="Segoe UI"/>
        </w:rPr>
        <w:t xml:space="preserve">, S., </w:t>
      </w:r>
      <w:proofErr w:type="spellStart"/>
      <w:r w:rsidRPr="00F85122">
        <w:rPr>
          <w:rFonts w:ascii="Calibri" w:hAnsi="Calibri" w:cs="Segoe UI"/>
        </w:rPr>
        <w:t>Tirosh</w:t>
      </w:r>
      <w:proofErr w:type="spellEnd"/>
      <w:r w:rsidRPr="00F85122">
        <w:rPr>
          <w:rFonts w:ascii="Calibri" w:hAnsi="Calibri" w:cs="Segoe UI"/>
        </w:rPr>
        <w:t>, E., &amp; Cohen, A. (2000).</w:t>
      </w:r>
      <w:proofErr w:type="gramEnd"/>
      <w:r w:rsidRPr="00F85122">
        <w:rPr>
          <w:rFonts w:ascii="Calibri" w:hAnsi="Calibri" w:cs="Segoe UI"/>
        </w:rPr>
        <w:t xml:space="preserve"> Physical abuse - </w:t>
      </w:r>
      <w:proofErr w:type="gramStart"/>
      <w:r w:rsidRPr="00F85122">
        <w:rPr>
          <w:rFonts w:ascii="Calibri" w:hAnsi="Calibri" w:cs="Segoe UI"/>
        </w:rPr>
        <w:t>physicians</w:t>
      </w:r>
      <w:proofErr w:type="gramEnd"/>
      <w:r w:rsidRPr="00F85122">
        <w:rPr>
          <w:rFonts w:ascii="Calibri" w:hAnsi="Calibri" w:cs="Segoe UI"/>
        </w:rPr>
        <w:t xml:space="preserve"> knowledge and reporting attitude in Israel. </w:t>
      </w:r>
      <w:r w:rsidRPr="00F85122">
        <w:rPr>
          <w:rFonts w:ascii="Calibri" w:hAnsi="Calibri" w:cs="Segoe UI"/>
          <w:i/>
          <w:iCs/>
        </w:rPr>
        <w:t>European Journal of Epidemiology, 16</w:t>
      </w:r>
      <w:r w:rsidRPr="00F85122">
        <w:rPr>
          <w:rFonts w:ascii="Calibri" w:hAnsi="Calibri" w:cs="Segoe UI"/>
        </w:rPr>
        <w:t>(1), 53-58.</w:t>
      </w:r>
    </w:p>
    <w:p w14:paraId="0D08A1FC"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O'Toole, A. W., O'Toole, R., Webster, S., &amp; </w:t>
      </w:r>
      <w:proofErr w:type="spellStart"/>
      <w:r w:rsidRPr="00F85122">
        <w:rPr>
          <w:rFonts w:ascii="Calibri" w:hAnsi="Calibri" w:cs="Segoe UI"/>
        </w:rPr>
        <w:t>Lucal</w:t>
      </w:r>
      <w:proofErr w:type="spellEnd"/>
      <w:r w:rsidRPr="00F85122">
        <w:rPr>
          <w:rFonts w:ascii="Calibri" w:hAnsi="Calibri" w:cs="Segoe UI"/>
        </w:rPr>
        <w:t xml:space="preserve">, B. (1994). </w:t>
      </w:r>
      <w:proofErr w:type="gramStart"/>
      <w:r w:rsidRPr="00F85122">
        <w:rPr>
          <w:rFonts w:ascii="Calibri" w:hAnsi="Calibri" w:cs="Segoe UI"/>
        </w:rPr>
        <w:t>Nurses' responses to child abuse: A factorial survey.</w:t>
      </w:r>
      <w:proofErr w:type="gramEnd"/>
      <w:r w:rsidRPr="00F85122">
        <w:rPr>
          <w:rFonts w:ascii="Calibri" w:hAnsi="Calibri" w:cs="Segoe UI"/>
        </w:rPr>
        <w:t xml:space="preserve"> </w:t>
      </w:r>
      <w:r w:rsidRPr="00F85122">
        <w:rPr>
          <w:rFonts w:ascii="Calibri" w:hAnsi="Calibri" w:cs="Segoe UI"/>
          <w:i/>
          <w:iCs/>
        </w:rPr>
        <w:t>Journal of Interpersonal Violence, 9</w:t>
      </w:r>
      <w:r w:rsidRPr="00F85122">
        <w:rPr>
          <w:rFonts w:ascii="Calibri" w:hAnsi="Calibri" w:cs="Segoe UI"/>
        </w:rPr>
        <w:t>(2), 194-206.</w:t>
      </w:r>
    </w:p>
    <w:p w14:paraId="1F3AF42D"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lastRenderedPageBreak/>
        <w:t>O'Toole, R., Webster, S. W., &amp; O'Toole, A. W. (1999).</w:t>
      </w:r>
      <w:proofErr w:type="gramEnd"/>
      <w:r w:rsidRPr="00F85122">
        <w:rPr>
          <w:rFonts w:ascii="Calibri" w:hAnsi="Calibri" w:cs="Segoe UI"/>
        </w:rPr>
        <w:t xml:space="preserve"> </w:t>
      </w:r>
      <w:proofErr w:type="gramStart"/>
      <w:r w:rsidRPr="00F85122">
        <w:rPr>
          <w:rFonts w:ascii="Calibri" w:hAnsi="Calibri" w:cs="Segoe UI"/>
        </w:rPr>
        <w:t>Teachers' recognition and reporting of child abuse: A factorial survey.</w:t>
      </w:r>
      <w:proofErr w:type="gramEnd"/>
      <w:r w:rsidRPr="00F85122">
        <w:rPr>
          <w:rFonts w:ascii="Calibri" w:hAnsi="Calibri" w:cs="Segoe UI"/>
        </w:rPr>
        <w:t xml:space="preserve"> </w:t>
      </w:r>
      <w:proofErr w:type="gramStart"/>
      <w:r w:rsidRPr="00F85122">
        <w:rPr>
          <w:rFonts w:ascii="Calibri" w:hAnsi="Calibri" w:cs="Segoe UI"/>
          <w:i/>
          <w:iCs/>
        </w:rPr>
        <w:t>Child Abuse &amp; Neglect, 23</w:t>
      </w:r>
      <w:r w:rsidRPr="00F85122">
        <w:rPr>
          <w:rFonts w:ascii="Calibri" w:hAnsi="Calibri" w:cs="Segoe UI"/>
        </w:rPr>
        <w:t>(11), 1083.</w:t>
      </w:r>
      <w:proofErr w:type="gramEnd"/>
    </w:p>
    <w:p w14:paraId="33B61B98"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Renninger</w:t>
      </w:r>
      <w:proofErr w:type="spellEnd"/>
      <w:r w:rsidRPr="00F85122">
        <w:rPr>
          <w:rFonts w:ascii="Calibri" w:hAnsi="Calibri" w:cs="Segoe UI"/>
        </w:rPr>
        <w:t xml:space="preserve">, S. M., </w:t>
      </w:r>
      <w:proofErr w:type="spellStart"/>
      <w:r w:rsidRPr="00F85122">
        <w:rPr>
          <w:rFonts w:ascii="Calibri" w:hAnsi="Calibri" w:cs="Segoe UI"/>
        </w:rPr>
        <w:t>Veach</w:t>
      </w:r>
      <w:proofErr w:type="spellEnd"/>
      <w:r w:rsidRPr="00F85122">
        <w:rPr>
          <w:rFonts w:ascii="Calibri" w:hAnsi="Calibri" w:cs="Segoe UI"/>
        </w:rPr>
        <w:t xml:space="preserve">, P. M., &amp; </w:t>
      </w:r>
      <w:proofErr w:type="spellStart"/>
      <w:r w:rsidRPr="00F85122">
        <w:rPr>
          <w:rFonts w:ascii="Calibri" w:hAnsi="Calibri" w:cs="Segoe UI"/>
        </w:rPr>
        <w:t>Bagdade</w:t>
      </w:r>
      <w:proofErr w:type="spellEnd"/>
      <w:r w:rsidRPr="00F85122">
        <w:rPr>
          <w:rFonts w:ascii="Calibri" w:hAnsi="Calibri" w:cs="Segoe UI"/>
        </w:rPr>
        <w:t>, P. (2002).</w:t>
      </w:r>
      <w:proofErr w:type="gramEnd"/>
      <w:r w:rsidRPr="00F85122">
        <w:rPr>
          <w:rFonts w:ascii="Calibri" w:hAnsi="Calibri" w:cs="Segoe UI"/>
        </w:rPr>
        <w:t xml:space="preserve"> Psychologists' knowledge, opinions, and decision-making processes regarding child abuse and neglect reporting laws. </w:t>
      </w:r>
      <w:r w:rsidRPr="00F85122">
        <w:rPr>
          <w:rFonts w:ascii="Calibri" w:hAnsi="Calibri" w:cs="Segoe UI"/>
          <w:i/>
          <w:iCs/>
        </w:rPr>
        <w:t>Professional Psychology: Research and Practice, 33</w:t>
      </w:r>
      <w:r w:rsidRPr="00F85122">
        <w:rPr>
          <w:rFonts w:ascii="Calibri" w:hAnsi="Calibri" w:cs="Segoe UI"/>
        </w:rPr>
        <w:t>(1), 19-23.</w:t>
      </w:r>
    </w:p>
    <w:p w14:paraId="6C4D675D"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Rindfleisch</w:t>
      </w:r>
      <w:proofErr w:type="spellEnd"/>
      <w:r w:rsidRPr="00F85122">
        <w:rPr>
          <w:rFonts w:ascii="Calibri" w:hAnsi="Calibri" w:cs="Segoe UI"/>
        </w:rPr>
        <w:t>, N., &amp; Bean, G. J., Jr. (1988).</w:t>
      </w:r>
      <w:proofErr w:type="gramEnd"/>
      <w:r w:rsidRPr="00F85122">
        <w:rPr>
          <w:rFonts w:ascii="Calibri" w:hAnsi="Calibri" w:cs="Segoe UI"/>
        </w:rPr>
        <w:t xml:space="preserve"> </w:t>
      </w:r>
      <w:proofErr w:type="gramStart"/>
      <w:r w:rsidRPr="00F85122">
        <w:rPr>
          <w:rFonts w:ascii="Calibri" w:hAnsi="Calibri" w:cs="Segoe UI"/>
        </w:rPr>
        <w:t>Willingness to report abuse and neglect in residential facilities.</w:t>
      </w:r>
      <w:proofErr w:type="gramEnd"/>
      <w:r w:rsidRPr="00F85122">
        <w:rPr>
          <w:rFonts w:ascii="Calibri" w:hAnsi="Calibri" w:cs="Segoe UI"/>
        </w:rPr>
        <w:t xml:space="preserve"> </w:t>
      </w:r>
      <w:r w:rsidRPr="00F85122">
        <w:rPr>
          <w:rFonts w:ascii="Calibri" w:hAnsi="Calibri" w:cs="Segoe UI"/>
          <w:i/>
          <w:iCs/>
        </w:rPr>
        <w:t>Child Abuse &amp; Neglect, 12</w:t>
      </w:r>
      <w:r w:rsidRPr="00F85122">
        <w:rPr>
          <w:rFonts w:ascii="Calibri" w:hAnsi="Calibri" w:cs="Segoe UI"/>
        </w:rPr>
        <w:t>(4), 509-520.</w:t>
      </w:r>
    </w:p>
    <w:p w14:paraId="7083501F"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Saulsbury</w:t>
      </w:r>
      <w:proofErr w:type="spellEnd"/>
      <w:r w:rsidRPr="00F85122">
        <w:rPr>
          <w:rFonts w:ascii="Calibri" w:hAnsi="Calibri" w:cs="Segoe UI"/>
        </w:rPr>
        <w:t>, F. T., &amp; Campbell, R. E. (1985).</w:t>
      </w:r>
      <w:proofErr w:type="gramEnd"/>
      <w:r w:rsidRPr="00F85122">
        <w:rPr>
          <w:rFonts w:ascii="Calibri" w:hAnsi="Calibri" w:cs="Segoe UI"/>
        </w:rPr>
        <w:t xml:space="preserve"> </w:t>
      </w:r>
      <w:proofErr w:type="gramStart"/>
      <w:r w:rsidRPr="00F85122">
        <w:rPr>
          <w:rFonts w:ascii="Calibri" w:hAnsi="Calibri" w:cs="Segoe UI"/>
        </w:rPr>
        <w:t>Evaluation of child abuse reporting by physicians.</w:t>
      </w:r>
      <w:proofErr w:type="gramEnd"/>
      <w:r w:rsidRPr="00F85122">
        <w:rPr>
          <w:rFonts w:ascii="Calibri" w:hAnsi="Calibri" w:cs="Segoe UI"/>
        </w:rPr>
        <w:t xml:space="preserve"> </w:t>
      </w:r>
      <w:proofErr w:type="gramStart"/>
      <w:r w:rsidRPr="00F85122">
        <w:rPr>
          <w:rFonts w:ascii="Calibri" w:hAnsi="Calibri" w:cs="Segoe UI"/>
          <w:i/>
          <w:iCs/>
        </w:rPr>
        <w:t xml:space="preserve">Journal of </w:t>
      </w:r>
      <w:proofErr w:type="spellStart"/>
      <w:r w:rsidRPr="00F85122">
        <w:rPr>
          <w:rFonts w:ascii="Calibri" w:hAnsi="Calibri" w:cs="Segoe UI"/>
          <w:i/>
          <w:iCs/>
        </w:rPr>
        <w:t>Pediatric</w:t>
      </w:r>
      <w:proofErr w:type="spellEnd"/>
      <w:r w:rsidRPr="00F85122">
        <w:rPr>
          <w:rFonts w:ascii="Calibri" w:hAnsi="Calibri" w:cs="Segoe UI"/>
          <w:i/>
          <w:iCs/>
        </w:rPr>
        <w:t xml:space="preserve"> Orthopaedics, 5</w:t>
      </w:r>
      <w:r w:rsidRPr="00F85122">
        <w:rPr>
          <w:rFonts w:ascii="Calibri" w:hAnsi="Calibri" w:cs="Segoe UI"/>
        </w:rPr>
        <w:t>(5), 629.</w:t>
      </w:r>
      <w:proofErr w:type="gramEnd"/>
    </w:p>
    <w:p w14:paraId="78A5A07B"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Schweitzer, R. D., Buckley, L., </w:t>
      </w:r>
      <w:proofErr w:type="spellStart"/>
      <w:r w:rsidRPr="00F85122">
        <w:rPr>
          <w:rFonts w:ascii="Calibri" w:hAnsi="Calibri" w:cs="Segoe UI"/>
        </w:rPr>
        <w:t>Harnett</w:t>
      </w:r>
      <w:proofErr w:type="spellEnd"/>
      <w:r w:rsidRPr="00F85122">
        <w:rPr>
          <w:rFonts w:ascii="Calibri" w:hAnsi="Calibri" w:cs="Segoe UI"/>
        </w:rPr>
        <w:t>, P., &amp; Loxton, N. J. (2006).</w:t>
      </w:r>
      <w:proofErr w:type="gramEnd"/>
      <w:r w:rsidRPr="00F85122">
        <w:rPr>
          <w:rFonts w:ascii="Calibri" w:hAnsi="Calibri" w:cs="Segoe UI"/>
        </w:rPr>
        <w:t xml:space="preserve"> Predictors of failure by medical practitioners to report suspected child abuse in Queensland, Australia. </w:t>
      </w:r>
      <w:r w:rsidRPr="00F85122">
        <w:rPr>
          <w:rFonts w:ascii="Calibri" w:hAnsi="Calibri" w:cs="Segoe UI"/>
          <w:i/>
          <w:iCs/>
        </w:rPr>
        <w:t>Australian Health Review, 30</w:t>
      </w:r>
      <w:r w:rsidRPr="00F85122">
        <w:rPr>
          <w:rFonts w:ascii="Calibri" w:hAnsi="Calibri" w:cs="Segoe UI"/>
        </w:rPr>
        <w:t>(3), 298-304.</w:t>
      </w:r>
    </w:p>
    <w:p w14:paraId="050A8C31"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Strozier</w:t>
      </w:r>
      <w:proofErr w:type="spellEnd"/>
      <w:r w:rsidRPr="00F85122">
        <w:rPr>
          <w:rFonts w:ascii="Calibri" w:hAnsi="Calibri" w:cs="Segoe UI"/>
        </w:rPr>
        <w:t xml:space="preserve">, M., Brown, R., Fennell, M., </w:t>
      </w:r>
      <w:proofErr w:type="spellStart"/>
      <w:r w:rsidRPr="00F85122">
        <w:rPr>
          <w:rFonts w:ascii="Calibri" w:hAnsi="Calibri" w:cs="Segoe UI"/>
        </w:rPr>
        <w:t>Hardee</w:t>
      </w:r>
      <w:proofErr w:type="spellEnd"/>
      <w:r w:rsidRPr="00F85122">
        <w:rPr>
          <w:rFonts w:ascii="Calibri" w:hAnsi="Calibri" w:cs="Segoe UI"/>
        </w:rPr>
        <w:t>, J., &amp; Vogel, R. (2005).</w:t>
      </w:r>
      <w:proofErr w:type="gramEnd"/>
      <w:r w:rsidRPr="00F85122">
        <w:rPr>
          <w:rFonts w:ascii="Calibri" w:hAnsi="Calibri" w:cs="Segoe UI"/>
        </w:rPr>
        <w:t xml:space="preserve"> </w:t>
      </w:r>
      <w:proofErr w:type="gramStart"/>
      <w:r w:rsidRPr="00F85122">
        <w:rPr>
          <w:rFonts w:ascii="Calibri" w:hAnsi="Calibri" w:cs="Segoe UI"/>
        </w:rPr>
        <w:t>Experiences of mandated reporting among family therapists.</w:t>
      </w:r>
      <w:proofErr w:type="gramEnd"/>
      <w:r w:rsidRPr="00F85122">
        <w:rPr>
          <w:rFonts w:ascii="Calibri" w:hAnsi="Calibri" w:cs="Segoe UI"/>
        </w:rPr>
        <w:t xml:space="preserve"> </w:t>
      </w:r>
      <w:r w:rsidRPr="00F85122">
        <w:rPr>
          <w:rFonts w:ascii="Calibri" w:hAnsi="Calibri" w:cs="Segoe UI"/>
          <w:i/>
          <w:iCs/>
        </w:rPr>
        <w:t>Contemporary Family Therapy, 27</w:t>
      </w:r>
      <w:r w:rsidRPr="00F85122">
        <w:rPr>
          <w:rFonts w:ascii="Calibri" w:hAnsi="Calibri" w:cs="Segoe UI"/>
        </w:rPr>
        <w:t>(2), 177-191.</w:t>
      </w:r>
    </w:p>
    <w:p w14:paraId="00B0F0DF"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r w:rsidRPr="00F85122">
        <w:rPr>
          <w:rFonts w:ascii="Calibri" w:hAnsi="Calibri" w:cs="Segoe UI"/>
        </w:rPr>
        <w:t>Sundell</w:t>
      </w:r>
      <w:proofErr w:type="spellEnd"/>
      <w:r w:rsidRPr="00F85122">
        <w:rPr>
          <w:rFonts w:ascii="Calibri" w:hAnsi="Calibri" w:cs="Segoe UI"/>
        </w:rPr>
        <w:t xml:space="preserve">, K. (1997). </w:t>
      </w:r>
      <w:proofErr w:type="gramStart"/>
      <w:r w:rsidRPr="00F85122">
        <w:rPr>
          <w:rFonts w:ascii="Calibri" w:hAnsi="Calibri" w:cs="Segoe UI"/>
        </w:rPr>
        <w:t>Child-care personnel's failure to report child maltreatment: Some Swedish evidence.</w:t>
      </w:r>
      <w:proofErr w:type="gramEnd"/>
      <w:r w:rsidRPr="00F85122">
        <w:rPr>
          <w:rFonts w:ascii="Calibri" w:hAnsi="Calibri" w:cs="Segoe UI"/>
        </w:rPr>
        <w:t xml:space="preserve"> </w:t>
      </w:r>
      <w:r w:rsidRPr="00F85122">
        <w:rPr>
          <w:rFonts w:ascii="Calibri" w:hAnsi="Calibri" w:cs="Segoe UI"/>
          <w:i/>
          <w:iCs/>
        </w:rPr>
        <w:t>Child Abuse &amp; Neglect, 21</w:t>
      </w:r>
      <w:r w:rsidRPr="00F85122">
        <w:rPr>
          <w:rFonts w:ascii="Calibri" w:hAnsi="Calibri" w:cs="Segoe UI"/>
        </w:rPr>
        <w:t>(1), 93-105.</w:t>
      </w:r>
    </w:p>
    <w:p w14:paraId="1F154FEA"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Turbett</w:t>
      </w:r>
      <w:proofErr w:type="spellEnd"/>
      <w:r w:rsidRPr="00F85122">
        <w:rPr>
          <w:rFonts w:ascii="Calibri" w:hAnsi="Calibri" w:cs="Segoe UI"/>
        </w:rPr>
        <w:t>, J. P., &amp; O'Toole, R. (1983).</w:t>
      </w:r>
      <w:proofErr w:type="gramEnd"/>
      <w:r w:rsidRPr="00F85122">
        <w:rPr>
          <w:rFonts w:ascii="Calibri" w:hAnsi="Calibri" w:cs="Segoe UI"/>
        </w:rPr>
        <w:t xml:space="preserve"> </w:t>
      </w:r>
      <w:proofErr w:type="gramStart"/>
      <w:r w:rsidRPr="00F85122">
        <w:rPr>
          <w:rFonts w:ascii="Calibri" w:hAnsi="Calibri" w:cs="Segoe UI"/>
        </w:rPr>
        <w:t>Teachers' recognition and reporting of child abuse.</w:t>
      </w:r>
      <w:proofErr w:type="gramEnd"/>
      <w:r w:rsidRPr="00F85122">
        <w:rPr>
          <w:rFonts w:ascii="Calibri" w:hAnsi="Calibri" w:cs="Segoe UI"/>
        </w:rPr>
        <w:t xml:space="preserve"> </w:t>
      </w:r>
      <w:proofErr w:type="gramStart"/>
      <w:r w:rsidRPr="00F85122">
        <w:rPr>
          <w:rFonts w:ascii="Calibri" w:hAnsi="Calibri" w:cs="Segoe UI"/>
          <w:i/>
          <w:iCs/>
        </w:rPr>
        <w:t>The Journal of School Health, 53</w:t>
      </w:r>
      <w:r w:rsidRPr="00F85122">
        <w:rPr>
          <w:rFonts w:ascii="Calibri" w:hAnsi="Calibri" w:cs="Segoe UI"/>
        </w:rPr>
        <w:t>(10), 605.</w:t>
      </w:r>
      <w:proofErr w:type="gramEnd"/>
    </w:p>
    <w:p w14:paraId="0FA780A1"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r w:rsidRPr="00F85122">
        <w:rPr>
          <w:rFonts w:ascii="Calibri" w:hAnsi="Calibri" w:cs="Segoe UI"/>
        </w:rPr>
        <w:t>Uldum</w:t>
      </w:r>
      <w:proofErr w:type="spellEnd"/>
      <w:r w:rsidRPr="00F85122">
        <w:rPr>
          <w:rFonts w:ascii="Calibri" w:hAnsi="Calibri" w:cs="Segoe UI"/>
        </w:rPr>
        <w:t xml:space="preserve">, B., Christensen, H. N., </w:t>
      </w:r>
      <w:proofErr w:type="spellStart"/>
      <w:r w:rsidRPr="00F85122">
        <w:rPr>
          <w:rFonts w:ascii="Calibri" w:hAnsi="Calibri" w:cs="Segoe UI"/>
        </w:rPr>
        <w:t>Welbury</w:t>
      </w:r>
      <w:proofErr w:type="spellEnd"/>
      <w:r w:rsidRPr="00F85122">
        <w:rPr>
          <w:rFonts w:ascii="Calibri" w:hAnsi="Calibri" w:cs="Segoe UI"/>
        </w:rPr>
        <w:t xml:space="preserve">, R., &amp; </w:t>
      </w:r>
      <w:proofErr w:type="spellStart"/>
      <w:r w:rsidRPr="00F85122">
        <w:rPr>
          <w:rFonts w:ascii="Calibri" w:hAnsi="Calibri" w:cs="Segoe UI"/>
        </w:rPr>
        <w:t>Poulsen</w:t>
      </w:r>
      <w:proofErr w:type="spellEnd"/>
      <w:r w:rsidRPr="00F85122">
        <w:rPr>
          <w:rFonts w:ascii="Calibri" w:hAnsi="Calibri" w:cs="Segoe UI"/>
        </w:rPr>
        <w:t xml:space="preserve">, S. (2010). Danish dentists' and dental hygienists' knowledge of and experience with suspicion of child abuse or neglect. </w:t>
      </w:r>
      <w:r w:rsidRPr="00F85122">
        <w:rPr>
          <w:rFonts w:ascii="Calibri" w:hAnsi="Calibri" w:cs="Segoe UI"/>
          <w:i/>
          <w:iCs/>
        </w:rPr>
        <w:t>International Journal of Paediatric Dentistry, 20</w:t>
      </w:r>
      <w:r w:rsidRPr="00F85122">
        <w:rPr>
          <w:rFonts w:ascii="Calibri" w:hAnsi="Calibri" w:cs="Segoe UI"/>
        </w:rPr>
        <w:t>(5), 361-365.</w:t>
      </w:r>
    </w:p>
    <w:p w14:paraId="27FE5D72"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 xml:space="preserve">Van </w:t>
      </w:r>
      <w:proofErr w:type="spellStart"/>
      <w:r w:rsidRPr="00F85122">
        <w:rPr>
          <w:rFonts w:ascii="Calibri" w:hAnsi="Calibri" w:cs="Segoe UI"/>
        </w:rPr>
        <w:t>Haeringen</w:t>
      </w:r>
      <w:proofErr w:type="spellEnd"/>
      <w:r w:rsidRPr="00F85122">
        <w:rPr>
          <w:rFonts w:ascii="Calibri" w:hAnsi="Calibri" w:cs="Segoe UI"/>
        </w:rPr>
        <w:t xml:space="preserve">, A. R., </w:t>
      </w:r>
      <w:proofErr w:type="spellStart"/>
      <w:r w:rsidRPr="00F85122">
        <w:rPr>
          <w:rFonts w:ascii="Calibri" w:hAnsi="Calibri" w:cs="Segoe UI"/>
        </w:rPr>
        <w:t>Dadds</w:t>
      </w:r>
      <w:proofErr w:type="spellEnd"/>
      <w:r w:rsidRPr="00F85122">
        <w:rPr>
          <w:rFonts w:ascii="Calibri" w:hAnsi="Calibri" w:cs="Segoe UI"/>
        </w:rPr>
        <w:t>, M., &amp; Armstrong, K. L. (1998).</w:t>
      </w:r>
      <w:proofErr w:type="gramEnd"/>
      <w:r w:rsidRPr="00F85122">
        <w:rPr>
          <w:rFonts w:ascii="Calibri" w:hAnsi="Calibri" w:cs="Segoe UI"/>
        </w:rPr>
        <w:t xml:space="preserve"> The child abuse lottery – Will the doctor suspect and report? </w:t>
      </w:r>
      <w:proofErr w:type="gramStart"/>
      <w:r w:rsidRPr="00F85122">
        <w:rPr>
          <w:rFonts w:ascii="Calibri" w:hAnsi="Calibri" w:cs="Segoe UI"/>
        </w:rPr>
        <w:t>Physician attitudes towards and reporting of suspected child abuse and neglect.</w:t>
      </w:r>
      <w:proofErr w:type="gramEnd"/>
      <w:r w:rsidRPr="00F85122">
        <w:rPr>
          <w:rFonts w:ascii="Calibri" w:hAnsi="Calibri" w:cs="Segoe UI"/>
        </w:rPr>
        <w:t xml:space="preserve"> </w:t>
      </w:r>
      <w:r w:rsidRPr="00F85122">
        <w:rPr>
          <w:rFonts w:ascii="Calibri" w:hAnsi="Calibri" w:cs="Segoe UI"/>
          <w:i/>
          <w:iCs/>
        </w:rPr>
        <w:t>Child Abuse &amp; Neglect, 22</w:t>
      </w:r>
      <w:r w:rsidRPr="00F85122">
        <w:rPr>
          <w:rFonts w:ascii="Calibri" w:hAnsi="Calibri" w:cs="Segoe UI"/>
        </w:rPr>
        <w:t>(3), 159-169.</w:t>
      </w:r>
    </w:p>
    <w:p w14:paraId="64539C0A"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proofErr w:type="gramStart"/>
      <w:r w:rsidRPr="00F85122">
        <w:rPr>
          <w:rFonts w:ascii="Calibri" w:hAnsi="Calibri" w:cs="Segoe UI"/>
        </w:rPr>
        <w:t>Vulliamy</w:t>
      </w:r>
      <w:proofErr w:type="spellEnd"/>
      <w:r w:rsidRPr="00F85122">
        <w:rPr>
          <w:rFonts w:ascii="Calibri" w:hAnsi="Calibri" w:cs="Segoe UI"/>
        </w:rPr>
        <w:t>, A. P., &amp; Sullivan, R. (2000).</w:t>
      </w:r>
      <w:proofErr w:type="gramEnd"/>
      <w:r w:rsidRPr="00F85122">
        <w:rPr>
          <w:rFonts w:ascii="Calibri" w:hAnsi="Calibri" w:cs="Segoe UI"/>
        </w:rPr>
        <w:t xml:space="preserve"> </w:t>
      </w:r>
      <w:proofErr w:type="gramStart"/>
      <w:r w:rsidRPr="00F85122">
        <w:rPr>
          <w:rFonts w:ascii="Calibri" w:hAnsi="Calibri" w:cs="Segoe UI"/>
        </w:rPr>
        <w:t xml:space="preserve">Reporting child abuse: </w:t>
      </w:r>
      <w:proofErr w:type="spellStart"/>
      <w:r w:rsidRPr="00F85122">
        <w:rPr>
          <w:rFonts w:ascii="Calibri" w:hAnsi="Calibri" w:cs="Segoe UI"/>
        </w:rPr>
        <w:t>Pediatricians’</w:t>
      </w:r>
      <w:proofErr w:type="spellEnd"/>
      <w:r w:rsidRPr="00F85122">
        <w:rPr>
          <w:rFonts w:ascii="Calibri" w:hAnsi="Calibri" w:cs="Segoe UI"/>
        </w:rPr>
        <w:t xml:space="preserve"> experiences with the child protection system.</w:t>
      </w:r>
      <w:proofErr w:type="gramEnd"/>
      <w:r w:rsidRPr="00F85122">
        <w:rPr>
          <w:rFonts w:ascii="Calibri" w:hAnsi="Calibri" w:cs="Segoe UI"/>
        </w:rPr>
        <w:t xml:space="preserve"> </w:t>
      </w:r>
      <w:r w:rsidRPr="00F85122">
        <w:rPr>
          <w:rFonts w:ascii="Calibri" w:hAnsi="Calibri" w:cs="Segoe UI"/>
          <w:i/>
          <w:iCs/>
        </w:rPr>
        <w:t>Child Abuse &amp; Neglect, 24</w:t>
      </w:r>
      <w:r w:rsidRPr="00F85122">
        <w:rPr>
          <w:rFonts w:ascii="Calibri" w:hAnsi="Calibri" w:cs="Segoe UI"/>
        </w:rPr>
        <w:t>(11), 1461-1470.</w:t>
      </w:r>
    </w:p>
    <w:p w14:paraId="769627F9"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r w:rsidRPr="00F85122">
        <w:rPr>
          <w:rFonts w:ascii="Calibri" w:hAnsi="Calibri" w:cs="Segoe UI"/>
        </w:rPr>
        <w:t xml:space="preserve">Webster, S. W., O’Toole, R., O’Toole, A. W., &amp; </w:t>
      </w:r>
      <w:proofErr w:type="spellStart"/>
      <w:r w:rsidRPr="00F85122">
        <w:rPr>
          <w:rFonts w:ascii="Calibri" w:hAnsi="Calibri" w:cs="Segoe UI"/>
        </w:rPr>
        <w:t>Lucal</w:t>
      </w:r>
      <w:proofErr w:type="spellEnd"/>
      <w:r w:rsidRPr="00F85122">
        <w:rPr>
          <w:rFonts w:ascii="Calibri" w:hAnsi="Calibri" w:cs="Segoe UI"/>
        </w:rPr>
        <w:t xml:space="preserve">, B. (2005). </w:t>
      </w:r>
      <w:proofErr w:type="spellStart"/>
      <w:r w:rsidRPr="00F85122">
        <w:rPr>
          <w:rFonts w:ascii="Calibri" w:hAnsi="Calibri" w:cs="Segoe UI"/>
        </w:rPr>
        <w:t>Overreporting</w:t>
      </w:r>
      <w:proofErr w:type="spellEnd"/>
      <w:r w:rsidRPr="00F85122">
        <w:rPr>
          <w:rFonts w:ascii="Calibri" w:hAnsi="Calibri" w:cs="Segoe UI"/>
        </w:rPr>
        <w:t xml:space="preserve"> and underreporting of child abuse: Teachers’ use of professional discretion. </w:t>
      </w:r>
      <w:r w:rsidRPr="00F85122">
        <w:rPr>
          <w:rFonts w:ascii="Calibri" w:hAnsi="Calibri" w:cs="Segoe UI"/>
          <w:i/>
          <w:iCs/>
        </w:rPr>
        <w:t>Child Abuse &amp; Neglect, 29</w:t>
      </w:r>
      <w:r w:rsidRPr="00F85122">
        <w:rPr>
          <w:rFonts w:ascii="Calibri" w:hAnsi="Calibri" w:cs="Segoe UI"/>
        </w:rPr>
        <w:t>(11), 1281-1296.</w:t>
      </w:r>
    </w:p>
    <w:p w14:paraId="79887909"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gramStart"/>
      <w:r w:rsidRPr="00F85122">
        <w:rPr>
          <w:rFonts w:ascii="Calibri" w:hAnsi="Calibri" w:cs="Segoe UI"/>
        </w:rPr>
        <w:t>Willis, C. L., &amp; Wells, R. H. (1988).</w:t>
      </w:r>
      <w:proofErr w:type="gramEnd"/>
      <w:r w:rsidRPr="00F85122">
        <w:rPr>
          <w:rFonts w:ascii="Calibri" w:hAnsi="Calibri" w:cs="Segoe UI"/>
        </w:rPr>
        <w:t xml:space="preserve"> </w:t>
      </w:r>
      <w:proofErr w:type="gramStart"/>
      <w:r w:rsidRPr="00F85122">
        <w:rPr>
          <w:rFonts w:ascii="Calibri" w:hAnsi="Calibri" w:cs="Segoe UI"/>
        </w:rPr>
        <w:t>Police and child abuse: An analysis of police decisions to report illegal behaviour.</w:t>
      </w:r>
      <w:proofErr w:type="gramEnd"/>
      <w:r w:rsidRPr="00F85122">
        <w:rPr>
          <w:rFonts w:ascii="Calibri" w:hAnsi="Calibri" w:cs="Segoe UI"/>
        </w:rPr>
        <w:t xml:space="preserve"> </w:t>
      </w:r>
      <w:r w:rsidRPr="00F85122">
        <w:rPr>
          <w:rFonts w:ascii="Calibri" w:hAnsi="Calibri" w:cs="Segoe UI"/>
          <w:i/>
          <w:iCs/>
        </w:rPr>
        <w:t>Criminology, 26</w:t>
      </w:r>
      <w:r w:rsidRPr="00F85122">
        <w:rPr>
          <w:rFonts w:ascii="Calibri" w:hAnsi="Calibri" w:cs="Segoe UI"/>
        </w:rPr>
        <w:t>(4), 695-716.</w:t>
      </w:r>
    </w:p>
    <w:p w14:paraId="03983899"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r w:rsidRPr="00F85122">
        <w:rPr>
          <w:rFonts w:ascii="Calibri" w:hAnsi="Calibri" w:cs="Segoe UI"/>
        </w:rPr>
        <w:lastRenderedPageBreak/>
        <w:t>Zellman</w:t>
      </w:r>
      <w:proofErr w:type="spellEnd"/>
      <w:r w:rsidRPr="00F85122">
        <w:rPr>
          <w:rFonts w:ascii="Calibri" w:hAnsi="Calibri" w:cs="Segoe UI"/>
        </w:rPr>
        <w:t xml:space="preserve">, G. L. (1990). </w:t>
      </w:r>
      <w:proofErr w:type="gramStart"/>
      <w:r w:rsidRPr="00F85122">
        <w:rPr>
          <w:rFonts w:ascii="Calibri" w:hAnsi="Calibri" w:cs="Segoe UI"/>
        </w:rPr>
        <w:t>Child abuse reporting and failure to report among mandated reporters: Prevalence, incidence, and reasons.</w:t>
      </w:r>
      <w:proofErr w:type="gramEnd"/>
      <w:r w:rsidRPr="00F85122">
        <w:rPr>
          <w:rFonts w:ascii="Calibri" w:hAnsi="Calibri" w:cs="Segoe UI"/>
        </w:rPr>
        <w:t xml:space="preserve"> </w:t>
      </w:r>
      <w:r w:rsidRPr="00F85122">
        <w:rPr>
          <w:rFonts w:ascii="Calibri" w:hAnsi="Calibri" w:cs="Segoe UI"/>
          <w:i/>
          <w:iCs/>
        </w:rPr>
        <w:t>Journal of Interpersonal Violence, 5</w:t>
      </w:r>
      <w:r w:rsidRPr="00F85122">
        <w:rPr>
          <w:rFonts w:ascii="Calibri" w:hAnsi="Calibri" w:cs="Segoe UI"/>
        </w:rPr>
        <w:t>(1), 3-22.</w:t>
      </w:r>
    </w:p>
    <w:p w14:paraId="01BFEF79" w14:textId="77777777" w:rsidR="00F85122" w:rsidRPr="00F85122" w:rsidRDefault="00F85122" w:rsidP="00F85122">
      <w:pPr>
        <w:widowControl w:val="0"/>
        <w:autoSpaceDE w:val="0"/>
        <w:autoSpaceDN w:val="0"/>
        <w:adjustRightInd w:val="0"/>
        <w:spacing w:after="60"/>
        <w:ind w:left="720" w:hanging="720"/>
        <w:rPr>
          <w:rFonts w:ascii="Calibri" w:hAnsi="Calibri" w:cs="Segoe UI"/>
        </w:rPr>
      </w:pPr>
      <w:proofErr w:type="spellStart"/>
      <w:r w:rsidRPr="00F85122">
        <w:rPr>
          <w:rFonts w:ascii="Calibri" w:hAnsi="Calibri" w:cs="Segoe UI"/>
        </w:rPr>
        <w:t>Zellman</w:t>
      </w:r>
      <w:proofErr w:type="spellEnd"/>
      <w:r w:rsidRPr="00F85122">
        <w:rPr>
          <w:rFonts w:ascii="Calibri" w:hAnsi="Calibri" w:cs="Segoe UI"/>
        </w:rPr>
        <w:t xml:space="preserve">, G. L. (1990a). Report decision-making patterns among mandated child abuse reporters. </w:t>
      </w:r>
      <w:r w:rsidRPr="00F85122">
        <w:rPr>
          <w:rFonts w:ascii="Calibri" w:hAnsi="Calibri" w:cs="Segoe UI"/>
          <w:i/>
          <w:iCs/>
        </w:rPr>
        <w:t>Child Abuse &amp; Neglect, 14</w:t>
      </w:r>
      <w:r w:rsidRPr="00F85122">
        <w:rPr>
          <w:rFonts w:ascii="Calibri" w:hAnsi="Calibri" w:cs="Segoe UI"/>
        </w:rPr>
        <w:t>(3), 325-336.</w:t>
      </w:r>
    </w:p>
    <w:p w14:paraId="3B5296AD" w14:textId="77777777" w:rsidR="00F85122" w:rsidRPr="00F85122" w:rsidRDefault="00F85122" w:rsidP="00F85122">
      <w:pPr>
        <w:ind w:left="709" w:hanging="709"/>
        <w:rPr>
          <w:rFonts w:ascii="Calibri" w:hAnsi="Calibri" w:cs="Segoe UI"/>
        </w:rPr>
      </w:pPr>
      <w:proofErr w:type="spellStart"/>
      <w:r w:rsidRPr="00F85122">
        <w:rPr>
          <w:rFonts w:ascii="Calibri" w:hAnsi="Calibri" w:cs="Segoe UI"/>
        </w:rPr>
        <w:t>Zellman</w:t>
      </w:r>
      <w:proofErr w:type="spellEnd"/>
      <w:r w:rsidRPr="00F85122">
        <w:rPr>
          <w:rFonts w:ascii="Calibri" w:hAnsi="Calibri" w:cs="Segoe UI"/>
        </w:rPr>
        <w:t xml:space="preserve">, G. L. (1992). </w:t>
      </w:r>
      <w:proofErr w:type="gramStart"/>
      <w:r w:rsidRPr="00F85122">
        <w:rPr>
          <w:rFonts w:ascii="Calibri" w:hAnsi="Calibri" w:cs="Segoe UI"/>
        </w:rPr>
        <w:t>The impact of case characteristics on child abuse reporting decisions.</w:t>
      </w:r>
      <w:proofErr w:type="gramEnd"/>
      <w:r w:rsidRPr="00F85122">
        <w:rPr>
          <w:rFonts w:ascii="Calibri" w:hAnsi="Calibri" w:cs="Segoe UI"/>
        </w:rPr>
        <w:t xml:space="preserve"> </w:t>
      </w:r>
      <w:r w:rsidRPr="00F85122">
        <w:rPr>
          <w:rFonts w:ascii="Calibri" w:hAnsi="Calibri" w:cs="Segoe UI"/>
          <w:i/>
          <w:iCs/>
        </w:rPr>
        <w:t>Child Abuse &amp; Neglect, 16</w:t>
      </w:r>
      <w:r w:rsidRPr="00F85122">
        <w:rPr>
          <w:rFonts w:ascii="Calibri" w:hAnsi="Calibri" w:cs="Segoe UI"/>
        </w:rPr>
        <w:t>(1), 57-74.</w:t>
      </w:r>
    </w:p>
    <w:p w14:paraId="6A6B3AA5" w14:textId="77777777" w:rsidR="00F85122" w:rsidRPr="00F85122" w:rsidRDefault="00F85122" w:rsidP="00F85122">
      <w:pPr>
        <w:spacing w:before="0"/>
        <w:rPr>
          <w:rFonts w:ascii="Calibri" w:hAnsi="Calibri"/>
        </w:rPr>
      </w:pPr>
      <w:r w:rsidRPr="00F85122">
        <w:rPr>
          <w:rFonts w:ascii="Calibri" w:hAnsi="Calibri"/>
        </w:rPr>
        <w:br w:type="page"/>
      </w:r>
    </w:p>
    <w:p w14:paraId="2EB5CDF2" w14:textId="77777777" w:rsidR="00F85122" w:rsidRPr="00F85122" w:rsidRDefault="00F85122" w:rsidP="00F85122">
      <w:pPr>
        <w:pStyle w:val="Heading4"/>
      </w:pPr>
      <w:bookmarkStart w:id="189" w:name="_Toc400110704"/>
      <w:bookmarkStart w:id="190" w:name="_Toc435457026"/>
      <w:bookmarkStart w:id="191" w:name="_Toc435716775"/>
      <w:r w:rsidRPr="00F85122">
        <w:lastRenderedPageBreak/>
        <w:t>3.2</w:t>
      </w:r>
      <w:r w:rsidRPr="00F85122">
        <w:tab/>
        <w:t>Literature review 2: Theoretical critiques of mandatory reporting laws</w:t>
      </w:r>
      <w:bookmarkEnd w:id="189"/>
      <w:bookmarkEnd w:id="190"/>
      <w:bookmarkEnd w:id="191"/>
    </w:p>
    <w:p w14:paraId="0FAA7603" w14:textId="77777777" w:rsidR="00F85122" w:rsidRPr="00F85122" w:rsidRDefault="00F85122" w:rsidP="00F85122">
      <w:pPr>
        <w:pStyle w:val="Heading5"/>
      </w:pPr>
      <w:bookmarkStart w:id="192" w:name="_Toc399665713"/>
      <w:bookmarkStart w:id="193" w:name="_Toc399667237"/>
      <w:bookmarkStart w:id="194" w:name="_Toc399668979"/>
      <w:bookmarkStart w:id="195" w:name="_Toc399676765"/>
      <w:bookmarkStart w:id="196" w:name="_Toc273951898"/>
      <w:bookmarkStart w:id="197" w:name="_Toc400108207"/>
      <w:bookmarkStart w:id="198" w:name="_Toc400110258"/>
      <w:bookmarkStart w:id="199" w:name="_Toc400110594"/>
      <w:bookmarkStart w:id="200" w:name="_Toc400110705"/>
      <w:r w:rsidRPr="00F85122">
        <w:t>Purpose</w:t>
      </w:r>
      <w:bookmarkEnd w:id="192"/>
      <w:bookmarkEnd w:id="193"/>
      <w:bookmarkEnd w:id="194"/>
      <w:bookmarkEnd w:id="195"/>
      <w:bookmarkEnd w:id="196"/>
      <w:bookmarkEnd w:id="197"/>
      <w:bookmarkEnd w:id="198"/>
      <w:bookmarkEnd w:id="199"/>
      <w:bookmarkEnd w:id="200"/>
    </w:p>
    <w:p w14:paraId="197E144E" w14:textId="77777777" w:rsidR="00F85122" w:rsidRPr="00F85122" w:rsidRDefault="00F85122" w:rsidP="00AD5138">
      <w:pPr>
        <w:jc w:val="both"/>
        <w:rPr>
          <w:rFonts w:ascii="Calibri" w:hAnsi="Calibri"/>
        </w:rPr>
      </w:pPr>
      <w:r w:rsidRPr="00F85122">
        <w:rPr>
          <w:rFonts w:ascii="Calibri" w:hAnsi="Calibri"/>
        </w:rPr>
        <w:t xml:space="preserve">The purpose of this review was to identify and synthesise critical assessments or analyses of mandatory </w:t>
      </w:r>
      <w:proofErr w:type="gramStart"/>
      <w:r w:rsidRPr="00F85122">
        <w:rPr>
          <w:rFonts w:ascii="Calibri" w:hAnsi="Calibri"/>
        </w:rPr>
        <w:t>laws which</w:t>
      </w:r>
      <w:proofErr w:type="gramEnd"/>
      <w:r w:rsidRPr="00F85122">
        <w:rPr>
          <w:rFonts w:ascii="Calibri" w:hAnsi="Calibri"/>
        </w:rPr>
        <w:t xml:space="preserve"> were premised on or informed by a theoretical perspective. Theoretical perspectives offer a way of illuminating the phenomenon of child abuse and neglect, and of the nature and consequences of social and legal strategies developed to respond to it, principally in this context the strategy of mandatory reporting legislation. Informed by a theoretical perspective, critical analyses of the policy measure which is the subject of the critique can produce conclusions which occupy various points on a spectrum of support or opposition to the measure; for example:</w:t>
      </w:r>
    </w:p>
    <w:p w14:paraId="14DDA531" w14:textId="77777777" w:rsidR="00F85122" w:rsidRPr="00F85122" w:rsidRDefault="00F85122" w:rsidP="001876C9">
      <w:pPr>
        <w:pStyle w:val="NoSpacing"/>
        <w:numPr>
          <w:ilvl w:val="0"/>
          <w:numId w:val="25"/>
        </w:numPr>
        <w:shd w:val="clear" w:color="auto" w:fill="auto"/>
        <w:spacing w:before="0" w:after="0"/>
        <w:rPr>
          <w:rFonts w:ascii="Calibri" w:hAnsi="Calibri"/>
          <w:b w:val="0"/>
          <w:sz w:val="22"/>
        </w:rPr>
      </w:pPr>
      <w:r w:rsidRPr="00F85122">
        <w:rPr>
          <w:rFonts w:ascii="Calibri" w:hAnsi="Calibri"/>
          <w:b w:val="0"/>
          <w:sz w:val="22"/>
        </w:rPr>
        <w:t>very strong support of the measure;</w:t>
      </w:r>
    </w:p>
    <w:p w14:paraId="16170CC3" w14:textId="77777777" w:rsidR="00F85122" w:rsidRPr="00F85122" w:rsidRDefault="00F85122" w:rsidP="001876C9">
      <w:pPr>
        <w:pStyle w:val="NoSpacing"/>
        <w:numPr>
          <w:ilvl w:val="0"/>
          <w:numId w:val="25"/>
        </w:numPr>
        <w:shd w:val="clear" w:color="auto" w:fill="auto"/>
        <w:spacing w:before="0" w:after="0"/>
        <w:rPr>
          <w:rFonts w:ascii="Calibri" w:hAnsi="Calibri"/>
          <w:b w:val="0"/>
          <w:sz w:val="22"/>
        </w:rPr>
      </w:pPr>
      <w:r w:rsidRPr="00F85122">
        <w:rPr>
          <w:rFonts w:ascii="Calibri" w:hAnsi="Calibri"/>
          <w:b w:val="0"/>
          <w:sz w:val="22"/>
        </w:rPr>
        <w:t>mostly supportive of the measure while identifying some problems with it (conceptual, legal, ethical, clinical, practical);</w:t>
      </w:r>
    </w:p>
    <w:p w14:paraId="0D516504" w14:textId="77777777" w:rsidR="00F85122" w:rsidRPr="00F85122" w:rsidRDefault="00F85122" w:rsidP="001876C9">
      <w:pPr>
        <w:pStyle w:val="NoSpacing"/>
        <w:numPr>
          <w:ilvl w:val="0"/>
          <w:numId w:val="25"/>
        </w:numPr>
        <w:shd w:val="clear" w:color="auto" w:fill="auto"/>
        <w:spacing w:before="0" w:after="0"/>
        <w:rPr>
          <w:rFonts w:ascii="Calibri" w:hAnsi="Calibri"/>
          <w:b w:val="0"/>
          <w:sz w:val="22"/>
        </w:rPr>
      </w:pPr>
      <w:r w:rsidRPr="00F85122">
        <w:rPr>
          <w:rFonts w:ascii="Calibri" w:hAnsi="Calibri"/>
          <w:b w:val="0"/>
          <w:sz w:val="22"/>
        </w:rPr>
        <w:t>partial opposition to the measure in general while partly endorsing it in some form;</w:t>
      </w:r>
    </w:p>
    <w:p w14:paraId="069D0B92" w14:textId="77777777" w:rsidR="00F85122" w:rsidRPr="00F85122" w:rsidRDefault="00F85122" w:rsidP="001876C9">
      <w:pPr>
        <w:pStyle w:val="NoSpacing"/>
        <w:numPr>
          <w:ilvl w:val="0"/>
          <w:numId w:val="25"/>
        </w:numPr>
        <w:shd w:val="clear" w:color="auto" w:fill="auto"/>
        <w:spacing w:before="0" w:after="0"/>
        <w:rPr>
          <w:rFonts w:ascii="Calibri" w:hAnsi="Calibri"/>
          <w:b w:val="0"/>
          <w:sz w:val="22"/>
        </w:rPr>
      </w:pPr>
      <w:proofErr w:type="gramStart"/>
      <w:r w:rsidRPr="00F85122">
        <w:rPr>
          <w:rFonts w:ascii="Calibri" w:hAnsi="Calibri"/>
          <w:b w:val="0"/>
          <w:sz w:val="22"/>
        </w:rPr>
        <w:t>complete</w:t>
      </w:r>
      <w:proofErr w:type="gramEnd"/>
      <w:r w:rsidRPr="00F85122">
        <w:rPr>
          <w:rFonts w:ascii="Calibri" w:hAnsi="Calibri"/>
          <w:b w:val="0"/>
          <w:sz w:val="22"/>
        </w:rPr>
        <w:t xml:space="preserve"> opposition to the measure.</w:t>
      </w:r>
    </w:p>
    <w:p w14:paraId="51D18D98" w14:textId="77777777" w:rsidR="00F85122" w:rsidRPr="00F85122" w:rsidRDefault="00F85122" w:rsidP="00F85122">
      <w:pPr>
        <w:pStyle w:val="Heading5"/>
      </w:pPr>
      <w:bookmarkStart w:id="201" w:name="_Toc399665714"/>
      <w:bookmarkStart w:id="202" w:name="_Toc399667238"/>
      <w:bookmarkStart w:id="203" w:name="_Toc399668980"/>
      <w:bookmarkStart w:id="204" w:name="_Toc399676766"/>
      <w:bookmarkStart w:id="205" w:name="_Toc273951899"/>
      <w:bookmarkStart w:id="206" w:name="_Toc400108208"/>
      <w:bookmarkStart w:id="207" w:name="_Toc400110259"/>
      <w:bookmarkStart w:id="208" w:name="_Toc400110595"/>
      <w:bookmarkStart w:id="209" w:name="_Toc400110706"/>
      <w:r w:rsidRPr="00F85122">
        <w:t>Definitions</w:t>
      </w:r>
      <w:bookmarkEnd w:id="201"/>
      <w:bookmarkEnd w:id="202"/>
      <w:bookmarkEnd w:id="203"/>
      <w:bookmarkEnd w:id="204"/>
      <w:bookmarkEnd w:id="205"/>
      <w:bookmarkEnd w:id="206"/>
      <w:bookmarkEnd w:id="207"/>
      <w:bookmarkEnd w:id="208"/>
      <w:bookmarkEnd w:id="209"/>
    </w:p>
    <w:p w14:paraId="6F31EAD7" w14:textId="77777777" w:rsidR="00F85122" w:rsidRPr="00F85122" w:rsidRDefault="00F85122" w:rsidP="00AD5138">
      <w:pPr>
        <w:jc w:val="both"/>
        <w:rPr>
          <w:rFonts w:ascii="Calibri" w:hAnsi="Calibri"/>
        </w:rPr>
      </w:pPr>
      <w:r w:rsidRPr="00F85122">
        <w:rPr>
          <w:rFonts w:ascii="Calibri" w:hAnsi="Calibri"/>
        </w:rPr>
        <w:t xml:space="preserve">The nature of a ‘theoretical perspective’ can be explained as </w:t>
      </w:r>
      <w:proofErr w:type="gramStart"/>
      <w:r w:rsidRPr="00F85122">
        <w:rPr>
          <w:rFonts w:ascii="Calibri" w:hAnsi="Calibri"/>
        </w:rPr>
        <w:t>one which</w:t>
      </w:r>
      <w:proofErr w:type="gramEnd"/>
      <w:r w:rsidRPr="00F85122">
        <w:rPr>
          <w:rFonts w:ascii="Calibri" w:hAnsi="Calibri"/>
        </w:rPr>
        <w:t xml:space="preserve"> is more than a mere personal perspective; it is an analysis based on an established theoretical framework or approach. In general, such theoretical perspectives draw on the disciplines of ethics and philosophy, and their sub-fields. The relevant perspective is used to inform a normative argument about whether a particular social policy ought to exist, or ought not to, based on a particular theoretical perspective. Hence, these kinds of critique are exercises in </w:t>
      </w:r>
      <w:r w:rsidRPr="00F85122">
        <w:rPr>
          <w:rFonts w:ascii="Calibri" w:hAnsi="Calibri"/>
          <w:i/>
        </w:rPr>
        <w:t>normative ethics</w:t>
      </w:r>
      <w:r w:rsidRPr="00F85122">
        <w:rPr>
          <w:rFonts w:ascii="Calibri" w:hAnsi="Calibri"/>
        </w:rPr>
        <w:t>.</w:t>
      </w:r>
    </w:p>
    <w:p w14:paraId="690B2626" w14:textId="77777777" w:rsidR="00F85122" w:rsidRPr="00F85122" w:rsidRDefault="00F85122" w:rsidP="00F85122">
      <w:pPr>
        <w:rPr>
          <w:rFonts w:ascii="Calibri" w:hAnsi="Calibri"/>
          <w:szCs w:val="24"/>
        </w:rPr>
      </w:pPr>
      <w:r w:rsidRPr="00F85122">
        <w:rPr>
          <w:rFonts w:ascii="Calibri" w:hAnsi="Calibri"/>
          <w:szCs w:val="24"/>
        </w:rPr>
        <w:t>Examples of the theories that may inform analyses of mandatory reporting laws include:</w:t>
      </w:r>
    </w:p>
    <w:p w14:paraId="6BC37D4F" w14:textId="77777777" w:rsidR="00F85122" w:rsidRPr="00F85122" w:rsidRDefault="00F85122" w:rsidP="001876C9">
      <w:pPr>
        <w:pStyle w:val="NoSpacing"/>
        <w:numPr>
          <w:ilvl w:val="0"/>
          <w:numId w:val="23"/>
        </w:numPr>
        <w:shd w:val="clear" w:color="auto" w:fill="auto"/>
        <w:spacing w:before="0" w:after="0"/>
        <w:rPr>
          <w:rFonts w:ascii="Calibri" w:hAnsi="Calibri"/>
          <w:b w:val="0"/>
          <w:sz w:val="22"/>
          <w:szCs w:val="24"/>
        </w:rPr>
      </w:pPr>
      <w:r w:rsidRPr="00F85122">
        <w:rPr>
          <w:rFonts w:ascii="Calibri" w:hAnsi="Calibri"/>
          <w:b w:val="0"/>
          <w:sz w:val="22"/>
          <w:szCs w:val="24"/>
        </w:rPr>
        <w:t>Philosophical theories such as liberalism and its elements (e.g., by Locke, Mill), rights theories (including children’s rights), feminism;</w:t>
      </w:r>
    </w:p>
    <w:p w14:paraId="45AB230E" w14:textId="77777777" w:rsidR="00F85122" w:rsidRPr="00F85122" w:rsidRDefault="00F85122" w:rsidP="001876C9">
      <w:pPr>
        <w:pStyle w:val="NoSpacing"/>
        <w:numPr>
          <w:ilvl w:val="0"/>
          <w:numId w:val="23"/>
        </w:numPr>
        <w:shd w:val="clear" w:color="auto" w:fill="auto"/>
        <w:spacing w:before="0" w:after="0"/>
        <w:rPr>
          <w:rFonts w:ascii="Calibri" w:hAnsi="Calibri"/>
          <w:b w:val="0"/>
          <w:sz w:val="22"/>
          <w:szCs w:val="24"/>
          <w:lang w:val="en"/>
        </w:rPr>
      </w:pPr>
      <w:r w:rsidRPr="00F85122">
        <w:rPr>
          <w:rFonts w:ascii="Calibri" w:hAnsi="Calibri"/>
          <w:b w:val="0"/>
          <w:sz w:val="22"/>
          <w:szCs w:val="24"/>
        </w:rPr>
        <w:t xml:space="preserve">Bioethics (concepts of </w:t>
      </w:r>
      <w:r w:rsidRPr="00F85122">
        <w:rPr>
          <w:rFonts w:ascii="Calibri" w:hAnsi="Calibri"/>
          <w:b w:val="0"/>
          <w:sz w:val="22"/>
          <w:szCs w:val="24"/>
          <w:lang w:val="en"/>
        </w:rPr>
        <w:t xml:space="preserve">beneficence, </w:t>
      </w:r>
      <w:proofErr w:type="spellStart"/>
      <w:r w:rsidRPr="00F85122">
        <w:rPr>
          <w:rFonts w:ascii="Calibri" w:hAnsi="Calibri"/>
          <w:b w:val="0"/>
          <w:sz w:val="22"/>
          <w:szCs w:val="24"/>
          <w:lang w:val="en"/>
        </w:rPr>
        <w:t>nonmaleficence</w:t>
      </w:r>
      <w:proofErr w:type="spellEnd"/>
      <w:r w:rsidRPr="00F85122">
        <w:rPr>
          <w:rFonts w:ascii="Calibri" w:hAnsi="Calibri"/>
          <w:b w:val="0"/>
          <w:sz w:val="22"/>
          <w:szCs w:val="24"/>
          <w:lang w:val="en"/>
        </w:rPr>
        <w:t>, justice, autonomy), whether with the child, parent, family, clinician or community as the locus of concern;</w:t>
      </w:r>
    </w:p>
    <w:p w14:paraId="516CA488" w14:textId="77777777" w:rsidR="00F85122" w:rsidRPr="00F85122" w:rsidRDefault="00F85122" w:rsidP="001876C9">
      <w:pPr>
        <w:pStyle w:val="NoSpacing"/>
        <w:numPr>
          <w:ilvl w:val="0"/>
          <w:numId w:val="23"/>
        </w:numPr>
        <w:shd w:val="clear" w:color="auto" w:fill="auto"/>
        <w:spacing w:before="0" w:after="0"/>
        <w:rPr>
          <w:rFonts w:ascii="Calibri" w:hAnsi="Calibri"/>
          <w:b w:val="0"/>
          <w:sz w:val="22"/>
          <w:szCs w:val="24"/>
          <w:lang w:val="en"/>
        </w:rPr>
      </w:pPr>
      <w:r w:rsidRPr="00F85122">
        <w:rPr>
          <w:rFonts w:ascii="Calibri" w:hAnsi="Calibri"/>
          <w:b w:val="0"/>
          <w:sz w:val="22"/>
          <w:szCs w:val="24"/>
        </w:rPr>
        <w:t>Ethical theories/moral philosophy such as:</w:t>
      </w:r>
    </w:p>
    <w:p w14:paraId="4FF0C415" w14:textId="77777777" w:rsidR="00F85122" w:rsidRPr="00F85122" w:rsidRDefault="00F85122" w:rsidP="001876C9">
      <w:pPr>
        <w:pStyle w:val="NoSpacing"/>
        <w:numPr>
          <w:ilvl w:val="1"/>
          <w:numId w:val="23"/>
        </w:numPr>
        <w:shd w:val="clear" w:color="auto" w:fill="auto"/>
        <w:spacing w:before="0" w:after="0"/>
        <w:rPr>
          <w:rFonts w:ascii="Calibri" w:hAnsi="Calibri"/>
          <w:b w:val="0"/>
          <w:sz w:val="22"/>
          <w:lang w:val="en"/>
        </w:rPr>
      </w:pPr>
      <w:r w:rsidRPr="00F85122">
        <w:rPr>
          <w:rFonts w:ascii="Calibri" w:hAnsi="Calibri"/>
          <w:b w:val="0"/>
          <w:i/>
          <w:sz w:val="22"/>
          <w:lang w:val="en"/>
        </w:rPr>
        <w:t>deontological ethics</w:t>
      </w:r>
      <w:r w:rsidRPr="00F85122">
        <w:rPr>
          <w:rFonts w:ascii="Calibri" w:hAnsi="Calibri"/>
          <w:b w:val="0"/>
          <w:sz w:val="22"/>
          <w:lang w:val="en"/>
        </w:rPr>
        <w:t xml:space="preserve"> i.e., that decisions should only be made informed by assessing one’s duties and the rights of others (e.g., Kant; Rawls and social </w:t>
      </w:r>
      <w:proofErr w:type="spellStart"/>
      <w:r w:rsidRPr="00F85122">
        <w:rPr>
          <w:rFonts w:ascii="Calibri" w:hAnsi="Calibri"/>
          <w:b w:val="0"/>
          <w:sz w:val="22"/>
          <w:lang w:val="en"/>
        </w:rPr>
        <w:t>contractualism</w:t>
      </w:r>
      <w:proofErr w:type="spellEnd"/>
      <w:r w:rsidRPr="00F85122">
        <w:rPr>
          <w:rFonts w:ascii="Calibri" w:hAnsi="Calibri"/>
          <w:b w:val="0"/>
          <w:sz w:val="22"/>
          <w:lang w:val="en"/>
        </w:rPr>
        <w:t xml:space="preserve"> and its variations e.g., </w:t>
      </w:r>
      <w:proofErr w:type="spellStart"/>
      <w:r w:rsidRPr="00F85122">
        <w:rPr>
          <w:rFonts w:ascii="Calibri" w:hAnsi="Calibri"/>
          <w:b w:val="0"/>
          <w:sz w:val="22"/>
          <w:lang w:val="en"/>
        </w:rPr>
        <w:t>Okin</w:t>
      </w:r>
      <w:proofErr w:type="spellEnd"/>
      <w:r w:rsidRPr="00F85122">
        <w:rPr>
          <w:rFonts w:ascii="Calibri" w:hAnsi="Calibri"/>
          <w:b w:val="0"/>
          <w:sz w:val="22"/>
          <w:lang w:val="en"/>
        </w:rPr>
        <w:t>, Nussbaum);</w:t>
      </w:r>
    </w:p>
    <w:p w14:paraId="629F28D4" w14:textId="77777777" w:rsidR="00F85122" w:rsidRPr="00F85122" w:rsidRDefault="00F85122" w:rsidP="001876C9">
      <w:pPr>
        <w:pStyle w:val="NoSpacing"/>
        <w:numPr>
          <w:ilvl w:val="1"/>
          <w:numId w:val="23"/>
        </w:numPr>
        <w:shd w:val="clear" w:color="auto" w:fill="auto"/>
        <w:spacing w:before="0" w:after="0"/>
        <w:rPr>
          <w:rFonts w:ascii="Calibri" w:hAnsi="Calibri"/>
          <w:b w:val="0"/>
          <w:sz w:val="22"/>
          <w:lang w:val="en"/>
        </w:rPr>
      </w:pPr>
      <w:r w:rsidRPr="00F85122">
        <w:rPr>
          <w:rFonts w:ascii="Calibri" w:hAnsi="Calibri"/>
          <w:b w:val="0"/>
          <w:i/>
          <w:sz w:val="22"/>
          <w:lang w:val="en"/>
        </w:rPr>
        <w:lastRenderedPageBreak/>
        <w:t>consequentialism</w:t>
      </w:r>
      <w:r w:rsidRPr="00F85122">
        <w:rPr>
          <w:rFonts w:ascii="Calibri" w:hAnsi="Calibri"/>
          <w:b w:val="0"/>
          <w:sz w:val="22"/>
          <w:lang w:val="en"/>
        </w:rPr>
        <w:t xml:space="preserve"> i.e., a teleological approach which posits that the morality of a policy or act depends on its actual outcome; examples are utilitarian theory (a policy is justifiable if it produces the most </w:t>
      </w:r>
      <w:r w:rsidRPr="00F85122">
        <w:rPr>
          <w:rFonts w:ascii="Calibri" w:hAnsi="Calibri"/>
          <w:b w:val="0"/>
          <w:iCs/>
          <w:sz w:val="22"/>
          <w:lang w:val="en"/>
        </w:rPr>
        <w:t>happiness</w:t>
      </w:r>
      <w:r w:rsidRPr="00F85122">
        <w:rPr>
          <w:rFonts w:ascii="Calibri" w:hAnsi="Calibri"/>
          <w:b w:val="0"/>
          <w:sz w:val="22"/>
          <w:lang w:val="en"/>
        </w:rPr>
        <w:t xml:space="preserve"> for the most people), and </w:t>
      </w:r>
      <w:proofErr w:type="spellStart"/>
      <w:r w:rsidRPr="00F85122">
        <w:rPr>
          <w:rFonts w:ascii="Calibri" w:hAnsi="Calibri"/>
          <w:b w:val="0"/>
          <w:sz w:val="22"/>
          <w:lang w:val="en"/>
        </w:rPr>
        <w:t>welfarism</w:t>
      </w:r>
      <w:proofErr w:type="spellEnd"/>
      <w:r w:rsidRPr="00F85122">
        <w:rPr>
          <w:rFonts w:ascii="Calibri" w:hAnsi="Calibri"/>
          <w:b w:val="0"/>
          <w:sz w:val="22"/>
          <w:lang w:val="en"/>
        </w:rPr>
        <w:t xml:space="preserve"> (a policy is justifiable if it </w:t>
      </w:r>
      <w:proofErr w:type="spellStart"/>
      <w:r w:rsidRPr="00F85122">
        <w:rPr>
          <w:rFonts w:ascii="Calibri" w:hAnsi="Calibri"/>
          <w:b w:val="0"/>
          <w:sz w:val="22"/>
          <w:lang w:val="en"/>
        </w:rPr>
        <w:t>maximises</w:t>
      </w:r>
      <w:proofErr w:type="spellEnd"/>
      <w:r w:rsidRPr="00F85122">
        <w:rPr>
          <w:rFonts w:ascii="Calibri" w:hAnsi="Calibri"/>
          <w:b w:val="0"/>
          <w:sz w:val="22"/>
          <w:lang w:val="en"/>
        </w:rPr>
        <w:t xml:space="preserve"> </w:t>
      </w:r>
      <w:r w:rsidRPr="00F85122">
        <w:rPr>
          <w:rFonts w:ascii="Calibri" w:hAnsi="Calibri"/>
          <w:b w:val="0"/>
          <w:iCs/>
          <w:sz w:val="22"/>
          <w:lang w:val="en"/>
        </w:rPr>
        <w:t>economic welfare</w:t>
      </w:r>
      <w:r w:rsidRPr="00F85122">
        <w:rPr>
          <w:rFonts w:ascii="Calibri" w:hAnsi="Calibri"/>
          <w:b w:val="0"/>
          <w:sz w:val="22"/>
          <w:lang w:val="en"/>
        </w:rPr>
        <w:t>);</w:t>
      </w:r>
    </w:p>
    <w:p w14:paraId="0EEE26A2" w14:textId="77777777" w:rsidR="00F85122" w:rsidRPr="00F85122" w:rsidRDefault="00F85122" w:rsidP="001876C9">
      <w:pPr>
        <w:pStyle w:val="NoSpacing"/>
        <w:numPr>
          <w:ilvl w:val="1"/>
          <w:numId w:val="23"/>
        </w:numPr>
        <w:shd w:val="clear" w:color="auto" w:fill="auto"/>
        <w:spacing w:before="0" w:after="0"/>
        <w:rPr>
          <w:rFonts w:ascii="Calibri" w:hAnsi="Calibri"/>
          <w:b w:val="0"/>
          <w:sz w:val="22"/>
          <w:lang w:val="en"/>
        </w:rPr>
      </w:pPr>
      <w:r w:rsidRPr="00F85122">
        <w:rPr>
          <w:rFonts w:ascii="Calibri" w:hAnsi="Calibri"/>
          <w:b w:val="0"/>
          <w:i/>
          <w:sz w:val="22"/>
          <w:lang w:val="en"/>
        </w:rPr>
        <w:t>relational ethics</w:t>
      </w:r>
      <w:r w:rsidRPr="00F85122">
        <w:rPr>
          <w:rFonts w:ascii="Calibri" w:hAnsi="Calibri"/>
          <w:b w:val="0"/>
          <w:sz w:val="22"/>
          <w:lang w:val="en"/>
        </w:rPr>
        <w:t xml:space="preserve"> i.e., the morality of a policy depends on whether it promotes interdependence and relationships in achieving ethical goals;</w:t>
      </w:r>
    </w:p>
    <w:p w14:paraId="0AD35D75" w14:textId="77777777" w:rsidR="00D73D32" w:rsidRPr="00D73D32" w:rsidRDefault="00F85122" w:rsidP="00D73D32">
      <w:pPr>
        <w:pStyle w:val="NoSpacing"/>
        <w:numPr>
          <w:ilvl w:val="1"/>
          <w:numId w:val="23"/>
        </w:numPr>
        <w:shd w:val="clear" w:color="auto" w:fill="auto"/>
        <w:spacing w:before="0" w:after="0"/>
      </w:pPr>
      <w:proofErr w:type="gramStart"/>
      <w:r w:rsidRPr="00F85122">
        <w:rPr>
          <w:rFonts w:ascii="Calibri" w:hAnsi="Calibri"/>
          <w:b w:val="0"/>
          <w:i/>
          <w:sz w:val="22"/>
        </w:rPr>
        <w:t>pragmatism</w:t>
      </w:r>
      <w:proofErr w:type="gramEnd"/>
      <w:r w:rsidRPr="00F85122">
        <w:rPr>
          <w:rFonts w:ascii="Calibri" w:hAnsi="Calibri"/>
          <w:b w:val="0"/>
          <w:sz w:val="22"/>
        </w:rPr>
        <w:t xml:space="preserve"> i.e., </w:t>
      </w:r>
      <w:r w:rsidRPr="00F85122">
        <w:rPr>
          <w:rFonts w:ascii="Calibri" w:hAnsi="Calibri"/>
          <w:b w:val="0"/>
          <w:sz w:val="22"/>
          <w:lang w:val="en"/>
        </w:rPr>
        <w:t>the morality of a policy depends on whether it works to promote social goods and beneficial social reform.</w:t>
      </w:r>
      <w:bookmarkStart w:id="210" w:name="_Toc399665715"/>
      <w:bookmarkStart w:id="211" w:name="_Toc399667239"/>
      <w:bookmarkStart w:id="212" w:name="_Toc399668981"/>
      <w:bookmarkStart w:id="213" w:name="_Toc399676767"/>
      <w:bookmarkStart w:id="214" w:name="_Toc273951900"/>
      <w:bookmarkStart w:id="215" w:name="_Toc400108209"/>
      <w:bookmarkStart w:id="216" w:name="_Toc400110260"/>
      <w:bookmarkStart w:id="217" w:name="_Toc400110596"/>
      <w:bookmarkStart w:id="218" w:name="_Toc400110707"/>
    </w:p>
    <w:p w14:paraId="621F50C0" w14:textId="77777777" w:rsidR="00D73D32" w:rsidRDefault="00D73D32" w:rsidP="00D73D32">
      <w:pPr>
        <w:pStyle w:val="NoSpacing"/>
        <w:shd w:val="clear" w:color="auto" w:fill="auto"/>
        <w:spacing w:before="0" w:after="0"/>
      </w:pPr>
      <w:r w:rsidRPr="00F85122">
        <w:t xml:space="preserve"> </w:t>
      </w:r>
    </w:p>
    <w:p w14:paraId="6FCB2544" w14:textId="6669ADA4" w:rsidR="00F85122" w:rsidRPr="00F85122" w:rsidRDefault="00F85122" w:rsidP="00D73D32">
      <w:pPr>
        <w:pStyle w:val="Heading5"/>
      </w:pPr>
      <w:r w:rsidRPr="00F85122">
        <w:t>Inclusion and exclusion criteria</w:t>
      </w:r>
      <w:bookmarkEnd w:id="210"/>
      <w:bookmarkEnd w:id="211"/>
      <w:bookmarkEnd w:id="212"/>
      <w:bookmarkEnd w:id="213"/>
      <w:bookmarkEnd w:id="214"/>
      <w:bookmarkEnd w:id="215"/>
      <w:bookmarkEnd w:id="216"/>
      <w:bookmarkEnd w:id="217"/>
      <w:bookmarkEnd w:id="218"/>
    </w:p>
    <w:p w14:paraId="3F05F908" w14:textId="6E4F070B" w:rsidR="00F85122" w:rsidRPr="00F85122" w:rsidRDefault="00F85122" w:rsidP="00AD5138">
      <w:pPr>
        <w:jc w:val="both"/>
        <w:rPr>
          <w:rFonts w:ascii="Calibri" w:hAnsi="Calibri"/>
        </w:rPr>
      </w:pPr>
      <w:r w:rsidRPr="00F85122">
        <w:rPr>
          <w:rFonts w:ascii="Calibri" w:hAnsi="Calibri"/>
        </w:rPr>
        <w:t>Literature was included or excluded based on three criteria: (</w:t>
      </w:r>
      <w:proofErr w:type="spellStart"/>
      <w:r w:rsidRPr="00F85122">
        <w:rPr>
          <w:rFonts w:ascii="Calibri" w:hAnsi="Calibri"/>
        </w:rPr>
        <w:t>i</w:t>
      </w:r>
      <w:proofErr w:type="spellEnd"/>
      <w:r w:rsidRPr="00F85122">
        <w:rPr>
          <w:rFonts w:ascii="Calibri" w:hAnsi="Calibri"/>
        </w:rPr>
        <w:t>) publication type; (ii) publication topic</w:t>
      </w:r>
      <w:proofErr w:type="gramStart"/>
      <w:r w:rsidRPr="00F85122">
        <w:rPr>
          <w:rFonts w:ascii="Calibri" w:hAnsi="Calibri"/>
        </w:rPr>
        <w:t>;</w:t>
      </w:r>
      <w:proofErr w:type="gramEnd"/>
      <w:r w:rsidRPr="00F85122">
        <w:rPr>
          <w:rFonts w:ascii="Calibri" w:hAnsi="Calibri"/>
        </w:rPr>
        <w:t xml:space="preserve"> and (iii) approach adopted. The majority of the literature included in this review of analyses of mandatory reporting laws did not explicitly state its adopted theoretical basis, explain it, and apply it to a carefully articulated context of child maltreatment. Therefore, from a theoretical standpoint, this area of the field is relatively underdeveloped. Instead, much work explored the context and developed an argument based on an unarticulated theoretical position, which was usually a pragmatic or consequentialist argument about the asserted or real outcomes of mandatory reporting. The shortcoming of such an approach is that it rests on less thoroughly explored assumptions and principles, and does not fully explore or apply the quasi-theoretical principles to the entire situation. However, this work can still present some useful insights, and accordingly we decided to include </w:t>
      </w:r>
      <w:proofErr w:type="gramStart"/>
      <w:r w:rsidRPr="00F85122">
        <w:rPr>
          <w:rFonts w:ascii="Calibri" w:hAnsi="Calibri"/>
        </w:rPr>
        <w:t>scholarly refereed</w:t>
      </w:r>
      <w:proofErr w:type="gramEnd"/>
      <w:r w:rsidRPr="00F85122">
        <w:rPr>
          <w:rFonts w:ascii="Calibri" w:hAnsi="Calibri"/>
        </w:rPr>
        <w:t xml:space="preserve"> work which adopted such an approach. This decision also resulted in the review not being so small as to be unhelpful.</w:t>
      </w:r>
    </w:p>
    <w:p w14:paraId="632F832B" w14:textId="77777777" w:rsidR="00F85122" w:rsidRPr="00F85122" w:rsidRDefault="00F85122" w:rsidP="00F85122">
      <w:pPr>
        <w:pStyle w:val="Heading6"/>
        <w:rPr>
          <w:rFonts w:ascii="Calibri" w:hAnsi="Calibri"/>
          <w:i/>
        </w:rPr>
      </w:pPr>
      <w:r w:rsidRPr="00F85122">
        <w:rPr>
          <w:rFonts w:ascii="Calibri" w:hAnsi="Calibri"/>
          <w:i/>
        </w:rPr>
        <w:t>Included papers</w:t>
      </w:r>
    </w:p>
    <w:p w14:paraId="30C7EB9A" w14:textId="77777777" w:rsidR="00F85122" w:rsidRPr="00F85122" w:rsidRDefault="00F85122" w:rsidP="001876C9">
      <w:pPr>
        <w:pStyle w:val="NoSpacing"/>
        <w:numPr>
          <w:ilvl w:val="0"/>
          <w:numId w:val="24"/>
        </w:numPr>
        <w:shd w:val="clear" w:color="auto" w:fill="auto"/>
        <w:spacing w:before="0" w:after="0"/>
        <w:rPr>
          <w:rFonts w:ascii="Calibri" w:hAnsi="Calibri"/>
          <w:b w:val="0"/>
          <w:sz w:val="22"/>
        </w:rPr>
      </w:pPr>
      <w:r w:rsidRPr="00F85122">
        <w:rPr>
          <w:rFonts w:ascii="Calibri" w:hAnsi="Calibri"/>
          <w:b w:val="0"/>
          <w:sz w:val="22"/>
        </w:rPr>
        <w:t>Publication type: scholarly peer-reviewed works including journal articles, book chapters</w:t>
      </w:r>
    </w:p>
    <w:p w14:paraId="00A64AC4" w14:textId="77777777" w:rsidR="00F85122" w:rsidRPr="00F85122" w:rsidRDefault="00F85122" w:rsidP="001876C9">
      <w:pPr>
        <w:pStyle w:val="NoSpacing"/>
        <w:numPr>
          <w:ilvl w:val="0"/>
          <w:numId w:val="24"/>
        </w:numPr>
        <w:shd w:val="clear" w:color="auto" w:fill="auto"/>
        <w:spacing w:before="0" w:after="0"/>
        <w:rPr>
          <w:rFonts w:ascii="Calibri" w:hAnsi="Calibri"/>
          <w:b w:val="0"/>
          <w:sz w:val="22"/>
        </w:rPr>
      </w:pPr>
      <w:r w:rsidRPr="00F85122">
        <w:rPr>
          <w:rFonts w:ascii="Calibri" w:hAnsi="Calibri"/>
          <w:b w:val="0"/>
          <w:sz w:val="22"/>
        </w:rPr>
        <w:t>Publication topic: paper was about mandatory reporting legislation concerning child abuse and neglect (either child abuse and neglect generally, or any specified type or types of abuse or neglect); that is, legislation that has as its specific nature and purpose the reporting of child abuse and neglect</w:t>
      </w:r>
    </w:p>
    <w:p w14:paraId="34A110A5" w14:textId="58F29BC7" w:rsidR="00F85122" w:rsidRPr="00F85122" w:rsidRDefault="00F85122" w:rsidP="001876C9">
      <w:pPr>
        <w:pStyle w:val="NoSpacing"/>
        <w:numPr>
          <w:ilvl w:val="0"/>
          <w:numId w:val="24"/>
        </w:numPr>
        <w:shd w:val="clear" w:color="auto" w:fill="auto"/>
        <w:spacing w:before="0" w:after="0"/>
        <w:rPr>
          <w:rFonts w:ascii="Calibri" w:hAnsi="Calibri"/>
          <w:b w:val="0"/>
          <w:sz w:val="22"/>
          <w:szCs w:val="24"/>
        </w:rPr>
      </w:pPr>
      <w:proofErr w:type="gramStart"/>
      <w:r w:rsidRPr="00F85122">
        <w:rPr>
          <w:rFonts w:ascii="Calibri" w:hAnsi="Calibri"/>
          <w:b w:val="0"/>
          <w:sz w:val="22"/>
          <w:szCs w:val="24"/>
        </w:rPr>
        <w:t>Approach adopted: (a) papers that explicitly or implicitly used one or more modes of ‘big T’ Theory (e.g., an expressly stated liberal critique, rights-based critique, feminist critique, or economic critique) to conduct a normative or theoretical critique of the laws; (b) papers that explicitly or implicitly used one or more modes of ‘little T’ theory (e.g., arguments based on the practical results or consequences of the laws, which implicitly relate to a ‘Big T’ theory but without expressly using such a framework) to conduct a normative or theoretical critique of the laws.</w:t>
      </w:r>
      <w:proofErr w:type="gramEnd"/>
    </w:p>
    <w:p w14:paraId="2208598D" w14:textId="77777777" w:rsidR="00F85122" w:rsidRPr="00F85122" w:rsidRDefault="00F85122" w:rsidP="00F85122">
      <w:pPr>
        <w:pStyle w:val="Heading6"/>
        <w:rPr>
          <w:rFonts w:ascii="Calibri" w:hAnsi="Calibri"/>
          <w:i/>
        </w:rPr>
      </w:pPr>
      <w:r w:rsidRPr="00F85122">
        <w:rPr>
          <w:rFonts w:ascii="Calibri" w:hAnsi="Calibri"/>
          <w:i/>
        </w:rPr>
        <w:lastRenderedPageBreak/>
        <w:t>Excluded papers</w:t>
      </w:r>
    </w:p>
    <w:p w14:paraId="356034FA" w14:textId="77777777" w:rsidR="00F85122" w:rsidRPr="00F85122" w:rsidRDefault="00F85122" w:rsidP="001876C9">
      <w:pPr>
        <w:pStyle w:val="NoSpacing"/>
        <w:numPr>
          <w:ilvl w:val="0"/>
          <w:numId w:val="24"/>
        </w:numPr>
        <w:shd w:val="clear" w:color="auto" w:fill="auto"/>
        <w:spacing w:before="0" w:after="0"/>
        <w:rPr>
          <w:rFonts w:ascii="Calibri" w:hAnsi="Calibri"/>
          <w:b w:val="0"/>
          <w:sz w:val="22"/>
          <w:szCs w:val="24"/>
        </w:rPr>
      </w:pPr>
      <w:r w:rsidRPr="00F85122">
        <w:rPr>
          <w:rFonts w:ascii="Calibri" w:hAnsi="Calibri"/>
          <w:b w:val="0"/>
          <w:sz w:val="22"/>
          <w:szCs w:val="24"/>
        </w:rPr>
        <w:t>Publication type: non-peer reviewed works including conference papers, professional opinion</w:t>
      </w:r>
    </w:p>
    <w:p w14:paraId="46DD263C" w14:textId="77777777" w:rsidR="00F85122" w:rsidRPr="00F85122" w:rsidRDefault="00F85122" w:rsidP="001876C9">
      <w:pPr>
        <w:pStyle w:val="NoSpacing"/>
        <w:numPr>
          <w:ilvl w:val="0"/>
          <w:numId w:val="24"/>
        </w:numPr>
        <w:shd w:val="clear" w:color="auto" w:fill="auto"/>
        <w:spacing w:before="0" w:after="0"/>
        <w:rPr>
          <w:rFonts w:ascii="Calibri" w:hAnsi="Calibri"/>
          <w:b w:val="0"/>
          <w:sz w:val="22"/>
          <w:szCs w:val="24"/>
        </w:rPr>
      </w:pPr>
      <w:r w:rsidRPr="00F85122">
        <w:rPr>
          <w:rFonts w:ascii="Calibri" w:hAnsi="Calibri"/>
          <w:b w:val="0"/>
          <w:sz w:val="22"/>
          <w:szCs w:val="24"/>
        </w:rPr>
        <w:t>Publication topic: papers about reporting policy, procedures or guidelines as distinct from mandatory reporting legislation</w:t>
      </w:r>
    </w:p>
    <w:p w14:paraId="2D10B1F7" w14:textId="77777777" w:rsidR="00F85122" w:rsidRPr="00F85122" w:rsidRDefault="00F85122" w:rsidP="001876C9">
      <w:pPr>
        <w:pStyle w:val="NoSpacing"/>
        <w:numPr>
          <w:ilvl w:val="0"/>
          <w:numId w:val="24"/>
        </w:numPr>
        <w:shd w:val="clear" w:color="auto" w:fill="auto"/>
        <w:spacing w:before="0" w:after="0"/>
        <w:rPr>
          <w:rFonts w:ascii="Calibri" w:hAnsi="Calibri"/>
          <w:b w:val="0"/>
          <w:sz w:val="22"/>
          <w:szCs w:val="24"/>
        </w:rPr>
      </w:pPr>
      <w:proofErr w:type="gramStart"/>
      <w:r w:rsidRPr="00F85122">
        <w:rPr>
          <w:rFonts w:ascii="Calibri" w:hAnsi="Calibri"/>
          <w:b w:val="0"/>
          <w:sz w:val="22"/>
          <w:szCs w:val="24"/>
        </w:rPr>
        <w:t xml:space="preserve">Approach adopted: (a) papers that simply made assertions about the laws and/or their effects without being either explicitly or implicitly underpinned by a theoretical basis; (b) papers about empirical studies of reporting, attitudes, experiences, training </w:t>
      </w:r>
      <w:proofErr w:type="spellStart"/>
      <w:r w:rsidRPr="00F85122">
        <w:rPr>
          <w:rFonts w:ascii="Calibri" w:hAnsi="Calibri"/>
          <w:b w:val="0"/>
          <w:sz w:val="22"/>
          <w:szCs w:val="24"/>
        </w:rPr>
        <w:t>etc</w:t>
      </w:r>
      <w:proofErr w:type="spellEnd"/>
      <w:r w:rsidRPr="00F85122">
        <w:rPr>
          <w:rFonts w:ascii="Calibri" w:hAnsi="Calibri"/>
          <w:b w:val="0"/>
          <w:sz w:val="22"/>
          <w:szCs w:val="24"/>
        </w:rPr>
        <w:t>; (c) mere replication or adoption of a theory without exploration or argumentation (e.g. papers that made only a bare comment on mandatory reporting legislation).</w:t>
      </w:r>
      <w:proofErr w:type="gramEnd"/>
    </w:p>
    <w:p w14:paraId="74880A92" w14:textId="77777777" w:rsidR="00F85122" w:rsidRPr="00F85122" w:rsidRDefault="00F85122" w:rsidP="00F85122">
      <w:pPr>
        <w:pStyle w:val="Heading5"/>
        <w:rPr>
          <w:bCs/>
        </w:rPr>
      </w:pPr>
      <w:bookmarkStart w:id="219" w:name="_Toc399665716"/>
      <w:bookmarkStart w:id="220" w:name="_Toc399667240"/>
      <w:bookmarkStart w:id="221" w:name="_Toc399668982"/>
      <w:bookmarkStart w:id="222" w:name="_Toc399676768"/>
      <w:bookmarkStart w:id="223" w:name="_Toc273951901"/>
      <w:bookmarkStart w:id="224" w:name="_Toc400108210"/>
      <w:bookmarkStart w:id="225" w:name="_Toc400110261"/>
      <w:bookmarkStart w:id="226" w:name="_Toc400110597"/>
      <w:bookmarkStart w:id="227" w:name="_Toc400110708"/>
      <w:r w:rsidRPr="00F85122">
        <w:t>Thematic analysis of theoretical critiques: Key findings</w:t>
      </w:r>
      <w:bookmarkEnd w:id="219"/>
      <w:bookmarkEnd w:id="220"/>
      <w:bookmarkEnd w:id="221"/>
      <w:bookmarkEnd w:id="222"/>
      <w:bookmarkEnd w:id="223"/>
      <w:bookmarkEnd w:id="224"/>
      <w:bookmarkEnd w:id="225"/>
      <w:bookmarkEnd w:id="226"/>
      <w:bookmarkEnd w:id="227"/>
    </w:p>
    <w:p w14:paraId="220A8BEF" w14:textId="77777777" w:rsidR="00F85122" w:rsidRPr="00F85122" w:rsidRDefault="00F85122" w:rsidP="00AD5138">
      <w:pPr>
        <w:jc w:val="both"/>
        <w:rPr>
          <w:rFonts w:ascii="Calibri" w:hAnsi="Calibri"/>
        </w:rPr>
      </w:pPr>
      <w:r w:rsidRPr="00F85122">
        <w:rPr>
          <w:rFonts w:ascii="Calibri" w:hAnsi="Calibri"/>
        </w:rPr>
        <w:t xml:space="preserve">Thematic outlines of theoretical analyses in favour of the laws, and opposing the laws, </w:t>
      </w:r>
      <w:proofErr w:type="gramStart"/>
      <w:r w:rsidRPr="00F85122">
        <w:rPr>
          <w:rFonts w:ascii="Calibri" w:hAnsi="Calibri"/>
        </w:rPr>
        <w:t>are depicted</w:t>
      </w:r>
      <w:proofErr w:type="gramEnd"/>
      <w:r w:rsidRPr="00F85122">
        <w:rPr>
          <w:rFonts w:ascii="Calibri" w:hAnsi="Calibri"/>
        </w:rPr>
        <w:t xml:space="preserve"> in Tables 2 and 3 respectively. The tables list authors of key works in the field, identify the theoretical perspective/s adopted in these works, and detail the key themes or arguments embodied in the works. Full citations </w:t>
      </w:r>
      <w:proofErr w:type="gramStart"/>
      <w:r w:rsidRPr="00F85122">
        <w:rPr>
          <w:rFonts w:ascii="Calibri" w:hAnsi="Calibri"/>
        </w:rPr>
        <w:t>are presented</w:t>
      </w:r>
      <w:proofErr w:type="gramEnd"/>
      <w:r w:rsidRPr="00F85122">
        <w:rPr>
          <w:rFonts w:ascii="Calibri" w:hAnsi="Calibri"/>
        </w:rPr>
        <w:t xml:space="preserve"> in the reference list.</w:t>
      </w:r>
    </w:p>
    <w:p w14:paraId="09A72446" w14:textId="77777777" w:rsidR="00F85122" w:rsidRPr="00F85122" w:rsidRDefault="00F85122" w:rsidP="00F85122">
      <w:pPr>
        <w:rPr>
          <w:rFonts w:ascii="Calibri" w:hAnsi="Calibri"/>
        </w:rPr>
      </w:pPr>
      <w:r w:rsidRPr="00F85122">
        <w:rPr>
          <w:rFonts w:ascii="Calibri" w:hAnsi="Calibri"/>
        </w:rPr>
        <w:t xml:space="preserve">Five key findings </w:t>
      </w:r>
      <w:proofErr w:type="gramStart"/>
      <w:r w:rsidRPr="00F85122">
        <w:rPr>
          <w:rFonts w:ascii="Calibri" w:hAnsi="Calibri"/>
        </w:rPr>
        <w:t>were identified</w:t>
      </w:r>
      <w:proofErr w:type="gramEnd"/>
      <w:r w:rsidRPr="00F85122">
        <w:rPr>
          <w:rFonts w:ascii="Calibri" w:hAnsi="Calibri"/>
        </w:rPr>
        <w:t xml:space="preserve"> from the analysis of theoretical critiques in the included works.</w:t>
      </w:r>
    </w:p>
    <w:p w14:paraId="6C2739BD" w14:textId="77777777" w:rsidR="00F85122" w:rsidRPr="00F85122" w:rsidRDefault="00F85122" w:rsidP="00F85122">
      <w:pPr>
        <w:pStyle w:val="Heading6"/>
        <w:rPr>
          <w:rFonts w:ascii="Calibri" w:hAnsi="Calibri"/>
          <w:i/>
        </w:rPr>
      </w:pPr>
      <w:r w:rsidRPr="00F85122">
        <w:rPr>
          <w:rFonts w:ascii="Calibri" w:hAnsi="Calibri"/>
          <w:i/>
        </w:rPr>
        <w:t>1. Lack of true theoretical critiques</w:t>
      </w:r>
    </w:p>
    <w:p w14:paraId="37DEFD39" w14:textId="77777777" w:rsidR="00F85122" w:rsidRPr="00F85122" w:rsidRDefault="00F85122" w:rsidP="00AD5138">
      <w:pPr>
        <w:spacing w:after="240"/>
        <w:jc w:val="both"/>
        <w:rPr>
          <w:rFonts w:ascii="Calibri" w:hAnsi="Calibri"/>
        </w:rPr>
      </w:pPr>
      <w:r w:rsidRPr="00F85122">
        <w:rPr>
          <w:rFonts w:ascii="Calibri" w:hAnsi="Calibri"/>
        </w:rPr>
        <w:t>Our review revealed a dearth of true theoretical critiques of mandatory reporting laws, either as a whole phenomenon of study, or as applied to specified types of child abuse or neglect, or in relation to specific reporter groups.</w:t>
      </w:r>
    </w:p>
    <w:p w14:paraId="00A54D66" w14:textId="77777777" w:rsidR="00F85122" w:rsidRPr="00F85122" w:rsidRDefault="00F85122" w:rsidP="00F85122">
      <w:pPr>
        <w:pStyle w:val="Heading6"/>
        <w:rPr>
          <w:rFonts w:ascii="Calibri" w:hAnsi="Calibri"/>
        </w:rPr>
      </w:pPr>
      <w:r w:rsidRPr="00F85122">
        <w:rPr>
          <w:rFonts w:ascii="Calibri" w:hAnsi="Calibri"/>
          <w:i/>
          <w:iCs/>
        </w:rPr>
        <w:t>2.</w:t>
      </w:r>
      <w:r w:rsidRPr="00F85122">
        <w:rPr>
          <w:rFonts w:ascii="Calibri" w:hAnsi="Calibri"/>
          <w:i/>
        </w:rPr>
        <w:t xml:space="preserve"> Other</w:t>
      </w:r>
      <w:r w:rsidRPr="00F85122">
        <w:rPr>
          <w:rFonts w:ascii="Calibri" w:hAnsi="Calibri"/>
        </w:rPr>
        <w:t xml:space="preserve"> weaknesses in the literature</w:t>
      </w:r>
    </w:p>
    <w:p w14:paraId="609705CA" w14:textId="77777777" w:rsidR="00F85122" w:rsidRPr="00F85122" w:rsidRDefault="00F85122" w:rsidP="00AD5138">
      <w:pPr>
        <w:spacing w:after="240"/>
        <w:jc w:val="both"/>
        <w:rPr>
          <w:rFonts w:ascii="Calibri" w:hAnsi="Calibri"/>
        </w:rPr>
      </w:pPr>
      <w:r w:rsidRPr="00F85122">
        <w:rPr>
          <w:rFonts w:ascii="Calibri" w:hAnsi="Calibri"/>
        </w:rPr>
        <w:t>Much of the literature – both supporting and opposing mandatory reporting laws - does not distinguish between maltreatment types, or extents of harm, or age of the child. Further, most of the work in this field does not distinguish between reporting by different mandated reporter groups, and between mandated reporters and non-mandated reporters. As well, a good deal of the scholarship was situated in the USA and the Australian State of New South Wales in particular contexts at particular times when mandatory reporting laws were conceptually broader than at other times, applying to a broader concept of harm or risk of harm. Some work develops an argument around one theme and draws a broad generalised conclusion about the laws. Finally, much work using a pragmatic or consequentialist approach operated on an assumption that all unsubstantiated reports are unwarranted reports</w:t>
      </w:r>
      <w:proofErr w:type="gramStart"/>
      <w:r w:rsidRPr="00F85122">
        <w:rPr>
          <w:rFonts w:ascii="Calibri" w:hAnsi="Calibri"/>
        </w:rPr>
        <w:t>;</w:t>
      </w:r>
      <w:proofErr w:type="gramEnd"/>
      <w:r w:rsidRPr="00F85122">
        <w:rPr>
          <w:rFonts w:ascii="Calibri" w:hAnsi="Calibri"/>
        </w:rPr>
        <w:t xml:space="preserve"> an assumption that has since been cogently criticised and shown to be misconceived. </w:t>
      </w:r>
    </w:p>
    <w:p w14:paraId="1CC5F805" w14:textId="77777777" w:rsidR="00F85122" w:rsidRPr="00F85122" w:rsidRDefault="00F85122" w:rsidP="00F85122">
      <w:pPr>
        <w:pStyle w:val="Heading6"/>
        <w:rPr>
          <w:rFonts w:ascii="Calibri" w:hAnsi="Calibri"/>
          <w:i/>
        </w:rPr>
      </w:pPr>
      <w:r w:rsidRPr="00F85122">
        <w:rPr>
          <w:rFonts w:ascii="Calibri" w:hAnsi="Calibri"/>
          <w:i/>
          <w:iCs/>
        </w:rPr>
        <w:t>3.</w:t>
      </w:r>
      <w:r w:rsidRPr="00F85122">
        <w:rPr>
          <w:rFonts w:ascii="Calibri" w:hAnsi="Calibri"/>
          <w:i/>
        </w:rPr>
        <w:t xml:space="preserve"> Major </w:t>
      </w:r>
      <w:proofErr w:type="gramStart"/>
      <w:r w:rsidRPr="00F85122">
        <w:rPr>
          <w:rFonts w:ascii="Calibri" w:hAnsi="Calibri"/>
          <w:i/>
        </w:rPr>
        <w:t>key</w:t>
      </w:r>
      <w:proofErr w:type="gramEnd"/>
      <w:r w:rsidRPr="00F85122">
        <w:rPr>
          <w:rFonts w:ascii="Calibri" w:hAnsi="Calibri"/>
          <w:i/>
        </w:rPr>
        <w:t xml:space="preserve"> themes/arguments in favour of the laws either in whole or in part</w:t>
      </w:r>
    </w:p>
    <w:p w14:paraId="71C88A64" w14:textId="77777777" w:rsidR="00F85122" w:rsidRPr="00F85122" w:rsidRDefault="00F85122" w:rsidP="00AD5138">
      <w:pPr>
        <w:jc w:val="both"/>
        <w:rPr>
          <w:rFonts w:ascii="Calibri" w:hAnsi="Calibri"/>
        </w:rPr>
      </w:pPr>
      <w:r w:rsidRPr="00F85122">
        <w:rPr>
          <w:rFonts w:ascii="Calibri" w:hAnsi="Calibri"/>
        </w:rPr>
        <w:lastRenderedPageBreak/>
        <w:t xml:space="preserve">These arguments </w:t>
      </w:r>
      <w:proofErr w:type="gramStart"/>
      <w:r w:rsidRPr="00F85122">
        <w:rPr>
          <w:rFonts w:ascii="Calibri" w:hAnsi="Calibri"/>
        </w:rPr>
        <w:t>have been based</w:t>
      </w:r>
      <w:proofErr w:type="gramEnd"/>
      <w:r w:rsidRPr="00F85122">
        <w:rPr>
          <w:rFonts w:ascii="Calibri" w:hAnsi="Calibri"/>
        </w:rPr>
        <w:t xml:space="preserve"> primarily on grounds regarding children’s rights to safety, bioethics and consequentialism. Key arguments are that the most serious abuse affects very young children who cannot help themselves; reporting is a method of intervening in these cases to protect the child and without these reports, the cases will not come to the attention of welfare and protective agencies. It </w:t>
      </w:r>
      <w:proofErr w:type="gramStart"/>
      <w:r w:rsidRPr="00F85122">
        <w:rPr>
          <w:rFonts w:ascii="Calibri" w:hAnsi="Calibri"/>
        </w:rPr>
        <w:t>is argued</w:t>
      </w:r>
      <w:proofErr w:type="gramEnd"/>
      <w:r w:rsidRPr="00F85122">
        <w:rPr>
          <w:rFonts w:ascii="Calibri" w:hAnsi="Calibri"/>
        </w:rPr>
        <w:t xml:space="preserve"> that child abuse remains underreported and mandatory reporting increases case identification, enables health rehabilitation to be provided to the child, and can prevent the escalation of abuse and subsequent cost. Mandatory reporting increases awareness of child maltreatment and increases reports and case identification; a system of non-mandatory reporting does not produce comparable compliance. Child abuse is both a matter requiring intervention to assist the child and a State/public </w:t>
      </w:r>
      <w:proofErr w:type="gramStart"/>
      <w:r w:rsidRPr="00F85122">
        <w:rPr>
          <w:rFonts w:ascii="Calibri" w:hAnsi="Calibri"/>
        </w:rPr>
        <w:t>concern which</w:t>
      </w:r>
      <w:proofErr w:type="gramEnd"/>
      <w:r w:rsidRPr="00F85122">
        <w:rPr>
          <w:rFonts w:ascii="Calibri" w:hAnsi="Calibri"/>
        </w:rPr>
        <w:t xml:space="preserve"> legitimizes a necessary level of intrusion in the private sphere. Mandatory reporting of serious child abuse and neglect is consistent with multiple strands of political philosophy and normative ethics. Both older and more recent work accepts that mandatory reporting laws are a beneficial </w:t>
      </w:r>
      <w:proofErr w:type="gramStart"/>
      <w:r w:rsidRPr="00F85122">
        <w:rPr>
          <w:rFonts w:ascii="Calibri" w:hAnsi="Calibri"/>
        </w:rPr>
        <w:t>approach which</w:t>
      </w:r>
      <w:proofErr w:type="gramEnd"/>
      <w:r w:rsidRPr="00F85122">
        <w:rPr>
          <w:rFonts w:ascii="Calibri" w:hAnsi="Calibri"/>
        </w:rPr>
        <w:t xml:space="preserve"> contributes to child protection but must be appropriately drafted, reporters must be properly trained, and child protection systems must be properly resourced to respond to reports.</w:t>
      </w:r>
    </w:p>
    <w:p w14:paraId="35720F79" w14:textId="77777777" w:rsidR="00F85122" w:rsidRPr="00F85122" w:rsidRDefault="00F85122" w:rsidP="00AD5138">
      <w:pPr>
        <w:spacing w:after="240"/>
        <w:jc w:val="both"/>
        <w:rPr>
          <w:rFonts w:ascii="Calibri" w:hAnsi="Calibri"/>
        </w:rPr>
      </w:pPr>
      <w:r w:rsidRPr="00F85122">
        <w:rPr>
          <w:rFonts w:ascii="Calibri" w:hAnsi="Calibri"/>
        </w:rPr>
        <w:t xml:space="preserve">Studies relevant to the major key themes/arguments in favour of the laws </w:t>
      </w:r>
      <w:proofErr w:type="gramStart"/>
      <w:r w:rsidRPr="00F85122">
        <w:rPr>
          <w:rFonts w:ascii="Calibri" w:hAnsi="Calibri"/>
        </w:rPr>
        <w:t>are shown</w:t>
      </w:r>
      <w:proofErr w:type="gramEnd"/>
      <w:r w:rsidRPr="00F85122">
        <w:rPr>
          <w:rFonts w:ascii="Calibri" w:hAnsi="Calibri"/>
        </w:rPr>
        <w:t xml:space="preserve"> in Table 3.2.</w:t>
      </w:r>
    </w:p>
    <w:p w14:paraId="73C85338" w14:textId="77777777" w:rsidR="00F85122" w:rsidRPr="00F85122" w:rsidRDefault="00F85122" w:rsidP="00F85122">
      <w:pPr>
        <w:pStyle w:val="Heading6"/>
        <w:rPr>
          <w:rFonts w:ascii="Calibri" w:hAnsi="Calibri"/>
          <w:i/>
        </w:rPr>
      </w:pPr>
      <w:r w:rsidRPr="00F85122">
        <w:rPr>
          <w:rFonts w:ascii="Calibri" w:hAnsi="Calibri"/>
          <w:i/>
        </w:rPr>
        <w:t xml:space="preserve">4. Major </w:t>
      </w:r>
      <w:proofErr w:type="gramStart"/>
      <w:r w:rsidRPr="00F85122">
        <w:rPr>
          <w:rFonts w:ascii="Calibri" w:hAnsi="Calibri"/>
          <w:i/>
        </w:rPr>
        <w:t>key</w:t>
      </w:r>
      <w:proofErr w:type="gramEnd"/>
      <w:r w:rsidRPr="00F85122">
        <w:rPr>
          <w:rFonts w:ascii="Calibri" w:hAnsi="Calibri"/>
          <w:i/>
        </w:rPr>
        <w:t xml:space="preserve"> themes/arguments opposing the laws either in whole or in part</w:t>
      </w:r>
    </w:p>
    <w:p w14:paraId="672D895F" w14:textId="77777777" w:rsidR="00F85122" w:rsidRPr="00F85122" w:rsidRDefault="00F85122" w:rsidP="00AD5138">
      <w:pPr>
        <w:jc w:val="both"/>
        <w:rPr>
          <w:rFonts w:ascii="Calibri" w:hAnsi="Calibri"/>
        </w:rPr>
      </w:pPr>
      <w:r w:rsidRPr="00F85122">
        <w:rPr>
          <w:rFonts w:ascii="Calibri" w:hAnsi="Calibri"/>
        </w:rPr>
        <w:t xml:space="preserve">These arguments </w:t>
      </w:r>
      <w:proofErr w:type="gramStart"/>
      <w:r w:rsidRPr="00F85122">
        <w:rPr>
          <w:rFonts w:ascii="Calibri" w:hAnsi="Calibri"/>
        </w:rPr>
        <w:t>have been based</w:t>
      </w:r>
      <w:proofErr w:type="gramEnd"/>
      <w:r w:rsidRPr="00F85122">
        <w:rPr>
          <w:rFonts w:ascii="Calibri" w:hAnsi="Calibri"/>
        </w:rPr>
        <w:t xml:space="preserve"> primarily on consequential grounds regarding the alleged effect of mandatory reporting laws on child protection systems as a whole, if those systems are not adequately resourced. The concern behind these arguments is that mandatory reporting of child abuse and neglect results in a large increase in reported cases, most of which are unwarranted, with which the child protection system – on the assumption that it is under-resourced, and will remain so – is unable to cope. The argument proceeds that these additional reports divert scarce resources, so that there are fewer resources available to deal with already known cases. In addition, with added resources </w:t>
      </w:r>
      <w:proofErr w:type="gramStart"/>
      <w:r w:rsidRPr="00F85122">
        <w:rPr>
          <w:rFonts w:ascii="Calibri" w:hAnsi="Calibri"/>
        </w:rPr>
        <w:t>being allocated</w:t>
      </w:r>
      <w:proofErr w:type="gramEnd"/>
      <w:r w:rsidRPr="00F85122">
        <w:rPr>
          <w:rFonts w:ascii="Calibri" w:hAnsi="Calibri"/>
        </w:rPr>
        <w:t xml:space="preserve"> to mandatory reporting and responses to it – a form of tertiary and secondary prevention - there are fewer resources available for primary prevention. A distinct body of work opposes the laws when applied to existing therapeutic relationships. Further work focuses on the argument that investigations of unsubstantiated reports cause trauma to the family and violate parental privacy and autonomy.</w:t>
      </w:r>
    </w:p>
    <w:p w14:paraId="58FBEF6E" w14:textId="77777777" w:rsidR="00F85122" w:rsidRPr="00F85122" w:rsidRDefault="00F85122" w:rsidP="00AD5138">
      <w:pPr>
        <w:spacing w:after="240"/>
        <w:jc w:val="both"/>
        <w:rPr>
          <w:rFonts w:ascii="Calibri" w:hAnsi="Calibri"/>
        </w:rPr>
      </w:pPr>
      <w:r w:rsidRPr="00F85122">
        <w:rPr>
          <w:rFonts w:ascii="Calibri" w:hAnsi="Calibri"/>
        </w:rPr>
        <w:t xml:space="preserve">Studies relevant to the major key themes/arguments opposing the laws </w:t>
      </w:r>
      <w:proofErr w:type="gramStart"/>
      <w:r w:rsidRPr="00F85122">
        <w:rPr>
          <w:rFonts w:ascii="Calibri" w:hAnsi="Calibri"/>
        </w:rPr>
        <w:t>are shown</w:t>
      </w:r>
      <w:proofErr w:type="gramEnd"/>
      <w:r w:rsidRPr="00F85122">
        <w:rPr>
          <w:rFonts w:ascii="Calibri" w:hAnsi="Calibri"/>
        </w:rPr>
        <w:t xml:space="preserve"> in Table 3.3.</w:t>
      </w:r>
    </w:p>
    <w:p w14:paraId="541D3AB5" w14:textId="77777777" w:rsidR="00F85122" w:rsidRPr="00F85122" w:rsidRDefault="00F85122" w:rsidP="00F85122">
      <w:pPr>
        <w:pStyle w:val="Heading6"/>
        <w:rPr>
          <w:rFonts w:ascii="Calibri" w:hAnsi="Calibri"/>
          <w:i/>
        </w:rPr>
      </w:pPr>
      <w:r w:rsidRPr="00F85122">
        <w:rPr>
          <w:rFonts w:ascii="Calibri" w:hAnsi="Calibri"/>
          <w:i/>
          <w:iCs/>
        </w:rPr>
        <w:t>5.</w:t>
      </w:r>
      <w:r w:rsidRPr="00F85122">
        <w:rPr>
          <w:rFonts w:ascii="Calibri" w:hAnsi="Calibri"/>
          <w:i/>
        </w:rPr>
        <w:t xml:space="preserve"> Presence/absence of overall consensus</w:t>
      </w:r>
    </w:p>
    <w:p w14:paraId="0062133D" w14:textId="77777777" w:rsidR="00F85122" w:rsidRPr="00F85122" w:rsidRDefault="00F85122" w:rsidP="00AD5138">
      <w:pPr>
        <w:jc w:val="both"/>
        <w:rPr>
          <w:rFonts w:ascii="Calibri" w:hAnsi="Calibri"/>
        </w:rPr>
      </w:pPr>
      <w:r w:rsidRPr="00F85122">
        <w:rPr>
          <w:rFonts w:ascii="Calibri" w:hAnsi="Calibri"/>
        </w:rPr>
        <w:t xml:space="preserve">The literature reveals theoretical and quasi-theoretical arguments in favour of the laws, and against them. Hence, there is a lack of consensus in the field about the overall </w:t>
      </w:r>
      <w:proofErr w:type="gramStart"/>
      <w:r w:rsidRPr="00F85122">
        <w:rPr>
          <w:rFonts w:ascii="Calibri" w:hAnsi="Calibri"/>
        </w:rPr>
        <w:t>theoretically-based</w:t>
      </w:r>
      <w:proofErr w:type="gramEnd"/>
      <w:r w:rsidRPr="00F85122">
        <w:rPr>
          <w:rFonts w:ascii="Calibri" w:hAnsi="Calibri"/>
        </w:rPr>
        <w:t xml:space="preserve"> merits of mandatory reporting laws, and about specific themes in relation to them. Often, directly opposing arguments </w:t>
      </w:r>
      <w:proofErr w:type="gramStart"/>
      <w:r w:rsidRPr="00F85122">
        <w:rPr>
          <w:rFonts w:ascii="Calibri" w:hAnsi="Calibri"/>
        </w:rPr>
        <w:t xml:space="preserve">can be </w:t>
      </w:r>
      <w:r w:rsidRPr="00F85122">
        <w:rPr>
          <w:rFonts w:ascii="Calibri" w:hAnsi="Calibri"/>
        </w:rPr>
        <w:lastRenderedPageBreak/>
        <w:t>found</w:t>
      </w:r>
      <w:proofErr w:type="gramEnd"/>
      <w:r w:rsidRPr="00F85122">
        <w:rPr>
          <w:rFonts w:ascii="Calibri" w:hAnsi="Calibri"/>
        </w:rPr>
        <w:t xml:space="preserve"> on the same theme. However, there appears to be more support overall for reporting laws regarding physical and sexual abuse; and more opposition to reporting laws regarding emotional abuse, neglect, and exposure to domestic violence.</w:t>
      </w:r>
    </w:p>
    <w:p w14:paraId="4D88CAB3" w14:textId="77777777" w:rsidR="00F85122" w:rsidRPr="00F85122" w:rsidRDefault="00F85122" w:rsidP="00F85122">
      <w:pPr>
        <w:rPr>
          <w:rFonts w:ascii="Calibri" w:hAnsi="Calibri"/>
        </w:rPr>
      </w:pPr>
    </w:p>
    <w:p w14:paraId="13D51012" w14:textId="77777777" w:rsidR="00F85122" w:rsidRPr="00F85122" w:rsidRDefault="00F85122" w:rsidP="00F85122">
      <w:pPr>
        <w:rPr>
          <w:rFonts w:ascii="Calibri" w:hAnsi="Calibri"/>
        </w:rPr>
        <w:sectPr w:rsidR="00F85122" w:rsidRPr="00F85122" w:rsidSect="00D650B4">
          <w:pgSz w:w="11900" w:h="16840"/>
          <w:pgMar w:top="1418" w:right="1134" w:bottom="1134" w:left="1134" w:header="708" w:footer="708" w:gutter="0"/>
          <w:cols w:space="708"/>
          <w:docGrid w:linePitch="360"/>
        </w:sectPr>
      </w:pPr>
    </w:p>
    <w:p w14:paraId="6FD638A2" w14:textId="77777777" w:rsidR="00F85122" w:rsidRPr="00F85122" w:rsidRDefault="00F85122" w:rsidP="00F85122">
      <w:pPr>
        <w:pStyle w:val="Heading5"/>
      </w:pPr>
      <w:r w:rsidRPr="00F85122">
        <w:lastRenderedPageBreak/>
        <w:t>Table 3.2: Studies including theoretical analyses in favour of mandatory reporting laws</w:t>
      </w:r>
    </w:p>
    <w:tbl>
      <w:tblPr>
        <w:tblStyle w:val="LightShading-Accent1"/>
        <w:tblW w:w="4837" w:type="pct"/>
        <w:tblLook w:val="0460" w:firstRow="1" w:lastRow="1" w:firstColumn="0" w:lastColumn="0" w:noHBand="0" w:noVBand="1"/>
        <w:tblCaption w:val="Studies including theoretical analyses in favour of mandatory reporting laws"/>
      </w:tblPr>
      <w:tblGrid>
        <w:gridCol w:w="3317"/>
        <w:gridCol w:w="2006"/>
        <w:gridCol w:w="8708"/>
      </w:tblGrid>
      <w:tr w:rsidR="000E6643" w:rsidRPr="0038455E" w14:paraId="16B5DFC6" w14:textId="77777777" w:rsidTr="00D650B4">
        <w:trPr>
          <w:cnfStyle w:val="100000000000" w:firstRow="1" w:lastRow="0" w:firstColumn="0" w:lastColumn="0" w:oddVBand="0" w:evenVBand="0" w:oddHBand="0" w:evenHBand="0" w:firstRowFirstColumn="0" w:firstRowLastColumn="0" w:lastRowFirstColumn="0" w:lastRowLastColumn="0"/>
          <w:tblHeader/>
        </w:trPr>
        <w:tc>
          <w:tcPr>
            <w:tcW w:w="1182" w:type="pct"/>
          </w:tcPr>
          <w:p w14:paraId="0847A49A"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Authors</w:t>
            </w:r>
          </w:p>
        </w:tc>
        <w:tc>
          <w:tcPr>
            <w:tcW w:w="715" w:type="pct"/>
          </w:tcPr>
          <w:p w14:paraId="3F826443" w14:textId="77777777" w:rsidR="00F85122" w:rsidRPr="0038455E" w:rsidRDefault="00F85122" w:rsidP="00D650B4">
            <w:pPr>
              <w:spacing w:before="0" w:after="240" w:line="240" w:lineRule="auto"/>
              <w:rPr>
                <w:rFonts w:ascii="Calibri" w:hAnsi="Calibri"/>
                <w:color w:val="auto"/>
              </w:rPr>
            </w:pPr>
            <w:r w:rsidRPr="0038455E">
              <w:rPr>
                <w:rFonts w:ascii="Calibri" w:hAnsi="Calibri"/>
                <w:color w:val="auto"/>
              </w:rPr>
              <w:t>Theoretical perspective(s)</w:t>
            </w:r>
          </w:p>
        </w:tc>
        <w:tc>
          <w:tcPr>
            <w:tcW w:w="3103" w:type="pct"/>
          </w:tcPr>
          <w:p w14:paraId="084D40A6"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Key themes/arguments</w:t>
            </w:r>
          </w:p>
        </w:tc>
      </w:tr>
      <w:tr w:rsidR="000E6643" w:rsidRPr="0038455E" w14:paraId="14824805"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Pr>
          <w:p w14:paraId="5A565CA2"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t>Kempe</w:t>
            </w:r>
            <w:proofErr w:type="spellEnd"/>
            <w:r w:rsidRPr="0038455E">
              <w:rPr>
                <w:rFonts w:ascii="Calibri" w:hAnsi="Calibri"/>
                <w:color w:val="auto"/>
              </w:rPr>
              <w:t xml:space="preserve"> et al 1962; </w:t>
            </w:r>
            <w:proofErr w:type="spellStart"/>
            <w:r w:rsidRPr="0038455E">
              <w:rPr>
                <w:rFonts w:ascii="Calibri" w:hAnsi="Calibri"/>
                <w:color w:val="auto"/>
              </w:rPr>
              <w:t>Birrell</w:t>
            </w:r>
            <w:proofErr w:type="spellEnd"/>
            <w:r w:rsidRPr="0038455E">
              <w:rPr>
                <w:rFonts w:ascii="Calibri" w:hAnsi="Calibri"/>
                <w:color w:val="auto"/>
              </w:rPr>
              <w:t xml:space="preserve"> et al 1966; Paulsen 1966; Paulsen et al 1967</w:t>
            </w:r>
          </w:p>
        </w:tc>
        <w:tc>
          <w:tcPr>
            <w:tcW w:w="715" w:type="pct"/>
          </w:tcPr>
          <w:p w14:paraId="3E2CAB69"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Children’s rights to safety; bioethics</w:t>
            </w:r>
          </w:p>
        </w:tc>
        <w:tc>
          <w:tcPr>
            <w:tcW w:w="3103" w:type="pct"/>
          </w:tcPr>
          <w:p w14:paraId="52B8BEF3"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A duty to report cases of suspected serious child physical abuse is required to bring previously unknown cases to the attention of welfare agencies. Medical practitioners are skilled professionals who can recognize child abuse, but generally do not know how to deal with serious child physical abuse, or choose to ignore it because of discomfort and non-recognition of the child’s right to safety; a duty to report it is required to overcome this gaze aversion</w:t>
            </w:r>
          </w:p>
        </w:tc>
      </w:tr>
      <w:tr w:rsidR="000E6643" w:rsidRPr="0038455E" w14:paraId="33AD54DC" w14:textId="77777777" w:rsidTr="00D650B4">
        <w:tc>
          <w:tcPr>
            <w:tcW w:w="1182" w:type="pct"/>
          </w:tcPr>
          <w:p w14:paraId="6511B631"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t>Besharov</w:t>
            </w:r>
            <w:proofErr w:type="spellEnd"/>
            <w:r w:rsidRPr="0038455E">
              <w:rPr>
                <w:rFonts w:ascii="Calibri" w:hAnsi="Calibri"/>
                <w:color w:val="auto"/>
              </w:rPr>
              <w:t xml:space="preserve"> 2005; </w:t>
            </w:r>
            <w:proofErr w:type="spellStart"/>
            <w:r w:rsidRPr="0038455E">
              <w:rPr>
                <w:rFonts w:ascii="Calibri" w:hAnsi="Calibri"/>
                <w:color w:val="auto"/>
              </w:rPr>
              <w:t>Colclough</w:t>
            </w:r>
            <w:proofErr w:type="spellEnd"/>
            <w:r w:rsidRPr="0038455E">
              <w:rPr>
                <w:rFonts w:ascii="Calibri" w:hAnsi="Calibri"/>
                <w:color w:val="auto"/>
              </w:rPr>
              <w:t xml:space="preserve"> 1972; </w:t>
            </w:r>
            <w:proofErr w:type="spellStart"/>
            <w:r w:rsidRPr="0038455E">
              <w:rPr>
                <w:rFonts w:ascii="Calibri" w:hAnsi="Calibri"/>
                <w:color w:val="auto"/>
              </w:rPr>
              <w:t>Finkelhor</w:t>
            </w:r>
            <w:proofErr w:type="spellEnd"/>
            <w:r w:rsidRPr="0038455E">
              <w:rPr>
                <w:rFonts w:ascii="Calibri" w:hAnsi="Calibri"/>
                <w:color w:val="auto"/>
              </w:rPr>
              <w:t xml:space="preserve"> 1990, 2005; </w:t>
            </w:r>
            <w:proofErr w:type="spellStart"/>
            <w:r w:rsidRPr="0038455E">
              <w:rPr>
                <w:rFonts w:ascii="Calibri" w:hAnsi="Calibri"/>
                <w:color w:val="auto"/>
              </w:rPr>
              <w:t>Kempe</w:t>
            </w:r>
            <w:proofErr w:type="spellEnd"/>
            <w:r w:rsidRPr="0038455E">
              <w:rPr>
                <w:rFonts w:ascii="Calibri" w:hAnsi="Calibri"/>
                <w:color w:val="auto"/>
              </w:rPr>
              <w:t xml:space="preserve"> et al 1962; </w:t>
            </w:r>
            <w:proofErr w:type="spellStart"/>
            <w:r w:rsidRPr="0038455E">
              <w:rPr>
                <w:rFonts w:ascii="Calibri" w:hAnsi="Calibri"/>
                <w:color w:val="auto"/>
              </w:rPr>
              <w:t>Maidment</w:t>
            </w:r>
            <w:proofErr w:type="spellEnd"/>
            <w:r w:rsidRPr="0038455E">
              <w:rPr>
                <w:rFonts w:ascii="Calibri" w:hAnsi="Calibri"/>
                <w:color w:val="auto"/>
              </w:rPr>
              <w:t xml:space="preserve"> 1978; Mathews &amp; </w:t>
            </w:r>
            <w:proofErr w:type="spellStart"/>
            <w:r w:rsidRPr="0038455E">
              <w:rPr>
                <w:rFonts w:ascii="Calibri" w:hAnsi="Calibri"/>
                <w:color w:val="auto"/>
              </w:rPr>
              <w:t>Bross</w:t>
            </w:r>
            <w:proofErr w:type="spellEnd"/>
            <w:r w:rsidRPr="0038455E">
              <w:rPr>
                <w:rFonts w:ascii="Calibri" w:hAnsi="Calibri"/>
                <w:color w:val="auto"/>
              </w:rPr>
              <w:t xml:space="preserve"> 2008; Mathews 2012; Mathews 2014a; Paulsen 1966; </w:t>
            </w:r>
            <w:proofErr w:type="spellStart"/>
            <w:r w:rsidRPr="0038455E">
              <w:rPr>
                <w:rFonts w:ascii="Calibri" w:hAnsi="Calibri"/>
                <w:color w:val="auto"/>
              </w:rPr>
              <w:t>Takis</w:t>
            </w:r>
            <w:proofErr w:type="spellEnd"/>
            <w:r w:rsidRPr="0038455E">
              <w:rPr>
                <w:rFonts w:ascii="Calibri" w:hAnsi="Calibri"/>
                <w:color w:val="auto"/>
              </w:rPr>
              <w:t xml:space="preserve"> 2008; </w:t>
            </w:r>
            <w:proofErr w:type="spellStart"/>
            <w:r w:rsidRPr="0038455E">
              <w:rPr>
                <w:rFonts w:ascii="Calibri" w:hAnsi="Calibri"/>
                <w:color w:val="auto"/>
              </w:rPr>
              <w:t>Yelas</w:t>
            </w:r>
            <w:proofErr w:type="spellEnd"/>
            <w:r w:rsidRPr="0038455E">
              <w:rPr>
                <w:rFonts w:ascii="Calibri" w:hAnsi="Calibri"/>
                <w:color w:val="auto"/>
              </w:rPr>
              <w:t xml:space="preserve"> 1992   </w:t>
            </w:r>
          </w:p>
        </w:tc>
        <w:tc>
          <w:tcPr>
            <w:tcW w:w="715" w:type="pct"/>
          </w:tcPr>
          <w:p w14:paraId="73874F7D"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 consequentialism, pragmatism, children’s rights; Mill; Locke</w:t>
            </w:r>
          </w:p>
        </w:tc>
        <w:tc>
          <w:tcPr>
            <w:tcW w:w="3103" w:type="pct"/>
          </w:tcPr>
          <w:p w14:paraId="29015883"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Mandatory reporting enables protection to be provided to children in situations of life-threatening harm and other serious harm; a system of non-mandatory reporting does not produce appropriate compliance</w:t>
            </w:r>
          </w:p>
        </w:tc>
      </w:tr>
      <w:tr w:rsidR="000E6643" w:rsidRPr="0038455E" w14:paraId="7EC98EF3"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Pr>
          <w:p w14:paraId="1B9D4966"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Al-</w:t>
            </w:r>
            <w:proofErr w:type="spellStart"/>
            <w:r w:rsidRPr="0038455E">
              <w:rPr>
                <w:rFonts w:ascii="Calibri" w:hAnsi="Calibri"/>
                <w:color w:val="auto"/>
              </w:rPr>
              <w:t>Eissa</w:t>
            </w:r>
            <w:proofErr w:type="spellEnd"/>
            <w:r w:rsidRPr="0038455E">
              <w:rPr>
                <w:rFonts w:ascii="Calibri" w:hAnsi="Calibri"/>
                <w:color w:val="auto"/>
              </w:rPr>
              <w:t xml:space="preserve"> et al 2010; Bell &amp; </w:t>
            </w:r>
            <w:proofErr w:type="spellStart"/>
            <w:r w:rsidRPr="0038455E">
              <w:rPr>
                <w:rFonts w:ascii="Calibri" w:hAnsi="Calibri"/>
                <w:color w:val="auto"/>
              </w:rPr>
              <w:t>Tooman</w:t>
            </w:r>
            <w:proofErr w:type="spellEnd"/>
            <w:r w:rsidRPr="0038455E">
              <w:rPr>
                <w:rFonts w:ascii="Calibri" w:hAnsi="Calibri"/>
                <w:color w:val="auto"/>
              </w:rPr>
              <w:t xml:space="preserve"> 1994; </w:t>
            </w:r>
            <w:proofErr w:type="spellStart"/>
            <w:r w:rsidRPr="0038455E">
              <w:rPr>
                <w:rFonts w:ascii="Calibri" w:hAnsi="Calibri"/>
                <w:color w:val="auto"/>
              </w:rPr>
              <w:t>Besharov</w:t>
            </w:r>
            <w:proofErr w:type="spellEnd"/>
            <w:r w:rsidRPr="0038455E">
              <w:rPr>
                <w:rFonts w:ascii="Calibri" w:hAnsi="Calibri"/>
                <w:color w:val="auto"/>
              </w:rPr>
              <w:t xml:space="preserve"> 1985; </w:t>
            </w:r>
            <w:proofErr w:type="spellStart"/>
            <w:r w:rsidRPr="0038455E">
              <w:rPr>
                <w:rFonts w:ascii="Calibri" w:hAnsi="Calibri"/>
                <w:color w:val="auto"/>
              </w:rPr>
              <w:t>Lamond</w:t>
            </w:r>
            <w:proofErr w:type="spellEnd"/>
            <w:r w:rsidRPr="0038455E">
              <w:rPr>
                <w:rFonts w:ascii="Calibri" w:hAnsi="Calibri"/>
                <w:color w:val="auto"/>
              </w:rPr>
              <w:t xml:space="preserve"> 1987; Mathews 2014a; Paulsen 1966; </w:t>
            </w:r>
            <w:proofErr w:type="spellStart"/>
            <w:r w:rsidRPr="0038455E">
              <w:rPr>
                <w:rFonts w:ascii="Calibri" w:hAnsi="Calibri"/>
                <w:color w:val="auto"/>
              </w:rPr>
              <w:t>Tomison</w:t>
            </w:r>
            <w:proofErr w:type="spellEnd"/>
            <w:r w:rsidRPr="0038455E">
              <w:rPr>
                <w:rFonts w:ascii="Calibri" w:hAnsi="Calibri"/>
                <w:color w:val="auto"/>
              </w:rPr>
              <w:t xml:space="preserve"> 2002; </w:t>
            </w:r>
            <w:proofErr w:type="spellStart"/>
            <w:r w:rsidRPr="0038455E">
              <w:rPr>
                <w:rFonts w:ascii="Calibri" w:hAnsi="Calibri"/>
                <w:color w:val="auto"/>
              </w:rPr>
              <w:t>Webberley</w:t>
            </w:r>
            <w:proofErr w:type="spellEnd"/>
            <w:r w:rsidRPr="0038455E">
              <w:rPr>
                <w:rFonts w:ascii="Calibri" w:hAnsi="Calibri"/>
                <w:color w:val="auto"/>
              </w:rPr>
              <w:t xml:space="preserve"> 1985</w:t>
            </w:r>
          </w:p>
        </w:tc>
        <w:tc>
          <w:tcPr>
            <w:tcW w:w="715" w:type="pct"/>
          </w:tcPr>
          <w:p w14:paraId="7C15A0D9"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 consequentialism, children’s rights</w:t>
            </w:r>
          </w:p>
        </w:tc>
        <w:tc>
          <w:tcPr>
            <w:tcW w:w="3103" w:type="pct"/>
          </w:tcPr>
          <w:p w14:paraId="64C89A05"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Mandatory reporting increases awareness of child maltreatment and increases reports and case identification</w:t>
            </w:r>
          </w:p>
        </w:tc>
      </w:tr>
      <w:tr w:rsidR="000E6643" w:rsidRPr="0038455E" w14:paraId="4341C2DF" w14:textId="77777777" w:rsidTr="00D650B4">
        <w:tc>
          <w:tcPr>
            <w:tcW w:w="1182" w:type="pct"/>
          </w:tcPr>
          <w:p w14:paraId="157DF804"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Drake &amp; Jonson-Reid 2007; </w:t>
            </w:r>
            <w:proofErr w:type="spellStart"/>
            <w:r w:rsidRPr="0038455E">
              <w:rPr>
                <w:rFonts w:ascii="Calibri" w:hAnsi="Calibri"/>
                <w:color w:val="auto"/>
              </w:rPr>
              <w:t>Finkelhor</w:t>
            </w:r>
            <w:proofErr w:type="spellEnd"/>
            <w:r w:rsidRPr="0038455E">
              <w:rPr>
                <w:rFonts w:ascii="Calibri" w:hAnsi="Calibri"/>
                <w:color w:val="auto"/>
              </w:rPr>
              <w:t xml:space="preserve"> 1990; </w:t>
            </w:r>
            <w:proofErr w:type="spellStart"/>
            <w:r w:rsidRPr="0038455E">
              <w:rPr>
                <w:rFonts w:ascii="Calibri" w:hAnsi="Calibri"/>
                <w:color w:val="auto"/>
              </w:rPr>
              <w:t>Giovannoni</w:t>
            </w:r>
            <w:proofErr w:type="spellEnd"/>
            <w:r w:rsidRPr="0038455E">
              <w:rPr>
                <w:rFonts w:ascii="Calibri" w:hAnsi="Calibri"/>
                <w:color w:val="auto"/>
              </w:rPr>
              <w:t xml:space="preserve"> 1995; </w:t>
            </w:r>
            <w:proofErr w:type="spellStart"/>
            <w:r w:rsidRPr="0038455E">
              <w:rPr>
                <w:rFonts w:ascii="Calibri" w:hAnsi="Calibri"/>
                <w:color w:val="auto"/>
              </w:rPr>
              <w:t>Maidment</w:t>
            </w:r>
            <w:proofErr w:type="spellEnd"/>
            <w:r w:rsidRPr="0038455E">
              <w:rPr>
                <w:rFonts w:ascii="Calibri" w:hAnsi="Calibri"/>
                <w:color w:val="auto"/>
              </w:rPr>
              <w:t xml:space="preserve"> 1978; Mathews 2012; Mathews 2014a</w:t>
            </w:r>
          </w:p>
        </w:tc>
        <w:tc>
          <w:tcPr>
            <w:tcW w:w="715" w:type="pct"/>
          </w:tcPr>
          <w:p w14:paraId="1CA06F1F"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 consequentialism, children’s rights</w:t>
            </w:r>
          </w:p>
        </w:tc>
        <w:tc>
          <w:tcPr>
            <w:tcW w:w="3103" w:type="pct"/>
          </w:tcPr>
          <w:p w14:paraId="51D3BE8B"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Child abuse remains underreported and mandatory reporting increases case identification</w:t>
            </w:r>
          </w:p>
        </w:tc>
      </w:tr>
      <w:tr w:rsidR="000E6643" w:rsidRPr="0038455E" w14:paraId="442A58A5"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Pr>
          <w:p w14:paraId="4CDDBFD3"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t>Kempe</w:t>
            </w:r>
            <w:proofErr w:type="spellEnd"/>
            <w:r w:rsidRPr="0038455E">
              <w:rPr>
                <w:rFonts w:ascii="Calibri" w:hAnsi="Calibri"/>
                <w:color w:val="auto"/>
              </w:rPr>
              <w:t xml:space="preserve"> et al 1962; </w:t>
            </w:r>
            <w:proofErr w:type="spellStart"/>
            <w:r w:rsidRPr="0038455E">
              <w:rPr>
                <w:rFonts w:ascii="Calibri" w:hAnsi="Calibri"/>
                <w:color w:val="auto"/>
              </w:rPr>
              <w:t>Maidment</w:t>
            </w:r>
            <w:proofErr w:type="spellEnd"/>
            <w:r w:rsidRPr="0038455E">
              <w:rPr>
                <w:rFonts w:ascii="Calibri" w:hAnsi="Calibri"/>
                <w:color w:val="auto"/>
              </w:rPr>
              <w:t xml:space="preserve"> 1978; Mathews 2012; Mathews &amp; </w:t>
            </w:r>
            <w:proofErr w:type="spellStart"/>
            <w:r w:rsidRPr="0038455E">
              <w:rPr>
                <w:rFonts w:ascii="Calibri" w:hAnsi="Calibri"/>
                <w:color w:val="auto"/>
              </w:rPr>
              <w:t>Bross</w:t>
            </w:r>
            <w:proofErr w:type="spellEnd"/>
            <w:r w:rsidRPr="0038455E">
              <w:rPr>
                <w:rFonts w:ascii="Calibri" w:hAnsi="Calibri"/>
                <w:color w:val="auto"/>
              </w:rPr>
              <w:t xml:space="preserve"> 2008; Mathews 2014a; Paulsen 1966; Paulsen et al 1967; Van </w:t>
            </w:r>
            <w:proofErr w:type="spellStart"/>
            <w:r w:rsidRPr="0038455E">
              <w:rPr>
                <w:rFonts w:ascii="Calibri" w:hAnsi="Calibri"/>
                <w:color w:val="auto"/>
              </w:rPr>
              <w:t>Dokkum</w:t>
            </w:r>
            <w:proofErr w:type="spellEnd"/>
            <w:r w:rsidRPr="0038455E">
              <w:rPr>
                <w:rFonts w:ascii="Calibri" w:hAnsi="Calibri"/>
                <w:color w:val="auto"/>
              </w:rPr>
              <w:t xml:space="preserve"> 1996; </w:t>
            </w:r>
            <w:proofErr w:type="spellStart"/>
            <w:r w:rsidRPr="0038455E">
              <w:rPr>
                <w:rFonts w:ascii="Calibri" w:hAnsi="Calibri"/>
                <w:color w:val="auto"/>
              </w:rPr>
              <w:t>Yelas</w:t>
            </w:r>
            <w:proofErr w:type="spellEnd"/>
            <w:r w:rsidRPr="0038455E">
              <w:rPr>
                <w:rFonts w:ascii="Calibri" w:hAnsi="Calibri"/>
                <w:color w:val="auto"/>
              </w:rPr>
              <w:t xml:space="preserve"> 1992</w:t>
            </w:r>
          </w:p>
        </w:tc>
        <w:tc>
          <w:tcPr>
            <w:tcW w:w="715" w:type="pct"/>
          </w:tcPr>
          <w:p w14:paraId="7214E12F"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Children’s rights; bioethics; pragmatism; consequentialism</w:t>
            </w:r>
          </w:p>
        </w:tc>
        <w:tc>
          <w:tcPr>
            <w:tcW w:w="3103" w:type="pct"/>
          </w:tcPr>
          <w:p w14:paraId="260FB89E"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The most serious abuse affects very young children who cannot help themselves; reporting is a method of intervening in these cases to protect the child; without these reports, the cases will not come to the attention of welfare/protective agencies</w:t>
            </w:r>
          </w:p>
        </w:tc>
      </w:tr>
      <w:tr w:rsidR="000E6643" w:rsidRPr="0038455E" w14:paraId="6BD5ECC8" w14:textId="77777777" w:rsidTr="00D650B4">
        <w:tc>
          <w:tcPr>
            <w:tcW w:w="1182" w:type="pct"/>
          </w:tcPr>
          <w:p w14:paraId="27978437"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lastRenderedPageBreak/>
              <w:t>Kempe</w:t>
            </w:r>
            <w:proofErr w:type="spellEnd"/>
            <w:r w:rsidRPr="0038455E">
              <w:rPr>
                <w:rFonts w:ascii="Calibri" w:hAnsi="Calibri"/>
                <w:color w:val="auto"/>
              </w:rPr>
              <w:t xml:space="preserve"> et al 1962; Mathews &amp; </w:t>
            </w:r>
            <w:proofErr w:type="spellStart"/>
            <w:r w:rsidRPr="0038455E">
              <w:rPr>
                <w:rFonts w:ascii="Calibri" w:hAnsi="Calibri"/>
                <w:color w:val="auto"/>
              </w:rPr>
              <w:t>Bross</w:t>
            </w:r>
            <w:proofErr w:type="spellEnd"/>
            <w:r w:rsidRPr="0038455E">
              <w:rPr>
                <w:rFonts w:ascii="Calibri" w:hAnsi="Calibri"/>
                <w:color w:val="auto"/>
              </w:rPr>
              <w:t xml:space="preserve"> 2008; Mathews 2012; Meriwether 1986</w:t>
            </w:r>
          </w:p>
          <w:p w14:paraId="7AB7F663"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 </w:t>
            </w:r>
          </w:p>
        </w:tc>
        <w:tc>
          <w:tcPr>
            <w:tcW w:w="715" w:type="pct"/>
          </w:tcPr>
          <w:p w14:paraId="7E742DF2"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 consequentialism, children’s rights</w:t>
            </w:r>
          </w:p>
        </w:tc>
        <w:tc>
          <w:tcPr>
            <w:tcW w:w="3103" w:type="pct"/>
          </w:tcPr>
          <w:p w14:paraId="4A139207"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Reporting enables health rehabilitation to be provided to the child, and can prevent the escalation of abuse and subsequent cost</w:t>
            </w:r>
          </w:p>
        </w:tc>
      </w:tr>
      <w:tr w:rsidR="000E6643" w:rsidRPr="0038455E" w14:paraId="06FB8CA2"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Pr>
          <w:p w14:paraId="08E9B77C"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t>Finkelhor</w:t>
            </w:r>
            <w:proofErr w:type="spellEnd"/>
            <w:r w:rsidRPr="0038455E">
              <w:rPr>
                <w:rFonts w:ascii="Calibri" w:hAnsi="Calibri"/>
                <w:color w:val="auto"/>
              </w:rPr>
              <w:t xml:space="preserve"> 1990, 2005; Mathews &amp; </w:t>
            </w:r>
            <w:proofErr w:type="spellStart"/>
            <w:r w:rsidRPr="0038455E">
              <w:rPr>
                <w:rFonts w:ascii="Calibri" w:hAnsi="Calibri"/>
                <w:color w:val="auto"/>
              </w:rPr>
              <w:t>Bross</w:t>
            </w:r>
            <w:proofErr w:type="spellEnd"/>
            <w:r w:rsidRPr="0038455E">
              <w:rPr>
                <w:rFonts w:ascii="Calibri" w:hAnsi="Calibri"/>
                <w:color w:val="auto"/>
              </w:rPr>
              <w:t xml:space="preserve"> 2008; Mathews 2012; Mendes 1996; Meriwether 1986</w:t>
            </w:r>
          </w:p>
          <w:p w14:paraId="0930C939" w14:textId="77777777" w:rsidR="00F85122" w:rsidRPr="0038455E" w:rsidRDefault="00F85122" w:rsidP="00D650B4">
            <w:pPr>
              <w:spacing w:before="0" w:line="240" w:lineRule="auto"/>
              <w:rPr>
                <w:rFonts w:ascii="Calibri" w:hAnsi="Calibri"/>
                <w:color w:val="auto"/>
              </w:rPr>
            </w:pPr>
          </w:p>
        </w:tc>
        <w:tc>
          <w:tcPr>
            <w:tcW w:w="715" w:type="pct"/>
          </w:tcPr>
          <w:p w14:paraId="2FA43386"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Bioethics; pragmatism; consequentialism </w:t>
            </w:r>
          </w:p>
        </w:tc>
        <w:tc>
          <w:tcPr>
            <w:tcW w:w="3103" w:type="pct"/>
          </w:tcPr>
          <w:p w14:paraId="49596EC6"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Mandatory reporting laws are a beneficial approach which contributes to child protection but must be appropriately drafted, reporters must be properly trained, and child protection systems must be properly resourced to respond to reports</w:t>
            </w:r>
          </w:p>
        </w:tc>
      </w:tr>
      <w:tr w:rsidR="000E6643" w:rsidRPr="0038455E" w14:paraId="2665D81E" w14:textId="77777777" w:rsidTr="00D650B4">
        <w:tc>
          <w:tcPr>
            <w:tcW w:w="1182" w:type="pct"/>
          </w:tcPr>
          <w:p w14:paraId="7B4EC923"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Mathews et al 2009; Paulsen 1967</w:t>
            </w:r>
          </w:p>
          <w:p w14:paraId="18873CF4"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 </w:t>
            </w:r>
          </w:p>
        </w:tc>
        <w:tc>
          <w:tcPr>
            <w:tcW w:w="715" w:type="pct"/>
          </w:tcPr>
          <w:p w14:paraId="173A0C39"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Pragmatism</w:t>
            </w:r>
          </w:p>
        </w:tc>
        <w:tc>
          <w:tcPr>
            <w:tcW w:w="3103" w:type="pct"/>
          </w:tcPr>
          <w:p w14:paraId="28F3A74C"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A legislative reporting duty protects the professional reporter, who in any event is complying with an ethical duty, in a way a policy duty or a voluntary duty cannot </w:t>
            </w:r>
          </w:p>
        </w:tc>
      </w:tr>
      <w:tr w:rsidR="000E6643" w:rsidRPr="0038455E" w14:paraId="4A83619B"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Pr>
          <w:p w14:paraId="2C20B1A5"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t>Besharov</w:t>
            </w:r>
            <w:proofErr w:type="spellEnd"/>
            <w:r w:rsidRPr="0038455E">
              <w:rPr>
                <w:rFonts w:ascii="Calibri" w:hAnsi="Calibri"/>
                <w:color w:val="auto"/>
              </w:rPr>
              <w:t xml:space="preserve"> 1990</w:t>
            </w:r>
          </w:p>
          <w:p w14:paraId="7D4BCA00"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 </w:t>
            </w:r>
          </w:p>
        </w:tc>
        <w:tc>
          <w:tcPr>
            <w:tcW w:w="715" w:type="pct"/>
          </w:tcPr>
          <w:p w14:paraId="5F9151A4"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Pragmatism; consequentialism</w:t>
            </w:r>
          </w:p>
        </w:tc>
        <w:tc>
          <w:tcPr>
            <w:tcW w:w="3103" w:type="pct"/>
          </w:tcPr>
          <w:p w14:paraId="64F5F34B"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Mandatory reporting duties have reduced child fatalities </w:t>
            </w:r>
          </w:p>
        </w:tc>
      </w:tr>
      <w:tr w:rsidR="000E6643" w:rsidRPr="0038455E" w14:paraId="65B68300" w14:textId="77777777" w:rsidTr="00D650B4">
        <w:tc>
          <w:tcPr>
            <w:tcW w:w="1182" w:type="pct"/>
          </w:tcPr>
          <w:p w14:paraId="2D445D96"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t>Greipp</w:t>
            </w:r>
            <w:proofErr w:type="spellEnd"/>
            <w:r w:rsidRPr="0038455E">
              <w:rPr>
                <w:rFonts w:ascii="Calibri" w:hAnsi="Calibri"/>
                <w:color w:val="auto"/>
              </w:rPr>
              <w:t xml:space="preserve"> 1997; </w:t>
            </w:r>
            <w:proofErr w:type="spellStart"/>
            <w:r w:rsidRPr="0038455E">
              <w:rPr>
                <w:rFonts w:ascii="Calibri" w:hAnsi="Calibri"/>
                <w:color w:val="auto"/>
              </w:rPr>
              <w:t>Katner</w:t>
            </w:r>
            <w:proofErr w:type="spellEnd"/>
            <w:r w:rsidRPr="0038455E">
              <w:rPr>
                <w:rFonts w:ascii="Calibri" w:hAnsi="Calibri"/>
                <w:color w:val="auto"/>
              </w:rPr>
              <w:t xml:space="preserve"> et al 2012; Kim et al 2012; Mathews 2012; Walters 1995 </w:t>
            </w:r>
          </w:p>
        </w:tc>
        <w:tc>
          <w:tcPr>
            <w:tcW w:w="715" w:type="pct"/>
          </w:tcPr>
          <w:p w14:paraId="32C71B02"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 deontology</w:t>
            </w:r>
          </w:p>
        </w:tc>
        <w:tc>
          <w:tcPr>
            <w:tcW w:w="3103" w:type="pct"/>
          </w:tcPr>
          <w:p w14:paraId="1B63FB90"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Mandatory reporting is consistent with ethical professional duties </w:t>
            </w:r>
          </w:p>
        </w:tc>
      </w:tr>
      <w:tr w:rsidR="000E6643" w:rsidRPr="0038455E" w14:paraId="7ABFB0C1"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Pr>
          <w:p w14:paraId="25CC7FFA"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t>Bala</w:t>
            </w:r>
            <w:proofErr w:type="spellEnd"/>
            <w:r w:rsidRPr="0038455E">
              <w:rPr>
                <w:rFonts w:ascii="Calibri" w:hAnsi="Calibri"/>
                <w:color w:val="auto"/>
              </w:rPr>
              <w:t xml:space="preserve"> et al 1986; Finlayson et al 1991; </w:t>
            </w:r>
            <w:proofErr w:type="spellStart"/>
            <w:r w:rsidRPr="0038455E">
              <w:rPr>
                <w:rFonts w:ascii="Calibri" w:hAnsi="Calibri"/>
                <w:color w:val="auto"/>
              </w:rPr>
              <w:t>Yelas</w:t>
            </w:r>
            <w:proofErr w:type="spellEnd"/>
            <w:r w:rsidRPr="0038455E">
              <w:rPr>
                <w:rFonts w:ascii="Calibri" w:hAnsi="Calibri"/>
                <w:color w:val="auto"/>
              </w:rPr>
              <w:t xml:space="preserve"> 1992 </w:t>
            </w:r>
          </w:p>
        </w:tc>
        <w:tc>
          <w:tcPr>
            <w:tcW w:w="715" w:type="pct"/>
          </w:tcPr>
          <w:p w14:paraId="31565FA8"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Children’s rights, liberalism, feminism</w:t>
            </w:r>
          </w:p>
        </w:tc>
        <w:tc>
          <w:tcPr>
            <w:tcW w:w="3103" w:type="pct"/>
          </w:tcPr>
          <w:p w14:paraId="59A06E98"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Child abuse is both a matter requiring intervention to assist the child and a State/public concern which legitimizes a necessary level of intrusion in the private sphere</w:t>
            </w:r>
          </w:p>
        </w:tc>
      </w:tr>
      <w:tr w:rsidR="000E6643" w:rsidRPr="0038455E" w14:paraId="0DACA467" w14:textId="77777777" w:rsidTr="00D650B4">
        <w:tc>
          <w:tcPr>
            <w:tcW w:w="1182" w:type="pct"/>
          </w:tcPr>
          <w:p w14:paraId="26ECDFC4"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Mathews 2014b </w:t>
            </w:r>
          </w:p>
        </w:tc>
        <w:tc>
          <w:tcPr>
            <w:tcW w:w="715" w:type="pct"/>
          </w:tcPr>
          <w:p w14:paraId="68511B39"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Children’s rights, liberalism, Mill, Locke, feminism, Rawls’s revised social contract theory, Nussbaum’s Capabilities </w:t>
            </w:r>
            <w:r w:rsidRPr="0038455E">
              <w:rPr>
                <w:rFonts w:ascii="Calibri" w:hAnsi="Calibri"/>
                <w:color w:val="auto"/>
              </w:rPr>
              <w:lastRenderedPageBreak/>
              <w:t>Approach</w:t>
            </w:r>
          </w:p>
        </w:tc>
        <w:tc>
          <w:tcPr>
            <w:tcW w:w="3103" w:type="pct"/>
          </w:tcPr>
          <w:p w14:paraId="0A8E3C51"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lastRenderedPageBreak/>
              <w:t>Mandatory reporting of serious child abuse and neglect is consistent with multiple strands of political philosophy and normative ethics</w:t>
            </w:r>
          </w:p>
        </w:tc>
      </w:tr>
      <w:tr w:rsidR="000E6643" w:rsidRPr="0038455E" w14:paraId="55CFA2FD"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Pr>
          <w:p w14:paraId="332BC701"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lastRenderedPageBreak/>
              <w:t xml:space="preserve">Anderson et al 1993; Harper &amp; Irvin 1985; </w:t>
            </w:r>
            <w:proofErr w:type="spellStart"/>
            <w:r w:rsidRPr="0038455E">
              <w:rPr>
                <w:rFonts w:ascii="Calibri" w:hAnsi="Calibri"/>
                <w:color w:val="auto"/>
              </w:rPr>
              <w:t>Kalichman</w:t>
            </w:r>
            <w:proofErr w:type="spellEnd"/>
            <w:r w:rsidRPr="0038455E">
              <w:rPr>
                <w:rFonts w:ascii="Calibri" w:hAnsi="Calibri"/>
                <w:color w:val="auto"/>
              </w:rPr>
              <w:t xml:space="preserve"> &amp; Craig 1991; Levine &amp; </w:t>
            </w:r>
            <w:proofErr w:type="spellStart"/>
            <w:r w:rsidRPr="0038455E">
              <w:rPr>
                <w:rFonts w:ascii="Calibri" w:hAnsi="Calibri"/>
                <w:color w:val="auto"/>
              </w:rPr>
              <w:t>Doueck</w:t>
            </w:r>
            <w:proofErr w:type="spellEnd"/>
            <w:r w:rsidRPr="0038455E">
              <w:rPr>
                <w:rFonts w:ascii="Calibri" w:hAnsi="Calibri"/>
                <w:color w:val="auto"/>
              </w:rPr>
              <w:t xml:space="preserve"> 1995; Watson &amp; Levine 1989</w:t>
            </w:r>
          </w:p>
          <w:p w14:paraId="317E450F" w14:textId="77777777" w:rsidR="00F85122" w:rsidRPr="0038455E" w:rsidRDefault="00F85122" w:rsidP="00D650B4">
            <w:pPr>
              <w:spacing w:before="0" w:line="240" w:lineRule="auto"/>
              <w:rPr>
                <w:rFonts w:ascii="Calibri" w:hAnsi="Calibri"/>
                <w:color w:val="auto"/>
              </w:rPr>
            </w:pPr>
          </w:p>
        </w:tc>
        <w:tc>
          <w:tcPr>
            <w:tcW w:w="715" w:type="pct"/>
          </w:tcPr>
          <w:p w14:paraId="542C262B"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 pragmatism; consequentialism</w:t>
            </w:r>
          </w:p>
        </w:tc>
        <w:tc>
          <w:tcPr>
            <w:tcW w:w="3103" w:type="pct"/>
          </w:tcPr>
          <w:p w14:paraId="3CC111AB"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Reporting does not necessarily affect existing therapeutic relationships; it can even assist in therapy and strengthen the alliance between patient and therapist</w:t>
            </w:r>
          </w:p>
        </w:tc>
      </w:tr>
      <w:tr w:rsidR="000E6643" w:rsidRPr="0038455E" w14:paraId="457C00FA" w14:textId="77777777" w:rsidTr="00D650B4">
        <w:tc>
          <w:tcPr>
            <w:tcW w:w="1182" w:type="pct"/>
          </w:tcPr>
          <w:p w14:paraId="19ACA3E5"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Drake 1996; Drake &amp; Jonson-Reid 2007; Hussey et al 2005; Kohl et al 2009</w:t>
            </w:r>
          </w:p>
        </w:tc>
        <w:tc>
          <w:tcPr>
            <w:tcW w:w="715" w:type="pct"/>
          </w:tcPr>
          <w:p w14:paraId="0F1855D2"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 pragmatism; consequentialism</w:t>
            </w:r>
          </w:p>
        </w:tc>
        <w:tc>
          <w:tcPr>
            <w:tcW w:w="3103" w:type="pct"/>
          </w:tcPr>
          <w:p w14:paraId="33A113A9"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Little difference exists in service need between substantiated and unsubstantiated cases and reporting enables assistance to be provided to a large group of children and families in need of protection/assistance</w:t>
            </w:r>
          </w:p>
        </w:tc>
      </w:tr>
      <w:tr w:rsidR="000E6643" w:rsidRPr="0038455E" w14:paraId="64CCC1D9"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Pr>
          <w:p w14:paraId="413E54B5"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Barth 2013; </w:t>
            </w:r>
            <w:proofErr w:type="spellStart"/>
            <w:r w:rsidRPr="0038455E">
              <w:rPr>
                <w:rFonts w:ascii="Calibri" w:hAnsi="Calibri"/>
                <w:color w:val="auto"/>
              </w:rPr>
              <w:t>Finkelhor</w:t>
            </w:r>
            <w:proofErr w:type="spellEnd"/>
            <w:r w:rsidRPr="0038455E">
              <w:rPr>
                <w:rFonts w:ascii="Calibri" w:hAnsi="Calibri"/>
                <w:color w:val="auto"/>
              </w:rPr>
              <w:t xml:space="preserve"> 1990, 2005; Mathews 2012</w:t>
            </w:r>
          </w:p>
        </w:tc>
        <w:tc>
          <w:tcPr>
            <w:tcW w:w="715" w:type="pct"/>
          </w:tcPr>
          <w:p w14:paraId="0F446E16"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 pragmatism; consequentialism</w:t>
            </w:r>
          </w:p>
        </w:tc>
        <w:tc>
          <w:tcPr>
            <w:tcW w:w="3103" w:type="pct"/>
          </w:tcPr>
          <w:p w14:paraId="4F3FFCA9"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Legislative reporting duties do not cause intolerable </w:t>
            </w:r>
            <w:proofErr w:type="spellStart"/>
            <w:r w:rsidRPr="0038455E">
              <w:rPr>
                <w:rFonts w:ascii="Calibri" w:hAnsi="Calibri"/>
                <w:color w:val="auto"/>
              </w:rPr>
              <w:t>overreporting</w:t>
            </w:r>
            <w:proofErr w:type="spellEnd"/>
            <w:r w:rsidRPr="0038455E">
              <w:rPr>
                <w:rFonts w:ascii="Calibri" w:hAnsi="Calibri"/>
                <w:color w:val="auto"/>
              </w:rPr>
              <w:t>; much ‘</w:t>
            </w:r>
            <w:proofErr w:type="spellStart"/>
            <w:r w:rsidRPr="0038455E">
              <w:rPr>
                <w:rFonts w:ascii="Calibri" w:hAnsi="Calibri"/>
                <w:color w:val="auto"/>
              </w:rPr>
              <w:t>overreporting</w:t>
            </w:r>
            <w:proofErr w:type="spellEnd"/>
            <w:r w:rsidRPr="0038455E">
              <w:rPr>
                <w:rFonts w:ascii="Calibri" w:hAnsi="Calibri"/>
                <w:color w:val="auto"/>
              </w:rPr>
              <w:t>’ involves multiple reports about the same children, and reporting of some kinds of abuse by some groups of reporters</w:t>
            </w:r>
          </w:p>
        </w:tc>
      </w:tr>
      <w:tr w:rsidR="000E6643" w:rsidRPr="0038455E" w14:paraId="29BF6C1E" w14:textId="77777777" w:rsidTr="00D650B4">
        <w:tc>
          <w:tcPr>
            <w:tcW w:w="1182" w:type="pct"/>
          </w:tcPr>
          <w:p w14:paraId="1E359599"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Drake &amp; Jonson-Reid 2007; </w:t>
            </w:r>
            <w:proofErr w:type="spellStart"/>
            <w:r w:rsidRPr="0038455E">
              <w:rPr>
                <w:rFonts w:ascii="Calibri" w:hAnsi="Calibri"/>
                <w:color w:val="auto"/>
              </w:rPr>
              <w:t>Finkelhor</w:t>
            </w:r>
            <w:proofErr w:type="spellEnd"/>
            <w:r w:rsidRPr="0038455E">
              <w:rPr>
                <w:rFonts w:ascii="Calibri" w:hAnsi="Calibri"/>
                <w:color w:val="auto"/>
              </w:rPr>
              <w:t xml:space="preserve"> 1990, 2005; </w:t>
            </w:r>
            <w:proofErr w:type="spellStart"/>
            <w:r w:rsidRPr="0038455E">
              <w:rPr>
                <w:rFonts w:ascii="Calibri" w:hAnsi="Calibri"/>
                <w:color w:val="auto"/>
              </w:rPr>
              <w:t>Dalziel</w:t>
            </w:r>
            <w:proofErr w:type="spellEnd"/>
            <w:r w:rsidRPr="0038455E">
              <w:rPr>
                <w:rFonts w:ascii="Calibri" w:hAnsi="Calibri"/>
                <w:color w:val="auto"/>
              </w:rPr>
              <w:t xml:space="preserve"> et al 2007 </w:t>
            </w:r>
          </w:p>
        </w:tc>
        <w:tc>
          <w:tcPr>
            <w:tcW w:w="715" w:type="pct"/>
          </w:tcPr>
          <w:p w14:paraId="08B8DA6A"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Economics; consequentialism</w:t>
            </w:r>
          </w:p>
        </w:tc>
        <w:tc>
          <w:tcPr>
            <w:tcW w:w="3103" w:type="pct"/>
          </w:tcPr>
          <w:p w14:paraId="369FC117"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Legislative reporting duty does not diminish the available resources for child protection</w:t>
            </w:r>
          </w:p>
        </w:tc>
      </w:tr>
      <w:tr w:rsidR="000E6643" w:rsidRPr="0038455E" w14:paraId="4E6141A5"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Pr>
          <w:p w14:paraId="2FA38FCB"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English et al 2002; </w:t>
            </w:r>
            <w:proofErr w:type="spellStart"/>
            <w:r w:rsidRPr="0038455E">
              <w:rPr>
                <w:rFonts w:ascii="Calibri" w:hAnsi="Calibri"/>
                <w:color w:val="auto"/>
              </w:rPr>
              <w:t>Finkelhor</w:t>
            </w:r>
            <w:proofErr w:type="spellEnd"/>
            <w:r w:rsidRPr="0038455E">
              <w:rPr>
                <w:rFonts w:ascii="Calibri" w:hAnsi="Calibri"/>
                <w:color w:val="auto"/>
              </w:rPr>
              <w:t xml:space="preserve"> 1990, 2005; Fryer et al 1990</w:t>
            </w:r>
          </w:p>
          <w:p w14:paraId="30D030DE" w14:textId="77777777" w:rsidR="00F85122" w:rsidRPr="0038455E" w:rsidRDefault="00F85122" w:rsidP="00D650B4">
            <w:pPr>
              <w:spacing w:before="0" w:line="240" w:lineRule="auto"/>
              <w:rPr>
                <w:rFonts w:ascii="Calibri" w:hAnsi="Calibri"/>
                <w:color w:val="auto"/>
              </w:rPr>
            </w:pPr>
          </w:p>
        </w:tc>
        <w:tc>
          <w:tcPr>
            <w:tcW w:w="715" w:type="pct"/>
          </w:tcPr>
          <w:p w14:paraId="3DEF917C"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Bioethics; pragmatism; consequentialism </w:t>
            </w:r>
          </w:p>
        </w:tc>
        <w:tc>
          <w:tcPr>
            <w:tcW w:w="3103" w:type="pct"/>
          </w:tcPr>
          <w:p w14:paraId="2AAD1DE9"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Inappropriate reports do not cause intolerable or unduly traumatic investigations of the family and child</w:t>
            </w:r>
          </w:p>
        </w:tc>
      </w:tr>
      <w:tr w:rsidR="000E6643" w:rsidRPr="0038455E" w14:paraId="3A2C88A2" w14:textId="77777777" w:rsidTr="00D650B4">
        <w:tc>
          <w:tcPr>
            <w:tcW w:w="1182" w:type="pct"/>
            <w:tcBorders>
              <w:bottom w:val="nil"/>
            </w:tcBorders>
          </w:tcPr>
          <w:p w14:paraId="04203428"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Rankin &amp; Ornstein 2009</w:t>
            </w:r>
          </w:p>
        </w:tc>
        <w:tc>
          <w:tcPr>
            <w:tcW w:w="715" w:type="pct"/>
            <w:tcBorders>
              <w:bottom w:val="nil"/>
            </w:tcBorders>
          </w:tcPr>
          <w:p w14:paraId="627D9482"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 children’s rights</w:t>
            </w:r>
          </w:p>
        </w:tc>
        <w:tc>
          <w:tcPr>
            <w:tcW w:w="3103" w:type="pct"/>
            <w:tcBorders>
              <w:bottom w:val="nil"/>
            </w:tcBorders>
          </w:tcPr>
          <w:p w14:paraId="06B71EFD"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Legislative reporting duties are a necessary response in situations of children’s exposure to domestic violence to enable case identification, service provision, rehabilitation and prevention</w:t>
            </w:r>
          </w:p>
        </w:tc>
      </w:tr>
      <w:tr w:rsidR="000E6643" w:rsidRPr="0038455E" w14:paraId="3D634B81" w14:textId="77777777" w:rsidTr="00D650B4">
        <w:trPr>
          <w:cnfStyle w:val="000000100000" w:firstRow="0" w:lastRow="0" w:firstColumn="0" w:lastColumn="0" w:oddVBand="0" w:evenVBand="0" w:oddHBand="1" w:evenHBand="0" w:firstRowFirstColumn="0" w:firstRowLastColumn="0" w:lastRowFirstColumn="0" w:lastRowLastColumn="0"/>
        </w:trPr>
        <w:tc>
          <w:tcPr>
            <w:tcW w:w="1182" w:type="pct"/>
            <w:tcBorders>
              <w:top w:val="nil"/>
              <w:bottom w:val="nil"/>
            </w:tcBorders>
          </w:tcPr>
          <w:p w14:paraId="59827595"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t>Besharov</w:t>
            </w:r>
            <w:proofErr w:type="spellEnd"/>
            <w:r w:rsidRPr="0038455E">
              <w:rPr>
                <w:rFonts w:ascii="Calibri" w:hAnsi="Calibri"/>
                <w:color w:val="auto"/>
              </w:rPr>
              <w:t xml:space="preserve"> 1985; Smith et al 1985; Mathews 2012; Melton &amp; Davidson 1987</w:t>
            </w:r>
          </w:p>
        </w:tc>
        <w:tc>
          <w:tcPr>
            <w:tcW w:w="715" w:type="pct"/>
            <w:tcBorders>
              <w:top w:val="nil"/>
              <w:bottom w:val="nil"/>
            </w:tcBorders>
          </w:tcPr>
          <w:p w14:paraId="7CE5C0F3" w14:textId="77777777" w:rsidR="00F85122" w:rsidRPr="0038455E" w:rsidRDefault="00F85122" w:rsidP="00D650B4">
            <w:pPr>
              <w:pStyle w:val="DecimalAligned"/>
              <w:spacing w:line="240" w:lineRule="auto"/>
              <w:ind w:left="-107"/>
              <w:rPr>
                <w:rFonts w:ascii="Calibri" w:hAnsi="Calibri"/>
                <w:color w:val="auto"/>
              </w:rPr>
            </w:pPr>
            <w:r w:rsidRPr="0038455E">
              <w:rPr>
                <w:rFonts w:ascii="Calibri" w:hAnsi="Calibri"/>
                <w:color w:val="auto"/>
              </w:rPr>
              <w:t xml:space="preserve">Bioethics; pragmatism; </w:t>
            </w:r>
            <w:r w:rsidRPr="0038455E">
              <w:rPr>
                <w:rFonts w:ascii="Calibri" w:hAnsi="Calibri"/>
                <w:color w:val="auto"/>
              </w:rPr>
              <w:lastRenderedPageBreak/>
              <w:t>consequentialism</w:t>
            </w:r>
          </w:p>
        </w:tc>
        <w:tc>
          <w:tcPr>
            <w:tcW w:w="3103" w:type="pct"/>
            <w:tcBorders>
              <w:top w:val="nil"/>
              <w:bottom w:val="nil"/>
            </w:tcBorders>
          </w:tcPr>
          <w:p w14:paraId="152812BB"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lastRenderedPageBreak/>
              <w:t xml:space="preserve">Mandatory reporting laws should be restricted to cases of serious harm and should not apply to all cases of harm </w:t>
            </w:r>
          </w:p>
        </w:tc>
      </w:tr>
      <w:tr w:rsidR="000E6643" w:rsidRPr="0038455E" w14:paraId="73F87245" w14:textId="77777777" w:rsidTr="00D650B4">
        <w:trPr>
          <w:cnfStyle w:val="010000000000" w:firstRow="0" w:lastRow="1" w:firstColumn="0" w:lastColumn="0" w:oddVBand="0" w:evenVBand="0" w:oddHBand="0" w:evenHBand="0" w:firstRowFirstColumn="0" w:firstRowLastColumn="0" w:lastRowFirstColumn="0" w:lastRowLastColumn="0"/>
        </w:trPr>
        <w:tc>
          <w:tcPr>
            <w:tcW w:w="1182" w:type="pct"/>
            <w:tcBorders>
              <w:top w:val="nil"/>
            </w:tcBorders>
          </w:tcPr>
          <w:p w14:paraId="255456DA" w14:textId="77777777" w:rsidR="00F85122" w:rsidRPr="0038455E" w:rsidRDefault="00F85122" w:rsidP="00D650B4">
            <w:pPr>
              <w:spacing w:before="0" w:line="240" w:lineRule="auto"/>
              <w:rPr>
                <w:rFonts w:ascii="Calibri" w:hAnsi="Calibri"/>
                <w:b w:val="0"/>
                <w:color w:val="auto"/>
              </w:rPr>
            </w:pPr>
            <w:r w:rsidRPr="0038455E">
              <w:rPr>
                <w:rFonts w:ascii="Calibri" w:hAnsi="Calibri"/>
                <w:b w:val="0"/>
                <w:color w:val="auto"/>
              </w:rPr>
              <w:lastRenderedPageBreak/>
              <w:t>Wald 2013</w:t>
            </w:r>
          </w:p>
        </w:tc>
        <w:tc>
          <w:tcPr>
            <w:tcW w:w="715" w:type="pct"/>
            <w:tcBorders>
              <w:top w:val="nil"/>
            </w:tcBorders>
          </w:tcPr>
          <w:p w14:paraId="2F94AB82" w14:textId="77777777" w:rsidR="00F85122" w:rsidRPr="0038455E" w:rsidRDefault="00F85122" w:rsidP="00D650B4">
            <w:pPr>
              <w:pStyle w:val="DecimalAligned"/>
              <w:spacing w:line="240" w:lineRule="auto"/>
              <w:rPr>
                <w:rFonts w:ascii="Calibri" w:hAnsi="Calibri"/>
                <w:b w:val="0"/>
                <w:color w:val="auto"/>
              </w:rPr>
            </w:pPr>
            <w:r w:rsidRPr="0038455E">
              <w:rPr>
                <w:rFonts w:ascii="Calibri" w:hAnsi="Calibri"/>
                <w:b w:val="0"/>
                <w:color w:val="auto"/>
              </w:rPr>
              <w:t>Bioethics; children’s rights; relational ethics; pragmatism; consequentialism</w:t>
            </w:r>
          </w:p>
        </w:tc>
        <w:tc>
          <w:tcPr>
            <w:tcW w:w="3103" w:type="pct"/>
            <w:tcBorders>
              <w:top w:val="nil"/>
            </w:tcBorders>
          </w:tcPr>
          <w:p w14:paraId="75846A8C" w14:textId="77777777" w:rsidR="00F85122" w:rsidRPr="0038455E" w:rsidRDefault="00F85122" w:rsidP="00D650B4">
            <w:pPr>
              <w:pStyle w:val="DecimalAligned"/>
              <w:spacing w:line="240" w:lineRule="auto"/>
              <w:rPr>
                <w:rFonts w:ascii="Calibri" w:hAnsi="Calibri"/>
                <w:b w:val="0"/>
                <w:color w:val="auto"/>
              </w:rPr>
            </w:pPr>
            <w:r w:rsidRPr="0038455E">
              <w:rPr>
                <w:rFonts w:ascii="Calibri" w:hAnsi="Calibri"/>
                <w:b w:val="0"/>
                <w:color w:val="auto"/>
              </w:rPr>
              <w:t xml:space="preserve">Legislative reporting duties (and the child protection system) are suitable for physical abuse and sexual abuse to assist child protection; but not for emotional abuse and neglect, which are better and more efficiently addressed through other measures </w:t>
            </w:r>
          </w:p>
        </w:tc>
      </w:tr>
    </w:tbl>
    <w:p w14:paraId="1D44B32F" w14:textId="77777777" w:rsidR="00F85122" w:rsidRPr="00F85122" w:rsidRDefault="00F85122" w:rsidP="00F85122">
      <w:pPr>
        <w:spacing w:before="100" w:beforeAutospacing="1"/>
        <w:rPr>
          <w:rFonts w:ascii="Calibri" w:hAnsi="Calibri"/>
        </w:rPr>
      </w:pPr>
    </w:p>
    <w:p w14:paraId="6F9ADE20" w14:textId="77777777" w:rsidR="00F85122" w:rsidRPr="00F85122" w:rsidRDefault="00F85122" w:rsidP="00F85122">
      <w:pPr>
        <w:spacing w:after="200" w:line="276" w:lineRule="auto"/>
        <w:rPr>
          <w:rFonts w:ascii="Calibri" w:hAnsi="Calibri"/>
          <w:b/>
        </w:rPr>
      </w:pPr>
      <w:r w:rsidRPr="00F85122">
        <w:rPr>
          <w:rFonts w:ascii="Calibri" w:hAnsi="Calibri"/>
          <w:b/>
        </w:rPr>
        <w:br w:type="page"/>
      </w:r>
    </w:p>
    <w:p w14:paraId="2348597A" w14:textId="77777777" w:rsidR="00F85122" w:rsidRPr="00F85122" w:rsidRDefault="00F85122" w:rsidP="00F85122">
      <w:pPr>
        <w:pStyle w:val="Heading5"/>
      </w:pPr>
      <w:r w:rsidRPr="00F85122">
        <w:lastRenderedPageBreak/>
        <w:t>Table 3.3: Studies including theoretical analyses opposing mandatory reporting laws</w:t>
      </w:r>
    </w:p>
    <w:tbl>
      <w:tblPr>
        <w:tblStyle w:val="LightShading-Accent1"/>
        <w:tblW w:w="4801" w:type="pct"/>
        <w:tblInd w:w="108" w:type="dxa"/>
        <w:tblLook w:val="0460" w:firstRow="1" w:lastRow="1" w:firstColumn="0" w:lastColumn="0" w:noHBand="0" w:noVBand="1"/>
        <w:tblCaption w:val="Studies including theoretical analyses opposing mandatory reporting laws"/>
      </w:tblPr>
      <w:tblGrid>
        <w:gridCol w:w="3348"/>
        <w:gridCol w:w="1875"/>
        <w:gridCol w:w="8704"/>
      </w:tblGrid>
      <w:tr w:rsidR="000E6643" w:rsidRPr="0038455E" w14:paraId="352CBE42" w14:textId="77777777" w:rsidTr="00D650B4">
        <w:trPr>
          <w:cnfStyle w:val="100000000000" w:firstRow="1" w:lastRow="0" w:firstColumn="0" w:lastColumn="0" w:oddVBand="0" w:evenVBand="0" w:oddHBand="0" w:evenHBand="0" w:firstRowFirstColumn="0" w:firstRowLastColumn="0" w:lastRowFirstColumn="0" w:lastRowLastColumn="0"/>
          <w:tblHeader/>
        </w:trPr>
        <w:tc>
          <w:tcPr>
            <w:tcW w:w="1202" w:type="pct"/>
          </w:tcPr>
          <w:p w14:paraId="299D6DDF" w14:textId="77777777" w:rsidR="00F85122" w:rsidRPr="0038455E" w:rsidRDefault="00F85122" w:rsidP="00D650B4">
            <w:pPr>
              <w:spacing w:before="0" w:line="240" w:lineRule="auto"/>
              <w:rPr>
                <w:rFonts w:ascii="Calibri" w:hAnsi="Calibri"/>
                <w:color w:val="auto"/>
                <w:szCs w:val="20"/>
              </w:rPr>
            </w:pPr>
            <w:r w:rsidRPr="0038455E">
              <w:rPr>
                <w:rFonts w:ascii="Calibri" w:hAnsi="Calibri"/>
                <w:color w:val="auto"/>
                <w:szCs w:val="20"/>
              </w:rPr>
              <w:t>Authors</w:t>
            </w:r>
          </w:p>
        </w:tc>
        <w:tc>
          <w:tcPr>
            <w:tcW w:w="673" w:type="pct"/>
          </w:tcPr>
          <w:p w14:paraId="178CC19B" w14:textId="77777777" w:rsidR="00F85122" w:rsidRPr="0038455E" w:rsidRDefault="00F85122" w:rsidP="00D650B4">
            <w:pPr>
              <w:spacing w:before="0" w:line="240" w:lineRule="auto"/>
              <w:rPr>
                <w:rFonts w:ascii="Calibri" w:hAnsi="Calibri"/>
                <w:color w:val="auto"/>
                <w:szCs w:val="20"/>
              </w:rPr>
            </w:pPr>
            <w:r w:rsidRPr="0038455E">
              <w:rPr>
                <w:rFonts w:ascii="Calibri" w:hAnsi="Calibri"/>
                <w:color w:val="auto"/>
                <w:szCs w:val="20"/>
              </w:rPr>
              <w:t>Theoretical perspective/s</w:t>
            </w:r>
          </w:p>
        </w:tc>
        <w:tc>
          <w:tcPr>
            <w:tcW w:w="3125" w:type="pct"/>
          </w:tcPr>
          <w:p w14:paraId="0DEC16A0" w14:textId="77777777" w:rsidR="00F85122" w:rsidRPr="0038455E" w:rsidRDefault="00F85122" w:rsidP="00D650B4">
            <w:pPr>
              <w:spacing w:before="0" w:line="240" w:lineRule="auto"/>
              <w:rPr>
                <w:rFonts w:ascii="Calibri" w:hAnsi="Calibri"/>
                <w:color w:val="auto"/>
                <w:szCs w:val="20"/>
              </w:rPr>
            </w:pPr>
            <w:r w:rsidRPr="0038455E">
              <w:rPr>
                <w:rFonts w:ascii="Calibri" w:hAnsi="Calibri"/>
                <w:color w:val="auto"/>
                <w:szCs w:val="20"/>
              </w:rPr>
              <w:t>Key themes/arguments</w:t>
            </w:r>
          </w:p>
        </w:tc>
      </w:tr>
      <w:tr w:rsidR="000E6643" w:rsidRPr="0038455E" w14:paraId="3ECDD0BF" w14:textId="77777777" w:rsidTr="00D650B4">
        <w:trPr>
          <w:cnfStyle w:val="000000100000" w:firstRow="0" w:lastRow="0" w:firstColumn="0" w:lastColumn="0" w:oddVBand="0" w:evenVBand="0" w:oddHBand="1" w:evenHBand="0" w:firstRowFirstColumn="0" w:firstRowLastColumn="0" w:lastRowFirstColumn="0" w:lastRowLastColumn="0"/>
        </w:trPr>
        <w:tc>
          <w:tcPr>
            <w:tcW w:w="1202" w:type="pct"/>
            <w:tcBorders>
              <w:bottom w:val="nil"/>
            </w:tcBorders>
          </w:tcPr>
          <w:p w14:paraId="108BC46B"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Ainsworth 2002; Ainsworth &amp; Hansen 2006; </w:t>
            </w:r>
            <w:proofErr w:type="spellStart"/>
            <w:r w:rsidRPr="0038455E">
              <w:rPr>
                <w:rFonts w:ascii="Calibri" w:hAnsi="Calibri"/>
                <w:color w:val="auto"/>
              </w:rPr>
              <w:t>Besharov</w:t>
            </w:r>
            <w:proofErr w:type="spellEnd"/>
            <w:r w:rsidRPr="0038455E">
              <w:rPr>
                <w:rFonts w:ascii="Calibri" w:hAnsi="Calibri"/>
                <w:color w:val="auto"/>
              </w:rPr>
              <w:t xml:space="preserve"> 2005; Fraser 1978; Hansen &amp; Ainsworth 2013; Hutchison 1993; </w:t>
            </w:r>
            <w:proofErr w:type="spellStart"/>
            <w:r w:rsidRPr="0038455E">
              <w:rPr>
                <w:rFonts w:ascii="Calibri" w:hAnsi="Calibri"/>
                <w:color w:val="auto"/>
              </w:rPr>
              <w:t>Lonne</w:t>
            </w:r>
            <w:proofErr w:type="spellEnd"/>
            <w:r w:rsidRPr="0038455E">
              <w:rPr>
                <w:rFonts w:ascii="Calibri" w:hAnsi="Calibri"/>
                <w:color w:val="auto"/>
              </w:rPr>
              <w:t xml:space="preserve"> et al 2009; Lukens 2007; Melton 2005; Thompson-Cooper et al 1993; Van </w:t>
            </w:r>
            <w:proofErr w:type="spellStart"/>
            <w:r w:rsidRPr="0038455E">
              <w:rPr>
                <w:rFonts w:ascii="Calibri" w:hAnsi="Calibri"/>
                <w:color w:val="auto"/>
              </w:rPr>
              <w:t>Voorhis</w:t>
            </w:r>
            <w:proofErr w:type="spellEnd"/>
            <w:r w:rsidRPr="0038455E">
              <w:rPr>
                <w:rFonts w:ascii="Calibri" w:hAnsi="Calibri"/>
                <w:color w:val="auto"/>
              </w:rPr>
              <w:t xml:space="preserve"> et al 1998; Wald 2013</w:t>
            </w:r>
          </w:p>
          <w:p w14:paraId="5CFAF990" w14:textId="77777777" w:rsidR="00F85122" w:rsidRPr="0038455E" w:rsidRDefault="00F85122" w:rsidP="00D650B4">
            <w:pPr>
              <w:spacing w:before="0" w:line="240" w:lineRule="auto"/>
              <w:rPr>
                <w:rFonts w:ascii="Calibri" w:hAnsi="Calibri"/>
                <w:color w:val="auto"/>
              </w:rPr>
            </w:pPr>
          </w:p>
        </w:tc>
        <w:tc>
          <w:tcPr>
            <w:tcW w:w="673" w:type="pct"/>
            <w:tcBorders>
              <w:bottom w:val="nil"/>
            </w:tcBorders>
          </w:tcPr>
          <w:p w14:paraId="2344E819"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Pragmatism; consequentialism </w:t>
            </w:r>
          </w:p>
          <w:p w14:paraId="2588D84E" w14:textId="77777777" w:rsidR="00F85122" w:rsidRPr="0038455E" w:rsidRDefault="00F85122" w:rsidP="00D650B4">
            <w:pPr>
              <w:spacing w:before="0" w:line="240" w:lineRule="auto"/>
              <w:rPr>
                <w:rFonts w:ascii="Calibri" w:hAnsi="Calibri"/>
                <w:color w:val="auto"/>
              </w:rPr>
            </w:pPr>
          </w:p>
        </w:tc>
        <w:tc>
          <w:tcPr>
            <w:tcW w:w="3125" w:type="pct"/>
            <w:tcBorders>
              <w:bottom w:val="nil"/>
            </w:tcBorders>
          </w:tcPr>
          <w:p w14:paraId="0DDEFE48"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Legislative reporting duties (especially/simply when not appropriately restricted to cases of sufficiently serious harm) cause </w:t>
            </w:r>
            <w:proofErr w:type="spellStart"/>
            <w:r w:rsidRPr="0038455E">
              <w:rPr>
                <w:rFonts w:ascii="Calibri" w:hAnsi="Calibri"/>
                <w:color w:val="auto"/>
              </w:rPr>
              <w:t>overreporting</w:t>
            </w:r>
            <w:proofErr w:type="spellEnd"/>
            <w:r w:rsidRPr="0038455E">
              <w:rPr>
                <w:rFonts w:ascii="Calibri" w:hAnsi="Calibri"/>
                <w:color w:val="auto"/>
              </w:rPr>
              <w:t>, which causes strain on the under-resourced CPS system, which diminishes the resources available for child protection</w:t>
            </w:r>
          </w:p>
        </w:tc>
      </w:tr>
      <w:tr w:rsidR="000E6643" w:rsidRPr="0038455E" w14:paraId="2D3A6D88" w14:textId="77777777" w:rsidTr="00D650B4">
        <w:tc>
          <w:tcPr>
            <w:tcW w:w="1202" w:type="pct"/>
          </w:tcPr>
          <w:p w14:paraId="78CDF8E3" w14:textId="77777777" w:rsidR="00F85122" w:rsidRPr="0038455E" w:rsidRDefault="00F85122" w:rsidP="00D650B4">
            <w:pPr>
              <w:spacing w:before="0" w:line="240" w:lineRule="auto"/>
              <w:rPr>
                <w:rFonts w:ascii="Calibri" w:hAnsi="Calibri"/>
                <w:color w:val="auto"/>
              </w:rPr>
            </w:pPr>
            <w:proofErr w:type="spellStart"/>
            <w:r w:rsidRPr="0038455E">
              <w:rPr>
                <w:rFonts w:ascii="Calibri" w:hAnsi="Calibri"/>
                <w:color w:val="auto"/>
              </w:rPr>
              <w:t>Besharov</w:t>
            </w:r>
            <w:proofErr w:type="spellEnd"/>
            <w:r w:rsidRPr="0038455E">
              <w:rPr>
                <w:rFonts w:ascii="Calibri" w:hAnsi="Calibri"/>
                <w:color w:val="auto"/>
              </w:rPr>
              <w:t xml:space="preserve"> 1993; Davies 2010; </w:t>
            </w:r>
            <w:proofErr w:type="spellStart"/>
            <w:r w:rsidRPr="0038455E">
              <w:rPr>
                <w:rFonts w:ascii="Calibri" w:hAnsi="Calibri"/>
                <w:color w:val="auto"/>
              </w:rPr>
              <w:t>Dumbrill</w:t>
            </w:r>
            <w:proofErr w:type="spellEnd"/>
            <w:r w:rsidRPr="0038455E">
              <w:rPr>
                <w:rFonts w:ascii="Calibri" w:hAnsi="Calibri"/>
                <w:color w:val="auto"/>
              </w:rPr>
              <w:t xml:space="preserve"> 2006; Hutchison 1993; Lukens 2007; Thompson-Cooper et al 1993; Wald 1975</w:t>
            </w:r>
          </w:p>
        </w:tc>
        <w:tc>
          <w:tcPr>
            <w:tcW w:w="673" w:type="pct"/>
          </w:tcPr>
          <w:p w14:paraId="10D223F0"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Parental autonomy; parental privacy; bioethics</w:t>
            </w:r>
          </w:p>
        </w:tc>
        <w:tc>
          <w:tcPr>
            <w:tcW w:w="3125" w:type="pct"/>
          </w:tcPr>
          <w:p w14:paraId="68B9713F"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Inappropriate reports can lead to welfare agency investigations of the family and child, which can cause trauma to the family</w:t>
            </w:r>
          </w:p>
        </w:tc>
      </w:tr>
      <w:tr w:rsidR="000E6643" w:rsidRPr="0038455E" w14:paraId="535693ED" w14:textId="77777777" w:rsidTr="00D650B4">
        <w:trPr>
          <w:cnfStyle w:val="000000100000" w:firstRow="0" w:lastRow="0" w:firstColumn="0" w:lastColumn="0" w:oddVBand="0" w:evenVBand="0" w:oddHBand="1" w:evenHBand="0" w:firstRowFirstColumn="0" w:firstRowLastColumn="0" w:lastRowFirstColumn="0" w:lastRowLastColumn="0"/>
        </w:trPr>
        <w:tc>
          <w:tcPr>
            <w:tcW w:w="1202" w:type="pct"/>
          </w:tcPr>
          <w:p w14:paraId="3588C69C"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Anderson et al 1993;  </w:t>
            </w:r>
            <w:proofErr w:type="spellStart"/>
            <w:r w:rsidRPr="0038455E">
              <w:rPr>
                <w:rFonts w:ascii="Calibri" w:hAnsi="Calibri"/>
                <w:color w:val="auto"/>
              </w:rPr>
              <w:t>Appelbaum</w:t>
            </w:r>
            <w:proofErr w:type="spellEnd"/>
            <w:r w:rsidRPr="0038455E">
              <w:rPr>
                <w:rFonts w:ascii="Calibri" w:hAnsi="Calibri"/>
                <w:color w:val="auto"/>
              </w:rPr>
              <w:t xml:space="preserve"> 1999; Brown et al 2004; </w:t>
            </w:r>
            <w:proofErr w:type="spellStart"/>
            <w:r w:rsidRPr="0038455E">
              <w:rPr>
                <w:rFonts w:ascii="Calibri" w:hAnsi="Calibri"/>
                <w:color w:val="auto"/>
              </w:rPr>
              <w:t>Geidermann</w:t>
            </w:r>
            <w:proofErr w:type="spellEnd"/>
            <w:r w:rsidRPr="0038455E">
              <w:rPr>
                <w:rFonts w:ascii="Calibri" w:hAnsi="Calibri"/>
                <w:color w:val="auto"/>
              </w:rPr>
              <w:t xml:space="preserve"> 2012; Levine &amp; </w:t>
            </w:r>
            <w:proofErr w:type="spellStart"/>
            <w:r w:rsidRPr="0038455E">
              <w:rPr>
                <w:rFonts w:ascii="Calibri" w:hAnsi="Calibri"/>
                <w:color w:val="auto"/>
              </w:rPr>
              <w:t>Doueck</w:t>
            </w:r>
            <w:proofErr w:type="spellEnd"/>
            <w:r w:rsidRPr="0038455E">
              <w:rPr>
                <w:rFonts w:ascii="Calibri" w:hAnsi="Calibri"/>
                <w:color w:val="auto"/>
              </w:rPr>
              <w:t xml:space="preserve"> 1995; Thompson-Cooper et al 1993 </w:t>
            </w:r>
          </w:p>
        </w:tc>
        <w:tc>
          <w:tcPr>
            <w:tcW w:w="673" w:type="pct"/>
          </w:tcPr>
          <w:p w14:paraId="5B381E18"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w:t>
            </w:r>
          </w:p>
        </w:tc>
        <w:tc>
          <w:tcPr>
            <w:tcW w:w="3125" w:type="pct"/>
          </w:tcPr>
          <w:p w14:paraId="12E76D3E"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Reporting by a clinical therapist can undermine or </w:t>
            </w:r>
            <w:proofErr w:type="spellStart"/>
            <w:r w:rsidRPr="0038455E">
              <w:rPr>
                <w:rFonts w:ascii="Calibri" w:hAnsi="Calibri"/>
                <w:color w:val="auto"/>
              </w:rPr>
              <w:t>jeopardise</w:t>
            </w:r>
            <w:proofErr w:type="spellEnd"/>
            <w:r w:rsidRPr="0038455E">
              <w:rPr>
                <w:rFonts w:ascii="Calibri" w:hAnsi="Calibri"/>
                <w:color w:val="auto"/>
              </w:rPr>
              <w:t xml:space="preserve"> an existing therapeutic relationship </w:t>
            </w:r>
          </w:p>
        </w:tc>
      </w:tr>
      <w:tr w:rsidR="000E6643" w:rsidRPr="0038455E" w14:paraId="51041791" w14:textId="77777777" w:rsidTr="00D650B4">
        <w:tc>
          <w:tcPr>
            <w:tcW w:w="1202" w:type="pct"/>
          </w:tcPr>
          <w:p w14:paraId="3B75D1FA"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Berlin et al 1991</w:t>
            </w:r>
          </w:p>
        </w:tc>
        <w:tc>
          <w:tcPr>
            <w:tcW w:w="673" w:type="pct"/>
          </w:tcPr>
          <w:p w14:paraId="3205265C"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Pragmatism; consequentialism</w:t>
            </w:r>
          </w:p>
        </w:tc>
        <w:tc>
          <w:tcPr>
            <w:tcW w:w="3125" w:type="pct"/>
          </w:tcPr>
          <w:p w14:paraId="0A9D564A"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Parental knowledge of a professional’s reporting duty reduces the likelihood of parental help-seeking</w:t>
            </w:r>
          </w:p>
        </w:tc>
      </w:tr>
      <w:tr w:rsidR="000E6643" w:rsidRPr="0038455E" w14:paraId="7F06EDB6" w14:textId="77777777" w:rsidTr="00D650B4">
        <w:trPr>
          <w:cnfStyle w:val="000000100000" w:firstRow="0" w:lastRow="0" w:firstColumn="0" w:lastColumn="0" w:oddVBand="0" w:evenVBand="0" w:oddHBand="1" w:evenHBand="0" w:firstRowFirstColumn="0" w:firstRowLastColumn="0" w:lastRowFirstColumn="0" w:lastRowLastColumn="0"/>
        </w:trPr>
        <w:tc>
          <w:tcPr>
            <w:tcW w:w="1202" w:type="pct"/>
          </w:tcPr>
          <w:p w14:paraId="250908D8"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Ainsworth 2002 </w:t>
            </w:r>
          </w:p>
        </w:tc>
        <w:tc>
          <w:tcPr>
            <w:tcW w:w="673" w:type="pct"/>
          </w:tcPr>
          <w:p w14:paraId="66A500E9"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Pragmatism; consequentialism</w:t>
            </w:r>
          </w:p>
        </w:tc>
        <w:tc>
          <w:tcPr>
            <w:tcW w:w="3125" w:type="pct"/>
          </w:tcPr>
          <w:p w14:paraId="6320DE8F"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Mandatory reporting does not reduce the overall prevalence of child maltreatment</w:t>
            </w:r>
          </w:p>
        </w:tc>
      </w:tr>
      <w:tr w:rsidR="000E6643" w:rsidRPr="0038455E" w14:paraId="148E4923" w14:textId="77777777" w:rsidTr="00D650B4">
        <w:tc>
          <w:tcPr>
            <w:tcW w:w="1202" w:type="pct"/>
          </w:tcPr>
          <w:p w14:paraId="47DA502F"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Lindsey 1994 </w:t>
            </w:r>
          </w:p>
        </w:tc>
        <w:tc>
          <w:tcPr>
            <w:tcW w:w="673" w:type="pct"/>
          </w:tcPr>
          <w:p w14:paraId="1D42F8A9"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Pragmatism; consequentialism</w:t>
            </w:r>
          </w:p>
        </w:tc>
        <w:tc>
          <w:tcPr>
            <w:tcW w:w="3125" w:type="pct"/>
          </w:tcPr>
          <w:p w14:paraId="2D4A4037"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Mandatory reporting has not reduced fatalities </w:t>
            </w:r>
          </w:p>
        </w:tc>
      </w:tr>
      <w:tr w:rsidR="000E6643" w:rsidRPr="0038455E" w14:paraId="2DFA9AD2" w14:textId="77777777" w:rsidTr="00D650B4">
        <w:trPr>
          <w:cnfStyle w:val="000000100000" w:firstRow="0" w:lastRow="0" w:firstColumn="0" w:lastColumn="0" w:oddVBand="0" w:evenVBand="0" w:oddHBand="1" w:evenHBand="0" w:firstRowFirstColumn="0" w:firstRowLastColumn="0" w:lastRowFirstColumn="0" w:lastRowLastColumn="0"/>
        </w:trPr>
        <w:tc>
          <w:tcPr>
            <w:tcW w:w="1202" w:type="pct"/>
          </w:tcPr>
          <w:p w14:paraId="31987E4F"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lastRenderedPageBreak/>
              <w:t>Pelton 1989</w:t>
            </w:r>
          </w:p>
        </w:tc>
        <w:tc>
          <w:tcPr>
            <w:tcW w:w="673" w:type="pct"/>
          </w:tcPr>
          <w:p w14:paraId="42327830"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Consequentialism; economics; social class; social justice</w:t>
            </w:r>
          </w:p>
        </w:tc>
        <w:tc>
          <w:tcPr>
            <w:tcW w:w="3125" w:type="pct"/>
          </w:tcPr>
          <w:p w14:paraId="25399AF6"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 xml:space="preserve">Mandatory reporting is an unjustified and coercive social control measure which imposes middle class values on the poor </w:t>
            </w:r>
          </w:p>
        </w:tc>
      </w:tr>
      <w:tr w:rsidR="000E6643" w:rsidRPr="0038455E" w14:paraId="448B5620" w14:textId="77777777" w:rsidTr="00D650B4">
        <w:tc>
          <w:tcPr>
            <w:tcW w:w="1202" w:type="pct"/>
          </w:tcPr>
          <w:p w14:paraId="021240C3" w14:textId="77777777" w:rsidR="00F85122" w:rsidRPr="0038455E" w:rsidRDefault="00F85122" w:rsidP="00D650B4">
            <w:pPr>
              <w:spacing w:before="0" w:line="240" w:lineRule="auto"/>
              <w:rPr>
                <w:rFonts w:ascii="Calibri" w:hAnsi="Calibri"/>
                <w:color w:val="auto"/>
              </w:rPr>
            </w:pPr>
            <w:r w:rsidRPr="0038455E">
              <w:rPr>
                <w:rFonts w:ascii="Calibri" w:hAnsi="Calibri"/>
                <w:color w:val="auto"/>
              </w:rPr>
              <w:t xml:space="preserve">Smith et al 1985 </w:t>
            </w:r>
          </w:p>
        </w:tc>
        <w:tc>
          <w:tcPr>
            <w:tcW w:w="673" w:type="pct"/>
          </w:tcPr>
          <w:p w14:paraId="114B1D7C"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Bioethics</w:t>
            </w:r>
          </w:p>
        </w:tc>
        <w:tc>
          <w:tcPr>
            <w:tcW w:w="3125" w:type="pct"/>
          </w:tcPr>
          <w:p w14:paraId="09B6CAB6" w14:textId="77777777" w:rsidR="00F85122" w:rsidRPr="0038455E" w:rsidRDefault="00F85122" w:rsidP="00D650B4">
            <w:pPr>
              <w:pStyle w:val="DecimalAligned"/>
              <w:spacing w:line="240" w:lineRule="auto"/>
              <w:rPr>
                <w:rFonts w:ascii="Calibri" w:hAnsi="Calibri"/>
                <w:color w:val="auto"/>
              </w:rPr>
            </w:pPr>
            <w:r w:rsidRPr="0038455E">
              <w:rPr>
                <w:rFonts w:ascii="Calibri" w:hAnsi="Calibri"/>
                <w:color w:val="auto"/>
              </w:rPr>
              <w:t>The reporting duty can breach the professional’s duty of confidentiality to the patient</w:t>
            </w:r>
          </w:p>
        </w:tc>
      </w:tr>
      <w:tr w:rsidR="000E6643" w:rsidRPr="0038455E" w14:paraId="4316D3DB" w14:textId="77777777" w:rsidTr="00D650B4">
        <w:trPr>
          <w:cnfStyle w:val="000000100000" w:firstRow="0" w:lastRow="0" w:firstColumn="0" w:lastColumn="0" w:oddVBand="0" w:evenVBand="0" w:oddHBand="1" w:evenHBand="0" w:firstRowFirstColumn="0" w:firstRowLastColumn="0" w:lastRowFirstColumn="0" w:lastRowLastColumn="0"/>
        </w:trPr>
        <w:tc>
          <w:tcPr>
            <w:tcW w:w="1202" w:type="pct"/>
          </w:tcPr>
          <w:p w14:paraId="3073D155" w14:textId="77777777" w:rsidR="00F85122" w:rsidRPr="0038455E" w:rsidRDefault="00F85122" w:rsidP="00D650B4">
            <w:pPr>
              <w:spacing w:before="0" w:line="240" w:lineRule="auto"/>
              <w:rPr>
                <w:rFonts w:ascii="Calibri" w:hAnsi="Calibri"/>
                <w:b/>
                <w:color w:val="auto"/>
              </w:rPr>
            </w:pPr>
            <w:r w:rsidRPr="0038455E">
              <w:rPr>
                <w:rFonts w:ascii="Calibri" w:hAnsi="Calibri"/>
                <w:color w:val="auto"/>
              </w:rPr>
              <w:t>Melton 2005; Worley &amp; Melton 2014</w:t>
            </w:r>
          </w:p>
        </w:tc>
        <w:tc>
          <w:tcPr>
            <w:tcW w:w="673" w:type="pct"/>
          </w:tcPr>
          <w:p w14:paraId="66327D32" w14:textId="77777777" w:rsidR="00F85122" w:rsidRPr="0038455E" w:rsidRDefault="00F85122" w:rsidP="00D650B4">
            <w:pPr>
              <w:pStyle w:val="DecimalAligned"/>
              <w:spacing w:line="240" w:lineRule="auto"/>
              <w:rPr>
                <w:rFonts w:ascii="Calibri" w:hAnsi="Calibri"/>
                <w:b/>
                <w:color w:val="auto"/>
              </w:rPr>
            </w:pPr>
            <w:r w:rsidRPr="0038455E">
              <w:rPr>
                <w:rFonts w:ascii="Calibri" w:hAnsi="Calibri"/>
                <w:color w:val="auto"/>
              </w:rPr>
              <w:t>Pragmatism; consequentialism</w:t>
            </w:r>
          </w:p>
        </w:tc>
        <w:tc>
          <w:tcPr>
            <w:tcW w:w="3125" w:type="pct"/>
          </w:tcPr>
          <w:p w14:paraId="39F9E6C5" w14:textId="77777777" w:rsidR="00F85122" w:rsidRPr="0038455E" w:rsidRDefault="00F85122" w:rsidP="00D650B4">
            <w:pPr>
              <w:pStyle w:val="DecimalAligned"/>
              <w:spacing w:line="240" w:lineRule="auto"/>
              <w:rPr>
                <w:rFonts w:ascii="Calibri" w:hAnsi="Calibri"/>
                <w:b/>
                <w:color w:val="auto"/>
              </w:rPr>
            </w:pPr>
            <w:r w:rsidRPr="0038455E">
              <w:rPr>
                <w:rFonts w:ascii="Calibri" w:hAnsi="Calibri"/>
                <w:color w:val="auto"/>
              </w:rPr>
              <w:t xml:space="preserve">Mandatory reporting was a strategy designed to respond to a group of cases which was anticipated  to be much smaller than actually exists </w:t>
            </w:r>
          </w:p>
        </w:tc>
      </w:tr>
      <w:tr w:rsidR="000E6643" w:rsidRPr="0038455E" w14:paraId="6C5217C6" w14:textId="77777777" w:rsidTr="00D650B4">
        <w:trPr>
          <w:cnfStyle w:val="010000000000" w:firstRow="0" w:lastRow="1" w:firstColumn="0" w:lastColumn="0" w:oddVBand="0" w:evenVBand="0" w:oddHBand="0" w:evenHBand="0" w:firstRowFirstColumn="0" w:firstRowLastColumn="0" w:lastRowFirstColumn="0" w:lastRowLastColumn="0"/>
        </w:trPr>
        <w:tc>
          <w:tcPr>
            <w:tcW w:w="1202" w:type="pct"/>
          </w:tcPr>
          <w:p w14:paraId="5DCA4C8D" w14:textId="77777777" w:rsidR="00F85122" w:rsidRPr="0038455E" w:rsidRDefault="00F85122" w:rsidP="00D650B4">
            <w:pPr>
              <w:spacing w:before="0" w:line="240" w:lineRule="auto"/>
              <w:rPr>
                <w:rFonts w:ascii="Calibri" w:hAnsi="Calibri"/>
                <w:b w:val="0"/>
                <w:color w:val="auto"/>
              </w:rPr>
            </w:pPr>
            <w:r w:rsidRPr="0038455E">
              <w:rPr>
                <w:rFonts w:ascii="Calibri" w:hAnsi="Calibri"/>
                <w:color w:val="auto"/>
              </w:rPr>
              <w:br w:type="page"/>
            </w:r>
            <w:r w:rsidRPr="0038455E">
              <w:rPr>
                <w:rFonts w:ascii="Calibri" w:hAnsi="Calibri"/>
                <w:b w:val="0"/>
                <w:color w:val="auto"/>
              </w:rPr>
              <w:t>Cross et al 2012; Humphreys 2008</w:t>
            </w:r>
          </w:p>
        </w:tc>
        <w:tc>
          <w:tcPr>
            <w:tcW w:w="673" w:type="pct"/>
          </w:tcPr>
          <w:p w14:paraId="34E7AED1" w14:textId="77777777" w:rsidR="00F85122" w:rsidRPr="0038455E" w:rsidRDefault="00F85122" w:rsidP="00D650B4">
            <w:pPr>
              <w:pStyle w:val="DecimalAligned"/>
              <w:spacing w:line="240" w:lineRule="auto"/>
              <w:rPr>
                <w:rFonts w:ascii="Calibri" w:hAnsi="Calibri"/>
                <w:b w:val="0"/>
                <w:color w:val="auto"/>
              </w:rPr>
            </w:pPr>
            <w:r w:rsidRPr="0038455E">
              <w:rPr>
                <w:rFonts w:ascii="Calibri" w:hAnsi="Calibri"/>
                <w:b w:val="0"/>
                <w:color w:val="auto"/>
              </w:rPr>
              <w:t>Women’s rights and autonomy; pragmatism; consequentialism</w:t>
            </w:r>
          </w:p>
        </w:tc>
        <w:tc>
          <w:tcPr>
            <w:tcW w:w="3125" w:type="pct"/>
          </w:tcPr>
          <w:p w14:paraId="372A497D" w14:textId="77777777" w:rsidR="00F85122" w:rsidRPr="0038455E" w:rsidRDefault="00F85122" w:rsidP="00D650B4">
            <w:pPr>
              <w:pStyle w:val="DecimalAligned"/>
              <w:spacing w:line="240" w:lineRule="auto"/>
              <w:rPr>
                <w:rFonts w:ascii="Calibri" w:hAnsi="Calibri"/>
                <w:b w:val="0"/>
                <w:color w:val="auto"/>
              </w:rPr>
            </w:pPr>
            <w:r w:rsidRPr="0038455E">
              <w:rPr>
                <w:rFonts w:ascii="Calibri" w:hAnsi="Calibri"/>
                <w:b w:val="0"/>
                <w:color w:val="auto"/>
              </w:rPr>
              <w:t xml:space="preserve">Apart from cases that are clearly seriously harmful for the child, legislative reporting of children exposed to domestic violence is not justified or efficient theoretically, conceptually or practically </w:t>
            </w:r>
          </w:p>
        </w:tc>
      </w:tr>
    </w:tbl>
    <w:p w14:paraId="2466FF31" w14:textId="77777777" w:rsidR="00F85122" w:rsidRPr="00F85122" w:rsidRDefault="00F85122" w:rsidP="00F85122">
      <w:pPr>
        <w:rPr>
          <w:rFonts w:ascii="Calibri" w:hAnsi="Calibri"/>
        </w:rPr>
        <w:sectPr w:rsidR="00F85122" w:rsidRPr="00F85122" w:rsidSect="00D650B4">
          <w:pgSz w:w="16840" w:h="11900" w:orient="landscape"/>
          <w:pgMar w:top="1134" w:right="1418" w:bottom="1134" w:left="1134" w:header="708" w:footer="708" w:gutter="0"/>
          <w:cols w:space="708"/>
          <w:docGrid w:linePitch="360"/>
        </w:sectPr>
      </w:pPr>
    </w:p>
    <w:p w14:paraId="1E58C2CF" w14:textId="77777777" w:rsidR="00F85122" w:rsidRPr="00F85122" w:rsidRDefault="00F85122" w:rsidP="00F85122">
      <w:pPr>
        <w:pStyle w:val="Heading5"/>
      </w:pPr>
      <w:bookmarkStart w:id="228" w:name="_Toc399665717"/>
      <w:bookmarkStart w:id="229" w:name="_Toc399667241"/>
      <w:bookmarkStart w:id="230" w:name="_Toc399668983"/>
      <w:bookmarkStart w:id="231" w:name="_Toc399676769"/>
      <w:bookmarkStart w:id="232" w:name="_Toc273951902"/>
      <w:bookmarkStart w:id="233" w:name="_Toc400108211"/>
      <w:bookmarkStart w:id="234" w:name="_Toc400110262"/>
      <w:bookmarkStart w:id="235" w:name="_Toc400110598"/>
      <w:bookmarkStart w:id="236" w:name="_Toc400110709"/>
      <w:r w:rsidRPr="00F85122">
        <w:lastRenderedPageBreak/>
        <w:t>References (literature review 2)</w:t>
      </w:r>
      <w:bookmarkEnd w:id="228"/>
      <w:bookmarkEnd w:id="229"/>
      <w:bookmarkEnd w:id="230"/>
      <w:bookmarkEnd w:id="231"/>
      <w:bookmarkEnd w:id="232"/>
      <w:bookmarkEnd w:id="233"/>
      <w:bookmarkEnd w:id="234"/>
      <w:bookmarkEnd w:id="235"/>
      <w:bookmarkEnd w:id="236"/>
    </w:p>
    <w:p w14:paraId="4E364807"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Ainsworth, F, &amp; Hansen, P. (2006).</w:t>
      </w:r>
      <w:proofErr w:type="gramEnd"/>
      <w:r w:rsidRPr="00F85122">
        <w:rPr>
          <w:rFonts w:ascii="Calibri" w:hAnsi="Calibri"/>
        </w:rPr>
        <w:t xml:space="preserve"> </w:t>
      </w:r>
      <w:proofErr w:type="gramStart"/>
      <w:r w:rsidRPr="00F85122">
        <w:rPr>
          <w:rFonts w:ascii="Calibri" w:hAnsi="Calibri"/>
        </w:rPr>
        <w:t>Five tumultuous years in Australian child protection: little progress.</w:t>
      </w:r>
      <w:proofErr w:type="gramEnd"/>
      <w:r w:rsidRPr="00F85122">
        <w:rPr>
          <w:rFonts w:ascii="Calibri" w:hAnsi="Calibri"/>
        </w:rPr>
        <w:t xml:space="preserve"> </w:t>
      </w:r>
      <w:r w:rsidRPr="00F85122">
        <w:rPr>
          <w:rFonts w:ascii="Calibri" w:hAnsi="Calibri"/>
          <w:i/>
          <w:iCs/>
        </w:rPr>
        <w:t>Child &amp; Family Social Work</w:t>
      </w:r>
      <w:r w:rsidRPr="00F85122">
        <w:rPr>
          <w:rFonts w:ascii="Calibri" w:hAnsi="Calibri"/>
        </w:rPr>
        <w:t xml:space="preserve">, </w:t>
      </w:r>
      <w:r w:rsidRPr="00F85122">
        <w:rPr>
          <w:rFonts w:ascii="Calibri" w:hAnsi="Calibri"/>
          <w:i/>
          <w:iCs/>
        </w:rPr>
        <w:t>11</w:t>
      </w:r>
      <w:r w:rsidRPr="00F85122">
        <w:rPr>
          <w:rFonts w:ascii="Calibri" w:hAnsi="Calibri"/>
        </w:rPr>
        <w:t>(1), 33-41.</w:t>
      </w:r>
    </w:p>
    <w:p w14:paraId="137623AA"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Ainsworth, F. (2002).</w:t>
      </w:r>
      <w:proofErr w:type="gramEnd"/>
      <w:r w:rsidRPr="00F85122">
        <w:rPr>
          <w:rFonts w:ascii="Calibri" w:hAnsi="Calibri"/>
        </w:rPr>
        <w:t xml:space="preserve"> Mandatory reporting of child abuse and neglect: Does it really make a difference</w:t>
      </w:r>
      <w:proofErr w:type="gramStart"/>
      <w:r w:rsidRPr="00F85122">
        <w:rPr>
          <w:rFonts w:ascii="Calibri" w:hAnsi="Calibri"/>
        </w:rPr>
        <w:t>?.</w:t>
      </w:r>
      <w:proofErr w:type="gramEnd"/>
      <w:r w:rsidRPr="00F85122">
        <w:rPr>
          <w:rFonts w:ascii="Calibri" w:hAnsi="Calibri"/>
        </w:rPr>
        <w:t xml:space="preserve"> </w:t>
      </w:r>
      <w:r w:rsidRPr="00F85122">
        <w:rPr>
          <w:rFonts w:ascii="Calibri" w:hAnsi="Calibri"/>
          <w:i/>
          <w:iCs/>
        </w:rPr>
        <w:t>Child &amp; Family Social Work</w:t>
      </w:r>
      <w:r w:rsidRPr="00F85122">
        <w:rPr>
          <w:rFonts w:ascii="Calibri" w:hAnsi="Calibri"/>
        </w:rPr>
        <w:t xml:space="preserve">, </w:t>
      </w:r>
      <w:r w:rsidRPr="00F85122">
        <w:rPr>
          <w:rFonts w:ascii="Calibri" w:hAnsi="Calibri"/>
          <w:i/>
          <w:iCs/>
        </w:rPr>
        <w:t>7</w:t>
      </w:r>
      <w:r w:rsidRPr="00F85122">
        <w:rPr>
          <w:rFonts w:ascii="Calibri" w:hAnsi="Calibri"/>
        </w:rPr>
        <w:t>(1), 57-63.</w:t>
      </w:r>
    </w:p>
    <w:p w14:paraId="3642F28C"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Ainsworth, F. (2002).</w:t>
      </w:r>
      <w:proofErr w:type="gramEnd"/>
      <w:r w:rsidRPr="00F85122">
        <w:rPr>
          <w:rFonts w:ascii="Calibri" w:hAnsi="Calibri"/>
        </w:rPr>
        <w:t xml:space="preserve"> Mandatory reporting of child abuse and neglect: Why would you want it</w:t>
      </w:r>
      <w:proofErr w:type="gramStart"/>
      <w:r w:rsidRPr="00F85122">
        <w:rPr>
          <w:rFonts w:ascii="Calibri" w:hAnsi="Calibri"/>
        </w:rPr>
        <w:t>?.</w:t>
      </w:r>
      <w:proofErr w:type="gramEnd"/>
      <w:r w:rsidRPr="00F85122">
        <w:rPr>
          <w:rFonts w:ascii="Calibri" w:hAnsi="Calibri"/>
        </w:rPr>
        <w:t xml:space="preserve"> </w:t>
      </w:r>
      <w:proofErr w:type="gramStart"/>
      <w:r w:rsidRPr="00F85122">
        <w:rPr>
          <w:rFonts w:ascii="Calibri" w:hAnsi="Calibri"/>
          <w:i/>
          <w:iCs/>
        </w:rPr>
        <w:t>Developing Practice: The Child, Youth and Family Work Journal</w:t>
      </w:r>
      <w:r w:rsidRPr="00F85122">
        <w:rPr>
          <w:rFonts w:ascii="Calibri" w:hAnsi="Calibri"/>
        </w:rPr>
        <w:t>, (4), 5.</w:t>
      </w:r>
      <w:proofErr w:type="gramEnd"/>
    </w:p>
    <w:p w14:paraId="415FAAC5"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Anderson, E, Levine, M, Sharma, A, </w:t>
      </w:r>
      <w:proofErr w:type="spellStart"/>
      <w:r w:rsidRPr="00F85122">
        <w:rPr>
          <w:rFonts w:ascii="Calibri" w:hAnsi="Calibri"/>
        </w:rPr>
        <w:t>Ferretti</w:t>
      </w:r>
      <w:proofErr w:type="spellEnd"/>
      <w:r w:rsidRPr="00F85122">
        <w:rPr>
          <w:rFonts w:ascii="Calibri" w:hAnsi="Calibri"/>
        </w:rPr>
        <w:t>, L, Steinberg, K, &amp; Wallach, L. (1993).</w:t>
      </w:r>
      <w:proofErr w:type="gramEnd"/>
      <w:r w:rsidRPr="00F85122">
        <w:rPr>
          <w:rFonts w:ascii="Calibri" w:hAnsi="Calibri"/>
        </w:rPr>
        <w:t xml:space="preserve"> </w:t>
      </w:r>
      <w:proofErr w:type="gramStart"/>
      <w:r w:rsidRPr="00F85122">
        <w:rPr>
          <w:rFonts w:ascii="Calibri" w:hAnsi="Calibri"/>
        </w:rPr>
        <w:t>Coercive uses of mandatory reporting in therapeutic relationships.</w:t>
      </w:r>
      <w:proofErr w:type="gramEnd"/>
      <w:r w:rsidRPr="00F85122">
        <w:rPr>
          <w:rFonts w:ascii="Calibri" w:hAnsi="Calibri"/>
        </w:rPr>
        <w:t xml:space="preserve"> </w:t>
      </w:r>
      <w:proofErr w:type="spellStart"/>
      <w:r w:rsidRPr="00F85122">
        <w:rPr>
          <w:rFonts w:ascii="Calibri" w:hAnsi="Calibri"/>
          <w:i/>
          <w:iCs/>
        </w:rPr>
        <w:t>Behavioral</w:t>
      </w:r>
      <w:proofErr w:type="spellEnd"/>
      <w:r w:rsidRPr="00F85122">
        <w:rPr>
          <w:rFonts w:ascii="Calibri" w:hAnsi="Calibri"/>
          <w:i/>
          <w:iCs/>
        </w:rPr>
        <w:t xml:space="preserve"> Sciences &amp; the Law</w:t>
      </w:r>
      <w:r w:rsidRPr="00F85122">
        <w:rPr>
          <w:rFonts w:ascii="Calibri" w:hAnsi="Calibri"/>
        </w:rPr>
        <w:t xml:space="preserve">, </w:t>
      </w:r>
      <w:r w:rsidRPr="00F85122">
        <w:rPr>
          <w:rFonts w:ascii="Calibri" w:hAnsi="Calibri"/>
          <w:i/>
          <w:iCs/>
        </w:rPr>
        <w:t>11</w:t>
      </w:r>
      <w:r w:rsidRPr="00F85122">
        <w:rPr>
          <w:rFonts w:ascii="Calibri" w:hAnsi="Calibri"/>
        </w:rPr>
        <w:t>(3), 335-345.</w:t>
      </w:r>
    </w:p>
    <w:p w14:paraId="0E270D1A" w14:textId="77777777" w:rsidR="00F85122" w:rsidRPr="00F85122" w:rsidRDefault="00F85122" w:rsidP="00F85122">
      <w:pPr>
        <w:spacing w:after="60"/>
        <w:ind w:left="737" w:hanging="737"/>
        <w:rPr>
          <w:rFonts w:ascii="Calibri" w:hAnsi="Calibri"/>
        </w:rPr>
      </w:pPr>
      <w:proofErr w:type="spellStart"/>
      <w:proofErr w:type="gramStart"/>
      <w:r w:rsidRPr="00F85122">
        <w:rPr>
          <w:rFonts w:ascii="Calibri" w:hAnsi="Calibri"/>
        </w:rPr>
        <w:t>Bala</w:t>
      </w:r>
      <w:proofErr w:type="spellEnd"/>
      <w:r w:rsidRPr="00F85122">
        <w:rPr>
          <w:rFonts w:ascii="Calibri" w:hAnsi="Calibri"/>
        </w:rPr>
        <w:t>, N, &amp; Cruickshank, D. (1986).</w:t>
      </w:r>
      <w:proofErr w:type="gramEnd"/>
      <w:r w:rsidRPr="00F85122">
        <w:rPr>
          <w:rFonts w:ascii="Calibri" w:hAnsi="Calibri"/>
        </w:rPr>
        <w:t xml:space="preserve"> </w:t>
      </w:r>
      <w:proofErr w:type="gramStart"/>
      <w:r w:rsidRPr="00F85122">
        <w:rPr>
          <w:rFonts w:ascii="Calibri" w:hAnsi="Calibri"/>
        </w:rPr>
        <w:t>Children and the Charter of Rights.</w:t>
      </w:r>
      <w:proofErr w:type="gramEnd"/>
      <w:r w:rsidRPr="00F85122">
        <w:rPr>
          <w:rFonts w:ascii="Calibri" w:hAnsi="Calibri"/>
        </w:rPr>
        <w:t xml:space="preserve"> In B Landau (Ed.), </w:t>
      </w:r>
      <w:r w:rsidRPr="00F85122">
        <w:rPr>
          <w:rFonts w:ascii="Calibri" w:hAnsi="Calibri"/>
          <w:i/>
        </w:rPr>
        <w:t>Children’s rights in the practice of family law</w:t>
      </w:r>
      <w:r w:rsidRPr="00F85122">
        <w:rPr>
          <w:rFonts w:ascii="Calibri" w:hAnsi="Calibri"/>
        </w:rPr>
        <w:t xml:space="preserve"> (pp. 28-92). </w:t>
      </w:r>
      <w:proofErr w:type="gramStart"/>
      <w:r w:rsidRPr="00F85122">
        <w:rPr>
          <w:rFonts w:ascii="Calibri" w:hAnsi="Calibri"/>
        </w:rPr>
        <w:t xml:space="preserve">Toronto, Canada: </w:t>
      </w:r>
      <w:proofErr w:type="spellStart"/>
      <w:r w:rsidRPr="00F85122">
        <w:rPr>
          <w:rFonts w:ascii="Calibri" w:hAnsi="Calibri"/>
        </w:rPr>
        <w:t>Carswell</w:t>
      </w:r>
      <w:proofErr w:type="spellEnd"/>
      <w:r w:rsidRPr="00F85122">
        <w:rPr>
          <w:rFonts w:ascii="Calibri" w:hAnsi="Calibri"/>
        </w:rPr>
        <w:t>.</w:t>
      </w:r>
      <w:proofErr w:type="gramEnd"/>
    </w:p>
    <w:p w14:paraId="0B2E6781" w14:textId="77777777" w:rsidR="00F85122" w:rsidRPr="00F85122" w:rsidRDefault="00F85122" w:rsidP="00F85122">
      <w:pPr>
        <w:spacing w:after="60"/>
        <w:ind w:left="737" w:hanging="737"/>
        <w:rPr>
          <w:rFonts w:ascii="Calibri" w:hAnsi="Calibri"/>
        </w:rPr>
      </w:pPr>
      <w:r w:rsidRPr="00F85122">
        <w:rPr>
          <w:rFonts w:ascii="Calibri" w:hAnsi="Calibri"/>
        </w:rPr>
        <w:t xml:space="preserve">Barth, R. (2009). An alternative response to “The best interests of the child thesis: some thoughts from Australia”. </w:t>
      </w:r>
      <w:r w:rsidRPr="00F85122">
        <w:rPr>
          <w:rFonts w:ascii="Calibri" w:hAnsi="Calibri"/>
          <w:i/>
          <w:iCs/>
        </w:rPr>
        <w:t>International Journal of Social Welfare</w:t>
      </w:r>
      <w:r w:rsidRPr="00F85122">
        <w:rPr>
          <w:rFonts w:ascii="Calibri" w:hAnsi="Calibri"/>
        </w:rPr>
        <w:t xml:space="preserve">, </w:t>
      </w:r>
      <w:r w:rsidRPr="00F85122">
        <w:rPr>
          <w:rFonts w:ascii="Calibri" w:hAnsi="Calibri"/>
          <w:i/>
          <w:iCs/>
        </w:rPr>
        <w:t>18</w:t>
      </w:r>
      <w:r w:rsidRPr="00F85122">
        <w:rPr>
          <w:rFonts w:ascii="Calibri" w:hAnsi="Calibri"/>
        </w:rPr>
        <w:t>(4), 440-442.</w:t>
      </w:r>
    </w:p>
    <w:p w14:paraId="0E45772A"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Bell, L, &amp; </w:t>
      </w:r>
      <w:proofErr w:type="spellStart"/>
      <w:r w:rsidRPr="00F85122">
        <w:rPr>
          <w:rFonts w:ascii="Calibri" w:hAnsi="Calibri"/>
        </w:rPr>
        <w:t>Tooman</w:t>
      </w:r>
      <w:proofErr w:type="spellEnd"/>
      <w:r w:rsidRPr="00F85122">
        <w:rPr>
          <w:rFonts w:ascii="Calibri" w:hAnsi="Calibri"/>
        </w:rPr>
        <w:t>, P. (1994).</w:t>
      </w:r>
      <w:proofErr w:type="gramEnd"/>
      <w:r w:rsidRPr="00F85122">
        <w:rPr>
          <w:rFonts w:ascii="Calibri" w:hAnsi="Calibri"/>
        </w:rPr>
        <w:t xml:space="preserve"> </w:t>
      </w:r>
      <w:proofErr w:type="gramStart"/>
      <w:r w:rsidRPr="00F85122">
        <w:rPr>
          <w:rFonts w:ascii="Calibri" w:hAnsi="Calibri"/>
        </w:rPr>
        <w:t>Mandatory reporting laws: a critical overview.</w:t>
      </w:r>
      <w:proofErr w:type="gramEnd"/>
      <w:r w:rsidRPr="00F85122">
        <w:rPr>
          <w:rFonts w:ascii="Calibri" w:hAnsi="Calibri"/>
        </w:rPr>
        <w:t xml:space="preserve"> </w:t>
      </w:r>
      <w:r w:rsidRPr="00F85122">
        <w:rPr>
          <w:rFonts w:ascii="Calibri" w:hAnsi="Calibri"/>
          <w:i/>
          <w:iCs/>
        </w:rPr>
        <w:t>International Journal of Law, Policy and the Family</w:t>
      </w:r>
      <w:r w:rsidRPr="00F85122">
        <w:rPr>
          <w:rFonts w:ascii="Calibri" w:hAnsi="Calibri"/>
        </w:rPr>
        <w:t xml:space="preserve">, </w:t>
      </w:r>
      <w:r w:rsidRPr="00F85122">
        <w:rPr>
          <w:rFonts w:ascii="Calibri" w:hAnsi="Calibri"/>
          <w:i/>
          <w:iCs/>
        </w:rPr>
        <w:t>8</w:t>
      </w:r>
      <w:r w:rsidRPr="00F85122">
        <w:rPr>
          <w:rFonts w:ascii="Calibri" w:hAnsi="Calibri"/>
        </w:rPr>
        <w:t>(3), 337-356.</w:t>
      </w:r>
    </w:p>
    <w:p w14:paraId="19F93BAF" w14:textId="77777777" w:rsidR="00F85122" w:rsidRPr="00F85122" w:rsidRDefault="00F85122" w:rsidP="00F85122">
      <w:pPr>
        <w:spacing w:after="60"/>
        <w:ind w:left="737" w:hanging="737"/>
        <w:rPr>
          <w:rFonts w:ascii="Calibri" w:hAnsi="Calibri"/>
        </w:rPr>
      </w:pPr>
      <w:r w:rsidRPr="00F85122">
        <w:rPr>
          <w:rFonts w:ascii="Calibri" w:hAnsi="Calibri"/>
        </w:rPr>
        <w:t xml:space="preserve">Berlin, F, Maim, H, &amp; Dean, S. (1991). </w:t>
      </w:r>
      <w:proofErr w:type="gramStart"/>
      <w:r w:rsidRPr="00F85122">
        <w:rPr>
          <w:rFonts w:ascii="Calibri" w:hAnsi="Calibri"/>
        </w:rPr>
        <w:t>Effects of Statutes Requiring Psychiatrists to Report.</w:t>
      </w:r>
      <w:proofErr w:type="gramEnd"/>
      <w:r w:rsidRPr="00F85122">
        <w:rPr>
          <w:rFonts w:ascii="Calibri" w:hAnsi="Calibri"/>
        </w:rPr>
        <w:t xml:space="preserve"> </w:t>
      </w:r>
      <w:r w:rsidRPr="00F85122">
        <w:rPr>
          <w:rFonts w:ascii="Calibri" w:hAnsi="Calibri"/>
          <w:i/>
          <w:iCs/>
        </w:rPr>
        <w:t>Am J Psychiatry</w:t>
      </w:r>
      <w:r w:rsidRPr="00F85122">
        <w:rPr>
          <w:rFonts w:ascii="Calibri" w:hAnsi="Calibri"/>
        </w:rPr>
        <w:t xml:space="preserve">, </w:t>
      </w:r>
      <w:r w:rsidRPr="00F85122">
        <w:rPr>
          <w:rFonts w:ascii="Calibri" w:hAnsi="Calibri"/>
          <w:i/>
          <w:iCs/>
        </w:rPr>
        <w:t>148</w:t>
      </w:r>
      <w:r w:rsidRPr="00F85122">
        <w:rPr>
          <w:rFonts w:ascii="Calibri" w:hAnsi="Calibri"/>
        </w:rPr>
        <w:t>(4), 449.</w:t>
      </w:r>
    </w:p>
    <w:p w14:paraId="09736F9C"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Besharov</w:t>
      </w:r>
      <w:proofErr w:type="spellEnd"/>
      <w:r w:rsidRPr="00F85122">
        <w:rPr>
          <w:rFonts w:ascii="Calibri" w:hAnsi="Calibri"/>
        </w:rPr>
        <w:t xml:space="preserve">, D. (1985). “Doing something” about child abuse: The need to narrow the grounds for state intervention. </w:t>
      </w:r>
      <w:r w:rsidRPr="00F85122">
        <w:rPr>
          <w:rFonts w:ascii="Calibri" w:hAnsi="Calibri"/>
          <w:i/>
          <w:iCs/>
        </w:rPr>
        <w:t>Harvard Journal of Law and Public Policy</w:t>
      </w:r>
      <w:r w:rsidRPr="00F85122">
        <w:rPr>
          <w:rFonts w:ascii="Calibri" w:hAnsi="Calibri"/>
        </w:rPr>
        <w:t xml:space="preserve">, </w:t>
      </w:r>
      <w:r w:rsidRPr="00F85122">
        <w:rPr>
          <w:rFonts w:ascii="Calibri" w:hAnsi="Calibri"/>
          <w:i/>
          <w:iCs/>
        </w:rPr>
        <w:t>8</w:t>
      </w:r>
      <w:r w:rsidRPr="00F85122">
        <w:rPr>
          <w:rFonts w:ascii="Calibri" w:hAnsi="Calibri"/>
        </w:rPr>
        <w:t>(3), 539-589.</w:t>
      </w:r>
    </w:p>
    <w:p w14:paraId="2C8D6EA4"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Besharov</w:t>
      </w:r>
      <w:proofErr w:type="spellEnd"/>
      <w:r w:rsidRPr="00F85122">
        <w:rPr>
          <w:rFonts w:ascii="Calibri" w:hAnsi="Calibri"/>
        </w:rPr>
        <w:t xml:space="preserve">, D. (1990). </w:t>
      </w:r>
      <w:proofErr w:type="gramStart"/>
      <w:r w:rsidRPr="00F85122">
        <w:rPr>
          <w:rFonts w:ascii="Calibri" w:hAnsi="Calibri"/>
          <w:i/>
        </w:rPr>
        <w:t>Recognizing child abuse</w:t>
      </w:r>
      <w:r w:rsidRPr="00F85122">
        <w:rPr>
          <w:rFonts w:ascii="Calibri" w:hAnsi="Calibri"/>
        </w:rPr>
        <w:t>.</w:t>
      </w:r>
      <w:proofErr w:type="gramEnd"/>
      <w:r w:rsidRPr="00F85122">
        <w:rPr>
          <w:rFonts w:ascii="Calibri" w:hAnsi="Calibri"/>
        </w:rPr>
        <w:t xml:space="preserve"> New York: Free Press.</w:t>
      </w:r>
    </w:p>
    <w:p w14:paraId="48DA618B"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Besharov</w:t>
      </w:r>
      <w:proofErr w:type="spellEnd"/>
      <w:r w:rsidRPr="00F85122">
        <w:rPr>
          <w:rFonts w:ascii="Calibri" w:hAnsi="Calibri"/>
        </w:rPr>
        <w:t xml:space="preserve">, D. (1992). </w:t>
      </w:r>
      <w:proofErr w:type="gramStart"/>
      <w:r w:rsidRPr="00F85122">
        <w:rPr>
          <w:rFonts w:ascii="Calibri" w:hAnsi="Calibri"/>
        </w:rPr>
        <w:t>A balanced approach to reporting child abuse.</w:t>
      </w:r>
      <w:proofErr w:type="gramEnd"/>
      <w:r w:rsidRPr="00F85122">
        <w:rPr>
          <w:rFonts w:ascii="Calibri" w:hAnsi="Calibri"/>
        </w:rPr>
        <w:t xml:space="preserve"> </w:t>
      </w:r>
      <w:r w:rsidRPr="00F85122">
        <w:rPr>
          <w:rFonts w:ascii="Calibri" w:hAnsi="Calibri"/>
          <w:i/>
          <w:iCs/>
        </w:rPr>
        <w:t>The Child, Youth and Family Services Quarterly</w:t>
      </w:r>
      <w:r w:rsidRPr="00F85122">
        <w:rPr>
          <w:rFonts w:ascii="Calibri" w:hAnsi="Calibri"/>
        </w:rPr>
        <w:t xml:space="preserve">, </w:t>
      </w:r>
      <w:r w:rsidRPr="00F85122">
        <w:rPr>
          <w:rFonts w:ascii="Calibri" w:hAnsi="Calibri"/>
          <w:i/>
          <w:iCs/>
        </w:rPr>
        <w:t>15</w:t>
      </w:r>
      <w:r w:rsidRPr="00F85122">
        <w:rPr>
          <w:rFonts w:ascii="Calibri" w:hAnsi="Calibri"/>
        </w:rPr>
        <w:t>, 5-7.</w:t>
      </w:r>
    </w:p>
    <w:p w14:paraId="7CDCF4C6"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Besharov</w:t>
      </w:r>
      <w:proofErr w:type="spellEnd"/>
      <w:r w:rsidRPr="00F85122">
        <w:rPr>
          <w:rFonts w:ascii="Calibri" w:hAnsi="Calibri"/>
        </w:rPr>
        <w:t xml:space="preserve">, D. (2005) </w:t>
      </w:r>
      <w:proofErr w:type="spellStart"/>
      <w:r w:rsidRPr="00F85122">
        <w:rPr>
          <w:rFonts w:ascii="Calibri" w:hAnsi="Calibri"/>
        </w:rPr>
        <w:t>Overreporting</w:t>
      </w:r>
      <w:proofErr w:type="spellEnd"/>
      <w:r w:rsidRPr="00F85122">
        <w:rPr>
          <w:rFonts w:ascii="Calibri" w:hAnsi="Calibri"/>
        </w:rPr>
        <w:t xml:space="preserve"> and Underreporting child abuse and neglect are twin problems. </w:t>
      </w:r>
      <w:proofErr w:type="gramStart"/>
      <w:r w:rsidRPr="00F85122">
        <w:rPr>
          <w:rFonts w:ascii="Calibri" w:hAnsi="Calibri"/>
        </w:rPr>
        <w:t xml:space="preserve">In D </w:t>
      </w:r>
      <w:proofErr w:type="spellStart"/>
      <w:r w:rsidRPr="00F85122">
        <w:rPr>
          <w:rFonts w:ascii="Calibri" w:hAnsi="Calibri"/>
        </w:rPr>
        <w:t>Loseke</w:t>
      </w:r>
      <w:proofErr w:type="spellEnd"/>
      <w:r w:rsidRPr="00F85122">
        <w:rPr>
          <w:rFonts w:ascii="Calibri" w:hAnsi="Calibri"/>
        </w:rPr>
        <w:t xml:space="preserve">, R </w:t>
      </w:r>
      <w:proofErr w:type="spellStart"/>
      <w:r w:rsidRPr="00F85122">
        <w:rPr>
          <w:rFonts w:ascii="Calibri" w:hAnsi="Calibri"/>
        </w:rPr>
        <w:t>Gelles</w:t>
      </w:r>
      <w:proofErr w:type="spellEnd"/>
      <w:r w:rsidRPr="00F85122">
        <w:rPr>
          <w:rFonts w:ascii="Calibri" w:hAnsi="Calibri"/>
        </w:rPr>
        <w:t xml:space="preserve">, &amp; M Cavanaugh (Eds.), </w:t>
      </w:r>
      <w:r w:rsidRPr="00F85122">
        <w:rPr>
          <w:rFonts w:ascii="Calibri" w:hAnsi="Calibri"/>
          <w:i/>
          <w:iCs/>
        </w:rPr>
        <w:t>Current Controversies on Family Violence</w:t>
      </w:r>
      <w:r w:rsidRPr="00F85122">
        <w:rPr>
          <w:rFonts w:ascii="Calibri" w:hAnsi="Calibri"/>
        </w:rPr>
        <w:t>, 285-298, Thousand Oaks: Sage.</w:t>
      </w:r>
      <w:proofErr w:type="gramEnd"/>
    </w:p>
    <w:p w14:paraId="43A7439E" w14:textId="77777777" w:rsidR="00F85122" w:rsidRPr="00F85122" w:rsidRDefault="00F85122" w:rsidP="00F85122">
      <w:pPr>
        <w:spacing w:after="60"/>
        <w:ind w:left="737" w:hanging="737"/>
        <w:rPr>
          <w:rFonts w:ascii="Calibri" w:hAnsi="Calibri"/>
        </w:rPr>
      </w:pPr>
      <w:proofErr w:type="spellStart"/>
      <w:proofErr w:type="gramStart"/>
      <w:r w:rsidRPr="00F85122">
        <w:rPr>
          <w:rFonts w:ascii="Calibri" w:hAnsi="Calibri"/>
        </w:rPr>
        <w:t>Birrell</w:t>
      </w:r>
      <w:proofErr w:type="spellEnd"/>
      <w:r w:rsidRPr="00F85122">
        <w:rPr>
          <w:rFonts w:ascii="Calibri" w:hAnsi="Calibri"/>
        </w:rPr>
        <w:t xml:space="preserve">, R, &amp; </w:t>
      </w:r>
      <w:proofErr w:type="spellStart"/>
      <w:r w:rsidRPr="00F85122">
        <w:rPr>
          <w:rFonts w:ascii="Calibri" w:hAnsi="Calibri"/>
        </w:rPr>
        <w:t>Birrell</w:t>
      </w:r>
      <w:proofErr w:type="spellEnd"/>
      <w:r w:rsidRPr="00F85122">
        <w:rPr>
          <w:rFonts w:ascii="Calibri" w:hAnsi="Calibri"/>
        </w:rPr>
        <w:t>, J. (1966).</w:t>
      </w:r>
      <w:proofErr w:type="gramEnd"/>
      <w:r w:rsidRPr="00F85122">
        <w:rPr>
          <w:rFonts w:ascii="Calibri" w:hAnsi="Calibri"/>
        </w:rPr>
        <w:t xml:space="preserve"> </w:t>
      </w:r>
      <w:proofErr w:type="gramStart"/>
      <w:r w:rsidRPr="00F85122">
        <w:rPr>
          <w:rFonts w:ascii="Calibri" w:hAnsi="Calibri"/>
        </w:rPr>
        <w:t>The ‘Maltreatment Syndrome; in Children.</w:t>
      </w:r>
      <w:proofErr w:type="gramEnd"/>
      <w:r w:rsidRPr="00F85122">
        <w:rPr>
          <w:rFonts w:ascii="Calibri" w:hAnsi="Calibri"/>
        </w:rPr>
        <w:t xml:space="preserve"> </w:t>
      </w:r>
      <w:proofErr w:type="gramStart"/>
      <w:r w:rsidRPr="00F85122">
        <w:rPr>
          <w:rFonts w:ascii="Calibri" w:hAnsi="Calibri"/>
          <w:i/>
        </w:rPr>
        <w:t>Medical Journal of Australia</w:t>
      </w:r>
      <w:r w:rsidRPr="00F85122">
        <w:rPr>
          <w:rFonts w:ascii="Calibri" w:hAnsi="Calibri"/>
        </w:rPr>
        <w:t xml:space="preserve">, </w:t>
      </w:r>
      <w:r w:rsidRPr="00F85122">
        <w:rPr>
          <w:rFonts w:ascii="Calibri" w:hAnsi="Calibri"/>
          <w:i/>
        </w:rPr>
        <w:t>2</w:t>
      </w:r>
      <w:r w:rsidRPr="00F85122">
        <w:rPr>
          <w:rFonts w:ascii="Calibri" w:hAnsi="Calibri"/>
        </w:rPr>
        <w:t>, 1184.</w:t>
      </w:r>
      <w:proofErr w:type="gramEnd"/>
    </w:p>
    <w:p w14:paraId="02D9EFA0"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Brown, R, &amp; </w:t>
      </w:r>
      <w:proofErr w:type="spellStart"/>
      <w:r w:rsidRPr="00F85122">
        <w:rPr>
          <w:rFonts w:ascii="Calibri" w:hAnsi="Calibri"/>
        </w:rPr>
        <w:t>Strozier</w:t>
      </w:r>
      <w:proofErr w:type="spellEnd"/>
      <w:r w:rsidRPr="00F85122">
        <w:rPr>
          <w:rFonts w:ascii="Calibri" w:hAnsi="Calibri"/>
        </w:rPr>
        <w:t>, M. (2004).</w:t>
      </w:r>
      <w:proofErr w:type="gramEnd"/>
      <w:r w:rsidRPr="00F85122">
        <w:rPr>
          <w:rFonts w:ascii="Calibri" w:hAnsi="Calibri"/>
        </w:rPr>
        <w:t xml:space="preserve"> </w:t>
      </w:r>
      <w:proofErr w:type="gramStart"/>
      <w:r w:rsidRPr="00F85122">
        <w:rPr>
          <w:rFonts w:ascii="Calibri" w:hAnsi="Calibri"/>
        </w:rPr>
        <w:t>Resisting abuse at what cost?</w:t>
      </w:r>
      <w:proofErr w:type="gramEnd"/>
      <w:r w:rsidRPr="00F85122">
        <w:rPr>
          <w:rFonts w:ascii="Calibri" w:hAnsi="Calibri"/>
        </w:rPr>
        <w:t xml:space="preserve"> </w:t>
      </w:r>
      <w:proofErr w:type="gramStart"/>
      <w:r w:rsidRPr="00F85122">
        <w:rPr>
          <w:rFonts w:ascii="Calibri" w:hAnsi="Calibri"/>
        </w:rPr>
        <w:t>The impact of mandated reporting laws on the process and content of therapy.</w:t>
      </w:r>
      <w:proofErr w:type="gramEnd"/>
      <w:r w:rsidRPr="00F85122">
        <w:rPr>
          <w:rFonts w:ascii="Calibri" w:hAnsi="Calibri"/>
        </w:rPr>
        <w:t xml:space="preserve"> </w:t>
      </w:r>
      <w:r w:rsidRPr="00F85122">
        <w:rPr>
          <w:rFonts w:ascii="Calibri" w:hAnsi="Calibri"/>
          <w:i/>
          <w:iCs/>
        </w:rPr>
        <w:t>Contemporary Family Therapy</w:t>
      </w:r>
      <w:r w:rsidRPr="00F85122">
        <w:rPr>
          <w:rFonts w:ascii="Calibri" w:hAnsi="Calibri"/>
        </w:rPr>
        <w:t xml:space="preserve">, </w:t>
      </w:r>
      <w:r w:rsidRPr="00F85122">
        <w:rPr>
          <w:rFonts w:ascii="Calibri" w:hAnsi="Calibri"/>
          <w:i/>
          <w:iCs/>
        </w:rPr>
        <w:t>26</w:t>
      </w:r>
      <w:r w:rsidRPr="00F85122">
        <w:rPr>
          <w:rFonts w:ascii="Calibri" w:hAnsi="Calibri"/>
        </w:rPr>
        <w:t>(1), 45-60.</w:t>
      </w:r>
    </w:p>
    <w:p w14:paraId="7DCA7DD3" w14:textId="77777777" w:rsidR="00F85122" w:rsidRPr="00F85122" w:rsidRDefault="00F85122" w:rsidP="00F85122">
      <w:pPr>
        <w:spacing w:after="60"/>
        <w:ind w:left="737" w:hanging="737"/>
        <w:rPr>
          <w:rFonts w:ascii="Calibri" w:hAnsi="Calibri"/>
        </w:rPr>
      </w:pPr>
      <w:proofErr w:type="spellStart"/>
      <w:proofErr w:type="gramStart"/>
      <w:r w:rsidRPr="00F85122">
        <w:rPr>
          <w:rFonts w:ascii="Calibri" w:hAnsi="Calibri"/>
        </w:rPr>
        <w:lastRenderedPageBreak/>
        <w:t>Carmody</w:t>
      </w:r>
      <w:proofErr w:type="spellEnd"/>
      <w:r w:rsidRPr="00F85122">
        <w:rPr>
          <w:rFonts w:ascii="Calibri" w:hAnsi="Calibri"/>
        </w:rPr>
        <w:t>, T. (2013).</w:t>
      </w:r>
      <w:proofErr w:type="gramEnd"/>
      <w:r w:rsidRPr="00F85122">
        <w:rPr>
          <w:rFonts w:ascii="Calibri" w:hAnsi="Calibri"/>
        </w:rPr>
        <w:t xml:space="preserve"> </w:t>
      </w:r>
      <w:proofErr w:type="gramStart"/>
      <w:r w:rsidRPr="00F85122">
        <w:rPr>
          <w:rFonts w:ascii="Calibri" w:hAnsi="Calibri"/>
        </w:rPr>
        <w:t>Taking Responsibility: A Roadmap for Queensland Child Protection.</w:t>
      </w:r>
      <w:proofErr w:type="gramEnd"/>
      <w:r w:rsidRPr="00F85122">
        <w:rPr>
          <w:rFonts w:ascii="Calibri" w:hAnsi="Calibri"/>
        </w:rPr>
        <w:t xml:space="preserve"> </w:t>
      </w:r>
      <w:proofErr w:type="gramStart"/>
      <w:r w:rsidRPr="00F85122">
        <w:rPr>
          <w:rFonts w:ascii="Calibri" w:hAnsi="Calibri"/>
        </w:rPr>
        <w:t>Queensland Child Protection Commission of Inquiry.</w:t>
      </w:r>
      <w:proofErr w:type="gramEnd"/>
    </w:p>
    <w:p w14:paraId="5C4A0A67"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Carney, T. (1989).</w:t>
      </w:r>
      <w:proofErr w:type="gramEnd"/>
      <w:r w:rsidRPr="00F85122">
        <w:rPr>
          <w:rFonts w:ascii="Calibri" w:hAnsi="Calibri"/>
        </w:rPr>
        <w:t xml:space="preserve"> A fresh approach to child protection practice </w:t>
      </w:r>
      <w:proofErr w:type="gramStart"/>
      <w:r w:rsidRPr="00F85122">
        <w:rPr>
          <w:rFonts w:ascii="Calibri" w:hAnsi="Calibri"/>
        </w:rPr>
        <w:t>and  legislation</w:t>
      </w:r>
      <w:proofErr w:type="gramEnd"/>
      <w:r w:rsidRPr="00F85122">
        <w:rPr>
          <w:rFonts w:ascii="Calibri" w:hAnsi="Calibri"/>
        </w:rPr>
        <w:t xml:space="preserve"> in Australia. </w:t>
      </w:r>
      <w:r w:rsidRPr="00F85122">
        <w:rPr>
          <w:rFonts w:ascii="Calibri" w:hAnsi="Calibri"/>
          <w:i/>
          <w:iCs/>
        </w:rPr>
        <w:t>Child Abuse &amp; Neglect</w:t>
      </w:r>
      <w:r w:rsidRPr="00F85122">
        <w:rPr>
          <w:rFonts w:ascii="Calibri" w:hAnsi="Calibri"/>
        </w:rPr>
        <w:t xml:space="preserve">, </w:t>
      </w:r>
      <w:r w:rsidRPr="00F85122">
        <w:rPr>
          <w:rFonts w:ascii="Calibri" w:hAnsi="Calibri"/>
          <w:i/>
          <w:iCs/>
        </w:rPr>
        <w:t>13</w:t>
      </w:r>
      <w:r w:rsidRPr="00F85122">
        <w:rPr>
          <w:rFonts w:ascii="Calibri" w:hAnsi="Calibri"/>
        </w:rPr>
        <w:t>(1), 29-39.</w:t>
      </w:r>
    </w:p>
    <w:p w14:paraId="1F7E00D7"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Colclough</w:t>
      </w:r>
      <w:proofErr w:type="spellEnd"/>
      <w:r w:rsidRPr="00F85122">
        <w:rPr>
          <w:rFonts w:ascii="Calibri" w:hAnsi="Calibri"/>
        </w:rPr>
        <w:t xml:space="preserve">, I. (1972). </w:t>
      </w:r>
      <w:proofErr w:type="gramStart"/>
      <w:r w:rsidRPr="00F85122">
        <w:rPr>
          <w:rFonts w:ascii="Calibri" w:hAnsi="Calibri"/>
        </w:rPr>
        <w:t>Victorian Government’s Report on Child Abuse: A Reinvestigation.</w:t>
      </w:r>
      <w:proofErr w:type="gramEnd"/>
      <w:r w:rsidRPr="00F85122">
        <w:rPr>
          <w:rFonts w:ascii="Calibri" w:hAnsi="Calibri"/>
        </w:rPr>
        <w:t xml:space="preserve"> </w:t>
      </w:r>
      <w:r w:rsidRPr="00F85122">
        <w:rPr>
          <w:rFonts w:ascii="Calibri" w:hAnsi="Calibri"/>
          <w:i/>
        </w:rPr>
        <w:t>Medical Journal of Australia</w:t>
      </w:r>
      <w:r w:rsidRPr="00F85122">
        <w:rPr>
          <w:rFonts w:ascii="Calibri" w:hAnsi="Calibri"/>
        </w:rPr>
        <w:t xml:space="preserve">, </w:t>
      </w:r>
      <w:r w:rsidRPr="00F85122">
        <w:rPr>
          <w:rFonts w:ascii="Calibri" w:hAnsi="Calibri"/>
          <w:i/>
        </w:rPr>
        <w:t>2</w:t>
      </w:r>
      <w:r w:rsidRPr="00F85122">
        <w:rPr>
          <w:rFonts w:ascii="Calibri" w:hAnsi="Calibri"/>
        </w:rPr>
        <w:t>, 1491-1497.</w:t>
      </w:r>
    </w:p>
    <w:p w14:paraId="3FF2EF67"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Cross</w:t>
      </w:r>
      <w:proofErr w:type="gramEnd"/>
      <w:r w:rsidRPr="00F85122">
        <w:rPr>
          <w:rFonts w:ascii="Calibri" w:hAnsi="Calibri"/>
        </w:rPr>
        <w:t xml:space="preserve">, T, </w:t>
      </w:r>
      <w:r w:rsidRPr="00F85122">
        <w:rPr>
          <w:rFonts w:ascii="Calibri" w:hAnsi="Calibri"/>
          <w:bCs/>
        </w:rPr>
        <w:t>Mathews</w:t>
      </w:r>
      <w:r w:rsidRPr="00F85122">
        <w:rPr>
          <w:rFonts w:ascii="Calibri" w:hAnsi="Calibri"/>
        </w:rPr>
        <w:t xml:space="preserve">, B, </w:t>
      </w:r>
      <w:proofErr w:type="spellStart"/>
      <w:r w:rsidRPr="00F85122">
        <w:rPr>
          <w:rFonts w:ascii="Calibri" w:hAnsi="Calibri"/>
        </w:rPr>
        <w:t>Tonmyr</w:t>
      </w:r>
      <w:proofErr w:type="spellEnd"/>
      <w:r w:rsidRPr="00F85122">
        <w:rPr>
          <w:rFonts w:ascii="Calibri" w:hAnsi="Calibri"/>
        </w:rPr>
        <w:t xml:space="preserve">, L, Scott, D, &amp; </w:t>
      </w:r>
      <w:proofErr w:type="spellStart"/>
      <w:r w:rsidRPr="00F85122">
        <w:rPr>
          <w:rFonts w:ascii="Calibri" w:hAnsi="Calibri"/>
        </w:rPr>
        <w:t>Ouimet</w:t>
      </w:r>
      <w:proofErr w:type="spellEnd"/>
      <w:r w:rsidRPr="00F85122">
        <w:rPr>
          <w:rFonts w:ascii="Calibri" w:hAnsi="Calibri"/>
        </w:rPr>
        <w:t xml:space="preserve">, C. (2012) Child Welfare Policy and Practice on Children’s Exposure to Domestic Violence. </w:t>
      </w:r>
      <w:r w:rsidRPr="00F85122">
        <w:rPr>
          <w:rFonts w:ascii="Calibri" w:hAnsi="Calibri"/>
          <w:i/>
          <w:iCs/>
        </w:rPr>
        <w:t>Child Abuse &amp; Neglect</w:t>
      </w:r>
      <w:r w:rsidRPr="00F85122">
        <w:rPr>
          <w:rFonts w:ascii="Calibri" w:hAnsi="Calibri"/>
          <w:iCs/>
        </w:rPr>
        <w:t xml:space="preserve">, </w:t>
      </w:r>
      <w:r w:rsidRPr="00F85122">
        <w:rPr>
          <w:rFonts w:ascii="Calibri" w:hAnsi="Calibri"/>
          <w:i/>
          <w:iCs/>
        </w:rPr>
        <w:t>36</w:t>
      </w:r>
      <w:r w:rsidRPr="00F85122">
        <w:rPr>
          <w:rFonts w:ascii="Calibri" w:hAnsi="Calibri"/>
          <w:iCs/>
        </w:rPr>
        <w:t>,</w:t>
      </w:r>
      <w:r w:rsidRPr="00F85122">
        <w:rPr>
          <w:rFonts w:ascii="Calibri" w:hAnsi="Calibri"/>
          <w:i/>
          <w:iCs/>
        </w:rPr>
        <w:t xml:space="preserve"> </w:t>
      </w:r>
      <w:r w:rsidRPr="00F85122">
        <w:rPr>
          <w:rFonts w:ascii="Calibri" w:hAnsi="Calibri"/>
        </w:rPr>
        <w:t xml:space="preserve">210-216. </w:t>
      </w:r>
    </w:p>
    <w:p w14:paraId="65D71E34" w14:textId="77777777" w:rsidR="00F85122" w:rsidRPr="00F85122" w:rsidRDefault="00F85122" w:rsidP="00F85122">
      <w:pPr>
        <w:spacing w:after="60"/>
        <w:ind w:left="737" w:hanging="737"/>
        <w:rPr>
          <w:rFonts w:ascii="Calibri" w:hAnsi="Calibri"/>
        </w:rPr>
      </w:pPr>
      <w:r w:rsidRPr="00F85122">
        <w:rPr>
          <w:rFonts w:ascii="Calibri" w:hAnsi="Calibri"/>
        </w:rPr>
        <w:t xml:space="preserve">Cummins, P, Scott, D, &amp; Scales, B, </w:t>
      </w:r>
      <w:r w:rsidRPr="00F85122">
        <w:rPr>
          <w:rFonts w:ascii="Calibri" w:hAnsi="Calibri"/>
          <w:i/>
        </w:rPr>
        <w:t>Report of the Protecting Victoria’s Vulnerable Children Inquiry</w:t>
      </w:r>
      <w:r w:rsidRPr="00F85122">
        <w:rPr>
          <w:rFonts w:ascii="Calibri" w:hAnsi="Calibri"/>
        </w:rPr>
        <w:t>, State Government of Victoria, Department of Premier and Cabinet, 2012.</w:t>
      </w:r>
    </w:p>
    <w:p w14:paraId="08AE9E4A" w14:textId="77777777" w:rsidR="00F85122" w:rsidRPr="00F85122" w:rsidRDefault="00F85122" w:rsidP="00F85122">
      <w:pPr>
        <w:spacing w:after="60"/>
        <w:ind w:left="737" w:hanging="737"/>
        <w:rPr>
          <w:rFonts w:ascii="Calibri" w:hAnsi="Calibri"/>
        </w:rPr>
      </w:pPr>
      <w:proofErr w:type="spellStart"/>
      <w:proofErr w:type="gramStart"/>
      <w:r w:rsidRPr="00F85122">
        <w:rPr>
          <w:rFonts w:ascii="Calibri" w:hAnsi="Calibri"/>
        </w:rPr>
        <w:t>Dalziel</w:t>
      </w:r>
      <w:proofErr w:type="spellEnd"/>
      <w:r w:rsidRPr="00F85122">
        <w:rPr>
          <w:rFonts w:ascii="Calibri" w:hAnsi="Calibri"/>
        </w:rPr>
        <w:t xml:space="preserve">, K, &amp; </w:t>
      </w:r>
      <w:proofErr w:type="spellStart"/>
      <w:r w:rsidRPr="00F85122">
        <w:rPr>
          <w:rFonts w:ascii="Calibri" w:hAnsi="Calibri"/>
        </w:rPr>
        <w:t>Siegal</w:t>
      </w:r>
      <w:proofErr w:type="spellEnd"/>
      <w:r w:rsidRPr="00F85122">
        <w:rPr>
          <w:rFonts w:ascii="Calibri" w:hAnsi="Calibri"/>
        </w:rPr>
        <w:t>, L. (2007).</w:t>
      </w:r>
      <w:proofErr w:type="gramEnd"/>
      <w:r w:rsidRPr="00F85122">
        <w:rPr>
          <w:rFonts w:ascii="Calibri" w:hAnsi="Calibri"/>
        </w:rPr>
        <w:t xml:space="preserve"> </w:t>
      </w:r>
      <w:proofErr w:type="gramStart"/>
      <w:r w:rsidRPr="00F85122">
        <w:rPr>
          <w:rFonts w:ascii="Calibri" w:hAnsi="Calibri"/>
        </w:rPr>
        <w:t>Analysis and interpretation of child protection data: a comment on Ainsworth and Hansen.</w:t>
      </w:r>
      <w:proofErr w:type="gramEnd"/>
      <w:r w:rsidRPr="00F85122">
        <w:rPr>
          <w:rFonts w:ascii="Calibri" w:hAnsi="Calibri"/>
        </w:rPr>
        <w:t xml:space="preserve"> </w:t>
      </w:r>
      <w:r w:rsidRPr="00F85122">
        <w:rPr>
          <w:rFonts w:ascii="Calibri" w:hAnsi="Calibri"/>
          <w:i/>
        </w:rPr>
        <w:t>Child and Family Social Work</w:t>
      </w:r>
      <w:r w:rsidRPr="00F85122">
        <w:rPr>
          <w:rFonts w:ascii="Calibri" w:hAnsi="Calibri"/>
        </w:rPr>
        <w:t xml:space="preserve">, </w:t>
      </w:r>
      <w:r w:rsidRPr="00F85122">
        <w:rPr>
          <w:rFonts w:ascii="Calibri" w:hAnsi="Calibri"/>
          <w:i/>
        </w:rPr>
        <w:t>12</w:t>
      </w:r>
      <w:r w:rsidRPr="00F85122">
        <w:rPr>
          <w:rFonts w:ascii="Calibri" w:hAnsi="Calibri"/>
        </w:rPr>
        <w:t>, 434-435.</w:t>
      </w:r>
    </w:p>
    <w:p w14:paraId="2DFB37DA" w14:textId="77777777" w:rsidR="00F85122" w:rsidRPr="00F85122" w:rsidRDefault="00F85122" w:rsidP="00F85122">
      <w:pPr>
        <w:spacing w:after="60"/>
        <w:ind w:left="737" w:hanging="737"/>
        <w:rPr>
          <w:rFonts w:ascii="Calibri" w:hAnsi="Calibri"/>
        </w:rPr>
      </w:pPr>
      <w:r w:rsidRPr="00F85122">
        <w:rPr>
          <w:rFonts w:ascii="Calibri" w:hAnsi="Calibri"/>
        </w:rPr>
        <w:t xml:space="preserve">Davies, P. (2010). </w:t>
      </w:r>
      <w:proofErr w:type="gramStart"/>
      <w:r w:rsidRPr="00F85122">
        <w:rPr>
          <w:rFonts w:ascii="Calibri" w:hAnsi="Calibri"/>
        </w:rPr>
        <w:t>The impact of a child protection investigation: a personal reflective account.</w:t>
      </w:r>
      <w:proofErr w:type="gramEnd"/>
      <w:r w:rsidRPr="00F85122">
        <w:rPr>
          <w:rFonts w:ascii="Calibri" w:hAnsi="Calibri"/>
        </w:rPr>
        <w:t xml:space="preserve"> </w:t>
      </w:r>
      <w:r w:rsidRPr="00F85122">
        <w:rPr>
          <w:rFonts w:ascii="Calibri" w:hAnsi="Calibri"/>
          <w:i/>
          <w:iCs/>
        </w:rPr>
        <w:t>Child &amp; Family Social Work</w:t>
      </w:r>
      <w:r w:rsidRPr="00F85122">
        <w:rPr>
          <w:rFonts w:ascii="Calibri" w:hAnsi="Calibri"/>
        </w:rPr>
        <w:t xml:space="preserve">, </w:t>
      </w:r>
      <w:r w:rsidRPr="00F85122">
        <w:rPr>
          <w:rFonts w:ascii="Calibri" w:hAnsi="Calibri"/>
          <w:i/>
          <w:iCs/>
        </w:rPr>
        <w:t>16</w:t>
      </w:r>
      <w:r w:rsidRPr="00F85122">
        <w:rPr>
          <w:rFonts w:ascii="Calibri" w:hAnsi="Calibri"/>
        </w:rPr>
        <w:t>(2), 201-209.</w:t>
      </w:r>
    </w:p>
    <w:p w14:paraId="199A7E2A"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Drake, B, &amp; Jonson-Reid, M. (2007).</w:t>
      </w:r>
      <w:proofErr w:type="gramEnd"/>
      <w:r w:rsidRPr="00F85122">
        <w:rPr>
          <w:rFonts w:ascii="Calibri" w:hAnsi="Calibri"/>
        </w:rPr>
        <w:t xml:space="preserve"> A response to Melton based on the best available data. </w:t>
      </w:r>
      <w:r w:rsidRPr="00F85122">
        <w:rPr>
          <w:rFonts w:ascii="Calibri" w:hAnsi="Calibri"/>
          <w:i/>
          <w:iCs/>
        </w:rPr>
        <w:t>Child Abuse &amp; Neglect</w:t>
      </w:r>
      <w:r w:rsidRPr="00F85122">
        <w:rPr>
          <w:rFonts w:ascii="Calibri" w:hAnsi="Calibri"/>
          <w:iCs/>
        </w:rPr>
        <w:t>,</w:t>
      </w:r>
      <w:r w:rsidRPr="00F85122">
        <w:rPr>
          <w:rFonts w:ascii="Calibri" w:hAnsi="Calibri"/>
        </w:rPr>
        <w:t> </w:t>
      </w:r>
      <w:r w:rsidRPr="00F85122">
        <w:rPr>
          <w:rFonts w:ascii="Calibri" w:hAnsi="Calibri"/>
          <w:i/>
          <w:iCs/>
        </w:rPr>
        <w:t>31</w:t>
      </w:r>
      <w:r w:rsidRPr="00F85122">
        <w:rPr>
          <w:rFonts w:ascii="Calibri" w:hAnsi="Calibri"/>
        </w:rPr>
        <w:t>(4), 343-360.</w:t>
      </w:r>
    </w:p>
    <w:p w14:paraId="56E6CE2C" w14:textId="77777777" w:rsidR="00F85122" w:rsidRPr="00F85122" w:rsidRDefault="00F85122" w:rsidP="00F85122">
      <w:pPr>
        <w:spacing w:after="60"/>
        <w:ind w:left="737" w:hanging="737"/>
        <w:rPr>
          <w:rFonts w:ascii="Calibri" w:hAnsi="Calibri"/>
        </w:rPr>
      </w:pPr>
      <w:r w:rsidRPr="00F85122">
        <w:rPr>
          <w:rFonts w:ascii="Calibri" w:hAnsi="Calibri"/>
        </w:rPr>
        <w:t xml:space="preserve">Drake, B. (1996). </w:t>
      </w:r>
      <w:proofErr w:type="spellStart"/>
      <w:proofErr w:type="gramStart"/>
      <w:r w:rsidRPr="00F85122">
        <w:rPr>
          <w:rFonts w:ascii="Calibri" w:hAnsi="Calibri"/>
        </w:rPr>
        <w:t>Unraveling</w:t>
      </w:r>
      <w:proofErr w:type="spellEnd"/>
      <w:r w:rsidRPr="00F85122">
        <w:rPr>
          <w:rFonts w:ascii="Calibri" w:hAnsi="Calibri"/>
        </w:rPr>
        <w:t xml:space="preserve"> “unsubstantiated”.</w:t>
      </w:r>
      <w:proofErr w:type="gramEnd"/>
      <w:r w:rsidRPr="00F85122">
        <w:rPr>
          <w:rFonts w:ascii="Calibri" w:hAnsi="Calibri"/>
        </w:rPr>
        <w:t xml:space="preserve"> </w:t>
      </w:r>
      <w:r w:rsidRPr="00F85122">
        <w:rPr>
          <w:rFonts w:ascii="Calibri" w:hAnsi="Calibri"/>
          <w:i/>
        </w:rPr>
        <w:t>Child Maltreatment</w:t>
      </w:r>
      <w:r w:rsidRPr="00F85122">
        <w:rPr>
          <w:rFonts w:ascii="Calibri" w:hAnsi="Calibri"/>
        </w:rPr>
        <w:t xml:space="preserve">, </w:t>
      </w:r>
      <w:r w:rsidRPr="00F85122">
        <w:rPr>
          <w:rFonts w:ascii="Calibri" w:hAnsi="Calibri"/>
          <w:i/>
        </w:rPr>
        <w:t>1</w:t>
      </w:r>
      <w:r w:rsidRPr="00F85122">
        <w:rPr>
          <w:rFonts w:ascii="Calibri" w:hAnsi="Calibri"/>
        </w:rPr>
        <w:t>, 261-271.</w:t>
      </w:r>
    </w:p>
    <w:p w14:paraId="6F8061AC"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Dumbrill</w:t>
      </w:r>
      <w:proofErr w:type="spellEnd"/>
      <w:r w:rsidRPr="00F85122">
        <w:rPr>
          <w:rFonts w:ascii="Calibri" w:hAnsi="Calibri"/>
        </w:rPr>
        <w:t xml:space="preserve">, G. (2006). </w:t>
      </w:r>
      <w:proofErr w:type="gramStart"/>
      <w:r w:rsidRPr="00F85122">
        <w:rPr>
          <w:rFonts w:ascii="Calibri" w:hAnsi="Calibri"/>
        </w:rPr>
        <w:t>Parental experience of child protection intervention: A qualitative study.</w:t>
      </w:r>
      <w:proofErr w:type="gramEnd"/>
      <w:r w:rsidRPr="00F85122">
        <w:rPr>
          <w:rFonts w:ascii="Calibri" w:hAnsi="Calibri"/>
        </w:rPr>
        <w:t xml:space="preserve"> </w:t>
      </w:r>
      <w:r w:rsidRPr="00F85122">
        <w:rPr>
          <w:rFonts w:ascii="Calibri" w:hAnsi="Calibri"/>
          <w:i/>
          <w:iCs/>
        </w:rPr>
        <w:t>Child Abuse &amp; Neglect</w:t>
      </w:r>
      <w:r w:rsidRPr="00F85122">
        <w:rPr>
          <w:rFonts w:ascii="Calibri" w:hAnsi="Calibri"/>
        </w:rPr>
        <w:t xml:space="preserve">, </w:t>
      </w:r>
      <w:r w:rsidRPr="00F85122">
        <w:rPr>
          <w:rFonts w:ascii="Calibri" w:hAnsi="Calibri"/>
          <w:i/>
          <w:iCs/>
        </w:rPr>
        <w:t>30</w:t>
      </w:r>
      <w:r w:rsidRPr="00F85122">
        <w:rPr>
          <w:rFonts w:ascii="Calibri" w:hAnsi="Calibri"/>
        </w:rPr>
        <w:t>(1), 27-37.</w:t>
      </w:r>
    </w:p>
    <w:p w14:paraId="2B2FEEB5" w14:textId="77777777" w:rsidR="00F85122" w:rsidRPr="00F85122" w:rsidRDefault="00F85122" w:rsidP="00F85122">
      <w:pPr>
        <w:spacing w:after="60"/>
        <w:ind w:left="737" w:hanging="737"/>
        <w:rPr>
          <w:rFonts w:ascii="Calibri" w:hAnsi="Calibri"/>
          <w:i/>
        </w:rPr>
      </w:pPr>
      <w:proofErr w:type="gramStart"/>
      <w:r w:rsidRPr="00F85122">
        <w:rPr>
          <w:rFonts w:ascii="Calibri" w:hAnsi="Calibri"/>
        </w:rPr>
        <w:t xml:space="preserve">English, D, Brummel, S, Graham, J, Clark, T, &amp; </w:t>
      </w:r>
      <w:proofErr w:type="spellStart"/>
      <w:r w:rsidRPr="00F85122">
        <w:rPr>
          <w:rFonts w:ascii="Calibri" w:hAnsi="Calibri"/>
        </w:rPr>
        <w:t>Coghlan</w:t>
      </w:r>
      <w:proofErr w:type="spellEnd"/>
      <w:r w:rsidRPr="00F85122">
        <w:rPr>
          <w:rFonts w:ascii="Calibri" w:hAnsi="Calibri"/>
        </w:rPr>
        <w:t>, J. (2002) Factors that influence the decision not to substantiate a CPS referral III: Client perceptions of investigation.</w:t>
      </w:r>
      <w:proofErr w:type="gramEnd"/>
      <w:r w:rsidRPr="00F85122">
        <w:rPr>
          <w:rFonts w:ascii="Calibri" w:hAnsi="Calibri"/>
        </w:rPr>
        <w:t xml:space="preserve"> </w:t>
      </w:r>
      <w:proofErr w:type="gramStart"/>
      <w:r w:rsidRPr="00F85122">
        <w:rPr>
          <w:rFonts w:ascii="Calibri" w:hAnsi="Calibri"/>
          <w:i/>
        </w:rPr>
        <w:t>Department of Health Social Services, Office of Children’s Administration Research.</w:t>
      </w:r>
      <w:proofErr w:type="gramEnd"/>
    </w:p>
    <w:p w14:paraId="68E56CE5"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Feng, J, Chen, Y, </w:t>
      </w:r>
      <w:proofErr w:type="spellStart"/>
      <w:r w:rsidRPr="00F85122">
        <w:rPr>
          <w:rFonts w:ascii="Calibri" w:hAnsi="Calibri"/>
        </w:rPr>
        <w:t>Fetzer</w:t>
      </w:r>
      <w:proofErr w:type="spellEnd"/>
      <w:r w:rsidRPr="00F85122">
        <w:rPr>
          <w:rFonts w:ascii="Calibri" w:hAnsi="Calibri"/>
        </w:rPr>
        <w:t>, S, Feng, M, &amp; Lin, C. (2012).</w:t>
      </w:r>
      <w:proofErr w:type="gramEnd"/>
      <w:r w:rsidRPr="00F85122">
        <w:rPr>
          <w:rFonts w:ascii="Calibri" w:hAnsi="Calibri"/>
        </w:rPr>
        <w:t xml:space="preserve"> Ethical and legal challenges of mandated child abuse reporters. </w:t>
      </w:r>
      <w:r w:rsidRPr="00F85122">
        <w:rPr>
          <w:rFonts w:ascii="Calibri" w:hAnsi="Calibri"/>
          <w:i/>
          <w:iCs/>
        </w:rPr>
        <w:t>Children and Youth Services Review</w:t>
      </w:r>
      <w:r w:rsidRPr="00F85122">
        <w:rPr>
          <w:rFonts w:ascii="Calibri" w:hAnsi="Calibri"/>
          <w:iCs/>
        </w:rPr>
        <w:t>,</w:t>
      </w:r>
      <w:r w:rsidRPr="00F85122">
        <w:rPr>
          <w:rFonts w:ascii="Calibri" w:hAnsi="Calibri"/>
        </w:rPr>
        <w:t xml:space="preserve"> </w:t>
      </w:r>
      <w:r w:rsidRPr="00F85122">
        <w:rPr>
          <w:rFonts w:ascii="Calibri" w:hAnsi="Calibri"/>
          <w:i/>
          <w:iCs/>
        </w:rPr>
        <w:t>34</w:t>
      </w:r>
      <w:r w:rsidRPr="00F85122">
        <w:rPr>
          <w:rFonts w:ascii="Calibri" w:hAnsi="Calibri"/>
        </w:rPr>
        <w:t>(1), 276-280.</w:t>
      </w:r>
    </w:p>
    <w:p w14:paraId="448F708C" w14:textId="77777777" w:rsidR="00F85122" w:rsidRPr="00F85122" w:rsidRDefault="00F85122" w:rsidP="00F85122">
      <w:pPr>
        <w:spacing w:after="60"/>
        <w:ind w:left="737" w:hanging="737"/>
        <w:rPr>
          <w:rFonts w:ascii="Calibri" w:hAnsi="Calibri"/>
        </w:rPr>
      </w:pPr>
      <w:proofErr w:type="spellStart"/>
      <w:proofErr w:type="gramStart"/>
      <w:r w:rsidRPr="00F85122">
        <w:rPr>
          <w:rFonts w:ascii="Calibri" w:hAnsi="Calibri"/>
        </w:rPr>
        <w:t>Finkelhor</w:t>
      </w:r>
      <w:proofErr w:type="spellEnd"/>
      <w:r w:rsidRPr="00F85122">
        <w:rPr>
          <w:rFonts w:ascii="Calibri" w:hAnsi="Calibri"/>
        </w:rPr>
        <w:t xml:space="preserve">, D, &amp; </w:t>
      </w:r>
      <w:proofErr w:type="spellStart"/>
      <w:r w:rsidRPr="00F85122">
        <w:rPr>
          <w:rFonts w:ascii="Calibri" w:hAnsi="Calibri"/>
        </w:rPr>
        <w:t>Zellman</w:t>
      </w:r>
      <w:proofErr w:type="spellEnd"/>
      <w:r w:rsidRPr="00F85122">
        <w:rPr>
          <w:rFonts w:ascii="Calibri" w:hAnsi="Calibri"/>
        </w:rPr>
        <w:t>, G. (1991).</w:t>
      </w:r>
      <w:proofErr w:type="gramEnd"/>
      <w:r w:rsidRPr="00F85122">
        <w:rPr>
          <w:rFonts w:ascii="Calibri" w:hAnsi="Calibri"/>
        </w:rPr>
        <w:t xml:space="preserve"> Flexible reporting options for skilled child abuse professionals. </w:t>
      </w:r>
      <w:r w:rsidRPr="00F85122">
        <w:rPr>
          <w:rFonts w:ascii="Calibri" w:hAnsi="Calibri"/>
          <w:i/>
          <w:iCs/>
        </w:rPr>
        <w:t>Child Abuse &amp; Neglect</w:t>
      </w:r>
      <w:r w:rsidRPr="00F85122">
        <w:rPr>
          <w:rFonts w:ascii="Calibri" w:hAnsi="Calibri"/>
        </w:rPr>
        <w:t xml:space="preserve">, </w:t>
      </w:r>
      <w:r w:rsidRPr="00F85122">
        <w:rPr>
          <w:rFonts w:ascii="Calibri" w:hAnsi="Calibri"/>
          <w:i/>
          <w:iCs/>
        </w:rPr>
        <w:t>15</w:t>
      </w:r>
      <w:r w:rsidRPr="00F85122">
        <w:rPr>
          <w:rFonts w:ascii="Calibri" w:hAnsi="Calibri"/>
        </w:rPr>
        <w:t>(4), 335-341.</w:t>
      </w:r>
    </w:p>
    <w:p w14:paraId="4DDD7F27"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Finkelhor</w:t>
      </w:r>
      <w:proofErr w:type="spellEnd"/>
      <w:r w:rsidRPr="00F85122">
        <w:rPr>
          <w:rFonts w:ascii="Calibri" w:hAnsi="Calibri"/>
        </w:rPr>
        <w:t xml:space="preserve">, D. (1990). </w:t>
      </w:r>
      <w:proofErr w:type="gramStart"/>
      <w:r w:rsidRPr="00F85122">
        <w:rPr>
          <w:rFonts w:ascii="Calibri" w:hAnsi="Calibri"/>
        </w:rPr>
        <w:t xml:space="preserve">Is child abuse </w:t>
      </w:r>
      <w:proofErr w:type="spellStart"/>
      <w:r w:rsidRPr="00F85122">
        <w:rPr>
          <w:rFonts w:ascii="Calibri" w:hAnsi="Calibri"/>
        </w:rPr>
        <w:t>overreported</w:t>
      </w:r>
      <w:proofErr w:type="spellEnd"/>
      <w:proofErr w:type="gramEnd"/>
      <w:r w:rsidRPr="00F85122">
        <w:rPr>
          <w:rFonts w:ascii="Calibri" w:hAnsi="Calibri"/>
        </w:rPr>
        <w:t xml:space="preserve">? The data rebut arguments for less intervention. </w:t>
      </w:r>
      <w:r w:rsidRPr="00F85122">
        <w:rPr>
          <w:rFonts w:ascii="Calibri" w:hAnsi="Calibri"/>
          <w:i/>
          <w:iCs/>
        </w:rPr>
        <w:t>Public Welfare</w:t>
      </w:r>
      <w:proofErr w:type="gramStart"/>
      <w:r w:rsidRPr="00F85122">
        <w:rPr>
          <w:rFonts w:ascii="Calibri" w:hAnsi="Calibri"/>
        </w:rPr>
        <w:t>,</w:t>
      </w:r>
      <w:r w:rsidRPr="00F85122">
        <w:rPr>
          <w:rFonts w:ascii="Calibri" w:hAnsi="Calibri"/>
          <w:i/>
          <w:iCs/>
        </w:rPr>
        <w:t>48</w:t>
      </w:r>
      <w:proofErr w:type="gramEnd"/>
      <w:r w:rsidRPr="00F85122">
        <w:rPr>
          <w:rFonts w:ascii="Calibri" w:hAnsi="Calibri"/>
        </w:rPr>
        <w:t>(1), 22-29.</w:t>
      </w:r>
    </w:p>
    <w:p w14:paraId="4563E245"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Finkelhor</w:t>
      </w:r>
      <w:proofErr w:type="spellEnd"/>
      <w:r w:rsidRPr="00F85122">
        <w:rPr>
          <w:rFonts w:ascii="Calibri" w:hAnsi="Calibri"/>
        </w:rPr>
        <w:t xml:space="preserve">, D. (2005). The main problem is underreporting child abuse and neglect’. In D </w:t>
      </w:r>
      <w:proofErr w:type="spellStart"/>
      <w:r w:rsidRPr="00F85122">
        <w:rPr>
          <w:rFonts w:ascii="Calibri" w:hAnsi="Calibri"/>
        </w:rPr>
        <w:t>Loseke</w:t>
      </w:r>
      <w:proofErr w:type="spellEnd"/>
      <w:r w:rsidRPr="00F85122">
        <w:rPr>
          <w:rFonts w:ascii="Calibri" w:hAnsi="Calibri"/>
        </w:rPr>
        <w:t xml:space="preserve">, R </w:t>
      </w:r>
      <w:proofErr w:type="spellStart"/>
      <w:r w:rsidRPr="00F85122">
        <w:rPr>
          <w:rFonts w:ascii="Calibri" w:hAnsi="Calibri"/>
        </w:rPr>
        <w:t>Gelles</w:t>
      </w:r>
      <w:proofErr w:type="spellEnd"/>
      <w:r w:rsidRPr="00F85122">
        <w:rPr>
          <w:rFonts w:ascii="Calibri" w:hAnsi="Calibri"/>
        </w:rPr>
        <w:t xml:space="preserve">, &amp; M Cavanaugh (Eds.), </w:t>
      </w:r>
      <w:r w:rsidRPr="00F85122">
        <w:rPr>
          <w:rFonts w:ascii="Calibri" w:hAnsi="Calibri"/>
          <w:i/>
          <w:iCs/>
        </w:rPr>
        <w:t>Current controversies on family violence</w:t>
      </w:r>
      <w:r w:rsidRPr="00F85122">
        <w:rPr>
          <w:rFonts w:ascii="Calibri" w:hAnsi="Calibri"/>
          <w:iCs/>
        </w:rPr>
        <w:t xml:space="preserve">, </w:t>
      </w:r>
      <w:r w:rsidRPr="00F85122">
        <w:rPr>
          <w:rFonts w:ascii="Calibri" w:hAnsi="Calibri"/>
        </w:rPr>
        <w:t>299-310, Thousand Oaks: Sage.</w:t>
      </w:r>
    </w:p>
    <w:p w14:paraId="23EC4882"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lastRenderedPageBreak/>
        <w:t xml:space="preserve">Finlayson, L, &amp; </w:t>
      </w:r>
      <w:proofErr w:type="spellStart"/>
      <w:r w:rsidRPr="00F85122">
        <w:rPr>
          <w:rFonts w:ascii="Calibri" w:hAnsi="Calibri"/>
        </w:rPr>
        <w:t>Koocher</w:t>
      </w:r>
      <w:proofErr w:type="spellEnd"/>
      <w:r w:rsidRPr="00F85122">
        <w:rPr>
          <w:rFonts w:ascii="Calibri" w:hAnsi="Calibri"/>
        </w:rPr>
        <w:t>, G. (1991).</w:t>
      </w:r>
      <w:proofErr w:type="gramEnd"/>
      <w:r w:rsidRPr="00F85122">
        <w:rPr>
          <w:rFonts w:ascii="Calibri" w:hAnsi="Calibri"/>
        </w:rPr>
        <w:t xml:space="preserve"> Professional judgment and child abuse reporting in sexual abuse cases. </w:t>
      </w:r>
      <w:r w:rsidRPr="00F85122">
        <w:rPr>
          <w:rFonts w:ascii="Calibri" w:hAnsi="Calibri"/>
          <w:i/>
        </w:rPr>
        <w:t>Professional Psychology: Research and Practice</w:t>
      </w:r>
      <w:r w:rsidRPr="00F85122">
        <w:rPr>
          <w:rFonts w:ascii="Calibri" w:hAnsi="Calibri"/>
        </w:rPr>
        <w:t xml:space="preserve">, </w:t>
      </w:r>
      <w:r w:rsidRPr="00F85122">
        <w:rPr>
          <w:rFonts w:ascii="Calibri" w:hAnsi="Calibri"/>
          <w:i/>
        </w:rPr>
        <w:t>22</w:t>
      </w:r>
      <w:r w:rsidRPr="00F85122">
        <w:rPr>
          <w:rFonts w:ascii="Calibri" w:hAnsi="Calibri"/>
        </w:rPr>
        <w:t>, 464-472.</w:t>
      </w:r>
    </w:p>
    <w:p w14:paraId="3AA67C18" w14:textId="77777777" w:rsidR="00F85122" w:rsidRPr="00F85122" w:rsidRDefault="00F85122" w:rsidP="00F85122">
      <w:pPr>
        <w:spacing w:after="60"/>
        <w:ind w:left="737" w:hanging="737"/>
        <w:rPr>
          <w:rFonts w:ascii="Calibri" w:hAnsi="Calibri"/>
        </w:rPr>
      </w:pPr>
      <w:r w:rsidRPr="00F85122">
        <w:rPr>
          <w:rFonts w:ascii="Calibri" w:hAnsi="Calibri"/>
        </w:rPr>
        <w:t xml:space="preserve">Fraser, B. (1978). </w:t>
      </w:r>
      <w:proofErr w:type="gramStart"/>
      <w:r w:rsidRPr="00F85122">
        <w:rPr>
          <w:rFonts w:ascii="Calibri" w:hAnsi="Calibri"/>
          <w:iCs/>
        </w:rPr>
        <w:t>A Glance at the Past, a Gaze at the Present, a Glimpse at the Future: A Critical Analysis of the Development of Child Abuse Reporting Statutes.</w:t>
      </w:r>
      <w:proofErr w:type="gramEnd"/>
      <w:r w:rsidRPr="00F85122">
        <w:rPr>
          <w:rFonts w:ascii="Calibri" w:hAnsi="Calibri"/>
        </w:rPr>
        <w:t xml:space="preserve"> </w:t>
      </w:r>
      <w:r w:rsidRPr="00F85122">
        <w:rPr>
          <w:rFonts w:ascii="Calibri" w:hAnsi="Calibri"/>
          <w:i/>
        </w:rPr>
        <w:t>Chicago-Kent Law Review</w:t>
      </w:r>
      <w:r w:rsidRPr="00F85122">
        <w:rPr>
          <w:rFonts w:ascii="Calibri" w:hAnsi="Calibri"/>
        </w:rPr>
        <w:t xml:space="preserve">, </w:t>
      </w:r>
      <w:r w:rsidRPr="00F85122">
        <w:rPr>
          <w:rFonts w:ascii="Calibri" w:hAnsi="Calibri"/>
          <w:i/>
        </w:rPr>
        <w:t>54</w:t>
      </w:r>
      <w:r w:rsidRPr="00F85122">
        <w:rPr>
          <w:rFonts w:ascii="Calibri" w:hAnsi="Calibri"/>
        </w:rPr>
        <w:t>, 641-686.</w:t>
      </w:r>
    </w:p>
    <w:p w14:paraId="1FF36888"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Fryer, G, </w:t>
      </w:r>
      <w:proofErr w:type="spellStart"/>
      <w:r w:rsidRPr="00F85122">
        <w:rPr>
          <w:rFonts w:ascii="Calibri" w:hAnsi="Calibri"/>
        </w:rPr>
        <w:t>Bross</w:t>
      </w:r>
      <w:proofErr w:type="spellEnd"/>
      <w:r w:rsidRPr="00F85122">
        <w:rPr>
          <w:rFonts w:ascii="Calibri" w:hAnsi="Calibri"/>
        </w:rPr>
        <w:t>, D, Krugman, R, Denson, D, &amp; Baird, D. (1990).</w:t>
      </w:r>
      <w:proofErr w:type="gramEnd"/>
      <w:r w:rsidRPr="00F85122">
        <w:rPr>
          <w:rFonts w:ascii="Calibri" w:hAnsi="Calibri"/>
        </w:rPr>
        <w:t xml:space="preserve"> </w:t>
      </w:r>
      <w:proofErr w:type="gramStart"/>
      <w:r w:rsidRPr="00F85122">
        <w:rPr>
          <w:rFonts w:ascii="Calibri" w:hAnsi="Calibri"/>
        </w:rPr>
        <w:t>Good news for CPS workers.</w:t>
      </w:r>
      <w:proofErr w:type="gramEnd"/>
      <w:r w:rsidRPr="00F85122">
        <w:rPr>
          <w:rFonts w:ascii="Calibri" w:hAnsi="Calibri"/>
        </w:rPr>
        <w:t xml:space="preserve"> </w:t>
      </w:r>
      <w:proofErr w:type="gramStart"/>
      <w:r w:rsidRPr="00F85122">
        <w:rPr>
          <w:rFonts w:ascii="Calibri" w:hAnsi="Calibri"/>
          <w:i/>
          <w:iCs/>
        </w:rPr>
        <w:t>Public Welfare</w:t>
      </w:r>
      <w:r w:rsidRPr="00F85122">
        <w:rPr>
          <w:rFonts w:ascii="Calibri" w:hAnsi="Calibri"/>
        </w:rPr>
        <w:t xml:space="preserve">, </w:t>
      </w:r>
      <w:r w:rsidRPr="00F85122">
        <w:rPr>
          <w:rFonts w:ascii="Calibri" w:hAnsi="Calibri"/>
          <w:i/>
          <w:iCs/>
        </w:rPr>
        <w:t>48</w:t>
      </w:r>
      <w:r w:rsidRPr="00F85122">
        <w:rPr>
          <w:rFonts w:ascii="Calibri" w:hAnsi="Calibri"/>
        </w:rPr>
        <w:t>(1), 38.</w:t>
      </w:r>
      <w:proofErr w:type="gramEnd"/>
    </w:p>
    <w:p w14:paraId="57FDEBA4"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Geiderman</w:t>
      </w:r>
      <w:proofErr w:type="spellEnd"/>
      <w:r w:rsidRPr="00F85122">
        <w:rPr>
          <w:rFonts w:ascii="Calibri" w:hAnsi="Calibri"/>
        </w:rPr>
        <w:t xml:space="preserve">, J. (2012). </w:t>
      </w:r>
      <w:proofErr w:type="gramStart"/>
      <w:r w:rsidRPr="00F85122">
        <w:rPr>
          <w:rFonts w:ascii="Calibri" w:hAnsi="Calibri"/>
        </w:rPr>
        <w:t>Mandatory and permissive reporting laws: conflicts in patient confidentiality, autonomy, and the duty to report.</w:t>
      </w:r>
      <w:proofErr w:type="gramEnd"/>
      <w:r w:rsidRPr="00F85122">
        <w:rPr>
          <w:rFonts w:ascii="Calibri" w:hAnsi="Calibri"/>
        </w:rPr>
        <w:t xml:space="preserve"> In J Jesus, P Rosen, J Adams, A </w:t>
      </w:r>
      <w:proofErr w:type="spellStart"/>
      <w:r w:rsidRPr="00F85122">
        <w:rPr>
          <w:rFonts w:ascii="Calibri" w:hAnsi="Calibri"/>
        </w:rPr>
        <w:t>Derse</w:t>
      </w:r>
      <w:proofErr w:type="spellEnd"/>
      <w:r w:rsidRPr="00F85122">
        <w:rPr>
          <w:rFonts w:ascii="Calibri" w:hAnsi="Calibri"/>
        </w:rPr>
        <w:t>, S Grossman, &amp; R Wolfe (Eds.), </w:t>
      </w:r>
      <w:r w:rsidRPr="00F85122">
        <w:rPr>
          <w:rFonts w:ascii="Calibri" w:hAnsi="Calibri"/>
          <w:i/>
          <w:iCs/>
        </w:rPr>
        <w:t>Ethical problems in emergency medicine: a discussion-based review</w:t>
      </w:r>
      <w:r w:rsidRPr="00F85122">
        <w:rPr>
          <w:rFonts w:ascii="Calibri" w:hAnsi="Calibri"/>
        </w:rPr>
        <w:t xml:space="preserve">. </w:t>
      </w:r>
      <w:proofErr w:type="gramStart"/>
      <w:r w:rsidRPr="00F85122">
        <w:rPr>
          <w:rFonts w:ascii="Calibri" w:hAnsi="Calibri"/>
        </w:rPr>
        <w:t>John Wiley &amp; Sons.</w:t>
      </w:r>
      <w:proofErr w:type="gramEnd"/>
    </w:p>
    <w:p w14:paraId="4345E24C"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Giovannoni</w:t>
      </w:r>
      <w:proofErr w:type="spellEnd"/>
      <w:r w:rsidRPr="00F85122">
        <w:rPr>
          <w:rFonts w:ascii="Calibri" w:hAnsi="Calibri"/>
        </w:rPr>
        <w:t xml:space="preserve">, J. (1995). </w:t>
      </w:r>
      <w:proofErr w:type="gramStart"/>
      <w:r w:rsidRPr="00F85122">
        <w:rPr>
          <w:rFonts w:ascii="Calibri" w:hAnsi="Calibri"/>
        </w:rPr>
        <w:t>Reports of child maltreatment from mandated and non-mandated reporters.</w:t>
      </w:r>
      <w:proofErr w:type="gramEnd"/>
      <w:r w:rsidRPr="00F85122">
        <w:rPr>
          <w:rFonts w:ascii="Calibri" w:hAnsi="Calibri"/>
        </w:rPr>
        <w:t xml:space="preserve"> </w:t>
      </w:r>
      <w:r w:rsidRPr="00F85122">
        <w:rPr>
          <w:rFonts w:ascii="Calibri" w:hAnsi="Calibri"/>
          <w:i/>
          <w:iCs/>
        </w:rPr>
        <w:t>Children and Youth Services Review</w:t>
      </w:r>
      <w:r w:rsidRPr="00F85122">
        <w:rPr>
          <w:rFonts w:ascii="Calibri" w:hAnsi="Calibri"/>
        </w:rPr>
        <w:t xml:space="preserve">, </w:t>
      </w:r>
      <w:r w:rsidRPr="00F85122">
        <w:rPr>
          <w:rFonts w:ascii="Calibri" w:hAnsi="Calibri"/>
          <w:i/>
          <w:iCs/>
        </w:rPr>
        <w:t>17</w:t>
      </w:r>
      <w:r w:rsidRPr="00F85122">
        <w:rPr>
          <w:rFonts w:ascii="Calibri" w:hAnsi="Calibri"/>
        </w:rPr>
        <w:t>(4), 487-501.</w:t>
      </w:r>
    </w:p>
    <w:p w14:paraId="6B0750C7"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Grant, M, &amp; Booth, A. (2009).</w:t>
      </w:r>
      <w:proofErr w:type="gramEnd"/>
      <w:r w:rsidRPr="00F85122">
        <w:rPr>
          <w:rFonts w:ascii="Calibri" w:hAnsi="Calibri"/>
        </w:rPr>
        <w:t xml:space="preserve"> A typology of reviews: an analysis of 14 review types and associated </w:t>
      </w:r>
      <w:proofErr w:type="spellStart"/>
      <w:r w:rsidRPr="00F85122">
        <w:rPr>
          <w:rFonts w:ascii="Calibri" w:hAnsi="Calibri"/>
        </w:rPr>
        <w:t>methodologies.</w:t>
      </w:r>
      <w:r w:rsidRPr="00F85122">
        <w:rPr>
          <w:rFonts w:ascii="Calibri" w:hAnsi="Calibri"/>
          <w:i/>
          <w:iCs/>
        </w:rPr>
        <w:t>Health</w:t>
      </w:r>
      <w:proofErr w:type="spellEnd"/>
      <w:r w:rsidRPr="00F85122">
        <w:rPr>
          <w:rFonts w:ascii="Calibri" w:hAnsi="Calibri"/>
          <w:i/>
          <w:iCs/>
        </w:rPr>
        <w:t xml:space="preserve"> Information &amp; Libraries Journal</w:t>
      </w:r>
      <w:r w:rsidRPr="00F85122">
        <w:rPr>
          <w:rFonts w:ascii="Calibri" w:hAnsi="Calibri"/>
        </w:rPr>
        <w:t xml:space="preserve">, </w:t>
      </w:r>
      <w:r w:rsidRPr="00F85122">
        <w:rPr>
          <w:rFonts w:ascii="Calibri" w:hAnsi="Calibri"/>
          <w:i/>
          <w:iCs/>
        </w:rPr>
        <w:t>26</w:t>
      </w:r>
      <w:r w:rsidRPr="00F85122">
        <w:rPr>
          <w:rFonts w:ascii="Calibri" w:hAnsi="Calibri"/>
        </w:rPr>
        <w:t>(2), 91-108.</w:t>
      </w:r>
    </w:p>
    <w:p w14:paraId="12B2D3F6" w14:textId="77777777" w:rsidR="00F85122" w:rsidRPr="00F85122" w:rsidRDefault="00F85122" w:rsidP="00F85122">
      <w:pPr>
        <w:spacing w:after="60"/>
        <w:ind w:left="737" w:hanging="737"/>
        <w:rPr>
          <w:rFonts w:ascii="Calibri" w:hAnsi="Calibri"/>
        </w:rPr>
      </w:pPr>
      <w:proofErr w:type="spellStart"/>
      <w:proofErr w:type="gramStart"/>
      <w:r w:rsidRPr="00F85122">
        <w:rPr>
          <w:rFonts w:ascii="Calibri" w:hAnsi="Calibri"/>
        </w:rPr>
        <w:t>Greipp</w:t>
      </w:r>
      <w:proofErr w:type="spellEnd"/>
      <w:r w:rsidRPr="00F85122">
        <w:rPr>
          <w:rFonts w:ascii="Calibri" w:hAnsi="Calibri"/>
        </w:rPr>
        <w:t>, M. (1997).</w:t>
      </w:r>
      <w:proofErr w:type="gramEnd"/>
      <w:r w:rsidRPr="00F85122">
        <w:rPr>
          <w:rFonts w:ascii="Calibri" w:hAnsi="Calibri"/>
        </w:rPr>
        <w:t xml:space="preserve"> Ethical </w:t>
      </w:r>
      <w:proofErr w:type="gramStart"/>
      <w:r w:rsidRPr="00F85122">
        <w:rPr>
          <w:rFonts w:ascii="Calibri" w:hAnsi="Calibri"/>
        </w:rPr>
        <w:t>decision making</w:t>
      </w:r>
      <w:proofErr w:type="gramEnd"/>
      <w:r w:rsidRPr="00F85122">
        <w:rPr>
          <w:rFonts w:ascii="Calibri" w:hAnsi="Calibri"/>
        </w:rPr>
        <w:t xml:space="preserve"> and mandatory reporting in cases of suspected child abuse. </w:t>
      </w:r>
      <w:r w:rsidRPr="00F85122">
        <w:rPr>
          <w:rFonts w:ascii="Calibri" w:hAnsi="Calibri"/>
          <w:i/>
          <w:iCs/>
        </w:rPr>
        <w:t xml:space="preserve">Journal of </w:t>
      </w:r>
      <w:proofErr w:type="spellStart"/>
      <w:r w:rsidRPr="00F85122">
        <w:rPr>
          <w:rFonts w:ascii="Calibri" w:hAnsi="Calibri"/>
          <w:i/>
          <w:iCs/>
        </w:rPr>
        <w:t>Pediatric</w:t>
      </w:r>
      <w:proofErr w:type="spellEnd"/>
      <w:r w:rsidRPr="00F85122">
        <w:rPr>
          <w:rFonts w:ascii="Calibri" w:hAnsi="Calibri"/>
          <w:i/>
          <w:iCs/>
        </w:rPr>
        <w:t xml:space="preserve"> Health Care</w:t>
      </w:r>
      <w:r w:rsidRPr="00F85122">
        <w:rPr>
          <w:rFonts w:ascii="Calibri" w:hAnsi="Calibri"/>
        </w:rPr>
        <w:t xml:space="preserve">, </w:t>
      </w:r>
      <w:r w:rsidRPr="00F85122">
        <w:rPr>
          <w:rFonts w:ascii="Calibri" w:hAnsi="Calibri"/>
          <w:i/>
          <w:iCs/>
        </w:rPr>
        <w:t>11</w:t>
      </w:r>
      <w:r w:rsidRPr="00F85122">
        <w:rPr>
          <w:rFonts w:ascii="Calibri" w:hAnsi="Calibri"/>
        </w:rPr>
        <w:t>(6), 258-265.</w:t>
      </w:r>
    </w:p>
    <w:p w14:paraId="717A4CF8"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Hansen, P, &amp; Ainsworth, F. (2013).</w:t>
      </w:r>
      <w:proofErr w:type="gramEnd"/>
      <w:r w:rsidRPr="00F85122">
        <w:rPr>
          <w:rFonts w:ascii="Calibri" w:hAnsi="Calibri"/>
        </w:rPr>
        <w:t xml:space="preserve"> </w:t>
      </w:r>
      <w:proofErr w:type="gramStart"/>
      <w:r w:rsidRPr="00F85122">
        <w:rPr>
          <w:rFonts w:ascii="Calibri" w:hAnsi="Calibri"/>
        </w:rPr>
        <w:t>Australian child protection services: A game without end.</w:t>
      </w:r>
      <w:proofErr w:type="gramEnd"/>
      <w:r w:rsidRPr="00F85122">
        <w:rPr>
          <w:rFonts w:ascii="Calibri" w:hAnsi="Calibri"/>
        </w:rPr>
        <w:t xml:space="preserve"> </w:t>
      </w:r>
      <w:r w:rsidRPr="00F85122">
        <w:rPr>
          <w:rFonts w:ascii="Calibri" w:hAnsi="Calibri"/>
          <w:i/>
          <w:iCs/>
        </w:rPr>
        <w:t>International Journal of Social Welfare</w:t>
      </w:r>
      <w:r w:rsidRPr="00F85122">
        <w:rPr>
          <w:rFonts w:ascii="Calibri" w:hAnsi="Calibri"/>
        </w:rPr>
        <w:t xml:space="preserve">, </w:t>
      </w:r>
      <w:r w:rsidRPr="00F85122">
        <w:rPr>
          <w:rFonts w:ascii="Calibri" w:hAnsi="Calibri"/>
          <w:i/>
          <w:iCs/>
        </w:rPr>
        <w:t>22</w:t>
      </w:r>
      <w:r w:rsidRPr="00F85122">
        <w:rPr>
          <w:rFonts w:ascii="Calibri" w:hAnsi="Calibri"/>
        </w:rPr>
        <w:t>(1), 104-110.</w:t>
      </w:r>
    </w:p>
    <w:p w14:paraId="7BE7C6AB" w14:textId="77777777" w:rsidR="00F85122" w:rsidRPr="00F85122" w:rsidRDefault="00F85122" w:rsidP="00F85122">
      <w:pPr>
        <w:spacing w:after="60"/>
        <w:ind w:left="737" w:hanging="737"/>
        <w:rPr>
          <w:rFonts w:ascii="Calibri" w:hAnsi="Calibri"/>
        </w:rPr>
      </w:pPr>
      <w:r w:rsidRPr="00F85122">
        <w:rPr>
          <w:rFonts w:ascii="Calibri" w:hAnsi="Calibri"/>
        </w:rPr>
        <w:t xml:space="preserve">Howe, E. (2008). Child abuse: how society and care providers should respond. </w:t>
      </w:r>
      <w:proofErr w:type="gramStart"/>
      <w:r w:rsidRPr="00F85122">
        <w:rPr>
          <w:rFonts w:ascii="Calibri" w:hAnsi="Calibri"/>
          <w:i/>
          <w:iCs/>
        </w:rPr>
        <w:t>Journal of clinical ethics</w:t>
      </w:r>
      <w:r w:rsidRPr="00F85122">
        <w:rPr>
          <w:rFonts w:ascii="Calibri" w:hAnsi="Calibri"/>
        </w:rPr>
        <w:t xml:space="preserve">, </w:t>
      </w:r>
      <w:r w:rsidRPr="00F85122">
        <w:rPr>
          <w:rFonts w:ascii="Calibri" w:hAnsi="Calibri"/>
          <w:i/>
          <w:iCs/>
        </w:rPr>
        <w:t>19</w:t>
      </w:r>
      <w:r w:rsidRPr="00F85122">
        <w:rPr>
          <w:rFonts w:ascii="Calibri" w:hAnsi="Calibri"/>
        </w:rPr>
        <w:t>(4), 307-315.</w:t>
      </w:r>
      <w:proofErr w:type="gramEnd"/>
    </w:p>
    <w:p w14:paraId="05BD82A3" w14:textId="77777777" w:rsidR="00F85122" w:rsidRPr="00F85122" w:rsidRDefault="00F85122" w:rsidP="00F85122">
      <w:pPr>
        <w:spacing w:after="60"/>
        <w:ind w:left="737" w:hanging="737"/>
        <w:rPr>
          <w:rFonts w:ascii="Calibri" w:hAnsi="Calibri"/>
        </w:rPr>
      </w:pPr>
      <w:r w:rsidRPr="00F85122">
        <w:rPr>
          <w:rFonts w:ascii="Calibri" w:hAnsi="Calibri"/>
        </w:rPr>
        <w:t xml:space="preserve">Humphreys, C. (2008). </w:t>
      </w:r>
      <w:proofErr w:type="gramStart"/>
      <w:r w:rsidRPr="00F85122">
        <w:rPr>
          <w:rFonts w:ascii="Calibri" w:hAnsi="Calibri"/>
        </w:rPr>
        <w:t xml:space="preserve">‘Problems in the system of mandatory reporting of children living with domestic violence’, </w:t>
      </w:r>
      <w:r w:rsidRPr="00F85122">
        <w:rPr>
          <w:rFonts w:ascii="Calibri" w:hAnsi="Calibri"/>
          <w:i/>
          <w:iCs/>
        </w:rPr>
        <w:t>Journal of Family Studies</w:t>
      </w:r>
      <w:r w:rsidRPr="00F85122">
        <w:rPr>
          <w:rFonts w:ascii="Calibri" w:hAnsi="Calibri"/>
        </w:rPr>
        <w:t xml:space="preserve">, </w:t>
      </w:r>
      <w:r w:rsidRPr="00F85122">
        <w:rPr>
          <w:rFonts w:ascii="Calibri" w:hAnsi="Calibri"/>
          <w:i/>
          <w:iCs/>
        </w:rPr>
        <w:t>14</w:t>
      </w:r>
      <w:r w:rsidRPr="00F85122">
        <w:rPr>
          <w:rFonts w:ascii="Calibri" w:hAnsi="Calibri"/>
        </w:rPr>
        <w:t>, 228-239.</w:t>
      </w:r>
      <w:proofErr w:type="gramEnd"/>
    </w:p>
    <w:p w14:paraId="52496C13"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Hussey, J</w:t>
      </w:r>
      <w:r w:rsidRPr="00F85122">
        <w:rPr>
          <w:rFonts w:ascii="Calibri" w:hAnsi="Calibri"/>
          <w:bCs/>
        </w:rPr>
        <w:t xml:space="preserve">, </w:t>
      </w:r>
      <w:r w:rsidRPr="00F85122">
        <w:rPr>
          <w:rFonts w:ascii="Calibri" w:hAnsi="Calibri"/>
        </w:rPr>
        <w:t>Marshall, J</w:t>
      </w:r>
      <w:r w:rsidRPr="00F85122">
        <w:rPr>
          <w:rFonts w:ascii="Calibri" w:hAnsi="Calibri"/>
          <w:bCs/>
        </w:rPr>
        <w:t xml:space="preserve">, </w:t>
      </w:r>
      <w:r w:rsidRPr="00F85122">
        <w:rPr>
          <w:rFonts w:ascii="Calibri" w:hAnsi="Calibri"/>
        </w:rPr>
        <w:t xml:space="preserve">English, D, Knight, E, Lau, A, </w:t>
      </w:r>
      <w:proofErr w:type="spellStart"/>
      <w:r w:rsidRPr="00F85122">
        <w:rPr>
          <w:rFonts w:ascii="Calibri" w:hAnsi="Calibri"/>
        </w:rPr>
        <w:t>Dubowitz</w:t>
      </w:r>
      <w:proofErr w:type="spellEnd"/>
      <w:r w:rsidRPr="00F85122">
        <w:rPr>
          <w:rFonts w:ascii="Calibri" w:hAnsi="Calibri"/>
        </w:rPr>
        <w:t>, H, &amp; Kotch, J. (2005).</w:t>
      </w:r>
      <w:proofErr w:type="gramEnd"/>
      <w:r w:rsidRPr="00F85122">
        <w:rPr>
          <w:rFonts w:ascii="Calibri" w:hAnsi="Calibri"/>
        </w:rPr>
        <w:t xml:space="preserve"> Defining Maltreatment According to Substantiation: Distinction without a Difference</w:t>
      </w:r>
      <w:proofErr w:type="gramStart"/>
      <w:r w:rsidRPr="00F85122">
        <w:rPr>
          <w:rFonts w:ascii="Calibri" w:hAnsi="Calibri"/>
        </w:rPr>
        <w:t>?.</w:t>
      </w:r>
      <w:proofErr w:type="gramEnd"/>
      <w:r w:rsidRPr="00F85122">
        <w:rPr>
          <w:rFonts w:ascii="Calibri" w:hAnsi="Calibri"/>
        </w:rPr>
        <w:t xml:space="preserve"> </w:t>
      </w:r>
      <w:r w:rsidRPr="00F85122">
        <w:rPr>
          <w:rFonts w:ascii="Calibri" w:hAnsi="Calibri"/>
          <w:i/>
          <w:iCs/>
        </w:rPr>
        <w:t xml:space="preserve">Child Abuse and Neglect, </w:t>
      </w:r>
      <w:r w:rsidRPr="00F85122">
        <w:rPr>
          <w:rFonts w:ascii="Calibri" w:hAnsi="Calibri"/>
          <w:i/>
        </w:rPr>
        <w:t>29</w:t>
      </w:r>
      <w:r w:rsidRPr="00F85122">
        <w:rPr>
          <w:rFonts w:ascii="Calibri" w:hAnsi="Calibri"/>
        </w:rPr>
        <w:t>, 479-492.</w:t>
      </w:r>
    </w:p>
    <w:p w14:paraId="65C3EBF8" w14:textId="77777777" w:rsidR="00F85122" w:rsidRPr="00F85122" w:rsidRDefault="00F85122" w:rsidP="00F85122">
      <w:pPr>
        <w:spacing w:after="60"/>
        <w:ind w:left="737" w:hanging="737"/>
        <w:rPr>
          <w:rFonts w:ascii="Calibri" w:hAnsi="Calibri"/>
        </w:rPr>
      </w:pPr>
      <w:r w:rsidRPr="00F85122">
        <w:rPr>
          <w:rFonts w:ascii="Calibri" w:hAnsi="Calibri"/>
        </w:rPr>
        <w:t>Hutchison, E. (1993). Mandatory reporting laws: Child protective case finding gone awry</w:t>
      </w:r>
      <w:proofErr w:type="gramStart"/>
      <w:r w:rsidRPr="00F85122">
        <w:rPr>
          <w:rFonts w:ascii="Calibri" w:hAnsi="Calibri"/>
        </w:rPr>
        <w:t>?.</w:t>
      </w:r>
      <w:proofErr w:type="gramEnd"/>
      <w:r w:rsidRPr="00F85122">
        <w:rPr>
          <w:rFonts w:ascii="Calibri" w:hAnsi="Calibri"/>
        </w:rPr>
        <w:t xml:space="preserve"> </w:t>
      </w:r>
      <w:proofErr w:type="gramStart"/>
      <w:r w:rsidRPr="00F85122">
        <w:rPr>
          <w:rFonts w:ascii="Calibri" w:hAnsi="Calibri"/>
          <w:i/>
          <w:iCs/>
        </w:rPr>
        <w:t>Social work</w:t>
      </w:r>
      <w:r w:rsidRPr="00F85122">
        <w:rPr>
          <w:rFonts w:ascii="Calibri" w:hAnsi="Calibri"/>
        </w:rPr>
        <w:t xml:space="preserve">, </w:t>
      </w:r>
      <w:r w:rsidRPr="00F85122">
        <w:rPr>
          <w:rFonts w:ascii="Calibri" w:hAnsi="Calibri"/>
          <w:i/>
          <w:iCs/>
        </w:rPr>
        <w:t>38</w:t>
      </w:r>
      <w:r w:rsidRPr="00F85122">
        <w:rPr>
          <w:rFonts w:ascii="Calibri" w:hAnsi="Calibri"/>
        </w:rPr>
        <w:t>, 56-63.</w:t>
      </w:r>
      <w:proofErr w:type="gramEnd"/>
    </w:p>
    <w:p w14:paraId="2840657B" w14:textId="77777777" w:rsidR="00F85122" w:rsidRPr="00F85122" w:rsidRDefault="00F85122" w:rsidP="00F85122">
      <w:pPr>
        <w:spacing w:after="60"/>
        <w:ind w:left="737" w:hanging="737"/>
        <w:rPr>
          <w:rFonts w:ascii="Calibri" w:hAnsi="Calibri"/>
        </w:rPr>
      </w:pPr>
      <w:proofErr w:type="spellStart"/>
      <w:proofErr w:type="gramStart"/>
      <w:r w:rsidRPr="00F85122">
        <w:rPr>
          <w:rFonts w:ascii="Calibri" w:hAnsi="Calibri"/>
        </w:rPr>
        <w:t>Katner</w:t>
      </w:r>
      <w:proofErr w:type="spellEnd"/>
      <w:r w:rsidRPr="00F85122">
        <w:rPr>
          <w:rFonts w:ascii="Calibri" w:hAnsi="Calibri"/>
        </w:rPr>
        <w:t>, D, &amp; Brown, C. (2012).</w:t>
      </w:r>
      <w:proofErr w:type="gramEnd"/>
      <w:r w:rsidRPr="00F85122">
        <w:rPr>
          <w:rFonts w:ascii="Calibri" w:hAnsi="Calibri"/>
        </w:rPr>
        <w:t xml:space="preserve"> </w:t>
      </w:r>
      <w:proofErr w:type="gramStart"/>
      <w:r w:rsidRPr="00F85122">
        <w:rPr>
          <w:rFonts w:ascii="Calibri" w:hAnsi="Calibri"/>
        </w:rPr>
        <w:t>Mandatory reporting of oral injuries indicating possible child abuse.</w:t>
      </w:r>
      <w:proofErr w:type="gramEnd"/>
      <w:r w:rsidRPr="00F85122">
        <w:rPr>
          <w:rFonts w:ascii="Calibri" w:hAnsi="Calibri"/>
        </w:rPr>
        <w:t xml:space="preserve"> </w:t>
      </w:r>
      <w:r w:rsidRPr="00F85122">
        <w:rPr>
          <w:rFonts w:ascii="Calibri" w:hAnsi="Calibri"/>
          <w:i/>
          <w:iCs/>
        </w:rPr>
        <w:t>Journal of the American Dental Association,</w:t>
      </w:r>
      <w:r w:rsidRPr="00F85122">
        <w:rPr>
          <w:rFonts w:ascii="Calibri" w:hAnsi="Calibri"/>
        </w:rPr>
        <w:t xml:space="preserve"> </w:t>
      </w:r>
      <w:r w:rsidRPr="00F85122">
        <w:rPr>
          <w:rFonts w:ascii="Calibri" w:hAnsi="Calibri"/>
          <w:i/>
          <w:iCs/>
        </w:rPr>
        <w:t>143</w:t>
      </w:r>
      <w:r w:rsidRPr="00F85122">
        <w:rPr>
          <w:rFonts w:ascii="Calibri" w:hAnsi="Calibri"/>
        </w:rPr>
        <w:t>(10), 1087-1092.</w:t>
      </w:r>
    </w:p>
    <w:p w14:paraId="4981F819"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Kim, S, </w:t>
      </w:r>
      <w:proofErr w:type="spellStart"/>
      <w:r w:rsidRPr="00F85122">
        <w:rPr>
          <w:rFonts w:ascii="Calibri" w:hAnsi="Calibri"/>
        </w:rPr>
        <w:t>Gostin</w:t>
      </w:r>
      <w:proofErr w:type="spellEnd"/>
      <w:r w:rsidRPr="00F85122">
        <w:rPr>
          <w:rFonts w:ascii="Calibri" w:hAnsi="Calibri"/>
        </w:rPr>
        <w:t>, L, &amp; Cole, T. (2012).</w:t>
      </w:r>
      <w:proofErr w:type="gramEnd"/>
      <w:r w:rsidRPr="00F85122">
        <w:rPr>
          <w:rFonts w:ascii="Calibri" w:hAnsi="Calibri"/>
        </w:rPr>
        <w:t xml:space="preserve"> </w:t>
      </w:r>
      <w:proofErr w:type="gramStart"/>
      <w:r w:rsidRPr="00F85122">
        <w:rPr>
          <w:rFonts w:ascii="Calibri" w:hAnsi="Calibri"/>
        </w:rPr>
        <w:t>Child abuse reporting: rethinking child protection.</w:t>
      </w:r>
      <w:proofErr w:type="gramEnd"/>
      <w:r w:rsidRPr="00F85122">
        <w:rPr>
          <w:rFonts w:ascii="Calibri" w:hAnsi="Calibri"/>
        </w:rPr>
        <w:t xml:space="preserve"> </w:t>
      </w:r>
      <w:r w:rsidRPr="00F85122">
        <w:rPr>
          <w:rFonts w:ascii="Calibri" w:hAnsi="Calibri"/>
          <w:i/>
          <w:iCs/>
        </w:rPr>
        <w:t>JAMA</w:t>
      </w:r>
      <w:r w:rsidRPr="00F85122">
        <w:rPr>
          <w:rFonts w:ascii="Calibri" w:hAnsi="Calibri"/>
        </w:rPr>
        <w:t xml:space="preserve">, </w:t>
      </w:r>
      <w:r w:rsidRPr="00F85122">
        <w:rPr>
          <w:rFonts w:ascii="Calibri" w:hAnsi="Calibri"/>
          <w:i/>
          <w:iCs/>
        </w:rPr>
        <w:t>308</w:t>
      </w:r>
      <w:r w:rsidRPr="00F85122">
        <w:rPr>
          <w:rFonts w:ascii="Calibri" w:hAnsi="Calibri"/>
        </w:rPr>
        <w:t>(1), 37-38.</w:t>
      </w:r>
    </w:p>
    <w:p w14:paraId="1A17BDD0"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lastRenderedPageBreak/>
        <w:t>Kohl, P, Jonson-Reid, M, &amp; Drake, B. (2009).</w:t>
      </w:r>
      <w:proofErr w:type="gramEnd"/>
      <w:r w:rsidRPr="00F85122">
        <w:rPr>
          <w:rFonts w:ascii="Calibri" w:hAnsi="Calibri"/>
        </w:rPr>
        <w:t xml:space="preserve"> Time to Leave Substantiation </w:t>
      </w:r>
      <w:proofErr w:type="gramStart"/>
      <w:r w:rsidRPr="00F85122">
        <w:rPr>
          <w:rFonts w:ascii="Calibri" w:hAnsi="Calibri"/>
        </w:rPr>
        <w:t>Behind</w:t>
      </w:r>
      <w:proofErr w:type="gramEnd"/>
      <w:r w:rsidRPr="00F85122">
        <w:rPr>
          <w:rFonts w:ascii="Calibri" w:hAnsi="Calibri"/>
        </w:rPr>
        <w:t xml:space="preserve"> Findings From A National Probability Study. </w:t>
      </w:r>
      <w:r w:rsidRPr="00F85122">
        <w:rPr>
          <w:rFonts w:ascii="Calibri" w:hAnsi="Calibri"/>
          <w:i/>
          <w:iCs/>
        </w:rPr>
        <w:t>Child Maltreatment</w:t>
      </w:r>
      <w:r w:rsidRPr="00F85122">
        <w:rPr>
          <w:rFonts w:ascii="Calibri" w:hAnsi="Calibri"/>
        </w:rPr>
        <w:t>, </w:t>
      </w:r>
      <w:r w:rsidRPr="00F85122">
        <w:rPr>
          <w:rFonts w:ascii="Calibri" w:hAnsi="Calibri"/>
          <w:i/>
          <w:iCs/>
        </w:rPr>
        <w:t>14</w:t>
      </w:r>
      <w:r w:rsidRPr="00F85122">
        <w:rPr>
          <w:rFonts w:ascii="Calibri" w:hAnsi="Calibri"/>
        </w:rPr>
        <w:t>(1), 17-26.</w:t>
      </w:r>
    </w:p>
    <w:p w14:paraId="1BD9892A"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Lamond</w:t>
      </w:r>
      <w:proofErr w:type="spellEnd"/>
      <w:r w:rsidRPr="00F85122">
        <w:rPr>
          <w:rFonts w:ascii="Calibri" w:hAnsi="Calibri"/>
        </w:rPr>
        <w:t xml:space="preserve">, D. (1989). </w:t>
      </w:r>
      <w:proofErr w:type="gramStart"/>
      <w:r w:rsidRPr="00F85122">
        <w:rPr>
          <w:rFonts w:ascii="Calibri" w:hAnsi="Calibri"/>
        </w:rPr>
        <w:t>The impact of mandatory reporting legislation on reporting behaviour.</w:t>
      </w:r>
      <w:proofErr w:type="gramEnd"/>
      <w:r w:rsidRPr="00F85122">
        <w:rPr>
          <w:rFonts w:ascii="Calibri" w:hAnsi="Calibri"/>
        </w:rPr>
        <w:t xml:space="preserve"> </w:t>
      </w:r>
      <w:proofErr w:type="gramStart"/>
      <w:r w:rsidRPr="00F85122">
        <w:rPr>
          <w:rFonts w:ascii="Calibri" w:hAnsi="Calibri"/>
          <w:i/>
          <w:iCs/>
        </w:rPr>
        <w:t>Child abuse &amp; neglect</w:t>
      </w:r>
      <w:r w:rsidRPr="00F85122">
        <w:rPr>
          <w:rFonts w:ascii="Calibri" w:hAnsi="Calibri"/>
        </w:rPr>
        <w:t xml:space="preserve">, </w:t>
      </w:r>
      <w:r w:rsidRPr="00F85122">
        <w:rPr>
          <w:rFonts w:ascii="Calibri" w:hAnsi="Calibri"/>
          <w:i/>
          <w:iCs/>
        </w:rPr>
        <w:t>13</w:t>
      </w:r>
      <w:r w:rsidRPr="00F85122">
        <w:rPr>
          <w:rFonts w:ascii="Calibri" w:hAnsi="Calibri"/>
        </w:rPr>
        <w:t>(4), 471-480.</w:t>
      </w:r>
      <w:proofErr w:type="gramEnd"/>
    </w:p>
    <w:p w14:paraId="036FD75E"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Landau, R, &amp; </w:t>
      </w:r>
      <w:proofErr w:type="spellStart"/>
      <w:r w:rsidRPr="00F85122">
        <w:rPr>
          <w:rFonts w:ascii="Calibri" w:hAnsi="Calibri"/>
        </w:rPr>
        <w:t>Osmo</w:t>
      </w:r>
      <w:proofErr w:type="spellEnd"/>
      <w:r w:rsidRPr="00F85122">
        <w:rPr>
          <w:rFonts w:ascii="Calibri" w:hAnsi="Calibri"/>
        </w:rPr>
        <w:t>, R. (1999).</w:t>
      </w:r>
      <w:proofErr w:type="gramEnd"/>
      <w:r w:rsidRPr="00F85122">
        <w:rPr>
          <w:rFonts w:ascii="Calibri" w:hAnsi="Calibri"/>
        </w:rPr>
        <w:t xml:space="preserve"> </w:t>
      </w:r>
      <w:proofErr w:type="gramStart"/>
      <w:r w:rsidRPr="00F85122">
        <w:rPr>
          <w:rFonts w:ascii="Calibri" w:hAnsi="Calibri"/>
        </w:rPr>
        <w:t>The obligation to report sexual abuse of minors and incompetents: Theory and practice.</w:t>
      </w:r>
      <w:proofErr w:type="gramEnd"/>
      <w:r w:rsidRPr="00F85122">
        <w:rPr>
          <w:rFonts w:ascii="Calibri" w:hAnsi="Calibri"/>
        </w:rPr>
        <w:t xml:space="preserve"> </w:t>
      </w:r>
      <w:r w:rsidRPr="00F85122">
        <w:rPr>
          <w:rFonts w:ascii="Calibri" w:hAnsi="Calibri"/>
          <w:i/>
          <w:iCs/>
        </w:rPr>
        <w:t>Children and Youth Services Review</w:t>
      </w:r>
      <w:r w:rsidRPr="00F85122">
        <w:rPr>
          <w:rFonts w:ascii="Calibri" w:hAnsi="Calibri"/>
        </w:rPr>
        <w:t xml:space="preserve">, </w:t>
      </w:r>
      <w:r w:rsidRPr="00F85122">
        <w:rPr>
          <w:rFonts w:ascii="Calibri" w:hAnsi="Calibri"/>
          <w:i/>
          <w:iCs/>
        </w:rPr>
        <w:t>21</w:t>
      </w:r>
      <w:r w:rsidRPr="00F85122">
        <w:rPr>
          <w:rFonts w:ascii="Calibri" w:hAnsi="Calibri"/>
        </w:rPr>
        <w:t>(3), 239-258.</w:t>
      </w:r>
    </w:p>
    <w:p w14:paraId="74A5F315" w14:textId="77777777" w:rsidR="00F85122" w:rsidRPr="00F85122" w:rsidRDefault="00F85122" w:rsidP="00F85122">
      <w:pPr>
        <w:spacing w:after="60"/>
        <w:ind w:left="737" w:hanging="737"/>
        <w:rPr>
          <w:rFonts w:ascii="Calibri" w:hAnsi="Calibri"/>
        </w:rPr>
      </w:pPr>
      <w:r w:rsidRPr="00F85122">
        <w:rPr>
          <w:rFonts w:ascii="Calibri" w:hAnsi="Calibri"/>
        </w:rPr>
        <w:t xml:space="preserve">Layton, R. (2003. </w:t>
      </w:r>
      <w:proofErr w:type="gramStart"/>
      <w:r w:rsidRPr="00F85122">
        <w:rPr>
          <w:rFonts w:ascii="Calibri" w:hAnsi="Calibri"/>
          <w:i/>
        </w:rPr>
        <w:t>Our best investment: A State plan to protect and advance the interests of children (Review of Child Protection in South Australia).</w:t>
      </w:r>
      <w:proofErr w:type="gramEnd"/>
      <w:r w:rsidRPr="00F85122">
        <w:rPr>
          <w:rFonts w:ascii="Calibri" w:hAnsi="Calibri"/>
        </w:rPr>
        <w:t xml:space="preserve"> Adelaide.</w:t>
      </w:r>
    </w:p>
    <w:p w14:paraId="1D6B66D7"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Levine, M, &amp; </w:t>
      </w:r>
      <w:proofErr w:type="spellStart"/>
      <w:r w:rsidRPr="00F85122">
        <w:rPr>
          <w:rFonts w:ascii="Calibri" w:hAnsi="Calibri"/>
        </w:rPr>
        <w:t>Doueck</w:t>
      </w:r>
      <w:proofErr w:type="spellEnd"/>
      <w:r w:rsidRPr="00F85122">
        <w:rPr>
          <w:rFonts w:ascii="Calibri" w:hAnsi="Calibri"/>
        </w:rPr>
        <w:t>, H.</w:t>
      </w:r>
      <w:proofErr w:type="gramEnd"/>
      <w:r w:rsidRPr="00F85122">
        <w:rPr>
          <w:rFonts w:ascii="Calibri" w:hAnsi="Calibri"/>
        </w:rPr>
        <w:t xml:space="preserve">  </w:t>
      </w:r>
      <w:proofErr w:type="gramStart"/>
      <w:r w:rsidRPr="00F85122">
        <w:rPr>
          <w:rFonts w:ascii="Calibri" w:hAnsi="Calibri"/>
        </w:rPr>
        <w:t xml:space="preserve">(1995). </w:t>
      </w:r>
      <w:r w:rsidRPr="00F85122">
        <w:rPr>
          <w:rFonts w:ascii="Calibri" w:hAnsi="Calibri"/>
          <w:i/>
        </w:rPr>
        <w:t>The Impact of Mandated Reporting on the Therapeutic Process</w:t>
      </w:r>
      <w:r w:rsidRPr="00F85122">
        <w:rPr>
          <w:rFonts w:ascii="Calibri" w:hAnsi="Calibri"/>
        </w:rPr>
        <w:t>.</w:t>
      </w:r>
      <w:proofErr w:type="gramEnd"/>
      <w:r w:rsidRPr="00F85122">
        <w:rPr>
          <w:rFonts w:ascii="Calibri" w:hAnsi="Calibri"/>
        </w:rPr>
        <w:t xml:space="preserve"> </w:t>
      </w:r>
      <w:proofErr w:type="gramStart"/>
      <w:r w:rsidRPr="00F85122">
        <w:rPr>
          <w:rFonts w:ascii="Calibri" w:hAnsi="Calibri"/>
        </w:rPr>
        <w:t>Thousand Oaks: Sage.</w:t>
      </w:r>
      <w:proofErr w:type="gramEnd"/>
    </w:p>
    <w:p w14:paraId="3C550379" w14:textId="77777777" w:rsidR="00F85122" w:rsidRPr="00F85122" w:rsidRDefault="00F85122" w:rsidP="00F85122">
      <w:pPr>
        <w:spacing w:after="60"/>
        <w:ind w:left="737" w:hanging="737"/>
        <w:rPr>
          <w:rFonts w:ascii="Calibri" w:hAnsi="Calibri"/>
        </w:rPr>
      </w:pPr>
      <w:r w:rsidRPr="00F85122">
        <w:rPr>
          <w:rFonts w:ascii="Calibri" w:hAnsi="Calibri"/>
        </w:rPr>
        <w:t xml:space="preserve">Lindsey, D. (1994). Mandated reporting and child abuse fatalities: Requirements for a system to protect children. </w:t>
      </w:r>
      <w:proofErr w:type="gramStart"/>
      <w:r w:rsidRPr="00F85122">
        <w:rPr>
          <w:rFonts w:ascii="Calibri" w:hAnsi="Calibri"/>
          <w:i/>
          <w:iCs/>
        </w:rPr>
        <w:t>Social work research</w:t>
      </w:r>
      <w:r w:rsidRPr="00F85122">
        <w:rPr>
          <w:rFonts w:ascii="Calibri" w:hAnsi="Calibri"/>
        </w:rPr>
        <w:t xml:space="preserve">, </w:t>
      </w:r>
      <w:r w:rsidRPr="00F85122">
        <w:rPr>
          <w:rFonts w:ascii="Calibri" w:hAnsi="Calibri"/>
          <w:i/>
          <w:iCs/>
        </w:rPr>
        <w:t>18</w:t>
      </w:r>
      <w:r w:rsidRPr="00F85122">
        <w:rPr>
          <w:rFonts w:ascii="Calibri" w:hAnsi="Calibri"/>
        </w:rPr>
        <w:t>(1), 41-54.</w:t>
      </w:r>
      <w:proofErr w:type="gramEnd"/>
    </w:p>
    <w:p w14:paraId="247309BB"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Lonne</w:t>
      </w:r>
      <w:proofErr w:type="spellEnd"/>
      <w:r w:rsidRPr="00F85122">
        <w:rPr>
          <w:rFonts w:ascii="Calibri" w:hAnsi="Calibri"/>
        </w:rPr>
        <w:t>, B, Parton, N, Thomson, J, &amp; Harries, M. (2008). </w:t>
      </w:r>
      <w:proofErr w:type="gramStart"/>
      <w:r w:rsidRPr="00F85122">
        <w:rPr>
          <w:rFonts w:ascii="Calibri" w:hAnsi="Calibri"/>
          <w:i/>
          <w:iCs/>
        </w:rPr>
        <w:t>Reforming child protection</w:t>
      </w:r>
      <w:r w:rsidRPr="00F85122">
        <w:rPr>
          <w:rFonts w:ascii="Calibri" w:hAnsi="Calibri"/>
        </w:rPr>
        <w:t>, Routledge.</w:t>
      </w:r>
      <w:proofErr w:type="gramEnd"/>
    </w:p>
    <w:p w14:paraId="6C491D6D" w14:textId="77777777" w:rsidR="00F85122" w:rsidRPr="00F85122" w:rsidRDefault="00F85122" w:rsidP="00F85122">
      <w:pPr>
        <w:spacing w:after="60"/>
        <w:ind w:left="737" w:hanging="737"/>
        <w:rPr>
          <w:rFonts w:ascii="Calibri" w:hAnsi="Calibri"/>
          <w:lang w:val="en"/>
        </w:rPr>
      </w:pPr>
      <w:r w:rsidRPr="00F85122">
        <w:rPr>
          <w:rFonts w:ascii="Calibri" w:hAnsi="Calibri"/>
          <w:lang w:val="en"/>
        </w:rPr>
        <w:t xml:space="preserve">Lukens, R. (2007). </w:t>
      </w:r>
      <w:proofErr w:type="gramStart"/>
      <w:r w:rsidRPr="00F85122">
        <w:rPr>
          <w:rFonts w:ascii="Calibri" w:hAnsi="Calibri"/>
          <w:lang w:val="en"/>
        </w:rPr>
        <w:t>The impact of mandatory reporting requirements on the child welfare system.</w:t>
      </w:r>
      <w:proofErr w:type="gramEnd"/>
      <w:r w:rsidRPr="00F85122">
        <w:rPr>
          <w:rFonts w:ascii="Calibri" w:hAnsi="Calibri"/>
          <w:lang w:val="en"/>
        </w:rPr>
        <w:t xml:space="preserve"> </w:t>
      </w:r>
      <w:r w:rsidRPr="00F85122">
        <w:rPr>
          <w:rFonts w:ascii="Calibri" w:hAnsi="Calibri"/>
          <w:i/>
          <w:lang w:val="en"/>
        </w:rPr>
        <w:t>Rutgers Journal of Law &amp; Public</w:t>
      </w:r>
      <w:r w:rsidRPr="00F85122">
        <w:rPr>
          <w:rFonts w:ascii="Calibri" w:hAnsi="Calibri"/>
          <w:lang w:val="en"/>
        </w:rPr>
        <w:t xml:space="preserve"> </w:t>
      </w:r>
      <w:r w:rsidRPr="00F85122">
        <w:rPr>
          <w:rFonts w:ascii="Calibri" w:hAnsi="Calibri"/>
          <w:i/>
          <w:lang w:val="en"/>
        </w:rPr>
        <w:t>Policy</w:t>
      </w:r>
      <w:r w:rsidRPr="00F85122">
        <w:rPr>
          <w:rFonts w:ascii="Calibri" w:hAnsi="Calibri"/>
          <w:lang w:val="en"/>
        </w:rPr>
        <w:t xml:space="preserve">, </w:t>
      </w:r>
      <w:r w:rsidRPr="00F85122">
        <w:rPr>
          <w:rFonts w:ascii="Calibri" w:hAnsi="Calibri"/>
          <w:i/>
          <w:lang w:val="en"/>
        </w:rPr>
        <w:t>5</w:t>
      </w:r>
      <w:r w:rsidRPr="00F85122">
        <w:rPr>
          <w:rFonts w:ascii="Calibri" w:hAnsi="Calibri"/>
          <w:lang w:val="en"/>
        </w:rPr>
        <w:t>, 177-233.</w:t>
      </w:r>
    </w:p>
    <w:p w14:paraId="4BFADE46" w14:textId="77777777" w:rsidR="00F85122" w:rsidRPr="00F85122" w:rsidRDefault="00F85122" w:rsidP="00F85122">
      <w:pPr>
        <w:spacing w:after="60"/>
        <w:ind w:left="737" w:hanging="737"/>
        <w:rPr>
          <w:rFonts w:ascii="Calibri" w:hAnsi="Calibri"/>
        </w:rPr>
      </w:pPr>
      <w:proofErr w:type="spellStart"/>
      <w:proofErr w:type="gramStart"/>
      <w:r w:rsidRPr="00F85122">
        <w:rPr>
          <w:rFonts w:ascii="Calibri" w:hAnsi="Calibri"/>
        </w:rPr>
        <w:t>Maidment</w:t>
      </w:r>
      <w:proofErr w:type="spellEnd"/>
      <w:r w:rsidRPr="00F85122">
        <w:rPr>
          <w:rFonts w:ascii="Calibri" w:hAnsi="Calibri"/>
        </w:rPr>
        <w:t>, S. (1978).</w:t>
      </w:r>
      <w:proofErr w:type="gramEnd"/>
      <w:r w:rsidRPr="00F85122">
        <w:rPr>
          <w:rFonts w:ascii="Calibri" w:hAnsi="Calibri"/>
        </w:rPr>
        <w:t xml:space="preserve"> </w:t>
      </w:r>
      <w:proofErr w:type="gramStart"/>
      <w:r w:rsidRPr="00F85122">
        <w:rPr>
          <w:rFonts w:ascii="Calibri" w:hAnsi="Calibri"/>
        </w:rPr>
        <w:t>Some Legal Problems Arising Out of the Reporting of Child Abuse.</w:t>
      </w:r>
      <w:proofErr w:type="gramEnd"/>
      <w:r w:rsidRPr="00F85122">
        <w:rPr>
          <w:rFonts w:ascii="Calibri" w:hAnsi="Calibri"/>
        </w:rPr>
        <w:t xml:space="preserve"> </w:t>
      </w:r>
      <w:proofErr w:type="gramStart"/>
      <w:r w:rsidRPr="00F85122">
        <w:rPr>
          <w:rFonts w:ascii="Calibri" w:hAnsi="Calibri"/>
          <w:i/>
          <w:iCs/>
        </w:rPr>
        <w:t>Current Legal Problems</w:t>
      </w:r>
      <w:r w:rsidRPr="00F85122">
        <w:rPr>
          <w:rFonts w:ascii="Calibri" w:hAnsi="Calibri"/>
        </w:rPr>
        <w:t xml:space="preserve">, </w:t>
      </w:r>
      <w:r w:rsidRPr="00F85122">
        <w:rPr>
          <w:rFonts w:ascii="Calibri" w:hAnsi="Calibri"/>
          <w:i/>
          <w:iCs/>
        </w:rPr>
        <w:t>31</w:t>
      </w:r>
      <w:r w:rsidRPr="00F85122">
        <w:rPr>
          <w:rFonts w:ascii="Calibri" w:hAnsi="Calibri"/>
        </w:rPr>
        <w:t>, 149-75.</w:t>
      </w:r>
      <w:proofErr w:type="gramEnd"/>
    </w:p>
    <w:p w14:paraId="722E110C"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Mathews, B, &amp; </w:t>
      </w:r>
      <w:proofErr w:type="spellStart"/>
      <w:r w:rsidRPr="00F85122">
        <w:rPr>
          <w:rFonts w:ascii="Calibri" w:hAnsi="Calibri"/>
        </w:rPr>
        <w:t>Bross</w:t>
      </w:r>
      <w:proofErr w:type="spellEnd"/>
      <w:r w:rsidRPr="00F85122">
        <w:rPr>
          <w:rFonts w:ascii="Calibri" w:hAnsi="Calibri"/>
        </w:rPr>
        <w:t>, D. (2008).</w:t>
      </w:r>
      <w:proofErr w:type="gramEnd"/>
      <w:r w:rsidRPr="00F85122">
        <w:rPr>
          <w:rFonts w:ascii="Calibri" w:hAnsi="Calibri"/>
        </w:rPr>
        <w:t xml:space="preserve"> Mandated reporting is still a policy with reason: Empirical evidence and philosophical grounds. </w:t>
      </w:r>
      <w:r w:rsidRPr="00F85122">
        <w:rPr>
          <w:rFonts w:ascii="Calibri" w:hAnsi="Calibri"/>
          <w:i/>
          <w:iCs/>
        </w:rPr>
        <w:t>Child Abuse and Neglect</w:t>
      </w:r>
      <w:r w:rsidRPr="00F85122">
        <w:rPr>
          <w:rFonts w:ascii="Calibri" w:hAnsi="Calibri"/>
        </w:rPr>
        <w:t xml:space="preserve">, </w:t>
      </w:r>
      <w:r w:rsidRPr="00F85122">
        <w:rPr>
          <w:rFonts w:ascii="Calibri" w:hAnsi="Calibri"/>
          <w:i/>
          <w:iCs/>
        </w:rPr>
        <w:t>32</w:t>
      </w:r>
      <w:r w:rsidRPr="00F85122">
        <w:rPr>
          <w:rFonts w:ascii="Calibri" w:hAnsi="Calibri"/>
        </w:rPr>
        <w:t>(5), 511-516.</w:t>
      </w:r>
    </w:p>
    <w:p w14:paraId="6C50EF98" w14:textId="77777777" w:rsidR="00F85122" w:rsidRPr="00F85122" w:rsidRDefault="00F85122" w:rsidP="00F85122">
      <w:pPr>
        <w:spacing w:after="60"/>
        <w:ind w:left="737" w:hanging="737"/>
        <w:rPr>
          <w:rFonts w:ascii="Calibri" w:hAnsi="Calibri"/>
        </w:rPr>
      </w:pPr>
      <w:proofErr w:type="gramStart"/>
      <w:r w:rsidRPr="00F85122">
        <w:rPr>
          <w:rFonts w:ascii="Calibri" w:hAnsi="Calibri"/>
          <w:bCs/>
        </w:rPr>
        <w:t>Mathews</w:t>
      </w:r>
      <w:r w:rsidRPr="00F85122">
        <w:rPr>
          <w:rFonts w:ascii="Calibri" w:hAnsi="Calibri"/>
        </w:rPr>
        <w:t>, B. (2012) Exploring the contested role of mandatory reporting laws in the identification of severe child abuse and neglect.</w:t>
      </w:r>
      <w:proofErr w:type="gramEnd"/>
      <w:r w:rsidRPr="00F85122">
        <w:rPr>
          <w:rFonts w:ascii="Calibri" w:hAnsi="Calibri"/>
        </w:rPr>
        <w:t xml:space="preserve"> </w:t>
      </w:r>
      <w:proofErr w:type="gramStart"/>
      <w:r w:rsidRPr="00F85122">
        <w:rPr>
          <w:rFonts w:ascii="Calibri" w:hAnsi="Calibri"/>
        </w:rPr>
        <w:t xml:space="preserve">In M Freeman (Ed.), </w:t>
      </w:r>
      <w:r w:rsidRPr="00F85122">
        <w:rPr>
          <w:rFonts w:ascii="Calibri" w:hAnsi="Calibri"/>
          <w:i/>
          <w:iCs/>
        </w:rPr>
        <w:t>Current Legal Issues Volume 14: Law and Childhood Studies</w:t>
      </w:r>
      <w:r w:rsidRPr="00F85122">
        <w:rPr>
          <w:rFonts w:ascii="Calibri" w:hAnsi="Calibri"/>
        </w:rPr>
        <w:t xml:space="preserve"> (pp. 302-338).</w:t>
      </w:r>
      <w:proofErr w:type="gramEnd"/>
      <w:r w:rsidRPr="00F85122">
        <w:rPr>
          <w:rFonts w:ascii="Calibri" w:hAnsi="Calibri"/>
        </w:rPr>
        <w:t xml:space="preserve"> Oxford: Oxford University Press.</w:t>
      </w:r>
    </w:p>
    <w:p w14:paraId="78048C55" w14:textId="77777777" w:rsidR="00F85122" w:rsidRPr="00F85122" w:rsidRDefault="00F85122" w:rsidP="00F85122">
      <w:pPr>
        <w:spacing w:after="60"/>
        <w:ind w:left="737" w:hanging="737"/>
        <w:rPr>
          <w:rFonts w:ascii="Calibri" w:hAnsi="Calibri"/>
        </w:rPr>
      </w:pPr>
      <w:r w:rsidRPr="00F85122">
        <w:rPr>
          <w:rFonts w:ascii="Calibri" w:hAnsi="Calibri"/>
          <w:bCs/>
        </w:rPr>
        <w:t>Mathews</w:t>
      </w:r>
      <w:r w:rsidRPr="00F85122">
        <w:rPr>
          <w:rFonts w:ascii="Calibri" w:hAnsi="Calibri"/>
        </w:rPr>
        <w:t xml:space="preserve">, B. (2014a) Mandatory reporting laws and identification of child abuse and neglect: </w:t>
      </w:r>
      <w:proofErr w:type="gramStart"/>
      <w:r w:rsidRPr="00F85122">
        <w:rPr>
          <w:rFonts w:ascii="Calibri" w:hAnsi="Calibri"/>
        </w:rPr>
        <w:t>consideration of differential maltreatment types,</w:t>
      </w:r>
      <w:proofErr w:type="gramEnd"/>
      <w:r w:rsidRPr="00F85122">
        <w:rPr>
          <w:rFonts w:ascii="Calibri" w:hAnsi="Calibri"/>
        </w:rPr>
        <w:t xml:space="preserve"> and a cross-jurisdictional analysis of child sexual abuse reports. </w:t>
      </w:r>
      <w:r w:rsidRPr="00F85122">
        <w:rPr>
          <w:rFonts w:ascii="Calibri" w:hAnsi="Calibri"/>
          <w:i/>
          <w:iCs/>
        </w:rPr>
        <w:t>Social Sciences</w:t>
      </w:r>
      <w:r w:rsidRPr="00F85122">
        <w:rPr>
          <w:rFonts w:ascii="Calibri" w:hAnsi="Calibri"/>
          <w:iCs/>
        </w:rPr>
        <w:t xml:space="preserve">, </w:t>
      </w:r>
      <w:r w:rsidRPr="00F85122">
        <w:rPr>
          <w:rFonts w:ascii="Calibri" w:hAnsi="Calibri"/>
          <w:i/>
          <w:iCs/>
        </w:rPr>
        <w:t>3</w:t>
      </w:r>
      <w:r w:rsidRPr="00F85122">
        <w:rPr>
          <w:rFonts w:ascii="Calibri" w:hAnsi="Calibri"/>
          <w:iCs/>
        </w:rPr>
        <w:t>,</w:t>
      </w:r>
      <w:r w:rsidRPr="00F85122">
        <w:rPr>
          <w:rFonts w:ascii="Calibri" w:hAnsi="Calibri"/>
          <w:i/>
          <w:iCs/>
        </w:rPr>
        <w:t xml:space="preserve"> </w:t>
      </w:r>
      <w:r w:rsidRPr="00F85122">
        <w:rPr>
          <w:rFonts w:ascii="Calibri" w:hAnsi="Calibri"/>
        </w:rPr>
        <w:t xml:space="preserve">460-482. </w:t>
      </w:r>
    </w:p>
    <w:p w14:paraId="61888B4B" w14:textId="77777777" w:rsidR="00F85122" w:rsidRPr="00F85122" w:rsidRDefault="00F85122" w:rsidP="00F85122">
      <w:pPr>
        <w:spacing w:after="60"/>
        <w:ind w:left="737" w:hanging="737"/>
        <w:rPr>
          <w:rFonts w:ascii="Calibri" w:hAnsi="Calibri"/>
        </w:rPr>
      </w:pPr>
      <w:r w:rsidRPr="00F85122">
        <w:rPr>
          <w:rFonts w:ascii="Calibri" w:hAnsi="Calibri"/>
        </w:rPr>
        <w:t xml:space="preserve">Mathews, B. (2014b). </w:t>
      </w:r>
      <w:proofErr w:type="gramStart"/>
      <w:r w:rsidRPr="00F85122">
        <w:rPr>
          <w:rFonts w:ascii="Calibri" w:hAnsi="Calibri"/>
        </w:rPr>
        <w:t>A theoretical framework for designing and evaluating strategies to identify cases of serious child abuse and neglect.</w:t>
      </w:r>
      <w:proofErr w:type="gramEnd"/>
      <w:r w:rsidRPr="00F85122">
        <w:rPr>
          <w:rFonts w:ascii="Calibri" w:hAnsi="Calibri"/>
        </w:rPr>
        <w:t xml:space="preserve"> </w:t>
      </w:r>
      <w:proofErr w:type="gramStart"/>
      <w:r w:rsidRPr="00F85122">
        <w:rPr>
          <w:rFonts w:ascii="Calibri" w:hAnsi="Calibri"/>
        </w:rPr>
        <w:t xml:space="preserve">In </w:t>
      </w:r>
      <w:r w:rsidRPr="00F85122">
        <w:rPr>
          <w:rFonts w:ascii="Calibri" w:hAnsi="Calibri"/>
          <w:lang w:val="en-GB"/>
        </w:rPr>
        <w:t xml:space="preserve">B Mathews, &amp; D </w:t>
      </w:r>
      <w:proofErr w:type="spellStart"/>
      <w:r w:rsidRPr="00F85122">
        <w:rPr>
          <w:rFonts w:ascii="Calibri" w:hAnsi="Calibri"/>
          <w:lang w:val="en-GB"/>
        </w:rPr>
        <w:t>Bross</w:t>
      </w:r>
      <w:proofErr w:type="spellEnd"/>
      <w:r w:rsidRPr="00F85122">
        <w:rPr>
          <w:rFonts w:ascii="Calibri" w:hAnsi="Calibri"/>
          <w:lang w:val="en-GB"/>
        </w:rPr>
        <w:t xml:space="preserve"> (Eds.), </w:t>
      </w:r>
      <w:r w:rsidRPr="00F85122">
        <w:rPr>
          <w:rFonts w:ascii="Calibri" w:hAnsi="Calibri"/>
          <w:i/>
          <w:lang w:val="en-GB"/>
        </w:rPr>
        <w:t>Mandatory reporting laws and the identification of severe child abuse and neglect</w:t>
      </w:r>
      <w:r w:rsidRPr="00F85122">
        <w:rPr>
          <w:rFonts w:ascii="Calibri" w:hAnsi="Calibri"/>
          <w:lang w:val="en-GB"/>
        </w:rPr>
        <w:t>.</w:t>
      </w:r>
      <w:proofErr w:type="gramEnd"/>
      <w:r w:rsidRPr="00F85122">
        <w:rPr>
          <w:rFonts w:ascii="Calibri" w:hAnsi="Calibri"/>
          <w:lang w:val="en-GB"/>
        </w:rPr>
        <w:t xml:space="preserve"> Dordrecht: Springer</w:t>
      </w:r>
      <w:r w:rsidRPr="00F85122">
        <w:rPr>
          <w:rFonts w:ascii="Calibri" w:hAnsi="Calibri"/>
        </w:rPr>
        <w:t xml:space="preserve"> (in press).</w:t>
      </w:r>
    </w:p>
    <w:p w14:paraId="4E54A42C"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Melton, G, &amp; Davidson, H. (1987).</w:t>
      </w:r>
      <w:proofErr w:type="gramEnd"/>
      <w:r w:rsidRPr="00F85122">
        <w:rPr>
          <w:rFonts w:ascii="Calibri" w:hAnsi="Calibri"/>
        </w:rPr>
        <w:t xml:space="preserve"> Child protection and society: When should the state intervene? </w:t>
      </w:r>
      <w:proofErr w:type="gramStart"/>
      <w:r w:rsidRPr="00F85122">
        <w:rPr>
          <w:rFonts w:ascii="Calibri" w:hAnsi="Calibri"/>
          <w:i/>
          <w:iCs/>
        </w:rPr>
        <w:t>American Psychologist</w:t>
      </w:r>
      <w:r w:rsidRPr="00F85122">
        <w:rPr>
          <w:rFonts w:ascii="Calibri" w:hAnsi="Calibri"/>
        </w:rPr>
        <w:t xml:space="preserve">, </w:t>
      </w:r>
      <w:r w:rsidRPr="00F85122">
        <w:rPr>
          <w:rFonts w:ascii="Calibri" w:hAnsi="Calibri"/>
          <w:i/>
          <w:iCs/>
        </w:rPr>
        <w:t>42</w:t>
      </w:r>
      <w:r w:rsidRPr="00F85122">
        <w:rPr>
          <w:rFonts w:ascii="Calibri" w:hAnsi="Calibri"/>
        </w:rPr>
        <w:t>(2), 172.</w:t>
      </w:r>
      <w:proofErr w:type="gramEnd"/>
    </w:p>
    <w:p w14:paraId="202B035A"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lastRenderedPageBreak/>
        <w:t>Melton, G. (2005).</w:t>
      </w:r>
      <w:proofErr w:type="gramEnd"/>
      <w:r w:rsidRPr="00F85122">
        <w:rPr>
          <w:rFonts w:ascii="Calibri" w:hAnsi="Calibri"/>
        </w:rPr>
        <w:t xml:space="preserve"> </w:t>
      </w:r>
      <w:proofErr w:type="gramStart"/>
      <w:r w:rsidRPr="00F85122">
        <w:rPr>
          <w:rFonts w:ascii="Calibri" w:hAnsi="Calibri"/>
        </w:rPr>
        <w:t>Mandated reporting: a policy without reason.</w:t>
      </w:r>
      <w:proofErr w:type="gramEnd"/>
      <w:r w:rsidRPr="00F85122">
        <w:rPr>
          <w:rFonts w:ascii="Calibri" w:hAnsi="Calibri"/>
        </w:rPr>
        <w:t xml:space="preserve"> </w:t>
      </w:r>
      <w:proofErr w:type="gramStart"/>
      <w:r w:rsidRPr="00F85122">
        <w:rPr>
          <w:rFonts w:ascii="Calibri" w:hAnsi="Calibri"/>
          <w:i/>
          <w:iCs/>
        </w:rPr>
        <w:t>Child abuse &amp; neglect</w:t>
      </w:r>
      <w:r w:rsidRPr="00F85122">
        <w:rPr>
          <w:rFonts w:ascii="Calibri" w:hAnsi="Calibri"/>
        </w:rPr>
        <w:t xml:space="preserve">, </w:t>
      </w:r>
      <w:r w:rsidRPr="00F85122">
        <w:rPr>
          <w:rFonts w:ascii="Calibri" w:hAnsi="Calibri"/>
          <w:i/>
          <w:iCs/>
        </w:rPr>
        <w:t>29</w:t>
      </w:r>
      <w:r w:rsidRPr="00F85122">
        <w:rPr>
          <w:rFonts w:ascii="Calibri" w:hAnsi="Calibri"/>
        </w:rPr>
        <w:t>(1), 9-18.</w:t>
      </w:r>
      <w:proofErr w:type="gramEnd"/>
    </w:p>
    <w:p w14:paraId="2D2C6598" w14:textId="77777777" w:rsidR="00F85122" w:rsidRPr="00F85122" w:rsidRDefault="00F85122" w:rsidP="00F85122">
      <w:pPr>
        <w:spacing w:after="60"/>
        <w:ind w:left="737" w:hanging="737"/>
        <w:rPr>
          <w:rFonts w:ascii="Calibri" w:hAnsi="Calibri"/>
        </w:rPr>
      </w:pPr>
      <w:r w:rsidRPr="00F85122">
        <w:rPr>
          <w:rFonts w:ascii="Calibri" w:hAnsi="Calibri"/>
        </w:rPr>
        <w:t xml:space="preserve">Mendes, P. (1996). The historical and political context of mandatory reporting and its impact on child protection practice in Victoria. </w:t>
      </w:r>
      <w:r w:rsidRPr="00F85122">
        <w:rPr>
          <w:rFonts w:ascii="Calibri" w:hAnsi="Calibri"/>
          <w:i/>
          <w:iCs/>
        </w:rPr>
        <w:t>Australian Social Work</w:t>
      </w:r>
      <w:r w:rsidRPr="00F85122">
        <w:rPr>
          <w:rFonts w:ascii="Calibri" w:hAnsi="Calibri"/>
        </w:rPr>
        <w:t xml:space="preserve">, </w:t>
      </w:r>
      <w:r w:rsidRPr="00F85122">
        <w:rPr>
          <w:rFonts w:ascii="Calibri" w:hAnsi="Calibri"/>
          <w:i/>
          <w:iCs/>
        </w:rPr>
        <w:t>49</w:t>
      </w:r>
      <w:r w:rsidRPr="00F85122">
        <w:rPr>
          <w:rFonts w:ascii="Calibri" w:hAnsi="Calibri"/>
        </w:rPr>
        <w:t>(4), 25-32.</w:t>
      </w:r>
    </w:p>
    <w:p w14:paraId="1B424027"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Meriwether, M. (1986).</w:t>
      </w:r>
      <w:proofErr w:type="gramEnd"/>
      <w:r w:rsidRPr="00F85122">
        <w:rPr>
          <w:rFonts w:ascii="Calibri" w:hAnsi="Calibri"/>
        </w:rPr>
        <w:t xml:space="preserve"> </w:t>
      </w:r>
      <w:proofErr w:type="gramStart"/>
      <w:r w:rsidRPr="00F85122">
        <w:rPr>
          <w:rFonts w:ascii="Calibri" w:hAnsi="Calibri"/>
        </w:rPr>
        <w:t>Child abuse reporting laws: Time for a change.</w:t>
      </w:r>
      <w:proofErr w:type="gramEnd"/>
      <w:r w:rsidRPr="00F85122">
        <w:rPr>
          <w:rFonts w:ascii="Calibri" w:hAnsi="Calibri"/>
        </w:rPr>
        <w:t xml:space="preserve"> </w:t>
      </w:r>
      <w:r w:rsidRPr="00F85122">
        <w:rPr>
          <w:rFonts w:ascii="Calibri" w:hAnsi="Calibri"/>
          <w:i/>
        </w:rPr>
        <w:t>Family Law Quarterly</w:t>
      </w:r>
      <w:r w:rsidRPr="00F85122">
        <w:rPr>
          <w:rFonts w:ascii="Calibri" w:hAnsi="Calibri"/>
        </w:rPr>
        <w:t xml:space="preserve">, </w:t>
      </w:r>
      <w:r w:rsidRPr="00F85122">
        <w:rPr>
          <w:rFonts w:ascii="Calibri" w:hAnsi="Calibri"/>
          <w:i/>
        </w:rPr>
        <w:t>20</w:t>
      </w:r>
      <w:r w:rsidRPr="00F85122">
        <w:rPr>
          <w:rFonts w:ascii="Calibri" w:hAnsi="Calibri"/>
        </w:rPr>
        <w:t>, 141-171.</w:t>
      </w:r>
    </w:p>
    <w:p w14:paraId="57A3DA07"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Paulsen, M. (1966).</w:t>
      </w:r>
      <w:proofErr w:type="gramEnd"/>
      <w:r w:rsidRPr="00F85122">
        <w:rPr>
          <w:rFonts w:ascii="Calibri" w:hAnsi="Calibri"/>
        </w:rPr>
        <w:t xml:space="preserve"> The Legal Framework </w:t>
      </w:r>
      <w:proofErr w:type="gramStart"/>
      <w:r w:rsidRPr="00F85122">
        <w:rPr>
          <w:rFonts w:ascii="Calibri" w:hAnsi="Calibri"/>
        </w:rPr>
        <w:t>For</w:t>
      </w:r>
      <w:proofErr w:type="gramEnd"/>
      <w:r w:rsidRPr="00F85122">
        <w:rPr>
          <w:rFonts w:ascii="Calibri" w:hAnsi="Calibri"/>
        </w:rPr>
        <w:t xml:space="preserve"> Child Protection. </w:t>
      </w:r>
      <w:r w:rsidRPr="00F85122">
        <w:rPr>
          <w:rFonts w:ascii="Calibri" w:hAnsi="Calibri"/>
          <w:i/>
        </w:rPr>
        <w:t>Columbia Law Review</w:t>
      </w:r>
      <w:r w:rsidRPr="00F85122">
        <w:rPr>
          <w:rFonts w:ascii="Calibri" w:hAnsi="Calibri"/>
        </w:rPr>
        <w:t xml:space="preserve">, </w:t>
      </w:r>
      <w:r w:rsidRPr="00F85122">
        <w:rPr>
          <w:rFonts w:ascii="Calibri" w:hAnsi="Calibri"/>
          <w:i/>
        </w:rPr>
        <w:t>66</w:t>
      </w:r>
      <w:r w:rsidRPr="00F85122">
        <w:rPr>
          <w:rFonts w:ascii="Calibri" w:hAnsi="Calibri"/>
        </w:rPr>
        <w:t>, 679-717.</w:t>
      </w:r>
    </w:p>
    <w:p w14:paraId="43F031C8"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Paulsen, M, Parker, G, &amp; Adelman, L. (1967).</w:t>
      </w:r>
      <w:proofErr w:type="gramEnd"/>
      <w:r w:rsidRPr="00F85122">
        <w:rPr>
          <w:rFonts w:ascii="Calibri" w:hAnsi="Calibri"/>
        </w:rPr>
        <w:t xml:space="preserve"> </w:t>
      </w:r>
      <w:proofErr w:type="gramStart"/>
      <w:r w:rsidRPr="00F85122">
        <w:rPr>
          <w:rFonts w:ascii="Calibri" w:hAnsi="Calibri"/>
        </w:rPr>
        <w:t>Child abuse reporting laws: Some legislative history.</w:t>
      </w:r>
      <w:proofErr w:type="gramEnd"/>
      <w:r w:rsidRPr="00F85122">
        <w:rPr>
          <w:rFonts w:ascii="Calibri" w:hAnsi="Calibri"/>
        </w:rPr>
        <w:t xml:space="preserve"> </w:t>
      </w:r>
      <w:r w:rsidRPr="00F85122">
        <w:rPr>
          <w:rFonts w:ascii="Calibri" w:hAnsi="Calibri"/>
          <w:i/>
        </w:rPr>
        <w:t>George Washington Law Review</w:t>
      </w:r>
      <w:r w:rsidRPr="00F85122">
        <w:rPr>
          <w:rFonts w:ascii="Calibri" w:hAnsi="Calibri"/>
        </w:rPr>
        <w:t xml:space="preserve">, </w:t>
      </w:r>
      <w:r w:rsidRPr="00F85122">
        <w:rPr>
          <w:rFonts w:ascii="Calibri" w:hAnsi="Calibri"/>
          <w:i/>
        </w:rPr>
        <w:t>34</w:t>
      </w:r>
      <w:r w:rsidRPr="00F85122">
        <w:rPr>
          <w:rFonts w:ascii="Calibri" w:hAnsi="Calibri"/>
        </w:rPr>
        <w:t>, 482-506.</w:t>
      </w:r>
    </w:p>
    <w:p w14:paraId="70B2AD6E" w14:textId="77777777" w:rsidR="00F85122" w:rsidRPr="00F85122" w:rsidRDefault="00F85122" w:rsidP="00F85122">
      <w:pPr>
        <w:spacing w:after="60"/>
        <w:ind w:left="737" w:hanging="737"/>
        <w:rPr>
          <w:rFonts w:ascii="Calibri" w:hAnsi="Calibri"/>
        </w:rPr>
      </w:pPr>
      <w:r w:rsidRPr="00F85122">
        <w:rPr>
          <w:rFonts w:ascii="Calibri" w:hAnsi="Calibri"/>
        </w:rPr>
        <w:t xml:space="preserve">Pelton, L. (1989). </w:t>
      </w:r>
      <w:r w:rsidRPr="00F85122">
        <w:rPr>
          <w:rFonts w:ascii="Calibri" w:hAnsi="Calibri"/>
          <w:i/>
          <w:iCs/>
        </w:rPr>
        <w:t>For reasons of poverty: A critical analysis of the public child welfare system in the United States</w:t>
      </w:r>
      <w:r w:rsidRPr="00F85122">
        <w:rPr>
          <w:rFonts w:ascii="Calibri" w:hAnsi="Calibri"/>
        </w:rPr>
        <w:t xml:space="preserve">. </w:t>
      </w:r>
      <w:proofErr w:type="spellStart"/>
      <w:proofErr w:type="gramStart"/>
      <w:r w:rsidRPr="00F85122">
        <w:rPr>
          <w:rFonts w:ascii="Calibri" w:hAnsi="Calibri"/>
        </w:rPr>
        <w:t>Praeger</w:t>
      </w:r>
      <w:proofErr w:type="spellEnd"/>
      <w:r w:rsidRPr="00F85122">
        <w:rPr>
          <w:rFonts w:ascii="Calibri" w:hAnsi="Calibri"/>
        </w:rPr>
        <w:t xml:space="preserve"> Publishers.</w:t>
      </w:r>
      <w:proofErr w:type="gramEnd"/>
    </w:p>
    <w:p w14:paraId="11B444C2" w14:textId="77777777" w:rsidR="00F85122" w:rsidRPr="00F85122" w:rsidRDefault="00F85122" w:rsidP="00F85122">
      <w:pPr>
        <w:spacing w:after="60"/>
        <w:ind w:left="737" w:hanging="737"/>
        <w:rPr>
          <w:rFonts w:ascii="Calibri" w:hAnsi="Calibri"/>
        </w:rPr>
      </w:pPr>
      <w:r w:rsidRPr="00F85122">
        <w:rPr>
          <w:rFonts w:ascii="Calibri" w:hAnsi="Calibri"/>
        </w:rPr>
        <w:t>Pelton, L. (2014). The continuing role of material factors in child maltreatment and placement</w:t>
      </w:r>
      <w:r w:rsidRPr="00F85122">
        <w:rPr>
          <w:rFonts w:ascii="Calibri" w:hAnsi="Calibri"/>
          <w:i/>
        </w:rPr>
        <w:t xml:space="preserve">.  </w:t>
      </w:r>
      <w:proofErr w:type="gramStart"/>
      <w:r w:rsidRPr="00F85122">
        <w:rPr>
          <w:rFonts w:ascii="Calibri" w:hAnsi="Calibri"/>
          <w:i/>
        </w:rPr>
        <w:t>Child Abuse &amp; Neglect</w:t>
      </w:r>
      <w:r w:rsidRPr="00F85122">
        <w:rPr>
          <w:rFonts w:ascii="Calibri" w:hAnsi="Calibri"/>
        </w:rPr>
        <w:t xml:space="preserve">, </w:t>
      </w:r>
      <w:r w:rsidRPr="00F85122">
        <w:rPr>
          <w:rFonts w:ascii="Calibri" w:hAnsi="Calibri"/>
          <w:i/>
        </w:rPr>
        <w:t>29</w:t>
      </w:r>
      <w:r w:rsidRPr="00F85122">
        <w:rPr>
          <w:rFonts w:ascii="Calibri" w:hAnsi="Calibri"/>
        </w:rPr>
        <w:t>, in press.</w:t>
      </w:r>
      <w:proofErr w:type="gramEnd"/>
    </w:p>
    <w:p w14:paraId="4BBE7A40" w14:textId="77777777" w:rsidR="00F85122" w:rsidRPr="00F85122" w:rsidRDefault="00F85122" w:rsidP="00F85122">
      <w:pPr>
        <w:spacing w:after="60"/>
        <w:ind w:left="737" w:hanging="737"/>
        <w:rPr>
          <w:rFonts w:ascii="Calibri" w:hAnsi="Calibri"/>
        </w:rPr>
      </w:pPr>
      <w:r w:rsidRPr="00F85122">
        <w:rPr>
          <w:rFonts w:ascii="Calibri" w:hAnsi="Calibri"/>
        </w:rPr>
        <w:t xml:space="preserve">Smith, S R, &amp; Meyer, R G. (1984). </w:t>
      </w:r>
      <w:proofErr w:type="gramStart"/>
      <w:r w:rsidRPr="00F85122">
        <w:rPr>
          <w:rFonts w:ascii="Calibri" w:hAnsi="Calibri"/>
        </w:rPr>
        <w:t>Child abuse reporting laws and psychotherapy: A time for reconsideration.</w:t>
      </w:r>
      <w:proofErr w:type="gramEnd"/>
      <w:r w:rsidRPr="00F85122">
        <w:rPr>
          <w:rFonts w:ascii="Calibri" w:hAnsi="Calibri"/>
        </w:rPr>
        <w:t xml:space="preserve"> </w:t>
      </w:r>
      <w:proofErr w:type="gramStart"/>
      <w:r w:rsidRPr="00F85122">
        <w:rPr>
          <w:rFonts w:ascii="Calibri" w:hAnsi="Calibri"/>
          <w:i/>
          <w:iCs/>
        </w:rPr>
        <w:t>International journal of law and psychiatry</w:t>
      </w:r>
      <w:r w:rsidRPr="00F85122">
        <w:rPr>
          <w:rFonts w:ascii="Calibri" w:hAnsi="Calibri"/>
        </w:rPr>
        <w:t xml:space="preserve">, </w:t>
      </w:r>
      <w:r w:rsidRPr="00F85122">
        <w:rPr>
          <w:rFonts w:ascii="Calibri" w:hAnsi="Calibri"/>
          <w:i/>
          <w:iCs/>
        </w:rPr>
        <w:t>7</w:t>
      </w:r>
      <w:r w:rsidRPr="00F85122">
        <w:rPr>
          <w:rFonts w:ascii="Calibri" w:hAnsi="Calibri"/>
        </w:rPr>
        <w:t>(3), 351-366.</w:t>
      </w:r>
      <w:proofErr w:type="gramEnd"/>
    </w:p>
    <w:p w14:paraId="6564D6CB"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Takis</w:t>
      </w:r>
      <w:proofErr w:type="spellEnd"/>
      <w:r w:rsidRPr="00F85122">
        <w:rPr>
          <w:rFonts w:ascii="Calibri" w:hAnsi="Calibri"/>
        </w:rPr>
        <w:t xml:space="preserve">, A. (2008). </w:t>
      </w:r>
      <w:proofErr w:type="gramStart"/>
      <w:r w:rsidRPr="00F85122">
        <w:rPr>
          <w:rFonts w:ascii="Calibri" w:hAnsi="Calibri"/>
        </w:rPr>
        <w:t>The mandatory reporting debate.</w:t>
      </w:r>
      <w:proofErr w:type="gramEnd"/>
      <w:r w:rsidRPr="00F85122">
        <w:rPr>
          <w:rFonts w:ascii="Calibri" w:hAnsi="Calibri"/>
        </w:rPr>
        <w:t xml:space="preserve"> </w:t>
      </w:r>
      <w:proofErr w:type="gramStart"/>
      <w:r w:rsidRPr="00F85122">
        <w:rPr>
          <w:rFonts w:ascii="Calibri" w:hAnsi="Calibri"/>
          <w:i/>
          <w:iCs/>
        </w:rPr>
        <w:t>Macquarie LJ</w:t>
      </w:r>
      <w:r w:rsidRPr="00F85122">
        <w:rPr>
          <w:rFonts w:ascii="Calibri" w:hAnsi="Calibri"/>
        </w:rPr>
        <w:t xml:space="preserve">, </w:t>
      </w:r>
      <w:r w:rsidRPr="00F85122">
        <w:rPr>
          <w:rFonts w:ascii="Calibri" w:hAnsi="Calibri"/>
          <w:i/>
          <w:iCs/>
        </w:rPr>
        <w:t>8</w:t>
      </w:r>
      <w:r w:rsidRPr="00F85122">
        <w:rPr>
          <w:rFonts w:ascii="Calibri" w:hAnsi="Calibri"/>
        </w:rPr>
        <w:t>, 125.</w:t>
      </w:r>
      <w:proofErr w:type="gramEnd"/>
    </w:p>
    <w:p w14:paraId="68911903"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Thompson-Cooper, I, </w:t>
      </w:r>
      <w:proofErr w:type="spellStart"/>
      <w:r w:rsidRPr="00F85122">
        <w:rPr>
          <w:rFonts w:ascii="Calibri" w:hAnsi="Calibri"/>
        </w:rPr>
        <w:t>Fugere</w:t>
      </w:r>
      <w:proofErr w:type="spellEnd"/>
      <w:r w:rsidRPr="00F85122">
        <w:rPr>
          <w:rFonts w:ascii="Calibri" w:hAnsi="Calibri"/>
        </w:rPr>
        <w:t>, R, &amp; Cormier, B. (1993).</w:t>
      </w:r>
      <w:proofErr w:type="gramEnd"/>
      <w:r w:rsidRPr="00F85122">
        <w:rPr>
          <w:rFonts w:ascii="Calibri" w:hAnsi="Calibri"/>
        </w:rPr>
        <w:t xml:space="preserve"> </w:t>
      </w:r>
      <w:proofErr w:type="gramStart"/>
      <w:r w:rsidRPr="00F85122">
        <w:rPr>
          <w:rFonts w:ascii="Calibri" w:hAnsi="Calibri"/>
        </w:rPr>
        <w:t>The child abuse reporting laws: an ethical dilemma for professionals.</w:t>
      </w:r>
      <w:proofErr w:type="gramEnd"/>
      <w:r w:rsidRPr="00F85122">
        <w:rPr>
          <w:rFonts w:ascii="Calibri" w:hAnsi="Calibri"/>
        </w:rPr>
        <w:t xml:space="preserve"> </w:t>
      </w:r>
      <w:proofErr w:type="gramStart"/>
      <w:r w:rsidRPr="00F85122">
        <w:rPr>
          <w:rFonts w:ascii="Calibri" w:hAnsi="Calibri"/>
          <w:i/>
          <w:iCs/>
        </w:rPr>
        <w:t xml:space="preserve">Canadian journal of psychiatry / </w:t>
      </w:r>
      <w:r w:rsidRPr="00F85122">
        <w:rPr>
          <w:rFonts w:ascii="Calibri" w:hAnsi="Calibri"/>
          <w:i/>
        </w:rPr>
        <w:t xml:space="preserve">Revue </w:t>
      </w:r>
      <w:proofErr w:type="spellStart"/>
      <w:r w:rsidRPr="00F85122">
        <w:rPr>
          <w:rFonts w:ascii="Calibri" w:hAnsi="Calibri"/>
          <w:i/>
        </w:rPr>
        <w:t>Canadienne</w:t>
      </w:r>
      <w:proofErr w:type="spellEnd"/>
      <w:r w:rsidRPr="00F85122">
        <w:rPr>
          <w:rFonts w:ascii="Calibri" w:hAnsi="Calibri"/>
          <w:i/>
        </w:rPr>
        <w:t xml:space="preserve"> De </w:t>
      </w:r>
      <w:proofErr w:type="spellStart"/>
      <w:r w:rsidRPr="00F85122">
        <w:rPr>
          <w:rFonts w:ascii="Calibri" w:hAnsi="Calibri"/>
          <w:i/>
        </w:rPr>
        <w:t>Psychiatrie</w:t>
      </w:r>
      <w:proofErr w:type="spellEnd"/>
      <w:r w:rsidRPr="00F85122">
        <w:rPr>
          <w:rFonts w:ascii="Calibri" w:hAnsi="Calibri"/>
        </w:rPr>
        <w:t xml:space="preserve">, </w:t>
      </w:r>
      <w:r w:rsidRPr="00F85122">
        <w:rPr>
          <w:rFonts w:ascii="Calibri" w:hAnsi="Calibri"/>
          <w:i/>
          <w:iCs/>
        </w:rPr>
        <w:t>38</w:t>
      </w:r>
      <w:r w:rsidRPr="00F85122">
        <w:rPr>
          <w:rFonts w:ascii="Calibri" w:hAnsi="Calibri"/>
        </w:rPr>
        <w:t>(8), 557-562.</w:t>
      </w:r>
      <w:proofErr w:type="gramEnd"/>
    </w:p>
    <w:p w14:paraId="21797E2E"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Tomison</w:t>
      </w:r>
      <w:proofErr w:type="spellEnd"/>
      <w:r w:rsidRPr="00F85122">
        <w:rPr>
          <w:rFonts w:ascii="Calibri" w:hAnsi="Calibri"/>
        </w:rPr>
        <w:t xml:space="preserve">, A. (2002). </w:t>
      </w:r>
      <w:proofErr w:type="gramStart"/>
      <w:r w:rsidRPr="00F85122">
        <w:rPr>
          <w:rFonts w:ascii="Calibri" w:hAnsi="Calibri"/>
        </w:rPr>
        <w:t>Mandatory reporting: a question of theory versus practice.</w:t>
      </w:r>
      <w:proofErr w:type="gramEnd"/>
      <w:r w:rsidRPr="00F85122">
        <w:rPr>
          <w:rFonts w:ascii="Calibri" w:hAnsi="Calibri"/>
        </w:rPr>
        <w:t xml:space="preserve"> </w:t>
      </w:r>
      <w:proofErr w:type="gramStart"/>
      <w:r w:rsidRPr="00F85122">
        <w:rPr>
          <w:rFonts w:ascii="Calibri" w:hAnsi="Calibri"/>
          <w:i/>
          <w:iCs/>
        </w:rPr>
        <w:t>Developing Practice: The Child, Youth and Family Work Journal</w:t>
      </w:r>
      <w:r w:rsidRPr="00F85122">
        <w:rPr>
          <w:rFonts w:ascii="Calibri" w:hAnsi="Calibri"/>
        </w:rPr>
        <w:t>, (4), 13-18.</w:t>
      </w:r>
      <w:proofErr w:type="gramEnd"/>
    </w:p>
    <w:p w14:paraId="4CEA6860" w14:textId="77777777" w:rsidR="00F85122" w:rsidRPr="00F85122" w:rsidRDefault="00F85122" w:rsidP="00F85122">
      <w:pPr>
        <w:spacing w:after="60"/>
        <w:ind w:left="737" w:hanging="737"/>
        <w:rPr>
          <w:rFonts w:ascii="Calibri" w:hAnsi="Calibri"/>
        </w:rPr>
      </w:pPr>
      <w:r w:rsidRPr="00F85122">
        <w:rPr>
          <w:rFonts w:ascii="Calibri" w:hAnsi="Calibri"/>
        </w:rPr>
        <w:t xml:space="preserve">Van </w:t>
      </w:r>
      <w:proofErr w:type="spellStart"/>
      <w:r w:rsidRPr="00F85122">
        <w:rPr>
          <w:rFonts w:ascii="Calibri" w:hAnsi="Calibri"/>
        </w:rPr>
        <w:t>Dokkum</w:t>
      </w:r>
      <w:proofErr w:type="spellEnd"/>
      <w:r w:rsidRPr="00F85122">
        <w:rPr>
          <w:rFonts w:ascii="Calibri" w:hAnsi="Calibri"/>
        </w:rPr>
        <w:t xml:space="preserve">, N. (1996). </w:t>
      </w:r>
      <w:proofErr w:type="gramStart"/>
      <w:r w:rsidRPr="00F85122">
        <w:rPr>
          <w:rFonts w:ascii="Calibri" w:hAnsi="Calibri"/>
        </w:rPr>
        <w:t>The Statutory Obligation to Report Child Abuse and Neglect.</w:t>
      </w:r>
      <w:proofErr w:type="gramEnd"/>
      <w:r w:rsidRPr="00F85122">
        <w:rPr>
          <w:rFonts w:ascii="Calibri" w:hAnsi="Calibri"/>
        </w:rPr>
        <w:t xml:space="preserve"> </w:t>
      </w:r>
      <w:proofErr w:type="spellStart"/>
      <w:proofErr w:type="gramStart"/>
      <w:r w:rsidRPr="00F85122">
        <w:rPr>
          <w:rFonts w:ascii="Calibri" w:hAnsi="Calibri"/>
          <w:i/>
          <w:iCs/>
        </w:rPr>
        <w:t>Acta</w:t>
      </w:r>
      <w:proofErr w:type="spellEnd"/>
      <w:r w:rsidRPr="00F85122">
        <w:rPr>
          <w:rFonts w:ascii="Calibri" w:hAnsi="Calibri"/>
          <w:i/>
          <w:iCs/>
        </w:rPr>
        <w:t xml:space="preserve"> </w:t>
      </w:r>
      <w:proofErr w:type="spellStart"/>
      <w:r w:rsidRPr="00F85122">
        <w:rPr>
          <w:rFonts w:ascii="Calibri" w:hAnsi="Calibri"/>
          <w:i/>
          <w:iCs/>
        </w:rPr>
        <w:t>Juridica</w:t>
      </w:r>
      <w:proofErr w:type="spellEnd"/>
      <w:r w:rsidRPr="00F85122">
        <w:rPr>
          <w:rFonts w:ascii="Calibri" w:hAnsi="Calibri"/>
        </w:rPr>
        <w:t>, 163.</w:t>
      </w:r>
      <w:proofErr w:type="gramEnd"/>
    </w:p>
    <w:p w14:paraId="57B31785"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 xml:space="preserve">Van </w:t>
      </w:r>
      <w:proofErr w:type="spellStart"/>
      <w:r w:rsidRPr="00F85122">
        <w:rPr>
          <w:rFonts w:ascii="Calibri" w:hAnsi="Calibri"/>
        </w:rPr>
        <w:t>Voorhis</w:t>
      </w:r>
      <w:proofErr w:type="spellEnd"/>
      <w:r w:rsidRPr="00F85122">
        <w:rPr>
          <w:rFonts w:ascii="Calibri" w:hAnsi="Calibri"/>
        </w:rPr>
        <w:t>, R, &amp; Gilbert, N. (1998).</w:t>
      </w:r>
      <w:proofErr w:type="gramEnd"/>
      <w:r w:rsidRPr="00F85122">
        <w:rPr>
          <w:rFonts w:ascii="Calibri" w:hAnsi="Calibri"/>
        </w:rPr>
        <w:t xml:space="preserve"> The structure and performance of child abuse reporting systems. </w:t>
      </w:r>
      <w:r w:rsidRPr="00F85122">
        <w:rPr>
          <w:rFonts w:ascii="Calibri" w:hAnsi="Calibri"/>
          <w:i/>
          <w:iCs/>
        </w:rPr>
        <w:t>Children and Youth Services Review</w:t>
      </w:r>
      <w:r w:rsidRPr="00F85122">
        <w:rPr>
          <w:rFonts w:ascii="Calibri" w:hAnsi="Calibri"/>
        </w:rPr>
        <w:t xml:space="preserve">, </w:t>
      </w:r>
      <w:r w:rsidRPr="00F85122">
        <w:rPr>
          <w:rFonts w:ascii="Calibri" w:hAnsi="Calibri"/>
          <w:i/>
          <w:iCs/>
        </w:rPr>
        <w:t>20</w:t>
      </w:r>
      <w:r w:rsidRPr="00F85122">
        <w:rPr>
          <w:rFonts w:ascii="Calibri" w:hAnsi="Calibri"/>
        </w:rPr>
        <w:t>(3), 207-221.</w:t>
      </w:r>
    </w:p>
    <w:p w14:paraId="0C9A31B2"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Victorian Law Reform Commission.</w:t>
      </w:r>
      <w:proofErr w:type="gramEnd"/>
      <w:r w:rsidRPr="00F85122">
        <w:rPr>
          <w:rFonts w:ascii="Calibri" w:hAnsi="Calibri"/>
        </w:rPr>
        <w:t xml:space="preserve"> (1988). </w:t>
      </w:r>
      <w:r w:rsidRPr="00F85122">
        <w:rPr>
          <w:rFonts w:ascii="Calibri" w:hAnsi="Calibri"/>
          <w:i/>
        </w:rPr>
        <w:t xml:space="preserve">Sexual Offences </w:t>
      </w:r>
      <w:proofErr w:type="gramStart"/>
      <w:r w:rsidRPr="00F85122">
        <w:rPr>
          <w:rFonts w:ascii="Calibri" w:hAnsi="Calibri"/>
          <w:i/>
        </w:rPr>
        <w:t>Against</w:t>
      </w:r>
      <w:proofErr w:type="gramEnd"/>
      <w:r w:rsidRPr="00F85122">
        <w:rPr>
          <w:rFonts w:ascii="Calibri" w:hAnsi="Calibri"/>
          <w:i/>
        </w:rPr>
        <w:t xml:space="preserve"> Children</w:t>
      </w:r>
      <w:r w:rsidRPr="00F85122">
        <w:rPr>
          <w:rFonts w:ascii="Calibri" w:hAnsi="Calibri"/>
        </w:rPr>
        <w:t>, Report No 18, Victorian Law Reform Commission, Melbourne.</w:t>
      </w:r>
    </w:p>
    <w:p w14:paraId="12712E1E"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Wald, M. (2013).</w:t>
      </w:r>
      <w:proofErr w:type="gramEnd"/>
      <w:r w:rsidRPr="00F85122">
        <w:rPr>
          <w:rFonts w:ascii="Calibri" w:hAnsi="Calibri"/>
        </w:rPr>
        <w:t xml:space="preserve"> </w:t>
      </w:r>
      <w:proofErr w:type="gramStart"/>
      <w:r w:rsidRPr="00F85122">
        <w:rPr>
          <w:rFonts w:ascii="Calibri" w:hAnsi="Calibri"/>
        </w:rPr>
        <w:t>Taking the Wrong Message: The Legacy of the Identification of the Battered Child Syndrome.</w:t>
      </w:r>
      <w:proofErr w:type="gramEnd"/>
      <w:r w:rsidRPr="00F85122">
        <w:rPr>
          <w:rFonts w:ascii="Calibri" w:hAnsi="Calibri"/>
        </w:rPr>
        <w:t xml:space="preserve"> In J Korbin, &amp; R Krugman (Eds.) </w:t>
      </w:r>
      <w:r w:rsidRPr="00F85122">
        <w:rPr>
          <w:rFonts w:ascii="Calibri" w:hAnsi="Calibri"/>
          <w:i/>
        </w:rPr>
        <w:t xml:space="preserve">C Henry </w:t>
      </w:r>
      <w:proofErr w:type="spellStart"/>
      <w:r w:rsidRPr="00F85122">
        <w:rPr>
          <w:rFonts w:ascii="Calibri" w:hAnsi="Calibri"/>
          <w:i/>
        </w:rPr>
        <w:t>Kempe</w:t>
      </w:r>
      <w:proofErr w:type="spellEnd"/>
      <w:r w:rsidRPr="00F85122">
        <w:rPr>
          <w:rFonts w:ascii="Calibri" w:hAnsi="Calibri"/>
          <w:i/>
        </w:rPr>
        <w:t>: A 50 Year Legacy to the Field of Child Abuse and Neglect</w:t>
      </w:r>
      <w:r w:rsidRPr="00F85122">
        <w:rPr>
          <w:rFonts w:ascii="Calibri" w:hAnsi="Calibri"/>
        </w:rPr>
        <w:t xml:space="preserve"> (pp. 89-101). </w:t>
      </w:r>
      <w:proofErr w:type="gramStart"/>
      <w:r w:rsidRPr="00F85122">
        <w:rPr>
          <w:rFonts w:ascii="Calibri" w:hAnsi="Calibri"/>
        </w:rPr>
        <w:t>Dordrecht: Springer Scientific.</w:t>
      </w:r>
      <w:proofErr w:type="gramEnd"/>
    </w:p>
    <w:p w14:paraId="1B02EE12"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Wald, M. (1975).</w:t>
      </w:r>
      <w:proofErr w:type="gramEnd"/>
      <w:r w:rsidRPr="00F85122">
        <w:rPr>
          <w:rFonts w:ascii="Calibri" w:hAnsi="Calibri"/>
        </w:rPr>
        <w:t xml:space="preserve"> </w:t>
      </w:r>
      <w:proofErr w:type="gramStart"/>
      <w:r w:rsidRPr="00F85122">
        <w:rPr>
          <w:rFonts w:ascii="Calibri" w:hAnsi="Calibri"/>
        </w:rPr>
        <w:t>State Intervention on Behalf of “Neglected” Children: A Search for Realistic Standards.</w:t>
      </w:r>
      <w:proofErr w:type="gramEnd"/>
      <w:r w:rsidRPr="00F85122">
        <w:rPr>
          <w:rFonts w:ascii="Calibri" w:hAnsi="Calibri"/>
        </w:rPr>
        <w:t xml:space="preserve"> </w:t>
      </w:r>
      <w:r w:rsidRPr="00F85122">
        <w:rPr>
          <w:rFonts w:ascii="Calibri" w:hAnsi="Calibri"/>
          <w:i/>
        </w:rPr>
        <w:t>Stanford Law Review</w:t>
      </w:r>
      <w:r w:rsidRPr="00F85122">
        <w:rPr>
          <w:rFonts w:ascii="Calibri" w:hAnsi="Calibri"/>
        </w:rPr>
        <w:t>, 27, 985.</w:t>
      </w:r>
    </w:p>
    <w:p w14:paraId="5A73F2B7" w14:textId="77777777" w:rsidR="00F85122" w:rsidRPr="00F85122" w:rsidRDefault="00F85122" w:rsidP="00F85122">
      <w:pPr>
        <w:spacing w:after="60"/>
        <w:ind w:left="737" w:hanging="737"/>
        <w:rPr>
          <w:rFonts w:ascii="Calibri" w:hAnsi="Calibri"/>
        </w:rPr>
      </w:pPr>
      <w:r w:rsidRPr="00F85122">
        <w:rPr>
          <w:rFonts w:ascii="Calibri" w:hAnsi="Calibri"/>
        </w:rPr>
        <w:lastRenderedPageBreak/>
        <w:t xml:space="preserve">Walters, D. (1995). </w:t>
      </w:r>
      <w:proofErr w:type="gramStart"/>
      <w:r w:rsidRPr="00F85122">
        <w:rPr>
          <w:rFonts w:ascii="Calibri" w:hAnsi="Calibri"/>
        </w:rPr>
        <w:t>Mandatory reporting of child abuse: Legal, ethical, and clinical implications within a Canadian context.</w:t>
      </w:r>
      <w:proofErr w:type="gramEnd"/>
      <w:r w:rsidRPr="00F85122">
        <w:rPr>
          <w:rFonts w:ascii="Calibri" w:hAnsi="Calibri"/>
        </w:rPr>
        <w:t xml:space="preserve"> </w:t>
      </w:r>
      <w:r w:rsidRPr="00F85122">
        <w:rPr>
          <w:rFonts w:ascii="Calibri" w:hAnsi="Calibri"/>
          <w:i/>
          <w:iCs/>
        </w:rPr>
        <w:t>Canadian Psychology/</w:t>
      </w:r>
      <w:proofErr w:type="spellStart"/>
      <w:r w:rsidRPr="00F85122">
        <w:rPr>
          <w:rFonts w:ascii="Calibri" w:hAnsi="Calibri"/>
          <w:i/>
          <w:iCs/>
        </w:rPr>
        <w:t>Psychologie</w:t>
      </w:r>
      <w:proofErr w:type="spellEnd"/>
      <w:r w:rsidRPr="00F85122">
        <w:rPr>
          <w:rFonts w:ascii="Calibri" w:hAnsi="Calibri"/>
          <w:i/>
          <w:iCs/>
        </w:rPr>
        <w:t xml:space="preserve"> </w:t>
      </w:r>
      <w:proofErr w:type="spellStart"/>
      <w:r w:rsidRPr="00F85122">
        <w:rPr>
          <w:rFonts w:ascii="Calibri" w:hAnsi="Calibri"/>
          <w:i/>
          <w:iCs/>
        </w:rPr>
        <w:t>Canadienne</w:t>
      </w:r>
      <w:proofErr w:type="spellEnd"/>
      <w:r w:rsidRPr="00F85122">
        <w:rPr>
          <w:rFonts w:ascii="Calibri" w:hAnsi="Calibri"/>
        </w:rPr>
        <w:t xml:space="preserve">, </w:t>
      </w:r>
      <w:r w:rsidRPr="00F85122">
        <w:rPr>
          <w:rFonts w:ascii="Calibri" w:hAnsi="Calibri"/>
          <w:i/>
          <w:iCs/>
        </w:rPr>
        <w:t>36</w:t>
      </w:r>
      <w:r w:rsidRPr="00F85122">
        <w:rPr>
          <w:rFonts w:ascii="Calibri" w:hAnsi="Calibri"/>
        </w:rPr>
        <w:t>(3), 163-182.</w:t>
      </w:r>
    </w:p>
    <w:p w14:paraId="2D334FF1"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Watson, H, &amp; Levine M. (1989).</w:t>
      </w:r>
      <w:proofErr w:type="gramEnd"/>
      <w:r w:rsidRPr="00F85122">
        <w:rPr>
          <w:rFonts w:ascii="Calibri" w:hAnsi="Calibri"/>
        </w:rPr>
        <w:t xml:space="preserve"> </w:t>
      </w:r>
      <w:proofErr w:type="gramStart"/>
      <w:r w:rsidRPr="00F85122">
        <w:rPr>
          <w:rFonts w:ascii="Calibri" w:hAnsi="Calibri"/>
        </w:rPr>
        <w:t>Psychotherapy and mandated reporting of child abuse.</w:t>
      </w:r>
      <w:proofErr w:type="gramEnd"/>
      <w:r w:rsidRPr="00F85122">
        <w:rPr>
          <w:rFonts w:ascii="Calibri" w:hAnsi="Calibri"/>
        </w:rPr>
        <w:t xml:space="preserve"> </w:t>
      </w:r>
      <w:r w:rsidRPr="00F85122">
        <w:rPr>
          <w:rFonts w:ascii="Calibri" w:hAnsi="Calibri"/>
          <w:i/>
        </w:rPr>
        <w:t>American Journal of Orthopsychiatry</w:t>
      </w:r>
      <w:r w:rsidRPr="00F85122">
        <w:rPr>
          <w:rFonts w:ascii="Calibri" w:hAnsi="Calibri"/>
        </w:rPr>
        <w:t xml:space="preserve">, </w:t>
      </w:r>
      <w:r w:rsidRPr="00F85122">
        <w:rPr>
          <w:rFonts w:ascii="Calibri" w:hAnsi="Calibri"/>
          <w:i/>
        </w:rPr>
        <w:t>59</w:t>
      </w:r>
      <w:r w:rsidRPr="00F85122">
        <w:rPr>
          <w:rFonts w:ascii="Calibri" w:hAnsi="Calibri"/>
        </w:rPr>
        <w:t xml:space="preserve">, 246-256. </w:t>
      </w:r>
    </w:p>
    <w:p w14:paraId="248E94E3"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Webberley</w:t>
      </w:r>
      <w:proofErr w:type="spellEnd"/>
      <w:r w:rsidRPr="00F85122">
        <w:rPr>
          <w:rFonts w:ascii="Calibri" w:hAnsi="Calibri"/>
        </w:rPr>
        <w:t xml:space="preserve">, H. (1985). </w:t>
      </w:r>
      <w:proofErr w:type="gramStart"/>
      <w:r w:rsidRPr="00F85122">
        <w:rPr>
          <w:rFonts w:ascii="Calibri" w:hAnsi="Calibri"/>
        </w:rPr>
        <w:t>Child maltreatment reporting laws: Impact on professionals' reporting behaviour.</w:t>
      </w:r>
      <w:proofErr w:type="gramEnd"/>
      <w:r w:rsidRPr="00F85122">
        <w:rPr>
          <w:rFonts w:ascii="Calibri" w:hAnsi="Calibri"/>
        </w:rPr>
        <w:t xml:space="preserve"> </w:t>
      </w:r>
      <w:r w:rsidRPr="00F85122">
        <w:rPr>
          <w:rFonts w:ascii="Calibri" w:hAnsi="Calibri"/>
          <w:i/>
          <w:iCs/>
        </w:rPr>
        <w:t>Australian Journal of Social Issues</w:t>
      </w:r>
      <w:r w:rsidRPr="00F85122">
        <w:rPr>
          <w:rFonts w:ascii="Calibri" w:hAnsi="Calibri"/>
        </w:rPr>
        <w:t xml:space="preserve">, </w:t>
      </w:r>
      <w:r w:rsidRPr="00F85122">
        <w:rPr>
          <w:rFonts w:ascii="Calibri" w:hAnsi="Calibri"/>
          <w:i/>
          <w:iCs/>
        </w:rPr>
        <w:t>20</w:t>
      </w:r>
      <w:r w:rsidRPr="00F85122">
        <w:rPr>
          <w:rFonts w:ascii="Calibri" w:hAnsi="Calibri"/>
        </w:rPr>
        <w:t>(2), 118-123.</w:t>
      </w:r>
    </w:p>
    <w:p w14:paraId="0CF2951F" w14:textId="528B3769" w:rsidR="00F85122" w:rsidRPr="00F85122" w:rsidRDefault="00F85122" w:rsidP="00F85122">
      <w:pPr>
        <w:spacing w:after="60"/>
        <w:ind w:left="737" w:hanging="737"/>
        <w:rPr>
          <w:rFonts w:ascii="Calibri" w:hAnsi="Calibri"/>
        </w:rPr>
      </w:pPr>
      <w:r w:rsidRPr="00F85122">
        <w:rPr>
          <w:rFonts w:ascii="Calibri" w:hAnsi="Calibri"/>
        </w:rPr>
        <w:t xml:space="preserve">Wood, J. (2008). </w:t>
      </w:r>
      <w:proofErr w:type="gramStart"/>
      <w:r w:rsidRPr="00F85122">
        <w:rPr>
          <w:rFonts w:ascii="Calibri" w:hAnsi="Calibri"/>
        </w:rPr>
        <w:t>Report of the special committee of inquiry into child protection services in New South Wales.</w:t>
      </w:r>
      <w:proofErr w:type="gramEnd"/>
      <w:r w:rsidRPr="00F85122">
        <w:rPr>
          <w:rFonts w:ascii="Calibri" w:hAnsi="Calibri"/>
        </w:rPr>
        <w:t xml:space="preserve"> </w:t>
      </w:r>
      <w:proofErr w:type="gramStart"/>
      <w:r w:rsidRPr="00F85122">
        <w:rPr>
          <w:rFonts w:ascii="Calibri" w:hAnsi="Calibri"/>
          <w:i/>
          <w:iCs/>
        </w:rPr>
        <w:t>Sydney: State of NSW through the Special Commission of Inquiry into Child Protection Services in NSW</w:t>
      </w:r>
      <w:r w:rsidRPr="00F85122">
        <w:rPr>
          <w:rFonts w:ascii="Calibri" w:hAnsi="Calibri"/>
        </w:rPr>
        <w:t>.</w:t>
      </w:r>
      <w:proofErr w:type="gramEnd"/>
      <w:r w:rsidRPr="00F85122">
        <w:rPr>
          <w:rFonts w:ascii="Calibri" w:hAnsi="Calibri"/>
        </w:rPr>
        <w:t xml:space="preserve"> &lt;</w:t>
      </w:r>
      <w:hyperlink r:id="rId79" w:tooltip="Lawlink NSW CPS Inquiry" w:history="1">
        <w:r w:rsidRPr="00F85122">
          <w:rPr>
            <w:rStyle w:val="Hyperlink"/>
            <w:rFonts w:ascii="Calibri" w:hAnsi="Calibri"/>
          </w:rPr>
          <w:t>http://www.lawlink.nsw.gov.au/cpsinquiry</w:t>
        </w:r>
      </w:hyperlink>
      <w:r w:rsidRPr="00F85122">
        <w:rPr>
          <w:rFonts w:ascii="Calibri" w:hAnsi="Calibri"/>
        </w:rPr>
        <w:t>&gt;.</w:t>
      </w:r>
    </w:p>
    <w:p w14:paraId="514F72C5" w14:textId="77777777" w:rsidR="00F85122" w:rsidRPr="00F85122" w:rsidRDefault="00F85122" w:rsidP="00F85122">
      <w:pPr>
        <w:spacing w:after="60"/>
        <w:ind w:left="737" w:hanging="737"/>
        <w:rPr>
          <w:rFonts w:ascii="Calibri" w:hAnsi="Calibri"/>
        </w:rPr>
      </w:pPr>
      <w:proofErr w:type="gramStart"/>
      <w:r w:rsidRPr="00F85122">
        <w:rPr>
          <w:rFonts w:ascii="Calibri" w:hAnsi="Calibri"/>
        </w:rPr>
        <w:t>Worley, N, &amp; Melton, G. (2014).</w:t>
      </w:r>
      <w:proofErr w:type="gramEnd"/>
      <w:r w:rsidRPr="00F85122">
        <w:rPr>
          <w:rFonts w:ascii="Calibri" w:hAnsi="Calibri"/>
        </w:rPr>
        <w:t xml:space="preserve"> </w:t>
      </w:r>
      <w:proofErr w:type="gramStart"/>
      <w:r w:rsidRPr="00F85122">
        <w:rPr>
          <w:rFonts w:ascii="Calibri" w:hAnsi="Calibri"/>
        </w:rPr>
        <w:t>Mandated Reporting Laws and Child Maltreatment: The Evolution of a Flawed Policy Response.</w:t>
      </w:r>
      <w:proofErr w:type="gramEnd"/>
      <w:r w:rsidRPr="00F85122">
        <w:rPr>
          <w:rFonts w:ascii="Calibri" w:hAnsi="Calibri"/>
        </w:rPr>
        <w:t xml:space="preserve"> In J Korbin, &amp; R Krugman (Eds.) </w:t>
      </w:r>
      <w:r w:rsidRPr="00F85122">
        <w:rPr>
          <w:rFonts w:ascii="Calibri" w:hAnsi="Calibri"/>
          <w:i/>
        </w:rPr>
        <w:t xml:space="preserve">C Henry </w:t>
      </w:r>
      <w:proofErr w:type="spellStart"/>
      <w:r w:rsidRPr="00F85122">
        <w:rPr>
          <w:rFonts w:ascii="Calibri" w:hAnsi="Calibri"/>
          <w:i/>
        </w:rPr>
        <w:t>Kempe</w:t>
      </w:r>
      <w:proofErr w:type="spellEnd"/>
      <w:r w:rsidRPr="00F85122">
        <w:rPr>
          <w:rFonts w:ascii="Calibri" w:hAnsi="Calibri"/>
          <w:i/>
        </w:rPr>
        <w:t>: A 50 Year Legacy to the Field of Child Abuse and Neglect</w:t>
      </w:r>
      <w:r w:rsidRPr="00F85122">
        <w:rPr>
          <w:rFonts w:ascii="Calibri" w:hAnsi="Calibri"/>
        </w:rPr>
        <w:t xml:space="preserve"> (pp. 89-101). </w:t>
      </w:r>
      <w:proofErr w:type="gramStart"/>
      <w:r w:rsidRPr="00F85122">
        <w:rPr>
          <w:rFonts w:ascii="Calibri" w:hAnsi="Calibri"/>
        </w:rPr>
        <w:t>Dordrecht: Springer Scientific.</w:t>
      </w:r>
      <w:proofErr w:type="gramEnd"/>
    </w:p>
    <w:p w14:paraId="6FF2C55B" w14:textId="77777777" w:rsidR="00F85122" w:rsidRPr="00F85122" w:rsidRDefault="00F85122" w:rsidP="00F85122">
      <w:pPr>
        <w:spacing w:after="60"/>
        <w:ind w:left="737" w:hanging="737"/>
        <w:rPr>
          <w:rFonts w:ascii="Calibri" w:hAnsi="Calibri"/>
        </w:rPr>
      </w:pPr>
      <w:proofErr w:type="spellStart"/>
      <w:r w:rsidRPr="00F85122">
        <w:rPr>
          <w:rFonts w:ascii="Calibri" w:hAnsi="Calibri"/>
        </w:rPr>
        <w:t>Yelas</w:t>
      </w:r>
      <w:proofErr w:type="spellEnd"/>
      <w:r w:rsidRPr="00F85122">
        <w:rPr>
          <w:rFonts w:ascii="Calibri" w:hAnsi="Calibri"/>
        </w:rPr>
        <w:t xml:space="preserve">, J. (1992). </w:t>
      </w:r>
      <w:proofErr w:type="gramStart"/>
      <w:r w:rsidRPr="00F85122">
        <w:rPr>
          <w:rFonts w:ascii="Calibri" w:hAnsi="Calibri"/>
        </w:rPr>
        <w:t>Mandatory Reporting of Child Abuse and the Public/Private Distinction.</w:t>
      </w:r>
      <w:proofErr w:type="gramEnd"/>
      <w:r w:rsidRPr="00F85122">
        <w:rPr>
          <w:rFonts w:ascii="Calibri" w:hAnsi="Calibri"/>
        </w:rPr>
        <w:t xml:space="preserve">  </w:t>
      </w:r>
      <w:r w:rsidRPr="00F85122">
        <w:rPr>
          <w:rFonts w:ascii="Calibri" w:hAnsi="Calibri"/>
          <w:i/>
        </w:rPr>
        <w:t>Auckland University Law Review</w:t>
      </w:r>
      <w:r w:rsidRPr="00F85122">
        <w:rPr>
          <w:rFonts w:ascii="Calibri" w:hAnsi="Calibri"/>
        </w:rPr>
        <w:t xml:space="preserve">, </w:t>
      </w:r>
      <w:r w:rsidRPr="00F85122">
        <w:rPr>
          <w:rFonts w:ascii="Calibri" w:hAnsi="Calibri"/>
          <w:i/>
        </w:rPr>
        <w:t>7</w:t>
      </w:r>
      <w:r w:rsidRPr="00F85122">
        <w:rPr>
          <w:rFonts w:ascii="Calibri" w:hAnsi="Calibri"/>
        </w:rPr>
        <w:t>, 781-802.</w:t>
      </w:r>
    </w:p>
    <w:p w14:paraId="03E42170" w14:textId="77777777" w:rsidR="00F85122" w:rsidRPr="0052480C" w:rsidRDefault="00F85122" w:rsidP="00F85122">
      <w:pPr>
        <w:rPr>
          <w:rFonts w:asciiTheme="majorHAnsi" w:hAnsiTheme="majorHAnsi"/>
        </w:rPr>
        <w:sectPr w:rsidR="00F85122" w:rsidRPr="0052480C" w:rsidSect="00D650B4">
          <w:pgSz w:w="11900" w:h="16840"/>
          <w:pgMar w:top="1418" w:right="1134" w:bottom="1134" w:left="1134" w:header="708" w:footer="708" w:gutter="0"/>
          <w:cols w:space="708"/>
          <w:docGrid w:linePitch="360"/>
        </w:sectPr>
      </w:pPr>
    </w:p>
    <w:p w14:paraId="66B9E3DF" w14:textId="0ABBBC52" w:rsidR="00EE4C47" w:rsidRDefault="00030EC2" w:rsidP="00B15586">
      <w:pPr>
        <w:pStyle w:val="Heading2"/>
      </w:pPr>
      <w:r>
        <w:lastRenderedPageBreak/>
        <w:t>Appendix 1</w:t>
      </w:r>
      <w:r w:rsidR="00AD5138">
        <w:t xml:space="preserve">: </w:t>
      </w:r>
      <w:r>
        <w:br/>
      </w:r>
      <w:r w:rsidR="00EE4C47" w:rsidRPr="00EE4C47">
        <w:t>Research Approach</w:t>
      </w:r>
    </w:p>
    <w:p w14:paraId="456A22BC" w14:textId="77777777" w:rsidR="00FF2D54" w:rsidRDefault="00FF2D54" w:rsidP="00B15586">
      <w:pPr>
        <w:spacing w:after="200" w:line="276" w:lineRule="auto"/>
        <w:jc w:val="center"/>
        <w:rPr>
          <w:b/>
          <w:color w:val="365F91" w:themeColor="accent1" w:themeShade="BF"/>
          <w:sz w:val="80"/>
          <w:szCs w:val="80"/>
        </w:rPr>
        <w:sectPr w:rsidR="00FF2D54" w:rsidSect="00FF2D54">
          <w:footerReference w:type="default" r:id="rId80"/>
          <w:pgSz w:w="11906" w:h="16838"/>
          <w:pgMar w:top="1138" w:right="1138" w:bottom="1138" w:left="1138" w:header="706" w:footer="706" w:gutter="0"/>
          <w:cols w:space="708"/>
          <w:vAlign w:val="center"/>
          <w:docGrid w:linePitch="360"/>
        </w:sectPr>
      </w:pPr>
    </w:p>
    <w:p w14:paraId="724B3E6D" w14:textId="4ABD6CD1" w:rsidR="00386E1B" w:rsidRPr="00386E1B" w:rsidRDefault="003A194E" w:rsidP="00B871BE">
      <w:pPr>
        <w:pStyle w:val="Heading3"/>
        <w:pBdr>
          <w:bottom w:val="single" w:sz="8" w:space="1" w:color="365F91"/>
        </w:pBdr>
      </w:pPr>
      <w:bookmarkStart w:id="237" w:name="_Toc435716776"/>
      <w:r>
        <w:lastRenderedPageBreak/>
        <w:t>Appendix 1: Research Approach</w:t>
      </w:r>
      <w:bookmarkEnd w:id="237"/>
      <w:r>
        <w:t xml:space="preserve"> </w:t>
      </w:r>
    </w:p>
    <w:p w14:paraId="4BA6C7CB" w14:textId="77777777" w:rsidR="004272D4" w:rsidRPr="007E77A8" w:rsidRDefault="004272D4" w:rsidP="007B2820">
      <w:pPr>
        <w:pStyle w:val="Heading4"/>
        <w:spacing w:line="360" w:lineRule="auto"/>
      </w:pPr>
      <w:bookmarkStart w:id="238" w:name="_Toc399665719"/>
      <w:bookmarkStart w:id="239" w:name="_Toc399667243"/>
      <w:bookmarkStart w:id="240" w:name="_Toc399668985"/>
      <w:bookmarkStart w:id="241" w:name="_Toc399676771"/>
      <w:bookmarkStart w:id="242" w:name="_Toc435716777"/>
      <w:r w:rsidRPr="00075B27">
        <w:t>Overview</w:t>
      </w:r>
      <w:bookmarkEnd w:id="238"/>
      <w:bookmarkEnd w:id="239"/>
      <w:bookmarkEnd w:id="240"/>
      <w:bookmarkEnd w:id="241"/>
      <w:bookmarkEnd w:id="242"/>
    </w:p>
    <w:p w14:paraId="67A00906" w14:textId="47521825" w:rsidR="004272D4" w:rsidRDefault="004272D4" w:rsidP="00AD5138">
      <w:pPr>
        <w:jc w:val="both"/>
        <w:rPr>
          <w:rFonts w:ascii="Calibri" w:eastAsia="Calibri" w:hAnsi="Calibri" w:cs="Times New Roman"/>
        </w:rPr>
      </w:pPr>
      <w:r w:rsidRPr="007E77A8">
        <w:rPr>
          <w:rFonts w:ascii="Calibri" w:eastAsia="Calibri" w:hAnsi="Calibri" w:cs="Times New Roman"/>
        </w:rPr>
        <w:t xml:space="preserve">The research project entitled </w:t>
      </w:r>
      <w:r w:rsidRPr="007E77A8">
        <w:rPr>
          <w:rFonts w:ascii="Calibri" w:eastAsia="Calibri" w:hAnsi="Calibri" w:cs="Times New Roman"/>
          <w:i/>
        </w:rPr>
        <w:t>Child Abuse and Neglect: A Socio-legal study of mandatory reporting in Australia</w:t>
      </w:r>
      <w:r w:rsidRPr="007E77A8">
        <w:rPr>
          <w:rFonts w:ascii="Calibri" w:eastAsia="Calibri" w:hAnsi="Calibri" w:cs="Times New Roman"/>
        </w:rPr>
        <w:t xml:space="preserve"> </w:t>
      </w:r>
      <w:proofErr w:type="gramStart"/>
      <w:r w:rsidRPr="007E77A8">
        <w:rPr>
          <w:rFonts w:ascii="Calibri" w:eastAsia="Calibri" w:hAnsi="Calibri" w:cs="Times New Roman"/>
        </w:rPr>
        <w:t>was funded by the Commonwealth Department of Social Services, and administered through the Victorian Department of Human Services in 2013-2014</w:t>
      </w:r>
      <w:proofErr w:type="gramEnd"/>
      <w:r w:rsidRPr="007E77A8">
        <w:rPr>
          <w:rFonts w:ascii="Calibri" w:eastAsia="Calibri" w:hAnsi="Calibri" w:cs="Times New Roman"/>
        </w:rPr>
        <w:t xml:space="preserve">. The project arose </w:t>
      </w:r>
      <w:proofErr w:type="gramStart"/>
      <w:r w:rsidRPr="007E77A8">
        <w:rPr>
          <w:rFonts w:ascii="Calibri" w:eastAsia="Calibri" w:hAnsi="Calibri" w:cs="Times New Roman"/>
        </w:rPr>
        <w:t>as a result</w:t>
      </w:r>
      <w:proofErr w:type="gramEnd"/>
      <w:r w:rsidRPr="007E77A8">
        <w:rPr>
          <w:rFonts w:ascii="Calibri" w:eastAsia="Calibri" w:hAnsi="Calibri" w:cs="Times New Roman"/>
        </w:rPr>
        <w:t xml:space="preserve"> of two coinciding events. First, the </w:t>
      </w:r>
      <w:r w:rsidRPr="007E77A8">
        <w:rPr>
          <w:rFonts w:ascii="Calibri" w:eastAsia="Calibri" w:hAnsi="Calibri" w:cs="Times New Roman"/>
          <w:i/>
        </w:rPr>
        <w:t>Protecting Victoria’s Vulnerable Children Inquiry</w:t>
      </w:r>
      <w:r w:rsidRPr="007E77A8">
        <w:rPr>
          <w:rFonts w:ascii="Calibri" w:eastAsia="Calibri" w:hAnsi="Calibri" w:cs="Times New Roman"/>
        </w:rPr>
        <w:t xml:space="preserve"> in 2012 had </w:t>
      </w:r>
      <w:proofErr w:type="gramStart"/>
      <w:r w:rsidRPr="007E77A8">
        <w:rPr>
          <w:rFonts w:ascii="Calibri" w:eastAsia="Calibri" w:hAnsi="Calibri" w:cs="Times New Roman"/>
        </w:rPr>
        <w:t>made a recommendation</w:t>
      </w:r>
      <w:proofErr w:type="gramEnd"/>
      <w:r w:rsidRPr="007E77A8">
        <w:rPr>
          <w:rFonts w:ascii="Calibri" w:eastAsia="Calibri" w:hAnsi="Calibri" w:cs="Times New Roman"/>
        </w:rPr>
        <w:t xml:space="preserve"> that the Victorian Government obtain the agreement of all jurisdictions to undertake a national evaluation of mandatory reporting schemes with a view to </w:t>
      </w:r>
      <w:r w:rsidRPr="007E77A8">
        <w:rPr>
          <w:rFonts w:ascii="Calibri" w:eastAsia="Calibri" w:hAnsi="Calibri" w:cs="Times New Roman"/>
          <w:i/>
        </w:rPr>
        <w:t>identifying opportunities to harmonise the various statutory regimes</w:t>
      </w:r>
      <w:r w:rsidRPr="007E77A8">
        <w:rPr>
          <w:rFonts w:ascii="Calibri" w:eastAsia="Calibri" w:hAnsi="Calibri" w:cs="Times New Roman"/>
        </w:rPr>
        <w:t xml:space="preserve"> (Cummins, Scott, &amp; Scales, 2012, recommendation 46, p 349). Second, an approach </w:t>
      </w:r>
      <w:proofErr w:type="gramStart"/>
      <w:r w:rsidRPr="007E77A8">
        <w:rPr>
          <w:rFonts w:ascii="Calibri" w:eastAsia="Calibri" w:hAnsi="Calibri" w:cs="Times New Roman"/>
        </w:rPr>
        <w:t>had been made</w:t>
      </w:r>
      <w:proofErr w:type="gramEnd"/>
      <w:r w:rsidRPr="007E77A8">
        <w:rPr>
          <w:rFonts w:ascii="Calibri" w:eastAsia="Calibri" w:hAnsi="Calibri" w:cs="Times New Roman"/>
        </w:rPr>
        <w:t xml:space="preserve"> by the research team</w:t>
      </w:r>
      <w:r w:rsidRPr="007E77A8">
        <w:rPr>
          <w:rFonts w:ascii="Calibri" w:eastAsia="Calibri" w:hAnsi="Calibri" w:cs="Times New Roman"/>
          <w:vertAlign w:val="superscript"/>
        </w:rPr>
        <w:footnoteReference w:id="60"/>
      </w:r>
      <w:r w:rsidRPr="007E77A8">
        <w:rPr>
          <w:rFonts w:ascii="Calibri" w:eastAsia="Calibri" w:hAnsi="Calibri" w:cs="Times New Roman"/>
        </w:rPr>
        <w:t xml:space="preserve"> to the Victorian Government to conduct a very similar research project, which in some ways was broader than the funded project,</w:t>
      </w:r>
      <w:r w:rsidRPr="007E77A8">
        <w:rPr>
          <w:rFonts w:ascii="Calibri" w:eastAsia="Calibri" w:hAnsi="Calibri" w:cs="Times New Roman"/>
          <w:vertAlign w:val="superscript"/>
        </w:rPr>
        <w:footnoteReference w:id="61"/>
      </w:r>
      <w:r w:rsidRPr="007E77A8">
        <w:rPr>
          <w:rFonts w:ascii="Calibri" w:eastAsia="Calibri" w:hAnsi="Calibri" w:cs="Times New Roman"/>
        </w:rPr>
        <w:t xml:space="preserve"> and in other ways narrower</w:t>
      </w:r>
      <w:r>
        <w:rPr>
          <w:rFonts w:ascii="Calibri" w:eastAsia="Calibri" w:hAnsi="Calibri" w:cs="Times New Roman"/>
        </w:rPr>
        <w:t>.</w:t>
      </w:r>
    </w:p>
    <w:p w14:paraId="118F1865" w14:textId="5DC0B80F" w:rsidR="007B2820" w:rsidRPr="007E77A8" w:rsidRDefault="004272D4" w:rsidP="00AD5138">
      <w:pPr>
        <w:jc w:val="both"/>
      </w:pPr>
      <w:r w:rsidRPr="007E77A8">
        <w:t xml:space="preserve">The research project and its central questions </w:t>
      </w:r>
      <w:proofErr w:type="gramStart"/>
      <w:r w:rsidRPr="007E77A8">
        <w:t>were designed</w:t>
      </w:r>
      <w:proofErr w:type="gramEnd"/>
      <w:r w:rsidRPr="007E77A8">
        <w:t xml:space="preserve"> through liaison and negotiation between the research team and the Victorian Department to meet the needs of the Victorian Department and the recommendation in the Inquiry. </w:t>
      </w:r>
      <w:r w:rsidRPr="007E77A8">
        <w:rPr>
          <w:b/>
        </w:rPr>
        <w:t xml:space="preserve">The essence of the research project is to explore in every Australian State and Territory the reporting by different reporter groups of different types of suspected child abuse and </w:t>
      </w:r>
      <w:r w:rsidRPr="007E77A8">
        <w:rPr>
          <w:b/>
        </w:rPr>
        <w:lastRenderedPageBreak/>
        <w:t>neglect</w:t>
      </w:r>
      <w:r w:rsidRPr="007E77A8">
        <w:t xml:space="preserve">.  </w:t>
      </w:r>
      <w:r w:rsidR="007D5DBD" w:rsidRPr="007E77A8">
        <w:t xml:space="preserve">Accordingly, the research project is </w:t>
      </w:r>
      <w:r w:rsidR="007D5DBD" w:rsidRPr="007E77A8">
        <w:rPr>
          <w:i/>
        </w:rPr>
        <w:t>not</w:t>
      </w:r>
      <w:r w:rsidR="007D5DBD" w:rsidRPr="007E77A8">
        <w:t xml:space="preserve"> aimed at exploring reports </w:t>
      </w:r>
      <w:r w:rsidR="007D5DBD">
        <w:t xml:space="preserve">by mandated or non-mandated reporters </w:t>
      </w:r>
      <w:r w:rsidR="007D5DBD" w:rsidRPr="007E77A8">
        <w:t>of family support issues or low-level child welfare issues which are normally termed ‘child concern reports’.</w:t>
      </w:r>
      <w:r w:rsidR="00565680">
        <w:t xml:space="preserve"> </w:t>
      </w:r>
    </w:p>
    <w:p w14:paraId="5FEE35C5" w14:textId="77777777" w:rsidR="004272D4" w:rsidRPr="007E77A8" w:rsidRDefault="004272D4" w:rsidP="007B2820">
      <w:pPr>
        <w:pStyle w:val="Heading4"/>
        <w:spacing w:line="276" w:lineRule="auto"/>
      </w:pPr>
      <w:bookmarkStart w:id="243" w:name="_Toc435716778"/>
      <w:r w:rsidRPr="007E77A8">
        <w:t xml:space="preserve">Stage 1: </w:t>
      </w:r>
      <w:r w:rsidRPr="00344142">
        <w:t>Legal</w:t>
      </w:r>
      <w:r w:rsidRPr="007E77A8">
        <w:t xml:space="preserve"> doctrinal and historical analysis of legislative mandatory reporting duties in each Australian State and Territory</w:t>
      </w:r>
      <w:bookmarkEnd w:id="243"/>
    </w:p>
    <w:p w14:paraId="005459DE" w14:textId="40D8F1CA" w:rsidR="004272D4" w:rsidRPr="007E77A8" w:rsidRDefault="004272D4" w:rsidP="00AD5138">
      <w:pPr>
        <w:jc w:val="both"/>
      </w:pPr>
      <w:r w:rsidRPr="007E77A8">
        <w:t xml:space="preserve">Stage 1 of the project conducted a legal doctrinal and historical analysis of legislative mandatory reporting duties in each of Australia’s eight States and Territories, and changes in those duties, over a decade. This part of the project identified which persons were mandated reporters, for which types of child abuse and neglect, in each jurisdiction, at 1 January 2003, and every change in the legislative reporting duties over the decade 2003-2012. This analysis enabled the research team to identify the nature and precise timing of significant changes in the mandatory reporting duties, and to identify at every point in time over the decade within each jurisdiction which persons were mandated reporters, and for which maltreatment types. It also enabled a comparative analysis across jurisdictions of which reporter groups were and were not mandated reporters, and for which maltreatment types. </w:t>
      </w:r>
    </w:p>
    <w:p w14:paraId="3E88FF05" w14:textId="5F50FBCE" w:rsidR="004272D4" w:rsidRPr="007E77A8" w:rsidRDefault="004272D4" w:rsidP="00AD5138">
      <w:pPr>
        <w:jc w:val="both"/>
      </w:pPr>
      <w:r w:rsidRPr="007E77A8">
        <w:t xml:space="preserve">This legal doctrinal and historical analysis provides the Victorian Government with information about differences across jurisdictions in the mandatory reporter groups, and the types of abuse and neglect they are required to report. It therefore </w:t>
      </w:r>
      <w:r w:rsidRPr="007E77A8">
        <w:rPr>
          <w:i/>
        </w:rPr>
        <w:t>identifies</w:t>
      </w:r>
      <w:r w:rsidRPr="007E77A8">
        <w:t xml:space="preserve"> </w:t>
      </w:r>
      <w:r w:rsidRPr="007E77A8">
        <w:rPr>
          <w:i/>
        </w:rPr>
        <w:t>opportunities to harmonise the various statutory regimes</w:t>
      </w:r>
      <w:r w:rsidRPr="007E77A8">
        <w:t xml:space="preserve"> in mandated reporter groups and types of </w:t>
      </w:r>
      <w:proofErr w:type="gramStart"/>
      <w:r w:rsidRPr="007E77A8">
        <w:t>maltreatment which</w:t>
      </w:r>
      <w:proofErr w:type="gramEnd"/>
      <w:r w:rsidRPr="007E77A8">
        <w:t xml:space="preserve"> these groups are required to report. However, decisions on whether, how, and to what extent to harmonise the statutory regimes require policy deliberations and decisions by various government departments.</w:t>
      </w:r>
    </w:p>
    <w:p w14:paraId="28AC3DB5" w14:textId="77777777" w:rsidR="004272D4" w:rsidRPr="007E77A8" w:rsidRDefault="004272D4" w:rsidP="007B2820">
      <w:pPr>
        <w:pStyle w:val="Heading4"/>
        <w:spacing w:line="276" w:lineRule="auto"/>
      </w:pPr>
      <w:bookmarkStart w:id="244" w:name="_Toc435716779"/>
      <w:r w:rsidRPr="007E77A8">
        <w:t>Stage 2: Numbers and outcomes of notifications of each type of child abuse and neglect: Descriptive analysis and data mining</w:t>
      </w:r>
      <w:bookmarkEnd w:id="244"/>
    </w:p>
    <w:p w14:paraId="2DA2161C" w14:textId="3E36FE79" w:rsidR="007B2820" w:rsidRDefault="004272D4" w:rsidP="00AD5138">
      <w:pPr>
        <w:jc w:val="both"/>
      </w:pPr>
      <w:r w:rsidRPr="007E77A8">
        <w:t xml:space="preserve">Stage 2 of the project explored numbers and outcomes of ‘notifications’ of each type of child abuse and neglect (physical abuse, sexual abuse, psychological or emotional abuse, and neglect) made by mandated reporter groups and other reporter groups, in each jurisdiction, for each year over the decade 2003-2012. </w:t>
      </w:r>
      <w:proofErr w:type="gramStart"/>
      <w:r w:rsidRPr="007E77A8">
        <w:t>The purpose of this aspect of the project was to use data mining and summary descriptive statistics to identify the reporting practice of different reporter groups for different types of child abuse and neglect, to identify significant trends in reporting within jurisdictions over time, and to compare reporting practices with legislative requirements and changes in legislative mandatory reporting laws over the decade.</w:t>
      </w:r>
      <w:proofErr w:type="gramEnd"/>
      <w:r w:rsidRPr="007E77A8">
        <w:t xml:space="preserve"> </w:t>
      </w:r>
    </w:p>
    <w:p w14:paraId="3D920DCC" w14:textId="1997602A" w:rsidR="00B83FC4" w:rsidRDefault="004272D4" w:rsidP="007B2820">
      <w:pPr>
        <w:pStyle w:val="Heading5"/>
      </w:pPr>
      <w:r w:rsidRPr="007E77A8">
        <w:lastRenderedPageBreak/>
        <w:t>Access to data</w:t>
      </w:r>
    </w:p>
    <w:p w14:paraId="476C6EFD" w14:textId="3CFA599A" w:rsidR="004272D4" w:rsidRPr="007E77A8" w:rsidRDefault="004272D4" w:rsidP="00AD5138">
      <w:pPr>
        <w:jc w:val="both"/>
      </w:pPr>
      <w:r w:rsidRPr="007E77A8">
        <w:t xml:space="preserve">This stage of the project relied on each jurisdiction providing unit record data regarding notifications of child abuse and neglect over the decade. </w:t>
      </w:r>
      <w:proofErr w:type="gramStart"/>
      <w:r w:rsidRPr="007E77A8">
        <w:t xml:space="preserve">Jurisdictions in Australia have differences in the process by which they receive ‘reports’ of suspected abuse and neglect (these are termed </w:t>
      </w:r>
      <w:r w:rsidRPr="007E77A8">
        <w:rPr>
          <w:b/>
        </w:rPr>
        <w:t>‘child protection notifications’</w:t>
      </w:r>
      <w:r w:rsidRPr="007E77A8">
        <w:t xml:space="preserve"> for other data recording purposes </w:t>
      </w:r>
      <w:proofErr w:type="spellStart"/>
      <w:r w:rsidRPr="007E77A8">
        <w:t>eg</w:t>
      </w:r>
      <w:proofErr w:type="spellEnd"/>
      <w:r w:rsidRPr="007E77A8">
        <w:t xml:space="preserve"> the annual Australian Institute of Health and Welfare Child Protection Australia report, and its ‘counting rule’ for child protection notifications), and of other matters concerning children’s welfare (these are termed </w:t>
      </w:r>
      <w:r w:rsidRPr="007E77A8">
        <w:rPr>
          <w:b/>
        </w:rPr>
        <w:t xml:space="preserve">‘child concern reports’ </w:t>
      </w:r>
      <w:r w:rsidRPr="007E77A8">
        <w:t>for the AIHW data recording purposes).</w:t>
      </w:r>
      <w:proofErr w:type="gramEnd"/>
      <w:r w:rsidRPr="007E77A8">
        <w:t xml:space="preserve"> They also have differences in their classification and treatment of these initial intakes. Because of the parameters of our research project, our focus </w:t>
      </w:r>
      <w:proofErr w:type="gramStart"/>
      <w:r w:rsidRPr="007E77A8">
        <w:t>was on reports of suspected child abuse and neglect (classed</w:t>
      </w:r>
      <w:proofErr w:type="gramEnd"/>
      <w:r w:rsidRPr="007E77A8">
        <w:t xml:space="preserve"> as ‘notifications’); we did not seek to explore </w:t>
      </w:r>
      <w:r w:rsidRPr="007E77A8">
        <w:rPr>
          <w:i/>
        </w:rPr>
        <w:t>all</w:t>
      </w:r>
      <w:r w:rsidRPr="007E77A8">
        <w:t xml:space="preserve"> reports of </w:t>
      </w:r>
      <w:r w:rsidRPr="007E77A8">
        <w:rPr>
          <w:i/>
        </w:rPr>
        <w:t>any</w:t>
      </w:r>
      <w:r w:rsidRPr="007E77A8">
        <w:t xml:space="preserve"> matters concerning children (</w:t>
      </w:r>
      <w:proofErr w:type="spellStart"/>
      <w:r w:rsidRPr="007E77A8">
        <w:t>ie</w:t>
      </w:r>
      <w:proofErr w:type="spellEnd"/>
      <w:r w:rsidRPr="007E77A8">
        <w:t xml:space="preserve"> those concerning children’s welfare as well as those relating to suspected abuse or neglect). Further information in this regard </w:t>
      </w:r>
      <w:proofErr w:type="gramStart"/>
      <w:r w:rsidRPr="007E77A8">
        <w:t>is depicted</w:t>
      </w:r>
      <w:proofErr w:type="gramEnd"/>
      <w:r w:rsidRPr="007E77A8">
        <w:t xml:space="preserve"> in Appendix 1</w:t>
      </w:r>
      <w:r w:rsidR="00F4347A">
        <w:t xml:space="preserve"> Table 1</w:t>
      </w:r>
      <w:r w:rsidRPr="007E77A8">
        <w:t xml:space="preserve"> (</w:t>
      </w:r>
      <w:r w:rsidRPr="007E77A8">
        <w:rPr>
          <w:i/>
        </w:rPr>
        <w:t>Comparative table of child protection system intake processes and our data collection approach</w:t>
      </w:r>
      <w:r w:rsidRPr="007E77A8">
        <w:t xml:space="preserve">) and Appendix </w:t>
      </w:r>
      <w:r w:rsidR="00F4347A">
        <w:t xml:space="preserve">1 </w:t>
      </w:r>
      <w:r w:rsidR="00E14B79">
        <w:t>Figure 1</w:t>
      </w:r>
      <w:r w:rsidRPr="007E77A8">
        <w:t xml:space="preserve"> (</w:t>
      </w:r>
      <w:r w:rsidRPr="007E77A8">
        <w:rPr>
          <w:i/>
        </w:rPr>
        <w:t>Key points in the child protection system intake process</w:t>
      </w:r>
      <w:r w:rsidRPr="007E77A8">
        <w:t>).</w:t>
      </w:r>
      <w:r w:rsidR="007B2820" w:rsidRPr="007E77A8">
        <w:t xml:space="preserve"> </w:t>
      </w:r>
    </w:p>
    <w:p w14:paraId="25EAB0E9" w14:textId="77777777" w:rsidR="00B83FC4" w:rsidRDefault="004272D4" w:rsidP="007B2820">
      <w:pPr>
        <w:pStyle w:val="Heading5"/>
        <w:spacing w:before="100" w:beforeAutospacing="1"/>
      </w:pPr>
      <w:r w:rsidRPr="007E77A8">
        <w:t>Data collection</w:t>
      </w:r>
    </w:p>
    <w:p w14:paraId="790CA9D4" w14:textId="77777777" w:rsidR="00A27DD4" w:rsidRDefault="004272D4" w:rsidP="00AD5138">
      <w:pPr>
        <w:spacing w:after="240"/>
        <w:jc w:val="both"/>
      </w:pPr>
      <w:r w:rsidRPr="007E77A8">
        <w:t xml:space="preserve">Requests to provide data </w:t>
      </w:r>
      <w:proofErr w:type="gramStart"/>
      <w:r w:rsidRPr="007E77A8">
        <w:t>were made</w:t>
      </w:r>
      <w:proofErr w:type="gramEnd"/>
      <w:r w:rsidRPr="007E77A8">
        <w:t xml:space="preserve"> to each State and Territory government department responsible for receiving intakes concerning suspected child abuse and neglect. Data were provided to the research team at various times over the period 21 October 2013 to 25 July 2014, often with further discussions and negotiations required to facilitate complete submission of data and to clarify other aspects of the data provided. Four jurisdictions provided data exactly as requested (Australian Capital Territory, Queensland, Victoria, Western Australia).One jurisdiction, Tasmania, provided data as requested but only for </w:t>
      </w:r>
      <w:proofErr w:type="gramStart"/>
      <w:r w:rsidRPr="007E77A8">
        <w:t>nine</w:t>
      </w:r>
      <w:proofErr w:type="gramEnd"/>
      <w:r w:rsidRPr="007E77A8">
        <w:t xml:space="preserve"> rather than 10 years (i.e. 2004-2012). Two jurisdictions (Northern Territory and South Australia) provided aggregate summary data for the decade rather than unit record data. One jurisdiction (New South Wales) provided summary aggregate data only for the years </w:t>
      </w:r>
      <w:proofErr w:type="gramStart"/>
      <w:r w:rsidRPr="007E77A8">
        <w:t>2010-2012,</w:t>
      </w:r>
      <w:proofErr w:type="gramEnd"/>
      <w:r w:rsidRPr="007E77A8">
        <w:t xml:space="preserve"> and some other aggregate data for prior years, which enabled only partial exploration of the research questions for that jurisdiction.</w:t>
      </w:r>
    </w:p>
    <w:p w14:paraId="0F8EEEE9" w14:textId="75DC257F" w:rsidR="00B83FC4" w:rsidRPr="00A27DD4" w:rsidRDefault="004272D4" w:rsidP="00A27DD4">
      <w:pPr>
        <w:pStyle w:val="Heading5"/>
      </w:pPr>
      <w:r w:rsidRPr="00A27DD4">
        <w:rPr>
          <w:rStyle w:val="Heading5Char"/>
          <w:b/>
        </w:rPr>
        <w:t>Data analysis</w:t>
      </w:r>
    </w:p>
    <w:p w14:paraId="5BDA99C5" w14:textId="3C5FFE6D" w:rsidR="004272D4" w:rsidRPr="007E77A8" w:rsidRDefault="004272D4" w:rsidP="00AD5138">
      <w:pPr>
        <w:jc w:val="both"/>
      </w:pPr>
      <w:r w:rsidRPr="007E77A8">
        <w:rPr>
          <w:i/>
        </w:rPr>
        <w:t>Data mining</w:t>
      </w:r>
      <w:r w:rsidRPr="007E77A8">
        <w:t xml:space="preserve">, also termed </w:t>
      </w:r>
      <w:r w:rsidRPr="007E77A8">
        <w:rPr>
          <w:i/>
        </w:rPr>
        <w:t>knowledge discovery</w:t>
      </w:r>
      <w:r w:rsidRPr="007E77A8">
        <w:t xml:space="preserve">, refers to the process of analysing large datasets to isolate significant or noteworthy patterns and trends. The process includes </w:t>
      </w:r>
      <w:r w:rsidRPr="007E77A8">
        <w:rPr>
          <w:i/>
        </w:rPr>
        <w:t>cluster analysis</w:t>
      </w:r>
      <w:r w:rsidRPr="007E77A8">
        <w:t xml:space="preserve"> (identifying groups of data records), </w:t>
      </w:r>
      <w:r w:rsidRPr="007E77A8">
        <w:rPr>
          <w:i/>
        </w:rPr>
        <w:t>anomaly</w:t>
      </w:r>
      <w:r w:rsidRPr="007E77A8">
        <w:t xml:space="preserve"> </w:t>
      </w:r>
      <w:r w:rsidRPr="007E77A8">
        <w:rPr>
          <w:i/>
        </w:rPr>
        <w:t>detection</w:t>
      </w:r>
      <w:r w:rsidRPr="007E77A8">
        <w:t xml:space="preserve"> (identifying unusual patterns or outlier trends), </w:t>
      </w:r>
      <w:r w:rsidRPr="007E77A8">
        <w:rPr>
          <w:i/>
        </w:rPr>
        <w:t>association rule learning</w:t>
      </w:r>
      <w:r w:rsidRPr="007E77A8">
        <w:t xml:space="preserve"> (identifying relationships between variables), and </w:t>
      </w:r>
      <w:r w:rsidRPr="007E77A8">
        <w:rPr>
          <w:i/>
        </w:rPr>
        <w:t>summarisation</w:t>
      </w:r>
      <w:r w:rsidRPr="007E77A8">
        <w:t xml:space="preserve"> (generating a more concise representation of the dataset including creation of reports and summaries) (Han &amp; </w:t>
      </w:r>
      <w:proofErr w:type="spellStart"/>
      <w:r w:rsidRPr="007E77A8">
        <w:t>Kamber</w:t>
      </w:r>
      <w:proofErr w:type="spellEnd"/>
      <w:r w:rsidRPr="007E77A8">
        <w:t xml:space="preserve"> 2012; Stephens et al 2006). </w:t>
      </w:r>
    </w:p>
    <w:p w14:paraId="6C49F54D" w14:textId="77777777" w:rsidR="004272D4" w:rsidRPr="007E77A8" w:rsidRDefault="004272D4" w:rsidP="007B2820">
      <w:r w:rsidRPr="007E77A8">
        <w:lastRenderedPageBreak/>
        <w:t>Key steps in the data mining process adopted in this project were:</w:t>
      </w:r>
    </w:p>
    <w:p w14:paraId="6C5489E6" w14:textId="74E90EE3" w:rsidR="004272D4" w:rsidRPr="007E77A8" w:rsidRDefault="004272D4" w:rsidP="001876C9">
      <w:pPr>
        <w:pStyle w:val="ListParagraph"/>
        <w:numPr>
          <w:ilvl w:val="0"/>
          <w:numId w:val="21"/>
        </w:numPr>
      </w:pPr>
      <w:r w:rsidRPr="007B2820">
        <w:rPr>
          <w:i/>
        </w:rPr>
        <w:t>selection of data and obtaining data</w:t>
      </w:r>
      <w:r w:rsidRPr="007E77A8">
        <w:t xml:space="preserve"> (research project conceptualisation informing the nature of the request for data; requesting the relevant data in useable form from government child protection departments in each of the eight jurisdictions; receiving the data in excel spreadsheets containing unit record data, or for two jurisdictions, aggregate summary data, and for one jurisdiction, some aggregate tables); </w:t>
      </w:r>
    </w:p>
    <w:p w14:paraId="023B315F" w14:textId="1C24D1BE" w:rsidR="004272D4" w:rsidRPr="007E77A8" w:rsidRDefault="004272D4" w:rsidP="001876C9">
      <w:pPr>
        <w:pStyle w:val="ListParagraph"/>
        <w:numPr>
          <w:ilvl w:val="0"/>
          <w:numId w:val="21"/>
        </w:numPr>
      </w:pPr>
      <w:r w:rsidRPr="007B2820">
        <w:rPr>
          <w:i/>
        </w:rPr>
        <w:t>data pre-processing</w:t>
      </w:r>
      <w:r w:rsidRPr="007E77A8">
        <w:t>, which includes data cleaning, including removing missing and irrelevant data</w:t>
      </w:r>
      <w:r w:rsidR="00E14B79">
        <w:t xml:space="preserve"> (</w:t>
      </w:r>
      <w:r w:rsidR="00E14B79" w:rsidRPr="00E14B79">
        <w:t>this included removing data where the coded maltreatment category was ‘not stated’ or ‘other’</w:t>
      </w:r>
      <w:r w:rsidR="00E14B79">
        <w:t>)</w:t>
      </w:r>
      <w:r w:rsidRPr="007E77A8">
        <w:t xml:space="preserve">, and collation of the data; </w:t>
      </w:r>
    </w:p>
    <w:p w14:paraId="33E1C3E2" w14:textId="72948B61" w:rsidR="004272D4" w:rsidRPr="007E77A8" w:rsidRDefault="004272D4" w:rsidP="001876C9">
      <w:pPr>
        <w:pStyle w:val="ListParagraph"/>
        <w:numPr>
          <w:ilvl w:val="0"/>
          <w:numId w:val="21"/>
        </w:numPr>
      </w:pPr>
      <w:r w:rsidRPr="007B2820">
        <w:rPr>
          <w:i/>
        </w:rPr>
        <w:t>data mining</w:t>
      </w:r>
      <w:r w:rsidRPr="007E77A8">
        <w:t xml:space="preserve">, which includes: </w:t>
      </w:r>
    </w:p>
    <w:p w14:paraId="77247BAF" w14:textId="77777777" w:rsidR="004272D4" w:rsidRPr="007E77A8" w:rsidRDefault="004272D4" w:rsidP="001165E8">
      <w:pPr>
        <w:numPr>
          <w:ilvl w:val="0"/>
          <w:numId w:val="5"/>
        </w:numPr>
      </w:pPr>
      <w:r w:rsidRPr="007E77A8">
        <w:rPr>
          <w:i/>
        </w:rPr>
        <w:t>cluster analysis</w:t>
      </w:r>
      <w:r w:rsidRPr="007E77A8">
        <w:t xml:space="preserve">: for example, identifying groups of records about reports by specific reporter groups, about specific types of abuse and neglect; </w:t>
      </w:r>
    </w:p>
    <w:p w14:paraId="4DA9DD76" w14:textId="77777777" w:rsidR="004272D4" w:rsidRPr="007E77A8" w:rsidRDefault="004272D4" w:rsidP="001165E8">
      <w:pPr>
        <w:numPr>
          <w:ilvl w:val="0"/>
          <w:numId w:val="5"/>
        </w:numPr>
      </w:pPr>
      <w:r w:rsidRPr="007E77A8">
        <w:rPr>
          <w:i/>
        </w:rPr>
        <w:t>anomaly</w:t>
      </w:r>
      <w:r w:rsidRPr="007E77A8">
        <w:t xml:space="preserve"> </w:t>
      </w:r>
      <w:r w:rsidRPr="007E77A8">
        <w:rPr>
          <w:i/>
        </w:rPr>
        <w:t>detection</w:t>
      </w:r>
      <w:r w:rsidRPr="007E77A8">
        <w:t xml:space="preserve">: for example, identifying shifts in numbers and or outcomes of reports of a specific type of abuse, or by a specific reporter group, in any given year or as a sustained trend over an extended period; </w:t>
      </w:r>
    </w:p>
    <w:p w14:paraId="08A1DF7F" w14:textId="77777777" w:rsidR="004272D4" w:rsidRPr="007E77A8" w:rsidRDefault="004272D4" w:rsidP="001165E8">
      <w:pPr>
        <w:numPr>
          <w:ilvl w:val="0"/>
          <w:numId w:val="5"/>
        </w:numPr>
      </w:pPr>
      <w:r w:rsidRPr="007E77A8">
        <w:rPr>
          <w:i/>
        </w:rPr>
        <w:t>association rule learning</w:t>
      </w:r>
      <w:r w:rsidRPr="007E77A8">
        <w:t>: for example, identifying relationships between a particular reporter group and their reports of a specific type of abuse, and between the reports made by  a particular report group and the outcomes of those reports; and</w:t>
      </w:r>
    </w:p>
    <w:p w14:paraId="565BF0DE" w14:textId="579CFB42" w:rsidR="004272D4" w:rsidRPr="007E77A8" w:rsidRDefault="004272D4" w:rsidP="007B2820">
      <w:pPr>
        <w:numPr>
          <w:ilvl w:val="0"/>
          <w:numId w:val="5"/>
        </w:numPr>
      </w:pPr>
      <w:proofErr w:type="gramStart"/>
      <w:r w:rsidRPr="007E77A8">
        <w:rPr>
          <w:i/>
        </w:rPr>
        <w:t>summarisation</w:t>
      </w:r>
      <w:proofErr w:type="gramEnd"/>
      <w:r w:rsidRPr="007E77A8">
        <w:t xml:space="preserve">: generation of full data reports, as well as executive summaries and policy briefs. </w:t>
      </w:r>
    </w:p>
    <w:p w14:paraId="20346172" w14:textId="77777777" w:rsidR="00B83FC4" w:rsidRDefault="004272D4" w:rsidP="007B2820">
      <w:pPr>
        <w:pStyle w:val="Heading5"/>
      </w:pPr>
      <w:r w:rsidRPr="007E77A8">
        <w:t>Interpretation of data</w:t>
      </w:r>
    </w:p>
    <w:p w14:paraId="38B21C5B" w14:textId="6EECA73F" w:rsidR="004272D4" w:rsidRPr="007E77A8" w:rsidRDefault="004272D4" w:rsidP="00AD5138">
      <w:pPr>
        <w:jc w:val="both"/>
      </w:pPr>
      <w:r w:rsidRPr="007E77A8">
        <w:t xml:space="preserve">The patterns and trends identified in the data mining process then </w:t>
      </w:r>
      <w:proofErr w:type="gramStart"/>
      <w:r w:rsidRPr="007E77A8">
        <w:t>must be interpreted</w:t>
      </w:r>
      <w:proofErr w:type="gramEnd"/>
      <w:r w:rsidRPr="007E77A8">
        <w:t xml:space="preserve"> by situating them in the context of relevant legal and other contextual factors. Due to the scope of the project (for example, noting the limitation produced by the fourth qualitative stage not being funded), it was not possible for the research team to identify and evaluate the impact of </w:t>
      </w:r>
      <w:r w:rsidRPr="007E77A8">
        <w:rPr>
          <w:i/>
        </w:rPr>
        <w:t>all</w:t>
      </w:r>
      <w:r w:rsidRPr="007E77A8">
        <w:t xml:space="preserve"> factors impacting reporting practice generally, separated by reporter group, or by type of abuse or neglect. </w:t>
      </w:r>
    </w:p>
    <w:p w14:paraId="23F6AF58" w14:textId="77777777" w:rsidR="004272D4" w:rsidRPr="007E77A8" w:rsidRDefault="004272D4" w:rsidP="00AD5138">
      <w:pPr>
        <w:jc w:val="both"/>
      </w:pPr>
      <w:r w:rsidRPr="007E77A8">
        <w:t xml:space="preserve">However, major </w:t>
      </w:r>
      <w:r w:rsidRPr="007E77A8">
        <w:rPr>
          <w:b/>
        </w:rPr>
        <w:t>legal factors</w:t>
      </w:r>
      <w:r w:rsidRPr="007E77A8">
        <w:t xml:space="preserve"> </w:t>
      </w:r>
      <w:proofErr w:type="gramStart"/>
      <w:r w:rsidRPr="007E77A8">
        <w:t>were able to</w:t>
      </w:r>
      <w:proofErr w:type="gramEnd"/>
      <w:r w:rsidRPr="007E77A8">
        <w:t xml:space="preserve"> be considered, namely the presence and nature of mandatory reporting duties, and the timing of the introduction of new legislative mandatory reporting duties. As well, we were also able to consider major known </w:t>
      </w:r>
      <w:r w:rsidRPr="007E77A8">
        <w:rPr>
          <w:b/>
        </w:rPr>
        <w:t>contextual factors</w:t>
      </w:r>
      <w:r w:rsidRPr="007E77A8">
        <w:t xml:space="preserve"> which would also likely influence trends in numbers and outcomes of reports. Some of these are factors identified in previous analyses of the approaches adopted by respective State and Territory systems such as agency intake methods, nomenclature, and the processing of intakes (</w:t>
      </w:r>
      <w:proofErr w:type="spellStart"/>
      <w:r w:rsidRPr="007E77A8">
        <w:t>Holzer</w:t>
      </w:r>
      <w:proofErr w:type="spellEnd"/>
      <w:r w:rsidRPr="007E77A8">
        <w:t xml:space="preserve"> &amp; Bromfield, 2008). For example, the characterisation </w:t>
      </w:r>
      <w:r w:rsidRPr="007E77A8">
        <w:lastRenderedPageBreak/>
        <w:t>of an intake as a ‘</w:t>
      </w:r>
      <w:r w:rsidRPr="007E77A8">
        <w:rPr>
          <w:b/>
        </w:rPr>
        <w:t>notification’</w:t>
      </w:r>
      <w:r w:rsidRPr="007E77A8">
        <w:t xml:space="preserve"> </w:t>
      </w:r>
      <w:proofErr w:type="gramStart"/>
      <w:r w:rsidRPr="007E77A8">
        <w:t>is affected</w:t>
      </w:r>
      <w:proofErr w:type="gramEnd"/>
      <w:r w:rsidRPr="007E77A8">
        <w:t xml:space="preserve"> by factors including whether the caller or the agency defines the intake. </w:t>
      </w:r>
      <w:proofErr w:type="gramStart"/>
      <w:r w:rsidRPr="007E77A8">
        <w:t xml:space="preserve">In the ACT and Tasmania, intakes are </w:t>
      </w:r>
      <w:r w:rsidRPr="007E77A8">
        <w:rPr>
          <w:i/>
        </w:rPr>
        <w:t>caller-defined</w:t>
      </w:r>
      <w:r w:rsidRPr="007E77A8">
        <w:t xml:space="preserve">, producing higher numbers of ‘notifications’, and Victoria has a similar but more rigorous approach; in contrast, in other jurisdictions the intake is </w:t>
      </w:r>
      <w:r w:rsidRPr="007E77A8">
        <w:rPr>
          <w:i/>
        </w:rPr>
        <w:t>agency-defined</w:t>
      </w:r>
      <w:r w:rsidRPr="007E77A8">
        <w:t>: that is, the agency determines whether the intake is a ‘notification’ regarding suspected child abuse or neglect, or is a less serious ‘child concern’ report regarding a child’s overall welfare).</w:t>
      </w:r>
      <w:proofErr w:type="gramEnd"/>
      <w:r w:rsidRPr="007E77A8">
        <w:t xml:space="preserve"> Agency decisions about whether to </w:t>
      </w:r>
      <w:r w:rsidRPr="007E77A8">
        <w:rPr>
          <w:b/>
        </w:rPr>
        <w:t>investigate</w:t>
      </w:r>
      <w:r w:rsidRPr="007E77A8">
        <w:t xml:space="preserve"> a notification or not </w:t>
      </w:r>
      <w:proofErr w:type="gramStart"/>
      <w:r w:rsidRPr="007E77A8">
        <w:t>are influenced</w:t>
      </w:r>
      <w:proofErr w:type="gramEnd"/>
      <w:r w:rsidRPr="007E77A8">
        <w:t xml:space="preserve"> by multiple factors including: differences in the availability of alternative diversionary services, and different levels of resources available to support investigations. An agency finding that an investigated notification is ‘</w:t>
      </w:r>
      <w:r w:rsidRPr="007E77A8">
        <w:rPr>
          <w:b/>
        </w:rPr>
        <w:t>substantiated’</w:t>
      </w:r>
      <w:r w:rsidRPr="007E77A8">
        <w:t xml:space="preserve"> </w:t>
      </w:r>
      <w:proofErr w:type="gramStart"/>
      <w:r w:rsidRPr="007E77A8">
        <w:t>is influenced</w:t>
      </w:r>
      <w:proofErr w:type="gramEnd"/>
      <w:r w:rsidRPr="007E77A8">
        <w:t xml:space="preserve"> by multiple factors including: </w:t>
      </w:r>
    </w:p>
    <w:p w14:paraId="49B1861B" w14:textId="77777777" w:rsidR="004272D4" w:rsidRPr="007E77A8" w:rsidRDefault="004272D4" w:rsidP="001165E8">
      <w:pPr>
        <w:numPr>
          <w:ilvl w:val="0"/>
          <w:numId w:val="4"/>
        </w:numPr>
      </w:pPr>
      <w:r w:rsidRPr="007E77A8">
        <w:t xml:space="preserve">differences in the availability of alternative diversionary services (where a notification is referred to such a service, this will not be counted as a substantiated notification); </w:t>
      </w:r>
    </w:p>
    <w:p w14:paraId="3A728A0F" w14:textId="77777777" w:rsidR="004272D4" w:rsidRPr="007E77A8" w:rsidRDefault="004272D4" w:rsidP="001165E8">
      <w:pPr>
        <w:numPr>
          <w:ilvl w:val="0"/>
          <w:numId w:val="4"/>
        </w:numPr>
      </w:pPr>
      <w:r w:rsidRPr="007E77A8">
        <w:t xml:space="preserve">different thresholds for reaching a finding of ‘substantiated’; </w:t>
      </w:r>
    </w:p>
    <w:p w14:paraId="57272987" w14:textId="77777777" w:rsidR="004272D4" w:rsidRPr="007E77A8" w:rsidRDefault="004272D4" w:rsidP="001165E8">
      <w:pPr>
        <w:numPr>
          <w:ilvl w:val="0"/>
          <w:numId w:val="4"/>
        </w:numPr>
      </w:pPr>
      <w:r w:rsidRPr="007E77A8">
        <w:t xml:space="preserve">availability of evidence of harm in any given case even where there is sufficient evidence of abuse or neglect; </w:t>
      </w:r>
    </w:p>
    <w:p w14:paraId="14711635" w14:textId="77777777" w:rsidR="004272D4" w:rsidRPr="007E77A8" w:rsidRDefault="004272D4" w:rsidP="001165E8">
      <w:pPr>
        <w:numPr>
          <w:ilvl w:val="0"/>
          <w:numId w:val="4"/>
        </w:numPr>
      </w:pPr>
      <w:r w:rsidRPr="007E77A8">
        <w:t xml:space="preserve">availability of evidence of abuse or neglect in any given case even where there is sufficient evidence of harm; </w:t>
      </w:r>
    </w:p>
    <w:p w14:paraId="789AF3FD" w14:textId="2A2F2D61" w:rsidR="004272D4" w:rsidRPr="007E77A8" w:rsidRDefault="004272D4" w:rsidP="007B2820">
      <w:pPr>
        <w:numPr>
          <w:ilvl w:val="0"/>
          <w:numId w:val="4"/>
        </w:numPr>
      </w:pPr>
      <w:proofErr w:type="gramStart"/>
      <w:r w:rsidRPr="007E77A8">
        <w:t>whether</w:t>
      </w:r>
      <w:proofErr w:type="gramEnd"/>
      <w:r w:rsidRPr="007E77A8">
        <w:t xml:space="preserve"> the jurisdiction focuses on evaluating substantiation of existing harm, or risk of harm occurring in the future.</w:t>
      </w:r>
    </w:p>
    <w:p w14:paraId="6B8F19A8" w14:textId="77777777" w:rsidR="004272D4" w:rsidRPr="007E77A8" w:rsidRDefault="004272D4" w:rsidP="007B2820">
      <w:r w:rsidRPr="007E77A8">
        <w:t xml:space="preserve">Other important contextual factors affecting numbers of notifications and responses to them would include </w:t>
      </w:r>
      <w:proofErr w:type="gramStart"/>
      <w:r w:rsidRPr="007E77A8">
        <w:t>locally-situated</w:t>
      </w:r>
      <w:proofErr w:type="gramEnd"/>
      <w:r w:rsidRPr="007E77A8">
        <w:t xml:space="preserve"> events. These could include events and developments such as:</w:t>
      </w:r>
    </w:p>
    <w:p w14:paraId="6BD83FD5" w14:textId="77777777" w:rsidR="004272D4" w:rsidRPr="007E77A8" w:rsidRDefault="004272D4" w:rsidP="001165E8">
      <w:pPr>
        <w:numPr>
          <w:ilvl w:val="0"/>
          <w:numId w:val="6"/>
        </w:numPr>
      </w:pPr>
      <w:r w:rsidRPr="007E77A8">
        <w:t xml:space="preserve">the presence of child protection inquiries or reports; </w:t>
      </w:r>
    </w:p>
    <w:p w14:paraId="6215CDAE" w14:textId="77777777" w:rsidR="004272D4" w:rsidRPr="007E77A8" w:rsidRDefault="004272D4" w:rsidP="001165E8">
      <w:pPr>
        <w:numPr>
          <w:ilvl w:val="0"/>
          <w:numId w:val="6"/>
        </w:numPr>
      </w:pPr>
      <w:r w:rsidRPr="007E77A8">
        <w:t>high levels of media attention on particular cases or departmental processes;</w:t>
      </w:r>
    </w:p>
    <w:p w14:paraId="79807D6D" w14:textId="77777777" w:rsidR="004272D4" w:rsidRPr="007E77A8" w:rsidRDefault="004272D4" w:rsidP="001165E8">
      <w:pPr>
        <w:numPr>
          <w:ilvl w:val="0"/>
          <w:numId w:val="6"/>
        </w:numPr>
      </w:pPr>
      <w:r w:rsidRPr="007E77A8">
        <w:t>introduction of a new industry-based reporting policy such as a standard operating procedure for police;</w:t>
      </w:r>
    </w:p>
    <w:p w14:paraId="5158AA0B" w14:textId="77777777" w:rsidR="004272D4" w:rsidRPr="007E77A8" w:rsidRDefault="004272D4" w:rsidP="001165E8">
      <w:pPr>
        <w:numPr>
          <w:ilvl w:val="0"/>
          <w:numId w:val="6"/>
        </w:numPr>
      </w:pPr>
      <w:r w:rsidRPr="007E77A8">
        <w:t>changes to child protection agencies (such as an influx of funding or staff) and their approaches;</w:t>
      </w:r>
    </w:p>
    <w:p w14:paraId="4327E0DC" w14:textId="741C1239" w:rsidR="004272D4" w:rsidRPr="007E77A8" w:rsidRDefault="004272D4" w:rsidP="007B2820">
      <w:pPr>
        <w:numPr>
          <w:ilvl w:val="0"/>
          <w:numId w:val="6"/>
        </w:numPr>
      </w:pPr>
      <w:proofErr w:type="gramStart"/>
      <w:r w:rsidRPr="007E77A8">
        <w:t>heightened</w:t>
      </w:r>
      <w:proofErr w:type="gramEnd"/>
      <w:r w:rsidRPr="007E77A8">
        <w:t xml:space="preserve"> reporter education via awareness-building by professional education, media campaigns or other strategies; and heightened sensitivity of the general public to a particular form of child abuse or neglect created by policy, media or social discourse. </w:t>
      </w:r>
    </w:p>
    <w:p w14:paraId="113C2642" w14:textId="29799ABF" w:rsidR="004272D4" w:rsidRPr="007E77A8" w:rsidRDefault="004272D4" w:rsidP="00AD5138">
      <w:pPr>
        <w:jc w:val="both"/>
      </w:pPr>
      <w:proofErr w:type="gramStart"/>
      <w:r w:rsidRPr="007E77A8">
        <w:t xml:space="preserve">To gain a more nuanced appreciation of the kinds of contextual factors that may have influenced the data in this study, and to supplement their own knowledge of contextual factors, the research team invited and </w:t>
      </w:r>
      <w:r w:rsidRPr="007E77A8">
        <w:lastRenderedPageBreak/>
        <w:t>held meetings with senior staff in State and Territory departments as critical friends to elicit their views about what might underpin key findings from the data.</w:t>
      </w:r>
      <w:proofErr w:type="gramEnd"/>
      <w:r w:rsidRPr="007E77A8">
        <w:t xml:space="preserve"> Their accounts </w:t>
      </w:r>
      <w:proofErr w:type="gramStart"/>
      <w:r w:rsidRPr="007E77A8">
        <w:t>were informed</w:t>
      </w:r>
      <w:proofErr w:type="gramEnd"/>
      <w:r w:rsidRPr="007E77A8">
        <w:t xml:space="preserve"> by their knowledge of local contexts and agency developments. These </w:t>
      </w:r>
      <w:proofErr w:type="gramStart"/>
      <w:r w:rsidRPr="007E77A8">
        <w:t>were noted and carefully considered by the research team in their interpretations of the data</w:t>
      </w:r>
      <w:proofErr w:type="gramEnd"/>
      <w:r w:rsidRPr="007E77A8">
        <w:t>.</w:t>
      </w:r>
    </w:p>
    <w:p w14:paraId="4B946E71" w14:textId="77777777" w:rsidR="00B83FC4" w:rsidRDefault="004272D4" w:rsidP="007B2820">
      <w:pPr>
        <w:pStyle w:val="Heading5"/>
      </w:pPr>
      <w:r w:rsidRPr="007E77A8">
        <w:t>Contributions to knowledge</w:t>
      </w:r>
    </w:p>
    <w:p w14:paraId="62CC7BD4" w14:textId="6C7A436D" w:rsidR="004272D4" w:rsidRPr="007E77A8" w:rsidRDefault="004272D4" w:rsidP="00AD5138">
      <w:pPr>
        <w:jc w:val="both"/>
      </w:pPr>
      <w:r w:rsidRPr="007E77A8">
        <w:t xml:space="preserve">Despite these multiple complexities, the descriptive statistics and data mining facilitate understandings of important elements of the context, especially </w:t>
      </w:r>
      <w:r w:rsidRPr="007E77A8">
        <w:rPr>
          <w:i/>
        </w:rPr>
        <w:t>within jurisdictions</w:t>
      </w:r>
      <w:r w:rsidRPr="007E77A8">
        <w:t xml:space="preserve"> annually and over the decade. This is important because it provides more nuanced insights into the reporting practices of different reporter groups for different types of abuse and neglect, rather than simply aggregating all reports of all kinds of abuse and neglect by all reporter groups, and drawing undifferentiated conclusions about the nature and outcomes of ‘reporting of child abuse and neglect’. </w:t>
      </w:r>
    </w:p>
    <w:p w14:paraId="59B76F32" w14:textId="77777777" w:rsidR="004272D4" w:rsidRPr="007E77A8" w:rsidRDefault="004272D4" w:rsidP="00AD5138">
      <w:pPr>
        <w:jc w:val="both"/>
      </w:pPr>
      <w:r w:rsidRPr="007E77A8">
        <w:t xml:space="preserve">This approach </w:t>
      </w:r>
      <w:proofErr w:type="gramStart"/>
      <w:r w:rsidRPr="007E77A8">
        <w:t>has been urged</w:t>
      </w:r>
      <w:proofErr w:type="gramEnd"/>
      <w:r w:rsidRPr="007E77A8">
        <w:t xml:space="preserve"> in research by the lead investigator, based on the notion of a </w:t>
      </w:r>
      <w:r w:rsidRPr="007E77A8">
        <w:rPr>
          <w:i/>
        </w:rPr>
        <w:t>differentiation thesis</w:t>
      </w:r>
      <w:r w:rsidRPr="007E77A8">
        <w:t xml:space="preserve"> (Mathews, 2014; Mathews, 2012). It proceeds from the basis that heterogeneity exists across both reporter groups, and types of abuse and neglect. It proposes that because of the differential nature of various reporter groups, and the differentiation between types of child abuse and neglect, there are likely to be significant differences amongst various reporter groups’ reporting practices for different types of child abuse and neglect. Gaining a detailed understanding of specific components of different reporter groups’ reporting practices regarding different types of abuse and neglect provides </w:t>
      </w:r>
      <w:proofErr w:type="gramStart"/>
      <w:r w:rsidRPr="007E77A8">
        <w:t>more sophisticated insights into</w:t>
      </w:r>
      <w:proofErr w:type="gramEnd"/>
      <w:r w:rsidRPr="007E77A8">
        <w:t>:</w:t>
      </w:r>
    </w:p>
    <w:p w14:paraId="6D31C2AE" w14:textId="77777777" w:rsidR="004272D4" w:rsidRPr="007E77A8" w:rsidRDefault="004272D4" w:rsidP="001165E8">
      <w:pPr>
        <w:numPr>
          <w:ilvl w:val="0"/>
          <w:numId w:val="7"/>
        </w:numPr>
      </w:pPr>
      <w:r w:rsidRPr="007E77A8">
        <w:t>the nature of reporting trends;</w:t>
      </w:r>
    </w:p>
    <w:p w14:paraId="29066E2B" w14:textId="77777777" w:rsidR="004272D4" w:rsidRPr="007E77A8" w:rsidRDefault="004272D4" w:rsidP="001165E8">
      <w:pPr>
        <w:numPr>
          <w:ilvl w:val="0"/>
          <w:numId w:val="7"/>
        </w:numPr>
      </w:pPr>
      <w:r w:rsidRPr="007E77A8">
        <w:t>where reporting appears to be more and less effective; and</w:t>
      </w:r>
    </w:p>
    <w:p w14:paraId="55CA1A6F" w14:textId="6D44C987" w:rsidR="004272D4" w:rsidRPr="007E77A8" w:rsidRDefault="004272D4" w:rsidP="007B2820">
      <w:pPr>
        <w:numPr>
          <w:ilvl w:val="0"/>
          <w:numId w:val="7"/>
        </w:numPr>
      </w:pPr>
      <w:proofErr w:type="gramStart"/>
      <w:r w:rsidRPr="007E77A8">
        <w:t>where</w:t>
      </w:r>
      <w:proofErr w:type="gramEnd"/>
      <w:r w:rsidRPr="007E77A8">
        <w:t xml:space="preserve"> efforts to improve practice may be best directed.</w:t>
      </w:r>
    </w:p>
    <w:p w14:paraId="4E72F783" w14:textId="02F42D4B" w:rsidR="004272D4" w:rsidRPr="007E77A8" w:rsidRDefault="004272D4" w:rsidP="00AD5138">
      <w:pPr>
        <w:jc w:val="both"/>
      </w:pPr>
      <w:r w:rsidRPr="007E77A8">
        <w:t xml:space="preserve">Systemic differences between jurisdictions limit the extent to which </w:t>
      </w:r>
      <w:r w:rsidRPr="007E77A8">
        <w:rPr>
          <w:i/>
        </w:rPr>
        <w:t>cross-jurisdictional</w:t>
      </w:r>
      <w:r w:rsidRPr="007E77A8">
        <w:t xml:space="preserve"> comparisons </w:t>
      </w:r>
      <w:proofErr w:type="gramStart"/>
      <w:r w:rsidRPr="007E77A8">
        <w:t>can be made</w:t>
      </w:r>
      <w:proofErr w:type="gramEnd"/>
      <w:r w:rsidRPr="007E77A8">
        <w:t xml:space="preserve">. However, some comparisons may be possible where sufficient similarities exist, and/or where clear and significant trends </w:t>
      </w:r>
      <w:proofErr w:type="gramStart"/>
      <w:r w:rsidRPr="007E77A8">
        <w:t>are identified</w:t>
      </w:r>
      <w:proofErr w:type="gramEnd"/>
      <w:r w:rsidRPr="007E77A8">
        <w:t xml:space="preserve"> in the data. This is especially so where, by all accounts, there appears to be only one significant differentiating variable, such as the presence or absence of a mandatory reporting duty.</w:t>
      </w:r>
    </w:p>
    <w:p w14:paraId="2B8E3EAC" w14:textId="77777777" w:rsidR="00344142" w:rsidRDefault="004272D4" w:rsidP="007B2820">
      <w:pPr>
        <w:pStyle w:val="Heading5"/>
      </w:pPr>
      <w:r w:rsidRPr="007E77A8">
        <w:t>Effectiveness of reporting practices</w:t>
      </w:r>
    </w:p>
    <w:p w14:paraId="14E7E987" w14:textId="44B57B8F" w:rsidR="00E14B79" w:rsidRDefault="004272D4" w:rsidP="00AD5138">
      <w:pPr>
        <w:jc w:val="both"/>
      </w:pPr>
      <w:r w:rsidRPr="007E77A8">
        <w:t xml:space="preserve">This part of the project could also assist in informing government departments in their assessments of the </w:t>
      </w:r>
      <w:r w:rsidRPr="007E77A8">
        <w:rPr>
          <w:i/>
        </w:rPr>
        <w:t>effectiveness</w:t>
      </w:r>
      <w:r w:rsidRPr="007E77A8">
        <w:t xml:space="preserve"> of reporting practices. </w:t>
      </w:r>
      <w:proofErr w:type="gramStart"/>
      <w:r w:rsidRPr="007E77A8">
        <w:t xml:space="preserve">While there are challenges in conceptualising how ‘effectiveness’ of reporting may be evaluated, it seems reasonable to proceed on the basis that identification of trends in </w:t>
      </w:r>
      <w:r w:rsidRPr="007E77A8">
        <w:rPr>
          <w:i/>
        </w:rPr>
        <w:lastRenderedPageBreak/>
        <w:t>numbers</w:t>
      </w:r>
      <w:r w:rsidRPr="007E77A8">
        <w:t xml:space="preserve"> of reports and in </w:t>
      </w:r>
      <w:r w:rsidRPr="007E77A8">
        <w:rPr>
          <w:i/>
        </w:rPr>
        <w:t>outcomes</w:t>
      </w:r>
      <w:r w:rsidRPr="007E77A8">
        <w:t xml:space="preserve"> of reports, placed in the context of legislative mandatory reporting duties and changes in them, could provide some useful information contributing to any assessment of the effectiveness of reporting practice.</w:t>
      </w:r>
      <w:proofErr w:type="gramEnd"/>
      <w:r w:rsidRPr="007E77A8">
        <w:t xml:space="preserve"> </w:t>
      </w:r>
    </w:p>
    <w:p w14:paraId="2AFFFF37" w14:textId="69A39C71" w:rsidR="004272D4" w:rsidRPr="007E77A8" w:rsidRDefault="00E14B79" w:rsidP="00AD5138">
      <w:pPr>
        <w:jc w:val="both"/>
      </w:pPr>
      <w:r w:rsidRPr="00E14B79">
        <w:t xml:space="preserve">Accordingly, the research project provides detailed data in each jurisdiction specific to the reporting practices of key reporter groups, about specific types of abuse and neglect, over time.  In addition, to provide meaningful findings for individual State and Territory governments (but not for strict cross-jurisdictional comparison) about the proportional contribution to reporting made collectively by their jurisdiction’s major occupational reporter groups, we conducted some analyses by combining the reporting practice of the ‘major mandated reporter groups’ in the State/Territory. In doing this, we adopted a similar approach for all jurisdictions, presenting the combined practice of four key groups who collectively make the vast majority of all reports by mandated reporters: police, teachers, doctors and nurses. These groups were chosen because generally they were: (1) clearly defined occupational/professional reporter groups; (2) groups who make a significant contribution to reporting; (3) groups designated as mandated reporters under the legislation; (4) designated as mandated reporters for the whole decade; and (5) data was individually available for analysis regarding these groups. For some jurisdictions (Qld, WA), </w:t>
      </w:r>
      <w:proofErr w:type="gramStart"/>
      <w:r w:rsidRPr="00E14B79">
        <w:t>one or more of the four groups had not always been mandated by law</w:t>
      </w:r>
      <w:proofErr w:type="gramEnd"/>
      <w:r w:rsidRPr="00E14B79">
        <w:t xml:space="preserve">, but they were selected because they nevertheless made a large contribution to reporting practice. For four jurisdictions (ACT, NT, SA, </w:t>
      </w:r>
      <w:proofErr w:type="spellStart"/>
      <w:proofErr w:type="gramStart"/>
      <w:r w:rsidRPr="00E14B79">
        <w:t>Tas</w:t>
      </w:r>
      <w:proofErr w:type="spellEnd"/>
      <w:proofErr w:type="gramEnd"/>
      <w:r w:rsidRPr="00E14B79">
        <w:t>), one variation was necessary to this approach, including two additional groups (social workers and childcare workers) because they met the five conditions stated above</w:t>
      </w:r>
      <w:r>
        <w:t>.</w:t>
      </w:r>
    </w:p>
    <w:p w14:paraId="39EEB20E" w14:textId="67995B55" w:rsidR="004272D4" w:rsidRPr="007E77A8" w:rsidRDefault="00AE134C" w:rsidP="00AD5138">
      <w:pPr>
        <w:jc w:val="both"/>
      </w:pPr>
      <w:proofErr w:type="gramStart"/>
      <w:r w:rsidRPr="0012539B">
        <w:rPr>
          <w:b/>
        </w:rPr>
        <w:t>The substantiated report caveat</w:t>
      </w:r>
      <w:r>
        <w:t>.</w:t>
      </w:r>
      <w:proofErr w:type="gramEnd"/>
      <w:r>
        <w:t xml:space="preserve"> </w:t>
      </w:r>
      <w:r w:rsidR="004272D4" w:rsidRPr="007E77A8">
        <w:t xml:space="preserve">A caveat </w:t>
      </w:r>
      <w:proofErr w:type="gramStart"/>
      <w:r w:rsidR="004272D4" w:rsidRPr="007E77A8">
        <w:t>must be noted</w:t>
      </w:r>
      <w:proofErr w:type="gramEnd"/>
      <w:r w:rsidR="004272D4" w:rsidRPr="007E77A8">
        <w:t xml:space="preserve"> about interpreting data on the outcomes of reports for this purpose, as it has been consistently concluded that ‘unsubstantiated’ notifications do not differ markedly from ‘substantiated’ notifications in service need (Drake, 1996; Hussey, et al., 2005; Kohl, Jonson-Reid, &amp; Drake, 2009). However, where enabled by the data obtained, some tentative conclusions </w:t>
      </w:r>
      <w:proofErr w:type="gramStart"/>
      <w:r w:rsidR="004272D4" w:rsidRPr="007E77A8">
        <w:t>may be drawn</w:t>
      </w:r>
      <w:proofErr w:type="gramEnd"/>
      <w:r w:rsidR="004272D4" w:rsidRPr="007E77A8">
        <w:t xml:space="preserve"> concerning </w:t>
      </w:r>
      <w:r w:rsidR="004272D4" w:rsidRPr="007E77A8">
        <w:rPr>
          <w:b/>
          <w:i/>
        </w:rPr>
        <w:t>measures of effectiveness</w:t>
      </w:r>
      <w:r w:rsidR="004272D4" w:rsidRPr="007E77A8">
        <w:t xml:space="preserve"> based on the following assessments per annum and over time, for different maltreatment types, of: </w:t>
      </w:r>
    </w:p>
    <w:p w14:paraId="15318B18" w14:textId="77777777" w:rsidR="004272D4" w:rsidRPr="007E77A8" w:rsidRDefault="004272D4" w:rsidP="001165E8">
      <w:pPr>
        <w:numPr>
          <w:ilvl w:val="0"/>
          <w:numId w:val="3"/>
        </w:numPr>
      </w:pPr>
      <w:r w:rsidRPr="007E77A8">
        <w:t xml:space="preserve">the contribution of mandated reporter groups and other reporter groups to total numbers of notifications and total numbers of substantiated notifications; </w:t>
      </w:r>
    </w:p>
    <w:p w14:paraId="28B1E08D" w14:textId="77777777" w:rsidR="004272D4" w:rsidRPr="007E77A8" w:rsidRDefault="004272D4" w:rsidP="001165E8">
      <w:pPr>
        <w:numPr>
          <w:ilvl w:val="0"/>
          <w:numId w:val="3"/>
        </w:numPr>
      </w:pPr>
      <w:r w:rsidRPr="007E77A8">
        <w:t xml:space="preserve">comparison of numbers and outcomes of notifications across jurisdictions where only one jurisdiction had mandatory reporting; </w:t>
      </w:r>
    </w:p>
    <w:p w14:paraId="4B0049FA" w14:textId="77777777" w:rsidR="004272D4" w:rsidRPr="007E77A8" w:rsidRDefault="004272D4" w:rsidP="001165E8">
      <w:pPr>
        <w:numPr>
          <w:ilvl w:val="0"/>
          <w:numId w:val="3"/>
        </w:numPr>
      </w:pPr>
      <w:r w:rsidRPr="007E77A8">
        <w:t xml:space="preserve">exploration of changes in numbers and outcomes of notifications after introduction of the legislative mandatory reporting duty; </w:t>
      </w:r>
    </w:p>
    <w:p w14:paraId="6522E3F8" w14:textId="77777777" w:rsidR="004272D4" w:rsidRPr="007E77A8" w:rsidRDefault="004272D4" w:rsidP="001165E8">
      <w:pPr>
        <w:numPr>
          <w:ilvl w:val="0"/>
          <w:numId w:val="3"/>
        </w:numPr>
      </w:pPr>
      <w:r w:rsidRPr="007E77A8">
        <w:t xml:space="preserve">number of notifications by mandated reporters which were screened out at intake;  </w:t>
      </w:r>
    </w:p>
    <w:p w14:paraId="06908D5E" w14:textId="77777777" w:rsidR="004272D4" w:rsidRPr="007E77A8" w:rsidRDefault="004272D4" w:rsidP="001165E8">
      <w:pPr>
        <w:numPr>
          <w:ilvl w:val="0"/>
          <w:numId w:val="3"/>
        </w:numPr>
      </w:pPr>
      <w:r w:rsidRPr="007E77A8">
        <w:lastRenderedPageBreak/>
        <w:t>extent of the growth in the number of children involved in reports by mandated reporters;</w:t>
      </w:r>
    </w:p>
    <w:p w14:paraId="030246A2" w14:textId="49D4DC3A" w:rsidR="004272D4" w:rsidRPr="007E77A8" w:rsidRDefault="004272D4" w:rsidP="007B2820">
      <w:pPr>
        <w:numPr>
          <w:ilvl w:val="0"/>
          <w:numId w:val="3"/>
        </w:numPr>
      </w:pPr>
      <w:proofErr w:type="gramStart"/>
      <w:r w:rsidRPr="007E77A8">
        <w:t>other</w:t>
      </w:r>
      <w:proofErr w:type="gramEnd"/>
      <w:r w:rsidRPr="007E77A8">
        <w:t xml:space="preserve"> notable trends in reporting practice.</w:t>
      </w:r>
    </w:p>
    <w:p w14:paraId="6086AADD" w14:textId="06118839" w:rsidR="007B2820" w:rsidRPr="007E77A8" w:rsidRDefault="004272D4" w:rsidP="007B2820">
      <w:r w:rsidRPr="007E77A8">
        <w:t xml:space="preserve">This stage of the project therefore generates evidence in each jurisdiction about the reporting practice of different reporter groups regarding different types of abuse and neglect, which can inform the </w:t>
      </w:r>
      <w:r w:rsidRPr="007E77A8">
        <w:rPr>
          <w:i/>
        </w:rPr>
        <w:t>identification of</w:t>
      </w:r>
      <w:r w:rsidRPr="007E77A8">
        <w:t xml:space="preserve"> </w:t>
      </w:r>
      <w:r w:rsidRPr="007E77A8">
        <w:rPr>
          <w:i/>
        </w:rPr>
        <w:t>opportunities to harmonise the various statutory regimes</w:t>
      </w:r>
      <w:r w:rsidRPr="007E77A8">
        <w:t>. However, decisions on whether, how, and to what extent to harmonise the statutory regimes require policy deliberations and decisions by various government departments.</w:t>
      </w:r>
    </w:p>
    <w:p w14:paraId="52AB4C12" w14:textId="77777777" w:rsidR="004272D4" w:rsidRPr="007B2820" w:rsidRDefault="004272D4" w:rsidP="007B2820">
      <w:pPr>
        <w:pStyle w:val="Heading4"/>
      </w:pPr>
      <w:bookmarkStart w:id="245" w:name="_Toc435716780"/>
      <w:r w:rsidRPr="007B2820">
        <w:t xml:space="preserve">Stage 3: </w:t>
      </w:r>
      <w:r w:rsidR="00B83FC4" w:rsidRPr="007B2820">
        <w:t>Literature</w:t>
      </w:r>
      <w:r w:rsidR="00344142" w:rsidRPr="007B2820">
        <w:t xml:space="preserve"> reviews</w:t>
      </w:r>
      <w:bookmarkEnd w:id="245"/>
    </w:p>
    <w:p w14:paraId="51240E6B" w14:textId="28AF6F85" w:rsidR="00344142" w:rsidRPr="007E77A8" w:rsidRDefault="004272D4" w:rsidP="00AD5138">
      <w:pPr>
        <w:jc w:val="both"/>
      </w:pPr>
      <w:r w:rsidRPr="007E77A8">
        <w:rPr>
          <w:b/>
        </w:rPr>
        <w:t>Stage 3</w:t>
      </w:r>
      <w:r w:rsidRPr="007E77A8">
        <w:t xml:space="preserve"> of the project conducted two </w:t>
      </w:r>
      <w:r w:rsidR="00344142" w:rsidRPr="00344142">
        <w:t>systematized reviews (Grant et al 2009) with rapid evidence synthesis (</w:t>
      </w:r>
      <w:proofErr w:type="spellStart"/>
      <w:r w:rsidR="00344142" w:rsidRPr="00344142">
        <w:t>Gannan</w:t>
      </w:r>
      <w:proofErr w:type="spellEnd"/>
      <w:r w:rsidR="00344142" w:rsidRPr="00344142">
        <w:t xml:space="preserve">, </w:t>
      </w:r>
      <w:proofErr w:type="spellStart"/>
      <w:r w:rsidR="00344142" w:rsidRPr="00344142">
        <w:t>Ciliska</w:t>
      </w:r>
      <w:proofErr w:type="spellEnd"/>
      <w:r w:rsidR="00344142" w:rsidRPr="00344142">
        <w:t xml:space="preserve">, &amp; Thomas, 2010; </w:t>
      </w:r>
      <w:proofErr w:type="spellStart"/>
      <w:r w:rsidR="00344142" w:rsidRPr="00344142">
        <w:t>Khangura</w:t>
      </w:r>
      <w:proofErr w:type="spellEnd"/>
      <w:r w:rsidR="00344142" w:rsidRPr="00344142">
        <w:t xml:space="preserve">, </w:t>
      </w:r>
      <w:proofErr w:type="spellStart"/>
      <w:r w:rsidR="00344142" w:rsidRPr="00344142">
        <w:t>Konnyu</w:t>
      </w:r>
      <w:proofErr w:type="spellEnd"/>
      <w:r w:rsidR="00344142" w:rsidRPr="00344142">
        <w:t xml:space="preserve">, Cushman, </w:t>
      </w:r>
      <w:proofErr w:type="spellStart"/>
      <w:r w:rsidR="00344142" w:rsidRPr="00344142">
        <w:t>Grimshaw</w:t>
      </w:r>
      <w:proofErr w:type="spellEnd"/>
      <w:r w:rsidR="00344142" w:rsidRPr="00344142">
        <w:t xml:space="preserve">, &amp; </w:t>
      </w:r>
      <w:proofErr w:type="spellStart"/>
      <w:r w:rsidR="00344142" w:rsidRPr="00344142">
        <w:t>Moher</w:t>
      </w:r>
      <w:proofErr w:type="spellEnd"/>
      <w:r w:rsidR="00344142" w:rsidRPr="00344142">
        <w:t xml:space="preserve">, 2012). </w:t>
      </w:r>
      <w:r w:rsidRPr="007E77A8">
        <w:t xml:space="preserve">The first review concerned factors influencing </w:t>
      </w:r>
      <w:r w:rsidR="00344142">
        <w:t>mandatory reporting of</w:t>
      </w:r>
      <w:r w:rsidRPr="007E77A8">
        <w:t xml:space="preserve"> child abuse and neglect. The second review concerned theoretical critiques of mandatory reporting laws. A selection of databases </w:t>
      </w:r>
      <w:proofErr w:type="gramStart"/>
      <w:r w:rsidRPr="007E77A8">
        <w:t>was generated</w:t>
      </w:r>
      <w:proofErr w:type="gramEnd"/>
      <w:r w:rsidRPr="007E77A8">
        <w:t xml:space="preserve"> and lists of search terms were developed. Inclusion and exclusion criteria </w:t>
      </w:r>
      <w:proofErr w:type="gramStart"/>
      <w:r w:rsidRPr="007E77A8">
        <w:t xml:space="preserve">were </w:t>
      </w:r>
      <w:r w:rsidR="00344142">
        <w:t>developed</w:t>
      </w:r>
      <w:proofErr w:type="gramEnd"/>
      <w:r w:rsidRPr="007E77A8">
        <w:t>, informed by the focus of the review</w:t>
      </w:r>
      <w:r w:rsidR="00344142">
        <w:t>s</w:t>
      </w:r>
      <w:r w:rsidRPr="007E77A8">
        <w:t xml:space="preserve"> and the standard of evi</w:t>
      </w:r>
      <w:r w:rsidR="00344142">
        <w:t>dence and scholarship required.</w:t>
      </w:r>
    </w:p>
    <w:p w14:paraId="06FEEB74" w14:textId="6D561B14" w:rsidR="004272D4" w:rsidRPr="007E77A8" w:rsidRDefault="004272D4" w:rsidP="00AD5138">
      <w:pPr>
        <w:jc w:val="both"/>
      </w:pPr>
      <w:r w:rsidRPr="007E77A8">
        <w:t xml:space="preserve">This stage of the project therefore contributes to the </w:t>
      </w:r>
      <w:r w:rsidRPr="007E77A8">
        <w:rPr>
          <w:i/>
        </w:rPr>
        <w:t>identification of</w:t>
      </w:r>
      <w:r w:rsidRPr="007E77A8">
        <w:t xml:space="preserve"> </w:t>
      </w:r>
      <w:r w:rsidRPr="007E77A8">
        <w:rPr>
          <w:i/>
        </w:rPr>
        <w:t>opportunities to harmonise the various statutory regimes</w:t>
      </w:r>
      <w:r w:rsidRPr="007E77A8">
        <w:t>. More specifically, the findings in this stage of the project from the review of factors influencing reporting may also inform further work in developing strategies for policy and practice which can optimise the conditions for mandatory reporting; for example, in enhancing reporter training for specific professional groups and in specific domains. Findings in this stage of the project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7C9B6D1F" w14:textId="77777777" w:rsidR="004272D4" w:rsidRPr="007E77A8" w:rsidRDefault="004272D4" w:rsidP="007B2820">
      <w:pPr>
        <w:pStyle w:val="Heading4"/>
        <w:spacing w:after="0" w:line="360" w:lineRule="auto"/>
      </w:pPr>
      <w:bookmarkStart w:id="246" w:name="_Toc435716781"/>
      <w:r w:rsidRPr="007E77A8">
        <w:t>References</w:t>
      </w:r>
      <w:bookmarkEnd w:id="246"/>
    </w:p>
    <w:p w14:paraId="71B63000" w14:textId="77777777" w:rsidR="004272D4" w:rsidRPr="007E77A8" w:rsidRDefault="004272D4" w:rsidP="007B2820">
      <w:r w:rsidRPr="007E77A8">
        <w:t>Drake, B. (1996). ‘</w:t>
      </w:r>
      <w:proofErr w:type="spellStart"/>
      <w:r w:rsidRPr="007E77A8">
        <w:t>Unraveling</w:t>
      </w:r>
      <w:proofErr w:type="spellEnd"/>
      <w:r w:rsidRPr="007E77A8">
        <w:t xml:space="preserve"> “unsubstantiated” ’, </w:t>
      </w:r>
      <w:r w:rsidRPr="007E77A8">
        <w:rPr>
          <w:i/>
        </w:rPr>
        <w:t>Child Maltreatment</w:t>
      </w:r>
      <w:r w:rsidRPr="007E77A8">
        <w:t>, 1, 261-271.</w:t>
      </w:r>
    </w:p>
    <w:p w14:paraId="755C6602" w14:textId="77777777" w:rsidR="004272D4" w:rsidRPr="007E77A8" w:rsidRDefault="004272D4" w:rsidP="007B2820">
      <w:proofErr w:type="gramStart"/>
      <w:r w:rsidRPr="007E77A8">
        <w:t xml:space="preserve">Han, J &amp; </w:t>
      </w:r>
      <w:proofErr w:type="spellStart"/>
      <w:r w:rsidRPr="007E77A8">
        <w:t>Kamber</w:t>
      </w:r>
      <w:proofErr w:type="spellEnd"/>
      <w:r w:rsidRPr="007E77A8">
        <w:t xml:space="preserve">, M. (2012) </w:t>
      </w:r>
      <w:r w:rsidRPr="007E77A8">
        <w:rPr>
          <w:i/>
        </w:rPr>
        <w:t>Data mining: concepts and techniques</w:t>
      </w:r>
      <w:r w:rsidRPr="007E77A8">
        <w:t>.</w:t>
      </w:r>
      <w:proofErr w:type="gramEnd"/>
      <w:r w:rsidRPr="007E77A8">
        <w:t xml:space="preserve"> </w:t>
      </w:r>
      <w:proofErr w:type="gramStart"/>
      <w:r w:rsidRPr="007E77A8">
        <w:t>3</w:t>
      </w:r>
      <w:r w:rsidRPr="007E77A8">
        <w:rPr>
          <w:vertAlign w:val="superscript"/>
        </w:rPr>
        <w:t>rd</w:t>
      </w:r>
      <w:proofErr w:type="gramEnd"/>
      <w:r w:rsidRPr="007E77A8">
        <w:t xml:space="preserve"> </w:t>
      </w:r>
      <w:proofErr w:type="spellStart"/>
      <w:r w:rsidRPr="007E77A8">
        <w:t>ed</w:t>
      </w:r>
      <w:proofErr w:type="spellEnd"/>
      <w:r w:rsidRPr="007E77A8">
        <w:t>, Morgan Kaufmann.</w:t>
      </w:r>
    </w:p>
    <w:p w14:paraId="74C25E39" w14:textId="77777777" w:rsidR="004272D4" w:rsidRPr="007E77A8" w:rsidRDefault="004272D4" w:rsidP="007B2820">
      <w:pPr>
        <w:ind w:left="567" w:hanging="567"/>
      </w:pPr>
      <w:proofErr w:type="spellStart"/>
      <w:proofErr w:type="gramStart"/>
      <w:r w:rsidRPr="007E77A8">
        <w:t>Holzer</w:t>
      </w:r>
      <w:proofErr w:type="spellEnd"/>
      <w:r w:rsidRPr="007E77A8">
        <w:t>, P and Bromfield, L. (2008).</w:t>
      </w:r>
      <w:proofErr w:type="gramEnd"/>
      <w:r w:rsidRPr="007E77A8">
        <w:t xml:space="preserve"> </w:t>
      </w:r>
      <w:proofErr w:type="gramStart"/>
      <w:r w:rsidRPr="007E77A8">
        <w:rPr>
          <w:i/>
        </w:rPr>
        <w:t>NCPASS comparability of child protection data</w:t>
      </w:r>
      <w:r w:rsidRPr="007E77A8">
        <w:t>.</w:t>
      </w:r>
      <w:proofErr w:type="gramEnd"/>
      <w:r w:rsidRPr="007E77A8">
        <w:t xml:space="preserve"> Melbourne: Australian Institute of Family Studies.</w:t>
      </w:r>
    </w:p>
    <w:p w14:paraId="5FA5A884" w14:textId="77777777" w:rsidR="004272D4" w:rsidRPr="007E77A8" w:rsidRDefault="004272D4" w:rsidP="007B2820">
      <w:pPr>
        <w:ind w:left="567" w:hanging="567"/>
        <w:rPr>
          <w:lang w:val="en-US"/>
        </w:rPr>
      </w:pPr>
      <w:proofErr w:type="gramStart"/>
      <w:r w:rsidRPr="007E77A8">
        <w:rPr>
          <w:lang w:val="en-US"/>
        </w:rPr>
        <w:lastRenderedPageBreak/>
        <w:t>Hussey, J</w:t>
      </w:r>
      <w:r w:rsidRPr="007E77A8">
        <w:rPr>
          <w:bCs/>
          <w:lang w:val="en-US"/>
        </w:rPr>
        <w:t xml:space="preserve">, </w:t>
      </w:r>
      <w:r w:rsidRPr="007E77A8">
        <w:rPr>
          <w:lang w:val="en-US"/>
        </w:rPr>
        <w:t>Marshall, J</w:t>
      </w:r>
      <w:r w:rsidRPr="007E77A8">
        <w:rPr>
          <w:bCs/>
          <w:lang w:val="en-US"/>
        </w:rPr>
        <w:t xml:space="preserve">, </w:t>
      </w:r>
      <w:r w:rsidRPr="007E77A8">
        <w:rPr>
          <w:lang w:val="en-US"/>
        </w:rPr>
        <w:t xml:space="preserve">English, D, Knight, E, Lau, A, </w:t>
      </w:r>
      <w:proofErr w:type="spellStart"/>
      <w:r w:rsidRPr="007E77A8">
        <w:rPr>
          <w:lang w:val="en-US"/>
        </w:rPr>
        <w:t>Dubowitz</w:t>
      </w:r>
      <w:proofErr w:type="spellEnd"/>
      <w:r w:rsidRPr="007E77A8">
        <w:rPr>
          <w:lang w:val="en-US"/>
        </w:rPr>
        <w:t>, H, &amp; Kotch, J. (2005).</w:t>
      </w:r>
      <w:proofErr w:type="gramEnd"/>
      <w:r w:rsidRPr="007E77A8">
        <w:rPr>
          <w:lang w:val="en-US"/>
        </w:rPr>
        <w:t xml:space="preserve"> ‘Defining Maltreatment According to Substantiation: Distinction without a Difference?</w:t>
      </w:r>
      <w:proofErr w:type="gramStart"/>
      <w:r w:rsidRPr="007E77A8">
        <w:rPr>
          <w:lang w:val="en-US"/>
        </w:rPr>
        <w:t>’,</w:t>
      </w:r>
      <w:proofErr w:type="gramEnd"/>
      <w:r w:rsidRPr="007E77A8">
        <w:rPr>
          <w:lang w:val="en-US"/>
        </w:rPr>
        <w:t xml:space="preserve"> </w:t>
      </w:r>
      <w:r w:rsidRPr="007E77A8">
        <w:rPr>
          <w:i/>
          <w:iCs/>
          <w:lang w:val="en-US"/>
        </w:rPr>
        <w:t xml:space="preserve">Child Abuse and Neglect, </w:t>
      </w:r>
      <w:r w:rsidRPr="007E77A8">
        <w:rPr>
          <w:i/>
          <w:lang w:val="en-US"/>
        </w:rPr>
        <w:t>29</w:t>
      </w:r>
      <w:r w:rsidRPr="007E77A8">
        <w:rPr>
          <w:lang w:val="en-US"/>
        </w:rPr>
        <w:t>, 479-492.</w:t>
      </w:r>
    </w:p>
    <w:p w14:paraId="713EBAE0" w14:textId="77777777" w:rsidR="004272D4" w:rsidRPr="007E77A8" w:rsidRDefault="004272D4" w:rsidP="007B2820">
      <w:pPr>
        <w:ind w:left="567" w:hanging="567"/>
      </w:pPr>
      <w:proofErr w:type="gramStart"/>
      <w:r w:rsidRPr="007E77A8">
        <w:t>Kohl, P, Jonson-Reid, M, &amp; Drake, B. (2009).</w:t>
      </w:r>
      <w:proofErr w:type="gramEnd"/>
      <w:r w:rsidRPr="007E77A8">
        <w:t xml:space="preserve"> ‘Time to Leave Substantiation Behind: Findings </w:t>
      </w:r>
      <w:proofErr w:type="gramStart"/>
      <w:r w:rsidRPr="007E77A8">
        <w:t>From</w:t>
      </w:r>
      <w:proofErr w:type="gramEnd"/>
      <w:r w:rsidRPr="007E77A8">
        <w:t xml:space="preserve"> A National Probability Study’, </w:t>
      </w:r>
      <w:r w:rsidRPr="007E77A8">
        <w:rPr>
          <w:i/>
        </w:rPr>
        <w:t>Child Maltreatment</w:t>
      </w:r>
      <w:r w:rsidRPr="007E77A8">
        <w:t xml:space="preserve">, </w:t>
      </w:r>
      <w:r w:rsidRPr="007E77A8">
        <w:rPr>
          <w:i/>
        </w:rPr>
        <w:t>14</w:t>
      </w:r>
      <w:r w:rsidRPr="007E77A8">
        <w:t>, 17.</w:t>
      </w:r>
    </w:p>
    <w:p w14:paraId="0E9404EF" w14:textId="77777777" w:rsidR="004272D4" w:rsidRPr="007E77A8" w:rsidRDefault="004272D4" w:rsidP="007B2820">
      <w:pPr>
        <w:ind w:left="567" w:hanging="567"/>
      </w:pPr>
      <w:r w:rsidRPr="007E77A8">
        <w:t xml:space="preserve">Mathews, B. (2014). </w:t>
      </w:r>
      <w:proofErr w:type="gramStart"/>
      <w:r w:rsidRPr="007E77A8">
        <w:t>The nature and development over time of mandatory reporting laws.</w:t>
      </w:r>
      <w:proofErr w:type="gramEnd"/>
      <w:r w:rsidRPr="007E77A8">
        <w:t xml:space="preserve"> In </w:t>
      </w:r>
      <w:r w:rsidRPr="007E77A8">
        <w:rPr>
          <w:lang w:val="en-GB"/>
        </w:rPr>
        <w:t xml:space="preserve">B Mathews and D </w:t>
      </w:r>
      <w:proofErr w:type="spellStart"/>
      <w:r w:rsidRPr="007E77A8">
        <w:rPr>
          <w:lang w:val="en-GB"/>
        </w:rPr>
        <w:t>Bross</w:t>
      </w:r>
      <w:proofErr w:type="spellEnd"/>
      <w:r w:rsidRPr="007E77A8">
        <w:rPr>
          <w:lang w:val="en-GB"/>
        </w:rPr>
        <w:t xml:space="preserve"> (</w:t>
      </w:r>
      <w:proofErr w:type="spellStart"/>
      <w:proofErr w:type="gramStart"/>
      <w:r w:rsidRPr="007E77A8">
        <w:rPr>
          <w:lang w:val="en-GB"/>
        </w:rPr>
        <w:t>eds</w:t>
      </w:r>
      <w:proofErr w:type="spellEnd"/>
      <w:proofErr w:type="gramEnd"/>
      <w:r w:rsidRPr="007E77A8">
        <w:rPr>
          <w:lang w:val="en-GB"/>
        </w:rPr>
        <w:t xml:space="preserve">) </w:t>
      </w:r>
      <w:r w:rsidRPr="007E77A8">
        <w:rPr>
          <w:i/>
          <w:lang w:val="en-GB"/>
        </w:rPr>
        <w:t>Mandatory reporting laws and the identification of severe child abuse and neglect</w:t>
      </w:r>
      <w:r w:rsidRPr="007E77A8">
        <w:rPr>
          <w:lang w:val="en-GB"/>
        </w:rPr>
        <w:t>, Springer: Dordrecht</w:t>
      </w:r>
      <w:r w:rsidRPr="007E77A8">
        <w:t xml:space="preserve"> (in press).</w:t>
      </w:r>
    </w:p>
    <w:p w14:paraId="5F8E0B7B" w14:textId="77777777" w:rsidR="004272D4" w:rsidRPr="007E77A8" w:rsidRDefault="004272D4" w:rsidP="007B2820">
      <w:pPr>
        <w:ind w:left="567" w:hanging="567"/>
      </w:pPr>
      <w:r w:rsidRPr="007E77A8">
        <w:t xml:space="preserve">Mathews, B. (2012). </w:t>
      </w:r>
      <w:proofErr w:type="gramStart"/>
      <w:r w:rsidRPr="007E77A8">
        <w:t>Exploring the contested role of mandatory reporting laws in the identification of severe child abuse and neglect.</w:t>
      </w:r>
      <w:proofErr w:type="gramEnd"/>
      <w:r w:rsidRPr="007E77A8">
        <w:t xml:space="preserve"> In M Freeman (</w:t>
      </w:r>
      <w:proofErr w:type="spellStart"/>
      <w:proofErr w:type="gramStart"/>
      <w:r w:rsidRPr="007E77A8">
        <w:t>ed</w:t>
      </w:r>
      <w:proofErr w:type="spellEnd"/>
      <w:proofErr w:type="gramEnd"/>
      <w:r w:rsidRPr="007E77A8">
        <w:t xml:space="preserve">) </w:t>
      </w:r>
      <w:r w:rsidRPr="007E77A8">
        <w:rPr>
          <w:i/>
        </w:rPr>
        <w:t>Current Legal Issues Volume 14: Law and Childhood Studies</w:t>
      </w:r>
      <w:r w:rsidRPr="007E77A8">
        <w:t>, Oxford University Press, Oxford, 302-338.</w:t>
      </w:r>
    </w:p>
    <w:p w14:paraId="675B5289" w14:textId="77777777" w:rsidR="00B83FC4" w:rsidRDefault="004272D4" w:rsidP="007B2820">
      <w:pPr>
        <w:ind w:left="567" w:hanging="567"/>
      </w:pPr>
      <w:proofErr w:type="gramStart"/>
      <w:r w:rsidRPr="007E77A8">
        <w:t xml:space="preserve">Stephens, C, &amp; </w:t>
      </w:r>
      <w:proofErr w:type="spellStart"/>
      <w:r w:rsidRPr="007E77A8">
        <w:t>Sukumar</w:t>
      </w:r>
      <w:proofErr w:type="spellEnd"/>
      <w:r w:rsidRPr="007E77A8">
        <w:t>, R. (2006).</w:t>
      </w:r>
      <w:proofErr w:type="gramEnd"/>
      <w:r w:rsidRPr="007E77A8">
        <w:t xml:space="preserve"> </w:t>
      </w:r>
      <w:proofErr w:type="gramStart"/>
      <w:r w:rsidRPr="007E77A8">
        <w:t>Introduction to Data Mining.</w:t>
      </w:r>
      <w:proofErr w:type="gramEnd"/>
      <w:r w:rsidRPr="007E77A8">
        <w:t xml:space="preserve"> In R Grover and M </w:t>
      </w:r>
      <w:proofErr w:type="spellStart"/>
      <w:r w:rsidRPr="007E77A8">
        <w:t>Vriends</w:t>
      </w:r>
      <w:proofErr w:type="spellEnd"/>
      <w:r w:rsidRPr="007E77A8">
        <w:t xml:space="preserve"> (</w:t>
      </w:r>
      <w:proofErr w:type="spellStart"/>
      <w:proofErr w:type="gramStart"/>
      <w:r w:rsidRPr="007E77A8">
        <w:t>eds</w:t>
      </w:r>
      <w:proofErr w:type="spellEnd"/>
      <w:proofErr w:type="gramEnd"/>
      <w:r w:rsidRPr="007E77A8">
        <w:t xml:space="preserve">), </w:t>
      </w:r>
      <w:r w:rsidRPr="007E77A8">
        <w:rPr>
          <w:i/>
          <w:iCs/>
        </w:rPr>
        <w:t>Handbook of Marketing Research</w:t>
      </w:r>
      <w:r w:rsidRPr="007E77A8">
        <w:t>, Thousand Oaks: Sage, 455-485.</w:t>
      </w:r>
    </w:p>
    <w:p w14:paraId="357A3E57" w14:textId="77777777" w:rsidR="00344142" w:rsidRDefault="00344142" w:rsidP="007B2820"/>
    <w:p w14:paraId="2DB67104" w14:textId="77777777" w:rsidR="00F23A4E" w:rsidRDefault="00F23A4E" w:rsidP="007B2820"/>
    <w:p w14:paraId="4B1A5F06" w14:textId="77777777" w:rsidR="00F23A4E" w:rsidRDefault="00F23A4E" w:rsidP="007B2820">
      <w:pPr>
        <w:spacing w:after="200"/>
      </w:pPr>
      <w:r>
        <w:br w:type="page"/>
      </w:r>
    </w:p>
    <w:p w14:paraId="4DBC4857" w14:textId="77777777" w:rsidR="00F23A4E" w:rsidRDefault="00F23A4E" w:rsidP="007B2820">
      <w:pPr>
        <w:pStyle w:val="Heading4"/>
        <w:spacing w:line="360" w:lineRule="auto"/>
      </w:pPr>
      <w:bookmarkStart w:id="247" w:name="_Toc435716782"/>
      <w:r>
        <w:lastRenderedPageBreak/>
        <w:t>Appendix 1 Table 1</w:t>
      </w:r>
      <w:r w:rsidR="001F1D20">
        <w:t xml:space="preserve"> and Figure 1</w:t>
      </w:r>
      <w:bookmarkEnd w:id="247"/>
    </w:p>
    <w:p w14:paraId="0B623B0A" w14:textId="1B59BF56" w:rsidR="001F1D20" w:rsidRDefault="00F23A4E" w:rsidP="007B2820">
      <w:r>
        <w:t xml:space="preserve">Appendix 1 </w:t>
      </w:r>
      <w:r w:rsidRPr="007E77A8">
        <w:t xml:space="preserve">Table </w:t>
      </w:r>
      <w:r>
        <w:t>1</w:t>
      </w:r>
      <w:r w:rsidRPr="007E77A8">
        <w:t xml:space="preserve"> provides a comparative table of child protection system processes regarding ‘reports’ or ‘intakes’ and responses to them, and our data collection approach. Three jurisdictions have caller-defined approaches (ACT, Tasmania and Victoria) and the other five jurisdictions have agency-defined approaches.</w:t>
      </w:r>
    </w:p>
    <w:p w14:paraId="73E92D5A" w14:textId="497FAE0F" w:rsidR="00344142" w:rsidRDefault="001F1D20" w:rsidP="007B2820">
      <w:pPr>
        <w:sectPr w:rsidR="00344142" w:rsidSect="00F4347A">
          <w:pgSz w:w="11906" w:h="16838"/>
          <w:pgMar w:top="1134" w:right="1134" w:bottom="1134" w:left="1134" w:header="709" w:footer="709" w:gutter="0"/>
          <w:cols w:space="708"/>
          <w:docGrid w:linePitch="360"/>
        </w:sectPr>
      </w:pPr>
      <w:r>
        <w:t>Appendix 1 Figure 1 depicts k</w:t>
      </w:r>
      <w:r w:rsidRPr="001F1D20">
        <w:t xml:space="preserve">ey points in the </w:t>
      </w:r>
      <w:proofErr w:type="gramStart"/>
      <w:r w:rsidRPr="001F1D20">
        <w:t>child protection system intake process</w:t>
      </w:r>
      <w:proofErr w:type="gramEnd"/>
      <w:r w:rsidRPr="001F1D20">
        <w:t>: receipt and processing of reports/intakes regarding child abuse and neglect, and child welfare</w:t>
      </w:r>
      <w:r>
        <w:t>.</w:t>
      </w:r>
      <w:r w:rsidR="00FF2D54">
        <w:t xml:space="preserve"> </w:t>
      </w:r>
    </w:p>
    <w:p w14:paraId="537DDE37" w14:textId="77777777" w:rsidR="004272D4" w:rsidRPr="007E77A8" w:rsidRDefault="00F4347A" w:rsidP="007B2820">
      <w:pPr>
        <w:pStyle w:val="Tableheading"/>
        <w:spacing w:after="120"/>
      </w:pPr>
      <w:r>
        <w:lastRenderedPageBreak/>
        <w:t xml:space="preserve">Appendix 1 </w:t>
      </w:r>
      <w:r w:rsidR="004272D4" w:rsidRPr="007E77A8">
        <w:t xml:space="preserve">Table </w:t>
      </w:r>
      <w:r>
        <w:t>1</w:t>
      </w:r>
      <w:r w:rsidR="004272D4" w:rsidRPr="007E77A8">
        <w:t>:  Comparative table of child protection system intake processes and our data collection approach</w:t>
      </w:r>
    </w:p>
    <w:tbl>
      <w:tblPr>
        <w:tblStyle w:val="TableGrid"/>
        <w:tblW w:w="14000" w:type="dxa"/>
        <w:tblLook w:val="04A0" w:firstRow="1" w:lastRow="0" w:firstColumn="1" w:lastColumn="0" w:noHBand="0" w:noVBand="1"/>
        <w:tblCaption w:val="Comparative table of child protection system intake processes and our data collection approach"/>
      </w:tblPr>
      <w:tblGrid>
        <w:gridCol w:w="1561"/>
        <w:gridCol w:w="7619"/>
        <w:gridCol w:w="4820"/>
      </w:tblGrid>
      <w:tr w:rsidR="004272D4" w:rsidRPr="007E77A8" w14:paraId="11357BD7" w14:textId="77777777" w:rsidTr="0015104D">
        <w:trPr>
          <w:cantSplit/>
          <w:tblHeader/>
        </w:trPr>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C2BC06" w14:textId="77777777" w:rsidR="004272D4" w:rsidRPr="007E77A8" w:rsidRDefault="004272D4" w:rsidP="00CE2FDF">
            <w:pPr>
              <w:spacing w:before="0" w:line="276" w:lineRule="auto"/>
              <w:rPr>
                <w:b/>
                <w:lang w:val="en-US"/>
              </w:rPr>
            </w:pPr>
            <w:r w:rsidRPr="007E77A8">
              <w:rPr>
                <w:b/>
                <w:lang w:val="en-US"/>
              </w:rPr>
              <w:t>Jurisdiction</w:t>
            </w:r>
          </w:p>
        </w:tc>
        <w:tc>
          <w:tcPr>
            <w:tcW w:w="7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B3F611" w14:textId="77777777" w:rsidR="004272D4" w:rsidRPr="007E77A8" w:rsidRDefault="004272D4" w:rsidP="00CE2FDF">
            <w:pPr>
              <w:spacing w:before="0" w:line="276" w:lineRule="auto"/>
              <w:rPr>
                <w:b/>
                <w:lang w:val="en-US"/>
              </w:rPr>
            </w:pPr>
            <w:r w:rsidRPr="007E77A8">
              <w:rPr>
                <w:b/>
                <w:lang w:val="en-US"/>
              </w:rPr>
              <w:t>Child protection</w:t>
            </w:r>
            <w:r w:rsidRPr="007E77A8">
              <w:rPr>
                <w:lang w:val="en-US"/>
              </w:rPr>
              <w:t xml:space="preserve"> </w:t>
            </w:r>
            <w:r w:rsidRPr="007E77A8">
              <w:rPr>
                <w:b/>
                <w:lang w:val="en-US"/>
              </w:rPr>
              <w:t>system intake and response processes</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F3B362" w14:textId="77777777" w:rsidR="004272D4" w:rsidRPr="007E77A8" w:rsidRDefault="004272D4" w:rsidP="00CE2FDF">
            <w:pPr>
              <w:spacing w:before="0" w:line="276" w:lineRule="auto"/>
              <w:rPr>
                <w:b/>
                <w:lang w:val="en-US"/>
              </w:rPr>
            </w:pPr>
            <w:r w:rsidRPr="007E77A8">
              <w:rPr>
                <w:b/>
                <w:lang w:val="en-US"/>
              </w:rPr>
              <w:t xml:space="preserve">Outline of data collection approach </w:t>
            </w:r>
          </w:p>
        </w:tc>
      </w:tr>
      <w:tr w:rsidR="004272D4" w:rsidRPr="007E77A8" w14:paraId="1B5E82FB" w14:textId="77777777" w:rsidTr="0015104D">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4BDC9449" w14:textId="77777777" w:rsidR="004272D4" w:rsidRPr="007E77A8" w:rsidRDefault="004272D4" w:rsidP="00CE2FDF">
            <w:pPr>
              <w:spacing w:before="0" w:line="276" w:lineRule="auto"/>
              <w:rPr>
                <w:b/>
                <w:lang w:val="en-US"/>
              </w:rPr>
            </w:pPr>
            <w:r w:rsidRPr="007E77A8">
              <w:rPr>
                <w:b/>
                <w:lang w:val="en-US"/>
              </w:rPr>
              <w:t>ACT</w:t>
            </w:r>
          </w:p>
        </w:tc>
        <w:tc>
          <w:tcPr>
            <w:tcW w:w="7619" w:type="dxa"/>
            <w:tcBorders>
              <w:top w:val="single" w:sz="4" w:space="0" w:color="auto"/>
              <w:left w:val="single" w:sz="4" w:space="0" w:color="auto"/>
              <w:bottom w:val="dashed" w:sz="4" w:space="0" w:color="auto"/>
              <w:right w:val="single" w:sz="4" w:space="0" w:color="auto"/>
            </w:tcBorders>
          </w:tcPr>
          <w:p w14:paraId="533A2E0C" w14:textId="0ECD0369" w:rsidR="004272D4" w:rsidRPr="007E77A8" w:rsidRDefault="004272D4" w:rsidP="00CE2FDF">
            <w:pPr>
              <w:spacing w:before="0" w:line="276" w:lineRule="auto"/>
              <w:rPr>
                <w:lang w:val="en-US"/>
              </w:rPr>
            </w:pPr>
            <w:r w:rsidRPr="007E77A8">
              <w:rPr>
                <w:lang w:val="en-US"/>
              </w:rPr>
              <w:t xml:space="preserve">In the ACT, initial ‘reports’ or ‘intakes’ are </w:t>
            </w:r>
            <w:r w:rsidRPr="007E77A8">
              <w:rPr>
                <w:b/>
                <w:lang w:val="en-US"/>
              </w:rPr>
              <w:t>‘caller-defined’</w:t>
            </w:r>
            <w:r w:rsidRPr="007E77A8">
              <w:rPr>
                <w:lang w:val="en-US"/>
              </w:rPr>
              <w:t xml:space="preserve"> meaning that nearly all intakes will be initially classified as ‘notifications’.  This has the effect, relative to other </w:t>
            </w:r>
            <w:proofErr w:type="gramStart"/>
            <w:r w:rsidRPr="007E77A8">
              <w:rPr>
                <w:lang w:val="en-US"/>
              </w:rPr>
              <w:t>jurisdictions which</w:t>
            </w:r>
            <w:proofErr w:type="gramEnd"/>
            <w:r w:rsidRPr="007E77A8">
              <w:rPr>
                <w:lang w:val="en-US"/>
              </w:rPr>
              <w:t xml:space="preserve"> do not employ this approach, of inflating the number of ‘notifications’. </w:t>
            </w:r>
          </w:p>
          <w:p w14:paraId="39F9CA59" w14:textId="6A0885DE" w:rsidR="004272D4" w:rsidRPr="007E77A8" w:rsidRDefault="004272D4" w:rsidP="00CE2FDF">
            <w:pPr>
              <w:spacing w:before="0" w:line="276" w:lineRule="auto"/>
              <w:rPr>
                <w:lang w:val="en-US"/>
              </w:rPr>
            </w:pPr>
            <w:r w:rsidRPr="007E77A8">
              <w:rPr>
                <w:lang w:val="en-US"/>
              </w:rPr>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3ED488E1" w14:textId="77777777" w:rsidR="004272D4" w:rsidRPr="007E77A8" w:rsidRDefault="004272D4" w:rsidP="00CE2FDF">
            <w:pPr>
              <w:spacing w:before="0" w:line="276" w:lineRule="auto"/>
              <w:rPr>
                <w:lang w:val="en-US"/>
              </w:rPr>
            </w:pPr>
            <w:r w:rsidRPr="007E77A8">
              <w:rPr>
                <w:lang w:val="en-US"/>
              </w:rPr>
              <w:t>We requested only data on notifications of child abuse and neglect. Because of the approach taken in the ACT to defining ‘notifications’, we received this data, but it will reflect an inflated number of initial notifications.</w:t>
            </w:r>
          </w:p>
          <w:p w14:paraId="7A9403B0" w14:textId="77777777" w:rsidR="004272D4" w:rsidRPr="007E77A8" w:rsidRDefault="004272D4" w:rsidP="00CE2FDF">
            <w:pPr>
              <w:spacing w:before="0" w:line="276" w:lineRule="auto"/>
              <w:rPr>
                <w:lang w:val="en-US"/>
              </w:rPr>
            </w:pPr>
          </w:p>
        </w:tc>
      </w:tr>
      <w:tr w:rsidR="004272D4" w:rsidRPr="007E77A8" w14:paraId="42A48240" w14:textId="77777777" w:rsidTr="0015104D">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13D39D65" w14:textId="77777777" w:rsidR="004272D4" w:rsidRPr="007E77A8" w:rsidRDefault="004272D4" w:rsidP="00CE2FDF">
            <w:pPr>
              <w:spacing w:before="0" w:line="276" w:lineRule="auto"/>
              <w:rPr>
                <w:b/>
                <w:lang w:val="en-US"/>
              </w:rPr>
            </w:pPr>
            <w:r w:rsidRPr="007E77A8">
              <w:rPr>
                <w:b/>
                <w:lang w:val="en-US"/>
              </w:rPr>
              <w:t>TAS</w:t>
            </w:r>
          </w:p>
        </w:tc>
        <w:tc>
          <w:tcPr>
            <w:tcW w:w="7619" w:type="dxa"/>
            <w:tcBorders>
              <w:top w:val="single" w:sz="4" w:space="0" w:color="auto"/>
              <w:left w:val="single" w:sz="4" w:space="0" w:color="auto"/>
              <w:bottom w:val="single" w:sz="4" w:space="0" w:color="auto"/>
              <w:right w:val="single" w:sz="4" w:space="0" w:color="auto"/>
            </w:tcBorders>
          </w:tcPr>
          <w:p w14:paraId="0625993C" w14:textId="4F732130" w:rsidR="004272D4" w:rsidRPr="007E77A8" w:rsidRDefault="004272D4" w:rsidP="00CE2FDF">
            <w:pPr>
              <w:spacing w:before="0" w:line="276" w:lineRule="auto"/>
              <w:rPr>
                <w:lang w:val="en-US"/>
              </w:rPr>
            </w:pPr>
            <w:r w:rsidRPr="007E77A8">
              <w:rPr>
                <w:lang w:val="en-US"/>
              </w:rPr>
              <w:t xml:space="preserve">In Tasmania, ‘reports’ or ‘intakes’ are </w:t>
            </w:r>
            <w:r w:rsidRPr="007E77A8">
              <w:rPr>
                <w:b/>
                <w:lang w:val="en-US"/>
              </w:rPr>
              <w:t>‘caller-defined’</w:t>
            </w:r>
            <w:r w:rsidRPr="007E77A8">
              <w:rPr>
                <w:lang w:val="en-US"/>
              </w:rPr>
              <w:t xml:space="preserve"> meaning that nearly all intakes will be initially classified as ‘notifications’.  This has the effect, relative to other </w:t>
            </w:r>
            <w:proofErr w:type="gramStart"/>
            <w:r w:rsidRPr="007E77A8">
              <w:rPr>
                <w:lang w:val="en-US"/>
              </w:rPr>
              <w:t>jurisdictions which</w:t>
            </w:r>
            <w:proofErr w:type="gramEnd"/>
            <w:r w:rsidRPr="007E77A8">
              <w:rPr>
                <w:lang w:val="en-US"/>
              </w:rPr>
              <w:t xml:space="preserve"> do not employ this approach, of inflating the number of ‘notifications’. </w:t>
            </w:r>
          </w:p>
          <w:p w14:paraId="6784D3EB" w14:textId="0CE88641" w:rsidR="004272D4" w:rsidRPr="007E77A8" w:rsidRDefault="004272D4" w:rsidP="00CE2FDF">
            <w:pPr>
              <w:spacing w:before="0" w:line="276" w:lineRule="auto"/>
              <w:rPr>
                <w:lang w:val="en-US"/>
              </w:rPr>
            </w:pPr>
            <w:r w:rsidRPr="007E77A8">
              <w:rPr>
                <w:lang w:val="en-US"/>
              </w:rPr>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6DC2C625" w14:textId="77777777" w:rsidR="004272D4" w:rsidRPr="007E77A8" w:rsidRDefault="004272D4" w:rsidP="00CE2FDF">
            <w:pPr>
              <w:spacing w:before="0" w:line="276" w:lineRule="auto"/>
              <w:rPr>
                <w:lang w:val="en-US"/>
              </w:rPr>
            </w:pPr>
            <w:r w:rsidRPr="007E77A8">
              <w:rPr>
                <w:lang w:val="en-US"/>
              </w:rPr>
              <w:t>We requested only data on notifications of child abuse and neglect. Because of the approach taken in Tasmania to defining ‘notifications’, we received this data, but it will reflect an inflated number of initial notifications.</w:t>
            </w:r>
          </w:p>
          <w:p w14:paraId="6438693C" w14:textId="77777777" w:rsidR="004272D4" w:rsidRPr="007E77A8" w:rsidRDefault="004272D4" w:rsidP="00CE2FDF">
            <w:pPr>
              <w:spacing w:before="0" w:line="276" w:lineRule="auto"/>
              <w:rPr>
                <w:lang w:val="en-US"/>
              </w:rPr>
            </w:pPr>
          </w:p>
          <w:p w14:paraId="6329FCEF" w14:textId="77777777" w:rsidR="004272D4" w:rsidRPr="007E77A8" w:rsidRDefault="004272D4" w:rsidP="00CE2FDF">
            <w:pPr>
              <w:spacing w:before="0" w:line="276" w:lineRule="auto"/>
              <w:rPr>
                <w:lang w:val="en-US"/>
              </w:rPr>
            </w:pPr>
            <w:r w:rsidRPr="007E77A8">
              <w:rPr>
                <w:lang w:val="en-US"/>
              </w:rPr>
              <w:t xml:space="preserve">We did not request data on reports made under Tasmania’s differential response system (Gateways) as the study </w:t>
            </w:r>
            <w:proofErr w:type="gramStart"/>
            <w:r w:rsidRPr="007E77A8">
              <w:rPr>
                <w:lang w:val="en-US"/>
              </w:rPr>
              <w:t>is focused</w:t>
            </w:r>
            <w:proofErr w:type="gramEnd"/>
            <w:r w:rsidRPr="007E77A8">
              <w:rPr>
                <w:lang w:val="en-US"/>
              </w:rPr>
              <w:t xml:space="preserve"> on reports of child abuse and neglect of a higher level of seriousness.</w:t>
            </w:r>
          </w:p>
          <w:p w14:paraId="5CD94A5E" w14:textId="77777777" w:rsidR="004272D4" w:rsidRPr="007E77A8" w:rsidRDefault="004272D4" w:rsidP="00CE2FDF">
            <w:pPr>
              <w:spacing w:before="0" w:line="276" w:lineRule="auto"/>
              <w:rPr>
                <w:lang w:val="en-US"/>
              </w:rPr>
            </w:pPr>
          </w:p>
          <w:p w14:paraId="1706E76B" w14:textId="77777777" w:rsidR="004272D4" w:rsidRPr="007E77A8" w:rsidRDefault="004272D4" w:rsidP="00CE2FDF">
            <w:pPr>
              <w:spacing w:before="0" w:line="276" w:lineRule="auto"/>
              <w:rPr>
                <w:lang w:val="en-US"/>
              </w:rPr>
            </w:pPr>
            <w:r w:rsidRPr="007E77A8">
              <w:rPr>
                <w:lang w:val="en-US"/>
              </w:rPr>
              <w:t xml:space="preserve">Data </w:t>
            </w:r>
            <w:proofErr w:type="gramStart"/>
            <w:r w:rsidRPr="007E77A8">
              <w:rPr>
                <w:lang w:val="en-US"/>
              </w:rPr>
              <w:t>was provided</w:t>
            </w:r>
            <w:proofErr w:type="gramEnd"/>
            <w:r w:rsidRPr="007E77A8">
              <w:rPr>
                <w:lang w:val="en-US"/>
              </w:rPr>
              <w:t xml:space="preserve"> for the years 2004-2012.</w:t>
            </w:r>
          </w:p>
          <w:p w14:paraId="7EE8C397" w14:textId="77777777" w:rsidR="004272D4" w:rsidRPr="007E77A8" w:rsidRDefault="004272D4" w:rsidP="00CE2FDF">
            <w:pPr>
              <w:spacing w:before="0" w:line="276" w:lineRule="auto"/>
              <w:rPr>
                <w:lang w:val="en-US"/>
              </w:rPr>
            </w:pPr>
          </w:p>
        </w:tc>
      </w:tr>
      <w:tr w:rsidR="004272D4" w:rsidRPr="007E77A8" w14:paraId="7FFEE6AB" w14:textId="77777777" w:rsidTr="0015104D">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3C25979C" w14:textId="77777777" w:rsidR="004272D4" w:rsidRPr="007E77A8" w:rsidRDefault="004272D4" w:rsidP="00CE2FDF">
            <w:pPr>
              <w:spacing w:before="0" w:line="276" w:lineRule="auto"/>
              <w:rPr>
                <w:b/>
                <w:lang w:val="en-US"/>
              </w:rPr>
            </w:pPr>
            <w:r w:rsidRPr="007E77A8">
              <w:rPr>
                <w:b/>
                <w:lang w:val="en-US"/>
              </w:rPr>
              <w:lastRenderedPageBreak/>
              <w:t>VIC</w:t>
            </w:r>
          </w:p>
        </w:tc>
        <w:tc>
          <w:tcPr>
            <w:tcW w:w="7619" w:type="dxa"/>
            <w:tcBorders>
              <w:top w:val="single" w:sz="4" w:space="0" w:color="auto"/>
              <w:left w:val="single" w:sz="4" w:space="0" w:color="auto"/>
              <w:bottom w:val="single" w:sz="4" w:space="0" w:color="auto"/>
              <w:right w:val="single" w:sz="4" w:space="0" w:color="auto"/>
            </w:tcBorders>
          </w:tcPr>
          <w:p w14:paraId="785D515B" w14:textId="7FCD9560" w:rsidR="004272D4" w:rsidRPr="007E77A8" w:rsidRDefault="004272D4" w:rsidP="00CE2FDF">
            <w:pPr>
              <w:spacing w:before="0" w:line="276" w:lineRule="auto"/>
              <w:rPr>
                <w:lang w:val="en-US"/>
              </w:rPr>
            </w:pPr>
            <w:r w:rsidRPr="007E77A8">
              <w:rPr>
                <w:lang w:val="en-US"/>
              </w:rPr>
              <w:t xml:space="preserve">In Victoria, ‘reports’ or ‘intakes’ are </w:t>
            </w:r>
            <w:r w:rsidRPr="007E77A8">
              <w:rPr>
                <w:b/>
                <w:lang w:val="en-US"/>
              </w:rPr>
              <w:t>‘caller-defined’</w:t>
            </w:r>
            <w:r w:rsidRPr="007E77A8">
              <w:rPr>
                <w:lang w:val="en-US"/>
              </w:rPr>
              <w:t xml:space="preserve"> meaning that most intakes will be initially classified as ‘notifications’. However, Victoria adopts a more stringent approach to this than in Tasmania and the ACT.  Intakes are recorded as ‘notifications’ when the reporter </w:t>
            </w:r>
            <w:r w:rsidRPr="007E77A8">
              <w:rPr>
                <w:i/>
                <w:lang w:val="en-US"/>
              </w:rPr>
              <w:t>either</w:t>
            </w:r>
            <w:r w:rsidRPr="007E77A8">
              <w:rPr>
                <w:lang w:val="en-US"/>
              </w:rPr>
              <w:t xml:space="preserve"> expresses significant concern for the wellbeing of a child, or believes that a child is in need of protection.  This may have the effect, relative to other jurisdictions which do not employ this approach, of somewhat inflating the number of ‘notifications’. </w:t>
            </w:r>
          </w:p>
          <w:p w14:paraId="4EA6499F" w14:textId="553F7DE5" w:rsidR="004272D4" w:rsidRPr="007E77A8" w:rsidRDefault="004272D4" w:rsidP="00CE2FDF">
            <w:pPr>
              <w:spacing w:before="0" w:line="276" w:lineRule="auto"/>
              <w:rPr>
                <w:lang w:val="en-US"/>
              </w:rPr>
            </w:pPr>
            <w:r w:rsidRPr="007E77A8">
              <w:rPr>
                <w:lang w:val="en-US"/>
              </w:rPr>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5C634555" w14:textId="77777777" w:rsidR="004272D4" w:rsidRPr="007E77A8" w:rsidRDefault="004272D4" w:rsidP="00CE2FDF">
            <w:pPr>
              <w:spacing w:before="0" w:line="276" w:lineRule="auto"/>
              <w:rPr>
                <w:lang w:val="en-US"/>
              </w:rPr>
            </w:pPr>
            <w:r w:rsidRPr="007E77A8">
              <w:rPr>
                <w:lang w:val="en-US"/>
              </w:rPr>
              <w:t>We requested only data on notifications of child abuse and neglect. Because of the approach taken in Victoria to defining ‘notifications’, we received this data, but it will reflect an inflated number of initial notifications.</w:t>
            </w:r>
          </w:p>
          <w:p w14:paraId="6767AF49" w14:textId="77777777" w:rsidR="004272D4" w:rsidRPr="007E77A8" w:rsidRDefault="004272D4" w:rsidP="00CE2FDF">
            <w:pPr>
              <w:spacing w:before="0" w:line="276" w:lineRule="auto"/>
              <w:rPr>
                <w:lang w:val="en-US"/>
              </w:rPr>
            </w:pPr>
          </w:p>
          <w:p w14:paraId="0FBC6275" w14:textId="77777777" w:rsidR="004272D4" w:rsidRPr="007E77A8" w:rsidRDefault="004272D4" w:rsidP="00CE2FDF">
            <w:pPr>
              <w:spacing w:before="0" w:line="276" w:lineRule="auto"/>
              <w:rPr>
                <w:lang w:val="en-US"/>
              </w:rPr>
            </w:pPr>
            <w:r w:rsidRPr="007E77A8">
              <w:rPr>
                <w:lang w:val="en-US"/>
              </w:rPr>
              <w:t>We did not request data on reports made under Victoria’s differential response system (</w:t>
            </w:r>
            <w:proofErr w:type="spellStart"/>
            <w:r w:rsidRPr="007E77A8">
              <w:rPr>
                <w:lang w:val="en-US"/>
              </w:rPr>
              <w:t>ChildFIRST</w:t>
            </w:r>
            <w:proofErr w:type="spellEnd"/>
            <w:r w:rsidRPr="007E77A8">
              <w:rPr>
                <w:lang w:val="en-US"/>
              </w:rPr>
              <w:t xml:space="preserve">) as the study </w:t>
            </w:r>
            <w:proofErr w:type="gramStart"/>
            <w:r w:rsidRPr="007E77A8">
              <w:rPr>
                <w:lang w:val="en-US"/>
              </w:rPr>
              <w:t>is focused</w:t>
            </w:r>
            <w:proofErr w:type="gramEnd"/>
            <w:r w:rsidRPr="007E77A8">
              <w:rPr>
                <w:lang w:val="en-US"/>
              </w:rPr>
              <w:t xml:space="preserve"> on reports of child abuse and neglect of a higher level of seriousness.</w:t>
            </w:r>
          </w:p>
          <w:p w14:paraId="4919DB4D" w14:textId="77777777" w:rsidR="004272D4" w:rsidRPr="007E77A8" w:rsidRDefault="004272D4" w:rsidP="00CE2FDF">
            <w:pPr>
              <w:spacing w:before="0" w:line="276" w:lineRule="auto"/>
              <w:rPr>
                <w:lang w:val="en-US"/>
              </w:rPr>
            </w:pPr>
          </w:p>
        </w:tc>
      </w:tr>
      <w:tr w:rsidR="004272D4" w:rsidRPr="007E77A8" w14:paraId="0434CD33" w14:textId="77777777" w:rsidTr="0015104D">
        <w:trPr>
          <w:cantSplit/>
          <w:trHeight w:val="160"/>
        </w:trPr>
        <w:tc>
          <w:tcPr>
            <w:tcW w:w="1561" w:type="dxa"/>
            <w:tcBorders>
              <w:top w:val="single" w:sz="4" w:space="0" w:color="auto"/>
              <w:left w:val="single" w:sz="4" w:space="0" w:color="auto"/>
              <w:bottom w:val="dashed" w:sz="4" w:space="0" w:color="auto"/>
              <w:right w:val="single" w:sz="4" w:space="0" w:color="auto"/>
            </w:tcBorders>
            <w:hideMark/>
          </w:tcPr>
          <w:p w14:paraId="70E43C2F" w14:textId="77777777" w:rsidR="004272D4" w:rsidRPr="007E77A8" w:rsidRDefault="004272D4" w:rsidP="00CE2FDF">
            <w:pPr>
              <w:spacing w:before="0" w:line="276" w:lineRule="auto"/>
              <w:rPr>
                <w:b/>
                <w:lang w:val="en-US"/>
              </w:rPr>
            </w:pPr>
            <w:r w:rsidRPr="007E77A8">
              <w:rPr>
                <w:b/>
                <w:lang w:val="en-US"/>
              </w:rPr>
              <w:t>NSW</w:t>
            </w:r>
          </w:p>
        </w:tc>
        <w:tc>
          <w:tcPr>
            <w:tcW w:w="7619" w:type="dxa"/>
            <w:tcBorders>
              <w:top w:val="single" w:sz="4" w:space="0" w:color="auto"/>
              <w:left w:val="single" w:sz="4" w:space="0" w:color="auto"/>
              <w:bottom w:val="dashed" w:sz="4" w:space="0" w:color="auto"/>
              <w:right w:val="single" w:sz="4" w:space="0" w:color="auto"/>
            </w:tcBorders>
          </w:tcPr>
          <w:p w14:paraId="4EFFB8E4" w14:textId="16339DF5" w:rsidR="004272D4" w:rsidRPr="007E77A8" w:rsidRDefault="004272D4" w:rsidP="00CE2FDF">
            <w:pPr>
              <w:spacing w:before="0" w:line="276" w:lineRule="auto"/>
              <w:rPr>
                <w:lang w:val="en-US"/>
              </w:rPr>
            </w:pPr>
            <w:r w:rsidRPr="007E77A8">
              <w:rPr>
                <w:lang w:val="en-US"/>
              </w:rPr>
              <w:t>In NSW, all initial ‘reports’ or ‘intakes’ are first screened by the agency to determine if they meet the threshold of ‘risk of significant harm’. These reports are the NSW ‘notifications’; those that do not meet the threshold are classed as ‘child concern reports’.</w:t>
            </w:r>
          </w:p>
          <w:p w14:paraId="0DA6727D" w14:textId="28852044" w:rsidR="004272D4" w:rsidRPr="007E77A8" w:rsidRDefault="004272D4" w:rsidP="00CE2FDF">
            <w:pPr>
              <w:spacing w:before="0" w:line="276" w:lineRule="auto"/>
            </w:pPr>
            <w:r w:rsidRPr="007E77A8">
              <w:t xml:space="preserve">Hence, </w:t>
            </w:r>
            <w:r w:rsidRPr="007E77A8">
              <w:rPr>
                <w:lang w:val="en-US"/>
              </w:rPr>
              <w:t xml:space="preserve">‘reports’ or ‘intakes’ </w:t>
            </w:r>
            <w:r w:rsidRPr="007E77A8">
              <w:t xml:space="preserve">are </w:t>
            </w:r>
            <w:r w:rsidRPr="007E77A8">
              <w:rPr>
                <w:b/>
              </w:rPr>
              <w:t>‘agency-defined’</w:t>
            </w:r>
            <w:r w:rsidRPr="007E77A8">
              <w:t xml:space="preserve">: the child protection agency determines at intake whether the intake is a </w:t>
            </w:r>
            <w:r w:rsidRPr="007E77A8">
              <w:rPr>
                <w:lang w:val="en-US"/>
              </w:rPr>
              <w:t xml:space="preserve">child concern report </w:t>
            </w:r>
            <w:r w:rsidRPr="007E77A8">
              <w:t>or a child protection notification.</w:t>
            </w:r>
          </w:p>
          <w:p w14:paraId="48CA027F" w14:textId="5B09F83D" w:rsidR="004272D4" w:rsidRPr="00A27DD4" w:rsidRDefault="004272D4" w:rsidP="00CE2FDF">
            <w:pPr>
              <w:spacing w:before="0" w:line="276" w:lineRule="auto"/>
            </w:pPr>
            <w:r w:rsidRPr="007E77A8">
              <w:rPr>
                <w:lang w:val="en-US"/>
              </w:rPr>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08CEA845" w14:textId="77777777" w:rsidR="004272D4" w:rsidRPr="007E77A8" w:rsidRDefault="004272D4" w:rsidP="00CE2FDF">
            <w:pPr>
              <w:spacing w:before="0" w:line="276" w:lineRule="auto"/>
              <w:rPr>
                <w:lang w:val="en-US"/>
              </w:rPr>
            </w:pPr>
            <w:r w:rsidRPr="007E77A8">
              <w:rPr>
                <w:lang w:val="en-US"/>
              </w:rPr>
              <w:t>We requested only data on notifications of child abuse and neglect.</w:t>
            </w:r>
          </w:p>
          <w:p w14:paraId="7B1A0248" w14:textId="77777777" w:rsidR="004272D4" w:rsidRPr="007E77A8" w:rsidRDefault="004272D4" w:rsidP="00CE2FDF">
            <w:pPr>
              <w:spacing w:before="0" w:line="276" w:lineRule="auto"/>
              <w:rPr>
                <w:lang w:val="en-US"/>
              </w:rPr>
            </w:pPr>
          </w:p>
          <w:p w14:paraId="2FD66C3C" w14:textId="77777777" w:rsidR="004272D4" w:rsidRPr="007E77A8" w:rsidRDefault="004272D4" w:rsidP="00CE2FDF">
            <w:pPr>
              <w:spacing w:before="0" w:line="276" w:lineRule="auto"/>
              <w:rPr>
                <w:lang w:val="en-US"/>
              </w:rPr>
            </w:pPr>
            <w:r w:rsidRPr="007E77A8">
              <w:rPr>
                <w:lang w:val="en-US"/>
              </w:rPr>
              <w:t xml:space="preserve">We did not request data on reports made under New South Wales’s differential response system (child wellbeing units) as the study </w:t>
            </w:r>
            <w:proofErr w:type="gramStart"/>
            <w:r w:rsidRPr="007E77A8">
              <w:rPr>
                <w:lang w:val="en-US"/>
              </w:rPr>
              <w:t>is focused</w:t>
            </w:r>
            <w:proofErr w:type="gramEnd"/>
            <w:r w:rsidRPr="007E77A8">
              <w:rPr>
                <w:lang w:val="en-US"/>
              </w:rPr>
              <w:t xml:space="preserve"> on reports of child abuse and neglect of a higher level of seriousness.</w:t>
            </w:r>
          </w:p>
          <w:p w14:paraId="5002F8D0" w14:textId="77777777" w:rsidR="004272D4" w:rsidRPr="007E77A8" w:rsidRDefault="004272D4" w:rsidP="00CE2FDF">
            <w:pPr>
              <w:spacing w:before="0" w:line="276" w:lineRule="auto"/>
              <w:rPr>
                <w:lang w:val="en-US"/>
              </w:rPr>
            </w:pPr>
          </w:p>
          <w:p w14:paraId="1D101430" w14:textId="77777777" w:rsidR="004272D4" w:rsidRPr="007E77A8" w:rsidRDefault="004272D4" w:rsidP="00CE2FDF">
            <w:pPr>
              <w:spacing w:before="0" w:line="276" w:lineRule="auto"/>
              <w:rPr>
                <w:lang w:val="en-US"/>
              </w:rPr>
            </w:pPr>
            <w:r w:rsidRPr="007E77A8">
              <w:rPr>
                <w:lang w:val="en-US"/>
              </w:rPr>
              <w:t xml:space="preserve">We </w:t>
            </w:r>
            <w:proofErr w:type="gramStart"/>
            <w:r w:rsidRPr="007E77A8">
              <w:rPr>
                <w:lang w:val="en-US"/>
              </w:rPr>
              <w:t>were provided</w:t>
            </w:r>
            <w:proofErr w:type="gramEnd"/>
            <w:r w:rsidRPr="007E77A8">
              <w:rPr>
                <w:lang w:val="en-US"/>
              </w:rPr>
              <w:t xml:space="preserve"> only with data on reports of significant harm for 2010-2012, and earlier summary tables showing partial data on reports of significant harm.</w:t>
            </w:r>
          </w:p>
          <w:p w14:paraId="0CE33A00" w14:textId="77777777" w:rsidR="004272D4" w:rsidRPr="007E77A8" w:rsidRDefault="004272D4" w:rsidP="00CE2FDF">
            <w:pPr>
              <w:spacing w:before="0" w:line="276" w:lineRule="auto"/>
              <w:rPr>
                <w:lang w:val="en-US"/>
              </w:rPr>
            </w:pPr>
          </w:p>
        </w:tc>
      </w:tr>
      <w:tr w:rsidR="004272D4" w:rsidRPr="007E77A8" w14:paraId="5B3CFBBB" w14:textId="77777777" w:rsidTr="0015104D">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78B0BDAB" w14:textId="77777777" w:rsidR="004272D4" w:rsidRPr="007E77A8" w:rsidRDefault="004272D4" w:rsidP="00CE2FDF">
            <w:pPr>
              <w:spacing w:before="0" w:line="276" w:lineRule="auto"/>
              <w:rPr>
                <w:b/>
                <w:lang w:val="en-US"/>
              </w:rPr>
            </w:pPr>
            <w:r w:rsidRPr="007E77A8">
              <w:rPr>
                <w:b/>
                <w:lang w:val="en-US"/>
              </w:rPr>
              <w:lastRenderedPageBreak/>
              <w:t>NT</w:t>
            </w:r>
          </w:p>
        </w:tc>
        <w:tc>
          <w:tcPr>
            <w:tcW w:w="7619" w:type="dxa"/>
            <w:tcBorders>
              <w:top w:val="single" w:sz="4" w:space="0" w:color="auto"/>
              <w:left w:val="single" w:sz="4" w:space="0" w:color="auto"/>
              <w:bottom w:val="single" w:sz="4" w:space="0" w:color="auto"/>
              <w:right w:val="single" w:sz="4" w:space="0" w:color="auto"/>
            </w:tcBorders>
          </w:tcPr>
          <w:p w14:paraId="74BEABDD" w14:textId="3938D5D2" w:rsidR="004272D4" w:rsidRPr="007E77A8" w:rsidRDefault="004272D4" w:rsidP="00CE2FDF">
            <w:pPr>
              <w:spacing w:before="0" w:line="276" w:lineRule="auto"/>
            </w:pPr>
            <w:r w:rsidRPr="007E77A8">
              <w:t xml:space="preserve">In the Northern Territory, </w:t>
            </w:r>
            <w:r w:rsidRPr="007E77A8">
              <w:rPr>
                <w:lang w:val="en-US"/>
              </w:rPr>
              <w:t xml:space="preserve">‘reports’ or ‘intakes’ </w:t>
            </w:r>
            <w:r w:rsidRPr="007E77A8">
              <w:t xml:space="preserve">are </w:t>
            </w:r>
            <w:r w:rsidRPr="007E77A8">
              <w:rPr>
                <w:b/>
              </w:rPr>
              <w:t>‘agency-defined’</w:t>
            </w:r>
            <w:r w:rsidRPr="007E77A8">
              <w:t xml:space="preserve">: the child protection agency determines at intake whether the intake is a </w:t>
            </w:r>
            <w:r w:rsidRPr="007E77A8">
              <w:rPr>
                <w:lang w:val="en-US"/>
              </w:rPr>
              <w:t xml:space="preserve">child concern report </w:t>
            </w:r>
            <w:r w:rsidRPr="007E77A8">
              <w:t>or a child protection notification.</w:t>
            </w:r>
          </w:p>
          <w:p w14:paraId="574D4A76" w14:textId="546FAB42" w:rsidR="004272D4" w:rsidRPr="00A27DD4" w:rsidRDefault="004272D4" w:rsidP="00CE2FDF">
            <w:pPr>
              <w:spacing w:before="0" w:line="276" w:lineRule="auto"/>
            </w:pPr>
            <w:r w:rsidRPr="007E77A8">
              <w:rPr>
                <w:lang w:val="en-US"/>
              </w:rPr>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4B2E80CF" w14:textId="77777777" w:rsidR="004272D4" w:rsidRPr="007E77A8" w:rsidRDefault="004272D4" w:rsidP="00CE2FDF">
            <w:pPr>
              <w:spacing w:before="0" w:line="276" w:lineRule="auto"/>
              <w:rPr>
                <w:lang w:val="en-US"/>
              </w:rPr>
            </w:pPr>
            <w:r w:rsidRPr="007E77A8">
              <w:rPr>
                <w:lang w:val="en-US"/>
              </w:rPr>
              <w:t>We requested and obtained only data on ‘reports of child abuse and neglect’ and therefore obtained data on notifications.</w:t>
            </w:r>
          </w:p>
          <w:p w14:paraId="52106D46" w14:textId="77777777" w:rsidR="004272D4" w:rsidRPr="007E77A8" w:rsidRDefault="004272D4" w:rsidP="00CE2FDF">
            <w:pPr>
              <w:spacing w:before="0" w:line="276" w:lineRule="auto"/>
              <w:rPr>
                <w:lang w:val="en-US"/>
              </w:rPr>
            </w:pPr>
          </w:p>
        </w:tc>
      </w:tr>
      <w:tr w:rsidR="004272D4" w:rsidRPr="007E77A8" w14:paraId="590BE099" w14:textId="77777777" w:rsidTr="00084FE1">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4D9224F3" w14:textId="77777777" w:rsidR="004272D4" w:rsidRPr="007E77A8" w:rsidRDefault="004272D4" w:rsidP="00CE2FDF">
            <w:pPr>
              <w:spacing w:before="0" w:line="276" w:lineRule="auto"/>
              <w:rPr>
                <w:b/>
                <w:lang w:val="en-US"/>
              </w:rPr>
            </w:pPr>
            <w:r w:rsidRPr="007E77A8">
              <w:rPr>
                <w:b/>
                <w:lang w:val="en-US"/>
              </w:rPr>
              <w:t>QLD</w:t>
            </w:r>
          </w:p>
        </w:tc>
        <w:tc>
          <w:tcPr>
            <w:tcW w:w="7619" w:type="dxa"/>
            <w:tcBorders>
              <w:top w:val="single" w:sz="4" w:space="0" w:color="auto"/>
              <w:left w:val="single" w:sz="4" w:space="0" w:color="auto"/>
              <w:bottom w:val="single" w:sz="4" w:space="0" w:color="auto"/>
              <w:right w:val="single" w:sz="4" w:space="0" w:color="auto"/>
            </w:tcBorders>
          </w:tcPr>
          <w:p w14:paraId="778EC3F8" w14:textId="6CD40CFB" w:rsidR="004272D4" w:rsidRPr="007E77A8" w:rsidRDefault="004272D4" w:rsidP="00CE2FDF">
            <w:pPr>
              <w:spacing w:before="0" w:line="276" w:lineRule="auto"/>
            </w:pPr>
            <w:r w:rsidRPr="007E77A8">
              <w:t xml:space="preserve">In Queensland, all matters reported to Child Safety </w:t>
            </w:r>
            <w:proofErr w:type="gramStart"/>
            <w:r w:rsidRPr="007E77A8">
              <w:t>are classed</w:t>
            </w:r>
            <w:proofErr w:type="gramEnd"/>
            <w:r w:rsidRPr="007E77A8">
              <w:t xml:space="preserve"> as ‘</w:t>
            </w:r>
            <w:r w:rsidRPr="007E77A8">
              <w:rPr>
                <w:b/>
              </w:rPr>
              <w:t>intakes’</w:t>
            </w:r>
            <w:r w:rsidRPr="007E77A8">
              <w:t xml:space="preserve">. </w:t>
            </w:r>
          </w:p>
          <w:p w14:paraId="2E3FED84" w14:textId="1E02ED53" w:rsidR="004272D4" w:rsidRPr="007E77A8" w:rsidRDefault="004272D4" w:rsidP="00CE2FDF">
            <w:pPr>
              <w:spacing w:before="0" w:line="276" w:lineRule="auto"/>
            </w:pPr>
            <w:proofErr w:type="gramStart"/>
            <w:r w:rsidRPr="007E77A8">
              <w:t xml:space="preserve">An intake is then screened and can be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roofErr w:type="gramEnd"/>
          </w:p>
          <w:p w14:paraId="21864165" w14:textId="7157519B" w:rsidR="004272D4" w:rsidRPr="007E77A8" w:rsidRDefault="004272D4" w:rsidP="00CE2FDF">
            <w:pPr>
              <w:spacing w:before="0" w:line="276" w:lineRule="auto"/>
            </w:pPr>
            <w:r w:rsidRPr="007E77A8">
              <w:t xml:space="preserve">Hence, intakes are </w:t>
            </w:r>
            <w:r w:rsidRPr="007E77A8">
              <w:rPr>
                <w:b/>
              </w:rPr>
              <w:t>‘agency-defined’</w:t>
            </w:r>
            <w:r w:rsidRPr="007E77A8">
              <w:t xml:space="preserve">: the child protection agency determines at intake whether the intake is a </w:t>
            </w:r>
            <w:r w:rsidRPr="007E77A8">
              <w:rPr>
                <w:lang w:val="en-US"/>
              </w:rPr>
              <w:t xml:space="preserve">child concern report </w:t>
            </w:r>
            <w:r w:rsidRPr="007E77A8">
              <w:t>or a child protection notification.</w:t>
            </w:r>
          </w:p>
          <w:p w14:paraId="0AA3ED62" w14:textId="3DE299F3" w:rsidR="004272D4" w:rsidRPr="007E77A8" w:rsidRDefault="004272D4" w:rsidP="00CE2FDF">
            <w:pPr>
              <w:spacing w:before="0" w:line="276" w:lineRule="auto"/>
            </w:pPr>
            <w:r w:rsidRPr="007E77A8">
              <w:rPr>
                <w:lang w:val="en-US"/>
              </w:rPr>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4DD68B23" w14:textId="77777777" w:rsidR="004272D4" w:rsidRPr="007E77A8" w:rsidRDefault="004272D4" w:rsidP="00CE2FDF">
            <w:pPr>
              <w:spacing w:before="0" w:line="276" w:lineRule="auto"/>
              <w:rPr>
                <w:lang w:val="en-US"/>
              </w:rPr>
            </w:pPr>
            <w:r w:rsidRPr="007E77A8">
              <w:rPr>
                <w:lang w:val="en-US"/>
              </w:rPr>
              <w:t>We requested and obtained only data on ‘reports of child abuse and neglect’ and therefore obtained data on notifications.</w:t>
            </w:r>
          </w:p>
          <w:p w14:paraId="3AA4A2F2" w14:textId="77777777" w:rsidR="004272D4" w:rsidRPr="007E77A8" w:rsidRDefault="004272D4" w:rsidP="00CE2FDF">
            <w:pPr>
              <w:spacing w:before="0" w:line="276" w:lineRule="auto"/>
              <w:rPr>
                <w:lang w:val="en-US"/>
              </w:rPr>
            </w:pPr>
          </w:p>
        </w:tc>
      </w:tr>
      <w:tr w:rsidR="004272D4" w:rsidRPr="007E77A8" w14:paraId="20940D47" w14:textId="77777777" w:rsidTr="00084FE1">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37B440BF" w14:textId="77777777" w:rsidR="004272D4" w:rsidRPr="007E77A8" w:rsidRDefault="004272D4" w:rsidP="00CE2FDF">
            <w:pPr>
              <w:spacing w:before="0" w:line="276" w:lineRule="auto"/>
              <w:rPr>
                <w:b/>
                <w:lang w:val="en-US"/>
              </w:rPr>
            </w:pPr>
            <w:r w:rsidRPr="007E77A8">
              <w:rPr>
                <w:b/>
                <w:lang w:val="en-US"/>
              </w:rPr>
              <w:t>SA</w:t>
            </w:r>
          </w:p>
        </w:tc>
        <w:tc>
          <w:tcPr>
            <w:tcW w:w="7619" w:type="dxa"/>
            <w:tcBorders>
              <w:top w:val="single" w:sz="4" w:space="0" w:color="auto"/>
              <w:left w:val="single" w:sz="4" w:space="0" w:color="auto"/>
              <w:bottom w:val="single" w:sz="4" w:space="0" w:color="auto"/>
              <w:right w:val="single" w:sz="4" w:space="0" w:color="auto"/>
            </w:tcBorders>
          </w:tcPr>
          <w:p w14:paraId="1924C032" w14:textId="77777777" w:rsidR="004272D4" w:rsidRPr="007E77A8" w:rsidRDefault="004272D4" w:rsidP="00CE2FDF">
            <w:pPr>
              <w:spacing w:before="0" w:line="276" w:lineRule="auto"/>
            </w:pPr>
            <w:r w:rsidRPr="007E77A8">
              <w:t xml:space="preserve">In South Australia, </w:t>
            </w:r>
            <w:r w:rsidRPr="007E77A8">
              <w:rPr>
                <w:lang w:val="en-US"/>
              </w:rPr>
              <w:t xml:space="preserve">‘reports’ or ‘intakes’ </w:t>
            </w:r>
            <w:r w:rsidRPr="007E77A8">
              <w:t xml:space="preserve">are </w:t>
            </w:r>
            <w:r w:rsidRPr="007E77A8">
              <w:rPr>
                <w:b/>
              </w:rPr>
              <w:t>‘agency-defined’</w:t>
            </w:r>
            <w:r w:rsidRPr="007E77A8">
              <w:t xml:space="preserve">: the child protection agency determines at intake whether the intake is a </w:t>
            </w:r>
            <w:r w:rsidRPr="007E77A8">
              <w:rPr>
                <w:lang w:val="en-US"/>
              </w:rPr>
              <w:t xml:space="preserve">child concern report </w:t>
            </w:r>
            <w:r w:rsidRPr="007E77A8">
              <w:t>or a child protection notification.</w:t>
            </w:r>
          </w:p>
          <w:p w14:paraId="31EE0BB7" w14:textId="77777777" w:rsidR="004272D4" w:rsidRPr="007E77A8" w:rsidRDefault="004272D4" w:rsidP="00CE2FDF">
            <w:pPr>
              <w:spacing w:before="0" w:line="276" w:lineRule="auto"/>
            </w:pPr>
          </w:p>
          <w:p w14:paraId="1444453F" w14:textId="77777777" w:rsidR="004272D4" w:rsidRPr="007E77A8" w:rsidRDefault="004272D4" w:rsidP="00CE2FDF">
            <w:pPr>
              <w:spacing w:before="0" w:line="276" w:lineRule="auto"/>
            </w:pPr>
            <w:r w:rsidRPr="007E77A8">
              <w:rPr>
                <w:lang w:val="en-US"/>
              </w:rPr>
              <w:t>The agency then determines whether the ‘notification’ has sufficient information to require an investigation.</w:t>
            </w:r>
          </w:p>
          <w:p w14:paraId="1A214C98" w14:textId="77777777" w:rsidR="004272D4" w:rsidRPr="007E77A8" w:rsidRDefault="004272D4" w:rsidP="00CE2FDF">
            <w:pPr>
              <w:spacing w:before="0" w:line="276" w:lineRule="auto"/>
              <w:rPr>
                <w:lang w:val="en-US"/>
              </w:rPr>
            </w:pPr>
          </w:p>
        </w:tc>
        <w:tc>
          <w:tcPr>
            <w:tcW w:w="4820" w:type="dxa"/>
            <w:tcBorders>
              <w:top w:val="single" w:sz="4" w:space="0" w:color="auto"/>
              <w:left w:val="single" w:sz="4" w:space="0" w:color="auto"/>
              <w:bottom w:val="single" w:sz="4" w:space="0" w:color="auto"/>
              <w:right w:val="single" w:sz="4" w:space="0" w:color="auto"/>
            </w:tcBorders>
          </w:tcPr>
          <w:p w14:paraId="0A841A5F" w14:textId="77777777" w:rsidR="004272D4" w:rsidRPr="007E77A8" w:rsidRDefault="004272D4" w:rsidP="00CE2FDF">
            <w:pPr>
              <w:spacing w:before="0" w:line="276" w:lineRule="auto"/>
              <w:rPr>
                <w:lang w:val="en-US"/>
              </w:rPr>
            </w:pPr>
            <w:r w:rsidRPr="007E77A8">
              <w:rPr>
                <w:lang w:val="en-US"/>
              </w:rPr>
              <w:t>We requested and obtained only data on ‘reports of child abuse and neglect’ and therefore obtained data on notifications.</w:t>
            </w:r>
          </w:p>
          <w:p w14:paraId="08F45601" w14:textId="77777777" w:rsidR="004272D4" w:rsidRPr="007E77A8" w:rsidRDefault="004272D4" w:rsidP="00CE2FDF">
            <w:pPr>
              <w:spacing w:before="0" w:line="276" w:lineRule="auto"/>
              <w:rPr>
                <w:lang w:val="en-US"/>
              </w:rPr>
            </w:pPr>
          </w:p>
        </w:tc>
      </w:tr>
      <w:tr w:rsidR="004272D4" w:rsidRPr="007E77A8" w14:paraId="347AF8AC" w14:textId="77777777" w:rsidTr="00084FE1">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6ACE1703" w14:textId="77777777" w:rsidR="004272D4" w:rsidRPr="007E77A8" w:rsidRDefault="004272D4" w:rsidP="00CE2FDF">
            <w:pPr>
              <w:spacing w:before="0" w:line="276" w:lineRule="auto"/>
              <w:rPr>
                <w:b/>
                <w:lang w:val="en-US"/>
              </w:rPr>
            </w:pPr>
            <w:r w:rsidRPr="007E77A8">
              <w:rPr>
                <w:b/>
                <w:lang w:val="en-US"/>
              </w:rPr>
              <w:lastRenderedPageBreak/>
              <w:t>WA</w:t>
            </w:r>
          </w:p>
        </w:tc>
        <w:tc>
          <w:tcPr>
            <w:tcW w:w="7619" w:type="dxa"/>
            <w:tcBorders>
              <w:top w:val="single" w:sz="4" w:space="0" w:color="auto"/>
              <w:left w:val="single" w:sz="4" w:space="0" w:color="auto"/>
              <w:bottom w:val="single" w:sz="4" w:space="0" w:color="auto"/>
              <w:right w:val="single" w:sz="4" w:space="0" w:color="auto"/>
            </w:tcBorders>
          </w:tcPr>
          <w:p w14:paraId="7F55AD18" w14:textId="77777777" w:rsidR="004272D4" w:rsidRPr="007E77A8" w:rsidRDefault="004272D4" w:rsidP="00CE2FDF">
            <w:pPr>
              <w:spacing w:before="0" w:line="276" w:lineRule="auto"/>
            </w:pPr>
            <w:r w:rsidRPr="007E77A8">
              <w:rPr>
                <w:b/>
                <w:lang w:val="en-US"/>
              </w:rPr>
              <w:t>From 2003-2005</w:t>
            </w:r>
            <w:r w:rsidRPr="007E77A8">
              <w:rPr>
                <w:lang w:val="en-US"/>
              </w:rPr>
              <w:t xml:space="preserve">, all ‘reports’ or ‘intakes’ were initially classed by the agency as ‘child concern reports’ and were then </w:t>
            </w:r>
            <w:r w:rsidRPr="007E77A8">
              <w:t xml:space="preserve">screened by the agency. </w:t>
            </w:r>
            <w:proofErr w:type="gramStart"/>
            <w:r w:rsidRPr="007E77A8">
              <w:t xml:space="preserve">After screening, an intake was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 xml:space="preserve">child maltreatment allegation </w:t>
            </w:r>
            <w:r w:rsidRPr="007E77A8">
              <w:t>(akin to a ‘child protection notification’) if it is assessed as meeting the threshold of being related to child abuse or neglect.</w:t>
            </w:r>
            <w:proofErr w:type="gramEnd"/>
            <w:r w:rsidRPr="007E77A8">
              <w:t xml:space="preserve"> </w:t>
            </w:r>
          </w:p>
          <w:p w14:paraId="14DE7E36" w14:textId="77777777" w:rsidR="004272D4" w:rsidRPr="007E77A8" w:rsidRDefault="004272D4" w:rsidP="00CE2FDF">
            <w:pPr>
              <w:numPr>
                <w:ilvl w:val="0"/>
                <w:numId w:val="8"/>
              </w:numPr>
              <w:spacing w:before="0" w:line="276" w:lineRule="auto"/>
              <w:rPr>
                <w:lang w:val="en-US"/>
              </w:rPr>
            </w:pPr>
            <w:r w:rsidRPr="007E77A8">
              <w:rPr>
                <w:lang w:val="en-US"/>
              </w:rPr>
              <w:t xml:space="preserve">In Western Australia in this period, virtually all intakes classed as child maltreatment allegations </w:t>
            </w:r>
            <w:proofErr w:type="gramStart"/>
            <w:r w:rsidRPr="007E77A8">
              <w:rPr>
                <w:lang w:val="en-US"/>
              </w:rPr>
              <w:t>were investigated</w:t>
            </w:r>
            <w:proofErr w:type="gramEnd"/>
            <w:r w:rsidRPr="007E77A8">
              <w:rPr>
                <w:lang w:val="en-US"/>
              </w:rPr>
              <w:t>.</w:t>
            </w:r>
          </w:p>
          <w:p w14:paraId="369CA746" w14:textId="77777777" w:rsidR="004272D4" w:rsidRPr="007E77A8" w:rsidRDefault="004272D4" w:rsidP="00CE2FDF">
            <w:pPr>
              <w:spacing w:before="0" w:line="276" w:lineRule="auto"/>
              <w:rPr>
                <w:lang w:val="en-US"/>
              </w:rPr>
            </w:pPr>
          </w:p>
          <w:p w14:paraId="32C9F11C" w14:textId="77777777" w:rsidR="004272D4" w:rsidRPr="007E77A8" w:rsidRDefault="004272D4" w:rsidP="00CE2FDF">
            <w:pPr>
              <w:spacing w:before="0" w:line="276" w:lineRule="auto"/>
            </w:pPr>
            <w:r w:rsidRPr="007E77A8">
              <w:rPr>
                <w:lang w:val="en-US"/>
              </w:rPr>
              <w:t xml:space="preserve">From </w:t>
            </w:r>
            <w:r w:rsidRPr="007E77A8">
              <w:rPr>
                <w:b/>
                <w:lang w:val="en-US"/>
              </w:rPr>
              <w:t>1 March 2006 to 6 March 2010</w:t>
            </w:r>
            <w:r w:rsidRPr="007E77A8">
              <w:rPr>
                <w:lang w:val="en-US"/>
              </w:rPr>
              <w:t xml:space="preserve">, all intakes </w:t>
            </w:r>
            <w:proofErr w:type="gramStart"/>
            <w:r w:rsidRPr="007E77A8">
              <w:rPr>
                <w:lang w:val="en-US"/>
              </w:rPr>
              <w:t>were classed</w:t>
            </w:r>
            <w:proofErr w:type="gramEnd"/>
            <w:r w:rsidRPr="007E77A8">
              <w:rPr>
                <w:lang w:val="en-US"/>
              </w:rPr>
              <w:t xml:space="preserve"> initially as ‘concerns for a child’s wellbeing’ (akin to a ‘child concern report’). </w:t>
            </w:r>
            <w:proofErr w:type="gramStart"/>
            <w:r w:rsidRPr="007E77A8">
              <w:rPr>
                <w:lang w:val="en-US"/>
              </w:rPr>
              <w:t xml:space="preserve">The agency then </w:t>
            </w:r>
            <w:r w:rsidRPr="007E77A8">
              <w:t xml:space="preserve">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roofErr w:type="gramEnd"/>
          </w:p>
          <w:p w14:paraId="0833A05C" w14:textId="77777777" w:rsidR="004272D4" w:rsidRPr="007E77A8" w:rsidRDefault="004272D4" w:rsidP="00CE2FDF">
            <w:pPr>
              <w:numPr>
                <w:ilvl w:val="0"/>
                <w:numId w:val="8"/>
              </w:numPr>
              <w:spacing w:before="0" w:line="276" w:lineRule="auto"/>
            </w:pPr>
            <w:r w:rsidRPr="007E77A8">
              <w:rPr>
                <w:lang w:val="en-US"/>
              </w:rPr>
              <w:t>The agency then determines whether the ‘notification’ has sufficient information to require an investigation.</w:t>
            </w:r>
          </w:p>
          <w:p w14:paraId="3F9B8D17" w14:textId="77777777" w:rsidR="004272D4" w:rsidRPr="007E77A8" w:rsidRDefault="004272D4" w:rsidP="00CE2FDF">
            <w:pPr>
              <w:spacing w:before="0" w:line="276" w:lineRule="auto"/>
              <w:rPr>
                <w:lang w:val="en-US"/>
              </w:rPr>
            </w:pPr>
          </w:p>
          <w:p w14:paraId="4D807084" w14:textId="77777777" w:rsidR="004272D4" w:rsidRPr="007E77A8" w:rsidRDefault="004272D4" w:rsidP="00CE2FDF">
            <w:pPr>
              <w:spacing w:before="0" w:line="276" w:lineRule="auto"/>
            </w:pPr>
            <w:r w:rsidRPr="007E77A8">
              <w:rPr>
                <w:lang w:val="en-US"/>
              </w:rPr>
              <w:t xml:space="preserve">From </w:t>
            </w:r>
            <w:r w:rsidRPr="007E77A8">
              <w:rPr>
                <w:b/>
                <w:lang w:val="en-US"/>
              </w:rPr>
              <w:t>6 March 2010</w:t>
            </w:r>
            <w:r w:rsidRPr="007E77A8">
              <w:rPr>
                <w:lang w:val="en-US"/>
              </w:rPr>
              <w:t xml:space="preserve">, all intakes </w:t>
            </w:r>
            <w:proofErr w:type="gramStart"/>
            <w:r w:rsidRPr="007E77A8">
              <w:rPr>
                <w:lang w:val="en-US"/>
              </w:rPr>
              <w:t>were classed</w:t>
            </w:r>
            <w:proofErr w:type="gramEnd"/>
            <w:r w:rsidRPr="007E77A8">
              <w:rPr>
                <w:lang w:val="en-US"/>
              </w:rPr>
              <w:t xml:space="preserve"> initially as ‘initial inquiries for child concern’ (akin to a ‘child concern report’). </w:t>
            </w:r>
            <w:proofErr w:type="gramStart"/>
            <w:r w:rsidRPr="007E77A8">
              <w:rPr>
                <w:lang w:val="en-US"/>
              </w:rPr>
              <w:t xml:space="preserve">The agency then </w:t>
            </w:r>
            <w:r w:rsidRPr="007E77A8">
              <w:t xml:space="preserve">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roofErr w:type="gramEnd"/>
          </w:p>
          <w:p w14:paraId="53694487" w14:textId="77777777" w:rsidR="004272D4" w:rsidRPr="007E77A8" w:rsidRDefault="004272D4" w:rsidP="00CE2FDF">
            <w:pPr>
              <w:numPr>
                <w:ilvl w:val="0"/>
                <w:numId w:val="8"/>
              </w:numPr>
              <w:spacing w:before="0" w:line="276" w:lineRule="auto"/>
            </w:pPr>
            <w:r w:rsidRPr="007E77A8">
              <w:rPr>
                <w:lang w:val="en-US"/>
              </w:rPr>
              <w:t>The agency then determines whether the ‘notification’ has sufficient information to require an investigation.</w:t>
            </w:r>
          </w:p>
          <w:p w14:paraId="0876E150" w14:textId="77777777" w:rsidR="004272D4" w:rsidRPr="007E77A8" w:rsidRDefault="004272D4" w:rsidP="00CE2FDF">
            <w:pPr>
              <w:spacing w:before="0" w:line="276" w:lineRule="auto"/>
              <w:rPr>
                <w:lang w:val="en-US"/>
              </w:rPr>
            </w:pPr>
          </w:p>
          <w:p w14:paraId="53AE6D9D" w14:textId="77777777" w:rsidR="004272D4" w:rsidRPr="007E77A8" w:rsidRDefault="004272D4" w:rsidP="00CE2FDF">
            <w:pPr>
              <w:spacing w:before="0" w:line="276" w:lineRule="auto"/>
            </w:pPr>
            <w:r w:rsidRPr="007E77A8">
              <w:t xml:space="preserve">Hence, intakes are </w:t>
            </w:r>
            <w:r w:rsidRPr="007E77A8">
              <w:rPr>
                <w:b/>
              </w:rPr>
              <w:t>‘agency-defined’</w:t>
            </w:r>
            <w:r w:rsidRPr="007E77A8">
              <w:t xml:space="preserve">: the child protection agency determines at intake whether the intake is a </w:t>
            </w:r>
            <w:r w:rsidRPr="007E77A8">
              <w:rPr>
                <w:lang w:val="en-US"/>
              </w:rPr>
              <w:t xml:space="preserve">child concern report </w:t>
            </w:r>
            <w:r w:rsidRPr="007E77A8">
              <w:t>or a child protection notification.</w:t>
            </w:r>
          </w:p>
          <w:p w14:paraId="65AFF8AC" w14:textId="77777777" w:rsidR="004272D4" w:rsidRPr="007E77A8" w:rsidRDefault="004272D4" w:rsidP="00CE2FDF">
            <w:pPr>
              <w:spacing w:before="0" w:line="276" w:lineRule="auto"/>
              <w:rPr>
                <w:lang w:val="en-US"/>
              </w:rPr>
            </w:pPr>
          </w:p>
        </w:tc>
        <w:tc>
          <w:tcPr>
            <w:tcW w:w="4820" w:type="dxa"/>
            <w:tcBorders>
              <w:top w:val="single" w:sz="4" w:space="0" w:color="auto"/>
              <w:left w:val="single" w:sz="4" w:space="0" w:color="auto"/>
              <w:bottom w:val="single" w:sz="4" w:space="0" w:color="auto"/>
              <w:right w:val="single" w:sz="4" w:space="0" w:color="auto"/>
            </w:tcBorders>
          </w:tcPr>
          <w:p w14:paraId="2AE3DA1E" w14:textId="77777777" w:rsidR="004272D4" w:rsidRPr="007E77A8" w:rsidRDefault="004272D4" w:rsidP="00CE2FDF">
            <w:pPr>
              <w:spacing w:before="0" w:line="276" w:lineRule="auto"/>
              <w:rPr>
                <w:lang w:val="en-US"/>
              </w:rPr>
            </w:pPr>
            <w:r w:rsidRPr="007E77A8">
              <w:rPr>
                <w:lang w:val="en-US"/>
              </w:rPr>
              <w:t>We requested and obtained only data on ‘reports of child abuse and neglect’ and therefore obtained data on notifications.</w:t>
            </w:r>
          </w:p>
          <w:p w14:paraId="02337F81" w14:textId="77777777" w:rsidR="004272D4" w:rsidRPr="007E77A8" w:rsidRDefault="004272D4" w:rsidP="00CE2FDF">
            <w:pPr>
              <w:spacing w:before="0" w:line="276" w:lineRule="auto"/>
              <w:rPr>
                <w:lang w:val="en-US"/>
              </w:rPr>
            </w:pPr>
          </w:p>
          <w:p w14:paraId="0CAF19BC" w14:textId="77777777" w:rsidR="004272D4" w:rsidRPr="007E77A8" w:rsidRDefault="004272D4" w:rsidP="00CE2FDF">
            <w:pPr>
              <w:spacing w:before="0" w:line="276" w:lineRule="auto"/>
              <w:rPr>
                <w:lang w:val="en-US"/>
              </w:rPr>
            </w:pPr>
            <w:r w:rsidRPr="007E77A8">
              <w:rPr>
                <w:lang w:val="en-US"/>
              </w:rPr>
              <w:t xml:space="preserve">Because of the change in the recording system, our analysis of the WA data </w:t>
            </w:r>
            <w:proofErr w:type="gramStart"/>
            <w:r w:rsidRPr="007E77A8">
              <w:rPr>
                <w:lang w:val="en-US"/>
              </w:rPr>
              <w:t>is focused</w:t>
            </w:r>
            <w:proofErr w:type="gramEnd"/>
            <w:r w:rsidRPr="007E77A8">
              <w:rPr>
                <w:lang w:val="en-US"/>
              </w:rPr>
              <w:t xml:space="preserve"> on reporting from 2006 onwards.</w:t>
            </w:r>
          </w:p>
        </w:tc>
      </w:tr>
    </w:tbl>
    <w:p w14:paraId="388E88F9" w14:textId="77777777" w:rsidR="004272D4" w:rsidRDefault="004272D4" w:rsidP="00536D53">
      <w:pPr>
        <w:pStyle w:val="Heading4"/>
      </w:pPr>
      <w:r w:rsidRPr="002D726C">
        <w:lastRenderedPageBreak/>
        <w:t xml:space="preserve">Appendix </w:t>
      </w:r>
      <w:r w:rsidR="00F4347A" w:rsidRPr="002D726C">
        <w:t>1 Figure 1:</w:t>
      </w:r>
      <w:r w:rsidRPr="002D726C">
        <w:t xml:space="preserve"> </w:t>
      </w:r>
      <w:r w:rsidR="0025074C" w:rsidRPr="002D726C">
        <w:t>Key points in the child protection system intake process: receipt and processing of reports/intakes regarding child abuse and neglect, and child welfare</w:t>
      </w:r>
    </w:p>
    <w:p w14:paraId="07854ECE" w14:textId="5C97CD0F" w:rsidR="001F1D20" w:rsidRDefault="00084FE1" w:rsidP="001F1D20">
      <w:pPr>
        <w:widowControl w:val="0"/>
        <w:spacing w:after="200" w:line="276" w:lineRule="auto"/>
      </w:pPr>
      <w:r>
        <w:rPr>
          <w:noProof/>
          <w:lang w:eastAsia="en-AU"/>
        </w:rPr>
        <w:drawing>
          <wp:inline distT="0" distB="0" distL="0" distR="0" wp14:anchorId="0F641235" wp14:editId="1E595C38">
            <wp:extent cx="6646327" cy="4552950"/>
            <wp:effectExtent l="19050" t="19050" r="21590" b="19050"/>
            <wp:docPr id="64" name="Picture 64" descr="Shows the differences and the alignments between the agency-defined child protection intake system used in NSW, the Northern Territory, Queensland, South Australia and Western Australia and the caller-defined intake system used in the ACT, Tasmania and Victori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46327" cy="4552950"/>
                    </a:xfrm>
                    <a:prstGeom prst="rect">
                      <a:avLst/>
                    </a:prstGeom>
                    <a:noFill/>
                    <a:ln w="12700">
                      <a:solidFill>
                        <a:srgbClr val="000000"/>
                      </a:solidFill>
                    </a:ln>
                  </pic:spPr>
                </pic:pic>
              </a:graphicData>
            </a:graphic>
          </wp:inline>
        </w:drawing>
      </w:r>
    </w:p>
    <w:sectPr w:rsidR="001F1D20" w:rsidSect="00084FE1">
      <w:footerReference w:type="first" r:id="rId82"/>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BADE5" w14:textId="77777777" w:rsidR="00B670AA" w:rsidRDefault="00B670AA" w:rsidP="00C002A6">
      <w:r>
        <w:separator/>
      </w:r>
    </w:p>
    <w:p w14:paraId="412B2526" w14:textId="77777777" w:rsidR="00B670AA" w:rsidRDefault="00B670AA"/>
  </w:endnote>
  <w:endnote w:type="continuationSeparator" w:id="0">
    <w:p w14:paraId="522252B3" w14:textId="77777777" w:rsidR="00B670AA" w:rsidRDefault="00B670AA" w:rsidP="00C002A6">
      <w:r>
        <w:continuationSeparator/>
      </w:r>
    </w:p>
    <w:p w14:paraId="09CB7346" w14:textId="77777777" w:rsidR="00B670AA" w:rsidRDefault="00B67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Neue-LightCond">
    <w:altName w:val="Cambria"/>
    <w:panose1 w:val="00000000000000000000"/>
    <w:charset w:val="4D"/>
    <w:family w:val="auto"/>
    <w:notTrueType/>
    <w:pitch w:val="default"/>
    <w:sig w:usb0="00000003" w:usb1="00000000" w:usb2="00000000" w:usb3="00000000" w:csb0="00000001" w:csb1="00000000"/>
  </w:font>
  <w:font w:name="HelveticaNeue-LightCondObl">
    <w:altName w:val="Times New Roman"/>
    <w:panose1 w:val="00000000000000000000"/>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ABF91" w14:textId="77777777" w:rsidR="0038455E" w:rsidRDefault="0038455E">
    <w:pPr>
      <w:pStyle w:val="Footer"/>
      <w:jc w:val="right"/>
    </w:pPr>
  </w:p>
  <w:p w14:paraId="0793E815" w14:textId="77777777" w:rsidR="0038455E" w:rsidRDefault="0038455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301318"/>
      <w:docPartObj>
        <w:docPartGallery w:val="Page Numbers (Bottom of Page)"/>
        <w:docPartUnique/>
      </w:docPartObj>
    </w:sdtPr>
    <w:sdtEndPr>
      <w:rPr>
        <w:noProof/>
      </w:rPr>
    </w:sdtEndPr>
    <w:sdtContent>
      <w:p w14:paraId="1A9A2306" w14:textId="77777777" w:rsidR="0038455E" w:rsidRDefault="0038455E">
        <w:pPr>
          <w:pStyle w:val="Footer"/>
          <w:jc w:val="right"/>
        </w:pPr>
        <w:r>
          <w:fldChar w:fldCharType="begin"/>
        </w:r>
        <w:r>
          <w:instrText xml:space="preserve"> PAGE   \* MERGEFORMAT </w:instrText>
        </w:r>
        <w:r>
          <w:fldChar w:fldCharType="separate"/>
        </w:r>
        <w:r w:rsidR="002418F8">
          <w:rPr>
            <w:noProof/>
          </w:rPr>
          <w:t>220</w:t>
        </w:r>
        <w:r>
          <w:rPr>
            <w:noProof/>
          </w:rPr>
          <w:fldChar w:fldCharType="end"/>
        </w:r>
      </w:p>
    </w:sdtContent>
  </w:sdt>
  <w:p w14:paraId="263E4F9C" w14:textId="77777777" w:rsidR="0038455E" w:rsidRPr="002E033A" w:rsidRDefault="0038455E" w:rsidP="002E033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242258"/>
      <w:docPartObj>
        <w:docPartGallery w:val="Page Numbers (Bottom of Page)"/>
        <w:docPartUnique/>
      </w:docPartObj>
    </w:sdtPr>
    <w:sdtEndPr>
      <w:rPr>
        <w:noProof/>
      </w:rPr>
    </w:sdtEndPr>
    <w:sdtContent>
      <w:p w14:paraId="37DBF8B0" w14:textId="77777777" w:rsidR="0038455E" w:rsidRDefault="0038455E">
        <w:pPr>
          <w:pStyle w:val="Footer"/>
          <w:jc w:val="right"/>
        </w:pPr>
        <w:r>
          <w:fldChar w:fldCharType="begin"/>
        </w:r>
        <w:r>
          <w:instrText xml:space="preserve"> PAGE   \* MERGEFORMAT </w:instrText>
        </w:r>
        <w:r>
          <w:fldChar w:fldCharType="separate"/>
        </w:r>
        <w:r w:rsidR="002418F8">
          <w:rPr>
            <w:noProof/>
          </w:rPr>
          <w:t>260</w:t>
        </w:r>
        <w:r>
          <w:rPr>
            <w:noProof/>
          </w:rPr>
          <w:fldChar w:fldCharType="end"/>
        </w:r>
      </w:p>
    </w:sdtContent>
  </w:sdt>
  <w:p w14:paraId="0CE057ED" w14:textId="77777777" w:rsidR="0038455E" w:rsidRPr="00CB6829" w:rsidRDefault="0038455E" w:rsidP="00CB682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698154"/>
      <w:docPartObj>
        <w:docPartGallery w:val="Page Numbers (Bottom of Page)"/>
        <w:docPartUnique/>
      </w:docPartObj>
    </w:sdtPr>
    <w:sdtEndPr>
      <w:rPr>
        <w:noProof/>
      </w:rPr>
    </w:sdtEndPr>
    <w:sdtContent>
      <w:p w14:paraId="52193C90" w14:textId="77777777" w:rsidR="0038455E" w:rsidRDefault="0038455E">
        <w:pPr>
          <w:pStyle w:val="Footer"/>
          <w:jc w:val="right"/>
        </w:pPr>
        <w:r>
          <w:fldChar w:fldCharType="begin"/>
        </w:r>
        <w:r>
          <w:instrText xml:space="preserve"> PAGE   \* MERGEFORMAT </w:instrText>
        </w:r>
        <w:r>
          <w:fldChar w:fldCharType="separate"/>
        </w:r>
        <w:r w:rsidR="002418F8">
          <w:rPr>
            <w:noProof/>
          </w:rPr>
          <w:t>267</w:t>
        </w:r>
        <w:r>
          <w:rPr>
            <w:noProof/>
          </w:rPr>
          <w:fldChar w:fldCharType="end"/>
        </w:r>
      </w:p>
    </w:sdtContent>
  </w:sdt>
  <w:p w14:paraId="2D354159" w14:textId="77777777" w:rsidR="0038455E" w:rsidRDefault="0038455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EB600" w14:textId="77777777" w:rsidR="0038455E" w:rsidRDefault="0038455E">
    <w:pPr>
      <w:pStyle w:val="Footer"/>
      <w:jc w:val="right"/>
    </w:pPr>
  </w:p>
  <w:p w14:paraId="4C68E9E7" w14:textId="77777777" w:rsidR="0038455E" w:rsidRDefault="003845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927438"/>
      <w:docPartObj>
        <w:docPartGallery w:val="Page Numbers (Bottom of Page)"/>
        <w:docPartUnique/>
      </w:docPartObj>
    </w:sdtPr>
    <w:sdtEndPr>
      <w:rPr>
        <w:noProof/>
      </w:rPr>
    </w:sdtEndPr>
    <w:sdtContent>
      <w:p w14:paraId="0991220B" w14:textId="77777777" w:rsidR="0038455E" w:rsidRDefault="0038455E">
        <w:pPr>
          <w:pStyle w:val="Footer"/>
          <w:jc w:val="right"/>
        </w:pPr>
        <w:r>
          <w:fldChar w:fldCharType="begin"/>
        </w:r>
        <w:r>
          <w:instrText xml:space="preserve"> PAGE   \* MERGEFORMAT </w:instrText>
        </w:r>
        <w:r>
          <w:fldChar w:fldCharType="separate"/>
        </w:r>
        <w:r w:rsidR="002418F8">
          <w:rPr>
            <w:noProof/>
          </w:rPr>
          <w:t>5</w:t>
        </w:r>
        <w:r>
          <w:rPr>
            <w:noProof/>
          </w:rPr>
          <w:fldChar w:fldCharType="end"/>
        </w:r>
      </w:p>
    </w:sdtContent>
  </w:sdt>
  <w:p w14:paraId="1FD3A769" w14:textId="77777777" w:rsidR="0038455E" w:rsidRDefault="003845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362651"/>
      <w:docPartObj>
        <w:docPartGallery w:val="Page Numbers (Bottom of Page)"/>
        <w:docPartUnique/>
      </w:docPartObj>
    </w:sdtPr>
    <w:sdtEndPr>
      <w:rPr>
        <w:noProof/>
      </w:rPr>
    </w:sdtEndPr>
    <w:sdtContent>
      <w:p w14:paraId="4B413612" w14:textId="77777777" w:rsidR="0038455E" w:rsidRDefault="0038455E">
        <w:pPr>
          <w:pStyle w:val="Footer"/>
          <w:jc w:val="right"/>
        </w:pPr>
        <w:r>
          <w:fldChar w:fldCharType="begin"/>
        </w:r>
        <w:r>
          <w:instrText xml:space="preserve"> PAGE   \* MERGEFORMAT </w:instrText>
        </w:r>
        <w:r>
          <w:fldChar w:fldCharType="separate"/>
        </w:r>
        <w:r w:rsidR="002418F8">
          <w:rPr>
            <w:noProof/>
          </w:rPr>
          <w:t>109</w:t>
        </w:r>
        <w:r>
          <w:rPr>
            <w:noProof/>
          </w:rPr>
          <w:fldChar w:fldCharType="end"/>
        </w:r>
      </w:p>
    </w:sdtContent>
  </w:sdt>
  <w:p w14:paraId="1FC43638" w14:textId="77777777" w:rsidR="0038455E" w:rsidRPr="00811BB5" w:rsidRDefault="0038455E" w:rsidP="00C002A6">
    <w:pPr>
      <w:pStyle w:val="Footer"/>
      <w:rPr>
        <w:color w:val="FFFFFF" w:themeColor="background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91485"/>
      <w:docPartObj>
        <w:docPartGallery w:val="Page Numbers (Bottom of Page)"/>
        <w:docPartUnique/>
      </w:docPartObj>
    </w:sdtPr>
    <w:sdtEndPr>
      <w:rPr>
        <w:noProof/>
      </w:rPr>
    </w:sdtEndPr>
    <w:sdtContent>
      <w:p w14:paraId="6F9D941F" w14:textId="77777777" w:rsidR="0038455E" w:rsidRDefault="0038455E">
        <w:pPr>
          <w:pStyle w:val="Footer"/>
          <w:jc w:val="right"/>
        </w:pPr>
        <w:r>
          <w:fldChar w:fldCharType="begin"/>
        </w:r>
        <w:r>
          <w:instrText xml:space="preserve"> PAGE   \* MERGEFORMAT </w:instrText>
        </w:r>
        <w:r>
          <w:fldChar w:fldCharType="separate"/>
        </w:r>
        <w:r w:rsidR="002418F8">
          <w:rPr>
            <w:noProof/>
          </w:rPr>
          <w:t>136</w:t>
        </w:r>
        <w:r>
          <w:rPr>
            <w:noProof/>
          </w:rPr>
          <w:fldChar w:fldCharType="end"/>
        </w:r>
      </w:p>
    </w:sdtContent>
  </w:sdt>
  <w:p w14:paraId="0B48504B" w14:textId="77777777" w:rsidR="0038455E" w:rsidRPr="00811BB5" w:rsidRDefault="0038455E" w:rsidP="00C002A6">
    <w:pPr>
      <w:pStyle w:val="Footer"/>
      <w:rPr>
        <w:color w:val="FFFFFF" w:themeColor="background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ADE3" w14:textId="77777777" w:rsidR="0038455E" w:rsidRPr="005E3E58" w:rsidRDefault="002418F8">
    <w:pPr>
      <w:pStyle w:val="Footer"/>
      <w:jc w:val="center"/>
      <w:rPr>
        <w:b/>
      </w:rPr>
    </w:pPr>
    <w:sdt>
      <w:sdtPr>
        <w:rPr>
          <w:b/>
        </w:rPr>
        <w:id w:val="-1704235458"/>
        <w:docPartObj>
          <w:docPartGallery w:val="Page Numbers (Bottom of Page)"/>
          <w:docPartUnique/>
        </w:docPartObj>
      </w:sdtPr>
      <w:sdtEndPr/>
      <w:sdtContent>
        <w:r w:rsidR="0038455E" w:rsidRPr="005E3E58">
          <w:rPr>
            <w:b/>
          </w:rPr>
          <w:fldChar w:fldCharType="begin"/>
        </w:r>
        <w:r w:rsidR="0038455E" w:rsidRPr="005E3E58">
          <w:rPr>
            <w:b/>
          </w:rPr>
          <w:instrText xml:space="preserve"> PAGE   \* MERGEFORMAT </w:instrText>
        </w:r>
        <w:r w:rsidR="0038455E" w:rsidRPr="005E3E58">
          <w:rPr>
            <w:b/>
          </w:rPr>
          <w:fldChar w:fldCharType="separate"/>
        </w:r>
        <w:r>
          <w:rPr>
            <w:b/>
            <w:noProof/>
          </w:rPr>
          <w:t>137</w:t>
        </w:r>
        <w:r w:rsidR="0038455E" w:rsidRPr="005E3E58">
          <w:rPr>
            <w:b/>
            <w:noProof/>
          </w:rPr>
          <w:fldChar w:fldCharType="end"/>
        </w:r>
      </w:sdtContent>
    </w:sdt>
  </w:p>
  <w:p w14:paraId="3FB3B6A1" w14:textId="77777777" w:rsidR="0038455E" w:rsidRPr="00811BB5" w:rsidRDefault="0038455E" w:rsidP="00C002A6">
    <w:pPr>
      <w:pStyle w:val="Footer"/>
      <w:rPr>
        <w:color w:val="FFFFFF" w:themeColor="background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352039"/>
      <w:docPartObj>
        <w:docPartGallery w:val="Page Numbers (Bottom of Page)"/>
        <w:docPartUnique/>
      </w:docPartObj>
    </w:sdtPr>
    <w:sdtEndPr>
      <w:rPr>
        <w:noProof/>
      </w:rPr>
    </w:sdtEndPr>
    <w:sdtContent>
      <w:p w14:paraId="15E5C522" w14:textId="77777777" w:rsidR="0038455E" w:rsidRDefault="0038455E">
        <w:pPr>
          <w:pStyle w:val="Footer"/>
          <w:jc w:val="right"/>
        </w:pPr>
        <w:r>
          <w:fldChar w:fldCharType="begin"/>
        </w:r>
        <w:r>
          <w:instrText xml:space="preserve"> PAGE   \* MERGEFORMAT </w:instrText>
        </w:r>
        <w:r>
          <w:fldChar w:fldCharType="separate"/>
        </w:r>
        <w:r w:rsidR="002418F8">
          <w:rPr>
            <w:noProof/>
          </w:rPr>
          <w:t>151</w:t>
        </w:r>
        <w:r>
          <w:rPr>
            <w:noProof/>
          </w:rPr>
          <w:fldChar w:fldCharType="end"/>
        </w:r>
      </w:p>
    </w:sdtContent>
  </w:sdt>
  <w:p w14:paraId="2AC875EE" w14:textId="77777777" w:rsidR="0038455E" w:rsidRPr="00811BB5" w:rsidRDefault="0038455E" w:rsidP="00C002A6">
    <w:pPr>
      <w:pStyle w:val="Footer"/>
      <w:rPr>
        <w:color w:val="FFFFFF" w:themeColor="background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B3864" w14:textId="77777777" w:rsidR="0038455E" w:rsidRPr="005E3E58" w:rsidRDefault="002418F8">
    <w:pPr>
      <w:pStyle w:val="Footer"/>
      <w:jc w:val="center"/>
      <w:rPr>
        <w:b/>
      </w:rPr>
    </w:pPr>
    <w:sdt>
      <w:sdtPr>
        <w:rPr>
          <w:b/>
        </w:rPr>
        <w:id w:val="-451469616"/>
        <w:docPartObj>
          <w:docPartGallery w:val="Page Numbers (Bottom of Page)"/>
          <w:docPartUnique/>
        </w:docPartObj>
      </w:sdtPr>
      <w:sdtEndPr/>
      <w:sdtContent>
        <w:r w:rsidR="0038455E" w:rsidRPr="005E3E58">
          <w:rPr>
            <w:b/>
          </w:rPr>
          <w:fldChar w:fldCharType="begin"/>
        </w:r>
        <w:r w:rsidR="0038455E" w:rsidRPr="005E3E58">
          <w:rPr>
            <w:b/>
          </w:rPr>
          <w:instrText xml:space="preserve"> PAGE   \* MERGEFORMAT </w:instrText>
        </w:r>
        <w:r w:rsidR="0038455E" w:rsidRPr="005E3E58">
          <w:rPr>
            <w:b/>
          </w:rPr>
          <w:fldChar w:fldCharType="separate"/>
        </w:r>
        <w:r>
          <w:rPr>
            <w:b/>
            <w:noProof/>
          </w:rPr>
          <w:t>153</w:t>
        </w:r>
        <w:r w:rsidR="0038455E" w:rsidRPr="005E3E58">
          <w:rPr>
            <w:b/>
            <w:noProof/>
          </w:rPr>
          <w:fldChar w:fldCharType="end"/>
        </w:r>
      </w:sdtContent>
    </w:sdt>
  </w:p>
  <w:p w14:paraId="46EF2314" w14:textId="77777777" w:rsidR="0038455E" w:rsidRPr="005E3E58" w:rsidRDefault="0038455E" w:rsidP="00C002A6">
    <w:pPr>
      <w:pStyle w:val="Footer"/>
      <w:rPr>
        <w:b/>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875165"/>
      <w:docPartObj>
        <w:docPartGallery w:val="Page Numbers (Bottom of Page)"/>
        <w:docPartUnique/>
      </w:docPartObj>
    </w:sdtPr>
    <w:sdtEndPr>
      <w:rPr>
        <w:noProof/>
      </w:rPr>
    </w:sdtEndPr>
    <w:sdtContent>
      <w:p w14:paraId="530FCA31" w14:textId="77777777" w:rsidR="0038455E" w:rsidRDefault="0038455E">
        <w:pPr>
          <w:pStyle w:val="Footer"/>
          <w:jc w:val="right"/>
        </w:pPr>
        <w:r>
          <w:fldChar w:fldCharType="begin"/>
        </w:r>
        <w:r>
          <w:instrText xml:space="preserve"> PAGE   \* MERGEFORMAT </w:instrText>
        </w:r>
        <w:r>
          <w:fldChar w:fldCharType="separate"/>
        </w:r>
        <w:r w:rsidR="002418F8">
          <w:rPr>
            <w:noProof/>
          </w:rPr>
          <w:t>182</w:t>
        </w:r>
        <w:r>
          <w:rPr>
            <w:noProof/>
          </w:rPr>
          <w:fldChar w:fldCharType="end"/>
        </w:r>
      </w:p>
    </w:sdtContent>
  </w:sdt>
  <w:p w14:paraId="1FCC98AA" w14:textId="77777777" w:rsidR="0038455E" w:rsidRPr="00811BB5" w:rsidRDefault="0038455E" w:rsidP="00C002A6">
    <w:pPr>
      <w:pStyle w:val="Footer"/>
      <w:rPr>
        <w:color w:val="FFFFFF" w:themeColor="background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198394932"/>
      <w:docPartObj>
        <w:docPartGallery w:val="Page Numbers (Bottom of Page)"/>
        <w:docPartUnique/>
      </w:docPartObj>
    </w:sdtPr>
    <w:sdtEndPr/>
    <w:sdtContent>
      <w:p w14:paraId="48583150" w14:textId="7112BB47" w:rsidR="0038455E" w:rsidRPr="005E3E58" w:rsidRDefault="0038455E" w:rsidP="009C69F6">
        <w:pPr>
          <w:pStyle w:val="Footer"/>
          <w:jc w:val="right"/>
          <w:rPr>
            <w:b/>
          </w:rPr>
        </w:pPr>
        <w:r w:rsidRPr="005E3E58">
          <w:rPr>
            <w:b/>
          </w:rPr>
          <w:fldChar w:fldCharType="begin"/>
        </w:r>
        <w:r w:rsidRPr="005E3E58">
          <w:rPr>
            <w:b/>
          </w:rPr>
          <w:instrText xml:space="preserve"> PAGE   \* MERGEFORMAT </w:instrText>
        </w:r>
        <w:r w:rsidRPr="005E3E58">
          <w:rPr>
            <w:b/>
          </w:rPr>
          <w:fldChar w:fldCharType="separate"/>
        </w:r>
        <w:r w:rsidR="002418F8">
          <w:rPr>
            <w:b/>
            <w:noProof/>
          </w:rPr>
          <w:t>186</w:t>
        </w:r>
        <w:r w:rsidRPr="005E3E58">
          <w:rPr>
            <w:b/>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58E06" w14:textId="77777777" w:rsidR="00B670AA" w:rsidRDefault="00B670AA" w:rsidP="00C002A6">
      <w:r>
        <w:separator/>
      </w:r>
    </w:p>
    <w:p w14:paraId="2F462A90" w14:textId="77777777" w:rsidR="00B670AA" w:rsidRDefault="00B670AA"/>
  </w:footnote>
  <w:footnote w:type="continuationSeparator" w:id="0">
    <w:p w14:paraId="50C2DF37" w14:textId="77777777" w:rsidR="00B670AA" w:rsidRDefault="00B670AA" w:rsidP="00C002A6">
      <w:r>
        <w:continuationSeparator/>
      </w:r>
    </w:p>
    <w:p w14:paraId="5EFA1C17" w14:textId="77777777" w:rsidR="00B670AA" w:rsidRDefault="00B670AA"/>
  </w:footnote>
  <w:footnote w:id="1">
    <w:p w14:paraId="3C2B04E0" w14:textId="3AD399E4" w:rsidR="0038455E" w:rsidRPr="003214EC" w:rsidRDefault="0038455E" w:rsidP="00F312E3">
      <w:pPr>
        <w:pStyle w:val="FootnoteText"/>
        <w:rPr>
          <w:rFonts w:asciiTheme="minorHAnsi" w:hAnsiTheme="minorHAnsi"/>
        </w:rPr>
      </w:pPr>
      <w:r w:rsidRPr="003214EC">
        <w:rPr>
          <w:rStyle w:val="FootnoteReference"/>
          <w:rFonts w:asciiTheme="minorHAnsi" w:hAnsiTheme="minorHAnsi"/>
        </w:rPr>
        <w:footnoteRef/>
      </w:r>
      <w:r w:rsidRPr="003214EC">
        <w:rPr>
          <w:rFonts w:asciiTheme="minorHAnsi" w:hAnsiTheme="minorHAnsi"/>
        </w:rPr>
        <w:t xml:space="preserve"> </w:t>
      </w:r>
      <w:proofErr w:type="gramStart"/>
      <w:r w:rsidRPr="003214EC">
        <w:rPr>
          <w:rFonts w:asciiTheme="minorHAnsi" w:hAnsiTheme="minorHAnsi"/>
        </w:rPr>
        <w:t>Or</w:t>
      </w:r>
      <w:proofErr w:type="gramEnd"/>
      <w:r w:rsidRPr="003214EC">
        <w:rPr>
          <w:rFonts w:asciiTheme="minorHAnsi" w:hAnsiTheme="minorHAnsi"/>
        </w:rPr>
        <w:t xml:space="preserve"> the harm caused by them: see further Part 2.1.2 and Table 1.7.</w:t>
      </w:r>
    </w:p>
  </w:footnote>
  <w:footnote w:id="2">
    <w:p w14:paraId="5966DE17" w14:textId="62C38CBD" w:rsidR="0038455E" w:rsidRPr="003214EC" w:rsidRDefault="0038455E" w:rsidP="00F312E3">
      <w:pPr>
        <w:pStyle w:val="FootnoteText"/>
        <w:rPr>
          <w:rFonts w:asciiTheme="minorHAnsi" w:hAnsiTheme="minorHAnsi"/>
        </w:rPr>
      </w:pPr>
      <w:r w:rsidRPr="003214EC">
        <w:rPr>
          <w:rStyle w:val="FootnoteReference"/>
          <w:rFonts w:asciiTheme="minorHAnsi" w:hAnsiTheme="minorHAnsi"/>
        </w:rPr>
        <w:footnoteRef/>
      </w:r>
      <w:r w:rsidRPr="003214EC">
        <w:rPr>
          <w:rFonts w:asciiTheme="minorHAnsi" w:hAnsiTheme="minorHAnsi"/>
        </w:rPr>
        <w:t xml:space="preserve"> In Stage 3 of this study, we will explore normative arguments about these laws, which either in </w:t>
      </w:r>
      <w:proofErr w:type="gramStart"/>
      <w:r w:rsidRPr="003214EC">
        <w:rPr>
          <w:rFonts w:asciiTheme="minorHAnsi" w:hAnsiTheme="minorHAnsi"/>
        </w:rPr>
        <w:t>whole</w:t>
      </w:r>
      <w:proofErr w:type="gramEnd"/>
      <w:r w:rsidRPr="003214EC">
        <w:rPr>
          <w:rFonts w:asciiTheme="minorHAnsi" w:hAnsiTheme="minorHAnsi"/>
        </w:rPr>
        <w:t xml:space="preserve"> or in part have been both criticized (see for example, Ainsworth, 2002; Ainsworth &amp; Hansen 2005; Melton 2005), and defended (</w:t>
      </w:r>
      <w:proofErr w:type="spellStart"/>
      <w:r w:rsidRPr="003214EC">
        <w:rPr>
          <w:rFonts w:asciiTheme="minorHAnsi" w:hAnsiTheme="minorHAnsi"/>
        </w:rPr>
        <w:t>Besharov</w:t>
      </w:r>
      <w:proofErr w:type="spellEnd"/>
      <w:r w:rsidRPr="003214EC">
        <w:rPr>
          <w:rFonts w:asciiTheme="minorHAnsi" w:hAnsiTheme="minorHAnsi"/>
        </w:rPr>
        <w:t xml:space="preserve"> 2005; Drake &amp; Jonson-Reid, 2007; </w:t>
      </w:r>
      <w:proofErr w:type="spellStart"/>
      <w:r w:rsidRPr="003214EC">
        <w:rPr>
          <w:rFonts w:asciiTheme="minorHAnsi" w:hAnsiTheme="minorHAnsi"/>
        </w:rPr>
        <w:t>Finkelhor</w:t>
      </w:r>
      <w:proofErr w:type="spellEnd"/>
      <w:r w:rsidRPr="003214EC">
        <w:rPr>
          <w:rFonts w:asciiTheme="minorHAnsi" w:hAnsiTheme="minorHAnsi"/>
        </w:rPr>
        <w:t xml:space="preserve">, 1990, 2005; Mathews &amp; </w:t>
      </w:r>
      <w:proofErr w:type="spellStart"/>
      <w:r w:rsidRPr="003214EC">
        <w:rPr>
          <w:rFonts w:asciiTheme="minorHAnsi" w:hAnsiTheme="minorHAnsi"/>
        </w:rPr>
        <w:t>Bross</w:t>
      </w:r>
      <w:proofErr w:type="spellEnd"/>
      <w:r w:rsidRPr="003214EC">
        <w:rPr>
          <w:rFonts w:asciiTheme="minorHAnsi" w:hAnsiTheme="minorHAnsi"/>
        </w:rPr>
        <w:t xml:space="preserve">, 2008). Recent Australian State government child protection inquiries in New South Wales and Victoria have concluded that mandatory reporting laws are a necessary component of child protection systems (Wood 2008; Cummins, Scott, &amp; Scales 2012). In 2013, the </w:t>
      </w:r>
      <w:proofErr w:type="spellStart"/>
      <w:r w:rsidRPr="003214EC">
        <w:rPr>
          <w:rFonts w:asciiTheme="minorHAnsi" w:hAnsiTheme="minorHAnsi"/>
        </w:rPr>
        <w:t>Carmody</w:t>
      </w:r>
      <w:proofErr w:type="spellEnd"/>
      <w:r w:rsidRPr="003214EC">
        <w:rPr>
          <w:rFonts w:asciiTheme="minorHAnsi" w:hAnsiTheme="minorHAnsi"/>
        </w:rPr>
        <w:t xml:space="preserve"> Inquiry in Queensland also made recommendations to harmonise and refine reporting laws and to improve reporter education, and to increase a differential response approach, but did not recommend abolishing them (</w:t>
      </w:r>
      <w:proofErr w:type="spellStart"/>
      <w:r w:rsidRPr="003214EC">
        <w:rPr>
          <w:rFonts w:asciiTheme="minorHAnsi" w:hAnsiTheme="minorHAnsi"/>
        </w:rPr>
        <w:t>Carmody</w:t>
      </w:r>
      <w:proofErr w:type="spellEnd"/>
      <w:r w:rsidRPr="003214EC">
        <w:rPr>
          <w:rFonts w:asciiTheme="minorHAnsi" w:hAnsiTheme="minorHAnsi"/>
        </w:rPr>
        <w:t xml:space="preserve"> 2013).</w:t>
      </w:r>
    </w:p>
    <w:p w14:paraId="5A62F497" w14:textId="77777777" w:rsidR="0038455E" w:rsidRPr="001A4ED6" w:rsidRDefault="0038455E" w:rsidP="00F312E3">
      <w:pPr>
        <w:pStyle w:val="FootnoteText"/>
      </w:pPr>
    </w:p>
  </w:footnote>
  <w:footnote w:id="3">
    <w:p w14:paraId="214E35B3" w14:textId="02FB2D25" w:rsidR="0038455E" w:rsidRPr="003214EC" w:rsidRDefault="0038455E" w:rsidP="00F312E3">
      <w:pPr>
        <w:pStyle w:val="FootnoteText"/>
        <w:rPr>
          <w:rFonts w:asciiTheme="minorHAnsi" w:hAnsiTheme="minorHAnsi"/>
        </w:rPr>
      </w:pPr>
      <w:r w:rsidRPr="003214EC">
        <w:rPr>
          <w:rStyle w:val="FootnoteReference"/>
          <w:rFonts w:asciiTheme="minorHAnsi" w:hAnsiTheme="minorHAnsi"/>
        </w:rPr>
        <w:footnoteRef/>
      </w:r>
      <w:r w:rsidRPr="003214EC">
        <w:rPr>
          <w:rFonts w:asciiTheme="minorHAnsi" w:hAnsiTheme="minorHAnsi"/>
        </w:rPr>
        <w:t xml:space="preserve"> Legislation in all jurisdictions enables non-mandated reporters to make reports, and confers these protections on such reporters. In several jurisdictions, including Victoria, legislative provisions for voluntary reporting pre-date mandatory reporting schemes (see </w:t>
      </w:r>
      <w:proofErr w:type="spellStart"/>
      <w:r w:rsidRPr="003214EC">
        <w:rPr>
          <w:rFonts w:asciiTheme="minorHAnsi" w:hAnsiTheme="minorHAnsi"/>
        </w:rPr>
        <w:t>eg</w:t>
      </w:r>
      <w:proofErr w:type="spellEnd"/>
      <w:r w:rsidRPr="003214EC">
        <w:rPr>
          <w:rFonts w:asciiTheme="minorHAnsi" w:hAnsiTheme="minorHAnsi"/>
        </w:rPr>
        <w:t xml:space="preserve"> </w:t>
      </w:r>
      <w:r w:rsidRPr="003214EC">
        <w:rPr>
          <w:rFonts w:asciiTheme="minorHAnsi" w:hAnsiTheme="minorHAnsi"/>
          <w:i/>
        </w:rPr>
        <w:t>Children and Young Persons Act 1989</w:t>
      </w:r>
      <w:r w:rsidRPr="003214EC">
        <w:rPr>
          <w:rFonts w:asciiTheme="minorHAnsi" w:hAnsiTheme="minorHAnsi"/>
        </w:rPr>
        <w:t xml:space="preserve"> s 64, and provisions prior to this). Stage 3 will further discuss the context for some jurisdictions’ movement from an approach based only on voluntary reporting to one having a form of mandatory reporting; one impetus was the perceived lack of reports from a purely voluntary system compared with one having mandatory reporting: see Hansard, Victoria, Queensland, and the studies cited in Victoria.</w:t>
      </w:r>
    </w:p>
  </w:footnote>
  <w:footnote w:id="4">
    <w:p w14:paraId="506EDCA2" w14:textId="78FF88EE" w:rsidR="0038455E" w:rsidRPr="003214EC" w:rsidRDefault="0038455E" w:rsidP="00F312E3">
      <w:pPr>
        <w:pStyle w:val="FootnoteText"/>
        <w:rPr>
          <w:rFonts w:asciiTheme="minorHAnsi" w:hAnsiTheme="minorHAnsi"/>
        </w:rPr>
      </w:pPr>
      <w:r w:rsidRPr="003214EC">
        <w:rPr>
          <w:rStyle w:val="FootnoteReference"/>
          <w:rFonts w:asciiTheme="minorHAnsi" w:hAnsiTheme="minorHAnsi"/>
        </w:rPr>
        <w:footnoteRef/>
      </w:r>
      <w:r w:rsidRPr="003214EC">
        <w:rPr>
          <w:rFonts w:asciiTheme="minorHAnsi" w:hAnsiTheme="minorHAnsi"/>
        </w:rPr>
        <w:t xml:space="preserve"> In this regard, it can be noted that the federal </w:t>
      </w:r>
      <w:r w:rsidRPr="003214EC">
        <w:rPr>
          <w:rFonts w:asciiTheme="minorHAnsi" w:hAnsiTheme="minorHAnsi"/>
          <w:i/>
        </w:rPr>
        <w:t>Family Law Act 1975</w:t>
      </w:r>
      <w:r w:rsidRPr="003214EC">
        <w:rPr>
          <w:rFonts w:asciiTheme="minorHAnsi" w:hAnsiTheme="minorHAnsi"/>
        </w:rPr>
        <w:t xml:space="preserve"> (</w:t>
      </w:r>
      <w:proofErr w:type="spellStart"/>
      <w:r w:rsidRPr="003214EC">
        <w:rPr>
          <w:rFonts w:asciiTheme="minorHAnsi" w:hAnsiTheme="minorHAnsi"/>
        </w:rPr>
        <w:t>Cth</w:t>
      </w:r>
      <w:proofErr w:type="spellEnd"/>
      <w:r w:rsidRPr="003214EC">
        <w:rPr>
          <w:rFonts w:asciiTheme="minorHAnsi" w:hAnsiTheme="minorHAnsi"/>
        </w:rPr>
        <w:t xml:space="preserve">) also imposes a reporting duty on </w:t>
      </w:r>
      <w:r w:rsidRPr="003214EC">
        <w:rPr>
          <w:rFonts w:asciiTheme="minorHAnsi" w:hAnsiTheme="minorHAnsi"/>
          <w:bCs/>
        </w:rPr>
        <w:t>members of Court personnel.</w:t>
      </w:r>
    </w:p>
  </w:footnote>
  <w:footnote w:id="5">
    <w:p w14:paraId="48130D11" w14:textId="7E34FDE8" w:rsidR="0038455E" w:rsidRPr="003214EC" w:rsidRDefault="0038455E" w:rsidP="00F312E3">
      <w:pPr>
        <w:pStyle w:val="FootnoteText"/>
        <w:rPr>
          <w:rFonts w:asciiTheme="minorHAnsi" w:hAnsiTheme="minorHAnsi"/>
          <w:lang w:val="en-GB"/>
        </w:rPr>
      </w:pPr>
      <w:r w:rsidRPr="003214EC">
        <w:rPr>
          <w:rStyle w:val="FootnoteReference"/>
          <w:rFonts w:asciiTheme="minorHAnsi" w:hAnsiTheme="minorHAnsi"/>
        </w:rPr>
        <w:footnoteRef/>
      </w:r>
      <w:r w:rsidRPr="003214EC">
        <w:rPr>
          <w:rFonts w:asciiTheme="minorHAnsi" w:hAnsiTheme="minorHAnsi"/>
        </w:rPr>
        <w:t xml:space="preserve"> As Table 1.7 illustrates, </w:t>
      </w:r>
      <w:proofErr w:type="gramStart"/>
      <w:r w:rsidRPr="003214EC">
        <w:rPr>
          <w:rFonts w:asciiTheme="minorHAnsi" w:hAnsiTheme="minorHAnsi"/>
        </w:rPr>
        <w:t>the primary subject matter of the reporting provisions is ‘abuse’ either</w:t>
      </w:r>
      <w:proofErr w:type="gramEnd"/>
      <w:r w:rsidRPr="003214EC">
        <w:rPr>
          <w:rFonts w:asciiTheme="minorHAnsi" w:hAnsiTheme="minorHAnsi"/>
        </w:rPr>
        <w:t xml:space="preserve"> explicitly, or as a natural and co-existing consequence of being the </w:t>
      </w:r>
      <w:r w:rsidRPr="003214EC">
        <w:rPr>
          <w:rFonts w:asciiTheme="minorHAnsi" w:hAnsiTheme="minorHAnsi"/>
          <w:i/>
          <w:u w:val="single"/>
        </w:rPr>
        <w:t>cause</w:t>
      </w:r>
      <w:r w:rsidRPr="003214EC">
        <w:rPr>
          <w:rFonts w:asciiTheme="minorHAnsi" w:hAnsiTheme="minorHAnsi"/>
        </w:rPr>
        <w:t xml:space="preserve"> of the significant or serious ‘injury’ or ‘harm’ specified. The two are inextricably linked, and the co-existing causal relationship and link is often acknowledged directly in the provisions by the use of the term ‘caused by’ (see the underlined words in Table 1.7).  There are some instances where a type of abuse must be reported without any mention of harm – most often, for sexual abuse (</w:t>
      </w:r>
      <w:proofErr w:type="spellStart"/>
      <w:r w:rsidRPr="003214EC">
        <w:rPr>
          <w:rFonts w:asciiTheme="minorHAnsi" w:hAnsiTheme="minorHAnsi"/>
        </w:rPr>
        <w:t>eg</w:t>
      </w:r>
      <w:proofErr w:type="spellEnd"/>
      <w:r w:rsidRPr="003214EC">
        <w:rPr>
          <w:rFonts w:asciiTheme="minorHAnsi" w:hAnsiTheme="minorHAnsi"/>
        </w:rPr>
        <w:t xml:space="preserve"> ACT, NT, SA, </w:t>
      </w:r>
      <w:proofErr w:type="spellStart"/>
      <w:proofErr w:type="gramStart"/>
      <w:r w:rsidRPr="003214EC">
        <w:rPr>
          <w:rFonts w:asciiTheme="minorHAnsi" w:hAnsiTheme="minorHAnsi"/>
        </w:rPr>
        <w:t>Tas</w:t>
      </w:r>
      <w:proofErr w:type="spellEnd"/>
      <w:proofErr w:type="gramEnd"/>
      <w:r w:rsidRPr="003214EC">
        <w:rPr>
          <w:rFonts w:asciiTheme="minorHAnsi" w:hAnsiTheme="minorHAnsi"/>
        </w:rPr>
        <w:t xml:space="preserve">, WA), and for physical injury by abuse (ACT).  In five statutes the first concept used is ‘abuse’, with proceeding words or provisions relating to the abuse causing harm, and the extent of this harm required to activate the reporting duty (ACT, Qld, SA, </w:t>
      </w:r>
      <w:proofErr w:type="spellStart"/>
      <w:r w:rsidRPr="003214EC">
        <w:rPr>
          <w:rFonts w:asciiTheme="minorHAnsi" w:hAnsiTheme="minorHAnsi"/>
        </w:rPr>
        <w:t>Tas</w:t>
      </w:r>
      <w:proofErr w:type="spellEnd"/>
      <w:r w:rsidRPr="003214EC">
        <w:rPr>
          <w:rFonts w:asciiTheme="minorHAnsi" w:hAnsiTheme="minorHAnsi"/>
        </w:rPr>
        <w:t>, WA). In four statutes the first concept used is ‘harm’, with proceeding words or provisions identifying or recognising that this ‘harm’ is caused by various kinds of abuse and neglect (NSW, NT, Qld, Vic).</w:t>
      </w:r>
      <w:r w:rsidRPr="003214EC">
        <w:rPr>
          <w:rFonts w:asciiTheme="minorHAnsi" w:hAnsiTheme="minorHAnsi"/>
          <w:i/>
        </w:rPr>
        <w:t xml:space="preserve"> </w:t>
      </w:r>
    </w:p>
  </w:footnote>
  <w:footnote w:id="6">
    <w:p w14:paraId="1DE91354" w14:textId="51FDB054" w:rsidR="0038455E" w:rsidRPr="001A4ED6" w:rsidRDefault="0038455E" w:rsidP="00F312E3">
      <w:pPr>
        <w:pStyle w:val="FootnoteText"/>
      </w:pPr>
      <w:r w:rsidRPr="003214EC">
        <w:rPr>
          <w:rStyle w:val="FootnoteReference"/>
          <w:rFonts w:asciiTheme="minorHAnsi" w:hAnsiTheme="minorHAnsi"/>
        </w:rPr>
        <w:footnoteRef/>
      </w:r>
      <w:r w:rsidRPr="003214EC">
        <w:rPr>
          <w:rFonts w:asciiTheme="minorHAnsi" w:hAnsiTheme="minorHAnsi"/>
        </w:rPr>
        <w:t xml:space="preserve"> For further discussion of neglect and the complex issue of the scope of Victoria’s reporting provisions, see Part 1.5.7.4.</w:t>
      </w:r>
    </w:p>
  </w:footnote>
  <w:footnote w:id="7">
    <w:p w14:paraId="1197424E" w14:textId="77777777" w:rsidR="0038455E" w:rsidRPr="003214EC" w:rsidRDefault="0038455E" w:rsidP="00F312E3">
      <w:pPr>
        <w:pStyle w:val="FootnoteText"/>
        <w:rPr>
          <w:rFonts w:asciiTheme="minorHAnsi" w:hAnsiTheme="minorHAnsi"/>
        </w:rPr>
      </w:pPr>
      <w:r w:rsidRPr="003214EC">
        <w:rPr>
          <w:rStyle w:val="FootnoteReference"/>
          <w:rFonts w:asciiTheme="minorHAnsi" w:hAnsiTheme="minorHAnsi"/>
        </w:rPr>
        <w:footnoteRef/>
      </w:r>
      <w:r w:rsidRPr="003214EC">
        <w:rPr>
          <w:rFonts w:asciiTheme="minorHAnsi" w:hAnsiTheme="minorHAnsi"/>
        </w:rPr>
        <w:t xml:space="preserve"> </w:t>
      </w:r>
      <w:r w:rsidRPr="003214EC">
        <w:rPr>
          <w:rFonts w:asciiTheme="minorHAnsi" w:hAnsiTheme="minorHAnsi"/>
        </w:rPr>
        <w:tab/>
        <w:t xml:space="preserve">The </w:t>
      </w:r>
      <w:r w:rsidRPr="003214EC">
        <w:rPr>
          <w:rFonts w:asciiTheme="minorHAnsi" w:hAnsiTheme="minorHAnsi"/>
          <w:i/>
        </w:rPr>
        <w:t>Children, Youth and Families Act 2005</w:t>
      </w:r>
      <w:r w:rsidRPr="003214EC">
        <w:rPr>
          <w:rFonts w:asciiTheme="minorHAnsi" w:hAnsiTheme="minorHAnsi"/>
        </w:rPr>
        <w:t xml:space="preserve"> (Vic) s</w:t>
      </w:r>
      <w:r w:rsidRPr="003214EC">
        <w:rPr>
          <w:rStyle w:val="normalchar1"/>
          <w:rFonts w:asciiTheme="minorHAnsi" w:hAnsiTheme="minorHAnsi" w:cs="Calibri"/>
        </w:rPr>
        <w:t xml:space="preserve"> </w:t>
      </w:r>
      <w:r w:rsidRPr="003214EC">
        <w:rPr>
          <w:rFonts w:asciiTheme="minorHAnsi" w:hAnsiTheme="minorHAnsi"/>
        </w:rPr>
        <w:t>31 states that ‘A person who has a significant concern for the wellbeing of a child may refer the matter to a community-based child and family service’.</w:t>
      </w:r>
    </w:p>
  </w:footnote>
  <w:footnote w:id="8">
    <w:p w14:paraId="72D75411" w14:textId="77777777" w:rsidR="0038455E" w:rsidRPr="003214EC" w:rsidRDefault="0038455E" w:rsidP="00F312E3">
      <w:pPr>
        <w:pStyle w:val="FootnoteText"/>
        <w:rPr>
          <w:rFonts w:asciiTheme="minorHAnsi" w:hAnsiTheme="minorHAnsi"/>
        </w:rPr>
      </w:pPr>
      <w:r w:rsidRPr="003214EC">
        <w:rPr>
          <w:rStyle w:val="FootnoteReference"/>
          <w:rFonts w:asciiTheme="minorHAnsi" w:hAnsiTheme="minorHAnsi"/>
        </w:rPr>
        <w:footnoteRef/>
      </w:r>
      <w:r w:rsidRPr="003214EC">
        <w:rPr>
          <w:rFonts w:asciiTheme="minorHAnsi" w:hAnsiTheme="minorHAnsi"/>
        </w:rPr>
        <w:t xml:space="preserve"> </w:t>
      </w:r>
      <w:r w:rsidRPr="003214EC">
        <w:rPr>
          <w:rFonts w:asciiTheme="minorHAnsi" w:hAnsiTheme="minorHAnsi"/>
        </w:rPr>
        <w:tab/>
        <w:t xml:space="preserve">See Part 3.7. The </w:t>
      </w:r>
      <w:r w:rsidRPr="003214EC">
        <w:rPr>
          <w:rFonts w:asciiTheme="minorHAnsi" w:hAnsiTheme="minorHAnsi"/>
          <w:i/>
        </w:rPr>
        <w:t>Children, Youth and Families Act 2005</w:t>
      </w:r>
      <w:r w:rsidRPr="003214EC">
        <w:rPr>
          <w:rFonts w:asciiTheme="minorHAnsi" w:hAnsiTheme="minorHAnsi"/>
        </w:rPr>
        <w:t xml:space="preserve"> (Vic) s 184 states that a mandatory reporter who forms the belief on reasonable grounds that a child is in need of protection on a ground referred to in s 162(1)(c) or (d) ‘must report to the Secretary’.</w:t>
      </w:r>
    </w:p>
  </w:footnote>
  <w:footnote w:id="9">
    <w:p w14:paraId="49C1170C" w14:textId="77777777" w:rsidR="0038455E" w:rsidRPr="003214EC" w:rsidRDefault="0038455E" w:rsidP="00F312E3">
      <w:pPr>
        <w:pStyle w:val="FootnoteText"/>
        <w:rPr>
          <w:rFonts w:asciiTheme="minorHAnsi" w:hAnsiTheme="minorHAnsi"/>
        </w:rPr>
      </w:pPr>
      <w:r w:rsidRPr="003214EC">
        <w:rPr>
          <w:rStyle w:val="FootnoteReference"/>
          <w:rFonts w:asciiTheme="minorHAnsi" w:hAnsiTheme="minorHAnsi"/>
        </w:rPr>
        <w:footnoteRef/>
      </w:r>
      <w:r w:rsidRPr="003214EC">
        <w:rPr>
          <w:rFonts w:asciiTheme="minorHAnsi" w:hAnsiTheme="minorHAnsi"/>
        </w:rPr>
        <w:t xml:space="preserve"> </w:t>
      </w:r>
      <w:r w:rsidRPr="003214EC">
        <w:rPr>
          <w:rFonts w:asciiTheme="minorHAnsi" w:hAnsiTheme="minorHAnsi"/>
        </w:rPr>
        <w:tab/>
      </w:r>
      <w:proofErr w:type="gramStart"/>
      <w:r w:rsidRPr="003214EC">
        <w:rPr>
          <w:rFonts w:asciiTheme="minorHAnsi" w:hAnsiTheme="minorHAnsi"/>
          <w:i/>
        </w:rPr>
        <w:t>Children, Youth and Families Act 2005</w:t>
      </w:r>
      <w:r w:rsidRPr="003214EC">
        <w:rPr>
          <w:rFonts w:asciiTheme="minorHAnsi" w:hAnsiTheme="minorHAnsi"/>
        </w:rPr>
        <w:t xml:space="preserve"> (Vic) s</w:t>
      </w:r>
      <w:r w:rsidRPr="003214EC">
        <w:rPr>
          <w:rStyle w:val="normalchar1"/>
          <w:rFonts w:asciiTheme="minorHAnsi" w:hAnsiTheme="minorHAnsi" w:cs="Calibri"/>
        </w:rPr>
        <w:t xml:space="preserve"> </w:t>
      </w:r>
      <w:r w:rsidRPr="003214EC">
        <w:rPr>
          <w:rFonts w:asciiTheme="minorHAnsi" w:hAnsiTheme="minorHAnsi"/>
        </w:rPr>
        <w:t>33.</w:t>
      </w:r>
      <w:proofErr w:type="gramEnd"/>
    </w:p>
  </w:footnote>
  <w:footnote w:id="10">
    <w:p w14:paraId="0F9DFF67" w14:textId="77777777" w:rsidR="0038455E" w:rsidRPr="003214EC" w:rsidRDefault="0038455E" w:rsidP="00F312E3">
      <w:pPr>
        <w:pStyle w:val="FootnoteText"/>
        <w:rPr>
          <w:rFonts w:asciiTheme="minorHAnsi" w:hAnsiTheme="minorHAnsi"/>
        </w:rPr>
      </w:pPr>
      <w:r w:rsidRPr="003214EC">
        <w:rPr>
          <w:rStyle w:val="FootnoteReference"/>
          <w:rFonts w:asciiTheme="minorHAnsi" w:hAnsiTheme="minorHAnsi"/>
        </w:rPr>
        <w:footnoteRef/>
      </w:r>
      <w:r w:rsidRPr="003214EC">
        <w:rPr>
          <w:rFonts w:asciiTheme="minorHAnsi" w:hAnsiTheme="minorHAnsi"/>
        </w:rPr>
        <w:t xml:space="preserve"> </w:t>
      </w:r>
      <w:r w:rsidRPr="003214EC">
        <w:rPr>
          <w:rFonts w:asciiTheme="minorHAnsi" w:hAnsiTheme="minorHAnsi"/>
        </w:rPr>
        <w:tab/>
      </w:r>
      <w:proofErr w:type="gramStart"/>
      <w:r w:rsidRPr="003214EC">
        <w:rPr>
          <w:rFonts w:asciiTheme="minorHAnsi" w:hAnsiTheme="minorHAnsi"/>
          <w:i/>
        </w:rPr>
        <w:t>Children, Youth and Families Act 2005</w:t>
      </w:r>
      <w:r w:rsidRPr="003214EC">
        <w:rPr>
          <w:rFonts w:asciiTheme="minorHAnsi" w:hAnsiTheme="minorHAnsi"/>
        </w:rPr>
        <w:t xml:space="preserve"> (Vic) s</w:t>
      </w:r>
      <w:r w:rsidRPr="003214EC">
        <w:rPr>
          <w:rStyle w:val="normalchar1"/>
          <w:rFonts w:asciiTheme="minorHAnsi" w:hAnsiTheme="minorHAnsi" w:cs="Calibri"/>
        </w:rPr>
        <w:t xml:space="preserve"> </w:t>
      </w:r>
      <w:r w:rsidRPr="003214EC">
        <w:rPr>
          <w:rFonts w:asciiTheme="minorHAnsi" w:hAnsiTheme="minorHAnsi"/>
        </w:rPr>
        <w:t>33(2).</w:t>
      </w:r>
      <w:proofErr w:type="gramEnd"/>
    </w:p>
  </w:footnote>
  <w:footnote w:id="11">
    <w:p w14:paraId="3B5BD64E" w14:textId="77777777" w:rsidR="0038455E" w:rsidRPr="001A4ED6" w:rsidRDefault="0038455E" w:rsidP="00F312E3">
      <w:pPr>
        <w:pStyle w:val="FootnoteText"/>
      </w:pPr>
      <w:r w:rsidRPr="003214EC">
        <w:rPr>
          <w:rStyle w:val="FootnoteReference"/>
          <w:rFonts w:asciiTheme="minorHAnsi" w:hAnsiTheme="minorHAnsi"/>
        </w:rPr>
        <w:footnoteRef/>
      </w:r>
      <w:r w:rsidRPr="003214EC">
        <w:rPr>
          <w:rFonts w:asciiTheme="minorHAnsi" w:hAnsiTheme="minorHAnsi"/>
        </w:rPr>
        <w:t xml:space="preserve"> </w:t>
      </w:r>
      <w:r w:rsidRPr="003214EC">
        <w:rPr>
          <w:rFonts w:asciiTheme="minorHAnsi" w:hAnsiTheme="minorHAnsi"/>
        </w:rPr>
        <w:tab/>
      </w:r>
      <w:proofErr w:type="gramStart"/>
      <w:r w:rsidRPr="003214EC">
        <w:rPr>
          <w:rFonts w:asciiTheme="minorHAnsi" w:hAnsiTheme="minorHAnsi"/>
          <w:i/>
        </w:rPr>
        <w:t>Children, Youth and Families Act 2005</w:t>
      </w:r>
      <w:r w:rsidRPr="003214EC">
        <w:rPr>
          <w:rFonts w:asciiTheme="minorHAnsi" w:hAnsiTheme="minorHAnsi"/>
        </w:rPr>
        <w:t xml:space="preserve"> (Vic) </w:t>
      </w:r>
      <w:proofErr w:type="spellStart"/>
      <w:r w:rsidRPr="003214EC">
        <w:rPr>
          <w:rFonts w:asciiTheme="minorHAnsi" w:hAnsiTheme="minorHAnsi"/>
        </w:rPr>
        <w:t>ss</w:t>
      </w:r>
      <w:proofErr w:type="spellEnd"/>
      <w:r w:rsidRPr="003214EC">
        <w:rPr>
          <w:rFonts w:asciiTheme="minorHAnsi" w:hAnsiTheme="minorHAnsi"/>
        </w:rPr>
        <w:t xml:space="preserve"> 187, 30.</w:t>
      </w:r>
      <w:proofErr w:type="gramEnd"/>
    </w:p>
  </w:footnote>
  <w:footnote w:id="12">
    <w:p w14:paraId="4D39378A" w14:textId="77777777" w:rsidR="0038455E" w:rsidRPr="00FB5D31" w:rsidRDefault="0038455E" w:rsidP="00F312E3">
      <w:pPr>
        <w:pStyle w:val="FootnoteText"/>
        <w:rPr>
          <w:rFonts w:asciiTheme="minorHAnsi" w:hAnsiTheme="minorHAnsi"/>
        </w:rPr>
      </w:pPr>
      <w:r w:rsidRPr="00FB5D31">
        <w:rPr>
          <w:rStyle w:val="FootnoteReference"/>
          <w:rFonts w:asciiTheme="minorHAnsi" w:hAnsiTheme="minorHAnsi"/>
        </w:rPr>
        <w:footnoteRef/>
      </w:r>
      <w:r w:rsidRPr="00FB5D31">
        <w:rPr>
          <w:rFonts w:asciiTheme="minorHAnsi" w:hAnsiTheme="minorHAnsi"/>
        </w:rPr>
        <w:t xml:space="preserve"> </w:t>
      </w:r>
      <w:r w:rsidRPr="00FB5D31">
        <w:rPr>
          <w:rFonts w:asciiTheme="minorHAnsi" w:hAnsiTheme="minorHAnsi"/>
        </w:rPr>
        <w:tab/>
        <w:t>Also if ‘a person with whom the child resides (whether a guardian of the child or not)—</w:t>
      </w:r>
    </w:p>
    <w:p w14:paraId="271494BB" w14:textId="082E62E2" w:rsidR="0038455E" w:rsidRPr="00FB5D31" w:rsidRDefault="0038455E" w:rsidP="001B0227">
      <w:pPr>
        <w:pStyle w:val="FootnoteText"/>
        <w:numPr>
          <w:ilvl w:val="0"/>
          <w:numId w:val="55"/>
        </w:numPr>
        <w:rPr>
          <w:rFonts w:asciiTheme="minorHAnsi" w:hAnsiTheme="minorHAnsi"/>
        </w:rPr>
      </w:pPr>
      <w:r w:rsidRPr="00FB5D31">
        <w:rPr>
          <w:rFonts w:asciiTheme="minorHAnsi" w:hAnsiTheme="minorHAnsi"/>
        </w:rPr>
        <w:t>has threatened to kill or injure the child and there is a reasonable likelihood of the threat being carried out; or</w:t>
      </w:r>
    </w:p>
    <w:p w14:paraId="5B9A9D7A" w14:textId="33FF47F7" w:rsidR="0038455E" w:rsidRPr="00FB5D31" w:rsidRDefault="0038455E" w:rsidP="001B0227">
      <w:pPr>
        <w:pStyle w:val="FootnoteText"/>
        <w:numPr>
          <w:ilvl w:val="0"/>
          <w:numId w:val="55"/>
        </w:numPr>
        <w:rPr>
          <w:rFonts w:asciiTheme="minorHAnsi" w:hAnsiTheme="minorHAnsi"/>
        </w:rPr>
      </w:pPr>
      <w:r w:rsidRPr="00FB5D31">
        <w:rPr>
          <w:rFonts w:asciiTheme="minorHAnsi" w:hAnsiTheme="minorHAnsi"/>
        </w:rPr>
        <w:t>has killed, abused or neglected some other child or children and there is a reasonable likelihood of the child in question being killed, abused or neglected by that person’</w:t>
      </w:r>
    </w:p>
  </w:footnote>
  <w:footnote w:id="13">
    <w:p w14:paraId="55983F77" w14:textId="77777777" w:rsidR="0038455E" w:rsidRPr="00FB5D31" w:rsidRDefault="0038455E" w:rsidP="00F312E3">
      <w:pPr>
        <w:pStyle w:val="FootnoteText"/>
        <w:rPr>
          <w:rFonts w:asciiTheme="minorHAnsi" w:hAnsiTheme="minorHAnsi"/>
        </w:rPr>
      </w:pPr>
      <w:r w:rsidRPr="00FB5D31">
        <w:rPr>
          <w:rStyle w:val="FootnoteReference"/>
          <w:rFonts w:asciiTheme="minorHAnsi" w:hAnsiTheme="minorHAnsi"/>
        </w:rPr>
        <w:footnoteRef/>
      </w:r>
      <w:r w:rsidRPr="00FB5D31">
        <w:rPr>
          <w:rFonts w:asciiTheme="minorHAnsi" w:hAnsiTheme="minorHAnsi"/>
        </w:rPr>
        <w:t xml:space="preserve"> </w:t>
      </w:r>
      <w:r w:rsidRPr="00FB5D31">
        <w:rPr>
          <w:rFonts w:asciiTheme="minorHAnsi" w:hAnsiTheme="minorHAnsi"/>
        </w:rPr>
        <w:tab/>
        <w:t>Also if there is ‘a reasonable likelihood of a child being killed or abused or neglected by a person with whom the child resides’.</w:t>
      </w:r>
    </w:p>
  </w:footnote>
  <w:footnote w:id="14">
    <w:p w14:paraId="4CC79285" w14:textId="77777777" w:rsidR="0038455E" w:rsidRPr="001A4ED6" w:rsidRDefault="0038455E" w:rsidP="00F312E3">
      <w:pPr>
        <w:pStyle w:val="FootnoteText"/>
        <w:rPr>
          <w:i/>
        </w:rPr>
      </w:pPr>
      <w:r w:rsidRPr="001A4ED6">
        <w:rPr>
          <w:rStyle w:val="FootnoteReference"/>
        </w:rPr>
        <w:footnoteRef/>
      </w:r>
      <w:r w:rsidRPr="001A4ED6">
        <w:t xml:space="preserve"> </w:t>
      </w:r>
      <w:r>
        <w:tab/>
      </w:r>
      <w:r w:rsidRPr="001A4ED6">
        <w:t>Note that the State and Territory laws synthesized and traced below do not contain references to the Commonwealth provisions under the Family Law Act, which apply nationally.</w:t>
      </w:r>
    </w:p>
  </w:footnote>
  <w:footnote w:id="15">
    <w:p w14:paraId="1F4CCD70" w14:textId="53DC35A7" w:rsidR="0038455E" w:rsidRPr="00ED7CF8" w:rsidRDefault="0038455E" w:rsidP="00F312E3">
      <w:pPr>
        <w:pStyle w:val="FootnoteText"/>
        <w:rPr>
          <w:rFonts w:asciiTheme="minorHAnsi" w:hAnsiTheme="minorHAnsi"/>
        </w:rPr>
      </w:pPr>
      <w:r w:rsidRPr="00ED7CF8">
        <w:rPr>
          <w:rStyle w:val="FootnoteReference"/>
          <w:rFonts w:asciiTheme="minorHAnsi" w:hAnsiTheme="minorHAnsi"/>
        </w:rPr>
        <w:footnoteRef/>
      </w:r>
      <w:r w:rsidRPr="00ED7CF8">
        <w:rPr>
          <w:rFonts w:asciiTheme="minorHAnsi" w:hAnsiTheme="minorHAnsi"/>
        </w:rPr>
        <w:t xml:space="preserve"> This wording appears to imply that the reporting duty can apply to neglect. However, the reporting duty </w:t>
      </w:r>
      <w:proofErr w:type="gramStart"/>
      <w:r w:rsidRPr="00ED7CF8">
        <w:rPr>
          <w:rFonts w:asciiTheme="minorHAnsi" w:hAnsiTheme="minorHAnsi"/>
        </w:rPr>
        <w:t>is clearly expressed</w:t>
      </w:r>
      <w:proofErr w:type="gramEnd"/>
      <w:r w:rsidRPr="00ED7CF8">
        <w:rPr>
          <w:rFonts w:asciiTheme="minorHAnsi" w:hAnsiTheme="minorHAnsi"/>
        </w:rPr>
        <w:t xml:space="preserve"> as being limited to sexual abuse and intentional physical injury. Neglect can certainly cause physical injury, but any physical injury caused by neglect </w:t>
      </w:r>
      <w:proofErr w:type="gramStart"/>
      <w:r w:rsidRPr="00ED7CF8">
        <w:rPr>
          <w:rFonts w:asciiTheme="minorHAnsi" w:hAnsiTheme="minorHAnsi"/>
        </w:rPr>
        <w:t>is arguably usually caused</w:t>
      </w:r>
      <w:proofErr w:type="gramEnd"/>
      <w:r w:rsidRPr="00ED7CF8">
        <w:rPr>
          <w:rFonts w:asciiTheme="minorHAnsi" w:hAnsiTheme="minorHAnsi"/>
        </w:rPr>
        <w:t xml:space="preserve"> without intention, at least in contrast to the kind of physical injury caused intentionally by physical abuse. At most, this inclusion arguably should be limited to situations of physical injury caused intentionally by neglect. Alternatively, this is a drafting error and </w:t>
      </w:r>
      <w:proofErr w:type="gramStart"/>
      <w:r w:rsidRPr="00ED7CF8">
        <w:rPr>
          <w:rFonts w:asciiTheme="minorHAnsi" w:hAnsiTheme="minorHAnsi"/>
        </w:rPr>
        <w:t>should be amended</w:t>
      </w:r>
      <w:proofErr w:type="gramEnd"/>
      <w:r w:rsidRPr="00ED7CF8">
        <w:rPr>
          <w:rFonts w:asciiTheme="minorHAnsi" w:hAnsiTheme="minorHAnsi"/>
        </w:rPr>
        <w:t xml:space="preserve">. Based on the clear definitions of ‘abuse’ and ‘neglect’ in </w:t>
      </w:r>
      <w:proofErr w:type="spellStart"/>
      <w:r w:rsidRPr="00ED7CF8">
        <w:rPr>
          <w:rFonts w:asciiTheme="minorHAnsi" w:hAnsiTheme="minorHAnsi"/>
        </w:rPr>
        <w:t>ss</w:t>
      </w:r>
      <w:proofErr w:type="spellEnd"/>
      <w:r w:rsidRPr="00ED7CF8">
        <w:rPr>
          <w:rFonts w:asciiTheme="minorHAnsi" w:hAnsiTheme="minorHAnsi"/>
        </w:rPr>
        <w:t xml:space="preserve"> 342 and 343, in my view it is a drafting error.</w:t>
      </w:r>
    </w:p>
  </w:footnote>
  <w:footnote w:id="16">
    <w:p w14:paraId="60720259" w14:textId="3F7937AE" w:rsidR="0038455E" w:rsidRPr="001A4ED6" w:rsidRDefault="0038455E" w:rsidP="00ED7CF8">
      <w:pPr>
        <w:pStyle w:val="FootnoteText"/>
        <w:ind w:left="90" w:hanging="180"/>
      </w:pPr>
      <w:r w:rsidRPr="001A4ED6">
        <w:rPr>
          <w:rStyle w:val="FootnoteReference"/>
        </w:rPr>
        <w:footnoteRef/>
      </w:r>
      <w:r w:rsidRPr="001A4ED6">
        <w:t xml:space="preserve"> </w:t>
      </w:r>
      <w:proofErr w:type="gramStart"/>
      <w:r w:rsidRPr="009A097C">
        <w:rPr>
          <w:rFonts w:asciiTheme="minorHAnsi" w:hAnsiTheme="minorHAnsi"/>
        </w:rPr>
        <w:t xml:space="preserve">A note to s 25 was added by this Act </w:t>
      </w:r>
      <w:proofErr w:type="spellStart"/>
      <w:r w:rsidRPr="009A097C">
        <w:rPr>
          <w:rFonts w:asciiTheme="minorHAnsi" w:hAnsiTheme="minorHAnsi"/>
        </w:rPr>
        <w:t>Sch</w:t>
      </w:r>
      <w:proofErr w:type="spellEnd"/>
      <w:r w:rsidRPr="009A097C">
        <w:rPr>
          <w:rFonts w:asciiTheme="minorHAnsi" w:hAnsiTheme="minorHAnsi"/>
        </w:rPr>
        <w:t xml:space="preserve"> 1 [2], stating that the intention of s 25 reports were (a) to allow assistance and support to be provided to the expectant mother to reduce the likelihood that her child, when born, will need to be placed in out-of-home care, and (b) to provide early information that a child who is not yet born may be at risk of harm subsequent to his or her birth, and (c) in conjunction with section 23 (f) and section 27, to provide for mandatory reporting if there are reasonable grounds to believe that the child is at risk of harm subsequent to his or her birth.</w:t>
      </w:r>
      <w:proofErr w:type="gramEnd"/>
    </w:p>
  </w:footnote>
  <w:footnote w:id="17">
    <w:p w14:paraId="10D1072C" w14:textId="161A77A6" w:rsidR="0038455E" w:rsidRPr="009A097C" w:rsidRDefault="0038455E" w:rsidP="00F312E3">
      <w:pPr>
        <w:pStyle w:val="FootnoteText"/>
        <w:rPr>
          <w:rFonts w:asciiTheme="minorHAnsi" w:hAnsiTheme="minorHAnsi"/>
        </w:rPr>
      </w:pPr>
      <w:r w:rsidRPr="009A097C">
        <w:rPr>
          <w:rStyle w:val="FootnoteReference"/>
          <w:rFonts w:asciiTheme="minorHAnsi" w:hAnsiTheme="minorHAnsi"/>
        </w:rPr>
        <w:footnoteRef/>
      </w:r>
      <w:r w:rsidRPr="009A097C">
        <w:rPr>
          <w:rFonts w:asciiTheme="minorHAnsi" w:hAnsiTheme="minorHAnsi"/>
        </w:rPr>
        <w:t xml:space="preserve"> Amendments to the NSW CYP (CP) Act made by the Children Legislation Amendment (Wood Inquiry Recommendations) Act 2009 related to the Wood Inquiry recommendations 6.2 and 10.1.</w:t>
      </w:r>
    </w:p>
  </w:footnote>
  <w:footnote w:id="18">
    <w:p w14:paraId="3E0CD99C" w14:textId="77777777" w:rsidR="0038455E" w:rsidRPr="009A097C" w:rsidRDefault="0038455E" w:rsidP="00F312E3">
      <w:pPr>
        <w:pStyle w:val="FootnoteText"/>
        <w:rPr>
          <w:rFonts w:asciiTheme="minorHAnsi" w:hAnsiTheme="minorHAnsi"/>
        </w:rPr>
      </w:pPr>
      <w:r w:rsidRPr="009A097C">
        <w:rPr>
          <w:rStyle w:val="FootnoteReference"/>
          <w:rFonts w:asciiTheme="minorHAnsi" w:hAnsiTheme="minorHAnsi"/>
        </w:rPr>
        <w:footnoteRef/>
      </w:r>
      <w:r w:rsidRPr="009A097C">
        <w:rPr>
          <w:rFonts w:asciiTheme="minorHAnsi" w:hAnsiTheme="minorHAnsi"/>
        </w:rPr>
        <w:t xml:space="preserve"> </w:t>
      </w:r>
      <w:r w:rsidRPr="009A097C">
        <w:rPr>
          <w:rFonts w:asciiTheme="minorHAnsi" w:hAnsiTheme="minorHAnsi"/>
        </w:rPr>
        <w:tab/>
        <w:t>This Act and its original mandatory reporting provisions commenced on 20 April 1984. Note the addition at some point of the FGM subsection, and of the ‘or she’ after the original provisions’ use of only the male pronoun.</w:t>
      </w:r>
    </w:p>
  </w:footnote>
  <w:footnote w:id="19">
    <w:p w14:paraId="0E04F91C" w14:textId="77777777" w:rsidR="0038455E" w:rsidRPr="009A097C" w:rsidRDefault="0038455E" w:rsidP="00F312E3">
      <w:pPr>
        <w:pStyle w:val="FootnoteText"/>
        <w:rPr>
          <w:rFonts w:asciiTheme="minorHAnsi" w:hAnsiTheme="minorHAnsi"/>
        </w:rPr>
      </w:pPr>
      <w:r w:rsidRPr="009A097C">
        <w:rPr>
          <w:rStyle w:val="FootnoteReference"/>
          <w:rFonts w:asciiTheme="minorHAnsi" w:hAnsiTheme="minorHAnsi"/>
        </w:rPr>
        <w:footnoteRef/>
      </w:r>
      <w:r w:rsidRPr="009A097C">
        <w:rPr>
          <w:rFonts w:asciiTheme="minorHAnsi" w:hAnsiTheme="minorHAnsi"/>
        </w:rPr>
        <w:t xml:space="preserve"> </w:t>
      </w:r>
      <w:r w:rsidRPr="009A097C">
        <w:rPr>
          <w:rFonts w:asciiTheme="minorHAnsi" w:hAnsiTheme="minorHAnsi"/>
        </w:rPr>
        <w:tab/>
      </w:r>
      <w:proofErr w:type="gramStart"/>
      <w:r w:rsidRPr="009A097C">
        <w:rPr>
          <w:rFonts w:asciiTheme="minorHAnsi" w:hAnsiTheme="minorHAnsi"/>
          <w:b/>
        </w:rPr>
        <w:t xml:space="preserve">13. Investigation of maltreatment - </w:t>
      </w:r>
      <w:r w:rsidRPr="009A097C">
        <w:rPr>
          <w:rFonts w:asciiTheme="minorHAnsi" w:hAnsiTheme="minorHAnsi"/>
        </w:rPr>
        <w:t>(1) Where a member of the Police Force believes on reasonable grounds that a child has suffered or is suffering maltreatment, he or she – (a) shall, as soon as practicable, notify the Minister of the circumstances and the knowledge that constitutes the reasonable grounds for his or her so believing; and (b) may investigate the circumstances to ascertain if the child has suffered or is suffering maltreatment.</w:t>
      </w:r>
      <w:proofErr w:type="gramEnd"/>
      <w:r w:rsidRPr="009A097C">
        <w:rPr>
          <w:rFonts w:asciiTheme="minorHAnsi" w:hAnsiTheme="minorHAnsi"/>
        </w:rPr>
        <w:t xml:space="preserve"> </w:t>
      </w:r>
      <w:proofErr w:type="gramStart"/>
      <w:r w:rsidRPr="009A097C">
        <w:rPr>
          <w:rFonts w:asciiTheme="minorHAnsi" w:hAnsiTheme="minorHAnsi"/>
        </w:rPr>
        <w:t>(2) Where a member of the Police Force carries out an investigation under subsection (1)(b), he or she shall, within 24 hours after completing the investigation, furnish to the Minister a report on his or her investigations and, if he or she is satisfied on reasonable grounds that the child has suffered maltreatment, all material facts on which the knowledge that constitutes the reasonable grounds for his or her belief is based.</w:t>
      </w:r>
      <w:proofErr w:type="gramEnd"/>
      <w:r w:rsidRPr="009A097C">
        <w:rPr>
          <w:rFonts w:asciiTheme="minorHAnsi" w:hAnsiTheme="minorHAnsi"/>
        </w:rPr>
        <w:t xml:space="preserve"> </w:t>
      </w:r>
    </w:p>
  </w:footnote>
  <w:footnote w:id="20">
    <w:p w14:paraId="6FD56CED" w14:textId="77777777" w:rsidR="0038455E" w:rsidRPr="009A097C" w:rsidRDefault="0038455E" w:rsidP="00F312E3">
      <w:pPr>
        <w:pStyle w:val="FootnoteText"/>
        <w:rPr>
          <w:rFonts w:asciiTheme="minorHAnsi" w:hAnsiTheme="minorHAnsi"/>
        </w:rPr>
      </w:pPr>
      <w:r w:rsidRPr="009A097C">
        <w:rPr>
          <w:rStyle w:val="FootnoteReference"/>
          <w:rFonts w:asciiTheme="minorHAnsi" w:hAnsiTheme="minorHAnsi"/>
        </w:rPr>
        <w:footnoteRef/>
      </w:r>
      <w:r w:rsidRPr="009A097C">
        <w:rPr>
          <w:rFonts w:asciiTheme="minorHAnsi" w:hAnsiTheme="minorHAnsi"/>
        </w:rPr>
        <w:t xml:space="preserve"> </w:t>
      </w:r>
      <w:r w:rsidRPr="009A097C">
        <w:rPr>
          <w:rFonts w:asciiTheme="minorHAnsi" w:hAnsiTheme="minorHAnsi"/>
        </w:rPr>
        <w:tab/>
      </w:r>
      <w:proofErr w:type="gramStart"/>
      <w:r w:rsidRPr="009A097C">
        <w:rPr>
          <w:rFonts w:asciiTheme="minorHAnsi" w:hAnsiTheme="minorHAnsi"/>
          <w:b/>
        </w:rPr>
        <w:t xml:space="preserve">14. Maltreatment to be reported - </w:t>
      </w:r>
      <w:r w:rsidRPr="009A097C">
        <w:rPr>
          <w:rFonts w:asciiTheme="minorHAnsi" w:hAnsiTheme="minorHAnsi"/>
        </w:rPr>
        <w:t>(1) A person, not being a member of the Police Force, who believes, on reasonable grounds, that a child has suffered or is suffering maltreatment shall, as soon as practicable after obtaining the knowledge that constitutes the reasonable grounds for his or her so believing, report the fact, and all material facts on which that knowledge is based, to the Minister or a member of the Police Force.</w:t>
      </w:r>
      <w:proofErr w:type="gramEnd"/>
      <w:r w:rsidRPr="009A097C">
        <w:rPr>
          <w:rFonts w:asciiTheme="minorHAnsi" w:hAnsiTheme="minorHAnsi"/>
        </w:rPr>
        <w:t xml:space="preserve">  Penalty: 200 penalty units. </w:t>
      </w:r>
    </w:p>
  </w:footnote>
  <w:footnote w:id="21">
    <w:p w14:paraId="69C0C46B" w14:textId="77777777" w:rsidR="0038455E" w:rsidRPr="001A4ED6" w:rsidRDefault="0038455E" w:rsidP="00F312E3">
      <w:pPr>
        <w:rPr>
          <w:sz w:val="20"/>
          <w:szCs w:val="20"/>
        </w:rPr>
      </w:pPr>
      <w:r w:rsidRPr="001A4ED6">
        <w:rPr>
          <w:rStyle w:val="FootnoteReference"/>
          <w:sz w:val="20"/>
          <w:szCs w:val="20"/>
        </w:rPr>
        <w:footnoteRef/>
      </w:r>
      <w:r w:rsidRPr="001A4ED6">
        <w:rPr>
          <w:sz w:val="20"/>
          <w:szCs w:val="20"/>
        </w:rPr>
        <w:t xml:space="preserve"> Earlier, a significant amendment had occurred in 2002 when </w:t>
      </w:r>
      <w:proofErr w:type="spellStart"/>
      <w:proofErr w:type="gramStart"/>
      <w:r w:rsidRPr="001A4ED6">
        <w:rPr>
          <w:sz w:val="20"/>
          <w:szCs w:val="20"/>
        </w:rPr>
        <w:t>ss</w:t>
      </w:r>
      <w:proofErr w:type="spellEnd"/>
      <w:r w:rsidRPr="001A4ED6">
        <w:rPr>
          <w:sz w:val="20"/>
          <w:szCs w:val="20"/>
        </w:rPr>
        <w:t xml:space="preserve"> 12-14 were amended by the </w:t>
      </w:r>
      <w:r w:rsidRPr="001A4ED6">
        <w:rPr>
          <w:i/>
          <w:sz w:val="20"/>
          <w:szCs w:val="20"/>
        </w:rPr>
        <w:t>Community Welfare Amendment Act 2002</w:t>
      </w:r>
      <w:r w:rsidRPr="001A4ED6">
        <w:rPr>
          <w:sz w:val="20"/>
          <w:szCs w:val="20"/>
        </w:rPr>
        <w:t xml:space="preserve"> (Act No. 61, 2002; commenced 9 December 2002) s 10, which increased the maximum penalty from $500 to 200 penalty units</w:t>
      </w:r>
      <w:proofErr w:type="gramEnd"/>
      <w:r w:rsidRPr="001A4ED6">
        <w:rPr>
          <w:sz w:val="20"/>
          <w:szCs w:val="20"/>
        </w:rPr>
        <w:t>.</w:t>
      </w:r>
    </w:p>
  </w:footnote>
  <w:footnote w:id="22">
    <w:p w14:paraId="233C34AF" w14:textId="77777777" w:rsidR="0038455E" w:rsidRPr="001A4ED6" w:rsidRDefault="0038455E" w:rsidP="00F312E3">
      <w:pPr>
        <w:pStyle w:val="FootnoteText"/>
      </w:pPr>
      <w:r w:rsidRPr="001A4ED6">
        <w:rPr>
          <w:rStyle w:val="FootnoteReference"/>
        </w:rPr>
        <w:footnoteRef/>
      </w:r>
      <w:r w:rsidRPr="001A4ED6">
        <w:t xml:space="preserve"> Chapter 1 (definitions) commenced on 7 May 2008 and other provisions.</w:t>
      </w:r>
    </w:p>
  </w:footnote>
  <w:footnote w:id="23">
    <w:p w14:paraId="4E2B2634" w14:textId="77777777" w:rsidR="0038455E" w:rsidRPr="00EF45AE" w:rsidRDefault="0038455E" w:rsidP="00EF45AE">
      <w:pPr>
        <w:spacing w:before="0"/>
        <w:ind w:left="360" w:hanging="360"/>
        <w:jc w:val="both"/>
        <w:rPr>
          <w:rFonts w:ascii="Calibri" w:eastAsia="Cambria" w:hAnsi="Calibri" w:cs="Times New Roman"/>
          <w:sz w:val="20"/>
          <w:szCs w:val="20"/>
        </w:rPr>
      </w:pPr>
      <w:r w:rsidRPr="00EF45AE">
        <w:rPr>
          <w:rFonts w:ascii="Calibri" w:eastAsia="Cambria" w:hAnsi="Calibri" w:cs="Times New Roman"/>
          <w:sz w:val="20"/>
          <w:szCs w:val="20"/>
          <w:vertAlign w:val="superscript"/>
        </w:rPr>
        <w:footnoteRef/>
      </w:r>
      <w:r w:rsidRPr="00EF45AE">
        <w:rPr>
          <w:rFonts w:ascii="Calibri" w:eastAsia="Cambria" w:hAnsi="Calibri" w:cs="Times New Roman"/>
          <w:sz w:val="20"/>
          <w:szCs w:val="20"/>
        </w:rPr>
        <w:t xml:space="preserve"> </w:t>
      </w:r>
      <w:r w:rsidRPr="00EF45AE">
        <w:rPr>
          <w:rFonts w:ascii="Calibri" w:eastAsia="Cambria" w:hAnsi="Calibri" w:cs="Times New Roman"/>
          <w:sz w:val="20"/>
          <w:szCs w:val="20"/>
        </w:rPr>
        <w:tab/>
      </w:r>
      <w:proofErr w:type="gramStart"/>
      <w:r w:rsidRPr="00EF45AE">
        <w:rPr>
          <w:rFonts w:ascii="Calibri" w:eastAsia="Cambria" w:hAnsi="Calibri" w:cs="Times New Roman"/>
          <w:sz w:val="20"/>
          <w:szCs w:val="20"/>
        </w:rPr>
        <w:t>Influenced by the federal government intervention?</w:t>
      </w:r>
      <w:proofErr w:type="gramEnd"/>
      <w:r w:rsidRPr="00EF45AE">
        <w:rPr>
          <w:rFonts w:ascii="Calibri" w:eastAsia="Cambria" w:hAnsi="Calibri" w:cs="Times New Roman"/>
          <w:sz w:val="20"/>
          <w:szCs w:val="20"/>
        </w:rPr>
        <w:t xml:space="preserve"> The provision read as follows:</w:t>
      </w:r>
      <w:r w:rsidRPr="00EF45AE">
        <w:rPr>
          <w:rFonts w:ascii="Calibri" w:eastAsia="Cambria" w:hAnsi="Calibri" w:cs="Times New Roman"/>
          <w:b/>
          <w:sz w:val="20"/>
          <w:szCs w:val="20"/>
        </w:rPr>
        <w:t xml:space="preserve">  </w:t>
      </w:r>
      <w:r w:rsidRPr="00EF45AE">
        <w:rPr>
          <w:rFonts w:ascii="Calibri" w:eastAsia="Cambria" w:hAnsi="Calibri" w:cs="Times New Roman"/>
          <w:sz w:val="20"/>
          <w:szCs w:val="20"/>
        </w:rPr>
        <w:t>Section 26 - repeal, substitute:</w:t>
      </w:r>
    </w:p>
    <w:p w14:paraId="686580D0" w14:textId="77777777" w:rsidR="0038455E" w:rsidRPr="00EF45AE" w:rsidRDefault="0038455E" w:rsidP="00EF45AE">
      <w:pPr>
        <w:spacing w:before="0"/>
        <w:ind w:left="568" w:hanging="284"/>
        <w:jc w:val="both"/>
        <w:rPr>
          <w:rFonts w:ascii="Calibri" w:eastAsia="Cambria" w:hAnsi="Calibri" w:cs="Times New Roman"/>
          <w:b/>
          <w:sz w:val="20"/>
          <w:szCs w:val="20"/>
        </w:rPr>
      </w:pPr>
      <w:r w:rsidRPr="00EF45AE">
        <w:rPr>
          <w:rFonts w:ascii="Calibri" w:eastAsia="Cambria" w:hAnsi="Calibri" w:cs="Times New Roman"/>
          <w:b/>
          <w:sz w:val="20"/>
          <w:szCs w:val="20"/>
        </w:rPr>
        <w:t>26</w:t>
      </w:r>
      <w:r w:rsidRPr="00EF45AE">
        <w:rPr>
          <w:rFonts w:ascii="Calibri" w:eastAsia="Cambria" w:hAnsi="Calibri" w:cs="Times New Roman"/>
          <w:b/>
          <w:sz w:val="20"/>
          <w:szCs w:val="20"/>
        </w:rPr>
        <w:tab/>
      </w:r>
      <w:r w:rsidRPr="00EF45AE">
        <w:rPr>
          <w:rFonts w:ascii="Calibri" w:eastAsia="Cambria" w:hAnsi="Calibri" w:cs="Times New Roman"/>
          <w:b/>
          <w:sz w:val="20"/>
          <w:szCs w:val="20"/>
        </w:rPr>
        <w:tab/>
        <w:t xml:space="preserve">Reporting obligations </w:t>
      </w:r>
    </w:p>
    <w:p w14:paraId="190BA94B" w14:textId="46F15CE9" w:rsidR="0038455E" w:rsidRPr="00EF45AE" w:rsidRDefault="0038455E" w:rsidP="001B0227">
      <w:pPr>
        <w:pStyle w:val="ListParagraph"/>
        <w:numPr>
          <w:ilvl w:val="0"/>
          <w:numId w:val="60"/>
        </w:numPr>
        <w:spacing w:before="0"/>
        <w:jc w:val="both"/>
        <w:rPr>
          <w:rFonts w:ascii="Calibri" w:eastAsia="Cambria" w:hAnsi="Calibri" w:cs="Times New Roman"/>
          <w:sz w:val="20"/>
          <w:szCs w:val="20"/>
        </w:rPr>
      </w:pPr>
      <w:r w:rsidRPr="00EF45AE">
        <w:rPr>
          <w:rFonts w:ascii="Calibri" w:eastAsia="Cambria" w:hAnsi="Calibri" w:cs="Times New Roman"/>
          <w:b/>
          <w:sz w:val="20"/>
          <w:szCs w:val="20"/>
        </w:rPr>
        <w:t>A person</w:t>
      </w:r>
      <w:r w:rsidRPr="00EF45AE">
        <w:rPr>
          <w:rFonts w:ascii="Calibri" w:eastAsia="Cambria" w:hAnsi="Calibri" w:cs="Times New Roman"/>
          <w:sz w:val="20"/>
          <w:szCs w:val="20"/>
        </w:rPr>
        <w:t xml:space="preserve"> is guilty of an offence if the person: </w:t>
      </w:r>
    </w:p>
    <w:p w14:paraId="6F6A7424" w14:textId="6BED336F" w:rsidR="0038455E" w:rsidRPr="00EF45AE" w:rsidRDefault="0038455E" w:rsidP="001B0227">
      <w:pPr>
        <w:pStyle w:val="ListParagraph"/>
        <w:numPr>
          <w:ilvl w:val="1"/>
          <w:numId w:val="60"/>
        </w:numPr>
        <w:spacing w:before="0"/>
        <w:jc w:val="both"/>
        <w:rPr>
          <w:rFonts w:ascii="Calibri" w:eastAsia="Cambria" w:hAnsi="Calibri" w:cs="Times New Roman"/>
          <w:sz w:val="20"/>
          <w:szCs w:val="20"/>
        </w:rPr>
      </w:pPr>
      <w:r w:rsidRPr="00EF45AE">
        <w:rPr>
          <w:rFonts w:ascii="Calibri" w:eastAsia="Cambria" w:hAnsi="Calibri" w:cs="Times New Roman"/>
          <w:sz w:val="20"/>
          <w:szCs w:val="20"/>
        </w:rPr>
        <w:t xml:space="preserve">believes, on reasonable grounds, </w:t>
      </w:r>
      <w:r w:rsidRPr="00EF45AE">
        <w:rPr>
          <w:rFonts w:ascii="Calibri" w:eastAsia="Cambria" w:hAnsi="Calibri" w:cs="Times New Roman"/>
          <w:sz w:val="20"/>
          <w:szCs w:val="20"/>
          <w:u w:val="single"/>
        </w:rPr>
        <w:t>any of the following</w:t>
      </w:r>
      <w:r w:rsidRPr="00EF45AE">
        <w:rPr>
          <w:rFonts w:ascii="Calibri" w:eastAsia="Cambria" w:hAnsi="Calibri" w:cs="Times New Roman"/>
          <w:sz w:val="20"/>
          <w:szCs w:val="20"/>
        </w:rPr>
        <w:t xml:space="preserve">: </w:t>
      </w:r>
    </w:p>
    <w:p w14:paraId="61F6775F" w14:textId="485B4E9F" w:rsidR="0038455E" w:rsidRPr="00EF45AE" w:rsidRDefault="0038455E" w:rsidP="001B0227">
      <w:pPr>
        <w:pStyle w:val="ListParagraph"/>
        <w:numPr>
          <w:ilvl w:val="0"/>
          <w:numId w:val="61"/>
        </w:numPr>
        <w:spacing w:before="0"/>
        <w:jc w:val="both"/>
        <w:rPr>
          <w:rFonts w:ascii="Calibri" w:eastAsia="Cambria" w:hAnsi="Calibri" w:cs="Times New Roman"/>
          <w:sz w:val="20"/>
          <w:szCs w:val="20"/>
        </w:rPr>
      </w:pPr>
      <w:r w:rsidRPr="00EF45AE">
        <w:rPr>
          <w:rFonts w:ascii="Calibri" w:eastAsia="Cambria" w:hAnsi="Calibri" w:cs="Times New Roman"/>
          <w:sz w:val="20"/>
          <w:szCs w:val="20"/>
        </w:rPr>
        <w:t xml:space="preserve">a child has suffered or is likely to suffer </w:t>
      </w:r>
      <w:r w:rsidRPr="00EF45AE">
        <w:rPr>
          <w:rFonts w:ascii="Calibri" w:eastAsia="Cambria" w:hAnsi="Calibri" w:cs="Times New Roman"/>
          <w:b/>
          <w:sz w:val="20"/>
          <w:szCs w:val="20"/>
        </w:rPr>
        <w:t>harm</w:t>
      </w:r>
      <w:r w:rsidRPr="00EF45AE">
        <w:rPr>
          <w:rFonts w:ascii="Calibri" w:eastAsia="Cambria" w:hAnsi="Calibri" w:cs="Times New Roman"/>
          <w:sz w:val="20"/>
          <w:szCs w:val="20"/>
        </w:rPr>
        <w:t xml:space="preserve"> or </w:t>
      </w:r>
      <w:r w:rsidRPr="00EF45AE">
        <w:rPr>
          <w:rFonts w:ascii="Calibri" w:eastAsia="Cambria" w:hAnsi="Calibri" w:cs="Times New Roman"/>
          <w:b/>
          <w:sz w:val="20"/>
          <w:szCs w:val="20"/>
        </w:rPr>
        <w:t>exploitation</w:t>
      </w:r>
      <w:r w:rsidRPr="00EF45AE">
        <w:rPr>
          <w:rFonts w:ascii="Calibri" w:eastAsia="Cambria" w:hAnsi="Calibri" w:cs="Times New Roman"/>
          <w:sz w:val="20"/>
          <w:szCs w:val="20"/>
        </w:rPr>
        <w:t xml:space="preserve">; </w:t>
      </w:r>
    </w:p>
    <w:p w14:paraId="474E5FBD" w14:textId="68185288" w:rsidR="0038455E" w:rsidRPr="00EF45AE" w:rsidRDefault="0038455E" w:rsidP="001B0227">
      <w:pPr>
        <w:pStyle w:val="ListParagraph"/>
        <w:numPr>
          <w:ilvl w:val="0"/>
          <w:numId w:val="61"/>
        </w:numPr>
        <w:spacing w:before="0"/>
        <w:jc w:val="both"/>
        <w:rPr>
          <w:rFonts w:ascii="Calibri" w:eastAsia="Cambria" w:hAnsi="Calibri" w:cs="Times New Roman"/>
          <w:sz w:val="20"/>
          <w:szCs w:val="20"/>
        </w:rPr>
      </w:pPr>
      <w:r w:rsidRPr="00EF45AE">
        <w:rPr>
          <w:rFonts w:ascii="Calibri" w:eastAsia="Cambria" w:hAnsi="Calibri" w:cs="Times New Roman"/>
          <w:sz w:val="20"/>
          <w:szCs w:val="20"/>
        </w:rPr>
        <w:t xml:space="preserve">a child aged less than 14 years </w:t>
      </w:r>
      <w:r w:rsidRPr="00EF45AE">
        <w:rPr>
          <w:rFonts w:ascii="Calibri" w:eastAsia="Cambria" w:hAnsi="Calibri" w:cs="Times New Roman"/>
          <w:b/>
          <w:sz w:val="20"/>
          <w:szCs w:val="20"/>
        </w:rPr>
        <w:t>has been or is likely to be a victim of a sexual offence</w:t>
      </w:r>
      <w:r w:rsidRPr="00EF45AE">
        <w:rPr>
          <w:rFonts w:ascii="Calibri" w:eastAsia="Cambria" w:hAnsi="Calibri" w:cs="Times New Roman"/>
          <w:sz w:val="20"/>
          <w:szCs w:val="20"/>
        </w:rPr>
        <w:t xml:space="preserve">; </w:t>
      </w:r>
    </w:p>
    <w:p w14:paraId="24BBA28A" w14:textId="7A2BCF17" w:rsidR="0038455E" w:rsidRPr="00EF45AE" w:rsidRDefault="0038455E" w:rsidP="001B0227">
      <w:pPr>
        <w:pStyle w:val="ListParagraph"/>
        <w:numPr>
          <w:ilvl w:val="0"/>
          <w:numId w:val="61"/>
        </w:numPr>
        <w:spacing w:before="0"/>
        <w:jc w:val="both"/>
        <w:rPr>
          <w:rFonts w:ascii="Calibri" w:eastAsia="Cambria" w:hAnsi="Calibri" w:cs="Times New Roman"/>
          <w:sz w:val="20"/>
          <w:szCs w:val="20"/>
        </w:rPr>
      </w:pPr>
      <w:r w:rsidRPr="00EF45AE">
        <w:rPr>
          <w:rFonts w:ascii="Calibri" w:eastAsia="Cambria" w:hAnsi="Calibri" w:cs="Times New Roman"/>
          <w:sz w:val="20"/>
          <w:szCs w:val="20"/>
        </w:rPr>
        <w:t xml:space="preserve">a child has been or is likely to be a victim of an </w:t>
      </w:r>
      <w:r w:rsidRPr="00EF45AE">
        <w:rPr>
          <w:rFonts w:ascii="Calibri" w:eastAsia="Cambria" w:hAnsi="Calibri" w:cs="Times New Roman"/>
          <w:b/>
          <w:sz w:val="20"/>
          <w:szCs w:val="20"/>
        </w:rPr>
        <w:t>offence against section 128</w:t>
      </w:r>
      <w:r w:rsidRPr="00EF45AE">
        <w:rPr>
          <w:rFonts w:ascii="Calibri" w:eastAsia="Cambria" w:hAnsi="Calibri" w:cs="Times New Roman"/>
          <w:sz w:val="20"/>
          <w:szCs w:val="20"/>
        </w:rPr>
        <w:t xml:space="preserve"> of the Criminal Code; and </w:t>
      </w:r>
    </w:p>
    <w:p w14:paraId="6F3A0D10" w14:textId="77777777" w:rsidR="0038455E" w:rsidRDefault="0038455E" w:rsidP="001B0227">
      <w:pPr>
        <w:pStyle w:val="ListParagraph"/>
        <w:numPr>
          <w:ilvl w:val="1"/>
          <w:numId w:val="60"/>
        </w:numPr>
        <w:spacing w:before="0"/>
        <w:rPr>
          <w:rFonts w:ascii="Calibri" w:eastAsia="Cambria" w:hAnsi="Calibri" w:cs="Times New Roman"/>
          <w:sz w:val="20"/>
          <w:szCs w:val="20"/>
        </w:rPr>
      </w:pPr>
      <w:r w:rsidRPr="00EF45AE">
        <w:rPr>
          <w:rFonts w:ascii="Calibri" w:eastAsia="Cambria" w:hAnsi="Calibri" w:cs="Times New Roman"/>
          <w:sz w:val="20"/>
          <w:szCs w:val="20"/>
        </w:rPr>
        <w:t xml:space="preserve">does not, as soon as possible after forming that belief, report (orally or in writing) to the CEO or a police officer: </w:t>
      </w:r>
    </w:p>
    <w:p w14:paraId="3BAB98E3" w14:textId="77777777" w:rsidR="0038455E" w:rsidRDefault="0038455E" w:rsidP="001B0227">
      <w:pPr>
        <w:pStyle w:val="ListParagraph"/>
        <w:numPr>
          <w:ilvl w:val="0"/>
          <w:numId w:val="62"/>
        </w:numPr>
        <w:spacing w:before="0"/>
        <w:rPr>
          <w:rFonts w:ascii="Calibri" w:eastAsia="Cambria" w:hAnsi="Calibri" w:cs="Times New Roman"/>
          <w:sz w:val="20"/>
          <w:szCs w:val="20"/>
        </w:rPr>
      </w:pPr>
      <w:r w:rsidRPr="00B36F91">
        <w:rPr>
          <w:rFonts w:ascii="Calibri" w:eastAsia="Cambria" w:hAnsi="Calibri" w:cs="Times New Roman"/>
          <w:sz w:val="20"/>
          <w:szCs w:val="20"/>
        </w:rPr>
        <w:t xml:space="preserve">that belief; and </w:t>
      </w:r>
    </w:p>
    <w:p w14:paraId="4D57498B" w14:textId="41150E36" w:rsidR="0038455E" w:rsidRPr="00B36F91" w:rsidRDefault="0038455E" w:rsidP="001B0227">
      <w:pPr>
        <w:pStyle w:val="ListParagraph"/>
        <w:numPr>
          <w:ilvl w:val="0"/>
          <w:numId w:val="62"/>
        </w:numPr>
        <w:spacing w:before="0"/>
        <w:rPr>
          <w:rFonts w:ascii="Calibri" w:eastAsia="Cambria" w:hAnsi="Calibri" w:cs="Times New Roman"/>
          <w:sz w:val="20"/>
          <w:szCs w:val="20"/>
        </w:rPr>
      </w:pPr>
      <w:r w:rsidRPr="00B36F91">
        <w:rPr>
          <w:rFonts w:ascii="Calibri" w:eastAsia="Cambria" w:hAnsi="Calibri" w:cs="Times New Roman"/>
          <w:sz w:val="20"/>
          <w:szCs w:val="20"/>
        </w:rPr>
        <w:t xml:space="preserve">(ii) any knowledge of the person forming the grounds for that belief; and </w:t>
      </w:r>
    </w:p>
    <w:p w14:paraId="307C801E" w14:textId="77777777" w:rsidR="0038455E" w:rsidRDefault="0038455E" w:rsidP="001B0227">
      <w:pPr>
        <w:pStyle w:val="ListParagraph"/>
        <w:numPr>
          <w:ilvl w:val="0"/>
          <w:numId w:val="62"/>
        </w:numPr>
        <w:spacing w:before="0"/>
        <w:jc w:val="both"/>
        <w:rPr>
          <w:rFonts w:ascii="Calibri" w:eastAsia="Cambria" w:hAnsi="Calibri" w:cs="Times New Roman"/>
          <w:sz w:val="20"/>
          <w:szCs w:val="20"/>
        </w:rPr>
      </w:pPr>
      <w:proofErr w:type="gramStart"/>
      <w:r w:rsidRPr="00B36F91">
        <w:rPr>
          <w:rFonts w:ascii="Calibri" w:eastAsia="Cambria" w:hAnsi="Calibri" w:cs="Times New Roman"/>
          <w:sz w:val="20"/>
          <w:szCs w:val="20"/>
        </w:rPr>
        <w:t>any</w:t>
      </w:r>
      <w:proofErr w:type="gramEnd"/>
      <w:r w:rsidRPr="00B36F91">
        <w:rPr>
          <w:rFonts w:ascii="Calibri" w:eastAsia="Cambria" w:hAnsi="Calibri" w:cs="Times New Roman"/>
          <w:sz w:val="20"/>
          <w:szCs w:val="20"/>
        </w:rPr>
        <w:t xml:space="preserve"> factual circumstances on which that knowledge is based. </w:t>
      </w:r>
    </w:p>
    <w:p w14:paraId="1AE17606" w14:textId="334BDCB6" w:rsidR="0038455E" w:rsidRPr="00B36F91" w:rsidRDefault="0038455E" w:rsidP="00B36F91">
      <w:pPr>
        <w:pStyle w:val="ListParagraph"/>
        <w:spacing w:before="0"/>
        <w:ind w:left="360"/>
        <w:jc w:val="both"/>
        <w:rPr>
          <w:rFonts w:ascii="Calibri" w:eastAsia="Cambria" w:hAnsi="Calibri" w:cs="Times New Roman"/>
          <w:sz w:val="20"/>
          <w:szCs w:val="20"/>
        </w:rPr>
      </w:pPr>
      <w:r w:rsidRPr="00B36F91">
        <w:rPr>
          <w:rFonts w:ascii="Calibri" w:eastAsia="Cambria" w:hAnsi="Calibri" w:cs="Times New Roman"/>
          <w:sz w:val="20"/>
          <w:szCs w:val="20"/>
        </w:rPr>
        <w:t xml:space="preserve">Maximum penalty: 200 penalty units. </w:t>
      </w:r>
    </w:p>
    <w:p w14:paraId="56798B5C" w14:textId="3AEDC932" w:rsidR="0038455E" w:rsidRPr="00EF45AE" w:rsidRDefault="0038455E" w:rsidP="001B0227">
      <w:pPr>
        <w:pStyle w:val="ListParagraph"/>
        <w:numPr>
          <w:ilvl w:val="0"/>
          <w:numId w:val="60"/>
        </w:numPr>
        <w:spacing w:before="0"/>
        <w:jc w:val="both"/>
        <w:rPr>
          <w:rFonts w:ascii="Calibri" w:eastAsia="Cambria" w:hAnsi="Calibri" w:cs="Times New Roman"/>
          <w:sz w:val="20"/>
          <w:szCs w:val="20"/>
        </w:rPr>
      </w:pPr>
      <w:r w:rsidRPr="00EF45AE">
        <w:rPr>
          <w:rFonts w:ascii="Calibri" w:eastAsia="Cambria" w:hAnsi="Calibri" w:cs="Times New Roman"/>
          <w:sz w:val="20"/>
          <w:szCs w:val="20"/>
        </w:rPr>
        <w:t xml:space="preserve">A person is guilty of an offence if the person: </w:t>
      </w:r>
    </w:p>
    <w:p w14:paraId="0FE437B2" w14:textId="7CAA282B" w:rsidR="0038455E" w:rsidRPr="00EF45AE" w:rsidRDefault="0038455E" w:rsidP="001B0227">
      <w:pPr>
        <w:pStyle w:val="ListParagraph"/>
        <w:numPr>
          <w:ilvl w:val="1"/>
          <w:numId w:val="60"/>
        </w:numPr>
        <w:spacing w:before="0"/>
        <w:jc w:val="both"/>
        <w:rPr>
          <w:rFonts w:ascii="Calibri" w:eastAsia="Cambria" w:hAnsi="Calibri" w:cs="Times New Roman"/>
          <w:sz w:val="20"/>
          <w:szCs w:val="20"/>
        </w:rPr>
      </w:pPr>
      <w:r w:rsidRPr="00EF45AE">
        <w:rPr>
          <w:rFonts w:ascii="Calibri" w:eastAsia="Cambria" w:hAnsi="Calibri" w:cs="Times New Roman"/>
          <w:sz w:val="20"/>
          <w:szCs w:val="20"/>
        </w:rPr>
        <w:t xml:space="preserve">is a </w:t>
      </w:r>
      <w:r w:rsidRPr="00EF45AE">
        <w:rPr>
          <w:rFonts w:ascii="Calibri" w:eastAsia="Cambria" w:hAnsi="Calibri" w:cs="Times New Roman"/>
          <w:b/>
          <w:sz w:val="20"/>
          <w:szCs w:val="20"/>
        </w:rPr>
        <w:t>health practitioner</w:t>
      </w:r>
      <w:r w:rsidRPr="00EF45AE">
        <w:rPr>
          <w:rFonts w:ascii="Calibri" w:eastAsia="Cambria" w:hAnsi="Calibri" w:cs="Times New Roman"/>
          <w:sz w:val="20"/>
          <w:szCs w:val="20"/>
        </w:rPr>
        <w:t xml:space="preserve"> or someone who performs work of a kind that is prescribed by regulation; and </w:t>
      </w:r>
    </w:p>
    <w:p w14:paraId="22A8BB13" w14:textId="5320FF61" w:rsidR="0038455E" w:rsidRPr="00B36F91" w:rsidRDefault="0038455E" w:rsidP="001B0227">
      <w:pPr>
        <w:pStyle w:val="FootnoteText"/>
        <w:numPr>
          <w:ilvl w:val="1"/>
          <w:numId w:val="60"/>
        </w:numPr>
        <w:spacing w:before="0"/>
        <w:rPr>
          <w:rFonts w:asciiTheme="minorHAnsi" w:hAnsiTheme="minorHAnsi"/>
        </w:rPr>
      </w:pPr>
      <w:r w:rsidRPr="00EF45AE">
        <w:rPr>
          <w:rFonts w:ascii="Calibri" w:eastAsia="MS Mincho" w:hAnsi="Calibri" w:cs="Times New Roman"/>
          <w:lang w:val="en-US"/>
        </w:rPr>
        <w:t xml:space="preserve">believes, on reasonable grounds: </w:t>
      </w:r>
      <w:r>
        <w:rPr>
          <w:rFonts w:ascii="Calibri" w:eastAsia="MS Mincho" w:hAnsi="Calibri" w:cs="Times New Roman"/>
          <w:lang w:val="en-US"/>
        </w:rPr>
        <w:br/>
      </w:r>
      <w:r w:rsidRPr="00EF45AE">
        <w:rPr>
          <w:rFonts w:ascii="Calibri" w:eastAsia="MS Mincho" w:hAnsi="Calibri" w:cs="Times New Roman"/>
          <w:lang w:val="en-US"/>
        </w:rPr>
        <w:t>(</w:t>
      </w:r>
      <w:proofErr w:type="spellStart"/>
      <w:r w:rsidRPr="00EF45AE">
        <w:rPr>
          <w:rFonts w:ascii="Calibri" w:eastAsia="MS Mincho" w:hAnsi="Calibri" w:cs="Times New Roman"/>
          <w:lang w:val="en-US"/>
        </w:rPr>
        <w:t>i</w:t>
      </w:r>
      <w:proofErr w:type="spellEnd"/>
      <w:r w:rsidRPr="00EF45AE">
        <w:rPr>
          <w:rFonts w:ascii="Calibri" w:eastAsia="MS Mincho" w:hAnsi="Calibri" w:cs="Times New Roman"/>
          <w:lang w:val="en-US"/>
        </w:rPr>
        <w:t xml:space="preserve">) that a child aged at least 14 years (but less than 16 years) </w:t>
      </w:r>
      <w:r w:rsidRPr="00EF45AE">
        <w:rPr>
          <w:rFonts w:ascii="Calibri" w:eastAsia="MS Mincho" w:hAnsi="Calibri" w:cs="Times New Roman"/>
          <w:b/>
          <w:lang w:val="en-US"/>
        </w:rPr>
        <w:t>has been or is likely to be a victim of a sexual offence</w:t>
      </w:r>
      <w:r w:rsidRPr="00EF45AE">
        <w:rPr>
          <w:rFonts w:ascii="Calibri" w:eastAsia="MS Mincho" w:hAnsi="Calibri" w:cs="Times New Roman"/>
          <w:lang w:val="en-US"/>
        </w:rPr>
        <w:t xml:space="preserve">; and  </w:t>
      </w:r>
      <w:r>
        <w:rPr>
          <w:rFonts w:ascii="Calibri" w:eastAsia="MS Mincho" w:hAnsi="Calibri" w:cs="Times New Roman"/>
          <w:lang w:val="en-US"/>
        </w:rPr>
        <w:br/>
      </w:r>
      <w:r w:rsidRPr="00EF45AE">
        <w:rPr>
          <w:rFonts w:ascii="Calibri" w:eastAsia="MS Mincho" w:hAnsi="Calibri" w:cs="Times New Roman"/>
          <w:lang w:val="en-US"/>
        </w:rPr>
        <w:t xml:space="preserve">(ii) that the </w:t>
      </w:r>
      <w:r w:rsidRPr="00EF45AE">
        <w:rPr>
          <w:rFonts w:ascii="Calibri" w:eastAsia="MS Mincho" w:hAnsi="Calibri" w:cs="Times New Roman"/>
          <w:b/>
          <w:lang w:val="en-US"/>
        </w:rPr>
        <w:t>difference in age between the child and alleged sexual offender is more than 2 years</w:t>
      </w:r>
      <w:r w:rsidRPr="00EF45AE">
        <w:rPr>
          <w:rFonts w:ascii="Calibri" w:eastAsia="MS Mincho" w:hAnsi="Calibri" w:cs="Times New Roman"/>
          <w:lang w:val="en-US"/>
        </w:rPr>
        <w:t>; and</w:t>
      </w:r>
    </w:p>
    <w:p w14:paraId="33F206C1" w14:textId="77777777" w:rsidR="0038455E" w:rsidRPr="0091014F" w:rsidRDefault="0038455E" w:rsidP="001B0227">
      <w:pPr>
        <w:pStyle w:val="FootnoteText"/>
        <w:numPr>
          <w:ilvl w:val="1"/>
          <w:numId w:val="60"/>
        </w:numPr>
        <w:spacing w:before="0"/>
        <w:rPr>
          <w:rFonts w:asciiTheme="minorHAnsi" w:hAnsiTheme="minorHAnsi"/>
        </w:rPr>
      </w:pPr>
      <w:r w:rsidRPr="00EF45AE">
        <w:rPr>
          <w:rFonts w:ascii="Calibri" w:eastAsia="MS Mincho" w:hAnsi="Calibri" w:cs="Times New Roman"/>
          <w:lang w:val="en-US"/>
        </w:rPr>
        <w:t xml:space="preserve">does not, as soon as possible after forming that belief, report (orally or in writing) to the CEO or a police officer: </w:t>
      </w:r>
    </w:p>
    <w:p w14:paraId="1C759BCF" w14:textId="4A20D25F" w:rsidR="0038455E" w:rsidRDefault="0038455E" w:rsidP="00203976">
      <w:pPr>
        <w:pStyle w:val="FootnoteText"/>
        <w:numPr>
          <w:ilvl w:val="0"/>
          <w:numId w:val="63"/>
        </w:numPr>
        <w:spacing w:before="0"/>
        <w:ind w:left="1350" w:hanging="270"/>
        <w:rPr>
          <w:rFonts w:ascii="Calibri" w:eastAsia="MS Mincho" w:hAnsi="Calibri" w:cs="Times New Roman"/>
          <w:lang w:val="en-US"/>
        </w:rPr>
      </w:pPr>
      <w:r w:rsidRPr="00EF45AE">
        <w:rPr>
          <w:rFonts w:ascii="Calibri" w:eastAsia="MS Mincho" w:hAnsi="Calibri" w:cs="Times New Roman"/>
          <w:lang w:val="en-US"/>
        </w:rPr>
        <w:t xml:space="preserve">that belief; and </w:t>
      </w:r>
    </w:p>
    <w:p w14:paraId="472C9225" w14:textId="77777777" w:rsidR="0038455E" w:rsidRPr="0091014F" w:rsidRDefault="0038455E" w:rsidP="001B0227">
      <w:pPr>
        <w:pStyle w:val="FootnoteText"/>
        <w:numPr>
          <w:ilvl w:val="0"/>
          <w:numId w:val="63"/>
        </w:numPr>
        <w:rPr>
          <w:rFonts w:asciiTheme="minorHAnsi" w:hAnsiTheme="minorHAnsi"/>
        </w:rPr>
      </w:pPr>
      <w:r w:rsidRPr="00EF45AE">
        <w:rPr>
          <w:rFonts w:ascii="Calibri" w:eastAsia="MS Mincho" w:hAnsi="Calibri" w:cs="Times New Roman"/>
          <w:lang w:val="en-US"/>
        </w:rPr>
        <w:t>any knowledge of the person forming the grounds for that belief; and</w:t>
      </w:r>
    </w:p>
    <w:p w14:paraId="2FE5C838" w14:textId="65280AB8" w:rsidR="0038455E" w:rsidRPr="00EF45AE" w:rsidRDefault="0038455E" w:rsidP="001B0227">
      <w:pPr>
        <w:pStyle w:val="FootnoteText"/>
        <w:numPr>
          <w:ilvl w:val="0"/>
          <w:numId w:val="63"/>
        </w:numPr>
        <w:rPr>
          <w:rFonts w:asciiTheme="minorHAnsi" w:hAnsiTheme="minorHAnsi"/>
        </w:rPr>
      </w:pPr>
      <w:proofErr w:type="gramStart"/>
      <w:r w:rsidRPr="00EF45AE">
        <w:rPr>
          <w:rFonts w:ascii="Calibri" w:eastAsia="MS Mincho" w:hAnsi="Calibri" w:cs="Times New Roman"/>
          <w:lang w:val="en-US"/>
        </w:rPr>
        <w:t>any</w:t>
      </w:r>
      <w:proofErr w:type="gramEnd"/>
      <w:r w:rsidRPr="00EF45AE">
        <w:rPr>
          <w:rFonts w:ascii="Calibri" w:eastAsia="MS Mincho" w:hAnsi="Calibri" w:cs="Times New Roman"/>
          <w:lang w:val="en-US"/>
        </w:rPr>
        <w:t xml:space="preserve"> factual circumstances on which that knowledge is based. Maximum penalty: 200 penalty units.</w:t>
      </w:r>
    </w:p>
  </w:footnote>
  <w:footnote w:id="24">
    <w:p w14:paraId="1D3EE570" w14:textId="77777777" w:rsidR="0038455E" w:rsidRPr="001A4ED6" w:rsidRDefault="0038455E" w:rsidP="00F312E3">
      <w:pPr>
        <w:pStyle w:val="FootnoteText"/>
      </w:pPr>
      <w:r w:rsidRPr="001A4ED6">
        <w:rPr>
          <w:rStyle w:val="FootnoteReference"/>
        </w:rPr>
        <w:footnoteRef/>
      </w:r>
      <w:r w:rsidRPr="001A4ED6">
        <w:t xml:space="preserve"> </w:t>
      </w:r>
      <w:r>
        <w:tab/>
      </w:r>
      <w:r w:rsidRPr="00EF45AE">
        <w:rPr>
          <w:rFonts w:asciiTheme="minorHAnsi" w:hAnsiTheme="minorHAnsi"/>
        </w:rPr>
        <w:t>For the definition of ‘sexual offence’, see the Sexual Offences (Evidence and Procedure) Act s 3.</w:t>
      </w:r>
    </w:p>
  </w:footnote>
  <w:footnote w:id="25">
    <w:p w14:paraId="10F4AC0B" w14:textId="493C6EF7" w:rsidR="0038455E" w:rsidRPr="00342FC2" w:rsidRDefault="0038455E" w:rsidP="00F312E3">
      <w:pPr>
        <w:pStyle w:val="FootnoteText"/>
        <w:rPr>
          <w:rFonts w:asciiTheme="minorHAnsi" w:hAnsiTheme="minorHAnsi"/>
        </w:rPr>
      </w:pPr>
      <w:r w:rsidRPr="00342FC2">
        <w:rPr>
          <w:rStyle w:val="FootnoteReference"/>
          <w:rFonts w:asciiTheme="minorHAnsi" w:hAnsiTheme="minorHAnsi"/>
        </w:rPr>
        <w:footnoteRef/>
      </w:r>
      <w:r w:rsidRPr="00342FC2">
        <w:rPr>
          <w:rFonts w:asciiTheme="minorHAnsi" w:hAnsiTheme="minorHAnsi"/>
        </w:rPr>
        <w:t xml:space="preserve"> This provision </w:t>
      </w:r>
      <w:proofErr w:type="gramStart"/>
      <w:r w:rsidRPr="00342FC2">
        <w:rPr>
          <w:rFonts w:asciiTheme="minorHAnsi" w:hAnsiTheme="minorHAnsi"/>
        </w:rPr>
        <w:t>was inserted</w:t>
      </w:r>
      <w:proofErr w:type="gramEnd"/>
      <w:r w:rsidRPr="00342FC2">
        <w:rPr>
          <w:rFonts w:asciiTheme="minorHAnsi" w:hAnsiTheme="minorHAnsi"/>
        </w:rPr>
        <w:t xml:space="preserve"> in 1978 by Act No 65 s 9 but was never proclaimed into force. It </w:t>
      </w:r>
      <w:proofErr w:type="gramStart"/>
      <w:r w:rsidRPr="00342FC2">
        <w:rPr>
          <w:rFonts w:asciiTheme="minorHAnsi" w:hAnsiTheme="minorHAnsi"/>
        </w:rPr>
        <w:t>was omitted</w:t>
      </w:r>
      <w:proofErr w:type="gramEnd"/>
      <w:r w:rsidRPr="00342FC2">
        <w:rPr>
          <w:rFonts w:asciiTheme="minorHAnsi" w:hAnsiTheme="minorHAnsi"/>
        </w:rPr>
        <w:t xml:space="preserve"> in 1980 by Act No 26 s 3. It was then inserted in 1980 by the </w:t>
      </w:r>
      <w:r w:rsidRPr="00342FC2">
        <w:rPr>
          <w:rFonts w:asciiTheme="minorHAnsi" w:hAnsiTheme="minorHAnsi"/>
          <w:i/>
        </w:rPr>
        <w:t>Health Act Amendment Act (No 26)</w:t>
      </w:r>
      <w:r w:rsidRPr="00342FC2">
        <w:rPr>
          <w:rFonts w:asciiTheme="minorHAnsi" w:hAnsiTheme="minorHAnsi"/>
        </w:rPr>
        <w:t xml:space="preserve"> s 4 (commenced 14 June 1980); and was (not substantially) amended in 1995 by Act No 57 s 4 </w:t>
      </w:r>
      <w:proofErr w:type="spellStart"/>
      <w:r w:rsidRPr="00342FC2">
        <w:rPr>
          <w:rFonts w:asciiTheme="minorHAnsi" w:hAnsiTheme="minorHAnsi"/>
        </w:rPr>
        <w:t>sch</w:t>
      </w:r>
      <w:proofErr w:type="spellEnd"/>
      <w:r w:rsidRPr="00342FC2">
        <w:rPr>
          <w:rFonts w:asciiTheme="minorHAnsi" w:hAnsiTheme="minorHAnsi"/>
        </w:rPr>
        <w:t xml:space="preserve"> 1; and by Act No 58 s 4 </w:t>
      </w:r>
      <w:proofErr w:type="spellStart"/>
      <w:r w:rsidRPr="00342FC2">
        <w:rPr>
          <w:rFonts w:asciiTheme="minorHAnsi" w:hAnsiTheme="minorHAnsi"/>
        </w:rPr>
        <w:t>sch</w:t>
      </w:r>
      <w:proofErr w:type="spellEnd"/>
      <w:r w:rsidRPr="00342FC2">
        <w:rPr>
          <w:rFonts w:asciiTheme="minorHAnsi" w:hAnsiTheme="minorHAnsi"/>
        </w:rPr>
        <w:t xml:space="preserve"> 2; and in 1998 by Act No 41 s 14(1) </w:t>
      </w:r>
      <w:proofErr w:type="spellStart"/>
      <w:r w:rsidRPr="00342FC2">
        <w:rPr>
          <w:rFonts w:asciiTheme="minorHAnsi" w:hAnsiTheme="minorHAnsi"/>
        </w:rPr>
        <w:t>sch</w:t>
      </w:r>
      <w:proofErr w:type="spellEnd"/>
      <w:r w:rsidRPr="00342FC2">
        <w:rPr>
          <w:rFonts w:asciiTheme="minorHAnsi" w:hAnsiTheme="minorHAnsi"/>
        </w:rPr>
        <w:t xml:space="preserve"> 1.</w:t>
      </w:r>
    </w:p>
  </w:footnote>
  <w:footnote w:id="26">
    <w:p w14:paraId="1578D7DF" w14:textId="605EF585" w:rsidR="0038455E" w:rsidRPr="00342FC2" w:rsidRDefault="0038455E" w:rsidP="00F312E3">
      <w:pPr>
        <w:pStyle w:val="FootnoteText"/>
        <w:rPr>
          <w:rFonts w:asciiTheme="minorHAnsi" w:hAnsiTheme="minorHAnsi"/>
        </w:rPr>
      </w:pPr>
      <w:r w:rsidRPr="00342FC2">
        <w:rPr>
          <w:rStyle w:val="FootnoteReference"/>
          <w:rFonts w:asciiTheme="minorHAnsi" w:hAnsiTheme="minorHAnsi"/>
        </w:rPr>
        <w:footnoteRef/>
      </w:r>
      <w:r w:rsidRPr="00342FC2">
        <w:rPr>
          <w:rFonts w:asciiTheme="minorHAnsi" w:hAnsiTheme="minorHAnsi"/>
        </w:rPr>
        <w:t xml:space="preserve"> This Act commenced on 31 August 2005 (2005 SL No. 62).</w:t>
      </w:r>
    </w:p>
  </w:footnote>
  <w:footnote w:id="27">
    <w:p w14:paraId="57FE507D" w14:textId="35FDD9DE" w:rsidR="0038455E" w:rsidRPr="00342FC2" w:rsidRDefault="0038455E" w:rsidP="00F312E3">
      <w:pPr>
        <w:pStyle w:val="FootnoteText"/>
        <w:rPr>
          <w:rFonts w:asciiTheme="minorHAnsi" w:hAnsiTheme="minorHAnsi"/>
        </w:rPr>
      </w:pPr>
      <w:r w:rsidRPr="00342FC2">
        <w:rPr>
          <w:rStyle w:val="FootnoteReference"/>
          <w:rFonts w:asciiTheme="minorHAnsi" w:hAnsiTheme="minorHAnsi"/>
        </w:rPr>
        <w:footnoteRef/>
      </w:r>
      <w:r w:rsidRPr="00342FC2">
        <w:rPr>
          <w:rFonts w:asciiTheme="minorHAnsi" w:hAnsiTheme="minorHAnsi"/>
        </w:rPr>
        <w:t xml:space="preserve"> Context of the change: The Child Safety Legislation Amendment Bill 2004 (Qld) (No 2) pursuant to recommendation 6.13 of the Crime and Misconduct Commission 2004 report into sexual abuse of children in Queensland foster care, sought to amend the Health Act by extending the obligation imposed on medical practitioners to nurses.</w:t>
      </w:r>
    </w:p>
    <w:p w14:paraId="5262BA61" w14:textId="77777777" w:rsidR="0038455E" w:rsidRPr="001A4ED6" w:rsidRDefault="0038455E" w:rsidP="00F312E3">
      <w:pPr>
        <w:pStyle w:val="FootnoteText"/>
      </w:pPr>
    </w:p>
  </w:footnote>
  <w:footnote w:id="28">
    <w:p w14:paraId="3094F574" w14:textId="77777777" w:rsidR="0038455E" w:rsidRPr="001A4ED6" w:rsidRDefault="0038455E" w:rsidP="00F312E3">
      <w:pPr>
        <w:rPr>
          <w:sz w:val="20"/>
          <w:szCs w:val="20"/>
        </w:rPr>
      </w:pPr>
      <w:r w:rsidRPr="001A4ED6">
        <w:rPr>
          <w:rStyle w:val="FootnoteReference"/>
          <w:sz w:val="20"/>
          <w:szCs w:val="20"/>
        </w:rPr>
        <w:footnoteRef/>
      </w:r>
      <w:r w:rsidRPr="001A4ED6">
        <w:rPr>
          <w:sz w:val="20"/>
          <w:szCs w:val="20"/>
        </w:rPr>
        <w:t xml:space="preserve"> The </w:t>
      </w:r>
      <w:r w:rsidRPr="001A4ED6">
        <w:rPr>
          <w:i/>
          <w:sz w:val="20"/>
          <w:szCs w:val="20"/>
        </w:rPr>
        <w:t>Health Act 1937</w:t>
      </w:r>
      <w:r w:rsidRPr="001A4ED6">
        <w:rPr>
          <w:sz w:val="20"/>
          <w:szCs w:val="20"/>
        </w:rPr>
        <w:t xml:space="preserve"> (Qld) was amended by the </w:t>
      </w:r>
      <w:r w:rsidRPr="001A4ED6">
        <w:rPr>
          <w:i/>
          <w:sz w:val="20"/>
          <w:szCs w:val="20"/>
        </w:rPr>
        <w:t>Child Safety Legislation Amendment Act (No 2) 2004</w:t>
      </w:r>
      <w:r w:rsidRPr="001A4ED6">
        <w:rPr>
          <w:sz w:val="20"/>
          <w:szCs w:val="20"/>
        </w:rPr>
        <w:t xml:space="preserve"> (Qld), with the relevant amending provisions in Pt 8 of that statute commencing on 31 August 2005 (SL 2005 No 62). The provisions in the </w:t>
      </w:r>
      <w:r w:rsidRPr="001A4ED6">
        <w:rPr>
          <w:i/>
          <w:sz w:val="20"/>
          <w:szCs w:val="20"/>
        </w:rPr>
        <w:t>Health Act 1937</w:t>
      </w:r>
      <w:r w:rsidRPr="001A4ED6">
        <w:rPr>
          <w:sz w:val="20"/>
          <w:szCs w:val="20"/>
        </w:rPr>
        <w:t xml:space="preserve"> </w:t>
      </w:r>
      <w:proofErr w:type="gramStart"/>
      <w:r w:rsidRPr="001A4ED6">
        <w:rPr>
          <w:sz w:val="20"/>
          <w:szCs w:val="20"/>
        </w:rPr>
        <w:t xml:space="preserve">were later omitted and inserted into the </w:t>
      </w:r>
      <w:r w:rsidRPr="001A4ED6">
        <w:rPr>
          <w:i/>
          <w:sz w:val="20"/>
          <w:szCs w:val="20"/>
        </w:rPr>
        <w:t>Public Health Act 2005</w:t>
      </w:r>
      <w:r w:rsidRPr="001A4ED6">
        <w:rPr>
          <w:sz w:val="20"/>
          <w:szCs w:val="20"/>
        </w:rPr>
        <w:t xml:space="preserve"> (Qld), operational on 1 March 2006</w:t>
      </w:r>
      <w:proofErr w:type="gramEnd"/>
      <w:r w:rsidRPr="001A4ED6">
        <w:rPr>
          <w:sz w:val="20"/>
          <w:szCs w:val="20"/>
        </w:rPr>
        <w:t>.</w:t>
      </w:r>
    </w:p>
  </w:footnote>
  <w:footnote w:id="29">
    <w:p w14:paraId="5D99314A" w14:textId="495DF0C7" w:rsidR="0038455E" w:rsidRPr="00342FC2" w:rsidRDefault="0038455E" w:rsidP="00F312E3">
      <w:pPr>
        <w:pStyle w:val="FootnoteText"/>
        <w:rPr>
          <w:rFonts w:asciiTheme="minorHAnsi" w:hAnsiTheme="minorHAnsi"/>
        </w:rPr>
      </w:pPr>
      <w:r w:rsidRPr="00342FC2">
        <w:rPr>
          <w:rStyle w:val="FootnoteReference"/>
          <w:rFonts w:asciiTheme="minorHAnsi" w:hAnsiTheme="minorHAnsi"/>
        </w:rPr>
        <w:footnoteRef/>
      </w:r>
      <w:r w:rsidRPr="00342FC2">
        <w:rPr>
          <w:rFonts w:asciiTheme="minorHAnsi" w:hAnsiTheme="minorHAnsi"/>
        </w:rPr>
        <w:t xml:space="preserve"> There is no clear legislative obligation to report suspected abuse or likely abuse/neglect or harm to an unborn child.  The CPA s 21A and s 22 enables such reports and s 22 provides protections to those who make such reports.</w:t>
      </w:r>
    </w:p>
  </w:footnote>
  <w:footnote w:id="30">
    <w:p w14:paraId="5904CF07" w14:textId="33EAE01B" w:rsidR="0038455E" w:rsidRPr="00342FC2" w:rsidRDefault="0038455E" w:rsidP="00F312E3">
      <w:pPr>
        <w:pStyle w:val="FootnoteText"/>
        <w:rPr>
          <w:rFonts w:asciiTheme="minorHAnsi" w:hAnsiTheme="minorHAnsi"/>
        </w:rPr>
      </w:pPr>
      <w:r w:rsidRPr="00342FC2">
        <w:rPr>
          <w:rStyle w:val="FootnoteReference"/>
          <w:rFonts w:asciiTheme="minorHAnsi" w:hAnsiTheme="minorHAnsi"/>
        </w:rPr>
        <w:footnoteRef/>
      </w:r>
      <w:r w:rsidRPr="00342FC2">
        <w:rPr>
          <w:rFonts w:asciiTheme="minorHAnsi" w:hAnsiTheme="minorHAnsi"/>
        </w:rPr>
        <w:t xml:space="preserve"> This Act </w:t>
      </w:r>
      <w:proofErr w:type="gramStart"/>
      <w:r w:rsidRPr="00342FC2">
        <w:rPr>
          <w:rFonts w:asciiTheme="minorHAnsi" w:hAnsiTheme="minorHAnsi"/>
        </w:rPr>
        <w:t>was passed</w:t>
      </w:r>
      <w:proofErr w:type="gramEnd"/>
      <w:r w:rsidRPr="00342FC2">
        <w:rPr>
          <w:rFonts w:asciiTheme="minorHAnsi" w:hAnsiTheme="minorHAnsi"/>
        </w:rPr>
        <w:t xml:space="preserve"> on 18 November 2003, but the provisions relevant here (in Part 4 of the amending Act) commenced on 19 April 2004. Under </w:t>
      </w:r>
      <w:proofErr w:type="spellStart"/>
      <w:r w:rsidRPr="00342FC2">
        <w:rPr>
          <w:rFonts w:asciiTheme="minorHAnsi" w:hAnsiTheme="minorHAnsi"/>
        </w:rPr>
        <w:t>ss</w:t>
      </w:r>
      <w:proofErr w:type="spellEnd"/>
      <w:r w:rsidRPr="00342FC2">
        <w:rPr>
          <w:rFonts w:asciiTheme="minorHAnsi" w:hAnsiTheme="minorHAnsi"/>
        </w:rPr>
        <w:t xml:space="preserve"> 365 and 366 (after </w:t>
      </w:r>
      <w:proofErr w:type="spellStart"/>
      <w:r w:rsidRPr="00342FC2">
        <w:rPr>
          <w:rFonts w:asciiTheme="minorHAnsi" w:hAnsiTheme="minorHAnsi"/>
        </w:rPr>
        <w:t>amt</w:t>
      </w:r>
      <w:proofErr w:type="spellEnd"/>
      <w:r w:rsidRPr="00342FC2">
        <w:rPr>
          <w:rFonts w:asciiTheme="minorHAnsi" w:hAnsiTheme="minorHAnsi"/>
        </w:rPr>
        <w:t xml:space="preserve"> from 146A and 146B, the teacher made the report to the principal; the principal was then required to report to the CE’s nominee; the nominee was then required to report to the </w:t>
      </w:r>
      <w:proofErr w:type="gramStart"/>
      <w:r w:rsidRPr="00342FC2">
        <w:rPr>
          <w:rFonts w:asciiTheme="minorHAnsi" w:hAnsiTheme="minorHAnsi"/>
        </w:rPr>
        <w:t>police:</w:t>
      </w:r>
      <w:proofErr w:type="gramEnd"/>
      <w:r w:rsidRPr="00342FC2">
        <w:rPr>
          <w:rFonts w:asciiTheme="minorHAnsi" w:hAnsiTheme="minorHAnsi"/>
        </w:rPr>
        <w:t xml:space="preserve"> overall, a series of four steps in the reporting chain (s 146A). For non-State schools, there were only three steps (teacher – principal or director of school’s governing body – police): s 146B.</w:t>
      </w:r>
    </w:p>
  </w:footnote>
  <w:footnote w:id="31">
    <w:p w14:paraId="28873602" w14:textId="54A42F2B" w:rsidR="0038455E" w:rsidRPr="00342FC2" w:rsidRDefault="0038455E" w:rsidP="00F312E3">
      <w:pPr>
        <w:pStyle w:val="FootnoteText"/>
        <w:rPr>
          <w:rFonts w:asciiTheme="minorHAnsi" w:hAnsiTheme="minorHAnsi"/>
        </w:rPr>
      </w:pPr>
      <w:r w:rsidRPr="00342FC2">
        <w:rPr>
          <w:rStyle w:val="FootnoteReference"/>
          <w:rFonts w:asciiTheme="minorHAnsi" w:hAnsiTheme="minorHAnsi"/>
        </w:rPr>
        <w:footnoteRef/>
      </w:r>
      <w:r w:rsidRPr="00342FC2">
        <w:rPr>
          <w:rFonts w:asciiTheme="minorHAnsi" w:hAnsiTheme="minorHAnsi"/>
          <w:b/>
          <w:i/>
        </w:rPr>
        <w:t xml:space="preserve"> </w:t>
      </w:r>
      <w:proofErr w:type="gramStart"/>
      <w:r w:rsidRPr="00342FC2">
        <w:rPr>
          <w:rFonts w:asciiTheme="minorHAnsi" w:hAnsiTheme="minorHAnsi"/>
        </w:rPr>
        <w:t>The new 2004 obligation was motivated by the findings of the 2003 Report Of The Board Of Inquiry Into Past Handling Of Complaints Of Sexual Abuse In The Anglican Church Diocese Of Brisbane (O’Callaghan and Briggs, 2003), and in substance was primarily directed at managing educational authorities’ legal liability in cases of sexual abuse of students by school staff, rather than being concerned with a broader child protection agenda.</w:t>
      </w:r>
      <w:proofErr w:type="gramEnd"/>
      <w:r w:rsidRPr="00342FC2">
        <w:rPr>
          <w:rFonts w:asciiTheme="minorHAnsi" w:hAnsiTheme="minorHAnsi"/>
        </w:rPr>
        <w:t xml:space="preserve"> The explanatory notes to the Education and Other Legislation (Student Protection) Amendment Bill 2003 state that the object of these provisions is to ensure there is an appropriate response to complaints of sexual abuse of </w:t>
      </w:r>
      <w:proofErr w:type="gramStart"/>
      <w:r w:rsidRPr="00342FC2">
        <w:rPr>
          <w:rFonts w:asciiTheme="minorHAnsi" w:hAnsiTheme="minorHAnsi"/>
        </w:rPr>
        <w:t>school children</w:t>
      </w:r>
      <w:proofErr w:type="gramEnd"/>
      <w:r w:rsidRPr="00342FC2">
        <w:rPr>
          <w:rFonts w:asciiTheme="minorHAnsi" w:hAnsiTheme="minorHAnsi"/>
        </w:rPr>
        <w:t xml:space="preserve"> by school-based employees.  The Bill was motivated by the report of a Ministerial </w:t>
      </w:r>
      <w:proofErr w:type="gramStart"/>
      <w:r w:rsidRPr="00342FC2">
        <w:rPr>
          <w:rFonts w:asciiTheme="minorHAnsi" w:hAnsiTheme="minorHAnsi"/>
        </w:rPr>
        <w:t>Taskforce which</w:t>
      </w:r>
      <w:proofErr w:type="gramEnd"/>
      <w:r w:rsidRPr="00342FC2">
        <w:rPr>
          <w:rFonts w:asciiTheme="minorHAnsi" w:hAnsiTheme="minorHAnsi"/>
        </w:rPr>
        <w:t xml:space="preserve"> was formed to act on the recommendations of the Anglican Church Report (ACR).  The explanatory notes observe that the ACR ‘highlighted the issue of sexual abuse in schools and weaknesses in existing systems for checking and monitoring the suitability of teaching and non-teaching staff to work with children and for responding to complaints of sexual abuse perpetrated in school settings.’</w:t>
      </w:r>
    </w:p>
  </w:footnote>
  <w:footnote w:id="32">
    <w:p w14:paraId="662FA4DE" w14:textId="67BE9D26" w:rsidR="0038455E" w:rsidRPr="001A4ED6" w:rsidRDefault="0038455E" w:rsidP="00342FC2">
      <w:pPr>
        <w:pStyle w:val="FootnoteText"/>
        <w:spacing w:before="0"/>
      </w:pPr>
      <w:r w:rsidRPr="001A4ED6">
        <w:rPr>
          <w:rStyle w:val="FootnoteReference"/>
        </w:rPr>
        <w:footnoteRef/>
      </w:r>
      <w:r w:rsidRPr="001A4ED6">
        <w:t xml:space="preserve"> </w:t>
      </w:r>
      <w:r w:rsidRPr="00342FC2">
        <w:rPr>
          <w:rFonts w:asciiTheme="minorHAnsi" w:hAnsiTheme="minorHAnsi"/>
        </w:rPr>
        <w:t xml:space="preserve">Research has shown that teachers almost unanimously believed they </w:t>
      </w:r>
      <w:proofErr w:type="gramStart"/>
      <w:r w:rsidRPr="00342FC2">
        <w:rPr>
          <w:rFonts w:asciiTheme="minorHAnsi" w:hAnsiTheme="minorHAnsi"/>
        </w:rPr>
        <w:t>were required</w:t>
      </w:r>
      <w:proofErr w:type="gramEnd"/>
      <w:r w:rsidRPr="00342FC2">
        <w:rPr>
          <w:rFonts w:asciiTheme="minorHAnsi" w:hAnsiTheme="minorHAnsi"/>
        </w:rPr>
        <w:t xml:space="preserve"> by legislation to report all cases of child sexual abuse: Mathews, Walsh, Butler and Farrell 2009.</w:t>
      </w:r>
    </w:p>
  </w:footnote>
  <w:footnote w:id="33">
    <w:p w14:paraId="4CD4D70D" w14:textId="5FA0987B" w:rsidR="0038455E" w:rsidRPr="009219E6" w:rsidRDefault="0038455E" w:rsidP="009219E6">
      <w:pPr>
        <w:pStyle w:val="FootnoteText"/>
        <w:spacing w:before="0"/>
        <w:rPr>
          <w:rFonts w:asciiTheme="minorHAnsi" w:hAnsiTheme="minorHAnsi"/>
        </w:rPr>
      </w:pPr>
      <w:r w:rsidRPr="009219E6">
        <w:rPr>
          <w:rStyle w:val="FootnoteReference"/>
          <w:rFonts w:asciiTheme="minorHAnsi" w:hAnsiTheme="minorHAnsi"/>
        </w:rPr>
        <w:footnoteRef/>
      </w:r>
      <w:r w:rsidRPr="009219E6">
        <w:rPr>
          <w:rFonts w:asciiTheme="minorHAnsi" w:hAnsiTheme="minorHAnsi"/>
        </w:rPr>
        <w:t xml:space="preserve"> Under the Penalties and Sentences Act 1992 (Qld), a penalty unit is $110: s 5(1</w:t>
      </w:r>
      <w:proofErr w:type="gramStart"/>
      <w:r w:rsidRPr="009219E6">
        <w:rPr>
          <w:rFonts w:asciiTheme="minorHAnsi" w:hAnsiTheme="minorHAnsi"/>
        </w:rPr>
        <w:t>)(</w:t>
      </w:r>
      <w:proofErr w:type="gramEnd"/>
      <w:r w:rsidRPr="009219E6">
        <w:rPr>
          <w:rFonts w:asciiTheme="minorHAnsi" w:hAnsiTheme="minorHAnsi"/>
        </w:rPr>
        <w:t>d).</w:t>
      </w:r>
    </w:p>
  </w:footnote>
  <w:footnote w:id="34">
    <w:p w14:paraId="1C4AF7F9" w14:textId="2F068911" w:rsidR="0038455E" w:rsidRPr="001A4ED6" w:rsidRDefault="0038455E" w:rsidP="009219E6">
      <w:pPr>
        <w:pStyle w:val="FootnoteText"/>
        <w:spacing w:before="0"/>
      </w:pPr>
      <w:r w:rsidRPr="009219E6">
        <w:rPr>
          <w:rStyle w:val="FootnoteReference"/>
          <w:rFonts w:asciiTheme="minorHAnsi" w:hAnsiTheme="minorHAnsi"/>
        </w:rPr>
        <w:footnoteRef/>
      </w:r>
      <w:r w:rsidRPr="009219E6">
        <w:rPr>
          <w:rFonts w:asciiTheme="minorHAnsi" w:hAnsiTheme="minorHAnsi"/>
        </w:rPr>
        <w:t xml:space="preserve"> </w:t>
      </w:r>
      <w:proofErr w:type="gramStart"/>
      <w:r w:rsidRPr="009219E6">
        <w:rPr>
          <w:rFonts w:asciiTheme="minorHAnsi" w:hAnsiTheme="minorHAnsi"/>
          <w:b/>
        </w:rPr>
        <w:t>Reporting procedures</w:t>
      </w:r>
      <w:r w:rsidRPr="009219E6">
        <w:rPr>
          <w:rFonts w:asciiTheme="minorHAnsi" w:hAnsiTheme="minorHAnsi"/>
        </w:rPr>
        <w:t>.</w:t>
      </w:r>
      <w:proofErr w:type="gramEnd"/>
      <w:r w:rsidRPr="009219E6">
        <w:rPr>
          <w:rFonts w:asciiTheme="minorHAnsi" w:hAnsiTheme="minorHAnsi"/>
        </w:rPr>
        <w:t xml:space="preserve"> Reports must contain certain details as set out in the </w:t>
      </w:r>
      <w:r w:rsidRPr="009219E6">
        <w:rPr>
          <w:rFonts w:asciiTheme="minorHAnsi" w:hAnsiTheme="minorHAnsi"/>
          <w:i/>
        </w:rPr>
        <w:t>Education (General Provisions) Regulations 2006</w:t>
      </w:r>
      <w:r w:rsidRPr="009219E6">
        <w:rPr>
          <w:rFonts w:asciiTheme="minorHAnsi" w:hAnsiTheme="minorHAnsi"/>
        </w:rPr>
        <w:t xml:space="preserve"> (Qld) (r 68 for past/present; r 68A for suspected likely abuse). In </w:t>
      </w:r>
      <w:r w:rsidRPr="009219E6">
        <w:rPr>
          <w:rFonts w:asciiTheme="minorHAnsi" w:hAnsiTheme="minorHAnsi"/>
          <w:b/>
        </w:rPr>
        <w:t>State schools</w:t>
      </w:r>
      <w:r w:rsidRPr="009219E6">
        <w:rPr>
          <w:rFonts w:asciiTheme="minorHAnsi" w:hAnsiTheme="minorHAnsi"/>
        </w:rPr>
        <w:t xml:space="preserve">, for past/present and suspected likely abuse respectively, reports must be made to the principal or the principal’s supervisor (365(2); </w:t>
      </w:r>
      <w:proofErr w:type="gramStart"/>
      <w:r w:rsidRPr="009219E6">
        <w:rPr>
          <w:rFonts w:asciiTheme="minorHAnsi" w:hAnsiTheme="minorHAnsi"/>
        </w:rPr>
        <w:t>365A(</w:t>
      </w:r>
      <w:proofErr w:type="gramEnd"/>
      <w:r w:rsidRPr="009219E6">
        <w:rPr>
          <w:rFonts w:asciiTheme="minorHAnsi" w:hAnsiTheme="minorHAnsi"/>
        </w:rPr>
        <w:t xml:space="preserve">2)); this person must then give a copy of that report to a police officer (365(4); 365A(5)). If the person suspecting abuse is the principal, the principal must give a written report to a police officer (365(2A); </w:t>
      </w:r>
      <w:proofErr w:type="gramStart"/>
      <w:r w:rsidRPr="009219E6">
        <w:rPr>
          <w:rFonts w:asciiTheme="minorHAnsi" w:hAnsiTheme="minorHAnsi"/>
        </w:rPr>
        <w:t>365A(</w:t>
      </w:r>
      <w:proofErr w:type="gramEnd"/>
      <w:r w:rsidRPr="009219E6">
        <w:rPr>
          <w:rFonts w:asciiTheme="minorHAnsi" w:hAnsiTheme="minorHAnsi"/>
        </w:rPr>
        <w:t xml:space="preserve">3)). If the report is about suspected abuse by a State school employee, a report must also be given to a person nominated by the chief executive (365(4A) and (5); </w:t>
      </w:r>
      <w:proofErr w:type="gramStart"/>
      <w:r w:rsidRPr="009219E6">
        <w:rPr>
          <w:rFonts w:asciiTheme="minorHAnsi" w:hAnsiTheme="minorHAnsi"/>
        </w:rPr>
        <w:t>365A(</w:t>
      </w:r>
      <w:proofErr w:type="gramEnd"/>
      <w:r w:rsidRPr="009219E6">
        <w:rPr>
          <w:rFonts w:asciiTheme="minorHAnsi" w:hAnsiTheme="minorHAnsi"/>
        </w:rPr>
        <w:t xml:space="preserve">6) and (7)). In </w:t>
      </w:r>
      <w:r w:rsidRPr="009219E6">
        <w:rPr>
          <w:rFonts w:asciiTheme="minorHAnsi" w:hAnsiTheme="minorHAnsi"/>
          <w:b/>
        </w:rPr>
        <w:t>non-State schools,</w:t>
      </w:r>
      <w:r w:rsidRPr="009219E6">
        <w:rPr>
          <w:rFonts w:asciiTheme="minorHAnsi" w:hAnsiTheme="minorHAnsi"/>
        </w:rPr>
        <w:t xml:space="preserve"> for past/present and suspected likely abuse respectively, reports must be made to the principal or a director of the school’s governing body (366(2); </w:t>
      </w:r>
      <w:proofErr w:type="gramStart"/>
      <w:r w:rsidRPr="009219E6">
        <w:rPr>
          <w:rFonts w:asciiTheme="minorHAnsi" w:hAnsiTheme="minorHAnsi"/>
        </w:rPr>
        <w:t>366A(</w:t>
      </w:r>
      <w:proofErr w:type="gramEnd"/>
      <w:r w:rsidRPr="009219E6">
        <w:rPr>
          <w:rFonts w:asciiTheme="minorHAnsi" w:hAnsiTheme="minorHAnsi"/>
        </w:rPr>
        <w:t xml:space="preserve">2)); this person must then give a copy of that report to a police officer (366(4); 366A(6)). If the person suspecting abuse is the principal, the principal must give a written report to a police officer (366(2A); </w:t>
      </w:r>
      <w:proofErr w:type="gramStart"/>
      <w:r w:rsidRPr="009219E6">
        <w:rPr>
          <w:rFonts w:asciiTheme="minorHAnsi" w:hAnsiTheme="minorHAnsi"/>
        </w:rPr>
        <w:t>366A(</w:t>
      </w:r>
      <w:proofErr w:type="gramEnd"/>
      <w:r w:rsidRPr="009219E6">
        <w:rPr>
          <w:rFonts w:asciiTheme="minorHAnsi" w:hAnsiTheme="minorHAnsi"/>
        </w:rPr>
        <w:t>3)) and to a director of the school’s governing body (366(2B); 366A(4)).</w:t>
      </w:r>
      <w:r w:rsidRPr="001A4ED6">
        <w:t xml:space="preserve"> </w:t>
      </w:r>
    </w:p>
  </w:footnote>
  <w:footnote w:id="35">
    <w:p w14:paraId="0317D4AB" w14:textId="379EE15D" w:rsidR="0038455E" w:rsidRPr="009219E6" w:rsidRDefault="0038455E" w:rsidP="00F312E3">
      <w:pPr>
        <w:pStyle w:val="FootnoteText"/>
        <w:rPr>
          <w:rFonts w:asciiTheme="minorHAnsi" w:hAnsiTheme="minorHAnsi"/>
        </w:rPr>
      </w:pPr>
      <w:r w:rsidRPr="009219E6">
        <w:rPr>
          <w:rStyle w:val="FootnoteReference"/>
          <w:rFonts w:asciiTheme="minorHAnsi" w:hAnsiTheme="minorHAnsi"/>
        </w:rPr>
        <w:footnoteRef/>
      </w:r>
      <w:r w:rsidRPr="009219E6">
        <w:rPr>
          <w:rFonts w:asciiTheme="minorHAnsi" w:hAnsiTheme="minorHAnsi"/>
        </w:rPr>
        <w:t xml:space="preserve"> Technically, there may therefore be a gap in the EGPA provisions in the lack of an express provision of confidentiality. The CPA s 186 arguably does not confer confidentiality on a report made under EGPA to a school principal because under Schedule 3 of the CPA, an ‘authorised officer’ </w:t>
      </w:r>
      <w:proofErr w:type="gramStart"/>
      <w:r w:rsidRPr="009219E6">
        <w:rPr>
          <w:rFonts w:asciiTheme="minorHAnsi" w:hAnsiTheme="minorHAnsi"/>
        </w:rPr>
        <w:t>is defined</w:t>
      </w:r>
      <w:proofErr w:type="gramEnd"/>
      <w:r w:rsidRPr="009219E6">
        <w:rPr>
          <w:rFonts w:asciiTheme="minorHAnsi" w:hAnsiTheme="minorHAnsi"/>
        </w:rPr>
        <w:t xml:space="preserve"> as ‘a person holding office as an authorised officer under an appointment </w:t>
      </w:r>
      <w:r w:rsidRPr="009219E6">
        <w:rPr>
          <w:rFonts w:asciiTheme="minorHAnsi" w:hAnsiTheme="minorHAnsi"/>
          <w:i/>
        </w:rPr>
        <w:t>under this Act</w:t>
      </w:r>
      <w:r w:rsidRPr="009219E6">
        <w:rPr>
          <w:rFonts w:asciiTheme="minorHAnsi" w:hAnsiTheme="minorHAnsi"/>
        </w:rPr>
        <w:t xml:space="preserve">’ (authors’ emphasis). A school principal does not hold office under the CPA and so a teacher making a report to the principal </w:t>
      </w:r>
      <w:proofErr w:type="gramStart"/>
      <w:r w:rsidRPr="009219E6">
        <w:rPr>
          <w:rFonts w:asciiTheme="minorHAnsi" w:hAnsiTheme="minorHAnsi"/>
        </w:rPr>
        <w:t>may not be satisfactorily protected</w:t>
      </w:r>
      <w:proofErr w:type="gramEnd"/>
      <w:r w:rsidRPr="009219E6">
        <w:rPr>
          <w:rFonts w:asciiTheme="minorHAnsi" w:hAnsiTheme="minorHAnsi"/>
        </w:rPr>
        <w:t>.</w:t>
      </w:r>
    </w:p>
  </w:footnote>
  <w:footnote w:id="36">
    <w:p w14:paraId="45692E91" w14:textId="77777777" w:rsidR="0038455E" w:rsidRDefault="0038455E" w:rsidP="0078358E">
      <w:pPr>
        <w:pStyle w:val="FootnoteText"/>
        <w:ind w:left="1080" w:hanging="360"/>
        <w:rPr>
          <w:rFonts w:asciiTheme="minorHAnsi" w:hAnsiTheme="minorHAnsi"/>
        </w:rPr>
      </w:pPr>
      <w:r w:rsidRPr="001A4ED6">
        <w:rPr>
          <w:rStyle w:val="FootnoteReference"/>
        </w:rPr>
        <w:footnoteRef/>
      </w:r>
      <w:r w:rsidRPr="001A4ED6">
        <w:t xml:space="preserve"> </w:t>
      </w:r>
      <w:r>
        <w:tab/>
      </w:r>
      <w:r w:rsidRPr="00246040">
        <w:rPr>
          <w:rFonts w:asciiTheme="minorHAnsi" w:hAnsiTheme="minorHAnsi"/>
        </w:rPr>
        <w:t>Section 6(2)(b) provided that ‘a child is at risk if a person with whom the child resides (whether a guardian of the child or not)</w:t>
      </w:r>
    </w:p>
    <w:p w14:paraId="5FA8C23D" w14:textId="77777777" w:rsidR="0038455E" w:rsidRPr="0078358E" w:rsidRDefault="0038455E" w:rsidP="0078358E">
      <w:pPr>
        <w:pStyle w:val="FootnoteText"/>
        <w:numPr>
          <w:ilvl w:val="0"/>
          <w:numId w:val="87"/>
        </w:numPr>
        <w:rPr>
          <w:rFonts w:asciiTheme="minorHAnsi" w:hAnsiTheme="minorHAnsi"/>
        </w:rPr>
      </w:pPr>
      <w:r w:rsidRPr="00246040">
        <w:rPr>
          <w:rFonts w:asciiTheme="minorHAnsi" w:hAnsiTheme="minorHAnsi"/>
        </w:rPr>
        <w:t xml:space="preserve">has threatened to kill or injure the child and there is a reasonable likelihood of the threat being carried out; </w:t>
      </w:r>
      <w:r w:rsidRPr="00246040">
        <w:rPr>
          <w:rFonts w:asciiTheme="minorHAnsi" w:hAnsiTheme="minorHAnsi"/>
          <w:b/>
        </w:rPr>
        <w:t>or</w:t>
      </w:r>
    </w:p>
    <w:p w14:paraId="444642FE" w14:textId="2863F38F" w:rsidR="0038455E" w:rsidRPr="00246040" w:rsidRDefault="0038455E" w:rsidP="0078358E">
      <w:pPr>
        <w:pStyle w:val="FootnoteText"/>
        <w:numPr>
          <w:ilvl w:val="0"/>
          <w:numId w:val="87"/>
        </w:numPr>
        <w:rPr>
          <w:rFonts w:asciiTheme="minorHAnsi" w:hAnsiTheme="minorHAnsi"/>
        </w:rPr>
      </w:pPr>
      <w:proofErr w:type="gramStart"/>
      <w:r w:rsidRPr="00246040">
        <w:rPr>
          <w:rFonts w:asciiTheme="minorHAnsi" w:hAnsiTheme="minorHAnsi"/>
        </w:rPr>
        <w:t>has</w:t>
      </w:r>
      <w:proofErr w:type="gramEnd"/>
      <w:r w:rsidRPr="00246040">
        <w:rPr>
          <w:rFonts w:asciiTheme="minorHAnsi" w:hAnsiTheme="minorHAnsi"/>
        </w:rPr>
        <w:t xml:space="preserve"> killed, abused or neglected some other child or children and there is a reasonable likelihood of the child in question being killed, abused or neglected by that person’.</w:t>
      </w:r>
    </w:p>
  </w:footnote>
  <w:footnote w:id="37">
    <w:p w14:paraId="5684DDD2" w14:textId="54F4C5C3" w:rsidR="0038455E" w:rsidRPr="004E1C27" w:rsidRDefault="0038455E" w:rsidP="00F312E3">
      <w:pPr>
        <w:pStyle w:val="FootnoteText"/>
        <w:rPr>
          <w:rFonts w:asciiTheme="minorHAnsi" w:hAnsiTheme="minorHAnsi"/>
        </w:rPr>
      </w:pPr>
      <w:r w:rsidRPr="004E1C27">
        <w:rPr>
          <w:rStyle w:val="FootnoteReference"/>
          <w:rFonts w:asciiTheme="minorHAnsi" w:hAnsiTheme="minorHAnsi"/>
        </w:rPr>
        <w:footnoteRef/>
      </w:r>
      <w:r w:rsidRPr="004E1C27">
        <w:rPr>
          <w:rFonts w:asciiTheme="minorHAnsi" w:hAnsiTheme="minorHAnsi"/>
        </w:rPr>
        <w:t xml:space="preserve"> </w:t>
      </w:r>
      <w:proofErr w:type="gramStart"/>
      <w:r w:rsidRPr="004E1C27">
        <w:rPr>
          <w:rFonts w:asciiTheme="minorHAnsi" w:hAnsiTheme="minorHAnsi"/>
        </w:rPr>
        <w:t xml:space="preserve">Although it is interesting to note that the </w:t>
      </w:r>
      <w:r w:rsidRPr="004E1C27">
        <w:rPr>
          <w:rFonts w:asciiTheme="minorHAnsi" w:hAnsiTheme="minorHAnsi"/>
          <w:i/>
        </w:rPr>
        <w:t>Children's Protection (Implementation of Report Recommendations) Amendment Act 2009</w:t>
      </w:r>
      <w:r w:rsidRPr="004E1C27">
        <w:rPr>
          <w:rFonts w:asciiTheme="minorHAnsi" w:hAnsiTheme="minorHAnsi"/>
        </w:rPr>
        <w:t xml:space="preserve"> (No 65) (commenced 31 December 2009), which made insubstantial amendments to the wording of s 11(2)(j), also inserted a new s 11(6), which makes it an offence to threaten or intimidate, or cause damage, loss or disadvantage to a mandated reporter because the person has made or proposes to make a report (maximum penalty $10,000).</w:t>
      </w:r>
      <w:proofErr w:type="gramEnd"/>
    </w:p>
  </w:footnote>
  <w:footnote w:id="38">
    <w:p w14:paraId="423EA013" w14:textId="69B7355F" w:rsidR="0038455E" w:rsidRPr="004E1C27" w:rsidRDefault="0038455E" w:rsidP="00F312E3">
      <w:pPr>
        <w:pStyle w:val="FootnoteText"/>
        <w:rPr>
          <w:rFonts w:asciiTheme="minorHAnsi" w:hAnsiTheme="minorHAnsi"/>
        </w:rPr>
      </w:pPr>
      <w:r w:rsidRPr="004E1C27">
        <w:rPr>
          <w:rStyle w:val="FootnoteReference"/>
          <w:rFonts w:asciiTheme="minorHAnsi" w:hAnsiTheme="minorHAnsi"/>
        </w:rPr>
        <w:footnoteRef/>
      </w:r>
      <w:r w:rsidRPr="004E1C27">
        <w:rPr>
          <w:rFonts w:asciiTheme="minorHAnsi" w:hAnsiTheme="minorHAnsi"/>
        </w:rPr>
        <w:t xml:space="preserve"> ‘Child’ was defined as meaning a person </w:t>
      </w:r>
      <w:proofErr w:type="gramStart"/>
      <w:r w:rsidRPr="004E1C27">
        <w:rPr>
          <w:rFonts w:asciiTheme="minorHAnsi" w:hAnsiTheme="minorHAnsi"/>
        </w:rPr>
        <w:t>under</w:t>
      </w:r>
      <w:proofErr w:type="gramEnd"/>
      <w:r w:rsidRPr="004E1C27">
        <w:rPr>
          <w:rFonts w:asciiTheme="minorHAnsi" w:hAnsiTheme="minorHAnsi"/>
        </w:rPr>
        <w:t xml:space="preserve"> 18 years of age.</w:t>
      </w:r>
    </w:p>
  </w:footnote>
  <w:footnote w:id="39">
    <w:p w14:paraId="778FCA1F" w14:textId="34877DA4" w:rsidR="0038455E" w:rsidRPr="004E1C27" w:rsidRDefault="0038455E" w:rsidP="00F312E3">
      <w:pPr>
        <w:pStyle w:val="FootnoteText"/>
        <w:rPr>
          <w:rFonts w:asciiTheme="minorHAnsi" w:hAnsiTheme="minorHAnsi"/>
        </w:rPr>
      </w:pPr>
      <w:r w:rsidRPr="004E1C27">
        <w:rPr>
          <w:rStyle w:val="FootnoteReference"/>
          <w:rFonts w:asciiTheme="minorHAnsi" w:hAnsiTheme="minorHAnsi"/>
        </w:rPr>
        <w:footnoteRef/>
      </w:r>
      <w:r w:rsidRPr="004E1C27">
        <w:rPr>
          <w:rFonts w:asciiTheme="minorHAnsi" w:hAnsiTheme="minorHAnsi"/>
        </w:rPr>
        <w:t xml:space="preserve"> Section 15 was later repealed 28 June 2011; amended by Children, Young Persons and Their Families Amendment Act 2011 (No 15) </w:t>
      </w:r>
      <w:proofErr w:type="spellStart"/>
      <w:r w:rsidRPr="004E1C27">
        <w:rPr>
          <w:rFonts w:asciiTheme="minorHAnsi" w:hAnsiTheme="minorHAnsi"/>
        </w:rPr>
        <w:t>comm</w:t>
      </w:r>
      <w:proofErr w:type="spellEnd"/>
      <w:r w:rsidRPr="004E1C27">
        <w:rPr>
          <w:rFonts w:asciiTheme="minorHAnsi" w:hAnsiTheme="minorHAnsi"/>
        </w:rPr>
        <w:t xml:space="preserve"> 28 June 2011; and was replaced by the Children, Young Persons and Their Families Amendment Act 2011 (No 15) inserting s 101A, </w:t>
      </w:r>
      <w:proofErr w:type="spellStart"/>
      <w:r w:rsidRPr="004E1C27">
        <w:rPr>
          <w:rFonts w:asciiTheme="minorHAnsi" w:hAnsiTheme="minorHAnsi"/>
        </w:rPr>
        <w:t>comm</w:t>
      </w:r>
      <w:proofErr w:type="spellEnd"/>
      <w:r w:rsidRPr="004E1C27">
        <w:rPr>
          <w:rFonts w:asciiTheme="minorHAnsi" w:hAnsiTheme="minorHAnsi"/>
        </w:rPr>
        <w:t xml:space="preserve"> 28 June 2011).</w:t>
      </w:r>
    </w:p>
  </w:footnote>
  <w:footnote w:id="40">
    <w:p w14:paraId="624A0391" w14:textId="76DA545C" w:rsidR="0038455E" w:rsidRPr="00BA5DD6" w:rsidRDefault="0038455E" w:rsidP="00F312E3">
      <w:pPr>
        <w:pStyle w:val="FootnoteText"/>
        <w:rPr>
          <w:rFonts w:asciiTheme="minorHAnsi" w:hAnsiTheme="minorHAnsi"/>
          <w:color w:val="1F497D" w:themeColor="text2"/>
        </w:rPr>
      </w:pPr>
      <w:r w:rsidRPr="00BA5DD6">
        <w:rPr>
          <w:rStyle w:val="FootnoteReference"/>
          <w:rFonts w:asciiTheme="minorHAnsi" w:hAnsiTheme="minorHAnsi"/>
        </w:rPr>
        <w:footnoteRef/>
      </w:r>
      <w:r w:rsidRPr="00BA5DD6">
        <w:rPr>
          <w:rFonts w:asciiTheme="minorHAnsi" w:hAnsiTheme="minorHAnsi"/>
        </w:rPr>
        <w:t xml:space="preserve"> The effect on the number of reports is not affected by the discussion on the scope of subsection (c) in Appendix 1 below, as even if the broader view </w:t>
      </w:r>
      <w:proofErr w:type="gramStart"/>
      <w:r w:rsidRPr="00BA5DD6">
        <w:rPr>
          <w:rFonts w:asciiTheme="minorHAnsi" w:hAnsiTheme="minorHAnsi"/>
        </w:rPr>
        <w:t>is</w:t>
      </w:r>
      <w:proofErr w:type="gramEnd"/>
      <w:r w:rsidRPr="00BA5DD6">
        <w:rPr>
          <w:rFonts w:asciiTheme="minorHAnsi" w:hAnsiTheme="minorHAnsi"/>
        </w:rPr>
        <w:t xml:space="preserve"> correct, there would be relatively few cases of neglect causing such a degree of physical injury.</w:t>
      </w:r>
    </w:p>
  </w:footnote>
  <w:footnote w:id="41">
    <w:p w14:paraId="4C77B8B4" w14:textId="1475C5C4" w:rsidR="0038455E" w:rsidRPr="00BA5DD6" w:rsidRDefault="0038455E" w:rsidP="00F312E3">
      <w:pPr>
        <w:pStyle w:val="FootnoteText"/>
        <w:rPr>
          <w:rFonts w:asciiTheme="minorHAnsi" w:hAnsiTheme="minorHAnsi"/>
        </w:rPr>
      </w:pPr>
      <w:r w:rsidRPr="001A4ED6">
        <w:rPr>
          <w:rStyle w:val="FootnoteReference"/>
        </w:rPr>
        <w:footnoteRef/>
      </w:r>
      <w:r w:rsidRPr="001A4ED6">
        <w:t xml:space="preserve"> </w:t>
      </w:r>
      <w:r w:rsidRPr="00BA5DD6">
        <w:rPr>
          <w:rFonts w:asciiTheme="minorHAnsi" w:hAnsiTheme="minorHAnsi"/>
        </w:rPr>
        <w:t xml:space="preserve">There may be some cases where the child may have been harmed by a third party (that is, not one of the child’s parents) and the child’s parents are able to protect the child from future harm; but even in these cases, the reporter would need to also have knowledge of these circumstances to prevent the duty being activated. Moreover, the types of case in which these circumstances can be readily conceived are not the types of case of child physical </w:t>
      </w:r>
      <w:proofErr w:type="gramStart"/>
      <w:r w:rsidRPr="00BA5DD6">
        <w:rPr>
          <w:rFonts w:asciiTheme="minorHAnsi" w:hAnsiTheme="minorHAnsi"/>
        </w:rPr>
        <w:t>abuse which</w:t>
      </w:r>
      <w:proofErr w:type="gramEnd"/>
      <w:r w:rsidRPr="00BA5DD6">
        <w:rPr>
          <w:rFonts w:asciiTheme="minorHAnsi" w:hAnsiTheme="minorHAnsi"/>
        </w:rPr>
        <w:t xml:space="preserve"> were the target of mandatory reporting laws. An example might be a situation where a </w:t>
      </w:r>
      <w:proofErr w:type="gramStart"/>
      <w:r w:rsidRPr="00BA5DD6">
        <w:rPr>
          <w:rFonts w:asciiTheme="minorHAnsi" w:hAnsiTheme="minorHAnsi"/>
        </w:rPr>
        <w:t>child has been physically injured by a school peer</w:t>
      </w:r>
      <w:proofErr w:type="gramEnd"/>
      <w:r w:rsidRPr="00BA5DD6">
        <w:rPr>
          <w:rFonts w:asciiTheme="minorHAnsi" w:hAnsiTheme="minorHAnsi"/>
        </w:rPr>
        <w:t xml:space="preserve">, and the child’s parent knows of this, the child’s parent has taken action to prevent further harm to the child, and the reporter knows all these facts.  Yet, the type of case of physical injury to a child which was the target of mandatory reporting laws involves a situation of severe harm to a highly vulnerable child in which the parent is the perpetrator, and the reporter may or may not know this, and may have had no or little prior interaction with the child’s parent. To impose a general limit on the activation of a mandatory reporting duty by requiring the reporter to calculate the parent’s previous or future protective capacity relating to the child would defeat the purposes of a mandatory reporting provision. These </w:t>
      </w:r>
      <w:proofErr w:type="gramStart"/>
      <w:r w:rsidRPr="00BA5DD6">
        <w:rPr>
          <w:rFonts w:asciiTheme="minorHAnsi" w:hAnsiTheme="minorHAnsi"/>
        </w:rPr>
        <w:t>are:</w:t>
      </w:r>
      <w:proofErr w:type="gramEnd"/>
      <w:r w:rsidRPr="00BA5DD6">
        <w:rPr>
          <w:rFonts w:asciiTheme="minorHAnsi" w:hAnsiTheme="minorHAnsi"/>
        </w:rPr>
        <w:t xml:space="preserve"> to enable identification of severe abuse cases by professionals outside the child’s family; to enable expert assessment of the child’s (and the family’s) situation; to determine necessary against the perpetrator of the serious physical or sexual abuse. It is beyond the power</w:t>
      </w:r>
      <w:r w:rsidRPr="001A4ED6">
        <w:t xml:space="preserve"> </w:t>
      </w:r>
      <w:r w:rsidRPr="00BA5DD6">
        <w:rPr>
          <w:rFonts w:asciiTheme="minorHAnsi" w:hAnsiTheme="minorHAnsi"/>
        </w:rPr>
        <w:t xml:space="preserve">and capacity of mandated reporters to engage in such investigative tasks in most cases of serious physical harm, and it </w:t>
      </w:r>
      <w:proofErr w:type="gramStart"/>
      <w:r w:rsidRPr="00BA5DD6">
        <w:rPr>
          <w:rFonts w:asciiTheme="minorHAnsi" w:hAnsiTheme="minorHAnsi"/>
        </w:rPr>
        <w:t>is also</w:t>
      </w:r>
      <w:proofErr w:type="gramEnd"/>
      <w:r w:rsidRPr="00BA5DD6">
        <w:rPr>
          <w:rFonts w:asciiTheme="minorHAnsi" w:hAnsiTheme="minorHAnsi"/>
        </w:rPr>
        <w:t xml:space="preserve"> beyond parental power to undertake some of these tasks. This applies even more clearly to cases of sexual abuse. See further Table 1.7.</w:t>
      </w:r>
    </w:p>
  </w:footnote>
  <w:footnote w:id="42">
    <w:p w14:paraId="27F5A1DE" w14:textId="6CFAE8F9" w:rsidR="0038455E" w:rsidRPr="00BA5DD6" w:rsidRDefault="0038455E" w:rsidP="00F312E3">
      <w:pPr>
        <w:pStyle w:val="FootnoteText"/>
        <w:rPr>
          <w:rFonts w:asciiTheme="minorHAnsi" w:hAnsiTheme="minorHAnsi"/>
        </w:rPr>
      </w:pPr>
      <w:r w:rsidRPr="00BA5DD6">
        <w:rPr>
          <w:rStyle w:val="FootnoteReference"/>
          <w:rFonts w:asciiTheme="minorHAnsi" w:hAnsiTheme="minorHAnsi"/>
        </w:rPr>
        <w:footnoteRef/>
      </w:r>
      <w:r w:rsidRPr="00BA5DD6">
        <w:rPr>
          <w:rFonts w:asciiTheme="minorHAnsi" w:hAnsiTheme="minorHAnsi"/>
        </w:rPr>
        <w:t xml:space="preserve"> Section 64(1C)(a), (c) and (</w:t>
      </w:r>
      <w:proofErr w:type="spellStart"/>
      <w:r w:rsidRPr="00BA5DD6">
        <w:rPr>
          <w:rFonts w:asciiTheme="minorHAnsi" w:hAnsiTheme="minorHAnsi"/>
        </w:rPr>
        <w:t>i</w:t>
      </w:r>
      <w:proofErr w:type="spellEnd"/>
      <w:r w:rsidRPr="00BA5DD6">
        <w:rPr>
          <w:rFonts w:asciiTheme="minorHAnsi" w:hAnsiTheme="minorHAnsi"/>
        </w:rPr>
        <w:t>): Government Gazette 28 October 1993, page 2932: The Governor in Council ordered that 4 November 1993 be the date fixed for the purposes of paragraphs (a), (c) and (</w:t>
      </w:r>
      <w:proofErr w:type="spellStart"/>
      <w:r w:rsidRPr="00BA5DD6">
        <w:rPr>
          <w:rFonts w:asciiTheme="minorHAnsi" w:hAnsiTheme="minorHAnsi"/>
        </w:rPr>
        <w:t>i</w:t>
      </w:r>
      <w:proofErr w:type="spellEnd"/>
      <w:r w:rsidRPr="00BA5DD6">
        <w:rPr>
          <w:rFonts w:asciiTheme="minorHAnsi" w:hAnsiTheme="minorHAnsi"/>
        </w:rPr>
        <w:t>) of section 64(1C) of the Act (</w:t>
      </w:r>
      <w:proofErr w:type="spellStart"/>
      <w:r w:rsidRPr="00BA5DD6">
        <w:rPr>
          <w:rFonts w:asciiTheme="minorHAnsi" w:hAnsiTheme="minorHAnsi"/>
        </w:rPr>
        <w:t>ie</w:t>
      </w:r>
      <w:proofErr w:type="spellEnd"/>
      <w:r w:rsidRPr="00BA5DD6">
        <w:rPr>
          <w:rFonts w:asciiTheme="minorHAnsi" w:hAnsiTheme="minorHAnsi"/>
        </w:rPr>
        <w:t xml:space="preserve"> applying mandatory reporting duty to medical practitioners, nurses, and police officers). Section 64(1C)(d), (da), (</w:t>
      </w:r>
      <w:proofErr w:type="spellStart"/>
      <w:r w:rsidRPr="00BA5DD6">
        <w:rPr>
          <w:rFonts w:asciiTheme="minorHAnsi" w:hAnsiTheme="minorHAnsi"/>
        </w:rPr>
        <w:t>db</w:t>
      </w:r>
      <w:proofErr w:type="spellEnd"/>
      <w:r w:rsidRPr="00BA5DD6">
        <w:rPr>
          <w:rFonts w:asciiTheme="minorHAnsi" w:hAnsiTheme="minorHAnsi"/>
        </w:rPr>
        <w:t>) and (e): Government Gazette 14 July 1994, page 1977: The Governor in Council ordered that 18 July 1994 be the date fixed for the purposes of paragraphs (d)(da)(</w:t>
      </w:r>
      <w:proofErr w:type="spellStart"/>
      <w:r w:rsidRPr="00BA5DD6">
        <w:rPr>
          <w:rFonts w:asciiTheme="minorHAnsi" w:hAnsiTheme="minorHAnsi"/>
        </w:rPr>
        <w:t>db</w:t>
      </w:r>
      <w:proofErr w:type="spellEnd"/>
      <w:r w:rsidRPr="00BA5DD6">
        <w:rPr>
          <w:rFonts w:asciiTheme="minorHAnsi" w:hAnsiTheme="minorHAnsi"/>
        </w:rPr>
        <w:t>) and (e) (</w:t>
      </w:r>
      <w:proofErr w:type="spellStart"/>
      <w:r w:rsidRPr="00BA5DD6">
        <w:rPr>
          <w:rFonts w:asciiTheme="minorHAnsi" w:hAnsiTheme="minorHAnsi"/>
        </w:rPr>
        <w:t>ie</w:t>
      </w:r>
      <w:proofErr w:type="spellEnd"/>
      <w:r w:rsidRPr="00BA5DD6">
        <w:rPr>
          <w:rFonts w:asciiTheme="minorHAnsi" w:hAnsiTheme="minorHAnsi"/>
        </w:rPr>
        <w:t xml:space="preserve"> applying mandatory reporting duty to teachers and school principals).</w:t>
      </w:r>
    </w:p>
  </w:footnote>
  <w:footnote w:id="43">
    <w:p w14:paraId="154F7846" w14:textId="4C2D11FC" w:rsidR="0038455E" w:rsidRPr="00443C96" w:rsidRDefault="0038455E" w:rsidP="00F312E3">
      <w:pPr>
        <w:pStyle w:val="FootnoteText"/>
        <w:rPr>
          <w:rFonts w:asciiTheme="minorHAnsi" w:hAnsiTheme="minorHAnsi"/>
        </w:rPr>
      </w:pPr>
      <w:r w:rsidRPr="00443C96">
        <w:rPr>
          <w:rStyle w:val="FootnoteReference"/>
          <w:rFonts w:asciiTheme="minorHAnsi" w:hAnsiTheme="minorHAnsi"/>
        </w:rPr>
        <w:footnoteRef/>
      </w:r>
      <w:r w:rsidRPr="00443C96">
        <w:rPr>
          <w:rFonts w:asciiTheme="minorHAnsi" w:hAnsiTheme="minorHAnsi"/>
        </w:rPr>
        <w:t xml:space="preserve"> In essence, those appointed to offices in the teaching service, and temporary employees.</w:t>
      </w:r>
    </w:p>
  </w:footnote>
  <w:footnote w:id="44">
    <w:p w14:paraId="24C5D8DE" w14:textId="387A7025" w:rsidR="0038455E" w:rsidRPr="00443C96" w:rsidRDefault="0038455E" w:rsidP="00F312E3">
      <w:pPr>
        <w:pStyle w:val="FootnoteText"/>
        <w:rPr>
          <w:rFonts w:asciiTheme="minorHAnsi" w:hAnsiTheme="minorHAnsi"/>
        </w:rPr>
      </w:pPr>
      <w:r w:rsidRPr="00443C96">
        <w:rPr>
          <w:rStyle w:val="FootnoteReference"/>
          <w:rFonts w:asciiTheme="minorHAnsi" w:hAnsiTheme="minorHAnsi"/>
        </w:rPr>
        <w:footnoteRef/>
      </w:r>
      <w:r w:rsidRPr="00443C96">
        <w:rPr>
          <w:rFonts w:asciiTheme="minorHAnsi" w:hAnsiTheme="minorHAnsi"/>
        </w:rPr>
        <w:t xml:space="preserve"> Under the Education Act 1958 s 5, ‘non-teaching staff’ </w:t>
      </w:r>
      <w:proofErr w:type="gramStart"/>
      <w:r w:rsidRPr="00443C96">
        <w:rPr>
          <w:rFonts w:asciiTheme="minorHAnsi" w:hAnsiTheme="minorHAnsi"/>
        </w:rPr>
        <w:t>are defined</w:t>
      </w:r>
      <w:proofErr w:type="gramEnd"/>
      <w:r w:rsidRPr="00443C96">
        <w:rPr>
          <w:rFonts w:asciiTheme="minorHAnsi" w:hAnsiTheme="minorHAnsi"/>
        </w:rPr>
        <w:t xml:space="preserve"> as teacher aides to assist teachers, teacher assistants to assist teachers in special developmental schools, and rural school aides to assist teachers in rural primary schools. Section 15B</w:t>
      </w:r>
      <w:r>
        <w:rPr>
          <w:rFonts w:asciiTheme="minorHAnsi" w:hAnsiTheme="minorHAnsi"/>
        </w:rPr>
        <w:t xml:space="preserve"> </w:t>
      </w:r>
      <w:r w:rsidRPr="00443C96">
        <w:rPr>
          <w:rFonts w:asciiTheme="minorHAnsi" w:hAnsiTheme="minorHAnsi"/>
        </w:rPr>
        <w:t>(1</w:t>
      </w:r>
      <w:proofErr w:type="gramStart"/>
      <w:r w:rsidRPr="00443C96">
        <w:rPr>
          <w:rFonts w:asciiTheme="minorHAnsi" w:hAnsiTheme="minorHAnsi"/>
        </w:rPr>
        <w:t>)(</w:t>
      </w:r>
      <w:proofErr w:type="gramEnd"/>
      <w:r w:rsidRPr="00443C96">
        <w:rPr>
          <w:rFonts w:asciiTheme="minorHAnsi" w:hAnsiTheme="minorHAnsi"/>
        </w:rPr>
        <w:t>a)(</w:t>
      </w:r>
      <w:proofErr w:type="spellStart"/>
      <w:r w:rsidRPr="00443C96">
        <w:rPr>
          <w:rFonts w:asciiTheme="minorHAnsi" w:hAnsiTheme="minorHAnsi"/>
        </w:rPr>
        <w:t>i</w:t>
      </w:r>
      <w:proofErr w:type="spellEnd"/>
      <w:r w:rsidRPr="00443C96">
        <w:rPr>
          <w:rFonts w:asciiTheme="minorHAnsi" w:hAnsiTheme="minorHAnsi"/>
        </w:rPr>
        <w:t>) states that a council may employ any ‘teaching staff’ on a part-time or sessional basis.</w:t>
      </w:r>
      <w:r w:rsidRPr="001A4ED6">
        <w:t xml:space="preserve"> </w:t>
      </w:r>
      <w:r w:rsidRPr="00443C96">
        <w:rPr>
          <w:rFonts w:asciiTheme="minorHAnsi" w:hAnsiTheme="minorHAnsi"/>
        </w:rPr>
        <w:t>Read together, the provisions and their operation with subsection (</w:t>
      </w:r>
      <w:proofErr w:type="spellStart"/>
      <w:r w:rsidRPr="00443C96">
        <w:rPr>
          <w:rFonts w:asciiTheme="minorHAnsi" w:hAnsiTheme="minorHAnsi"/>
        </w:rPr>
        <w:t>db</w:t>
      </w:r>
      <w:proofErr w:type="spellEnd"/>
      <w:r w:rsidRPr="00443C96">
        <w:rPr>
          <w:rFonts w:asciiTheme="minorHAnsi" w:hAnsiTheme="minorHAnsi"/>
        </w:rPr>
        <w:t xml:space="preserve">) of the reporting legislation </w:t>
      </w:r>
      <w:r w:rsidRPr="00443C96">
        <w:rPr>
          <w:rFonts w:asciiTheme="minorHAnsi" w:hAnsiTheme="minorHAnsi"/>
          <w:b/>
        </w:rPr>
        <w:t>would</w:t>
      </w:r>
      <w:r w:rsidRPr="00443C96">
        <w:rPr>
          <w:rFonts w:asciiTheme="minorHAnsi" w:hAnsiTheme="minorHAnsi"/>
        </w:rPr>
        <w:t xml:space="preserve"> include as mandated reporters part-time or sessional teachers including assistant teachers, teachers on a special staff, and students in training, but </w:t>
      </w:r>
      <w:r w:rsidRPr="00443C96">
        <w:rPr>
          <w:rFonts w:asciiTheme="minorHAnsi" w:hAnsiTheme="minorHAnsi"/>
          <w:b/>
        </w:rPr>
        <w:t>would not</w:t>
      </w:r>
      <w:r w:rsidRPr="00443C96">
        <w:rPr>
          <w:rFonts w:asciiTheme="minorHAnsi" w:hAnsiTheme="minorHAnsi"/>
        </w:rPr>
        <w:t xml:space="preserve"> include teacher aides or teacher assistants.</w:t>
      </w:r>
    </w:p>
  </w:footnote>
  <w:footnote w:id="45">
    <w:p w14:paraId="551D8268" w14:textId="4784E581" w:rsidR="0038455E" w:rsidRPr="00443C96" w:rsidRDefault="0038455E" w:rsidP="00F312E3">
      <w:pPr>
        <w:pStyle w:val="FootnoteText"/>
        <w:rPr>
          <w:rFonts w:asciiTheme="minorHAnsi" w:hAnsiTheme="minorHAnsi"/>
        </w:rPr>
      </w:pPr>
      <w:r w:rsidRPr="00443C96">
        <w:rPr>
          <w:rStyle w:val="FootnoteReference"/>
          <w:rFonts w:asciiTheme="minorHAnsi" w:hAnsiTheme="minorHAnsi"/>
        </w:rPr>
        <w:footnoteRef/>
      </w:r>
      <w:r w:rsidRPr="00443C96">
        <w:rPr>
          <w:rFonts w:asciiTheme="minorHAnsi" w:hAnsiTheme="minorHAnsi"/>
        </w:rPr>
        <w:t xml:space="preserve"> However, note that the </w:t>
      </w:r>
      <w:proofErr w:type="spellStart"/>
      <w:r w:rsidRPr="00443C96">
        <w:rPr>
          <w:rFonts w:asciiTheme="minorHAnsi" w:hAnsiTheme="minorHAnsi"/>
        </w:rPr>
        <w:t>new s</w:t>
      </w:r>
      <w:proofErr w:type="spellEnd"/>
      <w:r w:rsidRPr="00443C96">
        <w:rPr>
          <w:rFonts w:asciiTheme="minorHAnsi" w:hAnsiTheme="minorHAnsi"/>
        </w:rPr>
        <w:t xml:space="preserve"> 184(4) specified that ‘For the purposes of this section, a belief is a belief on reasonable grounds if a reasonable person practising the profession or carrying out the duties of the office, position or employment, as the case requires, would have formed the belief on those grounds’.</w:t>
      </w:r>
    </w:p>
  </w:footnote>
  <w:footnote w:id="46">
    <w:p w14:paraId="6820ADBD" w14:textId="0212CE0C" w:rsidR="0038455E" w:rsidRPr="00443C96" w:rsidRDefault="0038455E" w:rsidP="00F312E3">
      <w:pPr>
        <w:pStyle w:val="FootnoteText"/>
        <w:rPr>
          <w:rFonts w:asciiTheme="minorHAnsi" w:hAnsiTheme="minorHAnsi"/>
        </w:rPr>
      </w:pPr>
      <w:r w:rsidRPr="00443C96">
        <w:rPr>
          <w:rStyle w:val="FootnoteReference"/>
          <w:rFonts w:asciiTheme="minorHAnsi" w:hAnsiTheme="minorHAnsi"/>
        </w:rPr>
        <w:footnoteRef/>
      </w:r>
      <w:r w:rsidRPr="00443C96">
        <w:rPr>
          <w:rFonts w:asciiTheme="minorHAnsi" w:hAnsiTheme="minorHAnsi"/>
        </w:rPr>
        <w:t xml:space="preserve"> The state of mind activating the reporting duty in s 184(1) </w:t>
      </w:r>
      <w:proofErr w:type="gramStart"/>
      <w:r w:rsidRPr="00443C96">
        <w:rPr>
          <w:rFonts w:asciiTheme="minorHAnsi" w:hAnsiTheme="minorHAnsi"/>
        </w:rPr>
        <w:t>was not altered</w:t>
      </w:r>
      <w:proofErr w:type="gramEnd"/>
      <w:r w:rsidRPr="00443C96">
        <w:rPr>
          <w:rFonts w:asciiTheme="minorHAnsi" w:hAnsiTheme="minorHAnsi"/>
        </w:rPr>
        <w:t xml:space="preserve"> by the new CYFA 2005. The provision still </w:t>
      </w:r>
      <w:proofErr w:type="gramStart"/>
      <w:r w:rsidRPr="00443C96">
        <w:rPr>
          <w:rFonts w:asciiTheme="minorHAnsi" w:hAnsiTheme="minorHAnsi"/>
        </w:rPr>
        <w:t>read:</w:t>
      </w:r>
      <w:proofErr w:type="gramEnd"/>
      <w:r w:rsidRPr="00443C96">
        <w:rPr>
          <w:rFonts w:asciiTheme="minorHAnsi" w:hAnsiTheme="minorHAnsi"/>
        </w:rPr>
        <w:t xml:space="preserve"> ‘A mandatory reporter who, in the course of practicing his or her profession…forms the belief on reasonable grounds…must report’. Note that a new s 184(4) was inserted, stating that ‘a belief is a belief on reasonable grounds if a reasonable person practising the profession…would have formed the belief on those grounds’. The explanatory memorandum to the bill states that Clause 184(4) ‘clarifies the meaning of a belief on reasonable grounds in relation to mandatory reporters’ (Children, Youth and Families Bill, Explanatory Memorandum, p 40). On one view (personal communication, Graham Brewster, 25 November 2013), s 184(4) introduces an objective ‘reasonable person’ test </w:t>
      </w:r>
      <w:r w:rsidRPr="00443C96">
        <w:rPr>
          <w:rFonts w:asciiTheme="minorHAnsi" w:hAnsiTheme="minorHAnsi"/>
          <w:i/>
        </w:rPr>
        <w:t>to require of a reasonable practitioner that they actually form the belief in the relevant circumstances</w:t>
      </w:r>
      <w:r w:rsidRPr="00443C96">
        <w:rPr>
          <w:rFonts w:asciiTheme="minorHAnsi" w:hAnsiTheme="minorHAnsi"/>
        </w:rPr>
        <w:t xml:space="preserve"> to circumvent the problem of a reporter claiming they did not have a reasonable belief as an excuse for not reporting. </w:t>
      </w:r>
      <w:proofErr w:type="gramStart"/>
      <w:r w:rsidRPr="00443C96">
        <w:rPr>
          <w:rFonts w:asciiTheme="minorHAnsi" w:hAnsiTheme="minorHAnsi"/>
        </w:rPr>
        <w:t>But</w:t>
      </w:r>
      <w:proofErr w:type="gramEnd"/>
      <w:r w:rsidRPr="00443C96">
        <w:rPr>
          <w:rFonts w:asciiTheme="minorHAnsi" w:hAnsiTheme="minorHAnsi"/>
        </w:rPr>
        <w:t xml:space="preserve">, the provision does not state this, and arguably only articulates the circumstances under which a reasonable belief that is </w:t>
      </w:r>
      <w:r w:rsidRPr="00443C96">
        <w:rPr>
          <w:rFonts w:asciiTheme="minorHAnsi" w:hAnsiTheme="minorHAnsi"/>
          <w:i/>
        </w:rPr>
        <w:t>already formed</w:t>
      </w:r>
      <w:r w:rsidRPr="00443C96">
        <w:rPr>
          <w:rFonts w:asciiTheme="minorHAnsi" w:hAnsiTheme="minorHAnsi"/>
        </w:rPr>
        <w:t xml:space="preserve"> by a reporter will be deemed to be a reasonable belief, as opposed to one that is unreasonable. </w:t>
      </w:r>
      <w:proofErr w:type="gramStart"/>
      <w:r w:rsidRPr="00443C96">
        <w:rPr>
          <w:rFonts w:asciiTheme="minorHAnsi" w:hAnsiTheme="minorHAnsi"/>
        </w:rPr>
        <w:t>Hence, it does not appear to introduce a new, higher, requirement on the reporter to form a belief that a reasonable practitioner would, in any given circumstances.</w:t>
      </w:r>
      <w:proofErr w:type="gramEnd"/>
    </w:p>
  </w:footnote>
  <w:footnote w:id="47">
    <w:p w14:paraId="48B62352" w14:textId="39826BDB" w:rsidR="0038455E" w:rsidRPr="00443C96" w:rsidRDefault="0038455E" w:rsidP="00F312E3">
      <w:pPr>
        <w:pStyle w:val="FootnoteText"/>
        <w:rPr>
          <w:rFonts w:asciiTheme="minorHAnsi" w:hAnsiTheme="minorHAnsi"/>
        </w:rPr>
      </w:pPr>
      <w:r w:rsidRPr="00443C96">
        <w:rPr>
          <w:rStyle w:val="FootnoteReference"/>
          <w:rFonts w:asciiTheme="minorHAnsi" w:hAnsiTheme="minorHAnsi"/>
        </w:rPr>
        <w:footnoteRef/>
      </w:r>
      <w:r w:rsidRPr="00443C96">
        <w:rPr>
          <w:rFonts w:asciiTheme="minorHAnsi" w:hAnsiTheme="minorHAnsi"/>
        </w:rPr>
        <w:t xml:space="preserve"> T</w:t>
      </w:r>
      <w:r w:rsidRPr="00443C96">
        <w:rPr>
          <w:rStyle w:val="normalchar1"/>
          <w:rFonts w:asciiTheme="minorHAnsi" w:hAnsiTheme="minorHAnsi" w:cs="Calibri"/>
          <w:sz w:val="20"/>
          <w:szCs w:val="20"/>
        </w:rPr>
        <w:t>he Child and Family Information, Referral and Support Teams (</w:t>
      </w:r>
      <w:proofErr w:type="spellStart"/>
      <w:r w:rsidRPr="00443C96">
        <w:rPr>
          <w:rStyle w:val="normalchar1"/>
          <w:rFonts w:asciiTheme="minorHAnsi" w:hAnsiTheme="minorHAnsi" w:cs="Calibri"/>
          <w:sz w:val="20"/>
          <w:szCs w:val="20"/>
        </w:rPr>
        <w:t>ChildFIRST</w:t>
      </w:r>
      <w:proofErr w:type="spellEnd"/>
      <w:r w:rsidRPr="00443C96">
        <w:rPr>
          <w:rStyle w:val="normalchar1"/>
          <w:rFonts w:asciiTheme="minorHAnsi" w:hAnsiTheme="minorHAnsi" w:cs="Calibri"/>
          <w:sz w:val="20"/>
          <w:szCs w:val="20"/>
        </w:rPr>
        <w:t xml:space="preserve">) system enabled individuals who have a significant concern about a child’s wellbeing to refer their concern to </w:t>
      </w:r>
      <w:proofErr w:type="spellStart"/>
      <w:r w:rsidRPr="00443C96">
        <w:rPr>
          <w:rStyle w:val="normalchar1"/>
          <w:rFonts w:asciiTheme="minorHAnsi" w:hAnsiTheme="minorHAnsi" w:cs="Calibri"/>
          <w:sz w:val="20"/>
          <w:szCs w:val="20"/>
        </w:rPr>
        <w:t>ChildFIRST</w:t>
      </w:r>
      <w:proofErr w:type="spellEnd"/>
      <w:r w:rsidRPr="00443C96">
        <w:rPr>
          <w:rStyle w:val="normalchar1"/>
          <w:rFonts w:asciiTheme="minorHAnsi" w:hAnsiTheme="minorHAnsi" w:cs="Calibri"/>
          <w:sz w:val="20"/>
          <w:szCs w:val="20"/>
        </w:rPr>
        <w:t xml:space="preserve"> for help, rather than reporting to the department responsible for child protection (</w:t>
      </w:r>
      <w:r w:rsidRPr="00443C96">
        <w:rPr>
          <w:rFonts w:asciiTheme="minorHAnsi" w:hAnsiTheme="minorHAnsi"/>
          <w:i/>
        </w:rPr>
        <w:t>Children, Youth and Families Act 2005</w:t>
      </w:r>
      <w:r w:rsidRPr="00443C96">
        <w:rPr>
          <w:rFonts w:asciiTheme="minorHAnsi" w:hAnsiTheme="minorHAnsi"/>
        </w:rPr>
        <w:t xml:space="preserve"> (Vic) s</w:t>
      </w:r>
      <w:r w:rsidRPr="00443C96">
        <w:rPr>
          <w:rStyle w:val="normalchar1"/>
          <w:rFonts w:asciiTheme="minorHAnsi" w:hAnsiTheme="minorHAnsi" w:cs="Calibri"/>
          <w:sz w:val="20"/>
          <w:szCs w:val="20"/>
        </w:rPr>
        <w:t xml:space="preserve"> </w:t>
      </w:r>
      <w:r w:rsidRPr="00443C96">
        <w:rPr>
          <w:rFonts w:asciiTheme="minorHAnsi" w:hAnsiTheme="minorHAnsi"/>
        </w:rPr>
        <w:t xml:space="preserve">31). This provision complements the mandatory reporting provisions, where reports of a child being </w:t>
      </w:r>
      <w:r w:rsidRPr="00443C96">
        <w:rPr>
          <w:rStyle w:val="normalchar1"/>
          <w:rFonts w:asciiTheme="minorHAnsi" w:hAnsiTheme="minorHAnsi" w:cs="Calibri"/>
          <w:sz w:val="20"/>
          <w:szCs w:val="20"/>
        </w:rPr>
        <w:t xml:space="preserve">‘in need of protection’ </w:t>
      </w:r>
      <w:proofErr w:type="gramStart"/>
      <w:r w:rsidRPr="00443C96">
        <w:rPr>
          <w:rFonts w:asciiTheme="minorHAnsi" w:hAnsiTheme="minorHAnsi"/>
        </w:rPr>
        <w:t>must be made</w:t>
      </w:r>
      <w:proofErr w:type="gramEnd"/>
      <w:r w:rsidRPr="00443C96">
        <w:rPr>
          <w:rFonts w:asciiTheme="minorHAnsi" w:hAnsiTheme="minorHAnsi"/>
        </w:rPr>
        <w:t xml:space="preserve"> to the Secretary of the Department (s 184). Children and f</w:t>
      </w:r>
      <w:r w:rsidRPr="00443C96">
        <w:rPr>
          <w:rStyle w:val="normalchar1"/>
          <w:rFonts w:asciiTheme="minorHAnsi" w:hAnsiTheme="minorHAnsi" w:cs="Calibri"/>
          <w:sz w:val="20"/>
          <w:szCs w:val="20"/>
        </w:rPr>
        <w:t xml:space="preserve">amilies who </w:t>
      </w:r>
      <w:proofErr w:type="gramStart"/>
      <w:r w:rsidRPr="00443C96">
        <w:rPr>
          <w:rStyle w:val="normalchar1"/>
          <w:rFonts w:asciiTheme="minorHAnsi" w:hAnsiTheme="minorHAnsi" w:cs="Calibri"/>
          <w:sz w:val="20"/>
          <w:szCs w:val="20"/>
        </w:rPr>
        <w:t>are referred</w:t>
      </w:r>
      <w:proofErr w:type="gramEnd"/>
      <w:r w:rsidRPr="00443C96">
        <w:rPr>
          <w:rStyle w:val="normalchar1"/>
          <w:rFonts w:asciiTheme="minorHAnsi" w:hAnsiTheme="minorHAnsi" w:cs="Calibri"/>
          <w:sz w:val="20"/>
          <w:szCs w:val="20"/>
        </w:rPr>
        <w:t xml:space="preserve"> to </w:t>
      </w:r>
      <w:proofErr w:type="spellStart"/>
      <w:r w:rsidRPr="00443C96">
        <w:rPr>
          <w:rStyle w:val="normalchar1"/>
          <w:rFonts w:asciiTheme="minorHAnsi" w:hAnsiTheme="minorHAnsi" w:cs="Calibri"/>
          <w:sz w:val="20"/>
          <w:szCs w:val="20"/>
        </w:rPr>
        <w:t>ChildFIRST</w:t>
      </w:r>
      <w:proofErr w:type="spellEnd"/>
      <w:r w:rsidRPr="00443C96">
        <w:rPr>
          <w:rStyle w:val="normalchar1"/>
          <w:rFonts w:asciiTheme="minorHAnsi" w:hAnsiTheme="minorHAnsi" w:cs="Calibri"/>
          <w:sz w:val="20"/>
          <w:szCs w:val="20"/>
        </w:rPr>
        <w:t xml:space="preserve"> are assessed and may be offered home-based family support or referred to other health and welfare services (s 33). </w:t>
      </w:r>
      <w:proofErr w:type="spellStart"/>
      <w:r w:rsidRPr="00443C96">
        <w:rPr>
          <w:rStyle w:val="normalchar1"/>
          <w:rFonts w:asciiTheme="minorHAnsi" w:hAnsiTheme="minorHAnsi" w:cs="Calibri"/>
          <w:sz w:val="20"/>
          <w:szCs w:val="20"/>
        </w:rPr>
        <w:t>ChildFIRST</w:t>
      </w:r>
      <w:proofErr w:type="spellEnd"/>
      <w:r w:rsidRPr="00443C96">
        <w:rPr>
          <w:rStyle w:val="normalchar1"/>
          <w:rFonts w:asciiTheme="minorHAnsi" w:hAnsiTheme="minorHAnsi" w:cs="Calibri"/>
          <w:sz w:val="20"/>
          <w:szCs w:val="20"/>
        </w:rPr>
        <w:t xml:space="preserve"> must forward reports to child protection services if the </w:t>
      </w:r>
      <w:r w:rsidRPr="00443C96">
        <w:rPr>
          <w:rFonts w:asciiTheme="minorHAnsi" w:hAnsiTheme="minorHAnsi"/>
        </w:rPr>
        <w:t xml:space="preserve">community-based child and family service considers that the </w:t>
      </w:r>
      <w:r w:rsidRPr="00443C96">
        <w:rPr>
          <w:rStyle w:val="normalchar1"/>
          <w:rFonts w:asciiTheme="minorHAnsi" w:hAnsiTheme="minorHAnsi" w:cs="Calibri"/>
          <w:sz w:val="20"/>
          <w:szCs w:val="20"/>
        </w:rPr>
        <w:t xml:space="preserve">situation may involve more significant harm or risk of harm; that is, that the child may be ‘in need of protection’ (s 33(2)). Similarly, reports made to child protective services </w:t>
      </w:r>
      <w:proofErr w:type="gramStart"/>
      <w:r w:rsidRPr="00443C96">
        <w:rPr>
          <w:rStyle w:val="normalchar1"/>
          <w:rFonts w:asciiTheme="minorHAnsi" w:hAnsiTheme="minorHAnsi" w:cs="Calibri"/>
          <w:sz w:val="20"/>
          <w:szCs w:val="20"/>
        </w:rPr>
        <w:t>may be redirected</w:t>
      </w:r>
      <w:proofErr w:type="gramEnd"/>
      <w:r w:rsidRPr="00443C96">
        <w:rPr>
          <w:rStyle w:val="normalchar1"/>
          <w:rFonts w:asciiTheme="minorHAnsi" w:hAnsiTheme="minorHAnsi" w:cs="Calibri"/>
          <w:sz w:val="20"/>
          <w:szCs w:val="20"/>
        </w:rPr>
        <w:t xml:space="preserve"> to </w:t>
      </w:r>
      <w:proofErr w:type="spellStart"/>
      <w:r w:rsidRPr="00443C96">
        <w:rPr>
          <w:rStyle w:val="normalchar1"/>
          <w:rFonts w:asciiTheme="minorHAnsi" w:hAnsiTheme="minorHAnsi" w:cs="Calibri"/>
          <w:sz w:val="20"/>
          <w:szCs w:val="20"/>
        </w:rPr>
        <w:t>ChildFIRST</w:t>
      </w:r>
      <w:proofErr w:type="spellEnd"/>
      <w:r w:rsidRPr="00443C96">
        <w:rPr>
          <w:rStyle w:val="normalchar1"/>
          <w:rFonts w:asciiTheme="minorHAnsi" w:hAnsiTheme="minorHAnsi" w:cs="Calibri"/>
          <w:sz w:val="20"/>
          <w:szCs w:val="20"/>
        </w:rPr>
        <w:t xml:space="preserve"> if deemed not to require a child protection response (</w:t>
      </w:r>
      <w:proofErr w:type="spellStart"/>
      <w:r w:rsidRPr="00443C96">
        <w:rPr>
          <w:rStyle w:val="normalchar1"/>
          <w:rFonts w:asciiTheme="minorHAnsi" w:hAnsiTheme="minorHAnsi" w:cs="Calibri"/>
          <w:sz w:val="20"/>
          <w:szCs w:val="20"/>
        </w:rPr>
        <w:t>ss</w:t>
      </w:r>
      <w:proofErr w:type="spellEnd"/>
      <w:r w:rsidRPr="00443C96">
        <w:rPr>
          <w:rStyle w:val="normalchar1"/>
          <w:rFonts w:asciiTheme="minorHAnsi" w:hAnsiTheme="minorHAnsi" w:cs="Calibri"/>
          <w:sz w:val="20"/>
          <w:szCs w:val="20"/>
        </w:rPr>
        <w:t xml:space="preserve"> 30, 187).</w:t>
      </w:r>
    </w:p>
  </w:footnote>
  <w:footnote w:id="48">
    <w:p w14:paraId="0E75DDB4" w14:textId="5B708E71" w:rsidR="0038455E" w:rsidRPr="00822ACA" w:rsidRDefault="0038455E" w:rsidP="00F312E3">
      <w:pPr>
        <w:pStyle w:val="FootnoteText"/>
        <w:rPr>
          <w:rFonts w:asciiTheme="minorHAnsi" w:hAnsiTheme="minorHAnsi"/>
        </w:rPr>
      </w:pPr>
      <w:r w:rsidRPr="00822ACA">
        <w:rPr>
          <w:rStyle w:val="FootnoteReference"/>
          <w:rFonts w:asciiTheme="minorHAnsi" w:hAnsiTheme="minorHAnsi"/>
        </w:rPr>
        <w:footnoteRef/>
      </w:r>
      <w:r w:rsidRPr="00822ACA">
        <w:rPr>
          <w:rFonts w:asciiTheme="minorHAnsi" w:hAnsiTheme="minorHAnsi"/>
        </w:rPr>
        <w:t xml:space="preserve"> </w:t>
      </w:r>
      <w:proofErr w:type="gramStart"/>
      <w:r w:rsidRPr="00822ACA">
        <w:rPr>
          <w:rFonts w:asciiTheme="minorHAnsi" w:hAnsiTheme="minorHAnsi"/>
        </w:rPr>
        <w:t>Section 182(2) was the provision regarding the ‘relevant date’ and gazetting: (2) In paragraph (f), (g), (h), (</w:t>
      </w:r>
      <w:proofErr w:type="spellStart"/>
      <w:r w:rsidRPr="00822ACA">
        <w:rPr>
          <w:rFonts w:asciiTheme="minorHAnsi" w:hAnsiTheme="minorHAnsi"/>
        </w:rPr>
        <w:t>i</w:t>
      </w:r>
      <w:proofErr w:type="spellEnd"/>
      <w:r w:rsidRPr="00822ACA">
        <w:rPr>
          <w:rFonts w:asciiTheme="minorHAnsi" w:hAnsiTheme="minorHAnsi"/>
        </w:rPr>
        <w:t>), (j), (k) or (l) of subsection (1) "the relevant date", in relation to a person or class of persons referred to in that paragraph, means the date fixed for the purposes of that paragraph by an Order made by the Governor in Council and published in the Government Gazette.</w:t>
      </w:r>
      <w:proofErr w:type="gramEnd"/>
    </w:p>
  </w:footnote>
  <w:footnote w:id="49">
    <w:p w14:paraId="5AC6FEDB" w14:textId="79B60BC8" w:rsidR="0038455E" w:rsidRPr="00822ACA" w:rsidRDefault="0038455E" w:rsidP="00F312E3">
      <w:pPr>
        <w:pStyle w:val="FootnoteText"/>
        <w:rPr>
          <w:rFonts w:asciiTheme="minorHAnsi" w:hAnsiTheme="minorHAnsi"/>
        </w:rPr>
      </w:pPr>
      <w:r w:rsidRPr="00822ACA">
        <w:rPr>
          <w:rStyle w:val="FootnoteReference"/>
          <w:rFonts w:asciiTheme="minorHAnsi" w:hAnsiTheme="minorHAnsi"/>
        </w:rPr>
        <w:footnoteRef/>
      </w:r>
      <w:r w:rsidRPr="00822ACA">
        <w:rPr>
          <w:rFonts w:asciiTheme="minorHAnsi" w:hAnsiTheme="minorHAnsi"/>
        </w:rPr>
        <w:t xml:space="preserve"> The Justice Legislation Amendment Act 2010 (No 30) made consequential amendments (</w:t>
      </w:r>
      <w:proofErr w:type="spellStart"/>
      <w:r w:rsidRPr="00822ACA">
        <w:rPr>
          <w:rFonts w:asciiTheme="minorHAnsi" w:hAnsiTheme="minorHAnsi"/>
        </w:rPr>
        <w:t>comm</w:t>
      </w:r>
      <w:proofErr w:type="spellEnd"/>
      <w:r w:rsidRPr="00822ACA">
        <w:rPr>
          <w:rFonts w:asciiTheme="minorHAnsi" w:hAnsiTheme="minorHAnsi"/>
        </w:rPr>
        <w:t xml:space="preserve"> 26 June 2010) as follows:</w:t>
      </w:r>
    </w:p>
    <w:p w14:paraId="1F2C07CE" w14:textId="05399923" w:rsidR="0038455E" w:rsidRPr="00822ACA" w:rsidRDefault="0038455E" w:rsidP="00F312E3">
      <w:pPr>
        <w:pStyle w:val="FootnoteText"/>
        <w:rPr>
          <w:rFonts w:asciiTheme="minorHAnsi" w:hAnsiTheme="minorHAnsi"/>
        </w:rPr>
      </w:pPr>
      <w:r w:rsidRPr="00822ACA">
        <w:rPr>
          <w:rFonts w:asciiTheme="minorHAnsi" w:hAnsiTheme="minorHAnsi"/>
        </w:rPr>
        <w:t xml:space="preserve"> </w:t>
      </w:r>
      <w:r w:rsidRPr="00822ACA">
        <w:rPr>
          <w:rFonts w:asciiTheme="minorHAnsi" w:hAnsiTheme="minorHAnsi" w:cs="TimesNewRomanPS-BoldMT"/>
          <w:b/>
          <w:bCs/>
        </w:rPr>
        <w:t xml:space="preserve">44 Statute law revision - </w:t>
      </w:r>
      <w:r w:rsidRPr="00822ACA">
        <w:rPr>
          <w:rFonts w:asciiTheme="minorHAnsi" w:hAnsiTheme="minorHAnsi"/>
        </w:rPr>
        <w:t xml:space="preserve">(1) In section 184(1) of the </w:t>
      </w:r>
      <w:r w:rsidRPr="00822ACA">
        <w:rPr>
          <w:rFonts w:asciiTheme="minorHAnsi" w:hAnsiTheme="minorHAnsi" w:cs="TimesNewRomanPS-BoldMT"/>
          <w:b/>
          <w:bCs/>
        </w:rPr>
        <w:t>Children, Youth and Families Act 2005</w:t>
      </w:r>
      <w:r w:rsidRPr="00822ACA">
        <w:rPr>
          <w:rFonts w:asciiTheme="minorHAnsi" w:hAnsiTheme="minorHAnsi"/>
        </w:rPr>
        <w:t xml:space="preserve">, for "162(c) or 162(d)" </w:t>
      </w:r>
      <w:r w:rsidRPr="00822ACA">
        <w:rPr>
          <w:rFonts w:asciiTheme="minorHAnsi" w:hAnsiTheme="minorHAnsi" w:cs="TimesNewRomanPS-BoldMT"/>
          <w:b/>
          <w:bCs/>
        </w:rPr>
        <w:t xml:space="preserve">substitute </w:t>
      </w:r>
      <w:r w:rsidRPr="00822ACA">
        <w:rPr>
          <w:rFonts w:asciiTheme="minorHAnsi" w:hAnsiTheme="minorHAnsi"/>
        </w:rPr>
        <w:t>"162(1</w:t>
      </w:r>
      <w:proofErr w:type="gramStart"/>
      <w:r w:rsidRPr="00822ACA">
        <w:rPr>
          <w:rFonts w:asciiTheme="minorHAnsi" w:hAnsiTheme="minorHAnsi"/>
        </w:rPr>
        <w:t>)(</w:t>
      </w:r>
      <w:proofErr w:type="gramEnd"/>
      <w:r w:rsidRPr="00822ACA">
        <w:rPr>
          <w:rFonts w:asciiTheme="minorHAnsi" w:hAnsiTheme="minorHAnsi"/>
        </w:rPr>
        <w:t>c) or 162(1)(d)".</w:t>
      </w:r>
    </w:p>
    <w:p w14:paraId="7734210E" w14:textId="651304CD" w:rsidR="0038455E" w:rsidRPr="00822ACA" w:rsidRDefault="0038455E" w:rsidP="00F312E3">
      <w:pPr>
        <w:pStyle w:val="FootnoteText"/>
        <w:rPr>
          <w:rFonts w:asciiTheme="minorHAnsi" w:hAnsiTheme="minorHAnsi"/>
        </w:rPr>
      </w:pPr>
      <w:r w:rsidRPr="00822ACA">
        <w:rPr>
          <w:rFonts w:asciiTheme="minorHAnsi" w:hAnsiTheme="minorHAnsi"/>
        </w:rPr>
        <w:t xml:space="preserve">The </w:t>
      </w:r>
      <w:r w:rsidRPr="00822ACA">
        <w:rPr>
          <w:rFonts w:asciiTheme="minorHAnsi" w:hAnsiTheme="minorHAnsi"/>
          <w:b/>
          <w:i/>
        </w:rPr>
        <w:t>Children’s Services Amendment Act 2011</w:t>
      </w:r>
      <w:r w:rsidRPr="00822ACA">
        <w:rPr>
          <w:rFonts w:asciiTheme="minorHAnsi" w:hAnsiTheme="minorHAnsi"/>
        </w:rPr>
        <w:t xml:space="preserve"> (No 80) s 79 (Sch. Item 2) commencing 1 January 2012) inserted a new s 182(fa) as follows:</w:t>
      </w:r>
    </w:p>
    <w:p w14:paraId="25E51145" w14:textId="77777777" w:rsidR="0038455E" w:rsidRPr="00822ACA" w:rsidRDefault="0038455E" w:rsidP="00F312E3">
      <w:pPr>
        <w:pStyle w:val="FootnoteText"/>
        <w:ind w:left="852"/>
        <w:rPr>
          <w:rFonts w:asciiTheme="minorHAnsi" w:hAnsiTheme="minorHAnsi"/>
        </w:rPr>
      </w:pPr>
      <w:r w:rsidRPr="00822ACA">
        <w:rPr>
          <w:rFonts w:asciiTheme="minorHAnsi" w:hAnsiTheme="minorHAnsi"/>
        </w:rPr>
        <w:t>2.3 In section 182(1), after paragraph (f) insert—</w:t>
      </w:r>
    </w:p>
    <w:p w14:paraId="5FD44F38" w14:textId="77777777" w:rsidR="0038455E" w:rsidRPr="00822ACA" w:rsidRDefault="0038455E" w:rsidP="00F312E3">
      <w:pPr>
        <w:pStyle w:val="FootnoteText"/>
        <w:ind w:left="852"/>
        <w:rPr>
          <w:rFonts w:asciiTheme="minorHAnsi" w:hAnsiTheme="minorHAnsi"/>
        </w:rPr>
      </w:pPr>
      <w:r w:rsidRPr="00822ACA">
        <w:rPr>
          <w:rFonts w:asciiTheme="minorHAnsi" w:hAnsiTheme="minorHAnsi"/>
        </w:rPr>
        <w:t>"(fa) on and from the relevant date, the approved provider or nominated supervisor of, or a person with a post-secondary qualification in the care, education or minding of children</w:t>
      </w:r>
    </w:p>
    <w:p w14:paraId="6EEFF84C" w14:textId="77777777" w:rsidR="0038455E" w:rsidRPr="00822ACA" w:rsidRDefault="0038455E" w:rsidP="00F312E3">
      <w:pPr>
        <w:pStyle w:val="FootnoteText"/>
        <w:ind w:left="852"/>
        <w:rPr>
          <w:rFonts w:asciiTheme="minorHAnsi" w:hAnsiTheme="minorHAnsi"/>
        </w:rPr>
      </w:pPr>
      <w:r w:rsidRPr="00822ACA">
        <w:rPr>
          <w:rFonts w:asciiTheme="minorHAnsi" w:hAnsiTheme="minorHAnsi"/>
        </w:rPr>
        <w:t>who is employed or engaged by an education and care service within the meaning of the</w:t>
      </w:r>
    </w:p>
    <w:p w14:paraId="07157D77" w14:textId="77777777" w:rsidR="0038455E" w:rsidRPr="00822ACA" w:rsidRDefault="0038455E" w:rsidP="00F312E3">
      <w:pPr>
        <w:pStyle w:val="FootnoteText"/>
        <w:ind w:left="852"/>
        <w:rPr>
          <w:rFonts w:asciiTheme="minorHAnsi" w:hAnsiTheme="minorHAnsi"/>
        </w:rPr>
      </w:pPr>
      <w:proofErr w:type="gramStart"/>
      <w:r w:rsidRPr="00822ACA">
        <w:rPr>
          <w:rFonts w:asciiTheme="minorHAnsi" w:hAnsiTheme="minorHAnsi"/>
        </w:rPr>
        <w:t>Education and Care Services National Law (Victoria)".</w:t>
      </w:r>
      <w:proofErr w:type="gramEnd"/>
    </w:p>
    <w:p w14:paraId="5E7AE976" w14:textId="77777777" w:rsidR="0038455E" w:rsidRPr="00822ACA" w:rsidRDefault="0038455E" w:rsidP="00F312E3">
      <w:pPr>
        <w:pStyle w:val="FootnoteText"/>
        <w:rPr>
          <w:rFonts w:asciiTheme="minorHAnsi" w:hAnsiTheme="minorHAnsi"/>
        </w:rPr>
      </w:pPr>
      <w:proofErr w:type="gramStart"/>
      <w:r w:rsidRPr="00822ACA">
        <w:rPr>
          <w:rFonts w:asciiTheme="minorHAnsi" w:hAnsiTheme="minorHAnsi"/>
        </w:rPr>
        <w:t>Similar insubstantial amendments to s 182 were made by the Health Professions Registration Act 2005, No. 97/2005, and the Education and Training Reform Act 2006, No. 24/2006</w:t>
      </w:r>
      <w:proofErr w:type="gramEnd"/>
      <w:r w:rsidRPr="00822ACA">
        <w:rPr>
          <w:rFonts w:asciiTheme="minorHAnsi" w:hAnsiTheme="minorHAnsi"/>
        </w:rPr>
        <w:t>.</w:t>
      </w:r>
    </w:p>
  </w:footnote>
  <w:footnote w:id="50">
    <w:p w14:paraId="2C5B4CA7" w14:textId="57EEE580" w:rsidR="0038455E" w:rsidRPr="00822ACA" w:rsidRDefault="0038455E" w:rsidP="00F312E3">
      <w:pPr>
        <w:pStyle w:val="FootnoteText"/>
        <w:rPr>
          <w:rFonts w:asciiTheme="minorHAnsi" w:hAnsiTheme="minorHAnsi"/>
        </w:rPr>
      </w:pPr>
      <w:r w:rsidRPr="00822ACA">
        <w:rPr>
          <w:rStyle w:val="FootnoteReference"/>
          <w:rFonts w:asciiTheme="minorHAnsi" w:hAnsiTheme="minorHAnsi"/>
        </w:rPr>
        <w:footnoteRef/>
      </w:r>
      <w:r w:rsidRPr="00822ACA">
        <w:rPr>
          <w:rFonts w:asciiTheme="minorHAnsi" w:hAnsiTheme="minorHAnsi"/>
        </w:rPr>
        <w:t xml:space="preserve"> </w:t>
      </w:r>
      <w:proofErr w:type="gramStart"/>
      <w:r w:rsidRPr="00822ACA">
        <w:rPr>
          <w:rFonts w:asciiTheme="minorHAnsi" w:hAnsiTheme="minorHAnsi"/>
        </w:rPr>
        <w:t>For example, item 12.2 stated that In section 3(1)— (a) for the definition of registered medical practitioner substitute—"registered medical practitioner means a person registered under the Health Practitioner Regulation National Law to practise in the medical profession (other than as a student)"; (b) for the definition of registered psychologist substitute—"registered psychologist means a person registered under the Health Practitioner Regulation National Law to practise in the psychology profession (other than as a student)".</w:t>
      </w:r>
      <w:proofErr w:type="gramEnd"/>
    </w:p>
  </w:footnote>
  <w:footnote w:id="51">
    <w:p w14:paraId="45987504" w14:textId="02E7446F" w:rsidR="0038455E" w:rsidRPr="00822ACA" w:rsidRDefault="0038455E" w:rsidP="00F312E3">
      <w:pPr>
        <w:pStyle w:val="FootnoteText"/>
        <w:rPr>
          <w:rFonts w:asciiTheme="minorHAnsi" w:hAnsiTheme="minorHAnsi"/>
        </w:rPr>
      </w:pPr>
      <w:r w:rsidRPr="00822ACA">
        <w:rPr>
          <w:rStyle w:val="FootnoteReference"/>
          <w:rFonts w:asciiTheme="minorHAnsi" w:hAnsiTheme="minorHAnsi"/>
        </w:rPr>
        <w:footnoteRef/>
      </w:r>
      <w:r w:rsidRPr="00822ACA">
        <w:rPr>
          <w:rFonts w:asciiTheme="minorHAnsi" w:hAnsiTheme="minorHAnsi"/>
        </w:rPr>
        <w:t xml:space="preserve"> </w:t>
      </w:r>
      <w:proofErr w:type="gramStart"/>
      <w:r w:rsidRPr="00822ACA">
        <w:rPr>
          <w:rFonts w:asciiTheme="minorHAnsi" w:hAnsiTheme="minorHAnsi"/>
          <w:b/>
        </w:rPr>
        <w:t>12.3</w:t>
      </w:r>
      <w:r w:rsidRPr="00822ACA">
        <w:rPr>
          <w:rFonts w:asciiTheme="minorHAnsi" w:hAnsiTheme="minorHAnsi"/>
        </w:rPr>
        <w:t xml:space="preserve"> In section 3(1), insert the following definitions—"midwife means a person registered under the Health Practitioner Regulation National Law—to practise in the nursing and midwifery profession as a midwife (other than as a student); and (b) in the register of midwives kept for that profession; “nurse” means a person registered under the Health Practitioner Regulation National Law to practise in the nursing and midwifery profession as a nurse (other than as a midwife or as a student)".</w:t>
      </w:r>
      <w:proofErr w:type="gramEnd"/>
    </w:p>
    <w:p w14:paraId="04CDE5D6" w14:textId="77777777" w:rsidR="0038455E" w:rsidRPr="00822ACA" w:rsidRDefault="0038455E" w:rsidP="00F312E3">
      <w:pPr>
        <w:pStyle w:val="FootnoteText"/>
        <w:rPr>
          <w:rFonts w:asciiTheme="minorHAnsi" w:hAnsiTheme="minorHAnsi"/>
        </w:rPr>
      </w:pPr>
    </w:p>
  </w:footnote>
  <w:footnote w:id="52">
    <w:p w14:paraId="69F6EBE0" w14:textId="3C2D0A50" w:rsidR="0038455E" w:rsidRPr="00822ACA" w:rsidRDefault="0038455E" w:rsidP="00F312E3">
      <w:pPr>
        <w:pStyle w:val="FootnoteText"/>
        <w:rPr>
          <w:rFonts w:asciiTheme="minorHAnsi" w:hAnsiTheme="minorHAnsi"/>
        </w:rPr>
      </w:pPr>
      <w:r w:rsidRPr="00822ACA">
        <w:rPr>
          <w:rStyle w:val="FootnoteReference"/>
          <w:rFonts w:asciiTheme="minorHAnsi" w:hAnsiTheme="minorHAnsi"/>
        </w:rPr>
        <w:footnoteRef/>
      </w:r>
      <w:r w:rsidRPr="00822ACA">
        <w:rPr>
          <w:rFonts w:asciiTheme="minorHAnsi" w:hAnsiTheme="minorHAnsi"/>
        </w:rPr>
        <w:t xml:space="preserve"> As (s 5): ‘sexual behaviour in circumstances where – (a) the child is the subject of bribery, coercion, a threat, exploitation or violence; or (b) the child has less power than another person involved in the behaviour; or (c) there is a significant disparity in the developmental function or maturity of the child and another person involved in the behaviour’.</w:t>
      </w:r>
    </w:p>
  </w:footnote>
  <w:footnote w:id="53">
    <w:p w14:paraId="40C3E5DD" w14:textId="19140374" w:rsidR="0038455E" w:rsidRPr="00822ACA" w:rsidRDefault="0038455E" w:rsidP="00F312E3">
      <w:pPr>
        <w:pStyle w:val="FootnoteText"/>
        <w:rPr>
          <w:rFonts w:asciiTheme="minorHAnsi" w:hAnsiTheme="minorHAnsi"/>
        </w:rPr>
      </w:pPr>
      <w:r w:rsidRPr="00822ACA">
        <w:rPr>
          <w:rStyle w:val="FootnoteReference"/>
          <w:rFonts w:asciiTheme="minorHAnsi" w:hAnsiTheme="minorHAnsi"/>
        </w:rPr>
        <w:footnoteRef/>
      </w:r>
      <w:r w:rsidRPr="00822ACA">
        <w:rPr>
          <w:rFonts w:asciiTheme="minorHAnsi" w:hAnsiTheme="minorHAnsi"/>
        </w:rPr>
        <w:t xml:space="preserve"> For example, The </w:t>
      </w:r>
      <w:r w:rsidRPr="00822ACA">
        <w:rPr>
          <w:rFonts w:asciiTheme="minorHAnsi" w:hAnsiTheme="minorHAnsi"/>
          <w:i/>
        </w:rPr>
        <w:t>Children and Community Services Amendment Act 2010</w:t>
      </w:r>
      <w:r w:rsidRPr="00822ACA">
        <w:rPr>
          <w:rFonts w:asciiTheme="minorHAnsi" w:hAnsiTheme="minorHAnsi"/>
        </w:rPr>
        <w:t xml:space="preserve"> (No 49 of 2010)  s 72 amended s 124C(3)(c) to delete the words “if known” and insert “if, or to the extent, known”, and added the new subsection (</w:t>
      </w:r>
      <w:proofErr w:type="spellStart"/>
      <w:r w:rsidRPr="00822ACA">
        <w:rPr>
          <w:rFonts w:asciiTheme="minorHAnsi" w:hAnsiTheme="minorHAnsi"/>
        </w:rPr>
        <w:t>ea</w:t>
      </w:r>
      <w:proofErr w:type="spellEnd"/>
      <w:r w:rsidRPr="00822ACA">
        <w:rPr>
          <w:rFonts w:asciiTheme="minorHAnsi" w:hAnsiTheme="minorHAnsi"/>
        </w:rPr>
        <w:t xml:space="preserve">) as described above, concerning the information to be provided in the report. Section 85 amended the penalty provisions in </w:t>
      </w:r>
      <w:proofErr w:type="gramStart"/>
      <w:r w:rsidRPr="00822ACA">
        <w:rPr>
          <w:rFonts w:asciiTheme="minorHAnsi" w:hAnsiTheme="minorHAnsi"/>
        </w:rPr>
        <w:t>124C(</w:t>
      </w:r>
      <w:proofErr w:type="gramEnd"/>
      <w:r w:rsidRPr="00822ACA">
        <w:rPr>
          <w:rFonts w:asciiTheme="minorHAnsi" w:hAnsiTheme="minorHAnsi"/>
        </w:rPr>
        <w:t xml:space="preserve">1), (2) and (4) to add the words “a fine of”. The Health Practitioner Regulation National Law (WA) Act 2010 (No 35 of 2010) s 39 amends the definitions of “doctor”, “nurse” and “midwife” to align those occupational definitions with the new regulatory framework of professional registration. The </w:t>
      </w:r>
      <w:r w:rsidRPr="00822ACA">
        <w:rPr>
          <w:rFonts w:asciiTheme="minorHAnsi" w:hAnsiTheme="minorHAnsi"/>
          <w:i/>
        </w:rPr>
        <w:t>Teacher Registration Act 2012</w:t>
      </w:r>
      <w:r w:rsidRPr="00822ACA">
        <w:rPr>
          <w:rFonts w:asciiTheme="minorHAnsi" w:hAnsiTheme="minorHAnsi"/>
        </w:rPr>
        <w:t xml:space="preserve"> (No 16 of 2012) s 163 amends the definition of “teacher” to align its occupational definition with the new regulatory framework of professional registration.</w:t>
      </w:r>
    </w:p>
  </w:footnote>
  <w:footnote w:id="54">
    <w:p w14:paraId="365621EF" w14:textId="2FD541BF" w:rsidR="0038455E" w:rsidRPr="00822ACA" w:rsidRDefault="0038455E" w:rsidP="00F312E3">
      <w:pPr>
        <w:pStyle w:val="FootnoteText"/>
        <w:rPr>
          <w:rFonts w:asciiTheme="minorHAnsi" w:hAnsiTheme="minorHAnsi"/>
        </w:rPr>
      </w:pPr>
      <w:r w:rsidRPr="00822ACA">
        <w:rPr>
          <w:rStyle w:val="FootnoteReference"/>
          <w:rFonts w:asciiTheme="minorHAnsi" w:hAnsiTheme="minorHAnsi"/>
        </w:rPr>
        <w:footnoteRef/>
      </w:r>
      <w:r w:rsidRPr="00822ACA">
        <w:rPr>
          <w:rFonts w:asciiTheme="minorHAnsi" w:hAnsiTheme="minorHAnsi"/>
        </w:rPr>
        <w:t xml:space="preserve"> Essentially, options other than school in the last two years of compulsory education, like vocational education.</w:t>
      </w:r>
    </w:p>
  </w:footnote>
  <w:footnote w:id="55">
    <w:p w14:paraId="21608EB7" w14:textId="2348169A" w:rsidR="0038455E" w:rsidRPr="001A4ED6" w:rsidRDefault="0038455E" w:rsidP="00F312E3">
      <w:pPr>
        <w:pStyle w:val="FootnoteText"/>
      </w:pPr>
      <w:r w:rsidRPr="00822ACA">
        <w:rPr>
          <w:rStyle w:val="FootnoteReference"/>
          <w:rFonts w:asciiTheme="minorHAnsi" w:hAnsiTheme="minorHAnsi"/>
        </w:rPr>
        <w:footnoteRef/>
      </w:r>
      <w:r w:rsidRPr="00822ACA">
        <w:rPr>
          <w:rFonts w:asciiTheme="minorHAnsi" w:hAnsiTheme="minorHAnsi"/>
        </w:rPr>
        <w:t xml:space="preserve"> </w:t>
      </w:r>
      <w:proofErr w:type="gramStart"/>
      <w:r w:rsidRPr="00822ACA">
        <w:rPr>
          <w:rFonts w:asciiTheme="minorHAnsi" w:hAnsiTheme="minorHAnsi"/>
        </w:rPr>
        <w:t>Essentially, home schooling.</w:t>
      </w:r>
      <w:proofErr w:type="gramEnd"/>
    </w:p>
  </w:footnote>
  <w:footnote w:id="56">
    <w:p w14:paraId="104FC180" w14:textId="643965E1" w:rsidR="0038455E" w:rsidRPr="007747F8" w:rsidRDefault="0038455E" w:rsidP="00F312E3">
      <w:pPr>
        <w:pStyle w:val="FootnoteText"/>
        <w:rPr>
          <w:rFonts w:asciiTheme="minorHAnsi" w:hAnsiTheme="minorHAnsi"/>
        </w:rPr>
      </w:pPr>
      <w:r w:rsidRPr="007747F8">
        <w:rPr>
          <w:rStyle w:val="FootnoteReference"/>
          <w:rFonts w:asciiTheme="minorHAnsi" w:hAnsiTheme="minorHAnsi"/>
        </w:rPr>
        <w:footnoteRef/>
      </w:r>
      <w:r w:rsidRPr="007747F8">
        <w:rPr>
          <w:rFonts w:asciiTheme="minorHAnsi" w:hAnsiTheme="minorHAnsi"/>
        </w:rPr>
        <w:t xml:space="preserve"> The </w:t>
      </w:r>
      <w:r w:rsidRPr="007747F8">
        <w:rPr>
          <w:rFonts w:asciiTheme="minorHAnsi" w:hAnsiTheme="minorHAnsi"/>
          <w:i/>
        </w:rPr>
        <w:t>Child Care Services Act 2007</w:t>
      </w:r>
      <w:r w:rsidRPr="007747F8">
        <w:rPr>
          <w:rFonts w:asciiTheme="minorHAnsi" w:hAnsiTheme="minorHAnsi"/>
        </w:rPr>
        <w:t xml:space="preserve"> at the time also did not mandated childcare staff. It regulated the provision of </w:t>
      </w:r>
      <w:proofErr w:type="gramStart"/>
      <w:r w:rsidRPr="007747F8">
        <w:rPr>
          <w:rFonts w:asciiTheme="minorHAnsi" w:hAnsiTheme="minorHAnsi"/>
        </w:rPr>
        <w:t>child care</w:t>
      </w:r>
      <w:proofErr w:type="gramEnd"/>
      <w:r w:rsidRPr="007747F8">
        <w:rPr>
          <w:rFonts w:asciiTheme="minorHAnsi" w:hAnsiTheme="minorHAnsi"/>
        </w:rPr>
        <w:t xml:space="preserve"> (rather than education); see also s 4. The </w:t>
      </w:r>
      <w:r w:rsidRPr="007747F8">
        <w:rPr>
          <w:rFonts w:asciiTheme="minorHAnsi" w:hAnsiTheme="minorHAnsi"/>
          <w:i/>
        </w:rPr>
        <w:t>Western Australian College of Teaching Act 2004</w:t>
      </w:r>
      <w:r w:rsidRPr="007747F8">
        <w:rPr>
          <w:rFonts w:asciiTheme="minorHAnsi" w:hAnsiTheme="minorHAnsi"/>
        </w:rPr>
        <w:t>, which regulated teaching in schools, did not include childcare staff as ‘teachers’ and so did not require childcare staff to be registered. See the explanatory memorandum which appears to limit the definition and scope of ‘teacher’: http://www.parliament.wa.gov.au/Parliament/bills.nsf/6C1C35600F6FA450C82573A20001DFD7/$File/EM%2B-%2BBill%2B257-1.pdf</w:t>
      </w:r>
    </w:p>
  </w:footnote>
  <w:footnote w:id="57">
    <w:p w14:paraId="5EBEF5C2" w14:textId="25F23905" w:rsidR="0038455E" w:rsidRPr="007747F8" w:rsidRDefault="0038455E" w:rsidP="00F312E3">
      <w:pPr>
        <w:pStyle w:val="FootnoteText"/>
        <w:rPr>
          <w:rFonts w:asciiTheme="minorHAnsi" w:hAnsiTheme="minorHAnsi"/>
        </w:rPr>
      </w:pPr>
      <w:r w:rsidRPr="007747F8">
        <w:rPr>
          <w:rStyle w:val="FootnoteReference"/>
          <w:rFonts w:asciiTheme="minorHAnsi" w:hAnsiTheme="minorHAnsi"/>
        </w:rPr>
        <w:footnoteRef/>
      </w:r>
      <w:r w:rsidRPr="007747F8">
        <w:rPr>
          <w:rFonts w:asciiTheme="minorHAnsi" w:hAnsiTheme="minorHAnsi"/>
        </w:rPr>
        <w:t xml:space="preserve"> Note that under the </w:t>
      </w:r>
      <w:r w:rsidRPr="007747F8">
        <w:rPr>
          <w:rFonts w:asciiTheme="minorHAnsi" w:hAnsiTheme="minorHAnsi"/>
          <w:i/>
        </w:rPr>
        <w:t>Education and Care Services National Law (WA) Act 2012</w:t>
      </w:r>
      <w:r w:rsidRPr="007747F8">
        <w:rPr>
          <w:rFonts w:asciiTheme="minorHAnsi" w:hAnsiTheme="minorHAnsi"/>
        </w:rPr>
        <w:t>, ‘education and care service’ is defined as ‘any service providing or intended to provide education and care on a regular basis to children under 13 years of age other than —</w:t>
      </w:r>
    </w:p>
    <w:p w14:paraId="5EE6FE66" w14:textId="0B80A0B3" w:rsidR="0038455E" w:rsidRPr="007747F8" w:rsidRDefault="0038455E" w:rsidP="001B0227">
      <w:pPr>
        <w:pStyle w:val="FootnoteText"/>
        <w:numPr>
          <w:ilvl w:val="1"/>
          <w:numId w:val="62"/>
        </w:numPr>
        <w:rPr>
          <w:rFonts w:asciiTheme="minorHAnsi" w:hAnsiTheme="minorHAnsi"/>
        </w:rPr>
      </w:pPr>
      <w:r w:rsidRPr="007747F8">
        <w:rPr>
          <w:rFonts w:asciiTheme="minorHAnsi" w:hAnsiTheme="minorHAnsi"/>
        </w:rPr>
        <w:t>a school providing an educational program to school children in accordance with the School Education Act 1999; or</w:t>
      </w:r>
    </w:p>
    <w:p w14:paraId="5EBA709C" w14:textId="66329F66" w:rsidR="0038455E" w:rsidRPr="007747F8" w:rsidRDefault="0038455E" w:rsidP="001B0227">
      <w:pPr>
        <w:pStyle w:val="FootnoteText"/>
        <w:numPr>
          <w:ilvl w:val="1"/>
          <w:numId w:val="62"/>
        </w:numPr>
        <w:rPr>
          <w:rFonts w:asciiTheme="minorHAnsi" w:hAnsiTheme="minorHAnsi"/>
        </w:rPr>
      </w:pPr>
      <w:r w:rsidRPr="007747F8">
        <w:rPr>
          <w:rFonts w:asciiTheme="minorHAnsi" w:hAnsiTheme="minorHAnsi"/>
        </w:rPr>
        <w:t>a community kindergarten providing an educational program to children in accordance with the School Education Act 1999; or</w:t>
      </w:r>
    </w:p>
    <w:p w14:paraId="317EFD8B" w14:textId="3F19FBEC" w:rsidR="0038455E" w:rsidRPr="007747F8" w:rsidRDefault="0038455E" w:rsidP="001B0227">
      <w:pPr>
        <w:pStyle w:val="FootnoteText"/>
        <w:numPr>
          <w:ilvl w:val="1"/>
          <w:numId w:val="62"/>
        </w:numPr>
        <w:rPr>
          <w:rFonts w:asciiTheme="minorHAnsi" w:hAnsiTheme="minorHAnsi"/>
        </w:rPr>
      </w:pPr>
      <w:r w:rsidRPr="007747F8">
        <w:rPr>
          <w:rFonts w:asciiTheme="minorHAnsi" w:hAnsiTheme="minorHAnsi"/>
        </w:rPr>
        <w:t>a personal arrangement; or</w:t>
      </w:r>
    </w:p>
    <w:p w14:paraId="5798B1F3" w14:textId="77777777" w:rsidR="0038455E" w:rsidRDefault="0038455E" w:rsidP="001B0227">
      <w:pPr>
        <w:pStyle w:val="FootnoteText"/>
        <w:numPr>
          <w:ilvl w:val="1"/>
          <w:numId w:val="62"/>
        </w:numPr>
        <w:rPr>
          <w:rFonts w:asciiTheme="minorHAnsi" w:hAnsiTheme="minorHAnsi"/>
        </w:rPr>
      </w:pPr>
      <w:r w:rsidRPr="007747F8">
        <w:rPr>
          <w:rFonts w:asciiTheme="minorHAnsi" w:hAnsiTheme="minorHAnsi"/>
        </w:rPr>
        <w:t>a service principally conducted to provide instruction in a particular activity; or</w:t>
      </w:r>
    </w:p>
    <w:p w14:paraId="563774F5" w14:textId="17EFA487" w:rsidR="0038455E" w:rsidRPr="00BA10AD" w:rsidRDefault="0038455E" w:rsidP="00BA10AD">
      <w:pPr>
        <w:pStyle w:val="FootnoteText"/>
        <w:ind w:left="990"/>
        <w:rPr>
          <w:rFonts w:asciiTheme="minorHAnsi" w:hAnsiTheme="minorHAnsi"/>
        </w:rPr>
      </w:pPr>
      <w:proofErr w:type="gramStart"/>
      <w:r w:rsidRPr="00BA10AD">
        <w:rPr>
          <w:rFonts w:asciiTheme="minorHAnsi" w:hAnsiTheme="minorHAnsi"/>
        </w:rPr>
        <w:t>Example: Instruction in sport, dance, music, culture or language or religious instruction.</w:t>
      </w:r>
      <w:proofErr w:type="gramEnd"/>
    </w:p>
    <w:p w14:paraId="288EBBBD" w14:textId="239CBA88" w:rsidR="0038455E" w:rsidRPr="007747F8" w:rsidRDefault="0038455E" w:rsidP="001B0227">
      <w:pPr>
        <w:pStyle w:val="FootnoteText"/>
        <w:numPr>
          <w:ilvl w:val="1"/>
          <w:numId w:val="62"/>
        </w:numPr>
        <w:rPr>
          <w:rFonts w:asciiTheme="minorHAnsi" w:hAnsiTheme="minorHAnsi"/>
        </w:rPr>
      </w:pPr>
      <w:r w:rsidRPr="007747F8">
        <w:rPr>
          <w:rFonts w:asciiTheme="minorHAnsi" w:hAnsiTheme="minorHAnsi"/>
        </w:rPr>
        <w:t>a service providing education and care to patients in a hospital or patients of a medical or therapeutic care service; or</w:t>
      </w:r>
    </w:p>
    <w:p w14:paraId="06C5083F" w14:textId="4EACBCB0" w:rsidR="0038455E" w:rsidRPr="007747F8" w:rsidRDefault="0038455E" w:rsidP="001B0227">
      <w:pPr>
        <w:pStyle w:val="FootnoteText"/>
        <w:numPr>
          <w:ilvl w:val="1"/>
          <w:numId w:val="62"/>
        </w:numPr>
        <w:rPr>
          <w:rFonts w:asciiTheme="minorHAnsi" w:hAnsiTheme="minorHAnsi"/>
        </w:rPr>
      </w:pPr>
      <w:r w:rsidRPr="007747F8">
        <w:rPr>
          <w:rFonts w:asciiTheme="minorHAnsi" w:hAnsiTheme="minorHAnsi"/>
        </w:rPr>
        <w:t>care provided under a child protection law of a participating jurisdiction; or</w:t>
      </w:r>
    </w:p>
    <w:p w14:paraId="4FDA1068" w14:textId="53CF7824" w:rsidR="0038455E" w:rsidRPr="007747F8" w:rsidRDefault="0038455E" w:rsidP="001B0227">
      <w:pPr>
        <w:pStyle w:val="FootnoteText"/>
        <w:numPr>
          <w:ilvl w:val="1"/>
          <w:numId w:val="62"/>
        </w:numPr>
        <w:rPr>
          <w:rFonts w:asciiTheme="minorHAnsi" w:hAnsiTheme="minorHAnsi"/>
        </w:rPr>
      </w:pPr>
      <w:r w:rsidRPr="007747F8">
        <w:rPr>
          <w:rFonts w:asciiTheme="minorHAnsi" w:hAnsiTheme="minorHAnsi"/>
        </w:rPr>
        <w:t>a prescribed class of disability service; or</w:t>
      </w:r>
    </w:p>
    <w:p w14:paraId="7BB45678" w14:textId="5940CC80" w:rsidR="0038455E" w:rsidRPr="007747F8" w:rsidRDefault="0038455E" w:rsidP="001B0227">
      <w:pPr>
        <w:pStyle w:val="FootnoteText"/>
        <w:numPr>
          <w:ilvl w:val="1"/>
          <w:numId w:val="62"/>
        </w:numPr>
        <w:rPr>
          <w:rFonts w:asciiTheme="minorHAnsi" w:hAnsiTheme="minorHAnsi"/>
        </w:rPr>
      </w:pPr>
      <w:r w:rsidRPr="007747F8">
        <w:rPr>
          <w:rFonts w:asciiTheme="minorHAnsi" w:hAnsiTheme="minorHAnsi"/>
        </w:rPr>
        <w:t>a service of a prescribed class;</w:t>
      </w:r>
    </w:p>
    <w:p w14:paraId="506640FD" w14:textId="77777777" w:rsidR="0038455E" w:rsidRPr="007747F8" w:rsidRDefault="0038455E" w:rsidP="00F312E3">
      <w:pPr>
        <w:pStyle w:val="FootnoteText"/>
        <w:ind w:left="568"/>
        <w:rPr>
          <w:rFonts w:asciiTheme="minorHAnsi" w:hAnsiTheme="minorHAnsi"/>
        </w:rPr>
      </w:pPr>
      <w:r w:rsidRPr="007747F8">
        <w:rPr>
          <w:rFonts w:asciiTheme="minorHAnsi" w:hAnsiTheme="minorHAnsi"/>
        </w:rPr>
        <w:t xml:space="preserve">Example: Education and care services to which this Law applies include long day care services, family day care services and outside school </w:t>
      </w:r>
      <w:proofErr w:type="gramStart"/>
      <w:r w:rsidRPr="007747F8">
        <w:rPr>
          <w:rFonts w:asciiTheme="minorHAnsi" w:hAnsiTheme="minorHAnsi"/>
        </w:rPr>
        <w:t>hours</w:t>
      </w:r>
      <w:proofErr w:type="gramEnd"/>
      <w:r w:rsidRPr="007747F8">
        <w:rPr>
          <w:rFonts w:asciiTheme="minorHAnsi" w:hAnsiTheme="minorHAnsi"/>
        </w:rPr>
        <w:t xml:space="preserve"> services, unless expressly excluded.</w:t>
      </w:r>
    </w:p>
  </w:footnote>
  <w:footnote w:id="58">
    <w:p w14:paraId="7DD80C70" w14:textId="07DB90FE" w:rsidR="0038455E" w:rsidRPr="007747F8" w:rsidRDefault="0038455E" w:rsidP="00F312E3">
      <w:pPr>
        <w:pStyle w:val="FootnoteText"/>
        <w:rPr>
          <w:rFonts w:asciiTheme="minorHAnsi" w:hAnsiTheme="minorHAnsi"/>
        </w:rPr>
      </w:pPr>
      <w:r w:rsidRPr="007747F8">
        <w:rPr>
          <w:rStyle w:val="FootnoteReference"/>
          <w:rFonts w:asciiTheme="minorHAnsi" w:hAnsiTheme="minorHAnsi"/>
        </w:rPr>
        <w:footnoteRef/>
      </w:r>
      <w:r w:rsidRPr="007747F8">
        <w:rPr>
          <w:rFonts w:asciiTheme="minorHAnsi" w:hAnsiTheme="minorHAnsi"/>
        </w:rPr>
        <w:t xml:space="preserve"> </w:t>
      </w:r>
      <w:r>
        <w:rPr>
          <w:rFonts w:asciiTheme="minorHAnsi" w:hAnsiTheme="minorHAnsi"/>
        </w:rPr>
        <w:t xml:space="preserve"> </w:t>
      </w:r>
      <w:r w:rsidRPr="007747F8">
        <w:rPr>
          <w:rFonts w:asciiTheme="minorHAnsi" w:hAnsiTheme="minorHAnsi"/>
        </w:rPr>
        <w:t xml:space="preserve">Under s </w:t>
      </w:r>
      <w:proofErr w:type="gramStart"/>
      <w:r w:rsidRPr="007747F8">
        <w:rPr>
          <w:rFonts w:asciiTheme="minorHAnsi" w:hAnsiTheme="minorHAnsi"/>
        </w:rPr>
        <w:t>7</w:t>
      </w:r>
      <w:proofErr w:type="gramEnd"/>
      <w:r w:rsidRPr="007747F8">
        <w:rPr>
          <w:rFonts w:asciiTheme="minorHAnsi" w:hAnsiTheme="minorHAnsi"/>
        </w:rPr>
        <w:t xml:space="preserve"> it is an offence to employ an unregistered person to teach in an educational venue.</w:t>
      </w:r>
    </w:p>
  </w:footnote>
  <w:footnote w:id="59">
    <w:p w14:paraId="64621F6B" w14:textId="521B1D19" w:rsidR="0038455E" w:rsidRPr="007747F8" w:rsidRDefault="0038455E" w:rsidP="00F312E3">
      <w:pPr>
        <w:pStyle w:val="FootnoteText"/>
        <w:rPr>
          <w:rFonts w:asciiTheme="minorHAnsi" w:hAnsiTheme="minorHAnsi"/>
        </w:rPr>
      </w:pPr>
      <w:r w:rsidRPr="007747F8">
        <w:rPr>
          <w:rStyle w:val="FootnoteReference"/>
          <w:rFonts w:asciiTheme="minorHAnsi" w:hAnsiTheme="minorHAnsi"/>
        </w:rPr>
        <w:footnoteRef/>
      </w:r>
      <w:r w:rsidRPr="007747F8">
        <w:rPr>
          <w:rFonts w:asciiTheme="minorHAnsi" w:hAnsiTheme="minorHAnsi"/>
          <w:vertAlign w:val="superscript"/>
        </w:rPr>
        <w:t xml:space="preserve"> </w:t>
      </w:r>
      <w:r>
        <w:rPr>
          <w:rFonts w:asciiTheme="minorHAnsi" w:hAnsiTheme="minorHAnsi"/>
        </w:rPr>
        <w:t xml:space="preserve">‘ </w:t>
      </w:r>
      <w:r w:rsidRPr="007747F8">
        <w:rPr>
          <w:rFonts w:asciiTheme="minorHAnsi" w:hAnsiTheme="minorHAnsi"/>
        </w:rPr>
        <w:t>Teach’ is defined in s 4 as: ‘to undertake duties in an educational venue that include —</w:t>
      </w:r>
    </w:p>
    <w:p w14:paraId="235C3A18" w14:textId="4B56274C" w:rsidR="0038455E" w:rsidRPr="007747F8" w:rsidRDefault="0038455E" w:rsidP="001B0227">
      <w:pPr>
        <w:pStyle w:val="FootnoteText"/>
        <w:numPr>
          <w:ilvl w:val="1"/>
          <w:numId w:val="81"/>
        </w:numPr>
        <w:rPr>
          <w:rFonts w:asciiTheme="minorHAnsi" w:hAnsiTheme="minorHAnsi"/>
        </w:rPr>
      </w:pPr>
      <w:r w:rsidRPr="007747F8">
        <w:rPr>
          <w:rFonts w:asciiTheme="minorHAnsi" w:hAnsiTheme="minorHAnsi"/>
        </w:rPr>
        <w:t xml:space="preserve">the </w:t>
      </w:r>
      <w:r w:rsidRPr="007747F8">
        <w:rPr>
          <w:rFonts w:asciiTheme="minorHAnsi" w:hAnsiTheme="minorHAnsi"/>
          <w:b/>
        </w:rPr>
        <w:t>delivery of an</w:t>
      </w:r>
      <w:r w:rsidRPr="007747F8">
        <w:rPr>
          <w:rFonts w:asciiTheme="minorHAnsi" w:hAnsiTheme="minorHAnsi"/>
        </w:rPr>
        <w:t xml:space="preserve"> </w:t>
      </w:r>
      <w:r w:rsidRPr="007747F8">
        <w:rPr>
          <w:rFonts w:asciiTheme="minorHAnsi" w:hAnsiTheme="minorHAnsi"/>
          <w:b/>
        </w:rPr>
        <w:t>educational programme</w:t>
      </w:r>
      <w:r w:rsidRPr="007747F8">
        <w:rPr>
          <w:rFonts w:asciiTheme="minorHAnsi" w:hAnsiTheme="minorHAnsi"/>
        </w:rPr>
        <w:t xml:space="preserve"> </w:t>
      </w:r>
      <w:r w:rsidRPr="007747F8">
        <w:rPr>
          <w:rFonts w:asciiTheme="minorHAnsi" w:hAnsiTheme="minorHAnsi"/>
          <w:b/>
        </w:rPr>
        <w:t>designed to implement a prescribed curriculum</w:t>
      </w:r>
      <w:r w:rsidRPr="007747F8">
        <w:rPr>
          <w:rFonts w:asciiTheme="minorHAnsi" w:hAnsiTheme="minorHAnsi"/>
        </w:rPr>
        <w:t xml:space="preserve"> and the assessment of student participation in such an educational programme; or </w:t>
      </w:r>
    </w:p>
    <w:p w14:paraId="24B19621" w14:textId="77777777" w:rsidR="0038455E" w:rsidRDefault="0038455E" w:rsidP="001B0227">
      <w:pPr>
        <w:pStyle w:val="FootnoteText"/>
        <w:numPr>
          <w:ilvl w:val="1"/>
          <w:numId w:val="81"/>
        </w:numPr>
        <w:rPr>
          <w:rFonts w:asciiTheme="minorHAnsi" w:hAnsiTheme="minorHAnsi"/>
        </w:rPr>
      </w:pPr>
      <w:r w:rsidRPr="007747F8">
        <w:rPr>
          <w:rFonts w:asciiTheme="minorHAnsi" w:hAnsiTheme="minorHAnsi"/>
        </w:rPr>
        <w:t xml:space="preserve">the administration of any such educational programme, </w:t>
      </w:r>
    </w:p>
    <w:p w14:paraId="7CA00907" w14:textId="4BD93885" w:rsidR="0038455E" w:rsidRPr="007747F8" w:rsidRDefault="0038455E" w:rsidP="007747F8">
      <w:pPr>
        <w:pStyle w:val="FootnoteText"/>
        <w:ind w:left="945"/>
        <w:rPr>
          <w:rFonts w:asciiTheme="minorHAnsi" w:hAnsiTheme="minorHAnsi"/>
        </w:rPr>
      </w:pPr>
      <w:r w:rsidRPr="007747F8">
        <w:rPr>
          <w:rFonts w:asciiTheme="minorHAnsi" w:hAnsiTheme="minorHAnsi"/>
          <w:b/>
        </w:rPr>
        <w:t>but</w:t>
      </w:r>
      <w:r w:rsidRPr="007747F8">
        <w:rPr>
          <w:rFonts w:asciiTheme="minorHAnsi" w:hAnsiTheme="minorHAnsi"/>
        </w:rPr>
        <w:t xml:space="preserve"> </w:t>
      </w:r>
      <w:r w:rsidRPr="007747F8">
        <w:rPr>
          <w:rFonts w:asciiTheme="minorHAnsi" w:hAnsiTheme="minorHAnsi"/>
          <w:b/>
          <w:u w:val="single"/>
        </w:rPr>
        <w:t>does not</w:t>
      </w:r>
      <w:r w:rsidRPr="007747F8">
        <w:rPr>
          <w:rFonts w:asciiTheme="minorHAnsi" w:hAnsiTheme="minorHAnsi"/>
          <w:b/>
        </w:rPr>
        <w:t xml:space="preserve"> include</w:t>
      </w:r>
      <w:r w:rsidRPr="007747F8">
        <w:rPr>
          <w:rFonts w:asciiTheme="minorHAnsi" w:hAnsiTheme="minorHAnsi"/>
        </w:rPr>
        <w:t xml:space="preserve"> </w:t>
      </w:r>
      <w:r w:rsidRPr="007747F8">
        <w:rPr>
          <w:rFonts w:asciiTheme="minorHAnsi" w:hAnsiTheme="minorHAnsi"/>
          <w:b/>
        </w:rPr>
        <w:t>duties of the kind undertaken</w:t>
      </w:r>
      <w:r w:rsidRPr="007747F8">
        <w:rPr>
          <w:rFonts w:asciiTheme="minorHAnsi" w:hAnsiTheme="minorHAnsi"/>
        </w:rPr>
        <w:t xml:space="preserve"> —</w:t>
      </w:r>
    </w:p>
    <w:p w14:paraId="22875F4F" w14:textId="590EA614" w:rsidR="0038455E" w:rsidRPr="007747F8" w:rsidRDefault="0038455E" w:rsidP="001B0227">
      <w:pPr>
        <w:pStyle w:val="FootnoteText"/>
        <w:numPr>
          <w:ilvl w:val="1"/>
          <w:numId w:val="81"/>
        </w:numPr>
        <w:rPr>
          <w:rFonts w:asciiTheme="minorHAnsi" w:hAnsiTheme="minorHAnsi"/>
        </w:rPr>
      </w:pPr>
      <w:r w:rsidRPr="007747F8">
        <w:rPr>
          <w:rFonts w:asciiTheme="minorHAnsi" w:hAnsiTheme="minorHAnsi"/>
        </w:rPr>
        <w:t>by a teacher’s aide or a teacher’s assistant, or by a student teacher on practicum placement; or</w:t>
      </w:r>
    </w:p>
    <w:p w14:paraId="3E6026A7" w14:textId="22062C0D" w:rsidR="0038455E" w:rsidRPr="007747F8" w:rsidRDefault="0038455E" w:rsidP="001B0227">
      <w:pPr>
        <w:pStyle w:val="FootnoteText"/>
        <w:numPr>
          <w:ilvl w:val="1"/>
          <w:numId w:val="81"/>
        </w:numPr>
        <w:rPr>
          <w:rFonts w:asciiTheme="minorHAnsi" w:hAnsiTheme="minorHAnsi"/>
        </w:rPr>
      </w:pPr>
      <w:r w:rsidRPr="007747F8">
        <w:rPr>
          <w:rFonts w:asciiTheme="minorHAnsi" w:hAnsiTheme="minorHAnsi"/>
        </w:rPr>
        <w:t xml:space="preserve">by a person employed or engaged </w:t>
      </w:r>
      <w:r w:rsidRPr="007747F8">
        <w:rPr>
          <w:rFonts w:asciiTheme="minorHAnsi" w:hAnsiTheme="minorHAnsi"/>
          <w:b/>
        </w:rPr>
        <w:t>to provide care</w:t>
      </w:r>
      <w:r w:rsidRPr="007747F8">
        <w:rPr>
          <w:rFonts w:asciiTheme="minorHAnsi" w:hAnsiTheme="minorHAnsi"/>
        </w:rPr>
        <w:t xml:space="preserve"> at a child care centre but who is </w:t>
      </w:r>
      <w:r w:rsidRPr="007747F8">
        <w:rPr>
          <w:rFonts w:asciiTheme="minorHAnsi" w:hAnsiTheme="minorHAnsi"/>
          <w:b/>
        </w:rPr>
        <w:t>not</w:t>
      </w:r>
      <w:r w:rsidRPr="007747F8">
        <w:rPr>
          <w:rFonts w:asciiTheme="minorHAnsi" w:hAnsiTheme="minorHAnsi"/>
        </w:rPr>
        <w:t xml:space="preserve"> employed or engaged to </w:t>
      </w:r>
      <w:r w:rsidRPr="007747F8">
        <w:rPr>
          <w:rFonts w:asciiTheme="minorHAnsi" w:hAnsiTheme="minorHAnsi"/>
          <w:b/>
        </w:rPr>
        <w:t>teach</w:t>
      </w:r>
      <w:r w:rsidRPr="007747F8">
        <w:rPr>
          <w:rFonts w:asciiTheme="minorHAnsi" w:hAnsiTheme="minorHAnsi"/>
        </w:rPr>
        <w:t xml:space="preserve"> at that centre; or</w:t>
      </w:r>
    </w:p>
    <w:p w14:paraId="09B79D0D" w14:textId="61D4BFF1" w:rsidR="0038455E" w:rsidRPr="007747F8" w:rsidRDefault="0038455E" w:rsidP="001B0227">
      <w:pPr>
        <w:pStyle w:val="FootnoteText"/>
        <w:numPr>
          <w:ilvl w:val="1"/>
          <w:numId w:val="81"/>
        </w:numPr>
        <w:rPr>
          <w:rFonts w:asciiTheme="minorHAnsi" w:hAnsiTheme="minorHAnsi"/>
        </w:rPr>
      </w:pPr>
      <w:r w:rsidRPr="007747F8">
        <w:rPr>
          <w:rFonts w:asciiTheme="minorHAnsi" w:hAnsiTheme="minorHAnsi"/>
        </w:rPr>
        <w:t>by an unpaid volunteer, unless the volunteer is undertaking duties of a kind, or to an extent, prescribed for the purposes of this paragraph; or</w:t>
      </w:r>
    </w:p>
    <w:p w14:paraId="6410C108" w14:textId="39D47CDC" w:rsidR="0038455E" w:rsidRPr="007747F8" w:rsidRDefault="0038455E" w:rsidP="001B0227">
      <w:pPr>
        <w:pStyle w:val="FootnoteText"/>
        <w:numPr>
          <w:ilvl w:val="1"/>
          <w:numId w:val="81"/>
        </w:numPr>
        <w:rPr>
          <w:rFonts w:asciiTheme="minorHAnsi" w:hAnsiTheme="minorHAnsi"/>
        </w:rPr>
      </w:pPr>
      <w:proofErr w:type="gramStart"/>
      <w:r w:rsidRPr="007747F8">
        <w:rPr>
          <w:rFonts w:asciiTheme="minorHAnsi" w:hAnsiTheme="minorHAnsi"/>
        </w:rPr>
        <w:t>by</w:t>
      </w:r>
      <w:proofErr w:type="gramEnd"/>
      <w:r w:rsidRPr="007747F8">
        <w:rPr>
          <w:rFonts w:asciiTheme="minorHAnsi" w:hAnsiTheme="minorHAnsi"/>
        </w:rPr>
        <w:t xml:space="preserve"> such persons, or in such circumstances, if any, as are prescribed.’</w:t>
      </w:r>
    </w:p>
    <w:p w14:paraId="71CA2A6B" w14:textId="77777777" w:rsidR="0038455E" w:rsidRPr="001A4ED6" w:rsidRDefault="0038455E" w:rsidP="00F312E3">
      <w:pPr>
        <w:pStyle w:val="FootnoteText"/>
      </w:pPr>
      <w:r w:rsidRPr="007747F8">
        <w:rPr>
          <w:rFonts w:asciiTheme="minorHAnsi" w:hAnsiTheme="minorHAnsi"/>
          <w:b/>
        </w:rPr>
        <w:t>‘Educational venue’</w:t>
      </w:r>
      <w:r w:rsidRPr="007747F8">
        <w:rPr>
          <w:rFonts w:asciiTheme="minorHAnsi" w:hAnsiTheme="minorHAnsi"/>
        </w:rPr>
        <w:t xml:space="preserve"> is defined in s 4 as ‘any of the following — (a) a school as defined in the </w:t>
      </w:r>
      <w:r w:rsidRPr="007747F8">
        <w:rPr>
          <w:rFonts w:asciiTheme="minorHAnsi" w:hAnsiTheme="minorHAnsi"/>
          <w:i/>
        </w:rPr>
        <w:t>School Education Act</w:t>
      </w:r>
      <w:r w:rsidRPr="007747F8">
        <w:rPr>
          <w:rFonts w:asciiTheme="minorHAnsi" w:hAnsiTheme="minorHAnsi"/>
        </w:rPr>
        <w:t xml:space="preserve"> </w:t>
      </w:r>
      <w:r w:rsidRPr="007747F8">
        <w:rPr>
          <w:rFonts w:asciiTheme="minorHAnsi" w:hAnsiTheme="minorHAnsi"/>
          <w:i/>
        </w:rPr>
        <w:t>1999</w:t>
      </w:r>
      <w:r w:rsidRPr="007747F8">
        <w:rPr>
          <w:rFonts w:asciiTheme="minorHAnsi" w:hAnsiTheme="minorHAnsi"/>
        </w:rPr>
        <w:t xml:space="preserve"> s 4; (b) a kindergarten registered under the </w:t>
      </w:r>
      <w:r w:rsidRPr="007747F8">
        <w:rPr>
          <w:rFonts w:asciiTheme="minorHAnsi" w:hAnsiTheme="minorHAnsi"/>
          <w:i/>
        </w:rPr>
        <w:t>School Education Act 1999</w:t>
      </w:r>
      <w:r w:rsidRPr="007747F8">
        <w:rPr>
          <w:rFonts w:asciiTheme="minorHAnsi" w:hAnsiTheme="minorHAnsi"/>
        </w:rPr>
        <w:t xml:space="preserve"> Part 5; (c) a </w:t>
      </w:r>
      <w:r w:rsidRPr="007747F8">
        <w:rPr>
          <w:rFonts w:asciiTheme="minorHAnsi" w:hAnsiTheme="minorHAnsi"/>
          <w:b/>
        </w:rPr>
        <w:t>child care centre</w:t>
      </w:r>
      <w:r w:rsidRPr="007747F8">
        <w:rPr>
          <w:rFonts w:asciiTheme="minorHAnsi" w:hAnsiTheme="minorHAnsi"/>
        </w:rPr>
        <w:t xml:space="preserve">; (d) a detention centre; (e) any other place prescribed as an educational venue’. </w:t>
      </w:r>
      <w:r w:rsidRPr="007747F8">
        <w:rPr>
          <w:rFonts w:asciiTheme="minorHAnsi" w:hAnsiTheme="minorHAnsi"/>
          <w:b/>
        </w:rPr>
        <w:t>‘Educational programme’</w:t>
      </w:r>
      <w:r w:rsidRPr="007747F8">
        <w:rPr>
          <w:rFonts w:asciiTheme="minorHAnsi" w:hAnsiTheme="minorHAnsi"/>
        </w:rPr>
        <w:t xml:space="preserve"> is defined in s 4 as ‘an organised set of learning activities designed to enable a student to develop knowledge, understanding, skills and attitudes relevant to the student’s individual needs’.</w:t>
      </w:r>
    </w:p>
  </w:footnote>
  <w:footnote w:id="60">
    <w:p w14:paraId="4056B90D" w14:textId="77777777" w:rsidR="0038455E" w:rsidRPr="001A4ED6" w:rsidRDefault="0038455E" w:rsidP="004272D4">
      <w:pPr>
        <w:pStyle w:val="FootnoteText"/>
        <w:rPr>
          <w:rFonts w:ascii="Calibri" w:hAnsi="Calibri"/>
        </w:rPr>
      </w:pPr>
      <w:r w:rsidRPr="001A4ED6">
        <w:rPr>
          <w:rStyle w:val="FootnoteReference"/>
          <w:rFonts w:ascii="Calibri" w:hAnsi="Calibri"/>
        </w:rPr>
        <w:footnoteRef/>
      </w:r>
      <w:r w:rsidRPr="001A4ED6">
        <w:rPr>
          <w:rFonts w:ascii="Calibri" w:hAnsi="Calibri"/>
        </w:rPr>
        <w:t xml:space="preserve"> </w:t>
      </w:r>
      <w:proofErr w:type="gramStart"/>
      <w:r w:rsidRPr="001A4ED6">
        <w:rPr>
          <w:rFonts w:ascii="Calibri" w:hAnsi="Calibri"/>
        </w:rPr>
        <w:t xml:space="preserve">Initially, by Ben Mathews, Leah Bromfield and </w:t>
      </w:r>
      <w:proofErr w:type="spellStart"/>
      <w:r w:rsidRPr="001A4ED6">
        <w:rPr>
          <w:rFonts w:ascii="Calibri" w:hAnsi="Calibri"/>
        </w:rPr>
        <w:t>Kerryann</w:t>
      </w:r>
      <w:proofErr w:type="spellEnd"/>
      <w:r w:rsidRPr="001A4ED6">
        <w:rPr>
          <w:rFonts w:ascii="Calibri" w:hAnsi="Calibri"/>
        </w:rPr>
        <w:t xml:space="preserve"> Walsh.</w:t>
      </w:r>
      <w:proofErr w:type="gramEnd"/>
      <w:r w:rsidRPr="001A4ED6">
        <w:rPr>
          <w:rFonts w:ascii="Calibri" w:hAnsi="Calibri"/>
        </w:rPr>
        <w:t xml:space="preserve"> Graham </w:t>
      </w:r>
      <w:proofErr w:type="spellStart"/>
      <w:r w:rsidRPr="001A4ED6">
        <w:rPr>
          <w:rFonts w:ascii="Calibri" w:hAnsi="Calibri"/>
        </w:rPr>
        <w:t>Vimpani</w:t>
      </w:r>
      <w:proofErr w:type="spellEnd"/>
      <w:r w:rsidRPr="001A4ED6">
        <w:rPr>
          <w:rFonts w:ascii="Calibri" w:hAnsi="Calibri"/>
        </w:rPr>
        <w:t xml:space="preserve"> </w:t>
      </w:r>
      <w:proofErr w:type="gramStart"/>
      <w:r w:rsidRPr="001A4ED6">
        <w:rPr>
          <w:rFonts w:ascii="Calibri" w:hAnsi="Calibri"/>
        </w:rPr>
        <w:t>was subsequently added</w:t>
      </w:r>
      <w:proofErr w:type="gramEnd"/>
      <w:r w:rsidRPr="001A4ED6">
        <w:rPr>
          <w:rFonts w:ascii="Calibri" w:hAnsi="Calibri"/>
        </w:rPr>
        <w:t xml:space="preserve"> to the team. The team combine their diverse </w:t>
      </w:r>
      <w:r w:rsidRPr="001A4ED6">
        <w:rPr>
          <w:rFonts w:ascii="Calibri" w:hAnsi="Calibri"/>
          <w:i/>
        </w:rPr>
        <w:t>disciplinary backgrounds</w:t>
      </w:r>
      <w:r w:rsidRPr="001A4ED6">
        <w:rPr>
          <w:rFonts w:ascii="Calibri" w:hAnsi="Calibri"/>
        </w:rPr>
        <w:t xml:space="preserve"> (Mathews: law; Bromfield: psychology; Walsh: education; </w:t>
      </w:r>
      <w:proofErr w:type="spellStart"/>
      <w:r w:rsidRPr="001A4ED6">
        <w:rPr>
          <w:rFonts w:ascii="Calibri" w:hAnsi="Calibri"/>
        </w:rPr>
        <w:t>Vimpani</w:t>
      </w:r>
      <w:proofErr w:type="spellEnd"/>
      <w:r w:rsidRPr="001A4ED6">
        <w:rPr>
          <w:rFonts w:ascii="Calibri" w:hAnsi="Calibri"/>
        </w:rPr>
        <w:t xml:space="preserve">: medicine) and </w:t>
      </w:r>
      <w:r w:rsidRPr="001A4ED6">
        <w:rPr>
          <w:rFonts w:ascii="Calibri" w:hAnsi="Calibri"/>
          <w:i/>
        </w:rPr>
        <w:t>jurisdictional locations</w:t>
      </w:r>
      <w:r w:rsidRPr="001A4ED6">
        <w:rPr>
          <w:rFonts w:ascii="Calibri" w:hAnsi="Calibri"/>
        </w:rPr>
        <w:t xml:space="preserve"> (Mathews and Walsh: Queensland; Bromfield: South Australia; </w:t>
      </w:r>
      <w:proofErr w:type="spellStart"/>
      <w:r w:rsidRPr="001A4ED6">
        <w:rPr>
          <w:rFonts w:ascii="Calibri" w:hAnsi="Calibri"/>
        </w:rPr>
        <w:t>Vimpani</w:t>
      </w:r>
      <w:proofErr w:type="spellEnd"/>
      <w:r w:rsidRPr="001A4ED6">
        <w:rPr>
          <w:rFonts w:ascii="Calibri" w:hAnsi="Calibri"/>
        </w:rPr>
        <w:t xml:space="preserve">: New South Wales). The team </w:t>
      </w:r>
      <w:proofErr w:type="gramStart"/>
      <w:r w:rsidRPr="001A4ED6">
        <w:rPr>
          <w:rFonts w:ascii="Calibri" w:hAnsi="Calibri"/>
        </w:rPr>
        <w:t>are:</w:t>
      </w:r>
      <w:proofErr w:type="gramEnd"/>
      <w:r w:rsidRPr="001A4ED6">
        <w:rPr>
          <w:rFonts w:ascii="Calibri" w:hAnsi="Calibri"/>
        </w:rPr>
        <w:t xml:space="preserve"> Associate Professor Ben Mathews (QUT Faculty of Law, Australian Centre for Health Law Research), Associate Professor Leah Bromfield (University of South Australia, Australian Centre for Child Protection), Associate Professor </w:t>
      </w:r>
      <w:proofErr w:type="spellStart"/>
      <w:r w:rsidRPr="001A4ED6">
        <w:rPr>
          <w:rFonts w:ascii="Calibri" w:hAnsi="Calibri"/>
        </w:rPr>
        <w:t>Kerryann</w:t>
      </w:r>
      <w:proofErr w:type="spellEnd"/>
      <w:r w:rsidRPr="001A4ED6">
        <w:rPr>
          <w:rFonts w:ascii="Calibri" w:hAnsi="Calibri"/>
        </w:rPr>
        <w:t xml:space="preserve"> Walsh (QUT Faculty of Education, Children and Youth Research Centre), Professor Graham </w:t>
      </w:r>
      <w:proofErr w:type="spellStart"/>
      <w:r w:rsidRPr="001A4ED6">
        <w:rPr>
          <w:rFonts w:ascii="Calibri" w:hAnsi="Calibri"/>
        </w:rPr>
        <w:t>Vimpani</w:t>
      </w:r>
      <w:proofErr w:type="spellEnd"/>
      <w:r w:rsidRPr="001A4ED6">
        <w:rPr>
          <w:rFonts w:ascii="Calibri" w:hAnsi="Calibri"/>
        </w:rPr>
        <w:t xml:space="preserve"> (University of Newcastle).</w:t>
      </w:r>
    </w:p>
  </w:footnote>
  <w:footnote w:id="61">
    <w:p w14:paraId="5A0609A7" w14:textId="77777777" w:rsidR="0038455E" w:rsidRPr="001A4ED6" w:rsidRDefault="0038455E" w:rsidP="004272D4">
      <w:pPr>
        <w:pStyle w:val="FootnoteText"/>
        <w:rPr>
          <w:rFonts w:ascii="Calibri" w:hAnsi="Calibri"/>
          <w:bCs/>
        </w:rPr>
      </w:pPr>
      <w:r w:rsidRPr="001A4ED6">
        <w:rPr>
          <w:rStyle w:val="FootnoteReference"/>
          <w:rFonts w:ascii="Calibri" w:hAnsi="Calibri"/>
        </w:rPr>
        <w:footnoteRef/>
      </w:r>
      <w:r w:rsidRPr="001A4ED6">
        <w:rPr>
          <w:rFonts w:ascii="Calibri" w:hAnsi="Calibri"/>
        </w:rPr>
        <w:t xml:space="preserve"> The second part of the initially proposed study, which complements the funded project, broadened the project as it would explore the influence of </w:t>
      </w:r>
      <w:r w:rsidRPr="001A4ED6">
        <w:rPr>
          <w:rFonts w:ascii="Calibri" w:hAnsi="Calibri"/>
          <w:i/>
        </w:rPr>
        <w:t>contextual factors</w:t>
      </w:r>
      <w:r w:rsidRPr="001A4ED6">
        <w:rPr>
          <w:rFonts w:ascii="Calibri" w:hAnsi="Calibri"/>
        </w:rPr>
        <w:t xml:space="preserve"> (e.g. reporter training and knowledge, child’s ethnicity, gender) on mandatory reporting, including failure to report, and unjustifiable reports, with a focus on four key reporter groups (police, nurses, doctors, and teachers).  Key questions explored in this second part of the study, using qualitative and quantitative methods would be: (1) </w:t>
      </w:r>
      <w:proofErr w:type="gramStart"/>
      <w:r w:rsidRPr="001A4ED6">
        <w:rPr>
          <w:rFonts w:ascii="Calibri" w:hAnsi="Calibri"/>
          <w:bCs/>
        </w:rPr>
        <w:t>What</w:t>
      </w:r>
      <w:proofErr w:type="gramEnd"/>
      <w:r w:rsidRPr="001A4ED6">
        <w:rPr>
          <w:rFonts w:ascii="Calibri" w:hAnsi="Calibri"/>
          <w:bCs/>
        </w:rPr>
        <w:t xml:space="preserve"> contextual factors influence the failure to report child abuse and neglect, and the making of unjustifiable reports, and to what extent? (2) How effective are current mandatory reporter training models? (3) Are </w:t>
      </w:r>
      <w:r w:rsidRPr="001A4ED6">
        <w:rPr>
          <w:rFonts w:ascii="Calibri" w:hAnsi="Calibri"/>
          <w:bCs/>
          <w:lang w:val="en-US"/>
        </w:rPr>
        <w:t>barriers to effective reporting modifiable through reporter training? The initially proposed study was narrower in only focusing on three selected jurisdictions rather than including all eight States and Territories.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7CAC3" w14:textId="77777777" w:rsidR="0038455E" w:rsidRDefault="003845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CDB31" w14:textId="77777777" w:rsidR="0038455E" w:rsidRDefault="003845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D1AEA" w14:textId="77777777" w:rsidR="0038455E" w:rsidRDefault="003845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C5619" w14:textId="77777777" w:rsidR="0038455E" w:rsidRDefault="003845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E84B4" w14:textId="77777777" w:rsidR="0038455E" w:rsidRDefault="003845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553D2" w14:textId="77777777" w:rsidR="0038455E" w:rsidRDefault="003845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E4351" w14:textId="77777777" w:rsidR="0038455E" w:rsidRDefault="0038455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FD9D" w14:textId="77777777" w:rsidR="0038455E" w:rsidRDefault="0038455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C1E4F" w14:textId="77777777" w:rsidR="0038455E" w:rsidRDefault="003845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04BE"/>
    <w:multiLevelType w:val="hybridMultilevel"/>
    <w:tmpl w:val="D234B39A"/>
    <w:lvl w:ilvl="0" w:tplc="0C090017">
      <w:start w:val="1"/>
      <w:numFmt w:val="lowerLetter"/>
      <w:lvlText w:val="%1)"/>
      <w:lvlJc w:val="left"/>
      <w:pPr>
        <w:ind w:left="1440" w:hanging="360"/>
      </w:pPr>
    </w:lvl>
    <w:lvl w:ilvl="1" w:tplc="0C090019">
      <w:start w:val="1"/>
      <w:numFmt w:val="lowerLetter"/>
      <w:lvlText w:val="%2."/>
      <w:lvlJc w:val="left"/>
      <w:pPr>
        <w:ind w:left="1170" w:hanging="360"/>
      </w:p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30D4858"/>
    <w:multiLevelType w:val="hybridMultilevel"/>
    <w:tmpl w:val="CB7E40B6"/>
    <w:lvl w:ilvl="0" w:tplc="2174E26C">
      <w:start w:val="1"/>
      <w:numFmt w:val="lowerRoman"/>
      <w:lvlText w:val="(%1)"/>
      <w:lvlJc w:val="left"/>
      <w:pPr>
        <w:ind w:left="2160" w:hanging="360"/>
      </w:pPr>
      <w:rPr>
        <w:rFonts w:hint="default"/>
      </w:rPr>
    </w:lvl>
    <w:lvl w:ilvl="1" w:tplc="C200EF48">
      <w:start w:val="1"/>
      <w:numFmt w:val="lowerLetter"/>
      <w:lvlText w:val="(%2)"/>
      <w:lvlJc w:val="left"/>
      <w:pPr>
        <w:ind w:left="1080" w:hanging="360"/>
      </w:pPr>
      <w:rPr>
        <w:rFonts w:hint="default"/>
      </w:rPr>
    </w:lvl>
    <w:lvl w:ilvl="2" w:tplc="E10E73CC">
      <w:start w:val="1"/>
      <w:numFmt w:val="decimal"/>
      <w:lvlText w:val="(%3)"/>
      <w:lvlJc w:val="left"/>
      <w:pPr>
        <w:ind w:left="1080" w:hanging="36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nsid w:val="03796D43"/>
    <w:multiLevelType w:val="hybridMultilevel"/>
    <w:tmpl w:val="D7EE82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58F5DE8"/>
    <w:multiLevelType w:val="hybridMultilevel"/>
    <w:tmpl w:val="AC46AC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573368"/>
    <w:multiLevelType w:val="hybridMultilevel"/>
    <w:tmpl w:val="D07CB75C"/>
    <w:lvl w:ilvl="0" w:tplc="D800F998">
      <w:start w:val="1"/>
      <w:numFmt w:val="decimal"/>
      <w:lvlText w:val="%1."/>
      <w:lvlJc w:val="left"/>
      <w:pPr>
        <w:ind w:left="360" w:hanging="360"/>
      </w:pPr>
      <w:rPr>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7E5025B"/>
    <w:multiLevelType w:val="hybridMultilevel"/>
    <w:tmpl w:val="35266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906548F"/>
    <w:multiLevelType w:val="hybridMultilevel"/>
    <w:tmpl w:val="865AD354"/>
    <w:lvl w:ilvl="0" w:tplc="3D82F50A">
      <w:start w:val="1"/>
      <w:numFmt w:val="lowerRoman"/>
      <w:lvlText w:val="(%1)"/>
      <w:lvlJc w:val="left"/>
      <w:pPr>
        <w:ind w:left="1710" w:hanging="720"/>
      </w:pPr>
      <w:rPr>
        <w:rFonts w:hint="default"/>
      </w:rPr>
    </w:lvl>
    <w:lvl w:ilvl="1" w:tplc="E1E23DD4">
      <w:start w:val="1"/>
      <w:numFmt w:val="lowerLetter"/>
      <w:lvlText w:val="(%2)"/>
      <w:lvlJc w:val="left"/>
      <w:pPr>
        <w:ind w:left="945" w:hanging="360"/>
      </w:pPr>
      <w:rPr>
        <w:rFonts w:hint="default"/>
      </w:rPr>
    </w:lvl>
    <w:lvl w:ilvl="2" w:tplc="0C09001B" w:tentative="1">
      <w:start w:val="1"/>
      <w:numFmt w:val="lowerRoman"/>
      <w:lvlText w:val="%3."/>
      <w:lvlJc w:val="right"/>
      <w:pPr>
        <w:ind w:left="1665" w:hanging="180"/>
      </w:pPr>
    </w:lvl>
    <w:lvl w:ilvl="3" w:tplc="0C09000F" w:tentative="1">
      <w:start w:val="1"/>
      <w:numFmt w:val="decimal"/>
      <w:lvlText w:val="%4."/>
      <w:lvlJc w:val="left"/>
      <w:pPr>
        <w:ind w:left="2385" w:hanging="360"/>
      </w:pPr>
    </w:lvl>
    <w:lvl w:ilvl="4" w:tplc="0C090019" w:tentative="1">
      <w:start w:val="1"/>
      <w:numFmt w:val="lowerLetter"/>
      <w:lvlText w:val="%5."/>
      <w:lvlJc w:val="left"/>
      <w:pPr>
        <w:ind w:left="3105" w:hanging="360"/>
      </w:pPr>
    </w:lvl>
    <w:lvl w:ilvl="5" w:tplc="0C09001B" w:tentative="1">
      <w:start w:val="1"/>
      <w:numFmt w:val="lowerRoman"/>
      <w:lvlText w:val="%6."/>
      <w:lvlJc w:val="right"/>
      <w:pPr>
        <w:ind w:left="3825" w:hanging="180"/>
      </w:pPr>
    </w:lvl>
    <w:lvl w:ilvl="6" w:tplc="0C09000F" w:tentative="1">
      <w:start w:val="1"/>
      <w:numFmt w:val="decimal"/>
      <w:lvlText w:val="%7."/>
      <w:lvlJc w:val="left"/>
      <w:pPr>
        <w:ind w:left="4545" w:hanging="360"/>
      </w:pPr>
    </w:lvl>
    <w:lvl w:ilvl="7" w:tplc="0C090019" w:tentative="1">
      <w:start w:val="1"/>
      <w:numFmt w:val="lowerLetter"/>
      <w:lvlText w:val="%8."/>
      <w:lvlJc w:val="left"/>
      <w:pPr>
        <w:ind w:left="5265" w:hanging="360"/>
      </w:pPr>
    </w:lvl>
    <w:lvl w:ilvl="8" w:tplc="0C09001B" w:tentative="1">
      <w:start w:val="1"/>
      <w:numFmt w:val="lowerRoman"/>
      <w:lvlText w:val="%9."/>
      <w:lvlJc w:val="right"/>
      <w:pPr>
        <w:ind w:left="5985" w:hanging="180"/>
      </w:pPr>
    </w:lvl>
  </w:abstractNum>
  <w:abstractNum w:abstractNumId="7">
    <w:nsid w:val="0AE36906"/>
    <w:multiLevelType w:val="hybridMultilevel"/>
    <w:tmpl w:val="1A6A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B382166"/>
    <w:multiLevelType w:val="hybridMultilevel"/>
    <w:tmpl w:val="1604012E"/>
    <w:lvl w:ilvl="0" w:tplc="0C09001B">
      <w:start w:val="1"/>
      <w:numFmt w:val="lowerRoman"/>
      <w:lvlText w:val="%1."/>
      <w:lvlJc w:val="right"/>
      <w:pPr>
        <w:ind w:left="720" w:hanging="360"/>
      </w:pPr>
    </w:lvl>
    <w:lvl w:ilvl="1" w:tplc="5B403A4E">
      <w:start w:val="1"/>
      <w:numFmt w:val="lowerLetter"/>
      <w:lvlText w:val="(%2)"/>
      <w:lvlJc w:val="left"/>
      <w:pPr>
        <w:ind w:left="1800" w:hanging="360"/>
      </w:pPr>
      <w:rPr>
        <w:rFonts w:hint="default"/>
      </w:rPr>
    </w:lvl>
    <w:lvl w:ilvl="2" w:tplc="872883F4">
      <w:start w:val="1"/>
      <w:numFmt w:val="decimal"/>
      <w:lvlText w:val="(%3)"/>
      <w:lvlJc w:val="left"/>
      <w:pPr>
        <w:ind w:left="99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3528BE"/>
    <w:multiLevelType w:val="hybridMultilevel"/>
    <w:tmpl w:val="91FE5B96"/>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0F387917"/>
    <w:multiLevelType w:val="hybridMultilevel"/>
    <w:tmpl w:val="64462B9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1">
    <w:nsid w:val="13432B49"/>
    <w:multiLevelType w:val="hybridMultilevel"/>
    <w:tmpl w:val="7FFEB63A"/>
    <w:lvl w:ilvl="0" w:tplc="D800F998">
      <w:start w:val="1"/>
      <w:numFmt w:val="decimal"/>
      <w:lvlText w:val="%1."/>
      <w:lvlJc w:val="left"/>
      <w:pPr>
        <w:ind w:left="36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462188"/>
    <w:multiLevelType w:val="hybridMultilevel"/>
    <w:tmpl w:val="113EC044"/>
    <w:lvl w:ilvl="0" w:tplc="77F69FF6">
      <w:start w:val="1"/>
      <w:numFmt w:val="bullet"/>
      <w:pStyle w:val="ListBullet"/>
      <w:lvlText w:val=""/>
      <w:lvlJc w:val="left"/>
      <w:pPr>
        <w:tabs>
          <w:tab w:val="num" w:pos="340"/>
        </w:tabs>
        <w:ind w:left="340" w:hanging="34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735AA8"/>
    <w:multiLevelType w:val="hybridMultilevel"/>
    <w:tmpl w:val="722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88A1F83"/>
    <w:multiLevelType w:val="hybridMultilevel"/>
    <w:tmpl w:val="3B464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ACA6900"/>
    <w:multiLevelType w:val="hybridMultilevel"/>
    <w:tmpl w:val="F782F68A"/>
    <w:lvl w:ilvl="0" w:tplc="2174E26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1B5D6712"/>
    <w:multiLevelType w:val="hybridMultilevel"/>
    <w:tmpl w:val="C5F6F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C884385"/>
    <w:multiLevelType w:val="hybridMultilevel"/>
    <w:tmpl w:val="A35A3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CD112C"/>
    <w:multiLevelType w:val="hybridMultilevel"/>
    <w:tmpl w:val="13BC8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97207C"/>
    <w:multiLevelType w:val="hybridMultilevel"/>
    <w:tmpl w:val="4170F8D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20">
    <w:nsid w:val="20616488"/>
    <w:multiLevelType w:val="hybridMultilevel"/>
    <w:tmpl w:val="0EFA114A"/>
    <w:lvl w:ilvl="0" w:tplc="5B403A4E">
      <w:start w:val="1"/>
      <w:numFmt w:val="lowerLetter"/>
      <w:lvlText w:val="(%1)"/>
      <w:lvlJc w:val="left"/>
      <w:pPr>
        <w:ind w:left="1440" w:hanging="360"/>
      </w:pPr>
      <w:rPr>
        <w:rFonts w:hint="default"/>
      </w:rPr>
    </w:lvl>
    <w:lvl w:ilvl="1" w:tplc="5B403A4E">
      <w:start w:val="1"/>
      <w:numFmt w:val="lowerLetter"/>
      <w:lvlText w:val="(%2)"/>
      <w:lvlJc w:val="left"/>
      <w:pPr>
        <w:ind w:left="171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2081304E"/>
    <w:multiLevelType w:val="hybridMultilevel"/>
    <w:tmpl w:val="4A24D916"/>
    <w:lvl w:ilvl="0" w:tplc="D2F6BADC">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10320F2"/>
    <w:multiLevelType w:val="hybridMultilevel"/>
    <w:tmpl w:val="5F42E65C"/>
    <w:lvl w:ilvl="0" w:tplc="DC8A1770">
      <w:start w:val="1"/>
      <w:numFmt w:val="lowerRoman"/>
      <w:lvlText w:val="(%1)"/>
      <w:lvlJc w:val="left"/>
      <w:pPr>
        <w:ind w:left="2340" w:hanging="720"/>
      </w:pPr>
      <w:rPr>
        <w:rFonts w:hint="default"/>
      </w:rPr>
    </w:lvl>
    <w:lvl w:ilvl="1" w:tplc="0C090019">
      <w:start w:val="1"/>
      <w:numFmt w:val="lowerLetter"/>
      <w:lvlText w:val="%2."/>
      <w:lvlJc w:val="left"/>
      <w:pPr>
        <w:ind w:left="1440" w:hanging="360"/>
      </w:pPr>
    </w:lvl>
    <w:lvl w:ilvl="2" w:tplc="FF4A56FA">
      <w:start w:val="1"/>
      <w:numFmt w:val="lowerLetter"/>
      <w:lvlText w:val="(%3)"/>
      <w:lvlJc w:val="left"/>
      <w:pPr>
        <w:ind w:left="108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256663F"/>
    <w:multiLevelType w:val="hybridMultilevel"/>
    <w:tmpl w:val="5A40B608"/>
    <w:lvl w:ilvl="0" w:tplc="4DD418A8">
      <w:start w:val="1"/>
      <w:numFmt w:val="lowerLetter"/>
      <w:lvlText w:val="(%1)"/>
      <w:lvlJc w:val="left"/>
      <w:pPr>
        <w:ind w:left="153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4">
    <w:nsid w:val="235E06DF"/>
    <w:multiLevelType w:val="hybridMultilevel"/>
    <w:tmpl w:val="877AFAE4"/>
    <w:lvl w:ilvl="0" w:tplc="CA2EDF4C">
      <w:start w:val="1"/>
      <w:numFmt w:val="lowerRoman"/>
      <w:lvlText w:val="(%1)"/>
      <w:lvlJc w:val="left"/>
      <w:pPr>
        <w:ind w:left="2610" w:hanging="720"/>
      </w:pPr>
      <w:rPr>
        <w:rFonts w:hint="default"/>
      </w:rPr>
    </w:lvl>
    <w:lvl w:ilvl="1" w:tplc="2CCE5E10">
      <w:start w:val="1"/>
      <w:numFmt w:val="lowerLetter"/>
      <w:lvlText w:val="(%2)"/>
      <w:lvlJc w:val="left"/>
      <w:pPr>
        <w:ind w:left="990" w:hanging="360"/>
      </w:pPr>
      <w:rPr>
        <w:rFonts w:hint="default"/>
      </w:rPr>
    </w:lvl>
    <w:lvl w:ilvl="2" w:tplc="0C09001B" w:tentative="1">
      <w:start w:val="1"/>
      <w:numFmt w:val="lowerRoman"/>
      <w:lvlText w:val="%3."/>
      <w:lvlJc w:val="right"/>
      <w:pPr>
        <w:ind w:left="3690" w:hanging="180"/>
      </w:pPr>
    </w:lvl>
    <w:lvl w:ilvl="3" w:tplc="0C09000F" w:tentative="1">
      <w:start w:val="1"/>
      <w:numFmt w:val="decimal"/>
      <w:lvlText w:val="%4."/>
      <w:lvlJc w:val="left"/>
      <w:pPr>
        <w:ind w:left="4410" w:hanging="360"/>
      </w:pPr>
    </w:lvl>
    <w:lvl w:ilvl="4" w:tplc="0C090019" w:tentative="1">
      <w:start w:val="1"/>
      <w:numFmt w:val="lowerLetter"/>
      <w:lvlText w:val="%5."/>
      <w:lvlJc w:val="left"/>
      <w:pPr>
        <w:ind w:left="5130" w:hanging="360"/>
      </w:pPr>
    </w:lvl>
    <w:lvl w:ilvl="5" w:tplc="0C09001B" w:tentative="1">
      <w:start w:val="1"/>
      <w:numFmt w:val="lowerRoman"/>
      <w:lvlText w:val="%6."/>
      <w:lvlJc w:val="right"/>
      <w:pPr>
        <w:ind w:left="5850" w:hanging="180"/>
      </w:pPr>
    </w:lvl>
    <w:lvl w:ilvl="6" w:tplc="0C09000F" w:tentative="1">
      <w:start w:val="1"/>
      <w:numFmt w:val="decimal"/>
      <w:lvlText w:val="%7."/>
      <w:lvlJc w:val="left"/>
      <w:pPr>
        <w:ind w:left="6570" w:hanging="360"/>
      </w:pPr>
    </w:lvl>
    <w:lvl w:ilvl="7" w:tplc="0C090019" w:tentative="1">
      <w:start w:val="1"/>
      <w:numFmt w:val="lowerLetter"/>
      <w:lvlText w:val="%8."/>
      <w:lvlJc w:val="left"/>
      <w:pPr>
        <w:ind w:left="7290" w:hanging="360"/>
      </w:pPr>
    </w:lvl>
    <w:lvl w:ilvl="8" w:tplc="0C09001B" w:tentative="1">
      <w:start w:val="1"/>
      <w:numFmt w:val="lowerRoman"/>
      <w:lvlText w:val="%9."/>
      <w:lvlJc w:val="right"/>
      <w:pPr>
        <w:ind w:left="8010" w:hanging="180"/>
      </w:pPr>
    </w:lvl>
  </w:abstractNum>
  <w:abstractNum w:abstractNumId="25">
    <w:nsid w:val="23E41124"/>
    <w:multiLevelType w:val="hybridMultilevel"/>
    <w:tmpl w:val="722EE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49F2D34"/>
    <w:multiLevelType w:val="hybridMultilevel"/>
    <w:tmpl w:val="992C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25F141CC"/>
    <w:multiLevelType w:val="hybridMultilevel"/>
    <w:tmpl w:val="925C4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932161A"/>
    <w:multiLevelType w:val="hybridMultilevel"/>
    <w:tmpl w:val="52783BDA"/>
    <w:lvl w:ilvl="0" w:tplc="5336CDB0">
      <w:start w:val="1"/>
      <w:numFmt w:val="lowerLetter"/>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9">
    <w:nsid w:val="2B8A09D5"/>
    <w:multiLevelType w:val="hybridMultilevel"/>
    <w:tmpl w:val="E5D00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2BEC401E"/>
    <w:multiLevelType w:val="hybridMultilevel"/>
    <w:tmpl w:val="F0941860"/>
    <w:lvl w:ilvl="0" w:tplc="DF6AA2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C6C79B6"/>
    <w:multiLevelType w:val="hybridMultilevel"/>
    <w:tmpl w:val="5E56729A"/>
    <w:lvl w:ilvl="0" w:tplc="6F5EDE12">
      <w:start w:val="1"/>
      <w:numFmt w:val="lowerLetter"/>
      <w:lvlText w:val="(%1)"/>
      <w:lvlJc w:val="left"/>
      <w:pPr>
        <w:ind w:left="1260" w:hanging="360"/>
      </w:pPr>
      <w:rPr>
        <w:rFonts w:hint="default"/>
      </w:rPr>
    </w:lvl>
    <w:lvl w:ilvl="1" w:tplc="204E9D3C">
      <w:start w:val="1"/>
      <w:numFmt w:val="lowerRoman"/>
      <w:lvlText w:val="(%2)"/>
      <w:lvlJc w:val="left"/>
      <w:pPr>
        <w:ind w:left="2340" w:hanging="720"/>
      </w:pPr>
      <w:rPr>
        <w:rFonts w:hint="default"/>
      </w:r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32">
    <w:nsid w:val="2EAF1971"/>
    <w:multiLevelType w:val="hybridMultilevel"/>
    <w:tmpl w:val="90A0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6970E2"/>
    <w:multiLevelType w:val="hybridMultilevel"/>
    <w:tmpl w:val="C8F4C4CA"/>
    <w:lvl w:ilvl="0" w:tplc="0C090017">
      <w:start w:val="1"/>
      <w:numFmt w:val="lowerLetter"/>
      <w:lvlText w:val="%1)"/>
      <w:lvlJc w:val="left"/>
      <w:pPr>
        <w:ind w:left="1440" w:hanging="360"/>
      </w:pPr>
    </w:lvl>
    <w:lvl w:ilvl="1" w:tplc="5B403A4E">
      <w:start w:val="1"/>
      <w:numFmt w:val="lowerLetter"/>
      <w:lvlText w:val="(%2)"/>
      <w:lvlJc w:val="left"/>
      <w:pPr>
        <w:ind w:left="1080" w:hanging="360"/>
      </w:pPr>
      <w:rPr>
        <w:rFonts w:hint="default"/>
      </w:r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nsid w:val="308D3E61"/>
    <w:multiLevelType w:val="hybridMultilevel"/>
    <w:tmpl w:val="867A9D7C"/>
    <w:lvl w:ilvl="0" w:tplc="F77AA460">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35">
    <w:nsid w:val="31095629"/>
    <w:multiLevelType w:val="hybridMultilevel"/>
    <w:tmpl w:val="C1406BBC"/>
    <w:lvl w:ilvl="0" w:tplc="2174E26C">
      <w:start w:val="1"/>
      <w:numFmt w:val="lowerRoman"/>
      <w:lvlText w:val="(%1)"/>
      <w:lvlJc w:val="left"/>
      <w:pPr>
        <w:ind w:left="1440" w:hanging="360"/>
      </w:pPr>
      <w:rPr>
        <w:rFonts w:hint="default"/>
      </w:rPr>
    </w:lvl>
    <w:lvl w:ilvl="1" w:tplc="8F80C2CE">
      <w:start w:val="1"/>
      <w:numFmt w:val="lowerLetter"/>
      <w:lvlText w:val="(%2)"/>
      <w:lvlJc w:val="left"/>
      <w:pPr>
        <w:ind w:left="99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nsid w:val="31901C07"/>
    <w:multiLevelType w:val="hybridMultilevel"/>
    <w:tmpl w:val="65D2C308"/>
    <w:lvl w:ilvl="0" w:tplc="73945D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1A77E75"/>
    <w:multiLevelType w:val="hybridMultilevel"/>
    <w:tmpl w:val="1F5EAB0A"/>
    <w:lvl w:ilvl="0" w:tplc="2174E26C">
      <w:start w:val="1"/>
      <w:numFmt w:val="lowerRoman"/>
      <w:lvlText w:val="(%1)"/>
      <w:lvlJc w:val="left"/>
      <w:pPr>
        <w:ind w:left="2160" w:hanging="360"/>
      </w:pPr>
      <w:rPr>
        <w:rFonts w:hint="default"/>
      </w:rPr>
    </w:lvl>
    <w:lvl w:ilvl="1" w:tplc="0C090019">
      <w:start w:val="1"/>
      <w:numFmt w:val="lowerLetter"/>
      <w:lvlText w:val="%2."/>
      <w:lvlJc w:val="left"/>
      <w:pPr>
        <w:ind w:left="2790" w:hanging="360"/>
      </w:pPr>
    </w:lvl>
    <w:lvl w:ilvl="2" w:tplc="2174E26C">
      <w:start w:val="1"/>
      <w:numFmt w:val="lowerRoman"/>
      <w:lvlText w:val="(%3)"/>
      <w:lvlJc w:val="left"/>
      <w:pPr>
        <w:ind w:left="27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8">
    <w:nsid w:val="345B344A"/>
    <w:multiLevelType w:val="hybridMultilevel"/>
    <w:tmpl w:val="6BD06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34834670"/>
    <w:multiLevelType w:val="hybridMultilevel"/>
    <w:tmpl w:val="6EA29700"/>
    <w:lvl w:ilvl="0" w:tplc="F81A97AE">
      <w:start w:val="2"/>
      <w:numFmt w:val="lowerLetter"/>
      <w:lvlText w:val="(%1)"/>
      <w:lvlJc w:val="left"/>
      <w:pPr>
        <w:ind w:left="1890" w:hanging="360"/>
      </w:pPr>
      <w:rPr>
        <w:rFonts w:hint="default"/>
      </w:rPr>
    </w:lvl>
    <w:lvl w:ilvl="1" w:tplc="63786BEC">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34851913"/>
    <w:multiLevelType w:val="hybridMultilevel"/>
    <w:tmpl w:val="016E5C1A"/>
    <w:lvl w:ilvl="0" w:tplc="FEE43A54">
      <w:start w:val="1"/>
      <w:numFmt w:val="decimal"/>
      <w:lvlText w:val="(%1)"/>
      <w:lvlJc w:val="left"/>
      <w:pPr>
        <w:ind w:left="719" w:hanging="435"/>
      </w:pPr>
      <w:rPr>
        <w:rFonts w:hint="default"/>
      </w:rPr>
    </w:lvl>
    <w:lvl w:ilvl="1" w:tplc="A9DCC9DC">
      <w:start w:val="1"/>
      <w:numFmt w:val="lowerLetter"/>
      <w:lvlText w:val="(%2)"/>
      <w:lvlJc w:val="left"/>
      <w:pPr>
        <w:ind w:left="1065" w:hanging="435"/>
      </w:pPr>
      <w:rPr>
        <w:rFonts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1">
    <w:nsid w:val="34C40F8F"/>
    <w:multiLevelType w:val="hybridMultilevel"/>
    <w:tmpl w:val="02385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36436D64"/>
    <w:multiLevelType w:val="hybridMultilevel"/>
    <w:tmpl w:val="E5601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37975967"/>
    <w:multiLevelType w:val="hybridMultilevel"/>
    <w:tmpl w:val="2FAA0A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379D3FB5"/>
    <w:multiLevelType w:val="hybridMultilevel"/>
    <w:tmpl w:val="88385A20"/>
    <w:lvl w:ilvl="0" w:tplc="5B403A4E">
      <w:start w:val="1"/>
      <w:numFmt w:val="lowerLetter"/>
      <w:lvlText w:val="(%1)"/>
      <w:lvlJc w:val="left"/>
      <w:pPr>
        <w:ind w:left="2160" w:hanging="360"/>
      </w:pPr>
      <w:rPr>
        <w:rFonts w:hint="default"/>
      </w:rPr>
    </w:lvl>
    <w:lvl w:ilvl="1" w:tplc="5B403A4E">
      <w:start w:val="1"/>
      <w:numFmt w:val="lowerLetter"/>
      <w:lvlText w:val="(%2)"/>
      <w:lvlJc w:val="left"/>
      <w:pPr>
        <w:ind w:left="189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5">
    <w:nsid w:val="37CC50D8"/>
    <w:multiLevelType w:val="hybridMultilevel"/>
    <w:tmpl w:val="38384978"/>
    <w:lvl w:ilvl="0" w:tplc="D3A2A908">
      <w:start w:val="1"/>
      <w:numFmt w:val="decimal"/>
      <w:lvlText w:val="%1."/>
      <w:lvlJc w:val="left"/>
      <w:pPr>
        <w:ind w:left="450" w:hanging="360"/>
      </w:pPr>
      <w:rPr>
        <w:rFonts w:hint="default"/>
        <w:sz w:val="28"/>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46">
    <w:nsid w:val="3A7B4A29"/>
    <w:multiLevelType w:val="hybridMultilevel"/>
    <w:tmpl w:val="297A97A8"/>
    <w:lvl w:ilvl="0" w:tplc="0ABC4F3C">
      <w:start w:val="1"/>
      <w:numFmt w:val="lowerRoman"/>
      <w:lvlText w:val="(%1)"/>
      <w:lvlJc w:val="left"/>
      <w:pPr>
        <w:ind w:left="1710" w:hanging="720"/>
      </w:pPr>
      <w:rPr>
        <w:rFonts w:hint="default"/>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47">
    <w:nsid w:val="3BD50C5A"/>
    <w:multiLevelType w:val="hybridMultilevel"/>
    <w:tmpl w:val="1E421570"/>
    <w:lvl w:ilvl="0" w:tplc="6F5EDE12">
      <w:start w:val="1"/>
      <w:numFmt w:val="lowerLetter"/>
      <w:lvlText w:val="(%1)"/>
      <w:lvlJc w:val="left"/>
      <w:pPr>
        <w:ind w:left="720" w:hanging="360"/>
      </w:pPr>
      <w:rPr>
        <w:rFonts w:hint="default"/>
      </w:rPr>
    </w:lvl>
    <w:lvl w:ilvl="1" w:tplc="B6603260">
      <w:start w:val="1"/>
      <w:numFmt w:val="decimal"/>
      <w:lvlText w:val="(%2)"/>
      <w:lvlJc w:val="left"/>
      <w:pPr>
        <w:ind w:left="90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3D4F4193"/>
    <w:multiLevelType w:val="hybridMultilevel"/>
    <w:tmpl w:val="BCACA32C"/>
    <w:lvl w:ilvl="0" w:tplc="2174E26C">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nsid w:val="3D6D39ED"/>
    <w:multiLevelType w:val="hybridMultilevel"/>
    <w:tmpl w:val="0F0801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43097B2B"/>
    <w:multiLevelType w:val="hybridMultilevel"/>
    <w:tmpl w:val="0D387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35E1F00"/>
    <w:multiLevelType w:val="hybridMultilevel"/>
    <w:tmpl w:val="35FA3F5A"/>
    <w:lvl w:ilvl="0" w:tplc="0CD23290">
      <w:start w:val="1"/>
      <w:numFmt w:val="decimal"/>
      <w:lvlText w:val="%1."/>
      <w:lvlJc w:val="left"/>
      <w:pPr>
        <w:ind w:left="420" w:hanging="360"/>
      </w:pPr>
      <w:rPr>
        <w:rFonts w:eastAsiaTheme="minorHAnsi" w:cstheme="minorBidi" w:hint="default"/>
        <w:color w:val="000000" w:themeColor="text1"/>
        <w:sz w:val="24"/>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2">
    <w:nsid w:val="43600536"/>
    <w:multiLevelType w:val="multilevel"/>
    <w:tmpl w:val="F3EA1DAA"/>
    <w:lvl w:ilvl="0">
      <w:start w:val="1"/>
      <w:numFmt w:val="decimal"/>
      <w:lvlText w:val="%1.26.1"/>
      <w:lvlJc w:val="left"/>
      <w:pPr>
        <w:ind w:left="720" w:hanging="720"/>
      </w:pPr>
      <w:rPr>
        <w:rFonts w:hint="default"/>
      </w:rPr>
    </w:lvl>
    <w:lvl w:ilvl="1">
      <w:start w:val="1"/>
      <w:numFmt w:val="decimal"/>
      <w:pStyle w:val="FigureHeading2"/>
      <w:lvlText w:val="%2.26.2"/>
      <w:lvlJc w:val="left"/>
      <w:pPr>
        <w:ind w:left="720" w:hanging="720"/>
      </w:pPr>
      <w:rPr>
        <w:rFonts w:hint="default"/>
      </w:rPr>
    </w:lvl>
    <w:lvl w:ilvl="2">
      <w:start w:val="1"/>
      <w:numFmt w:val="decimal"/>
      <w:lvlText w:val="%1.26.3"/>
      <w:lvlJc w:val="left"/>
      <w:pPr>
        <w:ind w:left="720" w:hanging="720"/>
      </w:pPr>
      <w:rPr>
        <w:rFonts w:hint="default"/>
      </w:rPr>
    </w:lvl>
    <w:lvl w:ilvl="3">
      <w:start w:val="1"/>
      <w:numFmt w:val="none"/>
      <w:lvlText w:val="1.26.4"/>
      <w:lvlJc w:val="left"/>
      <w:pPr>
        <w:ind w:left="1080" w:hanging="1080"/>
      </w:pPr>
      <w:rPr>
        <w:rFonts w:hint="default"/>
      </w:rPr>
    </w:lvl>
    <w:lvl w:ilvl="4">
      <w:start w:val="1"/>
      <w:numFmt w:val="decimal"/>
      <w:lvlText w:val="%5.26.5"/>
      <w:lvlJc w:val="left"/>
      <w:pPr>
        <w:ind w:left="1440" w:hanging="1440"/>
      </w:pPr>
      <w:rPr>
        <w:rFonts w:hint="default"/>
      </w:rPr>
    </w:lvl>
    <w:lvl w:ilvl="5">
      <w:start w:val="1"/>
      <w:numFmt w:val="none"/>
      <w:lvlText w:val="1.26.6"/>
      <w:lvlJc w:val="left"/>
      <w:pPr>
        <w:ind w:left="1440" w:hanging="1440"/>
      </w:pPr>
      <w:rPr>
        <w:rFonts w:hint="default"/>
      </w:rPr>
    </w:lvl>
    <w:lvl w:ilvl="6">
      <w:start w:val="1"/>
      <w:numFmt w:val="decimal"/>
      <w:lvlText w:val="%7.26.7"/>
      <w:lvlJc w:val="left"/>
      <w:pPr>
        <w:ind w:left="1800" w:hanging="1800"/>
      </w:pPr>
      <w:rPr>
        <w:rFonts w:hint="default"/>
      </w:rPr>
    </w:lvl>
    <w:lvl w:ilvl="7">
      <w:start w:val="1"/>
      <w:numFmt w:val="none"/>
      <w:lvlText w:val="1.26.8"/>
      <w:lvlJc w:val="left"/>
      <w:pPr>
        <w:ind w:left="2160" w:hanging="2160"/>
      </w:pPr>
      <w:rPr>
        <w:rFonts w:hint="default"/>
      </w:rPr>
    </w:lvl>
    <w:lvl w:ilvl="8">
      <w:start w:val="1"/>
      <w:numFmt w:val="none"/>
      <w:lvlRestart w:val="0"/>
      <w:lvlText w:val="1.26.9"/>
      <w:lvlJc w:val="left"/>
      <w:pPr>
        <w:ind w:left="2160" w:hanging="2160"/>
      </w:pPr>
      <w:rPr>
        <w:rFonts w:hint="default"/>
      </w:rPr>
    </w:lvl>
  </w:abstractNum>
  <w:abstractNum w:abstractNumId="53">
    <w:nsid w:val="45F04591"/>
    <w:multiLevelType w:val="hybridMultilevel"/>
    <w:tmpl w:val="201C2B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46347FFE"/>
    <w:multiLevelType w:val="hybridMultilevel"/>
    <w:tmpl w:val="084A8304"/>
    <w:lvl w:ilvl="0" w:tplc="3D82F50A">
      <w:start w:val="1"/>
      <w:numFmt w:val="lowerRoman"/>
      <w:lvlText w:val="(%1)"/>
      <w:lvlJc w:val="left"/>
      <w:pPr>
        <w:ind w:left="2205" w:hanging="720"/>
      </w:pPr>
      <w:rPr>
        <w:rFonts w:hint="default"/>
      </w:rPr>
    </w:lvl>
    <w:lvl w:ilvl="1" w:tplc="2174E26C">
      <w:start w:val="1"/>
      <w:numFmt w:val="lowerRoman"/>
      <w:lvlText w:val="(%2)"/>
      <w:lvlJc w:val="left"/>
      <w:pPr>
        <w:ind w:left="154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55">
    <w:nsid w:val="48116AC3"/>
    <w:multiLevelType w:val="hybridMultilevel"/>
    <w:tmpl w:val="3536A9F8"/>
    <w:lvl w:ilvl="0" w:tplc="2174E26C">
      <w:start w:val="1"/>
      <w:numFmt w:val="lowerRoman"/>
      <w:lvlText w:val="(%1)"/>
      <w:lvlJc w:val="left"/>
      <w:pPr>
        <w:ind w:left="1980" w:hanging="360"/>
      </w:pPr>
      <w:rPr>
        <w:rFonts w:hint="default"/>
      </w:rPr>
    </w:lvl>
    <w:lvl w:ilvl="1" w:tplc="2174E26C">
      <w:start w:val="1"/>
      <w:numFmt w:val="lowerRoman"/>
      <w:lvlText w:val="(%2)"/>
      <w:lvlJc w:val="left"/>
      <w:pPr>
        <w:ind w:left="1710" w:hanging="360"/>
      </w:pPr>
      <w:rPr>
        <w:rFonts w:hint="default"/>
      </w:r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56">
    <w:nsid w:val="486C14C7"/>
    <w:multiLevelType w:val="hybridMultilevel"/>
    <w:tmpl w:val="ACA0E9AA"/>
    <w:lvl w:ilvl="0" w:tplc="1584E6F4">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57">
    <w:nsid w:val="4E9F60CE"/>
    <w:multiLevelType w:val="hybridMultilevel"/>
    <w:tmpl w:val="2F9CD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4EB37891"/>
    <w:multiLevelType w:val="hybridMultilevel"/>
    <w:tmpl w:val="444692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4F065939"/>
    <w:multiLevelType w:val="hybridMultilevel"/>
    <w:tmpl w:val="67DE3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55F27D7D"/>
    <w:multiLevelType w:val="hybridMultilevel"/>
    <w:tmpl w:val="F3942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578E1FB8"/>
    <w:multiLevelType w:val="hybridMultilevel"/>
    <w:tmpl w:val="1916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9514547"/>
    <w:multiLevelType w:val="hybridMultilevel"/>
    <w:tmpl w:val="A3B6F5A4"/>
    <w:lvl w:ilvl="0" w:tplc="BF140646">
      <w:start w:val="1"/>
      <w:numFmt w:val="lowerLetter"/>
      <w:lvlText w:val="(%1)"/>
      <w:lvlJc w:val="left"/>
      <w:pPr>
        <w:ind w:left="1080" w:hanging="360"/>
      </w:pPr>
      <w:rPr>
        <w:rFonts w:hint="default"/>
      </w:rPr>
    </w:lvl>
    <w:lvl w:ilvl="1" w:tplc="1F708222">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nsid w:val="5BEA61B3"/>
    <w:multiLevelType w:val="hybridMultilevel"/>
    <w:tmpl w:val="4492EE40"/>
    <w:lvl w:ilvl="0" w:tplc="3B8E025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4">
    <w:nsid w:val="60892EB1"/>
    <w:multiLevelType w:val="hybridMultilevel"/>
    <w:tmpl w:val="B6209700"/>
    <w:lvl w:ilvl="0" w:tplc="5B403A4E">
      <w:start w:val="1"/>
      <w:numFmt w:val="lowerLetter"/>
      <w:lvlText w:val="(%1)"/>
      <w:lvlJc w:val="left"/>
      <w:pPr>
        <w:ind w:left="1440" w:hanging="360"/>
      </w:pPr>
      <w:rPr>
        <w:rFonts w:hint="default"/>
      </w:rPr>
    </w:lvl>
    <w:lvl w:ilvl="1" w:tplc="D4B854A2">
      <w:start w:val="1"/>
      <w:numFmt w:val="lowerLetter"/>
      <w:lvlText w:val="(%2)"/>
      <w:lvlJc w:val="left"/>
      <w:pPr>
        <w:ind w:left="1080" w:hanging="360"/>
      </w:pPr>
      <w:rPr>
        <w:rFonts w:hint="default"/>
      </w:rPr>
    </w:lvl>
    <w:lvl w:ilvl="2" w:tplc="401A97C4">
      <w:start w:val="1"/>
      <w:numFmt w:val="decimal"/>
      <w:lvlText w:val="(%3)"/>
      <w:lvlJc w:val="left"/>
      <w:pPr>
        <w:ind w:left="108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5">
    <w:nsid w:val="61426874"/>
    <w:multiLevelType w:val="hybridMultilevel"/>
    <w:tmpl w:val="0C2E9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61A41623"/>
    <w:multiLevelType w:val="hybridMultilevel"/>
    <w:tmpl w:val="72780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62D55027"/>
    <w:multiLevelType w:val="hybridMultilevel"/>
    <w:tmpl w:val="7F8C8FB0"/>
    <w:lvl w:ilvl="0" w:tplc="2174E26C">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nsid w:val="64280BDC"/>
    <w:multiLevelType w:val="multilevel"/>
    <w:tmpl w:val="3F0880D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642F2E35"/>
    <w:multiLevelType w:val="hybridMultilevel"/>
    <w:tmpl w:val="D15C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4D760C0"/>
    <w:multiLevelType w:val="hybridMultilevel"/>
    <w:tmpl w:val="F0B0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83214A2"/>
    <w:multiLevelType w:val="hybridMultilevel"/>
    <w:tmpl w:val="75D28EB4"/>
    <w:lvl w:ilvl="0" w:tplc="AE043B6E">
      <w:start w:val="1"/>
      <w:numFmt w:val="lowerRoman"/>
      <w:lvlText w:val="(%1)"/>
      <w:lvlJc w:val="left"/>
      <w:pPr>
        <w:ind w:left="1785" w:hanging="720"/>
      </w:pPr>
      <w:rPr>
        <w:rFonts w:hint="default"/>
      </w:rPr>
    </w:lvl>
    <w:lvl w:ilvl="1" w:tplc="0C090019" w:tentative="1">
      <w:start w:val="1"/>
      <w:numFmt w:val="lowerLetter"/>
      <w:lvlText w:val="%2."/>
      <w:lvlJc w:val="left"/>
      <w:pPr>
        <w:ind w:left="2145" w:hanging="360"/>
      </w:p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72">
    <w:nsid w:val="684F6901"/>
    <w:multiLevelType w:val="hybridMultilevel"/>
    <w:tmpl w:val="4EA6C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68961C5F"/>
    <w:multiLevelType w:val="hybridMultilevel"/>
    <w:tmpl w:val="F40652F0"/>
    <w:lvl w:ilvl="0" w:tplc="C46C14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6A1270BF"/>
    <w:multiLevelType w:val="hybridMultilevel"/>
    <w:tmpl w:val="25C8C988"/>
    <w:lvl w:ilvl="0" w:tplc="2174E26C">
      <w:start w:val="1"/>
      <w:numFmt w:val="lowerRoman"/>
      <w:lvlText w:val="(%1)"/>
      <w:lvlJc w:val="left"/>
      <w:pPr>
        <w:ind w:left="2160" w:hanging="360"/>
      </w:pPr>
      <w:rPr>
        <w:rFonts w:hint="default"/>
      </w:rPr>
    </w:lvl>
    <w:lvl w:ilvl="1" w:tplc="2174E26C">
      <w:start w:val="1"/>
      <w:numFmt w:val="lowerRoman"/>
      <w:lvlText w:val="(%2)"/>
      <w:lvlJc w:val="left"/>
      <w:pPr>
        <w:ind w:left="243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5">
    <w:nsid w:val="6AAD4797"/>
    <w:multiLevelType w:val="hybridMultilevel"/>
    <w:tmpl w:val="455AFAFA"/>
    <w:lvl w:ilvl="0" w:tplc="2174E26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6E3A6CCC"/>
    <w:multiLevelType w:val="hybridMultilevel"/>
    <w:tmpl w:val="38A6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6F613461"/>
    <w:multiLevelType w:val="hybridMultilevel"/>
    <w:tmpl w:val="350A2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71D42562"/>
    <w:multiLevelType w:val="hybridMultilevel"/>
    <w:tmpl w:val="D7FC6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2487419"/>
    <w:multiLevelType w:val="hybridMultilevel"/>
    <w:tmpl w:val="140A45F2"/>
    <w:lvl w:ilvl="0" w:tplc="F882552C">
      <w:start w:val="1"/>
      <w:numFmt w:val="lowerRoman"/>
      <w:lvlText w:val="(%1)"/>
      <w:lvlJc w:val="left"/>
      <w:pPr>
        <w:ind w:left="1890" w:hanging="720"/>
      </w:pPr>
      <w:rPr>
        <w:rFonts w:hint="default"/>
      </w:rPr>
    </w:lvl>
    <w:lvl w:ilvl="1" w:tplc="CD1424B0">
      <w:start w:val="1"/>
      <w:numFmt w:val="lowerLetter"/>
      <w:lvlText w:val="(%2)"/>
      <w:lvlJc w:val="left"/>
      <w:pPr>
        <w:ind w:left="1080" w:hanging="360"/>
      </w:pPr>
      <w:rPr>
        <w:rFonts w:hint="default"/>
      </w:r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80">
    <w:nsid w:val="727B2180"/>
    <w:multiLevelType w:val="hybridMultilevel"/>
    <w:tmpl w:val="ED6E2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4DC6263"/>
    <w:multiLevelType w:val="hybridMultilevel"/>
    <w:tmpl w:val="5374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6723F32"/>
    <w:multiLevelType w:val="hybridMultilevel"/>
    <w:tmpl w:val="30AA542A"/>
    <w:lvl w:ilvl="0" w:tplc="18F2747A">
      <w:start w:val="3"/>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76DB744B"/>
    <w:multiLevelType w:val="hybridMultilevel"/>
    <w:tmpl w:val="7B2E26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77B05D0D"/>
    <w:multiLevelType w:val="hybridMultilevel"/>
    <w:tmpl w:val="6C06B266"/>
    <w:lvl w:ilvl="0" w:tplc="DEAE7AA8">
      <w:start w:val="1"/>
      <w:numFmt w:val="lowerLetter"/>
      <w:lvlText w:val="(%1)"/>
      <w:lvlJc w:val="left"/>
      <w:pPr>
        <w:ind w:left="2070" w:hanging="360"/>
      </w:pPr>
      <w:rPr>
        <w:rFonts w:hint="default"/>
      </w:rPr>
    </w:lvl>
    <w:lvl w:ilvl="1" w:tplc="75A2271C">
      <w:start w:val="1"/>
      <w:numFmt w:val="decimal"/>
      <w:lvlText w:val="(%2)"/>
      <w:lvlJc w:val="left"/>
      <w:pPr>
        <w:ind w:left="990" w:hanging="360"/>
      </w:pPr>
      <w:rPr>
        <w:rFonts w:hint="default"/>
      </w:rPr>
    </w:lvl>
    <w:lvl w:ilvl="2" w:tplc="0C09001B" w:tentative="1">
      <w:start w:val="1"/>
      <w:numFmt w:val="lowerRoman"/>
      <w:lvlText w:val="%3."/>
      <w:lvlJc w:val="right"/>
      <w:pPr>
        <w:ind w:left="3510" w:hanging="180"/>
      </w:p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85">
    <w:nsid w:val="7AFA1420"/>
    <w:multiLevelType w:val="hybridMultilevel"/>
    <w:tmpl w:val="A33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CAA5D47"/>
    <w:multiLevelType w:val="hybridMultilevel"/>
    <w:tmpl w:val="4ADC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7CFC12DB"/>
    <w:multiLevelType w:val="hybridMultilevel"/>
    <w:tmpl w:val="717C1EE0"/>
    <w:lvl w:ilvl="0" w:tplc="3D82F50A">
      <w:start w:val="1"/>
      <w:numFmt w:val="lowerRoman"/>
      <w:lvlText w:val="(%1)"/>
      <w:lvlJc w:val="left"/>
      <w:pPr>
        <w:ind w:left="2205" w:hanging="720"/>
      </w:pPr>
      <w:rPr>
        <w:rFonts w:hint="default"/>
      </w:rPr>
    </w:lvl>
    <w:lvl w:ilvl="1" w:tplc="5636E596">
      <w:start w:val="1"/>
      <w:numFmt w:val="lowerLetter"/>
      <w:lvlText w:val="(%2)"/>
      <w:lvlJc w:val="left"/>
      <w:pPr>
        <w:ind w:left="109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88">
    <w:nsid w:val="7EFE1C9C"/>
    <w:multiLevelType w:val="hybridMultilevel"/>
    <w:tmpl w:val="8D604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F0F3442"/>
    <w:multiLevelType w:val="hybridMultilevel"/>
    <w:tmpl w:val="E976DB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nsid w:val="7F314CC7"/>
    <w:multiLevelType w:val="hybridMultilevel"/>
    <w:tmpl w:val="648A88EA"/>
    <w:lvl w:ilvl="0" w:tplc="2174E26C">
      <w:start w:val="1"/>
      <w:numFmt w:val="lowerRoman"/>
      <w:lvlText w:val="(%1)"/>
      <w:lvlJc w:val="left"/>
      <w:pPr>
        <w:ind w:left="144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num w:numId="1">
    <w:abstractNumId w:val="21"/>
  </w:num>
  <w:num w:numId="2">
    <w:abstractNumId w:val="17"/>
  </w:num>
  <w:num w:numId="3">
    <w:abstractNumId w:val="69"/>
  </w:num>
  <w:num w:numId="4">
    <w:abstractNumId w:val="50"/>
  </w:num>
  <w:num w:numId="5">
    <w:abstractNumId w:val="89"/>
  </w:num>
  <w:num w:numId="6">
    <w:abstractNumId w:val="78"/>
  </w:num>
  <w:num w:numId="7">
    <w:abstractNumId w:val="76"/>
  </w:num>
  <w:num w:numId="8">
    <w:abstractNumId w:val="80"/>
  </w:num>
  <w:num w:numId="9">
    <w:abstractNumId w:val="12"/>
  </w:num>
  <w:num w:numId="10">
    <w:abstractNumId w:val="38"/>
  </w:num>
  <w:num w:numId="11">
    <w:abstractNumId w:val="43"/>
  </w:num>
  <w:num w:numId="12">
    <w:abstractNumId w:val="41"/>
  </w:num>
  <w:num w:numId="13">
    <w:abstractNumId w:val="77"/>
  </w:num>
  <w:num w:numId="14">
    <w:abstractNumId w:val="25"/>
  </w:num>
  <w:num w:numId="15">
    <w:abstractNumId w:val="65"/>
  </w:num>
  <w:num w:numId="16">
    <w:abstractNumId w:val="60"/>
  </w:num>
  <w:num w:numId="17">
    <w:abstractNumId w:val="42"/>
  </w:num>
  <w:num w:numId="18">
    <w:abstractNumId w:val="29"/>
  </w:num>
  <w:num w:numId="19">
    <w:abstractNumId w:val="72"/>
  </w:num>
  <w:num w:numId="20">
    <w:abstractNumId w:val="51"/>
  </w:num>
  <w:num w:numId="21">
    <w:abstractNumId w:val="30"/>
  </w:num>
  <w:num w:numId="22">
    <w:abstractNumId w:val="32"/>
  </w:num>
  <w:num w:numId="23">
    <w:abstractNumId w:val="53"/>
  </w:num>
  <w:num w:numId="24">
    <w:abstractNumId w:val="3"/>
  </w:num>
  <w:num w:numId="25">
    <w:abstractNumId w:val="5"/>
  </w:num>
  <w:num w:numId="26">
    <w:abstractNumId w:val="52"/>
  </w:num>
  <w:num w:numId="27">
    <w:abstractNumId w:val="85"/>
  </w:num>
  <w:num w:numId="28">
    <w:abstractNumId w:val="81"/>
  </w:num>
  <w:num w:numId="29">
    <w:abstractNumId w:val="58"/>
  </w:num>
  <w:num w:numId="30">
    <w:abstractNumId w:val="8"/>
  </w:num>
  <w:num w:numId="31">
    <w:abstractNumId w:val="49"/>
  </w:num>
  <w:num w:numId="32">
    <w:abstractNumId w:val="47"/>
  </w:num>
  <w:num w:numId="33">
    <w:abstractNumId w:val="15"/>
  </w:num>
  <w:num w:numId="34">
    <w:abstractNumId w:val="70"/>
  </w:num>
  <w:num w:numId="35">
    <w:abstractNumId w:val="86"/>
  </w:num>
  <w:num w:numId="36">
    <w:abstractNumId w:val="73"/>
  </w:num>
  <w:num w:numId="37">
    <w:abstractNumId w:val="18"/>
  </w:num>
  <w:num w:numId="38">
    <w:abstractNumId w:val="14"/>
  </w:num>
  <w:num w:numId="39">
    <w:abstractNumId w:val="9"/>
  </w:num>
  <w:num w:numId="40">
    <w:abstractNumId w:val="66"/>
  </w:num>
  <w:num w:numId="41">
    <w:abstractNumId w:val="13"/>
  </w:num>
  <w:num w:numId="42">
    <w:abstractNumId w:val="28"/>
  </w:num>
  <w:num w:numId="43">
    <w:abstractNumId w:val="27"/>
  </w:num>
  <w:num w:numId="44">
    <w:abstractNumId w:val="7"/>
  </w:num>
  <w:num w:numId="45">
    <w:abstractNumId w:val="2"/>
  </w:num>
  <w:num w:numId="46">
    <w:abstractNumId w:val="88"/>
  </w:num>
  <w:num w:numId="47">
    <w:abstractNumId w:val="83"/>
  </w:num>
  <w:num w:numId="48">
    <w:abstractNumId w:val="26"/>
  </w:num>
  <w:num w:numId="49">
    <w:abstractNumId w:val="57"/>
  </w:num>
  <w:num w:numId="50">
    <w:abstractNumId w:val="61"/>
  </w:num>
  <w:num w:numId="51">
    <w:abstractNumId w:val="36"/>
  </w:num>
  <w:num w:numId="52">
    <w:abstractNumId w:val="68"/>
  </w:num>
  <w:num w:numId="53">
    <w:abstractNumId w:val="63"/>
  </w:num>
  <w:num w:numId="54">
    <w:abstractNumId w:val="31"/>
  </w:num>
  <w:num w:numId="55">
    <w:abstractNumId w:val="75"/>
  </w:num>
  <w:num w:numId="56">
    <w:abstractNumId w:val="0"/>
  </w:num>
  <w:num w:numId="57">
    <w:abstractNumId w:val="84"/>
  </w:num>
  <w:num w:numId="58">
    <w:abstractNumId w:val="23"/>
  </w:num>
  <w:num w:numId="59">
    <w:abstractNumId w:val="1"/>
  </w:num>
  <w:num w:numId="60">
    <w:abstractNumId w:val="40"/>
  </w:num>
  <w:num w:numId="61">
    <w:abstractNumId w:val="90"/>
  </w:num>
  <w:num w:numId="62">
    <w:abstractNumId w:val="35"/>
  </w:num>
  <w:num w:numId="63">
    <w:abstractNumId w:val="71"/>
  </w:num>
  <w:num w:numId="64">
    <w:abstractNumId w:val="24"/>
  </w:num>
  <w:num w:numId="65">
    <w:abstractNumId w:val="39"/>
  </w:num>
  <w:num w:numId="66">
    <w:abstractNumId w:val="20"/>
  </w:num>
  <w:num w:numId="67">
    <w:abstractNumId w:val="46"/>
  </w:num>
  <w:num w:numId="68">
    <w:abstractNumId w:val="16"/>
  </w:num>
  <w:num w:numId="69">
    <w:abstractNumId w:val="64"/>
  </w:num>
  <w:num w:numId="70">
    <w:abstractNumId w:val="87"/>
  </w:num>
  <w:num w:numId="71">
    <w:abstractNumId w:val="44"/>
  </w:num>
  <w:num w:numId="72">
    <w:abstractNumId w:val="79"/>
  </w:num>
  <w:num w:numId="73">
    <w:abstractNumId w:val="34"/>
  </w:num>
  <w:num w:numId="74">
    <w:abstractNumId w:val="56"/>
  </w:num>
  <w:num w:numId="75">
    <w:abstractNumId w:val="22"/>
  </w:num>
  <w:num w:numId="76">
    <w:abstractNumId w:val="62"/>
  </w:num>
  <w:num w:numId="77">
    <w:abstractNumId w:val="82"/>
  </w:num>
  <w:num w:numId="78">
    <w:abstractNumId w:val="19"/>
  </w:num>
  <w:num w:numId="79">
    <w:abstractNumId w:val="10"/>
  </w:num>
  <w:num w:numId="80">
    <w:abstractNumId w:val="54"/>
  </w:num>
  <w:num w:numId="81">
    <w:abstractNumId w:val="6"/>
  </w:num>
  <w:num w:numId="82">
    <w:abstractNumId w:val="33"/>
  </w:num>
  <w:num w:numId="83">
    <w:abstractNumId w:val="55"/>
  </w:num>
  <w:num w:numId="84">
    <w:abstractNumId w:val="74"/>
  </w:num>
  <w:num w:numId="85">
    <w:abstractNumId w:val="37"/>
  </w:num>
  <w:num w:numId="86">
    <w:abstractNumId w:val="48"/>
  </w:num>
  <w:num w:numId="87">
    <w:abstractNumId w:val="67"/>
  </w:num>
  <w:num w:numId="88">
    <w:abstractNumId w:val="59"/>
  </w:num>
  <w:num w:numId="89">
    <w:abstractNumId w:val="4"/>
  </w:num>
  <w:num w:numId="90">
    <w:abstractNumId w:val="11"/>
  </w:num>
  <w:num w:numId="91">
    <w:abstractNumId w:val="4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E74"/>
    <w:rsid w:val="00007196"/>
    <w:rsid w:val="00007750"/>
    <w:rsid w:val="000131F1"/>
    <w:rsid w:val="000144C3"/>
    <w:rsid w:val="000177C3"/>
    <w:rsid w:val="00021F3A"/>
    <w:rsid w:val="00025A73"/>
    <w:rsid w:val="000306A6"/>
    <w:rsid w:val="00030EC2"/>
    <w:rsid w:val="00033FDA"/>
    <w:rsid w:val="000344C4"/>
    <w:rsid w:val="000369DD"/>
    <w:rsid w:val="00036E0C"/>
    <w:rsid w:val="000445A7"/>
    <w:rsid w:val="0005473D"/>
    <w:rsid w:val="00057F22"/>
    <w:rsid w:val="0006220F"/>
    <w:rsid w:val="00064056"/>
    <w:rsid w:val="000648B3"/>
    <w:rsid w:val="00067011"/>
    <w:rsid w:val="00075B27"/>
    <w:rsid w:val="000818DF"/>
    <w:rsid w:val="00084FE1"/>
    <w:rsid w:val="00086330"/>
    <w:rsid w:val="00086ACE"/>
    <w:rsid w:val="000910D7"/>
    <w:rsid w:val="0009777C"/>
    <w:rsid w:val="000A188C"/>
    <w:rsid w:val="000A26F2"/>
    <w:rsid w:val="000A3952"/>
    <w:rsid w:val="000A3A92"/>
    <w:rsid w:val="000A6795"/>
    <w:rsid w:val="000B2DAF"/>
    <w:rsid w:val="000C4A58"/>
    <w:rsid w:val="000C4F7A"/>
    <w:rsid w:val="000C6855"/>
    <w:rsid w:val="000C6CA5"/>
    <w:rsid w:val="000D0F0B"/>
    <w:rsid w:val="000D5C7E"/>
    <w:rsid w:val="000D64F0"/>
    <w:rsid w:val="000E0098"/>
    <w:rsid w:val="000E1472"/>
    <w:rsid w:val="000E314C"/>
    <w:rsid w:val="000E48FE"/>
    <w:rsid w:val="000E61DB"/>
    <w:rsid w:val="000E6643"/>
    <w:rsid w:val="000E7292"/>
    <w:rsid w:val="001015B7"/>
    <w:rsid w:val="001037BE"/>
    <w:rsid w:val="00103D60"/>
    <w:rsid w:val="001068AC"/>
    <w:rsid w:val="001073A3"/>
    <w:rsid w:val="001136C3"/>
    <w:rsid w:val="001143BB"/>
    <w:rsid w:val="001165E8"/>
    <w:rsid w:val="001168A4"/>
    <w:rsid w:val="0011740E"/>
    <w:rsid w:val="00124CB2"/>
    <w:rsid w:val="00124D11"/>
    <w:rsid w:val="00133743"/>
    <w:rsid w:val="00134C58"/>
    <w:rsid w:val="00137AE1"/>
    <w:rsid w:val="001452D2"/>
    <w:rsid w:val="001466B4"/>
    <w:rsid w:val="001472B8"/>
    <w:rsid w:val="001503DA"/>
    <w:rsid w:val="0015104D"/>
    <w:rsid w:val="00152096"/>
    <w:rsid w:val="00162ABA"/>
    <w:rsid w:val="001635B1"/>
    <w:rsid w:val="001666A4"/>
    <w:rsid w:val="001759FE"/>
    <w:rsid w:val="001803FF"/>
    <w:rsid w:val="00181ABA"/>
    <w:rsid w:val="00182051"/>
    <w:rsid w:val="00182253"/>
    <w:rsid w:val="00185D9F"/>
    <w:rsid w:val="001876C9"/>
    <w:rsid w:val="001900B6"/>
    <w:rsid w:val="001921BD"/>
    <w:rsid w:val="00194E76"/>
    <w:rsid w:val="001A00F8"/>
    <w:rsid w:val="001A1A0E"/>
    <w:rsid w:val="001A4ED6"/>
    <w:rsid w:val="001B0227"/>
    <w:rsid w:val="001B6A41"/>
    <w:rsid w:val="001C4508"/>
    <w:rsid w:val="001C46C8"/>
    <w:rsid w:val="001C4BED"/>
    <w:rsid w:val="001C5DD4"/>
    <w:rsid w:val="001C7990"/>
    <w:rsid w:val="001D2685"/>
    <w:rsid w:val="001D3967"/>
    <w:rsid w:val="001D7CE7"/>
    <w:rsid w:val="001E04EB"/>
    <w:rsid w:val="001E117D"/>
    <w:rsid w:val="001E2236"/>
    <w:rsid w:val="001E489A"/>
    <w:rsid w:val="001E5E82"/>
    <w:rsid w:val="001E71A9"/>
    <w:rsid w:val="001F15E1"/>
    <w:rsid w:val="001F1D20"/>
    <w:rsid w:val="001F26E5"/>
    <w:rsid w:val="001F31E2"/>
    <w:rsid w:val="001F4E0D"/>
    <w:rsid w:val="001F4FB8"/>
    <w:rsid w:val="001F55E6"/>
    <w:rsid w:val="002015ED"/>
    <w:rsid w:val="00201814"/>
    <w:rsid w:val="00201A0C"/>
    <w:rsid w:val="00203832"/>
    <w:rsid w:val="00203976"/>
    <w:rsid w:val="0020570D"/>
    <w:rsid w:val="00207AF5"/>
    <w:rsid w:val="00220729"/>
    <w:rsid w:val="0022173A"/>
    <w:rsid w:val="00227770"/>
    <w:rsid w:val="00230506"/>
    <w:rsid w:val="00231357"/>
    <w:rsid w:val="00233AC1"/>
    <w:rsid w:val="00236CC3"/>
    <w:rsid w:val="00241358"/>
    <w:rsid w:val="002418F8"/>
    <w:rsid w:val="00244F16"/>
    <w:rsid w:val="00245C19"/>
    <w:rsid w:val="00246040"/>
    <w:rsid w:val="0025074C"/>
    <w:rsid w:val="00254CDB"/>
    <w:rsid w:val="0025793D"/>
    <w:rsid w:val="00261455"/>
    <w:rsid w:val="00261C0C"/>
    <w:rsid w:val="0026218F"/>
    <w:rsid w:val="00266088"/>
    <w:rsid w:val="002728D5"/>
    <w:rsid w:val="00275DF4"/>
    <w:rsid w:val="0027752E"/>
    <w:rsid w:val="00283E39"/>
    <w:rsid w:val="00287177"/>
    <w:rsid w:val="0028743C"/>
    <w:rsid w:val="00292277"/>
    <w:rsid w:val="002936A4"/>
    <w:rsid w:val="00293B65"/>
    <w:rsid w:val="002A19FC"/>
    <w:rsid w:val="002A2CEE"/>
    <w:rsid w:val="002A3830"/>
    <w:rsid w:val="002A3F4F"/>
    <w:rsid w:val="002B4A9E"/>
    <w:rsid w:val="002C332F"/>
    <w:rsid w:val="002C6107"/>
    <w:rsid w:val="002C766F"/>
    <w:rsid w:val="002C7E79"/>
    <w:rsid w:val="002D206F"/>
    <w:rsid w:val="002D726C"/>
    <w:rsid w:val="002D78A2"/>
    <w:rsid w:val="002E033A"/>
    <w:rsid w:val="002E5F13"/>
    <w:rsid w:val="002F15D4"/>
    <w:rsid w:val="002F5547"/>
    <w:rsid w:val="002F6188"/>
    <w:rsid w:val="002F67AC"/>
    <w:rsid w:val="002F68FF"/>
    <w:rsid w:val="0030242C"/>
    <w:rsid w:val="00317A87"/>
    <w:rsid w:val="003214EC"/>
    <w:rsid w:val="003277F2"/>
    <w:rsid w:val="00331A24"/>
    <w:rsid w:val="00332110"/>
    <w:rsid w:val="00333B81"/>
    <w:rsid w:val="00334FC3"/>
    <w:rsid w:val="003417CD"/>
    <w:rsid w:val="003423EE"/>
    <w:rsid w:val="00342FC2"/>
    <w:rsid w:val="003430B5"/>
    <w:rsid w:val="00343B39"/>
    <w:rsid w:val="00344142"/>
    <w:rsid w:val="00345E9E"/>
    <w:rsid w:val="0034709A"/>
    <w:rsid w:val="00354F71"/>
    <w:rsid w:val="00371262"/>
    <w:rsid w:val="00377F45"/>
    <w:rsid w:val="00381887"/>
    <w:rsid w:val="0038455E"/>
    <w:rsid w:val="00386E1B"/>
    <w:rsid w:val="00396C64"/>
    <w:rsid w:val="003A194E"/>
    <w:rsid w:val="003A19ED"/>
    <w:rsid w:val="003A46B1"/>
    <w:rsid w:val="003B2125"/>
    <w:rsid w:val="003B4635"/>
    <w:rsid w:val="003B6B0B"/>
    <w:rsid w:val="003C129A"/>
    <w:rsid w:val="003C129B"/>
    <w:rsid w:val="003C226F"/>
    <w:rsid w:val="003C54C9"/>
    <w:rsid w:val="003D2B90"/>
    <w:rsid w:val="003E1200"/>
    <w:rsid w:val="003E31BA"/>
    <w:rsid w:val="003E3800"/>
    <w:rsid w:val="003E4207"/>
    <w:rsid w:val="003F1D6B"/>
    <w:rsid w:val="003F25BD"/>
    <w:rsid w:val="003F331F"/>
    <w:rsid w:val="003F3B09"/>
    <w:rsid w:val="00400766"/>
    <w:rsid w:val="00407ACB"/>
    <w:rsid w:val="00410E9F"/>
    <w:rsid w:val="0042481A"/>
    <w:rsid w:val="004272D4"/>
    <w:rsid w:val="00430F10"/>
    <w:rsid w:val="00434BB2"/>
    <w:rsid w:val="00436111"/>
    <w:rsid w:val="00440252"/>
    <w:rsid w:val="004407F2"/>
    <w:rsid w:val="00441F98"/>
    <w:rsid w:val="00443C96"/>
    <w:rsid w:val="00443F3B"/>
    <w:rsid w:val="0045276E"/>
    <w:rsid w:val="00452C4A"/>
    <w:rsid w:val="00452D6F"/>
    <w:rsid w:val="00453C30"/>
    <w:rsid w:val="00454D3D"/>
    <w:rsid w:val="00454F7E"/>
    <w:rsid w:val="0047182D"/>
    <w:rsid w:val="00472921"/>
    <w:rsid w:val="004748E8"/>
    <w:rsid w:val="00474D52"/>
    <w:rsid w:val="004767C2"/>
    <w:rsid w:val="0048015B"/>
    <w:rsid w:val="00480AE8"/>
    <w:rsid w:val="00481618"/>
    <w:rsid w:val="00491382"/>
    <w:rsid w:val="004A1081"/>
    <w:rsid w:val="004A3ADA"/>
    <w:rsid w:val="004A3C97"/>
    <w:rsid w:val="004A716D"/>
    <w:rsid w:val="004B00EC"/>
    <w:rsid w:val="004B08FF"/>
    <w:rsid w:val="004B2F12"/>
    <w:rsid w:val="004B5290"/>
    <w:rsid w:val="004C0858"/>
    <w:rsid w:val="004C7596"/>
    <w:rsid w:val="004E1C27"/>
    <w:rsid w:val="004E27C6"/>
    <w:rsid w:val="004E4F99"/>
    <w:rsid w:val="004F230A"/>
    <w:rsid w:val="004F4189"/>
    <w:rsid w:val="004F6243"/>
    <w:rsid w:val="005039C2"/>
    <w:rsid w:val="00507519"/>
    <w:rsid w:val="00514802"/>
    <w:rsid w:val="00514C08"/>
    <w:rsid w:val="005151F9"/>
    <w:rsid w:val="005221A4"/>
    <w:rsid w:val="0052741C"/>
    <w:rsid w:val="00527C63"/>
    <w:rsid w:val="0053134B"/>
    <w:rsid w:val="00532D00"/>
    <w:rsid w:val="005366B4"/>
    <w:rsid w:val="00536D53"/>
    <w:rsid w:val="005410C7"/>
    <w:rsid w:val="00541FC8"/>
    <w:rsid w:val="00547FC5"/>
    <w:rsid w:val="00551537"/>
    <w:rsid w:val="00553567"/>
    <w:rsid w:val="00554B47"/>
    <w:rsid w:val="00554CA4"/>
    <w:rsid w:val="005565F8"/>
    <w:rsid w:val="00561465"/>
    <w:rsid w:val="00561E44"/>
    <w:rsid w:val="00565680"/>
    <w:rsid w:val="00572B55"/>
    <w:rsid w:val="00576BCF"/>
    <w:rsid w:val="005908F6"/>
    <w:rsid w:val="00593309"/>
    <w:rsid w:val="005957EB"/>
    <w:rsid w:val="00597B9C"/>
    <w:rsid w:val="00597E48"/>
    <w:rsid w:val="005B3749"/>
    <w:rsid w:val="005B447F"/>
    <w:rsid w:val="005B5D14"/>
    <w:rsid w:val="005C1232"/>
    <w:rsid w:val="005C1376"/>
    <w:rsid w:val="005D34A1"/>
    <w:rsid w:val="005D61DD"/>
    <w:rsid w:val="005D7093"/>
    <w:rsid w:val="005E2B64"/>
    <w:rsid w:val="005E3E58"/>
    <w:rsid w:val="005E613E"/>
    <w:rsid w:val="005E7C0D"/>
    <w:rsid w:val="005F0A8F"/>
    <w:rsid w:val="005F2247"/>
    <w:rsid w:val="005F6442"/>
    <w:rsid w:val="00601087"/>
    <w:rsid w:val="006010A1"/>
    <w:rsid w:val="00602591"/>
    <w:rsid w:val="0061011D"/>
    <w:rsid w:val="00610DE2"/>
    <w:rsid w:val="00612F5B"/>
    <w:rsid w:val="006138F1"/>
    <w:rsid w:val="00615C3D"/>
    <w:rsid w:val="00621454"/>
    <w:rsid w:val="006241C9"/>
    <w:rsid w:val="00630728"/>
    <w:rsid w:val="00631FB3"/>
    <w:rsid w:val="00632470"/>
    <w:rsid w:val="006337F8"/>
    <w:rsid w:val="006360A3"/>
    <w:rsid w:val="00643E15"/>
    <w:rsid w:val="006455FB"/>
    <w:rsid w:val="00645ED4"/>
    <w:rsid w:val="006478AD"/>
    <w:rsid w:val="0065529B"/>
    <w:rsid w:val="006568A9"/>
    <w:rsid w:val="00662D1E"/>
    <w:rsid w:val="0066760E"/>
    <w:rsid w:val="00672122"/>
    <w:rsid w:val="00673433"/>
    <w:rsid w:val="006758F4"/>
    <w:rsid w:val="00687B8D"/>
    <w:rsid w:val="00691EA8"/>
    <w:rsid w:val="00691F1C"/>
    <w:rsid w:val="00693194"/>
    <w:rsid w:val="00693E38"/>
    <w:rsid w:val="00695483"/>
    <w:rsid w:val="00697A66"/>
    <w:rsid w:val="006A1D97"/>
    <w:rsid w:val="006A286A"/>
    <w:rsid w:val="006A32A2"/>
    <w:rsid w:val="006A6AF0"/>
    <w:rsid w:val="006A6F8A"/>
    <w:rsid w:val="006B0113"/>
    <w:rsid w:val="006B1B40"/>
    <w:rsid w:val="006B2BBB"/>
    <w:rsid w:val="006B34DF"/>
    <w:rsid w:val="006B3CC1"/>
    <w:rsid w:val="006B5899"/>
    <w:rsid w:val="006B7AB3"/>
    <w:rsid w:val="006C1356"/>
    <w:rsid w:val="006C43E4"/>
    <w:rsid w:val="006C456A"/>
    <w:rsid w:val="006C4E15"/>
    <w:rsid w:val="006C6B06"/>
    <w:rsid w:val="006C7504"/>
    <w:rsid w:val="006D0686"/>
    <w:rsid w:val="006D4937"/>
    <w:rsid w:val="006D535F"/>
    <w:rsid w:val="006D5FB7"/>
    <w:rsid w:val="006D7758"/>
    <w:rsid w:val="006D7E44"/>
    <w:rsid w:val="006E3DD4"/>
    <w:rsid w:val="006E5527"/>
    <w:rsid w:val="006F36F9"/>
    <w:rsid w:val="006F4AA5"/>
    <w:rsid w:val="006F6856"/>
    <w:rsid w:val="007059E3"/>
    <w:rsid w:val="00705F6D"/>
    <w:rsid w:val="00712236"/>
    <w:rsid w:val="00713AF1"/>
    <w:rsid w:val="0071425F"/>
    <w:rsid w:val="00724B41"/>
    <w:rsid w:val="00731080"/>
    <w:rsid w:val="00731491"/>
    <w:rsid w:val="00733929"/>
    <w:rsid w:val="00736DDB"/>
    <w:rsid w:val="00740301"/>
    <w:rsid w:val="007454E2"/>
    <w:rsid w:val="00745BFA"/>
    <w:rsid w:val="00747CDE"/>
    <w:rsid w:val="00753930"/>
    <w:rsid w:val="00764B64"/>
    <w:rsid w:val="0076664F"/>
    <w:rsid w:val="00767870"/>
    <w:rsid w:val="007731BD"/>
    <w:rsid w:val="00773B08"/>
    <w:rsid w:val="007747F8"/>
    <w:rsid w:val="00774D88"/>
    <w:rsid w:val="007754A4"/>
    <w:rsid w:val="00781052"/>
    <w:rsid w:val="0078358E"/>
    <w:rsid w:val="00785731"/>
    <w:rsid w:val="00790280"/>
    <w:rsid w:val="007944E9"/>
    <w:rsid w:val="0079529B"/>
    <w:rsid w:val="007A2E74"/>
    <w:rsid w:val="007B2820"/>
    <w:rsid w:val="007B6759"/>
    <w:rsid w:val="007B717D"/>
    <w:rsid w:val="007C1821"/>
    <w:rsid w:val="007C3EBA"/>
    <w:rsid w:val="007D2D51"/>
    <w:rsid w:val="007D5DBD"/>
    <w:rsid w:val="007D620A"/>
    <w:rsid w:val="007E0BA7"/>
    <w:rsid w:val="007E77A8"/>
    <w:rsid w:val="007F1CE7"/>
    <w:rsid w:val="007F34BD"/>
    <w:rsid w:val="0080024A"/>
    <w:rsid w:val="0080128E"/>
    <w:rsid w:val="0080149F"/>
    <w:rsid w:val="0080244C"/>
    <w:rsid w:val="00802A68"/>
    <w:rsid w:val="008074DB"/>
    <w:rsid w:val="00807FB8"/>
    <w:rsid w:val="00811BB5"/>
    <w:rsid w:val="00822ACA"/>
    <w:rsid w:val="00823C08"/>
    <w:rsid w:val="00824378"/>
    <w:rsid w:val="008252EF"/>
    <w:rsid w:val="008303E6"/>
    <w:rsid w:val="008466CE"/>
    <w:rsid w:val="008516EF"/>
    <w:rsid w:val="00853C17"/>
    <w:rsid w:val="008555D9"/>
    <w:rsid w:val="0085669B"/>
    <w:rsid w:val="00856FCC"/>
    <w:rsid w:val="00863988"/>
    <w:rsid w:val="00863C61"/>
    <w:rsid w:val="008656CC"/>
    <w:rsid w:val="00870278"/>
    <w:rsid w:val="00870BE6"/>
    <w:rsid w:val="008712CF"/>
    <w:rsid w:val="00873416"/>
    <w:rsid w:val="0087617D"/>
    <w:rsid w:val="00876EFC"/>
    <w:rsid w:val="0087784A"/>
    <w:rsid w:val="00883671"/>
    <w:rsid w:val="00887AC3"/>
    <w:rsid w:val="00892AC9"/>
    <w:rsid w:val="00893498"/>
    <w:rsid w:val="00893FE4"/>
    <w:rsid w:val="00894BC2"/>
    <w:rsid w:val="0089594C"/>
    <w:rsid w:val="008968F9"/>
    <w:rsid w:val="00896C40"/>
    <w:rsid w:val="008A4ABC"/>
    <w:rsid w:val="008B110A"/>
    <w:rsid w:val="008B2361"/>
    <w:rsid w:val="008B36DB"/>
    <w:rsid w:val="008C2ACF"/>
    <w:rsid w:val="008C4A80"/>
    <w:rsid w:val="008C5835"/>
    <w:rsid w:val="008C7F17"/>
    <w:rsid w:val="008D1544"/>
    <w:rsid w:val="008D1E2C"/>
    <w:rsid w:val="008D34D8"/>
    <w:rsid w:val="008E23DF"/>
    <w:rsid w:val="008E470D"/>
    <w:rsid w:val="008E707A"/>
    <w:rsid w:val="008E7EC4"/>
    <w:rsid w:val="008F59F8"/>
    <w:rsid w:val="00900A67"/>
    <w:rsid w:val="00901477"/>
    <w:rsid w:val="00902AEE"/>
    <w:rsid w:val="00904A96"/>
    <w:rsid w:val="00905F73"/>
    <w:rsid w:val="009069FE"/>
    <w:rsid w:val="0091014F"/>
    <w:rsid w:val="00913BC3"/>
    <w:rsid w:val="00916595"/>
    <w:rsid w:val="00917D38"/>
    <w:rsid w:val="009219E6"/>
    <w:rsid w:val="00936009"/>
    <w:rsid w:val="00936FE3"/>
    <w:rsid w:val="009432EF"/>
    <w:rsid w:val="00946929"/>
    <w:rsid w:val="0095311F"/>
    <w:rsid w:val="00953AC4"/>
    <w:rsid w:val="00953EF8"/>
    <w:rsid w:val="009545F1"/>
    <w:rsid w:val="00963592"/>
    <w:rsid w:val="009636DE"/>
    <w:rsid w:val="00963E84"/>
    <w:rsid w:val="009654BA"/>
    <w:rsid w:val="00967B29"/>
    <w:rsid w:val="00967BD7"/>
    <w:rsid w:val="00971C16"/>
    <w:rsid w:val="00971CF3"/>
    <w:rsid w:val="00975EBE"/>
    <w:rsid w:val="00976082"/>
    <w:rsid w:val="00981A1C"/>
    <w:rsid w:val="00982808"/>
    <w:rsid w:val="00986FAF"/>
    <w:rsid w:val="00991FBD"/>
    <w:rsid w:val="00994938"/>
    <w:rsid w:val="009976D6"/>
    <w:rsid w:val="009A0764"/>
    <w:rsid w:val="009A097C"/>
    <w:rsid w:val="009A4223"/>
    <w:rsid w:val="009A61C8"/>
    <w:rsid w:val="009A625E"/>
    <w:rsid w:val="009B00FB"/>
    <w:rsid w:val="009B024A"/>
    <w:rsid w:val="009B310F"/>
    <w:rsid w:val="009B68A8"/>
    <w:rsid w:val="009C08A2"/>
    <w:rsid w:val="009C4E5B"/>
    <w:rsid w:val="009C69F6"/>
    <w:rsid w:val="009C6F3C"/>
    <w:rsid w:val="009D2AE8"/>
    <w:rsid w:val="009E1054"/>
    <w:rsid w:val="009E239C"/>
    <w:rsid w:val="009F5740"/>
    <w:rsid w:val="009F6DF5"/>
    <w:rsid w:val="009F7F43"/>
    <w:rsid w:val="00A019DF"/>
    <w:rsid w:val="00A01ECB"/>
    <w:rsid w:val="00A0337F"/>
    <w:rsid w:val="00A03DC9"/>
    <w:rsid w:val="00A04FA2"/>
    <w:rsid w:val="00A12154"/>
    <w:rsid w:val="00A152D9"/>
    <w:rsid w:val="00A1687D"/>
    <w:rsid w:val="00A226E0"/>
    <w:rsid w:val="00A22788"/>
    <w:rsid w:val="00A22AE4"/>
    <w:rsid w:val="00A269A5"/>
    <w:rsid w:val="00A27DD4"/>
    <w:rsid w:val="00A40DD1"/>
    <w:rsid w:val="00A42FBC"/>
    <w:rsid w:val="00A45FDA"/>
    <w:rsid w:val="00A4766A"/>
    <w:rsid w:val="00A541C2"/>
    <w:rsid w:val="00A55CFF"/>
    <w:rsid w:val="00A616CD"/>
    <w:rsid w:val="00A62413"/>
    <w:rsid w:val="00A624B8"/>
    <w:rsid w:val="00A64F29"/>
    <w:rsid w:val="00A719CC"/>
    <w:rsid w:val="00A8023F"/>
    <w:rsid w:val="00A80772"/>
    <w:rsid w:val="00A81F15"/>
    <w:rsid w:val="00A83E44"/>
    <w:rsid w:val="00A83F7D"/>
    <w:rsid w:val="00A85BDB"/>
    <w:rsid w:val="00A90CEF"/>
    <w:rsid w:val="00A93B95"/>
    <w:rsid w:val="00A97058"/>
    <w:rsid w:val="00AA507C"/>
    <w:rsid w:val="00AA7CBD"/>
    <w:rsid w:val="00AB1DA6"/>
    <w:rsid w:val="00AB2EFE"/>
    <w:rsid w:val="00AC4C50"/>
    <w:rsid w:val="00AC5097"/>
    <w:rsid w:val="00AC6FEE"/>
    <w:rsid w:val="00AD1BBF"/>
    <w:rsid w:val="00AD1E2D"/>
    <w:rsid w:val="00AD2247"/>
    <w:rsid w:val="00AD5138"/>
    <w:rsid w:val="00AD6CBD"/>
    <w:rsid w:val="00AD7367"/>
    <w:rsid w:val="00AE0502"/>
    <w:rsid w:val="00AE134C"/>
    <w:rsid w:val="00B008EF"/>
    <w:rsid w:val="00B00BD8"/>
    <w:rsid w:val="00B0124B"/>
    <w:rsid w:val="00B10C5F"/>
    <w:rsid w:val="00B11D58"/>
    <w:rsid w:val="00B14EC9"/>
    <w:rsid w:val="00B15586"/>
    <w:rsid w:val="00B17919"/>
    <w:rsid w:val="00B33D0A"/>
    <w:rsid w:val="00B349CA"/>
    <w:rsid w:val="00B36F91"/>
    <w:rsid w:val="00B42672"/>
    <w:rsid w:val="00B439DA"/>
    <w:rsid w:val="00B43F4F"/>
    <w:rsid w:val="00B442BF"/>
    <w:rsid w:val="00B456DC"/>
    <w:rsid w:val="00B46938"/>
    <w:rsid w:val="00B47839"/>
    <w:rsid w:val="00B52ACD"/>
    <w:rsid w:val="00B579F1"/>
    <w:rsid w:val="00B60190"/>
    <w:rsid w:val="00B605CE"/>
    <w:rsid w:val="00B61927"/>
    <w:rsid w:val="00B670AA"/>
    <w:rsid w:val="00B706B2"/>
    <w:rsid w:val="00B71066"/>
    <w:rsid w:val="00B73C91"/>
    <w:rsid w:val="00B77B32"/>
    <w:rsid w:val="00B81143"/>
    <w:rsid w:val="00B8375C"/>
    <w:rsid w:val="00B83FC4"/>
    <w:rsid w:val="00B865F7"/>
    <w:rsid w:val="00B871BE"/>
    <w:rsid w:val="00B90E8B"/>
    <w:rsid w:val="00B924AC"/>
    <w:rsid w:val="00B92B9F"/>
    <w:rsid w:val="00B92D9E"/>
    <w:rsid w:val="00B94C7A"/>
    <w:rsid w:val="00B97ACF"/>
    <w:rsid w:val="00BA0958"/>
    <w:rsid w:val="00BA10AD"/>
    <w:rsid w:val="00BA1346"/>
    <w:rsid w:val="00BA154E"/>
    <w:rsid w:val="00BA5DD6"/>
    <w:rsid w:val="00BB1AF0"/>
    <w:rsid w:val="00BB1E9C"/>
    <w:rsid w:val="00BB56CA"/>
    <w:rsid w:val="00BB5AC9"/>
    <w:rsid w:val="00BB65F3"/>
    <w:rsid w:val="00BB746F"/>
    <w:rsid w:val="00BC058E"/>
    <w:rsid w:val="00BC0B3F"/>
    <w:rsid w:val="00BC0DAA"/>
    <w:rsid w:val="00BC57B6"/>
    <w:rsid w:val="00BD250C"/>
    <w:rsid w:val="00BD25B9"/>
    <w:rsid w:val="00BD389C"/>
    <w:rsid w:val="00BD3A66"/>
    <w:rsid w:val="00BD4AE3"/>
    <w:rsid w:val="00BD65A1"/>
    <w:rsid w:val="00BD7D08"/>
    <w:rsid w:val="00BF0AF4"/>
    <w:rsid w:val="00BF0D27"/>
    <w:rsid w:val="00BF3027"/>
    <w:rsid w:val="00BF3C75"/>
    <w:rsid w:val="00BF4B1F"/>
    <w:rsid w:val="00BF6D1C"/>
    <w:rsid w:val="00BF77FB"/>
    <w:rsid w:val="00C002A6"/>
    <w:rsid w:val="00C06EAA"/>
    <w:rsid w:val="00C14699"/>
    <w:rsid w:val="00C23FA5"/>
    <w:rsid w:val="00C30378"/>
    <w:rsid w:val="00C35E5A"/>
    <w:rsid w:val="00C36AB4"/>
    <w:rsid w:val="00C37218"/>
    <w:rsid w:val="00C40D6D"/>
    <w:rsid w:val="00C42CC6"/>
    <w:rsid w:val="00C515EF"/>
    <w:rsid w:val="00C516AD"/>
    <w:rsid w:val="00C51D94"/>
    <w:rsid w:val="00C5582C"/>
    <w:rsid w:val="00C61365"/>
    <w:rsid w:val="00C61630"/>
    <w:rsid w:val="00C636C8"/>
    <w:rsid w:val="00C66E92"/>
    <w:rsid w:val="00C71CFC"/>
    <w:rsid w:val="00C727E8"/>
    <w:rsid w:val="00C72EC7"/>
    <w:rsid w:val="00C81DD3"/>
    <w:rsid w:val="00C82801"/>
    <w:rsid w:val="00C83B4D"/>
    <w:rsid w:val="00C83CE4"/>
    <w:rsid w:val="00C83FB3"/>
    <w:rsid w:val="00C84E96"/>
    <w:rsid w:val="00C873C7"/>
    <w:rsid w:val="00C96EBD"/>
    <w:rsid w:val="00CA115A"/>
    <w:rsid w:val="00CA3AB7"/>
    <w:rsid w:val="00CA556A"/>
    <w:rsid w:val="00CA647D"/>
    <w:rsid w:val="00CB023E"/>
    <w:rsid w:val="00CB08E2"/>
    <w:rsid w:val="00CB4993"/>
    <w:rsid w:val="00CB6829"/>
    <w:rsid w:val="00CC36D2"/>
    <w:rsid w:val="00CD04A9"/>
    <w:rsid w:val="00CD1101"/>
    <w:rsid w:val="00CD4A2A"/>
    <w:rsid w:val="00CD58CD"/>
    <w:rsid w:val="00CD5B51"/>
    <w:rsid w:val="00CE2FDF"/>
    <w:rsid w:val="00CE64AE"/>
    <w:rsid w:val="00CE7233"/>
    <w:rsid w:val="00CF091D"/>
    <w:rsid w:val="00CF1E3B"/>
    <w:rsid w:val="00CF6821"/>
    <w:rsid w:val="00D14840"/>
    <w:rsid w:val="00D15A42"/>
    <w:rsid w:val="00D1640B"/>
    <w:rsid w:val="00D17253"/>
    <w:rsid w:val="00D24445"/>
    <w:rsid w:val="00D2721A"/>
    <w:rsid w:val="00D3002C"/>
    <w:rsid w:val="00D30030"/>
    <w:rsid w:val="00D33DD3"/>
    <w:rsid w:val="00D3590E"/>
    <w:rsid w:val="00D4016E"/>
    <w:rsid w:val="00D41128"/>
    <w:rsid w:val="00D43464"/>
    <w:rsid w:val="00D46B44"/>
    <w:rsid w:val="00D50F07"/>
    <w:rsid w:val="00D51E08"/>
    <w:rsid w:val="00D5447C"/>
    <w:rsid w:val="00D574FC"/>
    <w:rsid w:val="00D650B4"/>
    <w:rsid w:val="00D7144F"/>
    <w:rsid w:val="00D73D32"/>
    <w:rsid w:val="00D7469D"/>
    <w:rsid w:val="00D75FCC"/>
    <w:rsid w:val="00D80959"/>
    <w:rsid w:val="00D812B2"/>
    <w:rsid w:val="00D813B8"/>
    <w:rsid w:val="00D833F6"/>
    <w:rsid w:val="00D90CC9"/>
    <w:rsid w:val="00D91653"/>
    <w:rsid w:val="00D951BB"/>
    <w:rsid w:val="00D95BC7"/>
    <w:rsid w:val="00D96B7F"/>
    <w:rsid w:val="00D97A8F"/>
    <w:rsid w:val="00DA2755"/>
    <w:rsid w:val="00DA4027"/>
    <w:rsid w:val="00DB3606"/>
    <w:rsid w:val="00DB41AA"/>
    <w:rsid w:val="00DC7BFE"/>
    <w:rsid w:val="00DD5A6E"/>
    <w:rsid w:val="00DD6AD7"/>
    <w:rsid w:val="00DE0411"/>
    <w:rsid w:val="00DE19E8"/>
    <w:rsid w:val="00DE364D"/>
    <w:rsid w:val="00DE4C33"/>
    <w:rsid w:val="00DF0EC4"/>
    <w:rsid w:val="00E01293"/>
    <w:rsid w:val="00E05863"/>
    <w:rsid w:val="00E14B79"/>
    <w:rsid w:val="00E2155E"/>
    <w:rsid w:val="00E318BE"/>
    <w:rsid w:val="00E34E7D"/>
    <w:rsid w:val="00E37955"/>
    <w:rsid w:val="00E37DC3"/>
    <w:rsid w:val="00E40921"/>
    <w:rsid w:val="00E45468"/>
    <w:rsid w:val="00E46179"/>
    <w:rsid w:val="00E519FE"/>
    <w:rsid w:val="00E52804"/>
    <w:rsid w:val="00E52A9E"/>
    <w:rsid w:val="00E57077"/>
    <w:rsid w:val="00E63278"/>
    <w:rsid w:val="00E65E8E"/>
    <w:rsid w:val="00E7132C"/>
    <w:rsid w:val="00E747EE"/>
    <w:rsid w:val="00E74C1F"/>
    <w:rsid w:val="00E74F6E"/>
    <w:rsid w:val="00E76B23"/>
    <w:rsid w:val="00E77691"/>
    <w:rsid w:val="00E7796C"/>
    <w:rsid w:val="00E81C7A"/>
    <w:rsid w:val="00E87340"/>
    <w:rsid w:val="00E87FE1"/>
    <w:rsid w:val="00E91515"/>
    <w:rsid w:val="00E93B42"/>
    <w:rsid w:val="00E97447"/>
    <w:rsid w:val="00EA039F"/>
    <w:rsid w:val="00EA19F3"/>
    <w:rsid w:val="00EA47A8"/>
    <w:rsid w:val="00EA4F69"/>
    <w:rsid w:val="00EA7BFE"/>
    <w:rsid w:val="00EB31E8"/>
    <w:rsid w:val="00EB374E"/>
    <w:rsid w:val="00EB4757"/>
    <w:rsid w:val="00EB4A8B"/>
    <w:rsid w:val="00EB67B2"/>
    <w:rsid w:val="00EB704D"/>
    <w:rsid w:val="00EC1F81"/>
    <w:rsid w:val="00EC39AF"/>
    <w:rsid w:val="00EC78CF"/>
    <w:rsid w:val="00ED07D2"/>
    <w:rsid w:val="00ED1CA7"/>
    <w:rsid w:val="00ED29B8"/>
    <w:rsid w:val="00ED2BE2"/>
    <w:rsid w:val="00ED4976"/>
    <w:rsid w:val="00ED7CF8"/>
    <w:rsid w:val="00EE0226"/>
    <w:rsid w:val="00EE2C50"/>
    <w:rsid w:val="00EE4C47"/>
    <w:rsid w:val="00EE4C8A"/>
    <w:rsid w:val="00EF1714"/>
    <w:rsid w:val="00EF1EB9"/>
    <w:rsid w:val="00EF3382"/>
    <w:rsid w:val="00EF376C"/>
    <w:rsid w:val="00EF45AE"/>
    <w:rsid w:val="00F01A27"/>
    <w:rsid w:val="00F036F7"/>
    <w:rsid w:val="00F041B6"/>
    <w:rsid w:val="00F2009E"/>
    <w:rsid w:val="00F2331F"/>
    <w:rsid w:val="00F23A4E"/>
    <w:rsid w:val="00F2448E"/>
    <w:rsid w:val="00F2449C"/>
    <w:rsid w:val="00F27541"/>
    <w:rsid w:val="00F27C3B"/>
    <w:rsid w:val="00F312E3"/>
    <w:rsid w:val="00F323B5"/>
    <w:rsid w:val="00F35300"/>
    <w:rsid w:val="00F35497"/>
    <w:rsid w:val="00F367FF"/>
    <w:rsid w:val="00F40288"/>
    <w:rsid w:val="00F40CF8"/>
    <w:rsid w:val="00F416CA"/>
    <w:rsid w:val="00F4347A"/>
    <w:rsid w:val="00F50BEE"/>
    <w:rsid w:val="00F515E7"/>
    <w:rsid w:val="00F51F2C"/>
    <w:rsid w:val="00F533C8"/>
    <w:rsid w:val="00F5421E"/>
    <w:rsid w:val="00F54E3E"/>
    <w:rsid w:val="00F60E82"/>
    <w:rsid w:val="00F615E3"/>
    <w:rsid w:val="00F643B7"/>
    <w:rsid w:val="00F66891"/>
    <w:rsid w:val="00F6793C"/>
    <w:rsid w:val="00F67F4E"/>
    <w:rsid w:val="00F712D3"/>
    <w:rsid w:val="00F7237E"/>
    <w:rsid w:val="00F74A41"/>
    <w:rsid w:val="00F76920"/>
    <w:rsid w:val="00F83F70"/>
    <w:rsid w:val="00F85122"/>
    <w:rsid w:val="00F90B81"/>
    <w:rsid w:val="00F91A13"/>
    <w:rsid w:val="00F9385F"/>
    <w:rsid w:val="00F957A3"/>
    <w:rsid w:val="00F974D5"/>
    <w:rsid w:val="00FA00CC"/>
    <w:rsid w:val="00FB1DC6"/>
    <w:rsid w:val="00FB572F"/>
    <w:rsid w:val="00FB5D31"/>
    <w:rsid w:val="00FC42A4"/>
    <w:rsid w:val="00FC7599"/>
    <w:rsid w:val="00FD0243"/>
    <w:rsid w:val="00FD2B49"/>
    <w:rsid w:val="00FD7154"/>
    <w:rsid w:val="00FE38D0"/>
    <w:rsid w:val="00FE47D6"/>
    <w:rsid w:val="00FE57AD"/>
    <w:rsid w:val="00FE67AA"/>
    <w:rsid w:val="00FE7591"/>
    <w:rsid w:val="00FF110B"/>
    <w:rsid w:val="00FF2844"/>
    <w:rsid w:val="00FF2D54"/>
    <w:rsid w:val="00FF34EE"/>
    <w:rsid w:val="00FF41B4"/>
    <w:rsid w:val="00FF4D9B"/>
    <w:rsid w:val="00FF5F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65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4F29"/>
    <w:pPr>
      <w:spacing w:before="120" w:after="0" w:line="360" w:lineRule="auto"/>
    </w:pPr>
  </w:style>
  <w:style w:type="paragraph" w:styleId="Heading1">
    <w:name w:val="heading 1"/>
    <w:next w:val="Normal"/>
    <w:link w:val="Heading1Char"/>
    <w:autoRedefine/>
    <w:uiPriority w:val="9"/>
    <w:qFormat/>
    <w:rsid w:val="00A27DD4"/>
    <w:pPr>
      <w:pBdr>
        <w:bottom w:val="single" w:sz="8" w:space="4" w:color="17365D" w:themeColor="text2" w:themeShade="BF"/>
      </w:pBdr>
      <w:tabs>
        <w:tab w:val="left" w:pos="1134"/>
      </w:tabs>
      <w:outlineLvl w:val="0"/>
    </w:pPr>
    <w:rPr>
      <w:rFonts w:ascii="Calibri" w:eastAsiaTheme="majorEastAsia" w:hAnsi="Calibri" w:cstheme="majorBidi"/>
      <w:b/>
      <w:bCs/>
      <w:color w:val="365F91"/>
      <w:spacing w:val="5"/>
      <w:kern w:val="28"/>
      <w:sz w:val="48"/>
      <w:szCs w:val="26"/>
    </w:rPr>
  </w:style>
  <w:style w:type="paragraph" w:styleId="Heading2">
    <w:name w:val="heading 2"/>
    <w:next w:val="Normal"/>
    <w:link w:val="Heading2Char"/>
    <w:uiPriority w:val="9"/>
    <w:unhideWhenUsed/>
    <w:qFormat/>
    <w:rsid w:val="00A27DD4"/>
    <w:pPr>
      <w:spacing w:before="240" w:after="360"/>
      <w:jc w:val="center"/>
      <w:outlineLvl w:val="1"/>
    </w:pPr>
    <w:rPr>
      <w:rFonts w:ascii="Calibri" w:hAnsi="Calibri"/>
      <w:b/>
      <w:color w:val="365F91"/>
      <w:sz w:val="80"/>
    </w:rPr>
  </w:style>
  <w:style w:type="paragraph" w:styleId="Heading3">
    <w:name w:val="heading 3"/>
    <w:next w:val="Normal"/>
    <w:link w:val="Heading3Char"/>
    <w:uiPriority w:val="9"/>
    <w:unhideWhenUsed/>
    <w:qFormat/>
    <w:rsid w:val="003A194E"/>
    <w:pPr>
      <w:pBdr>
        <w:bottom w:val="single" w:sz="8" w:space="1" w:color="1F497D" w:themeColor="text2"/>
      </w:pBdr>
      <w:spacing w:before="120" w:after="240" w:line="240" w:lineRule="auto"/>
      <w:outlineLvl w:val="2"/>
    </w:pPr>
    <w:rPr>
      <w:rFonts w:ascii="Calibri" w:eastAsiaTheme="majorEastAsia" w:hAnsi="Calibri" w:cstheme="majorBidi"/>
      <w:b/>
      <w:bCs/>
      <w:caps/>
      <w:color w:val="365F91"/>
      <w:sz w:val="36"/>
    </w:rPr>
  </w:style>
  <w:style w:type="paragraph" w:styleId="Heading4">
    <w:name w:val="heading 4"/>
    <w:next w:val="Normal"/>
    <w:link w:val="Heading4Char"/>
    <w:uiPriority w:val="9"/>
    <w:unhideWhenUsed/>
    <w:qFormat/>
    <w:rsid w:val="00A27DD4"/>
    <w:pPr>
      <w:spacing w:before="240" w:after="120" w:line="240" w:lineRule="auto"/>
      <w:outlineLvl w:val="3"/>
    </w:pPr>
    <w:rPr>
      <w:rFonts w:ascii="Calibri" w:hAnsi="Calibri"/>
      <w:b/>
      <w:color w:val="000000" w:themeColor="text1"/>
      <w:sz w:val="32"/>
    </w:rPr>
  </w:style>
  <w:style w:type="paragraph" w:styleId="Heading5">
    <w:name w:val="heading 5"/>
    <w:next w:val="Normal"/>
    <w:link w:val="Heading5Char"/>
    <w:uiPriority w:val="9"/>
    <w:unhideWhenUsed/>
    <w:qFormat/>
    <w:rsid w:val="00F85122"/>
    <w:pPr>
      <w:keepNext/>
      <w:keepLines/>
      <w:spacing w:before="120" w:after="120"/>
      <w:outlineLvl w:val="4"/>
    </w:pPr>
    <w:rPr>
      <w:rFonts w:ascii="Calibri" w:eastAsiaTheme="majorEastAsia" w:hAnsi="Calibri" w:cstheme="majorBidi"/>
      <w:b/>
      <w:color w:val="000000" w:themeColor="text1"/>
      <w:sz w:val="28"/>
    </w:rPr>
  </w:style>
  <w:style w:type="paragraph" w:styleId="Heading6">
    <w:name w:val="heading 6"/>
    <w:next w:val="Normal"/>
    <w:link w:val="Heading6Char"/>
    <w:uiPriority w:val="9"/>
    <w:unhideWhenUsed/>
    <w:qFormat/>
    <w:rsid w:val="00541FC8"/>
    <w:pPr>
      <w:spacing w:before="120" w:after="120" w:line="240" w:lineRule="auto"/>
      <w:outlineLvl w:val="5"/>
    </w:pPr>
    <w:rPr>
      <w:b/>
      <w:color w:val="000000" w:themeColor="text1"/>
      <w:sz w:val="24"/>
    </w:rPr>
  </w:style>
  <w:style w:type="paragraph" w:styleId="Heading7">
    <w:name w:val="heading 7"/>
    <w:basedOn w:val="Default"/>
    <w:next w:val="Normal"/>
    <w:link w:val="Heading7Char"/>
    <w:uiPriority w:val="9"/>
    <w:unhideWhenUsed/>
    <w:qFormat/>
    <w:rsid w:val="00A27DD4"/>
    <w:pPr>
      <w:widowControl w:val="0"/>
      <w:spacing w:before="120" w:after="120"/>
      <w:outlineLvl w:val="6"/>
    </w:pPr>
    <w:rPr>
      <w:rFonts w:asciiTheme="minorHAnsi" w:hAnsiTheme="minorHAnsi"/>
      <w:b/>
      <w:i/>
      <w:iCs/>
      <w:color w:val="000000" w:themeColor="text1"/>
    </w:rPr>
  </w:style>
  <w:style w:type="paragraph" w:styleId="Heading8">
    <w:name w:val="heading 8"/>
    <w:next w:val="Normal"/>
    <w:link w:val="Heading8Char"/>
    <w:uiPriority w:val="9"/>
    <w:unhideWhenUsed/>
    <w:qFormat/>
    <w:rsid w:val="004F4189"/>
    <w:pPr>
      <w:keepNext/>
      <w:keepLines/>
      <w:spacing w:before="40"/>
      <w:outlineLvl w:val="7"/>
    </w:pPr>
    <w:rPr>
      <w:rFonts w:ascii="Calibri" w:eastAsiaTheme="majorEastAsia" w:hAnsi="Calibri" w:cstheme="majorBidi"/>
      <w:b/>
      <w:color w:val="000000" w:themeColor="text1"/>
      <w:sz w:val="24"/>
      <w:szCs w:val="21"/>
    </w:rPr>
  </w:style>
  <w:style w:type="paragraph" w:styleId="Heading9">
    <w:name w:val="heading 9"/>
    <w:basedOn w:val="Normal"/>
    <w:next w:val="Normal"/>
    <w:link w:val="Heading9Char"/>
    <w:uiPriority w:val="9"/>
    <w:unhideWhenUsed/>
    <w:rsid w:val="00261455"/>
    <w:pPr>
      <w:keepNext/>
      <w:keepLines/>
      <w:spacing w:before="40"/>
      <w:outlineLvl w:val="8"/>
    </w:pPr>
    <w:rPr>
      <w:rFonts w:ascii="Calibri" w:eastAsiaTheme="majorEastAsia" w:hAnsi="Calibri" w:cstheme="majorBidi"/>
      <w:b/>
      <w: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DD4"/>
    <w:rPr>
      <w:rFonts w:ascii="Calibri" w:eastAsiaTheme="majorEastAsia" w:hAnsi="Calibri" w:cstheme="majorBidi"/>
      <w:b/>
      <w:bCs/>
      <w:color w:val="365F91"/>
      <w:spacing w:val="5"/>
      <w:kern w:val="28"/>
      <w:sz w:val="48"/>
      <w:szCs w:val="26"/>
    </w:rPr>
  </w:style>
  <w:style w:type="paragraph" w:styleId="Title">
    <w:name w:val="Title"/>
    <w:aliases w:val="Section heading"/>
    <w:basedOn w:val="Normal"/>
    <w:next w:val="Normal"/>
    <w:link w:val="TitleChar"/>
    <w:uiPriority w:val="10"/>
    <w:qFormat/>
    <w:rsid w:val="007A2E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ection heading Char"/>
    <w:basedOn w:val="DefaultParagraphFont"/>
    <w:link w:val="Title"/>
    <w:uiPriority w:val="10"/>
    <w:rsid w:val="007A2E7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A22788"/>
    <w:pPr>
      <w:tabs>
        <w:tab w:val="center" w:pos="4513"/>
        <w:tab w:val="right" w:pos="9026"/>
      </w:tabs>
    </w:pPr>
  </w:style>
  <w:style w:type="character" w:customStyle="1" w:styleId="HeaderChar">
    <w:name w:val="Header Char"/>
    <w:basedOn w:val="DefaultParagraphFont"/>
    <w:link w:val="Header"/>
    <w:uiPriority w:val="99"/>
    <w:rsid w:val="00A22788"/>
  </w:style>
  <w:style w:type="paragraph" w:styleId="Footer">
    <w:name w:val="footer"/>
    <w:basedOn w:val="Normal"/>
    <w:link w:val="FooterChar"/>
    <w:uiPriority w:val="99"/>
    <w:unhideWhenUsed/>
    <w:rsid w:val="00A22788"/>
    <w:pPr>
      <w:tabs>
        <w:tab w:val="center" w:pos="4513"/>
        <w:tab w:val="right" w:pos="9026"/>
      </w:tabs>
    </w:pPr>
  </w:style>
  <w:style w:type="character" w:customStyle="1" w:styleId="FooterChar">
    <w:name w:val="Footer Char"/>
    <w:basedOn w:val="DefaultParagraphFont"/>
    <w:link w:val="Footer"/>
    <w:uiPriority w:val="99"/>
    <w:rsid w:val="00A22788"/>
  </w:style>
  <w:style w:type="paragraph" w:styleId="NoSpacing">
    <w:name w:val="No Spacing"/>
    <w:basedOn w:val="Normal"/>
    <w:uiPriority w:val="1"/>
    <w:qFormat/>
    <w:rsid w:val="00602591"/>
    <w:pPr>
      <w:shd w:val="clear" w:color="auto" w:fill="DBE5F1" w:themeFill="accent1" w:themeFillTint="33"/>
      <w:spacing w:after="240"/>
    </w:pPr>
    <w:rPr>
      <w:b/>
      <w:sz w:val="28"/>
      <w:szCs w:val="28"/>
    </w:rPr>
  </w:style>
  <w:style w:type="character" w:customStyle="1" w:styleId="Heading2Char">
    <w:name w:val="Heading 2 Char"/>
    <w:basedOn w:val="DefaultParagraphFont"/>
    <w:link w:val="Heading2"/>
    <w:uiPriority w:val="9"/>
    <w:rsid w:val="00A27DD4"/>
    <w:rPr>
      <w:rFonts w:ascii="Calibri" w:hAnsi="Calibri"/>
      <w:b/>
      <w:color w:val="365F91"/>
      <w:sz w:val="80"/>
    </w:rPr>
  </w:style>
  <w:style w:type="paragraph" w:customStyle="1" w:styleId="Heading2a">
    <w:name w:val="Heading 2a"/>
    <w:basedOn w:val="Heading1"/>
    <w:link w:val="Heading2aChar"/>
    <w:rsid w:val="001D3967"/>
    <w:rPr>
      <w:i/>
    </w:rPr>
  </w:style>
  <w:style w:type="table" w:styleId="TableGrid">
    <w:name w:val="Table Grid"/>
    <w:basedOn w:val="TableNormal"/>
    <w:uiPriority w:val="59"/>
    <w:rsid w:val="00527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aChar">
    <w:name w:val="Heading 2a Char"/>
    <w:basedOn w:val="Heading1Char"/>
    <w:link w:val="Heading2a"/>
    <w:rsid w:val="001D3967"/>
    <w:rPr>
      <w:rFonts w:asciiTheme="majorHAnsi" w:eastAsiaTheme="majorEastAsia" w:hAnsiTheme="majorHAnsi" w:cstheme="majorBidi"/>
      <w:b/>
      <w:bCs/>
      <w:i/>
      <w:color w:val="17365D" w:themeColor="text2" w:themeShade="BF"/>
      <w:spacing w:val="5"/>
      <w:kern w:val="28"/>
      <w:sz w:val="24"/>
      <w:szCs w:val="26"/>
    </w:rPr>
  </w:style>
  <w:style w:type="table" w:customStyle="1" w:styleId="LightShading-Accent11">
    <w:name w:val="Light Shading - Accent 11"/>
    <w:basedOn w:val="TableNormal"/>
    <w:uiPriority w:val="60"/>
    <w:rsid w:val="006568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6568A9"/>
    <w:rPr>
      <w:rFonts w:ascii="Tahoma" w:hAnsi="Tahoma" w:cs="Tahoma"/>
      <w:sz w:val="16"/>
      <w:szCs w:val="16"/>
    </w:rPr>
  </w:style>
  <w:style w:type="character" w:customStyle="1" w:styleId="BalloonTextChar">
    <w:name w:val="Balloon Text Char"/>
    <w:basedOn w:val="DefaultParagraphFont"/>
    <w:link w:val="BalloonText"/>
    <w:uiPriority w:val="99"/>
    <w:semiHidden/>
    <w:rsid w:val="006568A9"/>
    <w:rPr>
      <w:rFonts w:ascii="Tahoma" w:hAnsi="Tahoma" w:cs="Tahoma"/>
      <w:sz w:val="16"/>
      <w:szCs w:val="16"/>
    </w:rPr>
  </w:style>
  <w:style w:type="table" w:customStyle="1" w:styleId="LightShading-Accent12">
    <w:name w:val="Light Shading - Accent 12"/>
    <w:basedOn w:val="TableNormal"/>
    <w:uiPriority w:val="60"/>
    <w:rsid w:val="006568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6758F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link w:val="ListParagraphChar"/>
    <w:uiPriority w:val="34"/>
    <w:qFormat/>
    <w:rsid w:val="00C002A6"/>
    <w:pPr>
      <w:ind w:left="720"/>
      <w:contextualSpacing/>
    </w:pPr>
  </w:style>
  <w:style w:type="table" w:styleId="LightShading-Accent4">
    <w:name w:val="Light Shading Accent 4"/>
    <w:basedOn w:val="TableNormal"/>
    <w:uiPriority w:val="60"/>
    <w:rsid w:val="00134C5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134C5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8077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20">
    <w:name w:val="Light Shading - Accent 12"/>
    <w:basedOn w:val="TableNormal"/>
    <w:uiPriority w:val="60"/>
    <w:rsid w:val="00A8077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rsid w:val="003A194E"/>
    <w:rPr>
      <w:rFonts w:ascii="Calibri" w:eastAsiaTheme="majorEastAsia" w:hAnsi="Calibri" w:cstheme="majorBidi"/>
      <w:b/>
      <w:bCs/>
      <w:caps/>
      <w:color w:val="365F91"/>
      <w:sz w:val="36"/>
    </w:rPr>
  </w:style>
  <w:style w:type="character" w:customStyle="1" w:styleId="Heading4Char">
    <w:name w:val="Heading 4 Char"/>
    <w:basedOn w:val="DefaultParagraphFont"/>
    <w:link w:val="Heading4"/>
    <w:uiPriority w:val="9"/>
    <w:rsid w:val="00A27DD4"/>
    <w:rPr>
      <w:rFonts w:ascii="Calibri" w:hAnsi="Calibri"/>
      <w:b/>
      <w:color w:val="000000" w:themeColor="text1"/>
      <w:sz w:val="32"/>
    </w:rPr>
  </w:style>
  <w:style w:type="paragraph" w:customStyle="1" w:styleId="Style1">
    <w:name w:val="Style1"/>
    <w:basedOn w:val="FootnoteText"/>
    <w:link w:val="Style1Char"/>
    <w:autoRedefine/>
    <w:rsid w:val="006D535F"/>
    <w:pPr>
      <w:tabs>
        <w:tab w:val="left" w:pos="284"/>
      </w:tabs>
      <w:ind w:left="284" w:hanging="284"/>
    </w:pPr>
    <w:rPr>
      <w:rFonts w:eastAsia="Calibri" w:cs="Arial"/>
    </w:rPr>
  </w:style>
  <w:style w:type="paragraph" w:styleId="FootnoteText">
    <w:name w:val="footnote text"/>
    <w:basedOn w:val="Normal"/>
    <w:link w:val="FootnoteTextChar"/>
    <w:uiPriority w:val="99"/>
    <w:unhideWhenUsed/>
    <w:rsid w:val="006D535F"/>
    <w:rPr>
      <w:rFonts w:ascii="Arial" w:hAnsi="Arial"/>
      <w:sz w:val="20"/>
      <w:szCs w:val="20"/>
    </w:rPr>
  </w:style>
  <w:style w:type="character" w:customStyle="1" w:styleId="FootnoteTextChar">
    <w:name w:val="Footnote Text Char"/>
    <w:basedOn w:val="DefaultParagraphFont"/>
    <w:link w:val="FootnoteText"/>
    <w:uiPriority w:val="99"/>
    <w:rsid w:val="006D535F"/>
    <w:rPr>
      <w:rFonts w:ascii="Arial" w:hAnsi="Arial"/>
      <w:sz w:val="20"/>
      <w:szCs w:val="20"/>
    </w:rPr>
  </w:style>
  <w:style w:type="character" w:customStyle="1" w:styleId="Style1Char">
    <w:name w:val="Style1 Char"/>
    <w:basedOn w:val="FootnoteTextChar"/>
    <w:link w:val="Style1"/>
    <w:rsid w:val="006D535F"/>
    <w:rPr>
      <w:rFonts w:ascii="Arial" w:eastAsia="Calibri" w:hAnsi="Arial" w:cs="Arial"/>
      <w:sz w:val="20"/>
      <w:szCs w:val="20"/>
    </w:rPr>
  </w:style>
  <w:style w:type="paragraph" w:customStyle="1" w:styleId="LJJsecondlevelheading">
    <w:name w:val="LJJ second level heading"/>
    <w:basedOn w:val="Normal"/>
    <w:link w:val="LJJsecondlevelheadingChar"/>
    <w:rsid w:val="006D535F"/>
    <w:pPr>
      <w:spacing w:after="240"/>
      <w:ind w:left="720" w:hanging="436"/>
      <w:jc w:val="center"/>
    </w:pPr>
    <w:rPr>
      <w:rFonts w:ascii="Times New Roman" w:eastAsia="MS ????" w:hAnsi="Times New Roman"/>
      <w:i/>
      <w:sz w:val="24"/>
      <w:szCs w:val="24"/>
      <w:lang w:eastAsia="ja-JP"/>
    </w:rPr>
  </w:style>
  <w:style w:type="character" w:customStyle="1" w:styleId="LJJsecondlevelheadingChar">
    <w:name w:val="LJJ second level heading Char"/>
    <w:basedOn w:val="DefaultParagraphFont"/>
    <w:link w:val="LJJsecondlevelheading"/>
    <w:rsid w:val="006D535F"/>
    <w:rPr>
      <w:rFonts w:ascii="Times New Roman" w:eastAsia="MS ????" w:hAnsi="Times New Roman"/>
      <w:i/>
      <w:sz w:val="24"/>
      <w:szCs w:val="24"/>
      <w:lang w:eastAsia="ja-JP"/>
    </w:rPr>
  </w:style>
  <w:style w:type="paragraph" w:styleId="EndnoteText">
    <w:name w:val="endnote text"/>
    <w:basedOn w:val="Normal"/>
    <w:link w:val="EndnoteTextChar"/>
    <w:autoRedefine/>
    <w:uiPriority w:val="99"/>
    <w:semiHidden/>
    <w:unhideWhenUsed/>
    <w:rsid w:val="006D535F"/>
    <w:pPr>
      <w:jc w:val="both"/>
    </w:pPr>
    <w:rPr>
      <w:rFonts w:ascii="Arial" w:hAnsi="Arial"/>
      <w:sz w:val="20"/>
      <w:szCs w:val="20"/>
    </w:rPr>
  </w:style>
  <w:style w:type="character" w:customStyle="1" w:styleId="EndnoteTextChar">
    <w:name w:val="Endnote Text Char"/>
    <w:basedOn w:val="DefaultParagraphFont"/>
    <w:link w:val="EndnoteText"/>
    <w:uiPriority w:val="99"/>
    <w:semiHidden/>
    <w:rsid w:val="006D535F"/>
    <w:rPr>
      <w:rFonts w:ascii="Arial" w:hAnsi="Arial"/>
      <w:sz w:val="20"/>
      <w:szCs w:val="20"/>
    </w:rPr>
  </w:style>
  <w:style w:type="paragraph" w:styleId="TOCHeading">
    <w:name w:val="TOC Heading"/>
    <w:basedOn w:val="Heading1"/>
    <w:next w:val="Normal"/>
    <w:uiPriority w:val="39"/>
    <w:unhideWhenUsed/>
    <w:qFormat/>
    <w:rsid w:val="006D535F"/>
    <w:pPr>
      <w:keepNext/>
      <w:keepLines/>
      <w:spacing w:after="360"/>
      <w:outlineLvl w:val="9"/>
    </w:pPr>
    <w:rPr>
      <w:color w:val="244061" w:themeColor="accent1" w:themeShade="80"/>
      <w:sz w:val="32"/>
      <w:szCs w:val="28"/>
      <w:lang w:val="en-US" w:eastAsia="ja-JP"/>
    </w:rPr>
  </w:style>
  <w:style w:type="paragraph" w:styleId="TOC1">
    <w:name w:val="toc 1"/>
    <w:basedOn w:val="Normal"/>
    <w:next w:val="Normal"/>
    <w:uiPriority w:val="39"/>
    <w:unhideWhenUsed/>
    <w:qFormat/>
    <w:rsid w:val="007754A4"/>
    <w:pPr>
      <w:spacing w:before="240" w:line="240" w:lineRule="auto"/>
    </w:pPr>
    <w:rPr>
      <w:noProof/>
    </w:rPr>
  </w:style>
  <w:style w:type="character" w:styleId="Hyperlink">
    <w:name w:val="Hyperlink"/>
    <w:basedOn w:val="DefaultParagraphFont"/>
    <w:uiPriority w:val="99"/>
    <w:unhideWhenUsed/>
    <w:rsid w:val="006D535F"/>
    <w:rPr>
      <w:color w:val="0000FF" w:themeColor="hyperlink"/>
      <w:u w:val="single"/>
    </w:rPr>
  </w:style>
  <w:style w:type="table" w:customStyle="1" w:styleId="LightList-Accent11">
    <w:name w:val="Light List - Accent 11"/>
    <w:basedOn w:val="TableNormal"/>
    <w:uiPriority w:val="61"/>
    <w:rsid w:val="006D535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6D535F"/>
    <w:rPr>
      <w:color w:val="800080"/>
      <w:u w:val="single"/>
    </w:rPr>
  </w:style>
  <w:style w:type="paragraph" w:customStyle="1" w:styleId="xl31">
    <w:name w:val="xl31"/>
    <w:basedOn w:val="Normal"/>
    <w:rsid w:val="006D535F"/>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32">
    <w:name w:val="xl32"/>
    <w:basedOn w:val="Normal"/>
    <w:rsid w:val="006D535F"/>
    <w:pPr>
      <w:shd w:val="clear" w:color="000000" w:fill="C2D69A"/>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3">
    <w:name w:val="xl33"/>
    <w:basedOn w:val="Normal"/>
    <w:rsid w:val="006D535F"/>
    <w:pPr>
      <w:shd w:val="clear" w:color="000000" w:fill="93CDDD"/>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4">
    <w:name w:val="xl34"/>
    <w:basedOn w:val="Normal"/>
    <w:rsid w:val="006D535F"/>
    <w:pPr>
      <w:shd w:val="clear" w:color="000000" w:fill="B2A1C7"/>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5">
    <w:name w:val="xl35"/>
    <w:basedOn w:val="Normal"/>
    <w:rsid w:val="006D535F"/>
    <w:pPr>
      <w:shd w:val="clear" w:color="000000" w:fill="D99795"/>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6">
    <w:name w:val="xl36"/>
    <w:basedOn w:val="Normal"/>
    <w:rsid w:val="006D535F"/>
    <w:pPr>
      <w:shd w:val="clear" w:color="000000" w:fill="8DB4E3"/>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7">
    <w:name w:val="xl37"/>
    <w:basedOn w:val="Normal"/>
    <w:rsid w:val="006D535F"/>
    <w:pPr>
      <w:shd w:val="clear" w:color="000000" w:fill="F2DDDC"/>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8">
    <w:name w:val="xl38"/>
    <w:basedOn w:val="Normal"/>
    <w:rsid w:val="006D535F"/>
    <w:pPr>
      <w:shd w:val="clear" w:color="000000" w:fill="C5BE97"/>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9">
    <w:name w:val="xl39"/>
    <w:basedOn w:val="Normal"/>
    <w:rsid w:val="006D535F"/>
    <w:pPr>
      <w:shd w:val="clear" w:color="000000" w:fill="D99795"/>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40">
    <w:name w:val="xl40"/>
    <w:basedOn w:val="Normal"/>
    <w:rsid w:val="006D535F"/>
    <w:pPr>
      <w:shd w:val="clear" w:color="000000" w:fill="B6DDE8"/>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41">
    <w:name w:val="xl41"/>
    <w:basedOn w:val="Normal"/>
    <w:rsid w:val="006D535F"/>
    <w:pPr>
      <w:spacing w:before="100" w:beforeAutospacing="1" w:after="100" w:afterAutospacing="1"/>
    </w:pPr>
    <w:rPr>
      <w:rFonts w:ascii="Times New Roman" w:eastAsia="Times New Roman" w:hAnsi="Times New Roman" w:cs="Times New Roman"/>
      <w:color w:val="FF0000"/>
      <w:sz w:val="20"/>
      <w:szCs w:val="20"/>
      <w:lang w:eastAsia="en-AU"/>
    </w:rPr>
  </w:style>
  <w:style w:type="paragraph" w:customStyle="1" w:styleId="xl42">
    <w:name w:val="xl42"/>
    <w:basedOn w:val="Normal"/>
    <w:rsid w:val="006D535F"/>
    <w:pPr>
      <w:shd w:val="clear" w:color="000000" w:fill="B8CCE4"/>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43">
    <w:name w:val="xl43"/>
    <w:basedOn w:val="Normal"/>
    <w:rsid w:val="006D535F"/>
    <w:pPr>
      <w:shd w:val="clear" w:color="000000" w:fill="B8CCE4"/>
      <w:spacing w:before="100" w:beforeAutospacing="1" w:after="100" w:afterAutospacing="1"/>
    </w:pPr>
    <w:rPr>
      <w:rFonts w:ascii="Calibri" w:eastAsia="Times New Roman" w:hAnsi="Calibri" w:cs="Times New Roman"/>
      <w:b/>
      <w:bCs/>
      <w:sz w:val="20"/>
      <w:szCs w:val="20"/>
      <w:lang w:eastAsia="en-AU"/>
    </w:rPr>
  </w:style>
  <w:style w:type="paragraph" w:customStyle="1" w:styleId="xl44">
    <w:name w:val="xl44"/>
    <w:basedOn w:val="Normal"/>
    <w:rsid w:val="006D535F"/>
    <w:pPr>
      <w:shd w:val="clear" w:color="000000" w:fill="F2F2F2"/>
      <w:spacing w:before="100" w:beforeAutospacing="1" w:after="100" w:afterAutospacing="1"/>
    </w:pPr>
    <w:rPr>
      <w:rFonts w:ascii="Times New Roman" w:eastAsia="Times New Roman" w:hAnsi="Times New Roman" w:cs="Times New Roman"/>
      <w:color w:val="FF0000"/>
      <w:sz w:val="20"/>
      <w:szCs w:val="20"/>
      <w:lang w:eastAsia="en-AU"/>
    </w:rPr>
  </w:style>
  <w:style w:type="paragraph" w:customStyle="1" w:styleId="xl45">
    <w:name w:val="xl45"/>
    <w:basedOn w:val="Normal"/>
    <w:rsid w:val="006D535F"/>
    <w:pPr>
      <w:shd w:val="clear" w:color="000000" w:fill="8DB4E3"/>
      <w:spacing w:before="100" w:beforeAutospacing="1" w:after="100" w:afterAutospacing="1"/>
    </w:pPr>
    <w:rPr>
      <w:rFonts w:ascii="Times New Roman" w:eastAsia="Times New Roman" w:hAnsi="Times New Roman" w:cs="Times New Roman"/>
      <w:sz w:val="20"/>
      <w:szCs w:val="20"/>
      <w:lang w:eastAsia="en-AU"/>
    </w:rPr>
  </w:style>
  <w:style w:type="paragraph" w:customStyle="1" w:styleId="xl46">
    <w:name w:val="xl46"/>
    <w:basedOn w:val="Normal"/>
    <w:rsid w:val="006D535F"/>
    <w:pPr>
      <w:shd w:val="clear" w:color="000000" w:fill="8DB4E3"/>
      <w:spacing w:before="100" w:beforeAutospacing="1" w:after="100" w:afterAutospacing="1"/>
    </w:pPr>
    <w:rPr>
      <w:rFonts w:ascii="Times New Roman" w:eastAsia="Times New Roman" w:hAnsi="Times New Roman" w:cs="Times New Roman"/>
      <w:sz w:val="24"/>
      <w:szCs w:val="24"/>
      <w:lang w:eastAsia="en-AU"/>
    </w:rPr>
  </w:style>
  <w:style w:type="paragraph" w:customStyle="1" w:styleId="xl47">
    <w:name w:val="xl47"/>
    <w:basedOn w:val="Normal"/>
    <w:rsid w:val="006D535F"/>
    <w:pPr>
      <w:shd w:val="clear" w:color="000000" w:fill="8DB4E3"/>
      <w:spacing w:before="100" w:beforeAutospacing="1" w:after="100" w:afterAutospacing="1"/>
    </w:pPr>
    <w:rPr>
      <w:rFonts w:ascii="Times New Roman" w:eastAsia="Times New Roman" w:hAnsi="Times New Roman" w:cs="Times New Roman"/>
      <w:sz w:val="24"/>
      <w:szCs w:val="24"/>
      <w:lang w:eastAsia="en-AU"/>
    </w:rPr>
  </w:style>
  <w:style w:type="paragraph" w:customStyle="1" w:styleId="xl48">
    <w:name w:val="xl48"/>
    <w:basedOn w:val="Normal"/>
    <w:rsid w:val="006D535F"/>
    <w:pPr>
      <w:shd w:val="clear" w:color="000000" w:fill="8DB4E3"/>
      <w:spacing w:before="100" w:beforeAutospacing="1" w:after="100" w:afterAutospacing="1"/>
    </w:pPr>
    <w:rPr>
      <w:rFonts w:ascii="Times New Roman" w:eastAsia="Times New Roman" w:hAnsi="Times New Roman" w:cs="Times New Roman"/>
      <w:color w:val="FF0000"/>
      <w:sz w:val="20"/>
      <w:szCs w:val="20"/>
      <w:lang w:eastAsia="en-AU"/>
    </w:rPr>
  </w:style>
  <w:style w:type="paragraph" w:customStyle="1" w:styleId="xl49">
    <w:name w:val="xl49"/>
    <w:basedOn w:val="Normal"/>
    <w:rsid w:val="006D535F"/>
    <w:pPr>
      <w:shd w:val="clear" w:color="000000" w:fill="8DB4E3"/>
      <w:spacing w:before="100" w:beforeAutospacing="1" w:after="100" w:afterAutospacing="1"/>
    </w:pPr>
    <w:rPr>
      <w:rFonts w:ascii="Times New Roman" w:eastAsia="Times New Roman" w:hAnsi="Times New Roman" w:cs="Times New Roman"/>
      <w:sz w:val="20"/>
      <w:szCs w:val="20"/>
      <w:lang w:eastAsia="en-AU"/>
    </w:rPr>
  </w:style>
  <w:style w:type="paragraph" w:customStyle="1" w:styleId="xl50">
    <w:name w:val="xl50"/>
    <w:basedOn w:val="Normal"/>
    <w:rsid w:val="006D535F"/>
    <w:pPr>
      <w:shd w:val="clear" w:color="000000" w:fill="FCF8C0"/>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51">
    <w:name w:val="xl51"/>
    <w:basedOn w:val="Normal"/>
    <w:rsid w:val="006D535F"/>
    <w:pPr>
      <w:shd w:val="clear" w:color="000000" w:fill="FFCCFF"/>
      <w:spacing w:before="100" w:beforeAutospacing="1" w:after="100" w:afterAutospacing="1"/>
      <w:jc w:val="center"/>
    </w:pPr>
    <w:rPr>
      <w:rFonts w:ascii="Times New Roman" w:eastAsia="Times New Roman" w:hAnsi="Times New Roman" w:cs="Times New Roman"/>
      <w:sz w:val="28"/>
      <w:szCs w:val="28"/>
      <w:lang w:eastAsia="en-AU"/>
    </w:rPr>
  </w:style>
  <w:style w:type="paragraph" w:customStyle="1" w:styleId="xl52">
    <w:name w:val="xl52"/>
    <w:basedOn w:val="Normal"/>
    <w:rsid w:val="006D535F"/>
    <w:pPr>
      <w:spacing w:before="100" w:beforeAutospacing="1" w:after="100" w:afterAutospacing="1"/>
    </w:pPr>
    <w:rPr>
      <w:rFonts w:ascii="Times New Roman" w:eastAsia="Times New Roman" w:hAnsi="Times New Roman" w:cs="Times New Roman"/>
      <w:sz w:val="24"/>
      <w:szCs w:val="24"/>
      <w:lang w:eastAsia="en-AU"/>
    </w:rPr>
  </w:style>
  <w:style w:type="table" w:styleId="LightList-Accent5">
    <w:name w:val="Light List Accent 5"/>
    <w:basedOn w:val="TableNormal"/>
    <w:uiPriority w:val="61"/>
    <w:rsid w:val="006D535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6D535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6D535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2">
    <w:name w:val="toc 2"/>
    <w:basedOn w:val="Normal"/>
    <w:next w:val="Normal"/>
    <w:autoRedefine/>
    <w:uiPriority w:val="39"/>
    <w:unhideWhenUsed/>
    <w:qFormat/>
    <w:rsid w:val="007754A4"/>
    <w:pPr>
      <w:spacing w:before="240" w:line="240" w:lineRule="auto"/>
    </w:pPr>
  </w:style>
  <w:style w:type="paragraph" w:styleId="TOC3">
    <w:name w:val="toc 3"/>
    <w:basedOn w:val="Normal"/>
    <w:next w:val="Normal"/>
    <w:autoRedefine/>
    <w:uiPriority w:val="39"/>
    <w:unhideWhenUsed/>
    <w:qFormat/>
    <w:rsid w:val="007754A4"/>
    <w:pPr>
      <w:spacing w:before="480" w:line="240" w:lineRule="auto"/>
    </w:pPr>
    <w:rPr>
      <w:b/>
      <w:caps/>
    </w:rPr>
  </w:style>
  <w:style w:type="table" w:styleId="LightShading-Accent6">
    <w:name w:val="Light Shading Accent 6"/>
    <w:basedOn w:val="TableNormal"/>
    <w:uiPriority w:val="60"/>
    <w:rsid w:val="006D535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6D53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6D53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OC4">
    <w:name w:val="toc 4"/>
    <w:basedOn w:val="Normal"/>
    <w:next w:val="Normal"/>
    <w:autoRedefine/>
    <w:uiPriority w:val="39"/>
    <w:unhideWhenUsed/>
    <w:rsid w:val="007754A4"/>
    <w:pPr>
      <w:spacing w:before="240" w:line="240" w:lineRule="auto"/>
    </w:pPr>
    <w:rPr>
      <w:rFonts w:eastAsiaTheme="minorEastAsia"/>
      <w:lang w:eastAsia="en-AU"/>
    </w:rPr>
  </w:style>
  <w:style w:type="paragraph" w:styleId="TOC5">
    <w:name w:val="toc 5"/>
    <w:basedOn w:val="Normal"/>
    <w:next w:val="Normal"/>
    <w:autoRedefine/>
    <w:uiPriority w:val="39"/>
    <w:unhideWhenUsed/>
    <w:rsid w:val="007754A4"/>
    <w:pPr>
      <w:spacing w:before="240" w:line="240" w:lineRule="auto"/>
    </w:pPr>
    <w:rPr>
      <w:rFonts w:eastAsiaTheme="minorEastAsia"/>
      <w:lang w:eastAsia="en-AU"/>
    </w:rPr>
  </w:style>
  <w:style w:type="paragraph" w:styleId="TOC6">
    <w:name w:val="toc 6"/>
    <w:basedOn w:val="Normal"/>
    <w:next w:val="Normal"/>
    <w:autoRedefine/>
    <w:uiPriority w:val="39"/>
    <w:unhideWhenUsed/>
    <w:rsid w:val="007754A4"/>
    <w:pPr>
      <w:spacing w:before="240" w:line="240" w:lineRule="auto"/>
    </w:pPr>
    <w:rPr>
      <w:rFonts w:eastAsiaTheme="minorEastAsia"/>
      <w:lang w:eastAsia="en-AU"/>
    </w:rPr>
  </w:style>
  <w:style w:type="paragraph" w:styleId="TOC7">
    <w:name w:val="toc 7"/>
    <w:basedOn w:val="Normal"/>
    <w:next w:val="Normal"/>
    <w:autoRedefine/>
    <w:uiPriority w:val="39"/>
    <w:unhideWhenUsed/>
    <w:rsid w:val="006D535F"/>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6D535F"/>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6D535F"/>
    <w:pPr>
      <w:spacing w:after="100" w:line="276" w:lineRule="auto"/>
      <w:ind w:left="1760"/>
    </w:pPr>
    <w:rPr>
      <w:rFonts w:eastAsiaTheme="minorEastAsia"/>
      <w:lang w:eastAsia="en-AU"/>
    </w:rPr>
  </w:style>
  <w:style w:type="paragraph" w:customStyle="1" w:styleId="Titlestyle">
    <w:name w:val="Title style"/>
    <w:basedOn w:val="Title"/>
    <w:link w:val="TitlestyleChar"/>
    <w:qFormat/>
    <w:rsid w:val="00621454"/>
    <w:pPr>
      <w:spacing w:after="480"/>
      <w:outlineLvl w:val="0"/>
    </w:pPr>
    <w:rPr>
      <w:rFonts w:asciiTheme="minorHAnsi" w:hAnsiTheme="minorHAnsi"/>
      <w:b/>
      <w:sz w:val="40"/>
      <w:szCs w:val="36"/>
    </w:rPr>
  </w:style>
  <w:style w:type="character" w:customStyle="1" w:styleId="TitlestyleChar">
    <w:name w:val="Title style Char"/>
    <w:basedOn w:val="TitleChar"/>
    <w:link w:val="Titlestyle"/>
    <w:rsid w:val="00621454"/>
    <w:rPr>
      <w:rFonts w:asciiTheme="majorHAnsi" w:eastAsiaTheme="majorEastAsia" w:hAnsiTheme="majorHAnsi" w:cstheme="majorBidi"/>
      <w:b/>
      <w:color w:val="17365D" w:themeColor="text2" w:themeShade="BF"/>
      <w:spacing w:val="5"/>
      <w:kern w:val="28"/>
      <w:sz w:val="40"/>
      <w:szCs w:val="36"/>
    </w:rPr>
  </w:style>
  <w:style w:type="table" w:styleId="LightGrid-Accent3">
    <w:name w:val="Light Grid Accent 3"/>
    <w:basedOn w:val="TableNormal"/>
    <w:uiPriority w:val="62"/>
    <w:rsid w:val="006D535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4">
    <w:name w:val="Head4"/>
    <w:basedOn w:val="Heading3"/>
    <w:link w:val="Head4Char"/>
    <w:rsid w:val="006D535F"/>
    <w:rPr>
      <w:i/>
    </w:rPr>
  </w:style>
  <w:style w:type="character" w:customStyle="1" w:styleId="Head4Char">
    <w:name w:val="Head4 Char"/>
    <w:basedOn w:val="Heading3Char"/>
    <w:link w:val="Head4"/>
    <w:rsid w:val="006D535F"/>
    <w:rPr>
      <w:rFonts w:asciiTheme="majorHAnsi" w:eastAsiaTheme="majorEastAsia" w:hAnsiTheme="majorHAnsi" w:cstheme="majorBidi"/>
      <w:b/>
      <w:bCs/>
      <w:i/>
      <w:caps/>
      <w:color w:val="244061" w:themeColor="accent1" w:themeShade="80"/>
      <w:sz w:val="24"/>
    </w:rPr>
  </w:style>
  <w:style w:type="paragraph" w:customStyle="1" w:styleId="Paragraph">
    <w:name w:val="Paragraph"/>
    <w:link w:val="ParagraphChar"/>
    <w:qFormat/>
    <w:rsid w:val="0095311F"/>
    <w:pPr>
      <w:spacing w:after="120" w:line="360" w:lineRule="auto"/>
    </w:pPr>
    <w:rPr>
      <w:rFonts w:ascii="Calibri" w:eastAsiaTheme="majorEastAsia" w:hAnsi="Calibri" w:cstheme="majorBidi"/>
      <w:color w:val="000000" w:themeColor="text1"/>
    </w:rPr>
  </w:style>
  <w:style w:type="character" w:customStyle="1" w:styleId="ParagraphChar">
    <w:name w:val="Paragraph Char"/>
    <w:basedOn w:val="DefaultParagraphFont"/>
    <w:link w:val="Paragraph"/>
    <w:rsid w:val="0095311F"/>
    <w:rPr>
      <w:rFonts w:ascii="Calibri" w:eastAsiaTheme="majorEastAsia" w:hAnsi="Calibri" w:cstheme="majorBidi"/>
      <w:color w:val="000000" w:themeColor="text1"/>
    </w:rPr>
  </w:style>
  <w:style w:type="paragraph" w:styleId="Quote">
    <w:name w:val="Quote"/>
    <w:basedOn w:val="Paragraph"/>
    <w:next w:val="Normal"/>
    <w:link w:val="QuoteChar"/>
    <w:uiPriority w:val="29"/>
    <w:qFormat/>
    <w:rsid w:val="00863C61"/>
    <w:pPr>
      <w:ind w:left="284" w:right="237"/>
    </w:pPr>
  </w:style>
  <w:style w:type="character" w:customStyle="1" w:styleId="QuoteChar">
    <w:name w:val="Quote Char"/>
    <w:basedOn w:val="DefaultParagraphFont"/>
    <w:link w:val="Quote"/>
    <w:uiPriority w:val="29"/>
    <w:rsid w:val="00863C61"/>
  </w:style>
  <w:style w:type="table" w:styleId="LightShading-Accent1">
    <w:name w:val="Light Shading Accent 1"/>
    <w:basedOn w:val="TableNormal"/>
    <w:uiPriority w:val="60"/>
    <w:rsid w:val="00245C1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ubsectionheading">
    <w:name w:val="Subsection heading"/>
    <w:basedOn w:val="NoSpacing"/>
    <w:link w:val="SubsectionheadingChar"/>
    <w:rsid w:val="00F2449C"/>
    <w:pPr>
      <w:outlineLvl w:val="0"/>
    </w:pPr>
    <w:rPr>
      <w:smallCaps/>
    </w:rPr>
  </w:style>
  <w:style w:type="character" w:customStyle="1" w:styleId="SubsectionheadingChar">
    <w:name w:val="Subsection heading Char"/>
    <w:basedOn w:val="DefaultParagraphFont"/>
    <w:link w:val="Subsectionheading"/>
    <w:rsid w:val="00F2449C"/>
    <w:rPr>
      <w:b/>
      <w:smallCaps/>
      <w:sz w:val="28"/>
      <w:szCs w:val="28"/>
      <w:shd w:val="clear" w:color="auto" w:fill="DBE5F1" w:themeFill="accent1" w:themeFillTint="33"/>
    </w:rPr>
  </w:style>
  <w:style w:type="paragraph" w:customStyle="1" w:styleId="Graphs">
    <w:name w:val="Graphs"/>
    <w:basedOn w:val="Normal"/>
    <w:link w:val="GraphsChar"/>
    <w:qFormat/>
    <w:rsid w:val="002F6188"/>
    <w:pPr>
      <w:spacing w:after="120"/>
    </w:pPr>
    <w:rPr>
      <w:b/>
      <w:i/>
      <w:color w:val="17365D" w:themeColor="text2" w:themeShade="BF"/>
      <w:sz w:val="24"/>
      <w:szCs w:val="24"/>
    </w:rPr>
  </w:style>
  <w:style w:type="character" w:customStyle="1" w:styleId="GraphsChar">
    <w:name w:val="Graphs Char"/>
    <w:basedOn w:val="DefaultParagraphFont"/>
    <w:link w:val="Graphs"/>
    <w:rsid w:val="002F6188"/>
    <w:rPr>
      <w:b/>
      <w:i/>
      <w:color w:val="17365D" w:themeColor="text2" w:themeShade="BF"/>
      <w:sz w:val="24"/>
      <w:szCs w:val="24"/>
    </w:rPr>
  </w:style>
  <w:style w:type="paragraph" w:customStyle="1" w:styleId="12pt">
    <w:name w:val="12pt"/>
    <w:basedOn w:val="Normal"/>
    <w:link w:val="12ptChar"/>
    <w:qFormat/>
    <w:rsid w:val="00953EF8"/>
    <w:pPr>
      <w:keepNext/>
    </w:pPr>
    <w:rPr>
      <w:sz w:val="24"/>
    </w:rPr>
  </w:style>
  <w:style w:type="character" w:customStyle="1" w:styleId="12ptChar">
    <w:name w:val="12pt Char"/>
    <w:basedOn w:val="DefaultParagraphFont"/>
    <w:link w:val="12pt"/>
    <w:rsid w:val="00953EF8"/>
    <w:rPr>
      <w:sz w:val="24"/>
    </w:rPr>
  </w:style>
  <w:style w:type="character" w:customStyle="1" w:styleId="citationsource">
    <w:name w:val="citationsource"/>
    <w:basedOn w:val="DefaultParagraphFont"/>
    <w:rsid w:val="007E77A8"/>
    <w:rPr>
      <w:rFonts w:ascii="Arial" w:hAnsi="Arial" w:cs="Arial" w:hint="default"/>
      <w:i/>
      <w:iCs/>
    </w:rPr>
  </w:style>
  <w:style w:type="character" w:customStyle="1" w:styleId="citationissn1">
    <w:name w:val="citationissn1"/>
    <w:basedOn w:val="DefaultParagraphFont"/>
    <w:rsid w:val="007E77A8"/>
    <w:rPr>
      <w:rFonts w:ascii="Arial" w:hAnsi="Arial" w:cs="Arial" w:hint="default"/>
      <w:i/>
      <w:iCs/>
      <w:vanish/>
      <w:webHidden w:val="0"/>
      <w:specVanish w:val="0"/>
    </w:rPr>
  </w:style>
  <w:style w:type="character" w:customStyle="1" w:styleId="citationauthor">
    <w:name w:val="citationauthor"/>
    <w:basedOn w:val="DefaultParagraphFont"/>
    <w:rsid w:val="007E77A8"/>
    <w:rPr>
      <w:rFonts w:ascii="Arial" w:hAnsi="Arial" w:cs="Arial" w:hint="default"/>
    </w:rPr>
  </w:style>
  <w:style w:type="character" w:customStyle="1" w:styleId="citationdate">
    <w:name w:val="citationdate"/>
    <w:basedOn w:val="DefaultParagraphFont"/>
    <w:rsid w:val="007E77A8"/>
    <w:rPr>
      <w:rFonts w:ascii="Arial" w:hAnsi="Arial" w:cs="Arial" w:hint="default"/>
    </w:rPr>
  </w:style>
  <w:style w:type="character" w:customStyle="1" w:styleId="citationarticleorsectiontitle">
    <w:name w:val="citationarticleorsectiontitle"/>
    <w:basedOn w:val="DefaultParagraphFont"/>
    <w:rsid w:val="007E77A8"/>
    <w:rPr>
      <w:rFonts w:ascii="Arial" w:hAnsi="Arial" w:cs="Arial" w:hint="default"/>
    </w:rPr>
  </w:style>
  <w:style w:type="character" w:customStyle="1" w:styleId="citationvolume">
    <w:name w:val="citationvolume"/>
    <w:basedOn w:val="DefaultParagraphFont"/>
    <w:rsid w:val="007E77A8"/>
    <w:rPr>
      <w:rFonts w:ascii="Arial" w:hAnsi="Arial" w:cs="Arial" w:hint="default"/>
    </w:rPr>
  </w:style>
  <w:style w:type="character" w:customStyle="1" w:styleId="citationissue">
    <w:name w:val="citationissue"/>
    <w:basedOn w:val="DefaultParagraphFont"/>
    <w:rsid w:val="007E77A8"/>
    <w:rPr>
      <w:rFonts w:ascii="Arial" w:hAnsi="Arial" w:cs="Arial" w:hint="default"/>
    </w:rPr>
  </w:style>
  <w:style w:type="character" w:customStyle="1" w:styleId="citationspagelabel">
    <w:name w:val="citationspagelabel"/>
    <w:basedOn w:val="DefaultParagraphFont"/>
    <w:rsid w:val="007E77A8"/>
    <w:rPr>
      <w:rFonts w:ascii="Arial" w:hAnsi="Arial" w:cs="Arial" w:hint="default"/>
    </w:rPr>
  </w:style>
  <w:style w:type="character" w:customStyle="1" w:styleId="citationspagevalue">
    <w:name w:val="citationspagevalue"/>
    <w:basedOn w:val="DefaultParagraphFont"/>
    <w:rsid w:val="007E77A8"/>
    <w:rPr>
      <w:rFonts w:ascii="Arial" w:hAnsi="Arial" w:cs="Arial" w:hint="default"/>
    </w:rPr>
  </w:style>
  <w:style w:type="character" w:styleId="FootnoteReference">
    <w:name w:val="footnote reference"/>
    <w:basedOn w:val="DefaultParagraphFont"/>
    <w:uiPriority w:val="99"/>
    <w:unhideWhenUsed/>
    <w:rsid w:val="007E77A8"/>
    <w:rPr>
      <w:vertAlign w:val="superscript"/>
    </w:rPr>
  </w:style>
  <w:style w:type="paragraph" w:customStyle="1" w:styleId="Footnote">
    <w:name w:val="Footnote"/>
    <w:basedOn w:val="FootnoteText"/>
    <w:link w:val="FootnoteChar"/>
    <w:qFormat/>
    <w:rsid w:val="001A1A0E"/>
    <w:pPr>
      <w:ind w:left="284" w:hanging="284"/>
    </w:pPr>
    <w:rPr>
      <w:rFonts w:eastAsiaTheme="minorEastAsia"/>
      <w:sz w:val="18"/>
    </w:rPr>
  </w:style>
  <w:style w:type="character" w:customStyle="1" w:styleId="FootnoteChar">
    <w:name w:val="Footnote Char"/>
    <w:basedOn w:val="FootnoteTextChar"/>
    <w:link w:val="Footnote"/>
    <w:rsid w:val="001A1A0E"/>
    <w:rPr>
      <w:rFonts w:ascii="Arial" w:eastAsiaTheme="minorEastAsia" w:hAnsi="Arial"/>
      <w:sz w:val="18"/>
      <w:szCs w:val="20"/>
    </w:rPr>
  </w:style>
  <w:style w:type="paragraph" w:customStyle="1" w:styleId="Quote1">
    <w:name w:val="Quote1"/>
    <w:basedOn w:val="Normal"/>
    <w:link w:val="Quote1Char"/>
    <w:qFormat/>
    <w:rsid w:val="007E77A8"/>
    <w:pPr>
      <w:ind w:left="851" w:right="992"/>
      <w:jc w:val="both"/>
    </w:pPr>
    <w:rPr>
      <w:rFonts w:eastAsiaTheme="minorEastAsia"/>
      <w:szCs w:val="20"/>
      <w:lang w:val="en-US"/>
    </w:rPr>
  </w:style>
  <w:style w:type="character" w:customStyle="1" w:styleId="Quote1Char">
    <w:name w:val="Quote1 Char"/>
    <w:basedOn w:val="DefaultParagraphFont"/>
    <w:link w:val="Quote1"/>
    <w:rsid w:val="007E77A8"/>
    <w:rPr>
      <w:rFonts w:eastAsiaTheme="minorEastAsia"/>
      <w:szCs w:val="20"/>
      <w:lang w:val="en-US"/>
    </w:rPr>
  </w:style>
  <w:style w:type="paragraph" w:customStyle="1" w:styleId="Numberedlist">
    <w:name w:val="Numbered list"/>
    <w:basedOn w:val="ListParagraph"/>
    <w:link w:val="NumberedlistChar"/>
    <w:qFormat/>
    <w:rsid w:val="007E77A8"/>
    <w:pPr>
      <w:numPr>
        <w:numId w:val="1"/>
      </w:numPr>
      <w:tabs>
        <w:tab w:val="left" w:pos="284"/>
      </w:tabs>
      <w:ind w:left="284" w:hanging="284"/>
    </w:pPr>
    <w:rPr>
      <w:i/>
    </w:rPr>
  </w:style>
  <w:style w:type="character" w:customStyle="1" w:styleId="ListParagraphChar">
    <w:name w:val="List Paragraph Char"/>
    <w:basedOn w:val="DefaultParagraphFont"/>
    <w:link w:val="ListParagraph"/>
    <w:uiPriority w:val="34"/>
    <w:rsid w:val="007E77A8"/>
  </w:style>
  <w:style w:type="character" w:customStyle="1" w:styleId="NumberedlistChar">
    <w:name w:val="Numbered list Char"/>
    <w:basedOn w:val="ListParagraphChar"/>
    <w:link w:val="Numberedlist"/>
    <w:rsid w:val="007E77A8"/>
    <w:rPr>
      <w:i/>
    </w:rPr>
  </w:style>
  <w:style w:type="paragraph" w:customStyle="1" w:styleId="DecimalAligned">
    <w:name w:val="Decimal Aligned"/>
    <w:basedOn w:val="Normal"/>
    <w:uiPriority w:val="40"/>
    <w:qFormat/>
    <w:rsid w:val="007E77A8"/>
    <w:pPr>
      <w:tabs>
        <w:tab w:val="decimal" w:pos="360"/>
      </w:tabs>
      <w:spacing w:after="200" w:line="276" w:lineRule="auto"/>
    </w:pPr>
    <w:rPr>
      <w:lang w:val="en-US" w:eastAsia="ja-JP"/>
    </w:rPr>
  </w:style>
  <w:style w:type="character" w:styleId="SubtleEmphasis">
    <w:name w:val="Subtle Emphasis"/>
    <w:basedOn w:val="DefaultParagraphFont"/>
    <w:uiPriority w:val="19"/>
    <w:qFormat/>
    <w:rsid w:val="007E77A8"/>
    <w:rPr>
      <w:i/>
      <w:iCs/>
      <w:color w:val="7F7F7F" w:themeColor="text1" w:themeTint="80"/>
    </w:rPr>
  </w:style>
  <w:style w:type="character" w:styleId="CommentReference">
    <w:name w:val="annotation reference"/>
    <w:basedOn w:val="DefaultParagraphFont"/>
    <w:uiPriority w:val="99"/>
    <w:semiHidden/>
    <w:unhideWhenUsed/>
    <w:rsid w:val="007E77A8"/>
    <w:rPr>
      <w:sz w:val="16"/>
      <w:szCs w:val="16"/>
    </w:rPr>
  </w:style>
  <w:style w:type="paragraph" w:styleId="CommentText">
    <w:name w:val="annotation text"/>
    <w:basedOn w:val="Normal"/>
    <w:link w:val="CommentTextChar"/>
    <w:uiPriority w:val="99"/>
    <w:semiHidden/>
    <w:unhideWhenUsed/>
    <w:rsid w:val="007E77A8"/>
    <w:rPr>
      <w:sz w:val="20"/>
      <w:szCs w:val="20"/>
    </w:rPr>
  </w:style>
  <w:style w:type="character" w:customStyle="1" w:styleId="CommentTextChar">
    <w:name w:val="Comment Text Char"/>
    <w:basedOn w:val="DefaultParagraphFont"/>
    <w:link w:val="CommentText"/>
    <w:uiPriority w:val="99"/>
    <w:semiHidden/>
    <w:rsid w:val="007E77A8"/>
    <w:rPr>
      <w:sz w:val="20"/>
      <w:szCs w:val="20"/>
    </w:rPr>
  </w:style>
  <w:style w:type="character" w:styleId="PageNumber">
    <w:name w:val="page number"/>
    <w:basedOn w:val="DefaultParagraphFont"/>
    <w:uiPriority w:val="99"/>
    <w:semiHidden/>
    <w:unhideWhenUsed/>
    <w:rsid w:val="007E77A8"/>
  </w:style>
  <w:style w:type="character" w:customStyle="1" w:styleId="normalchar1">
    <w:name w:val="normal__char1"/>
    <w:basedOn w:val="DefaultParagraphFont"/>
    <w:rsid w:val="007E77A8"/>
    <w:rPr>
      <w:rFonts w:ascii="Times New Roman" w:hAnsi="Times New Roman" w:cs="Times New Roman" w:hint="default"/>
      <w:sz w:val="24"/>
      <w:szCs w:val="24"/>
    </w:rPr>
  </w:style>
  <w:style w:type="paragraph" w:styleId="Revision">
    <w:name w:val="Revision"/>
    <w:hidden/>
    <w:uiPriority w:val="99"/>
    <w:semiHidden/>
    <w:rsid w:val="007E77A8"/>
    <w:pPr>
      <w:spacing w:after="0" w:line="240" w:lineRule="auto"/>
    </w:pPr>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7E77A8"/>
    <w:rPr>
      <w:rFonts w:eastAsiaTheme="minorEastAsia"/>
      <w:b/>
      <w:bCs/>
      <w:lang w:val="en-US"/>
    </w:rPr>
  </w:style>
  <w:style w:type="character" w:customStyle="1" w:styleId="CommentSubjectChar">
    <w:name w:val="Comment Subject Char"/>
    <w:basedOn w:val="CommentTextChar"/>
    <w:link w:val="CommentSubject"/>
    <w:uiPriority w:val="99"/>
    <w:semiHidden/>
    <w:rsid w:val="007E77A8"/>
    <w:rPr>
      <w:rFonts w:eastAsiaTheme="minorEastAsia"/>
      <w:b/>
      <w:bCs/>
      <w:sz w:val="20"/>
      <w:szCs w:val="20"/>
      <w:lang w:val="en-US"/>
    </w:rPr>
  </w:style>
  <w:style w:type="paragraph" w:customStyle="1" w:styleId="Tabletextnospace">
    <w:name w:val="Table text no space"/>
    <w:basedOn w:val="Normal"/>
    <w:rsid w:val="007E77A8"/>
    <w:pPr>
      <w:widowControl w:val="0"/>
      <w:suppressAutoHyphens/>
      <w:autoSpaceDE w:val="0"/>
      <w:autoSpaceDN w:val="0"/>
      <w:adjustRightInd w:val="0"/>
      <w:spacing w:line="288" w:lineRule="auto"/>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7E77A8"/>
    <w:rPr>
      <w:rFonts w:ascii="HelveticaNeue-LightCondObl" w:hAnsi="HelveticaNeue-LightCondObl" w:cs="HelveticaNeue-LightCondObl"/>
      <w:i/>
      <w:iCs/>
      <w:color w:val="000000"/>
      <w:w w:val="100"/>
    </w:rPr>
  </w:style>
  <w:style w:type="character" w:customStyle="1" w:styleId="apple-style-span">
    <w:name w:val="apple-style-span"/>
    <w:basedOn w:val="DefaultParagraphFont"/>
    <w:rsid w:val="005908F6"/>
  </w:style>
  <w:style w:type="table" w:customStyle="1" w:styleId="TableGrid1">
    <w:name w:val="Table Grid1"/>
    <w:basedOn w:val="TableNormal"/>
    <w:next w:val="TableGrid"/>
    <w:uiPriority w:val="59"/>
    <w:rsid w:val="009A076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DC7BFE"/>
    <w:pPr>
      <w:spacing w:before="160" w:line="300" w:lineRule="atLeast"/>
    </w:pPr>
  </w:style>
  <w:style w:type="paragraph" w:styleId="ListBullet">
    <w:name w:val="List Bullet"/>
    <w:basedOn w:val="BodyText1"/>
    <w:rsid w:val="00DC7BFE"/>
    <w:pPr>
      <w:numPr>
        <w:numId w:val="9"/>
      </w:numPr>
      <w:spacing w:before="0"/>
    </w:pPr>
  </w:style>
  <w:style w:type="paragraph" w:customStyle="1" w:styleId="Tableheading">
    <w:name w:val="Table heading"/>
    <w:basedOn w:val="Normal"/>
    <w:next w:val="Normal"/>
    <w:link w:val="TableheadingChar"/>
    <w:qFormat/>
    <w:rsid w:val="005410C7"/>
    <w:rPr>
      <w:b/>
      <w:sz w:val="28"/>
    </w:rPr>
  </w:style>
  <w:style w:type="paragraph" w:customStyle="1" w:styleId="Statebox">
    <w:name w:val="State box"/>
    <w:basedOn w:val="Normal"/>
    <w:next w:val="Normal"/>
    <w:link w:val="StateboxChar"/>
    <w:rsid w:val="00D951BB"/>
    <w:pPr>
      <w:pBdr>
        <w:top w:val="single" w:sz="4" w:space="1" w:color="auto"/>
        <w:left w:val="single" w:sz="4" w:space="5" w:color="auto"/>
        <w:bottom w:val="single" w:sz="4" w:space="1" w:color="auto"/>
        <w:right w:val="single" w:sz="4" w:space="4" w:color="auto"/>
      </w:pBdr>
      <w:shd w:val="clear" w:color="auto" w:fill="D9D9D9" w:themeFill="background1" w:themeFillShade="D9"/>
      <w:spacing w:after="240"/>
      <w:jc w:val="center"/>
    </w:pPr>
    <w:rPr>
      <w:b/>
      <w:sz w:val="28"/>
      <w:szCs w:val="36"/>
    </w:rPr>
  </w:style>
  <w:style w:type="character" w:customStyle="1" w:styleId="TableheadingChar">
    <w:name w:val="Table heading Char"/>
    <w:basedOn w:val="DefaultParagraphFont"/>
    <w:link w:val="Tableheading"/>
    <w:rsid w:val="005410C7"/>
    <w:rPr>
      <w:b/>
      <w:sz w:val="28"/>
    </w:rPr>
  </w:style>
  <w:style w:type="character" w:customStyle="1" w:styleId="Heading5Char">
    <w:name w:val="Heading 5 Char"/>
    <w:basedOn w:val="DefaultParagraphFont"/>
    <w:link w:val="Heading5"/>
    <w:uiPriority w:val="9"/>
    <w:rsid w:val="00F85122"/>
    <w:rPr>
      <w:rFonts w:ascii="Calibri" w:eastAsiaTheme="majorEastAsia" w:hAnsi="Calibri" w:cstheme="majorBidi"/>
      <w:b/>
      <w:color w:val="000000" w:themeColor="text1"/>
      <w:sz w:val="28"/>
    </w:rPr>
  </w:style>
  <w:style w:type="character" w:customStyle="1" w:styleId="StateboxChar">
    <w:name w:val="State box Char"/>
    <w:basedOn w:val="DefaultParagraphFont"/>
    <w:link w:val="Statebox"/>
    <w:rsid w:val="00D951BB"/>
    <w:rPr>
      <w:b/>
      <w:sz w:val="28"/>
      <w:szCs w:val="36"/>
      <w:shd w:val="clear" w:color="auto" w:fill="D9D9D9" w:themeFill="background1" w:themeFillShade="D9"/>
    </w:rPr>
  </w:style>
  <w:style w:type="character" w:customStyle="1" w:styleId="Heading6Char">
    <w:name w:val="Heading 6 Char"/>
    <w:basedOn w:val="DefaultParagraphFont"/>
    <w:link w:val="Heading6"/>
    <w:uiPriority w:val="9"/>
    <w:rsid w:val="00541FC8"/>
    <w:rPr>
      <w:b/>
      <w:color w:val="000000" w:themeColor="text1"/>
      <w:sz w:val="24"/>
    </w:rPr>
  </w:style>
  <w:style w:type="paragraph" w:customStyle="1" w:styleId="Figureheading">
    <w:name w:val="Figure heading"/>
    <w:basedOn w:val="Heading5"/>
    <w:next w:val="Normal"/>
    <w:link w:val="FigureheadingChar"/>
    <w:qFormat/>
    <w:rsid w:val="00541FC8"/>
    <w:pPr>
      <w:pBdr>
        <w:bottom w:val="single" w:sz="8" w:space="1" w:color="365F91"/>
      </w:pBdr>
      <w:spacing w:after="240" w:line="240" w:lineRule="auto"/>
    </w:pPr>
    <w:rPr>
      <w:color w:val="365F91"/>
    </w:rPr>
  </w:style>
  <w:style w:type="character" w:customStyle="1" w:styleId="Heading7Char">
    <w:name w:val="Heading 7 Char"/>
    <w:basedOn w:val="DefaultParagraphFont"/>
    <w:link w:val="Heading7"/>
    <w:uiPriority w:val="9"/>
    <w:rsid w:val="00A27DD4"/>
    <w:rPr>
      <w:rFonts w:cs="Calibri"/>
      <w:b/>
      <w:i/>
      <w:iCs/>
      <w:color w:val="000000" w:themeColor="text1"/>
      <w:sz w:val="24"/>
      <w:szCs w:val="24"/>
    </w:rPr>
  </w:style>
  <w:style w:type="character" w:customStyle="1" w:styleId="FigureheadingChar">
    <w:name w:val="Figure heading Char"/>
    <w:basedOn w:val="DefaultParagraphFont"/>
    <w:link w:val="Figureheading"/>
    <w:rsid w:val="00541FC8"/>
    <w:rPr>
      <w:rFonts w:ascii="Calibri" w:eastAsiaTheme="majorEastAsia" w:hAnsi="Calibri" w:cstheme="majorBidi"/>
      <w:b/>
      <w:color w:val="365F91"/>
      <w:sz w:val="28"/>
    </w:rPr>
  </w:style>
  <w:style w:type="paragraph" w:customStyle="1" w:styleId="Default">
    <w:name w:val="Default"/>
    <w:rsid w:val="00D2444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D4937"/>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8Char">
    <w:name w:val="Heading 8 Char"/>
    <w:basedOn w:val="DefaultParagraphFont"/>
    <w:link w:val="Heading8"/>
    <w:uiPriority w:val="9"/>
    <w:rsid w:val="004F4189"/>
    <w:rPr>
      <w:rFonts w:ascii="Calibri" w:eastAsiaTheme="majorEastAsia" w:hAnsi="Calibri" w:cstheme="majorBidi"/>
      <w:b/>
      <w:color w:val="000000" w:themeColor="text1"/>
      <w:sz w:val="24"/>
      <w:szCs w:val="21"/>
    </w:rPr>
  </w:style>
  <w:style w:type="paragraph" w:styleId="Date">
    <w:name w:val="Date"/>
    <w:basedOn w:val="Normal"/>
    <w:next w:val="Normal"/>
    <w:link w:val="DateChar"/>
    <w:uiPriority w:val="99"/>
    <w:semiHidden/>
    <w:unhideWhenUsed/>
    <w:rsid w:val="00631FB3"/>
  </w:style>
  <w:style w:type="character" w:customStyle="1" w:styleId="DateChar">
    <w:name w:val="Date Char"/>
    <w:basedOn w:val="DefaultParagraphFont"/>
    <w:link w:val="Date"/>
    <w:uiPriority w:val="99"/>
    <w:semiHidden/>
    <w:rsid w:val="00631FB3"/>
  </w:style>
  <w:style w:type="character" w:customStyle="1" w:styleId="Heading9Char">
    <w:name w:val="Heading 9 Char"/>
    <w:basedOn w:val="DefaultParagraphFont"/>
    <w:link w:val="Heading9"/>
    <w:uiPriority w:val="9"/>
    <w:rsid w:val="00261455"/>
    <w:rPr>
      <w:rFonts w:ascii="Calibri" w:eastAsiaTheme="majorEastAsia" w:hAnsi="Calibri" w:cstheme="majorBidi"/>
      <w:b/>
      <w:i/>
      <w:iCs/>
      <w:color w:val="000000" w:themeColor="text1"/>
      <w:szCs w:val="21"/>
    </w:rPr>
  </w:style>
  <w:style w:type="paragraph" w:styleId="Subtitle">
    <w:name w:val="Subtitle"/>
    <w:next w:val="Normal"/>
    <w:link w:val="SubtitleChar"/>
    <w:uiPriority w:val="11"/>
    <w:qFormat/>
    <w:rsid w:val="00C42CC6"/>
    <w:pPr>
      <w:numPr>
        <w:ilvl w:val="1"/>
      </w:numPr>
      <w:spacing w:after="160" w:line="240" w:lineRule="auto"/>
    </w:pPr>
    <w:rPr>
      <w:rFonts w:ascii="Calibri" w:eastAsiaTheme="minorEastAsia" w:hAnsi="Calibri"/>
      <w:color w:val="365F91"/>
      <w:spacing w:val="15"/>
      <w:sz w:val="40"/>
    </w:rPr>
  </w:style>
  <w:style w:type="character" w:customStyle="1" w:styleId="SubtitleChar">
    <w:name w:val="Subtitle Char"/>
    <w:basedOn w:val="DefaultParagraphFont"/>
    <w:link w:val="Subtitle"/>
    <w:uiPriority w:val="11"/>
    <w:rsid w:val="00C42CC6"/>
    <w:rPr>
      <w:rFonts w:ascii="Calibri" w:eastAsiaTheme="minorEastAsia" w:hAnsi="Calibri"/>
      <w:color w:val="365F91"/>
      <w:spacing w:val="15"/>
      <w:sz w:val="40"/>
    </w:rPr>
  </w:style>
  <w:style w:type="paragraph" w:customStyle="1" w:styleId="IntroductionHeader">
    <w:name w:val="Introduction Header"/>
    <w:basedOn w:val="Heading2"/>
    <w:link w:val="IntroductionHeaderChar"/>
    <w:qFormat/>
    <w:rsid w:val="00D96B7F"/>
    <w:pPr>
      <w:spacing w:before="120" w:after="120"/>
      <w:jc w:val="left"/>
    </w:pPr>
    <w:rPr>
      <w:color w:val="000000" w:themeColor="text1"/>
      <w:sz w:val="28"/>
    </w:rPr>
  </w:style>
  <w:style w:type="paragraph" w:customStyle="1" w:styleId="TableofContentsHeading">
    <w:name w:val="Table of Contents Heading"/>
    <w:basedOn w:val="Heading2"/>
    <w:link w:val="TableofContentsHeadingChar"/>
    <w:qFormat/>
    <w:rsid w:val="00FE47D6"/>
    <w:pPr>
      <w:pBdr>
        <w:bottom w:val="single" w:sz="8" w:space="1" w:color="1F497D" w:themeColor="text2"/>
      </w:pBdr>
      <w:spacing w:before="0" w:after="240" w:line="259" w:lineRule="auto"/>
      <w:jc w:val="left"/>
    </w:pPr>
    <w:rPr>
      <w:rFonts w:asciiTheme="minorHAnsi" w:hAnsiTheme="minorHAnsi"/>
      <w:caps/>
      <w:sz w:val="40"/>
    </w:rPr>
  </w:style>
  <w:style w:type="character" w:customStyle="1" w:styleId="IntroductionHeaderChar">
    <w:name w:val="Introduction Header Char"/>
    <w:basedOn w:val="Heading2Char"/>
    <w:link w:val="IntroductionHeader"/>
    <w:rsid w:val="00D96B7F"/>
    <w:rPr>
      <w:rFonts w:ascii="Calibri" w:hAnsi="Calibri"/>
      <w:b/>
      <w:color w:val="000000" w:themeColor="text1"/>
      <w:sz w:val="28"/>
    </w:rPr>
  </w:style>
  <w:style w:type="character" w:customStyle="1" w:styleId="TableofContentsHeadingChar">
    <w:name w:val="Table of Contents Heading Char"/>
    <w:basedOn w:val="Heading3Char"/>
    <w:link w:val="TableofContentsHeading"/>
    <w:rsid w:val="00FE47D6"/>
    <w:rPr>
      <w:rFonts w:ascii="Calibri" w:eastAsiaTheme="majorEastAsia" w:hAnsi="Calibri" w:cstheme="majorBidi"/>
      <w:b/>
      <w:bCs w:val="0"/>
      <w:caps w:val="0"/>
      <w:color w:val="365F91"/>
      <w:sz w:val="40"/>
    </w:rPr>
  </w:style>
  <w:style w:type="table" w:customStyle="1" w:styleId="PlainTable1">
    <w:name w:val="Plain Table 1"/>
    <w:basedOn w:val="TableNormal"/>
    <w:uiPriority w:val="41"/>
    <w:rsid w:val="00615C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F85122"/>
    <w:pPr>
      <w:spacing w:before="0"/>
      <w:jc w:val="both"/>
    </w:pPr>
    <w:rPr>
      <w:rFonts w:ascii="Lucida Grande" w:eastAsiaTheme="minorEastAsia" w:hAnsi="Lucida Grande" w:cs="Lucida Grande"/>
      <w:sz w:val="24"/>
      <w:lang w:val="en-US"/>
    </w:rPr>
  </w:style>
  <w:style w:type="character" w:customStyle="1" w:styleId="DocumentMapChar">
    <w:name w:val="Document Map Char"/>
    <w:basedOn w:val="DefaultParagraphFont"/>
    <w:link w:val="DocumentMap"/>
    <w:uiPriority w:val="99"/>
    <w:semiHidden/>
    <w:rsid w:val="00F85122"/>
    <w:rPr>
      <w:rFonts w:ascii="Lucida Grande" w:eastAsiaTheme="minorEastAsia" w:hAnsi="Lucida Grande" w:cs="Lucida Grande"/>
      <w:sz w:val="24"/>
      <w:lang w:val="en-US"/>
    </w:rPr>
  </w:style>
  <w:style w:type="character" w:styleId="Strong">
    <w:name w:val="Strong"/>
    <w:uiPriority w:val="22"/>
    <w:rsid w:val="00F85122"/>
    <w:rPr>
      <w:b/>
      <w:color w:val="365F91" w:themeColor="accent1" w:themeShade="BF"/>
      <w:sz w:val="80"/>
      <w:szCs w:val="80"/>
    </w:rPr>
  </w:style>
  <w:style w:type="paragraph" w:customStyle="1" w:styleId="TableText">
    <w:name w:val="Table Text"/>
    <w:basedOn w:val="Normal"/>
    <w:qFormat/>
    <w:rsid w:val="00F85122"/>
    <w:pPr>
      <w:spacing w:before="0"/>
      <w:jc w:val="both"/>
    </w:pPr>
    <w:rPr>
      <w:rFonts w:ascii="Calibri" w:eastAsiaTheme="minorEastAsia" w:hAnsi="Calibri"/>
      <w:sz w:val="20"/>
      <w:szCs w:val="20"/>
      <w:lang w:val="en-US"/>
    </w:rPr>
  </w:style>
  <w:style w:type="table" w:customStyle="1" w:styleId="TableGrid2">
    <w:name w:val="Table Grid2"/>
    <w:basedOn w:val="TableNormal"/>
    <w:next w:val="TableGrid"/>
    <w:uiPriority w:val="59"/>
    <w:rsid w:val="00F85122"/>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5122"/>
  </w:style>
  <w:style w:type="paragraph" w:customStyle="1" w:styleId="Sectionheading1">
    <w:name w:val="Section heading1"/>
    <w:basedOn w:val="Normal"/>
    <w:next w:val="Normal"/>
    <w:uiPriority w:val="10"/>
    <w:qFormat/>
    <w:rsid w:val="00F85122"/>
    <w:pPr>
      <w:pBdr>
        <w:bottom w:val="single" w:sz="8" w:space="4" w:color="4F81BD"/>
      </w:pBdr>
      <w:spacing w:before="0" w:after="300"/>
      <w:contextualSpacing/>
    </w:pPr>
    <w:rPr>
      <w:rFonts w:ascii="Cambria" w:eastAsia="Times New Roman" w:hAnsi="Cambria" w:cs="Times New Roman"/>
      <w:color w:val="17365D"/>
      <w:spacing w:val="5"/>
      <w:kern w:val="28"/>
      <w:sz w:val="52"/>
      <w:szCs w:val="52"/>
    </w:rPr>
  </w:style>
  <w:style w:type="table" w:customStyle="1" w:styleId="TableGrid3">
    <w:name w:val="Table Grid3"/>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link w:val="TOCHeading1Char"/>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51">
    <w:name w:val="Light List - Accent 51"/>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
    <w:name w:val="Light Grid - Accent 31"/>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
    <w:name w:val="Light Shading - Accent 13"/>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ubtleEmphasis1">
    <w:name w:val="Subtle Emphasis1"/>
    <w:basedOn w:val="DefaultParagraphFont"/>
    <w:uiPriority w:val="19"/>
    <w:qFormat/>
    <w:rsid w:val="00F85122"/>
    <w:rPr>
      <w:i/>
      <w:iCs/>
      <w:color w:val="7F7F7F"/>
    </w:rPr>
  </w:style>
  <w:style w:type="paragraph" w:customStyle="1" w:styleId="Revision1">
    <w:name w:val="Revision1"/>
    <w:next w:val="Revision"/>
    <w:hidden/>
    <w:uiPriority w:val="99"/>
    <w:semiHidden/>
    <w:rsid w:val="00F85122"/>
    <w:pPr>
      <w:spacing w:after="0" w:line="240" w:lineRule="auto"/>
    </w:pPr>
    <w:rPr>
      <w:rFonts w:eastAsiaTheme="minorEastAsia"/>
      <w:sz w:val="24"/>
      <w:szCs w:val="24"/>
      <w:lang w:val="en-US"/>
    </w:rPr>
  </w:style>
  <w:style w:type="paragraph" w:customStyle="1" w:styleId="CommentSubject1">
    <w:name w:val="Comment Subject1"/>
    <w:basedOn w:val="CommentText"/>
    <w:next w:val="CommentText"/>
    <w:uiPriority w:val="99"/>
    <w:semiHidden/>
    <w:unhideWhenUsed/>
    <w:rsid w:val="00F85122"/>
    <w:pPr>
      <w:spacing w:before="0"/>
    </w:pPr>
    <w:rPr>
      <w:rFonts w:ascii="Calibri" w:eastAsia="Times New Roman" w:hAnsi="Calibri"/>
      <w:b/>
      <w:bCs/>
      <w:lang w:val="en-US"/>
    </w:rPr>
  </w:style>
  <w:style w:type="table" w:customStyle="1" w:styleId="TableGrid11">
    <w:name w:val="Table Grid11"/>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xl65">
    <w:name w:val="xl65"/>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b/>
      <w:bCs/>
      <w:lang w:eastAsia="en-AU"/>
    </w:rPr>
  </w:style>
  <w:style w:type="paragraph" w:customStyle="1" w:styleId="xl66">
    <w:name w:val="xl66"/>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ascii="Calibri" w:eastAsia="Times New Roman" w:hAnsi="Calibri" w:cs="Times New Roman"/>
      <w:b/>
      <w:bCs/>
      <w:sz w:val="24"/>
      <w:szCs w:val="24"/>
      <w:lang w:eastAsia="en-AU"/>
    </w:rPr>
  </w:style>
  <w:style w:type="paragraph" w:customStyle="1" w:styleId="xl67">
    <w:name w:val="xl67"/>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ascii="Calibri" w:eastAsia="Times New Roman" w:hAnsi="Calibri" w:cs="Times New Roman"/>
      <w:sz w:val="24"/>
      <w:szCs w:val="24"/>
      <w:lang w:eastAsia="en-AU"/>
    </w:rPr>
  </w:style>
  <w:style w:type="paragraph" w:customStyle="1" w:styleId="xl68">
    <w:name w:val="xl68"/>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ascii="Calibri" w:eastAsia="Times New Roman" w:hAnsi="Calibri" w:cs="Times New Roman"/>
      <w:color w:val="984806"/>
      <w:sz w:val="24"/>
      <w:szCs w:val="24"/>
      <w:lang w:eastAsia="en-AU"/>
    </w:rPr>
  </w:style>
  <w:style w:type="paragraph" w:customStyle="1" w:styleId="xl69">
    <w:name w:val="xl69"/>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70">
    <w:name w:val="xl70"/>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color w:val="000000"/>
      <w:sz w:val="24"/>
      <w:szCs w:val="24"/>
      <w:lang w:eastAsia="en-AU"/>
    </w:rPr>
  </w:style>
  <w:style w:type="paragraph" w:customStyle="1" w:styleId="xl71">
    <w:name w:val="xl71"/>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eastAsia="en-AU"/>
    </w:rPr>
  </w:style>
  <w:style w:type="paragraph" w:customStyle="1" w:styleId="xl72">
    <w:name w:val="xl72"/>
    <w:basedOn w:val="Normal"/>
    <w:rsid w:val="00F851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eastAsia="en-AU"/>
    </w:rPr>
  </w:style>
  <w:style w:type="paragraph" w:customStyle="1" w:styleId="xl73">
    <w:name w:val="xl73"/>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eastAsia="en-AU"/>
    </w:rPr>
  </w:style>
  <w:style w:type="paragraph" w:customStyle="1" w:styleId="xl74">
    <w:name w:val="xl74"/>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b/>
      <w:bCs/>
      <w:color w:val="000000"/>
      <w:sz w:val="24"/>
      <w:szCs w:val="24"/>
      <w:lang w:eastAsia="en-AU"/>
    </w:rPr>
  </w:style>
  <w:style w:type="paragraph" w:customStyle="1" w:styleId="xl75">
    <w:name w:val="xl75"/>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Arial" w:eastAsia="Times New Roman" w:hAnsi="Arial" w:cs="Arial"/>
      <w:b/>
      <w:bCs/>
      <w:sz w:val="24"/>
      <w:szCs w:val="24"/>
      <w:lang w:eastAsia="en-AU"/>
    </w:rPr>
  </w:style>
  <w:style w:type="paragraph" w:customStyle="1" w:styleId="xl76">
    <w:name w:val="xl76"/>
    <w:basedOn w:val="Normal"/>
    <w:rsid w:val="00F8512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libri" w:eastAsia="Times New Roman" w:hAnsi="Calibri" w:cs="Times New Roman"/>
      <w:b/>
      <w:bCs/>
      <w:color w:val="76923C"/>
      <w:sz w:val="24"/>
      <w:szCs w:val="24"/>
      <w:lang w:eastAsia="en-AU"/>
    </w:rPr>
  </w:style>
  <w:style w:type="paragraph" w:customStyle="1" w:styleId="xl77">
    <w:name w:val="xl77"/>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eastAsia="en-AU"/>
    </w:rPr>
  </w:style>
  <w:style w:type="paragraph" w:customStyle="1" w:styleId="xl78">
    <w:name w:val="xl78"/>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rFonts w:ascii="Arial" w:eastAsia="Times New Roman" w:hAnsi="Arial" w:cs="Arial"/>
      <w:b/>
      <w:bCs/>
      <w:sz w:val="24"/>
      <w:szCs w:val="24"/>
      <w:lang w:eastAsia="en-AU"/>
    </w:rPr>
  </w:style>
  <w:style w:type="paragraph" w:customStyle="1" w:styleId="xl79">
    <w:name w:val="xl79"/>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eastAsia="en-AU"/>
    </w:rPr>
  </w:style>
  <w:style w:type="paragraph" w:customStyle="1" w:styleId="xl80">
    <w:name w:val="xl80"/>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color w:val="984806"/>
      <w:sz w:val="24"/>
      <w:szCs w:val="24"/>
      <w:lang w:eastAsia="en-AU"/>
    </w:rPr>
  </w:style>
  <w:style w:type="paragraph" w:customStyle="1" w:styleId="xl81">
    <w:name w:val="xl81"/>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color w:val="76923C"/>
      <w:lang w:eastAsia="en-AU"/>
    </w:rPr>
  </w:style>
  <w:style w:type="table" w:customStyle="1" w:styleId="MediumShading1-Accent41">
    <w:name w:val="Medium Shading 1 - Accent 41"/>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AIHWbodytext">
    <w:name w:val="AIHW body text"/>
    <w:link w:val="AIHWbodytextChar"/>
    <w:rsid w:val="00F85122"/>
    <w:pPr>
      <w:spacing w:before="60" w:after="40" w:line="260" w:lineRule="atLeast"/>
    </w:pPr>
    <w:rPr>
      <w:rFonts w:ascii="Book Antiqua" w:eastAsia="Times New Roman" w:hAnsi="Book Antiqua" w:cs="Times New Roman"/>
      <w:color w:val="000000"/>
      <w:szCs w:val="20"/>
    </w:rPr>
  </w:style>
  <w:style w:type="character" w:customStyle="1" w:styleId="AIHWbodytextChar">
    <w:name w:val="AIHW body text Char"/>
    <w:link w:val="AIHWbodytext"/>
    <w:rsid w:val="00F85122"/>
    <w:rPr>
      <w:rFonts w:ascii="Book Antiqua" w:eastAsia="Times New Roman" w:hAnsi="Book Antiqua" w:cs="Times New Roman"/>
      <w:color w:val="000000"/>
      <w:szCs w:val="20"/>
    </w:rPr>
  </w:style>
  <w:style w:type="table" w:styleId="TableColorful1">
    <w:name w:val="Table Colorful 1"/>
    <w:basedOn w:val="TableNormal"/>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Footnotes">
    <w:name w:val="Footnotes"/>
    <w:basedOn w:val="FootnoteText"/>
    <w:link w:val="FootnotesChar"/>
    <w:qFormat/>
    <w:rsid w:val="00F85122"/>
    <w:pPr>
      <w:tabs>
        <w:tab w:val="left" w:pos="284"/>
      </w:tabs>
      <w:spacing w:before="0"/>
      <w:ind w:left="284" w:hanging="284"/>
    </w:pPr>
  </w:style>
  <w:style w:type="character" w:customStyle="1" w:styleId="FootnotesChar">
    <w:name w:val="Footnotes Char"/>
    <w:basedOn w:val="FootnoteTextChar"/>
    <w:link w:val="Footnotes"/>
    <w:rsid w:val="00F85122"/>
    <w:rPr>
      <w:rFonts w:ascii="Arial" w:hAnsi="Arial"/>
      <w:sz w:val="20"/>
      <w:szCs w:val="20"/>
    </w:rPr>
  </w:style>
  <w:style w:type="paragraph" w:customStyle="1" w:styleId="Subsechead">
    <w:name w:val="Subsec head"/>
    <w:basedOn w:val="Titlestyle"/>
    <w:link w:val="SubsecheadChar"/>
    <w:rsid w:val="00F85122"/>
    <w:pPr>
      <w:spacing w:before="0" w:after="300"/>
    </w:pPr>
    <w:rPr>
      <w:rFonts w:ascii="Cambria" w:eastAsia="Times New Roman" w:hAnsi="Cambria" w:cs="Times New Roman"/>
      <w:b w:val="0"/>
      <w:color w:val="17365D"/>
      <w:sz w:val="36"/>
    </w:rPr>
  </w:style>
  <w:style w:type="character" w:customStyle="1" w:styleId="SubsecheadChar">
    <w:name w:val="Subsec head Char"/>
    <w:basedOn w:val="TitlestyleChar"/>
    <w:link w:val="Subsechead"/>
    <w:rsid w:val="00F85122"/>
    <w:rPr>
      <w:rFonts w:ascii="Cambria" w:eastAsia="Times New Roman" w:hAnsi="Cambria" w:cs="Times New Roman"/>
      <w:b w:val="0"/>
      <w:color w:val="17365D"/>
      <w:spacing w:val="5"/>
      <w:kern w:val="28"/>
      <w:sz w:val="36"/>
      <w:szCs w:val="36"/>
    </w:rPr>
  </w:style>
  <w:style w:type="character" w:customStyle="1" w:styleId="TitleChar1">
    <w:name w:val="Title Char1"/>
    <w:basedOn w:val="DefaultParagraphFont"/>
    <w:uiPriority w:val="10"/>
    <w:rsid w:val="00F85122"/>
    <w:rPr>
      <w:rFonts w:asciiTheme="majorHAnsi" w:eastAsiaTheme="majorEastAsia" w:hAnsiTheme="majorHAnsi" w:cstheme="majorBidi"/>
      <w:color w:val="17365D" w:themeColor="text2" w:themeShade="BF"/>
      <w:spacing w:val="5"/>
      <w:kern w:val="28"/>
      <w:sz w:val="52"/>
      <w:szCs w:val="52"/>
    </w:rPr>
  </w:style>
  <w:style w:type="character" w:customStyle="1" w:styleId="CommentSubjectChar1">
    <w:name w:val="Comment Subject Char1"/>
    <w:basedOn w:val="CommentTextChar"/>
    <w:uiPriority w:val="99"/>
    <w:semiHidden/>
    <w:rsid w:val="00F85122"/>
    <w:rPr>
      <w:rFonts w:ascii="Calibri" w:eastAsia="Calibri" w:hAnsi="Calibri"/>
      <w:b/>
      <w:bCs/>
      <w:sz w:val="20"/>
      <w:szCs w:val="20"/>
      <w:lang w:val="en-AU"/>
    </w:rPr>
  </w:style>
  <w:style w:type="table" w:styleId="MediumShading1-Accent3">
    <w:name w:val="Medium Shading 1 Accent 3"/>
    <w:basedOn w:val="TableNormal"/>
    <w:uiPriority w:val="63"/>
    <w:rsid w:val="00F85122"/>
    <w:pPr>
      <w:spacing w:after="0" w:line="240" w:lineRule="auto"/>
    </w:pPr>
    <w:rPr>
      <w:rFonts w:eastAsiaTheme="minorEastAsia"/>
      <w:sz w:val="24"/>
      <w:szCs w:val="24"/>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85122"/>
    <w:pPr>
      <w:spacing w:after="0" w:line="240" w:lineRule="auto"/>
    </w:pPr>
    <w:rPr>
      <w:rFonts w:eastAsiaTheme="minorEastAsia"/>
      <w:sz w:val="24"/>
      <w:szCs w:val="24"/>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85122"/>
    <w:pPr>
      <w:spacing w:after="0" w:line="240" w:lineRule="auto"/>
    </w:pPr>
    <w:rPr>
      <w:rFonts w:eastAsiaTheme="minorEastAsia"/>
      <w:sz w:val="24"/>
      <w:szCs w:val="24"/>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F85122"/>
  </w:style>
  <w:style w:type="table" w:customStyle="1" w:styleId="TableGrid4">
    <w:name w:val="Table Grid4"/>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111">
    <w:name w:val="Light List - Accent 111"/>
    <w:basedOn w:val="TableNormal"/>
    <w:uiPriority w:val="61"/>
    <w:rsid w:val="00F85122"/>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F85122"/>
  </w:style>
  <w:style w:type="table" w:customStyle="1" w:styleId="TableGrid5">
    <w:name w:val="Table Grid5"/>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112">
    <w:name w:val="Light List - Accent 112"/>
    <w:basedOn w:val="TableNormal"/>
    <w:uiPriority w:val="61"/>
    <w:rsid w:val="00F85122"/>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F85122"/>
  </w:style>
  <w:style w:type="table" w:customStyle="1" w:styleId="TableGrid6">
    <w:name w:val="Table Grid6"/>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113">
    <w:name w:val="Light List - Accent 113"/>
    <w:basedOn w:val="TableNormal"/>
    <w:uiPriority w:val="61"/>
    <w:rsid w:val="00F85122"/>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F85122"/>
  </w:style>
  <w:style w:type="table" w:customStyle="1" w:styleId="TableGrid7">
    <w:name w:val="Table Grid7"/>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114">
    <w:name w:val="Light List - Accent 114"/>
    <w:basedOn w:val="TableNormal"/>
    <w:uiPriority w:val="61"/>
    <w:rsid w:val="00F85122"/>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F85122"/>
    <w:pPr>
      <w:spacing w:before="240"/>
      <w:jc w:val="both"/>
    </w:pPr>
    <w:rPr>
      <w:rFonts w:ascii="Times New Roman" w:eastAsiaTheme="minorEastAsia" w:hAnsi="Times New Roman" w:cs="Times New Roman"/>
      <w:sz w:val="24"/>
      <w:szCs w:val="24"/>
      <w:lang w:val="en-US"/>
    </w:rPr>
  </w:style>
  <w:style w:type="paragraph" w:customStyle="1" w:styleId="Subheading">
    <w:name w:val="Subheading"/>
    <w:basedOn w:val="Title"/>
    <w:link w:val="SubheadingChar"/>
    <w:qFormat/>
    <w:rsid w:val="00F85122"/>
    <w:pPr>
      <w:pBdr>
        <w:bottom w:val="none" w:sz="0" w:space="0" w:color="auto"/>
      </w:pBdr>
      <w:spacing w:before="0" w:after="0"/>
    </w:pPr>
    <w:rPr>
      <w:b/>
      <w:color w:val="17365D"/>
      <w:spacing w:val="-10"/>
      <w:sz w:val="56"/>
      <w:szCs w:val="56"/>
      <w:lang w:val="en-US"/>
    </w:rPr>
  </w:style>
  <w:style w:type="character" w:customStyle="1" w:styleId="SubheadingChar">
    <w:name w:val="Subheading Char"/>
    <w:basedOn w:val="TitleChar"/>
    <w:link w:val="Subheading"/>
    <w:rsid w:val="00F85122"/>
    <w:rPr>
      <w:rFonts w:asciiTheme="majorHAnsi" w:eastAsiaTheme="majorEastAsia" w:hAnsiTheme="majorHAnsi" w:cstheme="majorBidi"/>
      <w:b/>
      <w:color w:val="17365D"/>
      <w:spacing w:val="-10"/>
      <w:kern w:val="28"/>
      <w:sz w:val="56"/>
      <w:szCs w:val="56"/>
      <w:lang w:val="en-US"/>
    </w:rPr>
  </w:style>
  <w:style w:type="paragraph" w:customStyle="1" w:styleId="FigureHeading2">
    <w:name w:val="Figure Heading 2"/>
    <w:basedOn w:val="Figureheading"/>
    <w:link w:val="FigureHeading2Char"/>
    <w:qFormat/>
    <w:rsid w:val="00F85122"/>
    <w:pPr>
      <w:keepNext w:val="0"/>
      <w:keepLines w:val="0"/>
      <w:numPr>
        <w:ilvl w:val="1"/>
        <w:numId w:val="26"/>
      </w:numPr>
      <w:pBdr>
        <w:bottom w:val="single" w:sz="4" w:space="1" w:color="1F497D" w:themeColor="text2"/>
      </w:pBdr>
      <w:spacing w:line="259" w:lineRule="auto"/>
    </w:pPr>
    <w:rPr>
      <w:rFonts w:eastAsiaTheme="minorEastAsia"/>
      <w:noProof/>
      <w:lang w:eastAsia="zh-CN"/>
    </w:rPr>
  </w:style>
  <w:style w:type="character" w:customStyle="1" w:styleId="FigureHeading2Char">
    <w:name w:val="Figure Heading 2 Char"/>
    <w:basedOn w:val="FigureheadingChar"/>
    <w:link w:val="FigureHeading2"/>
    <w:rsid w:val="00F85122"/>
    <w:rPr>
      <w:rFonts w:ascii="Calibri" w:eastAsiaTheme="minorEastAsia" w:hAnsi="Calibri" w:cstheme="majorBidi"/>
      <w:b/>
      <w:noProof/>
      <w:color w:val="365F91"/>
      <w:sz w:val="28"/>
      <w:lang w:eastAsia="zh-CN"/>
    </w:rPr>
  </w:style>
  <w:style w:type="paragraph" w:customStyle="1" w:styleId="TOCTitle">
    <w:name w:val="TOC Title"/>
    <w:basedOn w:val="Heading3"/>
    <w:link w:val="TOCTitleChar"/>
    <w:qFormat/>
    <w:rsid w:val="00F85122"/>
    <w:pPr>
      <w:numPr>
        <w:ilvl w:val="2"/>
      </w:numPr>
      <w:pBdr>
        <w:bottom w:val="single" w:sz="4" w:space="1" w:color="1F497D" w:themeColor="text2"/>
      </w:pBdr>
      <w:spacing w:before="0" w:line="259" w:lineRule="auto"/>
    </w:pPr>
    <w:rPr>
      <w:rFonts w:eastAsia="SimSun" w:cs="Times New Roman"/>
      <w:bCs w:val="0"/>
      <w:szCs w:val="28"/>
      <w:lang w:eastAsia="zh-CN"/>
    </w:rPr>
  </w:style>
  <w:style w:type="paragraph" w:customStyle="1" w:styleId="IntroductionHeading">
    <w:name w:val="Introduction Heading"/>
    <w:basedOn w:val="Heading2"/>
    <w:link w:val="IntroductionHeadingChar"/>
    <w:qFormat/>
    <w:rsid w:val="00F85122"/>
    <w:pPr>
      <w:keepNext/>
      <w:keepLines/>
      <w:spacing w:after="120" w:line="240" w:lineRule="auto"/>
      <w:jc w:val="left"/>
    </w:pPr>
    <w:rPr>
      <w:rFonts w:eastAsia="SimSun" w:cs="Times New Roman"/>
      <w:color w:val="auto"/>
      <w:sz w:val="28"/>
      <w:szCs w:val="26"/>
      <w:lang w:eastAsia="zh-CN"/>
    </w:rPr>
  </w:style>
  <w:style w:type="character" w:customStyle="1" w:styleId="TOCTitleChar">
    <w:name w:val="TOC Title Char"/>
    <w:basedOn w:val="Heading3Char"/>
    <w:link w:val="TOCTitle"/>
    <w:rsid w:val="00F85122"/>
    <w:rPr>
      <w:rFonts w:ascii="Calibri" w:eastAsia="SimSun" w:hAnsi="Calibri" w:cs="Times New Roman"/>
      <w:b/>
      <w:bCs w:val="0"/>
      <w:caps/>
      <w:color w:val="365F91"/>
      <w:sz w:val="36"/>
      <w:szCs w:val="28"/>
      <w:lang w:eastAsia="zh-CN"/>
    </w:rPr>
  </w:style>
  <w:style w:type="paragraph" w:customStyle="1" w:styleId="TableOfContentsHeading0">
    <w:name w:val="Table Of Contents Heading"/>
    <w:basedOn w:val="Heading2"/>
    <w:link w:val="TableOfContentsHeadingChar0"/>
    <w:qFormat/>
    <w:rsid w:val="00F85122"/>
    <w:pPr>
      <w:keepNext/>
      <w:keepLines/>
      <w:pBdr>
        <w:bottom w:val="single" w:sz="4" w:space="1" w:color="1F497D" w:themeColor="text2"/>
      </w:pBdr>
      <w:spacing w:before="0" w:after="120" w:line="259" w:lineRule="auto"/>
      <w:jc w:val="left"/>
    </w:pPr>
    <w:rPr>
      <w:rFonts w:eastAsia="SimSun" w:cs="Times New Roman"/>
      <w:caps/>
      <w:spacing w:val="5"/>
      <w:kern w:val="28"/>
      <w:sz w:val="32"/>
      <w:szCs w:val="26"/>
      <w:lang w:eastAsia="zh-CN"/>
    </w:rPr>
  </w:style>
  <w:style w:type="character" w:customStyle="1" w:styleId="IntroductionHeadingChar">
    <w:name w:val="Introduction Heading Char"/>
    <w:basedOn w:val="DefaultParagraphFont"/>
    <w:link w:val="IntroductionHeading"/>
    <w:rsid w:val="00F85122"/>
    <w:rPr>
      <w:rFonts w:ascii="Calibri" w:eastAsia="SimSun" w:hAnsi="Calibri" w:cs="Times New Roman"/>
      <w:b/>
      <w:sz w:val="28"/>
      <w:szCs w:val="26"/>
      <w:lang w:eastAsia="zh-CN"/>
    </w:rPr>
  </w:style>
  <w:style w:type="character" w:customStyle="1" w:styleId="TOCHeading1Char">
    <w:name w:val="TOC Heading1 Char"/>
    <w:basedOn w:val="Heading1Char"/>
    <w:link w:val="TOCHeading1"/>
    <w:uiPriority w:val="39"/>
    <w:rsid w:val="00F85122"/>
    <w:rPr>
      <w:rFonts w:ascii="Calibri" w:eastAsia="SimSun" w:hAnsi="Calibri" w:cs="Times New Roman"/>
      <w:b/>
      <w:bCs w:val="0"/>
      <w:caps/>
      <w:color w:val="244061"/>
      <w:spacing w:val="5"/>
      <w:kern w:val="28"/>
      <w:sz w:val="32"/>
      <w:szCs w:val="28"/>
      <w:lang w:eastAsia="ja-JP"/>
    </w:rPr>
  </w:style>
  <w:style w:type="character" w:customStyle="1" w:styleId="TableOfContentsHeadingChar0">
    <w:name w:val="Table Of Contents Heading Char"/>
    <w:basedOn w:val="TOCHeading1Char"/>
    <w:link w:val="TableOfContentsHeading0"/>
    <w:rsid w:val="00F85122"/>
    <w:rPr>
      <w:rFonts w:ascii="Calibri" w:eastAsia="SimSun" w:hAnsi="Calibri" w:cs="Times New Roman"/>
      <w:b/>
      <w:bCs w:val="0"/>
      <w:caps/>
      <w:color w:val="365F91"/>
      <w:spacing w:val="5"/>
      <w:kern w:val="28"/>
      <w:sz w:val="32"/>
      <w:szCs w:val="26"/>
      <w:lang w:eastAsia="zh-CN"/>
    </w:rPr>
  </w:style>
  <w:style w:type="table" w:customStyle="1" w:styleId="GridTable2Accent1">
    <w:name w:val="Grid Table 2 Accent 1"/>
    <w:basedOn w:val="TableNormal"/>
    <w:uiPriority w:val="47"/>
    <w:rsid w:val="00F85122"/>
    <w:pPr>
      <w:spacing w:after="0" w:line="240" w:lineRule="auto"/>
    </w:pPr>
    <w:rPr>
      <w:rFonts w:eastAsiaTheme="minorEastAsia"/>
      <w:sz w:val="24"/>
      <w:szCs w:val="24"/>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6">
    <w:name w:val="No List6"/>
    <w:next w:val="NoList"/>
    <w:uiPriority w:val="99"/>
    <w:semiHidden/>
    <w:unhideWhenUsed/>
    <w:rsid w:val="00381887"/>
  </w:style>
  <w:style w:type="table" w:customStyle="1" w:styleId="TableGrid8">
    <w:name w:val="Table Grid8"/>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381887"/>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81887"/>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81887"/>
  </w:style>
  <w:style w:type="table" w:customStyle="1" w:styleId="TableGrid31">
    <w:name w:val="Table Grid3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381887"/>
    <w:pPr>
      <w:spacing w:after="0" w:line="240" w:lineRule="auto"/>
    </w:pPr>
    <w:rPr>
      <w:rFonts w:eastAsia="MS Mincho"/>
      <w:color w:val="31849B"/>
      <w:sz w:val="24"/>
      <w:szCs w:val="24"/>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381887"/>
    <w:pPr>
      <w:spacing w:after="0" w:line="240" w:lineRule="auto"/>
    </w:pPr>
    <w:rPr>
      <w:rFonts w:eastAsia="MS Mincho"/>
      <w:color w:val="5F497A"/>
      <w:sz w:val="24"/>
      <w:szCs w:val="24"/>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381887"/>
    <w:pPr>
      <w:spacing w:after="0" w:line="240" w:lineRule="auto"/>
    </w:pPr>
    <w:rPr>
      <w:rFonts w:eastAsia="MS Mincho"/>
      <w:color w:val="943634"/>
      <w:sz w:val="24"/>
      <w:szCs w:val="2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381887"/>
    <w:pPr>
      <w:spacing w:after="0" w:line="240" w:lineRule="auto"/>
    </w:pPr>
    <w:rPr>
      <w:rFonts w:eastAsia="MS Mincho"/>
      <w:color w:val="76923C"/>
      <w:sz w:val="24"/>
      <w:szCs w:val="24"/>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381887"/>
    <w:pPr>
      <w:spacing w:after="0" w:line="240" w:lineRule="auto"/>
    </w:pPr>
    <w:rPr>
      <w:rFonts w:eastAsia="MS Mincho"/>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381887"/>
    <w:pPr>
      <w:spacing w:after="0" w:line="240" w:lineRule="auto"/>
    </w:pPr>
    <w:rPr>
      <w:rFonts w:eastAsia="MS Mincho"/>
      <w:sz w:val="24"/>
      <w:szCs w:val="24"/>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381887"/>
    <w:pPr>
      <w:spacing w:after="0" w:line="240" w:lineRule="auto"/>
    </w:pPr>
    <w:rPr>
      <w:rFonts w:eastAsia="MS Mincho"/>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381887"/>
    <w:pPr>
      <w:spacing w:after="0" w:line="240" w:lineRule="auto"/>
    </w:pPr>
    <w:rPr>
      <w:rFonts w:eastAsia="MS Mincho"/>
      <w:color w:val="E36C0A"/>
      <w:sz w:val="24"/>
      <w:szCs w:val="24"/>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381887"/>
    <w:pPr>
      <w:spacing w:after="0" w:line="240" w:lineRule="auto"/>
    </w:pPr>
    <w:rPr>
      <w:rFonts w:eastAsia="MS Mincho"/>
      <w:sz w:val="24"/>
      <w:szCs w:val="24"/>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381887"/>
    <w:pPr>
      <w:spacing w:after="0" w:line="240" w:lineRule="auto"/>
    </w:pPr>
    <w:rPr>
      <w:rFonts w:ascii="Calibri" w:eastAsia="MS Gothic" w:hAnsi="Calibri" w:cs="Times New Roman"/>
      <w:color w:val="000000"/>
      <w:sz w:val="24"/>
      <w:szCs w:val="24"/>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381887"/>
    <w:pPr>
      <w:spacing w:after="0" w:line="240" w:lineRule="auto"/>
    </w:pPr>
    <w:rPr>
      <w:rFonts w:eastAsia="MS Mincho"/>
      <w:sz w:val="24"/>
      <w:szCs w:val="24"/>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381887"/>
    <w:pPr>
      <w:spacing w:after="0" w:line="240" w:lineRule="auto"/>
    </w:pPr>
    <w:rPr>
      <w:rFonts w:eastAsia="MS Mincho"/>
      <w:sz w:val="24"/>
      <w:szCs w:val="24"/>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381887"/>
    <w:pPr>
      <w:spacing w:after="0" w:line="240" w:lineRule="auto"/>
    </w:pPr>
    <w:rPr>
      <w:rFonts w:eastAsia="MS Mincho"/>
      <w:sz w:val="24"/>
      <w:szCs w:val="24"/>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381887"/>
    <w:pPr>
      <w:spacing w:after="0" w:line="240" w:lineRule="auto"/>
    </w:pPr>
    <w:rPr>
      <w:rFonts w:eastAsia="MS Mincho"/>
      <w:sz w:val="24"/>
      <w:szCs w:val="24"/>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381887"/>
  </w:style>
  <w:style w:type="table" w:customStyle="1" w:styleId="TableGrid41">
    <w:name w:val="Table Grid4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381887"/>
  </w:style>
  <w:style w:type="table" w:customStyle="1" w:styleId="TableGrid51">
    <w:name w:val="Table Grid5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381887"/>
  </w:style>
  <w:style w:type="table" w:customStyle="1" w:styleId="TableGrid61">
    <w:name w:val="Table Grid6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381887"/>
  </w:style>
  <w:style w:type="table" w:customStyle="1" w:styleId="TableGrid71">
    <w:name w:val="Table Grid7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381887"/>
    <w:pPr>
      <w:spacing w:after="0" w:line="240" w:lineRule="auto"/>
    </w:pPr>
    <w:rPr>
      <w:rFonts w:eastAsia="MS Mincho"/>
      <w:sz w:val="24"/>
      <w:szCs w:val="24"/>
      <w:lang w:val="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GuideHeading">
    <w:name w:val="Table Guide Heading"/>
    <w:basedOn w:val="Heading8"/>
    <w:link w:val="TableGuideHeadingChar"/>
    <w:qFormat/>
    <w:rsid w:val="00BB1AF0"/>
    <w:pPr>
      <w:spacing w:before="240" w:after="240" w:line="240" w:lineRule="auto"/>
      <w:jc w:val="center"/>
    </w:pPr>
    <w:rPr>
      <w:bCs/>
    </w:rPr>
  </w:style>
  <w:style w:type="character" w:customStyle="1" w:styleId="TableGuideHeadingChar">
    <w:name w:val="Table Guide Heading Char"/>
    <w:basedOn w:val="Heading8Char"/>
    <w:link w:val="TableGuideHeading"/>
    <w:rsid w:val="00BB1AF0"/>
    <w:rPr>
      <w:rFonts w:ascii="Calibri" w:eastAsiaTheme="majorEastAsia" w:hAnsi="Calibri" w:cstheme="majorBidi"/>
      <w:b/>
      <w:bCs/>
      <w:color w:val="000000" w:themeColor="text1"/>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4F29"/>
    <w:pPr>
      <w:spacing w:before="120" w:after="0" w:line="360" w:lineRule="auto"/>
    </w:pPr>
  </w:style>
  <w:style w:type="paragraph" w:styleId="Heading1">
    <w:name w:val="heading 1"/>
    <w:next w:val="Normal"/>
    <w:link w:val="Heading1Char"/>
    <w:autoRedefine/>
    <w:uiPriority w:val="9"/>
    <w:qFormat/>
    <w:rsid w:val="00A27DD4"/>
    <w:pPr>
      <w:pBdr>
        <w:bottom w:val="single" w:sz="8" w:space="4" w:color="17365D" w:themeColor="text2" w:themeShade="BF"/>
      </w:pBdr>
      <w:tabs>
        <w:tab w:val="left" w:pos="1134"/>
      </w:tabs>
      <w:outlineLvl w:val="0"/>
    </w:pPr>
    <w:rPr>
      <w:rFonts w:ascii="Calibri" w:eastAsiaTheme="majorEastAsia" w:hAnsi="Calibri" w:cstheme="majorBidi"/>
      <w:b/>
      <w:bCs/>
      <w:color w:val="365F91"/>
      <w:spacing w:val="5"/>
      <w:kern w:val="28"/>
      <w:sz w:val="48"/>
      <w:szCs w:val="26"/>
    </w:rPr>
  </w:style>
  <w:style w:type="paragraph" w:styleId="Heading2">
    <w:name w:val="heading 2"/>
    <w:next w:val="Normal"/>
    <w:link w:val="Heading2Char"/>
    <w:uiPriority w:val="9"/>
    <w:unhideWhenUsed/>
    <w:qFormat/>
    <w:rsid w:val="00A27DD4"/>
    <w:pPr>
      <w:spacing w:before="240" w:after="360"/>
      <w:jc w:val="center"/>
      <w:outlineLvl w:val="1"/>
    </w:pPr>
    <w:rPr>
      <w:rFonts w:ascii="Calibri" w:hAnsi="Calibri"/>
      <w:b/>
      <w:color w:val="365F91"/>
      <w:sz w:val="80"/>
    </w:rPr>
  </w:style>
  <w:style w:type="paragraph" w:styleId="Heading3">
    <w:name w:val="heading 3"/>
    <w:next w:val="Normal"/>
    <w:link w:val="Heading3Char"/>
    <w:uiPriority w:val="9"/>
    <w:unhideWhenUsed/>
    <w:qFormat/>
    <w:rsid w:val="003A194E"/>
    <w:pPr>
      <w:pBdr>
        <w:bottom w:val="single" w:sz="8" w:space="1" w:color="1F497D" w:themeColor="text2"/>
      </w:pBdr>
      <w:spacing w:before="120" w:after="240" w:line="240" w:lineRule="auto"/>
      <w:outlineLvl w:val="2"/>
    </w:pPr>
    <w:rPr>
      <w:rFonts w:ascii="Calibri" w:eastAsiaTheme="majorEastAsia" w:hAnsi="Calibri" w:cstheme="majorBidi"/>
      <w:b/>
      <w:bCs/>
      <w:caps/>
      <w:color w:val="365F91"/>
      <w:sz w:val="36"/>
    </w:rPr>
  </w:style>
  <w:style w:type="paragraph" w:styleId="Heading4">
    <w:name w:val="heading 4"/>
    <w:next w:val="Normal"/>
    <w:link w:val="Heading4Char"/>
    <w:uiPriority w:val="9"/>
    <w:unhideWhenUsed/>
    <w:qFormat/>
    <w:rsid w:val="00A27DD4"/>
    <w:pPr>
      <w:spacing w:before="240" w:after="120" w:line="240" w:lineRule="auto"/>
      <w:outlineLvl w:val="3"/>
    </w:pPr>
    <w:rPr>
      <w:rFonts w:ascii="Calibri" w:hAnsi="Calibri"/>
      <w:b/>
      <w:color w:val="000000" w:themeColor="text1"/>
      <w:sz w:val="32"/>
    </w:rPr>
  </w:style>
  <w:style w:type="paragraph" w:styleId="Heading5">
    <w:name w:val="heading 5"/>
    <w:next w:val="Normal"/>
    <w:link w:val="Heading5Char"/>
    <w:uiPriority w:val="9"/>
    <w:unhideWhenUsed/>
    <w:qFormat/>
    <w:rsid w:val="00F85122"/>
    <w:pPr>
      <w:keepNext/>
      <w:keepLines/>
      <w:spacing w:before="120" w:after="120"/>
      <w:outlineLvl w:val="4"/>
    </w:pPr>
    <w:rPr>
      <w:rFonts w:ascii="Calibri" w:eastAsiaTheme="majorEastAsia" w:hAnsi="Calibri" w:cstheme="majorBidi"/>
      <w:b/>
      <w:color w:val="000000" w:themeColor="text1"/>
      <w:sz w:val="28"/>
    </w:rPr>
  </w:style>
  <w:style w:type="paragraph" w:styleId="Heading6">
    <w:name w:val="heading 6"/>
    <w:next w:val="Normal"/>
    <w:link w:val="Heading6Char"/>
    <w:uiPriority w:val="9"/>
    <w:unhideWhenUsed/>
    <w:qFormat/>
    <w:rsid w:val="00541FC8"/>
    <w:pPr>
      <w:spacing w:before="120" w:after="120" w:line="240" w:lineRule="auto"/>
      <w:outlineLvl w:val="5"/>
    </w:pPr>
    <w:rPr>
      <w:b/>
      <w:color w:val="000000" w:themeColor="text1"/>
      <w:sz w:val="24"/>
    </w:rPr>
  </w:style>
  <w:style w:type="paragraph" w:styleId="Heading7">
    <w:name w:val="heading 7"/>
    <w:basedOn w:val="Default"/>
    <w:next w:val="Normal"/>
    <w:link w:val="Heading7Char"/>
    <w:uiPriority w:val="9"/>
    <w:unhideWhenUsed/>
    <w:qFormat/>
    <w:rsid w:val="00A27DD4"/>
    <w:pPr>
      <w:widowControl w:val="0"/>
      <w:spacing w:before="120" w:after="120"/>
      <w:outlineLvl w:val="6"/>
    </w:pPr>
    <w:rPr>
      <w:rFonts w:asciiTheme="minorHAnsi" w:hAnsiTheme="minorHAnsi"/>
      <w:b/>
      <w:i/>
      <w:iCs/>
      <w:color w:val="000000" w:themeColor="text1"/>
    </w:rPr>
  </w:style>
  <w:style w:type="paragraph" w:styleId="Heading8">
    <w:name w:val="heading 8"/>
    <w:next w:val="Normal"/>
    <w:link w:val="Heading8Char"/>
    <w:uiPriority w:val="9"/>
    <w:unhideWhenUsed/>
    <w:qFormat/>
    <w:rsid w:val="004F4189"/>
    <w:pPr>
      <w:keepNext/>
      <w:keepLines/>
      <w:spacing w:before="40"/>
      <w:outlineLvl w:val="7"/>
    </w:pPr>
    <w:rPr>
      <w:rFonts w:ascii="Calibri" w:eastAsiaTheme="majorEastAsia" w:hAnsi="Calibri" w:cstheme="majorBidi"/>
      <w:b/>
      <w:color w:val="000000" w:themeColor="text1"/>
      <w:sz w:val="24"/>
      <w:szCs w:val="21"/>
    </w:rPr>
  </w:style>
  <w:style w:type="paragraph" w:styleId="Heading9">
    <w:name w:val="heading 9"/>
    <w:basedOn w:val="Normal"/>
    <w:next w:val="Normal"/>
    <w:link w:val="Heading9Char"/>
    <w:uiPriority w:val="9"/>
    <w:unhideWhenUsed/>
    <w:rsid w:val="00261455"/>
    <w:pPr>
      <w:keepNext/>
      <w:keepLines/>
      <w:spacing w:before="40"/>
      <w:outlineLvl w:val="8"/>
    </w:pPr>
    <w:rPr>
      <w:rFonts w:ascii="Calibri" w:eastAsiaTheme="majorEastAsia" w:hAnsi="Calibri" w:cstheme="majorBidi"/>
      <w:b/>
      <w: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DD4"/>
    <w:rPr>
      <w:rFonts w:ascii="Calibri" w:eastAsiaTheme="majorEastAsia" w:hAnsi="Calibri" w:cstheme="majorBidi"/>
      <w:b/>
      <w:bCs/>
      <w:color w:val="365F91"/>
      <w:spacing w:val="5"/>
      <w:kern w:val="28"/>
      <w:sz w:val="48"/>
      <w:szCs w:val="26"/>
    </w:rPr>
  </w:style>
  <w:style w:type="paragraph" w:styleId="Title">
    <w:name w:val="Title"/>
    <w:aliases w:val="Section heading"/>
    <w:basedOn w:val="Normal"/>
    <w:next w:val="Normal"/>
    <w:link w:val="TitleChar"/>
    <w:uiPriority w:val="10"/>
    <w:qFormat/>
    <w:rsid w:val="007A2E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ection heading Char"/>
    <w:basedOn w:val="DefaultParagraphFont"/>
    <w:link w:val="Title"/>
    <w:uiPriority w:val="10"/>
    <w:rsid w:val="007A2E7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A22788"/>
    <w:pPr>
      <w:tabs>
        <w:tab w:val="center" w:pos="4513"/>
        <w:tab w:val="right" w:pos="9026"/>
      </w:tabs>
    </w:pPr>
  </w:style>
  <w:style w:type="character" w:customStyle="1" w:styleId="HeaderChar">
    <w:name w:val="Header Char"/>
    <w:basedOn w:val="DefaultParagraphFont"/>
    <w:link w:val="Header"/>
    <w:uiPriority w:val="99"/>
    <w:rsid w:val="00A22788"/>
  </w:style>
  <w:style w:type="paragraph" w:styleId="Footer">
    <w:name w:val="footer"/>
    <w:basedOn w:val="Normal"/>
    <w:link w:val="FooterChar"/>
    <w:uiPriority w:val="99"/>
    <w:unhideWhenUsed/>
    <w:rsid w:val="00A22788"/>
    <w:pPr>
      <w:tabs>
        <w:tab w:val="center" w:pos="4513"/>
        <w:tab w:val="right" w:pos="9026"/>
      </w:tabs>
    </w:pPr>
  </w:style>
  <w:style w:type="character" w:customStyle="1" w:styleId="FooterChar">
    <w:name w:val="Footer Char"/>
    <w:basedOn w:val="DefaultParagraphFont"/>
    <w:link w:val="Footer"/>
    <w:uiPriority w:val="99"/>
    <w:rsid w:val="00A22788"/>
  </w:style>
  <w:style w:type="paragraph" w:styleId="NoSpacing">
    <w:name w:val="No Spacing"/>
    <w:basedOn w:val="Normal"/>
    <w:uiPriority w:val="1"/>
    <w:qFormat/>
    <w:rsid w:val="00602591"/>
    <w:pPr>
      <w:shd w:val="clear" w:color="auto" w:fill="DBE5F1" w:themeFill="accent1" w:themeFillTint="33"/>
      <w:spacing w:after="240"/>
    </w:pPr>
    <w:rPr>
      <w:b/>
      <w:sz w:val="28"/>
      <w:szCs w:val="28"/>
    </w:rPr>
  </w:style>
  <w:style w:type="character" w:customStyle="1" w:styleId="Heading2Char">
    <w:name w:val="Heading 2 Char"/>
    <w:basedOn w:val="DefaultParagraphFont"/>
    <w:link w:val="Heading2"/>
    <w:uiPriority w:val="9"/>
    <w:rsid w:val="00A27DD4"/>
    <w:rPr>
      <w:rFonts w:ascii="Calibri" w:hAnsi="Calibri"/>
      <w:b/>
      <w:color w:val="365F91"/>
      <w:sz w:val="80"/>
    </w:rPr>
  </w:style>
  <w:style w:type="paragraph" w:customStyle="1" w:styleId="Heading2a">
    <w:name w:val="Heading 2a"/>
    <w:basedOn w:val="Heading1"/>
    <w:link w:val="Heading2aChar"/>
    <w:rsid w:val="001D3967"/>
    <w:rPr>
      <w:i/>
    </w:rPr>
  </w:style>
  <w:style w:type="table" w:styleId="TableGrid">
    <w:name w:val="Table Grid"/>
    <w:basedOn w:val="TableNormal"/>
    <w:uiPriority w:val="59"/>
    <w:rsid w:val="00527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aChar">
    <w:name w:val="Heading 2a Char"/>
    <w:basedOn w:val="Heading1Char"/>
    <w:link w:val="Heading2a"/>
    <w:rsid w:val="001D3967"/>
    <w:rPr>
      <w:rFonts w:asciiTheme="majorHAnsi" w:eastAsiaTheme="majorEastAsia" w:hAnsiTheme="majorHAnsi" w:cstheme="majorBidi"/>
      <w:b/>
      <w:bCs/>
      <w:i/>
      <w:color w:val="17365D" w:themeColor="text2" w:themeShade="BF"/>
      <w:spacing w:val="5"/>
      <w:kern w:val="28"/>
      <w:sz w:val="24"/>
      <w:szCs w:val="26"/>
    </w:rPr>
  </w:style>
  <w:style w:type="table" w:customStyle="1" w:styleId="LightShading-Accent11">
    <w:name w:val="Light Shading - Accent 11"/>
    <w:basedOn w:val="TableNormal"/>
    <w:uiPriority w:val="60"/>
    <w:rsid w:val="006568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6568A9"/>
    <w:rPr>
      <w:rFonts w:ascii="Tahoma" w:hAnsi="Tahoma" w:cs="Tahoma"/>
      <w:sz w:val="16"/>
      <w:szCs w:val="16"/>
    </w:rPr>
  </w:style>
  <w:style w:type="character" w:customStyle="1" w:styleId="BalloonTextChar">
    <w:name w:val="Balloon Text Char"/>
    <w:basedOn w:val="DefaultParagraphFont"/>
    <w:link w:val="BalloonText"/>
    <w:uiPriority w:val="99"/>
    <w:semiHidden/>
    <w:rsid w:val="006568A9"/>
    <w:rPr>
      <w:rFonts w:ascii="Tahoma" w:hAnsi="Tahoma" w:cs="Tahoma"/>
      <w:sz w:val="16"/>
      <w:szCs w:val="16"/>
    </w:rPr>
  </w:style>
  <w:style w:type="table" w:customStyle="1" w:styleId="LightShading-Accent12">
    <w:name w:val="Light Shading - Accent 12"/>
    <w:basedOn w:val="TableNormal"/>
    <w:uiPriority w:val="60"/>
    <w:rsid w:val="006568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6758F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link w:val="ListParagraphChar"/>
    <w:uiPriority w:val="34"/>
    <w:qFormat/>
    <w:rsid w:val="00C002A6"/>
    <w:pPr>
      <w:ind w:left="720"/>
      <w:contextualSpacing/>
    </w:pPr>
  </w:style>
  <w:style w:type="table" w:styleId="LightShading-Accent4">
    <w:name w:val="Light Shading Accent 4"/>
    <w:basedOn w:val="TableNormal"/>
    <w:uiPriority w:val="60"/>
    <w:rsid w:val="00134C5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134C5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8077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20">
    <w:name w:val="Light Shading - Accent 12"/>
    <w:basedOn w:val="TableNormal"/>
    <w:uiPriority w:val="60"/>
    <w:rsid w:val="00A8077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rsid w:val="003A194E"/>
    <w:rPr>
      <w:rFonts w:ascii="Calibri" w:eastAsiaTheme="majorEastAsia" w:hAnsi="Calibri" w:cstheme="majorBidi"/>
      <w:b/>
      <w:bCs/>
      <w:caps/>
      <w:color w:val="365F91"/>
      <w:sz w:val="36"/>
    </w:rPr>
  </w:style>
  <w:style w:type="character" w:customStyle="1" w:styleId="Heading4Char">
    <w:name w:val="Heading 4 Char"/>
    <w:basedOn w:val="DefaultParagraphFont"/>
    <w:link w:val="Heading4"/>
    <w:uiPriority w:val="9"/>
    <w:rsid w:val="00A27DD4"/>
    <w:rPr>
      <w:rFonts w:ascii="Calibri" w:hAnsi="Calibri"/>
      <w:b/>
      <w:color w:val="000000" w:themeColor="text1"/>
      <w:sz w:val="32"/>
    </w:rPr>
  </w:style>
  <w:style w:type="paragraph" w:customStyle="1" w:styleId="Style1">
    <w:name w:val="Style1"/>
    <w:basedOn w:val="FootnoteText"/>
    <w:link w:val="Style1Char"/>
    <w:autoRedefine/>
    <w:rsid w:val="006D535F"/>
    <w:pPr>
      <w:tabs>
        <w:tab w:val="left" w:pos="284"/>
      </w:tabs>
      <w:ind w:left="284" w:hanging="284"/>
    </w:pPr>
    <w:rPr>
      <w:rFonts w:eastAsia="Calibri" w:cs="Arial"/>
    </w:rPr>
  </w:style>
  <w:style w:type="paragraph" w:styleId="FootnoteText">
    <w:name w:val="footnote text"/>
    <w:basedOn w:val="Normal"/>
    <w:link w:val="FootnoteTextChar"/>
    <w:uiPriority w:val="99"/>
    <w:unhideWhenUsed/>
    <w:rsid w:val="006D535F"/>
    <w:rPr>
      <w:rFonts w:ascii="Arial" w:hAnsi="Arial"/>
      <w:sz w:val="20"/>
      <w:szCs w:val="20"/>
    </w:rPr>
  </w:style>
  <w:style w:type="character" w:customStyle="1" w:styleId="FootnoteTextChar">
    <w:name w:val="Footnote Text Char"/>
    <w:basedOn w:val="DefaultParagraphFont"/>
    <w:link w:val="FootnoteText"/>
    <w:uiPriority w:val="99"/>
    <w:rsid w:val="006D535F"/>
    <w:rPr>
      <w:rFonts w:ascii="Arial" w:hAnsi="Arial"/>
      <w:sz w:val="20"/>
      <w:szCs w:val="20"/>
    </w:rPr>
  </w:style>
  <w:style w:type="character" w:customStyle="1" w:styleId="Style1Char">
    <w:name w:val="Style1 Char"/>
    <w:basedOn w:val="FootnoteTextChar"/>
    <w:link w:val="Style1"/>
    <w:rsid w:val="006D535F"/>
    <w:rPr>
      <w:rFonts w:ascii="Arial" w:eastAsia="Calibri" w:hAnsi="Arial" w:cs="Arial"/>
      <w:sz w:val="20"/>
      <w:szCs w:val="20"/>
    </w:rPr>
  </w:style>
  <w:style w:type="paragraph" w:customStyle="1" w:styleId="LJJsecondlevelheading">
    <w:name w:val="LJJ second level heading"/>
    <w:basedOn w:val="Normal"/>
    <w:link w:val="LJJsecondlevelheadingChar"/>
    <w:rsid w:val="006D535F"/>
    <w:pPr>
      <w:spacing w:after="240"/>
      <w:ind w:left="720" w:hanging="436"/>
      <w:jc w:val="center"/>
    </w:pPr>
    <w:rPr>
      <w:rFonts w:ascii="Times New Roman" w:eastAsia="MS ????" w:hAnsi="Times New Roman"/>
      <w:i/>
      <w:sz w:val="24"/>
      <w:szCs w:val="24"/>
      <w:lang w:eastAsia="ja-JP"/>
    </w:rPr>
  </w:style>
  <w:style w:type="character" w:customStyle="1" w:styleId="LJJsecondlevelheadingChar">
    <w:name w:val="LJJ second level heading Char"/>
    <w:basedOn w:val="DefaultParagraphFont"/>
    <w:link w:val="LJJsecondlevelheading"/>
    <w:rsid w:val="006D535F"/>
    <w:rPr>
      <w:rFonts w:ascii="Times New Roman" w:eastAsia="MS ????" w:hAnsi="Times New Roman"/>
      <w:i/>
      <w:sz w:val="24"/>
      <w:szCs w:val="24"/>
      <w:lang w:eastAsia="ja-JP"/>
    </w:rPr>
  </w:style>
  <w:style w:type="paragraph" w:styleId="EndnoteText">
    <w:name w:val="endnote text"/>
    <w:basedOn w:val="Normal"/>
    <w:link w:val="EndnoteTextChar"/>
    <w:autoRedefine/>
    <w:uiPriority w:val="99"/>
    <w:semiHidden/>
    <w:unhideWhenUsed/>
    <w:rsid w:val="006D535F"/>
    <w:pPr>
      <w:jc w:val="both"/>
    </w:pPr>
    <w:rPr>
      <w:rFonts w:ascii="Arial" w:hAnsi="Arial"/>
      <w:sz w:val="20"/>
      <w:szCs w:val="20"/>
    </w:rPr>
  </w:style>
  <w:style w:type="character" w:customStyle="1" w:styleId="EndnoteTextChar">
    <w:name w:val="Endnote Text Char"/>
    <w:basedOn w:val="DefaultParagraphFont"/>
    <w:link w:val="EndnoteText"/>
    <w:uiPriority w:val="99"/>
    <w:semiHidden/>
    <w:rsid w:val="006D535F"/>
    <w:rPr>
      <w:rFonts w:ascii="Arial" w:hAnsi="Arial"/>
      <w:sz w:val="20"/>
      <w:szCs w:val="20"/>
    </w:rPr>
  </w:style>
  <w:style w:type="paragraph" w:styleId="TOCHeading">
    <w:name w:val="TOC Heading"/>
    <w:basedOn w:val="Heading1"/>
    <w:next w:val="Normal"/>
    <w:uiPriority w:val="39"/>
    <w:unhideWhenUsed/>
    <w:qFormat/>
    <w:rsid w:val="006D535F"/>
    <w:pPr>
      <w:keepNext/>
      <w:keepLines/>
      <w:spacing w:after="360"/>
      <w:outlineLvl w:val="9"/>
    </w:pPr>
    <w:rPr>
      <w:color w:val="244061" w:themeColor="accent1" w:themeShade="80"/>
      <w:sz w:val="32"/>
      <w:szCs w:val="28"/>
      <w:lang w:val="en-US" w:eastAsia="ja-JP"/>
    </w:rPr>
  </w:style>
  <w:style w:type="paragraph" w:styleId="TOC1">
    <w:name w:val="toc 1"/>
    <w:basedOn w:val="Normal"/>
    <w:next w:val="Normal"/>
    <w:uiPriority w:val="39"/>
    <w:unhideWhenUsed/>
    <w:qFormat/>
    <w:rsid w:val="007754A4"/>
    <w:pPr>
      <w:spacing w:before="240" w:line="240" w:lineRule="auto"/>
    </w:pPr>
    <w:rPr>
      <w:noProof/>
    </w:rPr>
  </w:style>
  <w:style w:type="character" w:styleId="Hyperlink">
    <w:name w:val="Hyperlink"/>
    <w:basedOn w:val="DefaultParagraphFont"/>
    <w:uiPriority w:val="99"/>
    <w:unhideWhenUsed/>
    <w:rsid w:val="006D535F"/>
    <w:rPr>
      <w:color w:val="0000FF" w:themeColor="hyperlink"/>
      <w:u w:val="single"/>
    </w:rPr>
  </w:style>
  <w:style w:type="table" w:customStyle="1" w:styleId="LightList-Accent11">
    <w:name w:val="Light List - Accent 11"/>
    <w:basedOn w:val="TableNormal"/>
    <w:uiPriority w:val="61"/>
    <w:rsid w:val="006D535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6D535F"/>
    <w:rPr>
      <w:color w:val="800080"/>
      <w:u w:val="single"/>
    </w:rPr>
  </w:style>
  <w:style w:type="paragraph" w:customStyle="1" w:styleId="xl31">
    <w:name w:val="xl31"/>
    <w:basedOn w:val="Normal"/>
    <w:rsid w:val="006D535F"/>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32">
    <w:name w:val="xl32"/>
    <w:basedOn w:val="Normal"/>
    <w:rsid w:val="006D535F"/>
    <w:pPr>
      <w:shd w:val="clear" w:color="000000" w:fill="C2D69A"/>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3">
    <w:name w:val="xl33"/>
    <w:basedOn w:val="Normal"/>
    <w:rsid w:val="006D535F"/>
    <w:pPr>
      <w:shd w:val="clear" w:color="000000" w:fill="93CDDD"/>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4">
    <w:name w:val="xl34"/>
    <w:basedOn w:val="Normal"/>
    <w:rsid w:val="006D535F"/>
    <w:pPr>
      <w:shd w:val="clear" w:color="000000" w:fill="B2A1C7"/>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5">
    <w:name w:val="xl35"/>
    <w:basedOn w:val="Normal"/>
    <w:rsid w:val="006D535F"/>
    <w:pPr>
      <w:shd w:val="clear" w:color="000000" w:fill="D99795"/>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6">
    <w:name w:val="xl36"/>
    <w:basedOn w:val="Normal"/>
    <w:rsid w:val="006D535F"/>
    <w:pPr>
      <w:shd w:val="clear" w:color="000000" w:fill="8DB4E3"/>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7">
    <w:name w:val="xl37"/>
    <w:basedOn w:val="Normal"/>
    <w:rsid w:val="006D535F"/>
    <w:pPr>
      <w:shd w:val="clear" w:color="000000" w:fill="F2DDDC"/>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8">
    <w:name w:val="xl38"/>
    <w:basedOn w:val="Normal"/>
    <w:rsid w:val="006D535F"/>
    <w:pPr>
      <w:shd w:val="clear" w:color="000000" w:fill="C5BE97"/>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39">
    <w:name w:val="xl39"/>
    <w:basedOn w:val="Normal"/>
    <w:rsid w:val="006D535F"/>
    <w:pPr>
      <w:shd w:val="clear" w:color="000000" w:fill="D99795"/>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40">
    <w:name w:val="xl40"/>
    <w:basedOn w:val="Normal"/>
    <w:rsid w:val="006D535F"/>
    <w:pPr>
      <w:shd w:val="clear" w:color="000000" w:fill="B6DDE8"/>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41">
    <w:name w:val="xl41"/>
    <w:basedOn w:val="Normal"/>
    <w:rsid w:val="006D535F"/>
    <w:pPr>
      <w:spacing w:before="100" w:beforeAutospacing="1" w:after="100" w:afterAutospacing="1"/>
    </w:pPr>
    <w:rPr>
      <w:rFonts w:ascii="Times New Roman" w:eastAsia="Times New Roman" w:hAnsi="Times New Roman" w:cs="Times New Roman"/>
      <w:color w:val="FF0000"/>
      <w:sz w:val="20"/>
      <w:szCs w:val="20"/>
      <w:lang w:eastAsia="en-AU"/>
    </w:rPr>
  </w:style>
  <w:style w:type="paragraph" w:customStyle="1" w:styleId="xl42">
    <w:name w:val="xl42"/>
    <w:basedOn w:val="Normal"/>
    <w:rsid w:val="006D535F"/>
    <w:pPr>
      <w:shd w:val="clear" w:color="000000" w:fill="B8CCE4"/>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43">
    <w:name w:val="xl43"/>
    <w:basedOn w:val="Normal"/>
    <w:rsid w:val="006D535F"/>
    <w:pPr>
      <w:shd w:val="clear" w:color="000000" w:fill="B8CCE4"/>
      <w:spacing w:before="100" w:beforeAutospacing="1" w:after="100" w:afterAutospacing="1"/>
    </w:pPr>
    <w:rPr>
      <w:rFonts w:ascii="Calibri" w:eastAsia="Times New Roman" w:hAnsi="Calibri" w:cs="Times New Roman"/>
      <w:b/>
      <w:bCs/>
      <w:sz w:val="20"/>
      <w:szCs w:val="20"/>
      <w:lang w:eastAsia="en-AU"/>
    </w:rPr>
  </w:style>
  <w:style w:type="paragraph" w:customStyle="1" w:styleId="xl44">
    <w:name w:val="xl44"/>
    <w:basedOn w:val="Normal"/>
    <w:rsid w:val="006D535F"/>
    <w:pPr>
      <w:shd w:val="clear" w:color="000000" w:fill="F2F2F2"/>
      <w:spacing w:before="100" w:beforeAutospacing="1" w:after="100" w:afterAutospacing="1"/>
    </w:pPr>
    <w:rPr>
      <w:rFonts w:ascii="Times New Roman" w:eastAsia="Times New Roman" w:hAnsi="Times New Roman" w:cs="Times New Roman"/>
      <w:color w:val="FF0000"/>
      <w:sz w:val="20"/>
      <w:szCs w:val="20"/>
      <w:lang w:eastAsia="en-AU"/>
    </w:rPr>
  </w:style>
  <w:style w:type="paragraph" w:customStyle="1" w:styleId="xl45">
    <w:name w:val="xl45"/>
    <w:basedOn w:val="Normal"/>
    <w:rsid w:val="006D535F"/>
    <w:pPr>
      <w:shd w:val="clear" w:color="000000" w:fill="8DB4E3"/>
      <w:spacing w:before="100" w:beforeAutospacing="1" w:after="100" w:afterAutospacing="1"/>
    </w:pPr>
    <w:rPr>
      <w:rFonts w:ascii="Times New Roman" w:eastAsia="Times New Roman" w:hAnsi="Times New Roman" w:cs="Times New Roman"/>
      <w:sz w:val="20"/>
      <w:szCs w:val="20"/>
      <w:lang w:eastAsia="en-AU"/>
    </w:rPr>
  </w:style>
  <w:style w:type="paragraph" w:customStyle="1" w:styleId="xl46">
    <w:name w:val="xl46"/>
    <w:basedOn w:val="Normal"/>
    <w:rsid w:val="006D535F"/>
    <w:pPr>
      <w:shd w:val="clear" w:color="000000" w:fill="8DB4E3"/>
      <w:spacing w:before="100" w:beforeAutospacing="1" w:after="100" w:afterAutospacing="1"/>
    </w:pPr>
    <w:rPr>
      <w:rFonts w:ascii="Times New Roman" w:eastAsia="Times New Roman" w:hAnsi="Times New Roman" w:cs="Times New Roman"/>
      <w:sz w:val="24"/>
      <w:szCs w:val="24"/>
      <w:lang w:eastAsia="en-AU"/>
    </w:rPr>
  </w:style>
  <w:style w:type="paragraph" w:customStyle="1" w:styleId="xl47">
    <w:name w:val="xl47"/>
    <w:basedOn w:val="Normal"/>
    <w:rsid w:val="006D535F"/>
    <w:pPr>
      <w:shd w:val="clear" w:color="000000" w:fill="8DB4E3"/>
      <w:spacing w:before="100" w:beforeAutospacing="1" w:after="100" w:afterAutospacing="1"/>
    </w:pPr>
    <w:rPr>
      <w:rFonts w:ascii="Times New Roman" w:eastAsia="Times New Roman" w:hAnsi="Times New Roman" w:cs="Times New Roman"/>
      <w:sz w:val="24"/>
      <w:szCs w:val="24"/>
      <w:lang w:eastAsia="en-AU"/>
    </w:rPr>
  </w:style>
  <w:style w:type="paragraph" w:customStyle="1" w:styleId="xl48">
    <w:name w:val="xl48"/>
    <w:basedOn w:val="Normal"/>
    <w:rsid w:val="006D535F"/>
    <w:pPr>
      <w:shd w:val="clear" w:color="000000" w:fill="8DB4E3"/>
      <w:spacing w:before="100" w:beforeAutospacing="1" w:after="100" w:afterAutospacing="1"/>
    </w:pPr>
    <w:rPr>
      <w:rFonts w:ascii="Times New Roman" w:eastAsia="Times New Roman" w:hAnsi="Times New Roman" w:cs="Times New Roman"/>
      <w:color w:val="FF0000"/>
      <w:sz w:val="20"/>
      <w:szCs w:val="20"/>
      <w:lang w:eastAsia="en-AU"/>
    </w:rPr>
  </w:style>
  <w:style w:type="paragraph" w:customStyle="1" w:styleId="xl49">
    <w:name w:val="xl49"/>
    <w:basedOn w:val="Normal"/>
    <w:rsid w:val="006D535F"/>
    <w:pPr>
      <w:shd w:val="clear" w:color="000000" w:fill="8DB4E3"/>
      <w:spacing w:before="100" w:beforeAutospacing="1" w:after="100" w:afterAutospacing="1"/>
    </w:pPr>
    <w:rPr>
      <w:rFonts w:ascii="Times New Roman" w:eastAsia="Times New Roman" w:hAnsi="Times New Roman" w:cs="Times New Roman"/>
      <w:sz w:val="20"/>
      <w:szCs w:val="20"/>
      <w:lang w:eastAsia="en-AU"/>
    </w:rPr>
  </w:style>
  <w:style w:type="paragraph" w:customStyle="1" w:styleId="xl50">
    <w:name w:val="xl50"/>
    <w:basedOn w:val="Normal"/>
    <w:rsid w:val="006D535F"/>
    <w:pPr>
      <w:shd w:val="clear" w:color="000000" w:fill="FCF8C0"/>
      <w:spacing w:before="100" w:beforeAutospacing="1" w:after="100" w:afterAutospacing="1"/>
      <w:jc w:val="center"/>
      <w:textAlignment w:val="center"/>
    </w:pPr>
    <w:rPr>
      <w:rFonts w:ascii="Calibri" w:eastAsia="Times New Roman" w:hAnsi="Calibri" w:cs="Times New Roman"/>
      <w:b/>
      <w:bCs/>
      <w:sz w:val="20"/>
      <w:szCs w:val="20"/>
      <w:lang w:eastAsia="en-AU"/>
    </w:rPr>
  </w:style>
  <w:style w:type="paragraph" w:customStyle="1" w:styleId="xl51">
    <w:name w:val="xl51"/>
    <w:basedOn w:val="Normal"/>
    <w:rsid w:val="006D535F"/>
    <w:pPr>
      <w:shd w:val="clear" w:color="000000" w:fill="FFCCFF"/>
      <w:spacing w:before="100" w:beforeAutospacing="1" w:after="100" w:afterAutospacing="1"/>
      <w:jc w:val="center"/>
    </w:pPr>
    <w:rPr>
      <w:rFonts w:ascii="Times New Roman" w:eastAsia="Times New Roman" w:hAnsi="Times New Roman" w:cs="Times New Roman"/>
      <w:sz w:val="28"/>
      <w:szCs w:val="28"/>
      <w:lang w:eastAsia="en-AU"/>
    </w:rPr>
  </w:style>
  <w:style w:type="paragraph" w:customStyle="1" w:styleId="xl52">
    <w:name w:val="xl52"/>
    <w:basedOn w:val="Normal"/>
    <w:rsid w:val="006D535F"/>
    <w:pPr>
      <w:spacing w:before="100" w:beforeAutospacing="1" w:after="100" w:afterAutospacing="1"/>
    </w:pPr>
    <w:rPr>
      <w:rFonts w:ascii="Times New Roman" w:eastAsia="Times New Roman" w:hAnsi="Times New Roman" w:cs="Times New Roman"/>
      <w:sz w:val="24"/>
      <w:szCs w:val="24"/>
      <w:lang w:eastAsia="en-AU"/>
    </w:rPr>
  </w:style>
  <w:style w:type="table" w:styleId="LightList-Accent5">
    <w:name w:val="Light List Accent 5"/>
    <w:basedOn w:val="TableNormal"/>
    <w:uiPriority w:val="61"/>
    <w:rsid w:val="006D535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6D535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6D535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OC2">
    <w:name w:val="toc 2"/>
    <w:basedOn w:val="Normal"/>
    <w:next w:val="Normal"/>
    <w:autoRedefine/>
    <w:uiPriority w:val="39"/>
    <w:unhideWhenUsed/>
    <w:qFormat/>
    <w:rsid w:val="007754A4"/>
    <w:pPr>
      <w:spacing w:before="240" w:line="240" w:lineRule="auto"/>
    </w:pPr>
  </w:style>
  <w:style w:type="paragraph" w:styleId="TOC3">
    <w:name w:val="toc 3"/>
    <w:basedOn w:val="Normal"/>
    <w:next w:val="Normal"/>
    <w:autoRedefine/>
    <w:uiPriority w:val="39"/>
    <w:unhideWhenUsed/>
    <w:qFormat/>
    <w:rsid w:val="007754A4"/>
    <w:pPr>
      <w:spacing w:before="480" w:line="240" w:lineRule="auto"/>
    </w:pPr>
    <w:rPr>
      <w:b/>
      <w:caps/>
    </w:rPr>
  </w:style>
  <w:style w:type="table" w:styleId="LightShading-Accent6">
    <w:name w:val="Light Shading Accent 6"/>
    <w:basedOn w:val="TableNormal"/>
    <w:uiPriority w:val="60"/>
    <w:rsid w:val="006D535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6D53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6D53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OC4">
    <w:name w:val="toc 4"/>
    <w:basedOn w:val="Normal"/>
    <w:next w:val="Normal"/>
    <w:autoRedefine/>
    <w:uiPriority w:val="39"/>
    <w:unhideWhenUsed/>
    <w:rsid w:val="007754A4"/>
    <w:pPr>
      <w:spacing w:before="240" w:line="240" w:lineRule="auto"/>
    </w:pPr>
    <w:rPr>
      <w:rFonts w:eastAsiaTheme="minorEastAsia"/>
      <w:lang w:eastAsia="en-AU"/>
    </w:rPr>
  </w:style>
  <w:style w:type="paragraph" w:styleId="TOC5">
    <w:name w:val="toc 5"/>
    <w:basedOn w:val="Normal"/>
    <w:next w:val="Normal"/>
    <w:autoRedefine/>
    <w:uiPriority w:val="39"/>
    <w:unhideWhenUsed/>
    <w:rsid w:val="007754A4"/>
    <w:pPr>
      <w:spacing w:before="240" w:line="240" w:lineRule="auto"/>
    </w:pPr>
    <w:rPr>
      <w:rFonts w:eastAsiaTheme="minorEastAsia"/>
      <w:lang w:eastAsia="en-AU"/>
    </w:rPr>
  </w:style>
  <w:style w:type="paragraph" w:styleId="TOC6">
    <w:name w:val="toc 6"/>
    <w:basedOn w:val="Normal"/>
    <w:next w:val="Normal"/>
    <w:autoRedefine/>
    <w:uiPriority w:val="39"/>
    <w:unhideWhenUsed/>
    <w:rsid w:val="007754A4"/>
    <w:pPr>
      <w:spacing w:before="240" w:line="240" w:lineRule="auto"/>
    </w:pPr>
    <w:rPr>
      <w:rFonts w:eastAsiaTheme="minorEastAsia"/>
      <w:lang w:eastAsia="en-AU"/>
    </w:rPr>
  </w:style>
  <w:style w:type="paragraph" w:styleId="TOC7">
    <w:name w:val="toc 7"/>
    <w:basedOn w:val="Normal"/>
    <w:next w:val="Normal"/>
    <w:autoRedefine/>
    <w:uiPriority w:val="39"/>
    <w:unhideWhenUsed/>
    <w:rsid w:val="006D535F"/>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6D535F"/>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6D535F"/>
    <w:pPr>
      <w:spacing w:after="100" w:line="276" w:lineRule="auto"/>
      <w:ind w:left="1760"/>
    </w:pPr>
    <w:rPr>
      <w:rFonts w:eastAsiaTheme="minorEastAsia"/>
      <w:lang w:eastAsia="en-AU"/>
    </w:rPr>
  </w:style>
  <w:style w:type="paragraph" w:customStyle="1" w:styleId="Titlestyle">
    <w:name w:val="Title style"/>
    <w:basedOn w:val="Title"/>
    <w:link w:val="TitlestyleChar"/>
    <w:qFormat/>
    <w:rsid w:val="00621454"/>
    <w:pPr>
      <w:spacing w:after="480"/>
      <w:outlineLvl w:val="0"/>
    </w:pPr>
    <w:rPr>
      <w:rFonts w:asciiTheme="minorHAnsi" w:hAnsiTheme="minorHAnsi"/>
      <w:b/>
      <w:sz w:val="40"/>
      <w:szCs w:val="36"/>
    </w:rPr>
  </w:style>
  <w:style w:type="character" w:customStyle="1" w:styleId="TitlestyleChar">
    <w:name w:val="Title style Char"/>
    <w:basedOn w:val="TitleChar"/>
    <w:link w:val="Titlestyle"/>
    <w:rsid w:val="00621454"/>
    <w:rPr>
      <w:rFonts w:asciiTheme="majorHAnsi" w:eastAsiaTheme="majorEastAsia" w:hAnsiTheme="majorHAnsi" w:cstheme="majorBidi"/>
      <w:b/>
      <w:color w:val="17365D" w:themeColor="text2" w:themeShade="BF"/>
      <w:spacing w:val="5"/>
      <w:kern w:val="28"/>
      <w:sz w:val="40"/>
      <w:szCs w:val="36"/>
    </w:rPr>
  </w:style>
  <w:style w:type="table" w:styleId="LightGrid-Accent3">
    <w:name w:val="Light Grid Accent 3"/>
    <w:basedOn w:val="TableNormal"/>
    <w:uiPriority w:val="62"/>
    <w:rsid w:val="006D535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4">
    <w:name w:val="Head4"/>
    <w:basedOn w:val="Heading3"/>
    <w:link w:val="Head4Char"/>
    <w:rsid w:val="006D535F"/>
    <w:rPr>
      <w:i/>
    </w:rPr>
  </w:style>
  <w:style w:type="character" w:customStyle="1" w:styleId="Head4Char">
    <w:name w:val="Head4 Char"/>
    <w:basedOn w:val="Heading3Char"/>
    <w:link w:val="Head4"/>
    <w:rsid w:val="006D535F"/>
    <w:rPr>
      <w:rFonts w:asciiTheme="majorHAnsi" w:eastAsiaTheme="majorEastAsia" w:hAnsiTheme="majorHAnsi" w:cstheme="majorBidi"/>
      <w:b/>
      <w:bCs/>
      <w:i/>
      <w:caps/>
      <w:color w:val="244061" w:themeColor="accent1" w:themeShade="80"/>
      <w:sz w:val="24"/>
    </w:rPr>
  </w:style>
  <w:style w:type="paragraph" w:customStyle="1" w:styleId="Paragraph">
    <w:name w:val="Paragraph"/>
    <w:link w:val="ParagraphChar"/>
    <w:qFormat/>
    <w:rsid w:val="0095311F"/>
    <w:pPr>
      <w:spacing w:after="120" w:line="360" w:lineRule="auto"/>
    </w:pPr>
    <w:rPr>
      <w:rFonts w:ascii="Calibri" w:eastAsiaTheme="majorEastAsia" w:hAnsi="Calibri" w:cstheme="majorBidi"/>
      <w:color w:val="000000" w:themeColor="text1"/>
    </w:rPr>
  </w:style>
  <w:style w:type="character" w:customStyle="1" w:styleId="ParagraphChar">
    <w:name w:val="Paragraph Char"/>
    <w:basedOn w:val="DefaultParagraphFont"/>
    <w:link w:val="Paragraph"/>
    <w:rsid w:val="0095311F"/>
    <w:rPr>
      <w:rFonts w:ascii="Calibri" w:eastAsiaTheme="majorEastAsia" w:hAnsi="Calibri" w:cstheme="majorBidi"/>
      <w:color w:val="000000" w:themeColor="text1"/>
    </w:rPr>
  </w:style>
  <w:style w:type="paragraph" w:styleId="Quote">
    <w:name w:val="Quote"/>
    <w:basedOn w:val="Paragraph"/>
    <w:next w:val="Normal"/>
    <w:link w:val="QuoteChar"/>
    <w:uiPriority w:val="29"/>
    <w:qFormat/>
    <w:rsid w:val="00863C61"/>
    <w:pPr>
      <w:ind w:left="284" w:right="237"/>
    </w:pPr>
  </w:style>
  <w:style w:type="character" w:customStyle="1" w:styleId="QuoteChar">
    <w:name w:val="Quote Char"/>
    <w:basedOn w:val="DefaultParagraphFont"/>
    <w:link w:val="Quote"/>
    <w:uiPriority w:val="29"/>
    <w:rsid w:val="00863C61"/>
  </w:style>
  <w:style w:type="table" w:styleId="LightShading-Accent1">
    <w:name w:val="Light Shading Accent 1"/>
    <w:basedOn w:val="TableNormal"/>
    <w:uiPriority w:val="60"/>
    <w:rsid w:val="00245C1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ubsectionheading">
    <w:name w:val="Subsection heading"/>
    <w:basedOn w:val="NoSpacing"/>
    <w:link w:val="SubsectionheadingChar"/>
    <w:rsid w:val="00F2449C"/>
    <w:pPr>
      <w:outlineLvl w:val="0"/>
    </w:pPr>
    <w:rPr>
      <w:smallCaps/>
    </w:rPr>
  </w:style>
  <w:style w:type="character" w:customStyle="1" w:styleId="SubsectionheadingChar">
    <w:name w:val="Subsection heading Char"/>
    <w:basedOn w:val="DefaultParagraphFont"/>
    <w:link w:val="Subsectionheading"/>
    <w:rsid w:val="00F2449C"/>
    <w:rPr>
      <w:b/>
      <w:smallCaps/>
      <w:sz w:val="28"/>
      <w:szCs w:val="28"/>
      <w:shd w:val="clear" w:color="auto" w:fill="DBE5F1" w:themeFill="accent1" w:themeFillTint="33"/>
    </w:rPr>
  </w:style>
  <w:style w:type="paragraph" w:customStyle="1" w:styleId="Graphs">
    <w:name w:val="Graphs"/>
    <w:basedOn w:val="Normal"/>
    <w:link w:val="GraphsChar"/>
    <w:qFormat/>
    <w:rsid w:val="002F6188"/>
    <w:pPr>
      <w:spacing w:after="120"/>
    </w:pPr>
    <w:rPr>
      <w:b/>
      <w:i/>
      <w:color w:val="17365D" w:themeColor="text2" w:themeShade="BF"/>
      <w:sz w:val="24"/>
      <w:szCs w:val="24"/>
    </w:rPr>
  </w:style>
  <w:style w:type="character" w:customStyle="1" w:styleId="GraphsChar">
    <w:name w:val="Graphs Char"/>
    <w:basedOn w:val="DefaultParagraphFont"/>
    <w:link w:val="Graphs"/>
    <w:rsid w:val="002F6188"/>
    <w:rPr>
      <w:b/>
      <w:i/>
      <w:color w:val="17365D" w:themeColor="text2" w:themeShade="BF"/>
      <w:sz w:val="24"/>
      <w:szCs w:val="24"/>
    </w:rPr>
  </w:style>
  <w:style w:type="paragraph" w:customStyle="1" w:styleId="12pt">
    <w:name w:val="12pt"/>
    <w:basedOn w:val="Normal"/>
    <w:link w:val="12ptChar"/>
    <w:qFormat/>
    <w:rsid w:val="00953EF8"/>
    <w:pPr>
      <w:keepNext/>
    </w:pPr>
    <w:rPr>
      <w:sz w:val="24"/>
    </w:rPr>
  </w:style>
  <w:style w:type="character" w:customStyle="1" w:styleId="12ptChar">
    <w:name w:val="12pt Char"/>
    <w:basedOn w:val="DefaultParagraphFont"/>
    <w:link w:val="12pt"/>
    <w:rsid w:val="00953EF8"/>
    <w:rPr>
      <w:sz w:val="24"/>
    </w:rPr>
  </w:style>
  <w:style w:type="character" w:customStyle="1" w:styleId="citationsource">
    <w:name w:val="citationsource"/>
    <w:basedOn w:val="DefaultParagraphFont"/>
    <w:rsid w:val="007E77A8"/>
    <w:rPr>
      <w:rFonts w:ascii="Arial" w:hAnsi="Arial" w:cs="Arial" w:hint="default"/>
      <w:i/>
      <w:iCs/>
    </w:rPr>
  </w:style>
  <w:style w:type="character" w:customStyle="1" w:styleId="citationissn1">
    <w:name w:val="citationissn1"/>
    <w:basedOn w:val="DefaultParagraphFont"/>
    <w:rsid w:val="007E77A8"/>
    <w:rPr>
      <w:rFonts w:ascii="Arial" w:hAnsi="Arial" w:cs="Arial" w:hint="default"/>
      <w:i/>
      <w:iCs/>
      <w:vanish/>
      <w:webHidden w:val="0"/>
      <w:specVanish w:val="0"/>
    </w:rPr>
  </w:style>
  <w:style w:type="character" w:customStyle="1" w:styleId="citationauthor">
    <w:name w:val="citationauthor"/>
    <w:basedOn w:val="DefaultParagraphFont"/>
    <w:rsid w:val="007E77A8"/>
    <w:rPr>
      <w:rFonts w:ascii="Arial" w:hAnsi="Arial" w:cs="Arial" w:hint="default"/>
    </w:rPr>
  </w:style>
  <w:style w:type="character" w:customStyle="1" w:styleId="citationdate">
    <w:name w:val="citationdate"/>
    <w:basedOn w:val="DefaultParagraphFont"/>
    <w:rsid w:val="007E77A8"/>
    <w:rPr>
      <w:rFonts w:ascii="Arial" w:hAnsi="Arial" w:cs="Arial" w:hint="default"/>
    </w:rPr>
  </w:style>
  <w:style w:type="character" w:customStyle="1" w:styleId="citationarticleorsectiontitle">
    <w:name w:val="citationarticleorsectiontitle"/>
    <w:basedOn w:val="DefaultParagraphFont"/>
    <w:rsid w:val="007E77A8"/>
    <w:rPr>
      <w:rFonts w:ascii="Arial" w:hAnsi="Arial" w:cs="Arial" w:hint="default"/>
    </w:rPr>
  </w:style>
  <w:style w:type="character" w:customStyle="1" w:styleId="citationvolume">
    <w:name w:val="citationvolume"/>
    <w:basedOn w:val="DefaultParagraphFont"/>
    <w:rsid w:val="007E77A8"/>
    <w:rPr>
      <w:rFonts w:ascii="Arial" w:hAnsi="Arial" w:cs="Arial" w:hint="default"/>
    </w:rPr>
  </w:style>
  <w:style w:type="character" w:customStyle="1" w:styleId="citationissue">
    <w:name w:val="citationissue"/>
    <w:basedOn w:val="DefaultParagraphFont"/>
    <w:rsid w:val="007E77A8"/>
    <w:rPr>
      <w:rFonts w:ascii="Arial" w:hAnsi="Arial" w:cs="Arial" w:hint="default"/>
    </w:rPr>
  </w:style>
  <w:style w:type="character" w:customStyle="1" w:styleId="citationspagelabel">
    <w:name w:val="citationspagelabel"/>
    <w:basedOn w:val="DefaultParagraphFont"/>
    <w:rsid w:val="007E77A8"/>
    <w:rPr>
      <w:rFonts w:ascii="Arial" w:hAnsi="Arial" w:cs="Arial" w:hint="default"/>
    </w:rPr>
  </w:style>
  <w:style w:type="character" w:customStyle="1" w:styleId="citationspagevalue">
    <w:name w:val="citationspagevalue"/>
    <w:basedOn w:val="DefaultParagraphFont"/>
    <w:rsid w:val="007E77A8"/>
    <w:rPr>
      <w:rFonts w:ascii="Arial" w:hAnsi="Arial" w:cs="Arial" w:hint="default"/>
    </w:rPr>
  </w:style>
  <w:style w:type="character" w:styleId="FootnoteReference">
    <w:name w:val="footnote reference"/>
    <w:basedOn w:val="DefaultParagraphFont"/>
    <w:uiPriority w:val="99"/>
    <w:unhideWhenUsed/>
    <w:rsid w:val="007E77A8"/>
    <w:rPr>
      <w:vertAlign w:val="superscript"/>
    </w:rPr>
  </w:style>
  <w:style w:type="paragraph" w:customStyle="1" w:styleId="Footnote">
    <w:name w:val="Footnote"/>
    <w:basedOn w:val="FootnoteText"/>
    <w:link w:val="FootnoteChar"/>
    <w:qFormat/>
    <w:rsid w:val="001A1A0E"/>
    <w:pPr>
      <w:ind w:left="284" w:hanging="284"/>
    </w:pPr>
    <w:rPr>
      <w:rFonts w:eastAsiaTheme="minorEastAsia"/>
      <w:sz w:val="18"/>
    </w:rPr>
  </w:style>
  <w:style w:type="character" w:customStyle="1" w:styleId="FootnoteChar">
    <w:name w:val="Footnote Char"/>
    <w:basedOn w:val="FootnoteTextChar"/>
    <w:link w:val="Footnote"/>
    <w:rsid w:val="001A1A0E"/>
    <w:rPr>
      <w:rFonts w:ascii="Arial" w:eastAsiaTheme="minorEastAsia" w:hAnsi="Arial"/>
      <w:sz w:val="18"/>
      <w:szCs w:val="20"/>
    </w:rPr>
  </w:style>
  <w:style w:type="paragraph" w:customStyle="1" w:styleId="Quote1">
    <w:name w:val="Quote1"/>
    <w:basedOn w:val="Normal"/>
    <w:link w:val="Quote1Char"/>
    <w:qFormat/>
    <w:rsid w:val="007E77A8"/>
    <w:pPr>
      <w:ind w:left="851" w:right="992"/>
      <w:jc w:val="both"/>
    </w:pPr>
    <w:rPr>
      <w:rFonts w:eastAsiaTheme="minorEastAsia"/>
      <w:szCs w:val="20"/>
      <w:lang w:val="en-US"/>
    </w:rPr>
  </w:style>
  <w:style w:type="character" w:customStyle="1" w:styleId="Quote1Char">
    <w:name w:val="Quote1 Char"/>
    <w:basedOn w:val="DefaultParagraphFont"/>
    <w:link w:val="Quote1"/>
    <w:rsid w:val="007E77A8"/>
    <w:rPr>
      <w:rFonts w:eastAsiaTheme="minorEastAsia"/>
      <w:szCs w:val="20"/>
      <w:lang w:val="en-US"/>
    </w:rPr>
  </w:style>
  <w:style w:type="paragraph" w:customStyle="1" w:styleId="Numberedlist">
    <w:name w:val="Numbered list"/>
    <w:basedOn w:val="ListParagraph"/>
    <w:link w:val="NumberedlistChar"/>
    <w:qFormat/>
    <w:rsid w:val="007E77A8"/>
    <w:pPr>
      <w:numPr>
        <w:numId w:val="1"/>
      </w:numPr>
      <w:tabs>
        <w:tab w:val="left" w:pos="284"/>
      </w:tabs>
      <w:ind w:left="284" w:hanging="284"/>
    </w:pPr>
    <w:rPr>
      <w:i/>
    </w:rPr>
  </w:style>
  <w:style w:type="character" w:customStyle="1" w:styleId="ListParagraphChar">
    <w:name w:val="List Paragraph Char"/>
    <w:basedOn w:val="DefaultParagraphFont"/>
    <w:link w:val="ListParagraph"/>
    <w:uiPriority w:val="34"/>
    <w:rsid w:val="007E77A8"/>
  </w:style>
  <w:style w:type="character" w:customStyle="1" w:styleId="NumberedlistChar">
    <w:name w:val="Numbered list Char"/>
    <w:basedOn w:val="ListParagraphChar"/>
    <w:link w:val="Numberedlist"/>
    <w:rsid w:val="007E77A8"/>
    <w:rPr>
      <w:i/>
    </w:rPr>
  </w:style>
  <w:style w:type="paragraph" w:customStyle="1" w:styleId="DecimalAligned">
    <w:name w:val="Decimal Aligned"/>
    <w:basedOn w:val="Normal"/>
    <w:uiPriority w:val="40"/>
    <w:qFormat/>
    <w:rsid w:val="007E77A8"/>
    <w:pPr>
      <w:tabs>
        <w:tab w:val="decimal" w:pos="360"/>
      </w:tabs>
      <w:spacing w:after="200" w:line="276" w:lineRule="auto"/>
    </w:pPr>
    <w:rPr>
      <w:lang w:val="en-US" w:eastAsia="ja-JP"/>
    </w:rPr>
  </w:style>
  <w:style w:type="character" w:styleId="SubtleEmphasis">
    <w:name w:val="Subtle Emphasis"/>
    <w:basedOn w:val="DefaultParagraphFont"/>
    <w:uiPriority w:val="19"/>
    <w:qFormat/>
    <w:rsid w:val="007E77A8"/>
    <w:rPr>
      <w:i/>
      <w:iCs/>
      <w:color w:val="7F7F7F" w:themeColor="text1" w:themeTint="80"/>
    </w:rPr>
  </w:style>
  <w:style w:type="character" w:styleId="CommentReference">
    <w:name w:val="annotation reference"/>
    <w:basedOn w:val="DefaultParagraphFont"/>
    <w:uiPriority w:val="99"/>
    <w:semiHidden/>
    <w:unhideWhenUsed/>
    <w:rsid w:val="007E77A8"/>
    <w:rPr>
      <w:sz w:val="16"/>
      <w:szCs w:val="16"/>
    </w:rPr>
  </w:style>
  <w:style w:type="paragraph" w:styleId="CommentText">
    <w:name w:val="annotation text"/>
    <w:basedOn w:val="Normal"/>
    <w:link w:val="CommentTextChar"/>
    <w:uiPriority w:val="99"/>
    <w:semiHidden/>
    <w:unhideWhenUsed/>
    <w:rsid w:val="007E77A8"/>
    <w:rPr>
      <w:sz w:val="20"/>
      <w:szCs w:val="20"/>
    </w:rPr>
  </w:style>
  <w:style w:type="character" w:customStyle="1" w:styleId="CommentTextChar">
    <w:name w:val="Comment Text Char"/>
    <w:basedOn w:val="DefaultParagraphFont"/>
    <w:link w:val="CommentText"/>
    <w:uiPriority w:val="99"/>
    <w:semiHidden/>
    <w:rsid w:val="007E77A8"/>
    <w:rPr>
      <w:sz w:val="20"/>
      <w:szCs w:val="20"/>
    </w:rPr>
  </w:style>
  <w:style w:type="character" w:styleId="PageNumber">
    <w:name w:val="page number"/>
    <w:basedOn w:val="DefaultParagraphFont"/>
    <w:uiPriority w:val="99"/>
    <w:semiHidden/>
    <w:unhideWhenUsed/>
    <w:rsid w:val="007E77A8"/>
  </w:style>
  <w:style w:type="character" w:customStyle="1" w:styleId="normalchar1">
    <w:name w:val="normal__char1"/>
    <w:basedOn w:val="DefaultParagraphFont"/>
    <w:rsid w:val="007E77A8"/>
    <w:rPr>
      <w:rFonts w:ascii="Times New Roman" w:hAnsi="Times New Roman" w:cs="Times New Roman" w:hint="default"/>
      <w:sz w:val="24"/>
      <w:szCs w:val="24"/>
    </w:rPr>
  </w:style>
  <w:style w:type="paragraph" w:styleId="Revision">
    <w:name w:val="Revision"/>
    <w:hidden/>
    <w:uiPriority w:val="99"/>
    <w:semiHidden/>
    <w:rsid w:val="007E77A8"/>
    <w:pPr>
      <w:spacing w:after="0" w:line="240" w:lineRule="auto"/>
    </w:pPr>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7E77A8"/>
    <w:rPr>
      <w:rFonts w:eastAsiaTheme="minorEastAsia"/>
      <w:b/>
      <w:bCs/>
      <w:lang w:val="en-US"/>
    </w:rPr>
  </w:style>
  <w:style w:type="character" w:customStyle="1" w:styleId="CommentSubjectChar">
    <w:name w:val="Comment Subject Char"/>
    <w:basedOn w:val="CommentTextChar"/>
    <w:link w:val="CommentSubject"/>
    <w:uiPriority w:val="99"/>
    <w:semiHidden/>
    <w:rsid w:val="007E77A8"/>
    <w:rPr>
      <w:rFonts w:eastAsiaTheme="minorEastAsia"/>
      <w:b/>
      <w:bCs/>
      <w:sz w:val="20"/>
      <w:szCs w:val="20"/>
      <w:lang w:val="en-US"/>
    </w:rPr>
  </w:style>
  <w:style w:type="paragraph" w:customStyle="1" w:styleId="Tabletextnospace">
    <w:name w:val="Table text no space"/>
    <w:basedOn w:val="Normal"/>
    <w:rsid w:val="007E77A8"/>
    <w:pPr>
      <w:widowControl w:val="0"/>
      <w:suppressAutoHyphens/>
      <w:autoSpaceDE w:val="0"/>
      <w:autoSpaceDN w:val="0"/>
      <w:adjustRightInd w:val="0"/>
      <w:spacing w:line="288" w:lineRule="auto"/>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7E77A8"/>
    <w:rPr>
      <w:rFonts w:ascii="HelveticaNeue-LightCondObl" w:hAnsi="HelveticaNeue-LightCondObl" w:cs="HelveticaNeue-LightCondObl"/>
      <w:i/>
      <w:iCs/>
      <w:color w:val="000000"/>
      <w:w w:val="100"/>
    </w:rPr>
  </w:style>
  <w:style w:type="character" w:customStyle="1" w:styleId="apple-style-span">
    <w:name w:val="apple-style-span"/>
    <w:basedOn w:val="DefaultParagraphFont"/>
    <w:rsid w:val="005908F6"/>
  </w:style>
  <w:style w:type="table" w:customStyle="1" w:styleId="TableGrid1">
    <w:name w:val="Table Grid1"/>
    <w:basedOn w:val="TableNormal"/>
    <w:next w:val="TableGrid"/>
    <w:uiPriority w:val="59"/>
    <w:rsid w:val="009A076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DC7BFE"/>
    <w:pPr>
      <w:spacing w:before="160" w:line="300" w:lineRule="atLeast"/>
    </w:pPr>
  </w:style>
  <w:style w:type="paragraph" w:styleId="ListBullet">
    <w:name w:val="List Bullet"/>
    <w:basedOn w:val="BodyText1"/>
    <w:rsid w:val="00DC7BFE"/>
    <w:pPr>
      <w:numPr>
        <w:numId w:val="9"/>
      </w:numPr>
      <w:spacing w:before="0"/>
    </w:pPr>
  </w:style>
  <w:style w:type="paragraph" w:customStyle="1" w:styleId="Tableheading">
    <w:name w:val="Table heading"/>
    <w:basedOn w:val="Normal"/>
    <w:next w:val="Normal"/>
    <w:link w:val="TableheadingChar"/>
    <w:qFormat/>
    <w:rsid w:val="005410C7"/>
    <w:rPr>
      <w:b/>
      <w:sz w:val="28"/>
    </w:rPr>
  </w:style>
  <w:style w:type="paragraph" w:customStyle="1" w:styleId="Statebox">
    <w:name w:val="State box"/>
    <w:basedOn w:val="Normal"/>
    <w:next w:val="Normal"/>
    <w:link w:val="StateboxChar"/>
    <w:rsid w:val="00D951BB"/>
    <w:pPr>
      <w:pBdr>
        <w:top w:val="single" w:sz="4" w:space="1" w:color="auto"/>
        <w:left w:val="single" w:sz="4" w:space="5" w:color="auto"/>
        <w:bottom w:val="single" w:sz="4" w:space="1" w:color="auto"/>
        <w:right w:val="single" w:sz="4" w:space="4" w:color="auto"/>
      </w:pBdr>
      <w:shd w:val="clear" w:color="auto" w:fill="D9D9D9" w:themeFill="background1" w:themeFillShade="D9"/>
      <w:spacing w:after="240"/>
      <w:jc w:val="center"/>
    </w:pPr>
    <w:rPr>
      <w:b/>
      <w:sz w:val="28"/>
      <w:szCs w:val="36"/>
    </w:rPr>
  </w:style>
  <w:style w:type="character" w:customStyle="1" w:styleId="TableheadingChar">
    <w:name w:val="Table heading Char"/>
    <w:basedOn w:val="DefaultParagraphFont"/>
    <w:link w:val="Tableheading"/>
    <w:rsid w:val="005410C7"/>
    <w:rPr>
      <w:b/>
      <w:sz w:val="28"/>
    </w:rPr>
  </w:style>
  <w:style w:type="character" w:customStyle="1" w:styleId="Heading5Char">
    <w:name w:val="Heading 5 Char"/>
    <w:basedOn w:val="DefaultParagraphFont"/>
    <w:link w:val="Heading5"/>
    <w:uiPriority w:val="9"/>
    <w:rsid w:val="00F85122"/>
    <w:rPr>
      <w:rFonts w:ascii="Calibri" w:eastAsiaTheme="majorEastAsia" w:hAnsi="Calibri" w:cstheme="majorBidi"/>
      <w:b/>
      <w:color w:val="000000" w:themeColor="text1"/>
      <w:sz w:val="28"/>
    </w:rPr>
  </w:style>
  <w:style w:type="character" w:customStyle="1" w:styleId="StateboxChar">
    <w:name w:val="State box Char"/>
    <w:basedOn w:val="DefaultParagraphFont"/>
    <w:link w:val="Statebox"/>
    <w:rsid w:val="00D951BB"/>
    <w:rPr>
      <w:b/>
      <w:sz w:val="28"/>
      <w:szCs w:val="36"/>
      <w:shd w:val="clear" w:color="auto" w:fill="D9D9D9" w:themeFill="background1" w:themeFillShade="D9"/>
    </w:rPr>
  </w:style>
  <w:style w:type="character" w:customStyle="1" w:styleId="Heading6Char">
    <w:name w:val="Heading 6 Char"/>
    <w:basedOn w:val="DefaultParagraphFont"/>
    <w:link w:val="Heading6"/>
    <w:uiPriority w:val="9"/>
    <w:rsid w:val="00541FC8"/>
    <w:rPr>
      <w:b/>
      <w:color w:val="000000" w:themeColor="text1"/>
      <w:sz w:val="24"/>
    </w:rPr>
  </w:style>
  <w:style w:type="paragraph" w:customStyle="1" w:styleId="Figureheading">
    <w:name w:val="Figure heading"/>
    <w:basedOn w:val="Heading5"/>
    <w:next w:val="Normal"/>
    <w:link w:val="FigureheadingChar"/>
    <w:qFormat/>
    <w:rsid w:val="00541FC8"/>
    <w:pPr>
      <w:pBdr>
        <w:bottom w:val="single" w:sz="8" w:space="1" w:color="365F91"/>
      </w:pBdr>
      <w:spacing w:after="240" w:line="240" w:lineRule="auto"/>
    </w:pPr>
    <w:rPr>
      <w:color w:val="365F91"/>
    </w:rPr>
  </w:style>
  <w:style w:type="character" w:customStyle="1" w:styleId="Heading7Char">
    <w:name w:val="Heading 7 Char"/>
    <w:basedOn w:val="DefaultParagraphFont"/>
    <w:link w:val="Heading7"/>
    <w:uiPriority w:val="9"/>
    <w:rsid w:val="00A27DD4"/>
    <w:rPr>
      <w:rFonts w:cs="Calibri"/>
      <w:b/>
      <w:i/>
      <w:iCs/>
      <w:color w:val="000000" w:themeColor="text1"/>
      <w:sz w:val="24"/>
      <w:szCs w:val="24"/>
    </w:rPr>
  </w:style>
  <w:style w:type="character" w:customStyle="1" w:styleId="FigureheadingChar">
    <w:name w:val="Figure heading Char"/>
    <w:basedOn w:val="DefaultParagraphFont"/>
    <w:link w:val="Figureheading"/>
    <w:rsid w:val="00541FC8"/>
    <w:rPr>
      <w:rFonts w:ascii="Calibri" w:eastAsiaTheme="majorEastAsia" w:hAnsi="Calibri" w:cstheme="majorBidi"/>
      <w:b/>
      <w:color w:val="365F91"/>
      <w:sz w:val="28"/>
    </w:rPr>
  </w:style>
  <w:style w:type="paragraph" w:customStyle="1" w:styleId="Default">
    <w:name w:val="Default"/>
    <w:rsid w:val="00D2444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D4937"/>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8Char">
    <w:name w:val="Heading 8 Char"/>
    <w:basedOn w:val="DefaultParagraphFont"/>
    <w:link w:val="Heading8"/>
    <w:uiPriority w:val="9"/>
    <w:rsid w:val="004F4189"/>
    <w:rPr>
      <w:rFonts w:ascii="Calibri" w:eastAsiaTheme="majorEastAsia" w:hAnsi="Calibri" w:cstheme="majorBidi"/>
      <w:b/>
      <w:color w:val="000000" w:themeColor="text1"/>
      <w:sz w:val="24"/>
      <w:szCs w:val="21"/>
    </w:rPr>
  </w:style>
  <w:style w:type="paragraph" w:styleId="Date">
    <w:name w:val="Date"/>
    <w:basedOn w:val="Normal"/>
    <w:next w:val="Normal"/>
    <w:link w:val="DateChar"/>
    <w:uiPriority w:val="99"/>
    <w:semiHidden/>
    <w:unhideWhenUsed/>
    <w:rsid w:val="00631FB3"/>
  </w:style>
  <w:style w:type="character" w:customStyle="1" w:styleId="DateChar">
    <w:name w:val="Date Char"/>
    <w:basedOn w:val="DefaultParagraphFont"/>
    <w:link w:val="Date"/>
    <w:uiPriority w:val="99"/>
    <w:semiHidden/>
    <w:rsid w:val="00631FB3"/>
  </w:style>
  <w:style w:type="character" w:customStyle="1" w:styleId="Heading9Char">
    <w:name w:val="Heading 9 Char"/>
    <w:basedOn w:val="DefaultParagraphFont"/>
    <w:link w:val="Heading9"/>
    <w:uiPriority w:val="9"/>
    <w:rsid w:val="00261455"/>
    <w:rPr>
      <w:rFonts w:ascii="Calibri" w:eastAsiaTheme="majorEastAsia" w:hAnsi="Calibri" w:cstheme="majorBidi"/>
      <w:b/>
      <w:i/>
      <w:iCs/>
      <w:color w:val="000000" w:themeColor="text1"/>
      <w:szCs w:val="21"/>
    </w:rPr>
  </w:style>
  <w:style w:type="paragraph" w:styleId="Subtitle">
    <w:name w:val="Subtitle"/>
    <w:next w:val="Normal"/>
    <w:link w:val="SubtitleChar"/>
    <w:uiPriority w:val="11"/>
    <w:qFormat/>
    <w:rsid w:val="00C42CC6"/>
    <w:pPr>
      <w:numPr>
        <w:ilvl w:val="1"/>
      </w:numPr>
      <w:spacing w:after="160" w:line="240" w:lineRule="auto"/>
    </w:pPr>
    <w:rPr>
      <w:rFonts w:ascii="Calibri" w:eastAsiaTheme="minorEastAsia" w:hAnsi="Calibri"/>
      <w:color w:val="365F91"/>
      <w:spacing w:val="15"/>
      <w:sz w:val="40"/>
    </w:rPr>
  </w:style>
  <w:style w:type="character" w:customStyle="1" w:styleId="SubtitleChar">
    <w:name w:val="Subtitle Char"/>
    <w:basedOn w:val="DefaultParagraphFont"/>
    <w:link w:val="Subtitle"/>
    <w:uiPriority w:val="11"/>
    <w:rsid w:val="00C42CC6"/>
    <w:rPr>
      <w:rFonts w:ascii="Calibri" w:eastAsiaTheme="minorEastAsia" w:hAnsi="Calibri"/>
      <w:color w:val="365F91"/>
      <w:spacing w:val="15"/>
      <w:sz w:val="40"/>
    </w:rPr>
  </w:style>
  <w:style w:type="paragraph" w:customStyle="1" w:styleId="IntroductionHeader">
    <w:name w:val="Introduction Header"/>
    <w:basedOn w:val="Heading2"/>
    <w:link w:val="IntroductionHeaderChar"/>
    <w:qFormat/>
    <w:rsid w:val="00D96B7F"/>
    <w:pPr>
      <w:spacing w:before="120" w:after="120"/>
      <w:jc w:val="left"/>
    </w:pPr>
    <w:rPr>
      <w:color w:val="000000" w:themeColor="text1"/>
      <w:sz w:val="28"/>
    </w:rPr>
  </w:style>
  <w:style w:type="paragraph" w:customStyle="1" w:styleId="TableofContentsHeading">
    <w:name w:val="Table of Contents Heading"/>
    <w:basedOn w:val="Heading2"/>
    <w:link w:val="TableofContentsHeadingChar"/>
    <w:qFormat/>
    <w:rsid w:val="00FE47D6"/>
    <w:pPr>
      <w:pBdr>
        <w:bottom w:val="single" w:sz="8" w:space="1" w:color="1F497D" w:themeColor="text2"/>
      </w:pBdr>
      <w:spacing w:before="0" w:after="240" w:line="259" w:lineRule="auto"/>
      <w:jc w:val="left"/>
    </w:pPr>
    <w:rPr>
      <w:rFonts w:asciiTheme="minorHAnsi" w:hAnsiTheme="minorHAnsi"/>
      <w:caps/>
      <w:sz w:val="40"/>
    </w:rPr>
  </w:style>
  <w:style w:type="character" w:customStyle="1" w:styleId="IntroductionHeaderChar">
    <w:name w:val="Introduction Header Char"/>
    <w:basedOn w:val="Heading2Char"/>
    <w:link w:val="IntroductionHeader"/>
    <w:rsid w:val="00D96B7F"/>
    <w:rPr>
      <w:rFonts w:ascii="Calibri" w:hAnsi="Calibri"/>
      <w:b/>
      <w:color w:val="000000" w:themeColor="text1"/>
      <w:sz w:val="28"/>
    </w:rPr>
  </w:style>
  <w:style w:type="character" w:customStyle="1" w:styleId="TableofContentsHeadingChar">
    <w:name w:val="Table of Contents Heading Char"/>
    <w:basedOn w:val="Heading3Char"/>
    <w:link w:val="TableofContentsHeading"/>
    <w:rsid w:val="00FE47D6"/>
    <w:rPr>
      <w:rFonts w:ascii="Calibri" w:eastAsiaTheme="majorEastAsia" w:hAnsi="Calibri" w:cstheme="majorBidi"/>
      <w:b/>
      <w:bCs w:val="0"/>
      <w:caps w:val="0"/>
      <w:color w:val="365F91"/>
      <w:sz w:val="40"/>
    </w:rPr>
  </w:style>
  <w:style w:type="table" w:customStyle="1" w:styleId="PlainTable1">
    <w:name w:val="Plain Table 1"/>
    <w:basedOn w:val="TableNormal"/>
    <w:uiPriority w:val="41"/>
    <w:rsid w:val="00615C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F85122"/>
    <w:pPr>
      <w:spacing w:before="0"/>
      <w:jc w:val="both"/>
    </w:pPr>
    <w:rPr>
      <w:rFonts w:ascii="Lucida Grande" w:eastAsiaTheme="minorEastAsia" w:hAnsi="Lucida Grande" w:cs="Lucida Grande"/>
      <w:sz w:val="24"/>
      <w:lang w:val="en-US"/>
    </w:rPr>
  </w:style>
  <w:style w:type="character" w:customStyle="1" w:styleId="DocumentMapChar">
    <w:name w:val="Document Map Char"/>
    <w:basedOn w:val="DefaultParagraphFont"/>
    <w:link w:val="DocumentMap"/>
    <w:uiPriority w:val="99"/>
    <w:semiHidden/>
    <w:rsid w:val="00F85122"/>
    <w:rPr>
      <w:rFonts w:ascii="Lucida Grande" w:eastAsiaTheme="minorEastAsia" w:hAnsi="Lucida Grande" w:cs="Lucida Grande"/>
      <w:sz w:val="24"/>
      <w:lang w:val="en-US"/>
    </w:rPr>
  </w:style>
  <w:style w:type="character" w:styleId="Strong">
    <w:name w:val="Strong"/>
    <w:uiPriority w:val="22"/>
    <w:rsid w:val="00F85122"/>
    <w:rPr>
      <w:b/>
      <w:color w:val="365F91" w:themeColor="accent1" w:themeShade="BF"/>
      <w:sz w:val="80"/>
      <w:szCs w:val="80"/>
    </w:rPr>
  </w:style>
  <w:style w:type="paragraph" w:customStyle="1" w:styleId="TableText">
    <w:name w:val="Table Text"/>
    <w:basedOn w:val="Normal"/>
    <w:qFormat/>
    <w:rsid w:val="00F85122"/>
    <w:pPr>
      <w:spacing w:before="0"/>
      <w:jc w:val="both"/>
    </w:pPr>
    <w:rPr>
      <w:rFonts w:ascii="Calibri" w:eastAsiaTheme="minorEastAsia" w:hAnsi="Calibri"/>
      <w:sz w:val="20"/>
      <w:szCs w:val="20"/>
      <w:lang w:val="en-US"/>
    </w:rPr>
  </w:style>
  <w:style w:type="table" w:customStyle="1" w:styleId="TableGrid2">
    <w:name w:val="Table Grid2"/>
    <w:basedOn w:val="TableNormal"/>
    <w:next w:val="TableGrid"/>
    <w:uiPriority w:val="59"/>
    <w:rsid w:val="00F85122"/>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5122"/>
  </w:style>
  <w:style w:type="paragraph" w:customStyle="1" w:styleId="Sectionheading1">
    <w:name w:val="Section heading1"/>
    <w:basedOn w:val="Normal"/>
    <w:next w:val="Normal"/>
    <w:uiPriority w:val="10"/>
    <w:qFormat/>
    <w:rsid w:val="00F85122"/>
    <w:pPr>
      <w:pBdr>
        <w:bottom w:val="single" w:sz="8" w:space="4" w:color="4F81BD"/>
      </w:pBdr>
      <w:spacing w:before="0" w:after="300"/>
      <w:contextualSpacing/>
    </w:pPr>
    <w:rPr>
      <w:rFonts w:ascii="Cambria" w:eastAsia="Times New Roman" w:hAnsi="Cambria" w:cs="Times New Roman"/>
      <w:color w:val="17365D"/>
      <w:spacing w:val="5"/>
      <w:kern w:val="28"/>
      <w:sz w:val="52"/>
      <w:szCs w:val="52"/>
    </w:rPr>
  </w:style>
  <w:style w:type="table" w:customStyle="1" w:styleId="TableGrid3">
    <w:name w:val="Table Grid3"/>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link w:val="TOCHeading1Char"/>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51">
    <w:name w:val="Light List - Accent 51"/>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
    <w:name w:val="Light Grid - Accent 31"/>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
    <w:name w:val="Light Shading - Accent 13"/>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ubtleEmphasis1">
    <w:name w:val="Subtle Emphasis1"/>
    <w:basedOn w:val="DefaultParagraphFont"/>
    <w:uiPriority w:val="19"/>
    <w:qFormat/>
    <w:rsid w:val="00F85122"/>
    <w:rPr>
      <w:i/>
      <w:iCs/>
      <w:color w:val="7F7F7F"/>
    </w:rPr>
  </w:style>
  <w:style w:type="paragraph" w:customStyle="1" w:styleId="Revision1">
    <w:name w:val="Revision1"/>
    <w:next w:val="Revision"/>
    <w:hidden/>
    <w:uiPriority w:val="99"/>
    <w:semiHidden/>
    <w:rsid w:val="00F85122"/>
    <w:pPr>
      <w:spacing w:after="0" w:line="240" w:lineRule="auto"/>
    </w:pPr>
    <w:rPr>
      <w:rFonts w:eastAsiaTheme="minorEastAsia"/>
      <w:sz w:val="24"/>
      <w:szCs w:val="24"/>
      <w:lang w:val="en-US"/>
    </w:rPr>
  </w:style>
  <w:style w:type="paragraph" w:customStyle="1" w:styleId="CommentSubject1">
    <w:name w:val="Comment Subject1"/>
    <w:basedOn w:val="CommentText"/>
    <w:next w:val="CommentText"/>
    <w:uiPriority w:val="99"/>
    <w:semiHidden/>
    <w:unhideWhenUsed/>
    <w:rsid w:val="00F85122"/>
    <w:pPr>
      <w:spacing w:before="0"/>
    </w:pPr>
    <w:rPr>
      <w:rFonts w:ascii="Calibri" w:eastAsia="Times New Roman" w:hAnsi="Calibri"/>
      <w:b/>
      <w:bCs/>
      <w:lang w:val="en-US"/>
    </w:rPr>
  </w:style>
  <w:style w:type="table" w:customStyle="1" w:styleId="TableGrid11">
    <w:name w:val="Table Grid11"/>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
    <w:name w:val="Medium Shading 1 - Accent 31"/>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xl65">
    <w:name w:val="xl65"/>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b/>
      <w:bCs/>
      <w:lang w:eastAsia="en-AU"/>
    </w:rPr>
  </w:style>
  <w:style w:type="paragraph" w:customStyle="1" w:styleId="xl66">
    <w:name w:val="xl66"/>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ascii="Calibri" w:eastAsia="Times New Roman" w:hAnsi="Calibri" w:cs="Times New Roman"/>
      <w:b/>
      <w:bCs/>
      <w:sz w:val="24"/>
      <w:szCs w:val="24"/>
      <w:lang w:eastAsia="en-AU"/>
    </w:rPr>
  </w:style>
  <w:style w:type="paragraph" w:customStyle="1" w:styleId="xl67">
    <w:name w:val="xl67"/>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ascii="Calibri" w:eastAsia="Times New Roman" w:hAnsi="Calibri" w:cs="Times New Roman"/>
      <w:sz w:val="24"/>
      <w:szCs w:val="24"/>
      <w:lang w:eastAsia="en-AU"/>
    </w:rPr>
  </w:style>
  <w:style w:type="paragraph" w:customStyle="1" w:styleId="xl68">
    <w:name w:val="xl68"/>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ascii="Calibri" w:eastAsia="Times New Roman" w:hAnsi="Calibri" w:cs="Times New Roman"/>
      <w:color w:val="984806"/>
      <w:sz w:val="24"/>
      <w:szCs w:val="24"/>
      <w:lang w:eastAsia="en-AU"/>
    </w:rPr>
  </w:style>
  <w:style w:type="paragraph" w:customStyle="1" w:styleId="xl69">
    <w:name w:val="xl69"/>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70">
    <w:name w:val="xl70"/>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color w:val="000000"/>
      <w:sz w:val="24"/>
      <w:szCs w:val="24"/>
      <w:lang w:eastAsia="en-AU"/>
    </w:rPr>
  </w:style>
  <w:style w:type="paragraph" w:customStyle="1" w:styleId="xl71">
    <w:name w:val="xl71"/>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eastAsia="en-AU"/>
    </w:rPr>
  </w:style>
  <w:style w:type="paragraph" w:customStyle="1" w:styleId="xl72">
    <w:name w:val="xl72"/>
    <w:basedOn w:val="Normal"/>
    <w:rsid w:val="00F851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eastAsia="en-AU"/>
    </w:rPr>
  </w:style>
  <w:style w:type="paragraph" w:customStyle="1" w:styleId="xl73">
    <w:name w:val="xl73"/>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eastAsia="en-AU"/>
    </w:rPr>
  </w:style>
  <w:style w:type="paragraph" w:customStyle="1" w:styleId="xl74">
    <w:name w:val="xl74"/>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b/>
      <w:bCs/>
      <w:color w:val="000000"/>
      <w:sz w:val="24"/>
      <w:szCs w:val="24"/>
      <w:lang w:eastAsia="en-AU"/>
    </w:rPr>
  </w:style>
  <w:style w:type="paragraph" w:customStyle="1" w:styleId="xl75">
    <w:name w:val="xl75"/>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Arial" w:eastAsia="Times New Roman" w:hAnsi="Arial" w:cs="Arial"/>
      <w:b/>
      <w:bCs/>
      <w:sz w:val="24"/>
      <w:szCs w:val="24"/>
      <w:lang w:eastAsia="en-AU"/>
    </w:rPr>
  </w:style>
  <w:style w:type="paragraph" w:customStyle="1" w:styleId="xl76">
    <w:name w:val="xl76"/>
    <w:basedOn w:val="Normal"/>
    <w:rsid w:val="00F8512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libri" w:eastAsia="Times New Roman" w:hAnsi="Calibri" w:cs="Times New Roman"/>
      <w:b/>
      <w:bCs/>
      <w:color w:val="76923C"/>
      <w:sz w:val="24"/>
      <w:szCs w:val="24"/>
      <w:lang w:eastAsia="en-AU"/>
    </w:rPr>
  </w:style>
  <w:style w:type="paragraph" w:customStyle="1" w:styleId="xl77">
    <w:name w:val="xl77"/>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eastAsia="en-AU"/>
    </w:rPr>
  </w:style>
  <w:style w:type="paragraph" w:customStyle="1" w:styleId="xl78">
    <w:name w:val="xl78"/>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rFonts w:ascii="Arial" w:eastAsia="Times New Roman" w:hAnsi="Arial" w:cs="Arial"/>
      <w:b/>
      <w:bCs/>
      <w:sz w:val="24"/>
      <w:szCs w:val="24"/>
      <w:lang w:eastAsia="en-AU"/>
    </w:rPr>
  </w:style>
  <w:style w:type="paragraph" w:customStyle="1" w:styleId="xl79">
    <w:name w:val="xl79"/>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eastAsia="en-AU"/>
    </w:rPr>
  </w:style>
  <w:style w:type="paragraph" w:customStyle="1" w:styleId="xl80">
    <w:name w:val="xl80"/>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color w:val="984806"/>
      <w:sz w:val="24"/>
      <w:szCs w:val="24"/>
      <w:lang w:eastAsia="en-AU"/>
    </w:rPr>
  </w:style>
  <w:style w:type="paragraph" w:customStyle="1" w:styleId="xl81">
    <w:name w:val="xl81"/>
    <w:basedOn w:val="Normal"/>
    <w:rsid w:val="00F8512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Calibri" w:eastAsia="Times New Roman" w:hAnsi="Calibri" w:cs="Times New Roman"/>
      <w:color w:val="76923C"/>
      <w:lang w:eastAsia="en-AU"/>
    </w:rPr>
  </w:style>
  <w:style w:type="table" w:customStyle="1" w:styleId="MediumShading1-Accent41">
    <w:name w:val="Medium Shading 1 - Accent 41"/>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AIHWbodytext">
    <w:name w:val="AIHW body text"/>
    <w:link w:val="AIHWbodytextChar"/>
    <w:rsid w:val="00F85122"/>
    <w:pPr>
      <w:spacing w:before="60" w:after="40" w:line="260" w:lineRule="atLeast"/>
    </w:pPr>
    <w:rPr>
      <w:rFonts w:ascii="Book Antiqua" w:eastAsia="Times New Roman" w:hAnsi="Book Antiqua" w:cs="Times New Roman"/>
      <w:color w:val="000000"/>
      <w:szCs w:val="20"/>
    </w:rPr>
  </w:style>
  <w:style w:type="character" w:customStyle="1" w:styleId="AIHWbodytextChar">
    <w:name w:val="AIHW body text Char"/>
    <w:link w:val="AIHWbodytext"/>
    <w:rsid w:val="00F85122"/>
    <w:rPr>
      <w:rFonts w:ascii="Book Antiqua" w:eastAsia="Times New Roman" w:hAnsi="Book Antiqua" w:cs="Times New Roman"/>
      <w:color w:val="000000"/>
      <w:szCs w:val="20"/>
    </w:rPr>
  </w:style>
  <w:style w:type="table" w:styleId="TableColorful1">
    <w:name w:val="Table Colorful 1"/>
    <w:basedOn w:val="TableNormal"/>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Footnotes">
    <w:name w:val="Footnotes"/>
    <w:basedOn w:val="FootnoteText"/>
    <w:link w:val="FootnotesChar"/>
    <w:qFormat/>
    <w:rsid w:val="00F85122"/>
    <w:pPr>
      <w:tabs>
        <w:tab w:val="left" w:pos="284"/>
      </w:tabs>
      <w:spacing w:before="0"/>
      <w:ind w:left="284" w:hanging="284"/>
    </w:pPr>
  </w:style>
  <w:style w:type="character" w:customStyle="1" w:styleId="FootnotesChar">
    <w:name w:val="Footnotes Char"/>
    <w:basedOn w:val="FootnoteTextChar"/>
    <w:link w:val="Footnotes"/>
    <w:rsid w:val="00F85122"/>
    <w:rPr>
      <w:rFonts w:ascii="Arial" w:hAnsi="Arial"/>
      <w:sz w:val="20"/>
      <w:szCs w:val="20"/>
    </w:rPr>
  </w:style>
  <w:style w:type="paragraph" w:customStyle="1" w:styleId="Subsechead">
    <w:name w:val="Subsec head"/>
    <w:basedOn w:val="Titlestyle"/>
    <w:link w:val="SubsecheadChar"/>
    <w:rsid w:val="00F85122"/>
    <w:pPr>
      <w:spacing w:before="0" w:after="300"/>
    </w:pPr>
    <w:rPr>
      <w:rFonts w:ascii="Cambria" w:eastAsia="Times New Roman" w:hAnsi="Cambria" w:cs="Times New Roman"/>
      <w:b w:val="0"/>
      <w:color w:val="17365D"/>
      <w:sz w:val="36"/>
    </w:rPr>
  </w:style>
  <w:style w:type="character" w:customStyle="1" w:styleId="SubsecheadChar">
    <w:name w:val="Subsec head Char"/>
    <w:basedOn w:val="TitlestyleChar"/>
    <w:link w:val="Subsechead"/>
    <w:rsid w:val="00F85122"/>
    <w:rPr>
      <w:rFonts w:ascii="Cambria" w:eastAsia="Times New Roman" w:hAnsi="Cambria" w:cs="Times New Roman"/>
      <w:b w:val="0"/>
      <w:color w:val="17365D"/>
      <w:spacing w:val="5"/>
      <w:kern w:val="28"/>
      <w:sz w:val="36"/>
      <w:szCs w:val="36"/>
    </w:rPr>
  </w:style>
  <w:style w:type="character" w:customStyle="1" w:styleId="TitleChar1">
    <w:name w:val="Title Char1"/>
    <w:basedOn w:val="DefaultParagraphFont"/>
    <w:uiPriority w:val="10"/>
    <w:rsid w:val="00F85122"/>
    <w:rPr>
      <w:rFonts w:asciiTheme="majorHAnsi" w:eastAsiaTheme="majorEastAsia" w:hAnsiTheme="majorHAnsi" w:cstheme="majorBidi"/>
      <w:color w:val="17365D" w:themeColor="text2" w:themeShade="BF"/>
      <w:spacing w:val="5"/>
      <w:kern w:val="28"/>
      <w:sz w:val="52"/>
      <w:szCs w:val="52"/>
    </w:rPr>
  </w:style>
  <w:style w:type="character" w:customStyle="1" w:styleId="CommentSubjectChar1">
    <w:name w:val="Comment Subject Char1"/>
    <w:basedOn w:val="CommentTextChar"/>
    <w:uiPriority w:val="99"/>
    <w:semiHidden/>
    <w:rsid w:val="00F85122"/>
    <w:rPr>
      <w:rFonts w:ascii="Calibri" w:eastAsia="Calibri" w:hAnsi="Calibri"/>
      <w:b/>
      <w:bCs/>
      <w:sz w:val="20"/>
      <w:szCs w:val="20"/>
      <w:lang w:val="en-AU"/>
    </w:rPr>
  </w:style>
  <w:style w:type="table" w:styleId="MediumShading1-Accent3">
    <w:name w:val="Medium Shading 1 Accent 3"/>
    <w:basedOn w:val="TableNormal"/>
    <w:uiPriority w:val="63"/>
    <w:rsid w:val="00F85122"/>
    <w:pPr>
      <w:spacing w:after="0" w:line="240" w:lineRule="auto"/>
    </w:pPr>
    <w:rPr>
      <w:rFonts w:eastAsiaTheme="minorEastAsia"/>
      <w:sz w:val="24"/>
      <w:szCs w:val="24"/>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85122"/>
    <w:pPr>
      <w:spacing w:after="0" w:line="240" w:lineRule="auto"/>
    </w:pPr>
    <w:rPr>
      <w:rFonts w:eastAsiaTheme="minorEastAsia"/>
      <w:sz w:val="24"/>
      <w:szCs w:val="24"/>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85122"/>
    <w:pPr>
      <w:spacing w:after="0" w:line="240" w:lineRule="auto"/>
    </w:pPr>
    <w:rPr>
      <w:rFonts w:eastAsiaTheme="minorEastAsia"/>
      <w:sz w:val="24"/>
      <w:szCs w:val="24"/>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F85122"/>
  </w:style>
  <w:style w:type="table" w:customStyle="1" w:styleId="TableGrid4">
    <w:name w:val="Table Grid4"/>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111">
    <w:name w:val="Light List - Accent 111"/>
    <w:basedOn w:val="TableNormal"/>
    <w:uiPriority w:val="61"/>
    <w:rsid w:val="00F85122"/>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F85122"/>
  </w:style>
  <w:style w:type="table" w:customStyle="1" w:styleId="TableGrid5">
    <w:name w:val="Table Grid5"/>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112">
    <w:name w:val="Light List - Accent 112"/>
    <w:basedOn w:val="TableNormal"/>
    <w:uiPriority w:val="61"/>
    <w:rsid w:val="00F85122"/>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F85122"/>
  </w:style>
  <w:style w:type="table" w:customStyle="1" w:styleId="TableGrid6">
    <w:name w:val="Table Grid6"/>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113">
    <w:name w:val="Light List - Accent 113"/>
    <w:basedOn w:val="TableNormal"/>
    <w:uiPriority w:val="61"/>
    <w:rsid w:val="00F85122"/>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F85122"/>
  </w:style>
  <w:style w:type="table" w:customStyle="1" w:styleId="TableGrid7">
    <w:name w:val="Table Grid7"/>
    <w:basedOn w:val="TableNormal"/>
    <w:next w:val="TableGrid"/>
    <w:uiPriority w:val="59"/>
    <w:rsid w:val="00F851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F85122"/>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F85122"/>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F85122"/>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F85122"/>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F85122"/>
    <w:pPr>
      <w:keepNext/>
      <w:keepLines/>
      <w:pBdr>
        <w:bottom w:val="single" w:sz="8" w:space="4" w:color="4F81BD"/>
      </w:pBdr>
      <w:spacing w:before="240" w:after="360"/>
      <w:contextualSpacing/>
      <w:outlineLvl w:val="9"/>
    </w:pPr>
    <w:rPr>
      <w:rFonts w:eastAsia="SimSun" w:cs="Times New Roman"/>
      <w:bCs w:val="0"/>
      <w:caps/>
      <w:color w:val="244061"/>
      <w:sz w:val="32"/>
      <w:szCs w:val="28"/>
      <w:lang w:eastAsia="ja-JP"/>
    </w:rPr>
  </w:style>
  <w:style w:type="table" w:customStyle="1" w:styleId="LightList-Accent114">
    <w:name w:val="Light List - Accent 114"/>
    <w:basedOn w:val="TableNormal"/>
    <w:uiPriority w:val="61"/>
    <w:rsid w:val="00F85122"/>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F85122"/>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F85122"/>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F85122"/>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F85122"/>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F85122"/>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F85122"/>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F85122"/>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F85122"/>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F85122"/>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F85122"/>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F85122"/>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F85122"/>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F85122"/>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F85122"/>
    <w:pPr>
      <w:spacing w:before="240"/>
      <w:jc w:val="both"/>
    </w:pPr>
    <w:rPr>
      <w:rFonts w:ascii="Times New Roman" w:eastAsiaTheme="minorEastAsia" w:hAnsi="Times New Roman" w:cs="Times New Roman"/>
      <w:sz w:val="24"/>
      <w:szCs w:val="24"/>
      <w:lang w:val="en-US"/>
    </w:rPr>
  </w:style>
  <w:style w:type="paragraph" w:customStyle="1" w:styleId="Subheading">
    <w:name w:val="Subheading"/>
    <w:basedOn w:val="Title"/>
    <w:link w:val="SubheadingChar"/>
    <w:qFormat/>
    <w:rsid w:val="00F85122"/>
    <w:pPr>
      <w:pBdr>
        <w:bottom w:val="none" w:sz="0" w:space="0" w:color="auto"/>
      </w:pBdr>
      <w:spacing w:before="0" w:after="0"/>
    </w:pPr>
    <w:rPr>
      <w:b/>
      <w:color w:val="17365D"/>
      <w:spacing w:val="-10"/>
      <w:sz w:val="56"/>
      <w:szCs w:val="56"/>
      <w:lang w:val="en-US"/>
    </w:rPr>
  </w:style>
  <w:style w:type="character" w:customStyle="1" w:styleId="SubheadingChar">
    <w:name w:val="Subheading Char"/>
    <w:basedOn w:val="TitleChar"/>
    <w:link w:val="Subheading"/>
    <w:rsid w:val="00F85122"/>
    <w:rPr>
      <w:rFonts w:asciiTheme="majorHAnsi" w:eastAsiaTheme="majorEastAsia" w:hAnsiTheme="majorHAnsi" w:cstheme="majorBidi"/>
      <w:b/>
      <w:color w:val="17365D"/>
      <w:spacing w:val="-10"/>
      <w:kern w:val="28"/>
      <w:sz w:val="56"/>
      <w:szCs w:val="56"/>
      <w:lang w:val="en-US"/>
    </w:rPr>
  </w:style>
  <w:style w:type="paragraph" w:customStyle="1" w:styleId="FigureHeading2">
    <w:name w:val="Figure Heading 2"/>
    <w:basedOn w:val="Figureheading"/>
    <w:link w:val="FigureHeading2Char"/>
    <w:qFormat/>
    <w:rsid w:val="00F85122"/>
    <w:pPr>
      <w:keepNext w:val="0"/>
      <w:keepLines w:val="0"/>
      <w:numPr>
        <w:ilvl w:val="1"/>
        <w:numId w:val="26"/>
      </w:numPr>
      <w:pBdr>
        <w:bottom w:val="single" w:sz="4" w:space="1" w:color="1F497D" w:themeColor="text2"/>
      </w:pBdr>
      <w:spacing w:line="259" w:lineRule="auto"/>
    </w:pPr>
    <w:rPr>
      <w:rFonts w:eastAsiaTheme="minorEastAsia"/>
      <w:noProof/>
      <w:lang w:eastAsia="zh-CN"/>
    </w:rPr>
  </w:style>
  <w:style w:type="character" w:customStyle="1" w:styleId="FigureHeading2Char">
    <w:name w:val="Figure Heading 2 Char"/>
    <w:basedOn w:val="FigureheadingChar"/>
    <w:link w:val="FigureHeading2"/>
    <w:rsid w:val="00F85122"/>
    <w:rPr>
      <w:rFonts w:ascii="Calibri" w:eastAsiaTheme="minorEastAsia" w:hAnsi="Calibri" w:cstheme="majorBidi"/>
      <w:b/>
      <w:noProof/>
      <w:color w:val="365F91"/>
      <w:sz w:val="28"/>
      <w:lang w:eastAsia="zh-CN"/>
    </w:rPr>
  </w:style>
  <w:style w:type="paragraph" w:customStyle="1" w:styleId="TOCTitle">
    <w:name w:val="TOC Title"/>
    <w:basedOn w:val="Heading3"/>
    <w:link w:val="TOCTitleChar"/>
    <w:qFormat/>
    <w:rsid w:val="00F85122"/>
    <w:pPr>
      <w:numPr>
        <w:ilvl w:val="2"/>
      </w:numPr>
      <w:pBdr>
        <w:bottom w:val="single" w:sz="4" w:space="1" w:color="1F497D" w:themeColor="text2"/>
      </w:pBdr>
      <w:spacing w:before="0" w:line="259" w:lineRule="auto"/>
    </w:pPr>
    <w:rPr>
      <w:rFonts w:eastAsia="SimSun" w:cs="Times New Roman"/>
      <w:bCs w:val="0"/>
      <w:szCs w:val="28"/>
      <w:lang w:eastAsia="zh-CN"/>
    </w:rPr>
  </w:style>
  <w:style w:type="paragraph" w:customStyle="1" w:styleId="IntroductionHeading">
    <w:name w:val="Introduction Heading"/>
    <w:basedOn w:val="Heading2"/>
    <w:link w:val="IntroductionHeadingChar"/>
    <w:qFormat/>
    <w:rsid w:val="00F85122"/>
    <w:pPr>
      <w:keepNext/>
      <w:keepLines/>
      <w:spacing w:after="120" w:line="240" w:lineRule="auto"/>
      <w:jc w:val="left"/>
    </w:pPr>
    <w:rPr>
      <w:rFonts w:eastAsia="SimSun" w:cs="Times New Roman"/>
      <w:color w:val="auto"/>
      <w:sz w:val="28"/>
      <w:szCs w:val="26"/>
      <w:lang w:eastAsia="zh-CN"/>
    </w:rPr>
  </w:style>
  <w:style w:type="character" w:customStyle="1" w:styleId="TOCTitleChar">
    <w:name w:val="TOC Title Char"/>
    <w:basedOn w:val="Heading3Char"/>
    <w:link w:val="TOCTitle"/>
    <w:rsid w:val="00F85122"/>
    <w:rPr>
      <w:rFonts w:ascii="Calibri" w:eastAsia="SimSun" w:hAnsi="Calibri" w:cs="Times New Roman"/>
      <w:b/>
      <w:bCs w:val="0"/>
      <w:caps/>
      <w:color w:val="365F91"/>
      <w:sz w:val="36"/>
      <w:szCs w:val="28"/>
      <w:lang w:eastAsia="zh-CN"/>
    </w:rPr>
  </w:style>
  <w:style w:type="paragraph" w:customStyle="1" w:styleId="TableOfContentsHeading0">
    <w:name w:val="Table Of Contents Heading"/>
    <w:basedOn w:val="Heading2"/>
    <w:link w:val="TableOfContentsHeadingChar0"/>
    <w:qFormat/>
    <w:rsid w:val="00F85122"/>
    <w:pPr>
      <w:keepNext/>
      <w:keepLines/>
      <w:pBdr>
        <w:bottom w:val="single" w:sz="4" w:space="1" w:color="1F497D" w:themeColor="text2"/>
      </w:pBdr>
      <w:spacing w:before="0" w:after="120" w:line="259" w:lineRule="auto"/>
      <w:jc w:val="left"/>
    </w:pPr>
    <w:rPr>
      <w:rFonts w:eastAsia="SimSun" w:cs="Times New Roman"/>
      <w:caps/>
      <w:spacing w:val="5"/>
      <w:kern w:val="28"/>
      <w:sz w:val="32"/>
      <w:szCs w:val="26"/>
      <w:lang w:eastAsia="zh-CN"/>
    </w:rPr>
  </w:style>
  <w:style w:type="character" w:customStyle="1" w:styleId="IntroductionHeadingChar">
    <w:name w:val="Introduction Heading Char"/>
    <w:basedOn w:val="DefaultParagraphFont"/>
    <w:link w:val="IntroductionHeading"/>
    <w:rsid w:val="00F85122"/>
    <w:rPr>
      <w:rFonts w:ascii="Calibri" w:eastAsia="SimSun" w:hAnsi="Calibri" w:cs="Times New Roman"/>
      <w:b/>
      <w:sz w:val="28"/>
      <w:szCs w:val="26"/>
      <w:lang w:eastAsia="zh-CN"/>
    </w:rPr>
  </w:style>
  <w:style w:type="character" w:customStyle="1" w:styleId="TOCHeading1Char">
    <w:name w:val="TOC Heading1 Char"/>
    <w:basedOn w:val="Heading1Char"/>
    <w:link w:val="TOCHeading1"/>
    <w:uiPriority w:val="39"/>
    <w:rsid w:val="00F85122"/>
    <w:rPr>
      <w:rFonts w:ascii="Calibri" w:eastAsia="SimSun" w:hAnsi="Calibri" w:cs="Times New Roman"/>
      <w:b/>
      <w:bCs w:val="0"/>
      <w:caps/>
      <w:color w:val="244061"/>
      <w:spacing w:val="5"/>
      <w:kern w:val="28"/>
      <w:sz w:val="32"/>
      <w:szCs w:val="28"/>
      <w:lang w:eastAsia="ja-JP"/>
    </w:rPr>
  </w:style>
  <w:style w:type="character" w:customStyle="1" w:styleId="TableOfContentsHeadingChar0">
    <w:name w:val="Table Of Contents Heading Char"/>
    <w:basedOn w:val="TOCHeading1Char"/>
    <w:link w:val="TableOfContentsHeading0"/>
    <w:rsid w:val="00F85122"/>
    <w:rPr>
      <w:rFonts w:ascii="Calibri" w:eastAsia="SimSun" w:hAnsi="Calibri" w:cs="Times New Roman"/>
      <w:b/>
      <w:bCs w:val="0"/>
      <w:caps/>
      <w:color w:val="365F91"/>
      <w:spacing w:val="5"/>
      <w:kern w:val="28"/>
      <w:sz w:val="32"/>
      <w:szCs w:val="26"/>
      <w:lang w:eastAsia="zh-CN"/>
    </w:rPr>
  </w:style>
  <w:style w:type="table" w:customStyle="1" w:styleId="GridTable2Accent1">
    <w:name w:val="Grid Table 2 Accent 1"/>
    <w:basedOn w:val="TableNormal"/>
    <w:uiPriority w:val="47"/>
    <w:rsid w:val="00F85122"/>
    <w:pPr>
      <w:spacing w:after="0" w:line="240" w:lineRule="auto"/>
    </w:pPr>
    <w:rPr>
      <w:rFonts w:eastAsiaTheme="minorEastAsia"/>
      <w:sz w:val="24"/>
      <w:szCs w:val="24"/>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6">
    <w:name w:val="No List6"/>
    <w:next w:val="NoList"/>
    <w:uiPriority w:val="99"/>
    <w:semiHidden/>
    <w:unhideWhenUsed/>
    <w:rsid w:val="00381887"/>
  </w:style>
  <w:style w:type="table" w:customStyle="1" w:styleId="TableGrid8">
    <w:name w:val="Table Grid8"/>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381887"/>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81887"/>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81887"/>
  </w:style>
  <w:style w:type="table" w:customStyle="1" w:styleId="TableGrid31">
    <w:name w:val="Table Grid3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381887"/>
    <w:pPr>
      <w:spacing w:after="0" w:line="240" w:lineRule="auto"/>
    </w:pPr>
    <w:rPr>
      <w:rFonts w:eastAsia="MS Mincho"/>
      <w:color w:val="31849B"/>
      <w:sz w:val="24"/>
      <w:szCs w:val="24"/>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381887"/>
    <w:pPr>
      <w:spacing w:after="0" w:line="240" w:lineRule="auto"/>
    </w:pPr>
    <w:rPr>
      <w:rFonts w:eastAsia="MS Mincho"/>
      <w:color w:val="5F497A"/>
      <w:sz w:val="24"/>
      <w:szCs w:val="24"/>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381887"/>
    <w:pPr>
      <w:spacing w:after="0" w:line="240" w:lineRule="auto"/>
    </w:pPr>
    <w:rPr>
      <w:rFonts w:eastAsia="MS Mincho"/>
      <w:color w:val="943634"/>
      <w:sz w:val="24"/>
      <w:szCs w:val="2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381887"/>
    <w:pPr>
      <w:spacing w:after="0" w:line="240" w:lineRule="auto"/>
    </w:pPr>
    <w:rPr>
      <w:rFonts w:eastAsia="MS Mincho"/>
      <w:color w:val="76923C"/>
      <w:sz w:val="24"/>
      <w:szCs w:val="24"/>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381887"/>
    <w:pPr>
      <w:spacing w:after="0" w:line="240" w:lineRule="auto"/>
    </w:pPr>
    <w:rPr>
      <w:rFonts w:eastAsia="MS Mincho"/>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381887"/>
    <w:pPr>
      <w:spacing w:after="0" w:line="240" w:lineRule="auto"/>
    </w:pPr>
    <w:rPr>
      <w:rFonts w:eastAsia="MS Mincho"/>
      <w:sz w:val="24"/>
      <w:szCs w:val="24"/>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381887"/>
    <w:pPr>
      <w:spacing w:after="0" w:line="240" w:lineRule="auto"/>
    </w:pPr>
    <w:rPr>
      <w:rFonts w:eastAsia="MS Mincho"/>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381887"/>
    <w:pPr>
      <w:spacing w:after="0" w:line="240" w:lineRule="auto"/>
    </w:pPr>
    <w:rPr>
      <w:rFonts w:eastAsia="MS Mincho"/>
      <w:color w:val="E36C0A"/>
      <w:sz w:val="24"/>
      <w:szCs w:val="24"/>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381887"/>
    <w:pPr>
      <w:spacing w:after="0" w:line="240" w:lineRule="auto"/>
    </w:pPr>
    <w:rPr>
      <w:rFonts w:eastAsia="MS Mincho"/>
      <w:sz w:val="24"/>
      <w:szCs w:val="24"/>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381887"/>
    <w:pPr>
      <w:spacing w:after="0" w:line="240" w:lineRule="auto"/>
    </w:pPr>
    <w:rPr>
      <w:rFonts w:ascii="Calibri" w:eastAsia="MS Gothic" w:hAnsi="Calibri" w:cs="Times New Roman"/>
      <w:color w:val="000000"/>
      <w:sz w:val="24"/>
      <w:szCs w:val="24"/>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381887"/>
    <w:pPr>
      <w:spacing w:after="0" w:line="240" w:lineRule="auto"/>
    </w:pPr>
    <w:rPr>
      <w:rFonts w:eastAsia="MS Mincho"/>
      <w:sz w:val="24"/>
      <w:szCs w:val="24"/>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381887"/>
    <w:pPr>
      <w:spacing w:after="0" w:line="240" w:lineRule="auto"/>
    </w:pPr>
    <w:rPr>
      <w:rFonts w:eastAsia="MS Mincho"/>
      <w:sz w:val="24"/>
      <w:szCs w:val="24"/>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381887"/>
    <w:pPr>
      <w:spacing w:after="0" w:line="240" w:lineRule="auto"/>
    </w:pPr>
    <w:rPr>
      <w:rFonts w:eastAsia="MS Mincho"/>
      <w:sz w:val="24"/>
      <w:szCs w:val="24"/>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381887"/>
    <w:pPr>
      <w:spacing w:after="0" w:line="240" w:lineRule="auto"/>
    </w:pPr>
    <w:rPr>
      <w:rFonts w:eastAsia="MS Mincho"/>
      <w:sz w:val="24"/>
      <w:szCs w:val="24"/>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381887"/>
  </w:style>
  <w:style w:type="table" w:customStyle="1" w:styleId="TableGrid41">
    <w:name w:val="Table Grid4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381887"/>
  </w:style>
  <w:style w:type="table" w:customStyle="1" w:styleId="TableGrid51">
    <w:name w:val="Table Grid5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381887"/>
  </w:style>
  <w:style w:type="table" w:customStyle="1" w:styleId="TableGrid61">
    <w:name w:val="Table Grid6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381887"/>
  </w:style>
  <w:style w:type="table" w:customStyle="1" w:styleId="TableGrid71">
    <w:name w:val="Table Grid71"/>
    <w:basedOn w:val="TableNormal"/>
    <w:next w:val="TableGrid"/>
    <w:uiPriority w:val="59"/>
    <w:rsid w:val="0038188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381887"/>
    <w:pPr>
      <w:spacing w:after="0" w:line="240" w:lineRule="auto"/>
    </w:pPr>
    <w:rPr>
      <w:rFonts w:eastAsia="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381887"/>
    <w:pPr>
      <w:spacing w:after="0" w:line="240" w:lineRule="auto"/>
    </w:pPr>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381887"/>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381887"/>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381887"/>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381887"/>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381887"/>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381887"/>
    <w:pPr>
      <w:spacing w:after="0" w:line="240" w:lineRule="auto"/>
    </w:pPr>
    <w:rPr>
      <w:rFonts w:eastAsia="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381887"/>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381887"/>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381887"/>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381887"/>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381887"/>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381887"/>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381887"/>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381887"/>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381887"/>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381887"/>
    <w:pPr>
      <w:spacing w:before="60" w:after="4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381887"/>
    <w:pPr>
      <w:spacing w:after="0" w:line="240" w:lineRule="auto"/>
    </w:pPr>
    <w:rPr>
      <w:rFonts w:eastAsia="MS Mincho"/>
      <w:sz w:val="24"/>
      <w:szCs w:val="24"/>
      <w:lang w:val="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GuideHeading">
    <w:name w:val="Table Guide Heading"/>
    <w:basedOn w:val="Heading8"/>
    <w:link w:val="TableGuideHeadingChar"/>
    <w:qFormat/>
    <w:rsid w:val="00BB1AF0"/>
    <w:pPr>
      <w:spacing w:before="240" w:after="240" w:line="240" w:lineRule="auto"/>
      <w:jc w:val="center"/>
    </w:pPr>
    <w:rPr>
      <w:bCs/>
    </w:rPr>
  </w:style>
  <w:style w:type="character" w:customStyle="1" w:styleId="TableGuideHeadingChar">
    <w:name w:val="Table Guide Heading Char"/>
    <w:basedOn w:val="Heading8Char"/>
    <w:link w:val="TableGuideHeading"/>
    <w:rsid w:val="00BB1AF0"/>
    <w:rPr>
      <w:rFonts w:ascii="Calibri" w:eastAsiaTheme="majorEastAsia" w:hAnsi="Calibri" w:cstheme="majorBidi"/>
      <w:b/>
      <w:bCs/>
      <w:color w:val="000000" w:themeColor="text1"/>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61247">
      <w:bodyDiv w:val="1"/>
      <w:marLeft w:val="0"/>
      <w:marRight w:val="0"/>
      <w:marTop w:val="0"/>
      <w:marBottom w:val="0"/>
      <w:divBdr>
        <w:top w:val="none" w:sz="0" w:space="0" w:color="auto"/>
        <w:left w:val="none" w:sz="0" w:space="0" w:color="auto"/>
        <w:bottom w:val="none" w:sz="0" w:space="0" w:color="auto"/>
        <w:right w:val="none" w:sz="0" w:space="0" w:color="auto"/>
      </w:divBdr>
    </w:div>
    <w:div w:id="328607086">
      <w:bodyDiv w:val="1"/>
      <w:marLeft w:val="0"/>
      <w:marRight w:val="0"/>
      <w:marTop w:val="0"/>
      <w:marBottom w:val="0"/>
      <w:divBdr>
        <w:top w:val="none" w:sz="0" w:space="0" w:color="auto"/>
        <w:left w:val="none" w:sz="0" w:space="0" w:color="auto"/>
        <w:bottom w:val="none" w:sz="0" w:space="0" w:color="auto"/>
        <w:right w:val="none" w:sz="0" w:space="0" w:color="auto"/>
      </w:divBdr>
    </w:div>
    <w:div w:id="425227706">
      <w:bodyDiv w:val="1"/>
      <w:marLeft w:val="0"/>
      <w:marRight w:val="0"/>
      <w:marTop w:val="0"/>
      <w:marBottom w:val="0"/>
      <w:divBdr>
        <w:top w:val="none" w:sz="0" w:space="0" w:color="auto"/>
        <w:left w:val="none" w:sz="0" w:space="0" w:color="auto"/>
        <w:bottom w:val="none" w:sz="0" w:space="0" w:color="auto"/>
        <w:right w:val="none" w:sz="0" w:space="0" w:color="auto"/>
      </w:divBdr>
    </w:div>
    <w:div w:id="598677379">
      <w:bodyDiv w:val="1"/>
      <w:marLeft w:val="0"/>
      <w:marRight w:val="0"/>
      <w:marTop w:val="0"/>
      <w:marBottom w:val="0"/>
      <w:divBdr>
        <w:top w:val="none" w:sz="0" w:space="0" w:color="auto"/>
        <w:left w:val="none" w:sz="0" w:space="0" w:color="auto"/>
        <w:bottom w:val="none" w:sz="0" w:space="0" w:color="auto"/>
        <w:right w:val="none" w:sz="0" w:space="0" w:color="auto"/>
      </w:divBdr>
    </w:div>
    <w:div w:id="1161579694">
      <w:bodyDiv w:val="1"/>
      <w:marLeft w:val="0"/>
      <w:marRight w:val="0"/>
      <w:marTop w:val="0"/>
      <w:marBottom w:val="0"/>
      <w:divBdr>
        <w:top w:val="none" w:sz="0" w:space="0" w:color="auto"/>
        <w:left w:val="none" w:sz="0" w:space="0" w:color="auto"/>
        <w:bottom w:val="none" w:sz="0" w:space="0" w:color="auto"/>
        <w:right w:val="none" w:sz="0" w:space="0" w:color="auto"/>
      </w:divBdr>
    </w:div>
    <w:div w:id="1567692056">
      <w:bodyDiv w:val="1"/>
      <w:marLeft w:val="0"/>
      <w:marRight w:val="0"/>
      <w:marTop w:val="0"/>
      <w:marBottom w:val="0"/>
      <w:divBdr>
        <w:top w:val="none" w:sz="0" w:space="0" w:color="auto"/>
        <w:left w:val="none" w:sz="0" w:space="0" w:color="auto"/>
        <w:bottom w:val="none" w:sz="0" w:space="0" w:color="auto"/>
        <w:right w:val="none" w:sz="0" w:space="0" w:color="auto"/>
      </w:divBdr>
    </w:div>
    <w:div w:id="198773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11.jpeg"/><Relationship Id="rId39" Type="http://schemas.openxmlformats.org/officeDocument/2006/relationships/chart" Target="charts/chart13.xml"/><Relationship Id="rId21" Type="http://schemas.openxmlformats.org/officeDocument/2006/relationships/image" Target="media/image6.jpeg"/><Relationship Id="rId34" Type="http://schemas.openxmlformats.org/officeDocument/2006/relationships/chart" Target="charts/chart10.xml"/><Relationship Id="rId42" Type="http://schemas.openxmlformats.org/officeDocument/2006/relationships/chart" Target="charts/chart16.xml"/><Relationship Id="rId47" Type="http://schemas.openxmlformats.org/officeDocument/2006/relationships/header" Target="header3.xml"/><Relationship Id="rId50" Type="http://schemas.openxmlformats.org/officeDocument/2006/relationships/chart" Target="charts/chart22.xml"/><Relationship Id="rId55" Type="http://schemas.openxmlformats.org/officeDocument/2006/relationships/chart" Target="charts/chart27.xml"/><Relationship Id="rId63" Type="http://schemas.openxmlformats.org/officeDocument/2006/relationships/header" Target="header4.xml"/><Relationship Id="rId68" Type="http://schemas.openxmlformats.org/officeDocument/2006/relationships/footer" Target="footer8.xml"/><Relationship Id="rId76" Type="http://schemas.openxmlformats.org/officeDocument/2006/relationships/chart" Target="charts/chart38.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eader" Target="header1.xml"/><Relationship Id="rId11" Type="http://schemas.openxmlformats.org/officeDocument/2006/relationships/image" Target="media/image3.jpg"/><Relationship Id="rId24" Type="http://schemas.openxmlformats.org/officeDocument/2006/relationships/image" Target="media/image9.jpeg"/><Relationship Id="rId32" Type="http://schemas.openxmlformats.org/officeDocument/2006/relationships/chart" Target="charts/chart8.xml"/><Relationship Id="rId37" Type="http://schemas.openxmlformats.org/officeDocument/2006/relationships/header" Target="header2.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footer" Target="footer7.xml"/><Relationship Id="rId74" Type="http://schemas.openxmlformats.org/officeDocument/2006/relationships/footer" Target="footer10.xml"/><Relationship Id="rId79" Type="http://schemas.openxmlformats.org/officeDocument/2006/relationships/hyperlink" Target="http://www.lawlink.nsw.gov.au/cpsinquiry" TargetMode="External"/><Relationship Id="rId5" Type="http://schemas.openxmlformats.org/officeDocument/2006/relationships/settings" Target="settings.xml"/><Relationship Id="rId61" Type="http://schemas.openxmlformats.org/officeDocument/2006/relationships/chart" Target="charts/chart33.xml"/><Relationship Id="rId82" Type="http://schemas.openxmlformats.org/officeDocument/2006/relationships/footer" Target="footer13.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chart" Target="charts/chart7.xml"/><Relationship Id="rId44" Type="http://schemas.openxmlformats.org/officeDocument/2006/relationships/chart" Target="charts/chart18.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header" Target="header5.xml"/><Relationship Id="rId73" Type="http://schemas.openxmlformats.org/officeDocument/2006/relationships/header" Target="header8.xml"/><Relationship Id="rId78" Type="http://schemas.openxmlformats.org/officeDocument/2006/relationships/footer" Target="footer11.xml"/><Relationship Id="rId8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footer" Target="footer5.xml"/><Relationship Id="rId56" Type="http://schemas.openxmlformats.org/officeDocument/2006/relationships/chart" Target="charts/chart28.xml"/><Relationship Id="rId64" Type="http://schemas.openxmlformats.org/officeDocument/2006/relationships/footer" Target="footer6.xml"/><Relationship Id="rId69" Type="http://schemas.openxmlformats.org/officeDocument/2006/relationships/header" Target="header7.xml"/><Relationship Id="rId77"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chart" Target="charts/chart23.xml"/><Relationship Id="rId72" Type="http://schemas.openxmlformats.org/officeDocument/2006/relationships/chart" Target="charts/chart36.xml"/><Relationship Id="rId80"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0.jpeg"/><Relationship Id="rId33" Type="http://schemas.openxmlformats.org/officeDocument/2006/relationships/chart" Target="charts/chart9.xml"/><Relationship Id="rId38" Type="http://schemas.openxmlformats.org/officeDocument/2006/relationships/footer" Target="footer4.xml"/><Relationship Id="rId46" Type="http://schemas.openxmlformats.org/officeDocument/2006/relationships/chart" Target="charts/chart20.xml"/><Relationship Id="rId59" Type="http://schemas.openxmlformats.org/officeDocument/2006/relationships/chart" Target="charts/chart31.xml"/><Relationship Id="rId67" Type="http://schemas.openxmlformats.org/officeDocument/2006/relationships/header" Target="header6.xml"/><Relationship Id="rId20" Type="http://schemas.openxmlformats.org/officeDocument/2006/relationships/image" Target="media/image5.jpeg"/><Relationship Id="rId41" Type="http://schemas.openxmlformats.org/officeDocument/2006/relationships/chart" Target="charts/chart15.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footer" Target="footer9.xml"/><Relationship Id="rId75" Type="http://schemas.openxmlformats.org/officeDocument/2006/relationships/chart" Target="charts/chart3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footer" Target="footer3.xml"/><Relationship Id="rId36" Type="http://schemas.openxmlformats.org/officeDocument/2006/relationships/chart" Target="charts/chart12.xml"/><Relationship Id="rId49" Type="http://schemas.openxmlformats.org/officeDocument/2006/relationships/chart" Target="charts/chart21.xml"/><Relationship Id="rId57" Type="http://schemas.openxmlformats.org/officeDocument/2006/relationships/chart" Target="charts/chart29.xml"/></Relationships>
</file>

<file path=word/charts/_rels/chart1.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NEW%20FILES%20TO%20TRANSFER%20TO%20PC%20AT%20QUT\Amended%20graphs%20for%20VIC.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NEW%20FILES%20TO%20TRANSFER%20TO%20PC%20AT%20QUT\Amended%20graphs%20for%20VIC.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NEW%20FILES%20TO%20TRANSFER%20TO%20PC%20AT%20QUT\Amended%20graphs%20for%20VIC.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NEW%20FILES%20TO%20TRANSFER%20TO%20PC%20AT%20QUT\Amended%20graphs%20for%20VIC.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NEW%20FILES%20TO%20TRANSFER%20TO%20PC%20AT%20QUT\Amended%20graphs%20for%20VIC.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NEW%20FILES%20TO%20TRANSFER%20TO%20PC%20AT%20QUT\Amended%20graphs%20for%20VIC.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NEW%20FILES%20TO%20TRANSFER%20TO%20PC%20AT%20QUT\Amended%20graphs%20for%20VIC.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NEW%20FILES%20TO%20TRANSFER%20TO%20PC%20AT%20QUT\Amended%20graphs%20for%20VIC.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staffhome.qut.edu.au\staffgroupc$\coesm\Documents\Work\Ben%20Mathews%20CAN%20project\Manipulated%20data%20files\VIC%20DHS%20data\VIC%20data%202003-12%20Statistics.xlsb"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staffhome.qut.edu.au\staffgroupc$\coesm\Documents\Work\Ben%20Mathews%20CAN%20project\Manipulated%20data%20files\VIC%20DHS%20data\VIC%20data%202003-12%20Statistics.xlsb"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2.6.5%20vic%20bar%20graphs%202709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taffhome.qut.edu.au\staffgroupc$\coesm\Documents\Work\Ben%20Mathews%20CAN%20project\Manipulated%20data%20files\VIC%20DHS%20data\VIC%20data%202003-12%20Statistics.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taffhome.qut.edu.au\staffgroupc$\coesm\Documents\Work\Ben%20Mathews%20CAN%20project\Manipulated%20data%20files\VIC%20DHS%20data\VIC%20data%202003-12%20Statistics.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taffhome.qut.edu.au\staffgroupc$\coesm\Documents\Work\Ben%20Mathews%20CAN%20project\Manipulated%20data%20files\VIC%20DHS%20data\VIC%20data%202003-12%20Statistics.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NEW%20FILES%20TO%20TRANSFER%20TO%20PC%20AT%20QUT\Amended%20graphs%20for%20V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2:</a:t>
            </a:r>
            <a:r>
              <a:rPr lang="en-US" sz="1100"/>
              <a:t>  </a:t>
            </a:r>
            <a:r>
              <a:rPr lang="en-AU" sz="1100"/>
              <a:t>Number of notifications by all mandated reporter groups combined, compared with other reporter groups combined, by outcome, 2003-2012</a:t>
            </a:r>
            <a:endParaRPr lang="en-US" sz="1100"/>
          </a:p>
        </c:rich>
      </c:tx>
      <c:layout>
        <c:manualLayout>
          <c:xMode val="edge"/>
          <c:yMode val="edge"/>
          <c:x val="0.11126836418175001"/>
          <c:y val="2.8406801713888333E-2"/>
        </c:manualLayout>
      </c:layout>
      <c:overlay val="0"/>
    </c:title>
    <c:autoTitleDeleted val="0"/>
    <c:plotArea>
      <c:layout>
        <c:manualLayout>
          <c:layoutTarget val="inner"/>
          <c:xMode val="edge"/>
          <c:yMode val="edge"/>
          <c:x val="0.139738407699038"/>
          <c:y val="0.1843426246626465"/>
          <c:w val="0.83777857977647852"/>
          <c:h val="0.73703095518498996"/>
        </c:manualLayout>
      </c:layout>
      <c:barChart>
        <c:barDir val="col"/>
        <c:grouping val="stacked"/>
        <c:varyColors val="0"/>
        <c:ser>
          <c:idx val="0"/>
          <c:order val="0"/>
          <c:tx>
            <c:strRef>
              <c:f>'1.10 ACT'!$B$92</c:f>
              <c:strCache>
                <c:ptCount val="1"/>
                <c:pt idx="0">
                  <c:v>MMR groups combined</c:v>
                </c:pt>
              </c:strCache>
            </c:strRef>
          </c:tx>
          <c:spPr>
            <a:solidFill>
              <a:schemeClr val="tx2">
                <a:lumMod val="60000"/>
                <a:lumOff val="4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ACT'!$C$91:$E$91</c:f>
              <c:strCache>
                <c:ptCount val="3"/>
                <c:pt idx="0">
                  <c:v>Total reports</c:v>
                </c:pt>
                <c:pt idx="1">
                  <c:v>Investigated</c:v>
                </c:pt>
                <c:pt idx="2">
                  <c:v>Substantiated</c:v>
                </c:pt>
              </c:strCache>
            </c:strRef>
          </c:cat>
          <c:val>
            <c:numRef>
              <c:f>'1.10 ACT'!$C$92:$E$92</c:f>
              <c:numCache>
                <c:formatCode>#,##0</c:formatCode>
                <c:ptCount val="3"/>
                <c:pt idx="0">
                  <c:v>190428</c:v>
                </c:pt>
                <c:pt idx="1">
                  <c:v>57944</c:v>
                </c:pt>
                <c:pt idx="2">
                  <c:v>36888</c:v>
                </c:pt>
              </c:numCache>
            </c:numRef>
          </c:val>
        </c:ser>
        <c:ser>
          <c:idx val="1"/>
          <c:order val="1"/>
          <c:tx>
            <c:strRef>
              <c:f>'1.10 ACT'!$B$93</c:f>
              <c:strCache>
                <c:ptCount val="1"/>
                <c:pt idx="0">
                  <c:v>Other reporter groups combined</c:v>
                </c:pt>
              </c:strCache>
            </c:strRef>
          </c:tx>
          <c:spPr>
            <a:solidFill>
              <a:schemeClr val="accent5">
                <a:lumMod val="40000"/>
                <a:lumOff val="6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ACT'!$C$91:$E$91</c:f>
              <c:strCache>
                <c:ptCount val="3"/>
                <c:pt idx="0">
                  <c:v>Total reports</c:v>
                </c:pt>
                <c:pt idx="1">
                  <c:v>Investigated</c:v>
                </c:pt>
                <c:pt idx="2">
                  <c:v>Substantiated</c:v>
                </c:pt>
              </c:strCache>
            </c:strRef>
          </c:cat>
          <c:val>
            <c:numRef>
              <c:f>'1.10 ACT'!$C$93:$E$93</c:f>
              <c:numCache>
                <c:formatCode>#,##0</c:formatCode>
                <c:ptCount val="3"/>
                <c:pt idx="0">
                  <c:v>263692</c:v>
                </c:pt>
                <c:pt idx="1">
                  <c:v>70372</c:v>
                </c:pt>
                <c:pt idx="2">
                  <c:v>41180</c:v>
                </c:pt>
              </c:numCache>
            </c:numRef>
          </c:val>
        </c:ser>
        <c:dLbls>
          <c:dLblPos val="inEnd"/>
          <c:showLegendKey val="0"/>
          <c:showVal val="1"/>
          <c:showCatName val="0"/>
          <c:showSerName val="0"/>
          <c:showPercent val="0"/>
          <c:showBubbleSize val="0"/>
        </c:dLbls>
        <c:gapWidth val="150"/>
        <c:overlap val="100"/>
        <c:axId val="172261376"/>
        <c:axId val="172262912"/>
      </c:barChart>
      <c:lineChart>
        <c:grouping val="standard"/>
        <c:varyColors val="0"/>
        <c:ser>
          <c:idx val="2"/>
          <c:order val="2"/>
          <c:tx>
            <c:strRef>
              <c:f>'1.10 ACT'!$B$94</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ACT'!$C$91:$E$91</c:f>
              <c:strCache>
                <c:ptCount val="3"/>
                <c:pt idx="0">
                  <c:v>Total reports</c:v>
                </c:pt>
                <c:pt idx="1">
                  <c:v>Investigated</c:v>
                </c:pt>
                <c:pt idx="2">
                  <c:v>Substantiated</c:v>
                </c:pt>
              </c:strCache>
            </c:strRef>
          </c:cat>
          <c:val>
            <c:numRef>
              <c:f>'1.10 ACT'!$C$94:$E$94</c:f>
              <c:numCache>
                <c:formatCode>#,##0</c:formatCode>
                <c:ptCount val="3"/>
                <c:pt idx="0">
                  <c:v>454120</c:v>
                </c:pt>
                <c:pt idx="1">
                  <c:v>128316</c:v>
                </c:pt>
                <c:pt idx="2">
                  <c:v>78068</c:v>
                </c:pt>
              </c:numCache>
            </c:numRef>
          </c:val>
          <c:smooth val="0"/>
        </c:ser>
        <c:dLbls>
          <c:showLegendKey val="0"/>
          <c:showVal val="0"/>
          <c:showCatName val="0"/>
          <c:showSerName val="0"/>
          <c:showPercent val="0"/>
          <c:showBubbleSize val="0"/>
        </c:dLbls>
        <c:marker val="1"/>
        <c:smooth val="0"/>
        <c:axId val="172261376"/>
        <c:axId val="172262912"/>
      </c:lineChart>
      <c:catAx>
        <c:axId val="172261376"/>
        <c:scaling>
          <c:orientation val="minMax"/>
        </c:scaling>
        <c:delete val="0"/>
        <c:axPos val="b"/>
        <c:numFmt formatCode="General" sourceLinked="0"/>
        <c:majorTickMark val="out"/>
        <c:minorTickMark val="none"/>
        <c:tickLblPos val="nextTo"/>
        <c:txPr>
          <a:bodyPr/>
          <a:lstStyle/>
          <a:p>
            <a:pPr>
              <a:defRPr sz="900"/>
            </a:pPr>
            <a:endParaRPr lang="en-US"/>
          </a:p>
        </c:txPr>
        <c:crossAx val="172262912"/>
        <c:crosses val="autoZero"/>
        <c:auto val="1"/>
        <c:lblAlgn val="ctr"/>
        <c:lblOffset val="100"/>
        <c:noMultiLvlLbl val="0"/>
      </c:catAx>
      <c:valAx>
        <c:axId val="172262912"/>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172261376"/>
        <c:crosses val="autoZero"/>
        <c:crossBetween val="between"/>
      </c:valAx>
    </c:plotArea>
    <c:legend>
      <c:legendPos val="r"/>
      <c:legendEntry>
        <c:idx val="2"/>
        <c:delete val="1"/>
      </c:legendEntry>
      <c:layout>
        <c:manualLayout>
          <c:xMode val="edge"/>
          <c:yMode val="edge"/>
          <c:x val="0.47341975806247599"/>
          <c:y val="0.24869042173189415"/>
          <c:w val="0.35989872052510291"/>
          <c:h val="0.36720471745728939"/>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Emotional abuse</c:v>
                </c:pt>
              </c:strCache>
            </c:strRef>
          </c:tx>
          <c:marker>
            <c:symbol val="none"/>
          </c:marker>
          <c:cat>
            <c:strRef>
              <c:f>Sheet1!$A$2:$A$8</c:f>
              <c:strCache>
                <c:ptCount val="7"/>
                <c:pt idx="0">
                  <c:v>Doctors</c:v>
                </c:pt>
                <c:pt idx="1">
                  <c:v>Nurses</c:v>
                </c:pt>
                <c:pt idx="2">
                  <c:v>Police</c:v>
                </c:pt>
                <c:pt idx="3">
                  <c:v>School personnel</c:v>
                </c:pt>
                <c:pt idx="4">
                  <c:v>Psychiatrists</c:v>
                </c:pt>
                <c:pt idx="5">
                  <c:v>Major mandated reporter groups combined</c:v>
                </c:pt>
                <c:pt idx="6">
                  <c:v>Other reporter groups combined</c:v>
                </c:pt>
              </c:strCache>
            </c:strRef>
          </c:cat>
          <c:val>
            <c:numRef>
              <c:f>Sheet1!$B$2:$B$8</c:f>
              <c:numCache>
                <c:formatCode>#,##0</c:formatCode>
                <c:ptCount val="7"/>
                <c:pt idx="0">
                  <c:v>2653</c:v>
                </c:pt>
                <c:pt idx="1">
                  <c:v>6822</c:v>
                </c:pt>
                <c:pt idx="2">
                  <c:v>58120</c:v>
                </c:pt>
                <c:pt idx="3">
                  <c:v>19817</c:v>
                </c:pt>
                <c:pt idx="4" formatCode="General">
                  <c:v>853</c:v>
                </c:pt>
                <c:pt idx="5">
                  <c:v>88265</c:v>
                </c:pt>
                <c:pt idx="6">
                  <c:v>109562</c:v>
                </c:pt>
              </c:numCache>
            </c:numRef>
          </c:val>
          <c:smooth val="0"/>
        </c:ser>
        <c:ser>
          <c:idx val="1"/>
          <c:order val="1"/>
          <c:tx>
            <c:strRef>
              <c:f>Sheet1!$C$1</c:f>
              <c:strCache>
                <c:ptCount val="1"/>
                <c:pt idx="0">
                  <c:v>Neglect</c:v>
                </c:pt>
              </c:strCache>
            </c:strRef>
          </c:tx>
          <c:marker>
            <c:symbol val="none"/>
          </c:marker>
          <c:cat>
            <c:strRef>
              <c:f>Sheet1!$A$2:$A$8</c:f>
              <c:strCache>
                <c:ptCount val="7"/>
                <c:pt idx="0">
                  <c:v>Doctors</c:v>
                </c:pt>
                <c:pt idx="1">
                  <c:v>Nurses</c:v>
                </c:pt>
                <c:pt idx="2">
                  <c:v>Police</c:v>
                </c:pt>
                <c:pt idx="3">
                  <c:v>School personnel</c:v>
                </c:pt>
                <c:pt idx="4">
                  <c:v>Psychiatrists</c:v>
                </c:pt>
                <c:pt idx="5">
                  <c:v>Major mandated reporter groups combined</c:v>
                </c:pt>
                <c:pt idx="6">
                  <c:v>Other reporter groups combined</c:v>
                </c:pt>
              </c:strCache>
            </c:strRef>
          </c:cat>
          <c:val>
            <c:numRef>
              <c:f>Sheet1!$C$2:$C$8</c:f>
              <c:numCache>
                <c:formatCode>#,##0</c:formatCode>
                <c:ptCount val="7"/>
                <c:pt idx="0">
                  <c:v>1879</c:v>
                </c:pt>
                <c:pt idx="1">
                  <c:v>3880</c:v>
                </c:pt>
                <c:pt idx="2">
                  <c:v>12485</c:v>
                </c:pt>
                <c:pt idx="3">
                  <c:v>7666</c:v>
                </c:pt>
                <c:pt idx="4" formatCode="General">
                  <c:v>246</c:v>
                </c:pt>
                <c:pt idx="5">
                  <c:v>26156</c:v>
                </c:pt>
                <c:pt idx="6">
                  <c:v>61283</c:v>
                </c:pt>
              </c:numCache>
            </c:numRef>
          </c:val>
          <c:smooth val="0"/>
        </c:ser>
        <c:ser>
          <c:idx val="2"/>
          <c:order val="2"/>
          <c:tx>
            <c:strRef>
              <c:f>Sheet1!$D$1</c:f>
              <c:strCache>
                <c:ptCount val="1"/>
                <c:pt idx="0">
                  <c:v>Physical abuse</c:v>
                </c:pt>
              </c:strCache>
            </c:strRef>
          </c:tx>
          <c:marker>
            <c:symbol val="none"/>
          </c:marker>
          <c:cat>
            <c:strRef>
              <c:f>Sheet1!$A$2:$A$8</c:f>
              <c:strCache>
                <c:ptCount val="7"/>
                <c:pt idx="0">
                  <c:v>Doctors</c:v>
                </c:pt>
                <c:pt idx="1">
                  <c:v>Nurses</c:v>
                </c:pt>
                <c:pt idx="2">
                  <c:v>Police</c:v>
                </c:pt>
                <c:pt idx="3">
                  <c:v>School personnel</c:v>
                </c:pt>
                <c:pt idx="4">
                  <c:v>Psychiatrists</c:v>
                </c:pt>
                <c:pt idx="5">
                  <c:v>Major mandated reporter groups combined</c:v>
                </c:pt>
                <c:pt idx="6">
                  <c:v>Other reporter groups combined</c:v>
                </c:pt>
              </c:strCache>
            </c:strRef>
          </c:cat>
          <c:val>
            <c:numRef>
              <c:f>Sheet1!$D$2:$D$8</c:f>
              <c:numCache>
                <c:formatCode>#,##0</c:formatCode>
                <c:ptCount val="7"/>
                <c:pt idx="0">
                  <c:v>3642</c:v>
                </c:pt>
                <c:pt idx="1">
                  <c:v>3620</c:v>
                </c:pt>
                <c:pt idx="2">
                  <c:v>21830</c:v>
                </c:pt>
                <c:pt idx="3">
                  <c:v>24778</c:v>
                </c:pt>
                <c:pt idx="4" formatCode="General">
                  <c:v>496</c:v>
                </c:pt>
                <c:pt idx="5">
                  <c:v>54366</c:v>
                </c:pt>
                <c:pt idx="6">
                  <c:v>65520</c:v>
                </c:pt>
              </c:numCache>
            </c:numRef>
          </c:val>
          <c:smooth val="0"/>
        </c:ser>
        <c:ser>
          <c:idx val="3"/>
          <c:order val="3"/>
          <c:tx>
            <c:strRef>
              <c:f>Sheet1!$E$1</c:f>
              <c:strCache>
                <c:ptCount val="1"/>
                <c:pt idx="0">
                  <c:v>Sexual abuse</c:v>
                </c:pt>
              </c:strCache>
            </c:strRef>
          </c:tx>
          <c:marker>
            <c:symbol val="none"/>
          </c:marker>
          <c:cat>
            <c:strRef>
              <c:f>Sheet1!$A$2:$A$8</c:f>
              <c:strCache>
                <c:ptCount val="7"/>
                <c:pt idx="0">
                  <c:v>Doctors</c:v>
                </c:pt>
                <c:pt idx="1">
                  <c:v>Nurses</c:v>
                </c:pt>
                <c:pt idx="2">
                  <c:v>Police</c:v>
                </c:pt>
                <c:pt idx="3">
                  <c:v>School personnel</c:v>
                </c:pt>
                <c:pt idx="4">
                  <c:v>Psychiatrists</c:v>
                </c:pt>
                <c:pt idx="5">
                  <c:v>Major mandated reporter groups combined</c:v>
                </c:pt>
                <c:pt idx="6">
                  <c:v>Other reporter groups combined</c:v>
                </c:pt>
              </c:strCache>
            </c:strRef>
          </c:cat>
          <c:val>
            <c:numRef>
              <c:f>Sheet1!$E$2:$E$8</c:f>
              <c:numCache>
                <c:formatCode>General</c:formatCode>
                <c:ptCount val="7"/>
                <c:pt idx="0" formatCode="#,##0">
                  <c:v>1928</c:v>
                </c:pt>
                <c:pt idx="1">
                  <c:v>723</c:v>
                </c:pt>
                <c:pt idx="2" formatCode="#,##0">
                  <c:v>12424</c:v>
                </c:pt>
                <c:pt idx="3" formatCode="#,##0">
                  <c:v>6377</c:v>
                </c:pt>
                <c:pt idx="4">
                  <c:v>189</c:v>
                </c:pt>
                <c:pt idx="5" formatCode="#,##0">
                  <c:v>21641</c:v>
                </c:pt>
                <c:pt idx="6" formatCode="#,##0">
                  <c:v>27327</c:v>
                </c:pt>
              </c:numCache>
            </c:numRef>
          </c:val>
          <c:smooth val="0"/>
        </c:ser>
        <c:dLbls>
          <c:showLegendKey val="0"/>
          <c:showVal val="0"/>
          <c:showCatName val="0"/>
          <c:showSerName val="0"/>
          <c:showPercent val="0"/>
          <c:showBubbleSize val="0"/>
        </c:dLbls>
        <c:marker val="1"/>
        <c:smooth val="0"/>
        <c:axId val="97838208"/>
        <c:axId val="97839744"/>
      </c:lineChart>
      <c:catAx>
        <c:axId val="97838208"/>
        <c:scaling>
          <c:orientation val="minMax"/>
        </c:scaling>
        <c:delete val="0"/>
        <c:axPos val="b"/>
        <c:numFmt formatCode="General" sourceLinked="0"/>
        <c:majorTickMark val="out"/>
        <c:minorTickMark val="none"/>
        <c:tickLblPos val="nextTo"/>
        <c:crossAx val="97839744"/>
        <c:crosses val="autoZero"/>
        <c:auto val="1"/>
        <c:lblAlgn val="ctr"/>
        <c:lblOffset val="100"/>
        <c:noMultiLvlLbl val="0"/>
      </c:catAx>
      <c:valAx>
        <c:axId val="97839744"/>
        <c:scaling>
          <c:orientation val="minMax"/>
        </c:scaling>
        <c:delete val="0"/>
        <c:axPos val="l"/>
        <c:majorGridlines/>
        <c:numFmt formatCode="#,##0" sourceLinked="1"/>
        <c:majorTickMark val="out"/>
        <c:minorTickMark val="none"/>
        <c:tickLblPos val="nextTo"/>
        <c:crossAx val="9783820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22630548422443E-2"/>
          <c:y val="0.10156350247885682"/>
          <c:w val="0.76910329756063922"/>
          <c:h val="0.7691659375911345"/>
        </c:manualLayout>
      </c:layout>
      <c:lineChart>
        <c:grouping val="standard"/>
        <c:varyColors val="0"/>
        <c:ser>
          <c:idx val="0"/>
          <c:order val="0"/>
          <c:tx>
            <c:strRef>
              <c:f>Sheet1!$A$98</c:f>
              <c:strCache>
                <c:ptCount val="1"/>
                <c:pt idx="0">
                  <c:v>Emotional abuse</c:v>
                </c:pt>
              </c:strCache>
            </c:strRef>
          </c:tx>
          <c:marker>
            <c:symbol val="none"/>
          </c:marker>
          <c:cat>
            <c:strRef>
              <c:f>Sheet1!$B$97:$H$97</c:f>
              <c:strCache>
                <c:ptCount val="7"/>
                <c:pt idx="0">
                  <c:v>Other reporter groups combined</c:v>
                </c:pt>
                <c:pt idx="1">
                  <c:v>Major mandated reporter groups combined</c:v>
                </c:pt>
                <c:pt idx="2">
                  <c:v>Doctors</c:v>
                </c:pt>
                <c:pt idx="3">
                  <c:v>Nurses</c:v>
                </c:pt>
                <c:pt idx="4">
                  <c:v>Police</c:v>
                </c:pt>
                <c:pt idx="5">
                  <c:v>School personnel</c:v>
                </c:pt>
                <c:pt idx="6">
                  <c:v>Psychiatrists</c:v>
                </c:pt>
              </c:strCache>
            </c:strRef>
          </c:cat>
          <c:val>
            <c:numRef>
              <c:f>Sheet1!$B$98:$H$98</c:f>
              <c:numCache>
                <c:formatCode>0.00%</c:formatCode>
                <c:ptCount val="7"/>
                <c:pt idx="0">
                  <c:v>1.8428</c:v>
                </c:pt>
                <c:pt idx="1">
                  <c:v>3.6423000000000001</c:v>
                </c:pt>
                <c:pt idx="2">
                  <c:v>1.1836</c:v>
                </c:pt>
                <c:pt idx="3">
                  <c:v>1.1261000000000001</c:v>
                </c:pt>
                <c:pt idx="4">
                  <c:v>4.0533000000000001</c:v>
                </c:pt>
                <c:pt idx="5">
                  <c:v>4.862899999999998</c:v>
                </c:pt>
                <c:pt idx="6" formatCode="0%">
                  <c:v>0.6</c:v>
                </c:pt>
              </c:numCache>
            </c:numRef>
          </c:val>
          <c:smooth val="0"/>
        </c:ser>
        <c:ser>
          <c:idx val="1"/>
          <c:order val="1"/>
          <c:tx>
            <c:strRef>
              <c:f>Sheet1!$A$99</c:f>
              <c:strCache>
                <c:ptCount val="1"/>
                <c:pt idx="0">
                  <c:v>Neglect</c:v>
                </c:pt>
              </c:strCache>
            </c:strRef>
          </c:tx>
          <c:marker>
            <c:symbol val="none"/>
          </c:marker>
          <c:cat>
            <c:strRef>
              <c:f>Sheet1!$B$97:$H$97</c:f>
              <c:strCache>
                <c:ptCount val="7"/>
                <c:pt idx="0">
                  <c:v>Other reporter groups combined</c:v>
                </c:pt>
                <c:pt idx="1">
                  <c:v>Major mandated reporter groups combined</c:v>
                </c:pt>
                <c:pt idx="2">
                  <c:v>Doctors</c:v>
                </c:pt>
                <c:pt idx="3">
                  <c:v>Nurses</c:v>
                </c:pt>
                <c:pt idx="4">
                  <c:v>Police</c:v>
                </c:pt>
                <c:pt idx="5">
                  <c:v>School personnel</c:v>
                </c:pt>
                <c:pt idx="6">
                  <c:v>Psychiatrists</c:v>
                </c:pt>
              </c:strCache>
            </c:strRef>
          </c:cat>
          <c:val>
            <c:numRef>
              <c:f>Sheet1!$B$99:$H$99</c:f>
              <c:numCache>
                <c:formatCode>0.00%</c:formatCode>
                <c:ptCount val="7"/>
                <c:pt idx="0">
                  <c:v>-0.63329999999999997</c:v>
                </c:pt>
                <c:pt idx="1">
                  <c:v>-0.48349999999999999</c:v>
                </c:pt>
                <c:pt idx="2">
                  <c:v>-0.26240000000000002</c:v>
                </c:pt>
                <c:pt idx="3">
                  <c:v>-0.18870000000000001</c:v>
                </c:pt>
                <c:pt idx="4">
                  <c:v>-0.64170000000000005</c:v>
                </c:pt>
                <c:pt idx="5">
                  <c:v>-0.37690000000000001</c:v>
                </c:pt>
                <c:pt idx="6">
                  <c:v>-0.39129999999999998</c:v>
                </c:pt>
              </c:numCache>
            </c:numRef>
          </c:val>
          <c:smooth val="0"/>
        </c:ser>
        <c:ser>
          <c:idx val="2"/>
          <c:order val="2"/>
          <c:tx>
            <c:strRef>
              <c:f>Sheet1!$A$100</c:f>
              <c:strCache>
                <c:ptCount val="1"/>
                <c:pt idx="0">
                  <c:v>Physical abuse</c:v>
                </c:pt>
              </c:strCache>
            </c:strRef>
          </c:tx>
          <c:marker>
            <c:symbol val="none"/>
          </c:marker>
          <c:cat>
            <c:strRef>
              <c:f>Sheet1!$B$97:$H$97</c:f>
              <c:strCache>
                <c:ptCount val="7"/>
                <c:pt idx="0">
                  <c:v>Other reporter groups combined</c:v>
                </c:pt>
                <c:pt idx="1">
                  <c:v>Major mandated reporter groups combined</c:v>
                </c:pt>
                <c:pt idx="2">
                  <c:v>Doctors</c:v>
                </c:pt>
                <c:pt idx="3">
                  <c:v>Nurses</c:v>
                </c:pt>
                <c:pt idx="4">
                  <c:v>Police</c:v>
                </c:pt>
                <c:pt idx="5">
                  <c:v>School personnel</c:v>
                </c:pt>
                <c:pt idx="6">
                  <c:v>Psychiatrists</c:v>
                </c:pt>
              </c:strCache>
            </c:strRef>
          </c:cat>
          <c:val>
            <c:numRef>
              <c:f>Sheet1!$B$100:$H$100</c:f>
              <c:numCache>
                <c:formatCode>0.00%</c:formatCode>
                <c:ptCount val="7"/>
                <c:pt idx="0">
                  <c:v>0.1643</c:v>
                </c:pt>
                <c:pt idx="1">
                  <c:v>1.4708000000000001</c:v>
                </c:pt>
                <c:pt idx="2">
                  <c:v>0.1178</c:v>
                </c:pt>
                <c:pt idx="3">
                  <c:v>0.62119999999999997</c:v>
                </c:pt>
                <c:pt idx="4">
                  <c:v>1.9836</c:v>
                </c:pt>
                <c:pt idx="5">
                  <c:v>1.5902000000000001</c:v>
                </c:pt>
                <c:pt idx="6">
                  <c:v>-4.3499999999999997E-2</c:v>
                </c:pt>
              </c:numCache>
            </c:numRef>
          </c:val>
          <c:smooth val="0"/>
        </c:ser>
        <c:ser>
          <c:idx val="3"/>
          <c:order val="3"/>
          <c:tx>
            <c:strRef>
              <c:f>Sheet1!$A$101</c:f>
              <c:strCache>
                <c:ptCount val="1"/>
                <c:pt idx="0">
                  <c:v>Sexual abuse</c:v>
                </c:pt>
              </c:strCache>
            </c:strRef>
          </c:tx>
          <c:marker>
            <c:symbol val="none"/>
          </c:marker>
          <c:cat>
            <c:strRef>
              <c:f>Sheet1!$B$97:$H$97</c:f>
              <c:strCache>
                <c:ptCount val="7"/>
                <c:pt idx="0">
                  <c:v>Other reporter groups combined</c:v>
                </c:pt>
                <c:pt idx="1">
                  <c:v>Major mandated reporter groups combined</c:v>
                </c:pt>
                <c:pt idx="2">
                  <c:v>Doctors</c:v>
                </c:pt>
                <c:pt idx="3">
                  <c:v>Nurses</c:v>
                </c:pt>
                <c:pt idx="4">
                  <c:v>Police</c:v>
                </c:pt>
                <c:pt idx="5">
                  <c:v>School personnel</c:v>
                </c:pt>
                <c:pt idx="6">
                  <c:v>Psychiatrists</c:v>
                </c:pt>
              </c:strCache>
            </c:strRef>
          </c:cat>
          <c:val>
            <c:numRef>
              <c:f>Sheet1!$B$101:$H$101</c:f>
              <c:numCache>
                <c:formatCode>0.00%</c:formatCode>
                <c:ptCount val="7"/>
                <c:pt idx="0">
                  <c:v>0.1285</c:v>
                </c:pt>
                <c:pt idx="1">
                  <c:v>1.6084000000000001</c:v>
                </c:pt>
                <c:pt idx="2">
                  <c:v>2.7E-2</c:v>
                </c:pt>
                <c:pt idx="3">
                  <c:v>0.30880000000000002</c:v>
                </c:pt>
                <c:pt idx="4">
                  <c:v>2.357499999999999</c:v>
                </c:pt>
                <c:pt idx="5">
                  <c:v>1.3225</c:v>
                </c:pt>
                <c:pt idx="6">
                  <c:v>0.37930000000000003</c:v>
                </c:pt>
              </c:numCache>
            </c:numRef>
          </c:val>
          <c:smooth val="0"/>
        </c:ser>
        <c:dLbls>
          <c:showLegendKey val="0"/>
          <c:showVal val="0"/>
          <c:showCatName val="0"/>
          <c:showSerName val="0"/>
          <c:showPercent val="0"/>
          <c:showBubbleSize val="0"/>
        </c:dLbls>
        <c:marker val="1"/>
        <c:smooth val="0"/>
        <c:axId val="183988992"/>
        <c:axId val="183990528"/>
      </c:lineChart>
      <c:catAx>
        <c:axId val="183988992"/>
        <c:scaling>
          <c:orientation val="minMax"/>
        </c:scaling>
        <c:delete val="0"/>
        <c:axPos val="b"/>
        <c:numFmt formatCode="General" sourceLinked="0"/>
        <c:majorTickMark val="out"/>
        <c:minorTickMark val="none"/>
        <c:tickLblPos val="nextTo"/>
        <c:spPr>
          <a:ln/>
        </c:spPr>
        <c:crossAx val="183990528"/>
        <c:crosses val="autoZero"/>
        <c:auto val="1"/>
        <c:lblAlgn val="ctr"/>
        <c:lblOffset val="100"/>
        <c:noMultiLvlLbl val="0"/>
      </c:catAx>
      <c:valAx>
        <c:axId val="183990528"/>
        <c:scaling>
          <c:orientation val="minMax"/>
        </c:scaling>
        <c:delete val="0"/>
        <c:axPos val="l"/>
        <c:majorGridlines/>
        <c:numFmt formatCode="0.00%" sourceLinked="1"/>
        <c:majorTickMark val="out"/>
        <c:minorTickMark val="none"/>
        <c:tickLblPos val="nextTo"/>
        <c:crossAx val="18398899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Sheet1!$A$71</c:f>
              <c:strCache>
                <c:ptCount val="1"/>
                <c:pt idx="0">
                  <c:v>Doctors</c:v>
                </c:pt>
              </c:strCache>
            </c:strRef>
          </c:tx>
          <c:marker>
            <c:symbol val="none"/>
          </c:marker>
          <c:cat>
            <c:numRef>
              <c:f>Sheet1!$B$70:$K$70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Sheet1!$B$71:$K$71</c:f>
              <c:numCache>
                <c:formatCode>General</c:formatCode>
                <c:ptCount val="10"/>
                <c:pt idx="0" formatCode="#,##0">
                  <c:v>1013</c:v>
                </c:pt>
                <c:pt idx="1">
                  <c:v>917</c:v>
                </c:pt>
                <c:pt idx="2">
                  <c:v>881</c:v>
                </c:pt>
                <c:pt idx="3">
                  <c:v>867</c:v>
                </c:pt>
                <c:pt idx="4">
                  <c:v>846</c:v>
                </c:pt>
                <c:pt idx="5">
                  <c:v>965</c:v>
                </c:pt>
                <c:pt idx="6" formatCode="#,##0">
                  <c:v>1068</c:v>
                </c:pt>
                <c:pt idx="7" formatCode="#,##0">
                  <c:v>1105</c:v>
                </c:pt>
                <c:pt idx="8" formatCode="#,##0">
                  <c:v>1184</c:v>
                </c:pt>
                <c:pt idx="9" formatCode="#,##0">
                  <c:v>1256</c:v>
                </c:pt>
              </c:numCache>
            </c:numRef>
          </c:val>
          <c:smooth val="0"/>
        </c:ser>
        <c:ser>
          <c:idx val="1"/>
          <c:order val="1"/>
          <c:tx>
            <c:strRef>
              <c:f>Sheet1!$A$72</c:f>
              <c:strCache>
                <c:ptCount val="1"/>
                <c:pt idx="0">
                  <c:v>Nurses</c:v>
                </c:pt>
              </c:strCache>
            </c:strRef>
          </c:tx>
          <c:marker>
            <c:symbol val="none"/>
          </c:marker>
          <c:cat>
            <c:numRef>
              <c:f>Sheet1!$B$70:$K$70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Sheet1!$B$72:$K$72</c:f>
              <c:numCache>
                <c:formatCode>#,##0</c:formatCode>
                <c:ptCount val="10"/>
                <c:pt idx="0">
                  <c:v>1364</c:v>
                </c:pt>
                <c:pt idx="1">
                  <c:v>1390</c:v>
                </c:pt>
                <c:pt idx="2">
                  <c:v>1356</c:v>
                </c:pt>
                <c:pt idx="3">
                  <c:v>1390</c:v>
                </c:pt>
                <c:pt idx="4">
                  <c:v>1372</c:v>
                </c:pt>
                <c:pt idx="5">
                  <c:v>1438</c:v>
                </c:pt>
                <c:pt idx="6">
                  <c:v>1259</c:v>
                </c:pt>
                <c:pt idx="7">
                  <c:v>1608</c:v>
                </c:pt>
                <c:pt idx="8">
                  <c:v>1763</c:v>
                </c:pt>
                <c:pt idx="9">
                  <c:v>2105</c:v>
                </c:pt>
              </c:numCache>
            </c:numRef>
          </c:val>
          <c:smooth val="0"/>
        </c:ser>
        <c:ser>
          <c:idx val="2"/>
          <c:order val="2"/>
          <c:tx>
            <c:strRef>
              <c:f>Sheet1!$A$73</c:f>
              <c:strCache>
                <c:ptCount val="1"/>
                <c:pt idx="0">
                  <c:v>Police</c:v>
                </c:pt>
              </c:strCache>
            </c:strRef>
          </c:tx>
          <c:marker>
            <c:symbol val="none"/>
          </c:marker>
          <c:cat>
            <c:numRef>
              <c:f>Sheet1!$B$70:$K$70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Sheet1!$B$73:$K$73</c:f>
              <c:numCache>
                <c:formatCode>#,##0</c:formatCode>
                <c:ptCount val="10"/>
                <c:pt idx="0">
                  <c:v>6516</c:v>
                </c:pt>
                <c:pt idx="1">
                  <c:v>6503</c:v>
                </c:pt>
                <c:pt idx="2">
                  <c:v>7044</c:v>
                </c:pt>
                <c:pt idx="3">
                  <c:v>7391</c:v>
                </c:pt>
                <c:pt idx="4">
                  <c:v>7630</c:v>
                </c:pt>
                <c:pt idx="5">
                  <c:v>8442</c:v>
                </c:pt>
                <c:pt idx="6">
                  <c:v>10203</c:v>
                </c:pt>
                <c:pt idx="7">
                  <c:v>14344</c:v>
                </c:pt>
                <c:pt idx="8">
                  <c:v>15794</c:v>
                </c:pt>
                <c:pt idx="9">
                  <c:v>20992</c:v>
                </c:pt>
              </c:numCache>
            </c:numRef>
          </c:val>
          <c:smooth val="0"/>
        </c:ser>
        <c:ser>
          <c:idx val="3"/>
          <c:order val="3"/>
          <c:tx>
            <c:strRef>
              <c:f>Sheet1!$A$74</c:f>
              <c:strCache>
                <c:ptCount val="1"/>
                <c:pt idx="0">
                  <c:v>School personnel</c:v>
                </c:pt>
              </c:strCache>
            </c:strRef>
          </c:tx>
          <c:marker>
            <c:symbol val="none"/>
          </c:marker>
          <c:cat>
            <c:numRef>
              <c:f>Sheet1!$B$70:$K$70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Sheet1!$B$74:$K$74</c:f>
              <c:numCache>
                <c:formatCode>#,##0</c:formatCode>
                <c:ptCount val="10"/>
                <c:pt idx="0">
                  <c:v>3657</c:v>
                </c:pt>
                <c:pt idx="1">
                  <c:v>3587</c:v>
                </c:pt>
                <c:pt idx="2">
                  <c:v>3532</c:v>
                </c:pt>
                <c:pt idx="3">
                  <c:v>3913</c:v>
                </c:pt>
                <c:pt idx="4">
                  <c:v>4416</c:v>
                </c:pt>
                <c:pt idx="5">
                  <c:v>5900</c:v>
                </c:pt>
                <c:pt idx="6">
                  <c:v>6775</c:v>
                </c:pt>
                <c:pt idx="7">
                  <c:v>7501</c:v>
                </c:pt>
                <c:pt idx="8">
                  <c:v>8940</c:v>
                </c:pt>
                <c:pt idx="9">
                  <c:v>10417</c:v>
                </c:pt>
              </c:numCache>
            </c:numRef>
          </c:val>
          <c:smooth val="0"/>
        </c:ser>
        <c:ser>
          <c:idx val="4"/>
          <c:order val="4"/>
          <c:tx>
            <c:strRef>
              <c:f>Sheet1!$A$75</c:f>
              <c:strCache>
                <c:ptCount val="1"/>
                <c:pt idx="0">
                  <c:v>Psychiatrists</c:v>
                </c:pt>
              </c:strCache>
            </c:strRef>
          </c:tx>
          <c:marker>
            <c:symbol val="none"/>
          </c:marker>
          <c:cat>
            <c:numRef>
              <c:f>Sheet1!$B$70:$K$70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Sheet1!$B$75:$K$75</c:f>
              <c:numCache>
                <c:formatCode>General</c:formatCode>
                <c:ptCount val="10"/>
                <c:pt idx="0">
                  <c:v>150</c:v>
                </c:pt>
                <c:pt idx="1">
                  <c:v>219</c:v>
                </c:pt>
                <c:pt idx="2">
                  <c:v>135</c:v>
                </c:pt>
                <c:pt idx="3">
                  <c:v>195</c:v>
                </c:pt>
                <c:pt idx="4">
                  <c:v>141</c:v>
                </c:pt>
                <c:pt idx="5">
                  <c:v>173</c:v>
                </c:pt>
                <c:pt idx="6">
                  <c:v>198</c:v>
                </c:pt>
                <c:pt idx="7">
                  <c:v>201</c:v>
                </c:pt>
                <c:pt idx="8">
                  <c:v>198</c:v>
                </c:pt>
                <c:pt idx="9">
                  <c:v>174</c:v>
                </c:pt>
              </c:numCache>
            </c:numRef>
          </c:val>
          <c:smooth val="0"/>
        </c:ser>
        <c:ser>
          <c:idx val="5"/>
          <c:order val="5"/>
          <c:tx>
            <c:strRef>
              <c:f>Sheet1!$A$76</c:f>
              <c:strCache>
                <c:ptCount val="1"/>
                <c:pt idx="0">
                  <c:v>Major mandated reporter groups combined</c:v>
                </c:pt>
              </c:strCache>
            </c:strRef>
          </c:tx>
          <c:marker>
            <c:symbol val="none"/>
          </c:marker>
          <c:cat>
            <c:numRef>
              <c:f>Sheet1!$B$70:$K$70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Sheet1!$B$76:$K$76</c:f>
              <c:numCache>
                <c:formatCode>#,##0</c:formatCode>
                <c:ptCount val="10"/>
                <c:pt idx="0">
                  <c:v>12700</c:v>
                </c:pt>
                <c:pt idx="1">
                  <c:v>12616</c:v>
                </c:pt>
                <c:pt idx="2">
                  <c:v>12948</c:v>
                </c:pt>
                <c:pt idx="3">
                  <c:v>13756</c:v>
                </c:pt>
                <c:pt idx="4">
                  <c:v>14405</c:v>
                </c:pt>
                <c:pt idx="5">
                  <c:v>16918</c:v>
                </c:pt>
                <c:pt idx="6">
                  <c:v>19503</c:v>
                </c:pt>
                <c:pt idx="7">
                  <c:v>24759</c:v>
                </c:pt>
                <c:pt idx="8">
                  <c:v>27879</c:v>
                </c:pt>
                <c:pt idx="9">
                  <c:v>34944</c:v>
                </c:pt>
              </c:numCache>
            </c:numRef>
          </c:val>
          <c:smooth val="0"/>
        </c:ser>
        <c:ser>
          <c:idx val="6"/>
          <c:order val="6"/>
          <c:tx>
            <c:strRef>
              <c:f>Sheet1!$A$77</c:f>
              <c:strCache>
                <c:ptCount val="1"/>
                <c:pt idx="0">
                  <c:v>Other reporter groups</c:v>
                </c:pt>
              </c:strCache>
            </c:strRef>
          </c:tx>
          <c:marker>
            <c:symbol val="none"/>
          </c:marker>
          <c:cat>
            <c:numRef>
              <c:f>Sheet1!$B$70:$K$70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Sheet1!$B$77:$K$77</c:f>
              <c:numCache>
                <c:formatCode>#,##0</c:formatCode>
                <c:ptCount val="10"/>
                <c:pt idx="0">
                  <c:v>24567</c:v>
                </c:pt>
                <c:pt idx="1">
                  <c:v>25033</c:v>
                </c:pt>
                <c:pt idx="2">
                  <c:v>23709</c:v>
                </c:pt>
                <c:pt idx="3">
                  <c:v>23937</c:v>
                </c:pt>
                <c:pt idx="4">
                  <c:v>24369</c:v>
                </c:pt>
                <c:pt idx="5">
                  <c:v>24777</c:v>
                </c:pt>
                <c:pt idx="6">
                  <c:v>25267</c:v>
                </c:pt>
                <c:pt idx="7">
                  <c:v>27276</c:v>
                </c:pt>
                <c:pt idx="8">
                  <c:v>31053</c:v>
                </c:pt>
                <c:pt idx="9">
                  <c:v>33704</c:v>
                </c:pt>
              </c:numCache>
            </c:numRef>
          </c:val>
          <c:smooth val="0"/>
        </c:ser>
        <c:dLbls>
          <c:showLegendKey val="0"/>
          <c:showVal val="0"/>
          <c:showCatName val="0"/>
          <c:showSerName val="0"/>
          <c:showPercent val="0"/>
          <c:showBubbleSize val="0"/>
        </c:dLbls>
        <c:marker val="1"/>
        <c:smooth val="0"/>
        <c:axId val="97852416"/>
        <c:axId val="97858304"/>
      </c:lineChart>
      <c:catAx>
        <c:axId val="97852416"/>
        <c:scaling>
          <c:orientation val="minMax"/>
        </c:scaling>
        <c:delete val="0"/>
        <c:axPos val="b"/>
        <c:numFmt formatCode="General" sourceLinked="1"/>
        <c:majorTickMark val="out"/>
        <c:minorTickMark val="none"/>
        <c:tickLblPos val="nextTo"/>
        <c:crossAx val="97858304"/>
        <c:crosses val="autoZero"/>
        <c:auto val="1"/>
        <c:lblAlgn val="ctr"/>
        <c:lblOffset val="100"/>
        <c:noMultiLvlLbl val="0"/>
      </c:catAx>
      <c:valAx>
        <c:axId val="97858304"/>
        <c:scaling>
          <c:orientation val="minMax"/>
        </c:scaling>
        <c:delete val="0"/>
        <c:axPos val="l"/>
        <c:majorGridlines/>
        <c:numFmt formatCode="#,##0" sourceLinked="1"/>
        <c:majorTickMark val="out"/>
        <c:minorTickMark val="none"/>
        <c:tickLblPos val="nextTo"/>
        <c:crossAx val="9785241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Sheet1!$A$21</c:f>
              <c:strCache>
                <c:ptCount val="1"/>
                <c:pt idx="0">
                  <c:v>Doctors</c:v>
                </c:pt>
              </c:strCache>
            </c:strRef>
          </c:tx>
          <c:marker>
            <c:symbol val="none"/>
          </c:marker>
          <c:cat>
            <c:numRef>
              <c:f>Sheet1!$B$20:$K$20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Sheet1!$B$21:$K$21</c:f>
              <c:numCache>
                <c:formatCode>General</c:formatCode>
                <c:ptCount val="10"/>
                <c:pt idx="0">
                  <c:v>207</c:v>
                </c:pt>
                <c:pt idx="1">
                  <c:v>218</c:v>
                </c:pt>
                <c:pt idx="2">
                  <c:v>225</c:v>
                </c:pt>
                <c:pt idx="3">
                  <c:v>207</c:v>
                </c:pt>
                <c:pt idx="4">
                  <c:v>143</c:v>
                </c:pt>
                <c:pt idx="5">
                  <c:v>198</c:v>
                </c:pt>
                <c:pt idx="6">
                  <c:v>310</c:v>
                </c:pt>
                <c:pt idx="7">
                  <c:v>320</c:v>
                </c:pt>
                <c:pt idx="8">
                  <c:v>373</c:v>
                </c:pt>
                <c:pt idx="9">
                  <c:v>452</c:v>
                </c:pt>
              </c:numCache>
            </c:numRef>
          </c:val>
          <c:smooth val="0"/>
        </c:ser>
        <c:ser>
          <c:idx val="1"/>
          <c:order val="1"/>
          <c:tx>
            <c:strRef>
              <c:f>Sheet1!$A$22</c:f>
              <c:strCache>
                <c:ptCount val="1"/>
                <c:pt idx="0">
                  <c:v>Nurses </c:v>
                </c:pt>
              </c:strCache>
            </c:strRef>
          </c:tx>
          <c:marker>
            <c:symbol val="none"/>
          </c:marker>
          <c:cat>
            <c:numRef>
              <c:f>Sheet1!$B$20:$K$20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Sheet1!$B$22:$K$22</c:f>
              <c:numCache>
                <c:formatCode>General</c:formatCode>
                <c:ptCount val="10"/>
                <c:pt idx="0">
                  <c:v>571</c:v>
                </c:pt>
                <c:pt idx="1">
                  <c:v>641</c:v>
                </c:pt>
                <c:pt idx="2">
                  <c:v>673</c:v>
                </c:pt>
                <c:pt idx="3">
                  <c:v>698</c:v>
                </c:pt>
                <c:pt idx="4">
                  <c:v>329</c:v>
                </c:pt>
                <c:pt idx="5">
                  <c:v>525</c:v>
                </c:pt>
                <c:pt idx="6">
                  <c:v>529</c:v>
                </c:pt>
                <c:pt idx="7">
                  <c:v>706</c:v>
                </c:pt>
                <c:pt idx="8">
                  <c:v>936</c:v>
                </c:pt>
                <c:pt idx="9" formatCode="#,##0">
                  <c:v>1214</c:v>
                </c:pt>
              </c:numCache>
            </c:numRef>
          </c:val>
          <c:smooth val="0"/>
        </c:ser>
        <c:ser>
          <c:idx val="2"/>
          <c:order val="2"/>
          <c:tx>
            <c:strRef>
              <c:f>Sheet1!$A$23</c:f>
              <c:strCache>
                <c:ptCount val="1"/>
                <c:pt idx="0">
                  <c:v>Police</c:v>
                </c:pt>
              </c:strCache>
            </c:strRef>
          </c:tx>
          <c:marker>
            <c:symbol val="none"/>
          </c:marker>
          <c:cat>
            <c:numRef>
              <c:f>Sheet1!$B$20:$K$20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Sheet1!$B$23:$K$23</c:f>
              <c:numCache>
                <c:formatCode>#,##0</c:formatCode>
                <c:ptCount val="10"/>
                <c:pt idx="0">
                  <c:v>2798</c:v>
                </c:pt>
                <c:pt idx="1">
                  <c:v>2858</c:v>
                </c:pt>
                <c:pt idx="2">
                  <c:v>3319</c:v>
                </c:pt>
                <c:pt idx="3">
                  <c:v>3695</c:v>
                </c:pt>
                <c:pt idx="4">
                  <c:v>2581</c:v>
                </c:pt>
                <c:pt idx="5">
                  <c:v>3766</c:v>
                </c:pt>
                <c:pt idx="6">
                  <c:v>5958</c:v>
                </c:pt>
                <c:pt idx="7">
                  <c:v>8556</c:v>
                </c:pt>
                <c:pt idx="8">
                  <c:v>10450</c:v>
                </c:pt>
                <c:pt idx="9">
                  <c:v>14139</c:v>
                </c:pt>
              </c:numCache>
            </c:numRef>
          </c:val>
          <c:smooth val="0"/>
        </c:ser>
        <c:ser>
          <c:idx val="3"/>
          <c:order val="3"/>
          <c:tx>
            <c:strRef>
              <c:f>Sheet1!$A$24</c:f>
              <c:strCache>
                <c:ptCount val="1"/>
                <c:pt idx="0">
                  <c:v>School personnel</c:v>
                </c:pt>
              </c:strCache>
            </c:strRef>
          </c:tx>
          <c:marker>
            <c:symbol val="none"/>
          </c:marker>
          <c:cat>
            <c:numRef>
              <c:f>Sheet1!$B$20:$K$20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Sheet1!$B$24:$K$24</c:f>
              <c:numCache>
                <c:formatCode>General</c:formatCode>
                <c:ptCount val="10"/>
                <c:pt idx="0">
                  <c:v>839</c:v>
                </c:pt>
                <c:pt idx="1">
                  <c:v>696</c:v>
                </c:pt>
                <c:pt idx="2">
                  <c:v>791</c:v>
                </c:pt>
                <c:pt idx="3">
                  <c:v>922</c:v>
                </c:pt>
                <c:pt idx="4">
                  <c:v>911</c:v>
                </c:pt>
                <c:pt idx="5" formatCode="#,##0">
                  <c:v>1731</c:v>
                </c:pt>
                <c:pt idx="6" formatCode="#,##0">
                  <c:v>2384</c:v>
                </c:pt>
                <c:pt idx="7" formatCode="#,##0">
                  <c:v>2871</c:v>
                </c:pt>
                <c:pt idx="8" formatCode="#,##0">
                  <c:v>3753</c:v>
                </c:pt>
                <c:pt idx="9" formatCode="#,##0">
                  <c:v>4919</c:v>
                </c:pt>
              </c:numCache>
            </c:numRef>
          </c:val>
          <c:smooth val="0"/>
        </c:ser>
        <c:ser>
          <c:idx val="4"/>
          <c:order val="4"/>
          <c:tx>
            <c:strRef>
              <c:f>Sheet1!$A$25</c:f>
              <c:strCache>
                <c:ptCount val="1"/>
                <c:pt idx="0">
                  <c:v>Psychiatrists</c:v>
                </c:pt>
              </c:strCache>
            </c:strRef>
          </c:tx>
          <c:marker>
            <c:symbol val="none"/>
          </c:marker>
          <c:cat>
            <c:numRef>
              <c:f>Sheet1!$B$20:$K$20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Sheet1!$B$25:$K$25</c:f>
              <c:numCache>
                <c:formatCode>General</c:formatCode>
                <c:ptCount val="10"/>
                <c:pt idx="0">
                  <c:v>75</c:v>
                </c:pt>
                <c:pt idx="1">
                  <c:v>105</c:v>
                </c:pt>
                <c:pt idx="2">
                  <c:v>61</c:v>
                </c:pt>
                <c:pt idx="3">
                  <c:v>77</c:v>
                </c:pt>
                <c:pt idx="4">
                  <c:v>38</c:v>
                </c:pt>
                <c:pt idx="5">
                  <c:v>70</c:v>
                </c:pt>
                <c:pt idx="6">
                  <c:v>90</c:v>
                </c:pt>
                <c:pt idx="7">
                  <c:v>94</c:v>
                </c:pt>
                <c:pt idx="8">
                  <c:v>123</c:v>
                </c:pt>
                <c:pt idx="9">
                  <c:v>120</c:v>
                </c:pt>
              </c:numCache>
            </c:numRef>
          </c:val>
          <c:smooth val="0"/>
        </c:ser>
        <c:ser>
          <c:idx val="5"/>
          <c:order val="5"/>
          <c:tx>
            <c:strRef>
              <c:f>Sheet1!$A$26</c:f>
              <c:strCache>
                <c:ptCount val="1"/>
                <c:pt idx="0">
                  <c:v>Major mandated reporter groups combined</c:v>
                </c:pt>
              </c:strCache>
            </c:strRef>
          </c:tx>
          <c:marker>
            <c:symbol val="none"/>
          </c:marker>
          <c:cat>
            <c:numRef>
              <c:f>Sheet1!$B$20:$K$20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Sheet1!$B$26:$K$26</c:f>
              <c:numCache>
                <c:formatCode>#,##0</c:formatCode>
                <c:ptCount val="10"/>
                <c:pt idx="0">
                  <c:v>4490</c:v>
                </c:pt>
                <c:pt idx="1">
                  <c:v>4518</c:v>
                </c:pt>
                <c:pt idx="2">
                  <c:v>5069</c:v>
                </c:pt>
                <c:pt idx="3">
                  <c:v>5599</c:v>
                </c:pt>
                <c:pt idx="4">
                  <c:v>4002</c:v>
                </c:pt>
                <c:pt idx="5">
                  <c:v>6290</c:v>
                </c:pt>
                <c:pt idx="6">
                  <c:v>9271</c:v>
                </c:pt>
                <c:pt idx="7">
                  <c:v>12547</c:v>
                </c:pt>
                <c:pt idx="8">
                  <c:v>15635</c:v>
                </c:pt>
                <c:pt idx="9">
                  <c:v>20844</c:v>
                </c:pt>
              </c:numCache>
            </c:numRef>
          </c:val>
          <c:smooth val="0"/>
        </c:ser>
        <c:ser>
          <c:idx val="6"/>
          <c:order val="6"/>
          <c:tx>
            <c:strRef>
              <c:f>Sheet1!$A$27</c:f>
              <c:strCache>
                <c:ptCount val="1"/>
                <c:pt idx="0">
                  <c:v>Other reporter groups combined</c:v>
                </c:pt>
              </c:strCache>
            </c:strRef>
          </c:tx>
          <c:marker>
            <c:symbol val="none"/>
          </c:marker>
          <c:cat>
            <c:numRef>
              <c:f>Sheet1!$B$20:$K$20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Sheet1!$B$27:$K$27</c:f>
              <c:numCache>
                <c:formatCode>#,##0</c:formatCode>
                <c:ptCount val="10"/>
                <c:pt idx="0">
                  <c:v>7259</c:v>
                </c:pt>
                <c:pt idx="1">
                  <c:v>7100</c:v>
                </c:pt>
                <c:pt idx="2">
                  <c:v>6836</c:v>
                </c:pt>
                <c:pt idx="3">
                  <c:v>7613</c:v>
                </c:pt>
                <c:pt idx="4">
                  <c:v>6678</c:v>
                </c:pt>
                <c:pt idx="5">
                  <c:v>9791</c:v>
                </c:pt>
                <c:pt idx="6">
                  <c:v>12488</c:v>
                </c:pt>
                <c:pt idx="7">
                  <c:v>13793</c:v>
                </c:pt>
                <c:pt idx="8">
                  <c:v>17368</c:v>
                </c:pt>
                <c:pt idx="9">
                  <c:v>20636</c:v>
                </c:pt>
              </c:numCache>
            </c:numRef>
          </c:val>
          <c:smooth val="0"/>
        </c:ser>
        <c:dLbls>
          <c:showLegendKey val="0"/>
          <c:showVal val="0"/>
          <c:showCatName val="0"/>
          <c:showSerName val="0"/>
          <c:showPercent val="0"/>
          <c:showBubbleSize val="0"/>
        </c:dLbls>
        <c:marker val="1"/>
        <c:smooth val="0"/>
        <c:axId val="98124928"/>
        <c:axId val="98126464"/>
      </c:lineChart>
      <c:catAx>
        <c:axId val="98124928"/>
        <c:scaling>
          <c:orientation val="minMax"/>
        </c:scaling>
        <c:delete val="0"/>
        <c:axPos val="b"/>
        <c:numFmt formatCode="General" sourceLinked="1"/>
        <c:majorTickMark val="out"/>
        <c:minorTickMark val="none"/>
        <c:tickLblPos val="nextTo"/>
        <c:crossAx val="98126464"/>
        <c:crosses val="autoZero"/>
        <c:auto val="1"/>
        <c:lblAlgn val="ctr"/>
        <c:lblOffset val="100"/>
        <c:noMultiLvlLbl val="0"/>
      </c:catAx>
      <c:valAx>
        <c:axId val="98126464"/>
        <c:scaling>
          <c:orientation val="minMax"/>
        </c:scaling>
        <c:delete val="0"/>
        <c:axPos val="l"/>
        <c:majorGridlines/>
        <c:numFmt formatCode="General" sourceLinked="1"/>
        <c:majorTickMark val="out"/>
        <c:minorTickMark val="none"/>
        <c:tickLblPos val="nextTo"/>
        <c:crossAx val="9812492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Sheet1!$A$32</c:f>
              <c:strCache>
                <c:ptCount val="1"/>
                <c:pt idx="0">
                  <c:v>Doctors</c:v>
                </c:pt>
              </c:strCache>
            </c:strRef>
          </c:tx>
          <c:marker>
            <c:symbol val="none"/>
          </c:marker>
          <c:cat>
            <c:numRef>
              <c:f>Sheet1!$B$31:$K$31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Sheet1!$B$32:$K$32</c:f>
              <c:numCache>
                <c:formatCode>General</c:formatCode>
                <c:ptCount val="10"/>
                <c:pt idx="0">
                  <c:v>202</c:v>
                </c:pt>
                <c:pt idx="1">
                  <c:v>175</c:v>
                </c:pt>
                <c:pt idx="2">
                  <c:v>177</c:v>
                </c:pt>
                <c:pt idx="3">
                  <c:v>173</c:v>
                </c:pt>
                <c:pt idx="4">
                  <c:v>320</c:v>
                </c:pt>
                <c:pt idx="5">
                  <c:v>215</c:v>
                </c:pt>
                <c:pt idx="6">
                  <c:v>132</c:v>
                </c:pt>
                <c:pt idx="7">
                  <c:v>167</c:v>
                </c:pt>
                <c:pt idx="8">
                  <c:v>169</c:v>
                </c:pt>
                <c:pt idx="9">
                  <c:v>149</c:v>
                </c:pt>
              </c:numCache>
            </c:numRef>
          </c:val>
          <c:smooth val="0"/>
        </c:ser>
        <c:ser>
          <c:idx val="1"/>
          <c:order val="1"/>
          <c:tx>
            <c:strRef>
              <c:f>Sheet1!$A$33</c:f>
              <c:strCache>
                <c:ptCount val="1"/>
                <c:pt idx="0">
                  <c:v>Nurses</c:v>
                </c:pt>
              </c:strCache>
            </c:strRef>
          </c:tx>
          <c:marker>
            <c:symbol val="none"/>
          </c:marker>
          <c:cat>
            <c:numRef>
              <c:f>Sheet1!$B$31:$K$31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Sheet1!$B$33:$K$33</c:f>
              <c:numCache>
                <c:formatCode>General</c:formatCode>
                <c:ptCount val="10"/>
                <c:pt idx="0">
                  <c:v>461</c:v>
                </c:pt>
                <c:pt idx="1">
                  <c:v>401</c:v>
                </c:pt>
                <c:pt idx="2">
                  <c:v>384</c:v>
                </c:pt>
                <c:pt idx="3">
                  <c:v>338</c:v>
                </c:pt>
                <c:pt idx="4">
                  <c:v>623</c:v>
                </c:pt>
                <c:pt idx="5">
                  <c:v>403</c:v>
                </c:pt>
                <c:pt idx="6">
                  <c:v>237</c:v>
                </c:pt>
                <c:pt idx="7">
                  <c:v>300</c:v>
                </c:pt>
                <c:pt idx="8">
                  <c:v>359</c:v>
                </c:pt>
                <c:pt idx="9">
                  <c:v>374</c:v>
                </c:pt>
              </c:numCache>
            </c:numRef>
          </c:val>
          <c:smooth val="0"/>
        </c:ser>
        <c:ser>
          <c:idx val="2"/>
          <c:order val="2"/>
          <c:tx>
            <c:strRef>
              <c:f>Sheet1!$A$34</c:f>
              <c:strCache>
                <c:ptCount val="1"/>
                <c:pt idx="0">
                  <c:v>Police</c:v>
                </c:pt>
              </c:strCache>
            </c:strRef>
          </c:tx>
          <c:marker>
            <c:symbol val="none"/>
          </c:marker>
          <c:cat>
            <c:numRef>
              <c:f>Sheet1!$B$31:$K$31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Sheet1!$B$34:$K$34</c:f>
              <c:numCache>
                <c:formatCode>#,##0</c:formatCode>
                <c:ptCount val="10"/>
                <c:pt idx="0">
                  <c:v>1733</c:v>
                </c:pt>
                <c:pt idx="1">
                  <c:v>1566</c:v>
                </c:pt>
                <c:pt idx="2">
                  <c:v>1580</c:v>
                </c:pt>
                <c:pt idx="3">
                  <c:v>1433</c:v>
                </c:pt>
                <c:pt idx="4">
                  <c:v>2432</c:v>
                </c:pt>
                <c:pt idx="5">
                  <c:v>1275</c:v>
                </c:pt>
                <c:pt idx="6" formatCode="General">
                  <c:v>507</c:v>
                </c:pt>
                <c:pt idx="7" formatCode="General">
                  <c:v>588</c:v>
                </c:pt>
                <c:pt idx="8" formatCode="General">
                  <c:v>750</c:v>
                </c:pt>
                <c:pt idx="9" formatCode="General">
                  <c:v>621</c:v>
                </c:pt>
              </c:numCache>
            </c:numRef>
          </c:val>
          <c:smooth val="0"/>
        </c:ser>
        <c:ser>
          <c:idx val="3"/>
          <c:order val="3"/>
          <c:tx>
            <c:strRef>
              <c:f>Sheet1!$A$35</c:f>
              <c:strCache>
                <c:ptCount val="1"/>
                <c:pt idx="0">
                  <c:v>School personnel</c:v>
                </c:pt>
              </c:strCache>
            </c:strRef>
          </c:tx>
          <c:marker>
            <c:symbol val="none"/>
          </c:marker>
          <c:cat>
            <c:numRef>
              <c:f>Sheet1!$B$31:$K$31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Sheet1!$B$35:$K$35</c:f>
              <c:numCache>
                <c:formatCode>General</c:formatCode>
                <c:ptCount val="10"/>
                <c:pt idx="0">
                  <c:v>857</c:v>
                </c:pt>
                <c:pt idx="1">
                  <c:v>883</c:v>
                </c:pt>
                <c:pt idx="2">
                  <c:v>851</c:v>
                </c:pt>
                <c:pt idx="3">
                  <c:v>677</c:v>
                </c:pt>
                <c:pt idx="4" formatCode="#,##0">
                  <c:v>1346</c:v>
                </c:pt>
                <c:pt idx="5">
                  <c:v>824</c:v>
                </c:pt>
                <c:pt idx="6">
                  <c:v>534</c:v>
                </c:pt>
                <c:pt idx="7">
                  <c:v>507</c:v>
                </c:pt>
                <c:pt idx="8">
                  <c:v>653</c:v>
                </c:pt>
                <c:pt idx="9">
                  <c:v>534</c:v>
                </c:pt>
              </c:numCache>
            </c:numRef>
          </c:val>
          <c:smooth val="0"/>
        </c:ser>
        <c:ser>
          <c:idx val="4"/>
          <c:order val="4"/>
          <c:tx>
            <c:strRef>
              <c:f>Sheet1!$A$36</c:f>
              <c:strCache>
                <c:ptCount val="1"/>
                <c:pt idx="0">
                  <c:v>Psychiatrists</c:v>
                </c:pt>
              </c:strCache>
            </c:strRef>
          </c:tx>
          <c:marker>
            <c:symbol val="none"/>
          </c:marker>
          <c:cat>
            <c:numRef>
              <c:f>Sheet1!$B$31:$K$31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Sheet1!$B$36:$K$36</c:f>
              <c:numCache>
                <c:formatCode>General</c:formatCode>
                <c:ptCount val="10"/>
                <c:pt idx="0">
                  <c:v>23</c:v>
                </c:pt>
                <c:pt idx="1">
                  <c:v>23</c:v>
                </c:pt>
                <c:pt idx="2">
                  <c:v>29</c:v>
                </c:pt>
                <c:pt idx="3">
                  <c:v>27</c:v>
                </c:pt>
                <c:pt idx="4">
                  <c:v>52</c:v>
                </c:pt>
                <c:pt idx="5">
                  <c:v>35</c:v>
                </c:pt>
                <c:pt idx="6">
                  <c:v>14</c:v>
                </c:pt>
                <c:pt idx="7">
                  <c:v>18</c:v>
                </c:pt>
                <c:pt idx="8">
                  <c:v>11</c:v>
                </c:pt>
                <c:pt idx="9">
                  <c:v>14</c:v>
                </c:pt>
              </c:numCache>
            </c:numRef>
          </c:val>
          <c:smooth val="0"/>
        </c:ser>
        <c:ser>
          <c:idx val="5"/>
          <c:order val="5"/>
          <c:tx>
            <c:strRef>
              <c:f>Sheet1!$A$37</c:f>
              <c:strCache>
                <c:ptCount val="1"/>
                <c:pt idx="0">
                  <c:v>Major mandated reporter groups combined</c:v>
                </c:pt>
              </c:strCache>
            </c:strRef>
          </c:tx>
          <c:marker>
            <c:symbol val="none"/>
          </c:marker>
          <c:cat>
            <c:numRef>
              <c:f>Sheet1!$B$31:$K$31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Sheet1!$B$37:$K$37</c:f>
              <c:numCache>
                <c:formatCode>#,##0</c:formatCode>
                <c:ptCount val="10"/>
                <c:pt idx="0">
                  <c:v>3276</c:v>
                </c:pt>
                <c:pt idx="1">
                  <c:v>3048</c:v>
                </c:pt>
                <c:pt idx="2">
                  <c:v>3021</c:v>
                </c:pt>
                <c:pt idx="3">
                  <c:v>2648</c:v>
                </c:pt>
                <c:pt idx="4">
                  <c:v>4773</c:v>
                </c:pt>
                <c:pt idx="5">
                  <c:v>2752</c:v>
                </c:pt>
                <c:pt idx="6">
                  <c:v>1424</c:v>
                </c:pt>
                <c:pt idx="7">
                  <c:v>1580</c:v>
                </c:pt>
                <c:pt idx="8">
                  <c:v>1942</c:v>
                </c:pt>
                <c:pt idx="9">
                  <c:v>1692</c:v>
                </c:pt>
              </c:numCache>
            </c:numRef>
          </c:val>
          <c:smooth val="0"/>
        </c:ser>
        <c:ser>
          <c:idx val="6"/>
          <c:order val="6"/>
          <c:tx>
            <c:strRef>
              <c:f>Sheet1!$A$38</c:f>
              <c:strCache>
                <c:ptCount val="1"/>
                <c:pt idx="0">
                  <c:v>Other reporter groups combined</c:v>
                </c:pt>
              </c:strCache>
            </c:strRef>
          </c:tx>
          <c:marker>
            <c:symbol val="none"/>
          </c:marker>
          <c:cat>
            <c:numRef>
              <c:f>Sheet1!$B$31:$K$31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Sheet1!$B$38:$K$38</c:f>
              <c:numCache>
                <c:formatCode>#,##0</c:formatCode>
                <c:ptCount val="10"/>
                <c:pt idx="0">
                  <c:v>8753</c:v>
                </c:pt>
                <c:pt idx="1">
                  <c:v>8654</c:v>
                </c:pt>
                <c:pt idx="2">
                  <c:v>8274</c:v>
                </c:pt>
                <c:pt idx="3">
                  <c:v>6977</c:v>
                </c:pt>
                <c:pt idx="4">
                  <c:v>10005</c:v>
                </c:pt>
                <c:pt idx="5">
                  <c:v>5849</c:v>
                </c:pt>
                <c:pt idx="6">
                  <c:v>2633</c:v>
                </c:pt>
                <c:pt idx="7">
                  <c:v>3195</c:v>
                </c:pt>
                <c:pt idx="8">
                  <c:v>3733</c:v>
                </c:pt>
                <c:pt idx="9">
                  <c:v>3210</c:v>
                </c:pt>
              </c:numCache>
            </c:numRef>
          </c:val>
          <c:smooth val="0"/>
        </c:ser>
        <c:dLbls>
          <c:showLegendKey val="0"/>
          <c:showVal val="0"/>
          <c:showCatName val="0"/>
          <c:showSerName val="0"/>
          <c:showPercent val="0"/>
          <c:showBubbleSize val="0"/>
        </c:dLbls>
        <c:marker val="1"/>
        <c:smooth val="0"/>
        <c:axId val="98163712"/>
        <c:axId val="183898880"/>
      </c:lineChart>
      <c:catAx>
        <c:axId val="98163712"/>
        <c:scaling>
          <c:orientation val="minMax"/>
        </c:scaling>
        <c:delete val="0"/>
        <c:axPos val="b"/>
        <c:numFmt formatCode="General" sourceLinked="1"/>
        <c:majorTickMark val="out"/>
        <c:minorTickMark val="none"/>
        <c:tickLblPos val="nextTo"/>
        <c:crossAx val="183898880"/>
        <c:crosses val="autoZero"/>
        <c:auto val="1"/>
        <c:lblAlgn val="ctr"/>
        <c:lblOffset val="100"/>
        <c:noMultiLvlLbl val="0"/>
      </c:catAx>
      <c:valAx>
        <c:axId val="183898880"/>
        <c:scaling>
          <c:orientation val="minMax"/>
        </c:scaling>
        <c:delete val="0"/>
        <c:axPos val="l"/>
        <c:majorGridlines/>
        <c:numFmt formatCode="General" sourceLinked="1"/>
        <c:majorTickMark val="out"/>
        <c:minorTickMark val="none"/>
        <c:tickLblPos val="nextTo"/>
        <c:crossAx val="9816371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Sheet1!$A$44</c:f>
              <c:strCache>
                <c:ptCount val="1"/>
                <c:pt idx="0">
                  <c:v>Doctors</c:v>
                </c:pt>
              </c:strCache>
            </c:strRef>
          </c:tx>
          <c:marker>
            <c:symbol val="none"/>
          </c:marker>
          <c:cat>
            <c:numRef>
              <c:f>Sheet1!$B$43:$K$43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Sheet1!$B$44:$K$44</c:f>
              <c:numCache>
                <c:formatCode>General</c:formatCode>
                <c:ptCount val="10"/>
                <c:pt idx="0">
                  <c:v>382</c:v>
                </c:pt>
                <c:pt idx="1">
                  <c:v>331</c:v>
                </c:pt>
                <c:pt idx="2">
                  <c:v>276</c:v>
                </c:pt>
                <c:pt idx="3">
                  <c:v>302</c:v>
                </c:pt>
                <c:pt idx="4">
                  <c:v>267</c:v>
                </c:pt>
                <c:pt idx="5">
                  <c:v>381</c:v>
                </c:pt>
                <c:pt idx="6">
                  <c:v>407</c:v>
                </c:pt>
                <c:pt idx="7">
                  <c:v>427</c:v>
                </c:pt>
                <c:pt idx="8">
                  <c:v>442</c:v>
                </c:pt>
                <c:pt idx="9">
                  <c:v>427</c:v>
                </c:pt>
              </c:numCache>
            </c:numRef>
          </c:val>
          <c:smooth val="0"/>
        </c:ser>
        <c:ser>
          <c:idx val="1"/>
          <c:order val="1"/>
          <c:tx>
            <c:strRef>
              <c:f>Sheet1!$A$45</c:f>
              <c:strCache>
                <c:ptCount val="1"/>
                <c:pt idx="0">
                  <c:v>Nurses</c:v>
                </c:pt>
              </c:strCache>
            </c:strRef>
          </c:tx>
          <c:marker>
            <c:symbol val="none"/>
          </c:marker>
          <c:cat>
            <c:numRef>
              <c:f>Sheet1!$B$43:$K$43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Sheet1!$B$45:$K$45</c:f>
              <c:numCache>
                <c:formatCode>General</c:formatCode>
                <c:ptCount val="10"/>
                <c:pt idx="0">
                  <c:v>264</c:v>
                </c:pt>
                <c:pt idx="1">
                  <c:v>291</c:v>
                </c:pt>
                <c:pt idx="2">
                  <c:v>218</c:v>
                </c:pt>
                <c:pt idx="3">
                  <c:v>286</c:v>
                </c:pt>
                <c:pt idx="4">
                  <c:v>353</c:v>
                </c:pt>
                <c:pt idx="5">
                  <c:v>430</c:v>
                </c:pt>
                <c:pt idx="6">
                  <c:v>423</c:v>
                </c:pt>
                <c:pt idx="7">
                  <c:v>530</c:v>
                </c:pt>
                <c:pt idx="8">
                  <c:v>397</c:v>
                </c:pt>
                <c:pt idx="9">
                  <c:v>428</c:v>
                </c:pt>
              </c:numCache>
            </c:numRef>
          </c:val>
          <c:smooth val="0"/>
        </c:ser>
        <c:ser>
          <c:idx val="2"/>
          <c:order val="2"/>
          <c:tx>
            <c:strRef>
              <c:f>Sheet1!$A$46</c:f>
              <c:strCache>
                <c:ptCount val="1"/>
                <c:pt idx="0">
                  <c:v>Police</c:v>
                </c:pt>
              </c:strCache>
            </c:strRef>
          </c:tx>
          <c:marker>
            <c:symbol val="none"/>
          </c:marker>
          <c:cat>
            <c:numRef>
              <c:f>Sheet1!$B$43:$K$43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Sheet1!$B$46:$K$46</c:f>
              <c:numCache>
                <c:formatCode>#,##0</c:formatCode>
                <c:ptCount val="10"/>
                <c:pt idx="0">
                  <c:v>1157</c:v>
                </c:pt>
                <c:pt idx="1">
                  <c:v>1238</c:v>
                </c:pt>
                <c:pt idx="2">
                  <c:v>1209</c:v>
                </c:pt>
                <c:pt idx="3">
                  <c:v>1453</c:v>
                </c:pt>
                <c:pt idx="4">
                  <c:v>1919</c:v>
                </c:pt>
                <c:pt idx="5">
                  <c:v>2606</c:v>
                </c:pt>
                <c:pt idx="6">
                  <c:v>2819</c:v>
                </c:pt>
                <c:pt idx="7">
                  <c:v>3154</c:v>
                </c:pt>
                <c:pt idx="8">
                  <c:v>2823</c:v>
                </c:pt>
                <c:pt idx="9">
                  <c:v>3452</c:v>
                </c:pt>
              </c:numCache>
            </c:numRef>
          </c:val>
          <c:smooth val="0"/>
        </c:ser>
        <c:ser>
          <c:idx val="3"/>
          <c:order val="3"/>
          <c:tx>
            <c:strRef>
              <c:f>Sheet1!$A$47</c:f>
              <c:strCache>
                <c:ptCount val="1"/>
                <c:pt idx="0">
                  <c:v>School personnel</c:v>
                </c:pt>
              </c:strCache>
            </c:strRef>
          </c:tx>
          <c:marker>
            <c:symbol val="none"/>
          </c:marker>
          <c:cat>
            <c:numRef>
              <c:f>Sheet1!$B$43:$K$43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Sheet1!$B$47:$K$47</c:f>
              <c:numCache>
                <c:formatCode>#,##0</c:formatCode>
                <c:ptCount val="10"/>
                <c:pt idx="0">
                  <c:v>1530</c:v>
                </c:pt>
                <c:pt idx="1">
                  <c:v>1538</c:v>
                </c:pt>
                <c:pt idx="2">
                  <c:v>1413</c:v>
                </c:pt>
                <c:pt idx="3">
                  <c:v>1777</c:v>
                </c:pt>
                <c:pt idx="4">
                  <c:v>1739</c:v>
                </c:pt>
                <c:pt idx="5">
                  <c:v>2653</c:v>
                </c:pt>
                <c:pt idx="6">
                  <c:v>3220</c:v>
                </c:pt>
                <c:pt idx="7">
                  <c:v>3340</c:v>
                </c:pt>
                <c:pt idx="8">
                  <c:v>3605</c:v>
                </c:pt>
                <c:pt idx="9">
                  <c:v>3963</c:v>
                </c:pt>
              </c:numCache>
            </c:numRef>
          </c:val>
          <c:smooth val="0"/>
        </c:ser>
        <c:ser>
          <c:idx val="4"/>
          <c:order val="4"/>
          <c:tx>
            <c:strRef>
              <c:f>Sheet1!$A$48</c:f>
              <c:strCache>
                <c:ptCount val="1"/>
                <c:pt idx="0">
                  <c:v>Psychiatrists</c:v>
                </c:pt>
              </c:strCache>
            </c:strRef>
          </c:tx>
          <c:marker>
            <c:symbol val="none"/>
          </c:marker>
          <c:cat>
            <c:numRef>
              <c:f>Sheet1!$B$43:$K$43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Sheet1!$B$48:$K$48</c:f>
              <c:numCache>
                <c:formatCode>General</c:formatCode>
                <c:ptCount val="10"/>
                <c:pt idx="0">
                  <c:v>23</c:v>
                </c:pt>
                <c:pt idx="1">
                  <c:v>68</c:v>
                </c:pt>
                <c:pt idx="2">
                  <c:v>27</c:v>
                </c:pt>
                <c:pt idx="3">
                  <c:v>67</c:v>
                </c:pt>
                <c:pt idx="4">
                  <c:v>38</c:v>
                </c:pt>
                <c:pt idx="5">
                  <c:v>57</c:v>
                </c:pt>
                <c:pt idx="6">
                  <c:v>77</c:v>
                </c:pt>
                <c:pt idx="7">
                  <c:v>68</c:v>
                </c:pt>
                <c:pt idx="8">
                  <c:v>49</c:v>
                </c:pt>
                <c:pt idx="9">
                  <c:v>22</c:v>
                </c:pt>
              </c:numCache>
            </c:numRef>
          </c:val>
          <c:smooth val="0"/>
        </c:ser>
        <c:ser>
          <c:idx val="5"/>
          <c:order val="5"/>
          <c:tx>
            <c:strRef>
              <c:f>Sheet1!$A$49</c:f>
              <c:strCache>
                <c:ptCount val="1"/>
                <c:pt idx="0">
                  <c:v>Major mandated reporter groups combined</c:v>
                </c:pt>
              </c:strCache>
            </c:strRef>
          </c:tx>
          <c:marker>
            <c:symbol val="none"/>
          </c:marker>
          <c:cat>
            <c:numRef>
              <c:f>Sheet1!$B$43:$K$43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Sheet1!$B$49:$K$49</c:f>
              <c:numCache>
                <c:formatCode>#,##0</c:formatCode>
                <c:ptCount val="10"/>
                <c:pt idx="0">
                  <c:v>3356</c:v>
                </c:pt>
                <c:pt idx="1">
                  <c:v>3466</c:v>
                </c:pt>
                <c:pt idx="2">
                  <c:v>3143</c:v>
                </c:pt>
                <c:pt idx="3">
                  <c:v>3885</c:v>
                </c:pt>
                <c:pt idx="4">
                  <c:v>4316</c:v>
                </c:pt>
                <c:pt idx="5">
                  <c:v>6127</c:v>
                </c:pt>
                <c:pt idx="6">
                  <c:v>6946</c:v>
                </c:pt>
                <c:pt idx="7">
                  <c:v>7519</c:v>
                </c:pt>
                <c:pt idx="8">
                  <c:v>7316</c:v>
                </c:pt>
                <c:pt idx="9">
                  <c:v>8292</c:v>
                </c:pt>
              </c:numCache>
            </c:numRef>
          </c:val>
          <c:smooth val="0"/>
        </c:ser>
        <c:ser>
          <c:idx val="6"/>
          <c:order val="6"/>
          <c:tx>
            <c:strRef>
              <c:f>Sheet1!$A$50</c:f>
              <c:strCache>
                <c:ptCount val="1"/>
                <c:pt idx="0">
                  <c:v>Other reporter groups combined</c:v>
                </c:pt>
              </c:strCache>
            </c:strRef>
          </c:tx>
          <c:marker>
            <c:symbol val="none"/>
          </c:marker>
          <c:cat>
            <c:numRef>
              <c:f>Sheet1!$B$43:$K$43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Sheet1!$B$50:$K$50</c:f>
              <c:numCache>
                <c:formatCode>#,##0</c:formatCode>
                <c:ptCount val="10"/>
                <c:pt idx="0">
                  <c:v>5692</c:v>
                </c:pt>
                <c:pt idx="1">
                  <c:v>6231</c:v>
                </c:pt>
                <c:pt idx="2">
                  <c:v>5787</c:v>
                </c:pt>
                <c:pt idx="3">
                  <c:v>6497</c:v>
                </c:pt>
                <c:pt idx="4">
                  <c:v>5887</c:v>
                </c:pt>
                <c:pt idx="5">
                  <c:v>6760</c:v>
                </c:pt>
                <c:pt idx="6">
                  <c:v>7835</c:v>
                </c:pt>
                <c:pt idx="7">
                  <c:v>7531</c:v>
                </c:pt>
                <c:pt idx="8">
                  <c:v>6673</c:v>
                </c:pt>
                <c:pt idx="9">
                  <c:v>6627</c:v>
                </c:pt>
              </c:numCache>
            </c:numRef>
          </c:val>
          <c:smooth val="0"/>
        </c:ser>
        <c:dLbls>
          <c:showLegendKey val="0"/>
          <c:showVal val="0"/>
          <c:showCatName val="0"/>
          <c:showSerName val="0"/>
          <c:showPercent val="0"/>
          <c:showBubbleSize val="0"/>
        </c:dLbls>
        <c:marker val="1"/>
        <c:smooth val="0"/>
        <c:axId val="183936128"/>
        <c:axId val="183937664"/>
      </c:lineChart>
      <c:catAx>
        <c:axId val="183936128"/>
        <c:scaling>
          <c:orientation val="minMax"/>
        </c:scaling>
        <c:delete val="0"/>
        <c:axPos val="b"/>
        <c:numFmt formatCode="General" sourceLinked="1"/>
        <c:majorTickMark val="out"/>
        <c:minorTickMark val="none"/>
        <c:tickLblPos val="nextTo"/>
        <c:crossAx val="183937664"/>
        <c:crosses val="autoZero"/>
        <c:auto val="1"/>
        <c:lblAlgn val="ctr"/>
        <c:lblOffset val="100"/>
        <c:noMultiLvlLbl val="0"/>
      </c:catAx>
      <c:valAx>
        <c:axId val="183937664"/>
        <c:scaling>
          <c:orientation val="minMax"/>
        </c:scaling>
        <c:delete val="0"/>
        <c:axPos val="l"/>
        <c:majorGridlines/>
        <c:numFmt formatCode="General" sourceLinked="1"/>
        <c:majorTickMark val="out"/>
        <c:minorTickMark val="none"/>
        <c:tickLblPos val="nextTo"/>
        <c:crossAx val="18393612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Sheet1!$A$58</c:f>
              <c:strCache>
                <c:ptCount val="1"/>
                <c:pt idx="0">
                  <c:v>Doctors</c:v>
                </c:pt>
              </c:strCache>
            </c:strRef>
          </c:tx>
          <c:marker>
            <c:symbol val="none"/>
          </c:marker>
          <c:cat>
            <c:numRef>
              <c:f>Sheet1!$B$57:$K$57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Sheet1!$B$58:$K$58</c:f>
              <c:numCache>
                <c:formatCode>General</c:formatCode>
                <c:ptCount val="10"/>
                <c:pt idx="0">
                  <c:v>222</c:v>
                </c:pt>
                <c:pt idx="1">
                  <c:v>193</c:v>
                </c:pt>
                <c:pt idx="2">
                  <c:v>203</c:v>
                </c:pt>
                <c:pt idx="3">
                  <c:v>185</c:v>
                </c:pt>
                <c:pt idx="4">
                  <c:v>116</c:v>
                </c:pt>
                <c:pt idx="5">
                  <c:v>171</c:v>
                </c:pt>
                <c:pt idx="6">
                  <c:v>219</c:v>
                </c:pt>
                <c:pt idx="7">
                  <c:v>191</c:v>
                </c:pt>
                <c:pt idx="8">
                  <c:v>200</c:v>
                </c:pt>
                <c:pt idx="9">
                  <c:v>228</c:v>
                </c:pt>
              </c:numCache>
            </c:numRef>
          </c:val>
          <c:smooth val="0"/>
        </c:ser>
        <c:ser>
          <c:idx val="1"/>
          <c:order val="1"/>
          <c:tx>
            <c:strRef>
              <c:f>Sheet1!$A$59</c:f>
              <c:strCache>
                <c:ptCount val="1"/>
                <c:pt idx="0">
                  <c:v>Nurses</c:v>
                </c:pt>
              </c:strCache>
            </c:strRef>
          </c:tx>
          <c:marker>
            <c:symbol val="none"/>
          </c:marker>
          <c:cat>
            <c:numRef>
              <c:f>Sheet1!$B$57:$K$57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Sheet1!$B$59:$K$59</c:f>
              <c:numCache>
                <c:formatCode>General</c:formatCode>
                <c:ptCount val="10"/>
                <c:pt idx="0">
                  <c:v>68</c:v>
                </c:pt>
                <c:pt idx="1">
                  <c:v>57</c:v>
                </c:pt>
                <c:pt idx="2">
                  <c:v>81</c:v>
                </c:pt>
                <c:pt idx="3">
                  <c:v>68</c:v>
                </c:pt>
                <c:pt idx="4">
                  <c:v>67</c:v>
                </c:pt>
                <c:pt idx="5">
                  <c:v>80</c:v>
                </c:pt>
                <c:pt idx="6">
                  <c:v>70</c:v>
                </c:pt>
                <c:pt idx="7">
                  <c:v>72</c:v>
                </c:pt>
                <c:pt idx="8">
                  <c:v>71</c:v>
                </c:pt>
                <c:pt idx="9">
                  <c:v>89</c:v>
                </c:pt>
              </c:numCache>
            </c:numRef>
          </c:val>
          <c:smooth val="0"/>
        </c:ser>
        <c:ser>
          <c:idx val="2"/>
          <c:order val="2"/>
          <c:tx>
            <c:strRef>
              <c:f>Sheet1!$A$60</c:f>
              <c:strCache>
                <c:ptCount val="1"/>
                <c:pt idx="0">
                  <c:v>Police</c:v>
                </c:pt>
              </c:strCache>
            </c:strRef>
          </c:tx>
          <c:marker>
            <c:symbol val="none"/>
          </c:marker>
          <c:cat>
            <c:numRef>
              <c:f>Sheet1!$B$57:$K$57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Sheet1!$B$60:$K$60</c:f>
              <c:numCache>
                <c:formatCode>General</c:formatCode>
                <c:ptCount val="10"/>
                <c:pt idx="0">
                  <c:v>828</c:v>
                </c:pt>
                <c:pt idx="1">
                  <c:v>841</c:v>
                </c:pt>
                <c:pt idx="2">
                  <c:v>936</c:v>
                </c:pt>
                <c:pt idx="3">
                  <c:v>810</c:v>
                </c:pt>
                <c:pt idx="4">
                  <c:v>698</c:v>
                </c:pt>
                <c:pt idx="5">
                  <c:v>795</c:v>
                </c:pt>
                <c:pt idx="6">
                  <c:v>919</c:v>
                </c:pt>
                <c:pt idx="7" formatCode="#,##0">
                  <c:v>2046</c:v>
                </c:pt>
                <c:pt idx="8" formatCode="#,##0">
                  <c:v>1771</c:v>
                </c:pt>
                <c:pt idx="9" formatCode="#,##0">
                  <c:v>2780</c:v>
                </c:pt>
              </c:numCache>
            </c:numRef>
          </c:val>
          <c:smooth val="0"/>
        </c:ser>
        <c:ser>
          <c:idx val="3"/>
          <c:order val="3"/>
          <c:tx>
            <c:strRef>
              <c:f>Sheet1!$A$61</c:f>
              <c:strCache>
                <c:ptCount val="1"/>
                <c:pt idx="0">
                  <c:v>School personnel</c:v>
                </c:pt>
              </c:strCache>
            </c:strRef>
          </c:tx>
          <c:marker>
            <c:symbol val="none"/>
          </c:marker>
          <c:cat>
            <c:numRef>
              <c:f>Sheet1!$B$57:$K$57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Sheet1!$B$61:$K$61</c:f>
              <c:numCache>
                <c:formatCode>General</c:formatCode>
                <c:ptCount val="10"/>
                <c:pt idx="0">
                  <c:v>431</c:v>
                </c:pt>
                <c:pt idx="1">
                  <c:v>470</c:v>
                </c:pt>
                <c:pt idx="2">
                  <c:v>477</c:v>
                </c:pt>
                <c:pt idx="3">
                  <c:v>537</c:v>
                </c:pt>
                <c:pt idx="4">
                  <c:v>420</c:v>
                </c:pt>
                <c:pt idx="5">
                  <c:v>692</c:v>
                </c:pt>
                <c:pt idx="6">
                  <c:v>637</c:v>
                </c:pt>
                <c:pt idx="7">
                  <c:v>783</c:v>
                </c:pt>
                <c:pt idx="8">
                  <c:v>929</c:v>
                </c:pt>
                <c:pt idx="9" formatCode="#,##0">
                  <c:v>1001</c:v>
                </c:pt>
              </c:numCache>
            </c:numRef>
          </c:val>
          <c:smooth val="0"/>
        </c:ser>
        <c:ser>
          <c:idx val="4"/>
          <c:order val="4"/>
          <c:tx>
            <c:strRef>
              <c:f>Sheet1!$A$62</c:f>
              <c:strCache>
                <c:ptCount val="1"/>
                <c:pt idx="0">
                  <c:v>Psychiatrists</c:v>
                </c:pt>
              </c:strCache>
            </c:strRef>
          </c:tx>
          <c:marker>
            <c:symbol val="none"/>
          </c:marker>
          <c:cat>
            <c:numRef>
              <c:f>Sheet1!$B$57:$K$57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Sheet1!$B$62:$K$62</c:f>
              <c:numCache>
                <c:formatCode>General</c:formatCode>
                <c:ptCount val="10"/>
                <c:pt idx="0">
                  <c:v>29</c:v>
                </c:pt>
                <c:pt idx="1">
                  <c:v>23</c:v>
                </c:pt>
                <c:pt idx="2">
                  <c:v>18</c:v>
                </c:pt>
                <c:pt idx="3">
                  <c:v>24</c:v>
                </c:pt>
                <c:pt idx="4">
                  <c:v>13</c:v>
                </c:pt>
                <c:pt idx="5">
                  <c:v>11</c:v>
                </c:pt>
                <c:pt idx="6">
                  <c:v>17</c:v>
                </c:pt>
                <c:pt idx="7">
                  <c:v>21</c:v>
                </c:pt>
                <c:pt idx="8">
                  <c:v>15</c:v>
                </c:pt>
                <c:pt idx="9">
                  <c:v>18</c:v>
                </c:pt>
              </c:numCache>
            </c:numRef>
          </c:val>
          <c:smooth val="0"/>
        </c:ser>
        <c:ser>
          <c:idx val="5"/>
          <c:order val="5"/>
          <c:tx>
            <c:strRef>
              <c:f>Sheet1!$A$63</c:f>
              <c:strCache>
                <c:ptCount val="1"/>
                <c:pt idx="0">
                  <c:v>Major mandated reporter groups combined</c:v>
                </c:pt>
              </c:strCache>
            </c:strRef>
          </c:tx>
          <c:marker>
            <c:symbol val="none"/>
          </c:marker>
          <c:cat>
            <c:numRef>
              <c:f>Sheet1!$B$57:$K$57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Sheet1!$B$63:$K$63</c:f>
              <c:numCache>
                <c:formatCode>#,##0</c:formatCode>
                <c:ptCount val="10"/>
                <c:pt idx="0">
                  <c:v>1578</c:v>
                </c:pt>
                <c:pt idx="1">
                  <c:v>1584</c:v>
                </c:pt>
                <c:pt idx="2">
                  <c:v>1715</c:v>
                </c:pt>
                <c:pt idx="3">
                  <c:v>1624</c:v>
                </c:pt>
                <c:pt idx="4">
                  <c:v>1314</c:v>
                </c:pt>
                <c:pt idx="5">
                  <c:v>1749</c:v>
                </c:pt>
                <c:pt idx="6">
                  <c:v>1862</c:v>
                </c:pt>
                <c:pt idx="7">
                  <c:v>3113</c:v>
                </c:pt>
                <c:pt idx="8">
                  <c:v>2986</c:v>
                </c:pt>
                <c:pt idx="9">
                  <c:v>4116</c:v>
                </c:pt>
              </c:numCache>
            </c:numRef>
          </c:val>
          <c:smooth val="0"/>
        </c:ser>
        <c:ser>
          <c:idx val="6"/>
          <c:order val="6"/>
          <c:tx>
            <c:strRef>
              <c:f>Sheet1!$A$64</c:f>
              <c:strCache>
                <c:ptCount val="1"/>
                <c:pt idx="0">
                  <c:v>Other reporter groups combined</c:v>
                </c:pt>
              </c:strCache>
            </c:strRef>
          </c:tx>
          <c:marker>
            <c:symbol val="none"/>
          </c:marker>
          <c:cat>
            <c:numRef>
              <c:f>Sheet1!$B$57:$K$57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Sheet1!$B$64:$K$64</c:f>
              <c:numCache>
                <c:formatCode>#,##0</c:formatCode>
                <c:ptCount val="10"/>
                <c:pt idx="0">
                  <c:v>2863</c:v>
                </c:pt>
                <c:pt idx="1">
                  <c:v>3048</c:v>
                </c:pt>
                <c:pt idx="2">
                  <c:v>2812</c:v>
                </c:pt>
                <c:pt idx="3">
                  <c:v>2850</c:v>
                </c:pt>
                <c:pt idx="4">
                  <c:v>1799</c:v>
                </c:pt>
                <c:pt idx="5">
                  <c:v>2377</c:v>
                </c:pt>
                <c:pt idx="6">
                  <c:v>2311</c:v>
                </c:pt>
                <c:pt idx="7">
                  <c:v>2757</c:v>
                </c:pt>
                <c:pt idx="8">
                  <c:v>3279</c:v>
                </c:pt>
                <c:pt idx="9">
                  <c:v>3231</c:v>
                </c:pt>
              </c:numCache>
            </c:numRef>
          </c:val>
          <c:smooth val="0"/>
        </c:ser>
        <c:dLbls>
          <c:showLegendKey val="0"/>
          <c:showVal val="0"/>
          <c:showCatName val="0"/>
          <c:showSerName val="0"/>
          <c:showPercent val="0"/>
          <c:showBubbleSize val="0"/>
        </c:dLbls>
        <c:marker val="1"/>
        <c:smooth val="0"/>
        <c:axId val="98266112"/>
        <c:axId val="98272000"/>
      </c:lineChart>
      <c:catAx>
        <c:axId val="98266112"/>
        <c:scaling>
          <c:orientation val="minMax"/>
        </c:scaling>
        <c:delete val="0"/>
        <c:axPos val="b"/>
        <c:numFmt formatCode="General" sourceLinked="1"/>
        <c:majorTickMark val="out"/>
        <c:minorTickMark val="none"/>
        <c:tickLblPos val="nextTo"/>
        <c:crossAx val="98272000"/>
        <c:crosses val="autoZero"/>
        <c:auto val="1"/>
        <c:lblAlgn val="ctr"/>
        <c:lblOffset val="100"/>
        <c:noMultiLvlLbl val="0"/>
      </c:catAx>
      <c:valAx>
        <c:axId val="98272000"/>
        <c:scaling>
          <c:orientation val="minMax"/>
        </c:scaling>
        <c:delete val="0"/>
        <c:axPos val="l"/>
        <c:majorGridlines/>
        <c:numFmt formatCode="General" sourceLinked="1"/>
        <c:majorTickMark val="out"/>
        <c:minorTickMark val="none"/>
        <c:tickLblPos val="nextTo"/>
        <c:crossAx val="98266112"/>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Sheet2!$B$257</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Sheet2!$B$258:$B$267</c:f>
              <c:numCache>
                <c:formatCode>General</c:formatCode>
                <c:ptCount val="10"/>
                <c:pt idx="0">
                  <c:v>8050</c:v>
                </c:pt>
                <c:pt idx="1">
                  <c:v>7709</c:v>
                </c:pt>
                <c:pt idx="2">
                  <c:v>8383</c:v>
                </c:pt>
                <c:pt idx="3">
                  <c:v>9422</c:v>
                </c:pt>
                <c:pt idx="4">
                  <c:v>7582</c:v>
                </c:pt>
                <c:pt idx="5">
                  <c:v>12240</c:v>
                </c:pt>
                <c:pt idx="6">
                  <c:v>17448</c:v>
                </c:pt>
                <c:pt idx="7">
                  <c:v>21438</c:v>
                </c:pt>
                <c:pt idx="8">
                  <c:v>27208</c:v>
                </c:pt>
                <c:pt idx="9">
                  <c:v>34450</c:v>
                </c:pt>
              </c:numCache>
            </c:numRef>
          </c:val>
          <c:smooth val="0"/>
        </c:ser>
        <c:ser>
          <c:idx val="1"/>
          <c:order val="1"/>
          <c:tx>
            <c:strRef>
              <c:f>Sheet2!$C$257</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Sheet2!$C$258:$C$267</c:f>
              <c:numCache>
                <c:formatCode>General</c:formatCode>
                <c:ptCount val="10"/>
                <c:pt idx="0">
                  <c:v>3699</c:v>
                </c:pt>
                <c:pt idx="1">
                  <c:v>3909</c:v>
                </c:pt>
                <c:pt idx="2">
                  <c:v>3522</c:v>
                </c:pt>
                <c:pt idx="3">
                  <c:v>3790</c:v>
                </c:pt>
                <c:pt idx="4">
                  <c:v>3098</c:v>
                </c:pt>
                <c:pt idx="5">
                  <c:v>3841</c:v>
                </c:pt>
                <c:pt idx="6">
                  <c:v>4311</c:v>
                </c:pt>
                <c:pt idx="7">
                  <c:v>4902</c:v>
                </c:pt>
                <c:pt idx="8">
                  <c:v>5795</c:v>
                </c:pt>
                <c:pt idx="9">
                  <c:v>7030</c:v>
                </c:pt>
              </c:numCache>
            </c:numRef>
          </c:val>
          <c:smooth val="0"/>
        </c:ser>
        <c:ser>
          <c:idx val="2"/>
          <c:order val="2"/>
          <c:tx>
            <c:strRef>
              <c:f>Sheet2!$D$257</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Sheet2!$D$258:$D$267</c:f>
              <c:numCache>
                <c:formatCode>General</c:formatCode>
                <c:ptCount val="10"/>
                <c:pt idx="0">
                  <c:v>2557</c:v>
                </c:pt>
                <c:pt idx="1">
                  <c:v>2821</c:v>
                </c:pt>
                <c:pt idx="2">
                  <c:v>2608</c:v>
                </c:pt>
                <c:pt idx="3">
                  <c:v>2779</c:v>
                </c:pt>
                <c:pt idx="4">
                  <c:v>2055</c:v>
                </c:pt>
                <c:pt idx="5">
                  <c:v>2351</c:v>
                </c:pt>
                <c:pt idx="6">
                  <c:v>2536</c:v>
                </c:pt>
                <c:pt idx="7">
                  <c:v>2995</c:v>
                </c:pt>
                <c:pt idx="8">
                  <c:v>3787</c:v>
                </c:pt>
                <c:pt idx="9">
                  <c:v>4617</c:v>
                </c:pt>
              </c:numCache>
            </c:numRef>
          </c:val>
          <c:smooth val="0"/>
        </c:ser>
        <c:ser>
          <c:idx val="3"/>
          <c:order val="3"/>
          <c:tx>
            <c:strRef>
              <c:f>Sheet2!$E$257</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Sheet2!$E$258:$E$267</c:f>
              <c:numCache>
                <c:formatCode>General</c:formatCode>
                <c:ptCount val="10"/>
                <c:pt idx="0">
                  <c:v>1142</c:v>
                </c:pt>
                <c:pt idx="1">
                  <c:v>1088</c:v>
                </c:pt>
                <c:pt idx="2">
                  <c:v>914</c:v>
                </c:pt>
                <c:pt idx="3">
                  <c:v>1011</c:v>
                </c:pt>
                <c:pt idx="4">
                  <c:v>1043</c:v>
                </c:pt>
                <c:pt idx="5">
                  <c:v>1490</c:v>
                </c:pt>
                <c:pt idx="6">
                  <c:v>1775</c:v>
                </c:pt>
                <c:pt idx="7">
                  <c:v>1907</c:v>
                </c:pt>
                <c:pt idx="8">
                  <c:v>2008</c:v>
                </c:pt>
                <c:pt idx="9">
                  <c:v>2413</c:v>
                </c:pt>
              </c:numCache>
            </c:numRef>
          </c:val>
          <c:smooth val="0"/>
        </c:ser>
        <c:dLbls>
          <c:showLegendKey val="0"/>
          <c:showVal val="0"/>
          <c:showCatName val="0"/>
          <c:showSerName val="0"/>
          <c:showPercent val="0"/>
          <c:showBubbleSize val="0"/>
        </c:dLbls>
        <c:marker val="1"/>
        <c:smooth val="0"/>
        <c:axId val="172231680"/>
        <c:axId val="98374400"/>
      </c:lineChart>
      <c:catAx>
        <c:axId val="172231680"/>
        <c:scaling>
          <c:orientation val="minMax"/>
        </c:scaling>
        <c:delete val="0"/>
        <c:axPos val="b"/>
        <c:numFmt formatCode="General" sourceLinked="1"/>
        <c:majorTickMark val="out"/>
        <c:minorTickMark val="none"/>
        <c:tickLblPos val="nextTo"/>
        <c:crossAx val="98374400"/>
        <c:crosses val="autoZero"/>
        <c:auto val="1"/>
        <c:lblAlgn val="ctr"/>
        <c:lblOffset val="100"/>
        <c:noMultiLvlLbl val="0"/>
      </c:catAx>
      <c:valAx>
        <c:axId val="98374400"/>
        <c:scaling>
          <c:orientation val="minMax"/>
        </c:scaling>
        <c:delete val="0"/>
        <c:axPos val="l"/>
        <c:majorGridlines/>
        <c:numFmt formatCode="General" sourceLinked="1"/>
        <c:majorTickMark val="out"/>
        <c:minorTickMark val="none"/>
        <c:tickLblPos val="nextTo"/>
        <c:crossAx val="17223168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Sheet2!$B$272</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Sheet2!$B$273:$B$282</c:f>
              <c:numCache>
                <c:formatCode>General</c:formatCode>
                <c:ptCount val="10"/>
                <c:pt idx="0">
                  <c:v>8553</c:v>
                </c:pt>
                <c:pt idx="1">
                  <c:v>8563</c:v>
                </c:pt>
                <c:pt idx="2">
                  <c:v>8320</c:v>
                </c:pt>
                <c:pt idx="3">
                  <c:v>6992</c:v>
                </c:pt>
                <c:pt idx="4">
                  <c:v>13058</c:v>
                </c:pt>
                <c:pt idx="5">
                  <c:v>7105</c:v>
                </c:pt>
                <c:pt idx="6">
                  <c:v>2870</c:v>
                </c:pt>
                <c:pt idx="7">
                  <c:v>3375</c:v>
                </c:pt>
                <c:pt idx="8">
                  <c:v>4025</c:v>
                </c:pt>
                <c:pt idx="9">
                  <c:v>3553</c:v>
                </c:pt>
              </c:numCache>
            </c:numRef>
          </c:val>
          <c:smooth val="0"/>
        </c:ser>
        <c:ser>
          <c:idx val="1"/>
          <c:order val="1"/>
          <c:tx>
            <c:strRef>
              <c:f>Sheet2!$C$272</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Sheet2!$C$273:$C$282</c:f>
              <c:numCache>
                <c:formatCode>General</c:formatCode>
                <c:ptCount val="10"/>
                <c:pt idx="0">
                  <c:v>3476</c:v>
                </c:pt>
                <c:pt idx="1">
                  <c:v>3139</c:v>
                </c:pt>
                <c:pt idx="2">
                  <c:v>2975</c:v>
                </c:pt>
                <c:pt idx="3">
                  <c:v>2633</c:v>
                </c:pt>
                <c:pt idx="4">
                  <c:v>1720</c:v>
                </c:pt>
                <c:pt idx="5">
                  <c:v>1496</c:v>
                </c:pt>
                <c:pt idx="6">
                  <c:v>1187</c:v>
                </c:pt>
                <c:pt idx="7">
                  <c:v>1400</c:v>
                </c:pt>
                <c:pt idx="8">
                  <c:v>1650</c:v>
                </c:pt>
                <c:pt idx="9">
                  <c:v>1349</c:v>
                </c:pt>
              </c:numCache>
            </c:numRef>
          </c:val>
          <c:smooth val="0"/>
        </c:ser>
        <c:ser>
          <c:idx val="2"/>
          <c:order val="2"/>
          <c:tx>
            <c:strRef>
              <c:f>Sheet2!$D$272</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Sheet2!$D$273:$D$282</c:f>
              <c:numCache>
                <c:formatCode>General</c:formatCode>
                <c:ptCount val="10"/>
                <c:pt idx="0">
                  <c:v>2013</c:v>
                </c:pt>
                <c:pt idx="1">
                  <c:v>1966</c:v>
                </c:pt>
                <c:pt idx="2">
                  <c:v>1955</c:v>
                </c:pt>
                <c:pt idx="3">
                  <c:v>1750</c:v>
                </c:pt>
                <c:pt idx="4">
                  <c:v>1193</c:v>
                </c:pt>
                <c:pt idx="5">
                  <c:v>973</c:v>
                </c:pt>
                <c:pt idx="6">
                  <c:v>678</c:v>
                </c:pt>
                <c:pt idx="7">
                  <c:v>839</c:v>
                </c:pt>
                <c:pt idx="8">
                  <c:v>1064</c:v>
                </c:pt>
                <c:pt idx="9">
                  <c:v>883</c:v>
                </c:pt>
              </c:numCache>
            </c:numRef>
          </c:val>
          <c:smooth val="0"/>
        </c:ser>
        <c:ser>
          <c:idx val="3"/>
          <c:order val="3"/>
          <c:tx>
            <c:strRef>
              <c:f>Sheet2!$E$272</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Sheet2!$E$273:$E$282</c:f>
              <c:numCache>
                <c:formatCode>General</c:formatCode>
                <c:ptCount val="10"/>
                <c:pt idx="0">
                  <c:v>1463</c:v>
                </c:pt>
                <c:pt idx="1">
                  <c:v>1173</c:v>
                </c:pt>
                <c:pt idx="2">
                  <c:v>1020</c:v>
                </c:pt>
                <c:pt idx="3">
                  <c:v>883</c:v>
                </c:pt>
                <c:pt idx="4">
                  <c:v>527</c:v>
                </c:pt>
                <c:pt idx="5">
                  <c:v>523</c:v>
                </c:pt>
                <c:pt idx="6">
                  <c:v>509</c:v>
                </c:pt>
                <c:pt idx="7">
                  <c:v>561</c:v>
                </c:pt>
                <c:pt idx="8">
                  <c:v>586</c:v>
                </c:pt>
                <c:pt idx="9">
                  <c:v>466</c:v>
                </c:pt>
              </c:numCache>
            </c:numRef>
          </c:val>
          <c:smooth val="0"/>
        </c:ser>
        <c:dLbls>
          <c:showLegendKey val="0"/>
          <c:showVal val="0"/>
          <c:showCatName val="0"/>
          <c:showSerName val="0"/>
          <c:showPercent val="0"/>
          <c:showBubbleSize val="0"/>
        </c:dLbls>
        <c:marker val="1"/>
        <c:smooth val="0"/>
        <c:axId val="98409088"/>
        <c:axId val="98410880"/>
      </c:lineChart>
      <c:catAx>
        <c:axId val="98409088"/>
        <c:scaling>
          <c:orientation val="minMax"/>
        </c:scaling>
        <c:delete val="0"/>
        <c:axPos val="b"/>
        <c:numFmt formatCode="General" sourceLinked="1"/>
        <c:majorTickMark val="out"/>
        <c:minorTickMark val="none"/>
        <c:tickLblPos val="nextTo"/>
        <c:crossAx val="98410880"/>
        <c:crosses val="autoZero"/>
        <c:auto val="1"/>
        <c:lblAlgn val="ctr"/>
        <c:lblOffset val="100"/>
        <c:noMultiLvlLbl val="0"/>
      </c:catAx>
      <c:valAx>
        <c:axId val="98410880"/>
        <c:scaling>
          <c:orientation val="minMax"/>
        </c:scaling>
        <c:delete val="0"/>
        <c:axPos val="l"/>
        <c:majorGridlines/>
        <c:numFmt formatCode="General" sourceLinked="1"/>
        <c:majorTickMark val="out"/>
        <c:minorTickMark val="none"/>
        <c:tickLblPos val="nextTo"/>
        <c:crossAx val="98409088"/>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Sheet2!$B$287</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Sheet2!$B$288:$B$297</c:f>
              <c:numCache>
                <c:formatCode>General</c:formatCode>
                <c:ptCount val="10"/>
                <c:pt idx="0">
                  <c:v>5455</c:v>
                </c:pt>
                <c:pt idx="1">
                  <c:v>6170</c:v>
                </c:pt>
                <c:pt idx="2">
                  <c:v>5789</c:v>
                </c:pt>
                <c:pt idx="3">
                  <c:v>6879</c:v>
                </c:pt>
                <c:pt idx="4">
                  <c:v>5330</c:v>
                </c:pt>
                <c:pt idx="5">
                  <c:v>8087</c:v>
                </c:pt>
                <c:pt idx="6">
                  <c:v>9912</c:v>
                </c:pt>
                <c:pt idx="7">
                  <c:v>10027</c:v>
                </c:pt>
                <c:pt idx="8">
                  <c:v>9339</c:v>
                </c:pt>
                <c:pt idx="9">
                  <c:v>9682</c:v>
                </c:pt>
              </c:numCache>
            </c:numRef>
          </c:val>
          <c:smooth val="0"/>
        </c:ser>
        <c:ser>
          <c:idx val="1"/>
          <c:order val="1"/>
          <c:tx>
            <c:strRef>
              <c:f>Sheet2!$C$287</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Sheet2!$C$288:$C$297</c:f>
              <c:numCache>
                <c:formatCode>General</c:formatCode>
                <c:ptCount val="10"/>
                <c:pt idx="0">
                  <c:v>3593</c:v>
                </c:pt>
                <c:pt idx="1">
                  <c:v>3527</c:v>
                </c:pt>
                <c:pt idx="2">
                  <c:v>3141</c:v>
                </c:pt>
                <c:pt idx="3">
                  <c:v>3503</c:v>
                </c:pt>
                <c:pt idx="4">
                  <c:v>4873</c:v>
                </c:pt>
                <c:pt idx="5">
                  <c:v>4800</c:v>
                </c:pt>
                <c:pt idx="6">
                  <c:v>4869</c:v>
                </c:pt>
                <c:pt idx="7">
                  <c:v>5023</c:v>
                </c:pt>
                <c:pt idx="8">
                  <c:v>4650</c:v>
                </c:pt>
                <c:pt idx="9">
                  <c:v>5237</c:v>
                </c:pt>
              </c:numCache>
            </c:numRef>
          </c:val>
          <c:smooth val="0"/>
        </c:ser>
        <c:ser>
          <c:idx val="2"/>
          <c:order val="2"/>
          <c:tx>
            <c:strRef>
              <c:f>Sheet2!$D$287</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Sheet2!$D$288:$D$297</c:f>
              <c:numCache>
                <c:formatCode>General</c:formatCode>
                <c:ptCount val="10"/>
                <c:pt idx="0">
                  <c:v>2076</c:v>
                </c:pt>
                <c:pt idx="1">
                  <c:v>2221</c:v>
                </c:pt>
                <c:pt idx="2">
                  <c:v>2112</c:v>
                </c:pt>
                <c:pt idx="3">
                  <c:v>2186</c:v>
                </c:pt>
                <c:pt idx="4">
                  <c:v>3213</c:v>
                </c:pt>
                <c:pt idx="5">
                  <c:v>3061</c:v>
                </c:pt>
                <c:pt idx="6">
                  <c:v>2913</c:v>
                </c:pt>
                <c:pt idx="7">
                  <c:v>2863</c:v>
                </c:pt>
                <c:pt idx="8">
                  <c:v>2855</c:v>
                </c:pt>
                <c:pt idx="9">
                  <c:v>3235</c:v>
                </c:pt>
              </c:numCache>
            </c:numRef>
          </c:val>
          <c:smooth val="0"/>
        </c:ser>
        <c:ser>
          <c:idx val="3"/>
          <c:order val="3"/>
          <c:tx>
            <c:strRef>
              <c:f>Sheet2!$E$287</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Sheet2!$E$288:$E$297</c:f>
              <c:numCache>
                <c:formatCode>General</c:formatCode>
                <c:ptCount val="10"/>
                <c:pt idx="0">
                  <c:v>1517</c:v>
                </c:pt>
                <c:pt idx="1">
                  <c:v>1306</c:v>
                </c:pt>
                <c:pt idx="2">
                  <c:v>1029</c:v>
                </c:pt>
                <c:pt idx="3">
                  <c:v>1317</c:v>
                </c:pt>
                <c:pt idx="4">
                  <c:v>1660</c:v>
                </c:pt>
                <c:pt idx="5">
                  <c:v>1739</c:v>
                </c:pt>
                <c:pt idx="6">
                  <c:v>1956</c:v>
                </c:pt>
                <c:pt idx="7">
                  <c:v>2160</c:v>
                </c:pt>
                <c:pt idx="8">
                  <c:v>1795</c:v>
                </c:pt>
                <c:pt idx="9">
                  <c:v>2002</c:v>
                </c:pt>
              </c:numCache>
            </c:numRef>
          </c:val>
          <c:smooth val="0"/>
        </c:ser>
        <c:dLbls>
          <c:showLegendKey val="0"/>
          <c:showVal val="0"/>
          <c:showCatName val="0"/>
          <c:showSerName val="0"/>
          <c:showPercent val="0"/>
          <c:showBubbleSize val="0"/>
        </c:dLbls>
        <c:marker val="1"/>
        <c:smooth val="0"/>
        <c:axId val="99109504"/>
        <c:axId val="99111296"/>
      </c:lineChart>
      <c:catAx>
        <c:axId val="99109504"/>
        <c:scaling>
          <c:orientation val="minMax"/>
        </c:scaling>
        <c:delete val="0"/>
        <c:axPos val="b"/>
        <c:numFmt formatCode="General" sourceLinked="1"/>
        <c:majorTickMark val="out"/>
        <c:minorTickMark val="none"/>
        <c:tickLblPos val="nextTo"/>
        <c:crossAx val="99111296"/>
        <c:crosses val="autoZero"/>
        <c:auto val="1"/>
        <c:lblAlgn val="ctr"/>
        <c:lblOffset val="100"/>
        <c:noMultiLvlLbl val="0"/>
      </c:catAx>
      <c:valAx>
        <c:axId val="99111296"/>
        <c:scaling>
          <c:orientation val="minMax"/>
        </c:scaling>
        <c:delete val="0"/>
        <c:axPos val="l"/>
        <c:majorGridlines/>
        <c:numFmt formatCode="General" sourceLinked="1"/>
        <c:majorTickMark val="out"/>
        <c:minorTickMark val="none"/>
        <c:tickLblPos val="nextTo"/>
        <c:crossAx val="991095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1100"/>
              <a:t>Fig</a:t>
            </a:r>
            <a:r>
              <a:rPr lang="en-US" sz="1100" baseline="0"/>
              <a:t> 3:  </a:t>
            </a:r>
            <a:r>
              <a:rPr lang="en-AU" sz="1100"/>
              <a:t>Number of notifications of emotional abuse, by year, by reporter group,</a:t>
            </a:r>
            <a:r>
              <a:rPr lang="en-AU" sz="1100" baseline="0"/>
              <a:t> </a:t>
            </a:r>
            <a:r>
              <a:rPr lang="en-AU" sz="1100"/>
              <a:t>2003-2012</a:t>
            </a:r>
            <a:endParaRPr lang="en-US" sz="1100"/>
          </a:p>
        </c:rich>
      </c:tx>
      <c:layout>
        <c:manualLayout>
          <c:xMode val="edge"/>
          <c:yMode val="edge"/>
          <c:x val="0.13943416272965881"/>
          <c:y val="2.2603126765869279E-2"/>
        </c:manualLayout>
      </c:layout>
      <c:overlay val="0"/>
    </c:title>
    <c:autoTitleDeleted val="0"/>
    <c:plotArea>
      <c:layout>
        <c:manualLayout>
          <c:layoutTarget val="inner"/>
          <c:xMode val="edge"/>
          <c:yMode val="edge"/>
          <c:x val="0.101659831568678"/>
          <c:y val="0.14261666444236801"/>
          <c:w val="0.859156343774785"/>
          <c:h val="0.7326856934369359"/>
        </c:manualLayout>
      </c:layout>
      <c:barChart>
        <c:barDir val="col"/>
        <c:grouping val="stacked"/>
        <c:varyColors val="0"/>
        <c:ser>
          <c:idx val="0"/>
          <c:order val="0"/>
          <c:tx>
            <c:strRef>
              <c:f>Sheet2!$B$4</c:f>
              <c:strCache>
                <c:ptCount val="1"/>
                <c:pt idx="0">
                  <c:v>Police</c:v>
                </c:pt>
              </c:strCache>
            </c:strRef>
          </c:tx>
          <c:spPr>
            <a:solidFill>
              <a:srgbClr val="0070C4"/>
            </a:solidFill>
            <a:ln w="28575">
              <a:noFill/>
            </a:ln>
          </c:spPr>
          <c:invertIfNegative val="0"/>
          <c:dLbls>
            <c:delete val="1"/>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Sheet2!$C$4:$L$4</c:f>
              <c:numCache>
                <c:formatCode>#,##0</c:formatCode>
                <c:ptCount val="10"/>
                <c:pt idx="0">
                  <c:v>2798</c:v>
                </c:pt>
                <c:pt idx="1">
                  <c:v>2858</c:v>
                </c:pt>
                <c:pt idx="2">
                  <c:v>3319</c:v>
                </c:pt>
                <c:pt idx="3">
                  <c:v>3695</c:v>
                </c:pt>
                <c:pt idx="4">
                  <c:v>2581</c:v>
                </c:pt>
                <c:pt idx="5">
                  <c:v>3766</c:v>
                </c:pt>
                <c:pt idx="6">
                  <c:v>5958</c:v>
                </c:pt>
                <c:pt idx="7">
                  <c:v>8556</c:v>
                </c:pt>
                <c:pt idx="8">
                  <c:v>10450</c:v>
                </c:pt>
                <c:pt idx="9">
                  <c:v>14139</c:v>
                </c:pt>
              </c:numCache>
            </c:numRef>
          </c:val>
        </c:ser>
        <c:ser>
          <c:idx val="1"/>
          <c:order val="1"/>
          <c:tx>
            <c:strRef>
              <c:f>Sheet2!$B$5</c:f>
              <c:strCache>
                <c:ptCount val="1"/>
                <c:pt idx="0">
                  <c:v>School personnel</c:v>
                </c:pt>
              </c:strCache>
            </c:strRef>
          </c:tx>
          <c:spPr>
            <a:solidFill>
              <a:schemeClr val="tx2">
                <a:lumMod val="60000"/>
                <a:lumOff val="40000"/>
              </a:schemeClr>
            </a:solidFill>
            <a:ln w="28575">
              <a:noFill/>
            </a:ln>
          </c:spPr>
          <c:invertIfNegative val="0"/>
          <c:dLbls>
            <c:delete val="1"/>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Sheet2!$C$5:$L$5</c:f>
              <c:numCache>
                <c:formatCode>General</c:formatCode>
                <c:ptCount val="10"/>
                <c:pt idx="0">
                  <c:v>839</c:v>
                </c:pt>
                <c:pt idx="1">
                  <c:v>696</c:v>
                </c:pt>
                <c:pt idx="2">
                  <c:v>791</c:v>
                </c:pt>
                <c:pt idx="3">
                  <c:v>922</c:v>
                </c:pt>
                <c:pt idx="4">
                  <c:v>911</c:v>
                </c:pt>
                <c:pt idx="5" formatCode="#,##0">
                  <c:v>1731</c:v>
                </c:pt>
                <c:pt idx="6" formatCode="#,##0">
                  <c:v>2384</c:v>
                </c:pt>
                <c:pt idx="7" formatCode="#,##0">
                  <c:v>2871</c:v>
                </c:pt>
                <c:pt idx="8" formatCode="#,##0">
                  <c:v>3753</c:v>
                </c:pt>
                <c:pt idx="9" formatCode="#,##0">
                  <c:v>4919</c:v>
                </c:pt>
              </c:numCache>
            </c:numRef>
          </c:val>
        </c:ser>
        <c:ser>
          <c:idx val="2"/>
          <c:order val="2"/>
          <c:tx>
            <c:strRef>
              <c:f>Sheet2!$B$6</c:f>
              <c:strCache>
                <c:ptCount val="1"/>
                <c:pt idx="0">
                  <c:v>MMR groups combined</c:v>
                </c:pt>
              </c:strCache>
            </c:strRef>
          </c:tx>
          <c:spPr>
            <a:solidFill>
              <a:schemeClr val="accent5"/>
            </a:solidFill>
            <a:ln w="28575">
              <a:noFill/>
            </a:ln>
          </c:spPr>
          <c:invertIfNegative val="0"/>
          <c:dLbls>
            <c:delete val="1"/>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Sheet2!$C$6:$L$6</c:f>
              <c:numCache>
                <c:formatCode>#,##0</c:formatCode>
                <c:ptCount val="10"/>
                <c:pt idx="0">
                  <c:v>853</c:v>
                </c:pt>
                <c:pt idx="1">
                  <c:v>964</c:v>
                </c:pt>
                <c:pt idx="2">
                  <c:v>959</c:v>
                </c:pt>
                <c:pt idx="3">
                  <c:v>982</c:v>
                </c:pt>
                <c:pt idx="4">
                  <c:v>510</c:v>
                </c:pt>
                <c:pt idx="5">
                  <c:v>793</c:v>
                </c:pt>
                <c:pt idx="6">
                  <c:v>929</c:v>
                </c:pt>
                <c:pt idx="7">
                  <c:v>1120</c:v>
                </c:pt>
                <c:pt idx="8">
                  <c:v>1432</c:v>
                </c:pt>
                <c:pt idx="9">
                  <c:v>1786</c:v>
                </c:pt>
              </c:numCache>
            </c:numRef>
          </c:val>
        </c:ser>
        <c:ser>
          <c:idx val="3"/>
          <c:order val="3"/>
          <c:tx>
            <c:strRef>
              <c:f>Sheet2!$B$7</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Sheet2!$C$7:$L$7</c:f>
              <c:numCache>
                <c:formatCode>#,##0</c:formatCode>
                <c:ptCount val="10"/>
                <c:pt idx="0">
                  <c:v>7259</c:v>
                </c:pt>
                <c:pt idx="1">
                  <c:v>7100</c:v>
                </c:pt>
                <c:pt idx="2">
                  <c:v>6836</c:v>
                </c:pt>
                <c:pt idx="3">
                  <c:v>7613</c:v>
                </c:pt>
                <c:pt idx="4">
                  <c:v>6678</c:v>
                </c:pt>
                <c:pt idx="5">
                  <c:v>9791</c:v>
                </c:pt>
                <c:pt idx="6">
                  <c:v>12488</c:v>
                </c:pt>
                <c:pt idx="7">
                  <c:v>13793</c:v>
                </c:pt>
                <c:pt idx="8">
                  <c:v>17368</c:v>
                </c:pt>
                <c:pt idx="9">
                  <c:v>20636</c:v>
                </c:pt>
              </c:numCache>
            </c:numRef>
          </c:val>
        </c:ser>
        <c:dLbls>
          <c:dLblPos val="ctr"/>
          <c:showLegendKey val="0"/>
          <c:showVal val="1"/>
          <c:showCatName val="0"/>
          <c:showSerName val="0"/>
          <c:showPercent val="0"/>
          <c:showBubbleSize val="0"/>
        </c:dLbls>
        <c:gapWidth val="150"/>
        <c:overlap val="100"/>
        <c:axId val="171858560"/>
        <c:axId val="171860352"/>
      </c:barChart>
      <c:lineChart>
        <c:grouping val="standard"/>
        <c:varyColors val="0"/>
        <c:ser>
          <c:idx val="4"/>
          <c:order val="4"/>
          <c:tx>
            <c:strRef>
              <c:f>Sheet2!$B$8</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Sheet2!$C$3:$L$3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Sheet2!$C$8:$L$8</c:f>
              <c:numCache>
                <c:formatCode>#,##0</c:formatCode>
                <c:ptCount val="10"/>
                <c:pt idx="0">
                  <c:v>11749</c:v>
                </c:pt>
                <c:pt idx="1">
                  <c:v>11618</c:v>
                </c:pt>
                <c:pt idx="2">
                  <c:v>11905</c:v>
                </c:pt>
                <c:pt idx="3">
                  <c:v>13212</c:v>
                </c:pt>
                <c:pt idx="4">
                  <c:v>10680</c:v>
                </c:pt>
                <c:pt idx="5">
                  <c:v>16081</c:v>
                </c:pt>
                <c:pt idx="6">
                  <c:v>21759</c:v>
                </c:pt>
                <c:pt idx="7">
                  <c:v>26340</c:v>
                </c:pt>
                <c:pt idx="8">
                  <c:v>33003</c:v>
                </c:pt>
                <c:pt idx="9">
                  <c:v>41480</c:v>
                </c:pt>
              </c:numCache>
            </c:numRef>
          </c:val>
          <c:smooth val="0"/>
        </c:ser>
        <c:dLbls>
          <c:showLegendKey val="0"/>
          <c:showVal val="0"/>
          <c:showCatName val="0"/>
          <c:showSerName val="0"/>
          <c:showPercent val="0"/>
          <c:showBubbleSize val="0"/>
        </c:dLbls>
        <c:marker val="1"/>
        <c:smooth val="0"/>
        <c:axId val="171858560"/>
        <c:axId val="171860352"/>
      </c:lineChart>
      <c:catAx>
        <c:axId val="171858560"/>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171860352"/>
        <c:crosses val="autoZero"/>
        <c:auto val="1"/>
        <c:lblAlgn val="ctr"/>
        <c:lblOffset val="100"/>
        <c:noMultiLvlLbl val="0"/>
      </c:catAx>
      <c:valAx>
        <c:axId val="171860352"/>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171858560"/>
        <c:crosses val="autoZero"/>
        <c:crossBetween val="between"/>
        <c:majorUnit val="4000"/>
      </c:valAx>
    </c:plotArea>
    <c:legend>
      <c:legendPos val="l"/>
      <c:legendEntry>
        <c:idx val="4"/>
        <c:delete val="1"/>
      </c:legendEntry>
      <c:layout>
        <c:manualLayout>
          <c:xMode val="edge"/>
          <c:yMode val="edge"/>
          <c:x val="0.124610591900312"/>
          <c:y val="0.20907091360236599"/>
          <c:w val="0.51241379874244697"/>
          <c:h val="0.21828361584769881"/>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Sheet2!$B$302</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Sheet2!$B$303:$B$312</c:f>
              <c:numCache>
                <c:formatCode>General</c:formatCode>
                <c:ptCount val="10"/>
                <c:pt idx="0">
                  <c:v>2741</c:v>
                </c:pt>
                <c:pt idx="1">
                  <c:v>2800</c:v>
                </c:pt>
                <c:pt idx="2">
                  <c:v>2825</c:v>
                </c:pt>
                <c:pt idx="3">
                  <c:v>2883</c:v>
                </c:pt>
                <c:pt idx="4">
                  <c:v>1668</c:v>
                </c:pt>
                <c:pt idx="5">
                  <c:v>2797</c:v>
                </c:pt>
                <c:pt idx="6">
                  <c:v>2871</c:v>
                </c:pt>
                <c:pt idx="7">
                  <c:v>2935</c:v>
                </c:pt>
                <c:pt idx="8">
                  <c:v>3367</c:v>
                </c:pt>
                <c:pt idx="9">
                  <c:v>3903</c:v>
                </c:pt>
              </c:numCache>
            </c:numRef>
          </c:val>
          <c:smooth val="0"/>
        </c:ser>
        <c:ser>
          <c:idx val="1"/>
          <c:order val="1"/>
          <c:tx>
            <c:strRef>
              <c:f>Sheet2!$C$302</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Sheet2!$C$303:$C$312</c:f>
              <c:numCache>
                <c:formatCode>General</c:formatCode>
                <c:ptCount val="10"/>
                <c:pt idx="0">
                  <c:v>1700</c:v>
                </c:pt>
                <c:pt idx="1">
                  <c:v>1832</c:v>
                </c:pt>
                <c:pt idx="2">
                  <c:v>1702</c:v>
                </c:pt>
                <c:pt idx="3">
                  <c:v>1591</c:v>
                </c:pt>
                <c:pt idx="4">
                  <c:v>1445</c:v>
                </c:pt>
                <c:pt idx="5">
                  <c:v>1329</c:v>
                </c:pt>
                <c:pt idx="6">
                  <c:v>1302</c:v>
                </c:pt>
                <c:pt idx="7">
                  <c:v>2935</c:v>
                </c:pt>
                <c:pt idx="8">
                  <c:v>2898</c:v>
                </c:pt>
                <c:pt idx="9">
                  <c:v>3444</c:v>
                </c:pt>
              </c:numCache>
            </c:numRef>
          </c:val>
          <c:smooth val="0"/>
        </c:ser>
        <c:ser>
          <c:idx val="2"/>
          <c:order val="2"/>
          <c:tx>
            <c:strRef>
              <c:f>Sheet2!$D$302</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Sheet2!$D$303:$D$312</c:f>
              <c:numCache>
                <c:formatCode>General</c:formatCode>
                <c:ptCount val="10"/>
                <c:pt idx="0">
                  <c:v>765</c:v>
                </c:pt>
                <c:pt idx="1">
                  <c:v>904</c:v>
                </c:pt>
                <c:pt idx="2">
                  <c:v>829</c:v>
                </c:pt>
                <c:pt idx="3">
                  <c:v>773</c:v>
                </c:pt>
                <c:pt idx="4">
                  <c:v>671</c:v>
                </c:pt>
                <c:pt idx="5">
                  <c:v>634</c:v>
                </c:pt>
                <c:pt idx="6">
                  <c:v>655</c:v>
                </c:pt>
                <c:pt idx="7">
                  <c:v>989</c:v>
                </c:pt>
                <c:pt idx="8">
                  <c:v>1230</c:v>
                </c:pt>
                <c:pt idx="9">
                  <c:v>1463</c:v>
                </c:pt>
              </c:numCache>
            </c:numRef>
          </c:val>
          <c:smooth val="0"/>
        </c:ser>
        <c:ser>
          <c:idx val="3"/>
          <c:order val="3"/>
          <c:tx>
            <c:strRef>
              <c:f>Sheet2!$E$302</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Sheet2!$E$303:$E$312</c:f>
              <c:numCache>
                <c:formatCode>General</c:formatCode>
                <c:ptCount val="10"/>
                <c:pt idx="0">
                  <c:v>935</c:v>
                </c:pt>
                <c:pt idx="1">
                  <c:v>928</c:v>
                </c:pt>
                <c:pt idx="2">
                  <c:v>873</c:v>
                </c:pt>
                <c:pt idx="3">
                  <c:v>818</c:v>
                </c:pt>
                <c:pt idx="4">
                  <c:v>774</c:v>
                </c:pt>
                <c:pt idx="5">
                  <c:v>695</c:v>
                </c:pt>
                <c:pt idx="6">
                  <c:v>647</c:v>
                </c:pt>
                <c:pt idx="7">
                  <c:v>1946</c:v>
                </c:pt>
                <c:pt idx="8">
                  <c:v>1668</c:v>
                </c:pt>
                <c:pt idx="9">
                  <c:v>1981</c:v>
                </c:pt>
              </c:numCache>
            </c:numRef>
          </c:val>
          <c:smooth val="0"/>
        </c:ser>
        <c:dLbls>
          <c:showLegendKey val="0"/>
          <c:showVal val="0"/>
          <c:showCatName val="0"/>
          <c:showSerName val="0"/>
          <c:showPercent val="0"/>
          <c:showBubbleSize val="0"/>
        </c:dLbls>
        <c:marker val="1"/>
        <c:smooth val="0"/>
        <c:axId val="99138176"/>
        <c:axId val="99148160"/>
      </c:lineChart>
      <c:catAx>
        <c:axId val="99138176"/>
        <c:scaling>
          <c:orientation val="minMax"/>
        </c:scaling>
        <c:delete val="0"/>
        <c:axPos val="b"/>
        <c:numFmt formatCode="General" sourceLinked="1"/>
        <c:majorTickMark val="out"/>
        <c:minorTickMark val="none"/>
        <c:tickLblPos val="nextTo"/>
        <c:crossAx val="99148160"/>
        <c:crosses val="autoZero"/>
        <c:auto val="1"/>
        <c:lblAlgn val="ctr"/>
        <c:lblOffset val="100"/>
        <c:noMultiLvlLbl val="0"/>
      </c:catAx>
      <c:valAx>
        <c:axId val="99148160"/>
        <c:scaling>
          <c:orientation val="minMax"/>
        </c:scaling>
        <c:delete val="0"/>
        <c:axPos val="l"/>
        <c:majorGridlines/>
        <c:numFmt formatCode="General" sourceLinked="1"/>
        <c:majorTickMark val="out"/>
        <c:minorTickMark val="none"/>
        <c:tickLblPos val="nextTo"/>
        <c:crossAx val="99138176"/>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Sheet2!$B$139</c:f>
              <c:strCache>
                <c:ptCount val="1"/>
                <c:pt idx="0">
                  <c:v>Emotional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Sheet2!$B$140:$B$149</c:f>
              <c:numCache>
                <c:formatCode>General</c:formatCode>
                <c:ptCount val="10"/>
                <c:pt idx="0">
                  <c:v>4490</c:v>
                </c:pt>
                <c:pt idx="1">
                  <c:v>4518</c:v>
                </c:pt>
                <c:pt idx="2">
                  <c:v>5069</c:v>
                </c:pt>
                <c:pt idx="3">
                  <c:v>5599</c:v>
                </c:pt>
                <c:pt idx="4">
                  <c:v>4002</c:v>
                </c:pt>
                <c:pt idx="5">
                  <c:v>6290</c:v>
                </c:pt>
                <c:pt idx="6">
                  <c:v>9271</c:v>
                </c:pt>
                <c:pt idx="7">
                  <c:v>12547</c:v>
                </c:pt>
                <c:pt idx="8">
                  <c:v>15635</c:v>
                </c:pt>
                <c:pt idx="9">
                  <c:v>20844</c:v>
                </c:pt>
              </c:numCache>
            </c:numRef>
          </c:val>
          <c:smooth val="0"/>
        </c:ser>
        <c:ser>
          <c:idx val="1"/>
          <c:order val="1"/>
          <c:tx>
            <c:strRef>
              <c:f>Sheet2!$C$139</c:f>
              <c:strCache>
                <c:ptCount val="1"/>
                <c:pt idx="0">
                  <c:v>Neglect</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Sheet2!$C$140:$C$149</c:f>
              <c:numCache>
                <c:formatCode>General</c:formatCode>
                <c:ptCount val="10"/>
                <c:pt idx="0">
                  <c:v>3276</c:v>
                </c:pt>
                <c:pt idx="1">
                  <c:v>3048</c:v>
                </c:pt>
                <c:pt idx="2">
                  <c:v>3021</c:v>
                </c:pt>
                <c:pt idx="3">
                  <c:v>2648</c:v>
                </c:pt>
                <c:pt idx="4">
                  <c:v>4773</c:v>
                </c:pt>
                <c:pt idx="5">
                  <c:v>2752</c:v>
                </c:pt>
                <c:pt idx="6">
                  <c:v>1424</c:v>
                </c:pt>
                <c:pt idx="7">
                  <c:v>1580</c:v>
                </c:pt>
                <c:pt idx="8">
                  <c:v>1942</c:v>
                </c:pt>
                <c:pt idx="9">
                  <c:v>1692</c:v>
                </c:pt>
              </c:numCache>
            </c:numRef>
          </c:val>
          <c:smooth val="0"/>
        </c:ser>
        <c:ser>
          <c:idx val="2"/>
          <c:order val="2"/>
          <c:tx>
            <c:strRef>
              <c:f>Sheet2!$D$139</c:f>
              <c:strCache>
                <c:ptCount val="1"/>
                <c:pt idx="0">
                  <c:v>Physical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Sheet2!$D$140:$D$149</c:f>
              <c:numCache>
                <c:formatCode>General</c:formatCode>
                <c:ptCount val="10"/>
                <c:pt idx="0">
                  <c:v>3356</c:v>
                </c:pt>
                <c:pt idx="1">
                  <c:v>3466</c:v>
                </c:pt>
                <c:pt idx="2">
                  <c:v>3143</c:v>
                </c:pt>
                <c:pt idx="3">
                  <c:v>3885</c:v>
                </c:pt>
                <c:pt idx="4">
                  <c:v>4316</c:v>
                </c:pt>
                <c:pt idx="5">
                  <c:v>6127</c:v>
                </c:pt>
                <c:pt idx="6">
                  <c:v>6946</c:v>
                </c:pt>
                <c:pt idx="7">
                  <c:v>7519</c:v>
                </c:pt>
                <c:pt idx="8">
                  <c:v>7316</c:v>
                </c:pt>
                <c:pt idx="9">
                  <c:v>8292</c:v>
                </c:pt>
              </c:numCache>
            </c:numRef>
          </c:val>
          <c:smooth val="0"/>
        </c:ser>
        <c:ser>
          <c:idx val="3"/>
          <c:order val="3"/>
          <c:tx>
            <c:strRef>
              <c:f>Sheet2!$E$139</c:f>
              <c:strCache>
                <c:ptCount val="1"/>
                <c:pt idx="0">
                  <c:v>Sexual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Sheet2!$E$140:$E$149</c:f>
              <c:numCache>
                <c:formatCode>General</c:formatCode>
                <c:ptCount val="10"/>
                <c:pt idx="0">
                  <c:v>1578</c:v>
                </c:pt>
                <c:pt idx="1">
                  <c:v>1584</c:v>
                </c:pt>
                <c:pt idx="2">
                  <c:v>1715</c:v>
                </c:pt>
                <c:pt idx="3">
                  <c:v>1624</c:v>
                </c:pt>
                <c:pt idx="4">
                  <c:v>1314</c:v>
                </c:pt>
                <c:pt idx="5">
                  <c:v>1749</c:v>
                </c:pt>
                <c:pt idx="6">
                  <c:v>1862</c:v>
                </c:pt>
                <c:pt idx="7">
                  <c:v>3113</c:v>
                </c:pt>
                <c:pt idx="8">
                  <c:v>2986</c:v>
                </c:pt>
                <c:pt idx="9">
                  <c:v>4116</c:v>
                </c:pt>
              </c:numCache>
            </c:numRef>
          </c:val>
          <c:smooth val="0"/>
        </c:ser>
        <c:dLbls>
          <c:showLegendKey val="0"/>
          <c:showVal val="0"/>
          <c:showCatName val="0"/>
          <c:showSerName val="0"/>
          <c:showPercent val="0"/>
          <c:showBubbleSize val="0"/>
        </c:dLbls>
        <c:marker val="1"/>
        <c:smooth val="0"/>
        <c:axId val="98847744"/>
        <c:axId val="98853632"/>
      </c:lineChart>
      <c:catAx>
        <c:axId val="98847744"/>
        <c:scaling>
          <c:orientation val="minMax"/>
        </c:scaling>
        <c:delete val="0"/>
        <c:axPos val="b"/>
        <c:numFmt formatCode="General" sourceLinked="1"/>
        <c:majorTickMark val="out"/>
        <c:minorTickMark val="none"/>
        <c:tickLblPos val="nextTo"/>
        <c:crossAx val="98853632"/>
        <c:crosses val="autoZero"/>
        <c:auto val="1"/>
        <c:lblAlgn val="ctr"/>
        <c:lblOffset val="100"/>
        <c:noMultiLvlLbl val="0"/>
      </c:catAx>
      <c:valAx>
        <c:axId val="98853632"/>
        <c:scaling>
          <c:orientation val="minMax"/>
        </c:scaling>
        <c:delete val="0"/>
        <c:axPos val="l"/>
        <c:majorGridlines/>
        <c:numFmt formatCode="General" sourceLinked="1"/>
        <c:majorTickMark val="out"/>
        <c:minorTickMark val="none"/>
        <c:tickLblPos val="nextTo"/>
        <c:crossAx val="98847744"/>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Sheet2!$B$154</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Sheet2!$B$155:$B$164</c:f>
              <c:numCache>
                <c:formatCode>General</c:formatCode>
                <c:ptCount val="10"/>
                <c:pt idx="0">
                  <c:v>7803</c:v>
                </c:pt>
                <c:pt idx="1">
                  <c:v>7763</c:v>
                </c:pt>
                <c:pt idx="2">
                  <c:v>8400</c:v>
                </c:pt>
                <c:pt idx="3">
                  <c:v>9243</c:v>
                </c:pt>
                <c:pt idx="4">
                  <c:v>9785</c:v>
                </c:pt>
                <c:pt idx="5">
                  <c:v>11801</c:v>
                </c:pt>
                <c:pt idx="6">
                  <c:v>14043</c:v>
                </c:pt>
                <c:pt idx="7">
                  <c:v>17385</c:v>
                </c:pt>
                <c:pt idx="8">
                  <c:v>20484</c:v>
                </c:pt>
                <c:pt idx="9">
                  <c:v>25777</c:v>
                </c:pt>
              </c:numCache>
            </c:numRef>
          </c:val>
          <c:smooth val="0"/>
        </c:ser>
        <c:ser>
          <c:idx val="1"/>
          <c:order val="1"/>
          <c:tx>
            <c:strRef>
              <c:f>Sheet2!$C$154</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Sheet2!$C$155:$C$164</c:f>
              <c:numCache>
                <c:formatCode>General</c:formatCode>
                <c:ptCount val="10"/>
                <c:pt idx="0">
                  <c:v>4897</c:v>
                </c:pt>
                <c:pt idx="1">
                  <c:v>4853</c:v>
                </c:pt>
                <c:pt idx="2">
                  <c:v>4548</c:v>
                </c:pt>
                <c:pt idx="3">
                  <c:v>4513</c:v>
                </c:pt>
                <c:pt idx="4">
                  <c:v>4620</c:v>
                </c:pt>
                <c:pt idx="5">
                  <c:v>5117</c:v>
                </c:pt>
                <c:pt idx="6">
                  <c:v>5460</c:v>
                </c:pt>
                <c:pt idx="7">
                  <c:v>7374</c:v>
                </c:pt>
                <c:pt idx="8">
                  <c:v>7395</c:v>
                </c:pt>
                <c:pt idx="9">
                  <c:v>9167</c:v>
                </c:pt>
              </c:numCache>
            </c:numRef>
          </c:val>
          <c:smooth val="0"/>
        </c:ser>
        <c:ser>
          <c:idx val="2"/>
          <c:order val="2"/>
          <c:tx>
            <c:strRef>
              <c:f>Sheet2!$D$154</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Sheet2!$D$155:$D$164</c:f>
              <c:numCache>
                <c:formatCode>General</c:formatCode>
                <c:ptCount val="10"/>
                <c:pt idx="0">
                  <c:v>3212</c:v>
                </c:pt>
                <c:pt idx="1">
                  <c:v>3347</c:v>
                </c:pt>
                <c:pt idx="2">
                  <c:v>3254</c:v>
                </c:pt>
                <c:pt idx="3">
                  <c:v>3163</c:v>
                </c:pt>
                <c:pt idx="4">
                  <c:v>3171</c:v>
                </c:pt>
                <c:pt idx="5">
                  <c:v>3306</c:v>
                </c:pt>
                <c:pt idx="6">
                  <c:v>3364</c:v>
                </c:pt>
                <c:pt idx="7">
                  <c:v>4013</c:v>
                </c:pt>
                <c:pt idx="8">
                  <c:v>4522</c:v>
                </c:pt>
                <c:pt idx="9">
                  <c:v>5536</c:v>
                </c:pt>
              </c:numCache>
            </c:numRef>
          </c:val>
          <c:smooth val="0"/>
        </c:ser>
        <c:ser>
          <c:idx val="3"/>
          <c:order val="3"/>
          <c:tx>
            <c:strRef>
              <c:f>Sheet2!$E$154</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Sheet2!$E$155:$E$164</c:f>
              <c:numCache>
                <c:formatCode>General</c:formatCode>
                <c:ptCount val="10"/>
                <c:pt idx="0">
                  <c:v>1685</c:v>
                </c:pt>
                <c:pt idx="1">
                  <c:v>1506</c:v>
                </c:pt>
                <c:pt idx="2">
                  <c:v>1294</c:v>
                </c:pt>
                <c:pt idx="3">
                  <c:v>1350</c:v>
                </c:pt>
                <c:pt idx="4">
                  <c:v>1449</c:v>
                </c:pt>
                <c:pt idx="5">
                  <c:v>1811</c:v>
                </c:pt>
                <c:pt idx="6">
                  <c:v>2096</c:v>
                </c:pt>
                <c:pt idx="7">
                  <c:v>3361</c:v>
                </c:pt>
                <c:pt idx="8">
                  <c:v>2873</c:v>
                </c:pt>
                <c:pt idx="9">
                  <c:v>3631</c:v>
                </c:pt>
              </c:numCache>
            </c:numRef>
          </c:val>
          <c:smooth val="0"/>
        </c:ser>
        <c:dLbls>
          <c:showLegendKey val="0"/>
          <c:showVal val="0"/>
          <c:showCatName val="0"/>
          <c:showSerName val="0"/>
          <c:showPercent val="0"/>
          <c:showBubbleSize val="0"/>
        </c:dLbls>
        <c:marker val="1"/>
        <c:smooth val="0"/>
        <c:axId val="98884992"/>
        <c:axId val="98886784"/>
      </c:lineChart>
      <c:catAx>
        <c:axId val="98884992"/>
        <c:scaling>
          <c:orientation val="minMax"/>
        </c:scaling>
        <c:delete val="0"/>
        <c:axPos val="b"/>
        <c:numFmt formatCode="General" sourceLinked="1"/>
        <c:majorTickMark val="out"/>
        <c:minorTickMark val="none"/>
        <c:tickLblPos val="nextTo"/>
        <c:crossAx val="98886784"/>
        <c:crosses val="autoZero"/>
        <c:auto val="1"/>
        <c:lblAlgn val="ctr"/>
        <c:lblOffset val="100"/>
        <c:noMultiLvlLbl val="0"/>
      </c:catAx>
      <c:valAx>
        <c:axId val="98886784"/>
        <c:scaling>
          <c:orientation val="minMax"/>
        </c:scaling>
        <c:delete val="0"/>
        <c:axPos val="l"/>
        <c:majorGridlines/>
        <c:numFmt formatCode="General" sourceLinked="1"/>
        <c:majorTickMark val="out"/>
        <c:minorTickMark val="none"/>
        <c:tickLblPos val="nextTo"/>
        <c:crossAx val="9888499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Sheet2!$B$168</c:f>
              <c:strCache>
                <c:ptCount val="1"/>
                <c:pt idx="0">
                  <c:v>Emotional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Sheet2!$B$169:$B$178</c:f>
              <c:numCache>
                <c:formatCode>General</c:formatCode>
                <c:ptCount val="10"/>
                <c:pt idx="0">
                  <c:v>7259</c:v>
                </c:pt>
                <c:pt idx="1">
                  <c:v>7100</c:v>
                </c:pt>
                <c:pt idx="2">
                  <c:v>6836</c:v>
                </c:pt>
                <c:pt idx="3">
                  <c:v>7613</c:v>
                </c:pt>
                <c:pt idx="4">
                  <c:v>6678</c:v>
                </c:pt>
                <c:pt idx="5">
                  <c:v>9791</c:v>
                </c:pt>
                <c:pt idx="6">
                  <c:v>12488</c:v>
                </c:pt>
                <c:pt idx="7">
                  <c:v>13793</c:v>
                </c:pt>
                <c:pt idx="8">
                  <c:v>17368</c:v>
                </c:pt>
                <c:pt idx="9">
                  <c:v>20636</c:v>
                </c:pt>
              </c:numCache>
            </c:numRef>
          </c:val>
          <c:smooth val="0"/>
        </c:ser>
        <c:ser>
          <c:idx val="1"/>
          <c:order val="1"/>
          <c:tx>
            <c:strRef>
              <c:f>Sheet2!$C$168</c:f>
              <c:strCache>
                <c:ptCount val="1"/>
                <c:pt idx="0">
                  <c:v>Neglect</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Sheet2!$C$169:$C$178</c:f>
              <c:numCache>
                <c:formatCode>General</c:formatCode>
                <c:ptCount val="10"/>
                <c:pt idx="0">
                  <c:v>8753</c:v>
                </c:pt>
                <c:pt idx="1">
                  <c:v>8654</c:v>
                </c:pt>
                <c:pt idx="2">
                  <c:v>8274</c:v>
                </c:pt>
                <c:pt idx="3">
                  <c:v>6977</c:v>
                </c:pt>
                <c:pt idx="4">
                  <c:v>10005</c:v>
                </c:pt>
                <c:pt idx="5">
                  <c:v>5849</c:v>
                </c:pt>
                <c:pt idx="6">
                  <c:v>2633</c:v>
                </c:pt>
                <c:pt idx="7">
                  <c:v>3195</c:v>
                </c:pt>
                <c:pt idx="8">
                  <c:v>3733</c:v>
                </c:pt>
                <c:pt idx="9">
                  <c:v>3210</c:v>
                </c:pt>
              </c:numCache>
            </c:numRef>
          </c:val>
          <c:smooth val="0"/>
        </c:ser>
        <c:ser>
          <c:idx val="2"/>
          <c:order val="2"/>
          <c:tx>
            <c:strRef>
              <c:f>Sheet2!$D$168</c:f>
              <c:strCache>
                <c:ptCount val="1"/>
                <c:pt idx="0">
                  <c:v>Physical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Sheet2!$D$169:$D$178</c:f>
              <c:numCache>
                <c:formatCode>General</c:formatCode>
                <c:ptCount val="10"/>
                <c:pt idx="0">
                  <c:v>5692</c:v>
                </c:pt>
                <c:pt idx="1">
                  <c:v>6231</c:v>
                </c:pt>
                <c:pt idx="2">
                  <c:v>5787</c:v>
                </c:pt>
                <c:pt idx="3">
                  <c:v>6497</c:v>
                </c:pt>
                <c:pt idx="4">
                  <c:v>5887</c:v>
                </c:pt>
                <c:pt idx="5">
                  <c:v>6760</c:v>
                </c:pt>
                <c:pt idx="6">
                  <c:v>7835</c:v>
                </c:pt>
                <c:pt idx="7">
                  <c:v>7531</c:v>
                </c:pt>
                <c:pt idx="8">
                  <c:v>6673</c:v>
                </c:pt>
                <c:pt idx="9">
                  <c:v>6627</c:v>
                </c:pt>
              </c:numCache>
            </c:numRef>
          </c:val>
          <c:smooth val="0"/>
        </c:ser>
        <c:ser>
          <c:idx val="3"/>
          <c:order val="3"/>
          <c:tx>
            <c:strRef>
              <c:f>Sheet2!$E$168</c:f>
              <c:strCache>
                <c:ptCount val="1"/>
                <c:pt idx="0">
                  <c:v>Sexual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Sheet2!$E$169:$E$178</c:f>
              <c:numCache>
                <c:formatCode>General</c:formatCode>
                <c:ptCount val="10"/>
                <c:pt idx="0">
                  <c:v>2863</c:v>
                </c:pt>
                <c:pt idx="1">
                  <c:v>3048</c:v>
                </c:pt>
                <c:pt idx="2">
                  <c:v>2812</c:v>
                </c:pt>
                <c:pt idx="3">
                  <c:v>2850</c:v>
                </c:pt>
                <c:pt idx="4">
                  <c:v>1799</c:v>
                </c:pt>
                <c:pt idx="5">
                  <c:v>2377</c:v>
                </c:pt>
                <c:pt idx="6">
                  <c:v>2311</c:v>
                </c:pt>
                <c:pt idx="7">
                  <c:v>2757</c:v>
                </c:pt>
                <c:pt idx="8">
                  <c:v>3279</c:v>
                </c:pt>
                <c:pt idx="9">
                  <c:v>3231</c:v>
                </c:pt>
              </c:numCache>
            </c:numRef>
          </c:val>
          <c:smooth val="0"/>
        </c:ser>
        <c:dLbls>
          <c:showLegendKey val="0"/>
          <c:showVal val="0"/>
          <c:showCatName val="0"/>
          <c:showSerName val="0"/>
          <c:showPercent val="0"/>
          <c:showBubbleSize val="0"/>
        </c:dLbls>
        <c:marker val="1"/>
        <c:smooth val="0"/>
        <c:axId val="98933760"/>
        <c:axId val="98935552"/>
      </c:lineChart>
      <c:catAx>
        <c:axId val="98933760"/>
        <c:scaling>
          <c:orientation val="minMax"/>
        </c:scaling>
        <c:delete val="0"/>
        <c:axPos val="b"/>
        <c:numFmt formatCode="General" sourceLinked="1"/>
        <c:majorTickMark val="out"/>
        <c:minorTickMark val="none"/>
        <c:tickLblPos val="nextTo"/>
        <c:crossAx val="98935552"/>
        <c:crosses val="autoZero"/>
        <c:auto val="1"/>
        <c:lblAlgn val="ctr"/>
        <c:lblOffset val="100"/>
        <c:noMultiLvlLbl val="0"/>
      </c:catAx>
      <c:valAx>
        <c:axId val="98935552"/>
        <c:scaling>
          <c:orientation val="minMax"/>
        </c:scaling>
        <c:delete val="0"/>
        <c:axPos val="l"/>
        <c:majorGridlines/>
        <c:numFmt formatCode="General" sourceLinked="1"/>
        <c:majorTickMark val="out"/>
        <c:minorTickMark val="none"/>
        <c:tickLblPos val="nextTo"/>
        <c:crossAx val="98933760"/>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Sheet2!$B$183</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Sheet2!$B$184:$B$193</c:f>
              <c:numCache>
                <c:formatCode>General</c:formatCode>
                <c:ptCount val="10"/>
                <c:pt idx="0">
                  <c:v>16996</c:v>
                </c:pt>
                <c:pt idx="1">
                  <c:v>17479</c:v>
                </c:pt>
                <c:pt idx="2">
                  <c:v>16917</c:v>
                </c:pt>
                <c:pt idx="3">
                  <c:v>16933</c:v>
                </c:pt>
                <c:pt idx="4">
                  <c:v>17853</c:v>
                </c:pt>
                <c:pt idx="5">
                  <c:v>18428</c:v>
                </c:pt>
                <c:pt idx="6">
                  <c:v>19058</c:v>
                </c:pt>
                <c:pt idx="7">
                  <c:v>20390</c:v>
                </c:pt>
                <c:pt idx="8">
                  <c:v>23455</c:v>
                </c:pt>
                <c:pt idx="9">
                  <c:v>25811</c:v>
                </c:pt>
              </c:numCache>
            </c:numRef>
          </c:val>
          <c:smooth val="0"/>
        </c:ser>
        <c:ser>
          <c:idx val="1"/>
          <c:order val="1"/>
          <c:tx>
            <c:strRef>
              <c:f>Sheet2!$C$183</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Sheet2!$C$184:$C$193</c:f>
              <c:numCache>
                <c:formatCode>General</c:formatCode>
                <c:ptCount val="10"/>
                <c:pt idx="0">
                  <c:v>7571</c:v>
                </c:pt>
                <c:pt idx="1">
                  <c:v>7554</c:v>
                </c:pt>
                <c:pt idx="2">
                  <c:v>6792</c:v>
                </c:pt>
                <c:pt idx="3">
                  <c:v>7004</c:v>
                </c:pt>
                <c:pt idx="4">
                  <c:v>6516</c:v>
                </c:pt>
                <c:pt idx="5">
                  <c:v>6349</c:v>
                </c:pt>
                <c:pt idx="6">
                  <c:v>6209</c:v>
                </c:pt>
                <c:pt idx="7">
                  <c:v>6886</c:v>
                </c:pt>
                <c:pt idx="8">
                  <c:v>7598</c:v>
                </c:pt>
                <c:pt idx="9">
                  <c:v>7893</c:v>
                </c:pt>
              </c:numCache>
            </c:numRef>
          </c:val>
          <c:smooth val="0"/>
        </c:ser>
        <c:ser>
          <c:idx val="2"/>
          <c:order val="2"/>
          <c:tx>
            <c:strRef>
              <c:f>Sheet2!$D$183</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Sheet2!$D$184:$D$193</c:f>
              <c:numCache>
                <c:formatCode>General</c:formatCode>
                <c:ptCount val="10"/>
                <c:pt idx="0">
                  <c:v>4199</c:v>
                </c:pt>
                <c:pt idx="1">
                  <c:v>4565</c:v>
                </c:pt>
                <c:pt idx="2">
                  <c:v>4250</c:v>
                </c:pt>
                <c:pt idx="3">
                  <c:v>4325</c:v>
                </c:pt>
                <c:pt idx="4">
                  <c:v>3961</c:v>
                </c:pt>
                <c:pt idx="5">
                  <c:v>3713</c:v>
                </c:pt>
                <c:pt idx="6">
                  <c:v>3418</c:v>
                </c:pt>
                <c:pt idx="7">
                  <c:v>3673</c:v>
                </c:pt>
                <c:pt idx="8">
                  <c:v>4414</c:v>
                </c:pt>
                <c:pt idx="9">
                  <c:v>4662</c:v>
                </c:pt>
              </c:numCache>
            </c:numRef>
          </c:val>
          <c:smooth val="0"/>
        </c:ser>
        <c:ser>
          <c:idx val="3"/>
          <c:order val="3"/>
          <c:tx>
            <c:strRef>
              <c:f>Sheet2!$E$183</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Sheet2!$E$184:$E$193</c:f>
              <c:numCache>
                <c:formatCode>General</c:formatCode>
                <c:ptCount val="10"/>
                <c:pt idx="0">
                  <c:v>3372</c:v>
                </c:pt>
                <c:pt idx="1">
                  <c:v>2989</c:v>
                </c:pt>
                <c:pt idx="2">
                  <c:v>2542</c:v>
                </c:pt>
                <c:pt idx="3">
                  <c:v>2679</c:v>
                </c:pt>
                <c:pt idx="4">
                  <c:v>2555</c:v>
                </c:pt>
                <c:pt idx="5">
                  <c:v>2636</c:v>
                </c:pt>
                <c:pt idx="6">
                  <c:v>2791</c:v>
                </c:pt>
                <c:pt idx="7">
                  <c:v>3213</c:v>
                </c:pt>
                <c:pt idx="8">
                  <c:v>3184</c:v>
                </c:pt>
                <c:pt idx="9">
                  <c:v>3231</c:v>
                </c:pt>
              </c:numCache>
            </c:numRef>
          </c:val>
          <c:smooth val="0"/>
        </c:ser>
        <c:dLbls>
          <c:showLegendKey val="0"/>
          <c:showVal val="0"/>
          <c:showCatName val="0"/>
          <c:showSerName val="0"/>
          <c:showPercent val="0"/>
          <c:showBubbleSize val="0"/>
        </c:dLbls>
        <c:marker val="1"/>
        <c:smooth val="0"/>
        <c:axId val="98511488"/>
        <c:axId val="98521472"/>
      </c:lineChart>
      <c:catAx>
        <c:axId val="98511488"/>
        <c:scaling>
          <c:orientation val="minMax"/>
        </c:scaling>
        <c:delete val="0"/>
        <c:axPos val="b"/>
        <c:numFmt formatCode="General" sourceLinked="1"/>
        <c:majorTickMark val="out"/>
        <c:minorTickMark val="none"/>
        <c:tickLblPos val="nextTo"/>
        <c:crossAx val="98521472"/>
        <c:crosses val="autoZero"/>
        <c:auto val="1"/>
        <c:lblAlgn val="ctr"/>
        <c:lblOffset val="100"/>
        <c:noMultiLvlLbl val="0"/>
      </c:catAx>
      <c:valAx>
        <c:axId val="98521472"/>
        <c:scaling>
          <c:orientation val="minMax"/>
        </c:scaling>
        <c:delete val="0"/>
        <c:axPos val="l"/>
        <c:majorGridlines/>
        <c:numFmt formatCode="General" sourceLinked="1"/>
        <c:majorTickMark val="out"/>
        <c:minorTickMark val="none"/>
        <c:tickLblPos val="nextTo"/>
        <c:crossAx val="98511488"/>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Sheet1!$B$80</c:f>
              <c:strCache>
                <c:ptCount val="1"/>
                <c:pt idx="0">
                  <c:v>Emotional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Sheet1!$B$81:$B$90</c:f>
              <c:numCache>
                <c:formatCode>General</c:formatCode>
                <c:ptCount val="10"/>
                <c:pt idx="0">
                  <c:v>207</c:v>
                </c:pt>
                <c:pt idx="1">
                  <c:v>218</c:v>
                </c:pt>
                <c:pt idx="2">
                  <c:v>225</c:v>
                </c:pt>
                <c:pt idx="3">
                  <c:v>207</c:v>
                </c:pt>
                <c:pt idx="4">
                  <c:v>143</c:v>
                </c:pt>
                <c:pt idx="5">
                  <c:v>198</c:v>
                </c:pt>
                <c:pt idx="6">
                  <c:v>310</c:v>
                </c:pt>
                <c:pt idx="7">
                  <c:v>320</c:v>
                </c:pt>
                <c:pt idx="8">
                  <c:v>373</c:v>
                </c:pt>
                <c:pt idx="9">
                  <c:v>452</c:v>
                </c:pt>
              </c:numCache>
            </c:numRef>
          </c:val>
          <c:smooth val="0"/>
        </c:ser>
        <c:ser>
          <c:idx val="1"/>
          <c:order val="1"/>
          <c:tx>
            <c:strRef>
              <c:f>Sheet1!$C$80</c:f>
              <c:strCache>
                <c:ptCount val="1"/>
                <c:pt idx="0">
                  <c:v>Neglect</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Sheet1!$C$81:$C$90</c:f>
              <c:numCache>
                <c:formatCode>General</c:formatCode>
                <c:ptCount val="10"/>
                <c:pt idx="0">
                  <c:v>202</c:v>
                </c:pt>
                <c:pt idx="1">
                  <c:v>175</c:v>
                </c:pt>
                <c:pt idx="2">
                  <c:v>177</c:v>
                </c:pt>
                <c:pt idx="3">
                  <c:v>173</c:v>
                </c:pt>
                <c:pt idx="4">
                  <c:v>320</c:v>
                </c:pt>
                <c:pt idx="5">
                  <c:v>215</c:v>
                </c:pt>
                <c:pt idx="6">
                  <c:v>132</c:v>
                </c:pt>
                <c:pt idx="7">
                  <c:v>167</c:v>
                </c:pt>
                <c:pt idx="8">
                  <c:v>169</c:v>
                </c:pt>
                <c:pt idx="9">
                  <c:v>149</c:v>
                </c:pt>
              </c:numCache>
            </c:numRef>
          </c:val>
          <c:smooth val="0"/>
        </c:ser>
        <c:ser>
          <c:idx val="2"/>
          <c:order val="2"/>
          <c:tx>
            <c:strRef>
              <c:f>Sheet1!$D$80</c:f>
              <c:strCache>
                <c:ptCount val="1"/>
                <c:pt idx="0">
                  <c:v>Physical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Sheet1!$D$81:$D$90</c:f>
              <c:numCache>
                <c:formatCode>General</c:formatCode>
                <c:ptCount val="10"/>
                <c:pt idx="0">
                  <c:v>382</c:v>
                </c:pt>
                <c:pt idx="1">
                  <c:v>331</c:v>
                </c:pt>
                <c:pt idx="2">
                  <c:v>276</c:v>
                </c:pt>
                <c:pt idx="3">
                  <c:v>302</c:v>
                </c:pt>
                <c:pt idx="4">
                  <c:v>267</c:v>
                </c:pt>
                <c:pt idx="5">
                  <c:v>381</c:v>
                </c:pt>
                <c:pt idx="6">
                  <c:v>407</c:v>
                </c:pt>
                <c:pt idx="7">
                  <c:v>427</c:v>
                </c:pt>
                <c:pt idx="8">
                  <c:v>442</c:v>
                </c:pt>
                <c:pt idx="9">
                  <c:v>427</c:v>
                </c:pt>
              </c:numCache>
            </c:numRef>
          </c:val>
          <c:smooth val="0"/>
        </c:ser>
        <c:ser>
          <c:idx val="3"/>
          <c:order val="3"/>
          <c:tx>
            <c:strRef>
              <c:f>Sheet1!$E$80</c:f>
              <c:strCache>
                <c:ptCount val="1"/>
                <c:pt idx="0">
                  <c:v>Sexual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Sheet1!$E$81:$E$90</c:f>
              <c:numCache>
                <c:formatCode>General</c:formatCode>
                <c:ptCount val="10"/>
                <c:pt idx="0">
                  <c:v>222</c:v>
                </c:pt>
                <c:pt idx="1">
                  <c:v>193</c:v>
                </c:pt>
                <c:pt idx="2">
                  <c:v>203</c:v>
                </c:pt>
                <c:pt idx="3">
                  <c:v>185</c:v>
                </c:pt>
                <c:pt idx="4">
                  <c:v>116</c:v>
                </c:pt>
                <c:pt idx="5">
                  <c:v>171</c:v>
                </c:pt>
                <c:pt idx="6">
                  <c:v>219</c:v>
                </c:pt>
                <c:pt idx="7">
                  <c:v>191</c:v>
                </c:pt>
                <c:pt idx="8">
                  <c:v>200</c:v>
                </c:pt>
                <c:pt idx="9">
                  <c:v>228</c:v>
                </c:pt>
              </c:numCache>
            </c:numRef>
          </c:val>
          <c:smooth val="0"/>
        </c:ser>
        <c:dLbls>
          <c:showLegendKey val="0"/>
          <c:showVal val="0"/>
          <c:showCatName val="0"/>
          <c:showSerName val="0"/>
          <c:showPercent val="0"/>
          <c:showBubbleSize val="0"/>
        </c:dLbls>
        <c:marker val="1"/>
        <c:smooth val="0"/>
        <c:axId val="98556160"/>
        <c:axId val="98557952"/>
      </c:lineChart>
      <c:catAx>
        <c:axId val="98556160"/>
        <c:scaling>
          <c:orientation val="minMax"/>
        </c:scaling>
        <c:delete val="0"/>
        <c:axPos val="b"/>
        <c:numFmt formatCode="General" sourceLinked="1"/>
        <c:majorTickMark val="out"/>
        <c:minorTickMark val="none"/>
        <c:tickLblPos val="nextTo"/>
        <c:crossAx val="98557952"/>
        <c:crosses val="autoZero"/>
        <c:auto val="1"/>
        <c:lblAlgn val="ctr"/>
        <c:lblOffset val="100"/>
        <c:noMultiLvlLbl val="0"/>
      </c:catAx>
      <c:valAx>
        <c:axId val="98557952"/>
        <c:scaling>
          <c:orientation val="minMax"/>
        </c:scaling>
        <c:delete val="0"/>
        <c:axPos val="l"/>
        <c:majorGridlines/>
        <c:numFmt formatCode="General" sourceLinked="1"/>
        <c:majorTickMark val="out"/>
        <c:minorTickMark val="none"/>
        <c:tickLblPos val="nextTo"/>
        <c:crossAx val="98556160"/>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Sheet2!$B$2:$B$11</c:f>
              <c:numCache>
                <c:formatCode>General</c:formatCode>
                <c:ptCount val="10"/>
                <c:pt idx="0">
                  <c:v>582</c:v>
                </c:pt>
                <c:pt idx="1">
                  <c:v>571</c:v>
                </c:pt>
                <c:pt idx="2">
                  <c:v>557</c:v>
                </c:pt>
                <c:pt idx="3">
                  <c:v>543</c:v>
                </c:pt>
                <c:pt idx="4">
                  <c:v>539</c:v>
                </c:pt>
                <c:pt idx="5">
                  <c:v>668</c:v>
                </c:pt>
                <c:pt idx="6">
                  <c:v>746</c:v>
                </c:pt>
                <c:pt idx="7">
                  <c:v>728</c:v>
                </c:pt>
                <c:pt idx="8">
                  <c:v>818</c:v>
                </c:pt>
                <c:pt idx="9">
                  <c:v>793</c:v>
                </c:pt>
              </c:numCache>
            </c:numRef>
          </c:val>
          <c:smooth val="0"/>
        </c:ser>
        <c:ser>
          <c:idx val="1"/>
          <c:order val="1"/>
          <c:tx>
            <c:strRef>
              <c:f>Sheet2!$C$1</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Sheet2!$C$2:$C$11</c:f>
              <c:numCache>
                <c:formatCode>General</c:formatCode>
                <c:ptCount val="10"/>
                <c:pt idx="0">
                  <c:v>431</c:v>
                </c:pt>
                <c:pt idx="1">
                  <c:v>346</c:v>
                </c:pt>
                <c:pt idx="2">
                  <c:v>324</c:v>
                </c:pt>
                <c:pt idx="3">
                  <c:v>324</c:v>
                </c:pt>
                <c:pt idx="4">
                  <c:v>307</c:v>
                </c:pt>
                <c:pt idx="5">
                  <c:v>297</c:v>
                </c:pt>
                <c:pt idx="6">
                  <c:v>322</c:v>
                </c:pt>
                <c:pt idx="7">
                  <c:v>377</c:v>
                </c:pt>
                <c:pt idx="8">
                  <c:v>366</c:v>
                </c:pt>
                <c:pt idx="9">
                  <c:v>463</c:v>
                </c:pt>
              </c:numCache>
            </c:numRef>
          </c:val>
          <c:smooth val="0"/>
        </c:ser>
        <c:ser>
          <c:idx val="2"/>
          <c:order val="2"/>
          <c:tx>
            <c:strRef>
              <c:f>Sheet2!$D$1</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Sheet2!$D$2:$D$11</c:f>
              <c:numCache>
                <c:formatCode>General</c:formatCode>
                <c:ptCount val="10"/>
                <c:pt idx="0">
                  <c:v>264</c:v>
                </c:pt>
                <c:pt idx="1">
                  <c:v>218</c:v>
                </c:pt>
                <c:pt idx="2">
                  <c:v>210</c:v>
                </c:pt>
                <c:pt idx="3">
                  <c:v>204</c:v>
                </c:pt>
                <c:pt idx="4">
                  <c:v>208</c:v>
                </c:pt>
                <c:pt idx="5">
                  <c:v>172</c:v>
                </c:pt>
                <c:pt idx="6">
                  <c:v>188</c:v>
                </c:pt>
                <c:pt idx="7">
                  <c:v>201</c:v>
                </c:pt>
                <c:pt idx="8">
                  <c:v>207</c:v>
                </c:pt>
                <c:pt idx="9">
                  <c:v>297</c:v>
                </c:pt>
              </c:numCache>
            </c:numRef>
          </c:val>
          <c:smooth val="0"/>
        </c:ser>
        <c:ser>
          <c:idx val="3"/>
          <c:order val="3"/>
          <c:tx>
            <c:strRef>
              <c:f>Sheet2!$E$1</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Sheet2!$E$2:$E$11</c:f>
              <c:numCache>
                <c:formatCode>General</c:formatCode>
                <c:ptCount val="10"/>
                <c:pt idx="0">
                  <c:v>167</c:v>
                </c:pt>
                <c:pt idx="1">
                  <c:v>128</c:v>
                </c:pt>
                <c:pt idx="2">
                  <c:v>114</c:v>
                </c:pt>
                <c:pt idx="3">
                  <c:v>120</c:v>
                </c:pt>
                <c:pt idx="4">
                  <c:v>99</c:v>
                </c:pt>
                <c:pt idx="5">
                  <c:v>125</c:v>
                </c:pt>
                <c:pt idx="6">
                  <c:v>134</c:v>
                </c:pt>
                <c:pt idx="7">
                  <c:v>176</c:v>
                </c:pt>
                <c:pt idx="8">
                  <c:v>159</c:v>
                </c:pt>
                <c:pt idx="9">
                  <c:v>166</c:v>
                </c:pt>
              </c:numCache>
            </c:numRef>
          </c:val>
          <c:smooth val="0"/>
        </c:ser>
        <c:dLbls>
          <c:showLegendKey val="0"/>
          <c:showVal val="0"/>
          <c:showCatName val="0"/>
          <c:showSerName val="0"/>
          <c:showPercent val="0"/>
          <c:showBubbleSize val="0"/>
        </c:dLbls>
        <c:marker val="1"/>
        <c:smooth val="0"/>
        <c:axId val="98605696"/>
        <c:axId val="98611584"/>
      </c:lineChart>
      <c:catAx>
        <c:axId val="98605696"/>
        <c:scaling>
          <c:orientation val="minMax"/>
        </c:scaling>
        <c:delete val="0"/>
        <c:axPos val="b"/>
        <c:numFmt formatCode="General" sourceLinked="1"/>
        <c:majorTickMark val="out"/>
        <c:minorTickMark val="none"/>
        <c:tickLblPos val="nextTo"/>
        <c:crossAx val="98611584"/>
        <c:crosses val="autoZero"/>
        <c:auto val="1"/>
        <c:lblAlgn val="ctr"/>
        <c:lblOffset val="100"/>
        <c:noMultiLvlLbl val="0"/>
      </c:catAx>
      <c:valAx>
        <c:axId val="98611584"/>
        <c:scaling>
          <c:orientation val="minMax"/>
        </c:scaling>
        <c:delete val="0"/>
        <c:axPos val="l"/>
        <c:majorGridlines/>
        <c:numFmt formatCode="General" sourceLinked="1"/>
        <c:majorTickMark val="out"/>
        <c:minorTickMark val="none"/>
        <c:tickLblPos val="nextTo"/>
        <c:crossAx val="98605696"/>
        <c:crosses val="autoZero"/>
        <c:crossBetween val="between"/>
      </c:valAx>
    </c:plotArea>
    <c:legend>
      <c:legendPos val="r"/>
      <c:layout>
        <c:manualLayout>
          <c:xMode val="edge"/>
          <c:yMode val="edge"/>
          <c:x val="0.84664473331810997"/>
          <c:y val="0.27821005451241698"/>
          <c:w val="0.14762665944952399"/>
          <c:h val="0.44443412315396102"/>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Sheet2!$B$18</c:f>
              <c:strCache>
                <c:ptCount val="1"/>
                <c:pt idx="0">
                  <c:v>Emotional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Sheet2!$B$19:$B$28</c:f>
              <c:numCache>
                <c:formatCode>General</c:formatCode>
                <c:ptCount val="10"/>
                <c:pt idx="0">
                  <c:v>571</c:v>
                </c:pt>
                <c:pt idx="1">
                  <c:v>641</c:v>
                </c:pt>
                <c:pt idx="2">
                  <c:v>673</c:v>
                </c:pt>
                <c:pt idx="3">
                  <c:v>698</c:v>
                </c:pt>
                <c:pt idx="4">
                  <c:v>329</c:v>
                </c:pt>
                <c:pt idx="5">
                  <c:v>525</c:v>
                </c:pt>
                <c:pt idx="6">
                  <c:v>529</c:v>
                </c:pt>
                <c:pt idx="7">
                  <c:v>706</c:v>
                </c:pt>
                <c:pt idx="8">
                  <c:v>936</c:v>
                </c:pt>
                <c:pt idx="9">
                  <c:v>1214</c:v>
                </c:pt>
              </c:numCache>
            </c:numRef>
          </c:val>
          <c:smooth val="0"/>
        </c:ser>
        <c:ser>
          <c:idx val="1"/>
          <c:order val="1"/>
          <c:tx>
            <c:strRef>
              <c:f>Sheet2!$C$18</c:f>
              <c:strCache>
                <c:ptCount val="1"/>
                <c:pt idx="0">
                  <c:v>Neglect</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Sheet2!$C$19:$C$28</c:f>
              <c:numCache>
                <c:formatCode>General</c:formatCode>
                <c:ptCount val="10"/>
                <c:pt idx="0">
                  <c:v>461</c:v>
                </c:pt>
                <c:pt idx="1">
                  <c:v>401</c:v>
                </c:pt>
                <c:pt idx="2">
                  <c:v>384</c:v>
                </c:pt>
                <c:pt idx="3">
                  <c:v>338</c:v>
                </c:pt>
                <c:pt idx="4">
                  <c:v>623</c:v>
                </c:pt>
                <c:pt idx="5">
                  <c:v>403</c:v>
                </c:pt>
                <c:pt idx="6">
                  <c:v>237</c:v>
                </c:pt>
                <c:pt idx="7">
                  <c:v>300</c:v>
                </c:pt>
                <c:pt idx="8">
                  <c:v>359</c:v>
                </c:pt>
                <c:pt idx="9">
                  <c:v>374</c:v>
                </c:pt>
              </c:numCache>
            </c:numRef>
          </c:val>
          <c:smooth val="0"/>
        </c:ser>
        <c:ser>
          <c:idx val="2"/>
          <c:order val="2"/>
          <c:tx>
            <c:strRef>
              <c:f>Sheet2!$D$18</c:f>
              <c:strCache>
                <c:ptCount val="1"/>
                <c:pt idx="0">
                  <c:v>Physical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Sheet2!$D$19:$D$28</c:f>
              <c:numCache>
                <c:formatCode>General</c:formatCode>
                <c:ptCount val="10"/>
                <c:pt idx="0">
                  <c:v>264</c:v>
                </c:pt>
                <c:pt idx="1">
                  <c:v>291</c:v>
                </c:pt>
                <c:pt idx="2">
                  <c:v>218</c:v>
                </c:pt>
                <c:pt idx="3">
                  <c:v>286</c:v>
                </c:pt>
                <c:pt idx="4">
                  <c:v>353</c:v>
                </c:pt>
                <c:pt idx="5">
                  <c:v>430</c:v>
                </c:pt>
                <c:pt idx="6">
                  <c:v>423</c:v>
                </c:pt>
                <c:pt idx="7">
                  <c:v>530</c:v>
                </c:pt>
                <c:pt idx="8">
                  <c:v>397</c:v>
                </c:pt>
                <c:pt idx="9">
                  <c:v>428</c:v>
                </c:pt>
              </c:numCache>
            </c:numRef>
          </c:val>
          <c:smooth val="0"/>
        </c:ser>
        <c:ser>
          <c:idx val="3"/>
          <c:order val="3"/>
          <c:tx>
            <c:strRef>
              <c:f>Sheet2!$E$18</c:f>
              <c:strCache>
                <c:ptCount val="1"/>
                <c:pt idx="0">
                  <c:v>Sexual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Sheet2!$E$19:$E$28</c:f>
              <c:numCache>
                <c:formatCode>General</c:formatCode>
                <c:ptCount val="10"/>
                <c:pt idx="0">
                  <c:v>68</c:v>
                </c:pt>
                <c:pt idx="1">
                  <c:v>57</c:v>
                </c:pt>
                <c:pt idx="2">
                  <c:v>81</c:v>
                </c:pt>
                <c:pt idx="3">
                  <c:v>68</c:v>
                </c:pt>
                <c:pt idx="4">
                  <c:v>67</c:v>
                </c:pt>
                <c:pt idx="5">
                  <c:v>80</c:v>
                </c:pt>
                <c:pt idx="6">
                  <c:v>70</c:v>
                </c:pt>
                <c:pt idx="7">
                  <c:v>72</c:v>
                </c:pt>
                <c:pt idx="8">
                  <c:v>71</c:v>
                </c:pt>
                <c:pt idx="9">
                  <c:v>89</c:v>
                </c:pt>
              </c:numCache>
            </c:numRef>
          </c:val>
          <c:smooth val="0"/>
        </c:ser>
        <c:dLbls>
          <c:showLegendKey val="0"/>
          <c:showVal val="0"/>
          <c:showCatName val="0"/>
          <c:showSerName val="0"/>
          <c:showPercent val="0"/>
          <c:showBubbleSize val="0"/>
        </c:dLbls>
        <c:marker val="1"/>
        <c:smooth val="0"/>
        <c:axId val="98638080"/>
        <c:axId val="98652160"/>
      </c:lineChart>
      <c:catAx>
        <c:axId val="98638080"/>
        <c:scaling>
          <c:orientation val="minMax"/>
        </c:scaling>
        <c:delete val="0"/>
        <c:axPos val="b"/>
        <c:numFmt formatCode="General" sourceLinked="1"/>
        <c:majorTickMark val="out"/>
        <c:minorTickMark val="none"/>
        <c:tickLblPos val="nextTo"/>
        <c:crossAx val="98652160"/>
        <c:crosses val="autoZero"/>
        <c:auto val="1"/>
        <c:lblAlgn val="ctr"/>
        <c:lblOffset val="100"/>
        <c:noMultiLvlLbl val="0"/>
      </c:catAx>
      <c:valAx>
        <c:axId val="98652160"/>
        <c:scaling>
          <c:orientation val="minMax"/>
        </c:scaling>
        <c:delete val="0"/>
        <c:axPos val="l"/>
        <c:majorGridlines/>
        <c:numFmt formatCode="General" sourceLinked="1"/>
        <c:majorTickMark val="out"/>
        <c:minorTickMark val="none"/>
        <c:tickLblPos val="nextTo"/>
        <c:crossAx val="98638080"/>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Sheet2!$B$32</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Sheet2!$B$33:$B$42</c:f>
              <c:numCache>
                <c:formatCode>General</c:formatCode>
                <c:ptCount val="10"/>
                <c:pt idx="0">
                  <c:v>757</c:v>
                </c:pt>
                <c:pt idx="1">
                  <c:v>792</c:v>
                </c:pt>
                <c:pt idx="2">
                  <c:v>747</c:v>
                </c:pt>
                <c:pt idx="3">
                  <c:v>819</c:v>
                </c:pt>
                <c:pt idx="4">
                  <c:v>802</c:v>
                </c:pt>
                <c:pt idx="5">
                  <c:v>838</c:v>
                </c:pt>
                <c:pt idx="6">
                  <c:v>744</c:v>
                </c:pt>
                <c:pt idx="7">
                  <c:v>968</c:v>
                </c:pt>
                <c:pt idx="8">
                  <c:v>1094</c:v>
                </c:pt>
                <c:pt idx="9">
                  <c:v>1372</c:v>
                </c:pt>
              </c:numCache>
            </c:numRef>
          </c:val>
          <c:smooth val="0"/>
        </c:ser>
        <c:ser>
          <c:idx val="1"/>
          <c:order val="1"/>
          <c:tx>
            <c:strRef>
              <c:f>Sheet2!$C$32</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Sheet2!$C$33:$C$42</c:f>
              <c:numCache>
                <c:formatCode>General</c:formatCode>
                <c:ptCount val="10"/>
                <c:pt idx="0">
                  <c:v>607</c:v>
                </c:pt>
                <c:pt idx="1">
                  <c:v>598</c:v>
                </c:pt>
                <c:pt idx="2">
                  <c:v>609</c:v>
                </c:pt>
                <c:pt idx="3">
                  <c:v>571</c:v>
                </c:pt>
                <c:pt idx="4">
                  <c:v>570</c:v>
                </c:pt>
                <c:pt idx="5">
                  <c:v>600</c:v>
                </c:pt>
                <c:pt idx="6">
                  <c:v>515</c:v>
                </c:pt>
                <c:pt idx="7">
                  <c:v>640</c:v>
                </c:pt>
                <c:pt idx="8">
                  <c:v>669</c:v>
                </c:pt>
                <c:pt idx="9">
                  <c:v>733</c:v>
                </c:pt>
              </c:numCache>
            </c:numRef>
          </c:val>
          <c:smooth val="0"/>
        </c:ser>
        <c:ser>
          <c:idx val="2"/>
          <c:order val="2"/>
          <c:tx>
            <c:strRef>
              <c:f>Sheet2!$D$32</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Sheet2!$D$33:$D$42</c:f>
              <c:numCache>
                <c:formatCode>General</c:formatCode>
                <c:ptCount val="10"/>
                <c:pt idx="0">
                  <c:v>398</c:v>
                </c:pt>
                <c:pt idx="1">
                  <c:v>418</c:v>
                </c:pt>
                <c:pt idx="2">
                  <c:v>450</c:v>
                </c:pt>
                <c:pt idx="3">
                  <c:v>390</c:v>
                </c:pt>
                <c:pt idx="4">
                  <c:v>393</c:v>
                </c:pt>
                <c:pt idx="5">
                  <c:v>369</c:v>
                </c:pt>
                <c:pt idx="6">
                  <c:v>331</c:v>
                </c:pt>
                <c:pt idx="7">
                  <c:v>371</c:v>
                </c:pt>
                <c:pt idx="8">
                  <c:v>451</c:v>
                </c:pt>
                <c:pt idx="9">
                  <c:v>470</c:v>
                </c:pt>
              </c:numCache>
            </c:numRef>
          </c:val>
          <c:smooth val="0"/>
        </c:ser>
        <c:ser>
          <c:idx val="3"/>
          <c:order val="3"/>
          <c:tx>
            <c:strRef>
              <c:f>Sheet2!$E$32</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Sheet2!$E$33:$E$42</c:f>
              <c:numCache>
                <c:formatCode>General</c:formatCode>
                <c:ptCount val="10"/>
                <c:pt idx="0">
                  <c:v>209</c:v>
                </c:pt>
                <c:pt idx="1">
                  <c:v>180</c:v>
                </c:pt>
                <c:pt idx="2">
                  <c:v>159</c:v>
                </c:pt>
                <c:pt idx="3">
                  <c:v>181</c:v>
                </c:pt>
                <c:pt idx="4">
                  <c:v>177</c:v>
                </c:pt>
                <c:pt idx="5">
                  <c:v>231</c:v>
                </c:pt>
                <c:pt idx="6">
                  <c:v>184</c:v>
                </c:pt>
                <c:pt idx="7">
                  <c:v>269</c:v>
                </c:pt>
                <c:pt idx="8">
                  <c:v>218</c:v>
                </c:pt>
                <c:pt idx="9">
                  <c:v>263</c:v>
                </c:pt>
              </c:numCache>
            </c:numRef>
          </c:val>
          <c:smooth val="0"/>
        </c:ser>
        <c:dLbls>
          <c:showLegendKey val="0"/>
          <c:showVal val="0"/>
          <c:showCatName val="0"/>
          <c:showSerName val="0"/>
          <c:showPercent val="0"/>
          <c:showBubbleSize val="0"/>
        </c:dLbls>
        <c:marker val="1"/>
        <c:smooth val="0"/>
        <c:axId val="98670464"/>
        <c:axId val="98672000"/>
      </c:lineChart>
      <c:catAx>
        <c:axId val="98670464"/>
        <c:scaling>
          <c:orientation val="minMax"/>
        </c:scaling>
        <c:delete val="0"/>
        <c:axPos val="b"/>
        <c:numFmt formatCode="General" sourceLinked="1"/>
        <c:majorTickMark val="out"/>
        <c:minorTickMark val="none"/>
        <c:tickLblPos val="nextTo"/>
        <c:crossAx val="98672000"/>
        <c:crosses val="autoZero"/>
        <c:auto val="1"/>
        <c:lblAlgn val="ctr"/>
        <c:lblOffset val="100"/>
        <c:noMultiLvlLbl val="0"/>
      </c:catAx>
      <c:valAx>
        <c:axId val="98672000"/>
        <c:scaling>
          <c:orientation val="minMax"/>
        </c:scaling>
        <c:delete val="0"/>
        <c:axPos val="l"/>
        <c:majorGridlines/>
        <c:numFmt formatCode="General" sourceLinked="1"/>
        <c:majorTickMark val="out"/>
        <c:minorTickMark val="none"/>
        <c:tickLblPos val="nextTo"/>
        <c:crossAx val="98670464"/>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Sheet2!$B$48</c:f>
              <c:strCache>
                <c:ptCount val="1"/>
                <c:pt idx="0">
                  <c:v>Emotional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Sheet2!$B$49:$B$58</c:f>
              <c:numCache>
                <c:formatCode>General</c:formatCode>
                <c:ptCount val="10"/>
                <c:pt idx="0">
                  <c:v>2798</c:v>
                </c:pt>
                <c:pt idx="1">
                  <c:v>2858</c:v>
                </c:pt>
                <c:pt idx="2">
                  <c:v>3319</c:v>
                </c:pt>
                <c:pt idx="3">
                  <c:v>3695</c:v>
                </c:pt>
                <c:pt idx="4">
                  <c:v>2581</c:v>
                </c:pt>
                <c:pt idx="5">
                  <c:v>3766</c:v>
                </c:pt>
                <c:pt idx="6">
                  <c:v>5958</c:v>
                </c:pt>
                <c:pt idx="7">
                  <c:v>8556</c:v>
                </c:pt>
                <c:pt idx="8">
                  <c:v>10450</c:v>
                </c:pt>
                <c:pt idx="9">
                  <c:v>14139</c:v>
                </c:pt>
              </c:numCache>
            </c:numRef>
          </c:val>
          <c:smooth val="0"/>
        </c:ser>
        <c:ser>
          <c:idx val="1"/>
          <c:order val="1"/>
          <c:tx>
            <c:strRef>
              <c:f>Sheet2!$C$48</c:f>
              <c:strCache>
                <c:ptCount val="1"/>
                <c:pt idx="0">
                  <c:v>Neglect</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Sheet2!$C$49:$C$58</c:f>
              <c:numCache>
                <c:formatCode>General</c:formatCode>
                <c:ptCount val="10"/>
                <c:pt idx="0">
                  <c:v>1733</c:v>
                </c:pt>
                <c:pt idx="1">
                  <c:v>1566</c:v>
                </c:pt>
                <c:pt idx="2">
                  <c:v>1580</c:v>
                </c:pt>
                <c:pt idx="3">
                  <c:v>1433</c:v>
                </c:pt>
                <c:pt idx="4">
                  <c:v>2432</c:v>
                </c:pt>
                <c:pt idx="5">
                  <c:v>1275</c:v>
                </c:pt>
                <c:pt idx="6">
                  <c:v>507</c:v>
                </c:pt>
                <c:pt idx="7">
                  <c:v>588</c:v>
                </c:pt>
                <c:pt idx="8">
                  <c:v>750</c:v>
                </c:pt>
                <c:pt idx="9">
                  <c:v>621</c:v>
                </c:pt>
              </c:numCache>
            </c:numRef>
          </c:val>
          <c:smooth val="0"/>
        </c:ser>
        <c:ser>
          <c:idx val="2"/>
          <c:order val="2"/>
          <c:tx>
            <c:strRef>
              <c:f>Sheet2!$D$48</c:f>
              <c:strCache>
                <c:ptCount val="1"/>
                <c:pt idx="0">
                  <c:v>Physical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Sheet2!$D$49:$D$58</c:f>
              <c:numCache>
                <c:formatCode>General</c:formatCode>
                <c:ptCount val="10"/>
                <c:pt idx="0">
                  <c:v>1157</c:v>
                </c:pt>
                <c:pt idx="1">
                  <c:v>1238</c:v>
                </c:pt>
                <c:pt idx="2">
                  <c:v>1209</c:v>
                </c:pt>
                <c:pt idx="3">
                  <c:v>1453</c:v>
                </c:pt>
                <c:pt idx="4">
                  <c:v>1919</c:v>
                </c:pt>
                <c:pt idx="5">
                  <c:v>2606</c:v>
                </c:pt>
                <c:pt idx="6">
                  <c:v>2819</c:v>
                </c:pt>
                <c:pt idx="7">
                  <c:v>3154</c:v>
                </c:pt>
                <c:pt idx="8">
                  <c:v>2823</c:v>
                </c:pt>
                <c:pt idx="9">
                  <c:v>3452</c:v>
                </c:pt>
              </c:numCache>
            </c:numRef>
          </c:val>
          <c:smooth val="0"/>
        </c:ser>
        <c:ser>
          <c:idx val="3"/>
          <c:order val="3"/>
          <c:tx>
            <c:strRef>
              <c:f>Sheet2!$E$48</c:f>
              <c:strCache>
                <c:ptCount val="1"/>
                <c:pt idx="0">
                  <c:v>Sexual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Sheet2!$E$49:$E$58</c:f>
              <c:numCache>
                <c:formatCode>General</c:formatCode>
                <c:ptCount val="10"/>
                <c:pt idx="0">
                  <c:v>828</c:v>
                </c:pt>
                <c:pt idx="1">
                  <c:v>841</c:v>
                </c:pt>
                <c:pt idx="2">
                  <c:v>936</c:v>
                </c:pt>
                <c:pt idx="3">
                  <c:v>810</c:v>
                </c:pt>
                <c:pt idx="4">
                  <c:v>698</c:v>
                </c:pt>
                <c:pt idx="5">
                  <c:v>795</c:v>
                </c:pt>
                <c:pt idx="6">
                  <c:v>919</c:v>
                </c:pt>
                <c:pt idx="7">
                  <c:v>2046</c:v>
                </c:pt>
                <c:pt idx="8">
                  <c:v>1771</c:v>
                </c:pt>
                <c:pt idx="9">
                  <c:v>2780</c:v>
                </c:pt>
              </c:numCache>
            </c:numRef>
          </c:val>
          <c:smooth val="0"/>
        </c:ser>
        <c:dLbls>
          <c:showLegendKey val="0"/>
          <c:showVal val="0"/>
          <c:showCatName val="0"/>
          <c:showSerName val="0"/>
          <c:showPercent val="0"/>
          <c:showBubbleSize val="0"/>
        </c:dLbls>
        <c:marker val="1"/>
        <c:smooth val="0"/>
        <c:axId val="98056448"/>
        <c:axId val="98058240"/>
      </c:lineChart>
      <c:catAx>
        <c:axId val="98056448"/>
        <c:scaling>
          <c:orientation val="minMax"/>
        </c:scaling>
        <c:delete val="0"/>
        <c:axPos val="b"/>
        <c:numFmt formatCode="General" sourceLinked="1"/>
        <c:majorTickMark val="out"/>
        <c:minorTickMark val="none"/>
        <c:tickLblPos val="nextTo"/>
        <c:crossAx val="98058240"/>
        <c:crosses val="autoZero"/>
        <c:auto val="1"/>
        <c:lblAlgn val="ctr"/>
        <c:lblOffset val="100"/>
        <c:noMultiLvlLbl val="0"/>
      </c:catAx>
      <c:valAx>
        <c:axId val="98058240"/>
        <c:scaling>
          <c:orientation val="minMax"/>
        </c:scaling>
        <c:delete val="0"/>
        <c:axPos val="l"/>
        <c:majorGridlines/>
        <c:numFmt formatCode="General" sourceLinked="1"/>
        <c:majorTickMark val="out"/>
        <c:minorTickMark val="none"/>
        <c:tickLblPos val="nextTo"/>
        <c:crossAx val="9805644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1100"/>
              <a:t>Fig</a:t>
            </a:r>
            <a:r>
              <a:rPr lang="en-US" sz="1100" baseline="0"/>
              <a:t> 4:</a:t>
            </a:r>
            <a:r>
              <a:rPr lang="en-US" sz="1100"/>
              <a:t>  </a:t>
            </a:r>
            <a:r>
              <a:rPr lang="en-AU" sz="1100"/>
              <a:t>Number of notifications of neglect, by year, by reporter group, 2003-2012</a:t>
            </a:r>
            <a:endParaRPr lang="en-US" sz="1100"/>
          </a:p>
        </c:rich>
      </c:tx>
      <c:layout>
        <c:manualLayout>
          <c:xMode val="edge"/>
          <c:yMode val="edge"/>
          <c:x val="0.15044714127228942"/>
          <c:y val="2.6306151386249133E-2"/>
        </c:manualLayout>
      </c:layout>
      <c:overlay val="0"/>
    </c:title>
    <c:autoTitleDeleted val="0"/>
    <c:plotArea>
      <c:layout>
        <c:manualLayout>
          <c:layoutTarget val="inner"/>
          <c:xMode val="edge"/>
          <c:yMode val="edge"/>
          <c:x val="0.101659831568678"/>
          <c:y val="0.17330593365751762"/>
          <c:w val="0.85069864622185398"/>
          <c:h val="0.71630429917190586"/>
        </c:manualLayout>
      </c:layout>
      <c:barChart>
        <c:barDir val="col"/>
        <c:grouping val="stacked"/>
        <c:varyColors val="0"/>
        <c:ser>
          <c:idx val="0"/>
          <c:order val="0"/>
          <c:tx>
            <c:strRef>
              <c:f>Sheet2!$B$37</c:f>
              <c:strCache>
                <c:ptCount val="1"/>
                <c:pt idx="0">
                  <c:v>Police</c:v>
                </c:pt>
              </c:strCache>
            </c:strRef>
          </c:tx>
          <c:spPr>
            <a:solidFill>
              <a:srgbClr val="0070C4"/>
            </a:solidFill>
            <a:ln w="28575">
              <a:noFill/>
            </a:ln>
          </c:spPr>
          <c:invertIfNegative val="0"/>
          <c:dLbls>
            <c:delete val="1"/>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Sheet2!$C$37:$L$37</c:f>
              <c:numCache>
                <c:formatCode>#,##0</c:formatCode>
                <c:ptCount val="10"/>
                <c:pt idx="0">
                  <c:v>1733</c:v>
                </c:pt>
                <c:pt idx="1">
                  <c:v>1566</c:v>
                </c:pt>
                <c:pt idx="2">
                  <c:v>1580</c:v>
                </c:pt>
                <c:pt idx="3">
                  <c:v>1433</c:v>
                </c:pt>
                <c:pt idx="4">
                  <c:v>2432</c:v>
                </c:pt>
                <c:pt idx="5">
                  <c:v>1275</c:v>
                </c:pt>
                <c:pt idx="6" formatCode="General">
                  <c:v>507</c:v>
                </c:pt>
                <c:pt idx="7" formatCode="General">
                  <c:v>588</c:v>
                </c:pt>
                <c:pt idx="8" formatCode="General">
                  <c:v>750</c:v>
                </c:pt>
                <c:pt idx="9" formatCode="General">
                  <c:v>621</c:v>
                </c:pt>
              </c:numCache>
            </c:numRef>
          </c:val>
        </c:ser>
        <c:ser>
          <c:idx val="1"/>
          <c:order val="1"/>
          <c:tx>
            <c:strRef>
              <c:f>Sheet2!$B$38</c:f>
              <c:strCache>
                <c:ptCount val="1"/>
                <c:pt idx="0">
                  <c:v>School personnel</c:v>
                </c:pt>
              </c:strCache>
            </c:strRef>
          </c:tx>
          <c:spPr>
            <a:solidFill>
              <a:schemeClr val="tx2">
                <a:lumMod val="60000"/>
                <a:lumOff val="40000"/>
              </a:schemeClr>
            </a:solidFill>
            <a:ln w="28575">
              <a:noFill/>
            </a:ln>
          </c:spPr>
          <c:invertIfNegative val="0"/>
          <c:dLbls>
            <c:delete val="1"/>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Sheet2!$C$38:$L$38</c:f>
              <c:numCache>
                <c:formatCode>General</c:formatCode>
                <c:ptCount val="10"/>
                <c:pt idx="0">
                  <c:v>857</c:v>
                </c:pt>
                <c:pt idx="1">
                  <c:v>883</c:v>
                </c:pt>
                <c:pt idx="2">
                  <c:v>851</c:v>
                </c:pt>
                <c:pt idx="3">
                  <c:v>677</c:v>
                </c:pt>
                <c:pt idx="4" formatCode="#,##0">
                  <c:v>1346</c:v>
                </c:pt>
                <c:pt idx="5">
                  <c:v>824</c:v>
                </c:pt>
                <c:pt idx="6">
                  <c:v>534</c:v>
                </c:pt>
                <c:pt idx="7">
                  <c:v>507</c:v>
                </c:pt>
                <c:pt idx="8">
                  <c:v>653</c:v>
                </c:pt>
                <c:pt idx="9">
                  <c:v>534</c:v>
                </c:pt>
              </c:numCache>
            </c:numRef>
          </c:val>
        </c:ser>
        <c:ser>
          <c:idx val="2"/>
          <c:order val="2"/>
          <c:tx>
            <c:strRef>
              <c:f>Sheet2!$B$39</c:f>
              <c:strCache>
                <c:ptCount val="1"/>
                <c:pt idx="0">
                  <c:v>MMR groups combined</c:v>
                </c:pt>
              </c:strCache>
            </c:strRef>
          </c:tx>
          <c:spPr>
            <a:solidFill>
              <a:schemeClr val="accent5"/>
            </a:solidFill>
            <a:ln w="28575">
              <a:noFill/>
            </a:ln>
          </c:spPr>
          <c:invertIfNegative val="0"/>
          <c:dLbls>
            <c:delete val="1"/>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Sheet2!$C$39:$L$39</c:f>
              <c:numCache>
                <c:formatCode>#,##0</c:formatCode>
                <c:ptCount val="10"/>
                <c:pt idx="0">
                  <c:v>686</c:v>
                </c:pt>
                <c:pt idx="1">
                  <c:v>599</c:v>
                </c:pt>
                <c:pt idx="2">
                  <c:v>590</c:v>
                </c:pt>
                <c:pt idx="3">
                  <c:v>538</c:v>
                </c:pt>
                <c:pt idx="4">
                  <c:v>995</c:v>
                </c:pt>
                <c:pt idx="5">
                  <c:v>653</c:v>
                </c:pt>
                <c:pt idx="6">
                  <c:v>383</c:v>
                </c:pt>
                <c:pt idx="7">
                  <c:v>485</c:v>
                </c:pt>
                <c:pt idx="8">
                  <c:v>539</c:v>
                </c:pt>
                <c:pt idx="9">
                  <c:v>537</c:v>
                </c:pt>
              </c:numCache>
            </c:numRef>
          </c:val>
        </c:ser>
        <c:ser>
          <c:idx val="3"/>
          <c:order val="3"/>
          <c:tx>
            <c:strRef>
              <c:f>Sheet2!$B$40</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Sheet2!$C$40:$L$40</c:f>
              <c:numCache>
                <c:formatCode>#,##0</c:formatCode>
                <c:ptCount val="10"/>
                <c:pt idx="0">
                  <c:v>8753</c:v>
                </c:pt>
                <c:pt idx="1">
                  <c:v>8654</c:v>
                </c:pt>
                <c:pt idx="2">
                  <c:v>8274</c:v>
                </c:pt>
                <c:pt idx="3">
                  <c:v>6977</c:v>
                </c:pt>
                <c:pt idx="4">
                  <c:v>10005</c:v>
                </c:pt>
                <c:pt idx="5">
                  <c:v>5849</c:v>
                </c:pt>
                <c:pt idx="6">
                  <c:v>2633</c:v>
                </c:pt>
                <c:pt idx="7">
                  <c:v>3195</c:v>
                </c:pt>
                <c:pt idx="8">
                  <c:v>3733</c:v>
                </c:pt>
                <c:pt idx="9">
                  <c:v>3210</c:v>
                </c:pt>
              </c:numCache>
            </c:numRef>
          </c:val>
        </c:ser>
        <c:dLbls>
          <c:dLblPos val="ctr"/>
          <c:showLegendKey val="0"/>
          <c:showVal val="1"/>
          <c:showCatName val="0"/>
          <c:showSerName val="0"/>
          <c:showPercent val="0"/>
          <c:showBubbleSize val="0"/>
        </c:dLbls>
        <c:gapWidth val="150"/>
        <c:overlap val="100"/>
        <c:axId val="36123776"/>
        <c:axId val="36125312"/>
      </c:barChart>
      <c:lineChart>
        <c:grouping val="standard"/>
        <c:varyColors val="0"/>
        <c:ser>
          <c:idx val="4"/>
          <c:order val="4"/>
          <c:tx>
            <c:strRef>
              <c:f>Sheet2!$B$41</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Sheet2!$C$36:$L$36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Sheet2!$C$41:$L$41</c:f>
              <c:numCache>
                <c:formatCode>#,##0</c:formatCode>
                <c:ptCount val="10"/>
                <c:pt idx="0">
                  <c:v>12029</c:v>
                </c:pt>
                <c:pt idx="1">
                  <c:v>11702</c:v>
                </c:pt>
                <c:pt idx="2">
                  <c:v>11295</c:v>
                </c:pt>
                <c:pt idx="3">
                  <c:v>9625</c:v>
                </c:pt>
                <c:pt idx="4">
                  <c:v>14778</c:v>
                </c:pt>
                <c:pt idx="5">
                  <c:v>8601</c:v>
                </c:pt>
                <c:pt idx="6">
                  <c:v>4057</c:v>
                </c:pt>
                <c:pt idx="7">
                  <c:v>4775</c:v>
                </c:pt>
                <c:pt idx="8">
                  <c:v>5675</c:v>
                </c:pt>
                <c:pt idx="9">
                  <c:v>4902</c:v>
                </c:pt>
              </c:numCache>
            </c:numRef>
          </c:val>
          <c:smooth val="0"/>
        </c:ser>
        <c:dLbls>
          <c:showLegendKey val="0"/>
          <c:showVal val="0"/>
          <c:showCatName val="0"/>
          <c:showSerName val="0"/>
          <c:showPercent val="0"/>
          <c:showBubbleSize val="0"/>
        </c:dLbls>
        <c:marker val="1"/>
        <c:smooth val="0"/>
        <c:axId val="36123776"/>
        <c:axId val="36125312"/>
      </c:lineChart>
      <c:catAx>
        <c:axId val="36123776"/>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36125312"/>
        <c:crosses val="autoZero"/>
        <c:auto val="1"/>
        <c:lblAlgn val="ctr"/>
        <c:lblOffset val="100"/>
        <c:noMultiLvlLbl val="0"/>
      </c:catAx>
      <c:valAx>
        <c:axId val="36125312"/>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36123776"/>
        <c:crosses val="autoZero"/>
        <c:crossBetween val="between"/>
        <c:majorUnit val="4000"/>
      </c:valAx>
    </c:plotArea>
    <c:legend>
      <c:legendPos val="r"/>
      <c:legendEntry>
        <c:idx val="4"/>
        <c:delete val="1"/>
      </c:legendEntry>
      <c:layout>
        <c:manualLayout>
          <c:xMode val="edge"/>
          <c:yMode val="edge"/>
          <c:x val="0.53598597872634302"/>
          <c:y val="0.17290106893062948"/>
          <c:w val="0.43086924989639402"/>
          <c:h val="0.25207466385137617"/>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Sheet2!$B$64</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Sheet2!$B$65:$B$74</c:f>
              <c:numCache>
                <c:formatCode>General</c:formatCode>
                <c:ptCount val="10"/>
                <c:pt idx="0">
                  <c:v>4053</c:v>
                </c:pt>
                <c:pt idx="1">
                  <c:v>3972</c:v>
                </c:pt>
                <c:pt idx="2">
                  <c:v>4609</c:v>
                </c:pt>
                <c:pt idx="3">
                  <c:v>5013</c:v>
                </c:pt>
                <c:pt idx="4">
                  <c:v>5194</c:v>
                </c:pt>
                <c:pt idx="5">
                  <c:v>5942</c:v>
                </c:pt>
                <c:pt idx="6">
                  <c:v>7593</c:v>
                </c:pt>
                <c:pt idx="7">
                  <c:v>10066</c:v>
                </c:pt>
                <c:pt idx="8">
                  <c:v>11972</c:v>
                </c:pt>
                <c:pt idx="9">
                  <c:v>15900</c:v>
                </c:pt>
              </c:numCache>
            </c:numRef>
          </c:val>
          <c:smooth val="0"/>
        </c:ser>
        <c:ser>
          <c:idx val="1"/>
          <c:order val="1"/>
          <c:tx>
            <c:strRef>
              <c:f>Sheet2!$C$64</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Sheet2!$C$65:$C$74</c:f>
              <c:numCache>
                <c:formatCode>General</c:formatCode>
                <c:ptCount val="10"/>
                <c:pt idx="0">
                  <c:v>2463</c:v>
                </c:pt>
                <c:pt idx="1">
                  <c:v>2531</c:v>
                </c:pt>
                <c:pt idx="2">
                  <c:v>2435</c:v>
                </c:pt>
                <c:pt idx="3">
                  <c:v>2378</c:v>
                </c:pt>
                <c:pt idx="4">
                  <c:v>2436</c:v>
                </c:pt>
                <c:pt idx="5">
                  <c:v>2500</c:v>
                </c:pt>
                <c:pt idx="6">
                  <c:v>2610</c:v>
                </c:pt>
                <c:pt idx="7">
                  <c:v>4278</c:v>
                </c:pt>
                <c:pt idx="8">
                  <c:v>3822</c:v>
                </c:pt>
                <c:pt idx="9">
                  <c:v>5092</c:v>
                </c:pt>
              </c:numCache>
            </c:numRef>
          </c:val>
          <c:smooth val="0"/>
        </c:ser>
        <c:ser>
          <c:idx val="2"/>
          <c:order val="2"/>
          <c:tx>
            <c:strRef>
              <c:f>Sheet2!$D$64</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Sheet2!$D$65:$D$74</c:f>
              <c:numCache>
                <c:formatCode>General</c:formatCode>
                <c:ptCount val="10"/>
                <c:pt idx="0">
                  <c:v>1751</c:v>
                </c:pt>
                <c:pt idx="1">
                  <c:v>1921</c:v>
                </c:pt>
                <c:pt idx="2">
                  <c:v>1847</c:v>
                </c:pt>
                <c:pt idx="3">
                  <c:v>1806</c:v>
                </c:pt>
                <c:pt idx="4">
                  <c:v>1789</c:v>
                </c:pt>
                <c:pt idx="5">
                  <c:v>1763</c:v>
                </c:pt>
                <c:pt idx="6">
                  <c:v>1805</c:v>
                </c:pt>
                <c:pt idx="7">
                  <c:v>2325</c:v>
                </c:pt>
                <c:pt idx="8">
                  <c:v>2456</c:v>
                </c:pt>
                <c:pt idx="9">
                  <c:v>3231</c:v>
                </c:pt>
              </c:numCache>
            </c:numRef>
          </c:val>
          <c:smooth val="0"/>
        </c:ser>
        <c:ser>
          <c:idx val="3"/>
          <c:order val="3"/>
          <c:tx>
            <c:strRef>
              <c:f>Sheet2!$E$64</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Sheet2!$E$65:$E$74</c:f>
              <c:numCache>
                <c:formatCode>General</c:formatCode>
                <c:ptCount val="10"/>
                <c:pt idx="0">
                  <c:v>712</c:v>
                </c:pt>
                <c:pt idx="1">
                  <c:v>610</c:v>
                </c:pt>
                <c:pt idx="2">
                  <c:v>588</c:v>
                </c:pt>
                <c:pt idx="3">
                  <c:v>572</c:v>
                </c:pt>
                <c:pt idx="4">
                  <c:v>647</c:v>
                </c:pt>
                <c:pt idx="5">
                  <c:v>737</c:v>
                </c:pt>
                <c:pt idx="6">
                  <c:v>805</c:v>
                </c:pt>
                <c:pt idx="7">
                  <c:v>1953</c:v>
                </c:pt>
                <c:pt idx="8">
                  <c:v>1366</c:v>
                </c:pt>
                <c:pt idx="9">
                  <c:v>1861</c:v>
                </c:pt>
              </c:numCache>
            </c:numRef>
          </c:val>
          <c:smooth val="0"/>
        </c:ser>
        <c:dLbls>
          <c:showLegendKey val="0"/>
          <c:showVal val="0"/>
          <c:showCatName val="0"/>
          <c:showSerName val="0"/>
          <c:showPercent val="0"/>
          <c:showBubbleSize val="0"/>
        </c:dLbls>
        <c:marker val="1"/>
        <c:smooth val="0"/>
        <c:axId val="98097408"/>
        <c:axId val="98099200"/>
      </c:lineChart>
      <c:catAx>
        <c:axId val="98097408"/>
        <c:scaling>
          <c:orientation val="minMax"/>
        </c:scaling>
        <c:delete val="0"/>
        <c:axPos val="b"/>
        <c:numFmt formatCode="General" sourceLinked="1"/>
        <c:majorTickMark val="out"/>
        <c:minorTickMark val="none"/>
        <c:tickLblPos val="nextTo"/>
        <c:crossAx val="98099200"/>
        <c:crosses val="autoZero"/>
        <c:auto val="1"/>
        <c:lblAlgn val="ctr"/>
        <c:lblOffset val="100"/>
        <c:noMultiLvlLbl val="0"/>
      </c:catAx>
      <c:valAx>
        <c:axId val="98099200"/>
        <c:scaling>
          <c:orientation val="minMax"/>
        </c:scaling>
        <c:delete val="0"/>
        <c:axPos val="l"/>
        <c:majorGridlines/>
        <c:numFmt formatCode="General" sourceLinked="1"/>
        <c:majorTickMark val="out"/>
        <c:minorTickMark val="none"/>
        <c:tickLblPos val="nextTo"/>
        <c:crossAx val="98097408"/>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Sheet2!$B$107</c:f>
              <c:strCache>
                <c:ptCount val="1"/>
                <c:pt idx="0">
                  <c:v>Emotional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Sheet2!$B$108:$B$117</c:f>
              <c:numCache>
                <c:formatCode>General</c:formatCode>
                <c:ptCount val="10"/>
                <c:pt idx="0">
                  <c:v>839</c:v>
                </c:pt>
                <c:pt idx="1">
                  <c:v>696</c:v>
                </c:pt>
                <c:pt idx="2">
                  <c:v>791</c:v>
                </c:pt>
                <c:pt idx="3">
                  <c:v>922</c:v>
                </c:pt>
                <c:pt idx="4">
                  <c:v>911</c:v>
                </c:pt>
                <c:pt idx="5">
                  <c:v>1731</c:v>
                </c:pt>
                <c:pt idx="6">
                  <c:v>2384</c:v>
                </c:pt>
                <c:pt idx="7">
                  <c:v>2871</c:v>
                </c:pt>
                <c:pt idx="8">
                  <c:v>3753</c:v>
                </c:pt>
                <c:pt idx="9">
                  <c:v>4919</c:v>
                </c:pt>
              </c:numCache>
            </c:numRef>
          </c:val>
          <c:smooth val="0"/>
        </c:ser>
        <c:ser>
          <c:idx val="1"/>
          <c:order val="1"/>
          <c:tx>
            <c:strRef>
              <c:f>Sheet2!$C$107</c:f>
              <c:strCache>
                <c:ptCount val="1"/>
                <c:pt idx="0">
                  <c:v>Neglect</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Sheet2!$C$108:$C$117</c:f>
              <c:numCache>
                <c:formatCode>General</c:formatCode>
                <c:ptCount val="10"/>
                <c:pt idx="0">
                  <c:v>857</c:v>
                </c:pt>
                <c:pt idx="1">
                  <c:v>883</c:v>
                </c:pt>
                <c:pt idx="2">
                  <c:v>851</c:v>
                </c:pt>
                <c:pt idx="3">
                  <c:v>677</c:v>
                </c:pt>
                <c:pt idx="4">
                  <c:v>1346</c:v>
                </c:pt>
                <c:pt idx="5">
                  <c:v>824</c:v>
                </c:pt>
                <c:pt idx="6">
                  <c:v>534</c:v>
                </c:pt>
                <c:pt idx="7">
                  <c:v>507</c:v>
                </c:pt>
                <c:pt idx="8">
                  <c:v>653</c:v>
                </c:pt>
                <c:pt idx="9">
                  <c:v>534</c:v>
                </c:pt>
              </c:numCache>
            </c:numRef>
          </c:val>
          <c:smooth val="0"/>
        </c:ser>
        <c:ser>
          <c:idx val="2"/>
          <c:order val="2"/>
          <c:tx>
            <c:strRef>
              <c:f>Sheet2!$D$107</c:f>
              <c:strCache>
                <c:ptCount val="1"/>
                <c:pt idx="0">
                  <c:v>Physical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Sheet2!$D$108:$D$117</c:f>
              <c:numCache>
                <c:formatCode>General</c:formatCode>
                <c:ptCount val="10"/>
                <c:pt idx="0">
                  <c:v>1530</c:v>
                </c:pt>
                <c:pt idx="1">
                  <c:v>1538</c:v>
                </c:pt>
                <c:pt idx="2">
                  <c:v>1413</c:v>
                </c:pt>
                <c:pt idx="3">
                  <c:v>1777</c:v>
                </c:pt>
                <c:pt idx="4">
                  <c:v>1739</c:v>
                </c:pt>
                <c:pt idx="5">
                  <c:v>2653</c:v>
                </c:pt>
                <c:pt idx="6">
                  <c:v>3220</c:v>
                </c:pt>
                <c:pt idx="7">
                  <c:v>3340</c:v>
                </c:pt>
                <c:pt idx="8">
                  <c:v>3605</c:v>
                </c:pt>
                <c:pt idx="9">
                  <c:v>3963</c:v>
                </c:pt>
              </c:numCache>
            </c:numRef>
          </c:val>
          <c:smooth val="0"/>
        </c:ser>
        <c:ser>
          <c:idx val="3"/>
          <c:order val="3"/>
          <c:tx>
            <c:strRef>
              <c:f>Sheet2!$E$107</c:f>
              <c:strCache>
                <c:ptCount val="1"/>
                <c:pt idx="0">
                  <c:v>Sexual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Sheet2!$E$108:$E$117</c:f>
              <c:numCache>
                <c:formatCode>General</c:formatCode>
                <c:ptCount val="10"/>
                <c:pt idx="0">
                  <c:v>431</c:v>
                </c:pt>
                <c:pt idx="1">
                  <c:v>470</c:v>
                </c:pt>
                <c:pt idx="2">
                  <c:v>477</c:v>
                </c:pt>
                <c:pt idx="3">
                  <c:v>537</c:v>
                </c:pt>
                <c:pt idx="4">
                  <c:v>420</c:v>
                </c:pt>
                <c:pt idx="5">
                  <c:v>692</c:v>
                </c:pt>
                <c:pt idx="6">
                  <c:v>637</c:v>
                </c:pt>
                <c:pt idx="7">
                  <c:v>783</c:v>
                </c:pt>
                <c:pt idx="8">
                  <c:v>929</c:v>
                </c:pt>
                <c:pt idx="9">
                  <c:v>1001</c:v>
                </c:pt>
              </c:numCache>
            </c:numRef>
          </c:val>
          <c:smooth val="0"/>
        </c:ser>
        <c:dLbls>
          <c:showLegendKey val="0"/>
          <c:showVal val="0"/>
          <c:showCatName val="0"/>
          <c:showSerName val="0"/>
          <c:showPercent val="0"/>
          <c:showBubbleSize val="0"/>
        </c:dLbls>
        <c:marker val="1"/>
        <c:smooth val="0"/>
        <c:axId val="98788864"/>
        <c:axId val="98790400"/>
      </c:lineChart>
      <c:catAx>
        <c:axId val="98788864"/>
        <c:scaling>
          <c:orientation val="minMax"/>
        </c:scaling>
        <c:delete val="0"/>
        <c:axPos val="b"/>
        <c:numFmt formatCode="General" sourceLinked="1"/>
        <c:majorTickMark val="out"/>
        <c:minorTickMark val="none"/>
        <c:tickLblPos val="nextTo"/>
        <c:crossAx val="98790400"/>
        <c:crosses val="autoZero"/>
        <c:auto val="1"/>
        <c:lblAlgn val="ctr"/>
        <c:lblOffset val="100"/>
        <c:noMultiLvlLbl val="0"/>
      </c:catAx>
      <c:valAx>
        <c:axId val="98790400"/>
        <c:scaling>
          <c:orientation val="minMax"/>
        </c:scaling>
        <c:delete val="0"/>
        <c:axPos val="l"/>
        <c:majorGridlines/>
        <c:numFmt formatCode="General" sourceLinked="1"/>
        <c:majorTickMark val="out"/>
        <c:minorTickMark val="none"/>
        <c:tickLblPos val="nextTo"/>
        <c:crossAx val="98788864"/>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Sheet2!$B$123</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Sheet2!$B$124:$B$133</c:f>
              <c:numCache>
                <c:formatCode>General</c:formatCode>
                <c:ptCount val="10"/>
                <c:pt idx="0">
                  <c:v>2313</c:v>
                </c:pt>
                <c:pt idx="1">
                  <c:v>2300</c:v>
                </c:pt>
                <c:pt idx="2">
                  <c:v>2394</c:v>
                </c:pt>
                <c:pt idx="3">
                  <c:v>2740</c:v>
                </c:pt>
                <c:pt idx="4">
                  <c:v>3153</c:v>
                </c:pt>
                <c:pt idx="5">
                  <c:v>4217</c:v>
                </c:pt>
                <c:pt idx="6">
                  <c:v>4824</c:v>
                </c:pt>
                <c:pt idx="7">
                  <c:v>5493</c:v>
                </c:pt>
                <c:pt idx="8">
                  <c:v>6459</c:v>
                </c:pt>
                <c:pt idx="9">
                  <c:v>7577</c:v>
                </c:pt>
              </c:numCache>
            </c:numRef>
          </c:val>
          <c:smooth val="0"/>
        </c:ser>
        <c:ser>
          <c:idx val="1"/>
          <c:order val="1"/>
          <c:tx>
            <c:strRef>
              <c:f>Sheet2!$C$123</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Sheet2!$C$124:$C$133</c:f>
              <c:numCache>
                <c:formatCode>General</c:formatCode>
                <c:ptCount val="10"/>
                <c:pt idx="0">
                  <c:v>1344</c:v>
                </c:pt>
                <c:pt idx="1">
                  <c:v>1287</c:v>
                </c:pt>
                <c:pt idx="2">
                  <c:v>1138</c:v>
                </c:pt>
                <c:pt idx="3">
                  <c:v>1173</c:v>
                </c:pt>
                <c:pt idx="4">
                  <c:v>1263</c:v>
                </c:pt>
                <c:pt idx="5">
                  <c:v>1683</c:v>
                </c:pt>
                <c:pt idx="6">
                  <c:v>1951</c:v>
                </c:pt>
                <c:pt idx="7">
                  <c:v>2008</c:v>
                </c:pt>
                <c:pt idx="8">
                  <c:v>2481</c:v>
                </c:pt>
                <c:pt idx="9">
                  <c:v>2840</c:v>
                </c:pt>
              </c:numCache>
            </c:numRef>
          </c:val>
          <c:smooth val="0"/>
        </c:ser>
        <c:ser>
          <c:idx val="2"/>
          <c:order val="2"/>
          <c:tx>
            <c:strRef>
              <c:f>Sheet2!$D$123</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Sheet2!$D$124:$D$133</c:f>
              <c:numCache>
                <c:formatCode>General</c:formatCode>
                <c:ptCount val="10"/>
                <c:pt idx="0">
                  <c:v>756</c:v>
                </c:pt>
                <c:pt idx="1">
                  <c:v>727</c:v>
                </c:pt>
                <c:pt idx="2">
                  <c:v>718</c:v>
                </c:pt>
                <c:pt idx="3">
                  <c:v>723</c:v>
                </c:pt>
                <c:pt idx="4">
                  <c:v>751</c:v>
                </c:pt>
                <c:pt idx="5">
                  <c:v>975</c:v>
                </c:pt>
                <c:pt idx="6">
                  <c:v>1002</c:v>
                </c:pt>
                <c:pt idx="7">
                  <c:v>1070</c:v>
                </c:pt>
                <c:pt idx="8">
                  <c:v>1374</c:v>
                </c:pt>
                <c:pt idx="9">
                  <c:v>1515</c:v>
                </c:pt>
              </c:numCache>
            </c:numRef>
          </c:val>
          <c:smooth val="0"/>
        </c:ser>
        <c:ser>
          <c:idx val="3"/>
          <c:order val="3"/>
          <c:tx>
            <c:strRef>
              <c:f>Sheet2!$E$123</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Sheet2!$E$124:$E$133</c:f>
              <c:numCache>
                <c:formatCode>General</c:formatCode>
                <c:ptCount val="10"/>
                <c:pt idx="0">
                  <c:v>588</c:v>
                </c:pt>
                <c:pt idx="1">
                  <c:v>560</c:v>
                </c:pt>
                <c:pt idx="2">
                  <c:v>420</c:v>
                </c:pt>
                <c:pt idx="3">
                  <c:v>450</c:v>
                </c:pt>
                <c:pt idx="4">
                  <c:v>512</c:v>
                </c:pt>
                <c:pt idx="5">
                  <c:v>708</c:v>
                </c:pt>
                <c:pt idx="6">
                  <c:v>949</c:v>
                </c:pt>
                <c:pt idx="7">
                  <c:v>938</c:v>
                </c:pt>
                <c:pt idx="8">
                  <c:v>1107</c:v>
                </c:pt>
                <c:pt idx="9">
                  <c:v>1325</c:v>
                </c:pt>
              </c:numCache>
            </c:numRef>
          </c:val>
          <c:smooth val="0"/>
        </c:ser>
        <c:dLbls>
          <c:showLegendKey val="0"/>
          <c:showVal val="0"/>
          <c:showCatName val="0"/>
          <c:showSerName val="0"/>
          <c:showPercent val="0"/>
          <c:showBubbleSize val="0"/>
        </c:dLbls>
        <c:marker val="1"/>
        <c:smooth val="0"/>
        <c:axId val="99030144"/>
        <c:axId val="99031680"/>
      </c:lineChart>
      <c:catAx>
        <c:axId val="99030144"/>
        <c:scaling>
          <c:orientation val="minMax"/>
        </c:scaling>
        <c:delete val="0"/>
        <c:axPos val="b"/>
        <c:numFmt formatCode="General" sourceLinked="1"/>
        <c:majorTickMark val="out"/>
        <c:minorTickMark val="none"/>
        <c:tickLblPos val="nextTo"/>
        <c:crossAx val="99031680"/>
        <c:crosses val="autoZero"/>
        <c:auto val="1"/>
        <c:lblAlgn val="ctr"/>
        <c:lblOffset val="100"/>
        <c:noMultiLvlLbl val="0"/>
      </c:catAx>
      <c:valAx>
        <c:axId val="99031680"/>
        <c:scaling>
          <c:orientation val="minMax"/>
        </c:scaling>
        <c:delete val="0"/>
        <c:axPos val="l"/>
        <c:majorGridlines/>
        <c:numFmt formatCode="General" sourceLinked="1"/>
        <c:majorTickMark val="out"/>
        <c:minorTickMark val="none"/>
        <c:tickLblPos val="nextTo"/>
        <c:crossAx val="99030144"/>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Sheet2!$B$79</c:f>
              <c:strCache>
                <c:ptCount val="1"/>
                <c:pt idx="0">
                  <c:v>Emotional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Sheet2!$B$80:$B$89</c:f>
              <c:numCache>
                <c:formatCode>General</c:formatCode>
                <c:ptCount val="10"/>
                <c:pt idx="0">
                  <c:v>75</c:v>
                </c:pt>
                <c:pt idx="1">
                  <c:v>105</c:v>
                </c:pt>
                <c:pt idx="2">
                  <c:v>61</c:v>
                </c:pt>
                <c:pt idx="3">
                  <c:v>77</c:v>
                </c:pt>
                <c:pt idx="4">
                  <c:v>38</c:v>
                </c:pt>
                <c:pt idx="5">
                  <c:v>70</c:v>
                </c:pt>
                <c:pt idx="6">
                  <c:v>90</c:v>
                </c:pt>
                <c:pt idx="7">
                  <c:v>94</c:v>
                </c:pt>
                <c:pt idx="8">
                  <c:v>123</c:v>
                </c:pt>
                <c:pt idx="9">
                  <c:v>120</c:v>
                </c:pt>
              </c:numCache>
            </c:numRef>
          </c:val>
          <c:smooth val="0"/>
        </c:ser>
        <c:ser>
          <c:idx val="1"/>
          <c:order val="1"/>
          <c:tx>
            <c:strRef>
              <c:f>Sheet2!$C$79</c:f>
              <c:strCache>
                <c:ptCount val="1"/>
                <c:pt idx="0">
                  <c:v>Neglect</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Sheet2!$C$80:$C$89</c:f>
              <c:numCache>
                <c:formatCode>General</c:formatCode>
                <c:ptCount val="10"/>
                <c:pt idx="0">
                  <c:v>23</c:v>
                </c:pt>
                <c:pt idx="1">
                  <c:v>23</c:v>
                </c:pt>
                <c:pt idx="2">
                  <c:v>29</c:v>
                </c:pt>
                <c:pt idx="3">
                  <c:v>27</c:v>
                </c:pt>
                <c:pt idx="4">
                  <c:v>52</c:v>
                </c:pt>
                <c:pt idx="5">
                  <c:v>35</c:v>
                </c:pt>
                <c:pt idx="6">
                  <c:v>14</c:v>
                </c:pt>
                <c:pt idx="7">
                  <c:v>18</c:v>
                </c:pt>
                <c:pt idx="8">
                  <c:v>11</c:v>
                </c:pt>
                <c:pt idx="9">
                  <c:v>14</c:v>
                </c:pt>
              </c:numCache>
            </c:numRef>
          </c:val>
          <c:smooth val="0"/>
        </c:ser>
        <c:ser>
          <c:idx val="2"/>
          <c:order val="2"/>
          <c:tx>
            <c:strRef>
              <c:f>Sheet2!$D$79</c:f>
              <c:strCache>
                <c:ptCount val="1"/>
                <c:pt idx="0">
                  <c:v>Physical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Sheet2!$D$80:$D$89</c:f>
              <c:numCache>
                <c:formatCode>General</c:formatCode>
                <c:ptCount val="10"/>
                <c:pt idx="0">
                  <c:v>23</c:v>
                </c:pt>
                <c:pt idx="1">
                  <c:v>68</c:v>
                </c:pt>
                <c:pt idx="2">
                  <c:v>27</c:v>
                </c:pt>
                <c:pt idx="3">
                  <c:v>67</c:v>
                </c:pt>
                <c:pt idx="4">
                  <c:v>38</c:v>
                </c:pt>
                <c:pt idx="5">
                  <c:v>57</c:v>
                </c:pt>
                <c:pt idx="6">
                  <c:v>77</c:v>
                </c:pt>
                <c:pt idx="7">
                  <c:v>68</c:v>
                </c:pt>
                <c:pt idx="8">
                  <c:v>49</c:v>
                </c:pt>
                <c:pt idx="9">
                  <c:v>22</c:v>
                </c:pt>
              </c:numCache>
            </c:numRef>
          </c:val>
          <c:smooth val="0"/>
        </c:ser>
        <c:ser>
          <c:idx val="3"/>
          <c:order val="3"/>
          <c:tx>
            <c:strRef>
              <c:f>Sheet2!$E$79</c:f>
              <c:strCache>
                <c:ptCount val="1"/>
                <c:pt idx="0">
                  <c:v>Sexual</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Sheet2!$E$80:$E$89</c:f>
              <c:numCache>
                <c:formatCode>General</c:formatCode>
                <c:ptCount val="10"/>
                <c:pt idx="0">
                  <c:v>29</c:v>
                </c:pt>
                <c:pt idx="1">
                  <c:v>23</c:v>
                </c:pt>
                <c:pt idx="2">
                  <c:v>18</c:v>
                </c:pt>
                <c:pt idx="3">
                  <c:v>24</c:v>
                </c:pt>
                <c:pt idx="4">
                  <c:v>13</c:v>
                </c:pt>
                <c:pt idx="5">
                  <c:v>11</c:v>
                </c:pt>
                <c:pt idx="6">
                  <c:v>17</c:v>
                </c:pt>
                <c:pt idx="7">
                  <c:v>21</c:v>
                </c:pt>
                <c:pt idx="8">
                  <c:v>15</c:v>
                </c:pt>
                <c:pt idx="9">
                  <c:v>18</c:v>
                </c:pt>
              </c:numCache>
            </c:numRef>
          </c:val>
          <c:smooth val="0"/>
        </c:ser>
        <c:dLbls>
          <c:showLegendKey val="0"/>
          <c:showVal val="0"/>
          <c:showCatName val="0"/>
          <c:showSerName val="0"/>
          <c:showPercent val="0"/>
          <c:showBubbleSize val="0"/>
        </c:dLbls>
        <c:marker val="1"/>
        <c:smooth val="0"/>
        <c:axId val="99070720"/>
        <c:axId val="99072256"/>
      </c:lineChart>
      <c:catAx>
        <c:axId val="99070720"/>
        <c:scaling>
          <c:orientation val="minMax"/>
        </c:scaling>
        <c:delete val="0"/>
        <c:axPos val="b"/>
        <c:numFmt formatCode="General" sourceLinked="1"/>
        <c:majorTickMark val="out"/>
        <c:minorTickMark val="none"/>
        <c:tickLblPos val="nextTo"/>
        <c:crossAx val="99072256"/>
        <c:crosses val="autoZero"/>
        <c:auto val="1"/>
        <c:lblAlgn val="ctr"/>
        <c:lblOffset val="100"/>
        <c:noMultiLvlLbl val="0"/>
      </c:catAx>
      <c:valAx>
        <c:axId val="99072256"/>
        <c:scaling>
          <c:orientation val="minMax"/>
        </c:scaling>
        <c:delete val="0"/>
        <c:axPos val="l"/>
        <c:majorGridlines/>
        <c:numFmt formatCode="General" sourceLinked="1"/>
        <c:majorTickMark val="out"/>
        <c:minorTickMark val="none"/>
        <c:tickLblPos val="nextTo"/>
        <c:crossAx val="99070720"/>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Sheet2!$B$93</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Sheet2!$B$94:$B$103</c:f>
              <c:numCache>
                <c:formatCode>General</c:formatCode>
                <c:ptCount val="10"/>
                <c:pt idx="0">
                  <c:v>98</c:v>
                </c:pt>
                <c:pt idx="1">
                  <c:v>128</c:v>
                </c:pt>
                <c:pt idx="2">
                  <c:v>93</c:v>
                </c:pt>
                <c:pt idx="3">
                  <c:v>128</c:v>
                </c:pt>
                <c:pt idx="4">
                  <c:v>97</c:v>
                </c:pt>
                <c:pt idx="5">
                  <c:v>136</c:v>
                </c:pt>
                <c:pt idx="6">
                  <c:v>136</c:v>
                </c:pt>
                <c:pt idx="7">
                  <c:v>130</c:v>
                </c:pt>
                <c:pt idx="8">
                  <c:v>141</c:v>
                </c:pt>
                <c:pt idx="9">
                  <c:v>135</c:v>
                </c:pt>
              </c:numCache>
            </c:numRef>
          </c:val>
          <c:smooth val="0"/>
        </c:ser>
        <c:ser>
          <c:idx val="1"/>
          <c:order val="1"/>
          <c:tx>
            <c:strRef>
              <c:f>Sheet2!$C$93</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Sheet2!$C$94:$C$103</c:f>
              <c:numCache>
                <c:formatCode>General</c:formatCode>
                <c:ptCount val="10"/>
                <c:pt idx="0">
                  <c:v>52</c:v>
                </c:pt>
                <c:pt idx="1">
                  <c:v>91</c:v>
                </c:pt>
                <c:pt idx="2">
                  <c:v>42</c:v>
                </c:pt>
                <c:pt idx="3">
                  <c:v>67</c:v>
                </c:pt>
                <c:pt idx="4">
                  <c:v>44</c:v>
                </c:pt>
                <c:pt idx="5">
                  <c:v>37</c:v>
                </c:pt>
                <c:pt idx="6">
                  <c:v>62</c:v>
                </c:pt>
                <c:pt idx="7">
                  <c:v>71</c:v>
                </c:pt>
                <c:pt idx="8">
                  <c:v>57</c:v>
                </c:pt>
                <c:pt idx="9">
                  <c:v>39</c:v>
                </c:pt>
              </c:numCache>
            </c:numRef>
          </c:val>
          <c:smooth val="0"/>
        </c:ser>
        <c:ser>
          <c:idx val="2"/>
          <c:order val="2"/>
          <c:tx>
            <c:strRef>
              <c:f>Sheet2!$D$93</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Sheet2!$D$94:$D$103</c:f>
              <c:numCache>
                <c:formatCode>General</c:formatCode>
                <c:ptCount val="10"/>
                <c:pt idx="0">
                  <c:v>43</c:v>
                </c:pt>
                <c:pt idx="1">
                  <c:v>63</c:v>
                </c:pt>
                <c:pt idx="2">
                  <c:v>29</c:v>
                </c:pt>
                <c:pt idx="3">
                  <c:v>40</c:v>
                </c:pt>
                <c:pt idx="4">
                  <c:v>30</c:v>
                </c:pt>
                <c:pt idx="5">
                  <c:v>27</c:v>
                </c:pt>
                <c:pt idx="6">
                  <c:v>38</c:v>
                </c:pt>
                <c:pt idx="7">
                  <c:v>46</c:v>
                </c:pt>
                <c:pt idx="8">
                  <c:v>34</c:v>
                </c:pt>
                <c:pt idx="9">
                  <c:v>23</c:v>
                </c:pt>
              </c:numCache>
            </c:numRef>
          </c:val>
          <c:smooth val="0"/>
        </c:ser>
        <c:ser>
          <c:idx val="3"/>
          <c:order val="3"/>
          <c:tx>
            <c:strRef>
              <c:f>Sheet2!$E$93</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Sheet2!$E$94:$E$103</c:f>
              <c:numCache>
                <c:formatCode>General</c:formatCode>
                <c:ptCount val="10"/>
                <c:pt idx="0">
                  <c:v>9</c:v>
                </c:pt>
                <c:pt idx="1">
                  <c:v>28</c:v>
                </c:pt>
                <c:pt idx="2">
                  <c:v>13</c:v>
                </c:pt>
                <c:pt idx="3">
                  <c:v>27</c:v>
                </c:pt>
                <c:pt idx="4">
                  <c:v>14</c:v>
                </c:pt>
                <c:pt idx="5">
                  <c:v>10</c:v>
                </c:pt>
                <c:pt idx="6">
                  <c:v>24</c:v>
                </c:pt>
                <c:pt idx="7">
                  <c:v>25</c:v>
                </c:pt>
                <c:pt idx="8">
                  <c:v>23</c:v>
                </c:pt>
                <c:pt idx="9">
                  <c:v>16</c:v>
                </c:pt>
              </c:numCache>
            </c:numRef>
          </c:val>
          <c:smooth val="0"/>
        </c:ser>
        <c:dLbls>
          <c:showLegendKey val="0"/>
          <c:showVal val="0"/>
          <c:showCatName val="0"/>
          <c:showSerName val="0"/>
          <c:showPercent val="0"/>
          <c:showBubbleSize val="0"/>
        </c:dLbls>
        <c:marker val="1"/>
        <c:smooth val="0"/>
        <c:axId val="99234944"/>
        <c:axId val="99236480"/>
      </c:lineChart>
      <c:catAx>
        <c:axId val="99234944"/>
        <c:scaling>
          <c:orientation val="minMax"/>
        </c:scaling>
        <c:delete val="0"/>
        <c:axPos val="b"/>
        <c:numFmt formatCode="General" sourceLinked="1"/>
        <c:majorTickMark val="out"/>
        <c:minorTickMark val="none"/>
        <c:tickLblPos val="nextTo"/>
        <c:crossAx val="99236480"/>
        <c:crosses val="autoZero"/>
        <c:auto val="1"/>
        <c:lblAlgn val="ctr"/>
        <c:lblOffset val="100"/>
        <c:noMultiLvlLbl val="0"/>
      </c:catAx>
      <c:valAx>
        <c:axId val="99236480"/>
        <c:scaling>
          <c:orientation val="minMax"/>
        </c:scaling>
        <c:delete val="0"/>
        <c:axPos val="l"/>
        <c:majorGridlines/>
        <c:numFmt formatCode="General" sourceLinked="1"/>
        <c:majorTickMark val="out"/>
        <c:minorTickMark val="none"/>
        <c:tickLblPos val="nextTo"/>
        <c:crossAx val="99234944"/>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Sheet5!$A$2</c:f>
              <c:strCache>
                <c:ptCount val="1"/>
                <c:pt idx="0">
                  <c:v>Total reports</c:v>
                </c:pt>
              </c:strCache>
            </c:strRef>
          </c:tx>
          <c:marker>
            <c:symbol val="none"/>
          </c:marker>
          <c:cat>
            <c:numRef>
              <c:f>Sheet5!$B$1:$K$1</c:f>
              <c:numCache>
                <c:formatCode>0</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Sheet5!$B$2:$K$2</c:f>
              <c:numCache>
                <c:formatCode>#,##0</c:formatCode>
                <c:ptCount val="10"/>
                <c:pt idx="0">
                  <c:v>37267</c:v>
                </c:pt>
                <c:pt idx="1">
                  <c:v>37649</c:v>
                </c:pt>
                <c:pt idx="2">
                  <c:v>36657</c:v>
                </c:pt>
                <c:pt idx="3" formatCode="General">
                  <c:v>37693</c:v>
                </c:pt>
                <c:pt idx="4" formatCode="General">
                  <c:v>38774</c:v>
                </c:pt>
                <c:pt idx="5" formatCode="General">
                  <c:v>41695</c:v>
                </c:pt>
                <c:pt idx="6" formatCode="General">
                  <c:v>44770</c:v>
                </c:pt>
                <c:pt idx="7" formatCode="General">
                  <c:v>52035</c:v>
                </c:pt>
                <c:pt idx="8" formatCode="General">
                  <c:v>58932</c:v>
                </c:pt>
                <c:pt idx="9" formatCode="General">
                  <c:v>68648</c:v>
                </c:pt>
              </c:numCache>
            </c:numRef>
          </c:val>
          <c:smooth val="0"/>
        </c:ser>
        <c:ser>
          <c:idx val="1"/>
          <c:order val="1"/>
          <c:tx>
            <c:strRef>
              <c:f>Sheet5!$A$3</c:f>
              <c:strCache>
                <c:ptCount val="1"/>
                <c:pt idx="0">
                  <c:v>Distinct children reports</c:v>
                </c:pt>
              </c:strCache>
            </c:strRef>
          </c:tx>
          <c:marker>
            <c:symbol val="none"/>
          </c:marker>
          <c:cat>
            <c:numRef>
              <c:f>Sheet5!$B$1:$K$1</c:f>
              <c:numCache>
                <c:formatCode>0</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Sheet5!$B$3:$K$3</c:f>
              <c:numCache>
                <c:formatCode>#,##0</c:formatCode>
                <c:ptCount val="10"/>
                <c:pt idx="0">
                  <c:v>28028</c:v>
                </c:pt>
                <c:pt idx="1">
                  <c:v>28461</c:v>
                </c:pt>
                <c:pt idx="2">
                  <c:v>28240</c:v>
                </c:pt>
                <c:pt idx="3">
                  <c:v>29524</c:v>
                </c:pt>
                <c:pt idx="4">
                  <c:v>30392</c:v>
                </c:pt>
                <c:pt idx="5">
                  <c:v>32424</c:v>
                </c:pt>
                <c:pt idx="6">
                  <c:v>34781</c:v>
                </c:pt>
                <c:pt idx="7">
                  <c:v>39689</c:v>
                </c:pt>
                <c:pt idx="8">
                  <c:v>43478</c:v>
                </c:pt>
                <c:pt idx="9">
                  <c:v>49667</c:v>
                </c:pt>
              </c:numCache>
            </c:numRef>
          </c:val>
          <c:smooth val="0"/>
        </c:ser>
        <c:dLbls>
          <c:showLegendKey val="0"/>
          <c:showVal val="0"/>
          <c:showCatName val="0"/>
          <c:showSerName val="0"/>
          <c:showPercent val="0"/>
          <c:showBubbleSize val="0"/>
        </c:dLbls>
        <c:marker val="1"/>
        <c:smooth val="0"/>
        <c:axId val="98006912"/>
        <c:axId val="98008448"/>
      </c:lineChart>
      <c:catAx>
        <c:axId val="98006912"/>
        <c:scaling>
          <c:orientation val="minMax"/>
        </c:scaling>
        <c:delete val="0"/>
        <c:axPos val="b"/>
        <c:numFmt formatCode="0" sourceLinked="1"/>
        <c:majorTickMark val="out"/>
        <c:minorTickMark val="none"/>
        <c:tickLblPos val="nextTo"/>
        <c:crossAx val="98008448"/>
        <c:crosses val="autoZero"/>
        <c:auto val="1"/>
        <c:lblAlgn val="ctr"/>
        <c:lblOffset val="100"/>
        <c:noMultiLvlLbl val="0"/>
      </c:catAx>
      <c:valAx>
        <c:axId val="98008448"/>
        <c:scaling>
          <c:orientation val="minMax"/>
        </c:scaling>
        <c:delete val="0"/>
        <c:axPos val="l"/>
        <c:majorGridlines/>
        <c:numFmt formatCode="#,##0" sourceLinked="1"/>
        <c:majorTickMark val="out"/>
        <c:minorTickMark val="none"/>
        <c:tickLblPos val="nextTo"/>
        <c:crossAx val="98006912"/>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Sheet1!$A$85</c:f>
              <c:strCache>
                <c:ptCount val="1"/>
                <c:pt idx="0">
                  <c:v>Doctors</c:v>
                </c:pt>
              </c:strCache>
            </c:strRef>
          </c:tx>
          <c:marker>
            <c:symbol val="none"/>
          </c:marker>
          <c:cat>
            <c:numRef>
              <c:f>Sheet1!$B$84:$K$84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Sheet1!$B$85:$K$85</c:f>
              <c:numCache>
                <c:formatCode>General</c:formatCode>
                <c:ptCount val="10"/>
                <c:pt idx="0" formatCode="#,##0">
                  <c:v>1008</c:v>
                </c:pt>
                <c:pt idx="1">
                  <c:v>897</c:v>
                </c:pt>
                <c:pt idx="2">
                  <c:v>864</c:v>
                </c:pt>
                <c:pt idx="3">
                  <c:v>849</c:v>
                </c:pt>
                <c:pt idx="4">
                  <c:v>841</c:v>
                </c:pt>
                <c:pt idx="5">
                  <c:v>943</c:v>
                </c:pt>
                <c:pt idx="6" formatCode="#,##0">
                  <c:v>1053</c:v>
                </c:pt>
                <c:pt idx="7" formatCode="#,##0">
                  <c:v>1094</c:v>
                </c:pt>
                <c:pt idx="8" formatCode="#,##0">
                  <c:v>1151</c:v>
                </c:pt>
                <c:pt idx="9" formatCode="#,##0">
                  <c:v>1244</c:v>
                </c:pt>
              </c:numCache>
            </c:numRef>
          </c:val>
          <c:smooth val="0"/>
        </c:ser>
        <c:ser>
          <c:idx val="1"/>
          <c:order val="1"/>
          <c:tx>
            <c:strRef>
              <c:f>Sheet1!$A$86</c:f>
              <c:strCache>
                <c:ptCount val="1"/>
                <c:pt idx="0">
                  <c:v>Nurses</c:v>
                </c:pt>
              </c:strCache>
            </c:strRef>
          </c:tx>
          <c:marker>
            <c:symbol val="none"/>
          </c:marker>
          <c:cat>
            <c:numRef>
              <c:f>Sheet1!$B$84:$K$84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Sheet1!$B$86:$K$86</c:f>
              <c:numCache>
                <c:formatCode>#,##0</c:formatCode>
                <c:ptCount val="10"/>
                <c:pt idx="0">
                  <c:v>1313</c:v>
                </c:pt>
                <c:pt idx="1">
                  <c:v>1337</c:v>
                </c:pt>
                <c:pt idx="2">
                  <c:v>1313</c:v>
                </c:pt>
                <c:pt idx="3">
                  <c:v>1336</c:v>
                </c:pt>
                <c:pt idx="4">
                  <c:v>1331</c:v>
                </c:pt>
                <c:pt idx="5">
                  <c:v>1384</c:v>
                </c:pt>
                <c:pt idx="6">
                  <c:v>1238</c:v>
                </c:pt>
                <c:pt idx="7">
                  <c:v>1564</c:v>
                </c:pt>
                <c:pt idx="8">
                  <c:v>1687</c:v>
                </c:pt>
                <c:pt idx="9">
                  <c:v>2039</c:v>
                </c:pt>
              </c:numCache>
            </c:numRef>
          </c:val>
          <c:smooth val="0"/>
        </c:ser>
        <c:ser>
          <c:idx val="2"/>
          <c:order val="2"/>
          <c:tx>
            <c:strRef>
              <c:f>Sheet1!$A$87</c:f>
              <c:strCache>
                <c:ptCount val="1"/>
                <c:pt idx="0">
                  <c:v>Police</c:v>
                </c:pt>
              </c:strCache>
            </c:strRef>
          </c:tx>
          <c:marker>
            <c:symbol val="none"/>
          </c:marker>
          <c:cat>
            <c:numRef>
              <c:f>Sheet1!$B$84:$K$84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Sheet1!$B$87:$K$87</c:f>
              <c:numCache>
                <c:formatCode>#,##0</c:formatCode>
                <c:ptCount val="10"/>
                <c:pt idx="0">
                  <c:v>6057</c:v>
                </c:pt>
                <c:pt idx="1">
                  <c:v>6087</c:v>
                </c:pt>
                <c:pt idx="2">
                  <c:v>6558</c:v>
                </c:pt>
                <c:pt idx="3">
                  <c:v>6929</c:v>
                </c:pt>
                <c:pt idx="4">
                  <c:v>7110</c:v>
                </c:pt>
                <c:pt idx="5">
                  <c:v>7889</c:v>
                </c:pt>
                <c:pt idx="6">
                  <c:v>9457</c:v>
                </c:pt>
                <c:pt idx="7">
                  <c:v>13077</c:v>
                </c:pt>
                <c:pt idx="8">
                  <c:v>14186</c:v>
                </c:pt>
                <c:pt idx="9">
                  <c:v>18457</c:v>
                </c:pt>
              </c:numCache>
            </c:numRef>
          </c:val>
          <c:smooth val="0"/>
        </c:ser>
        <c:ser>
          <c:idx val="3"/>
          <c:order val="3"/>
          <c:tx>
            <c:strRef>
              <c:f>Sheet1!$A$88</c:f>
              <c:strCache>
                <c:ptCount val="1"/>
                <c:pt idx="0">
                  <c:v>School personnel</c:v>
                </c:pt>
              </c:strCache>
            </c:strRef>
          </c:tx>
          <c:marker>
            <c:symbol val="none"/>
          </c:marker>
          <c:cat>
            <c:numRef>
              <c:f>Sheet1!$B$84:$K$84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Sheet1!$B$88:$K$88</c:f>
              <c:numCache>
                <c:formatCode>#,##0</c:formatCode>
                <c:ptCount val="10"/>
                <c:pt idx="0" formatCode="General">
                  <c:v>337</c:v>
                </c:pt>
                <c:pt idx="1">
                  <c:v>3361</c:v>
                </c:pt>
                <c:pt idx="2">
                  <c:v>3312</c:v>
                </c:pt>
                <c:pt idx="3">
                  <c:v>3656</c:v>
                </c:pt>
                <c:pt idx="4">
                  <c:v>4104</c:v>
                </c:pt>
                <c:pt idx="5">
                  <c:v>5457</c:v>
                </c:pt>
                <c:pt idx="6">
                  <c:v>6200</c:v>
                </c:pt>
                <c:pt idx="7">
                  <c:v>6857</c:v>
                </c:pt>
                <c:pt idx="8">
                  <c:v>8077</c:v>
                </c:pt>
                <c:pt idx="9">
                  <c:v>9243</c:v>
                </c:pt>
              </c:numCache>
            </c:numRef>
          </c:val>
          <c:smooth val="0"/>
        </c:ser>
        <c:ser>
          <c:idx val="4"/>
          <c:order val="4"/>
          <c:tx>
            <c:strRef>
              <c:f>Sheet1!$A$89</c:f>
              <c:strCache>
                <c:ptCount val="1"/>
                <c:pt idx="0">
                  <c:v>Psychiatrists</c:v>
                </c:pt>
              </c:strCache>
            </c:strRef>
          </c:tx>
          <c:marker>
            <c:symbol val="none"/>
          </c:marker>
          <c:cat>
            <c:numRef>
              <c:f>Sheet1!$B$84:$K$84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Sheet1!$B$89:$K$89</c:f>
              <c:numCache>
                <c:formatCode>General</c:formatCode>
                <c:ptCount val="10"/>
                <c:pt idx="0">
                  <c:v>147</c:v>
                </c:pt>
                <c:pt idx="1">
                  <c:v>214</c:v>
                </c:pt>
                <c:pt idx="2">
                  <c:v>134</c:v>
                </c:pt>
                <c:pt idx="3">
                  <c:v>190</c:v>
                </c:pt>
                <c:pt idx="4">
                  <c:v>136</c:v>
                </c:pt>
                <c:pt idx="5">
                  <c:v>172</c:v>
                </c:pt>
                <c:pt idx="6">
                  <c:v>192</c:v>
                </c:pt>
                <c:pt idx="7">
                  <c:v>196</c:v>
                </c:pt>
                <c:pt idx="8">
                  <c:v>190</c:v>
                </c:pt>
                <c:pt idx="9">
                  <c:v>172</c:v>
                </c:pt>
              </c:numCache>
            </c:numRef>
          </c:val>
          <c:smooth val="0"/>
        </c:ser>
        <c:ser>
          <c:idx val="5"/>
          <c:order val="5"/>
          <c:tx>
            <c:strRef>
              <c:f>Sheet1!$A$90</c:f>
              <c:strCache>
                <c:ptCount val="1"/>
                <c:pt idx="0">
                  <c:v>Major mandated reporter groups combined</c:v>
                </c:pt>
              </c:strCache>
            </c:strRef>
          </c:tx>
          <c:marker>
            <c:symbol val="none"/>
          </c:marker>
          <c:cat>
            <c:numRef>
              <c:f>Sheet1!$B$84:$K$84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Sheet1!$B$90:$K$90</c:f>
              <c:numCache>
                <c:formatCode>#,##0</c:formatCode>
                <c:ptCount val="10"/>
                <c:pt idx="0">
                  <c:v>11374</c:v>
                </c:pt>
                <c:pt idx="1">
                  <c:v>11413</c:v>
                </c:pt>
                <c:pt idx="2">
                  <c:v>11768</c:v>
                </c:pt>
                <c:pt idx="3">
                  <c:v>12489</c:v>
                </c:pt>
                <c:pt idx="4">
                  <c:v>13074</c:v>
                </c:pt>
                <c:pt idx="5">
                  <c:v>15278</c:v>
                </c:pt>
                <c:pt idx="6">
                  <c:v>17456</c:v>
                </c:pt>
                <c:pt idx="7">
                  <c:v>21819</c:v>
                </c:pt>
                <c:pt idx="8">
                  <c:v>24056</c:v>
                </c:pt>
                <c:pt idx="9">
                  <c:v>29498</c:v>
                </c:pt>
              </c:numCache>
            </c:numRef>
          </c:val>
          <c:smooth val="0"/>
        </c:ser>
        <c:ser>
          <c:idx val="6"/>
          <c:order val="6"/>
          <c:tx>
            <c:strRef>
              <c:f>Sheet1!$A$91</c:f>
              <c:strCache>
                <c:ptCount val="1"/>
                <c:pt idx="0">
                  <c:v>Other reporter groups combined</c:v>
                </c:pt>
              </c:strCache>
            </c:strRef>
          </c:tx>
          <c:marker>
            <c:symbol val="none"/>
          </c:marker>
          <c:cat>
            <c:numRef>
              <c:f>Sheet1!$B$84:$K$84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Sheet1!$B$91:$K$91</c:f>
              <c:numCache>
                <c:formatCode>#,##0</c:formatCode>
                <c:ptCount val="10"/>
                <c:pt idx="0">
                  <c:v>19395</c:v>
                </c:pt>
                <c:pt idx="1">
                  <c:v>19884</c:v>
                </c:pt>
                <c:pt idx="2">
                  <c:v>19022</c:v>
                </c:pt>
                <c:pt idx="3">
                  <c:v>19640</c:v>
                </c:pt>
                <c:pt idx="4">
                  <c:v>19868</c:v>
                </c:pt>
                <c:pt idx="5">
                  <c:v>20244</c:v>
                </c:pt>
                <c:pt idx="6">
                  <c:v>20520</c:v>
                </c:pt>
                <c:pt idx="7">
                  <c:v>21930</c:v>
                </c:pt>
                <c:pt idx="8">
                  <c:v>24399</c:v>
                </c:pt>
                <c:pt idx="9">
                  <c:v>26219</c:v>
                </c:pt>
              </c:numCache>
            </c:numRef>
          </c:val>
          <c:smooth val="0"/>
        </c:ser>
        <c:dLbls>
          <c:showLegendKey val="0"/>
          <c:showVal val="0"/>
          <c:showCatName val="0"/>
          <c:showSerName val="0"/>
          <c:showPercent val="0"/>
          <c:showBubbleSize val="0"/>
        </c:dLbls>
        <c:marker val="1"/>
        <c:smooth val="0"/>
        <c:axId val="46280704"/>
        <c:axId val="46282240"/>
      </c:lineChart>
      <c:catAx>
        <c:axId val="46280704"/>
        <c:scaling>
          <c:orientation val="minMax"/>
        </c:scaling>
        <c:delete val="0"/>
        <c:axPos val="b"/>
        <c:numFmt formatCode="General" sourceLinked="1"/>
        <c:majorTickMark val="out"/>
        <c:minorTickMark val="none"/>
        <c:tickLblPos val="nextTo"/>
        <c:crossAx val="46282240"/>
        <c:crosses val="autoZero"/>
        <c:auto val="1"/>
        <c:lblAlgn val="ctr"/>
        <c:lblOffset val="100"/>
        <c:noMultiLvlLbl val="0"/>
      </c:catAx>
      <c:valAx>
        <c:axId val="46282240"/>
        <c:scaling>
          <c:orientation val="minMax"/>
        </c:scaling>
        <c:delete val="0"/>
        <c:axPos val="l"/>
        <c:majorGridlines/>
        <c:numFmt formatCode="#,##0" sourceLinked="1"/>
        <c:majorTickMark val="out"/>
        <c:minorTickMark val="none"/>
        <c:tickLblPos val="nextTo"/>
        <c:crossAx val="46280704"/>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Sheet6!$A$2</c:f>
              <c:strCache>
                <c:ptCount val="1"/>
                <c:pt idx="0">
                  <c:v>Emotional abuse</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Sheet6!$B$2:$K$2</c:f>
              <c:numCache>
                <c:formatCode>#,##0</c:formatCode>
                <c:ptCount val="10"/>
                <c:pt idx="0">
                  <c:v>10214</c:v>
                </c:pt>
                <c:pt idx="1">
                  <c:v>10243</c:v>
                </c:pt>
                <c:pt idx="2">
                  <c:v>10450</c:v>
                </c:pt>
                <c:pt idx="3">
                  <c:v>11718</c:v>
                </c:pt>
                <c:pt idx="4">
                  <c:v>9527</c:v>
                </c:pt>
                <c:pt idx="5">
                  <c:v>14105</c:v>
                </c:pt>
                <c:pt idx="6">
                  <c:v>18424</c:v>
                </c:pt>
                <c:pt idx="7">
                  <c:v>21953</c:v>
                </c:pt>
                <c:pt idx="8">
                  <c:v>26332</c:v>
                </c:pt>
                <c:pt idx="9">
                  <c:v>32119</c:v>
                </c:pt>
              </c:numCache>
            </c:numRef>
          </c:val>
          <c:smooth val="0"/>
        </c:ser>
        <c:ser>
          <c:idx val="1"/>
          <c:order val="1"/>
          <c:tx>
            <c:strRef>
              <c:f>Sheet6!$A$3</c:f>
              <c:strCache>
                <c:ptCount val="1"/>
                <c:pt idx="0">
                  <c:v>Neglect</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Sheet6!$B$3:$K$3</c:f>
              <c:numCache>
                <c:formatCode>#,##0</c:formatCode>
                <c:ptCount val="10"/>
                <c:pt idx="0">
                  <c:v>10109</c:v>
                </c:pt>
                <c:pt idx="1">
                  <c:v>9934</c:v>
                </c:pt>
                <c:pt idx="2">
                  <c:v>9619</c:v>
                </c:pt>
                <c:pt idx="3">
                  <c:v>8480</c:v>
                </c:pt>
                <c:pt idx="4">
                  <c:v>12644</c:v>
                </c:pt>
                <c:pt idx="5">
                  <c:v>7784</c:v>
                </c:pt>
                <c:pt idx="6">
                  <c:v>3874</c:v>
                </c:pt>
                <c:pt idx="7">
                  <c:v>4499</c:v>
                </c:pt>
                <c:pt idx="8">
                  <c:v>5286</c:v>
                </c:pt>
                <c:pt idx="9">
                  <c:v>4584</c:v>
                </c:pt>
              </c:numCache>
            </c:numRef>
          </c:val>
          <c:smooth val="0"/>
        </c:ser>
        <c:ser>
          <c:idx val="2"/>
          <c:order val="2"/>
          <c:tx>
            <c:strRef>
              <c:f>Sheet6!$A$4</c:f>
              <c:strCache>
                <c:ptCount val="1"/>
                <c:pt idx="0">
                  <c:v>Physical abuse</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Sheet6!$B$4:$K$4</c:f>
              <c:numCache>
                <c:formatCode>#,##0</c:formatCode>
                <c:ptCount val="10"/>
                <c:pt idx="0">
                  <c:v>8084</c:v>
                </c:pt>
                <c:pt idx="1">
                  <c:v>8682</c:v>
                </c:pt>
                <c:pt idx="2">
                  <c:v>8091</c:v>
                </c:pt>
                <c:pt idx="3">
                  <c:v>9402</c:v>
                </c:pt>
                <c:pt idx="4">
                  <c:v>9340</c:v>
                </c:pt>
                <c:pt idx="5">
                  <c:v>11724</c:v>
                </c:pt>
                <c:pt idx="6">
                  <c:v>13364</c:v>
                </c:pt>
                <c:pt idx="7">
                  <c:v>13595</c:v>
                </c:pt>
                <c:pt idx="8">
                  <c:v>12720</c:v>
                </c:pt>
                <c:pt idx="9">
                  <c:v>13604</c:v>
                </c:pt>
              </c:numCache>
            </c:numRef>
          </c:val>
          <c:smooth val="0"/>
        </c:ser>
        <c:ser>
          <c:idx val="3"/>
          <c:order val="3"/>
          <c:tx>
            <c:strRef>
              <c:f>Sheet6!$A$5</c:f>
              <c:strCache>
                <c:ptCount val="1"/>
                <c:pt idx="0">
                  <c:v>Sexual abuse</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Sheet6!$B$5:$K$5</c:f>
              <c:numCache>
                <c:formatCode>#,##0</c:formatCode>
                <c:ptCount val="10"/>
                <c:pt idx="0">
                  <c:v>4002</c:v>
                </c:pt>
                <c:pt idx="1">
                  <c:v>4226</c:v>
                </c:pt>
                <c:pt idx="2">
                  <c:v>4142</c:v>
                </c:pt>
                <c:pt idx="3">
                  <c:v>4083</c:v>
                </c:pt>
                <c:pt idx="4">
                  <c:v>2932</c:v>
                </c:pt>
                <c:pt idx="5">
                  <c:v>3777</c:v>
                </c:pt>
                <c:pt idx="6">
                  <c:v>3832</c:v>
                </c:pt>
                <c:pt idx="7">
                  <c:v>5445</c:v>
                </c:pt>
                <c:pt idx="8">
                  <c:v>5682</c:v>
                </c:pt>
                <c:pt idx="9">
                  <c:v>6775</c:v>
                </c:pt>
              </c:numCache>
            </c:numRef>
          </c:val>
          <c:smooth val="0"/>
        </c:ser>
        <c:dLbls>
          <c:showLegendKey val="0"/>
          <c:showVal val="0"/>
          <c:showCatName val="0"/>
          <c:showSerName val="0"/>
          <c:showPercent val="0"/>
          <c:showBubbleSize val="0"/>
        </c:dLbls>
        <c:marker val="1"/>
        <c:smooth val="0"/>
        <c:axId val="46317568"/>
        <c:axId val="46319104"/>
      </c:lineChart>
      <c:catAx>
        <c:axId val="46317568"/>
        <c:scaling>
          <c:orientation val="minMax"/>
        </c:scaling>
        <c:delete val="0"/>
        <c:axPos val="b"/>
        <c:numFmt formatCode="General" sourceLinked="1"/>
        <c:majorTickMark val="out"/>
        <c:minorTickMark val="none"/>
        <c:tickLblPos val="nextTo"/>
        <c:crossAx val="46319104"/>
        <c:crosses val="autoZero"/>
        <c:auto val="1"/>
        <c:lblAlgn val="ctr"/>
        <c:lblOffset val="100"/>
        <c:noMultiLvlLbl val="0"/>
      </c:catAx>
      <c:valAx>
        <c:axId val="46319104"/>
        <c:scaling>
          <c:orientation val="minMax"/>
        </c:scaling>
        <c:delete val="0"/>
        <c:axPos val="l"/>
        <c:majorGridlines/>
        <c:numFmt formatCode="#,##0" sourceLinked="1"/>
        <c:majorTickMark val="out"/>
        <c:minorTickMark val="none"/>
        <c:tickLblPos val="nextTo"/>
        <c:crossAx val="46317568"/>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Sheet6!$A$21</c:f>
              <c:strCache>
                <c:ptCount val="1"/>
                <c:pt idx="0">
                  <c:v>Not 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Sheet6!$B$21:$K$21</c:f>
              <c:numCache>
                <c:formatCode>#,##0</c:formatCode>
                <c:ptCount val="10"/>
                <c:pt idx="0">
                  <c:v>19882</c:v>
                </c:pt>
                <c:pt idx="1">
                  <c:v>20366</c:v>
                </c:pt>
                <c:pt idx="2">
                  <c:v>20522</c:v>
                </c:pt>
                <c:pt idx="3">
                  <c:v>21499</c:v>
                </c:pt>
                <c:pt idx="4">
                  <c:v>22737</c:v>
                </c:pt>
                <c:pt idx="5">
                  <c:v>24603</c:v>
                </c:pt>
                <c:pt idx="6">
                  <c:v>26997</c:v>
                </c:pt>
                <c:pt idx="7">
                  <c:v>29989</c:v>
                </c:pt>
                <c:pt idx="8">
                  <c:v>33861</c:v>
                </c:pt>
                <c:pt idx="9">
                  <c:v>39075</c:v>
                </c:pt>
              </c:numCache>
            </c:numRef>
          </c:val>
          <c:smooth val="0"/>
        </c:ser>
        <c:ser>
          <c:idx val="1"/>
          <c:order val="1"/>
          <c:tx>
            <c:strRef>
              <c:f>Sheet6!$A$22</c:f>
              <c:strCache>
                <c:ptCount val="1"/>
                <c:pt idx="0">
                  <c:v>Investigated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Sheet6!$B$22:$K$22</c:f>
              <c:numCache>
                <c:formatCode>#,##0</c:formatCode>
                <c:ptCount val="10"/>
                <c:pt idx="0">
                  <c:v>11175</c:v>
                </c:pt>
                <c:pt idx="1">
                  <c:v>11354</c:v>
                </c:pt>
                <c:pt idx="2">
                  <c:v>10491</c:v>
                </c:pt>
                <c:pt idx="3">
                  <c:v>10764</c:v>
                </c:pt>
                <c:pt idx="4">
                  <c:v>10472</c:v>
                </c:pt>
                <c:pt idx="5">
                  <c:v>10841</c:v>
                </c:pt>
                <c:pt idx="6">
                  <c:v>10945</c:v>
                </c:pt>
                <c:pt idx="7">
                  <c:v>13306</c:v>
                </c:pt>
                <c:pt idx="8">
                  <c:v>13962</c:v>
                </c:pt>
                <c:pt idx="9">
                  <c:v>15795</c:v>
                </c:pt>
              </c:numCache>
            </c:numRef>
          </c:val>
          <c:smooth val="0"/>
        </c:ser>
        <c:ser>
          <c:idx val="2"/>
          <c:order val="2"/>
          <c:tx>
            <c:strRef>
              <c:f>Sheet6!$A$23</c:f>
              <c:strCache>
                <c:ptCount val="1"/>
                <c:pt idx="0">
                  <c:v>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Sheet6!$B$23:$K$23</c:f>
              <c:numCache>
                <c:formatCode>#,##0</c:formatCode>
                <c:ptCount val="10"/>
                <c:pt idx="0">
                  <c:v>7020</c:v>
                </c:pt>
                <c:pt idx="1">
                  <c:v>7554</c:v>
                </c:pt>
                <c:pt idx="2">
                  <c:v>7195</c:v>
                </c:pt>
                <c:pt idx="3">
                  <c:v>7208</c:v>
                </c:pt>
                <c:pt idx="4">
                  <c:v>6876</c:v>
                </c:pt>
                <c:pt idx="5">
                  <c:v>6818</c:v>
                </c:pt>
                <c:pt idx="6">
                  <c:v>6541</c:v>
                </c:pt>
                <c:pt idx="7">
                  <c:v>7401</c:v>
                </c:pt>
                <c:pt idx="8">
                  <c:v>8600</c:v>
                </c:pt>
                <c:pt idx="9">
                  <c:v>9776</c:v>
                </c:pt>
              </c:numCache>
            </c:numRef>
          </c:val>
          <c:smooth val="0"/>
        </c:ser>
        <c:ser>
          <c:idx val="3"/>
          <c:order val="3"/>
          <c:tx>
            <c:strRef>
              <c:f>Sheet6!$A$24</c:f>
              <c:strCache>
                <c:ptCount val="1"/>
                <c:pt idx="0">
                  <c:v>Not substantiated</c:v>
                </c:pt>
              </c:strCache>
            </c:strRef>
          </c:tx>
          <c:marker>
            <c:symbol val="none"/>
          </c:marker>
          <c:cat>
            <c:numLit>
              <c:formatCode>General</c:formatCode>
              <c:ptCount val="10"/>
              <c:pt idx="0">
                <c:v>2003</c:v>
              </c:pt>
              <c:pt idx="1">
                <c:v>2004</c:v>
              </c:pt>
              <c:pt idx="2">
                <c:v>2005</c:v>
              </c:pt>
              <c:pt idx="3">
                <c:v>2006</c:v>
              </c:pt>
              <c:pt idx="4">
                <c:v>2007</c:v>
              </c:pt>
              <c:pt idx="5">
                <c:v>2008</c:v>
              </c:pt>
              <c:pt idx="6">
                <c:v>2009</c:v>
              </c:pt>
              <c:pt idx="7">
                <c:v>2010</c:v>
              </c:pt>
              <c:pt idx="8">
                <c:v>2011</c:v>
              </c:pt>
              <c:pt idx="9">
                <c:v>2012</c:v>
              </c:pt>
            </c:numLit>
          </c:cat>
          <c:val>
            <c:numRef>
              <c:f>Sheet6!$B$24:$K$24</c:f>
              <c:numCache>
                <c:formatCode>#,##0</c:formatCode>
                <c:ptCount val="10"/>
                <c:pt idx="0">
                  <c:v>4724</c:v>
                </c:pt>
                <c:pt idx="1">
                  <c:v>4304</c:v>
                </c:pt>
                <c:pt idx="2">
                  <c:v>3699</c:v>
                </c:pt>
                <c:pt idx="3">
                  <c:v>3896</c:v>
                </c:pt>
                <c:pt idx="4">
                  <c:v>3876</c:v>
                </c:pt>
                <c:pt idx="5">
                  <c:v>4316</c:v>
                </c:pt>
                <c:pt idx="6">
                  <c:v>4721</c:v>
                </c:pt>
                <c:pt idx="7">
                  <c:v>6313</c:v>
                </c:pt>
                <c:pt idx="8">
                  <c:v>5792</c:v>
                </c:pt>
                <c:pt idx="9">
                  <c:v>6545</c:v>
                </c:pt>
              </c:numCache>
            </c:numRef>
          </c:val>
          <c:smooth val="0"/>
        </c:ser>
        <c:dLbls>
          <c:showLegendKey val="0"/>
          <c:showVal val="0"/>
          <c:showCatName val="0"/>
          <c:showSerName val="0"/>
          <c:showPercent val="0"/>
          <c:showBubbleSize val="0"/>
        </c:dLbls>
        <c:marker val="1"/>
        <c:smooth val="0"/>
        <c:axId val="46018560"/>
        <c:axId val="46020096"/>
      </c:lineChart>
      <c:catAx>
        <c:axId val="46018560"/>
        <c:scaling>
          <c:orientation val="minMax"/>
        </c:scaling>
        <c:delete val="0"/>
        <c:axPos val="b"/>
        <c:numFmt formatCode="General" sourceLinked="1"/>
        <c:majorTickMark val="out"/>
        <c:minorTickMark val="none"/>
        <c:tickLblPos val="nextTo"/>
        <c:crossAx val="46020096"/>
        <c:crosses val="autoZero"/>
        <c:auto val="1"/>
        <c:lblAlgn val="ctr"/>
        <c:lblOffset val="100"/>
        <c:noMultiLvlLbl val="0"/>
      </c:catAx>
      <c:valAx>
        <c:axId val="46020096"/>
        <c:scaling>
          <c:orientation val="minMax"/>
        </c:scaling>
        <c:delete val="0"/>
        <c:axPos val="l"/>
        <c:majorGridlines/>
        <c:numFmt formatCode="#,##0" sourceLinked="1"/>
        <c:majorTickMark val="out"/>
        <c:minorTickMark val="none"/>
        <c:tickLblPos val="nextTo"/>
        <c:crossAx val="460185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Fig</a:t>
            </a:r>
            <a:r>
              <a:rPr lang="en-US" sz="1050" baseline="0"/>
              <a:t> 5:  </a:t>
            </a:r>
            <a:r>
              <a:rPr lang="en-AU" sz="1050"/>
              <a:t>Number of notifications by mandated reporter groups combined, by year, abuse type, and outcome, 2003-12 </a:t>
            </a:r>
            <a:r>
              <a:rPr lang="en-US" sz="1050"/>
              <a:t>   </a:t>
            </a:r>
          </a:p>
        </c:rich>
      </c:tx>
      <c:layout>
        <c:manualLayout>
          <c:xMode val="edge"/>
          <c:yMode val="edge"/>
          <c:x val="0.11785590181508999"/>
          <c:y val="9.3786635404454893E-3"/>
        </c:manualLayout>
      </c:layout>
      <c:overlay val="0"/>
    </c:title>
    <c:autoTitleDeleted val="0"/>
    <c:plotArea>
      <c:layout>
        <c:manualLayout>
          <c:layoutTarget val="inner"/>
          <c:xMode val="edge"/>
          <c:yMode val="edge"/>
          <c:x val="9.5344160104986878E-2"/>
          <c:y val="0.15055413469735721"/>
          <c:w val="0.87530150918635174"/>
          <c:h val="0.78621181303743681"/>
        </c:manualLayout>
      </c:layout>
      <c:barChart>
        <c:barDir val="col"/>
        <c:grouping val="stacked"/>
        <c:varyColors val="0"/>
        <c:ser>
          <c:idx val="0"/>
          <c:order val="0"/>
          <c:tx>
            <c:strRef>
              <c:f>Sheet1!$B$19</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Sheet1!$B$20:$B$69</c:f>
              <c:numCache>
                <c:formatCode>#,##0</c:formatCode>
                <c:ptCount val="50"/>
                <c:pt idx="1">
                  <c:v>1188</c:v>
                </c:pt>
                <c:pt idx="2" formatCode="General">
                  <c:v>743</c:v>
                </c:pt>
                <c:pt idx="3" formatCode="General">
                  <c:v>954</c:v>
                </c:pt>
                <c:pt idx="4" formatCode="General">
                  <c:v>327</c:v>
                </c:pt>
                <c:pt idx="6">
                  <c:v>1290</c:v>
                </c:pt>
                <c:pt idx="7" formatCode="General">
                  <c:v>707</c:v>
                </c:pt>
                <c:pt idx="8">
                  <c:v>1017</c:v>
                </c:pt>
                <c:pt idx="9" formatCode="General">
                  <c:v>333</c:v>
                </c:pt>
                <c:pt idx="11">
                  <c:v>1288</c:v>
                </c:pt>
                <c:pt idx="12" formatCode="General">
                  <c:v>705</c:v>
                </c:pt>
                <c:pt idx="13" formatCode="General">
                  <c:v>936</c:v>
                </c:pt>
                <c:pt idx="14" formatCode="General">
                  <c:v>325</c:v>
                </c:pt>
                <c:pt idx="16">
                  <c:v>1305</c:v>
                </c:pt>
                <c:pt idx="17" formatCode="General">
                  <c:v>582</c:v>
                </c:pt>
                <c:pt idx="18">
                  <c:v>1022</c:v>
                </c:pt>
                <c:pt idx="19" formatCode="General">
                  <c:v>254</c:v>
                </c:pt>
                <c:pt idx="21" formatCode="General">
                  <c:v>861</c:v>
                </c:pt>
                <c:pt idx="22" formatCode="General">
                  <c:v>466</c:v>
                </c:pt>
                <c:pt idx="23">
                  <c:v>1546</c:v>
                </c:pt>
                <c:pt idx="24" formatCode="General">
                  <c:v>298</c:v>
                </c:pt>
                <c:pt idx="26">
                  <c:v>1036</c:v>
                </c:pt>
                <c:pt idx="27" formatCode="General">
                  <c:v>379</c:v>
                </c:pt>
                <c:pt idx="28">
                  <c:v>1599</c:v>
                </c:pt>
                <c:pt idx="29" formatCode="General">
                  <c:v>292</c:v>
                </c:pt>
                <c:pt idx="31">
                  <c:v>1145</c:v>
                </c:pt>
                <c:pt idx="32" formatCode="General">
                  <c:v>290</c:v>
                </c:pt>
                <c:pt idx="33">
                  <c:v>1615</c:v>
                </c:pt>
                <c:pt idx="34" formatCode="General">
                  <c:v>314</c:v>
                </c:pt>
                <c:pt idx="36">
                  <c:v>1484</c:v>
                </c:pt>
                <c:pt idx="37" formatCode="General">
                  <c:v>315</c:v>
                </c:pt>
                <c:pt idx="38">
                  <c:v>1678</c:v>
                </c:pt>
                <c:pt idx="39" formatCode="General">
                  <c:v>536</c:v>
                </c:pt>
                <c:pt idx="41">
                  <c:v>1780</c:v>
                </c:pt>
                <c:pt idx="42" formatCode="General">
                  <c:v>431</c:v>
                </c:pt>
                <c:pt idx="43">
                  <c:v>1709</c:v>
                </c:pt>
                <c:pt idx="44" formatCode="General">
                  <c:v>602</c:v>
                </c:pt>
                <c:pt idx="46">
                  <c:v>2241</c:v>
                </c:pt>
                <c:pt idx="47" formatCode="General">
                  <c:v>333</c:v>
                </c:pt>
                <c:pt idx="48">
                  <c:v>2099</c:v>
                </c:pt>
                <c:pt idx="49" formatCode="General">
                  <c:v>863</c:v>
                </c:pt>
              </c:numCache>
            </c:numRef>
          </c:val>
        </c:ser>
        <c:ser>
          <c:idx val="1"/>
          <c:order val="1"/>
          <c:tx>
            <c:strRef>
              <c:f>Sheet1!$C$19</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Sheet1!$C$20:$C$69</c:f>
              <c:numCache>
                <c:formatCode>#,##0</c:formatCode>
                <c:ptCount val="50"/>
                <c:pt idx="1">
                  <c:v>351</c:v>
                </c:pt>
                <c:pt idx="2">
                  <c:v>432</c:v>
                </c:pt>
                <c:pt idx="3">
                  <c:v>637</c:v>
                </c:pt>
                <c:pt idx="4">
                  <c:v>265</c:v>
                </c:pt>
                <c:pt idx="6">
                  <c:v>365</c:v>
                </c:pt>
                <c:pt idx="7">
                  <c:v>349</c:v>
                </c:pt>
                <c:pt idx="8">
                  <c:v>516</c:v>
                </c:pt>
                <c:pt idx="9">
                  <c:v>276</c:v>
                </c:pt>
                <c:pt idx="11">
                  <c:v>338</c:v>
                </c:pt>
                <c:pt idx="12">
                  <c:v>275</c:v>
                </c:pt>
                <c:pt idx="13">
                  <c:v>335</c:v>
                </c:pt>
                <c:pt idx="14">
                  <c:v>346</c:v>
                </c:pt>
                <c:pt idx="16">
                  <c:v>401</c:v>
                </c:pt>
                <c:pt idx="17">
                  <c:v>220</c:v>
                </c:pt>
                <c:pt idx="18">
                  <c:v>454</c:v>
                </c:pt>
                <c:pt idx="19">
                  <c:v>275</c:v>
                </c:pt>
                <c:pt idx="21">
                  <c:v>369</c:v>
                </c:pt>
                <c:pt idx="22">
                  <c:v>156</c:v>
                </c:pt>
                <c:pt idx="23">
                  <c:v>635</c:v>
                </c:pt>
                <c:pt idx="24">
                  <c:v>289</c:v>
                </c:pt>
                <c:pt idx="26">
                  <c:v>474</c:v>
                </c:pt>
                <c:pt idx="27">
                  <c:v>181</c:v>
                </c:pt>
                <c:pt idx="28">
                  <c:v>889</c:v>
                </c:pt>
                <c:pt idx="29">
                  <c:v>267</c:v>
                </c:pt>
                <c:pt idx="31">
                  <c:v>662</c:v>
                </c:pt>
                <c:pt idx="32">
                  <c:v>198</c:v>
                </c:pt>
                <c:pt idx="33">
                  <c:v>943</c:v>
                </c:pt>
                <c:pt idx="34">
                  <c:v>293</c:v>
                </c:pt>
                <c:pt idx="36">
                  <c:v>748</c:v>
                </c:pt>
                <c:pt idx="37">
                  <c:v>184</c:v>
                </c:pt>
                <c:pt idx="38">
                  <c:v>1127</c:v>
                </c:pt>
                <c:pt idx="39">
                  <c:v>1302</c:v>
                </c:pt>
                <c:pt idx="41">
                  <c:v>767</c:v>
                </c:pt>
                <c:pt idx="42">
                  <c:v>201</c:v>
                </c:pt>
                <c:pt idx="43">
                  <c:v>1010</c:v>
                </c:pt>
                <c:pt idx="44">
                  <c:v>895</c:v>
                </c:pt>
                <c:pt idx="46">
                  <c:v>1055</c:v>
                </c:pt>
                <c:pt idx="47">
                  <c:v>181</c:v>
                </c:pt>
                <c:pt idx="48">
                  <c:v>1216</c:v>
                </c:pt>
                <c:pt idx="49">
                  <c:v>1179</c:v>
                </c:pt>
              </c:numCache>
            </c:numRef>
          </c:val>
        </c:ser>
        <c:ser>
          <c:idx val="2"/>
          <c:order val="2"/>
          <c:tx>
            <c:strRef>
              <c:f>Sheet1!$D$19</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Sheet1!$D$20:$D$69</c:f>
              <c:numCache>
                <c:formatCode>#,##0</c:formatCode>
                <c:ptCount val="50"/>
                <c:pt idx="1">
                  <c:v>2951</c:v>
                </c:pt>
                <c:pt idx="2">
                  <c:v>2101</c:v>
                </c:pt>
                <c:pt idx="3">
                  <c:v>1765</c:v>
                </c:pt>
                <c:pt idx="4">
                  <c:v>986</c:v>
                </c:pt>
                <c:pt idx="6">
                  <c:v>2863</c:v>
                </c:pt>
                <c:pt idx="7">
                  <c:v>1992</c:v>
                </c:pt>
                <c:pt idx="8">
                  <c:v>1933</c:v>
                </c:pt>
                <c:pt idx="9">
                  <c:v>975</c:v>
                </c:pt>
                <c:pt idx="11">
                  <c:v>3443</c:v>
                </c:pt>
                <c:pt idx="12">
                  <c:v>2041</c:v>
                </c:pt>
                <c:pt idx="13">
                  <c:v>1872</c:v>
                </c:pt>
                <c:pt idx="14">
                  <c:v>1044</c:v>
                </c:pt>
                <c:pt idx="16">
                  <c:v>3893</c:v>
                </c:pt>
                <c:pt idx="17">
                  <c:v>1846</c:v>
                </c:pt>
                <c:pt idx="18">
                  <c:v>2409</c:v>
                </c:pt>
                <c:pt idx="19">
                  <c:v>1095</c:v>
                </c:pt>
                <c:pt idx="21">
                  <c:v>2772</c:v>
                </c:pt>
                <c:pt idx="22">
                  <c:v>4151</c:v>
                </c:pt>
                <c:pt idx="23">
                  <c:v>2135</c:v>
                </c:pt>
                <c:pt idx="24">
                  <c:v>727</c:v>
                </c:pt>
                <c:pt idx="26">
                  <c:v>4780</c:v>
                </c:pt>
                <c:pt idx="27">
                  <c:v>2192</c:v>
                </c:pt>
                <c:pt idx="28">
                  <c:v>3639</c:v>
                </c:pt>
                <c:pt idx="29">
                  <c:v>1190</c:v>
                </c:pt>
                <c:pt idx="31">
                  <c:v>7464</c:v>
                </c:pt>
                <c:pt idx="32">
                  <c:v>936</c:v>
                </c:pt>
                <c:pt idx="33">
                  <c:v>4388</c:v>
                </c:pt>
                <c:pt idx="34">
                  <c:v>1255</c:v>
                </c:pt>
                <c:pt idx="36">
                  <c:v>10315</c:v>
                </c:pt>
                <c:pt idx="37">
                  <c:v>1081</c:v>
                </c:pt>
                <c:pt idx="38">
                  <c:v>4714</c:v>
                </c:pt>
                <c:pt idx="39">
                  <c:v>1275</c:v>
                </c:pt>
                <c:pt idx="41">
                  <c:v>13088</c:v>
                </c:pt>
                <c:pt idx="42">
                  <c:v>1310</c:v>
                </c:pt>
                <c:pt idx="43">
                  <c:v>4597</c:v>
                </c:pt>
                <c:pt idx="44">
                  <c:v>1489</c:v>
                </c:pt>
                <c:pt idx="46">
                  <c:v>17548</c:v>
                </c:pt>
                <c:pt idx="47">
                  <c:v>1178</c:v>
                </c:pt>
                <c:pt idx="48">
                  <c:v>4977</c:v>
                </c:pt>
                <c:pt idx="49">
                  <c:v>2074</c:v>
                </c:pt>
              </c:numCache>
            </c:numRef>
          </c:val>
        </c:ser>
        <c:ser>
          <c:idx val="14"/>
          <c:order val="3"/>
          <c:tx>
            <c:v>Sexual Abuse - Total</c:v>
          </c:tx>
          <c:spPr>
            <a:solidFill>
              <a:srgbClr val="FF9393"/>
            </a:solidFill>
          </c:spPr>
          <c:invertIfNegative val="0"/>
          <c:val>
            <c:numLit>
              <c:formatCode>General</c:formatCode>
              <c:ptCount val="1"/>
              <c:pt idx="0">
                <c:v>1</c:v>
              </c:pt>
            </c:numLit>
          </c:val>
        </c:ser>
        <c:ser>
          <c:idx val="12"/>
          <c:order val="4"/>
          <c:tx>
            <c:v>Sexual Abuse - Substantiated</c:v>
          </c:tx>
          <c:spPr>
            <a:solidFill>
              <a:srgbClr val="FF0000"/>
            </a:solidFill>
          </c:spPr>
          <c:invertIfNegative val="0"/>
          <c:val>
            <c:numLit>
              <c:formatCode>General</c:formatCode>
              <c:ptCount val="1"/>
              <c:pt idx="0">
                <c:v>1</c:v>
              </c:pt>
            </c:numLit>
          </c:val>
        </c:ser>
        <c:ser>
          <c:idx val="13"/>
          <c:order val="5"/>
          <c:tx>
            <c:v>Sexual Abuse - Investigated</c:v>
          </c:tx>
          <c:spPr>
            <a:solidFill>
              <a:srgbClr val="FF5757"/>
            </a:solidFill>
          </c:spPr>
          <c:invertIfNegative val="0"/>
          <c:val>
            <c:numLit>
              <c:formatCode>General</c:formatCode>
              <c:ptCount val="1"/>
              <c:pt idx="0">
                <c:v>1</c:v>
              </c:pt>
            </c:numLit>
          </c:val>
        </c:ser>
        <c:ser>
          <c:idx val="11"/>
          <c:order val="6"/>
          <c:tx>
            <c:v>Physical Abuse - Total</c:v>
          </c:tx>
          <c:spPr>
            <a:solidFill>
              <a:srgbClr val="C9A4E4"/>
            </a:solidFill>
          </c:spPr>
          <c:invertIfNegative val="0"/>
          <c:val>
            <c:numLit>
              <c:formatCode>General</c:formatCode>
              <c:ptCount val="1"/>
              <c:pt idx="0">
                <c:v>1</c:v>
              </c:pt>
            </c:numLit>
          </c:val>
        </c:ser>
        <c:ser>
          <c:idx val="9"/>
          <c:order val="7"/>
          <c:tx>
            <c:v>Physical Abuse - Substantiated</c:v>
          </c:tx>
          <c:spPr>
            <a:solidFill>
              <a:srgbClr val="7030A0"/>
            </a:solidFill>
          </c:spPr>
          <c:invertIfNegative val="0"/>
          <c:val>
            <c:numLit>
              <c:formatCode>General</c:formatCode>
              <c:ptCount val="1"/>
              <c:pt idx="0">
                <c:v>1</c:v>
              </c:pt>
            </c:numLit>
          </c:val>
        </c:ser>
        <c:ser>
          <c:idx val="10"/>
          <c:order val="8"/>
          <c:tx>
            <c:v>Physical Abuse - Investigated</c:v>
          </c:tx>
          <c:spPr>
            <a:solidFill>
              <a:srgbClr val="A568D2"/>
            </a:solidFill>
          </c:spPr>
          <c:invertIfNegative val="0"/>
          <c:val>
            <c:numLit>
              <c:formatCode>General</c:formatCode>
              <c:ptCount val="1"/>
              <c:pt idx="0">
                <c:v>1</c:v>
              </c:pt>
            </c:numLit>
          </c:val>
        </c:ser>
        <c:ser>
          <c:idx val="8"/>
          <c:order val="9"/>
          <c:tx>
            <c:v>Neglect - Total</c:v>
          </c:tx>
          <c:spPr>
            <a:solidFill>
              <a:schemeClr val="tx2">
                <a:lumMod val="20000"/>
                <a:lumOff val="80000"/>
              </a:schemeClr>
            </a:solidFill>
          </c:spPr>
          <c:invertIfNegative val="0"/>
          <c:val>
            <c:numLit>
              <c:formatCode>General</c:formatCode>
              <c:ptCount val="1"/>
              <c:pt idx="0">
                <c:v>1</c:v>
              </c:pt>
            </c:numLit>
          </c:val>
        </c:ser>
        <c:ser>
          <c:idx val="6"/>
          <c:order val="10"/>
          <c:tx>
            <c:v>Neglect - Substantiated</c:v>
          </c:tx>
          <c:spPr>
            <a:solidFill>
              <a:srgbClr val="0070C0"/>
            </a:solidFill>
          </c:spPr>
          <c:invertIfNegative val="0"/>
          <c:val>
            <c:numLit>
              <c:formatCode>General</c:formatCode>
              <c:ptCount val="1"/>
              <c:pt idx="0">
                <c:v>1</c:v>
              </c:pt>
            </c:numLit>
          </c:val>
        </c:ser>
        <c:ser>
          <c:idx val="7"/>
          <c:order val="11"/>
          <c:tx>
            <c:v>Neglect - Investigated</c:v>
          </c:tx>
          <c:spPr>
            <a:solidFill>
              <a:schemeClr val="tx2">
                <a:lumMod val="40000"/>
                <a:lumOff val="60000"/>
              </a:schemeClr>
            </a:solidFill>
          </c:spPr>
          <c:invertIfNegative val="0"/>
          <c:val>
            <c:numLit>
              <c:formatCode>General</c:formatCode>
              <c:ptCount val="1"/>
              <c:pt idx="0">
                <c:v>1</c:v>
              </c:pt>
            </c:numLit>
          </c:val>
        </c:ser>
        <c:ser>
          <c:idx val="5"/>
          <c:order val="12"/>
          <c:tx>
            <c:v>Emotional Abuse - Total</c:v>
          </c:tx>
          <c:spPr>
            <a:solidFill>
              <a:srgbClr val="BCEEBC"/>
            </a:solidFill>
          </c:spPr>
          <c:invertIfNegative val="0"/>
          <c:val>
            <c:numLit>
              <c:formatCode>General</c:formatCode>
              <c:ptCount val="1"/>
              <c:pt idx="0">
                <c:v>1</c:v>
              </c:pt>
            </c:numLit>
          </c:val>
        </c:ser>
        <c:ser>
          <c:idx val="3"/>
          <c:order val="13"/>
          <c:tx>
            <c:v>Emotional Abuse - Substantiated</c:v>
          </c:tx>
          <c:spPr>
            <a:solidFill>
              <a:srgbClr val="33CC33"/>
            </a:solidFill>
          </c:spPr>
          <c:invertIfNegative val="0"/>
          <c:val>
            <c:numLit>
              <c:formatCode>General</c:formatCode>
              <c:ptCount val="1"/>
              <c:pt idx="0">
                <c:v>1</c:v>
              </c:pt>
            </c:numLit>
          </c:val>
        </c:ser>
        <c:ser>
          <c:idx val="4"/>
          <c:order val="14"/>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182335744"/>
        <c:axId val="182341632"/>
      </c:barChart>
      <c:dateAx>
        <c:axId val="182335744"/>
        <c:scaling>
          <c:orientation val="minMax"/>
        </c:scaling>
        <c:delete val="0"/>
        <c:axPos val="b"/>
        <c:numFmt formatCode="General" sourceLinked="1"/>
        <c:majorTickMark val="none"/>
        <c:minorTickMark val="none"/>
        <c:tickLblPos val="nextTo"/>
        <c:txPr>
          <a:bodyPr/>
          <a:lstStyle/>
          <a:p>
            <a:pPr>
              <a:defRPr sz="900"/>
            </a:pPr>
            <a:endParaRPr lang="en-US"/>
          </a:p>
        </c:txPr>
        <c:crossAx val="182341632"/>
        <c:crosses val="autoZero"/>
        <c:auto val="1"/>
        <c:lblOffset val="100"/>
        <c:baseTimeUnit val="days"/>
        <c:majorUnit val="1"/>
        <c:majorTimeUnit val="days"/>
        <c:minorUnit val="1"/>
        <c:minorTimeUnit val="years"/>
      </c:dateAx>
      <c:valAx>
        <c:axId val="182341632"/>
        <c:scaling>
          <c:orientation val="minMax"/>
        </c:scaling>
        <c:delete val="0"/>
        <c:axPos val="l"/>
        <c:majorGridlines>
          <c:spPr>
            <a:ln>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182335744"/>
        <c:crosses val="autoZero"/>
        <c:crossBetween val="between"/>
        <c:majorUnit val="1000"/>
      </c:valAx>
    </c:plotArea>
    <c:legend>
      <c:legendPos val="l"/>
      <c:legendEntry>
        <c:idx val="12"/>
        <c:delete val="1"/>
      </c:legendEntry>
      <c:legendEntry>
        <c:idx val="13"/>
        <c:delete val="1"/>
      </c:legendEntry>
      <c:legendEntry>
        <c:idx val="14"/>
        <c:delete val="1"/>
      </c:legendEntry>
      <c:layout>
        <c:manualLayout>
          <c:xMode val="edge"/>
          <c:yMode val="edge"/>
          <c:x val="0.12468750000000001"/>
          <c:y val="0.13414584046559397"/>
          <c:w val="0.36169764986273301"/>
          <c:h val="0.5370779547697202"/>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1785591305459996"/>
          <c:y val="1.6758772312132571E-2"/>
        </c:manualLayout>
      </c:layout>
      <c:overlay val="0"/>
    </c:title>
    <c:autoTitleDeleted val="0"/>
    <c:plotArea>
      <c:layout/>
      <c:barChart>
        <c:barDir val="col"/>
        <c:grouping val="stacked"/>
        <c:varyColors val="0"/>
        <c:ser>
          <c:idx val="0"/>
          <c:order val="0"/>
          <c:tx>
            <c:strRef>
              <c:f>Sheet1!$B$19</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Sheet1!$B$20:$B$69</c:f>
              <c:numCache>
                <c:formatCode>General</c:formatCode>
                <c:ptCount val="50"/>
                <c:pt idx="1">
                  <c:v>741</c:v>
                </c:pt>
                <c:pt idx="2">
                  <c:v>455</c:v>
                </c:pt>
                <c:pt idx="3">
                  <c:v>363</c:v>
                </c:pt>
                <c:pt idx="4">
                  <c:v>192</c:v>
                </c:pt>
                <c:pt idx="6">
                  <c:v>876</c:v>
                </c:pt>
                <c:pt idx="7">
                  <c:v>452</c:v>
                </c:pt>
                <c:pt idx="8">
                  <c:v>380</c:v>
                </c:pt>
                <c:pt idx="9">
                  <c:v>213</c:v>
                </c:pt>
                <c:pt idx="11">
                  <c:v>867</c:v>
                </c:pt>
                <c:pt idx="12">
                  <c:v>411</c:v>
                </c:pt>
                <c:pt idx="13">
                  <c:v>354</c:v>
                </c:pt>
                <c:pt idx="14">
                  <c:v>215</c:v>
                </c:pt>
                <c:pt idx="16">
                  <c:v>885</c:v>
                </c:pt>
                <c:pt idx="17">
                  <c:v>345</c:v>
                </c:pt>
                <c:pt idx="18">
                  <c:v>415</c:v>
                </c:pt>
                <c:pt idx="19">
                  <c:v>161</c:v>
                </c:pt>
                <c:pt idx="21">
                  <c:v>603</c:v>
                </c:pt>
                <c:pt idx="22">
                  <c:v>239</c:v>
                </c:pt>
                <c:pt idx="23">
                  <c:v>752</c:v>
                </c:pt>
                <c:pt idx="24">
                  <c:v>193</c:v>
                </c:pt>
                <c:pt idx="26">
                  <c:v>662</c:v>
                </c:pt>
                <c:pt idx="27">
                  <c:v>198</c:v>
                </c:pt>
                <c:pt idx="28">
                  <c:v>752</c:v>
                </c:pt>
                <c:pt idx="29">
                  <c:v>151</c:v>
                </c:pt>
                <c:pt idx="31">
                  <c:v>771</c:v>
                </c:pt>
                <c:pt idx="32">
                  <c:v>131</c:v>
                </c:pt>
                <c:pt idx="33">
                  <c:v>703</c:v>
                </c:pt>
                <c:pt idx="34">
                  <c:v>200</c:v>
                </c:pt>
                <c:pt idx="36" formatCode="#,##0">
                  <c:v>1013</c:v>
                </c:pt>
                <c:pt idx="37">
                  <c:v>164</c:v>
                </c:pt>
                <c:pt idx="38">
                  <c:v>749</c:v>
                </c:pt>
                <c:pt idx="39">
                  <c:v>399</c:v>
                </c:pt>
                <c:pt idx="41" formatCode="#,##0">
                  <c:v>1105</c:v>
                </c:pt>
                <c:pt idx="42">
                  <c:v>236</c:v>
                </c:pt>
                <c:pt idx="43">
                  <c:v>691</c:v>
                </c:pt>
                <c:pt idx="44">
                  <c:v>424</c:v>
                </c:pt>
                <c:pt idx="46" formatCode="#,##0">
                  <c:v>1518</c:v>
                </c:pt>
                <c:pt idx="47">
                  <c:v>151</c:v>
                </c:pt>
                <c:pt idx="48">
                  <c:v>873</c:v>
                </c:pt>
                <c:pt idx="49">
                  <c:v>689</c:v>
                </c:pt>
              </c:numCache>
            </c:numRef>
          </c:val>
        </c:ser>
        <c:ser>
          <c:idx val="1"/>
          <c:order val="1"/>
          <c:tx>
            <c:strRef>
              <c:f>Sheet1!$C$19</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Sheet1!$C$20:$C$69</c:f>
              <c:numCache>
                <c:formatCode>General</c:formatCode>
                <c:ptCount val="50"/>
                <c:pt idx="1">
                  <c:v>179</c:v>
                </c:pt>
                <c:pt idx="2">
                  <c:v>220</c:v>
                </c:pt>
                <c:pt idx="3">
                  <c:v>165</c:v>
                </c:pt>
                <c:pt idx="4">
                  <c:v>148</c:v>
                </c:pt>
                <c:pt idx="6" formatCode="#,##0">
                  <c:v>182</c:v>
                </c:pt>
                <c:pt idx="7">
                  <c:v>143</c:v>
                </c:pt>
                <c:pt idx="8">
                  <c:v>130</c:v>
                </c:pt>
                <c:pt idx="9">
                  <c:v>155</c:v>
                </c:pt>
                <c:pt idx="11" formatCode="#,##0">
                  <c:v>166</c:v>
                </c:pt>
                <c:pt idx="12">
                  <c:v>111</c:v>
                </c:pt>
                <c:pt idx="13">
                  <c:v>93</c:v>
                </c:pt>
                <c:pt idx="14">
                  <c:v>218</c:v>
                </c:pt>
                <c:pt idx="16" formatCode="#,##0">
                  <c:v>187</c:v>
                </c:pt>
                <c:pt idx="17">
                  <c:v>107</c:v>
                </c:pt>
                <c:pt idx="18">
                  <c:v>141</c:v>
                </c:pt>
                <c:pt idx="19">
                  <c:v>137</c:v>
                </c:pt>
                <c:pt idx="21">
                  <c:v>204</c:v>
                </c:pt>
                <c:pt idx="22">
                  <c:v>68</c:v>
                </c:pt>
                <c:pt idx="23">
                  <c:v>217</c:v>
                </c:pt>
                <c:pt idx="24">
                  <c:v>158</c:v>
                </c:pt>
                <c:pt idx="26">
                  <c:v>239</c:v>
                </c:pt>
                <c:pt idx="27">
                  <c:v>67</c:v>
                </c:pt>
                <c:pt idx="28">
                  <c:v>305</c:v>
                </c:pt>
                <c:pt idx="29">
                  <c:v>126</c:v>
                </c:pt>
                <c:pt idx="31" formatCode="#,##0">
                  <c:v>370</c:v>
                </c:pt>
                <c:pt idx="32">
                  <c:v>59</c:v>
                </c:pt>
                <c:pt idx="33">
                  <c:v>232</c:v>
                </c:pt>
                <c:pt idx="34">
                  <c:v>144</c:v>
                </c:pt>
                <c:pt idx="36" formatCode="#,##0">
                  <c:v>455</c:v>
                </c:pt>
                <c:pt idx="37">
                  <c:v>51</c:v>
                </c:pt>
                <c:pt idx="38">
                  <c:v>329</c:v>
                </c:pt>
                <c:pt idx="39" formatCode="#,##0">
                  <c:v>1118</c:v>
                </c:pt>
                <c:pt idx="41" formatCode="#,##0">
                  <c:v>407</c:v>
                </c:pt>
                <c:pt idx="42">
                  <c:v>66</c:v>
                </c:pt>
                <c:pt idx="43">
                  <c:v>251</c:v>
                </c:pt>
                <c:pt idx="44">
                  <c:v>642</c:v>
                </c:pt>
                <c:pt idx="46" formatCode="#,##0">
                  <c:v>579</c:v>
                </c:pt>
                <c:pt idx="47">
                  <c:v>49</c:v>
                </c:pt>
                <c:pt idx="48">
                  <c:v>349</c:v>
                </c:pt>
                <c:pt idx="49">
                  <c:v>884</c:v>
                </c:pt>
              </c:numCache>
            </c:numRef>
          </c:val>
        </c:ser>
        <c:ser>
          <c:idx val="2"/>
          <c:order val="2"/>
          <c:tx>
            <c:strRef>
              <c:f>Sheet1!$D$19</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Sheet1!$A$20:$A$69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Sheet1!$D$20:$D$69</c:f>
              <c:numCache>
                <c:formatCode>#,##0</c:formatCode>
                <c:ptCount val="50"/>
                <c:pt idx="1">
                  <c:v>1878</c:v>
                </c:pt>
                <c:pt idx="2">
                  <c:v>1058</c:v>
                </c:pt>
                <c:pt idx="3" formatCode="General">
                  <c:v>629</c:v>
                </c:pt>
                <c:pt idx="4" formatCode="General">
                  <c:v>488</c:v>
                </c:pt>
                <c:pt idx="6">
                  <c:v>1800</c:v>
                </c:pt>
                <c:pt idx="7" formatCode="General">
                  <c:v>971</c:v>
                </c:pt>
                <c:pt idx="8" formatCode="General">
                  <c:v>728</c:v>
                </c:pt>
                <c:pt idx="9" formatCode="General">
                  <c:v>473</c:v>
                </c:pt>
                <c:pt idx="11">
                  <c:v>2286</c:v>
                </c:pt>
                <c:pt idx="12">
                  <c:v>1058</c:v>
                </c:pt>
                <c:pt idx="13" formatCode="General">
                  <c:v>762</c:v>
                </c:pt>
                <c:pt idx="14" formatCode="General">
                  <c:v>503</c:v>
                </c:pt>
                <c:pt idx="16">
                  <c:v>2623</c:v>
                </c:pt>
                <c:pt idx="17" formatCode="General">
                  <c:v>981</c:v>
                </c:pt>
                <c:pt idx="18" formatCode="General">
                  <c:v>897</c:v>
                </c:pt>
                <c:pt idx="19" formatCode="General">
                  <c:v>512</c:v>
                </c:pt>
                <c:pt idx="21">
                  <c:v>1774</c:v>
                </c:pt>
                <c:pt idx="22">
                  <c:v>2125</c:v>
                </c:pt>
                <c:pt idx="23" formatCode="General">
                  <c:v>950</c:v>
                </c:pt>
                <c:pt idx="24" formatCode="General">
                  <c:v>345</c:v>
                </c:pt>
                <c:pt idx="26">
                  <c:v>2865</c:v>
                </c:pt>
                <c:pt idx="27">
                  <c:v>1010</c:v>
                </c:pt>
                <c:pt idx="28">
                  <c:v>1549</c:v>
                </c:pt>
                <c:pt idx="29" formatCode="General">
                  <c:v>518</c:v>
                </c:pt>
                <c:pt idx="31">
                  <c:v>4817</c:v>
                </c:pt>
                <c:pt idx="32" formatCode="General">
                  <c:v>317</c:v>
                </c:pt>
                <c:pt idx="33">
                  <c:v>1884</c:v>
                </c:pt>
                <c:pt idx="34" formatCode="General">
                  <c:v>575</c:v>
                </c:pt>
                <c:pt idx="36">
                  <c:v>7088</c:v>
                </c:pt>
                <c:pt idx="37" formatCode="General">
                  <c:v>373</c:v>
                </c:pt>
                <c:pt idx="38">
                  <c:v>2076</c:v>
                </c:pt>
                <c:pt idx="39" formatCode="General">
                  <c:v>529</c:v>
                </c:pt>
                <c:pt idx="41">
                  <c:v>8938</c:v>
                </c:pt>
                <c:pt idx="42" formatCode="General">
                  <c:v>448</c:v>
                </c:pt>
                <c:pt idx="43">
                  <c:v>1881</c:v>
                </c:pt>
                <c:pt idx="44" formatCode="General">
                  <c:v>705</c:v>
                </c:pt>
                <c:pt idx="46">
                  <c:v>12042</c:v>
                </c:pt>
                <c:pt idx="47" formatCode="General">
                  <c:v>421</c:v>
                </c:pt>
                <c:pt idx="48">
                  <c:v>2230</c:v>
                </c:pt>
                <c:pt idx="49">
                  <c:v>1207</c:v>
                </c:pt>
              </c:numCache>
            </c:numRef>
          </c:val>
        </c:ser>
        <c:ser>
          <c:idx val="14"/>
          <c:order val="3"/>
          <c:tx>
            <c:v>Sexual Abuse - Total</c:v>
          </c:tx>
          <c:spPr>
            <a:solidFill>
              <a:srgbClr val="FF9393"/>
            </a:solidFill>
          </c:spPr>
          <c:invertIfNegative val="0"/>
          <c:val>
            <c:numLit>
              <c:formatCode>General</c:formatCode>
              <c:ptCount val="1"/>
              <c:pt idx="0">
                <c:v>1</c:v>
              </c:pt>
            </c:numLit>
          </c:val>
        </c:ser>
        <c:ser>
          <c:idx val="12"/>
          <c:order val="4"/>
          <c:tx>
            <c:v>Sexual Abuse - Substantiated</c:v>
          </c:tx>
          <c:spPr>
            <a:solidFill>
              <a:srgbClr val="FF0000"/>
            </a:solidFill>
          </c:spPr>
          <c:invertIfNegative val="0"/>
          <c:val>
            <c:numLit>
              <c:formatCode>General</c:formatCode>
              <c:ptCount val="1"/>
              <c:pt idx="0">
                <c:v>1</c:v>
              </c:pt>
            </c:numLit>
          </c:val>
        </c:ser>
        <c:ser>
          <c:idx val="13"/>
          <c:order val="5"/>
          <c:tx>
            <c:v>Sexual Abuse - Investigated</c:v>
          </c:tx>
          <c:spPr>
            <a:solidFill>
              <a:srgbClr val="FF5757"/>
            </a:solidFill>
          </c:spPr>
          <c:invertIfNegative val="0"/>
          <c:val>
            <c:numLit>
              <c:formatCode>General</c:formatCode>
              <c:ptCount val="1"/>
              <c:pt idx="0">
                <c:v>1</c:v>
              </c:pt>
            </c:numLit>
          </c:val>
        </c:ser>
        <c:ser>
          <c:idx val="11"/>
          <c:order val="6"/>
          <c:tx>
            <c:v>Physical Abuse - Total</c:v>
          </c:tx>
          <c:spPr>
            <a:solidFill>
              <a:srgbClr val="C9A4E4"/>
            </a:solidFill>
          </c:spPr>
          <c:invertIfNegative val="0"/>
          <c:val>
            <c:numLit>
              <c:formatCode>General</c:formatCode>
              <c:ptCount val="1"/>
              <c:pt idx="0">
                <c:v>1</c:v>
              </c:pt>
            </c:numLit>
          </c:val>
        </c:ser>
        <c:ser>
          <c:idx val="9"/>
          <c:order val="7"/>
          <c:tx>
            <c:v>Physical Abuse - Substantiated</c:v>
          </c:tx>
          <c:spPr>
            <a:solidFill>
              <a:srgbClr val="7030A0"/>
            </a:solidFill>
          </c:spPr>
          <c:invertIfNegative val="0"/>
          <c:val>
            <c:numLit>
              <c:formatCode>General</c:formatCode>
              <c:ptCount val="1"/>
              <c:pt idx="0">
                <c:v>1</c:v>
              </c:pt>
            </c:numLit>
          </c:val>
        </c:ser>
        <c:ser>
          <c:idx val="10"/>
          <c:order val="8"/>
          <c:tx>
            <c:v>Physical Abuse - Investigated</c:v>
          </c:tx>
          <c:spPr>
            <a:solidFill>
              <a:srgbClr val="A568D2"/>
            </a:solidFill>
          </c:spPr>
          <c:invertIfNegative val="0"/>
          <c:val>
            <c:numLit>
              <c:formatCode>General</c:formatCode>
              <c:ptCount val="1"/>
              <c:pt idx="0">
                <c:v>1</c:v>
              </c:pt>
            </c:numLit>
          </c:val>
        </c:ser>
        <c:ser>
          <c:idx val="8"/>
          <c:order val="9"/>
          <c:tx>
            <c:v>Neglect - Total</c:v>
          </c:tx>
          <c:spPr>
            <a:solidFill>
              <a:schemeClr val="tx2">
                <a:lumMod val="20000"/>
                <a:lumOff val="80000"/>
              </a:schemeClr>
            </a:solidFill>
          </c:spPr>
          <c:invertIfNegative val="0"/>
          <c:val>
            <c:numLit>
              <c:formatCode>General</c:formatCode>
              <c:ptCount val="1"/>
              <c:pt idx="0">
                <c:v>1</c:v>
              </c:pt>
            </c:numLit>
          </c:val>
        </c:ser>
        <c:ser>
          <c:idx val="6"/>
          <c:order val="10"/>
          <c:tx>
            <c:v>Neglect - Substantiated</c:v>
          </c:tx>
          <c:spPr>
            <a:solidFill>
              <a:srgbClr val="0070C0"/>
            </a:solidFill>
          </c:spPr>
          <c:invertIfNegative val="0"/>
          <c:val>
            <c:numLit>
              <c:formatCode>General</c:formatCode>
              <c:ptCount val="1"/>
              <c:pt idx="0">
                <c:v>1</c:v>
              </c:pt>
            </c:numLit>
          </c:val>
        </c:ser>
        <c:ser>
          <c:idx val="7"/>
          <c:order val="11"/>
          <c:tx>
            <c:v>Neglect - Investigated</c:v>
          </c:tx>
          <c:spPr>
            <a:solidFill>
              <a:schemeClr val="tx2">
                <a:lumMod val="40000"/>
                <a:lumOff val="60000"/>
              </a:schemeClr>
            </a:solidFill>
          </c:spPr>
          <c:invertIfNegative val="0"/>
          <c:val>
            <c:numLit>
              <c:formatCode>General</c:formatCode>
              <c:ptCount val="1"/>
              <c:pt idx="0">
                <c:v>1</c:v>
              </c:pt>
            </c:numLit>
          </c:val>
        </c:ser>
        <c:ser>
          <c:idx val="5"/>
          <c:order val="12"/>
          <c:tx>
            <c:v>Emotional Abuse - Total</c:v>
          </c:tx>
          <c:spPr>
            <a:solidFill>
              <a:srgbClr val="BCEEBC"/>
            </a:solidFill>
          </c:spPr>
          <c:invertIfNegative val="0"/>
          <c:val>
            <c:numLit>
              <c:formatCode>General</c:formatCode>
              <c:ptCount val="1"/>
              <c:pt idx="0">
                <c:v>1</c:v>
              </c:pt>
            </c:numLit>
          </c:val>
        </c:ser>
        <c:ser>
          <c:idx val="3"/>
          <c:order val="13"/>
          <c:tx>
            <c:v>Emotional Abuse - Substantiated</c:v>
          </c:tx>
          <c:spPr>
            <a:solidFill>
              <a:srgbClr val="33CC33"/>
            </a:solidFill>
          </c:spPr>
          <c:invertIfNegative val="0"/>
          <c:val>
            <c:numLit>
              <c:formatCode>General</c:formatCode>
              <c:ptCount val="1"/>
              <c:pt idx="0">
                <c:v>1</c:v>
              </c:pt>
            </c:numLit>
          </c:val>
        </c:ser>
        <c:ser>
          <c:idx val="4"/>
          <c:order val="14"/>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182513664"/>
        <c:axId val="182515200"/>
      </c:barChart>
      <c:dateAx>
        <c:axId val="182513664"/>
        <c:scaling>
          <c:orientation val="minMax"/>
        </c:scaling>
        <c:delete val="0"/>
        <c:axPos val="b"/>
        <c:numFmt formatCode="General" sourceLinked="1"/>
        <c:majorTickMark val="none"/>
        <c:minorTickMark val="none"/>
        <c:tickLblPos val="nextTo"/>
        <c:txPr>
          <a:bodyPr/>
          <a:lstStyle/>
          <a:p>
            <a:pPr>
              <a:defRPr sz="900"/>
            </a:pPr>
            <a:endParaRPr lang="en-US"/>
          </a:p>
        </c:txPr>
        <c:crossAx val="182515200"/>
        <c:crosses val="autoZero"/>
        <c:auto val="1"/>
        <c:lblOffset val="100"/>
        <c:baseTimeUnit val="days"/>
        <c:majorUnit val="1"/>
        <c:majorTimeUnit val="days"/>
        <c:minorUnit val="1"/>
        <c:minorTimeUnit val="years"/>
      </c:dateAx>
      <c:valAx>
        <c:axId val="182515200"/>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82513664"/>
        <c:crosses val="autoZero"/>
        <c:crossBetween val="between"/>
        <c:majorUnit val="1000"/>
      </c:valAx>
    </c:plotArea>
    <c:legend>
      <c:legendPos val="l"/>
      <c:legendEntry>
        <c:idx val="12"/>
        <c:delete val="1"/>
      </c:legendEntry>
      <c:legendEntry>
        <c:idx val="13"/>
        <c:delete val="1"/>
      </c:legendEntry>
      <c:legendEntry>
        <c:idx val="14"/>
        <c:delete val="1"/>
      </c:legendEntry>
      <c:layout>
        <c:manualLayout>
          <c:xMode val="edge"/>
          <c:yMode val="edge"/>
          <c:x val="0.12787232630404"/>
          <c:y val="8.8524883294697695E-2"/>
          <c:w val="0.34024171116541502"/>
          <c:h val="0.58975738733765293"/>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'Abuse x year'!$A$19</c:f>
              <c:strCache>
                <c:ptCount val="1"/>
                <c:pt idx="0">
                  <c:v>Emotional abuse</c:v>
                </c:pt>
              </c:strCache>
            </c:strRef>
          </c:tx>
          <c:marker>
            <c:symbol val="none"/>
          </c:marker>
          <c:cat>
            <c:numRef>
              <c:f>'Abuse x year'!$B$18:$K$18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'Abuse x year'!$B$19:$K$19</c:f>
              <c:numCache>
                <c:formatCode>General</c:formatCode>
                <c:ptCount val="10"/>
                <c:pt idx="0">
                  <c:v>11749</c:v>
                </c:pt>
                <c:pt idx="1">
                  <c:v>11618</c:v>
                </c:pt>
                <c:pt idx="2">
                  <c:v>11905</c:v>
                </c:pt>
                <c:pt idx="3">
                  <c:v>13212</c:v>
                </c:pt>
                <c:pt idx="4">
                  <c:v>10680</c:v>
                </c:pt>
                <c:pt idx="5">
                  <c:v>16081</c:v>
                </c:pt>
                <c:pt idx="6">
                  <c:v>21759</c:v>
                </c:pt>
                <c:pt idx="7">
                  <c:v>26340</c:v>
                </c:pt>
                <c:pt idx="8">
                  <c:v>33003</c:v>
                </c:pt>
                <c:pt idx="9">
                  <c:v>41480</c:v>
                </c:pt>
              </c:numCache>
            </c:numRef>
          </c:val>
          <c:smooth val="0"/>
        </c:ser>
        <c:ser>
          <c:idx val="1"/>
          <c:order val="1"/>
          <c:tx>
            <c:strRef>
              <c:f>'Abuse x year'!$A$20</c:f>
              <c:strCache>
                <c:ptCount val="1"/>
                <c:pt idx="0">
                  <c:v>Neglect</c:v>
                </c:pt>
              </c:strCache>
            </c:strRef>
          </c:tx>
          <c:marker>
            <c:symbol val="none"/>
          </c:marker>
          <c:cat>
            <c:numRef>
              <c:f>'Abuse x year'!$B$18:$K$18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'Abuse x year'!$B$20:$K$20</c:f>
              <c:numCache>
                <c:formatCode>General</c:formatCode>
                <c:ptCount val="10"/>
                <c:pt idx="0">
                  <c:v>12029</c:v>
                </c:pt>
                <c:pt idx="1">
                  <c:v>11702</c:v>
                </c:pt>
                <c:pt idx="2">
                  <c:v>11295</c:v>
                </c:pt>
                <c:pt idx="3">
                  <c:v>9625</c:v>
                </c:pt>
                <c:pt idx="4">
                  <c:v>14778</c:v>
                </c:pt>
                <c:pt idx="5">
                  <c:v>8601</c:v>
                </c:pt>
                <c:pt idx="6">
                  <c:v>4057</c:v>
                </c:pt>
                <c:pt idx="7">
                  <c:v>4775</c:v>
                </c:pt>
                <c:pt idx="8">
                  <c:v>5675</c:v>
                </c:pt>
                <c:pt idx="9">
                  <c:v>4902</c:v>
                </c:pt>
              </c:numCache>
            </c:numRef>
          </c:val>
          <c:smooth val="0"/>
        </c:ser>
        <c:ser>
          <c:idx val="2"/>
          <c:order val="2"/>
          <c:tx>
            <c:strRef>
              <c:f>'Abuse x year'!$A$21</c:f>
              <c:strCache>
                <c:ptCount val="1"/>
                <c:pt idx="0">
                  <c:v>Physical abuse</c:v>
                </c:pt>
              </c:strCache>
            </c:strRef>
          </c:tx>
          <c:marker>
            <c:symbol val="none"/>
          </c:marker>
          <c:cat>
            <c:numRef>
              <c:f>'Abuse x year'!$B$18:$K$18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'Abuse x year'!$B$21:$K$21</c:f>
              <c:numCache>
                <c:formatCode>General</c:formatCode>
                <c:ptCount val="10"/>
                <c:pt idx="0">
                  <c:v>9048</c:v>
                </c:pt>
                <c:pt idx="1">
                  <c:v>9697</c:v>
                </c:pt>
                <c:pt idx="2">
                  <c:v>8930</c:v>
                </c:pt>
                <c:pt idx="3">
                  <c:v>10382</c:v>
                </c:pt>
                <c:pt idx="4">
                  <c:v>10203</c:v>
                </c:pt>
                <c:pt idx="5">
                  <c:v>12887</c:v>
                </c:pt>
                <c:pt idx="6">
                  <c:v>14781</c:v>
                </c:pt>
                <c:pt idx="7">
                  <c:v>15050</c:v>
                </c:pt>
                <c:pt idx="8">
                  <c:v>13989</c:v>
                </c:pt>
                <c:pt idx="9">
                  <c:v>14919</c:v>
                </c:pt>
              </c:numCache>
            </c:numRef>
          </c:val>
          <c:smooth val="0"/>
        </c:ser>
        <c:ser>
          <c:idx val="3"/>
          <c:order val="3"/>
          <c:tx>
            <c:strRef>
              <c:f>'Abuse x year'!$A$22</c:f>
              <c:strCache>
                <c:ptCount val="1"/>
                <c:pt idx="0">
                  <c:v>Sexual abuse</c:v>
                </c:pt>
              </c:strCache>
            </c:strRef>
          </c:tx>
          <c:marker>
            <c:symbol val="none"/>
          </c:marker>
          <c:cat>
            <c:numRef>
              <c:f>'Abuse x year'!$B$18:$K$18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'Abuse x year'!$B$22:$K$22</c:f>
              <c:numCache>
                <c:formatCode>General</c:formatCode>
                <c:ptCount val="10"/>
                <c:pt idx="0">
                  <c:v>4441</c:v>
                </c:pt>
                <c:pt idx="1">
                  <c:v>4632</c:v>
                </c:pt>
                <c:pt idx="2">
                  <c:v>4527</c:v>
                </c:pt>
                <c:pt idx="3">
                  <c:v>4474</c:v>
                </c:pt>
                <c:pt idx="4">
                  <c:v>3113</c:v>
                </c:pt>
                <c:pt idx="5">
                  <c:v>4126</c:v>
                </c:pt>
                <c:pt idx="6">
                  <c:v>4173</c:v>
                </c:pt>
                <c:pt idx="7">
                  <c:v>5870</c:v>
                </c:pt>
                <c:pt idx="8">
                  <c:v>6265</c:v>
                </c:pt>
                <c:pt idx="9">
                  <c:v>7347</c:v>
                </c:pt>
              </c:numCache>
            </c:numRef>
          </c:val>
          <c:smooth val="0"/>
        </c:ser>
        <c:dLbls>
          <c:showLegendKey val="0"/>
          <c:showVal val="0"/>
          <c:showCatName val="0"/>
          <c:showSerName val="0"/>
          <c:showPercent val="0"/>
          <c:showBubbleSize val="0"/>
        </c:dLbls>
        <c:marker val="1"/>
        <c:smooth val="0"/>
        <c:axId val="182813440"/>
        <c:axId val="182814976"/>
      </c:lineChart>
      <c:catAx>
        <c:axId val="182813440"/>
        <c:scaling>
          <c:orientation val="minMax"/>
        </c:scaling>
        <c:delete val="0"/>
        <c:axPos val="b"/>
        <c:numFmt formatCode="General" sourceLinked="1"/>
        <c:majorTickMark val="out"/>
        <c:minorTickMark val="none"/>
        <c:tickLblPos val="nextTo"/>
        <c:crossAx val="182814976"/>
        <c:crosses val="autoZero"/>
        <c:auto val="1"/>
        <c:lblAlgn val="ctr"/>
        <c:lblOffset val="100"/>
        <c:noMultiLvlLbl val="0"/>
      </c:catAx>
      <c:valAx>
        <c:axId val="182814976"/>
        <c:scaling>
          <c:orientation val="minMax"/>
        </c:scaling>
        <c:delete val="0"/>
        <c:axPos val="l"/>
        <c:majorGridlines/>
        <c:numFmt formatCode="General" sourceLinked="1"/>
        <c:majorTickMark val="out"/>
        <c:minorTickMark val="none"/>
        <c:tickLblPos val="nextTo"/>
        <c:crossAx val="1828134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'10 year overview'!$A$36</c:f>
              <c:strCache>
                <c:ptCount val="1"/>
                <c:pt idx="0">
                  <c:v>Emotional abuse</c:v>
                </c:pt>
              </c:strCache>
            </c:strRef>
          </c:tx>
          <c:marker>
            <c:symbol val="none"/>
          </c:marker>
          <c:cat>
            <c:strRef>
              <c:f>'10 year overview'!$B$35:$E$35</c:f>
              <c:strCache>
                <c:ptCount val="4"/>
                <c:pt idx="0">
                  <c:v>Not investigated</c:v>
                </c:pt>
                <c:pt idx="1">
                  <c:v>Investigated</c:v>
                </c:pt>
                <c:pt idx="2">
                  <c:v>Substantiated</c:v>
                </c:pt>
                <c:pt idx="3">
                  <c:v>Not substantiated</c:v>
                </c:pt>
              </c:strCache>
            </c:strRef>
          </c:cat>
          <c:val>
            <c:numRef>
              <c:f>'10 year overview'!$B$36:$E$36</c:f>
              <c:numCache>
                <c:formatCode>#,##0</c:formatCode>
                <c:ptCount val="4"/>
                <c:pt idx="0">
                  <c:v>153929</c:v>
                </c:pt>
                <c:pt idx="1">
                  <c:v>43898</c:v>
                </c:pt>
                <c:pt idx="2">
                  <c:v>29107</c:v>
                </c:pt>
                <c:pt idx="3">
                  <c:v>14791</c:v>
                </c:pt>
              </c:numCache>
            </c:numRef>
          </c:val>
          <c:smooth val="0"/>
        </c:ser>
        <c:ser>
          <c:idx val="1"/>
          <c:order val="1"/>
          <c:tx>
            <c:strRef>
              <c:f>'10 year overview'!$A$37</c:f>
              <c:strCache>
                <c:ptCount val="1"/>
                <c:pt idx="0">
                  <c:v>Neglect</c:v>
                </c:pt>
              </c:strCache>
            </c:strRef>
          </c:tx>
          <c:marker>
            <c:symbol val="none"/>
          </c:marker>
          <c:cat>
            <c:strRef>
              <c:f>'10 year overview'!$B$35:$E$35</c:f>
              <c:strCache>
                <c:ptCount val="4"/>
                <c:pt idx="0">
                  <c:v>Not investigated</c:v>
                </c:pt>
                <c:pt idx="1">
                  <c:v>Investigated</c:v>
                </c:pt>
                <c:pt idx="2">
                  <c:v>Substantiated</c:v>
                </c:pt>
                <c:pt idx="3">
                  <c:v>Not substantiated</c:v>
                </c:pt>
              </c:strCache>
            </c:strRef>
          </c:cat>
          <c:val>
            <c:numRef>
              <c:f>'10 year overview'!$B$37:$E$37</c:f>
              <c:numCache>
                <c:formatCode>#,##0</c:formatCode>
                <c:ptCount val="4"/>
                <c:pt idx="0">
                  <c:v>66414</c:v>
                </c:pt>
                <c:pt idx="1">
                  <c:v>21025</c:v>
                </c:pt>
                <c:pt idx="2">
                  <c:v>13314</c:v>
                </c:pt>
                <c:pt idx="3">
                  <c:v>7711</c:v>
                </c:pt>
              </c:numCache>
            </c:numRef>
          </c:val>
          <c:smooth val="0"/>
        </c:ser>
        <c:ser>
          <c:idx val="2"/>
          <c:order val="2"/>
          <c:tx>
            <c:strRef>
              <c:f>'10 year overview'!$A$38</c:f>
              <c:strCache>
                <c:ptCount val="1"/>
                <c:pt idx="0">
                  <c:v>Physical abuse</c:v>
                </c:pt>
              </c:strCache>
            </c:strRef>
          </c:tx>
          <c:marker>
            <c:symbol val="none"/>
          </c:marker>
          <c:cat>
            <c:strRef>
              <c:f>'10 year overview'!$B$35:$E$35</c:f>
              <c:strCache>
                <c:ptCount val="4"/>
                <c:pt idx="0">
                  <c:v>Not investigated</c:v>
                </c:pt>
                <c:pt idx="1">
                  <c:v>Investigated</c:v>
                </c:pt>
                <c:pt idx="2">
                  <c:v>Substantiated</c:v>
                </c:pt>
                <c:pt idx="3">
                  <c:v>Not substantiated</c:v>
                </c:pt>
              </c:strCache>
            </c:strRef>
          </c:cat>
          <c:val>
            <c:numRef>
              <c:f>'10 year overview'!$B$38:$E$38</c:f>
              <c:numCache>
                <c:formatCode>#,##0</c:formatCode>
                <c:ptCount val="4"/>
                <c:pt idx="0">
                  <c:v>76670</c:v>
                </c:pt>
                <c:pt idx="1">
                  <c:v>43216</c:v>
                </c:pt>
                <c:pt idx="2">
                  <c:v>26735</c:v>
                </c:pt>
                <c:pt idx="3">
                  <c:v>16481</c:v>
                </c:pt>
              </c:numCache>
            </c:numRef>
          </c:val>
          <c:smooth val="0"/>
        </c:ser>
        <c:ser>
          <c:idx val="3"/>
          <c:order val="3"/>
          <c:tx>
            <c:strRef>
              <c:f>'10 year overview'!$A$39</c:f>
              <c:strCache>
                <c:ptCount val="1"/>
                <c:pt idx="0">
                  <c:v>Sexual abuse</c:v>
                </c:pt>
              </c:strCache>
            </c:strRef>
          </c:tx>
          <c:marker>
            <c:symbol val="none"/>
          </c:marker>
          <c:cat>
            <c:strRef>
              <c:f>'10 year overview'!$B$35:$E$35</c:f>
              <c:strCache>
                <c:ptCount val="4"/>
                <c:pt idx="0">
                  <c:v>Not investigated</c:v>
                </c:pt>
                <c:pt idx="1">
                  <c:v>Investigated</c:v>
                </c:pt>
                <c:pt idx="2">
                  <c:v>Substantiated</c:v>
                </c:pt>
                <c:pt idx="3">
                  <c:v>Not substantiated</c:v>
                </c:pt>
              </c:strCache>
            </c:strRef>
          </c:cat>
          <c:val>
            <c:numRef>
              <c:f>'10 year overview'!$B$39:$E$39</c:f>
              <c:numCache>
                <c:formatCode>#,##0</c:formatCode>
                <c:ptCount val="4"/>
                <c:pt idx="0">
                  <c:v>28790</c:v>
                </c:pt>
                <c:pt idx="1">
                  <c:v>20178</c:v>
                </c:pt>
                <c:pt idx="2">
                  <c:v>8913</c:v>
                </c:pt>
                <c:pt idx="3">
                  <c:v>11265</c:v>
                </c:pt>
              </c:numCache>
            </c:numRef>
          </c:val>
          <c:smooth val="0"/>
        </c:ser>
        <c:dLbls>
          <c:showLegendKey val="0"/>
          <c:showVal val="0"/>
          <c:showCatName val="0"/>
          <c:showSerName val="0"/>
          <c:showPercent val="0"/>
          <c:showBubbleSize val="0"/>
        </c:dLbls>
        <c:marker val="1"/>
        <c:smooth val="0"/>
        <c:axId val="182649216"/>
        <c:axId val="182650752"/>
      </c:lineChart>
      <c:catAx>
        <c:axId val="182649216"/>
        <c:scaling>
          <c:orientation val="minMax"/>
        </c:scaling>
        <c:delete val="0"/>
        <c:axPos val="b"/>
        <c:numFmt formatCode="General" sourceLinked="0"/>
        <c:majorTickMark val="out"/>
        <c:minorTickMark val="none"/>
        <c:tickLblPos val="nextTo"/>
        <c:crossAx val="182650752"/>
        <c:crosses val="autoZero"/>
        <c:auto val="1"/>
        <c:lblAlgn val="ctr"/>
        <c:lblOffset val="100"/>
        <c:noMultiLvlLbl val="0"/>
      </c:catAx>
      <c:valAx>
        <c:axId val="182650752"/>
        <c:scaling>
          <c:orientation val="minMax"/>
        </c:scaling>
        <c:delete val="0"/>
        <c:axPos val="l"/>
        <c:majorGridlines/>
        <c:numFmt formatCode="#,##0" sourceLinked="1"/>
        <c:majorTickMark val="out"/>
        <c:minorTickMark val="none"/>
        <c:tickLblPos val="nextTo"/>
        <c:crossAx val="18264921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Sheet4!$A$58</c:f>
              <c:strCache>
                <c:ptCount val="1"/>
                <c:pt idx="0">
                  <c:v>Not investigated</c:v>
                </c:pt>
              </c:strCache>
            </c:strRef>
          </c:tx>
          <c:marker>
            <c:symbol val="none"/>
          </c:marker>
          <c:cat>
            <c:numRef>
              <c:f>Sheet4!$B$57:$K$57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Sheet4!$B$58:$K$58</c:f>
              <c:numCache>
                <c:formatCode>#,##0</c:formatCode>
                <c:ptCount val="10"/>
                <c:pt idx="0">
                  <c:v>24799</c:v>
                </c:pt>
                <c:pt idx="1">
                  <c:v>25242</c:v>
                </c:pt>
                <c:pt idx="2">
                  <c:v>25317</c:v>
                </c:pt>
                <c:pt idx="3">
                  <c:v>26176</c:v>
                </c:pt>
                <c:pt idx="4">
                  <c:v>27638</c:v>
                </c:pt>
                <c:pt idx="5">
                  <c:v>30229</c:v>
                </c:pt>
                <c:pt idx="6">
                  <c:v>33101</c:v>
                </c:pt>
                <c:pt idx="7">
                  <c:v>37775</c:v>
                </c:pt>
                <c:pt idx="8">
                  <c:v>43939</c:v>
                </c:pt>
                <c:pt idx="9">
                  <c:v>51588</c:v>
                </c:pt>
              </c:numCache>
            </c:numRef>
          </c:val>
          <c:smooth val="0"/>
        </c:ser>
        <c:ser>
          <c:idx val="1"/>
          <c:order val="1"/>
          <c:tx>
            <c:strRef>
              <c:f>Sheet4!$A$59</c:f>
              <c:strCache>
                <c:ptCount val="1"/>
                <c:pt idx="0">
                  <c:v>Investigated</c:v>
                </c:pt>
              </c:strCache>
            </c:strRef>
          </c:tx>
          <c:marker>
            <c:symbol val="none"/>
          </c:marker>
          <c:cat>
            <c:numRef>
              <c:f>Sheet4!$B$57:$K$57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Sheet4!$B$59:$K$59</c:f>
              <c:numCache>
                <c:formatCode>#,##0</c:formatCode>
                <c:ptCount val="10"/>
                <c:pt idx="0">
                  <c:v>12468</c:v>
                </c:pt>
                <c:pt idx="1">
                  <c:v>12407</c:v>
                </c:pt>
                <c:pt idx="2">
                  <c:v>11340</c:v>
                </c:pt>
                <c:pt idx="3">
                  <c:v>11517</c:v>
                </c:pt>
                <c:pt idx="4">
                  <c:v>11136</c:v>
                </c:pt>
                <c:pt idx="5">
                  <c:v>11466</c:v>
                </c:pt>
                <c:pt idx="6">
                  <c:v>11669</c:v>
                </c:pt>
                <c:pt idx="7">
                  <c:v>14260</c:v>
                </c:pt>
                <c:pt idx="8">
                  <c:v>14993</c:v>
                </c:pt>
                <c:pt idx="9">
                  <c:v>17060</c:v>
                </c:pt>
              </c:numCache>
            </c:numRef>
          </c:val>
          <c:smooth val="0"/>
        </c:ser>
        <c:ser>
          <c:idx val="2"/>
          <c:order val="2"/>
          <c:tx>
            <c:strRef>
              <c:f>Sheet4!$A$60</c:f>
              <c:strCache>
                <c:ptCount val="1"/>
                <c:pt idx="0">
                  <c:v>Substantiated</c:v>
                </c:pt>
              </c:strCache>
            </c:strRef>
          </c:tx>
          <c:marker>
            <c:symbol val="none"/>
          </c:marker>
          <c:cat>
            <c:numRef>
              <c:f>Sheet4!$B$57:$K$57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Sheet4!$B$60:$K$60</c:f>
              <c:numCache>
                <c:formatCode>#,##0</c:formatCode>
                <c:ptCount val="10"/>
                <c:pt idx="0">
                  <c:v>7411</c:v>
                </c:pt>
                <c:pt idx="1">
                  <c:v>7912</c:v>
                </c:pt>
                <c:pt idx="2">
                  <c:v>7504</c:v>
                </c:pt>
                <c:pt idx="3">
                  <c:v>7488</c:v>
                </c:pt>
                <c:pt idx="4">
                  <c:v>7132</c:v>
                </c:pt>
                <c:pt idx="5">
                  <c:v>7019</c:v>
                </c:pt>
                <c:pt idx="6">
                  <c:v>6782</c:v>
                </c:pt>
                <c:pt idx="7">
                  <c:v>7686</c:v>
                </c:pt>
                <c:pt idx="8">
                  <c:v>8936</c:v>
                </c:pt>
                <c:pt idx="9">
                  <c:v>10198</c:v>
                </c:pt>
              </c:numCache>
            </c:numRef>
          </c:val>
          <c:smooth val="0"/>
        </c:ser>
        <c:ser>
          <c:idx val="3"/>
          <c:order val="3"/>
          <c:tx>
            <c:strRef>
              <c:f>Sheet4!$A$61</c:f>
              <c:strCache>
                <c:ptCount val="1"/>
                <c:pt idx="0">
                  <c:v>Not substantiated</c:v>
                </c:pt>
              </c:strCache>
            </c:strRef>
          </c:tx>
          <c:marker>
            <c:symbol val="none"/>
          </c:marker>
          <c:cat>
            <c:numRef>
              <c:f>Sheet4!$B$57:$K$57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Sheet4!$B$61:$K$61</c:f>
              <c:numCache>
                <c:formatCode>#,##0</c:formatCode>
                <c:ptCount val="10"/>
                <c:pt idx="0">
                  <c:v>5057</c:v>
                </c:pt>
                <c:pt idx="1">
                  <c:v>4495</c:v>
                </c:pt>
                <c:pt idx="2">
                  <c:v>3836</c:v>
                </c:pt>
                <c:pt idx="3">
                  <c:v>4029</c:v>
                </c:pt>
                <c:pt idx="4">
                  <c:v>4004</c:v>
                </c:pt>
                <c:pt idx="5">
                  <c:v>4447</c:v>
                </c:pt>
                <c:pt idx="6">
                  <c:v>4887</c:v>
                </c:pt>
                <c:pt idx="7">
                  <c:v>6574</c:v>
                </c:pt>
                <c:pt idx="8">
                  <c:v>6057</c:v>
                </c:pt>
                <c:pt idx="9">
                  <c:v>6862</c:v>
                </c:pt>
              </c:numCache>
            </c:numRef>
          </c:val>
          <c:smooth val="0"/>
        </c:ser>
        <c:dLbls>
          <c:showLegendKey val="0"/>
          <c:showVal val="0"/>
          <c:showCatName val="0"/>
          <c:showSerName val="0"/>
          <c:showPercent val="0"/>
          <c:showBubbleSize val="0"/>
        </c:dLbls>
        <c:marker val="1"/>
        <c:smooth val="0"/>
        <c:axId val="182693888"/>
        <c:axId val="182695424"/>
      </c:lineChart>
      <c:catAx>
        <c:axId val="182693888"/>
        <c:scaling>
          <c:orientation val="minMax"/>
        </c:scaling>
        <c:delete val="0"/>
        <c:axPos val="b"/>
        <c:numFmt formatCode="General" sourceLinked="1"/>
        <c:majorTickMark val="out"/>
        <c:minorTickMark val="none"/>
        <c:tickLblPos val="nextTo"/>
        <c:crossAx val="182695424"/>
        <c:crosses val="autoZero"/>
        <c:auto val="1"/>
        <c:lblAlgn val="ctr"/>
        <c:lblOffset val="100"/>
        <c:noMultiLvlLbl val="0"/>
      </c:catAx>
      <c:valAx>
        <c:axId val="182695424"/>
        <c:scaling>
          <c:orientation val="minMax"/>
        </c:scaling>
        <c:delete val="0"/>
        <c:axPos val="l"/>
        <c:majorGridlines/>
        <c:numFmt formatCode="#,##0" sourceLinked="1"/>
        <c:majorTickMark val="out"/>
        <c:minorTickMark val="none"/>
        <c:tickLblPos val="nextTo"/>
        <c:crossAx val="18269388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Sheet1!$A$14</c:f>
              <c:strCache>
                <c:ptCount val="1"/>
                <c:pt idx="0">
                  <c:v>Major mandated reporter groups combined</c:v>
                </c:pt>
              </c:strCache>
            </c:strRef>
          </c:tx>
          <c:marker>
            <c:symbol val="none"/>
          </c:marker>
          <c:cat>
            <c:numRef>
              <c:f>Sheet1!$B$13:$K$13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Sheet1!$B$14:$K$14</c:f>
              <c:numCache>
                <c:formatCode>#,##0</c:formatCode>
                <c:ptCount val="10"/>
                <c:pt idx="0">
                  <c:v>12700</c:v>
                </c:pt>
                <c:pt idx="1">
                  <c:v>12616</c:v>
                </c:pt>
                <c:pt idx="2">
                  <c:v>12948</c:v>
                </c:pt>
                <c:pt idx="3">
                  <c:v>13756</c:v>
                </c:pt>
                <c:pt idx="4">
                  <c:v>14405</c:v>
                </c:pt>
                <c:pt idx="5">
                  <c:v>16918</c:v>
                </c:pt>
                <c:pt idx="6">
                  <c:v>19503</c:v>
                </c:pt>
                <c:pt idx="7">
                  <c:v>24759</c:v>
                </c:pt>
                <c:pt idx="8">
                  <c:v>27879</c:v>
                </c:pt>
                <c:pt idx="9">
                  <c:v>34944</c:v>
                </c:pt>
              </c:numCache>
            </c:numRef>
          </c:val>
          <c:smooth val="0"/>
        </c:ser>
        <c:ser>
          <c:idx val="1"/>
          <c:order val="1"/>
          <c:tx>
            <c:strRef>
              <c:f>Sheet1!$A$15</c:f>
              <c:strCache>
                <c:ptCount val="1"/>
                <c:pt idx="0">
                  <c:v>Other reporter groups combined</c:v>
                </c:pt>
              </c:strCache>
            </c:strRef>
          </c:tx>
          <c:marker>
            <c:symbol val="none"/>
          </c:marker>
          <c:cat>
            <c:numRef>
              <c:f>Sheet1!$B$13:$K$13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Sheet1!$B$15:$K$15</c:f>
              <c:numCache>
                <c:formatCode>#,##0</c:formatCode>
                <c:ptCount val="10"/>
                <c:pt idx="0">
                  <c:v>24567</c:v>
                </c:pt>
                <c:pt idx="1">
                  <c:v>25033</c:v>
                </c:pt>
                <c:pt idx="2">
                  <c:v>23709</c:v>
                </c:pt>
                <c:pt idx="3">
                  <c:v>23937</c:v>
                </c:pt>
                <c:pt idx="4">
                  <c:v>24369</c:v>
                </c:pt>
                <c:pt idx="5">
                  <c:v>24777</c:v>
                </c:pt>
                <c:pt idx="6">
                  <c:v>25267</c:v>
                </c:pt>
                <c:pt idx="7">
                  <c:v>27276</c:v>
                </c:pt>
                <c:pt idx="8">
                  <c:v>31053</c:v>
                </c:pt>
                <c:pt idx="9">
                  <c:v>33704</c:v>
                </c:pt>
              </c:numCache>
            </c:numRef>
          </c:val>
          <c:smooth val="0"/>
        </c:ser>
        <c:dLbls>
          <c:showLegendKey val="0"/>
          <c:showVal val="0"/>
          <c:showCatName val="0"/>
          <c:showSerName val="0"/>
          <c:showPercent val="0"/>
          <c:showBubbleSize val="0"/>
        </c:dLbls>
        <c:marker val="1"/>
        <c:smooth val="0"/>
        <c:axId val="97785344"/>
        <c:axId val="97786880"/>
      </c:lineChart>
      <c:catAx>
        <c:axId val="97785344"/>
        <c:scaling>
          <c:orientation val="minMax"/>
        </c:scaling>
        <c:delete val="0"/>
        <c:axPos val="b"/>
        <c:numFmt formatCode="General" sourceLinked="1"/>
        <c:majorTickMark val="out"/>
        <c:minorTickMark val="none"/>
        <c:tickLblPos val="nextTo"/>
        <c:crossAx val="97786880"/>
        <c:crosses val="autoZero"/>
        <c:auto val="1"/>
        <c:lblAlgn val="ctr"/>
        <c:lblOffset val="100"/>
        <c:noMultiLvlLbl val="0"/>
      </c:catAx>
      <c:valAx>
        <c:axId val="97786880"/>
        <c:scaling>
          <c:orientation val="minMax"/>
        </c:scaling>
        <c:delete val="0"/>
        <c:axPos val="l"/>
        <c:majorGridlines/>
        <c:numFmt formatCode="#,##0" sourceLinked="1"/>
        <c:majorTickMark val="out"/>
        <c:minorTickMark val="none"/>
        <c:tickLblPos val="nextTo"/>
        <c:crossAx val="977853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82C6AD-5821-4064-AC03-F696DBDC8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277</Pages>
  <Words>57856</Words>
  <Characters>329784</Characters>
  <Application>Microsoft Office Word</Application>
  <DocSecurity>0</DocSecurity>
  <Lines>2748</Lines>
  <Paragraphs>773</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386867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coesm</dc:creator>
  <cp:lastModifiedBy>BEDFORD, Peter</cp:lastModifiedBy>
  <cp:revision>2</cp:revision>
  <cp:lastPrinted>2015-09-03T05:06:00Z</cp:lastPrinted>
  <dcterms:created xsi:type="dcterms:W3CDTF">2016-02-18T06:48:00Z</dcterms:created>
  <dcterms:modified xsi:type="dcterms:W3CDTF">2016-02-18T06:48:00Z</dcterms:modified>
</cp:coreProperties>
</file>